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183E4D" w14:paraId="65572218" w14:textId="77777777" w:rsidTr="00F43F3E">
        <w:trPr>
          <w:cantSplit/>
          <w:trHeight w:hRule="exact" w:val="4820"/>
        </w:trPr>
        <w:tc>
          <w:tcPr>
            <w:tcW w:w="4253" w:type="dxa"/>
            <w:shd w:val="clear" w:color="auto" w:fill="auto"/>
            <w:vAlign w:val="bottom"/>
          </w:tcPr>
          <w:p w14:paraId="2C1373BF" w14:textId="77777777" w:rsidR="001B33AE" w:rsidRPr="00183E4D" w:rsidRDefault="001B33AE" w:rsidP="004C79C1">
            <w:pPr>
              <w:pStyle w:val="TOC9"/>
              <w:spacing w:after="120" w:line="240" w:lineRule="auto"/>
              <w:jc w:val="both"/>
            </w:pPr>
            <w:bookmarkStart w:id="0" w:name="_GoBack"/>
            <w:bookmarkEnd w:id="0"/>
          </w:p>
        </w:tc>
        <w:tc>
          <w:tcPr>
            <w:tcW w:w="4678" w:type="dxa"/>
            <w:shd w:val="clear" w:color="auto" w:fill="auto"/>
            <w:vAlign w:val="bottom"/>
          </w:tcPr>
          <w:p w14:paraId="014C409B" w14:textId="10B5E023" w:rsidR="001B33AE" w:rsidRPr="00183E4D" w:rsidRDefault="00D4198E" w:rsidP="004C79C1">
            <w:pPr>
              <w:pStyle w:val="PublicationTitle"/>
              <w:spacing w:after="120" w:line="240" w:lineRule="auto"/>
              <w:jc w:val="left"/>
              <w:rPr>
                <w:szCs w:val="44"/>
              </w:rPr>
            </w:pPr>
            <w:r>
              <w:rPr>
                <w:szCs w:val="44"/>
              </w:rPr>
              <w:t xml:space="preserve">Magnetic </w:t>
            </w:r>
            <w:r w:rsidR="00DC0F06">
              <w:rPr>
                <w:szCs w:val="44"/>
              </w:rPr>
              <w:t>r</w:t>
            </w:r>
            <w:r>
              <w:rPr>
                <w:szCs w:val="44"/>
              </w:rPr>
              <w:t xml:space="preserve">esonance </w:t>
            </w:r>
            <w:r w:rsidR="00DC0F06">
              <w:rPr>
                <w:szCs w:val="44"/>
              </w:rPr>
              <w:t>i</w:t>
            </w:r>
            <w:r>
              <w:rPr>
                <w:szCs w:val="44"/>
              </w:rPr>
              <w:t>maging of patients with suspected (non-</w:t>
            </w:r>
            <w:r w:rsidR="00410DCD">
              <w:rPr>
                <w:szCs w:val="44"/>
              </w:rPr>
              <w:t>ischaemic</w:t>
            </w:r>
            <w:r>
              <w:rPr>
                <w:szCs w:val="44"/>
              </w:rPr>
              <w:t>) dilated cardiomyopathies</w:t>
            </w:r>
          </w:p>
        </w:tc>
      </w:tr>
      <w:tr w:rsidR="008F59A8" w:rsidRPr="00183E4D" w14:paraId="439E9A81" w14:textId="77777777" w:rsidTr="00E0760E">
        <w:trPr>
          <w:cantSplit/>
          <w:trHeight w:hRule="exact" w:val="2137"/>
        </w:trPr>
        <w:tc>
          <w:tcPr>
            <w:tcW w:w="4253" w:type="dxa"/>
            <w:shd w:val="clear" w:color="auto" w:fill="auto"/>
            <w:vAlign w:val="bottom"/>
          </w:tcPr>
          <w:p w14:paraId="5AC3DDDE" w14:textId="77777777" w:rsidR="008F59A8" w:rsidRPr="00183E4D" w:rsidRDefault="008F59A8" w:rsidP="004C79C1">
            <w:pPr>
              <w:spacing w:after="120" w:line="240" w:lineRule="auto"/>
              <w:jc w:val="both"/>
            </w:pPr>
          </w:p>
        </w:tc>
        <w:tc>
          <w:tcPr>
            <w:tcW w:w="4678" w:type="dxa"/>
            <w:shd w:val="clear" w:color="auto" w:fill="auto"/>
            <w:vAlign w:val="bottom"/>
          </w:tcPr>
          <w:p w14:paraId="27236936" w14:textId="77777777" w:rsidR="008F59A8" w:rsidRPr="00183E4D" w:rsidRDefault="008F59A8" w:rsidP="004C79C1">
            <w:pPr>
              <w:pStyle w:val="Heading1"/>
              <w:spacing w:after="120" w:line="240" w:lineRule="auto"/>
              <w:jc w:val="both"/>
            </w:pPr>
          </w:p>
          <w:p w14:paraId="1488151C" w14:textId="77777777" w:rsidR="008F59A8" w:rsidRPr="00183E4D" w:rsidRDefault="008F59A8" w:rsidP="004C79C1">
            <w:pPr>
              <w:spacing w:after="120" w:line="240" w:lineRule="auto"/>
              <w:jc w:val="both"/>
            </w:pPr>
          </w:p>
        </w:tc>
      </w:tr>
      <w:tr w:rsidR="008F59A8" w:rsidRPr="00183E4D" w14:paraId="2E489294" w14:textId="77777777" w:rsidTr="00F43F3E">
        <w:trPr>
          <w:cantSplit/>
          <w:trHeight w:hRule="exact" w:val="1265"/>
        </w:trPr>
        <w:tc>
          <w:tcPr>
            <w:tcW w:w="4253" w:type="dxa"/>
            <w:shd w:val="clear" w:color="auto" w:fill="auto"/>
            <w:vAlign w:val="center"/>
          </w:tcPr>
          <w:p w14:paraId="369A1DB5" w14:textId="77777777" w:rsidR="008F59A8" w:rsidRPr="00183E4D" w:rsidRDefault="008F59A8" w:rsidP="004C79C1">
            <w:pPr>
              <w:pStyle w:val="Date"/>
              <w:spacing w:after="120" w:line="240" w:lineRule="auto"/>
              <w:jc w:val="both"/>
            </w:pPr>
          </w:p>
        </w:tc>
        <w:tc>
          <w:tcPr>
            <w:tcW w:w="4678" w:type="dxa"/>
            <w:shd w:val="clear" w:color="auto" w:fill="auto"/>
            <w:vAlign w:val="center"/>
          </w:tcPr>
          <w:p w14:paraId="5172703C" w14:textId="77777777" w:rsidR="008F59A8" w:rsidRPr="00183E4D" w:rsidRDefault="00D4198E" w:rsidP="004C79C1">
            <w:pPr>
              <w:pStyle w:val="Date"/>
              <w:spacing w:after="120" w:line="240" w:lineRule="auto"/>
              <w:jc w:val="both"/>
            </w:pPr>
            <w:r>
              <w:t>May</w:t>
            </w:r>
            <w:r w:rsidR="00E91BE1" w:rsidRPr="00183E4D">
              <w:t xml:space="preserve"> </w:t>
            </w:r>
            <w:r>
              <w:t>2016</w:t>
            </w:r>
            <w:r w:rsidR="0032483C" w:rsidRPr="00183E4D">
              <w:t xml:space="preserve"> </w:t>
            </w:r>
          </w:p>
        </w:tc>
      </w:tr>
      <w:tr w:rsidR="008F59A8" w:rsidRPr="00183E4D" w14:paraId="386DF763" w14:textId="77777777" w:rsidTr="00E0760E">
        <w:trPr>
          <w:cantSplit/>
          <w:trHeight w:hRule="exact" w:val="998"/>
        </w:trPr>
        <w:tc>
          <w:tcPr>
            <w:tcW w:w="4253" w:type="dxa"/>
            <w:shd w:val="clear" w:color="auto" w:fill="auto"/>
          </w:tcPr>
          <w:p w14:paraId="312BF702" w14:textId="77777777" w:rsidR="008F59A8" w:rsidRPr="00183E4D" w:rsidRDefault="008F59A8" w:rsidP="004C79C1">
            <w:pPr>
              <w:spacing w:after="120" w:line="240" w:lineRule="auto"/>
              <w:jc w:val="both"/>
            </w:pPr>
          </w:p>
        </w:tc>
        <w:tc>
          <w:tcPr>
            <w:tcW w:w="4678" w:type="dxa"/>
            <w:shd w:val="clear" w:color="auto" w:fill="auto"/>
          </w:tcPr>
          <w:p w14:paraId="7EAFC6E3" w14:textId="77777777" w:rsidR="008F59A8" w:rsidRPr="00183E4D" w:rsidRDefault="008F59A8" w:rsidP="004C79C1">
            <w:pPr>
              <w:spacing w:after="120" w:line="240" w:lineRule="auto"/>
              <w:jc w:val="both"/>
              <w:rPr>
                <w:highlight w:val="yellow"/>
              </w:rPr>
            </w:pPr>
          </w:p>
        </w:tc>
      </w:tr>
      <w:tr w:rsidR="008F59A8" w:rsidRPr="00183E4D" w14:paraId="6F8E2AF0" w14:textId="77777777" w:rsidTr="003A7C8F">
        <w:trPr>
          <w:cantSplit/>
          <w:trHeight w:hRule="exact" w:val="3094"/>
        </w:trPr>
        <w:tc>
          <w:tcPr>
            <w:tcW w:w="4253" w:type="dxa"/>
            <w:shd w:val="clear" w:color="auto" w:fill="auto"/>
          </w:tcPr>
          <w:p w14:paraId="6DB873CB" w14:textId="77777777" w:rsidR="008F59A8" w:rsidRPr="00183E4D" w:rsidRDefault="008F59A8" w:rsidP="004C79C1">
            <w:pPr>
              <w:pStyle w:val="Sub-title"/>
              <w:spacing w:after="120" w:line="240" w:lineRule="auto"/>
              <w:jc w:val="both"/>
            </w:pPr>
          </w:p>
        </w:tc>
        <w:tc>
          <w:tcPr>
            <w:tcW w:w="4678" w:type="dxa"/>
            <w:shd w:val="clear" w:color="auto" w:fill="auto"/>
          </w:tcPr>
          <w:p w14:paraId="583F22FD" w14:textId="2C6464A0" w:rsidR="006D587E" w:rsidRPr="00337B19" w:rsidRDefault="008F59A8" w:rsidP="004C79C1">
            <w:pPr>
              <w:pStyle w:val="Sub-title"/>
              <w:spacing w:after="120" w:line="240" w:lineRule="auto"/>
              <w:jc w:val="both"/>
            </w:pPr>
            <w:r w:rsidRPr="00183E4D">
              <w:t xml:space="preserve">MSAC </w:t>
            </w:r>
            <w:r w:rsidR="004F36F5">
              <w:t>A</w:t>
            </w:r>
            <w:r w:rsidRPr="00183E4D">
              <w:t xml:space="preserve">pplication </w:t>
            </w:r>
            <w:r w:rsidR="001C3A68" w:rsidRPr="00183E4D">
              <w:t>no</w:t>
            </w:r>
            <w:r w:rsidR="00DB1DDF" w:rsidRPr="00183E4D">
              <w:t>.</w:t>
            </w:r>
            <w:r w:rsidR="000608EE">
              <w:t xml:space="preserve"> 1393</w:t>
            </w:r>
          </w:p>
          <w:p w14:paraId="092E21A6" w14:textId="77777777" w:rsidR="008F59A8" w:rsidRDefault="008F59A8" w:rsidP="004C79C1">
            <w:pPr>
              <w:pStyle w:val="Sub-title"/>
              <w:spacing w:after="120" w:line="240" w:lineRule="auto"/>
              <w:jc w:val="both"/>
            </w:pPr>
            <w:r w:rsidRPr="00183E4D">
              <w:br/>
            </w:r>
            <w:r w:rsidR="00E0760E" w:rsidRPr="00183E4D">
              <w:t>A</w:t>
            </w:r>
            <w:r w:rsidRPr="00183E4D">
              <w:t>ssessment report</w:t>
            </w:r>
            <w:r w:rsidR="00DE5DA2">
              <w:t xml:space="preserve"> </w:t>
            </w:r>
          </w:p>
          <w:p w14:paraId="49CD99B2" w14:textId="77777777" w:rsidR="00DE5DA2" w:rsidRPr="00183E4D" w:rsidRDefault="00DE5DA2" w:rsidP="004C79C1">
            <w:pPr>
              <w:pStyle w:val="Sub-title"/>
              <w:spacing w:after="120" w:line="240" w:lineRule="auto"/>
              <w:jc w:val="both"/>
              <w:rPr>
                <w:i/>
              </w:rPr>
            </w:pPr>
          </w:p>
        </w:tc>
      </w:tr>
    </w:tbl>
    <w:p w14:paraId="3C121AE5" w14:textId="77777777" w:rsidR="003A7C8F" w:rsidRPr="00183E4D" w:rsidRDefault="003A7C8F" w:rsidP="004C79C1">
      <w:pPr>
        <w:autoSpaceDE w:val="0"/>
        <w:autoSpaceDN w:val="0"/>
        <w:adjustRightInd w:val="0"/>
        <w:spacing w:after="120" w:line="240" w:lineRule="auto"/>
        <w:jc w:val="both"/>
      </w:pPr>
    </w:p>
    <w:p w14:paraId="1D9E97A3" w14:textId="77777777" w:rsidR="003A7C8F" w:rsidRPr="00183E4D" w:rsidRDefault="003A7C8F" w:rsidP="004C79C1">
      <w:pPr>
        <w:autoSpaceDE w:val="0"/>
        <w:autoSpaceDN w:val="0"/>
        <w:adjustRightInd w:val="0"/>
        <w:spacing w:after="120" w:line="240" w:lineRule="auto"/>
        <w:jc w:val="both"/>
      </w:pPr>
    </w:p>
    <w:p w14:paraId="682C16E3" w14:textId="77777777" w:rsidR="003A7C8F" w:rsidRPr="00183E4D" w:rsidRDefault="003A7C8F" w:rsidP="004C79C1">
      <w:pPr>
        <w:spacing w:after="120" w:line="240" w:lineRule="auto"/>
        <w:jc w:val="both"/>
      </w:pPr>
      <w:r w:rsidRPr="00183E4D">
        <w:br w:type="page"/>
      </w:r>
    </w:p>
    <w:p w14:paraId="5DAECB28" w14:textId="250BAF5C" w:rsidR="000608EE" w:rsidRPr="00FC79BA" w:rsidRDefault="000608EE" w:rsidP="004C79C1">
      <w:pPr>
        <w:autoSpaceDE w:val="0"/>
        <w:autoSpaceDN w:val="0"/>
        <w:adjustRightInd w:val="0"/>
        <w:spacing w:before="240" w:after="120" w:line="240" w:lineRule="auto"/>
        <w:rPr>
          <w:b/>
          <w:bCs/>
          <w:color w:val="000000"/>
          <w:sz w:val="20"/>
          <w:szCs w:val="20"/>
          <w:lang w:eastAsia="zh-TW"/>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sidRPr="00FC79BA">
        <w:rPr>
          <w:b/>
          <w:bCs/>
          <w:color w:val="000000"/>
          <w:sz w:val="20"/>
          <w:szCs w:val="20"/>
          <w:lang w:eastAsia="zh-TW"/>
        </w:rPr>
        <w:lastRenderedPageBreak/>
        <w:t>© Commonwealth of Australia 20</w:t>
      </w:r>
      <w:r w:rsidR="00D74842" w:rsidRPr="00A02A8A">
        <w:rPr>
          <w:b/>
          <w:bCs/>
          <w:color w:val="000000"/>
          <w:sz w:val="20"/>
          <w:szCs w:val="20"/>
          <w:lang w:eastAsia="zh-TW"/>
        </w:rPr>
        <w:t>16</w:t>
      </w:r>
    </w:p>
    <w:p w14:paraId="51167005" w14:textId="227513A9" w:rsidR="000608EE" w:rsidRPr="00FC79BA" w:rsidRDefault="000608EE" w:rsidP="004C79C1">
      <w:pPr>
        <w:autoSpaceDE w:val="0"/>
        <w:autoSpaceDN w:val="0"/>
        <w:adjustRightInd w:val="0"/>
        <w:spacing w:before="240" w:after="120" w:line="240" w:lineRule="auto"/>
        <w:rPr>
          <w:b/>
          <w:bCs/>
          <w:sz w:val="20"/>
          <w:szCs w:val="20"/>
          <w:lang w:eastAsia="zh-TW"/>
        </w:rPr>
      </w:pPr>
      <w:r w:rsidRPr="00FC79BA">
        <w:rPr>
          <w:b/>
          <w:bCs/>
          <w:color w:val="000000"/>
          <w:sz w:val="20"/>
          <w:szCs w:val="20"/>
          <w:lang w:eastAsia="zh-TW"/>
        </w:rPr>
        <w:t>ISBN (</w:t>
      </w:r>
      <w:r w:rsidR="00DC0F06">
        <w:rPr>
          <w:b/>
          <w:bCs/>
          <w:color w:val="000000"/>
          <w:sz w:val="20"/>
          <w:szCs w:val="20"/>
          <w:lang w:eastAsia="zh-TW"/>
        </w:rPr>
        <w:t>o</w:t>
      </w:r>
      <w:r w:rsidRPr="00FC79BA">
        <w:rPr>
          <w:b/>
          <w:bCs/>
          <w:color w:val="000000"/>
          <w:sz w:val="20"/>
          <w:szCs w:val="20"/>
          <w:lang w:eastAsia="zh-TW"/>
        </w:rPr>
        <w:t xml:space="preserve">nline) </w:t>
      </w:r>
      <w:r w:rsidRPr="00FC79BA">
        <w:rPr>
          <w:b/>
          <w:bCs/>
          <w:color w:val="000000"/>
          <w:sz w:val="20"/>
          <w:szCs w:val="20"/>
          <w:highlight w:val="cyan"/>
          <w:lang w:eastAsia="zh-TW"/>
        </w:rPr>
        <w:t>TBA</w:t>
      </w:r>
      <w:r>
        <w:rPr>
          <w:b/>
          <w:bCs/>
          <w:color w:val="000000"/>
          <w:sz w:val="20"/>
          <w:szCs w:val="20"/>
          <w:lang w:eastAsia="zh-TW"/>
        </w:rPr>
        <w:t xml:space="preserve"> </w:t>
      </w:r>
    </w:p>
    <w:p w14:paraId="4205E214" w14:textId="00800374" w:rsidR="000608EE" w:rsidRPr="00FC79BA" w:rsidRDefault="000608EE" w:rsidP="004C79C1">
      <w:pPr>
        <w:autoSpaceDE w:val="0"/>
        <w:autoSpaceDN w:val="0"/>
        <w:adjustRightInd w:val="0"/>
        <w:spacing w:before="240" w:after="120" w:line="240" w:lineRule="auto"/>
        <w:rPr>
          <w:b/>
          <w:bCs/>
          <w:color w:val="000000"/>
          <w:sz w:val="20"/>
          <w:szCs w:val="20"/>
          <w:lang w:eastAsia="zh-TW"/>
        </w:rPr>
      </w:pPr>
      <w:r w:rsidRPr="00FC79BA">
        <w:rPr>
          <w:b/>
          <w:bCs/>
          <w:color w:val="000000"/>
          <w:sz w:val="20"/>
          <w:szCs w:val="20"/>
          <w:lang w:eastAsia="zh-TW"/>
        </w:rPr>
        <w:t>ISSN (</w:t>
      </w:r>
      <w:r w:rsidR="00DC0F06">
        <w:rPr>
          <w:b/>
          <w:bCs/>
          <w:color w:val="000000"/>
          <w:sz w:val="20"/>
          <w:szCs w:val="20"/>
          <w:lang w:eastAsia="zh-TW"/>
        </w:rPr>
        <w:t>o</w:t>
      </w:r>
      <w:r w:rsidRPr="00FC79BA">
        <w:rPr>
          <w:b/>
          <w:bCs/>
          <w:color w:val="000000"/>
          <w:sz w:val="20"/>
          <w:szCs w:val="20"/>
          <w:lang w:eastAsia="zh-TW"/>
        </w:rPr>
        <w:t>nline) 1443-7139</w:t>
      </w:r>
    </w:p>
    <w:p w14:paraId="16D7609A" w14:textId="6F9350B9" w:rsidR="000608EE" w:rsidRPr="00FC79BA" w:rsidRDefault="000608EE" w:rsidP="004C79C1">
      <w:pPr>
        <w:autoSpaceDE w:val="0"/>
        <w:autoSpaceDN w:val="0"/>
        <w:adjustRightInd w:val="0"/>
        <w:spacing w:before="240" w:after="120" w:line="240" w:lineRule="auto"/>
        <w:rPr>
          <w:b/>
          <w:bCs/>
          <w:color w:val="000000"/>
          <w:sz w:val="20"/>
          <w:szCs w:val="20"/>
          <w:lang w:eastAsia="zh-TW"/>
        </w:rPr>
      </w:pPr>
      <w:r w:rsidRPr="00FC79BA">
        <w:rPr>
          <w:b/>
          <w:bCs/>
          <w:color w:val="000000"/>
          <w:sz w:val="20"/>
          <w:szCs w:val="20"/>
          <w:lang w:eastAsia="zh-TW"/>
        </w:rPr>
        <w:t xml:space="preserve">Internet site </w:t>
      </w:r>
      <w:r w:rsidR="00227713">
        <w:rPr>
          <w:color w:val="0000FF"/>
          <w:sz w:val="20"/>
          <w:szCs w:val="20"/>
          <w:u w:val="single"/>
          <w:lang w:eastAsia="zh-TW"/>
        </w:rPr>
        <w:t>www.msac.gov.au</w:t>
      </w:r>
    </w:p>
    <w:p w14:paraId="5C077936" w14:textId="5CE0D1FD" w:rsidR="000608EE" w:rsidRPr="00FC79BA" w:rsidRDefault="000608EE" w:rsidP="004C79C1">
      <w:pPr>
        <w:autoSpaceDE w:val="0"/>
        <w:autoSpaceDN w:val="0"/>
        <w:adjustRightInd w:val="0"/>
        <w:spacing w:before="240" w:after="120" w:line="240" w:lineRule="auto"/>
        <w:jc w:val="both"/>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w:t>
      </w:r>
      <w:r w:rsidRPr="002B7CEB">
        <w:rPr>
          <w:i/>
          <w:color w:val="000000"/>
          <w:sz w:val="20"/>
          <w:szCs w:val="20"/>
        </w:rPr>
        <w:t>Copyright Act 1968</w:t>
      </w:r>
      <w:r w:rsidRPr="00FC79BA">
        <w:rPr>
          <w:color w:val="000000"/>
          <w:sz w:val="20"/>
          <w:szCs w:val="20"/>
        </w:rPr>
        <w:t xml:space="preserve">, all other rights are reserved. Requests and </w:t>
      </w:r>
      <w:r w:rsidR="00DC0F06">
        <w:rPr>
          <w:color w:val="000000"/>
          <w:sz w:val="20"/>
          <w:szCs w:val="20"/>
        </w:rPr>
        <w:t>e</w:t>
      </w:r>
      <w:r w:rsidRPr="00FC79BA">
        <w:rPr>
          <w:color w:val="000000"/>
          <w:sz w:val="20"/>
          <w:szCs w:val="20"/>
        </w:rPr>
        <w:t>nquiries concerning reproduction and rights should be addressed to Commonwealth Copyright Administration, Attorney-General's Department, Robert Garran Offices, National Circuit, Barton ACT 2600</w:t>
      </w:r>
      <w:r w:rsidR="00DC0F06">
        <w:rPr>
          <w:color w:val="000000"/>
          <w:sz w:val="20"/>
          <w:szCs w:val="20"/>
        </w:rPr>
        <w:t>,</w:t>
      </w:r>
      <w:r w:rsidRPr="00FC79BA">
        <w:rPr>
          <w:color w:val="000000"/>
          <w:sz w:val="20"/>
          <w:szCs w:val="20"/>
        </w:rPr>
        <w:t xml:space="preserve"> or posted at </w:t>
      </w:r>
      <w:r w:rsidR="00227713">
        <w:rPr>
          <w:color w:val="0000FF"/>
          <w:sz w:val="20"/>
          <w:szCs w:val="20"/>
          <w:u w:val="single"/>
          <w:lang w:eastAsia="zh-TW"/>
        </w:rPr>
        <w:t>www.ag.gov.au</w:t>
      </w:r>
      <w:r w:rsidRPr="00FC79BA">
        <w:rPr>
          <w:color w:val="0000FF"/>
          <w:sz w:val="20"/>
          <w:szCs w:val="20"/>
          <w:lang w:eastAsia="zh-TW"/>
        </w:rPr>
        <w:t>.</w:t>
      </w:r>
    </w:p>
    <w:p w14:paraId="27743A85" w14:textId="192DCCA3" w:rsidR="000608EE" w:rsidRPr="00FC79BA" w:rsidRDefault="000608EE" w:rsidP="004C79C1">
      <w:pPr>
        <w:autoSpaceDE w:val="0"/>
        <w:autoSpaceDN w:val="0"/>
        <w:adjustRightInd w:val="0"/>
        <w:spacing w:before="240" w:after="120" w:line="240" w:lineRule="auto"/>
        <w:jc w:val="both"/>
        <w:rPr>
          <w:color w:val="1B1B1B"/>
          <w:sz w:val="20"/>
          <w:szCs w:val="20"/>
        </w:rPr>
      </w:pPr>
      <w:r w:rsidRPr="00FC79BA">
        <w:rPr>
          <w:color w:val="000000"/>
          <w:sz w:val="20"/>
          <w:szCs w:val="20"/>
          <w:lang w:eastAsia="zh-TW"/>
        </w:rPr>
        <w:t xml:space="preserve">Electronic copies of the report can be obtained from the Medical Service Advisory Committee’s </w:t>
      </w:r>
      <w:r w:rsidR="00DC0F06">
        <w:rPr>
          <w:color w:val="000000"/>
          <w:sz w:val="20"/>
          <w:szCs w:val="20"/>
          <w:lang w:eastAsia="zh-TW"/>
        </w:rPr>
        <w:t>i</w:t>
      </w:r>
      <w:r w:rsidRPr="00FC79BA">
        <w:rPr>
          <w:color w:val="000000"/>
          <w:sz w:val="20"/>
          <w:szCs w:val="20"/>
          <w:lang w:eastAsia="zh-TW"/>
        </w:rPr>
        <w:t>nternet site at</w:t>
      </w:r>
      <w:r w:rsidRPr="00FC79BA">
        <w:rPr>
          <w:sz w:val="20"/>
          <w:szCs w:val="20"/>
          <w:lang w:eastAsia="zh-TW"/>
        </w:rPr>
        <w:t xml:space="preserve"> </w:t>
      </w:r>
      <w:r w:rsidR="00227713">
        <w:rPr>
          <w:color w:val="0000FF"/>
          <w:sz w:val="20"/>
          <w:szCs w:val="20"/>
          <w:u w:val="single"/>
          <w:lang w:eastAsia="zh-TW"/>
        </w:rPr>
        <w:t>www.msac.gov.au</w:t>
      </w:r>
      <w:r w:rsidR="00DC0F06">
        <w:rPr>
          <w:color w:val="0000FF"/>
          <w:sz w:val="20"/>
          <w:szCs w:val="20"/>
          <w:u w:val="single"/>
          <w:lang w:eastAsia="zh-TW"/>
        </w:rPr>
        <w:t>.</w:t>
      </w:r>
    </w:p>
    <w:p w14:paraId="5D865E57" w14:textId="77777777" w:rsidR="000608EE" w:rsidRPr="00FC79BA" w:rsidRDefault="000608EE" w:rsidP="004C79C1">
      <w:pPr>
        <w:autoSpaceDE w:val="0"/>
        <w:autoSpaceDN w:val="0"/>
        <w:adjustRightInd w:val="0"/>
        <w:spacing w:before="240" w:after="120" w:line="240" w:lineRule="auto"/>
        <w:jc w:val="both"/>
        <w:rPr>
          <w:color w:val="000000"/>
          <w:sz w:val="20"/>
          <w:szCs w:val="20"/>
        </w:rPr>
      </w:pPr>
      <w:r w:rsidRPr="00FC79BA">
        <w:rPr>
          <w:color w:val="000000"/>
          <w:sz w:val="20"/>
          <w:szCs w:val="20"/>
        </w:rPr>
        <w:t xml:space="preserve">Enquiries about the content of the report should be emailed to </w:t>
      </w:r>
      <w:hyperlink r:id="rId9" w:history="1">
        <w:r w:rsidRPr="00FC79BA">
          <w:rPr>
            <w:color w:val="0000FF"/>
            <w:sz w:val="20"/>
            <w:szCs w:val="20"/>
            <w:u w:val="single"/>
          </w:rPr>
          <w:t>hta@health.gov.au</w:t>
        </w:r>
      </w:hyperlink>
      <w:r w:rsidRPr="00FC79BA">
        <w:rPr>
          <w:color w:val="000000"/>
          <w:sz w:val="20"/>
          <w:szCs w:val="20"/>
        </w:rPr>
        <w:t>.</w:t>
      </w:r>
    </w:p>
    <w:p w14:paraId="12AA4EC6" w14:textId="77777777" w:rsidR="000608EE" w:rsidRPr="00FC79BA" w:rsidRDefault="000608EE" w:rsidP="004C79C1">
      <w:pPr>
        <w:autoSpaceDE w:val="0"/>
        <w:autoSpaceDN w:val="0"/>
        <w:adjustRightInd w:val="0"/>
        <w:spacing w:before="240" w:after="120" w:line="240" w:lineRule="auto"/>
        <w:jc w:val="both"/>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60F45171" w14:textId="77777777" w:rsidR="000608EE" w:rsidRPr="00FC79BA" w:rsidRDefault="000608EE" w:rsidP="004C79C1">
      <w:pPr>
        <w:autoSpaceDE w:val="0"/>
        <w:autoSpaceDN w:val="0"/>
        <w:adjustRightInd w:val="0"/>
        <w:spacing w:before="240" w:after="120" w:line="240" w:lineRule="auto"/>
        <w:jc w:val="both"/>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3B091163" w14:textId="6E2D7EC8" w:rsidR="000608EE" w:rsidRPr="00FC79BA" w:rsidRDefault="00AF6803" w:rsidP="004C79C1">
      <w:pPr>
        <w:autoSpaceDE w:val="0"/>
        <w:autoSpaceDN w:val="0"/>
        <w:adjustRightInd w:val="0"/>
        <w:spacing w:before="240" w:after="120" w:line="240" w:lineRule="auto"/>
        <w:jc w:val="both"/>
        <w:rPr>
          <w:sz w:val="20"/>
          <w:szCs w:val="20"/>
        </w:rPr>
      </w:pPr>
      <w:r>
        <w:rPr>
          <w:sz w:val="20"/>
          <w:szCs w:val="20"/>
        </w:rPr>
        <w:t>This report was prepared by Ms Sharon Kessels, Dr Ruchi Mittal, Dr Judy Morona, Ms Skye Newton, Mr Ben Ellery, Ms Joanne Milverton, Ms Jacqueline Parsons, Ms Arlene Vogan, Ms Camille Schubert and Assoc. Prof. Tracy Merlin</w:t>
      </w:r>
      <w:r w:rsidR="000608EE" w:rsidRPr="00FC79BA">
        <w:rPr>
          <w:sz w:val="20"/>
          <w:szCs w:val="20"/>
        </w:rPr>
        <w:t xml:space="preserve"> from </w:t>
      </w:r>
      <w:r w:rsidRPr="0026748C">
        <w:rPr>
          <w:sz w:val="20"/>
          <w:szCs w:val="20"/>
        </w:rPr>
        <w:t>Adelaide Health Technology Assessment (AHTA), University of Adelaide</w:t>
      </w:r>
      <w:r w:rsidR="000608EE" w:rsidRPr="00FC79BA">
        <w:rPr>
          <w:sz w:val="20"/>
          <w:szCs w:val="20"/>
        </w:rPr>
        <w:t>. Clinical advice was provided</w:t>
      </w:r>
      <w:r>
        <w:rPr>
          <w:sz w:val="20"/>
          <w:szCs w:val="20"/>
        </w:rPr>
        <w:t xml:space="preserve"> by Dr John Younger, </w:t>
      </w:r>
      <w:r w:rsidR="00441E63">
        <w:rPr>
          <w:sz w:val="20"/>
          <w:szCs w:val="20"/>
        </w:rPr>
        <w:t xml:space="preserve">Assoc. </w:t>
      </w:r>
      <w:r>
        <w:rPr>
          <w:sz w:val="20"/>
          <w:szCs w:val="20"/>
        </w:rPr>
        <w:t>Prof</w:t>
      </w:r>
      <w:r w:rsidR="00441E63">
        <w:rPr>
          <w:sz w:val="20"/>
          <w:szCs w:val="20"/>
        </w:rPr>
        <w:t>.</w:t>
      </w:r>
      <w:r>
        <w:rPr>
          <w:sz w:val="20"/>
          <w:szCs w:val="20"/>
        </w:rPr>
        <w:t xml:space="preserve"> John Atherton and </w:t>
      </w:r>
      <w:r w:rsidR="00441E63">
        <w:rPr>
          <w:sz w:val="20"/>
          <w:szCs w:val="20"/>
        </w:rPr>
        <w:t xml:space="preserve">Assoc. </w:t>
      </w:r>
      <w:r>
        <w:rPr>
          <w:sz w:val="20"/>
          <w:szCs w:val="20"/>
        </w:rPr>
        <w:t>Prof</w:t>
      </w:r>
      <w:r w:rsidR="00441E63">
        <w:rPr>
          <w:sz w:val="20"/>
          <w:szCs w:val="20"/>
        </w:rPr>
        <w:t>.</w:t>
      </w:r>
      <w:r>
        <w:rPr>
          <w:sz w:val="20"/>
          <w:szCs w:val="20"/>
        </w:rPr>
        <w:t xml:space="preserve"> Andrew Taylor</w:t>
      </w:r>
      <w:r w:rsidR="000608EE" w:rsidRPr="00FC79BA">
        <w:rPr>
          <w:sz w:val="20"/>
          <w:szCs w:val="20"/>
        </w:rPr>
        <w:t xml:space="preserve">. The report was commissioned by the Australian Government Department of Health. It was edited by </w:t>
      </w:r>
      <w:r w:rsidR="009D6530">
        <w:rPr>
          <w:sz w:val="20"/>
          <w:szCs w:val="20"/>
        </w:rPr>
        <w:t>Jo Mason of MasonEdit, Adelaide.</w:t>
      </w:r>
    </w:p>
    <w:p w14:paraId="4B249967" w14:textId="77777777" w:rsidR="000608EE" w:rsidRPr="00FC79BA" w:rsidRDefault="000608EE" w:rsidP="004C79C1">
      <w:pPr>
        <w:autoSpaceDE w:val="0"/>
        <w:autoSpaceDN w:val="0"/>
        <w:adjustRightInd w:val="0"/>
        <w:spacing w:before="240" w:after="120" w:line="240" w:lineRule="auto"/>
        <w:rPr>
          <w:rFonts w:cs="Humanist521BT-Roman"/>
          <w:color w:val="231F20"/>
          <w:sz w:val="20"/>
          <w:szCs w:val="20"/>
        </w:rPr>
      </w:pPr>
      <w:r w:rsidRPr="00FC79BA">
        <w:rPr>
          <w:rFonts w:cs="Humanist521BT-Roman"/>
          <w:color w:val="231F20"/>
          <w:sz w:val="20"/>
          <w:szCs w:val="20"/>
        </w:rPr>
        <w:t>The suggested citation for this document is:</w:t>
      </w:r>
    </w:p>
    <w:p w14:paraId="5540007D" w14:textId="785A6984" w:rsidR="000608EE" w:rsidRPr="00FC79BA" w:rsidRDefault="00AF6803" w:rsidP="004C79C1">
      <w:pPr>
        <w:autoSpaceDE w:val="0"/>
        <w:autoSpaceDN w:val="0"/>
        <w:adjustRightInd w:val="0"/>
        <w:spacing w:before="240" w:after="120" w:line="240" w:lineRule="auto"/>
        <w:jc w:val="both"/>
        <w:rPr>
          <w:sz w:val="20"/>
          <w:szCs w:val="20"/>
        </w:rPr>
      </w:pPr>
      <w:r>
        <w:rPr>
          <w:sz w:val="20"/>
          <w:szCs w:val="20"/>
        </w:rPr>
        <w:t xml:space="preserve">Kessels S, Mittal R, Morona J, Newton S, Ellery B, Milverton J, Parsons J, Vogan A, Schubert C </w:t>
      </w:r>
      <w:r w:rsidR="00474949">
        <w:rPr>
          <w:sz w:val="20"/>
          <w:szCs w:val="20"/>
        </w:rPr>
        <w:t xml:space="preserve">and </w:t>
      </w:r>
      <w:r>
        <w:rPr>
          <w:sz w:val="20"/>
          <w:szCs w:val="20"/>
        </w:rPr>
        <w:t>Merlin T</w:t>
      </w:r>
      <w:r w:rsidR="000608EE" w:rsidRPr="00FC79BA">
        <w:rPr>
          <w:sz w:val="20"/>
          <w:szCs w:val="20"/>
        </w:rPr>
        <w:t xml:space="preserve"> (20</w:t>
      </w:r>
      <w:r w:rsidRPr="00AF6803">
        <w:rPr>
          <w:sz w:val="20"/>
          <w:szCs w:val="20"/>
        </w:rPr>
        <w:t>16</w:t>
      </w:r>
      <w:r w:rsidR="000608EE" w:rsidRPr="00FC79BA">
        <w:rPr>
          <w:sz w:val="20"/>
          <w:szCs w:val="20"/>
        </w:rPr>
        <w:t xml:space="preserve">). </w:t>
      </w:r>
      <w:r>
        <w:rPr>
          <w:i/>
          <w:sz w:val="20"/>
          <w:szCs w:val="20"/>
        </w:rPr>
        <w:t xml:space="preserve">Magnetic </w:t>
      </w:r>
      <w:r w:rsidR="009416FF">
        <w:rPr>
          <w:i/>
          <w:sz w:val="20"/>
          <w:szCs w:val="20"/>
        </w:rPr>
        <w:t>r</w:t>
      </w:r>
      <w:r>
        <w:rPr>
          <w:i/>
          <w:sz w:val="20"/>
          <w:szCs w:val="20"/>
        </w:rPr>
        <w:t xml:space="preserve">esonance </w:t>
      </w:r>
      <w:r w:rsidR="009416FF">
        <w:rPr>
          <w:i/>
          <w:sz w:val="20"/>
          <w:szCs w:val="20"/>
        </w:rPr>
        <w:t>i</w:t>
      </w:r>
      <w:r>
        <w:rPr>
          <w:i/>
          <w:sz w:val="20"/>
          <w:szCs w:val="20"/>
        </w:rPr>
        <w:t xml:space="preserve">maging of patients with suspected (non-ischaemic) dilated cardiomyopathies. </w:t>
      </w:r>
      <w:r w:rsidR="000608EE" w:rsidRPr="00FC79BA">
        <w:rPr>
          <w:sz w:val="20"/>
          <w:szCs w:val="20"/>
        </w:rPr>
        <w:t xml:space="preserve">MSAC Application </w:t>
      </w:r>
      <w:r w:rsidR="001F55DA">
        <w:rPr>
          <w:sz w:val="20"/>
          <w:szCs w:val="20"/>
        </w:rPr>
        <w:t>no.</w:t>
      </w:r>
      <w:r w:rsidR="00474949">
        <w:rPr>
          <w:sz w:val="20"/>
          <w:szCs w:val="20"/>
        </w:rPr>
        <w:t xml:space="preserve"> </w:t>
      </w:r>
      <w:r>
        <w:rPr>
          <w:sz w:val="20"/>
          <w:szCs w:val="20"/>
        </w:rPr>
        <w:t>1393</w:t>
      </w:r>
      <w:r w:rsidR="000608EE" w:rsidRPr="00FC79BA">
        <w:rPr>
          <w:sz w:val="20"/>
          <w:szCs w:val="20"/>
        </w:rPr>
        <w:t xml:space="preserve">, Assessment Report. </w:t>
      </w:r>
      <w:proofErr w:type="gramStart"/>
      <w:r w:rsidR="000608EE" w:rsidRPr="00FC79BA">
        <w:rPr>
          <w:sz w:val="20"/>
          <w:szCs w:val="20"/>
        </w:rPr>
        <w:t>Commonwealth of Australia, Canberra, ACT.</w:t>
      </w:r>
      <w:proofErr w:type="gramEnd"/>
    </w:p>
    <w:p w14:paraId="069F469E" w14:textId="2407F463" w:rsidR="004C6CA6" w:rsidRPr="00183E4D" w:rsidRDefault="00477DD0" w:rsidP="004C79C1">
      <w:pPr>
        <w:spacing w:before="240" w:after="120" w:line="240" w:lineRule="auto"/>
        <w:jc w:val="both"/>
        <w:rPr>
          <w:sz w:val="20"/>
          <w:szCs w:val="20"/>
        </w:rPr>
      </w:pPr>
      <w:r>
        <w:rPr>
          <w:rFonts w:ascii="Times New Roman" w:hAnsi="Times New Roman" w:cs="Times New Roman"/>
          <w:noProof/>
          <w:sz w:val="24"/>
          <w:szCs w:val="24"/>
        </w:rPr>
        <w:drawing>
          <wp:inline distT="0" distB="0" distL="0" distR="0" wp14:anchorId="60373D79" wp14:editId="423E3E0C">
            <wp:extent cx="2417445" cy="1542415"/>
            <wp:effectExtent l="0" t="0" r="1905" b="635"/>
            <wp:docPr id="32" name="Picture 32" descr="IPT Mark_HTA report_un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T Mark_HTA report_unverifi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7445" cy="1542415"/>
                    </a:xfrm>
                    <a:prstGeom prst="rect">
                      <a:avLst/>
                    </a:prstGeom>
                    <a:noFill/>
                    <a:ln>
                      <a:noFill/>
                    </a:ln>
                  </pic:spPr>
                </pic:pic>
              </a:graphicData>
            </a:graphic>
          </wp:inline>
        </w:drawing>
      </w:r>
    </w:p>
    <w:p w14:paraId="2764D9D1" w14:textId="77777777" w:rsidR="004C6CA6" w:rsidRPr="00183E4D" w:rsidRDefault="004C6CA6" w:rsidP="004C79C1">
      <w:pPr>
        <w:spacing w:after="120" w:line="240" w:lineRule="auto"/>
        <w:jc w:val="both"/>
        <w:sectPr w:rsidR="004C6CA6" w:rsidRPr="00183E4D" w:rsidSect="0080059D">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578" w:footer="578" w:gutter="0"/>
          <w:pgNumType w:fmt="lowerRoman" w:start="1"/>
          <w:cols w:space="720"/>
          <w:noEndnote/>
          <w:titlePg/>
        </w:sectPr>
      </w:pPr>
    </w:p>
    <w:p w14:paraId="6304E62A" w14:textId="77777777" w:rsidR="008F59A8" w:rsidRPr="0040534D" w:rsidRDefault="008F59A8" w:rsidP="004C79C1">
      <w:pPr>
        <w:pStyle w:val="Heading1"/>
        <w:spacing w:after="120" w:line="240" w:lineRule="auto"/>
      </w:pPr>
      <w:bookmarkStart w:id="14" w:name="_Toc395200735"/>
      <w:bookmarkStart w:id="15" w:name="_Toc399247190"/>
      <w:bookmarkStart w:id="16" w:name="_Toc451501052"/>
      <w:bookmarkStart w:id="17" w:name="_Toc451501252"/>
      <w:r w:rsidRPr="002B7CEB">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71381" w:rsidRPr="002B7CEB">
        <w:tab/>
      </w:r>
    </w:p>
    <w:sdt>
      <w:sdtPr>
        <w:rPr>
          <w:b w:val="0"/>
          <w:noProof w:val="0"/>
        </w:rPr>
        <w:id w:val="-520391811"/>
        <w:docPartObj>
          <w:docPartGallery w:val="Table of Contents"/>
          <w:docPartUnique/>
        </w:docPartObj>
      </w:sdtPr>
      <w:sdtEndPr>
        <w:rPr>
          <w:bCs/>
        </w:rPr>
      </w:sdtEndPr>
      <w:sdtContent>
        <w:p w14:paraId="6171F00A" w14:textId="77700F5C" w:rsidR="00DE65AE" w:rsidRDefault="00822558" w:rsidP="004C79C1">
          <w:pPr>
            <w:pStyle w:val="TOC1"/>
            <w:spacing w:before="0" w:after="120" w:line="240" w:lineRule="auto"/>
            <w:ind w:firstLine="851"/>
            <w:rPr>
              <w:rFonts w:asciiTheme="minorHAnsi" w:eastAsiaTheme="minorEastAsia" w:hAnsiTheme="minorHAnsi" w:cstheme="minorBidi"/>
            </w:rPr>
          </w:pPr>
          <w:r>
            <w:fldChar w:fldCharType="begin"/>
          </w:r>
          <w:r>
            <w:instrText xml:space="preserve"> TOC \o "1-3" \h \z \u </w:instrText>
          </w:r>
          <w:r>
            <w:fldChar w:fldCharType="separate"/>
          </w:r>
          <w:hyperlink w:anchor="_Toc451501253" w:history="1">
            <w:r w:rsidR="00DE65AE" w:rsidRPr="00DA259B">
              <w:rPr>
                <w:rStyle w:val="Hyperlink"/>
                <w:b w:val="0"/>
              </w:rPr>
              <w:t>Tables</w:t>
            </w:r>
            <w:r w:rsidR="00DE65AE" w:rsidRPr="00DA259B">
              <w:rPr>
                <w:b w:val="0"/>
                <w:webHidden/>
              </w:rPr>
              <w:tab/>
            </w:r>
            <w:r w:rsidR="00DE65AE" w:rsidRPr="00DA259B">
              <w:rPr>
                <w:b w:val="0"/>
                <w:webHidden/>
              </w:rPr>
              <w:fldChar w:fldCharType="begin"/>
            </w:r>
            <w:r w:rsidR="00DE65AE" w:rsidRPr="00DA259B">
              <w:rPr>
                <w:b w:val="0"/>
                <w:webHidden/>
              </w:rPr>
              <w:instrText xml:space="preserve"> PAGEREF _Toc451501253 \h </w:instrText>
            </w:r>
            <w:r w:rsidR="00DE65AE" w:rsidRPr="00DA259B">
              <w:rPr>
                <w:b w:val="0"/>
                <w:webHidden/>
              </w:rPr>
            </w:r>
            <w:r w:rsidR="00DE65AE" w:rsidRPr="00DA259B">
              <w:rPr>
                <w:b w:val="0"/>
                <w:webHidden/>
              </w:rPr>
              <w:fldChar w:fldCharType="separate"/>
            </w:r>
            <w:r w:rsidR="00054ED4">
              <w:rPr>
                <w:b w:val="0"/>
                <w:webHidden/>
              </w:rPr>
              <w:t>10</w:t>
            </w:r>
            <w:r w:rsidR="00DE65AE" w:rsidRPr="00DA259B">
              <w:rPr>
                <w:b w:val="0"/>
                <w:webHidden/>
              </w:rPr>
              <w:fldChar w:fldCharType="end"/>
            </w:r>
          </w:hyperlink>
        </w:p>
        <w:p w14:paraId="6B129AC7" w14:textId="77777777" w:rsidR="00DE65AE" w:rsidRDefault="00CD4AC5" w:rsidP="004C79C1">
          <w:pPr>
            <w:pStyle w:val="TOC2"/>
            <w:spacing w:after="120" w:line="240" w:lineRule="auto"/>
            <w:rPr>
              <w:rFonts w:asciiTheme="minorHAnsi" w:eastAsiaTheme="minorEastAsia" w:hAnsiTheme="minorHAnsi" w:cstheme="minorBidi"/>
            </w:rPr>
          </w:pPr>
          <w:hyperlink w:anchor="_Toc451501254" w:history="1">
            <w:r w:rsidR="00DE65AE" w:rsidRPr="003E51D2">
              <w:rPr>
                <w:rStyle w:val="Hyperlink"/>
              </w:rPr>
              <w:t>Boxes</w:t>
            </w:r>
            <w:r w:rsidR="00DE65AE">
              <w:rPr>
                <w:webHidden/>
              </w:rPr>
              <w:tab/>
            </w:r>
            <w:r w:rsidR="00DE65AE">
              <w:rPr>
                <w:webHidden/>
              </w:rPr>
              <w:fldChar w:fldCharType="begin"/>
            </w:r>
            <w:r w:rsidR="00DE65AE">
              <w:rPr>
                <w:webHidden/>
              </w:rPr>
              <w:instrText xml:space="preserve"> PAGEREF _Toc451501254 \h </w:instrText>
            </w:r>
            <w:r w:rsidR="00DE65AE">
              <w:rPr>
                <w:webHidden/>
              </w:rPr>
            </w:r>
            <w:r w:rsidR="00DE65AE">
              <w:rPr>
                <w:webHidden/>
              </w:rPr>
              <w:fldChar w:fldCharType="separate"/>
            </w:r>
            <w:r w:rsidR="00054ED4">
              <w:rPr>
                <w:webHidden/>
              </w:rPr>
              <w:t>15</w:t>
            </w:r>
            <w:r w:rsidR="00DE65AE">
              <w:rPr>
                <w:webHidden/>
              </w:rPr>
              <w:fldChar w:fldCharType="end"/>
            </w:r>
          </w:hyperlink>
        </w:p>
        <w:p w14:paraId="43C8BAC1" w14:textId="77777777" w:rsidR="00DE65AE" w:rsidRDefault="00CD4AC5" w:rsidP="004C79C1">
          <w:pPr>
            <w:pStyle w:val="TOC2"/>
            <w:spacing w:after="120" w:line="240" w:lineRule="auto"/>
            <w:rPr>
              <w:rFonts w:asciiTheme="minorHAnsi" w:eastAsiaTheme="minorEastAsia" w:hAnsiTheme="minorHAnsi" w:cstheme="minorBidi"/>
            </w:rPr>
          </w:pPr>
          <w:hyperlink w:anchor="_Toc451501255" w:history="1">
            <w:r w:rsidR="00DE65AE" w:rsidRPr="003E51D2">
              <w:rPr>
                <w:rStyle w:val="Hyperlink"/>
              </w:rPr>
              <w:t>Figures</w:t>
            </w:r>
            <w:r w:rsidR="00DE65AE">
              <w:rPr>
                <w:webHidden/>
              </w:rPr>
              <w:tab/>
            </w:r>
            <w:r w:rsidR="00DE65AE">
              <w:rPr>
                <w:webHidden/>
              </w:rPr>
              <w:fldChar w:fldCharType="begin"/>
            </w:r>
            <w:r w:rsidR="00DE65AE">
              <w:rPr>
                <w:webHidden/>
              </w:rPr>
              <w:instrText xml:space="preserve"> PAGEREF _Toc451501255 \h </w:instrText>
            </w:r>
            <w:r w:rsidR="00DE65AE">
              <w:rPr>
                <w:webHidden/>
              </w:rPr>
            </w:r>
            <w:r w:rsidR="00DE65AE">
              <w:rPr>
                <w:webHidden/>
              </w:rPr>
              <w:fldChar w:fldCharType="separate"/>
            </w:r>
            <w:r w:rsidR="00054ED4">
              <w:rPr>
                <w:webHidden/>
              </w:rPr>
              <w:t>16</w:t>
            </w:r>
            <w:r w:rsidR="00DE65AE">
              <w:rPr>
                <w:webHidden/>
              </w:rPr>
              <w:fldChar w:fldCharType="end"/>
            </w:r>
          </w:hyperlink>
        </w:p>
        <w:p w14:paraId="06B15EB3"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256" w:history="1">
            <w:r w:rsidR="00DE65AE" w:rsidRPr="003E51D2">
              <w:rPr>
                <w:rStyle w:val="Hyperlink"/>
              </w:rPr>
              <w:t>Executive Summary</w:t>
            </w:r>
            <w:r w:rsidR="00DE65AE">
              <w:rPr>
                <w:webHidden/>
              </w:rPr>
              <w:tab/>
            </w:r>
            <w:r w:rsidR="00DE65AE">
              <w:rPr>
                <w:webHidden/>
              </w:rPr>
              <w:fldChar w:fldCharType="begin"/>
            </w:r>
            <w:r w:rsidR="00DE65AE">
              <w:rPr>
                <w:webHidden/>
              </w:rPr>
              <w:instrText xml:space="preserve"> PAGEREF _Toc451501256 \h </w:instrText>
            </w:r>
            <w:r w:rsidR="00DE65AE">
              <w:rPr>
                <w:webHidden/>
              </w:rPr>
            </w:r>
            <w:r w:rsidR="00DE65AE">
              <w:rPr>
                <w:webHidden/>
              </w:rPr>
              <w:fldChar w:fldCharType="separate"/>
            </w:r>
            <w:r w:rsidR="00054ED4">
              <w:rPr>
                <w:webHidden/>
              </w:rPr>
              <w:t>20</w:t>
            </w:r>
            <w:r w:rsidR="00DE65AE">
              <w:rPr>
                <w:webHidden/>
              </w:rPr>
              <w:fldChar w:fldCharType="end"/>
            </w:r>
          </w:hyperlink>
        </w:p>
        <w:p w14:paraId="5D8AB1AC" w14:textId="77777777" w:rsidR="00DE65AE" w:rsidRDefault="00CD4AC5" w:rsidP="004C79C1">
          <w:pPr>
            <w:pStyle w:val="TOC2"/>
            <w:spacing w:after="120" w:line="240" w:lineRule="auto"/>
            <w:rPr>
              <w:rFonts w:asciiTheme="minorHAnsi" w:eastAsiaTheme="minorEastAsia" w:hAnsiTheme="minorHAnsi" w:cstheme="minorBidi"/>
            </w:rPr>
          </w:pPr>
          <w:hyperlink w:anchor="_Toc451501257" w:history="1">
            <w:r w:rsidR="00DE65AE" w:rsidRPr="003E51D2">
              <w:rPr>
                <w:rStyle w:val="Hyperlink"/>
              </w:rPr>
              <w:t>Key Issues for ESC and MSAC Consideration</w:t>
            </w:r>
            <w:r w:rsidR="00DE65AE">
              <w:rPr>
                <w:webHidden/>
              </w:rPr>
              <w:tab/>
            </w:r>
            <w:r w:rsidR="00DE65AE">
              <w:rPr>
                <w:webHidden/>
              </w:rPr>
              <w:fldChar w:fldCharType="begin"/>
            </w:r>
            <w:r w:rsidR="00DE65AE">
              <w:rPr>
                <w:webHidden/>
              </w:rPr>
              <w:instrText xml:space="preserve"> PAGEREF _Toc451501257 \h </w:instrText>
            </w:r>
            <w:r w:rsidR="00DE65AE">
              <w:rPr>
                <w:webHidden/>
              </w:rPr>
            </w:r>
            <w:r w:rsidR="00DE65AE">
              <w:rPr>
                <w:webHidden/>
              </w:rPr>
              <w:fldChar w:fldCharType="separate"/>
            </w:r>
            <w:r w:rsidR="00054ED4">
              <w:rPr>
                <w:webHidden/>
              </w:rPr>
              <w:t>20</w:t>
            </w:r>
            <w:r w:rsidR="00DE65AE">
              <w:rPr>
                <w:webHidden/>
              </w:rPr>
              <w:fldChar w:fldCharType="end"/>
            </w:r>
          </w:hyperlink>
        </w:p>
        <w:p w14:paraId="2CCEF99D" w14:textId="77777777" w:rsidR="00DE65AE" w:rsidRDefault="00CD4AC5" w:rsidP="004C79C1">
          <w:pPr>
            <w:pStyle w:val="TOC2"/>
            <w:spacing w:after="120" w:line="240" w:lineRule="auto"/>
            <w:rPr>
              <w:rFonts w:asciiTheme="minorHAnsi" w:eastAsiaTheme="minorEastAsia" w:hAnsiTheme="minorHAnsi" w:cstheme="minorBidi"/>
            </w:rPr>
          </w:pPr>
          <w:hyperlink w:anchor="_Toc451501258" w:history="1">
            <w:r w:rsidR="00DE65AE" w:rsidRPr="003E51D2">
              <w:rPr>
                <w:rStyle w:val="Hyperlink"/>
              </w:rPr>
              <w:t>Magnetic Resonance Imaging of Patients with Suspected (non-ischaemic) Dilated Cardiomyopathies</w:t>
            </w:r>
            <w:r w:rsidR="00DE65AE">
              <w:rPr>
                <w:webHidden/>
              </w:rPr>
              <w:tab/>
            </w:r>
            <w:r w:rsidR="00DE65AE">
              <w:rPr>
                <w:webHidden/>
              </w:rPr>
              <w:fldChar w:fldCharType="begin"/>
            </w:r>
            <w:r w:rsidR="00DE65AE">
              <w:rPr>
                <w:webHidden/>
              </w:rPr>
              <w:instrText xml:space="preserve"> PAGEREF _Toc451501258 \h </w:instrText>
            </w:r>
            <w:r w:rsidR="00DE65AE">
              <w:rPr>
                <w:webHidden/>
              </w:rPr>
            </w:r>
            <w:r w:rsidR="00DE65AE">
              <w:rPr>
                <w:webHidden/>
              </w:rPr>
              <w:fldChar w:fldCharType="separate"/>
            </w:r>
            <w:r w:rsidR="00054ED4">
              <w:rPr>
                <w:webHidden/>
              </w:rPr>
              <w:t>20</w:t>
            </w:r>
            <w:r w:rsidR="00DE65AE">
              <w:rPr>
                <w:webHidden/>
              </w:rPr>
              <w:fldChar w:fldCharType="end"/>
            </w:r>
          </w:hyperlink>
        </w:p>
        <w:p w14:paraId="1B4AC59E" w14:textId="77777777" w:rsidR="00DE65AE" w:rsidRDefault="00CD4AC5" w:rsidP="004C79C1">
          <w:pPr>
            <w:pStyle w:val="TOC3"/>
            <w:spacing w:after="120" w:line="240" w:lineRule="auto"/>
            <w:rPr>
              <w:rFonts w:asciiTheme="minorHAnsi" w:eastAsiaTheme="minorEastAsia" w:hAnsiTheme="minorHAnsi" w:cstheme="minorBidi"/>
            </w:rPr>
          </w:pPr>
          <w:hyperlink w:anchor="_Toc451501259" w:history="1">
            <w:r w:rsidR="00DE65AE" w:rsidRPr="003E51D2">
              <w:rPr>
                <w:rStyle w:val="Hyperlink"/>
              </w:rPr>
              <w:t>Alignment with Agreed Protocol</w:t>
            </w:r>
            <w:r w:rsidR="00DE65AE">
              <w:rPr>
                <w:webHidden/>
              </w:rPr>
              <w:tab/>
            </w:r>
            <w:r w:rsidR="00DE65AE">
              <w:rPr>
                <w:webHidden/>
              </w:rPr>
              <w:fldChar w:fldCharType="begin"/>
            </w:r>
            <w:r w:rsidR="00DE65AE">
              <w:rPr>
                <w:webHidden/>
              </w:rPr>
              <w:instrText xml:space="preserve"> PAGEREF _Toc451501259 \h </w:instrText>
            </w:r>
            <w:r w:rsidR="00DE65AE">
              <w:rPr>
                <w:webHidden/>
              </w:rPr>
            </w:r>
            <w:r w:rsidR="00DE65AE">
              <w:rPr>
                <w:webHidden/>
              </w:rPr>
              <w:fldChar w:fldCharType="separate"/>
            </w:r>
            <w:r w:rsidR="00054ED4">
              <w:rPr>
                <w:webHidden/>
              </w:rPr>
              <w:t>21</w:t>
            </w:r>
            <w:r w:rsidR="00DE65AE">
              <w:rPr>
                <w:webHidden/>
              </w:rPr>
              <w:fldChar w:fldCharType="end"/>
            </w:r>
          </w:hyperlink>
        </w:p>
        <w:p w14:paraId="1E8C001D" w14:textId="77777777" w:rsidR="00DE65AE" w:rsidRDefault="00CD4AC5" w:rsidP="004C79C1">
          <w:pPr>
            <w:pStyle w:val="TOC3"/>
            <w:spacing w:after="120" w:line="240" w:lineRule="auto"/>
            <w:rPr>
              <w:rFonts w:asciiTheme="minorHAnsi" w:eastAsiaTheme="minorEastAsia" w:hAnsiTheme="minorHAnsi" w:cstheme="minorBidi"/>
            </w:rPr>
          </w:pPr>
          <w:hyperlink w:anchor="_Toc451501260" w:history="1">
            <w:r w:rsidR="00DE65AE" w:rsidRPr="003E51D2">
              <w:rPr>
                <w:rStyle w:val="Hyperlink"/>
              </w:rPr>
              <w:t>Proposed Medical Service</w:t>
            </w:r>
            <w:r w:rsidR="00DE65AE">
              <w:rPr>
                <w:webHidden/>
              </w:rPr>
              <w:tab/>
            </w:r>
            <w:r w:rsidR="00DE65AE">
              <w:rPr>
                <w:webHidden/>
              </w:rPr>
              <w:fldChar w:fldCharType="begin"/>
            </w:r>
            <w:r w:rsidR="00DE65AE">
              <w:rPr>
                <w:webHidden/>
              </w:rPr>
              <w:instrText xml:space="preserve"> PAGEREF _Toc451501260 \h </w:instrText>
            </w:r>
            <w:r w:rsidR="00DE65AE">
              <w:rPr>
                <w:webHidden/>
              </w:rPr>
            </w:r>
            <w:r w:rsidR="00DE65AE">
              <w:rPr>
                <w:webHidden/>
              </w:rPr>
              <w:fldChar w:fldCharType="separate"/>
            </w:r>
            <w:r w:rsidR="00054ED4">
              <w:rPr>
                <w:webHidden/>
              </w:rPr>
              <w:t>21</w:t>
            </w:r>
            <w:r w:rsidR="00DE65AE">
              <w:rPr>
                <w:webHidden/>
              </w:rPr>
              <w:fldChar w:fldCharType="end"/>
            </w:r>
          </w:hyperlink>
        </w:p>
        <w:p w14:paraId="7BED1779" w14:textId="77777777" w:rsidR="00DE65AE" w:rsidRDefault="00CD4AC5" w:rsidP="004C79C1">
          <w:pPr>
            <w:pStyle w:val="TOC3"/>
            <w:spacing w:after="120" w:line="240" w:lineRule="auto"/>
            <w:rPr>
              <w:rFonts w:asciiTheme="minorHAnsi" w:eastAsiaTheme="minorEastAsia" w:hAnsiTheme="minorHAnsi" w:cstheme="minorBidi"/>
            </w:rPr>
          </w:pPr>
          <w:hyperlink w:anchor="_Toc451501261" w:history="1">
            <w:r w:rsidR="00DE65AE" w:rsidRPr="003E51D2">
              <w:rPr>
                <w:rStyle w:val="Hyperlink"/>
              </w:rPr>
              <w:t>Proposal for Public Funding</w:t>
            </w:r>
            <w:r w:rsidR="00DE65AE">
              <w:rPr>
                <w:webHidden/>
              </w:rPr>
              <w:tab/>
            </w:r>
            <w:r w:rsidR="00DE65AE">
              <w:rPr>
                <w:webHidden/>
              </w:rPr>
              <w:fldChar w:fldCharType="begin"/>
            </w:r>
            <w:r w:rsidR="00DE65AE">
              <w:rPr>
                <w:webHidden/>
              </w:rPr>
              <w:instrText xml:space="preserve"> PAGEREF _Toc451501261 \h </w:instrText>
            </w:r>
            <w:r w:rsidR="00DE65AE">
              <w:rPr>
                <w:webHidden/>
              </w:rPr>
            </w:r>
            <w:r w:rsidR="00DE65AE">
              <w:rPr>
                <w:webHidden/>
              </w:rPr>
              <w:fldChar w:fldCharType="separate"/>
            </w:r>
            <w:r w:rsidR="00054ED4">
              <w:rPr>
                <w:webHidden/>
              </w:rPr>
              <w:t>22</w:t>
            </w:r>
            <w:r w:rsidR="00DE65AE">
              <w:rPr>
                <w:webHidden/>
              </w:rPr>
              <w:fldChar w:fldCharType="end"/>
            </w:r>
          </w:hyperlink>
        </w:p>
        <w:p w14:paraId="51AA6CF9" w14:textId="77777777" w:rsidR="00DE65AE" w:rsidRDefault="00CD4AC5" w:rsidP="004C79C1">
          <w:pPr>
            <w:pStyle w:val="TOC3"/>
            <w:spacing w:after="120" w:line="240" w:lineRule="auto"/>
            <w:rPr>
              <w:rFonts w:asciiTheme="minorHAnsi" w:eastAsiaTheme="minorEastAsia" w:hAnsiTheme="minorHAnsi" w:cstheme="minorBidi"/>
            </w:rPr>
          </w:pPr>
          <w:hyperlink w:anchor="_Toc451501262" w:history="1">
            <w:r w:rsidR="00DE65AE" w:rsidRPr="003E51D2">
              <w:rPr>
                <w:rStyle w:val="Hyperlink"/>
              </w:rPr>
              <w:t>Clinical Management Algorithm(s)</w:t>
            </w:r>
            <w:r w:rsidR="00DE65AE">
              <w:rPr>
                <w:webHidden/>
              </w:rPr>
              <w:tab/>
            </w:r>
            <w:r w:rsidR="00DE65AE">
              <w:rPr>
                <w:webHidden/>
              </w:rPr>
              <w:fldChar w:fldCharType="begin"/>
            </w:r>
            <w:r w:rsidR="00DE65AE">
              <w:rPr>
                <w:webHidden/>
              </w:rPr>
              <w:instrText xml:space="preserve"> PAGEREF _Toc451501262 \h </w:instrText>
            </w:r>
            <w:r w:rsidR="00DE65AE">
              <w:rPr>
                <w:webHidden/>
              </w:rPr>
            </w:r>
            <w:r w:rsidR="00DE65AE">
              <w:rPr>
                <w:webHidden/>
              </w:rPr>
              <w:fldChar w:fldCharType="separate"/>
            </w:r>
            <w:r w:rsidR="00054ED4">
              <w:rPr>
                <w:webHidden/>
              </w:rPr>
              <w:t>22</w:t>
            </w:r>
            <w:r w:rsidR="00DE65AE">
              <w:rPr>
                <w:webHidden/>
              </w:rPr>
              <w:fldChar w:fldCharType="end"/>
            </w:r>
          </w:hyperlink>
        </w:p>
        <w:p w14:paraId="12237B94" w14:textId="77777777" w:rsidR="00DE65AE" w:rsidRDefault="00CD4AC5" w:rsidP="004C79C1">
          <w:pPr>
            <w:pStyle w:val="TOC3"/>
            <w:spacing w:after="120" w:line="240" w:lineRule="auto"/>
            <w:rPr>
              <w:rFonts w:asciiTheme="minorHAnsi" w:eastAsiaTheme="minorEastAsia" w:hAnsiTheme="minorHAnsi" w:cstheme="minorBidi"/>
            </w:rPr>
          </w:pPr>
          <w:hyperlink w:anchor="_Toc451501263" w:history="1">
            <w:r w:rsidR="00DE65AE" w:rsidRPr="003E51D2">
              <w:rPr>
                <w:rStyle w:val="Hyperlink"/>
              </w:rPr>
              <w:t>Populations and Relevant Comparators</w:t>
            </w:r>
            <w:r w:rsidR="00DE65AE">
              <w:rPr>
                <w:webHidden/>
              </w:rPr>
              <w:tab/>
            </w:r>
            <w:r w:rsidR="00DE65AE">
              <w:rPr>
                <w:webHidden/>
              </w:rPr>
              <w:fldChar w:fldCharType="begin"/>
            </w:r>
            <w:r w:rsidR="00DE65AE">
              <w:rPr>
                <w:webHidden/>
              </w:rPr>
              <w:instrText xml:space="preserve"> PAGEREF _Toc451501263 \h </w:instrText>
            </w:r>
            <w:r w:rsidR="00DE65AE">
              <w:rPr>
                <w:webHidden/>
              </w:rPr>
            </w:r>
            <w:r w:rsidR="00DE65AE">
              <w:rPr>
                <w:webHidden/>
              </w:rPr>
              <w:fldChar w:fldCharType="separate"/>
            </w:r>
            <w:r w:rsidR="00054ED4">
              <w:rPr>
                <w:webHidden/>
              </w:rPr>
              <w:t>22</w:t>
            </w:r>
            <w:r w:rsidR="00DE65AE">
              <w:rPr>
                <w:webHidden/>
              </w:rPr>
              <w:fldChar w:fldCharType="end"/>
            </w:r>
          </w:hyperlink>
        </w:p>
        <w:p w14:paraId="76489E8D" w14:textId="77777777" w:rsidR="00DE65AE" w:rsidRDefault="00CD4AC5" w:rsidP="004C79C1">
          <w:pPr>
            <w:pStyle w:val="TOC3"/>
            <w:spacing w:after="120" w:line="240" w:lineRule="auto"/>
            <w:rPr>
              <w:rFonts w:asciiTheme="minorHAnsi" w:eastAsiaTheme="minorEastAsia" w:hAnsiTheme="minorHAnsi" w:cstheme="minorBidi"/>
            </w:rPr>
          </w:pPr>
          <w:hyperlink w:anchor="_Toc451501264" w:history="1">
            <w:r w:rsidR="00DE65AE" w:rsidRPr="003E51D2">
              <w:rPr>
                <w:rStyle w:val="Hyperlink"/>
              </w:rPr>
              <w:t>Key Differences in the Delivery of the Proposed Medical Service and the Main Comparator</w:t>
            </w:r>
            <w:r w:rsidR="00DE65AE">
              <w:rPr>
                <w:webHidden/>
              </w:rPr>
              <w:tab/>
            </w:r>
            <w:r w:rsidR="00DE65AE">
              <w:rPr>
                <w:webHidden/>
              </w:rPr>
              <w:fldChar w:fldCharType="begin"/>
            </w:r>
            <w:r w:rsidR="00DE65AE">
              <w:rPr>
                <w:webHidden/>
              </w:rPr>
              <w:instrText xml:space="preserve"> PAGEREF _Toc451501264 \h </w:instrText>
            </w:r>
            <w:r w:rsidR="00DE65AE">
              <w:rPr>
                <w:webHidden/>
              </w:rPr>
            </w:r>
            <w:r w:rsidR="00DE65AE">
              <w:rPr>
                <w:webHidden/>
              </w:rPr>
              <w:fldChar w:fldCharType="separate"/>
            </w:r>
            <w:r w:rsidR="00054ED4">
              <w:rPr>
                <w:webHidden/>
              </w:rPr>
              <w:t>24</w:t>
            </w:r>
            <w:r w:rsidR="00DE65AE">
              <w:rPr>
                <w:webHidden/>
              </w:rPr>
              <w:fldChar w:fldCharType="end"/>
            </w:r>
          </w:hyperlink>
        </w:p>
        <w:p w14:paraId="5AF7737E" w14:textId="77777777" w:rsidR="00DE65AE" w:rsidRDefault="00CD4AC5" w:rsidP="004C79C1">
          <w:pPr>
            <w:pStyle w:val="TOC3"/>
            <w:spacing w:after="120" w:line="240" w:lineRule="auto"/>
            <w:rPr>
              <w:rFonts w:asciiTheme="minorHAnsi" w:eastAsiaTheme="minorEastAsia" w:hAnsiTheme="minorHAnsi" w:cstheme="minorBidi"/>
            </w:rPr>
          </w:pPr>
          <w:hyperlink w:anchor="_Toc451501265" w:history="1">
            <w:r w:rsidR="00DE65AE" w:rsidRPr="003E51D2">
              <w:rPr>
                <w:rStyle w:val="Hyperlink"/>
              </w:rPr>
              <w:t>Clinical Claim</w:t>
            </w:r>
            <w:r w:rsidR="00DE65AE">
              <w:rPr>
                <w:webHidden/>
              </w:rPr>
              <w:tab/>
            </w:r>
            <w:r w:rsidR="00DE65AE">
              <w:rPr>
                <w:webHidden/>
              </w:rPr>
              <w:fldChar w:fldCharType="begin"/>
            </w:r>
            <w:r w:rsidR="00DE65AE">
              <w:rPr>
                <w:webHidden/>
              </w:rPr>
              <w:instrText xml:space="preserve"> PAGEREF _Toc451501265 \h </w:instrText>
            </w:r>
            <w:r w:rsidR="00DE65AE">
              <w:rPr>
                <w:webHidden/>
              </w:rPr>
            </w:r>
            <w:r w:rsidR="00DE65AE">
              <w:rPr>
                <w:webHidden/>
              </w:rPr>
              <w:fldChar w:fldCharType="separate"/>
            </w:r>
            <w:r w:rsidR="00054ED4">
              <w:rPr>
                <w:webHidden/>
              </w:rPr>
              <w:t>24</w:t>
            </w:r>
            <w:r w:rsidR="00DE65AE">
              <w:rPr>
                <w:webHidden/>
              </w:rPr>
              <w:fldChar w:fldCharType="end"/>
            </w:r>
          </w:hyperlink>
        </w:p>
        <w:p w14:paraId="621694BE" w14:textId="77777777" w:rsidR="00DE65AE" w:rsidRDefault="00CD4AC5" w:rsidP="004C79C1">
          <w:pPr>
            <w:pStyle w:val="TOC3"/>
            <w:spacing w:after="120" w:line="240" w:lineRule="auto"/>
            <w:rPr>
              <w:rFonts w:asciiTheme="minorHAnsi" w:eastAsiaTheme="minorEastAsia" w:hAnsiTheme="minorHAnsi" w:cstheme="minorBidi"/>
            </w:rPr>
          </w:pPr>
          <w:hyperlink w:anchor="_Toc451501266" w:history="1">
            <w:r w:rsidR="00DE65AE" w:rsidRPr="003E51D2">
              <w:rPr>
                <w:rStyle w:val="Hyperlink"/>
              </w:rPr>
              <w:t>Approach Taken to the Evidence Assessment</w:t>
            </w:r>
            <w:r w:rsidR="00DE65AE">
              <w:rPr>
                <w:webHidden/>
              </w:rPr>
              <w:tab/>
            </w:r>
            <w:r w:rsidR="00DE65AE">
              <w:rPr>
                <w:webHidden/>
              </w:rPr>
              <w:fldChar w:fldCharType="begin"/>
            </w:r>
            <w:r w:rsidR="00DE65AE">
              <w:rPr>
                <w:webHidden/>
              </w:rPr>
              <w:instrText xml:space="preserve"> PAGEREF _Toc451501266 \h </w:instrText>
            </w:r>
            <w:r w:rsidR="00DE65AE">
              <w:rPr>
                <w:webHidden/>
              </w:rPr>
            </w:r>
            <w:r w:rsidR="00DE65AE">
              <w:rPr>
                <w:webHidden/>
              </w:rPr>
              <w:fldChar w:fldCharType="separate"/>
            </w:r>
            <w:r w:rsidR="00054ED4">
              <w:rPr>
                <w:webHidden/>
              </w:rPr>
              <w:t>24</w:t>
            </w:r>
            <w:r w:rsidR="00DE65AE">
              <w:rPr>
                <w:webHidden/>
              </w:rPr>
              <w:fldChar w:fldCharType="end"/>
            </w:r>
          </w:hyperlink>
        </w:p>
        <w:p w14:paraId="1755336A" w14:textId="77777777" w:rsidR="00DE65AE" w:rsidRDefault="00CD4AC5" w:rsidP="004C79C1">
          <w:pPr>
            <w:pStyle w:val="TOC3"/>
            <w:spacing w:after="120" w:line="240" w:lineRule="auto"/>
            <w:rPr>
              <w:rFonts w:asciiTheme="minorHAnsi" w:eastAsiaTheme="minorEastAsia" w:hAnsiTheme="minorHAnsi" w:cstheme="minorBidi"/>
            </w:rPr>
          </w:pPr>
          <w:hyperlink w:anchor="_Toc451501267" w:history="1">
            <w:r w:rsidR="00DE65AE" w:rsidRPr="003E51D2">
              <w:rPr>
                <w:rStyle w:val="Hyperlink"/>
              </w:rPr>
              <w:t>Characteristics of the Evidence Base</w:t>
            </w:r>
            <w:r w:rsidR="00DE65AE">
              <w:rPr>
                <w:webHidden/>
              </w:rPr>
              <w:tab/>
            </w:r>
            <w:r w:rsidR="00DE65AE">
              <w:rPr>
                <w:webHidden/>
              </w:rPr>
              <w:fldChar w:fldCharType="begin"/>
            </w:r>
            <w:r w:rsidR="00DE65AE">
              <w:rPr>
                <w:webHidden/>
              </w:rPr>
              <w:instrText xml:space="preserve"> PAGEREF _Toc451501267 \h </w:instrText>
            </w:r>
            <w:r w:rsidR="00DE65AE">
              <w:rPr>
                <w:webHidden/>
              </w:rPr>
            </w:r>
            <w:r w:rsidR="00DE65AE">
              <w:rPr>
                <w:webHidden/>
              </w:rPr>
              <w:fldChar w:fldCharType="separate"/>
            </w:r>
            <w:r w:rsidR="00054ED4">
              <w:rPr>
                <w:webHidden/>
              </w:rPr>
              <w:t>24</w:t>
            </w:r>
            <w:r w:rsidR="00DE65AE">
              <w:rPr>
                <w:webHidden/>
              </w:rPr>
              <w:fldChar w:fldCharType="end"/>
            </w:r>
          </w:hyperlink>
        </w:p>
        <w:p w14:paraId="3AA21CAF" w14:textId="77777777" w:rsidR="00DE65AE" w:rsidRDefault="00CD4AC5" w:rsidP="004C79C1">
          <w:pPr>
            <w:pStyle w:val="TOC3"/>
            <w:spacing w:after="120" w:line="240" w:lineRule="auto"/>
            <w:rPr>
              <w:rFonts w:asciiTheme="minorHAnsi" w:eastAsiaTheme="minorEastAsia" w:hAnsiTheme="minorHAnsi" w:cstheme="minorBidi"/>
            </w:rPr>
          </w:pPr>
          <w:hyperlink w:anchor="_Toc451501268" w:history="1">
            <w:r w:rsidR="00DE65AE" w:rsidRPr="003E51D2">
              <w:rPr>
                <w:rStyle w:val="Hyperlink"/>
              </w:rPr>
              <w:t>Results</w:t>
            </w:r>
            <w:r w:rsidR="00DE65AE">
              <w:rPr>
                <w:webHidden/>
              </w:rPr>
              <w:tab/>
            </w:r>
            <w:r w:rsidR="00DE65AE">
              <w:rPr>
                <w:webHidden/>
              </w:rPr>
              <w:fldChar w:fldCharType="begin"/>
            </w:r>
            <w:r w:rsidR="00DE65AE">
              <w:rPr>
                <w:webHidden/>
              </w:rPr>
              <w:instrText xml:space="preserve"> PAGEREF _Toc451501268 \h </w:instrText>
            </w:r>
            <w:r w:rsidR="00DE65AE">
              <w:rPr>
                <w:webHidden/>
              </w:rPr>
            </w:r>
            <w:r w:rsidR="00DE65AE">
              <w:rPr>
                <w:webHidden/>
              </w:rPr>
              <w:fldChar w:fldCharType="separate"/>
            </w:r>
            <w:r w:rsidR="00054ED4">
              <w:rPr>
                <w:webHidden/>
              </w:rPr>
              <w:t>25</w:t>
            </w:r>
            <w:r w:rsidR="00DE65AE">
              <w:rPr>
                <w:webHidden/>
              </w:rPr>
              <w:fldChar w:fldCharType="end"/>
            </w:r>
          </w:hyperlink>
        </w:p>
        <w:p w14:paraId="783341BC" w14:textId="77777777" w:rsidR="00DE65AE" w:rsidRDefault="00CD4AC5" w:rsidP="004C79C1">
          <w:pPr>
            <w:pStyle w:val="TOC3"/>
            <w:spacing w:after="120" w:line="240" w:lineRule="auto"/>
            <w:rPr>
              <w:rFonts w:asciiTheme="minorHAnsi" w:eastAsiaTheme="minorEastAsia" w:hAnsiTheme="minorHAnsi" w:cstheme="minorBidi"/>
            </w:rPr>
          </w:pPr>
          <w:hyperlink w:anchor="_Toc451501269" w:history="1">
            <w:r w:rsidR="00DE65AE" w:rsidRPr="003E51D2">
              <w:rPr>
                <w:rStyle w:val="Hyperlink"/>
              </w:rPr>
              <w:t>Translation Issues</w:t>
            </w:r>
            <w:r w:rsidR="00DE65AE">
              <w:rPr>
                <w:webHidden/>
              </w:rPr>
              <w:tab/>
            </w:r>
            <w:r w:rsidR="00DE65AE">
              <w:rPr>
                <w:webHidden/>
              </w:rPr>
              <w:fldChar w:fldCharType="begin"/>
            </w:r>
            <w:r w:rsidR="00DE65AE">
              <w:rPr>
                <w:webHidden/>
              </w:rPr>
              <w:instrText xml:space="preserve"> PAGEREF _Toc451501269 \h </w:instrText>
            </w:r>
            <w:r w:rsidR="00DE65AE">
              <w:rPr>
                <w:webHidden/>
              </w:rPr>
            </w:r>
            <w:r w:rsidR="00DE65AE">
              <w:rPr>
                <w:webHidden/>
              </w:rPr>
              <w:fldChar w:fldCharType="separate"/>
            </w:r>
            <w:r w:rsidR="00054ED4">
              <w:rPr>
                <w:webHidden/>
              </w:rPr>
              <w:t>32</w:t>
            </w:r>
            <w:r w:rsidR="00DE65AE">
              <w:rPr>
                <w:webHidden/>
              </w:rPr>
              <w:fldChar w:fldCharType="end"/>
            </w:r>
          </w:hyperlink>
        </w:p>
        <w:p w14:paraId="616DB32B" w14:textId="77777777" w:rsidR="00DE65AE" w:rsidRDefault="00CD4AC5" w:rsidP="004C79C1">
          <w:pPr>
            <w:pStyle w:val="TOC3"/>
            <w:spacing w:after="120" w:line="240" w:lineRule="auto"/>
            <w:rPr>
              <w:rFonts w:asciiTheme="minorHAnsi" w:eastAsiaTheme="minorEastAsia" w:hAnsiTheme="minorHAnsi" w:cstheme="minorBidi"/>
            </w:rPr>
          </w:pPr>
          <w:hyperlink w:anchor="_Toc451501270" w:history="1">
            <w:r w:rsidR="00DE65AE" w:rsidRPr="003E51D2">
              <w:rPr>
                <w:rStyle w:val="Hyperlink"/>
              </w:rPr>
              <w:t>Economic Evaluation</w:t>
            </w:r>
            <w:r w:rsidR="00DE65AE">
              <w:rPr>
                <w:webHidden/>
              </w:rPr>
              <w:tab/>
            </w:r>
            <w:r w:rsidR="00DE65AE">
              <w:rPr>
                <w:webHidden/>
              </w:rPr>
              <w:fldChar w:fldCharType="begin"/>
            </w:r>
            <w:r w:rsidR="00DE65AE">
              <w:rPr>
                <w:webHidden/>
              </w:rPr>
              <w:instrText xml:space="preserve"> PAGEREF _Toc451501270 \h </w:instrText>
            </w:r>
            <w:r w:rsidR="00DE65AE">
              <w:rPr>
                <w:webHidden/>
              </w:rPr>
            </w:r>
            <w:r w:rsidR="00DE65AE">
              <w:rPr>
                <w:webHidden/>
              </w:rPr>
              <w:fldChar w:fldCharType="separate"/>
            </w:r>
            <w:r w:rsidR="00054ED4">
              <w:rPr>
                <w:webHidden/>
              </w:rPr>
              <w:t>32</w:t>
            </w:r>
            <w:r w:rsidR="00DE65AE">
              <w:rPr>
                <w:webHidden/>
              </w:rPr>
              <w:fldChar w:fldCharType="end"/>
            </w:r>
          </w:hyperlink>
        </w:p>
        <w:p w14:paraId="487F6BC9" w14:textId="77777777" w:rsidR="00DE65AE" w:rsidRDefault="00CD4AC5" w:rsidP="004C79C1">
          <w:pPr>
            <w:pStyle w:val="TOC3"/>
            <w:spacing w:after="120" w:line="240" w:lineRule="auto"/>
            <w:rPr>
              <w:rFonts w:asciiTheme="minorHAnsi" w:eastAsiaTheme="minorEastAsia" w:hAnsiTheme="minorHAnsi" w:cstheme="minorBidi"/>
            </w:rPr>
          </w:pPr>
          <w:hyperlink w:anchor="_Toc451501271" w:history="1">
            <w:r w:rsidR="00DE65AE" w:rsidRPr="003E51D2">
              <w:rPr>
                <w:rStyle w:val="Hyperlink"/>
              </w:rPr>
              <w:t>Estimated Extent of Use and Financial Implications</w:t>
            </w:r>
            <w:r w:rsidR="00DE65AE">
              <w:rPr>
                <w:webHidden/>
              </w:rPr>
              <w:tab/>
            </w:r>
            <w:r w:rsidR="00DE65AE">
              <w:rPr>
                <w:webHidden/>
              </w:rPr>
              <w:fldChar w:fldCharType="begin"/>
            </w:r>
            <w:r w:rsidR="00DE65AE">
              <w:rPr>
                <w:webHidden/>
              </w:rPr>
              <w:instrText xml:space="preserve"> PAGEREF _Toc451501271 \h </w:instrText>
            </w:r>
            <w:r w:rsidR="00DE65AE">
              <w:rPr>
                <w:webHidden/>
              </w:rPr>
            </w:r>
            <w:r w:rsidR="00DE65AE">
              <w:rPr>
                <w:webHidden/>
              </w:rPr>
              <w:fldChar w:fldCharType="separate"/>
            </w:r>
            <w:r w:rsidR="00054ED4">
              <w:rPr>
                <w:webHidden/>
              </w:rPr>
              <w:t>34</w:t>
            </w:r>
            <w:r w:rsidR="00DE65AE">
              <w:rPr>
                <w:webHidden/>
              </w:rPr>
              <w:fldChar w:fldCharType="end"/>
            </w:r>
          </w:hyperlink>
        </w:p>
        <w:p w14:paraId="5B56DED3" w14:textId="77777777" w:rsidR="00DE65AE" w:rsidRDefault="00CD4AC5" w:rsidP="004C79C1">
          <w:pPr>
            <w:pStyle w:val="TOC3"/>
            <w:spacing w:after="120" w:line="240" w:lineRule="auto"/>
            <w:rPr>
              <w:rFonts w:asciiTheme="minorHAnsi" w:eastAsiaTheme="minorEastAsia" w:hAnsiTheme="minorHAnsi" w:cstheme="minorBidi"/>
            </w:rPr>
          </w:pPr>
          <w:hyperlink w:anchor="_Toc451501272" w:history="1">
            <w:r w:rsidR="00DE65AE" w:rsidRPr="003E51D2">
              <w:rPr>
                <w:rStyle w:val="Hyperlink"/>
              </w:rPr>
              <w:t>Consumer Impact Summary</w:t>
            </w:r>
            <w:r w:rsidR="00DE65AE">
              <w:rPr>
                <w:webHidden/>
              </w:rPr>
              <w:tab/>
            </w:r>
            <w:r w:rsidR="00DE65AE">
              <w:rPr>
                <w:webHidden/>
              </w:rPr>
              <w:fldChar w:fldCharType="begin"/>
            </w:r>
            <w:r w:rsidR="00DE65AE">
              <w:rPr>
                <w:webHidden/>
              </w:rPr>
              <w:instrText xml:space="preserve"> PAGEREF _Toc451501272 \h </w:instrText>
            </w:r>
            <w:r w:rsidR="00DE65AE">
              <w:rPr>
                <w:webHidden/>
              </w:rPr>
            </w:r>
            <w:r w:rsidR="00DE65AE">
              <w:rPr>
                <w:webHidden/>
              </w:rPr>
              <w:fldChar w:fldCharType="separate"/>
            </w:r>
            <w:r w:rsidR="00054ED4">
              <w:rPr>
                <w:webHidden/>
              </w:rPr>
              <w:t>35</w:t>
            </w:r>
            <w:r w:rsidR="00DE65AE">
              <w:rPr>
                <w:webHidden/>
              </w:rPr>
              <w:fldChar w:fldCharType="end"/>
            </w:r>
          </w:hyperlink>
        </w:p>
        <w:p w14:paraId="2EAF3891" w14:textId="77777777" w:rsidR="00DE65AE" w:rsidRDefault="00CD4AC5" w:rsidP="004C79C1">
          <w:pPr>
            <w:pStyle w:val="TOC3"/>
            <w:spacing w:after="120" w:line="240" w:lineRule="auto"/>
            <w:rPr>
              <w:rFonts w:asciiTheme="minorHAnsi" w:eastAsiaTheme="minorEastAsia" w:hAnsiTheme="minorHAnsi" w:cstheme="minorBidi"/>
            </w:rPr>
          </w:pPr>
          <w:hyperlink w:anchor="_Toc451501273" w:history="1">
            <w:r w:rsidR="00DE65AE" w:rsidRPr="003E51D2">
              <w:rPr>
                <w:rStyle w:val="Hyperlink"/>
              </w:rPr>
              <w:t>Other Relevant Considerations</w:t>
            </w:r>
            <w:r w:rsidR="00DE65AE">
              <w:rPr>
                <w:webHidden/>
              </w:rPr>
              <w:tab/>
            </w:r>
            <w:r w:rsidR="00DE65AE">
              <w:rPr>
                <w:webHidden/>
              </w:rPr>
              <w:fldChar w:fldCharType="begin"/>
            </w:r>
            <w:r w:rsidR="00DE65AE">
              <w:rPr>
                <w:webHidden/>
              </w:rPr>
              <w:instrText xml:space="preserve"> PAGEREF _Toc451501273 \h </w:instrText>
            </w:r>
            <w:r w:rsidR="00DE65AE">
              <w:rPr>
                <w:webHidden/>
              </w:rPr>
            </w:r>
            <w:r w:rsidR="00DE65AE">
              <w:rPr>
                <w:webHidden/>
              </w:rPr>
              <w:fldChar w:fldCharType="separate"/>
            </w:r>
            <w:r w:rsidR="00054ED4">
              <w:rPr>
                <w:webHidden/>
              </w:rPr>
              <w:t>35</w:t>
            </w:r>
            <w:r w:rsidR="00DE65AE">
              <w:rPr>
                <w:webHidden/>
              </w:rPr>
              <w:fldChar w:fldCharType="end"/>
            </w:r>
          </w:hyperlink>
        </w:p>
        <w:p w14:paraId="1319EC71"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274" w:history="1">
            <w:r w:rsidR="00DE65AE" w:rsidRPr="003E51D2">
              <w:rPr>
                <w:rStyle w:val="Hyperlink"/>
              </w:rPr>
              <w:t>Acronyms and Abbreviations</w:t>
            </w:r>
            <w:r w:rsidR="00DE65AE">
              <w:rPr>
                <w:webHidden/>
              </w:rPr>
              <w:tab/>
            </w:r>
            <w:r w:rsidR="00DE65AE">
              <w:rPr>
                <w:webHidden/>
              </w:rPr>
              <w:fldChar w:fldCharType="begin"/>
            </w:r>
            <w:r w:rsidR="00DE65AE">
              <w:rPr>
                <w:webHidden/>
              </w:rPr>
              <w:instrText xml:space="preserve"> PAGEREF _Toc451501274 \h </w:instrText>
            </w:r>
            <w:r w:rsidR="00DE65AE">
              <w:rPr>
                <w:webHidden/>
              </w:rPr>
            </w:r>
            <w:r w:rsidR="00DE65AE">
              <w:rPr>
                <w:webHidden/>
              </w:rPr>
              <w:fldChar w:fldCharType="separate"/>
            </w:r>
            <w:r w:rsidR="00054ED4">
              <w:rPr>
                <w:webHidden/>
              </w:rPr>
              <w:t>37</w:t>
            </w:r>
            <w:r w:rsidR="00DE65AE">
              <w:rPr>
                <w:webHidden/>
              </w:rPr>
              <w:fldChar w:fldCharType="end"/>
            </w:r>
          </w:hyperlink>
        </w:p>
        <w:p w14:paraId="649075C1"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275" w:history="1">
            <w:r w:rsidR="00DE65AE" w:rsidRPr="003E51D2">
              <w:rPr>
                <w:rStyle w:val="Hyperlink"/>
              </w:rPr>
              <w:t>Section A</w:t>
            </w:r>
            <w:r w:rsidR="00DE65AE">
              <w:rPr>
                <w:rFonts w:asciiTheme="minorHAnsi" w:eastAsiaTheme="minorEastAsia" w:hAnsiTheme="minorHAnsi" w:cstheme="minorBidi"/>
                <w:b w:val="0"/>
              </w:rPr>
              <w:tab/>
            </w:r>
            <w:r w:rsidR="00DE65AE" w:rsidRPr="003E51D2">
              <w:rPr>
                <w:rStyle w:val="Hyperlink"/>
              </w:rPr>
              <w:t>Context</w:t>
            </w:r>
            <w:r w:rsidR="00DE65AE">
              <w:rPr>
                <w:webHidden/>
              </w:rPr>
              <w:tab/>
            </w:r>
            <w:r w:rsidR="00DE65AE">
              <w:rPr>
                <w:webHidden/>
              </w:rPr>
              <w:fldChar w:fldCharType="begin"/>
            </w:r>
            <w:r w:rsidR="00DE65AE">
              <w:rPr>
                <w:webHidden/>
              </w:rPr>
              <w:instrText xml:space="preserve"> PAGEREF _Toc451501275 \h </w:instrText>
            </w:r>
            <w:r w:rsidR="00DE65AE">
              <w:rPr>
                <w:webHidden/>
              </w:rPr>
            </w:r>
            <w:r w:rsidR="00DE65AE">
              <w:rPr>
                <w:webHidden/>
              </w:rPr>
              <w:fldChar w:fldCharType="separate"/>
            </w:r>
            <w:r w:rsidR="00054ED4">
              <w:rPr>
                <w:webHidden/>
              </w:rPr>
              <w:t>41</w:t>
            </w:r>
            <w:r w:rsidR="00DE65AE">
              <w:rPr>
                <w:webHidden/>
              </w:rPr>
              <w:fldChar w:fldCharType="end"/>
            </w:r>
          </w:hyperlink>
        </w:p>
        <w:p w14:paraId="15024AA0"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76" w:history="1">
            <w:r w:rsidR="00DE65AE" w:rsidRPr="003E51D2">
              <w:rPr>
                <w:rStyle w:val="Hyperlink"/>
              </w:rPr>
              <w:t>A1</w:t>
            </w:r>
            <w:r w:rsidR="00DE65AE">
              <w:rPr>
                <w:rFonts w:asciiTheme="minorHAnsi" w:eastAsiaTheme="minorEastAsia" w:hAnsiTheme="minorHAnsi" w:cstheme="minorBidi"/>
              </w:rPr>
              <w:tab/>
            </w:r>
            <w:r w:rsidR="00DE65AE" w:rsidRPr="003E51D2">
              <w:rPr>
                <w:rStyle w:val="Hyperlink"/>
              </w:rPr>
              <w:t>Items in the Agreed Protocol</w:t>
            </w:r>
            <w:r w:rsidR="00DE65AE">
              <w:rPr>
                <w:webHidden/>
              </w:rPr>
              <w:tab/>
            </w:r>
            <w:r w:rsidR="00DE65AE">
              <w:rPr>
                <w:webHidden/>
              </w:rPr>
              <w:fldChar w:fldCharType="begin"/>
            </w:r>
            <w:r w:rsidR="00DE65AE">
              <w:rPr>
                <w:webHidden/>
              </w:rPr>
              <w:instrText xml:space="preserve"> PAGEREF _Toc451501276 \h </w:instrText>
            </w:r>
            <w:r w:rsidR="00DE65AE">
              <w:rPr>
                <w:webHidden/>
              </w:rPr>
            </w:r>
            <w:r w:rsidR="00DE65AE">
              <w:rPr>
                <w:webHidden/>
              </w:rPr>
              <w:fldChar w:fldCharType="separate"/>
            </w:r>
            <w:r w:rsidR="00054ED4">
              <w:rPr>
                <w:webHidden/>
              </w:rPr>
              <w:t>41</w:t>
            </w:r>
            <w:r w:rsidR="00DE65AE">
              <w:rPr>
                <w:webHidden/>
              </w:rPr>
              <w:fldChar w:fldCharType="end"/>
            </w:r>
          </w:hyperlink>
        </w:p>
        <w:p w14:paraId="13F5A9FA"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77" w:history="1">
            <w:r w:rsidR="00DE65AE" w:rsidRPr="003E51D2">
              <w:rPr>
                <w:rStyle w:val="Hyperlink"/>
              </w:rPr>
              <w:t>A2</w:t>
            </w:r>
            <w:r w:rsidR="00DE65AE">
              <w:rPr>
                <w:rFonts w:asciiTheme="minorHAnsi" w:eastAsiaTheme="minorEastAsia" w:hAnsiTheme="minorHAnsi" w:cstheme="minorBidi"/>
              </w:rPr>
              <w:tab/>
            </w:r>
            <w:r w:rsidR="00DE65AE" w:rsidRPr="003E51D2">
              <w:rPr>
                <w:rStyle w:val="Hyperlink"/>
              </w:rPr>
              <w:t>Proposed Medical Service</w:t>
            </w:r>
            <w:r w:rsidR="00DE65AE">
              <w:rPr>
                <w:webHidden/>
              </w:rPr>
              <w:tab/>
            </w:r>
            <w:r w:rsidR="00DE65AE">
              <w:rPr>
                <w:webHidden/>
              </w:rPr>
              <w:fldChar w:fldCharType="begin"/>
            </w:r>
            <w:r w:rsidR="00DE65AE">
              <w:rPr>
                <w:webHidden/>
              </w:rPr>
              <w:instrText xml:space="preserve"> PAGEREF _Toc451501277 \h </w:instrText>
            </w:r>
            <w:r w:rsidR="00DE65AE">
              <w:rPr>
                <w:webHidden/>
              </w:rPr>
            </w:r>
            <w:r w:rsidR="00DE65AE">
              <w:rPr>
                <w:webHidden/>
              </w:rPr>
              <w:fldChar w:fldCharType="separate"/>
            </w:r>
            <w:r w:rsidR="00054ED4">
              <w:rPr>
                <w:webHidden/>
              </w:rPr>
              <w:t>42</w:t>
            </w:r>
            <w:r w:rsidR="00DE65AE">
              <w:rPr>
                <w:webHidden/>
              </w:rPr>
              <w:fldChar w:fldCharType="end"/>
            </w:r>
          </w:hyperlink>
        </w:p>
        <w:p w14:paraId="5286AB18" w14:textId="77777777" w:rsidR="00DE65AE" w:rsidRDefault="00CD4AC5" w:rsidP="004C79C1">
          <w:pPr>
            <w:pStyle w:val="TOC3"/>
            <w:spacing w:after="120" w:line="240" w:lineRule="auto"/>
            <w:rPr>
              <w:rFonts w:asciiTheme="minorHAnsi" w:eastAsiaTheme="minorEastAsia" w:hAnsiTheme="minorHAnsi" w:cstheme="minorBidi"/>
            </w:rPr>
          </w:pPr>
          <w:hyperlink w:anchor="_Toc451501278" w:history="1">
            <w:r w:rsidR="00DE65AE" w:rsidRPr="003E51D2">
              <w:rPr>
                <w:rStyle w:val="Hyperlink"/>
              </w:rPr>
              <w:t>Cardiac magnetic resonance imaging</w:t>
            </w:r>
            <w:r w:rsidR="00DE65AE">
              <w:rPr>
                <w:webHidden/>
              </w:rPr>
              <w:tab/>
            </w:r>
            <w:r w:rsidR="00DE65AE">
              <w:rPr>
                <w:webHidden/>
              </w:rPr>
              <w:fldChar w:fldCharType="begin"/>
            </w:r>
            <w:r w:rsidR="00DE65AE">
              <w:rPr>
                <w:webHidden/>
              </w:rPr>
              <w:instrText xml:space="preserve"> PAGEREF _Toc451501278 \h </w:instrText>
            </w:r>
            <w:r w:rsidR="00DE65AE">
              <w:rPr>
                <w:webHidden/>
              </w:rPr>
            </w:r>
            <w:r w:rsidR="00DE65AE">
              <w:rPr>
                <w:webHidden/>
              </w:rPr>
              <w:fldChar w:fldCharType="separate"/>
            </w:r>
            <w:r w:rsidR="00054ED4">
              <w:rPr>
                <w:webHidden/>
              </w:rPr>
              <w:t>42</w:t>
            </w:r>
            <w:r w:rsidR="00DE65AE">
              <w:rPr>
                <w:webHidden/>
              </w:rPr>
              <w:fldChar w:fldCharType="end"/>
            </w:r>
          </w:hyperlink>
        </w:p>
        <w:p w14:paraId="135E984E" w14:textId="77777777" w:rsidR="00DE65AE" w:rsidRDefault="00CD4AC5" w:rsidP="004C79C1">
          <w:pPr>
            <w:pStyle w:val="TOC3"/>
            <w:spacing w:after="120" w:line="240" w:lineRule="auto"/>
            <w:rPr>
              <w:rFonts w:asciiTheme="minorHAnsi" w:eastAsiaTheme="minorEastAsia" w:hAnsiTheme="minorHAnsi" w:cstheme="minorBidi"/>
            </w:rPr>
          </w:pPr>
          <w:hyperlink w:anchor="_Toc451501279" w:history="1">
            <w:r w:rsidR="00DE65AE" w:rsidRPr="003E51D2">
              <w:rPr>
                <w:rStyle w:val="Hyperlink"/>
              </w:rPr>
              <w:t>Dilated cardiomyopathy</w:t>
            </w:r>
            <w:r w:rsidR="00DE65AE">
              <w:rPr>
                <w:webHidden/>
              </w:rPr>
              <w:tab/>
            </w:r>
            <w:r w:rsidR="00DE65AE">
              <w:rPr>
                <w:webHidden/>
              </w:rPr>
              <w:fldChar w:fldCharType="begin"/>
            </w:r>
            <w:r w:rsidR="00DE65AE">
              <w:rPr>
                <w:webHidden/>
              </w:rPr>
              <w:instrText xml:space="preserve"> PAGEREF _Toc451501279 \h </w:instrText>
            </w:r>
            <w:r w:rsidR="00DE65AE">
              <w:rPr>
                <w:webHidden/>
              </w:rPr>
            </w:r>
            <w:r w:rsidR="00DE65AE">
              <w:rPr>
                <w:webHidden/>
              </w:rPr>
              <w:fldChar w:fldCharType="separate"/>
            </w:r>
            <w:r w:rsidR="00054ED4">
              <w:rPr>
                <w:webHidden/>
              </w:rPr>
              <w:t>42</w:t>
            </w:r>
            <w:r w:rsidR="00DE65AE">
              <w:rPr>
                <w:webHidden/>
              </w:rPr>
              <w:fldChar w:fldCharType="end"/>
            </w:r>
          </w:hyperlink>
        </w:p>
        <w:p w14:paraId="2F05A0FC"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0" w:history="1">
            <w:r w:rsidR="00DE65AE" w:rsidRPr="003E51D2">
              <w:rPr>
                <w:rStyle w:val="Hyperlink"/>
              </w:rPr>
              <w:t>A3</w:t>
            </w:r>
            <w:r w:rsidR="00DE65AE">
              <w:rPr>
                <w:rFonts w:asciiTheme="minorHAnsi" w:eastAsiaTheme="minorEastAsia" w:hAnsiTheme="minorHAnsi" w:cstheme="minorBidi"/>
              </w:rPr>
              <w:tab/>
            </w:r>
            <w:r w:rsidR="00DE65AE" w:rsidRPr="003E51D2">
              <w:rPr>
                <w:rStyle w:val="Hyperlink"/>
              </w:rPr>
              <w:t>Proposal for Public Funding</w:t>
            </w:r>
            <w:r w:rsidR="00DE65AE">
              <w:rPr>
                <w:webHidden/>
              </w:rPr>
              <w:tab/>
            </w:r>
            <w:r w:rsidR="00DE65AE">
              <w:rPr>
                <w:webHidden/>
              </w:rPr>
              <w:fldChar w:fldCharType="begin"/>
            </w:r>
            <w:r w:rsidR="00DE65AE">
              <w:rPr>
                <w:webHidden/>
              </w:rPr>
              <w:instrText xml:space="preserve"> PAGEREF _Toc451501280 \h </w:instrText>
            </w:r>
            <w:r w:rsidR="00DE65AE">
              <w:rPr>
                <w:webHidden/>
              </w:rPr>
            </w:r>
            <w:r w:rsidR="00DE65AE">
              <w:rPr>
                <w:webHidden/>
              </w:rPr>
              <w:fldChar w:fldCharType="separate"/>
            </w:r>
            <w:r w:rsidR="00054ED4">
              <w:rPr>
                <w:webHidden/>
              </w:rPr>
              <w:t>43</w:t>
            </w:r>
            <w:r w:rsidR="00DE65AE">
              <w:rPr>
                <w:webHidden/>
              </w:rPr>
              <w:fldChar w:fldCharType="end"/>
            </w:r>
          </w:hyperlink>
        </w:p>
        <w:p w14:paraId="05FDA351"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1" w:history="1">
            <w:r w:rsidR="00DE65AE" w:rsidRPr="003E51D2">
              <w:rPr>
                <w:rStyle w:val="Hyperlink"/>
              </w:rPr>
              <w:t>A4</w:t>
            </w:r>
            <w:r w:rsidR="00DE65AE">
              <w:rPr>
                <w:rFonts w:asciiTheme="minorHAnsi" w:eastAsiaTheme="minorEastAsia" w:hAnsiTheme="minorHAnsi" w:cstheme="minorBidi"/>
              </w:rPr>
              <w:tab/>
            </w:r>
            <w:r w:rsidR="00DE65AE" w:rsidRPr="003E51D2">
              <w:rPr>
                <w:rStyle w:val="Hyperlink"/>
              </w:rPr>
              <w:t>Proposed Population</w:t>
            </w:r>
            <w:r w:rsidR="00DE65AE">
              <w:rPr>
                <w:webHidden/>
              </w:rPr>
              <w:tab/>
            </w:r>
            <w:r w:rsidR="00DE65AE">
              <w:rPr>
                <w:webHidden/>
              </w:rPr>
              <w:fldChar w:fldCharType="begin"/>
            </w:r>
            <w:r w:rsidR="00DE65AE">
              <w:rPr>
                <w:webHidden/>
              </w:rPr>
              <w:instrText xml:space="preserve"> PAGEREF _Toc451501281 \h </w:instrText>
            </w:r>
            <w:r w:rsidR="00DE65AE">
              <w:rPr>
                <w:webHidden/>
              </w:rPr>
            </w:r>
            <w:r w:rsidR="00DE65AE">
              <w:rPr>
                <w:webHidden/>
              </w:rPr>
              <w:fldChar w:fldCharType="separate"/>
            </w:r>
            <w:r w:rsidR="00054ED4">
              <w:rPr>
                <w:webHidden/>
              </w:rPr>
              <w:t>43</w:t>
            </w:r>
            <w:r w:rsidR="00DE65AE">
              <w:rPr>
                <w:webHidden/>
              </w:rPr>
              <w:fldChar w:fldCharType="end"/>
            </w:r>
          </w:hyperlink>
        </w:p>
        <w:p w14:paraId="6E6EFDA4"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2" w:history="1">
            <w:r w:rsidR="00DE65AE" w:rsidRPr="003E51D2">
              <w:rPr>
                <w:rStyle w:val="Hyperlink"/>
              </w:rPr>
              <w:t>A5</w:t>
            </w:r>
            <w:r w:rsidR="00DE65AE">
              <w:rPr>
                <w:rFonts w:asciiTheme="minorHAnsi" w:eastAsiaTheme="minorEastAsia" w:hAnsiTheme="minorHAnsi" w:cstheme="minorBidi"/>
              </w:rPr>
              <w:tab/>
            </w:r>
            <w:r w:rsidR="00DE65AE" w:rsidRPr="003E51D2">
              <w:rPr>
                <w:rStyle w:val="Hyperlink"/>
              </w:rPr>
              <w:t>Comparator Details</w:t>
            </w:r>
            <w:r w:rsidR="00DE65AE">
              <w:rPr>
                <w:webHidden/>
              </w:rPr>
              <w:tab/>
            </w:r>
            <w:r w:rsidR="00DE65AE">
              <w:rPr>
                <w:webHidden/>
              </w:rPr>
              <w:fldChar w:fldCharType="begin"/>
            </w:r>
            <w:r w:rsidR="00DE65AE">
              <w:rPr>
                <w:webHidden/>
              </w:rPr>
              <w:instrText xml:space="preserve"> PAGEREF _Toc451501282 \h </w:instrText>
            </w:r>
            <w:r w:rsidR="00DE65AE">
              <w:rPr>
                <w:webHidden/>
              </w:rPr>
            </w:r>
            <w:r w:rsidR="00DE65AE">
              <w:rPr>
                <w:webHidden/>
              </w:rPr>
              <w:fldChar w:fldCharType="separate"/>
            </w:r>
            <w:r w:rsidR="00054ED4">
              <w:rPr>
                <w:webHidden/>
              </w:rPr>
              <w:t>44</w:t>
            </w:r>
            <w:r w:rsidR="00DE65AE">
              <w:rPr>
                <w:webHidden/>
              </w:rPr>
              <w:fldChar w:fldCharType="end"/>
            </w:r>
          </w:hyperlink>
        </w:p>
        <w:p w14:paraId="330564A8"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3" w:history="1">
            <w:r w:rsidR="00DE65AE" w:rsidRPr="003E51D2">
              <w:rPr>
                <w:rStyle w:val="Hyperlink"/>
              </w:rPr>
              <w:t>A6</w:t>
            </w:r>
            <w:r w:rsidR="00DE65AE">
              <w:rPr>
                <w:rFonts w:asciiTheme="minorHAnsi" w:eastAsiaTheme="minorEastAsia" w:hAnsiTheme="minorHAnsi" w:cstheme="minorBidi"/>
              </w:rPr>
              <w:tab/>
            </w:r>
            <w:r w:rsidR="00DE65AE" w:rsidRPr="003E51D2">
              <w:rPr>
                <w:rStyle w:val="Hyperlink"/>
              </w:rPr>
              <w:t>Clinical Management Algorithms</w:t>
            </w:r>
            <w:r w:rsidR="00DE65AE">
              <w:rPr>
                <w:webHidden/>
              </w:rPr>
              <w:tab/>
            </w:r>
            <w:r w:rsidR="00DE65AE">
              <w:rPr>
                <w:webHidden/>
              </w:rPr>
              <w:fldChar w:fldCharType="begin"/>
            </w:r>
            <w:r w:rsidR="00DE65AE">
              <w:rPr>
                <w:webHidden/>
              </w:rPr>
              <w:instrText xml:space="preserve"> PAGEREF _Toc451501283 \h </w:instrText>
            </w:r>
            <w:r w:rsidR="00DE65AE">
              <w:rPr>
                <w:webHidden/>
              </w:rPr>
            </w:r>
            <w:r w:rsidR="00DE65AE">
              <w:rPr>
                <w:webHidden/>
              </w:rPr>
              <w:fldChar w:fldCharType="separate"/>
            </w:r>
            <w:r w:rsidR="00054ED4">
              <w:rPr>
                <w:webHidden/>
              </w:rPr>
              <w:t>46</w:t>
            </w:r>
            <w:r w:rsidR="00DE65AE">
              <w:rPr>
                <w:webHidden/>
              </w:rPr>
              <w:fldChar w:fldCharType="end"/>
            </w:r>
          </w:hyperlink>
        </w:p>
        <w:p w14:paraId="70F3400B"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4" w:history="1">
            <w:r w:rsidR="00DE65AE" w:rsidRPr="003E51D2">
              <w:rPr>
                <w:rStyle w:val="Hyperlink"/>
              </w:rPr>
              <w:t>A7</w:t>
            </w:r>
            <w:r w:rsidR="00DE65AE">
              <w:rPr>
                <w:rFonts w:asciiTheme="minorHAnsi" w:eastAsiaTheme="minorEastAsia" w:hAnsiTheme="minorHAnsi" w:cstheme="minorBidi"/>
              </w:rPr>
              <w:tab/>
            </w:r>
            <w:r w:rsidR="00DE65AE" w:rsidRPr="003E51D2">
              <w:rPr>
                <w:rStyle w:val="Hyperlink"/>
              </w:rPr>
              <w:t>Key Differences in the Proposed Medical Service and the Main Comparator</w:t>
            </w:r>
            <w:r w:rsidR="00DE65AE">
              <w:rPr>
                <w:webHidden/>
              </w:rPr>
              <w:tab/>
            </w:r>
            <w:r w:rsidR="00DE65AE">
              <w:rPr>
                <w:webHidden/>
              </w:rPr>
              <w:fldChar w:fldCharType="begin"/>
            </w:r>
            <w:r w:rsidR="00DE65AE">
              <w:rPr>
                <w:webHidden/>
              </w:rPr>
              <w:instrText xml:space="preserve"> PAGEREF _Toc451501284 \h </w:instrText>
            </w:r>
            <w:r w:rsidR="00DE65AE">
              <w:rPr>
                <w:webHidden/>
              </w:rPr>
            </w:r>
            <w:r w:rsidR="00DE65AE">
              <w:rPr>
                <w:webHidden/>
              </w:rPr>
              <w:fldChar w:fldCharType="separate"/>
            </w:r>
            <w:r w:rsidR="00054ED4">
              <w:rPr>
                <w:webHidden/>
              </w:rPr>
              <w:t>52</w:t>
            </w:r>
            <w:r w:rsidR="00DE65AE">
              <w:rPr>
                <w:webHidden/>
              </w:rPr>
              <w:fldChar w:fldCharType="end"/>
            </w:r>
          </w:hyperlink>
        </w:p>
        <w:p w14:paraId="3EECDCFC"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5" w:history="1">
            <w:r w:rsidR="00DE65AE" w:rsidRPr="003E51D2">
              <w:rPr>
                <w:rStyle w:val="Hyperlink"/>
              </w:rPr>
              <w:t>A8</w:t>
            </w:r>
            <w:r w:rsidR="00DE65AE">
              <w:rPr>
                <w:rFonts w:asciiTheme="minorHAnsi" w:eastAsiaTheme="minorEastAsia" w:hAnsiTheme="minorHAnsi" w:cstheme="minorBidi"/>
              </w:rPr>
              <w:tab/>
            </w:r>
            <w:r w:rsidR="00DE65AE" w:rsidRPr="003E51D2">
              <w:rPr>
                <w:rStyle w:val="Hyperlink"/>
              </w:rPr>
              <w:t>Clinical Claim</w:t>
            </w:r>
            <w:r w:rsidR="00DE65AE">
              <w:rPr>
                <w:webHidden/>
              </w:rPr>
              <w:tab/>
            </w:r>
            <w:r w:rsidR="00DE65AE">
              <w:rPr>
                <w:webHidden/>
              </w:rPr>
              <w:fldChar w:fldCharType="begin"/>
            </w:r>
            <w:r w:rsidR="00DE65AE">
              <w:rPr>
                <w:webHidden/>
              </w:rPr>
              <w:instrText xml:space="preserve"> PAGEREF _Toc451501285 \h </w:instrText>
            </w:r>
            <w:r w:rsidR="00DE65AE">
              <w:rPr>
                <w:webHidden/>
              </w:rPr>
            </w:r>
            <w:r w:rsidR="00DE65AE">
              <w:rPr>
                <w:webHidden/>
              </w:rPr>
              <w:fldChar w:fldCharType="separate"/>
            </w:r>
            <w:r w:rsidR="00054ED4">
              <w:rPr>
                <w:webHidden/>
              </w:rPr>
              <w:t>53</w:t>
            </w:r>
            <w:r w:rsidR="00DE65AE">
              <w:rPr>
                <w:webHidden/>
              </w:rPr>
              <w:fldChar w:fldCharType="end"/>
            </w:r>
          </w:hyperlink>
        </w:p>
        <w:p w14:paraId="1FE6741C"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286" w:history="1">
            <w:r w:rsidR="00DE65AE" w:rsidRPr="003E51D2">
              <w:rPr>
                <w:rStyle w:val="Hyperlink"/>
              </w:rPr>
              <w:t>A9</w:t>
            </w:r>
            <w:r w:rsidR="00DE65AE">
              <w:rPr>
                <w:rFonts w:asciiTheme="minorHAnsi" w:eastAsiaTheme="minorEastAsia" w:hAnsiTheme="minorHAnsi" w:cstheme="minorBidi"/>
              </w:rPr>
              <w:tab/>
            </w:r>
            <w:r w:rsidR="00DE65AE" w:rsidRPr="003E51D2">
              <w:rPr>
                <w:rStyle w:val="Hyperlink"/>
              </w:rPr>
              <w:t>Summary of the PICO</w:t>
            </w:r>
            <w:r w:rsidR="00DE65AE">
              <w:rPr>
                <w:webHidden/>
              </w:rPr>
              <w:tab/>
            </w:r>
            <w:r w:rsidR="00DE65AE">
              <w:rPr>
                <w:webHidden/>
              </w:rPr>
              <w:fldChar w:fldCharType="begin"/>
            </w:r>
            <w:r w:rsidR="00DE65AE">
              <w:rPr>
                <w:webHidden/>
              </w:rPr>
              <w:instrText xml:space="preserve"> PAGEREF _Toc451501286 \h </w:instrText>
            </w:r>
            <w:r w:rsidR="00DE65AE">
              <w:rPr>
                <w:webHidden/>
              </w:rPr>
            </w:r>
            <w:r w:rsidR="00DE65AE">
              <w:rPr>
                <w:webHidden/>
              </w:rPr>
              <w:fldChar w:fldCharType="separate"/>
            </w:r>
            <w:r w:rsidR="00054ED4">
              <w:rPr>
                <w:webHidden/>
              </w:rPr>
              <w:t>53</w:t>
            </w:r>
            <w:r w:rsidR="00DE65AE">
              <w:rPr>
                <w:webHidden/>
              </w:rPr>
              <w:fldChar w:fldCharType="end"/>
            </w:r>
          </w:hyperlink>
        </w:p>
        <w:p w14:paraId="6701115D" w14:textId="77777777" w:rsidR="00DE65AE" w:rsidRDefault="00CD4AC5" w:rsidP="004C79C1">
          <w:pPr>
            <w:pStyle w:val="TOC3"/>
            <w:spacing w:after="120" w:line="240" w:lineRule="auto"/>
            <w:rPr>
              <w:rFonts w:asciiTheme="minorHAnsi" w:eastAsiaTheme="minorEastAsia" w:hAnsiTheme="minorHAnsi" w:cstheme="minorBidi"/>
            </w:rPr>
          </w:pPr>
          <w:hyperlink w:anchor="_Toc451501287" w:history="1">
            <w:r w:rsidR="00DE65AE" w:rsidRPr="003E51D2">
              <w:rPr>
                <w:rStyle w:val="Hyperlink"/>
              </w:rPr>
              <w:t>Direct evidence</w:t>
            </w:r>
            <w:r w:rsidR="00DE65AE">
              <w:rPr>
                <w:webHidden/>
              </w:rPr>
              <w:tab/>
            </w:r>
            <w:r w:rsidR="00DE65AE">
              <w:rPr>
                <w:webHidden/>
              </w:rPr>
              <w:fldChar w:fldCharType="begin"/>
            </w:r>
            <w:r w:rsidR="00DE65AE">
              <w:rPr>
                <w:webHidden/>
              </w:rPr>
              <w:instrText xml:space="preserve"> PAGEREF _Toc451501287 \h </w:instrText>
            </w:r>
            <w:r w:rsidR="00DE65AE">
              <w:rPr>
                <w:webHidden/>
              </w:rPr>
            </w:r>
            <w:r w:rsidR="00DE65AE">
              <w:rPr>
                <w:webHidden/>
              </w:rPr>
              <w:fldChar w:fldCharType="separate"/>
            </w:r>
            <w:r w:rsidR="00054ED4">
              <w:rPr>
                <w:webHidden/>
              </w:rPr>
              <w:t>53</w:t>
            </w:r>
            <w:r w:rsidR="00DE65AE">
              <w:rPr>
                <w:webHidden/>
              </w:rPr>
              <w:fldChar w:fldCharType="end"/>
            </w:r>
          </w:hyperlink>
        </w:p>
        <w:p w14:paraId="2F0409A8" w14:textId="77777777" w:rsidR="00DE65AE" w:rsidRDefault="00CD4AC5" w:rsidP="004C79C1">
          <w:pPr>
            <w:pStyle w:val="TOC3"/>
            <w:spacing w:after="120" w:line="240" w:lineRule="auto"/>
            <w:rPr>
              <w:rFonts w:asciiTheme="minorHAnsi" w:eastAsiaTheme="minorEastAsia" w:hAnsiTheme="minorHAnsi" w:cstheme="minorBidi"/>
            </w:rPr>
          </w:pPr>
          <w:hyperlink w:anchor="_Toc451501288" w:history="1">
            <w:r w:rsidR="00DE65AE" w:rsidRPr="003E51D2">
              <w:rPr>
                <w:rStyle w:val="Hyperlink"/>
              </w:rPr>
              <w:t>Diagnostic performance</w:t>
            </w:r>
            <w:r w:rsidR="00DE65AE">
              <w:rPr>
                <w:webHidden/>
              </w:rPr>
              <w:tab/>
            </w:r>
            <w:r w:rsidR="00DE65AE">
              <w:rPr>
                <w:webHidden/>
              </w:rPr>
              <w:fldChar w:fldCharType="begin"/>
            </w:r>
            <w:r w:rsidR="00DE65AE">
              <w:rPr>
                <w:webHidden/>
              </w:rPr>
              <w:instrText xml:space="preserve"> PAGEREF _Toc451501288 \h </w:instrText>
            </w:r>
            <w:r w:rsidR="00DE65AE">
              <w:rPr>
                <w:webHidden/>
              </w:rPr>
            </w:r>
            <w:r w:rsidR="00DE65AE">
              <w:rPr>
                <w:webHidden/>
              </w:rPr>
              <w:fldChar w:fldCharType="separate"/>
            </w:r>
            <w:r w:rsidR="00054ED4">
              <w:rPr>
                <w:webHidden/>
              </w:rPr>
              <w:t>55</w:t>
            </w:r>
            <w:r w:rsidR="00DE65AE">
              <w:rPr>
                <w:webHidden/>
              </w:rPr>
              <w:fldChar w:fldCharType="end"/>
            </w:r>
          </w:hyperlink>
        </w:p>
        <w:p w14:paraId="48F348F3" w14:textId="77777777" w:rsidR="00DE65AE" w:rsidRDefault="00CD4AC5" w:rsidP="004C79C1">
          <w:pPr>
            <w:pStyle w:val="TOC3"/>
            <w:spacing w:after="120" w:line="240" w:lineRule="auto"/>
            <w:rPr>
              <w:rFonts w:asciiTheme="minorHAnsi" w:eastAsiaTheme="minorEastAsia" w:hAnsiTheme="minorHAnsi" w:cstheme="minorBidi"/>
            </w:rPr>
          </w:pPr>
          <w:hyperlink w:anchor="_Toc451501289" w:history="1">
            <w:r w:rsidR="00DE65AE" w:rsidRPr="003E51D2">
              <w:rPr>
                <w:rStyle w:val="Hyperlink"/>
              </w:rPr>
              <w:t>Prognostic value</w:t>
            </w:r>
            <w:r w:rsidR="00DE65AE">
              <w:rPr>
                <w:webHidden/>
              </w:rPr>
              <w:tab/>
            </w:r>
            <w:r w:rsidR="00DE65AE">
              <w:rPr>
                <w:webHidden/>
              </w:rPr>
              <w:fldChar w:fldCharType="begin"/>
            </w:r>
            <w:r w:rsidR="00DE65AE">
              <w:rPr>
                <w:webHidden/>
              </w:rPr>
              <w:instrText xml:space="preserve"> PAGEREF _Toc451501289 \h </w:instrText>
            </w:r>
            <w:r w:rsidR="00DE65AE">
              <w:rPr>
                <w:webHidden/>
              </w:rPr>
            </w:r>
            <w:r w:rsidR="00DE65AE">
              <w:rPr>
                <w:webHidden/>
              </w:rPr>
              <w:fldChar w:fldCharType="separate"/>
            </w:r>
            <w:r w:rsidR="00054ED4">
              <w:rPr>
                <w:webHidden/>
              </w:rPr>
              <w:t>56</w:t>
            </w:r>
            <w:r w:rsidR="00DE65AE">
              <w:rPr>
                <w:webHidden/>
              </w:rPr>
              <w:fldChar w:fldCharType="end"/>
            </w:r>
          </w:hyperlink>
        </w:p>
        <w:p w14:paraId="384260BA" w14:textId="77777777" w:rsidR="00DE65AE" w:rsidRDefault="00CD4AC5" w:rsidP="004C79C1">
          <w:pPr>
            <w:pStyle w:val="TOC3"/>
            <w:spacing w:after="120" w:line="240" w:lineRule="auto"/>
            <w:rPr>
              <w:rFonts w:asciiTheme="minorHAnsi" w:eastAsiaTheme="minorEastAsia" w:hAnsiTheme="minorHAnsi" w:cstheme="minorBidi"/>
            </w:rPr>
          </w:pPr>
          <w:hyperlink w:anchor="_Toc451501290" w:history="1">
            <w:r w:rsidR="00DE65AE" w:rsidRPr="003E51D2">
              <w:rPr>
                <w:rStyle w:val="Hyperlink"/>
              </w:rPr>
              <w:t>Therapeutic efficacy</w:t>
            </w:r>
            <w:r w:rsidR="00DE65AE">
              <w:rPr>
                <w:webHidden/>
              </w:rPr>
              <w:tab/>
            </w:r>
            <w:r w:rsidR="00DE65AE">
              <w:rPr>
                <w:webHidden/>
              </w:rPr>
              <w:fldChar w:fldCharType="begin"/>
            </w:r>
            <w:r w:rsidR="00DE65AE">
              <w:rPr>
                <w:webHidden/>
              </w:rPr>
              <w:instrText xml:space="preserve"> PAGEREF _Toc451501290 \h </w:instrText>
            </w:r>
            <w:r w:rsidR="00DE65AE">
              <w:rPr>
                <w:webHidden/>
              </w:rPr>
            </w:r>
            <w:r w:rsidR="00DE65AE">
              <w:rPr>
                <w:webHidden/>
              </w:rPr>
              <w:fldChar w:fldCharType="separate"/>
            </w:r>
            <w:r w:rsidR="00054ED4">
              <w:rPr>
                <w:webHidden/>
              </w:rPr>
              <w:t>56</w:t>
            </w:r>
            <w:r w:rsidR="00DE65AE">
              <w:rPr>
                <w:webHidden/>
              </w:rPr>
              <w:fldChar w:fldCharType="end"/>
            </w:r>
          </w:hyperlink>
        </w:p>
        <w:p w14:paraId="6585A03A" w14:textId="77777777" w:rsidR="00DE65AE" w:rsidRDefault="00CD4AC5" w:rsidP="004C79C1">
          <w:pPr>
            <w:pStyle w:val="TOC3"/>
            <w:spacing w:after="120" w:line="240" w:lineRule="auto"/>
            <w:rPr>
              <w:rFonts w:asciiTheme="minorHAnsi" w:eastAsiaTheme="minorEastAsia" w:hAnsiTheme="minorHAnsi" w:cstheme="minorBidi"/>
            </w:rPr>
          </w:pPr>
          <w:hyperlink w:anchor="_Toc451501291" w:history="1">
            <w:r w:rsidR="00DE65AE" w:rsidRPr="003E51D2">
              <w:rPr>
                <w:rStyle w:val="Hyperlink"/>
              </w:rPr>
              <w:t>Therapeutic effectiveness</w:t>
            </w:r>
            <w:r w:rsidR="00DE65AE">
              <w:rPr>
                <w:webHidden/>
              </w:rPr>
              <w:tab/>
            </w:r>
            <w:r w:rsidR="00DE65AE">
              <w:rPr>
                <w:webHidden/>
              </w:rPr>
              <w:fldChar w:fldCharType="begin"/>
            </w:r>
            <w:r w:rsidR="00DE65AE">
              <w:rPr>
                <w:webHidden/>
              </w:rPr>
              <w:instrText xml:space="preserve"> PAGEREF _Toc451501291 \h </w:instrText>
            </w:r>
            <w:r w:rsidR="00DE65AE">
              <w:rPr>
                <w:webHidden/>
              </w:rPr>
            </w:r>
            <w:r w:rsidR="00DE65AE">
              <w:rPr>
                <w:webHidden/>
              </w:rPr>
              <w:fldChar w:fldCharType="separate"/>
            </w:r>
            <w:r w:rsidR="00054ED4">
              <w:rPr>
                <w:webHidden/>
              </w:rPr>
              <w:t>57</w:t>
            </w:r>
            <w:r w:rsidR="00DE65AE">
              <w:rPr>
                <w:webHidden/>
              </w:rPr>
              <w:fldChar w:fldCharType="end"/>
            </w:r>
          </w:hyperlink>
        </w:p>
        <w:p w14:paraId="5260B70C"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292" w:history="1">
            <w:r w:rsidR="00DE65AE" w:rsidRPr="003E51D2">
              <w:rPr>
                <w:rStyle w:val="Hyperlink"/>
              </w:rPr>
              <w:t>A10</w:t>
            </w:r>
            <w:r w:rsidR="00DE65AE">
              <w:rPr>
                <w:rFonts w:asciiTheme="minorHAnsi" w:eastAsiaTheme="minorEastAsia" w:hAnsiTheme="minorHAnsi" w:cstheme="minorBidi"/>
              </w:rPr>
              <w:tab/>
            </w:r>
            <w:r w:rsidR="00DE65AE" w:rsidRPr="003E51D2">
              <w:rPr>
                <w:rStyle w:val="Hyperlink"/>
              </w:rPr>
              <w:t>Consumer impact statement</w:t>
            </w:r>
            <w:r w:rsidR="00DE65AE">
              <w:rPr>
                <w:webHidden/>
              </w:rPr>
              <w:tab/>
            </w:r>
            <w:r w:rsidR="00DE65AE">
              <w:rPr>
                <w:webHidden/>
              </w:rPr>
              <w:fldChar w:fldCharType="begin"/>
            </w:r>
            <w:r w:rsidR="00DE65AE">
              <w:rPr>
                <w:webHidden/>
              </w:rPr>
              <w:instrText xml:space="preserve"> PAGEREF _Toc451501292 \h </w:instrText>
            </w:r>
            <w:r w:rsidR="00DE65AE">
              <w:rPr>
                <w:webHidden/>
              </w:rPr>
            </w:r>
            <w:r w:rsidR="00DE65AE">
              <w:rPr>
                <w:webHidden/>
              </w:rPr>
              <w:fldChar w:fldCharType="separate"/>
            </w:r>
            <w:r w:rsidR="00054ED4">
              <w:rPr>
                <w:webHidden/>
              </w:rPr>
              <w:t>57</w:t>
            </w:r>
            <w:r w:rsidR="00DE65AE">
              <w:rPr>
                <w:webHidden/>
              </w:rPr>
              <w:fldChar w:fldCharType="end"/>
            </w:r>
          </w:hyperlink>
        </w:p>
        <w:p w14:paraId="635B295D"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293" w:history="1">
            <w:r w:rsidR="00DE65AE" w:rsidRPr="003E51D2">
              <w:rPr>
                <w:rStyle w:val="Hyperlink"/>
              </w:rPr>
              <w:t>Section B</w:t>
            </w:r>
            <w:r w:rsidR="00DE65AE">
              <w:rPr>
                <w:rFonts w:asciiTheme="minorHAnsi" w:eastAsiaTheme="minorEastAsia" w:hAnsiTheme="minorHAnsi" w:cstheme="minorBidi"/>
                <w:b w:val="0"/>
              </w:rPr>
              <w:tab/>
            </w:r>
            <w:r w:rsidR="00DE65AE" w:rsidRPr="003E51D2">
              <w:rPr>
                <w:rStyle w:val="Hyperlink"/>
              </w:rPr>
              <w:t>Clinical Evaluation</w:t>
            </w:r>
            <w:r w:rsidR="00DE65AE">
              <w:rPr>
                <w:webHidden/>
              </w:rPr>
              <w:tab/>
            </w:r>
            <w:r w:rsidR="00DE65AE">
              <w:rPr>
                <w:webHidden/>
              </w:rPr>
              <w:fldChar w:fldCharType="begin"/>
            </w:r>
            <w:r w:rsidR="00DE65AE">
              <w:rPr>
                <w:webHidden/>
              </w:rPr>
              <w:instrText xml:space="preserve"> PAGEREF _Toc451501293 \h </w:instrText>
            </w:r>
            <w:r w:rsidR="00DE65AE">
              <w:rPr>
                <w:webHidden/>
              </w:rPr>
            </w:r>
            <w:r w:rsidR="00DE65AE">
              <w:rPr>
                <w:webHidden/>
              </w:rPr>
              <w:fldChar w:fldCharType="separate"/>
            </w:r>
            <w:r w:rsidR="00054ED4">
              <w:rPr>
                <w:webHidden/>
              </w:rPr>
              <w:t>59</w:t>
            </w:r>
            <w:r w:rsidR="00DE65AE">
              <w:rPr>
                <w:webHidden/>
              </w:rPr>
              <w:fldChar w:fldCharType="end"/>
            </w:r>
          </w:hyperlink>
        </w:p>
        <w:p w14:paraId="3B4EC51A" w14:textId="77777777" w:rsidR="00DE65AE" w:rsidRDefault="00CD4AC5" w:rsidP="004C79C1">
          <w:pPr>
            <w:pStyle w:val="TOC2"/>
            <w:spacing w:after="120" w:line="240" w:lineRule="auto"/>
            <w:rPr>
              <w:rFonts w:asciiTheme="minorHAnsi" w:eastAsiaTheme="minorEastAsia" w:hAnsiTheme="minorHAnsi" w:cstheme="minorBidi"/>
            </w:rPr>
          </w:pPr>
          <w:hyperlink w:anchor="_Toc451501294" w:history="1">
            <w:r w:rsidR="00DE65AE" w:rsidRPr="003E51D2">
              <w:rPr>
                <w:rStyle w:val="Hyperlink"/>
              </w:rPr>
              <w:t>Literature Sources and Search Strategies</w:t>
            </w:r>
            <w:r w:rsidR="00DE65AE">
              <w:rPr>
                <w:webHidden/>
              </w:rPr>
              <w:tab/>
            </w:r>
            <w:r w:rsidR="00DE65AE">
              <w:rPr>
                <w:webHidden/>
              </w:rPr>
              <w:fldChar w:fldCharType="begin"/>
            </w:r>
            <w:r w:rsidR="00DE65AE">
              <w:rPr>
                <w:webHidden/>
              </w:rPr>
              <w:instrText xml:space="preserve"> PAGEREF _Toc451501294 \h </w:instrText>
            </w:r>
            <w:r w:rsidR="00DE65AE">
              <w:rPr>
                <w:webHidden/>
              </w:rPr>
            </w:r>
            <w:r w:rsidR="00DE65AE">
              <w:rPr>
                <w:webHidden/>
              </w:rPr>
              <w:fldChar w:fldCharType="separate"/>
            </w:r>
            <w:r w:rsidR="00054ED4">
              <w:rPr>
                <w:webHidden/>
              </w:rPr>
              <w:t>59</w:t>
            </w:r>
            <w:r w:rsidR="00DE65AE">
              <w:rPr>
                <w:webHidden/>
              </w:rPr>
              <w:fldChar w:fldCharType="end"/>
            </w:r>
          </w:hyperlink>
        </w:p>
        <w:p w14:paraId="57EC5AFF" w14:textId="77777777" w:rsidR="00DE65AE" w:rsidRDefault="00CD4AC5" w:rsidP="004C79C1">
          <w:pPr>
            <w:pStyle w:val="TOC2"/>
            <w:spacing w:after="120" w:line="240" w:lineRule="auto"/>
            <w:rPr>
              <w:rFonts w:asciiTheme="minorHAnsi" w:eastAsiaTheme="minorEastAsia" w:hAnsiTheme="minorHAnsi" w:cstheme="minorBidi"/>
            </w:rPr>
          </w:pPr>
          <w:hyperlink w:anchor="_Toc451501295" w:history="1">
            <w:r w:rsidR="00DE65AE" w:rsidRPr="003E51D2">
              <w:rPr>
                <w:rStyle w:val="Hyperlink"/>
              </w:rPr>
              <w:t>Results of Literature Search</w:t>
            </w:r>
            <w:r w:rsidR="00DE65AE">
              <w:rPr>
                <w:webHidden/>
              </w:rPr>
              <w:tab/>
            </w:r>
            <w:r w:rsidR="00DE65AE">
              <w:rPr>
                <w:webHidden/>
              </w:rPr>
              <w:fldChar w:fldCharType="begin"/>
            </w:r>
            <w:r w:rsidR="00DE65AE">
              <w:rPr>
                <w:webHidden/>
              </w:rPr>
              <w:instrText xml:space="preserve"> PAGEREF _Toc451501295 \h </w:instrText>
            </w:r>
            <w:r w:rsidR="00DE65AE">
              <w:rPr>
                <w:webHidden/>
              </w:rPr>
            </w:r>
            <w:r w:rsidR="00DE65AE">
              <w:rPr>
                <w:webHidden/>
              </w:rPr>
              <w:fldChar w:fldCharType="separate"/>
            </w:r>
            <w:r w:rsidR="00054ED4">
              <w:rPr>
                <w:webHidden/>
              </w:rPr>
              <w:t>60</w:t>
            </w:r>
            <w:r w:rsidR="00DE65AE">
              <w:rPr>
                <w:webHidden/>
              </w:rPr>
              <w:fldChar w:fldCharType="end"/>
            </w:r>
          </w:hyperlink>
        </w:p>
        <w:p w14:paraId="216BDFB3" w14:textId="77777777" w:rsidR="00DE65AE" w:rsidRDefault="00CD4AC5" w:rsidP="004C79C1">
          <w:pPr>
            <w:pStyle w:val="TOC2"/>
            <w:spacing w:after="120" w:line="240" w:lineRule="auto"/>
            <w:rPr>
              <w:rFonts w:asciiTheme="minorHAnsi" w:eastAsiaTheme="minorEastAsia" w:hAnsiTheme="minorHAnsi" w:cstheme="minorBidi"/>
            </w:rPr>
          </w:pPr>
          <w:hyperlink w:anchor="_Toc451501296" w:history="1">
            <w:r w:rsidR="00DE65AE" w:rsidRPr="003E51D2">
              <w:rPr>
                <w:rStyle w:val="Hyperlink"/>
              </w:rPr>
              <w:t>Appraisal of the Evidence</w:t>
            </w:r>
            <w:r w:rsidR="00DE65AE">
              <w:rPr>
                <w:webHidden/>
              </w:rPr>
              <w:tab/>
            </w:r>
            <w:r w:rsidR="00DE65AE">
              <w:rPr>
                <w:webHidden/>
              </w:rPr>
              <w:fldChar w:fldCharType="begin"/>
            </w:r>
            <w:r w:rsidR="00DE65AE">
              <w:rPr>
                <w:webHidden/>
              </w:rPr>
              <w:instrText xml:space="preserve"> PAGEREF _Toc451501296 \h </w:instrText>
            </w:r>
            <w:r w:rsidR="00DE65AE">
              <w:rPr>
                <w:webHidden/>
              </w:rPr>
            </w:r>
            <w:r w:rsidR="00DE65AE">
              <w:rPr>
                <w:webHidden/>
              </w:rPr>
              <w:fldChar w:fldCharType="separate"/>
            </w:r>
            <w:r w:rsidR="00054ED4">
              <w:rPr>
                <w:webHidden/>
              </w:rPr>
              <w:t>61</w:t>
            </w:r>
            <w:r w:rsidR="00DE65AE">
              <w:rPr>
                <w:webHidden/>
              </w:rPr>
              <w:fldChar w:fldCharType="end"/>
            </w:r>
          </w:hyperlink>
        </w:p>
        <w:p w14:paraId="4271A18E"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297" w:history="1">
            <w:r w:rsidR="00DE65AE" w:rsidRPr="003E51D2">
              <w:rPr>
                <w:rStyle w:val="Hyperlink"/>
              </w:rPr>
              <w:t>B1</w:t>
            </w:r>
            <w:r w:rsidR="00DE65AE">
              <w:rPr>
                <w:rFonts w:asciiTheme="minorHAnsi" w:eastAsiaTheme="minorEastAsia" w:hAnsiTheme="minorHAnsi" w:cstheme="minorBidi"/>
                <w:b w:val="0"/>
              </w:rPr>
              <w:tab/>
            </w:r>
            <w:r w:rsidR="00DE65AE" w:rsidRPr="003E51D2">
              <w:rPr>
                <w:rStyle w:val="Hyperlink"/>
              </w:rPr>
              <w:t>Direct Evidence</w:t>
            </w:r>
            <w:r w:rsidR="00DE65AE">
              <w:rPr>
                <w:webHidden/>
              </w:rPr>
              <w:tab/>
            </w:r>
            <w:r w:rsidR="00DE65AE">
              <w:rPr>
                <w:webHidden/>
              </w:rPr>
              <w:fldChar w:fldCharType="begin"/>
            </w:r>
            <w:r w:rsidR="00DE65AE">
              <w:rPr>
                <w:webHidden/>
              </w:rPr>
              <w:instrText xml:space="preserve"> PAGEREF _Toc451501297 \h </w:instrText>
            </w:r>
            <w:r w:rsidR="00DE65AE">
              <w:rPr>
                <w:webHidden/>
              </w:rPr>
            </w:r>
            <w:r w:rsidR="00DE65AE">
              <w:rPr>
                <w:webHidden/>
              </w:rPr>
              <w:fldChar w:fldCharType="separate"/>
            </w:r>
            <w:r w:rsidR="00054ED4">
              <w:rPr>
                <w:webHidden/>
              </w:rPr>
              <w:t>62</w:t>
            </w:r>
            <w:r w:rsidR="00DE65AE">
              <w:rPr>
                <w:webHidden/>
              </w:rPr>
              <w:fldChar w:fldCharType="end"/>
            </w:r>
          </w:hyperlink>
        </w:p>
        <w:p w14:paraId="1C4FA206"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298" w:history="1">
            <w:r w:rsidR="00DE65AE" w:rsidRPr="003E51D2">
              <w:rPr>
                <w:rStyle w:val="Hyperlink"/>
              </w:rPr>
              <w:t>B1.1</w:t>
            </w:r>
            <w:r w:rsidR="00DE65AE">
              <w:rPr>
                <w:rFonts w:asciiTheme="minorHAnsi" w:eastAsiaTheme="minorEastAsia" w:hAnsiTheme="minorHAnsi" w:cstheme="minorBidi"/>
              </w:rPr>
              <w:tab/>
            </w:r>
            <w:r w:rsidR="00DE65AE" w:rsidRPr="003E51D2">
              <w:rPr>
                <w:rStyle w:val="Hyperlink"/>
              </w:rPr>
              <w:t>Literature Sources and Search Strategies</w:t>
            </w:r>
            <w:r w:rsidR="00DE65AE">
              <w:rPr>
                <w:webHidden/>
              </w:rPr>
              <w:tab/>
            </w:r>
            <w:r w:rsidR="00DE65AE">
              <w:rPr>
                <w:webHidden/>
              </w:rPr>
              <w:fldChar w:fldCharType="begin"/>
            </w:r>
            <w:r w:rsidR="00DE65AE">
              <w:rPr>
                <w:webHidden/>
              </w:rPr>
              <w:instrText xml:space="preserve"> PAGEREF _Toc451501298 \h </w:instrText>
            </w:r>
            <w:r w:rsidR="00DE65AE">
              <w:rPr>
                <w:webHidden/>
              </w:rPr>
            </w:r>
            <w:r w:rsidR="00DE65AE">
              <w:rPr>
                <w:webHidden/>
              </w:rPr>
              <w:fldChar w:fldCharType="separate"/>
            </w:r>
            <w:r w:rsidR="00054ED4">
              <w:rPr>
                <w:webHidden/>
              </w:rPr>
              <w:t>62</w:t>
            </w:r>
            <w:r w:rsidR="00DE65AE">
              <w:rPr>
                <w:webHidden/>
              </w:rPr>
              <w:fldChar w:fldCharType="end"/>
            </w:r>
          </w:hyperlink>
        </w:p>
        <w:p w14:paraId="36078710"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299" w:history="1">
            <w:r w:rsidR="00DE65AE" w:rsidRPr="003E51D2">
              <w:rPr>
                <w:rStyle w:val="Hyperlink"/>
              </w:rPr>
              <w:t>B1.2</w:t>
            </w:r>
            <w:r w:rsidR="00DE65AE">
              <w:rPr>
                <w:rFonts w:asciiTheme="minorHAnsi" w:eastAsiaTheme="minorEastAsia" w:hAnsiTheme="minorHAnsi" w:cstheme="minorBidi"/>
              </w:rPr>
              <w:tab/>
            </w:r>
            <w:r w:rsidR="00DE65AE" w:rsidRPr="003E51D2">
              <w:rPr>
                <w:rStyle w:val="Hyperlink"/>
              </w:rPr>
              <w:t>Results of Literature Search</w:t>
            </w:r>
            <w:r w:rsidR="00DE65AE">
              <w:rPr>
                <w:webHidden/>
              </w:rPr>
              <w:tab/>
            </w:r>
            <w:r w:rsidR="00DE65AE">
              <w:rPr>
                <w:webHidden/>
              </w:rPr>
              <w:fldChar w:fldCharType="begin"/>
            </w:r>
            <w:r w:rsidR="00DE65AE">
              <w:rPr>
                <w:webHidden/>
              </w:rPr>
              <w:instrText xml:space="preserve"> PAGEREF _Toc451501299 \h </w:instrText>
            </w:r>
            <w:r w:rsidR="00DE65AE">
              <w:rPr>
                <w:webHidden/>
              </w:rPr>
            </w:r>
            <w:r w:rsidR="00DE65AE">
              <w:rPr>
                <w:webHidden/>
              </w:rPr>
              <w:fldChar w:fldCharType="separate"/>
            </w:r>
            <w:r w:rsidR="00054ED4">
              <w:rPr>
                <w:webHidden/>
              </w:rPr>
              <w:t>62</w:t>
            </w:r>
            <w:r w:rsidR="00DE65AE">
              <w:rPr>
                <w:webHidden/>
              </w:rPr>
              <w:fldChar w:fldCharType="end"/>
            </w:r>
          </w:hyperlink>
        </w:p>
        <w:p w14:paraId="59D54435"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00" w:history="1">
            <w:r w:rsidR="00DE65AE" w:rsidRPr="003E51D2">
              <w:rPr>
                <w:rStyle w:val="Hyperlink"/>
              </w:rPr>
              <w:t xml:space="preserve">B2 </w:t>
            </w:r>
            <w:r w:rsidR="00DE65AE">
              <w:rPr>
                <w:rFonts w:asciiTheme="minorHAnsi" w:eastAsiaTheme="minorEastAsia" w:hAnsiTheme="minorHAnsi" w:cstheme="minorBidi"/>
                <w:b w:val="0"/>
              </w:rPr>
              <w:tab/>
            </w:r>
            <w:r w:rsidR="00DE65AE" w:rsidRPr="003E51D2">
              <w:rPr>
                <w:rStyle w:val="Hyperlink"/>
              </w:rPr>
              <w:t>Linked Evidence Approach</w:t>
            </w:r>
            <w:r w:rsidR="00DE65AE">
              <w:rPr>
                <w:webHidden/>
              </w:rPr>
              <w:tab/>
            </w:r>
            <w:r w:rsidR="00DE65AE">
              <w:rPr>
                <w:webHidden/>
              </w:rPr>
              <w:fldChar w:fldCharType="begin"/>
            </w:r>
            <w:r w:rsidR="00DE65AE">
              <w:rPr>
                <w:webHidden/>
              </w:rPr>
              <w:instrText xml:space="preserve"> PAGEREF _Toc451501300 \h </w:instrText>
            </w:r>
            <w:r w:rsidR="00DE65AE">
              <w:rPr>
                <w:webHidden/>
              </w:rPr>
            </w:r>
            <w:r w:rsidR="00DE65AE">
              <w:rPr>
                <w:webHidden/>
              </w:rPr>
              <w:fldChar w:fldCharType="separate"/>
            </w:r>
            <w:r w:rsidR="00054ED4">
              <w:rPr>
                <w:webHidden/>
              </w:rPr>
              <w:t>63</w:t>
            </w:r>
            <w:r w:rsidR="00DE65AE">
              <w:rPr>
                <w:webHidden/>
              </w:rPr>
              <w:fldChar w:fldCharType="end"/>
            </w:r>
          </w:hyperlink>
        </w:p>
        <w:p w14:paraId="65A68576"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1" w:history="1">
            <w:r w:rsidR="00DE65AE" w:rsidRPr="003E51D2">
              <w:rPr>
                <w:rStyle w:val="Hyperlink"/>
              </w:rPr>
              <w:t>B2.1</w:t>
            </w:r>
            <w:r w:rsidR="00DE65AE">
              <w:rPr>
                <w:rFonts w:asciiTheme="minorHAnsi" w:eastAsiaTheme="minorEastAsia" w:hAnsiTheme="minorHAnsi" w:cstheme="minorBidi"/>
              </w:rPr>
              <w:tab/>
            </w:r>
            <w:r w:rsidR="00DE65AE" w:rsidRPr="003E51D2">
              <w:rPr>
                <w:rStyle w:val="Hyperlink"/>
              </w:rPr>
              <w:t>Basis for Linked Evidence</w:t>
            </w:r>
            <w:r w:rsidR="00DE65AE">
              <w:rPr>
                <w:webHidden/>
              </w:rPr>
              <w:tab/>
            </w:r>
            <w:r w:rsidR="00DE65AE">
              <w:rPr>
                <w:webHidden/>
              </w:rPr>
              <w:fldChar w:fldCharType="begin"/>
            </w:r>
            <w:r w:rsidR="00DE65AE">
              <w:rPr>
                <w:webHidden/>
              </w:rPr>
              <w:instrText xml:space="preserve"> PAGEREF _Toc451501301 \h </w:instrText>
            </w:r>
            <w:r w:rsidR="00DE65AE">
              <w:rPr>
                <w:webHidden/>
              </w:rPr>
            </w:r>
            <w:r w:rsidR="00DE65AE">
              <w:rPr>
                <w:webHidden/>
              </w:rPr>
              <w:fldChar w:fldCharType="separate"/>
            </w:r>
            <w:r w:rsidR="00054ED4">
              <w:rPr>
                <w:webHidden/>
              </w:rPr>
              <w:t>63</w:t>
            </w:r>
            <w:r w:rsidR="00DE65AE">
              <w:rPr>
                <w:webHidden/>
              </w:rPr>
              <w:fldChar w:fldCharType="end"/>
            </w:r>
          </w:hyperlink>
        </w:p>
        <w:p w14:paraId="405AE266"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2" w:history="1">
            <w:r w:rsidR="00DE65AE" w:rsidRPr="003E51D2">
              <w:rPr>
                <w:rStyle w:val="Hyperlink"/>
              </w:rPr>
              <w:t>B2.2</w:t>
            </w:r>
            <w:r w:rsidR="00DE65AE">
              <w:rPr>
                <w:rFonts w:asciiTheme="minorHAnsi" w:eastAsiaTheme="minorEastAsia" w:hAnsiTheme="minorHAnsi" w:cstheme="minorBidi"/>
              </w:rPr>
              <w:tab/>
            </w:r>
            <w:r w:rsidR="00DE65AE" w:rsidRPr="003E51D2">
              <w:rPr>
                <w:rStyle w:val="Hyperlink"/>
              </w:rPr>
              <w:t>Steps for Linked Analysis</w:t>
            </w:r>
            <w:r w:rsidR="00DE65AE">
              <w:rPr>
                <w:webHidden/>
              </w:rPr>
              <w:tab/>
            </w:r>
            <w:r w:rsidR="00DE65AE">
              <w:rPr>
                <w:webHidden/>
              </w:rPr>
              <w:fldChar w:fldCharType="begin"/>
            </w:r>
            <w:r w:rsidR="00DE65AE">
              <w:rPr>
                <w:webHidden/>
              </w:rPr>
              <w:instrText xml:space="preserve"> PAGEREF _Toc451501302 \h </w:instrText>
            </w:r>
            <w:r w:rsidR="00DE65AE">
              <w:rPr>
                <w:webHidden/>
              </w:rPr>
            </w:r>
            <w:r w:rsidR="00DE65AE">
              <w:rPr>
                <w:webHidden/>
              </w:rPr>
              <w:fldChar w:fldCharType="separate"/>
            </w:r>
            <w:r w:rsidR="00054ED4">
              <w:rPr>
                <w:webHidden/>
              </w:rPr>
              <w:t>63</w:t>
            </w:r>
            <w:r w:rsidR="00DE65AE">
              <w:rPr>
                <w:webHidden/>
              </w:rPr>
              <w:fldChar w:fldCharType="end"/>
            </w:r>
          </w:hyperlink>
        </w:p>
        <w:p w14:paraId="79AC376C"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03" w:history="1">
            <w:r w:rsidR="00DE65AE" w:rsidRPr="003E51D2">
              <w:rPr>
                <w:rStyle w:val="Hyperlink"/>
              </w:rPr>
              <w:t xml:space="preserve">B3 </w:t>
            </w:r>
            <w:r w:rsidR="00DE65AE">
              <w:rPr>
                <w:rFonts w:asciiTheme="minorHAnsi" w:eastAsiaTheme="minorEastAsia" w:hAnsiTheme="minorHAnsi" w:cstheme="minorBidi"/>
                <w:b w:val="0"/>
              </w:rPr>
              <w:tab/>
            </w:r>
            <w:r w:rsidR="00DE65AE" w:rsidRPr="003E51D2">
              <w:rPr>
                <w:rStyle w:val="Hyperlink"/>
              </w:rPr>
              <w:t>Diagnostic performance</w:t>
            </w:r>
            <w:r w:rsidR="00DE65AE">
              <w:rPr>
                <w:webHidden/>
              </w:rPr>
              <w:tab/>
            </w:r>
            <w:r w:rsidR="00DE65AE">
              <w:rPr>
                <w:webHidden/>
              </w:rPr>
              <w:fldChar w:fldCharType="begin"/>
            </w:r>
            <w:r w:rsidR="00DE65AE">
              <w:rPr>
                <w:webHidden/>
              </w:rPr>
              <w:instrText xml:space="preserve"> PAGEREF _Toc451501303 \h </w:instrText>
            </w:r>
            <w:r w:rsidR="00DE65AE">
              <w:rPr>
                <w:webHidden/>
              </w:rPr>
            </w:r>
            <w:r w:rsidR="00DE65AE">
              <w:rPr>
                <w:webHidden/>
              </w:rPr>
              <w:fldChar w:fldCharType="separate"/>
            </w:r>
            <w:r w:rsidR="00054ED4">
              <w:rPr>
                <w:webHidden/>
              </w:rPr>
              <w:t>64</w:t>
            </w:r>
            <w:r w:rsidR="00DE65AE">
              <w:rPr>
                <w:webHidden/>
              </w:rPr>
              <w:fldChar w:fldCharType="end"/>
            </w:r>
          </w:hyperlink>
        </w:p>
        <w:p w14:paraId="5ED7184D"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4" w:history="1">
            <w:r w:rsidR="00DE65AE" w:rsidRPr="003E51D2">
              <w:rPr>
                <w:rStyle w:val="Hyperlink"/>
              </w:rPr>
              <w:t>B3.1</w:t>
            </w:r>
            <w:r w:rsidR="00DE65AE">
              <w:rPr>
                <w:rFonts w:asciiTheme="minorHAnsi" w:eastAsiaTheme="minorEastAsia" w:hAnsiTheme="minorHAnsi" w:cstheme="minorBidi"/>
              </w:rPr>
              <w:tab/>
            </w:r>
            <w:r w:rsidR="00DE65AE" w:rsidRPr="003E51D2">
              <w:rPr>
                <w:rStyle w:val="Hyperlink"/>
              </w:rPr>
              <w:t>Reference Standard</w:t>
            </w:r>
            <w:r w:rsidR="00DE65AE">
              <w:rPr>
                <w:webHidden/>
              </w:rPr>
              <w:tab/>
            </w:r>
            <w:r w:rsidR="00DE65AE">
              <w:rPr>
                <w:webHidden/>
              </w:rPr>
              <w:fldChar w:fldCharType="begin"/>
            </w:r>
            <w:r w:rsidR="00DE65AE">
              <w:rPr>
                <w:webHidden/>
              </w:rPr>
              <w:instrText xml:space="preserve"> PAGEREF _Toc451501304 \h </w:instrText>
            </w:r>
            <w:r w:rsidR="00DE65AE">
              <w:rPr>
                <w:webHidden/>
              </w:rPr>
            </w:r>
            <w:r w:rsidR="00DE65AE">
              <w:rPr>
                <w:webHidden/>
              </w:rPr>
              <w:fldChar w:fldCharType="separate"/>
            </w:r>
            <w:r w:rsidR="00054ED4">
              <w:rPr>
                <w:webHidden/>
              </w:rPr>
              <w:t>64</w:t>
            </w:r>
            <w:r w:rsidR="00DE65AE">
              <w:rPr>
                <w:webHidden/>
              </w:rPr>
              <w:fldChar w:fldCharType="end"/>
            </w:r>
          </w:hyperlink>
        </w:p>
        <w:p w14:paraId="7CCC3BBA"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5" w:history="1">
            <w:r w:rsidR="00DE65AE" w:rsidRPr="003E51D2">
              <w:rPr>
                <w:rStyle w:val="Hyperlink"/>
              </w:rPr>
              <w:t>B3.2</w:t>
            </w:r>
            <w:r w:rsidR="00DE65AE">
              <w:rPr>
                <w:rFonts w:asciiTheme="minorHAnsi" w:eastAsiaTheme="minorEastAsia" w:hAnsiTheme="minorHAnsi" w:cstheme="minorBidi"/>
              </w:rPr>
              <w:tab/>
            </w:r>
            <w:r w:rsidR="00DE65AE" w:rsidRPr="003E51D2">
              <w:rPr>
                <w:rStyle w:val="Hyperlink"/>
              </w:rPr>
              <w:t>Literature Sources and Search Strategies</w:t>
            </w:r>
            <w:r w:rsidR="00DE65AE">
              <w:rPr>
                <w:webHidden/>
              </w:rPr>
              <w:tab/>
            </w:r>
            <w:r w:rsidR="00DE65AE">
              <w:rPr>
                <w:webHidden/>
              </w:rPr>
              <w:fldChar w:fldCharType="begin"/>
            </w:r>
            <w:r w:rsidR="00DE65AE">
              <w:rPr>
                <w:webHidden/>
              </w:rPr>
              <w:instrText xml:space="preserve"> PAGEREF _Toc451501305 \h </w:instrText>
            </w:r>
            <w:r w:rsidR="00DE65AE">
              <w:rPr>
                <w:webHidden/>
              </w:rPr>
            </w:r>
            <w:r w:rsidR="00DE65AE">
              <w:rPr>
                <w:webHidden/>
              </w:rPr>
              <w:fldChar w:fldCharType="separate"/>
            </w:r>
            <w:r w:rsidR="00054ED4">
              <w:rPr>
                <w:webHidden/>
              </w:rPr>
              <w:t>64</w:t>
            </w:r>
            <w:r w:rsidR="00DE65AE">
              <w:rPr>
                <w:webHidden/>
              </w:rPr>
              <w:fldChar w:fldCharType="end"/>
            </w:r>
          </w:hyperlink>
        </w:p>
        <w:p w14:paraId="421C5524" w14:textId="77777777" w:rsidR="00DE65AE" w:rsidRDefault="00CD4AC5" w:rsidP="004C79C1">
          <w:pPr>
            <w:pStyle w:val="TOC3"/>
            <w:spacing w:after="120" w:line="240" w:lineRule="auto"/>
            <w:rPr>
              <w:rFonts w:asciiTheme="minorHAnsi" w:eastAsiaTheme="minorEastAsia" w:hAnsiTheme="minorHAnsi" w:cstheme="minorBidi"/>
            </w:rPr>
          </w:pPr>
          <w:hyperlink w:anchor="_Toc451501306" w:history="1">
            <w:r w:rsidR="00DE65AE" w:rsidRPr="003E51D2">
              <w:rPr>
                <w:rStyle w:val="Hyperlink"/>
              </w:rPr>
              <w:t>B3.2.1 Results of literature search</w:t>
            </w:r>
            <w:r w:rsidR="00DE65AE">
              <w:rPr>
                <w:webHidden/>
              </w:rPr>
              <w:tab/>
            </w:r>
            <w:r w:rsidR="00DE65AE">
              <w:rPr>
                <w:webHidden/>
              </w:rPr>
              <w:fldChar w:fldCharType="begin"/>
            </w:r>
            <w:r w:rsidR="00DE65AE">
              <w:rPr>
                <w:webHidden/>
              </w:rPr>
              <w:instrText xml:space="preserve"> PAGEREF _Toc451501306 \h </w:instrText>
            </w:r>
            <w:r w:rsidR="00DE65AE">
              <w:rPr>
                <w:webHidden/>
              </w:rPr>
            </w:r>
            <w:r w:rsidR="00DE65AE">
              <w:rPr>
                <w:webHidden/>
              </w:rPr>
              <w:fldChar w:fldCharType="separate"/>
            </w:r>
            <w:r w:rsidR="00054ED4">
              <w:rPr>
                <w:webHidden/>
              </w:rPr>
              <w:t>65</w:t>
            </w:r>
            <w:r w:rsidR="00DE65AE">
              <w:rPr>
                <w:webHidden/>
              </w:rPr>
              <w:fldChar w:fldCharType="end"/>
            </w:r>
          </w:hyperlink>
        </w:p>
        <w:p w14:paraId="53FB289C"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7" w:history="1">
            <w:r w:rsidR="00DE65AE" w:rsidRPr="003E51D2">
              <w:rPr>
                <w:rStyle w:val="Hyperlink"/>
              </w:rPr>
              <w:t>B3.3</w:t>
            </w:r>
            <w:r w:rsidR="00DE65AE">
              <w:rPr>
                <w:rFonts w:asciiTheme="minorHAnsi" w:eastAsiaTheme="minorEastAsia" w:hAnsiTheme="minorHAnsi" w:cstheme="minorBidi"/>
              </w:rPr>
              <w:tab/>
            </w:r>
            <w:r w:rsidR="00DE65AE" w:rsidRPr="003E51D2">
              <w:rPr>
                <w:rStyle w:val="Hyperlink"/>
              </w:rPr>
              <w:t>Risk of Bias Assessment</w:t>
            </w:r>
            <w:r w:rsidR="00DE65AE">
              <w:rPr>
                <w:webHidden/>
              </w:rPr>
              <w:tab/>
            </w:r>
            <w:r w:rsidR="00DE65AE">
              <w:rPr>
                <w:webHidden/>
              </w:rPr>
              <w:fldChar w:fldCharType="begin"/>
            </w:r>
            <w:r w:rsidR="00DE65AE">
              <w:rPr>
                <w:webHidden/>
              </w:rPr>
              <w:instrText xml:space="preserve"> PAGEREF _Toc451501307 \h </w:instrText>
            </w:r>
            <w:r w:rsidR="00DE65AE">
              <w:rPr>
                <w:webHidden/>
              </w:rPr>
            </w:r>
            <w:r w:rsidR="00DE65AE">
              <w:rPr>
                <w:webHidden/>
              </w:rPr>
              <w:fldChar w:fldCharType="separate"/>
            </w:r>
            <w:r w:rsidR="00054ED4">
              <w:rPr>
                <w:webHidden/>
              </w:rPr>
              <w:t>68</w:t>
            </w:r>
            <w:r w:rsidR="00DE65AE">
              <w:rPr>
                <w:webHidden/>
              </w:rPr>
              <w:fldChar w:fldCharType="end"/>
            </w:r>
          </w:hyperlink>
        </w:p>
        <w:p w14:paraId="6551BD0A"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8" w:history="1">
            <w:r w:rsidR="00DE65AE" w:rsidRPr="003E51D2">
              <w:rPr>
                <w:rStyle w:val="Hyperlink"/>
              </w:rPr>
              <w:t>B3.4</w:t>
            </w:r>
            <w:r w:rsidR="00DE65AE">
              <w:rPr>
                <w:rFonts w:asciiTheme="minorHAnsi" w:eastAsiaTheme="minorEastAsia" w:hAnsiTheme="minorHAnsi" w:cstheme="minorBidi"/>
              </w:rPr>
              <w:tab/>
            </w:r>
            <w:r w:rsidR="00DE65AE" w:rsidRPr="003E51D2">
              <w:rPr>
                <w:rStyle w:val="Hyperlink"/>
              </w:rPr>
              <w:t>Characteristics of the Evidence Base</w:t>
            </w:r>
            <w:r w:rsidR="00DE65AE">
              <w:rPr>
                <w:webHidden/>
              </w:rPr>
              <w:tab/>
            </w:r>
            <w:r w:rsidR="00DE65AE">
              <w:rPr>
                <w:webHidden/>
              </w:rPr>
              <w:fldChar w:fldCharType="begin"/>
            </w:r>
            <w:r w:rsidR="00DE65AE">
              <w:rPr>
                <w:webHidden/>
              </w:rPr>
              <w:instrText xml:space="preserve"> PAGEREF _Toc451501308 \h </w:instrText>
            </w:r>
            <w:r w:rsidR="00DE65AE">
              <w:rPr>
                <w:webHidden/>
              </w:rPr>
            </w:r>
            <w:r w:rsidR="00DE65AE">
              <w:rPr>
                <w:webHidden/>
              </w:rPr>
              <w:fldChar w:fldCharType="separate"/>
            </w:r>
            <w:r w:rsidR="00054ED4">
              <w:rPr>
                <w:webHidden/>
              </w:rPr>
              <w:t>69</w:t>
            </w:r>
            <w:r w:rsidR="00DE65AE">
              <w:rPr>
                <w:webHidden/>
              </w:rPr>
              <w:fldChar w:fldCharType="end"/>
            </w:r>
          </w:hyperlink>
        </w:p>
        <w:p w14:paraId="0BCE16B5"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09" w:history="1">
            <w:r w:rsidR="00DE65AE" w:rsidRPr="003E51D2">
              <w:rPr>
                <w:rStyle w:val="Hyperlink"/>
              </w:rPr>
              <w:t>B3.5</w:t>
            </w:r>
            <w:r w:rsidR="00DE65AE">
              <w:rPr>
                <w:rFonts w:asciiTheme="minorHAnsi" w:eastAsiaTheme="minorEastAsia" w:hAnsiTheme="minorHAnsi" w:cstheme="minorBidi"/>
              </w:rPr>
              <w:tab/>
            </w:r>
            <w:r w:rsidR="00DE65AE" w:rsidRPr="003E51D2">
              <w:rPr>
                <w:rStyle w:val="Hyperlink"/>
              </w:rPr>
              <w:t>Outcome Measures and Analysis</w:t>
            </w:r>
            <w:r w:rsidR="00DE65AE">
              <w:rPr>
                <w:webHidden/>
              </w:rPr>
              <w:tab/>
            </w:r>
            <w:r w:rsidR="00DE65AE">
              <w:rPr>
                <w:webHidden/>
              </w:rPr>
              <w:fldChar w:fldCharType="begin"/>
            </w:r>
            <w:r w:rsidR="00DE65AE">
              <w:rPr>
                <w:webHidden/>
              </w:rPr>
              <w:instrText xml:space="preserve"> PAGEREF _Toc451501309 \h </w:instrText>
            </w:r>
            <w:r w:rsidR="00DE65AE">
              <w:rPr>
                <w:webHidden/>
              </w:rPr>
            </w:r>
            <w:r w:rsidR="00DE65AE">
              <w:rPr>
                <w:webHidden/>
              </w:rPr>
              <w:fldChar w:fldCharType="separate"/>
            </w:r>
            <w:r w:rsidR="00054ED4">
              <w:rPr>
                <w:webHidden/>
              </w:rPr>
              <w:t>70</w:t>
            </w:r>
            <w:r w:rsidR="00DE65AE">
              <w:rPr>
                <w:webHidden/>
              </w:rPr>
              <w:fldChar w:fldCharType="end"/>
            </w:r>
          </w:hyperlink>
        </w:p>
        <w:p w14:paraId="7C49CAB5" w14:textId="77777777" w:rsidR="00DE65AE" w:rsidRDefault="00CD4AC5" w:rsidP="004C79C1">
          <w:pPr>
            <w:pStyle w:val="TOC3"/>
            <w:spacing w:after="120" w:line="240" w:lineRule="auto"/>
            <w:rPr>
              <w:rFonts w:asciiTheme="minorHAnsi" w:eastAsiaTheme="minorEastAsia" w:hAnsiTheme="minorHAnsi" w:cstheme="minorBidi"/>
            </w:rPr>
          </w:pPr>
          <w:hyperlink w:anchor="_Toc451501310" w:history="1">
            <w:r w:rsidR="00DE65AE" w:rsidRPr="003E51D2">
              <w:rPr>
                <w:rStyle w:val="Hyperlink"/>
              </w:rPr>
              <w:t>Primary measures</w:t>
            </w:r>
            <w:r w:rsidR="00DE65AE">
              <w:rPr>
                <w:webHidden/>
              </w:rPr>
              <w:tab/>
            </w:r>
            <w:r w:rsidR="00DE65AE">
              <w:rPr>
                <w:webHidden/>
              </w:rPr>
              <w:fldChar w:fldCharType="begin"/>
            </w:r>
            <w:r w:rsidR="00DE65AE">
              <w:rPr>
                <w:webHidden/>
              </w:rPr>
              <w:instrText xml:space="preserve"> PAGEREF _Toc451501310 \h </w:instrText>
            </w:r>
            <w:r w:rsidR="00DE65AE">
              <w:rPr>
                <w:webHidden/>
              </w:rPr>
            </w:r>
            <w:r w:rsidR="00DE65AE">
              <w:rPr>
                <w:webHidden/>
              </w:rPr>
              <w:fldChar w:fldCharType="separate"/>
            </w:r>
            <w:r w:rsidR="00054ED4">
              <w:rPr>
                <w:webHidden/>
              </w:rPr>
              <w:t>70</w:t>
            </w:r>
            <w:r w:rsidR="00DE65AE">
              <w:rPr>
                <w:webHidden/>
              </w:rPr>
              <w:fldChar w:fldCharType="end"/>
            </w:r>
          </w:hyperlink>
        </w:p>
        <w:p w14:paraId="35F2815C" w14:textId="77777777" w:rsidR="00DE65AE" w:rsidRDefault="00CD4AC5" w:rsidP="004C79C1">
          <w:pPr>
            <w:pStyle w:val="TOC3"/>
            <w:spacing w:after="120" w:line="240" w:lineRule="auto"/>
            <w:rPr>
              <w:rFonts w:asciiTheme="minorHAnsi" w:eastAsiaTheme="minorEastAsia" w:hAnsiTheme="minorHAnsi" w:cstheme="minorBidi"/>
            </w:rPr>
          </w:pPr>
          <w:hyperlink w:anchor="_Toc451501311" w:history="1">
            <w:r w:rsidR="00DE65AE" w:rsidRPr="003E51D2">
              <w:rPr>
                <w:rStyle w:val="Hyperlink"/>
              </w:rPr>
              <w:t>Summary measures</w:t>
            </w:r>
            <w:r w:rsidR="00DE65AE">
              <w:rPr>
                <w:webHidden/>
              </w:rPr>
              <w:tab/>
            </w:r>
            <w:r w:rsidR="00DE65AE">
              <w:rPr>
                <w:webHidden/>
              </w:rPr>
              <w:fldChar w:fldCharType="begin"/>
            </w:r>
            <w:r w:rsidR="00DE65AE">
              <w:rPr>
                <w:webHidden/>
              </w:rPr>
              <w:instrText xml:space="preserve"> PAGEREF _Toc451501311 \h </w:instrText>
            </w:r>
            <w:r w:rsidR="00DE65AE">
              <w:rPr>
                <w:webHidden/>
              </w:rPr>
            </w:r>
            <w:r w:rsidR="00DE65AE">
              <w:rPr>
                <w:webHidden/>
              </w:rPr>
              <w:fldChar w:fldCharType="separate"/>
            </w:r>
            <w:r w:rsidR="00054ED4">
              <w:rPr>
                <w:webHidden/>
              </w:rPr>
              <w:t>71</w:t>
            </w:r>
            <w:r w:rsidR="00DE65AE">
              <w:rPr>
                <w:webHidden/>
              </w:rPr>
              <w:fldChar w:fldCharType="end"/>
            </w:r>
          </w:hyperlink>
        </w:p>
        <w:p w14:paraId="335966C9"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12" w:history="1">
            <w:r w:rsidR="00DE65AE" w:rsidRPr="003E51D2">
              <w:rPr>
                <w:rStyle w:val="Hyperlink"/>
              </w:rPr>
              <w:t>B3.6</w:t>
            </w:r>
            <w:r w:rsidR="00DE65AE">
              <w:rPr>
                <w:rFonts w:asciiTheme="minorHAnsi" w:eastAsiaTheme="minorEastAsia" w:hAnsiTheme="minorHAnsi" w:cstheme="minorBidi"/>
              </w:rPr>
              <w:tab/>
            </w:r>
            <w:r w:rsidR="00DE65AE" w:rsidRPr="003E51D2">
              <w:rPr>
                <w:rStyle w:val="Hyperlink"/>
              </w:rPr>
              <w:t>Results of the Systematic Literature Review</w:t>
            </w:r>
            <w:r w:rsidR="00DE65AE">
              <w:rPr>
                <w:webHidden/>
              </w:rPr>
              <w:tab/>
            </w:r>
            <w:r w:rsidR="00DE65AE">
              <w:rPr>
                <w:webHidden/>
              </w:rPr>
              <w:fldChar w:fldCharType="begin"/>
            </w:r>
            <w:r w:rsidR="00DE65AE">
              <w:rPr>
                <w:webHidden/>
              </w:rPr>
              <w:instrText xml:space="preserve"> PAGEREF _Toc451501312 \h </w:instrText>
            </w:r>
            <w:r w:rsidR="00DE65AE">
              <w:rPr>
                <w:webHidden/>
              </w:rPr>
            </w:r>
            <w:r w:rsidR="00DE65AE">
              <w:rPr>
                <w:webHidden/>
              </w:rPr>
              <w:fldChar w:fldCharType="separate"/>
            </w:r>
            <w:r w:rsidR="00054ED4">
              <w:rPr>
                <w:webHidden/>
              </w:rPr>
              <w:t>72</w:t>
            </w:r>
            <w:r w:rsidR="00DE65AE">
              <w:rPr>
                <w:webHidden/>
              </w:rPr>
              <w:fldChar w:fldCharType="end"/>
            </w:r>
          </w:hyperlink>
        </w:p>
        <w:p w14:paraId="07C907FC" w14:textId="77777777" w:rsidR="00DE65AE" w:rsidRDefault="00CD4AC5" w:rsidP="004C79C1">
          <w:pPr>
            <w:pStyle w:val="TOC3"/>
            <w:spacing w:after="120" w:line="240" w:lineRule="auto"/>
            <w:rPr>
              <w:rFonts w:asciiTheme="minorHAnsi" w:eastAsiaTheme="minorEastAsia" w:hAnsiTheme="minorHAnsi" w:cstheme="minorBidi"/>
            </w:rPr>
          </w:pPr>
          <w:hyperlink w:anchor="_Toc451501313" w:history="1">
            <w:r w:rsidR="00DE65AE" w:rsidRPr="003E51D2">
              <w:rPr>
                <w:rStyle w:val="Hyperlink"/>
              </w:rPr>
              <w:t>Is it accurate?</w:t>
            </w:r>
            <w:r w:rsidR="00DE65AE">
              <w:rPr>
                <w:webHidden/>
              </w:rPr>
              <w:tab/>
            </w:r>
            <w:r w:rsidR="00DE65AE">
              <w:rPr>
                <w:webHidden/>
              </w:rPr>
              <w:fldChar w:fldCharType="begin"/>
            </w:r>
            <w:r w:rsidR="00DE65AE">
              <w:rPr>
                <w:webHidden/>
              </w:rPr>
              <w:instrText xml:space="preserve"> PAGEREF _Toc451501313 \h </w:instrText>
            </w:r>
            <w:r w:rsidR="00DE65AE">
              <w:rPr>
                <w:webHidden/>
              </w:rPr>
            </w:r>
            <w:r w:rsidR="00DE65AE">
              <w:rPr>
                <w:webHidden/>
              </w:rPr>
              <w:fldChar w:fldCharType="separate"/>
            </w:r>
            <w:r w:rsidR="00054ED4">
              <w:rPr>
                <w:webHidden/>
              </w:rPr>
              <w:t>72</w:t>
            </w:r>
            <w:r w:rsidR="00DE65AE">
              <w:rPr>
                <w:webHidden/>
              </w:rPr>
              <w:fldChar w:fldCharType="end"/>
            </w:r>
          </w:hyperlink>
        </w:p>
        <w:p w14:paraId="464415A7" w14:textId="77777777" w:rsidR="00DE65AE" w:rsidRDefault="00CD4AC5" w:rsidP="004C79C1">
          <w:pPr>
            <w:pStyle w:val="TOC3"/>
            <w:spacing w:after="120" w:line="240" w:lineRule="auto"/>
            <w:rPr>
              <w:rFonts w:asciiTheme="minorHAnsi" w:eastAsiaTheme="minorEastAsia" w:hAnsiTheme="minorHAnsi" w:cstheme="minorBidi"/>
            </w:rPr>
          </w:pPr>
          <w:hyperlink w:anchor="_Toc451501314" w:history="1">
            <w:r w:rsidR="00DE65AE" w:rsidRPr="003E51D2">
              <w:rPr>
                <w:rStyle w:val="Hyperlink"/>
              </w:rPr>
              <w:t>B3.6.1 Diagnostic accuracy of LGE-CMR in diagnosing DCM</w:t>
            </w:r>
            <w:r w:rsidR="00DE65AE">
              <w:rPr>
                <w:webHidden/>
              </w:rPr>
              <w:tab/>
            </w:r>
            <w:r w:rsidR="00DE65AE">
              <w:rPr>
                <w:webHidden/>
              </w:rPr>
              <w:fldChar w:fldCharType="begin"/>
            </w:r>
            <w:r w:rsidR="00DE65AE">
              <w:rPr>
                <w:webHidden/>
              </w:rPr>
              <w:instrText xml:space="preserve"> PAGEREF _Toc451501314 \h </w:instrText>
            </w:r>
            <w:r w:rsidR="00DE65AE">
              <w:rPr>
                <w:webHidden/>
              </w:rPr>
            </w:r>
            <w:r w:rsidR="00DE65AE">
              <w:rPr>
                <w:webHidden/>
              </w:rPr>
              <w:fldChar w:fldCharType="separate"/>
            </w:r>
            <w:r w:rsidR="00054ED4">
              <w:rPr>
                <w:webHidden/>
              </w:rPr>
              <w:t>73</w:t>
            </w:r>
            <w:r w:rsidR="00DE65AE">
              <w:rPr>
                <w:webHidden/>
              </w:rPr>
              <w:fldChar w:fldCharType="end"/>
            </w:r>
          </w:hyperlink>
        </w:p>
        <w:p w14:paraId="3CFF8FF8" w14:textId="77777777" w:rsidR="00DE65AE" w:rsidRDefault="00CD4AC5" w:rsidP="004C79C1">
          <w:pPr>
            <w:pStyle w:val="TOC3"/>
            <w:spacing w:after="120" w:line="240" w:lineRule="auto"/>
            <w:rPr>
              <w:rFonts w:asciiTheme="minorHAnsi" w:eastAsiaTheme="minorEastAsia" w:hAnsiTheme="minorHAnsi" w:cstheme="minorBidi"/>
            </w:rPr>
          </w:pPr>
          <w:hyperlink w:anchor="_Toc451501315" w:history="1">
            <w:r w:rsidR="00DE65AE" w:rsidRPr="003E51D2">
              <w:rPr>
                <w:rStyle w:val="Hyperlink"/>
              </w:rPr>
              <w:t>B3.6.2 Diagnostic accuracy of LGE-CMR in determining the aetiology of NIDCM in patients with a low risk of CAD</w:t>
            </w:r>
            <w:r w:rsidR="00DE65AE">
              <w:rPr>
                <w:webHidden/>
              </w:rPr>
              <w:tab/>
            </w:r>
            <w:r w:rsidR="00DE65AE">
              <w:rPr>
                <w:webHidden/>
              </w:rPr>
              <w:fldChar w:fldCharType="begin"/>
            </w:r>
            <w:r w:rsidR="00DE65AE">
              <w:rPr>
                <w:webHidden/>
              </w:rPr>
              <w:instrText xml:space="preserve"> PAGEREF _Toc451501315 \h </w:instrText>
            </w:r>
            <w:r w:rsidR="00DE65AE">
              <w:rPr>
                <w:webHidden/>
              </w:rPr>
            </w:r>
            <w:r w:rsidR="00DE65AE">
              <w:rPr>
                <w:webHidden/>
              </w:rPr>
              <w:fldChar w:fldCharType="separate"/>
            </w:r>
            <w:r w:rsidR="00054ED4">
              <w:rPr>
                <w:webHidden/>
              </w:rPr>
              <w:t>74</w:t>
            </w:r>
            <w:r w:rsidR="00DE65AE">
              <w:rPr>
                <w:webHidden/>
              </w:rPr>
              <w:fldChar w:fldCharType="end"/>
            </w:r>
          </w:hyperlink>
        </w:p>
        <w:p w14:paraId="3342F0F1" w14:textId="77777777" w:rsidR="00DE65AE" w:rsidRDefault="00CD4AC5" w:rsidP="004C79C1">
          <w:pPr>
            <w:pStyle w:val="TOC3"/>
            <w:spacing w:after="120" w:line="240" w:lineRule="auto"/>
            <w:rPr>
              <w:rFonts w:asciiTheme="minorHAnsi" w:eastAsiaTheme="minorEastAsia" w:hAnsiTheme="minorHAnsi" w:cstheme="minorBidi"/>
            </w:rPr>
          </w:pPr>
          <w:hyperlink w:anchor="_Toc451501316" w:history="1">
            <w:r w:rsidR="00DE65AE" w:rsidRPr="003E51D2">
              <w:rPr>
                <w:rStyle w:val="Hyperlink"/>
              </w:rPr>
              <w:t>B3.6.3 Diagnostic accuracy of LGE-CMR in diagnosing whether DCM has a non-ischaemic or ischaemic cause in patients with an intermediate risk of CAD</w:t>
            </w:r>
            <w:r w:rsidR="00DE65AE">
              <w:rPr>
                <w:webHidden/>
              </w:rPr>
              <w:tab/>
            </w:r>
            <w:r w:rsidR="00DE65AE">
              <w:rPr>
                <w:webHidden/>
              </w:rPr>
              <w:fldChar w:fldCharType="begin"/>
            </w:r>
            <w:r w:rsidR="00DE65AE">
              <w:rPr>
                <w:webHidden/>
              </w:rPr>
              <w:instrText xml:space="preserve"> PAGEREF _Toc451501316 \h </w:instrText>
            </w:r>
            <w:r w:rsidR="00DE65AE">
              <w:rPr>
                <w:webHidden/>
              </w:rPr>
            </w:r>
            <w:r w:rsidR="00DE65AE">
              <w:rPr>
                <w:webHidden/>
              </w:rPr>
              <w:fldChar w:fldCharType="separate"/>
            </w:r>
            <w:r w:rsidR="00054ED4">
              <w:rPr>
                <w:webHidden/>
              </w:rPr>
              <w:t>75</w:t>
            </w:r>
            <w:r w:rsidR="00DE65AE">
              <w:rPr>
                <w:webHidden/>
              </w:rPr>
              <w:fldChar w:fldCharType="end"/>
            </w:r>
          </w:hyperlink>
        </w:p>
        <w:p w14:paraId="2A220AD8" w14:textId="77777777" w:rsidR="00DE65AE" w:rsidRDefault="00CD4AC5" w:rsidP="004C79C1">
          <w:pPr>
            <w:pStyle w:val="TOC3"/>
            <w:spacing w:after="120" w:line="240" w:lineRule="auto"/>
            <w:rPr>
              <w:rFonts w:asciiTheme="minorHAnsi" w:eastAsiaTheme="minorEastAsia" w:hAnsiTheme="minorHAnsi" w:cstheme="minorBidi"/>
            </w:rPr>
          </w:pPr>
          <w:hyperlink w:anchor="_Toc451501317" w:history="1">
            <w:r w:rsidR="00DE65AE" w:rsidRPr="003E51D2">
              <w:rPr>
                <w:rStyle w:val="Hyperlink"/>
              </w:rPr>
              <w:t>B3.6.4 Summary of findings</w:t>
            </w:r>
            <w:r w:rsidR="00DE65AE">
              <w:rPr>
                <w:webHidden/>
              </w:rPr>
              <w:tab/>
            </w:r>
            <w:r w:rsidR="00DE65AE">
              <w:rPr>
                <w:webHidden/>
              </w:rPr>
              <w:fldChar w:fldCharType="begin"/>
            </w:r>
            <w:r w:rsidR="00DE65AE">
              <w:rPr>
                <w:webHidden/>
              </w:rPr>
              <w:instrText xml:space="preserve"> PAGEREF _Toc451501317 \h </w:instrText>
            </w:r>
            <w:r w:rsidR="00DE65AE">
              <w:rPr>
                <w:webHidden/>
              </w:rPr>
            </w:r>
            <w:r w:rsidR="00DE65AE">
              <w:rPr>
                <w:webHidden/>
              </w:rPr>
              <w:fldChar w:fldCharType="separate"/>
            </w:r>
            <w:r w:rsidR="00054ED4">
              <w:rPr>
                <w:webHidden/>
              </w:rPr>
              <w:t>80</w:t>
            </w:r>
            <w:r w:rsidR="00DE65AE">
              <w:rPr>
                <w:webHidden/>
              </w:rPr>
              <w:fldChar w:fldCharType="end"/>
            </w:r>
          </w:hyperlink>
        </w:p>
        <w:p w14:paraId="7706CA45"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18" w:history="1">
            <w:r w:rsidR="00DE65AE" w:rsidRPr="003E51D2">
              <w:rPr>
                <w:rStyle w:val="Hyperlink"/>
              </w:rPr>
              <w:t>B3.7</w:t>
            </w:r>
            <w:r w:rsidR="00DE65AE">
              <w:rPr>
                <w:rFonts w:asciiTheme="minorHAnsi" w:eastAsiaTheme="minorEastAsia" w:hAnsiTheme="minorHAnsi" w:cstheme="minorBidi"/>
              </w:rPr>
              <w:tab/>
            </w:r>
            <w:r w:rsidR="00DE65AE" w:rsidRPr="003E51D2">
              <w:rPr>
                <w:rStyle w:val="Hyperlink"/>
              </w:rPr>
              <w:t>Extended Assessment of Reliability of Evidence</w:t>
            </w:r>
            <w:r w:rsidR="00DE65AE">
              <w:rPr>
                <w:webHidden/>
              </w:rPr>
              <w:tab/>
            </w:r>
            <w:r w:rsidR="00DE65AE">
              <w:rPr>
                <w:webHidden/>
              </w:rPr>
              <w:fldChar w:fldCharType="begin"/>
            </w:r>
            <w:r w:rsidR="00DE65AE">
              <w:rPr>
                <w:webHidden/>
              </w:rPr>
              <w:instrText xml:space="preserve"> PAGEREF _Toc451501318 \h </w:instrText>
            </w:r>
            <w:r w:rsidR="00DE65AE">
              <w:rPr>
                <w:webHidden/>
              </w:rPr>
            </w:r>
            <w:r w:rsidR="00DE65AE">
              <w:rPr>
                <w:webHidden/>
              </w:rPr>
              <w:fldChar w:fldCharType="separate"/>
            </w:r>
            <w:r w:rsidR="00054ED4">
              <w:rPr>
                <w:webHidden/>
              </w:rPr>
              <w:t>81</w:t>
            </w:r>
            <w:r w:rsidR="00DE65AE">
              <w:rPr>
                <w:webHidden/>
              </w:rPr>
              <w:fldChar w:fldCharType="end"/>
            </w:r>
          </w:hyperlink>
        </w:p>
        <w:p w14:paraId="5A8AB60C"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19" w:history="1">
            <w:r w:rsidR="00DE65AE" w:rsidRPr="003E51D2">
              <w:rPr>
                <w:rStyle w:val="Hyperlink"/>
              </w:rPr>
              <w:t>B3.8</w:t>
            </w:r>
            <w:r w:rsidR="00DE65AE">
              <w:rPr>
                <w:rFonts w:asciiTheme="minorHAnsi" w:eastAsiaTheme="minorEastAsia" w:hAnsiTheme="minorHAnsi" w:cstheme="minorBidi"/>
              </w:rPr>
              <w:tab/>
            </w:r>
            <w:r w:rsidR="00DE65AE" w:rsidRPr="003E51D2">
              <w:rPr>
                <w:rStyle w:val="Hyperlink"/>
              </w:rPr>
              <w:t>Concordance Analysis</w:t>
            </w:r>
            <w:r w:rsidR="00DE65AE">
              <w:rPr>
                <w:webHidden/>
              </w:rPr>
              <w:tab/>
            </w:r>
            <w:r w:rsidR="00DE65AE">
              <w:rPr>
                <w:webHidden/>
              </w:rPr>
              <w:fldChar w:fldCharType="begin"/>
            </w:r>
            <w:r w:rsidR="00DE65AE">
              <w:rPr>
                <w:webHidden/>
              </w:rPr>
              <w:instrText xml:space="preserve"> PAGEREF _Toc451501319 \h </w:instrText>
            </w:r>
            <w:r w:rsidR="00DE65AE">
              <w:rPr>
                <w:webHidden/>
              </w:rPr>
            </w:r>
            <w:r w:rsidR="00DE65AE">
              <w:rPr>
                <w:webHidden/>
              </w:rPr>
              <w:fldChar w:fldCharType="separate"/>
            </w:r>
            <w:r w:rsidR="00054ED4">
              <w:rPr>
                <w:webHidden/>
              </w:rPr>
              <w:t>81</w:t>
            </w:r>
            <w:r w:rsidR="00DE65AE">
              <w:rPr>
                <w:webHidden/>
              </w:rPr>
              <w:fldChar w:fldCharType="end"/>
            </w:r>
          </w:hyperlink>
        </w:p>
        <w:p w14:paraId="1676C34D"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20" w:history="1">
            <w:r w:rsidR="00DE65AE" w:rsidRPr="003E51D2">
              <w:rPr>
                <w:rStyle w:val="Hyperlink"/>
              </w:rPr>
              <w:t>B3.9</w:t>
            </w:r>
            <w:r w:rsidR="00DE65AE">
              <w:rPr>
                <w:rFonts w:asciiTheme="minorHAnsi" w:eastAsiaTheme="minorEastAsia" w:hAnsiTheme="minorHAnsi" w:cstheme="minorBidi"/>
              </w:rPr>
              <w:tab/>
            </w:r>
            <w:r w:rsidR="00DE65AE" w:rsidRPr="003E51D2">
              <w:rPr>
                <w:rStyle w:val="Hyperlink"/>
              </w:rPr>
              <w:t>Interpretation of Evidence on Diagnostic Performance</w:t>
            </w:r>
            <w:r w:rsidR="00DE65AE">
              <w:rPr>
                <w:webHidden/>
              </w:rPr>
              <w:tab/>
            </w:r>
            <w:r w:rsidR="00DE65AE">
              <w:rPr>
                <w:webHidden/>
              </w:rPr>
              <w:fldChar w:fldCharType="begin"/>
            </w:r>
            <w:r w:rsidR="00DE65AE">
              <w:rPr>
                <w:webHidden/>
              </w:rPr>
              <w:instrText xml:space="preserve"> PAGEREF _Toc451501320 \h </w:instrText>
            </w:r>
            <w:r w:rsidR="00DE65AE">
              <w:rPr>
                <w:webHidden/>
              </w:rPr>
            </w:r>
            <w:r w:rsidR="00DE65AE">
              <w:rPr>
                <w:webHidden/>
              </w:rPr>
              <w:fldChar w:fldCharType="separate"/>
            </w:r>
            <w:r w:rsidR="00054ED4">
              <w:rPr>
                <w:webHidden/>
              </w:rPr>
              <w:t>81</w:t>
            </w:r>
            <w:r w:rsidR="00DE65AE">
              <w:rPr>
                <w:webHidden/>
              </w:rPr>
              <w:fldChar w:fldCharType="end"/>
            </w:r>
          </w:hyperlink>
        </w:p>
        <w:p w14:paraId="652F2BC0"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21" w:history="1">
            <w:r w:rsidR="00DE65AE" w:rsidRPr="003E51D2">
              <w:rPr>
                <w:rStyle w:val="Hyperlink"/>
              </w:rPr>
              <w:t xml:space="preserve">B4 </w:t>
            </w:r>
            <w:r w:rsidR="00DE65AE">
              <w:rPr>
                <w:rFonts w:asciiTheme="minorHAnsi" w:eastAsiaTheme="minorEastAsia" w:hAnsiTheme="minorHAnsi" w:cstheme="minorBidi"/>
                <w:b w:val="0"/>
              </w:rPr>
              <w:tab/>
            </w:r>
            <w:r w:rsidR="00DE65AE" w:rsidRPr="003E51D2">
              <w:rPr>
                <w:rStyle w:val="Hyperlink"/>
              </w:rPr>
              <w:t>Clinical Validity</w:t>
            </w:r>
            <w:r w:rsidR="00DE65AE">
              <w:rPr>
                <w:webHidden/>
              </w:rPr>
              <w:tab/>
            </w:r>
            <w:r w:rsidR="00DE65AE">
              <w:rPr>
                <w:webHidden/>
              </w:rPr>
              <w:fldChar w:fldCharType="begin"/>
            </w:r>
            <w:r w:rsidR="00DE65AE">
              <w:rPr>
                <w:webHidden/>
              </w:rPr>
              <w:instrText xml:space="preserve"> PAGEREF _Toc451501321 \h </w:instrText>
            </w:r>
            <w:r w:rsidR="00DE65AE">
              <w:rPr>
                <w:webHidden/>
              </w:rPr>
            </w:r>
            <w:r w:rsidR="00DE65AE">
              <w:rPr>
                <w:webHidden/>
              </w:rPr>
              <w:fldChar w:fldCharType="separate"/>
            </w:r>
            <w:r w:rsidR="00054ED4">
              <w:rPr>
                <w:webHidden/>
              </w:rPr>
              <w:t>83</w:t>
            </w:r>
            <w:r w:rsidR="00DE65AE">
              <w:rPr>
                <w:webHidden/>
              </w:rPr>
              <w:fldChar w:fldCharType="end"/>
            </w:r>
          </w:hyperlink>
        </w:p>
        <w:p w14:paraId="5DAE493A"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22" w:history="1">
            <w:r w:rsidR="00DE65AE" w:rsidRPr="003E51D2">
              <w:rPr>
                <w:rStyle w:val="Hyperlink"/>
              </w:rPr>
              <w:t>B4.1</w:t>
            </w:r>
            <w:r w:rsidR="00DE65AE">
              <w:rPr>
                <w:rFonts w:asciiTheme="minorHAnsi" w:eastAsiaTheme="minorEastAsia" w:hAnsiTheme="minorHAnsi" w:cstheme="minorBidi"/>
              </w:rPr>
              <w:tab/>
            </w:r>
            <w:r w:rsidR="00DE65AE" w:rsidRPr="003E51D2">
              <w:rPr>
                <w:rStyle w:val="Hyperlink"/>
              </w:rPr>
              <w:t>Measures of Clinical Validity</w:t>
            </w:r>
            <w:r w:rsidR="00DE65AE">
              <w:rPr>
                <w:webHidden/>
              </w:rPr>
              <w:tab/>
            </w:r>
            <w:r w:rsidR="00DE65AE">
              <w:rPr>
                <w:webHidden/>
              </w:rPr>
              <w:fldChar w:fldCharType="begin"/>
            </w:r>
            <w:r w:rsidR="00DE65AE">
              <w:rPr>
                <w:webHidden/>
              </w:rPr>
              <w:instrText xml:space="preserve"> PAGEREF _Toc451501322 \h </w:instrText>
            </w:r>
            <w:r w:rsidR="00DE65AE">
              <w:rPr>
                <w:webHidden/>
              </w:rPr>
            </w:r>
            <w:r w:rsidR="00DE65AE">
              <w:rPr>
                <w:webHidden/>
              </w:rPr>
              <w:fldChar w:fldCharType="separate"/>
            </w:r>
            <w:r w:rsidR="00054ED4">
              <w:rPr>
                <w:webHidden/>
              </w:rPr>
              <w:t>83</w:t>
            </w:r>
            <w:r w:rsidR="00DE65AE">
              <w:rPr>
                <w:webHidden/>
              </w:rPr>
              <w:fldChar w:fldCharType="end"/>
            </w:r>
          </w:hyperlink>
        </w:p>
        <w:p w14:paraId="023C262B" w14:textId="77777777" w:rsidR="00DE65AE" w:rsidRDefault="00CD4AC5" w:rsidP="004C79C1">
          <w:pPr>
            <w:pStyle w:val="TOC3"/>
            <w:spacing w:after="120" w:line="240" w:lineRule="auto"/>
            <w:rPr>
              <w:rFonts w:asciiTheme="minorHAnsi" w:eastAsiaTheme="minorEastAsia" w:hAnsiTheme="minorHAnsi" w:cstheme="minorBidi"/>
            </w:rPr>
          </w:pPr>
          <w:hyperlink w:anchor="_Toc451501323" w:history="1">
            <w:r w:rsidR="00DE65AE" w:rsidRPr="003E51D2">
              <w:rPr>
                <w:rStyle w:val="Hyperlink"/>
              </w:rPr>
              <w:t>B4.1.1 to B4.1.4</w:t>
            </w:r>
            <w:r w:rsidR="00DE65AE">
              <w:rPr>
                <w:webHidden/>
              </w:rPr>
              <w:tab/>
            </w:r>
            <w:r w:rsidR="00DE65AE">
              <w:rPr>
                <w:webHidden/>
              </w:rPr>
              <w:fldChar w:fldCharType="begin"/>
            </w:r>
            <w:r w:rsidR="00DE65AE">
              <w:rPr>
                <w:webHidden/>
              </w:rPr>
              <w:instrText xml:space="preserve"> PAGEREF _Toc451501323 \h </w:instrText>
            </w:r>
            <w:r w:rsidR="00DE65AE">
              <w:rPr>
                <w:webHidden/>
              </w:rPr>
            </w:r>
            <w:r w:rsidR="00DE65AE">
              <w:rPr>
                <w:webHidden/>
              </w:rPr>
              <w:fldChar w:fldCharType="separate"/>
            </w:r>
            <w:r w:rsidR="00054ED4">
              <w:rPr>
                <w:webHidden/>
              </w:rPr>
              <w:t>83</w:t>
            </w:r>
            <w:r w:rsidR="00DE65AE">
              <w:rPr>
                <w:webHidden/>
              </w:rPr>
              <w:fldChar w:fldCharType="end"/>
            </w:r>
          </w:hyperlink>
        </w:p>
        <w:p w14:paraId="5890E8E8" w14:textId="77777777" w:rsidR="00DE65AE" w:rsidRDefault="00CD4AC5" w:rsidP="004C79C1">
          <w:pPr>
            <w:pStyle w:val="TOC3"/>
            <w:spacing w:after="120" w:line="240" w:lineRule="auto"/>
            <w:rPr>
              <w:rFonts w:asciiTheme="minorHAnsi" w:eastAsiaTheme="minorEastAsia" w:hAnsiTheme="minorHAnsi" w:cstheme="minorBidi"/>
            </w:rPr>
          </w:pPr>
          <w:hyperlink w:anchor="_Toc451501324" w:history="1">
            <w:r w:rsidR="00DE65AE" w:rsidRPr="003E51D2">
              <w:rPr>
                <w:rStyle w:val="Hyperlink"/>
              </w:rPr>
              <w:t>B4.1.5 Results of the systematic literature review</w:t>
            </w:r>
            <w:r w:rsidR="00DE65AE">
              <w:rPr>
                <w:webHidden/>
              </w:rPr>
              <w:tab/>
            </w:r>
            <w:r w:rsidR="00DE65AE">
              <w:rPr>
                <w:webHidden/>
              </w:rPr>
              <w:fldChar w:fldCharType="begin"/>
            </w:r>
            <w:r w:rsidR="00DE65AE">
              <w:rPr>
                <w:webHidden/>
              </w:rPr>
              <w:instrText xml:space="preserve"> PAGEREF _Toc451501324 \h </w:instrText>
            </w:r>
            <w:r w:rsidR="00DE65AE">
              <w:rPr>
                <w:webHidden/>
              </w:rPr>
            </w:r>
            <w:r w:rsidR="00DE65AE">
              <w:rPr>
                <w:webHidden/>
              </w:rPr>
              <w:fldChar w:fldCharType="separate"/>
            </w:r>
            <w:r w:rsidR="00054ED4">
              <w:rPr>
                <w:webHidden/>
              </w:rPr>
              <w:t>84</w:t>
            </w:r>
            <w:r w:rsidR="00DE65AE">
              <w:rPr>
                <w:webHidden/>
              </w:rPr>
              <w:fldChar w:fldCharType="end"/>
            </w:r>
          </w:hyperlink>
        </w:p>
        <w:p w14:paraId="4A43E958" w14:textId="77777777" w:rsidR="00DE65AE" w:rsidRDefault="00CD4AC5" w:rsidP="004C79C1">
          <w:pPr>
            <w:pStyle w:val="TOC3"/>
            <w:spacing w:after="120" w:line="240" w:lineRule="auto"/>
            <w:rPr>
              <w:rFonts w:asciiTheme="minorHAnsi" w:eastAsiaTheme="minorEastAsia" w:hAnsiTheme="minorHAnsi" w:cstheme="minorBidi"/>
            </w:rPr>
          </w:pPr>
          <w:hyperlink w:anchor="_Toc451501325" w:history="1">
            <w:r w:rsidR="00DE65AE" w:rsidRPr="003E51D2">
              <w:rPr>
                <w:rStyle w:val="Hyperlink"/>
              </w:rPr>
              <w:t>Is it accurate?</w:t>
            </w:r>
            <w:r w:rsidR="00DE65AE">
              <w:rPr>
                <w:webHidden/>
              </w:rPr>
              <w:tab/>
            </w:r>
            <w:r w:rsidR="00DE65AE">
              <w:rPr>
                <w:webHidden/>
              </w:rPr>
              <w:fldChar w:fldCharType="begin"/>
            </w:r>
            <w:r w:rsidR="00DE65AE">
              <w:rPr>
                <w:webHidden/>
              </w:rPr>
              <w:instrText xml:space="preserve"> PAGEREF _Toc451501325 \h </w:instrText>
            </w:r>
            <w:r w:rsidR="00DE65AE">
              <w:rPr>
                <w:webHidden/>
              </w:rPr>
            </w:r>
            <w:r w:rsidR="00DE65AE">
              <w:rPr>
                <w:webHidden/>
              </w:rPr>
              <w:fldChar w:fldCharType="separate"/>
            </w:r>
            <w:r w:rsidR="00054ED4">
              <w:rPr>
                <w:webHidden/>
              </w:rPr>
              <w:t>84</w:t>
            </w:r>
            <w:r w:rsidR="00DE65AE">
              <w:rPr>
                <w:webHidden/>
              </w:rPr>
              <w:fldChar w:fldCharType="end"/>
            </w:r>
          </w:hyperlink>
        </w:p>
        <w:p w14:paraId="2A5BB661"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26" w:history="1">
            <w:r w:rsidR="00DE65AE" w:rsidRPr="003E51D2">
              <w:rPr>
                <w:rStyle w:val="Hyperlink"/>
              </w:rPr>
              <w:t>B4.2</w:t>
            </w:r>
            <w:r w:rsidR="00DE65AE">
              <w:rPr>
                <w:rFonts w:asciiTheme="minorHAnsi" w:eastAsiaTheme="minorEastAsia" w:hAnsiTheme="minorHAnsi" w:cstheme="minorBidi"/>
              </w:rPr>
              <w:tab/>
            </w:r>
            <w:r w:rsidR="00DE65AE" w:rsidRPr="003E51D2">
              <w:rPr>
                <w:rStyle w:val="Hyperlink"/>
              </w:rPr>
              <w:t>Prognosis or Predisposition</w:t>
            </w:r>
            <w:r w:rsidR="00DE65AE">
              <w:rPr>
                <w:webHidden/>
              </w:rPr>
              <w:tab/>
            </w:r>
            <w:r w:rsidR="00DE65AE">
              <w:rPr>
                <w:webHidden/>
              </w:rPr>
              <w:fldChar w:fldCharType="begin"/>
            </w:r>
            <w:r w:rsidR="00DE65AE">
              <w:rPr>
                <w:webHidden/>
              </w:rPr>
              <w:instrText xml:space="preserve"> PAGEREF _Toc451501326 \h </w:instrText>
            </w:r>
            <w:r w:rsidR="00DE65AE">
              <w:rPr>
                <w:webHidden/>
              </w:rPr>
            </w:r>
            <w:r w:rsidR="00DE65AE">
              <w:rPr>
                <w:webHidden/>
              </w:rPr>
              <w:fldChar w:fldCharType="separate"/>
            </w:r>
            <w:r w:rsidR="00054ED4">
              <w:rPr>
                <w:webHidden/>
              </w:rPr>
              <w:t>87</w:t>
            </w:r>
            <w:r w:rsidR="00DE65AE">
              <w:rPr>
                <w:webHidden/>
              </w:rPr>
              <w:fldChar w:fldCharType="end"/>
            </w:r>
          </w:hyperlink>
        </w:p>
        <w:p w14:paraId="1B705FD0" w14:textId="77777777" w:rsidR="00DE65AE" w:rsidRDefault="00CD4AC5" w:rsidP="004C79C1">
          <w:pPr>
            <w:pStyle w:val="TOC3"/>
            <w:spacing w:after="120" w:line="240" w:lineRule="auto"/>
            <w:rPr>
              <w:rFonts w:asciiTheme="minorHAnsi" w:eastAsiaTheme="minorEastAsia" w:hAnsiTheme="minorHAnsi" w:cstheme="minorBidi"/>
            </w:rPr>
          </w:pPr>
          <w:hyperlink w:anchor="_Toc451501327" w:history="1">
            <w:r w:rsidR="00DE65AE" w:rsidRPr="003E51D2">
              <w:rPr>
                <w:rStyle w:val="Hyperlink"/>
              </w:rPr>
              <w:t>B4.2.1 Results of literature search</w:t>
            </w:r>
            <w:r w:rsidR="00DE65AE">
              <w:rPr>
                <w:webHidden/>
              </w:rPr>
              <w:tab/>
            </w:r>
            <w:r w:rsidR="00DE65AE">
              <w:rPr>
                <w:webHidden/>
              </w:rPr>
              <w:fldChar w:fldCharType="begin"/>
            </w:r>
            <w:r w:rsidR="00DE65AE">
              <w:rPr>
                <w:webHidden/>
              </w:rPr>
              <w:instrText xml:space="preserve"> PAGEREF _Toc451501327 \h </w:instrText>
            </w:r>
            <w:r w:rsidR="00DE65AE">
              <w:rPr>
                <w:webHidden/>
              </w:rPr>
            </w:r>
            <w:r w:rsidR="00DE65AE">
              <w:rPr>
                <w:webHidden/>
              </w:rPr>
              <w:fldChar w:fldCharType="separate"/>
            </w:r>
            <w:r w:rsidR="00054ED4">
              <w:rPr>
                <w:webHidden/>
              </w:rPr>
              <w:t>87</w:t>
            </w:r>
            <w:r w:rsidR="00DE65AE">
              <w:rPr>
                <w:webHidden/>
              </w:rPr>
              <w:fldChar w:fldCharType="end"/>
            </w:r>
          </w:hyperlink>
        </w:p>
        <w:p w14:paraId="4118675C" w14:textId="77777777" w:rsidR="00DE65AE" w:rsidRDefault="00CD4AC5" w:rsidP="004C79C1">
          <w:pPr>
            <w:pStyle w:val="TOC3"/>
            <w:spacing w:after="120" w:line="240" w:lineRule="auto"/>
            <w:rPr>
              <w:rFonts w:asciiTheme="minorHAnsi" w:eastAsiaTheme="minorEastAsia" w:hAnsiTheme="minorHAnsi" w:cstheme="minorBidi"/>
            </w:rPr>
          </w:pPr>
          <w:hyperlink w:anchor="_Toc451501328" w:history="1">
            <w:r w:rsidR="00DE65AE" w:rsidRPr="003E51D2">
              <w:rPr>
                <w:rStyle w:val="Hyperlink"/>
              </w:rPr>
              <w:t>B4.2.2 Characteristics of the evidence base and risk of bias assessment</w:t>
            </w:r>
            <w:r w:rsidR="00DE65AE">
              <w:rPr>
                <w:webHidden/>
              </w:rPr>
              <w:tab/>
            </w:r>
            <w:r w:rsidR="00DE65AE">
              <w:rPr>
                <w:webHidden/>
              </w:rPr>
              <w:fldChar w:fldCharType="begin"/>
            </w:r>
            <w:r w:rsidR="00DE65AE">
              <w:rPr>
                <w:webHidden/>
              </w:rPr>
              <w:instrText xml:space="preserve"> PAGEREF _Toc451501328 \h </w:instrText>
            </w:r>
            <w:r w:rsidR="00DE65AE">
              <w:rPr>
                <w:webHidden/>
              </w:rPr>
            </w:r>
            <w:r w:rsidR="00DE65AE">
              <w:rPr>
                <w:webHidden/>
              </w:rPr>
              <w:fldChar w:fldCharType="separate"/>
            </w:r>
            <w:r w:rsidR="00054ED4">
              <w:rPr>
                <w:webHidden/>
              </w:rPr>
              <w:t>88</w:t>
            </w:r>
            <w:r w:rsidR="00DE65AE">
              <w:rPr>
                <w:webHidden/>
              </w:rPr>
              <w:fldChar w:fldCharType="end"/>
            </w:r>
          </w:hyperlink>
        </w:p>
        <w:p w14:paraId="6042021F" w14:textId="77777777" w:rsidR="00DE65AE" w:rsidRDefault="00CD4AC5" w:rsidP="004C79C1">
          <w:pPr>
            <w:pStyle w:val="TOC3"/>
            <w:spacing w:after="120" w:line="240" w:lineRule="auto"/>
            <w:rPr>
              <w:rFonts w:asciiTheme="minorHAnsi" w:eastAsiaTheme="minorEastAsia" w:hAnsiTheme="minorHAnsi" w:cstheme="minorBidi"/>
            </w:rPr>
          </w:pPr>
          <w:hyperlink w:anchor="_Toc451501329" w:history="1">
            <w:r w:rsidR="00DE65AE" w:rsidRPr="003E51D2">
              <w:rPr>
                <w:rStyle w:val="Hyperlink"/>
              </w:rPr>
              <w:t>B4.2.3 Results of the systematic literature review</w:t>
            </w:r>
            <w:r w:rsidR="00DE65AE">
              <w:rPr>
                <w:webHidden/>
              </w:rPr>
              <w:tab/>
            </w:r>
            <w:r w:rsidR="00DE65AE">
              <w:rPr>
                <w:webHidden/>
              </w:rPr>
              <w:fldChar w:fldCharType="begin"/>
            </w:r>
            <w:r w:rsidR="00DE65AE">
              <w:rPr>
                <w:webHidden/>
              </w:rPr>
              <w:instrText xml:space="preserve"> PAGEREF _Toc451501329 \h </w:instrText>
            </w:r>
            <w:r w:rsidR="00DE65AE">
              <w:rPr>
                <w:webHidden/>
              </w:rPr>
            </w:r>
            <w:r w:rsidR="00DE65AE">
              <w:rPr>
                <w:webHidden/>
              </w:rPr>
              <w:fldChar w:fldCharType="separate"/>
            </w:r>
            <w:r w:rsidR="00054ED4">
              <w:rPr>
                <w:webHidden/>
              </w:rPr>
              <w:t>91</w:t>
            </w:r>
            <w:r w:rsidR="00DE65AE">
              <w:rPr>
                <w:webHidden/>
              </w:rPr>
              <w:fldChar w:fldCharType="end"/>
            </w:r>
          </w:hyperlink>
        </w:p>
        <w:p w14:paraId="5F5846F6"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30" w:history="1">
            <w:r w:rsidR="00DE65AE" w:rsidRPr="003E51D2">
              <w:rPr>
                <w:rStyle w:val="Hyperlink"/>
              </w:rPr>
              <w:t xml:space="preserve">B5 </w:t>
            </w:r>
            <w:r w:rsidR="00DE65AE">
              <w:rPr>
                <w:rFonts w:asciiTheme="minorHAnsi" w:eastAsiaTheme="minorEastAsia" w:hAnsiTheme="minorHAnsi" w:cstheme="minorBidi"/>
                <w:b w:val="0"/>
              </w:rPr>
              <w:tab/>
            </w:r>
            <w:r w:rsidR="00DE65AE" w:rsidRPr="003E51D2">
              <w:rPr>
                <w:rStyle w:val="Hyperlink"/>
              </w:rPr>
              <w:t>Clinical utility</w:t>
            </w:r>
            <w:r w:rsidR="00DE65AE">
              <w:rPr>
                <w:webHidden/>
              </w:rPr>
              <w:tab/>
            </w:r>
            <w:r w:rsidR="00DE65AE">
              <w:rPr>
                <w:webHidden/>
              </w:rPr>
              <w:fldChar w:fldCharType="begin"/>
            </w:r>
            <w:r w:rsidR="00DE65AE">
              <w:rPr>
                <w:webHidden/>
              </w:rPr>
              <w:instrText xml:space="preserve"> PAGEREF _Toc451501330 \h </w:instrText>
            </w:r>
            <w:r w:rsidR="00DE65AE">
              <w:rPr>
                <w:webHidden/>
              </w:rPr>
            </w:r>
            <w:r w:rsidR="00DE65AE">
              <w:rPr>
                <w:webHidden/>
              </w:rPr>
              <w:fldChar w:fldCharType="separate"/>
            </w:r>
            <w:r w:rsidR="00054ED4">
              <w:rPr>
                <w:webHidden/>
              </w:rPr>
              <w:t>107</w:t>
            </w:r>
            <w:r w:rsidR="00DE65AE">
              <w:rPr>
                <w:webHidden/>
              </w:rPr>
              <w:fldChar w:fldCharType="end"/>
            </w:r>
          </w:hyperlink>
        </w:p>
        <w:p w14:paraId="58A73431"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31" w:history="1">
            <w:r w:rsidR="00DE65AE" w:rsidRPr="003E51D2">
              <w:rPr>
                <w:rStyle w:val="Hyperlink"/>
              </w:rPr>
              <w:t>B5.1</w:t>
            </w:r>
            <w:r w:rsidR="00DE65AE">
              <w:rPr>
                <w:rFonts w:asciiTheme="minorHAnsi" w:eastAsiaTheme="minorEastAsia" w:hAnsiTheme="minorHAnsi" w:cstheme="minorBidi"/>
              </w:rPr>
              <w:tab/>
            </w:r>
            <w:r w:rsidR="00DE65AE" w:rsidRPr="003E51D2">
              <w:rPr>
                <w:rStyle w:val="Hyperlink"/>
              </w:rPr>
              <w:t>Impact on Clinical Management (Therapeutic Efficacy)</w:t>
            </w:r>
            <w:r w:rsidR="00DE65AE">
              <w:rPr>
                <w:webHidden/>
              </w:rPr>
              <w:tab/>
            </w:r>
            <w:r w:rsidR="00DE65AE">
              <w:rPr>
                <w:webHidden/>
              </w:rPr>
              <w:fldChar w:fldCharType="begin"/>
            </w:r>
            <w:r w:rsidR="00DE65AE">
              <w:rPr>
                <w:webHidden/>
              </w:rPr>
              <w:instrText xml:space="preserve"> PAGEREF _Toc451501331 \h </w:instrText>
            </w:r>
            <w:r w:rsidR="00DE65AE">
              <w:rPr>
                <w:webHidden/>
              </w:rPr>
            </w:r>
            <w:r w:rsidR="00DE65AE">
              <w:rPr>
                <w:webHidden/>
              </w:rPr>
              <w:fldChar w:fldCharType="separate"/>
            </w:r>
            <w:r w:rsidR="00054ED4">
              <w:rPr>
                <w:webHidden/>
              </w:rPr>
              <w:t>107</w:t>
            </w:r>
            <w:r w:rsidR="00DE65AE">
              <w:rPr>
                <w:webHidden/>
              </w:rPr>
              <w:fldChar w:fldCharType="end"/>
            </w:r>
          </w:hyperlink>
        </w:p>
        <w:p w14:paraId="218A1A10" w14:textId="77777777" w:rsidR="00DE65AE" w:rsidRDefault="00CD4AC5" w:rsidP="004C79C1">
          <w:pPr>
            <w:pStyle w:val="TOC3"/>
            <w:spacing w:after="120" w:line="240" w:lineRule="auto"/>
            <w:rPr>
              <w:rFonts w:asciiTheme="minorHAnsi" w:eastAsiaTheme="minorEastAsia" w:hAnsiTheme="minorHAnsi" w:cstheme="minorBidi"/>
            </w:rPr>
          </w:pPr>
          <w:hyperlink w:anchor="_Toc451501332" w:history="1">
            <w:r w:rsidR="00DE65AE" w:rsidRPr="003E51D2">
              <w:rPr>
                <w:rStyle w:val="Hyperlink"/>
              </w:rPr>
              <w:t>B5.1.1 Literature sources and search strategy</w:t>
            </w:r>
            <w:r w:rsidR="00DE65AE">
              <w:rPr>
                <w:webHidden/>
              </w:rPr>
              <w:tab/>
            </w:r>
            <w:r w:rsidR="00DE65AE">
              <w:rPr>
                <w:webHidden/>
              </w:rPr>
              <w:fldChar w:fldCharType="begin"/>
            </w:r>
            <w:r w:rsidR="00DE65AE">
              <w:rPr>
                <w:webHidden/>
              </w:rPr>
              <w:instrText xml:space="preserve"> PAGEREF _Toc451501332 \h </w:instrText>
            </w:r>
            <w:r w:rsidR="00DE65AE">
              <w:rPr>
                <w:webHidden/>
              </w:rPr>
            </w:r>
            <w:r w:rsidR="00DE65AE">
              <w:rPr>
                <w:webHidden/>
              </w:rPr>
              <w:fldChar w:fldCharType="separate"/>
            </w:r>
            <w:r w:rsidR="00054ED4">
              <w:rPr>
                <w:webHidden/>
              </w:rPr>
              <w:t>107</w:t>
            </w:r>
            <w:r w:rsidR="00DE65AE">
              <w:rPr>
                <w:webHidden/>
              </w:rPr>
              <w:fldChar w:fldCharType="end"/>
            </w:r>
          </w:hyperlink>
        </w:p>
        <w:p w14:paraId="4A169E9F" w14:textId="77777777" w:rsidR="00DE65AE" w:rsidRDefault="00CD4AC5" w:rsidP="004C79C1">
          <w:pPr>
            <w:pStyle w:val="TOC3"/>
            <w:spacing w:after="120" w:line="240" w:lineRule="auto"/>
            <w:rPr>
              <w:rFonts w:asciiTheme="minorHAnsi" w:eastAsiaTheme="minorEastAsia" w:hAnsiTheme="minorHAnsi" w:cstheme="minorBidi"/>
            </w:rPr>
          </w:pPr>
          <w:hyperlink w:anchor="_Toc451501333" w:history="1">
            <w:r w:rsidR="00DE65AE" w:rsidRPr="003E51D2">
              <w:rPr>
                <w:rStyle w:val="Hyperlink"/>
              </w:rPr>
              <w:t>B5.1.2 Risk of bias assessment</w:t>
            </w:r>
            <w:r w:rsidR="00DE65AE">
              <w:rPr>
                <w:webHidden/>
              </w:rPr>
              <w:tab/>
            </w:r>
            <w:r w:rsidR="00DE65AE">
              <w:rPr>
                <w:webHidden/>
              </w:rPr>
              <w:fldChar w:fldCharType="begin"/>
            </w:r>
            <w:r w:rsidR="00DE65AE">
              <w:rPr>
                <w:webHidden/>
              </w:rPr>
              <w:instrText xml:space="preserve"> PAGEREF _Toc451501333 \h </w:instrText>
            </w:r>
            <w:r w:rsidR="00DE65AE">
              <w:rPr>
                <w:webHidden/>
              </w:rPr>
            </w:r>
            <w:r w:rsidR="00DE65AE">
              <w:rPr>
                <w:webHidden/>
              </w:rPr>
              <w:fldChar w:fldCharType="separate"/>
            </w:r>
            <w:r w:rsidR="00054ED4">
              <w:rPr>
                <w:webHidden/>
              </w:rPr>
              <w:t>108</w:t>
            </w:r>
            <w:r w:rsidR="00DE65AE">
              <w:rPr>
                <w:webHidden/>
              </w:rPr>
              <w:fldChar w:fldCharType="end"/>
            </w:r>
          </w:hyperlink>
        </w:p>
        <w:p w14:paraId="60D00630" w14:textId="77777777" w:rsidR="00DE65AE" w:rsidRDefault="00CD4AC5" w:rsidP="004C79C1">
          <w:pPr>
            <w:pStyle w:val="TOC3"/>
            <w:spacing w:after="120" w:line="240" w:lineRule="auto"/>
            <w:rPr>
              <w:rFonts w:asciiTheme="minorHAnsi" w:eastAsiaTheme="minorEastAsia" w:hAnsiTheme="minorHAnsi" w:cstheme="minorBidi"/>
            </w:rPr>
          </w:pPr>
          <w:hyperlink w:anchor="_Toc451501334" w:history="1">
            <w:r w:rsidR="00DE65AE" w:rsidRPr="003E51D2">
              <w:rPr>
                <w:rStyle w:val="Hyperlink"/>
              </w:rPr>
              <w:t>B5.1.3 Characteristics of the evidence base</w:t>
            </w:r>
            <w:r w:rsidR="00DE65AE">
              <w:rPr>
                <w:webHidden/>
              </w:rPr>
              <w:tab/>
            </w:r>
            <w:r w:rsidR="00DE65AE">
              <w:rPr>
                <w:webHidden/>
              </w:rPr>
              <w:fldChar w:fldCharType="begin"/>
            </w:r>
            <w:r w:rsidR="00DE65AE">
              <w:rPr>
                <w:webHidden/>
              </w:rPr>
              <w:instrText xml:space="preserve"> PAGEREF _Toc451501334 \h </w:instrText>
            </w:r>
            <w:r w:rsidR="00DE65AE">
              <w:rPr>
                <w:webHidden/>
              </w:rPr>
            </w:r>
            <w:r w:rsidR="00DE65AE">
              <w:rPr>
                <w:webHidden/>
              </w:rPr>
              <w:fldChar w:fldCharType="separate"/>
            </w:r>
            <w:r w:rsidR="00054ED4">
              <w:rPr>
                <w:webHidden/>
              </w:rPr>
              <w:t>109</w:t>
            </w:r>
            <w:r w:rsidR="00DE65AE">
              <w:rPr>
                <w:webHidden/>
              </w:rPr>
              <w:fldChar w:fldCharType="end"/>
            </w:r>
          </w:hyperlink>
        </w:p>
        <w:p w14:paraId="278A43C5" w14:textId="77777777" w:rsidR="00DE65AE" w:rsidRDefault="00CD4AC5" w:rsidP="004C79C1">
          <w:pPr>
            <w:pStyle w:val="TOC3"/>
            <w:spacing w:after="120" w:line="240" w:lineRule="auto"/>
            <w:rPr>
              <w:rFonts w:asciiTheme="minorHAnsi" w:eastAsiaTheme="minorEastAsia" w:hAnsiTheme="minorHAnsi" w:cstheme="minorBidi"/>
            </w:rPr>
          </w:pPr>
          <w:hyperlink w:anchor="_Toc451501335" w:history="1">
            <w:r w:rsidR="00DE65AE" w:rsidRPr="003E51D2">
              <w:rPr>
                <w:rStyle w:val="Hyperlink"/>
              </w:rPr>
              <w:t>B5.1.4 Outcome measures and analysis</w:t>
            </w:r>
            <w:r w:rsidR="00DE65AE">
              <w:rPr>
                <w:webHidden/>
              </w:rPr>
              <w:tab/>
            </w:r>
            <w:r w:rsidR="00DE65AE">
              <w:rPr>
                <w:webHidden/>
              </w:rPr>
              <w:fldChar w:fldCharType="begin"/>
            </w:r>
            <w:r w:rsidR="00DE65AE">
              <w:rPr>
                <w:webHidden/>
              </w:rPr>
              <w:instrText xml:space="preserve"> PAGEREF _Toc451501335 \h </w:instrText>
            </w:r>
            <w:r w:rsidR="00DE65AE">
              <w:rPr>
                <w:webHidden/>
              </w:rPr>
            </w:r>
            <w:r w:rsidR="00DE65AE">
              <w:rPr>
                <w:webHidden/>
              </w:rPr>
              <w:fldChar w:fldCharType="separate"/>
            </w:r>
            <w:r w:rsidR="00054ED4">
              <w:rPr>
                <w:webHidden/>
              </w:rPr>
              <w:t>111</w:t>
            </w:r>
            <w:r w:rsidR="00DE65AE">
              <w:rPr>
                <w:webHidden/>
              </w:rPr>
              <w:fldChar w:fldCharType="end"/>
            </w:r>
          </w:hyperlink>
        </w:p>
        <w:p w14:paraId="7E56985B" w14:textId="77777777" w:rsidR="00DE65AE" w:rsidRDefault="00CD4AC5" w:rsidP="004C79C1">
          <w:pPr>
            <w:pStyle w:val="TOC3"/>
            <w:spacing w:after="120" w:line="240" w:lineRule="auto"/>
            <w:rPr>
              <w:rFonts w:asciiTheme="minorHAnsi" w:eastAsiaTheme="minorEastAsia" w:hAnsiTheme="minorHAnsi" w:cstheme="minorBidi"/>
            </w:rPr>
          </w:pPr>
          <w:hyperlink w:anchor="_Toc451501336" w:history="1">
            <w:r w:rsidR="00DE65AE" w:rsidRPr="003E51D2">
              <w:rPr>
                <w:rStyle w:val="Hyperlink"/>
              </w:rPr>
              <w:t>B5.1.5 Results of the systematic literature review</w:t>
            </w:r>
            <w:r w:rsidR="00DE65AE">
              <w:rPr>
                <w:webHidden/>
              </w:rPr>
              <w:tab/>
            </w:r>
            <w:r w:rsidR="00DE65AE">
              <w:rPr>
                <w:webHidden/>
              </w:rPr>
              <w:fldChar w:fldCharType="begin"/>
            </w:r>
            <w:r w:rsidR="00DE65AE">
              <w:rPr>
                <w:webHidden/>
              </w:rPr>
              <w:instrText xml:space="preserve"> PAGEREF _Toc451501336 \h </w:instrText>
            </w:r>
            <w:r w:rsidR="00DE65AE">
              <w:rPr>
                <w:webHidden/>
              </w:rPr>
            </w:r>
            <w:r w:rsidR="00DE65AE">
              <w:rPr>
                <w:webHidden/>
              </w:rPr>
              <w:fldChar w:fldCharType="separate"/>
            </w:r>
            <w:r w:rsidR="00054ED4">
              <w:rPr>
                <w:webHidden/>
              </w:rPr>
              <w:t>112</w:t>
            </w:r>
            <w:r w:rsidR="00DE65AE">
              <w:rPr>
                <w:webHidden/>
              </w:rPr>
              <w:fldChar w:fldCharType="end"/>
            </w:r>
          </w:hyperlink>
        </w:p>
        <w:p w14:paraId="5B1FD950" w14:textId="77777777" w:rsidR="00DE65AE" w:rsidRDefault="00CD4AC5" w:rsidP="004C79C1">
          <w:pPr>
            <w:pStyle w:val="TOC3"/>
            <w:spacing w:after="120" w:line="240" w:lineRule="auto"/>
            <w:rPr>
              <w:rFonts w:asciiTheme="minorHAnsi" w:eastAsiaTheme="minorEastAsia" w:hAnsiTheme="minorHAnsi" w:cstheme="minorBidi"/>
            </w:rPr>
          </w:pPr>
          <w:hyperlink w:anchor="_Toc451501337" w:history="1">
            <w:r w:rsidR="00DE65AE" w:rsidRPr="003E51D2">
              <w:rPr>
                <w:rStyle w:val="Hyperlink"/>
              </w:rPr>
              <w:t>Does it impact on clinical management?</w:t>
            </w:r>
            <w:r w:rsidR="00DE65AE">
              <w:rPr>
                <w:webHidden/>
              </w:rPr>
              <w:tab/>
            </w:r>
            <w:r w:rsidR="00DE65AE">
              <w:rPr>
                <w:webHidden/>
              </w:rPr>
              <w:fldChar w:fldCharType="begin"/>
            </w:r>
            <w:r w:rsidR="00DE65AE">
              <w:rPr>
                <w:webHidden/>
              </w:rPr>
              <w:instrText xml:space="preserve"> PAGEREF _Toc451501337 \h </w:instrText>
            </w:r>
            <w:r w:rsidR="00DE65AE">
              <w:rPr>
                <w:webHidden/>
              </w:rPr>
            </w:r>
            <w:r w:rsidR="00DE65AE">
              <w:rPr>
                <w:webHidden/>
              </w:rPr>
              <w:fldChar w:fldCharType="separate"/>
            </w:r>
            <w:r w:rsidR="00054ED4">
              <w:rPr>
                <w:webHidden/>
              </w:rPr>
              <w:t>112</w:t>
            </w:r>
            <w:r w:rsidR="00DE65AE">
              <w:rPr>
                <w:webHidden/>
              </w:rPr>
              <w:fldChar w:fldCharType="end"/>
            </w:r>
          </w:hyperlink>
        </w:p>
        <w:p w14:paraId="6FE0AE72" w14:textId="77777777" w:rsidR="00DE65AE" w:rsidRDefault="00CD4AC5" w:rsidP="004C79C1">
          <w:pPr>
            <w:pStyle w:val="TOC3"/>
            <w:spacing w:after="120" w:line="240" w:lineRule="auto"/>
            <w:rPr>
              <w:rFonts w:asciiTheme="minorHAnsi" w:eastAsiaTheme="minorEastAsia" w:hAnsiTheme="minorHAnsi" w:cstheme="minorBidi"/>
            </w:rPr>
          </w:pPr>
          <w:hyperlink w:anchor="_Toc451501338" w:history="1">
            <w:r w:rsidR="00DE65AE" w:rsidRPr="003E51D2">
              <w:rPr>
                <w:rStyle w:val="Hyperlink"/>
              </w:rPr>
              <w:t>Impact on the clinical management of patients with an indeterminate result on echocardiography</w:t>
            </w:r>
            <w:r w:rsidR="00DE65AE">
              <w:rPr>
                <w:webHidden/>
              </w:rPr>
              <w:tab/>
            </w:r>
            <w:r w:rsidR="00DE65AE">
              <w:rPr>
                <w:webHidden/>
              </w:rPr>
              <w:fldChar w:fldCharType="begin"/>
            </w:r>
            <w:r w:rsidR="00DE65AE">
              <w:rPr>
                <w:webHidden/>
              </w:rPr>
              <w:instrText xml:space="preserve"> PAGEREF _Toc451501338 \h </w:instrText>
            </w:r>
            <w:r w:rsidR="00DE65AE">
              <w:rPr>
                <w:webHidden/>
              </w:rPr>
            </w:r>
            <w:r w:rsidR="00DE65AE">
              <w:rPr>
                <w:webHidden/>
              </w:rPr>
              <w:fldChar w:fldCharType="separate"/>
            </w:r>
            <w:r w:rsidR="00054ED4">
              <w:rPr>
                <w:webHidden/>
              </w:rPr>
              <w:t>113</w:t>
            </w:r>
            <w:r w:rsidR="00DE65AE">
              <w:rPr>
                <w:webHidden/>
              </w:rPr>
              <w:fldChar w:fldCharType="end"/>
            </w:r>
          </w:hyperlink>
        </w:p>
        <w:p w14:paraId="19914A32" w14:textId="77777777" w:rsidR="00DE65AE" w:rsidRDefault="00CD4AC5" w:rsidP="004C79C1">
          <w:pPr>
            <w:pStyle w:val="TOC3"/>
            <w:spacing w:after="120" w:line="240" w:lineRule="auto"/>
            <w:rPr>
              <w:rFonts w:asciiTheme="minorHAnsi" w:eastAsiaTheme="minorEastAsia" w:hAnsiTheme="minorHAnsi" w:cstheme="minorBidi"/>
            </w:rPr>
          </w:pPr>
          <w:hyperlink w:anchor="_Toc451501339" w:history="1">
            <w:r w:rsidR="00DE65AE" w:rsidRPr="003E51D2">
              <w:rPr>
                <w:rStyle w:val="Hyperlink"/>
              </w:rPr>
              <w:t>Impact on the clinical management of patients with a dilated LV and a low risk of CAD</w:t>
            </w:r>
            <w:r w:rsidR="00DE65AE">
              <w:rPr>
                <w:webHidden/>
              </w:rPr>
              <w:tab/>
            </w:r>
            <w:r w:rsidR="00DE65AE">
              <w:rPr>
                <w:webHidden/>
              </w:rPr>
              <w:fldChar w:fldCharType="begin"/>
            </w:r>
            <w:r w:rsidR="00DE65AE">
              <w:rPr>
                <w:webHidden/>
              </w:rPr>
              <w:instrText xml:space="preserve"> PAGEREF _Toc451501339 \h </w:instrText>
            </w:r>
            <w:r w:rsidR="00DE65AE">
              <w:rPr>
                <w:webHidden/>
              </w:rPr>
            </w:r>
            <w:r w:rsidR="00DE65AE">
              <w:rPr>
                <w:webHidden/>
              </w:rPr>
              <w:fldChar w:fldCharType="separate"/>
            </w:r>
            <w:r w:rsidR="00054ED4">
              <w:rPr>
                <w:webHidden/>
              </w:rPr>
              <w:t>113</w:t>
            </w:r>
            <w:r w:rsidR="00DE65AE">
              <w:rPr>
                <w:webHidden/>
              </w:rPr>
              <w:fldChar w:fldCharType="end"/>
            </w:r>
          </w:hyperlink>
        </w:p>
        <w:p w14:paraId="75D82086" w14:textId="77777777" w:rsidR="00DE65AE" w:rsidRDefault="00CD4AC5" w:rsidP="004C79C1">
          <w:pPr>
            <w:pStyle w:val="TOC3"/>
            <w:spacing w:after="120" w:line="240" w:lineRule="auto"/>
            <w:rPr>
              <w:rFonts w:asciiTheme="minorHAnsi" w:eastAsiaTheme="minorEastAsia" w:hAnsiTheme="minorHAnsi" w:cstheme="minorBidi"/>
            </w:rPr>
          </w:pPr>
          <w:hyperlink w:anchor="_Toc451501340" w:history="1">
            <w:r w:rsidR="00DE65AE" w:rsidRPr="003E51D2">
              <w:rPr>
                <w:rStyle w:val="Hyperlink"/>
              </w:rPr>
              <w:t>Impact on the clinical management of patients with a dilated LV and an intermediate risk of CAD</w:t>
            </w:r>
            <w:r w:rsidR="00DE65AE">
              <w:rPr>
                <w:webHidden/>
              </w:rPr>
              <w:tab/>
            </w:r>
            <w:r w:rsidR="00DE65AE">
              <w:rPr>
                <w:webHidden/>
              </w:rPr>
              <w:fldChar w:fldCharType="begin"/>
            </w:r>
            <w:r w:rsidR="00DE65AE">
              <w:rPr>
                <w:webHidden/>
              </w:rPr>
              <w:instrText xml:space="preserve"> PAGEREF _Toc451501340 \h </w:instrText>
            </w:r>
            <w:r w:rsidR="00DE65AE">
              <w:rPr>
                <w:webHidden/>
              </w:rPr>
            </w:r>
            <w:r w:rsidR="00DE65AE">
              <w:rPr>
                <w:webHidden/>
              </w:rPr>
              <w:fldChar w:fldCharType="separate"/>
            </w:r>
            <w:r w:rsidR="00054ED4">
              <w:rPr>
                <w:webHidden/>
              </w:rPr>
              <w:t>117</w:t>
            </w:r>
            <w:r w:rsidR="00DE65AE">
              <w:rPr>
                <w:webHidden/>
              </w:rPr>
              <w:fldChar w:fldCharType="end"/>
            </w:r>
          </w:hyperlink>
        </w:p>
        <w:p w14:paraId="7F64B601"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41" w:history="1">
            <w:r w:rsidR="00DE65AE" w:rsidRPr="003E51D2">
              <w:rPr>
                <w:rStyle w:val="Hyperlink"/>
              </w:rPr>
              <w:t xml:space="preserve">B5.2 </w:t>
            </w:r>
            <w:r w:rsidR="00DE65AE">
              <w:rPr>
                <w:rFonts w:asciiTheme="minorHAnsi" w:eastAsiaTheme="minorEastAsia" w:hAnsiTheme="minorHAnsi" w:cstheme="minorBidi"/>
              </w:rPr>
              <w:tab/>
            </w:r>
            <w:r w:rsidR="00DE65AE" w:rsidRPr="003E51D2">
              <w:rPr>
                <w:rStyle w:val="Hyperlink"/>
              </w:rPr>
              <w:t>Therapeutic Effectiveness</w:t>
            </w:r>
            <w:r w:rsidR="00DE65AE">
              <w:rPr>
                <w:webHidden/>
              </w:rPr>
              <w:tab/>
            </w:r>
            <w:r w:rsidR="00DE65AE">
              <w:rPr>
                <w:webHidden/>
              </w:rPr>
              <w:fldChar w:fldCharType="begin"/>
            </w:r>
            <w:r w:rsidR="00DE65AE">
              <w:rPr>
                <w:webHidden/>
              </w:rPr>
              <w:instrText xml:space="preserve"> PAGEREF _Toc451501341 \h </w:instrText>
            </w:r>
            <w:r w:rsidR="00DE65AE">
              <w:rPr>
                <w:webHidden/>
              </w:rPr>
            </w:r>
            <w:r w:rsidR="00DE65AE">
              <w:rPr>
                <w:webHidden/>
              </w:rPr>
              <w:fldChar w:fldCharType="separate"/>
            </w:r>
            <w:r w:rsidR="00054ED4">
              <w:rPr>
                <w:webHidden/>
              </w:rPr>
              <w:t>121</w:t>
            </w:r>
            <w:r w:rsidR="00DE65AE">
              <w:rPr>
                <w:webHidden/>
              </w:rPr>
              <w:fldChar w:fldCharType="end"/>
            </w:r>
          </w:hyperlink>
        </w:p>
        <w:p w14:paraId="55A731FB" w14:textId="77777777" w:rsidR="00DE65AE" w:rsidRDefault="00CD4AC5" w:rsidP="004C79C1">
          <w:pPr>
            <w:pStyle w:val="TOC3"/>
            <w:spacing w:after="120" w:line="240" w:lineRule="auto"/>
            <w:rPr>
              <w:rFonts w:asciiTheme="minorHAnsi" w:eastAsiaTheme="minorEastAsia" w:hAnsiTheme="minorHAnsi" w:cstheme="minorBidi"/>
            </w:rPr>
          </w:pPr>
          <w:hyperlink w:anchor="_Toc451501342" w:history="1">
            <w:r w:rsidR="00DE65AE" w:rsidRPr="003E51D2">
              <w:rPr>
                <w:rStyle w:val="Hyperlink"/>
              </w:rPr>
              <w:t>B</w:t>
            </w:r>
            <w:r w:rsidR="00DE65AE" w:rsidRPr="003E51D2">
              <w:rPr>
                <w:rStyle w:val="Hyperlink"/>
                <w:bCs/>
              </w:rPr>
              <w:t>5.2.1</w:t>
            </w:r>
            <w:r w:rsidR="00DE65AE" w:rsidRPr="003E51D2">
              <w:rPr>
                <w:rStyle w:val="Hyperlink"/>
              </w:rPr>
              <w:t xml:space="preserve"> Risk of bias assessment</w:t>
            </w:r>
            <w:r w:rsidR="00DE65AE">
              <w:rPr>
                <w:webHidden/>
              </w:rPr>
              <w:tab/>
            </w:r>
            <w:r w:rsidR="00DE65AE">
              <w:rPr>
                <w:webHidden/>
              </w:rPr>
              <w:fldChar w:fldCharType="begin"/>
            </w:r>
            <w:r w:rsidR="00DE65AE">
              <w:rPr>
                <w:webHidden/>
              </w:rPr>
              <w:instrText xml:space="preserve"> PAGEREF _Toc451501342 \h </w:instrText>
            </w:r>
            <w:r w:rsidR="00DE65AE">
              <w:rPr>
                <w:webHidden/>
              </w:rPr>
            </w:r>
            <w:r w:rsidR="00DE65AE">
              <w:rPr>
                <w:webHidden/>
              </w:rPr>
              <w:fldChar w:fldCharType="separate"/>
            </w:r>
            <w:r w:rsidR="00054ED4">
              <w:rPr>
                <w:webHidden/>
              </w:rPr>
              <w:t>121</w:t>
            </w:r>
            <w:r w:rsidR="00DE65AE">
              <w:rPr>
                <w:webHidden/>
              </w:rPr>
              <w:fldChar w:fldCharType="end"/>
            </w:r>
          </w:hyperlink>
        </w:p>
        <w:p w14:paraId="0A356080" w14:textId="77777777" w:rsidR="00DE65AE" w:rsidRDefault="00CD4AC5" w:rsidP="004C79C1">
          <w:pPr>
            <w:pStyle w:val="TOC3"/>
            <w:spacing w:after="120" w:line="240" w:lineRule="auto"/>
            <w:rPr>
              <w:rFonts w:asciiTheme="minorHAnsi" w:eastAsiaTheme="minorEastAsia" w:hAnsiTheme="minorHAnsi" w:cstheme="minorBidi"/>
            </w:rPr>
          </w:pPr>
          <w:hyperlink w:anchor="_Toc451501343" w:history="1">
            <w:r w:rsidR="00DE65AE" w:rsidRPr="003E51D2">
              <w:rPr>
                <w:rStyle w:val="Hyperlink"/>
              </w:rPr>
              <w:t>B5.2.2 Characteristics of the evidence base</w:t>
            </w:r>
            <w:r w:rsidR="00DE65AE">
              <w:rPr>
                <w:webHidden/>
              </w:rPr>
              <w:tab/>
            </w:r>
            <w:r w:rsidR="00DE65AE">
              <w:rPr>
                <w:webHidden/>
              </w:rPr>
              <w:fldChar w:fldCharType="begin"/>
            </w:r>
            <w:r w:rsidR="00DE65AE">
              <w:rPr>
                <w:webHidden/>
              </w:rPr>
              <w:instrText xml:space="preserve"> PAGEREF _Toc451501343 \h </w:instrText>
            </w:r>
            <w:r w:rsidR="00DE65AE">
              <w:rPr>
                <w:webHidden/>
              </w:rPr>
            </w:r>
            <w:r w:rsidR="00DE65AE">
              <w:rPr>
                <w:webHidden/>
              </w:rPr>
              <w:fldChar w:fldCharType="separate"/>
            </w:r>
            <w:r w:rsidR="00054ED4">
              <w:rPr>
                <w:webHidden/>
              </w:rPr>
              <w:t>122</w:t>
            </w:r>
            <w:r w:rsidR="00DE65AE">
              <w:rPr>
                <w:webHidden/>
              </w:rPr>
              <w:fldChar w:fldCharType="end"/>
            </w:r>
          </w:hyperlink>
        </w:p>
        <w:p w14:paraId="3CC3BAB5" w14:textId="77777777" w:rsidR="00DE65AE" w:rsidRDefault="00CD4AC5" w:rsidP="004C79C1">
          <w:pPr>
            <w:pStyle w:val="TOC3"/>
            <w:spacing w:after="120" w:line="240" w:lineRule="auto"/>
            <w:rPr>
              <w:rFonts w:asciiTheme="minorHAnsi" w:eastAsiaTheme="minorEastAsia" w:hAnsiTheme="minorHAnsi" w:cstheme="minorBidi"/>
            </w:rPr>
          </w:pPr>
          <w:hyperlink w:anchor="_Toc451501344" w:history="1">
            <w:r w:rsidR="00DE65AE" w:rsidRPr="003E51D2">
              <w:rPr>
                <w:rStyle w:val="Hyperlink"/>
              </w:rPr>
              <w:t>B5.2.3 Outcome measures and analysis</w:t>
            </w:r>
            <w:r w:rsidR="00DE65AE">
              <w:rPr>
                <w:webHidden/>
              </w:rPr>
              <w:tab/>
            </w:r>
            <w:r w:rsidR="00DE65AE">
              <w:rPr>
                <w:webHidden/>
              </w:rPr>
              <w:fldChar w:fldCharType="begin"/>
            </w:r>
            <w:r w:rsidR="00DE65AE">
              <w:rPr>
                <w:webHidden/>
              </w:rPr>
              <w:instrText xml:space="preserve"> PAGEREF _Toc451501344 \h </w:instrText>
            </w:r>
            <w:r w:rsidR="00DE65AE">
              <w:rPr>
                <w:webHidden/>
              </w:rPr>
            </w:r>
            <w:r w:rsidR="00DE65AE">
              <w:rPr>
                <w:webHidden/>
              </w:rPr>
              <w:fldChar w:fldCharType="separate"/>
            </w:r>
            <w:r w:rsidR="00054ED4">
              <w:rPr>
                <w:webHidden/>
              </w:rPr>
              <w:t>123</w:t>
            </w:r>
            <w:r w:rsidR="00DE65AE">
              <w:rPr>
                <w:webHidden/>
              </w:rPr>
              <w:fldChar w:fldCharType="end"/>
            </w:r>
          </w:hyperlink>
        </w:p>
        <w:p w14:paraId="3BDE920A" w14:textId="77777777" w:rsidR="00DE65AE" w:rsidRDefault="00CD4AC5" w:rsidP="004C79C1">
          <w:pPr>
            <w:pStyle w:val="TOC3"/>
            <w:spacing w:after="120" w:line="240" w:lineRule="auto"/>
            <w:rPr>
              <w:rFonts w:asciiTheme="minorHAnsi" w:eastAsiaTheme="minorEastAsia" w:hAnsiTheme="minorHAnsi" w:cstheme="minorBidi"/>
            </w:rPr>
          </w:pPr>
          <w:hyperlink w:anchor="_Toc451501345" w:history="1">
            <w:r w:rsidR="00DE65AE" w:rsidRPr="003E51D2">
              <w:rPr>
                <w:rStyle w:val="Hyperlink"/>
              </w:rPr>
              <w:t>B5.2.4 Results of the literature review</w:t>
            </w:r>
            <w:r w:rsidR="00DE65AE">
              <w:rPr>
                <w:webHidden/>
              </w:rPr>
              <w:tab/>
            </w:r>
            <w:r w:rsidR="00DE65AE">
              <w:rPr>
                <w:webHidden/>
              </w:rPr>
              <w:fldChar w:fldCharType="begin"/>
            </w:r>
            <w:r w:rsidR="00DE65AE">
              <w:rPr>
                <w:webHidden/>
              </w:rPr>
              <w:instrText xml:space="preserve"> PAGEREF _Toc451501345 \h </w:instrText>
            </w:r>
            <w:r w:rsidR="00DE65AE">
              <w:rPr>
                <w:webHidden/>
              </w:rPr>
            </w:r>
            <w:r w:rsidR="00DE65AE">
              <w:rPr>
                <w:webHidden/>
              </w:rPr>
              <w:fldChar w:fldCharType="separate"/>
            </w:r>
            <w:r w:rsidR="00054ED4">
              <w:rPr>
                <w:webHidden/>
              </w:rPr>
              <w:t>124</w:t>
            </w:r>
            <w:r w:rsidR="00DE65AE">
              <w:rPr>
                <w:webHidden/>
              </w:rPr>
              <w:fldChar w:fldCharType="end"/>
            </w:r>
          </w:hyperlink>
        </w:p>
        <w:p w14:paraId="64954CC4" w14:textId="77777777" w:rsidR="00DE65AE" w:rsidRDefault="00CD4AC5" w:rsidP="004C79C1">
          <w:pPr>
            <w:pStyle w:val="TOC3"/>
            <w:spacing w:after="120" w:line="240" w:lineRule="auto"/>
            <w:rPr>
              <w:rFonts w:asciiTheme="minorHAnsi" w:eastAsiaTheme="minorEastAsia" w:hAnsiTheme="minorHAnsi" w:cstheme="minorBidi"/>
            </w:rPr>
          </w:pPr>
          <w:hyperlink w:anchor="_Toc451501346" w:history="1">
            <w:r w:rsidR="00DE65AE" w:rsidRPr="003E51D2">
              <w:rPr>
                <w:rStyle w:val="Hyperlink"/>
              </w:rPr>
              <w:t>Does the change in management improve health outcomes?</w:t>
            </w:r>
            <w:r w:rsidR="00DE65AE">
              <w:rPr>
                <w:webHidden/>
              </w:rPr>
              <w:tab/>
            </w:r>
            <w:r w:rsidR="00DE65AE">
              <w:rPr>
                <w:webHidden/>
              </w:rPr>
              <w:fldChar w:fldCharType="begin"/>
            </w:r>
            <w:r w:rsidR="00DE65AE">
              <w:rPr>
                <w:webHidden/>
              </w:rPr>
              <w:instrText xml:space="preserve"> PAGEREF _Toc451501346 \h </w:instrText>
            </w:r>
            <w:r w:rsidR="00DE65AE">
              <w:rPr>
                <w:webHidden/>
              </w:rPr>
            </w:r>
            <w:r w:rsidR="00DE65AE">
              <w:rPr>
                <w:webHidden/>
              </w:rPr>
              <w:fldChar w:fldCharType="separate"/>
            </w:r>
            <w:r w:rsidR="00054ED4">
              <w:rPr>
                <w:webHidden/>
              </w:rPr>
              <w:t>124</w:t>
            </w:r>
            <w:r w:rsidR="00DE65AE">
              <w:rPr>
                <w:webHidden/>
              </w:rPr>
              <w:fldChar w:fldCharType="end"/>
            </w:r>
          </w:hyperlink>
        </w:p>
        <w:p w14:paraId="4EAEF1D0" w14:textId="77777777" w:rsidR="00DE65AE" w:rsidRDefault="00CD4AC5" w:rsidP="004C79C1">
          <w:pPr>
            <w:pStyle w:val="TOC3"/>
            <w:spacing w:after="120" w:line="240" w:lineRule="auto"/>
            <w:rPr>
              <w:rFonts w:asciiTheme="minorHAnsi" w:eastAsiaTheme="minorEastAsia" w:hAnsiTheme="minorHAnsi" w:cstheme="minorBidi"/>
            </w:rPr>
          </w:pPr>
          <w:hyperlink w:anchor="_Toc451501347" w:history="1">
            <w:r w:rsidR="00DE65AE" w:rsidRPr="003E51D2">
              <w:rPr>
                <w:rStyle w:val="Hyperlink"/>
              </w:rPr>
              <w:t>Impact of change in management in patients with indeterminate results on echocardiography</w:t>
            </w:r>
            <w:r w:rsidR="00DE65AE">
              <w:rPr>
                <w:webHidden/>
              </w:rPr>
              <w:tab/>
            </w:r>
            <w:r w:rsidR="00DE65AE">
              <w:rPr>
                <w:webHidden/>
              </w:rPr>
              <w:fldChar w:fldCharType="begin"/>
            </w:r>
            <w:r w:rsidR="00DE65AE">
              <w:rPr>
                <w:webHidden/>
              </w:rPr>
              <w:instrText xml:space="preserve"> PAGEREF _Toc451501347 \h </w:instrText>
            </w:r>
            <w:r w:rsidR="00DE65AE">
              <w:rPr>
                <w:webHidden/>
              </w:rPr>
            </w:r>
            <w:r w:rsidR="00DE65AE">
              <w:rPr>
                <w:webHidden/>
              </w:rPr>
              <w:fldChar w:fldCharType="separate"/>
            </w:r>
            <w:r w:rsidR="00054ED4">
              <w:rPr>
                <w:webHidden/>
              </w:rPr>
              <w:t>125</w:t>
            </w:r>
            <w:r w:rsidR="00DE65AE">
              <w:rPr>
                <w:webHidden/>
              </w:rPr>
              <w:fldChar w:fldCharType="end"/>
            </w:r>
          </w:hyperlink>
        </w:p>
        <w:p w14:paraId="287FA702" w14:textId="77777777" w:rsidR="00DE65AE" w:rsidRDefault="00CD4AC5" w:rsidP="004C79C1">
          <w:pPr>
            <w:pStyle w:val="TOC3"/>
            <w:spacing w:after="120" w:line="240" w:lineRule="auto"/>
            <w:rPr>
              <w:rFonts w:asciiTheme="minorHAnsi" w:eastAsiaTheme="minorEastAsia" w:hAnsiTheme="minorHAnsi" w:cstheme="minorBidi"/>
            </w:rPr>
          </w:pPr>
          <w:hyperlink w:anchor="_Toc451501348" w:history="1">
            <w:r w:rsidR="00DE65AE" w:rsidRPr="003E51D2">
              <w:rPr>
                <w:rStyle w:val="Hyperlink"/>
              </w:rPr>
              <w:t>Impact of detecting aetiology of NIDCM in patients with a low risk of CAD</w:t>
            </w:r>
            <w:r w:rsidR="00DE65AE">
              <w:rPr>
                <w:webHidden/>
              </w:rPr>
              <w:tab/>
            </w:r>
            <w:r w:rsidR="00DE65AE">
              <w:rPr>
                <w:webHidden/>
              </w:rPr>
              <w:fldChar w:fldCharType="begin"/>
            </w:r>
            <w:r w:rsidR="00DE65AE">
              <w:rPr>
                <w:webHidden/>
              </w:rPr>
              <w:instrText xml:space="preserve"> PAGEREF _Toc451501348 \h </w:instrText>
            </w:r>
            <w:r w:rsidR="00DE65AE">
              <w:rPr>
                <w:webHidden/>
              </w:rPr>
            </w:r>
            <w:r w:rsidR="00DE65AE">
              <w:rPr>
                <w:webHidden/>
              </w:rPr>
              <w:fldChar w:fldCharType="separate"/>
            </w:r>
            <w:r w:rsidR="00054ED4">
              <w:rPr>
                <w:webHidden/>
              </w:rPr>
              <w:t>125</w:t>
            </w:r>
            <w:r w:rsidR="00DE65AE">
              <w:rPr>
                <w:webHidden/>
              </w:rPr>
              <w:fldChar w:fldCharType="end"/>
            </w:r>
          </w:hyperlink>
        </w:p>
        <w:p w14:paraId="4436C786" w14:textId="77777777" w:rsidR="00DE65AE" w:rsidRDefault="00CD4AC5" w:rsidP="004C79C1">
          <w:pPr>
            <w:pStyle w:val="TOC3"/>
            <w:spacing w:after="120" w:line="240" w:lineRule="auto"/>
            <w:rPr>
              <w:rFonts w:asciiTheme="minorHAnsi" w:eastAsiaTheme="minorEastAsia" w:hAnsiTheme="minorHAnsi" w:cstheme="minorBidi"/>
            </w:rPr>
          </w:pPr>
          <w:hyperlink w:anchor="_Toc451501349" w:history="1">
            <w:r w:rsidR="00DE65AE" w:rsidRPr="003E51D2">
              <w:rPr>
                <w:rStyle w:val="Hyperlink"/>
              </w:rPr>
              <w:t>Impact of determining whether the patient has NIDCM or ICM in those with a dilated LV and an intermediate risk of CAD</w:t>
            </w:r>
            <w:r w:rsidR="00DE65AE">
              <w:rPr>
                <w:webHidden/>
              </w:rPr>
              <w:tab/>
            </w:r>
            <w:r w:rsidR="00DE65AE">
              <w:rPr>
                <w:webHidden/>
              </w:rPr>
              <w:fldChar w:fldCharType="begin"/>
            </w:r>
            <w:r w:rsidR="00DE65AE">
              <w:rPr>
                <w:webHidden/>
              </w:rPr>
              <w:instrText xml:space="preserve"> PAGEREF _Toc451501349 \h </w:instrText>
            </w:r>
            <w:r w:rsidR="00DE65AE">
              <w:rPr>
                <w:webHidden/>
              </w:rPr>
            </w:r>
            <w:r w:rsidR="00DE65AE">
              <w:rPr>
                <w:webHidden/>
              </w:rPr>
              <w:fldChar w:fldCharType="separate"/>
            </w:r>
            <w:r w:rsidR="00054ED4">
              <w:rPr>
                <w:webHidden/>
              </w:rPr>
              <w:t>130</w:t>
            </w:r>
            <w:r w:rsidR="00DE65AE">
              <w:rPr>
                <w:webHidden/>
              </w:rPr>
              <w:fldChar w:fldCharType="end"/>
            </w:r>
          </w:hyperlink>
        </w:p>
        <w:p w14:paraId="04914AAE" w14:textId="77777777" w:rsidR="00DE65AE" w:rsidRDefault="00CD4AC5" w:rsidP="004C79C1">
          <w:pPr>
            <w:pStyle w:val="TOC3"/>
            <w:spacing w:after="120" w:line="240" w:lineRule="auto"/>
            <w:rPr>
              <w:rFonts w:asciiTheme="minorHAnsi" w:eastAsiaTheme="minorEastAsia" w:hAnsiTheme="minorHAnsi" w:cstheme="minorBidi"/>
            </w:rPr>
          </w:pPr>
          <w:hyperlink w:anchor="_Toc451501350" w:history="1">
            <w:r w:rsidR="00DE65AE" w:rsidRPr="003E51D2">
              <w:rPr>
                <w:rStyle w:val="Hyperlink"/>
              </w:rPr>
              <w:t>Impact of CMR on family members with an indeterminate result or found to have a dilated LV and LV dysfunction through familial screening</w:t>
            </w:r>
            <w:r w:rsidR="00DE65AE">
              <w:rPr>
                <w:webHidden/>
              </w:rPr>
              <w:tab/>
            </w:r>
            <w:r w:rsidR="00DE65AE">
              <w:rPr>
                <w:webHidden/>
              </w:rPr>
              <w:fldChar w:fldCharType="begin"/>
            </w:r>
            <w:r w:rsidR="00DE65AE">
              <w:rPr>
                <w:webHidden/>
              </w:rPr>
              <w:instrText xml:space="preserve"> PAGEREF _Toc451501350 \h </w:instrText>
            </w:r>
            <w:r w:rsidR="00DE65AE">
              <w:rPr>
                <w:webHidden/>
              </w:rPr>
            </w:r>
            <w:r w:rsidR="00DE65AE">
              <w:rPr>
                <w:webHidden/>
              </w:rPr>
              <w:fldChar w:fldCharType="separate"/>
            </w:r>
            <w:r w:rsidR="00054ED4">
              <w:rPr>
                <w:webHidden/>
              </w:rPr>
              <w:t>136</w:t>
            </w:r>
            <w:r w:rsidR="00DE65AE">
              <w:rPr>
                <w:webHidden/>
              </w:rPr>
              <w:fldChar w:fldCharType="end"/>
            </w:r>
          </w:hyperlink>
        </w:p>
        <w:p w14:paraId="54EAB75F"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51" w:history="1">
            <w:r w:rsidR="00DE65AE" w:rsidRPr="003E51D2">
              <w:rPr>
                <w:rStyle w:val="Hyperlink"/>
              </w:rPr>
              <w:t>B6</w:t>
            </w:r>
            <w:r w:rsidR="00DE65AE">
              <w:rPr>
                <w:rFonts w:asciiTheme="minorHAnsi" w:eastAsiaTheme="minorEastAsia" w:hAnsiTheme="minorHAnsi" w:cstheme="minorBidi"/>
                <w:b w:val="0"/>
              </w:rPr>
              <w:tab/>
            </w:r>
            <w:r w:rsidR="00DE65AE" w:rsidRPr="003E51D2">
              <w:rPr>
                <w:rStyle w:val="Hyperlink"/>
              </w:rPr>
              <w:t>Impact of Repeat Testing/Monitoring</w:t>
            </w:r>
            <w:r w:rsidR="00DE65AE">
              <w:rPr>
                <w:webHidden/>
              </w:rPr>
              <w:tab/>
            </w:r>
            <w:r w:rsidR="00DE65AE">
              <w:rPr>
                <w:webHidden/>
              </w:rPr>
              <w:fldChar w:fldCharType="begin"/>
            </w:r>
            <w:r w:rsidR="00DE65AE">
              <w:rPr>
                <w:webHidden/>
              </w:rPr>
              <w:instrText xml:space="preserve"> PAGEREF _Toc451501351 \h </w:instrText>
            </w:r>
            <w:r w:rsidR="00DE65AE">
              <w:rPr>
                <w:webHidden/>
              </w:rPr>
            </w:r>
            <w:r w:rsidR="00DE65AE">
              <w:rPr>
                <w:webHidden/>
              </w:rPr>
              <w:fldChar w:fldCharType="separate"/>
            </w:r>
            <w:r w:rsidR="00054ED4">
              <w:rPr>
                <w:webHidden/>
              </w:rPr>
              <w:t>137</w:t>
            </w:r>
            <w:r w:rsidR="00DE65AE">
              <w:rPr>
                <w:webHidden/>
              </w:rPr>
              <w:fldChar w:fldCharType="end"/>
            </w:r>
          </w:hyperlink>
        </w:p>
        <w:p w14:paraId="4B89A043"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52" w:history="1">
            <w:r w:rsidR="00DE65AE" w:rsidRPr="003E51D2">
              <w:rPr>
                <w:rStyle w:val="Hyperlink"/>
              </w:rPr>
              <w:t>B7</w:t>
            </w:r>
            <w:r w:rsidR="00DE65AE">
              <w:rPr>
                <w:rFonts w:asciiTheme="minorHAnsi" w:eastAsiaTheme="minorEastAsia" w:hAnsiTheme="minorHAnsi" w:cstheme="minorBidi"/>
                <w:b w:val="0"/>
              </w:rPr>
              <w:tab/>
            </w:r>
            <w:r w:rsidR="00DE65AE" w:rsidRPr="003E51D2">
              <w:rPr>
                <w:rStyle w:val="Hyperlink"/>
              </w:rPr>
              <w:t>Extended Assessment of Comparative Harms</w:t>
            </w:r>
            <w:r w:rsidR="00DE65AE">
              <w:rPr>
                <w:webHidden/>
              </w:rPr>
              <w:tab/>
            </w:r>
            <w:r w:rsidR="00DE65AE">
              <w:rPr>
                <w:webHidden/>
              </w:rPr>
              <w:fldChar w:fldCharType="begin"/>
            </w:r>
            <w:r w:rsidR="00DE65AE">
              <w:rPr>
                <w:webHidden/>
              </w:rPr>
              <w:instrText xml:space="preserve"> PAGEREF _Toc451501352 \h </w:instrText>
            </w:r>
            <w:r w:rsidR="00DE65AE">
              <w:rPr>
                <w:webHidden/>
              </w:rPr>
            </w:r>
            <w:r w:rsidR="00DE65AE">
              <w:rPr>
                <w:webHidden/>
              </w:rPr>
              <w:fldChar w:fldCharType="separate"/>
            </w:r>
            <w:r w:rsidR="00054ED4">
              <w:rPr>
                <w:webHidden/>
              </w:rPr>
              <w:t>138</w:t>
            </w:r>
            <w:r w:rsidR="00DE65AE">
              <w:rPr>
                <w:webHidden/>
              </w:rPr>
              <w:fldChar w:fldCharType="end"/>
            </w:r>
          </w:hyperlink>
        </w:p>
        <w:p w14:paraId="79D601A1" w14:textId="77777777" w:rsidR="00DE65AE" w:rsidRDefault="00CD4AC5" w:rsidP="004C79C1">
          <w:pPr>
            <w:pStyle w:val="TOC2"/>
            <w:spacing w:after="120" w:line="240" w:lineRule="auto"/>
            <w:rPr>
              <w:rFonts w:asciiTheme="minorHAnsi" w:eastAsiaTheme="minorEastAsia" w:hAnsiTheme="minorHAnsi" w:cstheme="minorBidi"/>
            </w:rPr>
          </w:pPr>
          <w:hyperlink w:anchor="_Toc451501353" w:history="1">
            <w:r w:rsidR="00DE65AE" w:rsidRPr="003E51D2">
              <w:rPr>
                <w:rStyle w:val="Hyperlink"/>
              </w:rPr>
              <w:t>B7.1 Safety of LGE-CMR and Comparators</w:t>
            </w:r>
            <w:r w:rsidR="00DE65AE">
              <w:rPr>
                <w:webHidden/>
              </w:rPr>
              <w:tab/>
            </w:r>
            <w:r w:rsidR="00DE65AE">
              <w:rPr>
                <w:webHidden/>
              </w:rPr>
              <w:fldChar w:fldCharType="begin"/>
            </w:r>
            <w:r w:rsidR="00DE65AE">
              <w:rPr>
                <w:webHidden/>
              </w:rPr>
              <w:instrText xml:space="preserve"> PAGEREF _Toc451501353 \h </w:instrText>
            </w:r>
            <w:r w:rsidR="00DE65AE">
              <w:rPr>
                <w:webHidden/>
              </w:rPr>
            </w:r>
            <w:r w:rsidR="00DE65AE">
              <w:rPr>
                <w:webHidden/>
              </w:rPr>
              <w:fldChar w:fldCharType="separate"/>
            </w:r>
            <w:r w:rsidR="00054ED4">
              <w:rPr>
                <w:webHidden/>
              </w:rPr>
              <w:t>138</w:t>
            </w:r>
            <w:r w:rsidR="00DE65AE">
              <w:rPr>
                <w:webHidden/>
              </w:rPr>
              <w:fldChar w:fldCharType="end"/>
            </w:r>
          </w:hyperlink>
        </w:p>
        <w:p w14:paraId="22096EC8" w14:textId="77777777" w:rsidR="00DE65AE" w:rsidRDefault="00CD4AC5" w:rsidP="004C79C1">
          <w:pPr>
            <w:pStyle w:val="TOC3"/>
            <w:spacing w:after="120" w:line="240" w:lineRule="auto"/>
            <w:rPr>
              <w:rFonts w:asciiTheme="minorHAnsi" w:eastAsiaTheme="minorEastAsia" w:hAnsiTheme="minorHAnsi" w:cstheme="minorBidi"/>
            </w:rPr>
          </w:pPr>
          <w:hyperlink w:anchor="_Toc451501354" w:history="1">
            <w:r w:rsidR="00DE65AE" w:rsidRPr="003E51D2">
              <w:rPr>
                <w:rStyle w:val="Hyperlink"/>
              </w:rPr>
              <w:t>Safety concerns in tests performed after an indeterminate echocardiography result</w:t>
            </w:r>
            <w:r w:rsidR="00DE65AE">
              <w:rPr>
                <w:webHidden/>
              </w:rPr>
              <w:tab/>
            </w:r>
            <w:r w:rsidR="00DE65AE">
              <w:rPr>
                <w:webHidden/>
              </w:rPr>
              <w:fldChar w:fldCharType="begin"/>
            </w:r>
            <w:r w:rsidR="00DE65AE">
              <w:rPr>
                <w:webHidden/>
              </w:rPr>
              <w:instrText xml:space="preserve"> PAGEREF _Toc451501354 \h </w:instrText>
            </w:r>
            <w:r w:rsidR="00DE65AE">
              <w:rPr>
                <w:webHidden/>
              </w:rPr>
            </w:r>
            <w:r w:rsidR="00DE65AE">
              <w:rPr>
                <w:webHidden/>
              </w:rPr>
              <w:fldChar w:fldCharType="separate"/>
            </w:r>
            <w:r w:rsidR="00054ED4">
              <w:rPr>
                <w:webHidden/>
              </w:rPr>
              <w:t>138</w:t>
            </w:r>
            <w:r w:rsidR="00DE65AE">
              <w:rPr>
                <w:webHidden/>
              </w:rPr>
              <w:fldChar w:fldCharType="end"/>
            </w:r>
          </w:hyperlink>
        </w:p>
        <w:p w14:paraId="5EEBBAB5" w14:textId="77777777" w:rsidR="00DE65AE" w:rsidRDefault="00CD4AC5" w:rsidP="004C79C1">
          <w:pPr>
            <w:pStyle w:val="TOC3"/>
            <w:spacing w:after="120" w:line="240" w:lineRule="auto"/>
            <w:rPr>
              <w:rFonts w:asciiTheme="minorHAnsi" w:eastAsiaTheme="minorEastAsia" w:hAnsiTheme="minorHAnsi" w:cstheme="minorBidi"/>
            </w:rPr>
          </w:pPr>
          <w:hyperlink w:anchor="_Toc451501355" w:history="1">
            <w:r w:rsidR="00DE65AE" w:rsidRPr="003E51D2">
              <w:rPr>
                <w:rStyle w:val="Hyperlink"/>
              </w:rPr>
              <w:t>Safety concerns in tests performed to determine the aetiology of NIDCM in patients with a dilated LV and a low risk of CAD</w:t>
            </w:r>
            <w:r w:rsidR="00DE65AE">
              <w:rPr>
                <w:webHidden/>
              </w:rPr>
              <w:tab/>
            </w:r>
            <w:r w:rsidR="00DE65AE">
              <w:rPr>
                <w:webHidden/>
              </w:rPr>
              <w:fldChar w:fldCharType="begin"/>
            </w:r>
            <w:r w:rsidR="00DE65AE">
              <w:rPr>
                <w:webHidden/>
              </w:rPr>
              <w:instrText xml:space="preserve"> PAGEREF _Toc451501355 \h </w:instrText>
            </w:r>
            <w:r w:rsidR="00DE65AE">
              <w:rPr>
                <w:webHidden/>
              </w:rPr>
            </w:r>
            <w:r w:rsidR="00DE65AE">
              <w:rPr>
                <w:webHidden/>
              </w:rPr>
              <w:fldChar w:fldCharType="separate"/>
            </w:r>
            <w:r w:rsidR="00054ED4">
              <w:rPr>
                <w:webHidden/>
              </w:rPr>
              <w:t>139</w:t>
            </w:r>
            <w:r w:rsidR="00DE65AE">
              <w:rPr>
                <w:webHidden/>
              </w:rPr>
              <w:fldChar w:fldCharType="end"/>
            </w:r>
          </w:hyperlink>
        </w:p>
        <w:p w14:paraId="1466999C" w14:textId="77777777" w:rsidR="00DE65AE" w:rsidRDefault="00CD4AC5" w:rsidP="004C79C1">
          <w:pPr>
            <w:pStyle w:val="TOC3"/>
            <w:spacing w:after="120" w:line="240" w:lineRule="auto"/>
            <w:rPr>
              <w:rFonts w:asciiTheme="minorHAnsi" w:eastAsiaTheme="minorEastAsia" w:hAnsiTheme="minorHAnsi" w:cstheme="minorBidi"/>
            </w:rPr>
          </w:pPr>
          <w:hyperlink w:anchor="_Toc451501356" w:history="1">
            <w:r w:rsidR="00DE65AE" w:rsidRPr="003E51D2">
              <w:rPr>
                <w:rStyle w:val="Hyperlink"/>
              </w:rPr>
              <w:t>Safety concerns in tests performed to determine whether patients with a dilated LV and an intermediate risk of CAD have ischaemia</w:t>
            </w:r>
            <w:r w:rsidR="00DE65AE">
              <w:rPr>
                <w:webHidden/>
              </w:rPr>
              <w:tab/>
            </w:r>
            <w:r w:rsidR="00DE65AE">
              <w:rPr>
                <w:webHidden/>
              </w:rPr>
              <w:fldChar w:fldCharType="begin"/>
            </w:r>
            <w:r w:rsidR="00DE65AE">
              <w:rPr>
                <w:webHidden/>
              </w:rPr>
              <w:instrText xml:space="preserve"> PAGEREF _Toc451501356 \h </w:instrText>
            </w:r>
            <w:r w:rsidR="00DE65AE">
              <w:rPr>
                <w:webHidden/>
              </w:rPr>
            </w:r>
            <w:r w:rsidR="00DE65AE">
              <w:rPr>
                <w:webHidden/>
              </w:rPr>
              <w:fldChar w:fldCharType="separate"/>
            </w:r>
            <w:r w:rsidR="00054ED4">
              <w:rPr>
                <w:webHidden/>
              </w:rPr>
              <w:t>141</w:t>
            </w:r>
            <w:r w:rsidR="00DE65AE">
              <w:rPr>
                <w:webHidden/>
              </w:rPr>
              <w:fldChar w:fldCharType="end"/>
            </w:r>
          </w:hyperlink>
        </w:p>
        <w:p w14:paraId="3F1F9FB5" w14:textId="77777777" w:rsidR="00DE65AE" w:rsidRDefault="00CD4AC5" w:rsidP="004C79C1">
          <w:pPr>
            <w:pStyle w:val="TOC2"/>
            <w:spacing w:after="120" w:line="240" w:lineRule="auto"/>
            <w:rPr>
              <w:rFonts w:asciiTheme="minorHAnsi" w:eastAsiaTheme="minorEastAsia" w:hAnsiTheme="minorHAnsi" w:cstheme="minorBidi"/>
            </w:rPr>
          </w:pPr>
          <w:hyperlink w:anchor="_Toc451501357" w:history="1">
            <w:r w:rsidR="00DE65AE" w:rsidRPr="003E51D2">
              <w:rPr>
                <w:rStyle w:val="Hyperlink"/>
              </w:rPr>
              <w:t>B7.2 Extended Safety Assessment</w:t>
            </w:r>
            <w:r w:rsidR="00DE65AE">
              <w:rPr>
                <w:webHidden/>
              </w:rPr>
              <w:tab/>
            </w:r>
            <w:r w:rsidR="00DE65AE">
              <w:rPr>
                <w:webHidden/>
              </w:rPr>
              <w:fldChar w:fldCharType="begin"/>
            </w:r>
            <w:r w:rsidR="00DE65AE">
              <w:rPr>
                <w:webHidden/>
              </w:rPr>
              <w:instrText xml:space="preserve"> PAGEREF _Toc451501357 \h </w:instrText>
            </w:r>
            <w:r w:rsidR="00DE65AE">
              <w:rPr>
                <w:webHidden/>
              </w:rPr>
            </w:r>
            <w:r w:rsidR="00DE65AE">
              <w:rPr>
                <w:webHidden/>
              </w:rPr>
              <w:fldChar w:fldCharType="separate"/>
            </w:r>
            <w:r w:rsidR="00054ED4">
              <w:rPr>
                <w:webHidden/>
              </w:rPr>
              <w:t>143</w:t>
            </w:r>
            <w:r w:rsidR="00DE65AE">
              <w:rPr>
                <w:webHidden/>
              </w:rPr>
              <w:fldChar w:fldCharType="end"/>
            </w:r>
          </w:hyperlink>
        </w:p>
        <w:p w14:paraId="3B3EB8C6"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58" w:history="1">
            <w:r w:rsidR="00DE65AE" w:rsidRPr="003E51D2">
              <w:rPr>
                <w:rStyle w:val="Hyperlink"/>
              </w:rPr>
              <w:t>B8</w:t>
            </w:r>
            <w:r w:rsidR="00DE65AE">
              <w:rPr>
                <w:rFonts w:asciiTheme="minorHAnsi" w:eastAsiaTheme="minorEastAsia" w:hAnsiTheme="minorHAnsi" w:cstheme="minorBidi"/>
                <w:b w:val="0"/>
              </w:rPr>
              <w:tab/>
            </w:r>
            <w:r w:rsidR="00DE65AE" w:rsidRPr="003E51D2">
              <w:rPr>
                <w:rStyle w:val="Hyperlink"/>
              </w:rPr>
              <w:t>Interpretation of the Clinical Evidence</w:t>
            </w:r>
            <w:r w:rsidR="00DE65AE">
              <w:rPr>
                <w:webHidden/>
              </w:rPr>
              <w:tab/>
            </w:r>
            <w:r w:rsidR="00DE65AE">
              <w:rPr>
                <w:webHidden/>
              </w:rPr>
              <w:fldChar w:fldCharType="begin"/>
            </w:r>
            <w:r w:rsidR="00DE65AE">
              <w:rPr>
                <w:webHidden/>
              </w:rPr>
              <w:instrText xml:space="preserve"> PAGEREF _Toc451501358 \h </w:instrText>
            </w:r>
            <w:r w:rsidR="00DE65AE">
              <w:rPr>
                <w:webHidden/>
              </w:rPr>
            </w:r>
            <w:r w:rsidR="00DE65AE">
              <w:rPr>
                <w:webHidden/>
              </w:rPr>
              <w:fldChar w:fldCharType="separate"/>
            </w:r>
            <w:r w:rsidR="00054ED4">
              <w:rPr>
                <w:webHidden/>
              </w:rPr>
              <w:t>146</w:t>
            </w:r>
            <w:r w:rsidR="00DE65AE">
              <w:rPr>
                <w:webHidden/>
              </w:rPr>
              <w:fldChar w:fldCharType="end"/>
            </w:r>
          </w:hyperlink>
        </w:p>
        <w:p w14:paraId="70434B7C"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59" w:history="1">
            <w:r w:rsidR="00DE65AE" w:rsidRPr="003E51D2">
              <w:rPr>
                <w:rStyle w:val="Hyperlink"/>
                <w:bCs/>
              </w:rPr>
              <w:t>B8.1</w:t>
            </w:r>
            <w:r w:rsidR="00DE65AE">
              <w:rPr>
                <w:rFonts w:asciiTheme="minorHAnsi" w:eastAsiaTheme="minorEastAsia" w:hAnsiTheme="minorHAnsi" w:cstheme="minorBidi"/>
              </w:rPr>
              <w:tab/>
            </w:r>
            <w:r w:rsidR="00DE65AE" w:rsidRPr="003E51D2">
              <w:rPr>
                <w:rStyle w:val="Hyperlink"/>
              </w:rPr>
              <w:t>Patients Presenting with HF Symptoms in whom echocardiography is Inconclusive</w:t>
            </w:r>
            <w:r w:rsidR="00DE65AE">
              <w:rPr>
                <w:webHidden/>
              </w:rPr>
              <w:tab/>
            </w:r>
            <w:r w:rsidR="00DE65AE">
              <w:rPr>
                <w:webHidden/>
              </w:rPr>
              <w:fldChar w:fldCharType="begin"/>
            </w:r>
            <w:r w:rsidR="00DE65AE">
              <w:rPr>
                <w:webHidden/>
              </w:rPr>
              <w:instrText xml:space="preserve"> PAGEREF _Toc451501359 \h </w:instrText>
            </w:r>
            <w:r w:rsidR="00DE65AE">
              <w:rPr>
                <w:webHidden/>
              </w:rPr>
            </w:r>
            <w:r w:rsidR="00DE65AE">
              <w:rPr>
                <w:webHidden/>
              </w:rPr>
              <w:fldChar w:fldCharType="separate"/>
            </w:r>
            <w:r w:rsidR="00054ED4">
              <w:rPr>
                <w:webHidden/>
              </w:rPr>
              <w:t>146</w:t>
            </w:r>
            <w:r w:rsidR="00DE65AE">
              <w:rPr>
                <w:webHidden/>
              </w:rPr>
              <w:fldChar w:fldCharType="end"/>
            </w:r>
          </w:hyperlink>
        </w:p>
        <w:p w14:paraId="60B3BFCB" w14:textId="77777777" w:rsidR="00DE65AE" w:rsidRDefault="00CD4AC5" w:rsidP="004C79C1">
          <w:pPr>
            <w:pStyle w:val="TOC2"/>
            <w:tabs>
              <w:tab w:val="left" w:pos="1540"/>
            </w:tabs>
            <w:spacing w:after="120" w:line="240" w:lineRule="auto"/>
            <w:rPr>
              <w:rFonts w:asciiTheme="minorHAnsi" w:eastAsiaTheme="minorEastAsia" w:hAnsiTheme="minorHAnsi" w:cstheme="minorBidi"/>
            </w:rPr>
          </w:pPr>
          <w:hyperlink w:anchor="_Toc451501360" w:history="1">
            <w:r w:rsidR="00DE65AE" w:rsidRPr="003E51D2">
              <w:rPr>
                <w:rStyle w:val="Hyperlink"/>
                <w:bCs/>
              </w:rPr>
              <w:t>B8.2</w:t>
            </w:r>
            <w:r w:rsidR="00DE65AE">
              <w:rPr>
                <w:rFonts w:asciiTheme="minorHAnsi" w:eastAsiaTheme="minorEastAsia" w:hAnsiTheme="minorHAnsi" w:cstheme="minorBidi"/>
              </w:rPr>
              <w:tab/>
            </w:r>
            <w:r w:rsidR="00DE65AE" w:rsidRPr="003E51D2">
              <w:rPr>
                <w:rStyle w:val="Hyperlink"/>
              </w:rPr>
              <w:t>Patients Presenting with HF Symptoms in whom echocardiography Suggests a DCM</w:t>
            </w:r>
            <w:r w:rsidR="00DE65AE">
              <w:rPr>
                <w:webHidden/>
              </w:rPr>
              <w:tab/>
            </w:r>
            <w:r w:rsidR="00DE65AE">
              <w:rPr>
                <w:webHidden/>
              </w:rPr>
              <w:fldChar w:fldCharType="begin"/>
            </w:r>
            <w:r w:rsidR="00DE65AE">
              <w:rPr>
                <w:webHidden/>
              </w:rPr>
              <w:instrText xml:space="preserve"> PAGEREF _Toc451501360 \h </w:instrText>
            </w:r>
            <w:r w:rsidR="00DE65AE">
              <w:rPr>
                <w:webHidden/>
              </w:rPr>
            </w:r>
            <w:r w:rsidR="00DE65AE">
              <w:rPr>
                <w:webHidden/>
              </w:rPr>
              <w:fldChar w:fldCharType="separate"/>
            </w:r>
            <w:r w:rsidR="00054ED4">
              <w:rPr>
                <w:webHidden/>
              </w:rPr>
              <w:t>148</w:t>
            </w:r>
            <w:r w:rsidR="00DE65AE">
              <w:rPr>
                <w:webHidden/>
              </w:rPr>
              <w:fldChar w:fldCharType="end"/>
            </w:r>
          </w:hyperlink>
        </w:p>
        <w:p w14:paraId="6AD1B060" w14:textId="77777777" w:rsidR="00DE65AE" w:rsidRDefault="00CD4AC5" w:rsidP="004C79C1">
          <w:pPr>
            <w:pStyle w:val="TOC3"/>
            <w:spacing w:after="120" w:line="240" w:lineRule="auto"/>
            <w:rPr>
              <w:rFonts w:asciiTheme="minorHAnsi" w:eastAsiaTheme="minorEastAsia" w:hAnsiTheme="minorHAnsi" w:cstheme="minorBidi"/>
            </w:rPr>
          </w:pPr>
          <w:hyperlink w:anchor="_Toc451501361" w:history="1">
            <w:r w:rsidR="00DE65AE" w:rsidRPr="003E51D2">
              <w:rPr>
                <w:rStyle w:val="Hyperlink"/>
              </w:rPr>
              <w:t>Patients with a low risk of CAD</w:t>
            </w:r>
            <w:r w:rsidR="00DE65AE">
              <w:rPr>
                <w:webHidden/>
              </w:rPr>
              <w:tab/>
            </w:r>
            <w:r w:rsidR="00DE65AE">
              <w:rPr>
                <w:webHidden/>
              </w:rPr>
              <w:fldChar w:fldCharType="begin"/>
            </w:r>
            <w:r w:rsidR="00DE65AE">
              <w:rPr>
                <w:webHidden/>
              </w:rPr>
              <w:instrText xml:space="preserve"> PAGEREF _Toc451501361 \h </w:instrText>
            </w:r>
            <w:r w:rsidR="00DE65AE">
              <w:rPr>
                <w:webHidden/>
              </w:rPr>
            </w:r>
            <w:r w:rsidR="00DE65AE">
              <w:rPr>
                <w:webHidden/>
              </w:rPr>
              <w:fldChar w:fldCharType="separate"/>
            </w:r>
            <w:r w:rsidR="00054ED4">
              <w:rPr>
                <w:webHidden/>
              </w:rPr>
              <w:t>148</w:t>
            </w:r>
            <w:r w:rsidR="00DE65AE">
              <w:rPr>
                <w:webHidden/>
              </w:rPr>
              <w:fldChar w:fldCharType="end"/>
            </w:r>
          </w:hyperlink>
        </w:p>
        <w:p w14:paraId="096846B8" w14:textId="77777777" w:rsidR="00DE65AE" w:rsidRDefault="00CD4AC5" w:rsidP="004C79C1">
          <w:pPr>
            <w:pStyle w:val="TOC3"/>
            <w:spacing w:after="120" w:line="240" w:lineRule="auto"/>
            <w:rPr>
              <w:rFonts w:asciiTheme="minorHAnsi" w:eastAsiaTheme="minorEastAsia" w:hAnsiTheme="minorHAnsi" w:cstheme="minorBidi"/>
            </w:rPr>
          </w:pPr>
          <w:hyperlink w:anchor="_Toc451501362" w:history="1">
            <w:r w:rsidR="00DE65AE" w:rsidRPr="003E51D2">
              <w:rPr>
                <w:rStyle w:val="Hyperlink"/>
              </w:rPr>
              <w:t>Patients with an intermediate risk of CAD</w:t>
            </w:r>
            <w:r w:rsidR="00DE65AE">
              <w:rPr>
                <w:webHidden/>
              </w:rPr>
              <w:tab/>
            </w:r>
            <w:r w:rsidR="00DE65AE">
              <w:rPr>
                <w:webHidden/>
              </w:rPr>
              <w:fldChar w:fldCharType="begin"/>
            </w:r>
            <w:r w:rsidR="00DE65AE">
              <w:rPr>
                <w:webHidden/>
              </w:rPr>
              <w:instrText xml:space="preserve"> PAGEREF _Toc451501362 \h </w:instrText>
            </w:r>
            <w:r w:rsidR="00DE65AE">
              <w:rPr>
                <w:webHidden/>
              </w:rPr>
            </w:r>
            <w:r w:rsidR="00DE65AE">
              <w:rPr>
                <w:webHidden/>
              </w:rPr>
              <w:fldChar w:fldCharType="separate"/>
            </w:r>
            <w:r w:rsidR="00054ED4">
              <w:rPr>
                <w:webHidden/>
              </w:rPr>
              <w:t>149</w:t>
            </w:r>
            <w:r w:rsidR="00DE65AE">
              <w:rPr>
                <w:webHidden/>
              </w:rPr>
              <w:fldChar w:fldCharType="end"/>
            </w:r>
          </w:hyperlink>
        </w:p>
        <w:p w14:paraId="006DAD6E" w14:textId="77777777" w:rsidR="00DE65AE" w:rsidRDefault="00CD4AC5" w:rsidP="004C79C1">
          <w:pPr>
            <w:pStyle w:val="TOC3"/>
            <w:spacing w:after="120" w:line="240" w:lineRule="auto"/>
            <w:rPr>
              <w:rFonts w:asciiTheme="minorHAnsi" w:eastAsiaTheme="minorEastAsia" w:hAnsiTheme="minorHAnsi" w:cstheme="minorBidi"/>
            </w:rPr>
          </w:pPr>
          <w:hyperlink w:anchor="_Toc451501363" w:history="1">
            <w:r w:rsidR="00DE65AE" w:rsidRPr="003E51D2">
              <w:rPr>
                <w:rStyle w:val="Hyperlink"/>
              </w:rPr>
              <w:t>Patients who are identified as NIDCM</w:t>
            </w:r>
            <w:r w:rsidR="00DE65AE">
              <w:rPr>
                <w:webHidden/>
              </w:rPr>
              <w:tab/>
            </w:r>
            <w:r w:rsidR="00DE65AE">
              <w:rPr>
                <w:webHidden/>
              </w:rPr>
              <w:fldChar w:fldCharType="begin"/>
            </w:r>
            <w:r w:rsidR="00DE65AE">
              <w:rPr>
                <w:webHidden/>
              </w:rPr>
              <w:instrText xml:space="preserve"> PAGEREF _Toc451501363 \h </w:instrText>
            </w:r>
            <w:r w:rsidR="00DE65AE">
              <w:rPr>
                <w:webHidden/>
              </w:rPr>
            </w:r>
            <w:r w:rsidR="00DE65AE">
              <w:rPr>
                <w:webHidden/>
              </w:rPr>
              <w:fldChar w:fldCharType="separate"/>
            </w:r>
            <w:r w:rsidR="00054ED4">
              <w:rPr>
                <w:webHidden/>
              </w:rPr>
              <w:t>151</w:t>
            </w:r>
            <w:r w:rsidR="00DE65AE">
              <w:rPr>
                <w:webHidden/>
              </w:rPr>
              <w:fldChar w:fldCharType="end"/>
            </w:r>
          </w:hyperlink>
        </w:p>
        <w:p w14:paraId="0AA30B5D" w14:textId="77777777" w:rsidR="00DE65AE" w:rsidRDefault="00CD4AC5" w:rsidP="004C79C1">
          <w:pPr>
            <w:pStyle w:val="TOC3"/>
            <w:spacing w:after="120" w:line="240" w:lineRule="auto"/>
            <w:rPr>
              <w:rFonts w:asciiTheme="minorHAnsi" w:eastAsiaTheme="minorEastAsia" w:hAnsiTheme="minorHAnsi" w:cstheme="minorBidi"/>
            </w:rPr>
          </w:pPr>
          <w:hyperlink w:anchor="_Toc451501364" w:history="1">
            <w:r w:rsidR="00DE65AE" w:rsidRPr="003E51D2">
              <w:rPr>
                <w:rStyle w:val="Hyperlink"/>
              </w:rPr>
              <w:t>Patients who are identified as ICM</w:t>
            </w:r>
            <w:r w:rsidR="00DE65AE">
              <w:rPr>
                <w:webHidden/>
              </w:rPr>
              <w:tab/>
            </w:r>
            <w:r w:rsidR="00DE65AE">
              <w:rPr>
                <w:webHidden/>
              </w:rPr>
              <w:fldChar w:fldCharType="begin"/>
            </w:r>
            <w:r w:rsidR="00DE65AE">
              <w:rPr>
                <w:webHidden/>
              </w:rPr>
              <w:instrText xml:space="preserve"> PAGEREF _Toc451501364 \h </w:instrText>
            </w:r>
            <w:r w:rsidR="00DE65AE">
              <w:rPr>
                <w:webHidden/>
              </w:rPr>
            </w:r>
            <w:r w:rsidR="00DE65AE">
              <w:rPr>
                <w:webHidden/>
              </w:rPr>
              <w:fldChar w:fldCharType="separate"/>
            </w:r>
            <w:r w:rsidR="00054ED4">
              <w:rPr>
                <w:webHidden/>
              </w:rPr>
              <w:t>152</w:t>
            </w:r>
            <w:r w:rsidR="00DE65AE">
              <w:rPr>
                <w:webHidden/>
              </w:rPr>
              <w:fldChar w:fldCharType="end"/>
            </w:r>
          </w:hyperlink>
        </w:p>
        <w:p w14:paraId="2BF79D51" w14:textId="77777777" w:rsidR="00DE65AE" w:rsidRDefault="00CD4AC5" w:rsidP="004C79C1">
          <w:pPr>
            <w:pStyle w:val="TOC3"/>
            <w:spacing w:after="120" w:line="240" w:lineRule="auto"/>
            <w:rPr>
              <w:rFonts w:asciiTheme="minorHAnsi" w:eastAsiaTheme="minorEastAsia" w:hAnsiTheme="minorHAnsi" w:cstheme="minorBidi"/>
            </w:rPr>
          </w:pPr>
          <w:hyperlink w:anchor="_Toc451501365" w:history="1">
            <w:r w:rsidR="00DE65AE" w:rsidRPr="003E51D2">
              <w:rPr>
                <w:rStyle w:val="Hyperlink"/>
              </w:rPr>
              <w:t>Overall summary of benefit in patients with LV dysfunction</w:t>
            </w:r>
            <w:r w:rsidR="00DE65AE">
              <w:rPr>
                <w:webHidden/>
              </w:rPr>
              <w:tab/>
            </w:r>
            <w:r w:rsidR="00DE65AE">
              <w:rPr>
                <w:webHidden/>
              </w:rPr>
              <w:fldChar w:fldCharType="begin"/>
            </w:r>
            <w:r w:rsidR="00DE65AE">
              <w:rPr>
                <w:webHidden/>
              </w:rPr>
              <w:instrText xml:space="preserve"> PAGEREF _Toc451501365 \h </w:instrText>
            </w:r>
            <w:r w:rsidR="00DE65AE">
              <w:rPr>
                <w:webHidden/>
              </w:rPr>
            </w:r>
            <w:r w:rsidR="00DE65AE">
              <w:rPr>
                <w:webHidden/>
              </w:rPr>
              <w:fldChar w:fldCharType="separate"/>
            </w:r>
            <w:r w:rsidR="00054ED4">
              <w:rPr>
                <w:webHidden/>
              </w:rPr>
              <w:t>152</w:t>
            </w:r>
            <w:r w:rsidR="00DE65AE">
              <w:rPr>
                <w:webHidden/>
              </w:rPr>
              <w:fldChar w:fldCharType="end"/>
            </w:r>
          </w:hyperlink>
        </w:p>
        <w:p w14:paraId="555B0A0C"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66" w:history="1">
            <w:r w:rsidR="00DE65AE" w:rsidRPr="003E51D2">
              <w:rPr>
                <w:rStyle w:val="Hyperlink"/>
              </w:rPr>
              <w:t>Section C</w:t>
            </w:r>
            <w:r w:rsidR="00DE65AE">
              <w:rPr>
                <w:rFonts w:asciiTheme="minorHAnsi" w:eastAsiaTheme="minorEastAsia" w:hAnsiTheme="minorHAnsi" w:cstheme="minorBidi"/>
                <w:b w:val="0"/>
              </w:rPr>
              <w:tab/>
            </w:r>
            <w:r w:rsidR="00DE65AE" w:rsidRPr="003E51D2">
              <w:rPr>
                <w:rStyle w:val="Hyperlink"/>
              </w:rPr>
              <w:t>Translation Issues</w:t>
            </w:r>
            <w:r w:rsidR="00DE65AE">
              <w:rPr>
                <w:webHidden/>
              </w:rPr>
              <w:tab/>
            </w:r>
            <w:r w:rsidR="00DE65AE">
              <w:rPr>
                <w:webHidden/>
              </w:rPr>
              <w:fldChar w:fldCharType="begin"/>
            </w:r>
            <w:r w:rsidR="00DE65AE">
              <w:rPr>
                <w:webHidden/>
              </w:rPr>
              <w:instrText xml:space="preserve"> PAGEREF _Toc451501366 \h </w:instrText>
            </w:r>
            <w:r w:rsidR="00DE65AE">
              <w:rPr>
                <w:webHidden/>
              </w:rPr>
            </w:r>
            <w:r w:rsidR="00DE65AE">
              <w:rPr>
                <w:webHidden/>
              </w:rPr>
              <w:fldChar w:fldCharType="separate"/>
            </w:r>
            <w:r w:rsidR="00054ED4">
              <w:rPr>
                <w:webHidden/>
              </w:rPr>
              <w:t>157</w:t>
            </w:r>
            <w:r w:rsidR="00DE65AE">
              <w:rPr>
                <w:webHidden/>
              </w:rPr>
              <w:fldChar w:fldCharType="end"/>
            </w:r>
          </w:hyperlink>
        </w:p>
        <w:p w14:paraId="209D59D9"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67" w:history="1">
            <w:r w:rsidR="00DE65AE" w:rsidRPr="003E51D2">
              <w:rPr>
                <w:rStyle w:val="Hyperlink"/>
              </w:rPr>
              <w:t>C1</w:t>
            </w:r>
            <w:r w:rsidR="00DE65AE">
              <w:rPr>
                <w:rFonts w:asciiTheme="minorHAnsi" w:eastAsiaTheme="minorEastAsia" w:hAnsiTheme="minorHAnsi" w:cstheme="minorBidi"/>
              </w:rPr>
              <w:tab/>
            </w:r>
            <w:r w:rsidR="00DE65AE" w:rsidRPr="003E51D2">
              <w:rPr>
                <w:rStyle w:val="Hyperlink"/>
              </w:rPr>
              <w:t>Overview</w:t>
            </w:r>
            <w:r w:rsidR="00DE65AE">
              <w:rPr>
                <w:webHidden/>
              </w:rPr>
              <w:tab/>
            </w:r>
            <w:r w:rsidR="00DE65AE">
              <w:rPr>
                <w:webHidden/>
              </w:rPr>
              <w:fldChar w:fldCharType="begin"/>
            </w:r>
            <w:r w:rsidR="00DE65AE">
              <w:rPr>
                <w:webHidden/>
              </w:rPr>
              <w:instrText xml:space="preserve"> PAGEREF _Toc451501367 \h </w:instrText>
            </w:r>
            <w:r w:rsidR="00DE65AE">
              <w:rPr>
                <w:webHidden/>
              </w:rPr>
            </w:r>
            <w:r w:rsidR="00DE65AE">
              <w:rPr>
                <w:webHidden/>
              </w:rPr>
              <w:fldChar w:fldCharType="separate"/>
            </w:r>
            <w:r w:rsidR="00054ED4">
              <w:rPr>
                <w:webHidden/>
              </w:rPr>
              <w:t>157</w:t>
            </w:r>
            <w:r w:rsidR="00DE65AE">
              <w:rPr>
                <w:webHidden/>
              </w:rPr>
              <w:fldChar w:fldCharType="end"/>
            </w:r>
          </w:hyperlink>
        </w:p>
        <w:p w14:paraId="4F8C8FC8"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68" w:history="1">
            <w:r w:rsidR="00DE65AE" w:rsidRPr="003E51D2">
              <w:rPr>
                <w:rStyle w:val="Hyperlink"/>
              </w:rPr>
              <w:t>Section D</w:t>
            </w:r>
            <w:r w:rsidR="00DE65AE">
              <w:rPr>
                <w:rFonts w:asciiTheme="minorHAnsi" w:eastAsiaTheme="minorEastAsia" w:hAnsiTheme="minorHAnsi" w:cstheme="minorBidi"/>
                <w:b w:val="0"/>
              </w:rPr>
              <w:tab/>
            </w:r>
            <w:r w:rsidR="00DE65AE" w:rsidRPr="003E51D2">
              <w:rPr>
                <w:rStyle w:val="Hyperlink"/>
              </w:rPr>
              <w:t>Economic Evaluation</w:t>
            </w:r>
            <w:r w:rsidR="00DE65AE">
              <w:rPr>
                <w:webHidden/>
              </w:rPr>
              <w:tab/>
            </w:r>
            <w:r w:rsidR="00DE65AE">
              <w:rPr>
                <w:webHidden/>
              </w:rPr>
              <w:fldChar w:fldCharType="begin"/>
            </w:r>
            <w:r w:rsidR="00DE65AE">
              <w:rPr>
                <w:webHidden/>
              </w:rPr>
              <w:instrText xml:space="preserve"> PAGEREF _Toc451501368 \h </w:instrText>
            </w:r>
            <w:r w:rsidR="00DE65AE">
              <w:rPr>
                <w:webHidden/>
              </w:rPr>
            </w:r>
            <w:r w:rsidR="00DE65AE">
              <w:rPr>
                <w:webHidden/>
              </w:rPr>
              <w:fldChar w:fldCharType="separate"/>
            </w:r>
            <w:r w:rsidR="00054ED4">
              <w:rPr>
                <w:webHidden/>
              </w:rPr>
              <w:t>158</w:t>
            </w:r>
            <w:r w:rsidR="00DE65AE">
              <w:rPr>
                <w:webHidden/>
              </w:rPr>
              <w:fldChar w:fldCharType="end"/>
            </w:r>
          </w:hyperlink>
        </w:p>
        <w:p w14:paraId="5E74BD1A"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69" w:history="1">
            <w:r w:rsidR="00DE65AE" w:rsidRPr="003E51D2">
              <w:rPr>
                <w:rStyle w:val="Hyperlink"/>
              </w:rPr>
              <w:t>D1</w:t>
            </w:r>
            <w:r w:rsidR="00DE65AE">
              <w:rPr>
                <w:rFonts w:asciiTheme="minorHAnsi" w:eastAsiaTheme="minorEastAsia" w:hAnsiTheme="minorHAnsi" w:cstheme="minorBidi"/>
              </w:rPr>
              <w:tab/>
            </w:r>
            <w:r w:rsidR="00DE65AE" w:rsidRPr="003E51D2">
              <w:rPr>
                <w:rStyle w:val="Hyperlink"/>
              </w:rPr>
              <w:t>Overview</w:t>
            </w:r>
            <w:r w:rsidR="00DE65AE">
              <w:rPr>
                <w:webHidden/>
              </w:rPr>
              <w:tab/>
            </w:r>
            <w:r w:rsidR="00DE65AE">
              <w:rPr>
                <w:webHidden/>
              </w:rPr>
              <w:fldChar w:fldCharType="begin"/>
            </w:r>
            <w:r w:rsidR="00DE65AE">
              <w:rPr>
                <w:webHidden/>
              </w:rPr>
              <w:instrText xml:space="preserve"> PAGEREF _Toc451501369 \h </w:instrText>
            </w:r>
            <w:r w:rsidR="00DE65AE">
              <w:rPr>
                <w:webHidden/>
              </w:rPr>
            </w:r>
            <w:r w:rsidR="00DE65AE">
              <w:rPr>
                <w:webHidden/>
              </w:rPr>
              <w:fldChar w:fldCharType="separate"/>
            </w:r>
            <w:r w:rsidR="00054ED4">
              <w:rPr>
                <w:webHidden/>
              </w:rPr>
              <w:t>158</w:t>
            </w:r>
            <w:r w:rsidR="00DE65AE">
              <w:rPr>
                <w:webHidden/>
              </w:rPr>
              <w:fldChar w:fldCharType="end"/>
            </w:r>
          </w:hyperlink>
        </w:p>
        <w:p w14:paraId="3F87794B" w14:textId="77777777" w:rsidR="00DE65AE" w:rsidRDefault="00CD4AC5" w:rsidP="004C79C1">
          <w:pPr>
            <w:pStyle w:val="TOC2"/>
            <w:spacing w:after="120" w:line="240" w:lineRule="auto"/>
            <w:rPr>
              <w:rFonts w:asciiTheme="minorHAnsi" w:eastAsiaTheme="minorEastAsia" w:hAnsiTheme="minorHAnsi" w:cstheme="minorBidi"/>
            </w:rPr>
          </w:pPr>
          <w:hyperlink w:anchor="_Toc451501370" w:history="1">
            <w:r w:rsidR="00DE65AE" w:rsidRPr="003E51D2">
              <w:rPr>
                <w:rStyle w:val="Hyperlink"/>
              </w:rPr>
              <w:t>Population i: Patients with Indeterminate echocardiogram</w:t>
            </w:r>
            <w:r w:rsidR="00DE65AE">
              <w:rPr>
                <w:webHidden/>
              </w:rPr>
              <w:tab/>
            </w:r>
            <w:r w:rsidR="00DE65AE">
              <w:rPr>
                <w:webHidden/>
              </w:rPr>
              <w:fldChar w:fldCharType="begin"/>
            </w:r>
            <w:r w:rsidR="00DE65AE">
              <w:rPr>
                <w:webHidden/>
              </w:rPr>
              <w:instrText xml:space="preserve"> PAGEREF _Toc451501370 \h </w:instrText>
            </w:r>
            <w:r w:rsidR="00DE65AE">
              <w:rPr>
                <w:webHidden/>
              </w:rPr>
            </w:r>
            <w:r w:rsidR="00DE65AE">
              <w:rPr>
                <w:webHidden/>
              </w:rPr>
              <w:fldChar w:fldCharType="separate"/>
            </w:r>
            <w:r w:rsidR="00054ED4">
              <w:rPr>
                <w:webHidden/>
              </w:rPr>
              <w:t>160</w:t>
            </w:r>
            <w:r w:rsidR="00DE65AE">
              <w:rPr>
                <w:webHidden/>
              </w:rPr>
              <w:fldChar w:fldCharType="end"/>
            </w:r>
          </w:hyperlink>
        </w:p>
        <w:p w14:paraId="4B450CD6" w14:textId="77777777" w:rsidR="00DE65AE" w:rsidRDefault="00CD4AC5" w:rsidP="004C79C1">
          <w:pPr>
            <w:pStyle w:val="TOC3"/>
            <w:tabs>
              <w:tab w:val="left" w:pos="2419"/>
            </w:tabs>
            <w:spacing w:after="120" w:line="240" w:lineRule="auto"/>
            <w:rPr>
              <w:rFonts w:asciiTheme="minorHAnsi" w:eastAsiaTheme="minorEastAsia" w:hAnsiTheme="minorHAnsi" w:cstheme="minorBidi"/>
            </w:rPr>
          </w:pPr>
          <w:hyperlink w:anchor="_Toc451501371" w:history="1">
            <w:r w:rsidR="00DE65AE" w:rsidRPr="003E51D2">
              <w:rPr>
                <w:rStyle w:val="Hyperlink"/>
              </w:rPr>
              <w:t>D2.(i) CA</w:t>
            </w:r>
            <w:r w:rsidR="00DE65AE">
              <w:rPr>
                <w:rFonts w:asciiTheme="minorHAnsi" w:eastAsiaTheme="minorEastAsia" w:hAnsiTheme="minorHAnsi" w:cstheme="minorBidi"/>
              </w:rPr>
              <w:tab/>
            </w:r>
            <w:r w:rsidR="00DE65AE" w:rsidRPr="003E51D2">
              <w:rPr>
                <w:rStyle w:val="Hyperlink"/>
              </w:rPr>
              <w:t>Population and setting</w:t>
            </w:r>
            <w:r w:rsidR="00DE65AE">
              <w:rPr>
                <w:webHidden/>
              </w:rPr>
              <w:tab/>
            </w:r>
            <w:r w:rsidR="00DE65AE">
              <w:rPr>
                <w:webHidden/>
              </w:rPr>
              <w:fldChar w:fldCharType="begin"/>
            </w:r>
            <w:r w:rsidR="00DE65AE">
              <w:rPr>
                <w:webHidden/>
              </w:rPr>
              <w:instrText xml:space="preserve"> PAGEREF _Toc451501371 \h </w:instrText>
            </w:r>
            <w:r w:rsidR="00DE65AE">
              <w:rPr>
                <w:webHidden/>
              </w:rPr>
            </w:r>
            <w:r w:rsidR="00DE65AE">
              <w:rPr>
                <w:webHidden/>
              </w:rPr>
              <w:fldChar w:fldCharType="separate"/>
            </w:r>
            <w:r w:rsidR="00054ED4">
              <w:rPr>
                <w:webHidden/>
              </w:rPr>
              <w:t>160</w:t>
            </w:r>
            <w:r w:rsidR="00DE65AE">
              <w:rPr>
                <w:webHidden/>
              </w:rPr>
              <w:fldChar w:fldCharType="end"/>
            </w:r>
          </w:hyperlink>
        </w:p>
        <w:p w14:paraId="330A385F" w14:textId="77777777" w:rsidR="00DE65AE" w:rsidRDefault="00CD4AC5" w:rsidP="004C79C1">
          <w:pPr>
            <w:pStyle w:val="TOC3"/>
            <w:tabs>
              <w:tab w:val="left" w:pos="2419"/>
            </w:tabs>
            <w:spacing w:after="120" w:line="240" w:lineRule="auto"/>
            <w:rPr>
              <w:rFonts w:asciiTheme="minorHAnsi" w:eastAsiaTheme="minorEastAsia" w:hAnsiTheme="minorHAnsi" w:cstheme="minorBidi"/>
            </w:rPr>
          </w:pPr>
          <w:hyperlink w:anchor="_Toc451501372" w:history="1">
            <w:r w:rsidR="00DE65AE" w:rsidRPr="003E51D2">
              <w:rPr>
                <w:rStyle w:val="Hyperlink"/>
              </w:rPr>
              <w:t>D3.(i) CA</w:t>
            </w:r>
            <w:r w:rsidR="00DE65AE">
              <w:rPr>
                <w:rFonts w:asciiTheme="minorHAnsi" w:eastAsiaTheme="minorEastAsia" w:hAnsiTheme="minorHAnsi" w:cstheme="minorBidi"/>
              </w:rPr>
              <w:tab/>
            </w:r>
            <w:r w:rsidR="00DE65AE" w:rsidRPr="003E51D2">
              <w:rPr>
                <w:rStyle w:val="Hyperlink"/>
              </w:rPr>
              <w:t>Structure and rationale of the economic analysis</w:t>
            </w:r>
            <w:r w:rsidR="00DE65AE">
              <w:rPr>
                <w:webHidden/>
              </w:rPr>
              <w:tab/>
            </w:r>
            <w:r w:rsidR="00DE65AE">
              <w:rPr>
                <w:webHidden/>
              </w:rPr>
              <w:fldChar w:fldCharType="begin"/>
            </w:r>
            <w:r w:rsidR="00DE65AE">
              <w:rPr>
                <w:webHidden/>
              </w:rPr>
              <w:instrText xml:space="preserve"> PAGEREF _Toc451501372 \h </w:instrText>
            </w:r>
            <w:r w:rsidR="00DE65AE">
              <w:rPr>
                <w:webHidden/>
              </w:rPr>
            </w:r>
            <w:r w:rsidR="00DE65AE">
              <w:rPr>
                <w:webHidden/>
              </w:rPr>
              <w:fldChar w:fldCharType="separate"/>
            </w:r>
            <w:r w:rsidR="00054ED4">
              <w:rPr>
                <w:webHidden/>
              </w:rPr>
              <w:t>160</w:t>
            </w:r>
            <w:r w:rsidR="00DE65AE">
              <w:rPr>
                <w:webHidden/>
              </w:rPr>
              <w:fldChar w:fldCharType="end"/>
            </w:r>
          </w:hyperlink>
        </w:p>
        <w:p w14:paraId="2A216B0E" w14:textId="77777777" w:rsidR="00DE65AE" w:rsidRDefault="00CD4AC5" w:rsidP="004C79C1">
          <w:pPr>
            <w:pStyle w:val="TOC3"/>
            <w:tabs>
              <w:tab w:val="left" w:pos="2419"/>
            </w:tabs>
            <w:spacing w:after="120" w:line="240" w:lineRule="auto"/>
            <w:rPr>
              <w:rFonts w:asciiTheme="minorHAnsi" w:eastAsiaTheme="minorEastAsia" w:hAnsiTheme="minorHAnsi" w:cstheme="minorBidi"/>
            </w:rPr>
          </w:pPr>
          <w:hyperlink w:anchor="_Toc451501373" w:history="1">
            <w:r w:rsidR="00DE65AE" w:rsidRPr="003E51D2">
              <w:rPr>
                <w:rStyle w:val="Hyperlink"/>
              </w:rPr>
              <w:t>D4.(i) CA</w:t>
            </w:r>
            <w:r w:rsidR="00DE65AE">
              <w:rPr>
                <w:rFonts w:asciiTheme="minorHAnsi" w:eastAsiaTheme="minorEastAsia" w:hAnsiTheme="minorHAnsi" w:cstheme="minorBidi"/>
              </w:rPr>
              <w:tab/>
            </w:r>
            <w:r w:rsidR="00DE65AE" w:rsidRPr="003E51D2">
              <w:rPr>
                <w:rStyle w:val="Hyperlink"/>
              </w:rPr>
              <w:t>Inputs to the cost analysis</w:t>
            </w:r>
            <w:r w:rsidR="00DE65AE">
              <w:rPr>
                <w:webHidden/>
              </w:rPr>
              <w:tab/>
            </w:r>
            <w:r w:rsidR="00DE65AE">
              <w:rPr>
                <w:webHidden/>
              </w:rPr>
              <w:fldChar w:fldCharType="begin"/>
            </w:r>
            <w:r w:rsidR="00DE65AE">
              <w:rPr>
                <w:webHidden/>
              </w:rPr>
              <w:instrText xml:space="preserve"> PAGEREF _Toc451501373 \h </w:instrText>
            </w:r>
            <w:r w:rsidR="00DE65AE">
              <w:rPr>
                <w:webHidden/>
              </w:rPr>
            </w:r>
            <w:r w:rsidR="00DE65AE">
              <w:rPr>
                <w:webHidden/>
              </w:rPr>
              <w:fldChar w:fldCharType="separate"/>
            </w:r>
            <w:r w:rsidR="00054ED4">
              <w:rPr>
                <w:webHidden/>
              </w:rPr>
              <w:t>160</w:t>
            </w:r>
            <w:r w:rsidR="00DE65AE">
              <w:rPr>
                <w:webHidden/>
              </w:rPr>
              <w:fldChar w:fldCharType="end"/>
            </w:r>
          </w:hyperlink>
        </w:p>
        <w:p w14:paraId="5F14CA0E" w14:textId="77777777" w:rsidR="00DE65AE" w:rsidRDefault="00CD4AC5" w:rsidP="004C79C1">
          <w:pPr>
            <w:pStyle w:val="TOC3"/>
            <w:tabs>
              <w:tab w:val="left" w:pos="2419"/>
            </w:tabs>
            <w:spacing w:after="120" w:line="240" w:lineRule="auto"/>
            <w:rPr>
              <w:rFonts w:asciiTheme="minorHAnsi" w:eastAsiaTheme="minorEastAsia" w:hAnsiTheme="minorHAnsi" w:cstheme="minorBidi"/>
            </w:rPr>
          </w:pPr>
          <w:hyperlink w:anchor="_Toc451501374" w:history="1">
            <w:r w:rsidR="00DE65AE" w:rsidRPr="003E51D2">
              <w:rPr>
                <w:rStyle w:val="Hyperlink"/>
              </w:rPr>
              <w:t>D5.(i) CA</w:t>
            </w:r>
            <w:r w:rsidR="00DE65AE">
              <w:rPr>
                <w:rFonts w:asciiTheme="minorHAnsi" w:eastAsiaTheme="minorEastAsia" w:hAnsiTheme="minorHAnsi" w:cstheme="minorBidi"/>
              </w:rPr>
              <w:tab/>
            </w:r>
            <w:r w:rsidR="00DE65AE" w:rsidRPr="003E51D2">
              <w:rPr>
                <w:rStyle w:val="Hyperlink"/>
              </w:rPr>
              <w:t>Results of the cost analysis</w:t>
            </w:r>
            <w:r w:rsidR="00DE65AE">
              <w:rPr>
                <w:webHidden/>
              </w:rPr>
              <w:tab/>
            </w:r>
            <w:r w:rsidR="00DE65AE">
              <w:rPr>
                <w:webHidden/>
              </w:rPr>
              <w:fldChar w:fldCharType="begin"/>
            </w:r>
            <w:r w:rsidR="00DE65AE">
              <w:rPr>
                <w:webHidden/>
              </w:rPr>
              <w:instrText xml:space="preserve"> PAGEREF _Toc451501374 \h </w:instrText>
            </w:r>
            <w:r w:rsidR="00DE65AE">
              <w:rPr>
                <w:webHidden/>
              </w:rPr>
            </w:r>
            <w:r w:rsidR="00DE65AE">
              <w:rPr>
                <w:webHidden/>
              </w:rPr>
              <w:fldChar w:fldCharType="separate"/>
            </w:r>
            <w:r w:rsidR="00054ED4">
              <w:rPr>
                <w:webHidden/>
              </w:rPr>
              <w:t>164</w:t>
            </w:r>
            <w:r w:rsidR="00DE65AE">
              <w:rPr>
                <w:webHidden/>
              </w:rPr>
              <w:fldChar w:fldCharType="end"/>
            </w:r>
          </w:hyperlink>
        </w:p>
        <w:p w14:paraId="3B987059" w14:textId="77777777" w:rsidR="00DE65AE" w:rsidRDefault="00CD4AC5" w:rsidP="004C79C1">
          <w:pPr>
            <w:pStyle w:val="TOC3"/>
            <w:tabs>
              <w:tab w:val="left" w:pos="2419"/>
            </w:tabs>
            <w:spacing w:after="120" w:line="240" w:lineRule="auto"/>
            <w:rPr>
              <w:rFonts w:asciiTheme="minorHAnsi" w:eastAsiaTheme="minorEastAsia" w:hAnsiTheme="minorHAnsi" w:cstheme="minorBidi"/>
            </w:rPr>
          </w:pPr>
          <w:hyperlink w:anchor="_Toc451501375" w:history="1">
            <w:r w:rsidR="00DE65AE" w:rsidRPr="003E51D2">
              <w:rPr>
                <w:rStyle w:val="Hyperlink"/>
              </w:rPr>
              <w:t>D6.(i) CA</w:t>
            </w:r>
            <w:r w:rsidR="00DE65AE">
              <w:rPr>
                <w:rFonts w:asciiTheme="minorHAnsi" w:eastAsiaTheme="minorEastAsia" w:hAnsiTheme="minorHAnsi" w:cstheme="minorBidi"/>
              </w:rPr>
              <w:tab/>
            </w:r>
            <w:r w:rsidR="00DE65AE" w:rsidRPr="003E51D2">
              <w:rPr>
                <w:rStyle w:val="Hyperlink"/>
              </w:rPr>
              <w:t>Sensitivity analyses</w:t>
            </w:r>
            <w:r w:rsidR="00DE65AE">
              <w:rPr>
                <w:webHidden/>
              </w:rPr>
              <w:tab/>
            </w:r>
            <w:r w:rsidR="00DE65AE">
              <w:rPr>
                <w:webHidden/>
              </w:rPr>
              <w:fldChar w:fldCharType="begin"/>
            </w:r>
            <w:r w:rsidR="00DE65AE">
              <w:rPr>
                <w:webHidden/>
              </w:rPr>
              <w:instrText xml:space="preserve"> PAGEREF _Toc451501375 \h </w:instrText>
            </w:r>
            <w:r w:rsidR="00DE65AE">
              <w:rPr>
                <w:webHidden/>
              </w:rPr>
            </w:r>
            <w:r w:rsidR="00DE65AE">
              <w:rPr>
                <w:webHidden/>
              </w:rPr>
              <w:fldChar w:fldCharType="separate"/>
            </w:r>
            <w:r w:rsidR="00054ED4">
              <w:rPr>
                <w:webHidden/>
              </w:rPr>
              <w:t>165</w:t>
            </w:r>
            <w:r w:rsidR="00DE65AE">
              <w:rPr>
                <w:webHidden/>
              </w:rPr>
              <w:fldChar w:fldCharType="end"/>
            </w:r>
          </w:hyperlink>
        </w:p>
        <w:p w14:paraId="621AEA6F" w14:textId="77777777" w:rsidR="00DE65AE" w:rsidRDefault="00CD4AC5" w:rsidP="004C79C1">
          <w:pPr>
            <w:pStyle w:val="TOC2"/>
            <w:spacing w:after="120" w:line="240" w:lineRule="auto"/>
            <w:rPr>
              <w:rFonts w:asciiTheme="minorHAnsi" w:eastAsiaTheme="minorEastAsia" w:hAnsiTheme="minorHAnsi" w:cstheme="minorBidi"/>
            </w:rPr>
          </w:pPr>
          <w:hyperlink w:anchor="_Toc451501376" w:history="1">
            <w:r w:rsidR="00DE65AE" w:rsidRPr="003E51D2">
              <w:rPr>
                <w:rStyle w:val="Hyperlink"/>
              </w:rPr>
              <w:t>Population iiA: Patients with a Dilated LV and Low Risk of CAD (or Known NIDCM)</w:t>
            </w:r>
            <w:r w:rsidR="00DE65AE">
              <w:rPr>
                <w:webHidden/>
              </w:rPr>
              <w:tab/>
            </w:r>
            <w:r w:rsidR="00DE65AE">
              <w:rPr>
                <w:webHidden/>
              </w:rPr>
              <w:fldChar w:fldCharType="begin"/>
            </w:r>
            <w:r w:rsidR="00DE65AE">
              <w:rPr>
                <w:webHidden/>
              </w:rPr>
              <w:instrText xml:space="preserve"> PAGEREF _Toc451501376 \h </w:instrText>
            </w:r>
            <w:r w:rsidR="00DE65AE">
              <w:rPr>
                <w:webHidden/>
              </w:rPr>
            </w:r>
            <w:r w:rsidR="00DE65AE">
              <w:rPr>
                <w:webHidden/>
              </w:rPr>
              <w:fldChar w:fldCharType="separate"/>
            </w:r>
            <w:r w:rsidR="00054ED4">
              <w:rPr>
                <w:webHidden/>
              </w:rPr>
              <w:t>166</w:t>
            </w:r>
            <w:r w:rsidR="00DE65AE">
              <w:rPr>
                <w:webHidden/>
              </w:rPr>
              <w:fldChar w:fldCharType="end"/>
            </w:r>
          </w:hyperlink>
        </w:p>
        <w:p w14:paraId="3DA097F0" w14:textId="77777777" w:rsidR="00DE65AE" w:rsidRDefault="00CD4AC5" w:rsidP="004C79C1">
          <w:pPr>
            <w:pStyle w:val="TOC3"/>
            <w:tabs>
              <w:tab w:val="left" w:pos="2302"/>
            </w:tabs>
            <w:spacing w:after="120" w:line="240" w:lineRule="auto"/>
            <w:rPr>
              <w:rFonts w:asciiTheme="minorHAnsi" w:eastAsiaTheme="minorEastAsia" w:hAnsiTheme="minorHAnsi" w:cstheme="minorBidi"/>
            </w:rPr>
          </w:pPr>
          <w:hyperlink w:anchor="_Toc451501377" w:history="1">
            <w:r w:rsidR="00DE65AE" w:rsidRPr="003E51D2">
              <w:rPr>
                <w:rStyle w:val="Hyperlink"/>
              </w:rPr>
              <w:t>D2.(iiA)</w:t>
            </w:r>
            <w:r w:rsidR="00DE65AE">
              <w:rPr>
                <w:rFonts w:asciiTheme="minorHAnsi" w:eastAsiaTheme="minorEastAsia" w:hAnsiTheme="minorHAnsi" w:cstheme="minorBidi"/>
              </w:rPr>
              <w:tab/>
            </w:r>
            <w:r w:rsidR="00DE65AE" w:rsidRPr="003E51D2">
              <w:rPr>
                <w:rStyle w:val="Hyperlink"/>
              </w:rPr>
              <w:t>Population and setting</w:t>
            </w:r>
            <w:r w:rsidR="00DE65AE">
              <w:rPr>
                <w:webHidden/>
              </w:rPr>
              <w:tab/>
            </w:r>
            <w:r w:rsidR="00DE65AE">
              <w:rPr>
                <w:webHidden/>
              </w:rPr>
              <w:fldChar w:fldCharType="begin"/>
            </w:r>
            <w:r w:rsidR="00DE65AE">
              <w:rPr>
                <w:webHidden/>
              </w:rPr>
              <w:instrText xml:space="preserve"> PAGEREF _Toc451501377 \h </w:instrText>
            </w:r>
            <w:r w:rsidR="00DE65AE">
              <w:rPr>
                <w:webHidden/>
              </w:rPr>
            </w:r>
            <w:r w:rsidR="00DE65AE">
              <w:rPr>
                <w:webHidden/>
              </w:rPr>
              <w:fldChar w:fldCharType="separate"/>
            </w:r>
            <w:r w:rsidR="00054ED4">
              <w:rPr>
                <w:webHidden/>
              </w:rPr>
              <w:t>166</w:t>
            </w:r>
            <w:r w:rsidR="00DE65AE">
              <w:rPr>
                <w:webHidden/>
              </w:rPr>
              <w:fldChar w:fldCharType="end"/>
            </w:r>
          </w:hyperlink>
        </w:p>
        <w:p w14:paraId="54F1B671" w14:textId="77777777" w:rsidR="00DE65AE" w:rsidRDefault="00CD4AC5" w:rsidP="004C79C1">
          <w:pPr>
            <w:pStyle w:val="TOC3"/>
            <w:tabs>
              <w:tab w:val="left" w:pos="2704"/>
            </w:tabs>
            <w:spacing w:after="120" w:line="240" w:lineRule="auto"/>
            <w:rPr>
              <w:rFonts w:asciiTheme="minorHAnsi" w:eastAsiaTheme="minorEastAsia" w:hAnsiTheme="minorHAnsi" w:cstheme="minorBidi"/>
            </w:rPr>
          </w:pPr>
          <w:hyperlink w:anchor="_Toc451501378" w:history="1">
            <w:r w:rsidR="00DE65AE" w:rsidRPr="003E51D2">
              <w:rPr>
                <w:rStyle w:val="Hyperlink"/>
              </w:rPr>
              <w:t>D3.(iiA) CEA</w:t>
            </w:r>
            <w:r w:rsidR="00DE65AE">
              <w:rPr>
                <w:rFonts w:asciiTheme="minorHAnsi" w:eastAsiaTheme="minorEastAsia" w:hAnsiTheme="minorHAnsi" w:cstheme="minorBidi"/>
              </w:rPr>
              <w:tab/>
            </w:r>
            <w:r w:rsidR="00DE65AE" w:rsidRPr="003E51D2">
              <w:rPr>
                <w:rStyle w:val="Hyperlink"/>
              </w:rPr>
              <w:t>Structure and rationale of the economic analysis</w:t>
            </w:r>
            <w:r w:rsidR="00DE65AE">
              <w:rPr>
                <w:webHidden/>
              </w:rPr>
              <w:tab/>
            </w:r>
            <w:r w:rsidR="00DE65AE">
              <w:rPr>
                <w:webHidden/>
              </w:rPr>
              <w:fldChar w:fldCharType="begin"/>
            </w:r>
            <w:r w:rsidR="00DE65AE">
              <w:rPr>
                <w:webHidden/>
              </w:rPr>
              <w:instrText xml:space="preserve"> PAGEREF _Toc451501378 \h </w:instrText>
            </w:r>
            <w:r w:rsidR="00DE65AE">
              <w:rPr>
                <w:webHidden/>
              </w:rPr>
            </w:r>
            <w:r w:rsidR="00DE65AE">
              <w:rPr>
                <w:webHidden/>
              </w:rPr>
              <w:fldChar w:fldCharType="separate"/>
            </w:r>
            <w:r w:rsidR="00054ED4">
              <w:rPr>
                <w:webHidden/>
              </w:rPr>
              <w:t>167</w:t>
            </w:r>
            <w:r w:rsidR="00DE65AE">
              <w:rPr>
                <w:webHidden/>
              </w:rPr>
              <w:fldChar w:fldCharType="end"/>
            </w:r>
          </w:hyperlink>
        </w:p>
        <w:p w14:paraId="57F0E83D" w14:textId="77777777" w:rsidR="00DE65AE" w:rsidRDefault="00CD4AC5" w:rsidP="004C79C1">
          <w:pPr>
            <w:pStyle w:val="TOC3"/>
            <w:tabs>
              <w:tab w:val="left" w:pos="2704"/>
            </w:tabs>
            <w:spacing w:after="120" w:line="240" w:lineRule="auto"/>
            <w:rPr>
              <w:rFonts w:asciiTheme="minorHAnsi" w:eastAsiaTheme="minorEastAsia" w:hAnsiTheme="minorHAnsi" w:cstheme="minorBidi"/>
            </w:rPr>
          </w:pPr>
          <w:hyperlink w:anchor="_Toc451501379" w:history="1">
            <w:r w:rsidR="00DE65AE" w:rsidRPr="003E51D2">
              <w:rPr>
                <w:rStyle w:val="Hyperlink"/>
              </w:rPr>
              <w:t>D4.(iiA) CEA</w:t>
            </w:r>
            <w:r w:rsidR="00DE65AE">
              <w:rPr>
                <w:rFonts w:asciiTheme="minorHAnsi" w:eastAsiaTheme="minorEastAsia" w:hAnsiTheme="minorHAnsi" w:cstheme="minorBidi"/>
              </w:rPr>
              <w:tab/>
            </w:r>
            <w:r w:rsidR="00DE65AE" w:rsidRPr="003E51D2">
              <w:rPr>
                <w:rStyle w:val="Hyperlink"/>
              </w:rPr>
              <w:t>Inputs used in the model</w:t>
            </w:r>
            <w:r w:rsidR="00DE65AE">
              <w:rPr>
                <w:webHidden/>
              </w:rPr>
              <w:tab/>
            </w:r>
            <w:r w:rsidR="00DE65AE">
              <w:rPr>
                <w:webHidden/>
              </w:rPr>
              <w:fldChar w:fldCharType="begin"/>
            </w:r>
            <w:r w:rsidR="00DE65AE">
              <w:rPr>
                <w:webHidden/>
              </w:rPr>
              <w:instrText xml:space="preserve"> PAGEREF _Toc451501379 \h </w:instrText>
            </w:r>
            <w:r w:rsidR="00DE65AE">
              <w:rPr>
                <w:webHidden/>
              </w:rPr>
            </w:r>
            <w:r w:rsidR="00DE65AE">
              <w:rPr>
                <w:webHidden/>
              </w:rPr>
              <w:fldChar w:fldCharType="separate"/>
            </w:r>
            <w:r w:rsidR="00054ED4">
              <w:rPr>
                <w:webHidden/>
              </w:rPr>
              <w:t>170</w:t>
            </w:r>
            <w:r w:rsidR="00DE65AE">
              <w:rPr>
                <w:webHidden/>
              </w:rPr>
              <w:fldChar w:fldCharType="end"/>
            </w:r>
          </w:hyperlink>
        </w:p>
        <w:p w14:paraId="500A482C" w14:textId="77777777" w:rsidR="00DE65AE" w:rsidRDefault="00CD4AC5" w:rsidP="004C79C1">
          <w:pPr>
            <w:pStyle w:val="TOC3"/>
            <w:tabs>
              <w:tab w:val="left" w:pos="2704"/>
            </w:tabs>
            <w:spacing w:after="120" w:line="240" w:lineRule="auto"/>
            <w:rPr>
              <w:rFonts w:asciiTheme="minorHAnsi" w:eastAsiaTheme="minorEastAsia" w:hAnsiTheme="minorHAnsi" w:cstheme="minorBidi"/>
            </w:rPr>
          </w:pPr>
          <w:hyperlink w:anchor="_Toc451501380" w:history="1">
            <w:r w:rsidR="00DE65AE" w:rsidRPr="003E51D2">
              <w:rPr>
                <w:rStyle w:val="Hyperlink"/>
              </w:rPr>
              <w:t>D5.(iiA) CEA</w:t>
            </w:r>
            <w:r w:rsidR="00DE65AE">
              <w:rPr>
                <w:rFonts w:asciiTheme="minorHAnsi" w:eastAsiaTheme="minorEastAsia" w:hAnsiTheme="minorHAnsi" w:cstheme="minorBidi"/>
              </w:rPr>
              <w:tab/>
            </w:r>
            <w:r w:rsidR="00DE65AE" w:rsidRPr="003E51D2">
              <w:rPr>
                <w:rStyle w:val="Hyperlink"/>
              </w:rPr>
              <w:t>Results</w:t>
            </w:r>
            <w:r w:rsidR="00DE65AE">
              <w:rPr>
                <w:webHidden/>
              </w:rPr>
              <w:tab/>
            </w:r>
            <w:r w:rsidR="00DE65AE">
              <w:rPr>
                <w:webHidden/>
              </w:rPr>
              <w:fldChar w:fldCharType="begin"/>
            </w:r>
            <w:r w:rsidR="00DE65AE">
              <w:rPr>
                <w:webHidden/>
              </w:rPr>
              <w:instrText xml:space="preserve"> PAGEREF _Toc451501380 \h </w:instrText>
            </w:r>
            <w:r w:rsidR="00DE65AE">
              <w:rPr>
                <w:webHidden/>
              </w:rPr>
            </w:r>
            <w:r w:rsidR="00DE65AE">
              <w:rPr>
                <w:webHidden/>
              </w:rPr>
              <w:fldChar w:fldCharType="separate"/>
            </w:r>
            <w:r w:rsidR="00054ED4">
              <w:rPr>
                <w:webHidden/>
              </w:rPr>
              <w:t>172</w:t>
            </w:r>
            <w:r w:rsidR="00DE65AE">
              <w:rPr>
                <w:webHidden/>
              </w:rPr>
              <w:fldChar w:fldCharType="end"/>
            </w:r>
          </w:hyperlink>
        </w:p>
        <w:p w14:paraId="357F9BEC" w14:textId="77777777" w:rsidR="00DE65AE" w:rsidRDefault="00CD4AC5" w:rsidP="004C79C1">
          <w:pPr>
            <w:pStyle w:val="TOC3"/>
            <w:tabs>
              <w:tab w:val="left" w:pos="2704"/>
            </w:tabs>
            <w:spacing w:after="120" w:line="240" w:lineRule="auto"/>
            <w:rPr>
              <w:rFonts w:asciiTheme="minorHAnsi" w:eastAsiaTheme="minorEastAsia" w:hAnsiTheme="minorHAnsi" w:cstheme="minorBidi"/>
            </w:rPr>
          </w:pPr>
          <w:hyperlink w:anchor="_Toc451501381" w:history="1">
            <w:r w:rsidR="00DE65AE" w:rsidRPr="003E51D2">
              <w:rPr>
                <w:rStyle w:val="Hyperlink"/>
              </w:rPr>
              <w:t>D6.(iiA) CEA</w:t>
            </w:r>
            <w:r w:rsidR="00DE65AE">
              <w:rPr>
                <w:rFonts w:asciiTheme="minorHAnsi" w:eastAsiaTheme="minorEastAsia" w:hAnsiTheme="minorHAnsi" w:cstheme="minorBidi"/>
              </w:rPr>
              <w:tab/>
            </w:r>
            <w:r w:rsidR="00DE65AE" w:rsidRPr="003E51D2">
              <w:rPr>
                <w:rStyle w:val="Hyperlink"/>
              </w:rPr>
              <w:t>Sensitivity analyses</w:t>
            </w:r>
            <w:r w:rsidR="00DE65AE">
              <w:rPr>
                <w:webHidden/>
              </w:rPr>
              <w:tab/>
            </w:r>
            <w:r w:rsidR="00DE65AE">
              <w:rPr>
                <w:webHidden/>
              </w:rPr>
              <w:fldChar w:fldCharType="begin"/>
            </w:r>
            <w:r w:rsidR="00DE65AE">
              <w:rPr>
                <w:webHidden/>
              </w:rPr>
              <w:instrText xml:space="preserve"> PAGEREF _Toc451501381 \h </w:instrText>
            </w:r>
            <w:r w:rsidR="00DE65AE">
              <w:rPr>
                <w:webHidden/>
              </w:rPr>
            </w:r>
            <w:r w:rsidR="00DE65AE">
              <w:rPr>
                <w:webHidden/>
              </w:rPr>
              <w:fldChar w:fldCharType="separate"/>
            </w:r>
            <w:r w:rsidR="00054ED4">
              <w:rPr>
                <w:webHidden/>
              </w:rPr>
              <w:t>175</w:t>
            </w:r>
            <w:r w:rsidR="00DE65AE">
              <w:rPr>
                <w:webHidden/>
              </w:rPr>
              <w:fldChar w:fldCharType="end"/>
            </w:r>
          </w:hyperlink>
        </w:p>
        <w:p w14:paraId="7B8D81B3" w14:textId="77777777" w:rsidR="00DE65AE" w:rsidRDefault="00CD4AC5" w:rsidP="004C79C1">
          <w:pPr>
            <w:pStyle w:val="TOC2"/>
            <w:spacing w:after="120" w:line="240" w:lineRule="auto"/>
            <w:rPr>
              <w:rFonts w:asciiTheme="minorHAnsi" w:eastAsiaTheme="minorEastAsia" w:hAnsiTheme="minorHAnsi" w:cstheme="minorBidi"/>
            </w:rPr>
          </w:pPr>
          <w:hyperlink w:anchor="_Toc451501382" w:history="1">
            <w:r w:rsidR="00DE65AE" w:rsidRPr="003E51D2">
              <w:rPr>
                <w:rStyle w:val="Hyperlink"/>
              </w:rPr>
              <w:t>Population iiB: Patients with Intermediate Risk of CAD</w:t>
            </w:r>
            <w:r w:rsidR="00DE65AE">
              <w:rPr>
                <w:webHidden/>
              </w:rPr>
              <w:tab/>
            </w:r>
            <w:r w:rsidR="00DE65AE">
              <w:rPr>
                <w:webHidden/>
              </w:rPr>
              <w:fldChar w:fldCharType="begin"/>
            </w:r>
            <w:r w:rsidR="00DE65AE">
              <w:rPr>
                <w:webHidden/>
              </w:rPr>
              <w:instrText xml:space="preserve"> PAGEREF _Toc451501382 \h </w:instrText>
            </w:r>
            <w:r w:rsidR="00DE65AE">
              <w:rPr>
                <w:webHidden/>
              </w:rPr>
            </w:r>
            <w:r w:rsidR="00DE65AE">
              <w:rPr>
                <w:webHidden/>
              </w:rPr>
              <w:fldChar w:fldCharType="separate"/>
            </w:r>
            <w:r w:rsidR="00054ED4">
              <w:rPr>
                <w:webHidden/>
              </w:rPr>
              <w:t>176</w:t>
            </w:r>
            <w:r w:rsidR="00DE65AE">
              <w:rPr>
                <w:webHidden/>
              </w:rPr>
              <w:fldChar w:fldCharType="end"/>
            </w:r>
          </w:hyperlink>
        </w:p>
        <w:p w14:paraId="7EB5AF7A" w14:textId="77777777" w:rsidR="00DE65AE" w:rsidRDefault="00CD4AC5" w:rsidP="004C79C1">
          <w:pPr>
            <w:pStyle w:val="TOC3"/>
            <w:tabs>
              <w:tab w:val="left" w:pos="2294"/>
            </w:tabs>
            <w:spacing w:after="120" w:line="240" w:lineRule="auto"/>
            <w:rPr>
              <w:rFonts w:asciiTheme="minorHAnsi" w:eastAsiaTheme="minorEastAsia" w:hAnsiTheme="minorHAnsi" w:cstheme="minorBidi"/>
            </w:rPr>
          </w:pPr>
          <w:hyperlink w:anchor="_Toc451501383" w:history="1">
            <w:r w:rsidR="00DE65AE" w:rsidRPr="003E51D2">
              <w:rPr>
                <w:rStyle w:val="Hyperlink"/>
              </w:rPr>
              <w:t>D2.(iiB)</w:t>
            </w:r>
            <w:r w:rsidR="00DE65AE">
              <w:rPr>
                <w:rFonts w:asciiTheme="minorHAnsi" w:eastAsiaTheme="minorEastAsia" w:hAnsiTheme="minorHAnsi" w:cstheme="minorBidi"/>
              </w:rPr>
              <w:tab/>
            </w:r>
            <w:r w:rsidR="00DE65AE" w:rsidRPr="003E51D2">
              <w:rPr>
                <w:rStyle w:val="Hyperlink"/>
              </w:rPr>
              <w:t>Population and setting</w:t>
            </w:r>
            <w:r w:rsidR="00DE65AE">
              <w:rPr>
                <w:webHidden/>
              </w:rPr>
              <w:tab/>
            </w:r>
            <w:r w:rsidR="00DE65AE">
              <w:rPr>
                <w:webHidden/>
              </w:rPr>
              <w:fldChar w:fldCharType="begin"/>
            </w:r>
            <w:r w:rsidR="00DE65AE">
              <w:rPr>
                <w:webHidden/>
              </w:rPr>
              <w:instrText xml:space="preserve"> PAGEREF _Toc451501383 \h </w:instrText>
            </w:r>
            <w:r w:rsidR="00DE65AE">
              <w:rPr>
                <w:webHidden/>
              </w:rPr>
            </w:r>
            <w:r w:rsidR="00DE65AE">
              <w:rPr>
                <w:webHidden/>
              </w:rPr>
              <w:fldChar w:fldCharType="separate"/>
            </w:r>
            <w:r w:rsidR="00054ED4">
              <w:rPr>
                <w:webHidden/>
              </w:rPr>
              <w:t>176</w:t>
            </w:r>
            <w:r w:rsidR="00DE65AE">
              <w:rPr>
                <w:webHidden/>
              </w:rPr>
              <w:fldChar w:fldCharType="end"/>
            </w:r>
          </w:hyperlink>
        </w:p>
        <w:p w14:paraId="1B19DA7A" w14:textId="77777777" w:rsidR="00DE65AE" w:rsidRDefault="00CD4AC5" w:rsidP="004C79C1">
          <w:pPr>
            <w:pStyle w:val="TOC3"/>
            <w:tabs>
              <w:tab w:val="left" w:pos="2696"/>
            </w:tabs>
            <w:spacing w:after="120" w:line="240" w:lineRule="auto"/>
            <w:rPr>
              <w:rFonts w:asciiTheme="minorHAnsi" w:eastAsiaTheme="minorEastAsia" w:hAnsiTheme="minorHAnsi" w:cstheme="minorBidi"/>
            </w:rPr>
          </w:pPr>
          <w:hyperlink w:anchor="_Toc451501384" w:history="1">
            <w:r w:rsidR="00DE65AE" w:rsidRPr="003E51D2">
              <w:rPr>
                <w:rStyle w:val="Hyperlink"/>
              </w:rPr>
              <w:t>D3.(iiB) CEA</w:t>
            </w:r>
            <w:r w:rsidR="00DE65AE">
              <w:rPr>
                <w:rFonts w:asciiTheme="minorHAnsi" w:eastAsiaTheme="minorEastAsia" w:hAnsiTheme="minorHAnsi" w:cstheme="minorBidi"/>
              </w:rPr>
              <w:tab/>
            </w:r>
            <w:r w:rsidR="00DE65AE" w:rsidRPr="003E51D2">
              <w:rPr>
                <w:rStyle w:val="Hyperlink"/>
              </w:rPr>
              <w:t>Structure</w:t>
            </w:r>
            <w:r w:rsidR="00DE65AE">
              <w:rPr>
                <w:webHidden/>
              </w:rPr>
              <w:tab/>
            </w:r>
            <w:r w:rsidR="00DE65AE">
              <w:rPr>
                <w:webHidden/>
              </w:rPr>
              <w:fldChar w:fldCharType="begin"/>
            </w:r>
            <w:r w:rsidR="00DE65AE">
              <w:rPr>
                <w:webHidden/>
              </w:rPr>
              <w:instrText xml:space="preserve"> PAGEREF _Toc451501384 \h </w:instrText>
            </w:r>
            <w:r w:rsidR="00DE65AE">
              <w:rPr>
                <w:webHidden/>
              </w:rPr>
            </w:r>
            <w:r w:rsidR="00DE65AE">
              <w:rPr>
                <w:webHidden/>
              </w:rPr>
              <w:fldChar w:fldCharType="separate"/>
            </w:r>
            <w:r w:rsidR="00054ED4">
              <w:rPr>
                <w:webHidden/>
              </w:rPr>
              <w:t>177</w:t>
            </w:r>
            <w:r w:rsidR="00DE65AE">
              <w:rPr>
                <w:webHidden/>
              </w:rPr>
              <w:fldChar w:fldCharType="end"/>
            </w:r>
          </w:hyperlink>
        </w:p>
        <w:p w14:paraId="49DF373D" w14:textId="77777777" w:rsidR="00DE65AE" w:rsidRDefault="00CD4AC5" w:rsidP="004C79C1">
          <w:pPr>
            <w:pStyle w:val="TOC3"/>
            <w:tabs>
              <w:tab w:val="left" w:pos="2696"/>
            </w:tabs>
            <w:spacing w:after="120" w:line="240" w:lineRule="auto"/>
            <w:rPr>
              <w:rFonts w:asciiTheme="minorHAnsi" w:eastAsiaTheme="minorEastAsia" w:hAnsiTheme="minorHAnsi" w:cstheme="minorBidi"/>
            </w:rPr>
          </w:pPr>
          <w:hyperlink w:anchor="_Toc451501385" w:history="1">
            <w:r w:rsidR="00DE65AE" w:rsidRPr="003E51D2">
              <w:rPr>
                <w:rStyle w:val="Hyperlink"/>
              </w:rPr>
              <w:t>D3.(iiB) CEA</w:t>
            </w:r>
            <w:r w:rsidR="00DE65AE">
              <w:rPr>
                <w:rFonts w:asciiTheme="minorHAnsi" w:eastAsiaTheme="minorEastAsia" w:hAnsiTheme="minorHAnsi" w:cstheme="minorBidi"/>
              </w:rPr>
              <w:tab/>
            </w:r>
            <w:r w:rsidR="00DE65AE" w:rsidRPr="003E51D2">
              <w:rPr>
                <w:rStyle w:val="Hyperlink"/>
              </w:rPr>
              <w:t>Inputs used in the model</w:t>
            </w:r>
            <w:r w:rsidR="00DE65AE">
              <w:rPr>
                <w:webHidden/>
              </w:rPr>
              <w:tab/>
            </w:r>
            <w:r w:rsidR="00DE65AE">
              <w:rPr>
                <w:webHidden/>
              </w:rPr>
              <w:fldChar w:fldCharType="begin"/>
            </w:r>
            <w:r w:rsidR="00DE65AE">
              <w:rPr>
                <w:webHidden/>
              </w:rPr>
              <w:instrText xml:space="preserve"> PAGEREF _Toc451501385 \h </w:instrText>
            </w:r>
            <w:r w:rsidR="00DE65AE">
              <w:rPr>
                <w:webHidden/>
              </w:rPr>
            </w:r>
            <w:r w:rsidR="00DE65AE">
              <w:rPr>
                <w:webHidden/>
              </w:rPr>
              <w:fldChar w:fldCharType="separate"/>
            </w:r>
            <w:r w:rsidR="00054ED4">
              <w:rPr>
                <w:webHidden/>
              </w:rPr>
              <w:t>179</w:t>
            </w:r>
            <w:r w:rsidR="00DE65AE">
              <w:rPr>
                <w:webHidden/>
              </w:rPr>
              <w:fldChar w:fldCharType="end"/>
            </w:r>
          </w:hyperlink>
        </w:p>
        <w:p w14:paraId="1356EC7D" w14:textId="77777777" w:rsidR="00DE65AE" w:rsidRDefault="00CD4AC5" w:rsidP="004C79C1">
          <w:pPr>
            <w:pStyle w:val="TOC3"/>
            <w:tabs>
              <w:tab w:val="left" w:pos="2696"/>
            </w:tabs>
            <w:spacing w:after="120" w:line="240" w:lineRule="auto"/>
            <w:rPr>
              <w:rFonts w:asciiTheme="minorHAnsi" w:eastAsiaTheme="minorEastAsia" w:hAnsiTheme="minorHAnsi" w:cstheme="minorBidi"/>
            </w:rPr>
          </w:pPr>
          <w:hyperlink w:anchor="_Toc451501386" w:history="1">
            <w:r w:rsidR="00DE65AE" w:rsidRPr="003E51D2">
              <w:rPr>
                <w:rStyle w:val="Hyperlink"/>
              </w:rPr>
              <w:t>D4.(iiB) CEA</w:t>
            </w:r>
            <w:r w:rsidR="00DE65AE">
              <w:rPr>
                <w:rFonts w:asciiTheme="minorHAnsi" w:eastAsiaTheme="minorEastAsia" w:hAnsiTheme="minorHAnsi" w:cstheme="minorBidi"/>
              </w:rPr>
              <w:tab/>
            </w:r>
            <w:r w:rsidR="00DE65AE" w:rsidRPr="003E51D2">
              <w:rPr>
                <w:rStyle w:val="Hyperlink"/>
              </w:rPr>
              <w:t>Results</w:t>
            </w:r>
            <w:r w:rsidR="00DE65AE">
              <w:rPr>
                <w:webHidden/>
              </w:rPr>
              <w:tab/>
            </w:r>
            <w:r w:rsidR="00DE65AE">
              <w:rPr>
                <w:webHidden/>
              </w:rPr>
              <w:fldChar w:fldCharType="begin"/>
            </w:r>
            <w:r w:rsidR="00DE65AE">
              <w:rPr>
                <w:webHidden/>
              </w:rPr>
              <w:instrText xml:space="preserve"> PAGEREF _Toc451501386 \h </w:instrText>
            </w:r>
            <w:r w:rsidR="00DE65AE">
              <w:rPr>
                <w:webHidden/>
              </w:rPr>
            </w:r>
            <w:r w:rsidR="00DE65AE">
              <w:rPr>
                <w:webHidden/>
              </w:rPr>
              <w:fldChar w:fldCharType="separate"/>
            </w:r>
            <w:r w:rsidR="00054ED4">
              <w:rPr>
                <w:webHidden/>
              </w:rPr>
              <w:t>181</w:t>
            </w:r>
            <w:r w:rsidR="00DE65AE">
              <w:rPr>
                <w:webHidden/>
              </w:rPr>
              <w:fldChar w:fldCharType="end"/>
            </w:r>
          </w:hyperlink>
        </w:p>
        <w:p w14:paraId="08BB3C46" w14:textId="77777777" w:rsidR="00DE65AE" w:rsidRDefault="00CD4AC5" w:rsidP="004C79C1">
          <w:pPr>
            <w:pStyle w:val="TOC3"/>
            <w:tabs>
              <w:tab w:val="left" w:pos="2696"/>
            </w:tabs>
            <w:spacing w:after="120" w:line="240" w:lineRule="auto"/>
            <w:rPr>
              <w:rFonts w:asciiTheme="minorHAnsi" w:eastAsiaTheme="minorEastAsia" w:hAnsiTheme="minorHAnsi" w:cstheme="minorBidi"/>
            </w:rPr>
          </w:pPr>
          <w:hyperlink w:anchor="_Toc451501387" w:history="1">
            <w:r w:rsidR="00DE65AE" w:rsidRPr="003E51D2">
              <w:rPr>
                <w:rStyle w:val="Hyperlink"/>
              </w:rPr>
              <w:t>D5.(iiB) CEA</w:t>
            </w:r>
            <w:r w:rsidR="00DE65AE">
              <w:rPr>
                <w:rFonts w:asciiTheme="minorHAnsi" w:eastAsiaTheme="minorEastAsia" w:hAnsiTheme="minorHAnsi" w:cstheme="minorBidi"/>
              </w:rPr>
              <w:tab/>
            </w:r>
            <w:r w:rsidR="00DE65AE" w:rsidRPr="003E51D2">
              <w:rPr>
                <w:rStyle w:val="Hyperlink"/>
              </w:rPr>
              <w:t>Sensitivity Analysis</w:t>
            </w:r>
            <w:r w:rsidR="00DE65AE">
              <w:rPr>
                <w:webHidden/>
              </w:rPr>
              <w:tab/>
            </w:r>
            <w:r w:rsidR="00DE65AE">
              <w:rPr>
                <w:webHidden/>
              </w:rPr>
              <w:fldChar w:fldCharType="begin"/>
            </w:r>
            <w:r w:rsidR="00DE65AE">
              <w:rPr>
                <w:webHidden/>
              </w:rPr>
              <w:instrText xml:space="preserve"> PAGEREF _Toc451501387 \h </w:instrText>
            </w:r>
            <w:r w:rsidR="00DE65AE">
              <w:rPr>
                <w:webHidden/>
              </w:rPr>
            </w:r>
            <w:r w:rsidR="00DE65AE">
              <w:rPr>
                <w:webHidden/>
              </w:rPr>
              <w:fldChar w:fldCharType="separate"/>
            </w:r>
            <w:r w:rsidR="00054ED4">
              <w:rPr>
                <w:webHidden/>
              </w:rPr>
              <w:t>182</w:t>
            </w:r>
            <w:r w:rsidR="00DE65AE">
              <w:rPr>
                <w:webHidden/>
              </w:rPr>
              <w:fldChar w:fldCharType="end"/>
            </w:r>
          </w:hyperlink>
        </w:p>
        <w:p w14:paraId="1203FA23" w14:textId="77777777" w:rsidR="00DE65AE" w:rsidRDefault="00CD4AC5" w:rsidP="004C79C1">
          <w:pPr>
            <w:pStyle w:val="TOC3"/>
            <w:tabs>
              <w:tab w:val="left" w:pos="2589"/>
            </w:tabs>
            <w:spacing w:after="120" w:line="240" w:lineRule="auto"/>
            <w:rPr>
              <w:rFonts w:asciiTheme="minorHAnsi" w:eastAsiaTheme="minorEastAsia" w:hAnsiTheme="minorHAnsi" w:cstheme="minorBidi"/>
            </w:rPr>
          </w:pPr>
          <w:hyperlink w:anchor="_Toc451501388" w:history="1">
            <w:r w:rsidR="00DE65AE" w:rsidRPr="003E51D2">
              <w:rPr>
                <w:rStyle w:val="Hyperlink"/>
              </w:rPr>
              <w:t>D3.(iiB) CA</w:t>
            </w:r>
            <w:r w:rsidR="00DE65AE">
              <w:rPr>
                <w:rFonts w:asciiTheme="minorHAnsi" w:eastAsiaTheme="minorEastAsia" w:hAnsiTheme="minorHAnsi" w:cstheme="minorBidi"/>
              </w:rPr>
              <w:tab/>
            </w:r>
            <w:r w:rsidR="00DE65AE" w:rsidRPr="003E51D2">
              <w:rPr>
                <w:rStyle w:val="Hyperlink"/>
              </w:rPr>
              <w:t>Structure</w:t>
            </w:r>
            <w:r w:rsidR="00DE65AE">
              <w:rPr>
                <w:webHidden/>
              </w:rPr>
              <w:tab/>
            </w:r>
            <w:r w:rsidR="00DE65AE">
              <w:rPr>
                <w:webHidden/>
              </w:rPr>
              <w:fldChar w:fldCharType="begin"/>
            </w:r>
            <w:r w:rsidR="00DE65AE">
              <w:rPr>
                <w:webHidden/>
              </w:rPr>
              <w:instrText xml:space="preserve"> PAGEREF _Toc451501388 \h </w:instrText>
            </w:r>
            <w:r w:rsidR="00DE65AE">
              <w:rPr>
                <w:webHidden/>
              </w:rPr>
            </w:r>
            <w:r w:rsidR="00DE65AE">
              <w:rPr>
                <w:webHidden/>
              </w:rPr>
              <w:fldChar w:fldCharType="separate"/>
            </w:r>
            <w:r w:rsidR="00054ED4">
              <w:rPr>
                <w:webHidden/>
              </w:rPr>
              <w:t>183</w:t>
            </w:r>
            <w:r w:rsidR="00DE65AE">
              <w:rPr>
                <w:webHidden/>
              </w:rPr>
              <w:fldChar w:fldCharType="end"/>
            </w:r>
          </w:hyperlink>
        </w:p>
        <w:p w14:paraId="3D9FC6BD" w14:textId="77777777" w:rsidR="00DE65AE" w:rsidRDefault="00CD4AC5" w:rsidP="004C79C1">
          <w:pPr>
            <w:pStyle w:val="TOC3"/>
            <w:tabs>
              <w:tab w:val="left" w:pos="2589"/>
            </w:tabs>
            <w:spacing w:after="120" w:line="240" w:lineRule="auto"/>
            <w:rPr>
              <w:rFonts w:asciiTheme="minorHAnsi" w:eastAsiaTheme="minorEastAsia" w:hAnsiTheme="minorHAnsi" w:cstheme="minorBidi"/>
            </w:rPr>
          </w:pPr>
          <w:hyperlink w:anchor="_Toc451501389" w:history="1">
            <w:r w:rsidR="00DE65AE" w:rsidRPr="003E51D2">
              <w:rPr>
                <w:rStyle w:val="Hyperlink"/>
              </w:rPr>
              <w:t>D4.(iiB) CA</w:t>
            </w:r>
            <w:r w:rsidR="00DE65AE">
              <w:rPr>
                <w:rFonts w:asciiTheme="minorHAnsi" w:eastAsiaTheme="minorEastAsia" w:hAnsiTheme="minorHAnsi" w:cstheme="minorBidi"/>
              </w:rPr>
              <w:tab/>
            </w:r>
            <w:r w:rsidR="00DE65AE" w:rsidRPr="003E51D2">
              <w:rPr>
                <w:rStyle w:val="Hyperlink"/>
              </w:rPr>
              <w:t>Inputs to the cost analyses</w:t>
            </w:r>
            <w:r w:rsidR="00DE65AE">
              <w:rPr>
                <w:webHidden/>
              </w:rPr>
              <w:tab/>
            </w:r>
            <w:r w:rsidR="00DE65AE">
              <w:rPr>
                <w:webHidden/>
              </w:rPr>
              <w:fldChar w:fldCharType="begin"/>
            </w:r>
            <w:r w:rsidR="00DE65AE">
              <w:rPr>
                <w:webHidden/>
              </w:rPr>
              <w:instrText xml:space="preserve"> PAGEREF _Toc451501389 \h </w:instrText>
            </w:r>
            <w:r w:rsidR="00DE65AE">
              <w:rPr>
                <w:webHidden/>
              </w:rPr>
            </w:r>
            <w:r w:rsidR="00DE65AE">
              <w:rPr>
                <w:webHidden/>
              </w:rPr>
              <w:fldChar w:fldCharType="separate"/>
            </w:r>
            <w:r w:rsidR="00054ED4">
              <w:rPr>
                <w:webHidden/>
              </w:rPr>
              <w:t>184</w:t>
            </w:r>
            <w:r w:rsidR="00DE65AE">
              <w:rPr>
                <w:webHidden/>
              </w:rPr>
              <w:fldChar w:fldCharType="end"/>
            </w:r>
          </w:hyperlink>
        </w:p>
        <w:p w14:paraId="35981914" w14:textId="77777777" w:rsidR="00DE65AE" w:rsidRDefault="00CD4AC5" w:rsidP="004C79C1">
          <w:pPr>
            <w:pStyle w:val="TOC3"/>
            <w:tabs>
              <w:tab w:val="left" w:pos="2589"/>
            </w:tabs>
            <w:spacing w:after="120" w:line="240" w:lineRule="auto"/>
            <w:rPr>
              <w:rFonts w:asciiTheme="minorHAnsi" w:eastAsiaTheme="minorEastAsia" w:hAnsiTheme="minorHAnsi" w:cstheme="minorBidi"/>
            </w:rPr>
          </w:pPr>
          <w:hyperlink w:anchor="_Toc451501390" w:history="1">
            <w:r w:rsidR="00DE65AE" w:rsidRPr="003E51D2">
              <w:rPr>
                <w:rStyle w:val="Hyperlink"/>
              </w:rPr>
              <w:t>D5.(iiB) CA</w:t>
            </w:r>
            <w:r w:rsidR="00DE65AE">
              <w:rPr>
                <w:rFonts w:asciiTheme="minorHAnsi" w:eastAsiaTheme="minorEastAsia" w:hAnsiTheme="minorHAnsi" w:cstheme="minorBidi"/>
              </w:rPr>
              <w:tab/>
            </w:r>
            <w:r w:rsidR="00DE65AE" w:rsidRPr="003E51D2">
              <w:rPr>
                <w:rStyle w:val="Hyperlink"/>
              </w:rPr>
              <w:t xml:space="preserve"> Results of the cost analyses: CMR vs SPECT or CTCA or stress echocardiography</w:t>
            </w:r>
            <w:r w:rsidR="00DE65AE">
              <w:rPr>
                <w:webHidden/>
              </w:rPr>
              <w:tab/>
            </w:r>
            <w:r w:rsidR="00DE65AE">
              <w:rPr>
                <w:webHidden/>
              </w:rPr>
              <w:fldChar w:fldCharType="begin"/>
            </w:r>
            <w:r w:rsidR="00DE65AE">
              <w:rPr>
                <w:webHidden/>
              </w:rPr>
              <w:instrText xml:space="preserve"> PAGEREF _Toc451501390 \h </w:instrText>
            </w:r>
            <w:r w:rsidR="00DE65AE">
              <w:rPr>
                <w:webHidden/>
              </w:rPr>
            </w:r>
            <w:r w:rsidR="00DE65AE">
              <w:rPr>
                <w:webHidden/>
              </w:rPr>
              <w:fldChar w:fldCharType="separate"/>
            </w:r>
            <w:r w:rsidR="00054ED4">
              <w:rPr>
                <w:webHidden/>
              </w:rPr>
              <w:t>187</w:t>
            </w:r>
            <w:r w:rsidR="00DE65AE">
              <w:rPr>
                <w:webHidden/>
              </w:rPr>
              <w:fldChar w:fldCharType="end"/>
            </w:r>
          </w:hyperlink>
        </w:p>
        <w:p w14:paraId="2706D4A2" w14:textId="77777777" w:rsidR="00DE65AE" w:rsidRDefault="00CD4AC5" w:rsidP="004C79C1">
          <w:pPr>
            <w:pStyle w:val="TOC3"/>
            <w:tabs>
              <w:tab w:val="left" w:pos="2589"/>
            </w:tabs>
            <w:spacing w:after="120" w:line="240" w:lineRule="auto"/>
            <w:rPr>
              <w:rFonts w:asciiTheme="minorHAnsi" w:eastAsiaTheme="minorEastAsia" w:hAnsiTheme="minorHAnsi" w:cstheme="minorBidi"/>
            </w:rPr>
          </w:pPr>
          <w:hyperlink w:anchor="_Toc451501391" w:history="1">
            <w:r w:rsidR="00DE65AE" w:rsidRPr="003E51D2">
              <w:rPr>
                <w:rStyle w:val="Hyperlink"/>
              </w:rPr>
              <w:t>D6.(iiB) CA</w:t>
            </w:r>
            <w:r w:rsidR="00DE65AE">
              <w:rPr>
                <w:rFonts w:asciiTheme="minorHAnsi" w:eastAsiaTheme="minorEastAsia" w:hAnsiTheme="minorHAnsi" w:cstheme="minorBidi"/>
              </w:rPr>
              <w:tab/>
            </w:r>
            <w:r w:rsidR="00DE65AE" w:rsidRPr="003E51D2">
              <w:rPr>
                <w:rStyle w:val="Hyperlink"/>
              </w:rPr>
              <w:t>Sensitivity analyses</w:t>
            </w:r>
            <w:r w:rsidR="00DE65AE">
              <w:rPr>
                <w:webHidden/>
              </w:rPr>
              <w:tab/>
            </w:r>
            <w:r w:rsidR="00DE65AE">
              <w:rPr>
                <w:webHidden/>
              </w:rPr>
              <w:fldChar w:fldCharType="begin"/>
            </w:r>
            <w:r w:rsidR="00DE65AE">
              <w:rPr>
                <w:webHidden/>
              </w:rPr>
              <w:instrText xml:space="preserve"> PAGEREF _Toc451501391 \h </w:instrText>
            </w:r>
            <w:r w:rsidR="00DE65AE">
              <w:rPr>
                <w:webHidden/>
              </w:rPr>
            </w:r>
            <w:r w:rsidR="00DE65AE">
              <w:rPr>
                <w:webHidden/>
              </w:rPr>
              <w:fldChar w:fldCharType="separate"/>
            </w:r>
            <w:r w:rsidR="00054ED4">
              <w:rPr>
                <w:webHidden/>
              </w:rPr>
              <w:t>189</w:t>
            </w:r>
            <w:r w:rsidR="00DE65AE">
              <w:rPr>
                <w:webHidden/>
              </w:rPr>
              <w:fldChar w:fldCharType="end"/>
            </w:r>
          </w:hyperlink>
        </w:p>
        <w:p w14:paraId="4C17FF73"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392" w:history="1">
            <w:r w:rsidR="00DE65AE" w:rsidRPr="003E51D2">
              <w:rPr>
                <w:rStyle w:val="Hyperlink"/>
              </w:rPr>
              <w:t>Section E</w:t>
            </w:r>
            <w:r w:rsidR="00DE65AE">
              <w:rPr>
                <w:rFonts w:asciiTheme="minorHAnsi" w:eastAsiaTheme="minorEastAsia" w:hAnsiTheme="minorHAnsi" w:cstheme="minorBidi"/>
                <w:b w:val="0"/>
              </w:rPr>
              <w:tab/>
            </w:r>
            <w:r w:rsidR="00DE65AE" w:rsidRPr="003E51D2">
              <w:rPr>
                <w:rStyle w:val="Hyperlink"/>
              </w:rPr>
              <w:t>Financial Implications</w:t>
            </w:r>
            <w:r w:rsidR="00DE65AE">
              <w:rPr>
                <w:webHidden/>
              </w:rPr>
              <w:tab/>
            </w:r>
            <w:r w:rsidR="00DE65AE">
              <w:rPr>
                <w:webHidden/>
              </w:rPr>
              <w:fldChar w:fldCharType="begin"/>
            </w:r>
            <w:r w:rsidR="00DE65AE">
              <w:rPr>
                <w:webHidden/>
              </w:rPr>
              <w:instrText xml:space="preserve"> PAGEREF _Toc451501392 \h </w:instrText>
            </w:r>
            <w:r w:rsidR="00DE65AE">
              <w:rPr>
                <w:webHidden/>
              </w:rPr>
            </w:r>
            <w:r w:rsidR="00DE65AE">
              <w:rPr>
                <w:webHidden/>
              </w:rPr>
              <w:fldChar w:fldCharType="separate"/>
            </w:r>
            <w:r w:rsidR="00054ED4">
              <w:rPr>
                <w:webHidden/>
              </w:rPr>
              <w:t>191</w:t>
            </w:r>
            <w:r w:rsidR="00DE65AE">
              <w:rPr>
                <w:webHidden/>
              </w:rPr>
              <w:fldChar w:fldCharType="end"/>
            </w:r>
          </w:hyperlink>
        </w:p>
        <w:p w14:paraId="4FAFCC3F"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93" w:history="1">
            <w:r w:rsidR="00DE65AE" w:rsidRPr="003E51D2">
              <w:rPr>
                <w:rStyle w:val="Hyperlink"/>
              </w:rPr>
              <w:t>E1</w:t>
            </w:r>
            <w:r w:rsidR="00DE65AE">
              <w:rPr>
                <w:rFonts w:asciiTheme="minorHAnsi" w:eastAsiaTheme="minorEastAsia" w:hAnsiTheme="minorHAnsi" w:cstheme="minorBidi"/>
              </w:rPr>
              <w:tab/>
            </w:r>
            <w:r w:rsidR="00DE65AE" w:rsidRPr="003E51D2">
              <w:rPr>
                <w:rStyle w:val="Hyperlink"/>
              </w:rPr>
              <w:t>Use and Costs of CMR for Diagnosis of DCM</w:t>
            </w:r>
            <w:r w:rsidR="00DE65AE">
              <w:rPr>
                <w:webHidden/>
              </w:rPr>
              <w:tab/>
            </w:r>
            <w:r w:rsidR="00DE65AE">
              <w:rPr>
                <w:webHidden/>
              </w:rPr>
              <w:fldChar w:fldCharType="begin"/>
            </w:r>
            <w:r w:rsidR="00DE65AE">
              <w:rPr>
                <w:webHidden/>
              </w:rPr>
              <w:instrText xml:space="preserve"> PAGEREF _Toc451501393 \h </w:instrText>
            </w:r>
            <w:r w:rsidR="00DE65AE">
              <w:rPr>
                <w:webHidden/>
              </w:rPr>
            </w:r>
            <w:r w:rsidR="00DE65AE">
              <w:rPr>
                <w:webHidden/>
              </w:rPr>
              <w:fldChar w:fldCharType="separate"/>
            </w:r>
            <w:r w:rsidR="00054ED4">
              <w:rPr>
                <w:webHidden/>
              </w:rPr>
              <w:t>192</w:t>
            </w:r>
            <w:r w:rsidR="00DE65AE">
              <w:rPr>
                <w:webHidden/>
              </w:rPr>
              <w:fldChar w:fldCharType="end"/>
            </w:r>
          </w:hyperlink>
        </w:p>
        <w:p w14:paraId="263B7530" w14:textId="77777777" w:rsidR="00DE65AE" w:rsidRDefault="00CD4AC5" w:rsidP="004C79C1">
          <w:pPr>
            <w:pStyle w:val="TOC3"/>
            <w:spacing w:after="120" w:line="240" w:lineRule="auto"/>
            <w:rPr>
              <w:rFonts w:asciiTheme="minorHAnsi" w:eastAsiaTheme="minorEastAsia" w:hAnsiTheme="minorHAnsi" w:cstheme="minorBidi"/>
            </w:rPr>
          </w:pPr>
          <w:hyperlink w:anchor="_Toc451501394" w:history="1">
            <w:r w:rsidR="00DE65AE" w:rsidRPr="003E51D2">
              <w:rPr>
                <w:rStyle w:val="Hyperlink"/>
              </w:rPr>
              <w:t>Uptake of CMR</w:t>
            </w:r>
            <w:r w:rsidR="00DE65AE">
              <w:rPr>
                <w:webHidden/>
              </w:rPr>
              <w:tab/>
            </w:r>
            <w:r w:rsidR="00DE65AE">
              <w:rPr>
                <w:webHidden/>
              </w:rPr>
              <w:fldChar w:fldCharType="begin"/>
            </w:r>
            <w:r w:rsidR="00DE65AE">
              <w:rPr>
                <w:webHidden/>
              </w:rPr>
              <w:instrText xml:space="preserve"> PAGEREF _Toc451501394 \h </w:instrText>
            </w:r>
            <w:r w:rsidR="00DE65AE">
              <w:rPr>
                <w:webHidden/>
              </w:rPr>
            </w:r>
            <w:r w:rsidR="00DE65AE">
              <w:rPr>
                <w:webHidden/>
              </w:rPr>
              <w:fldChar w:fldCharType="separate"/>
            </w:r>
            <w:r w:rsidR="00054ED4">
              <w:rPr>
                <w:webHidden/>
              </w:rPr>
              <w:t>193</w:t>
            </w:r>
            <w:r w:rsidR="00DE65AE">
              <w:rPr>
                <w:webHidden/>
              </w:rPr>
              <w:fldChar w:fldCharType="end"/>
            </w:r>
          </w:hyperlink>
        </w:p>
        <w:p w14:paraId="520B8648" w14:textId="77777777" w:rsidR="00DE65AE" w:rsidRDefault="00CD4AC5" w:rsidP="004C79C1">
          <w:pPr>
            <w:pStyle w:val="TOC3"/>
            <w:spacing w:after="120" w:line="240" w:lineRule="auto"/>
            <w:rPr>
              <w:rFonts w:asciiTheme="minorHAnsi" w:eastAsiaTheme="minorEastAsia" w:hAnsiTheme="minorHAnsi" w:cstheme="minorBidi"/>
            </w:rPr>
          </w:pPr>
          <w:hyperlink w:anchor="_Toc451501395" w:history="1">
            <w:r w:rsidR="00DE65AE" w:rsidRPr="003E51D2">
              <w:rPr>
                <w:rStyle w:val="Hyperlink"/>
              </w:rPr>
              <w:t>Total estimated usage of CMR</w:t>
            </w:r>
            <w:r w:rsidR="00DE65AE">
              <w:rPr>
                <w:webHidden/>
              </w:rPr>
              <w:tab/>
            </w:r>
            <w:r w:rsidR="00DE65AE">
              <w:rPr>
                <w:webHidden/>
              </w:rPr>
              <w:fldChar w:fldCharType="begin"/>
            </w:r>
            <w:r w:rsidR="00DE65AE">
              <w:rPr>
                <w:webHidden/>
              </w:rPr>
              <w:instrText xml:space="preserve"> PAGEREF _Toc451501395 \h </w:instrText>
            </w:r>
            <w:r w:rsidR="00DE65AE">
              <w:rPr>
                <w:webHidden/>
              </w:rPr>
            </w:r>
            <w:r w:rsidR="00DE65AE">
              <w:rPr>
                <w:webHidden/>
              </w:rPr>
              <w:fldChar w:fldCharType="separate"/>
            </w:r>
            <w:r w:rsidR="00054ED4">
              <w:rPr>
                <w:webHidden/>
              </w:rPr>
              <w:t>196</w:t>
            </w:r>
            <w:r w:rsidR="00DE65AE">
              <w:rPr>
                <w:webHidden/>
              </w:rPr>
              <w:fldChar w:fldCharType="end"/>
            </w:r>
          </w:hyperlink>
        </w:p>
        <w:p w14:paraId="1F2B5BD0"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96" w:history="1">
            <w:r w:rsidR="00DE65AE" w:rsidRPr="003E51D2">
              <w:rPr>
                <w:rStyle w:val="Hyperlink"/>
              </w:rPr>
              <w:t>E2</w:t>
            </w:r>
            <w:r w:rsidR="00DE65AE">
              <w:rPr>
                <w:rFonts w:asciiTheme="minorHAnsi" w:eastAsiaTheme="minorEastAsia" w:hAnsiTheme="minorHAnsi" w:cstheme="minorBidi"/>
              </w:rPr>
              <w:tab/>
            </w:r>
            <w:r w:rsidR="00DE65AE" w:rsidRPr="003E51D2">
              <w:rPr>
                <w:rStyle w:val="Hyperlink"/>
              </w:rPr>
              <w:t>Changes in Use and Cost of Other Medical Services</w:t>
            </w:r>
            <w:r w:rsidR="00DE65AE">
              <w:rPr>
                <w:webHidden/>
              </w:rPr>
              <w:tab/>
            </w:r>
            <w:r w:rsidR="00DE65AE">
              <w:rPr>
                <w:webHidden/>
              </w:rPr>
              <w:fldChar w:fldCharType="begin"/>
            </w:r>
            <w:r w:rsidR="00DE65AE">
              <w:rPr>
                <w:webHidden/>
              </w:rPr>
              <w:instrText xml:space="preserve"> PAGEREF _Toc451501396 \h </w:instrText>
            </w:r>
            <w:r w:rsidR="00DE65AE">
              <w:rPr>
                <w:webHidden/>
              </w:rPr>
            </w:r>
            <w:r w:rsidR="00DE65AE">
              <w:rPr>
                <w:webHidden/>
              </w:rPr>
              <w:fldChar w:fldCharType="separate"/>
            </w:r>
            <w:r w:rsidR="00054ED4">
              <w:rPr>
                <w:webHidden/>
              </w:rPr>
              <w:t>198</w:t>
            </w:r>
            <w:r w:rsidR="00DE65AE">
              <w:rPr>
                <w:webHidden/>
              </w:rPr>
              <w:fldChar w:fldCharType="end"/>
            </w:r>
          </w:hyperlink>
        </w:p>
        <w:p w14:paraId="5D6E045E"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97" w:history="1">
            <w:r w:rsidR="00DE65AE" w:rsidRPr="003E51D2">
              <w:rPr>
                <w:rStyle w:val="Hyperlink"/>
              </w:rPr>
              <w:t>E3</w:t>
            </w:r>
            <w:r w:rsidR="00DE65AE">
              <w:rPr>
                <w:rFonts w:asciiTheme="minorHAnsi" w:eastAsiaTheme="minorEastAsia" w:hAnsiTheme="minorHAnsi" w:cstheme="minorBidi"/>
              </w:rPr>
              <w:tab/>
            </w:r>
            <w:r w:rsidR="00DE65AE" w:rsidRPr="003E51D2">
              <w:rPr>
                <w:rStyle w:val="Hyperlink"/>
              </w:rPr>
              <w:t>Financial Implications for the MBS</w:t>
            </w:r>
            <w:r w:rsidR="00DE65AE">
              <w:rPr>
                <w:webHidden/>
              </w:rPr>
              <w:tab/>
            </w:r>
            <w:r w:rsidR="00DE65AE">
              <w:rPr>
                <w:webHidden/>
              </w:rPr>
              <w:fldChar w:fldCharType="begin"/>
            </w:r>
            <w:r w:rsidR="00DE65AE">
              <w:rPr>
                <w:webHidden/>
              </w:rPr>
              <w:instrText xml:space="preserve"> PAGEREF _Toc451501397 \h </w:instrText>
            </w:r>
            <w:r w:rsidR="00DE65AE">
              <w:rPr>
                <w:webHidden/>
              </w:rPr>
            </w:r>
            <w:r w:rsidR="00DE65AE">
              <w:rPr>
                <w:webHidden/>
              </w:rPr>
              <w:fldChar w:fldCharType="separate"/>
            </w:r>
            <w:r w:rsidR="00054ED4">
              <w:rPr>
                <w:webHidden/>
              </w:rPr>
              <w:t>204</w:t>
            </w:r>
            <w:r w:rsidR="00DE65AE">
              <w:rPr>
                <w:webHidden/>
              </w:rPr>
              <w:fldChar w:fldCharType="end"/>
            </w:r>
          </w:hyperlink>
        </w:p>
        <w:p w14:paraId="60AA60C4"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98" w:history="1">
            <w:r w:rsidR="00DE65AE" w:rsidRPr="003E51D2">
              <w:rPr>
                <w:rStyle w:val="Hyperlink"/>
              </w:rPr>
              <w:t>E4</w:t>
            </w:r>
            <w:r w:rsidR="00DE65AE">
              <w:rPr>
                <w:rFonts w:asciiTheme="minorHAnsi" w:eastAsiaTheme="minorEastAsia" w:hAnsiTheme="minorHAnsi" w:cstheme="minorBidi"/>
              </w:rPr>
              <w:tab/>
            </w:r>
            <w:r w:rsidR="00DE65AE" w:rsidRPr="003E51D2">
              <w:rPr>
                <w:rStyle w:val="Hyperlink"/>
              </w:rPr>
              <w:t>Financial Implications for Government and other Health Budgets</w:t>
            </w:r>
            <w:r w:rsidR="00DE65AE">
              <w:rPr>
                <w:webHidden/>
              </w:rPr>
              <w:tab/>
            </w:r>
            <w:r w:rsidR="00DE65AE">
              <w:rPr>
                <w:webHidden/>
              </w:rPr>
              <w:fldChar w:fldCharType="begin"/>
            </w:r>
            <w:r w:rsidR="00DE65AE">
              <w:rPr>
                <w:webHidden/>
              </w:rPr>
              <w:instrText xml:space="preserve"> PAGEREF _Toc451501398 \h </w:instrText>
            </w:r>
            <w:r w:rsidR="00DE65AE">
              <w:rPr>
                <w:webHidden/>
              </w:rPr>
            </w:r>
            <w:r w:rsidR="00DE65AE">
              <w:rPr>
                <w:webHidden/>
              </w:rPr>
              <w:fldChar w:fldCharType="separate"/>
            </w:r>
            <w:r w:rsidR="00054ED4">
              <w:rPr>
                <w:webHidden/>
              </w:rPr>
              <w:t>204</w:t>
            </w:r>
            <w:r w:rsidR="00DE65AE">
              <w:rPr>
                <w:webHidden/>
              </w:rPr>
              <w:fldChar w:fldCharType="end"/>
            </w:r>
          </w:hyperlink>
        </w:p>
        <w:p w14:paraId="034F1826"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399" w:history="1">
            <w:r w:rsidR="00DE65AE" w:rsidRPr="003E51D2">
              <w:rPr>
                <w:rStyle w:val="Hyperlink"/>
              </w:rPr>
              <w:t>E5</w:t>
            </w:r>
            <w:r w:rsidR="00DE65AE">
              <w:rPr>
                <w:rFonts w:asciiTheme="minorHAnsi" w:eastAsiaTheme="minorEastAsia" w:hAnsiTheme="minorHAnsi" w:cstheme="minorBidi"/>
              </w:rPr>
              <w:tab/>
            </w:r>
            <w:r w:rsidR="00DE65AE" w:rsidRPr="003E51D2">
              <w:rPr>
                <w:rStyle w:val="Hyperlink"/>
              </w:rPr>
              <w:t>Identification, Estimation and Reduction of Uncertainty</w:t>
            </w:r>
            <w:r w:rsidR="00DE65AE">
              <w:rPr>
                <w:webHidden/>
              </w:rPr>
              <w:tab/>
            </w:r>
            <w:r w:rsidR="00DE65AE">
              <w:rPr>
                <w:webHidden/>
              </w:rPr>
              <w:fldChar w:fldCharType="begin"/>
            </w:r>
            <w:r w:rsidR="00DE65AE">
              <w:rPr>
                <w:webHidden/>
              </w:rPr>
              <w:instrText xml:space="preserve"> PAGEREF _Toc451501399 \h </w:instrText>
            </w:r>
            <w:r w:rsidR="00DE65AE">
              <w:rPr>
                <w:webHidden/>
              </w:rPr>
            </w:r>
            <w:r w:rsidR="00DE65AE">
              <w:rPr>
                <w:webHidden/>
              </w:rPr>
              <w:fldChar w:fldCharType="separate"/>
            </w:r>
            <w:r w:rsidR="00054ED4">
              <w:rPr>
                <w:webHidden/>
              </w:rPr>
              <w:t>206</w:t>
            </w:r>
            <w:r w:rsidR="00DE65AE">
              <w:rPr>
                <w:webHidden/>
              </w:rPr>
              <w:fldChar w:fldCharType="end"/>
            </w:r>
          </w:hyperlink>
        </w:p>
        <w:p w14:paraId="0C5E0E39"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00" w:history="1">
            <w:r w:rsidR="00DE65AE" w:rsidRPr="003E51D2">
              <w:rPr>
                <w:rStyle w:val="Hyperlink"/>
              </w:rPr>
              <w:t>Section F</w:t>
            </w:r>
            <w:r w:rsidR="00DE65AE">
              <w:rPr>
                <w:rFonts w:asciiTheme="minorHAnsi" w:eastAsiaTheme="minorEastAsia" w:hAnsiTheme="minorHAnsi" w:cstheme="minorBidi"/>
                <w:b w:val="0"/>
              </w:rPr>
              <w:tab/>
            </w:r>
            <w:r w:rsidR="00DE65AE" w:rsidRPr="003E51D2">
              <w:rPr>
                <w:rStyle w:val="Hyperlink"/>
              </w:rPr>
              <w:t>Other relevant considerations</w:t>
            </w:r>
            <w:r w:rsidR="00DE65AE">
              <w:rPr>
                <w:webHidden/>
              </w:rPr>
              <w:tab/>
            </w:r>
            <w:r w:rsidR="00DE65AE">
              <w:rPr>
                <w:webHidden/>
              </w:rPr>
              <w:fldChar w:fldCharType="begin"/>
            </w:r>
            <w:r w:rsidR="00DE65AE">
              <w:rPr>
                <w:webHidden/>
              </w:rPr>
              <w:instrText xml:space="preserve"> PAGEREF _Toc451501400 \h </w:instrText>
            </w:r>
            <w:r w:rsidR="00DE65AE">
              <w:rPr>
                <w:webHidden/>
              </w:rPr>
            </w:r>
            <w:r w:rsidR="00DE65AE">
              <w:rPr>
                <w:webHidden/>
              </w:rPr>
              <w:fldChar w:fldCharType="separate"/>
            </w:r>
            <w:r w:rsidR="00054ED4">
              <w:rPr>
                <w:webHidden/>
              </w:rPr>
              <w:t>207</w:t>
            </w:r>
            <w:r w:rsidR="00DE65AE">
              <w:rPr>
                <w:webHidden/>
              </w:rPr>
              <w:fldChar w:fldCharType="end"/>
            </w:r>
          </w:hyperlink>
        </w:p>
        <w:p w14:paraId="0F545ED4"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401" w:history="1">
            <w:r w:rsidR="00DE65AE" w:rsidRPr="003E51D2">
              <w:rPr>
                <w:rStyle w:val="Hyperlink"/>
              </w:rPr>
              <w:t xml:space="preserve">F1 </w:t>
            </w:r>
            <w:r w:rsidR="00DE65AE">
              <w:rPr>
                <w:rFonts w:asciiTheme="minorHAnsi" w:eastAsiaTheme="minorEastAsia" w:hAnsiTheme="minorHAnsi" w:cstheme="minorBidi"/>
              </w:rPr>
              <w:tab/>
            </w:r>
            <w:r w:rsidR="00DE65AE" w:rsidRPr="003E51D2">
              <w:rPr>
                <w:rStyle w:val="Hyperlink"/>
              </w:rPr>
              <w:t>Ethical considerations</w:t>
            </w:r>
            <w:r w:rsidR="00DE65AE">
              <w:rPr>
                <w:webHidden/>
              </w:rPr>
              <w:tab/>
            </w:r>
            <w:r w:rsidR="00DE65AE">
              <w:rPr>
                <w:webHidden/>
              </w:rPr>
              <w:fldChar w:fldCharType="begin"/>
            </w:r>
            <w:r w:rsidR="00DE65AE">
              <w:rPr>
                <w:webHidden/>
              </w:rPr>
              <w:instrText xml:space="preserve"> PAGEREF _Toc451501401 \h </w:instrText>
            </w:r>
            <w:r w:rsidR="00DE65AE">
              <w:rPr>
                <w:webHidden/>
              </w:rPr>
            </w:r>
            <w:r w:rsidR="00DE65AE">
              <w:rPr>
                <w:webHidden/>
              </w:rPr>
              <w:fldChar w:fldCharType="separate"/>
            </w:r>
            <w:r w:rsidR="00054ED4">
              <w:rPr>
                <w:webHidden/>
              </w:rPr>
              <w:t>207</w:t>
            </w:r>
            <w:r w:rsidR="00DE65AE">
              <w:rPr>
                <w:webHidden/>
              </w:rPr>
              <w:fldChar w:fldCharType="end"/>
            </w:r>
          </w:hyperlink>
        </w:p>
        <w:p w14:paraId="32C6A560" w14:textId="77777777" w:rsidR="00DE65AE" w:rsidRDefault="00CD4AC5" w:rsidP="004C79C1">
          <w:pPr>
            <w:pStyle w:val="TOC3"/>
            <w:spacing w:after="120" w:line="240" w:lineRule="auto"/>
            <w:rPr>
              <w:rFonts w:asciiTheme="minorHAnsi" w:eastAsiaTheme="minorEastAsia" w:hAnsiTheme="minorHAnsi" w:cstheme="minorBidi"/>
            </w:rPr>
          </w:pPr>
          <w:hyperlink w:anchor="_Toc451501402" w:history="1">
            <w:r w:rsidR="00DE65AE" w:rsidRPr="003E51D2">
              <w:rPr>
                <w:rStyle w:val="Hyperlink"/>
              </w:rPr>
              <w:t>Summary/Conclusion</w:t>
            </w:r>
            <w:r w:rsidR="00DE65AE">
              <w:rPr>
                <w:webHidden/>
              </w:rPr>
              <w:tab/>
            </w:r>
            <w:r w:rsidR="00DE65AE">
              <w:rPr>
                <w:webHidden/>
              </w:rPr>
              <w:fldChar w:fldCharType="begin"/>
            </w:r>
            <w:r w:rsidR="00DE65AE">
              <w:rPr>
                <w:webHidden/>
              </w:rPr>
              <w:instrText xml:space="preserve"> PAGEREF _Toc451501402 \h </w:instrText>
            </w:r>
            <w:r w:rsidR="00DE65AE">
              <w:rPr>
                <w:webHidden/>
              </w:rPr>
            </w:r>
            <w:r w:rsidR="00DE65AE">
              <w:rPr>
                <w:webHidden/>
              </w:rPr>
              <w:fldChar w:fldCharType="separate"/>
            </w:r>
            <w:r w:rsidR="00054ED4">
              <w:rPr>
                <w:webHidden/>
              </w:rPr>
              <w:t>209</w:t>
            </w:r>
            <w:r w:rsidR="00DE65AE">
              <w:rPr>
                <w:webHidden/>
              </w:rPr>
              <w:fldChar w:fldCharType="end"/>
            </w:r>
          </w:hyperlink>
        </w:p>
        <w:p w14:paraId="09C33194" w14:textId="77777777" w:rsidR="00DE65AE" w:rsidRDefault="00CD4AC5" w:rsidP="004C79C1">
          <w:pPr>
            <w:pStyle w:val="TOC2"/>
            <w:tabs>
              <w:tab w:val="left" w:pos="1418"/>
            </w:tabs>
            <w:spacing w:after="120" w:line="240" w:lineRule="auto"/>
            <w:rPr>
              <w:rFonts w:asciiTheme="minorHAnsi" w:eastAsiaTheme="minorEastAsia" w:hAnsiTheme="minorHAnsi" w:cstheme="minorBidi"/>
            </w:rPr>
          </w:pPr>
          <w:hyperlink w:anchor="_Toc451501403" w:history="1">
            <w:r w:rsidR="00DE65AE" w:rsidRPr="003E51D2">
              <w:rPr>
                <w:rStyle w:val="Hyperlink"/>
              </w:rPr>
              <w:t xml:space="preserve">F2 </w:t>
            </w:r>
            <w:r w:rsidR="00DE65AE">
              <w:rPr>
                <w:rFonts w:asciiTheme="minorHAnsi" w:eastAsiaTheme="minorEastAsia" w:hAnsiTheme="minorHAnsi" w:cstheme="minorBidi"/>
              </w:rPr>
              <w:tab/>
            </w:r>
            <w:r w:rsidR="00DE65AE" w:rsidRPr="003E51D2">
              <w:rPr>
                <w:rStyle w:val="Hyperlink"/>
              </w:rPr>
              <w:t>Measurement of LVEF by echocardiography Compared with CMR</w:t>
            </w:r>
            <w:r w:rsidR="00DE65AE">
              <w:rPr>
                <w:webHidden/>
              </w:rPr>
              <w:tab/>
            </w:r>
            <w:r w:rsidR="00DE65AE">
              <w:rPr>
                <w:webHidden/>
              </w:rPr>
              <w:fldChar w:fldCharType="begin"/>
            </w:r>
            <w:r w:rsidR="00DE65AE">
              <w:rPr>
                <w:webHidden/>
              </w:rPr>
              <w:instrText xml:space="preserve"> PAGEREF _Toc451501403 \h </w:instrText>
            </w:r>
            <w:r w:rsidR="00DE65AE">
              <w:rPr>
                <w:webHidden/>
              </w:rPr>
            </w:r>
            <w:r w:rsidR="00DE65AE">
              <w:rPr>
                <w:webHidden/>
              </w:rPr>
              <w:fldChar w:fldCharType="separate"/>
            </w:r>
            <w:r w:rsidR="00054ED4">
              <w:rPr>
                <w:webHidden/>
              </w:rPr>
              <w:t>209</w:t>
            </w:r>
            <w:r w:rsidR="00DE65AE">
              <w:rPr>
                <w:webHidden/>
              </w:rPr>
              <w:fldChar w:fldCharType="end"/>
            </w:r>
          </w:hyperlink>
        </w:p>
        <w:p w14:paraId="2051A07F"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04" w:history="1">
            <w:r w:rsidR="00DE65AE" w:rsidRPr="003E51D2">
              <w:rPr>
                <w:rStyle w:val="Hyperlink"/>
              </w:rPr>
              <w:t>Appendix A</w:t>
            </w:r>
            <w:r w:rsidR="00DE65AE">
              <w:rPr>
                <w:rFonts w:asciiTheme="minorHAnsi" w:eastAsiaTheme="minorEastAsia" w:hAnsiTheme="minorHAnsi" w:cstheme="minorBidi"/>
                <w:b w:val="0"/>
              </w:rPr>
              <w:tab/>
            </w:r>
            <w:r w:rsidR="00DE65AE" w:rsidRPr="003E51D2">
              <w:rPr>
                <w:rStyle w:val="Hyperlink"/>
              </w:rPr>
              <w:t>Clinical Experts and Assessment Group</w:t>
            </w:r>
            <w:r w:rsidR="00DE65AE">
              <w:rPr>
                <w:webHidden/>
              </w:rPr>
              <w:tab/>
            </w:r>
            <w:r w:rsidR="00DE65AE">
              <w:rPr>
                <w:webHidden/>
              </w:rPr>
              <w:fldChar w:fldCharType="begin"/>
            </w:r>
            <w:r w:rsidR="00DE65AE">
              <w:rPr>
                <w:webHidden/>
              </w:rPr>
              <w:instrText xml:space="preserve"> PAGEREF _Toc451501404 \h </w:instrText>
            </w:r>
            <w:r w:rsidR="00DE65AE">
              <w:rPr>
                <w:webHidden/>
              </w:rPr>
            </w:r>
            <w:r w:rsidR="00DE65AE">
              <w:rPr>
                <w:webHidden/>
              </w:rPr>
              <w:fldChar w:fldCharType="separate"/>
            </w:r>
            <w:r w:rsidR="00054ED4">
              <w:rPr>
                <w:webHidden/>
              </w:rPr>
              <w:t>212</w:t>
            </w:r>
            <w:r w:rsidR="00DE65AE">
              <w:rPr>
                <w:webHidden/>
              </w:rPr>
              <w:fldChar w:fldCharType="end"/>
            </w:r>
          </w:hyperlink>
        </w:p>
        <w:p w14:paraId="7686D9EC" w14:textId="77777777" w:rsidR="00DE65AE" w:rsidRDefault="00CD4AC5" w:rsidP="004C79C1">
          <w:pPr>
            <w:pStyle w:val="TOC2"/>
            <w:spacing w:after="120" w:line="240" w:lineRule="auto"/>
            <w:rPr>
              <w:rFonts w:asciiTheme="minorHAnsi" w:eastAsiaTheme="minorEastAsia" w:hAnsiTheme="minorHAnsi" w:cstheme="minorBidi"/>
            </w:rPr>
          </w:pPr>
          <w:hyperlink w:anchor="_Toc451501405" w:history="1">
            <w:r w:rsidR="00DE65AE" w:rsidRPr="003E51D2">
              <w:rPr>
                <w:rStyle w:val="Hyperlink"/>
              </w:rPr>
              <w:t>Clinical Experts</w:t>
            </w:r>
            <w:r w:rsidR="00DE65AE">
              <w:rPr>
                <w:webHidden/>
              </w:rPr>
              <w:tab/>
            </w:r>
            <w:r w:rsidR="00DE65AE">
              <w:rPr>
                <w:webHidden/>
              </w:rPr>
              <w:fldChar w:fldCharType="begin"/>
            </w:r>
            <w:r w:rsidR="00DE65AE">
              <w:rPr>
                <w:webHidden/>
              </w:rPr>
              <w:instrText xml:space="preserve"> PAGEREF _Toc451501405 \h </w:instrText>
            </w:r>
            <w:r w:rsidR="00DE65AE">
              <w:rPr>
                <w:webHidden/>
              </w:rPr>
            </w:r>
            <w:r w:rsidR="00DE65AE">
              <w:rPr>
                <w:webHidden/>
              </w:rPr>
              <w:fldChar w:fldCharType="separate"/>
            </w:r>
            <w:r w:rsidR="00054ED4">
              <w:rPr>
                <w:webHidden/>
              </w:rPr>
              <w:t>212</w:t>
            </w:r>
            <w:r w:rsidR="00DE65AE">
              <w:rPr>
                <w:webHidden/>
              </w:rPr>
              <w:fldChar w:fldCharType="end"/>
            </w:r>
          </w:hyperlink>
        </w:p>
        <w:p w14:paraId="2E633A9E" w14:textId="77777777" w:rsidR="00DE65AE" w:rsidRDefault="00CD4AC5" w:rsidP="004C79C1">
          <w:pPr>
            <w:pStyle w:val="TOC2"/>
            <w:spacing w:after="120" w:line="240" w:lineRule="auto"/>
            <w:rPr>
              <w:rFonts w:asciiTheme="minorHAnsi" w:eastAsiaTheme="minorEastAsia" w:hAnsiTheme="minorHAnsi" w:cstheme="minorBidi"/>
            </w:rPr>
          </w:pPr>
          <w:hyperlink w:anchor="_Toc451501406" w:history="1">
            <w:r w:rsidR="00DE65AE" w:rsidRPr="003E51D2">
              <w:rPr>
                <w:rStyle w:val="Hyperlink"/>
              </w:rPr>
              <w:t>Assessment Group</w:t>
            </w:r>
            <w:r w:rsidR="00DE65AE">
              <w:rPr>
                <w:webHidden/>
              </w:rPr>
              <w:tab/>
            </w:r>
            <w:r w:rsidR="00DE65AE">
              <w:rPr>
                <w:webHidden/>
              </w:rPr>
              <w:fldChar w:fldCharType="begin"/>
            </w:r>
            <w:r w:rsidR="00DE65AE">
              <w:rPr>
                <w:webHidden/>
              </w:rPr>
              <w:instrText xml:space="preserve"> PAGEREF _Toc451501406 \h </w:instrText>
            </w:r>
            <w:r w:rsidR="00DE65AE">
              <w:rPr>
                <w:webHidden/>
              </w:rPr>
            </w:r>
            <w:r w:rsidR="00DE65AE">
              <w:rPr>
                <w:webHidden/>
              </w:rPr>
              <w:fldChar w:fldCharType="separate"/>
            </w:r>
            <w:r w:rsidR="00054ED4">
              <w:rPr>
                <w:webHidden/>
              </w:rPr>
              <w:t>212</w:t>
            </w:r>
            <w:r w:rsidR="00DE65AE">
              <w:rPr>
                <w:webHidden/>
              </w:rPr>
              <w:fldChar w:fldCharType="end"/>
            </w:r>
          </w:hyperlink>
        </w:p>
        <w:p w14:paraId="2FCC95A4" w14:textId="77777777" w:rsidR="00DE65AE" w:rsidRDefault="00CD4AC5" w:rsidP="004C79C1">
          <w:pPr>
            <w:pStyle w:val="TOC2"/>
            <w:spacing w:after="120" w:line="240" w:lineRule="auto"/>
            <w:rPr>
              <w:rFonts w:asciiTheme="minorHAnsi" w:eastAsiaTheme="minorEastAsia" w:hAnsiTheme="minorHAnsi" w:cstheme="minorBidi"/>
            </w:rPr>
          </w:pPr>
          <w:hyperlink w:anchor="_Toc451501407" w:history="1">
            <w:r w:rsidR="00DE65AE" w:rsidRPr="003E51D2">
              <w:rPr>
                <w:rStyle w:val="Hyperlink"/>
              </w:rPr>
              <w:t>Noted Conflicts of Interest</w:t>
            </w:r>
            <w:r w:rsidR="00DE65AE">
              <w:rPr>
                <w:webHidden/>
              </w:rPr>
              <w:tab/>
            </w:r>
            <w:r w:rsidR="00DE65AE">
              <w:rPr>
                <w:webHidden/>
              </w:rPr>
              <w:fldChar w:fldCharType="begin"/>
            </w:r>
            <w:r w:rsidR="00DE65AE">
              <w:rPr>
                <w:webHidden/>
              </w:rPr>
              <w:instrText xml:space="preserve"> PAGEREF _Toc451501407 \h </w:instrText>
            </w:r>
            <w:r w:rsidR="00DE65AE">
              <w:rPr>
                <w:webHidden/>
              </w:rPr>
            </w:r>
            <w:r w:rsidR="00DE65AE">
              <w:rPr>
                <w:webHidden/>
              </w:rPr>
              <w:fldChar w:fldCharType="separate"/>
            </w:r>
            <w:r w:rsidR="00054ED4">
              <w:rPr>
                <w:webHidden/>
              </w:rPr>
              <w:t>213</w:t>
            </w:r>
            <w:r w:rsidR="00DE65AE">
              <w:rPr>
                <w:webHidden/>
              </w:rPr>
              <w:fldChar w:fldCharType="end"/>
            </w:r>
          </w:hyperlink>
        </w:p>
        <w:p w14:paraId="5695910A"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08" w:history="1">
            <w:r w:rsidR="00DE65AE" w:rsidRPr="003E51D2">
              <w:rPr>
                <w:rStyle w:val="Hyperlink"/>
              </w:rPr>
              <w:t>Appendix B</w:t>
            </w:r>
            <w:r w:rsidR="00DE65AE">
              <w:rPr>
                <w:rFonts w:asciiTheme="minorHAnsi" w:eastAsiaTheme="minorEastAsia" w:hAnsiTheme="minorHAnsi" w:cstheme="minorBidi"/>
                <w:b w:val="0"/>
              </w:rPr>
              <w:tab/>
            </w:r>
            <w:r w:rsidR="00DE65AE" w:rsidRPr="003E51D2">
              <w:rPr>
                <w:rStyle w:val="Hyperlink"/>
              </w:rPr>
              <w:t>Search Strategies</w:t>
            </w:r>
            <w:r w:rsidR="00DE65AE">
              <w:rPr>
                <w:webHidden/>
              </w:rPr>
              <w:tab/>
            </w:r>
            <w:r w:rsidR="00DE65AE">
              <w:rPr>
                <w:webHidden/>
              </w:rPr>
              <w:fldChar w:fldCharType="begin"/>
            </w:r>
            <w:r w:rsidR="00DE65AE">
              <w:rPr>
                <w:webHidden/>
              </w:rPr>
              <w:instrText xml:space="preserve"> PAGEREF _Toc451501408 \h </w:instrText>
            </w:r>
            <w:r w:rsidR="00DE65AE">
              <w:rPr>
                <w:webHidden/>
              </w:rPr>
            </w:r>
            <w:r w:rsidR="00DE65AE">
              <w:rPr>
                <w:webHidden/>
              </w:rPr>
              <w:fldChar w:fldCharType="separate"/>
            </w:r>
            <w:r w:rsidR="00054ED4">
              <w:rPr>
                <w:webHidden/>
              </w:rPr>
              <w:t>214</w:t>
            </w:r>
            <w:r w:rsidR="00DE65AE">
              <w:rPr>
                <w:webHidden/>
              </w:rPr>
              <w:fldChar w:fldCharType="end"/>
            </w:r>
          </w:hyperlink>
        </w:p>
        <w:p w14:paraId="42EA0C04" w14:textId="77777777" w:rsidR="00DE65AE" w:rsidRDefault="00CD4AC5" w:rsidP="004C79C1">
          <w:pPr>
            <w:pStyle w:val="TOC2"/>
            <w:spacing w:after="120" w:line="240" w:lineRule="auto"/>
            <w:rPr>
              <w:rFonts w:asciiTheme="minorHAnsi" w:eastAsiaTheme="minorEastAsia" w:hAnsiTheme="minorHAnsi" w:cstheme="minorBidi"/>
            </w:rPr>
          </w:pPr>
          <w:hyperlink w:anchor="_Toc451501409" w:history="1">
            <w:r w:rsidR="00DE65AE" w:rsidRPr="003E51D2">
              <w:rPr>
                <w:rStyle w:val="Hyperlink"/>
              </w:rPr>
              <w:t>Bibliographic Databases for General Literature Search (Section B, Table 7)</w:t>
            </w:r>
            <w:r w:rsidR="00DE65AE">
              <w:rPr>
                <w:webHidden/>
              </w:rPr>
              <w:tab/>
            </w:r>
            <w:r w:rsidR="00DE65AE">
              <w:rPr>
                <w:webHidden/>
              </w:rPr>
              <w:fldChar w:fldCharType="begin"/>
            </w:r>
            <w:r w:rsidR="00DE65AE">
              <w:rPr>
                <w:webHidden/>
              </w:rPr>
              <w:instrText xml:space="preserve"> PAGEREF _Toc451501409 \h </w:instrText>
            </w:r>
            <w:r w:rsidR="00DE65AE">
              <w:rPr>
                <w:webHidden/>
              </w:rPr>
            </w:r>
            <w:r w:rsidR="00DE65AE">
              <w:rPr>
                <w:webHidden/>
              </w:rPr>
              <w:fldChar w:fldCharType="separate"/>
            </w:r>
            <w:r w:rsidR="00054ED4">
              <w:rPr>
                <w:webHidden/>
              </w:rPr>
              <w:t>214</w:t>
            </w:r>
            <w:r w:rsidR="00DE65AE">
              <w:rPr>
                <w:webHidden/>
              </w:rPr>
              <w:fldChar w:fldCharType="end"/>
            </w:r>
          </w:hyperlink>
        </w:p>
        <w:p w14:paraId="27DBD810" w14:textId="77777777" w:rsidR="00DE65AE" w:rsidRDefault="00CD4AC5" w:rsidP="004C79C1">
          <w:pPr>
            <w:pStyle w:val="TOC2"/>
            <w:spacing w:after="120" w:line="240" w:lineRule="auto"/>
            <w:rPr>
              <w:rFonts w:asciiTheme="minorHAnsi" w:eastAsiaTheme="minorEastAsia" w:hAnsiTheme="minorHAnsi" w:cstheme="minorBidi"/>
            </w:rPr>
          </w:pPr>
          <w:hyperlink w:anchor="_Toc451501410" w:history="1">
            <w:r w:rsidR="00DE65AE" w:rsidRPr="003E51D2">
              <w:rPr>
                <w:rStyle w:val="Hyperlink"/>
              </w:rPr>
              <w:t>Additional Sources of Literature (including Websites)</w:t>
            </w:r>
            <w:r w:rsidR="00DE65AE">
              <w:rPr>
                <w:webHidden/>
              </w:rPr>
              <w:tab/>
            </w:r>
            <w:r w:rsidR="00DE65AE">
              <w:rPr>
                <w:webHidden/>
              </w:rPr>
              <w:fldChar w:fldCharType="begin"/>
            </w:r>
            <w:r w:rsidR="00DE65AE">
              <w:rPr>
                <w:webHidden/>
              </w:rPr>
              <w:instrText xml:space="preserve"> PAGEREF _Toc451501410 \h </w:instrText>
            </w:r>
            <w:r w:rsidR="00DE65AE">
              <w:rPr>
                <w:webHidden/>
              </w:rPr>
            </w:r>
            <w:r w:rsidR="00DE65AE">
              <w:rPr>
                <w:webHidden/>
              </w:rPr>
              <w:fldChar w:fldCharType="separate"/>
            </w:r>
            <w:r w:rsidR="00054ED4">
              <w:rPr>
                <w:webHidden/>
              </w:rPr>
              <w:t>214</w:t>
            </w:r>
            <w:r w:rsidR="00DE65AE">
              <w:rPr>
                <w:webHidden/>
              </w:rPr>
              <w:fldChar w:fldCharType="end"/>
            </w:r>
          </w:hyperlink>
        </w:p>
        <w:p w14:paraId="37FC92CA" w14:textId="77777777" w:rsidR="00DE65AE" w:rsidRDefault="00CD4AC5" w:rsidP="004C79C1">
          <w:pPr>
            <w:pStyle w:val="TOC2"/>
            <w:spacing w:after="120" w:line="240" w:lineRule="auto"/>
            <w:rPr>
              <w:rFonts w:asciiTheme="minorHAnsi" w:eastAsiaTheme="minorEastAsia" w:hAnsiTheme="minorHAnsi" w:cstheme="minorBidi"/>
            </w:rPr>
          </w:pPr>
          <w:hyperlink w:anchor="_Toc451501411" w:history="1">
            <w:r w:rsidR="00DE65AE" w:rsidRPr="003E51D2">
              <w:rPr>
                <w:rStyle w:val="Hyperlink"/>
              </w:rPr>
              <w:t>Specialty Websites</w:t>
            </w:r>
            <w:r w:rsidR="00DE65AE">
              <w:rPr>
                <w:webHidden/>
              </w:rPr>
              <w:tab/>
            </w:r>
            <w:r w:rsidR="00DE65AE">
              <w:rPr>
                <w:webHidden/>
              </w:rPr>
              <w:fldChar w:fldCharType="begin"/>
            </w:r>
            <w:r w:rsidR="00DE65AE">
              <w:rPr>
                <w:webHidden/>
              </w:rPr>
              <w:instrText xml:space="preserve"> PAGEREF _Toc451501411 \h </w:instrText>
            </w:r>
            <w:r w:rsidR="00DE65AE">
              <w:rPr>
                <w:webHidden/>
              </w:rPr>
            </w:r>
            <w:r w:rsidR="00DE65AE">
              <w:rPr>
                <w:webHidden/>
              </w:rPr>
              <w:fldChar w:fldCharType="separate"/>
            </w:r>
            <w:r w:rsidR="00054ED4">
              <w:rPr>
                <w:webHidden/>
              </w:rPr>
              <w:t>214</w:t>
            </w:r>
            <w:r w:rsidR="00DE65AE">
              <w:rPr>
                <w:webHidden/>
              </w:rPr>
              <w:fldChar w:fldCharType="end"/>
            </w:r>
          </w:hyperlink>
        </w:p>
        <w:p w14:paraId="6F9812F7"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12" w:history="1">
            <w:r w:rsidR="00DE65AE" w:rsidRPr="003E51D2">
              <w:rPr>
                <w:rStyle w:val="Hyperlink"/>
              </w:rPr>
              <w:t>Appendix C</w:t>
            </w:r>
            <w:r w:rsidR="00DE65AE">
              <w:rPr>
                <w:rFonts w:asciiTheme="minorHAnsi" w:eastAsiaTheme="minorEastAsia" w:hAnsiTheme="minorHAnsi" w:cstheme="minorBidi"/>
                <w:b w:val="0"/>
              </w:rPr>
              <w:tab/>
            </w:r>
            <w:r w:rsidR="00DE65AE" w:rsidRPr="003E51D2">
              <w:rPr>
                <w:rStyle w:val="Hyperlink"/>
              </w:rPr>
              <w:t>Studies Included in the Systematic Review</w:t>
            </w:r>
            <w:r w:rsidR="00DE65AE">
              <w:rPr>
                <w:webHidden/>
              </w:rPr>
              <w:tab/>
            </w:r>
            <w:r w:rsidR="00DE65AE">
              <w:rPr>
                <w:webHidden/>
              </w:rPr>
              <w:fldChar w:fldCharType="begin"/>
            </w:r>
            <w:r w:rsidR="00DE65AE">
              <w:rPr>
                <w:webHidden/>
              </w:rPr>
              <w:instrText xml:space="preserve"> PAGEREF _Toc451501412 \h </w:instrText>
            </w:r>
            <w:r w:rsidR="00DE65AE">
              <w:rPr>
                <w:webHidden/>
              </w:rPr>
            </w:r>
            <w:r w:rsidR="00DE65AE">
              <w:rPr>
                <w:webHidden/>
              </w:rPr>
              <w:fldChar w:fldCharType="separate"/>
            </w:r>
            <w:r w:rsidR="00054ED4">
              <w:rPr>
                <w:webHidden/>
              </w:rPr>
              <w:t>215</w:t>
            </w:r>
            <w:r w:rsidR="00DE65AE">
              <w:rPr>
                <w:webHidden/>
              </w:rPr>
              <w:fldChar w:fldCharType="end"/>
            </w:r>
          </w:hyperlink>
        </w:p>
        <w:p w14:paraId="381C87CA"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13" w:history="1">
            <w:r w:rsidR="00DE65AE" w:rsidRPr="003E51D2">
              <w:rPr>
                <w:rStyle w:val="Hyperlink"/>
              </w:rPr>
              <w:t>Appendix D</w:t>
            </w:r>
            <w:r w:rsidR="00DE65AE">
              <w:rPr>
                <w:rFonts w:asciiTheme="minorHAnsi" w:eastAsiaTheme="minorEastAsia" w:hAnsiTheme="minorHAnsi" w:cstheme="minorBidi"/>
                <w:b w:val="0"/>
              </w:rPr>
              <w:tab/>
            </w:r>
            <w:r w:rsidR="00DE65AE" w:rsidRPr="003E51D2">
              <w:rPr>
                <w:rStyle w:val="Hyperlink"/>
              </w:rPr>
              <w:t>Evidence Profile Tables</w:t>
            </w:r>
            <w:r w:rsidR="00DE65AE">
              <w:rPr>
                <w:webHidden/>
              </w:rPr>
              <w:tab/>
            </w:r>
            <w:r w:rsidR="00DE65AE">
              <w:rPr>
                <w:webHidden/>
              </w:rPr>
              <w:fldChar w:fldCharType="begin"/>
            </w:r>
            <w:r w:rsidR="00DE65AE">
              <w:rPr>
                <w:webHidden/>
              </w:rPr>
              <w:instrText xml:space="preserve"> PAGEREF _Toc451501413 \h </w:instrText>
            </w:r>
            <w:r w:rsidR="00DE65AE">
              <w:rPr>
                <w:webHidden/>
              </w:rPr>
            </w:r>
            <w:r w:rsidR="00DE65AE">
              <w:rPr>
                <w:webHidden/>
              </w:rPr>
              <w:fldChar w:fldCharType="separate"/>
            </w:r>
            <w:r w:rsidR="00054ED4">
              <w:rPr>
                <w:webHidden/>
              </w:rPr>
              <w:t>265</w:t>
            </w:r>
            <w:r w:rsidR="00DE65AE">
              <w:rPr>
                <w:webHidden/>
              </w:rPr>
              <w:fldChar w:fldCharType="end"/>
            </w:r>
          </w:hyperlink>
        </w:p>
        <w:p w14:paraId="3992262D"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14" w:history="1">
            <w:r w:rsidR="00DE65AE" w:rsidRPr="003E51D2">
              <w:rPr>
                <w:rStyle w:val="Hyperlink"/>
              </w:rPr>
              <w:t>Appendix E</w:t>
            </w:r>
            <w:r w:rsidR="00DE65AE">
              <w:rPr>
                <w:rFonts w:asciiTheme="minorHAnsi" w:eastAsiaTheme="minorEastAsia" w:hAnsiTheme="minorHAnsi" w:cstheme="minorBidi"/>
                <w:b w:val="0"/>
              </w:rPr>
              <w:tab/>
            </w:r>
            <w:r w:rsidR="00DE65AE" w:rsidRPr="003E51D2">
              <w:rPr>
                <w:rStyle w:val="Hyperlink"/>
              </w:rPr>
              <w:t>Excluded Studies</w:t>
            </w:r>
            <w:r w:rsidR="00DE65AE">
              <w:rPr>
                <w:webHidden/>
              </w:rPr>
              <w:tab/>
            </w:r>
            <w:r w:rsidR="00DE65AE">
              <w:rPr>
                <w:webHidden/>
              </w:rPr>
              <w:fldChar w:fldCharType="begin"/>
            </w:r>
            <w:r w:rsidR="00DE65AE">
              <w:rPr>
                <w:webHidden/>
              </w:rPr>
              <w:instrText xml:space="preserve"> PAGEREF _Toc451501414 \h </w:instrText>
            </w:r>
            <w:r w:rsidR="00DE65AE">
              <w:rPr>
                <w:webHidden/>
              </w:rPr>
            </w:r>
            <w:r w:rsidR="00DE65AE">
              <w:rPr>
                <w:webHidden/>
              </w:rPr>
              <w:fldChar w:fldCharType="separate"/>
            </w:r>
            <w:r w:rsidR="00054ED4">
              <w:rPr>
                <w:webHidden/>
              </w:rPr>
              <w:t>275</w:t>
            </w:r>
            <w:r w:rsidR="00DE65AE">
              <w:rPr>
                <w:webHidden/>
              </w:rPr>
              <w:fldChar w:fldCharType="end"/>
            </w:r>
          </w:hyperlink>
        </w:p>
        <w:p w14:paraId="36CF655D" w14:textId="77777777" w:rsidR="00DE65AE" w:rsidRDefault="00CD4AC5" w:rsidP="004C79C1">
          <w:pPr>
            <w:pStyle w:val="TOC2"/>
            <w:spacing w:after="120" w:line="240" w:lineRule="auto"/>
            <w:rPr>
              <w:rFonts w:asciiTheme="minorHAnsi" w:eastAsiaTheme="minorEastAsia" w:hAnsiTheme="minorHAnsi" w:cstheme="minorBidi"/>
            </w:rPr>
          </w:pPr>
          <w:hyperlink w:anchor="_Toc451501415" w:history="1">
            <w:r w:rsidR="00DE65AE" w:rsidRPr="003E51D2">
              <w:rPr>
                <w:rStyle w:val="Hyperlink"/>
                <w:snapToGrid w:val="0"/>
              </w:rPr>
              <w:t>Diagnostic Performance</w:t>
            </w:r>
            <w:r w:rsidR="00DE65AE">
              <w:rPr>
                <w:webHidden/>
              </w:rPr>
              <w:tab/>
            </w:r>
            <w:r w:rsidR="00DE65AE">
              <w:rPr>
                <w:webHidden/>
              </w:rPr>
              <w:fldChar w:fldCharType="begin"/>
            </w:r>
            <w:r w:rsidR="00DE65AE">
              <w:rPr>
                <w:webHidden/>
              </w:rPr>
              <w:instrText xml:space="preserve"> PAGEREF _Toc451501415 \h </w:instrText>
            </w:r>
            <w:r w:rsidR="00DE65AE">
              <w:rPr>
                <w:webHidden/>
              </w:rPr>
            </w:r>
            <w:r w:rsidR="00DE65AE">
              <w:rPr>
                <w:webHidden/>
              </w:rPr>
              <w:fldChar w:fldCharType="separate"/>
            </w:r>
            <w:r w:rsidR="00054ED4">
              <w:rPr>
                <w:webHidden/>
              </w:rPr>
              <w:t>275</w:t>
            </w:r>
            <w:r w:rsidR="00DE65AE">
              <w:rPr>
                <w:webHidden/>
              </w:rPr>
              <w:fldChar w:fldCharType="end"/>
            </w:r>
          </w:hyperlink>
        </w:p>
        <w:p w14:paraId="4D707288" w14:textId="77777777" w:rsidR="00DE65AE" w:rsidRDefault="00CD4AC5" w:rsidP="004C79C1">
          <w:pPr>
            <w:pStyle w:val="TOC3"/>
            <w:spacing w:after="120" w:line="240" w:lineRule="auto"/>
            <w:rPr>
              <w:rFonts w:asciiTheme="minorHAnsi" w:eastAsiaTheme="minorEastAsia" w:hAnsiTheme="minorHAnsi" w:cstheme="minorBidi"/>
            </w:rPr>
          </w:pPr>
          <w:hyperlink w:anchor="_Toc451501416" w:history="1">
            <w:r w:rsidR="00DE65AE" w:rsidRPr="003E51D2">
              <w:rPr>
                <w:rStyle w:val="Hyperlink"/>
                <w:snapToGrid w:val="0"/>
              </w:rPr>
              <w:t>Could not locate full text article</w:t>
            </w:r>
            <w:r w:rsidR="00DE65AE">
              <w:rPr>
                <w:webHidden/>
              </w:rPr>
              <w:tab/>
            </w:r>
            <w:r w:rsidR="00DE65AE">
              <w:rPr>
                <w:webHidden/>
              </w:rPr>
              <w:fldChar w:fldCharType="begin"/>
            </w:r>
            <w:r w:rsidR="00DE65AE">
              <w:rPr>
                <w:webHidden/>
              </w:rPr>
              <w:instrText xml:space="preserve"> PAGEREF _Toc451501416 \h </w:instrText>
            </w:r>
            <w:r w:rsidR="00DE65AE">
              <w:rPr>
                <w:webHidden/>
              </w:rPr>
            </w:r>
            <w:r w:rsidR="00DE65AE">
              <w:rPr>
                <w:webHidden/>
              </w:rPr>
              <w:fldChar w:fldCharType="separate"/>
            </w:r>
            <w:r w:rsidR="00054ED4">
              <w:rPr>
                <w:webHidden/>
              </w:rPr>
              <w:t>275</w:t>
            </w:r>
            <w:r w:rsidR="00DE65AE">
              <w:rPr>
                <w:webHidden/>
              </w:rPr>
              <w:fldChar w:fldCharType="end"/>
            </w:r>
          </w:hyperlink>
        </w:p>
        <w:p w14:paraId="6DE6ABC3" w14:textId="77777777" w:rsidR="00DE65AE" w:rsidRDefault="00CD4AC5" w:rsidP="004C79C1">
          <w:pPr>
            <w:pStyle w:val="TOC3"/>
            <w:spacing w:after="120" w:line="240" w:lineRule="auto"/>
            <w:rPr>
              <w:rFonts w:asciiTheme="minorHAnsi" w:eastAsiaTheme="minorEastAsia" w:hAnsiTheme="minorHAnsi" w:cstheme="minorBidi"/>
            </w:rPr>
          </w:pPr>
          <w:hyperlink w:anchor="_Toc451501417" w:history="1">
            <w:r w:rsidR="00DE65AE" w:rsidRPr="003E51D2">
              <w:rPr>
                <w:rStyle w:val="Hyperlink"/>
                <w:snapToGrid w:val="0"/>
              </w:rPr>
              <w:t>Different language</w:t>
            </w:r>
            <w:r w:rsidR="00DE65AE">
              <w:rPr>
                <w:webHidden/>
              </w:rPr>
              <w:tab/>
            </w:r>
            <w:r w:rsidR="00DE65AE">
              <w:rPr>
                <w:webHidden/>
              </w:rPr>
              <w:fldChar w:fldCharType="begin"/>
            </w:r>
            <w:r w:rsidR="00DE65AE">
              <w:rPr>
                <w:webHidden/>
              </w:rPr>
              <w:instrText xml:space="preserve"> PAGEREF _Toc451501417 \h </w:instrText>
            </w:r>
            <w:r w:rsidR="00DE65AE">
              <w:rPr>
                <w:webHidden/>
              </w:rPr>
            </w:r>
            <w:r w:rsidR="00DE65AE">
              <w:rPr>
                <w:webHidden/>
              </w:rPr>
              <w:fldChar w:fldCharType="separate"/>
            </w:r>
            <w:r w:rsidR="00054ED4">
              <w:rPr>
                <w:webHidden/>
              </w:rPr>
              <w:t>275</w:t>
            </w:r>
            <w:r w:rsidR="00DE65AE">
              <w:rPr>
                <w:webHidden/>
              </w:rPr>
              <w:fldChar w:fldCharType="end"/>
            </w:r>
          </w:hyperlink>
        </w:p>
        <w:p w14:paraId="4558484F" w14:textId="77777777" w:rsidR="00DE65AE" w:rsidRDefault="00CD4AC5" w:rsidP="004C79C1">
          <w:pPr>
            <w:pStyle w:val="TOC3"/>
            <w:spacing w:after="120" w:line="240" w:lineRule="auto"/>
            <w:rPr>
              <w:rFonts w:asciiTheme="minorHAnsi" w:eastAsiaTheme="minorEastAsia" w:hAnsiTheme="minorHAnsi" w:cstheme="minorBidi"/>
            </w:rPr>
          </w:pPr>
          <w:hyperlink w:anchor="_Toc451501418" w:history="1">
            <w:r w:rsidR="00DE65AE" w:rsidRPr="003E51D2">
              <w:rPr>
                <w:rStyle w:val="Hyperlink"/>
              </w:rPr>
              <w:t>Conference abstracts</w:t>
            </w:r>
            <w:r w:rsidR="00DE65AE">
              <w:rPr>
                <w:webHidden/>
              </w:rPr>
              <w:tab/>
            </w:r>
            <w:r w:rsidR="00DE65AE">
              <w:rPr>
                <w:webHidden/>
              </w:rPr>
              <w:fldChar w:fldCharType="begin"/>
            </w:r>
            <w:r w:rsidR="00DE65AE">
              <w:rPr>
                <w:webHidden/>
              </w:rPr>
              <w:instrText xml:space="preserve"> PAGEREF _Toc451501418 \h </w:instrText>
            </w:r>
            <w:r w:rsidR="00DE65AE">
              <w:rPr>
                <w:webHidden/>
              </w:rPr>
            </w:r>
            <w:r w:rsidR="00DE65AE">
              <w:rPr>
                <w:webHidden/>
              </w:rPr>
              <w:fldChar w:fldCharType="separate"/>
            </w:r>
            <w:r w:rsidR="00054ED4">
              <w:rPr>
                <w:webHidden/>
              </w:rPr>
              <w:t>275</w:t>
            </w:r>
            <w:r w:rsidR="00DE65AE">
              <w:rPr>
                <w:webHidden/>
              </w:rPr>
              <w:fldChar w:fldCharType="end"/>
            </w:r>
          </w:hyperlink>
        </w:p>
        <w:p w14:paraId="66DACAE6" w14:textId="77777777" w:rsidR="00DE65AE" w:rsidRDefault="00CD4AC5" w:rsidP="004C79C1">
          <w:pPr>
            <w:pStyle w:val="TOC3"/>
            <w:spacing w:after="120" w:line="240" w:lineRule="auto"/>
            <w:rPr>
              <w:rFonts w:asciiTheme="minorHAnsi" w:eastAsiaTheme="minorEastAsia" w:hAnsiTheme="minorHAnsi" w:cstheme="minorBidi"/>
            </w:rPr>
          </w:pPr>
          <w:hyperlink w:anchor="_Toc451501419" w:history="1">
            <w:r w:rsidR="00DE65AE" w:rsidRPr="003E51D2">
              <w:rPr>
                <w:rStyle w:val="Hyperlink"/>
              </w:rPr>
              <w:t>Unable to extract relevant data (specifically for DCM)</w:t>
            </w:r>
            <w:r w:rsidR="00DE65AE">
              <w:rPr>
                <w:webHidden/>
              </w:rPr>
              <w:tab/>
            </w:r>
            <w:r w:rsidR="00DE65AE">
              <w:rPr>
                <w:webHidden/>
              </w:rPr>
              <w:fldChar w:fldCharType="begin"/>
            </w:r>
            <w:r w:rsidR="00DE65AE">
              <w:rPr>
                <w:webHidden/>
              </w:rPr>
              <w:instrText xml:space="preserve"> PAGEREF _Toc451501419 \h </w:instrText>
            </w:r>
            <w:r w:rsidR="00DE65AE">
              <w:rPr>
                <w:webHidden/>
              </w:rPr>
            </w:r>
            <w:r w:rsidR="00DE65AE">
              <w:rPr>
                <w:webHidden/>
              </w:rPr>
              <w:fldChar w:fldCharType="separate"/>
            </w:r>
            <w:r w:rsidR="00054ED4">
              <w:rPr>
                <w:webHidden/>
              </w:rPr>
              <w:t>280</w:t>
            </w:r>
            <w:r w:rsidR="00DE65AE">
              <w:rPr>
                <w:webHidden/>
              </w:rPr>
              <w:fldChar w:fldCharType="end"/>
            </w:r>
          </w:hyperlink>
        </w:p>
        <w:p w14:paraId="72A6CF57" w14:textId="77777777" w:rsidR="00DE65AE" w:rsidRDefault="00CD4AC5" w:rsidP="004C79C1">
          <w:pPr>
            <w:pStyle w:val="TOC2"/>
            <w:spacing w:after="120" w:line="240" w:lineRule="auto"/>
            <w:rPr>
              <w:rFonts w:asciiTheme="minorHAnsi" w:eastAsiaTheme="minorEastAsia" w:hAnsiTheme="minorHAnsi" w:cstheme="minorBidi"/>
            </w:rPr>
          </w:pPr>
          <w:hyperlink w:anchor="_Toc451501420" w:history="1">
            <w:r w:rsidR="00DE65AE" w:rsidRPr="003E51D2">
              <w:rPr>
                <w:rStyle w:val="Hyperlink"/>
              </w:rPr>
              <w:t>Prognosis or Predisposition</w:t>
            </w:r>
            <w:r w:rsidR="00DE65AE">
              <w:rPr>
                <w:webHidden/>
              </w:rPr>
              <w:tab/>
            </w:r>
            <w:r w:rsidR="00DE65AE">
              <w:rPr>
                <w:webHidden/>
              </w:rPr>
              <w:fldChar w:fldCharType="begin"/>
            </w:r>
            <w:r w:rsidR="00DE65AE">
              <w:rPr>
                <w:webHidden/>
              </w:rPr>
              <w:instrText xml:space="preserve"> PAGEREF _Toc451501420 \h </w:instrText>
            </w:r>
            <w:r w:rsidR="00DE65AE">
              <w:rPr>
                <w:webHidden/>
              </w:rPr>
            </w:r>
            <w:r w:rsidR="00DE65AE">
              <w:rPr>
                <w:webHidden/>
              </w:rPr>
              <w:fldChar w:fldCharType="separate"/>
            </w:r>
            <w:r w:rsidR="00054ED4">
              <w:rPr>
                <w:webHidden/>
              </w:rPr>
              <w:t>281</w:t>
            </w:r>
            <w:r w:rsidR="00DE65AE">
              <w:rPr>
                <w:webHidden/>
              </w:rPr>
              <w:fldChar w:fldCharType="end"/>
            </w:r>
          </w:hyperlink>
        </w:p>
        <w:p w14:paraId="046D2B21" w14:textId="77777777" w:rsidR="00DE65AE" w:rsidRDefault="00CD4AC5" w:rsidP="004C79C1">
          <w:pPr>
            <w:pStyle w:val="TOC3"/>
            <w:spacing w:after="120" w:line="240" w:lineRule="auto"/>
            <w:rPr>
              <w:rFonts w:asciiTheme="minorHAnsi" w:eastAsiaTheme="minorEastAsia" w:hAnsiTheme="minorHAnsi" w:cstheme="minorBidi"/>
            </w:rPr>
          </w:pPr>
          <w:hyperlink w:anchor="_Toc451501421" w:history="1">
            <w:r w:rsidR="00DE65AE" w:rsidRPr="003E51D2">
              <w:rPr>
                <w:rStyle w:val="Hyperlink"/>
              </w:rPr>
              <w:t>Unable to extract relevant data</w:t>
            </w:r>
            <w:r w:rsidR="00DE65AE">
              <w:rPr>
                <w:webHidden/>
              </w:rPr>
              <w:tab/>
            </w:r>
            <w:r w:rsidR="00DE65AE">
              <w:rPr>
                <w:webHidden/>
              </w:rPr>
              <w:fldChar w:fldCharType="begin"/>
            </w:r>
            <w:r w:rsidR="00DE65AE">
              <w:rPr>
                <w:webHidden/>
              </w:rPr>
              <w:instrText xml:space="preserve"> PAGEREF _Toc451501421 \h </w:instrText>
            </w:r>
            <w:r w:rsidR="00DE65AE">
              <w:rPr>
                <w:webHidden/>
              </w:rPr>
            </w:r>
            <w:r w:rsidR="00DE65AE">
              <w:rPr>
                <w:webHidden/>
              </w:rPr>
              <w:fldChar w:fldCharType="separate"/>
            </w:r>
            <w:r w:rsidR="00054ED4">
              <w:rPr>
                <w:webHidden/>
              </w:rPr>
              <w:t>281</w:t>
            </w:r>
            <w:r w:rsidR="00DE65AE">
              <w:rPr>
                <w:webHidden/>
              </w:rPr>
              <w:fldChar w:fldCharType="end"/>
            </w:r>
          </w:hyperlink>
        </w:p>
        <w:p w14:paraId="6B1C4177" w14:textId="77777777" w:rsidR="00DE65AE" w:rsidRDefault="00CD4AC5" w:rsidP="004C79C1">
          <w:pPr>
            <w:pStyle w:val="TOC3"/>
            <w:spacing w:after="120" w:line="240" w:lineRule="auto"/>
            <w:rPr>
              <w:rFonts w:asciiTheme="minorHAnsi" w:eastAsiaTheme="minorEastAsia" w:hAnsiTheme="minorHAnsi" w:cstheme="minorBidi"/>
            </w:rPr>
          </w:pPr>
          <w:hyperlink w:anchor="_Toc451501422" w:history="1">
            <w:r w:rsidR="00DE65AE" w:rsidRPr="003E51D2">
              <w:rPr>
                <w:rStyle w:val="Hyperlink"/>
              </w:rPr>
              <w:t>Duplicated data</w:t>
            </w:r>
            <w:r w:rsidR="00DE65AE">
              <w:rPr>
                <w:webHidden/>
              </w:rPr>
              <w:tab/>
            </w:r>
            <w:r w:rsidR="00DE65AE">
              <w:rPr>
                <w:webHidden/>
              </w:rPr>
              <w:fldChar w:fldCharType="begin"/>
            </w:r>
            <w:r w:rsidR="00DE65AE">
              <w:rPr>
                <w:webHidden/>
              </w:rPr>
              <w:instrText xml:space="preserve"> PAGEREF _Toc451501422 \h </w:instrText>
            </w:r>
            <w:r w:rsidR="00DE65AE">
              <w:rPr>
                <w:webHidden/>
              </w:rPr>
            </w:r>
            <w:r w:rsidR="00DE65AE">
              <w:rPr>
                <w:webHidden/>
              </w:rPr>
              <w:fldChar w:fldCharType="separate"/>
            </w:r>
            <w:r w:rsidR="00054ED4">
              <w:rPr>
                <w:webHidden/>
              </w:rPr>
              <w:t>281</w:t>
            </w:r>
            <w:r w:rsidR="00DE65AE">
              <w:rPr>
                <w:webHidden/>
              </w:rPr>
              <w:fldChar w:fldCharType="end"/>
            </w:r>
          </w:hyperlink>
        </w:p>
        <w:p w14:paraId="36086014" w14:textId="77777777" w:rsidR="00DE65AE" w:rsidRDefault="00CD4AC5" w:rsidP="004C79C1">
          <w:pPr>
            <w:pStyle w:val="TOC3"/>
            <w:spacing w:after="120" w:line="240" w:lineRule="auto"/>
            <w:rPr>
              <w:rFonts w:asciiTheme="minorHAnsi" w:eastAsiaTheme="minorEastAsia" w:hAnsiTheme="minorHAnsi" w:cstheme="minorBidi"/>
            </w:rPr>
          </w:pPr>
          <w:hyperlink w:anchor="_Toc451501423" w:history="1">
            <w:r w:rsidR="00DE65AE" w:rsidRPr="003E51D2">
              <w:rPr>
                <w:rStyle w:val="Hyperlink"/>
              </w:rPr>
              <w:t>Wrong outcomes</w:t>
            </w:r>
            <w:r w:rsidR="00DE65AE">
              <w:rPr>
                <w:webHidden/>
              </w:rPr>
              <w:tab/>
            </w:r>
            <w:r w:rsidR="00DE65AE">
              <w:rPr>
                <w:webHidden/>
              </w:rPr>
              <w:fldChar w:fldCharType="begin"/>
            </w:r>
            <w:r w:rsidR="00DE65AE">
              <w:rPr>
                <w:webHidden/>
              </w:rPr>
              <w:instrText xml:space="preserve"> PAGEREF _Toc451501423 \h </w:instrText>
            </w:r>
            <w:r w:rsidR="00DE65AE">
              <w:rPr>
                <w:webHidden/>
              </w:rPr>
            </w:r>
            <w:r w:rsidR="00DE65AE">
              <w:rPr>
                <w:webHidden/>
              </w:rPr>
              <w:fldChar w:fldCharType="separate"/>
            </w:r>
            <w:r w:rsidR="00054ED4">
              <w:rPr>
                <w:webHidden/>
              </w:rPr>
              <w:t>281</w:t>
            </w:r>
            <w:r w:rsidR="00DE65AE">
              <w:rPr>
                <w:webHidden/>
              </w:rPr>
              <w:fldChar w:fldCharType="end"/>
            </w:r>
          </w:hyperlink>
        </w:p>
        <w:p w14:paraId="7A5A9DD4" w14:textId="77777777" w:rsidR="00DE65AE" w:rsidRDefault="00CD4AC5" w:rsidP="004C79C1">
          <w:pPr>
            <w:pStyle w:val="TOC3"/>
            <w:spacing w:after="120" w:line="240" w:lineRule="auto"/>
            <w:rPr>
              <w:rFonts w:asciiTheme="minorHAnsi" w:eastAsiaTheme="minorEastAsia" w:hAnsiTheme="minorHAnsi" w:cstheme="minorBidi"/>
            </w:rPr>
          </w:pPr>
          <w:hyperlink w:anchor="_Toc451501424" w:history="1">
            <w:r w:rsidR="00DE65AE" w:rsidRPr="003E51D2">
              <w:rPr>
                <w:rStyle w:val="Hyperlink"/>
              </w:rPr>
              <w:t>Conference abstracts</w:t>
            </w:r>
            <w:r w:rsidR="00DE65AE">
              <w:rPr>
                <w:webHidden/>
              </w:rPr>
              <w:tab/>
            </w:r>
            <w:r w:rsidR="00DE65AE">
              <w:rPr>
                <w:webHidden/>
              </w:rPr>
              <w:fldChar w:fldCharType="begin"/>
            </w:r>
            <w:r w:rsidR="00DE65AE">
              <w:rPr>
                <w:webHidden/>
              </w:rPr>
              <w:instrText xml:space="preserve"> PAGEREF _Toc451501424 \h </w:instrText>
            </w:r>
            <w:r w:rsidR="00DE65AE">
              <w:rPr>
                <w:webHidden/>
              </w:rPr>
            </w:r>
            <w:r w:rsidR="00DE65AE">
              <w:rPr>
                <w:webHidden/>
              </w:rPr>
              <w:fldChar w:fldCharType="separate"/>
            </w:r>
            <w:r w:rsidR="00054ED4">
              <w:rPr>
                <w:webHidden/>
              </w:rPr>
              <w:t>282</w:t>
            </w:r>
            <w:r w:rsidR="00DE65AE">
              <w:rPr>
                <w:webHidden/>
              </w:rPr>
              <w:fldChar w:fldCharType="end"/>
            </w:r>
          </w:hyperlink>
        </w:p>
        <w:p w14:paraId="0165C18F" w14:textId="77777777" w:rsidR="00DE65AE" w:rsidRDefault="00CD4AC5" w:rsidP="004C79C1">
          <w:pPr>
            <w:pStyle w:val="TOC2"/>
            <w:spacing w:after="120" w:line="240" w:lineRule="auto"/>
            <w:rPr>
              <w:rFonts w:asciiTheme="minorHAnsi" w:eastAsiaTheme="minorEastAsia" w:hAnsiTheme="minorHAnsi" w:cstheme="minorBidi"/>
            </w:rPr>
          </w:pPr>
          <w:hyperlink w:anchor="_Toc451501425" w:history="1">
            <w:r w:rsidR="00DE65AE" w:rsidRPr="003E51D2">
              <w:rPr>
                <w:rStyle w:val="Hyperlink"/>
              </w:rPr>
              <w:t>Therapeutic Efficacy (Impact on Clinical Management)</w:t>
            </w:r>
            <w:r w:rsidR="00DE65AE">
              <w:rPr>
                <w:webHidden/>
              </w:rPr>
              <w:tab/>
            </w:r>
            <w:r w:rsidR="00DE65AE">
              <w:rPr>
                <w:webHidden/>
              </w:rPr>
              <w:fldChar w:fldCharType="begin"/>
            </w:r>
            <w:r w:rsidR="00DE65AE">
              <w:rPr>
                <w:webHidden/>
              </w:rPr>
              <w:instrText xml:space="preserve"> PAGEREF _Toc451501425 \h </w:instrText>
            </w:r>
            <w:r w:rsidR="00DE65AE">
              <w:rPr>
                <w:webHidden/>
              </w:rPr>
            </w:r>
            <w:r w:rsidR="00DE65AE">
              <w:rPr>
                <w:webHidden/>
              </w:rPr>
              <w:fldChar w:fldCharType="separate"/>
            </w:r>
            <w:r w:rsidR="00054ED4">
              <w:rPr>
                <w:webHidden/>
              </w:rPr>
              <w:t>283</w:t>
            </w:r>
            <w:r w:rsidR="00DE65AE">
              <w:rPr>
                <w:webHidden/>
              </w:rPr>
              <w:fldChar w:fldCharType="end"/>
            </w:r>
          </w:hyperlink>
        </w:p>
        <w:p w14:paraId="37BF4206" w14:textId="77777777" w:rsidR="00DE65AE" w:rsidRDefault="00CD4AC5" w:rsidP="004C79C1">
          <w:pPr>
            <w:pStyle w:val="TOC3"/>
            <w:spacing w:after="120" w:line="240" w:lineRule="auto"/>
            <w:rPr>
              <w:rFonts w:asciiTheme="minorHAnsi" w:eastAsiaTheme="minorEastAsia" w:hAnsiTheme="minorHAnsi" w:cstheme="minorBidi"/>
            </w:rPr>
          </w:pPr>
          <w:hyperlink w:anchor="_Toc451501426" w:history="1">
            <w:r w:rsidR="00DE65AE" w:rsidRPr="003E51D2">
              <w:rPr>
                <w:rStyle w:val="Hyperlink"/>
              </w:rPr>
              <w:t>Posters, conference abstracts</w:t>
            </w:r>
            <w:r w:rsidR="00DE65AE">
              <w:rPr>
                <w:webHidden/>
              </w:rPr>
              <w:tab/>
            </w:r>
            <w:r w:rsidR="00DE65AE">
              <w:rPr>
                <w:webHidden/>
              </w:rPr>
              <w:fldChar w:fldCharType="begin"/>
            </w:r>
            <w:r w:rsidR="00DE65AE">
              <w:rPr>
                <w:webHidden/>
              </w:rPr>
              <w:instrText xml:space="preserve"> PAGEREF _Toc451501426 \h </w:instrText>
            </w:r>
            <w:r w:rsidR="00DE65AE">
              <w:rPr>
                <w:webHidden/>
              </w:rPr>
            </w:r>
            <w:r w:rsidR="00DE65AE">
              <w:rPr>
                <w:webHidden/>
              </w:rPr>
              <w:fldChar w:fldCharType="separate"/>
            </w:r>
            <w:r w:rsidR="00054ED4">
              <w:rPr>
                <w:webHidden/>
              </w:rPr>
              <w:t>283</w:t>
            </w:r>
            <w:r w:rsidR="00DE65AE">
              <w:rPr>
                <w:webHidden/>
              </w:rPr>
              <w:fldChar w:fldCharType="end"/>
            </w:r>
          </w:hyperlink>
        </w:p>
        <w:p w14:paraId="3F54A710" w14:textId="77777777" w:rsidR="00DE65AE" w:rsidRDefault="00CD4AC5" w:rsidP="004C79C1">
          <w:pPr>
            <w:pStyle w:val="TOC3"/>
            <w:spacing w:after="120" w:line="240" w:lineRule="auto"/>
            <w:rPr>
              <w:rFonts w:asciiTheme="minorHAnsi" w:eastAsiaTheme="minorEastAsia" w:hAnsiTheme="minorHAnsi" w:cstheme="minorBidi"/>
            </w:rPr>
          </w:pPr>
          <w:hyperlink w:anchor="_Toc451501427" w:history="1">
            <w:r w:rsidR="00DE65AE" w:rsidRPr="003E51D2">
              <w:rPr>
                <w:rStyle w:val="Hyperlink"/>
              </w:rPr>
              <w:t>Article does not contain relevant data</w:t>
            </w:r>
            <w:r w:rsidR="00DE65AE">
              <w:rPr>
                <w:webHidden/>
              </w:rPr>
              <w:tab/>
            </w:r>
            <w:r w:rsidR="00DE65AE">
              <w:rPr>
                <w:webHidden/>
              </w:rPr>
              <w:fldChar w:fldCharType="begin"/>
            </w:r>
            <w:r w:rsidR="00DE65AE">
              <w:rPr>
                <w:webHidden/>
              </w:rPr>
              <w:instrText xml:space="preserve"> PAGEREF _Toc451501427 \h </w:instrText>
            </w:r>
            <w:r w:rsidR="00DE65AE">
              <w:rPr>
                <w:webHidden/>
              </w:rPr>
            </w:r>
            <w:r w:rsidR="00DE65AE">
              <w:rPr>
                <w:webHidden/>
              </w:rPr>
              <w:fldChar w:fldCharType="separate"/>
            </w:r>
            <w:r w:rsidR="00054ED4">
              <w:rPr>
                <w:webHidden/>
              </w:rPr>
              <w:t>284</w:t>
            </w:r>
            <w:r w:rsidR="00DE65AE">
              <w:rPr>
                <w:webHidden/>
              </w:rPr>
              <w:fldChar w:fldCharType="end"/>
            </w:r>
          </w:hyperlink>
        </w:p>
        <w:p w14:paraId="2D99EFAC" w14:textId="77777777" w:rsidR="00DE65AE" w:rsidRDefault="00CD4AC5" w:rsidP="004C79C1">
          <w:pPr>
            <w:pStyle w:val="TOC3"/>
            <w:spacing w:after="120" w:line="240" w:lineRule="auto"/>
            <w:rPr>
              <w:rFonts w:asciiTheme="minorHAnsi" w:eastAsiaTheme="minorEastAsia" w:hAnsiTheme="minorHAnsi" w:cstheme="minorBidi"/>
            </w:rPr>
          </w:pPr>
          <w:hyperlink w:anchor="_Toc451501428" w:history="1">
            <w:r w:rsidR="00DE65AE" w:rsidRPr="003E51D2">
              <w:rPr>
                <w:rStyle w:val="Hyperlink"/>
              </w:rPr>
              <w:t>Wrong population</w:t>
            </w:r>
            <w:r w:rsidR="00DE65AE">
              <w:rPr>
                <w:webHidden/>
              </w:rPr>
              <w:tab/>
            </w:r>
            <w:r w:rsidR="00DE65AE">
              <w:rPr>
                <w:webHidden/>
              </w:rPr>
              <w:fldChar w:fldCharType="begin"/>
            </w:r>
            <w:r w:rsidR="00DE65AE">
              <w:rPr>
                <w:webHidden/>
              </w:rPr>
              <w:instrText xml:space="preserve"> PAGEREF _Toc451501428 \h </w:instrText>
            </w:r>
            <w:r w:rsidR="00DE65AE">
              <w:rPr>
                <w:webHidden/>
              </w:rPr>
            </w:r>
            <w:r w:rsidR="00DE65AE">
              <w:rPr>
                <w:webHidden/>
              </w:rPr>
              <w:fldChar w:fldCharType="separate"/>
            </w:r>
            <w:r w:rsidR="00054ED4">
              <w:rPr>
                <w:webHidden/>
              </w:rPr>
              <w:t>284</w:t>
            </w:r>
            <w:r w:rsidR="00DE65AE">
              <w:rPr>
                <w:webHidden/>
              </w:rPr>
              <w:fldChar w:fldCharType="end"/>
            </w:r>
          </w:hyperlink>
        </w:p>
        <w:p w14:paraId="058C71AE"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29" w:history="1">
            <w:r w:rsidR="00DE65AE" w:rsidRPr="003E51D2">
              <w:rPr>
                <w:rStyle w:val="Hyperlink"/>
              </w:rPr>
              <w:t>Appendix F</w:t>
            </w:r>
            <w:r w:rsidR="00DE65AE">
              <w:rPr>
                <w:rFonts w:asciiTheme="minorHAnsi" w:eastAsiaTheme="minorEastAsia" w:hAnsiTheme="minorHAnsi" w:cstheme="minorBidi"/>
                <w:b w:val="0"/>
              </w:rPr>
              <w:tab/>
            </w:r>
            <w:r w:rsidR="00DE65AE" w:rsidRPr="003E51D2">
              <w:rPr>
                <w:rStyle w:val="Hyperlink"/>
              </w:rPr>
              <w:t>Relevant MBS Items for the Comparators</w:t>
            </w:r>
            <w:r w:rsidR="00DE65AE">
              <w:rPr>
                <w:webHidden/>
              </w:rPr>
              <w:tab/>
            </w:r>
            <w:r w:rsidR="00DE65AE">
              <w:rPr>
                <w:webHidden/>
              </w:rPr>
              <w:fldChar w:fldCharType="begin"/>
            </w:r>
            <w:r w:rsidR="00DE65AE">
              <w:rPr>
                <w:webHidden/>
              </w:rPr>
              <w:instrText xml:space="preserve"> PAGEREF _Toc451501429 \h </w:instrText>
            </w:r>
            <w:r w:rsidR="00DE65AE">
              <w:rPr>
                <w:webHidden/>
              </w:rPr>
            </w:r>
            <w:r w:rsidR="00DE65AE">
              <w:rPr>
                <w:webHidden/>
              </w:rPr>
              <w:fldChar w:fldCharType="separate"/>
            </w:r>
            <w:r w:rsidR="00054ED4">
              <w:rPr>
                <w:webHidden/>
              </w:rPr>
              <w:t>285</w:t>
            </w:r>
            <w:r w:rsidR="00DE65AE">
              <w:rPr>
                <w:webHidden/>
              </w:rPr>
              <w:fldChar w:fldCharType="end"/>
            </w:r>
          </w:hyperlink>
        </w:p>
        <w:p w14:paraId="77F1CBAB"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0" w:history="1">
            <w:r w:rsidR="00DE65AE" w:rsidRPr="003E51D2">
              <w:rPr>
                <w:rStyle w:val="Hyperlink"/>
              </w:rPr>
              <w:t xml:space="preserve">Appendix G </w:t>
            </w:r>
            <w:r w:rsidR="00DE65AE">
              <w:rPr>
                <w:rFonts w:asciiTheme="minorHAnsi" w:eastAsiaTheme="minorEastAsia" w:hAnsiTheme="minorHAnsi" w:cstheme="minorBidi"/>
                <w:b w:val="0"/>
              </w:rPr>
              <w:tab/>
            </w:r>
            <w:r w:rsidR="00DE65AE" w:rsidRPr="003E51D2">
              <w:rPr>
                <w:rStyle w:val="Hyperlink"/>
              </w:rPr>
              <w:t>Further Analysis for Section B4.2</w:t>
            </w:r>
            <w:r w:rsidR="00DE65AE">
              <w:rPr>
                <w:webHidden/>
              </w:rPr>
              <w:tab/>
            </w:r>
            <w:r w:rsidR="00DE65AE">
              <w:rPr>
                <w:webHidden/>
              </w:rPr>
              <w:fldChar w:fldCharType="begin"/>
            </w:r>
            <w:r w:rsidR="00DE65AE">
              <w:rPr>
                <w:webHidden/>
              </w:rPr>
              <w:instrText xml:space="preserve"> PAGEREF _Toc451501430 \h </w:instrText>
            </w:r>
            <w:r w:rsidR="00DE65AE">
              <w:rPr>
                <w:webHidden/>
              </w:rPr>
            </w:r>
            <w:r w:rsidR="00DE65AE">
              <w:rPr>
                <w:webHidden/>
              </w:rPr>
              <w:fldChar w:fldCharType="separate"/>
            </w:r>
            <w:r w:rsidR="00054ED4">
              <w:rPr>
                <w:webHidden/>
              </w:rPr>
              <w:t>289</w:t>
            </w:r>
            <w:r w:rsidR="00DE65AE">
              <w:rPr>
                <w:webHidden/>
              </w:rPr>
              <w:fldChar w:fldCharType="end"/>
            </w:r>
          </w:hyperlink>
        </w:p>
        <w:p w14:paraId="121F4673"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1" w:history="1">
            <w:r w:rsidR="00DE65AE" w:rsidRPr="003E51D2">
              <w:rPr>
                <w:rStyle w:val="Hyperlink"/>
              </w:rPr>
              <w:t>Appendix H</w:t>
            </w:r>
            <w:r w:rsidR="00DE65AE">
              <w:rPr>
                <w:rFonts w:asciiTheme="minorHAnsi" w:eastAsiaTheme="minorEastAsia" w:hAnsiTheme="minorHAnsi" w:cstheme="minorBidi"/>
                <w:b w:val="0"/>
              </w:rPr>
              <w:tab/>
            </w:r>
            <w:r w:rsidR="00DE65AE" w:rsidRPr="003E51D2">
              <w:rPr>
                <w:rStyle w:val="Hyperlink"/>
              </w:rPr>
              <w:t>Further Analyses for Section B5.2</w:t>
            </w:r>
            <w:r w:rsidR="00DE65AE">
              <w:rPr>
                <w:webHidden/>
              </w:rPr>
              <w:tab/>
            </w:r>
            <w:r w:rsidR="00DE65AE">
              <w:rPr>
                <w:webHidden/>
              </w:rPr>
              <w:fldChar w:fldCharType="begin"/>
            </w:r>
            <w:r w:rsidR="00DE65AE">
              <w:rPr>
                <w:webHidden/>
              </w:rPr>
              <w:instrText xml:space="preserve"> PAGEREF _Toc451501431 \h </w:instrText>
            </w:r>
            <w:r w:rsidR="00DE65AE">
              <w:rPr>
                <w:webHidden/>
              </w:rPr>
            </w:r>
            <w:r w:rsidR="00DE65AE">
              <w:rPr>
                <w:webHidden/>
              </w:rPr>
              <w:fldChar w:fldCharType="separate"/>
            </w:r>
            <w:r w:rsidR="00054ED4">
              <w:rPr>
                <w:webHidden/>
              </w:rPr>
              <w:t>290</w:t>
            </w:r>
            <w:r w:rsidR="00DE65AE">
              <w:rPr>
                <w:webHidden/>
              </w:rPr>
              <w:fldChar w:fldCharType="end"/>
            </w:r>
          </w:hyperlink>
        </w:p>
        <w:p w14:paraId="54DE6FD6" w14:textId="77777777" w:rsidR="00DE65AE" w:rsidRDefault="00CD4AC5" w:rsidP="004C79C1">
          <w:pPr>
            <w:pStyle w:val="TOC2"/>
            <w:spacing w:after="120" w:line="240" w:lineRule="auto"/>
            <w:rPr>
              <w:rFonts w:asciiTheme="minorHAnsi" w:eastAsiaTheme="minorEastAsia" w:hAnsiTheme="minorHAnsi" w:cstheme="minorBidi"/>
            </w:rPr>
          </w:pPr>
          <w:hyperlink w:anchor="_Toc451501432" w:history="1">
            <w:r w:rsidR="00DE65AE" w:rsidRPr="003E51D2">
              <w:rPr>
                <w:rStyle w:val="Hyperlink"/>
              </w:rPr>
              <w:t>Comparison between Revascularisation and OMT in Patients with ICM</w:t>
            </w:r>
            <w:r w:rsidR="00DE65AE">
              <w:rPr>
                <w:webHidden/>
              </w:rPr>
              <w:tab/>
            </w:r>
            <w:r w:rsidR="00DE65AE">
              <w:rPr>
                <w:webHidden/>
              </w:rPr>
              <w:fldChar w:fldCharType="begin"/>
            </w:r>
            <w:r w:rsidR="00DE65AE">
              <w:rPr>
                <w:webHidden/>
              </w:rPr>
              <w:instrText xml:space="preserve"> PAGEREF _Toc451501432 \h </w:instrText>
            </w:r>
            <w:r w:rsidR="00DE65AE">
              <w:rPr>
                <w:webHidden/>
              </w:rPr>
            </w:r>
            <w:r w:rsidR="00DE65AE">
              <w:rPr>
                <w:webHidden/>
              </w:rPr>
              <w:fldChar w:fldCharType="separate"/>
            </w:r>
            <w:r w:rsidR="00054ED4">
              <w:rPr>
                <w:webHidden/>
              </w:rPr>
              <w:t>290</w:t>
            </w:r>
            <w:r w:rsidR="00DE65AE">
              <w:rPr>
                <w:webHidden/>
              </w:rPr>
              <w:fldChar w:fldCharType="end"/>
            </w:r>
          </w:hyperlink>
        </w:p>
        <w:p w14:paraId="74753836" w14:textId="77777777" w:rsidR="00DE65AE" w:rsidRDefault="00CD4AC5" w:rsidP="004C79C1">
          <w:pPr>
            <w:pStyle w:val="TOC2"/>
            <w:spacing w:after="120" w:line="240" w:lineRule="auto"/>
            <w:rPr>
              <w:rFonts w:asciiTheme="minorHAnsi" w:eastAsiaTheme="minorEastAsia" w:hAnsiTheme="minorHAnsi" w:cstheme="minorBidi"/>
            </w:rPr>
          </w:pPr>
          <w:hyperlink w:anchor="_Toc451501433" w:history="1">
            <w:r w:rsidR="00DE65AE" w:rsidRPr="003E51D2">
              <w:rPr>
                <w:rStyle w:val="Hyperlink"/>
              </w:rPr>
              <w:t>Comparison between ICDs plus OMT vs OMT alone in Patients with NIDCM</w:t>
            </w:r>
            <w:r w:rsidR="00DE65AE">
              <w:rPr>
                <w:webHidden/>
              </w:rPr>
              <w:tab/>
            </w:r>
            <w:r w:rsidR="00DE65AE">
              <w:rPr>
                <w:webHidden/>
              </w:rPr>
              <w:fldChar w:fldCharType="begin"/>
            </w:r>
            <w:r w:rsidR="00DE65AE">
              <w:rPr>
                <w:webHidden/>
              </w:rPr>
              <w:instrText xml:space="preserve"> PAGEREF _Toc451501433 \h </w:instrText>
            </w:r>
            <w:r w:rsidR="00DE65AE">
              <w:rPr>
                <w:webHidden/>
              </w:rPr>
            </w:r>
            <w:r w:rsidR="00DE65AE">
              <w:rPr>
                <w:webHidden/>
              </w:rPr>
              <w:fldChar w:fldCharType="separate"/>
            </w:r>
            <w:r w:rsidR="00054ED4">
              <w:rPr>
                <w:webHidden/>
              </w:rPr>
              <w:t>292</w:t>
            </w:r>
            <w:r w:rsidR="00DE65AE">
              <w:rPr>
                <w:webHidden/>
              </w:rPr>
              <w:fldChar w:fldCharType="end"/>
            </w:r>
          </w:hyperlink>
        </w:p>
        <w:p w14:paraId="4FFA56CB"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4" w:history="1">
            <w:r w:rsidR="00DE65AE" w:rsidRPr="003E51D2">
              <w:rPr>
                <w:rStyle w:val="Hyperlink"/>
              </w:rPr>
              <w:t>Appendix I</w:t>
            </w:r>
            <w:r w:rsidR="00DE65AE">
              <w:rPr>
                <w:rFonts w:asciiTheme="minorHAnsi" w:eastAsiaTheme="minorEastAsia" w:hAnsiTheme="minorHAnsi" w:cstheme="minorBidi"/>
                <w:b w:val="0"/>
              </w:rPr>
              <w:tab/>
            </w:r>
            <w:r w:rsidR="00DE65AE" w:rsidRPr="003E51D2">
              <w:rPr>
                <w:rStyle w:val="Hyperlink"/>
              </w:rPr>
              <w:t>PICO Criteria and Clinical Management Algorithms for Populations iii and iv</w:t>
            </w:r>
            <w:r w:rsidR="00DE65AE">
              <w:rPr>
                <w:webHidden/>
              </w:rPr>
              <w:tab/>
            </w:r>
            <w:r w:rsidR="00DE65AE">
              <w:rPr>
                <w:webHidden/>
              </w:rPr>
              <w:fldChar w:fldCharType="begin"/>
            </w:r>
            <w:r w:rsidR="00DE65AE">
              <w:rPr>
                <w:webHidden/>
              </w:rPr>
              <w:instrText xml:space="preserve"> PAGEREF _Toc451501434 \h </w:instrText>
            </w:r>
            <w:r w:rsidR="00DE65AE">
              <w:rPr>
                <w:webHidden/>
              </w:rPr>
            </w:r>
            <w:r w:rsidR="00DE65AE">
              <w:rPr>
                <w:webHidden/>
              </w:rPr>
              <w:fldChar w:fldCharType="separate"/>
            </w:r>
            <w:r w:rsidR="00054ED4">
              <w:rPr>
                <w:webHidden/>
              </w:rPr>
              <w:t>298</w:t>
            </w:r>
            <w:r w:rsidR="00DE65AE">
              <w:rPr>
                <w:webHidden/>
              </w:rPr>
              <w:fldChar w:fldCharType="end"/>
            </w:r>
          </w:hyperlink>
        </w:p>
        <w:p w14:paraId="51E0883B"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5" w:history="1">
            <w:r w:rsidR="00DE65AE" w:rsidRPr="003E51D2">
              <w:rPr>
                <w:rStyle w:val="Hyperlink"/>
              </w:rPr>
              <w:t>Appendix J</w:t>
            </w:r>
            <w:r w:rsidR="00DE65AE">
              <w:rPr>
                <w:rFonts w:asciiTheme="minorHAnsi" w:eastAsiaTheme="minorEastAsia" w:hAnsiTheme="minorHAnsi" w:cstheme="minorBidi"/>
                <w:b w:val="0"/>
              </w:rPr>
              <w:tab/>
            </w:r>
            <w:r w:rsidR="00DE65AE" w:rsidRPr="003E51D2">
              <w:rPr>
                <w:rStyle w:val="Hyperlink"/>
              </w:rPr>
              <w:t>Further Analyses for Section B7.1</w:t>
            </w:r>
            <w:r w:rsidR="00DE65AE">
              <w:rPr>
                <w:webHidden/>
              </w:rPr>
              <w:tab/>
            </w:r>
            <w:r w:rsidR="00DE65AE">
              <w:rPr>
                <w:webHidden/>
              </w:rPr>
              <w:fldChar w:fldCharType="begin"/>
            </w:r>
            <w:r w:rsidR="00DE65AE">
              <w:rPr>
                <w:webHidden/>
              </w:rPr>
              <w:instrText xml:space="preserve"> PAGEREF _Toc451501435 \h </w:instrText>
            </w:r>
            <w:r w:rsidR="00DE65AE">
              <w:rPr>
                <w:webHidden/>
              </w:rPr>
            </w:r>
            <w:r w:rsidR="00DE65AE">
              <w:rPr>
                <w:webHidden/>
              </w:rPr>
              <w:fldChar w:fldCharType="separate"/>
            </w:r>
            <w:r w:rsidR="00054ED4">
              <w:rPr>
                <w:webHidden/>
              </w:rPr>
              <w:t>305</w:t>
            </w:r>
            <w:r w:rsidR="00DE65AE">
              <w:rPr>
                <w:webHidden/>
              </w:rPr>
              <w:fldChar w:fldCharType="end"/>
            </w:r>
          </w:hyperlink>
        </w:p>
        <w:p w14:paraId="2DD71B26"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6" w:history="1">
            <w:r w:rsidR="00DE65AE" w:rsidRPr="003E51D2">
              <w:rPr>
                <w:rStyle w:val="Hyperlink"/>
              </w:rPr>
              <w:t>Appendix K</w:t>
            </w:r>
            <w:r w:rsidR="00DE65AE">
              <w:rPr>
                <w:rFonts w:asciiTheme="minorHAnsi" w:eastAsiaTheme="minorEastAsia" w:hAnsiTheme="minorHAnsi" w:cstheme="minorBidi"/>
                <w:b w:val="0"/>
              </w:rPr>
              <w:tab/>
            </w:r>
            <w:r w:rsidR="00DE65AE" w:rsidRPr="003E51D2">
              <w:rPr>
                <w:rStyle w:val="Hyperlink"/>
              </w:rPr>
              <w:t>Sensitivity Analyses for Cost Analysis: Population i</w:t>
            </w:r>
            <w:r w:rsidR="00DE65AE">
              <w:rPr>
                <w:webHidden/>
              </w:rPr>
              <w:tab/>
            </w:r>
            <w:r w:rsidR="00DE65AE">
              <w:rPr>
                <w:webHidden/>
              </w:rPr>
              <w:fldChar w:fldCharType="begin"/>
            </w:r>
            <w:r w:rsidR="00DE65AE">
              <w:rPr>
                <w:webHidden/>
              </w:rPr>
              <w:instrText xml:space="preserve"> PAGEREF _Toc451501436 \h </w:instrText>
            </w:r>
            <w:r w:rsidR="00DE65AE">
              <w:rPr>
                <w:webHidden/>
              </w:rPr>
            </w:r>
            <w:r w:rsidR="00DE65AE">
              <w:rPr>
                <w:webHidden/>
              </w:rPr>
              <w:fldChar w:fldCharType="separate"/>
            </w:r>
            <w:r w:rsidR="00054ED4">
              <w:rPr>
                <w:webHidden/>
              </w:rPr>
              <w:t>308</w:t>
            </w:r>
            <w:r w:rsidR="00DE65AE">
              <w:rPr>
                <w:webHidden/>
              </w:rPr>
              <w:fldChar w:fldCharType="end"/>
            </w:r>
          </w:hyperlink>
        </w:p>
        <w:p w14:paraId="303940DF" w14:textId="77777777" w:rsidR="00DE65AE" w:rsidRDefault="00CD4AC5" w:rsidP="004C79C1">
          <w:pPr>
            <w:pStyle w:val="TOC2"/>
            <w:spacing w:after="120" w:line="240" w:lineRule="auto"/>
            <w:rPr>
              <w:rFonts w:asciiTheme="minorHAnsi" w:eastAsiaTheme="minorEastAsia" w:hAnsiTheme="minorHAnsi" w:cstheme="minorBidi"/>
            </w:rPr>
          </w:pPr>
          <w:hyperlink w:anchor="_Toc451501437" w:history="1">
            <w:r w:rsidR="00DE65AE" w:rsidRPr="003E51D2">
              <w:rPr>
                <w:rStyle w:val="Hyperlink"/>
              </w:rPr>
              <w:t>Sensitivity Analyses for Cost Analyses of CMR vs GHPS or cEcho</w:t>
            </w:r>
            <w:r w:rsidR="00DE65AE">
              <w:rPr>
                <w:webHidden/>
              </w:rPr>
              <w:tab/>
            </w:r>
            <w:r w:rsidR="00DE65AE">
              <w:rPr>
                <w:webHidden/>
              </w:rPr>
              <w:fldChar w:fldCharType="begin"/>
            </w:r>
            <w:r w:rsidR="00DE65AE">
              <w:rPr>
                <w:webHidden/>
              </w:rPr>
              <w:instrText xml:space="preserve"> PAGEREF _Toc451501437 \h </w:instrText>
            </w:r>
            <w:r w:rsidR="00DE65AE">
              <w:rPr>
                <w:webHidden/>
              </w:rPr>
            </w:r>
            <w:r w:rsidR="00DE65AE">
              <w:rPr>
                <w:webHidden/>
              </w:rPr>
              <w:fldChar w:fldCharType="separate"/>
            </w:r>
            <w:r w:rsidR="00054ED4">
              <w:rPr>
                <w:webHidden/>
              </w:rPr>
              <w:t>308</w:t>
            </w:r>
            <w:r w:rsidR="00DE65AE">
              <w:rPr>
                <w:webHidden/>
              </w:rPr>
              <w:fldChar w:fldCharType="end"/>
            </w:r>
          </w:hyperlink>
        </w:p>
        <w:p w14:paraId="1F7A6A1B"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38" w:history="1">
            <w:r w:rsidR="00DE65AE" w:rsidRPr="003E51D2">
              <w:rPr>
                <w:rStyle w:val="Hyperlink"/>
              </w:rPr>
              <w:t>Appendix L</w:t>
            </w:r>
            <w:r w:rsidR="00DE65AE">
              <w:rPr>
                <w:rFonts w:asciiTheme="minorHAnsi" w:eastAsiaTheme="minorEastAsia" w:hAnsiTheme="minorHAnsi" w:cstheme="minorBidi"/>
                <w:b w:val="0"/>
              </w:rPr>
              <w:tab/>
            </w:r>
            <w:r w:rsidR="00DE65AE" w:rsidRPr="003E51D2">
              <w:rPr>
                <w:rStyle w:val="Hyperlink"/>
              </w:rPr>
              <w:t>Cost Analysis: Population iiA: Other Tests for Secondary Causes of NIDCM</w:t>
            </w:r>
            <w:r w:rsidR="00DE65AE">
              <w:rPr>
                <w:webHidden/>
              </w:rPr>
              <w:tab/>
            </w:r>
            <w:r w:rsidR="00DE65AE">
              <w:rPr>
                <w:webHidden/>
              </w:rPr>
              <w:fldChar w:fldCharType="begin"/>
            </w:r>
            <w:r w:rsidR="00DE65AE">
              <w:rPr>
                <w:webHidden/>
              </w:rPr>
              <w:instrText xml:space="preserve"> PAGEREF _Toc451501438 \h </w:instrText>
            </w:r>
            <w:r w:rsidR="00DE65AE">
              <w:rPr>
                <w:webHidden/>
              </w:rPr>
            </w:r>
            <w:r w:rsidR="00DE65AE">
              <w:rPr>
                <w:webHidden/>
              </w:rPr>
              <w:fldChar w:fldCharType="separate"/>
            </w:r>
            <w:r w:rsidR="00054ED4">
              <w:rPr>
                <w:webHidden/>
              </w:rPr>
              <w:t>310</w:t>
            </w:r>
            <w:r w:rsidR="00DE65AE">
              <w:rPr>
                <w:webHidden/>
              </w:rPr>
              <w:fldChar w:fldCharType="end"/>
            </w:r>
          </w:hyperlink>
        </w:p>
        <w:p w14:paraId="36453F0A" w14:textId="77777777" w:rsidR="00DE65AE" w:rsidRDefault="00CD4AC5" w:rsidP="004C79C1">
          <w:pPr>
            <w:pStyle w:val="TOC2"/>
            <w:spacing w:after="120" w:line="240" w:lineRule="auto"/>
            <w:rPr>
              <w:rFonts w:asciiTheme="minorHAnsi" w:eastAsiaTheme="minorEastAsia" w:hAnsiTheme="minorHAnsi" w:cstheme="minorBidi"/>
            </w:rPr>
          </w:pPr>
          <w:hyperlink w:anchor="_Toc451501439" w:history="1">
            <w:r w:rsidR="00DE65AE" w:rsidRPr="003E51D2">
              <w:rPr>
                <w:rStyle w:val="Hyperlink"/>
              </w:rPr>
              <w:t>EMB</w:t>
            </w:r>
            <w:r w:rsidR="00DE65AE">
              <w:rPr>
                <w:webHidden/>
              </w:rPr>
              <w:tab/>
            </w:r>
            <w:r w:rsidR="00DE65AE">
              <w:rPr>
                <w:webHidden/>
              </w:rPr>
              <w:fldChar w:fldCharType="begin"/>
            </w:r>
            <w:r w:rsidR="00DE65AE">
              <w:rPr>
                <w:webHidden/>
              </w:rPr>
              <w:instrText xml:space="preserve"> PAGEREF _Toc451501439 \h </w:instrText>
            </w:r>
            <w:r w:rsidR="00DE65AE">
              <w:rPr>
                <w:webHidden/>
              </w:rPr>
            </w:r>
            <w:r w:rsidR="00DE65AE">
              <w:rPr>
                <w:webHidden/>
              </w:rPr>
              <w:fldChar w:fldCharType="separate"/>
            </w:r>
            <w:r w:rsidR="00054ED4">
              <w:rPr>
                <w:webHidden/>
              </w:rPr>
              <w:t>310</w:t>
            </w:r>
            <w:r w:rsidR="00DE65AE">
              <w:rPr>
                <w:webHidden/>
              </w:rPr>
              <w:fldChar w:fldCharType="end"/>
            </w:r>
          </w:hyperlink>
        </w:p>
        <w:p w14:paraId="19902313" w14:textId="77777777" w:rsidR="00DE65AE" w:rsidRDefault="00CD4AC5" w:rsidP="004C79C1">
          <w:pPr>
            <w:pStyle w:val="TOC2"/>
            <w:spacing w:after="120" w:line="240" w:lineRule="auto"/>
            <w:rPr>
              <w:rFonts w:asciiTheme="minorHAnsi" w:eastAsiaTheme="minorEastAsia" w:hAnsiTheme="minorHAnsi" w:cstheme="minorBidi"/>
            </w:rPr>
          </w:pPr>
          <w:hyperlink w:anchor="_Toc451501440" w:history="1">
            <w:r w:rsidR="00DE65AE" w:rsidRPr="003E51D2">
              <w:rPr>
                <w:rStyle w:val="Hyperlink"/>
              </w:rPr>
              <w:t>Summary of Test Costs</w:t>
            </w:r>
            <w:r w:rsidR="00DE65AE">
              <w:rPr>
                <w:webHidden/>
              </w:rPr>
              <w:tab/>
            </w:r>
            <w:r w:rsidR="00DE65AE">
              <w:rPr>
                <w:webHidden/>
              </w:rPr>
              <w:fldChar w:fldCharType="begin"/>
            </w:r>
            <w:r w:rsidR="00DE65AE">
              <w:rPr>
                <w:webHidden/>
              </w:rPr>
              <w:instrText xml:space="preserve"> PAGEREF _Toc451501440 \h </w:instrText>
            </w:r>
            <w:r w:rsidR="00DE65AE">
              <w:rPr>
                <w:webHidden/>
              </w:rPr>
            </w:r>
            <w:r w:rsidR="00DE65AE">
              <w:rPr>
                <w:webHidden/>
              </w:rPr>
              <w:fldChar w:fldCharType="separate"/>
            </w:r>
            <w:r w:rsidR="00054ED4">
              <w:rPr>
                <w:webHidden/>
              </w:rPr>
              <w:t>311</w:t>
            </w:r>
            <w:r w:rsidR="00DE65AE">
              <w:rPr>
                <w:webHidden/>
              </w:rPr>
              <w:fldChar w:fldCharType="end"/>
            </w:r>
          </w:hyperlink>
        </w:p>
        <w:p w14:paraId="499E4B78"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41" w:history="1">
            <w:r w:rsidR="00DE65AE" w:rsidRPr="003E51D2">
              <w:rPr>
                <w:rStyle w:val="Hyperlink"/>
              </w:rPr>
              <w:t>Appendix M</w:t>
            </w:r>
            <w:r w:rsidR="00DE65AE">
              <w:rPr>
                <w:rFonts w:asciiTheme="minorHAnsi" w:eastAsiaTheme="minorEastAsia" w:hAnsiTheme="minorHAnsi" w:cstheme="minorBidi"/>
                <w:b w:val="0"/>
              </w:rPr>
              <w:tab/>
            </w:r>
            <w:r w:rsidR="00DE65AE" w:rsidRPr="003E51D2">
              <w:rPr>
                <w:rStyle w:val="Hyperlink"/>
              </w:rPr>
              <w:t>Additional Information for CEA: Population iiA</w:t>
            </w:r>
            <w:r w:rsidR="00DE65AE">
              <w:rPr>
                <w:webHidden/>
              </w:rPr>
              <w:tab/>
            </w:r>
            <w:r w:rsidR="00DE65AE">
              <w:rPr>
                <w:webHidden/>
              </w:rPr>
              <w:fldChar w:fldCharType="begin"/>
            </w:r>
            <w:r w:rsidR="00DE65AE">
              <w:rPr>
                <w:webHidden/>
              </w:rPr>
              <w:instrText xml:space="preserve"> PAGEREF _Toc451501441 \h </w:instrText>
            </w:r>
            <w:r w:rsidR="00DE65AE">
              <w:rPr>
                <w:webHidden/>
              </w:rPr>
            </w:r>
            <w:r w:rsidR="00DE65AE">
              <w:rPr>
                <w:webHidden/>
              </w:rPr>
              <w:fldChar w:fldCharType="separate"/>
            </w:r>
            <w:r w:rsidR="00054ED4">
              <w:rPr>
                <w:webHidden/>
              </w:rPr>
              <w:t>312</w:t>
            </w:r>
            <w:r w:rsidR="00DE65AE">
              <w:rPr>
                <w:webHidden/>
              </w:rPr>
              <w:fldChar w:fldCharType="end"/>
            </w:r>
          </w:hyperlink>
        </w:p>
        <w:p w14:paraId="58C223F1" w14:textId="77777777" w:rsidR="00DE65AE" w:rsidRDefault="00CD4AC5" w:rsidP="004C79C1">
          <w:pPr>
            <w:pStyle w:val="TOC2"/>
            <w:spacing w:after="120" w:line="240" w:lineRule="auto"/>
            <w:rPr>
              <w:rFonts w:asciiTheme="minorHAnsi" w:eastAsiaTheme="minorEastAsia" w:hAnsiTheme="minorHAnsi" w:cstheme="minorBidi"/>
            </w:rPr>
          </w:pPr>
          <w:hyperlink w:anchor="_Toc451501442" w:history="1">
            <w:r w:rsidR="00DE65AE" w:rsidRPr="003E51D2">
              <w:rPr>
                <w:rStyle w:val="Hyperlink"/>
              </w:rPr>
              <w:t>Cost Derivations for Implantable Devices</w:t>
            </w:r>
            <w:r w:rsidR="00DE65AE">
              <w:rPr>
                <w:webHidden/>
              </w:rPr>
              <w:tab/>
            </w:r>
            <w:r w:rsidR="00DE65AE">
              <w:rPr>
                <w:webHidden/>
              </w:rPr>
              <w:fldChar w:fldCharType="begin"/>
            </w:r>
            <w:r w:rsidR="00DE65AE">
              <w:rPr>
                <w:webHidden/>
              </w:rPr>
              <w:instrText xml:space="preserve"> PAGEREF _Toc451501442 \h </w:instrText>
            </w:r>
            <w:r w:rsidR="00DE65AE">
              <w:rPr>
                <w:webHidden/>
              </w:rPr>
            </w:r>
            <w:r w:rsidR="00DE65AE">
              <w:rPr>
                <w:webHidden/>
              </w:rPr>
              <w:fldChar w:fldCharType="separate"/>
            </w:r>
            <w:r w:rsidR="00054ED4">
              <w:rPr>
                <w:webHidden/>
              </w:rPr>
              <w:t>312</w:t>
            </w:r>
            <w:r w:rsidR="00DE65AE">
              <w:rPr>
                <w:webHidden/>
              </w:rPr>
              <w:fldChar w:fldCharType="end"/>
            </w:r>
          </w:hyperlink>
        </w:p>
        <w:p w14:paraId="2AE9BD3A" w14:textId="77777777" w:rsidR="00DE65AE" w:rsidRDefault="00CD4AC5" w:rsidP="004C79C1">
          <w:pPr>
            <w:pStyle w:val="TOC2"/>
            <w:spacing w:after="120" w:line="240" w:lineRule="auto"/>
            <w:rPr>
              <w:rFonts w:asciiTheme="minorHAnsi" w:eastAsiaTheme="minorEastAsia" w:hAnsiTheme="minorHAnsi" w:cstheme="minorBidi"/>
            </w:rPr>
          </w:pPr>
          <w:hyperlink w:anchor="_Toc451501443" w:history="1">
            <w:r w:rsidR="00DE65AE" w:rsidRPr="003E51D2">
              <w:rPr>
                <w:rStyle w:val="Hyperlink"/>
              </w:rPr>
              <w:t>Cost per Pacemaker Implantation Procedure</w:t>
            </w:r>
            <w:r w:rsidR="00DE65AE">
              <w:rPr>
                <w:webHidden/>
              </w:rPr>
              <w:tab/>
            </w:r>
            <w:r w:rsidR="00DE65AE">
              <w:rPr>
                <w:webHidden/>
              </w:rPr>
              <w:fldChar w:fldCharType="begin"/>
            </w:r>
            <w:r w:rsidR="00DE65AE">
              <w:rPr>
                <w:webHidden/>
              </w:rPr>
              <w:instrText xml:space="preserve"> PAGEREF _Toc451501443 \h </w:instrText>
            </w:r>
            <w:r w:rsidR="00DE65AE">
              <w:rPr>
                <w:webHidden/>
              </w:rPr>
            </w:r>
            <w:r w:rsidR="00DE65AE">
              <w:rPr>
                <w:webHidden/>
              </w:rPr>
              <w:fldChar w:fldCharType="separate"/>
            </w:r>
            <w:r w:rsidR="00054ED4">
              <w:rPr>
                <w:webHidden/>
              </w:rPr>
              <w:t>314</w:t>
            </w:r>
            <w:r w:rsidR="00DE65AE">
              <w:rPr>
                <w:webHidden/>
              </w:rPr>
              <w:fldChar w:fldCharType="end"/>
            </w:r>
          </w:hyperlink>
        </w:p>
        <w:p w14:paraId="640D2A64" w14:textId="77777777" w:rsidR="00DE65AE" w:rsidRDefault="00CD4AC5" w:rsidP="004C79C1">
          <w:pPr>
            <w:pStyle w:val="TOC2"/>
            <w:spacing w:after="120" w:line="240" w:lineRule="auto"/>
            <w:rPr>
              <w:rFonts w:asciiTheme="minorHAnsi" w:eastAsiaTheme="minorEastAsia" w:hAnsiTheme="minorHAnsi" w:cstheme="minorBidi"/>
            </w:rPr>
          </w:pPr>
          <w:hyperlink w:anchor="_Toc451501444" w:history="1">
            <w:r w:rsidR="00DE65AE" w:rsidRPr="003E51D2">
              <w:rPr>
                <w:rStyle w:val="Hyperlink"/>
              </w:rPr>
              <w:t>Cost per CABG Surgery</w:t>
            </w:r>
            <w:r w:rsidR="00DE65AE">
              <w:rPr>
                <w:webHidden/>
              </w:rPr>
              <w:tab/>
            </w:r>
            <w:r w:rsidR="00DE65AE">
              <w:rPr>
                <w:webHidden/>
              </w:rPr>
              <w:fldChar w:fldCharType="begin"/>
            </w:r>
            <w:r w:rsidR="00DE65AE">
              <w:rPr>
                <w:webHidden/>
              </w:rPr>
              <w:instrText xml:space="preserve"> PAGEREF _Toc451501444 \h </w:instrText>
            </w:r>
            <w:r w:rsidR="00DE65AE">
              <w:rPr>
                <w:webHidden/>
              </w:rPr>
            </w:r>
            <w:r w:rsidR="00DE65AE">
              <w:rPr>
                <w:webHidden/>
              </w:rPr>
              <w:fldChar w:fldCharType="separate"/>
            </w:r>
            <w:r w:rsidR="00054ED4">
              <w:rPr>
                <w:webHidden/>
              </w:rPr>
              <w:t>315</w:t>
            </w:r>
            <w:r w:rsidR="00DE65AE">
              <w:rPr>
                <w:webHidden/>
              </w:rPr>
              <w:fldChar w:fldCharType="end"/>
            </w:r>
          </w:hyperlink>
        </w:p>
        <w:p w14:paraId="682033BD" w14:textId="77777777" w:rsidR="00DE65AE" w:rsidRDefault="00CD4AC5" w:rsidP="004C79C1">
          <w:pPr>
            <w:pStyle w:val="TOC2"/>
            <w:spacing w:after="120" w:line="240" w:lineRule="auto"/>
            <w:rPr>
              <w:rFonts w:asciiTheme="minorHAnsi" w:eastAsiaTheme="minorEastAsia" w:hAnsiTheme="minorHAnsi" w:cstheme="minorBidi"/>
            </w:rPr>
          </w:pPr>
          <w:hyperlink w:anchor="_Toc451501445" w:history="1">
            <w:r w:rsidR="00DE65AE" w:rsidRPr="003E51D2">
              <w:rPr>
                <w:rStyle w:val="Hyperlink"/>
              </w:rPr>
              <w:t>Cost per Valvular Surgery</w:t>
            </w:r>
            <w:r w:rsidR="00DE65AE">
              <w:rPr>
                <w:webHidden/>
              </w:rPr>
              <w:tab/>
            </w:r>
            <w:r w:rsidR="00DE65AE">
              <w:rPr>
                <w:webHidden/>
              </w:rPr>
              <w:fldChar w:fldCharType="begin"/>
            </w:r>
            <w:r w:rsidR="00DE65AE">
              <w:rPr>
                <w:webHidden/>
              </w:rPr>
              <w:instrText xml:space="preserve"> PAGEREF _Toc451501445 \h </w:instrText>
            </w:r>
            <w:r w:rsidR="00DE65AE">
              <w:rPr>
                <w:webHidden/>
              </w:rPr>
            </w:r>
            <w:r w:rsidR="00DE65AE">
              <w:rPr>
                <w:webHidden/>
              </w:rPr>
              <w:fldChar w:fldCharType="separate"/>
            </w:r>
            <w:r w:rsidR="00054ED4">
              <w:rPr>
                <w:webHidden/>
              </w:rPr>
              <w:t>316</w:t>
            </w:r>
            <w:r w:rsidR="00DE65AE">
              <w:rPr>
                <w:webHidden/>
              </w:rPr>
              <w:fldChar w:fldCharType="end"/>
            </w:r>
          </w:hyperlink>
        </w:p>
        <w:p w14:paraId="366DCBB4" w14:textId="77777777" w:rsidR="00DE65AE" w:rsidRDefault="00CD4AC5" w:rsidP="004C79C1">
          <w:pPr>
            <w:pStyle w:val="TOC2"/>
            <w:spacing w:after="120" w:line="240" w:lineRule="auto"/>
            <w:rPr>
              <w:rFonts w:asciiTheme="minorHAnsi" w:eastAsiaTheme="minorEastAsia" w:hAnsiTheme="minorHAnsi" w:cstheme="minorBidi"/>
            </w:rPr>
          </w:pPr>
          <w:hyperlink w:anchor="_Toc451501446" w:history="1">
            <w:r w:rsidR="00DE65AE" w:rsidRPr="003E51D2">
              <w:rPr>
                <w:rStyle w:val="Hyperlink"/>
              </w:rPr>
              <w:t>Cost per Other Cardiac Surgery</w:t>
            </w:r>
            <w:r w:rsidR="00DE65AE">
              <w:rPr>
                <w:webHidden/>
              </w:rPr>
              <w:tab/>
            </w:r>
            <w:r w:rsidR="00DE65AE">
              <w:rPr>
                <w:webHidden/>
              </w:rPr>
              <w:fldChar w:fldCharType="begin"/>
            </w:r>
            <w:r w:rsidR="00DE65AE">
              <w:rPr>
                <w:webHidden/>
              </w:rPr>
              <w:instrText xml:space="preserve"> PAGEREF _Toc451501446 \h </w:instrText>
            </w:r>
            <w:r w:rsidR="00DE65AE">
              <w:rPr>
                <w:webHidden/>
              </w:rPr>
            </w:r>
            <w:r w:rsidR="00DE65AE">
              <w:rPr>
                <w:webHidden/>
              </w:rPr>
              <w:fldChar w:fldCharType="separate"/>
            </w:r>
            <w:r w:rsidR="00054ED4">
              <w:rPr>
                <w:webHidden/>
              </w:rPr>
              <w:t>316</w:t>
            </w:r>
            <w:r w:rsidR="00DE65AE">
              <w:rPr>
                <w:webHidden/>
              </w:rPr>
              <w:fldChar w:fldCharType="end"/>
            </w:r>
          </w:hyperlink>
        </w:p>
        <w:p w14:paraId="2D2C7D67" w14:textId="77777777" w:rsidR="00DE65AE" w:rsidRDefault="00CD4AC5" w:rsidP="004C79C1">
          <w:pPr>
            <w:pStyle w:val="TOC2"/>
            <w:spacing w:after="120" w:line="240" w:lineRule="auto"/>
            <w:rPr>
              <w:rFonts w:asciiTheme="minorHAnsi" w:eastAsiaTheme="minorEastAsia" w:hAnsiTheme="minorHAnsi" w:cstheme="minorBidi"/>
            </w:rPr>
          </w:pPr>
          <w:hyperlink w:anchor="_Toc451501447" w:history="1">
            <w:r w:rsidR="00DE65AE" w:rsidRPr="003E51D2">
              <w:rPr>
                <w:rStyle w:val="Hyperlink"/>
              </w:rPr>
              <w:t>Cost per Heart Transplant Surgery</w:t>
            </w:r>
            <w:r w:rsidR="00DE65AE">
              <w:rPr>
                <w:webHidden/>
              </w:rPr>
              <w:tab/>
            </w:r>
            <w:r w:rsidR="00DE65AE">
              <w:rPr>
                <w:webHidden/>
              </w:rPr>
              <w:fldChar w:fldCharType="begin"/>
            </w:r>
            <w:r w:rsidR="00DE65AE">
              <w:rPr>
                <w:webHidden/>
              </w:rPr>
              <w:instrText xml:space="preserve"> PAGEREF _Toc451501447 \h </w:instrText>
            </w:r>
            <w:r w:rsidR="00DE65AE">
              <w:rPr>
                <w:webHidden/>
              </w:rPr>
            </w:r>
            <w:r w:rsidR="00DE65AE">
              <w:rPr>
                <w:webHidden/>
              </w:rPr>
              <w:fldChar w:fldCharType="separate"/>
            </w:r>
            <w:r w:rsidR="00054ED4">
              <w:rPr>
                <w:webHidden/>
              </w:rPr>
              <w:t>317</w:t>
            </w:r>
            <w:r w:rsidR="00DE65AE">
              <w:rPr>
                <w:webHidden/>
              </w:rPr>
              <w:fldChar w:fldCharType="end"/>
            </w:r>
          </w:hyperlink>
        </w:p>
        <w:p w14:paraId="1ED3970F" w14:textId="77777777" w:rsidR="00DE65AE" w:rsidRDefault="00CD4AC5" w:rsidP="004C79C1">
          <w:pPr>
            <w:pStyle w:val="TOC1"/>
            <w:spacing w:before="0" w:after="120" w:line="240" w:lineRule="auto"/>
            <w:rPr>
              <w:rFonts w:asciiTheme="minorHAnsi" w:eastAsiaTheme="minorEastAsia" w:hAnsiTheme="minorHAnsi" w:cstheme="minorBidi"/>
              <w:b w:val="0"/>
            </w:rPr>
          </w:pPr>
          <w:hyperlink w:anchor="_Toc451501448" w:history="1">
            <w:r w:rsidR="00DE65AE" w:rsidRPr="003E51D2">
              <w:rPr>
                <w:rStyle w:val="Hyperlink"/>
                <w:snapToGrid w:val="0"/>
                <w:lang w:eastAsia="en-US"/>
              </w:rPr>
              <w:t>Appendix N</w:t>
            </w:r>
            <w:r w:rsidR="00DE65AE">
              <w:rPr>
                <w:rFonts w:asciiTheme="minorHAnsi" w:eastAsiaTheme="minorEastAsia" w:hAnsiTheme="minorHAnsi" w:cstheme="minorBidi"/>
                <w:b w:val="0"/>
              </w:rPr>
              <w:tab/>
            </w:r>
            <w:r w:rsidR="00DE65AE" w:rsidRPr="003E51D2">
              <w:rPr>
                <w:rStyle w:val="Hyperlink"/>
                <w:snapToGrid w:val="0"/>
                <w:lang w:eastAsia="en-US"/>
              </w:rPr>
              <w:t>Sensitivity Analyses for Cost-effectiveness Analyses: Population iiA</w:t>
            </w:r>
            <w:r w:rsidR="00DE65AE">
              <w:rPr>
                <w:webHidden/>
              </w:rPr>
              <w:tab/>
            </w:r>
            <w:r w:rsidR="00DE65AE">
              <w:rPr>
                <w:webHidden/>
              </w:rPr>
              <w:fldChar w:fldCharType="begin"/>
            </w:r>
            <w:r w:rsidR="00DE65AE">
              <w:rPr>
                <w:webHidden/>
              </w:rPr>
              <w:instrText xml:space="preserve"> PAGEREF _Toc451501448 \h </w:instrText>
            </w:r>
            <w:r w:rsidR="00DE65AE">
              <w:rPr>
                <w:webHidden/>
              </w:rPr>
            </w:r>
            <w:r w:rsidR="00DE65AE">
              <w:rPr>
                <w:webHidden/>
              </w:rPr>
              <w:fldChar w:fldCharType="separate"/>
            </w:r>
            <w:r w:rsidR="00054ED4">
              <w:rPr>
                <w:webHidden/>
              </w:rPr>
              <w:t>318</w:t>
            </w:r>
            <w:r w:rsidR="00DE65AE">
              <w:rPr>
                <w:webHidden/>
              </w:rPr>
              <w:fldChar w:fldCharType="end"/>
            </w:r>
          </w:hyperlink>
        </w:p>
        <w:p w14:paraId="3656EE98" w14:textId="77777777" w:rsidR="00DE65AE" w:rsidRDefault="00CD4AC5" w:rsidP="004C79C1">
          <w:pPr>
            <w:pStyle w:val="TOC2"/>
            <w:spacing w:after="120" w:line="240" w:lineRule="auto"/>
            <w:rPr>
              <w:rFonts w:asciiTheme="minorHAnsi" w:eastAsiaTheme="minorEastAsia" w:hAnsiTheme="minorHAnsi" w:cstheme="minorBidi"/>
            </w:rPr>
          </w:pPr>
          <w:hyperlink w:anchor="_Toc451501449" w:history="1">
            <w:r w:rsidR="00DE65AE" w:rsidRPr="003E51D2">
              <w:rPr>
                <w:rStyle w:val="Hyperlink"/>
              </w:rPr>
              <w:t>Using Public Sector Costs</w:t>
            </w:r>
            <w:r w:rsidR="00DE65AE">
              <w:rPr>
                <w:webHidden/>
              </w:rPr>
              <w:tab/>
            </w:r>
            <w:r w:rsidR="00DE65AE">
              <w:rPr>
                <w:webHidden/>
              </w:rPr>
              <w:fldChar w:fldCharType="begin"/>
            </w:r>
            <w:r w:rsidR="00DE65AE">
              <w:rPr>
                <w:webHidden/>
              </w:rPr>
              <w:instrText xml:space="preserve"> PAGEREF _Toc451501449 \h </w:instrText>
            </w:r>
            <w:r w:rsidR="00DE65AE">
              <w:rPr>
                <w:webHidden/>
              </w:rPr>
            </w:r>
            <w:r w:rsidR="00DE65AE">
              <w:rPr>
                <w:webHidden/>
              </w:rPr>
              <w:fldChar w:fldCharType="separate"/>
            </w:r>
            <w:r w:rsidR="00054ED4">
              <w:rPr>
                <w:webHidden/>
              </w:rPr>
              <w:t>318</w:t>
            </w:r>
            <w:r w:rsidR="00DE65AE">
              <w:rPr>
                <w:webHidden/>
              </w:rPr>
              <w:fldChar w:fldCharType="end"/>
            </w:r>
          </w:hyperlink>
        </w:p>
        <w:p w14:paraId="400C1662" w14:textId="77777777" w:rsidR="00DE65AE" w:rsidRDefault="00CD4AC5" w:rsidP="004C79C1">
          <w:pPr>
            <w:pStyle w:val="TOC2"/>
            <w:spacing w:after="120" w:line="240" w:lineRule="auto"/>
            <w:rPr>
              <w:rFonts w:asciiTheme="minorHAnsi" w:eastAsiaTheme="minorEastAsia" w:hAnsiTheme="minorHAnsi" w:cstheme="minorBidi"/>
            </w:rPr>
          </w:pPr>
          <w:hyperlink w:anchor="_Toc451501450" w:history="1">
            <w:r w:rsidR="00DE65AE" w:rsidRPr="003E51D2">
              <w:rPr>
                <w:rStyle w:val="Hyperlink"/>
              </w:rPr>
              <w:t>Using Private Sector Costs</w:t>
            </w:r>
            <w:r w:rsidR="00DE65AE">
              <w:rPr>
                <w:webHidden/>
              </w:rPr>
              <w:tab/>
            </w:r>
            <w:r w:rsidR="00DE65AE">
              <w:rPr>
                <w:webHidden/>
              </w:rPr>
              <w:fldChar w:fldCharType="begin"/>
            </w:r>
            <w:r w:rsidR="00DE65AE">
              <w:rPr>
                <w:webHidden/>
              </w:rPr>
              <w:instrText xml:space="preserve"> PAGEREF _Toc451501450 \h </w:instrText>
            </w:r>
            <w:r w:rsidR="00DE65AE">
              <w:rPr>
                <w:webHidden/>
              </w:rPr>
            </w:r>
            <w:r w:rsidR="00DE65AE">
              <w:rPr>
                <w:webHidden/>
              </w:rPr>
              <w:fldChar w:fldCharType="separate"/>
            </w:r>
            <w:r w:rsidR="00054ED4">
              <w:rPr>
                <w:webHidden/>
              </w:rPr>
              <w:t>318</w:t>
            </w:r>
            <w:r w:rsidR="00DE65AE">
              <w:rPr>
                <w:webHidden/>
              </w:rPr>
              <w:fldChar w:fldCharType="end"/>
            </w:r>
          </w:hyperlink>
        </w:p>
        <w:p w14:paraId="2AC38D49" w14:textId="53102A23" w:rsidR="00DE65AE" w:rsidRDefault="00CD4AC5" w:rsidP="004C79C1">
          <w:pPr>
            <w:pStyle w:val="TOC1"/>
            <w:spacing w:before="0" w:after="120" w:line="240" w:lineRule="auto"/>
            <w:rPr>
              <w:rFonts w:asciiTheme="minorHAnsi" w:eastAsiaTheme="minorEastAsia" w:hAnsiTheme="minorHAnsi" w:cstheme="minorBidi"/>
              <w:b w:val="0"/>
            </w:rPr>
          </w:pPr>
          <w:hyperlink w:anchor="_Toc451501451" w:history="1">
            <w:r w:rsidR="00DE65AE" w:rsidRPr="003E51D2">
              <w:rPr>
                <w:rStyle w:val="Hyperlink"/>
              </w:rPr>
              <w:t>References</w:t>
            </w:r>
            <w:r w:rsidR="00DE65AE">
              <w:rPr>
                <w:webHidden/>
              </w:rPr>
              <w:tab/>
            </w:r>
            <w:r w:rsidR="00C834E1">
              <w:rPr>
                <w:webHidden/>
              </w:rPr>
              <w:tab/>
            </w:r>
            <w:r w:rsidR="00DE65AE">
              <w:rPr>
                <w:webHidden/>
              </w:rPr>
              <w:fldChar w:fldCharType="begin"/>
            </w:r>
            <w:r w:rsidR="00DE65AE">
              <w:rPr>
                <w:webHidden/>
              </w:rPr>
              <w:instrText xml:space="preserve"> PAGEREF _Toc451501451 \h </w:instrText>
            </w:r>
            <w:r w:rsidR="00DE65AE">
              <w:rPr>
                <w:webHidden/>
              </w:rPr>
            </w:r>
            <w:r w:rsidR="00DE65AE">
              <w:rPr>
                <w:webHidden/>
              </w:rPr>
              <w:fldChar w:fldCharType="separate"/>
            </w:r>
            <w:r w:rsidR="00054ED4">
              <w:rPr>
                <w:webHidden/>
              </w:rPr>
              <w:t>319</w:t>
            </w:r>
            <w:r w:rsidR="00DE65AE">
              <w:rPr>
                <w:webHidden/>
              </w:rPr>
              <w:fldChar w:fldCharType="end"/>
            </w:r>
          </w:hyperlink>
        </w:p>
        <w:p w14:paraId="0A794F58" w14:textId="65715539" w:rsidR="00822558" w:rsidRDefault="00822558" w:rsidP="004C79C1">
          <w:pPr>
            <w:spacing w:after="120" w:line="240" w:lineRule="auto"/>
          </w:pPr>
          <w:r>
            <w:rPr>
              <w:b/>
              <w:bCs/>
              <w:noProof/>
            </w:rPr>
            <w:fldChar w:fldCharType="end"/>
          </w:r>
        </w:p>
      </w:sdtContent>
    </w:sdt>
    <w:p w14:paraId="3C0A436F" w14:textId="323065C7" w:rsidR="008F59A8" w:rsidRPr="00183E4D" w:rsidRDefault="008F59A8" w:rsidP="004C79C1">
      <w:pPr>
        <w:pStyle w:val="Heading2"/>
        <w:spacing w:before="0" w:after="120" w:line="240" w:lineRule="auto"/>
        <w:jc w:val="both"/>
      </w:pPr>
      <w:bookmarkStart w:id="18" w:name="_Toc381796425"/>
      <w:bookmarkStart w:id="19" w:name="_Toc395200736"/>
      <w:bookmarkStart w:id="20" w:name="_Toc399247191"/>
      <w:bookmarkStart w:id="21" w:name="_Toc451501253"/>
      <w:r w:rsidRPr="00183E4D">
        <w:t>Tables</w:t>
      </w:r>
      <w:bookmarkEnd w:id="18"/>
      <w:bookmarkEnd w:id="19"/>
      <w:bookmarkEnd w:id="20"/>
      <w:bookmarkEnd w:id="21"/>
    </w:p>
    <w:bookmarkStart w:id="22" w:name="_Toc381796426"/>
    <w:bookmarkStart w:id="23" w:name="_Toc395200737"/>
    <w:p w14:paraId="30053443" w14:textId="77777777" w:rsidR="007251F2" w:rsidRDefault="00F83DFC" w:rsidP="004C79C1">
      <w:pPr>
        <w:pStyle w:val="TableofFigures"/>
        <w:spacing w:line="240" w:lineRule="auto"/>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\c "Table" </w:instrText>
      </w:r>
      <w:r>
        <w:rPr>
          <w:rFonts w:asciiTheme="minorHAnsi" w:eastAsiaTheme="minorEastAsia" w:hAnsiTheme="minorHAnsi" w:cstheme="minorBidi"/>
          <w:b/>
          <w:smallCaps/>
        </w:rPr>
        <w:fldChar w:fldCharType="separate"/>
      </w:r>
      <w:r w:rsidR="007251F2">
        <w:t>Table 1</w:t>
      </w:r>
      <w:r w:rsidR="007251F2">
        <w:rPr>
          <w:rFonts w:asciiTheme="minorHAnsi" w:eastAsiaTheme="minorEastAsia" w:hAnsiTheme="minorHAnsi" w:cstheme="minorBidi"/>
        </w:rPr>
        <w:tab/>
      </w:r>
      <w:r w:rsidR="007251F2">
        <w:t>Key features of the included linked evidence</w:t>
      </w:r>
      <w:r w:rsidR="007251F2">
        <w:tab/>
      </w:r>
      <w:r w:rsidR="007251F2">
        <w:fldChar w:fldCharType="begin"/>
      </w:r>
      <w:r w:rsidR="007251F2">
        <w:instrText xml:space="preserve"> PAGEREF _Toc451435328 \h </w:instrText>
      </w:r>
      <w:r w:rsidR="007251F2">
        <w:fldChar w:fldCharType="separate"/>
      </w:r>
      <w:r w:rsidR="00054ED4">
        <w:t>25</w:t>
      </w:r>
      <w:r w:rsidR="007251F2">
        <w:fldChar w:fldCharType="end"/>
      </w:r>
    </w:p>
    <w:p w14:paraId="52B2ACFB" w14:textId="77777777" w:rsidR="007251F2" w:rsidRDefault="007251F2" w:rsidP="004C79C1">
      <w:pPr>
        <w:pStyle w:val="TableofFigures"/>
        <w:spacing w:line="240" w:lineRule="auto"/>
        <w:rPr>
          <w:rFonts w:asciiTheme="minorHAnsi" w:eastAsiaTheme="minorEastAsia" w:hAnsiTheme="minorHAnsi" w:cstheme="minorBidi"/>
        </w:rPr>
      </w:pPr>
      <w:r>
        <w:t xml:space="preserve">Table 2 </w:t>
      </w:r>
      <w:r>
        <w:rPr>
          <w:rFonts w:asciiTheme="minorHAnsi" w:eastAsiaTheme="minorEastAsia" w:hAnsiTheme="minorHAnsi" w:cstheme="minorBidi"/>
        </w:rPr>
        <w:tab/>
      </w:r>
      <w:r>
        <w:t>Summary of findings for the linked evidence comparison of CMR for DCM</w:t>
      </w:r>
      <w:r>
        <w:tab/>
      </w:r>
      <w:r>
        <w:fldChar w:fldCharType="begin"/>
      </w:r>
      <w:r>
        <w:instrText xml:space="preserve"> PAGEREF _Toc451435329 \h </w:instrText>
      </w:r>
      <w:r>
        <w:fldChar w:fldCharType="separate"/>
      </w:r>
      <w:r w:rsidR="00054ED4">
        <w:t>29</w:t>
      </w:r>
      <w:r>
        <w:fldChar w:fldCharType="end"/>
      </w:r>
    </w:p>
    <w:p w14:paraId="2BA2ED54" w14:textId="77777777" w:rsidR="007251F2" w:rsidRDefault="007251F2" w:rsidP="004C79C1">
      <w:pPr>
        <w:pStyle w:val="TableofFigures"/>
        <w:spacing w:line="240" w:lineRule="auto"/>
        <w:rPr>
          <w:rFonts w:asciiTheme="minorHAnsi" w:eastAsiaTheme="minorEastAsia" w:hAnsiTheme="minorHAnsi" w:cstheme="minorBidi"/>
        </w:rPr>
      </w:pPr>
      <w:r>
        <w:t>Table 3</w:t>
      </w:r>
      <w:r>
        <w:rPr>
          <w:rFonts w:asciiTheme="minorHAnsi" w:eastAsiaTheme="minorEastAsia" w:hAnsiTheme="minorHAnsi" w:cstheme="minorBidi"/>
        </w:rPr>
        <w:tab/>
      </w:r>
      <w:r>
        <w:t>Number of CMR tests for suspected DCM (by subpopulation) and total costs</w:t>
      </w:r>
      <w:r>
        <w:tab/>
      </w:r>
      <w:r>
        <w:fldChar w:fldCharType="begin"/>
      </w:r>
      <w:r>
        <w:instrText xml:space="preserve"> PAGEREF _Toc451435330 \h </w:instrText>
      </w:r>
      <w:r>
        <w:fldChar w:fldCharType="separate"/>
      </w:r>
      <w:r w:rsidR="00054ED4">
        <w:t>34</w:t>
      </w:r>
      <w:r>
        <w:fldChar w:fldCharType="end"/>
      </w:r>
    </w:p>
    <w:p w14:paraId="247788AF" w14:textId="77777777" w:rsidR="007251F2" w:rsidRDefault="007251F2" w:rsidP="004C79C1">
      <w:pPr>
        <w:pStyle w:val="TableofFigures"/>
        <w:spacing w:line="240" w:lineRule="auto"/>
        <w:rPr>
          <w:rFonts w:asciiTheme="minorHAnsi" w:eastAsiaTheme="minorEastAsia" w:hAnsiTheme="minorHAnsi" w:cstheme="minorBidi"/>
        </w:rPr>
      </w:pPr>
      <w:r>
        <w:t>Table 4</w:t>
      </w:r>
      <w:r>
        <w:rPr>
          <w:rFonts w:asciiTheme="minorHAnsi" w:eastAsiaTheme="minorEastAsia" w:hAnsiTheme="minorHAnsi" w:cstheme="minorBidi"/>
        </w:rPr>
        <w:tab/>
      </w:r>
      <w:r>
        <w:t>Total costs to the MBS associated with CMR for suspected DCM</w:t>
      </w:r>
      <w:r>
        <w:tab/>
      </w:r>
      <w:r>
        <w:fldChar w:fldCharType="begin"/>
      </w:r>
      <w:r>
        <w:instrText xml:space="preserve"> PAGEREF _Toc451435331 \h </w:instrText>
      </w:r>
      <w:r>
        <w:fldChar w:fldCharType="separate"/>
      </w:r>
      <w:r w:rsidR="00054ED4">
        <w:t>35</w:t>
      </w:r>
      <w:r>
        <w:fldChar w:fldCharType="end"/>
      </w:r>
    </w:p>
    <w:p w14:paraId="18C35AE6" w14:textId="77777777" w:rsidR="007251F2" w:rsidRDefault="007251F2" w:rsidP="004C79C1">
      <w:pPr>
        <w:pStyle w:val="TableofFigures"/>
        <w:spacing w:line="240" w:lineRule="auto"/>
        <w:rPr>
          <w:rFonts w:asciiTheme="minorHAnsi" w:eastAsiaTheme="minorEastAsia" w:hAnsiTheme="minorHAnsi" w:cstheme="minorBidi"/>
        </w:rPr>
      </w:pPr>
      <w:r>
        <w:t xml:space="preserve">Table 5 </w:t>
      </w:r>
      <w:r>
        <w:rPr>
          <w:rFonts w:asciiTheme="minorHAnsi" w:eastAsiaTheme="minorEastAsia" w:hAnsiTheme="minorHAnsi" w:cstheme="minorBidi"/>
        </w:rPr>
        <w:tab/>
      </w:r>
      <w:r>
        <w:t>Proposed MBS item descriptor for the investigation of suspected DCM</w:t>
      </w:r>
      <w:r>
        <w:tab/>
      </w:r>
      <w:r>
        <w:fldChar w:fldCharType="begin"/>
      </w:r>
      <w:r>
        <w:instrText xml:space="preserve"> PAGEREF _Toc451435332 \h </w:instrText>
      </w:r>
      <w:r>
        <w:fldChar w:fldCharType="separate"/>
      </w:r>
      <w:r w:rsidR="00054ED4">
        <w:t>43</w:t>
      </w:r>
      <w:r>
        <w:fldChar w:fldCharType="end"/>
      </w:r>
    </w:p>
    <w:p w14:paraId="1982DB4F" w14:textId="77777777" w:rsidR="007251F2" w:rsidRDefault="007251F2" w:rsidP="004C79C1">
      <w:pPr>
        <w:pStyle w:val="TableofFigures"/>
        <w:spacing w:line="240" w:lineRule="auto"/>
        <w:rPr>
          <w:rFonts w:asciiTheme="minorHAnsi" w:eastAsiaTheme="minorEastAsia" w:hAnsiTheme="minorHAnsi" w:cstheme="minorBidi"/>
        </w:rPr>
      </w:pPr>
      <w:r>
        <w:t xml:space="preserve">Table 6 </w:t>
      </w:r>
      <w:r>
        <w:rPr>
          <w:rFonts w:asciiTheme="minorHAnsi" w:eastAsiaTheme="minorEastAsia" w:hAnsiTheme="minorHAnsi" w:cstheme="minorBidi"/>
        </w:rPr>
        <w:tab/>
      </w:r>
      <w:r>
        <w:t>Advantages and disadvantages of imaging techniques</w:t>
      </w:r>
      <w:r>
        <w:tab/>
      </w:r>
      <w:r>
        <w:fldChar w:fldCharType="begin"/>
      </w:r>
      <w:r>
        <w:instrText xml:space="preserve"> PAGEREF _Toc451435333 \h </w:instrText>
      </w:r>
      <w:r>
        <w:fldChar w:fldCharType="separate"/>
      </w:r>
      <w:r w:rsidR="00054ED4">
        <w:t>52</w:t>
      </w:r>
      <w:r>
        <w:fldChar w:fldCharType="end"/>
      </w:r>
    </w:p>
    <w:p w14:paraId="4C24308D" w14:textId="77777777" w:rsidR="007251F2" w:rsidRDefault="007251F2" w:rsidP="004C79C1">
      <w:pPr>
        <w:pStyle w:val="TableofFigures"/>
        <w:spacing w:line="240" w:lineRule="auto"/>
        <w:rPr>
          <w:rFonts w:asciiTheme="minorHAnsi" w:eastAsiaTheme="minorEastAsia" w:hAnsiTheme="minorHAnsi" w:cstheme="minorBidi"/>
        </w:rPr>
      </w:pPr>
      <w:r>
        <w:t>Table 7</w:t>
      </w:r>
      <w:r>
        <w:rPr>
          <w:rFonts w:asciiTheme="minorHAnsi" w:eastAsiaTheme="minorEastAsia" w:hAnsiTheme="minorHAnsi" w:cstheme="minorBidi"/>
        </w:rPr>
        <w:tab/>
      </w:r>
      <w:r>
        <w:t>Search terms used for CMR for cardiomyopathies (Pubmed/medline platform)</w:t>
      </w:r>
      <w:r>
        <w:tab/>
      </w:r>
      <w:r>
        <w:fldChar w:fldCharType="begin"/>
      </w:r>
      <w:r>
        <w:instrText xml:space="preserve"> PAGEREF _Toc451435334 \h </w:instrText>
      </w:r>
      <w:r>
        <w:fldChar w:fldCharType="separate"/>
      </w:r>
      <w:r w:rsidR="00054ED4">
        <w:t>60</w:t>
      </w:r>
      <w:r>
        <w:fldChar w:fldCharType="end"/>
      </w:r>
    </w:p>
    <w:p w14:paraId="23677CAC" w14:textId="77777777" w:rsidR="007251F2" w:rsidRDefault="007251F2" w:rsidP="004C79C1">
      <w:pPr>
        <w:pStyle w:val="TableofFigures"/>
        <w:spacing w:line="240" w:lineRule="auto"/>
        <w:rPr>
          <w:rFonts w:asciiTheme="minorHAnsi" w:eastAsiaTheme="minorEastAsia" w:hAnsiTheme="minorHAnsi" w:cstheme="minorBidi"/>
        </w:rPr>
      </w:pPr>
      <w:r>
        <w:t xml:space="preserve">Table 8 </w:t>
      </w:r>
      <w:r>
        <w:rPr>
          <w:rFonts w:asciiTheme="minorHAnsi" w:eastAsiaTheme="minorEastAsia" w:hAnsiTheme="minorHAnsi" w:cstheme="minorBidi"/>
        </w:rPr>
        <w:tab/>
      </w:r>
      <w:r>
        <w:t>Search terms used in diagnostic accuracy search</w:t>
      </w:r>
      <w:r>
        <w:tab/>
      </w:r>
      <w:r>
        <w:fldChar w:fldCharType="begin"/>
      </w:r>
      <w:r>
        <w:instrText xml:space="preserve"> PAGEREF _Toc451435335 \h </w:instrText>
      </w:r>
      <w:r>
        <w:fldChar w:fldCharType="separate"/>
      </w:r>
      <w:r w:rsidR="00054ED4">
        <w:t>64</w:t>
      </w:r>
      <w:r>
        <w:fldChar w:fldCharType="end"/>
      </w:r>
    </w:p>
    <w:p w14:paraId="54269818" w14:textId="77777777" w:rsidR="007251F2" w:rsidRDefault="007251F2" w:rsidP="004C79C1">
      <w:pPr>
        <w:pStyle w:val="TableofFigures"/>
        <w:spacing w:line="240" w:lineRule="auto"/>
        <w:rPr>
          <w:rFonts w:asciiTheme="minorHAnsi" w:eastAsiaTheme="minorEastAsia" w:hAnsiTheme="minorHAnsi" w:cstheme="minorBidi"/>
        </w:rPr>
      </w:pPr>
      <w:r>
        <w:t>Table 9</w:t>
      </w:r>
      <w:r>
        <w:rPr>
          <w:rFonts w:asciiTheme="minorHAnsi" w:eastAsiaTheme="minorEastAsia" w:hAnsiTheme="minorHAnsi" w:cstheme="minorBidi"/>
        </w:rPr>
        <w:tab/>
      </w:r>
      <w:r>
        <w:t>Key features of the included evidence of diagnostic accuracy of LGE-CMR</w:t>
      </w:r>
      <w:r>
        <w:tab/>
      </w:r>
      <w:r>
        <w:fldChar w:fldCharType="begin"/>
      </w:r>
      <w:r>
        <w:instrText xml:space="preserve"> PAGEREF _Toc451435336 \h </w:instrText>
      </w:r>
      <w:r>
        <w:fldChar w:fldCharType="separate"/>
      </w:r>
      <w:r w:rsidR="00054ED4">
        <w:t>67</w:t>
      </w:r>
      <w:r>
        <w:fldChar w:fldCharType="end"/>
      </w:r>
    </w:p>
    <w:p w14:paraId="67A5A0BD" w14:textId="77777777" w:rsidR="007251F2" w:rsidRDefault="007251F2" w:rsidP="004C79C1">
      <w:pPr>
        <w:pStyle w:val="TableofFigures"/>
        <w:spacing w:line="240" w:lineRule="auto"/>
        <w:rPr>
          <w:rFonts w:asciiTheme="minorHAnsi" w:eastAsiaTheme="minorEastAsia" w:hAnsiTheme="minorHAnsi" w:cstheme="minorBidi"/>
        </w:rPr>
      </w:pPr>
      <w:r>
        <w:t>Table 10</w:t>
      </w:r>
      <w:r>
        <w:rPr>
          <w:rFonts w:asciiTheme="minorHAnsi" w:eastAsiaTheme="minorEastAsia" w:hAnsiTheme="minorHAnsi" w:cstheme="minorBidi"/>
        </w:rPr>
        <w:tab/>
      </w:r>
      <w:r>
        <w:t>Tabular presentation for QUADAS-2 results</w:t>
      </w:r>
      <w:r>
        <w:tab/>
      </w:r>
      <w:r>
        <w:fldChar w:fldCharType="begin"/>
      </w:r>
      <w:r>
        <w:instrText xml:space="preserve"> PAGEREF _Toc451435337 \h </w:instrText>
      </w:r>
      <w:r>
        <w:fldChar w:fldCharType="separate"/>
      </w:r>
      <w:r w:rsidR="00054ED4">
        <w:t>69</w:t>
      </w:r>
      <w:r>
        <w:fldChar w:fldCharType="end"/>
      </w:r>
    </w:p>
    <w:p w14:paraId="58147290" w14:textId="77777777" w:rsidR="007251F2" w:rsidRDefault="007251F2" w:rsidP="004C79C1">
      <w:pPr>
        <w:pStyle w:val="TableofFigures"/>
        <w:spacing w:line="240" w:lineRule="auto"/>
        <w:rPr>
          <w:rFonts w:asciiTheme="minorHAnsi" w:eastAsiaTheme="minorEastAsia" w:hAnsiTheme="minorHAnsi" w:cstheme="minorBidi"/>
        </w:rPr>
      </w:pPr>
      <w:r>
        <w:t>Table 11</w:t>
      </w:r>
      <w:r>
        <w:rPr>
          <w:rFonts w:asciiTheme="minorHAnsi" w:eastAsiaTheme="minorEastAsia" w:hAnsiTheme="minorHAnsi" w:cstheme="minorBidi"/>
        </w:rPr>
        <w:tab/>
      </w:r>
      <w:r>
        <w:t>Diagnostic accuracy data extraction</w:t>
      </w:r>
      <w:r>
        <w:tab/>
      </w:r>
      <w:r>
        <w:fldChar w:fldCharType="begin"/>
      </w:r>
      <w:r>
        <w:instrText xml:space="preserve"> PAGEREF _Toc451435338 \h </w:instrText>
      </w:r>
      <w:r>
        <w:fldChar w:fldCharType="separate"/>
      </w:r>
      <w:r w:rsidR="00054ED4">
        <w:t>70</w:t>
      </w:r>
      <w:r>
        <w:fldChar w:fldCharType="end"/>
      </w:r>
    </w:p>
    <w:p w14:paraId="237BDA7A" w14:textId="77777777" w:rsidR="007251F2" w:rsidRDefault="007251F2" w:rsidP="004C79C1">
      <w:pPr>
        <w:pStyle w:val="TableofFigures"/>
        <w:spacing w:line="240" w:lineRule="auto"/>
        <w:rPr>
          <w:rFonts w:asciiTheme="minorHAnsi" w:eastAsiaTheme="minorEastAsia" w:hAnsiTheme="minorHAnsi" w:cstheme="minorBidi"/>
        </w:rPr>
      </w:pPr>
      <w:r>
        <w:t>Table 12</w:t>
      </w:r>
      <w:r>
        <w:rPr>
          <w:rFonts w:asciiTheme="minorHAnsi" w:eastAsiaTheme="minorEastAsia" w:hAnsiTheme="minorHAnsi" w:cstheme="minorBidi"/>
        </w:rPr>
        <w:tab/>
      </w:r>
      <w:r>
        <w:t>Sensitivity and specificity of LGE-CMR in diagnosing DCM when available diagnostic data is used as the reference standard</w:t>
      </w:r>
      <w:r>
        <w:tab/>
      </w:r>
      <w:r>
        <w:fldChar w:fldCharType="begin"/>
      </w:r>
      <w:r>
        <w:instrText xml:space="preserve"> PAGEREF _Toc451435339 \h </w:instrText>
      </w:r>
      <w:r>
        <w:fldChar w:fldCharType="separate"/>
      </w:r>
      <w:r w:rsidR="00054ED4">
        <w:t>73</w:t>
      </w:r>
      <w:r>
        <w:fldChar w:fldCharType="end"/>
      </w:r>
    </w:p>
    <w:p w14:paraId="61793DD4" w14:textId="77777777" w:rsidR="007251F2" w:rsidRDefault="007251F2" w:rsidP="004C79C1">
      <w:pPr>
        <w:pStyle w:val="TableofFigures"/>
        <w:spacing w:line="240" w:lineRule="auto"/>
        <w:rPr>
          <w:rFonts w:asciiTheme="minorHAnsi" w:eastAsiaTheme="minorEastAsia" w:hAnsiTheme="minorHAnsi" w:cstheme="minorBidi"/>
        </w:rPr>
      </w:pPr>
      <w:r>
        <w:t>Table 13</w:t>
      </w:r>
      <w:r>
        <w:rPr>
          <w:rFonts w:asciiTheme="minorHAnsi" w:eastAsiaTheme="minorEastAsia" w:hAnsiTheme="minorHAnsi" w:cstheme="minorBidi"/>
        </w:rPr>
        <w:tab/>
      </w:r>
      <w:r>
        <w:t>Summary of findings for the accuracy of LGE-CMR in patients suspected of DCM or patients with DCM and an unknown aetiology</w:t>
      </w:r>
      <w:r>
        <w:tab/>
      </w:r>
      <w:r>
        <w:fldChar w:fldCharType="begin"/>
      </w:r>
      <w:r>
        <w:instrText xml:space="preserve"> PAGEREF _Toc451435340 \h </w:instrText>
      </w:r>
      <w:r>
        <w:fldChar w:fldCharType="separate"/>
      </w:r>
      <w:r w:rsidR="00054ED4">
        <w:t>80</w:t>
      </w:r>
      <w:r>
        <w:fldChar w:fldCharType="end"/>
      </w:r>
    </w:p>
    <w:p w14:paraId="0345E11C" w14:textId="77777777" w:rsidR="007251F2" w:rsidRDefault="007251F2" w:rsidP="004C79C1">
      <w:pPr>
        <w:pStyle w:val="TableofFigures"/>
        <w:spacing w:line="240" w:lineRule="auto"/>
        <w:rPr>
          <w:rFonts w:asciiTheme="minorHAnsi" w:eastAsiaTheme="minorEastAsia" w:hAnsiTheme="minorHAnsi" w:cstheme="minorBidi"/>
        </w:rPr>
      </w:pPr>
      <w:r>
        <w:t>Table 14</w:t>
      </w:r>
      <w:r>
        <w:rPr>
          <w:rFonts w:asciiTheme="minorHAnsi" w:eastAsiaTheme="minorEastAsia" w:hAnsiTheme="minorHAnsi" w:cstheme="minorBidi"/>
        </w:rPr>
        <w:tab/>
      </w:r>
      <w:r>
        <w:t>Likelihood ratios and predictive values for LGE-CMR compared with reference standards</w:t>
      </w:r>
      <w:r>
        <w:tab/>
      </w:r>
      <w:r>
        <w:fldChar w:fldCharType="begin"/>
      </w:r>
      <w:r>
        <w:instrText xml:space="preserve"> PAGEREF _Toc451435341 \h </w:instrText>
      </w:r>
      <w:r>
        <w:fldChar w:fldCharType="separate"/>
      </w:r>
      <w:r w:rsidR="00054ED4">
        <w:t>85</w:t>
      </w:r>
      <w:r>
        <w:fldChar w:fldCharType="end"/>
      </w:r>
    </w:p>
    <w:p w14:paraId="2AD9A2A6" w14:textId="77777777" w:rsidR="007251F2" w:rsidRDefault="007251F2" w:rsidP="004C79C1">
      <w:pPr>
        <w:pStyle w:val="TableofFigures"/>
        <w:spacing w:line="240" w:lineRule="auto"/>
        <w:rPr>
          <w:rFonts w:asciiTheme="minorHAnsi" w:eastAsiaTheme="minorEastAsia" w:hAnsiTheme="minorHAnsi" w:cstheme="minorBidi"/>
        </w:rPr>
      </w:pPr>
      <w:r>
        <w:t>Table 15</w:t>
      </w:r>
      <w:r>
        <w:rPr>
          <w:rFonts w:asciiTheme="minorHAnsi" w:eastAsiaTheme="minorEastAsia" w:hAnsiTheme="minorHAnsi" w:cstheme="minorBidi"/>
        </w:rPr>
        <w:tab/>
      </w:r>
      <w:r>
        <w:t>CMR and health outcomes in children recently diagnosed with DCM of unknown origin</w:t>
      </w:r>
      <w:r>
        <w:tab/>
      </w:r>
      <w:r>
        <w:fldChar w:fldCharType="begin"/>
      </w:r>
      <w:r>
        <w:instrText xml:space="preserve"> PAGEREF _Toc451435342 \h </w:instrText>
      </w:r>
      <w:r>
        <w:fldChar w:fldCharType="separate"/>
      </w:r>
      <w:r w:rsidR="00054ED4">
        <w:t>95</w:t>
      </w:r>
      <w:r>
        <w:fldChar w:fldCharType="end"/>
      </w:r>
    </w:p>
    <w:p w14:paraId="7A418BFA" w14:textId="77777777" w:rsidR="007251F2" w:rsidRDefault="007251F2" w:rsidP="004C79C1">
      <w:pPr>
        <w:pStyle w:val="TableofFigures"/>
        <w:spacing w:line="240" w:lineRule="auto"/>
        <w:rPr>
          <w:rFonts w:asciiTheme="minorHAnsi" w:eastAsiaTheme="minorEastAsia" w:hAnsiTheme="minorHAnsi" w:cstheme="minorBidi"/>
        </w:rPr>
      </w:pPr>
      <w:r>
        <w:t>Table 16</w:t>
      </w:r>
      <w:r>
        <w:rPr>
          <w:rFonts w:asciiTheme="minorHAnsi" w:eastAsiaTheme="minorEastAsia" w:hAnsiTheme="minorHAnsi" w:cstheme="minorBidi"/>
        </w:rPr>
        <w:tab/>
      </w:r>
      <w:r>
        <w:t>Outcomes of a second CMR scan conducted at least 6 months after the first CMR scan</w:t>
      </w:r>
      <w:r>
        <w:tab/>
      </w:r>
      <w:r>
        <w:fldChar w:fldCharType="begin"/>
      </w:r>
      <w:r>
        <w:instrText xml:space="preserve"> PAGEREF _Toc451435343 \h </w:instrText>
      </w:r>
      <w:r>
        <w:fldChar w:fldCharType="separate"/>
      </w:r>
      <w:r w:rsidR="00054ED4">
        <w:t>96</w:t>
      </w:r>
      <w:r>
        <w:fldChar w:fldCharType="end"/>
      </w:r>
    </w:p>
    <w:p w14:paraId="3FA3E637" w14:textId="77777777" w:rsidR="007251F2" w:rsidRDefault="007251F2" w:rsidP="004C79C1">
      <w:pPr>
        <w:pStyle w:val="TableofFigures"/>
        <w:spacing w:line="240" w:lineRule="auto"/>
        <w:rPr>
          <w:rFonts w:asciiTheme="minorHAnsi" w:eastAsiaTheme="minorEastAsia" w:hAnsiTheme="minorHAnsi" w:cstheme="minorBidi"/>
        </w:rPr>
      </w:pPr>
      <w:r>
        <w:t>Table 17</w:t>
      </w:r>
      <w:r>
        <w:rPr>
          <w:rFonts w:asciiTheme="minorHAnsi" w:eastAsiaTheme="minorEastAsia" w:hAnsiTheme="minorHAnsi" w:cstheme="minorBidi"/>
        </w:rPr>
        <w:tab/>
      </w:r>
      <w:r>
        <w:t>Key features of the included evidence for impact on clinical management outcomes</w:t>
      </w:r>
      <w:r>
        <w:tab/>
      </w:r>
      <w:r>
        <w:fldChar w:fldCharType="begin"/>
      </w:r>
      <w:r>
        <w:instrText xml:space="preserve"> PAGEREF _Toc451435344 \h </w:instrText>
      </w:r>
      <w:r>
        <w:fldChar w:fldCharType="separate"/>
      </w:r>
      <w:r w:rsidR="00054ED4">
        <w:t>111</w:t>
      </w:r>
      <w:r>
        <w:fldChar w:fldCharType="end"/>
      </w:r>
    </w:p>
    <w:p w14:paraId="0DC39125" w14:textId="77777777" w:rsidR="007251F2" w:rsidRDefault="007251F2" w:rsidP="004C79C1">
      <w:pPr>
        <w:pStyle w:val="TableofFigures"/>
        <w:spacing w:line="240" w:lineRule="auto"/>
        <w:rPr>
          <w:rFonts w:asciiTheme="minorHAnsi" w:eastAsiaTheme="minorEastAsia" w:hAnsiTheme="minorHAnsi" w:cstheme="minorBidi"/>
        </w:rPr>
      </w:pPr>
      <w:r>
        <w:t xml:space="preserve">Table 18 </w:t>
      </w:r>
      <w:r>
        <w:rPr>
          <w:rFonts w:asciiTheme="minorHAnsi" w:eastAsiaTheme="minorEastAsia" w:hAnsiTheme="minorHAnsi" w:cstheme="minorBidi"/>
        </w:rPr>
        <w:tab/>
      </w:r>
      <w:r>
        <w:t>Therapeutic impact of further testing in idiopathic NIDCM</w:t>
      </w:r>
      <w:r>
        <w:tab/>
      </w:r>
      <w:r>
        <w:fldChar w:fldCharType="begin"/>
      </w:r>
      <w:r>
        <w:instrText xml:space="preserve"> PAGEREF _Toc451435345 \h </w:instrText>
      </w:r>
      <w:r>
        <w:fldChar w:fldCharType="separate"/>
      </w:r>
      <w:r w:rsidR="00054ED4">
        <w:t>114</w:t>
      </w:r>
      <w:r>
        <w:fldChar w:fldCharType="end"/>
      </w:r>
    </w:p>
    <w:p w14:paraId="22A3DEA8" w14:textId="77777777" w:rsidR="007251F2" w:rsidRDefault="007251F2" w:rsidP="004C79C1">
      <w:pPr>
        <w:pStyle w:val="TableofFigures"/>
        <w:spacing w:line="240" w:lineRule="auto"/>
        <w:rPr>
          <w:rFonts w:asciiTheme="minorHAnsi" w:eastAsiaTheme="minorEastAsia" w:hAnsiTheme="minorHAnsi" w:cstheme="minorBidi"/>
        </w:rPr>
      </w:pPr>
      <w:r>
        <w:t>Table 19</w:t>
      </w:r>
      <w:r>
        <w:rPr>
          <w:rFonts w:asciiTheme="minorHAnsi" w:eastAsiaTheme="minorEastAsia" w:hAnsiTheme="minorHAnsi" w:cstheme="minorBidi"/>
        </w:rPr>
        <w:tab/>
      </w:r>
      <w:r>
        <w:t xml:space="preserve"> Device implantations at 6 months following CMR in HF patients indicated for DCM </w:t>
      </w:r>
      <w:r w:rsidRPr="00BA08CB">
        <w:rPr>
          <w:vertAlign w:val="superscript"/>
        </w:rPr>
        <w:t>a</w:t>
      </w:r>
      <w:r>
        <w:tab/>
      </w:r>
      <w:r>
        <w:fldChar w:fldCharType="begin"/>
      </w:r>
      <w:r>
        <w:instrText xml:space="preserve"> PAGEREF _Toc451435346 \h </w:instrText>
      </w:r>
      <w:r>
        <w:fldChar w:fldCharType="separate"/>
      </w:r>
      <w:r w:rsidR="00054ED4">
        <w:t>116</w:t>
      </w:r>
      <w:r>
        <w:fldChar w:fldCharType="end"/>
      </w:r>
    </w:p>
    <w:p w14:paraId="03A19EF0" w14:textId="77777777" w:rsidR="007251F2" w:rsidRDefault="007251F2" w:rsidP="004C79C1">
      <w:pPr>
        <w:pStyle w:val="TableofFigures"/>
        <w:spacing w:line="240" w:lineRule="auto"/>
        <w:rPr>
          <w:rFonts w:asciiTheme="minorHAnsi" w:eastAsiaTheme="minorEastAsia" w:hAnsiTheme="minorHAnsi" w:cstheme="minorBidi"/>
        </w:rPr>
      </w:pPr>
      <w:r>
        <w:lastRenderedPageBreak/>
        <w:t>Table 20</w:t>
      </w:r>
      <w:r>
        <w:rPr>
          <w:rFonts w:asciiTheme="minorHAnsi" w:eastAsiaTheme="minorEastAsia" w:hAnsiTheme="minorHAnsi" w:cstheme="minorBidi"/>
        </w:rPr>
        <w:tab/>
      </w:r>
      <w:r>
        <w:t xml:space="preserve">Surgery conducted following CMR in HF patients indicated for DCM </w:t>
      </w:r>
      <w:r w:rsidRPr="00BA08CB">
        <w:rPr>
          <w:vertAlign w:val="superscript"/>
        </w:rPr>
        <w:t>a</w:t>
      </w:r>
      <w:r>
        <w:tab/>
      </w:r>
      <w:r>
        <w:fldChar w:fldCharType="begin"/>
      </w:r>
      <w:r>
        <w:instrText xml:space="preserve"> PAGEREF _Toc451435347 \h </w:instrText>
      </w:r>
      <w:r>
        <w:fldChar w:fldCharType="separate"/>
      </w:r>
      <w:r w:rsidR="00054ED4">
        <w:t>117</w:t>
      </w:r>
      <w:r>
        <w:fldChar w:fldCharType="end"/>
      </w:r>
    </w:p>
    <w:p w14:paraId="6A5B10BC" w14:textId="77777777" w:rsidR="007251F2" w:rsidRDefault="007251F2" w:rsidP="004C79C1">
      <w:pPr>
        <w:pStyle w:val="TableofFigures"/>
        <w:spacing w:line="240" w:lineRule="auto"/>
        <w:rPr>
          <w:rFonts w:asciiTheme="minorHAnsi" w:eastAsiaTheme="minorEastAsia" w:hAnsiTheme="minorHAnsi" w:cstheme="minorBidi"/>
        </w:rPr>
      </w:pPr>
      <w:r>
        <w:t>Table 21</w:t>
      </w:r>
      <w:r>
        <w:rPr>
          <w:rFonts w:asciiTheme="minorHAnsi" w:eastAsiaTheme="minorEastAsia" w:hAnsiTheme="minorHAnsi" w:cstheme="minorBidi"/>
        </w:rPr>
        <w:tab/>
      </w:r>
      <w:r>
        <w:t>New diagnoses following CMR for HF or suspected CM</w:t>
      </w:r>
      <w:r>
        <w:tab/>
      </w:r>
      <w:r>
        <w:fldChar w:fldCharType="begin"/>
      </w:r>
      <w:r>
        <w:instrText xml:space="preserve"> PAGEREF _Toc451435348 \h </w:instrText>
      </w:r>
      <w:r>
        <w:fldChar w:fldCharType="separate"/>
      </w:r>
      <w:r w:rsidR="00054ED4">
        <w:t>118</w:t>
      </w:r>
      <w:r>
        <w:fldChar w:fldCharType="end"/>
      </w:r>
    </w:p>
    <w:p w14:paraId="429DFB4D" w14:textId="77777777" w:rsidR="007251F2" w:rsidRDefault="007251F2" w:rsidP="004C79C1">
      <w:pPr>
        <w:pStyle w:val="TableofFigures"/>
        <w:spacing w:line="240" w:lineRule="auto"/>
        <w:rPr>
          <w:rFonts w:asciiTheme="minorHAnsi" w:eastAsiaTheme="minorEastAsia" w:hAnsiTheme="minorHAnsi" w:cstheme="minorBidi"/>
        </w:rPr>
      </w:pPr>
      <w:r>
        <w:t>Table 22</w:t>
      </w:r>
      <w:r>
        <w:rPr>
          <w:rFonts w:asciiTheme="minorHAnsi" w:eastAsiaTheme="minorEastAsia" w:hAnsiTheme="minorHAnsi" w:cstheme="minorBidi"/>
        </w:rPr>
        <w:tab/>
      </w:r>
      <w:r>
        <w:t>Changed diagnoses following CMR in patients with HF</w:t>
      </w:r>
      <w:r>
        <w:tab/>
      </w:r>
      <w:r>
        <w:fldChar w:fldCharType="begin"/>
      </w:r>
      <w:r>
        <w:instrText xml:space="preserve"> PAGEREF _Toc451435349 \h </w:instrText>
      </w:r>
      <w:r>
        <w:fldChar w:fldCharType="separate"/>
      </w:r>
      <w:r w:rsidR="00054ED4">
        <w:t>119</w:t>
      </w:r>
      <w:r>
        <w:fldChar w:fldCharType="end"/>
      </w:r>
    </w:p>
    <w:p w14:paraId="41BE8E3E" w14:textId="77777777" w:rsidR="007251F2" w:rsidRDefault="007251F2" w:rsidP="004C79C1">
      <w:pPr>
        <w:pStyle w:val="TableofFigures"/>
        <w:spacing w:line="240" w:lineRule="auto"/>
        <w:rPr>
          <w:rFonts w:asciiTheme="minorHAnsi" w:eastAsiaTheme="minorEastAsia" w:hAnsiTheme="minorHAnsi" w:cstheme="minorBidi"/>
        </w:rPr>
      </w:pPr>
      <w:r>
        <w:t>Table 23</w:t>
      </w:r>
      <w:r>
        <w:rPr>
          <w:rFonts w:asciiTheme="minorHAnsi" w:eastAsiaTheme="minorEastAsia" w:hAnsiTheme="minorHAnsi" w:cstheme="minorBidi"/>
        </w:rPr>
        <w:tab/>
      </w:r>
      <w:r>
        <w:t>Patients indicated for myocarditis or CM with therapeutic consequences following CMR</w:t>
      </w:r>
      <w:r>
        <w:tab/>
      </w:r>
      <w:r>
        <w:fldChar w:fldCharType="begin"/>
      </w:r>
      <w:r>
        <w:instrText xml:space="preserve"> PAGEREF _Toc451435350 \h </w:instrText>
      </w:r>
      <w:r>
        <w:fldChar w:fldCharType="separate"/>
      </w:r>
      <w:r w:rsidR="00054ED4">
        <w:t>119</w:t>
      </w:r>
      <w:r>
        <w:fldChar w:fldCharType="end"/>
      </w:r>
    </w:p>
    <w:p w14:paraId="4663AF20" w14:textId="77777777" w:rsidR="007251F2" w:rsidRDefault="007251F2" w:rsidP="004C79C1">
      <w:pPr>
        <w:pStyle w:val="TableofFigures"/>
        <w:spacing w:line="240" w:lineRule="auto"/>
        <w:rPr>
          <w:rFonts w:asciiTheme="minorHAnsi" w:eastAsiaTheme="minorEastAsia" w:hAnsiTheme="minorHAnsi" w:cstheme="minorBidi"/>
        </w:rPr>
      </w:pPr>
      <w:r>
        <w:t>Table 24</w:t>
      </w:r>
      <w:r>
        <w:rPr>
          <w:rFonts w:asciiTheme="minorHAnsi" w:eastAsiaTheme="minorEastAsia" w:hAnsiTheme="minorHAnsi" w:cstheme="minorBidi"/>
        </w:rPr>
        <w:tab/>
      </w:r>
      <w:r>
        <w:t>Catheter-based procedures, vascular surgery, electrophysiology procedures, medications and hospital admissions avoided and conducted following CMR in patients with HF</w:t>
      </w:r>
      <w:r>
        <w:tab/>
      </w:r>
      <w:r>
        <w:fldChar w:fldCharType="begin"/>
      </w:r>
      <w:r>
        <w:instrText xml:space="preserve"> PAGEREF _Toc451435351 \h </w:instrText>
      </w:r>
      <w:r>
        <w:fldChar w:fldCharType="separate"/>
      </w:r>
      <w:r w:rsidR="00054ED4">
        <w:t>121</w:t>
      </w:r>
      <w:r>
        <w:fldChar w:fldCharType="end"/>
      </w:r>
    </w:p>
    <w:p w14:paraId="794226DA" w14:textId="77777777" w:rsidR="007251F2" w:rsidRDefault="007251F2" w:rsidP="004C79C1">
      <w:pPr>
        <w:pStyle w:val="TableofFigures"/>
        <w:spacing w:line="240" w:lineRule="auto"/>
        <w:rPr>
          <w:rFonts w:asciiTheme="minorHAnsi" w:eastAsiaTheme="minorEastAsia" w:hAnsiTheme="minorHAnsi" w:cstheme="minorBidi"/>
        </w:rPr>
      </w:pPr>
      <w:r>
        <w:t>Table 25</w:t>
      </w:r>
      <w:r>
        <w:rPr>
          <w:rFonts w:asciiTheme="minorHAnsi" w:eastAsiaTheme="minorEastAsia" w:hAnsiTheme="minorHAnsi" w:cstheme="minorBidi"/>
        </w:rPr>
        <w:tab/>
      </w:r>
      <w:r>
        <w:t>Patients indicated for myocarditis or CM with therapeutic consequences following CMR (Bruder et al. 2009)</w:t>
      </w:r>
      <w:r>
        <w:tab/>
      </w:r>
      <w:r>
        <w:fldChar w:fldCharType="begin"/>
      </w:r>
      <w:r>
        <w:instrText xml:space="preserve"> PAGEREF _Toc451435352 \h </w:instrText>
      </w:r>
      <w:r>
        <w:fldChar w:fldCharType="separate"/>
      </w:r>
      <w:r w:rsidR="00054ED4">
        <w:t>121</w:t>
      </w:r>
      <w:r>
        <w:fldChar w:fldCharType="end"/>
      </w:r>
    </w:p>
    <w:p w14:paraId="79D97D4A" w14:textId="77777777" w:rsidR="007251F2" w:rsidRDefault="007251F2" w:rsidP="004C79C1">
      <w:pPr>
        <w:pStyle w:val="TableofFigures"/>
        <w:spacing w:line="240" w:lineRule="auto"/>
        <w:rPr>
          <w:rFonts w:asciiTheme="minorHAnsi" w:eastAsiaTheme="minorEastAsia" w:hAnsiTheme="minorHAnsi" w:cstheme="minorBidi"/>
        </w:rPr>
      </w:pPr>
      <w:r>
        <w:t xml:space="preserve">Table 26 </w:t>
      </w:r>
      <w:r>
        <w:rPr>
          <w:rFonts w:asciiTheme="minorHAnsi" w:eastAsiaTheme="minorEastAsia" w:hAnsiTheme="minorHAnsi" w:cstheme="minorBidi"/>
        </w:rPr>
        <w:tab/>
      </w:r>
      <w:r>
        <w:t>Key features of the included evidence assessing impact of change in patient management</w:t>
      </w:r>
      <w:r>
        <w:tab/>
      </w:r>
      <w:r>
        <w:fldChar w:fldCharType="begin"/>
      </w:r>
      <w:r>
        <w:instrText xml:space="preserve"> PAGEREF _Toc451435353 \h </w:instrText>
      </w:r>
      <w:r>
        <w:fldChar w:fldCharType="separate"/>
      </w:r>
      <w:r w:rsidR="00054ED4">
        <w:t>123</w:t>
      </w:r>
      <w:r>
        <w:fldChar w:fldCharType="end"/>
      </w:r>
    </w:p>
    <w:p w14:paraId="27A88914" w14:textId="77777777" w:rsidR="007251F2" w:rsidRDefault="007251F2" w:rsidP="004C79C1">
      <w:pPr>
        <w:pStyle w:val="TableofFigures"/>
        <w:spacing w:line="240" w:lineRule="auto"/>
        <w:rPr>
          <w:rFonts w:asciiTheme="minorHAnsi" w:eastAsiaTheme="minorEastAsia" w:hAnsiTheme="minorHAnsi" w:cstheme="minorBidi"/>
        </w:rPr>
      </w:pPr>
      <w:r>
        <w:t>Table 27</w:t>
      </w:r>
      <w:r>
        <w:rPr>
          <w:rFonts w:asciiTheme="minorHAnsi" w:eastAsiaTheme="minorEastAsia" w:hAnsiTheme="minorHAnsi" w:cstheme="minorBidi"/>
        </w:rPr>
        <w:tab/>
      </w:r>
      <w:r>
        <w:t>Health outcomes after changes in management</w:t>
      </w:r>
      <w:r>
        <w:tab/>
      </w:r>
      <w:r>
        <w:fldChar w:fldCharType="begin"/>
      </w:r>
      <w:r>
        <w:instrText xml:space="preserve"> PAGEREF _Toc451435354 \h </w:instrText>
      </w:r>
      <w:r>
        <w:fldChar w:fldCharType="separate"/>
      </w:r>
      <w:r w:rsidR="00054ED4">
        <w:t>133</w:t>
      </w:r>
      <w:r>
        <w:fldChar w:fldCharType="end"/>
      </w:r>
    </w:p>
    <w:p w14:paraId="079F8E39" w14:textId="77777777" w:rsidR="007251F2" w:rsidRDefault="007251F2" w:rsidP="004C79C1">
      <w:pPr>
        <w:pStyle w:val="TableofFigures"/>
        <w:spacing w:line="240" w:lineRule="auto"/>
        <w:rPr>
          <w:rFonts w:asciiTheme="minorHAnsi" w:eastAsiaTheme="minorEastAsia" w:hAnsiTheme="minorHAnsi" w:cstheme="minorBidi"/>
        </w:rPr>
      </w:pPr>
      <w:r>
        <w:t>Table 28</w:t>
      </w:r>
      <w:r>
        <w:rPr>
          <w:rFonts w:asciiTheme="minorHAnsi" w:eastAsiaTheme="minorEastAsia" w:hAnsiTheme="minorHAnsi" w:cstheme="minorBidi"/>
        </w:rPr>
        <w:tab/>
      </w:r>
      <w:r>
        <w:t>Summary of findings assessing whether changes in management based on CMR are beneficial to health outcomes, relative to CTCA or SPECT, or further testing, in patients with DCM or an indeterminate result</w:t>
      </w:r>
      <w:r>
        <w:tab/>
      </w:r>
      <w:r>
        <w:fldChar w:fldCharType="begin"/>
      </w:r>
      <w:r>
        <w:instrText xml:space="preserve"> PAGEREF _Toc451435355 \h </w:instrText>
      </w:r>
      <w:r>
        <w:fldChar w:fldCharType="separate"/>
      </w:r>
      <w:r w:rsidR="00054ED4">
        <w:t>135</w:t>
      </w:r>
      <w:r>
        <w:fldChar w:fldCharType="end"/>
      </w:r>
    </w:p>
    <w:p w14:paraId="0F1FDEE7" w14:textId="77777777" w:rsidR="007251F2" w:rsidRDefault="007251F2" w:rsidP="004C79C1">
      <w:pPr>
        <w:pStyle w:val="TableofFigures"/>
        <w:spacing w:line="240" w:lineRule="auto"/>
        <w:rPr>
          <w:rFonts w:asciiTheme="minorHAnsi" w:eastAsiaTheme="minorEastAsia" w:hAnsiTheme="minorHAnsi" w:cstheme="minorBidi"/>
        </w:rPr>
      </w:pPr>
      <w:r>
        <w:t>Table 29</w:t>
      </w:r>
      <w:r>
        <w:rPr>
          <w:rFonts w:asciiTheme="minorHAnsi" w:eastAsiaTheme="minorEastAsia" w:hAnsiTheme="minorHAnsi" w:cstheme="minorBidi"/>
        </w:rPr>
        <w:tab/>
      </w:r>
      <w:r>
        <w:t>Rate of inappropriate shocks from ICDs in patients with DCM</w:t>
      </w:r>
      <w:r>
        <w:tab/>
      </w:r>
      <w:r>
        <w:fldChar w:fldCharType="begin"/>
      </w:r>
      <w:r>
        <w:instrText xml:space="preserve"> PAGEREF _Toc451435356 \h </w:instrText>
      </w:r>
      <w:r>
        <w:fldChar w:fldCharType="separate"/>
      </w:r>
      <w:r w:rsidR="00054ED4">
        <w:t>144</w:t>
      </w:r>
      <w:r>
        <w:fldChar w:fldCharType="end"/>
      </w:r>
    </w:p>
    <w:p w14:paraId="54B6EE40" w14:textId="77777777" w:rsidR="007251F2" w:rsidRDefault="007251F2" w:rsidP="004C79C1">
      <w:pPr>
        <w:pStyle w:val="TableofFigures"/>
        <w:spacing w:line="240" w:lineRule="auto"/>
        <w:rPr>
          <w:rFonts w:asciiTheme="minorHAnsi" w:eastAsiaTheme="minorEastAsia" w:hAnsiTheme="minorHAnsi" w:cstheme="minorBidi"/>
        </w:rPr>
      </w:pPr>
      <w:r>
        <w:t>Table 30</w:t>
      </w:r>
      <w:r>
        <w:rPr>
          <w:rFonts w:asciiTheme="minorHAnsi" w:eastAsiaTheme="minorEastAsia" w:hAnsiTheme="minorHAnsi" w:cstheme="minorBidi"/>
        </w:rPr>
        <w:tab/>
      </w:r>
      <w:r>
        <w:t>Balance of clinical benefits and harms of CMR, relative to contrast echocardiography or GHPS, in patients with HF symptoms in whom echocardiography is conclusive</w:t>
      </w:r>
      <w:r>
        <w:tab/>
      </w:r>
      <w:r>
        <w:fldChar w:fldCharType="begin"/>
      </w:r>
      <w:r>
        <w:instrText xml:space="preserve"> PAGEREF _Toc451435357 \h </w:instrText>
      </w:r>
      <w:r>
        <w:fldChar w:fldCharType="separate"/>
      </w:r>
      <w:r w:rsidR="00054ED4">
        <w:t>147</w:t>
      </w:r>
      <w:r>
        <w:fldChar w:fldCharType="end"/>
      </w:r>
    </w:p>
    <w:p w14:paraId="08DEFF25" w14:textId="77777777" w:rsidR="007251F2" w:rsidRDefault="007251F2" w:rsidP="004C79C1">
      <w:pPr>
        <w:pStyle w:val="TableofFigures"/>
        <w:spacing w:line="240" w:lineRule="auto"/>
        <w:rPr>
          <w:rFonts w:asciiTheme="minorHAnsi" w:eastAsiaTheme="minorEastAsia" w:hAnsiTheme="minorHAnsi" w:cstheme="minorBidi"/>
        </w:rPr>
      </w:pPr>
      <w:r>
        <w:t>Table 31</w:t>
      </w:r>
      <w:r>
        <w:rPr>
          <w:rFonts w:asciiTheme="minorHAnsi" w:eastAsiaTheme="minorEastAsia" w:hAnsiTheme="minorHAnsi" w:cstheme="minorBidi"/>
        </w:rPr>
        <w:tab/>
      </w:r>
      <w:r>
        <w:t>Balance of clinical benefits and harms of CMR + further testing, relative to further testing in patients with a low risk of CAD</w:t>
      </w:r>
      <w:r>
        <w:tab/>
      </w:r>
      <w:r>
        <w:fldChar w:fldCharType="begin"/>
      </w:r>
      <w:r>
        <w:instrText xml:space="preserve"> PAGEREF _Toc451435358 \h </w:instrText>
      </w:r>
      <w:r>
        <w:fldChar w:fldCharType="separate"/>
      </w:r>
      <w:r w:rsidR="00054ED4">
        <w:t>154</w:t>
      </w:r>
      <w:r>
        <w:fldChar w:fldCharType="end"/>
      </w:r>
    </w:p>
    <w:p w14:paraId="6DEEE583" w14:textId="77777777" w:rsidR="007251F2" w:rsidRDefault="007251F2" w:rsidP="004C79C1">
      <w:pPr>
        <w:pStyle w:val="TableofFigures"/>
        <w:spacing w:line="240" w:lineRule="auto"/>
        <w:rPr>
          <w:rFonts w:asciiTheme="minorHAnsi" w:eastAsiaTheme="minorEastAsia" w:hAnsiTheme="minorHAnsi" w:cstheme="minorBidi"/>
        </w:rPr>
      </w:pPr>
      <w:r>
        <w:t>Table 32</w:t>
      </w:r>
      <w:r>
        <w:rPr>
          <w:rFonts w:asciiTheme="minorHAnsi" w:eastAsiaTheme="minorEastAsia" w:hAnsiTheme="minorHAnsi" w:cstheme="minorBidi"/>
        </w:rPr>
        <w:tab/>
      </w:r>
      <w:r>
        <w:t>Balance of clinical benefits and harms of CMR relative to CTCA, SPECT, stress echocardiography or ICA, in patients with an intermediate risk of CAD</w:t>
      </w:r>
      <w:r>
        <w:tab/>
      </w:r>
      <w:r>
        <w:fldChar w:fldCharType="begin"/>
      </w:r>
      <w:r>
        <w:instrText xml:space="preserve"> PAGEREF _Toc451435359 \h </w:instrText>
      </w:r>
      <w:r>
        <w:fldChar w:fldCharType="separate"/>
      </w:r>
      <w:r w:rsidR="00054ED4">
        <w:t>155</w:t>
      </w:r>
      <w:r>
        <w:fldChar w:fldCharType="end"/>
      </w:r>
    </w:p>
    <w:p w14:paraId="00E7BFD7" w14:textId="77777777" w:rsidR="007251F2" w:rsidRDefault="007251F2" w:rsidP="004C79C1">
      <w:pPr>
        <w:pStyle w:val="TableofFigures"/>
        <w:spacing w:line="240" w:lineRule="auto"/>
        <w:rPr>
          <w:rFonts w:asciiTheme="minorHAnsi" w:eastAsiaTheme="minorEastAsia" w:hAnsiTheme="minorHAnsi" w:cstheme="minorBidi"/>
        </w:rPr>
      </w:pPr>
      <w:r>
        <w:t>Table 33</w:t>
      </w:r>
      <w:r>
        <w:rPr>
          <w:rFonts w:asciiTheme="minorHAnsi" w:eastAsiaTheme="minorEastAsia" w:hAnsiTheme="minorHAnsi" w:cstheme="minorBidi"/>
        </w:rPr>
        <w:tab/>
      </w:r>
      <w:r>
        <w:t>Summary of the key characteristics of the economic evaluations</w:t>
      </w:r>
      <w:r>
        <w:tab/>
      </w:r>
      <w:r>
        <w:fldChar w:fldCharType="begin"/>
      </w:r>
      <w:r>
        <w:instrText xml:space="preserve"> PAGEREF _Toc451435360 \h </w:instrText>
      </w:r>
      <w:r>
        <w:fldChar w:fldCharType="separate"/>
      </w:r>
      <w:r w:rsidR="00054ED4">
        <w:t>159</w:t>
      </w:r>
      <w:r>
        <w:fldChar w:fldCharType="end"/>
      </w:r>
    </w:p>
    <w:p w14:paraId="55B74849" w14:textId="77777777" w:rsidR="007251F2" w:rsidRDefault="007251F2" w:rsidP="004C79C1">
      <w:pPr>
        <w:pStyle w:val="TableofFigures"/>
        <w:spacing w:line="240" w:lineRule="auto"/>
        <w:rPr>
          <w:rFonts w:asciiTheme="minorHAnsi" w:eastAsiaTheme="minorEastAsia" w:hAnsiTheme="minorHAnsi" w:cstheme="minorBidi"/>
        </w:rPr>
      </w:pPr>
      <w:r>
        <w:t>Table 34</w:t>
      </w:r>
      <w:r>
        <w:rPr>
          <w:rFonts w:asciiTheme="minorHAnsi" w:eastAsiaTheme="minorEastAsia" w:hAnsiTheme="minorHAnsi" w:cstheme="minorBidi"/>
        </w:rPr>
        <w:tab/>
      </w:r>
      <w:r>
        <w:t>Costs associated with proposed CMR testing</w:t>
      </w:r>
      <w:r>
        <w:tab/>
      </w:r>
      <w:r>
        <w:fldChar w:fldCharType="begin"/>
      </w:r>
      <w:r>
        <w:instrText xml:space="preserve"> PAGEREF _Toc451435361 \h </w:instrText>
      </w:r>
      <w:r>
        <w:fldChar w:fldCharType="separate"/>
      </w:r>
      <w:r w:rsidR="00054ED4">
        <w:t>160</w:t>
      </w:r>
      <w:r>
        <w:fldChar w:fldCharType="end"/>
      </w:r>
    </w:p>
    <w:p w14:paraId="735D06AA" w14:textId="77777777" w:rsidR="007251F2" w:rsidRDefault="007251F2" w:rsidP="004C79C1">
      <w:pPr>
        <w:pStyle w:val="TableofFigures"/>
        <w:spacing w:line="240" w:lineRule="auto"/>
        <w:rPr>
          <w:rFonts w:asciiTheme="minorHAnsi" w:eastAsiaTheme="minorEastAsia" w:hAnsiTheme="minorHAnsi" w:cstheme="minorBidi"/>
        </w:rPr>
      </w:pPr>
      <w:r>
        <w:t>Table 35</w:t>
      </w:r>
      <w:r>
        <w:rPr>
          <w:rFonts w:asciiTheme="minorHAnsi" w:eastAsiaTheme="minorEastAsia" w:hAnsiTheme="minorHAnsi" w:cstheme="minorBidi"/>
        </w:rPr>
        <w:tab/>
      </w:r>
      <w:r>
        <w:t>Costs associated with GHPS in the population with indeterminate echocardiography</w:t>
      </w:r>
      <w:r>
        <w:tab/>
      </w:r>
      <w:r>
        <w:fldChar w:fldCharType="begin"/>
      </w:r>
      <w:r>
        <w:instrText xml:space="preserve"> PAGEREF _Toc451435362 \h </w:instrText>
      </w:r>
      <w:r>
        <w:fldChar w:fldCharType="separate"/>
      </w:r>
      <w:r w:rsidR="00054ED4">
        <w:t>162</w:t>
      </w:r>
      <w:r>
        <w:fldChar w:fldCharType="end"/>
      </w:r>
    </w:p>
    <w:p w14:paraId="52D58D82" w14:textId="77777777" w:rsidR="007251F2" w:rsidRDefault="007251F2" w:rsidP="004C79C1">
      <w:pPr>
        <w:pStyle w:val="TableofFigures"/>
        <w:spacing w:line="240" w:lineRule="auto"/>
        <w:rPr>
          <w:rFonts w:asciiTheme="minorHAnsi" w:eastAsiaTheme="minorEastAsia" w:hAnsiTheme="minorHAnsi" w:cstheme="minorBidi"/>
        </w:rPr>
      </w:pPr>
      <w:r>
        <w:t>Table 36</w:t>
      </w:r>
      <w:r>
        <w:rPr>
          <w:rFonts w:asciiTheme="minorHAnsi" w:eastAsiaTheme="minorEastAsia" w:hAnsiTheme="minorHAnsi" w:cstheme="minorBidi"/>
        </w:rPr>
        <w:tab/>
      </w:r>
      <w:r>
        <w:t>Costs associated with contrast echocardiography in the population with indeterminate echocardiography</w:t>
      </w:r>
      <w:r>
        <w:tab/>
      </w:r>
      <w:r>
        <w:fldChar w:fldCharType="begin"/>
      </w:r>
      <w:r>
        <w:instrText xml:space="preserve"> PAGEREF _Toc451435363 \h </w:instrText>
      </w:r>
      <w:r>
        <w:fldChar w:fldCharType="separate"/>
      </w:r>
      <w:r w:rsidR="00054ED4">
        <w:t>163</w:t>
      </w:r>
      <w:r>
        <w:fldChar w:fldCharType="end"/>
      </w:r>
    </w:p>
    <w:p w14:paraId="65A2A7D7" w14:textId="77777777" w:rsidR="007251F2" w:rsidRDefault="007251F2" w:rsidP="004C79C1">
      <w:pPr>
        <w:pStyle w:val="TableofFigures"/>
        <w:spacing w:line="240" w:lineRule="auto"/>
        <w:rPr>
          <w:rFonts w:asciiTheme="minorHAnsi" w:eastAsiaTheme="minorEastAsia" w:hAnsiTheme="minorHAnsi" w:cstheme="minorBidi"/>
        </w:rPr>
      </w:pPr>
      <w:r>
        <w:t>Table 37</w:t>
      </w:r>
      <w:r>
        <w:rPr>
          <w:rFonts w:asciiTheme="minorHAnsi" w:eastAsiaTheme="minorEastAsia" w:hAnsiTheme="minorHAnsi" w:cstheme="minorBidi"/>
        </w:rPr>
        <w:tab/>
      </w:r>
      <w:r>
        <w:t>Incremental cost of CMR compared with GHPS or contrast echocardiography in the population with indeterminate echocardiography</w:t>
      </w:r>
      <w:r>
        <w:tab/>
      </w:r>
      <w:r>
        <w:fldChar w:fldCharType="begin"/>
      </w:r>
      <w:r>
        <w:instrText xml:space="preserve"> PAGEREF _Toc451435364 \h </w:instrText>
      </w:r>
      <w:r>
        <w:fldChar w:fldCharType="separate"/>
      </w:r>
      <w:r w:rsidR="00054ED4">
        <w:t>164</w:t>
      </w:r>
      <w:r>
        <w:fldChar w:fldCharType="end"/>
      </w:r>
    </w:p>
    <w:p w14:paraId="2C0DC75C" w14:textId="77777777" w:rsidR="007251F2" w:rsidRDefault="007251F2" w:rsidP="004C79C1">
      <w:pPr>
        <w:pStyle w:val="TableofFigures"/>
        <w:spacing w:line="240" w:lineRule="auto"/>
        <w:rPr>
          <w:rFonts w:asciiTheme="minorHAnsi" w:eastAsiaTheme="minorEastAsia" w:hAnsiTheme="minorHAnsi" w:cstheme="minorBidi"/>
        </w:rPr>
      </w:pPr>
      <w:r>
        <w:t>Table 38</w:t>
      </w:r>
      <w:r>
        <w:rPr>
          <w:rFonts w:asciiTheme="minorHAnsi" w:eastAsiaTheme="minorEastAsia" w:hAnsiTheme="minorHAnsi" w:cstheme="minorBidi"/>
        </w:rPr>
        <w:tab/>
      </w:r>
      <w:r>
        <w:t>Costs of procedures used in the model</w:t>
      </w:r>
      <w:r>
        <w:tab/>
      </w:r>
      <w:r>
        <w:fldChar w:fldCharType="begin"/>
      </w:r>
      <w:r>
        <w:instrText xml:space="preserve"> PAGEREF _Toc451435365 \h </w:instrText>
      </w:r>
      <w:r>
        <w:fldChar w:fldCharType="separate"/>
      </w:r>
      <w:r w:rsidR="00054ED4">
        <w:t>171</w:t>
      </w:r>
      <w:r>
        <w:fldChar w:fldCharType="end"/>
      </w:r>
    </w:p>
    <w:p w14:paraId="27A5EF9D" w14:textId="77777777" w:rsidR="007251F2" w:rsidRDefault="007251F2" w:rsidP="004C79C1">
      <w:pPr>
        <w:pStyle w:val="TableofFigures"/>
        <w:spacing w:line="240" w:lineRule="auto"/>
        <w:rPr>
          <w:rFonts w:asciiTheme="minorHAnsi" w:eastAsiaTheme="minorEastAsia" w:hAnsiTheme="minorHAnsi" w:cstheme="minorBidi"/>
        </w:rPr>
      </w:pPr>
      <w:r>
        <w:t>Table 39</w:t>
      </w:r>
      <w:r>
        <w:rPr>
          <w:rFonts w:asciiTheme="minorHAnsi" w:eastAsiaTheme="minorEastAsia" w:hAnsiTheme="minorHAnsi" w:cstheme="minorBidi"/>
        </w:rPr>
        <w:tab/>
      </w:r>
      <w:r>
        <w:t>Total and incremental costs per patient associated with each arm of the modelled analysis</w:t>
      </w:r>
      <w:r>
        <w:tab/>
      </w:r>
      <w:r>
        <w:fldChar w:fldCharType="begin"/>
      </w:r>
      <w:r>
        <w:instrText xml:space="preserve"> PAGEREF _Toc451435366 \h </w:instrText>
      </w:r>
      <w:r>
        <w:fldChar w:fldCharType="separate"/>
      </w:r>
      <w:r w:rsidR="00054ED4">
        <w:t>172</w:t>
      </w:r>
      <w:r>
        <w:fldChar w:fldCharType="end"/>
      </w:r>
    </w:p>
    <w:p w14:paraId="23E60FB0" w14:textId="77777777" w:rsidR="007251F2" w:rsidRDefault="007251F2" w:rsidP="004C79C1">
      <w:pPr>
        <w:pStyle w:val="TableofFigures"/>
        <w:spacing w:line="240" w:lineRule="auto"/>
        <w:rPr>
          <w:rFonts w:asciiTheme="minorHAnsi" w:eastAsiaTheme="minorEastAsia" w:hAnsiTheme="minorHAnsi" w:cstheme="minorBidi"/>
        </w:rPr>
      </w:pPr>
      <w:r>
        <w:t>Table 40</w:t>
      </w:r>
      <w:r>
        <w:rPr>
          <w:rFonts w:asciiTheme="minorHAnsi" w:eastAsiaTheme="minorEastAsia" w:hAnsiTheme="minorHAnsi" w:cstheme="minorBidi"/>
        </w:rPr>
        <w:tab/>
      </w:r>
      <w:r>
        <w:t xml:space="preserve">Change in patients’ management following CMR (at 6 months) in HF patients indicated for DCM (n=449) </w:t>
      </w:r>
      <w:r w:rsidRPr="00BA08CB">
        <w:rPr>
          <w:vertAlign w:val="superscript"/>
        </w:rPr>
        <w:t>a</w:t>
      </w:r>
      <w:r>
        <w:tab/>
      </w:r>
      <w:r>
        <w:fldChar w:fldCharType="begin"/>
      </w:r>
      <w:r>
        <w:instrText xml:space="preserve"> PAGEREF _Toc451435367 \h </w:instrText>
      </w:r>
      <w:r>
        <w:fldChar w:fldCharType="separate"/>
      </w:r>
      <w:r w:rsidR="00054ED4">
        <w:t>173</w:t>
      </w:r>
      <w:r>
        <w:fldChar w:fldCharType="end"/>
      </w:r>
    </w:p>
    <w:p w14:paraId="4BF48883" w14:textId="77777777" w:rsidR="007251F2" w:rsidRDefault="007251F2" w:rsidP="004C79C1">
      <w:pPr>
        <w:pStyle w:val="TableofFigures"/>
        <w:spacing w:line="240" w:lineRule="auto"/>
        <w:rPr>
          <w:rFonts w:asciiTheme="minorHAnsi" w:eastAsiaTheme="minorEastAsia" w:hAnsiTheme="minorHAnsi" w:cstheme="minorBidi"/>
        </w:rPr>
      </w:pPr>
      <w:r>
        <w:lastRenderedPageBreak/>
        <w:t>Table 41</w:t>
      </w:r>
      <w:r>
        <w:rPr>
          <w:rFonts w:asciiTheme="minorHAnsi" w:eastAsiaTheme="minorEastAsia" w:hAnsiTheme="minorHAnsi" w:cstheme="minorBidi"/>
        </w:rPr>
        <w:tab/>
      </w:r>
      <w:r>
        <w:t xml:space="preserve">ICER, change in patients’ management following CMR (at 6 months) in HF patients indicated for DCM </w:t>
      </w:r>
      <w:r w:rsidRPr="00BA08CB">
        <w:rPr>
          <w:vertAlign w:val="superscript"/>
        </w:rPr>
        <w:t>a</w:t>
      </w:r>
      <w:r>
        <w:tab/>
      </w:r>
      <w:r>
        <w:fldChar w:fldCharType="begin"/>
      </w:r>
      <w:r>
        <w:instrText xml:space="preserve"> PAGEREF _Toc451435368 \h </w:instrText>
      </w:r>
      <w:r>
        <w:fldChar w:fldCharType="separate"/>
      </w:r>
      <w:r w:rsidR="00054ED4">
        <w:t>174</w:t>
      </w:r>
      <w:r>
        <w:fldChar w:fldCharType="end"/>
      </w:r>
    </w:p>
    <w:p w14:paraId="7F25DE8E" w14:textId="77777777" w:rsidR="007251F2" w:rsidRDefault="007251F2" w:rsidP="004C79C1">
      <w:pPr>
        <w:pStyle w:val="TableofFigures"/>
        <w:spacing w:line="240" w:lineRule="auto"/>
        <w:rPr>
          <w:rFonts w:asciiTheme="minorHAnsi" w:eastAsiaTheme="minorEastAsia" w:hAnsiTheme="minorHAnsi" w:cstheme="minorBidi"/>
        </w:rPr>
      </w:pPr>
      <w:r>
        <w:t>Table 42</w:t>
      </w:r>
      <w:r>
        <w:rPr>
          <w:rFonts w:asciiTheme="minorHAnsi" w:eastAsiaTheme="minorEastAsia" w:hAnsiTheme="minorHAnsi" w:cstheme="minorBidi"/>
        </w:rPr>
        <w:tab/>
      </w:r>
      <w:r>
        <w:t>Sensitivity analysis, ICER of CMR as an additional test, assuming different CMR accuracies</w:t>
      </w:r>
      <w:r>
        <w:tab/>
      </w:r>
      <w:r>
        <w:fldChar w:fldCharType="begin"/>
      </w:r>
      <w:r>
        <w:instrText xml:space="preserve"> PAGEREF _Toc451435369 \h </w:instrText>
      </w:r>
      <w:r>
        <w:fldChar w:fldCharType="separate"/>
      </w:r>
      <w:r w:rsidR="00054ED4">
        <w:t>175</w:t>
      </w:r>
      <w:r>
        <w:fldChar w:fldCharType="end"/>
      </w:r>
    </w:p>
    <w:p w14:paraId="6AD7ED09" w14:textId="77777777" w:rsidR="007251F2" w:rsidRDefault="007251F2" w:rsidP="004C79C1">
      <w:pPr>
        <w:pStyle w:val="TableofFigures"/>
        <w:spacing w:line="240" w:lineRule="auto"/>
        <w:rPr>
          <w:rFonts w:asciiTheme="minorHAnsi" w:eastAsiaTheme="minorEastAsia" w:hAnsiTheme="minorHAnsi" w:cstheme="minorBidi"/>
        </w:rPr>
      </w:pPr>
      <w:r>
        <w:t>Table 43</w:t>
      </w:r>
      <w:r>
        <w:rPr>
          <w:rFonts w:asciiTheme="minorHAnsi" w:eastAsiaTheme="minorEastAsia" w:hAnsiTheme="minorHAnsi" w:cstheme="minorBidi"/>
        </w:rPr>
        <w:tab/>
      </w:r>
      <w:r>
        <w:t>Sensitivity analysis, including changes in heart transplants</w:t>
      </w:r>
      <w:r>
        <w:tab/>
      </w:r>
      <w:r>
        <w:fldChar w:fldCharType="begin"/>
      </w:r>
      <w:r>
        <w:instrText xml:space="preserve"> PAGEREF _Toc451435370 \h </w:instrText>
      </w:r>
      <w:r>
        <w:fldChar w:fldCharType="separate"/>
      </w:r>
      <w:r w:rsidR="00054ED4">
        <w:t>176</w:t>
      </w:r>
      <w:r>
        <w:fldChar w:fldCharType="end"/>
      </w:r>
    </w:p>
    <w:p w14:paraId="78AD716B" w14:textId="77777777" w:rsidR="007251F2" w:rsidRDefault="007251F2" w:rsidP="004C79C1">
      <w:pPr>
        <w:pStyle w:val="TableofFigures"/>
        <w:spacing w:line="240" w:lineRule="auto"/>
        <w:rPr>
          <w:rFonts w:asciiTheme="minorHAnsi" w:eastAsiaTheme="minorEastAsia" w:hAnsiTheme="minorHAnsi" w:cstheme="minorBidi"/>
        </w:rPr>
      </w:pPr>
      <w:r>
        <w:t>Table 44</w:t>
      </w:r>
      <w:r>
        <w:rPr>
          <w:rFonts w:asciiTheme="minorHAnsi" w:eastAsiaTheme="minorEastAsia" w:hAnsiTheme="minorHAnsi" w:cstheme="minorBidi"/>
        </w:rPr>
        <w:tab/>
      </w:r>
      <w:r>
        <w:t>Diagnostic accuracy inputs used in the economic evaluation</w:t>
      </w:r>
      <w:r>
        <w:tab/>
      </w:r>
      <w:r>
        <w:fldChar w:fldCharType="begin"/>
      </w:r>
      <w:r>
        <w:instrText xml:space="preserve"> PAGEREF _Toc451435371 \h </w:instrText>
      </w:r>
      <w:r>
        <w:fldChar w:fldCharType="separate"/>
      </w:r>
      <w:r w:rsidR="00054ED4">
        <w:t>179</w:t>
      </w:r>
      <w:r>
        <w:fldChar w:fldCharType="end"/>
      </w:r>
    </w:p>
    <w:p w14:paraId="30E51F84" w14:textId="77777777" w:rsidR="007251F2" w:rsidRDefault="007251F2" w:rsidP="004C79C1">
      <w:pPr>
        <w:pStyle w:val="TableofFigures"/>
        <w:spacing w:line="240" w:lineRule="auto"/>
        <w:rPr>
          <w:rFonts w:asciiTheme="minorHAnsi" w:eastAsiaTheme="minorEastAsia" w:hAnsiTheme="minorHAnsi" w:cstheme="minorBidi"/>
        </w:rPr>
      </w:pPr>
      <w:r>
        <w:t>Table 45</w:t>
      </w:r>
      <w:r>
        <w:rPr>
          <w:rFonts w:asciiTheme="minorHAnsi" w:eastAsiaTheme="minorEastAsia" w:hAnsiTheme="minorHAnsi" w:cstheme="minorBidi"/>
        </w:rPr>
        <w:tab/>
      </w:r>
      <w:r>
        <w:t>Prevalence of NIDCM in the proposed population</w:t>
      </w:r>
      <w:r>
        <w:tab/>
      </w:r>
      <w:r>
        <w:fldChar w:fldCharType="begin"/>
      </w:r>
      <w:r>
        <w:instrText xml:space="preserve"> PAGEREF _Toc451435372 \h </w:instrText>
      </w:r>
      <w:r>
        <w:fldChar w:fldCharType="separate"/>
      </w:r>
      <w:r w:rsidR="00054ED4">
        <w:t>180</w:t>
      </w:r>
      <w:r>
        <w:fldChar w:fldCharType="end"/>
      </w:r>
    </w:p>
    <w:p w14:paraId="60F6D85A" w14:textId="77777777" w:rsidR="007251F2" w:rsidRDefault="007251F2" w:rsidP="004C79C1">
      <w:pPr>
        <w:pStyle w:val="TableofFigures"/>
        <w:spacing w:line="240" w:lineRule="auto"/>
        <w:rPr>
          <w:rFonts w:asciiTheme="minorHAnsi" w:eastAsiaTheme="minorEastAsia" w:hAnsiTheme="minorHAnsi" w:cstheme="minorBidi"/>
        </w:rPr>
      </w:pPr>
      <w:r>
        <w:t>Table 46</w:t>
      </w:r>
      <w:r>
        <w:rPr>
          <w:rFonts w:asciiTheme="minorHAnsi" w:eastAsiaTheme="minorEastAsia" w:hAnsiTheme="minorHAnsi" w:cstheme="minorBidi"/>
        </w:rPr>
        <w:tab/>
      </w:r>
      <w:r>
        <w:t>Costs associated with CMR testing in the population with intermediate risk of CAD</w:t>
      </w:r>
      <w:r>
        <w:tab/>
      </w:r>
      <w:r>
        <w:fldChar w:fldCharType="begin"/>
      </w:r>
      <w:r>
        <w:instrText xml:space="preserve"> PAGEREF _Toc451435373 \h </w:instrText>
      </w:r>
      <w:r>
        <w:fldChar w:fldCharType="separate"/>
      </w:r>
      <w:r w:rsidR="00054ED4">
        <w:t>180</w:t>
      </w:r>
      <w:r>
        <w:fldChar w:fldCharType="end"/>
      </w:r>
    </w:p>
    <w:p w14:paraId="78D6E6E2" w14:textId="77777777" w:rsidR="007251F2" w:rsidRDefault="007251F2" w:rsidP="004C79C1">
      <w:pPr>
        <w:pStyle w:val="TableofFigures"/>
        <w:spacing w:line="240" w:lineRule="auto"/>
        <w:rPr>
          <w:rFonts w:asciiTheme="minorHAnsi" w:eastAsiaTheme="minorEastAsia" w:hAnsiTheme="minorHAnsi" w:cstheme="minorBidi"/>
        </w:rPr>
      </w:pPr>
      <w:r>
        <w:t>Table 47</w:t>
      </w:r>
      <w:r>
        <w:rPr>
          <w:rFonts w:asciiTheme="minorHAnsi" w:eastAsiaTheme="minorEastAsia" w:hAnsiTheme="minorHAnsi" w:cstheme="minorBidi"/>
        </w:rPr>
        <w:tab/>
      </w:r>
      <w:r>
        <w:t>Summary of ICA costs related to testing used in the economic model</w:t>
      </w:r>
      <w:r>
        <w:tab/>
      </w:r>
      <w:r>
        <w:fldChar w:fldCharType="begin"/>
      </w:r>
      <w:r>
        <w:instrText xml:space="preserve"> PAGEREF _Toc451435374 \h </w:instrText>
      </w:r>
      <w:r>
        <w:fldChar w:fldCharType="separate"/>
      </w:r>
      <w:r w:rsidR="00054ED4">
        <w:t>181</w:t>
      </w:r>
      <w:r>
        <w:fldChar w:fldCharType="end"/>
      </w:r>
    </w:p>
    <w:p w14:paraId="67646569" w14:textId="77777777" w:rsidR="007251F2" w:rsidRDefault="007251F2" w:rsidP="004C79C1">
      <w:pPr>
        <w:pStyle w:val="TableofFigures"/>
        <w:spacing w:line="240" w:lineRule="auto"/>
        <w:rPr>
          <w:rFonts w:asciiTheme="minorHAnsi" w:eastAsiaTheme="minorEastAsia" w:hAnsiTheme="minorHAnsi" w:cstheme="minorBidi"/>
        </w:rPr>
      </w:pPr>
      <w:r>
        <w:t>Table 48</w:t>
      </w:r>
      <w:r>
        <w:rPr>
          <w:rFonts w:asciiTheme="minorHAnsi" w:eastAsiaTheme="minorEastAsia" w:hAnsiTheme="minorHAnsi" w:cstheme="minorBidi"/>
        </w:rPr>
        <w:tab/>
      </w:r>
      <w:r>
        <w:t>Results of CEA, comparison of CMR (as a gatekeeper for ICA) versus immediate ICA</w:t>
      </w:r>
      <w:r>
        <w:tab/>
      </w:r>
      <w:r>
        <w:fldChar w:fldCharType="begin"/>
      </w:r>
      <w:r>
        <w:instrText xml:space="preserve"> PAGEREF _Toc451435375 \h </w:instrText>
      </w:r>
      <w:r>
        <w:fldChar w:fldCharType="separate"/>
      </w:r>
      <w:r w:rsidR="00054ED4">
        <w:t>181</w:t>
      </w:r>
      <w:r>
        <w:fldChar w:fldCharType="end"/>
      </w:r>
    </w:p>
    <w:p w14:paraId="119349FC" w14:textId="77777777" w:rsidR="007251F2" w:rsidRDefault="007251F2" w:rsidP="004C79C1">
      <w:pPr>
        <w:pStyle w:val="TableofFigures"/>
        <w:spacing w:line="240" w:lineRule="auto"/>
        <w:rPr>
          <w:rFonts w:asciiTheme="minorHAnsi" w:eastAsiaTheme="minorEastAsia" w:hAnsiTheme="minorHAnsi" w:cstheme="minorBidi"/>
        </w:rPr>
      </w:pPr>
      <w:r>
        <w:t>Table 49</w:t>
      </w:r>
      <w:r>
        <w:rPr>
          <w:rFonts w:asciiTheme="minorHAnsi" w:eastAsiaTheme="minorEastAsia" w:hAnsiTheme="minorHAnsi" w:cstheme="minorBidi"/>
        </w:rPr>
        <w:tab/>
      </w:r>
      <w:r>
        <w:t>Cost of treating AEs</w:t>
      </w:r>
      <w:r>
        <w:tab/>
      </w:r>
      <w:r>
        <w:fldChar w:fldCharType="begin"/>
      </w:r>
      <w:r>
        <w:instrText xml:space="preserve"> PAGEREF _Toc451435376 \h </w:instrText>
      </w:r>
      <w:r>
        <w:fldChar w:fldCharType="separate"/>
      </w:r>
      <w:r w:rsidR="00054ED4">
        <w:t>184</w:t>
      </w:r>
      <w:r>
        <w:fldChar w:fldCharType="end"/>
      </w:r>
    </w:p>
    <w:p w14:paraId="5A89FE0B" w14:textId="77777777" w:rsidR="007251F2" w:rsidRDefault="007251F2" w:rsidP="004C79C1">
      <w:pPr>
        <w:pStyle w:val="TableofFigures"/>
        <w:spacing w:line="240" w:lineRule="auto"/>
        <w:rPr>
          <w:rFonts w:asciiTheme="minorHAnsi" w:eastAsiaTheme="minorEastAsia" w:hAnsiTheme="minorHAnsi" w:cstheme="minorBidi"/>
        </w:rPr>
      </w:pPr>
      <w:r>
        <w:t>Table 50</w:t>
      </w:r>
      <w:r>
        <w:rPr>
          <w:rFonts w:asciiTheme="minorHAnsi" w:eastAsiaTheme="minorEastAsia" w:hAnsiTheme="minorHAnsi" w:cstheme="minorBidi"/>
        </w:rPr>
        <w:tab/>
      </w:r>
      <w:r>
        <w:t>Cost of treating AEs associated with the testing strategies</w:t>
      </w:r>
      <w:r>
        <w:tab/>
      </w:r>
      <w:r>
        <w:fldChar w:fldCharType="begin"/>
      </w:r>
      <w:r>
        <w:instrText xml:space="preserve"> PAGEREF _Toc451435377 \h </w:instrText>
      </w:r>
      <w:r>
        <w:fldChar w:fldCharType="separate"/>
      </w:r>
      <w:r w:rsidR="00054ED4">
        <w:t>185</w:t>
      </w:r>
      <w:r>
        <w:fldChar w:fldCharType="end"/>
      </w:r>
    </w:p>
    <w:p w14:paraId="7AE3E05B" w14:textId="77777777" w:rsidR="007251F2" w:rsidRDefault="007251F2" w:rsidP="004C79C1">
      <w:pPr>
        <w:pStyle w:val="TableofFigures"/>
        <w:spacing w:line="240" w:lineRule="auto"/>
        <w:rPr>
          <w:rFonts w:asciiTheme="minorHAnsi" w:eastAsiaTheme="minorEastAsia" w:hAnsiTheme="minorHAnsi" w:cstheme="minorBidi"/>
        </w:rPr>
      </w:pPr>
      <w:r>
        <w:t>Table 51</w:t>
      </w:r>
      <w:r>
        <w:rPr>
          <w:rFonts w:asciiTheme="minorHAnsi" w:eastAsiaTheme="minorEastAsia" w:hAnsiTheme="minorHAnsi" w:cstheme="minorBidi"/>
        </w:rPr>
        <w:tab/>
      </w:r>
      <w:r>
        <w:t>Costs associated with SPECT in the proposed population with intermediate risk of CAD</w:t>
      </w:r>
      <w:r>
        <w:tab/>
      </w:r>
      <w:r>
        <w:fldChar w:fldCharType="begin"/>
      </w:r>
      <w:r>
        <w:instrText xml:space="preserve"> PAGEREF _Toc451435378 \h </w:instrText>
      </w:r>
      <w:r>
        <w:fldChar w:fldCharType="separate"/>
      </w:r>
      <w:r w:rsidR="00054ED4">
        <w:t>186</w:t>
      </w:r>
      <w:r>
        <w:fldChar w:fldCharType="end"/>
      </w:r>
    </w:p>
    <w:p w14:paraId="132306A3" w14:textId="77777777" w:rsidR="007251F2" w:rsidRDefault="007251F2" w:rsidP="004C79C1">
      <w:pPr>
        <w:pStyle w:val="TableofFigures"/>
        <w:spacing w:line="240" w:lineRule="auto"/>
        <w:rPr>
          <w:rFonts w:asciiTheme="minorHAnsi" w:eastAsiaTheme="minorEastAsia" w:hAnsiTheme="minorHAnsi" w:cstheme="minorBidi"/>
        </w:rPr>
      </w:pPr>
      <w:r>
        <w:t>Table 52</w:t>
      </w:r>
      <w:r>
        <w:rPr>
          <w:rFonts w:asciiTheme="minorHAnsi" w:eastAsiaTheme="minorEastAsia" w:hAnsiTheme="minorHAnsi" w:cstheme="minorBidi"/>
        </w:rPr>
        <w:tab/>
      </w:r>
      <w:r>
        <w:t>Costs associated with CTCA in the proposed population with intermediate risk of CAD</w:t>
      </w:r>
      <w:r>
        <w:tab/>
      </w:r>
      <w:r>
        <w:fldChar w:fldCharType="begin"/>
      </w:r>
      <w:r>
        <w:instrText xml:space="preserve"> PAGEREF _Toc451435379 \h </w:instrText>
      </w:r>
      <w:r>
        <w:fldChar w:fldCharType="separate"/>
      </w:r>
      <w:r w:rsidR="00054ED4">
        <w:t>186</w:t>
      </w:r>
      <w:r>
        <w:fldChar w:fldCharType="end"/>
      </w:r>
    </w:p>
    <w:p w14:paraId="41C24D31" w14:textId="77777777" w:rsidR="007251F2" w:rsidRDefault="007251F2" w:rsidP="004C79C1">
      <w:pPr>
        <w:pStyle w:val="TableofFigures"/>
        <w:spacing w:line="240" w:lineRule="auto"/>
        <w:rPr>
          <w:rFonts w:asciiTheme="minorHAnsi" w:eastAsiaTheme="minorEastAsia" w:hAnsiTheme="minorHAnsi" w:cstheme="minorBidi"/>
        </w:rPr>
      </w:pPr>
      <w:r>
        <w:t>Table 53</w:t>
      </w:r>
      <w:r>
        <w:rPr>
          <w:rFonts w:asciiTheme="minorHAnsi" w:eastAsiaTheme="minorEastAsia" w:hAnsiTheme="minorHAnsi" w:cstheme="minorBidi"/>
        </w:rPr>
        <w:tab/>
      </w:r>
      <w:r>
        <w:t>Costs associated with stress echocardiography in the proposed population with intermediate risk of CAD</w:t>
      </w:r>
      <w:r>
        <w:tab/>
      </w:r>
      <w:r>
        <w:fldChar w:fldCharType="begin"/>
      </w:r>
      <w:r>
        <w:instrText xml:space="preserve"> PAGEREF _Toc451435380 \h </w:instrText>
      </w:r>
      <w:r>
        <w:fldChar w:fldCharType="separate"/>
      </w:r>
      <w:r w:rsidR="00054ED4">
        <w:t>187</w:t>
      </w:r>
      <w:r>
        <w:fldChar w:fldCharType="end"/>
      </w:r>
    </w:p>
    <w:p w14:paraId="5618308F" w14:textId="77777777" w:rsidR="007251F2" w:rsidRDefault="007251F2" w:rsidP="004C79C1">
      <w:pPr>
        <w:pStyle w:val="TableofFigures"/>
        <w:spacing w:line="240" w:lineRule="auto"/>
        <w:rPr>
          <w:rFonts w:asciiTheme="minorHAnsi" w:eastAsiaTheme="minorEastAsia" w:hAnsiTheme="minorHAnsi" w:cstheme="minorBidi"/>
        </w:rPr>
      </w:pPr>
      <w:r>
        <w:t xml:space="preserve">Table 54 </w:t>
      </w:r>
      <w:r>
        <w:rPr>
          <w:rFonts w:asciiTheme="minorHAnsi" w:eastAsiaTheme="minorEastAsia" w:hAnsiTheme="minorHAnsi" w:cstheme="minorBidi"/>
        </w:rPr>
        <w:tab/>
      </w:r>
      <w:r>
        <w:t>Incremental cost of CMR vs non-invasive comparators: SPECT, CTCA and stress echocardiography</w:t>
      </w:r>
      <w:r>
        <w:tab/>
      </w:r>
      <w:r>
        <w:fldChar w:fldCharType="begin"/>
      </w:r>
      <w:r>
        <w:instrText xml:space="preserve"> PAGEREF _Toc451435381 \h </w:instrText>
      </w:r>
      <w:r>
        <w:fldChar w:fldCharType="separate"/>
      </w:r>
      <w:r w:rsidR="00054ED4">
        <w:t>187</w:t>
      </w:r>
      <w:r>
        <w:fldChar w:fldCharType="end"/>
      </w:r>
    </w:p>
    <w:p w14:paraId="790BBD08" w14:textId="242CA098" w:rsidR="007251F2" w:rsidRDefault="007251F2" w:rsidP="004C79C1">
      <w:pPr>
        <w:pStyle w:val="TableofFigures"/>
        <w:spacing w:line="240" w:lineRule="auto"/>
        <w:rPr>
          <w:rFonts w:asciiTheme="minorHAnsi" w:eastAsiaTheme="minorEastAsia" w:hAnsiTheme="minorHAnsi" w:cstheme="minorBidi"/>
        </w:rPr>
      </w:pPr>
      <w:r>
        <w:t xml:space="preserve">Table 55 </w:t>
      </w:r>
      <w:r>
        <w:tab/>
        <w:t>Key sensitivity analyses, comparisons of CMR with SPECT, CTCA and stress echocardiography</w:t>
      </w:r>
      <w:r>
        <w:tab/>
      </w:r>
      <w:r>
        <w:fldChar w:fldCharType="begin"/>
      </w:r>
      <w:r>
        <w:instrText xml:space="preserve"> PAGEREF _Toc451435382 \h </w:instrText>
      </w:r>
      <w:r>
        <w:fldChar w:fldCharType="separate"/>
      </w:r>
      <w:r w:rsidR="00054ED4">
        <w:t>189</w:t>
      </w:r>
      <w:r>
        <w:fldChar w:fldCharType="end"/>
      </w:r>
    </w:p>
    <w:p w14:paraId="525FC900" w14:textId="77777777" w:rsidR="007251F2" w:rsidRDefault="007251F2" w:rsidP="004C79C1">
      <w:pPr>
        <w:pStyle w:val="TableofFigures"/>
        <w:spacing w:line="240" w:lineRule="auto"/>
        <w:rPr>
          <w:rFonts w:asciiTheme="minorHAnsi" w:eastAsiaTheme="minorEastAsia" w:hAnsiTheme="minorHAnsi" w:cstheme="minorBidi"/>
        </w:rPr>
      </w:pPr>
      <w:r>
        <w:t xml:space="preserve">Table 56 </w:t>
      </w:r>
      <w:r>
        <w:rPr>
          <w:rFonts w:asciiTheme="minorHAnsi" w:eastAsiaTheme="minorEastAsia" w:hAnsiTheme="minorHAnsi" w:cstheme="minorBidi"/>
        </w:rPr>
        <w:tab/>
      </w:r>
      <w:r>
        <w:t>Parameters and data sources used in the financial analysis</w:t>
      </w:r>
      <w:r>
        <w:tab/>
      </w:r>
      <w:r>
        <w:fldChar w:fldCharType="begin"/>
      </w:r>
      <w:r>
        <w:instrText xml:space="preserve"> PAGEREF _Toc451435383 \h </w:instrText>
      </w:r>
      <w:r>
        <w:fldChar w:fldCharType="separate"/>
      </w:r>
      <w:r w:rsidR="00054ED4">
        <w:t>191</w:t>
      </w:r>
      <w:r>
        <w:fldChar w:fldCharType="end"/>
      </w:r>
    </w:p>
    <w:p w14:paraId="3FAEF0D2" w14:textId="77777777" w:rsidR="007251F2" w:rsidRDefault="007251F2" w:rsidP="004C79C1">
      <w:pPr>
        <w:pStyle w:val="TableofFigures"/>
        <w:spacing w:line="240" w:lineRule="auto"/>
        <w:rPr>
          <w:rFonts w:asciiTheme="minorHAnsi" w:eastAsiaTheme="minorEastAsia" w:hAnsiTheme="minorHAnsi" w:cstheme="minorBidi"/>
        </w:rPr>
      </w:pPr>
      <w:r>
        <w:t xml:space="preserve">Table 57 </w:t>
      </w:r>
      <w:r>
        <w:rPr>
          <w:rFonts w:asciiTheme="minorHAnsi" w:eastAsiaTheme="minorEastAsia" w:hAnsiTheme="minorHAnsi" w:cstheme="minorBidi"/>
        </w:rPr>
        <w:tab/>
      </w:r>
      <w:r>
        <w:t>Projected incident cases of primary DCM</w:t>
      </w:r>
      <w:r>
        <w:tab/>
      </w:r>
      <w:r>
        <w:fldChar w:fldCharType="begin"/>
      </w:r>
      <w:r>
        <w:instrText xml:space="preserve"> PAGEREF _Toc451435384 \h </w:instrText>
      </w:r>
      <w:r>
        <w:fldChar w:fldCharType="separate"/>
      </w:r>
      <w:r w:rsidR="00054ED4">
        <w:t>194</w:t>
      </w:r>
      <w:r>
        <w:fldChar w:fldCharType="end"/>
      </w:r>
    </w:p>
    <w:p w14:paraId="355990BD" w14:textId="77777777" w:rsidR="007251F2" w:rsidRDefault="007251F2" w:rsidP="004C79C1">
      <w:pPr>
        <w:pStyle w:val="TableofFigures"/>
        <w:spacing w:line="240" w:lineRule="auto"/>
        <w:rPr>
          <w:rFonts w:asciiTheme="minorHAnsi" w:eastAsiaTheme="minorEastAsia" w:hAnsiTheme="minorHAnsi" w:cstheme="minorBidi"/>
        </w:rPr>
      </w:pPr>
      <w:r>
        <w:t xml:space="preserve">Table 58 </w:t>
      </w:r>
      <w:r>
        <w:rPr>
          <w:rFonts w:asciiTheme="minorHAnsi" w:eastAsiaTheme="minorEastAsia" w:hAnsiTheme="minorHAnsi" w:cstheme="minorBidi"/>
        </w:rPr>
        <w:tab/>
      </w:r>
      <w:r>
        <w:t>Estimated number of suspected HF patients with a dilated LV</w:t>
      </w:r>
      <w:r>
        <w:tab/>
      </w:r>
      <w:r>
        <w:fldChar w:fldCharType="begin"/>
      </w:r>
      <w:r>
        <w:instrText xml:space="preserve"> PAGEREF _Toc451435385 \h </w:instrText>
      </w:r>
      <w:r>
        <w:fldChar w:fldCharType="separate"/>
      </w:r>
      <w:r w:rsidR="00054ED4">
        <w:t>194</w:t>
      </w:r>
      <w:r>
        <w:fldChar w:fldCharType="end"/>
      </w:r>
    </w:p>
    <w:p w14:paraId="48128471" w14:textId="77777777" w:rsidR="007251F2" w:rsidRDefault="007251F2" w:rsidP="004C79C1">
      <w:pPr>
        <w:pStyle w:val="TableofFigures"/>
        <w:spacing w:line="240" w:lineRule="auto"/>
        <w:rPr>
          <w:rFonts w:asciiTheme="minorHAnsi" w:eastAsiaTheme="minorEastAsia" w:hAnsiTheme="minorHAnsi" w:cstheme="minorBidi"/>
        </w:rPr>
      </w:pPr>
      <w:r>
        <w:t>Table 59</w:t>
      </w:r>
      <w:r>
        <w:rPr>
          <w:rFonts w:asciiTheme="minorHAnsi" w:eastAsiaTheme="minorEastAsia" w:hAnsiTheme="minorHAnsi" w:cstheme="minorBidi"/>
        </w:rPr>
        <w:tab/>
      </w:r>
      <w:r>
        <w:t>Projected number of indeterminate echocardiogram results eligible for CMR testing (population i)</w:t>
      </w:r>
      <w:r>
        <w:tab/>
      </w:r>
      <w:r>
        <w:fldChar w:fldCharType="begin"/>
      </w:r>
      <w:r>
        <w:instrText xml:space="preserve"> PAGEREF _Toc451435386 \h </w:instrText>
      </w:r>
      <w:r>
        <w:fldChar w:fldCharType="separate"/>
      </w:r>
      <w:r w:rsidR="00054ED4">
        <w:t>195</w:t>
      </w:r>
      <w:r>
        <w:fldChar w:fldCharType="end"/>
      </w:r>
    </w:p>
    <w:p w14:paraId="096FBE78" w14:textId="77777777" w:rsidR="007251F2" w:rsidRDefault="007251F2" w:rsidP="004C79C1">
      <w:pPr>
        <w:pStyle w:val="TableofFigures"/>
        <w:spacing w:line="240" w:lineRule="auto"/>
        <w:rPr>
          <w:rFonts w:asciiTheme="minorHAnsi" w:eastAsiaTheme="minorEastAsia" w:hAnsiTheme="minorHAnsi" w:cstheme="minorBidi"/>
        </w:rPr>
      </w:pPr>
      <w:r>
        <w:t>Table 60</w:t>
      </w:r>
      <w:r>
        <w:rPr>
          <w:rFonts w:asciiTheme="minorHAnsi" w:eastAsiaTheme="minorEastAsia" w:hAnsiTheme="minorHAnsi" w:cstheme="minorBidi"/>
        </w:rPr>
        <w:tab/>
      </w:r>
      <w:r>
        <w:t>Estimated uptake of CMR in DCM for diagnostic clarification (population ii)</w:t>
      </w:r>
      <w:r>
        <w:tab/>
      </w:r>
      <w:r>
        <w:fldChar w:fldCharType="begin"/>
      </w:r>
      <w:r>
        <w:instrText xml:space="preserve"> PAGEREF _Toc451435387 \h </w:instrText>
      </w:r>
      <w:r>
        <w:fldChar w:fldCharType="separate"/>
      </w:r>
      <w:r w:rsidR="00054ED4">
        <w:t>196</w:t>
      </w:r>
      <w:r>
        <w:fldChar w:fldCharType="end"/>
      </w:r>
    </w:p>
    <w:p w14:paraId="1EEAA5C9" w14:textId="77777777" w:rsidR="007251F2" w:rsidRDefault="007251F2" w:rsidP="004C79C1">
      <w:pPr>
        <w:pStyle w:val="TableofFigures"/>
        <w:spacing w:line="240" w:lineRule="auto"/>
        <w:rPr>
          <w:rFonts w:asciiTheme="minorHAnsi" w:eastAsiaTheme="minorEastAsia" w:hAnsiTheme="minorHAnsi" w:cstheme="minorBidi"/>
        </w:rPr>
      </w:pPr>
      <w:r>
        <w:t>Table 61</w:t>
      </w:r>
      <w:r>
        <w:rPr>
          <w:rFonts w:asciiTheme="minorHAnsi" w:eastAsiaTheme="minorEastAsia" w:hAnsiTheme="minorHAnsi" w:cstheme="minorBidi"/>
        </w:rPr>
        <w:tab/>
      </w:r>
      <w:r>
        <w:t>Projected number of incident familial DCM cases eligible for CMR testing</w:t>
      </w:r>
      <w:r>
        <w:tab/>
      </w:r>
      <w:r>
        <w:fldChar w:fldCharType="begin"/>
      </w:r>
      <w:r>
        <w:instrText xml:space="preserve"> PAGEREF _Toc451435388 \h </w:instrText>
      </w:r>
      <w:r>
        <w:fldChar w:fldCharType="separate"/>
      </w:r>
      <w:r w:rsidR="00054ED4">
        <w:t>196</w:t>
      </w:r>
      <w:r>
        <w:fldChar w:fldCharType="end"/>
      </w:r>
    </w:p>
    <w:p w14:paraId="2AE6DF98" w14:textId="77777777" w:rsidR="007251F2" w:rsidRDefault="007251F2" w:rsidP="004C79C1">
      <w:pPr>
        <w:pStyle w:val="TableofFigures"/>
        <w:spacing w:line="240" w:lineRule="auto"/>
        <w:rPr>
          <w:rFonts w:asciiTheme="minorHAnsi" w:eastAsiaTheme="minorEastAsia" w:hAnsiTheme="minorHAnsi" w:cstheme="minorBidi"/>
        </w:rPr>
      </w:pPr>
      <w:r>
        <w:t>Table 62</w:t>
      </w:r>
      <w:r>
        <w:rPr>
          <w:rFonts w:asciiTheme="minorHAnsi" w:eastAsiaTheme="minorEastAsia" w:hAnsiTheme="minorHAnsi" w:cstheme="minorBidi"/>
        </w:rPr>
        <w:tab/>
      </w:r>
      <w:r>
        <w:t>Estimation of the number of total CMR tests performed in DCM</w:t>
      </w:r>
      <w:r>
        <w:tab/>
      </w:r>
      <w:r>
        <w:fldChar w:fldCharType="begin"/>
      </w:r>
      <w:r>
        <w:instrText xml:space="preserve"> PAGEREF _Toc451435389 \h </w:instrText>
      </w:r>
      <w:r>
        <w:fldChar w:fldCharType="separate"/>
      </w:r>
      <w:r w:rsidR="00054ED4">
        <w:t>196</w:t>
      </w:r>
      <w:r>
        <w:fldChar w:fldCharType="end"/>
      </w:r>
    </w:p>
    <w:p w14:paraId="761CA04F" w14:textId="77777777" w:rsidR="007251F2" w:rsidRDefault="007251F2" w:rsidP="004C79C1">
      <w:pPr>
        <w:pStyle w:val="TableofFigures"/>
        <w:spacing w:line="240" w:lineRule="auto"/>
        <w:rPr>
          <w:rFonts w:asciiTheme="minorHAnsi" w:eastAsiaTheme="minorEastAsia" w:hAnsiTheme="minorHAnsi" w:cstheme="minorBidi"/>
        </w:rPr>
      </w:pPr>
      <w:r>
        <w:t>Table 63</w:t>
      </w:r>
      <w:r>
        <w:rPr>
          <w:rFonts w:asciiTheme="minorHAnsi" w:eastAsiaTheme="minorEastAsia" w:hAnsiTheme="minorHAnsi" w:cstheme="minorBidi"/>
        </w:rPr>
        <w:tab/>
      </w:r>
      <w:r>
        <w:t>Total cost of CMR testing for DCM</w:t>
      </w:r>
      <w:r>
        <w:tab/>
      </w:r>
      <w:r>
        <w:fldChar w:fldCharType="begin"/>
      </w:r>
      <w:r>
        <w:instrText xml:space="preserve"> PAGEREF _Toc451435390 \h </w:instrText>
      </w:r>
      <w:r>
        <w:fldChar w:fldCharType="separate"/>
      </w:r>
      <w:r w:rsidR="00054ED4">
        <w:t>198</w:t>
      </w:r>
      <w:r>
        <w:fldChar w:fldCharType="end"/>
      </w:r>
    </w:p>
    <w:p w14:paraId="433EEB96" w14:textId="77777777" w:rsidR="007251F2" w:rsidRDefault="007251F2" w:rsidP="004C79C1">
      <w:pPr>
        <w:pStyle w:val="TableofFigures"/>
        <w:spacing w:line="240" w:lineRule="auto"/>
        <w:rPr>
          <w:rFonts w:asciiTheme="minorHAnsi" w:eastAsiaTheme="minorEastAsia" w:hAnsiTheme="minorHAnsi" w:cstheme="minorBidi"/>
        </w:rPr>
      </w:pPr>
      <w:r>
        <w:t>Table 64</w:t>
      </w:r>
      <w:r>
        <w:rPr>
          <w:rFonts w:asciiTheme="minorHAnsi" w:eastAsiaTheme="minorEastAsia" w:hAnsiTheme="minorHAnsi" w:cstheme="minorBidi"/>
        </w:rPr>
        <w:tab/>
      </w:r>
      <w:r>
        <w:t>Estimation of the number of comparator tests offset for indeterminate tests</w:t>
      </w:r>
      <w:r>
        <w:tab/>
      </w:r>
      <w:r>
        <w:fldChar w:fldCharType="begin"/>
      </w:r>
      <w:r>
        <w:instrText xml:space="preserve"> PAGEREF _Toc451435391 \h </w:instrText>
      </w:r>
      <w:r>
        <w:fldChar w:fldCharType="separate"/>
      </w:r>
      <w:r w:rsidR="00054ED4">
        <w:t>199</w:t>
      </w:r>
      <w:r>
        <w:fldChar w:fldCharType="end"/>
      </w:r>
    </w:p>
    <w:p w14:paraId="5FE0C11E" w14:textId="77777777" w:rsidR="007251F2" w:rsidRDefault="007251F2" w:rsidP="004C79C1">
      <w:pPr>
        <w:pStyle w:val="TableofFigures"/>
        <w:spacing w:line="240" w:lineRule="auto"/>
        <w:rPr>
          <w:rFonts w:asciiTheme="minorHAnsi" w:eastAsiaTheme="minorEastAsia" w:hAnsiTheme="minorHAnsi" w:cstheme="minorBidi"/>
        </w:rPr>
      </w:pPr>
      <w:r>
        <w:t>Table 65</w:t>
      </w:r>
      <w:r>
        <w:rPr>
          <w:rFonts w:asciiTheme="minorHAnsi" w:eastAsiaTheme="minorEastAsia" w:hAnsiTheme="minorHAnsi" w:cstheme="minorBidi"/>
        </w:rPr>
        <w:tab/>
      </w:r>
      <w:r>
        <w:t>Comparator services, 2014–15</w:t>
      </w:r>
      <w:r>
        <w:tab/>
      </w:r>
      <w:r>
        <w:fldChar w:fldCharType="begin"/>
      </w:r>
      <w:r>
        <w:instrText xml:space="preserve"> PAGEREF _Toc451435392 \h </w:instrText>
      </w:r>
      <w:r>
        <w:fldChar w:fldCharType="separate"/>
      </w:r>
      <w:r w:rsidR="00054ED4">
        <w:t>200</w:t>
      </w:r>
      <w:r>
        <w:fldChar w:fldCharType="end"/>
      </w:r>
    </w:p>
    <w:p w14:paraId="4C5D7DC1" w14:textId="77777777" w:rsidR="007251F2" w:rsidRDefault="007251F2" w:rsidP="004C79C1">
      <w:pPr>
        <w:pStyle w:val="TableofFigures"/>
        <w:spacing w:line="240" w:lineRule="auto"/>
        <w:rPr>
          <w:rFonts w:asciiTheme="minorHAnsi" w:eastAsiaTheme="minorEastAsia" w:hAnsiTheme="minorHAnsi" w:cstheme="minorBidi"/>
        </w:rPr>
      </w:pPr>
      <w:r>
        <w:lastRenderedPageBreak/>
        <w:t>Table 66</w:t>
      </w:r>
      <w:r>
        <w:rPr>
          <w:rFonts w:asciiTheme="minorHAnsi" w:eastAsiaTheme="minorEastAsia" w:hAnsiTheme="minorHAnsi" w:cstheme="minorBidi"/>
        </w:rPr>
        <w:tab/>
      </w:r>
      <w:r>
        <w:t>Estimation of the number of comparator tests offset for diagnostic clarification</w:t>
      </w:r>
      <w:r>
        <w:tab/>
      </w:r>
      <w:r>
        <w:fldChar w:fldCharType="begin"/>
      </w:r>
      <w:r>
        <w:instrText xml:space="preserve"> PAGEREF _Toc451435393 \h </w:instrText>
      </w:r>
      <w:r>
        <w:fldChar w:fldCharType="separate"/>
      </w:r>
      <w:r w:rsidR="00054ED4">
        <w:t>200</w:t>
      </w:r>
      <w:r>
        <w:fldChar w:fldCharType="end"/>
      </w:r>
    </w:p>
    <w:p w14:paraId="39AE377F" w14:textId="77777777" w:rsidR="007251F2" w:rsidRDefault="007251F2" w:rsidP="004C79C1">
      <w:pPr>
        <w:pStyle w:val="TableofFigures"/>
        <w:spacing w:line="240" w:lineRule="auto"/>
        <w:rPr>
          <w:rFonts w:asciiTheme="minorHAnsi" w:eastAsiaTheme="minorEastAsia" w:hAnsiTheme="minorHAnsi" w:cstheme="minorBidi"/>
        </w:rPr>
      </w:pPr>
      <w:r>
        <w:t>Table 67</w:t>
      </w:r>
      <w:r>
        <w:rPr>
          <w:rFonts w:asciiTheme="minorHAnsi" w:eastAsiaTheme="minorEastAsia" w:hAnsiTheme="minorHAnsi" w:cstheme="minorBidi"/>
        </w:rPr>
        <w:tab/>
      </w:r>
      <w:r>
        <w:t>Estimation of the number of comparator tests offset in familial cases</w:t>
      </w:r>
      <w:r>
        <w:tab/>
      </w:r>
      <w:r>
        <w:fldChar w:fldCharType="begin"/>
      </w:r>
      <w:r>
        <w:instrText xml:space="preserve"> PAGEREF _Toc451435394 \h </w:instrText>
      </w:r>
      <w:r>
        <w:fldChar w:fldCharType="separate"/>
      </w:r>
      <w:r w:rsidR="00054ED4">
        <w:t>201</w:t>
      </w:r>
      <w:r>
        <w:fldChar w:fldCharType="end"/>
      </w:r>
    </w:p>
    <w:p w14:paraId="6B93C991" w14:textId="77777777" w:rsidR="007251F2" w:rsidRDefault="007251F2" w:rsidP="004C79C1">
      <w:pPr>
        <w:pStyle w:val="TableofFigures"/>
        <w:spacing w:line="240" w:lineRule="auto"/>
        <w:rPr>
          <w:rFonts w:asciiTheme="minorHAnsi" w:eastAsiaTheme="minorEastAsia" w:hAnsiTheme="minorHAnsi" w:cstheme="minorBidi"/>
        </w:rPr>
      </w:pPr>
      <w:r>
        <w:t>Table 68</w:t>
      </w:r>
      <w:r>
        <w:rPr>
          <w:rFonts w:asciiTheme="minorHAnsi" w:eastAsiaTheme="minorEastAsia" w:hAnsiTheme="minorHAnsi" w:cstheme="minorBidi"/>
        </w:rPr>
        <w:tab/>
      </w:r>
      <w:r>
        <w:t>Estimation of the number of comparator tests aggregated across all the proposed populations</w:t>
      </w:r>
      <w:r>
        <w:tab/>
      </w:r>
      <w:r>
        <w:fldChar w:fldCharType="begin"/>
      </w:r>
      <w:r>
        <w:instrText xml:space="preserve"> PAGEREF _Toc451435395 \h </w:instrText>
      </w:r>
      <w:r>
        <w:fldChar w:fldCharType="separate"/>
      </w:r>
      <w:r w:rsidR="00054ED4">
        <w:t>201</w:t>
      </w:r>
      <w:r>
        <w:fldChar w:fldCharType="end"/>
      </w:r>
    </w:p>
    <w:p w14:paraId="1FA8B5FD" w14:textId="77777777" w:rsidR="007251F2" w:rsidRDefault="007251F2" w:rsidP="004C79C1">
      <w:pPr>
        <w:pStyle w:val="TableofFigures"/>
        <w:spacing w:line="240" w:lineRule="auto"/>
        <w:rPr>
          <w:rFonts w:asciiTheme="minorHAnsi" w:eastAsiaTheme="minorEastAsia" w:hAnsiTheme="minorHAnsi" w:cstheme="minorBidi"/>
        </w:rPr>
      </w:pPr>
      <w:r>
        <w:t>Table 69</w:t>
      </w:r>
      <w:r>
        <w:rPr>
          <w:rFonts w:asciiTheme="minorHAnsi" w:eastAsiaTheme="minorEastAsia" w:hAnsiTheme="minorHAnsi" w:cstheme="minorBidi"/>
        </w:rPr>
        <w:tab/>
      </w:r>
      <w:r>
        <w:t>Estimated disaggregated costs per comparator service</w:t>
      </w:r>
      <w:r>
        <w:tab/>
      </w:r>
      <w:r>
        <w:fldChar w:fldCharType="begin"/>
      </w:r>
      <w:r>
        <w:instrText xml:space="preserve"> PAGEREF _Toc451435396 \h </w:instrText>
      </w:r>
      <w:r>
        <w:fldChar w:fldCharType="separate"/>
      </w:r>
      <w:r w:rsidR="00054ED4">
        <w:t>203</w:t>
      </w:r>
      <w:r>
        <w:fldChar w:fldCharType="end"/>
      </w:r>
    </w:p>
    <w:p w14:paraId="265A7D8F" w14:textId="77777777" w:rsidR="007251F2" w:rsidRDefault="007251F2" w:rsidP="004C79C1">
      <w:pPr>
        <w:pStyle w:val="TableofFigures"/>
        <w:spacing w:line="240" w:lineRule="auto"/>
        <w:rPr>
          <w:rFonts w:asciiTheme="minorHAnsi" w:eastAsiaTheme="minorEastAsia" w:hAnsiTheme="minorHAnsi" w:cstheme="minorBidi"/>
        </w:rPr>
      </w:pPr>
      <w:r>
        <w:t>Table 70</w:t>
      </w:r>
      <w:r>
        <w:rPr>
          <w:rFonts w:asciiTheme="minorHAnsi" w:eastAsiaTheme="minorEastAsia" w:hAnsiTheme="minorHAnsi" w:cstheme="minorBidi"/>
        </w:rPr>
        <w:tab/>
      </w:r>
      <w:r>
        <w:t>Total cost offsets by CMR testing for DCM</w:t>
      </w:r>
      <w:r>
        <w:tab/>
      </w:r>
      <w:r>
        <w:fldChar w:fldCharType="begin"/>
      </w:r>
      <w:r>
        <w:instrText xml:space="preserve"> PAGEREF _Toc451435397 \h </w:instrText>
      </w:r>
      <w:r>
        <w:fldChar w:fldCharType="separate"/>
      </w:r>
      <w:r w:rsidR="00054ED4">
        <w:t>203</w:t>
      </w:r>
      <w:r>
        <w:fldChar w:fldCharType="end"/>
      </w:r>
    </w:p>
    <w:p w14:paraId="788F97D6" w14:textId="77777777" w:rsidR="007251F2" w:rsidRDefault="007251F2" w:rsidP="004C79C1">
      <w:pPr>
        <w:pStyle w:val="TableofFigures"/>
        <w:spacing w:line="240" w:lineRule="auto"/>
        <w:rPr>
          <w:rFonts w:asciiTheme="minorHAnsi" w:eastAsiaTheme="minorEastAsia" w:hAnsiTheme="minorHAnsi" w:cstheme="minorBidi"/>
        </w:rPr>
      </w:pPr>
      <w:r>
        <w:t>Table 71</w:t>
      </w:r>
      <w:r>
        <w:rPr>
          <w:rFonts w:asciiTheme="minorHAnsi" w:eastAsiaTheme="minorEastAsia" w:hAnsiTheme="minorHAnsi" w:cstheme="minorBidi"/>
        </w:rPr>
        <w:tab/>
      </w:r>
      <w:r>
        <w:t>Total costs to the MBS associated with CMR for DCM</w:t>
      </w:r>
      <w:r>
        <w:tab/>
      </w:r>
      <w:r>
        <w:fldChar w:fldCharType="begin"/>
      </w:r>
      <w:r>
        <w:instrText xml:space="preserve"> PAGEREF _Toc451435398 \h </w:instrText>
      </w:r>
      <w:r>
        <w:fldChar w:fldCharType="separate"/>
      </w:r>
      <w:r w:rsidR="00054ED4">
        <w:t>204</w:t>
      </w:r>
      <w:r>
        <w:fldChar w:fldCharType="end"/>
      </w:r>
    </w:p>
    <w:p w14:paraId="37C0D21F" w14:textId="77777777" w:rsidR="007251F2" w:rsidRDefault="007251F2" w:rsidP="004C79C1">
      <w:pPr>
        <w:pStyle w:val="TableofFigures"/>
        <w:spacing w:line="240" w:lineRule="auto"/>
        <w:rPr>
          <w:rFonts w:asciiTheme="minorHAnsi" w:eastAsiaTheme="minorEastAsia" w:hAnsiTheme="minorHAnsi" w:cstheme="minorBidi"/>
        </w:rPr>
      </w:pPr>
      <w:r>
        <w:t>Table 72</w:t>
      </w:r>
      <w:r>
        <w:rPr>
          <w:rFonts w:asciiTheme="minorHAnsi" w:eastAsiaTheme="minorEastAsia" w:hAnsiTheme="minorHAnsi" w:cstheme="minorBidi"/>
        </w:rPr>
        <w:tab/>
      </w:r>
      <w:r>
        <w:t>Cost implications for other healthcare budgets (maximum, assuming that all ICAs are substituted by CMR)</w:t>
      </w:r>
      <w:r>
        <w:tab/>
      </w:r>
      <w:r>
        <w:fldChar w:fldCharType="begin"/>
      </w:r>
      <w:r>
        <w:instrText xml:space="preserve"> PAGEREF _Toc451435399 \h </w:instrText>
      </w:r>
      <w:r>
        <w:fldChar w:fldCharType="separate"/>
      </w:r>
      <w:r w:rsidR="00054ED4">
        <w:t>205</w:t>
      </w:r>
      <w:r>
        <w:fldChar w:fldCharType="end"/>
      </w:r>
    </w:p>
    <w:p w14:paraId="7B49BFF5" w14:textId="77777777" w:rsidR="007251F2" w:rsidRDefault="007251F2" w:rsidP="004C79C1">
      <w:pPr>
        <w:pStyle w:val="TableofFigures"/>
        <w:spacing w:line="240" w:lineRule="auto"/>
        <w:rPr>
          <w:rFonts w:asciiTheme="minorHAnsi" w:eastAsiaTheme="minorEastAsia" w:hAnsiTheme="minorHAnsi" w:cstheme="minorBidi"/>
        </w:rPr>
      </w:pPr>
      <w:r>
        <w:t>Table 73</w:t>
      </w:r>
      <w:r>
        <w:rPr>
          <w:rFonts w:asciiTheme="minorHAnsi" w:eastAsiaTheme="minorEastAsia" w:hAnsiTheme="minorHAnsi" w:cstheme="minorBidi"/>
        </w:rPr>
        <w:tab/>
      </w:r>
      <w:r>
        <w:t>Total costs to patients associated with CMR for DCM</w:t>
      </w:r>
      <w:r>
        <w:tab/>
      </w:r>
      <w:r>
        <w:fldChar w:fldCharType="begin"/>
      </w:r>
      <w:r>
        <w:instrText xml:space="preserve"> PAGEREF _Toc451435400 \h </w:instrText>
      </w:r>
      <w:r>
        <w:fldChar w:fldCharType="separate"/>
      </w:r>
      <w:r w:rsidR="00054ED4">
        <w:t>205</w:t>
      </w:r>
      <w:r>
        <w:fldChar w:fldCharType="end"/>
      </w:r>
    </w:p>
    <w:p w14:paraId="57560BE5" w14:textId="77777777" w:rsidR="007251F2" w:rsidRDefault="007251F2" w:rsidP="004C79C1">
      <w:pPr>
        <w:pStyle w:val="TableofFigures"/>
        <w:spacing w:line="240" w:lineRule="auto"/>
        <w:rPr>
          <w:rFonts w:asciiTheme="minorHAnsi" w:eastAsiaTheme="minorEastAsia" w:hAnsiTheme="minorHAnsi" w:cstheme="minorBidi"/>
        </w:rPr>
      </w:pPr>
      <w:r>
        <w:t>Table 74</w:t>
      </w:r>
      <w:r>
        <w:rPr>
          <w:rFonts w:asciiTheme="minorHAnsi" w:eastAsiaTheme="minorEastAsia" w:hAnsiTheme="minorHAnsi" w:cstheme="minorBidi"/>
        </w:rPr>
        <w:tab/>
      </w:r>
      <w:r>
        <w:t>Sensitivity analysis of financial implications of listing CMR for DCM</w:t>
      </w:r>
      <w:r>
        <w:tab/>
      </w:r>
      <w:r>
        <w:fldChar w:fldCharType="begin"/>
      </w:r>
      <w:r>
        <w:instrText xml:space="preserve"> PAGEREF _Toc451435401 \h </w:instrText>
      </w:r>
      <w:r>
        <w:fldChar w:fldCharType="separate"/>
      </w:r>
      <w:r w:rsidR="00054ED4">
        <w:t>206</w:t>
      </w:r>
      <w:r>
        <w:fldChar w:fldCharType="end"/>
      </w:r>
    </w:p>
    <w:p w14:paraId="1B132DA1" w14:textId="77777777" w:rsidR="007251F2" w:rsidRDefault="007251F2" w:rsidP="004C79C1">
      <w:pPr>
        <w:pStyle w:val="TableofFigures"/>
        <w:spacing w:line="240" w:lineRule="auto"/>
        <w:rPr>
          <w:rFonts w:asciiTheme="minorHAnsi" w:eastAsiaTheme="minorEastAsia" w:hAnsiTheme="minorHAnsi" w:cstheme="minorBidi"/>
        </w:rPr>
      </w:pPr>
      <w:r>
        <w:t>Table 75</w:t>
      </w:r>
      <w:r>
        <w:rPr>
          <w:rFonts w:asciiTheme="minorHAnsi" w:eastAsiaTheme="minorEastAsia" w:hAnsiTheme="minorHAnsi" w:cstheme="minorBidi"/>
        </w:rPr>
        <w:tab/>
      </w:r>
      <w:r>
        <w:t>Mean difference in LVEF measured by echocardiography or non-CMR methods compared with CMR in HF patients</w:t>
      </w:r>
      <w:r>
        <w:tab/>
      </w:r>
      <w:r>
        <w:fldChar w:fldCharType="begin"/>
      </w:r>
      <w:r>
        <w:instrText xml:space="preserve"> PAGEREF _Toc451435402 \h </w:instrText>
      </w:r>
      <w:r>
        <w:fldChar w:fldCharType="separate"/>
      </w:r>
      <w:r w:rsidR="00054ED4">
        <w:t>210</w:t>
      </w:r>
      <w:r>
        <w:fldChar w:fldCharType="end"/>
      </w:r>
    </w:p>
    <w:p w14:paraId="49CA405F" w14:textId="77777777" w:rsidR="007251F2" w:rsidRDefault="007251F2" w:rsidP="004C79C1">
      <w:pPr>
        <w:pStyle w:val="TableofFigures"/>
        <w:spacing w:line="240" w:lineRule="auto"/>
        <w:rPr>
          <w:rFonts w:asciiTheme="minorHAnsi" w:eastAsiaTheme="minorEastAsia" w:hAnsiTheme="minorHAnsi" w:cstheme="minorBidi"/>
        </w:rPr>
      </w:pPr>
      <w:r>
        <w:t>Table 76</w:t>
      </w:r>
      <w:r>
        <w:rPr>
          <w:rFonts w:asciiTheme="minorHAnsi" w:eastAsiaTheme="minorEastAsia" w:hAnsiTheme="minorHAnsi" w:cstheme="minorBidi"/>
        </w:rPr>
        <w:tab/>
      </w:r>
      <w:r>
        <w:t>Profiles of studies on diagnostic performance included in the systematic literature review</w:t>
      </w:r>
      <w:r>
        <w:tab/>
      </w:r>
      <w:r>
        <w:fldChar w:fldCharType="begin"/>
      </w:r>
      <w:r>
        <w:instrText xml:space="preserve"> PAGEREF _Toc451435403 \h </w:instrText>
      </w:r>
      <w:r>
        <w:fldChar w:fldCharType="separate"/>
      </w:r>
      <w:r w:rsidR="00054ED4">
        <w:t>215</w:t>
      </w:r>
      <w:r>
        <w:fldChar w:fldCharType="end"/>
      </w:r>
    </w:p>
    <w:p w14:paraId="6F144FE8" w14:textId="77777777" w:rsidR="007251F2" w:rsidRDefault="007251F2" w:rsidP="004C79C1">
      <w:pPr>
        <w:pStyle w:val="TableofFigures"/>
        <w:spacing w:line="240" w:lineRule="auto"/>
        <w:rPr>
          <w:rFonts w:asciiTheme="minorHAnsi" w:eastAsiaTheme="minorEastAsia" w:hAnsiTheme="minorHAnsi" w:cstheme="minorBidi"/>
        </w:rPr>
      </w:pPr>
      <w:r>
        <w:t xml:space="preserve">Table 77 </w:t>
      </w:r>
      <w:r>
        <w:rPr>
          <w:rFonts w:asciiTheme="minorHAnsi" w:eastAsiaTheme="minorEastAsia" w:hAnsiTheme="minorHAnsi" w:cstheme="minorBidi"/>
        </w:rPr>
        <w:tab/>
      </w:r>
      <w:r>
        <w:t>Study profiles of included prognostic SRs</w:t>
      </w:r>
      <w:r>
        <w:tab/>
      </w:r>
      <w:r>
        <w:fldChar w:fldCharType="begin"/>
      </w:r>
      <w:r>
        <w:instrText xml:space="preserve"> PAGEREF _Toc451435404 \h </w:instrText>
      </w:r>
      <w:r>
        <w:fldChar w:fldCharType="separate"/>
      </w:r>
      <w:r w:rsidR="00054ED4">
        <w:t>222</w:t>
      </w:r>
      <w:r>
        <w:fldChar w:fldCharType="end"/>
      </w:r>
    </w:p>
    <w:p w14:paraId="794A577C" w14:textId="77777777" w:rsidR="007251F2" w:rsidRDefault="007251F2" w:rsidP="004C79C1">
      <w:pPr>
        <w:pStyle w:val="TableofFigures"/>
        <w:spacing w:line="240" w:lineRule="auto"/>
        <w:rPr>
          <w:rFonts w:asciiTheme="minorHAnsi" w:eastAsiaTheme="minorEastAsia" w:hAnsiTheme="minorHAnsi" w:cstheme="minorBidi"/>
        </w:rPr>
      </w:pPr>
      <w:r>
        <w:t>Table 78</w:t>
      </w:r>
      <w:r>
        <w:rPr>
          <w:rFonts w:asciiTheme="minorHAnsi" w:eastAsiaTheme="minorEastAsia" w:hAnsiTheme="minorHAnsi" w:cstheme="minorBidi"/>
        </w:rPr>
        <w:tab/>
      </w:r>
      <w:r>
        <w:t>Study profiles of included non-comparative prognostic cohort studies in adults</w:t>
      </w:r>
      <w:r>
        <w:tab/>
      </w:r>
      <w:r>
        <w:fldChar w:fldCharType="begin"/>
      </w:r>
      <w:r>
        <w:instrText xml:space="preserve"> PAGEREF _Toc451435405 \h </w:instrText>
      </w:r>
      <w:r>
        <w:fldChar w:fldCharType="separate"/>
      </w:r>
      <w:r w:rsidR="00054ED4">
        <w:t>225</w:t>
      </w:r>
      <w:r>
        <w:fldChar w:fldCharType="end"/>
      </w:r>
    </w:p>
    <w:p w14:paraId="340B38F1" w14:textId="77777777" w:rsidR="007251F2" w:rsidRDefault="007251F2" w:rsidP="004C79C1">
      <w:pPr>
        <w:pStyle w:val="TableofFigures"/>
        <w:spacing w:line="240" w:lineRule="auto"/>
        <w:rPr>
          <w:rFonts w:asciiTheme="minorHAnsi" w:eastAsiaTheme="minorEastAsia" w:hAnsiTheme="minorHAnsi" w:cstheme="minorBidi"/>
        </w:rPr>
      </w:pPr>
      <w:r>
        <w:t>Table 79</w:t>
      </w:r>
      <w:r>
        <w:rPr>
          <w:rFonts w:asciiTheme="minorHAnsi" w:eastAsiaTheme="minorEastAsia" w:hAnsiTheme="minorHAnsi" w:cstheme="minorBidi"/>
        </w:rPr>
        <w:tab/>
      </w:r>
      <w:r>
        <w:t>Study profiles of included comparative prognostic studies</w:t>
      </w:r>
      <w:r>
        <w:tab/>
      </w:r>
      <w:r>
        <w:fldChar w:fldCharType="begin"/>
      </w:r>
      <w:r>
        <w:instrText xml:space="preserve"> PAGEREF _Toc451435406 \h </w:instrText>
      </w:r>
      <w:r>
        <w:fldChar w:fldCharType="separate"/>
      </w:r>
      <w:r w:rsidR="00054ED4">
        <w:t>250</w:t>
      </w:r>
      <w:r>
        <w:fldChar w:fldCharType="end"/>
      </w:r>
    </w:p>
    <w:p w14:paraId="2D9449FF" w14:textId="77777777" w:rsidR="007251F2" w:rsidRDefault="007251F2" w:rsidP="004C79C1">
      <w:pPr>
        <w:pStyle w:val="TableofFigures"/>
        <w:spacing w:line="240" w:lineRule="auto"/>
        <w:rPr>
          <w:rFonts w:asciiTheme="minorHAnsi" w:eastAsiaTheme="minorEastAsia" w:hAnsiTheme="minorHAnsi" w:cstheme="minorBidi"/>
        </w:rPr>
      </w:pPr>
      <w:r>
        <w:t>Table 80</w:t>
      </w:r>
      <w:r>
        <w:rPr>
          <w:rFonts w:asciiTheme="minorHAnsi" w:eastAsiaTheme="minorEastAsia" w:hAnsiTheme="minorHAnsi" w:cstheme="minorBidi"/>
        </w:rPr>
        <w:tab/>
      </w:r>
      <w:r>
        <w:t>Study profiles of included prognostic cohort studies in children</w:t>
      </w:r>
      <w:r>
        <w:tab/>
      </w:r>
      <w:r>
        <w:fldChar w:fldCharType="begin"/>
      </w:r>
      <w:r>
        <w:instrText xml:space="preserve"> PAGEREF _Toc451435407 \h </w:instrText>
      </w:r>
      <w:r>
        <w:fldChar w:fldCharType="separate"/>
      </w:r>
      <w:r w:rsidR="00054ED4">
        <w:t>251</w:t>
      </w:r>
      <w:r>
        <w:fldChar w:fldCharType="end"/>
      </w:r>
    </w:p>
    <w:p w14:paraId="2CE78A50" w14:textId="77777777" w:rsidR="007251F2" w:rsidRDefault="007251F2" w:rsidP="004C79C1">
      <w:pPr>
        <w:pStyle w:val="TableofFigures"/>
        <w:spacing w:line="240" w:lineRule="auto"/>
        <w:rPr>
          <w:rFonts w:asciiTheme="minorHAnsi" w:eastAsiaTheme="minorEastAsia" w:hAnsiTheme="minorHAnsi" w:cstheme="minorBidi"/>
        </w:rPr>
      </w:pPr>
      <w:r>
        <w:t>Table 81</w:t>
      </w:r>
      <w:r>
        <w:rPr>
          <w:rFonts w:asciiTheme="minorHAnsi" w:eastAsiaTheme="minorEastAsia" w:hAnsiTheme="minorHAnsi" w:cstheme="minorBidi"/>
        </w:rPr>
        <w:tab/>
      </w:r>
      <w:r>
        <w:t>Study profiles for studies reporting change in management</w:t>
      </w:r>
      <w:r>
        <w:tab/>
      </w:r>
      <w:r>
        <w:fldChar w:fldCharType="begin"/>
      </w:r>
      <w:r>
        <w:instrText xml:space="preserve"> PAGEREF _Toc451435408 \h </w:instrText>
      </w:r>
      <w:r>
        <w:fldChar w:fldCharType="separate"/>
      </w:r>
      <w:r w:rsidR="00054ED4">
        <w:t>253</w:t>
      </w:r>
      <w:r>
        <w:fldChar w:fldCharType="end"/>
      </w:r>
    </w:p>
    <w:p w14:paraId="49B1EE43" w14:textId="77777777" w:rsidR="007251F2" w:rsidRDefault="007251F2" w:rsidP="004C79C1">
      <w:pPr>
        <w:pStyle w:val="TableofFigures"/>
        <w:spacing w:line="240" w:lineRule="auto"/>
        <w:rPr>
          <w:rFonts w:asciiTheme="minorHAnsi" w:eastAsiaTheme="minorEastAsia" w:hAnsiTheme="minorHAnsi" w:cstheme="minorBidi"/>
        </w:rPr>
      </w:pPr>
      <w:r>
        <w:t>Table 82</w:t>
      </w:r>
      <w:r>
        <w:rPr>
          <w:rFonts w:asciiTheme="minorHAnsi" w:eastAsiaTheme="minorEastAsia" w:hAnsiTheme="minorHAnsi" w:cstheme="minorBidi"/>
        </w:rPr>
        <w:tab/>
      </w:r>
      <w:r>
        <w:t>Study profiles of included HTAs comparing ICD with OMT in DCM (therapeutic effectiveness)</w:t>
      </w:r>
      <w:r>
        <w:tab/>
      </w:r>
      <w:r>
        <w:fldChar w:fldCharType="begin"/>
      </w:r>
      <w:r>
        <w:instrText xml:space="preserve"> PAGEREF _Toc451435409 \h </w:instrText>
      </w:r>
      <w:r>
        <w:fldChar w:fldCharType="separate"/>
      </w:r>
      <w:r w:rsidR="00054ED4">
        <w:t>255</w:t>
      </w:r>
      <w:r>
        <w:fldChar w:fldCharType="end"/>
      </w:r>
    </w:p>
    <w:p w14:paraId="4A0E59F4" w14:textId="77777777" w:rsidR="007251F2" w:rsidRDefault="007251F2" w:rsidP="004C79C1">
      <w:pPr>
        <w:pStyle w:val="TableofFigures"/>
        <w:spacing w:line="240" w:lineRule="auto"/>
        <w:rPr>
          <w:rFonts w:asciiTheme="minorHAnsi" w:eastAsiaTheme="minorEastAsia" w:hAnsiTheme="minorHAnsi" w:cstheme="minorBidi"/>
        </w:rPr>
      </w:pPr>
      <w:r>
        <w:t>Table 83</w:t>
      </w:r>
      <w:r>
        <w:rPr>
          <w:rFonts w:asciiTheme="minorHAnsi" w:eastAsiaTheme="minorEastAsia" w:hAnsiTheme="minorHAnsi" w:cstheme="minorBidi"/>
        </w:rPr>
        <w:tab/>
      </w:r>
      <w:r>
        <w:t>Study profiles of included RCTs and nRCSs comparing ICD with optimal pharmaceutical treatment in DCM (therapeutic effectiveness)</w:t>
      </w:r>
      <w:r>
        <w:tab/>
      </w:r>
      <w:r>
        <w:fldChar w:fldCharType="begin"/>
      </w:r>
      <w:r>
        <w:instrText xml:space="preserve"> PAGEREF _Toc451435410 \h </w:instrText>
      </w:r>
      <w:r>
        <w:fldChar w:fldCharType="separate"/>
      </w:r>
      <w:r w:rsidR="00054ED4">
        <w:t>257</w:t>
      </w:r>
      <w:r>
        <w:fldChar w:fldCharType="end"/>
      </w:r>
    </w:p>
    <w:p w14:paraId="239DC8C6" w14:textId="77777777" w:rsidR="007251F2" w:rsidRDefault="007251F2" w:rsidP="004C79C1">
      <w:pPr>
        <w:pStyle w:val="TableofFigures"/>
        <w:spacing w:line="240" w:lineRule="auto"/>
        <w:rPr>
          <w:rFonts w:asciiTheme="minorHAnsi" w:eastAsiaTheme="minorEastAsia" w:hAnsiTheme="minorHAnsi" w:cstheme="minorBidi"/>
        </w:rPr>
      </w:pPr>
      <w:r>
        <w:t>Table 84</w:t>
      </w:r>
      <w:r>
        <w:rPr>
          <w:rFonts w:asciiTheme="minorHAnsi" w:eastAsiaTheme="minorEastAsia" w:hAnsiTheme="minorHAnsi" w:cstheme="minorBidi"/>
        </w:rPr>
        <w:tab/>
      </w:r>
      <w:r>
        <w:t>Study profiles of included SRs comparing treatments in patients with myocarditis (therapeutic effectiveness)</w:t>
      </w:r>
      <w:r>
        <w:tab/>
      </w:r>
      <w:r>
        <w:fldChar w:fldCharType="begin"/>
      </w:r>
      <w:r>
        <w:instrText xml:space="preserve"> PAGEREF _Toc451435411 \h </w:instrText>
      </w:r>
      <w:r>
        <w:fldChar w:fldCharType="separate"/>
      </w:r>
      <w:r w:rsidR="00054ED4">
        <w:t>262</w:t>
      </w:r>
      <w:r>
        <w:fldChar w:fldCharType="end"/>
      </w:r>
    </w:p>
    <w:p w14:paraId="772C1351" w14:textId="77777777" w:rsidR="007251F2" w:rsidRDefault="007251F2" w:rsidP="004C79C1">
      <w:pPr>
        <w:pStyle w:val="TableofFigures"/>
        <w:spacing w:line="240" w:lineRule="auto"/>
        <w:rPr>
          <w:rFonts w:asciiTheme="minorHAnsi" w:eastAsiaTheme="minorEastAsia" w:hAnsiTheme="minorHAnsi" w:cstheme="minorBidi"/>
        </w:rPr>
      </w:pPr>
      <w:r>
        <w:t>Table 85</w:t>
      </w:r>
      <w:r>
        <w:rPr>
          <w:rFonts w:asciiTheme="minorHAnsi" w:eastAsiaTheme="minorEastAsia" w:hAnsiTheme="minorHAnsi" w:cstheme="minorBidi"/>
        </w:rPr>
        <w:tab/>
      </w:r>
      <w:r>
        <w:t>Study profiles of studies included for assessment of the impact of change in management (therapeutic effectiveness)</w:t>
      </w:r>
      <w:r>
        <w:tab/>
      </w:r>
      <w:r>
        <w:fldChar w:fldCharType="begin"/>
      </w:r>
      <w:r>
        <w:instrText xml:space="preserve"> PAGEREF _Toc451435412 \h </w:instrText>
      </w:r>
      <w:r>
        <w:fldChar w:fldCharType="separate"/>
      </w:r>
      <w:r w:rsidR="00054ED4">
        <w:t>263</w:t>
      </w:r>
      <w:r>
        <w:fldChar w:fldCharType="end"/>
      </w:r>
    </w:p>
    <w:p w14:paraId="70EDFDE3" w14:textId="77777777" w:rsidR="007251F2" w:rsidRDefault="007251F2" w:rsidP="004C79C1">
      <w:pPr>
        <w:pStyle w:val="TableofFigures"/>
        <w:spacing w:line="240" w:lineRule="auto"/>
        <w:rPr>
          <w:rFonts w:asciiTheme="minorHAnsi" w:eastAsiaTheme="minorEastAsia" w:hAnsiTheme="minorHAnsi" w:cstheme="minorBidi"/>
        </w:rPr>
      </w:pPr>
      <w:r>
        <w:t>Table 86</w:t>
      </w:r>
      <w:r>
        <w:rPr>
          <w:rFonts w:asciiTheme="minorHAnsi" w:eastAsiaTheme="minorEastAsia" w:hAnsiTheme="minorHAnsi" w:cstheme="minorBidi"/>
        </w:rPr>
        <w:tab/>
      </w:r>
      <w:r>
        <w:t>Evidence profile table for the accuracy of LGE-CMR compared with the reference standards for patients with HF symptoms (suspected of DCM) or DCM patients</w:t>
      </w:r>
      <w:r>
        <w:tab/>
      </w:r>
      <w:r>
        <w:fldChar w:fldCharType="begin"/>
      </w:r>
      <w:r>
        <w:instrText xml:space="preserve"> PAGEREF _Toc451435413 \h </w:instrText>
      </w:r>
      <w:r>
        <w:fldChar w:fldCharType="separate"/>
      </w:r>
      <w:r w:rsidR="00054ED4">
        <w:t>265</w:t>
      </w:r>
      <w:r>
        <w:fldChar w:fldCharType="end"/>
      </w:r>
    </w:p>
    <w:p w14:paraId="7531EA38" w14:textId="77777777" w:rsidR="007251F2" w:rsidRDefault="007251F2" w:rsidP="004C79C1">
      <w:pPr>
        <w:pStyle w:val="TableofFigures"/>
        <w:spacing w:line="240" w:lineRule="auto"/>
        <w:rPr>
          <w:rFonts w:asciiTheme="minorHAnsi" w:eastAsiaTheme="minorEastAsia" w:hAnsiTheme="minorHAnsi" w:cstheme="minorBidi"/>
        </w:rPr>
      </w:pPr>
      <w:r>
        <w:t>Table 87</w:t>
      </w:r>
      <w:r>
        <w:rPr>
          <w:rFonts w:asciiTheme="minorHAnsi" w:eastAsiaTheme="minorEastAsia" w:hAnsiTheme="minorHAnsi" w:cstheme="minorBidi"/>
        </w:rPr>
        <w:tab/>
      </w:r>
      <w:r>
        <w:t>Evidence profile for the SRs investigating the prognostic value of using LGE-CMR to predict health outcomes in patients with DCM</w:t>
      </w:r>
      <w:r>
        <w:tab/>
      </w:r>
      <w:r>
        <w:fldChar w:fldCharType="begin"/>
      </w:r>
      <w:r>
        <w:instrText xml:space="preserve"> PAGEREF _Toc451435414 \h </w:instrText>
      </w:r>
      <w:r>
        <w:fldChar w:fldCharType="separate"/>
      </w:r>
      <w:r w:rsidR="00054ED4">
        <w:t>267</w:t>
      </w:r>
      <w:r>
        <w:fldChar w:fldCharType="end"/>
      </w:r>
    </w:p>
    <w:p w14:paraId="16F350D2" w14:textId="77777777" w:rsidR="007251F2" w:rsidRDefault="007251F2" w:rsidP="004C79C1">
      <w:pPr>
        <w:pStyle w:val="TableofFigures"/>
        <w:spacing w:line="240" w:lineRule="auto"/>
        <w:rPr>
          <w:rFonts w:asciiTheme="minorHAnsi" w:eastAsiaTheme="minorEastAsia" w:hAnsiTheme="minorHAnsi" w:cstheme="minorBidi"/>
        </w:rPr>
      </w:pPr>
      <w:r>
        <w:t>Table 88</w:t>
      </w:r>
      <w:r>
        <w:rPr>
          <w:rFonts w:asciiTheme="minorHAnsi" w:eastAsiaTheme="minorEastAsia" w:hAnsiTheme="minorHAnsi" w:cstheme="minorBidi"/>
        </w:rPr>
        <w:tab/>
      </w:r>
      <w:r>
        <w:t>Evidence profile for the prognostic value of using LGE-CMR to predict health outcomes in patients with DCM</w:t>
      </w:r>
      <w:r>
        <w:tab/>
      </w:r>
      <w:r>
        <w:fldChar w:fldCharType="begin"/>
      </w:r>
      <w:r>
        <w:instrText xml:space="preserve"> PAGEREF _Toc451435415 \h </w:instrText>
      </w:r>
      <w:r>
        <w:fldChar w:fldCharType="separate"/>
      </w:r>
      <w:r w:rsidR="00054ED4">
        <w:t>268</w:t>
      </w:r>
      <w:r>
        <w:fldChar w:fldCharType="end"/>
      </w:r>
    </w:p>
    <w:p w14:paraId="0F70401D" w14:textId="77777777" w:rsidR="007251F2" w:rsidRDefault="007251F2" w:rsidP="004C79C1">
      <w:pPr>
        <w:pStyle w:val="TableofFigures"/>
        <w:spacing w:line="240" w:lineRule="auto"/>
        <w:rPr>
          <w:rFonts w:asciiTheme="minorHAnsi" w:eastAsiaTheme="minorEastAsia" w:hAnsiTheme="minorHAnsi" w:cstheme="minorBidi"/>
        </w:rPr>
      </w:pPr>
      <w:r>
        <w:t>Table 89</w:t>
      </w:r>
      <w:r>
        <w:rPr>
          <w:rFonts w:asciiTheme="minorHAnsi" w:eastAsiaTheme="minorEastAsia" w:hAnsiTheme="minorHAnsi" w:cstheme="minorBidi"/>
        </w:rPr>
        <w:tab/>
      </w:r>
      <w:r>
        <w:t>Evidence profile for the prognostic value of using LGE-CMR to predict health outcomes in children newly diagnosed with DCM</w:t>
      </w:r>
      <w:r>
        <w:tab/>
      </w:r>
      <w:r>
        <w:fldChar w:fldCharType="begin"/>
      </w:r>
      <w:r>
        <w:instrText xml:space="preserve"> PAGEREF _Toc451435416 \h </w:instrText>
      </w:r>
      <w:r>
        <w:fldChar w:fldCharType="separate"/>
      </w:r>
      <w:r w:rsidR="00054ED4">
        <w:t>271</w:t>
      </w:r>
      <w:r>
        <w:fldChar w:fldCharType="end"/>
      </w:r>
    </w:p>
    <w:p w14:paraId="6058585F" w14:textId="77777777" w:rsidR="007251F2" w:rsidRDefault="007251F2" w:rsidP="004C79C1">
      <w:pPr>
        <w:pStyle w:val="TableofFigures"/>
        <w:spacing w:line="240" w:lineRule="auto"/>
        <w:rPr>
          <w:rFonts w:asciiTheme="minorHAnsi" w:eastAsiaTheme="minorEastAsia" w:hAnsiTheme="minorHAnsi" w:cstheme="minorBidi"/>
        </w:rPr>
      </w:pPr>
      <w:r>
        <w:lastRenderedPageBreak/>
        <w:t>Table 90</w:t>
      </w:r>
      <w:r>
        <w:rPr>
          <w:rFonts w:asciiTheme="minorHAnsi" w:eastAsiaTheme="minorEastAsia" w:hAnsiTheme="minorHAnsi" w:cstheme="minorBidi"/>
        </w:rPr>
        <w:tab/>
      </w:r>
      <w:r>
        <w:t>Evidence profile for the prognosis of ICM patients compared with NIDCM patients</w:t>
      </w:r>
      <w:r>
        <w:tab/>
      </w:r>
      <w:r>
        <w:fldChar w:fldCharType="begin"/>
      </w:r>
      <w:r>
        <w:instrText xml:space="preserve"> PAGEREF _Toc451435417 \h </w:instrText>
      </w:r>
      <w:r>
        <w:fldChar w:fldCharType="separate"/>
      </w:r>
      <w:r w:rsidR="00054ED4">
        <w:t>271</w:t>
      </w:r>
      <w:r>
        <w:fldChar w:fldCharType="end"/>
      </w:r>
    </w:p>
    <w:p w14:paraId="38432B6C" w14:textId="77777777" w:rsidR="007251F2" w:rsidRDefault="007251F2" w:rsidP="004C79C1">
      <w:pPr>
        <w:pStyle w:val="TableofFigures"/>
        <w:spacing w:line="240" w:lineRule="auto"/>
        <w:rPr>
          <w:rFonts w:asciiTheme="minorHAnsi" w:eastAsiaTheme="minorEastAsia" w:hAnsiTheme="minorHAnsi" w:cstheme="minorBidi"/>
        </w:rPr>
      </w:pPr>
      <w:r>
        <w:t>Table 91</w:t>
      </w:r>
      <w:r>
        <w:rPr>
          <w:rFonts w:asciiTheme="minorHAnsi" w:eastAsiaTheme="minorEastAsia" w:hAnsiTheme="minorHAnsi" w:cstheme="minorBidi"/>
        </w:rPr>
        <w:tab/>
      </w:r>
      <w:r>
        <w:t>Evidence profile table for the impact of change in management due to CMR for patients indicated for DCM</w:t>
      </w:r>
      <w:r>
        <w:tab/>
      </w:r>
      <w:r>
        <w:fldChar w:fldCharType="begin"/>
      </w:r>
      <w:r>
        <w:instrText xml:space="preserve"> PAGEREF _Toc451435418 \h </w:instrText>
      </w:r>
      <w:r>
        <w:fldChar w:fldCharType="separate"/>
      </w:r>
      <w:r w:rsidR="00054ED4">
        <w:t>272</w:t>
      </w:r>
      <w:r>
        <w:fldChar w:fldCharType="end"/>
      </w:r>
    </w:p>
    <w:p w14:paraId="03E5B231" w14:textId="77777777" w:rsidR="007251F2" w:rsidRDefault="007251F2" w:rsidP="004C79C1">
      <w:pPr>
        <w:pStyle w:val="TableofFigures"/>
        <w:spacing w:line="240" w:lineRule="auto"/>
        <w:rPr>
          <w:rFonts w:asciiTheme="minorHAnsi" w:eastAsiaTheme="minorEastAsia" w:hAnsiTheme="minorHAnsi" w:cstheme="minorBidi"/>
        </w:rPr>
      </w:pPr>
      <w:r>
        <w:t>Table 92</w:t>
      </w:r>
      <w:r>
        <w:rPr>
          <w:rFonts w:asciiTheme="minorHAnsi" w:eastAsiaTheme="minorEastAsia" w:hAnsiTheme="minorHAnsi" w:cstheme="minorBidi"/>
        </w:rPr>
        <w:tab/>
      </w:r>
      <w:r>
        <w:t>Gated heart pool scan (GHPS)</w:t>
      </w:r>
      <w:r>
        <w:tab/>
      </w:r>
      <w:r>
        <w:fldChar w:fldCharType="begin"/>
      </w:r>
      <w:r>
        <w:instrText xml:space="preserve"> PAGEREF _Toc451435419 \h </w:instrText>
      </w:r>
      <w:r>
        <w:fldChar w:fldCharType="separate"/>
      </w:r>
      <w:r w:rsidR="00054ED4">
        <w:t>285</w:t>
      </w:r>
      <w:r>
        <w:fldChar w:fldCharType="end"/>
      </w:r>
    </w:p>
    <w:p w14:paraId="1DF1C11E" w14:textId="77777777" w:rsidR="007251F2" w:rsidRDefault="007251F2" w:rsidP="004C79C1">
      <w:pPr>
        <w:pStyle w:val="TableofFigures"/>
        <w:spacing w:line="240" w:lineRule="auto"/>
        <w:rPr>
          <w:rFonts w:asciiTheme="minorHAnsi" w:eastAsiaTheme="minorEastAsia" w:hAnsiTheme="minorHAnsi" w:cstheme="minorBidi"/>
        </w:rPr>
      </w:pPr>
      <w:r>
        <w:t>Table 93</w:t>
      </w:r>
      <w:r>
        <w:rPr>
          <w:rFonts w:asciiTheme="minorHAnsi" w:eastAsiaTheme="minorEastAsia" w:hAnsiTheme="minorHAnsi" w:cstheme="minorBidi"/>
        </w:rPr>
        <w:tab/>
      </w:r>
      <w:r>
        <w:t>Stress echocardiography (Echo)</w:t>
      </w:r>
      <w:r>
        <w:tab/>
      </w:r>
      <w:r>
        <w:fldChar w:fldCharType="begin"/>
      </w:r>
      <w:r>
        <w:instrText xml:space="preserve"> PAGEREF _Toc451435420 \h </w:instrText>
      </w:r>
      <w:r>
        <w:fldChar w:fldCharType="separate"/>
      </w:r>
      <w:r w:rsidR="00054ED4">
        <w:t>285</w:t>
      </w:r>
      <w:r>
        <w:fldChar w:fldCharType="end"/>
      </w:r>
    </w:p>
    <w:p w14:paraId="5E8A6208" w14:textId="77777777" w:rsidR="007251F2" w:rsidRDefault="007251F2" w:rsidP="004C79C1">
      <w:pPr>
        <w:pStyle w:val="TableofFigures"/>
        <w:spacing w:line="240" w:lineRule="auto"/>
        <w:rPr>
          <w:rFonts w:asciiTheme="minorHAnsi" w:eastAsiaTheme="minorEastAsia" w:hAnsiTheme="minorHAnsi" w:cstheme="minorBidi"/>
        </w:rPr>
      </w:pPr>
      <w:r>
        <w:t>Table 94</w:t>
      </w:r>
      <w:r>
        <w:rPr>
          <w:rFonts w:asciiTheme="minorHAnsi" w:eastAsiaTheme="minorEastAsia" w:hAnsiTheme="minorHAnsi" w:cstheme="minorBidi"/>
        </w:rPr>
        <w:tab/>
      </w:r>
      <w:r>
        <w:t xml:space="preserve"> Invasive coronary angiography (ICA)</w:t>
      </w:r>
      <w:r>
        <w:tab/>
      </w:r>
      <w:r>
        <w:fldChar w:fldCharType="begin"/>
      </w:r>
      <w:r>
        <w:instrText xml:space="preserve"> PAGEREF _Toc451435421 \h </w:instrText>
      </w:r>
      <w:r>
        <w:fldChar w:fldCharType="separate"/>
      </w:r>
      <w:r w:rsidR="00054ED4">
        <w:t>286</w:t>
      </w:r>
      <w:r>
        <w:fldChar w:fldCharType="end"/>
      </w:r>
    </w:p>
    <w:p w14:paraId="7DDFA757" w14:textId="77777777" w:rsidR="007251F2" w:rsidRDefault="007251F2" w:rsidP="004C79C1">
      <w:pPr>
        <w:pStyle w:val="TableofFigures"/>
        <w:spacing w:line="240" w:lineRule="auto"/>
        <w:rPr>
          <w:rFonts w:asciiTheme="minorHAnsi" w:eastAsiaTheme="minorEastAsia" w:hAnsiTheme="minorHAnsi" w:cstheme="minorBidi"/>
        </w:rPr>
      </w:pPr>
      <w:r>
        <w:t>Table 95</w:t>
      </w:r>
      <w:r>
        <w:rPr>
          <w:rFonts w:asciiTheme="minorHAnsi" w:eastAsiaTheme="minorEastAsia" w:hAnsiTheme="minorHAnsi" w:cstheme="minorBidi"/>
        </w:rPr>
        <w:tab/>
      </w:r>
      <w:r>
        <w:t>Computed tomography coronary angiography (CTCA)</w:t>
      </w:r>
      <w:r>
        <w:tab/>
      </w:r>
      <w:r>
        <w:fldChar w:fldCharType="begin"/>
      </w:r>
      <w:r>
        <w:instrText xml:space="preserve"> PAGEREF _Toc451435422 \h </w:instrText>
      </w:r>
      <w:r>
        <w:fldChar w:fldCharType="separate"/>
      </w:r>
      <w:r w:rsidR="00054ED4">
        <w:t>287</w:t>
      </w:r>
      <w:r>
        <w:fldChar w:fldCharType="end"/>
      </w:r>
    </w:p>
    <w:p w14:paraId="0823BE07" w14:textId="77777777" w:rsidR="007251F2" w:rsidRDefault="007251F2" w:rsidP="004C79C1">
      <w:pPr>
        <w:pStyle w:val="TableofFigures"/>
        <w:spacing w:line="240" w:lineRule="auto"/>
        <w:rPr>
          <w:rFonts w:asciiTheme="minorHAnsi" w:eastAsiaTheme="minorEastAsia" w:hAnsiTheme="minorHAnsi" w:cstheme="minorBidi"/>
        </w:rPr>
      </w:pPr>
      <w:r>
        <w:t>Table 96</w:t>
      </w:r>
      <w:r>
        <w:rPr>
          <w:rFonts w:asciiTheme="minorHAnsi" w:eastAsiaTheme="minorEastAsia" w:hAnsiTheme="minorHAnsi" w:cstheme="minorBidi"/>
        </w:rPr>
        <w:tab/>
      </w:r>
      <w:r>
        <w:t>Exercise or pharmacologic (adenosine or dobutamine) single-photon emission computed tomography (SPECT)</w:t>
      </w:r>
      <w:r>
        <w:tab/>
      </w:r>
      <w:r>
        <w:fldChar w:fldCharType="begin"/>
      </w:r>
      <w:r>
        <w:instrText xml:space="preserve"> PAGEREF _Toc451435423 \h </w:instrText>
      </w:r>
      <w:r>
        <w:fldChar w:fldCharType="separate"/>
      </w:r>
      <w:r w:rsidR="00054ED4">
        <w:t>287</w:t>
      </w:r>
      <w:r>
        <w:fldChar w:fldCharType="end"/>
      </w:r>
    </w:p>
    <w:p w14:paraId="5E3DCB1D" w14:textId="77777777" w:rsidR="007251F2" w:rsidRDefault="007251F2" w:rsidP="004C79C1">
      <w:pPr>
        <w:pStyle w:val="TableofFigures"/>
        <w:spacing w:line="240" w:lineRule="auto"/>
        <w:rPr>
          <w:rFonts w:asciiTheme="minorHAnsi" w:eastAsiaTheme="minorEastAsia" w:hAnsiTheme="minorHAnsi" w:cstheme="minorBidi"/>
        </w:rPr>
      </w:pPr>
      <w:r>
        <w:t>Table 97</w:t>
      </w:r>
      <w:r>
        <w:rPr>
          <w:rFonts w:asciiTheme="minorHAnsi" w:eastAsiaTheme="minorEastAsia" w:hAnsiTheme="minorHAnsi" w:cstheme="minorBidi"/>
        </w:rPr>
        <w:tab/>
      </w:r>
      <w:r>
        <w:t>Reference standard: endomyocardial biopsy (EMB)</w:t>
      </w:r>
      <w:r>
        <w:tab/>
      </w:r>
      <w:r>
        <w:fldChar w:fldCharType="begin"/>
      </w:r>
      <w:r>
        <w:instrText xml:space="preserve"> PAGEREF _Toc451435424 \h </w:instrText>
      </w:r>
      <w:r>
        <w:fldChar w:fldCharType="separate"/>
      </w:r>
      <w:r w:rsidR="00054ED4">
        <w:t>288</w:t>
      </w:r>
      <w:r>
        <w:fldChar w:fldCharType="end"/>
      </w:r>
    </w:p>
    <w:p w14:paraId="03A5F6B3" w14:textId="77777777" w:rsidR="007251F2" w:rsidRDefault="007251F2" w:rsidP="004C79C1">
      <w:pPr>
        <w:pStyle w:val="TableofFigures"/>
        <w:spacing w:line="240" w:lineRule="auto"/>
        <w:rPr>
          <w:rFonts w:asciiTheme="minorHAnsi" w:eastAsiaTheme="minorEastAsia" w:hAnsiTheme="minorHAnsi" w:cstheme="minorBidi"/>
        </w:rPr>
      </w:pPr>
      <w:r>
        <w:t>Table 98</w:t>
      </w:r>
      <w:r>
        <w:rPr>
          <w:rFonts w:asciiTheme="minorHAnsi" w:eastAsiaTheme="minorEastAsia" w:hAnsiTheme="minorHAnsi" w:cstheme="minorBidi"/>
        </w:rPr>
        <w:tab/>
      </w:r>
      <w:r>
        <w:t>Summary of potential safety concerns for tests investigating whether the patient has DCM (after unclear Echo)</w:t>
      </w:r>
      <w:r>
        <w:tab/>
      </w:r>
      <w:r>
        <w:fldChar w:fldCharType="begin"/>
      </w:r>
      <w:r>
        <w:instrText xml:space="preserve"> PAGEREF _Toc451435425 \h </w:instrText>
      </w:r>
      <w:r>
        <w:fldChar w:fldCharType="separate"/>
      </w:r>
      <w:r w:rsidR="00054ED4">
        <w:t>305</w:t>
      </w:r>
      <w:r>
        <w:fldChar w:fldCharType="end"/>
      </w:r>
    </w:p>
    <w:p w14:paraId="10F5D85E" w14:textId="77777777" w:rsidR="007251F2" w:rsidRDefault="007251F2" w:rsidP="004C79C1">
      <w:pPr>
        <w:pStyle w:val="TableofFigures"/>
        <w:spacing w:line="240" w:lineRule="auto"/>
        <w:rPr>
          <w:rFonts w:asciiTheme="minorHAnsi" w:eastAsiaTheme="minorEastAsia" w:hAnsiTheme="minorHAnsi" w:cstheme="minorBidi"/>
        </w:rPr>
      </w:pPr>
      <w:r>
        <w:t>Table 99</w:t>
      </w:r>
      <w:r>
        <w:rPr>
          <w:rFonts w:asciiTheme="minorHAnsi" w:eastAsiaTheme="minorEastAsia" w:hAnsiTheme="minorHAnsi" w:cstheme="minorBidi"/>
        </w:rPr>
        <w:tab/>
      </w:r>
      <w:r>
        <w:t>Summary of potential safety concerns for tests investigating whether the patient has ischaemia</w:t>
      </w:r>
      <w:r>
        <w:tab/>
      </w:r>
      <w:r>
        <w:fldChar w:fldCharType="begin"/>
      </w:r>
      <w:r>
        <w:instrText xml:space="preserve"> PAGEREF _Toc451435426 \h </w:instrText>
      </w:r>
      <w:r>
        <w:fldChar w:fldCharType="separate"/>
      </w:r>
      <w:r w:rsidR="00054ED4">
        <w:t>306</w:t>
      </w:r>
      <w:r>
        <w:fldChar w:fldCharType="end"/>
      </w:r>
    </w:p>
    <w:p w14:paraId="427A4F7C" w14:textId="77777777" w:rsidR="007251F2" w:rsidRDefault="007251F2" w:rsidP="004C79C1">
      <w:pPr>
        <w:pStyle w:val="TableofFigures"/>
        <w:spacing w:line="240" w:lineRule="auto"/>
        <w:rPr>
          <w:rFonts w:asciiTheme="minorHAnsi" w:eastAsiaTheme="minorEastAsia" w:hAnsiTheme="minorHAnsi" w:cstheme="minorBidi"/>
        </w:rPr>
      </w:pPr>
      <w:r>
        <w:t>Table 100</w:t>
      </w:r>
      <w:r>
        <w:rPr>
          <w:rFonts w:asciiTheme="minorHAnsi" w:eastAsiaTheme="minorEastAsia" w:hAnsiTheme="minorHAnsi" w:cstheme="minorBidi"/>
        </w:rPr>
        <w:tab/>
      </w:r>
      <w:r>
        <w:t>Summary of potential safety concerns for tests investigating the aetiology of NIDCM</w:t>
      </w:r>
      <w:r>
        <w:tab/>
      </w:r>
      <w:r>
        <w:fldChar w:fldCharType="begin"/>
      </w:r>
      <w:r>
        <w:instrText xml:space="preserve"> PAGEREF _Toc451435427 \h </w:instrText>
      </w:r>
      <w:r>
        <w:fldChar w:fldCharType="separate"/>
      </w:r>
      <w:r w:rsidR="00054ED4">
        <w:t>307</w:t>
      </w:r>
      <w:r>
        <w:fldChar w:fldCharType="end"/>
      </w:r>
    </w:p>
    <w:p w14:paraId="694830DF" w14:textId="77777777" w:rsidR="007251F2" w:rsidRDefault="007251F2" w:rsidP="004C79C1">
      <w:pPr>
        <w:pStyle w:val="TableofFigures"/>
        <w:spacing w:line="240" w:lineRule="auto"/>
        <w:rPr>
          <w:rFonts w:asciiTheme="minorHAnsi" w:eastAsiaTheme="minorEastAsia" w:hAnsiTheme="minorHAnsi" w:cstheme="minorBidi"/>
        </w:rPr>
      </w:pPr>
      <w:r>
        <w:t>Table 101</w:t>
      </w:r>
      <w:r>
        <w:rPr>
          <w:rFonts w:asciiTheme="minorHAnsi" w:eastAsiaTheme="minorEastAsia" w:hAnsiTheme="minorHAnsi" w:cstheme="minorBidi"/>
        </w:rPr>
        <w:tab/>
      </w:r>
      <w:r>
        <w:t>Sensitivity analyses for cost comparison of CMR to GHPS</w:t>
      </w:r>
      <w:r>
        <w:tab/>
      </w:r>
      <w:r>
        <w:fldChar w:fldCharType="begin"/>
      </w:r>
      <w:r>
        <w:instrText xml:space="preserve"> PAGEREF _Toc451435428 \h </w:instrText>
      </w:r>
      <w:r>
        <w:fldChar w:fldCharType="separate"/>
      </w:r>
      <w:r w:rsidR="00054ED4">
        <w:t>308</w:t>
      </w:r>
      <w:r>
        <w:fldChar w:fldCharType="end"/>
      </w:r>
    </w:p>
    <w:p w14:paraId="1187B946" w14:textId="77777777" w:rsidR="007251F2" w:rsidRDefault="007251F2" w:rsidP="004C79C1">
      <w:pPr>
        <w:pStyle w:val="TableofFigures"/>
        <w:spacing w:line="240" w:lineRule="auto"/>
        <w:rPr>
          <w:rFonts w:asciiTheme="minorHAnsi" w:eastAsiaTheme="minorEastAsia" w:hAnsiTheme="minorHAnsi" w:cstheme="minorBidi"/>
        </w:rPr>
      </w:pPr>
      <w:r>
        <w:t>Table 102</w:t>
      </w:r>
      <w:r>
        <w:rPr>
          <w:rFonts w:asciiTheme="minorHAnsi" w:eastAsiaTheme="minorEastAsia" w:hAnsiTheme="minorHAnsi" w:cstheme="minorBidi"/>
        </w:rPr>
        <w:tab/>
      </w:r>
      <w:r>
        <w:t>Sensitivity analyses for cost comparison of CMR to cEcho</w:t>
      </w:r>
      <w:r>
        <w:tab/>
      </w:r>
      <w:r>
        <w:fldChar w:fldCharType="begin"/>
      </w:r>
      <w:r>
        <w:instrText xml:space="preserve"> PAGEREF _Toc451435429 \h </w:instrText>
      </w:r>
      <w:r>
        <w:fldChar w:fldCharType="separate"/>
      </w:r>
      <w:r w:rsidR="00054ED4">
        <w:t>309</w:t>
      </w:r>
      <w:r>
        <w:fldChar w:fldCharType="end"/>
      </w:r>
    </w:p>
    <w:p w14:paraId="1EDB793D" w14:textId="77777777" w:rsidR="007251F2" w:rsidRDefault="007251F2" w:rsidP="004C79C1">
      <w:pPr>
        <w:pStyle w:val="TableofFigures"/>
        <w:spacing w:line="240" w:lineRule="auto"/>
        <w:rPr>
          <w:rFonts w:asciiTheme="minorHAnsi" w:eastAsiaTheme="minorEastAsia" w:hAnsiTheme="minorHAnsi" w:cstheme="minorBidi"/>
        </w:rPr>
      </w:pPr>
      <w:r>
        <w:t>Table 103</w:t>
      </w:r>
      <w:r>
        <w:rPr>
          <w:rFonts w:asciiTheme="minorHAnsi" w:eastAsiaTheme="minorEastAsia" w:hAnsiTheme="minorHAnsi" w:cstheme="minorBidi"/>
        </w:rPr>
        <w:tab/>
      </w:r>
      <w:r>
        <w:t>Costs associated with EMB (including patient co-payments)</w:t>
      </w:r>
      <w:r>
        <w:tab/>
      </w:r>
      <w:r>
        <w:fldChar w:fldCharType="begin"/>
      </w:r>
      <w:r>
        <w:instrText xml:space="preserve"> PAGEREF _Toc451435430 \h </w:instrText>
      </w:r>
      <w:r>
        <w:fldChar w:fldCharType="separate"/>
      </w:r>
      <w:r w:rsidR="00054ED4">
        <w:t>311</w:t>
      </w:r>
      <w:r>
        <w:fldChar w:fldCharType="end"/>
      </w:r>
    </w:p>
    <w:p w14:paraId="64C6E596" w14:textId="77777777" w:rsidR="007251F2" w:rsidRDefault="007251F2" w:rsidP="004C79C1">
      <w:pPr>
        <w:pStyle w:val="TableofFigures"/>
        <w:spacing w:line="240" w:lineRule="auto"/>
        <w:rPr>
          <w:rFonts w:asciiTheme="minorHAnsi" w:eastAsiaTheme="minorEastAsia" w:hAnsiTheme="minorHAnsi" w:cstheme="minorBidi"/>
        </w:rPr>
      </w:pPr>
      <w:r>
        <w:t>Table 104</w:t>
      </w:r>
      <w:r>
        <w:rPr>
          <w:rFonts w:asciiTheme="minorHAnsi" w:eastAsiaTheme="minorEastAsia" w:hAnsiTheme="minorHAnsi" w:cstheme="minorBidi"/>
        </w:rPr>
        <w:tab/>
      </w:r>
      <w:r>
        <w:t>Summary of costs associated with some of the tests performed in patients suspected of NIDCM</w:t>
      </w:r>
      <w:r>
        <w:tab/>
      </w:r>
      <w:r>
        <w:fldChar w:fldCharType="begin"/>
      </w:r>
      <w:r>
        <w:instrText xml:space="preserve"> PAGEREF _Toc451435431 \h </w:instrText>
      </w:r>
      <w:r>
        <w:fldChar w:fldCharType="separate"/>
      </w:r>
      <w:r w:rsidR="00054ED4">
        <w:t>311</w:t>
      </w:r>
      <w:r>
        <w:fldChar w:fldCharType="end"/>
      </w:r>
    </w:p>
    <w:p w14:paraId="3D628FD2" w14:textId="77777777" w:rsidR="007251F2" w:rsidRDefault="007251F2" w:rsidP="004C79C1">
      <w:pPr>
        <w:pStyle w:val="TableofFigures"/>
        <w:spacing w:line="240" w:lineRule="auto"/>
        <w:rPr>
          <w:rFonts w:asciiTheme="minorHAnsi" w:eastAsiaTheme="minorEastAsia" w:hAnsiTheme="minorHAnsi" w:cstheme="minorBidi"/>
        </w:rPr>
      </w:pPr>
      <w:r>
        <w:t>Table 105</w:t>
      </w:r>
      <w:r>
        <w:rPr>
          <w:rFonts w:asciiTheme="minorHAnsi" w:eastAsiaTheme="minorEastAsia" w:hAnsiTheme="minorHAnsi" w:cstheme="minorBidi"/>
        </w:rPr>
        <w:tab/>
      </w:r>
      <w:r>
        <w:t>Cost per ICD/CRT-D implantation procedure in the public sector</w:t>
      </w:r>
      <w:r>
        <w:tab/>
      </w:r>
      <w:r>
        <w:fldChar w:fldCharType="begin"/>
      </w:r>
      <w:r>
        <w:instrText xml:space="preserve"> PAGEREF _Toc451435432 \h </w:instrText>
      </w:r>
      <w:r>
        <w:fldChar w:fldCharType="separate"/>
      </w:r>
      <w:r w:rsidR="00054ED4">
        <w:t>312</w:t>
      </w:r>
      <w:r>
        <w:fldChar w:fldCharType="end"/>
      </w:r>
    </w:p>
    <w:p w14:paraId="09344D73" w14:textId="77777777" w:rsidR="007251F2" w:rsidRDefault="007251F2" w:rsidP="004C79C1">
      <w:pPr>
        <w:pStyle w:val="TableofFigures"/>
        <w:spacing w:line="240" w:lineRule="auto"/>
        <w:rPr>
          <w:rFonts w:asciiTheme="minorHAnsi" w:eastAsiaTheme="minorEastAsia" w:hAnsiTheme="minorHAnsi" w:cstheme="minorBidi"/>
        </w:rPr>
      </w:pPr>
      <w:r>
        <w:t>Table 106</w:t>
      </w:r>
      <w:r>
        <w:rPr>
          <w:rFonts w:asciiTheme="minorHAnsi" w:eastAsiaTheme="minorEastAsia" w:hAnsiTheme="minorHAnsi" w:cstheme="minorBidi"/>
        </w:rPr>
        <w:tab/>
      </w:r>
      <w:r>
        <w:t>Cost of hospitalisation for ICD/CRT-D implantation in the private sector</w:t>
      </w:r>
      <w:r>
        <w:tab/>
      </w:r>
      <w:r>
        <w:fldChar w:fldCharType="begin"/>
      </w:r>
      <w:r>
        <w:instrText xml:space="preserve"> PAGEREF _Toc451435433 \h </w:instrText>
      </w:r>
      <w:r>
        <w:fldChar w:fldCharType="separate"/>
      </w:r>
      <w:r w:rsidR="00054ED4">
        <w:t>313</w:t>
      </w:r>
      <w:r>
        <w:fldChar w:fldCharType="end"/>
      </w:r>
    </w:p>
    <w:p w14:paraId="368BE64E" w14:textId="77777777" w:rsidR="007251F2" w:rsidRDefault="007251F2" w:rsidP="004C79C1">
      <w:pPr>
        <w:pStyle w:val="TableofFigures"/>
        <w:spacing w:line="240" w:lineRule="auto"/>
        <w:rPr>
          <w:rFonts w:asciiTheme="minorHAnsi" w:eastAsiaTheme="minorEastAsia" w:hAnsiTheme="minorHAnsi" w:cstheme="minorBidi"/>
        </w:rPr>
      </w:pPr>
      <w:r>
        <w:t>Table 107</w:t>
      </w:r>
      <w:r>
        <w:rPr>
          <w:rFonts w:asciiTheme="minorHAnsi" w:eastAsiaTheme="minorEastAsia" w:hAnsiTheme="minorHAnsi" w:cstheme="minorBidi"/>
        </w:rPr>
        <w:tab/>
      </w:r>
      <w:r>
        <w:t>Total cost per ICD device implantation procedure in a private hospital</w:t>
      </w:r>
      <w:r>
        <w:tab/>
      </w:r>
      <w:r>
        <w:fldChar w:fldCharType="begin"/>
      </w:r>
      <w:r>
        <w:instrText xml:space="preserve"> PAGEREF _Toc451435434 \h </w:instrText>
      </w:r>
      <w:r>
        <w:fldChar w:fldCharType="separate"/>
      </w:r>
      <w:r w:rsidR="00054ED4">
        <w:t>313</w:t>
      </w:r>
      <w:r>
        <w:fldChar w:fldCharType="end"/>
      </w:r>
    </w:p>
    <w:p w14:paraId="300F1AA6" w14:textId="77777777" w:rsidR="007251F2" w:rsidRDefault="007251F2" w:rsidP="004C79C1">
      <w:pPr>
        <w:pStyle w:val="TableofFigures"/>
        <w:spacing w:line="240" w:lineRule="auto"/>
        <w:rPr>
          <w:rFonts w:asciiTheme="minorHAnsi" w:eastAsiaTheme="minorEastAsia" w:hAnsiTheme="minorHAnsi" w:cstheme="minorBidi"/>
        </w:rPr>
      </w:pPr>
      <w:r>
        <w:t>Table 108</w:t>
      </w:r>
      <w:r>
        <w:rPr>
          <w:rFonts w:asciiTheme="minorHAnsi" w:eastAsiaTheme="minorEastAsia" w:hAnsiTheme="minorHAnsi" w:cstheme="minorBidi"/>
        </w:rPr>
        <w:tab/>
      </w:r>
      <w:r>
        <w:t>Total cost per CRT-D device implantation procedure in a private hospital</w:t>
      </w:r>
      <w:r>
        <w:tab/>
      </w:r>
      <w:r>
        <w:fldChar w:fldCharType="begin"/>
      </w:r>
      <w:r>
        <w:instrText xml:space="preserve"> PAGEREF _Toc451435435 \h </w:instrText>
      </w:r>
      <w:r>
        <w:fldChar w:fldCharType="separate"/>
      </w:r>
      <w:r w:rsidR="00054ED4">
        <w:t>314</w:t>
      </w:r>
      <w:r>
        <w:fldChar w:fldCharType="end"/>
      </w:r>
    </w:p>
    <w:p w14:paraId="4E7E23C0" w14:textId="77777777" w:rsidR="007251F2" w:rsidRDefault="007251F2" w:rsidP="004C79C1">
      <w:pPr>
        <w:pStyle w:val="TableofFigures"/>
        <w:spacing w:line="240" w:lineRule="auto"/>
        <w:rPr>
          <w:rFonts w:asciiTheme="minorHAnsi" w:eastAsiaTheme="minorEastAsia" w:hAnsiTheme="minorHAnsi" w:cstheme="minorBidi"/>
        </w:rPr>
      </w:pPr>
      <w:r>
        <w:t>Table 109</w:t>
      </w:r>
      <w:r>
        <w:rPr>
          <w:rFonts w:asciiTheme="minorHAnsi" w:eastAsiaTheme="minorEastAsia" w:hAnsiTheme="minorHAnsi" w:cstheme="minorBidi"/>
        </w:rPr>
        <w:tab/>
      </w:r>
      <w:r>
        <w:t>Cost per pacemaker implantation procedure in public sector</w:t>
      </w:r>
      <w:r>
        <w:tab/>
      </w:r>
      <w:r>
        <w:fldChar w:fldCharType="begin"/>
      </w:r>
      <w:r>
        <w:instrText xml:space="preserve"> PAGEREF _Toc451435436 \h </w:instrText>
      </w:r>
      <w:r>
        <w:fldChar w:fldCharType="separate"/>
      </w:r>
      <w:r w:rsidR="00054ED4">
        <w:t>314</w:t>
      </w:r>
      <w:r>
        <w:fldChar w:fldCharType="end"/>
      </w:r>
    </w:p>
    <w:p w14:paraId="582E6799" w14:textId="77777777" w:rsidR="007251F2" w:rsidRDefault="007251F2" w:rsidP="004C79C1">
      <w:pPr>
        <w:pStyle w:val="TableofFigures"/>
        <w:spacing w:line="240" w:lineRule="auto"/>
        <w:rPr>
          <w:rFonts w:asciiTheme="minorHAnsi" w:eastAsiaTheme="minorEastAsia" w:hAnsiTheme="minorHAnsi" w:cstheme="minorBidi"/>
        </w:rPr>
      </w:pPr>
      <w:r>
        <w:t>Table 110</w:t>
      </w:r>
      <w:r>
        <w:rPr>
          <w:rFonts w:asciiTheme="minorHAnsi" w:eastAsiaTheme="minorEastAsia" w:hAnsiTheme="minorHAnsi" w:cstheme="minorBidi"/>
        </w:rPr>
        <w:tab/>
      </w:r>
      <w:r>
        <w:t>Cost per pacemaker implantation procedure in private sector</w:t>
      </w:r>
      <w:r>
        <w:tab/>
      </w:r>
      <w:r>
        <w:fldChar w:fldCharType="begin"/>
      </w:r>
      <w:r>
        <w:instrText xml:space="preserve"> PAGEREF _Toc451435437 \h </w:instrText>
      </w:r>
      <w:r>
        <w:fldChar w:fldCharType="separate"/>
      </w:r>
      <w:r w:rsidR="00054ED4">
        <w:t>315</w:t>
      </w:r>
      <w:r>
        <w:fldChar w:fldCharType="end"/>
      </w:r>
    </w:p>
    <w:p w14:paraId="0749332D" w14:textId="77777777" w:rsidR="007251F2" w:rsidRDefault="007251F2" w:rsidP="004C79C1">
      <w:pPr>
        <w:pStyle w:val="TableofFigures"/>
        <w:spacing w:line="240" w:lineRule="auto"/>
        <w:rPr>
          <w:rFonts w:asciiTheme="minorHAnsi" w:eastAsiaTheme="minorEastAsia" w:hAnsiTheme="minorHAnsi" w:cstheme="minorBidi"/>
        </w:rPr>
      </w:pPr>
      <w:r>
        <w:t>Table 111</w:t>
      </w:r>
      <w:r>
        <w:rPr>
          <w:rFonts w:asciiTheme="minorHAnsi" w:eastAsiaTheme="minorEastAsia" w:hAnsiTheme="minorHAnsi" w:cstheme="minorBidi"/>
        </w:rPr>
        <w:tab/>
      </w:r>
      <w:r>
        <w:t>Cost per CABG implantation procedure in public sector</w:t>
      </w:r>
      <w:r>
        <w:tab/>
      </w:r>
      <w:r>
        <w:fldChar w:fldCharType="begin"/>
      </w:r>
      <w:r>
        <w:instrText xml:space="preserve"> PAGEREF _Toc451435438 \h </w:instrText>
      </w:r>
      <w:r>
        <w:fldChar w:fldCharType="separate"/>
      </w:r>
      <w:r w:rsidR="00054ED4">
        <w:t>315</w:t>
      </w:r>
      <w:r>
        <w:fldChar w:fldCharType="end"/>
      </w:r>
    </w:p>
    <w:p w14:paraId="1E3CE99E" w14:textId="77777777" w:rsidR="007251F2" w:rsidRDefault="007251F2" w:rsidP="004C79C1">
      <w:pPr>
        <w:pStyle w:val="TableofFigures"/>
        <w:spacing w:line="240" w:lineRule="auto"/>
        <w:rPr>
          <w:rFonts w:asciiTheme="minorHAnsi" w:eastAsiaTheme="minorEastAsia" w:hAnsiTheme="minorHAnsi" w:cstheme="minorBidi"/>
        </w:rPr>
      </w:pPr>
      <w:r>
        <w:t>Table 112</w:t>
      </w:r>
      <w:r>
        <w:rPr>
          <w:rFonts w:asciiTheme="minorHAnsi" w:eastAsiaTheme="minorEastAsia" w:hAnsiTheme="minorHAnsi" w:cstheme="minorBidi"/>
        </w:rPr>
        <w:tab/>
      </w:r>
      <w:r>
        <w:t>Cost per CABG surgery in private sector</w:t>
      </w:r>
      <w:r>
        <w:tab/>
      </w:r>
      <w:r>
        <w:fldChar w:fldCharType="begin"/>
      </w:r>
      <w:r>
        <w:instrText xml:space="preserve"> PAGEREF _Toc451435439 \h </w:instrText>
      </w:r>
      <w:r>
        <w:fldChar w:fldCharType="separate"/>
      </w:r>
      <w:r w:rsidR="00054ED4">
        <w:t>315</w:t>
      </w:r>
      <w:r>
        <w:fldChar w:fldCharType="end"/>
      </w:r>
    </w:p>
    <w:p w14:paraId="21DB0294" w14:textId="77777777" w:rsidR="007251F2" w:rsidRDefault="007251F2" w:rsidP="004C79C1">
      <w:pPr>
        <w:pStyle w:val="TableofFigures"/>
        <w:spacing w:line="240" w:lineRule="auto"/>
        <w:rPr>
          <w:rFonts w:asciiTheme="minorHAnsi" w:eastAsiaTheme="minorEastAsia" w:hAnsiTheme="minorHAnsi" w:cstheme="minorBidi"/>
        </w:rPr>
      </w:pPr>
      <w:r>
        <w:t>Table 113</w:t>
      </w:r>
      <w:r>
        <w:rPr>
          <w:rFonts w:asciiTheme="minorHAnsi" w:eastAsiaTheme="minorEastAsia" w:hAnsiTheme="minorHAnsi" w:cstheme="minorBidi"/>
        </w:rPr>
        <w:tab/>
      </w:r>
      <w:r>
        <w:t>Cost per valvular surgery in public sector</w:t>
      </w:r>
      <w:r>
        <w:tab/>
      </w:r>
      <w:r>
        <w:fldChar w:fldCharType="begin"/>
      </w:r>
      <w:r>
        <w:instrText xml:space="preserve"> PAGEREF _Toc451435440 \h </w:instrText>
      </w:r>
      <w:r>
        <w:fldChar w:fldCharType="separate"/>
      </w:r>
      <w:r w:rsidR="00054ED4">
        <w:t>316</w:t>
      </w:r>
      <w:r>
        <w:fldChar w:fldCharType="end"/>
      </w:r>
    </w:p>
    <w:p w14:paraId="69FEB9BC" w14:textId="77777777" w:rsidR="007251F2" w:rsidRDefault="007251F2" w:rsidP="004C79C1">
      <w:pPr>
        <w:pStyle w:val="TableofFigures"/>
        <w:spacing w:line="240" w:lineRule="auto"/>
        <w:rPr>
          <w:rFonts w:asciiTheme="minorHAnsi" w:eastAsiaTheme="minorEastAsia" w:hAnsiTheme="minorHAnsi" w:cstheme="minorBidi"/>
        </w:rPr>
      </w:pPr>
      <w:r>
        <w:t>Table 114</w:t>
      </w:r>
      <w:r>
        <w:rPr>
          <w:rFonts w:asciiTheme="minorHAnsi" w:eastAsiaTheme="minorEastAsia" w:hAnsiTheme="minorHAnsi" w:cstheme="minorBidi"/>
        </w:rPr>
        <w:tab/>
      </w:r>
      <w:r>
        <w:t>Cost per valvular surgery in private sector</w:t>
      </w:r>
      <w:r>
        <w:tab/>
      </w:r>
      <w:r>
        <w:fldChar w:fldCharType="begin"/>
      </w:r>
      <w:r>
        <w:instrText xml:space="preserve"> PAGEREF _Toc451435441 \h </w:instrText>
      </w:r>
      <w:r>
        <w:fldChar w:fldCharType="separate"/>
      </w:r>
      <w:r w:rsidR="00054ED4">
        <w:t>316</w:t>
      </w:r>
      <w:r>
        <w:fldChar w:fldCharType="end"/>
      </w:r>
    </w:p>
    <w:p w14:paraId="6C28568F" w14:textId="77777777" w:rsidR="007251F2" w:rsidRDefault="007251F2" w:rsidP="004C79C1">
      <w:pPr>
        <w:pStyle w:val="TableofFigures"/>
        <w:spacing w:line="240" w:lineRule="auto"/>
        <w:rPr>
          <w:rFonts w:asciiTheme="minorHAnsi" w:eastAsiaTheme="minorEastAsia" w:hAnsiTheme="minorHAnsi" w:cstheme="minorBidi"/>
        </w:rPr>
      </w:pPr>
      <w:r>
        <w:t>Table 115</w:t>
      </w:r>
      <w:r>
        <w:rPr>
          <w:rFonts w:asciiTheme="minorHAnsi" w:eastAsiaTheme="minorEastAsia" w:hAnsiTheme="minorHAnsi" w:cstheme="minorBidi"/>
        </w:rPr>
        <w:tab/>
      </w:r>
      <w:r>
        <w:t>Cost per other cardiac surgeries in public sector</w:t>
      </w:r>
      <w:r>
        <w:tab/>
      </w:r>
      <w:r>
        <w:fldChar w:fldCharType="begin"/>
      </w:r>
      <w:r>
        <w:instrText xml:space="preserve"> PAGEREF _Toc451435442 \h </w:instrText>
      </w:r>
      <w:r>
        <w:fldChar w:fldCharType="separate"/>
      </w:r>
      <w:r w:rsidR="00054ED4">
        <w:t>316</w:t>
      </w:r>
      <w:r>
        <w:fldChar w:fldCharType="end"/>
      </w:r>
    </w:p>
    <w:p w14:paraId="628D900D" w14:textId="77777777" w:rsidR="007251F2" w:rsidRDefault="007251F2" w:rsidP="004C79C1">
      <w:pPr>
        <w:pStyle w:val="TableofFigures"/>
        <w:spacing w:line="240" w:lineRule="auto"/>
        <w:rPr>
          <w:rFonts w:asciiTheme="minorHAnsi" w:eastAsiaTheme="minorEastAsia" w:hAnsiTheme="minorHAnsi" w:cstheme="minorBidi"/>
        </w:rPr>
      </w:pPr>
      <w:r>
        <w:t>Table 116</w:t>
      </w:r>
      <w:r>
        <w:rPr>
          <w:rFonts w:asciiTheme="minorHAnsi" w:eastAsiaTheme="minorEastAsia" w:hAnsiTheme="minorHAnsi" w:cstheme="minorBidi"/>
        </w:rPr>
        <w:tab/>
      </w:r>
      <w:r>
        <w:t>Cost per valvular surgery in private sector</w:t>
      </w:r>
      <w:r>
        <w:tab/>
      </w:r>
      <w:r>
        <w:fldChar w:fldCharType="begin"/>
      </w:r>
      <w:r>
        <w:instrText xml:space="preserve"> PAGEREF _Toc451435443 \h </w:instrText>
      </w:r>
      <w:r>
        <w:fldChar w:fldCharType="separate"/>
      </w:r>
      <w:r w:rsidR="00054ED4">
        <w:t>317</w:t>
      </w:r>
      <w:r>
        <w:fldChar w:fldCharType="end"/>
      </w:r>
    </w:p>
    <w:p w14:paraId="6BDC3656" w14:textId="77777777" w:rsidR="007251F2" w:rsidRDefault="007251F2" w:rsidP="004C79C1">
      <w:pPr>
        <w:pStyle w:val="TableofFigures"/>
        <w:spacing w:line="240" w:lineRule="auto"/>
        <w:rPr>
          <w:rFonts w:asciiTheme="minorHAnsi" w:eastAsiaTheme="minorEastAsia" w:hAnsiTheme="minorHAnsi" w:cstheme="minorBidi"/>
        </w:rPr>
      </w:pPr>
      <w:r>
        <w:t>Table 117</w:t>
      </w:r>
      <w:r>
        <w:rPr>
          <w:rFonts w:asciiTheme="minorHAnsi" w:eastAsiaTheme="minorEastAsia" w:hAnsiTheme="minorHAnsi" w:cstheme="minorBidi"/>
        </w:rPr>
        <w:tab/>
      </w:r>
      <w:r>
        <w:t>Cost per heart transplant surgery in public sector (and assumed for private sector).</w:t>
      </w:r>
      <w:r>
        <w:tab/>
      </w:r>
      <w:r>
        <w:fldChar w:fldCharType="begin"/>
      </w:r>
      <w:r>
        <w:instrText xml:space="preserve"> PAGEREF _Toc451435444 \h </w:instrText>
      </w:r>
      <w:r>
        <w:fldChar w:fldCharType="separate"/>
      </w:r>
      <w:r w:rsidR="00054ED4">
        <w:t>317</w:t>
      </w:r>
      <w:r>
        <w:fldChar w:fldCharType="end"/>
      </w:r>
    </w:p>
    <w:p w14:paraId="7A1D657E" w14:textId="77777777" w:rsidR="007251F2" w:rsidRDefault="007251F2" w:rsidP="004C79C1">
      <w:pPr>
        <w:pStyle w:val="TableofFigures"/>
        <w:spacing w:line="240" w:lineRule="auto"/>
        <w:rPr>
          <w:rFonts w:asciiTheme="minorHAnsi" w:eastAsiaTheme="minorEastAsia" w:hAnsiTheme="minorHAnsi" w:cstheme="minorBidi"/>
        </w:rPr>
      </w:pPr>
      <w:r>
        <w:t>Table 118</w:t>
      </w:r>
      <w:r>
        <w:rPr>
          <w:rFonts w:asciiTheme="minorHAnsi" w:eastAsiaTheme="minorEastAsia" w:hAnsiTheme="minorHAnsi" w:cstheme="minorBidi"/>
        </w:rPr>
        <w:tab/>
      </w:r>
      <w:r>
        <w:t>Sensitivity analysis, ICERs using public sector costs</w:t>
      </w:r>
      <w:r>
        <w:tab/>
      </w:r>
      <w:r>
        <w:fldChar w:fldCharType="begin"/>
      </w:r>
      <w:r>
        <w:instrText xml:space="preserve"> PAGEREF _Toc451435445 \h </w:instrText>
      </w:r>
      <w:r>
        <w:fldChar w:fldCharType="separate"/>
      </w:r>
      <w:r w:rsidR="00054ED4">
        <w:t>318</w:t>
      </w:r>
      <w:r>
        <w:fldChar w:fldCharType="end"/>
      </w:r>
    </w:p>
    <w:p w14:paraId="54CB9479" w14:textId="77777777" w:rsidR="007251F2" w:rsidRDefault="007251F2" w:rsidP="004C79C1">
      <w:pPr>
        <w:pStyle w:val="TableofFigures"/>
        <w:spacing w:line="240" w:lineRule="auto"/>
        <w:rPr>
          <w:rFonts w:asciiTheme="minorHAnsi" w:eastAsiaTheme="minorEastAsia" w:hAnsiTheme="minorHAnsi" w:cstheme="minorBidi"/>
        </w:rPr>
      </w:pPr>
      <w:r>
        <w:lastRenderedPageBreak/>
        <w:t>Table 119</w:t>
      </w:r>
      <w:r>
        <w:rPr>
          <w:rFonts w:asciiTheme="minorHAnsi" w:eastAsiaTheme="minorEastAsia" w:hAnsiTheme="minorHAnsi" w:cstheme="minorBidi"/>
        </w:rPr>
        <w:tab/>
      </w:r>
      <w:r>
        <w:t>Sensitivity analysis, ICERs using private sector costs</w:t>
      </w:r>
      <w:r>
        <w:tab/>
      </w:r>
      <w:r>
        <w:fldChar w:fldCharType="begin"/>
      </w:r>
      <w:r>
        <w:instrText xml:space="preserve"> PAGEREF _Toc451435446 \h </w:instrText>
      </w:r>
      <w:r>
        <w:fldChar w:fldCharType="separate"/>
      </w:r>
      <w:r w:rsidR="00054ED4">
        <w:t>318</w:t>
      </w:r>
      <w:r>
        <w:fldChar w:fldCharType="end"/>
      </w:r>
    </w:p>
    <w:p w14:paraId="333855B0" w14:textId="20AEC56F" w:rsidR="00310008" w:rsidRPr="00CC55F9" w:rsidRDefault="00F83DFC" w:rsidP="00CC55F9">
      <w:pPr>
        <w:pStyle w:val="TableofFigures"/>
        <w:tabs>
          <w:tab w:val="clear" w:pos="1800"/>
          <w:tab w:val="left" w:pos="709"/>
        </w:tabs>
        <w:spacing w:line="240" w:lineRule="auto"/>
        <w:ind w:left="0" w:firstLine="0"/>
        <w:rPr>
          <w:rFonts w:asciiTheme="minorHAnsi" w:hAnsiTheme="minorHAnsi"/>
          <w:b/>
          <w:sz w:val="28"/>
          <w:szCs w:val="28"/>
        </w:rPr>
      </w:pPr>
      <w:r>
        <w:rPr>
          <w:rFonts w:asciiTheme="minorHAnsi" w:eastAsiaTheme="minorEastAsia" w:hAnsiTheme="minorHAnsi" w:cstheme="minorBidi"/>
          <w:b/>
          <w:smallCaps/>
        </w:rPr>
        <w:fldChar w:fldCharType="end"/>
      </w:r>
      <w:bookmarkStart w:id="24" w:name="_Toc399247192"/>
      <w:bookmarkStart w:id="25" w:name="_Toc451501254"/>
      <w:r w:rsidR="00310008" w:rsidRPr="00CC55F9">
        <w:rPr>
          <w:rFonts w:asciiTheme="minorHAnsi" w:hAnsiTheme="minorHAnsi"/>
          <w:b/>
          <w:sz w:val="28"/>
          <w:szCs w:val="28"/>
        </w:rPr>
        <w:t>Boxes</w:t>
      </w:r>
      <w:bookmarkEnd w:id="22"/>
      <w:bookmarkEnd w:id="23"/>
      <w:bookmarkEnd w:id="24"/>
      <w:bookmarkEnd w:id="25"/>
    </w:p>
    <w:p w14:paraId="51EF6F1F" w14:textId="6FC0B35E" w:rsidR="00B906E9" w:rsidRDefault="0086593E" w:rsidP="004C79C1">
      <w:pPr>
        <w:pStyle w:val="TableofFigures"/>
        <w:spacing w:line="240" w:lineRule="auto"/>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448827353" w:history="1">
        <w:r w:rsidR="00B906E9" w:rsidRPr="00B32DF4">
          <w:rPr>
            <w:rStyle w:val="Hyperlink"/>
          </w:rPr>
          <w:t>Box 1</w:t>
        </w:r>
        <w:r w:rsidR="00B906E9">
          <w:rPr>
            <w:rFonts w:asciiTheme="minorHAnsi" w:eastAsiaTheme="minorEastAsia" w:hAnsiTheme="minorHAnsi" w:cstheme="minorBidi"/>
          </w:rPr>
          <w:tab/>
        </w:r>
        <w:r w:rsidR="00B906E9" w:rsidRPr="00B32DF4">
          <w:rPr>
            <w:rStyle w:val="Hyperlink"/>
          </w:rPr>
          <w:t>Criteria for identifying and selecting studies to determine the safety of CMR in patients with suspected DCM</w:t>
        </w:r>
        <w:r w:rsidR="00B906E9">
          <w:rPr>
            <w:webHidden/>
          </w:rPr>
          <w:tab/>
        </w:r>
        <w:r w:rsidR="00B906E9">
          <w:rPr>
            <w:webHidden/>
          </w:rPr>
          <w:fldChar w:fldCharType="begin"/>
        </w:r>
        <w:r w:rsidR="00B906E9">
          <w:rPr>
            <w:webHidden/>
          </w:rPr>
          <w:instrText xml:space="preserve"> PAGEREF _Toc448827353 \h </w:instrText>
        </w:r>
        <w:r w:rsidR="00B906E9">
          <w:rPr>
            <w:webHidden/>
          </w:rPr>
        </w:r>
        <w:r w:rsidR="00B906E9">
          <w:rPr>
            <w:webHidden/>
          </w:rPr>
          <w:fldChar w:fldCharType="separate"/>
        </w:r>
        <w:r w:rsidR="00054ED4">
          <w:rPr>
            <w:webHidden/>
          </w:rPr>
          <w:t>54</w:t>
        </w:r>
        <w:r w:rsidR="00B906E9">
          <w:rPr>
            <w:webHidden/>
          </w:rPr>
          <w:fldChar w:fldCharType="end"/>
        </w:r>
      </w:hyperlink>
    </w:p>
    <w:p w14:paraId="6986C7D5" w14:textId="0B3A4538" w:rsidR="00B906E9" w:rsidRDefault="00CD4AC5" w:rsidP="004C79C1">
      <w:pPr>
        <w:pStyle w:val="TableofFigures"/>
        <w:spacing w:line="240" w:lineRule="auto"/>
        <w:rPr>
          <w:rFonts w:asciiTheme="minorHAnsi" w:eastAsiaTheme="minorEastAsia" w:hAnsiTheme="minorHAnsi" w:cstheme="minorBidi"/>
        </w:rPr>
      </w:pPr>
      <w:hyperlink w:anchor="_Toc448827354" w:history="1">
        <w:r w:rsidR="00B906E9" w:rsidRPr="00B32DF4">
          <w:rPr>
            <w:rStyle w:val="Hyperlink"/>
          </w:rPr>
          <w:t>Box 2</w:t>
        </w:r>
        <w:r w:rsidR="00B906E9">
          <w:rPr>
            <w:rFonts w:asciiTheme="minorHAnsi" w:eastAsiaTheme="minorEastAsia" w:hAnsiTheme="minorHAnsi" w:cstheme="minorBidi"/>
          </w:rPr>
          <w:tab/>
        </w:r>
        <w:r w:rsidR="00B906E9" w:rsidRPr="00B32DF4">
          <w:rPr>
            <w:rStyle w:val="Hyperlink"/>
          </w:rPr>
          <w:t>Criteria for identifying and selecting studies to determine the direct effectiveness of CMR in patients with suspected DCM</w:t>
        </w:r>
        <w:r w:rsidR="00B906E9">
          <w:rPr>
            <w:webHidden/>
          </w:rPr>
          <w:tab/>
        </w:r>
        <w:r w:rsidR="00B906E9">
          <w:rPr>
            <w:webHidden/>
          </w:rPr>
          <w:fldChar w:fldCharType="begin"/>
        </w:r>
        <w:r w:rsidR="00B906E9">
          <w:rPr>
            <w:webHidden/>
          </w:rPr>
          <w:instrText xml:space="preserve"> PAGEREF _Toc448827354 \h </w:instrText>
        </w:r>
        <w:r w:rsidR="00B906E9">
          <w:rPr>
            <w:webHidden/>
          </w:rPr>
        </w:r>
        <w:r w:rsidR="00B906E9">
          <w:rPr>
            <w:webHidden/>
          </w:rPr>
          <w:fldChar w:fldCharType="separate"/>
        </w:r>
        <w:r w:rsidR="00054ED4">
          <w:rPr>
            <w:webHidden/>
          </w:rPr>
          <w:t>54</w:t>
        </w:r>
        <w:r w:rsidR="00B906E9">
          <w:rPr>
            <w:webHidden/>
          </w:rPr>
          <w:fldChar w:fldCharType="end"/>
        </w:r>
      </w:hyperlink>
    </w:p>
    <w:p w14:paraId="72AD32D5" w14:textId="7585B3B1" w:rsidR="00B906E9" w:rsidRDefault="00CD4AC5" w:rsidP="004C79C1">
      <w:pPr>
        <w:pStyle w:val="TableofFigures"/>
        <w:spacing w:line="240" w:lineRule="auto"/>
        <w:rPr>
          <w:rFonts w:asciiTheme="minorHAnsi" w:eastAsiaTheme="minorEastAsia" w:hAnsiTheme="minorHAnsi" w:cstheme="minorBidi"/>
        </w:rPr>
      </w:pPr>
      <w:hyperlink w:anchor="_Toc448827355" w:history="1">
        <w:r w:rsidR="00B906E9" w:rsidRPr="00B32DF4">
          <w:rPr>
            <w:rStyle w:val="Hyperlink"/>
          </w:rPr>
          <w:t>Box 3</w:t>
        </w:r>
        <w:r w:rsidR="00B906E9">
          <w:rPr>
            <w:rFonts w:asciiTheme="minorHAnsi" w:eastAsiaTheme="minorEastAsia" w:hAnsiTheme="minorHAnsi" w:cstheme="minorBidi"/>
          </w:rPr>
          <w:tab/>
        </w:r>
        <w:r w:rsidR="00B906E9" w:rsidRPr="00B32DF4">
          <w:rPr>
            <w:rStyle w:val="Hyperlink"/>
          </w:rPr>
          <w:t>Criteria for identifying and selecting studies to determine the accuracy of CMR in patients with patients with suspected DCM</w:t>
        </w:r>
        <w:r w:rsidR="00B906E9">
          <w:rPr>
            <w:webHidden/>
          </w:rPr>
          <w:tab/>
        </w:r>
        <w:r w:rsidR="00B906E9">
          <w:rPr>
            <w:webHidden/>
          </w:rPr>
          <w:fldChar w:fldCharType="begin"/>
        </w:r>
        <w:r w:rsidR="00B906E9">
          <w:rPr>
            <w:webHidden/>
          </w:rPr>
          <w:instrText xml:space="preserve"> PAGEREF _Toc448827355 \h </w:instrText>
        </w:r>
        <w:r w:rsidR="00B906E9">
          <w:rPr>
            <w:webHidden/>
          </w:rPr>
        </w:r>
        <w:r w:rsidR="00B906E9">
          <w:rPr>
            <w:webHidden/>
          </w:rPr>
          <w:fldChar w:fldCharType="separate"/>
        </w:r>
        <w:r w:rsidR="00054ED4">
          <w:rPr>
            <w:webHidden/>
          </w:rPr>
          <w:t>55</w:t>
        </w:r>
        <w:r w:rsidR="00B906E9">
          <w:rPr>
            <w:webHidden/>
          </w:rPr>
          <w:fldChar w:fldCharType="end"/>
        </w:r>
      </w:hyperlink>
    </w:p>
    <w:p w14:paraId="79840A44" w14:textId="4C67455A" w:rsidR="00B906E9" w:rsidRDefault="00CD4AC5" w:rsidP="004C79C1">
      <w:pPr>
        <w:pStyle w:val="TableofFigures"/>
        <w:spacing w:line="240" w:lineRule="auto"/>
        <w:rPr>
          <w:rFonts w:asciiTheme="minorHAnsi" w:eastAsiaTheme="minorEastAsia" w:hAnsiTheme="minorHAnsi" w:cstheme="minorBidi"/>
        </w:rPr>
      </w:pPr>
      <w:hyperlink w:anchor="_Toc448827356" w:history="1">
        <w:r w:rsidR="00B906E9" w:rsidRPr="00B32DF4">
          <w:rPr>
            <w:rStyle w:val="Hyperlink"/>
          </w:rPr>
          <w:t>Box 4</w:t>
        </w:r>
        <w:r w:rsidR="00B906E9">
          <w:rPr>
            <w:rFonts w:asciiTheme="minorHAnsi" w:eastAsiaTheme="minorEastAsia" w:hAnsiTheme="minorHAnsi" w:cstheme="minorBidi"/>
          </w:rPr>
          <w:tab/>
        </w:r>
        <w:r w:rsidR="00B906E9" w:rsidRPr="00B32DF4">
          <w:rPr>
            <w:rStyle w:val="Hyperlink"/>
          </w:rPr>
          <w:t>Criteria for identifying and selecting studies to determine the prognostic value of CMR in patients with suspected DCM</w:t>
        </w:r>
        <w:r w:rsidR="00B906E9">
          <w:rPr>
            <w:webHidden/>
          </w:rPr>
          <w:tab/>
        </w:r>
        <w:r w:rsidR="00B906E9">
          <w:rPr>
            <w:webHidden/>
          </w:rPr>
          <w:fldChar w:fldCharType="begin"/>
        </w:r>
        <w:r w:rsidR="00B906E9">
          <w:rPr>
            <w:webHidden/>
          </w:rPr>
          <w:instrText xml:space="preserve"> PAGEREF _Toc448827356 \h </w:instrText>
        </w:r>
        <w:r w:rsidR="00B906E9">
          <w:rPr>
            <w:webHidden/>
          </w:rPr>
        </w:r>
        <w:r w:rsidR="00B906E9">
          <w:rPr>
            <w:webHidden/>
          </w:rPr>
          <w:fldChar w:fldCharType="separate"/>
        </w:r>
        <w:r w:rsidR="00054ED4">
          <w:rPr>
            <w:webHidden/>
          </w:rPr>
          <w:t>56</w:t>
        </w:r>
        <w:r w:rsidR="00B906E9">
          <w:rPr>
            <w:webHidden/>
          </w:rPr>
          <w:fldChar w:fldCharType="end"/>
        </w:r>
      </w:hyperlink>
    </w:p>
    <w:p w14:paraId="598ABA54" w14:textId="51558344" w:rsidR="00B906E9" w:rsidRDefault="00CD4AC5" w:rsidP="004C79C1">
      <w:pPr>
        <w:pStyle w:val="TableofFigures"/>
        <w:spacing w:line="240" w:lineRule="auto"/>
        <w:rPr>
          <w:rFonts w:asciiTheme="minorHAnsi" w:eastAsiaTheme="minorEastAsia" w:hAnsiTheme="minorHAnsi" w:cstheme="minorBidi"/>
        </w:rPr>
      </w:pPr>
      <w:hyperlink w:anchor="_Toc448827357" w:history="1">
        <w:r w:rsidR="00B906E9" w:rsidRPr="00B32DF4">
          <w:rPr>
            <w:rStyle w:val="Hyperlink"/>
          </w:rPr>
          <w:t>Box 5</w:t>
        </w:r>
        <w:r w:rsidR="00B906E9">
          <w:rPr>
            <w:rFonts w:asciiTheme="minorHAnsi" w:eastAsiaTheme="minorEastAsia" w:hAnsiTheme="minorHAnsi" w:cstheme="minorBidi"/>
          </w:rPr>
          <w:tab/>
        </w:r>
        <w:r w:rsidR="00B906E9" w:rsidRPr="00B32DF4">
          <w:rPr>
            <w:rStyle w:val="Hyperlink"/>
          </w:rPr>
          <w:t>Criteria for identifying and selecting studies to determine the therapeutic efficacy (change in management) of CMR in patients with suspected DCM</w:t>
        </w:r>
        <w:r w:rsidR="00B906E9">
          <w:rPr>
            <w:webHidden/>
          </w:rPr>
          <w:tab/>
        </w:r>
        <w:r w:rsidR="00B906E9">
          <w:rPr>
            <w:webHidden/>
          </w:rPr>
          <w:fldChar w:fldCharType="begin"/>
        </w:r>
        <w:r w:rsidR="00B906E9">
          <w:rPr>
            <w:webHidden/>
          </w:rPr>
          <w:instrText xml:space="preserve"> PAGEREF _Toc448827357 \h </w:instrText>
        </w:r>
        <w:r w:rsidR="00B906E9">
          <w:rPr>
            <w:webHidden/>
          </w:rPr>
        </w:r>
        <w:r w:rsidR="00B906E9">
          <w:rPr>
            <w:webHidden/>
          </w:rPr>
          <w:fldChar w:fldCharType="separate"/>
        </w:r>
        <w:r w:rsidR="00054ED4">
          <w:rPr>
            <w:webHidden/>
          </w:rPr>
          <w:t>56</w:t>
        </w:r>
        <w:r w:rsidR="00B906E9">
          <w:rPr>
            <w:webHidden/>
          </w:rPr>
          <w:fldChar w:fldCharType="end"/>
        </w:r>
      </w:hyperlink>
    </w:p>
    <w:p w14:paraId="3A1B0A73" w14:textId="758CB1CD" w:rsidR="00B906E9" w:rsidRDefault="00CD4AC5" w:rsidP="004C79C1">
      <w:pPr>
        <w:pStyle w:val="TableofFigures"/>
        <w:spacing w:line="240" w:lineRule="auto"/>
        <w:rPr>
          <w:rFonts w:asciiTheme="minorHAnsi" w:eastAsiaTheme="minorEastAsia" w:hAnsiTheme="minorHAnsi" w:cstheme="minorBidi"/>
        </w:rPr>
      </w:pPr>
      <w:hyperlink w:anchor="_Toc448827358" w:history="1">
        <w:r w:rsidR="00B906E9" w:rsidRPr="00B32DF4">
          <w:rPr>
            <w:rStyle w:val="Hyperlink"/>
          </w:rPr>
          <w:t>Box 6</w:t>
        </w:r>
        <w:r w:rsidR="00B906E9">
          <w:rPr>
            <w:rFonts w:asciiTheme="minorHAnsi" w:eastAsiaTheme="minorEastAsia" w:hAnsiTheme="minorHAnsi" w:cstheme="minorBidi"/>
          </w:rPr>
          <w:tab/>
        </w:r>
        <w:r w:rsidR="00B906E9" w:rsidRPr="00B32DF4">
          <w:rPr>
            <w:rStyle w:val="Hyperlink"/>
          </w:rPr>
          <w:t xml:space="preserve">Criteria for identifying and selecting studies to determine the therapeutic effectiveness of the change in patient management subsequent to CMR in patients with </w:t>
        </w:r>
        <w:r w:rsidR="00CA515C">
          <w:rPr>
            <w:rStyle w:val="Hyperlink"/>
          </w:rPr>
          <w:t>NI</w:t>
        </w:r>
        <w:r w:rsidR="00B906E9" w:rsidRPr="00B32DF4">
          <w:rPr>
            <w:rStyle w:val="Hyperlink"/>
          </w:rPr>
          <w:t>DCM</w:t>
        </w:r>
        <w:r w:rsidR="00B906E9">
          <w:rPr>
            <w:webHidden/>
          </w:rPr>
          <w:tab/>
        </w:r>
        <w:r w:rsidR="00B906E9">
          <w:rPr>
            <w:webHidden/>
          </w:rPr>
          <w:fldChar w:fldCharType="begin"/>
        </w:r>
        <w:r w:rsidR="00B906E9">
          <w:rPr>
            <w:webHidden/>
          </w:rPr>
          <w:instrText xml:space="preserve"> PAGEREF _Toc448827358 \h </w:instrText>
        </w:r>
        <w:r w:rsidR="00B906E9">
          <w:rPr>
            <w:webHidden/>
          </w:rPr>
        </w:r>
        <w:r w:rsidR="00B906E9">
          <w:rPr>
            <w:webHidden/>
          </w:rPr>
          <w:fldChar w:fldCharType="separate"/>
        </w:r>
        <w:r w:rsidR="00054ED4">
          <w:rPr>
            <w:webHidden/>
          </w:rPr>
          <w:t>57</w:t>
        </w:r>
        <w:r w:rsidR="00B906E9">
          <w:rPr>
            <w:webHidden/>
          </w:rPr>
          <w:fldChar w:fldCharType="end"/>
        </w:r>
      </w:hyperlink>
    </w:p>
    <w:p w14:paraId="3A6CA0C4" w14:textId="51444179" w:rsidR="00B906E9" w:rsidRDefault="00CD4AC5" w:rsidP="004C79C1">
      <w:pPr>
        <w:pStyle w:val="TableofFigures"/>
        <w:spacing w:line="240" w:lineRule="auto"/>
        <w:rPr>
          <w:rFonts w:asciiTheme="minorHAnsi" w:eastAsiaTheme="minorEastAsia" w:hAnsiTheme="minorHAnsi" w:cstheme="minorBidi"/>
        </w:rPr>
      </w:pPr>
      <w:hyperlink w:anchor="_Toc448827359" w:history="1">
        <w:r w:rsidR="00B906E9" w:rsidRPr="00B32DF4">
          <w:rPr>
            <w:rStyle w:val="Hyperlink"/>
          </w:rPr>
          <w:t>Box 7</w:t>
        </w:r>
        <w:r w:rsidR="00B906E9">
          <w:rPr>
            <w:rFonts w:asciiTheme="minorHAnsi" w:eastAsiaTheme="minorEastAsia" w:hAnsiTheme="minorHAnsi" w:cstheme="minorBidi"/>
          </w:rPr>
          <w:tab/>
        </w:r>
        <w:r w:rsidR="00B906E9" w:rsidRPr="00B32DF4">
          <w:rPr>
            <w:rStyle w:val="Hyperlink"/>
          </w:rPr>
          <w:t>Criteria for identifying and selecting studies to determine the safety of CMR in asymptomatic individuals with a family history of DCM</w:t>
        </w:r>
        <w:r w:rsidR="00B906E9">
          <w:rPr>
            <w:webHidden/>
          </w:rPr>
          <w:tab/>
        </w:r>
        <w:r w:rsidR="00B906E9">
          <w:rPr>
            <w:webHidden/>
          </w:rPr>
          <w:fldChar w:fldCharType="begin"/>
        </w:r>
        <w:r w:rsidR="00B906E9">
          <w:rPr>
            <w:webHidden/>
          </w:rPr>
          <w:instrText xml:space="preserve"> PAGEREF _Toc448827359 \h </w:instrText>
        </w:r>
        <w:r w:rsidR="00B906E9">
          <w:rPr>
            <w:webHidden/>
          </w:rPr>
        </w:r>
        <w:r w:rsidR="00B906E9">
          <w:rPr>
            <w:webHidden/>
          </w:rPr>
          <w:fldChar w:fldCharType="separate"/>
        </w:r>
        <w:r w:rsidR="00054ED4">
          <w:rPr>
            <w:webHidden/>
          </w:rPr>
          <w:t>298</w:t>
        </w:r>
        <w:r w:rsidR="00B906E9">
          <w:rPr>
            <w:webHidden/>
          </w:rPr>
          <w:fldChar w:fldCharType="end"/>
        </w:r>
      </w:hyperlink>
    </w:p>
    <w:p w14:paraId="74604183" w14:textId="7426FDE8" w:rsidR="00B906E9" w:rsidRDefault="00CD4AC5" w:rsidP="004C79C1">
      <w:pPr>
        <w:pStyle w:val="TableofFigures"/>
        <w:spacing w:line="240" w:lineRule="auto"/>
        <w:rPr>
          <w:rFonts w:asciiTheme="minorHAnsi" w:eastAsiaTheme="minorEastAsia" w:hAnsiTheme="minorHAnsi" w:cstheme="minorBidi"/>
        </w:rPr>
      </w:pPr>
      <w:hyperlink w:anchor="_Toc448827360" w:history="1">
        <w:r w:rsidR="00B906E9" w:rsidRPr="00B32DF4">
          <w:rPr>
            <w:rStyle w:val="Hyperlink"/>
          </w:rPr>
          <w:t>Box 8</w:t>
        </w:r>
        <w:r w:rsidR="00B906E9">
          <w:rPr>
            <w:rFonts w:asciiTheme="minorHAnsi" w:eastAsiaTheme="minorEastAsia" w:hAnsiTheme="minorHAnsi" w:cstheme="minorBidi"/>
          </w:rPr>
          <w:tab/>
        </w:r>
        <w:r w:rsidR="00B906E9" w:rsidRPr="00B32DF4">
          <w:rPr>
            <w:rStyle w:val="Hyperlink"/>
          </w:rPr>
          <w:t>Criteria for identifying and selecting studies to determine the direct effectiveness of CMR in asymptomatic individuals with a family history of DCM</w:t>
        </w:r>
        <w:r w:rsidR="00B906E9">
          <w:rPr>
            <w:webHidden/>
          </w:rPr>
          <w:tab/>
        </w:r>
        <w:r w:rsidR="00B906E9">
          <w:rPr>
            <w:webHidden/>
          </w:rPr>
          <w:fldChar w:fldCharType="begin"/>
        </w:r>
        <w:r w:rsidR="00B906E9">
          <w:rPr>
            <w:webHidden/>
          </w:rPr>
          <w:instrText xml:space="preserve"> PAGEREF _Toc448827360 \h </w:instrText>
        </w:r>
        <w:r w:rsidR="00B906E9">
          <w:rPr>
            <w:webHidden/>
          </w:rPr>
        </w:r>
        <w:r w:rsidR="00B906E9">
          <w:rPr>
            <w:webHidden/>
          </w:rPr>
          <w:fldChar w:fldCharType="separate"/>
        </w:r>
        <w:r w:rsidR="00054ED4">
          <w:rPr>
            <w:webHidden/>
          </w:rPr>
          <w:t>298</w:t>
        </w:r>
        <w:r w:rsidR="00B906E9">
          <w:rPr>
            <w:webHidden/>
          </w:rPr>
          <w:fldChar w:fldCharType="end"/>
        </w:r>
      </w:hyperlink>
    </w:p>
    <w:p w14:paraId="2BBE3547" w14:textId="0D2EFCE2" w:rsidR="00B906E9" w:rsidRDefault="00CD4AC5" w:rsidP="004C79C1">
      <w:pPr>
        <w:pStyle w:val="TableofFigures"/>
        <w:spacing w:line="240" w:lineRule="auto"/>
        <w:rPr>
          <w:rFonts w:asciiTheme="minorHAnsi" w:eastAsiaTheme="minorEastAsia" w:hAnsiTheme="minorHAnsi" w:cstheme="minorBidi"/>
        </w:rPr>
      </w:pPr>
      <w:hyperlink w:anchor="_Toc448827361" w:history="1">
        <w:r w:rsidR="00B906E9" w:rsidRPr="00B32DF4">
          <w:rPr>
            <w:rStyle w:val="Hyperlink"/>
          </w:rPr>
          <w:t>Box 9</w:t>
        </w:r>
        <w:r w:rsidR="00B906E9">
          <w:rPr>
            <w:rFonts w:asciiTheme="minorHAnsi" w:eastAsiaTheme="minorEastAsia" w:hAnsiTheme="minorHAnsi" w:cstheme="minorBidi"/>
          </w:rPr>
          <w:tab/>
        </w:r>
        <w:r w:rsidR="00B906E9" w:rsidRPr="00B32DF4">
          <w:rPr>
            <w:rStyle w:val="Hyperlink"/>
          </w:rPr>
          <w:t>Criteria for identifying and selecting studies to determine the prognostic value of CMR in asymptomatic individuals with a family history of DCM</w:t>
        </w:r>
        <w:r w:rsidR="00B906E9">
          <w:rPr>
            <w:webHidden/>
          </w:rPr>
          <w:tab/>
        </w:r>
        <w:r w:rsidR="00B906E9">
          <w:rPr>
            <w:webHidden/>
          </w:rPr>
          <w:fldChar w:fldCharType="begin"/>
        </w:r>
        <w:r w:rsidR="00B906E9">
          <w:rPr>
            <w:webHidden/>
          </w:rPr>
          <w:instrText xml:space="preserve"> PAGEREF _Toc448827361 \h </w:instrText>
        </w:r>
        <w:r w:rsidR="00B906E9">
          <w:rPr>
            <w:webHidden/>
          </w:rPr>
        </w:r>
        <w:r w:rsidR="00B906E9">
          <w:rPr>
            <w:webHidden/>
          </w:rPr>
          <w:fldChar w:fldCharType="separate"/>
        </w:r>
        <w:r w:rsidR="00054ED4">
          <w:rPr>
            <w:webHidden/>
          </w:rPr>
          <w:t>299</w:t>
        </w:r>
        <w:r w:rsidR="00B906E9">
          <w:rPr>
            <w:webHidden/>
          </w:rPr>
          <w:fldChar w:fldCharType="end"/>
        </w:r>
      </w:hyperlink>
    </w:p>
    <w:p w14:paraId="3B0EB3D8" w14:textId="220545C5" w:rsidR="00B906E9" w:rsidRDefault="00CD4AC5" w:rsidP="004C79C1">
      <w:pPr>
        <w:pStyle w:val="TableofFigures"/>
        <w:spacing w:line="240" w:lineRule="auto"/>
        <w:rPr>
          <w:rFonts w:asciiTheme="minorHAnsi" w:eastAsiaTheme="minorEastAsia" w:hAnsiTheme="minorHAnsi" w:cstheme="minorBidi"/>
        </w:rPr>
      </w:pPr>
      <w:hyperlink w:anchor="_Toc448827362" w:history="1">
        <w:r w:rsidR="00B906E9" w:rsidRPr="00B32DF4">
          <w:rPr>
            <w:rStyle w:val="Hyperlink"/>
          </w:rPr>
          <w:t>Box 10</w:t>
        </w:r>
        <w:r w:rsidR="00B906E9">
          <w:rPr>
            <w:rFonts w:asciiTheme="minorHAnsi" w:eastAsiaTheme="minorEastAsia" w:hAnsiTheme="minorHAnsi" w:cstheme="minorBidi"/>
          </w:rPr>
          <w:tab/>
        </w:r>
        <w:r w:rsidR="00B906E9" w:rsidRPr="00B32DF4">
          <w:rPr>
            <w:rStyle w:val="Hyperlink"/>
          </w:rPr>
          <w:t>Criteria for identifying and selecting studies to determine the therapeutic efficacy (change in management) of CMR in asymptomatic individuals with a family history of DCM</w:t>
        </w:r>
        <w:r w:rsidR="00B906E9">
          <w:rPr>
            <w:webHidden/>
          </w:rPr>
          <w:tab/>
        </w:r>
        <w:r w:rsidR="00B906E9">
          <w:rPr>
            <w:webHidden/>
          </w:rPr>
          <w:fldChar w:fldCharType="begin"/>
        </w:r>
        <w:r w:rsidR="00B906E9">
          <w:rPr>
            <w:webHidden/>
          </w:rPr>
          <w:instrText xml:space="preserve"> PAGEREF _Toc448827362 \h </w:instrText>
        </w:r>
        <w:r w:rsidR="00B906E9">
          <w:rPr>
            <w:webHidden/>
          </w:rPr>
        </w:r>
        <w:r w:rsidR="00B906E9">
          <w:rPr>
            <w:webHidden/>
          </w:rPr>
          <w:fldChar w:fldCharType="separate"/>
        </w:r>
        <w:r w:rsidR="00054ED4">
          <w:rPr>
            <w:webHidden/>
          </w:rPr>
          <w:t>299</w:t>
        </w:r>
        <w:r w:rsidR="00B906E9">
          <w:rPr>
            <w:webHidden/>
          </w:rPr>
          <w:fldChar w:fldCharType="end"/>
        </w:r>
      </w:hyperlink>
    </w:p>
    <w:p w14:paraId="6573F136" w14:textId="77777777" w:rsidR="008A46A4" w:rsidRPr="00183E4D" w:rsidRDefault="0086593E" w:rsidP="004C79C1">
      <w:pPr>
        <w:pStyle w:val="TableofFigures"/>
        <w:spacing w:line="240" w:lineRule="auto"/>
        <w:jc w:val="both"/>
        <w:rPr>
          <w:rFonts w:asciiTheme="minorHAnsi" w:eastAsiaTheme="minorEastAsia" w:hAnsiTheme="minorHAnsi" w:cstheme="minorBidi"/>
        </w:rPr>
      </w:pPr>
      <w:r w:rsidRPr="00183E4D">
        <w:rPr>
          <w:rFonts w:asciiTheme="minorHAnsi" w:eastAsiaTheme="minorEastAsia" w:hAnsiTheme="minorHAnsi" w:cstheme="minorBidi"/>
        </w:rPr>
        <w:fldChar w:fldCharType="end"/>
      </w:r>
    </w:p>
    <w:p w14:paraId="2BF98F77" w14:textId="68887589" w:rsidR="00452F32" w:rsidRPr="00CC55F9" w:rsidRDefault="008F59A8" w:rsidP="004C79C1">
      <w:pPr>
        <w:pStyle w:val="Heading2"/>
        <w:spacing w:before="0" w:after="120" w:line="240" w:lineRule="auto"/>
        <w:jc w:val="both"/>
        <w:rPr>
          <w:rFonts w:asciiTheme="minorHAnsi" w:hAnsiTheme="minorHAnsi"/>
        </w:rPr>
      </w:pPr>
      <w:bookmarkStart w:id="26" w:name="_Toc381796427"/>
      <w:bookmarkStart w:id="27" w:name="_Toc395200738"/>
      <w:bookmarkStart w:id="28" w:name="_Toc399247193"/>
      <w:bookmarkStart w:id="29" w:name="_Toc451501255"/>
      <w:r w:rsidRPr="00CC55F9">
        <w:rPr>
          <w:rFonts w:asciiTheme="minorHAnsi" w:hAnsiTheme="minorHAnsi"/>
        </w:rPr>
        <w:t>Figures</w:t>
      </w:r>
      <w:bookmarkEnd w:id="26"/>
      <w:bookmarkEnd w:id="27"/>
      <w:bookmarkEnd w:id="28"/>
      <w:bookmarkEnd w:id="29"/>
    </w:p>
    <w:p w14:paraId="23387CBD" w14:textId="77777777" w:rsidR="007251F2" w:rsidRDefault="0088027A" w:rsidP="00CC55F9">
      <w:pPr>
        <w:pStyle w:val="TableofFigures"/>
        <w:spacing w:line="240" w:lineRule="auto"/>
        <w:rPr>
          <w:rFonts w:asciiTheme="minorHAnsi" w:eastAsiaTheme="minorEastAsia" w:hAnsiTheme="minorHAnsi" w:cstheme="minorBidi"/>
        </w:rPr>
      </w:pPr>
      <w:r w:rsidRPr="00006055">
        <w:fldChar w:fldCharType="begin"/>
      </w:r>
      <w:r w:rsidRPr="00006055">
        <w:instrText xml:space="preserve"> TOC \c "Figure" </w:instrText>
      </w:r>
      <w:r w:rsidRPr="00006055">
        <w:fldChar w:fldCharType="separate"/>
      </w:r>
      <w:r w:rsidR="007251F2">
        <w:t>Figure 1</w:t>
      </w:r>
      <w:r w:rsidR="007251F2">
        <w:rPr>
          <w:rFonts w:asciiTheme="minorHAnsi" w:eastAsiaTheme="minorEastAsia" w:hAnsiTheme="minorHAnsi" w:cstheme="minorBidi"/>
        </w:rPr>
        <w:tab/>
      </w:r>
      <w:r w:rsidR="007251F2">
        <w:t>Current clinical pathway for the diagnosis of patients with HF symptoms in whom echocardiography is inconclusive</w:t>
      </w:r>
      <w:r w:rsidR="007251F2">
        <w:tab/>
      </w:r>
      <w:r w:rsidR="007251F2">
        <w:fldChar w:fldCharType="begin"/>
      </w:r>
      <w:r w:rsidR="007251F2">
        <w:instrText xml:space="preserve"> PAGEREF _Toc451435447 \h </w:instrText>
      </w:r>
      <w:r w:rsidR="007251F2">
        <w:fldChar w:fldCharType="separate"/>
      </w:r>
      <w:r w:rsidR="00054ED4">
        <w:t>48</w:t>
      </w:r>
      <w:r w:rsidR="007251F2">
        <w:fldChar w:fldCharType="end"/>
      </w:r>
    </w:p>
    <w:p w14:paraId="49161D00" w14:textId="77777777" w:rsidR="007251F2" w:rsidRDefault="007251F2" w:rsidP="00CC55F9">
      <w:pPr>
        <w:pStyle w:val="TableofFigures"/>
        <w:spacing w:line="240" w:lineRule="auto"/>
        <w:rPr>
          <w:rFonts w:asciiTheme="minorHAnsi" w:eastAsiaTheme="minorEastAsia" w:hAnsiTheme="minorHAnsi" w:cstheme="minorBidi"/>
        </w:rPr>
      </w:pPr>
      <w:r>
        <w:t xml:space="preserve">Figure 2 </w:t>
      </w:r>
      <w:r>
        <w:rPr>
          <w:rFonts w:asciiTheme="minorHAnsi" w:eastAsiaTheme="minorEastAsia" w:hAnsiTheme="minorHAnsi" w:cstheme="minorBidi"/>
        </w:rPr>
        <w:tab/>
      </w:r>
      <w:r>
        <w:t>Proposed clinical pathway for the diagnosis of patients with HF symptoms, in whom echocardiography is inconclusive</w:t>
      </w:r>
      <w:r>
        <w:tab/>
      </w:r>
      <w:r>
        <w:fldChar w:fldCharType="begin"/>
      </w:r>
      <w:r>
        <w:instrText xml:space="preserve"> PAGEREF _Toc451435448 \h </w:instrText>
      </w:r>
      <w:r>
        <w:fldChar w:fldCharType="separate"/>
      </w:r>
      <w:r w:rsidR="00054ED4">
        <w:t>49</w:t>
      </w:r>
      <w:r>
        <w:fldChar w:fldCharType="end"/>
      </w:r>
    </w:p>
    <w:p w14:paraId="706367A2" w14:textId="77777777" w:rsidR="007251F2" w:rsidRDefault="007251F2" w:rsidP="00CC55F9">
      <w:pPr>
        <w:pStyle w:val="TableofFigures"/>
        <w:spacing w:line="240" w:lineRule="auto"/>
        <w:rPr>
          <w:rFonts w:asciiTheme="minorHAnsi" w:eastAsiaTheme="minorEastAsia" w:hAnsiTheme="minorHAnsi" w:cstheme="minorBidi"/>
        </w:rPr>
      </w:pPr>
      <w:r>
        <w:t xml:space="preserve">Figure 3 </w:t>
      </w:r>
      <w:r>
        <w:rPr>
          <w:rFonts w:asciiTheme="minorHAnsi" w:eastAsiaTheme="minorEastAsia" w:hAnsiTheme="minorHAnsi" w:cstheme="minorBidi"/>
        </w:rPr>
        <w:tab/>
      </w:r>
      <w:r>
        <w:t>Current clinical pathway for the diagnosis of patients with HF symptoms, in whom echocardiography suggests a DCM</w:t>
      </w:r>
      <w:r>
        <w:tab/>
      </w:r>
      <w:r>
        <w:fldChar w:fldCharType="begin"/>
      </w:r>
      <w:r>
        <w:instrText xml:space="preserve"> PAGEREF _Toc451435449 \h </w:instrText>
      </w:r>
      <w:r>
        <w:fldChar w:fldCharType="separate"/>
      </w:r>
      <w:r w:rsidR="00054ED4">
        <w:t>50</w:t>
      </w:r>
      <w:r>
        <w:fldChar w:fldCharType="end"/>
      </w:r>
    </w:p>
    <w:p w14:paraId="308B9B80" w14:textId="77777777" w:rsidR="007251F2" w:rsidRDefault="007251F2" w:rsidP="00CC55F9">
      <w:pPr>
        <w:pStyle w:val="TableofFigures"/>
        <w:spacing w:line="240" w:lineRule="auto"/>
        <w:rPr>
          <w:rFonts w:asciiTheme="minorHAnsi" w:eastAsiaTheme="minorEastAsia" w:hAnsiTheme="minorHAnsi" w:cstheme="minorBidi"/>
        </w:rPr>
      </w:pPr>
      <w:r>
        <w:t>Figure 4</w:t>
      </w:r>
      <w:r>
        <w:rPr>
          <w:rFonts w:asciiTheme="minorHAnsi" w:eastAsiaTheme="minorEastAsia" w:hAnsiTheme="minorHAnsi" w:cstheme="minorBidi"/>
        </w:rPr>
        <w:tab/>
      </w:r>
      <w:r>
        <w:t>Proposed clinical pathway for the diagnosis of patients with HF symptoms, in whom echocardiography suggests a DCM</w:t>
      </w:r>
      <w:r>
        <w:tab/>
      </w:r>
      <w:r>
        <w:fldChar w:fldCharType="begin"/>
      </w:r>
      <w:r>
        <w:instrText xml:space="preserve"> PAGEREF _Toc451435450 \h </w:instrText>
      </w:r>
      <w:r>
        <w:fldChar w:fldCharType="separate"/>
      </w:r>
      <w:r w:rsidR="00054ED4">
        <w:t>51</w:t>
      </w:r>
      <w:r>
        <w:fldChar w:fldCharType="end"/>
      </w:r>
    </w:p>
    <w:p w14:paraId="76D95BD5" w14:textId="77777777" w:rsidR="007251F2" w:rsidRDefault="007251F2" w:rsidP="00CC55F9">
      <w:pPr>
        <w:pStyle w:val="TableofFigures"/>
        <w:spacing w:line="240" w:lineRule="auto"/>
        <w:rPr>
          <w:rFonts w:asciiTheme="minorHAnsi" w:eastAsiaTheme="minorEastAsia" w:hAnsiTheme="minorHAnsi" w:cstheme="minorBidi"/>
        </w:rPr>
      </w:pPr>
      <w:r>
        <w:t xml:space="preserve">Figure 5 </w:t>
      </w:r>
      <w:r>
        <w:rPr>
          <w:rFonts w:asciiTheme="minorHAnsi" w:eastAsiaTheme="minorEastAsia" w:hAnsiTheme="minorHAnsi" w:cstheme="minorBidi"/>
        </w:rPr>
        <w:tab/>
      </w:r>
      <w:r>
        <w:t>Summary of the process used to identify and select studies for the assessment of diagnostic performance of CMR for patients suspected of DCM</w:t>
      </w:r>
      <w:r>
        <w:tab/>
      </w:r>
      <w:r>
        <w:fldChar w:fldCharType="begin"/>
      </w:r>
      <w:r>
        <w:instrText xml:space="preserve"> PAGEREF _Toc451435451 \h </w:instrText>
      </w:r>
      <w:r>
        <w:fldChar w:fldCharType="separate"/>
      </w:r>
      <w:r w:rsidR="00054ED4">
        <w:t>66</w:t>
      </w:r>
      <w:r>
        <w:fldChar w:fldCharType="end"/>
      </w:r>
    </w:p>
    <w:p w14:paraId="0BA4EE85" w14:textId="77777777" w:rsidR="007251F2" w:rsidRDefault="007251F2" w:rsidP="00CC55F9">
      <w:pPr>
        <w:pStyle w:val="TableofFigures"/>
        <w:spacing w:line="240" w:lineRule="auto"/>
        <w:rPr>
          <w:rFonts w:asciiTheme="minorHAnsi" w:eastAsiaTheme="minorEastAsia" w:hAnsiTheme="minorHAnsi" w:cstheme="minorBidi"/>
        </w:rPr>
      </w:pPr>
      <w:r>
        <w:lastRenderedPageBreak/>
        <w:t xml:space="preserve">Figure 6 </w:t>
      </w:r>
      <w:r>
        <w:rPr>
          <w:rFonts w:asciiTheme="minorHAnsi" w:eastAsiaTheme="minorEastAsia" w:hAnsiTheme="minorHAnsi" w:cstheme="minorBidi"/>
        </w:rPr>
        <w:tab/>
      </w:r>
      <w:r>
        <w:t>Summary of the risk of bias and applicability judgments for the 12 diagnostic accuracy studies</w:t>
      </w:r>
      <w:r>
        <w:tab/>
      </w:r>
      <w:r>
        <w:fldChar w:fldCharType="begin"/>
      </w:r>
      <w:r>
        <w:instrText xml:space="preserve"> PAGEREF _Toc451435452 \h </w:instrText>
      </w:r>
      <w:r>
        <w:fldChar w:fldCharType="separate"/>
      </w:r>
      <w:r w:rsidR="00054ED4">
        <w:t>68</w:t>
      </w:r>
      <w:r>
        <w:fldChar w:fldCharType="end"/>
      </w:r>
    </w:p>
    <w:p w14:paraId="515F2CC5" w14:textId="77777777" w:rsidR="007251F2" w:rsidRDefault="007251F2" w:rsidP="00CC55F9">
      <w:pPr>
        <w:pStyle w:val="TableofFigures"/>
        <w:spacing w:line="240" w:lineRule="auto"/>
        <w:rPr>
          <w:rFonts w:asciiTheme="minorHAnsi" w:eastAsiaTheme="minorEastAsia" w:hAnsiTheme="minorHAnsi" w:cstheme="minorBidi"/>
        </w:rPr>
      </w:pPr>
      <w:r>
        <w:t>Figure 7</w:t>
      </w:r>
      <w:r>
        <w:rPr>
          <w:rFonts w:asciiTheme="minorHAnsi" w:eastAsiaTheme="minorEastAsia" w:hAnsiTheme="minorHAnsi" w:cstheme="minorBidi"/>
        </w:rPr>
        <w:tab/>
      </w:r>
      <w:r>
        <w:t>Forest plot showing the sensitivity and specificity of LGE-CMR compared with EMB in diagnosing inflammation</w:t>
      </w:r>
      <w:r>
        <w:tab/>
      </w:r>
      <w:r>
        <w:fldChar w:fldCharType="begin"/>
      </w:r>
      <w:r>
        <w:instrText xml:space="preserve"> PAGEREF _Toc451435453 \h </w:instrText>
      </w:r>
      <w:r>
        <w:fldChar w:fldCharType="separate"/>
      </w:r>
      <w:r w:rsidR="00054ED4">
        <w:t>74</w:t>
      </w:r>
      <w:r>
        <w:fldChar w:fldCharType="end"/>
      </w:r>
    </w:p>
    <w:p w14:paraId="4B457435" w14:textId="77777777" w:rsidR="007251F2" w:rsidRDefault="007251F2" w:rsidP="00CC55F9">
      <w:pPr>
        <w:pStyle w:val="TableofFigures"/>
        <w:spacing w:line="240" w:lineRule="auto"/>
        <w:rPr>
          <w:rFonts w:asciiTheme="minorHAnsi" w:eastAsiaTheme="minorEastAsia" w:hAnsiTheme="minorHAnsi" w:cstheme="minorBidi"/>
        </w:rPr>
      </w:pPr>
      <w:r>
        <w:t xml:space="preserve">Figure 8 </w:t>
      </w:r>
      <w:r>
        <w:rPr>
          <w:rFonts w:asciiTheme="minorHAnsi" w:eastAsiaTheme="minorEastAsia" w:hAnsiTheme="minorHAnsi" w:cstheme="minorBidi"/>
        </w:rPr>
        <w:tab/>
      </w:r>
      <w:r>
        <w:t>Forest plot showing the sensitivity and specificity of the ‘Lake Louise criteria’ measured with CMR compared with EMB in diagnosing inflammation</w:t>
      </w:r>
      <w:r>
        <w:tab/>
      </w:r>
      <w:r>
        <w:fldChar w:fldCharType="begin"/>
      </w:r>
      <w:r>
        <w:instrText xml:space="preserve"> PAGEREF _Toc451435454 \h </w:instrText>
      </w:r>
      <w:r>
        <w:fldChar w:fldCharType="separate"/>
      </w:r>
      <w:r w:rsidR="00054ED4">
        <w:t>75</w:t>
      </w:r>
      <w:r>
        <w:fldChar w:fldCharType="end"/>
      </w:r>
    </w:p>
    <w:p w14:paraId="4287EBA5" w14:textId="77777777" w:rsidR="007251F2" w:rsidRDefault="007251F2" w:rsidP="00CC55F9">
      <w:pPr>
        <w:pStyle w:val="TableofFigures"/>
        <w:spacing w:line="240" w:lineRule="auto"/>
        <w:rPr>
          <w:rFonts w:asciiTheme="minorHAnsi" w:eastAsiaTheme="minorEastAsia" w:hAnsiTheme="minorHAnsi" w:cstheme="minorBidi"/>
        </w:rPr>
      </w:pPr>
      <w:r>
        <w:t>Figure 9</w:t>
      </w:r>
      <w:r>
        <w:rPr>
          <w:rFonts w:asciiTheme="minorHAnsi" w:eastAsiaTheme="minorEastAsia" w:hAnsiTheme="minorHAnsi" w:cstheme="minorBidi"/>
        </w:rPr>
        <w:tab/>
      </w:r>
      <w:r>
        <w:t>Forest plot showing the sensitivity and specificity of CTCA and LGE-CMR compared with ICA in diagnosing whether HF symptoms are of ischaemic aetiology (true positive = non-ischaemic DCM)</w:t>
      </w:r>
      <w:r>
        <w:tab/>
      </w:r>
      <w:r>
        <w:fldChar w:fldCharType="begin"/>
      </w:r>
      <w:r>
        <w:instrText xml:space="preserve"> PAGEREF _Toc451435455 \h </w:instrText>
      </w:r>
      <w:r>
        <w:fldChar w:fldCharType="separate"/>
      </w:r>
      <w:r w:rsidR="00054ED4">
        <w:t>76</w:t>
      </w:r>
      <w:r>
        <w:fldChar w:fldCharType="end"/>
      </w:r>
    </w:p>
    <w:p w14:paraId="73680356" w14:textId="77777777" w:rsidR="007251F2" w:rsidRDefault="007251F2" w:rsidP="00CC55F9">
      <w:pPr>
        <w:pStyle w:val="TableofFigures"/>
        <w:spacing w:line="240" w:lineRule="auto"/>
        <w:rPr>
          <w:rFonts w:asciiTheme="minorHAnsi" w:eastAsiaTheme="minorEastAsia" w:hAnsiTheme="minorHAnsi" w:cstheme="minorBidi"/>
        </w:rPr>
      </w:pPr>
      <w:r>
        <w:t xml:space="preserve">Figure 10 </w:t>
      </w:r>
      <w:r>
        <w:rPr>
          <w:rFonts w:asciiTheme="minorHAnsi" w:eastAsiaTheme="minorEastAsia" w:hAnsiTheme="minorHAnsi" w:cstheme="minorBidi"/>
        </w:rPr>
        <w:tab/>
      </w:r>
      <w:r>
        <w:t>Forest plot showing the sensitivity and specificity of ICA and LGE-CMR compared with available diagnostic data in diagnosing NIDCM</w:t>
      </w:r>
      <w:r>
        <w:tab/>
      </w:r>
      <w:r>
        <w:fldChar w:fldCharType="begin"/>
      </w:r>
      <w:r>
        <w:instrText xml:space="preserve"> PAGEREF _Toc451435456 \h </w:instrText>
      </w:r>
      <w:r>
        <w:fldChar w:fldCharType="separate"/>
      </w:r>
      <w:r w:rsidR="00054ED4">
        <w:t>77</w:t>
      </w:r>
      <w:r>
        <w:fldChar w:fldCharType="end"/>
      </w:r>
    </w:p>
    <w:p w14:paraId="7854F7BE" w14:textId="77777777" w:rsidR="007251F2" w:rsidRDefault="007251F2" w:rsidP="00CC55F9">
      <w:pPr>
        <w:pStyle w:val="TableofFigures"/>
        <w:spacing w:line="240" w:lineRule="auto"/>
        <w:rPr>
          <w:rFonts w:asciiTheme="minorHAnsi" w:eastAsiaTheme="minorEastAsia" w:hAnsiTheme="minorHAnsi" w:cstheme="minorBidi"/>
        </w:rPr>
      </w:pPr>
      <w:r>
        <w:t>Figure 11</w:t>
      </w:r>
      <w:r>
        <w:rPr>
          <w:rFonts w:asciiTheme="minorHAnsi" w:eastAsiaTheme="minorEastAsia" w:hAnsiTheme="minorHAnsi" w:cstheme="minorBidi"/>
        </w:rPr>
        <w:tab/>
      </w:r>
      <w:r>
        <w:t>Forest plot showing the sensitivity and specificity of LGE-CMR compared with ICA in diagnosing NIDCM</w:t>
      </w:r>
      <w:r>
        <w:tab/>
      </w:r>
      <w:r>
        <w:fldChar w:fldCharType="begin"/>
      </w:r>
      <w:r>
        <w:instrText xml:space="preserve"> PAGEREF _Toc451435457 \h </w:instrText>
      </w:r>
      <w:r>
        <w:fldChar w:fldCharType="separate"/>
      </w:r>
      <w:r w:rsidR="00054ED4">
        <w:t>78</w:t>
      </w:r>
      <w:r>
        <w:fldChar w:fldCharType="end"/>
      </w:r>
    </w:p>
    <w:p w14:paraId="6EB13DD0" w14:textId="77777777" w:rsidR="007251F2" w:rsidRDefault="007251F2" w:rsidP="00CC55F9">
      <w:pPr>
        <w:pStyle w:val="TableofFigures"/>
        <w:spacing w:line="240" w:lineRule="auto"/>
        <w:rPr>
          <w:rFonts w:asciiTheme="minorHAnsi" w:eastAsiaTheme="minorEastAsia" w:hAnsiTheme="minorHAnsi" w:cstheme="minorBidi"/>
        </w:rPr>
      </w:pPr>
      <w:r>
        <w:t xml:space="preserve">Figure 12 </w:t>
      </w:r>
      <w:r>
        <w:rPr>
          <w:rFonts w:asciiTheme="minorHAnsi" w:eastAsiaTheme="minorEastAsia" w:hAnsiTheme="minorHAnsi" w:cstheme="minorBidi"/>
        </w:rPr>
        <w:tab/>
      </w:r>
      <w:r>
        <w:t>Forest plot showing the sensitivity and specificity of LGE-CMR when available diagnostic data is used as the reference standard</w:t>
      </w:r>
      <w:r>
        <w:tab/>
      </w:r>
      <w:r>
        <w:fldChar w:fldCharType="begin"/>
      </w:r>
      <w:r>
        <w:instrText xml:space="preserve"> PAGEREF _Toc451435458 \h </w:instrText>
      </w:r>
      <w:r>
        <w:fldChar w:fldCharType="separate"/>
      </w:r>
      <w:r w:rsidR="00054ED4">
        <w:t>78</w:t>
      </w:r>
      <w:r>
        <w:fldChar w:fldCharType="end"/>
      </w:r>
    </w:p>
    <w:p w14:paraId="209D5644" w14:textId="77777777" w:rsidR="007251F2" w:rsidRDefault="007251F2" w:rsidP="00CC55F9">
      <w:pPr>
        <w:pStyle w:val="TableofFigures"/>
        <w:spacing w:line="240" w:lineRule="auto"/>
        <w:rPr>
          <w:rFonts w:asciiTheme="minorHAnsi" w:eastAsiaTheme="minorEastAsia" w:hAnsiTheme="minorHAnsi" w:cstheme="minorBidi"/>
        </w:rPr>
      </w:pPr>
      <w:r w:rsidRPr="00FC6C50">
        <w:rPr>
          <w:bCs/>
        </w:rPr>
        <w:t>Figure 13</w:t>
      </w:r>
      <w:r>
        <w:t xml:space="preserve"> </w:t>
      </w:r>
      <w:r>
        <w:rPr>
          <w:rFonts w:asciiTheme="minorHAnsi" w:eastAsiaTheme="minorEastAsia" w:hAnsiTheme="minorHAnsi" w:cstheme="minorBidi"/>
        </w:rPr>
        <w:tab/>
      </w:r>
      <w:r>
        <w:t>SROC of diagnostic accuracy of LGE-CMR in determining non-ischaemic aetiology</w:t>
      </w:r>
      <w:r>
        <w:tab/>
      </w:r>
      <w:r>
        <w:fldChar w:fldCharType="begin"/>
      </w:r>
      <w:r>
        <w:instrText xml:space="preserve"> PAGEREF _Toc451435459 \h </w:instrText>
      </w:r>
      <w:r>
        <w:fldChar w:fldCharType="separate"/>
      </w:r>
      <w:r w:rsidR="00054ED4">
        <w:t>79</w:t>
      </w:r>
      <w:r>
        <w:fldChar w:fldCharType="end"/>
      </w:r>
    </w:p>
    <w:p w14:paraId="4F03325D" w14:textId="77777777" w:rsidR="007251F2" w:rsidRDefault="007251F2" w:rsidP="00CC55F9">
      <w:pPr>
        <w:pStyle w:val="TableofFigures"/>
        <w:spacing w:line="240" w:lineRule="auto"/>
        <w:rPr>
          <w:rFonts w:asciiTheme="minorHAnsi" w:eastAsiaTheme="minorEastAsia" w:hAnsiTheme="minorHAnsi" w:cstheme="minorBidi"/>
        </w:rPr>
      </w:pPr>
      <w:r w:rsidRPr="0074309F">
        <w:rPr>
          <w:bCs/>
        </w:rPr>
        <w:t>Figure</w:t>
      </w:r>
      <w:r w:rsidRPr="00FC6C50">
        <w:rPr>
          <w:bCs/>
        </w:rPr>
        <w:t xml:space="preserve"> 14</w:t>
      </w:r>
      <w:r>
        <w:t xml:space="preserve"> </w:t>
      </w:r>
      <w:r>
        <w:rPr>
          <w:rFonts w:asciiTheme="minorHAnsi" w:eastAsiaTheme="minorEastAsia" w:hAnsiTheme="minorHAnsi" w:cstheme="minorBidi"/>
        </w:rPr>
        <w:tab/>
      </w:r>
      <w:r>
        <w:t>Forest plot showing the sensitivity and specificity of ICA compared with available diagnostic data in diagnosing NIDCM</w:t>
      </w:r>
      <w:r>
        <w:tab/>
      </w:r>
      <w:r>
        <w:fldChar w:fldCharType="begin"/>
      </w:r>
      <w:r>
        <w:instrText xml:space="preserve"> PAGEREF _Toc451435460 \h </w:instrText>
      </w:r>
      <w:r>
        <w:fldChar w:fldCharType="separate"/>
      </w:r>
      <w:r w:rsidR="00054ED4">
        <w:t>80</w:t>
      </w:r>
      <w:r>
        <w:fldChar w:fldCharType="end"/>
      </w:r>
    </w:p>
    <w:p w14:paraId="48AFF473" w14:textId="77777777" w:rsidR="007251F2" w:rsidRDefault="007251F2" w:rsidP="00CC55F9">
      <w:pPr>
        <w:pStyle w:val="TableofFigures"/>
        <w:spacing w:line="240" w:lineRule="auto"/>
        <w:rPr>
          <w:rFonts w:asciiTheme="minorHAnsi" w:eastAsiaTheme="minorEastAsia" w:hAnsiTheme="minorHAnsi" w:cstheme="minorBidi"/>
        </w:rPr>
      </w:pPr>
      <w:r>
        <w:t>Figure 15</w:t>
      </w:r>
      <w:r>
        <w:rPr>
          <w:rFonts w:asciiTheme="minorHAnsi" w:eastAsiaTheme="minorEastAsia" w:hAnsiTheme="minorHAnsi" w:cstheme="minorBidi"/>
        </w:rPr>
        <w:tab/>
      </w:r>
      <w:r>
        <w:t>Likelihood ratio scattergram for the diagnosis of DCM / inflammatory aetiology / non-ischaemic aetiology (all included studies on diagnostic performance)</w:t>
      </w:r>
      <w:r>
        <w:tab/>
      </w:r>
      <w:r>
        <w:fldChar w:fldCharType="begin"/>
      </w:r>
      <w:r>
        <w:instrText xml:space="preserve"> PAGEREF _Toc451435461 \h </w:instrText>
      </w:r>
      <w:r>
        <w:fldChar w:fldCharType="separate"/>
      </w:r>
      <w:r w:rsidR="00054ED4">
        <w:t>86</w:t>
      </w:r>
      <w:r>
        <w:fldChar w:fldCharType="end"/>
      </w:r>
    </w:p>
    <w:p w14:paraId="2141B160" w14:textId="77777777" w:rsidR="007251F2" w:rsidRDefault="007251F2" w:rsidP="00CC55F9">
      <w:pPr>
        <w:pStyle w:val="TableofFigures"/>
        <w:spacing w:line="240" w:lineRule="auto"/>
        <w:rPr>
          <w:rFonts w:asciiTheme="minorHAnsi" w:eastAsiaTheme="minorEastAsia" w:hAnsiTheme="minorHAnsi" w:cstheme="minorBidi"/>
        </w:rPr>
      </w:pPr>
      <w:r>
        <w:t xml:space="preserve">Figure 16 </w:t>
      </w:r>
      <w:r>
        <w:rPr>
          <w:rFonts w:asciiTheme="minorHAnsi" w:eastAsiaTheme="minorEastAsia" w:hAnsiTheme="minorHAnsi" w:cstheme="minorBidi"/>
        </w:rPr>
        <w:tab/>
      </w:r>
      <w:r>
        <w:t>Summary of the process used to identify and select studies for the assessment of the prognostic value of LGE-CMR for patients with DCM</w:t>
      </w:r>
      <w:r>
        <w:tab/>
      </w:r>
      <w:r>
        <w:fldChar w:fldCharType="begin"/>
      </w:r>
      <w:r>
        <w:instrText xml:space="preserve"> PAGEREF _Toc451435462 \h </w:instrText>
      </w:r>
      <w:r>
        <w:fldChar w:fldCharType="separate"/>
      </w:r>
      <w:r w:rsidR="00054ED4">
        <w:t>88</w:t>
      </w:r>
      <w:r>
        <w:fldChar w:fldCharType="end"/>
      </w:r>
    </w:p>
    <w:p w14:paraId="703E824B" w14:textId="77777777" w:rsidR="007251F2" w:rsidRDefault="007251F2" w:rsidP="00CC55F9">
      <w:pPr>
        <w:pStyle w:val="TableofFigures"/>
        <w:spacing w:line="240" w:lineRule="auto"/>
        <w:rPr>
          <w:rFonts w:asciiTheme="minorHAnsi" w:eastAsiaTheme="minorEastAsia" w:hAnsiTheme="minorHAnsi" w:cstheme="minorBidi"/>
        </w:rPr>
      </w:pPr>
      <w:r>
        <w:t>Figure 17</w:t>
      </w:r>
      <w:r>
        <w:rPr>
          <w:rFonts w:asciiTheme="minorHAnsi" w:eastAsiaTheme="minorEastAsia" w:hAnsiTheme="minorHAnsi" w:cstheme="minorBidi"/>
        </w:rPr>
        <w:tab/>
      </w:r>
      <w:r>
        <w:t>Summary of the risk of bias for the prognostic cohort studies for each outcome</w:t>
      </w:r>
      <w:r>
        <w:tab/>
      </w:r>
      <w:r>
        <w:fldChar w:fldCharType="begin"/>
      </w:r>
      <w:r>
        <w:instrText xml:space="preserve"> PAGEREF _Toc451435463 \h </w:instrText>
      </w:r>
      <w:r>
        <w:fldChar w:fldCharType="separate"/>
      </w:r>
      <w:r w:rsidR="00054ED4">
        <w:t>90</w:t>
      </w:r>
      <w:r>
        <w:fldChar w:fldCharType="end"/>
      </w:r>
    </w:p>
    <w:p w14:paraId="29196FF5" w14:textId="77777777" w:rsidR="007251F2" w:rsidRDefault="007251F2" w:rsidP="00CC55F9">
      <w:pPr>
        <w:pStyle w:val="TableofFigures"/>
        <w:spacing w:line="240" w:lineRule="auto"/>
        <w:rPr>
          <w:rFonts w:asciiTheme="minorHAnsi" w:eastAsiaTheme="minorEastAsia" w:hAnsiTheme="minorHAnsi" w:cstheme="minorBidi"/>
        </w:rPr>
      </w:pPr>
      <w:r>
        <w:t>Figure 18</w:t>
      </w:r>
      <w:r>
        <w:rPr>
          <w:rFonts w:asciiTheme="minorHAnsi" w:eastAsiaTheme="minorEastAsia" w:hAnsiTheme="minorHAnsi" w:cstheme="minorBidi"/>
        </w:rPr>
        <w:tab/>
      </w:r>
      <w:r>
        <w:t>Forest plot showing the pooled RR of having an adverse health outcome in patients who were LGE+ compared with those who were LGE–</w:t>
      </w:r>
      <w:r>
        <w:tab/>
      </w:r>
      <w:r>
        <w:fldChar w:fldCharType="begin"/>
      </w:r>
      <w:r>
        <w:instrText xml:space="preserve"> PAGEREF _Toc451435464 \h </w:instrText>
      </w:r>
      <w:r>
        <w:fldChar w:fldCharType="separate"/>
      </w:r>
      <w:r w:rsidR="00054ED4">
        <w:t>94</w:t>
      </w:r>
      <w:r>
        <w:fldChar w:fldCharType="end"/>
      </w:r>
    </w:p>
    <w:p w14:paraId="4FE8D575" w14:textId="77777777" w:rsidR="007251F2" w:rsidRDefault="007251F2" w:rsidP="00CC55F9">
      <w:pPr>
        <w:pStyle w:val="TableofFigures"/>
        <w:spacing w:line="240" w:lineRule="auto"/>
        <w:rPr>
          <w:rFonts w:asciiTheme="minorHAnsi" w:eastAsiaTheme="minorEastAsia" w:hAnsiTheme="minorHAnsi" w:cstheme="minorBidi"/>
        </w:rPr>
      </w:pPr>
      <w:r>
        <w:t>Figure 19</w:t>
      </w:r>
      <w:r>
        <w:rPr>
          <w:rFonts w:asciiTheme="minorHAnsi" w:eastAsiaTheme="minorEastAsia" w:hAnsiTheme="minorHAnsi" w:cstheme="minorBidi"/>
        </w:rPr>
        <w:tab/>
      </w:r>
      <w:r>
        <w:t>Forest plot showing the RR of having an ICD/CRT implantation in patients who were LGE+ compared with those who were LGE–</w:t>
      </w:r>
      <w:r>
        <w:tab/>
      </w:r>
      <w:r>
        <w:fldChar w:fldCharType="begin"/>
      </w:r>
      <w:r>
        <w:instrText xml:space="preserve"> PAGEREF _Toc451435465 \h </w:instrText>
      </w:r>
      <w:r>
        <w:fldChar w:fldCharType="separate"/>
      </w:r>
      <w:r w:rsidR="00054ED4">
        <w:t>100</w:t>
      </w:r>
      <w:r>
        <w:fldChar w:fldCharType="end"/>
      </w:r>
    </w:p>
    <w:p w14:paraId="3251BFF9" w14:textId="77777777" w:rsidR="007251F2" w:rsidRDefault="007251F2" w:rsidP="00CC55F9">
      <w:pPr>
        <w:pStyle w:val="TableofFigures"/>
        <w:spacing w:line="240" w:lineRule="auto"/>
        <w:rPr>
          <w:rFonts w:asciiTheme="minorHAnsi" w:eastAsiaTheme="minorEastAsia" w:hAnsiTheme="minorHAnsi" w:cstheme="minorBidi"/>
        </w:rPr>
      </w:pPr>
      <w:r>
        <w:t>Figure 20</w:t>
      </w:r>
      <w:r>
        <w:rPr>
          <w:rFonts w:asciiTheme="minorHAnsi" w:eastAsiaTheme="minorEastAsia" w:hAnsiTheme="minorHAnsi" w:cstheme="minorBidi"/>
        </w:rPr>
        <w:tab/>
      </w:r>
      <w:r>
        <w:t>Forest plot showing the RR of having an appropriate ICD/CRT-D discharge in patients who were LGE+ compared with those who were LGE–, and according to reason for ICD/CRT-D implantation</w:t>
      </w:r>
      <w:r>
        <w:tab/>
      </w:r>
      <w:r>
        <w:fldChar w:fldCharType="begin"/>
      </w:r>
      <w:r>
        <w:instrText xml:space="preserve"> PAGEREF _Toc451435466 \h </w:instrText>
      </w:r>
      <w:r>
        <w:fldChar w:fldCharType="separate"/>
      </w:r>
      <w:r w:rsidR="00054ED4">
        <w:t>101</w:t>
      </w:r>
      <w:r>
        <w:fldChar w:fldCharType="end"/>
      </w:r>
    </w:p>
    <w:p w14:paraId="053E7E77" w14:textId="77777777" w:rsidR="007251F2" w:rsidRDefault="007251F2" w:rsidP="00CC55F9">
      <w:pPr>
        <w:pStyle w:val="TableofFigures"/>
        <w:spacing w:line="240" w:lineRule="auto"/>
        <w:rPr>
          <w:rFonts w:asciiTheme="minorHAnsi" w:eastAsiaTheme="minorEastAsia" w:hAnsiTheme="minorHAnsi" w:cstheme="minorBidi"/>
        </w:rPr>
      </w:pPr>
      <w:r>
        <w:t>Figure 21</w:t>
      </w:r>
      <w:r>
        <w:rPr>
          <w:rFonts w:asciiTheme="minorHAnsi" w:eastAsiaTheme="minorEastAsia" w:hAnsiTheme="minorHAnsi" w:cstheme="minorBidi"/>
        </w:rPr>
        <w:tab/>
      </w:r>
      <w:r>
        <w:t>Forest plot showing the HRs of the likelihood of having any cardiac event in patients with either LVEF ≤20–40% or with LGE present</w:t>
      </w:r>
      <w:r>
        <w:tab/>
      </w:r>
      <w:r>
        <w:fldChar w:fldCharType="begin"/>
      </w:r>
      <w:r>
        <w:instrText xml:space="preserve"> PAGEREF _Toc451435467 \h </w:instrText>
      </w:r>
      <w:r>
        <w:fldChar w:fldCharType="separate"/>
      </w:r>
      <w:r w:rsidR="00054ED4">
        <w:t>103</w:t>
      </w:r>
      <w:r>
        <w:fldChar w:fldCharType="end"/>
      </w:r>
    </w:p>
    <w:p w14:paraId="498647E3" w14:textId="77777777" w:rsidR="007251F2" w:rsidRDefault="007251F2" w:rsidP="00CC55F9">
      <w:pPr>
        <w:pStyle w:val="TableofFigures"/>
        <w:spacing w:line="240" w:lineRule="auto"/>
        <w:rPr>
          <w:rFonts w:asciiTheme="minorHAnsi" w:eastAsiaTheme="minorEastAsia" w:hAnsiTheme="minorHAnsi" w:cstheme="minorBidi"/>
        </w:rPr>
      </w:pPr>
      <w:r>
        <w:t>Figure 22</w:t>
      </w:r>
      <w:r>
        <w:rPr>
          <w:rFonts w:asciiTheme="minorHAnsi" w:eastAsiaTheme="minorEastAsia" w:hAnsiTheme="minorHAnsi" w:cstheme="minorBidi"/>
        </w:rPr>
        <w:tab/>
      </w:r>
      <w:r>
        <w:t>Forest plot showing the likelihood of DCM patients diagnosed with ICM being LGE+ compared with those diagnosed with NIDCM</w:t>
      </w:r>
      <w:r>
        <w:tab/>
      </w:r>
      <w:r>
        <w:fldChar w:fldCharType="begin"/>
      </w:r>
      <w:r>
        <w:instrText xml:space="preserve"> PAGEREF _Toc451435468 \h </w:instrText>
      </w:r>
      <w:r>
        <w:fldChar w:fldCharType="separate"/>
      </w:r>
      <w:r w:rsidR="00054ED4">
        <w:t>105</w:t>
      </w:r>
      <w:r>
        <w:fldChar w:fldCharType="end"/>
      </w:r>
    </w:p>
    <w:p w14:paraId="3F80B332" w14:textId="77777777" w:rsidR="007251F2" w:rsidRDefault="007251F2" w:rsidP="00CC55F9">
      <w:pPr>
        <w:pStyle w:val="TableofFigures"/>
        <w:spacing w:line="240" w:lineRule="auto"/>
        <w:rPr>
          <w:rFonts w:asciiTheme="minorHAnsi" w:eastAsiaTheme="minorEastAsia" w:hAnsiTheme="minorHAnsi" w:cstheme="minorBidi"/>
        </w:rPr>
      </w:pPr>
      <w:r>
        <w:t>Figure 23</w:t>
      </w:r>
      <w:r>
        <w:rPr>
          <w:rFonts w:asciiTheme="minorHAnsi" w:eastAsiaTheme="minorEastAsia" w:hAnsiTheme="minorHAnsi" w:cstheme="minorBidi"/>
        </w:rPr>
        <w:tab/>
      </w:r>
      <w:r>
        <w:t>Forest plot showing the RR of having an adverse cardiac event in patients diagnosed with NIDCM compared with those diagnosed with ICM</w:t>
      </w:r>
      <w:r>
        <w:tab/>
      </w:r>
      <w:r>
        <w:fldChar w:fldCharType="begin"/>
      </w:r>
      <w:r>
        <w:instrText xml:space="preserve"> PAGEREF _Toc451435469 \h </w:instrText>
      </w:r>
      <w:r>
        <w:fldChar w:fldCharType="separate"/>
      </w:r>
      <w:r w:rsidR="00054ED4">
        <w:t>106</w:t>
      </w:r>
      <w:r>
        <w:fldChar w:fldCharType="end"/>
      </w:r>
    </w:p>
    <w:p w14:paraId="476755F0" w14:textId="77777777" w:rsidR="007251F2" w:rsidRDefault="007251F2" w:rsidP="00CC55F9">
      <w:pPr>
        <w:pStyle w:val="TableofFigures"/>
        <w:spacing w:line="240" w:lineRule="auto"/>
        <w:rPr>
          <w:rFonts w:asciiTheme="minorHAnsi" w:eastAsiaTheme="minorEastAsia" w:hAnsiTheme="minorHAnsi" w:cstheme="minorBidi"/>
        </w:rPr>
      </w:pPr>
      <w:r>
        <w:lastRenderedPageBreak/>
        <w:t xml:space="preserve">Figure 24 </w:t>
      </w:r>
      <w:r>
        <w:rPr>
          <w:rFonts w:asciiTheme="minorHAnsi" w:eastAsiaTheme="minorEastAsia" w:hAnsiTheme="minorHAnsi" w:cstheme="minorBidi"/>
        </w:rPr>
        <w:tab/>
      </w:r>
      <w:r>
        <w:t>Summary of the process used to identify and select studies for the assessment of the impact of CMR on clinical management of patients suspected of DCM</w:t>
      </w:r>
      <w:r>
        <w:tab/>
      </w:r>
      <w:r>
        <w:fldChar w:fldCharType="begin"/>
      </w:r>
      <w:r>
        <w:instrText xml:space="preserve"> PAGEREF _Toc451435470 \h </w:instrText>
      </w:r>
      <w:r>
        <w:fldChar w:fldCharType="separate"/>
      </w:r>
      <w:r w:rsidR="00054ED4">
        <w:t>108</w:t>
      </w:r>
      <w:r>
        <w:fldChar w:fldCharType="end"/>
      </w:r>
    </w:p>
    <w:p w14:paraId="6258AAAF" w14:textId="77777777" w:rsidR="007251F2" w:rsidRDefault="007251F2" w:rsidP="00CC55F9">
      <w:pPr>
        <w:pStyle w:val="TableofFigures"/>
        <w:spacing w:line="240" w:lineRule="auto"/>
        <w:rPr>
          <w:rFonts w:asciiTheme="minorHAnsi" w:eastAsiaTheme="minorEastAsia" w:hAnsiTheme="minorHAnsi" w:cstheme="minorBidi"/>
        </w:rPr>
      </w:pPr>
      <w:r>
        <w:t>Figure 25</w:t>
      </w:r>
      <w:r>
        <w:rPr>
          <w:rFonts w:asciiTheme="minorHAnsi" w:eastAsiaTheme="minorEastAsia" w:hAnsiTheme="minorHAnsi" w:cstheme="minorBidi"/>
        </w:rPr>
        <w:tab/>
      </w:r>
      <w:r>
        <w:t>Effectiveness of corticosteroids in treating viral myocarditis at reducing mortality or heart transplants</w:t>
      </w:r>
      <w:r>
        <w:tab/>
      </w:r>
      <w:r>
        <w:fldChar w:fldCharType="begin"/>
      </w:r>
      <w:r>
        <w:instrText xml:space="preserve"> PAGEREF _Toc451435471 \h </w:instrText>
      </w:r>
      <w:r>
        <w:fldChar w:fldCharType="separate"/>
      </w:r>
      <w:r w:rsidR="00054ED4">
        <w:t>126</w:t>
      </w:r>
      <w:r>
        <w:fldChar w:fldCharType="end"/>
      </w:r>
    </w:p>
    <w:p w14:paraId="7E98D4E3" w14:textId="77777777" w:rsidR="007251F2" w:rsidRDefault="007251F2" w:rsidP="00CC55F9">
      <w:pPr>
        <w:pStyle w:val="TableofFigures"/>
        <w:spacing w:line="240" w:lineRule="auto"/>
        <w:rPr>
          <w:rFonts w:asciiTheme="minorHAnsi" w:eastAsiaTheme="minorEastAsia" w:hAnsiTheme="minorHAnsi" w:cstheme="minorBidi"/>
        </w:rPr>
      </w:pPr>
      <w:r>
        <w:t>Figure 26</w:t>
      </w:r>
      <w:r>
        <w:rPr>
          <w:rFonts w:asciiTheme="minorHAnsi" w:eastAsiaTheme="minorEastAsia" w:hAnsiTheme="minorHAnsi" w:cstheme="minorBidi"/>
        </w:rPr>
        <w:tab/>
      </w:r>
      <w:r>
        <w:t>The effectiveness of herbal medicines for reducing number of patients with viral myocarditis who experience premature beats or arrhythmias</w:t>
      </w:r>
      <w:r>
        <w:tab/>
      </w:r>
      <w:r>
        <w:fldChar w:fldCharType="begin"/>
      </w:r>
      <w:r>
        <w:instrText xml:space="preserve"> PAGEREF _Toc451435472 \h </w:instrText>
      </w:r>
      <w:r>
        <w:fldChar w:fldCharType="separate"/>
      </w:r>
      <w:r w:rsidR="00054ED4">
        <w:t>128</w:t>
      </w:r>
      <w:r>
        <w:fldChar w:fldCharType="end"/>
      </w:r>
    </w:p>
    <w:p w14:paraId="482BF616" w14:textId="77777777" w:rsidR="007251F2" w:rsidRDefault="007251F2" w:rsidP="00CC55F9">
      <w:pPr>
        <w:pStyle w:val="TableofFigures"/>
        <w:spacing w:line="240" w:lineRule="auto"/>
        <w:rPr>
          <w:rFonts w:asciiTheme="minorHAnsi" w:eastAsiaTheme="minorEastAsia" w:hAnsiTheme="minorHAnsi" w:cstheme="minorBidi"/>
        </w:rPr>
      </w:pPr>
      <w:r>
        <w:t>Figure 27</w:t>
      </w:r>
      <w:r>
        <w:rPr>
          <w:rFonts w:asciiTheme="minorHAnsi" w:eastAsiaTheme="minorEastAsia" w:hAnsiTheme="minorHAnsi" w:cstheme="minorBidi"/>
        </w:rPr>
        <w:tab/>
      </w:r>
      <w:r>
        <w:t>Effectiveness of ICD plus OMT versus OMT alone at reducing all-cause mortality in patients with ICM and NIDCM</w:t>
      </w:r>
      <w:r>
        <w:tab/>
      </w:r>
      <w:r>
        <w:fldChar w:fldCharType="begin"/>
      </w:r>
      <w:r>
        <w:instrText xml:space="preserve"> PAGEREF _Toc451435473 \h </w:instrText>
      </w:r>
      <w:r>
        <w:fldChar w:fldCharType="separate"/>
      </w:r>
      <w:r w:rsidR="00054ED4">
        <w:t>132</w:t>
      </w:r>
      <w:r>
        <w:fldChar w:fldCharType="end"/>
      </w:r>
    </w:p>
    <w:p w14:paraId="598C79F0" w14:textId="77777777" w:rsidR="007251F2" w:rsidRDefault="007251F2" w:rsidP="00CC55F9">
      <w:pPr>
        <w:pStyle w:val="TableofFigures"/>
        <w:spacing w:line="240" w:lineRule="auto"/>
        <w:rPr>
          <w:rFonts w:asciiTheme="minorHAnsi" w:eastAsiaTheme="minorEastAsia" w:hAnsiTheme="minorHAnsi" w:cstheme="minorBidi"/>
        </w:rPr>
      </w:pPr>
      <w:r>
        <w:t>Figure 28</w:t>
      </w:r>
      <w:r>
        <w:rPr>
          <w:rFonts w:asciiTheme="minorHAnsi" w:eastAsiaTheme="minorEastAsia" w:hAnsiTheme="minorHAnsi" w:cstheme="minorBidi"/>
        </w:rPr>
        <w:tab/>
      </w:r>
      <w:r>
        <w:t>Effectiveness of ICD in addition to OMT versus OMT alone</w:t>
      </w:r>
      <w:r>
        <w:tab/>
      </w:r>
      <w:r>
        <w:fldChar w:fldCharType="begin"/>
      </w:r>
      <w:r>
        <w:instrText xml:space="preserve"> PAGEREF _Toc451435474 \h </w:instrText>
      </w:r>
      <w:r>
        <w:fldChar w:fldCharType="separate"/>
      </w:r>
      <w:r w:rsidR="00054ED4">
        <w:t>134</w:t>
      </w:r>
      <w:r>
        <w:fldChar w:fldCharType="end"/>
      </w:r>
    </w:p>
    <w:p w14:paraId="7D2EE51E" w14:textId="77777777" w:rsidR="007251F2" w:rsidRDefault="007251F2" w:rsidP="00CC55F9">
      <w:pPr>
        <w:pStyle w:val="TableofFigures"/>
        <w:spacing w:line="240" w:lineRule="auto"/>
        <w:rPr>
          <w:rFonts w:asciiTheme="minorHAnsi" w:eastAsiaTheme="minorEastAsia" w:hAnsiTheme="minorHAnsi" w:cstheme="minorBidi"/>
        </w:rPr>
      </w:pPr>
      <w:r>
        <w:t>Figure 29</w:t>
      </w:r>
      <w:r>
        <w:rPr>
          <w:rFonts w:asciiTheme="minorHAnsi" w:eastAsiaTheme="minorEastAsia" w:hAnsiTheme="minorHAnsi" w:cstheme="minorBidi"/>
        </w:rPr>
        <w:tab/>
      </w:r>
      <w:r>
        <w:t>Estimated risk of serious AEs for different imaging procedures used for investigating whether the patient has DCM (after unclear echocardiography)</w:t>
      </w:r>
      <w:r>
        <w:tab/>
      </w:r>
      <w:r>
        <w:fldChar w:fldCharType="begin"/>
      </w:r>
      <w:r>
        <w:instrText xml:space="preserve"> PAGEREF _Toc451435475 \h </w:instrText>
      </w:r>
      <w:r>
        <w:fldChar w:fldCharType="separate"/>
      </w:r>
      <w:r w:rsidR="00054ED4">
        <w:t>139</w:t>
      </w:r>
      <w:r>
        <w:fldChar w:fldCharType="end"/>
      </w:r>
    </w:p>
    <w:p w14:paraId="0B18B68C" w14:textId="77777777" w:rsidR="007251F2" w:rsidRDefault="007251F2" w:rsidP="00CC55F9">
      <w:pPr>
        <w:pStyle w:val="TableofFigures"/>
        <w:spacing w:line="240" w:lineRule="auto"/>
        <w:rPr>
          <w:rFonts w:asciiTheme="minorHAnsi" w:eastAsiaTheme="minorEastAsia" w:hAnsiTheme="minorHAnsi" w:cstheme="minorBidi"/>
        </w:rPr>
      </w:pPr>
      <w:r>
        <w:t>Figure 30</w:t>
      </w:r>
      <w:r>
        <w:rPr>
          <w:rFonts w:asciiTheme="minorHAnsi" w:eastAsiaTheme="minorEastAsia" w:hAnsiTheme="minorHAnsi" w:cstheme="minorBidi"/>
        </w:rPr>
        <w:tab/>
      </w:r>
      <w:r>
        <w:t>Estimated acute and long-term mortality rates for different imaging procedures used for investigating whether the patient has DCM (after unclear echocardiography)</w:t>
      </w:r>
      <w:r>
        <w:tab/>
      </w:r>
      <w:r>
        <w:fldChar w:fldCharType="begin"/>
      </w:r>
      <w:r>
        <w:instrText xml:space="preserve"> PAGEREF _Toc451435476 \h </w:instrText>
      </w:r>
      <w:r>
        <w:fldChar w:fldCharType="separate"/>
      </w:r>
      <w:r w:rsidR="00054ED4">
        <w:t>139</w:t>
      </w:r>
      <w:r>
        <w:fldChar w:fldCharType="end"/>
      </w:r>
    </w:p>
    <w:p w14:paraId="4E1FDC12" w14:textId="77777777" w:rsidR="007251F2" w:rsidRDefault="007251F2" w:rsidP="00CC55F9">
      <w:pPr>
        <w:pStyle w:val="TableofFigures"/>
        <w:spacing w:line="240" w:lineRule="auto"/>
        <w:rPr>
          <w:rFonts w:asciiTheme="minorHAnsi" w:eastAsiaTheme="minorEastAsia" w:hAnsiTheme="minorHAnsi" w:cstheme="minorBidi"/>
        </w:rPr>
      </w:pPr>
      <w:r>
        <w:t>Figure 31</w:t>
      </w:r>
      <w:r>
        <w:rPr>
          <w:rFonts w:asciiTheme="minorHAnsi" w:eastAsiaTheme="minorEastAsia" w:hAnsiTheme="minorHAnsi" w:cstheme="minorBidi"/>
        </w:rPr>
        <w:tab/>
      </w:r>
      <w:r>
        <w:t>Estimated risk of serious AEs for different imaging procedures used for investigating the aetiology of NIDCM</w:t>
      </w:r>
      <w:r>
        <w:tab/>
      </w:r>
      <w:r>
        <w:fldChar w:fldCharType="begin"/>
      </w:r>
      <w:r>
        <w:instrText xml:space="preserve"> PAGEREF _Toc451435477 \h </w:instrText>
      </w:r>
      <w:r>
        <w:fldChar w:fldCharType="separate"/>
      </w:r>
      <w:r w:rsidR="00054ED4">
        <w:t>140</w:t>
      </w:r>
      <w:r>
        <w:fldChar w:fldCharType="end"/>
      </w:r>
    </w:p>
    <w:p w14:paraId="374A75C2" w14:textId="77777777" w:rsidR="007251F2" w:rsidRDefault="007251F2" w:rsidP="00CC55F9">
      <w:pPr>
        <w:pStyle w:val="TableofFigures"/>
        <w:spacing w:line="240" w:lineRule="auto"/>
        <w:rPr>
          <w:rFonts w:asciiTheme="minorHAnsi" w:eastAsiaTheme="minorEastAsia" w:hAnsiTheme="minorHAnsi" w:cstheme="minorBidi"/>
        </w:rPr>
      </w:pPr>
      <w:r>
        <w:t>Figure 32</w:t>
      </w:r>
      <w:r>
        <w:rPr>
          <w:rFonts w:asciiTheme="minorHAnsi" w:eastAsiaTheme="minorEastAsia" w:hAnsiTheme="minorHAnsi" w:cstheme="minorBidi"/>
        </w:rPr>
        <w:tab/>
      </w:r>
      <w:r>
        <w:t>Estimated acute and long-term mortality rates for different imaging procedures used for investigating the aetiology of NIDCM</w:t>
      </w:r>
      <w:r>
        <w:tab/>
      </w:r>
      <w:r>
        <w:fldChar w:fldCharType="begin"/>
      </w:r>
      <w:r>
        <w:instrText xml:space="preserve"> PAGEREF _Toc451435478 \h </w:instrText>
      </w:r>
      <w:r>
        <w:fldChar w:fldCharType="separate"/>
      </w:r>
      <w:r w:rsidR="00054ED4">
        <w:t>140</w:t>
      </w:r>
      <w:r>
        <w:fldChar w:fldCharType="end"/>
      </w:r>
    </w:p>
    <w:p w14:paraId="3E945770" w14:textId="77777777" w:rsidR="007251F2" w:rsidRDefault="007251F2" w:rsidP="00CC55F9">
      <w:pPr>
        <w:pStyle w:val="TableofFigures"/>
        <w:spacing w:line="240" w:lineRule="auto"/>
        <w:rPr>
          <w:rFonts w:asciiTheme="minorHAnsi" w:eastAsiaTheme="minorEastAsia" w:hAnsiTheme="minorHAnsi" w:cstheme="minorBidi"/>
        </w:rPr>
      </w:pPr>
      <w:r>
        <w:t>Figure 33</w:t>
      </w:r>
      <w:r>
        <w:rPr>
          <w:rFonts w:asciiTheme="minorHAnsi" w:eastAsiaTheme="minorEastAsia" w:hAnsiTheme="minorHAnsi" w:cstheme="minorBidi"/>
        </w:rPr>
        <w:tab/>
      </w:r>
      <w:r>
        <w:t>Estimated risk of serious AEs for different imaging procedures used for investigating whether the patient has ischaemia</w:t>
      </w:r>
      <w:r>
        <w:tab/>
      </w:r>
      <w:r>
        <w:fldChar w:fldCharType="begin"/>
      </w:r>
      <w:r>
        <w:instrText xml:space="preserve"> PAGEREF _Toc451435479 \h </w:instrText>
      </w:r>
      <w:r>
        <w:fldChar w:fldCharType="separate"/>
      </w:r>
      <w:r w:rsidR="00054ED4">
        <w:t>141</w:t>
      </w:r>
      <w:r>
        <w:fldChar w:fldCharType="end"/>
      </w:r>
    </w:p>
    <w:p w14:paraId="5BEB33DC" w14:textId="77777777" w:rsidR="007251F2" w:rsidRDefault="007251F2" w:rsidP="00CC55F9">
      <w:pPr>
        <w:pStyle w:val="TableofFigures"/>
        <w:spacing w:line="240" w:lineRule="auto"/>
        <w:rPr>
          <w:rFonts w:asciiTheme="minorHAnsi" w:eastAsiaTheme="minorEastAsia" w:hAnsiTheme="minorHAnsi" w:cstheme="minorBidi"/>
        </w:rPr>
      </w:pPr>
      <w:r>
        <w:t>Figure 34</w:t>
      </w:r>
      <w:r>
        <w:rPr>
          <w:rFonts w:asciiTheme="minorHAnsi" w:eastAsiaTheme="minorEastAsia" w:hAnsiTheme="minorHAnsi" w:cstheme="minorBidi"/>
        </w:rPr>
        <w:tab/>
      </w:r>
      <w:r>
        <w:t>Estimated acute and long-term mortality rates for different imaging procedures used for investigating whether the patient has ischaemia</w:t>
      </w:r>
      <w:r>
        <w:tab/>
      </w:r>
      <w:r>
        <w:fldChar w:fldCharType="begin"/>
      </w:r>
      <w:r>
        <w:instrText xml:space="preserve"> PAGEREF _Toc451435480 \h </w:instrText>
      </w:r>
      <w:r>
        <w:fldChar w:fldCharType="separate"/>
      </w:r>
      <w:r w:rsidR="00054ED4">
        <w:t>142</w:t>
      </w:r>
      <w:r>
        <w:fldChar w:fldCharType="end"/>
      </w:r>
    </w:p>
    <w:p w14:paraId="69316665" w14:textId="77777777" w:rsidR="007251F2" w:rsidRDefault="007251F2" w:rsidP="00CC55F9">
      <w:pPr>
        <w:pStyle w:val="TableofFigures"/>
        <w:spacing w:line="240" w:lineRule="auto"/>
        <w:rPr>
          <w:rFonts w:asciiTheme="minorHAnsi" w:eastAsiaTheme="minorEastAsia" w:hAnsiTheme="minorHAnsi" w:cstheme="minorBidi"/>
        </w:rPr>
      </w:pPr>
      <w:r>
        <w:t>Figure 35</w:t>
      </w:r>
      <w:r>
        <w:rPr>
          <w:rFonts w:asciiTheme="minorHAnsi" w:eastAsiaTheme="minorEastAsia" w:hAnsiTheme="minorHAnsi" w:cstheme="minorBidi"/>
        </w:rPr>
        <w:tab/>
      </w:r>
      <w:r>
        <w:t>Decision analytic structure of the cost-effectiveness analysis for change in clinical management</w:t>
      </w:r>
      <w:r>
        <w:tab/>
      </w:r>
      <w:r>
        <w:fldChar w:fldCharType="begin"/>
      </w:r>
      <w:r>
        <w:instrText xml:space="preserve"> PAGEREF _Toc451435481 \h </w:instrText>
      </w:r>
      <w:r>
        <w:fldChar w:fldCharType="separate"/>
      </w:r>
      <w:r w:rsidR="00054ED4">
        <w:t>169</w:t>
      </w:r>
      <w:r>
        <w:fldChar w:fldCharType="end"/>
      </w:r>
    </w:p>
    <w:p w14:paraId="27322AFA" w14:textId="77777777" w:rsidR="007251F2" w:rsidRDefault="007251F2" w:rsidP="00CC55F9">
      <w:pPr>
        <w:pStyle w:val="TableofFigures"/>
        <w:spacing w:line="240" w:lineRule="auto"/>
        <w:rPr>
          <w:rFonts w:asciiTheme="minorHAnsi" w:eastAsiaTheme="minorEastAsia" w:hAnsiTheme="minorHAnsi" w:cstheme="minorBidi"/>
        </w:rPr>
      </w:pPr>
      <w:r>
        <w:t>Figure 36</w:t>
      </w:r>
      <w:r>
        <w:rPr>
          <w:rFonts w:asciiTheme="minorHAnsi" w:eastAsiaTheme="minorEastAsia" w:hAnsiTheme="minorHAnsi" w:cstheme="minorBidi"/>
        </w:rPr>
        <w:tab/>
      </w:r>
      <w:r>
        <w:t>Decision analytic structure of the cost-effectiveness analysis, CMR vs ICA</w:t>
      </w:r>
      <w:r>
        <w:tab/>
      </w:r>
      <w:r>
        <w:fldChar w:fldCharType="begin"/>
      </w:r>
      <w:r>
        <w:instrText xml:space="preserve"> PAGEREF _Toc451435482 \h </w:instrText>
      </w:r>
      <w:r>
        <w:fldChar w:fldCharType="separate"/>
      </w:r>
      <w:r w:rsidR="00054ED4">
        <w:t>178</w:t>
      </w:r>
      <w:r>
        <w:fldChar w:fldCharType="end"/>
      </w:r>
    </w:p>
    <w:p w14:paraId="4AA77D14" w14:textId="77777777" w:rsidR="007251F2" w:rsidRDefault="007251F2" w:rsidP="00CC55F9">
      <w:pPr>
        <w:pStyle w:val="TableofFigures"/>
        <w:spacing w:line="240" w:lineRule="auto"/>
        <w:rPr>
          <w:rFonts w:asciiTheme="minorHAnsi" w:eastAsiaTheme="minorEastAsia" w:hAnsiTheme="minorHAnsi" w:cstheme="minorBidi"/>
        </w:rPr>
      </w:pPr>
      <w:r>
        <w:t>Figure 37</w:t>
      </w:r>
      <w:r>
        <w:rPr>
          <w:rFonts w:asciiTheme="minorHAnsi" w:eastAsiaTheme="minorEastAsia" w:hAnsiTheme="minorHAnsi" w:cstheme="minorBidi"/>
        </w:rPr>
        <w:tab/>
      </w:r>
      <w:r>
        <w:t>Tornado sensitivity analyses, comparison with ICA</w:t>
      </w:r>
      <w:r>
        <w:tab/>
      </w:r>
      <w:r>
        <w:fldChar w:fldCharType="begin"/>
      </w:r>
      <w:r>
        <w:instrText xml:space="preserve"> PAGEREF _Toc451435483 \h </w:instrText>
      </w:r>
      <w:r>
        <w:fldChar w:fldCharType="separate"/>
      </w:r>
      <w:r w:rsidR="00054ED4">
        <w:t>183</w:t>
      </w:r>
      <w:r>
        <w:fldChar w:fldCharType="end"/>
      </w:r>
    </w:p>
    <w:p w14:paraId="16765451" w14:textId="77777777" w:rsidR="007251F2" w:rsidRDefault="007251F2" w:rsidP="00CC55F9">
      <w:pPr>
        <w:pStyle w:val="TableofFigures"/>
        <w:spacing w:line="240" w:lineRule="auto"/>
        <w:rPr>
          <w:rFonts w:asciiTheme="minorHAnsi" w:eastAsiaTheme="minorEastAsia" w:hAnsiTheme="minorHAnsi" w:cstheme="minorBidi"/>
        </w:rPr>
      </w:pPr>
      <w:r>
        <w:t>Figure 38</w:t>
      </w:r>
      <w:r>
        <w:rPr>
          <w:rFonts w:asciiTheme="minorHAnsi" w:eastAsiaTheme="minorEastAsia" w:hAnsiTheme="minorHAnsi" w:cstheme="minorBidi"/>
        </w:rPr>
        <w:tab/>
      </w:r>
      <w:r>
        <w:t>Forest plot showing the HRs for the presence of LGE for different health outcomes</w:t>
      </w:r>
      <w:r>
        <w:tab/>
      </w:r>
      <w:r>
        <w:fldChar w:fldCharType="begin"/>
      </w:r>
      <w:r>
        <w:instrText xml:space="preserve"> PAGEREF _Toc451435484 \h </w:instrText>
      </w:r>
      <w:r>
        <w:fldChar w:fldCharType="separate"/>
      </w:r>
      <w:r w:rsidR="00054ED4">
        <w:t>289</w:t>
      </w:r>
      <w:r>
        <w:fldChar w:fldCharType="end"/>
      </w:r>
    </w:p>
    <w:p w14:paraId="548D580E" w14:textId="77777777" w:rsidR="007251F2" w:rsidRDefault="007251F2" w:rsidP="00CC55F9">
      <w:pPr>
        <w:pStyle w:val="TableofFigures"/>
        <w:spacing w:line="240" w:lineRule="auto"/>
        <w:rPr>
          <w:rFonts w:asciiTheme="minorHAnsi" w:eastAsiaTheme="minorEastAsia" w:hAnsiTheme="minorHAnsi" w:cstheme="minorBidi"/>
        </w:rPr>
      </w:pPr>
      <w:r>
        <w:t>Figure 39</w:t>
      </w:r>
      <w:r>
        <w:rPr>
          <w:rFonts w:asciiTheme="minorHAnsi" w:eastAsiaTheme="minorEastAsia" w:hAnsiTheme="minorHAnsi" w:cstheme="minorBidi"/>
        </w:rPr>
        <w:tab/>
      </w:r>
      <w:r>
        <w:t>All-cause mortality after revascularisation versus OMT</w:t>
      </w:r>
      <w:r>
        <w:tab/>
      </w:r>
      <w:r>
        <w:fldChar w:fldCharType="begin"/>
      </w:r>
      <w:r>
        <w:instrText xml:space="preserve"> PAGEREF _Toc451435485 \h </w:instrText>
      </w:r>
      <w:r>
        <w:fldChar w:fldCharType="separate"/>
      </w:r>
      <w:r w:rsidR="00054ED4">
        <w:t>290</w:t>
      </w:r>
      <w:r>
        <w:fldChar w:fldCharType="end"/>
      </w:r>
    </w:p>
    <w:p w14:paraId="4D77E681" w14:textId="77777777" w:rsidR="007251F2" w:rsidRDefault="007251F2" w:rsidP="00CC55F9">
      <w:pPr>
        <w:pStyle w:val="TableofFigures"/>
        <w:spacing w:line="240" w:lineRule="auto"/>
        <w:rPr>
          <w:rFonts w:asciiTheme="minorHAnsi" w:eastAsiaTheme="minorEastAsia" w:hAnsiTheme="minorHAnsi" w:cstheme="minorBidi"/>
        </w:rPr>
      </w:pPr>
      <w:r>
        <w:t>Figure 40</w:t>
      </w:r>
      <w:r>
        <w:rPr>
          <w:rFonts w:asciiTheme="minorHAnsi" w:eastAsiaTheme="minorEastAsia" w:hAnsiTheme="minorHAnsi" w:cstheme="minorBidi"/>
        </w:rPr>
        <w:tab/>
      </w:r>
      <w:r>
        <w:t>Myocardial infarctions after revascularisation versus OMT</w:t>
      </w:r>
      <w:r>
        <w:tab/>
      </w:r>
      <w:r>
        <w:fldChar w:fldCharType="begin"/>
      </w:r>
      <w:r>
        <w:instrText xml:space="preserve"> PAGEREF _Toc451435486 \h </w:instrText>
      </w:r>
      <w:r>
        <w:fldChar w:fldCharType="separate"/>
      </w:r>
      <w:r w:rsidR="00054ED4">
        <w:t>291</w:t>
      </w:r>
      <w:r>
        <w:fldChar w:fldCharType="end"/>
      </w:r>
    </w:p>
    <w:p w14:paraId="0BD2BF67" w14:textId="77777777" w:rsidR="007251F2" w:rsidRDefault="007251F2" w:rsidP="00CC55F9">
      <w:pPr>
        <w:pStyle w:val="TableofFigures"/>
        <w:spacing w:line="240" w:lineRule="auto"/>
        <w:rPr>
          <w:rFonts w:asciiTheme="minorHAnsi" w:eastAsiaTheme="minorEastAsia" w:hAnsiTheme="minorHAnsi" w:cstheme="minorBidi"/>
        </w:rPr>
      </w:pPr>
      <w:r>
        <w:t>Figure 41</w:t>
      </w:r>
      <w:r>
        <w:rPr>
          <w:rFonts w:asciiTheme="minorHAnsi" w:eastAsiaTheme="minorEastAsia" w:hAnsiTheme="minorHAnsi" w:cstheme="minorBidi"/>
        </w:rPr>
        <w:tab/>
      </w:r>
      <w:r>
        <w:t>All-cause mortality from ICD plus OMT vs OMT alone</w:t>
      </w:r>
      <w:r>
        <w:tab/>
      </w:r>
      <w:r>
        <w:fldChar w:fldCharType="begin"/>
      </w:r>
      <w:r>
        <w:instrText xml:space="preserve"> PAGEREF _Toc451435487 \h </w:instrText>
      </w:r>
      <w:r>
        <w:fldChar w:fldCharType="separate"/>
      </w:r>
      <w:r w:rsidR="00054ED4">
        <w:t>292</w:t>
      </w:r>
      <w:r>
        <w:fldChar w:fldCharType="end"/>
      </w:r>
    </w:p>
    <w:p w14:paraId="2F059268" w14:textId="77777777" w:rsidR="007251F2" w:rsidRDefault="007251F2" w:rsidP="00CC55F9">
      <w:pPr>
        <w:pStyle w:val="TableofFigures"/>
        <w:spacing w:line="240" w:lineRule="auto"/>
        <w:rPr>
          <w:rFonts w:asciiTheme="minorHAnsi" w:eastAsiaTheme="minorEastAsia" w:hAnsiTheme="minorHAnsi" w:cstheme="minorBidi"/>
        </w:rPr>
      </w:pPr>
      <w:r>
        <w:t>Figure 42</w:t>
      </w:r>
      <w:r>
        <w:rPr>
          <w:rFonts w:asciiTheme="minorHAnsi" w:eastAsiaTheme="minorEastAsia" w:hAnsiTheme="minorHAnsi" w:cstheme="minorBidi"/>
        </w:rPr>
        <w:tab/>
      </w:r>
      <w:r>
        <w:t>Cardiac deaths after ICD plus OMT vs OMT alone</w:t>
      </w:r>
      <w:r>
        <w:tab/>
      </w:r>
      <w:r>
        <w:fldChar w:fldCharType="begin"/>
      </w:r>
      <w:r>
        <w:instrText xml:space="preserve"> PAGEREF _Toc451435488 \h </w:instrText>
      </w:r>
      <w:r>
        <w:fldChar w:fldCharType="separate"/>
      </w:r>
      <w:r w:rsidR="00054ED4">
        <w:t>293</w:t>
      </w:r>
      <w:r>
        <w:fldChar w:fldCharType="end"/>
      </w:r>
    </w:p>
    <w:p w14:paraId="03CE7E45" w14:textId="77777777" w:rsidR="007251F2" w:rsidRDefault="007251F2" w:rsidP="00CC55F9">
      <w:pPr>
        <w:pStyle w:val="TableofFigures"/>
        <w:spacing w:line="240" w:lineRule="auto"/>
        <w:rPr>
          <w:rFonts w:asciiTheme="minorHAnsi" w:eastAsiaTheme="minorEastAsia" w:hAnsiTheme="minorHAnsi" w:cstheme="minorBidi"/>
        </w:rPr>
      </w:pPr>
      <w:r>
        <w:t>Figure 43</w:t>
      </w:r>
      <w:r>
        <w:rPr>
          <w:rFonts w:asciiTheme="minorHAnsi" w:eastAsiaTheme="minorEastAsia" w:hAnsiTheme="minorHAnsi" w:cstheme="minorBidi"/>
        </w:rPr>
        <w:tab/>
      </w:r>
      <w:r>
        <w:t>Cardiac transplantation after ICD plus OMT vs OMT alone</w:t>
      </w:r>
      <w:r>
        <w:tab/>
      </w:r>
      <w:r>
        <w:fldChar w:fldCharType="begin"/>
      </w:r>
      <w:r>
        <w:instrText xml:space="preserve"> PAGEREF _Toc451435489 \h </w:instrText>
      </w:r>
      <w:r>
        <w:fldChar w:fldCharType="separate"/>
      </w:r>
      <w:r w:rsidR="00054ED4">
        <w:t>294</w:t>
      </w:r>
      <w:r>
        <w:fldChar w:fldCharType="end"/>
      </w:r>
    </w:p>
    <w:p w14:paraId="23CED26B" w14:textId="77777777" w:rsidR="007251F2" w:rsidRDefault="007251F2" w:rsidP="00CC55F9">
      <w:pPr>
        <w:pStyle w:val="TableofFigures"/>
        <w:spacing w:line="240" w:lineRule="auto"/>
        <w:rPr>
          <w:rFonts w:asciiTheme="minorHAnsi" w:eastAsiaTheme="minorEastAsia" w:hAnsiTheme="minorHAnsi" w:cstheme="minorBidi"/>
        </w:rPr>
      </w:pPr>
      <w:r>
        <w:t>Figure 44</w:t>
      </w:r>
      <w:r>
        <w:rPr>
          <w:rFonts w:asciiTheme="minorHAnsi" w:eastAsiaTheme="minorEastAsia" w:hAnsiTheme="minorHAnsi" w:cstheme="minorBidi"/>
        </w:rPr>
        <w:tab/>
      </w:r>
      <w:r>
        <w:t xml:space="preserve"> Sudden cardiac deaths after ICD plus OMT vs OMT alone</w:t>
      </w:r>
      <w:r>
        <w:tab/>
      </w:r>
      <w:r>
        <w:fldChar w:fldCharType="begin"/>
      </w:r>
      <w:r>
        <w:instrText xml:space="preserve"> PAGEREF _Toc451435490 \h </w:instrText>
      </w:r>
      <w:r>
        <w:fldChar w:fldCharType="separate"/>
      </w:r>
      <w:r w:rsidR="00054ED4">
        <w:t>295</w:t>
      </w:r>
      <w:r>
        <w:fldChar w:fldCharType="end"/>
      </w:r>
    </w:p>
    <w:p w14:paraId="506B12EF" w14:textId="77777777" w:rsidR="007251F2" w:rsidRDefault="007251F2" w:rsidP="00CC55F9">
      <w:pPr>
        <w:pStyle w:val="TableofFigures"/>
        <w:spacing w:line="240" w:lineRule="auto"/>
        <w:rPr>
          <w:rFonts w:asciiTheme="minorHAnsi" w:eastAsiaTheme="minorEastAsia" w:hAnsiTheme="minorHAnsi" w:cstheme="minorBidi"/>
        </w:rPr>
      </w:pPr>
      <w:r>
        <w:t>Figure 45</w:t>
      </w:r>
      <w:r>
        <w:rPr>
          <w:rFonts w:asciiTheme="minorHAnsi" w:eastAsiaTheme="minorEastAsia" w:hAnsiTheme="minorHAnsi" w:cstheme="minorBidi"/>
        </w:rPr>
        <w:tab/>
      </w:r>
      <w:r>
        <w:t>Syncope after ICD plus OMT vs OMT alone</w:t>
      </w:r>
      <w:r>
        <w:tab/>
      </w:r>
      <w:r>
        <w:fldChar w:fldCharType="begin"/>
      </w:r>
      <w:r>
        <w:instrText xml:space="preserve"> PAGEREF _Toc451435491 \h </w:instrText>
      </w:r>
      <w:r>
        <w:fldChar w:fldCharType="separate"/>
      </w:r>
      <w:r w:rsidR="00054ED4">
        <w:t>296</w:t>
      </w:r>
      <w:r>
        <w:fldChar w:fldCharType="end"/>
      </w:r>
    </w:p>
    <w:p w14:paraId="36C24047" w14:textId="77777777" w:rsidR="007251F2" w:rsidRDefault="007251F2" w:rsidP="00CC55F9">
      <w:pPr>
        <w:pStyle w:val="TableofFigures"/>
        <w:spacing w:line="240" w:lineRule="auto"/>
        <w:rPr>
          <w:rFonts w:asciiTheme="minorHAnsi" w:eastAsiaTheme="minorEastAsia" w:hAnsiTheme="minorHAnsi" w:cstheme="minorBidi"/>
        </w:rPr>
      </w:pPr>
      <w:r>
        <w:t>Figure 46</w:t>
      </w:r>
      <w:r>
        <w:rPr>
          <w:rFonts w:asciiTheme="minorHAnsi" w:eastAsiaTheme="minorEastAsia" w:hAnsiTheme="minorHAnsi" w:cstheme="minorBidi"/>
        </w:rPr>
        <w:tab/>
      </w:r>
      <w:r>
        <w:t>Summary of pooled RRs for different health outcomes</w:t>
      </w:r>
      <w:r>
        <w:tab/>
      </w:r>
      <w:r>
        <w:fldChar w:fldCharType="begin"/>
      </w:r>
      <w:r>
        <w:instrText xml:space="preserve"> PAGEREF _Toc451435492 \h </w:instrText>
      </w:r>
      <w:r>
        <w:fldChar w:fldCharType="separate"/>
      </w:r>
      <w:r w:rsidR="00054ED4">
        <w:t>297</w:t>
      </w:r>
      <w:r>
        <w:fldChar w:fldCharType="end"/>
      </w:r>
    </w:p>
    <w:p w14:paraId="5528BB62" w14:textId="77777777" w:rsidR="007251F2" w:rsidRDefault="007251F2" w:rsidP="00CC55F9">
      <w:pPr>
        <w:pStyle w:val="TableofFigures"/>
        <w:spacing w:line="240" w:lineRule="auto"/>
        <w:rPr>
          <w:rFonts w:asciiTheme="minorHAnsi" w:eastAsiaTheme="minorEastAsia" w:hAnsiTheme="minorHAnsi" w:cstheme="minorBidi"/>
        </w:rPr>
      </w:pPr>
      <w:r>
        <w:lastRenderedPageBreak/>
        <w:t>Figure 47</w:t>
      </w:r>
      <w:r>
        <w:rPr>
          <w:rFonts w:asciiTheme="minorHAnsi" w:eastAsiaTheme="minorEastAsia" w:hAnsiTheme="minorHAnsi" w:cstheme="minorBidi"/>
        </w:rPr>
        <w:tab/>
      </w:r>
      <w:r>
        <w:t>Current clinical management algorithm for asymptomatic family members with dilated LV and systolic dysfunction on Echo</w:t>
      </w:r>
      <w:r>
        <w:tab/>
      </w:r>
      <w:r>
        <w:fldChar w:fldCharType="begin"/>
      </w:r>
      <w:r>
        <w:instrText xml:space="preserve"> PAGEREF _Toc451435493 \h </w:instrText>
      </w:r>
      <w:r>
        <w:fldChar w:fldCharType="separate"/>
      </w:r>
      <w:r w:rsidR="00054ED4">
        <w:t>301</w:t>
      </w:r>
      <w:r>
        <w:fldChar w:fldCharType="end"/>
      </w:r>
    </w:p>
    <w:p w14:paraId="16A98568" w14:textId="77777777" w:rsidR="007251F2" w:rsidRDefault="007251F2" w:rsidP="00CC55F9">
      <w:pPr>
        <w:pStyle w:val="TableofFigures"/>
        <w:spacing w:line="240" w:lineRule="auto"/>
        <w:rPr>
          <w:rFonts w:asciiTheme="minorHAnsi" w:eastAsiaTheme="minorEastAsia" w:hAnsiTheme="minorHAnsi" w:cstheme="minorBidi"/>
        </w:rPr>
      </w:pPr>
      <w:r>
        <w:t>Figure 48</w:t>
      </w:r>
      <w:r>
        <w:rPr>
          <w:rFonts w:asciiTheme="minorHAnsi" w:eastAsiaTheme="minorEastAsia" w:hAnsiTheme="minorHAnsi" w:cstheme="minorBidi"/>
        </w:rPr>
        <w:tab/>
      </w:r>
      <w:r>
        <w:t>Proposed clinical management algorithm for asymptomatic family members with dilated LV and systolic dysfunction</w:t>
      </w:r>
      <w:r>
        <w:tab/>
      </w:r>
      <w:r>
        <w:fldChar w:fldCharType="begin"/>
      </w:r>
      <w:r>
        <w:instrText xml:space="preserve"> PAGEREF _Toc451435494 \h </w:instrText>
      </w:r>
      <w:r>
        <w:fldChar w:fldCharType="separate"/>
      </w:r>
      <w:r w:rsidR="00054ED4">
        <w:t>302</w:t>
      </w:r>
      <w:r>
        <w:fldChar w:fldCharType="end"/>
      </w:r>
    </w:p>
    <w:p w14:paraId="006FA25A" w14:textId="77777777" w:rsidR="007251F2" w:rsidRDefault="007251F2" w:rsidP="00CC55F9">
      <w:pPr>
        <w:pStyle w:val="TableofFigures"/>
        <w:spacing w:line="240" w:lineRule="auto"/>
        <w:rPr>
          <w:rFonts w:asciiTheme="minorHAnsi" w:eastAsiaTheme="minorEastAsia" w:hAnsiTheme="minorHAnsi" w:cstheme="minorBidi"/>
        </w:rPr>
      </w:pPr>
      <w:r>
        <w:t>Figure 49</w:t>
      </w:r>
      <w:r>
        <w:rPr>
          <w:rFonts w:asciiTheme="minorHAnsi" w:eastAsiaTheme="minorEastAsia" w:hAnsiTheme="minorHAnsi" w:cstheme="minorBidi"/>
        </w:rPr>
        <w:tab/>
      </w:r>
      <w:r>
        <w:t>Current clinical management algorithm in asymptomatic family members, who have an indeterminate result on Echo</w:t>
      </w:r>
      <w:r>
        <w:tab/>
      </w:r>
      <w:r>
        <w:fldChar w:fldCharType="begin"/>
      </w:r>
      <w:r>
        <w:instrText xml:space="preserve"> PAGEREF _Toc451435495 \h </w:instrText>
      </w:r>
      <w:r>
        <w:fldChar w:fldCharType="separate"/>
      </w:r>
      <w:r w:rsidR="00054ED4">
        <w:t>303</w:t>
      </w:r>
      <w:r>
        <w:fldChar w:fldCharType="end"/>
      </w:r>
    </w:p>
    <w:p w14:paraId="55B419AE" w14:textId="77777777" w:rsidR="007251F2" w:rsidRDefault="007251F2" w:rsidP="00CC55F9">
      <w:pPr>
        <w:pStyle w:val="TableofFigures"/>
        <w:spacing w:line="240" w:lineRule="auto"/>
        <w:rPr>
          <w:rFonts w:asciiTheme="minorHAnsi" w:eastAsiaTheme="minorEastAsia" w:hAnsiTheme="minorHAnsi" w:cstheme="minorBidi"/>
        </w:rPr>
      </w:pPr>
      <w:r>
        <w:t>Figure 50</w:t>
      </w:r>
      <w:r>
        <w:rPr>
          <w:rFonts w:asciiTheme="minorHAnsi" w:eastAsiaTheme="minorEastAsia" w:hAnsiTheme="minorHAnsi" w:cstheme="minorBidi"/>
        </w:rPr>
        <w:tab/>
      </w:r>
      <w:r>
        <w:t>Proposed clinical management algorithm for asymptomatic family members with an indeterminate result on Echo</w:t>
      </w:r>
      <w:r>
        <w:tab/>
      </w:r>
      <w:r>
        <w:fldChar w:fldCharType="begin"/>
      </w:r>
      <w:r>
        <w:instrText xml:space="preserve"> PAGEREF _Toc451435496 \h </w:instrText>
      </w:r>
      <w:r>
        <w:fldChar w:fldCharType="separate"/>
      </w:r>
      <w:r w:rsidR="00054ED4">
        <w:t>304</w:t>
      </w:r>
      <w:r>
        <w:fldChar w:fldCharType="end"/>
      </w:r>
    </w:p>
    <w:p w14:paraId="4AA4980E" w14:textId="738E1EC7" w:rsidR="00452F32" w:rsidRPr="00183E4D" w:rsidRDefault="0088027A" w:rsidP="00CC55F9">
      <w:pPr>
        <w:pStyle w:val="TableofFigures"/>
        <w:spacing w:line="240" w:lineRule="auto"/>
        <w:ind w:left="0" w:firstLine="0"/>
      </w:pPr>
      <w:r w:rsidRPr="00006055">
        <w:fldChar w:fldCharType="end"/>
      </w:r>
    </w:p>
    <w:p w14:paraId="11780FFB" w14:textId="3BBE2ED0" w:rsidR="00842EAE" w:rsidRPr="00183E4D" w:rsidRDefault="00842EAE" w:rsidP="004C79C1">
      <w:pPr>
        <w:pStyle w:val="Heading1"/>
        <w:spacing w:after="120" w:line="240" w:lineRule="auto"/>
        <w:jc w:val="both"/>
      </w:pPr>
      <w:bookmarkStart w:id="30" w:name="_Toc236559502"/>
      <w:bookmarkStart w:id="31" w:name="_Toc379118056"/>
      <w:bookmarkStart w:id="32" w:name="_Toc381796428"/>
      <w:bookmarkStart w:id="33" w:name="_Toc432677314"/>
      <w:bookmarkStart w:id="34" w:name="_Toc451501256"/>
      <w:r w:rsidRPr="00183E4D">
        <w:lastRenderedPageBreak/>
        <w:t>Executive Summary</w:t>
      </w:r>
      <w:bookmarkEnd w:id="30"/>
      <w:bookmarkEnd w:id="31"/>
      <w:bookmarkEnd w:id="32"/>
      <w:bookmarkEnd w:id="33"/>
      <w:bookmarkEnd w:id="34"/>
    </w:p>
    <w:tbl>
      <w:tblPr>
        <w:tblStyle w:val="TableGrid"/>
        <w:tblW w:w="0" w:type="auto"/>
        <w:tblLook w:val="04A0" w:firstRow="1" w:lastRow="0" w:firstColumn="1" w:lastColumn="0" w:noHBand="0" w:noVBand="1"/>
        <w:tblCaption w:val="Key issues for ESC and MSAC consideration"/>
        <w:tblDescription w:val="The vast majority of evidence regarding CMR for dilated cardiomyopathies, was for its use as prognostic indicator of cardiac events. LGE is a good predictor of cardiac events, and better than LVEF, which is currently integral to decisions regarding whether patients undergo surgery or not. &#10;One Australian study reported that in patients scheduled for surgery or device implantation due to investigations considered current practice (Echo in 95%, ICA in 51%, SPECT in 27%), CMR allowed avoidance of device implantation in 29.2%, and avoidance of surgery in 65% of cases. A small number of patients not initially scheduled for surgery or device implantation had their management amended to a more invasive strategy due to CMR. This information was provided through personal communication with the author, and will need to be redacted prior to public distribution. &#10;A Norwegian study reported that CMR was able to detect the aetiology of DCM in a small amount of patients (4.5%) who would otherwise have been classified as idiopathic NIDCM. &#10;What is currently unknown, is whether using the prognostic information, and having the change in management, actually results in improved health outcomes. &#10;"/>
      </w:tblPr>
      <w:tblGrid>
        <w:gridCol w:w="9016"/>
      </w:tblGrid>
      <w:tr w:rsidR="009E390A" w14:paraId="1B30A5D2" w14:textId="77777777" w:rsidTr="00E61D17">
        <w:trPr>
          <w:tblHeader/>
        </w:trPr>
        <w:tc>
          <w:tcPr>
            <w:tcW w:w="9016" w:type="dxa"/>
          </w:tcPr>
          <w:p w14:paraId="1A0142A1" w14:textId="67529EB1" w:rsidR="009E390A" w:rsidRPr="00DF0949" w:rsidRDefault="009E390A" w:rsidP="004C79C1">
            <w:pPr>
              <w:pStyle w:val="Heading2"/>
              <w:spacing w:before="0" w:after="120" w:line="240" w:lineRule="auto"/>
              <w:jc w:val="both"/>
              <w:outlineLvl w:val="1"/>
              <w:rPr>
                <w:sz w:val="24"/>
                <w:szCs w:val="24"/>
              </w:rPr>
            </w:pPr>
            <w:bookmarkStart w:id="35" w:name="_Toc450051641"/>
            <w:bookmarkStart w:id="36" w:name="_Toc451501257"/>
            <w:bookmarkStart w:id="37" w:name="_Toc381796429"/>
            <w:bookmarkStart w:id="38" w:name="_Toc379118060"/>
            <w:bookmarkStart w:id="39" w:name="_Toc379118252"/>
            <w:r w:rsidRPr="00DF0949">
              <w:rPr>
                <w:sz w:val="24"/>
                <w:szCs w:val="24"/>
              </w:rPr>
              <w:t xml:space="preserve">Key </w:t>
            </w:r>
            <w:r w:rsidR="002E096B">
              <w:rPr>
                <w:sz w:val="24"/>
                <w:szCs w:val="24"/>
              </w:rPr>
              <w:t>I</w:t>
            </w:r>
            <w:r w:rsidRPr="00DF0949">
              <w:rPr>
                <w:sz w:val="24"/>
                <w:szCs w:val="24"/>
              </w:rPr>
              <w:t xml:space="preserve">ssues for ESC and MSAC </w:t>
            </w:r>
            <w:r w:rsidR="007B1231">
              <w:rPr>
                <w:sz w:val="24"/>
                <w:szCs w:val="24"/>
              </w:rPr>
              <w:t>C</w:t>
            </w:r>
            <w:r w:rsidRPr="00DF0949">
              <w:rPr>
                <w:sz w:val="24"/>
                <w:szCs w:val="24"/>
              </w:rPr>
              <w:t>onsideration</w:t>
            </w:r>
            <w:bookmarkEnd w:id="35"/>
            <w:bookmarkEnd w:id="36"/>
          </w:p>
          <w:p w14:paraId="3D65D0E3" w14:textId="77777777" w:rsidR="009E390A" w:rsidRDefault="009E390A" w:rsidP="004C79C1">
            <w:pPr>
              <w:spacing w:after="120" w:line="240" w:lineRule="auto"/>
              <w:jc w:val="both"/>
            </w:pPr>
            <w:r>
              <w:t xml:space="preserve">The available evidence on cardiac magnetic resonance (CMR) imaging for dilated cardiomyopathies (DCM) was predominantly concerned with the prediction of cardiac events. CMR using late gadolinium enhancement was a good predictor of cardiac events; and the amount of scarring or inflammation was better than the percentage of normal left ventricular ejection fraction when deciding whether patients should undergo surgery. </w:t>
            </w:r>
          </w:p>
          <w:p w14:paraId="060B695D" w14:textId="25529ACC" w:rsidR="009E390A" w:rsidRDefault="009E390A" w:rsidP="004C79C1">
            <w:pPr>
              <w:spacing w:after="120" w:line="240" w:lineRule="auto"/>
              <w:jc w:val="both"/>
            </w:pPr>
            <w:r>
              <w:t>One Australian study that scheduled patients for device implantation or surgery according to findings from echocardiography (95%), invasive coronary angiography (51%), and single</w:t>
            </w:r>
            <w:r w:rsidR="006B075A">
              <w:t>-</w:t>
            </w:r>
            <w:r>
              <w:t xml:space="preserve">photon emission computed </w:t>
            </w:r>
            <w:r w:rsidR="000203BC">
              <w:t>tomography (</w:t>
            </w:r>
            <w:r>
              <w:t xml:space="preserve">27%) reported that the use of </w:t>
            </w:r>
            <w:r w:rsidRPr="00E86AA4">
              <w:t xml:space="preserve">CMR allowed device implantation </w:t>
            </w:r>
            <w:r>
              <w:t xml:space="preserve">to be </w:t>
            </w:r>
            <w:r w:rsidRPr="00E86AA4">
              <w:t>avoid</w:t>
            </w:r>
            <w:r>
              <w:t>ed</w:t>
            </w:r>
            <w:r w:rsidRPr="00E86AA4">
              <w:t xml:space="preserve"> in 29%</w:t>
            </w:r>
            <w:r>
              <w:t xml:space="preserve"> of patients</w:t>
            </w:r>
            <w:r w:rsidRPr="00E86AA4">
              <w:t xml:space="preserve">, and </w:t>
            </w:r>
            <w:r>
              <w:t xml:space="preserve">allowed </w:t>
            </w:r>
            <w:r w:rsidRPr="00E86AA4">
              <w:t xml:space="preserve">surgery </w:t>
            </w:r>
            <w:r>
              <w:t xml:space="preserve">to be avoided </w:t>
            </w:r>
            <w:r w:rsidRPr="00E86AA4">
              <w:t xml:space="preserve">in 65% of </w:t>
            </w:r>
            <w:r>
              <w:t>patients</w:t>
            </w:r>
            <w:r w:rsidRPr="00E86AA4">
              <w:t xml:space="preserve">. A small number of patients not initially scheduled for surgery or device implantation had their management amended to a more invasive strategy </w:t>
            </w:r>
            <w:r>
              <w:t>as a consequence</w:t>
            </w:r>
            <w:r w:rsidRPr="00E86AA4">
              <w:t xml:space="preserve"> </w:t>
            </w:r>
            <w:r>
              <w:t xml:space="preserve">of </w:t>
            </w:r>
            <w:r w:rsidRPr="00E86AA4">
              <w:t>CMR</w:t>
            </w:r>
            <w:r>
              <w:t xml:space="preserve"> studies</w:t>
            </w:r>
            <w:r w:rsidRPr="00E86AA4">
              <w:t>.</w:t>
            </w:r>
            <w:r w:rsidRPr="00DF0949">
              <w:rPr>
                <w:shd w:val="clear" w:color="auto" w:fill="B8CCE4" w:themeFill="accent1" w:themeFillTint="66"/>
              </w:rPr>
              <w:t xml:space="preserve"> </w:t>
            </w:r>
          </w:p>
          <w:p w14:paraId="7ED5C08A" w14:textId="77777777" w:rsidR="009E390A" w:rsidRDefault="009E390A" w:rsidP="004C79C1">
            <w:pPr>
              <w:spacing w:after="120" w:line="240" w:lineRule="auto"/>
              <w:jc w:val="both"/>
            </w:pPr>
            <w:r>
              <w:t xml:space="preserve">A Norwegian study reported that CMR was able to detect the aetiology of DCM in a small proportion of patients (4.5%) who would otherwise have been classified as having idiopathic non-ischaemic DCM. </w:t>
            </w:r>
          </w:p>
          <w:p w14:paraId="69487154" w14:textId="77777777" w:rsidR="009E390A" w:rsidRPr="00DF0949" w:rsidRDefault="009E390A" w:rsidP="004C79C1">
            <w:pPr>
              <w:spacing w:after="120" w:line="240" w:lineRule="auto"/>
              <w:jc w:val="both"/>
            </w:pPr>
            <w:r>
              <w:t xml:space="preserve">It could not be ascertained from the evidence base whether using the prognostic information provided by CMR, and changing patient management, will result in improvements in patient health. </w:t>
            </w:r>
          </w:p>
        </w:tc>
      </w:tr>
    </w:tbl>
    <w:p w14:paraId="345617E5" w14:textId="77777777" w:rsidR="009E390A" w:rsidRDefault="009E390A" w:rsidP="004C79C1">
      <w:pPr>
        <w:spacing w:after="120" w:line="240" w:lineRule="auto"/>
      </w:pPr>
    </w:p>
    <w:p w14:paraId="65DF8547" w14:textId="77777777" w:rsidR="009E390A" w:rsidRPr="0008123C" w:rsidRDefault="009E390A" w:rsidP="004C79C1">
      <w:pPr>
        <w:pStyle w:val="Heading2"/>
        <w:spacing w:before="0" w:after="120" w:line="240" w:lineRule="auto"/>
      </w:pPr>
      <w:bookmarkStart w:id="40" w:name="_Toc450051642"/>
      <w:bookmarkStart w:id="41" w:name="_Toc451501258"/>
      <w:bookmarkEnd w:id="37"/>
      <w:r w:rsidRPr="0008123C">
        <w:t xml:space="preserve">Magnetic Resonance Imaging of </w:t>
      </w:r>
      <w:r>
        <w:t>P</w:t>
      </w:r>
      <w:r w:rsidRPr="0008123C">
        <w:t xml:space="preserve">atients with </w:t>
      </w:r>
      <w:r>
        <w:t>S</w:t>
      </w:r>
      <w:r w:rsidRPr="0008123C">
        <w:t xml:space="preserve">uspected (non-ischaemic) </w:t>
      </w:r>
      <w:r>
        <w:t>D</w:t>
      </w:r>
      <w:r w:rsidRPr="0008123C">
        <w:t xml:space="preserve">ilated </w:t>
      </w:r>
      <w:r>
        <w:t>C</w:t>
      </w:r>
      <w:r w:rsidRPr="0008123C">
        <w:t>ardiomyopathies</w:t>
      </w:r>
      <w:bookmarkEnd w:id="40"/>
      <w:bookmarkEnd w:id="41"/>
    </w:p>
    <w:p w14:paraId="4B08F3DF" w14:textId="6D094AD7" w:rsidR="009E390A" w:rsidRPr="00EE326F" w:rsidRDefault="009E390A" w:rsidP="004C79C1">
      <w:pPr>
        <w:spacing w:after="120" w:line="240" w:lineRule="auto"/>
        <w:jc w:val="both"/>
      </w:pPr>
      <w:bookmarkStart w:id="42" w:name="_Toc432677316"/>
      <w:r w:rsidRPr="00EE326F">
        <w:t xml:space="preserve">This contracted assessment examines the available evidence to support </w:t>
      </w:r>
      <w:r w:rsidR="000B728D" w:rsidRPr="00EE326F">
        <w:t xml:space="preserve">the </w:t>
      </w:r>
      <w:r w:rsidRPr="00EE326F">
        <w:t xml:space="preserve">listing of cardiac magnetic resonance (CMR) imaging on the Medicare Benefits Schedule (MBS). This imaging service would be used in the diagnosis and treatment planning of patients who are suspected of having non-ischaemic dilated cardiomyopathies (NIDCM). </w:t>
      </w:r>
    </w:p>
    <w:p w14:paraId="650936F9" w14:textId="188905EE" w:rsidR="00C836E7" w:rsidRDefault="009E390A" w:rsidP="004C79C1">
      <w:pPr>
        <w:spacing w:after="120" w:line="240" w:lineRule="auto"/>
        <w:jc w:val="both"/>
      </w:pPr>
      <w:r w:rsidRPr="00EE326F">
        <w:t xml:space="preserve">The target population </w:t>
      </w:r>
      <w:r w:rsidR="00C836E7">
        <w:t>comprises</w:t>
      </w:r>
      <w:r w:rsidR="000B728D">
        <w:t>:</w:t>
      </w:r>
      <w:r w:rsidRPr="00EE326F">
        <w:t xml:space="preserve"> </w:t>
      </w:r>
    </w:p>
    <w:p w14:paraId="4DD2861D" w14:textId="4368F94A" w:rsidR="00C836E7" w:rsidRDefault="000B728D" w:rsidP="004C79C1">
      <w:pPr>
        <w:pStyle w:val="ListParagraph"/>
        <w:spacing w:after="120" w:line="240" w:lineRule="auto"/>
        <w:ind w:left="709" w:hanging="425"/>
        <w:jc w:val="both"/>
      </w:pPr>
      <w:r>
        <w:t xml:space="preserve">i) </w:t>
      </w:r>
      <w:r w:rsidR="00E4631E">
        <w:tab/>
      </w:r>
      <w:proofErr w:type="gramStart"/>
      <w:r w:rsidR="009E390A" w:rsidRPr="00EE326F">
        <w:t>people</w:t>
      </w:r>
      <w:proofErr w:type="gramEnd"/>
      <w:r w:rsidR="009E390A" w:rsidRPr="00EE326F">
        <w:t xml:space="preserve"> with heart failure </w:t>
      </w:r>
      <w:r>
        <w:t xml:space="preserve">(HF) </w:t>
      </w:r>
      <w:r w:rsidR="009E390A" w:rsidRPr="00EE326F">
        <w:t>sy</w:t>
      </w:r>
      <w:r w:rsidR="00A21115">
        <w:t>mptoms in whom echocardiography</w:t>
      </w:r>
      <w:r>
        <w:t xml:space="preserve"> </w:t>
      </w:r>
      <w:r w:rsidR="009E390A" w:rsidRPr="00EE326F">
        <w:t xml:space="preserve">is inconclusive; </w:t>
      </w:r>
    </w:p>
    <w:p w14:paraId="7EEB7573" w14:textId="22E08E3D" w:rsidR="00C836E7" w:rsidRDefault="009E390A" w:rsidP="004C79C1">
      <w:pPr>
        <w:pStyle w:val="ListParagraph"/>
        <w:spacing w:after="120" w:line="240" w:lineRule="auto"/>
        <w:ind w:left="709" w:hanging="425"/>
        <w:jc w:val="both"/>
      </w:pPr>
      <w:r w:rsidRPr="00EE326F">
        <w:t xml:space="preserve">ii) </w:t>
      </w:r>
      <w:r w:rsidR="00E4631E">
        <w:tab/>
      </w:r>
      <w:proofErr w:type="gramStart"/>
      <w:r w:rsidR="000B728D">
        <w:t>people</w:t>
      </w:r>
      <w:proofErr w:type="gramEnd"/>
      <w:r w:rsidR="000B728D">
        <w:t xml:space="preserve"> with HF</w:t>
      </w:r>
      <w:r w:rsidRPr="00EE326F">
        <w:t xml:space="preserve"> symptoms and a low to intermediate risk of coronary artery disease</w:t>
      </w:r>
      <w:r w:rsidR="000B728D">
        <w:t xml:space="preserve"> (CAD)</w:t>
      </w:r>
      <w:r w:rsidRPr="00EE326F">
        <w:t xml:space="preserve"> in whom </w:t>
      </w:r>
      <w:r w:rsidR="00A21115">
        <w:t>echocardiography</w:t>
      </w:r>
      <w:r w:rsidRPr="00EE326F">
        <w:t xml:space="preserve"> is suggestive of dilated cardiomyopathy (DCM); </w:t>
      </w:r>
    </w:p>
    <w:p w14:paraId="37B16C35" w14:textId="43B19D84" w:rsidR="00C836E7" w:rsidRDefault="009E390A" w:rsidP="004C79C1">
      <w:pPr>
        <w:pStyle w:val="ListParagraph"/>
        <w:spacing w:after="120" w:line="240" w:lineRule="auto"/>
        <w:ind w:left="709" w:hanging="425"/>
        <w:jc w:val="both"/>
        <w:rPr>
          <w:rFonts w:cs="Arial"/>
        </w:rPr>
      </w:pPr>
      <w:r w:rsidRPr="00EE326F">
        <w:t xml:space="preserve">iii) </w:t>
      </w:r>
      <w:r w:rsidR="00E4631E">
        <w:tab/>
      </w:r>
      <w:proofErr w:type="gramStart"/>
      <w:r w:rsidRPr="00EE326F">
        <w:t>asymptomatic</w:t>
      </w:r>
      <w:proofErr w:type="gramEnd"/>
      <w:r w:rsidRPr="00EE326F">
        <w:t xml:space="preserve"> first</w:t>
      </w:r>
      <w:r w:rsidR="00C836E7">
        <w:t>-</w:t>
      </w:r>
      <w:r w:rsidRPr="00EE326F">
        <w:t>degree relatives of someone d</w:t>
      </w:r>
      <w:r w:rsidR="00A21115">
        <w:t>iagnosed with NICDM and in whom echocardiography</w:t>
      </w:r>
      <w:r w:rsidRPr="00EE326F">
        <w:t xml:space="preserve"> is inconclusive</w:t>
      </w:r>
      <w:r w:rsidRPr="00EE326F">
        <w:rPr>
          <w:rFonts w:cs="Arial"/>
        </w:rPr>
        <w:t xml:space="preserve">; or </w:t>
      </w:r>
    </w:p>
    <w:p w14:paraId="31808E40" w14:textId="15061785" w:rsidR="009E390A" w:rsidRPr="00EE326F" w:rsidRDefault="009E390A" w:rsidP="004C79C1">
      <w:pPr>
        <w:pStyle w:val="ListParagraph"/>
        <w:spacing w:after="120" w:line="240" w:lineRule="auto"/>
        <w:ind w:left="709" w:hanging="425"/>
        <w:jc w:val="both"/>
      </w:pPr>
      <w:r w:rsidRPr="00EE326F">
        <w:rPr>
          <w:rFonts w:cs="Arial"/>
        </w:rPr>
        <w:t xml:space="preserve">iv) </w:t>
      </w:r>
      <w:r w:rsidR="00E4631E">
        <w:rPr>
          <w:rFonts w:cs="Arial"/>
        </w:rPr>
        <w:tab/>
      </w:r>
      <w:proofErr w:type="gramStart"/>
      <w:r w:rsidRPr="00EE326F">
        <w:t>asymptomatic</w:t>
      </w:r>
      <w:proofErr w:type="gramEnd"/>
      <w:r w:rsidRPr="00EE326F">
        <w:t xml:space="preserve"> first</w:t>
      </w:r>
      <w:r w:rsidR="00C836E7">
        <w:t>-</w:t>
      </w:r>
      <w:r w:rsidRPr="00EE326F">
        <w:t xml:space="preserve">degree relatives of someone diagnosed with NIDCM, with </w:t>
      </w:r>
      <w:r w:rsidRPr="00EE326F">
        <w:rPr>
          <w:rFonts w:cs="Arial"/>
        </w:rPr>
        <w:t xml:space="preserve">an intermediate to high risk of </w:t>
      </w:r>
      <w:r w:rsidR="00C836E7">
        <w:rPr>
          <w:rFonts w:cs="Arial"/>
        </w:rPr>
        <w:t>CAD</w:t>
      </w:r>
      <w:r w:rsidRPr="00EE326F">
        <w:rPr>
          <w:rFonts w:cs="Arial"/>
        </w:rPr>
        <w:t>, and</w:t>
      </w:r>
      <w:r w:rsidRPr="00EE326F">
        <w:t xml:space="preserve"> in whom</w:t>
      </w:r>
      <w:r w:rsidRPr="00EE326F">
        <w:rPr>
          <w:rFonts w:cs="Arial"/>
        </w:rPr>
        <w:t xml:space="preserve"> </w:t>
      </w:r>
      <w:r w:rsidR="00A21115">
        <w:rPr>
          <w:rFonts w:cs="Arial"/>
        </w:rPr>
        <w:t>echocardiography</w:t>
      </w:r>
      <w:r w:rsidRPr="00EE326F">
        <w:rPr>
          <w:rFonts w:cs="Arial"/>
        </w:rPr>
        <w:t xml:space="preserve"> is suggestive of DCM that requires further investigation prior to treatment.</w:t>
      </w:r>
      <w:r w:rsidRPr="00EE326F">
        <w:t xml:space="preserve"> </w:t>
      </w:r>
    </w:p>
    <w:p w14:paraId="2BDDF7BB" w14:textId="77777777" w:rsidR="009E390A" w:rsidRPr="00183E4D" w:rsidRDefault="009E390A" w:rsidP="00161B88">
      <w:pPr>
        <w:pStyle w:val="Heading3"/>
      </w:pPr>
      <w:bookmarkStart w:id="43" w:name="_Toc450051643"/>
      <w:bookmarkStart w:id="44" w:name="_Toc451501259"/>
      <w:r>
        <w:t xml:space="preserve">Alignment with Agreed </w:t>
      </w:r>
      <w:bookmarkEnd w:id="42"/>
      <w:r>
        <w:t>Protocol</w:t>
      </w:r>
      <w:bookmarkEnd w:id="43"/>
      <w:bookmarkEnd w:id="44"/>
    </w:p>
    <w:p w14:paraId="7D758989" w14:textId="73700F16" w:rsidR="009E390A" w:rsidRPr="00DF0949" w:rsidRDefault="009E390A" w:rsidP="004C79C1">
      <w:pPr>
        <w:spacing w:after="120" w:line="240" w:lineRule="auto"/>
        <w:jc w:val="both"/>
      </w:pPr>
      <w:r>
        <w:t>The clinical management algorithms and PICO</w:t>
      </w:r>
      <w:r w:rsidRPr="00183E4D">
        <w:rPr>
          <w:rStyle w:val="FootnoteReference"/>
        </w:rPr>
        <w:footnoteReference w:id="1"/>
      </w:r>
      <w:r>
        <w:t xml:space="preserve"> criteria specified in the Protocol and ratified by the </w:t>
      </w:r>
      <w:r w:rsidRPr="00183E4D">
        <w:t>P</w:t>
      </w:r>
      <w:r>
        <w:t>rotocol</w:t>
      </w:r>
      <w:r w:rsidRPr="00183E4D">
        <w:t xml:space="preserve"> Advisory Sub</w:t>
      </w:r>
      <w:r w:rsidR="0068365A">
        <w:t>-</w:t>
      </w:r>
      <w:r w:rsidRPr="00183E4D">
        <w:t>Committee (PASC)</w:t>
      </w:r>
      <w:r>
        <w:t xml:space="preserve"> were developed by another assessment group, in </w:t>
      </w:r>
      <w:r>
        <w:lastRenderedPageBreak/>
        <w:t>consultation with two clinical experts. During the drafting of the contracted assessment, further advice was sought from these clinical experts to clarify inconsistencies between the clinical management algorithms depicted in the Protocol guiding this contracted assessment and th</w:t>
      </w:r>
      <w:r w:rsidR="008976AE">
        <w:t>os</w:t>
      </w:r>
      <w:r>
        <w:t xml:space="preserve">e developed for MSAC assessment </w:t>
      </w:r>
      <w:r w:rsidR="000A7F78">
        <w:t xml:space="preserve">no. </w:t>
      </w:r>
      <w:r>
        <w:t>1237</w:t>
      </w:r>
      <w:r w:rsidR="000A7F78">
        <w:t>,</w:t>
      </w:r>
      <w:r>
        <w:t xml:space="preserve"> </w:t>
      </w:r>
      <w:r>
        <w:rPr>
          <w:i/>
        </w:rPr>
        <w:t>CMR for perfusion and viability imaging in patients with known or suspected coronary artery disease.</w:t>
      </w:r>
      <w:r>
        <w:t xml:space="preserve"> After consulting with the clinical experts and the Department of Health, the PASC-ratified clinical management algorithms were amended. This resulted in a slightly different definition of the population (</w:t>
      </w:r>
      <w:r w:rsidR="000A7F78">
        <w:t xml:space="preserve">i.e. </w:t>
      </w:r>
      <w:r>
        <w:t xml:space="preserve">patients would not be eligible for CMR if they had a high pre-test risk of </w:t>
      </w:r>
      <w:r w:rsidR="000A7F78">
        <w:t>CAD</w:t>
      </w:r>
      <w:r>
        <w:t xml:space="preserve">), clarification that CMR would be used in family members who are found to have DCM after echocardiography, and </w:t>
      </w:r>
      <w:r w:rsidR="00B555AD">
        <w:t xml:space="preserve">amendment of </w:t>
      </w:r>
      <w:r>
        <w:t>the comparators (</w:t>
      </w:r>
      <w:r w:rsidR="00B555AD">
        <w:t xml:space="preserve">i.e. </w:t>
      </w:r>
      <w:r>
        <w:t xml:space="preserve">‘watchful waiting’ was removed and alternative non-invasive imaging modalities were added as comparators). </w:t>
      </w:r>
    </w:p>
    <w:p w14:paraId="212A4D59" w14:textId="2CFFA665" w:rsidR="009E390A" w:rsidRPr="00183E4D" w:rsidRDefault="009E390A" w:rsidP="004C79C1">
      <w:pPr>
        <w:spacing w:after="120" w:line="240" w:lineRule="auto"/>
        <w:jc w:val="both"/>
      </w:pPr>
      <w:r>
        <w:t>The use of CMR was not reported in first</w:t>
      </w:r>
      <w:r w:rsidR="00B555AD">
        <w:t>-</w:t>
      </w:r>
      <w:r>
        <w:t xml:space="preserve">degree family members of someone with DCM. </w:t>
      </w:r>
    </w:p>
    <w:p w14:paraId="6EE61D7B" w14:textId="77777777" w:rsidR="009E390A" w:rsidRPr="00183E4D" w:rsidRDefault="009E390A" w:rsidP="00161B88">
      <w:pPr>
        <w:pStyle w:val="Heading3"/>
      </w:pPr>
      <w:bookmarkStart w:id="45" w:name="_Toc395200742"/>
      <w:bookmarkStart w:id="46" w:name="_Toc432677317"/>
      <w:bookmarkStart w:id="47" w:name="_Toc450051644"/>
      <w:bookmarkStart w:id="48" w:name="_Toc451501260"/>
      <w:r w:rsidRPr="00183E4D">
        <w:t>Proposed Medical Service</w:t>
      </w:r>
      <w:bookmarkEnd w:id="45"/>
      <w:bookmarkEnd w:id="46"/>
      <w:bookmarkEnd w:id="47"/>
      <w:bookmarkEnd w:id="48"/>
    </w:p>
    <w:p w14:paraId="0D05E2D6" w14:textId="669F3DA4" w:rsidR="009E390A" w:rsidRDefault="009E390A" w:rsidP="004C79C1">
      <w:pPr>
        <w:spacing w:after="120" w:line="240" w:lineRule="auto"/>
        <w:jc w:val="both"/>
      </w:pPr>
      <w:bookmarkStart w:id="49" w:name="_Toc379118248"/>
      <w:bookmarkStart w:id="50" w:name="_Toc381796432"/>
      <w:r w:rsidRPr="00DF0949">
        <w:t xml:space="preserve">CMR </w:t>
      </w:r>
      <w:r>
        <w:t xml:space="preserve">is a non-invasive imaging technique that is used to: assess the functioning and structures of the heart, confirm previous abnormal findings on an echocardiogram, and determine whether DCM is ischaemic or non-ischaemic. In NIDCM it is used to determine aetiology. Different forms of CMR can be used, including late gadolinium enhancement techniques (LGE-CMR) and stress perfusion techniques (SP-CMR). </w:t>
      </w:r>
    </w:p>
    <w:p w14:paraId="35DBD5A1" w14:textId="654AE100" w:rsidR="009E390A" w:rsidRDefault="009E390A" w:rsidP="004C79C1">
      <w:pPr>
        <w:spacing w:after="120" w:line="240" w:lineRule="auto"/>
        <w:jc w:val="both"/>
      </w:pPr>
      <w:r>
        <w:t xml:space="preserve">Most private and public hospitals within Australia have MRI units. As at March 2015, 351 </w:t>
      </w:r>
      <w:r w:rsidRPr="00C43430">
        <w:t>MRI units</w:t>
      </w:r>
      <w:r>
        <w:t xml:space="preserve"> were </w:t>
      </w:r>
      <w:r w:rsidRPr="00C43430">
        <w:t>eligibl</w:t>
      </w:r>
      <w:r>
        <w:t xml:space="preserve">e </w:t>
      </w:r>
      <w:r w:rsidRPr="00C43430">
        <w:t xml:space="preserve">to provide services </w:t>
      </w:r>
      <w:r>
        <w:t xml:space="preserve">that are funded </w:t>
      </w:r>
      <w:r w:rsidRPr="00C43430">
        <w:t>under the M</w:t>
      </w:r>
      <w:r w:rsidR="006D7BD0">
        <w:t>BS</w:t>
      </w:r>
      <w:r w:rsidRPr="00C43430">
        <w:t>.</w:t>
      </w:r>
      <w:r>
        <w:t xml:space="preserve"> </w:t>
      </w:r>
    </w:p>
    <w:p w14:paraId="4D9F4992" w14:textId="0A7913CB" w:rsidR="009E390A" w:rsidRDefault="009E390A" w:rsidP="004C79C1">
      <w:pPr>
        <w:spacing w:after="120" w:line="240" w:lineRule="auto"/>
        <w:jc w:val="both"/>
      </w:pPr>
      <w:r>
        <w:t>There is no current MBS listing for the use of CMR for cardiomyopathies</w:t>
      </w:r>
      <w:r w:rsidR="00DC4779">
        <w:t xml:space="preserve"> (CMs)</w:t>
      </w:r>
      <w:r>
        <w:t>, so private patients are required to pay out-of-pocket</w:t>
      </w:r>
      <w:r w:rsidRPr="00114881">
        <w:t xml:space="preserve"> </w:t>
      </w:r>
      <w:r>
        <w:t xml:space="preserve">costs for the service. Public hospitals cover the use of CMR for public patients with suspected </w:t>
      </w:r>
      <w:r w:rsidR="00DC4779">
        <w:t>CM</w:t>
      </w:r>
      <w:r>
        <w:t xml:space="preserve">. CMR scanning was funded for use in research in Australia under a New Technology Grant from the Victorian Policy Advisory Committee on Clinical Practice and Technology. </w:t>
      </w:r>
    </w:p>
    <w:p w14:paraId="72D635D6" w14:textId="49F82790" w:rsidR="009E390A" w:rsidRPr="00DF0949" w:rsidRDefault="009E390A" w:rsidP="004C79C1">
      <w:pPr>
        <w:spacing w:after="120" w:line="240" w:lineRule="auto"/>
        <w:jc w:val="both"/>
      </w:pPr>
      <w:r>
        <w:t xml:space="preserve">There is currently another assessment of CMR </w:t>
      </w:r>
      <w:r>
        <w:fldChar w:fldCharType="begin"/>
      </w:r>
      <w:r>
        <w:instrText xml:space="preserve"> ADDIN EN.CITE &lt;EndNote&gt;&lt;Cite&gt;&lt;Author&gt;Morona&lt;/Author&gt;&lt;Year&gt;unpublished&lt;/Year&gt;&lt;RecNum&gt;120&lt;/RecNum&gt;&lt;DisplayText&gt;(Morona et al. unpublished)&lt;/DisplayText&gt;&lt;record&gt;&lt;rec-number&gt;120&lt;/rec-number&gt;&lt;foreign-keys&gt;&lt;key app="EN" db-id="pfxxvref0t0a5de2vwnv2fwkz0p9v0r2fw0t" timestamp="1458690408"&gt;120&lt;/key&gt;&lt;/foreign-keys&gt;&lt;ref-type name="Report"&gt;27&lt;/ref-type&gt;&lt;contributors&gt;&lt;authors&gt;&lt;author&gt;Morona, JK&lt;/author&gt;&lt;author&gt;Kessels, S&lt;/author&gt;&lt;author&gt;Vogan, A&lt;/author&gt;&lt;author&gt;Mittal, R&lt;/author&gt;&lt;author&gt;Newton, S&lt;/author&gt;&lt;author&gt;Parsons, J&lt;/author&gt;&lt;author&gt;Milverton, J&lt;/author&gt;&lt;author&gt;Ellery, B&lt;/author&gt;&lt;author&gt;Schubert, C&lt;/author&gt;&lt;author&gt;Merlin, T.&lt;/author&gt;&lt;/authors&gt;&lt;/contributors&gt;&lt;titles&gt;&lt;title&gt;Cardiac MRI for myocardial stress perfusion and viability imaging in patients with known or suspected coronary artery disease&lt;/title&gt;&lt;secondary-title&gt;MSAC Application Number 1237&lt;/secondary-title&gt;&lt;/titles&gt;&lt;dates&gt;&lt;year&gt;unpublished&lt;/year&gt;&lt;/dates&gt;&lt;pub-location&gt;Canberra&lt;/pub-location&gt;&lt;publisher&gt;Commonwealth of Australia&lt;/publisher&gt;&lt;urls&gt;&lt;/urls&gt;&lt;/record&gt;&lt;/Cite&gt;&lt;/EndNote&gt;</w:instrText>
      </w:r>
      <w:r>
        <w:fldChar w:fldCharType="separate"/>
      </w:r>
      <w:r>
        <w:rPr>
          <w:noProof/>
        </w:rPr>
        <w:t>(</w:t>
      </w:r>
      <w:hyperlink w:anchor="_ENREF_95" w:tooltip="Morona, unpublished #120" w:history="1">
        <w:r>
          <w:rPr>
            <w:noProof/>
          </w:rPr>
          <w:t>Morona et al. unpublished</w:t>
        </w:r>
      </w:hyperlink>
      <w:r>
        <w:rPr>
          <w:noProof/>
        </w:rPr>
        <w:t>)</w:t>
      </w:r>
      <w:r>
        <w:fldChar w:fldCharType="end"/>
      </w:r>
      <w:r>
        <w:t xml:space="preserve"> being considered by MSAC, where CMR is proposed for use in (i) patients presenting with symptoms of stable ischaemic heart disease and an intermediate pre-test probability of CAD; and (ii) patients diagnosed with significant CAD who are being considered for revascularisation. </w:t>
      </w:r>
    </w:p>
    <w:p w14:paraId="1EDC3DBE" w14:textId="77777777" w:rsidR="009E390A" w:rsidRPr="00183E4D" w:rsidRDefault="009E390A" w:rsidP="00161B88">
      <w:pPr>
        <w:pStyle w:val="Heading3"/>
      </w:pPr>
      <w:bookmarkStart w:id="51" w:name="_Toc432677318"/>
      <w:bookmarkStart w:id="52" w:name="_Toc450051645"/>
      <w:bookmarkStart w:id="53" w:name="_Toc451501261"/>
      <w:bookmarkStart w:id="54" w:name="_Toc379118249"/>
      <w:bookmarkStart w:id="55" w:name="_Toc381796433"/>
      <w:bookmarkEnd w:id="49"/>
      <w:bookmarkEnd w:id="50"/>
      <w:r w:rsidRPr="00183E4D">
        <w:t>Proposal for Public Funding</w:t>
      </w:r>
      <w:bookmarkEnd w:id="51"/>
      <w:bookmarkEnd w:id="52"/>
      <w:bookmarkEnd w:id="53"/>
    </w:p>
    <w:p w14:paraId="02396430" w14:textId="53A12609" w:rsidR="009E390A" w:rsidRPr="00DF0949" w:rsidRDefault="009E390A" w:rsidP="004C79C1">
      <w:pPr>
        <w:spacing w:after="120" w:line="240" w:lineRule="auto"/>
        <w:jc w:val="both"/>
      </w:pPr>
      <w:r w:rsidRPr="00DF0949">
        <w:t xml:space="preserve">The </w:t>
      </w:r>
      <w:r>
        <w:t>proposed MBS items (outlined in the PASC-ratified Protocol) are shown in</w:t>
      </w:r>
      <w:r w:rsidR="00D06DA3">
        <w:t xml:space="preserve"> </w:t>
      </w:r>
      <w:r w:rsidR="00CE40B2">
        <w:rPr>
          <w:highlight w:val="yellow"/>
        </w:rPr>
        <w:fldChar w:fldCharType="begin"/>
      </w:r>
      <w:r w:rsidR="00CE40B2">
        <w:instrText xml:space="preserve"> REF _Ref451243832 \h </w:instrText>
      </w:r>
      <w:r w:rsidR="00CE40B2">
        <w:rPr>
          <w:highlight w:val="yellow"/>
        </w:rPr>
      </w:r>
      <w:r w:rsidR="00CE40B2">
        <w:rPr>
          <w:highlight w:val="yellow"/>
        </w:rPr>
        <w:fldChar w:fldCharType="separate"/>
      </w:r>
      <w:r w:rsidR="00CE40B2">
        <w:t xml:space="preserve">Table </w:t>
      </w:r>
      <w:r w:rsidR="00CE40B2">
        <w:rPr>
          <w:noProof/>
        </w:rPr>
        <w:t>5</w:t>
      </w:r>
      <w:r w:rsidR="00CE40B2">
        <w:rPr>
          <w:highlight w:val="yellow"/>
        </w:rPr>
        <w:fldChar w:fldCharType="end"/>
      </w:r>
      <w:r>
        <w:t>.</w:t>
      </w:r>
    </w:p>
    <w:p w14:paraId="6EC547D2" w14:textId="77777777" w:rsidR="009E390A" w:rsidRPr="00183E4D" w:rsidRDefault="009E390A" w:rsidP="00161B88">
      <w:pPr>
        <w:pStyle w:val="Heading3"/>
      </w:pPr>
      <w:bookmarkStart w:id="56" w:name="_Toc450051646"/>
      <w:bookmarkStart w:id="57" w:name="_Toc451501262"/>
      <w:bookmarkStart w:id="58" w:name="_Toc432677319"/>
      <w:r>
        <w:t>Clinical Management Algorithm(s)</w:t>
      </w:r>
      <w:bookmarkEnd w:id="56"/>
      <w:bookmarkEnd w:id="57"/>
    </w:p>
    <w:p w14:paraId="216140F3" w14:textId="2ACBB2C0" w:rsidR="009E390A" w:rsidRDefault="009E390A" w:rsidP="004C79C1">
      <w:pPr>
        <w:spacing w:after="120" w:line="240" w:lineRule="auto"/>
        <w:jc w:val="both"/>
      </w:pPr>
      <w:r>
        <w:t xml:space="preserve">With use of the current </w:t>
      </w:r>
      <w:r w:rsidR="001D0719">
        <w:t xml:space="preserve">testing methods </w:t>
      </w:r>
      <w:r>
        <w:t xml:space="preserve">for DCM, there is </w:t>
      </w:r>
      <w:r w:rsidR="00176EC5">
        <w:t xml:space="preserve">a </w:t>
      </w:r>
      <w:r>
        <w:t>small, but serious</w:t>
      </w:r>
      <w:r w:rsidR="00176EC5">
        <w:t>,</w:t>
      </w:r>
      <w:r>
        <w:t xml:space="preserve"> risk that some of the more rare aetiologies of NIDCM </w:t>
      </w:r>
      <w:r w:rsidR="00176EC5">
        <w:t xml:space="preserve">are </w:t>
      </w:r>
      <w:r>
        <w:t xml:space="preserve">not identified and treated appropriately. CMR is an additional imaging tool </w:t>
      </w:r>
      <w:r w:rsidR="00493A46">
        <w:t xml:space="preserve">that </w:t>
      </w:r>
      <w:r>
        <w:t>would be requested when existing diagnostic methods are inconclusive. CMR can also inform prognostic decisions to rule out the need for investigation of first</w:t>
      </w:r>
      <w:r w:rsidR="00493A46">
        <w:t>-</w:t>
      </w:r>
      <w:r>
        <w:t xml:space="preserve">degree relatives if the aetiology identified is something other than idiopathic or familial </w:t>
      </w:r>
      <w:r w:rsidR="00493A46">
        <w:t>CM</w:t>
      </w:r>
      <w:r>
        <w:t>.</w:t>
      </w:r>
    </w:p>
    <w:p w14:paraId="2B0565D9" w14:textId="77777777" w:rsidR="009E390A" w:rsidRDefault="009E390A" w:rsidP="004C79C1">
      <w:pPr>
        <w:spacing w:after="120" w:line="240" w:lineRule="auto"/>
        <w:jc w:val="both"/>
      </w:pPr>
      <w:r>
        <w:t xml:space="preserve">A different assessment group developed the initial clinical management algorithm, which was presented to, and ratified by, PASC. During the assessment process clinical experts provided further clarification and additional information that led to the algorithms being amended. </w:t>
      </w:r>
    </w:p>
    <w:p w14:paraId="0920F8D2" w14:textId="77777777" w:rsidR="009E390A" w:rsidRPr="00567D41" w:rsidRDefault="009E390A" w:rsidP="00161B88">
      <w:pPr>
        <w:pStyle w:val="Heading3"/>
      </w:pPr>
      <w:bookmarkStart w:id="59" w:name="_Toc450051647"/>
      <w:bookmarkStart w:id="60" w:name="_Toc451501263"/>
      <w:r w:rsidRPr="00567D41">
        <w:t>Population</w:t>
      </w:r>
      <w:bookmarkEnd w:id="58"/>
      <w:r w:rsidRPr="00567D41">
        <w:t>s and Relevant Comparators</w:t>
      </w:r>
      <w:bookmarkEnd w:id="59"/>
      <w:bookmarkEnd w:id="60"/>
    </w:p>
    <w:p w14:paraId="50F6529A" w14:textId="6F4488E5" w:rsidR="009E390A" w:rsidRDefault="009E390A" w:rsidP="004C79C1">
      <w:pPr>
        <w:spacing w:after="120" w:line="240" w:lineRule="auto"/>
      </w:pPr>
      <w:r w:rsidRPr="00DF0949">
        <w:t xml:space="preserve">The </w:t>
      </w:r>
      <w:r>
        <w:t xml:space="preserve">estimated </w:t>
      </w:r>
      <w:r w:rsidRPr="00DF0949">
        <w:t xml:space="preserve">incidence of DCM </w:t>
      </w:r>
      <w:r w:rsidR="00493A46">
        <w:t>in Australia</w:t>
      </w:r>
      <w:r w:rsidR="00493A46" w:rsidRPr="00DF0949">
        <w:t xml:space="preserve"> </w:t>
      </w:r>
      <w:r w:rsidRPr="00DF0949">
        <w:t xml:space="preserve">is </w:t>
      </w:r>
      <w:r>
        <w:t>1</w:t>
      </w:r>
      <w:r w:rsidR="00493A46">
        <w:t>,</w:t>
      </w:r>
      <w:r>
        <w:t>344 per year. The population proposed for CMR in the current report includes four subgroups of patients suspected of DCM:</w:t>
      </w:r>
    </w:p>
    <w:p w14:paraId="14CBAE45" w14:textId="40F40D64" w:rsidR="009E390A" w:rsidRDefault="009E390A" w:rsidP="004C79C1">
      <w:pPr>
        <w:pStyle w:val="ListParagraph"/>
        <w:numPr>
          <w:ilvl w:val="0"/>
          <w:numId w:val="26"/>
        </w:numPr>
        <w:spacing w:after="120" w:line="240" w:lineRule="auto"/>
        <w:contextualSpacing/>
        <w:jc w:val="both"/>
      </w:pPr>
      <w:r>
        <w:t xml:space="preserve">Patients </w:t>
      </w:r>
      <w:r w:rsidRPr="0008198D">
        <w:t xml:space="preserve">presenting with </w:t>
      </w:r>
      <w:r w:rsidR="00493A46">
        <w:t>HF</w:t>
      </w:r>
      <w:r w:rsidRPr="0008198D">
        <w:t xml:space="preserve"> symptoms in whom </w:t>
      </w:r>
      <w:r>
        <w:t>echocardiography is inconclusive.</w:t>
      </w:r>
    </w:p>
    <w:p w14:paraId="64E95C1D" w14:textId="319AD204" w:rsidR="009E390A" w:rsidRDefault="009E390A" w:rsidP="004C79C1">
      <w:pPr>
        <w:spacing w:after="120" w:line="240" w:lineRule="auto"/>
        <w:contextualSpacing/>
        <w:jc w:val="both"/>
      </w:pPr>
      <w:r>
        <w:lastRenderedPageBreak/>
        <w:t>Currently</w:t>
      </w:r>
      <w:r w:rsidR="00493A46">
        <w:t>,</w:t>
      </w:r>
      <w:r>
        <w:t xml:space="preserve"> these patients receive an additional echocardiogram with contrast, or a gated heart pool scan (GHPS)</w:t>
      </w:r>
      <w:r w:rsidR="00DC46C0">
        <w:t>,</w:t>
      </w:r>
      <w:r>
        <w:t xml:space="preserve"> to assess the functioning of the heart. The applicant suggested that CMR would completely replace these tests. In cases where CMR identifies a dilated left ventricle </w:t>
      </w:r>
      <w:r w:rsidR="00493A46">
        <w:t xml:space="preserve">(LV) </w:t>
      </w:r>
      <w:r>
        <w:t>and systolic dysfunction diagnosing DCM, computed tomography coronary angiography (CTCA), single</w:t>
      </w:r>
      <w:r w:rsidR="00493A46">
        <w:t>-</w:t>
      </w:r>
      <w:r>
        <w:t>photon emission computed tomography (SPECT) and stress echocardiography would also be avoided, as CMR has the ability to determine whether the DCM is ischaemic or non-ischaemic. CMR may also avoid unnecessary invasive coronary angiography (ICA). An evidentiary standard identified in the literature for determining the accuracy of DCM diagnoses was clinical diagnosis.</w:t>
      </w:r>
    </w:p>
    <w:p w14:paraId="677FB693" w14:textId="787A7F80" w:rsidR="009E390A" w:rsidRDefault="009E390A" w:rsidP="004C79C1">
      <w:pPr>
        <w:pStyle w:val="ListParagraph"/>
        <w:numPr>
          <w:ilvl w:val="0"/>
          <w:numId w:val="26"/>
        </w:numPr>
        <w:spacing w:after="120" w:line="240" w:lineRule="auto"/>
        <w:contextualSpacing/>
        <w:jc w:val="both"/>
      </w:pPr>
      <w:r>
        <w:t xml:space="preserve">Patients presenting with </w:t>
      </w:r>
      <w:r w:rsidR="00493A46">
        <w:t>HF</w:t>
      </w:r>
      <w:r>
        <w:t xml:space="preserve"> symptoms</w:t>
      </w:r>
      <w:r w:rsidRPr="00556FF8">
        <w:t xml:space="preserve"> </w:t>
      </w:r>
      <w:r>
        <w:t xml:space="preserve">and a low to intermediate risk of </w:t>
      </w:r>
      <w:r w:rsidR="00493A46">
        <w:t>CAD</w:t>
      </w:r>
      <w:r>
        <w:t xml:space="preserve"> in whom echocardiography is </w:t>
      </w:r>
      <w:r w:rsidRPr="0008198D">
        <w:t>sug</w:t>
      </w:r>
      <w:r>
        <w:t>gestive of DCM.</w:t>
      </w:r>
    </w:p>
    <w:p w14:paraId="298C10C7" w14:textId="210C1581" w:rsidR="009E390A" w:rsidRDefault="009E390A" w:rsidP="004C79C1">
      <w:pPr>
        <w:spacing w:after="120" w:line="240" w:lineRule="auto"/>
        <w:jc w:val="both"/>
      </w:pPr>
      <w:r>
        <w:t>The patients in this subgroup currently receive CTCA, pharmacologic (adenosine or dobutamine) SPECT or stress echocardiography to distinguish between the ischaemic and non-ischaemic causes of DCM. Ischaemic patients are referred for more</w:t>
      </w:r>
      <w:r w:rsidR="00982467">
        <w:t>-</w:t>
      </w:r>
      <w:r>
        <w:t xml:space="preserve">invasive investigation with ICA, while other patients could receive ICA as an alternative to non-invasive imaging. The clinical experts advised that CMR would partially replace these comparators. </w:t>
      </w:r>
      <w:proofErr w:type="gramStart"/>
      <w:r>
        <w:t xml:space="preserve">The reference standard for determining if </w:t>
      </w:r>
      <w:r w:rsidR="002A406B">
        <w:t xml:space="preserve">a </w:t>
      </w:r>
      <w:r>
        <w:t>patient has ischaemia or not is ICA.</w:t>
      </w:r>
      <w:proofErr w:type="gramEnd"/>
      <w:r>
        <w:t xml:space="preserve"> An additional evidentiary standard found in the literature was clinical diagnosis. </w:t>
      </w:r>
    </w:p>
    <w:p w14:paraId="7D6C60EE" w14:textId="41A7CC3B" w:rsidR="009E390A" w:rsidRDefault="009E390A" w:rsidP="004C79C1">
      <w:pPr>
        <w:spacing w:after="120" w:line="240" w:lineRule="auto"/>
        <w:jc w:val="both"/>
      </w:pPr>
      <w:r>
        <w:t>If the patient shows signs of DCM, and is suspected of having NIDCM due to being at low risk of CAD, further testing may be needed to determine the aetiology. This testing will usually consist of blood tests, although more</w:t>
      </w:r>
      <w:r w:rsidR="00982467">
        <w:t>-</w:t>
      </w:r>
      <w:r>
        <w:t xml:space="preserve">extensive pathology tests, genetic testing, 24-hour </w:t>
      </w:r>
      <w:r w:rsidR="00982467">
        <w:t>e</w:t>
      </w:r>
      <w:r w:rsidR="00982467" w:rsidRPr="00C80E19">
        <w:t>lectrocardiography</w:t>
      </w:r>
      <w:r w:rsidR="00982467">
        <w:t xml:space="preserve"> (</w:t>
      </w:r>
      <w:r>
        <w:t>ECG</w:t>
      </w:r>
      <w:r w:rsidR="00982467">
        <w:t>)</w:t>
      </w:r>
      <w:r>
        <w:t>, exercise testing with measurement of peak oxygen uptake</w:t>
      </w:r>
      <w:r w:rsidR="00982467">
        <w:t>,</w:t>
      </w:r>
      <w:r>
        <w:t xml:space="preserve"> and right-sided cardiac catheterisation with endomyocardial biopsy </w:t>
      </w:r>
      <w:r w:rsidR="00982467">
        <w:t xml:space="preserve">(EMB) </w:t>
      </w:r>
      <w:r>
        <w:t>are also done. The advice of the clinical experts was that CMR might replace the use of some of these tests, or be used as an additional test. The reference standard for determining whether the aetiology is inflammatory in nature</w:t>
      </w:r>
      <w:r w:rsidR="00205262">
        <w:t xml:space="preserve"> is EMB</w:t>
      </w:r>
      <w:r>
        <w:t xml:space="preserve">. Genetic testing was listed </w:t>
      </w:r>
      <w:r w:rsidRPr="00124E3B">
        <w:t>a priori</w:t>
      </w:r>
      <w:r>
        <w:t xml:space="preserve"> as an alternative reference standard, but no literature was identified that compared CMR against this reference standard. </w:t>
      </w:r>
    </w:p>
    <w:p w14:paraId="41CF84F8" w14:textId="37666269" w:rsidR="009E390A" w:rsidRPr="00623EC8" w:rsidRDefault="009E390A" w:rsidP="004C79C1">
      <w:pPr>
        <w:pStyle w:val="ListParagraph"/>
        <w:numPr>
          <w:ilvl w:val="0"/>
          <w:numId w:val="26"/>
        </w:numPr>
        <w:spacing w:after="120" w:line="240" w:lineRule="auto"/>
        <w:contextualSpacing/>
        <w:jc w:val="both"/>
      </w:pPr>
      <w:r w:rsidRPr="00F403C2">
        <w:rPr>
          <w:rFonts w:cs="Arial"/>
        </w:rPr>
        <w:t xml:space="preserve">Asymptomatic </w:t>
      </w:r>
      <w:r>
        <w:rPr>
          <w:rFonts w:cs="Arial"/>
        </w:rPr>
        <w:t>first</w:t>
      </w:r>
      <w:r w:rsidR="00205262">
        <w:rPr>
          <w:rFonts w:cs="Arial"/>
        </w:rPr>
        <w:t>-</w:t>
      </w:r>
      <w:r>
        <w:rPr>
          <w:rFonts w:cs="Arial"/>
        </w:rPr>
        <w:t>degree relatives of someone diagnosed with</w:t>
      </w:r>
      <w:r w:rsidRPr="00F403C2">
        <w:rPr>
          <w:rFonts w:cs="Arial"/>
        </w:rPr>
        <w:t xml:space="preserve"> </w:t>
      </w:r>
      <w:r>
        <w:rPr>
          <w:rFonts w:cs="Arial"/>
        </w:rPr>
        <w:t>NIDCM,</w:t>
      </w:r>
      <w:r w:rsidRPr="00F403C2">
        <w:rPr>
          <w:rFonts w:cs="Arial"/>
        </w:rPr>
        <w:t xml:space="preserve"> </w:t>
      </w:r>
      <w:r>
        <w:rPr>
          <w:rFonts w:cs="Arial"/>
        </w:rPr>
        <w:t>in whom echo is inconclusive.</w:t>
      </w:r>
    </w:p>
    <w:p w14:paraId="512CF755" w14:textId="7CDDBF78" w:rsidR="009E390A" w:rsidRDefault="009E390A" w:rsidP="004C79C1">
      <w:pPr>
        <w:spacing w:after="120" w:line="240" w:lineRule="auto"/>
        <w:contextualSpacing/>
        <w:jc w:val="both"/>
      </w:pPr>
      <w:r>
        <w:t xml:space="preserve">Investigations currently undertaken in this apparently healthy subgroup, and potentially replaced by CMR, are contrast echocardiography or gated heart pool </w:t>
      </w:r>
      <w:r w:rsidRPr="00BA2A5F">
        <w:t>scan</w:t>
      </w:r>
      <w:r>
        <w:t>s (GHPS).</w:t>
      </w:r>
      <w:r w:rsidRPr="000A4A2F">
        <w:t xml:space="preserve"> </w:t>
      </w:r>
      <w:r>
        <w:t xml:space="preserve">As per population i, if a dilated </w:t>
      </w:r>
      <w:r w:rsidR="00205262">
        <w:t>LV</w:t>
      </w:r>
      <w:r>
        <w:t xml:space="preserve"> and systolic dysfunction happen to be identified, CMR may replace CTCA and SPECT.</w:t>
      </w:r>
    </w:p>
    <w:p w14:paraId="45195E88" w14:textId="0A1EAC92" w:rsidR="009E390A" w:rsidRPr="00623EC8" w:rsidRDefault="009E390A" w:rsidP="004C79C1">
      <w:pPr>
        <w:pStyle w:val="ListParagraph"/>
        <w:numPr>
          <w:ilvl w:val="0"/>
          <w:numId w:val="26"/>
        </w:numPr>
        <w:spacing w:after="120" w:line="240" w:lineRule="auto"/>
        <w:contextualSpacing/>
        <w:jc w:val="both"/>
      </w:pPr>
      <w:r w:rsidRPr="00F403C2">
        <w:rPr>
          <w:rFonts w:cs="Arial"/>
        </w:rPr>
        <w:t xml:space="preserve">Asymptomatic </w:t>
      </w:r>
      <w:r>
        <w:rPr>
          <w:rFonts w:cs="Arial"/>
        </w:rPr>
        <w:t>first</w:t>
      </w:r>
      <w:r w:rsidR="00205262">
        <w:rPr>
          <w:rFonts w:cs="Arial"/>
        </w:rPr>
        <w:t>-</w:t>
      </w:r>
      <w:r>
        <w:rPr>
          <w:rFonts w:cs="Arial"/>
        </w:rPr>
        <w:t>degree relatives of someone diagnosed with</w:t>
      </w:r>
      <w:r w:rsidRPr="00F403C2">
        <w:rPr>
          <w:rFonts w:cs="Arial"/>
        </w:rPr>
        <w:t xml:space="preserve"> </w:t>
      </w:r>
      <w:r>
        <w:rPr>
          <w:rFonts w:cs="Arial"/>
        </w:rPr>
        <w:t>NIDCM,</w:t>
      </w:r>
      <w:r w:rsidRPr="00F403C2">
        <w:rPr>
          <w:rFonts w:cs="Arial"/>
        </w:rPr>
        <w:t xml:space="preserve"> </w:t>
      </w:r>
      <w:r>
        <w:rPr>
          <w:rFonts w:cs="Arial"/>
        </w:rPr>
        <w:t xml:space="preserve">with an intermediate to high risk of </w:t>
      </w:r>
      <w:r w:rsidR="00205262">
        <w:rPr>
          <w:rFonts w:cs="Arial"/>
        </w:rPr>
        <w:t>CAD</w:t>
      </w:r>
      <w:r>
        <w:rPr>
          <w:rFonts w:cs="Arial"/>
        </w:rPr>
        <w:t>, in whom echocardiography is suggestive of DCM that requires further investigations prior to treatment.</w:t>
      </w:r>
    </w:p>
    <w:p w14:paraId="794C5B66" w14:textId="77777777" w:rsidR="009E390A" w:rsidRDefault="009E390A" w:rsidP="004C79C1">
      <w:pPr>
        <w:spacing w:after="120" w:line="240" w:lineRule="auto"/>
        <w:contextualSpacing/>
        <w:jc w:val="both"/>
      </w:pPr>
      <w:r>
        <w:t>In this subgroup the current investigations (and comparators) replaced by CMR are CTCA and SPECT. The reference standard is ICA.</w:t>
      </w:r>
    </w:p>
    <w:p w14:paraId="015B49A6" w14:textId="77777777" w:rsidR="009E390A" w:rsidRPr="003E0217" w:rsidRDefault="009E390A" w:rsidP="004C79C1">
      <w:pPr>
        <w:spacing w:after="120" w:line="240" w:lineRule="auto"/>
        <w:contextualSpacing/>
        <w:jc w:val="both"/>
      </w:pPr>
    </w:p>
    <w:p w14:paraId="262526DE" w14:textId="7190EE6D" w:rsidR="009E390A" w:rsidRDefault="009E390A" w:rsidP="004C79C1">
      <w:pPr>
        <w:spacing w:after="120" w:line="240" w:lineRule="auto"/>
        <w:jc w:val="both"/>
      </w:pPr>
      <w:bookmarkStart w:id="61" w:name="_Toc432677321"/>
      <w:bookmarkEnd w:id="54"/>
      <w:bookmarkEnd w:id="55"/>
      <w:r>
        <w:t xml:space="preserve">Current clinical practice for </w:t>
      </w:r>
      <w:r w:rsidR="0082050A">
        <w:t xml:space="preserve">populations </w:t>
      </w:r>
      <w:r>
        <w:t xml:space="preserve">i and ii are shown in Figure 1 and Figure 3, respectively, </w:t>
      </w:r>
      <w:r w:rsidR="00554DE6">
        <w:t xml:space="preserve">and </w:t>
      </w:r>
      <w:r>
        <w:t>the proposed clinical pathways for these subgroups are shown in Figure 2 and Figure 4. The algorithms for first</w:t>
      </w:r>
      <w:r w:rsidR="00554DE6">
        <w:t>-</w:t>
      </w:r>
      <w:r>
        <w:t xml:space="preserve">degree relatives (for which no evidence was identified) are shown in Appendix L. </w:t>
      </w:r>
    </w:p>
    <w:p w14:paraId="7A50EA03" w14:textId="77777777" w:rsidR="009E390A" w:rsidRPr="00183E4D" w:rsidRDefault="009E390A" w:rsidP="00161B88">
      <w:pPr>
        <w:pStyle w:val="Heading3"/>
      </w:pPr>
      <w:bookmarkStart w:id="62" w:name="_Toc395200746"/>
      <w:bookmarkStart w:id="63" w:name="_Toc432677322"/>
      <w:bookmarkStart w:id="64" w:name="_Toc450051648"/>
      <w:bookmarkStart w:id="65" w:name="_Toc451501264"/>
      <w:bookmarkStart w:id="66" w:name="_Toc379118058"/>
      <w:bookmarkStart w:id="67" w:name="_Toc379118250"/>
      <w:bookmarkStart w:id="68" w:name="_Toc381796434"/>
      <w:bookmarkEnd w:id="61"/>
      <w:r w:rsidRPr="00183E4D">
        <w:t>Key Differences in the Delivery of the Proposed Medical Service and the Main Comparator</w:t>
      </w:r>
      <w:bookmarkEnd w:id="62"/>
      <w:bookmarkEnd w:id="63"/>
      <w:bookmarkEnd w:id="64"/>
      <w:bookmarkEnd w:id="65"/>
      <w:r w:rsidRPr="00183E4D">
        <w:t xml:space="preserve"> </w:t>
      </w:r>
    </w:p>
    <w:p w14:paraId="0D2E78DB" w14:textId="01E817B5" w:rsidR="009E390A" w:rsidRPr="00843B08" w:rsidRDefault="009E390A" w:rsidP="004C79C1">
      <w:pPr>
        <w:spacing w:after="120" w:line="240" w:lineRule="auto"/>
        <w:jc w:val="both"/>
      </w:pPr>
      <w:r w:rsidRPr="00843B08">
        <w:t>One of the main differences between CMR and</w:t>
      </w:r>
      <w:r>
        <w:t xml:space="preserve"> its comparators</w:t>
      </w:r>
      <w:r w:rsidRPr="00843B08">
        <w:t xml:space="preserve"> </w:t>
      </w:r>
      <w:r>
        <w:t>(</w:t>
      </w:r>
      <w:r w:rsidR="00FF5547">
        <w:t xml:space="preserve">i.e. </w:t>
      </w:r>
      <w:r w:rsidRPr="00843B08">
        <w:t>CTCA, SPECT, ICA or GHPS</w:t>
      </w:r>
      <w:r>
        <w:t>)</w:t>
      </w:r>
      <w:r w:rsidRPr="00843B08">
        <w:t xml:space="preserve"> is the avoidance of exposure to ionising radiation. Furthermore, CMR is able to replace some (unnecessary) invasive tests (</w:t>
      </w:r>
      <w:r w:rsidR="00FF5547">
        <w:t xml:space="preserve">i.e. </w:t>
      </w:r>
      <w:r w:rsidRPr="00843B08">
        <w:t xml:space="preserve">ICAs) </w:t>
      </w:r>
      <w:r w:rsidR="00554DE6">
        <w:t>that</w:t>
      </w:r>
      <w:r w:rsidR="00554DE6" w:rsidRPr="00843B08">
        <w:t xml:space="preserve"> </w:t>
      </w:r>
      <w:r w:rsidRPr="00843B08">
        <w:t xml:space="preserve">require local anaesthesia. </w:t>
      </w:r>
      <w:r w:rsidRPr="00FF0A8F">
        <w:t>The advantages and disadvantages of CMR and the comparator imaging techniques are shown in</w:t>
      </w:r>
      <w:r w:rsidR="00D06DA3">
        <w:t xml:space="preserve"> </w:t>
      </w:r>
      <w:r w:rsidR="00D06DA3">
        <w:fldChar w:fldCharType="begin"/>
      </w:r>
      <w:r w:rsidR="00D06DA3">
        <w:instrText xml:space="preserve"> REF _Ref451244847 \h </w:instrText>
      </w:r>
      <w:r w:rsidR="00D06DA3">
        <w:fldChar w:fldCharType="separate"/>
      </w:r>
      <w:r w:rsidR="00D06DA3">
        <w:t xml:space="preserve">Table </w:t>
      </w:r>
      <w:r w:rsidR="00D06DA3">
        <w:rPr>
          <w:noProof/>
        </w:rPr>
        <w:t>3</w:t>
      </w:r>
      <w:r w:rsidR="00D06DA3">
        <w:fldChar w:fldCharType="end"/>
      </w:r>
      <w:r w:rsidRPr="00697369">
        <w:t>.</w:t>
      </w:r>
      <w:r w:rsidRPr="00843B08">
        <w:t xml:space="preserve"> </w:t>
      </w:r>
    </w:p>
    <w:p w14:paraId="4ADF19E3" w14:textId="77777777" w:rsidR="009E390A" w:rsidRPr="00183E4D" w:rsidRDefault="009E390A" w:rsidP="00161B88">
      <w:pPr>
        <w:pStyle w:val="Heading3"/>
      </w:pPr>
      <w:bookmarkStart w:id="69" w:name="_Toc395200747"/>
      <w:bookmarkStart w:id="70" w:name="_Toc432677323"/>
      <w:bookmarkStart w:id="71" w:name="_Toc450051649"/>
      <w:bookmarkStart w:id="72" w:name="_Toc451501265"/>
      <w:r w:rsidRPr="00183E4D">
        <w:lastRenderedPageBreak/>
        <w:t>Clinical Claim</w:t>
      </w:r>
      <w:bookmarkEnd w:id="69"/>
      <w:bookmarkEnd w:id="70"/>
      <w:bookmarkEnd w:id="71"/>
      <w:bookmarkEnd w:id="72"/>
    </w:p>
    <w:p w14:paraId="6BF0F95F" w14:textId="1C92FF4A" w:rsidR="009E390A" w:rsidRPr="00DF0949" w:rsidRDefault="009E390A" w:rsidP="004C79C1">
      <w:pPr>
        <w:spacing w:after="120" w:line="240" w:lineRule="auto"/>
        <w:jc w:val="both"/>
      </w:pPr>
      <w:r w:rsidRPr="00DF0949">
        <w:t xml:space="preserve">The applicant </w:t>
      </w:r>
      <w:r>
        <w:t>claims that CMR provides important information regarding ventricular morphology and tissue characterisation. This enables more</w:t>
      </w:r>
      <w:r w:rsidR="004E58BF">
        <w:t>-</w:t>
      </w:r>
      <w:r>
        <w:t xml:space="preserve">accurate stratification of patients to distinguish potentially treatable forms of NIDCM from non-treatable causes. If a treatable aetiology is identified, family members would also benefit, by avoiding the need for family screening. </w:t>
      </w:r>
    </w:p>
    <w:p w14:paraId="169B9E89" w14:textId="77777777" w:rsidR="009E390A" w:rsidRPr="00183E4D" w:rsidRDefault="009E390A" w:rsidP="00161B88">
      <w:pPr>
        <w:pStyle w:val="Heading3"/>
      </w:pPr>
      <w:bookmarkStart w:id="73" w:name="_Toc395200748"/>
      <w:bookmarkStart w:id="74" w:name="_Toc432677324"/>
      <w:bookmarkStart w:id="75" w:name="_Toc450051650"/>
      <w:bookmarkStart w:id="76" w:name="_Toc451501266"/>
      <w:r w:rsidRPr="00124E3B">
        <w:t>Approach T</w:t>
      </w:r>
      <w:r w:rsidRPr="00183E4D">
        <w:t xml:space="preserve">aken to the </w:t>
      </w:r>
      <w:r w:rsidRPr="00124E3B">
        <w:t>E</w:t>
      </w:r>
      <w:r w:rsidRPr="00183E4D">
        <w:t xml:space="preserve">vidence </w:t>
      </w:r>
      <w:r w:rsidRPr="00124E3B">
        <w:t>A</w:t>
      </w:r>
      <w:r w:rsidRPr="00183E4D">
        <w:t>ssessment</w:t>
      </w:r>
      <w:bookmarkEnd w:id="73"/>
      <w:bookmarkEnd w:id="74"/>
      <w:bookmarkEnd w:id="75"/>
      <w:bookmarkEnd w:id="76"/>
    </w:p>
    <w:p w14:paraId="6B1DAC55" w14:textId="518533BF" w:rsidR="009E390A" w:rsidRPr="00DF0949" w:rsidRDefault="009E390A" w:rsidP="004C79C1">
      <w:pPr>
        <w:spacing w:after="120" w:line="240" w:lineRule="auto"/>
        <w:jc w:val="both"/>
      </w:pPr>
      <w:r w:rsidRPr="00183E4D">
        <w:t xml:space="preserve">A systematic review </w:t>
      </w:r>
      <w:r w:rsidR="004E58BF">
        <w:t xml:space="preserve">(SR) </w:t>
      </w:r>
      <w:r w:rsidRPr="00183E4D">
        <w:t xml:space="preserve">of </w:t>
      </w:r>
      <w:r>
        <w:t xml:space="preserve">the </w:t>
      </w:r>
      <w:r w:rsidRPr="00183E4D">
        <w:t>published and unpublished literature was undertaken.</w:t>
      </w:r>
      <w:r>
        <w:t xml:space="preserve"> The databases searched were PubMed, Embase and The Cochrane Library, as well as trial registers, grey literature databases and specialty websites </w:t>
      </w:r>
      <w:r w:rsidR="004E58BF">
        <w:t>(s</w:t>
      </w:r>
      <w:r>
        <w:t>ee Appendix B for further details</w:t>
      </w:r>
      <w:r w:rsidR="004E58BF">
        <w:t>)</w:t>
      </w:r>
      <w:r>
        <w:t>. One researcher culled the citations with the program Rayyan</w:t>
      </w:r>
      <w:r w:rsidRPr="00A934E2">
        <w:t xml:space="preserve"> </w:t>
      </w:r>
      <w:r>
        <w:fldChar w:fldCharType="begin"/>
      </w:r>
      <w:r>
        <w:instrText xml:space="preserve"> ADDIN EN.CITE &lt;EndNote&gt;&lt;Cite&gt;&lt;Author&gt;Elmagarmid&lt;/Author&gt;&lt;Year&gt;2014&lt;/Year&gt;&lt;RecNum&gt;142&lt;/RecNum&gt;&lt;DisplayText&gt;(Elmagarmid et al. 2014)&lt;/DisplayText&gt;&lt;record&gt;&lt;rec-number&gt;142&lt;/rec-number&gt;&lt;foreign-keys&gt;&lt;key app="EN" db-id="pfxxvref0t0a5de2vwnv2fwkz0p9v0r2fw0t" timestamp="1458774631"&gt;142&lt;/key&gt;&lt;/foreign-keys&gt;&lt;ref-type name="Conference Paper"&gt;47&lt;/ref-type&gt;&lt;contributors&gt;&lt;authors&gt;&lt;author&gt;Elmagarmid, A&lt;/author&gt;&lt;author&gt;Fedorowicz, Z&lt;/author&gt;&lt;author&gt;Hammady, H&lt;/author&gt;&lt;author&gt;Ilyas, I&lt;/author&gt;&lt;author&gt;Khabsa, M&lt;/author&gt;&lt;author&gt;Ouzzani, M&lt;/author&gt;&lt;/authors&gt;&lt;/contributors&gt;&lt;titles&gt;&lt;title&gt;Rayyan: a systematic reviews web app for exploring and filtering searches for eligible studies for Cochrane Reviews&lt;/title&gt;&lt;secondary-title&gt;22nd Cochrane Colloquium&lt;/secondary-title&gt;&lt;/titles&gt;&lt;num-vols&gt;Evidence-Informed Public Health: Opportunities and Challenges&lt;/num-vols&gt;&lt;dates&gt;&lt;year&gt;2014&lt;/year&gt;&lt;/dates&gt;&lt;pub-location&gt;Hyderabad, India&lt;/pub-location&gt;&lt;publisher&gt;John Wiley &amp;amp; Sons&lt;/publisher&gt;&lt;urls&gt;&lt;related-urls&gt;&lt;url&gt;http://rayyan.qcri.org/ &lt;/url&gt;&lt;/related-urls&gt;&lt;/urls&gt;&lt;/record&gt;&lt;/Cite&gt;&lt;/EndNote&gt;</w:instrText>
      </w:r>
      <w:r>
        <w:fldChar w:fldCharType="separate"/>
      </w:r>
      <w:r>
        <w:rPr>
          <w:noProof/>
        </w:rPr>
        <w:t>(</w:t>
      </w:r>
      <w:hyperlink w:anchor="_ENREF_39" w:tooltip="Elmagarmid, 2014 #142" w:history="1">
        <w:r>
          <w:rPr>
            <w:noProof/>
          </w:rPr>
          <w:t>Elmagarmid et al. 2014</w:t>
        </w:r>
      </w:hyperlink>
      <w:r>
        <w:rPr>
          <w:noProof/>
        </w:rPr>
        <w:t>)</w:t>
      </w:r>
      <w:r>
        <w:fldChar w:fldCharType="end"/>
      </w:r>
      <w:r>
        <w:t>, with a second researcher doing duplicate culling of the most relevant 20</w:t>
      </w:r>
      <w:r w:rsidR="00186F61">
        <w:t>% of citations</w:t>
      </w:r>
      <w:r>
        <w:t xml:space="preserve"> as determined by the algorithms within Rayyan. Included studies were critically appraised according to their study design using the AMSTAR checklist </w:t>
      </w:r>
      <w:r>
        <w:fldChar w:fldCharType="begin"/>
      </w:r>
      <w:r>
        <w:instrText xml:space="preserve"> ADDIN EN.CITE &lt;EndNote&gt;&lt;Cite&gt;&lt;Author&gt;Shea&lt;/Author&gt;&lt;Year&gt;2007&lt;/Year&gt;&lt;RecNum&gt;70&lt;/RecNum&gt;&lt;DisplayText&gt;(Shea et al. 2007)&lt;/DisplayText&gt;&lt;record&gt;&lt;rec-number&gt;70&lt;/rec-number&gt;&lt;foreign-keys&gt;&lt;key app="EN" db-id="pfxxvref0t0a5de2vwnv2fwkz0p9v0r2fw0t" timestamp="1458109329"&gt;70&lt;/key&gt;&lt;/foreign-keys&gt;&lt;ref-type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fldChar w:fldCharType="separate"/>
      </w:r>
      <w:r>
        <w:rPr>
          <w:noProof/>
        </w:rPr>
        <w:t>(</w:t>
      </w:r>
      <w:hyperlink w:anchor="_ENREF_124" w:tooltip="Shea, 2007 #70" w:history="1">
        <w:r>
          <w:rPr>
            <w:noProof/>
          </w:rPr>
          <w:t>Shea et al. 2007</w:t>
        </w:r>
      </w:hyperlink>
      <w:r>
        <w:rPr>
          <w:noProof/>
        </w:rPr>
        <w:t>)</w:t>
      </w:r>
      <w:r>
        <w:fldChar w:fldCharType="end"/>
      </w:r>
      <w:r>
        <w:t xml:space="preserve"> f</w:t>
      </w:r>
      <w:r w:rsidRPr="00186F61">
        <w:t xml:space="preserve">or </w:t>
      </w:r>
      <w:r w:rsidR="00186F61" w:rsidRPr="00186F61">
        <w:t>SR</w:t>
      </w:r>
      <w:r w:rsidRPr="00186F61">
        <w:t xml:space="preserve">s and HTAs, QUADAS-2 </w:t>
      </w:r>
      <w:r w:rsidRPr="00697369">
        <w:fldChar w:fldCharType="begin"/>
      </w:r>
      <w:r w:rsidRPr="00186F61">
        <w:instrText xml:space="preserve"> ADDIN EN.CITE &lt;EndNote&gt;&lt;Cite&gt;&lt;Author&gt;Whiting&lt;/Author&gt;&lt;Year&gt;2011&lt;/Year&gt;&lt;RecNum&gt;143&lt;/RecNum&gt;&lt;DisplayText&gt;(Whiting et al. 2011)&lt;/DisplayText&gt;&lt;record&gt;&lt;rec-number&gt;143&lt;/rec-number&gt;&lt;foreign-keys&gt;&lt;key app="EN" db-id="pfxxvref0t0a5de2vwnv2fwkz0p9v0r2fw0t" timestamp="1458775736"&gt;143&lt;/key&gt;&lt;/foreign-keys&gt;&lt;ref-type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studies&lt;/title&gt;&lt;secondary-title&gt;Annals of Internal Medicine&lt;/secondary-title&gt;&lt;/titles&gt;&lt;periodical&gt;&lt;full-title&gt;Annals of Internal Medicine&lt;/full-title&gt;&lt;/periodical&gt;&lt;pages&gt;529–36&lt;/pages&gt;&lt;volume&gt;155&lt;/volume&gt;&lt;number&gt;8&lt;/number&gt;&lt;edition&gt;2011/10/19&lt;/edition&gt;&lt;keywords&gt;&lt;keyword&gt;Bias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697369">
        <w:fldChar w:fldCharType="separate"/>
      </w:r>
      <w:r w:rsidRPr="00186F61">
        <w:rPr>
          <w:noProof/>
        </w:rPr>
        <w:t>(</w:t>
      </w:r>
      <w:hyperlink w:anchor="_ENREF_146" w:tooltip="Whiting, 2011 #143" w:history="1">
        <w:r w:rsidRPr="00186F61">
          <w:rPr>
            <w:noProof/>
          </w:rPr>
          <w:t>Whiting et al. 2011</w:t>
        </w:r>
      </w:hyperlink>
      <w:r w:rsidRPr="00186F61">
        <w:rPr>
          <w:noProof/>
        </w:rPr>
        <w:t>)</w:t>
      </w:r>
      <w:r w:rsidRPr="00697369">
        <w:fldChar w:fldCharType="end"/>
      </w:r>
      <w:r w:rsidRPr="00186F61">
        <w:t xml:space="preserve"> appraisal tool for test accuracy studies, SIGN 50 </w:t>
      </w:r>
      <w:r w:rsidR="00293F67" w:rsidRPr="00697369">
        <w:fldChar w:fldCharType="begin"/>
      </w:r>
      <w:r w:rsidR="00293F67" w:rsidRPr="00186F61">
        <w:instrText xml:space="preserve"> ADDIN EN.CITE &lt;EndNote&gt;&lt;Cite&gt;&lt;Author&gt;SIGN&lt;/Author&gt;&lt;Year&gt;2014&lt;/Year&gt;&lt;RecNum&gt;80&lt;/RecNum&gt;&lt;DisplayText&gt;(SIGN 2014)&lt;/DisplayText&gt;&lt;record&gt;&lt;rec-number&gt;80&lt;/rec-number&gt;&lt;foreign-keys&gt;&lt;key app="EN" db-id="pfxxvref0t0a5de2vwnv2fwkz0p9v0r2fw0t" timestamp="1458111095"&gt;80&lt;/key&gt;&lt;/foreign-keys&gt;&lt;ref-type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293F67" w:rsidRPr="00697369">
        <w:fldChar w:fldCharType="separate"/>
      </w:r>
      <w:r w:rsidR="00293F67" w:rsidRPr="00186F61">
        <w:t>(</w:t>
      </w:r>
      <w:hyperlink w:anchor="_ENREF_127" w:tooltip="SIGN, 2014 #80" w:history="1">
        <w:r w:rsidR="00293F67" w:rsidRPr="00186F61">
          <w:t>SIGN 2014</w:t>
        </w:r>
      </w:hyperlink>
      <w:r w:rsidR="00293F67" w:rsidRPr="00186F61">
        <w:t>)</w:t>
      </w:r>
      <w:r w:rsidR="00293F67" w:rsidRPr="00697369">
        <w:fldChar w:fldCharType="end"/>
      </w:r>
      <w:r w:rsidR="00293F67">
        <w:t xml:space="preserve"> </w:t>
      </w:r>
      <w:r w:rsidRPr="00186F61">
        <w:t xml:space="preserve">checklists for randomised controlled trials </w:t>
      </w:r>
      <w:r w:rsidR="00186F61" w:rsidRPr="00186F61">
        <w:t xml:space="preserve">(RCTs) </w:t>
      </w:r>
      <w:r w:rsidRPr="00186F61">
        <w:t xml:space="preserve">and cohort studies, or the </w:t>
      </w:r>
      <w:r w:rsidRPr="00124E3B">
        <w:t>NHLBI quality assessment tool for case series studies</w:t>
      </w:r>
      <w:r w:rsidRPr="00186F61">
        <w:t xml:space="preserve">. </w:t>
      </w:r>
      <w:r w:rsidR="00186F61">
        <w:t>Q</w:t>
      </w:r>
      <w:r w:rsidRPr="00186F61">
        <w:t>uality appraisal was done at the level of individual outcomes (across s</w:t>
      </w:r>
      <w:r>
        <w:t xml:space="preserve">tudies), as per GRADE methodology </w:t>
      </w:r>
      <w:r>
        <w:fldChar w:fldCharType="begin">
          <w:fldData xml:space="preserve">PEVuZE5vdGU+PENpdGU+PEF1dGhvcj5HdXlhdHQ8L0F1dGhvcj48WWVhcj4yMDExPC9ZZWFyPjxS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</w:fldData>
        </w:fldChar>
      </w:r>
      <w:r>
        <w:instrText xml:space="preserve"> ADDIN EN.CITE </w:instrText>
      </w:r>
      <w:r>
        <w:fldChar w:fldCharType="begin">
          <w:fldData xml:space="preserve">PEVuZE5vdGU+PENpdGU+PEF1dGhvcj5HdXlhdHQ8L0F1dGhvcj48WWVhcj4yMDExPC9ZZWFyPjxS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</w:fldData>
        </w:fldChar>
      </w:r>
      <w:r>
        <w:instrText xml:space="preserve"> ADDIN EN.CITE.DATA </w:instrText>
      </w:r>
      <w:r>
        <w:fldChar w:fldCharType="end"/>
      </w:r>
      <w:r>
        <w:fldChar w:fldCharType="separate"/>
      </w:r>
      <w:r>
        <w:t>(</w:t>
      </w:r>
      <w:hyperlink w:anchor="_ENREF_51" w:tooltip="Guyatt, 2011 #123" w:history="1">
        <w:r>
          <w:t>Guyatt et al. 2011</w:t>
        </w:r>
      </w:hyperlink>
      <w:r>
        <w:t>)</w:t>
      </w:r>
      <w:r>
        <w:fldChar w:fldCharType="end"/>
      </w:r>
      <w:r>
        <w:t xml:space="preserve">. </w:t>
      </w:r>
    </w:p>
    <w:p w14:paraId="6C692C6A" w14:textId="7E5BAA90" w:rsidR="009E390A" w:rsidRDefault="009E390A" w:rsidP="004C79C1">
      <w:pPr>
        <w:spacing w:after="120" w:line="240" w:lineRule="auto"/>
        <w:jc w:val="both"/>
      </w:pPr>
      <w:r w:rsidRPr="00DF0949">
        <w:t>Due to a lack of direct evidence, a linked evidence approach has been used</w:t>
      </w:r>
      <w:r>
        <w:t xml:space="preserve"> </w:t>
      </w:r>
      <w:r>
        <w:fldChar w:fldCharType="begin"/>
      </w:r>
      <w:r>
        <w:instrText xml:space="preserve"> ADDIN EN.CITE &lt;EndNote&gt;&lt;Cite&gt;&lt;Author&gt;Merlin&lt;/Author&gt;&lt;Year&gt;2013&lt;/Year&gt;&lt;RecNum&gt;85&lt;/RecNum&gt;&lt;IDText&gt;343-50&lt;/IDText&gt;&lt;DisplayText&gt;(Merlin et al. 2013)&lt;/DisplayText&gt;&lt;record&gt;&lt;rec-number&gt;85&lt;/rec-number&gt;&lt;foreign-keys&gt;&lt;key app="EN" db-id="pfxxvref0t0a5de2vwnv2fwkz0p9v0r2fw0t" timestamp="1458518125"&gt;85&lt;/key&gt;&lt;key app="ENWeb" db-id=""&gt;0&lt;/key&gt;&lt;/foreign-keys&gt;&lt;ref-type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 Adelaide, South Australia, Australia.&lt;/auth-address&gt;&lt;titles&gt;&lt;title&gt;The &amp;quot;linked evidence approach&amp;quot; to assess medical tests: a critical analysis&lt;/title&gt;&lt;secondary-title&gt;Int J Technol Assess Health Care&lt;/secondary-title&gt;&lt;/titles&gt;&lt;periodical&gt;&lt;full-title&gt;Int J Technol Assess Health Care&lt;/full-title&gt;&lt;/periodical&gt;&lt;pages&gt;343-50&lt;/pages&gt;&lt;volume&gt;29&lt;/volume&gt;&lt;number&gt;3&lt;/number&gt;&lt;keywords&gt;&lt;keyword&gt;Advisory Committees&lt;/keyword&gt;&lt;keyword&gt;Australia&lt;/keyword&gt;&lt;keyword&gt;*Diagnostic Techniques and Procedures&lt;/keyword&gt;&lt;keyword&gt;Eligibility Determination/*methods&lt;/keyword&gt;&lt;keyword&gt;*Evidence-Based Medicine&lt;/keyword&gt;&lt;keyword&gt;Gatekeeping&lt;/keyword&gt;&lt;keyword&gt;*Health Services Accessibility&lt;/keyword&gt;&lt;keyword&gt;Humans&lt;/keyword&gt;&lt;keyword&gt;Reimbursement Mechanisms&lt;/keyword&gt;&lt;keyword&gt;Technology Assessment, Biomedical&lt;/keyword&gt;&lt;/keywords&gt;&lt;dates&gt;&lt;year&gt;2013&lt;/year&gt;&lt;pub-dates&gt;&lt;date&gt;Jul&lt;/date&gt;&lt;/pub-dates&gt;&lt;/dates&gt;&lt;isbn&gt;1471-6348 (Electronic)&amp;#xD;0266-4623 (Linking)&lt;/isbn&gt;&lt;accession-num&gt;23769128&lt;/accession-num&gt;&lt;urls&gt;&lt;related-urls&gt;&lt;url&gt;http://www.ncbi.nlm.nih.gov/pubmed/23769128&lt;/url&gt;&lt;/related-urls&gt;&lt;/urls&gt;&lt;electronic-resource-num&gt;10.1017/S0266462313000287&lt;/electronic-resource-num&gt;&lt;/record&gt;&lt;/Cite&gt;&lt;/EndNote&gt;</w:instrText>
      </w:r>
      <w:r>
        <w:fldChar w:fldCharType="separate"/>
      </w:r>
      <w:r>
        <w:rPr>
          <w:noProof/>
        </w:rPr>
        <w:t>(</w:t>
      </w:r>
      <w:hyperlink w:anchor="_ENREF_89" w:tooltip="Merlin, 2013 #85" w:history="1">
        <w:r>
          <w:rPr>
            <w:noProof/>
          </w:rPr>
          <w:t>Merlin et al. 2013</w:t>
        </w:r>
      </w:hyperlink>
      <w:r>
        <w:rPr>
          <w:noProof/>
        </w:rPr>
        <w:t>)</w:t>
      </w:r>
      <w:r>
        <w:fldChar w:fldCharType="end"/>
      </w:r>
      <w:r w:rsidRPr="00DF0949">
        <w:t xml:space="preserve">, linking information regarding the diagnostic and predictive accuracy with information on how the test changes management, and investigating the impact </w:t>
      </w:r>
      <w:r w:rsidR="0047585E">
        <w:t xml:space="preserve">that </w:t>
      </w:r>
      <w:r w:rsidRPr="00DF0949">
        <w:t xml:space="preserve">these changes may have on health. </w:t>
      </w:r>
    </w:p>
    <w:p w14:paraId="19D9E24F" w14:textId="7D5473C9" w:rsidR="009E390A" w:rsidRPr="00DF0949" w:rsidRDefault="009E390A" w:rsidP="004C79C1">
      <w:pPr>
        <w:spacing w:after="120" w:line="240" w:lineRule="auto"/>
        <w:jc w:val="both"/>
        <w:rPr>
          <w:i/>
        </w:rPr>
      </w:pPr>
      <w:r>
        <w:t>For all sections other than B4 (Prognosis), the available evidence base was limited. To provide sufficient information for decision-making</w:t>
      </w:r>
      <w:r w:rsidR="00427FD9">
        <w:t>,</w:t>
      </w:r>
      <w:r>
        <w:t xml:space="preserve"> the inclusion criteria were broadened to include slightly different populations than those specified in the PICO criteria outlined </w:t>
      </w:r>
      <w:r w:rsidRPr="00124E3B">
        <w:t>a priori</w:t>
      </w:r>
      <w:r>
        <w:rPr>
          <w:i/>
        </w:rPr>
        <w:t xml:space="preserve">. </w:t>
      </w:r>
    </w:p>
    <w:p w14:paraId="56CBB7A8" w14:textId="77777777" w:rsidR="009E390A" w:rsidRPr="00183E4D" w:rsidRDefault="009E390A" w:rsidP="00161B88">
      <w:pPr>
        <w:pStyle w:val="Heading3"/>
      </w:pPr>
      <w:bookmarkStart w:id="77" w:name="_Toc395200749"/>
      <w:bookmarkStart w:id="78" w:name="_Toc432677325"/>
      <w:bookmarkStart w:id="79" w:name="_Toc450051651"/>
      <w:bookmarkStart w:id="80" w:name="_Toc451501267"/>
      <w:r w:rsidRPr="00183E4D">
        <w:rPr>
          <w:rStyle w:val="Heading3Char"/>
          <w:b/>
          <w:smallCaps/>
        </w:rPr>
        <w:t>Characteristics of the Evidence Base</w:t>
      </w:r>
      <w:bookmarkEnd w:id="66"/>
      <w:bookmarkEnd w:id="67"/>
      <w:bookmarkEnd w:id="68"/>
      <w:bookmarkEnd w:id="77"/>
      <w:bookmarkEnd w:id="78"/>
      <w:bookmarkEnd w:id="79"/>
      <w:bookmarkEnd w:id="80"/>
    </w:p>
    <w:p w14:paraId="60518265" w14:textId="3F387BB3" w:rsidR="009E390A" w:rsidRDefault="009E390A" w:rsidP="004C79C1">
      <w:pPr>
        <w:spacing w:after="120" w:line="240" w:lineRule="auto"/>
        <w:jc w:val="both"/>
      </w:pPr>
      <w:r>
        <w:t xml:space="preserve">The characteristics of the evidence informing each of the steps of the linked analysis are shown in </w:t>
      </w:r>
      <w:r>
        <w:fldChar w:fldCharType="begin"/>
      </w:r>
      <w:r>
        <w:instrText xml:space="preserve"> REF _Ref448482113 \h  \* MERGEFORMAT </w:instrText>
      </w:r>
      <w:r>
        <w:fldChar w:fldCharType="separate"/>
      </w:r>
      <w:r w:rsidR="00460601" w:rsidRPr="00095EE2">
        <w:t xml:space="preserve">Table </w:t>
      </w:r>
      <w:r w:rsidR="00460601">
        <w:rPr>
          <w:noProof/>
        </w:rPr>
        <w:t>1</w:t>
      </w:r>
      <w:r>
        <w:fldChar w:fldCharType="end"/>
      </w:r>
      <w:r>
        <w:t xml:space="preserve">. The transferability of results between the linkages could be questioned as the population had to be broadened. For instance, the diagnostic performance studies included patients with </w:t>
      </w:r>
      <w:r w:rsidR="00427FD9">
        <w:t>HF</w:t>
      </w:r>
      <w:r>
        <w:t xml:space="preserve"> but it was not clear (due to reporting in the studies) whether these patients had dilated</w:t>
      </w:r>
      <w:r w:rsidR="0068365A">
        <w:t xml:space="preserve"> </w:t>
      </w:r>
      <w:r w:rsidR="00427FD9">
        <w:t>LV</w:t>
      </w:r>
      <w:r>
        <w:t xml:space="preserve">s or were suspected of DCM. </w:t>
      </w:r>
    </w:p>
    <w:p w14:paraId="320438C8" w14:textId="74EE617C" w:rsidR="009E390A" w:rsidRPr="00183E4D" w:rsidRDefault="009E390A" w:rsidP="004C79C1">
      <w:pPr>
        <w:pStyle w:val="Caption"/>
        <w:keepNext/>
      </w:pPr>
      <w:bookmarkStart w:id="81" w:name="_Ref448482113"/>
      <w:bookmarkStart w:id="82" w:name="_Toc446419010"/>
      <w:bookmarkStart w:id="83" w:name="_Toc450052014"/>
      <w:bookmarkStart w:id="84" w:name="_Toc324410100"/>
      <w:bookmarkStart w:id="85" w:name="_Toc451435328"/>
      <w:r w:rsidRPr="00095EE2">
        <w:lastRenderedPageBreak/>
        <w:t xml:space="preserve">Table </w:t>
      </w:r>
      <w:fldSimple w:instr=" SEQ Table \* ARABIC ">
        <w:r w:rsidR="00050936">
          <w:rPr>
            <w:noProof/>
          </w:rPr>
          <w:t>1</w:t>
        </w:r>
      </w:fldSimple>
      <w:bookmarkEnd w:id="81"/>
      <w:r w:rsidRPr="00095EE2">
        <w:tab/>
        <w:t>Key features of the included linked evidence</w:t>
      </w:r>
      <w:bookmarkEnd w:id="82"/>
      <w:bookmarkEnd w:id="83"/>
      <w:bookmarkEnd w:id="84"/>
      <w:bookmarkEnd w:id="85"/>
      <w:r>
        <w:t xml:space="preserve"> </w:t>
      </w:r>
    </w:p>
    <w:tbl>
      <w:tblPr>
        <w:tblStyle w:val="TableGrid1"/>
        <w:tblW w:w="5000" w:type="pct"/>
        <w:tblLook w:val="04A0" w:firstRow="1" w:lastRow="0" w:firstColumn="1" w:lastColumn="0" w:noHBand="0" w:noVBand="1"/>
        <w:tblCaption w:val="Table 2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004"/>
        <w:gridCol w:w="6273"/>
        <w:gridCol w:w="965"/>
      </w:tblGrid>
      <w:tr w:rsidR="009E390A" w:rsidRPr="00183E4D" w14:paraId="438EC8F3" w14:textId="77777777" w:rsidTr="00DE65AE">
        <w:trPr>
          <w:cnfStyle w:val="100000000000" w:firstRow="1" w:lastRow="0" w:firstColumn="0" w:lastColumn="0" w:oddVBand="0" w:evenVBand="0" w:oddHBand="0" w:evenHBand="0" w:firstRowFirstColumn="0" w:firstRowLastColumn="0" w:lastRowFirstColumn="0" w:lastRowLastColumn="0"/>
          <w:tblHeader/>
        </w:trPr>
        <w:tc>
          <w:tcPr>
            <w:tcW w:w="1084" w:type="pct"/>
          </w:tcPr>
          <w:p w14:paraId="67030D32" w14:textId="77777777" w:rsidR="009E390A" w:rsidRPr="00183E4D" w:rsidRDefault="009E390A" w:rsidP="004C79C1">
            <w:pPr>
              <w:pStyle w:val="TableHeading"/>
              <w:spacing w:before="0" w:after="120"/>
              <w:jc w:val="center"/>
              <w:rPr>
                <w:snapToGrid w:val="0"/>
                <w:lang w:eastAsia="en-US"/>
              </w:rPr>
            </w:pPr>
            <w:r>
              <w:rPr>
                <w:snapToGrid w:val="0"/>
                <w:lang w:eastAsia="en-US"/>
              </w:rPr>
              <w:t>Type of evidence</w:t>
            </w:r>
          </w:p>
        </w:tc>
        <w:tc>
          <w:tcPr>
            <w:tcW w:w="3394" w:type="pct"/>
          </w:tcPr>
          <w:p w14:paraId="7B1E2E5F" w14:textId="77777777" w:rsidR="009E390A" w:rsidRPr="00183E4D" w:rsidRDefault="009E390A" w:rsidP="004C79C1">
            <w:pPr>
              <w:pStyle w:val="TableHeading"/>
              <w:spacing w:before="0" w:after="120"/>
              <w:jc w:val="center"/>
              <w:rPr>
                <w:snapToGrid w:val="0"/>
                <w:lang w:eastAsia="en-US"/>
              </w:rPr>
            </w:pPr>
            <w:r>
              <w:rPr>
                <w:snapToGrid w:val="0"/>
                <w:lang w:eastAsia="en-US"/>
              </w:rPr>
              <w:t>Description</w:t>
            </w:r>
          </w:p>
        </w:tc>
        <w:tc>
          <w:tcPr>
            <w:tcW w:w="0" w:type="auto"/>
          </w:tcPr>
          <w:p w14:paraId="4FE5F257" w14:textId="77777777" w:rsidR="009E390A" w:rsidRPr="00183E4D" w:rsidRDefault="009E390A" w:rsidP="004C79C1">
            <w:pPr>
              <w:pStyle w:val="TableHeading"/>
              <w:spacing w:before="0" w:after="120"/>
              <w:ind w:left="0" w:firstLine="0"/>
              <w:jc w:val="center"/>
              <w:rPr>
                <w:snapToGrid w:val="0"/>
                <w:lang w:eastAsia="en-US"/>
              </w:rPr>
            </w:pPr>
            <w:r w:rsidRPr="00DE17EC">
              <w:rPr>
                <w:snapToGrid w:val="0"/>
                <w:lang w:eastAsia="en-US"/>
              </w:rPr>
              <w:t>Evidence bas</w:t>
            </w:r>
            <w:r>
              <w:rPr>
                <w:snapToGrid w:val="0"/>
                <w:lang w:eastAsia="en-US"/>
              </w:rPr>
              <w:t>e</w:t>
            </w:r>
          </w:p>
        </w:tc>
      </w:tr>
      <w:tr w:rsidR="009E390A" w:rsidRPr="00AC19CA" w14:paraId="5960AE5F" w14:textId="77777777" w:rsidTr="00783817">
        <w:tc>
          <w:tcPr>
            <w:tcW w:w="1084" w:type="pct"/>
          </w:tcPr>
          <w:p w14:paraId="57BFE7D8" w14:textId="77777777" w:rsidR="009E390A" w:rsidRDefault="009E390A" w:rsidP="004C79C1">
            <w:pPr>
              <w:pStyle w:val="TableText0"/>
              <w:spacing w:before="0" w:after="120"/>
              <w:rPr>
                <w:snapToGrid w:val="0"/>
              </w:rPr>
            </w:pPr>
            <w:r w:rsidRPr="00AC19CA">
              <w:rPr>
                <w:snapToGrid w:val="0"/>
              </w:rPr>
              <w:t>Prognostic evidence</w:t>
            </w:r>
          </w:p>
          <w:p w14:paraId="782E33F0" w14:textId="1F28C2F7" w:rsidR="009E390A" w:rsidRPr="00AC19CA" w:rsidRDefault="009E390A" w:rsidP="004C79C1">
            <w:pPr>
              <w:pStyle w:val="TableText0"/>
              <w:spacing w:before="0" w:after="120"/>
              <w:rPr>
                <w:snapToGrid w:val="0"/>
              </w:rPr>
            </w:pPr>
            <w:r>
              <w:rPr>
                <w:snapToGrid w:val="0"/>
              </w:rPr>
              <w:t>(</w:t>
            </w:r>
            <w:r w:rsidR="00646B14">
              <w:rPr>
                <w:snapToGrid w:val="0"/>
              </w:rPr>
              <w:t>s</w:t>
            </w:r>
            <w:r>
              <w:rPr>
                <w:snapToGrid w:val="0"/>
              </w:rPr>
              <w:t>ection B4.2)</w:t>
            </w:r>
          </w:p>
        </w:tc>
        <w:tc>
          <w:tcPr>
            <w:tcW w:w="3394" w:type="pct"/>
          </w:tcPr>
          <w:p w14:paraId="1F8B82AA" w14:textId="45EE38C7" w:rsidR="009E390A" w:rsidRDefault="009E390A" w:rsidP="004C79C1">
            <w:pPr>
              <w:pStyle w:val="TableText0"/>
              <w:spacing w:before="0" w:after="120"/>
              <w:rPr>
                <w:bCs/>
              </w:rPr>
            </w:pPr>
            <w:r>
              <w:rPr>
                <w:bCs/>
              </w:rPr>
              <w:t>Four SRs of variable quality were included that reported on the prognostic value of cardiac scar tissue identified by CMR in patients with DCM. One good</w:t>
            </w:r>
            <w:r w:rsidR="000533FC">
              <w:rPr>
                <w:bCs/>
              </w:rPr>
              <w:t>-</w:t>
            </w:r>
            <w:r>
              <w:rPr>
                <w:bCs/>
              </w:rPr>
              <w:t>quality SR compared the prognosis of patients diagnosed with NIDCM with those diagnosed with ICM.</w:t>
            </w:r>
          </w:p>
          <w:p w14:paraId="46206CA1" w14:textId="21BBB828" w:rsidR="009E390A" w:rsidRPr="00AC19CA" w:rsidRDefault="009E390A" w:rsidP="004C79C1">
            <w:pPr>
              <w:pStyle w:val="TableText0"/>
              <w:spacing w:before="0" w:after="120"/>
              <w:rPr>
                <w:snapToGrid w:val="0"/>
              </w:rPr>
            </w:pPr>
            <w:r>
              <w:t xml:space="preserve">Of the 30 included studies (18 were in one or more of the SRs, 12 </w:t>
            </w:r>
            <w:r w:rsidR="00774F57">
              <w:t xml:space="preserve">were </w:t>
            </w:r>
            <w:r>
              <w:t>identified through literature search), 25 were prospective studies (level II prognostic evidence)</w:t>
            </w:r>
            <w:r>
              <w:fldChar w:fldCharType="begin">
                <w:fldData xml:space="preserve">PEVuZE5vdGU+PENpdGU+PEF1dGhvcj5NZXJsaW48L0F1dGhvcj48WWVhcj4yMDA5PC9ZZWFyPjxS
ZWNOdW0+Nzc8L1JlY051bT48SURUZXh0PjM0PC9JRFRleHQ+PERpc3BsYXlUZXh0PihNZXJsaW4s
IFdlc3RvbiAmYW1wOyBUb29oZXIgMjAwOTsgTkhNUkMgMjAwMCk8L0Rpc3BsYXlUZXh0PjxyZWNv
cmQ+PHJlYy1udW1iZXI+Nzc8L3JlYy1udW1iZXI+PGZvcmVpZ24ta2V5cz48a2V5IGFwcD0iRU4i
IGRiLWlkPSJwZnh4dnJlZjB0MGE1ZGUydndudjJmd2t6MHA5djByMmZ3MHQiIHRpbWVzdGFtcD0i
MTQ1ODExMDM2MyI+Nzc8L2tleT48L2ZvcmVpZ24ta2V5cz48cmVmLXR5cGUgbmFtZT0iSm91cm5h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dmVscyBvZiBldmlkZW5jZSZhcG9zOzwvdGl0bGU+PHNlY29uZGFyeS10aXRsZT5CTUMgTWVkaWNh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</w:fldData>
              </w:fldChar>
            </w:r>
            <w:r>
              <w:instrText xml:space="preserve"> ADDIN EN.CITE </w:instrText>
            </w:r>
            <w:r>
              <w:fldChar w:fldCharType="begin">
                <w:fldData xml:space="preserve">PEVuZE5vdGU+PENpdGU+PEF1dGhvcj5NZXJsaW48L0F1dGhvcj48WWVhcj4yMDA5PC9ZZWFyPjxS
ZWNOdW0+Nzc8L1JlY051bT48SURUZXh0PjM0PC9JRFRleHQ+PERpc3BsYXlUZXh0PihNZXJsaW4s
IFdlc3RvbiAmYW1wOyBUb29oZXIgMjAwOTsgTkhNUkMgMjAwMCk8L0Rpc3BsYXlUZXh0PjxyZWNv
cmQ+PHJlYy1udW1iZXI+Nzc8L3JlYy1udW1iZXI+PGZvcmVpZ24ta2V5cz48a2V5IGFwcD0iRU4i
IGRiLWlkPSJwZnh4dnJlZjB0MGE1ZGUydndudjJmd2t6MHA5djByMmZ3MHQiIHRpbWVzdGFtcD0i
MTQ1ODExMDM2MyI+Nzc8L2tleT48L2ZvcmVpZ24ta2V5cz48cmVmLXR5cGUgbmFtZT0iSm91cm5h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dmVscyBvZiBldmlkZW5jZSZhcG9zOzwvdGl0bGU+PHNlY29uZGFyeS10aXRsZT5CTUMgTWVkaWNh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</w:fldData>
              </w:fldChar>
            </w:r>
            <w:r>
              <w:instrText xml:space="preserve"> ADDIN EN.CITE.DATA </w:instrText>
            </w:r>
            <w:r>
              <w:fldChar w:fldCharType="end"/>
            </w:r>
            <w:r>
              <w:fldChar w:fldCharType="end"/>
            </w:r>
            <w:r>
              <w:t xml:space="preserve"> </w:t>
            </w:r>
            <w:hyperlink w:anchor="_ENREF_90" w:tooltip="Merlin, 2009 #77" w:history="1">
              <w:r>
                <w:t>(Merlin, Weston &amp; Tooher 200</w:t>
              </w:r>
            </w:hyperlink>
            <w:r>
              <w:t>9;</w:t>
            </w:r>
            <w:hyperlink w:anchor="_ENREF_105" w:tooltip="NHMRC, 2000 #78" w:history="1">
              <w:r>
                <w:t xml:space="preserve"> NHMRC 200</w:t>
              </w:r>
            </w:hyperlink>
            <w:r>
              <w:t xml:space="preserve">0) and </w:t>
            </w:r>
            <w:r w:rsidR="00774F57">
              <w:t xml:space="preserve">5 </w:t>
            </w:r>
            <w:r>
              <w:t xml:space="preserve">were retrospective cohort studies providing level III-3 evidence </w:t>
            </w:r>
            <w:hyperlink w:anchor="_ENREF_90" w:tooltip="Merlin, 2009 #77" w:history="1">
              <w:r>
                <w:t>(Merlin, Weston &amp; Tooher 200</w:t>
              </w:r>
            </w:hyperlink>
            <w:r>
              <w:t>9;</w:t>
            </w:r>
            <w:hyperlink w:anchor="_ENREF_105" w:tooltip="NHMRC, 2000 #78" w:history="1">
              <w:r>
                <w:t xml:space="preserve"> NHMRC 200</w:t>
              </w:r>
            </w:hyperlink>
            <w:r>
              <w:t>0).</w:t>
            </w:r>
          </w:p>
        </w:tc>
        <w:tc>
          <w:tcPr>
            <w:tcW w:w="522" w:type="pct"/>
          </w:tcPr>
          <w:p w14:paraId="64F43128" w14:textId="77777777" w:rsidR="009E390A" w:rsidRDefault="009E390A" w:rsidP="004C79C1">
            <w:pPr>
              <w:pStyle w:val="TableText0"/>
              <w:spacing w:before="0" w:after="120"/>
              <w:jc w:val="center"/>
              <w:rPr>
                <w:snapToGrid w:val="0"/>
              </w:rPr>
            </w:pPr>
            <w:r>
              <w:rPr>
                <w:snapToGrid w:val="0"/>
              </w:rPr>
              <w:t>SRs=5</w:t>
            </w:r>
          </w:p>
          <w:p w14:paraId="070EAF1D" w14:textId="1FEE77AC" w:rsidR="009E390A" w:rsidRPr="00AC19CA" w:rsidRDefault="004E46D6" w:rsidP="004C79C1">
            <w:pPr>
              <w:pStyle w:val="TableText0"/>
              <w:spacing w:before="0" w:after="120"/>
              <w:jc w:val="center"/>
              <w:rPr>
                <w:snapToGrid w:val="0"/>
              </w:rPr>
            </w:pPr>
            <w:r>
              <w:rPr>
                <w:snapToGrid w:val="0"/>
              </w:rPr>
              <w:t>K</w:t>
            </w:r>
            <w:r w:rsidR="009E390A" w:rsidRPr="00AC19CA">
              <w:rPr>
                <w:snapToGrid w:val="0"/>
              </w:rPr>
              <w:t>=</w:t>
            </w:r>
            <w:r w:rsidR="009E390A">
              <w:rPr>
                <w:snapToGrid w:val="0"/>
              </w:rPr>
              <w:t>30</w:t>
            </w:r>
          </w:p>
        </w:tc>
      </w:tr>
      <w:tr w:rsidR="009E390A" w:rsidRPr="00AC19CA" w14:paraId="24F24454" w14:textId="77777777" w:rsidTr="00783817">
        <w:tc>
          <w:tcPr>
            <w:tcW w:w="1084" w:type="pct"/>
          </w:tcPr>
          <w:p w14:paraId="6D0E4D3F" w14:textId="77777777" w:rsidR="009E390A" w:rsidRDefault="009E390A" w:rsidP="004C79C1">
            <w:pPr>
              <w:pStyle w:val="TableText0"/>
              <w:spacing w:before="0" w:after="120"/>
              <w:rPr>
                <w:snapToGrid w:val="0"/>
              </w:rPr>
            </w:pPr>
            <w:r w:rsidRPr="00AC19CA">
              <w:rPr>
                <w:snapToGrid w:val="0"/>
              </w:rPr>
              <w:t>Diagnostic performance</w:t>
            </w:r>
          </w:p>
          <w:p w14:paraId="58B668D0" w14:textId="2D95D2CF" w:rsidR="009E390A" w:rsidRDefault="009E390A" w:rsidP="004C79C1">
            <w:pPr>
              <w:pStyle w:val="TableText0"/>
              <w:spacing w:before="0" w:after="120"/>
              <w:rPr>
                <w:snapToGrid w:val="0"/>
              </w:rPr>
            </w:pPr>
            <w:r>
              <w:rPr>
                <w:snapToGrid w:val="0"/>
              </w:rPr>
              <w:t>(</w:t>
            </w:r>
            <w:r w:rsidR="00646B14">
              <w:rPr>
                <w:snapToGrid w:val="0"/>
              </w:rPr>
              <w:t>s</w:t>
            </w:r>
            <w:r>
              <w:rPr>
                <w:snapToGrid w:val="0"/>
              </w:rPr>
              <w:t xml:space="preserve">ection B3) and </w:t>
            </w:r>
          </w:p>
          <w:p w14:paraId="68DFE860" w14:textId="782345A0" w:rsidR="009E390A" w:rsidRDefault="009E390A" w:rsidP="004C79C1">
            <w:pPr>
              <w:pStyle w:val="TableText0"/>
              <w:spacing w:before="0" w:after="120"/>
              <w:rPr>
                <w:snapToGrid w:val="0"/>
              </w:rPr>
            </w:pPr>
            <w:r>
              <w:rPr>
                <w:snapToGrid w:val="0"/>
              </w:rPr>
              <w:t xml:space="preserve">Clinical </w:t>
            </w:r>
            <w:r w:rsidR="000533FC">
              <w:rPr>
                <w:snapToGrid w:val="0"/>
              </w:rPr>
              <w:t>v</w:t>
            </w:r>
            <w:r>
              <w:rPr>
                <w:snapToGrid w:val="0"/>
              </w:rPr>
              <w:t xml:space="preserve">alidity </w:t>
            </w:r>
          </w:p>
          <w:p w14:paraId="70E28B88" w14:textId="005316CF" w:rsidR="009E390A" w:rsidRPr="00AC19CA" w:rsidRDefault="009E390A" w:rsidP="004C79C1">
            <w:pPr>
              <w:pStyle w:val="TableText0"/>
              <w:spacing w:before="0" w:after="120"/>
              <w:rPr>
                <w:snapToGrid w:val="0"/>
              </w:rPr>
            </w:pPr>
            <w:r>
              <w:rPr>
                <w:snapToGrid w:val="0"/>
              </w:rPr>
              <w:t>(</w:t>
            </w:r>
            <w:r w:rsidR="00646B14">
              <w:rPr>
                <w:snapToGrid w:val="0"/>
              </w:rPr>
              <w:t>s</w:t>
            </w:r>
            <w:r>
              <w:rPr>
                <w:snapToGrid w:val="0"/>
              </w:rPr>
              <w:t>ection B4)</w:t>
            </w:r>
          </w:p>
        </w:tc>
        <w:tc>
          <w:tcPr>
            <w:tcW w:w="3394" w:type="pct"/>
          </w:tcPr>
          <w:p w14:paraId="3E0FC662" w14:textId="22FC781F" w:rsidR="009E390A" w:rsidRDefault="009E390A" w:rsidP="004C79C1">
            <w:pPr>
              <w:pStyle w:val="TableText0"/>
              <w:spacing w:before="0" w:after="120"/>
              <w:rPr>
                <w:snapToGrid w:val="0"/>
              </w:rPr>
            </w:pPr>
            <w:r w:rsidRPr="00AC19CA">
              <w:rPr>
                <w:snapToGrid w:val="0"/>
              </w:rPr>
              <w:t>One</w:t>
            </w:r>
            <w:r>
              <w:rPr>
                <w:snapToGrid w:val="0"/>
              </w:rPr>
              <w:t xml:space="preserve"> high</w:t>
            </w:r>
            <w:r w:rsidR="00774F57">
              <w:rPr>
                <w:snapToGrid w:val="0"/>
              </w:rPr>
              <w:t>-</w:t>
            </w:r>
            <w:r>
              <w:rPr>
                <w:snapToGrid w:val="0"/>
              </w:rPr>
              <w:t xml:space="preserve">quality level III-1 </w:t>
            </w:r>
            <w:r w:rsidRPr="00AC19CA">
              <w:rPr>
                <w:snapToGrid w:val="0"/>
              </w:rPr>
              <w:t>study was</w:t>
            </w:r>
            <w:r>
              <w:rPr>
                <w:snapToGrid w:val="0"/>
              </w:rPr>
              <w:t xml:space="preserve"> identified that reported on the accuracy of CMR at diagnosing DCM. </w:t>
            </w:r>
          </w:p>
          <w:p w14:paraId="7E3A7FAE" w14:textId="77777777" w:rsidR="009E390A" w:rsidRDefault="009E390A" w:rsidP="004C79C1">
            <w:pPr>
              <w:pStyle w:val="TableText0"/>
              <w:spacing w:before="0" w:after="120"/>
            </w:pPr>
            <w:r>
              <w:rPr>
                <w:snapToGrid w:val="0"/>
              </w:rPr>
              <w:t xml:space="preserve">Eight studies determined the performance of CMR in diagnosing ischaemic or non-ischaemic aetiology, with two different reference standards: </w:t>
            </w:r>
            <w:r w:rsidRPr="00BF53EF">
              <w:t>ICA (k=6</w:t>
            </w:r>
            <w:r>
              <w:t xml:space="preserve">; GRADE </w:t>
            </w:r>
            <w:r w:rsidRPr="0037119C">
              <w:rPr>
                <w:rFonts w:ascii="Cambria Math" w:hAnsi="Cambria Math" w:cs="Cambria Math"/>
              </w:rPr>
              <w:t>⨁⨁⨀⨀</w:t>
            </w:r>
            <w:r w:rsidRPr="00BF53EF">
              <w:t>) and clinical diagnosis (k=2</w:t>
            </w:r>
            <w:r>
              <w:t>;</w:t>
            </w:r>
            <w:r w:rsidRPr="0037119C">
              <w:t xml:space="preserve"> </w:t>
            </w:r>
            <w:r>
              <w:t xml:space="preserve">GRADE </w:t>
            </w:r>
            <w:r w:rsidRPr="0037119C">
              <w:rPr>
                <w:rFonts w:ascii="Cambria Math" w:hAnsi="Cambria Math" w:cs="Cambria Math"/>
              </w:rPr>
              <w:t>⨁⨁⨁⨁</w:t>
            </w:r>
            <w:r w:rsidRPr="00BF53EF">
              <w:t>)</w:t>
            </w:r>
            <w:r>
              <w:t>.</w:t>
            </w:r>
          </w:p>
          <w:p w14:paraId="25412D80" w14:textId="77777777" w:rsidR="009E390A" w:rsidRDefault="009E390A" w:rsidP="004C79C1">
            <w:pPr>
              <w:pStyle w:val="TableText0"/>
              <w:spacing w:before="0" w:after="120"/>
              <w:rPr>
                <w:snapToGrid w:val="0"/>
              </w:rPr>
            </w:pPr>
            <w:r>
              <w:t>Three studies determined the performance of CMR in determining</w:t>
            </w:r>
            <w:r w:rsidRPr="00380F56">
              <w:t xml:space="preserve"> whether there was an inf</w:t>
            </w:r>
            <w:r w:rsidRPr="0037119C">
              <w:t>lammatory aetiology in DCM</w:t>
            </w:r>
            <w:r>
              <w:t xml:space="preserve"> cases</w:t>
            </w:r>
            <w:r w:rsidRPr="0037119C">
              <w:t xml:space="preserve">, using </w:t>
            </w:r>
            <w:r>
              <w:t xml:space="preserve">EMB </w:t>
            </w:r>
            <w:r w:rsidRPr="0037119C">
              <w:t>as the reference standard</w:t>
            </w:r>
            <w:r>
              <w:t xml:space="preserve"> (GRADE </w:t>
            </w:r>
            <w:r w:rsidRPr="0037119C">
              <w:rPr>
                <w:rFonts w:ascii="Cambria Math" w:hAnsi="Cambria Math" w:cs="Cambria Math"/>
              </w:rPr>
              <w:t>⨁⨁⨀⨀</w:t>
            </w:r>
            <w:r w:rsidRPr="0037119C">
              <w:t>)</w:t>
            </w:r>
            <w:r>
              <w:t>.</w:t>
            </w:r>
          </w:p>
          <w:p w14:paraId="507B4192" w14:textId="77777777" w:rsidR="009E390A" w:rsidRPr="00AC19CA" w:rsidRDefault="009E390A" w:rsidP="004C79C1">
            <w:pPr>
              <w:pStyle w:val="TableText0"/>
              <w:spacing w:before="0" w:after="120"/>
              <w:rPr>
                <w:snapToGrid w:val="0"/>
              </w:rPr>
            </w:pPr>
            <w:r>
              <w:rPr>
                <w:snapToGrid w:val="0"/>
              </w:rPr>
              <w:t>Three of the included studies also compared CMR with one of the identified comparators.</w:t>
            </w:r>
          </w:p>
        </w:tc>
        <w:tc>
          <w:tcPr>
            <w:tcW w:w="522" w:type="pct"/>
          </w:tcPr>
          <w:p w14:paraId="238F4F1D" w14:textId="1577995D" w:rsidR="009E390A" w:rsidRPr="00AC19CA" w:rsidRDefault="004E46D6" w:rsidP="004C79C1">
            <w:pPr>
              <w:pStyle w:val="TableText0"/>
              <w:spacing w:before="0" w:after="120"/>
              <w:jc w:val="center"/>
              <w:rPr>
                <w:snapToGrid w:val="0"/>
              </w:rPr>
            </w:pPr>
            <w:r>
              <w:rPr>
                <w:snapToGrid w:val="0"/>
              </w:rPr>
              <w:t>K</w:t>
            </w:r>
            <w:r w:rsidR="009E390A" w:rsidRPr="00AC19CA">
              <w:rPr>
                <w:snapToGrid w:val="0"/>
              </w:rPr>
              <w:t>=12</w:t>
            </w:r>
          </w:p>
          <w:p w14:paraId="4BDAD38A" w14:textId="17B5A88B" w:rsidR="009E390A" w:rsidRPr="00AC19CA" w:rsidRDefault="004E46D6" w:rsidP="004C79C1">
            <w:pPr>
              <w:pStyle w:val="TableText0"/>
              <w:spacing w:before="0" w:after="120"/>
              <w:jc w:val="center"/>
              <w:rPr>
                <w:snapToGrid w:val="0"/>
              </w:rPr>
            </w:pPr>
            <w:r>
              <w:rPr>
                <w:snapToGrid w:val="0"/>
              </w:rPr>
              <w:t>N</w:t>
            </w:r>
            <w:r w:rsidR="009E390A" w:rsidRPr="00AC19CA">
              <w:rPr>
                <w:snapToGrid w:val="0"/>
              </w:rPr>
              <w:t>=753</w:t>
            </w:r>
          </w:p>
        </w:tc>
      </w:tr>
      <w:tr w:rsidR="009E390A" w:rsidRPr="00AC19CA" w14:paraId="198210A8" w14:textId="77777777" w:rsidTr="00783817">
        <w:tc>
          <w:tcPr>
            <w:tcW w:w="1084" w:type="pct"/>
          </w:tcPr>
          <w:p w14:paraId="7D341345" w14:textId="77777777" w:rsidR="009E390A" w:rsidRDefault="009E390A" w:rsidP="004C79C1">
            <w:pPr>
              <w:pStyle w:val="TableText0"/>
              <w:spacing w:before="0" w:after="120"/>
              <w:rPr>
                <w:snapToGrid w:val="0"/>
              </w:rPr>
            </w:pPr>
            <w:r w:rsidRPr="00AC19CA">
              <w:rPr>
                <w:snapToGrid w:val="0"/>
              </w:rPr>
              <w:t>Therapeutic efficacy</w:t>
            </w:r>
          </w:p>
          <w:p w14:paraId="51D42637" w14:textId="13092C0B" w:rsidR="009E390A" w:rsidRPr="00AC19CA" w:rsidRDefault="009E390A" w:rsidP="004C79C1">
            <w:pPr>
              <w:pStyle w:val="TableText0"/>
              <w:spacing w:before="0" w:after="120"/>
              <w:rPr>
                <w:snapToGrid w:val="0"/>
              </w:rPr>
            </w:pPr>
            <w:r>
              <w:rPr>
                <w:snapToGrid w:val="0"/>
              </w:rPr>
              <w:t>(</w:t>
            </w:r>
            <w:r w:rsidR="00646B14">
              <w:rPr>
                <w:snapToGrid w:val="0"/>
              </w:rPr>
              <w:t>s</w:t>
            </w:r>
            <w:r>
              <w:rPr>
                <w:snapToGrid w:val="0"/>
              </w:rPr>
              <w:t>ection B5.1)</w:t>
            </w:r>
          </w:p>
        </w:tc>
        <w:tc>
          <w:tcPr>
            <w:tcW w:w="3394" w:type="pct"/>
          </w:tcPr>
          <w:p w14:paraId="52CAF867" w14:textId="118CA30C" w:rsidR="009E390A" w:rsidRDefault="009E390A" w:rsidP="004C79C1">
            <w:pPr>
              <w:pStyle w:val="TableText0"/>
              <w:spacing w:before="0" w:after="120"/>
              <w:rPr>
                <w:snapToGrid w:val="0"/>
              </w:rPr>
            </w:pPr>
            <w:r>
              <w:rPr>
                <w:snapToGrid w:val="0"/>
              </w:rPr>
              <w:t>One cohort study (</w:t>
            </w:r>
            <w:r>
              <w:t xml:space="preserve">GRADE </w:t>
            </w:r>
            <w:r w:rsidRPr="0037119C">
              <w:rPr>
                <w:rFonts w:ascii="Cambria Math" w:hAnsi="Cambria Math" w:cs="Cambria Math"/>
              </w:rPr>
              <w:t>⨁⨁⨀⨀</w:t>
            </w:r>
            <w:r w:rsidRPr="0037119C">
              <w:t>)</w:t>
            </w:r>
            <w:r w:rsidR="00774F57">
              <w:t xml:space="preserve"> </w:t>
            </w:r>
            <w:r>
              <w:rPr>
                <w:snapToGrid w:val="0"/>
              </w:rPr>
              <w:t xml:space="preserve">was identified that reported on the impact of CMR on patient management in patients suspected of DCM (n=88). </w:t>
            </w:r>
          </w:p>
          <w:p w14:paraId="4FA85AE3" w14:textId="4E6303A5" w:rsidR="009E390A" w:rsidRPr="00AC19CA" w:rsidRDefault="009E390A" w:rsidP="004C79C1">
            <w:pPr>
              <w:pStyle w:val="TableText0"/>
              <w:spacing w:before="0" w:after="120"/>
              <w:rPr>
                <w:snapToGrid w:val="0"/>
              </w:rPr>
            </w:pPr>
            <w:r>
              <w:rPr>
                <w:snapToGrid w:val="0"/>
              </w:rPr>
              <w:t>Three case series were included on the impact of CMR on the management of a broader population (HF symptoms, unspecified CM)</w:t>
            </w:r>
            <w:r w:rsidR="00B30A47">
              <w:rPr>
                <w:snapToGrid w:val="0"/>
              </w:rPr>
              <w:t>.</w:t>
            </w:r>
          </w:p>
        </w:tc>
        <w:tc>
          <w:tcPr>
            <w:tcW w:w="522" w:type="pct"/>
          </w:tcPr>
          <w:p w14:paraId="08B39DA5" w14:textId="6E5332C5" w:rsidR="009E390A" w:rsidRPr="00AC19CA" w:rsidRDefault="004E46D6" w:rsidP="004C79C1">
            <w:pPr>
              <w:pStyle w:val="TableText0"/>
              <w:spacing w:before="0" w:after="120"/>
              <w:jc w:val="center"/>
              <w:rPr>
                <w:snapToGrid w:val="0"/>
              </w:rPr>
            </w:pPr>
            <w:r>
              <w:rPr>
                <w:snapToGrid w:val="0"/>
              </w:rPr>
              <w:t>K</w:t>
            </w:r>
            <w:r w:rsidR="009E390A" w:rsidRPr="00AC19CA">
              <w:rPr>
                <w:snapToGrid w:val="0"/>
              </w:rPr>
              <w:t>=</w:t>
            </w:r>
            <w:r w:rsidR="009E390A">
              <w:rPr>
                <w:snapToGrid w:val="0"/>
              </w:rPr>
              <w:t>4</w:t>
            </w:r>
          </w:p>
          <w:p w14:paraId="6DB37AFC" w14:textId="43F6AE57" w:rsidR="009E390A" w:rsidRPr="00AC19CA" w:rsidRDefault="004E46D6" w:rsidP="004C79C1">
            <w:pPr>
              <w:pStyle w:val="TableText0"/>
              <w:spacing w:before="0" w:after="120"/>
              <w:jc w:val="center"/>
              <w:rPr>
                <w:snapToGrid w:val="0"/>
              </w:rPr>
            </w:pPr>
            <w:r>
              <w:rPr>
                <w:snapToGrid w:val="0"/>
              </w:rPr>
              <w:t>N</w:t>
            </w:r>
            <w:r w:rsidR="009E390A" w:rsidRPr="00AC19CA">
              <w:rPr>
                <w:snapToGrid w:val="0"/>
              </w:rPr>
              <w:t>=</w:t>
            </w:r>
            <w:r w:rsidR="009E390A">
              <w:rPr>
                <w:snapToGrid w:val="0"/>
              </w:rPr>
              <w:t>4</w:t>
            </w:r>
            <w:r w:rsidR="00A36171">
              <w:rPr>
                <w:snapToGrid w:val="0"/>
              </w:rPr>
              <w:t>,</w:t>
            </w:r>
            <w:r w:rsidR="009E390A">
              <w:rPr>
                <w:snapToGrid w:val="0"/>
              </w:rPr>
              <w:t>237</w:t>
            </w:r>
          </w:p>
        </w:tc>
      </w:tr>
      <w:tr w:rsidR="009E390A" w:rsidRPr="00183E4D" w14:paraId="5D5714D8" w14:textId="77777777" w:rsidTr="00783817">
        <w:tc>
          <w:tcPr>
            <w:tcW w:w="1084" w:type="pct"/>
          </w:tcPr>
          <w:p w14:paraId="2DC5C14B" w14:textId="77777777" w:rsidR="009E390A" w:rsidRDefault="009E390A" w:rsidP="004C79C1">
            <w:pPr>
              <w:pStyle w:val="TableText0"/>
              <w:spacing w:before="0" w:after="120"/>
              <w:rPr>
                <w:snapToGrid w:val="0"/>
              </w:rPr>
            </w:pPr>
            <w:r w:rsidRPr="00AC19CA">
              <w:rPr>
                <w:snapToGrid w:val="0"/>
              </w:rPr>
              <w:t>Therapeutic effectiveness</w:t>
            </w:r>
          </w:p>
          <w:p w14:paraId="16951FEF" w14:textId="5330E6CD" w:rsidR="009E390A" w:rsidRPr="00AC19CA" w:rsidRDefault="009E390A" w:rsidP="004C79C1">
            <w:pPr>
              <w:pStyle w:val="TableText0"/>
              <w:spacing w:before="0" w:after="120"/>
              <w:rPr>
                <w:snapToGrid w:val="0"/>
              </w:rPr>
            </w:pPr>
            <w:r>
              <w:rPr>
                <w:snapToGrid w:val="0"/>
              </w:rPr>
              <w:t>(</w:t>
            </w:r>
            <w:r w:rsidR="00B62A81">
              <w:rPr>
                <w:snapToGrid w:val="0"/>
              </w:rPr>
              <w:t>s</w:t>
            </w:r>
            <w:r>
              <w:rPr>
                <w:snapToGrid w:val="0"/>
              </w:rPr>
              <w:t>ection B5.2)</w:t>
            </w:r>
          </w:p>
        </w:tc>
        <w:tc>
          <w:tcPr>
            <w:tcW w:w="3394" w:type="pct"/>
          </w:tcPr>
          <w:p w14:paraId="71F6C473" w14:textId="76EDED2E" w:rsidR="009E390A" w:rsidRDefault="009E390A" w:rsidP="004C79C1">
            <w:pPr>
              <w:pStyle w:val="TableText0"/>
              <w:spacing w:before="0" w:after="120"/>
              <w:rPr>
                <w:snapToGrid w:val="0"/>
              </w:rPr>
            </w:pPr>
            <w:r>
              <w:rPr>
                <w:snapToGrid w:val="0"/>
              </w:rPr>
              <w:t>Two studies included in ‘therapeutic efficacy’ also reported data on health outcomes of patients due to change in management (</w:t>
            </w:r>
            <w:r w:rsidR="00A36171">
              <w:rPr>
                <w:snapToGrid w:val="0"/>
              </w:rPr>
              <w:t xml:space="preserve">1 </w:t>
            </w:r>
            <w:r>
              <w:rPr>
                <w:snapToGrid w:val="0"/>
              </w:rPr>
              <w:t>cohort study and a description of case reports</w:t>
            </w:r>
            <w:r w:rsidR="00C433E4">
              <w:rPr>
                <w:snapToGrid w:val="0"/>
              </w:rPr>
              <w:t xml:space="preserve"> </w:t>
            </w:r>
            <w:r>
              <w:rPr>
                <w:snapToGrid w:val="0"/>
              </w:rPr>
              <w:t>at high risk of bias).</w:t>
            </w:r>
          </w:p>
          <w:p w14:paraId="22DB6B90" w14:textId="6A9685E4" w:rsidR="009E390A" w:rsidRPr="00AC19CA" w:rsidRDefault="009E390A" w:rsidP="004C79C1">
            <w:pPr>
              <w:pStyle w:val="TableText0"/>
              <w:spacing w:before="0" w:after="120"/>
              <w:rPr>
                <w:snapToGrid w:val="0"/>
              </w:rPr>
            </w:pPr>
            <w:r>
              <w:rPr>
                <w:snapToGrid w:val="0"/>
              </w:rPr>
              <w:t xml:space="preserve">In addition, </w:t>
            </w:r>
            <w:r w:rsidR="00A36171">
              <w:rPr>
                <w:snapToGrid w:val="0"/>
              </w:rPr>
              <w:t xml:space="preserve">6 </w:t>
            </w:r>
            <w:r>
              <w:rPr>
                <w:snapToGrid w:val="0"/>
              </w:rPr>
              <w:t xml:space="preserve">SRs (low risk of bias) and </w:t>
            </w:r>
            <w:r w:rsidR="00A36171">
              <w:rPr>
                <w:snapToGrid w:val="0"/>
              </w:rPr>
              <w:t xml:space="preserve">2 </w:t>
            </w:r>
            <w:r>
              <w:rPr>
                <w:snapToGrid w:val="0"/>
              </w:rPr>
              <w:t>HTAs (low and moderate risk of bias) were identified. For more information, se</w:t>
            </w:r>
            <w:r w:rsidRPr="00A841D2">
              <w:rPr>
                <w:snapToGrid w:val="0"/>
              </w:rPr>
              <w:t xml:space="preserve">e </w:t>
            </w:r>
            <w:r w:rsidR="00E011C7">
              <w:rPr>
                <w:snapToGrid w:val="0"/>
              </w:rPr>
              <w:fldChar w:fldCharType="begin"/>
            </w:r>
            <w:r w:rsidR="00E011C7">
              <w:rPr>
                <w:snapToGrid w:val="0"/>
              </w:rPr>
              <w:instrText xml:space="preserve"> REF _Ref451245210 \h </w:instrText>
            </w:r>
            <w:r w:rsidR="00783817">
              <w:rPr>
                <w:snapToGrid w:val="0"/>
              </w:rPr>
              <w:instrText xml:space="preserve"> \* MERGEFORMAT </w:instrText>
            </w:r>
            <w:r w:rsidR="00E011C7">
              <w:rPr>
                <w:snapToGrid w:val="0"/>
              </w:rPr>
            </w:r>
            <w:r w:rsidR="00E011C7">
              <w:rPr>
                <w:snapToGrid w:val="0"/>
              </w:rPr>
              <w:fldChar w:fldCharType="separate"/>
            </w:r>
            <w:r w:rsidR="00E011C7">
              <w:t xml:space="preserve">Table </w:t>
            </w:r>
            <w:r w:rsidR="00E011C7">
              <w:rPr>
                <w:noProof/>
              </w:rPr>
              <w:t>2</w:t>
            </w:r>
            <w:r w:rsidR="00E011C7">
              <w:rPr>
                <w:snapToGrid w:val="0"/>
              </w:rPr>
              <w:fldChar w:fldCharType="end"/>
            </w:r>
            <w:r w:rsidR="00E27282">
              <w:rPr>
                <w:snapToGrid w:val="0"/>
              </w:rPr>
              <w:t>.</w:t>
            </w:r>
          </w:p>
        </w:tc>
        <w:tc>
          <w:tcPr>
            <w:tcW w:w="522" w:type="pct"/>
          </w:tcPr>
          <w:p w14:paraId="56BA297C" w14:textId="77777777" w:rsidR="009E390A" w:rsidRDefault="009E390A" w:rsidP="004C79C1">
            <w:pPr>
              <w:pStyle w:val="TableText0"/>
              <w:spacing w:before="0" w:after="120"/>
              <w:jc w:val="center"/>
              <w:rPr>
                <w:snapToGrid w:val="0"/>
              </w:rPr>
            </w:pPr>
            <w:r>
              <w:rPr>
                <w:snapToGrid w:val="0"/>
              </w:rPr>
              <w:t>SRs=6</w:t>
            </w:r>
          </w:p>
          <w:p w14:paraId="3ED66066" w14:textId="77777777" w:rsidR="009E390A" w:rsidRDefault="009E390A" w:rsidP="004C79C1">
            <w:pPr>
              <w:pStyle w:val="TableText0"/>
              <w:spacing w:before="0" w:after="120"/>
              <w:jc w:val="center"/>
              <w:rPr>
                <w:snapToGrid w:val="0"/>
              </w:rPr>
            </w:pPr>
            <w:r>
              <w:rPr>
                <w:snapToGrid w:val="0"/>
              </w:rPr>
              <w:t xml:space="preserve">HTAs=2 </w:t>
            </w:r>
          </w:p>
          <w:p w14:paraId="413D078A" w14:textId="0A0DD6B0" w:rsidR="009E390A" w:rsidRPr="00AC19CA" w:rsidRDefault="004E46D6" w:rsidP="004C79C1">
            <w:pPr>
              <w:pStyle w:val="TableText0"/>
              <w:spacing w:before="0" w:after="120"/>
              <w:jc w:val="center"/>
              <w:rPr>
                <w:snapToGrid w:val="0"/>
              </w:rPr>
            </w:pPr>
            <w:r>
              <w:rPr>
                <w:snapToGrid w:val="0"/>
              </w:rPr>
              <w:t>K</w:t>
            </w:r>
            <w:r w:rsidR="009E390A" w:rsidRPr="00AC19CA">
              <w:rPr>
                <w:snapToGrid w:val="0"/>
              </w:rPr>
              <w:t>=</w:t>
            </w:r>
            <w:r w:rsidR="009E390A">
              <w:rPr>
                <w:snapToGrid w:val="0"/>
              </w:rPr>
              <w:t>2</w:t>
            </w:r>
          </w:p>
        </w:tc>
      </w:tr>
    </w:tbl>
    <w:p w14:paraId="70C788E5" w14:textId="08A2DC36" w:rsidR="009E390A" w:rsidRPr="00FB5096" w:rsidRDefault="00206A05" w:rsidP="004C79C1">
      <w:pPr>
        <w:pStyle w:val="TableText0"/>
        <w:spacing w:before="0" w:after="120"/>
        <w:jc w:val="both"/>
        <w:rPr>
          <w:snapToGrid w:val="0"/>
        </w:rPr>
      </w:pPr>
      <w:r w:rsidRPr="003126DE">
        <w:t xml:space="preserve">CM = cardiomyopathy; </w:t>
      </w:r>
      <w:r w:rsidR="009E390A" w:rsidRPr="003126DE">
        <w:t xml:space="preserve">CMR = cardiac magnetic resonance </w:t>
      </w:r>
      <w:r w:rsidR="00011A48">
        <w:t>(</w:t>
      </w:r>
      <w:r w:rsidR="009E390A" w:rsidRPr="003126DE">
        <w:t>imaging</w:t>
      </w:r>
      <w:r w:rsidR="00011A48">
        <w:t>)</w:t>
      </w:r>
      <w:r w:rsidR="009E390A" w:rsidRPr="003126DE">
        <w:t xml:space="preserve">; DCM = dilated cardiomyopathy; </w:t>
      </w:r>
      <w:r w:rsidRPr="003126DE">
        <w:t xml:space="preserve">EMB = endomyocardial biopsy; </w:t>
      </w:r>
      <w:r w:rsidR="009E390A" w:rsidRPr="003126DE">
        <w:t>HF = heart failure; HTA = health technology assessment;</w:t>
      </w:r>
      <w:r w:rsidRPr="00124E3B">
        <w:t xml:space="preserve"> </w:t>
      </w:r>
      <w:r w:rsidR="003126DE" w:rsidRPr="00124E3B">
        <w:t xml:space="preserve">ICA = invasive coronary angiography; </w:t>
      </w:r>
      <w:r w:rsidRPr="003126DE">
        <w:t xml:space="preserve">ICM = ischaemic cardiomyopathy; </w:t>
      </w:r>
      <w:r w:rsidR="004E46D6">
        <w:t>K</w:t>
      </w:r>
      <w:r w:rsidR="00A36171" w:rsidRPr="003126DE">
        <w:t xml:space="preserve"> </w:t>
      </w:r>
      <w:r w:rsidRPr="003126DE">
        <w:t>=</w:t>
      </w:r>
      <w:r w:rsidR="00A36171" w:rsidRPr="003126DE">
        <w:t xml:space="preserve"> </w:t>
      </w:r>
      <w:r w:rsidRPr="003126DE">
        <w:t xml:space="preserve">number of studies; </w:t>
      </w:r>
      <w:r w:rsidR="004E46D6">
        <w:t>N</w:t>
      </w:r>
      <w:r w:rsidRPr="003126DE">
        <w:t xml:space="preserve"> = number of patients; NIDCM = non-ischaemic dilated cardiomyopathy; </w:t>
      </w:r>
      <w:r w:rsidR="009E390A" w:rsidRPr="003126DE">
        <w:t>SR = systematic review</w:t>
      </w:r>
      <w:r w:rsidR="009E390A">
        <w:t xml:space="preserve"> </w:t>
      </w:r>
    </w:p>
    <w:p w14:paraId="31DB9EA5" w14:textId="77777777" w:rsidR="009E390A" w:rsidRPr="00183E4D" w:rsidRDefault="009E390A" w:rsidP="00161B88">
      <w:pPr>
        <w:pStyle w:val="Heading3"/>
      </w:pPr>
      <w:bookmarkStart w:id="86" w:name="_Toc395200750"/>
      <w:bookmarkStart w:id="87" w:name="_Toc432677326"/>
      <w:bookmarkStart w:id="88" w:name="_Toc450051652"/>
      <w:bookmarkStart w:id="89" w:name="_Toc451501268"/>
      <w:r w:rsidRPr="00183E4D">
        <w:t>Results</w:t>
      </w:r>
      <w:bookmarkEnd w:id="86"/>
      <w:bookmarkEnd w:id="87"/>
      <w:bookmarkEnd w:id="88"/>
      <w:bookmarkEnd w:id="89"/>
    </w:p>
    <w:p w14:paraId="5161F7AF" w14:textId="77777777" w:rsidR="009E390A" w:rsidRDefault="009E390A" w:rsidP="00161B88">
      <w:pPr>
        <w:pStyle w:val="Heading4"/>
      </w:pPr>
      <w:r w:rsidRPr="00183E4D">
        <w:t xml:space="preserve">Safety </w:t>
      </w:r>
    </w:p>
    <w:p w14:paraId="3667C2F3" w14:textId="77777777" w:rsidR="009E390A" w:rsidRDefault="009E390A" w:rsidP="004C79C1">
      <w:pPr>
        <w:pStyle w:val="Heading5"/>
        <w:spacing w:after="120" w:line="240" w:lineRule="auto"/>
      </w:pPr>
      <w:r>
        <w:t>Test adverse events</w:t>
      </w:r>
    </w:p>
    <w:p w14:paraId="45AEBDF7" w14:textId="5C7BDEB7" w:rsidR="009E390A" w:rsidRPr="00DF0949" w:rsidRDefault="009E390A" w:rsidP="004C79C1">
      <w:pPr>
        <w:spacing w:after="120" w:line="240" w:lineRule="auto"/>
        <w:jc w:val="both"/>
      </w:pPr>
      <w:r>
        <w:t xml:space="preserve">The identified </w:t>
      </w:r>
      <w:r w:rsidR="00CA1CA2">
        <w:t>SR</w:t>
      </w:r>
      <w:r>
        <w:t xml:space="preserve"> did not </w:t>
      </w:r>
      <w:r w:rsidRPr="00DF0949">
        <w:t>report</w:t>
      </w:r>
      <w:r>
        <w:t xml:space="preserve"> any</w:t>
      </w:r>
      <w:r w:rsidRPr="00DF0949">
        <w:t xml:space="preserve"> adverse events </w:t>
      </w:r>
      <w:r w:rsidR="00CA1CA2">
        <w:t xml:space="preserve">(AEs) </w:t>
      </w:r>
      <w:r w:rsidRPr="00DF0949">
        <w:t xml:space="preserve">from the CMR procedure itself or </w:t>
      </w:r>
      <w:r>
        <w:t xml:space="preserve">from </w:t>
      </w:r>
      <w:r w:rsidRPr="00DF0949">
        <w:t xml:space="preserve">the comparator tests. </w:t>
      </w:r>
      <w:r>
        <w:t xml:space="preserve">All the non-invasive tests are considered to have a good safety profile, although rare </w:t>
      </w:r>
      <w:r w:rsidR="00CA1CA2">
        <w:t>AE</w:t>
      </w:r>
      <w:r>
        <w:t>s may occur as a consequence of the contrast agents and tracers used in LGE-CMR, contrast echocardiography, SPECT, GHPS and CTCA</w:t>
      </w:r>
      <w:r w:rsidR="00A933CF">
        <w:t>;</w:t>
      </w:r>
      <w:r>
        <w:t xml:space="preserve"> and </w:t>
      </w:r>
      <w:r w:rsidR="00CA1CA2">
        <w:t xml:space="preserve">the </w:t>
      </w:r>
      <w:r>
        <w:t xml:space="preserve">radiation used in SPECT, GHPS and CTCA. The invasive testing modalities, such as ICA and </w:t>
      </w:r>
      <w:r w:rsidR="00CA1CA2">
        <w:t>EMB</w:t>
      </w:r>
      <w:r>
        <w:t>, have higher rates of complications than the non-invasive imaging</w:t>
      </w:r>
      <w:r w:rsidR="00CA1CA2">
        <w:t xml:space="preserve"> techniques</w:t>
      </w:r>
      <w:r>
        <w:t>. E</w:t>
      </w:r>
      <w:r w:rsidR="00CA1CA2">
        <w:t>MB</w:t>
      </w:r>
      <w:r>
        <w:t>s involve sampling of heart tissue</w:t>
      </w:r>
      <w:r w:rsidR="00CD4579">
        <w:t>;</w:t>
      </w:r>
      <w:r>
        <w:t xml:space="preserve"> and ICA involves contrast, radiation </w:t>
      </w:r>
      <w:r w:rsidR="00CD4579">
        <w:t>and</w:t>
      </w:r>
      <w:r>
        <w:t xml:space="preserve"> catheterisation through patients’ arteries.</w:t>
      </w:r>
    </w:p>
    <w:p w14:paraId="5BBA96D4" w14:textId="171C05DF" w:rsidR="009E390A" w:rsidRPr="0071212A" w:rsidRDefault="009E390A" w:rsidP="004C79C1">
      <w:pPr>
        <w:pStyle w:val="Heading5"/>
        <w:spacing w:after="120" w:line="240" w:lineRule="auto"/>
      </w:pPr>
      <w:r>
        <w:lastRenderedPageBreak/>
        <w:t>A</w:t>
      </w:r>
      <w:r w:rsidR="00CD4579">
        <w:t>E</w:t>
      </w:r>
      <w:r>
        <w:t>s from change in management</w:t>
      </w:r>
    </w:p>
    <w:p w14:paraId="203924A6" w14:textId="291A0B5D" w:rsidR="009E390A" w:rsidRPr="00DF0949" w:rsidRDefault="009E390A" w:rsidP="004C79C1">
      <w:pPr>
        <w:spacing w:after="120" w:line="240" w:lineRule="auto"/>
        <w:jc w:val="both"/>
      </w:pPr>
      <w:r w:rsidRPr="00DF0949">
        <w:t xml:space="preserve">Evidence from </w:t>
      </w:r>
      <w:r w:rsidR="00CD4579">
        <w:t>1</w:t>
      </w:r>
      <w:r w:rsidR="00CD4579" w:rsidRPr="00DF0949">
        <w:t xml:space="preserve"> </w:t>
      </w:r>
      <w:r w:rsidRPr="00DF0949">
        <w:t xml:space="preserve">Australian study suggests that the use of CMR will provide clinicians </w:t>
      </w:r>
      <w:r>
        <w:t xml:space="preserve">with </w:t>
      </w:r>
      <w:r w:rsidRPr="00DF0949">
        <w:t>more information on which to base treatment decis</w:t>
      </w:r>
      <w:r>
        <w:t>i</w:t>
      </w:r>
      <w:r w:rsidRPr="00DF0949">
        <w:t xml:space="preserve">ons, and allow patients to be </w:t>
      </w:r>
      <w:r>
        <w:t xml:space="preserve">appropriately </w:t>
      </w:r>
      <w:r w:rsidRPr="00DF0949">
        <w:t xml:space="preserve">treated more conservatively (i.e. fewer patients are likely to have cardiac devices implanted or undergo surgery). This </w:t>
      </w:r>
      <w:r>
        <w:t xml:space="preserve">would have </w:t>
      </w:r>
      <w:r w:rsidRPr="00DF0949">
        <w:t>corresponding safety benefit</w:t>
      </w:r>
      <w:r>
        <w:t xml:space="preserve">s. </w:t>
      </w:r>
    </w:p>
    <w:p w14:paraId="4B3FC1C8" w14:textId="77777777" w:rsidR="009E390A" w:rsidRPr="00183E4D" w:rsidRDefault="009E390A" w:rsidP="00161B88">
      <w:pPr>
        <w:pStyle w:val="Heading4"/>
      </w:pPr>
      <w:r w:rsidRPr="00183E4D">
        <w:t xml:space="preserve">Effectiveness </w:t>
      </w:r>
    </w:p>
    <w:p w14:paraId="67F9E873" w14:textId="77777777" w:rsidR="009E390A" w:rsidRPr="00982D1F" w:rsidRDefault="009E390A" w:rsidP="004C79C1">
      <w:pPr>
        <w:pStyle w:val="Heading5"/>
        <w:spacing w:after="120" w:line="240" w:lineRule="auto"/>
      </w:pPr>
      <w:r w:rsidRPr="00982D1F">
        <w:t>Direct effectiveness</w:t>
      </w:r>
    </w:p>
    <w:p w14:paraId="795778F6" w14:textId="6732AFF9" w:rsidR="009E390A" w:rsidRDefault="009E390A" w:rsidP="004C79C1">
      <w:pPr>
        <w:spacing w:after="120" w:line="240" w:lineRule="auto"/>
      </w:pPr>
      <w:r w:rsidRPr="00DF0949">
        <w:t xml:space="preserve">No direct evidence was </w:t>
      </w:r>
      <w:r>
        <w:t>identified concerning</w:t>
      </w:r>
      <w:r w:rsidRPr="00DF0949">
        <w:t xml:space="preserve"> how CMR impacts on health outcomes, compared </w:t>
      </w:r>
      <w:r w:rsidR="00CD4579">
        <w:t>with</w:t>
      </w:r>
      <w:r w:rsidR="00CD4579" w:rsidRPr="00DF0949">
        <w:t xml:space="preserve"> </w:t>
      </w:r>
      <w:r w:rsidRPr="00DF0949">
        <w:t xml:space="preserve">what would be done in the absence of CMR. </w:t>
      </w:r>
    </w:p>
    <w:p w14:paraId="2BC878DE" w14:textId="77777777" w:rsidR="009E390A" w:rsidRPr="00982D1F" w:rsidRDefault="009E390A" w:rsidP="004C79C1">
      <w:pPr>
        <w:pStyle w:val="Heading5"/>
        <w:spacing w:after="120" w:line="240" w:lineRule="auto"/>
      </w:pPr>
      <w:r w:rsidRPr="00982D1F">
        <w:t xml:space="preserve">Effectiveness </w:t>
      </w:r>
      <w:r>
        <w:t>estimated from</w:t>
      </w:r>
      <w:r w:rsidRPr="00982D1F">
        <w:t xml:space="preserve"> linked evidence</w:t>
      </w:r>
    </w:p>
    <w:p w14:paraId="44D1AE18" w14:textId="1E95BE59" w:rsidR="009E390A" w:rsidRPr="00214F43" w:rsidRDefault="009E390A" w:rsidP="004C79C1">
      <w:pPr>
        <w:pStyle w:val="Heading6"/>
        <w:numPr>
          <w:ilvl w:val="0"/>
          <w:numId w:val="12"/>
        </w:numPr>
        <w:spacing w:after="120" w:line="240" w:lineRule="auto"/>
      </w:pPr>
      <w:r>
        <w:t xml:space="preserve">CMR </w:t>
      </w:r>
      <w:r w:rsidR="00CD4579">
        <w:t>a</w:t>
      </w:r>
      <w:r>
        <w:t>ccuracy</w:t>
      </w:r>
    </w:p>
    <w:p w14:paraId="3B10B991" w14:textId="7B62FB99" w:rsidR="009E390A" w:rsidRDefault="009E390A" w:rsidP="004C79C1">
      <w:pPr>
        <w:spacing w:after="120" w:line="240" w:lineRule="auto"/>
        <w:jc w:val="both"/>
      </w:pPr>
      <w:r>
        <w:t>In patients presenting with</w:t>
      </w:r>
      <w:r w:rsidR="00C433E4">
        <w:t xml:space="preserve"> </w:t>
      </w:r>
      <w:r>
        <w:t xml:space="preserve">HF and left ventricular (LV) dysfunction, </w:t>
      </w:r>
      <w:r w:rsidRPr="00DF0949">
        <w:t xml:space="preserve">CMR was found </w:t>
      </w:r>
      <w:r>
        <w:t xml:space="preserve">in </w:t>
      </w:r>
      <w:r w:rsidR="00CD4579">
        <w:t xml:space="preserve">1 </w:t>
      </w:r>
      <w:r>
        <w:t xml:space="preserve">study </w:t>
      </w:r>
      <w:r w:rsidRPr="00DF0949">
        <w:t xml:space="preserve">to </w:t>
      </w:r>
      <w:r>
        <w:t xml:space="preserve">diagnose DCM with 83% sensitivity and 93% specificity, compared </w:t>
      </w:r>
      <w:r w:rsidR="00CD4579">
        <w:t xml:space="preserve">with </w:t>
      </w:r>
      <w:r>
        <w:t>all available diagnostic data (</w:t>
      </w:r>
      <w:r w:rsidR="00CD4579">
        <w:t xml:space="preserve">i.e. </w:t>
      </w:r>
      <w:r>
        <w:t xml:space="preserve">combination of information from clinical diagnosis, echocardiography, CMR, </w:t>
      </w:r>
      <w:r w:rsidR="00CD4579">
        <w:t>EMB</w:t>
      </w:r>
      <w:r>
        <w:t xml:space="preserve"> and other diagnostic modalities) (GRADE </w:t>
      </w:r>
      <w:r>
        <w:rPr>
          <w:rFonts w:ascii="Cambria Math" w:hAnsi="Cambria Math"/>
          <w:color w:val="00B050"/>
        </w:rPr>
        <w:t>⨁⨁⨁⨁</w:t>
      </w:r>
      <w:r w:rsidRPr="00754FB6">
        <w:t>)</w:t>
      </w:r>
      <w:r>
        <w:t xml:space="preserve">. </w:t>
      </w:r>
    </w:p>
    <w:p w14:paraId="0BABCA45" w14:textId="0FCD2C8B" w:rsidR="009E390A" w:rsidRDefault="009E390A" w:rsidP="004C79C1">
      <w:pPr>
        <w:spacing w:after="120" w:line="240" w:lineRule="auto"/>
        <w:jc w:val="both"/>
      </w:pPr>
      <w:r>
        <w:t xml:space="preserve">In the </w:t>
      </w:r>
      <w:r w:rsidR="00CD4579">
        <w:t>SR</w:t>
      </w:r>
      <w:r>
        <w:t xml:space="preserve">, only </w:t>
      </w:r>
      <w:r w:rsidR="00CD4579">
        <w:t xml:space="preserve">3 </w:t>
      </w:r>
      <w:r>
        <w:t xml:space="preserve">studies were identified with comparative accuracy data. Two studies compared CMR </w:t>
      </w:r>
      <w:r w:rsidR="00CD4579">
        <w:t xml:space="preserve">with </w:t>
      </w:r>
      <w:r>
        <w:t>ICA, with all available diagnostic data as the reference standard. The larger study (n=120) showed no difference in sensitivity and specificity between the two tests. The smaller study (n=24) showed a lower specificity with ICA (0.45 vs 0.82)</w:t>
      </w:r>
      <w:r w:rsidR="00A620A3">
        <w:t>,</w:t>
      </w:r>
      <w:r>
        <w:t xml:space="preserve"> although</w:t>
      </w:r>
      <w:r w:rsidR="00A620A3">
        <w:t>,</w:t>
      </w:r>
      <w:r>
        <w:t xml:space="preserve"> given the size of the study</w:t>
      </w:r>
      <w:r w:rsidR="00A620A3">
        <w:t>,</w:t>
      </w:r>
      <w:r>
        <w:t xml:space="preserve"> this difference was not significantly different. One small study (n=28) compared CTCA and CMR, against the reference standard of ICA, to determine whether patients had NIDCM or ICM. LGE-CMR appeared to have slightly better sensitivity at detecting NIDCM than CTCA (100% vs 90%), whereas CTCA had superior specificity (71% vs 100%). However, given the size of the sample, and the wide confidence interval </w:t>
      </w:r>
      <w:r w:rsidR="00A620A3">
        <w:t xml:space="preserve">(CI) </w:t>
      </w:r>
      <w:r>
        <w:t xml:space="preserve">surrounding the results, any conclusions on the comparative accuracy would be tentative at best. </w:t>
      </w:r>
    </w:p>
    <w:p w14:paraId="587B5D55" w14:textId="546F395E" w:rsidR="009E390A" w:rsidRDefault="009E390A" w:rsidP="004C79C1">
      <w:pPr>
        <w:spacing w:after="120" w:line="240" w:lineRule="auto"/>
        <w:jc w:val="both"/>
      </w:pPr>
      <w:r>
        <w:t xml:space="preserve">Six studies were identified that assessed the accuracy of CMR at distinguishing between NIDCM and ICM. In those studies </w:t>
      </w:r>
      <w:r w:rsidR="00A620A3">
        <w:t xml:space="preserve">that </w:t>
      </w:r>
      <w:r>
        <w:t xml:space="preserve">restricted the population to those with </w:t>
      </w:r>
      <w:r w:rsidR="00A620A3">
        <w:t xml:space="preserve">a </w:t>
      </w:r>
      <w:r>
        <w:t xml:space="preserve">dilated LV, the sensitivity at diagnosing NIDCM ranged between 84% and 100%, </w:t>
      </w:r>
      <w:r w:rsidR="00A620A3">
        <w:t xml:space="preserve">and </w:t>
      </w:r>
      <w:r>
        <w:t xml:space="preserve">specificity between 71% and 100%, using the reference standard of ICA as the benchmark (GRADE </w:t>
      </w:r>
      <w:r>
        <w:rPr>
          <w:rFonts w:ascii="Cambria Math" w:hAnsi="Cambria Math"/>
          <w:color w:val="00B050"/>
        </w:rPr>
        <w:t>⨁⨁</w:t>
      </w:r>
      <w:r w:rsidRPr="00D4733A">
        <w:rPr>
          <w:rFonts w:ascii="Cambria Math" w:hAnsi="Cambria Math" w:cs="Cambria Math"/>
          <w:color w:val="C00000"/>
        </w:rPr>
        <w:t>⨀⨀</w:t>
      </w:r>
      <w:r w:rsidRPr="000A4AF9">
        <w:t>)</w:t>
      </w:r>
      <w:r>
        <w:t xml:space="preserve">. Compared </w:t>
      </w:r>
      <w:r w:rsidR="008E32F3">
        <w:t xml:space="preserve">with </w:t>
      </w:r>
      <w:r>
        <w:t xml:space="preserve">an evidentiary standard of all available data, CMR was found to have 85% to 100% sensitivity and 82% to 88% specificity (GRADE </w:t>
      </w:r>
      <w:r>
        <w:rPr>
          <w:rFonts w:ascii="Cambria Math" w:hAnsi="Cambria Math"/>
          <w:color w:val="00B050"/>
        </w:rPr>
        <w:t>⨁⨁⨁⨁</w:t>
      </w:r>
      <w:r w:rsidRPr="00754FB6">
        <w:t>)</w:t>
      </w:r>
      <w:r>
        <w:t>.</w:t>
      </w:r>
    </w:p>
    <w:p w14:paraId="0FB85C6D" w14:textId="752CE043" w:rsidR="009E390A" w:rsidRDefault="009E390A" w:rsidP="004C79C1">
      <w:pPr>
        <w:spacing w:after="120" w:line="240" w:lineRule="auto"/>
        <w:jc w:val="both"/>
      </w:pPr>
      <w:r>
        <w:t xml:space="preserve">Three studies assessed the accuracy of CMR at determining whether DCM was due to an inflammatory cause, compared </w:t>
      </w:r>
      <w:r w:rsidR="008E32F3">
        <w:t xml:space="preserve">with </w:t>
      </w:r>
      <w:r>
        <w:t xml:space="preserve">the imperfect reference standard of </w:t>
      </w:r>
      <w:r w:rsidR="008E32F3">
        <w:t>EMB</w:t>
      </w:r>
      <w:r>
        <w:t xml:space="preserve">. Sensitivity ranged between 58% </w:t>
      </w:r>
      <w:r w:rsidR="008E32F3">
        <w:t>and</w:t>
      </w:r>
      <w:r>
        <w:t xml:space="preserve"> 87%, and specificity 33% </w:t>
      </w:r>
      <w:r w:rsidR="008E32F3">
        <w:t>and</w:t>
      </w:r>
      <w:r>
        <w:t xml:space="preserve"> 50% (GRADE </w:t>
      </w:r>
      <w:r>
        <w:rPr>
          <w:rFonts w:ascii="Cambria Math" w:hAnsi="Cambria Math"/>
          <w:color w:val="00B050"/>
        </w:rPr>
        <w:t>⨁⨁</w:t>
      </w:r>
      <w:r w:rsidRPr="00D4733A">
        <w:rPr>
          <w:rFonts w:ascii="Cambria Math" w:hAnsi="Cambria Math" w:cs="Cambria Math"/>
          <w:color w:val="C00000"/>
        </w:rPr>
        <w:t>⨀⨀</w:t>
      </w:r>
      <w:r w:rsidRPr="000A4AF9">
        <w:t>)</w:t>
      </w:r>
      <w:r>
        <w:t xml:space="preserve">. Compared </w:t>
      </w:r>
      <w:r w:rsidR="008E32F3">
        <w:t xml:space="preserve">with </w:t>
      </w:r>
      <w:r w:rsidR="00F4245B">
        <w:t>‘</w:t>
      </w:r>
      <w:r>
        <w:t>Lake Louise</w:t>
      </w:r>
      <w:r w:rsidR="00F4245B">
        <w:t>’</w:t>
      </w:r>
      <w:r>
        <w:t xml:space="preserve"> criteria in </w:t>
      </w:r>
      <w:r w:rsidR="008E32F3">
        <w:t xml:space="preserve">2 </w:t>
      </w:r>
      <w:r>
        <w:t xml:space="preserve">studies (which incorporate LGE-CMR results), CMR showed highly disparate results, with sensitivities ranging between 75% and 85%, and specificities between 7% and 73%. The reason for this heterogeneity could be due to incorporation bias in the studies or </w:t>
      </w:r>
      <w:r w:rsidR="0053276A">
        <w:t xml:space="preserve">the </w:t>
      </w:r>
      <w:r>
        <w:t xml:space="preserve">slightly different populations receiving the test. </w:t>
      </w:r>
    </w:p>
    <w:p w14:paraId="2EBE6D35" w14:textId="77777777" w:rsidR="009E390A" w:rsidRPr="00214F43" w:rsidRDefault="009E390A" w:rsidP="004C79C1">
      <w:pPr>
        <w:pStyle w:val="Heading6"/>
        <w:numPr>
          <w:ilvl w:val="0"/>
          <w:numId w:val="12"/>
        </w:numPr>
        <w:spacing w:after="120" w:line="240" w:lineRule="auto"/>
      </w:pPr>
      <w:r>
        <w:t>Prognosis</w:t>
      </w:r>
    </w:p>
    <w:p w14:paraId="5A705927" w14:textId="0E062805" w:rsidR="009E390A" w:rsidRDefault="009E390A" w:rsidP="004C79C1">
      <w:pPr>
        <w:spacing w:after="120" w:line="240" w:lineRule="auto"/>
        <w:jc w:val="both"/>
      </w:pPr>
      <w:r>
        <w:t xml:space="preserve">A total of 25 cohort studies were identified from </w:t>
      </w:r>
      <w:r w:rsidR="005E26C5">
        <w:t>5 SR</w:t>
      </w:r>
      <w:r>
        <w:t xml:space="preserve">s to assess the prognostic value of CMR, with </w:t>
      </w:r>
      <w:r w:rsidR="005E26C5">
        <w:t xml:space="preserve">2 </w:t>
      </w:r>
      <w:r>
        <w:t>of them comparing CMR with SPECT. It had been suggested that detection of myocardial scarring through LGE-CMR (</w:t>
      </w:r>
      <w:r w:rsidR="00FE7D79">
        <w:t xml:space="preserve">i.e. </w:t>
      </w:r>
      <w:r>
        <w:t>LGE+ for scarring) could potentially be used to help assess whether someone should receive an implantable cardioverter</w:t>
      </w:r>
      <w:r w:rsidR="009B2CB1">
        <w:t xml:space="preserve"> </w:t>
      </w:r>
      <w:r>
        <w:t xml:space="preserve">defibrillator (ICD) and/or cardiac resynchronisation therapy (CRT). A median of 25% of those who were LGE+ received an ICD/CRT, while a median of </w:t>
      </w:r>
      <w:r>
        <w:lastRenderedPageBreak/>
        <w:t xml:space="preserve">only 10% of those who were LGE– received an ICD/CRT. In patients with an ICD implanted for the primary prevention of sudden cardiac death (SCD), those who were LGE+ were 4.5-times more likely to have an appropriate hospital discharge than those who were LGE–. Similarly, in studies that did not restrict patients to a particular treatment method, those who were LGE+ were 4-times more likely to have an adverse cardiac event, and 3-times more likely to die, than those </w:t>
      </w:r>
      <w:r w:rsidR="00EF4EFE">
        <w:t xml:space="preserve">who </w:t>
      </w:r>
      <w:r>
        <w:t xml:space="preserve">were LGE–. </w:t>
      </w:r>
      <w:r w:rsidR="00BC304B">
        <w:t>However</w:t>
      </w:r>
      <w:r>
        <w:t>, in children, LGE may be detecting myocardial inflammation rather than fibrotic or scarred myocardium</w:t>
      </w:r>
      <w:r w:rsidR="00A14F42">
        <w:t>;</w:t>
      </w:r>
      <w:r>
        <w:t xml:space="preserve"> </w:t>
      </w:r>
      <w:r w:rsidR="00A14F42">
        <w:t>f</w:t>
      </w:r>
      <w:r>
        <w:t xml:space="preserve">or children with a recent diagnosis of DCM, those who were LGE+ were 2-times more likely to fully recover LV functioning than those who were LGE–. </w:t>
      </w:r>
    </w:p>
    <w:p w14:paraId="23191146" w14:textId="77777777" w:rsidR="009E390A" w:rsidRDefault="009E390A" w:rsidP="004C79C1">
      <w:pPr>
        <w:spacing w:after="120" w:line="240" w:lineRule="auto"/>
        <w:jc w:val="both"/>
      </w:pPr>
      <w:r>
        <w:t xml:space="preserve">Two studies compared the prognostic value of CMR with SPECT, but found contradictory results regarding which modality was superior. </w:t>
      </w:r>
    </w:p>
    <w:p w14:paraId="13B877AF" w14:textId="1D3A10B9" w:rsidR="009E390A" w:rsidRPr="00DF0949" w:rsidRDefault="009E390A" w:rsidP="004C79C1">
      <w:pPr>
        <w:spacing w:after="120" w:line="240" w:lineRule="auto"/>
        <w:jc w:val="both"/>
      </w:pPr>
      <w:r>
        <w:t xml:space="preserve">As well as detecting scarring or inflammation using LGE, CMR may also be used to assess </w:t>
      </w:r>
      <w:r w:rsidR="0050499F" w:rsidRPr="00723C22">
        <w:t>left ventricular ejection fraction</w:t>
      </w:r>
      <w:r w:rsidR="0050499F">
        <w:t xml:space="preserve"> (</w:t>
      </w:r>
      <w:r>
        <w:t>LVEF</w:t>
      </w:r>
      <w:r w:rsidR="0050499F">
        <w:t>)</w:t>
      </w:r>
      <w:r>
        <w:t>. LVEF determined by CMR was a better predictor of adverse cardiac events than LVEF determined by echocardiography. Treatment guidelines currently use %LVEF as one criterion for determining whether patients should receive an ICD.</w:t>
      </w:r>
    </w:p>
    <w:p w14:paraId="26D43278" w14:textId="77777777" w:rsidR="009E390A" w:rsidRDefault="009E390A" w:rsidP="004C79C1">
      <w:pPr>
        <w:pStyle w:val="Heading6"/>
        <w:numPr>
          <w:ilvl w:val="0"/>
          <w:numId w:val="12"/>
        </w:numPr>
        <w:spacing w:after="120" w:line="240" w:lineRule="auto"/>
      </w:pPr>
      <w:r>
        <w:t>Therapeutic efficacy (change in management)</w:t>
      </w:r>
    </w:p>
    <w:p w14:paraId="35A0DA6B" w14:textId="3D80867E" w:rsidR="009E390A" w:rsidRDefault="009E390A" w:rsidP="004C79C1">
      <w:pPr>
        <w:spacing w:after="120" w:line="240" w:lineRule="auto"/>
        <w:jc w:val="both"/>
      </w:pPr>
      <w:bookmarkStart w:id="90" w:name="_Toc318718116"/>
      <w:r w:rsidRPr="00DF0949">
        <w:t xml:space="preserve">Only </w:t>
      </w:r>
      <w:r w:rsidR="000C3899">
        <w:t>4</w:t>
      </w:r>
      <w:r w:rsidR="000C3899" w:rsidRPr="00DF0949">
        <w:t xml:space="preserve"> </w:t>
      </w:r>
      <w:r w:rsidRPr="00DF0949">
        <w:t>studies were identified</w:t>
      </w:r>
      <w:r>
        <w:t xml:space="preserve"> that</w:t>
      </w:r>
      <w:r w:rsidRPr="00DF0949">
        <w:t xml:space="preserve"> reported on the ability of CMR to influence patient management decisions. </w:t>
      </w:r>
      <w:r>
        <w:t xml:space="preserve">Three studies were before-and-after case series, describing treatment plans or diagnoses prior to CMR and after CMR. One was considered a cohort study that assessed patients with idiopathic NIDCM using a range of further tests, to determine the relative value of each test. </w:t>
      </w:r>
    </w:p>
    <w:p w14:paraId="76E816E1" w14:textId="5142B03B" w:rsidR="009E390A" w:rsidRDefault="009E390A" w:rsidP="004C79C1">
      <w:pPr>
        <w:spacing w:after="120" w:line="240" w:lineRule="auto"/>
        <w:jc w:val="both"/>
      </w:pPr>
      <w:r>
        <w:t>The most relevant study was by Taylor</w:t>
      </w:r>
      <w:r w:rsidR="000C3899">
        <w:t>, AJ</w:t>
      </w:r>
      <w:r>
        <w:t xml:space="preserve"> et al</w:t>
      </w:r>
      <w:r w:rsidR="000C3899">
        <w:t>.</w:t>
      </w:r>
      <w:r>
        <w:t xml:space="preserve"> (2013), performed in Australia, that followed a series of patients with </w:t>
      </w:r>
      <w:r w:rsidR="000C3899">
        <w:t xml:space="preserve">CMs </w:t>
      </w:r>
      <w:r>
        <w:t xml:space="preserve">(90% of which were NIDCM) who had received investigations as per current practice (including echocardiography in 95%, ICA in 51%, and SPECT </w:t>
      </w:r>
      <w:r w:rsidR="00205707">
        <w:t>GHPS</w:t>
      </w:r>
      <w:r>
        <w:t xml:space="preserve"> in 27%)</w:t>
      </w:r>
      <w:r w:rsidR="001F40F8">
        <w:t>,</w:t>
      </w:r>
      <w:r>
        <w:t xml:space="preserve"> and had existing treatment strategies defined (</w:t>
      </w:r>
      <w:r w:rsidR="00FC183D">
        <w:t xml:space="preserve">i.e. </w:t>
      </w:r>
      <w:r>
        <w:t>device implantation or surgery). CMR was then used, and the number of cases with changed management plans was recorded. In the majority of cases, the change was due to CMR determining that the patient</w:t>
      </w:r>
      <w:r w:rsidR="00B608AC">
        <w:t>’</w:t>
      </w:r>
      <w:r>
        <w:t xml:space="preserve">s LVEF functioning was higher than previously assessed. </w:t>
      </w:r>
      <w:r w:rsidRPr="00071D1F">
        <w:t>Of the 72 patients who were scheduled for cardiac device implantation (ICD, CRT, ICD and CRT or pacemaker), 21 patients had the implantations averted. In 20/375 patients who were not previously scheduled to receive a device, a device was implanted subsequent to CMR. Of the 20 patients with surgical plans prior to CMR, 13 patients had their surgery averted. In the group of patients without a surgical plan, 7/427 subsequently underwent valve or cardiac surgery.</w:t>
      </w:r>
      <w:r>
        <w:t xml:space="preserve"> The author explained that in the absence of CMR, clinicians tend to err on the side of caution, but with the additional information gained through CMR, are able to feel more confident in the ability of the patient to have good outcomes through optimal medical treatment alone</w:t>
      </w:r>
      <w:r>
        <w:rPr>
          <w:rStyle w:val="FootnoteReference"/>
        </w:rPr>
        <w:footnoteReference w:id="2"/>
      </w:r>
      <w:r>
        <w:t xml:space="preserve">. This study shows that if CMR is listed on the MBS for assessing patients with DCM, it is likely to have a large impact on those patients who would otherwise undergo a more invasive treatment approach, with a smaller impact on those who are classified by other tests as not requiring surgery or device implantation. </w:t>
      </w:r>
    </w:p>
    <w:p w14:paraId="40C2B80A" w14:textId="756A27B4" w:rsidR="009E390A" w:rsidRDefault="009E390A" w:rsidP="004C79C1">
      <w:pPr>
        <w:spacing w:after="120" w:line="240" w:lineRule="auto"/>
        <w:jc w:val="both"/>
      </w:pPr>
      <w:r>
        <w:t>One study assessed the impact of a suite of further tests (CMR, further blood tests, endomyocardial biopsy, exercise testing, 24-hour ECG and genetic testing) in patients who would otherwise be classified as having idiopathic NIDCM on the basis of clinical tests, ECG, echocardiogram and ICA (Broch et al</w:t>
      </w:r>
      <w:r w:rsidR="00BD1318">
        <w:t>.</w:t>
      </w:r>
      <w:r>
        <w:t xml:space="preserve"> 2015). A total of 88/102 patients were able to undergo CMR</w:t>
      </w:r>
      <w:r w:rsidR="00A54187">
        <w:t>;</w:t>
      </w:r>
      <w:r>
        <w:t xml:space="preserve"> of these, 2 were identified as having non-compaction </w:t>
      </w:r>
      <w:r w:rsidR="00A54187">
        <w:t>CM</w:t>
      </w:r>
      <w:r>
        <w:t xml:space="preserve">, and 2 as having systemic inflammatory disease. One of these was identified through </w:t>
      </w:r>
      <w:r w:rsidR="00A54187">
        <w:t>EMB</w:t>
      </w:r>
      <w:r>
        <w:t xml:space="preserve"> as having sarcoidosis, </w:t>
      </w:r>
      <w:r w:rsidR="00A54187">
        <w:t xml:space="preserve">and </w:t>
      </w:r>
      <w:r>
        <w:t xml:space="preserve">the other as having Wegener’s granulomatosis. </w:t>
      </w:r>
      <w:r>
        <w:lastRenderedPageBreak/>
        <w:t>E</w:t>
      </w:r>
      <w:r w:rsidR="00CB6C1B">
        <w:t>MB</w:t>
      </w:r>
      <w:r>
        <w:t xml:space="preserve">s identified the aetiology in 2/97 cases (one with cardiac sarcoidosis, one with non-familial transthyretin amyloidosis). Genetic testing identified possible disease-causing mutations in 10/102 patients. Further blood tests identified 16/102 patients with viruses, while exercise testing and 24-hour ECG were considered to yield no new aetiologies. While this study does demonstrate that CMR may be useful in detecting rare aetiologies in patients who would otherwise be classified as idiopathic, it also shows that it cannot replace other tests. </w:t>
      </w:r>
    </w:p>
    <w:bookmarkEnd w:id="90"/>
    <w:p w14:paraId="091B2CAE" w14:textId="77777777" w:rsidR="009E390A" w:rsidRDefault="009E390A" w:rsidP="004C79C1">
      <w:pPr>
        <w:pStyle w:val="Heading6"/>
        <w:numPr>
          <w:ilvl w:val="0"/>
          <w:numId w:val="12"/>
        </w:numPr>
        <w:spacing w:after="120" w:line="240" w:lineRule="auto"/>
      </w:pPr>
      <w:r>
        <w:t>Therapeutic effectiveness (health benefit from change in management)</w:t>
      </w:r>
    </w:p>
    <w:p w14:paraId="728DC8E7" w14:textId="6DF62107" w:rsidR="009E390A" w:rsidRPr="00DF0949" w:rsidRDefault="009E390A" w:rsidP="004C79C1">
      <w:pPr>
        <w:spacing w:after="120" w:line="240" w:lineRule="auto"/>
        <w:jc w:val="both"/>
      </w:pPr>
      <w:r w:rsidRPr="00DF0949">
        <w:t xml:space="preserve">The prognostic data suggest that using CMR to stratify patients to </w:t>
      </w:r>
      <w:r>
        <w:t xml:space="preserve">appropriate </w:t>
      </w:r>
      <w:r w:rsidRPr="00DF0949">
        <w:t xml:space="preserve">treatments, as </w:t>
      </w:r>
      <w:proofErr w:type="gramStart"/>
      <w:r w:rsidRPr="00DF0949">
        <w:t>occurred</w:t>
      </w:r>
      <w:proofErr w:type="gramEnd"/>
      <w:r w:rsidRPr="00DF0949">
        <w:t xml:space="preserve"> in the Australian study by Taylor</w:t>
      </w:r>
      <w:r w:rsidR="004B6065">
        <w:t>, AJ</w:t>
      </w:r>
      <w:r w:rsidRPr="00DF0949">
        <w:t xml:space="preserve"> et al</w:t>
      </w:r>
      <w:r w:rsidR="004B6065">
        <w:t>.</w:t>
      </w:r>
      <w:r w:rsidRPr="00DF0949">
        <w:t xml:space="preserve"> (2013), is likely to result in </w:t>
      </w:r>
      <w:r>
        <w:t xml:space="preserve">superior or at least </w:t>
      </w:r>
      <w:r w:rsidRPr="00DF0949">
        <w:t xml:space="preserve">non-inferior </w:t>
      </w:r>
      <w:r>
        <w:t>treatment</w:t>
      </w:r>
      <w:r w:rsidRPr="00DF0949">
        <w:t xml:space="preserve"> outcomes compared </w:t>
      </w:r>
      <w:r w:rsidR="004B6065">
        <w:t>with</w:t>
      </w:r>
      <w:r w:rsidR="004B6065" w:rsidRPr="00DF0949">
        <w:t xml:space="preserve"> </w:t>
      </w:r>
      <w:r w:rsidRPr="00DF0949">
        <w:t xml:space="preserve">not using CMR. </w:t>
      </w:r>
      <w:r>
        <w:t>Taylor</w:t>
      </w:r>
      <w:r w:rsidR="004B6065">
        <w:t>, AJ</w:t>
      </w:r>
      <w:r>
        <w:t xml:space="preserve"> et al</w:t>
      </w:r>
      <w:r w:rsidR="004B6065">
        <w:t>.</w:t>
      </w:r>
      <w:r>
        <w:t xml:space="preserve"> (2013) reported that health outcomes (New York Heart Association </w:t>
      </w:r>
      <w:r w:rsidR="00CD3EB2">
        <w:t xml:space="preserve">(NYHA) </w:t>
      </w:r>
      <w:r>
        <w:t xml:space="preserve">classification, mortality, and rate of major </w:t>
      </w:r>
      <w:r w:rsidR="00CD3EB2">
        <w:t>AE</w:t>
      </w:r>
      <w:r>
        <w:t xml:space="preserve">s) </w:t>
      </w:r>
      <w:r w:rsidR="00AA771B">
        <w:t xml:space="preserve">after 12 months </w:t>
      </w:r>
      <w:r>
        <w:t xml:space="preserve">were not significantly different between those who had their surgical or device plans avoided due to the additional information provided by CMR and those who proceeded with having surgery or device implantation. </w:t>
      </w:r>
    </w:p>
    <w:p w14:paraId="446140E0" w14:textId="62CC1E1A" w:rsidR="009E390A" w:rsidRDefault="009E390A" w:rsidP="004C79C1">
      <w:pPr>
        <w:spacing w:after="120" w:line="240" w:lineRule="auto"/>
        <w:jc w:val="both"/>
      </w:pPr>
      <w:r>
        <w:t xml:space="preserve">There is a clear logic that using CMR to detect treatable aetiologies of DCM should result in superior health outcomes for those few patients who have their DCM aetiology correctly identified. Corticosteroids were shown in a Cochrane </w:t>
      </w:r>
      <w:r w:rsidR="00862150">
        <w:t>R</w:t>
      </w:r>
      <w:r>
        <w:t>eview to improve LVEF scores in patients with viral myocarditis after 1–3</w:t>
      </w:r>
      <w:r w:rsidR="00862150">
        <w:t> </w:t>
      </w:r>
      <w:r>
        <w:t xml:space="preserve">months of treatment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although mortality was not affected. The literature on cardiac sarcoidosis was very limited, but suggested a trend towards favouring corticosteroids for maintaining or improving LVEF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No systematic reviews were identified for assessing the effectiveness of strategies specific for Wegener’s granulomatosis, LV non-compaction or haemochromatosis. </w:t>
      </w:r>
    </w:p>
    <w:p w14:paraId="6202AE0F" w14:textId="13D988B8" w:rsidR="009E390A" w:rsidRDefault="009E390A" w:rsidP="004C79C1">
      <w:pPr>
        <w:spacing w:after="120" w:line="240" w:lineRule="auto"/>
        <w:jc w:val="both"/>
      </w:pPr>
      <w:r>
        <w:t xml:space="preserve">Distinguishing correctly between NIDCM and ICM would be beneficial for patients, as although ICDs appear to have similar effectiveness within both subgroups, revascularisation </w:t>
      </w:r>
      <w:r w:rsidR="00B1370A">
        <w:t xml:space="preserve">has been </w:t>
      </w:r>
      <w:r>
        <w:t xml:space="preserve">found to be effective in those with ICM </w:t>
      </w:r>
      <w:r>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instrText xml:space="preserve"> ADDIN EN.CITE </w:instrText>
      </w:r>
      <w:r>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instrText xml:space="preserve"> ADDIN EN.CITE.DATA </w:instrText>
      </w:r>
      <w:r>
        <w:fldChar w:fldCharType="end"/>
      </w:r>
      <w:r>
        <w:fldChar w:fldCharType="separate"/>
      </w:r>
      <w:r>
        <w:rPr>
          <w:noProof/>
        </w:rPr>
        <w:t>(</w:t>
      </w:r>
      <w:hyperlink w:anchor="_ENREF_148" w:tooltip="Windecker, 2014 #105" w:history="1">
        <w:r>
          <w:rPr>
            <w:noProof/>
          </w:rPr>
          <w:t>Windecker et al. 2014</w:t>
        </w:r>
      </w:hyperlink>
      <w:r>
        <w:rPr>
          <w:noProof/>
        </w:rPr>
        <w:t>)</w:t>
      </w:r>
      <w:r>
        <w:fldChar w:fldCharType="end"/>
      </w:r>
      <w:r>
        <w:t>, but is unlikely to be of benefit in those with NIDCM. A small number of patients who have ICM would likely be falsely classified by LGE-CMR as NIDCM</w:t>
      </w:r>
      <w:r w:rsidR="00CD090C">
        <w:t>,</w:t>
      </w:r>
      <w:r>
        <w:t xml:space="preserve"> due to having LGE– findings. These patients have a better prognosis and are less likely to require coronary revascularisation than those with scarring or inflammation detected by LGE-CMR. </w:t>
      </w:r>
    </w:p>
    <w:p w14:paraId="1BDC69BE" w14:textId="77777777" w:rsidR="009E390A" w:rsidRDefault="009E390A" w:rsidP="004C79C1">
      <w:pPr>
        <w:pStyle w:val="Heading5"/>
        <w:spacing w:after="120" w:line="240" w:lineRule="auto"/>
      </w:pPr>
      <w:r>
        <w:t>Summary</w:t>
      </w:r>
    </w:p>
    <w:p w14:paraId="71D14DE6" w14:textId="730644E0" w:rsidR="009E390A" w:rsidRDefault="009E390A" w:rsidP="004C79C1">
      <w:pPr>
        <w:spacing w:after="120" w:line="240" w:lineRule="auto"/>
        <w:jc w:val="both"/>
      </w:pPr>
      <w:r>
        <w:t xml:space="preserve">The accuracy of CMR was considered using three different concepts. It was proposed as a means to diagnose DCM, distinguish between ischaemic and non-ischaemic DCM, and determine the aetiology of NIDCM in those diagnosed with idiopathic DCM. CMR was also proposed to predict health outcomes and influence patient management. Overall, it is clear that CMR provides information </w:t>
      </w:r>
      <w:r w:rsidR="00CD090C">
        <w:t xml:space="preserve">that </w:t>
      </w:r>
      <w:r>
        <w:t xml:space="preserve">is useful for determining a patient’s prognosis, and could potentially be helpful at deciding which treatments patients should receive. There is no direct evidence available to demonstrate that CMR benefits the health of patients, but a linked evidence approach suggests </w:t>
      </w:r>
      <w:r w:rsidR="00A076F8">
        <w:t xml:space="preserve">that </w:t>
      </w:r>
      <w:r>
        <w:t xml:space="preserve">it is likely to do so. A brief summary of findings is shown in </w:t>
      </w:r>
      <w:r w:rsidR="00E011C7">
        <w:fldChar w:fldCharType="begin"/>
      </w:r>
      <w:r w:rsidR="00E011C7">
        <w:instrText xml:space="preserve"> REF _Ref451245210 \h </w:instrText>
      </w:r>
      <w:r w:rsidR="00E011C7">
        <w:fldChar w:fldCharType="separate"/>
      </w:r>
      <w:r w:rsidR="00E011C7">
        <w:t xml:space="preserve">Table </w:t>
      </w:r>
      <w:r w:rsidR="00E011C7">
        <w:rPr>
          <w:noProof/>
        </w:rPr>
        <w:t>2</w:t>
      </w:r>
      <w:r w:rsidR="00E011C7">
        <w:fldChar w:fldCharType="end"/>
      </w:r>
      <w:r w:rsidR="00A841D2">
        <w:t xml:space="preserve"> </w:t>
      </w:r>
      <w:r>
        <w:t xml:space="preserve">and a detailed interpretation of the clinical evidence can be found in </w:t>
      </w:r>
      <w:r w:rsidR="003E71BC">
        <w:t>s</w:t>
      </w:r>
      <w:r>
        <w:t xml:space="preserve">ection B8. </w:t>
      </w:r>
    </w:p>
    <w:p w14:paraId="6E8A023F" w14:textId="5B2C0CD3" w:rsidR="00D06DA3" w:rsidRDefault="00D06DA3" w:rsidP="004C79C1">
      <w:pPr>
        <w:pStyle w:val="Caption"/>
        <w:keepNext/>
      </w:pPr>
      <w:bookmarkStart w:id="91" w:name="_Ref451245210"/>
      <w:bookmarkStart w:id="92" w:name="_Toc451435329"/>
      <w:r>
        <w:t xml:space="preserve">Table </w:t>
      </w:r>
      <w:fldSimple w:instr=" SEQ Table \* ARABIC ">
        <w:r w:rsidR="00050936">
          <w:rPr>
            <w:noProof/>
          </w:rPr>
          <w:t>2</w:t>
        </w:r>
      </w:fldSimple>
      <w:bookmarkEnd w:id="91"/>
      <w:r>
        <w:t xml:space="preserve"> </w:t>
      </w:r>
      <w:r>
        <w:tab/>
      </w:r>
      <w:r w:rsidRPr="008E671D">
        <w:t>Summary of findings for the linked evidence comparison of CMR for DCM</w:t>
      </w:r>
      <w:bookmarkEnd w:id="92"/>
    </w:p>
    <w:tbl>
      <w:tblPr>
        <w:tblStyle w:val="TableGrid"/>
        <w:tblW w:w="4976" w:type="pct"/>
        <w:tblInd w:w="108" w:type="dxa"/>
        <w:tblLayout w:type="fixed"/>
        <w:tblLook w:val="04A0" w:firstRow="1" w:lastRow="0" w:firstColumn="1" w:lastColumn="0" w:noHBand="0" w:noVBand="1"/>
        <w:tblDescription w:val="Balance of clinical benefits and harms of CMR, relative to stress ECHO, SPECT and CTCA"/>
      </w:tblPr>
      <w:tblGrid>
        <w:gridCol w:w="1277"/>
        <w:gridCol w:w="1313"/>
        <w:gridCol w:w="1307"/>
        <w:gridCol w:w="2035"/>
        <w:gridCol w:w="2231"/>
        <w:gridCol w:w="1035"/>
      </w:tblGrid>
      <w:tr w:rsidR="009E390A" w:rsidRPr="001B2E40" w14:paraId="59B16FF0" w14:textId="77777777" w:rsidTr="00124E3B">
        <w:trPr>
          <w:trHeight w:val="60"/>
          <w:tblHeader/>
        </w:trPr>
        <w:tc>
          <w:tcPr>
            <w:tcW w:w="1246" w:type="dxa"/>
            <w:tcBorders>
              <w:bottom w:val="single" w:sz="4" w:space="0" w:color="auto"/>
            </w:tcBorders>
          </w:tcPr>
          <w:p w14:paraId="5DA52FC5" w14:textId="77777777" w:rsidR="009E390A" w:rsidRPr="001B2E40" w:rsidRDefault="009E390A" w:rsidP="004C79C1">
            <w:pPr>
              <w:pStyle w:val="TableHeading"/>
              <w:spacing w:before="0" w:after="120"/>
              <w:ind w:left="4" w:firstLine="0"/>
            </w:pPr>
            <w:r>
              <w:t>Section in report</w:t>
            </w:r>
          </w:p>
        </w:tc>
        <w:tc>
          <w:tcPr>
            <w:tcW w:w="1281" w:type="dxa"/>
          </w:tcPr>
          <w:p w14:paraId="2526891C" w14:textId="77777777" w:rsidR="009E390A" w:rsidRPr="001B2E40" w:rsidRDefault="009E390A" w:rsidP="004C79C1">
            <w:pPr>
              <w:pStyle w:val="TableHeading"/>
              <w:spacing w:before="0" w:after="120"/>
              <w:ind w:left="4" w:firstLine="0"/>
            </w:pPr>
            <w:r w:rsidRPr="001B2E40">
              <w:t>Outcomes</w:t>
            </w:r>
            <w:r>
              <w:t xml:space="preserve"> </w:t>
            </w:r>
          </w:p>
        </w:tc>
        <w:tc>
          <w:tcPr>
            <w:tcW w:w="1275" w:type="dxa"/>
          </w:tcPr>
          <w:p w14:paraId="5266CA44" w14:textId="77777777" w:rsidR="009E390A" w:rsidRPr="001B2E40" w:rsidRDefault="009E390A" w:rsidP="004C79C1">
            <w:pPr>
              <w:pStyle w:val="TableHeading"/>
              <w:spacing w:before="0" w:after="120"/>
              <w:ind w:left="4" w:firstLine="0"/>
            </w:pPr>
            <w:r>
              <w:t>Participants (studies)</w:t>
            </w:r>
          </w:p>
        </w:tc>
        <w:tc>
          <w:tcPr>
            <w:tcW w:w="1985" w:type="dxa"/>
          </w:tcPr>
          <w:p w14:paraId="4C6A7D67" w14:textId="77777777" w:rsidR="009E390A" w:rsidRPr="001B2E40" w:rsidRDefault="009E390A" w:rsidP="004C79C1">
            <w:pPr>
              <w:pStyle w:val="TableHeading"/>
              <w:spacing w:before="0" w:after="120"/>
              <w:ind w:left="4" w:firstLine="0"/>
            </w:pPr>
            <w:r w:rsidRPr="001B2E40">
              <w:t>Results</w:t>
            </w:r>
          </w:p>
        </w:tc>
        <w:tc>
          <w:tcPr>
            <w:tcW w:w="2176" w:type="dxa"/>
          </w:tcPr>
          <w:p w14:paraId="2C59A512" w14:textId="77777777" w:rsidR="009E390A" w:rsidRPr="001B2E40" w:rsidRDefault="009E390A" w:rsidP="004C79C1">
            <w:pPr>
              <w:pStyle w:val="TableHeading"/>
              <w:spacing w:before="0" w:after="120"/>
              <w:ind w:left="4" w:firstLine="0"/>
            </w:pPr>
            <w:r w:rsidRPr="001B2E40">
              <w:t>Interpretation</w:t>
            </w:r>
          </w:p>
        </w:tc>
        <w:tc>
          <w:tcPr>
            <w:tcW w:w="1010" w:type="dxa"/>
          </w:tcPr>
          <w:p w14:paraId="061E766A" w14:textId="77777777" w:rsidR="009E390A" w:rsidRPr="001B2E40" w:rsidRDefault="009E390A" w:rsidP="004C79C1">
            <w:pPr>
              <w:pStyle w:val="TableHeading"/>
              <w:spacing w:before="0" w:after="120"/>
              <w:ind w:left="4" w:firstLine="0"/>
            </w:pPr>
            <w:r>
              <w:t xml:space="preserve">Quality of evidence using </w:t>
            </w:r>
            <w:r w:rsidRPr="001B2E40">
              <w:t>GRADE</w:t>
            </w:r>
          </w:p>
        </w:tc>
      </w:tr>
      <w:tr w:rsidR="009E390A" w:rsidRPr="00F12AEE" w14:paraId="71DCE565" w14:textId="77777777" w:rsidTr="00124E3B">
        <w:tc>
          <w:tcPr>
            <w:tcW w:w="1246" w:type="dxa"/>
            <w:tcBorders>
              <w:top w:val="single" w:sz="4" w:space="0" w:color="auto"/>
              <w:left w:val="single" w:sz="4" w:space="0" w:color="auto"/>
              <w:bottom w:val="nil"/>
              <w:right w:val="single" w:sz="4" w:space="0" w:color="auto"/>
            </w:tcBorders>
          </w:tcPr>
          <w:p w14:paraId="07202335"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B2. Direct evidence</w:t>
            </w:r>
          </w:p>
        </w:tc>
        <w:tc>
          <w:tcPr>
            <w:tcW w:w="1281" w:type="dxa"/>
            <w:tcBorders>
              <w:left w:val="single" w:sz="4" w:space="0" w:color="auto"/>
            </w:tcBorders>
          </w:tcPr>
          <w:p w14:paraId="76F353A2"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 xml:space="preserve">Safety of CMR and comparative </w:t>
            </w:r>
            <w:r>
              <w:rPr>
                <w:rFonts w:ascii="Arial Narrow" w:hAnsi="Arial Narrow" w:cs="Arial"/>
                <w:sz w:val="20"/>
                <w:szCs w:val="20"/>
              </w:rPr>
              <w:lastRenderedPageBreak/>
              <w:t>tests</w:t>
            </w:r>
          </w:p>
        </w:tc>
        <w:tc>
          <w:tcPr>
            <w:tcW w:w="1275" w:type="dxa"/>
          </w:tcPr>
          <w:p w14:paraId="6FDC7492" w14:textId="3755B320"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K=0</w:t>
            </w:r>
          </w:p>
        </w:tc>
        <w:tc>
          <w:tcPr>
            <w:tcW w:w="1985" w:type="dxa"/>
          </w:tcPr>
          <w:p w14:paraId="7770F5A7" w14:textId="7B722F53" w:rsidR="009E390A" w:rsidRDefault="009E390A" w:rsidP="004C79C1">
            <w:pPr>
              <w:pStyle w:val="Tabletext1"/>
              <w:spacing w:before="0" w:after="120"/>
              <w:ind w:left="6" w:right="-57"/>
              <w:rPr>
                <w:rFonts w:cs="Arial"/>
              </w:rPr>
            </w:pPr>
            <w:r>
              <w:rPr>
                <w:rFonts w:cs="Arial"/>
              </w:rPr>
              <w:t xml:space="preserve">No studies were identified on the harms of CMR or comparative imaging techniques for </w:t>
            </w:r>
            <w:r>
              <w:rPr>
                <w:rFonts w:cs="Arial"/>
              </w:rPr>
              <w:lastRenderedPageBreak/>
              <w:t>the population with DCM</w:t>
            </w:r>
            <w:r w:rsidR="00190192">
              <w:rPr>
                <w:rFonts w:cs="Arial"/>
              </w:rPr>
              <w:t>.</w:t>
            </w:r>
          </w:p>
        </w:tc>
        <w:tc>
          <w:tcPr>
            <w:tcW w:w="2176" w:type="dxa"/>
          </w:tcPr>
          <w:p w14:paraId="438D082C" w14:textId="6DC59289"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lastRenderedPageBreak/>
              <w:t xml:space="preserve">The non-invasive imaging techniques have good safety profiles. Invasive testing such as EMB and </w:t>
            </w:r>
            <w:r>
              <w:rPr>
                <w:rFonts w:ascii="Arial Narrow" w:hAnsi="Arial Narrow" w:cs="Arial"/>
                <w:sz w:val="20"/>
                <w:szCs w:val="20"/>
              </w:rPr>
              <w:lastRenderedPageBreak/>
              <w:t xml:space="preserve">ICA </w:t>
            </w:r>
            <w:proofErr w:type="gramStart"/>
            <w:r>
              <w:rPr>
                <w:rFonts w:ascii="Arial Narrow" w:hAnsi="Arial Narrow" w:cs="Arial"/>
                <w:sz w:val="20"/>
                <w:szCs w:val="20"/>
              </w:rPr>
              <w:t>have</w:t>
            </w:r>
            <w:proofErr w:type="gramEnd"/>
            <w:r>
              <w:rPr>
                <w:rFonts w:ascii="Arial Narrow" w:hAnsi="Arial Narrow" w:cs="Arial"/>
                <w:sz w:val="20"/>
                <w:szCs w:val="20"/>
              </w:rPr>
              <w:t xml:space="preserve"> higher rate</w:t>
            </w:r>
            <w:r w:rsidR="00190192">
              <w:rPr>
                <w:rFonts w:ascii="Arial Narrow" w:hAnsi="Arial Narrow" w:cs="Arial"/>
                <w:sz w:val="20"/>
                <w:szCs w:val="20"/>
              </w:rPr>
              <w:t>s</w:t>
            </w:r>
            <w:r>
              <w:rPr>
                <w:rFonts w:ascii="Arial Narrow" w:hAnsi="Arial Narrow" w:cs="Arial"/>
                <w:sz w:val="20"/>
                <w:szCs w:val="20"/>
              </w:rPr>
              <w:t xml:space="preserve"> of complications. </w:t>
            </w:r>
          </w:p>
        </w:tc>
        <w:tc>
          <w:tcPr>
            <w:tcW w:w="1010" w:type="dxa"/>
          </w:tcPr>
          <w:p w14:paraId="147F473F"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lastRenderedPageBreak/>
              <w:t>N/A</w:t>
            </w:r>
          </w:p>
        </w:tc>
      </w:tr>
      <w:tr w:rsidR="009E390A" w:rsidRPr="00F12AEE" w14:paraId="1C5E66F7" w14:textId="77777777" w:rsidTr="00124E3B">
        <w:tc>
          <w:tcPr>
            <w:tcW w:w="1246" w:type="dxa"/>
            <w:tcBorders>
              <w:top w:val="single" w:sz="4" w:space="0" w:color="auto"/>
              <w:left w:val="single" w:sz="4" w:space="0" w:color="auto"/>
              <w:bottom w:val="nil"/>
              <w:right w:val="single" w:sz="4" w:space="0" w:color="auto"/>
            </w:tcBorders>
          </w:tcPr>
          <w:p w14:paraId="425945A8"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lastRenderedPageBreak/>
              <w:t>B3. Diagnostic performance</w:t>
            </w:r>
          </w:p>
        </w:tc>
        <w:tc>
          <w:tcPr>
            <w:tcW w:w="1281" w:type="dxa"/>
            <w:tcBorders>
              <w:left w:val="single" w:sz="4" w:space="0" w:color="auto"/>
            </w:tcBorders>
          </w:tcPr>
          <w:p w14:paraId="75D22282" w14:textId="77777777" w:rsidR="009E390A" w:rsidRPr="00F12AEE"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Accuracy of CMR for diagnosing DCM</w:t>
            </w:r>
          </w:p>
        </w:tc>
        <w:tc>
          <w:tcPr>
            <w:tcW w:w="1275" w:type="dxa"/>
          </w:tcPr>
          <w:p w14:paraId="1982C552" w14:textId="6AFAB323"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N=136</w:t>
            </w:r>
          </w:p>
          <w:p w14:paraId="48D8AA70" w14:textId="4416E754" w:rsidR="009E390A" w:rsidRPr="00F12AEE"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K=1 diagnostic accuracy study</w:t>
            </w:r>
          </w:p>
        </w:tc>
        <w:tc>
          <w:tcPr>
            <w:tcW w:w="1985" w:type="dxa"/>
          </w:tcPr>
          <w:p w14:paraId="3B0F67C0" w14:textId="77777777" w:rsidR="009E390A" w:rsidRDefault="009E390A" w:rsidP="004C79C1">
            <w:pPr>
              <w:pStyle w:val="Tabletext1"/>
              <w:spacing w:before="0" w:after="120"/>
              <w:ind w:left="4" w:right="-57"/>
              <w:rPr>
                <w:rFonts w:cs="Arial"/>
              </w:rPr>
            </w:pPr>
            <w:r>
              <w:rPr>
                <w:rFonts w:cs="Arial"/>
              </w:rPr>
              <w:t>Sensitivity = 0.83 (0.71, 0.92)</w:t>
            </w:r>
          </w:p>
          <w:p w14:paraId="590BFB27" w14:textId="77777777" w:rsidR="009E390A" w:rsidRPr="00F12AEE" w:rsidRDefault="009E390A" w:rsidP="004C79C1">
            <w:pPr>
              <w:pStyle w:val="Tabletext1"/>
              <w:spacing w:before="0" w:after="120"/>
              <w:ind w:left="4" w:right="-57"/>
              <w:rPr>
                <w:rFonts w:cs="Arial"/>
              </w:rPr>
            </w:pPr>
            <w:r>
              <w:rPr>
                <w:rFonts w:cs="Arial"/>
              </w:rPr>
              <w:t>Specificity = 0.93 (0.85, 0.97)</w:t>
            </w:r>
          </w:p>
        </w:tc>
        <w:tc>
          <w:tcPr>
            <w:tcW w:w="2176" w:type="dxa"/>
          </w:tcPr>
          <w:p w14:paraId="3BAEEF2B" w14:textId="3DB55549" w:rsidR="009E390A" w:rsidRPr="00F12AEE"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CMR is reasonably good at identifying DCM, when compared </w:t>
            </w:r>
            <w:r w:rsidR="008971C2">
              <w:rPr>
                <w:rFonts w:ascii="Arial Narrow" w:hAnsi="Arial Narrow" w:cs="Arial"/>
                <w:sz w:val="20"/>
                <w:szCs w:val="20"/>
              </w:rPr>
              <w:t xml:space="preserve">with </w:t>
            </w:r>
            <w:r>
              <w:rPr>
                <w:rFonts w:ascii="Arial Narrow" w:hAnsi="Arial Narrow" w:cs="Arial"/>
                <w:sz w:val="20"/>
                <w:szCs w:val="20"/>
              </w:rPr>
              <w:t xml:space="preserve">clinical diagnosis and EMB. However, these findings were in studies that included patients other than those with an inconclusive echocardiogram. </w:t>
            </w:r>
          </w:p>
        </w:tc>
        <w:tc>
          <w:tcPr>
            <w:tcW w:w="1010" w:type="dxa"/>
          </w:tcPr>
          <w:p w14:paraId="411A22F5"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22BBDEC8" w14:textId="77777777" w:rsidR="009E390A" w:rsidRPr="00F12AEE" w:rsidRDefault="009E390A" w:rsidP="004C79C1">
            <w:pPr>
              <w:spacing w:after="120" w:line="240" w:lineRule="auto"/>
              <w:ind w:left="4" w:right="-57"/>
              <w:rPr>
                <w:rFonts w:ascii="Arial Narrow" w:hAnsi="Arial Narrow" w:cs="Arial"/>
                <w:sz w:val="20"/>
                <w:szCs w:val="20"/>
              </w:rPr>
            </w:pPr>
            <w:r>
              <w:rPr>
                <w:rFonts w:ascii="Cambria Math" w:hAnsi="Cambria Math"/>
                <w:color w:val="00B050"/>
              </w:rPr>
              <w:t>⨁⨁⨁</w:t>
            </w:r>
            <w:r w:rsidRPr="001B2E40">
              <w:rPr>
                <w:rFonts w:ascii="Cambria Math" w:hAnsi="Cambria Math" w:cs="Cambria Math"/>
                <w:color w:val="FF0000"/>
                <w:sz w:val="20"/>
                <w:szCs w:val="20"/>
              </w:rPr>
              <w:t>⨀</w:t>
            </w:r>
          </w:p>
        </w:tc>
      </w:tr>
      <w:tr w:rsidR="009E390A" w:rsidRPr="00F12AEE" w14:paraId="61D31CBA" w14:textId="77777777" w:rsidTr="00124E3B">
        <w:tc>
          <w:tcPr>
            <w:tcW w:w="1246" w:type="dxa"/>
            <w:tcBorders>
              <w:top w:val="nil"/>
              <w:left w:val="single" w:sz="4" w:space="0" w:color="auto"/>
              <w:bottom w:val="single" w:sz="4" w:space="0" w:color="auto"/>
              <w:right w:val="single" w:sz="4" w:space="0" w:color="auto"/>
            </w:tcBorders>
          </w:tcPr>
          <w:p w14:paraId="6CA0D012" w14:textId="77777777" w:rsidR="009E390A" w:rsidRDefault="009E390A" w:rsidP="004C79C1">
            <w:pPr>
              <w:tabs>
                <w:tab w:val="left" w:pos="268"/>
              </w:tabs>
              <w:spacing w:after="120" w:line="240" w:lineRule="auto"/>
              <w:rPr>
                <w:rFonts w:ascii="Arial Narrow" w:hAnsi="Arial Narrow" w:cs="Arial"/>
                <w:sz w:val="20"/>
                <w:szCs w:val="20"/>
              </w:rPr>
            </w:pPr>
          </w:p>
        </w:tc>
        <w:tc>
          <w:tcPr>
            <w:tcW w:w="1281" w:type="dxa"/>
            <w:tcBorders>
              <w:left w:val="single" w:sz="4" w:space="0" w:color="auto"/>
            </w:tcBorders>
          </w:tcPr>
          <w:p w14:paraId="705B212C"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Accuracy of CMR at distinguishing ICM from NIDCM</w:t>
            </w:r>
          </w:p>
        </w:tc>
        <w:tc>
          <w:tcPr>
            <w:tcW w:w="1275" w:type="dxa"/>
          </w:tcPr>
          <w:p w14:paraId="73147EB5" w14:textId="3948F52E"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K=8 diagnostic accuracy studies</w:t>
            </w:r>
          </w:p>
          <w:p w14:paraId="744DCAFB" w14:textId="157917A0"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(K=6 vs ICA, K=2 vs clinical diagnosis)</w:t>
            </w:r>
          </w:p>
        </w:tc>
        <w:tc>
          <w:tcPr>
            <w:tcW w:w="1985" w:type="dxa"/>
          </w:tcPr>
          <w:p w14:paraId="6770E84E" w14:textId="618C15A3" w:rsidR="009E390A" w:rsidRDefault="009E390A" w:rsidP="004C79C1">
            <w:pPr>
              <w:pStyle w:val="Tabletext1"/>
              <w:spacing w:before="0" w:after="120"/>
              <w:ind w:left="4" w:right="-57"/>
              <w:rPr>
                <w:rFonts w:cs="Arial"/>
              </w:rPr>
            </w:pPr>
            <w:r>
              <w:rPr>
                <w:rFonts w:cs="Arial"/>
              </w:rPr>
              <w:t>Sensitivity = 0.68</w:t>
            </w:r>
            <w:r w:rsidR="00293F7F">
              <w:rPr>
                <w:rFonts w:cs="Arial"/>
              </w:rPr>
              <w:t>–</w:t>
            </w:r>
            <w:r>
              <w:rPr>
                <w:rFonts w:cs="Arial"/>
              </w:rPr>
              <w:t>1.00</w:t>
            </w:r>
          </w:p>
          <w:p w14:paraId="718CF28B" w14:textId="5626F71D" w:rsidR="009E390A" w:rsidRDefault="009E390A" w:rsidP="004C79C1">
            <w:pPr>
              <w:spacing w:after="120" w:line="240" w:lineRule="auto"/>
              <w:ind w:left="4" w:right="-57"/>
              <w:rPr>
                <w:rFonts w:ascii="Arial Narrow" w:hAnsi="Arial Narrow" w:cs="Arial"/>
                <w:sz w:val="20"/>
                <w:szCs w:val="20"/>
              </w:rPr>
            </w:pPr>
            <w:r w:rsidRPr="007D197E">
              <w:rPr>
                <w:rFonts w:ascii="Arial Narrow" w:hAnsi="Arial Narrow" w:cs="Arial"/>
                <w:sz w:val="20"/>
                <w:szCs w:val="20"/>
              </w:rPr>
              <w:t>Specificity = 0.71</w:t>
            </w:r>
            <w:r w:rsidR="00293F7F">
              <w:rPr>
                <w:rFonts w:ascii="Arial Narrow" w:hAnsi="Arial Narrow" w:cs="Arial"/>
                <w:sz w:val="20"/>
                <w:szCs w:val="20"/>
              </w:rPr>
              <w:t>–</w:t>
            </w:r>
            <w:r w:rsidRPr="007D197E">
              <w:rPr>
                <w:rFonts w:ascii="Arial Narrow" w:hAnsi="Arial Narrow" w:cs="Arial"/>
                <w:sz w:val="20"/>
                <w:szCs w:val="20"/>
              </w:rPr>
              <w:t>1.00</w:t>
            </w:r>
          </w:p>
        </w:tc>
        <w:tc>
          <w:tcPr>
            <w:tcW w:w="2176" w:type="dxa"/>
          </w:tcPr>
          <w:p w14:paraId="4741A227"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A high proportion of those patients with NIDCM may avoid ICD insertion if imaged with CMR. </w:t>
            </w:r>
          </w:p>
        </w:tc>
        <w:tc>
          <w:tcPr>
            <w:tcW w:w="1010" w:type="dxa"/>
          </w:tcPr>
          <w:p w14:paraId="3BF67C1F" w14:textId="77777777" w:rsidR="009E390A" w:rsidRDefault="009E390A"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7A0495D0"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to High</w:t>
            </w:r>
          </w:p>
          <w:p w14:paraId="1CF443A0" w14:textId="77777777" w:rsidR="009E390A" w:rsidRPr="00F12AEE" w:rsidRDefault="009E390A" w:rsidP="004C79C1">
            <w:pPr>
              <w:spacing w:after="120" w:line="240" w:lineRule="auto"/>
            </w:pPr>
            <w:r w:rsidRPr="001B2E40">
              <w:rPr>
                <w:rFonts w:ascii="Cambria Math" w:hAnsi="Cambria Math" w:cs="Cambria Math"/>
                <w:color w:val="00B050"/>
                <w:sz w:val="20"/>
                <w:szCs w:val="20"/>
              </w:rPr>
              <w:t>⊕⊕⊕⊕</w:t>
            </w:r>
          </w:p>
        </w:tc>
      </w:tr>
      <w:tr w:rsidR="009E390A" w:rsidRPr="00F12AEE" w14:paraId="34A3FCE7" w14:textId="77777777" w:rsidTr="00124E3B">
        <w:tc>
          <w:tcPr>
            <w:tcW w:w="1246" w:type="dxa"/>
            <w:tcBorders>
              <w:top w:val="single" w:sz="4" w:space="0" w:color="auto"/>
              <w:bottom w:val="single" w:sz="4" w:space="0" w:color="auto"/>
            </w:tcBorders>
          </w:tcPr>
          <w:p w14:paraId="7B01EFF9" w14:textId="2FE2F8C4" w:rsidR="009E390A" w:rsidRDefault="009E390A" w:rsidP="004C79C1">
            <w:pPr>
              <w:tabs>
                <w:tab w:val="left" w:pos="268"/>
              </w:tabs>
              <w:spacing w:after="120" w:line="240" w:lineRule="auto"/>
              <w:rPr>
                <w:rFonts w:ascii="Arial Narrow" w:hAnsi="Arial Narrow" w:cs="Arial"/>
                <w:sz w:val="20"/>
                <w:szCs w:val="20"/>
              </w:rPr>
            </w:pPr>
            <w:r>
              <w:rPr>
                <w:rFonts w:ascii="Arial Narrow" w:hAnsi="Arial Narrow" w:cs="Arial"/>
                <w:sz w:val="20"/>
                <w:szCs w:val="20"/>
              </w:rPr>
              <w:t>B3. Diagnostic performance</w:t>
            </w:r>
            <w:r w:rsidR="00293F7F">
              <w:rPr>
                <w:rFonts w:ascii="Arial Narrow" w:hAnsi="Arial Narrow" w:cs="Arial"/>
                <w:sz w:val="20"/>
                <w:szCs w:val="20"/>
              </w:rPr>
              <w:t>;</w:t>
            </w:r>
            <w:r>
              <w:rPr>
                <w:rFonts w:ascii="Arial Narrow" w:hAnsi="Arial Narrow" w:cs="Arial"/>
                <w:sz w:val="20"/>
                <w:szCs w:val="20"/>
              </w:rPr>
              <w:t xml:space="preserve"> B4.2</w:t>
            </w:r>
            <w:r w:rsidR="00293F7F">
              <w:rPr>
                <w:rFonts w:ascii="Arial Narrow" w:hAnsi="Arial Narrow" w:cs="Arial"/>
                <w:sz w:val="20"/>
                <w:szCs w:val="20"/>
              </w:rPr>
              <w:t>.</w:t>
            </w:r>
            <w:r>
              <w:rPr>
                <w:rFonts w:ascii="Arial Narrow" w:hAnsi="Arial Narrow" w:cs="Arial"/>
                <w:sz w:val="20"/>
                <w:szCs w:val="20"/>
              </w:rPr>
              <w:t xml:space="preserve"> Prognosis or predisposition</w:t>
            </w:r>
          </w:p>
        </w:tc>
        <w:tc>
          <w:tcPr>
            <w:tcW w:w="1281" w:type="dxa"/>
          </w:tcPr>
          <w:p w14:paraId="14600C96" w14:textId="6270F6E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Accuracy of CMR vs CTCA, SPECT</w:t>
            </w:r>
            <w:r w:rsidR="000C1D30">
              <w:rPr>
                <w:rFonts w:ascii="Arial Narrow" w:hAnsi="Arial Narrow" w:cs="Arial"/>
                <w:sz w:val="20"/>
                <w:szCs w:val="20"/>
              </w:rPr>
              <w:t>,</w:t>
            </w:r>
            <w:r>
              <w:rPr>
                <w:rFonts w:ascii="Arial Narrow" w:hAnsi="Arial Narrow" w:cs="Arial"/>
                <w:sz w:val="20"/>
                <w:szCs w:val="20"/>
              </w:rPr>
              <w:t xml:space="preserve"> or stress echo or contrast echo</w:t>
            </w:r>
          </w:p>
        </w:tc>
        <w:tc>
          <w:tcPr>
            <w:tcW w:w="1275" w:type="dxa"/>
          </w:tcPr>
          <w:p w14:paraId="43CF83F9" w14:textId="4360EE21"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K=1 diagnostic accuracy study; 2 prognostic studies</w:t>
            </w:r>
          </w:p>
        </w:tc>
        <w:tc>
          <w:tcPr>
            <w:tcW w:w="1985" w:type="dxa"/>
          </w:tcPr>
          <w:p w14:paraId="0B06CB1D" w14:textId="1CD2BC7C"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Only very limited evidence compared </w:t>
            </w:r>
            <w:r w:rsidR="000C1D30">
              <w:rPr>
                <w:rFonts w:ascii="Arial Narrow" w:hAnsi="Arial Narrow" w:cs="Arial"/>
                <w:sz w:val="20"/>
                <w:szCs w:val="20"/>
              </w:rPr>
              <w:t xml:space="preserve">with </w:t>
            </w:r>
            <w:r>
              <w:rPr>
                <w:rFonts w:ascii="Arial Narrow" w:hAnsi="Arial Narrow" w:cs="Arial"/>
                <w:sz w:val="20"/>
                <w:szCs w:val="20"/>
              </w:rPr>
              <w:t xml:space="preserve">CTCA </w:t>
            </w:r>
          </w:p>
          <w:p w14:paraId="1EAAE158" w14:textId="162496B2"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Contradictory evidence compared </w:t>
            </w:r>
            <w:r w:rsidR="000C1D30">
              <w:rPr>
                <w:rFonts w:ascii="Arial Narrow" w:hAnsi="Arial Narrow" w:cs="Arial"/>
                <w:sz w:val="20"/>
                <w:szCs w:val="20"/>
              </w:rPr>
              <w:t xml:space="preserve">with </w:t>
            </w:r>
            <w:r>
              <w:rPr>
                <w:rFonts w:ascii="Arial Narrow" w:hAnsi="Arial Narrow" w:cs="Arial"/>
                <w:sz w:val="20"/>
                <w:szCs w:val="20"/>
              </w:rPr>
              <w:t>SPECT</w:t>
            </w:r>
          </w:p>
          <w:p w14:paraId="1C939D3A" w14:textId="23E3710A" w:rsidR="009E390A" w:rsidRDefault="009E390A" w:rsidP="004C79C1">
            <w:pPr>
              <w:pStyle w:val="Tabletext1"/>
              <w:spacing w:before="0" w:after="120"/>
              <w:ind w:left="4" w:right="-57"/>
              <w:rPr>
                <w:rFonts w:cs="Arial"/>
              </w:rPr>
            </w:pPr>
            <w:r>
              <w:rPr>
                <w:rFonts w:cs="Arial"/>
              </w:rPr>
              <w:t xml:space="preserve">No evidence compared </w:t>
            </w:r>
            <w:r w:rsidR="000C1D30">
              <w:rPr>
                <w:rFonts w:cs="Arial"/>
              </w:rPr>
              <w:t xml:space="preserve">with </w:t>
            </w:r>
            <w:r>
              <w:rPr>
                <w:rFonts w:cs="Arial"/>
              </w:rPr>
              <w:t>stress or contrast echocardiography.</w:t>
            </w:r>
          </w:p>
        </w:tc>
        <w:tc>
          <w:tcPr>
            <w:tcW w:w="2176" w:type="dxa"/>
          </w:tcPr>
          <w:p w14:paraId="66036CA5"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Conclusions on the comparative accuracy or prognostic benefit of CMR vs alternative non-imaging techniques cannot be made. </w:t>
            </w:r>
          </w:p>
        </w:tc>
        <w:tc>
          <w:tcPr>
            <w:tcW w:w="1010" w:type="dxa"/>
          </w:tcPr>
          <w:p w14:paraId="2C6BE716" w14:textId="77777777" w:rsidR="009E390A" w:rsidRPr="00305C0D" w:rsidRDefault="009E390A"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t>Very low</w:t>
            </w:r>
          </w:p>
          <w:p w14:paraId="428CF51C" w14:textId="77777777" w:rsidR="009E390A" w:rsidRDefault="009E390A"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9E390A" w:rsidRPr="00F12AEE" w14:paraId="00725E71" w14:textId="77777777" w:rsidTr="00124E3B">
        <w:tc>
          <w:tcPr>
            <w:tcW w:w="1246" w:type="dxa"/>
            <w:tcBorders>
              <w:top w:val="single" w:sz="4" w:space="0" w:color="auto"/>
              <w:bottom w:val="single" w:sz="4" w:space="0" w:color="auto"/>
            </w:tcBorders>
          </w:tcPr>
          <w:p w14:paraId="1229F992" w14:textId="77777777" w:rsidR="009E390A" w:rsidRDefault="009E390A" w:rsidP="004C79C1">
            <w:pPr>
              <w:tabs>
                <w:tab w:val="left" w:pos="268"/>
              </w:tabs>
              <w:spacing w:after="120" w:line="240" w:lineRule="auto"/>
              <w:rPr>
                <w:rFonts w:ascii="Arial Narrow" w:hAnsi="Arial Narrow" w:cs="Arial"/>
                <w:sz w:val="20"/>
                <w:szCs w:val="20"/>
              </w:rPr>
            </w:pPr>
            <w:r>
              <w:rPr>
                <w:rFonts w:ascii="Arial Narrow" w:hAnsi="Arial Narrow" w:cs="Arial"/>
                <w:sz w:val="20"/>
                <w:szCs w:val="20"/>
              </w:rPr>
              <w:t>B5.1. Therapeutic efficacy</w:t>
            </w:r>
          </w:p>
        </w:tc>
        <w:tc>
          <w:tcPr>
            <w:tcW w:w="1281" w:type="dxa"/>
          </w:tcPr>
          <w:p w14:paraId="6F580CBC" w14:textId="77777777" w:rsidR="009E390A" w:rsidRDefault="009E390A" w:rsidP="004C79C1">
            <w:pPr>
              <w:tabs>
                <w:tab w:val="left" w:pos="268"/>
              </w:tabs>
              <w:spacing w:after="120" w:line="240" w:lineRule="auto"/>
              <w:ind w:left="4"/>
              <w:rPr>
                <w:rFonts w:ascii="Arial Narrow" w:hAnsi="Arial Narrow" w:cs="Arial"/>
                <w:sz w:val="20"/>
                <w:szCs w:val="20"/>
              </w:rPr>
            </w:pPr>
            <w:r w:rsidRPr="00F12AEE">
              <w:rPr>
                <w:rFonts w:ascii="Arial Narrow" w:hAnsi="Arial Narrow" w:cs="Arial"/>
                <w:sz w:val="20"/>
                <w:szCs w:val="20"/>
              </w:rPr>
              <w:t>Diagnostic yield</w:t>
            </w:r>
            <w:r>
              <w:rPr>
                <w:rFonts w:ascii="Arial Narrow" w:hAnsi="Arial Narrow" w:cs="Arial"/>
                <w:sz w:val="20"/>
                <w:szCs w:val="20"/>
              </w:rPr>
              <w:t xml:space="preserve"> of CMR in those classified as having idiopathic DCM</w:t>
            </w:r>
          </w:p>
        </w:tc>
        <w:tc>
          <w:tcPr>
            <w:tcW w:w="1275" w:type="dxa"/>
          </w:tcPr>
          <w:p w14:paraId="1FED7911" w14:textId="75B496D6" w:rsidR="009E390A" w:rsidRPr="00F12AEE" w:rsidRDefault="009E390A"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N=102</w:t>
            </w:r>
          </w:p>
          <w:p w14:paraId="744A42E3" w14:textId="505962C9" w:rsidR="009E390A" w:rsidRDefault="009E390A"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K=1</w:t>
            </w:r>
            <w:r>
              <w:rPr>
                <w:rFonts w:ascii="Arial Narrow" w:hAnsi="Arial Narrow" w:cs="Arial"/>
                <w:sz w:val="20"/>
                <w:szCs w:val="20"/>
              </w:rPr>
              <w:t xml:space="preserve"> comparative diagnostic yield study</w:t>
            </w:r>
          </w:p>
        </w:tc>
        <w:tc>
          <w:tcPr>
            <w:tcW w:w="1985" w:type="dxa"/>
          </w:tcPr>
          <w:p w14:paraId="5FF4E3C4" w14:textId="6EB29EE4" w:rsidR="009E390A" w:rsidRDefault="009E390A" w:rsidP="004C79C1">
            <w:pPr>
              <w:pStyle w:val="Tabletext1"/>
              <w:spacing w:before="0" w:after="120"/>
              <w:ind w:left="4" w:right="-57"/>
              <w:rPr>
                <w:rFonts w:cs="Arial"/>
              </w:rPr>
            </w:pPr>
            <w:r>
              <w:rPr>
                <w:rFonts w:cs="Arial"/>
              </w:rPr>
              <w:t>CMR identified aetiologies in 4/102 patients</w:t>
            </w:r>
            <w:r w:rsidR="00DA043E">
              <w:rPr>
                <w:rFonts w:cs="Arial"/>
              </w:rPr>
              <w:t>.</w:t>
            </w:r>
          </w:p>
          <w:p w14:paraId="50D2C638" w14:textId="272BC995" w:rsidR="009E390A" w:rsidRDefault="009E390A" w:rsidP="004C79C1">
            <w:pPr>
              <w:pStyle w:val="Tabletext1"/>
              <w:spacing w:before="0" w:after="120"/>
              <w:ind w:left="4" w:right="-57"/>
              <w:rPr>
                <w:rFonts w:cs="Arial"/>
              </w:rPr>
            </w:pPr>
            <w:r>
              <w:rPr>
                <w:rFonts w:cs="Arial"/>
              </w:rPr>
              <w:t xml:space="preserve">3/4 aetiologies </w:t>
            </w:r>
            <w:r w:rsidR="00DA043E">
              <w:rPr>
                <w:rFonts w:cs="Arial"/>
              </w:rPr>
              <w:t xml:space="preserve">were </w:t>
            </w:r>
            <w:r>
              <w:rPr>
                <w:rFonts w:cs="Arial"/>
              </w:rPr>
              <w:t>not identified by any other further test</w:t>
            </w:r>
            <w:r w:rsidR="00DA043E">
              <w:rPr>
                <w:rFonts w:cs="Arial"/>
              </w:rPr>
              <w:t>.</w:t>
            </w:r>
          </w:p>
          <w:p w14:paraId="410B4163" w14:textId="24B88EE2" w:rsidR="009E390A" w:rsidRDefault="009E390A" w:rsidP="004C79C1">
            <w:pPr>
              <w:spacing w:after="120" w:line="240" w:lineRule="auto"/>
              <w:ind w:left="4" w:right="-57"/>
              <w:rPr>
                <w:rFonts w:ascii="Arial Narrow" w:hAnsi="Arial Narrow" w:cs="Arial"/>
                <w:sz w:val="20"/>
                <w:szCs w:val="20"/>
              </w:rPr>
            </w:pPr>
            <w:r w:rsidRPr="007D197E">
              <w:rPr>
                <w:rFonts w:ascii="Arial Narrow" w:hAnsi="Arial Narrow" w:cs="Arial"/>
                <w:sz w:val="20"/>
                <w:szCs w:val="20"/>
              </w:rPr>
              <w:t xml:space="preserve">1/4 </w:t>
            </w:r>
            <w:r w:rsidR="00DA043E">
              <w:rPr>
                <w:rFonts w:ascii="Arial Narrow" w:hAnsi="Arial Narrow" w:cs="Arial"/>
                <w:sz w:val="20"/>
                <w:szCs w:val="20"/>
              </w:rPr>
              <w:t xml:space="preserve">patients were </w:t>
            </w:r>
            <w:r w:rsidRPr="007D197E">
              <w:rPr>
                <w:rFonts w:ascii="Arial Narrow" w:hAnsi="Arial Narrow" w:cs="Arial"/>
                <w:sz w:val="20"/>
                <w:szCs w:val="20"/>
              </w:rPr>
              <w:t>also identified by EMB</w:t>
            </w:r>
            <w:r w:rsidR="00DA043E">
              <w:rPr>
                <w:rFonts w:ascii="Arial Narrow" w:hAnsi="Arial Narrow" w:cs="Arial"/>
                <w:sz w:val="20"/>
                <w:szCs w:val="20"/>
              </w:rPr>
              <w:t>.</w:t>
            </w:r>
          </w:p>
        </w:tc>
        <w:tc>
          <w:tcPr>
            <w:tcW w:w="2176" w:type="dxa"/>
          </w:tcPr>
          <w:p w14:paraId="67D85425" w14:textId="77777777" w:rsidR="009E390A" w:rsidRDefault="009E390A" w:rsidP="004C79C1">
            <w:pPr>
              <w:spacing w:after="120" w:line="240" w:lineRule="auto"/>
              <w:ind w:left="4" w:right="-57"/>
              <w:rPr>
                <w:rFonts w:ascii="Arial Narrow" w:hAnsi="Arial Narrow" w:cs="Arial"/>
                <w:sz w:val="20"/>
                <w:szCs w:val="20"/>
              </w:rPr>
            </w:pPr>
            <w:r w:rsidRPr="00F12AEE">
              <w:rPr>
                <w:rFonts w:ascii="Arial Narrow" w:hAnsi="Arial Narrow" w:cs="Arial"/>
                <w:sz w:val="20"/>
                <w:szCs w:val="20"/>
              </w:rPr>
              <w:t xml:space="preserve">CMR </w:t>
            </w:r>
            <w:r>
              <w:rPr>
                <w:rFonts w:ascii="Arial Narrow" w:hAnsi="Arial Narrow" w:cs="Arial"/>
                <w:sz w:val="20"/>
                <w:szCs w:val="20"/>
              </w:rPr>
              <w:t xml:space="preserve">provides unique information, identifying a small number of cases who would otherwise be classified as having idiopathic NIDCM. </w:t>
            </w:r>
          </w:p>
          <w:p w14:paraId="7120FFD5"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None of the other tests could be replaced by CMR, </w:t>
            </w:r>
            <w:proofErr w:type="gramStart"/>
            <w:r>
              <w:rPr>
                <w:rFonts w:ascii="Arial Narrow" w:hAnsi="Arial Narrow" w:cs="Arial"/>
                <w:sz w:val="20"/>
                <w:szCs w:val="20"/>
              </w:rPr>
              <w:t>as each reported unique aetiologies</w:t>
            </w:r>
            <w:proofErr w:type="gramEnd"/>
            <w:r>
              <w:rPr>
                <w:rFonts w:ascii="Arial Narrow" w:hAnsi="Arial Narrow" w:cs="Arial"/>
                <w:sz w:val="20"/>
                <w:szCs w:val="20"/>
              </w:rPr>
              <w:t xml:space="preserve">. </w:t>
            </w:r>
          </w:p>
          <w:p w14:paraId="1A0379E7" w14:textId="77777777" w:rsidR="009E390A" w:rsidRDefault="009E390A" w:rsidP="004C79C1">
            <w:pPr>
              <w:spacing w:after="120" w:line="240" w:lineRule="auto"/>
              <w:ind w:left="4" w:right="-57"/>
              <w:rPr>
                <w:rFonts w:ascii="Arial Narrow" w:hAnsi="Arial Narrow" w:cs="Arial"/>
                <w:sz w:val="20"/>
                <w:szCs w:val="20"/>
              </w:rPr>
            </w:pPr>
          </w:p>
        </w:tc>
        <w:tc>
          <w:tcPr>
            <w:tcW w:w="1010" w:type="dxa"/>
          </w:tcPr>
          <w:p w14:paraId="12685F93" w14:textId="77777777" w:rsidR="009E390A" w:rsidRPr="00305C0D" w:rsidRDefault="009E390A"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t>Very low</w:t>
            </w:r>
          </w:p>
          <w:p w14:paraId="492736E9" w14:textId="77777777" w:rsidR="009E390A" w:rsidRPr="00305C0D" w:rsidRDefault="009E390A"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9E390A" w:rsidRPr="00F12AEE" w14:paraId="3854B384" w14:textId="77777777" w:rsidTr="00124E3B">
        <w:tc>
          <w:tcPr>
            <w:tcW w:w="1246" w:type="dxa"/>
            <w:tcBorders>
              <w:top w:val="single" w:sz="4" w:space="0" w:color="auto"/>
              <w:bottom w:val="single" w:sz="4" w:space="0" w:color="auto"/>
            </w:tcBorders>
          </w:tcPr>
          <w:p w14:paraId="3E9DC7B4" w14:textId="77777777" w:rsidR="009E390A" w:rsidRDefault="009E390A" w:rsidP="004C79C1">
            <w:pPr>
              <w:tabs>
                <w:tab w:val="left" w:pos="268"/>
              </w:tabs>
              <w:spacing w:after="120" w:line="240" w:lineRule="auto"/>
              <w:rPr>
                <w:rFonts w:ascii="Arial Narrow" w:hAnsi="Arial Narrow" w:cs="Arial"/>
                <w:sz w:val="20"/>
                <w:szCs w:val="20"/>
              </w:rPr>
            </w:pPr>
            <w:r>
              <w:rPr>
                <w:rFonts w:ascii="Arial Narrow" w:hAnsi="Arial Narrow" w:cs="Arial"/>
                <w:sz w:val="20"/>
                <w:szCs w:val="20"/>
              </w:rPr>
              <w:t>B4.2. Prognosis or predisposition</w:t>
            </w:r>
          </w:p>
        </w:tc>
        <w:tc>
          <w:tcPr>
            <w:tcW w:w="1281" w:type="dxa"/>
          </w:tcPr>
          <w:p w14:paraId="46031623"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LGE-CMR for determining prognosis in those with NIDCM</w:t>
            </w:r>
          </w:p>
        </w:tc>
        <w:tc>
          <w:tcPr>
            <w:tcW w:w="1275" w:type="dxa"/>
          </w:tcPr>
          <w:p w14:paraId="7F752888" w14:textId="0B613C43"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K=30 prospective or retrospective cohort studies</w:t>
            </w:r>
          </w:p>
        </w:tc>
        <w:tc>
          <w:tcPr>
            <w:tcW w:w="1985" w:type="dxa"/>
          </w:tcPr>
          <w:p w14:paraId="4CA0F838" w14:textId="1FC09987" w:rsidR="009E390A" w:rsidRPr="00C47443" w:rsidRDefault="009E390A" w:rsidP="004C79C1">
            <w:pPr>
              <w:pStyle w:val="Tabletext1"/>
              <w:spacing w:before="0" w:after="120"/>
              <w:ind w:right="-57"/>
              <w:rPr>
                <w:rFonts w:cs="Arial"/>
              </w:rPr>
            </w:pPr>
            <w:r w:rsidRPr="00C47443">
              <w:rPr>
                <w:rFonts w:cs="Arial"/>
              </w:rPr>
              <w:t>All-cause mortality RR = 2.47 (95%</w:t>
            </w:r>
            <w:r w:rsidR="004D6FDC">
              <w:rPr>
                <w:rFonts w:cs="Arial"/>
              </w:rPr>
              <w:t>CI</w:t>
            </w:r>
            <w:r w:rsidRPr="00C47443">
              <w:rPr>
                <w:rFonts w:cs="Arial"/>
              </w:rPr>
              <w:t xml:space="preserve"> 1.63, 3.74) </w:t>
            </w:r>
          </w:p>
          <w:p w14:paraId="565F5E46" w14:textId="77777777" w:rsidR="009E390A" w:rsidRPr="00C47443" w:rsidRDefault="009E390A" w:rsidP="004C79C1">
            <w:pPr>
              <w:pStyle w:val="Tabletext1"/>
              <w:spacing w:before="0" w:after="120"/>
              <w:ind w:right="-57"/>
              <w:rPr>
                <w:rFonts w:cs="Arial"/>
              </w:rPr>
            </w:pPr>
            <w:r w:rsidRPr="00C47443">
              <w:rPr>
                <w:rFonts w:cs="Arial"/>
              </w:rPr>
              <w:t>Cardiac deaths RR = 3.21 (95%CI 1.79, 5.76)</w:t>
            </w:r>
          </w:p>
          <w:p w14:paraId="23B08CC8" w14:textId="77777777" w:rsidR="009E390A" w:rsidRDefault="009E390A" w:rsidP="004C79C1">
            <w:pPr>
              <w:spacing w:after="120" w:line="240" w:lineRule="auto"/>
              <w:ind w:left="4" w:right="-57"/>
              <w:rPr>
                <w:rFonts w:ascii="Arial Narrow" w:hAnsi="Arial Narrow" w:cs="Arial"/>
                <w:sz w:val="20"/>
                <w:szCs w:val="20"/>
              </w:rPr>
            </w:pPr>
            <w:r w:rsidRPr="007D197E">
              <w:rPr>
                <w:rFonts w:ascii="Arial Narrow" w:hAnsi="Arial Narrow" w:cs="Arial"/>
                <w:sz w:val="20"/>
                <w:szCs w:val="20"/>
              </w:rPr>
              <w:t>Any cardiac event RR = 3.71 (95%CI 2.29, 6.04)</w:t>
            </w:r>
          </w:p>
        </w:tc>
        <w:tc>
          <w:tcPr>
            <w:tcW w:w="2176" w:type="dxa"/>
          </w:tcPr>
          <w:p w14:paraId="471596F8" w14:textId="28A95A96"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Those with signs of scarring or inflammation on LGE-CMR had worse cardiac outcomes than those without signs, and </w:t>
            </w:r>
            <w:r w:rsidR="00996733">
              <w:rPr>
                <w:rFonts w:ascii="Arial Narrow" w:hAnsi="Arial Narrow" w:cs="Arial"/>
                <w:sz w:val="20"/>
                <w:szCs w:val="20"/>
              </w:rPr>
              <w:t xml:space="preserve">were </w:t>
            </w:r>
            <w:r>
              <w:rPr>
                <w:rFonts w:ascii="Arial Narrow" w:hAnsi="Arial Narrow" w:cs="Arial"/>
                <w:sz w:val="20"/>
                <w:szCs w:val="20"/>
              </w:rPr>
              <w:t>more likely to have an ICD implanted and to have an appropriate ICD shock.</w:t>
            </w:r>
          </w:p>
        </w:tc>
        <w:tc>
          <w:tcPr>
            <w:tcW w:w="1010" w:type="dxa"/>
          </w:tcPr>
          <w:p w14:paraId="224D786B" w14:textId="77777777" w:rsidR="009E390A" w:rsidRDefault="009E390A"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11116FEC"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to Moderate</w:t>
            </w:r>
          </w:p>
          <w:p w14:paraId="64FF7C69" w14:textId="77777777" w:rsidR="009E390A" w:rsidRPr="00305C0D" w:rsidRDefault="009E390A"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9E390A" w:rsidRPr="00F12AEE" w14:paraId="4FF3C97B" w14:textId="77777777" w:rsidTr="00124E3B">
        <w:tc>
          <w:tcPr>
            <w:tcW w:w="1246" w:type="dxa"/>
            <w:tcBorders>
              <w:top w:val="single" w:sz="4" w:space="0" w:color="auto"/>
              <w:bottom w:val="single" w:sz="4" w:space="0" w:color="auto"/>
            </w:tcBorders>
          </w:tcPr>
          <w:p w14:paraId="2477B3F5" w14:textId="1E044EFA" w:rsidR="009E390A" w:rsidRDefault="009E390A" w:rsidP="004C79C1">
            <w:pPr>
              <w:tabs>
                <w:tab w:val="left" w:pos="268"/>
              </w:tabs>
              <w:spacing w:after="120" w:line="240" w:lineRule="auto"/>
              <w:rPr>
                <w:rFonts w:ascii="Arial Narrow" w:hAnsi="Arial Narrow" w:cs="Arial"/>
                <w:sz w:val="20"/>
                <w:szCs w:val="20"/>
              </w:rPr>
            </w:pPr>
            <w:r>
              <w:rPr>
                <w:rFonts w:ascii="Arial Narrow" w:hAnsi="Arial Narrow" w:cs="Arial"/>
                <w:sz w:val="20"/>
                <w:szCs w:val="20"/>
              </w:rPr>
              <w:t>B5.1</w:t>
            </w:r>
            <w:r w:rsidR="002F71B9">
              <w:rPr>
                <w:rFonts w:ascii="Arial Narrow" w:hAnsi="Arial Narrow" w:cs="Arial"/>
                <w:sz w:val="20"/>
                <w:szCs w:val="20"/>
              </w:rPr>
              <w:t>.</w:t>
            </w:r>
            <w:r>
              <w:rPr>
                <w:rFonts w:ascii="Arial Narrow" w:hAnsi="Arial Narrow" w:cs="Arial"/>
                <w:sz w:val="20"/>
                <w:szCs w:val="20"/>
              </w:rPr>
              <w:t xml:space="preserve"> Therapeutic efficacy</w:t>
            </w:r>
          </w:p>
        </w:tc>
        <w:tc>
          <w:tcPr>
            <w:tcW w:w="1281" w:type="dxa"/>
          </w:tcPr>
          <w:p w14:paraId="1F3F9227" w14:textId="77777777" w:rsidR="009E390A" w:rsidRPr="007D197E" w:rsidRDefault="009E390A" w:rsidP="004C79C1">
            <w:pPr>
              <w:tabs>
                <w:tab w:val="left" w:pos="268"/>
              </w:tabs>
              <w:spacing w:after="120" w:line="240" w:lineRule="auto"/>
              <w:ind w:left="4"/>
              <w:rPr>
                <w:rFonts w:ascii="Arial Narrow" w:hAnsi="Arial Narrow" w:cs="Arial"/>
                <w:b/>
                <w:sz w:val="20"/>
                <w:szCs w:val="20"/>
              </w:rPr>
            </w:pPr>
            <w:r>
              <w:rPr>
                <w:rFonts w:ascii="Arial Narrow" w:hAnsi="Arial Narrow" w:cs="Arial"/>
                <w:sz w:val="20"/>
                <w:szCs w:val="20"/>
              </w:rPr>
              <w:t xml:space="preserve">Effect of CMR on device implantation </w:t>
            </w:r>
            <w:r>
              <w:rPr>
                <w:rFonts w:ascii="Arial Narrow" w:hAnsi="Arial Narrow" w:cs="Arial"/>
                <w:sz w:val="20"/>
                <w:szCs w:val="20"/>
              </w:rPr>
              <w:lastRenderedPageBreak/>
              <w:t>and surgery for NIDCM</w:t>
            </w:r>
          </w:p>
        </w:tc>
        <w:tc>
          <w:tcPr>
            <w:tcW w:w="1275" w:type="dxa"/>
          </w:tcPr>
          <w:p w14:paraId="64D694F8" w14:textId="4DA8D561"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N=488</w:t>
            </w:r>
          </w:p>
          <w:p w14:paraId="171DCDC8" w14:textId="120B9C55"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K=1 cohort </w:t>
            </w:r>
            <w:r>
              <w:rPr>
                <w:rFonts w:ascii="Arial Narrow" w:hAnsi="Arial Narrow" w:cs="Arial"/>
                <w:sz w:val="20"/>
                <w:szCs w:val="20"/>
              </w:rPr>
              <w:lastRenderedPageBreak/>
              <w:t>study</w:t>
            </w:r>
          </w:p>
        </w:tc>
        <w:tc>
          <w:tcPr>
            <w:tcW w:w="1985" w:type="dxa"/>
            <w:shd w:val="clear" w:color="auto" w:fill="auto"/>
          </w:tcPr>
          <w:p w14:paraId="6D6C2368" w14:textId="7C000F47" w:rsidR="009E390A" w:rsidRDefault="009E390A" w:rsidP="004C79C1">
            <w:pPr>
              <w:pStyle w:val="Tabletext1"/>
              <w:spacing w:before="0" w:after="120"/>
              <w:ind w:left="4" w:right="-57"/>
              <w:rPr>
                <w:rFonts w:cs="Arial"/>
              </w:rPr>
            </w:pPr>
            <w:r>
              <w:rPr>
                <w:rFonts w:cs="Arial"/>
              </w:rPr>
              <w:lastRenderedPageBreak/>
              <w:t xml:space="preserve">In those </w:t>
            </w:r>
            <w:r w:rsidR="00996733">
              <w:rPr>
                <w:rFonts w:cs="Arial"/>
              </w:rPr>
              <w:t xml:space="preserve">patients </w:t>
            </w:r>
            <w:r>
              <w:rPr>
                <w:rFonts w:cs="Arial"/>
              </w:rPr>
              <w:t xml:space="preserve">scheduled for devices, 21/72 (29.2%) avoided </w:t>
            </w:r>
            <w:r>
              <w:rPr>
                <w:rFonts w:cs="Arial"/>
              </w:rPr>
              <w:lastRenderedPageBreak/>
              <w:t>implantation following CMR imaging.</w:t>
            </w:r>
          </w:p>
          <w:p w14:paraId="68973DFF" w14:textId="6BF8B29E" w:rsidR="009E390A" w:rsidRDefault="009E390A" w:rsidP="004C79C1">
            <w:pPr>
              <w:pStyle w:val="Tabletext1"/>
              <w:spacing w:before="0" w:after="120"/>
              <w:ind w:left="4" w:right="-57"/>
              <w:rPr>
                <w:rFonts w:cs="Arial"/>
              </w:rPr>
            </w:pPr>
            <w:r>
              <w:rPr>
                <w:rFonts w:cs="Arial"/>
              </w:rPr>
              <w:t>In those not scheduled for devices, 20/375 (5.3%) had one implanted after CMR imaging.</w:t>
            </w:r>
          </w:p>
          <w:p w14:paraId="0D324B2A" w14:textId="77777777" w:rsidR="009E390A" w:rsidRDefault="009E390A" w:rsidP="004C79C1">
            <w:pPr>
              <w:pStyle w:val="Tabletext1"/>
              <w:spacing w:before="0" w:after="120"/>
              <w:ind w:left="4" w:right="-57"/>
              <w:rPr>
                <w:rFonts w:cs="Arial"/>
              </w:rPr>
            </w:pPr>
            <w:r>
              <w:rPr>
                <w:rFonts w:cs="Arial"/>
              </w:rPr>
              <w:t>In those scheduled for surgery, 13/20 (65%) avoided surgery after CMR.</w:t>
            </w:r>
          </w:p>
          <w:p w14:paraId="5D7A3078" w14:textId="2C6A11C6" w:rsidR="009E390A" w:rsidRPr="00C47443" w:rsidRDefault="009E390A" w:rsidP="004C79C1">
            <w:pPr>
              <w:pStyle w:val="Tabletext1"/>
              <w:spacing w:before="0" w:after="120"/>
              <w:ind w:left="4" w:right="-57"/>
              <w:rPr>
                <w:rFonts w:cs="Arial"/>
              </w:rPr>
            </w:pPr>
            <w:r>
              <w:rPr>
                <w:rFonts w:cs="Arial"/>
              </w:rPr>
              <w:t>In those not scheduled for surgery, 7/427 (1.6%) underwent surgery after CMR</w:t>
            </w:r>
            <w:r w:rsidR="0066366F">
              <w:rPr>
                <w:rFonts w:cs="Arial"/>
              </w:rPr>
              <w:t>.</w:t>
            </w:r>
          </w:p>
        </w:tc>
        <w:tc>
          <w:tcPr>
            <w:tcW w:w="2176" w:type="dxa"/>
          </w:tcPr>
          <w:p w14:paraId="33A25DDC" w14:textId="5CBD0FA8"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lastRenderedPageBreak/>
              <w:t xml:space="preserve">CMR is effective at reducing the proportion of patients who receive devices or </w:t>
            </w:r>
            <w:r>
              <w:rPr>
                <w:rFonts w:ascii="Arial Narrow" w:hAnsi="Arial Narrow" w:cs="Arial"/>
                <w:sz w:val="20"/>
                <w:szCs w:val="20"/>
              </w:rPr>
              <w:lastRenderedPageBreak/>
              <w:t xml:space="preserve">surgery for treatment of </w:t>
            </w:r>
            <w:r w:rsidR="004D6FDC">
              <w:rPr>
                <w:rFonts w:ascii="Arial Narrow" w:hAnsi="Arial Narrow" w:cs="Arial"/>
                <w:sz w:val="20"/>
                <w:szCs w:val="20"/>
              </w:rPr>
              <w:t>CM</w:t>
            </w:r>
            <w:r>
              <w:rPr>
                <w:rFonts w:ascii="Arial Narrow" w:hAnsi="Arial Narrow" w:cs="Arial"/>
                <w:sz w:val="20"/>
                <w:szCs w:val="20"/>
              </w:rPr>
              <w:t xml:space="preserve">, compared </w:t>
            </w:r>
            <w:r w:rsidR="004D6FDC">
              <w:rPr>
                <w:rFonts w:ascii="Arial Narrow" w:hAnsi="Arial Narrow" w:cs="Arial"/>
                <w:sz w:val="20"/>
                <w:szCs w:val="20"/>
              </w:rPr>
              <w:t xml:space="preserve">with </w:t>
            </w:r>
            <w:r>
              <w:rPr>
                <w:rFonts w:ascii="Arial Narrow" w:hAnsi="Arial Narrow" w:cs="Arial"/>
                <w:sz w:val="20"/>
                <w:szCs w:val="20"/>
              </w:rPr>
              <w:t>what is done currently in Australia. Only a small proportion of patients who would otherwise not receive devices or surgery had their treatment plan amended following investigation with CMR.</w:t>
            </w:r>
          </w:p>
          <w:p w14:paraId="76F79AD5"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Appropriate avoidance of invasive therapies would result in superior safety outcomes. </w:t>
            </w:r>
          </w:p>
        </w:tc>
        <w:tc>
          <w:tcPr>
            <w:tcW w:w="1010" w:type="dxa"/>
          </w:tcPr>
          <w:p w14:paraId="13FBDC63" w14:textId="77777777" w:rsidR="009E390A" w:rsidRPr="00305C0D"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lastRenderedPageBreak/>
              <w:t>Moderate</w:t>
            </w:r>
          </w:p>
          <w:p w14:paraId="404270F2" w14:textId="77777777" w:rsidR="009E390A" w:rsidRDefault="009E390A"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9E390A" w:rsidRPr="00F12AEE" w14:paraId="63F79E39" w14:textId="77777777" w:rsidTr="00124E3B">
        <w:tc>
          <w:tcPr>
            <w:tcW w:w="1246" w:type="dxa"/>
            <w:tcBorders>
              <w:top w:val="single" w:sz="4" w:space="0" w:color="auto"/>
              <w:left w:val="single" w:sz="4" w:space="0" w:color="auto"/>
              <w:bottom w:val="nil"/>
              <w:right w:val="single" w:sz="4" w:space="0" w:color="auto"/>
            </w:tcBorders>
          </w:tcPr>
          <w:p w14:paraId="56855E28" w14:textId="77777777" w:rsidR="009E390A" w:rsidRDefault="009E390A" w:rsidP="004C79C1">
            <w:pPr>
              <w:tabs>
                <w:tab w:val="left" w:pos="268"/>
              </w:tabs>
              <w:spacing w:after="120" w:line="240" w:lineRule="auto"/>
              <w:rPr>
                <w:rFonts w:ascii="Arial Narrow" w:hAnsi="Arial Narrow" w:cs="Arial"/>
                <w:sz w:val="20"/>
                <w:szCs w:val="20"/>
              </w:rPr>
            </w:pPr>
            <w:r>
              <w:rPr>
                <w:rFonts w:ascii="Arial Narrow" w:hAnsi="Arial Narrow" w:cs="Arial"/>
                <w:sz w:val="20"/>
                <w:szCs w:val="20"/>
              </w:rPr>
              <w:lastRenderedPageBreak/>
              <w:t>B5.2. Therapeutic effectiveness</w:t>
            </w:r>
          </w:p>
        </w:tc>
        <w:tc>
          <w:tcPr>
            <w:tcW w:w="1281" w:type="dxa"/>
            <w:tcBorders>
              <w:left w:val="single" w:sz="4" w:space="0" w:color="auto"/>
            </w:tcBorders>
          </w:tcPr>
          <w:p w14:paraId="557A02A4"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Effectiveness of corticosteroids for myocarditis</w:t>
            </w:r>
          </w:p>
        </w:tc>
        <w:tc>
          <w:tcPr>
            <w:tcW w:w="1275" w:type="dxa"/>
          </w:tcPr>
          <w:p w14:paraId="44C42CD0" w14:textId="370C3C25"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N=719</w:t>
            </w:r>
          </w:p>
          <w:p w14:paraId="34F7FC3C" w14:textId="2DE288E7"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K=8 RCTs</w:t>
            </w:r>
          </w:p>
          <w:p w14:paraId="28944704" w14:textId="77777777" w:rsidR="009E390A" w:rsidRDefault="009E390A" w:rsidP="004C79C1">
            <w:pPr>
              <w:spacing w:after="120" w:line="240" w:lineRule="auto"/>
              <w:ind w:left="4"/>
              <w:rPr>
                <w:rFonts w:ascii="Arial Narrow" w:hAnsi="Arial Narrow" w:cs="Arial"/>
                <w:sz w:val="20"/>
                <w:szCs w:val="20"/>
              </w:rPr>
            </w:pPr>
          </w:p>
        </w:tc>
        <w:tc>
          <w:tcPr>
            <w:tcW w:w="1985" w:type="dxa"/>
          </w:tcPr>
          <w:p w14:paraId="5B75274A" w14:textId="423A7F76" w:rsidR="009E390A" w:rsidRDefault="009E390A" w:rsidP="004C79C1">
            <w:pPr>
              <w:pStyle w:val="Tabletext1"/>
              <w:spacing w:before="0" w:after="120"/>
              <w:ind w:left="4" w:right="-57"/>
            </w:pPr>
            <w:r>
              <w:t>Mean LVEF difference = 7.36% (95%CI 4.94, 9.79)</w:t>
            </w:r>
            <w:r w:rsidR="009F60BC">
              <w:t>,</w:t>
            </w:r>
            <w:r>
              <w:t xml:space="preserve"> favouring corticosteroids over no corticosteroids after 1</w:t>
            </w:r>
            <w:r w:rsidR="009F60BC">
              <w:t>–</w:t>
            </w:r>
            <w:r>
              <w:t>3</w:t>
            </w:r>
            <w:r w:rsidR="009F60BC">
              <w:t> </w:t>
            </w:r>
            <w:r>
              <w:t>months</w:t>
            </w:r>
          </w:p>
          <w:p w14:paraId="38711C9F" w14:textId="77777777" w:rsidR="009E390A" w:rsidRDefault="009E390A" w:rsidP="004C79C1">
            <w:pPr>
              <w:pStyle w:val="Tabletext1"/>
              <w:spacing w:before="0" w:after="120"/>
              <w:ind w:left="4" w:right="-57"/>
              <w:rPr>
                <w:rFonts w:cs="Arial"/>
              </w:rPr>
            </w:pPr>
            <w:r>
              <w:t>No significant difference in mortality</w:t>
            </w:r>
          </w:p>
        </w:tc>
        <w:tc>
          <w:tcPr>
            <w:tcW w:w="2176" w:type="dxa"/>
          </w:tcPr>
          <w:p w14:paraId="6663D853" w14:textId="5938B2C0"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Treatment specific for myocarditis may improve cardiovascular functioning, compared </w:t>
            </w:r>
            <w:r w:rsidR="00291BA5">
              <w:rPr>
                <w:rFonts w:ascii="Arial Narrow" w:hAnsi="Arial Narrow" w:cs="Arial"/>
                <w:sz w:val="20"/>
                <w:szCs w:val="20"/>
              </w:rPr>
              <w:t xml:space="preserve">with </w:t>
            </w:r>
            <w:r>
              <w:rPr>
                <w:rFonts w:ascii="Arial Narrow" w:hAnsi="Arial Narrow" w:cs="Arial"/>
                <w:sz w:val="20"/>
                <w:szCs w:val="20"/>
              </w:rPr>
              <w:t>general treatment for HF symptoms</w:t>
            </w:r>
            <w:r w:rsidR="00291BA5">
              <w:rPr>
                <w:rFonts w:ascii="Arial Narrow" w:hAnsi="Arial Narrow" w:cs="Arial"/>
                <w:sz w:val="20"/>
                <w:szCs w:val="20"/>
              </w:rPr>
              <w:t>.</w:t>
            </w:r>
          </w:p>
          <w:p w14:paraId="1F6EDCD1" w14:textId="77777777" w:rsidR="009E390A" w:rsidRDefault="009E390A" w:rsidP="004C79C1">
            <w:pPr>
              <w:spacing w:after="120" w:line="240" w:lineRule="auto"/>
              <w:ind w:left="4" w:right="-57"/>
              <w:rPr>
                <w:rFonts w:ascii="Arial Narrow" w:hAnsi="Arial Narrow" w:cs="Arial"/>
                <w:sz w:val="20"/>
                <w:szCs w:val="20"/>
              </w:rPr>
            </w:pPr>
          </w:p>
        </w:tc>
        <w:tc>
          <w:tcPr>
            <w:tcW w:w="1010" w:type="dxa"/>
          </w:tcPr>
          <w:p w14:paraId="7B1A10A5" w14:textId="77777777" w:rsidR="009E390A" w:rsidRPr="00305C0D"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31FD782A" w14:textId="77777777" w:rsidR="009E390A" w:rsidRDefault="009E390A"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9E390A" w:rsidRPr="00F12AEE" w14:paraId="52E02F18" w14:textId="77777777" w:rsidTr="00124E3B">
        <w:tc>
          <w:tcPr>
            <w:tcW w:w="1246" w:type="dxa"/>
            <w:tcBorders>
              <w:top w:val="nil"/>
              <w:left w:val="single" w:sz="4" w:space="0" w:color="auto"/>
              <w:bottom w:val="single" w:sz="4" w:space="0" w:color="auto"/>
              <w:right w:val="single" w:sz="4" w:space="0" w:color="auto"/>
            </w:tcBorders>
          </w:tcPr>
          <w:p w14:paraId="2D7DEF0A" w14:textId="77777777" w:rsidR="009E390A" w:rsidRDefault="009E390A" w:rsidP="004C79C1">
            <w:pPr>
              <w:tabs>
                <w:tab w:val="left" w:pos="268"/>
              </w:tabs>
              <w:spacing w:after="120" w:line="240" w:lineRule="auto"/>
              <w:rPr>
                <w:rFonts w:ascii="Arial Narrow" w:hAnsi="Arial Narrow" w:cs="Arial"/>
                <w:sz w:val="20"/>
                <w:szCs w:val="20"/>
              </w:rPr>
            </w:pPr>
          </w:p>
        </w:tc>
        <w:tc>
          <w:tcPr>
            <w:tcW w:w="1281" w:type="dxa"/>
            <w:tcBorders>
              <w:left w:val="single" w:sz="4" w:space="0" w:color="auto"/>
            </w:tcBorders>
          </w:tcPr>
          <w:p w14:paraId="53480F8C" w14:textId="77777777" w:rsidR="009E390A" w:rsidRDefault="009E390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Effectiveness of revascular-isation for ICM</w:t>
            </w:r>
          </w:p>
        </w:tc>
        <w:tc>
          <w:tcPr>
            <w:tcW w:w="1275" w:type="dxa"/>
          </w:tcPr>
          <w:p w14:paraId="0E89618D" w14:textId="12A27146"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N=93</w:t>
            </w:r>
            <w:r w:rsidR="00FE6437">
              <w:rPr>
                <w:rFonts w:ascii="Arial Narrow" w:hAnsi="Arial Narrow" w:cs="Arial"/>
                <w:sz w:val="20"/>
                <w:szCs w:val="20"/>
              </w:rPr>
              <w:t>,</w:t>
            </w:r>
            <w:r>
              <w:rPr>
                <w:rFonts w:ascii="Arial Narrow" w:hAnsi="Arial Narrow" w:cs="Arial"/>
                <w:sz w:val="20"/>
                <w:szCs w:val="20"/>
              </w:rPr>
              <w:t>553</w:t>
            </w:r>
          </w:p>
          <w:p w14:paraId="47702315" w14:textId="42C4D2AB" w:rsidR="009E390A" w:rsidRDefault="009E390A" w:rsidP="004C79C1">
            <w:pPr>
              <w:spacing w:after="120" w:line="240" w:lineRule="auto"/>
              <w:ind w:left="4"/>
              <w:rPr>
                <w:rFonts w:ascii="Arial Narrow" w:hAnsi="Arial Narrow" w:cs="Arial"/>
                <w:sz w:val="20"/>
                <w:szCs w:val="20"/>
              </w:rPr>
            </w:pPr>
            <w:r>
              <w:rPr>
                <w:rFonts w:ascii="Arial Narrow" w:hAnsi="Arial Narrow" w:cs="Arial"/>
                <w:sz w:val="20"/>
                <w:szCs w:val="20"/>
              </w:rPr>
              <w:t>K=100 RCTs</w:t>
            </w:r>
          </w:p>
          <w:p w14:paraId="33FEB3B2" w14:textId="77777777" w:rsidR="009E390A" w:rsidRDefault="009E390A" w:rsidP="004C79C1">
            <w:pPr>
              <w:spacing w:after="120" w:line="240" w:lineRule="auto"/>
              <w:ind w:left="4"/>
              <w:rPr>
                <w:rFonts w:ascii="Arial Narrow" w:hAnsi="Arial Narrow" w:cs="Arial"/>
                <w:sz w:val="20"/>
                <w:szCs w:val="20"/>
              </w:rPr>
            </w:pPr>
          </w:p>
        </w:tc>
        <w:tc>
          <w:tcPr>
            <w:tcW w:w="1985" w:type="dxa"/>
          </w:tcPr>
          <w:p w14:paraId="4D40900D" w14:textId="16785445" w:rsidR="009E390A" w:rsidRDefault="009E390A" w:rsidP="004C79C1">
            <w:pPr>
              <w:pStyle w:val="Tabletext1"/>
              <w:spacing w:before="0" w:after="120"/>
              <w:ind w:left="4" w:right="-57"/>
              <w:rPr>
                <w:rFonts w:cs="Arial"/>
              </w:rPr>
            </w:pPr>
            <w:r>
              <w:rPr>
                <w:rFonts w:cs="Arial"/>
              </w:rPr>
              <w:t xml:space="preserve">CABG reduces the risk of death, myocardial infarction and subsequent revascularisation, compared </w:t>
            </w:r>
            <w:r w:rsidR="00291BA5">
              <w:rPr>
                <w:rFonts w:cs="Arial"/>
              </w:rPr>
              <w:t xml:space="preserve">with </w:t>
            </w:r>
            <w:r>
              <w:rPr>
                <w:rFonts w:cs="Arial"/>
              </w:rPr>
              <w:t xml:space="preserve">medical treatment alone. </w:t>
            </w:r>
          </w:p>
          <w:p w14:paraId="40E31B23" w14:textId="77777777" w:rsidR="009E390A" w:rsidRDefault="009E390A" w:rsidP="004C79C1">
            <w:pPr>
              <w:pStyle w:val="Tabletext1"/>
              <w:spacing w:before="0" w:after="120"/>
              <w:ind w:left="4" w:right="-57"/>
            </w:pPr>
            <w:r>
              <w:rPr>
                <w:rFonts w:cs="Arial"/>
              </w:rPr>
              <w:t>There were no data specific to patients who were negative for scarring or inflammation using LGE-CMR.</w:t>
            </w:r>
          </w:p>
        </w:tc>
        <w:tc>
          <w:tcPr>
            <w:tcW w:w="2176" w:type="dxa"/>
          </w:tcPr>
          <w:p w14:paraId="6394F471" w14:textId="77777777" w:rsidR="009E390A" w:rsidRDefault="009E390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Correct identification of ICM is likely to reduce patient cardiac deaths and other outcomes. However, the impact of an incorrect diagnosis of NIDCM in those who are LGE– is unknown. </w:t>
            </w:r>
          </w:p>
          <w:p w14:paraId="64726E03" w14:textId="77777777" w:rsidR="009E390A" w:rsidRDefault="009E390A" w:rsidP="004C79C1">
            <w:pPr>
              <w:spacing w:after="120" w:line="240" w:lineRule="auto"/>
              <w:ind w:left="4" w:right="-57"/>
              <w:rPr>
                <w:rFonts w:ascii="Arial Narrow" w:hAnsi="Arial Narrow" w:cs="Arial"/>
                <w:sz w:val="20"/>
                <w:szCs w:val="20"/>
              </w:rPr>
            </w:pPr>
          </w:p>
        </w:tc>
        <w:tc>
          <w:tcPr>
            <w:tcW w:w="1010" w:type="dxa"/>
          </w:tcPr>
          <w:p w14:paraId="14F35690" w14:textId="77777777" w:rsidR="009E390A" w:rsidRDefault="009E390A"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564C9440" w14:textId="77777777" w:rsidR="009E390A" w:rsidRDefault="009E390A" w:rsidP="004C79C1">
            <w:pPr>
              <w:spacing w:after="120" w:line="240" w:lineRule="auto"/>
              <w:ind w:left="4" w:right="-57"/>
              <w:rPr>
                <w:rFonts w:ascii="Arial Narrow" w:hAnsi="Arial Narrow" w:cs="Arial"/>
                <w:sz w:val="20"/>
                <w:szCs w:val="20"/>
              </w:rPr>
            </w:pPr>
          </w:p>
        </w:tc>
      </w:tr>
    </w:tbl>
    <w:p w14:paraId="7D7B8F5F" w14:textId="035AC91B" w:rsidR="009E390A" w:rsidRDefault="00720990" w:rsidP="004C79C1">
      <w:pPr>
        <w:pStyle w:val="Tablenotes0"/>
        <w:spacing w:before="0" w:after="120"/>
      </w:pPr>
      <w:r w:rsidRPr="00885EAA">
        <w:t xml:space="preserve">CABG = coronary artery bypass grafting; </w:t>
      </w:r>
      <w:r w:rsidR="00190B56" w:rsidRPr="00885EAA">
        <w:t xml:space="preserve">CI = confidence interval; </w:t>
      </w:r>
      <w:r w:rsidR="00C433E4">
        <w:t xml:space="preserve">CM = </w:t>
      </w:r>
      <w:r w:rsidR="00190B56" w:rsidRPr="00885EAA">
        <w:t xml:space="preserve">cardiomyopathy; </w:t>
      </w:r>
      <w:r w:rsidRPr="00124E3B">
        <w:t xml:space="preserve">CMR = </w:t>
      </w:r>
      <w:r w:rsidR="00885EAA" w:rsidRPr="00124E3B">
        <w:t>cardiac magnetic resonance (imaging)</w:t>
      </w:r>
      <w:r w:rsidRPr="00124E3B">
        <w:t xml:space="preserve">; </w:t>
      </w:r>
      <w:r w:rsidR="009E390A" w:rsidRPr="00885EAA">
        <w:t xml:space="preserve">DCM = dilated cardiomyopathy; </w:t>
      </w:r>
      <w:r w:rsidR="00BF3DC7" w:rsidRPr="00885EAA">
        <w:t xml:space="preserve">CTCA = </w:t>
      </w:r>
      <w:r w:rsidR="00885EAA" w:rsidRPr="00124E3B">
        <w:t>computed tomography coronary angiography</w:t>
      </w:r>
      <w:r w:rsidR="00BF3DC7" w:rsidRPr="00885EAA">
        <w:t xml:space="preserve">; </w:t>
      </w:r>
      <w:r w:rsidR="005A3361" w:rsidRPr="00885EAA">
        <w:t xml:space="preserve">Echo = </w:t>
      </w:r>
      <w:r w:rsidR="00885EAA" w:rsidRPr="00124E3B">
        <w:t>echocardiography</w:t>
      </w:r>
      <w:r w:rsidR="005A3361" w:rsidRPr="00885EAA">
        <w:t xml:space="preserve">; </w:t>
      </w:r>
      <w:r w:rsidRPr="00885EAA">
        <w:t>EMB = endomyocardial biopsy; HF</w:t>
      </w:r>
      <w:r w:rsidR="009460D1" w:rsidRPr="00885EAA">
        <w:t xml:space="preserve"> </w:t>
      </w:r>
      <w:r w:rsidRPr="00885EAA">
        <w:t>= heart failure;</w:t>
      </w:r>
      <w:r w:rsidR="009E390A" w:rsidRPr="00885EAA">
        <w:t xml:space="preserve"> </w:t>
      </w:r>
      <w:r w:rsidR="00BF3DC7" w:rsidRPr="00885EAA">
        <w:t xml:space="preserve">ICA = </w:t>
      </w:r>
      <w:r w:rsidR="00885EAA" w:rsidRPr="00124E3B">
        <w:t>invasive coronary angiography</w:t>
      </w:r>
      <w:r w:rsidR="00BF3DC7" w:rsidRPr="00885EAA">
        <w:t xml:space="preserve">; </w:t>
      </w:r>
      <w:r w:rsidR="002C2ED4" w:rsidRPr="00885EAA">
        <w:t>ICD = implantable cardioverter defibrillator;</w:t>
      </w:r>
      <w:r w:rsidR="009460D1" w:rsidRPr="00885EAA">
        <w:t xml:space="preserve"> </w:t>
      </w:r>
      <w:r w:rsidR="00BF3DC7" w:rsidRPr="00885EAA">
        <w:t xml:space="preserve">ICM = </w:t>
      </w:r>
      <w:r w:rsidR="00885EAA" w:rsidRPr="00124E3B">
        <w:t>ischaemic cardiomyopathy</w:t>
      </w:r>
      <w:r w:rsidR="00BF3DC7" w:rsidRPr="00885EAA">
        <w:t xml:space="preserve">; K = number of studies; </w:t>
      </w:r>
      <w:r w:rsidR="009E390A" w:rsidRPr="00885EAA">
        <w:t xml:space="preserve">LGE-CMR = late gadolinium enhancement cardiac magnetic resonance </w:t>
      </w:r>
      <w:r w:rsidR="00011A48">
        <w:t>(</w:t>
      </w:r>
      <w:r w:rsidR="009E390A" w:rsidRPr="00885EAA">
        <w:t>imaging</w:t>
      </w:r>
      <w:r w:rsidR="00011A48">
        <w:t>)</w:t>
      </w:r>
      <w:r w:rsidR="009E390A" w:rsidRPr="00885EAA">
        <w:t xml:space="preserve">; LVEF = left ventricular ejection fraction; </w:t>
      </w:r>
      <w:r w:rsidR="00BF3DC7" w:rsidRPr="00885EAA">
        <w:t xml:space="preserve">N = number of patients; </w:t>
      </w:r>
      <w:r w:rsidR="002C2ED4" w:rsidRPr="00885EAA">
        <w:t xml:space="preserve">NIDCM = </w:t>
      </w:r>
      <w:r w:rsidR="009460D1" w:rsidRPr="00885EAA">
        <w:t>n</w:t>
      </w:r>
      <w:r w:rsidR="002C2ED4" w:rsidRPr="00885EAA">
        <w:t>on-isch</w:t>
      </w:r>
      <w:r w:rsidR="009460D1" w:rsidRPr="00885EAA">
        <w:t>a</w:t>
      </w:r>
      <w:r w:rsidR="002C2ED4" w:rsidRPr="00885EAA">
        <w:t>emic dilated cardiomyopathy; RCT = randomised controlled trial; RR = relative risk</w:t>
      </w:r>
      <w:r w:rsidR="00BF3DC7" w:rsidRPr="00885EAA">
        <w:t xml:space="preserve">; SPECT = </w:t>
      </w:r>
      <w:r w:rsidR="00885EAA" w:rsidRPr="00124E3B">
        <w:t>single-photon emission computed tomography</w:t>
      </w:r>
    </w:p>
    <w:p w14:paraId="08381FAF" w14:textId="33149702" w:rsidR="009E390A" w:rsidRDefault="009E390A" w:rsidP="004C79C1">
      <w:pPr>
        <w:spacing w:after="120" w:line="240" w:lineRule="auto"/>
        <w:jc w:val="both"/>
      </w:pPr>
      <w:r>
        <w:t>In patients having a CMR after an indeterminate result from echo</w:t>
      </w:r>
      <w:r w:rsidR="009E4F57">
        <w:t>cardio</w:t>
      </w:r>
      <w:r>
        <w:t xml:space="preserve">graphy (population i), CMR is safe but of uncertain effectiveness. </w:t>
      </w:r>
    </w:p>
    <w:p w14:paraId="6C242CE7" w14:textId="37F1EE3C" w:rsidR="009E390A" w:rsidRDefault="009E390A" w:rsidP="004C79C1">
      <w:pPr>
        <w:spacing w:after="120" w:line="240" w:lineRule="auto"/>
        <w:jc w:val="both"/>
      </w:pPr>
      <w:r>
        <w:t>Based on a linked evidence approach (summarised above), i</w:t>
      </w:r>
      <w:r w:rsidRPr="000F4FD7">
        <w:t xml:space="preserve">n patients with </w:t>
      </w:r>
      <w:r>
        <w:t>a low risk of CAD (population iiA)</w:t>
      </w:r>
      <w:r w:rsidR="0057055C">
        <w:t>,</w:t>
      </w:r>
      <w:r>
        <w:t xml:space="preserve"> the addition of CMR to further blood tests is safe and effective for determining the aetiology of NIDCM. This benefits a small number of patients with rare DCM aetiologies, and rules </w:t>
      </w:r>
      <w:r>
        <w:lastRenderedPageBreak/>
        <w:t xml:space="preserve">out the need for familial screening in these cases. CMR also has the capacity to accurately target a significant number of patients to different treatments than would have been received on the basis of current tests alone; </w:t>
      </w:r>
      <w:r w:rsidR="000F6A4D">
        <w:t xml:space="preserve">however, </w:t>
      </w:r>
      <w:r>
        <w:t xml:space="preserve">the impact of these changes in management on patient health are uncertain. </w:t>
      </w:r>
    </w:p>
    <w:p w14:paraId="42DB79D4" w14:textId="42BAB71E" w:rsidR="009E390A" w:rsidRDefault="009E390A" w:rsidP="004C79C1">
      <w:pPr>
        <w:spacing w:after="120" w:line="240" w:lineRule="auto"/>
        <w:jc w:val="both"/>
        <w:rPr>
          <w:b/>
        </w:rPr>
      </w:pPr>
      <w:r>
        <w:t xml:space="preserve">In patients with an intermediate risk of CAD (population iiB), CMR has uncertain effectiveness compared </w:t>
      </w:r>
      <w:r w:rsidR="000F6A4D">
        <w:t xml:space="preserve">with </w:t>
      </w:r>
      <w:r>
        <w:t>CTCA, SPECT and stress echocardiography for determining ischaemia. It is effective at triaging NIDCM patients to an ICA.</w:t>
      </w:r>
    </w:p>
    <w:p w14:paraId="78DD80AB" w14:textId="77777777" w:rsidR="009E390A" w:rsidRPr="00183E4D" w:rsidRDefault="009E390A" w:rsidP="00161B88">
      <w:pPr>
        <w:pStyle w:val="Heading3"/>
      </w:pPr>
      <w:bookmarkStart w:id="93" w:name="_Toc395200751"/>
      <w:bookmarkStart w:id="94" w:name="_Toc449608897"/>
      <w:bookmarkStart w:id="95" w:name="_Toc451501269"/>
      <w:bookmarkStart w:id="96" w:name="_Toc379118059"/>
      <w:bookmarkStart w:id="97" w:name="_Toc379118251"/>
      <w:bookmarkStart w:id="98" w:name="_Toc381796435"/>
      <w:bookmarkStart w:id="99" w:name="_Toc450051656"/>
      <w:bookmarkStart w:id="100" w:name="_Toc395200754"/>
      <w:r w:rsidRPr="00183E4D">
        <w:t>Translation Issues</w:t>
      </w:r>
      <w:bookmarkEnd w:id="93"/>
      <w:bookmarkEnd w:id="94"/>
      <w:bookmarkEnd w:id="95"/>
    </w:p>
    <w:p w14:paraId="649E2B56" w14:textId="100FDFE1" w:rsidR="009E390A" w:rsidRPr="00183E4D" w:rsidRDefault="009E390A" w:rsidP="004C79C1">
      <w:pPr>
        <w:spacing w:after="120" w:line="240" w:lineRule="auto"/>
        <w:jc w:val="both"/>
      </w:pPr>
      <w:r>
        <w:t>Discussion on the selection of the most applicable evidence to the Australian setting has been described in the economic analys</w:t>
      </w:r>
      <w:r w:rsidR="000F6A4D">
        <w:t>i</w:t>
      </w:r>
      <w:r>
        <w:t>s section on inputs; no additional evidence translations were required.</w:t>
      </w:r>
    </w:p>
    <w:p w14:paraId="22F16EF7" w14:textId="77777777" w:rsidR="009E390A" w:rsidRDefault="009E390A" w:rsidP="00161B88">
      <w:pPr>
        <w:pStyle w:val="Heading3"/>
      </w:pPr>
      <w:bookmarkStart w:id="101" w:name="_Toc395200752"/>
      <w:bookmarkStart w:id="102" w:name="_Toc449608898"/>
      <w:bookmarkStart w:id="103" w:name="_Toc451501270"/>
      <w:r w:rsidRPr="00183E4D">
        <w:t xml:space="preserve">Economic </w:t>
      </w:r>
      <w:bookmarkEnd w:id="96"/>
      <w:bookmarkEnd w:id="97"/>
      <w:bookmarkEnd w:id="98"/>
      <w:r w:rsidRPr="00183E4D">
        <w:t>Evaluation</w:t>
      </w:r>
      <w:bookmarkEnd w:id="101"/>
      <w:bookmarkEnd w:id="102"/>
      <w:bookmarkEnd w:id="103"/>
    </w:p>
    <w:p w14:paraId="233AC2B6" w14:textId="1526578F" w:rsidR="009E390A" w:rsidRPr="00515848" w:rsidRDefault="009E390A" w:rsidP="004C79C1">
      <w:pPr>
        <w:spacing w:after="120" w:line="240" w:lineRule="auto"/>
        <w:jc w:val="both"/>
      </w:pPr>
      <w:r w:rsidRPr="00515848">
        <w:t xml:space="preserve">The limited and fragmented nature of the clinical evidence did not enable construction of a single economic model to generate an overall cost-effectiveness estimate for the proposed MBS listing. Rather, individual economic analyses for each of the various patient subpopulations and between the relevant comparators were </w:t>
      </w:r>
      <w:r>
        <w:t>performed</w:t>
      </w:r>
      <w:r w:rsidRPr="00515848">
        <w:t>, to the extent that available data allowed. The following analyses were undertaken</w:t>
      </w:r>
      <w:r w:rsidR="005570F9">
        <w:t>:</w:t>
      </w:r>
    </w:p>
    <w:p w14:paraId="204C96D0" w14:textId="315DBFFC" w:rsidR="009E390A" w:rsidRPr="00262863" w:rsidRDefault="009E390A" w:rsidP="004C79C1">
      <w:pPr>
        <w:pStyle w:val="ListParagraph"/>
        <w:numPr>
          <w:ilvl w:val="0"/>
          <w:numId w:val="53"/>
        </w:numPr>
        <w:spacing w:after="120" w:line="240" w:lineRule="auto"/>
        <w:jc w:val="both"/>
        <w:rPr>
          <w:b/>
        </w:rPr>
      </w:pPr>
      <w:r w:rsidRPr="00515848">
        <w:t xml:space="preserve">In </w:t>
      </w:r>
      <w:r w:rsidR="005570F9">
        <w:t>p</w:t>
      </w:r>
      <w:r w:rsidRPr="00515848">
        <w:t xml:space="preserve">opulation i: </w:t>
      </w:r>
      <w:r w:rsidR="005570F9">
        <w:t>p</w:t>
      </w:r>
      <w:r w:rsidRPr="00515848">
        <w:t xml:space="preserve">atients with inconclusive </w:t>
      </w:r>
      <w:r>
        <w:t>e</w:t>
      </w:r>
      <w:r w:rsidRPr="00515848">
        <w:t>cho</w:t>
      </w:r>
      <w:r>
        <w:t>cardiogram</w:t>
      </w:r>
      <w:r w:rsidRPr="00515848">
        <w:t xml:space="preserve"> results</w:t>
      </w:r>
      <w:r w:rsidR="005570F9">
        <w:t>—</w:t>
      </w:r>
      <w:r w:rsidRPr="00337139">
        <w:t>a</w:t>
      </w:r>
      <w:r w:rsidRPr="00337139">
        <w:rPr>
          <w:b/>
        </w:rPr>
        <w:t xml:space="preserve"> cost comparison analysis of CMR vs contrast </w:t>
      </w:r>
      <w:r>
        <w:rPr>
          <w:b/>
        </w:rPr>
        <w:t>e</w:t>
      </w:r>
      <w:r w:rsidRPr="00337139">
        <w:rPr>
          <w:b/>
        </w:rPr>
        <w:t>cho</w:t>
      </w:r>
      <w:r>
        <w:rPr>
          <w:b/>
        </w:rPr>
        <w:t>cardiography</w:t>
      </w:r>
      <w:r w:rsidRPr="00337139">
        <w:rPr>
          <w:b/>
        </w:rPr>
        <w:t xml:space="preserve"> or </w:t>
      </w:r>
      <w:r>
        <w:rPr>
          <w:b/>
        </w:rPr>
        <w:t>GHPS</w:t>
      </w:r>
      <w:r w:rsidRPr="00262863">
        <w:rPr>
          <w:b/>
        </w:rPr>
        <w:t>.</w:t>
      </w:r>
    </w:p>
    <w:p w14:paraId="3542631C" w14:textId="33B9A3D3" w:rsidR="009E390A" w:rsidRDefault="009E390A" w:rsidP="004C79C1">
      <w:pPr>
        <w:pStyle w:val="ListParagraph"/>
        <w:numPr>
          <w:ilvl w:val="0"/>
          <w:numId w:val="53"/>
        </w:numPr>
        <w:spacing w:after="120" w:line="240" w:lineRule="auto"/>
        <w:jc w:val="both"/>
      </w:pPr>
      <w:r>
        <w:t xml:space="preserve">In </w:t>
      </w:r>
      <w:r w:rsidR="005570F9">
        <w:t>p</w:t>
      </w:r>
      <w:r>
        <w:t xml:space="preserve">opulation ii: </w:t>
      </w:r>
      <w:r w:rsidR="005570F9">
        <w:t>p</w:t>
      </w:r>
      <w:r>
        <w:t>atients diagnosed with DCM on echocardiogram and requiring further diagnostic clarification, the population was further divided into two subgroups</w:t>
      </w:r>
      <w:r w:rsidR="00C1471F">
        <w:t>:</w:t>
      </w:r>
      <w:r>
        <w:t xml:space="preserve"> </w:t>
      </w:r>
    </w:p>
    <w:p w14:paraId="4EE0EFD4" w14:textId="197B1F7C" w:rsidR="009E390A" w:rsidRPr="009E2B4C" w:rsidRDefault="00C146D5" w:rsidP="004C79C1">
      <w:pPr>
        <w:pStyle w:val="ListParagraph"/>
        <w:numPr>
          <w:ilvl w:val="1"/>
          <w:numId w:val="53"/>
        </w:numPr>
        <w:spacing w:after="120" w:line="240" w:lineRule="auto"/>
        <w:jc w:val="both"/>
      </w:pPr>
      <w:proofErr w:type="gramStart"/>
      <w:r>
        <w:t>s</w:t>
      </w:r>
      <w:r w:rsidR="009E390A" w:rsidRPr="009E2B4C">
        <w:t>ubpopulation</w:t>
      </w:r>
      <w:proofErr w:type="gramEnd"/>
      <w:r w:rsidR="009E390A" w:rsidRPr="009E2B4C">
        <w:t xml:space="preserve"> iiA: patients with </w:t>
      </w:r>
      <w:r w:rsidR="00C1471F">
        <w:t xml:space="preserve">a </w:t>
      </w:r>
      <w:r w:rsidR="009E390A" w:rsidRPr="009E2B4C">
        <w:t>low risk of CAD (or where CAD has been ruled out</w:t>
      </w:r>
      <w:r w:rsidR="005570F9">
        <w:t>—</w:t>
      </w:r>
      <w:r w:rsidR="009E390A" w:rsidRPr="009E2B4C">
        <w:t xml:space="preserve">a (limited) </w:t>
      </w:r>
      <w:r w:rsidR="009E390A" w:rsidRPr="009E2B4C">
        <w:rPr>
          <w:b/>
        </w:rPr>
        <w:t xml:space="preserve">cost-effectiveness analysis of CMR as an additional diagnostic test. </w:t>
      </w:r>
      <w:r w:rsidR="009E390A" w:rsidRPr="009E2B4C">
        <w:t xml:space="preserve">A description of the costs of additional diagnostic tests undertaken when attempting to identify the aetiology of DCM </w:t>
      </w:r>
      <w:r>
        <w:t>is</w:t>
      </w:r>
      <w:r w:rsidRPr="009E2B4C">
        <w:t xml:space="preserve"> </w:t>
      </w:r>
      <w:r w:rsidR="009E390A" w:rsidRPr="009E2B4C">
        <w:t xml:space="preserve">presented in Appendix L; however, these tests are not considered to be the main comparators </w:t>
      </w:r>
      <w:r w:rsidR="00C1471F">
        <w:t>with</w:t>
      </w:r>
      <w:r w:rsidR="00C1471F" w:rsidRPr="009E2B4C">
        <w:t xml:space="preserve"> </w:t>
      </w:r>
      <w:r w:rsidR="009E390A" w:rsidRPr="009E2B4C">
        <w:t>CMR as it is not generally anticipated that CMR will replace these</w:t>
      </w:r>
    </w:p>
    <w:p w14:paraId="265D7CDF" w14:textId="3EA068BB" w:rsidR="009E390A" w:rsidRDefault="00C146D5" w:rsidP="004C79C1">
      <w:pPr>
        <w:pStyle w:val="ListParagraph"/>
        <w:numPr>
          <w:ilvl w:val="1"/>
          <w:numId w:val="53"/>
        </w:numPr>
        <w:spacing w:after="120" w:line="240" w:lineRule="auto"/>
        <w:jc w:val="both"/>
      </w:pPr>
      <w:proofErr w:type="gramStart"/>
      <w:r>
        <w:t>s</w:t>
      </w:r>
      <w:r w:rsidR="009E390A">
        <w:t>ubpopulation</w:t>
      </w:r>
      <w:proofErr w:type="gramEnd"/>
      <w:r w:rsidR="009E390A">
        <w:t xml:space="preserve"> iiB: patients with </w:t>
      </w:r>
      <w:r w:rsidR="00C1471F">
        <w:t xml:space="preserve">an </w:t>
      </w:r>
      <w:r w:rsidR="009E390A">
        <w:t>intermediate risk of CAD, where the next investigation is to rule out CAD</w:t>
      </w:r>
      <w:r w:rsidR="005570F9">
        <w:t>—</w:t>
      </w:r>
      <w:r w:rsidR="009E390A">
        <w:t xml:space="preserve">a (limited) </w:t>
      </w:r>
      <w:r w:rsidR="009E390A" w:rsidRPr="00337139">
        <w:rPr>
          <w:b/>
        </w:rPr>
        <w:t xml:space="preserve">cost-effectiveness analysis </w:t>
      </w:r>
      <w:r w:rsidR="009E390A">
        <w:rPr>
          <w:b/>
        </w:rPr>
        <w:t xml:space="preserve">of CMR </w:t>
      </w:r>
      <w:r w:rsidR="009E390A" w:rsidRPr="00337139">
        <w:rPr>
          <w:b/>
        </w:rPr>
        <w:t>vs ICA</w:t>
      </w:r>
      <w:r w:rsidR="009E390A">
        <w:t xml:space="preserve">, and a </w:t>
      </w:r>
      <w:r w:rsidR="009E390A" w:rsidRPr="00337139">
        <w:rPr>
          <w:b/>
        </w:rPr>
        <w:t>cost comparison analys</w:t>
      </w:r>
      <w:r w:rsidR="00C1471F">
        <w:rPr>
          <w:b/>
        </w:rPr>
        <w:t>i</w:t>
      </w:r>
      <w:r w:rsidR="009E390A" w:rsidRPr="00337139">
        <w:rPr>
          <w:b/>
        </w:rPr>
        <w:t xml:space="preserve">s </w:t>
      </w:r>
      <w:r w:rsidR="009E390A">
        <w:rPr>
          <w:b/>
        </w:rPr>
        <w:t xml:space="preserve">of CMR </w:t>
      </w:r>
      <w:r w:rsidR="009E390A" w:rsidRPr="00337139">
        <w:rPr>
          <w:b/>
        </w:rPr>
        <w:t>vs SPECT, CTCA</w:t>
      </w:r>
      <w:r w:rsidR="009E390A">
        <w:rPr>
          <w:b/>
        </w:rPr>
        <w:t xml:space="preserve"> or</w:t>
      </w:r>
      <w:r w:rsidR="009E390A" w:rsidRPr="00337139">
        <w:rPr>
          <w:b/>
        </w:rPr>
        <w:t xml:space="preserve"> stress </w:t>
      </w:r>
      <w:r w:rsidR="00692935">
        <w:rPr>
          <w:b/>
        </w:rPr>
        <w:t>e</w:t>
      </w:r>
      <w:r w:rsidR="00692935" w:rsidRPr="00B367A8">
        <w:rPr>
          <w:b/>
        </w:rPr>
        <w:t>cho</w:t>
      </w:r>
      <w:r w:rsidR="00692935">
        <w:rPr>
          <w:b/>
        </w:rPr>
        <w:t>cardiography</w:t>
      </w:r>
      <w:r w:rsidR="009E390A">
        <w:rPr>
          <w:b/>
        </w:rPr>
        <w:t>.</w:t>
      </w:r>
    </w:p>
    <w:p w14:paraId="6B8C3D38" w14:textId="24A2B865" w:rsidR="009E390A" w:rsidRDefault="009E390A" w:rsidP="004C79C1">
      <w:pPr>
        <w:spacing w:after="120" w:line="240" w:lineRule="auto"/>
        <w:jc w:val="both"/>
      </w:pPr>
      <w:r>
        <w:t>No reliable economic analyses were possible for sub</w:t>
      </w:r>
      <w:r w:rsidRPr="009E2B4C">
        <w:t xml:space="preserve">populations iii and </w:t>
      </w:r>
      <w:proofErr w:type="gramStart"/>
      <w:r w:rsidRPr="009E2B4C">
        <w:t>iv</w:t>
      </w:r>
      <w:proofErr w:type="gramEnd"/>
      <w:r w:rsidR="00956CF2">
        <w:t>,</w:t>
      </w:r>
      <w:r>
        <w:t xml:space="preserve"> described in the listing </w:t>
      </w:r>
      <w:r w:rsidR="00956CF2">
        <w:t xml:space="preserve">as </w:t>
      </w:r>
      <w:r>
        <w:t>encompassing asymptomatic family members of patients with NIDCM.</w:t>
      </w:r>
    </w:p>
    <w:p w14:paraId="7E156EBF" w14:textId="7FF6DA27" w:rsidR="009E390A" w:rsidRDefault="009E390A" w:rsidP="004C79C1">
      <w:pPr>
        <w:spacing w:after="120" w:line="240" w:lineRule="auto"/>
        <w:jc w:val="both"/>
      </w:pPr>
      <w:r w:rsidRPr="009E2B4C">
        <w:t xml:space="preserve">The total cost associated with each use of CMR in the economic analysis is $1,106, </w:t>
      </w:r>
      <w:r w:rsidR="00255CFF">
        <w:t>which</w:t>
      </w:r>
      <w:r w:rsidR="00255CFF" w:rsidRPr="009E2B4C">
        <w:t xml:space="preserve"> </w:t>
      </w:r>
      <w:r w:rsidRPr="009E2B4C">
        <w:t>includes the cost of the listing</w:t>
      </w:r>
      <w:r w:rsidR="00BA3A50">
        <w:t>,</w:t>
      </w:r>
      <w:r w:rsidRPr="009E2B4C">
        <w:t xml:space="preserve"> </w:t>
      </w:r>
      <w:r w:rsidR="00BA3A50" w:rsidRPr="009E2B4C">
        <w:t>$855.20</w:t>
      </w:r>
      <w:r w:rsidR="00CA38E5">
        <w:t xml:space="preserve"> </w:t>
      </w:r>
      <w:r w:rsidRPr="009E2B4C">
        <w:t xml:space="preserve">(including patient co-payments), </w:t>
      </w:r>
      <w:proofErr w:type="gramStart"/>
      <w:r w:rsidRPr="009E2B4C">
        <w:t>the</w:t>
      </w:r>
      <w:proofErr w:type="gramEnd"/>
      <w:r w:rsidRPr="009E2B4C">
        <w:t xml:space="preserve"> cost of referrals for testing (where applicable) and the cost for treating AEs related to the testing methodology</w:t>
      </w:r>
      <w:r w:rsidRPr="004B270D">
        <w:t>.</w:t>
      </w:r>
    </w:p>
    <w:p w14:paraId="17469AB0" w14:textId="7D26BD9D" w:rsidR="009E390A" w:rsidRDefault="009E390A" w:rsidP="004C79C1">
      <w:pPr>
        <w:spacing w:after="120" w:line="240" w:lineRule="auto"/>
        <w:jc w:val="both"/>
      </w:pPr>
      <w:r w:rsidRPr="00B367A8">
        <w:rPr>
          <w:u w:val="single"/>
        </w:rPr>
        <w:t xml:space="preserve">In patients with inconclusive </w:t>
      </w:r>
      <w:r w:rsidR="00692935" w:rsidRPr="00692935">
        <w:rPr>
          <w:u w:val="single"/>
        </w:rPr>
        <w:t xml:space="preserve">echocardiography </w:t>
      </w:r>
      <w:r w:rsidRPr="00B367A8">
        <w:rPr>
          <w:u w:val="single"/>
        </w:rPr>
        <w:t>(</w:t>
      </w:r>
      <w:r w:rsidR="00255CFF">
        <w:rPr>
          <w:u w:val="single"/>
        </w:rPr>
        <w:t xml:space="preserve">i.e. </w:t>
      </w:r>
      <w:r w:rsidRPr="00B367A8">
        <w:rPr>
          <w:u w:val="single"/>
        </w:rPr>
        <w:t>population i),</w:t>
      </w:r>
      <w:r>
        <w:t xml:space="preserve"> a lack of reliable evidence on clinical </w:t>
      </w:r>
      <w:bookmarkStart w:id="104" w:name="_Toc259437725"/>
      <w:bookmarkStart w:id="105" w:name="_Toc395200753"/>
      <w:r>
        <w:t xml:space="preserve">outcomes restricted the quantitative analysis to a comparison of costs. Including costs associated with the testing procedure, </w:t>
      </w:r>
      <w:r w:rsidR="009D594E">
        <w:t>and with AE</w:t>
      </w:r>
      <w:r>
        <w:t xml:space="preserve">s associated with the testing and test follow-up, </w:t>
      </w:r>
      <w:r w:rsidRPr="00CE0CFB">
        <w:rPr>
          <w:b/>
        </w:rPr>
        <w:t>the additional cost of CMR over G</w:t>
      </w:r>
      <w:r>
        <w:rPr>
          <w:b/>
        </w:rPr>
        <w:t>H</w:t>
      </w:r>
      <w:r w:rsidRPr="00CE0CFB">
        <w:rPr>
          <w:b/>
        </w:rPr>
        <w:t xml:space="preserve">PS is approximately $688 per person, and over </w:t>
      </w:r>
      <w:r w:rsidR="00692935" w:rsidRPr="007D05E9">
        <w:rPr>
          <w:b/>
        </w:rPr>
        <w:t>contrast echocardiography</w:t>
      </w:r>
      <w:r w:rsidRPr="00CE0CFB">
        <w:rPr>
          <w:b/>
        </w:rPr>
        <w:t xml:space="preserve"> approximately $960 per person</w:t>
      </w:r>
      <w:r w:rsidRPr="000632F2">
        <w:t>.</w:t>
      </w:r>
      <w:r>
        <w:t xml:space="preserve"> CMR remained more expensive than either of these comparators in all sensitivity analyses. It is important to note that this cost analysis does not account for the fact that CMR can provide greater diagnostic clarification than either of these </w:t>
      </w:r>
      <w:r>
        <w:lastRenderedPageBreak/>
        <w:t>alternatives (section B.8). There are also differences between these tests in terms of the health outcomes associated with side</w:t>
      </w:r>
      <w:r w:rsidR="00721CC7">
        <w:t xml:space="preserve"> </w:t>
      </w:r>
      <w:r>
        <w:t>effects, patient acceptability and accessibility (section D.5.(i)).</w:t>
      </w:r>
    </w:p>
    <w:p w14:paraId="0AA90AD0" w14:textId="20DB0694" w:rsidR="009E390A" w:rsidRDefault="009E390A" w:rsidP="004C79C1">
      <w:pPr>
        <w:spacing w:after="120" w:line="240" w:lineRule="auto"/>
        <w:jc w:val="both"/>
      </w:pPr>
      <w:r w:rsidRPr="00B367A8">
        <w:rPr>
          <w:u w:val="single"/>
        </w:rPr>
        <w:t xml:space="preserve">In patients with </w:t>
      </w:r>
      <w:r w:rsidR="00721CC7">
        <w:rPr>
          <w:u w:val="single"/>
        </w:rPr>
        <w:t xml:space="preserve">a </w:t>
      </w:r>
      <w:r w:rsidRPr="00B367A8">
        <w:rPr>
          <w:u w:val="single"/>
        </w:rPr>
        <w:t>dilated LV and low risk of CAD (or known NIDCM) requiring further diagnostic clarification (</w:t>
      </w:r>
      <w:r w:rsidR="00D54A3E">
        <w:rPr>
          <w:u w:val="single"/>
        </w:rPr>
        <w:t xml:space="preserve">i.e. </w:t>
      </w:r>
      <w:r w:rsidRPr="00B367A8">
        <w:rPr>
          <w:u w:val="single"/>
        </w:rPr>
        <w:t>population iiA</w:t>
      </w:r>
      <w:r>
        <w:rPr>
          <w:u w:val="single"/>
        </w:rPr>
        <w:t>)</w:t>
      </w:r>
      <w:r w:rsidR="00721CC7">
        <w:rPr>
          <w:u w:val="single"/>
        </w:rPr>
        <w:t>,</w:t>
      </w:r>
      <w:r>
        <w:t xml:space="preserve"> it is anticipated that CMR, as proposed, </w:t>
      </w:r>
      <w:r w:rsidRPr="009E2B4C">
        <w:t>would generally be conducted in addition to the other investigations available</w:t>
      </w:r>
      <w:r>
        <w:t>, to enable greater diagnostic clarity and more appropriate management. While no data on health outcomes were identified, Australian data on change in management following CMR (vs planned management without CMR) w</w:t>
      </w:r>
      <w:r w:rsidR="00721CC7">
        <w:t>ere</w:t>
      </w:r>
      <w:r>
        <w:t xml:space="preserve"> available</w:t>
      </w:r>
      <w:r w:rsidR="00721CC7">
        <w:t>,</w:t>
      </w:r>
      <w:r>
        <w:t xml:space="preserve"> enabling a limited cost-effectiveness analysis. Assuming that addition of CMR (vs no CMR) was 100% accurate and provided for more</w:t>
      </w:r>
      <w:r w:rsidR="005222E7">
        <w:t>-</w:t>
      </w:r>
      <w:r>
        <w:t>appropriate management, the base</w:t>
      </w:r>
      <w:r w:rsidR="005222E7">
        <w:t>-</w:t>
      </w:r>
      <w:r>
        <w:t>case results of the analysis suggest that</w:t>
      </w:r>
      <w:r w:rsidR="005222E7">
        <w:t>,</w:t>
      </w:r>
      <w:r>
        <w:t xml:space="preserve"> after </w:t>
      </w:r>
      <w:r w:rsidR="005222E7">
        <w:t>6 </w:t>
      </w:r>
      <w:r>
        <w:t>months</w:t>
      </w:r>
      <w:r w:rsidR="005222E7">
        <w:t>,</w:t>
      </w:r>
      <w:r>
        <w:t xml:space="preserve"> </w:t>
      </w:r>
      <w:r w:rsidRPr="00CE0CFB">
        <w:rPr>
          <w:b/>
        </w:rPr>
        <w:t>CMR would cost an additional $3,158 per additional patient appropriately managed</w:t>
      </w:r>
      <w:r>
        <w:t xml:space="preserve"> (or inappropriate management avoided). This means that </w:t>
      </w:r>
      <w:r w:rsidRPr="000C3982">
        <w:t xml:space="preserve">for every $100,000 of </w:t>
      </w:r>
      <w:r w:rsidRPr="000C3982">
        <w:rPr>
          <w:i/>
        </w:rPr>
        <w:t>additional</w:t>
      </w:r>
      <w:r w:rsidRPr="000C3982">
        <w:t xml:space="preserve"> </w:t>
      </w:r>
      <w:r>
        <w:t xml:space="preserve">net </w:t>
      </w:r>
      <w:r w:rsidRPr="000C3982">
        <w:t xml:space="preserve">expenditure associated with the proposed listing </w:t>
      </w:r>
      <w:r>
        <w:t>in this subpopulation</w:t>
      </w:r>
      <w:r w:rsidRPr="000C3982">
        <w:t>, 358 patients w</w:t>
      </w:r>
      <w:r>
        <w:t xml:space="preserve">ould have </w:t>
      </w:r>
      <w:r w:rsidRPr="000C3982">
        <w:t>undergo</w:t>
      </w:r>
      <w:r>
        <w:t>ne additional</w:t>
      </w:r>
      <w:r w:rsidRPr="000C3982">
        <w:t xml:space="preserve"> CMR testing</w:t>
      </w:r>
      <w:r>
        <w:t xml:space="preserve">. In </w:t>
      </w:r>
      <w:r w:rsidRPr="000C3982">
        <w:t>the</w:t>
      </w:r>
      <w:r>
        <w:t xml:space="preserve"> </w:t>
      </w:r>
      <w:r w:rsidR="005222E7">
        <w:t>6 </w:t>
      </w:r>
      <w:r>
        <w:t>months after CMR imaging in these patients,</w:t>
      </w:r>
      <w:r w:rsidRPr="000C3982">
        <w:t xml:space="preserve"> 15.9 additional appropriate device</w:t>
      </w:r>
      <w:r>
        <w:t xml:space="preserve"> implantation</w:t>
      </w:r>
      <w:r w:rsidRPr="000C3982">
        <w:t xml:space="preserve">s and 5.6 appropriate surgeries </w:t>
      </w:r>
      <w:r>
        <w:t xml:space="preserve">would be </w:t>
      </w:r>
      <w:r w:rsidRPr="000C3982">
        <w:t xml:space="preserve">undertaken, and 16.7 inappropriate device implantations and 8.8 inappropriate surgeries </w:t>
      </w:r>
      <w:r>
        <w:t>would</w:t>
      </w:r>
      <w:r w:rsidRPr="000C3982">
        <w:t xml:space="preserve"> be avoided</w:t>
      </w:r>
      <w:r>
        <w:t>. The uncertainty around the accuracy of CMR contributes to uncertainty in this analysis. It is assumed that CMR is 100% accurate in the base</w:t>
      </w:r>
      <w:r w:rsidR="002A214A">
        <w:t>-</w:t>
      </w:r>
      <w:r>
        <w:t xml:space="preserve">case, but if the sensitivity of CMR is less than 88% relative to the alternative of </w:t>
      </w:r>
      <w:r w:rsidR="002A214A">
        <w:t>‘</w:t>
      </w:r>
      <w:r>
        <w:t>all diagnostic reference data</w:t>
      </w:r>
      <w:r w:rsidR="002A214A">
        <w:t>’</w:t>
      </w:r>
      <w:r>
        <w:t>, then the use of CMR would become less effective and more costly than not using it.</w:t>
      </w:r>
    </w:p>
    <w:p w14:paraId="12107BDF" w14:textId="0C020C59" w:rsidR="009E390A" w:rsidRDefault="009E390A" w:rsidP="004C79C1">
      <w:pPr>
        <w:spacing w:after="120" w:line="240" w:lineRule="auto"/>
        <w:jc w:val="both"/>
      </w:pPr>
      <w:r w:rsidRPr="00B367A8">
        <w:rPr>
          <w:u w:val="single"/>
        </w:rPr>
        <w:t>In patients with an intermediate risk of CAD (</w:t>
      </w:r>
      <w:r w:rsidR="00D65056">
        <w:rPr>
          <w:u w:val="single"/>
        </w:rPr>
        <w:t xml:space="preserve">i.e. </w:t>
      </w:r>
      <w:r w:rsidRPr="00B367A8">
        <w:rPr>
          <w:u w:val="single"/>
        </w:rPr>
        <w:t>population iiB</w:t>
      </w:r>
      <w:r>
        <w:rPr>
          <w:u w:val="single"/>
        </w:rPr>
        <w:t>)</w:t>
      </w:r>
      <w:r>
        <w:t>, the likely comparators are different as there is a need to identify whether or not ischaemia is present. Currently, without CMR being available, patients could receive an immediate ICA to categorically identify ischaemia (or not), and in some cases non-invasive tests (</w:t>
      </w:r>
      <w:r w:rsidR="008E5F2E">
        <w:t xml:space="preserve">e.g. </w:t>
      </w:r>
      <w:r w:rsidRPr="00EA1F0E">
        <w:t xml:space="preserve">CTCA, SPECT and stress </w:t>
      </w:r>
      <w:r w:rsidR="00692935" w:rsidRPr="007D05E9">
        <w:t>echocardiography</w:t>
      </w:r>
      <w:r>
        <w:t xml:space="preserve">) may be </w:t>
      </w:r>
      <w:r w:rsidR="008E5F2E">
        <w:t xml:space="preserve">used </w:t>
      </w:r>
      <w:r>
        <w:t>before triaging to I</w:t>
      </w:r>
      <w:r w:rsidRPr="00EA1F0E">
        <w:t xml:space="preserve">CA </w:t>
      </w:r>
      <w:r>
        <w:t>(</w:t>
      </w:r>
      <w:r w:rsidRPr="00EA1F0E">
        <w:t xml:space="preserve">if ischaemia </w:t>
      </w:r>
      <w:r>
        <w:t xml:space="preserve">appears </w:t>
      </w:r>
      <w:r w:rsidRPr="00EA1F0E">
        <w:t>likely</w:t>
      </w:r>
      <w:r>
        <w:t xml:space="preserve">). </w:t>
      </w:r>
    </w:p>
    <w:p w14:paraId="1D6CD73B" w14:textId="51BA1441" w:rsidR="009E390A" w:rsidRDefault="009E390A" w:rsidP="004C79C1">
      <w:pPr>
        <w:spacing w:after="120" w:line="240" w:lineRule="auto"/>
        <w:jc w:val="both"/>
      </w:pPr>
      <w:r>
        <w:t xml:space="preserve">A limited cost-effectiveness analysis of CMR used as a triage test </w:t>
      </w:r>
      <w:r w:rsidRPr="009E2B4C">
        <w:t xml:space="preserve">for ICA </w:t>
      </w:r>
      <w:r>
        <w:t>(i.e. where immediate ICA is the comparator) was undertaken. The analysis incorporated diagnostic accuracy estimates</w:t>
      </w:r>
      <w:r w:rsidR="005C4657">
        <w:t>;</w:t>
      </w:r>
      <w:r>
        <w:t xml:space="preserve"> prevalence estimates</w:t>
      </w:r>
      <w:r w:rsidR="005C4657">
        <w:t>;</w:t>
      </w:r>
      <w:r>
        <w:t xml:space="preserve"> </w:t>
      </w:r>
      <w:r w:rsidR="005C4657">
        <w:t xml:space="preserve">and </w:t>
      </w:r>
      <w:r>
        <w:t xml:space="preserve">costs of CMR, ICA and </w:t>
      </w:r>
      <w:r w:rsidR="005C4657">
        <w:t>AE</w:t>
      </w:r>
      <w:r>
        <w:t>s associated with ICA. It was assumed that CMR directed a change in patient management, as per a previously identified economic analysis (</w:t>
      </w:r>
      <w:r w:rsidR="0066146C">
        <w:t xml:space="preserve">see </w:t>
      </w:r>
      <w:r>
        <w:t xml:space="preserve">section </w:t>
      </w:r>
      <w:proofErr w:type="gramStart"/>
      <w:r>
        <w:t>D.5.ii(</w:t>
      </w:r>
      <w:proofErr w:type="gramEnd"/>
      <w:r>
        <w:t>A)), but there was no strong comparative evidence demonstrating this. The accuracy and prevalence inputs were uncertain and, as there was no evidence on health outcomes, the model could only estimate ‘inappropriate ICAs avoided’ as an outcome. Primarily because of the high relative cost of ICA, and the choice of outcome (</w:t>
      </w:r>
      <w:r w:rsidR="007B6BE7">
        <w:t xml:space="preserve">i.e. </w:t>
      </w:r>
      <w:r>
        <w:t xml:space="preserve">simply reflecting a preference to avoid invasive testing, rather than overall health outcomes), </w:t>
      </w:r>
      <w:r w:rsidRPr="00CE0CFB">
        <w:rPr>
          <w:b/>
        </w:rPr>
        <w:t>the base</w:t>
      </w:r>
      <w:r w:rsidR="007B6BE7">
        <w:rPr>
          <w:b/>
        </w:rPr>
        <w:t>-</w:t>
      </w:r>
      <w:r w:rsidRPr="00CE0CFB">
        <w:rPr>
          <w:b/>
        </w:rPr>
        <w:t xml:space="preserve">case model found </w:t>
      </w:r>
      <w:r>
        <w:rPr>
          <w:b/>
        </w:rPr>
        <w:t xml:space="preserve">that use of </w:t>
      </w:r>
      <w:r w:rsidRPr="00CE0CFB">
        <w:rPr>
          <w:b/>
        </w:rPr>
        <w:t xml:space="preserve">CMR </w:t>
      </w:r>
      <w:r>
        <w:rPr>
          <w:b/>
        </w:rPr>
        <w:t>to triage patients for ICA was both</w:t>
      </w:r>
      <w:r w:rsidRPr="00CE0CFB">
        <w:rPr>
          <w:b/>
        </w:rPr>
        <w:t xml:space="preserve"> more effective (in terms of avoiding unnecessary ICAs) and less costly (i.e. dominant) than immediate ICA</w:t>
      </w:r>
      <w:r>
        <w:rPr>
          <w:b/>
        </w:rPr>
        <w:t xml:space="preserve"> </w:t>
      </w:r>
      <w:r w:rsidRPr="00692935">
        <w:t>(</w:t>
      </w:r>
      <w:r w:rsidR="0066146C">
        <w:t xml:space="preserve">see </w:t>
      </w:r>
      <w:r w:rsidRPr="00692935">
        <w:t xml:space="preserve">section </w:t>
      </w:r>
      <w:proofErr w:type="gramStart"/>
      <w:r w:rsidRPr="00692935">
        <w:t>D.4.ii(</w:t>
      </w:r>
      <w:proofErr w:type="gramEnd"/>
      <w:r w:rsidRPr="00692935">
        <w:t>B)).</w:t>
      </w:r>
      <w:r>
        <w:t xml:space="preserve"> Although inputs were uncertain, this conclusion held across all plausible sensitivity analyses conducted.</w:t>
      </w:r>
    </w:p>
    <w:p w14:paraId="7389B544" w14:textId="236C82CF" w:rsidR="009E390A" w:rsidRDefault="009E390A" w:rsidP="004C79C1">
      <w:pPr>
        <w:spacing w:after="120" w:line="240" w:lineRule="auto"/>
        <w:jc w:val="both"/>
      </w:pPr>
      <w:r>
        <w:t>Some patients in population iiB would receive an alternative non-invasive comparator (</w:t>
      </w:r>
      <w:r w:rsidR="002E1A2B">
        <w:t xml:space="preserve">e.g. </w:t>
      </w:r>
      <w:r>
        <w:t xml:space="preserve">CTCA, SPECT or stress </w:t>
      </w:r>
      <w:r w:rsidR="00692935" w:rsidRPr="007D05E9">
        <w:t>echocardiography</w:t>
      </w:r>
      <w:r>
        <w:t xml:space="preserve">) rather than ICA, and so an economic comparison </w:t>
      </w:r>
      <w:r w:rsidR="002E1A2B">
        <w:t xml:space="preserve">with </w:t>
      </w:r>
      <w:r>
        <w:t>these tests was also relevant. As there was little reliable and comparative evidence on diagnostic accuracy</w:t>
      </w:r>
      <w:r w:rsidR="00955A62">
        <w:t>,</w:t>
      </w:r>
      <w:r>
        <w:t xml:space="preserve"> change in management or health outcomes for CMR relative to these comparators, the analysis was again limited to a cost comparison. </w:t>
      </w:r>
      <w:r w:rsidRPr="00B367A8">
        <w:rPr>
          <w:b/>
        </w:rPr>
        <w:t>CMR testing is associated with an incremental cost of $388 compared with SPECT, $230 compared with CTCA</w:t>
      </w:r>
      <w:r w:rsidR="00955A62">
        <w:rPr>
          <w:b/>
        </w:rPr>
        <w:t>,</w:t>
      </w:r>
      <w:r w:rsidRPr="00B367A8">
        <w:rPr>
          <w:b/>
        </w:rPr>
        <w:t xml:space="preserve"> and $504 compared with stress </w:t>
      </w:r>
      <w:r w:rsidR="00692935" w:rsidRPr="00692935">
        <w:rPr>
          <w:b/>
        </w:rPr>
        <w:t>echocardiography</w:t>
      </w:r>
      <w:r>
        <w:rPr>
          <w:b/>
        </w:rPr>
        <w:t xml:space="preserve">. </w:t>
      </w:r>
      <w:r w:rsidRPr="00BC74C1">
        <w:t>It</w:t>
      </w:r>
      <w:r>
        <w:t xml:space="preserve"> remained more costly in all sensitivity analyses</w:t>
      </w:r>
      <w:r w:rsidRPr="00D314D9">
        <w:t>.</w:t>
      </w:r>
      <w:r>
        <w:t xml:space="preserve"> I</w:t>
      </w:r>
      <w:r w:rsidRPr="00D314D9">
        <w:t xml:space="preserve">t is important to note that this cost analysis does not account for the fact that CMR can provide greater diagnostic clarification than </w:t>
      </w:r>
      <w:r>
        <w:t>any</w:t>
      </w:r>
      <w:r w:rsidRPr="00D314D9">
        <w:t xml:space="preserve"> of the alternative</w:t>
      </w:r>
      <w:r>
        <w:t xml:space="preserve"> test</w:t>
      </w:r>
      <w:r w:rsidRPr="00D314D9">
        <w:t>s</w:t>
      </w:r>
      <w:r>
        <w:t xml:space="preserve"> (</w:t>
      </w:r>
      <w:r w:rsidR="00FD7BF6">
        <w:t xml:space="preserve">see </w:t>
      </w:r>
      <w:r>
        <w:t>section B.8)</w:t>
      </w:r>
      <w:r w:rsidR="006318C6">
        <w:t>;</w:t>
      </w:r>
      <w:r w:rsidRPr="00D314D9">
        <w:t xml:space="preserve"> and the</w:t>
      </w:r>
      <w:r>
        <w:t xml:space="preserve">re are </w:t>
      </w:r>
      <w:r w:rsidRPr="00D314D9">
        <w:t xml:space="preserve">differences between these tests </w:t>
      </w:r>
      <w:r>
        <w:t>on the</w:t>
      </w:r>
      <w:r w:rsidRPr="00D314D9">
        <w:t xml:space="preserve"> health outcomes associated with side</w:t>
      </w:r>
      <w:r w:rsidR="006318C6">
        <w:t xml:space="preserve"> </w:t>
      </w:r>
      <w:r w:rsidRPr="00D314D9">
        <w:t>effects,</w:t>
      </w:r>
      <w:r>
        <w:t xml:space="preserve"> and</w:t>
      </w:r>
      <w:r w:rsidRPr="00D314D9">
        <w:t xml:space="preserve"> patient acceptability </w:t>
      </w:r>
      <w:r>
        <w:t>and</w:t>
      </w:r>
      <w:r w:rsidRPr="00D314D9">
        <w:t xml:space="preserve"> accessibility</w:t>
      </w:r>
      <w:r>
        <w:t xml:space="preserve"> </w:t>
      </w:r>
      <w:r w:rsidRPr="00692935">
        <w:t>(</w:t>
      </w:r>
      <w:r w:rsidR="00FD7BF6">
        <w:t>see</w:t>
      </w:r>
      <w:r w:rsidR="00692935">
        <w:t xml:space="preserve"> </w:t>
      </w:r>
      <w:r w:rsidRPr="00692935">
        <w:t>section D.5.ii(B)).</w:t>
      </w:r>
    </w:p>
    <w:p w14:paraId="04FBF2CF" w14:textId="14E317B2" w:rsidR="009E390A" w:rsidRPr="00022FA9" w:rsidRDefault="009E390A" w:rsidP="004C79C1">
      <w:pPr>
        <w:spacing w:after="120" w:line="240" w:lineRule="auto"/>
        <w:jc w:val="both"/>
      </w:pPr>
      <w:r>
        <w:lastRenderedPageBreak/>
        <w:t xml:space="preserve">Overall, given the large gaps in comparative clinical outcome data and the identification of incremental cost estimates in opposite directions across different patient groups, it is not possible to form a generalised conclusion of the cost-effectiveness of CMR as per the proposed listing. Rather, </w:t>
      </w:r>
      <w:r w:rsidR="00FD7BF6">
        <w:t xml:space="preserve">only </w:t>
      </w:r>
      <w:r>
        <w:t>limited conclusions can be drawn for the specific patient groups and circumstances described.</w:t>
      </w:r>
    </w:p>
    <w:p w14:paraId="509EA17A" w14:textId="77777777" w:rsidR="009E390A" w:rsidRPr="00C47E57" w:rsidRDefault="009E390A" w:rsidP="00161B88">
      <w:pPr>
        <w:pStyle w:val="Heading3"/>
      </w:pPr>
      <w:bookmarkStart w:id="106" w:name="_Toc449608899"/>
      <w:bookmarkStart w:id="107" w:name="_Toc451501271"/>
      <w:r w:rsidRPr="00C47E57">
        <w:t>Estimated Extent of Use and Financial Im</w:t>
      </w:r>
      <w:bookmarkEnd w:id="104"/>
      <w:r w:rsidRPr="00C47E57">
        <w:t>plications</w:t>
      </w:r>
      <w:bookmarkEnd w:id="105"/>
      <w:bookmarkEnd w:id="106"/>
      <w:bookmarkEnd w:id="107"/>
    </w:p>
    <w:p w14:paraId="70A59A96" w14:textId="4C7A9B1A" w:rsidR="009E390A" w:rsidRPr="00C47E57" w:rsidRDefault="009E390A" w:rsidP="004C79C1">
      <w:pPr>
        <w:spacing w:after="120" w:line="240" w:lineRule="auto"/>
        <w:jc w:val="both"/>
      </w:pPr>
      <w:r w:rsidRPr="00C47E57">
        <w:t>Estimations of the extent of us</w:t>
      </w:r>
      <w:r>
        <w:t>e</w:t>
      </w:r>
      <w:r w:rsidRPr="00C47E57">
        <w:t xml:space="preserve"> and financial implications of CMR are highly uncertain. A combination of epidemiological and market share approaches, with numerous assumptions, </w:t>
      </w:r>
      <w:r>
        <w:t>we</w:t>
      </w:r>
      <w:r w:rsidRPr="00C47E57">
        <w:t>re required</w:t>
      </w:r>
      <w:r>
        <w:t xml:space="preserve"> to estimate the financial impact</w:t>
      </w:r>
      <w:r w:rsidRPr="00C47E57">
        <w:t xml:space="preserve">. Based on a reported incidence rate for </w:t>
      </w:r>
      <w:r w:rsidRPr="00C47E57">
        <w:rPr>
          <w:i/>
        </w:rPr>
        <w:t>primary</w:t>
      </w:r>
      <w:r w:rsidRPr="00C47E57">
        <w:t xml:space="preserve"> DCM, the ratio of ischaemic to non-ischaemic causes of DCM, estimated rates of eligible family members per index case and uptake rates, the following estimates of CMR usage and its directly associated cost</w:t>
      </w:r>
      <w:r>
        <w:t>s</w:t>
      </w:r>
      <w:r w:rsidRPr="00C47E57">
        <w:t xml:space="preserve"> were projected</w:t>
      </w:r>
      <w:r w:rsidR="0020579F">
        <w:t xml:space="preserve"> (</w:t>
      </w:r>
      <w:r w:rsidR="00E011C7">
        <w:fldChar w:fldCharType="begin"/>
      </w:r>
      <w:r w:rsidR="00E011C7">
        <w:instrText xml:space="preserve"> REF _Ref451245850 \h </w:instrText>
      </w:r>
      <w:r w:rsidR="00E011C7">
        <w:fldChar w:fldCharType="separate"/>
      </w:r>
      <w:r w:rsidR="004F632C">
        <w:t xml:space="preserve">Table </w:t>
      </w:r>
      <w:r w:rsidR="004F632C">
        <w:rPr>
          <w:noProof/>
        </w:rPr>
        <w:t>3</w:t>
      </w:r>
      <w:r w:rsidR="00E011C7">
        <w:fldChar w:fldCharType="end"/>
      </w:r>
      <w:r w:rsidR="0020579F">
        <w:t>).</w:t>
      </w:r>
    </w:p>
    <w:p w14:paraId="1F6EAC2E" w14:textId="63E3F847" w:rsidR="00E011C7" w:rsidRDefault="00E011C7" w:rsidP="004C79C1">
      <w:pPr>
        <w:pStyle w:val="Caption"/>
        <w:keepNext/>
      </w:pPr>
      <w:bookmarkStart w:id="108" w:name="_Ref451245850"/>
      <w:bookmarkStart w:id="109" w:name="_Toc451435330"/>
      <w:r>
        <w:t xml:space="preserve">Table </w:t>
      </w:r>
      <w:fldSimple w:instr=" SEQ Table \* ARABIC ">
        <w:r w:rsidR="004F632C">
          <w:rPr>
            <w:noProof/>
          </w:rPr>
          <w:t>3</w:t>
        </w:r>
      </w:fldSimple>
      <w:bookmarkEnd w:id="108"/>
      <w:r>
        <w:tab/>
      </w:r>
      <w:r w:rsidRPr="00A615BE">
        <w:t>Number of CMR tests for suspected DCM (by subpopulation) and total costs</w:t>
      </w:r>
      <w:bookmarkEnd w:id="109"/>
    </w:p>
    <w:tbl>
      <w:tblPr>
        <w:tblStyle w:val="TableGrid"/>
        <w:tblW w:w="5000" w:type="pct"/>
        <w:tblLayout w:type="fixed"/>
        <w:tblLook w:val="04A0" w:firstRow="1" w:lastRow="0" w:firstColumn="1" w:lastColumn="0" w:noHBand="0" w:noVBand="1"/>
        <w:tblDescription w:val="Number of CMR tests for suspected DCM (by sub-population) and total costs "/>
      </w:tblPr>
      <w:tblGrid>
        <w:gridCol w:w="3918"/>
        <w:gridCol w:w="1064"/>
        <w:gridCol w:w="1065"/>
        <w:gridCol w:w="1065"/>
        <w:gridCol w:w="1065"/>
        <w:gridCol w:w="1065"/>
      </w:tblGrid>
      <w:tr w:rsidR="009E390A" w:rsidRPr="0050571A" w14:paraId="7DB173B1" w14:textId="77777777" w:rsidTr="00E61D17">
        <w:trPr>
          <w:tblHeader/>
        </w:trPr>
        <w:tc>
          <w:tcPr>
            <w:tcW w:w="2120" w:type="pct"/>
          </w:tcPr>
          <w:p w14:paraId="542F8DCF" w14:textId="77777777" w:rsidR="009E390A" w:rsidRPr="0050571A" w:rsidRDefault="009E390A" w:rsidP="004C79C1">
            <w:pPr>
              <w:keepNext/>
              <w:spacing w:after="120" w:line="240" w:lineRule="auto"/>
              <w:rPr>
                <w:rFonts w:ascii="Arial Narrow" w:hAnsi="Arial Narrow"/>
                <w:b/>
                <w:sz w:val="20"/>
                <w:szCs w:val="20"/>
              </w:rPr>
            </w:pPr>
          </w:p>
        </w:tc>
        <w:tc>
          <w:tcPr>
            <w:tcW w:w="576" w:type="pct"/>
          </w:tcPr>
          <w:p w14:paraId="3F6022E7" w14:textId="65BC2ABE" w:rsidR="009E390A" w:rsidRPr="0050571A" w:rsidRDefault="009E390A" w:rsidP="004C79C1">
            <w:pPr>
              <w:keepNext/>
              <w:spacing w:after="120" w:line="240" w:lineRule="auto"/>
              <w:jc w:val="center"/>
              <w:rPr>
                <w:rFonts w:ascii="Arial Narrow" w:hAnsi="Arial Narrow"/>
                <w:b/>
                <w:sz w:val="20"/>
                <w:szCs w:val="20"/>
              </w:rPr>
            </w:pPr>
            <w:r w:rsidRPr="0050571A">
              <w:rPr>
                <w:rFonts w:ascii="Arial Narrow" w:hAnsi="Arial Narrow"/>
                <w:b/>
                <w:sz w:val="20"/>
                <w:szCs w:val="20"/>
              </w:rPr>
              <w:t>2016</w:t>
            </w:r>
            <w:r w:rsidR="00FD638B">
              <w:rPr>
                <w:rFonts w:ascii="Arial Narrow" w:hAnsi="Arial Narrow"/>
                <w:b/>
                <w:sz w:val="20"/>
                <w:szCs w:val="20"/>
              </w:rPr>
              <w:t>–</w:t>
            </w:r>
            <w:r w:rsidRPr="0050571A">
              <w:rPr>
                <w:rFonts w:ascii="Arial Narrow" w:hAnsi="Arial Narrow"/>
                <w:b/>
                <w:sz w:val="20"/>
                <w:szCs w:val="20"/>
              </w:rPr>
              <w:t>17</w:t>
            </w:r>
          </w:p>
        </w:tc>
        <w:tc>
          <w:tcPr>
            <w:tcW w:w="576" w:type="pct"/>
          </w:tcPr>
          <w:p w14:paraId="6627D68D" w14:textId="7EC0B1EE" w:rsidR="009E390A" w:rsidRPr="0050571A" w:rsidRDefault="009E390A" w:rsidP="004C79C1">
            <w:pPr>
              <w:keepNext/>
              <w:spacing w:after="120" w:line="240" w:lineRule="auto"/>
              <w:jc w:val="center"/>
              <w:rPr>
                <w:rFonts w:ascii="Arial Narrow" w:hAnsi="Arial Narrow"/>
                <w:b/>
                <w:sz w:val="20"/>
                <w:szCs w:val="20"/>
              </w:rPr>
            </w:pPr>
            <w:r w:rsidRPr="0050571A">
              <w:rPr>
                <w:rFonts w:ascii="Arial Narrow" w:hAnsi="Arial Narrow"/>
                <w:b/>
                <w:sz w:val="20"/>
                <w:szCs w:val="20"/>
              </w:rPr>
              <w:t>2017</w:t>
            </w:r>
            <w:r w:rsidR="00FD638B">
              <w:rPr>
                <w:rFonts w:ascii="Arial Narrow" w:hAnsi="Arial Narrow"/>
                <w:b/>
                <w:sz w:val="20"/>
                <w:szCs w:val="20"/>
              </w:rPr>
              <w:t>–</w:t>
            </w:r>
            <w:r w:rsidRPr="0050571A">
              <w:rPr>
                <w:rFonts w:ascii="Arial Narrow" w:hAnsi="Arial Narrow"/>
                <w:b/>
                <w:sz w:val="20"/>
                <w:szCs w:val="20"/>
              </w:rPr>
              <w:t>18</w:t>
            </w:r>
          </w:p>
        </w:tc>
        <w:tc>
          <w:tcPr>
            <w:tcW w:w="576" w:type="pct"/>
          </w:tcPr>
          <w:p w14:paraId="215EC8E0" w14:textId="417701C7" w:rsidR="009E390A" w:rsidRPr="0050571A" w:rsidRDefault="009E390A" w:rsidP="004C79C1">
            <w:pPr>
              <w:keepNext/>
              <w:spacing w:after="120" w:line="240" w:lineRule="auto"/>
              <w:jc w:val="center"/>
              <w:rPr>
                <w:rFonts w:ascii="Arial Narrow" w:hAnsi="Arial Narrow"/>
                <w:b/>
                <w:sz w:val="20"/>
                <w:szCs w:val="20"/>
              </w:rPr>
            </w:pPr>
            <w:r w:rsidRPr="0050571A">
              <w:rPr>
                <w:rFonts w:ascii="Arial Narrow" w:hAnsi="Arial Narrow"/>
                <w:b/>
                <w:sz w:val="20"/>
                <w:szCs w:val="20"/>
              </w:rPr>
              <w:t>2018</w:t>
            </w:r>
            <w:r w:rsidR="00FD638B">
              <w:rPr>
                <w:rFonts w:ascii="Arial Narrow" w:hAnsi="Arial Narrow"/>
                <w:b/>
                <w:sz w:val="20"/>
                <w:szCs w:val="20"/>
              </w:rPr>
              <w:t>–</w:t>
            </w:r>
            <w:r w:rsidRPr="0050571A">
              <w:rPr>
                <w:rFonts w:ascii="Arial Narrow" w:hAnsi="Arial Narrow"/>
                <w:b/>
                <w:sz w:val="20"/>
                <w:szCs w:val="20"/>
              </w:rPr>
              <w:t>19</w:t>
            </w:r>
          </w:p>
        </w:tc>
        <w:tc>
          <w:tcPr>
            <w:tcW w:w="576" w:type="pct"/>
          </w:tcPr>
          <w:p w14:paraId="4C4CF132" w14:textId="0D8C1520" w:rsidR="009E390A" w:rsidRPr="0050571A" w:rsidRDefault="009E390A" w:rsidP="004C79C1">
            <w:pPr>
              <w:keepNext/>
              <w:spacing w:after="120" w:line="240" w:lineRule="auto"/>
              <w:jc w:val="center"/>
              <w:rPr>
                <w:rFonts w:ascii="Arial Narrow" w:hAnsi="Arial Narrow"/>
                <w:b/>
                <w:sz w:val="20"/>
                <w:szCs w:val="20"/>
              </w:rPr>
            </w:pPr>
            <w:r w:rsidRPr="0050571A">
              <w:rPr>
                <w:rFonts w:ascii="Arial Narrow" w:hAnsi="Arial Narrow"/>
                <w:b/>
                <w:sz w:val="20"/>
                <w:szCs w:val="20"/>
              </w:rPr>
              <w:t>2019</w:t>
            </w:r>
            <w:r w:rsidR="00FD638B">
              <w:rPr>
                <w:rFonts w:ascii="Arial Narrow" w:hAnsi="Arial Narrow"/>
                <w:b/>
                <w:sz w:val="20"/>
                <w:szCs w:val="20"/>
              </w:rPr>
              <w:t>–</w:t>
            </w:r>
            <w:r w:rsidRPr="0050571A">
              <w:rPr>
                <w:rFonts w:ascii="Arial Narrow" w:hAnsi="Arial Narrow"/>
                <w:b/>
                <w:sz w:val="20"/>
                <w:szCs w:val="20"/>
              </w:rPr>
              <w:t>20</w:t>
            </w:r>
          </w:p>
        </w:tc>
        <w:tc>
          <w:tcPr>
            <w:tcW w:w="576" w:type="pct"/>
          </w:tcPr>
          <w:p w14:paraId="3ECDF15E" w14:textId="52131A55" w:rsidR="009E390A" w:rsidRPr="0050571A" w:rsidRDefault="009E390A" w:rsidP="004C79C1">
            <w:pPr>
              <w:keepNext/>
              <w:spacing w:after="120" w:line="240" w:lineRule="auto"/>
              <w:jc w:val="center"/>
              <w:rPr>
                <w:rFonts w:ascii="Arial Narrow" w:hAnsi="Arial Narrow"/>
                <w:b/>
                <w:sz w:val="20"/>
                <w:szCs w:val="20"/>
              </w:rPr>
            </w:pPr>
            <w:r w:rsidRPr="0050571A">
              <w:rPr>
                <w:rFonts w:ascii="Arial Narrow" w:hAnsi="Arial Narrow"/>
                <w:b/>
                <w:sz w:val="20"/>
                <w:szCs w:val="20"/>
              </w:rPr>
              <w:t>2020</w:t>
            </w:r>
            <w:r w:rsidR="00B821C6">
              <w:rPr>
                <w:rFonts w:ascii="Arial Narrow" w:hAnsi="Arial Narrow"/>
                <w:b/>
                <w:sz w:val="20"/>
                <w:szCs w:val="20"/>
              </w:rPr>
              <w:t>–</w:t>
            </w:r>
            <w:r w:rsidRPr="0050571A">
              <w:rPr>
                <w:rFonts w:ascii="Arial Narrow" w:hAnsi="Arial Narrow"/>
                <w:b/>
                <w:sz w:val="20"/>
                <w:szCs w:val="20"/>
              </w:rPr>
              <w:t>21</w:t>
            </w:r>
          </w:p>
        </w:tc>
      </w:tr>
      <w:tr w:rsidR="009E390A" w14:paraId="27C64482" w14:textId="77777777" w:rsidTr="00E61D17">
        <w:tc>
          <w:tcPr>
            <w:tcW w:w="2120" w:type="pct"/>
          </w:tcPr>
          <w:p w14:paraId="1BB0579F" w14:textId="77777777" w:rsidR="009E390A" w:rsidRDefault="009E390A" w:rsidP="004C79C1">
            <w:pPr>
              <w:pStyle w:val="Tabletext1"/>
              <w:spacing w:before="0" w:after="120"/>
            </w:pPr>
            <w:r>
              <w:t>Population i: expected uptake</w:t>
            </w:r>
          </w:p>
        </w:tc>
        <w:tc>
          <w:tcPr>
            <w:tcW w:w="576" w:type="pct"/>
          </w:tcPr>
          <w:p w14:paraId="571E2E3A" w14:textId="77777777" w:rsidR="009E390A" w:rsidRDefault="009E390A" w:rsidP="004C79C1">
            <w:pPr>
              <w:pStyle w:val="Tabletext1"/>
              <w:spacing w:before="0" w:after="120"/>
              <w:jc w:val="right"/>
            </w:pPr>
            <w:r w:rsidRPr="002F3FDD">
              <w:t>640</w:t>
            </w:r>
          </w:p>
        </w:tc>
        <w:tc>
          <w:tcPr>
            <w:tcW w:w="576" w:type="pct"/>
          </w:tcPr>
          <w:p w14:paraId="3BE03B24" w14:textId="77777777" w:rsidR="009E390A" w:rsidRDefault="009E390A" w:rsidP="004C79C1">
            <w:pPr>
              <w:pStyle w:val="Tabletext1"/>
              <w:spacing w:before="0" w:after="120"/>
              <w:jc w:val="right"/>
            </w:pPr>
            <w:r w:rsidRPr="002F3FDD">
              <w:t>651</w:t>
            </w:r>
          </w:p>
        </w:tc>
        <w:tc>
          <w:tcPr>
            <w:tcW w:w="576" w:type="pct"/>
          </w:tcPr>
          <w:p w14:paraId="2449A647" w14:textId="77777777" w:rsidR="009E390A" w:rsidRDefault="009E390A" w:rsidP="004C79C1">
            <w:pPr>
              <w:pStyle w:val="Tabletext1"/>
              <w:spacing w:before="0" w:after="120"/>
              <w:jc w:val="right"/>
            </w:pPr>
            <w:r w:rsidRPr="002F3FDD">
              <w:t>662</w:t>
            </w:r>
          </w:p>
        </w:tc>
        <w:tc>
          <w:tcPr>
            <w:tcW w:w="576" w:type="pct"/>
          </w:tcPr>
          <w:p w14:paraId="387CAF3C" w14:textId="77777777" w:rsidR="009E390A" w:rsidRDefault="009E390A" w:rsidP="004C79C1">
            <w:pPr>
              <w:pStyle w:val="Tabletext1"/>
              <w:spacing w:before="0" w:after="120"/>
              <w:jc w:val="right"/>
            </w:pPr>
            <w:r w:rsidRPr="002F3FDD">
              <w:t>672</w:t>
            </w:r>
          </w:p>
        </w:tc>
        <w:tc>
          <w:tcPr>
            <w:tcW w:w="576" w:type="pct"/>
          </w:tcPr>
          <w:p w14:paraId="225B688A" w14:textId="77777777" w:rsidR="009E390A" w:rsidRDefault="009E390A" w:rsidP="004C79C1">
            <w:pPr>
              <w:pStyle w:val="Tabletext1"/>
              <w:spacing w:before="0" w:after="120"/>
              <w:jc w:val="right"/>
            </w:pPr>
            <w:r w:rsidRPr="002F3FDD">
              <w:t>683</w:t>
            </w:r>
          </w:p>
        </w:tc>
      </w:tr>
      <w:tr w:rsidR="009E390A" w:rsidRPr="00B907B6" w14:paraId="51043A99" w14:textId="77777777" w:rsidTr="00E61D17">
        <w:tc>
          <w:tcPr>
            <w:tcW w:w="2120" w:type="pct"/>
          </w:tcPr>
          <w:p w14:paraId="7C3F08EA" w14:textId="77777777" w:rsidR="009E390A" w:rsidRDefault="009E390A" w:rsidP="004C79C1">
            <w:pPr>
              <w:pStyle w:val="Tabletext1"/>
              <w:spacing w:before="0" w:after="120"/>
            </w:pPr>
            <w:r>
              <w:t>Population ii: expected uptake</w:t>
            </w:r>
          </w:p>
        </w:tc>
        <w:tc>
          <w:tcPr>
            <w:tcW w:w="576" w:type="pct"/>
          </w:tcPr>
          <w:p w14:paraId="1945E31C" w14:textId="77777777" w:rsidR="009E390A" w:rsidRPr="00B907B6" w:rsidRDefault="009E390A" w:rsidP="004C79C1">
            <w:pPr>
              <w:pStyle w:val="Tabletext1"/>
              <w:spacing w:before="0" w:after="120"/>
              <w:jc w:val="right"/>
              <w:rPr>
                <w:bCs/>
                <w:color w:val="000000"/>
              </w:rPr>
            </w:pPr>
            <w:r w:rsidRPr="00B907B6">
              <w:t>3,338</w:t>
            </w:r>
          </w:p>
        </w:tc>
        <w:tc>
          <w:tcPr>
            <w:tcW w:w="576" w:type="pct"/>
          </w:tcPr>
          <w:p w14:paraId="29266471" w14:textId="77777777" w:rsidR="009E390A" w:rsidRPr="00B907B6" w:rsidRDefault="009E390A" w:rsidP="004C79C1">
            <w:pPr>
              <w:pStyle w:val="Tabletext1"/>
              <w:spacing w:before="0" w:after="120"/>
              <w:jc w:val="right"/>
              <w:rPr>
                <w:bCs/>
                <w:color w:val="000000"/>
              </w:rPr>
            </w:pPr>
            <w:r w:rsidRPr="00B907B6">
              <w:t>3,395</w:t>
            </w:r>
          </w:p>
        </w:tc>
        <w:tc>
          <w:tcPr>
            <w:tcW w:w="576" w:type="pct"/>
          </w:tcPr>
          <w:p w14:paraId="40E81087" w14:textId="77777777" w:rsidR="009E390A" w:rsidRPr="00B907B6" w:rsidRDefault="009E390A" w:rsidP="004C79C1">
            <w:pPr>
              <w:pStyle w:val="Tabletext1"/>
              <w:spacing w:before="0" w:after="120"/>
              <w:jc w:val="right"/>
              <w:rPr>
                <w:bCs/>
                <w:color w:val="000000"/>
              </w:rPr>
            </w:pPr>
            <w:r w:rsidRPr="00B907B6">
              <w:t>3,451</w:t>
            </w:r>
          </w:p>
        </w:tc>
        <w:tc>
          <w:tcPr>
            <w:tcW w:w="576" w:type="pct"/>
          </w:tcPr>
          <w:p w14:paraId="21CEDDD7" w14:textId="77777777" w:rsidR="009E390A" w:rsidRPr="00B907B6" w:rsidRDefault="009E390A" w:rsidP="004C79C1">
            <w:pPr>
              <w:pStyle w:val="Tabletext1"/>
              <w:spacing w:before="0" w:after="120"/>
              <w:jc w:val="right"/>
              <w:rPr>
                <w:bCs/>
                <w:color w:val="000000"/>
              </w:rPr>
            </w:pPr>
            <w:r w:rsidRPr="00B907B6">
              <w:t>3,507</w:t>
            </w:r>
          </w:p>
        </w:tc>
        <w:tc>
          <w:tcPr>
            <w:tcW w:w="576" w:type="pct"/>
          </w:tcPr>
          <w:p w14:paraId="18214FEF" w14:textId="77777777" w:rsidR="009E390A" w:rsidRPr="00B907B6" w:rsidRDefault="009E390A" w:rsidP="004C79C1">
            <w:pPr>
              <w:pStyle w:val="Tabletext1"/>
              <w:spacing w:before="0" w:after="120"/>
              <w:jc w:val="right"/>
              <w:rPr>
                <w:bCs/>
                <w:color w:val="000000"/>
              </w:rPr>
            </w:pPr>
            <w:r w:rsidRPr="00B907B6">
              <w:t>3,562</w:t>
            </w:r>
          </w:p>
        </w:tc>
      </w:tr>
      <w:tr w:rsidR="009E390A" w:rsidRPr="002F3FDD" w14:paraId="1CD19C3B" w14:textId="77777777" w:rsidTr="00E61D17">
        <w:tc>
          <w:tcPr>
            <w:tcW w:w="2120" w:type="pct"/>
          </w:tcPr>
          <w:p w14:paraId="2A48D0F5" w14:textId="0FBA20E3" w:rsidR="009E390A" w:rsidRDefault="009E390A" w:rsidP="004C79C1">
            <w:pPr>
              <w:pStyle w:val="Tabletext1"/>
              <w:spacing w:before="0" w:after="120"/>
            </w:pPr>
            <w:r>
              <w:t>Population</w:t>
            </w:r>
            <w:r w:rsidR="00FD638B">
              <w:t>s</w:t>
            </w:r>
            <w:r>
              <w:t xml:space="preserve"> iii and iv: expected uptake</w:t>
            </w:r>
          </w:p>
        </w:tc>
        <w:tc>
          <w:tcPr>
            <w:tcW w:w="576" w:type="pct"/>
          </w:tcPr>
          <w:p w14:paraId="46850485" w14:textId="77777777" w:rsidR="009E390A" w:rsidRPr="002F3FDD" w:rsidRDefault="009E390A" w:rsidP="004C79C1">
            <w:pPr>
              <w:pStyle w:val="Tabletext1"/>
              <w:spacing w:before="0" w:after="120"/>
              <w:jc w:val="right"/>
            </w:pPr>
            <w:r w:rsidRPr="0017502F">
              <w:t>108</w:t>
            </w:r>
          </w:p>
        </w:tc>
        <w:tc>
          <w:tcPr>
            <w:tcW w:w="576" w:type="pct"/>
          </w:tcPr>
          <w:p w14:paraId="780B4106" w14:textId="77777777" w:rsidR="009E390A" w:rsidRPr="002F3FDD" w:rsidRDefault="009E390A" w:rsidP="004C79C1">
            <w:pPr>
              <w:pStyle w:val="Tabletext1"/>
              <w:spacing w:before="0" w:after="120"/>
              <w:jc w:val="right"/>
            </w:pPr>
            <w:r w:rsidRPr="0017502F">
              <w:t>109</w:t>
            </w:r>
          </w:p>
        </w:tc>
        <w:tc>
          <w:tcPr>
            <w:tcW w:w="576" w:type="pct"/>
          </w:tcPr>
          <w:p w14:paraId="62CA73CC" w14:textId="77777777" w:rsidR="009E390A" w:rsidRPr="002F3FDD" w:rsidRDefault="009E390A" w:rsidP="004C79C1">
            <w:pPr>
              <w:pStyle w:val="Tabletext1"/>
              <w:spacing w:before="0" w:after="120"/>
              <w:jc w:val="right"/>
            </w:pPr>
            <w:r w:rsidRPr="0017502F">
              <w:t>111</w:t>
            </w:r>
          </w:p>
        </w:tc>
        <w:tc>
          <w:tcPr>
            <w:tcW w:w="576" w:type="pct"/>
          </w:tcPr>
          <w:p w14:paraId="0BC93340" w14:textId="77777777" w:rsidR="009E390A" w:rsidRPr="002F3FDD" w:rsidRDefault="009E390A" w:rsidP="004C79C1">
            <w:pPr>
              <w:pStyle w:val="Tabletext1"/>
              <w:spacing w:before="0" w:after="120"/>
              <w:jc w:val="right"/>
            </w:pPr>
            <w:r w:rsidRPr="0017502F">
              <w:t>113</w:t>
            </w:r>
          </w:p>
        </w:tc>
        <w:tc>
          <w:tcPr>
            <w:tcW w:w="576" w:type="pct"/>
          </w:tcPr>
          <w:p w14:paraId="40BFE56F" w14:textId="77777777" w:rsidR="009E390A" w:rsidRPr="002F3FDD" w:rsidRDefault="009E390A" w:rsidP="004C79C1">
            <w:pPr>
              <w:pStyle w:val="Tabletext1"/>
              <w:spacing w:before="0" w:after="120"/>
              <w:jc w:val="right"/>
            </w:pPr>
            <w:r w:rsidRPr="0017502F">
              <w:t>115</w:t>
            </w:r>
          </w:p>
        </w:tc>
      </w:tr>
      <w:tr w:rsidR="009E390A" w:rsidRPr="0050571A" w14:paraId="6B9BB9AC" w14:textId="77777777" w:rsidTr="00E61D17">
        <w:tc>
          <w:tcPr>
            <w:tcW w:w="2120" w:type="pct"/>
          </w:tcPr>
          <w:p w14:paraId="30635329" w14:textId="77777777" w:rsidR="009E390A" w:rsidRPr="0050571A" w:rsidRDefault="009E390A" w:rsidP="004C79C1">
            <w:pPr>
              <w:spacing w:after="120" w:line="240" w:lineRule="auto"/>
              <w:rPr>
                <w:rFonts w:ascii="Arial Narrow" w:hAnsi="Arial Narrow"/>
                <w:b/>
                <w:sz w:val="20"/>
                <w:szCs w:val="20"/>
              </w:rPr>
            </w:pPr>
            <w:r w:rsidRPr="0050571A">
              <w:rPr>
                <w:rFonts w:ascii="Arial Narrow" w:hAnsi="Arial Narrow"/>
                <w:b/>
                <w:sz w:val="20"/>
                <w:szCs w:val="20"/>
                <w:lang w:eastAsia="en-US"/>
              </w:rPr>
              <w:t xml:space="preserve">Total projected number of CMR tests for DCM </w:t>
            </w:r>
          </w:p>
        </w:tc>
        <w:tc>
          <w:tcPr>
            <w:tcW w:w="576" w:type="pct"/>
            <w:vAlign w:val="center"/>
          </w:tcPr>
          <w:p w14:paraId="6D7A098F"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4,086</w:t>
            </w:r>
          </w:p>
        </w:tc>
        <w:tc>
          <w:tcPr>
            <w:tcW w:w="576" w:type="pct"/>
            <w:vAlign w:val="center"/>
          </w:tcPr>
          <w:p w14:paraId="7DCD9F98"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4,155</w:t>
            </w:r>
          </w:p>
        </w:tc>
        <w:tc>
          <w:tcPr>
            <w:tcW w:w="576" w:type="pct"/>
            <w:vAlign w:val="center"/>
          </w:tcPr>
          <w:p w14:paraId="547072BE"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4,224</w:t>
            </w:r>
          </w:p>
        </w:tc>
        <w:tc>
          <w:tcPr>
            <w:tcW w:w="576" w:type="pct"/>
            <w:vAlign w:val="center"/>
          </w:tcPr>
          <w:p w14:paraId="78EECBD8"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4,292</w:t>
            </w:r>
          </w:p>
        </w:tc>
        <w:tc>
          <w:tcPr>
            <w:tcW w:w="576" w:type="pct"/>
            <w:vAlign w:val="center"/>
          </w:tcPr>
          <w:p w14:paraId="7C0F2217"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4,360</w:t>
            </w:r>
          </w:p>
        </w:tc>
      </w:tr>
      <w:tr w:rsidR="009E390A" w:rsidRPr="0050571A" w14:paraId="5064E093" w14:textId="77777777" w:rsidTr="00E61D17">
        <w:tc>
          <w:tcPr>
            <w:tcW w:w="2120" w:type="pct"/>
          </w:tcPr>
          <w:p w14:paraId="502EFC49" w14:textId="0113C1F1" w:rsidR="009E390A" w:rsidRPr="0050571A" w:rsidRDefault="009E390A" w:rsidP="004C79C1">
            <w:pPr>
              <w:spacing w:after="120" w:line="240" w:lineRule="auto"/>
              <w:rPr>
                <w:rFonts w:ascii="Arial Narrow" w:hAnsi="Arial Narrow"/>
                <w:sz w:val="20"/>
                <w:szCs w:val="20"/>
              </w:rPr>
            </w:pPr>
            <w:r w:rsidRPr="0050571A">
              <w:rPr>
                <w:rFonts w:ascii="Arial Narrow" w:hAnsi="Arial Narrow"/>
                <w:sz w:val="20"/>
                <w:szCs w:val="20"/>
                <w:lang w:eastAsia="en-US"/>
              </w:rPr>
              <w:t>Cost of CMR and associated items to the MBS</w:t>
            </w:r>
            <w:r w:rsidR="00F72F9B">
              <w:rPr>
                <w:rFonts w:ascii="Arial Narrow" w:hAnsi="Arial Narrow"/>
                <w:sz w:val="20"/>
                <w:szCs w:val="20"/>
                <w:lang w:eastAsia="en-US"/>
              </w:rPr>
              <w:t xml:space="preserve"> </w:t>
            </w:r>
            <w:r w:rsidRPr="00F85666">
              <w:rPr>
                <w:rFonts w:ascii="Arial Narrow" w:hAnsi="Arial Narrow"/>
                <w:sz w:val="20"/>
                <w:szCs w:val="20"/>
                <w:vertAlign w:val="superscript"/>
                <w:lang w:eastAsia="en-US"/>
              </w:rPr>
              <w:t>a</w:t>
            </w:r>
            <w:r w:rsidRPr="0050571A">
              <w:rPr>
                <w:rFonts w:ascii="Arial Narrow" w:hAnsi="Arial Narrow"/>
                <w:sz w:val="20"/>
                <w:szCs w:val="20"/>
                <w:lang w:eastAsia="en-US"/>
              </w:rPr>
              <w:t xml:space="preserve"> </w:t>
            </w:r>
          </w:p>
        </w:tc>
        <w:tc>
          <w:tcPr>
            <w:tcW w:w="576" w:type="pct"/>
            <w:vAlign w:val="bottom"/>
          </w:tcPr>
          <w:p w14:paraId="35915FA7"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$3,125,411</w:t>
            </w:r>
          </w:p>
        </w:tc>
        <w:tc>
          <w:tcPr>
            <w:tcW w:w="576" w:type="pct"/>
            <w:vAlign w:val="bottom"/>
          </w:tcPr>
          <w:p w14:paraId="250F490F"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$3,178,692</w:t>
            </w:r>
          </w:p>
        </w:tc>
        <w:tc>
          <w:tcPr>
            <w:tcW w:w="576" w:type="pct"/>
            <w:vAlign w:val="bottom"/>
          </w:tcPr>
          <w:p w14:paraId="5672918D"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$3,231,539</w:t>
            </w:r>
          </w:p>
        </w:tc>
        <w:tc>
          <w:tcPr>
            <w:tcW w:w="576" w:type="pct"/>
            <w:vAlign w:val="bottom"/>
          </w:tcPr>
          <w:p w14:paraId="0446A48B"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$3,283,585</w:t>
            </w:r>
          </w:p>
        </w:tc>
        <w:tc>
          <w:tcPr>
            <w:tcW w:w="576" w:type="pct"/>
            <w:vAlign w:val="bottom"/>
          </w:tcPr>
          <w:p w14:paraId="25232591"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$3,335,423</w:t>
            </w:r>
          </w:p>
        </w:tc>
      </w:tr>
      <w:tr w:rsidR="009E390A" w:rsidRPr="0050571A" w14:paraId="77C03A03" w14:textId="77777777" w:rsidTr="00E61D17">
        <w:tc>
          <w:tcPr>
            <w:tcW w:w="2120" w:type="pct"/>
          </w:tcPr>
          <w:p w14:paraId="49084A62" w14:textId="6E03EED9" w:rsidR="009E390A" w:rsidRPr="0050571A" w:rsidRDefault="009E390A" w:rsidP="004C79C1">
            <w:pPr>
              <w:spacing w:after="120" w:line="240" w:lineRule="auto"/>
              <w:rPr>
                <w:rFonts w:ascii="Arial Narrow" w:hAnsi="Arial Narrow"/>
                <w:sz w:val="20"/>
                <w:szCs w:val="20"/>
                <w:vertAlign w:val="superscript"/>
              </w:rPr>
            </w:pPr>
            <w:r w:rsidRPr="0050571A">
              <w:rPr>
                <w:rFonts w:ascii="Arial Narrow" w:hAnsi="Arial Narrow"/>
                <w:sz w:val="20"/>
                <w:szCs w:val="20"/>
                <w:lang w:eastAsia="en-US"/>
              </w:rPr>
              <w:t>Cost of CMR and associated items to patients</w:t>
            </w:r>
            <w:r w:rsidR="00F72F9B">
              <w:rPr>
                <w:rFonts w:ascii="Arial Narrow" w:hAnsi="Arial Narrow"/>
                <w:sz w:val="20"/>
                <w:szCs w:val="20"/>
                <w:lang w:eastAsia="en-US"/>
              </w:rPr>
              <w:t xml:space="preserve"> </w:t>
            </w:r>
            <w:r w:rsidRPr="00F85666">
              <w:rPr>
                <w:rFonts w:ascii="Arial Narrow" w:hAnsi="Arial Narrow"/>
                <w:sz w:val="20"/>
                <w:szCs w:val="20"/>
                <w:vertAlign w:val="superscript"/>
                <w:lang w:eastAsia="en-US"/>
              </w:rPr>
              <w:t>b</w:t>
            </w:r>
          </w:p>
        </w:tc>
        <w:tc>
          <w:tcPr>
            <w:tcW w:w="576" w:type="pct"/>
            <w:vAlign w:val="bottom"/>
          </w:tcPr>
          <w:p w14:paraId="5E1A696A"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$299,310</w:t>
            </w:r>
          </w:p>
        </w:tc>
        <w:tc>
          <w:tcPr>
            <w:tcW w:w="576" w:type="pct"/>
            <w:vAlign w:val="bottom"/>
          </w:tcPr>
          <w:p w14:paraId="364B0337"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$304,412</w:t>
            </w:r>
          </w:p>
        </w:tc>
        <w:tc>
          <w:tcPr>
            <w:tcW w:w="576" w:type="pct"/>
            <w:vAlign w:val="bottom"/>
          </w:tcPr>
          <w:p w14:paraId="76C72A8C"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$309,473</w:t>
            </w:r>
          </w:p>
        </w:tc>
        <w:tc>
          <w:tcPr>
            <w:tcW w:w="576" w:type="pct"/>
            <w:vAlign w:val="bottom"/>
          </w:tcPr>
          <w:p w14:paraId="51B82755"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$314,458</w:t>
            </w:r>
          </w:p>
        </w:tc>
        <w:tc>
          <w:tcPr>
            <w:tcW w:w="576" w:type="pct"/>
            <w:vAlign w:val="bottom"/>
          </w:tcPr>
          <w:p w14:paraId="20C9C611" w14:textId="77777777" w:rsidR="009E390A" w:rsidRPr="0050571A" w:rsidRDefault="009E390A" w:rsidP="004C79C1">
            <w:pPr>
              <w:spacing w:after="120" w:line="240" w:lineRule="auto"/>
              <w:jc w:val="right"/>
              <w:rPr>
                <w:rFonts w:ascii="Arial Narrow" w:hAnsi="Arial Narrow"/>
                <w:sz w:val="20"/>
                <w:szCs w:val="20"/>
              </w:rPr>
            </w:pPr>
            <w:r w:rsidRPr="0050571A">
              <w:rPr>
                <w:rFonts w:ascii="Arial Narrow" w:hAnsi="Arial Narrow"/>
                <w:bCs/>
                <w:color w:val="000000"/>
                <w:sz w:val="20"/>
                <w:szCs w:val="20"/>
              </w:rPr>
              <w:t>$319,422</w:t>
            </w:r>
          </w:p>
        </w:tc>
      </w:tr>
      <w:tr w:rsidR="009E390A" w:rsidRPr="0050571A" w14:paraId="36CB2C66" w14:textId="77777777" w:rsidTr="00E61D17">
        <w:tc>
          <w:tcPr>
            <w:tcW w:w="2120" w:type="pct"/>
          </w:tcPr>
          <w:p w14:paraId="247E7C01" w14:textId="77777777" w:rsidR="009E390A" w:rsidRPr="0050571A" w:rsidRDefault="009E390A" w:rsidP="004C79C1">
            <w:pPr>
              <w:spacing w:after="120" w:line="240" w:lineRule="auto"/>
              <w:rPr>
                <w:rFonts w:ascii="Arial Narrow" w:hAnsi="Arial Narrow"/>
                <w:sz w:val="20"/>
                <w:szCs w:val="20"/>
              </w:rPr>
            </w:pPr>
            <w:r w:rsidRPr="0050571A">
              <w:rPr>
                <w:rFonts w:ascii="Arial Narrow" w:hAnsi="Arial Narrow"/>
                <w:b/>
                <w:sz w:val="20"/>
                <w:szCs w:val="20"/>
                <w:lang w:eastAsia="en-US"/>
              </w:rPr>
              <w:t>Total cost of CMR</w:t>
            </w:r>
          </w:p>
        </w:tc>
        <w:tc>
          <w:tcPr>
            <w:tcW w:w="576" w:type="pct"/>
            <w:vAlign w:val="bottom"/>
          </w:tcPr>
          <w:p w14:paraId="2367F008"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$3,424,721</w:t>
            </w:r>
          </w:p>
        </w:tc>
        <w:tc>
          <w:tcPr>
            <w:tcW w:w="576" w:type="pct"/>
            <w:vAlign w:val="bottom"/>
          </w:tcPr>
          <w:p w14:paraId="65702930"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$3,483,104</w:t>
            </w:r>
          </w:p>
        </w:tc>
        <w:tc>
          <w:tcPr>
            <w:tcW w:w="576" w:type="pct"/>
            <w:vAlign w:val="bottom"/>
          </w:tcPr>
          <w:p w14:paraId="1AE8FED1"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$3,541,012</w:t>
            </w:r>
          </w:p>
        </w:tc>
        <w:tc>
          <w:tcPr>
            <w:tcW w:w="576" w:type="pct"/>
            <w:vAlign w:val="bottom"/>
          </w:tcPr>
          <w:p w14:paraId="77844C5F"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$3,598,043</w:t>
            </w:r>
          </w:p>
        </w:tc>
        <w:tc>
          <w:tcPr>
            <w:tcW w:w="576" w:type="pct"/>
            <w:vAlign w:val="bottom"/>
          </w:tcPr>
          <w:p w14:paraId="2972DE69" w14:textId="77777777" w:rsidR="009E390A" w:rsidRPr="0050571A" w:rsidRDefault="009E390A" w:rsidP="004C79C1">
            <w:pPr>
              <w:spacing w:after="120" w:line="240" w:lineRule="auto"/>
              <w:jc w:val="right"/>
              <w:rPr>
                <w:rFonts w:ascii="Arial Narrow" w:hAnsi="Arial Narrow"/>
                <w:b/>
                <w:sz w:val="20"/>
                <w:szCs w:val="20"/>
              </w:rPr>
            </w:pPr>
            <w:r w:rsidRPr="0050571A">
              <w:rPr>
                <w:rFonts w:ascii="Arial Narrow" w:hAnsi="Arial Narrow"/>
                <w:b/>
                <w:bCs/>
                <w:color w:val="000000"/>
                <w:sz w:val="20"/>
                <w:szCs w:val="20"/>
              </w:rPr>
              <w:t>$3,654,845</w:t>
            </w:r>
          </w:p>
        </w:tc>
      </w:tr>
    </w:tbl>
    <w:p w14:paraId="68EFE263" w14:textId="2FEA704D" w:rsidR="008448CD" w:rsidRPr="00F72F9B" w:rsidRDefault="008448CD" w:rsidP="004C79C1">
      <w:pPr>
        <w:widowControl w:val="0"/>
        <w:spacing w:after="120" w:line="240" w:lineRule="auto"/>
        <w:jc w:val="both"/>
        <w:rPr>
          <w:rFonts w:ascii="Arial Narrow" w:hAnsi="Arial Narrow"/>
          <w:sz w:val="20"/>
          <w:szCs w:val="20"/>
          <w:lang w:eastAsia="en-US"/>
        </w:rPr>
      </w:pPr>
      <w:proofErr w:type="gramStart"/>
      <w:r w:rsidRPr="00F72F9B">
        <w:rPr>
          <w:rFonts w:ascii="Arial Narrow" w:hAnsi="Arial Narrow"/>
          <w:sz w:val="20"/>
          <w:szCs w:val="20"/>
          <w:vertAlign w:val="superscript"/>
          <w:lang w:eastAsia="en-US"/>
        </w:rPr>
        <w:t>a</w:t>
      </w:r>
      <w:proofErr w:type="gramEnd"/>
      <w:r w:rsidRPr="00F72F9B">
        <w:rPr>
          <w:rFonts w:ascii="Arial Narrow" w:hAnsi="Arial Narrow"/>
          <w:sz w:val="20"/>
          <w:szCs w:val="20"/>
          <w:lang w:eastAsia="en-US"/>
        </w:rPr>
        <w:t xml:space="preserve"> $765 per service </w:t>
      </w:r>
    </w:p>
    <w:p w14:paraId="55CCD7E4" w14:textId="77777777" w:rsidR="008448CD" w:rsidRPr="00692935" w:rsidRDefault="008448CD" w:rsidP="004C79C1">
      <w:pPr>
        <w:widowControl w:val="0"/>
        <w:spacing w:after="120" w:line="240" w:lineRule="auto"/>
        <w:jc w:val="both"/>
        <w:rPr>
          <w:rFonts w:ascii="Arial Narrow" w:hAnsi="Arial Narrow" w:cs="Arial"/>
          <w:snapToGrid w:val="0"/>
          <w:sz w:val="20"/>
          <w:szCs w:val="20"/>
          <w:lang w:eastAsia="en-US"/>
        </w:rPr>
      </w:pPr>
      <w:proofErr w:type="gramStart"/>
      <w:r w:rsidRPr="00F72F9B">
        <w:rPr>
          <w:rFonts w:ascii="Arial Narrow" w:hAnsi="Arial Narrow"/>
          <w:sz w:val="20"/>
          <w:szCs w:val="20"/>
          <w:vertAlign w:val="superscript"/>
          <w:lang w:eastAsia="en-US"/>
        </w:rPr>
        <w:t>b</w:t>
      </w:r>
      <w:proofErr w:type="gramEnd"/>
      <w:r w:rsidRPr="00F72F9B">
        <w:rPr>
          <w:rFonts w:ascii="Arial Narrow" w:hAnsi="Arial Narrow"/>
          <w:sz w:val="20"/>
          <w:szCs w:val="20"/>
          <w:vertAlign w:val="superscript"/>
          <w:lang w:eastAsia="en-US"/>
        </w:rPr>
        <w:t xml:space="preserve"> </w:t>
      </w:r>
      <w:r w:rsidRPr="00F72F9B">
        <w:rPr>
          <w:rFonts w:ascii="Arial Narrow" w:hAnsi="Arial Narrow"/>
          <w:sz w:val="20"/>
          <w:szCs w:val="20"/>
          <w:lang w:eastAsia="en-US"/>
        </w:rPr>
        <w:t>$73.26 per service</w:t>
      </w:r>
    </w:p>
    <w:p w14:paraId="2B731F1F" w14:textId="4FE3123D" w:rsidR="009E390A" w:rsidRPr="00692935" w:rsidRDefault="009E390A" w:rsidP="004C79C1">
      <w:pPr>
        <w:widowControl w:val="0"/>
        <w:spacing w:after="120" w:line="240" w:lineRule="auto"/>
        <w:contextualSpacing/>
        <w:jc w:val="both"/>
        <w:rPr>
          <w:rFonts w:ascii="Arial Narrow" w:hAnsi="Arial Narrow" w:cs="Arial"/>
          <w:snapToGrid w:val="0"/>
          <w:sz w:val="20"/>
          <w:szCs w:val="20"/>
          <w:lang w:eastAsia="en-US"/>
        </w:rPr>
      </w:pPr>
      <w:r w:rsidRPr="00692935">
        <w:rPr>
          <w:rFonts w:ascii="Arial Narrow" w:hAnsi="Arial Narrow" w:cs="Arial"/>
          <w:snapToGrid w:val="0"/>
          <w:sz w:val="20"/>
          <w:szCs w:val="20"/>
          <w:lang w:eastAsia="en-US"/>
        </w:rPr>
        <w:t xml:space="preserve">CMR = cardiac magnetic resonance </w:t>
      </w:r>
      <w:r w:rsidR="00011A48">
        <w:rPr>
          <w:rFonts w:ascii="Arial Narrow" w:hAnsi="Arial Narrow" w:cs="Arial"/>
          <w:snapToGrid w:val="0"/>
          <w:sz w:val="20"/>
          <w:szCs w:val="20"/>
          <w:lang w:eastAsia="en-US"/>
        </w:rPr>
        <w:t>(</w:t>
      </w:r>
      <w:r w:rsidRPr="00692935">
        <w:rPr>
          <w:rFonts w:ascii="Arial Narrow" w:hAnsi="Arial Narrow" w:cs="Arial"/>
          <w:snapToGrid w:val="0"/>
          <w:sz w:val="20"/>
          <w:szCs w:val="20"/>
          <w:lang w:eastAsia="en-US"/>
        </w:rPr>
        <w:t>imaging</w:t>
      </w:r>
      <w:r w:rsidR="00011A48">
        <w:rPr>
          <w:rFonts w:ascii="Arial Narrow" w:hAnsi="Arial Narrow" w:cs="Arial"/>
          <w:snapToGrid w:val="0"/>
          <w:sz w:val="20"/>
          <w:szCs w:val="20"/>
          <w:lang w:eastAsia="en-US"/>
        </w:rPr>
        <w:t>)</w:t>
      </w:r>
      <w:r w:rsidRPr="00692935">
        <w:rPr>
          <w:rFonts w:ascii="Arial Narrow" w:hAnsi="Arial Narrow" w:cs="Arial"/>
          <w:snapToGrid w:val="0"/>
          <w:sz w:val="20"/>
          <w:szCs w:val="20"/>
          <w:lang w:eastAsia="en-US"/>
        </w:rPr>
        <w:t>; DCM = dilated cardiomyopathy; MBS = Medicare Benefits Schedule</w:t>
      </w:r>
    </w:p>
    <w:p w14:paraId="7A7DA879" w14:textId="0128FB7D" w:rsidR="009E390A" w:rsidRDefault="009E390A" w:rsidP="004C79C1">
      <w:pPr>
        <w:widowControl w:val="0"/>
        <w:spacing w:after="120" w:line="240" w:lineRule="auto"/>
        <w:contextualSpacing/>
        <w:jc w:val="both"/>
        <w:rPr>
          <w:rFonts w:ascii="Arial Narrow" w:hAnsi="Arial Narrow" w:cs="Arial"/>
          <w:snapToGrid w:val="0"/>
          <w:sz w:val="20"/>
          <w:szCs w:val="20"/>
          <w:lang w:eastAsia="en-US"/>
        </w:rPr>
      </w:pPr>
      <w:r w:rsidRPr="00692935">
        <w:rPr>
          <w:rFonts w:ascii="Arial Narrow" w:hAnsi="Arial Narrow" w:cs="Arial"/>
          <w:snapToGrid w:val="0"/>
          <w:sz w:val="20"/>
          <w:szCs w:val="20"/>
          <w:lang w:eastAsia="en-US"/>
        </w:rPr>
        <w:t xml:space="preserve">Population i: symptomatic patients with indeterminate echocardiogram results; </w:t>
      </w:r>
      <w:r w:rsidR="00CB3D93">
        <w:rPr>
          <w:rFonts w:ascii="Arial Narrow" w:hAnsi="Arial Narrow" w:cs="Arial"/>
          <w:snapToGrid w:val="0"/>
          <w:sz w:val="20"/>
          <w:szCs w:val="20"/>
          <w:lang w:eastAsia="en-US"/>
        </w:rPr>
        <w:t>p</w:t>
      </w:r>
      <w:r w:rsidRPr="00692935">
        <w:rPr>
          <w:rFonts w:ascii="Arial Narrow" w:hAnsi="Arial Narrow" w:cs="Arial"/>
          <w:snapToGrid w:val="0"/>
          <w:sz w:val="20"/>
          <w:szCs w:val="20"/>
          <w:lang w:eastAsia="en-US"/>
        </w:rPr>
        <w:t xml:space="preserve">opulation ii: patients requiring further diagnostic clarification of DCM; </w:t>
      </w:r>
      <w:proofErr w:type="gramStart"/>
      <w:r w:rsidR="00CB3D93">
        <w:rPr>
          <w:rFonts w:ascii="Arial Narrow" w:hAnsi="Arial Narrow" w:cs="Arial"/>
          <w:snapToGrid w:val="0"/>
          <w:sz w:val="20"/>
          <w:szCs w:val="20"/>
          <w:lang w:eastAsia="en-US"/>
        </w:rPr>
        <w:t>p</w:t>
      </w:r>
      <w:r w:rsidRPr="00692935">
        <w:rPr>
          <w:rFonts w:ascii="Arial Narrow" w:hAnsi="Arial Narrow" w:cs="Arial"/>
          <w:snapToGrid w:val="0"/>
          <w:sz w:val="20"/>
          <w:szCs w:val="20"/>
          <w:lang w:eastAsia="en-US"/>
        </w:rPr>
        <w:t>opulation</w:t>
      </w:r>
      <w:r w:rsidR="00862CF1">
        <w:rPr>
          <w:rFonts w:ascii="Arial Narrow" w:hAnsi="Arial Narrow" w:cs="Arial"/>
          <w:snapToGrid w:val="0"/>
          <w:sz w:val="20"/>
          <w:szCs w:val="20"/>
          <w:lang w:eastAsia="en-US"/>
        </w:rPr>
        <w:t>s</w:t>
      </w:r>
      <w:proofErr w:type="gramEnd"/>
      <w:r w:rsidRPr="00692935">
        <w:rPr>
          <w:rFonts w:ascii="Arial Narrow" w:hAnsi="Arial Narrow" w:cs="Arial"/>
          <w:snapToGrid w:val="0"/>
          <w:sz w:val="20"/>
          <w:szCs w:val="20"/>
          <w:lang w:eastAsia="en-US"/>
        </w:rPr>
        <w:t xml:space="preserve"> iii and iv: familial cases eligible for CMR</w:t>
      </w:r>
    </w:p>
    <w:p w14:paraId="53433320" w14:textId="77777777" w:rsidR="008448CD" w:rsidRPr="00692935" w:rsidRDefault="008448CD" w:rsidP="004C79C1">
      <w:pPr>
        <w:widowControl w:val="0"/>
        <w:spacing w:after="120" w:line="240" w:lineRule="auto"/>
        <w:contextualSpacing/>
        <w:jc w:val="both"/>
        <w:rPr>
          <w:rFonts w:ascii="Arial Narrow" w:hAnsi="Arial Narrow" w:cs="Arial"/>
          <w:snapToGrid w:val="0"/>
          <w:sz w:val="20"/>
          <w:szCs w:val="20"/>
          <w:lang w:eastAsia="en-US"/>
        </w:rPr>
      </w:pPr>
    </w:p>
    <w:p w14:paraId="5C33AEAE" w14:textId="0EA11E97" w:rsidR="009E390A" w:rsidRPr="00C47E57" w:rsidRDefault="009E390A" w:rsidP="004C79C1">
      <w:pPr>
        <w:shd w:val="clear" w:color="auto" w:fill="FFFFFF" w:themeFill="background1"/>
        <w:spacing w:after="120" w:line="240" w:lineRule="auto"/>
        <w:jc w:val="both"/>
      </w:pPr>
      <w:r w:rsidRPr="00C47E57">
        <w:t>Calculation of cost offsets is complex given the range of comparators across the different populations</w:t>
      </w:r>
      <w:r>
        <w:t xml:space="preserve"> for this assessment of CMR</w:t>
      </w:r>
      <w:r w:rsidRPr="00C47E57">
        <w:t>. Overall</w:t>
      </w:r>
      <w:r w:rsidR="00862CF1">
        <w:t>,</w:t>
      </w:r>
      <w:r w:rsidRPr="00C47E57">
        <w:t xml:space="preserve"> some cost offset is assumed for approximately 84% of CMRs (i.e. CMR is anticipated to replace an alternative test), based on assumptions around existing and anticipated clinical management within the population subgroups and estimated test uptake</w:t>
      </w:r>
      <w:r>
        <w:t xml:space="preserve"> rates within the populations. </w:t>
      </w:r>
      <w:r w:rsidRPr="00C47E57">
        <w:t>The offsets are apportioned across</w:t>
      </w:r>
      <w:r w:rsidR="00862CF1">
        <w:t>:</w:t>
      </w:r>
      <w:r w:rsidRPr="00C47E57">
        <w:t xml:space="preserve"> GHPS (15%), c</w:t>
      </w:r>
      <w:r w:rsidR="00692935">
        <w:t xml:space="preserve">ontrast </w:t>
      </w:r>
      <w:r w:rsidR="00692935" w:rsidRPr="007D05E9">
        <w:t>echocardiography</w:t>
      </w:r>
      <w:r w:rsidR="00692935" w:rsidRPr="00C47E57">
        <w:t xml:space="preserve"> </w:t>
      </w:r>
      <w:r w:rsidRPr="00C47E57">
        <w:t xml:space="preserve">(3.8%), ICA (43%), CTCA (28%), stress </w:t>
      </w:r>
      <w:r w:rsidR="00692935" w:rsidRPr="007D05E9">
        <w:t>echocardiography</w:t>
      </w:r>
      <w:r w:rsidR="00692935" w:rsidRPr="00C47E57">
        <w:t xml:space="preserve"> </w:t>
      </w:r>
      <w:r w:rsidRPr="00C47E57">
        <w:t xml:space="preserve">(5.5%) and SPECT (4.1%), based on existing market share estimates. The net financial impact to the MBS, patient and other health budgets is then calculated. The net impact on the MBS budget is presented in </w:t>
      </w:r>
      <w:r w:rsidR="004F632C">
        <w:fldChar w:fldCharType="begin"/>
      </w:r>
      <w:r w:rsidR="004F632C">
        <w:instrText xml:space="preserve"> REF _Ref451245886 \h </w:instrText>
      </w:r>
      <w:r w:rsidR="004F632C">
        <w:fldChar w:fldCharType="separate"/>
      </w:r>
      <w:r w:rsidR="004F632C">
        <w:t xml:space="preserve">Table </w:t>
      </w:r>
      <w:r w:rsidR="004F632C">
        <w:rPr>
          <w:noProof/>
        </w:rPr>
        <w:t>4</w:t>
      </w:r>
      <w:r w:rsidR="004F632C">
        <w:fldChar w:fldCharType="end"/>
      </w:r>
      <w:r w:rsidRPr="00C47E57">
        <w:t>.</w:t>
      </w:r>
    </w:p>
    <w:p w14:paraId="2C6D47E9" w14:textId="4C2FA150" w:rsidR="00E011C7" w:rsidRDefault="00E011C7" w:rsidP="004C79C1">
      <w:pPr>
        <w:pStyle w:val="Caption"/>
        <w:keepNext/>
      </w:pPr>
      <w:bookmarkStart w:id="110" w:name="_Ref451245886"/>
      <w:bookmarkStart w:id="111" w:name="_Toc451435331"/>
      <w:r>
        <w:t xml:space="preserve">Table </w:t>
      </w:r>
      <w:fldSimple w:instr=" SEQ Table \* ARABIC ">
        <w:r w:rsidR="0068316B">
          <w:rPr>
            <w:noProof/>
          </w:rPr>
          <w:t>4</w:t>
        </w:r>
      </w:fldSimple>
      <w:bookmarkEnd w:id="110"/>
      <w:r>
        <w:tab/>
      </w:r>
      <w:r w:rsidRPr="001D7F7A">
        <w:t>Total costs to the MBS associated with CMR for suspected DCM</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otal costs to the MBS associated with CMR for suspected DCM"/>
      </w:tblPr>
      <w:tblGrid>
        <w:gridCol w:w="2900"/>
        <w:gridCol w:w="1268"/>
        <w:gridCol w:w="1268"/>
        <w:gridCol w:w="1268"/>
        <w:gridCol w:w="1268"/>
        <w:gridCol w:w="1270"/>
      </w:tblGrid>
      <w:tr w:rsidR="009E390A" w:rsidRPr="00C47E57" w14:paraId="61E0677E" w14:textId="77777777" w:rsidTr="00E61D17">
        <w:trPr>
          <w:trHeight w:val="300"/>
          <w:tblHeader/>
        </w:trPr>
        <w:tc>
          <w:tcPr>
            <w:tcW w:w="1569" w:type="pct"/>
            <w:tcBorders>
              <w:bottom w:val="single" w:sz="4" w:space="0" w:color="auto"/>
            </w:tcBorders>
            <w:shd w:val="clear" w:color="auto" w:fill="auto"/>
            <w:vAlign w:val="center"/>
          </w:tcPr>
          <w:p w14:paraId="1F7883BB" w14:textId="77777777" w:rsidR="009E390A" w:rsidRPr="00C47E57" w:rsidRDefault="009E390A" w:rsidP="004C79C1">
            <w:pPr>
              <w:keepNext/>
              <w:shd w:val="clear" w:color="auto" w:fill="FFFFFF" w:themeFill="background1"/>
              <w:spacing w:after="120" w:line="240" w:lineRule="auto"/>
              <w:rPr>
                <w:rFonts w:ascii="Arial Narrow" w:hAnsi="Arial Narrow"/>
                <w:b/>
                <w:sz w:val="20"/>
                <w:szCs w:val="20"/>
              </w:rPr>
            </w:pPr>
          </w:p>
        </w:tc>
        <w:tc>
          <w:tcPr>
            <w:tcW w:w="686" w:type="pct"/>
            <w:tcBorders>
              <w:bottom w:val="single" w:sz="4" w:space="0" w:color="auto"/>
            </w:tcBorders>
          </w:tcPr>
          <w:p w14:paraId="6D625D12" w14:textId="1089285A" w:rsidR="009E390A" w:rsidRPr="00C47E57" w:rsidRDefault="009E390A" w:rsidP="004C79C1">
            <w:pPr>
              <w:keepNext/>
              <w:shd w:val="clear" w:color="auto" w:fill="FFFFFF" w:themeFill="background1"/>
              <w:spacing w:after="120" w:line="240" w:lineRule="auto"/>
              <w:jc w:val="center"/>
              <w:rPr>
                <w:rFonts w:ascii="Arial Narrow" w:hAnsi="Arial Narrow"/>
                <w:b/>
                <w:sz w:val="20"/>
                <w:szCs w:val="20"/>
              </w:rPr>
            </w:pPr>
            <w:r w:rsidRPr="00C47E57">
              <w:rPr>
                <w:rFonts w:ascii="Arial Narrow" w:hAnsi="Arial Narrow"/>
                <w:b/>
                <w:sz w:val="20"/>
                <w:szCs w:val="20"/>
              </w:rPr>
              <w:t>2016</w:t>
            </w:r>
            <w:r w:rsidR="00C2213F">
              <w:rPr>
                <w:rFonts w:ascii="Arial Narrow" w:hAnsi="Arial Narrow"/>
                <w:b/>
                <w:sz w:val="20"/>
                <w:szCs w:val="20"/>
              </w:rPr>
              <w:t>–</w:t>
            </w:r>
            <w:r w:rsidRPr="00C47E57">
              <w:rPr>
                <w:rFonts w:ascii="Arial Narrow" w:hAnsi="Arial Narrow"/>
                <w:b/>
                <w:sz w:val="20"/>
                <w:szCs w:val="20"/>
              </w:rPr>
              <w:t>17</w:t>
            </w:r>
          </w:p>
        </w:tc>
        <w:tc>
          <w:tcPr>
            <w:tcW w:w="686" w:type="pct"/>
            <w:tcBorders>
              <w:bottom w:val="single" w:sz="4" w:space="0" w:color="auto"/>
            </w:tcBorders>
            <w:shd w:val="clear" w:color="auto" w:fill="auto"/>
          </w:tcPr>
          <w:p w14:paraId="719967F5" w14:textId="78DDB16D" w:rsidR="009E390A" w:rsidRPr="00C47E57" w:rsidRDefault="009E390A" w:rsidP="004C79C1">
            <w:pPr>
              <w:keepNext/>
              <w:shd w:val="clear" w:color="auto" w:fill="FFFFFF" w:themeFill="background1"/>
              <w:spacing w:after="120" w:line="240" w:lineRule="auto"/>
              <w:jc w:val="center"/>
              <w:rPr>
                <w:rFonts w:ascii="Arial Narrow" w:hAnsi="Arial Narrow"/>
                <w:b/>
                <w:sz w:val="20"/>
                <w:szCs w:val="20"/>
              </w:rPr>
            </w:pPr>
            <w:r w:rsidRPr="00C47E57">
              <w:rPr>
                <w:rFonts w:ascii="Arial Narrow" w:hAnsi="Arial Narrow"/>
                <w:b/>
                <w:sz w:val="20"/>
                <w:szCs w:val="20"/>
              </w:rPr>
              <w:t>2017</w:t>
            </w:r>
            <w:r w:rsidR="00C2213F">
              <w:rPr>
                <w:rFonts w:ascii="Arial Narrow" w:hAnsi="Arial Narrow"/>
                <w:b/>
                <w:sz w:val="20"/>
                <w:szCs w:val="20"/>
              </w:rPr>
              <w:t>–</w:t>
            </w:r>
            <w:r w:rsidRPr="00C47E57">
              <w:rPr>
                <w:rFonts w:ascii="Arial Narrow" w:hAnsi="Arial Narrow"/>
                <w:b/>
                <w:sz w:val="20"/>
                <w:szCs w:val="20"/>
              </w:rPr>
              <w:t>18</w:t>
            </w:r>
          </w:p>
        </w:tc>
        <w:tc>
          <w:tcPr>
            <w:tcW w:w="686" w:type="pct"/>
            <w:tcBorders>
              <w:bottom w:val="single" w:sz="4" w:space="0" w:color="auto"/>
            </w:tcBorders>
            <w:shd w:val="clear" w:color="auto" w:fill="auto"/>
          </w:tcPr>
          <w:p w14:paraId="25361BEA" w14:textId="6BECA44C" w:rsidR="009E390A" w:rsidRPr="00C47E57" w:rsidRDefault="009E390A" w:rsidP="004C79C1">
            <w:pPr>
              <w:keepNext/>
              <w:shd w:val="clear" w:color="auto" w:fill="FFFFFF" w:themeFill="background1"/>
              <w:spacing w:after="120" w:line="240" w:lineRule="auto"/>
              <w:jc w:val="center"/>
              <w:rPr>
                <w:rFonts w:ascii="Arial Narrow" w:hAnsi="Arial Narrow"/>
                <w:b/>
                <w:sz w:val="20"/>
                <w:szCs w:val="20"/>
              </w:rPr>
            </w:pPr>
            <w:r w:rsidRPr="00C47E57">
              <w:rPr>
                <w:rFonts w:ascii="Arial Narrow" w:hAnsi="Arial Narrow"/>
                <w:b/>
                <w:sz w:val="20"/>
                <w:szCs w:val="20"/>
              </w:rPr>
              <w:t>2018</w:t>
            </w:r>
            <w:r w:rsidR="00C2213F">
              <w:rPr>
                <w:rFonts w:ascii="Arial Narrow" w:hAnsi="Arial Narrow"/>
                <w:b/>
                <w:sz w:val="20"/>
                <w:szCs w:val="20"/>
              </w:rPr>
              <w:t>–</w:t>
            </w:r>
            <w:r w:rsidRPr="00C47E57">
              <w:rPr>
                <w:rFonts w:ascii="Arial Narrow" w:hAnsi="Arial Narrow"/>
                <w:b/>
                <w:sz w:val="20"/>
                <w:szCs w:val="20"/>
              </w:rPr>
              <w:t>19</w:t>
            </w:r>
          </w:p>
        </w:tc>
        <w:tc>
          <w:tcPr>
            <w:tcW w:w="686" w:type="pct"/>
            <w:tcBorders>
              <w:bottom w:val="single" w:sz="4" w:space="0" w:color="auto"/>
            </w:tcBorders>
            <w:shd w:val="clear" w:color="auto" w:fill="auto"/>
          </w:tcPr>
          <w:p w14:paraId="27D9A7DE" w14:textId="7067E1A1" w:rsidR="009E390A" w:rsidRPr="00C47E57" w:rsidRDefault="009E390A" w:rsidP="004C79C1">
            <w:pPr>
              <w:keepNext/>
              <w:shd w:val="clear" w:color="auto" w:fill="FFFFFF" w:themeFill="background1"/>
              <w:spacing w:after="120" w:line="240" w:lineRule="auto"/>
              <w:jc w:val="center"/>
              <w:rPr>
                <w:rFonts w:ascii="Arial Narrow" w:hAnsi="Arial Narrow"/>
                <w:b/>
                <w:sz w:val="20"/>
                <w:szCs w:val="20"/>
              </w:rPr>
            </w:pPr>
            <w:r w:rsidRPr="00C47E57">
              <w:rPr>
                <w:rFonts w:ascii="Arial Narrow" w:hAnsi="Arial Narrow"/>
                <w:b/>
                <w:sz w:val="20"/>
                <w:szCs w:val="20"/>
              </w:rPr>
              <w:t>2019</w:t>
            </w:r>
            <w:r w:rsidR="00C2213F">
              <w:rPr>
                <w:rFonts w:ascii="Arial Narrow" w:hAnsi="Arial Narrow"/>
                <w:b/>
                <w:sz w:val="20"/>
                <w:szCs w:val="20"/>
              </w:rPr>
              <w:t>–</w:t>
            </w:r>
            <w:r w:rsidRPr="00C47E57">
              <w:rPr>
                <w:rFonts w:ascii="Arial Narrow" w:hAnsi="Arial Narrow"/>
                <w:b/>
                <w:sz w:val="20"/>
                <w:szCs w:val="20"/>
              </w:rPr>
              <w:t>20</w:t>
            </w:r>
          </w:p>
        </w:tc>
        <w:tc>
          <w:tcPr>
            <w:tcW w:w="687" w:type="pct"/>
            <w:tcBorders>
              <w:bottom w:val="single" w:sz="4" w:space="0" w:color="auto"/>
            </w:tcBorders>
            <w:shd w:val="clear" w:color="auto" w:fill="auto"/>
          </w:tcPr>
          <w:p w14:paraId="6409AA8A" w14:textId="5C47DE97" w:rsidR="009E390A" w:rsidRPr="00C47E57" w:rsidRDefault="009E390A" w:rsidP="004C79C1">
            <w:pPr>
              <w:keepNext/>
              <w:shd w:val="clear" w:color="auto" w:fill="FFFFFF" w:themeFill="background1"/>
              <w:spacing w:after="120" w:line="240" w:lineRule="auto"/>
              <w:jc w:val="center"/>
              <w:rPr>
                <w:rFonts w:ascii="Arial Narrow" w:hAnsi="Arial Narrow"/>
                <w:b/>
                <w:sz w:val="20"/>
                <w:szCs w:val="20"/>
              </w:rPr>
            </w:pPr>
            <w:r w:rsidRPr="00C47E57">
              <w:rPr>
                <w:rFonts w:ascii="Arial Narrow" w:hAnsi="Arial Narrow"/>
                <w:b/>
                <w:sz w:val="20"/>
                <w:szCs w:val="20"/>
              </w:rPr>
              <w:t>2020</w:t>
            </w:r>
            <w:r w:rsidR="00C2213F">
              <w:rPr>
                <w:rFonts w:ascii="Arial Narrow" w:hAnsi="Arial Narrow"/>
                <w:b/>
                <w:sz w:val="20"/>
                <w:szCs w:val="20"/>
              </w:rPr>
              <w:t>–</w:t>
            </w:r>
            <w:r w:rsidRPr="00C47E57">
              <w:rPr>
                <w:rFonts w:ascii="Arial Narrow" w:hAnsi="Arial Narrow"/>
                <w:b/>
                <w:sz w:val="20"/>
                <w:szCs w:val="20"/>
              </w:rPr>
              <w:t>21</w:t>
            </w:r>
          </w:p>
        </w:tc>
      </w:tr>
      <w:tr w:rsidR="009E390A" w:rsidRPr="00C47E57" w14:paraId="026B10E8" w14:textId="77777777" w:rsidTr="00E61D17">
        <w:trPr>
          <w:trHeight w:val="300"/>
        </w:trPr>
        <w:tc>
          <w:tcPr>
            <w:tcW w:w="1569" w:type="pct"/>
            <w:shd w:val="clear" w:color="auto" w:fill="auto"/>
          </w:tcPr>
          <w:p w14:paraId="78EF342C" w14:textId="77777777" w:rsidR="009E390A" w:rsidRPr="00C47E57" w:rsidRDefault="009E390A" w:rsidP="004C79C1">
            <w:pPr>
              <w:shd w:val="clear" w:color="auto" w:fill="FFFFFF" w:themeFill="background1"/>
              <w:spacing w:after="120" w:line="240" w:lineRule="auto"/>
              <w:rPr>
                <w:rFonts w:ascii="Arial Narrow" w:hAnsi="Arial Narrow"/>
                <w:sz w:val="20"/>
                <w:szCs w:val="20"/>
              </w:rPr>
            </w:pPr>
            <w:r w:rsidRPr="00C47E57">
              <w:rPr>
                <w:rFonts w:ascii="Arial Narrow" w:hAnsi="Arial Narrow"/>
                <w:sz w:val="20"/>
                <w:szCs w:val="20"/>
              </w:rPr>
              <w:t>Number of proposed CMR services</w:t>
            </w:r>
          </w:p>
        </w:tc>
        <w:tc>
          <w:tcPr>
            <w:tcW w:w="686" w:type="pct"/>
            <w:vAlign w:val="bottom"/>
          </w:tcPr>
          <w:p w14:paraId="0BB16F4D"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4,086</w:t>
            </w:r>
          </w:p>
        </w:tc>
        <w:tc>
          <w:tcPr>
            <w:tcW w:w="686" w:type="pct"/>
            <w:shd w:val="clear" w:color="auto" w:fill="auto"/>
            <w:vAlign w:val="bottom"/>
          </w:tcPr>
          <w:p w14:paraId="3107A56E"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4,155</w:t>
            </w:r>
          </w:p>
        </w:tc>
        <w:tc>
          <w:tcPr>
            <w:tcW w:w="686" w:type="pct"/>
            <w:shd w:val="clear" w:color="auto" w:fill="auto"/>
            <w:vAlign w:val="bottom"/>
          </w:tcPr>
          <w:p w14:paraId="0D62393E"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4,224</w:t>
            </w:r>
          </w:p>
        </w:tc>
        <w:tc>
          <w:tcPr>
            <w:tcW w:w="686" w:type="pct"/>
            <w:shd w:val="clear" w:color="auto" w:fill="auto"/>
            <w:vAlign w:val="bottom"/>
          </w:tcPr>
          <w:p w14:paraId="0C3AAF8E"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4,292</w:t>
            </w:r>
          </w:p>
        </w:tc>
        <w:tc>
          <w:tcPr>
            <w:tcW w:w="687" w:type="pct"/>
            <w:shd w:val="clear" w:color="auto" w:fill="auto"/>
            <w:vAlign w:val="bottom"/>
          </w:tcPr>
          <w:p w14:paraId="426D9E9F"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4,360</w:t>
            </w:r>
          </w:p>
        </w:tc>
      </w:tr>
      <w:tr w:rsidR="009E390A" w:rsidRPr="00C47E57" w14:paraId="5002F7BD" w14:textId="77777777" w:rsidTr="00E61D17">
        <w:trPr>
          <w:trHeight w:val="315"/>
        </w:trPr>
        <w:tc>
          <w:tcPr>
            <w:tcW w:w="1569" w:type="pct"/>
            <w:tcBorders>
              <w:bottom w:val="single" w:sz="4" w:space="0" w:color="auto"/>
            </w:tcBorders>
            <w:shd w:val="clear" w:color="auto" w:fill="auto"/>
          </w:tcPr>
          <w:p w14:paraId="60745145" w14:textId="77777777" w:rsidR="009E390A" w:rsidRPr="00C47E57" w:rsidRDefault="009E390A" w:rsidP="004C79C1">
            <w:pPr>
              <w:shd w:val="clear" w:color="auto" w:fill="FFFFFF" w:themeFill="background1"/>
              <w:spacing w:after="120" w:line="240" w:lineRule="auto"/>
              <w:rPr>
                <w:rFonts w:ascii="Arial Narrow" w:hAnsi="Arial Narrow"/>
                <w:sz w:val="20"/>
                <w:szCs w:val="20"/>
              </w:rPr>
            </w:pPr>
            <w:r w:rsidRPr="00C47E57">
              <w:rPr>
                <w:rFonts w:ascii="Arial Narrow" w:hAnsi="Arial Narrow"/>
                <w:sz w:val="20"/>
                <w:szCs w:val="20"/>
              </w:rPr>
              <w:t>CMR cost to the MBS</w:t>
            </w:r>
          </w:p>
        </w:tc>
        <w:tc>
          <w:tcPr>
            <w:tcW w:w="686" w:type="pct"/>
            <w:tcBorders>
              <w:bottom w:val="single" w:sz="4" w:space="0" w:color="auto"/>
            </w:tcBorders>
            <w:vAlign w:val="bottom"/>
          </w:tcPr>
          <w:p w14:paraId="695EBEB9"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$3,125,411</w:t>
            </w:r>
          </w:p>
        </w:tc>
        <w:tc>
          <w:tcPr>
            <w:tcW w:w="686" w:type="pct"/>
            <w:tcBorders>
              <w:bottom w:val="single" w:sz="4" w:space="0" w:color="auto"/>
            </w:tcBorders>
            <w:shd w:val="clear" w:color="auto" w:fill="auto"/>
            <w:vAlign w:val="bottom"/>
          </w:tcPr>
          <w:p w14:paraId="72C7BD4F"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$3,178,692</w:t>
            </w:r>
          </w:p>
        </w:tc>
        <w:tc>
          <w:tcPr>
            <w:tcW w:w="686" w:type="pct"/>
            <w:tcBorders>
              <w:bottom w:val="single" w:sz="4" w:space="0" w:color="auto"/>
            </w:tcBorders>
            <w:shd w:val="clear" w:color="auto" w:fill="auto"/>
            <w:vAlign w:val="bottom"/>
          </w:tcPr>
          <w:p w14:paraId="73B6746F"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$3,231,539</w:t>
            </w:r>
          </w:p>
        </w:tc>
        <w:tc>
          <w:tcPr>
            <w:tcW w:w="686" w:type="pct"/>
            <w:tcBorders>
              <w:bottom w:val="single" w:sz="4" w:space="0" w:color="auto"/>
            </w:tcBorders>
            <w:shd w:val="clear" w:color="auto" w:fill="auto"/>
            <w:vAlign w:val="bottom"/>
          </w:tcPr>
          <w:p w14:paraId="399DC687"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$3,283,585</w:t>
            </w:r>
          </w:p>
        </w:tc>
        <w:tc>
          <w:tcPr>
            <w:tcW w:w="687" w:type="pct"/>
            <w:tcBorders>
              <w:bottom w:val="single" w:sz="4" w:space="0" w:color="auto"/>
            </w:tcBorders>
            <w:shd w:val="clear" w:color="auto" w:fill="auto"/>
            <w:vAlign w:val="bottom"/>
          </w:tcPr>
          <w:p w14:paraId="74D5FAC9" w14:textId="77777777" w:rsidR="009E390A" w:rsidRPr="00C47E57" w:rsidRDefault="009E390A" w:rsidP="004C79C1">
            <w:pPr>
              <w:shd w:val="clear" w:color="auto" w:fill="FFFFFF" w:themeFill="background1"/>
              <w:spacing w:after="120" w:line="240" w:lineRule="auto"/>
              <w:jc w:val="right"/>
              <w:rPr>
                <w:rFonts w:ascii="Arial Narrow" w:hAnsi="Arial Narrow"/>
                <w:sz w:val="20"/>
                <w:szCs w:val="20"/>
              </w:rPr>
            </w:pPr>
            <w:r w:rsidRPr="00C47E57">
              <w:rPr>
                <w:rFonts w:ascii="Arial Narrow" w:hAnsi="Arial Narrow"/>
                <w:color w:val="000000"/>
                <w:sz w:val="20"/>
                <w:szCs w:val="20"/>
              </w:rPr>
              <w:t>$3,335,423</w:t>
            </w:r>
          </w:p>
        </w:tc>
      </w:tr>
      <w:tr w:rsidR="009E390A" w:rsidRPr="00C47E57" w14:paraId="089BD2B4" w14:textId="77777777" w:rsidTr="00E61D17">
        <w:trPr>
          <w:trHeight w:val="300"/>
        </w:trPr>
        <w:tc>
          <w:tcPr>
            <w:tcW w:w="1569" w:type="pct"/>
            <w:shd w:val="clear" w:color="auto" w:fill="auto"/>
          </w:tcPr>
          <w:p w14:paraId="1CE6FE48" w14:textId="77777777" w:rsidR="009E390A" w:rsidRPr="00C47E57" w:rsidRDefault="009E390A" w:rsidP="004C79C1">
            <w:pPr>
              <w:shd w:val="clear" w:color="auto" w:fill="FFFFFF" w:themeFill="background1"/>
              <w:spacing w:after="120" w:line="240" w:lineRule="auto"/>
              <w:rPr>
                <w:rFonts w:ascii="Arial Narrow" w:hAnsi="Arial Narrow"/>
                <w:sz w:val="20"/>
                <w:szCs w:val="20"/>
              </w:rPr>
            </w:pPr>
            <w:r w:rsidRPr="00C47E57">
              <w:rPr>
                <w:rFonts w:ascii="Arial Narrow" w:hAnsi="Arial Narrow"/>
                <w:sz w:val="20"/>
                <w:szCs w:val="20"/>
              </w:rPr>
              <w:t xml:space="preserve">Number of services offset </w:t>
            </w:r>
          </w:p>
        </w:tc>
        <w:tc>
          <w:tcPr>
            <w:tcW w:w="686" w:type="pct"/>
            <w:vAlign w:val="bottom"/>
          </w:tcPr>
          <w:p w14:paraId="64B5C3DB"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color w:val="000000"/>
                <w:sz w:val="20"/>
                <w:szCs w:val="20"/>
              </w:rPr>
              <w:t>3,413</w:t>
            </w:r>
          </w:p>
        </w:tc>
        <w:tc>
          <w:tcPr>
            <w:tcW w:w="686" w:type="pct"/>
            <w:shd w:val="clear" w:color="auto" w:fill="auto"/>
            <w:vAlign w:val="bottom"/>
          </w:tcPr>
          <w:p w14:paraId="2C278F23"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color w:val="000000"/>
                <w:sz w:val="20"/>
                <w:szCs w:val="20"/>
              </w:rPr>
              <w:t>3,472</w:t>
            </w:r>
          </w:p>
        </w:tc>
        <w:tc>
          <w:tcPr>
            <w:tcW w:w="686" w:type="pct"/>
            <w:shd w:val="clear" w:color="auto" w:fill="auto"/>
            <w:vAlign w:val="bottom"/>
          </w:tcPr>
          <w:p w14:paraId="04AAFEBF"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color w:val="000000"/>
                <w:sz w:val="20"/>
                <w:szCs w:val="20"/>
              </w:rPr>
              <w:t>3,529</w:t>
            </w:r>
          </w:p>
        </w:tc>
        <w:tc>
          <w:tcPr>
            <w:tcW w:w="686" w:type="pct"/>
            <w:shd w:val="clear" w:color="auto" w:fill="auto"/>
            <w:vAlign w:val="bottom"/>
          </w:tcPr>
          <w:p w14:paraId="2EFB8E60"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color w:val="000000"/>
                <w:sz w:val="20"/>
                <w:szCs w:val="20"/>
              </w:rPr>
              <w:t>3,586</w:t>
            </w:r>
          </w:p>
        </w:tc>
        <w:tc>
          <w:tcPr>
            <w:tcW w:w="687" w:type="pct"/>
            <w:shd w:val="clear" w:color="auto" w:fill="auto"/>
            <w:vAlign w:val="bottom"/>
          </w:tcPr>
          <w:p w14:paraId="0391BA11"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color w:val="000000"/>
                <w:sz w:val="20"/>
                <w:szCs w:val="20"/>
              </w:rPr>
              <w:t>3,643</w:t>
            </w:r>
          </w:p>
        </w:tc>
      </w:tr>
      <w:tr w:rsidR="009E390A" w:rsidRPr="00C47E57" w14:paraId="51C65E07" w14:textId="77777777" w:rsidTr="00E61D17">
        <w:trPr>
          <w:trHeight w:val="300"/>
        </w:trPr>
        <w:tc>
          <w:tcPr>
            <w:tcW w:w="1569" w:type="pct"/>
            <w:tcBorders>
              <w:bottom w:val="single" w:sz="4" w:space="0" w:color="auto"/>
            </w:tcBorders>
            <w:shd w:val="clear" w:color="auto" w:fill="auto"/>
          </w:tcPr>
          <w:p w14:paraId="5CEF0387" w14:textId="77777777" w:rsidR="009E390A" w:rsidRPr="00C47E57" w:rsidRDefault="009E390A" w:rsidP="004C79C1">
            <w:pPr>
              <w:shd w:val="clear" w:color="auto" w:fill="FFFFFF" w:themeFill="background1"/>
              <w:spacing w:after="120" w:line="240" w:lineRule="auto"/>
              <w:rPr>
                <w:rFonts w:ascii="Arial Narrow" w:hAnsi="Arial Narrow"/>
                <w:sz w:val="20"/>
                <w:szCs w:val="20"/>
              </w:rPr>
            </w:pPr>
            <w:r w:rsidRPr="00C47E57">
              <w:rPr>
                <w:rFonts w:ascii="Arial Narrow" w:hAnsi="Arial Narrow"/>
                <w:sz w:val="20"/>
                <w:szCs w:val="20"/>
              </w:rPr>
              <w:t>Costs offset</w:t>
            </w:r>
          </w:p>
        </w:tc>
        <w:tc>
          <w:tcPr>
            <w:tcW w:w="686" w:type="pct"/>
            <w:tcBorders>
              <w:bottom w:val="single" w:sz="4" w:space="0" w:color="auto"/>
            </w:tcBorders>
          </w:tcPr>
          <w:p w14:paraId="58673E77"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$1,573,853</w:t>
            </w:r>
          </w:p>
        </w:tc>
        <w:tc>
          <w:tcPr>
            <w:tcW w:w="686" w:type="pct"/>
            <w:tcBorders>
              <w:bottom w:val="single" w:sz="4" w:space="0" w:color="auto"/>
            </w:tcBorders>
            <w:shd w:val="clear" w:color="auto" w:fill="auto"/>
          </w:tcPr>
          <w:p w14:paraId="0BD42EB4"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$1,600,683</w:t>
            </w:r>
          </w:p>
        </w:tc>
        <w:tc>
          <w:tcPr>
            <w:tcW w:w="686" w:type="pct"/>
            <w:tcBorders>
              <w:bottom w:val="single" w:sz="4" w:space="0" w:color="auto"/>
            </w:tcBorders>
            <w:shd w:val="clear" w:color="auto" w:fill="auto"/>
          </w:tcPr>
          <w:p w14:paraId="66107034"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$1,627,295</w:t>
            </w:r>
          </w:p>
        </w:tc>
        <w:tc>
          <w:tcPr>
            <w:tcW w:w="686" w:type="pct"/>
            <w:tcBorders>
              <w:bottom w:val="single" w:sz="4" w:space="0" w:color="auto"/>
            </w:tcBorders>
            <w:shd w:val="clear" w:color="auto" w:fill="auto"/>
          </w:tcPr>
          <w:p w14:paraId="1FAD594D"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$1,653,504</w:t>
            </w:r>
          </w:p>
        </w:tc>
        <w:tc>
          <w:tcPr>
            <w:tcW w:w="687" w:type="pct"/>
            <w:tcBorders>
              <w:bottom w:val="single" w:sz="4" w:space="0" w:color="auto"/>
            </w:tcBorders>
            <w:shd w:val="clear" w:color="auto" w:fill="auto"/>
          </w:tcPr>
          <w:p w14:paraId="5847B3B7"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$1,679,608</w:t>
            </w:r>
          </w:p>
        </w:tc>
      </w:tr>
      <w:tr w:rsidR="009E390A" w:rsidRPr="00C47E57" w14:paraId="6EBB54DA" w14:textId="77777777" w:rsidTr="00E61D17">
        <w:trPr>
          <w:trHeight w:val="315"/>
        </w:trPr>
        <w:tc>
          <w:tcPr>
            <w:tcW w:w="1569" w:type="pct"/>
            <w:shd w:val="clear" w:color="auto" w:fill="auto"/>
          </w:tcPr>
          <w:p w14:paraId="4212179F" w14:textId="77777777" w:rsidR="009E390A" w:rsidRPr="00C47E57" w:rsidRDefault="009E390A" w:rsidP="004C79C1">
            <w:pPr>
              <w:shd w:val="clear" w:color="auto" w:fill="FFFFFF" w:themeFill="background1"/>
              <w:spacing w:after="120" w:line="240" w:lineRule="auto"/>
              <w:rPr>
                <w:rFonts w:ascii="Arial Narrow" w:hAnsi="Arial Narrow"/>
                <w:sz w:val="20"/>
                <w:szCs w:val="20"/>
              </w:rPr>
            </w:pPr>
            <w:r w:rsidRPr="00C47E57">
              <w:rPr>
                <w:rFonts w:ascii="Arial Narrow" w:hAnsi="Arial Narrow"/>
                <w:sz w:val="20"/>
                <w:szCs w:val="20"/>
              </w:rPr>
              <w:t>Net cost to the MBS</w:t>
            </w:r>
          </w:p>
        </w:tc>
        <w:tc>
          <w:tcPr>
            <w:tcW w:w="686" w:type="pct"/>
          </w:tcPr>
          <w:p w14:paraId="4B2109E0"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$1,551,558</w:t>
            </w:r>
          </w:p>
        </w:tc>
        <w:tc>
          <w:tcPr>
            <w:tcW w:w="686" w:type="pct"/>
            <w:shd w:val="clear" w:color="auto" w:fill="auto"/>
          </w:tcPr>
          <w:p w14:paraId="4D84AB6B"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$1,578,008</w:t>
            </w:r>
          </w:p>
        </w:tc>
        <w:tc>
          <w:tcPr>
            <w:tcW w:w="686" w:type="pct"/>
            <w:shd w:val="clear" w:color="auto" w:fill="auto"/>
          </w:tcPr>
          <w:p w14:paraId="75B107ED"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$1,604,243</w:t>
            </w:r>
          </w:p>
        </w:tc>
        <w:tc>
          <w:tcPr>
            <w:tcW w:w="686" w:type="pct"/>
            <w:shd w:val="clear" w:color="auto" w:fill="auto"/>
          </w:tcPr>
          <w:p w14:paraId="238A0A0F"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$1,630,081</w:t>
            </w:r>
          </w:p>
        </w:tc>
        <w:tc>
          <w:tcPr>
            <w:tcW w:w="687" w:type="pct"/>
            <w:shd w:val="clear" w:color="auto" w:fill="auto"/>
          </w:tcPr>
          <w:p w14:paraId="01B097C7" w14:textId="77777777" w:rsidR="009E390A" w:rsidRPr="00C47E57" w:rsidRDefault="009E390A" w:rsidP="004C79C1">
            <w:pPr>
              <w:shd w:val="clear" w:color="auto" w:fill="FFFFFF" w:themeFill="background1"/>
              <w:spacing w:after="120" w:line="240" w:lineRule="auto"/>
              <w:jc w:val="right"/>
              <w:rPr>
                <w:rFonts w:ascii="Arial Narrow" w:hAnsi="Arial Narrow"/>
                <w:bCs/>
                <w:color w:val="000000"/>
                <w:sz w:val="20"/>
                <w:szCs w:val="20"/>
              </w:rPr>
            </w:pPr>
            <w:r w:rsidRPr="00C47E57">
              <w:rPr>
                <w:rFonts w:ascii="Arial Narrow" w:hAnsi="Arial Narrow"/>
                <w:sz w:val="20"/>
                <w:szCs w:val="20"/>
              </w:rPr>
              <w:t>$1,655,815</w:t>
            </w:r>
          </w:p>
        </w:tc>
      </w:tr>
    </w:tbl>
    <w:p w14:paraId="23B32BCE" w14:textId="7AC6B205" w:rsidR="009E390A" w:rsidRPr="00692935" w:rsidRDefault="009E390A" w:rsidP="004C79C1">
      <w:pPr>
        <w:widowControl w:val="0"/>
        <w:shd w:val="clear" w:color="auto" w:fill="FFFFFF" w:themeFill="background1"/>
        <w:spacing w:after="120" w:line="240" w:lineRule="auto"/>
        <w:jc w:val="both"/>
        <w:rPr>
          <w:rFonts w:ascii="Arial Narrow" w:hAnsi="Arial Narrow" w:cs="Arial"/>
          <w:snapToGrid w:val="0"/>
          <w:sz w:val="20"/>
          <w:szCs w:val="20"/>
          <w:lang w:eastAsia="en-US"/>
        </w:rPr>
      </w:pPr>
      <w:r w:rsidRPr="00692935">
        <w:rPr>
          <w:rFonts w:ascii="Arial Narrow" w:hAnsi="Arial Narrow" w:cs="Arial"/>
          <w:snapToGrid w:val="0"/>
          <w:sz w:val="20"/>
          <w:szCs w:val="20"/>
          <w:lang w:eastAsia="en-US"/>
        </w:rPr>
        <w:t>CMR</w:t>
      </w:r>
      <w:r w:rsidR="00AF73A2">
        <w:rPr>
          <w:rFonts w:ascii="Arial Narrow" w:hAnsi="Arial Narrow" w:cs="Arial"/>
          <w:snapToGrid w:val="0"/>
          <w:sz w:val="20"/>
          <w:szCs w:val="20"/>
          <w:lang w:eastAsia="en-US"/>
        </w:rPr>
        <w:t xml:space="preserve"> </w:t>
      </w:r>
      <w:r w:rsidRPr="00692935">
        <w:rPr>
          <w:rFonts w:ascii="Arial Narrow" w:hAnsi="Arial Narrow" w:cs="Arial"/>
          <w:snapToGrid w:val="0"/>
          <w:sz w:val="20"/>
          <w:szCs w:val="20"/>
          <w:lang w:eastAsia="en-US"/>
        </w:rPr>
        <w:t>=</w:t>
      </w:r>
      <w:r w:rsidR="00AF73A2">
        <w:rPr>
          <w:rFonts w:ascii="Arial Narrow" w:hAnsi="Arial Narrow" w:cs="Arial"/>
          <w:snapToGrid w:val="0"/>
          <w:sz w:val="20"/>
          <w:szCs w:val="20"/>
          <w:lang w:eastAsia="en-US"/>
        </w:rPr>
        <w:t xml:space="preserve"> </w:t>
      </w:r>
      <w:r w:rsidRPr="00692935">
        <w:rPr>
          <w:rFonts w:ascii="Arial Narrow" w:hAnsi="Arial Narrow" w:cs="Arial"/>
          <w:snapToGrid w:val="0"/>
          <w:sz w:val="20"/>
          <w:szCs w:val="20"/>
          <w:lang w:eastAsia="en-US"/>
        </w:rPr>
        <w:t xml:space="preserve">cardiac magnetic resonance </w:t>
      </w:r>
      <w:r w:rsidR="00011A48">
        <w:rPr>
          <w:rFonts w:ascii="Arial Narrow" w:hAnsi="Arial Narrow" w:cs="Arial"/>
          <w:snapToGrid w:val="0"/>
          <w:sz w:val="20"/>
          <w:szCs w:val="20"/>
          <w:lang w:eastAsia="en-US"/>
        </w:rPr>
        <w:t>(</w:t>
      </w:r>
      <w:r w:rsidRPr="00692935">
        <w:rPr>
          <w:rFonts w:ascii="Arial Narrow" w:hAnsi="Arial Narrow" w:cs="Arial"/>
          <w:snapToGrid w:val="0"/>
          <w:sz w:val="20"/>
          <w:szCs w:val="20"/>
          <w:lang w:eastAsia="en-US"/>
        </w:rPr>
        <w:t>imaging</w:t>
      </w:r>
      <w:r w:rsidR="00011A48">
        <w:rPr>
          <w:rFonts w:ascii="Arial Narrow" w:hAnsi="Arial Narrow" w:cs="Arial"/>
          <w:snapToGrid w:val="0"/>
          <w:sz w:val="20"/>
          <w:szCs w:val="20"/>
          <w:lang w:eastAsia="en-US"/>
        </w:rPr>
        <w:t>)</w:t>
      </w:r>
      <w:r w:rsidRPr="00692935">
        <w:rPr>
          <w:rFonts w:ascii="Arial Narrow" w:hAnsi="Arial Narrow" w:cs="Arial"/>
          <w:snapToGrid w:val="0"/>
          <w:sz w:val="20"/>
          <w:szCs w:val="20"/>
          <w:lang w:eastAsia="en-US"/>
        </w:rPr>
        <w:t>; DCM = dilated cardiomyopathy; MBS = Medicare Benefits Schedule</w:t>
      </w:r>
    </w:p>
    <w:p w14:paraId="2BA44AF0" w14:textId="513ED1AB" w:rsidR="009E390A" w:rsidRPr="00C47E57" w:rsidRDefault="009E390A" w:rsidP="004C79C1">
      <w:pPr>
        <w:shd w:val="clear" w:color="auto" w:fill="FFFFFF" w:themeFill="background1"/>
        <w:spacing w:after="120" w:line="240" w:lineRule="auto"/>
        <w:jc w:val="both"/>
      </w:pPr>
      <w:r w:rsidRPr="00C47E57">
        <w:lastRenderedPageBreak/>
        <w:t>The estimates of net cost are highly uncertain. They are directly sensitive to any changes in the estimate</w:t>
      </w:r>
      <w:r>
        <w:t>s</w:t>
      </w:r>
      <w:r w:rsidRPr="00C47E57">
        <w:t xml:space="preserve"> of the incidence of DCM, and the assumptions associated with estimating cost</w:t>
      </w:r>
      <w:r w:rsidR="00530C20">
        <w:t xml:space="preserve"> </w:t>
      </w:r>
      <w:r w:rsidRPr="00C47E57">
        <w:t xml:space="preserve">offsets. </w:t>
      </w:r>
    </w:p>
    <w:p w14:paraId="58DBAF81" w14:textId="77777777" w:rsidR="009E390A" w:rsidRDefault="009E390A" w:rsidP="00161B88">
      <w:pPr>
        <w:pStyle w:val="Heading3"/>
      </w:pPr>
      <w:bookmarkStart w:id="112" w:name="_Toc451501272"/>
      <w:r>
        <w:t>Consumer Impact Summary</w:t>
      </w:r>
      <w:bookmarkEnd w:id="99"/>
      <w:bookmarkEnd w:id="112"/>
    </w:p>
    <w:p w14:paraId="0E88A1B7" w14:textId="77777777" w:rsidR="00530C20" w:rsidRDefault="009E390A" w:rsidP="004C79C1">
      <w:pPr>
        <w:spacing w:after="120" w:line="240" w:lineRule="auto"/>
        <w:jc w:val="both"/>
      </w:pPr>
      <w:r>
        <w:t xml:space="preserve">The key points raised in the public consultation period were: </w:t>
      </w:r>
    </w:p>
    <w:p w14:paraId="7EE8CB4A" w14:textId="1CA8E4FC" w:rsidR="009E390A" w:rsidRDefault="009E390A" w:rsidP="004C79C1">
      <w:pPr>
        <w:spacing w:after="120" w:line="240" w:lineRule="auto"/>
        <w:jc w:val="both"/>
      </w:pPr>
      <w:r>
        <w:t>(</w:t>
      </w:r>
      <w:r w:rsidR="00530C20">
        <w:t>i</w:t>
      </w:r>
      <w:r>
        <w:t xml:space="preserve">) </w:t>
      </w:r>
      <w:r w:rsidR="00530C20">
        <w:t>P</w:t>
      </w:r>
      <w:r>
        <w:t>atient access to CMR services may be difficult and lead to inequity, even after MBS listing</w:t>
      </w:r>
      <w:r w:rsidR="00530C20">
        <w:t>;</w:t>
      </w:r>
      <w:r>
        <w:t xml:space="preserve"> and (</w:t>
      </w:r>
      <w:r w:rsidR="00530C20">
        <w:t>ii</w:t>
      </w:r>
      <w:r>
        <w:t>) MBS listing will decrease pressure on public hospital CMR services if private providers are able to provide subsidised CMRs.</w:t>
      </w:r>
    </w:p>
    <w:p w14:paraId="43CBD782" w14:textId="77777777" w:rsidR="009E390A" w:rsidRPr="00183E4D" w:rsidRDefault="009E390A" w:rsidP="00161B88">
      <w:pPr>
        <w:pStyle w:val="Heading3"/>
      </w:pPr>
      <w:bookmarkStart w:id="113" w:name="_Toc450051657"/>
      <w:bookmarkStart w:id="114" w:name="_Toc451501273"/>
      <w:r w:rsidRPr="00183E4D">
        <w:t>Other Relevant Considerations</w:t>
      </w:r>
      <w:bookmarkEnd w:id="100"/>
      <w:bookmarkEnd w:id="113"/>
      <w:bookmarkEnd w:id="114"/>
    </w:p>
    <w:p w14:paraId="7E17795A" w14:textId="77777777" w:rsidR="009E390A" w:rsidRDefault="009E390A" w:rsidP="00161B88">
      <w:pPr>
        <w:pStyle w:val="Heading4"/>
      </w:pPr>
      <w:r>
        <w:t>Ethical considerations</w:t>
      </w:r>
    </w:p>
    <w:p w14:paraId="65977DCF" w14:textId="2D5C4574" w:rsidR="009E390A" w:rsidRDefault="009E390A" w:rsidP="004C79C1">
      <w:pPr>
        <w:spacing w:after="120" w:line="240" w:lineRule="auto"/>
        <w:jc w:val="both"/>
      </w:pPr>
      <w:r>
        <w:t xml:space="preserve">One of the ethical issues associated with managing </w:t>
      </w:r>
      <w:r w:rsidR="003E67F7">
        <w:t xml:space="preserve">CMs </w:t>
      </w:r>
      <w:r>
        <w:t>in patients is the dilemma of the timing of ICD deactivation in end-of-life care. Deactivation is important as ICD shock is painful and distressing for the dying patient</w:t>
      </w:r>
      <w:r w:rsidR="003E67F7">
        <w:t>,</w:t>
      </w:r>
      <w:r>
        <w:t xml:space="preserve"> and emotionally distressing for family members. The ability to reduce inappropriate ICD treatment would therefore benefit patients and families more than would be immediately apparent. </w:t>
      </w:r>
    </w:p>
    <w:p w14:paraId="7FC261CF" w14:textId="77777777" w:rsidR="009E390A" w:rsidRDefault="009E390A" w:rsidP="00161B88">
      <w:pPr>
        <w:pStyle w:val="Heading4"/>
      </w:pPr>
      <w:r>
        <w:t>LVEF measurement</w:t>
      </w:r>
    </w:p>
    <w:p w14:paraId="5F2F4CD1" w14:textId="4EFF0B6B" w:rsidR="009E390A" w:rsidRPr="001E04B6" w:rsidRDefault="009E390A" w:rsidP="004C79C1">
      <w:pPr>
        <w:spacing w:after="120" w:line="240" w:lineRule="auto"/>
        <w:jc w:val="both"/>
      </w:pPr>
      <w:r>
        <w:t xml:space="preserve">LVEF is a critical measurement for identification of </w:t>
      </w:r>
      <w:r w:rsidR="003E67F7">
        <w:t xml:space="preserve">a </w:t>
      </w:r>
      <w:r>
        <w:t xml:space="preserve">dilated LV and impaired ventricular function in both the current and proposed clinical pathways for patients presenting with </w:t>
      </w:r>
      <w:r w:rsidR="003E67F7">
        <w:t>HF</w:t>
      </w:r>
      <w:r>
        <w:t xml:space="preserve"> symptoms, and %LVEF informs decision</w:t>
      </w:r>
      <w:r w:rsidR="003E67F7">
        <w:t>-</w:t>
      </w:r>
      <w:r>
        <w:t>making regarding CRT or ICD implantation. Currently</w:t>
      </w:r>
      <w:r w:rsidR="003E67F7">
        <w:t>,</w:t>
      </w:r>
      <w:r>
        <w:t xml:space="preserve"> LVEF assessment is performed using echocardiography. LVEF measurements by echocardiography were compared </w:t>
      </w:r>
      <w:r w:rsidR="00D96BE8">
        <w:t xml:space="preserve">with </w:t>
      </w:r>
      <w:r>
        <w:t>measurements by CMR (k=4). Overall, there was a lower mean LVEF when measured by CMR.</w:t>
      </w:r>
    </w:p>
    <w:bookmarkEnd w:id="38"/>
    <w:bookmarkEnd w:id="39"/>
    <w:p w14:paraId="138D3A96" w14:textId="77777777" w:rsidR="008F59A8" w:rsidRPr="00183E4D" w:rsidRDefault="008F59A8" w:rsidP="004C79C1">
      <w:pPr>
        <w:spacing w:after="120" w:line="240" w:lineRule="auto"/>
        <w:jc w:val="both"/>
      </w:pPr>
    </w:p>
    <w:p w14:paraId="2C0D35C7" w14:textId="77777777" w:rsidR="008F59A8" w:rsidRPr="00183E4D" w:rsidRDefault="008F59A8" w:rsidP="004C79C1">
      <w:pPr>
        <w:spacing w:after="120" w:line="240" w:lineRule="auto"/>
        <w:jc w:val="both"/>
        <w:sectPr w:rsidR="008F59A8" w:rsidRPr="00183E4D" w:rsidSect="002B3E7D">
          <w:headerReference w:type="even" r:id="rId17"/>
          <w:headerReference w:type="default" r:id="rId18"/>
          <w:headerReference w:type="first" r:id="rId19"/>
          <w:type w:val="oddPage"/>
          <w:pgSz w:w="11906" w:h="16838"/>
          <w:pgMar w:top="1440" w:right="1440" w:bottom="1440" w:left="1440" w:header="720" w:footer="720" w:gutter="0"/>
          <w:paperSrc w:first="2" w:other="2"/>
          <w:cols w:space="720"/>
        </w:sectPr>
      </w:pPr>
    </w:p>
    <w:p w14:paraId="11D4F05B" w14:textId="77777777" w:rsidR="00553518" w:rsidRDefault="00D15891" w:rsidP="004C79C1">
      <w:pPr>
        <w:pStyle w:val="Heading1"/>
        <w:spacing w:after="120" w:line="240" w:lineRule="auto"/>
        <w:jc w:val="both"/>
      </w:pPr>
      <w:bookmarkStart w:id="115" w:name="_Toc355274699"/>
      <w:bookmarkStart w:id="116" w:name="_Ref363826811"/>
      <w:bookmarkStart w:id="117" w:name="_Toc379118061"/>
      <w:bookmarkStart w:id="118" w:name="_Toc381796437"/>
      <w:bookmarkStart w:id="119" w:name="_Toc451501274"/>
      <w:bookmarkStart w:id="120" w:name="_Toc451749499"/>
      <w:r>
        <w:lastRenderedPageBreak/>
        <w:t xml:space="preserve">Acronyms </w:t>
      </w:r>
      <w:r w:rsidR="003346E0">
        <w:t>and A</w:t>
      </w:r>
      <w:r w:rsidR="00553518" w:rsidRPr="00183E4D">
        <w:t>bbreviations</w:t>
      </w:r>
      <w:bookmarkEnd w:id="115"/>
      <w:bookmarkEnd w:id="116"/>
      <w:bookmarkEnd w:id="117"/>
      <w:bookmarkEnd w:id="118"/>
      <w:bookmarkEnd w:id="119"/>
      <w:r w:rsidR="00553518" w:rsidRPr="00183E4D">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List of acronyms used in the document"/>
      </w:tblPr>
      <w:tblGrid>
        <w:gridCol w:w="1701"/>
        <w:gridCol w:w="7230"/>
      </w:tblGrid>
      <w:tr w:rsidR="001454DF" w:rsidRPr="00C80E19" w14:paraId="23F12A16" w14:textId="77777777" w:rsidTr="00C80E19">
        <w:trPr>
          <w:tblCellSpacing w:w="15" w:type="dxa"/>
        </w:trPr>
        <w:tc>
          <w:tcPr>
            <w:tcW w:w="1656" w:type="dxa"/>
            <w:vAlign w:val="center"/>
            <w:hideMark/>
          </w:tcPr>
          <w:p w14:paraId="18518202" w14:textId="77777777" w:rsidR="001454DF" w:rsidRPr="00723C22" w:rsidRDefault="001454DF" w:rsidP="004C79C1">
            <w:pPr>
              <w:tabs>
                <w:tab w:val="left" w:pos="2943"/>
              </w:tabs>
              <w:spacing w:after="120" w:line="240" w:lineRule="auto"/>
              <w:ind w:left="142"/>
            </w:pPr>
            <w:r w:rsidRPr="00723C22">
              <w:t>AE</w:t>
            </w:r>
          </w:p>
        </w:tc>
        <w:tc>
          <w:tcPr>
            <w:tcW w:w="7185" w:type="dxa"/>
            <w:vAlign w:val="center"/>
            <w:hideMark/>
          </w:tcPr>
          <w:p w14:paraId="09F55601" w14:textId="5CBB7FC6" w:rsidR="001454DF" w:rsidRPr="00723C22" w:rsidRDefault="000E78A5" w:rsidP="004C79C1">
            <w:pPr>
              <w:tabs>
                <w:tab w:val="left" w:pos="2943"/>
              </w:tabs>
              <w:spacing w:after="120" w:line="240" w:lineRule="auto"/>
              <w:ind w:left="142"/>
              <w:rPr>
                <w:b/>
                <w:lang w:val="en-GB" w:eastAsia="en-US"/>
              </w:rPr>
            </w:pPr>
            <w:r w:rsidRPr="00723C22">
              <w:t>a</w:t>
            </w:r>
            <w:r w:rsidR="001454DF" w:rsidRPr="00723C22">
              <w:t>dverse event</w:t>
            </w:r>
          </w:p>
        </w:tc>
      </w:tr>
      <w:tr w:rsidR="001454DF" w:rsidRPr="00C80E19" w14:paraId="01CDF44A" w14:textId="77777777" w:rsidTr="00C80E19">
        <w:trPr>
          <w:tblCellSpacing w:w="15" w:type="dxa"/>
        </w:trPr>
        <w:tc>
          <w:tcPr>
            <w:tcW w:w="1656" w:type="dxa"/>
            <w:vAlign w:val="center"/>
          </w:tcPr>
          <w:p w14:paraId="75E85549" w14:textId="77777777" w:rsidR="001454DF" w:rsidRPr="00723C22" w:rsidRDefault="001454DF" w:rsidP="004C79C1">
            <w:pPr>
              <w:tabs>
                <w:tab w:val="left" w:pos="2943"/>
              </w:tabs>
              <w:spacing w:after="120" w:line="240" w:lineRule="auto"/>
              <w:ind w:left="142"/>
            </w:pPr>
            <w:r w:rsidRPr="00723C22">
              <w:t>AHTA</w:t>
            </w:r>
          </w:p>
        </w:tc>
        <w:tc>
          <w:tcPr>
            <w:tcW w:w="7185" w:type="dxa"/>
            <w:vAlign w:val="center"/>
          </w:tcPr>
          <w:p w14:paraId="6D1CB80E" w14:textId="77777777" w:rsidR="001454DF" w:rsidRPr="00723C22" w:rsidRDefault="001454DF" w:rsidP="004C79C1">
            <w:pPr>
              <w:tabs>
                <w:tab w:val="left" w:pos="2943"/>
              </w:tabs>
              <w:spacing w:after="120" w:line="240" w:lineRule="auto"/>
              <w:ind w:left="142"/>
            </w:pPr>
            <w:r w:rsidRPr="00723C22">
              <w:t>Adelaide Health Technology Assessment</w:t>
            </w:r>
          </w:p>
        </w:tc>
      </w:tr>
      <w:tr w:rsidR="00841823" w:rsidRPr="00C80E19" w14:paraId="5C1E43D0" w14:textId="77777777" w:rsidTr="00C80E19">
        <w:trPr>
          <w:tblCellSpacing w:w="15" w:type="dxa"/>
        </w:trPr>
        <w:tc>
          <w:tcPr>
            <w:tcW w:w="1656" w:type="dxa"/>
            <w:vAlign w:val="center"/>
          </w:tcPr>
          <w:p w14:paraId="2D69C02F" w14:textId="101C6EC3" w:rsidR="00841823" w:rsidRPr="00124E3B" w:rsidRDefault="00841823" w:rsidP="004C79C1">
            <w:pPr>
              <w:tabs>
                <w:tab w:val="left" w:pos="2943"/>
              </w:tabs>
              <w:spacing w:after="120" w:line="240" w:lineRule="auto"/>
              <w:ind w:left="142"/>
            </w:pPr>
            <w:r w:rsidRPr="00124E3B">
              <w:t>AICD</w:t>
            </w:r>
          </w:p>
        </w:tc>
        <w:tc>
          <w:tcPr>
            <w:tcW w:w="7185" w:type="dxa"/>
            <w:vAlign w:val="center"/>
          </w:tcPr>
          <w:p w14:paraId="4CFE8AC3" w14:textId="008005CC" w:rsidR="00841823" w:rsidRPr="00124E3B" w:rsidRDefault="00C95C11" w:rsidP="004C79C1">
            <w:pPr>
              <w:tabs>
                <w:tab w:val="left" w:pos="2943"/>
              </w:tabs>
              <w:spacing w:after="120" w:line="240" w:lineRule="auto"/>
              <w:ind w:left="142"/>
              <w:rPr>
                <w:rFonts w:asciiTheme="minorHAnsi" w:hAnsiTheme="minorHAnsi"/>
                <w:color w:val="000000"/>
                <w:szCs w:val="24"/>
              </w:rPr>
            </w:pPr>
            <w:r>
              <w:t>automated</w:t>
            </w:r>
            <w:r w:rsidR="00AF5FDA" w:rsidRPr="00141050">
              <w:t xml:space="preserve"> implantable cardioverter</w:t>
            </w:r>
            <w:r w:rsidR="00AF5FDA">
              <w:t xml:space="preserve"> </w:t>
            </w:r>
            <w:r w:rsidR="00841823" w:rsidRPr="00124E3B">
              <w:t>defibrillator</w:t>
            </w:r>
          </w:p>
        </w:tc>
      </w:tr>
      <w:tr w:rsidR="001454DF" w:rsidRPr="00C80E19" w14:paraId="0DE5CB0E" w14:textId="77777777" w:rsidTr="00C80E19">
        <w:trPr>
          <w:tblCellSpacing w:w="15" w:type="dxa"/>
        </w:trPr>
        <w:tc>
          <w:tcPr>
            <w:tcW w:w="1656" w:type="dxa"/>
            <w:vAlign w:val="center"/>
          </w:tcPr>
          <w:p w14:paraId="55217075" w14:textId="77777777" w:rsidR="001454DF" w:rsidRPr="00723C22" w:rsidRDefault="001454DF" w:rsidP="004C79C1">
            <w:pPr>
              <w:tabs>
                <w:tab w:val="left" w:pos="2943"/>
              </w:tabs>
              <w:spacing w:after="120" w:line="240" w:lineRule="auto"/>
              <w:ind w:left="142"/>
            </w:pPr>
            <w:r w:rsidRPr="00723C22">
              <w:t>AIHW</w:t>
            </w:r>
          </w:p>
        </w:tc>
        <w:tc>
          <w:tcPr>
            <w:tcW w:w="7185" w:type="dxa"/>
            <w:vAlign w:val="center"/>
          </w:tcPr>
          <w:p w14:paraId="7EE40D79" w14:textId="77777777" w:rsidR="001454DF" w:rsidRPr="00723C22" w:rsidRDefault="001454DF" w:rsidP="004C79C1">
            <w:pPr>
              <w:tabs>
                <w:tab w:val="left" w:pos="2943"/>
              </w:tabs>
              <w:spacing w:after="120" w:line="240" w:lineRule="auto"/>
              <w:ind w:left="142"/>
            </w:pPr>
            <w:r w:rsidRPr="00723C22">
              <w:rPr>
                <w:rFonts w:asciiTheme="minorHAnsi" w:hAnsiTheme="minorHAnsi"/>
                <w:color w:val="000000"/>
                <w:szCs w:val="24"/>
              </w:rPr>
              <w:t>Australian Institute of Health and Welfare</w:t>
            </w:r>
          </w:p>
        </w:tc>
      </w:tr>
      <w:tr w:rsidR="001454DF" w:rsidRPr="00C80E19" w14:paraId="78962FCE" w14:textId="77777777" w:rsidTr="00C80E19">
        <w:trPr>
          <w:tblCellSpacing w:w="15" w:type="dxa"/>
        </w:trPr>
        <w:tc>
          <w:tcPr>
            <w:tcW w:w="1656" w:type="dxa"/>
            <w:vAlign w:val="center"/>
            <w:hideMark/>
          </w:tcPr>
          <w:p w14:paraId="43AB815F" w14:textId="77777777" w:rsidR="001454DF" w:rsidRPr="00723C22" w:rsidRDefault="001454DF" w:rsidP="004C79C1">
            <w:pPr>
              <w:tabs>
                <w:tab w:val="left" w:pos="2943"/>
              </w:tabs>
              <w:spacing w:after="120" w:line="240" w:lineRule="auto"/>
              <w:ind w:left="142"/>
            </w:pPr>
            <w:r w:rsidRPr="00723C22">
              <w:t>AMI</w:t>
            </w:r>
          </w:p>
        </w:tc>
        <w:tc>
          <w:tcPr>
            <w:tcW w:w="7185" w:type="dxa"/>
            <w:vAlign w:val="center"/>
            <w:hideMark/>
          </w:tcPr>
          <w:p w14:paraId="258EF693" w14:textId="70A1CC8A" w:rsidR="001454DF" w:rsidRPr="00723C22" w:rsidRDefault="000E78A5" w:rsidP="004C79C1">
            <w:pPr>
              <w:tabs>
                <w:tab w:val="left" w:pos="2943"/>
              </w:tabs>
              <w:spacing w:after="120" w:line="240" w:lineRule="auto"/>
              <w:ind w:left="142"/>
              <w:rPr>
                <w:b/>
                <w:lang w:val="en-GB" w:eastAsia="en-US"/>
              </w:rPr>
            </w:pPr>
            <w:r w:rsidRPr="00723C22">
              <w:t>a</w:t>
            </w:r>
            <w:r w:rsidR="001454DF" w:rsidRPr="00723C22">
              <w:t>cute myocardial infarction</w:t>
            </w:r>
          </w:p>
        </w:tc>
      </w:tr>
      <w:tr w:rsidR="001454DF" w:rsidRPr="00C80E19" w14:paraId="3E67D55A" w14:textId="77777777" w:rsidTr="00C80E19">
        <w:trPr>
          <w:tblCellSpacing w:w="15" w:type="dxa"/>
        </w:trPr>
        <w:tc>
          <w:tcPr>
            <w:tcW w:w="1656" w:type="dxa"/>
            <w:vAlign w:val="center"/>
            <w:hideMark/>
          </w:tcPr>
          <w:p w14:paraId="07C2944E" w14:textId="77777777" w:rsidR="001454DF" w:rsidRPr="00723C22" w:rsidRDefault="001454DF" w:rsidP="004C79C1">
            <w:pPr>
              <w:tabs>
                <w:tab w:val="left" w:pos="2943"/>
              </w:tabs>
              <w:spacing w:after="120" w:line="240" w:lineRule="auto"/>
              <w:ind w:left="142"/>
            </w:pPr>
            <w:r w:rsidRPr="00723C22">
              <w:t>ARVC</w:t>
            </w:r>
          </w:p>
        </w:tc>
        <w:tc>
          <w:tcPr>
            <w:tcW w:w="7185" w:type="dxa"/>
            <w:vAlign w:val="center"/>
            <w:hideMark/>
          </w:tcPr>
          <w:p w14:paraId="4EC032C0" w14:textId="0A30BBA7" w:rsidR="001454DF" w:rsidRPr="00723C22" w:rsidRDefault="00942689" w:rsidP="004C79C1">
            <w:pPr>
              <w:tabs>
                <w:tab w:val="left" w:pos="2943"/>
              </w:tabs>
              <w:spacing w:after="120" w:line="240" w:lineRule="auto"/>
              <w:ind w:left="142"/>
              <w:rPr>
                <w:b/>
                <w:lang w:val="en-GB" w:eastAsia="en-US"/>
              </w:rPr>
            </w:pPr>
            <w:r w:rsidRPr="00723C22">
              <w:t>a</w:t>
            </w:r>
            <w:r w:rsidR="001454DF" w:rsidRPr="00723C22">
              <w:t>rrhythmogenic right ventricular cardiomyopathy</w:t>
            </w:r>
          </w:p>
        </w:tc>
      </w:tr>
      <w:tr w:rsidR="009D1872" w:rsidRPr="009D1872" w14:paraId="08418C9E" w14:textId="77777777" w:rsidTr="00C80E19">
        <w:trPr>
          <w:tblCellSpacing w:w="15" w:type="dxa"/>
        </w:trPr>
        <w:tc>
          <w:tcPr>
            <w:tcW w:w="1656" w:type="dxa"/>
            <w:vAlign w:val="center"/>
          </w:tcPr>
          <w:p w14:paraId="0786474C" w14:textId="55BC4BDC" w:rsidR="009D1872" w:rsidRPr="00124E3B" w:rsidRDefault="009D1872" w:rsidP="004C79C1">
            <w:pPr>
              <w:tabs>
                <w:tab w:val="left" w:pos="2943"/>
              </w:tabs>
              <w:spacing w:after="120" w:line="240" w:lineRule="auto"/>
              <w:ind w:left="142"/>
              <w:rPr>
                <w:rFonts w:asciiTheme="minorHAnsi" w:hAnsiTheme="minorHAnsi"/>
              </w:rPr>
            </w:pPr>
            <w:r w:rsidRPr="00124E3B">
              <w:rPr>
                <w:rFonts w:asciiTheme="minorHAnsi" w:hAnsiTheme="minorHAnsi"/>
              </w:rPr>
              <w:t>ATP</w:t>
            </w:r>
          </w:p>
        </w:tc>
        <w:tc>
          <w:tcPr>
            <w:tcW w:w="7185" w:type="dxa"/>
            <w:vAlign w:val="center"/>
          </w:tcPr>
          <w:p w14:paraId="4569D5F2" w14:textId="33B7152F" w:rsidR="009D1872" w:rsidRPr="00124E3B" w:rsidRDefault="009D1872" w:rsidP="004C79C1">
            <w:pPr>
              <w:tabs>
                <w:tab w:val="left" w:pos="2943"/>
              </w:tabs>
              <w:spacing w:after="120" w:line="240" w:lineRule="auto"/>
              <w:ind w:left="142"/>
              <w:rPr>
                <w:rFonts w:asciiTheme="minorHAnsi" w:hAnsiTheme="minorHAnsi"/>
              </w:rPr>
            </w:pPr>
            <w:r w:rsidRPr="00124E3B">
              <w:rPr>
                <w:rFonts w:asciiTheme="minorHAnsi" w:hAnsiTheme="minorHAnsi"/>
                <w:lang w:eastAsia="en-US"/>
              </w:rPr>
              <w:t>anti-tachycardia pacing</w:t>
            </w:r>
          </w:p>
        </w:tc>
      </w:tr>
      <w:tr w:rsidR="00E76990" w:rsidRPr="00C80E19" w14:paraId="27A7FE02" w14:textId="77777777" w:rsidTr="00C80E19">
        <w:trPr>
          <w:tblCellSpacing w:w="15" w:type="dxa"/>
        </w:trPr>
        <w:tc>
          <w:tcPr>
            <w:tcW w:w="1656" w:type="dxa"/>
            <w:vAlign w:val="center"/>
          </w:tcPr>
          <w:p w14:paraId="5169A5A9" w14:textId="72C84932" w:rsidR="00E76990" w:rsidRPr="00124E3B" w:rsidRDefault="00E76990" w:rsidP="004C79C1">
            <w:pPr>
              <w:tabs>
                <w:tab w:val="left" w:pos="2943"/>
              </w:tabs>
              <w:spacing w:after="120" w:line="240" w:lineRule="auto"/>
              <w:ind w:left="142"/>
            </w:pPr>
            <w:r w:rsidRPr="00124E3B">
              <w:t>CA</w:t>
            </w:r>
          </w:p>
        </w:tc>
        <w:tc>
          <w:tcPr>
            <w:tcW w:w="7185" w:type="dxa"/>
            <w:vAlign w:val="center"/>
          </w:tcPr>
          <w:p w14:paraId="5D051949" w14:textId="40F12857" w:rsidR="00E76990" w:rsidRPr="00124E3B" w:rsidRDefault="00E76990" w:rsidP="004C79C1">
            <w:pPr>
              <w:tabs>
                <w:tab w:val="left" w:pos="2943"/>
              </w:tabs>
              <w:spacing w:after="120" w:line="240" w:lineRule="auto"/>
              <w:ind w:left="142"/>
            </w:pPr>
            <w:r w:rsidRPr="00124E3B">
              <w:t>cost analysis</w:t>
            </w:r>
          </w:p>
        </w:tc>
      </w:tr>
      <w:tr w:rsidR="001454DF" w:rsidRPr="00C80E19" w14:paraId="64F45362" w14:textId="77777777" w:rsidTr="00C80E19">
        <w:trPr>
          <w:tblCellSpacing w:w="15" w:type="dxa"/>
        </w:trPr>
        <w:tc>
          <w:tcPr>
            <w:tcW w:w="1656" w:type="dxa"/>
            <w:vAlign w:val="center"/>
            <w:hideMark/>
          </w:tcPr>
          <w:p w14:paraId="3070C339" w14:textId="77777777" w:rsidR="001454DF" w:rsidRPr="00723C22" w:rsidRDefault="001454DF" w:rsidP="004C79C1">
            <w:pPr>
              <w:tabs>
                <w:tab w:val="left" w:pos="2943"/>
              </w:tabs>
              <w:spacing w:after="120" w:line="240" w:lineRule="auto"/>
              <w:ind w:left="142"/>
            </w:pPr>
            <w:r w:rsidRPr="00723C22">
              <w:t>CABG</w:t>
            </w:r>
          </w:p>
        </w:tc>
        <w:tc>
          <w:tcPr>
            <w:tcW w:w="7185" w:type="dxa"/>
            <w:vAlign w:val="center"/>
            <w:hideMark/>
          </w:tcPr>
          <w:p w14:paraId="70FE4044" w14:textId="130096AC" w:rsidR="001454DF" w:rsidRPr="00723C22" w:rsidRDefault="00C4425A" w:rsidP="004C79C1">
            <w:pPr>
              <w:tabs>
                <w:tab w:val="left" w:pos="2943"/>
              </w:tabs>
              <w:spacing w:after="120" w:line="240" w:lineRule="auto"/>
              <w:ind w:left="142"/>
            </w:pPr>
            <w:r w:rsidRPr="00723C22">
              <w:t>coronary artery bypass graft</w:t>
            </w:r>
          </w:p>
        </w:tc>
      </w:tr>
      <w:tr w:rsidR="001454DF" w:rsidRPr="00C80E19" w14:paraId="1133AA23" w14:textId="77777777" w:rsidTr="00C80E19">
        <w:trPr>
          <w:tblCellSpacing w:w="15" w:type="dxa"/>
        </w:trPr>
        <w:tc>
          <w:tcPr>
            <w:tcW w:w="1656" w:type="dxa"/>
            <w:vAlign w:val="center"/>
            <w:hideMark/>
          </w:tcPr>
          <w:p w14:paraId="0C2FB8FC" w14:textId="77777777" w:rsidR="001454DF" w:rsidRPr="00723C22" w:rsidRDefault="001454DF" w:rsidP="004C79C1">
            <w:pPr>
              <w:tabs>
                <w:tab w:val="left" w:pos="2943"/>
              </w:tabs>
              <w:spacing w:after="120" w:line="240" w:lineRule="auto"/>
              <w:ind w:left="142"/>
            </w:pPr>
            <w:r w:rsidRPr="00723C22">
              <w:t>CAD</w:t>
            </w:r>
          </w:p>
        </w:tc>
        <w:tc>
          <w:tcPr>
            <w:tcW w:w="7185" w:type="dxa"/>
            <w:vAlign w:val="center"/>
            <w:hideMark/>
          </w:tcPr>
          <w:p w14:paraId="1DD861FB" w14:textId="5BEF616D" w:rsidR="001454DF" w:rsidRPr="00723C22" w:rsidRDefault="00346040" w:rsidP="004C79C1">
            <w:pPr>
              <w:tabs>
                <w:tab w:val="left" w:pos="2943"/>
              </w:tabs>
              <w:spacing w:after="120" w:line="240" w:lineRule="auto"/>
              <w:ind w:left="142"/>
              <w:rPr>
                <w:b/>
                <w:lang w:val="en-GB" w:eastAsia="en-US"/>
              </w:rPr>
            </w:pPr>
            <w:r w:rsidRPr="00723C22">
              <w:t>c</w:t>
            </w:r>
            <w:r w:rsidR="001454DF" w:rsidRPr="00723C22">
              <w:t xml:space="preserve">oronary </w:t>
            </w:r>
            <w:r w:rsidRPr="00723C22">
              <w:t>a</w:t>
            </w:r>
            <w:r w:rsidR="001454DF" w:rsidRPr="00723C22">
              <w:t xml:space="preserve">rtery </w:t>
            </w:r>
            <w:r w:rsidRPr="00723C22">
              <w:t>d</w:t>
            </w:r>
            <w:r w:rsidR="001454DF" w:rsidRPr="00723C22">
              <w:t>isease</w:t>
            </w:r>
          </w:p>
        </w:tc>
      </w:tr>
      <w:tr w:rsidR="004C3C91" w:rsidRPr="00C80E19" w14:paraId="133E54F1" w14:textId="77777777" w:rsidTr="00C80E19">
        <w:trPr>
          <w:tblCellSpacing w:w="15" w:type="dxa"/>
        </w:trPr>
        <w:tc>
          <w:tcPr>
            <w:tcW w:w="1656" w:type="dxa"/>
            <w:vAlign w:val="center"/>
          </w:tcPr>
          <w:p w14:paraId="3CE2D9E1" w14:textId="0805B0BC" w:rsidR="004C3C91" w:rsidRPr="00723C22" w:rsidRDefault="004C3C91" w:rsidP="004C79C1">
            <w:pPr>
              <w:tabs>
                <w:tab w:val="left" w:pos="2943"/>
              </w:tabs>
              <w:spacing w:after="120" w:line="240" w:lineRule="auto"/>
              <w:ind w:left="142"/>
            </w:pPr>
            <w:r w:rsidRPr="00723C22">
              <w:t>CAGS</w:t>
            </w:r>
          </w:p>
        </w:tc>
        <w:tc>
          <w:tcPr>
            <w:tcW w:w="7185" w:type="dxa"/>
            <w:vAlign w:val="center"/>
          </w:tcPr>
          <w:p w14:paraId="65CD623B" w14:textId="594D5D6B" w:rsidR="004C3C91" w:rsidRPr="00723C22" w:rsidRDefault="004C3C91" w:rsidP="004C79C1">
            <w:pPr>
              <w:tabs>
                <w:tab w:val="left" w:pos="2943"/>
              </w:tabs>
              <w:spacing w:after="120" w:line="240" w:lineRule="auto"/>
              <w:ind w:left="142"/>
            </w:pPr>
            <w:r w:rsidRPr="00723C22">
              <w:t>coronary artery graft surgery</w:t>
            </w:r>
          </w:p>
        </w:tc>
      </w:tr>
      <w:tr w:rsidR="00E76990" w:rsidRPr="00C80E19" w14:paraId="286DFE4F" w14:textId="77777777" w:rsidTr="00C80E19">
        <w:trPr>
          <w:tblCellSpacing w:w="15" w:type="dxa"/>
        </w:trPr>
        <w:tc>
          <w:tcPr>
            <w:tcW w:w="1656" w:type="dxa"/>
            <w:vAlign w:val="center"/>
          </w:tcPr>
          <w:p w14:paraId="2C65D911" w14:textId="02800644" w:rsidR="00E76990" w:rsidRPr="00124E3B" w:rsidRDefault="00E76990" w:rsidP="004C79C1">
            <w:pPr>
              <w:tabs>
                <w:tab w:val="left" w:pos="2943"/>
              </w:tabs>
              <w:spacing w:after="120" w:line="240" w:lineRule="auto"/>
              <w:ind w:left="142"/>
            </w:pPr>
            <w:r w:rsidRPr="00124E3B">
              <w:t>CEA</w:t>
            </w:r>
          </w:p>
        </w:tc>
        <w:tc>
          <w:tcPr>
            <w:tcW w:w="7185" w:type="dxa"/>
            <w:vAlign w:val="center"/>
          </w:tcPr>
          <w:p w14:paraId="5A451CC8" w14:textId="6CEAD396" w:rsidR="00E76990" w:rsidRPr="00124E3B" w:rsidRDefault="00E76990" w:rsidP="004C79C1">
            <w:pPr>
              <w:tabs>
                <w:tab w:val="left" w:pos="2943"/>
              </w:tabs>
              <w:spacing w:after="120" w:line="240" w:lineRule="auto"/>
              <w:ind w:left="142"/>
            </w:pPr>
            <w:r w:rsidRPr="00124E3B">
              <w:t>cost-effectiveness analysis</w:t>
            </w:r>
          </w:p>
        </w:tc>
      </w:tr>
      <w:tr w:rsidR="001D24A9" w:rsidRPr="00C80E19" w14:paraId="3A99BE82" w14:textId="77777777" w:rsidTr="00C80E19">
        <w:trPr>
          <w:tblCellSpacing w:w="15" w:type="dxa"/>
        </w:trPr>
        <w:tc>
          <w:tcPr>
            <w:tcW w:w="1656" w:type="dxa"/>
            <w:vAlign w:val="center"/>
          </w:tcPr>
          <w:p w14:paraId="58A229C8" w14:textId="372E5CCA" w:rsidR="001D24A9" w:rsidRPr="00723C22" w:rsidRDefault="001D24A9" w:rsidP="004C79C1">
            <w:pPr>
              <w:tabs>
                <w:tab w:val="left" w:pos="2943"/>
              </w:tabs>
              <w:spacing w:after="120" w:line="240" w:lineRule="auto"/>
              <w:ind w:left="142"/>
            </w:pPr>
            <w:r w:rsidRPr="00723C22">
              <w:t>cEcho</w:t>
            </w:r>
          </w:p>
        </w:tc>
        <w:tc>
          <w:tcPr>
            <w:tcW w:w="7185" w:type="dxa"/>
            <w:vAlign w:val="center"/>
          </w:tcPr>
          <w:p w14:paraId="6029B1E0" w14:textId="240A0089" w:rsidR="001D24A9" w:rsidRPr="00723C22" w:rsidRDefault="001D24A9" w:rsidP="004C79C1">
            <w:pPr>
              <w:tabs>
                <w:tab w:val="left" w:pos="2943"/>
              </w:tabs>
              <w:spacing w:after="120" w:line="240" w:lineRule="auto"/>
              <w:ind w:left="142"/>
            </w:pPr>
            <w:r w:rsidRPr="00723C22">
              <w:t>contrast echocardiography</w:t>
            </w:r>
          </w:p>
        </w:tc>
      </w:tr>
      <w:tr w:rsidR="00053390" w:rsidRPr="00391EAC" w14:paraId="3D4F0035" w14:textId="77777777" w:rsidTr="00C80E19">
        <w:trPr>
          <w:tblCellSpacing w:w="15" w:type="dxa"/>
        </w:trPr>
        <w:tc>
          <w:tcPr>
            <w:tcW w:w="1656" w:type="dxa"/>
            <w:vAlign w:val="center"/>
          </w:tcPr>
          <w:p w14:paraId="0EC6A27D" w14:textId="490AC04F" w:rsidR="00053390" w:rsidRPr="00124E3B" w:rsidRDefault="00053390" w:rsidP="004C79C1">
            <w:pPr>
              <w:tabs>
                <w:tab w:val="left" w:pos="2943"/>
              </w:tabs>
              <w:spacing w:after="120" w:line="240" w:lineRule="auto"/>
              <w:ind w:left="142"/>
              <w:rPr>
                <w:rFonts w:asciiTheme="minorHAnsi" w:hAnsiTheme="minorHAnsi"/>
              </w:rPr>
            </w:pPr>
            <w:r w:rsidRPr="00124E3B">
              <w:rPr>
                <w:rFonts w:asciiTheme="minorHAnsi" w:hAnsiTheme="minorHAnsi"/>
              </w:rPr>
              <w:t>CHF</w:t>
            </w:r>
          </w:p>
        </w:tc>
        <w:tc>
          <w:tcPr>
            <w:tcW w:w="7185" w:type="dxa"/>
            <w:vAlign w:val="center"/>
          </w:tcPr>
          <w:p w14:paraId="755447AF" w14:textId="625EEE3C" w:rsidR="00053390" w:rsidRPr="00124E3B" w:rsidRDefault="00053390" w:rsidP="004C79C1">
            <w:pPr>
              <w:tabs>
                <w:tab w:val="left" w:pos="2943"/>
              </w:tabs>
              <w:spacing w:after="120" w:line="240" w:lineRule="auto"/>
              <w:ind w:left="142"/>
              <w:rPr>
                <w:rFonts w:asciiTheme="minorHAnsi" w:hAnsiTheme="minorHAnsi"/>
                <w:color w:val="000000"/>
              </w:rPr>
            </w:pPr>
            <w:r w:rsidRPr="00124E3B">
              <w:rPr>
                <w:rFonts w:asciiTheme="minorHAnsi" w:eastAsiaTheme="minorEastAsia" w:hAnsiTheme="minorHAnsi" w:cstheme="minorBidi"/>
                <w:iCs/>
                <w:lang w:eastAsia="en-US"/>
              </w:rPr>
              <w:t>congestive heart failure</w:t>
            </w:r>
          </w:p>
        </w:tc>
      </w:tr>
      <w:tr w:rsidR="001454DF" w:rsidRPr="00C80E19" w14:paraId="348F6872" w14:textId="77777777" w:rsidTr="00C80E19">
        <w:trPr>
          <w:tblCellSpacing w:w="15" w:type="dxa"/>
        </w:trPr>
        <w:tc>
          <w:tcPr>
            <w:tcW w:w="1656" w:type="dxa"/>
            <w:vAlign w:val="center"/>
          </w:tcPr>
          <w:p w14:paraId="21C9A4E4" w14:textId="77777777" w:rsidR="001454DF" w:rsidRPr="00723C22" w:rsidRDefault="001454DF" w:rsidP="004C79C1">
            <w:pPr>
              <w:tabs>
                <w:tab w:val="left" w:pos="2943"/>
              </w:tabs>
              <w:spacing w:after="120" w:line="240" w:lineRule="auto"/>
              <w:ind w:left="142"/>
            </w:pPr>
            <w:r w:rsidRPr="00723C22">
              <w:t>CI</w:t>
            </w:r>
          </w:p>
        </w:tc>
        <w:tc>
          <w:tcPr>
            <w:tcW w:w="7185" w:type="dxa"/>
            <w:vAlign w:val="center"/>
          </w:tcPr>
          <w:p w14:paraId="4FC786E9" w14:textId="77777777" w:rsidR="001454DF" w:rsidRPr="00723C22" w:rsidRDefault="001454DF"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confidence interval</w:t>
            </w:r>
          </w:p>
        </w:tc>
      </w:tr>
      <w:tr w:rsidR="001454DF" w:rsidRPr="00C80E19" w14:paraId="60AD5CED" w14:textId="77777777" w:rsidTr="00C80E19">
        <w:trPr>
          <w:tblCellSpacing w:w="15" w:type="dxa"/>
        </w:trPr>
        <w:tc>
          <w:tcPr>
            <w:tcW w:w="1656" w:type="dxa"/>
            <w:vAlign w:val="center"/>
            <w:hideMark/>
          </w:tcPr>
          <w:p w14:paraId="7CA6A20C" w14:textId="77777777" w:rsidR="001454DF" w:rsidRPr="00723C22" w:rsidRDefault="001454DF" w:rsidP="004C79C1">
            <w:pPr>
              <w:tabs>
                <w:tab w:val="left" w:pos="2943"/>
              </w:tabs>
              <w:spacing w:after="120" w:line="240" w:lineRule="auto"/>
              <w:ind w:left="142"/>
            </w:pPr>
            <w:r w:rsidRPr="00723C22">
              <w:t>CM</w:t>
            </w:r>
          </w:p>
        </w:tc>
        <w:tc>
          <w:tcPr>
            <w:tcW w:w="7185" w:type="dxa"/>
            <w:vAlign w:val="center"/>
            <w:hideMark/>
          </w:tcPr>
          <w:p w14:paraId="1FA38EE3" w14:textId="0D3C1552" w:rsidR="001454DF" w:rsidRPr="00723C22" w:rsidRDefault="00346040" w:rsidP="004C79C1">
            <w:pPr>
              <w:tabs>
                <w:tab w:val="left" w:pos="2943"/>
              </w:tabs>
              <w:spacing w:after="120" w:line="240" w:lineRule="auto"/>
              <w:ind w:left="142"/>
              <w:rPr>
                <w:b/>
                <w:lang w:val="en-GB" w:eastAsia="en-US"/>
              </w:rPr>
            </w:pPr>
            <w:r w:rsidRPr="00723C22">
              <w:t>c</w:t>
            </w:r>
            <w:r w:rsidR="001454DF" w:rsidRPr="00723C22">
              <w:t>ardiomyopathy</w:t>
            </w:r>
          </w:p>
        </w:tc>
      </w:tr>
      <w:tr w:rsidR="001454DF" w:rsidRPr="00C80E19" w14:paraId="3BB5B1F0" w14:textId="77777777" w:rsidTr="00C80E19">
        <w:trPr>
          <w:tblCellSpacing w:w="15" w:type="dxa"/>
        </w:trPr>
        <w:tc>
          <w:tcPr>
            <w:tcW w:w="1656" w:type="dxa"/>
            <w:vAlign w:val="center"/>
            <w:hideMark/>
          </w:tcPr>
          <w:p w14:paraId="75D2CE5B" w14:textId="77777777" w:rsidR="001454DF" w:rsidRPr="00723C22" w:rsidRDefault="001454DF" w:rsidP="004C79C1">
            <w:pPr>
              <w:tabs>
                <w:tab w:val="left" w:pos="2943"/>
              </w:tabs>
              <w:spacing w:after="120" w:line="240" w:lineRule="auto"/>
              <w:ind w:left="142"/>
            </w:pPr>
            <w:r w:rsidRPr="00723C22">
              <w:t>CMR</w:t>
            </w:r>
          </w:p>
        </w:tc>
        <w:tc>
          <w:tcPr>
            <w:tcW w:w="7185" w:type="dxa"/>
            <w:vAlign w:val="center"/>
            <w:hideMark/>
          </w:tcPr>
          <w:p w14:paraId="3343663B" w14:textId="550A9160" w:rsidR="001454DF" w:rsidRPr="00723C22" w:rsidRDefault="00942689" w:rsidP="004C79C1">
            <w:pPr>
              <w:tabs>
                <w:tab w:val="left" w:pos="2943"/>
              </w:tabs>
              <w:spacing w:after="120" w:line="240" w:lineRule="auto"/>
              <w:ind w:left="142"/>
              <w:rPr>
                <w:b/>
                <w:lang w:val="en-GB" w:eastAsia="en-US"/>
              </w:rPr>
            </w:pPr>
            <w:r w:rsidRPr="00723C22">
              <w:t>c</w:t>
            </w:r>
            <w:r w:rsidR="001454DF" w:rsidRPr="00723C22">
              <w:t xml:space="preserve">ardiac magnetic resonance </w:t>
            </w:r>
            <w:r w:rsidR="007461FE" w:rsidRPr="00124E3B">
              <w:t>(</w:t>
            </w:r>
            <w:r w:rsidR="001454DF" w:rsidRPr="00723C22">
              <w:t>imaging</w:t>
            </w:r>
            <w:r w:rsidR="007461FE" w:rsidRPr="00723C22">
              <w:t>)</w:t>
            </w:r>
          </w:p>
        </w:tc>
      </w:tr>
      <w:tr w:rsidR="001454DF" w:rsidRPr="00C80E19" w14:paraId="21CAE3E1" w14:textId="77777777" w:rsidTr="00C80E19">
        <w:trPr>
          <w:tblCellSpacing w:w="15" w:type="dxa"/>
        </w:trPr>
        <w:tc>
          <w:tcPr>
            <w:tcW w:w="1656" w:type="dxa"/>
            <w:vAlign w:val="center"/>
            <w:hideMark/>
          </w:tcPr>
          <w:p w14:paraId="4478091F" w14:textId="77777777" w:rsidR="001454DF" w:rsidRPr="00723C22" w:rsidRDefault="001454DF" w:rsidP="004C79C1">
            <w:pPr>
              <w:tabs>
                <w:tab w:val="left" w:pos="2943"/>
              </w:tabs>
              <w:spacing w:after="120" w:line="240" w:lineRule="auto"/>
              <w:ind w:left="142"/>
            </w:pPr>
            <w:r w:rsidRPr="00723C22">
              <w:t>CRT</w:t>
            </w:r>
          </w:p>
        </w:tc>
        <w:tc>
          <w:tcPr>
            <w:tcW w:w="7185" w:type="dxa"/>
            <w:vAlign w:val="center"/>
            <w:hideMark/>
          </w:tcPr>
          <w:p w14:paraId="4C02C84C" w14:textId="77777777" w:rsidR="001454DF" w:rsidRPr="00723C22" w:rsidRDefault="001454DF" w:rsidP="004C79C1">
            <w:pPr>
              <w:tabs>
                <w:tab w:val="left" w:pos="2943"/>
              </w:tabs>
              <w:spacing w:after="120" w:line="240" w:lineRule="auto"/>
              <w:ind w:left="142"/>
            </w:pPr>
            <w:r w:rsidRPr="00723C22">
              <w:t>cardiac resynchronisation therapy</w:t>
            </w:r>
          </w:p>
        </w:tc>
      </w:tr>
      <w:tr w:rsidR="00DF7ACD" w:rsidRPr="00C80E19" w14:paraId="43236AF5" w14:textId="77777777" w:rsidTr="00C80E19">
        <w:trPr>
          <w:tblCellSpacing w:w="15" w:type="dxa"/>
        </w:trPr>
        <w:tc>
          <w:tcPr>
            <w:tcW w:w="1656" w:type="dxa"/>
            <w:vAlign w:val="center"/>
          </w:tcPr>
          <w:p w14:paraId="1BA44D16" w14:textId="1AE9EEBF" w:rsidR="00DF7ACD" w:rsidRPr="00124E3B" w:rsidRDefault="00DF7ACD" w:rsidP="004C79C1">
            <w:pPr>
              <w:tabs>
                <w:tab w:val="left" w:pos="2943"/>
              </w:tabs>
              <w:spacing w:after="120" w:line="240" w:lineRule="auto"/>
              <w:ind w:left="142"/>
            </w:pPr>
            <w:r w:rsidRPr="00124E3B">
              <w:t>CRT-D</w:t>
            </w:r>
          </w:p>
        </w:tc>
        <w:tc>
          <w:tcPr>
            <w:tcW w:w="7185" w:type="dxa"/>
            <w:vAlign w:val="center"/>
          </w:tcPr>
          <w:p w14:paraId="092DF52D" w14:textId="062AF37D" w:rsidR="00DF7ACD" w:rsidRPr="00124E3B" w:rsidRDefault="00DF7ACD" w:rsidP="004C79C1">
            <w:pPr>
              <w:tabs>
                <w:tab w:val="left" w:pos="2943"/>
              </w:tabs>
              <w:spacing w:after="120" w:line="240" w:lineRule="auto"/>
              <w:ind w:left="142"/>
            </w:pPr>
            <w:r w:rsidRPr="00723C22">
              <w:t>cardiac resynchronisation therapy</w:t>
            </w:r>
            <w:r w:rsidR="00613EE0" w:rsidRPr="00723C22">
              <w:t xml:space="preserve"> with </w:t>
            </w:r>
            <w:r w:rsidR="00006541" w:rsidRPr="00124E3B">
              <w:t>defibrillator</w:t>
            </w:r>
          </w:p>
        </w:tc>
      </w:tr>
      <w:tr w:rsidR="001454DF" w:rsidRPr="00C80E19" w14:paraId="3EEBFA97" w14:textId="77777777" w:rsidTr="00C80E19">
        <w:trPr>
          <w:tblCellSpacing w:w="15" w:type="dxa"/>
        </w:trPr>
        <w:tc>
          <w:tcPr>
            <w:tcW w:w="1656" w:type="dxa"/>
            <w:vAlign w:val="center"/>
            <w:hideMark/>
          </w:tcPr>
          <w:p w14:paraId="7F94E129" w14:textId="77777777" w:rsidR="001454DF" w:rsidRPr="00723C22" w:rsidRDefault="001454DF" w:rsidP="004C79C1">
            <w:pPr>
              <w:tabs>
                <w:tab w:val="left" w:pos="2943"/>
              </w:tabs>
              <w:spacing w:after="120" w:line="240" w:lineRule="auto"/>
              <w:ind w:left="142"/>
            </w:pPr>
            <w:r w:rsidRPr="00723C22">
              <w:t>CT</w:t>
            </w:r>
          </w:p>
        </w:tc>
        <w:tc>
          <w:tcPr>
            <w:tcW w:w="7185" w:type="dxa"/>
            <w:vAlign w:val="center"/>
            <w:hideMark/>
          </w:tcPr>
          <w:p w14:paraId="0D8EEB77" w14:textId="15ED760E" w:rsidR="001454DF" w:rsidRPr="00723C22" w:rsidRDefault="00A0727C" w:rsidP="004C79C1">
            <w:pPr>
              <w:tabs>
                <w:tab w:val="left" w:pos="2943"/>
              </w:tabs>
              <w:spacing w:after="120" w:line="240" w:lineRule="auto"/>
              <w:ind w:left="142"/>
            </w:pPr>
            <w:r w:rsidRPr="00723C22">
              <w:t>c</w:t>
            </w:r>
            <w:r w:rsidR="001454DF" w:rsidRPr="00723C22">
              <w:t xml:space="preserve">omputed </w:t>
            </w:r>
            <w:r w:rsidRPr="00723C22">
              <w:t>t</w:t>
            </w:r>
            <w:r w:rsidR="001454DF" w:rsidRPr="00723C22">
              <w:t>omography</w:t>
            </w:r>
          </w:p>
        </w:tc>
      </w:tr>
      <w:tr w:rsidR="001454DF" w:rsidRPr="00C80E19" w14:paraId="131C1D4F" w14:textId="77777777" w:rsidTr="00C80E19">
        <w:trPr>
          <w:tblCellSpacing w:w="15" w:type="dxa"/>
        </w:trPr>
        <w:tc>
          <w:tcPr>
            <w:tcW w:w="1656" w:type="dxa"/>
            <w:vAlign w:val="center"/>
            <w:hideMark/>
          </w:tcPr>
          <w:p w14:paraId="7DF93BD5" w14:textId="77777777" w:rsidR="001454DF" w:rsidRPr="00723C22" w:rsidRDefault="001454DF" w:rsidP="004C79C1">
            <w:pPr>
              <w:tabs>
                <w:tab w:val="left" w:pos="2943"/>
              </w:tabs>
              <w:spacing w:after="120" w:line="240" w:lineRule="auto"/>
              <w:ind w:left="142"/>
            </w:pPr>
            <w:r w:rsidRPr="00723C22">
              <w:t>CTCA</w:t>
            </w:r>
          </w:p>
        </w:tc>
        <w:tc>
          <w:tcPr>
            <w:tcW w:w="7185" w:type="dxa"/>
            <w:vAlign w:val="center"/>
            <w:hideMark/>
          </w:tcPr>
          <w:p w14:paraId="5D79576F" w14:textId="51D6A252" w:rsidR="001454DF" w:rsidRPr="00723C22" w:rsidRDefault="00A0727C" w:rsidP="004C79C1">
            <w:pPr>
              <w:tabs>
                <w:tab w:val="left" w:pos="2943"/>
              </w:tabs>
              <w:spacing w:after="120" w:line="240" w:lineRule="auto"/>
              <w:ind w:left="142"/>
              <w:rPr>
                <w:b/>
                <w:lang w:val="en-GB" w:eastAsia="en-US"/>
              </w:rPr>
            </w:pPr>
            <w:r w:rsidRPr="00723C22">
              <w:t>c</w:t>
            </w:r>
            <w:r w:rsidR="001454DF" w:rsidRPr="00723C22">
              <w:t>omputed tomography coronary angiography</w:t>
            </w:r>
          </w:p>
        </w:tc>
      </w:tr>
      <w:tr w:rsidR="001454DF" w:rsidRPr="00C80E19" w14:paraId="58F1CAFF" w14:textId="77777777" w:rsidTr="00C80E19">
        <w:trPr>
          <w:tblCellSpacing w:w="15" w:type="dxa"/>
        </w:trPr>
        <w:tc>
          <w:tcPr>
            <w:tcW w:w="1656" w:type="dxa"/>
            <w:vAlign w:val="center"/>
            <w:hideMark/>
          </w:tcPr>
          <w:p w14:paraId="399FCC31" w14:textId="77777777" w:rsidR="001454DF" w:rsidRPr="00723C22" w:rsidRDefault="001454DF" w:rsidP="004C79C1">
            <w:pPr>
              <w:tabs>
                <w:tab w:val="left" w:pos="2943"/>
              </w:tabs>
              <w:spacing w:after="120" w:line="240" w:lineRule="auto"/>
              <w:ind w:left="142"/>
            </w:pPr>
            <w:r w:rsidRPr="00723C22">
              <w:t>DCM</w:t>
            </w:r>
          </w:p>
        </w:tc>
        <w:tc>
          <w:tcPr>
            <w:tcW w:w="7185" w:type="dxa"/>
            <w:vAlign w:val="center"/>
            <w:hideMark/>
          </w:tcPr>
          <w:p w14:paraId="426933B7" w14:textId="4C46AD26" w:rsidR="001454DF" w:rsidRPr="00723C22" w:rsidRDefault="00CC18E8" w:rsidP="004C79C1">
            <w:pPr>
              <w:tabs>
                <w:tab w:val="left" w:pos="2943"/>
              </w:tabs>
              <w:spacing w:after="120" w:line="240" w:lineRule="auto"/>
              <w:ind w:left="142"/>
              <w:rPr>
                <w:b/>
                <w:lang w:val="en-GB" w:eastAsia="en-US"/>
              </w:rPr>
            </w:pPr>
            <w:r w:rsidRPr="00723C22">
              <w:t>d</w:t>
            </w:r>
            <w:r w:rsidR="001454DF" w:rsidRPr="00723C22">
              <w:t xml:space="preserve">ilated </w:t>
            </w:r>
            <w:r w:rsidRPr="00723C22">
              <w:t>c</w:t>
            </w:r>
            <w:r w:rsidR="001454DF" w:rsidRPr="00723C22">
              <w:t>ardiomyopathy</w:t>
            </w:r>
          </w:p>
        </w:tc>
      </w:tr>
      <w:tr w:rsidR="001C0BC2" w:rsidRPr="00C80E19" w14:paraId="6347A083" w14:textId="77777777" w:rsidTr="0092627E">
        <w:trPr>
          <w:tblCellSpacing w:w="15" w:type="dxa"/>
        </w:trPr>
        <w:tc>
          <w:tcPr>
            <w:tcW w:w="1656" w:type="dxa"/>
            <w:vAlign w:val="center"/>
          </w:tcPr>
          <w:p w14:paraId="2CC4D3BA" w14:textId="77777777" w:rsidR="001C0BC2" w:rsidRPr="00124E3B" w:rsidRDefault="001C0BC2" w:rsidP="004C79C1">
            <w:pPr>
              <w:tabs>
                <w:tab w:val="left" w:pos="2943"/>
              </w:tabs>
              <w:spacing w:after="120" w:line="240" w:lineRule="auto"/>
              <w:ind w:left="142"/>
            </w:pPr>
            <w:r w:rsidRPr="00124E3B">
              <w:t>DS</w:t>
            </w:r>
          </w:p>
        </w:tc>
        <w:tc>
          <w:tcPr>
            <w:tcW w:w="7185" w:type="dxa"/>
            <w:vAlign w:val="center"/>
          </w:tcPr>
          <w:p w14:paraId="15FB430A" w14:textId="77777777" w:rsidR="001C0BC2" w:rsidRPr="00124E3B" w:rsidRDefault="001C0BC2" w:rsidP="004C79C1">
            <w:pPr>
              <w:tabs>
                <w:tab w:val="left" w:pos="2943"/>
              </w:tabs>
              <w:spacing w:after="120" w:line="240" w:lineRule="auto"/>
              <w:ind w:left="142"/>
            </w:pPr>
            <w:r w:rsidRPr="00124E3B">
              <w:t>diameter stenosis</w:t>
            </w:r>
          </w:p>
        </w:tc>
      </w:tr>
      <w:tr w:rsidR="001454DF" w:rsidRPr="00C80E19" w14:paraId="27A697EB" w14:textId="77777777" w:rsidTr="00C80E19">
        <w:trPr>
          <w:tblCellSpacing w:w="15" w:type="dxa"/>
        </w:trPr>
        <w:tc>
          <w:tcPr>
            <w:tcW w:w="1656" w:type="dxa"/>
            <w:vAlign w:val="center"/>
            <w:hideMark/>
          </w:tcPr>
          <w:p w14:paraId="4F057878" w14:textId="77777777" w:rsidR="001454DF" w:rsidRPr="00723C22" w:rsidRDefault="001454DF" w:rsidP="004C79C1">
            <w:pPr>
              <w:tabs>
                <w:tab w:val="left" w:pos="2943"/>
              </w:tabs>
              <w:spacing w:after="120" w:line="240" w:lineRule="auto"/>
              <w:ind w:left="142"/>
            </w:pPr>
            <w:r w:rsidRPr="00723C22">
              <w:t>ECG</w:t>
            </w:r>
          </w:p>
        </w:tc>
        <w:tc>
          <w:tcPr>
            <w:tcW w:w="7185" w:type="dxa"/>
            <w:vAlign w:val="center"/>
            <w:hideMark/>
          </w:tcPr>
          <w:p w14:paraId="1FEB79A6" w14:textId="4E6D55A8" w:rsidR="001454DF" w:rsidRPr="00723C22" w:rsidRDefault="00F0010B" w:rsidP="004C79C1">
            <w:pPr>
              <w:tabs>
                <w:tab w:val="left" w:pos="2943"/>
              </w:tabs>
              <w:spacing w:after="120" w:line="240" w:lineRule="auto"/>
              <w:ind w:left="142"/>
              <w:rPr>
                <w:b/>
                <w:lang w:val="en-GB" w:eastAsia="en-US"/>
              </w:rPr>
            </w:pPr>
            <w:r w:rsidRPr="00723C22">
              <w:t>e</w:t>
            </w:r>
            <w:r w:rsidR="001454DF" w:rsidRPr="00723C22">
              <w:t>lectrocardiography</w:t>
            </w:r>
          </w:p>
        </w:tc>
      </w:tr>
      <w:tr w:rsidR="001454DF" w:rsidRPr="00C80E19" w14:paraId="6E597076" w14:textId="77777777" w:rsidTr="00C80E19">
        <w:trPr>
          <w:tblCellSpacing w:w="15" w:type="dxa"/>
        </w:trPr>
        <w:tc>
          <w:tcPr>
            <w:tcW w:w="1656" w:type="dxa"/>
            <w:vAlign w:val="center"/>
            <w:hideMark/>
          </w:tcPr>
          <w:p w14:paraId="3D1ED834" w14:textId="77777777" w:rsidR="001454DF" w:rsidRPr="00723C22" w:rsidRDefault="001454DF" w:rsidP="004C79C1">
            <w:pPr>
              <w:tabs>
                <w:tab w:val="left" w:pos="2943"/>
              </w:tabs>
              <w:spacing w:after="120" w:line="240" w:lineRule="auto"/>
              <w:ind w:left="142"/>
            </w:pPr>
            <w:r w:rsidRPr="00723C22">
              <w:t>Echo</w:t>
            </w:r>
          </w:p>
        </w:tc>
        <w:tc>
          <w:tcPr>
            <w:tcW w:w="7185" w:type="dxa"/>
            <w:vAlign w:val="center"/>
            <w:hideMark/>
          </w:tcPr>
          <w:p w14:paraId="635927D1" w14:textId="537BF97A" w:rsidR="001454DF" w:rsidRPr="00723C22" w:rsidRDefault="00F0010B" w:rsidP="004C79C1">
            <w:pPr>
              <w:tabs>
                <w:tab w:val="left" w:pos="2943"/>
              </w:tabs>
              <w:spacing w:after="120" w:line="240" w:lineRule="auto"/>
              <w:ind w:left="142"/>
              <w:rPr>
                <w:b/>
                <w:lang w:val="en-GB" w:eastAsia="en-US"/>
              </w:rPr>
            </w:pPr>
            <w:r w:rsidRPr="00723C22">
              <w:t>e</w:t>
            </w:r>
            <w:r w:rsidR="001454DF" w:rsidRPr="00723C22">
              <w:t>chocardiography</w:t>
            </w:r>
          </w:p>
        </w:tc>
      </w:tr>
      <w:tr w:rsidR="00E2325B" w:rsidRPr="00C80E19" w14:paraId="47ED755E" w14:textId="77777777" w:rsidTr="00C80E19">
        <w:trPr>
          <w:tblCellSpacing w:w="15" w:type="dxa"/>
        </w:trPr>
        <w:tc>
          <w:tcPr>
            <w:tcW w:w="1656" w:type="dxa"/>
            <w:vAlign w:val="center"/>
          </w:tcPr>
          <w:p w14:paraId="6ED84F91" w14:textId="70C63F1C" w:rsidR="00E2325B" w:rsidRPr="00124E3B" w:rsidRDefault="00E2325B" w:rsidP="004C79C1">
            <w:pPr>
              <w:tabs>
                <w:tab w:val="left" w:pos="2943"/>
              </w:tabs>
              <w:spacing w:after="120" w:line="240" w:lineRule="auto"/>
              <w:ind w:left="142"/>
            </w:pPr>
            <w:r w:rsidRPr="00124E3B">
              <w:t>EGE</w:t>
            </w:r>
          </w:p>
        </w:tc>
        <w:tc>
          <w:tcPr>
            <w:tcW w:w="7185" w:type="dxa"/>
            <w:vAlign w:val="center"/>
          </w:tcPr>
          <w:p w14:paraId="7B7162EF" w14:textId="2ECF3F9A" w:rsidR="00E2325B" w:rsidRPr="00124E3B" w:rsidRDefault="00E2325B" w:rsidP="004C79C1">
            <w:pPr>
              <w:tabs>
                <w:tab w:val="left" w:pos="2943"/>
              </w:tabs>
              <w:spacing w:after="120" w:line="240" w:lineRule="auto"/>
              <w:ind w:left="142"/>
            </w:pPr>
            <w:r w:rsidRPr="00723C22">
              <w:rPr>
                <w:szCs w:val="20"/>
              </w:rPr>
              <w:t>early gadolinium enhancement</w:t>
            </w:r>
          </w:p>
        </w:tc>
      </w:tr>
      <w:tr w:rsidR="001454DF" w:rsidRPr="00C80E19" w14:paraId="688362EC" w14:textId="77777777" w:rsidTr="00C80E19">
        <w:trPr>
          <w:tblCellSpacing w:w="15" w:type="dxa"/>
        </w:trPr>
        <w:tc>
          <w:tcPr>
            <w:tcW w:w="1656" w:type="dxa"/>
            <w:vAlign w:val="center"/>
          </w:tcPr>
          <w:p w14:paraId="783C6283" w14:textId="77777777" w:rsidR="001454DF" w:rsidRPr="00723C22" w:rsidRDefault="001454DF" w:rsidP="004C79C1">
            <w:pPr>
              <w:tabs>
                <w:tab w:val="left" w:pos="2943"/>
              </w:tabs>
              <w:spacing w:after="120" w:line="240" w:lineRule="auto"/>
              <w:ind w:left="142"/>
            </w:pPr>
            <w:r w:rsidRPr="00723C22">
              <w:t>EMB</w:t>
            </w:r>
          </w:p>
        </w:tc>
        <w:tc>
          <w:tcPr>
            <w:tcW w:w="7185" w:type="dxa"/>
            <w:vAlign w:val="center"/>
          </w:tcPr>
          <w:p w14:paraId="3F9C4156" w14:textId="561EA94A" w:rsidR="001454DF" w:rsidRPr="00723C22" w:rsidRDefault="00F0010B" w:rsidP="004C79C1">
            <w:pPr>
              <w:tabs>
                <w:tab w:val="left" w:pos="2943"/>
              </w:tabs>
              <w:spacing w:after="120" w:line="240" w:lineRule="auto"/>
              <w:ind w:left="142"/>
              <w:rPr>
                <w:rFonts w:eastAsia="Calibri"/>
                <w:b/>
                <w:lang w:val="en-GB" w:eastAsia="en-US"/>
              </w:rPr>
            </w:pPr>
            <w:r w:rsidRPr="00723C22">
              <w:t>e</w:t>
            </w:r>
            <w:r w:rsidR="001454DF" w:rsidRPr="00723C22">
              <w:t>ndomyocardial biopsy</w:t>
            </w:r>
          </w:p>
        </w:tc>
      </w:tr>
      <w:tr w:rsidR="0058446D" w:rsidRPr="00C80E19" w14:paraId="192EB167" w14:textId="77777777" w:rsidTr="00C80E19">
        <w:trPr>
          <w:tblCellSpacing w:w="15" w:type="dxa"/>
        </w:trPr>
        <w:tc>
          <w:tcPr>
            <w:tcW w:w="1656" w:type="dxa"/>
            <w:vAlign w:val="center"/>
          </w:tcPr>
          <w:p w14:paraId="40B6960B" w14:textId="2F588B2B" w:rsidR="0058446D" w:rsidRPr="00723C22" w:rsidRDefault="0058446D" w:rsidP="004C79C1">
            <w:pPr>
              <w:tabs>
                <w:tab w:val="left" w:pos="2943"/>
              </w:tabs>
              <w:spacing w:after="120" w:line="240" w:lineRule="auto"/>
              <w:ind w:left="142"/>
            </w:pPr>
            <w:r w:rsidRPr="00723C22">
              <w:t>Gd</w:t>
            </w:r>
          </w:p>
        </w:tc>
        <w:tc>
          <w:tcPr>
            <w:tcW w:w="7185" w:type="dxa"/>
            <w:vAlign w:val="center"/>
          </w:tcPr>
          <w:p w14:paraId="37A6E868" w14:textId="00935CF5" w:rsidR="0058446D" w:rsidRPr="00723C22" w:rsidRDefault="0058446D" w:rsidP="004C79C1">
            <w:pPr>
              <w:tabs>
                <w:tab w:val="left" w:pos="2943"/>
              </w:tabs>
              <w:spacing w:after="120" w:line="240" w:lineRule="auto"/>
              <w:ind w:left="142"/>
            </w:pPr>
            <w:r w:rsidRPr="00723C22">
              <w:t>gadolinium</w:t>
            </w:r>
          </w:p>
        </w:tc>
      </w:tr>
      <w:tr w:rsidR="001454DF" w:rsidRPr="00C80E19" w14:paraId="5E517685" w14:textId="77777777" w:rsidTr="00C80E19">
        <w:trPr>
          <w:tblCellSpacing w:w="15" w:type="dxa"/>
        </w:trPr>
        <w:tc>
          <w:tcPr>
            <w:tcW w:w="1656" w:type="dxa"/>
            <w:vAlign w:val="center"/>
            <w:hideMark/>
          </w:tcPr>
          <w:p w14:paraId="20129263" w14:textId="77777777" w:rsidR="001454DF" w:rsidRPr="00723C22" w:rsidRDefault="001454DF" w:rsidP="004C79C1">
            <w:pPr>
              <w:tabs>
                <w:tab w:val="left" w:pos="2943"/>
              </w:tabs>
              <w:spacing w:after="120" w:line="240" w:lineRule="auto"/>
              <w:ind w:left="142"/>
            </w:pPr>
            <w:r w:rsidRPr="00723C22">
              <w:lastRenderedPageBreak/>
              <w:t>Gd-DTPA</w:t>
            </w:r>
          </w:p>
        </w:tc>
        <w:tc>
          <w:tcPr>
            <w:tcW w:w="7185" w:type="dxa"/>
            <w:vAlign w:val="center"/>
            <w:hideMark/>
          </w:tcPr>
          <w:p w14:paraId="03869D69" w14:textId="77777777" w:rsidR="001454DF" w:rsidRPr="00723C22" w:rsidRDefault="001454DF" w:rsidP="004C79C1">
            <w:pPr>
              <w:tabs>
                <w:tab w:val="left" w:pos="2943"/>
              </w:tabs>
              <w:spacing w:after="120" w:line="240" w:lineRule="auto"/>
              <w:ind w:left="142"/>
            </w:pPr>
            <w:r w:rsidRPr="00723C22">
              <w:t>gadolinium-diethylenetriamine pentaacetic acid</w:t>
            </w:r>
          </w:p>
        </w:tc>
      </w:tr>
      <w:tr w:rsidR="0058446D" w:rsidRPr="00C80E19" w14:paraId="56C459D1" w14:textId="77777777" w:rsidTr="00F47534">
        <w:trPr>
          <w:tblCellSpacing w:w="15" w:type="dxa"/>
        </w:trPr>
        <w:tc>
          <w:tcPr>
            <w:tcW w:w="1656" w:type="dxa"/>
            <w:vAlign w:val="center"/>
            <w:hideMark/>
          </w:tcPr>
          <w:p w14:paraId="334CF748" w14:textId="77777777" w:rsidR="0058446D" w:rsidRPr="00124E3B" w:rsidRDefault="0058446D" w:rsidP="004C79C1">
            <w:pPr>
              <w:tabs>
                <w:tab w:val="left" w:pos="2943"/>
              </w:tabs>
              <w:spacing w:after="120" w:line="240" w:lineRule="auto"/>
              <w:ind w:left="142"/>
            </w:pPr>
            <w:r w:rsidRPr="00124E3B">
              <w:t>GHPS</w:t>
            </w:r>
          </w:p>
        </w:tc>
        <w:tc>
          <w:tcPr>
            <w:tcW w:w="7185" w:type="dxa"/>
            <w:vAlign w:val="center"/>
            <w:hideMark/>
          </w:tcPr>
          <w:p w14:paraId="2AB75854" w14:textId="39C7E77A" w:rsidR="0058446D" w:rsidRPr="00723C22" w:rsidRDefault="0058446D" w:rsidP="004C79C1">
            <w:pPr>
              <w:tabs>
                <w:tab w:val="left" w:pos="2943"/>
              </w:tabs>
              <w:spacing w:after="120" w:line="240" w:lineRule="auto"/>
              <w:ind w:left="142"/>
            </w:pPr>
            <w:r w:rsidRPr="00124E3B">
              <w:t>gated heart pool scan</w:t>
            </w:r>
            <w:r w:rsidR="00752D6F" w:rsidRPr="00723C22">
              <w:t>(ning)</w:t>
            </w:r>
          </w:p>
        </w:tc>
      </w:tr>
      <w:tr w:rsidR="001454DF" w:rsidRPr="00C80E19" w14:paraId="56B5091A" w14:textId="77777777" w:rsidTr="00C80E19">
        <w:trPr>
          <w:tblCellSpacing w:w="15" w:type="dxa"/>
        </w:trPr>
        <w:tc>
          <w:tcPr>
            <w:tcW w:w="1656" w:type="dxa"/>
            <w:vAlign w:val="center"/>
            <w:hideMark/>
          </w:tcPr>
          <w:p w14:paraId="763CC10D" w14:textId="77777777" w:rsidR="001454DF" w:rsidRPr="00723C22" w:rsidRDefault="001454DF" w:rsidP="004C79C1">
            <w:pPr>
              <w:tabs>
                <w:tab w:val="left" w:pos="2943"/>
              </w:tabs>
              <w:spacing w:after="120" w:line="240" w:lineRule="auto"/>
              <w:ind w:left="142"/>
            </w:pPr>
            <w:r w:rsidRPr="00723C22">
              <w:t>HCM</w:t>
            </w:r>
          </w:p>
        </w:tc>
        <w:tc>
          <w:tcPr>
            <w:tcW w:w="7185" w:type="dxa"/>
            <w:vAlign w:val="center"/>
            <w:hideMark/>
          </w:tcPr>
          <w:p w14:paraId="13C70FC7" w14:textId="5C999A9B" w:rsidR="001454DF" w:rsidRPr="00723C22" w:rsidRDefault="00A0727C" w:rsidP="004C79C1">
            <w:pPr>
              <w:tabs>
                <w:tab w:val="left" w:pos="2943"/>
              </w:tabs>
              <w:spacing w:after="120" w:line="240" w:lineRule="auto"/>
              <w:ind w:left="142"/>
              <w:rPr>
                <w:b/>
                <w:lang w:val="en-GB" w:eastAsia="en-US"/>
              </w:rPr>
            </w:pPr>
            <w:r w:rsidRPr="00723C22">
              <w:t>h</w:t>
            </w:r>
            <w:r w:rsidR="001454DF" w:rsidRPr="00723C22">
              <w:t xml:space="preserve">ypertrophic </w:t>
            </w:r>
            <w:r w:rsidRPr="00723C22">
              <w:t>c</w:t>
            </w:r>
            <w:r w:rsidR="001454DF" w:rsidRPr="00723C22">
              <w:t>ardiomyopathy</w:t>
            </w:r>
          </w:p>
        </w:tc>
      </w:tr>
      <w:tr w:rsidR="009B571D" w:rsidRPr="00C80E19" w14:paraId="5E0FD82C" w14:textId="77777777" w:rsidTr="00C80E19">
        <w:trPr>
          <w:tblCellSpacing w:w="15" w:type="dxa"/>
        </w:trPr>
        <w:tc>
          <w:tcPr>
            <w:tcW w:w="1656" w:type="dxa"/>
            <w:vAlign w:val="center"/>
          </w:tcPr>
          <w:p w14:paraId="50B5944B" w14:textId="20E4FEE1" w:rsidR="009B571D" w:rsidRPr="00723C22" w:rsidRDefault="009B571D"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HF</w:t>
            </w:r>
          </w:p>
        </w:tc>
        <w:tc>
          <w:tcPr>
            <w:tcW w:w="7185" w:type="dxa"/>
            <w:vAlign w:val="center"/>
          </w:tcPr>
          <w:p w14:paraId="6106D46A" w14:textId="188F3942" w:rsidR="009B571D" w:rsidRPr="00723C22" w:rsidRDefault="009B571D"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heart failure</w:t>
            </w:r>
          </w:p>
        </w:tc>
      </w:tr>
      <w:tr w:rsidR="00C91F30" w:rsidRPr="00C80E19" w14:paraId="3A1B921D" w14:textId="77777777" w:rsidTr="00C80E19">
        <w:trPr>
          <w:tblCellSpacing w:w="15" w:type="dxa"/>
        </w:trPr>
        <w:tc>
          <w:tcPr>
            <w:tcW w:w="1656" w:type="dxa"/>
            <w:vAlign w:val="center"/>
          </w:tcPr>
          <w:p w14:paraId="536C5B85" w14:textId="2698D0FB" w:rsidR="00C91F30" w:rsidRPr="00723C22" w:rsidRDefault="00C91F30"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HR</w:t>
            </w:r>
          </w:p>
        </w:tc>
        <w:tc>
          <w:tcPr>
            <w:tcW w:w="7185" w:type="dxa"/>
            <w:vAlign w:val="center"/>
          </w:tcPr>
          <w:p w14:paraId="7EFFE5B0" w14:textId="53F81A5C" w:rsidR="00C91F30" w:rsidRPr="00723C22" w:rsidRDefault="00C91F30"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hazard ratio</w:t>
            </w:r>
          </w:p>
        </w:tc>
      </w:tr>
      <w:tr w:rsidR="001454DF" w:rsidRPr="00C80E19" w14:paraId="3AF6151A" w14:textId="77777777" w:rsidTr="00C80E19">
        <w:trPr>
          <w:tblCellSpacing w:w="15" w:type="dxa"/>
        </w:trPr>
        <w:tc>
          <w:tcPr>
            <w:tcW w:w="1656" w:type="dxa"/>
            <w:vAlign w:val="center"/>
          </w:tcPr>
          <w:p w14:paraId="5244F0D7" w14:textId="77777777" w:rsidR="001454DF" w:rsidRPr="00723C22" w:rsidRDefault="001454DF" w:rsidP="004C79C1">
            <w:pPr>
              <w:tabs>
                <w:tab w:val="left" w:pos="2943"/>
              </w:tabs>
              <w:spacing w:after="120" w:line="240" w:lineRule="auto"/>
              <w:ind w:left="142"/>
            </w:pPr>
            <w:r w:rsidRPr="00723C22">
              <w:rPr>
                <w:rFonts w:asciiTheme="minorHAnsi" w:hAnsiTheme="minorHAnsi"/>
                <w:color w:val="000000"/>
                <w:szCs w:val="24"/>
              </w:rPr>
              <w:t>HRQoL</w:t>
            </w:r>
          </w:p>
        </w:tc>
        <w:tc>
          <w:tcPr>
            <w:tcW w:w="7185" w:type="dxa"/>
            <w:vAlign w:val="center"/>
          </w:tcPr>
          <w:p w14:paraId="39D85307" w14:textId="77777777" w:rsidR="001454DF" w:rsidRPr="00723C22" w:rsidRDefault="001454DF" w:rsidP="004C79C1">
            <w:pPr>
              <w:tabs>
                <w:tab w:val="left" w:pos="2943"/>
              </w:tabs>
              <w:spacing w:after="120" w:line="240" w:lineRule="auto"/>
              <w:ind w:left="142"/>
            </w:pPr>
            <w:r w:rsidRPr="00723C22">
              <w:rPr>
                <w:rFonts w:asciiTheme="minorHAnsi" w:hAnsiTheme="minorHAnsi"/>
                <w:color w:val="000000"/>
                <w:szCs w:val="24"/>
              </w:rPr>
              <w:t>health-related quality of life</w:t>
            </w:r>
          </w:p>
        </w:tc>
      </w:tr>
      <w:tr w:rsidR="001454DF" w:rsidRPr="00C80E19" w14:paraId="2AEA5367" w14:textId="77777777" w:rsidTr="00C80E19">
        <w:trPr>
          <w:tblCellSpacing w:w="15" w:type="dxa"/>
        </w:trPr>
        <w:tc>
          <w:tcPr>
            <w:tcW w:w="1656" w:type="dxa"/>
            <w:vAlign w:val="center"/>
          </w:tcPr>
          <w:p w14:paraId="0D944CF5" w14:textId="77777777" w:rsidR="001454DF" w:rsidRPr="00723C22" w:rsidRDefault="001454DF" w:rsidP="004C79C1">
            <w:pPr>
              <w:tabs>
                <w:tab w:val="left" w:pos="2943"/>
              </w:tabs>
              <w:spacing w:after="120" w:line="240" w:lineRule="auto"/>
              <w:ind w:left="142"/>
              <w:rPr>
                <w:rFonts w:asciiTheme="minorHAnsi" w:hAnsiTheme="minorHAnsi"/>
                <w:color w:val="000000"/>
                <w:szCs w:val="24"/>
              </w:rPr>
            </w:pPr>
            <w:r w:rsidRPr="00723C22">
              <w:t>HTA</w:t>
            </w:r>
          </w:p>
        </w:tc>
        <w:tc>
          <w:tcPr>
            <w:tcW w:w="7185" w:type="dxa"/>
            <w:vAlign w:val="center"/>
          </w:tcPr>
          <w:p w14:paraId="0D590390" w14:textId="77777777" w:rsidR="001454DF" w:rsidRPr="00723C22" w:rsidRDefault="001454DF" w:rsidP="004C79C1">
            <w:pPr>
              <w:tabs>
                <w:tab w:val="left" w:pos="2943"/>
              </w:tabs>
              <w:spacing w:after="120" w:line="240" w:lineRule="auto"/>
              <w:ind w:left="142"/>
              <w:rPr>
                <w:rFonts w:asciiTheme="minorHAnsi" w:hAnsiTheme="minorHAnsi"/>
                <w:color w:val="000000"/>
                <w:szCs w:val="24"/>
              </w:rPr>
            </w:pPr>
            <w:r w:rsidRPr="00723C22">
              <w:t>health technology assessment</w:t>
            </w:r>
          </w:p>
        </w:tc>
      </w:tr>
      <w:tr w:rsidR="001454DF" w:rsidRPr="00C80E19" w14:paraId="69FD46CC" w14:textId="77777777" w:rsidTr="00C80E19">
        <w:trPr>
          <w:tblCellSpacing w:w="15" w:type="dxa"/>
        </w:trPr>
        <w:tc>
          <w:tcPr>
            <w:tcW w:w="1656" w:type="dxa"/>
            <w:vAlign w:val="center"/>
            <w:hideMark/>
          </w:tcPr>
          <w:p w14:paraId="7A8E50B5" w14:textId="77777777" w:rsidR="001454DF" w:rsidRPr="00723C22" w:rsidRDefault="001454DF" w:rsidP="004C79C1">
            <w:pPr>
              <w:tabs>
                <w:tab w:val="left" w:pos="2943"/>
              </w:tabs>
              <w:spacing w:after="120" w:line="240" w:lineRule="auto"/>
              <w:ind w:left="142"/>
            </w:pPr>
            <w:r w:rsidRPr="00723C22">
              <w:t>ICA</w:t>
            </w:r>
          </w:p>
        </w:tc>
        <w:tc>
          <w:tcPr>
            <w:tcW w:w="7185" w:type="dxa"/>
            <w:vAlign w:val="center"/>
            <w:hideMark/>
          </w:tcPr>
          <w:p w14:paraId="40BB3C18" w14:textId="53CDAD56" w:rsidR="001454DF" w:rsidRPr="00723C22" w:rsidRDefault="00A0727C" w:rsidP="004C79C1">
            <w:pPr>
              <w:tabs>
                <w:tab w:val="left" w:pos="2943"/>
              </w:tabs>
              <w:spacing w:after="120" w:line="240" w:lineRule="auto"/>
              <w:ind w:left="142"/>
              <w:rPr>
                <w:b/>
                <w:lang w:val="en-GB" w:eastAsia="en-US"/>
              </w:rPr>
            </w:pPr>
            <w:r w:rsidRPr="00723C22">
              <w:t>i</w:t>
            </w:r>
            <w:r w:rsidR="001454DF" w:rsidRPr="00723C22">
              <w:t>nvasive coronary angiography</w:t>
            </w:r>
          </w:p>
        </w:tc>
      </w:tr>
      <w:tr w:rsidR="001454DF" w:rsidRPr="00C80E19" w14:paraId="6FA6A2B2" w14:textId="77777777" w:rsidTr="00C80E19">
        <w:trPr>
          <w:tblCellSpacing w:w="15" w:type="dxa"/>
        </w:trPr>
        <w:tc>
          <w:tcPr>
            <w:tcW w:w="1656" w:type="dxa"/>
            <w:vAlign w:val="center"/>
            <w:hideMark/>
          </w:tcPr>
          <w:p w14:paraId="3491F765" w14:textId="77777777" w:rsidR="001454DF" w:rsidRPr="00723C22" w:rsidRDefault="001454DF" w:rsidP="004C79C1">
            <w:pPr>
              <w:tabs>
                <w:tab w:val="left" w:pos="2943"/>
              </w:tabs>
              <w:spacing w:after="120" w:line="240" w:lineRule="auto"/>
              <w:ind w:left="142"/>
            </w:pPr>
            <w:r w:rsidRPr="00723C22">
              <w:t>ICD</w:t>
            </w:r>
          </w:p>
        </w:tc>
        <w:tc>
          <w:tcPr>
            <w:tcW w:w="7185" w:type="dxa"/>
            <w:vAlign w:val="center"/>
            <w:hideMark/>
          </w:tcPr>
          <w:p w14:paraId="5ECCBE1F" w14:textId="147FAB37" w:rsidR="001454DF" w:rsidRPr="00723C22" w:rsidRDefault="001454DF" w:rsidP="004C79C1">
            <w:pPr>
              <w:tabs>
                <w:tab w:val="left" w:pos="2943"/>
              </w:tabs>
              <w:spacing w:after="120" w:line="240" w:lineRule="auto"/>
              <w:ind w:left="142"/>
            </w:pPr>
            <w:r w:rsidRPr="00723C22">
              <w:t>implantable cardioverter</w:t>
            </w:r>
            <w:r w:rsidR="00AF5FDA">
              <w:t xml:space="preserve"> </w:t>
            </w:r>
            <w:r w:rsidRPr="00723C22">
              <w:t>defibrillator</w:t>
            </w:r>
          </w:p>
        </w:tc>
      </w:tr>
      <w:tr w:rsidR="001454DF" w:rsidRPr="00C80E19" w14:paraId="1F9AC513" w14:textId="77777777" w:rsidTr="00C80E19">
        <w:trPr>
          <w:tblCellSpacing w:w="15" w:type="dxa"/>
        </w:trPr>
        <w:tc>
          <w:tcPr>
            <w:tcW w:w="1656" w:type="dxa"/>
            <w:vAlign w:val="center"/>
          </w:tcPr>
          <w:p w14:paraId="66BC7508" w14:textId="77777777" w:rsidR="001454DF" w:rsidRPr="00723C22" w:rsidRDefault="001454DF" w:rsidP="004C79C1">
            <w:pPr>
              <w:tabs>
                <w:tab w:val="left" w:pos="2943"/>
              </w:tabs>
              <w:spacing w:after="120" w:line="240" w:lineRule="auto"/>
              <w:ind w:left="142"/>
            </w:pPr>
            <w:r w:rsidRPr="00723C22">
              <w:t>ICER</w:t>
            </w:r>
          </w:p>
        </w:tc>
        <w:tc>
          <w:tcPr>
            <w:tcW w:w="7185" w:type="dxa"/>
            <w:vAlign w:val="center"/>
          </w:tcPr>
          <w:p w14:paraId="66E2A32C" w14:textId="1D71499E" w:rsidR="001454DF" w:rsidRPr="00723C22" w:rsidRDefault="001454DF" w:rsidP="004C79C1">
            <w:pPr>
              <w:tabs>
                <w:tab w:val="left" w:pos="2943"/>
              </w:tabs>
              <w:spacing w:after="120" w:line="240" w:lineRule="auto"/>
              <w:ind w:left="142"/>
            </w:pPr>
            <w:r w:rsidRPr="00723C22">
              <w:t>incremental cost-effectiveness ratio</w:t>
            </w:r>
          </w:p>
        </w:tc>
      </w:tr>
      <w:tr w:rsidR="001C758A" w:rsidRPr="00C80E19" w14:paraId="7E81EE36" w14:textId="77777777" w:rsidTr="0005085E">
        <w:trPr>
          <w:tblCellSpacing w:w="15" w:type="dxa"/>
        </w:trPr>
        <w:tc>
          <w:tcPr>
            <w:tcW w:w="1656" w:type="dxa"/>
            <w:vAlign w:val="center"/>
          </w:tcPr>
          <w:p w14:paraId="5C300E68" w14:textId="77777777" w:rsidR="001C758A" w:rsidRPr="00124E3B" w:rsidRDefault="001C758A" w:rsidP="004C79C1">
            <w:pPr>
              <w:tabs>
                <w:tab w:val="left" w:pos="2943"/>
              </w:tabs>
              <w:spacing w:after="120" w:line="240" w:lineRule="auto"/>
              <w:ind w:left="142"/>
            </w:pPr>
            <w:r w:rsidRPr="00124E3B">
              <w:t>ICM</w:t>
            </w:r>
          </w:p>
        </w:tc>
        <w:tc>
          <w:tcPr>
            <w:tcW w:w="7185" w:type="dxa"/>
            <w:vAlign w:val="center"/>
          </w:tcPr>
          <w:p w14:paraId="3AA59CEC" w14:textId="77777777" w:rsidR="001C758A" w:rsidRPr="00723C22" w:rsidRDefault="001C758A" w:rsidP="004C79C1">
            <w:pPr>
              <w:tabs>
                <w:tab w:val="left" w:pos="2943"/>
              </w:tabs>
              <w:spacing w:after="120" w:line="240" w:lineRule="auto"/>
              <w:ind w:left="142"/>
            </w:pPr>
            <w:r w:rsidRPr="00124E3B">
              <w:t>ischaemic cardiomyopathy</w:t>
            </w:r>
            <w:r w:rsidRPr="00723C22">
              <w:t xml:space="preserve"> </w:t>
            </w:r>
          </w:p>
        </w:tc>
      </w:tr>
      <w:tr w:rsidR="001454DF" w:rsidRPr="00C80E19" w14:paraId="2D627C2A" w14:textId="77777777" w:rsidTr="00C80E19">
        <w:trPr>
          <w:tblCellSpacing w:w="15" w:type="dxa"/>
        </w:trPr>
        <w:tc>
          <w:tcPr>
            <w:tcW w:w="1656" w:type="dxa"/>
            <w:vAlign w:val="center"/>
            <w:hideMark/>
          </w:tcPr>
          <w:p w14:paraId="0F872792" w14:textId="77777777" w:rsidR="001454DF" w:rsidRPr="00723C22" w:rsidRDefault="001454DF" w:rsidP="004C79C1">
            <w:pPr>
              <w:tabs>
                <w:tab w:val="left" w:pos="2943"/>
              </w:tabs>
              <w:spacing w:after="120" w:line="240" w:lineRule="auto"/>
              <w:ind w:left="142"/>
            </w:pPr>
            <w:r w:rsidRPr="00723C22">
              <w:t>IHD</w:t>
            </w:r>
          </w:p>
        </w:tc>
        <w:tc>
          <w:tcPr>
            <w:tcW w:w="7185" w:type="dxa"/>
            <w:vAlign w:val="center"/>
            <w:hideMark/>
          </w:tcPr>
          <w:p w14:paraId="4F05D252" w14:textId="77777777" w:rsidR="001454DF" w:rsidRPr="00723C22" w:rsidRDefault="001454DF" w:rsidP="004C79C1">
            <w:pPr>
              <w:tabs>
                <w:tab w:val="left" w:pos="2943"/>
              </w:tabs>
              <w:spacing w:after="120" w:line="240" w:lineRule="auto"/>
              <w:ind w:left="142"/>
            </w:pPr>
            <w:r w:rsidRPr="00723C22">
              <w:t>ischaemic heart disease</w:t>
            </w:r>
          </w:p>
        </w:tc>
      </w:tr>
      <w:tr w:rsidR="007657E5" w:rsidRPr="00C80E19" w14:paraId="7B71F243" w14:textId="77777777" w:rsidTr="00E83716">
        <w:trPr>
          <w:tblCellSpacing w:w="15" w:type="dxa"/>
        </w:trPr>
        <w:tc>
          <w:tcPr>
            <w:tcW w:w="1656" w:type="dxa"/>
            <w:vAlign w:val="center"/>
          </w:tcPr>
          <w:p w14:paraId="55B02B4C" w14:textId="77777777" w:rsidR="007657E5" w:rsidRPr="00723C22" w:rsidRDefault="007657E5" w:rsidP="004C79C1">
            <w:pPr>
              <w:tabs>
                <w:tab w:val="left" w:pos="2943"/>
              </w:tabs>
              <w:spacing w:after="120" w:line="240" w:lineRule="auto"/>
              <w:ind w:left="142"/>
            </w:pPr>
            <w:r w:rsidRPr="00723C22">
              <w:t>IQR</w:t>
            </w:r>
          </w:p>
        </w:tc>
        <w:tc>
          <w:tcPr>
            <w:tcW w:w="7185" w:type="dxa"/>
            <w:vAlign w:val="center"/>
          </w:tcPr>
          <w:p w14:paraId="6279F326" w14:textId="00D810D6" w:rsidR="007657E5" w:rsidRPr="00723C22" w:rsidRDefault="007657E5" w:rsidP="004C79C1">
            <w:pPr>
              <w:tabs>
                <w:tab w:val="left" w:pos="2943"/>
              </w:tabs>
              <w:spacing w:after="120" w:line="240" w:lineRule="auto"/>
              <w:ind w:left="142"/>
            </w:pPr>
            <w:r>
              <w:t>i</w:t>
            </w:r>
            <w:r w:rsidRPr="00723C22">
              <w:t>nterquartile range</w:t>
            </w:r>
          </w:p>
        </w:tc>
      </w:tr>
      <w:tr w:rsidR="00DF19A2" w:rsidRPr="00C80E19" w14:paraId="0889F323" w14:textId="77777777" w:rsidTr="00C80E19">
        <w:trPr>
          <w:tblCellSpacing w:w="15" w:type="dxa"/>
        </w:trPr>
        <w:tc>
          <w:tcPr>
            <w:tcW w:w="1656" w:type="dxa"/>
            <w:vAlign w:val="center"/>
          </w:tcPr>
          <w:p w14:paraId="32EEB277" w14:textId="2F4136DF" w:rsidR="00DF19A2" w:rsidRPr="00723C22" w:rsidRDefault="00DF19A2" w:rsidP="004C79C1">
            <w:pPr>
              <w:tabs>
                <w:tab w:val="left" w:pos="2943"/>
              </w:tabs>
              <w:spacing w:after="120" w:line="240" w:lineRule="auto"/>
              <w:ind w:left="142"/>
            </w:pPr>
            <w:r w:rsidRPr="00723C22">
              <w:t>IVIG</w:t>
            </w:r>
          </w:p>
        </w:tc>
        <w:tc>
          <w:tcPr>
            <w:tcW w:w="7185" w:type="dxa"/>
            <w:vAlign w:val="center"/>
          </w:tcPr>
          <w:p w14:paraId="0A415C98" w14:textId="2933C9BA" w:rsidR="00DF19A2" w:rsidRPr="00723C22" w:rsidRDefault="00DF19A2" w:rsidP="004C79C1">
            <w:pPr>
              <w:tabs>
                <w:tab w:val="left" w:pos="2943"/>
              </w:tabs>
              <w:spacing w:after="120" w:line="240" w:lineRule="auto"/>
              <w:ind w:left="142"/>
            </w:pPr>
            <w:r w:rsidRPr="00723C22">
              <w:t>intravenous immunoglobulin</w:t>
            </w:r>
          </w:p>
        </w:tc>
      </w:tr>
      <w:tr w:rsidR="00F548A7" w:rsidRPr="00C80E19" w14:paraId="4C9953E1" w14:textId="77777777" w:rsidTr="00C80E19">
        <w:trPr>
          <w:tblCellSpacing w:w="15" w:type="dxa"/>
        </w:trPr>
        <w:tc>
          <w:tcPr>
            <w:tcW w:w="1656" w:type="dxa"/>
            <w:vAlign w:val="center"/>
          </w:tcPr>
          <w:p w14:paraId="531019A5" w14:textId="3133C338" w:rsidR="00F548A7" w:rsidRPr="00723C22" w:rsidRDefault="00F548A7" w:rsidP="004C79C1">
            <w:pPr>
              <w:tabs>
                <w:tab w:val="left" w:pos="2943"/>
              </w:tabs>
              <w:spacing w:after="120" w:line="240" w:lineRule="auto"/>
              <w:ind w:left="142"/>
            </w:pPr>
            <w:r w:rsidRPr="00723C22">
              <w:t>LGE</w:t>
            </w:r>
          </w:p>
        </w:tc>
        <w:tc>
          <w:tcPr>
            <w:tcW w:w="7185" w:type="dxa"/>
            <w:vAlign w:val="center"/>
          </w:tcPr>
          <w:p w14:paraId="2BB4A7E2" w14:textId="1AB3F349" w:rsidR="00F548A7" w:rsidRPr="00723C22" w:rsidRDefault="00F548A7" w:rsidP="004C79C1">
            <w:pPr>
              <w:tabs>
                <w:tab w:val="left" w:pos="2943"/>
              </w:tabs>
              <w:spacing w:after="120" w:line="240" w:lineRule="auto"/>
              <w:ind w:left="142"/>
            </w:pPr>
            <w:r w:rsidRPr="00723C22">
              <w:t>late gadolinium enhancement</w:t>
            </w:r>
          </w:p>
        </w:tc>
      </w:tr>
      <w:tr w:rsidR="001454DF" w:rsidRPr="00C80E19" w14:paraId="19E12AF0" w14:textId="77777777" w:rsidTr="00C80E19">
        <w:trPr>
          <w:tblCellSpacing w:w="15" w:type="dxa"/>
        </w:trPr>
        <w:tc>
          <w:tcPr>
            <w:tcW w:w="1656" w:type="dxa"/>
            <w:vAlign w:val="center"/>
            <w:hideMark/>
          </w:tcPr>
          <w:p w14:paraId="6A4ECBB9" w14:textId="77777777" w:rsidR="001454DF" w:rsidRPr="00723C22" w:rsidRDefault="001454DF" w:rsidP="004C79C1">
            <w:pPr>
              <w:tabs>
                <w:tab w:val="left" w:pos="2943"/>
              </w:tabs>
              <w:spacing w:after="120" w:line="240" w:lineRule="auto"/>
              <w:ind w:left="142"/>
            </w:pPr>
            <w:r w:rsidRPr="00723C22">
              <w:t>LGE-CMR</w:t>
            </w:r>
          </w:p>
        </w:tc>
        <w:tc>
          <w:tcPr>
            <w:tcW w:w="7185" w:type="dxa"/>
            <w:vAlign w:val="center"/>
            <w:hideMark/>
          </w:tcPr>
          <w:p w14:paraId="6BEA62E7" w14:textId="7C0A8987" w:rsidR="001454DF" w:rsidRPr="00723C22" w:rsidRDefault="001454DF" w:rsidP="004C79C1">
            <w:pPr>
              <w:tabs>
                <w:tab w:val="left" w:pos="2943"/>
              </w:tabs>
              <w:spacing w:after="120" w:line="240" w:lineRule="auto"/>
              <w:ind w:left="142"/>
            </w:pPr>
            <w:r w:rsidRPr="00723C22">
              <w:t xml:space="preserve">late gadolinium enhancement </w:t>
            </w:r>
            <w:r w:rsidR="007657E5" w:rsidRPr="00723C22">
              <w:t xml:space="preserve">cardiac magnetic resonance </w:t>
            </w:r>
            <w:r w:rsidR="007657E5" w:rsidRPr="00FA186D">
              <w:t>(</w:t>
            </w:r>
            <w:r w:rsidR="007657E5" w:rsidRPr="00723C22">
              <w:t>imaging)</w:t>
            </w:r>
          </w:p>
        </w:tc>
      </w:tr>
      <w:tr w:rsidR="000B07ED" w:rsidRPr="00C80E19" w14:paraId="15674EA7" w14:textId="77777777" w:rsidTr="00C80E19">
        <w:trPr>
          <w:tblCellSpacing w:w="15" w:type="dxa"/>
        </w:trPr>
        <w:tc>
          <w:tcPr>
            <w:tcW w:w="1656" w:type="dxa"/>
            <w:vAlign w:val="center"/>
          </w:tcPr>
          <w:p w14:paraId="72C569F6" w14:textId="7A9B222B" w:rsidR="000B07ED" w:rsidRPr="00124E3B" w:rsidRDefault="000B07ED" w:rsidP="004C79C1">
            <w:pPr>
              <w:tabs>
                <w:tab w:val="left" w:pos="2943"/>
              </w:tabs>
              <w:spacing w:after="120" w:line="240" w:lineRule="auto"/>
              <w:ind w:left="142"/>
            </w:pPr>
            <w:r w:rsidRPr="00124E3B">
              <w:t>LR</w:t>
            </w:r>
          </w:p>
        </w:tc>
        <w:tc>
          <w:tcPr>
            <w:tcW w:w="7185" w:type="dxa"/>
            <w:vAlign w:val="center"/>
          </w:tcPr>
          <w:p w14:paraId="1A7F0173" w14:textId="417AC5BF" w:rsidR="000B07ED" w:rsidRPr="00124E3B" w:rsidRDefault="00A66887" w:rsidP="004C79C1">
            <w:pPr>
              <w:tabs>
                <w:tab w:val="left" w:pos="2943"/>
              </w:tabs>
              <w:spacing w:after="120" w:line="240" w:lineRule="auto"/>
              <w:ind w:left="142"/>
            </w:pPr>
            <w:r w:rsidRPr="00124E3B">
              <w:t>l</w:t>
            </w:r>
            <w:r w:rsidR="000B07ED" w:rsidRPr="00124E3B">
              <w:t>ikelihood ratio</w:t>
            </w:r>
          </w:p>
        </w:tc>
      </w:tr>
      <w:tr w:rsidR="001454DF" w:rsidRPr="00C80E19" w14:paraId="2AC7D290" w14:textId="77777777" w:rsidTr="00C80E19">
        <w:trPr>
          <w:tblCellSpacing w:w="15" w:type="dxa"/>
        </w:trPr>
        <w:tc>
          <w:tcPr>
            <w:tcW w:w="1656" w:type="dxa"/>
            <w:vAlign w:val="center"/>
          </w:tcPr>
          <w:p w14:paraId="6E38E5C4" w14:textId="77777777" w:rsidR="001454DF" w:rsidRPr="00723C22" w:rsidRDefault="001454DF" w:rsidP="004C79C1">
            <w:pPr>
              <w:tabs>
                <w:tab w:val="left" w:pos="2943"/>
              </w:tabs>
              <w:spacing w:after="120" w:line="240" w:lineRule="auto"/>
              <w:ind w:left="142"/>
            </w:pPr>
            <w:r w:rsidRPr="00723C22">
              <w:t>LV</w:t>
            </w:r>
          </w:p>
        </w:tc>
        <w:tc>
          <w:tcPr>
            <w:tcW w:w="7185" w:type="dxa"/>
            <w:vAlign w:val="center"/>
          </w:tcPr>
          <w:p w14:paraId="17D39355" w14:textId="77777777" w:rsidR="001454DF" w:rsidRPr="00723C22" w:rsidRDefault="001454DF" w:rsidP="004C79C1">
            <w:pPr>
              <w:tabs>
                <w:tab w:val="left" w:pos="2943"/>
              </w:tabs>
              <w:spacing w:after="120" w:line="240" w:lineRule="auto"/>
              <w:ind w:left="142"/>
            </w:pPr>
            <w:r w:rsidRPr="00723C22">
              <w:t>left ventricular / left ventricle</w:t>
            </w:r>
          </w:p>
        </w:tc>
      </w:tr>
      <w:tr w:rsidR="001454DF" w:rsidRPr="00C80E19" w14:paraId="3D407B67" w14:textId="77777777" w:rsidTr="00C80E19">
        <w:trPr>
          <w:tblCellSpacing w:w="15" w:type="dxa"/>
        </w:trPr>
        <w:tc>
          <w:tcPr>
            <w:tcW w:w="1656" w:type="dxa"/>
            <w:vAlign w:val="center"/>
            <w:hideMark/>
          </w:tcPr>
          <w:p w14:paraId="4EE59802" w14:textId="77777777" w:rsidR="001454DF" w:rsidRPr="00723C22" w:rsidRDefault="001454DF" w:rsidP="004C79C1">
            <w:pPr>
              <w:tabs>
                <w:tab w:val="left" w:pos="2943"/>
              </w:tabs>
              <w:spacing w:after="120" w:line="240" w:lineRule="auto"/>
              <w:ind w:left="142"/>
            </w:pPr>
            <w:r w:rsidRPr="00723C22">
              <w:t>LVEF</w:t>
            </w:r>
          </w:p>
        </w:tc>
        <w:tc>
          <w:tcPr>
            <w:tcW w:w="7185" w:type="dxa"/>
            <w:vAlign w:val="center"/>
            <w:hideMark/>
          </w:tcPr>
          <w:p w14:paraId="59055952" w14:textId="77777777" w:rsidR="001454DF" w:rsidRPr="00723C22" w:rsidRDefault="001454DF" w:rsidP="004C79C1">
            <w:pPr>
              <w:tabs>
                <w:tab w:val="left" w:pos="2943"/>
              </w:tabs>
              <w:spacing w:after="120" w:line="240" w:lineRule="auto"/>
              <w:ind w:left="142"/>
            </w:pPr>
            <w:r w:rsidRPr="00723C22">
              <w:t>left ventricular ejection fraction</w:t>
            </w:r>
          </w:p>
        </w:tc>
      </w:tr>
      <w:tr w:rsidR="00DF19A2" w:rsidRPr="00C80E19" w14:paraId="2291F778" w14:textId="77777777" w:rsidTr="00C80E19">
        <w:trPr>
          <w:tblCellSpacing w:w="15" w:type="dxa"/>
        </w:trPr>
        <w:tc>
          <w:tcPr>
            <w:tcW w:w="1656" w:type="dxa"/>
            <w:vAlign w:val="center"/>
          </w:tcPr>
          <w:p w14:paraId="4DE5D144" w14:textId="54CF8DCF" w:rsidR="00DF19A2" w:rsidRPr="00723C22" w:rsidRDefault="00DF19A2" w:rsidP="004C79C1">
            <w:pPr>
              <w:tabs>
                <w:tab w:val="left" w:pos="2943"/>
              </w:tabs>
              <w:spacing w:after="120" w:line="240" w:lineRule="auto"/>
              <w:ind w:left="142"/>
            </w:pPr>
            <w:r w:rsidRPr="00723C22">
              <w:t>LVNC</w:t>
            </w:r>
          </w:p>
        </w:tc>
        <w:tc>
          <w:tcPr>
            <w:tcW w:w="7185" w:type="dxa"/>
            <w:vAlign w:val="center"/>
          </w:tcPr>
          <w:p w14:paraId="0499FD2A" w14:textId="6BBDB6C7" w:rsidR="00DF19A2" w:rsidRPr="00723C22" w:rsidRDefault="00DF19A2" w:rsidP="004C79C1">
            <w:pPr>
              <w:tabs>
                <w:tab w:val="left" w:pos="2943"/>
              </w:tabs>
              <w:spacing w:after="120" w:line="240" w:lineRule="auto"/>
              <w:ind w:left="142"/>
            </w:pPr>
            <w:r w:rsidRPr="00723C22">
              <w:t>left ventricular non-compaction</w:t>
            </w:r>
          </w:p>
        </w:tc>
      </w:tr>
      <w:tr w:rsidR="001454DF" w:rsidRPr="00C80E19" w14:paraId="5967F665" w14:textId="77777777" w:rsidTr="00C80E19">
        <w:trPr>
          <w:tblCellSpacing w:w="15" w:type="dxa"/>
        </w:trPr>
        <w:tc>
          <w:tcPr>
            <w:tcW w:w="1656" w:type="dxa"/>
            <w:vAlign w:val="center"/>
            <w:hideMark/>
          </w:tcPr>
          <w:p w14:paraId="6DCAE55F" w14:textId="77777777" w:rsidR="001454DF" w:rsidRPr="00723C22" w:rsidRDefault="001454DF" w:rsidP="004C79C1">
            <w:pPr>
              <w:tabs>
                <w:tab w:val="left" w:pos="2943"/>
              </w:tabs>
              <w:spacing w:after="120" w:line="240" w:lineRule="auto"/>
              <w:ind w:left="142"/>
            </w:pPr>
            <w:r w:rsidRPr="00723C22">
              <w:t>MACE</w:t>
            </w:r>
          </w:p>
        </w:tc>
        <w:tc>
          <w:tcPr>
            <w:tcW w:w="7185" w:type="dxa"/>
            <w:vAlign w:val="center"/>
            <w:hideMark/>
          </w:tcPr>
          <w:p w14:paraId="1BCE6E3E" w14:textId="3B4AEB31" w:rsidR="001454DF" w:rsidRPr="00723C22" w:rsidRDefault="000E78A5" w:rsidP="004C79C1">
            <w:pPr>
              <w:tabs>
                <w:tab w:val="left" w:pos="2943"/>
              </w:tabs>
              <w:spacing w:after="120" w:line="240" w:lineRule="auto"/>
              <w:ind w:left="142"/>
              <w:rPr>
                <w:b/>
                <w:lang w:val="en-GB" w:eastAsia="en-US"/>
              </w:rPr>
            </w:pPr>
            <w:r w:rsidRPr="00723C22">
              <w:t>m</w:t>
            </w:r>
            <w:r w:rsidR="001454DF" w:rsidRPr="00723C22">
              <w:t>ajor adverse cardiac events</w:t>
            </w:r>
          </w:p>
        </w:tc>
      </w:tr>
      <w:tr w:rsidR="001454DF" w:rsidRPr="00C80E19" w14:paraId="515F0617" w14:textId="77777777" w:rsidTr="00C80E19">
        <w:trPr>
          <w:tblCellSpacing w:w="15" w:type="dxa"/>
        </w:trPr>
        <w:tc>
          <w:tcPr>
            <w:tcW w:w="1656" w:type="dxa"/>
            <w:vAlign w:val="center"/>
          </w:tcPr>
          <w:p w14:paraId="0464718A" w14:textId="77777777" w:rsidR="001454DF" w:rsidRPr="00723C22" w:rsidRDefault="001454DF" w:rsidP="004C79C1">
            <w:pPr>
              <w:tabs>
                <w:tab w:val="left" w:pos="2943"/>
              </w:tabs>
              <w:spacing w:after="120" w:line="240" w:lineRule="auto"/>
              <w:ind w:left="142"/>
            </w:pPr>
            <w:r w:rsidRPr="00723C22">
              <w:t>MBS</w:t>
            </w:r>
          </w:p>
        </w:tc>
        <w:tc>
          <w:tcPr>
            <w:tcW w:w="7185" w:type="dxa"/>
            <w:vAlign w:val="center"/>
          </w:tcPr>
          <w:p w14:paraId="1C645D61" w14:textId="77777777" w:rsidR="001454DF" w:rsidRPr="00723C22" w:rsidRDefault="001454DF" w:rsidP="004C79C1">
            <w:pPr>
              <w:tabs>
                <w:tab w:val="left" w:pos="2943"/>
              </w:tabs>
              <w:spacing w:after="120" w:line="240" w:lineRule="auto"/>
              <w:ind w:left="142"/>
            </w:pPr>
            <w:r w:rsidRPr="00723C22">
              <w:t>Medicare Benefits Schedule</w:t>
            </w:r>
          </w:p>
        </w:tc>
      </w:tr>
      <w:tr w:rsidR="001454DF" w:rsidRPr="00C80E19" w14:paraId="063A07E5" w14:textId="77777777" w:rsidTr="00C80E19">
        <w:trPr>
          <w:tblCellSpacing w:w="15" w:type="dxa"/>
        </w:trPr>
        <w:tc>
          <w:tcPr>
            <w:tcW w:w="1656" w:type="dxa"/>
            <w:vAlign w:val="center"/>
            <w:hideMark/>
          </w:tcPr>
          <w:p w14:paraId="25B8CEF2" w14:textId="77777777" w:rsidR="001454DF" w:rsidRPr="00723C22" w:rsidRDefault="001454DF" w:rsidP="004C79C1">
            <w:pPr>
              <w:tabs>
                <w:tab w:val="left" w:pos="2943"/>
              </w:tabs>
              <w:spacing w:after="120" w:line="240" w:lineRule="auto"/>
              <w:ind w:left="142"/>
            </w:pPr>
            <w:r w:rsidRPr="00723C22">
              <w:t>MI</w:t>
            </w:r>
          </w:p>
        </w:tc>
        <w:tc>
          <w:tcPr>
            <w:tcW w:w="7185" w:type="dxa"/>
            <w:vAlign w:val="center"/>
            <w:hideMark/>
          </w:tcPr>
          <w:p w14:paraId="3DE7F1F5" w14:textId="442D9270" w:rsidR="001454DF" w:rsidRPr="00723C22" w:rsidRDefault="000E78A5" w:rsidP="004C79C1">
            <w:pPr>
              <w:tabs>
                <w:tab w:val="left" w:pos="2943"/>
              </w:tabs>
              <w:spacing w:after="120" w:line="240" w:lineRule="auto"/>
              <w:ind w:left="142"/>
              <w:rPr>
                <w:b/>
                <w:lang w:val="en-GB" w:eastAsia="en-US"/>
              </w:rPr>
            </w:pPr>
            <w:r w:rsidRPr="00723C22">
              <w:t>m</w:t>
            </w:r>
            <w:r w:rsidR="001454DF" w:rsidRPr="00723C22">
              <w:t>yocardial infarction</w:t>
            </w:r>
          </w:p>
        </w:tc>
      </w:tr>
      <w:tr w:rsidR="0073492E" w:rsidRPr="00C80E19" w14:paraId="420F2B83" w14:textId="77777777" w:rsidTr="00C80E19">
        <w:trPr>
          <w:tblCellSpacing w:w="15" w:type="dxa"/>
        </w:trPr>
        <w:tc>
          <w:tcPr>
            <w:tcW w:w="1656" w:type="dxa"/>
            <w:vAlign w:val="center"/>
          </w:tcPr>
          <w:p w14:paraId="5E56CD67" w14:textId="6B3E9D60" w:rsidR="0073492E" w:rsidRPr="00124E3B" w:rsidRDefault="0073492E" w:rsidP="004C79C1">
            <w:pPr>
              <w:tabs>
                <w:tab w:val="left" w:pos="2943"/>
              </w:tabs>
              <w:spacing w:after="120" w:line="240" w:lineRule="auto"/>
              <w:ind w:left="142"/>
            </w:pPr>
            <w:r w:rsidRPr="00124E3B">
              <w:t>MRI</w:t>
            </w:r>
          </w:p>
        </w:tc>
        <w:tc>
          <w:tcPr>
            <w:tcW w:w="7185" w:type="dxa"/>
            <w:vAlign w:val="center"/>
          </w:tcPr>
          <w:p w14:paraId="4312C4A8" w14:textId="500EC57C" w:rsidR="0073492E" w:rsidRPr="00124E3B" w:rsidRDefault="0073492E" w:rsidP="004C79C1">
            <w:pPr>
              <w:tabs>
                <w:tab w:val="left" w:pos="2943"/>
              </w:tabs>
              <w:spacing w:after="120" w:line="240" w:lineRule="auto"/>
              <w:ind w:left="142"/>
            </w:pPr>
            <w:r w:rsidRPr="00124E3B">
              <w:t>magnetic resonance imaging</w:t>
            </w:r>
          </w:p>
        </w:tc>
      </w:tr>
      <w:tr w:rsidR="001454DF" w:rsidRPr="00C80E19" w14:paraId="4F50C568" w14:textId="77777777" w:rsidTr="00C80E19">
        <w:trPr>
          <w:tblCellSpacing w:w="15" w:type="dxa"/>
        </w:trPr>
        <w:tc>
          <w:tcPr>
            <w:tcW w:w="1656" w:type="dxa"/>
            <w:vAlign w:val="center"/>
          </w:tcPr>
          <w:p w14:paraId="7B4D7F08" w14:textId="77777777" w:rsidR="001454DF" w:rsidRPr="00723C22" w:rsidRDefault="001454DF" w:rsidP="004C79C1">
            <w:pPr>
              <w:tabs>
                <w:tab w:val="left" w:pos="2943"/>
              </w:tabs>
              <w:spacing w:after="120" w:line="240" w:lineRule="auto"/>
              <w:ind w:left="142"/>
            </w:pPr>
            <w:r w:rsidRPr="00723C22">
              <w:t>MSAC</w:t>
            </w:r>
          </w:p>
        </w:tc>
        <w:tc>
          <w:tcPr>
            <w:tcW w:w="7185" w:type="dxa"/>
            <w:vAlign w:val="center"/>
          </w:tcPr>
          <w:p w14:paraId="670F4180" w14:textId="77777777" w:rsidR="001454DF" w:rsidRPr="00723C22" w:rsidRDefault="001454DF" w:rsidP="004C79C1">
            <w:pPr>
              <w:tabs>
                <w:tab w:val="left" w:pos="2943"/>
              </w:tabs>
              <w:spacing w:after="120" w:line="240" w:lineRule="auto"/>
              <w:ind w:left="142"/>
            </w:pPr>
            <w:r w:rsidRPr="00723C22">
              <w:t>Medical Services Advisory Committee</w:t>
            </w:r>
          </w:p>
        </w:tc>
      </w:tr>
      <w:tr w:rsidR="00D87130" w:rsidRPr="00C80E19" w14:paraId="13484A47" w14:textId="77777777" w:rsidTr="00C80E19">
        <w:trPr>
          <w:tblCellSpacing w:w="15" w:type="dxa"/>
        </w:trPr>
        <w:tc>
          <w:tcPr>
            <w:tcW w:w="1656" w:type="dxa"/>
            <w:vAlign w:val="center"/>
          </w:tcPr>
          <w:p w14:paraId="4D8D0FC9" w14:textId="57564807" w:rsidR="00D87130" w:rsidRPr="00124E3B" w:rsidRDefault="00D87130" w:rsidP="004C79C1">
            <w:pPr>
              <w:tabs>
                <w:tab w:val="left" w:pos="2943"/>
              </w:tabs>
              <w:spacing w:after="120" w:line="240" w:lineRule="auto"/>
              <w:ind w:left="142"/>
            </w:pPr>
            <w:r w:rsidRPr="00124E3B">
              <w:t>NEP</w:t>
            </w:r>
          </w:p>
        </w:tc>
        <w:tc>
          <w:tcPr>
            <w:tcW w:w="7185" w:type="dxa"/>
            <w:vAlign w:val="center"/>
          </w:tcPr>
          <w:p w14:paraId="37A36AE3" w14:textId="27A56699" w:rsidR="00D87130" w:rsidRPr="00124E3B" w:rsidRDefault="00D87130" w:rsidP="004C79C1">
            <w:pPr>
              <w:tabs>
                <w:tab w:val="left" w:pos="2943"/>
              </w:tabs>
              <w:spacing w:after="120" w:line="240" w:lineRule="auto"/>
              <w:ind w:left="142"/>
              <w:rPr>
                <w:rFonts w:asciiTheme="minorHAnsi" w:hAnsiTheme="minorHAnsi"/>
                <w:color w:val="000000"/>
                <w:szCs w:val="24"/>
              </w:rPr>
            </w:pPr>
            <w:r w:rsidRPr="00124E3B">
              <w:rPr>
                <w:rFonts w:asciiTheme="minorHAnsi" w:hAnsiTheme="minorHAnsi"/>
                <w:color w:val="000000"/>
                <w:szCs w:val="24"/>
              </w:rPr>
              <w:t>National Efficient Price</w:t>
            </w:r>
          </w:p>
        </w:tc>
      </w:tr>
      <w:tr w:rsidR="001454DF" w:rsidRPr="00C80E19" w14:paraId="42378515" w14:textId="77777777" w:rsidTr="00C80E19">
        <w:trPr>
          <w:tblCellSpacing w:w="15" w:type="dxa"/>
        </w:trPr>
        <w:tc>
          <w:tcPr>
            <w:tcW w:w="1656" w:type="dxa"/>
            <w:vAlign w:val="center"/>
          </w:tcPr>
          <w:p w14:paraId="68B214EC" w14:textId="77777777" w:rsidR="001454DF" w:rsidRPr="00723C22" w:rsidRDefault="001454DF" w:rsidP="004C79C1">
            <w:pPr>
              <w:tabs>
                <w:tab w:val="left" w:pos="2943"/>
              </w:tabs>
              <w:spacing w:after="120" w:line="240" w:lineRule="auto"/>
              <w:ind w:left="142"/>
            </w:pPr>
            <w:r w:rsidRPr="00723C22">
              <w:t>NHMRC</w:t>
            </w:r>
          </w:p>
        </w:tc>
        <w:tc>
          <w:tcPr>
            <w:tcW w:w="7185" w:type="dxa"/>
            <w:vAlign w:val="center"/>
          </w:tcPr>
          <w:p w14:paraId="12D9A264" w14:textId="77777777" w:rsidR="001454DF" w:rsidRPr="00723C22" w:rsidRDefault="001454DF" w:rsidP="004C79C1">
            <w:pPr>
              <w:tabs>
                <w:tab w:val="left" w:pos="2943"/>
              </w:tabs>
              <w:spacing w:after="120" w:line="240" w:lineRule="auto"/>
              <w:ind w:left="142"/>
            </w:pPr>
            <w:r w:rsidRPr="00723C22">
              <w:rPr>
                <w:rFonts w:asciiTheme="minorHAnsi" w:hAnsiTheme="minorHAnsi"/>
                <w:color w:val="000000"/>
                <w:szCs w:val="24"/>
              </w:rPr>
              <w:t>National Health and Medical Research Council</w:t>
            </w:r>
          </w:p>
        </w:tc>
      </w:tr>
      <w:tr w:rsidR="001454DF" w:rsidRPr="00C80E19" w14:paraId="71EE1FD9" w14:textId="77777777" w:rsidTr="00C80E19">
        <w:trPr>
          <w:tblCellSpacing w:w="15" w:type="dxa"/>
        </w:trPr>
        <w:tc>
          <w:tcPr>
            <w:tcW w:w="1656" w:type="dxa"/>
            <w:vAlign w:val="center"/>
          </w:tcPr>
          <w:p w14:paraId="66F95DA7" w14:textId="77777777" w:rsidR="001454DF" w:rsidRPr="00723C22" w:rsidRDefault="001454DF" w:rsidP="004C79C1">
            <w:pPr>
              <w:tabs>
                <w:tab w:val="left" w:pos="2943"/>
              </w:tabs>
              <w:spacing w:after="120" w:line="240" w:lineRule="auto"/>
              <w:ind w:left="142"/>
            </w:pPr>
            <w:r w:rsidRPr="00723C22">
              <w:t>NIDCM</w:t>
            </w:r>
          </w:p>
        </w:tc>
        <w:tc>
          <w:tcPr>
            <w:tcW w:w="7185" w:type="dxa"/>
            <w:vAlign w:val="center"/>
          </w:tcPr>
          <w:p w14:paraId="078AC682" w14:textId="2357B226" w:rsidR="001454DF" w:rsidRPr="00723C22" w:rsidRDefault="00772A9C" w:rsidP="004C79C1">
            <w:pPr>
              <w:tabs>
                <w:tab w:val="left" w:pos="2943"/>
              </w:tabs>
              <w:spacing w:after="120" w:line="240" w:lineRule="auto"/>
              <w:ind w:left="142"/>
              <w:rPr>
                <w:rFonts w:asciiTheme="minorHAnsi" w:hAnsiTheme="minorHAnsi"/>
                <w:b/>
                <w:color w:val="000000"/>
                <w:szCs w:val="24"/>
                <w:lang w:val="en-GB" w:eastAsia="en-US"/>
              </w:rPr>
            </w:pPr>
            <w:r w:rsidRPr="00723C22">
              <w:rPr>
                <w:rFonts w:asciiTheme="minorHAnsi" w:hAnsiTheme="minorHAnsi"/>
                <w:color w:val="000000"/>
                <w:szCs w:val="24"/>
              </w:rPr>
              <w:t>n</w:t>
            </w:r>
            <w:r w:rsidR="001454DF" w:rsidRPr="00723C22">
              <w:rPr>
                <w:rFonts w:asciiTheme="minorHAnsi" w:hAnsiTheme="minorHAnsi"/>
                <w:color w:val="000000"/>
                <w:szCs w:val="24"/>
              </w:rPr>
              <w:t>on-isch</w:t>
            </w:r>
            <w:r w:rsidR="00A40116" w:rsidRPr="00723C22">
              <w:rPr>
                <w:rFonts w:asciiTheme="minorHAnsi" w:hAnsiTheme="minorHAnsi"/>
                <w:color w:val="000000"/>
                <w:szCs w:val="24"/>
              </w:rPr>
              <w:t>a</w:t>
            </w:r>
            <w:r w:rsidR="001454DF" w:rsidRPr="00723C22">
              <w:rPr>
                <w:rFonts w:asciiTheme="minorHAnsi" w:hAnsiTheme="minorHAnsi"/>
                <w:color w:val="000000"/>
                <w:szCs w:val="24"/>
              </w:rPr>
              <w:t>emic dilated cardiomyopathy</w:t>
            </w:r>
          </w:p>
        </w:tc>
      </w:tr>
      <w:tr w:rsidR="00994212" w:rsidRPr="00C80E19" w14:paraId="15EE69ED" w14:textId="77777777" w:rsidTr="00C80E19">
        <w:trPr>
          <w:tblCellSpacing w:w="15" w:type="dxa"/>
        </w:trPr>
        <w:tc>
          <w:tcPr>
            <w:tcW w:w="1656" w:type="dxa"/>
            <w:vAlign w:val="center"/>
          </w:tcPr>
          <w:p w14:paraId="567E4896" w14:textId="7AF76EE3" w:rsidR="00994212" w:rsidRPr="00723C22" w:rsidRDefault="00994212" w:rsidP="004C79C1">
            <w:pPr>
              <w:tabs>
                <w:tab w:val="left" w:pos="2943"/>
              </w:tabs>
              <w:spacing w:after="120" w:line="240" w:lineRule="auto"/>
              <w:ind w:left="142"/>
            </w:pPr>
            <w:r w:rsidRPr="00723C22">
              <w:t>NPV</w:t>
            </w:r>
          </w:p>
        </w:tc>
        <w:tc>
          <w:tcPr>
            <w:tcW w:w="7185" w:type="dxa"/>
            <w:vAlign w:val="center"/>
          </w:tcPr>
          <w:p w14:paraId="45B39881" w14:textId="22C306DE" w:rsidR="00994212" w:rsidRPr="00723C22" w:rsidRDefault="00E83716" w:rsidP="004C79C1">
            <w:pPr>
              <w:tabs>
                <w:tab w:val="left" w:pos="2943"/>
              </w:tabs>
              <w:spacing w:after="120" w:line="240" w:lineRule="auto"/>
              <w:ind w:left="142"/>
            </w:pPr>
            <w:r>
              <w:t>nega</w:t>
            </w:r>
            <w:r w:rsidR="00994212" w:rsidRPr="00124E3B">
              <w:t>tive predictive value</w:t>
            </w:r>
          </w:p>
        </w:tc>
      </w:tr>
      <w:tr w:rsidR="001454DF" w:rsidRPr="00C80E19" w14:paraId="392193A2" w14:textId="77777777" w:rsidTr="00C80E19">
        <w:trPr>
          <w:tblCellSpacing w:w="15" w:type="dxa"/>
        </w:trPr>
        <w:tc>
          <w:tcPr>
            <w:tcW w:w="1656" w:type="dxa"/>
            <w:vAlign w:val="center"/>
            <w:hideMark/>
          </w:tcPr>
          <w:p w14:paraId="5748B1A1" w14:textId="77777777" w:rsidR="001454DF" w:rsidRPr="00723C22" w:rsidRDefault="001454DF" w:rsidP="004C79C1">
            <w:pPr>
              <w:tabs>
                <w:tab w:val="left" w:pos="2943"/>
              </w:tabs>
              <w:spacing w:after="120" w:line="240" w:lineRule="auto"/>
              <w:ind w:left="142"/>
            </w:pPr>
            <w:r w:rsidRPr="00723C22">
              <w:lastRenderedPageBreak/>
              <w:t>NR</w:t>
            </w:r>
          </w:p>
        </w:tc>
        <w:tc>
          <w:tcPr>
            <w:tcW w:w="7185" w:type="dxa"/>
            <w:vAlign w:val="center"/>
            <w:hideMark/>
          </w:tcPr>
          <w:p w14:paraId="1AD3599D" w14:textId="7A64B3AB" w:rsidR="001454DF" w:rsidRPr="00723C22" w:rsidRDefault="00772A9C" w:rsidP="004C79C1">
            <w:pPr>
              <w:tabs>
                <w:tab w:val="left" w:pos="2943"/>
              </w:tabs>
              <w:spacing w:after="120" w:line="240" w:lineRule="auto"/>
              <w:ind w:left="142"/>
              <w:rPr>
                <w:b/>
                <w:lang w:val="en-GB" w:eastAsia="en-US"/>
              </w:rPr>
            </w:pPr>
            <w:r w:rsidRPr="00723C22">
              <w:t>n</w:t>
            </w:r>
            <w:r w:rsidR="001454DF" w:rsidRPr="00723C22">
              <w:t xml:space="preserve">ot </w:t>
            </w:r>
            <w:r w:rsidRPr="00723C22">
              <w:t>r</w:t>
            </w:r>
            <w:r w:rsidR="001454DF" w:rsidRPr="00723C22">
              <w:t>eported</w:t>
            </w:r>
          </w:p>
        </w:tc>
      </w:tr>
      <w:tr w:rsidR="00C74966" w:rsidRPr="00E83716" w14:paraId="01D7F486" w14:textId="77777777" w:rsidTr="00C80E19">
        <w:trPr>
          <w:tblCellSpacing w:w="15" w:type="dxa"/>
        </w:trPr>
        <w:tc>
          <w:tcPr>
            <w:tcW w:w="1656" w:type="dxa"/>
            <w:vAlign w:val="center"/>
          </w:tcPr>
          <w:p w14:paraId="46DBF7AB" w14:textId="3F7636FC" w:rsidR="00C74966" w:rsidRPr="00124E3B" w:rsidRDefault="00C74966" w:rsidP="004C79C1">
            <w:pPr>
              <w:tabs>
                <w:tab w:val="left" w:pos="2943"/>
              </w:tabs>
              <w:spacing w:after="120" w:line="240" w:lineRule="auto"/>
              <w:ind w:left="142"/>
            </w:pPr>
            <w:r w:rsidRPr="00124E3B">
              <w:t>NYHA</w:t>
            </w:r>
          </w:p>
        </w:tc>
        <w:tc>
          <w:tcPr>
            <w:tcW w:w="7185" w:type="dxa"/>
            <w:vAlign w:val="center"/>
          </w:tcPr>
          <w:p w14:paraId="7FB946A4" w14:textId="186A4217" w:rsidR="00C74966" w:rsidRPr="00124E3B" w:rsidRDefault="00C74966" w:rsidP="004C79C1">
            <w:pPr>
              <w:tabs>
                <w:tab w:val="left" w:pos="2943"/>
              </w:tabs>
              <w:spacing w:after="120" w:line="240" w:lineRule="auto"/>
              <w:ind w:left="142"/>
              <w:rPr>
                <w:rFonts w:asciiTheme="minorHAnsi" w:hAnsiTheme="minorHAnsi"/>
                <w:color w:val="000000"/>
              </w:rPr>
            </w:pPr>
            <w:r w:rsidRPr="00124E3B">
              <w:rPr>
                <w:rFonts w:asciiTheme="minorHAnsi" w:eastAsiaTheme="minorEastAsia" w:hAnsiTheme="minorHAnsi" w:cstheme="minorBidi"/>
                <w:iCs/>
                <w:lang w:eastAsia="en-US"/>
              </w:rPr>
              <w:t>New York Heart Association</w:t>
            </w:r>
          </w:p>
        </w:tc>
      </w:tr>
      <w:tr w:rsidR="00FD5397" w:rsidRPr="00C80E19" w14:paraId="000D5895" w14:textId="77777777" w:rsidTr="00C80E19">
        <w:trPr>
          <w:tblCellSpacing w:w="15" w:type="dxa"/>
        </w:trPr>
        <w:tc>
          <w:tcPr>
            <w:tcW w:w="1656" w:type="dxa"/>
            <w:vAlign w:val="center"/>
          </w:tcPr>
          <w:p w14:paraId="28CE2C31" w14:textId="1B0BE9F4" w:rsidR="00FD5397" w:rsidRPr="00124E3B" w:rsidRDefault="00FD5397" w:rsidP="004C79C1">
            <w:pPr>
              <w:tabs>
                <w:tab w:val="left" w:pos="2943"/>
              </w:tabs>
              <w:spacing w:after="120" w:line="240" w:lineRule="auto"/>
              <w:ind w:left="142"/>
            </w:pPr>
            <w:r w:rsidRPr="00124E3B">
              <w:t>OMT</w:t>
            </w:r>
          </w:p>
        </w:tc>
        <w:tc>
          <w:tcPr>
            <w:tcW w:w="7185" w:type="dxa"/>
            <w:vAlign w:val="center"/>
          </w:tcPr>
          <w:p w14:paraId="08820BDA" w14:textId="331AF45C" w:rsidR="00FD5397" w:rsidRPr="00124E3B" w:rsidRDefault="00FD5397" w:rsidP="004C79C1">
            <w:pPr>
              <w:tabs>
                <w:tab w:val="left" w:pos="2943"/>
              </w:tabs>
              <w:spacing w:after="120" w:line="240" w:lineRule="auto"/>
              <w:ind w:left="142"/>
              <w:rPr>
                <w:rFonts w:asciiTheme="minorHAnsi" w:hAnsiTheme="minorHAnsi"/>
                <w:color w:val="000000"/>
                <w:szCs w:val="24"/>
              </w:rPr>
            </w:pPr>
            <w:r w:rsidRPr="00124E3B">
              <w:rPr>
                <w:rFonts w:asciiTheme="minorHAnsi" w:hAnsiTheme="minorHAnsi"/>
                <w:color w:val="000000"/>
                <w:szCs w:val="24"/>
              </w:rPr>
              <w:t>optimal medical treatment</w:t>
            </w:r>
          </w:p>
        </w:tc>
      </w:tr>
      <w:tr w:rsidR="00FA7A2D" w:rsidRPr="00C80E19" w14:paraId="6C67C233" w14:textId="77777777" w:rsidTr="00C80E19">
        <w:trPr>
          <w:tblCellSpacing w:w="15" w:type="dxa"/>
        </w:trPr>
        <w:tc>
          <w:tcPr>
            <w:tcW w:w="1656" w:type="dxa"/>
            <w:vAlign w:val="center"/>
          </w:tcPr>
          <w:p w14:paraId="1CD4114C" w14:textId="63920E05" w:rsidR="00FA7A2D" w:rsidRPr="00124E3B" w:rsidRDefault="00FA7A2D" w:rsidP="004C79C1">
            <w:pPr>
              <w:tabs>
                <w:tab w:val="left" w:pos="2943"/>
              </w:tabs>
              <w:spacing w:after="120" w:line="240" w:lineRule="auto"/>
              <w:ind w:left="142"/>
            </w:pPr>
            <w:r w:rsidRPr="00124E3B">
              <w:t>OR</w:t>
            </w:r>
          </w:p>
        </w:tc>
        <w:tc>
          <w:tcPr>
            <w:tcW w:w="7185" w:type="dxa"/>
            <w:vAlign w:val="center"/>
          </w:tcPr>
          <w:p w14:paraId="0EA85F96" w14:textId="68BC3677" w:rsidR="00FA7A2D" w:rsidRPr="00124E3B" w:rsidRDefault="00FA7A2D" w:rsidP="004C79C1">
            <w:pPr>
              <w:tabs>
                <w:tab w:val="left" w:pos="2943"/>
              </w:tabs>
              <w:spacing w:after="120" w:line="240" w:lineRule="auto"/>
              <w:ind w:left="142"/>
              <w:rPr>
                <w:rFonts w:asciiTheme="minorHAnsi" w:hAnsiTheme="minorHAnsi"/>
                <w:color w:val="000000"/>
                <w:szCs w:val="24"/>
              </w:rPr>
            </w:pPr>
            <w:r w:rsidRPr="00124E3B">
              <w:rPr>
                <w:rFonts w:asciiTheme="minorHAnsi" w:hAnsiTheme="minorHAnsi"/>
                <w:color w:val="000000"/>
                <w:szCs w:val="24"/>
              </w:rPr>
              <w:t>odds ratio</w:t>
            </w:r>
          </w:p>
        </w:tc>
      </w:tr>
      <w:tr w:rsidR="001454DF" w:rsidRPr="00C80E19" w14:paraId="4E519C4F" w14:textId="77777777" w:rsidTr="00C80E19">
        <w:trPr>
          <w:tblCellSpacing w:w="15" w:type="dxa"/>
        </w:trPr>
        <w:tc>
          <w:tcPr>
            <w:tcW w:w="1656" w:type="dxa"/>
            <w:vAlign w:val="center"/>
          </w:tcPr>
          <w:p w14:paraId="58297F26" w14:textId="77777777" w:rsidR="001454DF" w:rsidRPr="00723C22" w:rsidRDefault="001454DF" w:rsidP="004C79C1">
            <w:pPr>
              <w:tabs>
                <w:tab w:val="left" w:pos="2943"/>
              </w:tabs>
              <w:spacing w:after="120" w:line="240" w:lineRule="auto"/>
              <w:ind w:left="142"/>
            </w:pPr>
            <w:r w:rsidRPr="00723C22">
              <w:t>PASC</w:t>
            </w:r>
          </w:p>
        </w:tc>
        <w:tc>
          <w:tcPr>
            <w:tcW w:w="7185" w:type="dxa"/>
            <w:vAlign w:val="center"/>
          </w:tcPr>
          <w:p w14:paraId="4AFFB1B7" w14:textId="3C2C954E" w:rsidR="001454DF" w:rsidRPr="00723C22" w:rsidRDefault="0047185C" w:rsidP="004C79C1">
            <w:pPr>
              <w:tabs>
                <w:tab w:val="left" w:pos="2943"/>
              </w:tabs>
              <w:spacing w:after="120" w:line="240" w:lineRule="auto"/>
              <w:ind w:left="142"/>
              <w:rPr>
                <w:rFonts w:asciiTheme="minorHAnsi" w:hAnsiTheme="minorHAnsi"/>
                <w:color w:val="000000"/>
                <w:szCs w:val="24"/>
              </w:rPr>
            </w:pPr>
            <w:r w:rsidRPr="00723C22">
              <w:rPr>
                <w:rFonts w:asciiTheme="minorHAnsi" w:hAnsiTheme="minorHAnsi"/>
                <w:color w:val="000000"/>
                <w:szCs w:val="24"/>
              </w:rPr>
              <w:t>Protocol</w:t>
            </w:r>
            <w:r w:rsidR="001454DF" w:rsidRPr="00723C22">
              <w:rPr>
                <w:rFonts w:asciiTheme="minorHAnsi" w:hAnsiTheme="minorHAnsi"/>
                <w:color w:val="000000"/>
                <w:szCs w:val="24"/>
              </w:rPr>
              <w:t xml:space="preserve"> Advisory Sub-Committee of the MSAC</w:t>
            </w:r>
          </w:p>
        </w:tc>
      </w:tr>
      <w:tr w:rsidR="001454DF" w:rsidRPr="00C80E19" w14:paraId="6938C488" w14:textId="77777777" w:rsidTr="00C80E19">
        <w:trPr>
          <w:tblCellSpacing w:w="15" w:type="dxa"/>
        </w:trPr>
        <w:tc>
          <w:tcPr>
            <w:tcW w:w="1656" w:type="dxa"/>
            <w:vAlign w:val="center"/>
            <w:hideMark/>
          </w:tcPr>
          <w:p w14:paraId="2BE672F1" w14:textId="77777777" w:rsidR="001454DF" w:rsidRPr="00723C22" w:rsidRDefault="001454DF" w:rsidP="004C79C1">
            <w:pPr>
              <w:tabs>
                <w:tab w:val="left" w:pos="2943"/>
              </w:tabs>
              <w:spacing w:after="120" w:line="240" w:lineRule="auto"/>
              <w:ind w:left="142"/>
            </w:pPr>
            <w:r w:rsidRPr="00723C22">
              <w:t>PCI</w:t>
            </w:r>
          </w:p>
        </w:tc>
        <w:tc>
          <w:tcPr>
            <w:tcW w:w="7185" w:type="dxa"/>
            <w:vAlign w:val="center"/>
            <w:hideMark/>
          </w:tcPr>
          <w:p w14:paraId="42D46523" w14:textId="38F44BD7" w:rsidR="001454DF" w:rsidRPr="007657E5" w:rsidRDefault="000E78A5" w:rsidP="004C79C1">
            <w:pPr>
              <w:tabs>
                <w:tab w:val="left" w:pos="2943"/>
              </w:tabs>
              <w:spacing w:after="120" w:line="240" w:lineRule="auto"/>
              <w:ind w:left="142"/>
              <w:rPr>
                <w:b/>
                <w:lang w:val="en-GB" w:eastAsia="en-US"/>
              </w:rPr>
            </w:pPr>
            <w:r w:rsidRPr="00723C22">
              <w:t>p</w:t>
            </w:r>
            <w:r w:rsidR="001454DF" w:rsidRPr="00723C22">
              <w:t xml:space="preserve">ercutaneous </w:t>
            </w:r>
            <w:r w:rsidRPr="00723C22">
              <w:t>c</w:t>
            </w:r>
            <w:r w:rsidR="001454DF" w:rsidRPr="00723C22">
              <w:t xml:space="preserve">oronary </w:t>
            </w:r>
            <w:r w:rsidRPr="00723C22">
              <w:t>i</w:t>
            </w:r>
            <w:r w:rsidR="001454DF" w:rsidRPr="007657E5">
              <w:t>ntervention</w:t>
            </w:r>
          </w:p>
        </w:tc>
      </w:tr>
      <w:tr w:rsidR="00D633BF" w:rsidRPr="00D633BF" w14:paraId="378B640D" w14:textId="77777777" w:rsidTr="00C80E19">
        <w:trPr>
          <w:tblCellSpacing w:w="15" w:type="dxa"/>
        </w:trPr>
        <w:tc>
          <w:tcPr>
            <w:tcW w:w="1656" w:type="dxa"/>
            <w:vAlign w:val="center"/>
          </w:tcPr>
          <w:p w14:paraId="3E3EA934" w14:textId="2DA0CAD7" w:rsidR="00D633BF" w:rsidRPr="00124E3B" w:rsidRDefault="00D633BF" w:rsidP="004C79C1">
            <w:pPr>
              <w:tabs>
                <w:tab w:val="left" w:pos="2943"/>
              </w:tabs>
              <w:spacing w:after="120" w:line="240" w:lineRule="auto"/>
              <w:ind w:left="142"/>
              <w:rPr>
                <w:rFonts w:asciiTheme="minorHAnsi" w:hAnsiTheme="minorHAnsi"/>
              </w:rPr>
            </w:pPr>
            <w:r w:rsidRPr="00124E3B">
              <w:rPr>
                <w:rFonts w:asciiTheme="minorHAnsi" w:hAnsiTheme="minorHAnsi"/>
              </w:rPr>
              <w:t>PCR</w:t>
            </w:r>
          </w:p>
        </w:tc>
        <w:tc>
          <w:tcPr>
            <w:tcW w:w="7185" w:type="dxa"/>
            <w:vAlign w:val="center"/>
          </w:tcPr>
          <w:p w14:paraId="04EDF2E1" w14:textId="798A170B" w:rsidR="00D633BF" w:rsidRPr="00124E3B" w:rsidRDefault="00D633BF" w:rsidP="004C79C1">
            <w:pPr>
              <w:tabs>
                <w:tab w:val="left" w:pos="2943"/>
              </w:tabs>
              <w:spacing w:after="120" w:line="240" w:lineRule="auto"/>
              <w:ind w:left="142"/>
              <w:rPr>
                <w:rFonts w:asciiTheme="minorHAnsi" w:hAnsiTheme="minorHAnsi"/>
              </w:rPr>
            </w:pPr>
            <w:r w:rsidRPr="00124E3B">
              <w:rPr>
                <w:rFonts w:asciiTheme="minorHAnsi" w:hAnsiTheme="minorHAnsi"/>
              </w:rPr>
              <w:t>polymerase chain reaction</w:t>
            </w:r>
          </w:p>
        </w:tc>
      </w:tr>
      <w:tr w:rsidR="0059202C" w:rsidRPr="00C80E19" w14:paraId="598CD172" w14:textId="77777777" w:rsidTr="00C80E19">
        <w:trPr>
          <w:tblCellSpacing w:w="15" w:type="dxa"/>
        </w:trPr>
        <w:tc>
          <w:tcPr>
            <w:tcW w:w="1656" w:type="dxa"/>
            <w:vAlign w:val="center"/>
          </w:tcPr>
          <w:p w14:paraId="02F8AABF" w14:textId="2A6C3824" w:rsidR="0059202C" w:rsidRPr="00124E3B" w:rsidRDefault="0059202C" w:rsidP="004C79C1">
            <w:pPr>
              <w:tabs>
                <w:tab w:val="left" w:pos="2943"/>
              </w:tabs>
              <w:spacing w:after="120" w:line="240" w:lineRule="auto"/>
              <w:ind w:left="142"/>
            </w:pPr>
            <w:r w:rsidRPr="00124E3B">
              <w:t>PHI</w:t>
            </w:r>
          </w:p>
        </w:tc>
        <w:tc>
          <w:tcPr>
            <w:tcW w:w="7185" w:type="dxa"/>
            <w:vAlign w:val="center"/>
          </w:tcPr>
          <w:p w14:paraId="18BB03C8" w14:textId="328494D3" w:rsidR="0059202C" w:rsidRPr="00124E3B" w:rsidRDefault="0059202C" w:rsidP="004C79C1">
            <w:pPr>
              <w:tabs>
                <w:tab w:val="left" w:pos="2943"/>
              </w:tabs>
              <w:spacing w:after="120" w:line="240" w:lineRule="auto"/>
              <w:ind w:left="142"/>
            </w:pPr>
            <w:r w:rsidRPr="00124E3B">
              <w:t>private health insurer</w:t>
            </w:r>
            <w:r w:rsidR="007A6FBF" w:rsidRPr="00124E3B">
              <w:t>/insurance</w:t>
            </w:r>
          </w:p>
        </w:tc>
      </w:tr>
      <w:tr w:rsidR="00732125" w:rsidRPr="00C80E19" w14:paraId="25C3147B" w14:textId="77777777" w:rsidTr="00C80E19">
        <w:trPr>
          <w:tblCellSpacing w:w="15" w:type="dxa"/>
        </w:trPr>
        <w:tc>
          <w:tcPr>
            <w:tcW w:w="1656" w:type="dxa"/>
            <w:vAlign w:val="center"/>
          </w:tcPr>
          <w:p w14:paraId="1B377AB1" w14:textId="47F58AE0" w:rsidR="00732125" w:rsidRPr="00124E3B" w:rsidRDefault="00732125" w:rsidP="004C79C1">
            <w:pPr>
              <w:tabs>
                <w:tab w:val="left" w:pos="2943"/>
              </w:tabs>
              <w:spacing w:after="120" w:line="240" w:lineRule="auto"/>
              <w:ind w:left="142"/>
            </w:pPr>
            <w:r w:rsidRPr="007657E5">
              <w:t>PICO</w:t>
            </w:r>
          </w:p>
        </w:tc>
        <w:tc>
          <w:tcPr>
            <w:tcW w:w="7185" w:type="dxa"/>
            <w:vAlign w:val="center"/>
          </w:tcPr>
          <w:p w14:paraId="3A6A942B" w14:textId="34FD8687" w:rsidR="00732125" w:rsidRPr="007657E5" w:rsidRDefault="006326E7" w:rsidP="004C79C1">
            <w:pPr>
              <w:tabs>
                <w:tab w:val="left" w:pos="2943"/>
              </w:tabs>
              <w:spacing w:after="120" w:line="240" w:lineRule="auto"/>
              <w:ind w:left="142"/>
              <w:rPr>
                <w:b/>
                <w:lang w:val="en-GB" w:eastAsia="en-US"/>
              </w:rPr>
            </w:pPr>
            <w:r w:rsidRPr="007657E5">
              <w:t>population, investigation / index test, comparator and outcomes</w:t>
            </w:r>
          </w:p>
        </w:tc>
      </w:tr>
      <w:tr w:rsidR="0000270E" w:rsidRPr="00C80E19" w14:paraId="7EFCF407" w14:textId="77777777" w:rsidTr="00C80E19">
        <w:trPr>
          <w:tblCellSpacing w:w="15" w:type="dxa"/>
        </w:trPr>
        <w:tc>
          <w:tcPr>
            <w:tcW w:w="1656" w:type="dxa"/>
            <w:vAlign w:val="center"/>
          </w:tcPr>
          <w:p w14:paraId="0B07B8CA" w14:textId="51E4B35B" w:rsidR="0000270E" w:rsidRPr="00124E3B" w:rsidRDefault="0000270E" w:rsidP="004C79C1">
            <w:pPr>
              <w:tabs>
                <w:tab w:val="left" w:pos="2943"/>
              </w:tabs>
              <w:spacing w:after="120" w:line="240" w:lineRule="auto"/>
              <w:ind w:left="142"/>
            </w:pPr>
            <w:r w:rsidRPr="00124E3B">
              <w:t>PPV</w:t>
            </w:r>
          </w:p>
        </w:tc>
        <w:tc>
          <w:tcPr>
            <w:tcW w:w="7185" w:type="dxa"/>
            <w:vAlign w:val="center"/>
          </w:tcPr>
          <w:p w14:paraId="4248D415" w14:textId="542E1AF9" w:rsidR="0000270E" w:rsidRPr="00124E3B" w:rsidRDefault="00994212" w:rsidP="004C79C1">
            <w:pPr>
              <w:tabs>
                <w:tab w:val="left" w:pos="2943"/>
              </w:tabs>
              <w:spacing w:after="120" w:line="240" w:lineRule="auto"/>
              <w:ind w:left="142"/>
            </w:pPr>
            <w:r w:rsidRPr="00124E3B">
              <w:t>positive predictive value</w:t>
            </w:r>
          </w:p>
        </w:tc>
      </w:tr>
      <w:tr w:rsidR="001454DF" w:rsidRPr="00C80E19" w14:paraId="58E4DB5C" w14:textId="77777777" w:rsidTr="00C80E19">
        <w:trPr>
          <w:tblCellSpacing w:w="15" w:type="dxa"/>
        </w:trPr>
        <w:tc>
          <w:tcPr>
            <w:tcW w:w="1656" w:type="dxa"/>
            <w:vAlign w:val="center"/>
            <w:hideMark/>
          </w:tcPr>
          <w:p w14:paraId="61B42613" w14:textId="77777777" w:rsidR="001454DF" w:rsidRPr="007657E5" w:rsidRDefault="001454DF" w:rsidP="004C79C1">
            <w:pPr>
              <w:tabs>
                <w:tab w:val="left" w:pos="2943"/>
              </w:tabs>
              <w:spacing w:after="120" w:line="240" w:lineRule="auto"/>
              <w:ind w:left="142"/>
            </w:pPr>
            <w:r w:rsidRPr="007657E5">
              <w:t>PTP</w:t>
            </w:r>
          </w:p>
        </w:tc>
        <w:tc>
          <w:tcPr>
            <w:tcW w:w="7185" w:type="dxa"/>
            <w:vAlign w:val="center"/>
            <w:hideMark/>
          </w:tcPr>
          <w:p w14:paraId="57259C2A" w14:textId="77777777" w:rsidR="001454DF" w:rsidRPr="007657E5" w:rsidRDefault="001454DF" w:rsidP="004C79C1">
            <w:pPr>
              <w:tabs>
                <w:tab w:val="left" w:pos="2943"/>
              </w:tabs>
              <w:spacing w:after="120" w:line="240" w:lineRule="auto"/>
              <w:ind w:left="142"/>
            </w:pPr>
            <w:r w:rsidRPr="007657E5">
              <w:t>pre-test probability</w:t>
            </w:r>
          </w:p>
        </w:tc>
      </w:tr>
      <w:tr w:rsidR="001454DF" w:rsidRPr="00C80E19" w14:paraId="1D72C4DF" w14:textId="77777777" w:rsidTr="00C80E19">
        <w:trPr>
          <w:tblCellSpacing w:w="15" w:type="dxa"/>
        </w:trPr>
        <w:tc>
          <w:tcPr>
            <w:tcW w:w="1656" w:type="dxa"/>
            <w:vAlign w:val="center"/>
          </w:tcPr>
          <w:p w14:paraId="5EC04C09" w14:textId="77777777" w:rsidR="001454DF" w:rsidRPr="007657E5" w:rsidRDefault="001454DF" w:rsidP="004C79C1">
            <w:pPr>
              <w:tabs>
                <w:tab w:val="left" w:pos="2943"/>
              </w:tabs>
              <w:spacing w:after="120" w:line="240" w:lineRule="auto"/>
              <w:ind w:left="142"/>
            </w:pPr>
            <w:r w:rsidRPr="007657E5">
              <w:t>QALY</w:t>
            </w:r>
          </w:p>
        </w:tc>
        <w:tc>
          <w:tcPr>
            <w:tcW w:w="7185" w:type="dxa"/>
            <w:vAlign w:val="center"/>
          </w:tcPr>
          <w:p w14:paraId="1231D987" w14:textId="0F0E46E8" w:rsidR="001454DF" w:rsidRPr="007657E5" w:rsidRDefault="000E78A5" w:rsidP="004C79C1">
            <w:pPr>
              <w:tabs>
                <w:tab w:val="left" w:pos="2943"/>
              </w:tabs>
              <w:spacing w:after="120" w:line="240" w:lineRule="auto"/>
              <w:ind w:left="142"/>
              <w:rPr>
                <w:rFonts w:asciiTheme="minorHAnsi" w:hAnsiTheme="minorHAnsi"/>
                <w:b/>
                <w:color w:val="000000"/>
                <w:szCs w:val="24"/>
                <w:lang w:val="en-GB" w:eastAsia="en-US"/>
              </w:rPr>
            </w:pPr>
            <w:r w:rsidRPr="007657E5">
              <w:t>q</w:t>
            </w:r>
            <w:r w:rsidR="001454DF" w:rsidRPr="007657E5">
              <w:t>uality adjusted life year</w:t>
            </w:r>
          </w:p>
        </w:tc>
      </w:tr>
      <w:tr w:rsidR="00C301E8" w:rsidRPr="00C80E19" w14:paraId="50E9DA90" w14:textId="77777777" w:rsidTr="00C80E19">
        <w:trPr>
          <w:tblCellSpacing w:w="15" w:type="dxa"/>
        </w:trPr>
        <w:tc>
          <w:tcPr>
            <w:tcW w:w="1656" w:type="dxa"/>
            <w:vAlign w:val="center"/>
          </w:tcPr>
          <w:p w14:paraId="0B733A60" w14:textId="36729C08" w:rsidR="00C301E8" w:rsidRPr="007657E5" w:rsidRDefault="00C301E8" w:rsidP="004C79C1">
            <w:pPr>
              <w:tabs>
                <w:tab w:val="left" w:pos="2943"/>
              </w:tabs>
              <w:spacing w:after="120" w:line="240" w:lineRule="auto"/>
              <w:ind w:left="142"/>
            </w:pPr>
            <w:r w:rsidRPr="007657E5">
              <w:t>RCT</w:t>
            </w:r>
          </w:p>
        </w:tc>
        <w:tc>
          <w:tcPr>
            <w:tcW w:w="7185" w:type="dxa"/>
            <w:vAlign w:val="center"/>
          </w:tcPr>
          <w:p w14:paraId="5E933875" w14:textId="75F2138E" w:rsidR="00C301E8" w:rsidRPr="007657E5" w:rsidRDefault="00C301E8" w:rsidP="004C79C1">
            <w:pPr>
              <w:tabs>
                <w:tab w:val="left" w:pos="2943"/>
              </w:tabs>
              <w:spacing w:after="120" w:line="240" w:lineRule="auto"/>
              <w:ind w:left="142"/>
            </w:pPr>
            <w:r w:rsidRPr="007657E5">
              <w:t>randomised controlled trial</w:t>
            </w:r>
          </w:p>
        </w:tc>
      </w:tr>
      <w:tr w:rsidR="004F6FA3" w:rsidRPr="00C80E19" w14:paraId="56682182" w14:textId="77777777" w:rsidTr="00C80E19">
        <w:trPr>
          <w:tblCellSpacing w:w="15" w:type="dxa"/>
        </w:trPr>
        <w:tc>
          <w:tcPr>
            <w:tcW w:w="1656" w:type="dxa"/>
            <w:vAlign w:val="center"/>
          </w:tcPr>
          <w:p w14:paraId="353A61D3" w14:textId="73DA4BD8" w:rsidR="004F6FA3" w:rsidRPr="007657E5" w:rsidRDefault="004F6FA3" w:rsidP="004C79C1">
            <w:pPr>
              <w:tabs>
                <w:tab w:val="left" w:pos="2943"/>
              </w:tabs>
              <w:spacing w:after="120" w:line="240" w:lineRule="auto"/>
              <w:ind w:left="142"/>
            </w:pPr>
            <w:r w:rsidRPr="007657E5">
              <w:t>SCD</w:t>
            </w:r>
          </w:p>
        </w:tc>
        <w:tc>
          <w:tcPr>
            <w:tcW w:w="7185" w:type="dxa"/>
            <w:vAlign w:val="center"/>
          </w:tcPr>
          <w:p w14:paraId="1BC7ADED" w14:textId="2C8E6675" w:rsidR="004F6FA3" w:rsidRPr="007657E5" w:rsidRDefault="004F6FA3" w:rsidP="004C79C1">
            <w:pPr>
              <w:tabs>
                <w:tab w:val="left" w:pos="2943"/>
              </w:tabs>
              <w:spacing w:after="120" w:line="240" w:lineRule="auto"/>
              <w:ind w:left="142"/>
            </w:pPr>
            <w:r w:rsidRPr="007657E5">
              <w:t>sudden cardiac death</w:t>
            </w:r>
          </w:p>
        </w:tc>
      </w:tr>
      <w:tr w:rsidR="00EB6C03" w:rsidRPr="00EB6C03" w14:paraId="473F432D" w14:textId="77777777" w:rsidTr="00C80E19">
        <w:trPr>
          <w:tblCellSpacing w:w="15" w:type="dxa"/>
        </w:trPr>
        <w:tc>
          <w:tcPr>
            <w:tcW w:w="1656" w:type="dxa"/>
            <w:vAlign w:val="center"/>
          </w:tcPr>
          <w:p w14:paraId="6AEC6EC2" w14:textId="09F42D20" w:rsidR="00EB6C03" w:rsidRPr="00124E3B" w:rsidRDefault="00EB6C03" w:rsidP="004C79C1">
            <w:pPr>
              <w:tabs>
                <w:tab w:val="left" w:pos="2943"/>
              </w:tabs>
              <w:spacing w:after="120" w:line="240" w:lineRule="auto"/>
              <w:ind w:left="142"/>
              <w:rPr>
                <w:rFonts w:asciiTheme="minorHAnsi" w:hAnsiTheme="minorHAnsi"/>
              </w:rPr>
            </w:pPr>
            <w:r w:rsidRPr="00124E3B">
              <w:rPr>
                <w:rFonts w:asciiTheme="minorHAnsi" w:hAnsiTheme="minorHAnsi"/>
              </w:rPr>
              <w:t>SIGN</w:t>
            </w:r>
          </w:p>
        </w:tc>
        <w:tc>
          <w:tcPr>
            <w:tcW w:w="7185" w:type="dxa"/>
            <w:vAlign w:val="center"/>
          </w:tcPr>
          <w:p w14:paraId="0B61EFF5" w14:textId="508E3801" w:rsidR="00EB6C03" w:rsidRPr="00124E3B" w:rsidRDefault="00EB6C03" w:rsidP="004C79C1">
            <w:pPr>
              <w:tabs>
                <w:tab w:val="left" w:pos="2943"/>
              </w:tabs>
              <w:spacing w:after="120" w:line="240" w:lineRule="auto"/>
              <w:ind w:left="142"/>
              <w:rPr>
                <w:rFonts w:asciiTheme="minorHAnsi" w:hAnsiTheme="minorHAnsi"/>
              </w:rPr>
            </w:pPr>
            <w:r w:rsidRPr="00124E3B">
              <w:rPr>
                <w:rFonts w:asciiTheme="minorHAnsi" w:hAnsiTheme="minorHAnsi"/>
              </w:rPr>
              <w:t>Scottish Intercollegiate Guidelines Network (quality assessment tool)</w:t>
            </w:r>
          </w:p>
        </w:tc>
      </w:tr>
      <w:tr w:rsidR="001454DF" w:rsidRPr="00C80E19" w14:paraId="0272B305" w14:textId="77777777" w:rsidTr="00C80E19">
        <w:trPr>
          <w:tblCellSpacing w:w="15" w:type="dxa"/>
        </w:trPr>
        <w:tc>
          <w:tcPr>
            <w:tcW w:w="1656" w:type="dxa"/>
            <w:vAlign w:val="center"/>
            <w:hideMark/>
          </w:tcPr>
          <w:p w14:paraId="7A1F95EB" w14:textId="77777777" w:rsidR="001454DF" w:rsidRPr="007657E5" w:rsidRDefault="001454DF" w:rsidP="004C79C1">
            <w:pPr>
              <w:tabs>
                <w:tab w:val="left" w:pos="2943"/>
              </w:tabs>
              <w:spacing w:after="120" w:line="240" w:lineRule="auto"/>
              <w:ind w:left="142"/>
            </w:pPr>
            <w:r w:rsidRPr="007657E5">
              <w:t>SP-CMR</w:t>
            </w:r>
          </w:p>
        </w:tc>
        <w:tc>
          <w:tcPr>
            <w:tcW w:w="7185" w:type="dxa"/>
            <w:vAlign w:val="center"/>
            <w:hideMark/>
          </w:tcPr>
          <w:p w14:paraId="28C75774" w14:textId="1F875789" w:rsidR="001454DF" w:rsidRPr="007657E5" w:rsidRDefault="000E78A5" w:rsidP="004C79C1">
            <w:pPr>
              <w:tabs>
                <w:tab w:val="left" w:pos="2943"/>
              </w:tabs>
              <w:spacing w:after="120" w:line="240" w:lineRule="auto"/>
              <w:ind w:left="142"/>
              <w:rPr>
                <w:b/>
                <w:lang w:val="en-GB" w:eastAsia="en-US"/>
              </w:rPr>
            </w:pPr>
            <w:r w:rsidRPr="007657E5">
              <w:t>s</w:t>
            </w:r>
            <w:r w:rsidR="001454DF" w:rsidRPr="007657E5">
              <w:t xml:space="preserve">tress perfusion </w:t>
            </w:r>
            <w:r w:rsidR="00E83716" w:rsidRPr="00723C22">
              <w:t xml:space="preserve">cardiac magnetic resonance </w:t>
            </w:r>
            <w:r w:rsidR="00E83716" w:rsidRPr="00FA186D">
              <w:t>(</w:t>
            </w:r>
            <w:r w:rsidR="00E83716" w:rsidRPr="00723C22">
              <w:t>imaging)</w:t>
            </w:r>
          </w:p>
        </w:tc>
      </w:tr>
      <w:tr w:rsidR="001454DF" w:rsidRPr="00C80E19" w14:paraId="602A3C2B" w14:textId="77777777" w:rsidTr="00C80E19">
        <w:trPr>
          <w:tblCellSpacing w:w="15" w:type="dxa"/>
        </w:trPr>
        <w:tc>
          <w:tcPr>
            <w:tcW w:w="1656" w:type="dxa"/>
            <w:vAlign w:val="center"/>
            <w:hideMark/>
          </w:tcPr>
          <w:p w14:paraId="054A6AF0" w14:textId="77777777" w:rsidR="001454DF" w:rsidRPr="007657E5" w:rsidRDefault="001454DF" w:rsidP="004C79C1">
            <w:pPr>
              <w:tabs>
                <w:tab w:val="left" w:pos="2943"/>
              </w:tabs>
              <w:spacing w:after="120" w:line="240" w:lineRule="auto"/>
              <w:ind w:left="142"/>
            </w:pPr>
            <w:r w:rsidRPr="007657E5">
              <w:t>SPECT</w:t>
            </w:r>
          </w:p>
        </w:tc>
        <w:tc>
          <w:tcPr>
            <w:tcW w:w="7185" w:type="dxa"/>
            <w:vAlign w:val="center"/>
            <w:hideMark/>
          </w:tcPr>
          <w:p w14:paraId="12F51B6F" w14:textId="7CA506D2" w:rsidR="001454DF" w:rsidRPr="007657E5" w:rsidRDefault="00716CE8" w:rsidP="004C79C1">
            <w:pPr>
              <w:tabs>
                <w:tab w:val="left" w:pos="2943"/>
              </w:tabs>
              <w:spacing w:after="120" w:line="240" w:lineRule="auto"/>
              <w:ind w:left="142"/>
              <w:rPr>
                <w:b/>
                <w:lang w:val="en-GB" w:eastAsia="en-US"/>
              </w:rPr>
            </w:pPr>
            <w:r w:rsidRPr="007657E5">
              <w:t>s</w:t>
            </w:r>
            <w:r w:rsidR="001454DF" w:rsidRPr="007657E5">
              <w:t>ingle</w:t>
            </w:r>
            <w:r w:rsidRPr="007657E5">
              <w:t>-</w:t>
            </w:r>
            <w:r w:rsidR="001454DF" w:rsidRPr="007657E5">
              <w:t>photon emission computed tomography</w:t>
            </w:r>
          </w:p>
        </w:tc>
      </w:tr>
      <w:tr w:rsidR="002A1132" w:rsidRPr="00C80E19" w14:paraId="319A8333" w14:textId="77777777" w:rsidTr="00C80E19">
        <w:trPr>
          <w:tblCellSpacing w:w="15" w:type="dxa"/>
        </w:trPr>
        <w:tc>
          <w:tcPr>
            <w:tcW w:w="1656" w:type="dxa"/>
            <w:vAlign w:val="center"/>
          </w:tcPr>
          <w:p w14:paraId="39771133" w14:textId="5B94B921" w:rsidR="002A1132" w:rsidRPr="00124E3B" w:rsidRDefault="002A1132" w:rsidP="004C79C1">
            <w:pPr>
              <w:tabs>
                <w:tab w:val="left" w:pos="2943"/>
              </w:tabs>
              <w:spacing w:after="120" w:line="240" w:lineRule="auto"/>
              <w:ind w:left="142"/>
            </w:pPr>
            <w:r w:rsidRPr="00124E3B">
              <w:t>SR</w:t>
            </w:r>
          </w:p>
        </w:tc>
        <w:tc>
          <w:tcPr>
            <w:tcW w:w="7185" w:type="dxa"/>
            <w:vAlign w:val="center"/>
          </w:tcPr>
          <w:p w14:paraId="27DBAD77" w14:textId="0EDE030B" w:rsidR="002A1132" w:rsidRPr="00124E3B" w:rsidRDefault="00653EF2" w:rsidP="004C79C1">
            <w:pPr>
              <w:tabs>
                <w:tab w:val="left" w:pos="2943"/>
              </w:tabs>
              <w:spacing w:after="120" w:line="240" w:lineRule="auto"/>
              <w:ind w:left="142"/>
            </w:pPr>
            <w:r w:rsidRPr="00124E3B">
              <w:t>s</w:t>
            </w:r>
            <w:r w:rsidR="002A1132" w:rsidRPr="00124E3B">
              <w:t>ystematic review</w:t>
            </w:r>
          </w:p>
        </w:tc>
      </w:tr>
      <w:tr w:rsidR="006008E0" w:rsidRPr="00C80E19" w14:paraId="01AFD9CD" w14:textId="77777777" w:rsidTr="00C80E19">
        <w:trPr>
          <w:tblCellSpacing w:w="15" w:type="dxa"/>
        </w:trPr>
        <w:tc>
          <w:tcPr>
            <w:tcW w:w="1656" w:type="dxa"/>
            <w:vAlign w:val="center"/>
          </w:tcPr>
          <w:p w14:paraId="28894B5A" w14:textId="15F6713F" w:rsidR="006008E0" w:rsidRPr="007657E5" w:rsidRDefault="006008E0" w:rsidP="004C79C1">
            <w:pPr>
              <w:tabs>
                <w:tab w:val="left" w:pos="2943"/>
              </w:tabs>
              <w:spacing w:after="120" w:line="240" w:lineRule="auto"/>
              <w:ind w:left="142"/>
            </w:pPr>
            <w:r w:rsidRPr="007657E5">
              <w:t>SROC</w:t>
            </w:r>
          </w:p>
        </w:tc>
        <w:tc>
          <w:tcPr>
            <w:tcW w:w="7185" w:type="dxa"/>
            <w:vAlign w:val="center"/>
          </w:tcPr>
          <w:p w14:paraId="361C95E9" w14:textId="619B4D6A" w:rsidR="006008E0" w:rsidRPr="007657E5" w:rsidRDefault="006008E0" w:rsidP="004C79C1">
            <w:pPr>
              <w:tabs>
                <w:tab w:val="left" w:pos="2943"/>
              </w:tabs>
              <w:spacing w:after="120" w:line="240" w:lineRule="auto"/>
              <w:ind w:left="142"/>
            </w:pPr>
            <w:r w:rsidRPr="007657E5">
              <w:t xml:space="preserve">summary receiver operating characteristic </w:t>
            </w:r>
          </w:p>
        </w:tc>
      </w:tr>
      <w:tr w:rsidR="00EC5659" w:rsidRPr="009E22B3" w14:paraId="2151883B" w14:textId="77777777" w:rsidTr="00C80E19">
        <w:trPr>
          <w:tblCellSpacing w:w="15" w:type="dxa"/>
        </w:trPr>
        <w:tc>
          <w:tcPr>
            <w:tcW w:w="1656" w:type="dxa"/>
            <w:vAlign w:val="center"/>
          </w:tcPr>
          <w:p w14:paraId="1788C68B" w14:textId="4FE40BC9" w:rsidR="00EC5659" w:rsidRPr="00124E3B" w:rsidRDefault="00EC5659" w:rsidP="004C79C1">
            <w:pPr>
              <w:tabs>
                <w:tab w:val="left" w:pos="2943"/>
              </w:tabs>
              <w:spacing w:after="120" w:line="240" w:lineRule="auto"/>
              <w:ind w:left="142"/>
            </w:pPr>
            <w:r w:rsidRPr="00124E3B">
              <w:t>VA</w:t>
            </w:r>
          </w:p>
        </w:tc>
        <w:tc>
          <w:tcPr>
            <w:tcW w:w="7185" w:type="dxa"/>
            <w:vAlign w:val="center"/>
          </w:tcPr>
          <w:p w14:paraId="7535858E" w14:textId="2FB5947C" w:rsidR="00EC5659" w:rsidRPr="00124E3B" w:rsidRDefault="00EC5659" w:rsidP="004C79C1">
            <w:pPr>
              <w:tabs>
                <w:tab w:val="left" w:pos="2943"/>
              </w:tabs>
              <w:spacing w:after="120" w:line="240" w:lineRule="auto"/>
              <w:ind w:left="142"/>
            </w:pPr>
            <w:r w:rsidRPr="00124E3B">
              <w:t>ventricular arrhythmia</w:t>
            </w:r>
          </w:p>
        </w:tc>
      </w:tr>
      <w:tr w:rsidR="009E22B3" w:rsidRPr="009E22B3" w14:paraId="16DE6995" w14:textId="77777777" w:rsidTr="00C80E19">
        <w:trPr>
          <w:tblCellSpacing w:w="15" w:type="dxa"/>
        </w:trPr>
        <w:tc>
          <w:tcPr>
            <w:tcW w:w="1656" w:type="dxa"/>
            <w:vAlign w:val="center"/>
          </w:tcPr>
          <w:p w14:paraId="4CAD511D" w14:textId="60131950" w:rsidR="009E22B3" w:rsidRPr="007657E5" w:rsidRDefault="009E22B3" w:rsidP="004C79C1">
            <w:pPr>
              <w:tabs>
                <w:tab w:val="left" w:pos="2943"/>
              </w:tabs>
              <w:spacing w:after="120" w:line="240" w:lineRule="auto"/>
              <w:ind w:left="142"/>
            </w:pPr>
            <w:r w:rsidRPr="007657E5">
              <w:t>VF</w:t>
            </w:r>
          </w:p>
        </w:tc>
        <w:tc>
          <w:tcPr>
            <w:tcW w:w="7185" w:type="dxa"/>
            <w:vAlign w:val="center"/>
          </w:tcPr>
          <w:p w14:paraId="300DA778" w14:textId="42580B13" w:rsidR="009E22B3" w:rsidRPr="007657E5" w:rsidRDefault="009E22B3" w:rsidP="004C79C1">
            <w:pPr>
              <w:tabs>
                <w:tab w:val="left" w:pos="2943"/>
              </w:tabs>
              <w:spacing w:after="120" w:line="240" w:lineRule="auto"/>
              <w:ind w:left="142"/>
              <w:rPr>
                <w:bCs/>
              </w:rPr>
            </w:pPr>
            <w:r w:rsidRPr="007657E5">
              <w:t>ventricular fibrillation</w:t>
            </w:r>
          </w:p>
        </w:tc>
      </w:tr>
      <w:tr w:rsidR="009E22B3" w:rsidRPr="00C80E19" w14:paraId="488138CF" w14:textId="77777777" w:rsidTr="00C80E19">
        <w:trPr>
          <w:tblCellSpacing w:w="15" w:type="dxa"/>
        </w:trPr>
        <w:tc>
          <w:tcPr>
            <w:tcW w:w="1656" w:type="dxa"/>
            <w:vAlign w:val="center"/>
          </w:tcPr>
          <w:p w14:paraId="28C6AA40" w14:textId="0AE4DA34" w:rsidR="009E22B3" w:rsidRPr="007657E5" w:rsidRDefault="009E22B3" w:rsidP="004C79C1">
            <w:pPr>
              <w:tabs>
                <w:tab w:val="left" w:pos="2943"/>
              </w:tabs>
              <w:spacing w:after="120" w:line="240" w:lineRule="auto"/>
              <w:ind w:left="142"/>
            </w:pPr>
            <w:r w:rsidRPr="007657E5">
              <w:t>VT</w:t>
            </w:r>
          </w:p>
        </w:tc>
        <w:tc>
          <w:tcPr>
            <w:tcW w:w="7185" w:type="dxa"/>
            <w:vAlign w:val="center"/>
          </w:tcPr>
          <w:p w14:paraId="687E1890" w14:textId="438A8031" w:rsidR="009E22B3" w:rsidRPr="007657E5" w:rsidRDefault="00F35C8B" w:rsidP="004C79C1">
            <w:pPr>
              <w:tabs>
                <w:tab w:val="left" w:pos="2943"/>
              </w:tabs>
              <w:spacing w:after="120" w:line="240" w:lineRule="auto"/>
              <w:ind w:left="142"/>
            </w:pPr>
            <w:r w:rsidRPr="00124E3B">
              <w:rPr>
                <w:bCs/>
              </w:rPr>
              <w:t>ventricula</w:t>
            </w:r>
            <w:r w:rsidR="009E22B3" w:rsidRPr="007657E5">
              <w:rPr>
                <w:bCs/>
              </w:rPr>
              <w:t>r tachycardia</w:t>
            </w:r>
          </w:p>
        </w:tc>
      </w:tr>
    </w:tbl>
    <w:p w14:paraId="114DC7ED" w14:textId="77777777" w:rsidR="00C80E19" w:rsidRDefault="00C80E19" w:rsidP="004C79C1">
      <w:pPr>
        <w:spacing w:after="120" w:line="240" w:lineRule="auto"/>
        <w:rPr>
          <w:highlight w:val="yellow"/>
        </w:rPr>
      </w:pPr>
    </w:p>
    <w:p w14:paraId="69C12766" w14:textId="1979EF80" w:rsidR="008F59A8" w:rsidRPr="00183E4D" w:rsidRDefault="00913620" w:rsidP="004C79C1">
      <w:pPr>
        <w:pStyle w:val="Heading1"/>
        <w:spacing w:after="120" w:line="240" w:lineRule="auto"/>
        <w:jc w:val="both"/>
      </w:pPr>
      <w:bookmarkStart w:id="121" w:name="_Toc451501275"/>
      <w:bookmarkEnd w:id="120"/>
      <w:r w:rsidRPr="00183E4D">
        <w:lastRenderedPageBreak/>
        <w:t xml:space="preserve">Section </w:t>
      </w:r>
      <w:proofErr w:type="gramStart"/>
      <w:r w:rsidRPr="00183E4D">
        <w:t>A</w:t>
      </w:r>
      <w:proofErr w:type="gramEnd"/>
      <w:r w:rsidRPr="00183E4D">
        <w:tab/>
        <w:t>Context</w:t>
      </w:r>
      <w:bookmarkEnd w:id="121"/>
    </w:p>
    <w:p w14:paraId="600817C8" w14:textId="62039794" w:rsidR="00E05186" w:rsidRPr="00183E4D" w:rsidRDefault="00E05186" w:rsidP="004C79C1">
      <w:pPr>
        <w:spacing w:after="120" w:line="240" w:lineRule="auto"/>
        <w:jc w:val="both"/>
      </w:pPr>
      <w:r w:rsidRPr="00183E4D">
        <w:t xml:space="preserve">This </w:t>
      </w:r>
      <w:r w:rsidR="001D1899">
        <w:t>contracted</w:t>
      </w:r>
      <w:r w:rsidR="00FD31FC" w:rsidRPr="00183E4D">
        <w:t xml:space="preserve"> </w:t>
      </w:r>
      <w:r w:rsidRPr="00183E4D">
        <w:t xml:space="preserve">assessment </w:t>
      </w:r>
      <w:r w:rsidR="001D1899">
        <w:t>of cardiac magnetic resonance (CMR)</w:t>
      </w:r>
      <w:r w:rsidR="000728E6">
        <w:t xml:space="preserve"> imaging</w:t>
      </w:r>
      <w:r w:rsidRPr="00183E4D">
        <w:t xml:space="preserve"> </w:t>
      </w:r>
      <w:r w:rsidR="00FD31FC" w:rsidRPr="00183E4D">
        <w:t xml:space="preserve">for the </w:t>
      </w:r>
      <w:r w:rsidR="001D1899">
        <w:t xml:space="preserve">diagnosis of </w:t>
      </w:r>
      <w:r w:rsidR="00DE5DA2">
        <w:t>dilated cardiomyopathy</w:t>
      </w:r>
      <w:r w:rsidR="00E94B3F">
        <w:t xml:space="preserve"> (</w:t>
      </w:r>
      <w:r w:rsidR="00DE5DA2">
        <w:t>D</w:t>
      </w:r>
      <w:r w:rsidR="00E94B3F">
        <w:t>CM)</w:t>
      </w:r>
      <w:r w:rsidR="00FD31FC" w:rsidRPr="00183E4D">
        <w:t xml:space="preserve"> </w:t>
      </w:r>
      <w:r w:rsidRPr="00183E4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31852E2C" w14:textId="77777777" w:rsidR="00E94B3F" w:rsidRDefault="00E94B3F" w:rsidP="004C79C1">
      <w:pPr>
        <w:spacing w:after="120" w:line="240" w:lineRule="auto"/>
        <w:jc w:val="both"/>
      </w:pPr>
      <w:r>
        <w:t>Adelaide Health Technology Assessment (AHTA) has been commissioned by the Australian Government</w:t>
      </w:r>
      <w:r w:rsidRPr="007943BC">
        <w:t xml:space="preserve"> Department of Health to conduct a systematic </w:t>
      </w:r>
      <w:r>
        <w:t xml:space="preserve">literature </w:t>
      </w:r>
      <w:r w:rsidRPr="007943BC">
        <w:t xml:space="preserve">review </w:t>
      </w:r>
      <w:r>
        <w:t>and economic evaluation of</w:t>
      </w:r>
      <w:r w:rsidRPr="00A12E71">
        <w:t xml:space="preserve"> </w:t>
      </w:r>
      <w:r>
        <w:t xml:space="preserve">CMR for </w:t>
      </w:r>
      <w:r w:rsidR="008876EA">
        <w:t>D</w:t>
      </w:r>
      <w:r>
        <w:t xml:space="preserve">CM. This assessment has been undertaken </w:t>
      </w:r>
      <w:r w:rsidRPr="007943BC">
        <w:t>in order to inform MSAC’s decision-making r</w:t>
      </w:r>
      <w:r>
        <w:t xml:space="preserve">egarding whether the proposed medical service should be publicly funded. </w:t>
      </w:r>
    </w:p>
    <w:p w14:paraId="5D4911A5" w14:textId="0D6B55FD" w:rsidR="00E94B3F" w:rsidRDefault="009D44E4" w:rsidP="004C79C1">
      <w:pPr>
        <w:spacing w:after="120" w:line="240" w:lineRule="auto"/>
        <w:jc w:val="both"/>
      </w:pPr>
      <w:r w:rsidRPr="0025743A">
        <w:t>Appendix A</w:t>
      </w:r>
      <w:r w:rsidRPr="00183E4D">
        <w:t xml:space="preserve"> provides a list of the people involved in the development of this assessment report, including clinical expertise </w:t>
      </w:r>
      <w:r w:rsidR="0025743A">
        <w:t>sourced from Australian clinical experts</w:t>
      </w:r>
      <w:r w:rsidR="00E94B3F">
        <w:t>.</w:t>
      </w:r>
      <w:r w:rsidR="0025743A">
        <w:t xml:space="preserve"> The clinical experts were able</w:t>
      </w:r>
      <w:r w:rsidR="00E94B3F">
        <w:t xml:space="preserve"> to provide practical, professio</w:t>
      </w:r>
      <w:r w:rsidR="0025743A">
        <w:t>nal advice that directly related</w:t>
      </w:r>
      <w:r w:rsidR="00E94B3F">
        <w:t xml:space="preserve"> to </w:t>
      </w:r>
      <w:r w:rsidR="0025743A">
        <w:t>the application</w:t>
      </w:r>
      <w:r w:rsidR="00E94B3F">
        <w:t xml:space="preserve"> and the service being proposed for the MBS. </w:t>
      </w:r>
      <w:r w:rsidR="0025743A">
        <w:t>Their role was</w:t>
      </w:r>
      <w:r w:rsidR="00E94B3F">
        <w:t xml:space="preserve"> limited to providing input and guidance to the assessment groups to ensure that the pathway is clinically relevant and takes into account consumer interests. </w:t>
      </w:r>
    </w:p>
    <w:p w14:paraId="5736C19B" w14:textId="31C92744" w:rsidR="00BD49CE" w:rsidRPr="00183E4D" w:rsidRDefault="00E05186" w:rsidP="004C79C1">
      <w:pPr>
        <w:spacing w:after="120" w:line="240" w:lineRule="auto"/>
        <w:jc w:val="both"/>
      </w:pPr>
      <w:r w:rsidRPr="00183E4D">
        <w:t xml:space="preserve">The proposed use </w:t>
      </w:r>
      <w:r w:rsidR="00695731" w:rsidRPr="00183E4D">
        <w:t xml:space="preserve">of </w:t>
      </w:r>
      <w:r w:rsidR="00773A98">
        <w:t>CMR</w:t>
      </w:r>
      <w:r w:rsidR="00695731" w:rsidRPr="00183E4D">
        <w:t xml:space="preserve"> in Australian clinical practice was outlined in a </w:t>
      </w:r>
      <w:r w:rsidR="00A40116">
        <w:t>Protocol</w:t>
      </w:r>
      <w:r w:rsidR="00695731" w:rsidRPr="00183E4D">
        <w:t xml:space="preserve"> that </w:t>
      </w:r>
      <w:r w:rsidR="00BD49CE" w:rsidRPr="00183E4D">
        <w:t xml:space="preserve">was </w:t>
      </w:r>
      <w:r w:rsidR="00F458EB">
        <w:t>presented to</w:t>
      </w:r>
      <w:r w:rsidR="00752C99">
        <w:t>, and accepted by,</w:t>
      </w:r>
      <w:r w:rsidR="00F458EB">
        <w:t xml:space="preserve"> the </w:t>
      </w:r>
      <w:r w:rsidR="00A40116">
        <w:t>Protocol</w:t>
      </w:r>
      <w:r w:rsidR="00F458EB" w:rsidRPr="00183E4D">
        <w:t xml:space="preserve"> Advisory Sub</w:t>
      </w:r>
      <w:r w:rsidR="00600252">
        <w:t>-</w:t>
      </w:r>
      <w:r w:rsidR="00F458EB" w:rsidRPr="00183E4D">
        <w:t>Committee (PASC)</w:t>
      </w:r>
      <w:r w:rsidR="00752C99">
        <w:t xml:space="preserve">. The </w:t>
      </w:r>
      <w:r w:rsidR="00A40116">
        <w:t>P</w:t>
      </w:r>
      <w:r w:rsidR="001E20A5">
        <w:t>rotocol</w:t>
      </w:r>
      <w:r w:rsidR="00752C99">
        <w:t xml:space="preserve"> was </w:t>
      </w:r>
      <w:r w:rsidR="00BD49CE" w:rsidRPr="00183E4D">
        <w:t xml:space="preserve">released for public comment </w:t>
      </w:r>
      <w:r w:rsidR="00773A98">
        <w:t>in March 2015</w:t>
      </w:r>
      <w:r w:rsidR="00BD49CE" w:rsidRPr="00183E4D">
        <w:t>.</w:t>
      </w:r>
      <w:r w:rsidR="005033C3">
        <w:t xml:space="preserve"> </w:t>
      </w:r>
    </w:p>
    <w:p w14:paraId="6AAE28E7" w14:textId="16B52E66" w:rsidR="003F169D" w:rsidRPr="00183E4D" w:rsidRDefault="001F3A7B" w:rsidP="004C79C1">
      <w:pPr>
        <w:pStyle w:val="Heading2"/>
        <w:numPr>
          <w:ilvl w:val="0"/>
          <w:numId w:val="9"/>
        </w:numPr>
        <w:spacing w:before="0" w:after="120" w:line="240" w:lineRule="auto"/>
      </w:pPr>
      <w:bookmarkStart w:id="122" w:name="_Toc451501276"/>
      <w:r>
        <w:t>I</w:t>
      </w:r>
      <w:r w:rsidR="009806B5">
        <w:t xml:space="preserve">tems in the </w:t>
      </w:r>
      <w:r w:rsidR="0073492E">
        <w:t>A</w:t>
      </w:r>
      <w:r w:rsidR="006343AB">
        <w:t xml:space="preserve">greed </w:t>
      </w:r>
      <w:r w:rsidR="0047185C">
        <w:t>Protocol</w:t>
      </w:r>
      <w:bookmarkEnd w:id="122"/>
    </w:p>
    <w:p w14:paraId="130D682E" w14:textId="3E969A08" w:rsidR="00973D2A" w:rsidRDefault="005033C3" w:rsidP="004C79C1">
      <w:pPr>
        <w:spacing w:after="120" w:line="240" w:lineRule="auto"/>
        <w:jc w:val="both"/>
      </w:pPr>
      <w:r>
        <w:t>This contracted</w:t>
      </w:r>
      <w:r w:rsidR="005B6169" w:rsidRPr="00183E4D">
        <w:t xml:space="preserve"> assessment of </w:t>
      </w:r>
      <w:r>
        <w:t xml:space="preserve">CMR for </w:t>
      </w:r>
      <w:r w:rsidR="008876EA">
        <w:t>D</w:t>
      </w:r>
      <w:r>
        <w:t xml:space="preserve">CM </w:t>
      </w:r>
      <w:r w:rsidR="005B6169" w:rsidRPr="00183E4D">
        <w:t xml:space="preserve">addresses </w:t>
      </w:r>
      <w:r w:rsidR="00973D2A">
        <w:t>most</w:t>
      </w:r>
      <w:r w:rsidR="005B6169" w:rsidRPr="00183E4D">
        <w:t xml:space="preserve"> of the PICO </w:t>
      </w:r>
      <w:r w:rsidR="003F4089">
        <w:t>(</w:t>
      </w:r>
      <w:r w:rsidR="00017251" w:rsidRPr="00183E4D">
        <w:t>population, in</w:t>
      </w:r>
      <w:r w:rsidR="00017251">
        <w:t>vestigation / index test</w:t>
      </w:r>
      <w:r w:rsidR="00017251" w:rsidRPr="00183E4D">
        <w:t>, comparator and outcomes</w:t>
      </w:r>
      <w:r w:rsidR="003F4089">
        <w:t xml:space="preserve">) </w:t>
      </w:r>
      <w:r w:rsidR="005B6169" w:rsidRPr="00183E4D">
        <w:t xml:space="preserve">elements that were </w:t>
      </w:r>
      <w:r w:rsidR="005B6169">
        <w:t>pre-</w:t>
      </w:r>
      <w:r w:rsidR="005B6169" w:rsidRPr="00183E4D">
        <w:t xml:space="preserve">specified in the </w:t>
      </w:r>
      <w:r w:rsidR="00071188">
        <w:t>Protocol</w:t>
      </w:r>
      <w:r w:rsidR="005B6169">
        <w:t xml:space="preserve"> </w:t>
      </w:r>
      <w:r w:rsidR="00973D2A">
        <w:t>that was ratified by</w:t>
      </w:r>
      <w:r w:rsidR="005B6169" w:rsidRPr="00D52A25">
        <w:t xml:space="preserve"> </w:t>
      </w:r>
      <w:r w:rsidR="005B6169">
        <w:t>PASC</w:t>
      </w:r>
      <w:r w:rsidR="005B6169" w:rsidRPr="00183E4D">
        <w:t>.</w:t>
      </w:r>
      <w:r w:rsidR="00973D2A">
        <w:t xml:space="preserve"> </w:t>
      </w:r>
    </w:p>
    <w:p w14:paraId="1D77FCE7" w14:textId="55048335" w:rsidR="00690660" w:rsidRDefault="00690660" w:rsidP="004C79C1">
      <w:pPr>
        <w:spacing w:after="120" w:line="240" w:lineRule="auto"/>
        <w:jc w:val="both"/>
      </w:pPr>
      <w:proofErr w:type="gramStart"/>
      <w:r>
        <w:t>As no evidence was found regarding first</w:t>
      </w:r>
      <w:r w:rsidR="005C5EEA">
        <w:t>-</w:t>
      </w:r>
      <w:r>
        <w:t xml:space="preserve">degree family members of DCM patients (one of the proposed populations), no results regarding this group were reported </w:t>
      </w:r>
      <w:r w:rsidR="005C5EEA">
        <w:t xml:space="preserve">from </w:t>
      </w:r>
      <w:r>
        <w:t>section B onwards.</w:t>
      </w:r>
      <w:proofErr w:type="gramEnd"/>
      <w:r>
        <w:t xml:space="preserve"> The clinical management algorithms as presented in the Protocol were modified during the assessment period (after the final Protocol was received) </w:t>
      </w:r>
      <w:r w:rsidR="0073492E">
        <w:t xml:space="preserve">following </w:t>
      </w:r>
      <w:r>
        <w:t>telephone conversations with clinical experts and personnel from the Australian Government Department of Health.</w:t>
      </w:r>
    </w:p>
    <w:p w14:paraId="40D0FEED" w14:textId="77777777" w:rsidR="000608EE" w:rsidRDefault="000608EE" w:rsidP="004C79C1">
      <w:pPr>
        <w:spacing w:after="120" w:line="240" w:lineRule="auto"/>
        <w:jc w:val="both"/>
      </w:pPr>
    </w:p>
    <w:p w14:paraId="39FAB1BD" w14:textId="5D235136" w:rsidR="00B313E2" w:rsidRDefault="00835007" w:rsidP="004C79C1">
      <w:pPr>
        <w:pStyle w:val="Heading2"/>
        <w:numPr>
          <w:ilvl w:val="0"/>
          <w:numId w:val="9"/>
        </w:numPr>
        <w:spacing w:before="0" w:after="120" w:line="240" w:lineRule="auto"/>
      </w:pPr>
      <w:bookmarkStart w:id="123" w:name="_Toc451501277"/>
      <w:bookmarkStart w:id="124" w:name="_Toc381796441"/>
      <w:r w:rsidRPr="00183E4D">
        <w:t>Pro</w:t>
      </w:r>
      <w:r w:rsidR="007D2548" w:rsidRPr="00183E4D">
        <w:t>posed M</w:t>
      </w:r>
      <w:r w:rsidRPr="00183E4D">
        <w:t xml:space="preserve">edical </w:t>
      </w:r>
      <w:r w:rsidR="007D2548" w:rsidRPr="00183E4D">
        <w:t>S</w:t>
      </w:r>
      <w:r w:rsidRPr="00183E4D">
        <w:t>ervice</w:t>
      </w:r>
      <w:bookmarkEnd w:id="123"/>
      <w:r w:rsidR="00876B63">
        <w:t xml:space="preserve"> </w:t>
      </w:r>
    </w:p>
    <w:p w14:paraId="2EEF5B16" w14:textId="5777A276" w:rsidR="00876B63" w:rsidRDefault="00876B63" w:rsidP="00161B88">
      <w:pPr>
        <w:pStyle w:val="Heading3"/>
      </w:pPr>
      <w:bookmarkStart w:id="125" w:name="_Toc451501278"/>
      <w:r>
        <w:t>Cardiac magnetic resonance imaging</w:t>
      </w:r>
      <w:bookmarkEnd w:id="125"/>
    </w:p>
    <w:p w14:paraId="599619EE" w14:textId="6108FF44" w:rsidR="0094368A" w:rsidRDefault="00E0222C" w:rsidP="004C79C1">
      <w:pPr>
        <w:spacing w:after="120" w:line="240" w:lineRule="auto"/>
        <w:jc w:val="both"/>
      </w:pPr>
      <w:r>
        <w:t xml:space="preserve">CMR is used for the non-invasive assessment of the function and structure of the heart. It uses a standard </w:t>
      </w:r>
      <w:r w:rsidR="000E144F" w:rsidRPr="000B3D1B">
        <w:t>magnetic resonance imaging</w:t>
      </w:r>
      <w:r w:rsidR="000E144F">
        <w:t xml:space="preserve"> (</w:t>
      </w:r>
      <w:r>
        <w:t>MRI</w:t>
      </w:r>
      <w:r w:rsidR="000E144F">
        <w:t>)</w:t>
      </w:r>
      <w:r>
        <w:t xml:space="preserve"> system, with or without specialised cardiac coils, using magnetic fields and radiofrequency signals to image cardiac tissues. </w:t>
      </w:r>
    </w:p>
    <w:p w14:paraId="39F8D022" w14:textId="26E4704B" w:rsidR="009F3716" w:rsidRDefault="0094368A" w:rsidP="004C79C1">
      <w:pPr>
        <w:spacing w:after="120" w:line="240" w:lineRule="auto"/>
        <w:jc w:val="both"/>
      </w:pPr>
      <w:r>
        <w:t>CMR provides an assessment of left ventricular (LV) functioning using fast cine techniques (stead</w:t>
      </w:r>
      <w:r w:rsidR="00087A40">
        <w:t>y</w:t>
      </w:r>
      <w:r>
        <w:t xml:space="preserve"> state free precession) </w:t>
      </w:r>
      <w:r w:rsidR="00187A29">
        <w:fldChar w:fldCharType="begin"/>
      </w:r>
      <w:r w:rsidR="00187A29">
        <w:instrText xml:space="preserve"> ADDIN EN.CITE &lt;EndNote&gt;&lt;Cite&gt;&lt;Author&gt;Lombardi&lt;/Author&gt;&lt;Year&gt;2010&lt;/Year&gt;&lt;RecNum&gt;20&lt;/RecNum&gt;&lt;DisplayText&gt;(Lombardi et al. 2010)&lt;/DisplayText&gt;&lt;record&gt;&lt;rec-number&gt;20&lt;/rec-number&gt;&lt;foreign-keys&gt;&lt;key app="EN" db-id="pfxxvref0t0a5de2vwnv2fwkz0p9v0r2fw0t" timestamp="1457060207"&gt;20&lt;/key&gt;&lt;key app="ENWeb" db-id=""&gt;0&lt;/key&gt;&lt;/foreign-keys&gt;&lt;ref-type name="Book Section"&gt;5&lt;/ref-type&gt;&lt;contributors&gt;&lt;authors&gt;&lt;author&gt;Lombardi, Massimo&lt;/author&gt;&lt;author&gt;Neglia, Danilo&lt;/author&gt;&lt;author&gt;Nihoyannopoulos, Petros&lt;/author&gt;&lt;author&gt;van Rossum, Albert C.&lt;/author&gt;&lt;/authors&gt;&lt;secondary-authors&gt;&lt;author&gt;Zamorano, J.L.&lt;/author&gt;&lt;/secondary-authors&gt;&lt;/contributors&gt;&lt;titles&gt;&lt;title&gt;Dilated Cardiomyopathy&lt;/title&gt;&lt;secondary-title&gt;The ESC Textbook of Cardiovascular Imaging&lt;/secondary-title&gt;&lt;/titles&gt;&lt;pages&gt;449-471&lt;/pages&gt;&lt;dates&gt;&lt;year&gt;2010&lt;/year&gt;&lt;/dates&gt;&lt;pub-location&gt;London&lt;/pub-location&gt;&lt;publisher&gt;Springer-Verlag&lt;/publisher&gt;&lt;urls&gt;&lt;/urls&gt;&lt;electronic-resource-num&gt;10.1007/978-1-84882-421-8_24&lt;/electronic-resource-num&gt;&lt;/record&gt;&lt;/Cite&gt;&lt;/EndNote&gt;</w:instrText>
      </w:r>
      <w:r w:rsidR="00187A29">
        <w:fldChar w:fldCharType="separate"/>
      </w:r>
      <w:r w:rsidR="00187A29">
        <w:rPr>
          <w:noProof/>
        </w:rPr>
        <w:t>(</w:t>
      </w:r>
      <w:hyperlink w:anchor="_ENREF_71" w:tooltip="Lombardi, 2010 #20" w:history="1">
        <w:r w:rsidR="00B906E9">
          <w:rPr>
            <w:noProof/>
          </w:rPr>
          <w:t>Lombardi et al. 2010</w:t>
        </w:r>
      </w:hyperlink>
      <w:r w:rsidR="00187A29">
        <w:rPr>
          <w:noProof/>
        </w:rPr>
        <w:t>)</w:t>
      </w:r>
      <w:r w:rsidR="00187A29">
        <w:fldChar w:fldCharType="end"/>
      </w:r>
      <w:r>
        <w:t>. Generally, the functional measurement is used to confirm previous abnormal findings on echocardiography, whereas the assessment of the structure, or myocardial texture</w:t>
      </w:r>
      <w:r w:rsidR="00657102">
        <w:t>,</w:t>
      </w:r>
      <w:r>
        <w:t xml:space="preserve"> is unique to CMR and provides the ability to determine the aetiology of DCM </w:t>
      </w:r>
      <w:r w:rsidR="00187A29">
        <w:fldChar w:fldCharType="begin"/>
      </w:r>
      <w:r w:rsidR="00187A29">
        <w:instrText xml:space="preserve"> ADDIN EN.CITE &lt;EndNote&gt;&lt;Cite&gt;&lt;Author&gt;Lombardi&lt;/Author&gt;&lt;Year&gt;2010&lt;/Year&gt;&lt;RecNum&gt;20&lt;/RecNum&gt;&lt;DisplayText&gt;(Lombardi et al. 2010)&lt;/DisplayText&gt;&lt;record&gt;&lt;rec-number&gt;20&lt;/rec-number&gt;&lt;foreign-keys&gt;&lt;key app="EN" db-id="pfxxvref0t0a5de2vwnv2fwkz0p9v0r2fw0t" timestamp="1457060207"&gt;20&lt;/key&gt;&lt;key app="ENWeb" db-id=""&gt;0&lt;/key&gt;&lt;/foreign-keys&gt;&lt;ref-type name="Book Section"&gt;5&lt;/ref-type&gt;&lt;contributors&gt;&lt;authors&gt;&lt;author&gt;Lombardi, Massimo&lt;/author&gt;&lt;author&gt;Neglia, Danilo&lt;/author&gt;&lt;author&gt;Nihoyannopoulos, Petros&lt;/author&gt;&lt;author&gt;van Rossum, Albert C.&lt;/author&gt;&lt;/authors&gt;&lt;secondary-authors&gt;&lt;author&gt;Zamorano, J.L.&lt;/author&gt;&lt;/secondary-authors&gt;&lt;/contributors&gt;&lt;titles&gt;&lt;title&gt;Dilated Cardiomyopathy&lt;/title&gt;&lt;secondary-title&gt;The ESC Textbook of Cardiovascular Imaging&lt;/secondary-title&gt;&lt;/titles&gt;&lt;pages&gt;449-471&lt;/pages&gt;&lt;dates&gt;&lt;year&gt;2010&lt;/year&gt;&lt;/dates&gt;&lt;pub-location&gt;London&lt;/pub-location&gt;&lt;publisher&gt;Springer-Verlag&lt;/publisher&gt;&lt;urls&gt;&lt;/urls&gt;&lt;electronic-resource-num&gt;10.1007/978-1-84882-421-8_24&lt;/electronic-resource-num&gt;&lt;/record&gt;&lt;/Cite&gt;&lt;/EndNote&gt;</w:instrText>
      </w:r>
      <w:r w:rsidR="00187A29">
        <w:fldChar w:fldCharType="separate"/>
      </w:r>
      <w:r w:rsidR="00187A29">
        <w:rPr>
          <w:noProof/>
        </w:rPr>
        <w:t>(</w:t>
      </w:r>
      <w:hyperlink w:anchor="_ENREF_71" w:tooltip="Lombardi, 2010 #20" w:history="1">
        <w:r w:rsidR="00B906E9">
          <w:rPr>
            <w:noProof/>
          </w:rPr>
          <w:t>Lombardi et al. 2010</w:t>
        </w:r>
      </w:hyperlink>
      <w:r w:rsidR="00187A29">
        <w:rPr>
          <w:noProof/>
        </w:rPr>
        <w:t>)</w:t>
      </w:r>
      <w:r w:rsidR="00187A29">
        <w:fldChar w:fldCharType="end"/>
      </w:r>
      <w:r>
        <w:t xml:space="preserve">. </w:t>
      </w:r>
      <w:r w:rsidR="00A17601">
        <w:t xml:space="preserve">Myocardium is characterised using T1, T2 and T2* relaxation times and delayed contrast enhancement. </w:t>
      </w:r>
      <w:r w:rsidR="00E0222C">
        <w:t xml:space="preserve">It has the ability to show different areas of the heart and vascular structure and function </w:t>
      </w:r>
      <w:r w:rsidR="00F548A7">
        <w:t>(</w:t>
      </w:r>
      <w:r w:rsidR="00E0222C">
        <w:t>e.g. myocardial viability, tissue characterisation and scar assessment</w:t>
      </w:r>
      <w:r w:rsidR="00F548A7">
        <w:t xml:space="preserve">) </w:t>
      </w:r>
      <w:r w:rsidR="00F548A7">
        <w:lastRenderedPageBreak/>
        <w:t>without using ionising radiation</w:t>
      </w:r>
      <w:r w:rsidR="00E0222C">
        <w:t>.</w:t>
      </w:r>
      <w:r w:rsidR="009F3716">
        <w:t xml:space="preserve"> It can be used to differentiate between cardiomyopathies</w:t>
      </w:r>
      <w:r w:rsidR="00E13E4D">
        <w:t xml:space="preserve"> (CMs)</w:t>
      </w:r>
      <w:r w:rsidR="009F3716">
        <w:t xml:space="preserve"> of varying aetiology. </w:t>
      </w:r>
      <w:r w:rsidR="00151694">
        <w:t xml:space="preserve">The presence and distribution pattern of late gadolinium enhancement (LGE) on CMR is important in differentiating </w:t>
      </w:r>
      <w:r w:rsidR="00410DCD">
        <w:t>ischaemic</w:t>
      </w:r>
      <w:r w:rsidR="00151694">
        <w:t xml:space="preserve"> heart disease</w:t>
      </w:r>
      <w:r w:rsidR="004535B0">
        <w:t xml:space="preserve"> (IHD)</w:t>
      </w:r>
      <w:r w:rsidR="00151694">
        <w:t xml:space="preserve"> </w:t>
      </w:r>
      <w:r w:rsidR="00F548A7">
        <w:t xml:space="preserve">from </w:t>
      </w:r>
      <w:r w:rsidR="00151694">
        <w:t xml:space="preserve">other forms of </w:t>
      </w:r>
      <w:r w:rsidR="00E13E4D">
        <w:t xml:space="preserve">CM </w:t>
      </w:r>
      <w:r w:rsidR="00187A29">
        <w:fldChar w:fldCharType="begin"/>
      </w:r>
      <w:r w:rsidR="00187A29">
        <w:instrText xml:space="preserve"> ADDIN EN.CITE &lt;EndNote&gt;&lt;Cite&gt;&lt;Author&gt;Pinamonti&lt;/Author&gt;&lt;Year&gt;2014&lt;/Year&gt;&lt;RecNum&gt;99&lt;/RecNum&gt;&lt;DisplayText&gt;(Pinamonti &amp;amp; Sinagra 2014)&lt;/DisplayText&gt;&lt;record&gt;&lt;rec-number&gt;99&lt;/rec-number&gt;&lt;foreign-keys&gt;&lt;key app="EN" db-id="pfxxvref0t0a5de2vwnv2fwkz0p9v0r2fw0t" timestamp="1458534695"&gt;99&lt;/key&gt;&lt;/foreign-keys&gt;&lt;ref-type name="Book"&gt;6&lt;/ref-type&gt;&lt;contributors&gt;&lt;authors&gt;&lt;author&gt;Pinamonti, B.&lt;/author&gt;&lt;author&gt;Sinagra, B.&lt;/author&gt;&lt;/authors&gt;&lt;/contributors&gt;&lt;titles&gt;&lt;title&gt;Clinical Echocardiography and Other Imaging Techniques in Cardiomyopathies&lt;/title&gt;&lt;/titles&gt;&lt;dates&gt;&lt;year&gt;2014&lt;/year&gt;&lt;/dates&gt;&lt;pub-location&gt;Switzerland&lt;/pub-location&gt;&lt;publisher&gt;Springer International Publishing&lt;/publisher&gt;&lt;urls&gt;&lt;/urls&gt;&lt;electronic-resource-num&gt;DOI 10.1007/978-3-319-06019-4_1&lt;/electronic-resource-num&gt;&lt;/record&gt;&lt;/Cite&gt;&lt;/EndNote&gt;</w:instrText>
      </w:r>
      <w:r w:rsidR="00187A29">
        <w:fldChar w:fldCharType="separate"/>
      </w:r>
      <w:r w:rsidR="00187A29">
        <w:rPr>
          <w:noProof/>
        </w:rPr>
        <w:t>(</w:t>
      </w:r>
      <w:hyperlink w:anchor="_ENREF_103" w:tooltip="Pinamonti, 2014 #99" w:history="1">
        <w:r w:rsidR="00B906E9">
          <w:rPr>
            <w:noProof/>
          </w:rPr>
          <w:t>Pinamonti &amp; Sinagra 2014</w:t>
        </w:r>
      </w:hyperlink>
      <w:r w:rsidR="00187A29">
        <w:rPr>
          <w:noProof/>
        </w:rPr>
        <w:t>)</w:t>
      </w:r>
      <w:r w:rsidR="00187A29">
        <w:fldChar w:fldCharType="end"/>
      </w:r>
      <w:r w:rsidR="00151694">
        <w:t>.</w:t>
      </w:r>
    </w:p>
    <w:p w14:paraId="00A42126" w14:textId="2E637261" w:rsidR="009F3716" w:rsidRDefault="009F3716" w:rsidP="004C79C1">
      <w:pPr>
        <w:spacing w:after="120" w:line="240" w:lineRule="auto"/>
        <w:jc w:val="both"/>
      </w:pPr>
      <w:r>
        <w:t>The majority of MRI scanners use 1.5T as the magnetic field strength for CMR</w:t>
      </w:r>
      <w:r w:rsidR="00881721">
        <w:t>;</w:t>
      </w:r>
      <w:r>
        <w:t xml:space="preserve"> however</w:t>
      </w:r>
      <w:r w:rsidR="00881721">
        <w:t>,</w:t>
      </w:r>
      <w:r>
        <w:t xml:space="preserve"> 1.0T and 3.0T are also used. Higher fields allow for images with higher spatial resolution, but also increase the chance of imaging artefacts that may obscure the image</w:t>
      </w:r>
      <w:r w:rsidR="00584057">
        <w:t xml:space="preserve"> </w:t>
      </w:r>
      <w:r w:rsidR="00187A29">
        <w:fldChar w:fldCharType="begin"/>
      </w:r>
      <w:r w:rsidR="00187A29">
        <w:instrText xml:space="preserve"> ADDIN EN.CITE &lt;EndNote&gt;&lt;Cite&gt;&lt;Author&gt;Hundley&lt;/Author&gt;&lt;Year&gt;2010&lt;/Year&gt;&lt;RecNum&gt;96&lt;/RecNum&gt;&lt;IDText&gt;2614-62&lt;/IDText&gt;&lt;DisplayText&gt;(Hundley et al. 2010)&lt;/DisplayText&gt;&lt;record&gt;&lt;rec-number&gt;96&lt;/rec-number&gt;&lt;foreign-keys&gt;&lt;key app="EN" db-id="pfxxvref0t0a5de2vwnv2fwkz0p9v0r2fw0t" timestamp="1458534695"&gt;96&lt;/key&gt;&lt;/foreign-keys&gt;&lt;ref-type name="Journal Article"&gt;17&lt;/ref-type&gt;&lt;contributors&gt;&lt;authors&gt;&lt;author&gt;Hundley, W. G.&lt;/author&gt;&lt;author&gt;Bluemke, D. A.&lt;/author&gt;&lt;author&gt;Finn, J. P.&lt;/author&gt;&lt;author&gt;Flamm, S. D.&lt;/author&gt;&lt;author&gt;Fogel, M. A.&lt;/author&gt;&lt;author&gt;Friedrich, M. G.&lt;/author&gt;&lt;author&gt;Ho, V. B.&lt;/author&gt;&lt;author&gt;Jerosch-Herold, M.&lt;/author&gt;&lt;author&gt;Kramer, C. M.&lt;/author&gt;&lt;author&gt;Manning, W. J.&lt;/author&gt;&lt;author&gt;Patel, M.&lt;/author&gt;&lt;author&gt;Pohost, G. M.&lt;/author&gt;&lt;author&gt;Stillman, A. E.&lt;/author&gt;&lt;author&gt;White, R. D.&lt;/author&gt;&lt;author&gt;Woodard, P. K.&lt;/author&gt;&lt;/authors&gt;&lt;/contributors&gt;&lt;titles&gt;&lt;title&gt;ACCF/ACR/AHA/NASCI/SCMR 2010 expert consensus document on cardiovascular magnetic resonance: a report of the American College of Cardiology Foundation Task Force on Expert Consensus Documents&lt;/title&gt;&lt;secondary-title&gt;J Am Coll Cardiol&lt;/secondary-title&gt;&lt;/titles&gt;&lt;periodical&gt;&lt;full-title&gt;J Am Coll Cardiol&lt;/full-title&gt;&lt;/periodical&gt;&lt;pages&gt;2614-62&lt;/pages&gt;&lt;volume&gt;55&lt;/volume&gt;&lt;number&gt;23&lt;/number&gt;&lt;keywords&gt;&lt;keyword&gt;Cardiac-Gated Imaging Techniques&lt;/keyword&gt;&lt;keyword&gt;Cardiovascular Diseases/*diagnosis&lt;/keyword&gt;&lt;keyword&gt;Humans&lt;/keyword&gt;&lt;keyword&gt;Magnetic Resonance Angiography&lt;/keyword&gt;&lt;keyword&gt;*Magnetic Resonance Imaging/methods/standards&lt;/keyword&gt;&lt;keyword&gt;Magnetic Resonance Imaging, Cine&lt;/keyword&gt;&lt;keyword&gt;Magnetic Resonance Imaging, Interventional&lt;/keyword&gt;&lt;/keywords&gt;&lt;dates&gt;&lt;year&gt;2010&lt;/year&gt;&lt;pub-dates&gt;&lt;date&gt;Jun 8&lt;/date&gt;&lt;/pub-dates&gt;&lt;/dates&gt;&lt;isbn&gt;1558-3597 (Electronic)&amp;#xD;0735-1097 (Linking)&lt;/isbn&gt;&lt;accession-num&gt;20513610&lt;/accession-num&gt;&lt;urls&gt;&lt;related-urls&gt;&lt;url&gt;http://www.ncbi.nlm.nih.gov/pubmed/20513610&lt;/url&gt;&lt;/related-urls&gt;&lt;/urls&gt;&lt;custom2&gt;3042771&lt;/custom2&gt;&lt;electronic-resource-num&gt;10.1016/j.jacc.2009.11.011&lt;/electronic-resource-num&gt;&lt;/record&gt;&lt;/Cite&gt;&lt;/EndNote&gt;</w:instrText>
      </w:r>
      <w:r w:rsidR="00187A29">
        <w:fldChar w:fldCharType="separate"/>
      </w:r>
      <w:r w:rsidR="00187A29">
        <w:rPr>
          <w:noProof/>
        </w:rPr>
        <w:t>(</w:t>
      </w:r>
      <w:hyperlink w:anchor="_ENREF_53" w:tooltip="Hundley, 2010 #96" w:history="1">
        <w:r w:rsidR="00B906E9">
          <w:rPr>
            <w:noProof/>
          </w:rPr>
          <w:t>Hundley et al. 2010</w:t>
        </w:r>
      </w:hyperlink>
      <w:r w:rsidR="00187A29">
        <w:rPr>
          <w:noProof/>
        </w:rPr>
        <w:t>)</w:t>
      </w:r>
      <w:r w:rsidR="00187A29">
        <w:fldChar w:fldCharType="end"/>
      </w:r>
      <w:r>
        <w:t xml:space="preserve">. </w:t>
      </w:r>
    </w:p>
    <w:p w14:paraId="140B1518" w14:textId="4DE9B967" w:rsidR="00E0222C" w:rsidRDefault="00E13E4D" w:rsidP="004C79C1">
      <w:pPr>
        <w:spacing w:after="120" w:line="240" w:lineRule="auto"/>
        <w:jc w:val="both"/>
      </w:pPr>
      <w:r>
        <w:t xml:space="preserve">CM </w:t>
      </w:r>
      <w:r w:rsidR="00E0222C">
        <w:t xml:space="preserve">means </w:t>
      </w:r>
      <w:r w:rsidR="00881721">
        <w:t>‘</w:t>
      </w:r>
      <w:r w:rsidR="00E0222C">
        <w:t>heart muscle disease</w:t>
      </w:r>
      <w:r w:rsidR="00881721">
        <w:t>’</w:t>
      </w:r>
      <w:r w:rsidR="00E0222C">
        <w:t xml:space="preserve"> and the term is often reserved for severe myocardial disease leading to heart failure </w:t>
      </w:r>
      <w:r w:rsidR="004805B0">
        <w:t xml:space="preserve">(HF) </w:t>
      </w:r>
      <w:r w:rsidR="00E0222C">
        <w:t xml:space="preserve">or sudden death. Diseases </w:t>
      </w:r>
      <w:r w:rsidR="00572391">
        <w:t xml:space="preserve">such as </w:t>
      </w:r>
      <w:r w:rsidR="00E0222C">
        <w:t>coronary artery disease</w:t>
      </w:r>
      <w:r w:rsidR="00572391">
        <w:t xml:space="preserve"> (CAD)</w:t>
      </w:r>
      <w:r w:rsidR="00E0222C">
        <w:t xml:space="preserve">, hypertension or heart valve abnormalities are usually excluded from the term </w:t>
      </w:r>
      <w:r w:rsidR="004805B0">
        <w:t>‘</w:t>
      </w:r>
      <w:r w:rsidR="00E0222C">
        <w:t>cardiomyopathy</w:t>
      </w:r>
      <w:r w:rsidR="004805B0">
        <w:t>’</w:t>
      </w:r>
      <w:r w:rsidR="00E0222C">
        <w:t xml:space="preserve">. There are different types of </w:t>
      </w:r>
      <w:r w:rsidR="004805B0">
        <w:t xml:space="preserve">CM </w:t>
      </w:r>
      <w:r w:rsidR="00E0222C">
        <w:t>and they are usually classified according to their predominant pathophysiological (e.g. dilated, hypertrophic or restrictive</w:t>
      </w:r>
      <w:r w:rsidR="004805B0">
        <w:t xml:space="preserve"> CM</w:t>
      </w:r>
      <w:r w:rsidR="00E0222C">
        <w:t xml:space="preserve">) or aetiological/pathological features (e.g. alcoholic </w:t>
      </w:r>
      <w:r w:rsidR="004805B0">
        <w:t>CM)</w:t>
      </w:r>
      <w:r w:rsidR="00E0222C">
        <w:t xml:space="preserve">. CMR can assist with identifying and diagnosing </w:t>
      </w:r>
      <w:r w:rsidR="004805B0">
        <w:t>CM</w:t>
      </w:r>
      <w:r w:rsidR="00E0222C">
        <w:t xml:space="preserve">s when other diagnostic methods (e.g. echocardiography) are inconclusive. The information derived from CMR can reveal the underlying aetiology of </w:t>
      </w:r>
      <w:r w:rsidR="007D53FC">
        <w:t>HF</w:t>
      </w:r>
      <w:r w:rsidR="00E0222C">
        <w:t>.</w:t>
      </w:r>
      <w:r w:rsidR="000608EE">
        <w:t xml:space="preserve"> </w:t>
      </w:r>
    </w:p>
    <w:p w14:paraId="4DA4B4B9" w14:textId="57F06EC2" w:rsidR="00CB4394" w:rsidRDefault="00CB4394" w:rsidP="00161B88">
      <w:pPr>
        <w:pStyle w:val="Heading3"/>
      </w:pPr>
      <w:bookmarkStart w:id="126" w:name="_Toc451501279"/>
      <w:r>
        <w:t>Dilated cardiomyopathy</w:t>
      </w:r>
      <w:bookmarkEnd w:id="126"/>
    </w:p>
    <w:p w14:paraId="5FCB2D56" w14:textId="7B07FBC7" w:rsidR="0088629C" w:rsidRDefault="00260BCB" w:rsidP="004C79C1">
      <w:pPr>
        <w:autoSpaceDE w:val="0"/>
        <w:autoSpaceDN w:val="0"/>
        <w:adjustRightInd w:val="0"/>
        <w:spacing w:after="120" w:line="240" w:lineRule="auto"/>
        <w:jc w:val="both"/>
      </w:pPr>
      <w:r>
        <w:t xml:space="preserve">Dilated cardiomyopathy (DCM) refers to a variety of different myocardial disorders characterised by </w:t>
      </w:r>
      <w:r w:rsidR="005279EC">
        <w:t xml:space="preserve">dilated ventricles and </w:t>
      </w:r>
      <w:r>
        <w:t>depressed myocardial contractility due to abnormal loading conditions (e.g. hypertension, valvular disease)</w:t>
      </w:r>
      <w:r w:rsidR="005279EC">
        <w:t xml:space="preserve"> or </w:t>
      </w:r>
      <w:r w:rsidR="00A12092">
        <w:t xml:space="preserve">significant </w:t>
      </w:r>
      <w:r w:rsidR="004535B0">
        <w:t>IHD</w:t>
      </w:r>
      <w:r>
        <w:t xml:space="preserve"> </w:t>
      </w:r>
      <w:r w:rsidR="00187A29">
        <w:fldChar w:fldCharType="begin">
          <w:fldData xml:space="preserve">PEVuZE5vdGU+PENpdGU+PEF1dGhvcj5Cb3prdXJ0PC9BdXRob3I+PFllYXI+MjAwNzwvWWVhcj48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</w:fldData>
        </w:fldChar>
      </w:r>
      <w:r w:rsidR="00187A29">
        <w:instrText xml:space="preserve"> ADDIN EN.CITE </w:instrText>
      </w:r>
      <w:r w:rsidR="00187A29">
        <w:fldChar w:fldCharType="begin">
          <w:fldData xml:space="preserve">PEVuZE5vdGU+PENpdGU+PEF1dGhvcj5Cb3prdXJ0PC9BdXRob3I+PFllYXI+MjAwNzwvWWVhcj48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13" w:tooltip="Bozkurt, 2007 #21" w:history="1">
        <w:r w:rsidR="00B906E9">
          <w:rPr>
            <w:noProof/>
          </w:rPr>
          <w:t>Bozkurt &amp; Mann 2007</w:t>
        </w:r>
      </w:hyperlink>
      <w:r w:rsidR="00187A29">
        <w:rPr>
          <w:noProof/>
        </w:rPr>
        <w:t xml:space="preserve">; </w:t>
      </w:r>
      <w:hyperlink w:anchor="_ENREF_35" w:tooltip="Elliott, 2008 #95" w:history="1">
        <w:r w:rsidR="00B906E9">
          <w:rPr>
            <w:noProof/>
          </w:rPr>
          <w:t>Elliott et al. 2008</w:t>
        </w:r>
      </w:hyperlink>
      <w:r w:rsidR="00187A29">
        <w:rPr>
          <w:noProof/>
        </w:rPr>
        <w:t>)</w:t>
      </w:r>
      <w:r w:rsidR="00187A29">
        <w:fldChar w:fldCharType="end"/>
      </w:r>
      <w:r w:rsidR="00584057">
        <w:t xml:space="preserve">. </w:t>
      </w:r>
      <w:r w:rsidR="00553A3C">
        <w:t xml:space="preserve">DCM is </w:t>
      </w:r>
      <w:r w:rsidR="00403D82">
        <w:t>t</w:t>
      </w:r>
      <w:r w:rsidR="00553A3C">
        <w:t>he</w:t>
      </w:r>
      <w:r w:rsidR="00553A3C" w:rsidRPr="00553A3C">
        <w:t xml:space="preserve"> </w:t>
      </w:r>
      <w:r w:rsidR="00553A3C">
        <w:t xml:space="preserve">third most common cause of </w:t>
      </w:r>
      <w:r w:rsidR="003037A2">
        <w:t>HF</w:t>
      </w:r>
      <w:r w:rsidR="00584057">
        <w:t xml:space="preserve"> </w:t>
      </w:r>
      <w:r w:rsidR="00187A29">
        <w:fldChar w:fldCharType="begin"/>
      </w:r>
      <w:r w:rsidR="00187A29">
        <w:instrText xml:space="preserve"> ADDIN EN.CITE &lt;EndNote&gt;&lt;Cite&gt;&lt;Author&gt;Pinamonti&lt;/Author&gt;&lt;Year&gt;2014&lt;/Year&gt;&lt;RecNum&gt;99&lt;/RecNum&gt;&lt;DisplayText&gt;(Pinamonti &amp;amp; Sinagra 2014)&lt;/DisplayText&gt;&lt;record&gt;&lt;rec-number&gt;99&lt;/rec-number&gt;&lt;foreign-keys&gt;&lt;key app="EN" db-id="pfxxvref0t0a5de2vwnv2fwkz0p9v0r2fw0t" timestamp="1458534695"&gt;99&lt;/key&gt;&lt;/foreign-keys&gt;&lt;ref-type name="Book"&gt;6&lt;/ref-type&gt;&lt;contributors&gt;&lt;authors&gt;&lt;author&gt;Pinamonti, B.&lt;/author&gt;&lt;author&gt;Sinagra, B.&lt;/author&gt;&lt;/authors&gt;&lt;/contributors&gt;&lt;titles&gt;&lt;title&gt;Clinical Echocardiography and Other Imaging Techniques in Cardiomyopathies&lt;/title&gt;&lt;/titles&gt;&lt;dates&gt;&lt;year&gt;2014&lt;/year&gt;&lt;/dates&gt;&lt;pub-location&gt;Switzerland&lt;/pub-location&gt;&lt;publisher&gt;Springer International Publishing&lt;/publisher&gt;&lt;urls&gt;&lt;/urls&gt;&lt;electronic-resource-num&gt;DOI 10.1007/978-3-319-06019-4_1&lt;/electronic-resource-num&gt;&lt;/record&gt;&lt;/Cite&gt;&lt;/EndNote&gt;</w:instrText>
      </w:r>
      <w:r w:rsidR="00187A29">
        <w:fldChar w:fldCharType="separate"/>
      </w:r>
      <w:r w:rsidR="00187A29">
        <w:rPr>
          <w:noProof/>
        </w:rPr>
        <w:t>(</w:t>
      </w:r>
      <w:hyperlink w:anchor="_ENREF_103" w:tooltip="Pinamonti, 2014 #99" w:history="1">
        <w:r w:rsidR="00B906E9">
          <w:rPr>
            <w:noProof/>
          </w:rPr>
          <w:t>Pinamonti &amp; Sinagra 2014</w:t>
        </w:r>
      </w:hyperlink>
      <w:r w:rsidR="00187A29">
        <w:rPr>
          <w:noProof/>
        </w:rPr>
        <w:t>)</w:t>
      </w:r>
      <w:r w:rsidR="00187A29">
        <w:fldChar w:fldCharType="end"/>
      </w:r>
      <w:r w:rsidR="00584057">
        <w:t xml:space="preserve"> </w:t>
      </w:r>
      <w:r w:rsidR="00553A3C" w:rsidRPr="00553A3C">
        <w:t>and</w:t>
      </w:r>
      <w:r w:rsidR="00403D82">
        <w:t xml:space="preserve"> </w:t>
      </w:r>
      <w:r w:rsidR="00087A40">
        <w:t xml:space="preserve">it </w:t>
      </w:r>
      <w:r w:rsidR="00403D82">
        <w:t>is estimated that approximately one</w:t>
      </w:r>
      <w:r w:rsidR="00C301E8">
        <w:t>-</w:t>
      </w:r>
      <w:r w:rsidR="00403D82">
        <w:t>third of patients enrolled in</w:t>
      </w:r>
      <w:r w:rsidR="003104C9">
        <w:t xml:space="preserve"> most multi</w:t>
      </w:r>
      <w:r w:rsidR="00690660">
        <w:t>centre</w:t>
      </w:r>
      <w:r w:rsidR="00403D82">
        <w:t xml:space="preserve"> </w:t>
      </w:r>
      <w:r w:rsidR="00E47A11">
        <w:t>randomised controlled trials (</w:t>
      </w:r>
      <w:r w:rsidR="00403D82">
        <w:t>RCTs</w:t>
      </w:r>
      <w:r w:rsidR="00E47A11">
        <w:t>)</w:t>
      </w:r>
      <w:r w:rsidR="003104C9">
        <w:t xml:space="preserve"> in </w:t>
      </w:r>
      <w:r w:rsidR="003104C9" w:rsidRPr="004E01EF">
        <w:t>HF</w:t>
      </w:r>
      <w:r w:rsidR="003104C9">
        <w:t xml:space="preserve"> have</w:t>
      </w:r>
      <w:r w:rsidR="00403D82">
        <w:t xml:space="preserve"> non-</w:t>
      </w:r>
      <w:r w:rsidR="00410DCD">
        <w:t>ischaemic</w:t>
      </w:r>
      <w:r w:rsidR="00403D82">
        <w:t xml:space="preserve"> DCM</w:t>
      </w:r>
      <w:r w:rsidR="003037A2">
        <w:t xml:space="preserve"> (NIDCM)</w:t>
      </w:r>
      <w:r w:rsidR="00403D82">
        <w:t xml:space="preserve"> </w:t>
      </w:r>
      <w:r w:rsidR="00187A29">
        <w:fldChar w:fldCharType="begin"/>
      </w:r>
      <w:r w:rsidR="00187A29">
        <w:instrText xml:space="preserve"> ADDIN EN.CITE &lt;EndNote&gt;&lt;Cite&gt;&lt;Author&gt;Bozkurt&lt;/Author&gt;&lt;Year&gt;2007&lt;/Year&gt;&lt;RecNum&gt;21&lt;/RecNum&gt;&lt;DisplayText&gt;(Bozkurt &amp;amp; Mann 2007)&lt;/DisplayText&gt;&lt;record&gt;&lt;rec-number&gt;21&lt;/rec-number&gt;&lt;foreign-keys&gt;&lt;key app="EN" db-id="pfxxvref0t0a5de2vwnv2fwkz0p9v0r2fw0t" timestamp="1457060757"&gt;21&lt;/key&gt;&lt;key app="ENWeb" db-id=""&gt;0&lt;/key&gt;&lt;/foreign-keys&gt;&lt;ref-type name="Book Section"&gt;5&lt;/ref-type&gt;&lt;contributors&gt;&lt;authors&gt;&lt;author&gt;Bozkurt, Biykem&lt;/author&gt;&lt;author&gt;Mann, Douglas L&lt;/author&gt;&lt;/authors&gt;&lt;secondary-authors&gt;&lt;author&gt;Willerson, J.T.&lt;/author&gt;&lt;author&gt;Cohn, J.N.&lt;/author&gt;&lt;author&gt;Wellens, H.J.J.&lt;/author&gt;&lt;author&gt;Holmes, D. R. &lt;/author&gt;&lt;/secondary-authors&gt;&lt;/contributors&gt;&lt;titles&gt;&lt;title&gt;Dilated cardiomyopathy&lt;/title&gt;&lt;secondary-title&gt;Cardiovascular Medicine&lt;/secondary-title&gt;&lt;/titles&gt;&lt;edition&gt;3rd &lt;/edition&gt;&lt;dates&gt;&lt;year&gt;2007&lt;/year&gt;&lt;/dates&gt;&lt;pub-location&gt;London&lt;/pub-location&gt;&lt;publisher&gt;Springer-Verlag&lt;/publisher&gt;&lt;urls&gt;&lt;/urls&gt;&lt;/record&gt;&lt;/Cite&gt;&lt;/EndNote&gt;</w:instrText>
      </w:r>
      <w:r w:rsidR="00187A29">
        <w:fldChar w:fldCharType="separate"/>
      </w:r>
      <w:r w:rsidR="00187A29">
        <w:rPr>
          <w:noProof/>
        </w:rPr>
        <w:t>(</w:t>
      </w:r>
      <w:hyperlink w:anchor="_ENREF_13" w:tooltip="Bozkurt, 2007 #21" w:history="1">
        <w:r w:rsidR="00B906E9">
          <w:rPr>
            <w:noProof/>
          </w:rPr>
          <w:t>Bozkurt &amp; Mann 2007</w:t>
        </w:r>
      </w:hyperlink>
      <w:r w:rsidR="00187A29">
        <w:rPr>
          <w:noProof/>
        </w:rPr>
        <w:t>)</w:t>
      </w:r>
      <w:r w:rsidR="00187A29">
        <w:fldChar w:fldCharType="end"/>
      </w:r>
      <w:r w:rsidR="00553A3C">
        <w:t>.</w:t>
      </w:r>
      <w:r w:rsidR="001E6BF5">
        <w:t xml:space="preserve"> </w:t>
      </w:r>
      <w:r w:rsidR="00BE0C1E">
        <w:t xml:space="preserve">The most common causes of DCM are idiopathic, </w:t>
      </w:r>
      <w:r w:rsidR="00006E54">
        <w:t>cardiotoxic drugs</w:t>
      </w:r>
      <w:r w:rsidR="00BE0C1E">
        <w:t>,</w:t>
      </w:r>
      <w:r w:rsidR="00006E54">
        <w:t xml:space="preserve"> alcohol abuse, infective agents (viral, bacterial, mycobacterial, fungal)</w:t>
      </w:r>
      <w:r w:rsidR="00BE0C1E">
        <w:t>, familial,</w:t>
      </w:r>
      <w:r w:rsidR="00006E54">
        <w:t xml:space="preserve"> autoimmune disorders,</w:t>
      </w:r>
      <w:r w:rsidR="00BE0C1E">
        <w:t xml:space="preserve"> and miscellaneous (metabolic, nutritional, acquired, inflammatory </w:t>
      </w:r>
      <w:r w:rsidR="003104C9">
        <w:t>non-infectious</w:t>
      </w:r>
      <w:r w:rsidR="00BE0C1E">
        <w:t xml:space="preserve">). Idiopathic DCM refers to </w:t>
      </w:r>
      <w:r w:rsidR="00FC7324">
        <w:t xml:space="preserve">those </w:t>
      </w:r>
      <w:r w:rsidR="00BE0C1E">
        <w:t xml:space="preserve">cases </w:t>
      </w:r>
      <w:r w:rsidR="00481D1E">
        <w:t xml:space="preserve">in which the </w:t>
      </w:r>
      <w:r w:rsidR="005670D7">
        <w:t>a</w:t>
      </w:r>
      <w:r w:rsidR="00BE0C1E">
        <w:t>etiologic cau</w:t>
      </w:r>
      <w:r w:rsidR="00553A3C">
        <w:t>se is unknown, and this is usually around 60</w:t>
      </w:r>
      <w:r w:rsidR="00FC7324">
        <w:t>%</w:t>
      </w:r>
      <w:r w:rsidR="00553A3C">
        <w:t xml:space="preserve"> of DCM cases</w:t>
      </w:r>
      <w:r w:rsidR="00BE0C1E">
        <w:t xml:space="preserve"> </w:t>
      </w:r>
      <w:r w:rsidR="00187A29">
        <w:fldChar w:fldCharType="begin"/>
      </w:r>
      <w:r w:rsidR="00187A29">
        <w:instrText xml:space="preserve"> ADDIN EN.CITE &lt;EndNote&gt;&lt;Cite&gt;&lt;Author&gt;Pinamonti&lt;/Author&gt;&lt;Year&gt;2014&lt;/Year&gt;&lt;RecNum&gt;99&lt;/RecNum&gt;&lt;DisplayText&gt;(Pinamonti &amp;amp; Sinagra 2014)&lt;/DisplayText&gt;&lt;record&gt;&lt;rec-number&gt;99&lt;/rec-number&gt;&lt;foreign-keys&gt;&lt;key app="EN" db-id="pfxxvref0t0a5de2vwnv2fwkz0p9v0r2fw0t" timestamp="1458534695"&gt;99&lt;/key&gt;&lt;/foreign-keys&gt;&lt;ref-type name="Book"&gt;6&lt;/ref-type&gt;&lt;contributors&gt;&lt;authors&gt;&lt;author&gt;Pinamonti, B.&lt;/author&gt;&lt;author&gt;Sinagra, B.&lt;/author&gt;&lt;/authors&gt;&lt;/contributors&gt;&lt;titles&gt;&lt;title&gt;Clinical Echocardiography and Other Imaging Techniques in Cardiomyopathies&lt;/title&gt;&lt;/titles&gt;&lt;dates&gt;&lt;year&gt;2014&lt;/year&gt;&lt;/dates&gt;&lt;pub-location&gt;Switzerland&lt;/pub-location&gt;&lt;publisher&gt;Springer International Publishing&lt;/publisher&gt;&lt;urls&gt;&lt;/urls&gt;&lt;electronic-resource-num&gt;DOI 10.1007/978-3-319-06019-4_1&lt;/electronic-resource-num&gt;&lt;/record&gt;&lt;/Cite&gt;&lt;/EndNote&gt;</w:instrText>
      </w:r>
      <w:r w:rsidR="00187A29">
        <w:fldChar w:fldCharType="separate"/>
      </w:r>
      <w:r w:rsidR="00187A29">
        <w:rPr>
          <w:noProof/>
        </w:rPr>
        <w:t>(</w:t>
      </w:r>
      <w:hyperlink w:anchor="_ENREF_103" w:tooltip="Pinamonti, 2014 #99" w:history="1">
        <w:r w:rsidR="00B906E9">
          <w:rPr>
            <w:noProof/>
          </w:rPr>
          <w:t>Pinamonti &amp; Sinagra 2014</w:t>
        </w:r>
      </w:hyperlink>
      <w:r w:rsidR="00187A29">
        <w:rPr>
          <w:noProof/>
        </w:rPr>
        <w:t>)</w:t>
      </w:r>
      <w:r w:rsidR="00187A29">
        <w:fldChar w:fldCharType="end"/>
      </w:r>
      <w:r w:rsidR="003104C9">
        <w:t>.</w:t>
      </w:r>
    </w:p>
    <w:p w14:paraId="467792F1" w14:textId="12A3D8B3" w:rsidR="00690660" w:rsidRDefault="00151694" w:rsidP="004C79C1">
      <w:pPr>
        <w:spacing w:after="120" w:line="240" w:lineRule="auto"/>
        <w:jc w:val="both"/>
      </w:pPr>
      <w:r>
        <w:t>Advanced non-invasive imaging techniques, such as computed tomography (CT), CMR and nuclear imaging</w:t>
      </w:r>
      <w:r w:rsidR="00163CB9">
        <w:t>,</w:t>
      </w:r>
      <w:r>
        <w:t xml:space="preserve"> can be useful for diagnosing challenging cases in which echocardiography does not provide an adequate diagnosis. C</w:t>
      </w:r>
      <w:r w:rsidR="00E0222C">
        <w:t xml:space="preserve">MR is </w:t>
      </w:r>
      <w:r>
        <w:t xml:space="preserve">currently </w:t>
      </w:r>
      <w:r w:rsidR="00E0222C">
        <w:t>being used in clinical practice in Europe, UK and US</w:t>
      </w:r>
      <w:r w:rsidR="00163CB9">
        <w:t>A</w:t>
      </w:r>
      <w:r w:rsidR="00E0222C">
        <w:t xml:space="preserve"> </w:t>
      </w:r>
      <w:r w:rsidR="00E0222C">
        <w:fldChar w:fldCharType="begin">
          <w:fldData xml:space="preserve">PEVuZE5vdGU+PENpdGU+PEF1dGhvcj5CcnVkZXI8L0F1dGhvcj48WWVhcj4yMDEzPC9ZZWFyPjxS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</w:fldData>
        </w:fldChar>
      </w:r>
      <w:r w:rsidR="00187A29">
        <w:instrText xml:space="preserve"> ADDIN EN.CITE </w:instrText>
      </w:r>
      <w:r w:rsidR="00187A29">
        <w:fldChar w:fldCharType="begin">
          <w:fldData xml:space="preserve">PEVuZE5vdGU+PENpdGU+PEF1dGhvcj5CcnVkZXI8L0F1dGhvcj48WWVhcj4yMDEzPC9ZZWFyPjxS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</w:fldData>
        </w:fldChar>
      </w:r>
      <w:r w:rsidR="00187A29">
        <w:instrText xml:space="preserve"> ADDIN EN.CITE.DATA </w:instrText>
      </w:r>
      <w:r w:rsidR="00187A29">
        <w:fldChar w:fldCharType="end"/>
      </w:r>
      <w:r w:rsidR="00E0222C">
        <w:fldChar w:fldCharType="separate"/>
      </w:r>
      <w:r w:rsidR="00E0222C">
        <w:rPr>
          <w:noProof/>
        </w:rPr>
        <w:t>(</w:t>
      </w:r>
      <w:hyperlink w:anchor="_ENREF_16" w:tooltip="Bruder, 2013 #94" w:history="1">
        <w:r w:rsidR="00B906E9">
          <w:rPr>
            <w:noProof/>
          </w:rPr>
          <w:t>Bruder et al. 2013</w:t>
        </w:r>
      </w:hyperlink>
      <w:r w:rsidR="00E0222C">
        <w:rPr>
          <w:noProof/>
        </w:rPr>
        <w:t>)</w:t>
      </w:r>
      <w:r w:rsidR="00E0222C">
        <w:fldChar w:fldCharType="end"/>
      </w:r>
      <w:r w:rsidR="00E0222C">
        <w:t xml:space="preserve">, </w:t>
      </w:r>
      <w:r w:rsidR="00163CB9">
        <w:t>but</w:t>
      </w:r>
      <w:r w:rsidR="00E0222C">
        <w:t xml:space="preserve"> in Australia </w:t>
      </w:r>
      <w:r w:rsidR="00163CB9">
        <w:t xml:space="preserve">its </w:t>
      </w:r>
      <w:r w:rsidR="00E0222C">
        <w:t xml:space="preserve">use is restricted due to lack of MBS listing. </w:t>
      </w:r>
    </w:p>
    <w:p w14:paraId="083505DA" w14:textId="16AA95FB" w:rsidR="00E0222C" w:rsidRDefault="00690660" w:rsidP="004C79C1">
      <w:pPr>
        <w:spacing w:after="120" w:line="240" w:lineRule="auto"/>
        <w:jc w:val="both"/>
      </w:pPr>
      <w:r>
        <w:t xml:space="preserve">MBS listing would allow for </w:t>
      </w:r>
      <w:r w:rsidR="00D83CD2">
        <w:t xml:space="preserve">the </w:t>
      </w:r>
      <w:r>
        <w:t xml:space="preserve">use of CMR for people with </w:t>
      </w:r>
      <w:r w:rsidR="00696FC4">
        <w:t>HF</w:t>
      </w:r>
      <w:r>
        <w:t xml:space="preserve"> symptoms suspected of having </w:t>
      </w:r>
      <w:r w:rsidR="00696FC4">
        <w:t>NI</w:t>
      </w:r>
      <w:r>
        <w:t xml:space="preserve">DCM. </w:t>
      </w:r>
    </w:p>
    <w:p w14:paraId="00F8EFB8" w14:textId="77777777" w:rsidR="00835007" w:rsidRPr="00183E4D" w:rsidRDefault="00AB3CB2" w:rsidP="004C79C1">
      <w:pPr>
        <w:pStyle w:val="Heading2"/>
        <w:numPr>
          <w:ilvl w:val="0"/>
          <w:numId w:val="9"/>
        </w:numPr>
        <w:spacing w:before="0" w:after="120" w:line="240" w:lineRule="auto"/>
      </w:pPr>
      <w:bookmarkStart w:id="127" w:name="_Toc381796450"/>
      <w:bookmarkStart w:id="128" w:name="_Toc451501280"/>
      <w:bookmarkStart w:id="129" w:name="_Toc327540865"/>
      <w:bookmarkStart w:id="130" w:name="_Toc379118069"/>
      <w:bookmarkStart w:id="131" w:name="_Toc381796447"/>
      <w:bookmarkEnd w:id="124"/>
      <w:r w:rsidRPr="00183E4D">
        <w:t>Proposal for Public F</w:t>
      </w:r>
      <w:r w:rsidR="00835007" w:rsidRPr="00183E4D">
        <w:t>unding</w:t>
      </w:r>
      <w:bookmarkEnd w:id="127"/>
      <w:bookmarkEnd w:id="128"/>
    </w:p>
    <w:p w14:paraId="69111AE4" w14:textId="1C1DDE14" w:rsidR="00106705" w:rsidRPr="00183E4D" w:rsidRDefault="00835007" w:rsidP="004C79C1">
      <w:pPr>
        <w:tabs>
          <w:tab w:val="left" w:pos="6060"/>
        </w:tabs>
        <w:spacing w:after="120" w:line="240" w:lineRule="auto"/>
      </w:pPr>
      <w:r w:rsidRPr="00183E4D">
        <w:t xml:space="preserve">The proposed MBS item </w:t>
      </w:r>
      <w:r w:rsidR="00106705" w:rsidRPr="00183E4D">
        <w:t xml:space="preserve">descriptor </w:t>
      </w:r>
      <w:r w:rsidRPr="00183E4D">
        <w:t xml:space="preserve">is summarised </w:t>
      </w:r>
      <w:bookmarkStart w:id="132" w:name="_Ref373485347"/>
      <w:bookmarkStart w:id="133" w:name="_Ref373485342"/>
      <w:r w:rsidR="0039008D">
        <w:t xml:space="preserve">in </w:t>
      </w:r>
      <w:r w:rsidR="0039008D">
        <w:fldChar w:fldCharType="begin"/>
      </w:r>
      <w:r w:rsidR="0039008D">
        <w:instrText xml:space="preserve"> REF _Ref451243832 \h </w:instrText>
      </w:r>
      <w:r w:rsidR="0039008D">
        <w:fldChar w:fldCharType="separate"/>
      </w:r>
      <w:r w:rsidR="00E011C7">
        <w:t xml:space="preserve">Table </w:t>
      </w:r>
      <w:r w:rsidR="00E011C7">
        <w:rPr>
          <w:noProof/>
        </w:rPr>
        <w:t>5</w:t>
      </w:r>
      <w:r w:rsidR="0039008D">
        <w:fldChar w:fldCharType="end"/>
      </w:r>
      <w:r w:rsidR="0039008D">
        <w:t>.</w:t>
      </w:r>
    </w:p>
    <w:p w14:paraId="4282D8B4" w14:textId="77777777" w:rsidR="00817E8A" w:rsidRDefault="0039008D" w:rsidP="004C79C1">
      <w:pPr>
        <w:pStyle w:val="Caption"/>
        <w:keepNext/>
      </w:pPr>
      <w:bookmarkStart w:id="134" w:name="_Ref451243832"/>
      <w:bookmarkStart w:id="135" w:name="_Toc451435332"/>
      <w:bookmarkEnd w:id="132"/>
      <w:bookmarkEnd w:id="133"/>
      <w:r>
        <w:t xml:space="preserve">Table </w:t>
      </w:r>
      <w:fldSimple w:instr=" SEQ Table \* ARABIC ">
        <w:r w:rsidR="00050936">
          <w:rPr>
            <w:noProof/>
          </w:rPr>
          <w:t>5</w:t>
        </w:r>
      </w:fldSimple>
      <w:bookmarkEnd w:id="134"/>
      <w:r>
        <w:t xml:space="preserve"> </w:t>
      </w:r>
      <w:r>
        <w:tab/>
      </w:r>
    </w:p>
    <w:p w14:paraId="5C63647C" w14:textId="77777777" w:rsidR="00817E8A" w:rsidRDefault="00817E8A">
      <w:pPr>
        <w:spacing w:after="0" w:line="240" w:lineRule="auto"/>
        <w:rPr>
          <w:rFonts w:ascii="Arial Narrow" w:hAnsi="Arial Narrow"/>
          <w:b/>
          <w:bCs/>
          <w:snapToGrid w:val="0"/>
          <w:sz w:val="20"/>
          <w:lang w:eastAsia="en-US"/>
        </w:rPr>
      </w:pPr>
      <w:r>
        <w:br w:type="page"/>
      </w:r>
    </w:p>
    <w:p w14:paraId="7E1F95C5" w14:textId="30C04D54" w:rsidR="0039008D" w:rsidRDefault="0039008D" w:rsidP="004C79C1">
      <w:pPr>
        <w:pStyle w:val="Caption"/>
        <w:keepNext/>
      </w:pPr>
      <w:r w:rsidRPr="00BD141B">
        <w:lastRenderedPageBreak/>
        <w:t>Proposed MBS item descriptor for the investigation of suspected DCM</w:t>
      </w:r>
      <w:bookmarkEnd w:id="13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descriptor"/>
      </w:tblPr>
      <w:tblGrid>
        <w:gridCol w:w="8908"/>
      </w:tblGrid>
      <w:tr w:rsidR="00BF1B13" w:rsidRPr="00DE17EC" w14:paraId="1D1C0075" w14:textId="77777777" w:rsidTr="0039008D">
        <w:trPr>
          <w:cantSplit/>
        </w:trPr>
        <w:tc>
          <w:tcPr>
            <w:tcW w:w="8908" w:type="dxa"/>
            <w:tcBorders>
              <w:top w:val="single" w:sz="4" w:space="0" w:color="000000"/>
              <w:left w:val="single" w:sz="4" w:space="0" w:color="000000"/>
              <w:bottom w:val="single" w:sz="4" w:space="0" w:color="000000"/>
              <w:right w:val="single" w:sz="4" w:space="0" w:color="000000"/>
            </w:tcBorders>
          </w:tcPr>
          <w:p w14:paraId="2445996F" w14:textId="77777777" w:rsidR="00BF1B13" w:rsidRPr="00C26E68" w:rsidRDefault="00BF1B13" w:rsidP="004C79C1">
            <w:pPr>
              <w:pStyle w:val="ListParagraph"/>
              <w:spacing w:after="120" w:line="240" w:lineRule="auto"/>
              <w:rPr>
                <w:rFonts w:ascii="Arial Narrow" w:hAnsi="Arial Narrow"/>
                <w:b/>
                <w:sz w:val="20"/>
                <w:szCs w:val="20"/>
              </w:rPr>
            </w:pPr>
            <w:bookmarkStart w:id="136" w:name="_Toc324410105"/>
            <w:r w:rsidRPr="00C26E68">
              <w:rPr>
                <w:rFonts w:ascii="Arial Narrow" w:hAnsi="Arial Narrow"/>
                <w:b/>
                <w:sz w:val="20"/>
                <w:szCs w:val="20"/>
              </w:rPr>
              <w:t>Category 5 – Diagnostic Imaging Services</w:t>
            </w:r>
            <w:bookmarkEnd w:id="136"/>
          </w:p>
        </w:tc>
      </w:tr>
      <w:tr w:rsidR="00BF1B13" w:rsidRPr="0008123C" w14:paraId="5A483EA1" w14:textId="77777777" w:rsidTr="0039008D">
        <w:trPr>
          <w:cantSplit/>
        </w:trPr>
        <w:tc>
          <w:tcPr>
            <w:tcW w:w="8908" w:type="dxa"/>
            <w:tcBorders>
              <w:top w:val="single" w:sz="4" w:space="0" w:color="000000"/>
              <w:left w:val="single" w:sz="4" w:space="0" w:color="000000"/>
              <w:bottom w:val="single" w:sz="4" w:space="0" w:color="000000"/>
              <w:right w:val="single" w:sz="4" w:space="0" w:color="000000"/>
            </w:tcBorders>
          </w:tcPr>
          <w:p w14:paraId="564A46C5" w14:textId="77777777" w:rsidR="00BF1B13" w:rsidRPr="00C26E68" w:rsidRDefault="00BF1B13" w:rsidP="004C79C1">
            <w:pPr>
              <w:pStyle w:val="ListParagraph"/>
              <w:spacing w:after="120" w:line="240" w:lineRule="auto"/>
              <w:ind w:left="720"/>
              <w:rPr>
                <w:rFonts w:ascii="Arial Narrow" w:hAnsi="Arial Narrow"/>
                <w:sz w:val="20"/>
                <w:szCs w:val="20"/>
              </w:rPr>
            </w:pPr>
            <w:bookmarkStart w:id="137" w:name="_Toc324410106"/>
            <w:r w:rsidRPr="00C26E68">
              <w:rPr>
                <w:rFonts w:ascii="Arial Narrow" w:hAnsi="Arial Narrow"/>
                <w:sz w:val="20"/>
                <w:szCs w:val="20"/>
              </w:rPr>
              <w:t>MBS [item number (Note: this will be assigned by the Department if listed on the MBS)]</w:t>
            </w:r>
            <w:bookmarkEnd w:id="137"/>
          </w:p>
          <w:p w14:paraId="7A89CB3B" w14:textId="17494EB6" w:rsidR="00BF1B13" w:rsidRPr="00C26E68" w:rsidRDefault="00BF1B13" w:rsidP="004C79C1">
            <w:pPr>
              <w:pStyle w:val="ListParagraph"/>
              <w:spacing w:after="120" w:line="240" w:lineRule="auto"/>
              <w:rPr>
                <w:rFonts w:ascii="Arial Narrow" w:hAnsi="Arial Narrow"/>
                <w:sz w:val="20"/>
                <w:szCs w:val="20"/>
              </w:rPr>
            </w:pPr>
            <w:bookmarkStart w:id="138" w:name="_Toc324410107"/>
            <w:r w:rsidRPr="00C26E68">
              <w:rPr>
                <w:rFonts w:ascii="Arial Narrow" w:hAnsi="Arial Narrow"/>
                <w:sz w:val="20"/>
                <w:szCs w:val="20"/>
              </w:rPr>
              <w:t>NOTE: Benefits are payable for each service included by Subgroup ## on one occasion only in any 12</w:t>
            </w:r>
            <w:r w:rsidR="00EE5666" w:rsidRPr="00C26E68">
              <w:rPr>
                <w:rFonts w:ascii="Arial Narrow" w:hAnsi="Arial Narrow"/>
                <w:sz w:val="20"/>
                <w:szCs w:val="20"/>
              </w:rPr>
              <w:t>-</w:t>
            </w:r>
            <w:r w:rsidRPr="00C26E68">
              <w:rPr>
                <w:rFonts w:ascii="Arial Narrow" w:hAnsi="Arial Narrow"/>
                <w:sz w:val="20"/>
                <w:szCs w:val="20"/>
              </w:rPr>
              <w:t>month period</w:t>
            </w:r>
            <w:bookmarkEnd w:id="138"/>
            <w:r w:rsidRPr="00C26E68">
              <w:rPr>
                <w:rFonts w:ascii="Arial Narrow" w:hAnsi="Arial Narrow"/>
                <w:sz w:val="20"/>
                <w:szCs w:val="20"/>
              </w:rPr>
              <w:t xml:space="preserve"> </w:t>
            </w:r>
          </w:p>
          <w:p w14:paraId="13468435" w14:textId="77777777" w:rsidR="00BF1B13" w:rsidRPr="00C26E68" w:rsidRDefault="00BF1B13" w:rsidP="004C79C1">
            <w:pPr>
              <w:pStyle w:val="ListParagraph"/>
              <w:spacing w:after="120" w:line="240" w:lineRule="auto"/>
              <w:rPr>
                <w:rFonts w:ascii="Arial Narrow" w:hAnsi="Arial Narrow"/>
                <w:sz w:val="20"/>
                <w:szCs w:val="20"/>
              </w:rPr>
            </w:pPr>
            <w:bookmarkStart w:id="139" w:name="_Toc324410108"/>
            <w:r w:rsidRPr="00C26E68">
              <w:rPr>
                <w:rFonts w:ascii="Arial Narrow" w:hAnsi="Arial Narrow"/>
                <w:sz w:val="20"/>
                <w:szCs w:val="20"/>
              </w:rPr>
              <w:t>MAGNETIC RESONANCE IMAGING performed under the professional supervision of an eligible provider at an eligible location where the patient is referred by a specialist or by a consultant physician and where the request for the scan specifically identifies the clinical indication for the scan - scan of cardiovascular system for:</w:t>
            </w:r>
            <w:bookmarkEnd w:id="139"/>
          </w:p>
          <w:p w14:paraId="134A9CC7" w14:textId="77777777" w:rsidR="00BF1B13" w:rsidRPr="00C26E68" w:rsidRDefault="00BF1B13" w:rsidP="004C79C1">
            <w:pPr>
              <w:pStyle w:val="ListParagraph"/>
              <w:spacing w:after="120" w:line="240" w:lineRule="auto"/>
              <w:rPr>
                <w:rFonts w:ascii="Arial Narrow" w:hAnsi="Arial Narrow"/>
                <w:sz w:val="20"/>
                <w:szCs w:val="20"/>
              </w:rPr>
            </w:pPr>
            <w:bookmarkStart w:id="140" w:name="_Toc324410109"/>
            <w:r w:rsidRPr="00C26E68">
              <w:rPr>
                <w:rFonts w:ascii="Arial Narrow" w:hAnsi="Arial Narrow"/>
                <w:sz w:val="20"/>
                <w:szCs w:val="20"/>
              </w:rPr>
              <w:t>(a) assessment of myocardial structure and function, including tissue characterisation; and</w:t>
            </w:r>
            <w:bookmarkEnd w:id="140"/>
          </w:p>
          <w:p w14:paraId="306D48A0" w14:textId="77777777" w:rsidR="00BF1B13" w:rsidRPr="00C26E68" w:rsidRDefault="00BF1B13" w:rsidP="004C79C1">
            <w:pPr>
              <w:pStyle w:val="ListParagraph"/>
              <w:spacing w:after="120" w:line="240" w:lineRule="auto"/>
              <w:rPr>
                <w:rFonts w:ascii="Arial Narrow" w:hAnsi="Arial Narrow"/>
                <w:sz w:val="20"/>
                <w:szCs w:val="20"/>
              </w:rPr>
            </w:pPr>
            <w:bookmarkStart w:id="141" w:name="_Toc324410110"/>
            <w:r w:rsidRPr="00C26E68">
              <w:rPr>
                <w:rFonts w:ascii="Arial Narrow" w:hAnsi="Arial Narrow"/>
                <w:sz w:val="20"/>
                <w:szCs w:val="20"/>
              </w:rPr>
              <w:t>(b) the request for the scan identifies that the patient presents with:</w:t>
            </w:r>
            <w:bookmarkEnd w:id="141"/>
          </w:p>
          <w:p w14:paraId="6B87DCCB" w14:textId="5B16E710" w:rsidR="00BF1B13" w:rsidRPr="00E87D9B" w:rsidRDefault="00BF1B13" w:rsidP="004C79C1">
            <w:pPr>
              <w:pStyle w:val="ListParagraph"/>
              <w:spacing w:after="120" w:line="240" w:lineRule="auto"/>
              <w:rPr>
                <w:rFonts w:ascii="Arial Narrow" w:hAnsi="Arial Narrow"/>
                <w:bCs/>
                <w:sz w:val="20"/>
                <w:szCs w:val="20"/>
              </w:rPr>
            </w:pPr>
            <w:r w:rsidRPr="00E87D9B">
              <w:rPr>
                <w:rFonts w:ascii="Arial Narrow" w:hAnsi="Arial Narrow"/>
                <w:bCs/>
                <w:sz w:val="20"/>
                <w:szCs w:val="20"/>
              </w:rPr>
              <w:t>heart failure symptoms, in whom echocardiography is inconclusive or suggests a dilated cardiomyopathy, and in whom further diagnostic clarification is required; or</w:t>
            </w:r>
          </w:p>
          <w:p w14:paraId="562E3A33" w14:textId="725D5848" w:rsidR="00BF1B13" w:rsidRPr="00E87D9B" w:rsidRDefault="00BF1B13" w:rsidP="004C79C1">
            <w:pPr>
              <w:pStyle w:val="ListParagraph"/>
              <w:spacing w:after="120" w:line="240" w:lineRule="auto"/>
              <w:rPr>
                <w:rFonts w:ascii="Arial Narrow" w:hAnsi="Arial Narrow"/>
                <w:bCs/>
                <w:sz w:val="20"/>
                <w:szCs w:val="20"/>
              </w:rPr>
            </w:pPr>
            <w:proofErr w:type="gramStart"/>
            <w:r w:rsidRPr="00E87D9B">
              <w:rPr>
                <w:rFonts w:ascii="Arial Narrow" w:hAnsi="Arial Narrow"/>
                <w:bCs/>
                <w:sz w:val="20"/>
                <w:szCs w:val="20"/>
              </w:rPr>
              <w:t>a</w:t>
            </w:r>
            <w:proofErr w:type="gramEnd"/>
            <w:r w:rsidRPr="00E87D9B">
              <w:rPr>
                <w:rFonts w:ascii="Arial Narrow" w:hAnsi="Arial Narrow"/>
                <w:bCs/>
                <w:sz w:val="20"/>
                <w:szCs w:val="20"/>
              </w:rPr>
              <w:t xml:space="preserve"> family history of non-ischaemic dilated cardiomyopathy in a first-degree relative in whom echocardiography is inconclusive.</w:t>
            </w:r>
          </w:p>
          <w:p w14:paraId="467BAA71" w14:textId="77777777" w:rsidR="00BF1B13" w:rsidRPr="0039008D" w:rsidRDefault="00BF1B13" w:rsidP="004C79C1">
            <w:pPr>
              <w:pStyle w:val="ListParagraph"/>
              <w:spacing w:after="120" w:line="240" w:lineRule="auto"/>
              <w:rPr>
                <w:rFonts w:ascii="Arial Narrow" w:hAnsi="Arial Narrow"/>
                <w:sz w:val="20"/>
                <w:szCs w:val="20"/>
              </w:rPr>
            </w:pPr>
            <w:bookmarkStart w:id="142" w:name="_Toc324410111"/>
            <w:r w:rsidRPr="0039008D">
              <w:rPr>
                <w:rFonts w:ascii="Arial Narrow" w:hAnsi="Arial Narrow"/>
                <w:sz w:val="20"/>
                <w:szCs w:val="20"/>
              </w:rPr>
              <w:t>(Contrast)</w:t>
            </w:r>
            <w:bookmarkEnd w:id="142"/>
          </w:p>
          <w:p w14:paraId="11468AD1" w14:textId="2CC95EB1" w:rsidR="00BF1B13" w:rsidRPr="0039008D" w:rsidRDefault="00BF1B13" w:rsidP="006F2065">
            <w:pPr>
              <w:pStyle w:val="ListParagraph"/>
              <w:spacing w:after="120" w:line="240" w:lineRule="auto"/>
              <w:rPr>
                <w:rFonts w:ascii="Arial Narrow" w:hAnsi="Arial Narrow"/>
                <w:sz w:val="20"/>
                <w:szCs w:val="20"/>
              </w:rPr>
            </w:pPr>
            <w:bookmarkStart w:id="143" w:name="_Toc324410112"/>
            <w:r w:rsidRPr="0039008D">
              <w:rPr>
                <w:rFonts w:ascii="Arial Narrow" w:hAnsi="Arial Narrow"/>
                <w:sz w:val="20"/>
                <w:szCs w:val="20"/>
              </w:rPr>
              <w:t>Fee: $855.20</w:t>
            </w:r>
            <w:r w:rsidR="006F2065">
              <w:rPr>
                <w:rFonts w:ascii="Arial Narrow" w:hAnsi="Arial Narrow"/>
                <w:sz w:val="20"/>
                <w:szCs w:val="20"/>
              </w:rPr>
              <w:tab/>
            </w:r>
            <w:r w:rsidR="006F2065">
              <w:rPr>
                <w:rFonts w:ascii="Arial Narrow" w:hAnsi="Arial Narrow"/>
                <w:sz w:val="20"/>
                <w:szCs w:val="20"/>
              </w:rPr>
              <w:tab/>
              <w:t>Benefit: 75% = $641.40</w:t>
            </w:r>
            <w:r w:rsidR="006F2065">
              <w:rPr>
                <w:rFonts w:ascii="Arial Narrow" w:hAnsi="Arial Narrow"/>
                <w:sz w:val="20"/>
                <w:szCs w:val="20"/>
              </w:rPr>
              <w:tab/>
            </w:r>
            <w:r w:rsidRPr="0039008D">
              <w:rPr>
                <w:rFonts w:ascii="Arial Narrow" w:hAnsi="Arial Narrow"/>
                <w:sz w:val="20"/>
                <w:szCs w:val="20"/>
              </w:rPr>
              <w:t>85% = $726.90</w:t>
            </w:r>
            <w:bookmarkEnd w:id="143"/>
          </w:p>
        </w:tc>
      </w:tr>
    </w:tbl>
    <w:p w14:paraId="134787D9" w14:textId="77777777" w:rsidR="001C0D2D" w:rsidRDefault="001C0D2D" w:rsidP="004C79C1">
      <w:pPr>
        <w:pStyle w:val="Heading2"/>
        <w:numPr>
          <w:ilvl w:val="0"/>
          <w:numId w:val="9"/>
        </w:numPr>
        <w:spacing w:before="0" w:after="120" w:line="240" w:lineRule="auto"/>
      </w:pPr>
      <w:bookmarkStart w:id="144" w:name="_Toc451501281"/>
      <w:bookmarkStart w:id="145" w:name="_Toc379118076"/>
      <w:bookmarkStart w:id="146" w:name="_Toc381796455"/>
      <w:bookmarkStart w:id="147" w:name="_Toc379118072"/>
      <w:bookmarkStart w:id="148" w:name="_Toc355274709"/>
      <w:bookmarkEnd w:id="129"/>
      <w:bookmarkEnd w:id="130"/>
      <w:bookmarkEnd w:id="131"/>
      <w:r>
        <w:t>Proposed Population</w:t>
      </w:r>
      <w:bookmarkEnd w:id="144"/>
    </w:p>
    <w:p w14:paraId="64FB2BC0" w14:textId="1372EBA8" w:rsidR="00BF1B13" w:rsidRDefault="00BF1B13" w:rsidP="004C79C1">
      <w:pPr>
        <w:spacing w:after="120" w:line="240" w:lineRule="auto"/>
      </w:pPr>
      <w:r>
        <w:t xml:space="preserve">The proposed population for this report includes </w:t>
      </w:r>
      <w:r w:rsidR="00423A08">
        <w:t xml:space="preserve">the following </w:t>
      </w:r>
      <w:r>
        <w:t xml:space="preserve">subgroups of patients suspected of </w:t>
      </w:r>
      <w:r w:rsidR="00423A08">
        <w:t xml:space="preserve">having </w:t>
      </w:r>
      <w:r>
        <w:t>DCM (for more details see section A2):</w:t>
      </w:r>
    </w:p>
    <w:p w14:paraId="12CA59F1" w14:textId="1CA42CF8" w:rsidR="00BF1B13" w:rsidRDefault="00C60A82" w:rsidP="004C79C1">
      <w:pPr>
        <w:pStyle w:val="ListParagraph"/>
        <w:numPr>
          <w:ilvl w:val="0"/>
          <w:numId w:val="41"/>
        </w:numPr>
        <w:spacing w:after="120" w:line="240" w:lineRule="auto"/>
        <w:contextualSpacing/>
        <w:jc w:val="both"/>
      </w:pPr>
      <w:proofErr w:type="gramStart"/>
      <w:r>
        <w:t>p</w:t>
      </w:r>
      <w:r w:rsidR="00BF1B13">
        <w:t>atients</w:t>
      </w:r>
      <w:proofErr w:type="gramEnd"/>
      <w:r w:rsidR="00BF1B13">
        <w:t xml:space="preserve"> </w:t>
      </w:r>
      <w:r w:rsidR="00BF1B13" w:rsidRPr="0008198D">
        <w:t xml:space="preserve">presenting with </w:t>
      </w:r>
      <w:r w:rsidR="004A305B">
        <w:t>HF</w:t>
      </w:r>
      <w:r w:rsidR="00BF1B13" w:rsidRPr="0008198D">
        <w:t xml:space="preserve"> symptoms in whom echocardiography</w:t>
      </w:r>
      <w:r w:rsidR="00BF1B13">
        <w:t xml:space="preserve"> is inconclusive.</w:t>
      </w:r>
    </w:p>
    <w:p w14:paraId="77E92952" w14:textId="1941AB5E" w:rsidR="00BF1B13" w:rsidRDefault="00C60A82" w:rsidP="004C79C1">
      <w:pPr>
        <w:pStyle w:val="ListParagraph"/>
        <w:numPr>
          <w:ilvl w:val="0"/>
          <w:numId w:val="41"/>
        </w:numPr>
        <w:spacing w:after="120" w:line="240" w:lineRule="auto"/>
        <w:contextualSpacing/>
        <w:jc w:val="both"/>
      </w:pPr>
      <w:r>
        <w:t>p</w:t>
      </w:r>
      <w:r w:rsidR="00BF1B13">
        <w:t xml:space="preserve">atients presenting with </w:t>
      </w:r>
      <w:r w:rsidR="004A305B">
        <w:t>HF</w:t>
      </w:r>
      <w:r w:rsidR="00BF1B13">
        <w:t xml:space="preserve"> symptoms in whom echocardiography su</w:t>
      </w:r>
      <w:r w:rsidR="00BF1B13" w:rsidRPr="0008198D">
        <w:t xml:space="preserve">ggests a dilated </w:t>
      </w:r>
      <w:r w:rsidR="004A305B">
        <w:t>CM</w:t>
      </w:r>
      <w:r w:rsidR="00BF1B13" w:rsidRPr="0008198D">
        <w:t xml:space="preserve">, </w:t>
      </w:r>
      <w:r w:rsidR="00BF1B13">
        <w:t xml:space="preserve">and who have a low or intermediate risk of </w:t>
      </w:r>
      <w:r>
        <w:t>CAD</w:t>
      </w:r>
    </w:p>
    <w:p w14:paraId="46E32686" w14:textId="55909CFF" w:rsidR="00BF1B13" w:rsidRPr="00B01A25" w:rsidRDefault="00CC3ED5" w:rsidP="004C79C1">
      <w:pPr>
        <w:pStyle w:val="ListParagraph"/>
        <w:numPr>
          <w:ilvl w:val="0"/>
          <w:numId w:val="41"/>
        </w:numPr>
        <w:spacing w:after="120" w:line="240" w:lineRule="auto"/>
        <w:contextualSpacing/>
        <w:jc w:val="both"/>
      </w:pPr>
      <w:proofErr w:type="gramStart"/>
      <w:r>
        <w:rPr>
          <w:rFonts w:cs="Arial"/>
        </w:rPr>
        <w:t>p</w:t>
      </w:r>
      <w:r w:rsidR="00BF1B13">
        <w:rPr>
          <w:rFonts w:cs="Arial"/>
        </w:rPr>
        <w:t>eople</w:t>
      </w:r>
      <w:proofErr w:type="gramEnd"/>
      <w:r w:rsidR="00BF1B13" w:rsidRPr="00F403C2">
        <w:rPr>
          <w:rFonts w:cs="Arial"/>
        </w:rPr>
        <w:t xml:space="preserve"> with a family history of </w:t>
      </w:r>
      <w:r w:rsidR="003F7000">
        <w:rPr>
          <w:rFonts w:cs="Arial"/>
        </w:rPr>
        <w:t>NIDCM</w:t>
      </w:r>
      <w:r w:rsidR="00BF1B13" w:rsidRPr="00F403C2">
        <w:rPr>
          <w:rFonts w:cs="Arial"/>
        </w:rPr>
        <w:t xml:space="preserve"> in a first</w:t>
      </w:r>
      <w:r w:rsidR="00BF1B13">
        <w:rPr>
          <w:rFonts w:cs="Arial"/>
        </w:rPr>
        <w:t>-</w:t>
      </w:r>
      <w:r w:rsidR="00BF1B13" w:rsidRPr="00F403C2">
        <w:rPr>
          <w:rFonts w:cs="Arial"/>
        </w:rPr>
        <w:t>degree relative</w:t>
      </w:r>
      <w:r w:rsidR="00BF1B13">
        <w:rPr>
          <w:rFonts w:cs="Arial"/>
        </w:rPr>
        <w:t>, and</w:t>
      </w:r>
      <w:r w:rsidR="00BF1B13" w:rsidRPr="00DD30BD">
        <w:rPr>
          <w:rFonts w:cs="Arial"/>
        </w:rPr>
        <w:t xml:space="preserve"> </w:t>
      </w:r>
      <w:r w:rsidR="00BF1B13">
        <w:rPr>
          <w:rFonts w:cs="Arial"/>
        </w:rPr>
        <w:t>in whom echocardiography is inconclusive</w:t>
      </w:r>
      <w:r w:rsidR="00BF1B13" w:rsidRPr="00F403C2">
        <w:rPr>
          <w:rFonts w:cs="Arial"/>
        </w:rPr>
        <w:t>.</w:t>
      </w:r>
    </w:p>
    <w:p w14:paraId="1349C6B6" w14:textId="4312D405" w:rsidR="00BF1B13" w:rsidRDefault="00CC3ED5" w:rsidP="004C79C1">
      <w:pPr>
        <w:pStyle w:val="ListParagraph"/>
        <w:numPr>
          <w:ilvl w:val="0"/>
          <w:numId w:val="41"/>
        </w:numPr>
        <w:spacing w:after="120" w:line="240" w:lineRule="auto"/>
        <w:contextualSpacing/>
        <w:jc w:val="both"/>
      </w:pPr>
      <w:proofErr w:type="gramStart"/>
      <w:r>
        <w:t>p</w:t>
      </w:r>
      <w:r w:rsidR="00BF1B13">
        <w:t>eople</w:t>
      </w:r>
      <w:proofErr w:type="gramEnd"/>
      <w:r w:rsidR="00BF1B13">
        <w:t xml:space="preserve"> with a family history of </w:t>
      </w:r>
      <w:r w:rsidR="003F7000">
        <w:t>NIDCM</w:t>
      </w:r>
      <w:r w:rsidR="00BF1B13">
        <w:t xml:space="preserve">, and in whom echocardiography suggests a </w:t>
      </w:r>
      <w:r>
        <w:t>DCM</w:t>
      </w:r>
      <w:r w:rsidR="00BF1B13">
        <w:t xml:space="preserve"> that requires further investigations prior to treatment, due to an intermediate or high risk of </w:t>
      </w:r>
      <w:r w:rsidR="004A1444">
        <w:t>CAD</w:t>
      </w:r>
      <w:r w:rsidR="00BF1B13">
        <w:t>.</w:t>
      </w:r>
    </w:p>
    <w:p w14:paraId="1058FA67" w14:textId="33B43989" w:rsidR="00BF1B13" w:rsidRDefault="00BF1B13" w:rsidP="004C79C1">
      <w:pPr>
        <w:spacing w:after="120" w:line="240" w:lineRule="auto"/>
        <w:jc w:val="both"/>
      </w:pPr>
      <w:r>
        <w:t xml:space="preserve">The estimated </w:t>
      </w:r>
      <w:r w:rsidR="0005326F">
        <w:t xml:space="preserve">incidence of DCM is 7 per 100,000, </w:t>
      </w:r>
      <w:r>
        <w:t xml:space="preserve">which would be around </w:t>
      </w:r>
      <w:r w:rsidR="0005326F">
        <w:t>1,344</w:t>
      </w:r>
      <w:r>
        <w:t xml:space="preserve"> patients in Australia (based on the </w:t>
      </w:r>
      <w:r w:rsidR="0005326F">
        <w:t xml:space="preserve">projected </w:t>
      </w:r>
      <w:r>
        <w:t>Australian population aged 18</w:t>
      </w:r>
      <w:r w:rsidR="001154CE">
        <w:t> years</w:t>
      </w:r>
      <w:r>
        <w:t xml:space="preserve"> and older </w:t>
      </w:r>
      <w:r w:rsidR="0005326F">
        <w:t>in 2016</w:t>
      </w:r>
      <w:r w:rsidR="001154CE">
        <w:t>–</w:t>
      </w:r>
      <w:r w:rsidR="0005326F">
        <w:t>17</w:t>
      </w:r>
      <w:r>
        <w:t>)</w:t>
      </w:r>
      <w:r w:rsidR="0005326F">
        <w:t xml:space="preserve"> </w:t>
      </w:r>
      <w:r w:rsidR="00B906E9">
        <w:fldChar w:fldCharType="begin">
          <w:fldData xml:space="preserve">PEVuZE5vdGU+PENpdGU+PEF1dGhvcj5SYWthcjwvQXV0aG9yPjxZZWFyPjE5OTc8L1llYXI+PFJl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=
</w:fldData>
        </w:fldChar>
      </w:r>
      <w:r w:rsidR="00B906E9">
        <w:instrText xml:space="preserve"> ADDIN EN.CITE </w:instrText>
      </w:r>
      <w:r w:rsidR="00B906E9">
        <w:fldChar w:fldCharType="begin">
          <w:fldData xml:space="preserve">PEVuZE5vdGU+PENpdGU+PEF1dGhvcj5SYWthcjwvQXV0aG9yPjxZZWFyPjE5OTc8L1llYXI+PFJl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=
</w:fldData>
        </w:fldChar>
      </w:r>
      <w:r w:rsidR="00B906E9">
        <w:instrText xml:space="preserve"> ADDIN EN.CITE.DATA </w:instrText>
      </w:r>
      <w:r w:rsidR="00B906E9">
        <w:fldChar w:fldCharType="end"/>
      </w:r>
      <w:r w:rsidR="00B906E9">
        <w:fldChar w:fldCharType="separate"/>
      </w:r>
      <w:r w:rsidR="00B906E9">
        <w:rPr>
          <w:noProof/>
        </w:rPr>
        <w:t>(</w:t>
      </w:r>
      <w:hyperlink w:anchor="_ENREF_107" w:tooltip="Rakar, 1997 #169" w:history="1">
        <w:r w:rsidR="00B906E9">
          <w:rPr>
            <w:noProof/>
          </w:rPr>
          <w:t>Rakar et al. 1997</w:t>
        </w:r>
      </w:hyperlink>
      <w:r w:rsidR="00B906E9">
        <w:rPr>
          <w:noProof/>
        </w:rPr>
        <w:t xml:space="preserve">; </w:t>
      </w:r>
      <w:hyperlink w:anchor="_ENREF_127" w:tooltip="Taylor, 2006 #168" w:history="1">
        <w:r w:rsidR="00B906E9">
          <w:rPr>
            <w:noProof/>
          </w:rPr>
          <w:t xml:space="preserve">Taylor, </w:t>
        </w:r>
        <w:r w:rsidR="00B45B9F">
          <w:rPr>
            <w:noProof/>
          </w:rPr>
          <w:t xml:space="preserve">MR, </w:t>
        </w:r>
        <w:r w:rsidR="00B906E9">
          <w:rPr>
            <w:noProof/>
          </w:rPr>
          <w:t>Carniel &amp; Mestroni 2006</w:t>
        </w:r>
      </w:hyperlink>
      <w:r w:rsidR="00B906E9">
        <w:rPr>
          <w:noProof/>
        </w:rPr>
        <w:t>)</w:t>
      </w:r>
      <w:r w:rsidR="00B906E9">
        <w:fldChar w:fldCharType="end"/>
      </w:r>
      <w:r>
        <w:t xml:space="preserve">. However, PASC suggested </w:t>
      </w:r>
      <w:r w:rsidR="001154CE">
        <w:t xml:space="preserve">that </w:t>
      </w:r>
      <w:r>
        <w:t xml:space="preserve">this is likely to provide an upper estimate </w:t>
      </w:r>
      <w:r w:rsidR="000D047C">
        <w:t xml:space="preserve">of </w:t>
      </w:r>
      <w:r>
        <w:t xml:space="preserve">the </w:t>
      </w:r>
      <w:r w:rsidR="00E44D57">
        <w:t xml:space="preserve">probable </w:t>
      </w:r>
      <w:r>
        <w:t xml:space="preserve">utilisation </w:t>
      </w:r>
      <w:r w:rsidR="000D047C">
        <w:t xml:space="preserve">of </w:t>
      </w:r>
      <w:r>
        <w:t>CMR for the investigation of suspected DCM. According to data by the Australian Institute of Health and Welfare (AIHW), there were 2,118 Australian hospital separations in 2013</w:t>
      </w:r>
      <w:r w:rsidR="000D047C">
        <w:t>–</w:t>
      </w:r>
      <w:r>
        <w:t>14 with DCM as the principal diagnosis. It is recognised that the number of hospital separations is not an ideal indication for prevalence, as only patients with a severe form of DCM will be hospitalised, and there is the possibility of having more than one hospital separation per patient. At least 25</w:t>
      </w:r>
      <w:r w:rsidR="000D047C">
        <w:t>%</w:t>
      </w:r>
      <w:r>
        <w:t xml:space="preserve"> of patients in Western populations have evidence of familial DCM with predominantly autosomal dominant inheritance </w:t>
      </w:r>
      <w:r>
        <w:fldChar w:fldCharType="begin"/>
      </w:r>
      <w:r>
        <w:instrText xml:space="preserve"> ADDIN EN.CITE &lt;EndNote&gt;&lt;Cite&gt;&lt;Author&gt;Elliott&lt;/Author&gt;&lt;Year&gt;2008&lt;/Year&gt;&lt;RecNum&gt;95&lt;/RecNum&gt;&lt;IDText&gt;270-6&lt;/IDText&gt;&lt;DisplayText&gt;(Elliott et al. 2008)&lt;/DisplayText&gt;&lt;record&gt;&lt;rec-number&gt;95&lt;/rec-number&gt;&lt;foreign-keys&gt;&lt;key app="EN" db-id="pfxxvref0t0a5de2vwnv2fwkz0p9v0r2fw0t" timestamp="1458534695"&gt;95&lt;/key&gt;&lt;/foreign-keys&gt;&lt;ref-type name="Journal Article"&gt;17&lt;/ref-type&gt;&lt;contributors&gt;&lt;authors&gt;&lt;author&gt;Elliott, P.&lt;/author&gt;&lt;author&gt;Andersson, B.&lt;/author&gt;&lt;author&gt;Arbustini, E.&lt;/author&gt;&lt;author&gt;Bilinska, Z.&lt;/author&gt;&lt;author&gt;Cecchi, F.&lt;/author&gt;&lt;author&gt;Charron, P.&lt;/author&gt;&lt;author&gt;Dubourg, O.&lt;/author&gt;&lt;author&gt;Kuhl, U.&lt;/author&gt;&lt;author&gt;Maisch, B.&lt;/author&gt;&lt;author&gt;McKenna, W. J.&lt;/author&gt;&lt;author&gt;Monserrat, L.&lt;/author&gt;&lt;author&gt;Pankuweit, S.&lt;/author&gt;&lt;author&gt;Rapezzi, C.&lt;/author&gt;&lt;author&gt;Seferovic, P.&lt;/author&gt;&lt;author&gt;Tavazzi, L.&lt;/author&gt;&lt;author&gt;Keren, A.&lt;/author&gt;&lt;/authors&gt;&lt;/contributors&gt;&lt;auth-address&gt;Hadassah University Hospital Ein Kerem, Kirjat Hadassah, Jerusalem 91120, Israel.&lt;/auth-address&gt;&lt;titles&gt;&lt;title&gt;Classification of the cardiomyopathies: a position statement from the European Society Of Cardiology Working Group on Myocardial and Pericardial Diseases&lt;/title&gt;&lt;secondary-title&gt;Eur Heart J&lt;/secondary-title&gt;&lt;/titles&gt;&lt;periodical&gt;&lt;full-title&gt;Eur Heart J&lt;/full-title&gt;&lt;/periodical&gt;&lt;pages&gt;270-6&lt;/pages&gt;&lt;volume&gt;29&lt;/volume&gt;&lt;number&gt;2&lt;/number&gt;&lt;keywords&gt;&lt;keyword&gt;Cardiomyopathies/*classification/*diagnosis&lt;/keyword&gt;&lt;keyword&gt;Europe&lt;/keyword&gt;&lt;keyword&gt;Humans&lt;/keyword&gt;&lt;keyword&gt;Societies, Medical&lt;/keyword&gt;&lt;keyword&gt;Ventricular Dysfunction/*classification&lt;/keyword&gt;&lt;/keywords&gt;&lt;dates&gt;&lt;year&gt;2008&lt;/year&gt;&lt;pub-dates&gt;&lt;date&gt;Jan&lt;/date&gt;&lt;/pub-dates&gt;&lt;/dates&gt;&lt;isbn&gt;0195-668X (Print)&amp;#xD;0195-668X (Linking)&lt;/isbn&gt;&lt;accession-num&gt;17916581&lt;/accession-num&gt;&lt;urls&gt;&lt;related-urls&gt;&lt;url&gt;http://www.ncbi.nlm.nih.gov/pubmed/17916581&lt;/url&gt;&lt;/related-urls&gt;&lt;/urls&gt;&lt;electronic-resource-num&gt;10.1093/eurheartj/ehm342&lt;/electronic-resource-num&gt;&lt;/record&gt;&lt;/Cite&gt;&lt;/EndNote&gt;</w:instrText>
      </w:r>
      <w:r>
        <w:fldChar w:fldCharType="separate"/>
      </w:r>
      <w:r>
        <w:rPr>
          <w:noProof/>
        </w:rPr>
        <w:t>(</w:t>
      </w:r>
      <w:hyperlink w:anchor="_ENREF_35" w:tooltip="Elliott, 2008 #95" w:history="1">
        <w:r w:rsidR="00B906E9">
          <w:rPr>
            <w:noProof/>
          </w:rPr>
          <w:t>Elliott et al. 2008</w:t>
        </w:r>
      </w:hyperlink>
      <w:r>
        <w:rPr>
          <w:noProof/>
        </w:rPr>
        <w:t>)</w:t>
      </w:r>
      <w:r>
        <w:fldChar w:fldCharType="end"/>
      </w:r>
      <w:r>
        <w:t>, although according to other sources it can be as high as 30</w:t>
      </w:r>
      <w:r w:rsidR="00DD15EC">
        <w:t>–</w:t>
      </w:r>
      <w:r>
        <w:t xml:space="preserve">48% </w:t>
      </w:r>
      <w:r>
        <w:fldChar w:fldCharType="begin"/>
      </w:r>
      <w:r>
        <w:instrText xml:space="preserve"> ADDIN EN.CITE &lt;EndNote&gt;&lt;Cite&gt;&lt;Author&gt;Pinamonti&lt;/Author&gt;&lt;Year&gt;2014&lt;/Year&gt;&lt;RecNum&gt;99&lt;/RecNum&gt;&lt;DisplayText&gt;(Pinamonti &amp;amp; Sinagra 2014)&lt;/DisplayText&gt;&lt;record&gt;&lt;rec-number&gt;99&lt;/rec-number&gt;&lt;foreign-keys&gt;&lt;key app="EN" db-id="pfxxvref0t0a5de2vwnv2fwkz0p9v0r2fw0t" timestamp="1458534695"&gt;99&lt;/key&gt;&lt;/foreign-keys&gt;&lt;ref-type name="Book"&gt;6&lt;/ref-type&gt;&lt;contributors&gt;&lt;authors&gt;&lt;author&gt;Pinamonti, B.&lt;/author&gt;&lt;author&gt;Sinagra, B.&lt;/author&gt;&lt;/authors&gt;&lt;/contributors&gt;&lt;titles&gt;&lt;title&gt;Clinical Echocardiography and Other Imaging Techniques in Cardiomyopathies&lt;/title&gt;&lt;/titles&gt;&lt;dates&gt;&lt;year&gt;2014&lt;/year&gt;&lt;/dates&gt;&lt;pub-location&gt;Switzerland&lt;/pub-location&gt;&lt;publisher&gt;Springer International Publishing&lt;/publisher&gt;&lt;urls&gt;&lt;/urls&gt;&lt;electronic-resource-num&gt;DOI 10.1007/978-3-319-06019-4_1&lt;/electronic-resource-num&gt;&lt;/record&gt;&lt;/Cite&gt;&lt;/EndNote&gt;</w:instrText>
      </w:r>
      <w:r>
        <w:fldChar w:fldCharType="separate"/>
      </w:r>
      <w:r>
        <w:rPr>
          <w:noProof/>
        </w:rPr>
        <w:t>(</w:t>
      </w:r>
      <w:hyperlink w:anchor="_ENREF_103" w:tooltip="Pinamonti, 2014 #99" w:history="1">
        <w:r w:rsidR="00B906E9">
          <w:rPr>
            <w:noProof/>
          </w:rPr>
          <w:t>Pinamonti &amp; Sinagra 2014</w:t>
        </w:r>
      </w:hyperlink>
      <w:r>
        <w:rPr>
          <w:noProof/>
        </w:rPr>
        <w:t>)</w:t>
      </w:r>
      <w:r>
        <w:fldChar w:fldCharType="end"/>
      </w:r>
      <w:r>
        <w:t>. Males are more frequently affected than females (</w:t>
      </w:r>
      <w:r w:rsidR="003A6470">
        <w:t xml:space="preserve">with a </w:t>
      </w:r>
      <w:r>
        <w:t xml:space="preserve">ratio </w:t>
      </w:r>
      <w:r w:rsidR="003A6470">
        <w:t xml:space="preserve">of approximately </w:t>
      </w:r>
      <w:r>
        <w:t>3:1), and symptoms appear more frequently in the age group 40–60</w:t>
      </w:r>
      <w:r w:rsidR="003A6470">
        <w:t> </w:t>
      </w:r>
      <w:r>
        <w:t>years</w:t>
      </w:r>
      <w:r w:rsidR="00035984">
        <w:t>,</w:t>
      </w:r>
      <w:r w:rsidR="00D77C64">
        <w:t xml:space="preserve"> </w:t>
      </w:r>
      <w:r w:rsidR="00035984">
        <w:t>although</w:t>
      </w:r>
      <w:r>
        <w:t xml:space="preserve"> paediatric onset of DCM is not rare </w:t>
      </w:r>
      <w:r>
        <w:fldChar w:fldCharType="begin"/>
      </w:r>
      <w:r>
        <w:instrText xml:space="preserve"> ADDIN EN.CITE &lt;EndNote&gt;&lt;Cite&gt;&lt;Author&gt;Pinamonti&lt;/Author&gt;&lt;Year&gt;2014&lt;/Year&gt;&lt;RecNum&gt;99&lt;/RecNum&gt;&lt;DisplayText&gt;(Pinamonti &amp;amp; Sinagra 2014)&lt;/DisplayText&gt;&lt;record&gt;&lt;rec-number&gt;99&lt;/rec-number&gt;&lt;foreign-keys&gt;&lt;key app="EN" db-id="pfxxvref0t0a5de2vwnv2fwkz0p9v0r2fw0t" timestamp="1458534695"&gt;99&lt;/key&gt;&lt;/foreign-keys&gt;&lt;ref-type name="Book"&gt;6&lt;/ref-type&gt;&lt;contributors&gt;&lt;authors&gt;&lt;author&gt;Pinamonti, B.&lt;/author&gt;&lt;author&gt;Sinagra, B.&lt;/author&gt;&lt;/authors&gt;&lt;/contributors&gt;&lt;titles&gt;&lt;title&gt;Clinical Echocardiography and Other Imaging Techniques in Cardiomyopathies&lt;/title&gt;&lt;/titles&gt;&lt;dates&gt;&lt;year&gt;2014&lt;/year&gt;&lt;/dates&gt;&lt;pub-location&gt;Switzerland&lt;/pub-location&gt;&lt;publisher&gt;Springer International Publishing&lt;/publisher&gt;&lt;urls&gt;&lt;/urls&gt;&lt;electronic-resource-num&gt;DOI 10.1007/978-3-319-06019-4_1&lt;/electronic-resource-num&gt;&lt;/record&gt;&lt;/Cite&gt;&lt;/EndNote&gt;</w:instrText>
      </w:r>
      <w:r>
        <w:fldChar w:fldCharType="separate"/>
      </w:r>
      <w:r>
        <w:rPr>
          <w:noProof/>
        </w:rPr>
        <w:t>(</w:t>
      </w:r>
      <w:hyperlink w:anchor="_ENREF_103" w:tooltip="Pinamonti, 2014 #99" w:history="1">
        <w:r w:rsidR="00B906E9">
          <w:rPr>
            <w:noProof/>
          </w:rPr>
          <w:t>Pinamonti &amp; Sinagra 2014</w:t>
        </w:r>
      </w:hyperlink>
      <w:r>
        <w:rPr>
          <w:noProof/>
        </w:rPr>
        <w:t>)</w:t>
      </w:r>
      <w:r>
        <w:fldChar w:fldCharType="end"/>
      </w:r>
      <w:r>
        <w:t xml:space="preserve">. </w:t>
      </w:r>
    </w:p>
    <w:p w14:paraId="408B036E" w14:textId="484462DD" w:rsidR="00BF1B13" w:rsidRDefault="00BF1B13" w:rsidP="004C79C1">
      <w:pPr>
        <w:spacing w:after="120" w:line="240" w:lineRule="auto"/>
        <w:contextualSpacing/>
        <w:jc w:val="both"/>
      </w:pPr>
      <w:r>
        <w:t xml:space="preserve">In this population CMR may help identify the aetiology of the disease </w:t>
      </w:r>
      <w:r w:rsidR="001C35C7">
        <w:t xml:space="preserve">(e.g. whether it is ischaemic or non-ischaemic) </w:t>
      </w:r>
      <w:r>
        <w:t xml:space="preserve">through tissue characterisation with </w:t>
      </w:r>
      <w:r w:rsidR="00035984" w:rsidRPr="00FA03C2">
        <w:t>late gadolinium enhancement</w:t>
      </w:r>
      <w:r w:rsidR="00035984">
        <w:t xml:space="preserve"> (</w:t>
      </w:r>
      <w:r>
        <w:t>LGE</w:t>
      </w:r>
      <w:r w:rsidR="00035984">
        <w:t>)</w:t>
      </w:r>
      <w:r>
        <w:t xml:space="preserve">, as LGE is able to demonstrate different patterns of myocardial scarring for different aetiologies. Specific investigations such as LGE-CMR enable a more precise diagnosis and prognosis </w:t>
      </w:r>
      <w:r w:rsidR="00115284">
        <w:t xml:space="preserve">following </w:t>
      </w:r>
      <w:r>
        <w:t xml:space="preserve">an inconclusive result through first-level exams </w:t>
      </w:r>
      <w:r w:rsidR="00115284">
        <w:t>(</w:t>
      </w:r>
      <w:r>
        <w:t>e.g. echocardiography</w:t>
      </w:r>
      <w:r w:rsidR="00115284">
        <w:t xml:space="preserve"> </w:t>
      </w:r>
      <w:r>
        <w:t>and ECG), and increase the ability to choose the correct treatment in selected cases.</w:t>
      </w:r>
    </w:p>
    <w:p w14:paraId="0D93C922" w14:textId="244E56CB" w:rsidR="005602D3" w:rsidRPr="00183E4D" w:rsidRDefault="005602D3" w:rsidP="004C79C1">
      <w:pPr>
        <w:pStyle w:val="Heading2"/>
        <w:numPr>
          <w:ilvl w:val="0"/>
          <w:numId w:val="9"/>
        </w:numPr>
        <w:spacing w:before="0" w:after="120" w:line="240" w:lineRule="auto"/>
      </w:pPr>
      <w:bookmarkStart w:id="149" w:name="_Toc451501282"/>
      <w:r w:rsidRPr="00183E4D">
        <w:lastRenderedPageBreak/>
        <w:t>Comparator</w:t>
      </w:r>
      <w:bookmarkEnd w:id="145"/>
      <w:bookmarkEnd w:id="146"/>
      <w:r w:rsidR="00106705" w:rsidRPr="00183E4D">
        <w:t xml:space="preserve"> D</w:t>
      </w:r>
      <w:r w:rsidRPr="00183E4D">
        <w:t>etails</w:t>
      </w:r>
      <w:bookmarkEnd w:id="149"/>
    </w:p>
    <w:p w14:paraId="7495192B" w14:textId="34F3FD6C" w:rsidR="00BF1B13" w:rsidRDefault="00BF1B13" w:rsidP="004C79C1">
      <w:pPr>
        <w:spacing w:after="120" w:line="240" w:lineRule="auto"/>
        <w:jc w:val="both"/>
      </w:pPr>
      <w:r>
        <w:t>The main comparator is the current practice most likely to be replaced or added to by CMR</w:t>
      </w:r>
      <w:r w:rsidR="000958E6">
        <w:t>.</w:t>
      </w:r>
      <w:r>
        <w:t xml:space="preserve"> </w:t>
      </w:r>
      <w:r w:rsidR="000958E6">
        <w:t>I</w:t>
      </w:r>
      <w:r>
        <w:t xml:space="preserve">n this case </w:t>
      </w:r>
      <w:r w:rsidR="00083CF7">
        <w:t>it is</w:t>
      </w:r>
      <w:r>
        <w:t xml:space="preserve"> </w:t>
      </w:r>
      <w:r w:rsidR="00083CF7">
        <w:t xml:space="preserve">those </w:t>
      </w:r>
      <w:r>
        <w:t xml:space="preserve">tests used to investigate patients with </w:t>
      </w:r>
      <w:r w:rsidR="00213A8E">
        <w:t>HF</w:t>
      </w:r>
      <w:r>
        <w:t xml:space="preserve"> symptoms in whom an echocardiography</w:t>
      </w:r>
      <w:r w:rsidR="00732A2B">
        <w:t xml:space="preserve"> result</w:t>
      </w:r>
      <w:r>
        <w:t xml:space="preserve"> is unclear or suggests a dilated </w:t>
      </w:r>
      <w:r w:rsidR="00EE541D">
        <w:t>LV</w:t>
      </w:r>
      <w:r>
        <w:t xml:space="preserve"> and systolic dysfunction, </w:t>
      </w:r>
      <w:r w:rsidR="00083CF7">
        <w:t xml:space="preserve">and </w:t>
      </w:r>
      <w:r>
        <w:t xml:space="preserve">in whom further diagnostic clarification is required. </w:t>
      </w:r>
    </w:p>
    <w:p w14:paraId="434EBD15" w14:textId="3AE264DF" w:rsidR="00034268" w:rsidRDefault="00A5089A" w:rsidP="004C79C1">
      <w:pPr>
        <w:spacing w:after="120" w:line="240" w:lineRule="auto"/>
        <w:jc w:val="both"/>
      </w:pPr>
      <w:r>
        <w:t>Th</w:t>
      </w:r>
      <w:r w:rsidR="00C20626">
        <w:t>ese</w:t>
      </w:r>
      <w:r>
        <w:t xml:space="preserve"> </w:t>
      </w:r>
      <w:r w:rsidR="00C20626">
        <w:t xml:space="preserve">tests </w:t>
      </w:r>
      <w:r>
        <w:t>include:</w:t>
      </w:r>
    </w:p>
    <w:p w14:paraId="54BB0670" w14:textId="664F48D8" w:rsidR="006D7237" w:rsidRDefault="006D7237" w:rsidP="004C79C1">
      <w:pPr>
        <w:pStyle w:val="ListParagraph"/>
        <w:numPr>
          <w:ilvl w:val="0"/>
          <w:numId w:val="27"/>
        </w:numPr>
        <w:spacing w:after="120" w:line="240" w:lineRule="auto"/>
        <w:contextualSpacing/>
        <w:jc w:val="both"/>
      </w:pPr>
      <w:r>
        <w:t>Gated heart pool scan</w:t>
      </w:r>
      <w:r w:rsidR="00C9178A">
        <w:t xml:space="preserve"> (GHPS)</w:t>
      </w:r>
      <w:r>
        <w:t xml:space="preserve"> (MBS item 61313)</w:t>
      </w:r>
    </w:p>
    <w:p w14:paraId="25F2E0CA" w14:textId="6F3AD57D" w:rsidR="006D7237" w:rsidRDefault="00C9178A" w:rsidP="004C79C1">
      <w:pPr>
        <w:tabs>
          <w:tab w:val="left" w:pos="0"/>
        </w:tabs>
        <w:spacing w:after="120" w:line="240" w:lineRule="auto"/>
        <w:contextualSpacing/>
        <w:jc w:val="both"/>
      </w:pPr>
      <w:r>
        <w:t>GHPS</w:t>
      </w:r>
      <w:r w:rsidR="006D7237">
        <w:t xml:space="preserve"> </w:t>
      </w:r>
      <w:r w:rsidR="008B5061">
        <w:t>or s</w:t>
      </w:r>
      <w:r w:rsidR="008B5061" w:rsidRPr="00C80E19">
        <w:t>ingle</w:t>
      </w:r>
      <w:r w:rsidR="008B5061">
        <w:t>-</w:t>
      </w:r>
      <w:r w:rsidR="008B5061" w:rsidRPr="00C80E19">
        <w:t>photon emission computed tomography</w:t>
      </w:r>
      <w:r w:rsidR="008B5061">
        <w:t xml:space="preserve"> (SPECT) </w:t>
      </w:r>
      <w:r w:rsidR="006D7237">
        <w:t xml:space="preserve">uses tomography imaging and radiolabelled red blood cells to evaluate the ventricular contractile function. As well as a radiolabel, the patient must be administered with a preparation medicine (usually stannous pyrophosphate) </w:t>
      </w:r>
      <w:r w:rsidR="008104D9">
        <w:t xml:space="preserve">that </w:t>
      </w:r>
      <w:r w:rsidR="006D7237">
        <w:t xml:space="preserve">prepares the red cells for labelling. Gating is achieved through the timing of scans with the heart beat rhythm, and ECG monitoring is conducted at the same time to enable the timing </w:t>
      </w:r>
      <w:r w:rsidR="00992437">
        <w:fldChar w:fldCharType="begin"/>
      </w:r>
      <w:r w:rsidR="00992437">
        <w:instrText xml:space="preserve"> ADDIN EN.CITE &lt;EndNote&gt;&lt;Cite&gt;&lt;Author&gt;RANZCR&lt;/Author&gt;&lt;Year&gt;2015&lt;/Year&gt;&lt;RecNum&gt;154&lt;/RecNum&gt;&lt;DisplayText&gt;(RANZCR 2015)&lt;/DisplayText&gt;&lt;record&gt;&lt;rec-number&gt;154&lt;/rec-number&gt;&lt;foreign-keys&gt;&lt;key app="EN" db-id="pfxxvref0t0a5de2vwnv2fwkz0p9v0r2fw0t" timestamp="1459399828"&gt;154&lt;/key&gt;&lt;/foreign-keys&gt;&lt;ref-type name="Web Page"&gt;12&lt;/ref-type&gt;&lt;contributors&gt;&lt;authors&gt;&lt;author&gt;RANZCR&lt;/author&gt;&lt;/authors&gt;&lt;secondary-authors&gt;&lt;author&gt;Royal Australian and New Zealand College of Radiologists&lt;/author&gt;&lt;/secondary-authors&gt;&lt;/contributors&gt;&lt;titles&gt;&lt;title&gt;Nuclear Nedicine (NM) gated Blood Pool Scan&lt;/title&gt;&lt;secondary-title&gt;Inside Radiology&lt;/secondary-title&gt;&lt;/titles&gt;&lt;number&gt;31/3/2016&lt;/number&gt;&lt;dates&gt;&lt;year&gt;2015&lt;/year&gt;&lt;/dates&gt;&lt;urls&gt;&lt;related-urls&gt;&lt;url&gt;http://www.insideradiology.com.au/pages/view.php?T_id=41#.Vvx4K2ORMyA&lt;/url&gt;&lt;/related-urls&gt;&lt;/urls&gt;&lt;/record&gt;&lt;/Cite&gt;&lt;/EndNote&gt;</w:instrText>
      </w:r>
      <w:r w:rsidR="00992437">
        <w:fldChar w:fldCharType="separate"/>
      </w:r>
      <w:r w:rsidR="00992437">
        <w:rPr>
          <w:noProof/>
        </w:rPr>
        <w:t>(</w:t>
      </w:r>
      <w:hyperlink w:anchor="_ENREF_108" w:tooltip="RANZCR, 2015 #154" w:history="1">
        <w:r w:rsidR="00B906E9">
          <w:rPr>
            <w:noProof/>
          </w:rPr>
          <w:t>RANZCR 2015</w:t>
        </w:r>
      </w:hyperlink>
      <w:r w:rsidR="00992437">
        <w:rPr>
          <w:noProof/>
        </w:rPr>
        <w:t>)</w:t>
      </w:r>
      <w:r w:rsidR="00992437">
        <w:fldChar w:fldCharType="end"/>
      </w:r>
      <w:r w:rsidR="006D7237">
        <w:t>. G</w:t>
      </w:r>
      <w:r w:rsidR="00CD713D">
        <w:t>HPS</w:t>
      </w:r>
      <w:r w:rsidR="006D7237">
        <w:t xml:space="preserve"> is done when patients present with HF symptoms and the </w:t>
      </w:r>
      <w:r w:rsidR="00A21115">
        <w:t>echocardiography</w:t>
      </w:r>
      <w:r w:rsidR="006D7237">
        <w:t xml:space="preserve"> result is indeterminate (in the absence of CMR).</w:t>
      </w:r>
    </w:p>
    <w:p w14:paraId="71A660A6" w14:textId="28B21F0F" w:rsidR="006D7237" w:rsidRDefault="006D7237" w:rsidP="004C79C1">
      <w:pPr>
        <w:pStyle w:val="ListParagraph"/>
        <w:numPr>
          <w:ilvl w:val="0"/>
          <w:numId w:val="27"/>
        </w:numPr>
        <w:tabs>
          <w:tab w:val="left" w:pos="0"/>
        </w:tabs>
        <w:spacing w:after="120" w:line="240" w:lineRule="auto"/>
        <w:contextualSpacing/>
        <w:jc w:val="both"/>
      </w:pPr>
      <w:r>
        <w:t>Stress echocardiography (MBS items 55116, 55117, 55122, 55123)</w:t>
      </w:r>
    </w:p>
    <w:p w14:paraId="16D6B426" w14:textId="6C674D19" w:rsidR="006D7237" w:rsidRDefault="006D7237" w:rsidP="004C79C1">
      <w:pPr>
        <w:tabs>
          <w:tab w:val="left" w:pos="0"/>
        </w:tabs>
        <w:spacing w:after="120" w:line="240" w:lineRule="auto"/>
        <w:contextualSpacing/>
        <w:jc w:val="both"/>
      </w:pPr>
      <w:r w:rsidRPr="00F761D8">
        <w:t xml:space="preserve">Stress </w:t>
      </w:r>
      <w:r w:rsidR="00A21115">
        <w:t>echocardiography</w:t>
      </w:r>
      <w:r w:rsidRPr="00F761D8">
        <w:t xml:space="preserve"> image</w:t>
      </w:r>
      <w:r>
        <w:t xml:space="preserve">s the heart using ultrasound and </w:t>
      </w:r>
      <w:r w:rsidRPr="00F761D8">
        <w:t>is one of the most common imaging techniques used to investigate cardiac abnormalities in both community and hospital setting</w:t>
      </w:r>
      <w:r>
        <w:t xml:space="preserve">s. This test may be done when </w:t>
      </w:r>
      <w:r w:rsidR="00213A8E">
        <w:t xml:space="preserve">a </w:t>
      </w:r>
      <w:r>
        <w:t>patient present</w:t>
      </w:r>
      <w:r w:rsidR="00213A8E">
        <w:t>s</w:t>
      </w:r>
      <w:r>
        <w:t xml:space="preserve"> with </w:t>
      </w:r>
      <w:r w:rsidR="005711BC">
        <w:t xml:space="preserve">a </w:t>
      </w:r>
      <w:r>
        <w:t xml:space="preserve">dilated LV and systolic dysfunction on </w:t>
      </w:r>
      <w:r w:rsidR="00A21115">
        <w:t>echocardiography</w:t>
      </w:r>
      <w:r w:rsidR="00EE541D">
        <w:t>,</w:t>
      </w:r>
      <w:r>
        <w:t xml:space="preserve"> and </w:t>
      </w:r>
      <w:proofErr w:type="gramStart"/>
      <w:r>
        <w:t>an ischaemic</w:t>
      </w:r>
      <w:proofErr w:type="gramEnd"/>
      <w:r>
        <w:t xml:space="preserve"> aetiology is suspected (in the absence of CMR)</w:t>
      </w:r>
      <w:r w:rsidRPr="00F761D8">
        <w:t>.</w:t>
      </w:r>
      <w:r>
        <w:t xml:space="preserve"> Stress is induced using exercise or pharmacological agents (e.g. dobutamine, dipyridamole). </w:t>
      </w:r>
      <w:r w:rsidR="008B2C7C">
        <w:t>S</w:t>
      </w:r>
      <w:r>
        <w:t xml:space="preserve">tress </w:t>
      </w:r>
      <w:r w:rsidR="00A21115">
        <w:t>echocardiography</w:t>
      </w:r>
      <w:r>
        <w:t xml:space="preserve"> images are subjective, which leads to inter-observer variability and reduced reproducibility in interpreting wall motion contractility and function </w:t>
      </w:r>
      <w:r w:rsidR="00992437">
        <w:fldChar w:fldCharType="begin"/>
      </w:r>
      <w:r w:rsidR="00992437">
        <w:instrText xml:space="preserve"> ADDIN EN.CITE &lt;EndNote&gt;&lt;Cite&gt;&lt;Author&gt;Medical Advisory Secretariat&lt;/Author&gt;&lt;Year&gt;2010b&lt;/Year&gt;&lt;RecNum&gt;159&lt;/RecNum&gt;&lt;IDText&gt;1-61&lt;/IDText&gt;&lt;DisplayText&gt;(Medical Advisory Secretariat 2010b)&lt;/DisplayText&gt;&lt;record&gt;&lt;rec-number&gt;159&lt;/rec-number&gt;&lt;foreign-keys&gt;&lt;key app="EN" db-id="pfxxvref0t0a5de2vwnv2fwkz0p9v0r2fw0t" timestamp="1460086178"&gt;159&lt;/key&gt;&lt;/foreign-keys&gt;&lt;ref-type name="Journal Article"&gt;17&lt;/ref-type&gt;&lt;contributors&gt;&lt;authors&gt;&lt;author&gt;Medical Advisory Secretariat,&lt;/author&gt;&lt;/authors&gt;&lt;/contributors&gt;&lt;titles&gt;&lt;title&gt;Stress echocardiography for the diagnosis of coronary artery disease: an evidence-based analysis&lt;/title&gt;&lt;secondary-title&gt;Ontario Health Technology Assessment Series&lt;/secondary-title&gt;&lt;/titles&gt;&lt;periodical&gt;&lt;full-title&gt;Ontario Health Technology Assessment Series&lt;/full-title&gt;&lt;/periodical&gt;&lt;pages&gt;1-61&lt;/pages&gt;&lt;volume&gt;10&lt;/volume&gt;&lt;number&gt;9&lt;/number&gt;&lt;dates&gt;&lt;year&gt;2010b&lt;/year&gt;&lt;/dates&gt;&lt;urls&gt;&lt;related-urls&gt;&lt;url&gt;http://www.health.gov.on.ca/english/providers/program/mas/tech/reviews/pdf/cardiac_stress_echo_20100528.pdf&lt;/url&gt;&lt;/related-urls&gt;&lt;/urls&gt;&lt;access-date&gt;29 April 2015&lt;/access-date&gt;&lt;/record&gt;&lt;/Cite&gt;&lt;/EndNote&gt;</w:instrText>
      </w:r>
      <w:r w:rsidR="00992437">
        <w:fldChar w:fldCharType="separate"/>
      </w:r>
      <w:r w:rsidR="00992437">
        <w:rPr>
          <w:noProof/>
        </w:rPr>
        <w:t>(</w:t>
      </w:r>
      <w:hyperlink w:anchor="_ENREF_80" w:tooltip="Medical Advisory Secretariat, 2010b #159" w:history="1">
        <w:r w:rsidR="00B906E9">
          <w:rPr>
            <w:noProof/>
          </w:rPr>
          <w:t>Medical Advisory Secretariat 2010b</w:t>
        </w:r>
      </w:hyperlink>
      <w:r w:rsidR="00992437">
        <w:rPr>
          <w:noProof/>
        </w:rPr>
        <w:t>)</w:t>
      </w:r>
      <w:r w:rsidR="00992437">
        <w:fldChar w:fldCharType="end"/>
      </w:r>
      <w:r>
        <w:t>. Therefore, myocardial contrast</w:t>
      </w:r>
      <w:r w:rsidR="00732A2B">
        <w:t xml:space="preserve"> echocardiography</w:t>
      </w:r>
      <w:r>
        <w:t xml:space="preserve"> is also used to assess perfusion </w:t>
      </w:r>
      <w:r w:rsidR="00992437">
        <w:fldChar w:fldCharType="begin"/>
      </w:r>
      <w:r w:rsidR="00992437">
        <w:instrText xml:space="preserve"> ADDIN EN.CITE &lt;EndNote&gt;&lt;Cite&gt;&lt;Author&gt;Medical Advisory Secretariat&lt;/Author&gt;&lt;Year&gt;2010a&lt;/Year&gt;&lt;RecNum&gt;158&lt;/RecNum&gt;&lt;IDText&gt;1-59&lt;/IDText&gt;&lt;DisplayText&gt;(Medical Advisory Secretariat 2010a)&lt;/DisplayText&gt;&lt;record&gt;&lt;rec-number&gt;158&lt;/rec-number&gt;&lt;foreign-keys&gt;&lt;key app="EN" db-id="pfxxvref0t0a5de2vwnv2fwkz0p9v0r2fw0t" timestamp="1460086178"&gt;158&lt;/key&gt;&lt;/foreign-keys&gt;&lt;ref-type name="Journal Article"&gt;17&lt;/ref-type&gt;&lt;contributors&gt;&lt;authors&gt;&lt;author&gt;Medical Advisory Secretariat,&lt;/author&gt;&lt;/authors&gt;&lt;/contributors&gt;&lt;titles&gt;&lt;title&gt;Stress echocardiography with contrast for the diagnosis of coronary artery disease: an evidence-based analysis&lt;/title&gt;&lt;secondary-title&gt;Ontario Health Technology Assessment Series&lt;/secondary-title&gt;&lt;alt-title&gt;Ontario health technology assessment series&lt;/alt-title&gt;&lt;/titles&gt;&lt;periodical&gt;&lt;full-title&gt;Ontario Health Technology Assessment Series&lt;/full-title&gt;&lt;/periodical&gt;&lt;alt-periodical&gt;&lt;full-title&gt;Ontario Health Technology Assessment Series&lt;/full-title&gt;&lt;/alt-periodical&gt;&lt;pages&gt;1-59&lt;/pages&gt;&lt;volume&gt;10&lt;/volume&gt;&lt;number&gt;10&lt;/number&gt;&lt;edition&gt;2010/01/01&lt;/edition&gt;&lt;dates&gt;&lt;year&gt;2010a&lt;/year&gt;&lt;/dates&gt;&lt;isbn&gt;1915-7398&lt;/isbn&gt;&lt;accession-num&gt;23074387&lt;/accession-num&gt;&lt;urls&gt;&lt;/urls&gt;&lt;custom2&gt;Pmc3377574&lt;/custom2&gt;&lt;remote-database-provider&gt;NLM&lt;/remote-database-provider&gt;&lt;language&gt;eng&lt;/language&gt;&lt;/record&gt;&lt;/Cite&gt;&lt;/EndNote&gt;</w:instrText>
      </w:r>
      <w:r w:rsidR="00992437">
        <w:fldChar w:fldCharType="separate"/>
      </w:r>
      <w:r w:rsidR="00992437">
        <w:rPr>
          <w:noProof/>
        </w:rPr>
        <w:t>(</w:t>
      </w:r>
      <w:hyperlink w:anchor="_ENREF_79" w:tooltip="Medical Advisory Secretariat, 2010a #158" w:history="1">
        <w:r w:rsidR="00B906E9">
          <w:rPr>
            <w:noProof/>
          </w:rPr>
          <w:t>Medical Advisory Secretariat 2010a</w:t>
        </w:r>
      </w:hyperlink>
      <w:r w:rsidR="00992437">
        <w:rPr>
          <w:noProof/>
        </w:rPr>
        <w:t>)</w:t>
      </w:r>
      <w:r w:rsidR="00992437">
        <w:fldChar w:fldCharType="end"/>
      </w:r>
      <w:r>
        <w:t>.</w:t>
      </w:r>
    </w:p>
    <w:p w14:paraId="45C9C263" w14:textId="59D9095F" w:rsidR="006D7237" w:rsidRDefault="006D7237" w:rsidP="004C79C1">
      <w:pPr>
        <w:pStyle w:val="ListParagraph"/>
        <w:numPr>
          <w:ilvl w:val="0"/>
          <w:numId w:val="27"/>
        </w:numPr>
        <w:tabs>
          <w:tab w:val="left" w:pos="0"/>
        </w:tabs>
        <w:spacing w:after="120" w:line="240" w:lineRule="auto"/>
        <w:contextualSpacing/>
        <w:jc w:val="both"/>
      </w:pPr>
      <w:r>
        <w:t xml:space="preserve">Contrast echocardiography </w:t>
      </w:r>
    </w:p>
    <w:p w14:paraId="68332CB9" w14:textId="10BDFE88" w:rsidR="006D7237" w:rsidRDefault="006D7237" w:rsidP="004C79C1">
      <w:pPr>
        <w:tabs>
          <w:tab w:val="left" w:pos="0"/>
        </w:tabs>
        <w:spacing w:after="120" w:line="240" w:lineRule="auto"/>
        <w:contextualSpacing/>
        <w:jc w:val="both"/>
      </w:pPr>
      <w:r>
        <w:t xml:space="preserve">For contrast </w:t>
      </w:r>
      <w:r w:rsidR="00732A2B">
        <w:t>e</w:t>
      </w:r>
      <w:r>
        <w:t>cho</w:t>
      </w:r>
      <w:r w:rsidR="00732A2B">
        <w:t>cardiography</w:t>
      </w:r>
      <w:r>
        <w:t xml:space="preserve"> an intravenously administered non-ionising contrast agent, typically containing micro-bubbles, is used to assist ultrasound visualisation. The agent used for conventional </w:t>
      </w:r>
      <w:r w:rsidR="009D0411">
        <w:t>c</w:t>
      </w:r>
      <w:r>
        <w:t>ontrast echo</w:t>
      </w:r>
      <w:r w:rsidR="00732A2B">
        <w:t>cardiography</w:t>
      </w:r>
      <w:r>
        <w:t xml:space="preserve"> is agitated saline, which is prepared by hand agitation of a mixture of air and saline</w:t>
      </w:r>
      <w:r w:rsidR="009D0411">
        <w:t>,</w:t>
      </w:r>
      <w:r>
        <w:t xml:space="preserve"> and administered by injection through a small lumen catheter. Indications for </w:t>
      </w:r>
      <w:r w:rsidR="00732A2B">
        <w:t>contrast echocardiography</w:t>
      </w:r>
      <w:r>
        <w:t xml:space="preserve"> evaluation include assessment of LV systolic function and LV structure, and recognition of regional wall motion abnormalities. The technique can also be used for assessment of myocardial perfusion in ischaemic disease </w:t>
      </w:r>
      <w:r w:rsidR="00992437">
        <w:fldChar w:fldCharType="begin">
          <w:fldData xml:space="preserve">PEVuZE5vdGU+PENpdGU+PEF1dGhvcj5TZW5pb3I8L0F1dGhvcj48WWVhcj4yMDA5PC9ZZWFyPjxS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</w:fldData>
        </w:fldChar>
      </w:r>
      <w:r w:rsidR="00992437">
        <w:instrText xml:space="preserve"> ADDIN EN.CITE </w:instrText>
      </w:r>
      <w:r w:rsidR="00992437">
        <w:fldChar w:fldCharType="begin">
          <w:fldData xml:space="preserve">PEVuZE5vdGU+PENpdGU+PEF1dGhvcj5TZW5pb3I8L0F1dGhvcj48WWVhcj4yMDA5PC9ZZWFyPjxS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</w:fldData>
        </w:fldChar>
      </w:r>
      <w:r w:rsidR="00992437">
        <w:instrText xml:space="preserve"> ADDIN EN.CITE.DATA </w:instrText>
      </w:r>
      <w:r w:rsidR="00992437">
        <w:fldChar w:fldCharType="end"/>
      </w:r>
      <w:r w:rsidR="00992437">
        <w:fldChar w:fldCharType="separate"/>
      </w:r>
      <w:r w:rsidR="00992437">
        <w:rPr>
          <w:noProof/>
        </w:rPr>
        <w:t>(</w:t>
      </w:r>
      <w:hyperlink w:anchor="_ENREF_114" w:tooltip="Senior, 2009 #155" w:history="1">
        <w:r w:rsidR="00B906E9">
          <w:rPr>
            <w:noProof/>
          </w:rPr>
          <w:t>Senior et al. 2009</w:t>
        </w:r>
      </w:hyperlink>
      <w:r w:rsidR="00992437">
        <w:rPr>
          <w:noProof/>
        </w:rPr>
        <w:t xml:space="preserve">; </w:t>
      </w:r>
      <w:hyperlink w:anchor="_ENREF_122" w:tooltip="Stewart, 2003 #156" w:history="1">
        <w:r w:rsidR="00B906E9">
          <w:rPr>
            <w:noProof/>
          </w:rPr>
          <w:t>Stewart 2003</w:t>
        </w:r>
      </w:hyperlink>
      <w:r w:rsidR="00992437">
        <w:rPr>
          <w:noProof/>
        </w:rPr>
        <w:t>)</w:t>
      </w:r>
      <w:r w:rsidR="00992437">
        <w:fldChar w:fldCharType="end"/>
      </w:r>
      <w:r>
        <w:t xml:space="preserve">. For </w:t>
      </w:r>
      <w:r w:rsidR="00FB71B1">
        <w:t xml:space="preserve">MSAC </w:t>
      </w:r>
      <w:r>
        <w:t xml:space="preserve">assessment </w:t>
      </w:r>
      <w:r w:rsidR="00FB71B1">
        <w:t xml:space="preserve">no. </w:t>
      </w:r>
      <w:r>
        <w:t xml:space="preserve">1393, </w:t>
      </w:r>
      <w:r w:rsidR="00732A2B">
        <w:t xml:space="preserve">contrast echocardiography </w:t>
      </w:r>
      <w:r>
        <w:t xml:space="preserve">would be done when patients present with HF symptoms and the </w:t>
      </w:r>
      <w:r w:rsidR="00732A2B">
        <w:t>echocardiography</w:t>
      </w:r>
      <w:r>
        <w:t xml:space="preserve"> result is indeterminate (in the absence of CMR).</w:t>
      </w:r>
    </w:p>
    <w:p w14:paraId="6F499759" w14:textId="77777777" w:rsidR="006D7237" w:rsidRDefault="006D7237" w:rsidP="004C79C1">
      <w:pPr>
        <w:pStyle w:val="ListParagraph"/>
        <w:numPr>
          <w:ilvl w:val="0"/>
          <w:numId w:val="27"/>
        </w:numPr>
        <w:tabs>
          <w:tab w:val="left" w:pos="0"/>
        </w:tabs>
        <w:spacing w:after="120" w:line="240" w:lineRule="auto"/>
        <w:contextualSpacing/>
        <w:jc w:val="both"/>
      </w:pPr>
      <w:r>
        <w:t>Invasive coronary angiography (ICA) (MBS items 38215, 38218)</w:t>
      </w:r>
    </w:p>
    <w:p w14:paraId="3B2C2158" w14:textId="013744C0" w:rsidR="006D7237" w:rsidRDefault="006D7237" w:rsidP="004C79C1">
      <w:pPr>
        <w:tabs>
          <w:tab w:val="left" w:pos="0"/>
        </w:tabs>
        <w:spacing w:after="120" w:line="240" w:lineRule="auto"/>
        <w:contextualSpacing/>
        <w:jc w:val="both"/>
      </w:pPr>
      <w:r>
        <w:t>ICA is an invasive technique and will be done when ischaemia (or CAD) is suspected. It is performed under local anaesthesia and in sterile conditions. A catheter is inserted through an artery in the arm or leg, and X-ray</w:t>
      </w:r>
      <w:r w:rsidR="00D56A98">
        <w:t>s</w:t>
      </w:r>
      <w:r>
        <w:t xml:space="preserve"> </w:t>
      </w:r>
      <w:r w:rsidR="00D56A98">
        <w:t xml:space="preserve">are used to </w:t>
      </w:r>
      <w:r>
        <w:t xml:space="preserve">guide the catheter to the coronary arteries. To determine whether luminal obstruction is present, a radiocontrast agent is injected into the coronary arteries to show the coronary anatomy </w:t>
      </w:r>
      <w:r w:rsidR="00992437">
        <w:fldChar w:fldCharType="begin"/>
      </w:r>
      <w:r w:rsidR="00992437">
        <w:instrText xml:space="preserve"> ADDIN EN.CITE &lt;EndNote&gt;&lt;Cite&gt;&lt;Author&gt;Caluk&lt;/Author&gt;&lt;Year&gt;2011&lt;/Year&gt;&lt;RecNum&gt;157&lt;/RecNum&gt;&lt;DisplayText&gt;(Caluk 2011)&lt;/DisplayText&gt;&lt;record&gt;&lt;rec-number&gt;157&lt;/rec-number&gt;&lt;foreign-keys&gt;&lt;key app="EN" db-id="pfxxvref0t0a5de2vwnv2fwkz0p9v0r2fw0t" timestamp="1460085322"&gt;157&lt;/key&gt;&lt;/foreign-keys&gt;&lt;ref-type name="Book"&gt;6&lt;/ref-type&gt;&lt;contributors&gt;&lt;authors&gt;&lt;author&gt;Caluk, J&lt;/author&gt;&lt;/authors&gt;&lt;/contributors&gt;&lt;titles&gt;&lt;title&gt;Procedural Techniques of Coronary Angiography&lt;/title&gt;&lt;/titles&gt;&lt;dates&gt;&lt;year&gt;2011&lt;/year&gt;&lt;/dates&gt;&lt;publisher&gt;&lt;style face="normal" font="default" charset="238" size="100%"&gt;INTECH Open Access Publisher&lt;/style&gt;&lt;/publisher&gt;&lt;isbn&gt;9533072865&lt;/isbn&gt;&lt;urls&gt;&lt;/urls&gt;&lt;/record&gt;&lt;/Cite&gt;&lt;/EndNote&gt;</w:instrText>
      </w:r>
      <w:r w:rsidR="00992437">
        <w:fldChar w:fldCharType="separate"/>
      </w:r>
      <w:r w:rsidR="00992437">
        <w:rPr>
          <w:noProof/>
        </w:rPr>
        <w:t>(</w:t>
      </w:r>
      <w:hyperlink w:anchor="_ENREF_19" w:tooltip="Caluk, 2011 #157" w:history="1">
        <w:r w:rsidR="00B906E9">
          <w:rPr>
            <w:noProof/>
          </w:rPr>
          <w:t>Caluk 2011</w:t>
        </w:r>
      </w:hyperlink>
      <w:r w:rsidR="00992437">
        <w:rPr>
          <w:noProof/>
        </w:rPr>
        <w:t>)</w:t>
      </w:r>
      <w:r w:rsidR="00992437">
        <w:fldChar w:fldCharType="end"/>
      </w:r>
      <w:r>
        <w:t>.</w:t>
      </w:r>
      <w:r w:rsidR="00D56A98" w:rsidDel="00D56A98">
        <w:t xml:space="preserve"> </w:t>
      </w:r>
      <w:r>
        <w:t>ICA is used in stable patients who have an intermediate or high risk of having CAD. Those at high risk would receive an ICA regardless of MBS-listing of CMR. However, it is expected that with LGE-CMR on the MBS</w:t>
      </w:r>
      <w:r w:rsidR="00E73780">
        <w:t>,</w:t>
      </w:r>
      <w:r>
        <w:t xml:space="preserve"> fewer ICAs will need to be performed in the group at intermediate risk, as CMR could diagnose non-ischaemia and therefore avoid unnecessary ICAs. ICA is also classified as a reference standard for diagnostic performance in determining </w:t>
      </w:r>
      <w:r w:rsidR="00E73780">
        <w:t xml:space="preserve">the </w:t>
      </w:r>
      <w:r>
        <w:t xml:space="preserve">ischaemic aetiology of DCM. </w:t>
      </w:r>
    </w:p>
    <w:p w14:paraId="79420D25" w14:textId="77777777" w:rsidR="006D7237" w:rsidRPr="004647C9" w:rsidRDefault="006D7237" w:rsidP="004C79C1">
      <w:pPr>
        <w:pStyle w:val="ListParagraph"/>
        <w:numPr>
          <w:ilvl w:val="0"/>
          <w:numId w:val="27"/>
        </w:numPr>
        <w:spacing w:after="120" w:line="240" w:lineRule="auto"/>
        <w:contextualSpacing/>
        <w:jc w:val="both"/>
      </w:pPr>
      <w:r w:rsidRPr="004647C9">
        <w:lastRenderedPageBreak/>
        <w:t>Computed tomography coronary angiography (CTCA) (MBS Items 57360, 57361)</w:t>
      </w:r>
    </w:p>
    <w:p w14:paraId="75FF3F65" w14:textId="5CD32855" w:rsidR="006D7237" w:rsidRPr="00E44B87" w:rsidRDefault="006D7237" w:rsidP="004C79C1">
      <w:pPr>
        <w:spacing w:after="120" w:line="240" w:lineRule="auto"/>
        <w:contextualSpacing/>
        <w:jc w:val="both"/>
      </w:pPr>
      <w:r>
        <w:t xml:space="preserve">CTCA also enables the diagnosis of ischaemic or non-ischaemic causes of DCM. It uses intravenous contrast to visualise the lumen of the coronary arteries, therefore avoiding the use of invasive testing such as ICA. CTCA is primarily indicated for patients with a low to intermediate pre-test probability </w:t>
      </w:r>
      <w:r w:rsidR="006A20C5">
        <w:t xml:space="preserve">(15–45%) </w:t>
      </w:r>
      <w:r>
        <w:t xml:space="preserve">of CAD </w:t>
      </w:r>
      <w:r>
        <w:fldChar w:fldCharType="begin"/>
      </w:r>
      <w:r>
        <w:instrText xml:space="preserve"> ADDIN EN.CITE &lt;EndNote&gt;&lt;Cite&gt;&lt;Author&gt;Paech&lt;/Author&gt;&lt;Year&gt;2011&lt;/Year&gt;&lt;RecNum&gt;98&lt;/RecNum&gt;&lt;IDText&gt;32&lt;/IDText&gt;&lt;DisplayText&gt;(Paech &amp;amp; Weston 2011)&lt;/DisplayText&gt;&lt;record&gt;&lt;rec-number&gt;98&lt;/rec-number&gt;&lt;foreign-keys&gt;&lt;key app="EN" db-id="pfxxvref0t0a5de2vwnv2fwkz0p9v0r2fw0t" timestamp="1458534695"&gt;98&lt;/key&gt;&lt;/foreign-keys&gt;&lt;ref-type name="Journal Article"&gt;17&lt;/ref-type&gt;&lt;contributors&gt;&lt;authors&gt;&lt;author&gt;Paech, D. C.&lt;/author&gt;&lt;author&gt;Weston, A. R.&lt;/author&gt;&lt;/authors&gt;&lt;/contributors&gt;&lt;auth-address&gt;Health Technology Analysts Pty Ltd, 135 Rowntree St, Balmain, NSW 2041, Australia. dpaech@htanalysts.com&lt;/auth-address&gt;&lt;titles&gt;&lt;title&gt;A systematic review of the clinical effectiveness of 64-slice or higher computed tomography angiography as an alternative to invasive coronary angiography in the investigation of suspected coronary artery disease&lt;/title&gt;&lt;secondary-title&gt;BMC Cardiovasc Disord&lt;/secondary-title&gt;&lt;/titles&gt;&lt;periodical&gt;&lt;full-title&gt;BMC Cardiovasc Disord&lt;/full-title&gt;&lt;/periodical&gt;&lt;pages&gt;32&lt;/pages&gt;&lt;volume&gt;11&lt;/volume&gt;&lt;keywords&gt;&lt;keyword&gt;Coronary Angiography/*standards&lt;/keyword&gt;&lt;keyword&gt;Coronary Artery Disease/*radiography/therapy&lt;/keyword&gt;&lt;keyword&gt;Humans&lt;/keyword&gt;&lt;keyword&gt;Prospective Studies&lt;/keyword&gt;&lt;keyword&gt;Tomography, X-Ray Computed/*standards&lt;/keyword&gt;&lt;keyword&gt;Treatment Outcome&lt;/keyword&gt;&lt;/keywords&gt;&lt;dates&gt;&lt;year&gt;2011&lt;/year&gt;&lt;/dates&gt;&lt;isbn&gt;1471-2261 (Electronic)&amp;#xD;1471-2261 (Linking)&lt;/isbn&gt;&lt;accession-num&gt;21679468&lt;/accession-num&gt;&lt;urls&gt;&lt;related-urls&gt;&lt;url&gt;http://www.ncbi.nlm.nih.gov/pubmed/21679468&lt;/url&gt;&lt;/related-urls&gt;&lt;/urls&gt;&lt;custom2&gt;3141758&lt;/custom2&gt;&lt;electronic-resource-num&gt;10.1186/1471-2261-11-32&lt;/electronic-resource-num&gt;&lt;/record&gt;&lt;/Cite&gt;&lt;/EndNote&gt;</w:instrText>
      </w:r>
      <w:r>
        <w:fldChar w:fldCharType="separate"/>
      </w:r>
      <w:r>
        <w:rPr>
          <w:noProof/>
        </w:rPr>
        <w:t>(</w:t>
      </w:r>
      <w:hyperlink w:anchor="_ENREF_99" w:tooltip="Paech, 2011 #98" w:history="1">
        <w:r w:rsidR="00B906E9">
          <w:rPr>
            <w:noProof/>
          </w:rPr>
          <w:t>Paech &amp; Weston 2011</w:t>
        </w:r>
      </w:hyperlink>
      <w:r>
        <w:rPr>
          <w:noProof/>
        </w:rPr>
        <w:t>)</w:t>
      </w:r>
      <w:r>
        <w:fldChar w:fldCharType="end"/>
      </w:r>
      <w:r w:rsidRPr="000E23D5">
        <w:t>,</w:t>
      </w:r>
      <w:r>
        <w:t xml:space="preserve"> and is not recommended for patients with obesity, high calcium scores (Agatston score &gt;400), high resting heart rate (&gt;65 beats per minute) or difficulty holding their breath. </w:t>
      </w:r>
    </w:p>
    <w:p w14:paraId="5C3008BD" w14:textId="77777777" w:rsidR="006D7237" w:rsidRPr="004647C9" w:rsidRDefault="006D7237" w:rsidP="004C79C1">
      <w:pPr>
        <w:pStyle w:val="ListParagraph"/>
        <w:numPr>
          <w:ilvl w:val="0"/>
          <w:numId w:val="27"/>
        </w:numPr>
        <w:spacing w:after="120" w:line="240" w:lineRule="auto"/>
        <w:ind w:left="714" w:hanging="357"/>
      </w:pPr>
      <w:r w:rsidRPr="004647C9">
        <w:t>Exercise or pharmacologic (adenosine or dobutamine) single-photon emission computed tomography (SPECT) (MBS Items 61302, 61303, 61306, 61307, 61651, 61652, 61653, 61654)</w:t>
      </w:r>
    </w:p>
    <w:p w14:paraId="39CC2F06" w14:textId="2B16E7E3" w:rsidR="006D7237" w:rsidRDefault="006D7237" w:rsidP="004C79C1">
      <w:pPr>
        <w:spacing w:after="120" w:line="240" w:lineRule="auto"/>
        <w:jc w:val="both"/>
      </w:pPr>
      <w:r>
        <w:t xml:space="preserve">SPECT can be used to rule out ischaemic causes of DCM. It utilises radiopharmaceutical tracers (e.g. technetium-99m or thallium-201) to visualise regional myocardial blood flow and perfusion. </w:t>
      </w:r>
      <w:r>
        <w:fldChar w:fldCharType="begin">
          <w:fldData xml:space="preserve">PEVuZE5vdGU+PENpdGU+PEF1dGhvcj5Nb250YWxlc2NvdDwvQXV0aG9yPjxZZWFyPjIwMTM8L1ll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</w:fldData>
        </w:fldChar>
      </w:r>
      <w:r>
        <w:instrText xml:space="preserve"> ADDIN EN.CITE </w:instrText>
      </w:r>
      <w:r>
        <w:fldChar w:fldCharType="begin">
          <w:fldData xml:space="preserve">PEVuZE5vdGU+PENpdGU+PEF1dGhvcj5Nb250YWxlc2NvdDwvQXV0aG9yPjxZZWFyPjIwMTM8L1ll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</w:fldData>
        </w:fldChar>
      </w:r>
      <w:r>
        <w:instrText xml:space="preserve"> ADDIN EN.CITE.DATA </w:instrText>
      </w:r>
      <w:r>
        <w:fldChar w:fldCharType="end"/>
      </w:r>
      <w:r>
        <w:fldChar w:fldCharType="separate"/>
      </w:r>
      <w:r>
        <w:rPr>
          <w:noProof/>
        </w:rPr>
        <w:t>(</w:t>
      </w:r>
      <w:hyperlink w:anchor="_ENREF_83" w:tooltip="Montalescot, 2013 #97" w:history="1">
        <w:r w:rsidR="00B906E9">
          <w:rPr>
            <w:noProof/>
          </w:rPr>
          <w:t>Montalescot et al. 2013</w:t>
        </w:r>
      </w:hyperlink>
      <w:r>
        <w:rPr>
          <w:noProof/>
        </w:rPr>
        <w:t>)</w:t>
      </w:r>
      <w:r>
        <w:fldChar w:fldCharType="end"/>
      </w:r>
      <w:r w:rsidR="00A700A7">
        <w:t>.</w:t>
      </w:r>
      <w:r>
        <w:t xml:space="preserve"> Tracer uptake during rest (baseline) is compared with uptake during peak stress (pharmacological or exercise), show</w:t>
      </w:r>
      <w:r w:rsidR="00EE1FC4">
        <w:t>ing</w:t>
      </w:r>
      <w:r>
        <w:t xml:space="preserve"> which regional areas are affected by myocardial ischaemia.</w:t>
      </w:r>
    </w:p>
    <w:p w14:paraId="488D0046" w14:textId="544A86B4" w:rsidR="00DA7EAE" w:rsidRDefault="00DA7EAE" w:rsidP="004C79C1">
      <w:pPr>
        <w:pStyle w:val="ListParagraph"/>
        <w:numPr>
          <w:ilvl w:val="0"/>
          <w:numId w:val="27"/>
        </w:numPr>
        <w:spacing w:after="120" w:line="240" w:lineRule="auto"/>
        <w:ind w:left="714" w:hanging="357"/>
      </w:pPr>
      <w:r>
        <w:t>Further tests</w:t>
      </w:r>
    </w:p>
    <w:p w14:paraId="5CBAED24" w14:textId="183EC196" w:rsidR="00262AF8" w:rsidRPr="005A5FE5" w:rsidRDefault="004B14A5" w:rsidP="004C79C1">
      <w:pPr>
        <w:spacing w:after="120" w:line="240" w:lineRule="auto"/>
        <w:jc w:val="both"/>
      </w:pPr>
      <w:r>
        <w:t>In the absence of CMR, those with a low risk of CAD would receive ‘further testing’. The form this would take would depend on whether there is a particular aetiology of NIDCM suspected or not. Clinical advice is that th</w:t>
      </w:r>
      <w:r w:rsidR="002D7339">
        <w:t>is</w:t>
      </w:r>
      <w:r>
        <w:t xml:space="preserve"> testing would predominantly involve further blood tests, with a very small number of endomyocardial biopsies (EMB</w:t>
      </w:r>
      <w:r w:rsidR="002D7339">
        <w:t>s</w:t>
      </w:r>
      <w:r>
        <w:t>) being performed. In the literature, investigations used include more</w:t>
      </w:r>
      <w:r w:rsidR="002D7339">
        <w:t>-</w:t>
      </w:r>
      <w:r>
        <w:t xml:space="preserve">extensive pathology tests for viruses, genetic testing, ambulatory 24-hour ECG, exercise testing with measurement of peak oxygen uptake and right-sided cardiac catheterisation </w:t>
      </w:r>
      <w:r w:rsidR="00C528C5">
        <w:t>EMB</w:t>
      </w:r>
      <w:r>
        <w:t xml:space="preserve"> (Broch et al. 2015).</w:t>
      </w:r>
      <w:r w:rsidR="000B3D1B">
        <w:t xml:space="preserve"> </w:t>
      </w:r>
      <w:r w:rsidR="005A5FE5">
        <w:t xml:space="preserve">The clinical management algorithms in section A6 </w:t>
      </w:r>
      <w:r w:rsidR="00A5089A">
        <w:t>(</w:t>
      </w:r>
      <w:r w:rsidR="000B3D1B">
        <w:fldChar w:fldCharType="begin"/>
      </w:r>
      <w:r w:rsidR="000B3D1B">
        <w:instrText xml:space="preserve"> REF _Ref451410358 \h </w:instrText>
      </w:r>
      <w:r w:rsidR="000B3D1B">
        <w:fldChar w:fldCharType="separate"/>
      </w:r>
      <w:r w:rsidR="000B3D1B">
        <w:t xml:space="preserve">Figure </w:t>
      </w:r>
      <w:r w:rsidR="000B3D1B">
        <w:rPr>
          <w:noProof/>
        </w:rPr>
        <w:t>1</w:t>
      </w:r>
      <w:r w:rsidR="000B3D1B">
        <w:fldChar w:fldCharType="end"/>
      </w:r>
      <w:r w:rsidR="008B4132">
        <w:t xml:space="preserve"> and </w:t>
      </w:r>
      <w:r w:rsidR="000B3D1B">
        <w:fldChar w:fldCharType="begin"/>
      </w:r>
      <w:r w:rsidR="000B3D1B">
        <w:instrText xml:space="preserve"> REF _Ref451426870 \h </w:instrText>
      </w:r>
      <w:r w:rsidR="000B3D1B">
        <w:fldChar w:fldCharType="separate"/>
      </w:r>
      <w:r w:rsidR="000B3D1B">
        <w:t xml:space="preserve">Figure </w:t>
      </w:r>
      <w:r w:rsidR="000B3D1B">
        <w:rPr>
          <w:noProof/>
        </w:rPr>
        <w:t>3</w:t>
      </w:r>
      <w:r w:rsidR="000B3D1B">
        <w:fldChar w:fldCharType="end"/>
      </w:r>
      <w:r w:rsidR="008B4132">
        <w:fldChar w:fldCharType="begin"/>
      </w:r>
      <w:r w:rsidR="008B4132">
        <w:instrText xml:space="preserve"> REF _Ref443395512 \h </w:instrText>
      </w:r>
      <w:r w:rsidR="008B4132">
        <w:fldChar w:fldCharType="end"/>
      </w:r>
      <w:r w:rsidR="00A5089A">
        <w:t>) illustrate current practice in absence of CMR.</w:t>
      </w:r>
    </w:p>
    <w:p w14:paraId="5F6173F3" w14:textId="6084D789" w:rsidR="00516526" w:rsidRPr="00183E4D" w:rsidRDefault="0083477B" w:rsidP="004C79C1">
      <w:pPr>
        <w:spacing w:after="120" w:line="240" w:lineRule="auto"/>
        <w:jc w:val="both"/>
      </w:pPr>
      <w:r w:rsidRPr="00183E4D">
        <w:t xml:space="preserve">The MBS item </w:t>
      </w:r>
      <w:r w:rsidRPr="004647C9">
        <w:t>descriptor</w:t>
      </w:r>
      <w:r w:rsidR="004647C9" w:rsidRPr="004647C9">
        <w:t>s</w:t>
      </w:r>
      <w:r w:rsidRPr="004647C9">
        <w:t xml:space="preserve"> for </w:t>
      </w:r>
      <w:r w:rsidR="004647C9">
        <w:t>the relevant comparator</w:t>
      </w:r>
      <w:r w:rsidRPr="004647C9">
        <w:t>s</w:t>
      </w:r>
      <w:r w:rsidR="004647C9">
        <w:t xml:space="preserve"> are</w:t>
      </w:r>
      <w:r w:rsidRPr="004647C9">
        <w:t xml:space="preserve"> </w:t>
      </w:r>
      <w:r w:rsidR="00727B44">
        <w:t xml:space="preserve">shown </w:t>
      </w:r>
      <w:r w:rsidR="00727B44" w:rsidRPr="00141050">
        <w:t xml:space="preserve">in </w:t>
      </w:r>
      <w:r w:rsidR="00516526" w:rsidRPr="00C5592D">
        <w:fldChar w:fldCharType="begin"/>
      </w:r>
      <w:r w:rsidR="00516526" w:rsidRPr="00C5592D">
        <w:instrText xml:space="preserve"> REF _Ref445281436 \h </w:instrText>
      </w:r>
      <w:r w:rsidR="00516526" w:rsidRPr="00C5592D">
        <w:fldChar w:fldCharType="separate"/>
      </w:r>
      <w:r w:rsidR="00460601" w:rsidRPr="00183E4D">
        <w:t xml:space="preserve">Appendix </w:t>
      </w:r>
      <w:r w:rsidR="00460601">
        <w:rPr>
          <w:noProof/>
        </w:rPr>
        <w:t>F</w:t>
      </w:r>
      <w:r w:rsidR="00460601" w:rsidRPr="00183E4D">
        <w:tab/>
      </w:r>
      <w:r w:rsidR="00460601">
        <w:t>Relevant MBS Items for the Comparators</w:t>
      </w:r>
      <w:r w:rsidR="00516526" w:rsidRPr="00C5592D">
        <w:fldChar w:fldCharType="end"/>
      </w:r>
      <w:r w:rsidR="00516526" w:rsidRPr="00C5592D">
        <w:t>.</w:t>
      </w:r>
    </w:p>
    <w:p w14:paraId="35F84214" w14:textId="29C938DC" w:rsidR="005602D3" w:rsidRPr="00183E4D" w:rsidRDefault="00FF05F0" w:rsidP="004C79C1">
      <w:pPr>
        <w:pStyle w:val="Heading2"/>
        <w:numPr>
          <w:ilvl w:val="0"/>
          <w:numId w:val="9"/>
        </w:numPr>
        <w:spacing w:before="0" w:after="120" w:line="240" w:lineRule="auto"/>
      </w:pPr>
      <w:bookmarkStart w:id="150" w:name="_Toc451501283"/>
      <w:r>
        <w:t>Clinical Management Algo</w:t>
      </w:r>
      <w:r w:rsidR="003654BE">
        <w:t>rithms</w:t>
      </w:r>
      <w:bookmarkEnd w:id="150"/>
    </w:p>
    <w:p w14:paraId="3084CF68" w14:textId="6A5ADDCC" w:rsidR="004647C9" w:rsidRDefault="00CC7801" w:rsidP="004C79C1">
      <w:pPr>
        <w:spacing w:after="120" w:line="240" w:lineRule="auto"/>
        <w:jc w:val="both"/>
      </w:pPr>
      <w:r>
        <w:t>The clinical management algorithms developed by another assessment group and presented to and ratified by PASC are available from the MSAC website</w:t>
      </w:r>
      <w:r>
        <w:rPr>
          <w:rStyle w:val="FootnoteReference"/>
        </w:rPr>
        <w:footnoteReference w:id="3"/>
      </w:r>
      <w:r>
        <w:t>. During the process of performing this contracted assessment, further clarification was sought from clinical experts, and the algorithms were amended.</w:t>
      </w:r>
      <w:r w:rsidR="00C0499A">
        <w:t xml:space="preserve"> </w:t>
      </w:r>
      <w:r w:rsidR="00D30EC1">
        <w:fldChar w:fldCharType="begin"/>
      </w:r>
      <w:r w:rsidR="00D30EC1">
        <w:instrText xml:space="preserve"> REF _Ref451410358 \h </w:instrText>
      </w:r>
      <w:r w:rsidR="00D30EC1">
        <w:fldChar w:fldCharType="separate"/>
      </w:r>
      <w:r w:rsidR="00D30EC1">
        <w:t xml:space="preserve">Figure </w:t>
      </w:r>
      <w:r w:rsidR="00D30EC1">
        <w:rPr>
          <w:noProof/>
        </w:rPr>
        <w:t>1</w:t>
      </w:r>
      <w:r w:rsidR="00D30EC1">
        <w:fldChar w:fldCharType="end"/>
      </w:r>
      <w:r w:rsidR="00D30EC1">
        <w:t xml:space="preserve"> and </w:t>
      </w:r>
      <w:r w:rsidR="00D30EC1">
        <w:fldChar w:fldCharType="begin"/>
      </w:r>
      <w:r w:rsidR="00D30EC1">
        <w:instrText xml:space="preserve"> REF _Ref451426870 \h </w:instrText>
      </w:r>
      <w:r w:rsidR="00D30EC1">
        <w:fldChar w:fldCharType="separate"/>
      </w:r>
      <w:r w:rsidR="00D30EC1">
        <w:t xml:space="preserve">Figure </w:t>
      </w:r>
      <w:r w:rsidR="00D30EC1">
        <w:rPr>
          <w:noProof/>
        </w:rPr>
        <w:t>3</w:t>
      </w:r>
      <w:r w:rsidR="00D30EC1">
        <w:fldChar w:fldCharType="end"/>
      </w:r>
      <w:r w:rsidR="00D30EC1">
        <w:t xml:space="preserve"> </w:t>
      </w:r>
      <w:r w:rsidR="009E2D6B">
        <w:t>show current clinical practice of</w:t>
      </w:r>
      <w:r w:rsidR="00C0499A">
        <w:t xml:space="preserve"> respectively</w:t>
      </w:r>
      <w:r w:rsidR="009E2D6B">
        <w:t>: (</w:t>
      </w:r>
      <w:r w:rsidR="00F634BB">
        <w:t>i</w:t>
      </w:r>
      <w:r w:rsidR="009E2D6B">
        <w:t xml:space="preserve">) patients presenting with </w:t>
      </w:r>
      <w:r w:rsidR="00F634BB">
        <w:t>HF</w:t>
      </w:r>
      <w:r w:rsidR="009E2D6B">
        <w:t xml:space="preserve"> symptoms with an indeterminate result on </w:t>
      </w:r>
      <w:r w:rsidR="00A21115">
        <w:t>echocardiography</w:t>
      </w:r>
      <w:r w:rsidR="009E2D6B">
        <w:t>, and (</w:t>
      </w:r>
      <w:r w:rsidR="00F634BB">
        <w:t>ii</w:t>
      </w:r>
      <w:r w:rsidR="009E2D6B">
        <w:t xml:space="preserve">) patients presenting with </w:t>
      </w:r>
      <w:r w:rsidR="00F634BB">
        <w:t>HF</w:t>
      </w:r>
      <w:r w:rsidR="009E2D6B">
        <w:t xml:space="preserve"> </w:t>
      </w:r>
      <w:r w:rsidR="00C0499A">
        <w:t xml:space="preserve">in whom </w:t>
      </w:r>
      <w:r w:rsidR="00A21115">
        <w:t>echocardiography</w:t>
      </w:r>
      <w:r w:rsidR="00CB6BBF">
        <w:t xml:space="preserve"> </w:t>
      </w:r>
      <w:r w:rsidR="00C0499A">
        <w:t xml:space="preserve">suggests a </w:t>
      </w:r>
      <w:r w:rsidR="00F634BB">
        <w:t>DCM</w:t>
      </w:r>
      <w:r w:rsidR="009E2D6B">
        <w:t xml:space="preserve">. </w:t>
      </w:r>
      <w:r w:rsidR="00D30EC1">
        <w:rPr>
          <w:highlight w:val="yellow"/>
        </w:rPr>
        <w:fldChar w:fldCharType="begin"/>
      </w:r>
      <w:r w:rsidR="00D30EC1">
        <w:instrText xml:space="preserve"> REF _Ref451260101 \h </w:instrText>
      </w:r>
      <w:r w:rsidR="00D30EC1">
        <w:rPr>
          <w:highlight w:val="yellow"/>
        </w:rPr>
      </w:r>
      <w:r w:rsidR="00D30EC1">
        <w:rPr>
          <w:highlight w:val="yellow"/>
        </w:rPr>
        <w:fldChar w:fldCharType="separate"/>
      </w:r>
      <w:r w:rsidR="00D30EC1">
        <w:t xml:space="preserve">Figure </w:t>
      </w:r>
      <w:r w:rsidR="00D30EC1">
        <w:rPr>
          <w:noProof/>
        </w:rPr>
        <w:t>2</w:t>
      </w:r>
      <w:r w:rsidR="00D30EC1">
        <w:rPr>
          <w:highlight w:val="yellow"/>
        </w:rPr>
        <w:fldChar w:fldCharType="end"/>
      </w:r>
      <w:r w:rsidR="00C0499A">
        <w:t xml:space="preserve"> and </w:t>
      </w:r>
      <w:r w:rsidR="00D30EC1" w:rsidRPr="00D30EC1">
        <w:fldChar w:fldCharType="begin"/>
      </w:r>
      <w:r w:rsidR="00D30EC1" w:rsidRPr="00D30EC1">
        <w:instrText xml:space="preserve"> REF _Ref447807237 \h </w:instrText>
      </w:r>
      <w:r w:rsidR="00D30EC1">
        <w:instrText xml:space="preserve"> \* MERGEFORMAT </w:instrText>
      </w:r>
      <w:r w:rsidR="00D30EC1" w:rsidRPr="00D30EC1">
        <w:fldChar w:fldCharType="separate"/>
      </w:r>
      <w:r w:rsidR="00D30EC1" w:rsidRPr="00D30EC1">
        <w:t xml:space="preserve">Figure </w:t>
      </w:r>
      <w:r w:rsidR="00D30EC1" w:rsidRPr="00D30EC1">
        <w:rPr>
          <w:noProof/>
        </w:rPr>
        <w:t>4</w:t>
      </w:r>
      <w:r w:rsidR="00D30EC1" w:rsidRPr="00D30EC1">
        <w:fldChar w:fldCharType="end"/>
      </w:r>
      <w:r w:rsidR="00C0499A">
        <w:t xml:space="preserve"> show</w:t>
      </w:r>
      <w:r w:rsidR="009E2D6B">
        <w:t xml:space="preserve"> the propo</w:t>
      </w:r>
      <w:r w:rsidR="00C0499A">
        <w:t>sed algorithm</w:t>
      </w:r>
      <w:r w:rsidR="00CB6BBF">
        <w:t>s</w:t>
      </w:r>
      <w:r w:rsidR="00C0499A">
        <w:t xml:space="preserve"> for these patient groups</w:t>
      </w:r>
      <w:r w:rsidR="009E2D6B">
        <w:t xml:space="preserve"> if LGE-CMR </w:t>
      </w:r>
      <w:r w:rsidR="00CB6BBF">
        <w:t xml:space="preserve">was </w:t>
      </w:r>
      <w:r w:rsidR="009E2D6B">
        <w:t>to be listed on the MBS.</w:t>
      </w:r>
      <w:r>
        <w:t xml:space="preserve"> </w:t>
      </w:r>
      <w:r w:rsidR="00377BB8">
        <w:t>C</w:t>
      </w:r>
      <w:r w:rsidR="00012658">
        <w:t>MR is</w:t>
      </w:r>
      <w:r w:rsidR="0048244A">
        <w:t xml:space="preserve"> shown as</w:t>
      </w:r>
      <w:r w:rsidR="00012658">
        <w:t xml:space="preserve"> an adjunct diagnostic tool to clinical examination, chest </w:t>
      </w:r>
      <w:r w:rsidR="00CB6BBF">
        <w:t>X</w:t>
      </w:r>
      <w:r w:rsidR="00012658">
        <w:t xml:space="preserve">-ray and </w:t>
      </w:r>
      <w:r w:rsidR="00A21115">
        <w:t>echocardiography</w:t>
      </w:r>
      <w:r w:rsidR="00012658">
        <w:t xml:space="preserve">. </w:t>
      </w:r>
      <w:r w:rsidR="00F50947">
        <w:t>It would be requested when the existing tools do</w:t>
      </w:r>
      <w:r w:rsidR="00CB6BBF">
        <w:t xml:space="preserve"> </w:t>
      </w:r>
      <w:r w:rsidR="00F50947">
        <w:t>n</w:t>
      </w:r>
      <w:r w:rsidR="00CB6BBF">
        <w:t>o</w:t>
      </w:r>
      <w:r w:rsidR="00F50947">
        <w:t>t give adequate information, to further clarify the diagnosis and in some cases also inform prognosis and the investigati</w:t>
      </w:r>
      <w:r w:rsidR="0048244A">
        <w:t>on of first</w:t>
      </w:r>
      <w:r w:rsidR="00CB6BBF">
        <w:t>-</w:t>
      </w:r>
      <w:r w:rsidR="0048244A">
        <w:t>degree relatives (as</w:t>
      </w:r>
      <w:r w:rsidR="00F50947">
        <w:t xml:space="preserve"> shown in</w:t>
      </w:r>
      <w:r w:rsidR="00C851CB">
        <w:t xml:space="preserve"> </w:t>
      </w:r>
      <w:r w:rsidR="00595A58">
        <w:fldChar w:fldCharType="begin"/>
      </w:r>
      <w:r w:rsidR="00595A58">
        <w:instrText xml:space="preserve"> REF _Ref451427013 \h </w:instrText>
      </w:r>
      <w:r w:rsidR="00595A58">
        <w:fldChar w:fldCharType="separate"/>
      </w:r>
      <w:r w:rsidR="00595A58">
        <w:t xml:space="preserve">Figure </w:t>
      </w:r>
      <w:r w:rsidR="00595A58">
        <w:rPr>
          <w:noProof/>
        </w:rPr>
        <w:t>47</w:t>
      </w:r>
      <w:r w:rsidR="00595A58">
        <w:fldChar w:fldCharType="end"/>
      </w:r>
      <w:r w:rsidR="00C851CB" w:rsidRPr="00595A58">
        <w:t xml:space="preserve"> </w:t>
      </w:r>
      <w:r w:rsidR="004304D5" w:rsidRPr="00595A58">
        <w:t xml:space="preserve">and </w:t>
      </w:r>
      <w:r w:rsidR="00595A58" w:rsidRPr="00595A58">
        <w:fldChar w:fldCharType="begin"/>
      </w:r>
      <w:r w:rsidR="00595A58" w:rsidRPr="00595A58">
        <w:instrText xml:space="preserve"> REF _Ref447807747 \h </w:instrText>
      </w:r>
      <w:r w:rsidR="00595A58">
        <w:instrText xml:space="preserve"> \* MERGEFORMAT </w:instrText>
      </w:r>
      <w:r w:rsidR="00595A58" w:rsidRPr="00595A58">
        <w:fldChar w:fldCharType="separate"/>
      </w:r>
      <w:r w:rsidR="00595A58" w:rsidRPr="00595A58">
        <w:t xml:space="preserve">Figure </w:t>
      </w:r>
      <w:r w:rsidR="00595A58" w:rsidRPr="00595A58">
        <w:rPr>
          <w:noProof/>
        </w:rPr>
        <w:t>49</w:t>
      </w:r>
      <w:r w:rsidR="00595A58" w:rsidRPr="00595A58">
        <w:fldChar w:fldCharType="end"/>
      </w:r>
      <w:r w:rsidR="00F50947">
        <w:t xml:space="preserve"> </w:t>
      </w:r>
      <w:r w:rsidR="0048244A">
        <w:t>(current)</w:t>
      </w:r>
      <w:r w:rsidR="0029591D">
        <w:t>,</w:t>
      </w:r>
      <w:r w:rsidR="0048244A">
        <w:t xml:space="preserve"> and</w:t>
      </w:r>
      <w:r w:rsidR="00C851CB">
        <w:t xml:space="preserve"> </w:t>
      </w:r>
      <w:r w:rsidR="00595A58">
        <w:fldChar w:fldCharType="begin"/>
      </w:r>
      <w:r w:rsidR="00595A58">
        <w:instrText xml:space="preserve"> REF _Ref447807754 \h </w:instrText>
      </w:r>
      <w:r w:rsidR="00595A58">
        <w:fldChar w:fldCharType="separate"/>
      </w:r>
      <w:r w:rsidR="00595A58">
        <w:t xml:space="preserve">Figure </w:t>
      </w:r>
      <w:r w:rsidR="00595A58">
        <w:rPr>
          <w:noProof/>
        </w:rPr>
        <w:t>48</w:t>
      </w:r>
      <w:r w:rsidR="00595A58">
        <w:fldChar w:fldCharType="end"/>
      </w:r>
      <w:r w:rsidR="00595A58">
        <w:t xml:space="preserve"> </w:t>
      </w:r>
      <w:r w:rsidR="00C851CB">
        <w:t xml:space="preserve">and </w:t>
      </w:r>
      <w:r w:rsidR="00595A58">
        <w:fldChar w:fldCharType="begin"/>
      </w:r>
      <w:r w:rsidR="00595A58">
        <w:instrText xml:space="preserve"> REF _Ref447807756 \h </w:instrText>
      </w:r>
      <w:r w:rsidR="00595A58">
        <w:fldChar w:fldCharType="separate"/>
      </w:r>
      <w:r w:rsidR="00595A58">
        <w:t xml:space="preserve">Figure </w:t>
      </w:r>
      <w:r w:rsidR="00595A58">
        <w:rPr>
          <w:noProof/>
        </w:rPr>
        <w:t>50</w:t>
      </w:r>
      <w:r w:rsidR="00595A58">
        <w:fldChar w:fldCharType="end"/>
      </w:r>
      <w:r w:rsidR="007D4BC7">
        <w:t xml:space="preserve"> </w:t>
      </w:r>
      <w:r w:rsidR="0048244A">
        <w:t>(proposed)</w:t>
      </w:r>
      <w:r w:rsidR="00C0499A">
        <w:t xml:space="preserve"> in</w:t>
      </w:r>
      <w:r w:rsidR="00C851CB">
        <w:t xml:space="preserve"> </w:t>
      </w:r>
      <w:r w:rsidR="00595A58">
        <w:fldChar w:fldCharType="begin"/>
      </w:r>
      <w:r w:rsidR="00595A58">
        <w:instrText xml:space="preserve"> REF _Ref451426977 \h </w:instrText>
      </w:r>
      <w:r w:rsidR="00595A58">
        <w:fldChar w:fldCharType="separate"/>
      </w:r>
      <w:r w:rsidR="00595A58">
        <w:t xml:space="preserve">Appendix </w:t>
      </w:r>
      <w:r w:rsidR="00595A58">
        <w:rPr>
          <w:noProof/>
        </w:rPr>
        <w:t>I</w:t>
      </w:r>
      <w:r w:rsidR="00595A58">
        <w:tab/>
        <w:t>PICO Criteria and Clinical Management Algorithms for Populations iii and iv</w:t>
      </w:r>
      <w:r w:rsidR="00595A58">
        <w:fldChar w:fldCharType="end"/>
      </w:r>
      <w:r w:rsidR="00F50947" w:rsidRPr="00141050">
        <w:t>.</w:t>
      </w:r>
      <w:r w:rsidR="00F50947">
        <w:t xml:space="preserve"> </w:t>
      </w:r>
    </w:p>
    <w:p w14:paraId="104DD5A1" w14:textId="1841CFD7" w:rsidR="009B6D10" w:rsidRDefault="00F50947" w:rsidP="004C79C1">
      <w:pPr>
        <w:spacing w:after="120" w:line="240" w:lineRule="auto"/>
        <w:jc w:val="both"/>
      </w:pPr>
      <w:r>
        <w:t>CMR would have the ability to distinguish between symptoms of acute myocarditis, post</w:t>
      </w:r>
      <w:r w:rsidR="004304D5">
        <w:t>-</w:t>
      </w:r>
      <w:r>
        <w:t>myocarditis fibrosis</w:t>
      </w:r>
      <w:r w:rsidR="00087A40">
        <w:t xml:space="preserve"> </w:t>
      </w:r>
      <w:r w:rsidR="00C911AF">
        <w:t xml:space="preserve">and </w:t>
      </w:r>
      <w:r w:rsidR="00410DCD">
        <w:t>ischaemic</w:t>
      </w:r>
      <w:r w:rsidR="00087A40">
        <w:t xml:space="preserve"> damage due to CAD</w:t>
      </w:r>
      <w:r w:rsidR="004304D5">
        <w:t>,</w:t>
      </w:r>
      <w:r w:rsidR="00087A40">
        <w:t xml:space="preserve"> and to</w:t>
      </w:r>
      <w:r>
        <w:t xml:space="preserve"> </w:t>
      </w:r>
      <w:r w:rsidR="00087A40">
        <w:t>identify</w:t>
      </w:r>
      <w:r>
        <w:t xml:space="preserve"> an idiopathic or familial pattern of fibrosis. </w:t>
      </w:r>
      <w:r w:rsidR="00DF0A84">
        <w:t>This knowledge could inform patient management and</w:t>
      </w:r>
      <w:r w:rsidR="009B6D10">
        <w:t xml:space="preserve"> possibly avoid unnecessary ICA.</w:t>
      </w:r>
    </w:p>
    <w:p w14:paraId="5A164A40" w14:textId="77777777" w:rsidR="00071D1F" w:rsidRDefault="00071D1F" w:rsidP="004C79C1">
      <w:pPr>
        <w:spacing w:after="120" w:line="240" w:lineRule="auto"/>
        <w:jc w:val="both"/>
      </w:pPr>
    </w:p>
    <w:p w14:paraId="43D27CBF" w14:textId="3E4F5C2E" w:rsidR="00BC48B9" w:rsidRDefault="00BC48B9" w:rsidP="004C79C1">
      <w:pPr>
        <w:pStyle w:val="Caption"/>
        <w:keepNext/>
      </w:pPr>
      <w:bookmarkStart w:id="151" w:name="_Ref379455005"/>
      <w:bookmarkStart w:id="152" w:name="_Ref379454995"/>
      <w:bookmarkStart w:id="153" w:name="_Toc381969891"/>
    </w:p>
    <w:p w14:paraId="28D8DA88" w14:textId="05902A41" w:rsidR="00714195" w:rsidRDefault="00BC48B9" w:rsidP="00B501F9">
      <w:pPr>
        <w:pStyle w:val="Caption"/>
        <w:ind w:left="0" w:firstLine="0"/>
      </w:pPr>
      <w:bookmarkStart w:id="154" w:name="_Ref451410358"/>
      <w:bookmarkStart w:id="155" w:name="_Toc451435447"/>
      <w:r>
        <w:t xml:space="preserve">Figure </w:t>
      </w:r>
      <w:fldSimple w:instr=" SEQ Figure \* ARABIC ">
        <w:r w:rsidR="00050936">
          <w:rPr>
            <w:noProof/>
          </w:rPr>
          <w:t>1</w:t>
        </w:r>
      </w:fldSimple>
      <w:bookmarkEnd w:id="154"/>
      <w:r w:rsidR="00714195">
        <w:rPr>
          <w:noProof/>
        </w:rPr>
        <w:tab/>
      </w:r>
      <w:r w:rsidR="00714195" w:rsidRPr="00FD4AF3">
        <w:t>Current clinical pathway for the diagnosis of patients with HF symptoms in whom echocardiography is inconclusive</w:t>
      </w:r>
      <w:bookmarkEnd w:id="155"/>
      <w:r w:rsidR="00B501F9">
        <w:rPr>
          <w:noProof/>
          <w:lang w:eastAsia="en-AU"/>
        </w:rPr>
        <w:drawing>
          <wp:inline distT="0" distB="0" distL="0" distR="0" wp14:anchorId="06B1B56A" wp14:editId="6A896704">
            <wp:extent cx="5731510" cy="6270625"/>
            <wp:effectExtent l="0" t="0" r="2540" b="0"/>
            <wp:docPr id="17" name="Picture 17" title="Current clinical pathway for the diagnosis of patients with heart failure symptoms in whom echocardiography is inco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270625"/>
                    </a:xfrm>
                    <a:prstGeom prst="rect">
                      <a:avLst/>
                    </a:prstGeom>
                  </pic:spPr>
                </pic:pic>
              </a:graphicData>
            </a:graphic>
          </wp:inline>
        </w:drawing>
      </w:r>
    </w:p>
    <w:bookmarkEnd w:id="151"/>
    <w:bookmarkEnd w:id="152"/>
    <w:bookmarkEnd w:id="153"/>
    <w:p w14:paraId="44C3A972" w14:textId="4DC7448B" w:rsidR="0003564E" w:rsidRPr="00D35FC3" w:rsidRDefault="004F0525" w:rsidP="004C79C1">
      <w:pPr>
        <w:spacing w:after="120" w:line="240" w:lineRule="auto"/>
        <w:jc w:val="both"/>
        <w:rPr>
          <w:szCs w:val="20"/>
        </w:rPr>
      </w:pPr>
      <w:r w:rsidRPr="0029201A">
        <w:rPr>
          <w:rFonts w:ascii="Arial Narrow" w:hAnsi="Arial Narrow"/>
          <w:sz w:val="20"/>
          <w:szCs w:val="20"/>
        </w:rPr>
        <w:t xml:space="preserve">CABG = </w:t>
      </w:r>
      <w:r w:rsidR="00A03135" w:rsidRPr="0029201A">
        <w:rPr>
          <w:rFonts w:ascii="Arial Narrow" w:hAnsi="Arial Narrow"/>
          <w:sz w:val="20"/>
          <w:szCs w:val="20"/>
        </w:rPr>
        <w:t>coronary artery bypass graft</w:t>
      </w:r>
      <w:r w:rsidRPr="0029201A">
        <w:rPr>
          <w:rFonts w:ascii="Arial Narrow" w:hAnsi="Arial Narrow"/>
          <w:sz w:val="20"/>
          <w:szCs w:val="20"/>
        </w:rPr>
        <w:t xml:space="preserve">; CAD = </w:t>
      </w:r>
      <w:r w:rsidR="00A03135" w:rsidRPr="0029201A">
        <w:rPr>
          <w:rFonts w:ascii="Arial Narrow" w:hAnsi="Arial Narrow"/>
          <w:sz w:val="20"/>
          <w:szCs w:val="20"/>
        </w:rPr>
        <w:t>coronary artery disease</w:t>
      </w:r>
      <w:r w:rsidRPr="0029201A">
        <w:rPr>
          <w:rFonts w:ascii="Arial Narrow" w:hAnsi="Arial Narrow"/>
          <w:sz w:val="20"/>
          <w:szCs w:val="20"/>
        </w:rPr>
        <w:t xml:space="preserve">; CRT = </w:t>
      </w:r>
      <w:r w:rsidR="00A03135" w:rsidRPr="0029201A">
        <w:rPr>
          <w:rFonts w:ascii="Arial Narrow" w:hAnsi="Arial Narrow"/>
          <w:sz w:val="20"/>
          <w:szCs w:val="20"/>
        </w:rPr>
        <w:t>cardiac resynchronisation therapy</w:t>
      </w:r>
      <w:r w:rsidRPr="0029201A">
        <w:rPr>
          <w:rFonts w:ascii="Arial Narrow" w:hAnsi="Arial Narrow"/>
          <w:sz w:val="20"/>
          <w:szCs w:val="20"/>
        </w:rPr>
        <w:t xml:space="preserve">; CTCA = </w:t>
      </w:r>
      <w:r w:rsidR="00A03135" w:rsidRPr="0029201A">
        <w:rPr>
          <w:rFonts w:ascii="Arial Narrow" w:hAnsi="Arial Narrow"/>
          <w:sz w:val="20"/>
          <w:szCs w:val="20"/>
        </w:rPr>
        <w:t>computed tomography coronary angiography</w:t>
      </w:r>
      <w:r w:rsidRPr="0029201A">
        <w:rPr>
          <w:rFonts w:ascii="Arial Narrow" w:hAnsi="Arial Narrow"/>
          <w:sz w:val="20"/>
          <w:szCs w:val="20"/>
        </w:rPr>
        <w:t xml:space="preserve">; DCM = </w:t>
      </w:r>
      <w:r w:rsidR="00A03135" w:rsidRPr="0029201A">
        <w:rPr>
          <w:rFonts w:ascii="Arial Narrow" w:hAnsi="Arial Narrow"/>
          <w:sz w:val="20"/>
          <w:szCs w:val="20"/>
        </w:rPr>
        <w:t>dilated cardiomyopathy</w:t>
      </w:r>
      <w:r w:rsidRPr="0029201A">
        <w:rPr>
          <w:rFonts w:ascii="Arial Narrow" w:hAnsi="Arial Narrow"/>
          <w:sz w:val="20"/>
          <w:szCs w:val="20"/>
        </w:rPr>
        <w:t xml:space="preserve">; </w:t>
      </w:r>
      <w:r w:rsidR="0003564E" w:rsidRPr="0029201A">
        <w:rPr>
          <w:rFonts w:ascii="Arial Narrow" w:hAnsi="Arial Narrow"/>
          <w:sz w:val="20"/>
          <w:szCs w:val="20"/>
        </w:rPr>
        <w:t xml:space="preserve">Echo </w:t>
      </w:r>
      <w:r w:rsidR="00A03135" w:rsidRPr="0029201A">
        <w:rPr>
          <w:rFonts w:ascii="Arial Narrow" w:hAnsi="Arial Narrow"/>
          <w:sz w:val="20"/>
          <w:szCs w:val="20"/>
        </w:rPr>
        <w:t>= echocardiography</w:t>
      </w:r>
      <w:r w:rsidR="0003564E" w:rsidRPr="0029201A">
        <w:rPr>
          <w:rFonts w:ascii="Arial Narrow" w:hAnsi="Arial Narrow"/>
          <w:sz w:val="20"/>
          <w:szCs w:val="20"/>
        </w:rPr>
        <w:t xml:space="preserve">; HF = </w:t>
      </w:r>
      <w:r w:rsidR="00A03135" w:rsidRPr="0029201A">
        <w:rPr>
          <w:rFonts w:ascii="Arial Narrow" w:hAnsi="Arial Narrow"/>
          <w:color w:val="000000"/>
          <w:sz w:val="20"/>
          <w:szCs w:val="20"/>
        </w:rPr>
        <w:t>heart failure</w:t>
      </w:r>
      <w:r w:rsidR="0003564E" w:rsidRPr="0029201A">
        <w:rPr>
          <w:rFonts w:ascii="Arial Narrow" w:hAnsi="Arial Narrow"/>
          <w:sz w:val="20"/>
          <w:szCs w:val="20"/>
        </w:rPr>
        <w:t xml:space="preserve">; </w:t>
      </w:r>
      <w:r w:rsidRPr="0029201A">
        <w:rPr>
          <w:rFonts w:ascii="Arial Narrow" w:hAnsi="Arial Narrow"/>
          <w:sz w:val="20"/>
          <w:szCs w:val="20"/>
        </w:rPr>
        <w:t xml:space="preserve">ICA = </w:t>
      </w:r>
      <w:r w:rsidR="00A03135" w:rsidRPr="0029201A">
        <w:rPr>
          <w:rFonts w:ascii="Arial Narrow" w:hAnsi="Arial Narrow"/>
          <w:sz w:val="20"/>
          <w:szCs w:val="20"/>
        </w:rPr>
        <w:t>invasive coronary angiography</w:t>
      </w:r>
      <w:r w:rsidRPr="0029201A">
        <w:rPr>
          <w:rFonts w:ascii="Arial Narrow" w:hAnsi="Arial Narrow"/>
          <w:sz w:val="20"/>
          <w:szCs w:val="20"/>
        </w:rPr>
        <w:t xml:space="preserve">; ICD = </w:t>
      </w:r>
      <w:r w:rsidR="00AF5FDA" w:rsidRPr="00141050">
        <w:rPr>
          <w:rFonts w:ascii="Arial Narrow" w:hAnsi="Arial Narrow"/>
          <w:sz w:val="20"/>
          <w:szCs w:val="20"/>
        </w:rPr>
        <w:t>implantable cardioverter</w:t>
      </w:r>
      <w:r w:rsidR="00AF5FDA">
        <w:rPr>
          <w:rFonts w:ascii="Arial Narrow" w:hAnsi="Arial Narrow"/>
          <w:sz w:val="20"/>
          <w:szCs w:val="20"/>
        </w:rPr>
        <w:t xml:space="preserve"> </w:t>
      </w:r>
      <w:r w:rsidR="00A03135" w:rsidRPr="0029201A">
        <w:rPr>
          <w:rFonts w:ascii="Arial Narrow" w:hAnsi="Arial Narrow"/>
          <w:sz w:val="20"/>
          <w:szCs w:val="20"/>
        </w:rPr>
        <w:t>defibrillator</w:t>
      </w:r>
      <w:r w:rsidRPr="0029201A">
        <w:rPr>
          <w:rFonts w:ascii="Arial Narrow" w:hAnsi="Arial Narrow"/>
          <w:sz w:val="20"/>
          <w:szCs w:val="20"/>
        </w:rPr>
        <w:t xml:space="preserve">; </w:t>
      </w:r>
      <w:r w:rsidR="0003564E" w:rsidRPr="0029201A">
        <w:rPr>
          <w:rFonts w:ascii="Arial Narrow" w:hAnsi="Arial Narrow"/>
          <w:sz w:val="20"/>
          <w:szCs w:val="20"/>
        </w:rPr>
        <w:t xml:space="preserve">LV = </w:t>
      </w:r>
      <w:r w:rsidR="00A03135" w:rsidRPr="0029201A">
        <w:rPr>
          <w:rFonts w:ascii="Arial Narrow" w:hAnsi="Arial Narrow"/>
          <w:sz w:val="20"/>
          <w:szCs w:val="20"/>
        </w:rPr>
        <w:t>left ventricular / left ventricle</w:t>
      </w:r>
      <w:r w:rsidR="0003564E" w:rsidRPr="0029201A">
        <w:rPr>
          <w:rFonts w:ascii="Arial Narrow" w:hAnsi="Arial Narrow"/>
          <w:sz w:val="20"/>
          <w:szCs w:val="20"/>
        </w:rPr>
        <w:t xml:space="preserve">; </w:t>
      </w:r>
      <w:r w:rsidRPr="0029201A">
        <w:rPr>
          <w:rFonts w:ascii="Arial Narrow" w:hAnsi="Arial Narrow"/>
          <w:sz w:val="20"/>
          <w:szCs w:val="20"/>
        </w:rPr>
        <w:t xml:space="preserve">PCI = </w:t>
      </w:r>
      <w:r w:rsidR="00A03135" w:rsidRPr="0029201A">
        <w:rPr>
          <w:rFonts w:ascii="Arial Narrow" w:hAnsi="Arial Narrow"/>
          <w:sz w:val="20"/>
          <w:szCs w:val="20"/>
        </w:rPr>
        <w:t>percutaneous coronary intervention</w:t>
      </w:r>
      <w:r w:rsidRPr="0029201A">
        <w:rPr>
          <w:rFonts w:ascii="Arial Narrow" w:hAnsi="Arial Narrow"/>
          <w:sz w:val="20"/>
          <w:szCs w:val="20"/>
        </w:rPr>
        <w:t xml:space="preserve">; SPECT = </w:t>
      </w:r>
      <w:r w:rsidR="00A03135" w:rsidRPr="0029201A">
        <w:rPr>
          <w:rFonts w:ascii="Arial Narrow" w:hAnsi="Arial Narrow"/>
          <w:sz w:val="20"/>
          <w:szCs w:val="20"/>
        </w:rPr>
        <w:t>single-photon emission computed tomography</w:t>
      </w:r>
      <w:r w:rsidRPr="0029201A">
        <w:rPr>
          <w:rFonts w:ascii="Arial Narrow" w:hAnsi="Arial Narrow"/>
          <w:sz w:val="20"/>
          <w:szCs w:val="20"/>
        </w:rPr>
        <w:t xml:space="preserve"> </w:t>
      </w:r>
    </w:p>
    <w:p w14:paraId="34A0FFC4" w14:textId="77777777" w:rsidR="007D4BC7" w:rsidRDefault="007D4BC7" w:rsidP="004C79C1">
      <w:pPr>
        <w:spacing w:after="120" w:line="240" w:lineRule="auto"/>
        <w:rPr>
          <w:rFonts w:ascii="Arial Narrow" w:hAnsi="Arial Narrow"/>
          <w:b/>
          <w:bCs/>
          <w:sz w:val="20"/>
        </w:rPr>
      </w:pPr>
      <w:r>
        <w:br w:type="page"/>
      </w:r>
    </w:p>
    <w:p w14:paraId="161C40E0" w14:textId="572D7ECC" w:rsidR="007D4BC7" w:rsidRDefault="007D4BC7" w:rsidP="004C79C1">
      <w:pPr>
        <w:pStyle w:val="Caption"/>
        <w:keepNext/>
      </w:pPr>
    </w:p>
    <w:p w14:paraId="0599655F" w14:textId="2D51F728" w:rsidR="00244F8F" w:rsidRPr="004E01EF" w:rsidRDefault="00503A52" w:rsidP="00B501F9">
      <w:pPr>
        <w:pStyle w:val="Caption"/>
        <w:ind w:left="0" w:firstLine="0"/>
      </w:pPr>
      <w:bookmarkStart w:id="156" w:name="_Ref451260101"/>
      <w:bookmarkStart w:id="157" w:name="_Ref451259858"/>
      <w:bookmarkStart w:id="158" w:name="_Toc451435448"/>
      <w:bookmarkStart w:id="159" w:name="_Toc324410114"/>
      <w:r>
        <w:t xml:space="preserve">Figure </w:t>
      </w:r>
      <w:fldSimple w:instr=" SEQ Figure \* ARABIC ">
        <w:r w:rsidR="00050936">
          <w:rPr>
            <w:noProof/>
          </w:rPr>
          <w:t>2</w:t>
        </w:r>
      </w:fldSimple>
      <w:bookmarkEnd w:id="156"/>
      <w:r>
        <w:t xml:space="preserve"> </w:t>
      </w:r>
      <w:r>
        <w:tab/>
      </w:r>
      <w:r w:rsidRPr="00616FD9">
        <w:t>Proposed clinical pathway for the diagnosis of patients with HF symptoms, in whom echocardiography is inconclusiv</w:t>
      </w:r>
      <w:r w:rsidR="00B501F9">
        <w:rPr>
          <w:noProof/>
          <w:lang w:eastAsia="en-AU"/>
        </w:rPr>
        <w:drawing>
          <wp:inline distT="0" distB="0" distL="0" distR="0" wp14:anchorId="798B06EF" wp14:editId="6595F4E9">
            <wp:extent cx="6162566" cy="4838700"/>
            <wp:effectExtent l="0" t="0" r="0" b="0"/>
            <wp:docPr id="18" name="Picture 18" descr="Proposed clinical pathway for the diagnosis of patients with heart failure symptoms, in whom echocardiography is inco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3670" cy="4855270"/>
                    </a:xfrm>
                    <a:prstGeom prst="rect">
                      <a:avLst/>
                    </a:prstGeom>
                  </pic:spPr>
                </pic:pic>
              </a:graphicData>
            </a:graphic>
          </wp:inline>
        </w:drawing>
      </w:r>
      <w:bookmarkEnd w:id="157"/>
      <w:bookmarkEnd w:id="158"/>
      <w:bookmarkEnd w:id="159"/>
    </w:p>
    <w:p w14:paraId="4518281C" w14:textId="461D13F8" w:rsidR="00D771EF" w:rsidRDefault="00D771EF" w:rsidP="004C79C1">
      <w:pPr>
        <w:keepNext/>
        <w:spacing w:after="120" w:line="240" w:lineRule="auto"/>
      </w:pPr>
    </w:p>
    <w:p w14:paraId="791F9B21" w14:textId="77777777" w:rsidR="00B501F9" w:rsidRDefault="00B501F9">
      <w:pPr>
        <w:spacing w:after="0" w:line="240" w:lineRule="auto"/>
        <w:rPr>
          <w:rFonts w:ascii="Arial Narrow" w:hAnsi="Arial Narrow"/>
          <w:b/>
          <w:bCs/>
          <w:snapToGrid w:val="0"/>
          <w:sz w:val="20"/>
          <w:lang w:eastAsia="en-US"/>
        </w:rPr>
      </w:pPr>
      <w:bookmarkStart w:id="160" w:name="_Ref451426870"/>
      <w:bookmarkStart w:id="161" w:name="_Toc451435449"/>
      <w:bookmarkStart w:id="162" w:name="_Toc324410115"/>
      <w:r>
        <w:br w:type="page"/>
      </w:r>
    </w:p>
    <w:p w14:paraId="4EF1EFB1" w14:textId="2D74E91C" w:rsidR="00C0499A" w:rsidRDefault="00620AE7" w:rsidP="00B501F9">
      <w:pPr>
        <w:pStyle w:val="Caption"/>
        <w:ind w:left="0" w:firstLine="0"/>
      </w:pPr>
      <w:r>
        <w:lastRenderedPageBreak/>
        <w:t xml:space="preserve">Figure </w:t>
      </w:r>
      <w:r w:rsidR="00161B88">
        <w:fldChar w:fldCharType="begin"/>
      </w:r>
      <w:r w:rsidR="00161B88">
        <w:instrText xml:space="preserve"> SEQ Figure \* ARABIC </w:instrText>
      </w:r>
      <w:r w:rsidR="00161B88">
        <w:fldChar w:fldCharType="separate"/>
      </w:r>
      <w:proofErr w:type="gramStart"/>
      <w:r w:rsidR="00050936">
        <w:rPr>
          <w:noProof/>
        </w:rPr>
        <w:t>3</w:t>
      </w:r>
      <w:r w:rsidR="00161B88">
        <w:rPr>
          <w:noProof/>
        </w:rPr>
        <w:fldChar w:fldCharType="end"/>
      </w:r>
      <w:bookmarkEnd w:id="160"/>
      <w:r>
        <w:t xml:space="preserve"> </w:t>
      </w:r>
      <w:r>
        <w:tab/>
      </w:r>
      <w:r w:rsidRPr="000F19F1">
        <w:t>Current clinical pathway</w:t>
      </w:r>
      <w:proofErr w:type="gramEnd"/>
      <w:r w:rsidRPr="000F19F1">
        <w:t xml:space="preserve"> for the diagnosis of patients with HF symptoms, in whom echocardiography suggests a DCM</w:t>
      </w:r>
      <w:bookmarkEnd w:id="161"/>
      <w:r w:rsidR="00503A52">
        <w:rPr>
          <w:noProof/>
        </w:rPr>
        <w:tab/>
      </w:r>
      <w:r w:rsidR="00B501F9">
        <w:rPr>
          <w:noProof/>
          <w:lang w:eastAsia="en-AU"/>
        </w:rPr>
        <w:drawing>
          <wp:inline distT="0" distB="0" distL="0" distR="0" wp14:anchorId="1C40A6A0" wp14:editId="133CADAC">
            <wp:extent cx="6211895" cy="5133975"/>
            <wp:effectExtent l="0" t="0" r="0" b="0"/>
            <wp:docPr id="3" name="Picture 3" descr="Current clinical pathway for the diagnosis of patients with heart failure symptoms, in whom echocardiography suggests a dilated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19834" cy="5140537"/>
                    </a:xfrm>
                    <a:prstGeom prst="rect">
                      <a:avLst/>
                    </a:prstGeom>
                  </pic:spPr>
                </pic:pic>
              </a:graphicData>
            </a:graphic>
          </wp:inline>
        </w:drawing>
      </w:r>
      <w:r w:rsidR="00D771EF">
        <w:t xml:space="preserve"> </w:t>
      </w:r>
      <w:bookmarkEnd w:id="162"/>
    </w:p>
    <w:p w14:paraId="26EBBFEF" w14:textId="444283F8" w:rsidR="009F0B92" w:rsidRDefault="00BF3FCB" w:rsidP="006F2065">
      <w:pPr>
        <w:spacing w:after="120" w:line="240" w:lineRule="auto"/>
        <w:jc w:val="both"/>
      </w:pPr>
      <w:r w:rsidRPr="00CE2480">
        <w:rPr>
          <w:rFonts w:ascii="Arial Narrow" w:hAnsi="Arial Narrow"/>
          <w:sz w:val="20"/>
          <w:szCs w:val="20"/>
        </w:rPr>
        <w:t>CABG = coronary artery bypass graft; CAD = coronary artery disease; CRT = cardiac resynchronisation therapy; CTCA = computed tomography coronary angiography; DCM = dilat</w:t>
      </w:r>
      <w:r w:rsidR="00D02EF3">
        <w:rPr>
          <w:rFonts w:ascii="Arial Narrow" w:hAnsi="Arial Narrow"/>
          <w:sz w:val="20"/>
          <w:szCs w:val="20"/>
        </w:rPr>
        <w:t xml:space="preserve">ed cardiomyopathy; Echo </w:t>
      </w:r>
      <w:r w:rsidRPr="00CE2480">
        <w:rPr>
          <w:rFonts w:ascii="Arial Narrow" w:hAnsi="Arial Narrow"/>
          <w:sz w:val="20"/>
          <w:szCs w:val="20"/>
        </w:rPr>
        <w:t xml:space="preserve">= echocardiography; HF = </w:t>
      </w:r>
      <w:r w:rsidRPr="00CE2480">
        <w:rPr>
          <w:rFonts w:ascii="Arial Narrow" w:hAnsi="Arial Narrow"/>
          <w:color w:val="000000"/>
          <w:sz w:val="20"/>
          <w:szCs w:val="20"/>
        </w:rPr>
        <w:t>heart failure</w:t>
      </w:r>
      <w:r w:rsidRPr="00CE2480">
        <w:rPr>
          <w:rFonts w:ascii="Arial Narrow" w:hAnsi="Arial Narrow"/>
          <w:sz w:val="20"/>
          <w:szCs w:val="20"/>
        </w:rPr>
        <w:t xml:space="preserve">; ICA = invasive coronary angiography; ICD = implantable </w:t>
      </w:r>
      <w:r w:rsidR="0026063B">
        <w:rPr>
          <w:rFonts w:ascii="Arial Narrow" w:hAnsi="Arial Narrow"/>
          <w:sz w:val="20"/>
          <w:szCs w:val="20"/>
        </w:rPr>
        <w:t>cardioverter defibrillator</w:t>
      </w:r>
      <w:r w:rsidRPr="00CE2480">
        <w:rPr>
          <w:rFonts w:ascii="Arial Narrow" w:hAnsi="Arial Narrow"/>
          <w:sz w:val="20"/>
          <w:szCs w:val="20"/>
        </w:rPr>
        <w:t>; LV = left ventricular / left ventricle; PCI = percutaneous coronary intervention; SPECT = single-photon emission computed tomography</w:t>
      </w:r>
    </w:p>
    <w:p w14:paraId="2461A780" w14:textId="192CF676" w:rsidR="00C0499A" w:rsidRDefault="00C0499A" w:rsidP="004C79C1">
      <w:pPr>
        <w:keepNext/>
        <w:spacing w:after="120" w:line="240" w:lineRule="auto"/>
      </w:pPr>
    </w:p>
    <w:p w14:paraId="3D2EF9E2" w14:textId="6CF7BE9E" w:rsidR="009F0B92" w:rsidRDefault="00C0499A" w:rsidP="00B501F9">
      <w:pPr>
        <w:pStyle w:val="Caption"/>
        <w:ind w:left="0" w:firstLine="0"/>
      </w:pPr>
      <w:bookmarkStart w:id="163" w:name="_Ref447807237"/>
      <w:bookmarkStart w:id="164" w:name="_Toc324410116"/>
      <w:bookmarkStart w:id="165" w:name="_Toc451435450"/>
      <w:r w:rsidRPr="00204E33">
        <w:t xml:space="preserve">Figure </w:t>
      </w:r>
      <w:fldSimple w:instr=" SEQ Figure \* ARABIC ">
        <w:r w:rsidR="00050936" w:rsidRPr="00204E33">
          <w:rPr>
            <w:noProof/>
          </w:rPr>
          <w:t>4</w:t>
        </w:r>
      </w:fldSimple>
      <w:bookmarkEnd w:id="163"/>
      <w:r w:rsidR="00E20E16" w:rsidRPr="00204E33">
        <w:tab/>
      </w:r>
      <w:r w:rsidRPr="00204E33">
        <w:t xml:space="preserve">Proposed clinical pathway for the diagnosis of patients with </w:t>
      </w:r>
      <w:r w:rsidR="004570E1" w:rsidRPr="00204E33">
        <w:t>HF</w:t>
      </w:r>
      <w:r w:rsidRPr="00204E33">
        <w:t xml:space="preserve"> symptoms, in whom</w:t>
      </w:r>
      <w:r w:rsidRPr="00222893">
        <w:t xml:space="preserve"> echocardiography suggests a </w:t>
      </w:r>
      <w:r w:rsidR="00D04062">
        <w:t>DCM</w:t>
      </w:r>
      <w:bookmarkEnd w:id="164"/>
      <w:bookmarkEnd w:id="165"/>
      <w:r w:rsidR="00B501F9">
        <w:rPr>
          <w:noProof/>
          <w:lang w:eastAsia="en-AU"/>
        </w:rPr>
        <w:drawing>
          <wp:inline distT="0" distB="0" distL="0" distR="0" wp14:anchorId="7758A49D" wp14:editId="580B4C0B">
            <wp:extent cx="6112184" cy="4867275"/>
            <wp:effectExtent l="0" t="0" r="3175" b="0"/>
            <wp:docPr id="19" name="Picture 19" descr="Proposed clinical pathway for the diagnosis of patients with heart failure symptoms, in whom echocardiography suggests a dilated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35231" cy="4885628"/>
                    </a:xfrm>
                    <a:prstGeom prst="rect">
                      <a:avLst/>
                    </a:prstGeom>
                  </pic:spPr>
                </pic:pic>
              </a:graphicData>
            </a:graphic>
          </wp:inline>
        </w:drawing>
      </w:r>
    </w:p>
    <w:p w14:paraId="308CDD20" w14:textId="1C39FE76" w:rsidR="00495A42" w:rsidRPr="004E01EF" w:rsidRDefault="007912C5" w:rsidP="004C79C1">
      <w:pPr>
        <w:spacing w:after="120" w:line="240" w:lineRule="auto"/>
        <w:jc w:val="both"/>
      </w:pPr>
      <w:r w:rsidRPr="00CE2480">
        <w:rPr>
          <w:rFonts w:ascii="Arial Narrow" w:hAnsi="Arial Narrow"/>
          <w:sz w:val="20"/>
          <w:szCs w:val="20"/>
        </w:rPr>
        <w:t xml:space="preserve">CABG = coronary artery bypass graft; CAD = coronary artery disease; CRT = cardiac resynchronisation therapy; CTCA = computed tomography coronary angiography; DCM </w:t>
      </w:r>
      <w:r w:rsidR="00D02EF3">
        <w:rPr>
          <w:rFonts w:ascii="Arial Narrow" w:hAnsi="Arial Narrow"/>
          <w:sz w:val="20"/>
          <w:szCs w:val="20"/>
        </w:rPr>
        <w:t xml:space="preserve">= dilated cardiomyopathy; Echo </w:t>
      </w:r>
      <w:r w:rsidRPr="00CE2480">
        <w:rPr>
          <w:rFonts w:ascii="Arial Narrow" w:hAnsi="Arial Narrow"/>
          <w:sz w:val="20"/>
          <w:szCs w:val="20"/>
        </w:rPr>
        <w:t xml:space="preserve">= echocardiography; HF = </w:t>
      </w:r>
      <w:r w:rsidRPr="00CE2480">
        <w:rPr>
          <w:rFonts w:ascii="Arial Narrow" w:hAnsi="Arial Narrow"/>
          <w:color w:val="000000"/>
          <w:sz w:val="20"/>
          <w:szCs w:val="20"/>
        </w:rPr>
        <w:t>heart failure</w:t>
      </w:r>
      <w:r w:rsidRPr="00CE2480">
        <w:rPr>
          <w:rFonts w:ascii="Arial Narrow" w:hAnsi="Arial Narrow"/>
          <w:sz w:val="20"/>
          <w:szCs w:val="20"/>
        </w:rPr>
        <w:t xml:space="preserve">; ICA = invasive coronary angiography; ICD = implantable </w:t>
      </w:r>
      <w:r w:rsidR="0026063B">
        <w:rPr>
          <w:rFonts w:ascii="Arial Narrow" w:hAnsi="Arial Narrow"/>
          <w:sz w:val="20"/>
          <w:szCs w:val="20"/>
        </w:rPr>
        <w:t>cardioverter defibrillator</w:t>
      </w:r>
      <w:r w:rsidRPr="00CE2480">
        <w:rPr>
          <w:rFonts w:ascii="Arial Narrow" w:hAnsi="Arial Narrow"/>
          <w:sz w:val="20"/>
          <w:szCs w:val="20"/>
        </w:rPr>
        <w:t>; LV = left ventricular / left ventricle; PCI = percutaneous coronary intervention; SPECT = single-photon emission computed tomography</w:t>
      </w:r>
    </w:p>
    <w:p w14:paraId="5CBBED56" w14:textId="77777777" w:rsidR="00495A42" w:rsidRPr="00495A42" w:rsidRDefault="00495A42" w:rsidP="004C79C1">
      <w:pPr>
        <w:spacing w:after="120" w:line="240" w:lineRule="auto"/>
      </w:pPr>
    </w:p>
    <w:p w14:paraId="18041E62" w14:textId="77777777" w:rsidR="009F0B92" w:rsidRDefault="009F0B92" w:rsidP="004C79C1">
      <w:pPr>
        <w:spacing w:after="120" w:line="240" w:lineRule="auto"/>
        <w:rPr>
          <w:b/>
          <w:smallCaps/>
          <w:sz w:val="28"/>
        </w:rPr>
      </w:pPr>
      <w:r>
        <w:br w:type="page"/>
      </w:r>
    </w:p>
    <w:p w14:paraId="6740B4D8" w14:textId="2CCEE3C1" w:rsidR="005354F8" w:rsidRPr="00183E4D" w:rsidRDefault="005354F8" w:rsidP="004C79C1">
      <w:pPr>
        <w:pStyle w:val="Heading2"/>
        <w:numPr>
          <w:ilvl w:val="0"/>
          <w:numId w:val="9"/>
        </w:numPr>
        <w:spacing w:before="0" w:after="120" w:line="240" w:lineRule="auto"/>
      </w:pPr>
      <w:bookmarkStart w:id="166" w:name="_Toc451501284"/>
      <w:r w:rsidRPr="00183E4D">
        <w:lastRenderedPageBreak/>
        <w:t>Key Differences in the Proposed Medical Service and the Main Comparator</w:t>
      </w:r>
      <w:bookmarkEnd w:id="166"/>
      <w:r w:rsidRPr="00183E4D">
        <w:t xml:space="preserve"> </w:t>
      </w:r>
    </w:p>
    <w:p w14:paraId="67141236" w14:textId="14D02A54" w:rsidR="00690660" w:rsidRDefault="00690660" w:rsidP="004C79C1">
      <w:pPr>
        <w:spacing w:after="120" w:line="240" w:lineRule="auto"/>
        <w:jc w:val="both"/>
      </w:pPr>
      <w:r>
        <w:t>In</w:t>
      </w:r>
      <w:r w:rsidRPr="0045599B">
        <w:t xml:space="preserve"> </w:t>
      </w:r>
      <w:r>
        <w:t>patients suspected of</w:t>
      </w:r>
      <w:r w:rsidRPr="0045599B">
        <w:t xml:space="preserve"> </w:t>
      </w:r>
      <w:r>
        <w:t xml:space="preserve">DCM (or patients with a family history of DCM) with an indeterminate result on echocardiography, CMR </w:t>
      </w:r>
      <w:r w:rsidR="00087A40">
        <w:t xml:space="preserve">is </w:t>
      </w:r>
      <w:r>
        <w:t xml:space="preserve">posed as a replacement test to the existing </w:t>
      </w:r>
      <w:r w:rsidR="00E45316">
        <w:t>GHPS</w:t>
      </w:r>
      <w:r>
        <w:t xml:space="preserve"> or contrast </w:t>
      </w:r>
      <w:r w:rsidR="0029201A">
        <w:t>e</w:t>
      </w:r>
      <w:r>
        <w:t>cho</w:t>
      </w:r>
      <w:r w:rsidR="0029201A">
        <w:t>cardiography</w:t>
      </w:r>
      <w:r>
        <w:t xml:space="preserve">. For patients showing </w:t>
      </w:r>
      <w:r w:rsidR="005711BC">
        <w:t xml:space="preserve">a </w:t>
      </w:r>
      <w:r>
        <w:t xml:space="preserve">dilated LV and impaired </w:t>
      </w:r>
      <w:r w:rsidR="00F11E8D" w:rsidRPr="0029201A">
        <w:t>left ventricular ejection fraction</w:t>
      </w:r>
      <w:r w:rsidR="00F11E8D">
        <w:t xml:space="preserve"> (</w:t>
      </w:r>
      <w:r>
        <w:t>LVEF</w:t>
      </w:r>
      <w:r w:rsidR="00F11E8D">
        <w:t>)</w:t>
      </w:r>
      <w:r>
        <w:t xml:space="preserve"> with an intermediate risk of CAD (or high risk in asymptomatic patients), CMR would be an alternative to CTCA</w:t>
      </w:r>
      <w:r w:rsidR="00E77E3A">
        <w:t>, stress Echo</w:t>
      </w:r>
      <w:r>
        <w:t xml:space="preserve"> and SPECT. </w:t>
      </w:r>
      <w:r w:rsidR="00E77E3A">
        <w:t xml:space="preserve">Furthermore, it is likely that CMR will replace some (unnecessary) ICAs. </w:t>
      </w:r>
      <w:r>
        <w:t>Using CMR instead of CTCA</w:t>
      </w:r>
      <w:r w:rsidR="00F36A2C">
        <w:t>,</w:t>
      </w:r>
      <w:r>
        <w:t xml:space="preserve"> SPECT</w:t>
      </w:r>
      <w:r w:rsidR="00E77E3A">
        <w:t>, ICA</w:t>
      </w:r>
      <w:r w:rsidR="00F36A2C">
        <w:t xml:space="preserve"> or </w:t>
      </w:r>
      <w:r w:rsidR="00F9703B">
        <w:t>GHPS</w:t>
      </w:r>
      <w:r>
        <w:t xml:space="preserve"> would avoid exposure to ionising radiation. </w:t>
      </w:r>
      <w:r w:rsidR="00C603FD">
        <w:t>Identified a</w:t>
      </w:r>
      <w:r>
        <w:t xml:space="preserve">dvantages and disadvantages of the comparators are shown in </w:t>
      </w:r>
      <w:r w:rsidR="00D06DA3">
        <w:fldChar w:fldCharType="begin"/>
      </w:r>
      <w:r w:rsidR="00D06DA3">
        <w:instrText xml:space="preserve"> REF _Ref451244847 \h </w:instrText>
      </w:r>
      <w:r w:rsidR="00D06DA3">
        <w:fldChar w:fldCharType="separate"/>
      </w:r>
      <w:r w:rsidR="00E011C7">
        <w:t xml:space="preserve">Table </w:t>
      </w:r>
      <w:r w:rsidR="00E011C7">
        <w:rPr>
          <w:noProof/>
        </w:rPr>
        <w:t>6</w:t>
      </w:r>
      <w:r w:rsidR="00D06DA3">
        <w:fldChar w:fldCharType="end"/>
      </w:r>
      <w:r w:rsidR="00D06DA3">
        <w:t>.</w:t>
      </w:r>
    </w:p>
    <w:p w14:paraId="7237B0EE" w14:textId="6D3FC828" w:rsidR="00D06DA3" w:rsidRDefault="00D06DA3" w:rsidP="004C79C1">
      <w:pPr>
        <w:pStyle w:val="Caption"/>
        <w:keepNext/>
      </w:pPr>
      <w:bookmarkStart w:id="167" w:name="_Ref451244847"/>
      <w:bookmarkStart w:id="168" w:name="_Toc451435333"/>
      <w:r>
        <w:t xml:space="preserve">Table </w:t>
      </w:r>
      <w:fldSimple w:instr=" SEQ Table \* ARABIC ">
        <w:r w:rsidR="00050936">
          <w:rPr>
            <w:noProof/>
          </w:rPr>
          <w:t>6</w:t>
        </w:r>
      </w:fldSimple>
      <w:bookmarkEnd w:id="167"/>
      <w:r>
        <w:t xml:space="preserve"> </w:t>
      </w:r>
      <w:r>
        <w:tab/>
      </w:r>
      <w:r w:rsidRPr="006B7C18">
        <w:t>Advantages and disadvantages of imaging techniques</w:t>
      </w:r>
      <w:bookmarkEnd w:id="168"/>
    </w:p>
    <w:tbl>
      <w:tblPr>
        <w:tblStyle w:val="TableGrid"/>
        <w:tblW w:w="0" w:type="auto"/>
        <w:tblLook w:val="04A0" w:firstRow="1" w:lastRow="0" w:firstColumn="1" w:lastColumn="0" w:noHBand="0" w:noVBand="1"/>
        <w:tblDescription w:val="Advantages and disadvantages of non-invasive stress imaging techniques"/>
      </w:tblPr>
      <w:tblGrid>
        <w:gridCol w:w="1506"/>
        <w:gridCol w:w="2222"/>
        <w:gridCol w:w="5288"/>
      </w:tblGrid>
      <w:tr w:rsidR="00690660" w:rsidRPr="002430AC" w14:paraId="04A5108B" w14:textId="77777777" w:rsidTr="00B501F9">
        <w:trPr>
          <w:tblHeader/>
        </w:trPr>
        <w:tc>
          <w:tcPr>
            <w:tcW w:w="1506" w:type="dxa"/>
          </w:tcPr>
          <w:p w14:paraId="3DBF6FD4" w14:textId="77777777" w:rsidR="00690660" w:rsidRPr="002430AC" w:rsidRDefault="00690660" w:rsidP="004C79C1">
            <w:pPr>
              <w:keepNext/>
              <w:spacing w:after="120" w:line="240" w:lineRule="auto"/>
              <w:ind w:left="11"/>
              <w:rPr>
                <w:rFonts w:ascii="Arial Narrow" w:hAnsi="Arial Narrow"/>
                <w:b/>
                <w:sz w:val="20"/>
                <w:szCs w:val="20"/>
              </w:rPr>
            </w:pPr>
            <w:r w:rsidRPr="002430AC">
              <w:rPr>
                <w:rFonts w:ascii="Arial Narrow" w:hAnsi="Arial Narrow"/>
                <w:b/>
                <w:sz w:val="20"/>
                <w:szCs w:val="20"/>
              </w:rPr>
              <w:t>Technique</w:t>
            </w:r>
          </w:p>
        </w:tc>
        <w:tc>
          <w:tcPr>
            <w:tcW w:w="2222" w:type="dxa"/>
          </w:tcPr>
          <w:p w14:paraId="7431EF4E" w14:textId="77777777" w:rsidR="00690660" w:rsidRPr="002430AC" w:rsidRDefault="00690660" w:rsidP="004C79C1">
            <w:pPr>
              <w:keepNext/>
              <w:spacing w:after="120" w:line="240" w:lineRule="auto"/>
              <w:ind w:left="11"/>
              <w:rPr>
                <w:rFonts w:ascii="Arial Narrow" w:hAnsi="Arial Narrow"/>
                <w:b/>
                <w:sz w:val="20"/>
                <w:szCs w:val="20"/>
              </w:rPr>
            </w:pPr>
            <w:r w:rsidRPr="002430AC">
              <w:rPr>
                <w:rFonts w:ascii="Arial Narrow" w:hAnsi="Arial Narrow"/>
                <w:b/>
                <w:sz w:val="20"/>
                <w:szCs w:val="20"/>
              </w:rPr>
              <w:t>Advantages</w:t>
            </w:r>
          </w:p>
        </w:tc>
        <w:tc>
          <w:tcPr>
            <w:tcW w:w="5288" w:type="dxa"/>
          </w:tcPr>
          <w:p w14:paraId="3AB674A1" w14:textId="77777777" w:rsidR="00690660" w:rsidRPr="002430AC" w:rsidRDefault="00690660" w:rsidP="004C79C1">
            <w:pPr>
              <w:keepNext/>
              <w:spacing w:after="120" w:line="240" w:lineRule="auto"/>
              <w:ind w:left="11"/>
              <w:rPr>
                <w:rFonts w:ascii="Arial Narrow" w:hAnsi="Arial Narrow"/>
                <w:b/>
                <w:sz w:val="20"/>
                <w:szCs w:val="20"/>
              </w:rPr>
            </w:pPr>
            <w:r w:rsidRPr="002430AC">
              <w:rPr>
                <w:rFonts w:ascii="Arial Narrow" w:hAnsi="Arial Narrow"/>
                <w:b/>
                <w:sz w:val="20"/>
                <w:szCs w:val="20"/>
              </w:rPr>
              <w:t>Disadvantages</w:t>
            </w:r>
          </w:p>
        </w:tc>
      </w:tr>
      <w:tr w:rsidR="00690660" w:rsidRPr="002430AC" w14:paraId="517B468C" w14:textId="77777777" w:rsidTr="00B501F9">
        <w:tc>
          <w:tcPr>
            <w:tcW w:w="1506" w:type="dxa"/>
          </w:tcPr>
          <w:p w14:paraId="4B7865FC" w14:textId="77777777"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t>CMR</w:t>
            </w:r>
          </w:p>
        </w:tc>
        <w:tc>
          <w:tcPr>
            <w:tcW w:w="2222" w:type="dxa"/>
          </w:tcPr>
          <w:p w14:paraId="64ED44F1" w14:textId="77777777" w:rsidR="00690660" w:rsidRDefault="00690660" w:rsidP="004C79C1">
            <w:pPr>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High soft tissue contrast including</w:t>
            </w:r>
            <w:r>
              <w:rPr>
                <w:rFonts w:ascii="Arial Narrow" w:hAnsi="Arial Narrow" w:cs="GillSans"/>
                <w:color w:val="000000"/>
                <w:sz w:val="20"/>
                <w:szCs w:val="15"/>
              </w:rPr>
              <w:t xml:space="preserve"> </w:t>
            </w:r>
            <w:r w:rsidRPr="002430AC">
              <w:rPr>
                <w:rFonts w:ascii="Arial Narrow" w:hAnsi="Arial Narrow" w:cs="GillSans"/>
                <w:color w:val="000000"/>
                <w:sz w:val="20"/>
                <w:szCs w:val="15"/>
              </w:rPr>
              <w:t>precise imaging of myocardial scar</w:t>
            </w:r>
          </w:p>
          <w:p w14:paraId="7D7ACDEE" w14:textId="77777777"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t>No radiation</w:t>
            </w:r>
          </w:p>
        </w:tc>
        <w:tc>
          <w:tcPr>
            <w:tcW w:w="5288" w:type="dxa"/>
          </w:tcPr>
          <w:p w14:paraId="6B3B1161"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Limited access in cardiology</w:t>
            </w:r>
          </w:p>
          <w:p w14:paraId="5416A20F"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Contraindications</w:t>
            </w:r>
            <w:r>
              <w:rPr>
                <w:rFonts w:ascii="Arial Narrow" w:hAnsi="Arial Narrow" w:cs="GillSans"/>
                <w:color w:val="000000"/>
                <w:sz w:val="20"/>
                <w:szCs w:val="15"/>
              </w:rPr>
              <w:t xml:space="preserve"> include patients with devices such as pacemakers or claustrophobia that cannot undergo CMR procedures</w:t>
            </w:r>
          </w:p>
          <w:p w14:paraId="035401FA"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Limited 3D quantification of ischaemia</w:t>
            </w:r>
          </w:p>
          <w:p w14:paraId="48DC9635" w14:textId="77777777" w:rsidR="00690660" w:rsidRPr="00AC6FF8" w:rsidRDefault="00690660"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High cost</w:t>
            </w:r>
          </w:p>
        </w:tc>
      </w:tr>
      <w:tr w:rsidR="00DE3F2F" w:rsidRPr="002430AC" w14:paraId="4790DE56" w14:textId="77777777" w:rsidTr="00B501F9">
        <w:tc>
          <w:tcPr>
            <w:tcW w:w="1506" w:type="dxa"/>
          </w:tcPr>
          <w:p w14:paraId="74A69C73" w14:textId="5B938757" w:rsidR="00DE3F2F" w:rsidRPr="002430AC" w:rsidRDefault="00032586"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GHPS</w:t>
            </w:r>
          </w:p>
        </w:tc>
        <w:tc>
          <w:tcPr>
            <w:tcW w:w="2222" w:type="dxa"/>
          </w:tcPr>
          <w:p w14:paraId="36CCD792" w14:textId="77777777" w:rsidR="00DE3F2F" w:rsidRDefault="00DE3F2F"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No specific contraindications</w:t>
            </w:r>
          </w:p>
          <w:p w14:paraId="6B76D62D" w14:textId="77777777" w:rsidR="00DE3F2F" w:rsidRPr="002430AC" w:rsidRDefault="00DE3F2F"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Less operator dependent and therefore more reproducible than other scans</w:t>
            </w:r>
          </w:p>
        </w:tc>
        <w:tc>
          <w:tcPr>
            <w:tcW w:w="5288" w:type="dxa"/>
          </w:tcPr>
          <w:p w14:paraId="490369E5" w14:textId="77777777" w:rsidR="00DE3F2F" w:rsidRDefault="00DE3F2F"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Radiation exposure</w:t>
            </w:r>
          </w:p>
          <w:p w14:paraId="23023F40" w14:textId="4808290C" w:rsidR="00DE3F2F" w:rsidRDefault="00DE3F2F"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May be less accurate for measurement of cardiac chamber sizes, and less informative regarding valves than Echo</w:t>
            </w:r>
          </w:p>
          <w:p w14:paraId="2841318D" w14:textId="77777777" w:rsidR="00DE3F2F" w:rsidRDefault="00DE3F2F"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Not widely available, and indications are not yet well defined</w:t>
            </w:r>
          </w:p>
          <w:p w14:paraId="6816A3A5" w14:textId="77777777" w:rsidR="00DE3F2F" w:rsidRPr="002430AC" w:rsidRDefault="00DE3F2F" w:rsidP="004C79C1">
            <w:pPr>
              <w:spacing w:after="120" w:line="240" w:lineRule="auto"/>
              <w:ind w:left="11"/>
              <w:rPr>
                <w:rFonts w:ascii="Arial Narrow" w:hAnsi="Arial Narrow" w:cs="GillSans"/>
                <w:color w:val="000000"/>
                <w:sz w:val="20"/>
                <w:szCs w:val="15"/>
              </w:rPr>
            </w:pPr>
          </w:p>
        </w:tc>
      </w:tr>
      <w:tr w:rsidR="008B4132" w:rsidRPr="002430AC" w14:paraId="287DF72F" w14:textId="77777777" w:rsidTr="00B501F9">
        <w:tc>
          <w:tcPr>
            <w:tcW w:w="1506" w:type="dxa"/>
          </w:tcPr>
          <w:p w14:paraId="59984C03" w14:textId="37DC2184" w:rsidR="008B4132" w:rsidRDefault="008B4132"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Stress Echo</w:t>
            </w:r>
          </w:p>
        </w:tc>
        <w:tc>
          <w:tcPr>
            <w:tcW w:w="2222" w:type="dxa"/>
          </w:tcPr>
          <w:p w14:paraId="4FCB8B35" w14:textId="368A5AA0" w:rsidR="00B15DCB" w:rsidRDefault="00B15DCB"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No radiation</w:t>
            </w:r>
          </w:p>
          <w:p w14:paraId="4A2F3FB3" w14:textId="77777777" w:rsidR="008B4132" w:rsidRDefault="00B15DCB"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Wide access</w:t>
            </w:r>
          </w:p>
          <w:p w14:paraId="42A8ED6D" w14:textId="625871F8" w:rsidR="00B15DCB" w:rsidRDefault="00B15DCB"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Low cost</w:t>
            </w:r>
          </w:p>
        </w:tc>
        <w:tc>
          <w:tcPr>
            <w:tcW w:w="5288" w:type="dxa"/>
          </w:tcPr>
          <w:p w14:paraId="7283979F" w14:textId="77777777" w:rsidR="008B4132" w:rsidRDefault="00B15DCB" w:rsidP="004C79C1">
            <w:pPr>
              <w:spacing w:after="120" w:line="240" w:lineRule="auto"/>
              <w:rPr>
                <w:rFonts w:ascii="Arial Narrow" w:hAnsi="Arial Narrow" w:cs="GillSans"/>
                <w:color w:val="000000"/>
                <w:sz w:val="20"/>
                <w:szCs w:val="15"/>
              </w:rPr>
            </w:pPr>
            <w:r>
              <w:rPr>
                <w:rFonts w:ascii="Arial Narrow" w:hAnsi="Arial Narrow" w:cs="GillSans"/>
                <w:color w:val="000000"/>
                <w:sz w:val="20"/>
                <w:szCs w:val="15"/>
              </w:rPr>
              <w:t>Dependent on operator skills</w:t>
            </w:r>
          </w:p>
          <w:p w14:paraId="6BB08939" w14:textId="1FE635DD" w:rsidR="00B15DCB" w:rsidRDefault="00B15DCB" w:rsidP="004C79C1">
            <w:pPr>
              <w:spacing w:after="120" w:line="240" w:lineRule="auto"/>
              <w:rPr>
                <w:rFonts w:ascii="Arial Narrow" w:hAnsi="Arial Narrow" w:cs="GillSans"/>
                <w:color w:val="000000"/>
                <w:sz w:val="20"/>
                <w:szCs w:val="15"/>
              </w:rPr>
            </w:pPr>
            <w:r>
              <w:rPr>
                <w:rFonts w:ascii="Arial Narrow" w:hAnsi="Arial Narrow" w:cs="GillSans"/>
                <w:color w:val="000000"/>
                <w:sz w:val="20"/>
                <w:szCs w:val="15"/>
              </w:rPr>
              <w:t xml:space="preserve">Exercise stress </w:t>
            </w:r>
            <w:r w:rsidR="00F80688">
              <w:rPr>
                <w:rFonts w:ascii="Arial Narrow" w:hAnsi="Arial Narrow" w:cs="GillSans"/>
                <w:color w:val="000000"/>
                <w:sz w:val="20"/>
                <w:szCs w:val="15"/>
              </w:rPr>
              <w:t>E</w:t>
            </w:r>
            <w:r>
              <w:rPr>
                <w:rFonts w:ascii="Arial Narrow" w:hAnsi="Arial Narrow" w:cs="GillSans"/>
                <w:color w:val="000000"/>
                <w:sz w:val="20"/>
                <w:szCs w:val="15"/>
              </w:rPr>
              <w:t xml:space="preserve">cho </w:t>
            </w:r>
            <w:r w:rsidR="00475940">
              <w:rPr>
                <w:rFonts w:ascii="Arial Narrow" w:hAnsi="Arial Narrow" w:cs="GillSans"/>
                <w:color w:val="000000"/>
                <w:sz w:val="20"/>
                <w:szCs w:val="15"/>
              </w:rPr>
              <w:t>cannot</w:t>
            </w:r>
            <w:r>
              <w:rPr>
                <w:rFonts w:ascii="Arial Narrow" w:hAnsi="Arial Narrow" w:cs="GillSans"/>
                <w:color w:val="000000"/>
                <w:sz w:val="20"/>
                <w:szCs w:val="15"/>
              </w:rPr>
              <w:t xml:space="preserve"> be done in patients who cannot walk a reasonable workload</w:t>
            </w:r>
          </w:p>
          <w:p w14:paraId="65A93C5F" w14:textId="7251332D" w:rsidR="00B15DCB" w:rsidRDefault="00B15DCB" w:rsidP="004C79C1">
            <w:pPr>
              <w:spacing w:after="120" w:line="240" w:lineRule="auto"/>
              <w:rPr>
                <w:rFonts w:ascii="Arial Narrow" w:hAnsi="Arial Narrow" w:cs="GillSans"/>
                <w:color w:val="000000"/>
                <w:sz w:val="20"/>
                <w:szCs w:val="15"/>
              </w:rPr>
            </w:pPr>
            <w:r w:rsidRPr="002430AC">
              <w:rPr>
                <w:rFonts w:ascii="Arial Narrow" w:hAnsi="Arial Narrow" w:cs="GillSans"/>
                <w:color w:val="000000"/>
                <w:sz w:val="20"/>
                <w:szCs w:val="15"/>
              </w:rPr>
              <w:t>Echo contrast needed in patients with poor</w:t>
            </w:r>
            <w:r>
              <w:rPr>
                <w:rFonts w:ascii="Arial Narrow" w:hAnsi="Arial Narrow" w:cs="GillSans"/>
                <w:color w:val="000000"/>
                <w:sz w:val="20"/>
                <w:szCs w:val="15"/>
              </w:rPr>
              <w:t xml:space="preserve"> </w:t>
            </w:r>
            <w:r w:rsidRPr="002430AC">
              <w:rPr>
                <w:rFonts w:ascii="Arial Narrow" w:hAnsi="Arial Narrow" w:cs="GillSans"/>
                <w:color w:val="000000"/>
                <w:sz w:val="20"/>
                <w:szCs w:val="15"/>
              </w:rPr>
              <w:t>ultrasound window</w:t>
            </w:r>
            <w:r>
              <w:rPr>
                <w:rFonts w:ascii="Arial Narrow" w:hAnsi="Arial Narrow" w:cs="GillSans"/>
                <w:color w:val="000000"/>
                <w:sz w:val="20"/>
                <w:szCs w:val="15"/>
              </w:rPr>
              <w:t>s</w:t>
            </w:r>
          </w:p>
        </w:tc>
      </w:tr>
      <w:tr w:rsidR="00DE3F2F" w:rsidRPr="002430AC" w14:paraId="5A5FD4BE" w14:textId="77777777" w:rsidTr="00B501F9">
        <w:tc>
          <w:tcPr>
            <w:tcW w:w="1506" w:type="dxa"/>
          </w:tcPr>
          <w:p w14:paraId="1BAE6A94" w14:textId="60949ECC" w:rsidR="00DE3F2F" w:rsidRPr="002430AC" w:rsidRDefault="00E81332"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c</w:t>
            </w:r>
            <w:r w:rsidR="00DE3F2F">
              <w:rPr>
                <w:rFonts w:ascii="Arial Narrow" w:hAnsi="Arial Narrow" w:cs="GillSans"/>
                <w:color w:val="000000"/>
                <w:sz w:val="20"/>
                <w:szCs w:val="15"/>
              </w:rPr>
              <w:t>Echo</w:t>
            </w:r>
          </w:p>
        </w:tc>
        <w:tc>
          <w:tcPr>
            <w:tcW w:w="2222" w:type="dxa"/>
          </w:tcPr>
          <w:p w14:paraId="0D3B615F" w14:textId="77777777" w:rsidR="00DE3F2F" w:rsidRDefault="00DE3F2F" w:rsidP="004C79C1">
            <w:pPr>
              <w:spacing w:after="120" w:line="240" w:lineRule="auto"/>
              <w:ind w:left="11"/>
              <w:rPr>
                <w:rFonts w:ascii="Arial Narrow" w:hAnsi="Arial Narrow"/>
                <w:sz w:val="20"/>
                <w:szCs w:val="20"/>
              </w:rPr>
            </w:pPr>
            <w:r>
              <w:rPr>
                <w:rFonts w:ascii="Arial Narrow" w:hAnsi="Arial Narrow"/>
                <w:sz w:val="20"/>
                <w:szCs w:val="20"/>
              </w:rPr>
              <w:t>No radiation</w:t>
            </w:r>
          </w:p>
          <w:p w14:paraId="3A13366E" w14:textId="77777777" w:rsidR="00DE3F2F" w:rsidRDefault="00DE3F2F" w:rsidP="004C79C1">
            <w:pPr>
              <w:spacing w:after="120" w:line="240" w:lineRule="auto"/>
              <w:ind w:left="11"/>
              <w:rPr>
                <w:rFonts w:ascii="Arial Narrow" w:hAnsi="Arial Narrow"/>
                <w:sz w:val="20"/>
                <w:szCs w:val="20"/>
              </w:rPr>
            </w:pPr>
            <w:r>
              <w:rPr>
                <w:rFonts w:ascii="Arial Narrow" w:hAnsi="Arial Narrow"/>
                <w:sz w:val="20"/>
                <w:szCs w:val="20"/>
              </w:rPr>
              <w:t xml:space="preserve">Low cost </w:t>
            </w:r>
          </w:p>
          <w:p w14:paraId="0E1BE74A" w14:textId="49AB47B9" w:rsidR="00DE3F2F" w:rsidRDefault="00DE3F2F" w:rsidP="004C79C1">
            <w:pPr>
              <w:spacing w:after="120" w:line="240" w:lineRule="auto"/>
              <w:ind w:left="11"/>
              <w:rPr>
                <w:rFonts w:ascii="Arial Narrow" w:hAnsi="Arial Narrow"/>
                <w:sz w:val="20"/>
                <w:szCs w:val="20"/>
              </w:rPr>
            </w:pPr>
            <w:r>
              <w:rPr>
                <w:rFonts w:ascii="Arial Narrow" w:hAnsi="Arial Narrow"/>
                <w:sz w:val="20"/>
                <w:szCs w:val="20"/>
              </w:rPr>
              <w:t xml:space="preserve">Superior visualisation compared </w:t>
            </w:r>
            <w:r w:rsidR="00F80688">
              <w:rPr>
                <w:rFonts w:ascii="Arial Narrow" w:hAnsi="Arial Narrow"/>
                <w:sz w:val="20"/>
                <w:szCs w:val="20"/>
              </w:rPr>
              <w:t xml:space="preserve">with </w:t>
            </w:r>
            <w:r>
              <w:rPr>
                <w:rFonts w:ascii="Arial Narrow" w:hAnsi="Arial Narrow"/>
                <w:sz w:val="20"/>
                <w:szCs w:val="20"/>
              </w:rPr>
              <w:t xml:space="preserve">Echo </w:t>
            </w:r>
          </w:p>
          <w:p w14:paraId="5F84C6BE" w14:textId="77777777" w:rsidR="00DE3F2F" w:rsidRDefault="00DE3F2F" w:rsidP="004C79C1">
            <w:pPr>
              <w:spacing w:after="120" w:line="240" w:lineRule="auto"/>
              <w:ind w:left="11"/>
              <w:rPr>
                <w:rFonts w:ascii="Arial Narrow" w:hAnsi="Arial Narrow"/>
                <w:sz w:val="20"/>
                <w:szCs w:val="20"/>
              </w:rPr>
            </w:pPr>
            <w:r>
              <w:rPr>
                <w:rFonts w:ascii="Arial Narrow" w:hAnsi="Arial Narrow"/>
                <w:sz w:val="20"/>
                <w:szCs w:val="20"/>
              </w:rPr>
              <w:t>Suitable for quantification of perfusion</w:t>
            </w:r>
          </w:p>
        </w:tc>
        <w:tc>
          <w:tcPr>
            <w:tcW w:w="5288" w:type="dxa"/>
          </w:tcPr>
          <w:p w14:paraId="03C93E18" w14:textId="18F8B0FF" w:rsidR="00DE3F2F" w:rsidRPr="002430AC" w:rsidRDefault="00DE3F2F"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Administration of contrast agents contraindicated for patients with known or suspected intracardiac shunting of significant degree, or known hypersensitivity to the agent</w:t>
            </w:r>
          </w:p>
        </w:tc>
      </w:tr>
      <w:tr w:rsidR="00B15DCB" w:rsidRPr="002430AC" w14:paraId="25110580" w14:textId="77777777" w:rsidTr="00B501F9">
        <w:tc>
          <w:tcPr>
            <w:tcW w:w="1506" w:type="dxa"/>
          </w:tcPr>
          <w:p w14:paraId="034DE335" w14:textId="10436960" w:rsidR="00B15DCB" w:rsidRDefault="00B15DCB" w:rsidP="004C79C1">
            <w:pPr>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ICA</w:t>
            </w:r>
          </w:p>
        </w:tc>
        <w:tc>
          <w:tcPr>
            <w:tcW w:w="2222" w:type="dxa"/>
          </w:tcPr>
          <w:p w14:paraId="51EC7BC9" w14:textId="070EE1E0" w:rsidR="00B15DCB" w:rsidRDefault="00E77E3A" w:rsidP="004C79C1">
            <w:pPr>
              <w:spacing w:after="120" w:line="240" w:lineRule="auto"/>
              <w:ind w:left="11"/>
              <w:rPr>
                <w:rFonts w:ascii="Arial Narrow" w:hAnsi="Arial Narrow"/>
                <w:sz w:val="20"/>
                <w:szCs w:val="20"/>
              </w:rPr>
            </w:pPr>
            <w:r>
              <w:rPr>
                <w:rFonts w:ascii="Arial Narrow" w:hAnsi="Arial Narrow"/>
                <w:sz w:val="20"/>
                <w:szCs w:val="20"/>
              </w:rPr>
              <w:t>High sensitivity and specificity in diagnosing CAD</w:t>
            </w:r>
            <w:r w:rsidR="002B7BDA">
              <w:rPr>
                <w:rFonts w:ascii="Arial Narrow" w:hAnsi="Arial Narrow"/>
                <w:sz w:val="20"/>
                <w:szCs w:val="20"/>
              </w:rPr>
              <w:t xml:space="preserve"> (reference standard)</w:t>
            </w:r>
          </w:p>
          <w:p w14:paraId="5E121C8D" w14:textId="4E85B084" w:rsidR="00E77E3A" w:rsidRDefault="00AA6F12" w:rsidP="004C79C1">
            <w:pPr>
              <w:spacing w:after="120" w:line="240" w:lineRule="auto"/>
              <w:ind w:left="11"/>
              <w:rPr>
                <w:rFonts w:ascii="Arial Narrow" w:hAnsi="Arial Narrow"/>
                <w:sz w:val="20"/>
                <w:szCs w:val="20"/>
              </w:rPr>
            </w:pPr>
            <w:r>
              <w:rPr>
                <w:rFonts w:ascii="Arial Narrow" w:hAnsi="Arial Narrow"/>
                <w:sz w:val="20"/>
                <w:szCs w:val="20"/>
              </w:rPr>
              <w:t>Possibility for immediate intervention</w:t>
            </w:r>
            <w:r w:rsidR="009D6745">
              <w:rPr>
                <w:rFonts w:ascii="Arial Narrow" w:hAnsi="Arial Narrow"/>
                <w:sz w:val="20"/>
                <w:szCs w:val="20"/>
              </w:rPr>
              <w:t xml:space="preserve"> after CAD diagnosis</w:t>
            </w:r>
          </w:p>
        </w:tc>
        <w:tc>
          <w:tcPr>
            <w:tcW w:w="5288" w:type="dxa"/>
          </w:tcPr>
          <w:p w14:paraId="614AFC93" w14:textId="5E1C6983" w:rsidR="00B15DCB" w:rsidRDefault="00E77E3A"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Invasive test requiring local anaesthesia</w:t>
            </w:r>
          </w:p>
          <w:p w14:paraId="7A1401CD" w14:textId="77777777" w:rsidR="00E77E3A" w:rsidRDefault="00E77E3A"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Radiation exposure</w:t>
            </w:r>
          </w:p>
          <w:p w14:paraId="5E99DC72" w14:textId="7D1E8C31" w:rsidR="00AA6F12" w:rsidRDefault="00AA6F12"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Radiocontrast needed</w:t>
            </w:r>
            <w:r w:rsidR="000B71A7">
              <w:rPr>
                <w:rFonts w:ascii="Arial Narrow" w:hAnsi="Arial Narrow" w:cs="GillSans"/>
                <w:color w:val="000000"/>
                <w:sz w:val="20"/>
                <w:szCs w:val="15"/>
              </w:rPr>
              <w:t>;</w:t>
            </w:r>
            <w:r>
              <w:rPr>
                <w:rFonts w:ascii="Arial Narrow" w:hAnsi="Arial Narrow" w:cs="GillSans"/>
                <w:color w:val="000000"/>
                <w:sz w:val="20"/>
                <w:szCs w:val="15"/>
              </w:rPr>
              <w:t xml:space="preserve"> administration of contrast agents contraindicated for patients with known hypersensitivity to the agent</w:t>
            </w:r>
          </w:p>
          <w:p w14:paraId="77DE452F" w14:textId="4A51A6DE" w:rsidR="00AA6F12" w:rsidRDefault="00AA6F12" w:rsidP="004C79C1">
            <w:pPr>
              <w:autoSpaceDE w:val="0"/>
              <w:autoSpaceDN w:val="0"/>
              <w:adjustRightInd w:val="0"/>
              <w:spacing w:after="120" w:line="240" w:lineRule="auto"/>
              <w:ind w:left="11"/>
              <w:rPr>
                <w:rFonts w:ascii="Arial Narrow" w:hAnsi="Arial Narrow" w:cs="GillSans"/>
                <w:color w:val="000000"/>
                <w:sz w:val="20"/>
                <w:szCs w:val="15"/>
              </w:rPr>
            </w:pPr>
            <w:r>
              <w:rPr>
                <w:rFonts w:ascii="Arial Narrow" w:hAnsi="Arial Narrow" w:cs="GillSans"/>
                <w:color w:val="000000"/>
                <w:sz w:val="20"/>
                <w:szCs w:val="15"/>
              </w:rPr>
              <w:t>Small risk of serious complications</w:t>
            </w:r>
          </w:p>
        </w:tc>
      </w:tr>
      <w:tr w:rsidR="00690660" w:rsidRPr="002430AC" w14:paraId="0BCE58A1" w14:textId="77777777" w:rsidTr="00B501F9">
        <w:tc>
          <w:tcPr>
            <w:tcW w:w="1506" w:type="dxa"/>
          </w:tcPr>
          <w:p w14:paraId="014E4ACB" w14:textId="7855A05D"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t>CT</w:t>
            </w:r>
            <w:r>
              <w:rPr>
                <w:rFonts w:ascii="Arial Narrow" w:hAnsi="Arial Narrow" w:cs="GillSans"/>
                <w:color w:val="000000"/>
                <w:sz w:val="20"/>
                <w:szCs w:val="15"/>
              </w:rPr>
              <w:t>C</w:t>
            </w:r>
            <w:r w:rsidRPr="002430AC">
              <w:rPr>
                <w:rFonts w:ascii="Arial Narrow" w:hAnsi="Arial Narrow" w:cs="GillSans"/>
                <w:color w:val="000000"/>
                <w:sz w:val="20"/>
                <w:szCs w:val="15"/>
              </w:rPr>
              <w:t>A</w:t>
            </w:r>
          </w:p>
        </w:tc>
        <w:tc>
          <w:tcPr>
            <w:tcW w:w="2222" w:type="dxa"/>
          </w:tcPr>
          <w:p w14:paraId="339810BC" w14:textId="77777777" w:rsidR="00690660" w:rsidRDefault="00690660" w:rsidP="004C79C1">
            <w:pPr>
              <w:spacing w:after="120" w:line="240" w:lineRule="auto"/>
              <w:ind w:left="11"/>
              <w:rPr>
                <w:rFonts w:ascii="Arial Narrow" w:hAnsi="Arial Narrow"/>
                <w:sz w:val="20"/>
                <w:szCs w:val="20"/>
              </w:rPr>
            </w:pPr>
            <w:r>
              <w:rPr>
                <w:rFonts w:ascii="Arial Narrow" w:hAnsi="Arial Narrow"/>
                <w:sz w:val="20"/>
                <w:szCs w:val="20"/>
              </w:rPr>
              <w:t>High patient acceptability</w:t>
            </w:r>
          </w:p>
          <w:p w14:paraId="6BC6BE9B" w14:textId="77777777" w:rsidR="00690660" w:rsidRPr="002430AC" w:rsidRDefault="00690660" w:rsidP="004C79C1">
            <w:pPr>
              <w:spacing w:after="120" w:line="240" w:lineRule="auto"/>
              <w:ind w:left="11"/>
              <w:rPr>
                <w:rFonts w:ascii="Arial Narrow" w:hAnsi="Arial Narrow"/>
                <w:sz w:val="20"/>
                <w:szCs w:val="20"/>
              </w:rPr>
            </w:pPr>
            <w:r>
              <w:rPr>
                <w:rFonts w:ascii="Arial Narrow" w:hAnsi="Arial Narrow"/>
                <w:sz w:val="20"/>
                <w:szCs w:val="20"/>
              </w:rPr>
              <w:t>High NPV in patients with low PTP of ischaemia</w:t>
            </w:r>
          </w:p>
        </w:tc>
        <w:tc>
          <w:tcPr>
            <w:tcW w:w="5288" w:type="dxa"/>
          </w:tcPr>
          <w:p w14:paraId="428B427F"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Radiation</w:t>
            </w:r>
            <w:r>
              <w:rPr>
                <w:rFonts w:ascii="Arial Narrow" w:hAnsi="Arial Narrow" w:cs="GillSans"/>
                <w:color w:val="000000"/>
                <w:sz w:val="20"/>
                <w:szCs w:val="15"/>
              </w:rPr>
              <w:t xml:space="preserve"> exposure</w:t>
            </w:r>
          </w:p>
          <w:p w14:paraId="7382DFDF"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Limited availability</w:t>
            </w:r>
          </w:p>
          <w:p w14:paraId="7ED350C4" w14:textId="77777777" w:rsidR="00690660" w:rsidRPr="00227E0E"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Image quality limited with arrhythmias and</w:t>
            </w:r>
            <w:r>
              <w:rPr>
                <w:rFonts w:ascii="Arial Narrow" w:hAnsi="Arial Narrow" w:cs="GillSans"/>
                <w:color w:val="000000"/>
                <w:sz w:val="20"/>
                <w:szCs w:val="15"/>
              </w:rPr>
              <w:t xml:space="preserve"> </w:t>
            </w:r>
            <w:r w:rsidRPr="002430AC">
              <w:rPr>
                <w:rFonts w:ascii="Arial Narrow" w:hAnsi="Arial Narrow" w:cs="GillSans"/>
                <w:color w:val="000000"/>
                <w:sz w:val="20"/>
                <w:szCs w:val="15"/>
              </w:rPr>
              <w:t>high heart rates that cannot be lowered beyond</w:t>
            </w:r>
            <w:r>
              <w:rPr>
                <w:rFonts w:ascii="Arial Narrow" w:hAnsi="Arial Narrow" w:cs="GillSans"/>
                <w:color w:val="000000"/>
                <w:sz w:val="20"/>
                <w:szCs w:val="15"/>
              </w:rPr>
              <w:t xml:space="preserve"> </w:t>
            </w:r>
            <w:r w:rsidRPr="002430AC">
              <w:rPr>
                <w:rFonts w:ascii="Arial Narrow" w:hAnsi="Arial Narrow" w:cs="GillSans"/>
                <w:color w:val="000000"/>
                <w:sz w:val="20"/>
                <w:szCs w:val="15"/>
              </w:rPr>
              <w:t>60–65/min</w:t>
            </w:r>
            <w:r>
              <w:rPr>
                <w:rFonts w:ascii="Arial Narrow" w:hAnsi="Arial Narrow" w:cs="GillSans"/>
                <w:color w:val="000000"/>
                <w:sz w:val="20"/>
                <w:szCs w:val="15"/>
              </w:rPr>
              <w:t>ute</w:t>
            </w:r>
          </w:p>
        </w:tc>
      </w:tr>
      <w:tr w:rsidR="00690660" w:rsidRPr="002430AC" w14:paraId="132ADC1A" w14:textId="77777777" w:rsidTr="00B501F9">
        <w:tc>
          <w:tcPr>
            <w:tcW w:w="1506" w:type="dxa"/>
          </w:tcPr>
          <w:p w14:paraId="062AE1D9" w14:textId="77777777"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t>SPECT</w:t>
            </w:r>
          </w:p>
        </w:tc>
        <w:tc>
          <w:tcPr>
            <w:tcW w:w="2222" w:type="dxa"/>
          </w:tcPr>
          <w:p w14:paraId="3626EEA4" w14:textId="77777777" w:rsidR="00690660" w:rsidRPr="002430AC" w:rsidRDefault="00690660" w:rsidP="004C79C1">
            <w:pPr>
              <w:autoSpaceDE w:val="0"/>
              <w:autoSpaceDN w:val="0"/>
              <w:adjustRightInd w:val="0"/>
              <w:spacing w:after="120" w:line="240" w:lineRule="auto"/>
              <w:ind w:left="11"/>
              <w:rPr>
                <w:rFonts w:ascii="Arial Narrow" w:hAnsi="Arial Narrow" w:cs="GillSans"/>
                <w:color w:val="000000"/>
                <w:sz w:val="20"/>
                <w:szCs w:val="15"/>
              </w:rPr>
            </w:pPr>
            <w:r w:rsidRPr="002430AC">
              <w:rPr>
                <w:rFonts w:ascii="Arial Narrow" w:hAnsi="Arial Narrow" w:cs="GillSans"/>
                <w:color w:val="000000"/>
                <w:sz w:val="20"/>
                <w:szCs w:val="15"/>
              </w:rPr>
              <w:t>Wide access</w:t>
            </w:r>
          </w:p>
          <w:p w14:paraId="0E9DD4E2" w14:textId="77777777"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lastRenderedPageBreak/>
              <w:t>Extensive data</w:t>
            </w:r>
          </w:p>
        </w:tc>
        <w:tc>
          <w:tcPr>
            <w:tcW w:w="5288" w:type="dxa"/>
          </w:tcPr>
          <w:p w14:paraId="57FCAAA2" w14:textId="77777777" w:rsidR="00690660" w:rsidRPr="002430AC" w:rsidRDefault="00690660" w:rsidP="004C79C1">
            <w:pPr>
              <w:spacing w:after="120" w:line="240" w:lineRule="auto"/>
              <w:ind w:left="11"/>
              <w:rPr>
                <w:rFonts w:ascii="Arial Narrow" w:hAnsi="Arial Narrow"/>
                <w:sz w:val="20"/>
                <w:szCs w:val="20"/>
              </w:rPr>
            </w:pPr>
            <w:r w:rsidRPr="002430AC">
              <w:rPr>
                <w:rFonts w:ascii="Arial Narrow" w:hAnsi="Arial Narrow" w:cs="GillSans"/>
                <w:color w:val="000000"/>
                <w:sz w:val="20"/>
                <w:szCs w:val="15"/>
              </w:rPr>
              <w:lastRenderedPageBreak/>
              <w:t>Radiation</w:t>
            </w:r>
            <w:r>
              <w:rPr>
                <w:rFonts w:ascii="Arial Narrow" w:hAnsi="Arial Narrow" w:cs="GillSans"/>
                <w:color w:val="000000"/>
                <w:sz w:val="20"/>
                <w:szCs w:val="15"/>
              </w:rPr>
              <w:t xml:space="preserve"> exposure</w:t>
            </w:r>
          </w:p>
        </w:tc>
      </w:tr>
    </w:tbl>
    <w:p w14:paraId="6E4A7D5A" w14:textId="3A115A7C" w:rsidR="00690660" w:rsidRDefault="00690660" w:rsidP="004C79C1">
      <w:pPr>
        <w:pStyle w:val="Tablenotes0"/>
        <w:spacing w:before="0" w:after="120"/>
      </w:pPr>
      <w:r>
        <w:lastRenderedPageBreak/>
        <w:t>Sources</w:t>
      </w:r>
      <w:proofErr w:type="gramStart"/>
      <w:r>
        <w:t xml:space="preserve">: </w:t>
      </w:r>
      <w:proofErr w:type="gramEnd"/>
      <w:r w:rsidR="00187A29">
        <w:fldChar w:fldCharType="begin">
          <w:fldData xml:space="preserve">PEVuZE5vdGU+PENpdGU+PEF1dGhvcj5Nb250YWxlc2NvdDwvQXV0aG9yPjxZZWFyPjIwMTM8L1ll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</w:fldData>
        </w:fldChar>
      </w:r>
      <w:r w:rsidR="00187A29">
        <w:instrText xml:space="preserve"> ADDIN EN.CITE </w:instrText>
      </w:r>
      <w:r w:rsidR="00187A29">
        <w:fldChar w:fldCharType="begin">
          <w:fldData xml:space="preserve">PEVuZE5vdGU+PENpdGU+PEF1dGhvcj5Nb250YWxlc2NvdDwvQXV0aG9yPjxZZWFyPjIwMTM8L1ll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</w:fldData>
        </w:fldChar>
      </w:r>
      <w:r w:rsidR="00187A29">
        <w:instrText xml:space="preserve"> ADDIN EN.CITE.DATA </w:instrText>
      </w:r>
      <w:r w:rsidR="00187A29">
        <w:fldChar w:fldCharType="end"/>
      </w:r>
      <w:r w:rsidR="00187A29">
        <w:fldChar w:fldCharType="separate"/>
      </w:r>
      <w:hyperlink w:anchor="_ENREF_84" w:tooltip="Montalescot, 2013 #121" w:history="1">
        <w:r w:rsidR="00B906E9">
          <w:rPr>
            <w:noProof/>
          </w:rPr>
          <w:t xml:space="preserve">Montalescot et al. </w:t>
        </w:r>
        <w:r w:rsidR="000B71A7">
          <w:rPr>
            <w:noProof/>
          </w:rPr>
          <w:t>(</w:t>
        </w:r>
        <w:r w:rsidR="00B906E9">
          <w:rPr>
            <w:noProof/>
          </w:rPr>
          <w:t>2013</w:t>
        </w:r>
      </w:hyperlink>
      <w:r w:rsidR="005B08E2">
        <w:rPr>
          <w:noProof/>
        </w:rPr>
        <w:t>)</w:t>
      </w:r>
      <w:r w:rsidR="00187A29">
        <w:rPr>
          <w:noProof/>
        </w:rPr>
        <w:t xml:space="preserve">; </w:t>
      </w:r>
      <w:hyperlink w:anchor="_ENREF_86" w:tooltip="Mordi, 2015 #122" w:history="1">
        <w:r w:rsidR="00B906E9">
          <w:rPr>
            <w:noProof/>
          </w:rPr>
          <w:t xml:space="preserve">Mordi &amp; Tzemos </w:t>
        </w:r>
        <w:r w:rsidR="005B08E2">
          <w:rPr>
            <w:noProof/>
          </w:rPr>
          <w:t>(</w:t>
        </w:r>
        <w:r w:rsidR="00B906E9">
          <w:rPr>
            <w:noProof/>
          </w:rPr>
          <w:t>2015</w:t>
        </w:r>
      </w:hyperlink>
      <w:r w:rsidR="005B08E2">
        <w:rPr>
          <w:noProof/>
        </w:rPr>
        <w:t>)</w:t>
      </w:r>
      <w:r w:rsidR="00187A29">
        <w:rPr>
          <w:noProof/>
        </w:rPr>
        <w:t xml:space="preserve">; </w:t>
      </w:r>
      <w:hyperlink w:anchor="_ENREF_87" w:tooltip="Morona, unpublished #120" w:history="1">
        <w:r w:rsidR="00B906E9">
          <w:rPr>
            <w:noProof/>
          </w:rPr>
          <w:t>Morona et al. unpublished</w:t>
        </w:r>
      </w:hyperlink>
      <w:r w:rsidR="00187A29">
        <w:fldChar w:fldCharType="end"/>
      </w:r>
    </w:p>
    <w:p w14:paraId="3AB7D078" w14:textId="30C7B7C9" w:rsidR="00690660" w:rsidRPr="002430AC" w:rsidRDefault="00032586" w:rsidP="004C79C1">
      <w:pPr>
        <w:pStyle w:val="Tablenotes0"/>
        <w:spacing w:before="0" w:after="120"/>
      </w:pPr>
      <w:r>
        <w:t xml:space="preserve">CAD = coronary artery disease; </w:t>
      </w:r>
      <w:r w:rsidR="00690660">
        <w:t xml:space="preserve">CMR = cardiac magnetic resonance </w:t>
      </w:r>
      <w:r w:rsidR="000728E6">
        <w:t>(</w:t>
      </w:r>
      <w:r w:rsidR="00690660">
        <w:t>imaging</w:t>
      </w:r>
      <w:r w:rsidR="000728E6">
        <w:t>)</w:t>
      </w:r>
      <w:r w:rsidR="00690660">
        <w:t>; CTCA = computed tomography coronary angiography; ECG = electrocardiography; Echo = echocardiogr</w:t>
      </w:r>
      <w:r w:rsidR="00690660" w:rsidRPr="00BD061D">
        <w:t xml:space="preserve">am; </w:t>
      </w:r>
      <w:r w:rsidR="00BD061D" w:rsidRPr="00BD061D">
        <w:t xml:space="preserve">ICA = </w:t>
      </w:r>
      <w:r w:rsidR="00BD061D" w:rsidRPr="0029201A">
        <w:t>invasive coronary angiography</w:t>
      </w:r>
      <w:r w:rsidR="00BD061D" w:rsidRPr="00BD061D">
        <w:t xml:space="preserve">; </w:t>
      </w:r>
      <w:r w:rsidR="00690660" w:rsidRPr="00BD061D">
        <w:t>NPV =</w:t>
      </w:r>
      <w:r w:rsidR="00690660">
        <w:t xml:space="preserve"> negative predictive value; PTP = pre-test probability; SPECT = single-photon emission computed tomography</w:t>
      </w:r>
    </w:p>
    <w:p w14:paraId="5616B6E2" w14:textId="77777777" w:rsidR="005354F8" w:rsidRPr="00183E4D" w:rsidRDefault="005354F8" w:rsidP="004C79C1">
      <w:pPr>
        <w:pStyle w:val="Heading2"/>
        <w:numPr>
          <w:ilvl w:val="0"/>
          <w:numId w:val="9"/>
        </w:numPr>
        <w:spacing w:before="0" w:after="120" w:line="240" w:lineRule="auto"/>
      </w:pPr>
      <w:bookmarkStart w:id="169" w:name="_Toc451501285"/>
      <w:r w:rsidRPr="00183E4D">
        <w:t>Clinical Claim</w:t>
      </w:r>
      <w:bookmarkEnd w:id="169"/>
    </w:p>
    <w:p w14:paraId="5ADF5DFC" w14:textId="203F5DA4" w:rsidR="00D05F71" w:rsidRDefault="00FB212D" w:rsidP="004C79C1">
      <w:pPr>
        <w:spacing w:after="120" w:line="240" w:lineRule="auto"/>
        <w:jc w:val="both"/>
      </w:pPr>
      <w:r>
        <w:t xml:space="preserve">The applicant claims </w:t>
      </w:r>
      <w:r w:rsidR="00B3415C">
        <w:t xml:space="preserve">that </w:t>
      </w:r>
      <w:r>
        <w:t>CMR in patients with suspected DCM provides important information regarding ventricular morphology and tissue characterisation. It would provide more</w:t>
      </w:r>
      <w:r w:rsidR="00D239C0">
        <w:t>-</w:t>
      </w:r>
      <w:r>
        <w:t xml:space="preserve">accurate information than echocardiography in the assessment of </w:t>
      </w:r>
      <w:r w:rsidR="00B3415C">
        <w:t>LV</w:t>
      </w:r>
      <w:r>
        <w:t xml:space="preserve"> structure and function. CMR may also help identify the aetiology of DCM through tissue characterisation with LGE</w:t>
      </w:r>
      <w:r w:rsidR="00C94CB1">
        <w:t xml:space="preserve">. </w:t>
      </w:r>
      <w:r w:rsidR="008F4DAC">
        <w:t>CMR has the potential to distinguish between treatable (e.g. myocarditis, sarcoidosis, amyloidosis) and non-treatable causes of DCM</w:t>
      </w:r>
      <w:r w:rsidR="008839CC">
        <w:t>;</w:t>
      </w:r>
      <w:r w:rsidR="008F4DAC">
        <w:t xml:space="preserve"> therefore</w:t>
      </w:r>
      <w:r w:rsidR="008839CC">
        <w:t>,</w:t>
      </w:r>
      <w:r w:rsidR="008F4DAC">
        <w:t xml:space="preserve"> if identified early, this could lead to reversing the DCM and avoid</w:t>
      </w:r>
      <w:r w:rsidR="00087A40">
        <w:t>ing</w:t>
      </w:r>
      <w:r w:rsidR="008F4DAC">
        <w:t xml:space="preserve"> the need for family screening.</w:t>
      </w:r>
    </w:p>
    <w:p w14:paraId="43810DF5" w14:textId="380E26DA" w:rsidR="008F4DAC" w:rsidRDefault="008F4DAC" w:rsidP="004C79C1">
      <w:pPr>
        <w:spacing w:after="120" w:line="240" w:lineRule="auto"/>
        <w:jc w:val="both"/>
      </w:pPr>
      <w:r>
        <w:t xml:space="preserve">According to </w:t>
      </w:r>
      <w:r w:rsidR="00690660">
        <w:t>the Protocol</w:t>
      </w:r>
      <w:r>
        <w:t>, the proposed benefits of CMR in patients suspected of DCM include:</w:t>
      </w:r>
    </w:p>
    <w:p w14:paraId="2FAA6F2B" w14:textId="7650FE66" w:rsidR="008F4DAC" w:rsidRDefault="008839CC" w:rsidP="004C79C1">
      <w:pPr>
        <w:pStyle w:val="ListParagraph"/>
        <w:numPr>
          <w:ilvl w:val="0"/>
          <w:numId w:val="78"/>
        </w:numPr>
        <w:spacing w:after="120" w:line="240" w:lineRule="auto"/>
        <w:contextualSpacing/>
        <w:jc w:val="both"/>
      </w:pPr>
      <w:r>
        <w:t>i</w:t>
      </w:r>
      <w:r w:rsidR="008F4DAC">
        <w:t xml:space="preserve">ncreased diagnostic sensitivity compared </w:t>
      </w:r>
      <w:r>
        <w:t xml:space="preserve">with </w:t>
      </w:r>
      <w:r w:rsidR="008F4DAC">
        <w:t>the current non-invasive techniques of investigating and differentiating DCM</w:t>
      </w:r>
    </w:p>
    <w:p w14:paraId="3877842A" w14:textId="143E0BB5" w:rsidR="008F4DAC" w:rsidRDefault="008839CC" w:rsidP="004C79C1">
      <w:pPr>
        <w:pStyle w:val="ListParagraph"/>
        <w:numPr>
          <w:ilvl w:val="0"/>
          <w:numId w:val="78"/>
        </w:numPr>
        <w:spacing w:after="120" w:line="240" w:lineRule="auto"/>
        <w:contextualSpacing/>
        <w:jc w:val="both"/>
      </w:pPr>
      <w:r>
        <w:t>i</w:t>
      </w:r>
      <w:r w:rsidR="008F4DAC">
        <w:t xml:space="preserve">ncreased safety compared </w:t>
      </w:r>
      <w:r>
        <w:t>with ICA</w:t>
      </w:r>
      <w:r w:rsidR="008F4DAC">
        <w:t>, myocardial perfusion scans or CTCA</w:t>
      </w:r>
      <w:r>
        <w:t>,</w:t>
      </w:r>
      <w:r w:rsidR="008F4DAC">
        <w:t xml:space="preserve"> including the avoidance of ionising tests (radiation) and subsequent cancers</w:t>
      </w:r>
    </w:p>
    <w:p w14:paraId="5C160AEF" w14:textId="4BF6D01D" w:rsidR="008F4DAC" w:rsidRDefault="008839CC" w:rsidP="004C79C1">
      <w:pPr>
        <w:pStyle w:val="ListParagraph"/>
        <w:numPr>
          <w:ilvl w:val="0"/>
          <w:numId w:val="78"/>
        </w:numPr>
        <w:spacing w:after="120" w:line="240" w:lineRule="auto"/>
        <w:contextualSpacing/>
        <w:jc w:val="both"/>
      </w:pPr>
      <w:proofErr w:type="gramStart"/>
      <w:r>
        <w:t>p</w:t>
      </w:r>
      <w:r w:rsidR="008F4DAC">
        <w:t>otential</w:t>
      </w:r>
      <w:proofErr w:type="gramEnd"/>
      <w:r w:rsidR="008F4DAC">
        <w:t xml:space="preserve"> change in patient management in more than 50% of patients. This may be due to increased diagnostic sensitivity, leading to a change in diagnosis and treatment pathway.</w:t>
      </w:r>
      <w:r w:rsidR="008F4DAC" w:rsidRPr="002902E6">
        <w:t xml:space="preserve"> </w:t>
      </w:r>
      <w:r w:rsidR="008F4DAC">
        <w:t xml:space="preserve">In around one in seven patients </w:t>
      </w:r>
      <w:r w:rsidR="00AB3137">
        <w:t>from the Euro CMR registry, CMR</w:t>
      </w:r>
      <w:r w:rsidR="008F4DAC">
        <w:t xml:space="preserve"> resulted in a different final diagnosis</w:t>
      </w:r>
      <w:r w:rsidR="00FF3166">
        <w:t xml:space="preserve"> </w:t>
      </w:r>
      <w:r w:rsidR="00187A29">
        <w:fldChar w:fldCharType="begin">
          <w:fldData xml:space="preserve">PEVuZE5vdGU+PENpdGU+PEF1dGhvcj5CcnVkZXI8L0F1dGhvcj48WWVhcj4yMDEzPC9ZZWFyPjxS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</w:fldData>
        </w:fldChar>
      </w:r>
      <w:r w:rsidR="00187A29">
        <w:instrText xml:space="preserve"> ADDIN EN.CITE </w:instrText>
      </w:r>
      <w:r w:rsidR="00187A29">
        <w:fldChar w:fldCharType="begin">
          <w:fldData xml:space="preserve">PEVuZE5vdGU+PENpdGU+PEF1dGhvcj5CcnVkZXI8L0F1dGhvcj48WWVhcj4yMDEzPC9ZZWFyPjxS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</w:fldData>
        </w:fldChar>
      </w:r>
      <w:r w:rsidR="00187A29">
        <w:instrText xml:space="preserve"> ADDIN EN.CITE.DATA </w:instrText>
      </w:r>
      <w:r w:rsidR="00187A29">
        <w:fldChar w:fldCharType="end"/>
      </w:r>
      <w:r w:rsidR="00187A29">
        <w:fldChar w:fldCharType="separate"/>
      </w:r>
      <w:r w:rsidR="00187A29">
        <w:rPr>
          <w:noProof/>
        </w:rPr>
        <w:t>(</w:t>
      </w:r>
      <w:hyperlink w:anchor="_ENREF_16" w:tooltip="Bruder, 2013 #94" w:history="1">
        <w:r w:rsidR="00B906E9">
          <w:rPr>
            <w:noProof/>
          </w:rPr>
          <w:t>Bruder et al. 2013</w:t>
        </w:r>
      </w:hyperlink>
      <w:r w:rsidR="00187A29">
        <w:rPr>
          <w:noProof/>
        </w:rPr>
        <w:t>)</w:t>
      </w:r>
      <w:r w:rsidR="00187A29">
        <w:fldChar w:fldCharType="end"/>
      </w:r>
      <w:r w:rsidR="008F4DAC">
        <w:t>.</w:t>
      </w:r>
      <w:r w:rsidR="00FF3166">
        <w:t xml:space="preserve"> </w:t>
      </w:r>
    </w:p>
    <w:p w14:paraId="54AE5E32" w14:textId="0B0B63F2" w:rsidR="008F4DAC" w:rsidRPr="00C865B7" w:rsidRDefault="008839CC" w:rsidP="004C79C1">
      <w:pPr>
        <w:pStyle w:val="ListParagraph"/>
        <w:numPr>
          <w:ilvl w:val="0"/>
          <w:numId w:val="78"/>
        </w:numPr>
        <w:spacing w:after="120" w:line="240" w:lineRule="auto"/>
        <w:contextualSpacing/>
        <w:jc w:val="both"/>
      </w:pPr>
      <w:proofErr w:type="gramStart"/>
      <w:r>
        <w:t>p</w:t>
      </w:r>
      <w:r w:rsidR="008F4DAC">
        <w:t>otential</w:t>
      </w:r>
      <w:proofErr w:type="gramEnd"/>
      <w:r w:rsidR="008F4DAC">
        <w:t xml:space="preserve"> avoidance of </w:t>
      </w:r>
      <w:r w:rsidR="00A9028E">
        <w:t>ICA</w:t>
      </w:r>
      <w:r w:rsidR="008F4DAC">
        <w:t xml:space="preserve"> or CTCA.</w:t>
      </w:r>
    </w:p>
    <w:p w14:paraId="13606F60" w14:textId="5C71D2DB" w:rsidR="00903492" w:rsidRPr="00183E4D" w:rsidRDefault="00A955E0" w:rsidP="004C79C1">
      <w:pPr>
        <w:pStyle w:val="Heading2"/>
        <w:numPr>
          <w:ilvl w:val="0"/>
          <w:numId w:val="9"/>
        </w:numPr>
        <w:spacing w:before="0" w:after="120" w:line="240" w:lineRule="auto"/>
      </w:pPr>
      <w:bookmarkStart w:id="170" w:name="_Ref446497352"/>
      <w:bookmarkStart w:id="171" w:name="_Toc451501286"/>
      <w:bookmarkEnd w:id="147"/>
      <w:bookmarkEnd w:id="148"/>
      <w:r>
        <w:t>Summary of the PICO</w:t>
      </w:r>
      <w:bookmarkEnd w:id="170"/>
      <w:bookmarkEnd w:id="171"/>
    </w:p>
    <w:p w14:paraId="759D8452" w14:textId="5F61D635" w:rsidR="00CC5307" w:rsidRDefault="006C5B34" w:rsidP="004C79C1">
      <w:pPr>
        <w:spacing w:after="120" w:line="240" w:lineRule="auto"/>
        <w:jc w:val="both"/>
      </w:pPr>
      <w:r w:rsidRPr="00183E4D">
        <w:t xml:space="preserve">The guiding framework of </w:t>
      </w:r>
      <w:r w:rsidR="00783C0F">
        <w:t>a</w:t>
      </w:r>
      <w:r w:rsidRPr="00183E4D">
        <w:t xml:space="preserve"> </w:t>
      </w:r>
      <w:r w:rsidR="00475940">
        <w:t>Protocol</w:t>
      </w:r>
      <w:r w:rsidRPr="00183E4D">
        <w:t xml:space="preserve"> </w:t>
      </w:r>
      <w:r w:rsidR="00783C0F">
        <w:t>i</w:t>
      </w:r>
      <w:r w:rsidRPr="00183E4D">
        <w:t xml:space="preserve">s </w:t>
      </w:r>
      <w:r w:rsidR="007822AD" w:rsidRPr="00183E4D">
        <w:t xml:space="preserve">recommended </w:t>
      </w:r>
      <w:r w:rsidR="00783C0F">
        <w:t xml:space="preserve">by MSAC </w:t>
      </w:r>
      <w:r w:rsidR="007822AD" w:rsidRPr="00183E4D">
        <w:t>for</w:t>
      </w:r>
      <w:r w:rsidRPr="00183E4D">
        <w:t xml:space="preserve"> </w:t>
      </w:r>
      <w:r w:rsidR="00783C0F">
        <w:t>each</w:t>
      </w:r>
      <w:r w:rsidRPr="00183E4D">
        <w:t xml:space="preserve"> assessment. </w:t>
      </w:r>
      <w:r w:rsidR="00E511FF" w:rsidRPr="00183E4D">
        <w:t>The</w:t>
      </w:r>
      <w:r w:rsidR="00D52A25">
        <w:t xml:space="preserve"> </w:t>
      </w:r>
      <w:r w:rsidR="00475940">
        <w:t>Protocol</w:t>
      </w:r>
      <w:r w:rsidRPr="00183E4D">
        <w:t xml:space="preserve"> </w:t>
      </w:r>
      <w:r w:rsidR="00E511FF" w:rsidRPr="00183E4D">
        <w:t>describ</w:t>
      </w:r>
      <w:r w:rsidRPr="00183E4D">
        <w:t>es current clinical practice and reflects likely future practice with the proposed medical service.</w:t>
      </w:r>
      <w:r w:rsidR="00EA39D2" w:rsidRPr="00183E4D">
        <w:t xml:space="preserve"> </w:t>
      </w:r>
      <w:r w:rsidR="00E74468">
        <w:t>PICO criteria were developed for the populations with symptoms and for asymptomatic family members. However, there were no studies identified addressing the PICO criteria for family members</w:t>
      </w:r>
      <w:r w:rsidR="00E75C9E">
        <w:t>;</w:t>
      </w:r>
      <w:r w:rsidR="00E74468">
        <w:t xml:space="preserve"> the PICO criteria </w:t>
      </w:r>
      <w:r w:rsidR="00E75C9E">
        <w:t xml:space="preserve">for </w:t>
      </w:r>
      <w:r w:rsidR="00E74468">
        <w:t xml:space="preserve">family members are shown in </w:t>
      </w:r>
      <w:r w:rsidR="00E74468">
        <w:fldChar w:fldCharType="begin"/>
      </w:r>
      <w:r w:rsidR="00E74468">
        <w:instrText xml:space="preserve"> REF _Ref447108353 \h </w:instrText>
      </w:r>
      <w:r w:rsidR="00E74468">
        <w:fldChar w:fldCharType="separate"/>
      </w:r>
      <w:r w:rsidR="00460601">
        <w:t xml:space="preserve">Appendix </w:t>
      </w:r>
      <w:r w:rsidR="00460601">
        <w:rPr>
          <w:noProof/>
        </w:rPr>
        <w:t>I</w:t>
      </w:r>
      <w:r w:rsidR="00E74468">
        <w:fldChar w:fldCharType="end"/>
      </w:r>
      <w:r w:rsidR="00E74468">
        <w:t xml:space="preserve">. </w:t>
      </w:r>
    </w:p>
    <w:p w14:paraId="1818B136" w14:textId="7C474E5A" w:rsidR="000409F9" w:rsidRDefault="000409F9" w:rsidP="00161B88">
      <w:pPr>
        <w:pStyle w:val="Heading3"/>
      </w:pPr>
      <w:bookmarkStart w:id="172" w:name="_Toc451501287"/>
      <w:r>
        <w:t>Direct evidence</w:t>
      </w:r>
      <w:bookmarkEnd w:id="172"/>
    </w:p>
    <w:p w14:paraId="36EA44D0" w14:textId="6010A6B7" w:rsidR="004F36F1" w:rsidRDefault="004F36F1" w:rsidP="004C79C1">
      <w:pPr>
        <w:spacing w:after="120" w:line="240" w:lineRule="auto"/>
        <w:jc w:val="both"/>
      </w:pPr>
      <w:r w:rsidRPr="00183E4D">
        <w:t xml:space="preserve">The </w:t>
      </w:r>
      <w:r w:rsidR="00D249F7">
        <w:t>PICO</w:t>
      </w:r>
      <w:r w:rsidRPr="00183E4D">
        <w:t xml:space="preserve"> </w:t>
      </w:r>
      <w:r w:rsidR="00BB381C" w:rsidRPr="00183E4D">
        <w:t xml:space="preserve">that were specified to guide the </w:t>
      </w:r>
      <w:r w:rsidR="001A5EF8" w:rsidRPr="00183E4D">
        <w:t>systematic literature review</w:t>
      </w:r>
      <w:r w:rsidR="00CC5307">
        <w:t xml:space="preserve"> for direct evidence</w:t>
      </w:r>
      <w:r w:rsidR="00E74468">
        <w:t xml:space="preserve"> of safety, effectiveness and cost-effectiveness</w:t>
      </w:r>
      <w:r w:rsidR="001A5EF8" w:rsidRPr="00183E4D">
        <w:t xml:space="preserve"> </w:t>
      </w:r>
      <w:r w:rsidR="00BB381C" w:rsidRPr="00183E4D">
        <w:t xml:space="preserve">are presented </w:t>
      </w:r>
      <w:r w:rsidRPr="00183E4D">
        <w:rPr>
          <w:sz w:val="24"/>
        </w:rPr>
        <w:t>in</w:t>
      </w:r>
      <w:r w:rsidR="00E74468">
        <w:rPr>
          <w:sz w:val="24"/>
        </w:rPr>
        <w:t xml:space="preserve"> </w:t>
      </w:r>
      <w:r w:rsidR="00E74468">
        <w:rPr>
          <w:sz w:val="24"/>
        </w:rPr>
        <w:fldChar w:fldCharType="begin"/>
      </w:r>
      <w:r w:rsidR="00E74468">
        <w:rPr>
          <w:sz w:val="24"/>
        </w:rPr>
        <w:instrText xml:space="preserve"> REF _Ref395200496 \h </w:instrText>
      </w:r>
      <w:r w:rsidR="00E74468">
        <w:rPr>
          <w:sz w:val="24"/>
        </w:rPr>
      </w:r>
      <w:r w:rsidR="00E74468">
        <w:rPr>
          <w:sz w:val="24"/>
        </w:rPr>
        <w:fldChar w:fldCharType="separate"/>
      </w:r>
      <w:r w:rsidR="00460601">
        <w:t xml:space="preserve">Box </w:t>
      </w:r>
      <w:r w:rsidR="00460601">
        <w:rPr>
          <w:noProof/>
        </w:rPr>
        <w:t>1</w:t>
      </w:r>
      <w:r w:rsidR="00E74468">
        <w:rPr>
          <w:sz w:val="24"/>
        </w:rPr>
        <w:fldChar w:fldCharType="end"/>
      </w:r>
      <w:r w:rsidR="00E74468">
        <w:rPr>
          <w:sz w:val="24"/>
        </w:rPr>
        <w:t xml:space="preserve"> and </w:t>
      </w:r>
      <w:r w:rsidR="00E74468">
        <w:rPr>
          <w:sz w:val="24"/>
        </w:rPr>
        <w:fldChar w:fldCharType="begin"/>
      </w:r>
      <w:r w:rsidR="00E74468">
        <w:rPr>
          <w:sz w:val="24"/>
        </w:rPr>
        <w:instrText xml:space="preserve"> REF _Ref395200521 \h </w:instrText>
      </w:r>
      <w:r w:rsidR="00E74468">
        <w:rPr>
          <w:sz w:val="24"/>
        </w:rPr>
      </w:r>
      <w:r w:rsidR="00E74468">
        <w:rPr>
          <w:sz w:val="24"/>
        </w:rPr>
        <w:fldChar w:fldCharType="separate"/>
      </w:r>
      <w:r w:rsidR="00460601">
        <w:t xml:space="preserve">Box </w:t>
      </w:r>
      <w:r w:rsidR="00460601">
        <w:rPr>
          <w:noProof/>
        </w:rPr>
        <w:t>2</w:t>
      </w:r>
      <w:r w:rsidR="00E74468">
        <w:rPr>
          <w:sz w:val="24"/>
        </w:rPr>
        <w:fldChar w:fldCharType="end"/>
      </w:r>
      <w:r w:rsidR="00B02299">
        <w:rPr>
          <w:sz w:val="24"/>
        </w:rPr>
        <w:t>.</w:t>
      </w:r>
    </w:p>
    <w:p w14:paraId="03F50CBB" w14:textId="77777777" w:rsidR="00E50A79" w:rsidRDefault="00E50A79" w:rsidP="004C79C1">
      <w:pPr>
        <w:spacing w:after="120" w:line="240" w:lineRule="auto"/>
        <w:rPr>
          <w:rFonts w:ascii="Arial Narrow" w:hAnsi="Arial Narrow"/>
          <w:b/>
          <w:bCs/>
          <w:snapToGrid w:val="0"/>
          <w:sz w:val="20"/>
          <w:lang w:eastAsia="en-US"/>
        </w:rPr>
      </w:pPr>
      <w:bookmarkStart w:id="173" w:name="_Ref395200496"/>
      <w:bookmarkStart w:id="174" w:name="_Toc393378291"/>
      <w:bookmarkStart w:id="175" w:name="_Toc448827353"/>
      <w:bookmarkStart w:id="176" w:name="_Toc324410118"/>
      <w:r>
        <w:br w:type="page"/>
      </w:r>
    </w:p>
    <w:p w14:paraId="4D132318" w14:textId="028A052C" w:rsidR="004F36F1" w:rsidRPr="00183E4D" w:rsidRDefault="00255B28" w:rsidP="004C79C1">
      <w:pPr>
        <w:pStyle w:val="Caption"/>
      </w:pPr>
      <w:r>
        <w:lastRenderedPageBreak/>
        <w:t xml:space="preserve">Box </w:t>
      </w:r>
      <w:fldSimple w:instr=" SEQ Box \* ARABIC ">
        <w:r w:rsidR="00460601">
          <w:rPr>
            <w:noProof/>
          </w:rPr>
          <w:t>1</w:t>
        </w:r>
      </w:fldSimple>
      <w:bookmarkEnd w:id="173"/>
      <w:r w:rsidR="004F36F1" w:rsidRPr="00183E4D">
        <w:tab/>
      </w:r>
      <w:r w:rsidR="001A5EF8" w:rsidRPr="00183E4D">
        <w:t>Criteria</w:t>
      </w:r>
      <w:r w:rsidR="004F36F1" w:rsidRPr="00183E4D">
        <w:t xml:space="preserve"> for </w:t>
      </w:r>
      <w:r w:rsidR="001A5EF8" w:rsidRPr="00183E4D">
        <w:t xml:space="preserve">identifying and selecting studies to </w:t>
      </w:r>
      <w:r w:rsidR="00BB381C" w:rsidRPr="00183E4D">
        <w:t>determin</w:t>
      </w:r>
      <w:r w:rsidR="001A5EF8" w:rsidRPr="00183E4D">
        <w:t>e</w:t>
      </w:r>
      <w:r w:rsidR="00BB381C" w:rsidRPr="00183E4D">
        <w:t xml:space="preserve"> </w:t>
      </w:r>
      <w:r w:rsidR="004F36F1" w:rsidRPr="00183E4D">
        <w:t xml:space="preserve">the safety of </w:t>
      </w:r>
      <w:r w:rsidR="0069427C">
        <w:t>CMR</w:t>
      </w:r>
      <w:r w:rsidR="004F36F1" w:rsidRPr="00183E4D">
        <w:t xml:space="preserve"> </w:t>
      </w:r>
      <w:bookmarkEnd w:id="174"/>
      <w:r w:rsidR="0069427C" w:rsidRPr="00183E4D">
        <w:t xml:space="preserve">in patients with </w:t>
      </w:r>
      <w:r w:rsidR="0069427C" w:rsidRPr="00E436AA">
        <w:t>suspected DCM</w:t>
      </w:r>
      <w:bookmarkEnd w:id="175"/>
      <w:bookmarkEnd w:id="17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the criteria for selecting studies to assess the safety of the new technology."/>
      </w:tblPr>
      <w:tblGrid>
        <w:gridCol w:w="1555"/>
        <w:gridCol w:w="3543"/>
        <w:gridCol w:w="3918"/>
      </w:tblGrid>
      <w:tr w:rsidR="00117B24" w:rsidRPr="00183E4D" w14:paraId="23FD5861" w14:textId="26C09A36" w:rsidTr="00456F62">
        <w:trPr>
          <w:trHeight w:val="261"/>
        </w:trPr>
        <w:tc>
          <w:tcPr>
            <w:tcW w:w="1555" w:type="dxa"/>
            <w:shd w:val="clear" w:color="auto" w:fill="auto"/>
          </w:tcPr>
          <w:p w14:paraId="723637CB" w14:textId="77777777" w:rsidR="00117B24" w:rsidRPr="00183E4D" w:rsidRDefault="00117B24" w:rsidP="004C79C1">
            <w:pPr>
              <w:pStyle w:val="Tabletext1"/>
              <w:spacing w:before="0" w:after="120"/>
              <w:rPr>
                <w:b/>
              </w:rPr>
            </w:pPr>
            <w:r w:rsidRPr="00183E4D">
              <w:rPr>
                <w:b/>
              </w:rPr>
              <w:t>Selection criteria</w:t>
            </w:r>
          </w:p>
        </w:tc>
        <w:tc>
          <w:tcPr>
            <w:tcW w:w="3543" w:type="dxa"/>
            <w:tcBorders>
              <w:right w:val="nil"/>
            </w:tcBorders>
            <w:shd w:val="clear" w:color="auto" w:fill="auto"/>
          </w:tcPr>
          <w:p w14:paraId="25074C0D" w14:textId="4A4BA573" w:rsidR="00117B24" w:rsidRPr="00183E4D" w:rsidRDefault="00117B24" w:rsidP="004C79C1">
            <w:pPr>
              <w:pStyle w:val="Tabletext1"/>
              <w:spacing w:before="0" w:after="120"/>
              <w:rPr>
                <w:rFonts w:cs="Arial"/>
                <w:b/>
              </w:rPr>
            </w:pPr>
            <w:r w:rsidRPr="00183E4D">
              <w:rPr>
                <w:rFonts w:cs="Arial"/>
                <w:b/>
              </w:rPr>
              <w:t>Description</w:t>
            </w:r>
            <w:r w:rsidR="00425CB7">
              <w:rPr>
                <w:rFonts w:cs="Arial"/>
                <w:b/>
              </w:rPr>
              <w:t xml:space="preserve"> (population </w:t>
            </w:r>
            <w:r w:rsidR="00DC2E63">
              <w:rPr>
                <w:rFonts w:cs="Arial"/>
                <w:b/>
              </w:rPr>
              <w:t>i</w:t>
            </w:r>
            <w:r w:rsidR="00425CB7">
              <w:rPr>
                <w:rFonts w:cs="Arial"/>
                <w:b/>
              </w:rPr>
              <w:t>)</w:t>
            </w:r>
          </w:p>
        </w:tc>
        <w:tc>
          <w:tcPr>
            <w:tcW w:w="3918" w:type="dxa"/>
            <w:tcBorders>
              <w:left w:val="nil"/>
            </w:tcBorders>
            <w:shd w:val="clear" w:color="auto" w:fill="auto"/>
          </w:tcPr>
          <w:p w14:paraId="45E8C449" w14:textId="4C2B4160" w:rsidR="00117B24" w:rsidRPr="00183E4D" w:rsidRDefault="00D76006" w:rsidP="004C79C1">
            <w:pPr>
              <w:pStyle w:val="Tabletext1"/>
              <w:spacing w:before="0" w:after="120"/>
              <w:rPr>
                <w:rFonts w:cs="Arial"/>
                <w:b/>
              </w:rPr>
            </w:pPr>
            <w:r w:rsidRPr="00183E4D">
              <w:rPr>
                <w:rFonts w:cs="Arial"/>
                <w:b/>
              </w:rPr>
              <w:t>Description</w:t>
            </w:r>
            <w:r w:rsidR="00425CB7">
              <w:rPr>
                <w:rFonts w:cs="Arial"/>
                <w:b/>
              </w:rPr>
              <w:t xml:space="preserve"> (population </w:t>
            </w:r>
            <w:r w:rsidR="00DC2E63">
              <w:rPr>
                <w:rFonts w:cs="Arial"/>
                <w:b/>
              </w:rPr>
              <w:t>ii</w:t>
            </w:r>
            <w:r w:rsidR="00425CB7">
              <w:rPr>
                <w:rFonts w:cs="Arial"/>
                <w:b/>
              </w:rPr>
              <w:t>)</w:t>
            </w:r>
          </w:p>
        </w:tc>
      </w:tr>
      <w:tr w:rsidR="00117B24" w:rsidRPr="00183E4D" w14:paraId="2A1D1A9E" w14:textId="128D9251" w:rsidTr="00456F62">
        <w:trPr>
          <w:trHeight w:val="247"/>
        </w:trPr>
        <w:tc>
          <w:tcPr>
            <w:tcW w:w="1555" w:type="dxa"/>
            <w:shd w:val="clear" w:color="auto" w:fill="auto"/>
          </w:tcPr>
          <w:p w14:paraId="493449EB" w14:textId="77777777" w:rsidR="00117B24" w:rsidRPr="00183E4D" w:rsidRDefault="00117B24" w:rsidP="004C79C1">
            <w:pPr>
              <w:pStyle w:val="Tabletext1"/>
              <w:spacing w:before="0" w:after="120"/>
            </w:pPr>
            <w:r w:rsidRPr="00183E4D">
              <w:t>Population</w:t>
            </w:r>
          </w:p>
        </w:tc>
        <w:tc>
          <w:tcPr>
            <w:tcW w:w="3543" w:type="dxa"/>
            <w:tcBorders>
              <w:right w:val="nil"/>
            </w:tcBorders>
            <w:shd w:val="clear" w:color="auto" w:fill="auto"/>
          </w:tcPr>
          <w:p w14:paraId="76049D8D" w14:textId="4C7CD776" w:rsidR="00117B24" w:rsidRPr="00183E4D" w:rsidRDefault="00117B24" w:rsidP="004C79C1">
            <w:pPr>
              <w:pStyle w:val="Tabletext1"/>
              <w:spacing w:before="0" w:after="120"/>
              <w:rPr>
                <w:rFonts w:cs="Arial"/>
              </w:rPr>
            </w:pPr>
            <w:r w:rsidRPr="00C236C7">
              <w:t xml:space="preserve">Patients presenting with </w:t>
            </w:r>
            <w:r w:rsidR="00BD2695">
              <w:t xml:space="preserve">HF </w:t>
            </w:r>
            <w:r w:rsidRPr="00C236C7">
              <w:t>symptoms, in whom</w:t>
            </w:r>
            <w:r>
              <w:t xml:space="preserve"> Echo</w:t>
            </w:r>
            <w:r w:rsidRPr="00C236C7">
              <w:t xml:space="preserve"> is inconclusive</w:t>
            </w:r>
          </w:p>
        </w:tc>
        <w:tc>
          <w:tcPr>
            <w:tcW w:w="3918" w:type="dxa"/>
            <w:tcBorders>
              <w:left w:val="nil"/>
            </w:tcBorders>
            <w:shd w:val="clear" w:color="auto" w:fill="auto"/>
          </w:tcPr>
          <w:p w14:paraId="5C32E28C" w14:textId="067E9FF0" w:rsidR="00117B24" w:rsidRPr="00117B24" w:rsidRDefault="00117B24" w:rsidP="004C79C1">
            <w:pPr>
              <w:pStyle w:val="Tabletext1"/>
              <w:spacing w:before="0" w:after="120"/>
            </w:pPr>
            <w:r w:rsidRPr="00C236C7">
              <w:t xml:space="preserve">Patients presenting with </w:t>
            </w:r>
            <w:r w:rsidR="00BD2695">
              <w:t>HF</w:t>
            </w:r>
            <w:r w:rsidRPr="00C236C7">
              <w:t xml:space="preserve"> symptoms, in whom</w:t>
            </w:r>
            <w:r>
              <w:t xml:space="preserve"> Echo </w:t>
            </w:r>
            <w:r w:rsidRPr="00C236C7">
              <w:t xml:space="preserve">suggests a </w:t>
            </w:r>
            <w:r w:rsidR="00BD2695">
              <w:t>DCM</w:t>
            </w:r>
            <w:r w:rsidRPr="00C236C7">
              <w:t xml:space="preserve"> </w:t>
            </w:r>
            <w:r>
              <w:t xml:space="preserve">and who have low or intermediate risk of </w:t>
            </w:r>
            <w:r w:rsidR="003B3408">
              <w:t>CAD</w:t>
            </w:r>
          </w:p>
        </w:tc>
      </w:tr>
      <w:tr w:rsidR="00117B24" w:rsidRPr="00183E4D" w14:paraId="6FAB5C4C" w14:textId="526B8ECD" w:rsidTr="00456F62">
        <w:trPr>
          <w:trHeight w:val="224"/>
        </w:trPr>
        <w:tc>
          <w:tcPr>
            <w:tcW w:w="1555" w:type="dxa"/>
            <w:shd w:val="clear" w:color="auto" w:fill="auto"/>
          </w:tcPr>
          <w:p w14:paraId="03C449D5" w14:textId="77777777" w:rsidR="00117B24" w:rsidRPr="00183E4D" w:rsidRDefault="00117B24" w:rsidP="004C79C1">
            <w:pPr>
              <w:pStyle w:val="Tabletext1"/>
              <w:spacing w:before="0" w:after="120"/>
            </w:pPr>
            <w:r w:rsidRPr="00183E4D">
              <w:t>Intervention</w:t>
            </w:r>
            <w:r>
              <w:t xml:space="preserve"> </w:t>
            </w:r>
          </w:p>
        </w:tc>
        <w:tc>
          <w:tcPr>
            <w:tcW w:w="3543" w:type="dxa"/>
            <w:tcBorders>
              <w:right w:val="nil"/>
            </w:tcBorders>
            <w:shd w:val="clear" w:color="auto" w:fill="auto"/>
          </w:tcPr>
          <w:p w14:paraId="1C5122A9" w14:textId="5C130AC9" w:rsidR="00117B24" w:rsidRPr="00183E4D" w:rsidRDefault="0054157F" w:rsidP="004C79C1">
            <w:pPr>
              <w:pStyle w:val="Tabletext1"/>
              <w:spacing w:before="0" w:after="120"/>
            </w:pPr>
            <w:r>
              <w:rPr>
                <w:rFonts w:cs="Arial Narrow"/>
                <w:bCs/>
              </w:rPr>
              <w:t>CMR</w:t>
            </w:r>
          </w:p>
        </w:tc>
        <w:tc>
          <w:tcPr>
            <w:tcW w:w="3918" w:type="dxa"/>
            <w:tcBorders>
              <w:left w:val="nil"/>
            </w:tcBorders>
            <w:shd w:val="clear" w:color="auto" w:fill="auto"/>
          </w:tcPr>
          <w:p w14:paraId="03523235" w14:textId="26DC4F01" w:rsidR="00117B24" w:rsidRPr="00183E4D" w:rsidRDefault="0054157F" w:rsidP="004C79C1">
            <w:pPr>
              <w:pStyle w:val="Tabletext1"/>
              <w:spacing w:before="0" w:after="120"/>
            </w:pPr>
            <w:r>
              <w:t>CMR</w:t>
            </w:r>
          </w:p>
        </w:tc>
      </w:tr>
      <w:tr w:rsidR="00117B24" w:rsidRPr="00183E4D" w14:paraId="6AD51B75" w14:textId="19C1EDD8" w:rsidTr="00456F62">
        <w:trPr>
          <w:trHeight w:val="612"/>
        </w:trPr>
        <w:tc>
          <w:tcPr>
            <w:tcW w:w="1555" w:type="dxa"/>
            <w:shd w:val="clear" w:color="auto" w:fill="auto"/>
          </w:tcPr>
          <w:p w14:paraId="1C00C493" w14:textId="0EB4C6C5" w:rsidR="00117B24" w:rsidRPr="00183E4D" w:rsidRDefault="00117B24" w:rsidP="004C79C1">
            <w:pPr>
              <w:pStyle w:val="Tabletext1"/>
              <w:spacing w:before="0" w:after="120"/>
            </w:pPr>
            <w:r w:rsidRPr="00183E4D">
              <w:t>Compara</w:t>
            </w:r>
            <w:r w:rsidRPr="00E436AA">
              <w:t>tors</w:t>
            </w:r>
          </w:p>
        </w:tc>
        <w:tc>
          <w:tcPr>
            <w:tcW w:w="3543" w:type="dxa"/>
            <w:tcBorders>
              <w:right w:val="nil"/>
            </w:tcBorders>
            <w:shd w:val="clear" w:color="auto" w:fill="auto"/>
          </w:tcPr>
          <w:p w14:paraId="55145B89" w14:textId="64EC5941" w:rsidR="00117B24" w:rsidRPr="00D76006" w:rsidRDefault="00E81332" w:rsidP="004C79C1">
            <w:pPr>
              <w:pStyle w:val="Tabletext1"/>
              <w:numPr>
                <w:ilvl w:val="0"/>
                <w:numId w:val="29"/>
              </w:numPr>
              <w:spacing w:before="0" w:after="120"/>
              <w:ind w:left="459" w:hanging="284"/>
              <w:rPr>
                <w:rFonts w:cs="Arial Narrow"/>
                <w:bCs/>
              </w:rPr>
            </w:pPr>
            <w:r>
              <w:rPr>
                <w:rFonts w:cs="Arial Narrow"/>
                <w:bCs/>
              </w:rPr>
              <w:t>c</w:t>
            </w:r>
            <w:r w:rsidR="00117B24" w:rsidRPr="00D76006">
              <w:rPr>
                <w:rFonts w:cs="Arial Narrow"/>
                <w:bCs/>
              </w:rPr>
              <w:t>ontrast Echo</w:t>
            </w:r>
          </w:p>
          <w:p w14:paraId="6CF113D1" w14:textId="06BFA148" w:rsidR="00117B24" w:rsidRPr="00850848" w:rsidRDefault="00117B24" w:rsidP="004C79C1">
            <w:pPr>
              <w:pStyle w:val="Tabletext1"/>
              <w:numPr>
                <w:ilvl w:val="0"/>
                <w:numId w:val="29"/>
              </w:numPr>
              <w:spacing w:before="0" w:after="120"/>
              <w:ind w:left="459" w:hanging="284"/>
            </w:pPr>
            <w:r w:rsidRPr="00D76006">
              <w:rPr>
                <w:rFonts w:cs="Arial Narrow"/>
                <w:bCs/>
              </w:rPr>
              <w:t>G</w:t>
            </w:r>
            <w:r w:rsidR="003B3408">
              <w:rPr>
                <w:rFonts w:cs="Arial Narrow"/>
                <w:bCs/>
              </w:rPr>
              <w:t>HPS</w:t>
            </w:r>
          </w:p>
          <w:p w14:paraId="51ACCF73" w14:textId="77777777" w:rsidR="00850848" w:rsidRPr="00850848" w:rsidRDefault="00850848" w:rsidP="004C79C1">
            <w:pPr>
              <w:pStyle w:val="Tabletext1"/>
              <w:numPr>
                <w:ilvl w:val="0"/>
                <w:numId w:val="29"/>
              </w:numPr>
              <w:spacing w:before="0" w:after="120"/>
              <w:ind w:left="459" w:hanging="284"/>
            </w:pPr>
            <w:r>
              <w:rPr>
                <w:rFonts w:cs="Arial Narrow"/>
                <w:bCs/>
              </w:rPr>
              <w:t>CTCA</w:t>
            </w:r>
          </w:p>
          <w:p w14:paraId="10EB7B82" w14:textId="77777777" w:rsidR="00850848" w:rsidRPr="00850848" w:rsidRDefault="00850848" w:rsidP="004C79C1">
            <w:pPr>
              <w:pStyle w:val="Tabletext1"/>
              <w:numPr>
                <w:ilvl w:val="0"/>
                <w:numId w:val="29"/>
              </w:numPr>
              <w:spacing w:before="0" w:after="120"/>
              <w:ind w:left="459" w:hanging="284"/>
            </w:pPr>
            <w:r>
              <w:rPr>
                <w:rFonts w:cs="Arial Narrow"/>
                <w:bCs/>
              </w:rPr>
              <w:t>SPECT</w:t>
            </w:r>
          </w:p>
          <w:p w14:paraId="242596A7" w14:textId="77777777" w:rsidR="00850848" w:rsidRPr="00850848" w:rsidRDefault="00850848" w:rsidP="004C79C1">
            <w:pPr>
              <w:pStyle w:val="Tabletext1"/>
              <w:numPr>
                <w:ilvl w:val="0"/>
                <w:numId w:val="29"/>
              </w:numPr>
              <w:spacing w:before="0" w:after="120"/>
              <w:ind w:left="459" w:hanging="284"/>
            </w:pPr>
            <w:r>
              <w:rPr>
                <w:rFonts w:cs="Arial Narrow"/>
                <w:bCs/>
              </w:rPr>
              <w:t>Stress Echo</w:t>
            </w:r>
          </w:p>
          <w:p w14:paraId="648203B5" w14:textId="1D6CEC10" w:rsidR="00850848" w:rsidRPr="00183E4D" w:rsidRDefault="00850848" w:rsidP="004C79C1">
            <w:pPr>
              <w:pStyle w:val="Tabletext1"/>
              <w:numPr>
                <w:ilvl w:val="0"/>
                <w:numId w:val="29"/>
              </w:numPr>
              <w:spacing w:before="0" w:after="120"/>
              <w:ind w:left="459" w:hanging="284"/>
            </w:pPr>
            <w:r>
              <w:rPr>
                <w:rFonts w:cs="Arial Narrow"/>
                <w:bCs/>
              </w:rPr>
              <w:t>ICA</w:t>
            </w:r>
          </w:p>
        </w:tc>
        <w:tc>
          <w:tcPr>
            <w:tcW w:w="3918" w:type="dxa"/>
            <w:tcBorders>
              <w:left w:val="nil"/>
            </w:tcBorders>
            <w:shd w:val="clear" w:color="auto" w:fill="auto"/>
          </w:tcPr>
          <w:p w14:paraId="1B870426" w14:textId="7F4ABD91" w:rsidR="00117B24" w:rsidRPr="005C35D7" w:rsidRDefault="00117B24" w:rsidP="004C79C1">
            <w:pPr>
              <w:pStyle w:val="Tabletext1"/>
              <w:numPr>
                <w:ilvl w:val="0"/>
                <w:numId w:val="29"/>
              </w:numPr>
              <w:spacing w:before="0" w:after="120"/>
              <w:ind w:left="459" w:hanging="284"/>
              <w:rPr>
                <w:rFonts w:cs="Arial Narrow"/>
                <w:bCs/>
              </w:rPr>
            </w:pPr>
            <w:r w:rsidRPr="005C35D7">
              <w:rPr>
                <w:rFonts w:cs="Arial Narrow"/>
                <w:bCs/>
              </w:rPr>
              <w:t xml:space="preserve">CTCA </w:t>
            </w:r>
          </w:p>
          <w:p w14:paraId="06B5D1CA" w14:textId="77777777" w:rsidR="00117B24" w:rsidRDefault="00117B24" w:rsidP="004C79C1">
            <w:pPr>
              <w:pStyle w:val="Tabletext1"/>
              <w:numPr>
                <w:ilvl w:val="0"/>
                <w:numId w:val="29"/>
              </w:numPr>
              <w:spacing w:before="0" w:after="120"/>
              <w:ind w:left="459" w:hanging="284"/>
              <w:rPr>
                <w:rFonts w:cs="Arial Narrow"/>
                <w:bCs/>
              </w:rPr>
            </w:pPr>
            <w:r w:rsidRPr="005C35D7">
              <w:rPr>
                <w:rFonts w:cs="Arial Narrow"/>
                <w:bCs/>
              </w:rPr>
              <w:t xml:space="preserve">SPECT </w:t>
            </w:r>
          </w:p>
          <w:p w14:paraId="76A8E745" w14:textId="77777777" w:rsidR="00850848" w:rsidRDefault="00850848" w:rsidP="004C79C1">
            <w:pPr>
              <w:pStyle w:val="Tabletext1"/>
              <w:numPr>
                <w:ilvl w:val="0"/>
                <w:numId w:val="29"/>
              </w:numPr>
              <w:spacing w:before="0" w:after="120"/>
              <w:ind w:left="459" w:hanging="284"/>
              <w:rPr>
                <w:rFonts w:cs="Arial Narrow"/>
                <w:bCs/>
              </w:rPr>
            </w:pPr>
            <w:r>
              <w:rPr>
                <w:rFonts w:cs="Arial Narrow"/>
                <w:bCs/>
              </w:rPr>
              <w:t>Stress Echo</w:t>
            </w:r>
          </w:p>
          <w:p w14:paraId="1E1A25D6" w14:textId="2D0F75C1" w:rsidR="00850848" w:rsidRDefault="00850848" w:rsidP="004C79C1">
            <w:pPr>
              <w:pStyle w:val="Tabletext1"/>
              <w:numPr>
                <w:ilvl w:val="0"/>
                <w:numId w:val="29"/>
              </w:numPr>
              <w:spacing w:before="0" w:after="120"/>
              <w:ind w:left="459" w:hanging="284"/>
              <w:rPr>
                <w:rFonts w:cs="Arial Narrow"/>
                <w:bCs/>
              </w:rPr>
            </w:pPr>
            <w:r>
              <w:rPr>
                <w:rFonts w:cs="Arial Narrow"/>
                <w:bCs/>
              </w:rPr>
              <w:t>ICA</w:t>
            </w:r>
          </w:p>
          <w:p w14:paraId="3FCE4027" w14:textId="58DEEBBC" w:rsidR="0054157F" w:rsidRPr="00117B24" w:rsidRDefault="0054157F" w:rsidP="004C79C1">
            <w:pPr>
              <w:pStyle w:val="Tabletext1"/>
              <w:numPr>
                <w:ilvl w:val="0"/>
                <w:numId w:val="29"/>
              </w:numPr>
              <w:spacing w:before="0" w:after="120"/>
              <w:ind w:left="459" w:hanging="284"/>
              <w:rPr>
                <w:rFonts w:cs="Arial Narrow"/>
                <w:bCs/>
              </w:rPr>
            </w:pPr>
            <w:r>
              <w:rPr>
                <w:rFonts w:cs="Arial Narrow"/>
                <w:bCs/>
              </w:rPr>
              <w:t xml:space="preserve">Further tests (e.g. genetic testing, further blood tests, </w:t>
            </w:r>
            <w:r w:rsidR="003B3408">
              <w:rPr>
                <w:rFonts w:cs="Arial Narrow"/>
                <w:bCs/>
              </w:rPr>
              <w:t>EMB</w:t>
            </w:r>
            <w:r>
              <w:rPr>
                <w:rFonts w:cs="Arial Narrow"/>
                <w:bCs/>
              </w:rPr>
              <w:t>)</w:t>
            </w:r>
          </w:p>
        </w:tc>
      </w:tr>
      <w:tr w:rsidR="00117B24" w:rsidRPr="00183E4D" w14:paraId="2154275D" w14:textId="626BE584" w:rsidTr="00456F62">
        <w:trPr>
          <w:trHeight w:val="547"/>
        </w:trPr>
        <w:tc>
          <w:tcPr>
            <w:tcW w:w="1555" w:type="dxa"/>
            <w:shd w:val="clear" w:color="auto" w:fill="auto"/>
          </w:tcPr>
          <w:p w14:paraId="0C8B3624" w14:textId="6C2A47C0" w:rsidR="00117B24" w:rsidRPr="00183E4D" w:rsidRDefault="00117B24" w:rsidP="004C79C1">
            <w:pPr>
              <w:pStyle w:val="Tabletext1"/>
              <w:spacing w:before="0" w:after="120"/>
            </w:pPr>
            <w:r w:rsidRPr="00183E4D">
              <w:t>Outcomes</w:t>
            </w:r>
          </w:p>
        </w:tc>
        <w:tc>
          <w:tcPr>
            <w:tcW w:w="3543" w:type="dxa"/>
            <w:tcBorders>
              <w:right w:val="nil"/>
            </w:tcBorders>
            <w:shd w:val="clear" w:color="auto" w:fill="auto"/>
          </w:tcPr>
          <w:p w14:paraId="006CE8CF" w14:textId="3C2579D0" w:rsidR="00117B24" w:rsidRPr="00796257" w:rsidRDefault="00117B24" w:rsidP="004C79C1">
            <w:pPr>
              <w:autoSpaceDE w:val="0"/>
              <w:autoSpaceDN w:val="0"/>
              <w:adjustRightInd w:val="0"/>
              <w:spacing w:after="120" w:line="240" w:lineRule="auto"/>
              <w:rPr>
                <w:rFonts w:cs="Arial Narrow"/>
                <w:bCs/>
                <w:sz w:val="20"/>
                <w:u w:val="single"/>
              </w:rPr>
            </w:pPr>
            <w:r w:rsidRPr="00E436AA">
              <w:rPr>
                <w:rFonts w:ascii="Arial Narrow" w:hAnsi="Arial Narrow" w:cs="Arial Narrow"/>
                <w:bCs/>
                <w:sz w:val="20"/>
                <w:szCs w:val="20"/>
              </w:rPr>
              <w:t>Safety</w:t>
            </w:r>
            <w:r w:rsidR="00DF2B4D">
              <w:rPr>
                <w:rFonts w:ascii="Arial Narrow" w:hAnsi="Arial Narrow" w:cs="Arial Narrow"/>
                <w:bCs/>
                <w:sz w:val="20"/>
                <w:szCs w:val="20"/>
              </w:rPr>
              <w:t>:</w:t>
            </w:r>
          </w:p>
          <w:p w14:paraId="6D2BFC7A" w14:textId="77777777" w:rsidR="00117B24" w:rsidRPr="00796257" w:rsidRDefault="00117B24" w:rsidP="004C79C1">
            <w:pPr>
              <w:pStyle w:val="Tabletext1"/>
              <w:numPr>
                <w:ilvl w:val="0"/>
                <w:numId w:val="29"/>
              </w:numPr>
              <w:spacing w:before="0" w:after="120"/>
              <w:ind w:left="459" w:hanging="284"/>
              <w:rPr>
                <w:rFonts w:cs="Arial Narrow"/>
                <w:bCs/>
              </w:rPr>
            </w:pPr>
            <w:r w:rsidRPr="00796257">
              <w:rPr>
                <w:rFonts w:cs="Arial Narrow"/>
                <w:bCs/>
              </w:rPr>
              <w:t>Gadolinium contrast adverse reaction</w:t>
            </w:r>
          </w:p>
          <w:p w14:paraId="4B81C5C3" w14:textId="77777777" w:rsidR="00117B24" w:rsidRPr="00796257" w:rsidRDefault="00117B24" w:rsidP="004C79C1">
            <w:pPr>
              <w:pStyle w:val="Tabletext1"/>
              <w:numPr>
                <w:ilvl w:val="0"/>
                <w:numId w:val="29"/>
              </w:numPr>
              <w:spacing w:before="0" w:after="120"/>
              <w:ind w:left="459" w:hanging="284"/>
              <w:rPr>
                <w:rFonts w:cs="Arial Narrow"/>
                <w:bCs/>
              </w:rPr>
            </w:pPr>
            <w:r w:rsidRPr="00796257">
              <w:rPr>
                <w:rFonts w:cs="Arial Narrow"/>
                <w:bCs/>
              </w:rPr>
              <w:t>Claustrophobia</w:t>
            </w:r>
          </w:p>
          <w:p w14:paraId="4C8CAF5E" w14:textId="77777777" w:rsidR="00117B24" w:rsidRPr="00796257" w:rsidRDefault="00117B24" w:rsidP="004C79C1">
            <w:pPr>
              <w:pStyle w:val="Tabletext1"/>
              <w:numPr>
                <w:ilvl w:val="0"/>
                <w:numId w:val="29"/>
              </w:numPr>
              <w:spacing w:before="0" w:after="120"/>
              <w:ind w:left="459" w:hanging="284"/>
              <w:rPr>
                <w:rFonts w:cs="Arial Narrow"/>
                <w:bCs/>
              </w:rPr>
            </w:pPr>
            <w:r w:rsidRPr="00796257">
              <w:rPr>
                <w:rFonts w:cs="Arial Narrow"/>
                <w:bCs/>
              </w:rPr>
              <w:t>Physical harms from follow-up testing</w:t>
            </w:r>
          </w:p>
          <w:p w14:paraId="6054692F" w14:textId="3B400CA8" w:rsidR="00117B24" w:rsidRPr="00E436AA" w:rsidRDefault="00117B24" w:rsidP="004C79C1">
            <w:pPr>
              <w:pStyle w:val="Tabletext1"/>
              <w:numPr>
                <w:ilvl w:val="0"/>
                <w:numId w:val="29"/>
              </w:numPr>
              <w:spacing w:before="0" w:after="120"/>
              <w:ind w:left="459" w:hanging="284"/>
              <w:rPr>
                <w:rFonts w:cs="Arial Narrow"/>
                <w:bCs/>
              </w:rPr>
            </w:pPr>
            <w:r w:rsidRPr="00796257">
              <w:rPr>
                <w:rFonts w:cs="Arial Narrow"/>
                <w:bCs/>
              </w:rPr>
              <w:t xml:space="preserve">Other </w:t>
            </w:r>
            <w:r>
              <w:rPr>
                <w:rFonts w:cs="Arial Narrow"/>
                <w:bCs/>
              </w:rPr>
              <w:t>adverse events arising from CMR</w:t>
            </w:r>
            <w:r w:rsidR="00D76006">
              <w:rPr>
                <w:rFonts w:cs="Arial Narrow"/>
                <w:bCs/>
              </w:rPr>
              <w:t xml:space="preserve"> or comparative tests</w:t>
            </w:r>
          </w:p>
        </w:tc>
        <w:tc>
          <w:tcPr>
            <w:tcW w:w="3918" w:type="dxa"/>
            <w:tcBorders>
              <w:left w:val="nil"/>
            </w:tcBorders>
            <w:shd w:val="clear" w:color="auto" w:fill="auto"/>
          </w:tcPr>
          <w:p w14:paraId="21C21CE8" w14:textId="04BEEE91" w:rsidR="00D76006" w:rsidRPr="00796257" w:rsidRDefault="00D76006" w:rsidP="004C79C1">
            <w:pPr>
              <w:autoSpaceDE w:val="0"/>
              <w:autoSpaceDN w:val="0"/>
              <w:adjustRightInd w:val="0"/>
              <w:spacing w:after="120" w:line="240" w:lineRule="auto"/>
              <w:rPr>
                <w:rFonts w:cs="Arial Narrow"/>
                <w:bCs/>
                <w:sz w:val="20"/>
                <w:u w:val="single"/>
              </w:rPr>
            </w:pPr>
            <w:r w:rsidRPr="00E436AA">
              <w:rPr>
                <w:rFonts w:ascii="Arial Narrow" w:hAnsi="Arial Narrow" w:cs="Arial Narrow"/>
                <w:bCs/>
                <w:sz w:val="20"/>
                <w:szCs w:val="20"/>
              </w:rPr>
              <w:t>Safety</w:t>
            </w:r>
            <w:r w:rsidR="00DF2B4D">
              <w:rPr>
                <w:rFonts w:ascii="Arial Narrow" w:hAnsi="Arial Narrow" w:cs="Arial Narrow"/>
                <w:bCs/>
                <w:sz w:val="20"/>
                <w:szCs w:val="20"/>
              </w:rPr>
              <w:t>:</w:t>
            </w:r>
          </w:p>
          <w:p w14:paraId="2EDBA927" w14:textId="77777777" w:rsidR="00D76006" w:rsidRPr="00796257" w:rsidRDefault="00D76006" w:rsidP="004C79C1">
            <w:pPr>
              <w:pStyle w:val="Tabletext1"/>
              <w:numPr>
                <w:ilvl w:val="0"/>
                <w:numId w:val="29"/>
              </w:numPr>
              <w:spacing w:before="0" w:after="120"/>
              <w:ind w:left="459" w:hanging="284"/>
              <w:rPr>
                <w:rFonts w:cs="Arial Narrow"/>
                <w:bCs/>
              </w:rPr>
            </w:pPr>
            <w:r w:rsidRPr="00796257">
              <w:rPr>
                <w:rFonts w:cs="Arial Narrow"/>
                <w:bCs/>
              </w:rPr>
              <w:t>Gadolinium contrast adverse reaction</w:t>
            </w:r>
          </w:p>
          <w:p w14:paraId="3BF511D6" w14:textId="77777777" w:rsidR="00D76006" w:rsidRPr="00796257" w:rsidRDefault="00D76006" w:rsidP="004C79C1">
            <w:pPr>
              <w:pStyle w:val="Tabletext1"/>
              <w:numPr>
                <w:ilvl w:val="0"/>
                <w:numId w:val="29"/>
              </w:numPr>
              <w:spacing w:before="0" w:after="120"/>
              <w:ind w:left="459" w:hanging="284"/>
              <w:rPr>
                <w:rFonts w:cs="Arial Narrow"/>
                <w:bCs/>
              </w:rPr>
            </w:pPr>
            <w:r w:rsidRPr="00796257">
              <w:rPr>
                <w:rFonts w:cs="Arial Narrow"/>
                <w:bCs/>
              </w:rPr>
              <w:t>Claustrophobia</w:t>
            </w:r>
          </w:p>
          <w:p w14:paraId="43BA2252" w14:textId="77777777" w:rsidR="00D76006" w:rsidRPr="00796257" w:rsidRDefault="00D76006" w:rsidP="004C79C1">
            <w:pPr>
              <w:pStyle w:val="Tabletext1"/>
              <w:numPr>
                <w:ilvl w:val="0"/>
                <w:numId w:val="29"/>
              </w:numPr>
              <w:spacing w:before="0" w:after="120"/>
              <w:ind w:left="459" w:hanging="284"/>
              <w:rPr>
                <w:rFonts w:cs="Arial Narrow"/>
                <w:bCs/>
              </w:rPr>
            </w:pPr>
            <w:r w:rsidRPr="00796257">
              <w:rPr>
                <w:rFonts w:cs="Arial Narrow"/>
                <w:bCs/>
              </w:rPr>
              <w:t>Physical harms from follow-up testing</w:t>
            </w:r>
          </w:p>
          <w:p w14:paraId="6050ECDE" w14:textId="54457D85" w:rsidR="00117B24" w:rsidRPr="00D76006" w:rsidRDefault="00D76006" w:rsidP="004C79C1">
            <w:pPr>
              <w:pStyle w:val="Tabletext1"/>
              <w:numPr>
                <w:ilvl w:val="0"/>
                <w:numId w:val="29"/>
              </w:numPr>
              <w:spacing w:before="0" w:after="120"/>
              <w:ind w:left="459" w:hanging="284"/>
              <w:rPr>
                <w:rFonts w:cs="Arial Narrow"/>
                <w:bCs/>
              </w:rPr>
            </w:pPr>
            <w:r w:rsidRPr="00796257">
              <w:rPr>
                <w:rFonts w:cs="Arial Narrow"/>
                <w:bCs/>
              </w:rPr>
              <w:t xml:space="preserve">Other </w:t>
            </w:r>
            <w:r>
              <w:rPr>
                <w:rFonts w:cs="Arial Narrow"/>
                <w:bCs/>
              </w:rPr>
              <w:t>adverse events arising from CMR or comparative tests</w:t>
            </w:r>
          </w:p>
        </w:tc>
      </w:tr>
      <w:tr w:rsidR="00117B24" w:rsidRPr="00183E4D" w14:paraId="58955CDB" w14:textId="56A8C3D2" w:rsidTr="00456F62">
        <w:trPr>
          <w:trHeight w:val="274"/>
        </w:trPr>
        <w:tc>
          <w:tcPr>
            <w:tcW w:w="1555" w:type="dxa"/>
            <w:tcBorders>
              <w:top w:val="single" w:sz="4" w:space="0" w:color="auto"/>
              <w:bottom w:val="single" w:sz="4" w:space="0" w:color="auto"/>
            </w:tcBorders>
            <w:shd w:val="clear" w:color="auto" w:fill="auto"/>
          </w:tcPr>
          <w:p w14:paraId="3476D4DB" w14:textId="77777777" w:rsidR="00117B24" w:rsidRPr="00183E4D" w:rsidRDefault="00117B24" w:rsidP="004C79C1">
            <w:pPr>
              <w:pStyle w:val="Tabletext1"/>
              <w:spacing w:before="0" w:after="120"/>
              <w:rPr>
                <w:b/>
              </w:rPr>
            </w:pPr>
            <w:r w:rsidRPr="00183E4D">
              <w:rPr>
                <w:b/>
              </w:rPr>
              <w:t>Systematic review question</w:t>
            </w:r>
          </w:p>
        </w:tc>
        <w:tc>
          <w:tcPr>
            <w:tcW w:w="3543" w:type="dxa"/>
            <w:tcBorders>
              <w:top w:val="single" w:sz="4" w:space="0" w:color="auto"/>
              <w:bottom w:val="single" w:sz="4" w:space="0" w:color="auto"/>
              <w:right w:val="nil"/>
            </w:tcBorders>
            <w:shd w:val="clear" w:color="auto" w:fill="auto"/>
          </w:tcPr>
          <w:p w14:paraId="4DD0A6A1" w14:textId="16D26F77" w:rsidR="00117B24" w:rsidRPr="00183E4D" w:rsidRDefault="00117B24" w:rsidP="004C79C1">
            <w:pPr>
              <w:pStyle w:val="Tabletext1"/>
              <w:spacing w:before="0" w:after="120"/>
              <w:rPr>
                <w:rFonts w:cs="Arial"/>
              </w:rPr>
            </w:pPr>
            <w:r w:rsidRPr="00E436AA">
              <w:t xml:space="preserve">What is </w:t>
            </w:r>
            <w:r>
              <w:t>the</w:t>
            </w:r>
            <w:r w:rsidRPr="00E436AA">
              <w:t xml:space="preserve"> </w:t>
            </w:r>
            <w:r>
              <w:t>safety</w:t>
            </w:r>
            <w:r w:rsidRPr="00E436AA">
              <w:t xml:space="preserve"> of CMR compared </w:t>
            </w:r>
            <w:r w:rsidR="004D5182">
              <w:t>with</w:t>
            </w:r>
            <w:r w:rsidR="004D5182" w:rsidRPr="00E436AA">
              <w:t xml:space="preserve"> </w:t>
            </w:r>
            <w:r w:rsidR="00D76006">
              <w:t>cEcho</w:t>
            </w:r>
            <w:r w:rsidR="008B48E9">
              <w:t xml:space="preserve">, CTCA, SPECT, </w:t>
            </w:r>
            <w:proofErr w:type="gramStart"/>
            <w:r w:rsidR="008B48E9">
              <w:t>stress</w:t>
            </w:r>
            <w:proofErr w:type="gramEnd"/>
            <w:r w:rsidR="008B48E9">
              <w:t xml:space="preserve"> Echo, ICA</w:t>
            </w:r>
            <w:r w:rsidR="00D76006">
              <w:t xml:space="preserve"> and </w:t>
            </w:r>
            <w:r w:rsidR="004D5182">
              <w:t>GHPS</w:t>
            </w:r>
            <w:r w:rsidRPr="00E436AA">
              <w:t xml:space="preserve"> in patients with </w:t>
            </w:r>
            <w:r w:rsidR="00C075A1">
              <w:t>HF</w:t>
            </w:r>
            <w:r w:rsidRPr="00E436AA">
              <w:t xml:space="preserve"> symptoms in whom </w:t>
            </w:r>
            <w:r w:rsidR="00D76006">
              <w:t>Echo</w:t>
            </w:r>
            <w:r w:rsidRPr="00E436AA">
              <w:t xml:space="preserve"> is inconclusive?</w:t>
            </w:r>
          </w:p>
        </w:tc>
        <w:tc>
          <w:tcPr>
            <w:tcW w:w="3918" w:type="dxa"/>
            <w:tcBorders>
              <w:top w:val="single" w:sz="4" w:space="0" w:color="auto"/>
              <w:left w:val="nil"/>
              <w:bottom w:val="single" w:sz="4" w:space="0" w:color="auto"/>
            </w:tcBorders>
            <w:shd w:val="clear" w:color="auto" w:fill="auto"/>
          </w:tcPr>
          <w:p w14:paraId="236D2E4D" w14:textId="3E19C009" w:rsidR="00117B24" w:rsidRPr="00183E4D" w:rsidRDefault="00D76006" w:rsidP="004C79C1">
            <w:pPr>
              <w:pStyle w:val="Tabletext1"/>
              <w:spacing w:before="0" w:after="120"/>
              <w:rPr>
                <w:rFonts w:cs="Arial"/>
              </w:rPr>
            </w:pPr>
            <w:r w:rsidRPr="00E436AA">
              <w:t xml:space="preserve">What is </w:t>
            </w:r>
            <w:r>
              <w:t>the</w:t>
            </w:r>
            <w:r w:rsidRPr="00E436AA">
              <w:t xml:space="preserve"> </w:t>
            </w:r>
            <w:r>
              <w:t>safety</w:t>
            </w:r>
            <w:r w:rsidRPr="00E436AA">
              <w:t xml:space="preserve"> of CMR compared </w:t>
            </w:r>
            <w:r w:rsidR="004D5182">
              <w:t xml:space="preserve">with </w:t>
            </w:r>
            <w:r>
              <w:t>SPECT</w:t>
            </w:r>
            <w:r w:rsidR="0054157F">
              <w:t xml:space="preserve">, </w:t>
            </w:r>
            <w:r w:rsidRPr="00E436AA">
              <w:t>CTCA</w:t>
            </w:r>
            <w:r w:rsidR="008B48E9">
              <w:t>, stress Echo, ICA</w:t>
            </w:r>
            <w:r w:rsidRPr="00E436AA">
              <w:t xml:space="preserve"> </w:t>
            </w:r>
            <w:r w:rsidR="0054157F">
              <w:t xml:space="preserve">and further testing </w:t>
            </w:r>
            <w:r w:rsidRPr="00E436AA">
              <w:t xml:space="preserve">in patients with </w:t>
            </w:r>
            <w:r w:rsidR="00C075A1">
              <w:t xml:space="preserve">HF </w:t>
            </w:r>
            <w:r w:rsidRPr="00E436AA">
              <w:t xml:space="preserve">symptoms in whom </w:t>
            </w:r>
            <w:r>
              <w:t xml:space="preserve">Echo </w:t>
            </w:r>
            <w:r w:rsidRPr="00E436AA">
              <w:t>suggests a DCM</w:t>
            </w:r>
            <w:r>
              <w:t xml:space="preserve">, and who have a low or intermediate risk of </w:t>
            </w:r>
            <w:r w:rsidR="00C075A1">
              <w:t>CAD</w:t>
            </w:r>
            <w:r w:rsidRPr="00E436AA">
              <w:t>?</w:t>
            </w:r>
          </w:p>
        </w:tc>
      </w:tr>
    </w:tbl>
    <w:p w14:paraId="75182CC0" w14:textId="210A7623" w:rsidR="004F36F1" w:rsidRPr="0007245A" w:rsidRDefault="0091011A" w:rsidP="004C79C1">
      <w:pPr>
        <w:autoSpaceDE w:val="0"/>
        <w:autoSpaceDN w:val="0"/>
        <w:adjustRightInd w:val="0"/>
        <w:spacing w:after="120" w:line="240" w:lineRule="auto"/>
        <w:jc w:val="both"/>
        <w:rPr>
          <w:rFonts w:ascii="Arial Narrow" w:hAnsi="Arial Narrow"/>
          <w:sz w:val="20"/>
          <w:szCs w:val="20"/>
        </w:rPr>
      </w:pPr>
      <w:r w:rsidRPr="0007245A">
        <w:rPr>
          <w:rFonts w:ascii="Arial Narrow" w:hAnsi="Arial Narrow"/>
          <w:sz w:val="20"/>
          <w:szCs w:val="20"/>
        </w:rPr>
        <w:t xml:space="preserve">CAD = coronary artery disease; </w:t>
      </w:r>
      <w:r w:rsidR="00475940" w:rsidRPr="0007245A">
        <w:rPr>
          <w:rFonts w:ascii="Arial Narrow" w:hAnsi="Arial Narrow"/>
          <w:sz w:val="20"/>
          <w:szCs w:val="20"/>
        </w:rPr>
        <w:t>CMR</w:t>
      </w:r>
      <w:r w:rsidR="00B65F62" w:rsidRPr="0007245A">
        <w:rPr>
          <w:rFonts w:ascii="Arial Narrow" w:hAnsi="Arial Narrow"/>
          <w:sz w:val="20"/>
          <w:szCs w:val="20"/>
        </w:rPr>
        <w:t xml:space="preserve"> =</w:t>
      </w:r>
      <w:r w:rsidR="00475940" w:rsidRPr="0007245A">
        <w:rPr>
          <w:rFonts w:ascii="Arial Narrow" w:hAnsi="Arial Narrow"/>
          <w:sz w:val="20"/>
          <w:szCs w:val="20"/>
        </w:rPr>
        <w:t xml:space="preserve"> cardiac</w:t>
      </w:r>
      <w:r w:rsidR="00B65F62" w:rsidRPr="0007245A">
        <w:rPr>
          <w:rFonts w:ascii="Arial Narrow" w:hAnsi="Arial Narrow"/>
          <w:sz w:val="20"/>
          <w:szCs w:val="20"/>
        </w:rPr>
        <w:t xml:space="preserve"> magnetic resonance </w:t>
      </w:r>
      <w:r w:rsidR="000728E6">
        <w:rPr>
          <w:rFonts w:ascii="Arial Narrow" w:hAnsi="Arial Narrow"/>
          <w:sz w:val="20"/>
          <w:szCs w:val="20"/>
        </w:rPr>
        <w:t>(</w:t>
      </w:r>
      <w:r w:rsidR="00B65F62" w:rsidRPr="0007245A">
        <w:rPr>
          <w:rFonts w:ascii="Arial Narrow" w:hAnsi="Arial Narrow"/>
          <w:sz w:val="20"/>
          <w:szCs w:val="20"/>
        </w:rPr>
        <w:t>imaging</w:t>
      </w:r>
      <w:r w:rsidR="000728E6">
        <w:rPr>
          <w:rFonts w:ascii="Arial Narrow" w:hAnsi="Arial Narrow"/>
          <w:sz w:val="20"/>
          <w:szCs w:val="20"/>
        </w:rPr>
        <w:t>)</w:t>
      </w:r>
      <w:r w:rsidR="00B65F62" w:rsidRPr="0007245A">
        <w:rPr>
          <w:rFonts w:ascii="Arial Narrow" w:hAnsi="Arial Narrow"/>
          <w:sz w:val="20"/>
          <w:szCs w:val="20"/>
        </w:rPr>
        <w:t xml:space="preserve">; CTCA = computed tomography coronary angiography; </w:t>
      </w:r>
      <w:r w:rsidR="004D5182" w:rsidRPr="0007245A">
        <w:rPr>
          <w:rFonts w:ascii="Arial Narrow" w:hAnsi="Arial Narrow"/>
          <w:sz w:val="20"/>
          <w:szCs w:val="20"/>
        </w:rPr>
        <w:t xml:space="preserve">DCM = </w:t>
      </w:r>
      <w:r w:rsidR="004D5182" w:rsidRPr="00B45121">
        <w:rPr>
          <w:rFonts w:ascii="Arial Narrow" w:hAnsi="Arial Narrow"/>
          <w:sz w:val="20"/>
          <w:szCs w:val="20"/>
        </w:rPr>
        <w:t>dilated cardiomyopathy</w:t>
      </w:r>
      <w:r w:rsidRPr="00B45121">
        <w:rPr>
          <w:rFonts w:ascii="Arial Narrow" w:hAnsi="Arial Narrow"/>
          <w:sz w:val="20"/>
          <w:szCs w:val="20"/>
        </w:rPr>
        <w:t xml:space="preserve">; </w:t>
      </w:r>
      <w:r w:rsidR="008577A7" w:rsidRPr="0007245A">
        <w:rPr>
          <w:rFonts w:ascii="Arial Narrow" w:hAnsi="Arial Narrow"/>
          <w:sz w:val="20"/>
          <w:szCs w:val="20"/>
        </w:rPr>
        <w:t xml:space="preserve">Echo = echocardiography; </w:t>
      </w:r>
      <w:r w:rsidR="00686FAF" w:rsidRPr="00DF2B4D">
        <w:rPr>
          <w:rFonts w:ascii="Arial Narrow" w:hAnsi="Arial Narrow"/>
          <w:sz w:val="20"/>
          <w:szCs w:val="20"/>
        </w:rPr>
        <w:t xml:space="preserve">EMB = </w:t>
      </w:r>
      <w:r w:rsidR="00DF2B4D" w:rsidRPr="00B45121">
        <w:rPr>
          <w:rFonts w:ascii="Arial Narrow" w:hAnsi="Arial Narrow"/>
          <w:sz w:val="20"/>
          <w:szCs w:val="20"/>
        </w:rPr>
        <w:t>endomyocardial biopsy</w:t>
      </w:r>
      <w:r w:rsidR="00DF2B4D" w:rsidRPr="00DF2B4D">
        <w:rPr>
          <w:rFonts w:ascii="Arial Narrow" w:hAnsi="Arial Narrow"/>
          <w:sz w:val="20"/>
          <w:szCs w:val="20"/>
        </w:rPr>
        <w:t xml:space="preserve">; </w:t>
      </w:r>
      <w:r w:rsidRPr="00B45121">
        <w:rPr>
          <w:rFonts w:ascii="Arial Narrow" w:hAnsi="Arial Narrow"/>
          <w:sz w:val="20"/>
          <w:szCs w:val="20"/>
        </w:rPr>
        <w:t>GHPS = gated heart pool scan;</w:t>
      </w:r>
      <w:r w:rsidR="004D5182" w:rsidRPr="0007245A">
        <w:rPr>
          <w:rFonts w:ascii="Arial Narrow" w:hAnsi="Arial Narrow"/>
          <w:sz w:val="20"/>
          <w:szCs w:val="20"/>
        </w:rPr>
        <w:t xml:space="preserve"> </w:t>
      </w:r>
      <w:r w:rsidR="009735C6">
        <w:rPr>
          <w:rFonts w:ascii="Arial Narrow" w:hAnsi="Arial Narrow"/>
          <w:sz w:val="20"/>
          <w:szCs w:val="20"/>
        </w:rPr>
        <w:t xml:space="preserve">HF = heart failure; </w:t>
      </w:r>
      <w:r w:rsidRPr="0007245A">
        <w:rPr>
          <w:rFonts w:ascii="Arial Narrow" w:hAnsi="Arial Narrow"/>
          <w:sz w:val="20"/>
          <w:szCs w:val="20"/>
        </w:rPr>
        <w:t xml:space="preserve">ICA = </w:t>
      </w:r>
      <w:r w:rsidRPr="00B45121">
        <w:rPr>
          <w:rFonts w:ascii="Arial Narrow" w:hAnsi="Arial Narrow"/>
          <w:sz w:val="20"/>
          <w:szCs w:val="20"/>
        </w:rPr>
        <w:t>invasive coronary angiography;</w:t>
      </w:r>
      <w:r w:rsidRPr="0007245A">
        <w:rPr>
          <w:rFonts w:ascii="Arial Narrow" w:hAnsi="Arial Narrow"/>
          <w:sz w:val="20"/>
          <w:szCs w:val="20"/>
        </w:rPr>
        <w:t xml:space="preserve"> </w:t>
      </w:r>
      <w:r w:rsidR="00B65F62" w:rsidRPr="0007245A">
        <w:rPr>
          <w:rFonts w:ascii="Arial Narrow" w:hAnsi="Arial Narrow"/>
          <w:sz w:val="20"/>
          <w:szCs w:val="20"/>
        </w:rPr>
        <w:t>SPECT = single</w:t>
      </w:r>
      <w:r w:rsidR="007F1E74">
        <w:rPr>
          <w:rFonts w:ascii="Arial Narrow" w:hAnsi="Arial Narrow"/>
          <w:sz w:val="20"/>
          <w:szCs w:val="20"/>
        </w:rPr>
        <w:t>-</w:t>
      </w:r>
      <w:r w:rsidR="00B65F62" w:rsidRPr="0007245A">
        <w:rPr>
          <w:rFonts w:ascii="Arial Narrow" w:hAnsi="Arial Narrow"/>
          <w:sz w:val="20"/>
          <w:szCs w:val="20"/>
        </w:rPr>
        <w:t xml:space="preserve">photon emission computed tomography </w:t>
      </w:r>
    </w:p>
    <w:p w14:paraId="46831CE0" w14:textId="1C2493B1" w:rsidR="00716EBD" w:rsidRPr="00183E4D" w:rsidRDefault="00255B28" w:rsidP="004C79C1">
      <w:pPr>
        <w:pStyle w:val="Caption"/>
      </w:pPr>
      <w:bookmarkStart w:id="177" w:name="_Ref395200521"/>
      <w:bookmarkStart w:id="178" w:name="_Toc448827354"/>
      <w:bookmarkStart w:id="179" w:name="_Toc324410119"/>
      <w:bookmarkStart w:id="180" w:name="_Toc393378292"/>
      <w:r>
        <w:t xml:space="preserve">Box </w:t>
      </w:r>
      <w:fldSimple w:instr=" SEQ Box \* ARABIC ">
        <w:r w:rsidR="00460601">
          <w:rPr>
            <w:noProof/>
          </w:rPr>
          <w:t>2</w:t>
        </w:r>
      </w:fldSimple>
      <w:bookmarkEnd w:id="177"/>
      <w:r w:rsidR="00BB381C" w:rsidRPr="00183E4D">
        <w:rPr>
          <w:szCs w:val="20"/>
        </w:rPr>
        <w:tab/>
      </w:r>
      <w:r w:rsidR="00716EBD" w:rsidRPr="00183E4D">
        <w:t xml:space="preserve">Criteria for identifying and selecting studies to determine the </w:t>
      </w:r>
      <w:r w:rsidR="003D543E">
        <w:t xml:space="preserve">direct </w:t>
      </w:r>
      <w:r w:rsidR="00E16BE4">
        <w:t>effectiveness</w:t>
      </w:r>
      <w:r w:rsidR="00E436AA">
        <w:t xml:space="preserve"> of CMR</w:t>
      </w:r>
      <w:r w:rsidR="00716EBD" w:rsidRPr="00183E4D">
        <w:t xml:space="preserve"> in patients with </w:t>
      </w:r>
      <w:r w:rsidR="00E436AA" w:rsidRPr="00E436AA">
        <w:t>suspected DCM</w:t>
      </w:r>
      <w:bookmarkEnd w:id="178"/>
      <w:bookmarkEnd w:id="17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a description of the criteria used to select studies to assess the effectiveness of the technology."/>
      </w:tblPr>
      <w:tblGrid>
        <w:gridCol w:w="1948"/>
        <w:gridCol w:w="3675"/>
        <w:gridCol w:w="3393"/>
      </w:tblGrid>
      <w:tr w:rsidR="002E1828" w:rsidRPr="00183E4D" w14:paraId="605152F9" w14:textId="4BD221C9" w:rsidTr="00456F62">
        <w:trPr>
          <w:trHeight w:val="263"/>
        </w:trPr>
        <w:tc>
          <w:tcPr>
            <w:tcW w:w="1948" w:type="dxa"/>
            <w:shd w:val="clear" w:color="auto" w:fill="auto"/>
          </w:tcPr>
          <w:bookmarkEnd w:id="180"/>
          <w:p w14:paraId="2EF78A41" w14:textId="77777777" w:rsidR="002E1828" w:rsidRPr="00183E4D" w:rsidRDefault="002E1828" w:rsidP="004C79C1">
            <w:pPr>
              <w:pStyle w:val="Tabletext1"/>
              <w:spacing w:before="0" w:after="120"/>
              <w:rPr>
                <w:b/>
              </w:rPr>
            </w:pPr>
            <w:r w:rsidRPr="00183E4D">
              <w:rPr>
                <w:b/>
              </w:rPr>
              <w:t>Selection criteria</w:t>
            </w:r>
          </w:p>
        </w:tc>
        <w:tc>
          <w:tcPr>
            <w:tcW w:w="3675" w:type="dxa"/>
            <w:tcBorders>
              <w:right w:val="nil"/>
            </w:tcBorders>
            <w:shd w:val="clear" w:color="auto" w:fill="auto"/>
          </w:tcPr>
          <w:p w14:paraId="697FA106" w14:textId="4AD90B5D" w:rsidR="002E1828" w:rsidRPr="00183E4D" w:rsidRDefault="002E1828"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w:t>
            </w:r>
            <w:r w:rsidR="00425CB7">
              <w:rPr>
                <w:rFonts w:cs="Arial"/>
                <w:b/>
              </w:rPr>
              <w:t>)</w:t>
            </w:r>
          </w:p>
        </w:tc>
        <w:tc>
          <w:tcPr>
            <w:tcW w:w="3393" w:type="dxa"/>
            <w:tcBorders>
              <w:left w:val="nil"/>
            </w:tcBorders>
            <w:shd w:val="clear" w:color="auto" w:fill="auto"/>
          </w:tcPr>
          <w:p w14:paraId="57670A63" w14:textId="60E357C7" w:rsidR="002E1828" w:rsidRPr="00183E4D" w:rsidRDefault="00456F62"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ii</w:t>
            </w:r>
            <w:r w:rsidR="00425CB7">
              <w:rPr>
                <w:rFonts w:cs="Arial"/>
                <w:b/>
              </w:rPr>
              <w:t>)</w:t>
            </w:r>
          </w:p>
        </w:tc>
      </w:tr>
      <w:tr w:rsidR="002E1828" w:rsidRPr="00183E4D" w14:paraId="7CE6201B" w14:textId="7CF99041" w:rsidTr="00456F62">
        <w:tc>
          <w:tcPr>
            <w:tcW w:w="1948" w:type="dxa"/>
            <w:shd w:val="clear" w:color="auto" w:fill="auto"/>
          </w:tcPr>
          <w:p w14:paraId="2AE8F499" w14:textId="77777777" w:rsidR="002E1828" w:rsidRPr="00183E4D" w:rsidRDefault="002E1828" w:rsidP="004C79C1">
            <w:pPr>
              <w:pStyle w:val="Tabletext1"/>
              <w:spacing w:before="0" w:after="120"/>
            </w:pPr>
            <w:r w:rsidRPr="00183E4D">
              <w:t>Population</w:t>
            </w:r>
          </w:p>
        </w:tc>
        <w:tc>
          <w:tcPr>
            <w:tcW w:w="3675" w:type="dxa"/>
            <w:tcBorders>
              <w:right w:val="nil"/>
            </w:tcBorders>
            <w:shd w:val="clear" w:color="auto" w:fill="auto"/>
          </w:tcPr>
          <w:p w14:paraId="45FC58C4" w14:textId="4A977648" w:rsidR="002E1828" w:rsidRPr="00183E4D" w:rsidRDefault="002E1828" w:rsidP="004C79C1">
            <w:pPr>
              <w:pStyle w:val="Tabletext1"/>
              <w:spacing w:before="0" w:after="120"/>
              <w:rPr>
                <w:rFonts w:cs="Arial"/>
              </w:rPr>
            </w:pPr>
            <w:r w:rsidRPr="00C236C7">
              <w:t xml:space="preserve">Patients presenting with </w:t>
            </w:r>
            <w:r w:rsidR="00DD632A">
              <w:t>HF</w:t>
            </w:r>
            <w:r w:rsidRPr="00C236C7">
              <w:t xml:space="preserve"> symptoms, in whom</w:t>
            </w:r>
            <w:r>
              <w:t xml:space="preserve"> Echo</w:t>
            </w:r>
            <w:r w:rsidRPr="00C236C7">
              <w:t xml:space="preserve"> is inconclusive</w:t>
            </w:r>
          </w:p>
        </w:tc>
        <w:tc>
          <w:tcPr>
            <w:tcW w:w="3393" w:type="dxa"/>
            <w:tcBorders>
              <w:left w:val="nil"/>
            </w:tcBorders>
            <w:shd w:val="clear" w:color="auto" w:fill="auto"/>
          </w:tcPr>
          <w:p w14:paraId="0D200102" w14:textId="519975AD" w:rsidR="002E1828" w:rsidRPr="00183E4D" w:rsidRDefault="002E1828" w:rsidP="004C79C1">
            <w:pPr>
              <w:pStyle w:val="Tabletext1"/>
              <w:spacing w:before="0" w:after="120"/>
              <w:rPr>
                <w:rFonts w:cs="Arial"/>
              </w:rPr>
            </w:pPr>
            <w:r w:rsidRPr="00C236C7">
              <w:t xml:space="preserve">Patients presenting with </w:t>
            </w:r>
            <w:r w:rsidR="00DD632A">
              <w:t>HF</w:t>
            </w:r>
            <w:r w:rsidRPr="00C236C7">
              <w:t xml:space="preserve"> symptoms, in whom</w:t>
            </w:r>
            <w:r>
              <w:t xml:space="preserve"> Echo </w:t>
            </w:r>
            <w:r w:rsidRPr="00C236C7">
              <w:t xml:space="preserve">suggests a </w:t>
            </w:r>
            <w:r w:rsidR="00686FAF">
              <w:t>DCM</w:t>
            </w:r>
            <w:r w:rsidRPr="00C236C7">
              <w:t xml:space="preserve"> </w:t>
            </w:r>
            <w:r>
              <w:t xml:space="preserve">and who have low or intermediate risk of </w:t>
            </w:r>
            <w:r w:rsidR="00686FAF">
              <w:t>CAD</w:t>
            </w:r>
          </w:p>
        </w:tc>
      </w:tr>
      <w:tr w:rsidR="002E1828" w:rsidRPr="00183E4D" w14:paraId="7C8C1F69" w14:textId="26ED8A7E" w:rsidTr="00456F62">
        <w:tc>
          <w:tcPr>
            <w:tcW w:w="1948" w:type="dxa"/>
            <w:shd w:val="clear" w:color="auto" w:fill="auto"/>
          </w:tcPr>
          <w:p w14:paraId="0ADFA44A" w14:textId="77777777" w:rsidR="002E1828" w:rsidRPr="00183E4D" w:rsidRDefault="002E1828" w:rsidP="004C79C1">
            <w:pPr>
              <w:pStyle w:val="Tabletext1"/>
              <w:spacing w:before="0" w:after="120"/>
            </w:pPr>
            <w:r w:rsidRPr="00183E4D">
              <w:t>Intervention</w:t>
            </w:r>
          </w:p>
        </w:tc>
        <w:tc>
          <w:tcPr>
            <w:tcW w:w="3675" w:type="dxa"/>
            <w:tcBorders>
              <w:right w:val="nil"/>
            </w:tcBorders>
            <w:shd w:val="clear" w:color="auto" w:fill="auto"/>
          </w:tcPr>
          <w:p w14:paraId="40AE5F55" w14:textId="73742B28" w:rsidR="002E1828" w:rsidRPr="00183E4D" w:rsidRDefault="002E1828" w:rsidP="004C79C1">
            <w:pPr>
              <w:pStyle w:val="Tabletext1"/>
              <w:spacing w:before="0" w:after="120"/>
            </w:pPr>
            <w:r>
              <w:rPr>
                <w:rFonts w:cs="Arial Narrow"/>
                <w:bCs/>
              </w:rPr>
              <w:t>CMR</w:t>
            </w:r>
          </w:p>
        </w:tc>
        <w:tc>
          <w:tcPr>
            <w:tcW w:w="3393" w:type="dxa"/>
            <w:tcBorders>
              <w:left w:val="nil"/>
            </w:tcBorders>
            <w:shd w:val="clear" w:color="auto" w:fill="auto"/>
          </w:tcPr>
          <w:p w14:paraId="01E6D73F" w14:textId="4AA8841C" w:rsidR="002E1828" w:rsidRPr="00183E4D" w:rsidRDefault="002E1828" w:rsidP="004C79C1">
            <w:pPr>
              <w:pStyle w:val="Tabletext1"/>
              <w:spacing w:before="0" w:after="120"/>
            </w:pPr>
            <w:r>
              <w:t>CMR</w:t>
            </w:r>
          </w:p>
        </w:tc>
      </w:tr>
      <w:tr w:rsidR="002E1828" w:rsidRPr="00183E4D" w14:paraId="06570B59" w14:textId="5D0930BD" w:rsidTr="00456F62">
        <w:tc>
          <w:tcPr>
            <w:tcW w:w="1948" w:type="dxa"/>
            <w:shd w:val="clear" w:color="auto" w:fill="auto"/>
          </w:tcPr>
          <w:p w14:paraId="269DEFB0" w14:textId="4EB09C65" w:rsidR="002E1828" w:rsidRPr="00183E4D" w:rsidRDefault="002E1828" w:rsidP="004C79C1">
            <w:pPr>
              <w:pStyle w:val="Tabletext1"/>
              <w:spacing w:before="0" w:after="120"/>
            </w:pPr>
            <w:r w:rsidRPr="00183E4D">
              <w:t>Compara</w:t>
            </w:r>
            <w:r w:rsidRPr="00C236C7">
              <w:t>tors</w:t>
            </w:r>
          </w:p>
        </w:tc>
        <w:tc>
          <w:tcPr>
            <w:tcW w:w="3675" w:type="dxa"/>
            <w:tcBorders>
              <w:right w:val="nil"/>
            </w:tcBorders>
            <w:shd w:val="clear" w:color="auto" w:fill="auto"/>
          </w:tcPr>
          <w:p w14:paraId="79E19ABE" w14:textId="77F06C38" w:rsidR="002E1828" w:rsidRPr="00D76006" w:rsidRDefault="00E81332" w:rsidP="004C79C1">
            <w:pPr>
              <w:pStyle w:val="Tabletext1"/>
              <w:numPr>
                <w:ilvl w:val="0"/>
                <w:numId w:val="29"/>
              </w:numPr>
              <w:spacing w:before="0" w:after="120"/>
              <w:ind w:left="459" w:hanging="284"/>
              <w:rPr>
                <w:rFonts w:cs="Arial Narrow"/>
                <w:bCs/>
              </w:rPr>
            </w:pPr>
            <w:r>
              <w:rPr>
                <w:rFonts w:cs="Arial Narrow"/>
                <w:bCs/>
              </w:rPr>
              <w:t>c</w:t>
            </w:r>
            <w:r w:rsidR="002E1828" w:rsidRPr="00D76006">
              <w:rPr>
                <w:rFonts w:cs="Arial Narrow"/>
                <w:bCs/>
              </w:rPr>
              <w:t>Echo</w:t>
            </w:r>
          </w:p>
          <w:p w14:paraId="78B82A55" w14:textId="10212F33" w:rsidR="002E1828" w:rsidRPr="00850848" w:rsidRDefault="002E1828" w:rsidP="004C79C1">
            <w:pPr>
              <w:pStyle w:val="Tabletext1"/>
              <w:numPr>
                <w:ilvl w:val="0"/>
                <w:numId w:val="29"/>
              </w:numPr>
              <w:spacing w:before="0" w:after="120"/>
              <w:ind w:left="459" w:hanging="284"/>
            </w:pPr>
            <w:r w:rsidRPr="00D76006">
              <w:rPr>
                <w:rFonts w:cs="Arial Narrow"/>
                <w:bCs/>
              </w:rPr>
              <w:t>G</w:t>
            </w:r>
            <w:r w:rsidR="00DF2B4D">
              <w:rPr>
                <w:rFonts w:cs="Arial Narrow"/>
                <w:bCs/>
              </w:rPr>
              <w:t>HPS</w:t>
            </w:r>
          </w:p>
          <w:p w14:paraId="7504754C" w14:textId="77777777" w:rsidR="00850848" w:rsidRPr="00850848" w:rsidRDefault="00850848" w:rsidP="004C79C1">
            <w:pPr>
              <w:pStyle w:val="Tabletext1"/>
              <w:numPr>
                <w:ilvl w:val="0"/>
                <w:numId w:val="29"/>
              </w:numPr>
              <w:spacing w:before="0" w:after="120"/>
              <w:ind w:left="459" w:hanging="284"/>
            </w:pPr>
            <w:r>
              <w:rPr>
                <w:rFonts w:cs="Arial Narrow"/>
                <w:bCs/>
              </w:rPr>
              <w:t>CTCA</w:t>
            </w:r>
          </w:p>
          <w:p w14:paraId="4714D467" w14:textId="77777777" w:rsidR="00850848" w:rsidRPr="00850848" w:rsidRDefault="00850848" w:rsidP="004C79C1">
            <w:pPr>
              <w:pStyle w:val="Tabletext1"/>
              <w:numPr>
                <w:ilvl w:val="0"/>
                <w:numId w:val="29"/>
              </w:numPr>
              <w:spacing w:before="0" w:after="120"/>
              <w:ind w:left="459" w:hanging="284"/>
            </w:pPr>
            <w:r>
              <w:rPr>
                <w:rFonts w:cs="Arial Narrow"/>
                <w:bCs/>
              </w:rPr>
              <w:t>SPECT</w:t>
            </w:r>
          </w:p>
          <w:p w14:paraId="05254D90" w14:textId="77777777" w:rsidR="00850848" w:rsidRPr="00850848" w:rsidRDefault="00850848" w:rsidP="004C79C1">
            <w:pPr>
              <w:pStyle w:val="Tabletext1"/>
              <w:numPr>
                <w:ilvl w:val="0"/>
                <w:numId w:val="29"/>
              </w:numPr>
              <w:spacing w:before="0" w:after="120"/>
              <w:ind w:left="459" w:hanging="284"/>
            </w:pPr>
            <w:r>
              <w:rPr>
                <w:rFonts w:cs="Arial Narrow"/>
                <w:bCs/>
              </w:rPr>
              <w:t>Stress Echo</w:t>
            </w:r>
          </w:p>
          <w:p w14:paraId="14010630" w14:textId="031D2E23" w:rsidR="00850848" w:rsidRPr="00183E4D" w:rsidRDefault="00850848" w:rsidP="004C79C1">
            <w:pPr>
              <w:pStyle w:val="Tabletext1"/>
              <w:numPr>
                <w:ilvl w:val="0"/>
                <w:numId w:val="29"/>
              </w:numPr>
              <w:spacing w:before="0" w:after="120"/>
              <w:ind w:left="459" w:hanging="284"/>
            </w:pPr>
            <w:r>
              <w:rPr>
                <w:rFonts w:cs="Arial Narrow"/>
                <w:bCs/>
              </w:rPr>
              <w:t>ICA</w:t>
            </w:r>
          </w:p>
        </w:tc>
        <w:tc>
          <w:tcPr>
            <w:tcW w:w="3393" w:type="dxa"/>
            <w:tcBorders>
              <w:left w:val="nil"/>
            </w:tcBorders>
            <w:shd w:val="clear" w:color="auto" w:fill="auto"/>
          </w:tcPr>
          <w:p w14:paraId="49605143" w14:textId="77777777" w:rsidR="002E1828" w:rsidRPr="005C35D7" w:rsidRDefault="002E1828" w:rsidP="004C79C1">
            <w:pPr>
              <w:pStyle w:val="Tabletext1"/>
              <w:numPr>
                <w:ilvl w:val="0"/>
                <w:numId w:val="29"/>
              </w:numPr>
              <w:spacing w:before="0" w:after="120"/>
              <w:ind w:left="459" w:hanging="284"/>
              <w:rPr>
                <w:rFonts w:cs="Arial Narrow"/>
                <w:bCs/>
              </w:rPr>
            </w:pPr>
            <w:r w:rsidRPr="005C35D7">
              <w:rPr>
                <w:rFonts w:cs="Arial Narrow"/>
                <w:bCs/>
              </w:rPr>
              <w:t xml:space="preserve">CTCA </w:t>
            </w:r>
          </w:p>
          <w:p w14:paraId="0F1A614B" w14:textId="77777777" w:rsidR="002E1828" w:rsidRDefault="002E1828" w:rsidP="004C79C1">
            <w:pPr>
              <w:pStyle w:val="Tabletext1"/>
              <w:numPr>
                <w:ilvl w:val="0"/>
                <w:numId w:val="29"/>
              </w:numPr>
              <w:spacing w:before="0" w:after="120"/>
              <w:ind w:left="459" w:hanging="284"/>
              <w:rPr>
                <w:rFonts w:cs="Arial Narrow"/>
                <w:bCs/>
              </w:rPr>
            </w:pPr>
            <w:r w:rsidRPr="005C35D7">
              <w:rPr>
                <w:rFonts w:cs="Arial Narrow"/>
                <w:bCs/>
              </w:rPr>
              <w:t xml:space="preserve">SPECT </w:t>
            </w:r>
          </w:p>
          <w:p w14:paraId="59725F4B" w14:textId="77777777" w:rsidR="00850848" w:rsidRDefault="00850848" w:rsidP="004C79C1">
            <w:pPr>
              <w:pStyle w:val="Tabletext1"/>
              <w:numPr>
                <w:ilvl w:val="0"/>
                <w:numId w:val="29"/>
              </w:numPr>
              <w:spacing w:before="0" w:after="120"/>
              <w:ind w:left="459" w:hanging="284"/>
              <w:rPr>
                <w:rFonts w:cs="Arial Narrow"/>
                <w:bCs/>
              </w:rPr>
            </w:pPr>
            <w:r>
              <w:rPr>
                <w:rFonts w:cs="Arial Narrow"/>
                <w:bCs/>
              </w:rPr>
              <w:t>Stress Echo</w:t>
            </w:r>
          </w:p>
          <w:p w14:paraId="2E9BAC15" w14:textId="039B0D95" w:rsidR="00850848" w:rsidRPr="00850848" w:rsidRDefault="00850848" w:rsidP="004C79C1">
            <w:pPr>
              <w:pStyle w:val="Tabletext1"/>
              <w:numPr>
                <w:ilvl w:val="0"/>
                <w:numId w:val="29"/>
              </w:numPr>
              <w:spacing w:before="0" w:after="120"/>
              <w:ind w:left="459" w:hanging="284"/>
              <w:rPr>
                <w:rFonts w:cs="Arial Narrow"/>
                <w:bCs/>
              </w:rPr>
            </w:pPr>
            <w:r>
              <w:rPr>
                <w:rFonts w:cs="Arial Narrow"/>
                <w:bCs/>
              </w:rPr>
              <w:t>ICA</w:t>
            </w:r>
          </w:p>
          <w:p w14:paraId="449F9DB3" w14:textId="309E8E7D" w:rsidR="002E1828" w:rsidRPr="00183E4D" w:rsidRDefault="002E1828" w:rsidP="004C79C1">
            <w:pPr>
              <w:pStyle w:val="Tabletext1"/>
              <w:numPr>
                <w:ilvl w:val="0"/>
                <w:numId w:val="29"/>
              </w:numPr>
              <w:spacing w:before="0" w:after="120"/>
              <w:ind w:left="459" w:hanging="284"/>
            </w:pPr>
            <w:r>
              <w:rPr>
                <w:rFonts w:cs="Arial Narrow"/>
                <w:bCs/>
              </w:rPr>
              <w:t xml:space="preserve">Further tests (e.g. genetic testing, further blood tests, </w:t>
            </w:r>
            <w:r w:rsidR="00686FAF">
              <w:rPr>
                <w:rFonts w:cs="Arial Narrow"/>
                <w:bCs/>
              </w:rPr>
              <w:t>EMB</w:t>
            </w:r>
            <w:r>
              <w:rPr>
                <w:rFonts w:cs="Arial Narrow"/>
                <w:bCs/>
              </w:rPr>
              <w:t>)</w:t>
            </w:r>
          </w:p>
        </w:tc>
      </w:tr>
      <w:tr w:rsidR="002E1828" w:rsidRPr="00183E4D" w14:paraId="628FEA16" w14:textId="0E5D5338" w:rsidTr="00456F62">
        <w:tc>
          <w:tcPr>
            <w:tcW w:w="1948" w:type="dxa"/>
            <w:shd w:val="clear" w:color="auto" w:fill="auto"/>
          </w:tcPr>
          <w:p w14:paraId="545B19BE" w14:textId="77777777" w:rsidR="002E1828" w:rsidRPr="00E436AA" w:rsidRDefault="002E1828" w:rsidP="004C79C1">
            <w:pPr>
              <w:pStyle w:val="Tabletext1"/>
              <w:spacing w:before="0" w:after="120"/>
              <w:rPr>
                <w:rFonts w:cs="Arial Narrow"/>
                <w:bCs/>
              </w:rPr>
            </w:pPr>
            <w:r w:rsidRPr="00E436AA">
              <w:rPr>
                <w:rFonts w:cs="Arial Narrow"/>
                <w:bCs/>
              </w:rPr>
              <w:t>Outcomes</w:t>
            </w:r>
          </w:p>
        </w:tc>
        <w:tc>
          <w:tcPr>
            <w:tcW w:w="3675" w:type="dxa"/>
            <w:tcBorders>
              <w:right w:val="nil"/>
            </w:tcBorders>
            <w:shd w:val="clear" w:color="auto" w:fill="auto"/>
          </w:tcPr>
          <w:p w14:paraId="3F637DE2" w14:textId="16DFB695" w:rsidR="002E1828" w:rsidRPr="00E436AA" w:rsidRDefault="002E1828"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Health outcomes</w:t>
            </w:r>
            <w:r w:rsidR="00DF2B4D">
              <w:rPr>
                <w:rFonts w:ascii="Arial Narrow" w:hAnsi="Arial Narrow" w:cs="Arial Narrow"/>
                <w:bCs/>
                <w:sz w:val="20"/>
                <w:szCs w:val="20"/>
              </w:rPr>
              <w:t>:</w:t>
            </w:r>
          </w:p>
          <w:p w14:paraId="66E12F8D"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lastRenderedPageBreak/>
              <w:t>Cardiac disease-specific mortality</w:t>
            </w:r>
          </w:p>
          <w:p w14:paraId="67EA1601"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Survival</w:t>
            </w:r>
          </w:p>
          <w:p w14:paraId="1A5AFFC7"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Cardiac hospitalisation</w:t>
            </w:r>
          </w:p>
          <w:p w14:paraId="30133FD9"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Adverse cardiac event over defined period</w:t>
            </w:r>
          </w:p>
          <w:p w14:paraId="401E01E6" w14:textId="77777777" w:rsidR="002E1828" w:rsidRDefault="002E1828" w:rsidP="004C79C1">
            <w:pPr>
              <w:pStyle w:val="Tabletext1"/>
              <w:numPr>
                <w:ilvl w:val="0"/>
                <w:numId w:val="29"/>
              </w:numPr>
              <w:spacing w:before="0" w:after="120"/>
              <w:ind w:left="459" w:hanging="284"/>
              <w:rPr>
                <w:rFonts w:cs="Arial Narrow"/>
                <w:bCs/>
              </w:rPr>
            </w:pPr>
            <w:r w:rsidRPr="00796257">
              <w:rPr>
                <w:rFonts w:cs="Arial Narrow"/>
                <w:bCs/>
              </w:rPr>
              <w:t>Quality of life scores</w:t>
            </w:r>
          </w:p>
          <w:p w14:paraId="3EE9717F" w14:textId="4F864351" w:rsidR="002E1828" w:rsidRPr="00E436AA" w:rsidRDefault="002E1828"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Cost-effectiveness</w:t>
            </w:r>
            <w:r w:rsidR="00DF2B4D">
              <w:rPr>
                <w:rFonts w:ascii="Arial Narrow" w:hAnsi="Arial Narrow" w:cs="Arial Narrow"/>
                <w:bCs/>
                <w:sz w:val="20"/>
                <w:szCs w:val="20"/>
              </w:rPr>
              <w:t>:</w:t>
            </w:r>
          </w:p>
          <w:p w14:paraId="1CB3F44C" w14:textId="77777777"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Cost</w:t>
            </w:r>
          </w:p>
          <w:p w14:paraId="3EAFD54F" w14:textId="0EFE5B7F"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 xml:space="preserve">Cost per </w:t>
            </w:r>
            <w:r w:rsidR="00182BF1">
              <w:rPr>
                <w:rFonts w:cs="Arial Narrow"/>
                <w:bCs/>
              </w:rPr>
              <w:t>quality adjusted life year</w:t>
            </w:r>
            <w:r>
              <w:rPr>
                <w:rFonts w:cs="Arial Narrow"/>
                <w:bCs/>
              </w:rPr>
              <w:t xml:space="preserve"> (QALY) or </w:t>
            </w:r>
            <w:r w:rsidR="00182BF1">
              <w:rPr>
                <w:rFonts w:cs="Arial Narrow"/>
                <w:bCs/>
              </w:rPr>
              <w:t xml:space="preserve">disability adjusted life </w:t>
            </w:r>
            <w:r>
              <w:rPr>
                <w:rFonts w:cs="Arial Narrow"/>
                <w:bCs/>
              </w:rPr>
              <w:t>year (DALY)</w:t>
            </w:r>
          </w:p>
          <w:p w14:paraId="7AD1ED77" w14:textId="7A971F66"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Incremental cost-effectiveness ratio (ICER)</w:t>
            </w:r>
          </w:p>
        </w:tc>
        <w:tc>
          <w:tcPr>
            <w:tcW w:w="3393" w:type="dxa"/>
            <w:tcBorders>
              <w:left w:val="nil"/>
            </w:tcBorders>
            <w:shd w:val="clear" w:color="auto" w:fill="auto"/>
          </w:tcPr>
          <w:p w14:paraId="1A51C945" w14:textId="087CF090" w:rsidR="002E1828" w:rsidRPr="00E436AA" w:rsidRDefault="002E1828"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lastRenderedPageBreak/>
              <w:t>Health outcomes</w:t>
            </w:r>
            <w:r w:rsidR="00DF2B4D">
              <w:rPr>
                <w:rFonts w:ascii="Arial Narrow" w:hAnsi="Arial Narrow" w:cs="Arial Narrow"/>
                <w:bCs/>
                <w:sz w:val="20"/>
                <w:szCs w:val="20"/>
              </w:rPr>
              <w:t>:</w:t>
            </w:r>
          </w:p>
          <w:p w14:paraId="4EA311DD"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lastRenderedPageBreak/>
              <w:t>Cardiac disease-specific mortality</w:t>
            </w:r>
          </w:p>
          <w:p w14:paraId="60F13528"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Survival</w:t>
            </w:r>
          </w:p>
          <w:p w14:paraId="209132A0"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Cardiac hospitalisation</w:t>
            </w:r>
          </w:p>
          <w:p w14:paraId="7D4FD799" w14:textId="77777777" w:rsidR="002E1828" w:rsidRPr="00796257" w:rsidRDefault="002E1828" w:rsidP="004C79C1">
            <w:pPr>
              <w:pStyle w:val="Tabletext1"/>
              <w:numPr>
                <w:ilvl w:val="0"/>
                <w:numId w:val="29"/>
              </w:numPr>
              <w:spacing w:before="0" w:after="120"/>
              <w:ind w:left="459" w:hanging="284"/>
              <w:rPr>
                <w:rFonts w:cs="Arial Narrow"/>
                <w:bCs/>
              </w:rPr>
            </w:pPr>
            <w:r w:rsidRPr="00796257">
              <w:rPr>
                <w:rFonts w:cs="Arial Narrow"/>
                <w:bCs/>
              </w:rPr>
              <w:t>Adverse cardiac event over defined period</w:t>
            </w:r>
          </w:p>
          <w:p w14:paraId="7B0F009D" w14:textId="77777777" w:rsidR="002E1828" w:rsidRDefault="002E1828" w:rsidP="004C79C1">
            <w:pPr>
              <w:pStyle w:val="Tabletext1"/>
              <w:numPr>
                <w:ilvl w:val="0"/>
                <w:numId w:val="29"/>
              </w:numPr>
              <w:spacing w:before="0" w:after="120"/>
              <w:ind w:left="459" w:hanging="284"/>
              <w:rPr>
                <w:rFonts w:cs="Arial Narrow"/>
                <w:bCs/>
              </w:rPr>
            </w:pPr>
            <w:r w:rsidRPr="00796257">
              <w:rPr>
                <w:rFonts w:cs="Arial Narrow"/>
                <w:bCs/>
              </w:rPr>
              <w:t>Quality of life scores</w:t>
            </w:r>
          </w:p>
          <w:p w14:paraId="099786F1" w14:textId="004EC234" w:rsidR="002E1828" w:rsidRPr="00E436AA" w:rsidRDefault="002E1828"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Cost-effectiveness</w:t>
            </w:r>
            <w:r w:rsidR="00DF2B4D">
              <w:rPr>
                <w:rFonts w:ascii="Arial Narrow" w:hAnsi="Arial Narrow" w:cs="Arial Narrow"/>
                <w:bCs/>
                <w:sz w:val="20"/>
                <w:szCs w:val="20"/>
              </w:rPr>
              <w:t>:</w:t>
            </w:r>
          </w:p>
          <w:p w14:paraId="1520816D" w14:textId="77777777"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Cost</w:t>
            </w:r>
          </w:p>
          <w:p w14:paraId="1B11FD14" w14:textId="3CC2F2D3"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 xml:space="preserve">Cost per </w:t>
            </w:r>
            <w:r w:rsidR="00182BF1">
              <w:rPr>
                <w:rFonts w:cs="Arial Narrow"/>
                <w:bCs/>
              </w:rPr>
              <w:t xml:space="preserve">quality adjusted life year </w:t>
            </w:r>
            <w:r>
              <w:rPr>
                <w:rFonts w:cs="Arial Narrow"/>
                <w:bCs/>
              </w:rPr>
              <w:t xml:space="preserve">(QALY) or </w:t>
            </w:r>
            <w:r w:rsidR="00182BF1">
              <w:rPr>
                <w:rFonts w:cs="Arial Narrow"/>
                <w:bCs/>
              </w:rPr>
              <w:t xml:space="preserve">disability adjusted life </w:t>
            </w:r>
            <w:r>
              <w:rPr>
                <w:rFonts w:cs="Arial Narrow"/>
                <w:bCs/>
              </w:rPr>
              <w:t>year (DALY)</w:t>
            </w:r>
          </w:p>
          <w:p w14:paraId="2D4E52AE" w14:textId="1C26B0E0" w:rsidR="002E1828" w:rsidRPr="00E436AA" w:rsidRDefault="002E1828" w:rsidP="004C79C1">
            <w:pPr>
              <w:pStyle w:val="Tabletext1"/>
              <w:numPr>
                <w:ilvl w:val="0"/>
                <w:numId w:val="29"/>
              </w:numPr>
              <w:spacing w:before="0" w:after="120"/>
              <w:ind w:left="459" w:hanging="284"/>
              <w:rPr>
                <w:rFonts w:cs="Arial Narrow"/>
                <w:bCs/>
              </w:rPr>
            </w:pPr>
            <w:r>
              <w:rPr>
                <w:rFonts w:cs="Arial Narrow"/>
                <w:bCs/>
              </w:rPr>
              <w:t>Incremental cost-effectiveness ratio (ICER)</w:t>
            </w:r>
          </w:p>
        </w:tc>
      </w:tr>
      <w:tr w:rsidR="002E1828" w:rsidRPr="00183E4D" w14:paraId="1DBCD9E7" w14:textId="2B5F7BB4" w:rsidTr="00456F62">
        <w:tc>
          <w:tcPr>
            <w:tcW w:w="1948" w:type="dxa"/>
            <w:tcBorders>
              <w:top w:val="single" w:sz="4" w:space="0" w:color="auto"/>
              <w:bottom w:val="single" w:sz="4" w:space="0" w:color="auto"/>
            </w:tcBorders>
            <w:shd w:val="clear" w:color="auto" w:fill="auto"/>
          </w:tcPr>
          <w:p w14:paraId="46143192" w14:textId="77777777" w:rsidR="002E1828" w:rsidRPr="00183E4D" w:rsidRDefault="002E1828"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lastRenderedPageBreak/>
              <w:t>Systematic review question</w:t>
            </w:r>
          </w:p>
        </w:tc>
        <w:tc>
          <w:tcPr>
            <w:tcW w:w="3675" w:type="dxa"/>
            <w:tcBorders>
              <w:top w:val="single" w:sz="4" w:space="0" w:color="auto"/>
              <w:bottom w:val="single" w:sz="4" w:space="0" w:color="auto"/>
              <w:right w:val="nil"/>
            </w:tcBorders>
            <w:shd w:val="clear" w:color="auto" w:fill="auto"/>
          </w:tcPr>
          <w:p w14:paraId="0FBE973E" w14:textId="24E22B91" w:rsidR="002E1828" w:rsidRPr="00183E4D" w:rsidRDefault="002E1828" w:rsidP="004C79C1">
            <w:pPr>
              <w:tabs>
                <w:tab w:val="left" w:pos="0"/>
              </w:tabs>
              <w:spacing w:after="120" w:line="240" w:lineRule="auto"/>
              <w:ind w:right="62"/>
              <w:rPr>
                <w:rFonts w:ascii="Arial Narrow" w:hAnsi="Arial Narrow" w:cs="Arial"/>
                <w:sz w:val="20"/>
              </w:rPr>
            </w:pPr>
            <w:r w:rsidRPr="00E436AA">
              <w:rPr>
                <w:rFonts w:ascii="Arial Narrow" w:hAnsi="Arial Narrow"/>
                <w:sz w:val="20"/>
                <w:szCs w:val="20"/>
              </w:rPr>
              <w:t xml:space="preserve">What is </w:t>
            </w:r>
            <w:r>
              <w:rPr>
                <w:rFonts w:ascii="Arial Narrow" w:hAnsi="Arial Narrow"/>
                <w:sz w:val="20"/>
                <w:szCs w:val="20"/>
              </w:rPr>
              <w:t>the</w:t>
            </w:r>
            <w:r w:rsidRPr="00E436AA">
              <w:rPr>
                <w:rFonts w:ascii="Arial Narrow" w:hAnsi="Arial Narrow"/>
                <w:sz w:val="20"/>
                <w:szCs w:val="20"/>
              </w:rPr>
              <w:t xml:space="preserve"> effectiveness</w:t>
            </w:r>
            <w:r>
              <w:rPr>
                <w:rFonts w:ascii="Arial Narrow" w:hAnsi="Arial Narrow"/>
                <w:sz w:val="20"/>
                <w:szCs w:val="20"/>
              </w:rPr>
              <w:t xml:space="preserve"> </w:t>
            </w:r>
            <w:r w:rsidRPr="00E436AA">
              <w:rPr>
                <w:rFonts w:ascii="Arial Narrow" w:hAnsi="Arial Narrow"/>
                <w:sz w:val="20"/>
                <w:szCs w:val="20"/>
              </w:rPr>
              <w:t xml:space="preserve">and cost-effectiveness of CMR compared </w:t>
            </w:r>
            <w:r w:rsidR="008577A7">
              <w:rPr>
                <w:rFonts w:ascii="Arial Narrow" w:hAnsi="Arial Narrow"/>
                <w:sz w:val="20"/>
                <w:szCs w:val="20"/>
              </w:rPr>
              <w:t>with</w:t>
            </w:r>
            <w:r w:rsidR="008577A7" w:rsidRPr="00E436AA">
              <w:rPr>
                <w:rFonts w:ascii="Arial Narrow" w:hAnsi="Arial Narrow"/>
                <w:sz w:val="20"/>
                <w:szCs w:val="20"/>
              </w:rPr>
              <w:t xml:space="preserve"> </w:t>
            </w:r>
            <w:r w:rsidR="004403A1">
              <w:rPr>
                <w:rFonts w:ascii="Arial Narrow" w:hAnsi="Arial Narrow"/>
                <w:sz w:val="20"/>
                <w:szCs w:val="20"/>
              </w:rPr>
              <w:t>cEcho</w:t>
            </w:r>
            <w:r w:rsidR="008B48E9">
              <w:rPr>
                <w:rFonts w:ascii="Arial Narrow" w:hAnsi="Arial Narrow"/>
                <w:sz w:val="20"/>
                <w:szCs w:val="20"/>
              </w:rPr>
              <w:t xml:space="preserve">, </w:t>
            </w:r>
            <w:r w:rsidR="008577A7">
              <w:rPr>
                <w:rFonts w:ascii="Arial Narrow" w:hAnsi="Arial Narrow"/>
                <w:sz w:val="20"/>
                <w:szCs w:val="20"/>
              </w:rPr>
              <w:t>GHPS</w:t>
            </w:r>
            <w:r w:rsidR="008B48E9">
              <w:rPr>
                <w:rFonts w:ascii="Arial Narrow" w:hAnsi="Arial Narrow"/>
                <w:sz w:val="20"/>
                <w:szCs w:val="20"/>
              </w:rPr>
              <w:t>, CTCA, SPECT, stress Echo and ICA</w:t>
            </w:r>
            <w:r w:rsidRPr="00E436AA">
              <w:rPr>
                <w:rFonts w:ascii="Arial Narrow" w:hAnsi="Arial Narrow"/>
                <w:sz w:val="20"/>
                <w:szCs w:val="20"/>
              </w:rPr>
              <w:t xml:space="preserve"> in patients with </w:t>
            </w:r>
            <w:r w:rsidR="00506498">
              <w:rPr>
                <w:rFonts w:ascii="Arial Narrow" w:hAnsi="Arial Narrow"/>
                <w:sz w:val="20"/>
                <w:szCs w:val="20"/>
              </w:rPr>
              <w:t>HF</w:t>
            </w:r>
            <w:r w:rsidRPr="00E436AA">
              <w:rPr>
                <w:rFonts w:ascii="Arial Narrow" w:hAnsi="Arial Narrow"/>
                <w:sz w:val="20"/>
                <w:szCs w:val="20"/>
              </w:rPr>
              <w:t xml:space="preserve"> symptoms in whom </w:t>
            </w:r>
            <w:r w:rsidR="004403A1">
              <w:rPr>
                <w:rFonts w:ascii="Arial Narrow" w:hAnsi="Arial Narrow"/>
                <w:sz w:val="20"/>
                <w:szCs w:val="20"/>
              </w:rPr>
              <w:t>Echo</w:t>
            </w:r>
            <w:r w:rsidRPr="00E436AA">
              <w:rPr>
                <w:rFonts w:ascii="Arial Narrow" w:hAnsi="Arial Narrow"/>
                <w:sz w:val="20"/>
                <w:szCs w:val="20"/>
              </w:rPr>
              <w:t xml:space="preserve"> is inconclusive?</w:t>
            </w:r>
          </w:p>
        </w:tc>
        <w:tc>
          <w:tcPr>
            <w:tcW w:w="3393" w:type="dxa"/>
            <w:tcBorders>
              <w:top w:val="single" w:sz="4" w:space="0" w:color="auto"/>
              <w:left w:val="nil"/>
              <w:bottom w:val="single" w:sz="4" w:space="0" w:color="auto"/>
            </w:tcBorders>
            <w:shd w:val="clear" w:color="auto" w:fill="auto"/>
          </w:tcPr>
          <w:p w14:paraId="09197067" w14:textId="389A4510" w:rsidR="002E1828" w:rsidRPr="00183E4D" w:rsidRDefault="002E1828" w:rsidP="004C79C1">
            <w:pPr>
              <w:tabs>
                <w:tab w:val="left" w:pos="0"/>
              </w:tabs>
              <w:spacing w:after="120" w:line="240" w:lineRule="auto"/>
              <w:ind w:right="62"/>
              <w:rPr>
                <w:rFonts w:ascii="Arial Narrow" w:hAnsi="Arial Narrow" w:cs="Arial"/>
                <w:sz w:val="20"/>
              </w:rPr>
            </w:pPr>
            <w:r w:rsidRPr="00E436AA">
              <w:rPr>
                <w:rFonts w:ascii="Arial Narrow" w:hAnsi="Arial Narrow"/>
                <w:sz w:val="20"/>
                <w:szCs w:val="20"/>
              </w:rPr>
              <w:t xml:space="preserve">What is </w:t>
            </w:r>
            <w:r>
              <w:rPr>
                <w:rFonts w:ascii="Arial Narrow" w:hAnsi="Arial Narrow"/>
                <w:sz w:val="20"/>
                <w:szCs w:val="20"/>
              </w:rPr>
              <w:t>the</w:t>
            </w:r>
            <w:r w:rsidRPr="00E436AA">
              <w:rPr>
                <w:rFonts w:ascii="Arial Narrow" w:hAnsi="Arial Narrow"/>
                <w:sz w:val="20"/>
                <w:szCs w:val="20"/>
              </w:rPr>
              <w:t xml:space="preserve"> effectiveness</w:t>
            </w:r>
            <w:r>
              <w:rPr>
                <w:rFonts w:ascii="Arial Narrow" w:hAnsi="Arial Narrow"/>
                <w:sz w:val="20"/>
                <w:szCs w:val="20"/>
              </w:rPr>
              <w:t xml:space="preserve"> </w:t>
            </w:r>
            <w:r w:rsidRPr="00E436AA">
              <w:rPr>
                <w:rFonts w:ascii="Arial Narrow" w:hAnsi="Arial Narrow"/>
                <w:sz w:val="20"/>
                <w:szCs w:val="20"/>
              </w:rPr>
              <w:t xml:space="preserve">and cost-effectiveness of CMR compared </w:t>
            </w:r>
            <w:r w:rsidR="00B27D90">
              <w:rPr>
                <w:rFonts w:ascii="Arial Narrow" w:hAnsi="Arial Narrow"/>
                <w:sz w:val="20"/>
                <w:szCs w:val="20"/>
              </w:rPr>
              <w:t>with</w:t>
            </w:r>
            <w:r w:rsidR="00B27D90" w:rsidRPr="00E436AA">
              <w:rPr>
                <w:rFonts w:ascii="Arial Narrow" w:hAnsi="Arial Narrow"/>
                <w:sz w:val="20"/>
                <w:szCs w:val="20"/>
              </w:rPr>
              <w:t xml:space="preserve"> </w:t>
            </w:r>
            <w:r w:rsidRPr="00E436AA">
              <w:rPr>
                <w:rFonts w:ascii="Arial Narrow" w:hAnsi="Arial Narrow"/>
                <w:sz w:val="20"/>
                <w:szCs w:val="20"/>
              </w:rPr>
              <w:t>SPECT, CTCA</w:t>
            </w:r>
            <w:r w:rsidR="008B48E9">
              <w:rPr>
                <w:rFonts w:ascii="Arial Narrow" w:hAnsi="Arial Narrow"/>
                <w:sz w:val="20"/>
                <w:szCs w:val="20"/>
              </w:rPr>
              <w:t xml:space="preserve">, </w:t>
            </w:r>
            <w:proofErr w:type="gramStart"/>
            <w:r w:rsidR="008B48E9">
              <w:rPr>
                <w:rFonts w:ascii="Arial Narrow" w:hAnsi="Arial Narrow"/>
                <w:sz w:val="20"/>
                <w:szCs w:val="20"/>
              </w:rPr>
              <w:t>stress</w:t>
            </w:r>
            <w:proofErr w:type="gramEnd"/>
            <w:r w:rsidR="008B48E9">
              <w:rPr>
                <w:rFonts w:ascii="Arial Narrow" w:hAnsi="Arial Narrow"/>
                <w:sz w:val="20"/>
                <w:szCs w:val="20"/>
              </w:rPr>
              <w:t xml:space="preserve"> Echo, ICA</w:t>
            </w:r>
            <w:r w:rsidRPr="00E436AA">
              <w:rPr>
                <w:rFonts w:ascii="Arial Narrow" w:hAnsi="Arial Narrow"/>
                <w:sz w:val="20"/>
                <w:szCs w:val="20"/>
              </w:rPr>
              <w:t xml:space="preserve"> </w:t>
            </w:r>
            <w:r w:rsidR="004403A1">
              <w:rPr>
                <w:rFonts w:ascii="Arial Narrow" w:hAnsi="Arial Narrow"/>
                <w:sz w:val="20"/>
                <w:szCs w:val="20"/>
              </w:rPr>
              <w:t xml:space="preserve">and further testing </w:t>
            </w:r>
            <w:r w:rsidRPr="00E436AA">
              <w:rPr>
                <w:rFonts w:ascii="Arial Narrow" w:hAnsi="Arial Narrow"/>
                <w:sz w:val="20"/>
                <w:szCs w:val="20"/>
              </w:rPr>
              <w:t xml:space="preserve">in patients with </w:t>
            </w:r>
            <w:r w:rsidR="00506498">
              <w:rPr>
                <w:rFonts w:ascii="Arial Narrow" w:hAnsi="Arial Narrow"/>
                <w:sz w:val="20"/>
                <w:szCs w:val="20"/>
              </w:rPr>
              <w:t>HF</w:t>
            </w:r>
            <w:r w:rsidRPr="00E436AA">
              <w:rPr>
                <w:rFonts w:ascii="Arial Narrow" w:hAnsi="Arial Narrow"/>
                <w:sz w:val="20"/>
                <w:szCs w:val="20"/>
              </w:rPr>
              <w:t xml:space="preserve"> symptoms in whom </w:t>
            </w:r>
            <w:r w:rsidR="004403A1">
              <w:rPr>
                <w:rFonts w:ascii="Arial Narrow" w:hAnsi="Arial Narrow"/>
                <w:sz w:val="20"/>
                <w:szCs w:val="20"/>
              </w:rPr>
              <w:t>Echo</w:t>
            </w:r>
            <w:r w:rsidRPr="00E436AA">
              <w:rPr>
                <w:rFonts w:ascii="Arial Narrow" w:hAnsi="Arial Narrow"/>
                <w:sz w:val="20"/>
                <w:szCs w:val="20"/>
              </w:rPr>
              <w:t xml:space="preserve"> suggests a DCM</w:t>
            </w:r>
            <w:r w:rsidR="00B27D90">
              <w:rPr>
                <w:rFonts w:ascii="Arial Narrow" w:hAnsi="Arial Narrow"/>
                <w:sz w:val="20"/>
                <w:szCs w:val="20"/>
              </w:rPr>
              <w:t>,</w:t>
            </w:r>
            <w:r w:rsidRPr="00E436AA">
              <w:rPr>
                <w:rFonts w:ascii="Arial Narrow" w:hAnsi="Arial Narrow"/>
                <w:sz w:val="20"/>
                <w:szCs w:val="20"/>
              </w:rPr>
              <w:t xml:space="preserve"> and </w:t>
            </w:r>
            <w:r w:rsidR="004403A1">
              <w:rPr>
                <w:rFonts w:ascii="Arial Narrow" w:hAnsi="Arial Narrow"/>
                <w:sz w:val="20"/>
                <w:szCs w:val="20"/>
              </w:rPr>
              <w:t xml:space="preserve">who have a low or intermediate risk of </w:t>
            </w:r>
            <w:r w:rsidR="00B27D90">
              <w:rPr>
                <w:rFonts w:ascii="Arial Narrow" w:hAnsi="Arial Narrow"/>
                <w:sz w:val="20"/>
                <w:szCs w:val="20"/>
              </w:rPr>
              <w:t>CAD</w:t>
            </w:r>
            <w:r w:rsidRPr="00E436AA">
              <w:rPr>
                <w:rFonts w:ascii="Arial Narrow" w:hAnsi="Arial Narrow"/>
                <w:sz w:val="20"/>
                <w:szCs w:val="20"/>
              </w:rPr>
              <w:t>?</w:t>
            </w:r>
          </w:p>
        </w:tc>
      </w:tr>
    </w:tbl>
    <w:p w14:paraId="24376B68" w14:textId="62781571" w:rsidR="00E436AA" w:rsidRPr="00B65F62" w:rsidRDefault="00AD7B2A" w:rsidP="004C79C1">
      <w:pPr>
        <w:autoSpaceDE w:val="0"/>
        <w:autoSpaceDN w:val="0"/>
        <w:adjustRightInd w:val="0"/>
        <w:spacing w:after="120" w:line="240" w:lineRule="auto"/>
        <w:jc w:val="both"/>
        <w:rPr>
          <w:rFonts w:ascii="Arial Narrow" w:hAnsi="Arial Narrow"/>
          <w:sz w:val="20"/>
          <w:szCs w:val="20"/>
        </w:rPr>
      </w:pPr>
      <w:r>
        <w:rPr>
          <w:rFonts w:ascii="Arial Narrow" w:hAnsi="Arial Narrow"/>
          <w:sz w:val="20"/>
          <w:szCs w:val="20"/>
        </w:rPr>
        <w:t xml:space="preserve">CAD = </w:t>
      </w:r>
      <w:r w:rsidRPr="0007245A">
        <w:rPr>
          <w:rFonts w:ascii="Arial Narrow" w:hAnsi="Arial Narrow"/>
          <w:sz w:val="20"/>
          <w:szCs w:val="20"/>
        </w:rPr>
        <w:t>coronary artery disease;</w:t>
      </w:r>
      <w:r>
        <w:rPr>
          <w:rFonts w:ascii="Arial Narrow" w:hAnsi="Arial Narrow"/>
          <w:sz w:val="20"/>
          <w:szCs w:val="20"/>
        </w:rPr>
        <w:t xml:space="preserve"> </w:t>
      </w:r>
      <w:r w:rsidR="00475940">
        <w:rPr>
          <w:rFonts w:ascii="Arial Narrow" w:hAnsi="Arial Narrow"/>
          <w:sz w:val="20"/>
          <w:szCs w:val="20"/>
        </w:rPr>
        <w:t>CMR</w:t>
      </w:r>
      <w:r w:rsidR="00475940" w:rsidRPr="00B65F62">
        <w:rPr>
          <w:rFonts w:ascii="Arial Narrow" w:hAnsi="Arial Narrow"/>
          <w:sz w:val="20"/>
          <w:szCs w:val="20"/>
        </w:rPr>
        <w:t xml:space="preserve"> </w:t>
      </w:r>
      <w:r w:rsidR="00E436AA" w:rsidRPr="00B65F62">
        <w:rPr>
          <w:rFonts w:ascii="Arial Narrow" w:hAnsi="Arial Narrow"/>
          <w:sz w:val="20"/>
          <w:szCs w:val="20"/>
        </w:rPr>
        <w:t>=</w:t>
      </w:r>
      <w:r w:rsidR="00475940">
        <w:rPr>
          <w:rFonts w:ascii="Arial Narrow" w:hAnsi="Arial Narrow"/>
          <w:sz w:val="20"/>
          <w:szCs w:val="20"/>
        </w:rPr>
        <w:t xml:space="preserve"> cardiac</w:t>
      </w:r>
      <w:r w:rsidR="00E436AA" w:rsidRPr="00B65F62">
        <w:rPr>
          <w:rFonts w:ascii="Arial Narrow" w:hAnsi="Arial Narrow"/>
          <w:sz w:val="20"/>
          <w:szCs w:val="20"/>
        </w:rPr>
        <w:t xml:space="preserve"> magnetic resonance </w:t>
      </w:r>
      <w:r w:rsidR="000728E6">
        <w:rPr>
          <w:rFonts w:ascii="Arial Narrow" w:hAnsi="Arial Narrow"/>
          <w:sz w:val="20"/>
          <w:szCs w:val="20"/>
        </w:rPr>
        <w:t>(</w:t>
      </w:r>
      <w:r w:rsidR="00E436AA" w:rsidRPr="00B65F62">
        <w:rPr>
          <w:rFonts w:ascii="Arial Narrow" w:hAnsi="Arial Narrow"/>
          <w:sz w:val="20"/>
          <w:szCs w:val="20"/>
        </w:rPr>
        <w:t>imaging</w:t>
      </w:r>
      <w:r w:rsidR="000728E6">
        <w:rPr>
          <w:rFonts w:ascii="Arial Narrow" w:hAnsi="Arial Narrow"/>
          <w:sz w:val="20"/>
          <w:szCs w:val="20"/>
        </w:rPr>
        <w:t>)</w:t>
      </w:r>
      <w:r w:rsidR="00E436AA" w:rsidRPr="00B65F62">
        <w:rPr>
          <w:rFonts w:ascii="Arial Narrow" w:hAnsi="Arial Narrow"/>
          <w:sz w:val="20"/>
          <w:szCs w:val="20"/>
        </w:rPr>
        <w:t xml:space="preserve">; CTCA = computed tomography coronary angiography; </w:t>
      </w:r>
      <w:r w:rsidR="00697D16" w:rsidRPr="00B65F62">
        <w:rPr>
          <w:rFonts w:ascii="Arial Narrow" w:hAnsi="Arial Narrow"/>
          <w:sz w:val="20"/>
          <w:szCs w:val="20"/>
        </w:rPr>
        <w:t>DALY = disability adjusted life year;</w:t>
      </w:r>
      <w:r w:rsidR="00697D16">
        <w:rPr>
          <w:rFonts w:ascii="Arial Narrow" w:hAnsi="Arial Narrow"/>
          <w:sz w:val="20"/>
          <w:szCs w:val="20"/>
        </w:rPr>
        <w:t xml:space="preserve"> </w:t>
      </w:r>
      <w:r w:rsidRPr="0007245A">
        <w:rPr>
          <w:rFonts w:ascii="Arial Narrow" w:hAnsi="Arial Narrow"/>
          <w:sz w:val="20"/>
          <w:szCs w:val="20"/>
        </w:rPr>
        <w:t xml:space="preserve">DCM = </w:t>
      </w:r>
      <w:r w:rsidRPr="00CE2480">
        <w:rPr>
          <w:rFonts w:ascii="Arial Narrow" w:hAnsi="Arial Narrow"/>
          <w:sz w:val="20"/>
          <w:szCs w:val="20"/>
        </w:rPr>
        <w:t xml:space="preserve">dilated cardiomyopathy; </w:t>
      </w:r>
      <w:r w:rsidRPr="0007245A">
        <w:rPr>
          <w:rFonts w:ascii="Arial Narrow" w:hAnsi="Arial Narrow"/>
          <w:sz w:val="20"/>
          <w:szCs w:val="20"/>
        </w:rPr>
        <w:t xml:space="preserve">Echo = echocardiography; </w:t>
      </w:r>
      <w:r w:rsidRPr="00DF2B4D">
        <w:rPr>
          <w:rFonts w:ascii="Arial Narrow" w:hAnsi="Arial Narrow"/>
          <w:sz w:val="20"/>
          <w:szCs w:val="20"/>
        </w:rPr>
        <w:t xml:space="preserve">EMB = </w:t>
      </w:r>
      <w:r w:rsidRPr="00CE2480">
        <w:rPr>
          <w:rFonts w:ascii="Arial Narrow" w:hAnsi="Arial Narrow"/>
          <w:sz w:val="20"/>
          <w:szCs w:val="20"/>
        </w:rPr>
        <w:t>endomyocardial biopsy</w:t>
      </w:r>
      <w:r w:rsidRPr="00DF2B4D">
        <w:rPr>
          <w:rFonts w:ascii="Arial Narrow" w:hAnsi="Arial Narrow"/>
          <w:sz w:val="20"/>
          <w:szCs w:val="20"/>
        </w:rPr>
        <w:t xml:space="preserve">; </w:t>
      </w:r>
      <w:r w:rsidRPr="00CE2480">
        <w:rPr>
          <w:rFonts w:ascii="Arial Narrow" w:hAnsi="Arial Narrow"/>
          <w:sz w:val="20"/>
          <w:szCs w:val="20"/>
        </w:rPr>
        <w:t>GHPS = gated heart pool scan;</w:t>
      </w:r>
      <w:r w:rsidRPr="0007245A">
        <w:rPr>
          <w:rFonts w:ascii="Arial Narrow" w:hAnsi="Arial Narrow"/>
          <w:sz w:val="20"/>
          <w:szCs w:val="20"/>
        </w:rPr>
        <w:t xml:space="preserve"> </w:t>
      </w:r>
      <w:r w:rsidR="00BB675B">
        <w:rPr>
          <w:rFonts w:ascii="Arial Narrow" w:hAnsi="Arial Narrow"/>
          <w:sz w:val="20"/>
          <w:szCs w:val="20"/>
        </w:rPr>
        <w:t xml:space="preserve">HF = heart failure; </w:t>
      </w:r>
      <w:r w:rsidRPr="0007245A">
        <w:rPr>
          <w:rFonts w:ascii="Arial Narrow" w:hAnsi="Arial Narrow"/>
          <w:sz w:val="20"/>
          <w:szCs w:val="20"/>
        </w:rPr>
        <w:t xml:space="preserve">ICA = </w:t>
      </w:r>
      <w:r w:rsidRPr="00CE2480">
        <w:rPr>
          <w:rFonts w:ascii="Arial Narrow" w:hAnsi="Arial Narrow"/>
          <w:sz w:val="20"/>
          <w:szCs w:val="20"/>
        </w:rPr>
        <w:t>invasive coronary angiography;</w:t>
      </w:r>
      <w:r w:rsidR="00E436AA" w:rsidRPr="00B65F62">
        <w:rPr>
          <w:rFonts w:ascii="Arial Narrow" w:hAnsi="Arial Narrow"/>
          <w:sz w:val="20"/>
          <w:szCs w:val="20"/>
        </w:rPr>
        <w:t xml:space="preserve"> </w:t>
      </w:r>
      <w:r w:rsidR="00697D16" w:rsidRPr="00B65F62">
        <w:rPr>
          <w:rFonts w:ascii="Arial Narrow" w:hAnsi="Arial Narrow"/>
          <w:sz w:val="20"/>
          <w:szCs w:val="20"/>
        </w:rPr>
        <w:t>ICER = incremental cost-effectiveness ratio</w:t>
      </w:r>
      <w:r w:rsidR="00697D16">
        <w:rPr>
          <w:rFonts w:ascii="Arial Narrow" w:hAnsi="Arial Narrow"/>
          <w:sz w:val="20"/>
          <w:szCs w:val="20"/>
        </w:rPr>
        <w:t xml:space="preserve">; </w:t>
      </w:r>
      <w:r w:rsidR="00E436AA" w:rsidRPr="00B65F62">
        <w:rPr>
          <w:rFonts w:ascii="Arial Narrow" w:hAnsi="Arial Narrow"/>
          <w:sz w:val="20"/>
          <w:szCs w:val="20"/>
        </w:rPr>
        <w:t xml:space="preserve">QALY = quality adjusted life year; </w:t>
      </w:r>
      <w:r w:rsidR="000728E6">
        <w:rPr>
          <w:rFonts w:ascii="Arial Narrow" w:hAnsi="Arial Narrow"/>
          <w:sz w:val="20"/>
          <w:szCs w:val="20"/>
        </w:rPr>
        <w:t>SPECT = single-</w:t>
      </w:r>
      <w:r w:rsidR="00697D16" w:rsidRPr="00B65F62">
        <w:rPr>
          <w:rFonts w:ascii="Arial Narrow" w:hAnsi="Arial Narrow"/>
          <w:sz w:val="20"/>
          <w:szCs w:val="20"/>
        </w:rPr>
        <w:t>photon emission computed tomography</w:t>
      </w:r>
    </w:p>
    <w:p w14:paraId="2D9CE490" w14:textId="002B755E" w:rsidR="005C4074" w:rsidRDefault="00BB675B" w:rsidP="004C79C1">
      <w:pPr>
        <w:spacing w:after="120" w:line="240" w:lineRule="auto"/>
        <w:jc w:val="both"/>
      </w:pPr>
      <w:r>
        <w:t xml:space="preserve">The </w:t>
      </w:r>
      <w:r w:rsidR="00CC5307">
        <w:t>PICO</w:t>
      </w:r>
      <w:r w:rsidR="00CC5307" w:rsidRPr="00183E4D">
        <w:t xml:space="preserve"> that were specified to guide the systematic literature review</w:t>
      </w:r>
      <w:r w:rsidR="00CC5307">
        <w:t xml:space="preserve"> for a linked evidence approach</w:t>
      </w:r>
      <w:r w:rsidR="00CC5307" w:rsidRPr="00183E4D">
        <w:t xml:space="preserve"> are presented</w:t>
      </w:r>
      <w:r w:rsidR="00CC5307">
        <w:t xml:space="preserve"> in</w:t>
      </w:r>
      <w:r w:rsidR="00E74468">
        <w:t xml:space="preserve"> </w:t>
      </w:r>
      <w:r w:rsidR="00E74468">
        <w:fldChar w:fldCharType="begin"/>
      </w:r>
      <w:r w:rsidR="00E74468">
        <w:instrText xml:space="preserve"> REF _Ref447108512 \h </w:instrText>
      </w:r>
      <w:r w:rsidR="00E74468">
        <w:fldChar w:fldCharType="separate"/>
      </w:r>
      <w:r w:rsidR="00460601">
        <w:t xml:space="preserve">Box </w:t>
      </w:r>
      <w:r w:rsidR="00460601">
        <w:rPr>
          <w:noProof/>
        </w:rPr>
        <w:t>3</w:t>
      </w:r>
      <w:r w:rsidR="00E74468">
        <w:fldChar w:fldCharType="end"/>
      </w:r>
      <w:r w:rsidR="00E74468">
        <w:t xml:space="preserve"> to </w:t>
      </w:r>
      <w:r w:rsidR="00E74468">
        <w:fldChar w:fldCharType="begin"/>
      </w:r>
      <w:r w:rsidR="00E74468">
        <w:instrText xml:space="preserve"> REF _Ref447023999 \h </w:instrText>
      </w:r>
      <w:r w:rsidR="00E74468">
        <w:fldChar w:fldCharType="separate"/>
      </w:r>
      <w:r w:rsidR="00460601">
        <w:t xml:space="preserve">Box </w:t>
      </w:r>
      <w:r w:rsidR="00460601">
        <w:rPr>
          <w:noProof/>
        </w:rPr>
        <w:t>6</w:t>
      </w:r>
      <w:r w:rsidR="00E74468">
        <w:fldChar w:fldCharType="end"/>
      </w:r>
      <w:r w:rsidR="00CC5307">
        <w:t>.</w:t>
      </w:r>
      <w:r w:rsidR="005C4074">
        <w:t xml:space="preserve"> </w:t>
      </w:r>
    </w:p>
    <w:p w14:paraId="133E655E" w14:textId="20E01A05" w:rsidR="000409F9" w:rsidRPr="007B3012" w:rsidRDefault="003018D2" w:rsidP="00161B88">
      <w:pPr>
        <w:pStyle w:val="Heading3"/>
      </w:pPr>
      <w:bookmarkStart w:id="181" w:name="_Toc451501288"/>
      <w:bookmarkStart w:id="182" w:name="_Ref399335476"/>
      <w:r>
        <w:t>Diagnostic performance</w:t>
      </w:r>
      <w:bookmarkEnd w:id="181"/>
    </w:p>
    <w:p w14:paraId="525D6FFF" w14:textId="6FC6841F" w:rsidR="003D543E" w:rsidRPr="00183E4D" w:rsidRDefault="003D543E" w:rsidP="004C79C1">
      <w:pPr>
        <w:pStyle w:val="Caption"/>
        <w:keepNext/>
      </w:pPr>
      <w:bookmarkStart w:id="183" w:name="_Ref447108512"/>
      <w:bookmarkStart w:id="184" w:name="_Toc448827355"/>
      <w:bookmarkStart w:id="185" w:name="_Toc324410120"/>
      <w:r>
        <w:t xml:space="preserve">Box </w:t>
      </w:r>
      <w:fldSimple w:instr=" SEQ Box \* ARABIC ">
        <w:r w:rsidR="00460601">
          <w:rPr>
            <w:noProof/>
          </w:rPr>
          <w:t>3</w:t>
        </w:r>
      </w:fldSimple>
      <w:bookmarkEnd w:id="182"/>
      <w:bookmarkEnd w:id="183"/>
      <w:r w:rsidRPr="00183E4D">
        <w:rPr>
          <w:szCs w:val="20"/>
        </w:rPr>
        <w:tab/>
      </w:r>
      <w:r w:rsidRPr="00183E4D">
        <w:t xml:space="preserve">Criteria for identifying and selecting studies to determine the </w:t>
      </w:r>
      <w:r w:rsidR="007D586B">
        <w:t>accuracy</w:t>
      </w:r>
      <w:r w:rsidRPr="00183E4D">
        <w:t xml:space="preserve"> of </w:t>
      </w:r>
      <w:r w:rsidR="00776088">
        <w:t>CMR</w:t>
      </w:r>
      <w:r w:rsidRPr="00183E4D">
        <w:t xml:space="preserve"> in patients with </w:t>
      </w:r>
      <w:r w:rsidR="00776088" w:rsidRPr="00183E4D">
        <w:t xml:space="preserve">patients with </w:t>
      </w:r>
      <w:r w:rsidR="00776088" w:rsidRPr="00E436AA">
        <w:t>suspected DCM</w:t>
      </w:r>
      <w:bookmarkEnd w:id="184"/>
      <w:bookmarkEnd w:id="18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a description of the criteria used to select studies to assess the effectiveness of the technology."/>
      </w:tblPr>
      <w:tblGrid>
        <w:gridCol w:w="1948"/>
        <w:gridCol w:w="3915"/>
        <w:gridCol w:w="3153"/>
      </w:tblGrid>
      <w:tr w:rsidR="00456F62" w:rsidRPr="00183E4D" w14:paraId="1CC1ECDB" w14:textId="44DE5336" w:rsidTr="00456F62">
        <w:trPr>
          <w:trHeight w:val="263"/>
        </w:trPr>
        <w:tc>
          <w:tcPr>
            <w:tcW w:w="1948" w:type="dxa"/>
            <w:shd w:val="clear" w:color="auto" w:fill="auto"/>
          </w:tcPr>
          <w:p w14:paraId="659E66C5" w14:textId="77777777" w:rsidR="00456F62" w:rsidRPr="00183E4D" w:rsidRDefault="00456F62" w:rsidP="004C79C1">
            <w:pPr>
              <w:pStyle w:val="Tabletext1"/>
              <w:spacing w:before="0" w:after="120"/>
              <w:rPr>
                <w:b/>
              </w:rPr>
            </w:pPr>
            <w:r w:rsidRPr="00183E4D">
              <w:rPr>
                <w:b/>
              </w:rPr>
              <w:t>Selection criteria</w:t>
            </w:r>
          </w:p>
        </w:tc>
        <w:tc>
          <w:tcPr>
            <w:tcW w:w="3915" w:type="dxa"/>
            <w:shd w:val="clear" w:color="auto" w:fill="auto"/>
          </w:tcPr>
          <w:p w14:paraId="08D98B4E" w14:textId="230251AB" w:rsidR="00456F62" w:rsidRPr="00183E4D" w:rsidRDefault="00456F62"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w:t>
            </w:r>
            <w:r w:rsidR="00425CB7">
              <w:rPr>
                <w:rFonts w:cs="Arial"/>
                <w:b/>
              </w:rPr>
              <w:t>)</w:t>
            </w:r>
          </w:p>
        </w:tc>
        <w:tc>
          <w:tcPr>
            <w:tcW w:w="3153" w:type="dxa"/>
            <w:shd w:val="clear" w:color="auto" w:fill="auto"/>
          </w:tcPr>
          <w:p w14:paraId="202B0FD8" w14:textId="1A49F79A" w:rsidR="00456F62" w:rsidRPr="00183E4D" w:rsidRDefault="006C29CF"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ii</w:t>
            </w:r>
            <w:r w:rsidR="00425CB7">
              <w:rPr>
                <w:rFonts w:cs="Arial"/>
                <w:b/>
              </w:rPr>
              <w:t>)</w:t>
            </w:r>
          </w:p>
        </w:tc>
      </w:tr>
      <w:tr w:rsidR="00456F62" w:rsidRPr="00183E4D" w14:paraId="4A8B24D5" w14:textId="78E40A37" w:rsidTr="00456F62">
        <w:tc>
          <w:tcPr>
            <w:tcW w:w="1948" w:type="dxa"/>
            <w:shd w:val="clear" w:color="auto" w:fill="auto"/>
          </w:tcPr>
          <w:p w14:paraId="56A845E7" w14:textId="77777777" w:rsidR="00456F62" w:rsidRPr="00183E4D" w:rsidRDefault="00456F62" w:rsidP="004C79C1">
            <w:pPr>
              <w:pStyle w:val="Tabletext1"/>
              <w:spacing w:before="0" w:after="120"/>
            </w:pPr>
            <w:r w:rsidRPr="00183E4D">
              <w:t>Population</w:t>
            </w:r>
          </w:p>
        </w:tc>
        <w:tc>
          <w:tcPr>
            <w:tcW w:w="3915" w:type="dxa"/>
            <w:shd w:val="clear" w:color="auto" w:fill="auto"/>
          </w:tcPr>
          <w:p w14:paraId="108E9F8A" w14:textId="5574A31B" w:rsidR="00456F62" w:rsidRPr="00183E4D" w:rsidRDefault="00456F62" w:rsidP="004C79C1">
            <w:pPr>
              <w:pStyle w:val="Tabletext1"/>
              <w:spacing w:before="0" w:after="120"/>
              <w:rPr>
                <w:rFonts w:cs="Arial"/>
              </w:rPr>
            </w:pPr>
            <w:r w:rsidRPr="00C236C7">
              <w:t xml:space="preserve">Patients presenting with </w:t>
            </w:r>
            <w:r w:rsidR="00BB675B">
              <w:t>HF</w:t>
            </w:r>
            <w:r w:rsidRPr="00C236C7">
              <w:t xml:space="preserve"> symptoms, in whom</w:t>
            </w:r>
            <w:r>
              <w:t xml:space="preserve"> Echo</w:t>
            </w:r>
            <w:r w:rsidRPr="00C236C7">
              <w:t xml:space="preserve"> is inconclusive</w:t>
            </w:r>
          </w:p>
        </w:tc>
        <w:tc>
          <w:tcPr>
            <w:tcW w:w="3153" w:type="dxa"/>
            <w:shd w:val="clear" w:color="auto" w:fill="auto"/>
          </w:tcPr>
          <w:p w14:paraId="5F68E7AD" w14:textId="3F97FC5C" w:rsidR="00456F62" w:rsidRPr="00183E4D" w:rsidRDefault="00456F62" w:rsidP="004C79C1">
            <w:pPr>
              <w:pStyle w:val="Tabletext1"/>
              <w:spacing w:before="0" w:after="120"/>
              <w:rPr>
                <w:rFonts w:cs="Arial"/>
              </w:rPr>
            </w:pPr>
            <w:r w:rsidRPr="00C236C7">
              <w:t xml:space="preserve">Patients presenting with </w:t>
            </w:r>
            <w:r w:rsidR="00BB675B">
              <w:t>HF</w:t>
            </w:r>
            <w:r w:rsidRPr="00C236C7">
              <w:t xml:space="preserve"> symptoms, in whom</w:t>
            </w:r>
            <w:r>
              <w:t xml:space="preserve"> Echo </w:t>
            </w:r>
            <w:r w:rsidRPr="00C236C7">
              <w:t xml:space="preserve">suggests a </w:t>
            </w:r>
            <w:r w:rsidR="00BB675B">
              <w:t>DCM</w:t>
            </w:r>
            <w:r w:rsidRPr="00C236C7">
              <w:t xml:space="preserve"> </w:t>
            </w:r>
            <w:r>
              <w:t xml:space="preserve">and who have low or intermediate risk of </w:t>
            </w:r>
            <w:r w:rsidR="00C869AA">
              <w:t>CAD</w:t>
            </w:r>
          </w:p>
        </w:tc>
      </w:tr>
      <w:tr w:rsidR="00456F62" w:rsidRPr="00183E4D" w14:paraId="05F7C342" w14:textId="539DDE66" w:rsidTr="00456F62">
        <w:tc>
          <w:tcPr>
            <w:tcW w:w="1948" w:type="dxa"/>
            <w:shd w:val="clear" w:color="auto" w:fill="auto"/>
          </w:tcPr>
          <w:p w14:paraId="5710E5F4" w14:textId="0D2B1B8C" w:rsidR="00456F62" w:rsidRPr="00183E4D" w:rsidRDefault="00456F62" w:rsidP="004C79C1">
            <w:pPr>
              <w:pStyle w:val="Tabletext1"/>
              <w:spacing w:before="0" w:after="120"/>
            </w:pPr>
            <w:r>
              <w:t>Prior tests</w:t>
            </w:r>
          </w:p>
        </w:tc>
        <w:tc>
          <w:tcPr>
            <w:tcW w:w="3915" w:type="dxa"/>
            <w:shd w:val="clear" w:color="auto" w:fill="auto"/>
          </w:tcPr>
          <w:p w14:paraId="3E52B508" w14:textId="0F6A6704" w:rsidR="00456F62" w:rsidRPr="00183E4D" w:rsidRDefault="002F0D18" w:rsidP="004C79C1">
            <w:pPr>
              <w:pStyle w:val="Tabletext1"/>
              <w:spacing w:before="0" w:after="120"/>
              <w:rPr>
                <w:rFonts w:cs="Arial"/>
              </w:rPr>
            </w:pPr>
            <w:r>
              <w:rPr>
                <w:rFonts w:cs="Arial"/>
              </w:rPr>
              <w:t xml:space="preserve">Clinical examination, ECG, </w:t>
            </w:r>
            <w:r w:rsidR="00C869AA">
              <w:rPr>
                <w:rFonts w:cs="Arial"/>
              </w:rPr>
              <w:t>Echo</w:t>
            </w:r>
          </w:p>
        </w:tc>
        <w:tc>
          <w:tcPr>
            <w:tcW w:w="3153" w:type="dxa"/>
            <w:shd w:val="clear" w:color="auto" w:fill="auto"/>
          </w:tcPr>
          <w:p w14:paraId="6A69D913" w14:textId="5BF71210" w:rsidR="00456F62" w:rsidRPr="00183E4D" w:rsidRDefault="002F0D18" w:rsidP="004C79C1">
            <w:pPr>
              <w:pStyle w:val="Tabletext1"/>
              <w:spacing w:before="0" w:after="120"/>
              <w:rPr>
                <w:rFonts w:cs="Arial"/>
              </w:rPr>
            </w:pPr>
            <w:r>
              <w:rPr>
                <w:rFonts w:cs="Arial"/>
              </w:rPr>
              <w:t xml:space="preserve">Clinical examination, ECG, </w:t>
            </w:r>
            <w:r w:rsidR="00C869AA">
              <w:rPr>
                <w:rFonts w:cs="Arial"/>
              </w:rPr>
              <w:t>Echo</w:t>
            </w:r>
          </w:p>
        </w:tc>
      </w:tr>
      <w:tr w:rsidR="002F494D" w:rsidRPr="00183E4D" w14:paraId="47729BF1" w14:textId="4607FAB1" w:rsidTr="00456F62">
        <w:tc>
          <w:tcPr>
            <w:tcW w:w="1948" w:type="dxa"/>
            <w:shd w:val="clear" w:color="auto" w:fill="auto"/>
          </w:tcPr>
          <w:p w14:paraId="0D0A7C2B" w14:textId="77777777" w:rsidR="002F494D" w:rsidRPr="00183E4D" w:rsidRDefault="002F494D" w:rsidP="004C79C1">
            <w:pPr>
              <w:pStyle w:val="Tabletext1"/>
              <w:spacing w:before="0" w:after="120"/>
            </w:pPr>
            <w:r w:rsidRPr="00183E4D">
              <w:t>In</w:t>
            </w:r>
            <w:r>
              <w:t>dex test</w:t>
            </w:r>
          </w:p>
        </w:tc>
        <w:tc>
          <w:tcPr>
            <w:tcW w:w="3915" w:type="dxa"/>
            <w:shd w:val="clear" w:color="auto" w:fill="auto"/>
          </w:tcPr>
          <w:p w14:paraId="664A3225" w14:textId="032AC94E" w:rsidR="002F494D" w:rsidRPr="00183E4D" w:rsidRDefault="002F494D" w:rsidP="004C79C1">
            <w:pPr>
              <w:pStyle w:val="Tabletext1"/>
              <w:spacing w:before="0" w:after="120"/>
            </w:pPr>
            <w:r>
              <w:rPr>
                <w:rFonts w:cs="Arial Narrow"/>
                <w:bCs/>
              </w:rPr>
              <w:t>CMR</w:t>
            </w:r>
          </w:p>
        </w:tc>
        <w:tc>
          <w:tcPr>
            <w:tcW w:w="3153" w:type="dxa"/>
            <w:shd w:val="clear" w:color="auto" w:fill="auto"/>
          </w:tcPr>
          <w:p w14:paraId="3B29282D" w14:textId="1B79666B" w:rsidR="002F494D" w:rsidRPr="00183E4D" w:rsidRDefault="002F494D" w:rsidP="004C79C1">
            <w:pPr>
              <w:pStyle w:val="Tabletext1"/>
              <w:spacing w:before="0" w:after="120"/>
            </w:pPr>
            <w:r>
              <w:t>CMR</w:t>
            </w:r>
          </w:p>
        </w:tc>
      </w:tr>
      <w:tr w:rsidR="002F494D" w:rsidRPr="00183E4D" w14:paraId="6E9296A1" w14:textId="7EA90DEC" w:rsidTr="00456F62">
        <w:tc>
          <w:tcPr>
            <w:tcW w:w="1948" w:type="dxa"/>
            <w:shd w:val="clear" w:color="auto" w:fill="auto"/>
          </w:tcPr>
          <w:p w14:paraId="4B4D33DB" w14:textId="613F5BEC" w:rsidR="002F494D" w:rsidRPr="00183E4D" w:rsidRDefault="002F494D" w:rsidP="004C79C1">
            <w:pPr>
              <w:pStyle w:val="Tabletext1"/>
              <w:spacing w:before="0" w:after="120"/>
            </w:pPr>
            <w:r>
              <w:t>Comparators</w:t>
            </w:r>
          </w:p>
        </w:tc>
        <w:tc>
          <w:tcPr>
            <w:tcW w:w="3915" w:type="dxa"/>
            <w:shd w:val="clear" w:color="auto" w:fill="auto"/>
          </w:tcPr>
          <w:p w14:paraId="4498D789" w14:textId="0755E75F" w:rsidR="002F494D" w:rsidRDefault="00E81332" w:rsidP="004C79C1">
            <w:pPr>
              <w:pStyle w:val="Tabletext1"/>
              <w:numPr>
                <w:ilvl w:val="0"/>
                <w:numId w:val="29"/>
              </w:numPr>
              <w:spacing w:before="0" w:after="120"/>
              <w:ind w:left="459" w:hanging="284"/>
              <w:rPr>
                <w:rFonts w:cs="Arial Narrow"/>
                <w:bCs/>
              </w:rPr>
            </w:pPr>
            <w:r>
              <w:rPr>
                <w:rFonts w:cs="Arial Narrow"/>
                <w:bCs/>
              </w:rPr>
              <w:t>c</w:t>
            </w:r>
            <w:r w:rsidR="002F494D" w:rsidRPr="00D76006">
              <w:rPr>
                <w:rFonts w:cs="Arial Narrow"/>
                <w:bCs/>
              </w:rPr>
              <w:t>Echo</w:t>
            </w:r>
          </w:p>
          <w:p w14:paraId="370B6248" w14:textId="7FC5FC40" w:rsidR="002F494D" w:rsidRDefault="002F494D" w:rsidP="004C79C1">
            <w:pPr>
              <w:pStyle w:val="Tabletext1"/>
              <w:numPr>
                <w:ilvl w:val="0"/>
                <w:numId w:val="29"/>
              </w:numPr>
              <w:spacing w:before="0" w:after="120"/>
              <w:ind w:left="459" w:hanging="284"/>
              <w:rPr>
                <w:rFonts w:cs="Arial Narrow"/>
                <w:bCs/>
              </w:rPr>
            </w:pPr>
            <w:r w:rsidRPr="00D76006">
              <w:rPr>
                <w:rFonts w:cs="Arial Narrow"/>
                <w:bCs/>
              </w:rPr>
              <w:t>G</w:t>
            </w:r>
            <w:r w:rsidR="00C869AA">
              <w:rPr>
                <w:rFonts w:cs="Arial Narrow"/>
                <w:bCs/>
              </w:rPr>
              <w:t>HPS</w:t>
            </w:r>
          </w:p>
          <w:p w14:paraId="4314018F" w14:textId="77777777" w:rsidR="00850848" w:rsidRPr="00850848" w:rsidRDefault="00850848" w:rsidP="004C79C1">
            <w:pPr>
              <w:pStyle w:val="Tabletext1"/>
              <w:numPr>
                <w:ilvl w:val="0"/>
                <w:numId w:val="29"/>
              </w:numPr>
              <w:spacing w:before="0" w:after="120"/>
              <w:ind w:left="459" w:hanging="284"/>
            </w:pPr>
            <w:r>
              <w:rPr>
                <w:rFonts w:cs="Arial Narrow"/>
                <w:bCs/>
              </w:rPr>
              <w:t>CTCA</w:t>
            </w:r>
          </w:p>
          <w:p w14:paraId="718C9ECB" w14:textId="77777777" w:rsidR="00850848" w:rsidRPr="00850848" w:rsidRDefault="00850848" w:rsidP="004C79C1">
            <w:pPr>
              <w:pStyle w:val="Tabletext1"/>
              <w:numPr>
                <w:ilvl w:val="0"/>
                <w:numId w:val="29"/>
              </w:numPr>
              <w:spacing w:before="0" w:after="120"/>
              <w:ind w:left="459" w:hanging="284"/>
            </w:pPr>
            <w:r>
              <w:rPr>
                <w:rFonts w:cs="Arial Narrow"/>
                <w:bCs/>
              </w:rPr>
              <w:t>SPECT</w:t>
            </w:r>
          </w:p>
          <w:p w14:paraId="3AB4B567" w14:textId="77777777" w:rsidR="00850848" w:rsidRPr="00850848" w:rsidRDefault="00850848" w:rsidP="004C79C1">
            <w:pPr>
              <w:pStyle w:val="Tabletext1"/>
              <w:numPr>
                <w:ilvl w:val="0"/>
                <w:numId w:val="29"/>
              </w:numPr>
              <w:spacing w:before="0" w:after="120"/>
              <w:ind w:left="459" w:hanging="284"/>
            </w:pPr>
            <w:r>
              <w:rPr>
                <w:rFonts w:cs="Arial Narrow"/>
                <w:bCs/>
              </w:rPr>
              <w:t>Stress Echo</w:t>
            </w:r>
          </w:p>
          <w:p w14:paraId="6BCB3A90" w14:textId="201F3540" w:rsidR="00850848" w:rsidRPr="00850848" w:rsidRDefault="00850848" w:rsidP="004C79C1">
            <w:pPr>
              <w:pStyle w:val="Tabletext1"/>
              <w:numPr>
                <w:ilvl w:val="0"/>
                <w:numId w:val="29"/>
              </w:numPr>
              <w:spacing w:before="0" w:after="120"/>
              <w:ind w:left="459" w:hanging="284"/>
            </w:pPr>
            <w:r>
              <w:rPr>
                <w:rFonts w:cs="Arial Narrow"/>
                <w:bCs/>
              </w:rPr>
              <w:t>ICA</w:t>
            </w:r>
          </w:p>
        </w:tc>
        <w:tc>
          <w:tcPr>
            <w:tcW w:w="3153" w:type="dxa"/>
            <w:shd w:val="clear" w:color="auto" w:fill="auto"/>
          </w:tcPr>
          <w:p w14:paraId="0549AB27" w14:textId="77777777" w:rsidR="002F494D" w:rsidRPr="005C35D7" w:rsidRDefault="002F494D" w:rsidP="004C79C1">
            <w:pPr>
              <w:pStyle w:val="Tabletext1"/>
              <w:numPr>
                <w:ilvl w:val="0"/>
                <w:numId w:val="29"/>
              </w:numPr>
              <w:spacing w:before="0" w:after="120"/>
              <w:ind w:left="459" w:hanging="284"/>
              <w:rPr>
                <w:rFonts w:cs="Arial Narrow"/>
                <w:bCs/>
              </w:rPr>
            </w:pPr>
            <w:r w:rsidRPr="005C35D7">
              <w:rPr>
                <w:rFonts w:cs="Arial Narrow"/>
                <w:bCs/>
              </w:rPr>
              <w:t xml:space="preserve">CTCA </w:t>
            </w:r>
          </w:p>
          <w:p w14:paraId="76379C2E" w14:textId="77777777" w:rsidR="002F494D" w:rsidRDefault="002F494D" w:rsidP="004C79C1">
            <w:pPr>
              <w:pStyle w:val="Tabletext1"/>
              <w:numPr>
                <w:ilvl w:val="0"/>
                <w:numId w:val="29"/>
              </w:numPr>
              <w:spacing w:before="0" w:after="120"/>
              <w:ind w:left="459" w:hanging="284"/>
              <w:rPr>
                <w:rFonts w:cs="Arial Narrow"/>
                <w:bCs/>
              </w:rPr>
            </w:pPr>
            <w:r w:rsidRPr="005C35D7">
              <w:rPr>
                <w:rFonts w:cs="Arial Narrow"/>
                <w:bCs/>
              </w:rPr>
              <w:t xml:space="preserve">SPECT </w:t>
            </w:r>
          </w:p>
          <w:p w14:paraId="49CE1CC3" w14:textId="77777777" w:rsidR="00850848" w:rsidRDefault="00850848" w:rsidP="004C79C1">
            <w:pPr>
              <w:pStyle w:val="Tabletext1"/>
              <w:numPr>
                <w:ilvl w:val="0"/>
                <w:numId w:val="29"/>
              </w:numPr>
              <w:spacing w:before="0" w:after="120"/>
              <w:ind w:left="459" w:hanging="284"/>
              <w:rPr>
                <w:rFonts w:cs="Arial Narrow"/>
                <w:bCs/>
              </w:rPr>
            </w:pPr>
            <w:r>
              <w:rPr>
                <w:rFonts w:cs="Arial Narrow"/>
                <w:bCs/>
              </w:rPr>
              <w:t>Stress Echo</w:t>
            </w:r>
          </w:p>
          <w:p w14:paraId="5B720BE9" w14:textId="530F6662" w:rsidR="00850848" w:rsidRPr="00850848" w:rsidRDefault="00850848" w:rsidP="004C79C1">
            <w:pPr>
              <w:pStyle w:val="Tabletext1"/>
              <w:numPr>
                <w:ilvl w:val="0"/>
                <w:numId w:val="29"/>
              </w:numPr>
              <w:spacing w:before="0" w:after="120"/>
              <w:ind w:left="459" w:hanging="284"/>
              <w:rPr>
                <w:rFonts w:cs="Arial Narrow"/>
                <w:bCs/>
              </w:rPr>
            </w:pPr>
            <w:r>
              <w:rPr>
                <w:rFonts w:cs="Arial Narrow"/>
                <w:bCs/>
              </w:rPr>
              <w:t>ICA</w:t>
            </w:r>
          </w:p>
          <w:p w14:paraId="368818F6" w14:textId="1CA3203C" w:rsidR="002F494D" w:rsidRPr="00823DA2" w:rsidRDefault="002F494D" w:rsidP="004C79C1">
            <w:pPr>
              <w:pStyle w:val="Tabletext1"/>
              <w:numPr>
                <w:ilvl w:val="0"/>
                <w:numId w:val="29"/>
              </w:numPr>
              <w:spacing w:before="0" w:after="120"/>
              <w:ind w:left="459" w:hanging="284"/>
              <w:rPr>
                <w:rFonts w:cs="Arial Narrow"/>
                <w:bCs/>
              </w:rPr>
            </w:pPr>
            <w:r>
              <w:rPr>
                <w:rFonts w:cs="Arial Narrow"/>
                <w:bCs/>
              </w:rPr>
              <w:t xml:space="preserve">Further tests (e.g. genetic testing, further blood tests, </w:t>
            </w:r>
            <w:r w:rsidR="00C869AA">
              <w:rPr>
                <w:rFonts w:cs="Arial Narrow"/>
                <w:bCs/>
              </w:rPr>
              <w:t>EMB</w:t>
            </w:r>
            <w:r>
              <w:rPr>
                <w:rFonts w:cs="Arial Narrow"/>
                <w:bCs/>
              </w:rPr>
              <w:t>)</w:t>
            </w:r>
          </w:p>
        </w:tc>
      </w:tr>
      <w:tr w:rsidR="002F494D" w:rsidRPr="00183E4D" w14:paraId="61133A46" w14:textId="015C2E68" w:rsidTr="00456F62">
        <w:tc>
          <w:tcPr>
            <w:tcW w:w="1948" w:type="dxa"/>
            <w:shd w:val="clear" w:color="auto" w:fill="auto"/>
          </w:tcPr>
          <w:p w14:paraId="12D558FA" w14:textId="434CE289" w:rsidR="002F494D" w:rsidRPr="00183E4D" w:rsidRDefault="002F494D" w:rsidP="004C79C1">
            <w:pPr>
              <w:pStyle w:val="Tabletext1"/>
              <w:spacing w:before="0" w:after="120"/>
            </w:pPr>
            <w:r>
              <w:t>Reference standard</w:t>
            </w:r>
          </w:p>
        </w:tc>
        <w:tc>
          <w:tcPr>
            <w:tcW w:w="3915" w:type="dxa"/>
            <w:shd w:val="clear" w:color="auto" w:fill="auto"/>
          </w:tcPr>
          <w:p w14:paraId="547010B6" w14:textId="1912B773" w:rsidR="002F494D" w:rsidRDefault="002F494D" w:rsidP="004C79C1">
            <w:pPr>
              <w:pStyle w:val="Tabletext1"/>
              <w:numPr>
                <w:ilvl w:val="0"/>
                <w:numId w:val="29"/>
              </w:numPr>
              <w:spacing w:before="0" w:after="120"/>
              <w:ind w:left="459" w:hanging="284"/>
              <w:rPr>
                <w:rFonts w:cs="Arial Narrow"/>
                <w:bCs/>
              </w:rPr>
            </w:pPr>
            <w:r w:rsidRPr="00776088">
              <w:rPr>
                <w:rFonts w:cs="Arial Narrow"/>
                <w:bCs/>
              </w:rPr>
              <w:t xml:space="preserve"> ICA</w:t>
            </w:r>
          </w:p>
          <w:p w14:paraId="18F8C0B5" w14:textId="2E5A2912" w:rsidR="00DE3F2F" w:rsidRPr="00776088" w:rsidRDefault="00DE3F2F" w:rsidP="004C79C1">
            <w:pPr>
              <w:pStyle w:val="Tabletext1"/>
              <w:numPr>
                <w:ilvl w:val="0"/>
                <w:numId w:val="29"/>
              </w:numPr>
              <w:spacing w:before="0" w:after="120"/>
              <w:ind w:left="459" w:hanging="284"/>
              <w:rPr>
                <w:rFonts w:cs="Arial Narrow"/>
                <w:bCs/>
              </w:rPr>
            </w:pPr>
            <w:r>
              <w:rPr>
                <w:rFonts w:cs="Arial Narrow"/>
                <w:bCs/>
              </w:rPr>
              <w:lastRenderedPageBreak/>
              <w:t>Clinical diagnosis</w:t>
            </w:r>
            <w:r w:rsidR="00391278">
              <w:rPr>
                <w:rFonts w:cs="Arial Narrow"/>
                <w:bCs/>
              </w:rPr>
              <w:t xml:space="preserve"> </w:t>
            </w:r>
            <w:r>
              <w:rPr>
                <w:rFonts w:cs="Arial Narrow"/>
                <w:bCs/>
                <w:vertAlign w:val="superscript"/>
              </w:rPr>
              <w:t>a</w:t>
            </w:r>
          </w:p>
          <w:p w14:paraId="6A3E0994" w14:textId="3F85CB2C" w:rsidR="002F494D" w:rsidRPr="00776088" w:rsidRDefault="00F13F5A" w:rsidP="004C79C1">
            <w:pPr>
              <w:pStyle w:val="Tabletext1"/>
              <w:numPr>
                <w:ilvl w:val="0"/>
                <w:numId w:val="29"/>
              </w:numPr>
              <w:spacing w:before="0" w:after="120"/>
              <w:ind w:left="459" w:hanging="284"/>
              <w:rPr>
                <w:rFonts w:cs="Arial Narrow"/>
                <w:bCs/>
              </w:rPr>
            </w:pPr>
            <w:r>
              <w:rPr>
                <w:rFonts w:cs="Arial Narrow"/>
                <w:bCs/>
              </w:rPr>
              <w:t>EMB</w:t>
            </w:r>
          </w:p>
          <w:p w14:paraId="1DC31BEE" w14:textId="69026F72" w:rsidR="002F494D" w:rsidRPr="00183E4D" w:rsidRDefault="002F494D" w:rsidP="004C79C1">
            <w:pPr>
              <w:pStyle w:val="Tabletext1"/>
              <w:numPr>
                <w:ilvl w:val="0"/>
                <w:numId w:val="29"/>
              </w:numPr>
              <w:spacing w:before="0" w:after="120"/>
              <w:ind w:left="459" w:hanging="284"/>
            </w:pPr>
            <w:r w:rsidRPr="00776088">
              <w:rPr>
                <w:rFonts w:cs="Arial Narrow"/>
                <w:bCs/>
              </w:rPr>
              <w:t>Genetic testing</w:t>
            </w:r>
          </w:p>
        </w:tc>
        <w:tc>
          <w:tcPr>
            <w:tcW w:w="3153" w:type="dxa"/>
            <w:shd w:val="clear" w:color="auto" w:fill="auto"/>
          </w:tcPr>
          <w:p w14:paraId="04C78C6F" w14:textId="07DC7B41" w:rsidR="002F0D18" w:rsidRPr="00776088" w:rsidRDefault="002F0D18" w:rsidP="004C79C1">
            <w:pPr>
              <w:pStyle w:val="Tabletext1"/>
              <w:numPr>
                <w:ilvl w:val="0"/>
                <w:numId w:val="29"/>
              </w:numPr>
              <w:spacing w:before="0" w:after="120"/>
              <w:ind w:left="459" w:hanging="284"/>
              <w:rPr>
                <w:rFonts w:cs="Arial Narrow"/>
                <w:bCs/>
              </w:rPr>
            </w:pPr>
            <w:r w:rsidRPr="00776088">
              <w:rPr>
                <w:rFonts w:cs="Arial Narrow"/>
                <w:bCs/>
              </w:rPr>
              <w:lastRenderedPageBreak/>
              <w:t xml:space="preserve"> ICA</w:t>
            </w:r>
          </w:p>
          <w:p w14:paraId="7663286E" w14:textId="15D9D7ED" w:rsidR="002F0D18" w:rsidRPr="00776088" w:rsidRDefault="00F13F5A" w:rsidP="004C79C1">
            <w:pPr>
              <w:pStyle w:val="Tabletext1"/>
              <w:numPr>
                <w:ilvl w:val="0"/>
                <w:numId w:val="29"/>
              </w:numPr>
              <w:spacing w:before="0" w:after="120"/>
              <w:ind w:left="459" w:hanging="284"/>
              <w:rPr>
                <w:rFonts w:cs="Arial Narrow"/>
                <w:bCs/>
              </w:rPr>
            </w:pPr>
            <w:r>
              <w:rPr>
                <w:rFonts w:cs="Arial Narrow"/>
                <w:bCs/>
              </w:rPr>
              <w:lastRenderedPageBreak/>
              <w:t>EMB</w:t>
            </w:r>
          </w:p>
          <w:p w14:paraId="486D0FBE" w14:textId="5513074F" w:rsidR="002F494D" w:rsidRPr="00183E4D" w:rsidRDefault="002F0D18" w:rsidP="004C79C1">
            <w:pPr>
              <w:pStyle w:val="Tabletext1"/>
              <w:numPr>
                <w:ilvl w:val="0"/>
                <w:numId w:val="29"/>
              </w:numPr>
              <w:spacing w:before="0" w:after="120"/>
              <w:ind w:left="459" w:hanging="284"/>
            </w:pPr>
            <w:r w:rsidRPr="00776088">
              <w:rPr>
                <w:rFonts w:cs="Arial Narrow"/>
                <w:bCs/>
              </w:rPr>
              <w:t>Genetic testing</w:t>
            </w:r>
          </w:p>
        </w:tc>
      </w:tr>
      <w:tr w:rsidR="002F494D" w:rsidRPr="00183E4D" w14:paraId="54472968" w14:textId="3F1D6F34" w:rsidTr="00456F62">
        <w:tc>
          <w:tcPr>
            <w:tcW w:w="1948" w:type="dxa"/>
            <w:shd w:val="clear" w:color="auto" w:fill="auto"/>
          </w:tcPr>
          <w:p w14:paraId="2357548A" w14:textId="77777777" w:rsidR="002F494D" w:rsidRPr="00183E4D" w:rsidRDefault="002F494D" w:rsidP="004C79C1">
            <w:pPr>
              <w:pStyle w:val="Tabletext1"/>
              <w:spacing w:before="0" w:after="120"/>
            </w:pPr>
            <w:r w:rsidRPr="00183E4D">
              <w:lastRenderedPageBreak/>
              <w:t>Outcomes</w:t>
            </w:r>
          </w:p>
        </w:tc>
        <w:tc>
          <w:tcPr>
            <w:tcW w:w="3915" w:type="dxa"/>
            <w:shd w:val="clear" w:color="auto" w:fill="auto"/>
          </w:tcPr>
          <w:p w14:paraId="6853072D" w14:textId="3960DAA2" w:rsidR="002F494D" w:rsidRPr="00183E4D" w:rsidRDefault="002F494D" w:rsidP="004C79C1">
            <w:pPr>
              <w:pStyle w:val="Tabletext1"/>
              <w:spacing w:before="0" w:after="120"/>
            </w:pPr>
            <w:r w:rsidRPr="00776088">
              <w:t>Sensitivity, specificity, positive likelihood ratio, negative likelihood ratio, positive predictive value, negative predictive value, SROC curves, unsatisfactory or uninterpretable test results</w:t>
            </w:r>
          </w:p>
        </w:tc>
        <w:tc>
          <w:tcPr>
            <w:tcW w:w="3153" w:type="dxa"/>
            <w:shd w:val="clear" w:color="auto" w:fill="auto"/>
          </w:tcPr>
          <w:p w14:paraId="673FF375" w14:textId="782F0EE2" w:rsidR="002F494D" w:rsidRPr="00183E4D" w:rsidRDefault="002F494D" w:rsidP="004C79C1">
            <w:pPr>
              <w:pStyle w:val="Tabletext1"/>
              <w:spacing w:before="0" w:after="120"/>
            </w:pPr>
            <w:r w:rsidRPr="00776088">
              <w:t>Sensitivity, specificity, positive likelihood ratio, negative likelihood ratio, positive predictive value, negative predictive value, SROC curves, unsatisfactory or uninterpretable test results</w:t>
            </w:r>
          </w:p>
        </w:tc>
      </w:tr>
      <w:tr w:rsidR="002F494D" w:rsidRPr="00183E4D" w14:paraId="615C6C5E" w14:textId="2AD6BB76" w:rsidTr="00456F62">
        <w:tc>
          <w:tcPr>
            <w:tcW w:w="1948" w:type="dxa"/>
            <w:tcBorders>
              <w:top w:val="single" w:sz="4" w:space="0" w:color="auto"/>
              <w:bottom w:val="single" w:sz="4" w:space="0" w:color="auto"/>
            </w:tcBorders>
            <w:shd w:val="clear" w:color="auto" w:fill="auto"/>
          </w:tcPr>
          <w:p w14:paraId="490C4F60" w14:textId="77777777" w:rsidR="002F494D" w:rsidRPr="00183E4D" w:rsidRDefault="002F494D"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3915" w:type="dxa"/>
            <w:tcBorders>
              <w:top w:val="single" w:sz="4" w:space="0" w:color="auto"/>
              <w:bottom w:val="single" w:sz="4" w:space="0" w:color="auto"/>
            </w:tcBorders>
            <w:shd w:val="clear" w:color="auto" w:fill="auto"/>
          </w:tcPr>
          <w:p w14:paraId="784DF27C" w14:textId="2D4FFB70" w:rsidR="002F494D" w:rsidRPr="00776088" w:rsidRDefault="002F494D" w:rsidP="004C79C1">
            <w:pPr>
              <w:tabs>
                <w:tab w:val="left" w:pos="0"/>
              </w:tabs>
              <w:spacing w:after="120" w:line="240" w:lineRule="auto"/>
              <w:ind w:right="62"/>
              <w:rPr>
                <w:rFonts w:ascii="Arial Narrow" w:hAnsi="Arial Narrow"/>
                <w:sz w:val="20"/>
                <w:szCs w:val="20"/>
              </w:rPr>
            </w:pPr>
            <w:r w:rsidRPr="00776088">
              <w:rPr>
                <w:rFonts w:ascii="Arial Narrow" w:hAnsi="Arial Narrow"/>
                <w:sz w:val="20"/>
                <w:szCs w:val="20"/>
              </w:rPr>
              <w:t xml:space="preserve">What is the diagnostic accuracy of </w:t>
            </w:r>
            <w:r w:rsidRPr="00E436AA">
              <w:rPr>
                <w:rFonts w:ascii="Arial Narrow" w:hAnsi="Arial Narrow"/>
                <w:sz w:val="20"/>
                <w:szCs w:val="20"/>
              </w:rPr>
              <w:t xml:space="preserve">CMR compared </w:t>
            </w:r>
            <w:r w:rsidR="009E0BB7">
              <w:rPr>
                <w:rFonts w:ascii="Arial Narrow" w:hAnsi="Arial Narrow"/>
                <w:sz w:val="20"/>
                <w:szCs w:val="20"/>
              </w:rPr>
              <w:t>with</w:t>
            </w:r>
            <w:r w:rsidR="009E0BB7" w:rsidRPr="00E436AA">
              <w:rPr>
                <w:rFonts w:ascii="Arial Narrow" w:hAnsi="Arial Narrow"/>
                <w:sz w:val="20"/>
                <w:szCs w:val="20"/>
              </w:rPr>
              <w:t xml:space="preserve"> </w:t>
            </w:r>
            <w:r>
              <w:rPr>
                <w:rFonts w:ascii="Arial Narrow" w:hAnsi="Arial Narrow"/>
                <w:sz w:val="20"/>
                <w:szCs w:val="20"/>
              </w:rPr>
              <w:t>cEcho</w:t>
            </w:r>
            <w:r w:rsidR="00076589">
              <w:rPr>
                <w:rFonts w:ascii="Arial Narrow" w:hAnsi="Arial Narrow"/>
                <w:sz w:val="20"/>
                <w:szCs w:val="20"/>
              </w:rPr>
              <w:t>,</w:t>
            </w:r>
            <w:r>
              <w:rPr>
                <w:rFonts w:ascii="Arial Narrow" w:hAnsi="Arial Narrow"/>
                <w:sz w:val="20"/>
                <w:szCs w:val="20"/>
              </w:rPr>
              <w:t xml:space="preserve"> </w:t>
            </w:r>
            <w:r w:rsidR="009E0BB7">
              <w:rPr>
                <w:rFonts w:ascii="Arial Narrow" w:hAnsi="Arial Narrow"/>
                <w:sz w:val="20"/>
                <w:szCs w:val="20"/>
              </w:rPr>
              <w:t>GHPS</w:t>
            </w:r>
            <w:r w:rsidR="00076589">
              <w:rPr>
                <w:rFonts w:ascii="Arial Narrow" w:hAnsi="Arial Narrow"/>
                <w:sz w:val="20"/>
                <w:szCs w:val="20"/>
              </w:rPr>
              <w:t xml:space="preserve">, CTCA, </w:t>
            </w:r>
            <w:proofErr w:type="gramStart"/>
            <w:r w:rsidR="00076589">
              <w:rPr>
                <w:rFonts w:ascii="Arial Narrow" w:hAnsi="Arial Narrow"/>
                <w:sz w:val="20"/>
                <w:szCs w:val="20"/>
              </w:rPr>
              <w:t>SPECT</w:t>
            </w:r>
            <w:proofErr w:type="gramEnd"/>
            <w:r w:rsidR="00076589">
              <w:rPr>
                <w:rFonts w:ascii="Arial Narrow" w:hAnsi="Arial Narrow"/>
                <w:sz w:val="20"/>
                <w:szCs w:val="20"/>
              </w:rPr>
              <w:t>, stress Echo and ICA</w:t>
            </w:r>
            <w:r w:rsidRPr="00E436AA">
              <w:rPr>
                <w:rFonts w:ascii="Arial Narrow" w:hAnsi="Arial Narrow"/>
                <w:sz w:val="20"/>
                <w:szCs w:val="20"/>
              </w:rPr>
              <w:t xml:space="preserve"> in patients with </w:t>
            </w:r>
            <w:r w:rsidR="009B1651">
              <w:rPr>
                <w:rFonts w:ascii="Arial Narrow" w:hAnsi="Arial Narrow"/>
                <w:sz w:val="20"/>
                <w:szCs w:val="20"/>
              </w:rPr>
              <w:t>HF</w:t>
            </w:r>
            <w:r w:rsidRPr="00E436AA">
              <w:rPr>
                <w:rFonts w:ascii="Arial Narrow" w:hAnsi="Arial Narrow"/>
                <w:sz w:val="20"/>
                <w:szCs w:val="20"/>
              </w:rPr>
              <w:t xml:space="preserve"> symptoms in whom </w:t>
            </w:r>
            <w:r>
              <w:rPr>
                <w:rFonts w:ascii="Arial Narrow" w:hAnsi="Arial Narrow"/>
                <w:sz w:val="20"/>
                <w:szCs w:val="20"/>
              </w:rPr>
              <w:t>Echo</w:t>
            </w:r>
            <w:r w:rsidRPr="00E436AA">
              <w:rPr>
                <w:rFonts w:ascii="Arial Narrow" w:hAnsi="Arial Narrow"/>
                <w:sz w:val="20"/>
                <w:szCs w:val="20"/>
              </w:rPr>
              <w:t xml:space="preserve"> is inconclusive?</w:t>
            </w:r>
          </w:p>
        </w:tc>
        <w:tc>
          <w:tcPr>
            <w:tcW w:w="3153" w:type="dxa"/>
            <w:tcBorders>
              <w:top w:val="single" w:sz="4" w:space="0" w:color="auto"/>
              <w:bottom w:val="single" w:sz="4" w:space="0" w:color="auto"/>
            </w:tcBorders>
            <w:shd w:val="clear" w:color="auto" w:fill="auto"/>
          </w:tcPr>
          <w:p w14:paraId="0AE260B5" w14:textId="36698A06" w:rsidR="002F494D" w:rsidRPr="00776088" w:rsidRDefault="002F494D" w:rsidP="004C79C1">
            <w:pPr>
              <w:tabs>
                <w:tab w:val="left" w:pos="0"/>
              </w:tabs>
              <w:spacing w:after="120" w:line="240" w:lineRule="auto"/>
              <w:ind w:right="62"/>
              <w:rPr>
                <w:rFonts w:ascii="Arial Narrow" w:hAnsi="Arial Narrow"/>
                <w:sz w:val="20"/>
                <w:szCs w:val="20"/>
              </w:rPr>
            </w:pPr>
            <w:r w:rsidRPr="00776088">
              <w:rPr>
                <w:rFonts w:ascii="Arial Narrow" w:hAnsi="Arial Narrow"/>
                <w:sz w:val="20"/>
                <w:szCs w:val="20"/>
              </w:rPr>
              <w:t xml:space="preserve">What is the diagnostic accuracy of </w:t>
            </w:r>
            <w:r w:rsidRPr="00E436AA">
              <w:rPr>
                <w:rFonts w:ascii="Arial Narrow" w:hAnsi="Arial Narrow"/>
                <w:sz w:val="20"/>
                <w:szCs w:val="20"/>
              </w:rPr>
              <w:t xml:space="preserve">CMR compared </w:t>
            </w:r>
            <w:r w:rsidR="009E0BB7">
              <w:rPr>
                <w:rFonts w:ascii="Arial Narrow" w:hAnsi="Arial Narrow"/>
                <w:sz w:val="20"/>
                <w:szCs w:val="20"/>
              </w:rPr>
              <w:t>with</w:t>
            </w:r>
            <w:r w:rsidR="009E0BB7" w:rsidRPr="00E436AA">
              <w:rPr>
                <w:rFonts w:ascii="Arial Narrow" w:hAnsi="Arial Narrow"/>
                <w:sz w:val="20"/>
                <w:szCs w:val="20"/>
              </w:rPr>
              <w:t xml:space="preserve"> </w:t>
            </w:r>
            <w:r w:rsidRPr="00E436AA">
              <w:rPr>
                <w:rFonts w:ascii="Arial Narrow" w:hAnsi="Arial Narrow"/>
                <w:sz w:val="20"/>
                <w:szCs w:val="20"/>
              </w:rPr>
              <w:t>SPECT, CTCA</w:t>
            </w:r>
            <w:r w:rsidR="00076589">
              <w:rPr>
                <w:rFonts w:ascii="Arial Narrow" w:hAnsi="Arial Narrow"/>
                <w:sz w:val="20"/>
                <w:szCs w:val="20"/>
              </w:rPr>
              <w:t>, stress Echo, ICA</w:t>
            </w:r>
            <w:r w:rsidRPr="00E436AA">
              <w:rPr>
                <w:rFonts w:ascii="Arial Narrow" w:hAnsi="Arial Narrow"/>
                <w:sz w:val="20"/>
                <w:szCs w:val="20"/>
              </w:rPr>
              <w:t xml:space="preserve"> </w:t>
            </w:r>
            <w:r>
              <w:rPr>
                <w:rFonts w:ascii="Arial Narrow" w:hAnsi="Arial Narrow"/>
                <w:sz w:val="20"/>
                <w:szCs w:val="20"/>
              </w:rPr>
              <w:t xml:space="preserve">and further testing </w:t>
            </w:r>
            <w:r w:rsidRPr="00E436AA">
              <w:rPr>
                <w:rFonts w:ascii="Arial Narrow" w:hAnsi="Arial Narrow"/>
                <w:sz w:val="20"/>
                <w:szCs w:val="20"/>
              </w:rPr>
              <w:t xml:space="preserve">in patients with </w:t>
            </w:r>
            <w:r w:rsidR="009B1651">
              <w:rPr>
                <w:rFonts w:ascii="Arial Narrow" w:hAnsi="Arial Narrow"/>
                <w:sz w:val="20"/>
                <w:szCs w:val="20"/>
              </w:rPr>
              <w:t>HF</w:t>
            </w:r>
            <w:r w:rsidRPr="00E436AA">
              <w:rPr>
                <w:rFonts w:ascii="Arial Narrow" w:hAnsi="Arial Narrow"/>
                <w:sz w:val="20"/>
                <w:szCs w:val="20"/>
              </w:rPr>
              <w:t xml:space="preserve"> symptoms in whom </w:t>
            </w:r>
            <w:r>
              <w:rPr>
                <w:rFonts w:ascii="Arial Narrow" w:hAnsi="Arial Narrow"/>
                <w:sz w:val="20"/>
                <w:szCs w:val="20"/>
              </w:rPr>
              <w:t>Echo</w:t>
            </w:r>
            <w:r w:rsidRPr="00E436AA">
              <w:rPr>
                <w:rFonts w:ascii="Arial Narrow" w:hAnsi="Arial Narrow"/>
                <w:sz w:val="20"/>
                <w:szCs w:val="20"/>
              </w:rPr>
              <w:t xml:space="preserve"> suggests a DCM</w:t>
            </w:r>
            <w:r w:rsidR="009E0BB7">
              <w:rPr>
                <w:rFonts w:ascii="Arial Narrow" w:hAnsi="Arial Narrow"/>
                <w:sz w:val="20"/>
                <w:szCs w:val="20"/>
              </w:rPr>
              <w:t>,</w:t>
            </w:r>
            <w:r w:rsidRPr="00E436AA">
              <w:rPr>
                <w:rFonts w:ascii="Arial Narrow" w:hAnsi="Arial Narrow"/>
                <w:sz w:val="20"/>
                <w:szCs w:val="20"/>
              </w:rPr>
              <w:t xml:space="preserve"> and </w:t>
            </w:r>
            <w:r>
              <w:rPr>
                <w:rFonts w:ascii="Arial Narrow" w:hAnsi="Arial Narrow"/>
                <w:sz w:val="20"/>
                <w:szCs w:val="20"/>
              </w:rPr>
              <w:t xml:space="preserve">who have a low or intermediate risk of </w:t>
            </w:r>
            <w:r w:rsidR="009B1651">
              <w:rPr>
                <w:rFonts w:ascii="Arial Narrow" w:hAnsi="Arial Narrow"/>
                <w:sz w:val="20"/>
                <w:szCs w:val="20"/>
              </w:rPr>
              <w:t>CAD</w:t>
            </w:r>
            <w:r w:rsidRPr="00E436AA">
              <w:rPr>
                <w:rFonts w:ascii="Arial Narrow" w:hAnsi="Arial Narrow"/>
                <w:sz w:val="20"/>
                <w:szCs w:val="20"/>
              </w:rPr>
              <w:t>?</w:t>
            </w:r>
          </w:p>
        </w:tc>
      </w:tr>
    </w:tbl>
    <w:p w14:paraId="7A081870" w14:textId="2FF798D6" w:rsidR="00C34ED7" w:rsidRPr="002664B7" w:rsidRDefault="00C34ED7" w:rsidP="004C79C1">
      <w:pPr>
        <w:spacing w:after="120" w:line="240" w:lineRule="auto"/>
        <w:jc w:val="both"/>
        <w:rPr>
          <w:rFonts w:ascii="Arial Narrow" w:hAnsi="Arial Narrow"/>
          <w:sz w:val="20"/>
          <w:szCs w:val="20"/>
        </w:rPr>
      </w:pPr>
      <w:proofErr w:type="gramStart"/>
      <w:r>
        <w:rPr>
          <w:rFonts w:ascii="Arial Narrow" w:hAnsi="Arial Narrow"/>
          <w:sz w:val="20"/>
          <w:szCs w:val="20"/>
          <w:vertAlign w:val="superscript"/>
        </w:rPr>
        <w:t>a</w:t>
      </w:r>
      <w:proofErr w:type="gramEnd"/>
      <w:r w:rsidRPr="002664B7">
        <w:t xml:space="preserve"> </w:t>
      </w:r>
      <w:r>
        <w:t>D</w:t>
      </w:r>
      <w:r w:rsidRPr="00D54BE9">
        <w:rPr>
          <w:rFonts w:ascii="Arial Narrow" w:hAnsi="Arial Narrow"/>
          <w:sz w:val="20"/>
          <w:szCs w:val="20"/>
        </w:rPr>
        <w:t xml:space="preserve">iagnosis based on a review of all </w:t>
      </w:r>
      <w:r w:rsidR="00032C1A">
        <w:rPr>
          <w:rFonts w:ascii="Arial Narrow" w:hAnsi="Arial Narrow"/>
          <w:sz w:val="20"/>
          <w:szCs w:val="20"/>
        </w:rPr>
        <w:t>available diagnostic data</w:t>
      </w:r>
      <w:r>
        <w:rPr>
          <w:rFonts w:ascii="Arial Narrow" w:hAnsi="Arial Narrow"/>
          <w:sz w:val="20"/>
          <w:szCs w:val="20"/>
        </w:rPr>
        <w:t>:</w:t>
      </w:r>
      <w:r w:rsidRPr="00D54BE9">
        <w:rPr>
          <w:rFonts w:ascii="Arial Narrow" w:hAnsi="Arial Narrow"/>
          <w:sz w:val="20"/>
          <w:szCs w:val="20"/>
        </w:rPr>
        <w:t xml:space="preserve"> information from medical history, laboratory tests, ICA, biopsy, CMR, Echo etc</w:t>
      </w:r>
      <w:r>
        <w:rPr>
          <w:rFonts w:ascii="Arial Narrow" w:hAnsi="Arial Narrow"/>
          <w:sz w:val="20"/>
          <w:szCs w:val="20"/>
        </w:rPr>
        <w:t>.</w:t>
      </w:r>
      <w:r w:rsidRPr="00D54BE9">
        <w:rPr>
          <w:rFonts w:ascii="Arial Narrow" w:hAnsi="Arial Narrow"/>
          <w:sz w:val="20"/>
          <w:szCs w:val="20"/>
        </w:rPr>
        <w:t xml:space="preserve"> by treating cardiologists (Assomull, RG et al. 2011; de Melo et al. 2013)</w:t>
      </w:r>
    </w:p>
    <w:p w14:paraId="60AD2A25" w14:textId="24B4A525" w:rsidR="00050DA6" w:rsidRDefault="00986ED7" w:rsidP="004C79C1">
      <w:pPr>
        <w:spacing w:after="120" w:line="240" w:lineRule="auto"/>
        <w:jc w:val="both"/>
        <w:rPr>
          <w:rFonts w:ascii="Arial Narrow" w:hAnsi="Arial Narrow"/>
          <w:sz w:val="20"/>
          <w:szCs w:val="20"/>
        </w:rPr>
      </w:pPr>
      <w:r>
        <w:rPr>
          <w:rFonts w:ascii="Arial Narrow" w:hAnsi="Arial Narrow"/>
          <w:sz w:val="20"/>
          <w:szCs w:val="20"/>
        </w:rPr>
        <w:t xml:space="preserve">CAD = </w:t>
      </w:r>
      <w:r w:rsidRPr="0007245A">
        <w:rPr>
          <w:rFonts w:ascii="Arial Narrow" w:hAnsi="Arial Narrow"/>
          <w:sz w:val="20"/>
          <w:szCs w:val="20"/>
        </w:rPr>
        <w:t>coronary artery disease;</w:t>
      </w:r>
      <w:r>
        <w:rPr>
          <w:rFonts w:ascii="Arial Narrow" w:hAnsi="Arial Narrow"/>
          <w:sz w:val="20"/>
          <w:szCs w:val="20"/>
        </w:rPr>
        <w:t xml:space="preserve"> </w:t>
      </w:r>
      <w:r w:rsidR="00475940">
        <w:rPr>
          <w:rFonts w:ascii="Arial Narrow" w:hAnsi="Arial Narrow"/>
          <w:sz w:val="20"/>
          <w:szCs w:val="20"/>
        </w:rPr>
        <w:t>CMR</w:t>
      </w:r>
      <w:r w:rsidR="00050DA6" w:rsidRPr="00050DA6">
        <w:rPr>
          <w:rFonts w:ascii="Arial Narrow" w:hAnsi="Arial Narrow"/>
          <w:sz w:val="20"/>
          <w:szCs w:val="20"/>
        </w:rPr>
        <w:t xml:space="preserve"> = </w:t>
      </w:r>
      <w:r w:rsidR="00475940">
        <w:rPr>
          <w:rFonts w:ascii="Arial Narrow" w:hAnsi="Arial Narrow"/>
          <w:sz w:val="20"/>
          <w:szCs w:val="20"/>
        </w:rPr>
        <w:t xml:space="preserve">cardiac </w:t>
      </w:r>
      <w:r w:rsidR="00050DA6" w:rsidRPr="00050DA6">
        <w:rPr>
          <w:rFonts w:ascii="Arial Narrow" w:hAnsi="Arial Narrow"/>
          <w:sz w:val="20"/>
          <w:szCs w:val="20"/>
        </w:rPr>
        <w:t xml:space="preserve">magnetic resonance </w:t>
      </w:r>
      <w:r w:rsidR="000728E6">
        <w:rPr>
          <w:rFonts w:ascii="Arial Narrow" w:hAnsi="Arial Narrow"/>
          <w:sz w:val="20"/>
          <w:szCs w:val="20"/>
        </w:rPr>
        <w:t>(</w:t>
      </w:r>
      <w:r w:rsidR="00050DA6" w:rsidRPr="00050DA6">
        <w:rPr>
          <w:rFonts w:ascii="Arial Narrow" w:hAnsi="Arial Narrow"/>
          <w:sz w:val="20"/>
          <w:szCs w:val="20"/>
        </w:rPr>
        <w:t>imaging</w:t>
      </w:r>
      <w:r w:rsidR="000728E6">
        <w:rPr>
          <w:rFonts w:ascii="Arial Narrow" w:hAnsi="Arial Narrow"/>
          <w:sz w:val="20"/>
          <w:szCs w:val="20"/>
        </w:rPr>
        <w:t>)</w:t>
      </w:r>
      <w:r w:rsidR="00050DA6" w:rsidRPr="00050DA6">
        <w:rPr>
          <w:rFonts w:ascii="Arial Narrow" w:hAnsi="Arial Narrow"/>
          <w:sz w:val="20"/>
          <w:szCs w:val="20"/>
        </w:rPr>
        <w:t xml:space="preserve">; </w:t>
      </w:r>
      <w:r w:rsidR="007A3279" w:rsidRPr="00050DA6">
        <w:rPr>
          <w:rFonts w:ascii="Arial Narrow" w:hAnsi="Arial Narrow"/>
          <w:sz w:val="20"/>
          <w:szCs w:val="20"/>
        </w:rPr>
        <w:t>CTCA = computed tomography coronary angiography;</w:t>
      </w:r>
      <w:r w:rsidR="007A3279">
        <w:rPr>
          <w:rFonts w:ascii="Arial Narrow" w:hAnsi="Arial Narrow"/>
          <w:sz w:val="20"/>
          <w:szCs w:val="20"/>
        </w:rPr>
        <w:t xml:space="preserve"> </w:t>
      </w:r>
      <w:r w:rsidR="007A3279" w:rsidRPr="00050DA6">
        <w:rPr>
          <w:rFonts w:ascii="Arial Narrow" w:hAnsi="Arial Narrow"/>
          <w:sz w:val="20"/>
          <w:szCs w:val="20"/>
        </w:rPr>
        <w:t>DCM = dilated cardiomyopathy;</w:t>
      </w:r>
      <w:r w:rsidR="00050DA6" w:rsidRPr="00050DA6">
        <w:rPr>
          <w:rFonts w:ascii="Arial Narrow" w:hAnsi="Arial Narrow"/>
          <w:sz w:val="20"/>
          <w:szCs w:val="20"/>
        </w:rPr>
        <w:t xml:space="preserve"> </w:t>
      </w:r>
      <w:r w:rsidR="007A3279" w:rsidRPr="00050DA6">
        <w:rPr>
          <w:rFonts w:ascii="Arial Narrow" w:hAnsi="Arial Narrow"/>
          <w:sz w:val="20"/>
          <w:szCs w:val="20"/>
        </w:rPr>
        <w:t xml:space="preserve">ECG = </w:t>
      </w:r>
      <w:r w:rsidR="007A3279">
        <w:rPr>
          <w:rFonts w:ascii="Arial Narrow" w:hAnsi="Arial Narrow"/>
          <w:sz w:val="20"/>
          <w:szCs w:val="20"/>
        </w:rPr>
        <w:t>e</w:t>
      </w:r>
      <w:r w:rsidR="007A3279" w:rsidRPr="00050DA6">
        <w:rPr>
          <w:rFonts w:ascii="Arial Narrow" w:hAnsi="Arial Narrow"/>
          <w:sz w:val="20"/>
          <w:szCs w:val="20"/>
        </w:rPr>
        <w:t>lectrocardiogram;</w:t>
      </w:r>
      <w:r w:rsidR="007A3279">
        <w:rPr>
          <w:rFonts w:ascii="Arial Narrow" w:hAnsi="Arial Narrow"/>
          <w:sz w:val="20"/>
          <w:szCs w:val="20"/>
        </w:rPr>
        <w:t xml:space="preserve"> </w:t>
      </w:r>
      <w:r>
        <w:rPr>
          <w:rFonts w:ascii="Arial Narrow" w:hAnsi="Arial Narrow"/>
          <w:sz w:val="20"/>
          <w:szCs w:val="20"/>
        </w:rPr>
        <w:t xml:space="preserve">Echo = </w:t>
      </w:r>
      <w:r w:rsidRPr="0007245A">
        <w:rPr>
          <w:rFonts w:ascii="Arial Narrow" w:hAnsi="Arial Narrow"/>
          <w:sz w:val="20"/>
          <w:szCs w:val="20"/>
        </w:rPr>
        <w:t xml:space="preserve">echocardiography; </w:t>
      </w:r>
      <w:r w:rsidRPr="00DF2B4D">
        <w:rPr>
          <w:rFonts w:ascii="Arial Narrow" w:hAnsi="Arial Narrow"/>
          <w:sz w:val="20"/>
          <w:szCs w:val="20"/>
        </w:rPr>
        <w:t xml:space="preserve">EMB = </w:t>
      </w:r>
      <w:r w:rsidRPr="00CE2480">
        <w:rPr>
          <w:rFonts w:ascii="Arial Narrow" w:hAnsi="Arial Narrow"/>
          <w:sz w:val="20"/>
          <w:szCs w:val="20"/>
        </w:rPr>
        <w:t>endomyocardial biopsy</w:t>
      </w:r>
      <w:r w:rsidRPr="00DF2B4D">
        <w:rPr>
          <w:rFonts w:ascii="Arial Narrow" w:hAnsi="Arial Narrow"/>
          <w:sz w:val="20"/>
          <w:szCs w:val="20"/>
        </w:rPr>
        <w:t xml:space="preserve">; </w:t>
      </w:r>
      <w:r w:rsidRPr="00CE2480">
        <w:rPr>
          <w:rFonts w:ascii="Arial Narrow" w:hAnsi="Arial Narrow"/>
          <w:sz w:val="20"/>
          <w:szCs w:val="20"/>
        </w:rPr>
        <w:t>GHPS = gated heart pool scan;</w:t>
      </w:r>
      <w:r w:rsidRPr="0007245A">
        <w:rPr>
          <w:rFonts w:ascii="Arial Narrow" w:hAnsi="Arial Narrow"/>
          <w:sz w:val="20"/>
          <w:szCs w:val="20"/>
        </w:rPr>
        <w:t xml:space="preserve"> </w:t>
      </w:r>
      <w:r w:rsidR="009B1651">
        <w:rPr>
          <w:rFonts w:ascii="Arial Narrow" w:hAnsi="Arial Narrow"/>
          <w:sz w:val="20"/>
          <w:szCs w:val="20"/>
        </w:rPr>
        <w:t xml:space="preserve">HF = heart failure; </w:t>
      </w:r>
      <w:r w:rsidRPr="0007245A">
        <w:rPr>
          <w:rFonts w:ascii="Arial Narrow" w:hAnsi="Arial Narrow"/>
          <w:sz w:val="20"/>
          <w:szCs w:val="20"/>
        </w:rPr>
        <w:t xml:space="preserve">ICA = </w:t>
      </w:r>
      <w:r w:rsidRPr="00CE2480">
        <w:rPr>
          <w:rFonts w:ascii="Arial Narrow" w:hAnsi="Arial Narrow"/>
          <w:sz w:val="20"/>
          <w:szCs w:val="20"/>
        </w:rPr>
        <w:t>invasive coronary angiography;</w:t>
      </w:r>
      <w:r w:rsidR="007A3279">
        <w:rPr>
          <w:rFonts w:ascii="Arial Narrow" w:hAnsi="Arial Narrow"/>
          <w:sz w:val="20"/>
          <w:szCs w:val="20"/>
        </w:rPr>
        <w:t xml:space="preserve"> </w:t>
      </w:r>
      <w:r w:rsidR="00050DA6" w:rsidRPr="00050DA6">
        <w:rPr>
          <w:rFonts w:ascii="Arial Narrow" w:hAnsi="Arial Narrow"/>
          <w:sz w:val="20"/>
          <w:szCs w:val="20"/>
        </w:rPr>
        <w:t>SPECT = single</w:t>
      </w:r>
      <w:r w:rsidR="007F1E74">
        <w:rPr>
          <w:rFonts w:ascii="Arial Narrow" w:hAnsi="Arial Narrow"/>
          <w:sz w:val="20"/>
          <w:szCs w:val="20"/>
        </w:rPr>
        <w:t>-</w:t>
      </w:r>
      <w:r w:rsidR="00050DA6" w:rsidRPr="00050DA6">
        <w:rPr>
          <w:rFonts w:ascii="Arial Narrow" w:hAnsi="Arial Narrow"/>
          <w:sz w:val="20"/>
          <w:szCs w:val="20"/>
        </w:rPr>
        <w:t>photon emission computed tomography</w:t>
      </w:r>
      <w:r w:rsidR="007A3279">
        <w:rPr>
          <w:rFonts w:ascii="Arial Narrow" w:hAnsi="Arial Narrow"/>
          <w:sz w:val="20"/>
          <w:szCs w:val="20"/>
        </w:rPr>
        <w:t xml:space="preserve">; </w:t>
      </w:r>
      <w:r w:rsidR="007A3279" w:rsidRPr="00050DA6">
        <w:rPr>
          <w:rFonts w:ascii="Arial Narrow" w:hAnsi="Arial Narrow"/>
          <w:sz w:val="20"/>
          <w:szCs w:val="20"/>
        </w:rPr>
        <w:t>SROC = summary receiving operating characteristic</w:t>
      </w:r>
      <w:r w:rsidR="00050DA6" w:rsidRPr="00050DA6">
        <w:rPr>
          <w:rFonts w:ascii="Arial Narrow" w:hAnsi="Arial Narrow"/>
          <w:sz w:val="20"/>
          <w:szCs w:val="20"/>
        </w:rPr>
        <w:t xml:space="preserve"> </w:t>
      </w:r>
    </w:p>
    <w:p w14:paraId="64329E94" w14:textId="01801EFF" w:rsidR="007B3012" w:rsidRDefault="007B3012" w:rsidP="00161B88">
      <w:pPr>
        <w:pStyle w:val="Heading3"/>
      </w:pPr>
      <w:bookmarkStart w:id="186" w:name="_Toc451501289"/>
      <w:r>
        <w:t>Prognostic value</w:t>
      </w:r>
      <w:bookmarkEnd w:id="186"/>
    </w:p>
    <w:p w14:paraId="7DC035F7" w14:textId="433E37C7" w:rsidR="00050DA6" w:rsidRPr="00050DA6" w:rsidRDefault="00050DA6" w:rsidP="004C79C1">
      <w:pPr>
        <w:pStyle w:val="Caption"/>
      </w:pPr>
      <w:bookmarkStart w:id="187" w:name="_Toc448827356"/>
      <w:bookmarkStart w:id="188" w:name="_Toc324410121"/>
      <w:r>
        <w:t xml:space="preserve">Box </w:t>
      </w:r>
      <w:fldSimple w:instr=" SEQ Box \* ARABIC ">
        <w:r w:rsidR="00460601">
          <w:rPr>
            <w:noProof/>
          </w:rPr>
          <w:t>4</w:t>
        </w:r>
      </w:fldSimple>
      <w:r w:rsidRPr="00183E4D">
        <w:rPr>
          <w:szCs w:val="20"/>
        </w:rPr>
        <w:tab/>
      </w:r>
      <w:r w:rsidRPr="00183E4D">
        <w:t xml:space="preserve">Criteria for identifying and selecting studies to determine the </w:t>
      </w:r>
      <w:r w:rsidR="007B7B0B">
        <w:t>prognostic value</w:t>
      </w:r>
      <w:r>
        <w:t xml:space="preserve"> of</w:t>
      </w:r>
      <w:r w:rsidR="007B7B0B">
        <w:t xml:space="preserve"> CMR</w:t>
      </w:r>
      <w:r w:rsidRPr="00183E4D">
        <w:t xml:space="preserve"> in patients with </w:t>
      </w:r>
      <w:r w:rsidR="007B7B0B">
        <w:t>suspected DCM</w:t>
      </w:r>
      <w:bookmarkEnd w:id="187"/>
      <w:bookmarkEnd w:id="18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a description of the criteria used to select studies to assess the effectiveness of the technology."/>
      </w:tblPr>
      <w:tblGrid>
        <w:gridCol w:w="1948"/>
        <w:gridCol w:w="3859"/>
        <w:gridCol w:w="3209"/>
      </w:tblGrid>
      <w:tr w:rsidR="00456F62" w:rsidRPr="00183E4D" w14:paraId="30BE74DF" w14:textId="6C6EA7E7" w:rsidTr="006C29CF">
        <w:trPr>
          <w:trHeight w:val="263"/>
        </w:trPr>
        <w:tc>
          <w:tcPr>
            <w:tcW w:w="1948" w:type="dxa"/>
            <w:shd w:val="clear" w:color="auto" w:fill="auto"/>
          </w:tcPr>
          <w:p w14:paraId="159A46BF" w14:textId="77777777" w:rsidR="00456F62" w:rsidRPr="00183E4D" w:rsidRDefault="00456F62" w:rsidP="004C79C1">
            <w:pPr>
              <w:pStyle w:val="Tabletext1"/>
              <w:spacing w:before="0" w:after="120"/>
              <w:rPr>
                <w:b/>
              </w:rPr>
            </w:pPr>
            <w:r w:rsidRPr="00183E4D">
              <w:rPr>
                <w:b/>
              </w:rPr>
              <w:t>Selection criteria</w:t>
            </w:r>
          </w:p>
        </w:tc>
        <w:tc>
          <w:tcPr>
            <w:tcW w:w="3859" w:type="dxa"/>
            <w:shd w:val="clear" w:color="auto" w:fill="auto"/>
          </w:tcPr>
          <w:p w14:paraId="5A98BE04" w14:textId="70872073" w:rsidR="00456F62" w:rsidRPr="00183E4D" w:rsidRDefault="00456F62"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w:t>
            </w:r>
            <w:r w:rsidR="00425CB7">
              <w:rPr>
                <w:rFonts w:cs="Arial"/>
                <w:b/>
              </w:rPr>
              <w:t>)</w:t>
            </w:r>
          </w:p>
        </w:tc>
        <w:tc>
          <w:tcPr>
            <w:tcW w:w="3209" w:type="dxa"/>
            <w:shd w:val="clear" w:color="auto" w:fill="auto"/>
          </w:tcPr>
          <w:p w14:paraId="6C2C4C0A" w14:textId="56F590B2" w:rsidR="00456F62" w:rsidRPr="00183E4D" w:rsidRDefault="001C105C"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ii</w:t>
            </w:r>
            <w:r w:rsidR="00425CB7">
              <w:rPr>
                <w:rFonts w:cs="Arial"/>
                <w:b/>
              </w:rPr>
              <w:t>)</w:t>
            </w:r>
          </w:p>
        </w:tc>
      </w:tr>
      <w:tr w:rsidR="00456F62" w:rsidRPr="00183E4D" w14:paraId="52E2B61A" w14:textId="06C37B82" w:rsidTr="006C29CF">
        <w:tc>
          <w:tcPr>
            <w:tcW w:w="1948" w:type="dxa"/>
            <w:shd w:val="clear" w:color="auto" w:fill="auto"/>
          </w:tcPr>
          <w:p w14:paraId="15966B8D" w14:textId="77777777" w:rsidR="00456F62" w:rsidRPr="00183E4D" w:rsidRDefault="00456F62" w:rsidP="004C79C1">
            <w:pPr>
              <w:pStyle w:val="Tabletext1"/>
              <w:spacing w:before="0" w:after="120"/>
            </w:pPr>
            <w:r w:rsidRPr="00183E4D">
              <w:t>Population</w:t>
            </w:r>
          </w:p>
        </w:tc>
        <w:tc>
          <w:tcPr>
            <w:tcW w:w="3859" w:type="dxa"/>
            <w:shd w:val="clear" w:color="auto" w:fill="auto"/>
          </w:tcPr>
          <w:p w14:paraId="46A8C036" w14:textId="32C1976E" w:rsidR="00456F62" w:rsidRPr="00183E4D" w:rsidRDefault="00456F62" w:rsidP="004C79C1">
            <w:pPr>
              <w:pStyle w:val="Tabletext1"/>
              <w:spacing w:before="0" w:after="120"/>
              <w:rPr>
                <w:rFonts w:cs="Arial"/>
              </w:rPr>
            </w:pPr>
            <w:r w:rsidRPr="00C236C7">
              <w:t xml:space="preserve">Patients presenting with </w:t>
            </w:r>
            <w:r w:rsidR="00D07CAD">
              <w:t>HF</w:t>
            </w:r>
            <w:r w:rsidRPr="00C236C7">
              <w:t xml:space="preserve"> symptoms, in whom</w:t>
            </w:r>
            <w:r>
              <w:t xml:space="preserve"> Echo</w:t>
            </w:r>
            <w:r w:rsidRPr="00C236C7">
              <w:t xml:space="preserve"> is inconclusive</w:t>
            </w:r>
          </w:p>
        </w:tc>
        <w:tc>
          <w:tcPr>
            <w:tcW w:w="3209" w:type="dxa"/>
            <w:shd w:val="clear" w:color="auto" w:fill="auto"/>
          </w:tcPr>
          <w:p w14:paraId="1465DA42" w14:textId="3FE7A538" w:rsidR="00456F62" w:rsidRPr="00183E4D" w:rsidRDefault="00456F62" w:rsidP="004C79C1">
            <w:pPr>
              <w:pStyle w:val="Tabletext1"/>
              <w:spacing w:before="0" w:after="120"/>
              <w:rPr>
                <w:rFonts w:cs="Arial"/>
              </w:rPr>
            </w:pPr>
            <w:r w:rsidRPr="00C236C7">
              <w:t xml:space="preserve">Patients presenting with </w:t>
            </w:r>
            <w:r w:rsidR="00D07CAD">
              <w:t>HF</w:t>
            </w:r>
            <w:r w:rsidRPr="00C236C7">
              <w:t xml:space="preserve"> symptoms, in whom</w:t>
            </w:r>
            <w:r>
              <w:t xml:space="preserve"> Echo </w:t>
            </w:r>
            <w:r w:rsidRPr="00C236C7">
              <w:t xml:space="preserve">suggests a </w:t>
            </w:r>
            <w:r w:rsidR="00D07CAD">
              <w:t>DCM</w:t>
            </w:r>
            <w:r w:rsidRPr="00C236C7">
              <w:t xml:space="preserve"> </w:t>
            </w:r>
            <w:r>
              <w:t xml:space="preserve">and who have low or intermediate risk of </w:t>
            </w:r>
            <w:r w:rsidR="00F81E6E">
              <w:t>CAD</w:t>
            </w:r>
          </w:p>
        </w:tc>
      </w:tr>
      <w:tr w:rsidR="00456F62" w:rsidRPr="00183E4D" w14:paraId="1B288776" w14:textId="70725EF2" w:rsidTr="006C29CF">
        <w:tc>
          <w:tcPr>
            <w:tcW w:w="1948" w:type="dxa"/>
            <w:shd w:val="clear" w:color="auto" w:fill="auto"/>
          </w:tcPr>
          <w:p w14:paraId="5E70DF28" w14:textId="2755351C" w:rsidR="00456F62" w:rsidRPr="00183E4D" w:rsidRDefault="00456F62" w:rsidP="004C79C1">
            <w:pPr>
              <w:pStyle w:val="Tabletext1"/>
              <w:spacing w:before="0" w:after="120"/>
            </w:pPr>
            <w:r>
              <w:t>Prior tests</w:t>
            </w:r>
          </w:p>
        </w:tc>
        <w:tc>
          <w:tcPr>
            <w:tcW w:w="3859" w:type="dxa"/>
            <w:shd w:val="clear" w:color="auto" w:fill="auto"/>
          </w:tcPr>
          <w:p w14:paraId="2B2DE7F6" w14:textId="6F9D4F3B" w:rsidR="00456F62" w:rsidRPr="00183E4D" w:rsidRDefault="002F0D18" w:rsidP="004C79C1">
            <w:pPr>
              <w:pStyle w:val="Tabletext1"/>
              <w:spacing w:before="0" w:after="120"/>
              <w:rPr>
                <w:rFonts w:cs="Arial"/>
              </w:rPr>
            </w:pPr>
            <w:r>
              <w:rPr>
                <w:rFonts w:cs="Arial"/>
              </w:rPr>
              <w:t>Clinical examination, ECG, Echo</w:t>
            </w:r>
          </w:p>
        </w:tc>
        <w:tc>
          <w:tcPr>
            <w:tcW w:w="3209" w:type="dxa"/>
            <w:shd w:val="clear" w:color="auto" w:fill="auto"/>
          </w:tcPr>
          <w:p w14:paraId="6EB167B8" w14:textId="30FF62C3" w:rsidR="00456F62" w:rsidRPr="00183E4D" w:rsidRDefault="002F0D18" w:rsidP="004C79C1">
            <w:pPr>
              <w:pStyle w:val="Tabletext1"/>
              <w:spacing w:before="0" w:after="120"/>
              <w:rPr>
                <w:rFonts w:cs="Arial"/>
              </w:rPr>
            </w:pPr>
            <w:r>
              <w:rPr>
                <w:rFonts w:cs="Arial"/>
              </w:rPr>
              <w:t>Clinical examination, ECG, Echo</w:t>
            </w:r>
            <w:r w:rsidR="00F81E6E">
              <w:rPr>
                <w:rFonts w:cs="Arial"/>
              </w:rPr>
              <w:t>,</w:t>
            </w:r>
            <w:r>
              <w:t xml:space="preserve"> </w:t>
            </w:r>
            <w:r w:rsidR="00456F62">
              <w:t>CMR</w:t>
            </w:r>
          </w:p>
        </w:tc>
      </w:tr>
      <w:tr w:rsidR="00456F62" w:rsidRPr="00183E4D" w14:paraId="30F4F640" w14:textId="49537442" w:rsidTr="006C29CF">
        <w:tc>
          <w:tcPr>
            <w:tcW w:w="1948" w:type="dxa"/>
            <w:shd w:val="clear" w:color="auto" w:fill="auto"/>
          </w:tcPr>
          <w:p w14:paraId="7CE16B17" w14:textId="77777777" w:rsidR="00456F62" w:rsidRPr="00183E4D" w:rsidRDefault="00456F62" w:rsidP="004C79C1">
            <w:pPr>
              <w:pStyle w:val="Tabletext1"/>
              <w:spacing w:before="0" w:after="120"/>
            </w:pPr>
            <w:r w:rsidRPr="00183E4D">
              <w:t>In</w:t>
            </w:r>
            <w:r>
              <w:t>dex test</w:t>
            </w:r>
          </w:p>
        </w:tc>
        <w:tc>
          <w:tcPr>
            <w:tcW w:w="3859" w:type="dxa"/>
            <w:shd w:val="clear" w:color="auto" w:fill="auto"/>
          </w:tcPr>
          <w:p w14:paraId="6ED65E85" w14:textId="02787CF2" w:rsidR="00456F62" w:rsidRPr="00183E4D" w:rsidRDefault="002F0D18" w:rsidP="004C79C1">
            <w:pPr>
              <w:pStyle w:val="Tabletext1"/>
              <w:spacing w:before="0" w:after="120"/>
            </w:pPr>
            <w:r>
              <w:rPr>
                <w:rFonts w:cs="Arial Narrow"/>
                <w:bCs/>
              </w:rPr>
              <w:t>CMR</w:t>
            </w:r>
          </w:p>
        </w:tc>
        <w:tc>
          <w:tcPr>
            <w:tcW w:w="3209" w:type="dxa"/>
            <w:shd w:val="clear" w:color="auto" w:fill="auto"/>
          </w:tcPr>
          <w:p w14:paraId="219FD3E2" w14:textId="6164F1CC" w:rsidR="00456F62" w:rsidRPr="00183E4D" w:rsidRDefault="002F0D18" w:rsidP="004C79C1">
            <w:pPr>
              <w:pStyle w:val="Tabletext1"/>
              <w:spacing w:before="0" w:after="120"/>
            </w:pPr>
            <w:r>
              <w:rPr>
                <w:rFonts w:cs="Arial Narrow"/>
                <w:bCs/>
              </w:rPr>
              <w:t>CMR</w:t>
            </w:r>
          </w:p>
        </w:tc>
      </w:tr>
      <w:tr w:rsidR="002F0D18" w:rsidRPr="00183E4D" w14:paraId="2275622C" w14:textId="5AF6E2F8" w:rsidTr="006C29CF">
        <w:tc>
          <w:tcPr>
            <w:tcW w:w="1948" w:type="dxa"/>
            <w:shd w:val="clear" w:color="auto" w:fill="auto"/>
          </w:tcPr>
          <w:p w14:paraId="4097B850" w14:textId="2DED8DE7" w:rsidR="002F0D18" w:rsidRPr="00183E4D" w:rsidRDefault="002F0D18" w:rsidP="004C79C1">
            <w:pPr>
              <w:pStyle w:val="Tabletext1"/>
              <w:spacing w:before="0" w:after="120"/>
            </w:pPr>
            <w:r>
              <w:t>Comparators</w:t>
            </w:r>
          </w:p>
        </w:tc>
        <w:tc>
          <w:tcPr>
            <w:tcW w:w="3859" w:type="dxa"/>
            <w:shd w:val="clear" w:color="auto" w:fill="auto"/>
          </w:tcPr>
          <w:p w14:paraId="7C10F49D" w14:textId="0CB3B367" w:rsidR="002F0D18" w:rsidRPr="00D76006" w:rsidRDefault="00E81332" w:rsidP="004C79C1">
            <w:pPr>
              <w:pStyle w:val="Tabletext1"/>
              <w:numPr>
                <w:ilvl w:val="0"/>
                <w:numId w:val="29"/>
              </w:numPr>
              <w:spacing w:before="0" w:after="120"/>
              <w:ind w:left="459" w:hanging="284"/>
              <w:rPr>
                <w:rFonts w:cs="Arial Narrow"/>
                <w:bCs/>
              </w:rPr>
            </w:pPr>
            <w:r>
              <w:rPr>
                <w:rFonts w:cs="Arial Narrow"/>
                <w:bCs/>
              </w:rPr>
              <w:t>c</w:t>
            </w:r>
            <w:r w:rsidR="002F0D18" w:rsidRPr="00D76006">
              <w:rPr>
                <w:rFonts w:cs="Arial Narrow"/>
                <w:bCs/>
              </w:rPr>
              <w:t>Echo</w:t>
            </w:r>
          </w:p>
          <w:p w14:paraId="32505862" w14:textId="330C9658" w:rsidR="002F0D18" w:rsidRPr="003C4577" w:rsidRDefault="002F0D18" w:rsidP="004C79C1">
            <w:pPr>
              <w:pStyle w:val="Tabletext1"/>
              <w:numPr>
                <w:ilvl w:val="0"/>
                <w:numId w:val="29"/>
              </w:numPr>
              <w:spacing w:before="0" w:after="120"/>
              <w:ind w:left="459" w:hanging="284"/>
            </w:pPr>
            <w:r w:rsidRPr="00D76006">
              <w:rPr>
                <w:rFonts w:cs="Arial Narrow"/>
                <w:bCs/>
              </w:rPr>
              <w:t>G</w:t>
            </w:r>
            <w:r w:rsidR="00F81E6E">
              <w:rPr>
                <w:rFonts w:cs="Arial Narrow"/>
                <w:bCs/>
              </w:rPr>
              <w:t>HPS</w:t>
            </w:r>
          </w:p>
          <w:p w14:paraId="1F653BD2" w14:textId="77777777" w:rsidR="003C4577" w:rsidRPr="00850848" w:rsidRDefault="003C4577" w:rsidP="004C79C1">
            <w:pPr>
              <w:pStyle w:val="Tabletext1"/>
              <w:numPr>
                <w:ilvl w:val="0"/>
                <w:numId w:val="29"/>
              </w:numPr>
              <w:spacing w:before="0" w:after="120"/>
              <w:ind w:left="459" w:hanging="284"/>
            </w:pPr>
            <w:r>
              <w:rPr>
                <w:rFonts w:cs="Arial Narrow"/>
                <w:bCs/>
              </w:rPr>
              <w:t>CTCA</w:t>
            </w:r>
          </w:p>
          <w:p w14:paraId="09B4A3E9" w14:textId="77777777" w:rsidR="003C4577" w:rsidRPr="00850848" w:rsidRDefault="003C4577" w:rsidP="004C79C1">
            <w:pPr>
              <w:pStyle w:val="Tabletext1"/>
              <w:numPr>
                <w:ilvl w:val="0"/>
                <w:numId w:val="29"/>
              </w:numPr>
              <w:spacing w:before="0" w:after="120"/>
              <w:ind w:left="459" w:hanging="284"/>
            </w:pPr>
            <w:r>
              <w:rPr>
                <w:rFonts w:cs="Arial Narrow"/>
                <w:bCs/>
              </w:rPr>
              <w:t>SPECT</w:t>
            </w:r>
          </w:p>
          <w:p w14:paraId="7200D318" w14:textId="77777777" w:rsidR="003C4577" w:rsidRPr="00850848" w:rsidRDefault="003C4577" w:rsidP="004C79C1">
            <w:pPr>
              <w:pStyle w:val="Tabletext1"/>
              <w:numPr>
                <w:ilvl w:val="0"/>
                <w:numId w:val="29"/>
              </w:numPr>
              <w:spacing w:before="0" w:after="120"/>
              <w:ind w:left="459" w:hanging="284"/>
            </w:pPr>
            <w:r>
              <w:rPr>
                <w:rFonts w:cs="Arial Narrow"/>
                <w:bCs/>
              </w:rPr>
              <w:t>Stress Echo</w:t>
            </w:r>
          </w:p>
          <w:p w14:paraId="17869E58" w14:textId="24AF3B6D" w:rsidR="003C4577" w:rsidRPr="00183E4D" w:rsidRDefault="003C4577" w:rsidP="004C79C1">
            <w:pPr>
              <w:pStyle w:val="Tabletext1"/>
              <w:numPr>
                <w:ilvl w:val="0"/>
                <w:numId w:val="29"/>
              </w:numPr>
              <w:spacing w:before="0" w:after="120"/>
              <w:ind w:left="459" w:hanging="284"/>
            </w:pPr>
            <w:r>
              <w:rPr>
                <w:rFonts w:cs="Arial Narrow"/>
                <w:bCs/>
              </w:rPr>
              <w:t>ICA</w:t>
            </w:r>
          </w:p>
        </w:tc>
        <w:tc>
          <w:tcPr>
            <w:tcW w:w="3209" w:type="dxa"/>
            <w:shd w:val="clear" w:color="auto" w:fill="auto"/>
          </w:tcPr>
          <w:p w14:paraId="59A559D7" w14:textId="77777777" w:rsidR="002F0D18" w:rsidRPr="005C35D7" w:rsidRDefault="002F0D18" w:rsidP="004C79C1">
            <w:pPr>
              <w:pStyle w:val="Tabletext1"/>
              <w:numPr>
                <w:ilvl w:val="0"/>
                <w:numId w:val="29"/>
              </w:numPr>
              <w:spacing w:before="0" w:after="120"/>
              <w:ind w:left="459" w:hanging="284"/>
              <w:rPr>
                <w:rFonts w:cs="Arial Narrow"/>
                <w:bCs/>
              </w:rPr>
            </w:pPr>
            <w:r w:rsidRPr="005C35D7">
              <w:rPr>
                <w:rFonts w:cs="Arial Narrow"/>
                <w:bCs/>
              </w:rPr>
              <w:t xml:space="preserve">CTCA </w:t>
            </w:r>
          </w:p>
          <w:p w14:paraId="377465AC" w14:textId="77777777" w:rsidR="002F0D18" w:rsidRDefault="002F0D18" w:rsidP="004C79C1">
            <w:pPr>
              <w:pStyle w:val="Tabletext1"/>
              <w:numPr>
                <w:ilvl w:val="0"/>
                <w:numId w:val="29"/>
              </w:numPr>
              <w:spacing w:before="0" w:after="120"/>
              <w:ind w:left="459" w:hanging="284"/>
              <w:rPr>
                <w:rFonts w:cs="Arial Narrow"/>
                <w:bCs/>
              </w:rPr>
            </w:pPr>
            <w:r w:rsidRPr="005C35D7">
              <w:rPr>
                <w:rFonts w:cs="Arial Narrow"/>
                <w:bCs/>
              </w:rPr>
              <w:t xml:space="preserve">SPECT </w:t>
            </w:r>
          </w:p>
          <w:p w14:paraId="505F6C74" w14:textId="77777777" w:rsidR="003C4577" w:rsidRDefault="003C4577" w:rsidP="004C79C1">
            <w:pPr>
              <w:pStyle w:val="Tabletext1"/>
              <w:numPr>
                <w:ilvl w:val="0"/>
                <w:numId w:val="29"/>
              </w:numPr>
              <w:spacing w:before="0" w:after="120"/>
              <w:ind w:left="459" w:hanging="284"/>
              <w:rPr>
                <w:rFonts w:cs="Arial Narrow"/>
                <w:bCs/>
              </w:rPr>
            </w:pPr>
            <w:r>
              <w:rPr>
                <w:rFonts w:cs="Arial Narrow"/>
                <w:bCs/>
              </w:rPr>
              <w:t>Stress Echo</w:t>
            </w:r>
          </w:p>
          <w:p w14:paraId="502C4F1F" w14:textId="1632C46A" w:rsidR="003C4577" w:rsidRPr="003C4577" w:rsidRDefault="003C4577" w:rsidP="004C79C1">
            <w:pPr>
              <w:pStyle w:val="Tabletext1"/>
              <w:numPr>
                <w:ilvl w:val="0"/>
                <w:numId w:val="29"/>
              </w:numPr>
              <w:spacing w:before="0" w:after="120"/>
              <w:ind w:left="459" w:hanging="284"/>
              <w:rPr>
                <w:rFonts w:cs="Arial Narrow"/>
                <w:bCs/>
              </w:rPr>
            </w:pPr>
            <w:r>
              <w:rPr>
                <w:rFonts w:cs="Arial Narrow"/>
                <w:bCs/>
              </w:rPr>
              <w:t>ICA</w:t>
            </w:r>
          </w:p>
          <w:p w14:paraId="4C6E28CC" w14:textId="39B5A88C" w:rsidR="002F0D18" w:rsidRPr="00183E4D" w:rsidRDefault="002F0D18" w:rsidP="004C79C1">
            <w:pPr>
              <w:pStyle w:val="Tabletext1"/>
              <w:numPr>
                <w:ilvl w:val="0"/>
                <w:numId w:val="29"/>
              </w:numPr>
              <w:spacing w:before="0" w:after="120"/>
              <w:ind w:left="459" w:hanging="284"/>
            </w:pPr>
            <w:r>
              <w:rPr>
                <w:rFonts w:cs="Arial Narrow"/>
                <w:bCs/>
              </w:rPr>
              <w:t xml:space="preserve">Further tests (e.g. genetic testing, further blood tests, </w:t>
            </w:r>
            <w:r w:rsidR="00F81E6E">
              <w:rPr>
                <w:rFonts w:cs="Arial Narrow"/>
                <w:bCs/>
              </w:rPr>
              <w:t>EMB</w:t>
            </w:r>
            <w:r>
              <w:rPr>
                <w:rFonts w:cs="Arial Narrow"/>
                <w:bCs/>
              </w:rPr>
              <w:t>)</w:t>
            </w:r>
          </w:p>
        </w:tc>
      </w:tr>
      <w:tr w:rsidR="002F0D18" w:rsidRPr="00183E4D" w14:paraId="452E1DBD" w14:textId="06A714B4" w:rsidTr="006C29CF">
        <w:tc>
          <w:tcPr>
            <w:tcW w:w="1948" w:type="dxa"/>
            <w:shd w:val="clear" w:color="auto" w:fill="auto"/>
          </w:tcPr>
          <w:p w14:paraId="0C440169" w14:textId="77777777" w:rsidR="002F0D18" w:rsidRPr="00183E4D" w:rsidRDefault="002F0D18" w:rsidP="004C79C1">
            <w:pPr>
              <w:pStyle w:val="Tabletext1"/>
              <w:spacing w:before="0" w:after="120"/>
            </w:pPr>
            <w:r w:rsidRPr="00183E4D">
              <w:t>Outcomes</w:t>
            </w:r>
          </w:p>
        </w:tc>
        <w:tc>
          <w:tcPr>
            <w:tcW w:w="3859" w:type="dxa"/>
            <w:shd w:val="clear" w:color="auto" w:fill="auto"/>
          </w:tcPr>
          <w:p w14:paraId="27F6E14D" w14:textId="5259872E" w:rsidR="002F0D18" w:rsidRPr="00183E4D" w:rsidRDefault="002F0D18" w:rsidP="004C79C1">
            <w:pPr>
              <w:pStyle w:val="Tabletext1"/>
              <w:spacing w:before="0" w:after="120"/>
            </w:pPr>
            <w:r w:rsidRPr="00E62137">
              <w:rPr>
                <w:rFonts w:cs="Arial Narrow"/>
                <w:bCs/>
              </w:rPr>
              <w:t>Hazard ratio, relative risk, mortality rates</w:t>
            </w:r>
          </w:p>
        </w:tc>
        <w:tc>
          <w:tcPr>
            <w:tcW w:w="3209" w:type="dxa"/>
            <w:shd w:val="clear" w:color="auto" w:fill="auto"/>
          </w:tcPr>
          <w:p w14:paraId="52D1FAFB" w14:textId="39DC8856" w:rsidR="002F0D18" w:rsidRPr="00183E4D" w:rsidRDefault="00475940" w:rsidP="004C79C1">
            <w:pPr>
              <w:pStyle w:val="Tabletext1"/>
              <w:spacing w:before="0" w:after="120"/>
            </w:pPr>
            <w:r w:rsidRPr="00E62137">
              <w:rPr>
                <w:rFonts w:cs="Arial Narrow"/>
                <w:bCs/>
              </w:rPr>
              <w:t>Hazard ratio, relative risk, mortality rates</w:t>
            </w:r>
          </w:p>
        </w:tc>
      </w:tr>
      <w:tr w:rsidR="002F0D18" w:rsidRPr="00183E4D" w14:paraId="7DED8759" w14:textId="796C42E5" w:rsidTr="006C29CF">
        <w:tc>
          <w:tcPr>
            <w:tcW w:w="1948" w:type="dxa"/>
            <w:tcBorders>
              <w:top w:val="single" w:sz="4" w:space="0" w:color="auto"/>
              <w:bottom w:val="single" w:sz="4" w:space="0" w:color="auto"/>
            </w:tcBorders>
            <w:shd w:val="clear" w:color="auto" w:fill="auto"/>
          </w:tcPr>
          <w:p w14:paraId="1537C28A" w14:textId="77777777" w:rsidR="002F0D18" w:rsidRPr="00183E4D" w:rsidRDefault="002F0D18"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3859" w:type="dxa"/>
            <w:tcBorders>
              <w:top w:val="single" w:sz="4" w:space="0" w:color="auto"/>
              <w:bottom w:val="single" w:sz="4" w:space="0" w:color="auto"/>
            </w:tcBorders>
            <w:shd w:val="clear" w:color="auto" w:fill="auto"/>
          </w:tcPr>
          <w:p w14:paraId="172EEAAC" w14:textId="0829EE1D" w:rsidR="002F0D18" w:rsidRPr="00183E4D" w:rsidRDefault="002F0D18" w:rsidP="004C79C1">
            <w:pPr>
              <w:tabs>
                <w:tab w:val="left" w:pos="0"/>
              </w:tabs>
              <w:spacing w:after="120" w:line="240" w:lineRule="auto"/>
              <w:ind w:right="62"/>
              <w:rPr>
                <w:rFonts w:ascii="Arial Narrow" w:hAnsi="Arial Narrow" w:cs="Arial"/>
                <w:sz w:val="20"/>
              </w:rPr>
            </w:pPr>
            <w:r>
              <w:rPr>
                <w:rFonts w:ascii="Arial Narrow" w:hAnsi="Arial Narrow"/>
                <w:sz w:val="20"/>
                <w:szCs w:val="20"/>
              </w:rPr>
              <w:t xml:space="preserve">What is the prognostic value of </w:t>
            </w:r>
            <w:r w:rsidRPr="00E436AA">
              <w:rPr>
                <w:rFonts w:ascii="Arial Narrow" w:hAnsi="Arial Narrow"/>
                <w:sz w:val="20"/>
                <w:szCs w:val="20"/>
              </w:rPr>
              <w:t xml:space="preserve">CMR compared </w:t>
            </w:r>
            <w:r w:rsidR="00F81E6E">
              <w:rPr>
                <w:rFonts w:ascii="Arial Narrow" w:hAnsi="Arial Narrow"/>
                <w:sz w:val="20"/>
                <w:szCs w:val="20"/>
              </w:rPr>
              <w:t>with</w:t>
            </w:r>
            <w:r w:rsidR="00F81E6E" w:rsidRPr="00E436AA">
              <w:rPr>
                <w:rFonts w:ascii="Arial Narrow" w:hAnsi="Arial Narrow"/>
                <w:sz w:val="20"/>
                <w:szCs w:val="20"/>
              </w:rPr>
              <w:t xml:space="preserve"> </w:t>
            </w:r>
            <w:r>
              <w:rPr>
                <w:rFonts w:ascii="Arial Narrow" w:hAnsi="Arial Narrow"/>
                <w:sz w:val="20"/>
                <w:szCs w:val="20"/>
              </w:rPr>
              <w:t>cEcho</w:t>
            </w:r>
            <w:r w:rsidR="006E4548">
              <w:rPr>
                <w:rFonts w:ascii="Arial Narrow" w:hAnsi="Arial Narrow"/>
                <w:sz w:val="20"/>
                <w:szCs w:val="20"/>
              </w:rPr>
              <w:t>,</w:t>
            </w:r>
            <w:r>
              <w:rPr>
                <w:rFonts w:ascii="Arial Narrow" w:hAnsi="Arial Narrow"/>
                <w:sz w:val="20"/>
                <w:szCs w:val="20"/>
              </w:rPr>
              <w:t xml:space="preserve"> </w:t>
            </w:r>
            <w:r w:rsidR="00DC4AC8">
              <w:rPr>
                <w:rFonts w:ascii="Arial Narrow" w:hAnsi="Arial Narrow"/>
                <w:sz w:val="20"/>
                <w:szCs w:val="20"/>
              </w:rPr>
              <w:t>GHPS</w:t>
            </w:r>
            <w:r w:rsidR="006E4548">
              <w:rPr>
                <w:rFonts w:ascii="Arial Narrow" w:hAnsi="Arial Narrow"/>
                <w:sz w:val="20"/>
                <w:szCs w:val="20"/>
              </w:rPr>
              <w:t>,</w:t>
            </w:r>
            <w:r w:rsidR="00DC4AC8">
              <w:rPr>
                <w:rFonts w:ascii="Arial Narrow" w:hAnsi="Arial Narrow"/>
                <w:sz w:val="20"/>
                <w:szCs w:val="20"/>
              </w:rPr>
              <w:t xml:space="preserve"> </w:t>
            </w:r>
            <w:r w:rsidR="006E4548">
              <w:rPr>
                <w:rFonts w:ascii="Arial Narrow" w:hAnsi="Arial Narrow"/>
                <w:sz w:val="20"/>
                <w:szCs w:val="20"/>
              </w:rPr>
              <w:t xml:space="preserve">CTCA, </w:t>
            </w:r>
            <w:proofErr w:type="gramStart"/>
            <w:r w:rsidR="006E4548">
              <w:rPr>
                <w:rFonts w:ascii="Arial Narrow" w:hAnsi="Arial Narrow"/>
                <w:sz w:val="20"/>
                <w:szCs w:val="20"/>
              </w:rPr>
              <w:t>SPECT</w:t>
            </w:r>
            <w:proofErr w:type="gramEnd"/>
            <w:r w:rsidR="006E4548">
              <w:rPr>
                <w:rFonts w:ascii="Arial Narrow" w:hAnsi="Arial Narrow"/>
                <w:sz w:val="20"/>
                <w:szCs w:val="20"/>
              </w:rPr>
              <w:t>, stress Echo and ICA</w:t>
            </w:r>
            <w:r w:rsidRPr="00E436AA">
              <w:rPr>
                <w:rFonts w:ascii="Arial Narrow" w:hAnsi="Arial Narrow"/>
                <w:sz w:val="20"/>
                <w:szCs w:val="20"/>
              </w:rPr>
              <w:t xml:space="preserve"> in patients with </w:t>
            </w:r>
            <w:r w:rsidR="00D07CAD">
              <w:rPr>
                <w:rFonts w:ascii="Arial Narrow" w:hAnsi="Arial Narrow"/>
                <w:sz w:val="20"/>
                <w:szCs w:val="20"/>
              </w:rPr>
              <w:t>HF</w:t>
            </w:r>
            <w:r w:rsidRPr="00E436AA">
              <w:rPr>
                <w:rFonts w:ascii="Arial Narrow" w:hAnsi="Arial Narrow"/>
                <w:sz w:val="20"/>
                <w:szCs w:val="20"/>
              </w:rPr>
              <w:t xml:space="preserve"> symptoms in whom </w:t>
            </w:r>
            <w:r>
              <w:rPr>
                <w:rFonts w:ascii="Arial Narrow" w:hAnsi="Arial Narrow"/>
                <w:sz w:val="20"/>
                <w:szCs w:val="20"/>
              </w:rPr>
              <w:t>Echo</w:t>
            </w:r>
            <w:r w:rsidRPr="00E436AA">
              <w:rPr>
                <w:rFonts w:ascii="Arial Narrow" w:hAnsi="Arial Narrow"/>
                <w:sz w:val="20"/>
                <w:szCs w:val="20"/>
              </w:rPr>
              <w:t xml:space="preserve"> is inconclusive?</w:t>
            </w:r>
          </w:p>
        </w:tc>
        <w:tc>
          <w:tcPr>
            <w:tcW w:w="3209" w:type="dxa"/>
            <w:tcBorders>
              <w:top w:val="single" w:sz="4" w:space="0" w:color="auto"/>
              <w:bottom w:val="single" w:sz="4" w:space="0" w:color="auto"/>
            </w:tcBorders>
            <w:shd w:val="clear" w:color="auto" w:fill="auto"/>
          </w:tcPr>
          <w:p w14:paraId="494F42C7" w14:textId="029DF09A" w:rsidR="002F0D18" w:rsidRPr="00183E4D" w:rsidRDefault="002F0D18" w:rsidP="004C79C1">
            <w:pPr>
              <w:tabs>
                <w:tab w:val="left" w:pos="0"/>
              </w:tabs>
              <w:spacing w:after="120" w:line="240" w:lineRule="auto"/>
              <w:ind w:right="62"/>
              <w:rPr>
                <w:rFonts w:ascii="Arial Narrow" w:hAnsi="Arial Narrow" w:cs="Arial"/>
                <w:sz w:val="20"/>
              </w:rPr>
            </w:pPr>
            <w:r>
              <w:rPr>
                <w:rFonts w:ascii="Arial Narrow" w:hAnsi="Arial Narrow"/>
                <w:sz w:val="20"/>
                <w:szCs w:val="20"/>
              </w:rPr>
              <w:t xml:space="preserve">What is the prognostic value of </w:t>
            </w:r>
            <w:r w:rsidRPr="00E436AA">
              <w:rPr>
                <w:rFonts w:ascii="Arial Narrow" w:hAnsi="Arial Narrow"/>
                <w:sz w:val="20"/>
                <w:szCs w:val="20"/>
              </w:rPr>
              <w:t xml:space="preserve">CMR compared </w:t>
            </w:r>
            <w:r w:rsidR="00F81E6E">
              <w:rPr>
                <w:rFonts w:ascii="Arial Narrow" w:hAnsi="Arial Narrow"/>
                <w:sz w:val="20"/>
                <w:szCs w:val="20"/>
              </w:rPr>
              <w:t>with</w:t>
            </w:r>
            <w:r w:rsidR="00F81E6E" w:rsidRPr="00E436AA">
              <w:rPr>
                <w:rFonts w:ascii="Arial Narrow" w:hAnsi="Arial Narrow"/>
                <w:sz w:val="20"/>
                <w:szCs w:val="20"/>
              </w:rPr>
              <w:t xml:space="preserve"> </w:t>
            </w:r>
            <w:r w:rsidRPr="00E436AA">
              <w:rPr>
                <w:rFonts w:ascii="Arial Narrow" w:hAnsi="Arial Narrow"/>
                <w:sz w:val="20"/>
                <w:szCs w:val="20"/>
              </w:rPr>
              <w:t>SPECT, CTCA</w:t>
            </w:r>
            <w:r w:rsidR="006E4548">
              <w:rPr>
                <w:rFonts w:ascii="Arial Narrow" w:hAnsi="Arial Narrow"/>
                <w:sz w:val="20"/>
                <w:szCs w:val="20"/>
              </w:rPr>
              <w:t>, stress Echo, ICA</w:t>
            </w:r>
            <w:r w:rsidRPr="00E436AA">
              <w:rPr>
                <w:rFonts w:ascii="Arial Narrow" w:hAnsi="Arial Narrow"/>
                <w:sz w:val="20"/>
                <w:szCs w:val="20"/>
              </w:rPr>
              <w:t xml:space="preserve"> </w:t>
            </w:r>
            <w:r>
              <w:rPr>
                <w:rFonts w:ascii="Arial Narrow" w:hAnsi="Arial Narrow"/>
                <w:sz w:val="20"/>
                <w:szCs w:val="20"/>
              </w:rPr>
              <w:t xml:space="preserve">and further testing </w:t>
            </w:r>
            <w:r w:rsidRPr="00E436AA">
              <w:rPr>
                <w:rFonts w:ascii="Arial Narrow" w:hAnsi="Arial Narrow"/>
                <w:sz w:val="20"/>
                <w:szCs w:val="20"/>
              </w:rPr>
              <w:t xml:space="preserve">in patients with </w:t>
            </w:r>
            <w:r w:rsidR="00D07CAD">
              <w:rPr>
                <w:rFonts w:ascii="Arial Narrow" w:hAnsi="Arial Narrow"/>
                <w:sz w:val="20"/>
                <w:szCs w:val="20"/>
              </w:rPr>
              <w:t xml:space="preserve">HF </w:t>
            </w:r>
            <w:r w:rsidRPr="00E436AA">
              <w:rPr>
                <w:rFonts w:ascii="Arial Narrow" w:hAnsi="Arial Narrow"/>
                <w:sz w:val="20"/>
                <w:szCs w:val="20"/>
              </w:rPr>
              <w:t xml:space="preserve">symptoms in whom </w:t>
            </w:r>
            <w:r>
              <w:rPr>
                <w:rFonts w:ascii="Arial Narrow" w:hAnsi="Arial Narrow"/>
                <w:sz w:val="20"/>
                <w:szCs w:val="20"/>
              </w:rPr>
              <w:t>Echo</w:t>
            </w:r>
            <w:r w:rsidRPr="00E436AA">
              <w:rPr>
                <w:rFonts w:ascii="Arial Narrow" w:hAnsi="Arial Narrow"/>
                <w:sz w:val="20"/>
                <w:szCs w:val="20"/>
              </w:rPr>
              <w:t xml:space="preserve"> suggests a DCM and </w:t>
            </w:r>
            <w:r>
              <w:rPr>
                <w:rFonts w:ascii="Arial Narrow" w:hAnsi="Arial Narrow"/>
                <w:sz w:val="20"/>
                <w:szCs w:val="20"/>
              </w:rPr>
              <w:t xml:space="preserve">who have a low or intermediate risk of </w:t>
            </w:r>
            <w:r w:rsidR="00D07CAD">
              <w:rPr>
                <w:rFonts w:ascii="Arial Narrow" w:hAnsi="Arial Narrow"/>
                <w:sz w:val="20"/>
                <w:szCs w:val="20"/>
              </w:rPr>
              <w:t>CAD</w:t>
            </w:r>
            <w:r w:rsidRPr="00E436AA">
              <w:rPr>
                <w:rFonts w:ascii="Arial Narrow" w:hAnsi="Arial Narrow"/>
                <w:sz w:val="20"/>
                <w:szCs w:val="20"/>
              </w:rPr>
              <w:t>?</w:t>
            </w:r>
          </w:p>
        </w:tc>
      </w:tr>
    </w:tbl>
    <w:p w14:paraId="3956A4FE" w14:textId="361AD614" w:rsidR="00E62137" w:rsidRPr="00E62137" w:rsidRDefault="004209B5" w:rsidP="004C79C1">
      <w:pPr>
        <w:pStyle w:val="Tabletext1"/>
        <w:spacing w:before="0" w:after="120"/>
        <w:jc w:val="both"/>
        <w:rPr>
          <w:rFonts w:cs="Arial"/>
        </w:rPr>
      </w:pPr>
      <w:r>
        <w:t xml:space="preserve">CAD = </w:t>
      </w:r>
      <w:r w:rsidRPr="0007245A">
        <w:t>coronary artery disease;</w:t>
      </w:r>
      <w:r>
        <w:t xml:space="preserve"> </w:t>
      </w:r>
      <w:r w:rsidR="00475940">
        <w:rPr>
          <w:rFonts w:cs="Arial"/>
        </w:rPr>
        <w:t>CMR</w:t>
      </w:r>
      <w:r w:rsidR="00E62137" w:rsidRPr="00E62137">
        <w:rPr>
          <w:rFonts w:cs="Arial"/>
        </w:rPr>
        <w:t xml:space="preserve"> =</w:t>
      </w:r>
      <w:r w:rsidR="00475940">
        <w:rPr>
          <w:rFonts w:cs="Arial"/>
        </w:rPr>
        <w:t xml:space="preserve"> cardiac</w:t>
      </w:r>
      <w:r w:rsidR="00E62137" w:rsidRPr="00E62137">
        <w:rPr>
          <w:rFonts w:cs="Arial"/>
        </w:rPr>
        <w:t xml:space="preserve"> magnetic resonance </w:t>
      </w:r>
      <w:r w:rsidR="000728E6">
        <w:rPr>
          <w:rFonts w:cs="Arial"/>
        </w:rPr>
        <w:t>(</w:t>
      </w:r>
      <w:r w:rsidR="00E62137" w:rsidRPr="00E62137">
        <w:rPr>
          <w:rFonts w:cs="Arial"/>
        </w:rPr>
        <w:t>imaging</w:t>
      </w:r>
      <w:r w:rsidR="000728E6">
        <w:rPr>
          <w:rFonts w:cs="Arial"/>
        </w:rPr>
        <w:t>)</w:t>
      </w:r>
      <w:r w:rsidR="00E62137" w:rsidRPr="00E62137">
        <w:rPr>
          <w:rFonts w:cs="Arial"/>
        </w:rPr>
        <w:t xml:space="preserve">; </w:t>
      </w:r>
      <w:r w:rsidR="00ED4A59" w:rsidRPr="00E62137">
        <w:rPr>
          <w:rFonts w:cs="Arial"/>
        </w:rPr>
        <w:t>CTCA = computed tomography coronary angiography;</w:t>
      </w:r>
      <w:r w:rsidR="00ED4A59">
        <w:rPr>
          <w:rFonts w:cs="Arial"/>
        </w:rPr>
        <w:t xml:space="preserve"> </w:t>
      </w:r>
      <w:r w:rsidR="00E62137" w:rsidRPr="00E62137">
        <w:rPr>
          <w:rFonts w:cs="Arial"/>
        </w:rPr>
        <w:t xml:space="preserve">DCM = dilated cardiomyopathy; </w:t>
      </w:r>
      <w:r w:rsidR="00E62137">
        <w:rPr>
          <w:rFonts w:cs="Arial"/>
        </w:rPr>
        <w:t xml:space="preserve">ECG = </w:t>
      </w:r>
      <w:r w:rsidR="00ED1A76">
        <w:rPr>
          <w:rFonts w:cs="Arial"/>
        </w:rPr>
        <w:t>e</w:t>
      </w:r>
      <w:r w:rsidR="00E62137">
        <w:rPr>
          <w:rFonts w:cs="Arial"/>
        </w:rPr>
        <w:t xml:space="preserve">lectrocardiogram; </w:t>
      </w:r>
      <w:r w:rsidR="00DC4AC8">
        <w:t xml:space="preserve">Echo = </w:t>
      </w:r>
      <w:r w:rsidR="00DC4AC8" w:rsidRPr="0007245A">
        <w:t xml:space="preserve">echocardiography; </w:t>
      </w:r>
      <w:r w:rsidR="00DC4AC8" w:rsidRPr="00DF2B4D">
        <w:t xml:space="preserve">EMB = </w:t>
      </w:r>
      <w:r w:rsidR="00DC4AC8" w:rsidRPr="00CE2480">
        <w:t>endomyocardial biopsy</w:t>
      </w:r>
      <w:r w:rsidR="00DC4AC8" w:rsidRPr="00DF2B4D">
        <w:t xml:space="preserve">; </w:t>
      </w:r>
      <w:r w:rsidR="00DC4AC8" w:rsidRPr="00CE2480">
        <w:t>GHPS = gated heart pool scan;</w:t>
      </w:r>
      <w:r w:rsidR="00DC4AC8" w:rsidRPr="0007245A">
        <w:t xml:space="preserve"> </w:t>
      </w:r>
      <w:r w:rsidR="000B5FF1">
        <w:t xml:space="preserve">HF = heart failure; </w:t>
      </w:r>
      <w:r w:rsidR="00DC4AC8" w:rsidRPr="0007245A">
        <w:t xml:space="preserve">ICA = </w:t>
      </w:r>
      <w:r w:rsidR="00DC4AC8" w:rsidRPr="00CE2480">
        <w:t>invasive coronary angiography;</w:t>
      </w:r>
      <w:r w:rsidR="00DC4AC8">
        <w:t xml:space="preserve"> </w:t>
      </w:r>
      <w:r w:rsidR="00E62137" w:rsidRPr="00E62137">
        <w:rPr>
          <w:rFonts w:cs="Arial"/>
        </w:rPr>
        <w:t>SPECT = single</w:t>
      </w:r>
      <w:r w:rsidR="007F1E74">
        <w:rPr>
          <w:rFonts w:cs="Arial"/>
        </w:rPr>
        <w:t>-</w:t>
      </w:r>
      <w:r w:rsidR="00E62137" w:rsidRPr="00E62137">
        <w:rPr>
          <w:rFonts w:cs="Arial"/>
        </w:rPr>
        <w:t>photon emission computed tomography</w:t>
      </w:r>
    </w:p>
    <w:p w14:paraId="5C452106" w14:textId="77777777" w:rsidR="00E956D2" w:rsidRDefault="00E956D2" w:rsidP="004C79C1">
      <w:pPr>
        <w:pStyle w:val="Caption"/>
      </w:pPr>
    </w:p>
    <w:p w14:paraId="451E0091" w14:textId="2E8A0A00" w:rsidR="007B3012" w:rsidRDefault="007B3012" w:rsidP="00161B88">
      <w:pPr>
        <w:pStyle w:val="Heading3"/>
      </w:pPr>
      <w:bookmarkStart w:id="189" w:name="_Toc451501290"/>
      <w:r>
        <w:t>Therapeutic efficacy</w:t>
      </w:r>
      <w:bookmarkEnd w:id="189"/>
    </w:p>
    <w:p w14:paraId="114D2EA6" w14:textId="3401FDE6" w:rsidR="003D543E" w:rsidRPr="00183E4D" w:rsidRDefault="003D543E" w:rsidP="004C79C1">
      <w:pPr>
        <w:pStyle w:val="Caption"/>
      </w:pPr>
      <w:bookmarkStart w:id="190" w:name="_Toc448827357"/>
      <w:bookmarkStart w:id="191" w:name="_Toc324410122"/>
      <w:r>
        <w:t xml:space="preserve">Box </w:t>
      </w:r>
      <w:fldSimple w:instr=" SEQ Box \* ARABIC ">
        <w:r w:rsidR="00460601">
          <w:rPr>
            <w:noProof/>
          </w:rPr>
          <w:t>5</w:t>
        </w:r>
      </w:fldSimple>
      <w:r w:rsidRPr="00183E4D">
        <w:rPr>
          <w:szCs w:val="20"/>
        </w:rPr>
        <w:tab/>
      </w:r>
      <w:r w:rsidRPr="00183E4D">
        <w:t xml:space="preserve">Criteria for identifying and selecting studies to determine the </w:t>
      </w:r>
      <w:r w:rsidR="00AC05D1">
        <w:t>therapeutic efficacy (change in management) of</w:t>
      </w:r>
      <w:r w:rsidR="000706ED">
        <w:t xml:space="preserve"> CMR</w:t>
      </w:r>
      <w:r w:rsidRPr="00183E4D">
        <w:t xml:space="preserve"> in patients with</w:t>
      </w:r>
      <w:r w:rsidR="000706ED">
        <w:t xml:space="preserve"> suspected DCM</w:t>
      </w:r>
      <w:bookmarkEnd w:id="190"/>
      <w:bookmarkEnd w:id="19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a description of the criteria used to select studies to assess the effectiveness of the technology."/>
      </w:tblPr>
      <w:tblGrid>
        <w:gridCol w:w="1948"/>
        <w:gridCol w:w="3735"/>
        <w:gridCol w:w="3333"/>
      </w:tblGrid>
      <w:tr w:rsidR="00456F62" w:rsidRPr="00183E4D" w14:paraId="1178917B" w14:textId="6803E3D3" w:rsidTr="00456F62">
        <w:trPr>
          <w:trHeight w:val="263"/>
        </w:trPr>
        <w:tc>
          <w:tcPr>
            <w:tcW w:w="1948" w:type="dxa"/>
            <w:shd w:val="clear" w:color="auto" w:fill="auto"/>
          </w:tcPr>
          <w:p w14:paraId="5903412A" w14:textId="77777777" w:rsidR="00456F62" w:rsidRPr="00183E4D" w:rsidRDefault="00456F62" w:rsidP="004C79C1">
            <w:pPr>
              <w:pStyle w:val="Tabletext1"/>
              <w:spacing w:before="0" w:after="120"/>
              <w:rPr>
                <w:b/>
              </w:rPr>
            </w:pPr>
            <w:r w:rsidRPr="00183E4D">
              <w:rPr>
                <w:b/>
              </w:rPr>
              <w:t>Selection criteria</w:t>
            </w:r>
          </w:p>
        </w:tc>
        <w:tc>
          <w:tcPr>
            <w:tcW w:w="3735" w:type="dxa"/>
            <w:shd w:val="clear" w:color="auto" w:fill="auto"/>
          </w:tcPr>
          <w:p w14:paraId="6CE7BE33" w14:textId="677FF59A" w:rsidR="00456F62" w:rsidRPr="00183E4D" w:rsidRDefault="00456F62"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w:t>
            </w:r>
            <w:r w:rsidR="00425CB7">
              <w:rPr>
                <w:rFonts w:cs="Arial"/>
                <w:b/>
              </w:rPr>
              <w:t>)</w:t>
            </w:r>
          </w:p>
        </w:tc>
        <w:tc>
          <w:tcPr>
            <w:tcW w:w="3333" w:type="dxa"/>
            <w:shd w:val="clear" w:color="auto" w:fill="auto"/>
          </w:tcPr>
          <w:p w14:paraId="784815A0" w14:textId="12E4DE5B" w:rsidR="00456F62" w:rsidRPr="00183E4D" w:rsidRDefault="001C105C" w:rsidP="004C79C1">
            <w:pPr>
              <w:pStyle w:val="Tabletext1"/>
              <w:spacing w:before="0" w:after="120"/>
              <w:rPr>
                <w:rFonts w:cs="Arial"/>
                <w:b/>
              </w:rPr>
            </w:pPr>
            <w:r w:rsidRPr="00183E4D">
              <w:rPr>
                <w:rFonts w:cs="Arial"/>
                <w:b/>
              </w:rPr>
              <w:t>Description</w:t>
            </w:r>
            <w:r w:rsidR="00425CB7">
              <w:rPr>
                <w:rFonts w:cs="Arial"/>
                <w:b/>
              </w:rPr>
              <w:t xml:space="preserve"> (population </w:t>
            </w:r>
            <w:r w:rsidR="00351C8E">
              <w:rPr>
                <w:rFonts w:cs="Arial"/>
                <w:b/>
              </w:rPr>
              <w:t>ii</w:t>
            </w:r>
            <w:r w:rsidR="00425CB7">
              <w:rPr>
                <w:rFonts w:cs="Arial"/>
                <w:b/>
              </w:rPr>
              <w:t>)</w:t>
            </w:r>
          </w:p>
        </w:tc>
      </w:tr>
      <w:tr w:rsidR="002F494D" w:rsidRPr="00183E4D" w14:paraId="7422E8B3" w14:textId="505A2A8D" w:rsidTr="00456F62">
        <w:tc>
          <w:tcPr>
            <w:tcW w:w="1948" w:type="dxa"/>
            <w:shd w:val="clear" w:color="auto" w:fill="auto"/>
          </w:tcPr>
          <w:p w14:paraId="5971E556" w14:textId="77777777" w:rsidR="002F494D" w:rsidRPr="00183E4D" w:rsidRDefault="002F494D" w:rsidP="004C79C1">
            <w:pPr>
              <w:pStyle w:val="Tabletext1"/>
              <w:spacing w:before="0" w:after="120"/>
            </w:pPr>
            <w:r w:rsidRPr="00183E4D">
              <w:t>Population</w:t>
            </w:r>
          </w:p>
        </w:tc>
        <w:tc>
          <w:tcPr>
            <w:tcW w:w="3735" w:type="dxa"/>
            <w:shd w:val="clear" w:color="auto" w:fill="auto"/>
          </w:tcPr>
          <w:p w14:paraId="0178034A" w14:textId="49EB4569" w:rsidR="002F494D" w:rsidRPr="00183E4D" w:rsidRDefault="002F494D" w:rsidP="004C79C1">
            <w:pPr>
              <w:pStyle w:val="Tabletext1"/>
              <w:spacing w:before="0" w:after="120"/>
              <w:rPr>
                <w:rFonts w:cs="Arial"/>
              </w:rPr>
            </w:pPr>
            <w:r w:rsidRPr="00C236C7">
              <w:t xml:space="preserve">Patients presenting with </w:t>
            </w:r>
            <w:r w:rsidR="008D09D3">
              <w:t>HF</w:t>
            </w:r>
            <w:r w:rsidRPr="00C236C7">
              <w:t xml:space="preserve"> symptoms, in whom</w:t>
            </w:r>
            <w:r>
              <w:t xml:space="preserve"> Echo</w:t>
            </w:r>
            <w:r w:rsidRPr="00C236C7">
              <w:t xml:space="preserve"> is inconclusive</w:t>
            </w:r>
          </w:p>
        </w:tc>
        <w:tc>
          <w:tcPr>
            <w:tcW w:w="3333" w:type="dxa"/>
            <w:shd w:val="clear" w:color="auto" w:fill="auto"/>
          </w:tcPr>
          <w:p w14:paraId="2E1F4B86" w14:textId="2FFEC9C3" w:rsidR="002F494D" w:rsidRPr="00183E4D" w:rsidRDefault="002F494D" w:rsidP="004C79C1">
            <w:pPr>
              <w:pStyle w:val="Tabletext1"/>
              <w:spacing w:before="0" w:after="120"/>
              <w:rPr>
                <w:rFonts w:cs="Arial"/>
              </w:rPr>
            </w:pPr>
            <w:r w:rsidRPr="00C236C7">
              <w:t xml:space="preserve">Patients presenting with </w:t>
            </w:r>
            <w:r w:rsidR="008D09D3">
              <w:t>HF</w:t>
            </w:r>
            <w:r w:rsidRPr="00C236C7">
              <w:t xml:space="preserve"> symptoms, in whom</w:t>
            </w:r>
            <w:r>
              <w:t xml:space="preserve"> Echo </w:t>
            </w:r>
            <w:r w:rsidRPr="00C236C7">
              <w:t xml:space="preserve">suggests a </w:t>
            </w:r>
            <w:r w:rsidR="008D09D3">
              <w:t>DCM</w:t>
            </w:r>
            <w:r w:rsidRPr="00C236C7">
              <w:t xml:space="preserve"> </w:t>
            </w:r>
            <w:r>
              <w:t xml:space="preserve">and who have low or intermediate risk of </w:t>
            </w:r>
            <w:r w:rsidR="00A013DF">
              <w:t>CAD</w:t>
            </w:r>
          </w:p>
        </w:tc>
      </w:tr>
      <w:tr w:rsidR="00456F62" w:rsidRPr="00183E4D" w14:paraId="2EB0E26E" w14:textId="28D0E9E9" w:rsidTr="00456F62">
        <w:tc>
          <w:tcPr>
            <w:tcW w:w="1948" w:type="dxa"/>
            <w:shd w:val="clear" w:color="auto" w:fill="auto"/>
          </w:tcPr>
          <w:p w14:paraId="7A460B6B" w14:textId="0AB794D9" w:rsidR="00456F62" w:rsidRPr="00183E4D" w:rsidRDefault="00456F62" w:rsidP="004C79C1">
            <w:pPr>
              <w:pStyle w:val="Tabletext1"/>
              <w:spacing w:before="0" w:after="120"/>
            </w:pPr>
            <w:r>
              <w:t>Prior tests</w:t>
            </w:r>
          </w:p>
        </w:tc>
        <w:tc>
          <w:tcPr>
            <w:tcW w:w="3735" w:type="dxa"/>
            <w:shd w:val="clear" w:color="auto" w:fill="auto"/>
          </w:tcPr>
          <w:p w14:paraId="6C30FEEE" w14:textId="27013A2D" w:rsidR="00456F62" w:rsidRPr="00183E4D" w:rsidRDefault="00456F62" w:rsidP="004C79C1">
            <w:pPr>
              <w:pStyle w:val="Tabletext1"/>
              <w:spacing w:before="0" w:after="120"/>
              <w:rPr>
                <w:rFonts w:cs="Arial"/>
              </w:rPr>
            </w:pPr>
            <w:r>
              <w:rPr>
                <w:rFonts w:cs="Arial"/>
              </w:rPr>
              <w:t>Clinical examination, ECG, Echo</w:t>
            </w:r>
          </w:p>
        </w:tc>
        <w:tc>
          <w:tcPr>
            <w:tcW w:w="3333" w:type="dxa"/>
            <w:shd w:val="clear" w:color="auto" w:fill="auto"/>
          </w:tcPr>
          <w:p w14:paraId="71AA5AD6" w14:textId="7CCCABDA" w:rsidR="00456F62" w:rsidRPr="00183E4D" w:rsidRDefault="002F0D18" w:rsidP="004C79C1">
            <w:pPr>
              <w:pStyle w:val="Tabletext1"/>
              <w:spacing w:before="0" w:after="120"/>
              <w:rPr>
                <w:rFonts w:cs="Arial"/>
              </w:rPr>
            </w:pPr>
            <w:r>
              <w:rPr>
                <w:rFonts w:cs="Arial"/>
              </w:rPr>
              <w:t>Clinical examination, ECG, Echo</w:t>
            </w:r>
          </w:p>
        </w:tc>
      </w:tr>
      <w:tr w:rsidR="002F494D" w:rsidRPr="00183E4D" w14:paraId="4B67A249" w14:textId="564F030D" w:rsidTr="00456F62">
        <w:tc>
          <w:tcPr>
            <w:tcW w:w="1948" w:type="dxa"/>
            <w:shd w:val="clear" w:color="auto" w:fill="auto"/>
          </w:tcPr>
          <w:p w14:paraId="52EB5413" w14:textId="77777777" w:rsidR="002F494D" w:rsidRPr="00183E4D" w:rsidRDefault="002F494D" w:rsidP="004C79C1">
            <w:pPr>
              <w:pStyle w:val="Tabletext1"/>
              <w:spacing w:before="0" w:after="120"/>
            </w:pPr>
            <w:r w:rsidRPr="00183E4D">
              <w:t>In</w:t>
            </w:r>
            <w:r>
              <w:t>dex test</w:t>
            </w:r>
          </w:p>
        </w:tc>
        <w:tc>
          <w:tcPr>
            <w:tcW w:w="3735" w:type="dxa"/>
            <w:shd w:val="clear" w:color="auto" w:fill="auto"/>
          </w:tcPr>
          <w:p w14:paraId="29054CFF" w14:textId="761C5D72" w:rsidR="002F494D" w:rsidRPr="00183E4D" w:rsidRDefault="002F494D" w:rsidP="004C79C1">
            <w:pPr>
              <w:pStyle w:val="Tabletext1"/>
              <w:spacing w:before="0" w:after="120"/>
            </w:pPr>
            <w:r>
              <w:rPr>
                <w:rFonts w:cs="Arial Narrow"/>
                <w:bCs/>
              </w:rPr>
              <w:t>CMR</w:t>
            </w:r>
          </w:p>
        </w:tc>
        <w:tc>
          <w:tcPr>
            <w:tcW w:w="3333" w:type="dxa"/>
            <w:shd w:val="clear" w:color="auto" w:fill="auto"/>
          </w:tcPr>
          <w:p w14:paraId="3034DEFE" w14:textId="3939DE8B" w:rsidR="002F494D" w:rsidRPr="00183E4D" w:rsidRDefault="002F494D" w:rsidP="004C79C1">
            <w:pPr>
              <w:pStyle w:val="Tabletext1"/>
              <w:spacing w:before="0" w:after="120"/>
            </w:pPr>
            <w:r>
              <w:t>CMR</w:t>
            </w:r>
          </w:p>
        </w:tc>
      </w:tr>
      <w:tr w:rsidR="002F494D" w:rsidRPr="00183E4D" w14:paraId="6DF64E67" w14:textId="50F27006" w:rsidTr="00456F62">
        <w:tc>
          <w:tcPr>
            <w:tcW w:w="1948" w:type="dxa"/>
            <w:shd w:val="clear" w:color="auto" w:fill="auto"/>
          </w:tcPr>
          <w:p w14:paraId="61C9A794" w14:textId="27400EBF" w:rsidR="002F494D" w:rsidRPr="00183E4D" w:rsidRDefault="002F494D" w:rsidP="004C79C1">
            <w:pPr>
              <w:pStyle w:val="Tabletext1"/>
              <w:spacing w:before="0" w:after="120"/>
            </w:pPr>
            <w:r>
              <w:t>Comparators</w:t>
            </w:r>
          </w:p>
        </w:tc>
        <w:tc>
          <w:tcPr>
            <w:tcW w:w="3735" w:type="dxa"/>
            <w:shd w:val="clear" w:color="auto" w:fill="auto"/>
          </w:tcPr>
          <w:p w14:paraId="3D4052C8" w14:textId="21C2D2E1" w:rsidR="002F494D" w:rsidRPr="00D76006" w:rsidRDefault="00272391" w:rsidP="004C79C1">
            <w:pPr>
              <w:pStyle w:val="Tabletext1"/>
              <w:numPr>
                <w:ilvl w:val="0"/>
                <w:numId w:val="29"/>
              </w:numPr>
              <w:spacing w:before="0" w:after="120"/>
              <w:ind w:left="459" w:hanging="284"/>
              <w:rPr>
                <w:rFonts w:cs="Arial Narrow"/>
                <w:bCs/>
              </w:rPr>
            </w:pPr>
            <w:r>
              <w:rPr>
                <w:rFonts w:cs="Arial Narrow"/>
                <w:bCs/>
              </w:rPr>
              <w:t>c</w:t>
            </w:r>
            <w:r w:rsidR="002F494D" w:rsidRPr="00D76006">
              <w:rPr>
                <w:rFonts w:cs="Arial Narrow"/>
                <w:bCs/>
              </w:rPr>
              <w:t>Echo</w:t>
            </w:r>
          </w:p>
          <w:p w14:paraId="7E914A17" w14:textId="66E999A8" w:rsidR="002F494D" w:rsidRPr="003C4577" w:rsidRDefault="002F494D" w:rsidP="004C79C1">
            <w:pPr>
              <w:pStyle w:val="Tabletext1"/>
              <w:numPr>
                <w:ilvl w:val="0"/>
                <w:numId w:val="29"/>
              </w:numPr>
              <w:spacing w:before="0" w:after="120"/>
              <w:ind w:left="459" w:hanging="284"/>
            </w:pPr>
            <w:r w:rsidRPr="00D76006">
              <w:rPr>
                <w:rFonts w:cs="Arial Narrow"/>
                <w:bCs/>
              </w:rPr>
              <w:t>G</w:t>
            </w:r>
            <w:r w:rsidR="00A013DF">
              <w:rPr>
                <w:rFonts w:cs="Arial Narrow"/>
                <w:bCs/>
              </w:rPr>
              <w:t>HPS</w:t>
            </w:r>
          </w:p>
          <w:p w14:paraId="5EBD205C" w14:textId="77777777" w:rsidR="003C4577" w:rsidRPr="00850848" w:rsidRDefault="003C4577" w:rsidP="004C79C1">
            <w:pPr>
              <w:pStyle w:val="Tabletext1"/>
              <w:numPr>
                <w:ilvl w:val="0"/>
                <w:numId w:val="29"/>
              </w:numPr>
              <w:spacing w:before="0" w:after="120"/>
              <w:ind w:left="459" w:hanging="284"/>
            </w:pPr>
            <w:r>
              <w:rPr>
                <w:rFonts w:cs="Arial Narrow"/>
                <w:bCs/>
              </w:rPr>
              <w:t>CTCA</w:t>
            </w:r>
          </w:p>
          <w:p w14:paraId="188F4536" w14:textId="77777777" w:rsidR="003C4577" w:rsidRPr="00850848" w:rsidRDefault="003C4577" w:rsidP="004C79C1">
            <w:pPr>
              <w:pStyle w:val="Tabletext1"/>
              <w:numPr>
                <w:ilvl w:val="0"/>
                <w:numId w:val="29"/>
              </w:numPr>
              <w:spacing w:before="0" w:after="120"/>
              <w:ind w:left="459" w:hanging="284"/>
            </w:pPr>
            <w:r>
              <w:rPr>
                <w:rFonts w:cs="Arial Narrow"/>
                <w:bCs/>
              </w:rPr>
              <w:t>SPECT</w:t>
            </w:r>
          </w:p>
          <w:p w14:paraId="4B5EEFA6" w14:textId="77777777" w:rsidR="003C4577" w:rsidRPr="00850848" w:rsidRDefault="003C4577" w:rsidP="004C79C1">
            <w:pPr>
              <w:pStyle w:val="Tabletext1"/>
              <w:numPr>
                <w:ilvl w:val="0"/>
                <w:numId w:val="29"/>
              </w:numPr>
              <w:spacing w:before="0" w:after="120"/>
              <w:ind w:left="459" w:hanging="284"/>
            </w:pPr>
            <w:r>
              <w:rPr>
                <w:rFonts w:cs="Arial Narrow"/>
                <w:bCs/>
              </w:rPr>
              <w:t>Stress Echo</w:t>
            </w:r>
          </w:p>
          <w:p w14:paraId="102EC989" w14:textId="141C94A4" w:rsidR="003C4577" w:rsidRPr="00183E4D" w:rsidRDefault="003C4577" w:rsidP="004C79C1">
            <w:pPr>
              <w:pStyle w:val="Tabletext1"/>
              <w:numPr>
                <w:ilvl w:val="0"/>
                <w:numId w:val="29"/>
              </w:numPr>
              <w:spacing w:before="0" w:after="120"/>
              <w:ind w:left="459" w:hanging="284"/>
            </w:pPr>
            <w:r>
              <w:rPr>
                <w:rFonts w:cs="Arial Narrow"/>
                <w:bCs/>
              </w:rPr>
              <w:t>ICA</w:t>
            </w:r>
          </w:p>
        </w:tc>
        <w:tc>
          <w:tcPr>
            <w:tcW w:w="3333" w:type="dxa"/>
            <w:shd w:val="clear" w:color="auto" w:fill="auto"/>
          </w:tcPr>
          <w:p w14:paraId="13E22879" w14:textId="77777777" w:rsidR="002F494D" w:rsidRPr="005C35D7" w:rsidRDefault="002F494D" w:rsidP="004C79C1">
            <w:pPr>
              <w:pStyle w:val="Tabletext1"/>
              <w:numPr>
                <w:ilvl w:val="0"/>
                <w:numId w:val="29"/>
              </w:numPr>
              <w:spacing w:before="0" w:after="120"/>
              <w:ind w:left="459" w:hanging="284"/>
              <w:rPr>
                <w:rFonts w:cs="Arial Narrow"/>
                <w:bCs/>
              </w:rPr>
            </w:pPr>
            <w:r w:rsidRPr="005C35D7">
              <w:rPr>
                <w:rFonts w:cs="Arial Narrow"/>
                <w:bCs/>
              </w:rPr>
              <w:t xml:space="preserve">CTCA </w:t>
            </w:r>
          </w:p>
          <w:p w14:paraId="663754E4" w14:textId="77777777" w:rsidR="002F494D" w:rsidRDefault="002F494D" w:rsidP="004C79C1">
            <w:pPr>
              <w:pStyle w:val="Tabletext1"/>
              <w:numPr>
                <w:ilvl w:val="0"/>
                <w:numId w:val="29"/>
              </w:numPr>
              <w:spacing w:before="0" w:after="120"/>
              <w:ind w:left="459" w:hanging="284"/>
              <w:rPr>
                <w:rFonts w:cs="Arial Narrow"/>
                <w:bCs/>
              </w:rPr>
            </w:pPr>
            <w:r w:rsidRPr="005C35D7">
              <w:rPr>
                <w:rFonts w:cs="Arial Narrow"/>
                <w:bCs/>
              </w:rPr>
              <w:t xml:space="preserve">SPECT </w:t>
            </w:r>
          </w:p>
          <w:p w14:paraId="2BEAC491" w14:textId="77777777" w:rsidR="003C4577" w:rsidRDefault="003C4577" w:rsidP="004C79C1">
            <w:pPr>
              <w:pStyle w:val="Tabletext1"/>
              <w:numPr>
                <w:ilvl w:val="0"/>
                <w:numId w:val="29"/>
              </w:numPr>
              <w:spacing w:before="0" w:after="120"/>
              <w:ind w:left="459" w:hanging="284"/>
              <w:rPr>
                <w:rFonts w:cs="Arial Narrow"/>
                <w:bCs/>
              </w:rPr>
            </w:pPr>
            <w:r>
              <w:rPr>
                <w:rFonts w:cs="Arial Narrow"/>
                <w:bCs/>
              </w:rPr>
              <w:t>Stress Echo</w:t>
            </w:r>
          </w:p>
          <w:p w14:paraId="3C3D847A" w14:textId="660088C6" w:rsidR="003C4577" w:rsidRPr="003C4577" w:rsidRDefault="003C4577" w:rsidP="004C79C1">
            <w:pPr>
              <w:pStyle w:val="Tabletext1"/>
              <w:numPr>
                <w:ilvl w:val="0"/>
                <w:numId w:val="29"/>
              </w:numPr>
              <w:spacing w:before="0" w:after="120"/>
              <w:ind w:left="459" w:hanging="284"/>
              <w:rPr>
                <w:rFonts w:cs="Arial Narrow"/>
                <w:bCs/>
              </w:rPr>
            </w:pPr>
            <w:r>
              <w:rPr>
                <w:rFonts w:cs="Arial Narrow"/>
                <w:bCs/>
              </w:rPr>
              <w:t>ICA</w:t>
            </w:r>
          </w:p>
          <w:p w14:paraId="7FC077E2" w14:textId="603AA1CE" w:rsidR="002F494D" w:rsidRPr="00183E4D" w:rsidRDefault="002F494D" w:rsidP="004C79C1">
            <w:pPr>
              <w:pStyle w:val="Tabletext1"/>
              <w:numPr>
                <w:ilvl w:val="0"/>
                <w:numId w:val="29"/>
              </w:numPr>
              <w:spacing w:before="0" w:after="120"/>
              <w:ind w:left="459" w:hanging="284"/>
            </w:pPr>
            <w:r>
              <w:rPr>
                <w:rFonts w:cs="Arial Narrow"/>
                <w:bCs/>
              </w:rPr>
              <w:t xml:space="preserve">Further tests (e.g. genetic testing, further blood tests, </w:t>
            </w:r>
            <w:r w:rsidR="00A013DF">
              <w:rPr>
                <w:rFonts w:cs="Arial Narrow"/>
                <w:bCs/>
              </w:rPr>
              <w:t>EMB</w:t>
            </w:r>
            <w:r>
              <w:rPr>
                <w:rFonts w:cs="Arial Narrow"/>
                <w:bCs/>
              </w:rPr>
              <w:t>)</w:t>
            </w:r>
          </w:p>
        </w:tc>
      </w:tr>
      <w:tr w:rsidR="002F494D" w:rsidRPr="00183E4D" w14:paraId="3574CB06" w14:textId="315EB052" w:rsidTr="00456F62">
        <w:tc>
          <w:tcPr>
            <w:tcW w:w="1948" w:type="dxa"/>
            <w:shd w:val="clear" w:color="auto" w:fill="auto"/>
          </w:tcPr>
          <w:p w14:paraId="1D2ACA1E" w14:textId="77777777" w:rsidR="002F494D" w:rsidRPr="00183E4D" w:rsidRDefault="002F494D" w:rsidP="004C79C1">
            <w:pPr>
              <w:pStyle w:val="Tabletext1"/>
              <w:spacing w:before="0" w:after="120"/>
            </w:pPr>
            <w:r w:rsidRPr="00183E4D">
              <w:t>Outcomes</w:t>
            </w:r>
          </w:p>
        </w:tc>
        <w:tc>
          <w:tcPr>
            <w:tcW w:w="3735" w:type="dxa"/>
            <w:shd w:val="clear" w:color="auto" w:fill="auto"/>
          </w:tcPr>
          <w:p w14:paraId="0D98AEC1" w14:textId="4B6620C1" w:rsidR="002F494D" w:rsidRPr="00183E4D" w:rsidRDefault="002F494D" w:rsidP="004C79C1">
            <w:pPr>
              <w:pStyle w:val="Tabletext1"/>
              <w:spacing w:before="0" w:after="120"/>
            </w:pPr>
            <w:r w:rsidRPr="007D6332">
              <w:t>Change in clinical diagnosis, change in treatment pathway (initiated, ceased, modified, avoided), patient compliance, time to initial diagnosis, time from diagnosis to treatment, rates of reintervention</w:t>
            </w:r>
          </w:p>
        </w:tc>
        <w:tc>
          <w:tcPr>
            <w:tcW w:w="3333" w:type="dxa"/>
            <w:shd w:val="clear" w:color="auto" w:fill="auto"/>
          </w:tcPr>
          <w:p w14:paraId="189F18A7" w14:textId="4E4AD9CC" w:rsidR="002F494D" w:rsidRPr="00183E4D" w:rsidRDefault="002F494D" w:rsidP="004C79C1">
            <w:pPr>
              <w:pStyle w:val="Tabletext1"/>
              <w:spacing w:before="0" w:after="120"/>
            </w:pPr>
            <w:r w:rsidRPr="007D6332">
              <w:t>Change in clinical diagnosis, change in treatment pathway (initiated, ceased, modified, avoided), patient compliance, time to initial diagnosis, time from diagnosis to treatment, rates of reintervention</w:t>
            </w:r>
          </w:p>
        </w:tc>
      </w:tr>
      <w:tr w:rsidR="002F494D" w:rsidRPr="00183E4D" w14:paraId="76C032F5" w14:textId="263CDFCA" w:rsidTr="00456F62">
        <w:tc>
          <w:tcPr>
            <w:tcW w:w="1948" w:type="dxa"/>
            <w:tcBorders>
              <w:top w:val="single" w:sz="4" w:space="0" w:color="auto"/>
              <w:bottom w:val="single" w:sz="4" w:space="0" w:color="auto"/>
            </w:tcBorders>
            <w:shd w:val="clear" w:color="auto" w:fill="auto"/>
          </w:tcPr>
          <w:p w14:paraId="5C9D85C3" w14:textId="77777777" w:rsidR="002F494D" w:rsidRPr="00183E4D" w:rsidRDefault="002F494D"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3735" w:type="dxa"/>
            <w:tcBorders>
              <w:top w:val="single" w:sz="4" w:space="0" w:color="auto"/>
              <w:bottom w:val="single" w:sz="4" w:space="0" w:color="auto"/>
            </w:tcBorders>
            <w:shd w:val="clear" w:color="auto" w:fill="auto"/>
          </w:tcPr>
          <w:p w14:paraId="222168DA" w14:textId="6485916C" w:rsidR="002F494D" w:rsidRPr="00183E4D" w:rsidRDefault="002F494D" w:rsidP="004C79C1">
            <w:pPr>
              <w:tabs>
                <w:tab w:val="left" w:pos="0"/>
              </w:tabs>
              <w:spacing w:after="120" w:line="240" w:lineRule="auto"/>
              <w:ind w:right="62"/>
              <w:rPr>
                <w:rFonts w:ascii="Arial Narrow" w:hAnsi="Arial Narrow" w:cs="Arial"/>
                <w:sz w:val="20"/>
              </w:rPr>
            </w:pPr>
            <w:r>
              <w:rPr>
                <w:rFonts w:ascii="Arial Narrow" w:hAnsi="Arial Narrow"/>
                <w:sz w:val="20"/>
                <w:szCs w:val="20"/>
              </w:rPr>
              <w:t xml:space="preserve">Is there a change in management from </w:t>
            </w:r>
            <w:r w:rsidRPr="00E436AA">
              <w:rPr>
                <w:rFonts w:ascii="Arial Narrow" w:hAnsi="Arial Narrow"/>
                <w:sz w:val="20"/>
                <w:szCs w:val="20"/>
              </w:rPr>
              <w:t xml:space="preserve">CMR compared </w:t>
            </w:r>
            <w:r w:rsidR="004B05D3">
              <w:rPr>
                <w:rFonts w:ascii="Arial Narrow" w:hAnsi="Arial Narrow"/>
                <w:sz w:val="20"/>
                <w:szCs w:val="20"/>
              </w:rPr>
              <w:t>with</w:t>
            </w:r>
            <w:r w:rsidR="004B05D3" w:rsidRPr="00E436AA">
              <w:rPr>
                <w:rFonts w:ascii="Arial Narrow" w:hAnsi="Arial Narrow"/>
                <w:sz w:val="20"/>
                <w:szCs w:val="20"/>
              </w:rPr>
              <w:t xml:space="preserve"> </w:t>
            </w:r>
            <w:r>
              <w:rPr>
                <w:rFonts w:ascii="Arial Narrow" w:hAnsi="Arial Narrow"/>
                <w:sz w:val="20"/>
                <w:szCs w:val="20"/>
              </w:rPr>
              <w:t>cEcho</w:t>
            </w:r>
            <w:r w:rsidR="004F42B2">
              <w:rPr>
                <w:rFonts w:ascii="Arial Narrow" w:hAnsi="Arial Narrow"/>
                <w:sz w:val="20"/>
                <w:szCs w:val="20"/>
              </w:rPr>
              <w:t>,</w:t>
            </w:r>
            <w:r>
              <w:rPr>
                <w:rFonts w:ascii="Arial Narrow" w:hAnsi="Arial Narrow"/>
                <w:sz w:val="20"/>
                <w:szCs w:val="20"/>
              </w:rPr>
              <w:t xml:space="preserve"> </w:t>
            </w:r>
            <w:r w:rsidR="004B05D3">
              <w:rPr>
                <w:rFonts w:ascii="Arial Narrow" w:hAnsi="Arial Narrow"/>
                <w:sz w:val="20"/>
                <w:szCs w:val="20"/>
              </w:rPr>
              <w:t>GHPS</w:t>
            </w:r>
            <w:r w:rsidR="004F42B2">
              <w:rPr>
                <w:rFonts w:ascii="Arial Narrow" w:hAnsi="Arial Narrow"/>
                <w:sz w:val="20"/>
                <w:szCs w:val="20"/>
              </w:rPr>
              <w:t>, CTCA, SPECT, stress Echo and ICA</w:t>
            </w:r>
            <w:r w:rsidRPr="00E436AA">
              <w:rPr>
                <w:rFonts w:ascii="Arial Narrow" w:hAnsi="Arial Narrow"/>
                <w:sz w:val="20"/>
                <w:szCs w:val="20"/>
              </w:rPr>
              <w:t xml:space="preserve"> in patients with </w:t>
            </w:r>
            <w:r w:rsidR="008D09D3">
              <w:rPr>
                <w:rFonts w:ascii="Arial Narrow" w:hAnsi="Arial Narrow"/>
                <w:sz w:val="20"/>
                <w:szCs w:val="20"/>
              </w:rPr>
              <w:t>HF</w:t>
            </w:r>
            <w:r w:rsidRPr="00E436AA">
              <w:rPr>
                <w:rFonts w:ascii="Arial Narrow" w:hAnsi="Arial Narrow"/>
                <w:sz w:val="20"/>
                <w:szCs w:val="20"/>
              </w:rPr>
              <w:t xml:space="preserve"> symptoms in whom </w:t>
            </w:r>
            <w:r>
              <w:rPr>
                <w:rFonts w:ascii="Arial Narrow" w:hAnsi="Arial Narrow"/>
                <w:sz w:val="20"/>
                <w:szCs w:val="20"/>
              </w:rPr>
              <w:t>Echo</w:t>
            </w:r>
            <w:r w:rsidRPr="00E436AA">
              <w:rPr>
                <w:rFonts w:ascii="Arial Narrow" w:hAnsi="Arial Narrow"/>
                <w:sz w:val="20"/>
                <w:szCs w:val="20"/>
              </w:rPr>
              <w:t xml:space="preserve"> is inconclusive?</w:t>
            </w:r>
          </w:p>
        </w:tc>
        <w:tc>
          <w:tcPr>
            <w:tcW w:w="3333" w:type="dxa"/>
            <w:tcBorders>
              <w:top w:val="single" w:sz="4" w:space="0" w:color="auto"/>
              <w:bottom w:val="single" w:sz="4" w:space="0" w:color="auto"/>
            </w:tcBorders>
            <w:shd w:val="clear" w:color="auto" w:fill="auto"/>
          </w:tcPr>
          <w:p w14:paraId="08620D52" w14:textId="5F857916" w:rsidR="002F494D" w:rsidRPr="00183E4D" w:rsidRDefault="002F494D" w:rsidP="004C79C1">
            <w:pPr>
              <w:tabs>
                <w:tab w:val="left" w:pos="0"/>
              </w:tabs>
              <w:spacing w:after="120" w:line="240" w:lineRule="auto"/>
              <w:ind w:right="62"/>
              <w:rPr>
                <w:rFonts w:ascii="Arial Narrow" w:hAnsi="Arial Narrow" w:cs="Arial"/>
                <w:sz w:val="20"/>
              </w:rPr>
            </w:pPr>
            <w:r w:rsidRPr="007D6332">
              <w:rPr>
                <w:rFonts w:ascii="Arial Narrow" w:hAnsi="Arial Narrow"/>
                <w:sz w:val="20"/>
                <w:szCs w:val="20"/>
              </w:rPr>
              <w:t xml:space="preserve">Is there a change in management </w:t>
            </w:r>
            <w:r>
              <w:rPr>
                <w:rFonts w:ascii="Arial Narrow" w:hAnsi="Arial Narrow"/>
                <w:sz w:val="20"/>
                <w:szCs w:val="20"/>
              </w:rPr>
              <w:t xml:space="preserve">from </w:t>
            </w:r>
            <w:r w:rsidRPr="00E436AA">
              <w:rPr>
                <w:rFonts w:ascii="Arial Narrow" w:hAnsi="Arial Narrow"/>
                <w:sz w:val="20"/>
                <w:szCs w:val="20"/>
              </w:rPr>
              <w:t xml:space="preserve">CMR compared </w:t>
            </w:r>
            <w:r w:rsidR="004B05D3">
              <w:rPr>
                <w:rFonts w:ascii="Arial Narrow" w:hAnsi="Arial Narrow"/>
                <w:sz w:val="20"/>
                <w:szCs w:val="20"/>
              </w:rPr>
              <w:t>with</w:t>
            </w:r>
            <w:r w:rsidR="004B05D3" w:rsidRPr="00E436AA">
              <w:rPr>
                <w:rFonts w:ascii="Arial Narrow" w:hAnsi="Arial Narrow"/>
                <w:sz w:val="20"/>
                <w:szCs w:val="20"/>
              </w:rPr>
              <w:t xml:space="preserve"> </w:t>
            </w:r>
            <w:r w:rsidRPr="00E436AA">
              <w:rPr>
                <w:rFonts w:ascii="Arial Narrow" w:hAnsi="Arial Narrow"/>
                <w:sz w:val="20"/>
                <w:szCs w:val="20"/>
              </w:rPr>
              <w:t>SPECT, CTCA</w:t>
            </w:r>
            <w:r w:rsidR="004F42B2">
              <w:rPr>
                <w:rFonts w:ascii="Arial Narrow" w:hAnsi="Arial Narrow"/>
                <w:sz w:val="20"/>
                <w:szCs w:val="20"/>
              </w:rPr>
              <w:t xml:space="preserve">, </w:t>
            </w:r>
            <w:proofErr w:type="gramStart"/>
            <w:r w:rsidR="004F42B2">
              <w:rPr>
                <w:rFonts w:ascii="Arial Narrow" w:hAnsi="Arial Narrow"/>
                <w:sz w:val="20"/>
                <w:szCs w:val="20"/>
              </w:rPr>
              <w:t>stress</w:t>
            </w:r>
            <w:proofErr w:type="gramEnd"/>
            <w:r w:rsidR="004F42B2">
              <w:rPr>
                <w:rFonts w:ascii="Arial Narrow" w:hAnsi="Arial Narrow"/>
                <w:sz w:val="20"/>
                <w:szCs w:val="20"/>
              </w:rPr>
              <w:t xml:space="preserve"> Echo, ICA</w:t>
            </w:r>
            <w:r w:rsidRPr="00E436AA">
              <w:rPr>
                <w:rFonts w:ascii="Arial Narrow" w:hAnsi="Arial Narrow"/>
                <w:sz w:val="20"/>
                <w:szCs w:val="20"/>
              </w:rPr>
              <w:t xml:space="preserve"> </w:t>
            </w:r>
            <w:r>
              <w:rPr>
                <w:rFonts w:ascii="Arial Narrow" w:hAnsi="Arial Narrow"/>
                <w:sz w:val="20"/>
                <w:szCs w:val="20"/>
              </w:rPr>
              <w:t xml:space="preserve">and further testing </w:t>
            </w:r>
            <w:r w:rsidRPr="00E436AA">
              <w:rPr>
                <w:rFonts w:ascii="Arial Narrow" w:hAnsi="Arial Narrow"/>
                <w:sz w:val="20"/>
                <w:szCs w:val="20"/>
              </w:rPr>
              <w:t xml:space="preserve">in patients with </w:t>
            </w:r>
            <w:r w:rsidR="008D09D3">
              <w:rPr>
                <w:rFonts w:ascii="Arial Narrow" w:hAnsi="Arial Narrow"/>
                <w:sz w:val="20"/>
                <w:szCs w:val="20"/>
              </w:rPr>
              <w:t xml:space="preserve">HF </w:t>
            </w:r>
            <w:r w:rsidRPr="00E436AA">
              <w:rPr>
                <w:rFonts w:ascii="Arial Narrow" w:hAnsi="Arial Narrow"/>
                <w:sz w:val="20"/>
                <w:szCs w:val="20"/>
              </w:rPr>
              <w:t xml:space="preserve">symptoms in whom </w:t>
            </w:r>
            <w:r>
              <w:rPr>
                <w:rFonts w:ascii="Arial Narrow" w:hAnsi="Arial Narrow"/>
                <w:sz w:val="20"/>
                <w:szCs w:val="20"/>
              </w:rPr>
              <w:t>Echo</w:t>
            </w:r>
            <w:r w:rsidRPr="00E436AA">
              <w:rPr>
                <w:rFonts w:ascii="Arial Narrow" w:hAnsi="Arial Narrow"/>
                <w:sz w:val="20"/>
                <w:szCs w:val="20"/>
              </w:rPr>
              <w:t xml:space="preserve"> suggests a DCM and </w:t>
            </w:r>
            <w:r>
              <w:rPr>
                <w:rFonts w:ascii="Arial Narrow" w:hAnsi="Arial Narrow"/>
                <w:sz w:val="20"/>
                <w:szCs w:val="20"/>
              </w:rPr>
              <w:t xml:space="preserve">who have a low or intermediate risk of </w:t>
            </w:r>
            <w:r w:rsidR="008D09D3">
              <w:rPr>
                <w:rFonts w:ascii="Arial Narrow" w:hAnsi="Arial Narrow"/>
                <w:sz w:val="20"/>
                <w:szCs w:val="20"/>
              </w:rPr>
              <w:t>CAD</w:t>
            </w:r>
            <w:r w:rsidRPr="00E436AA">
              <w:rPr>
                <w:rFonts w:ascii="Arial Narrow" w:hAnsi="Arial Narrow"/>
                <w:sz w:val="20"/>
                <w:szCs w:val="20"/>
              </w:rPr>
              <w:t>?</w:t>
            </w:r>
          </w:p>
        </w:tc>
      </w:tr>
    </w:tbl>
    <w:p w14:paraId="710B03BC" w14:textId="10459D96" w:rsidR="007D6332" w:rsidRPr="00582F5B" w:rsidRDefault="004B05D3" w:rsidP="004C79C1">
      <w:pPr>
        <w:spacing w:after="120" w:line="240" w:lineRule="auto"/>
        <w:jc w:val="both"/>
        <w:rPr>
          <w:rFonts w:ascii="Arial Narrow" w:hAnsi="Arial Narrow"/>
          <w:sz w:val="20"/>
          <w:szCs w:val="20"/>
        </w:rPr>
      </w:pPr>
      <w:r w:rsidRPr="00162911">
        <w:rPr>
          <w:rFonts w:ascii="Arial Narrow" w:hAnsi="Arial Narrow"/>
          <w:sz w:val="20"/>
          <w:szCs w:val="20"/>
        </w:rPr>
        <w:t xml:space="preserve">CAD = coronary artery disease; </w:t>
      </w:r>
      <w:r w:rsidR="00475940" w:rsidRPr="00582F5B">
        <w:rPr>
          <w:rFonts w:ascii="Arial Narrow" w:hAnsi="Arial Narrow"/>
          <w:sz w:val="20"/>
          <w:szCs w:val="20"/>
        </w:rPr>
        <w:t xml:space="preserve">CMR </w:t>
      </w:r>
      <w:r w:rsidR="007D6332" w:rsidRPr="00582F5B">
        <w:rPr>
          <w:rFonts w:ascii="Arial Narrow" w:hAnsi="Arial Narrow"/>
          <w:sz w:val="20"/>
          <w:szCs w:val="20"/>
        </w:rPr>
        <w:t>=</w:t>
      </w:r>
      <w:r w:rsidR="00475940" w:rsidRPr="00582F5B">
        <w:rPr>
          <w:rFonts w:ascii="Arial Narrow" w:hAnsi="Arial Narrow"/>
          <w:sz w:val="20"/>
          <w:szCs w:val="20"/>
        </w:rPr>
        <w:t xml:space="preserve"> cardiac</w:t>
      </w:r>
      <w:r w:rsidR="007D6332" w:rsidRPr="00582F5B">
        <w:rPr>
          <w:rFonts w:ascii="Arial Narrow" w:hAnsi="Arial Narrow"/>
          <w:sz w:val="20"/>
          <w:szCs w:val="20"/>
        </w:rPr>
        <w:t xml:space="preserve"> magnetic resonance </w:t>
      </w:r>
      <w:r w:rsidR="000728E6">
        <w:rPr>
          <w:rFonts w:ascii="Arial Narrow" w:hAnsi="Arial Narrow"/>
          <w:sz w:val="20"/>
          <w:szCs w:val="20"/>
        </w:rPr>
        <w:t>(</w:t>
      </w:r>
      <w:r w:rsidR="007D6332" w:rsidRPr="00582F5B">
        <w:rPr>
          <w:rFonts w:ascii="Arial Narrow" w:hAnsi="Arial Narrow"/>
          <w:sz w:val="20"/>
          <w:szCs w:val="20"/>
        </w:rPr>
        <w:t>imaging</w:t>
      </w:r>
      <w:r w:rsidR="000728E6">
        <w:rPr>
          <w:rFonts w:ascii="Arial Narrow" w:hAnsi="Arial Narrow"/>
          <w:sz w:val="20"/>
          <w:szCs w:val="20"/>
        </w:rPr>
        <w:t>)</w:t>
      </w:r>
      <w:r w:rsidR="007D6332" w:rsidRPr="00582F5B">
        <w:rPr>
          <w:rFonts w:ascii="Arial Narrow" w:hAnsi="Arial Narrow"/>
          <w:sz w:val="20"/>
          <w:szCs w:val="20"/>
        </w:rPr>
        <w:t xml:space="preserve">; </w:t>
      </w:r>
      <w:r w:rsidR="006710C3" w:rsidRPr="00582F5B">
        <w:rPr>
          <w:rFonts w:ascii="Arial Narrow" w:hAnsi="Arial Narrow"/>
          <w:sz w:val="20"/>
          <w:szCs w:val="20"/>
        </w:rPr>
        <w:t>CTCA = computed tomography coronary angiography;</w:t>
      </w:r>
      <w:r w:rsidR="007D6332" w:rsidRPr="00582F5B">
        <w:rPr>
          <w:rFonts w:ascii="Arial Narrow" w:hAnsi="Arial Narrow"/>
          <w:sz w:val="20"/>
          <w:szCs w:val="20"/>
        </w:rPr>
        <w:t xml:space="preserve"> DCM = dilated cardiomyopathy; </w:t>
      </w:r>
      <w:r w:rsidR="00582F5B" w:rsidRPr="00582F5B">
        <w:rPr>
          <w:rFonts w:ascii="Arial Narrow" w:hAnsi="Arial Narrow"/>
          <w:sz w:val="20"/>
          <w:szCs w:val="20"/>
        </w:rPr>
        <w:t xml:space="preserve">ECG = electrocardiogram; </w:t>
      </w:r>
      <w:r w:rsidR="00582F5B" w:rsidRPr="00162911">
        <w:rPr>
          <w:rFonts w:ascii="Arial Narrow" w:hAnsi="Arial Narrow"/>
          <w:sz w:val="20"/>
          <w:szCs w:val="20"/>
        </w:rPr>
        <w:t xml:space="preserve">Echo = echocardiography; EMB = endomyocardial biopsy; GHPS = gated heart pool scan; </w:t>
      </w:r>
      <w:r w:rsidR="00B247E2">
        <w:rPr>
          <w:rFonts w:ascii="Arial Narrow" w:hAnsi="Arial Narrow"/>
          <w:sz w:val="20"/>
          <w:szCs w:val="20"/>
        </w:rPr>
        <w:t xml:space="preserve">HF = heart failure; </w:t>
      </w:r>
      <w:r w:rsidR="00582F5B" w:rsidRPr="00162911">
        <w:rPr>
          <w:rFonts w:ascii="Arial Narrow" w:hAnsi="Arial Narrow"/>
          <w:sz w:val="20"/>
          <w:szCs w:val="20"/>
        </w:rPr>
        <w:t>ICA = invasive coronary angiography;</w:t>
      </w:r>
      <w:r w:rsidR="00582F5B">
        <w:rPr>
          <w:rFonts w:ascii="Arial Narrow" w:hAnsi="Arial Narrow"/>
          <w:sz w:val="20"/>
          <w:szCs w:val="20"/>
        </w:rPr>
        <w:t xml:space="preserve"> </w:t>
      </w:r>
      <w:r w:rsidR="007D6332" w:rsidRPr="00582F5B">
        <w:rPr>
          <w:rFonts w:ascii="Arial Narrow" w:hAnsi="Arial Narrow"/>
          <w:sz w:val="20"/>
          <w:szCs w:val="20"/>
        </w:rPr>
        <w:t>SPECT = single</w:t>
      </w:r>
      <w:r w:rsidR="007F1E74">
        <w:rPr>
          <w:rFonts w:ascii="Arial Narrow" w:hAnsi="Arial Narrow"/>
          <w:sz w:val="20"/>
          <w:szCs w:val="20"/>
        </w:rPr>
        <w:t>-</w:t>
      </w:r>
      <w:r w:rsidR="007D6332" w:rsidRPr="00582F5B">
        <w:rPr>
          <w:rFonts w:ascii="Arial Narrow" w:hAnsi="Arial Narrow"/>
          <w:sz w:val="20"/>
          <w:szCs w:val="20"/>
        </w:rPr>
        <w:t xml:space="preserve">photon emission computed tomography </w:t>
      </w:r>
    </w:p>
    <w:p w14:paraId="42D7D742" w14:textId="6D69E0C1" w:rsidR="00A61679" w:rsidRDefault="00A61679" w:rsidP="00161B88">
      <w:pPr>
        <w:pStyle w:val="Heading3"/>
      </w:pPr>
      <w:bookmarkStart w:id="192" w:name="_Toc451501291"/>
      <w:bookmarkStart w:id="193" w:name="_Ref399335481"/>
      <w:r>
        <w:t>Therapeutic effectiveness</w:t>
      </w:r>
      <w:bookmarkEnd w:id="192"/>
    </w:p>
    <w:p w14:paraId="16A21C4D" w14:textId="115EF7B1" w:rsidR="001E20A5" w:rsidRPr="001E20A5" w:rsidRDefault="001E20A5" w:rsidP="004C79C1">
      <w:pPr>
        <w:spacing w:after="120" w:line="240" w:lineRule="auto"/>
        <w:jc w:val="both"/>
      </w:pPr>
      <w:r>
        <w:t>One potential change in management</w:t>
      </w:r>
      <w:r w:rsidR="009708A8">
        <w:t>,</w:t>
      </w:r>
      <w:r>
        <w:t xml:space="preserve"> expected </w:t>
      </w:r>
      <w:r w:rsidRPr="00162911">
        <w:t>a priori</w:t>
      </w:r>
      <w:r w:rsidRPr="00D36FCE">
        <w:t>,</w:t>
      </w:r>
      <w:r>
        <w:t xml:space="preserve"> was treatment differences due to the distinction between ischaemic and non-ischaemic DCM</w:t>
      </w:r>
      <w:r w:rsidR="0054303B">
        <w:t xml:space="preserve"> (see </w:t>
      </w:r>
      <w:r w:rsidR="0054303B">
        <w:fldChar w:fldCharType="begin"/>
      </w:r>
      <w:r w:rsidR="0054303B">
        <w:instrText xml:space="preserve"> REF _Ref447023999 \h </w:instrText>
      </w:r>
      <w:r w:rsidR="00D51E33">
        <w:instrText xml:space="preserve"> \* MERGEFORMAT </w:instrText>
      </w:r>
      <w:r w:rsidR="0054303B">
        <w:fldChar w:fldCharType="separate"/>
      </w:r>
      <w:r w:rsidR="00460601">
        <w:t xml:space="preserve">Box </w:t>
      </w:r>
      <w:r w:rsidR="00460601">
        <w:rPr>
          <w:noProof/>
        </w:rPr>
        <w:t>6</w:t>
      </w:r>
      <w:r w:rsidR="0054303B">
        <w:fldChar w:fldCharType="end"/>
      </w:r>
      <w:r w:rsidR="0054303B">
        <w:t>)</w:t>
      </w:r>
      <w:r>
        <w:t>. Other changes in management</w:t>
      </w:r>
      <w:r w:rsidR="009708A8">
        <w:t xml:space="preserve"> (i.e. treatment effectiveness for rare aetiologies such as myocarditis and sarcoidosis)</w:t>
      </w:r>
      <w:r>
        <w:t xml:space="preserve">, as determined from the literature, were investigated </w:t>
      </w:r>
      <w:r w:rsidRPr="00162911">
        <w:t>ad hoc</w:t>
      </w:r>
      <w:r w:rsidR="0054303B">
        <w:t xml:space="preserve"> without pre-defined criteria. </w:t>
      </w:r>
    </w:p>
    <w:p w14:paraId="4AAFBC24" w14:textId="19807757" w:rsidR="003D543E" w:rsidRPr="00183E4D" w:rsidRDefault="003D543E" w:rsidP="004C79C1">
      <w:pPr>
        <w:pStyle w:val="Caption"/>
        <w:keepNext/>
      </w:pPr>
      <w:bookmarkStart w:id="194" w:name="_Ref447023999"/>
      <w:bookmarkStart w:id="195" w:name="_Toc448827358"/>
      <w:bookmarkStart w:id="196" w:name="_Toc324410123"/>
      <w:r>
        <w:t xml:space="preserve">Box </w:t>
      </w:r>
      <w:fldSimple w:instr=" SEQ Box \* ARABIC ">
        <w:r w:rsidR="00460601">
          <w:rPr>
            <w:noProof/>
          </w:rPr>
          <w:t>6</w:t>
        </w:r>
      </w:fldSimple>
      <w:bookmarkEnd w:id="193"/>
      <w:bookmarkEnd w:id="194"/>
      <w:r w:rsidRPr="00183E4D">
        <w:rPr>
          <w:szCs w:val="20"/>
        </w:rPr>
        <w:tab/>
      </w:r>
      <w:r w:rsidRPr="00183E4D">
        <w:t xml:space="preserve">Criteria for identifying and selecting studies to determine the </w:t>
      </w:r>
      <w:r w:rsidR="00AC05D1">
        <w:t>therapeutic effectiveness</w:t>
      </w:r>
      <w:r>
        <w:t xml:space="preserve"> of the change in patient management subsequent to</w:t>
      </w:r>
      <w:r w:rsidRPr="00183E4D">
        <w:t xml:space="preserve"> </w:t>
      </w:r>
      <w:r w:rsidR="003C2141">
        <w:t>CMR</w:t>
      </w:r>
      <w:r w:rsidRPr="00183E4D">
        <w:t xml:space="preserve"> in patients with </w:t>
      </w:r>
      <w:r w:rsidR="00961E3D">
        <w:t>NI</w:t>
      </w:r>
      <w:r w:rsidR="003C2141">
        <w:t>DCM</w:t>
      </w:r>
      <w:bookmarkEnd w:id="195"/>
      <w:bookmarkEnd w:id="19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his Box provides a description of the criteria used to select studies to assess the effectiveness of the technology."/>
      </w:tblPr>
      <w:tblGrid>
        <w:gridCol w:w="1948"/>
        <w:gridCol w:w="7068"/>
      </w:tblGrid>
      <w:tr w:rsidR="00AA4248" w:rsidRPr="00183E4D" w14:paraId="46A98F4D" w14:textId="616B599A" w:rsidTr="00D71228">
        <w:trPr>
          <w:trHeight w:val="263"/>
        </w:trPr>
        <w:tc>
          <w:tcPr>
            <w:tcW w:w="1948" w:type="dxa"/>
            <w:shd w:val="clear" w:color="auto" w:fill="auto"/>
          </w:tcPr>
          <w:p w14:paraId="52D17DF4" w14:textId="77777777" w:rsidR="00AA4248" w:rsidRPr="00183E4D" w:rsidRDefault="00AA4248" w:rsidP="004C79C1">
            <w:pPr>
              <w:pStyle w:val="Tabletext1"/>
              <w:keepNext/>
              <w:spacing w:before="0" w:after="120"/>
              <w:rPr>
                <w:b/>
              </w:rPr>
            </w:pPr>
            <w:r w:rsidRPr="00183E4D">
              <w:rPr>
                <w:b/>
              </w:rPr>
              <w:t>Selection criteria</w:t>
            </w:r>
          </w:p>
        </w:tc>
        <w:tc>
          <w:tcPr>
            <w:tcW w:w="7068" w:type="dxa"/>
            <w:shd w:val="clear" w:color="auto" w:fill="auto"/>
          </w:tcPr>
          <w:p w14:paraId="6E594747" w14:textId="6BE99DCB" w:rsidR="00AA4248" w:rsidRPr="00183E4D" w:rsidRDefault="00AA4248" w:rsidP="004C79C1">
            <w:pPr>
              <w:pStyle w:val="Tabletext1"/>
              <w:keepNext/>
              <w:spacing w:before="0" w:after="120"/>
              <w:rPr>
                <w:rFonts w:cs="Arial"/>
                <w:b/>
              </w:rPr>
            </w:pPr>
            <w:r w:rsidRPr="00183E4D">
              <w:rPr>
                <w:rFonts w:cs="Arial"/>
                <w:b/>
              </w:rPr>
              <w:t>Description</w:t>
            </w:r>
          </w:p>
        </w:tc>
      </w:tr>
      <w:tr w:rsidR="00AA4248" w:rsidRPr="00183E4D" w14:paraId="14FCEDE7" w14:textId="6D53364A" w:rsidTr="00D71228">
        <w:tc>
          <w:tcPr>
            <w:tcW w:w="1948" w:type="dxa"/>
            <w:shd w:val="clear" w:color="auto" w:fill="auto"/>
          </w:tcPr>
          <w:p w14:paraId="71EB571C" w14:textId="77777777" w:rsidR="00AA4248" w:rsidRPr="00183E4D" w:rsidRDefault="00AA4248" w:rsidP="004C79C1">
            <w:pPr>
              <w:pStyle w:val="Tabletext1"/>
              <w:spacing w:before="0" w:after="120"/>
            </w:pPr>
            <w:r w:rsidRPr="00183E4D">
              <w:t>Population</w:t>
            </w:r>
          </w:p>
        </w:tc>
        <w:tc>
          <w:tcPr>
            <w:tcW w:w="7068" w:type="dxa"/>
            <w:shd w:val="clear" w:color="auto" w:fill="auto"/>
          </w:tcPr>
          <w:p w14:paraId="2C569BC3" w14:textId="53D58106" w:rsidR="00AA4248" w:rsidRPr="00183E4D" w:rsidRDefault="00AA4248" w:rsidP="004C79C1">
            <w:pPr>
              <w:pStyle w:val="Tabletext1"/>
              <w:spacing w:before="0" w:after="120"/>
              <w:rPr>
                <w:rFonts w:cs="Arial"/>
              </w:rPr>
            </w:pPr>
            <w:r>
              <w:rPr>
                <w:rFonts w:cs="Arial Narrow"/>
                <w:bCs/>
              </w:rPr>
              <w:t>P</w:t>
            </w:r>
            <w:r w:rsidRPr="00EF720C">
              <w:rPr>
                <w:rFonts w:cs="Arial Narrow"/>
                <w:bCs/>
              </w:rPr>
              <w:t xml:space="preserve">atients </w:t>
            </w:r>
            <w:r>
              <w:rPr>
                <w:rFonts w:cs="Arial Narrow"/>
                <w:bCs/>
              </w:rPr>
              <w:t xml:space="preserve">classified (correctly or incorrectly) as having </w:t>
            </w:r>
            <w:r w:rsidR="00961E3D">
              <w:rPr>
                <w:rFonts w:cs="Arial Narrow"/>
                <w:bCs/>
              </w:rPr>
              <w:t>NI</w:t>
            </w:r>
            <w:r w:rsidRPr="00EF720C">
              <w:rPr>
                <w:rFonts w:cs="Arial Narrow"/>
                <w:bCs/>
              </w:rPr>
              <w:t>DCM</w:t>
            </w:r>
          </w:p>
        </w:tc>
      </w:tr>
      <w:tr w:rsidR="00AA4248" w:rsidRPr="00183E4D" w14:paraId="0FD4297E" w14:textId="312E435D" w:rsidTr="00D71228">
        <w:tc>
          <w:tcPr>
            <w:tcW w:w="1948" w:type="dxa"/>
            <w:shd w:val="clear" w:color="auto" w:fill="auto"/>
          </w:tcPr>
          <w:p w14:paraId="463F6E4A" w14:textId="77777777" w:rsidR="00AA4248" w:rsidRPr="00183E4D" w:rsidRDefault="00AA4248" w:rsidP="004C79C1">
            <w:pPr>
              <w:pStyle w:val="Tabletext1"/>
              <w:spacing w:before="0" w:after="120"/>
            </w:pPr>
            <w:r w:rsidRPr="00183E4D">
              <w:t>Intervention</w:t>
            </w:r>
          </w:p>
        </w:tc>
        <w:tc>
          <w:tcPr>
            <w:tcW w:w="7068" w:type="dxa"/>
            <w:shd w:val="clear" w:color="auto" w:fill="auto"/>
          </w:tcPr>
          <w:p w14:paraId="56DB2618" w14:textId="064AC2AA" w:rsidR="00AA4248" w:rsidRPr="00183E4D" w:rsidRDefault="00AA4248" w:rsidP="004C79C1">
            <w:pPr>
              <w:pStyle w:val="Tabletext1"/>
              <w:spacing w:before="0" w:after="120"/>
            </w:pPr>
            <w:r>
              <w:rPr>
                <w:rFonts w:cs="Arial Narrow"/>
                <w:bCs/>
              </w:rPr>
              <w:t>O</w:t>
            </w:r>
            <w:r w:rsidRPr="00EF720C">
              <w:rPr>
                <w:rFonts w:cs="Arial Narrow"/>
                <w:bCs/>
              </w:rPr>
              <w:t xml:space="preserve">ptimal medical therapy </w:t>
            </w:r>
            <w:r>
              <w:rPr>
                <w:rFonts w:cs="Arial Narrow"/>
                <w:bCs/>
              </w:rPr>
              <w:t xml:space="preserve">± </w:t>
            </w:r>
            <w:r w:rsidRPr="00EF720C">
              <w:rPr>
                <w:rFonts w:cs="Arial Narrow"/>
                <w:bCs/>
              </w:rPr>
              <w:t>ICD implantation</w:t>
            </w:r>
          </w:p>
        </w:tc>
      </w:tr>
      <w:tr w:rsidR="00AA4248" w:rsidRPr="00183E4D" w14:paraId="229F37A5" w14:textId="2417BD4D" w:rsidTr="00D71228">
        <w:tc>
          <w:tcPr>
            <w:tcW w:w="1948" w:type="dxa"/>
            <w:shd w:val="clear" w:color="auto" w:fill="auto"/>
          </w:tcPr>
          <w:p w14:paraId="5948821E" w14:textId="39082D8C" w:rsidR="00AA4248" w:rsidRPr="00183E4D" w:rsidRDefault="00AA4248" w:rsidP="004C79C1">
            <w:pPr>
              <w:pStyle w:val="Tabletext1"/>
              <w:spacing w:before="0" w:after="120"/>
            </w:pPr>
            <w:r>
              <w:t>Comparators</w:t>
            </w:r>
          </w:p>
        </w:tc>
        <w:tc>
          <w:tcPr>
            <w:tcW w:w="7068" w:type="dxa"/>
            <w:shd w:val="clear" w:color="auto" w:fill="auto"/>
          </w:tcPr>
          <w:p w14:paraId="3DC60339" w14:textId="39CF26D6" w:rsidR="00AA4248" w:rsidRPr="00183E4D" w:rsidRDefault="00AA4248" w:rsidP="004C79C1">
            <w:pPr>
              <w:pStyle w:val="Tabletext1"/>
              <w:spacing w:before="0" w:after="120"/>
            </w:pPr>
            <w:r w:rsidRPr="003C2141">
              <w:rPr>
                <w:rFonts w:cs="Arial Narrow"/>
                <w:bCs/>
              </w:rPr>
              <w:t>Revascularisation and/or optimal medical therapy or monitoring</w:t>
            </w:r>
          </w:p>
        </w:tc>
      </w:tr>
      <w:tr w:rsidR="00AA4248" w:rsidRPr="00183E4D" w14:paraId="48AD936E" w14:textId="3FA3876F" w:rsidTr="00D71228">
        <w:tc>
          <w:tcPr>
            <w:tcW w:w="1948" w:type="dxa"/>
            <w:shd w:val="clear" w:color="auto" w:fill="auto"/>
          </w:tcPr>
          <w:p w14:paraId="51268424" w14:textId="77777777" w:rsidR="00AA4248" w:rsidRPr="00183E4D" w:rsidRDefault="00AA4248" w:rsidP="004C79C1">
            <w:pPr>
              <w:pStyle w:val="Tabletext1"/>
              <w:spacing w:before="0" w:after="120"/>
            </w:pPr>
            <w:r w:rsidRPr="00183E4D">
              <w:t>Outcomes</w:t>
            </w:r>
          </w:p>
        </w:tc>
        <w:tc>
          <w:tcPr>
            <w:tcW w:w="7068" w:type="dxa"/>
            <w:shd w:val="clear" w:color="auto" w:fill="auto"/>
          </w:tcPr>
          <w:p w14:paraId="7F8F8510" w14:textId="71D39552" w:rsidR="00AA4248" w:rsidRPr="00183E4D" w:rsidRDefault="00AA4248" w:rsidP="004C79C1">
            <w:pPr>
              <w:pStyle w:val="Tabletext1"/>
              <w:spacing w:before="0" w:after="120"/>
            </w:pPr>
            <w:r w:rsidRPr="003C2141">
              <w:rPr>
                <w:rFonts w:cs="Arial Narrow"/>
                <w:bCs/>
              </w:rPr>
              <w:t xml:space="preserve">Cardiac disease-specific mortality, survival, cardiac hospitalisation, adverse cardiac event </w:t>
            </w:r>
            <w:r w:rsidRPr="003C2141">
              <w:rPr>
                <w:rFonts w:cs="Arial Narrow"/>
                <w:bCs/>
              </w:rPr>
              <w:lastRenderedPageBreak/>
              <w:t>over defined period, quality of life scores</w:t>
            </w:r>
          </w:p>
        </w:tc>
      </w:tr>
      <w:tr w:rsidR="00AA4248" w:rsidRPr="00183E4D" w14:paraId="7A1FE771" w14:textId="00743DFE" w:rsidTr="00D71228">
        <w:tc>
          <w:tcPr>
            <w:tcW w:w="1948" w:type="dxa"/>
            <w:tcBorders>
              <w:top w:val="single" w:sz="4" w:space="0" w:color="auto"/>
              <w:bottom w:val="single" w:sz="4" w:space="0" w:color="auto"/>
            </w:tcBorders>
            <w:shd w:val="clear" w:color="auto" w:fill="auto"/>
          </w:tcPr>
          <w:p w14:paraId="45FDC8B7" w14:textId="77777777" w:rsidR="00AA4248" w:rsidRPr="00183E4D" w:rsidRDefault="00AA4248"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lastRenderedPageBreak/>
              <w:t>Systematic review question</w:t>
            </w:r>
          </w:p>
        </w:tc>
        <w:tc>
          <w:tcPr>
            <w:tcW w:w="7068" w:type="dxa"/>
            <w:tcBorders>
              <w:top w:val="single" w:sz="4" w:space="0" w:color="auto"/>
              <w:bottom w:val="single" w:sz="4" w:space="0" w:color="auto"/>
            </w:tcBorders>
            <w:shd w:val="clear" w:color="auto" w:fill="auto"/>
          </w:tcPr>
          <w:p w14:paraId="067AE5A3" w14:textId="3688419A" w:rsidR="00AA4248" w:rsidRPr="00183E4D" w:rsidRDefault="00AA4248" w:rsidP="004C79C1">
            <w:pPr>
              <w:tabs>
                <w:tab w:val="left" w:pos="0"/>
              </w:tabs>
              <w:spacing w:after="120" w:line="240" w:lineRule="auto"/>
              <w:ind w:right="62"/>
              <w:rPr>
                <w:rFonts w:ascii="Arial Narrow" w:hAnsi="Arial Narrow" w:cs="Arial"/>
                <w:sz w:val="20"/>
              </w:rPr>
            </w:pPr>
            <w:r w:rsidRPr="003C2141">
              <w:rPr>
                <w:rFonts w:ascii="Arial Narrow" w:hAnsi="Arial Narrow" w:cs="Arial Narrow"/>
                <w:bCs/>
                <w:sz w:val="20"/>
                <w:szCs w:val="20"/>
              </w:rPr>
              <w:t xml:space="preserve">Does optimal medical therapy and/or ICD implantation lead to better health outcomes in patients with </w:t>
            </w:r>
            <w:r w:rsidR="00961E3D">
              <w:rPr>
                <w:rFonts w:ascii="Arial Narrow" w:hAnsi="Arial Narrow" w:cs="Arial Narrow"/>
                <w:bCs/>
                <w:sz w:val="20"/>
                <w:szCs w:val="20"/>
              </w:rPr>
              <w:t>NI</w:t>
            </w:r>
            <w:r w:rsidRPr="003C2141">
              <w:rPr>
                <w:rFonts w:ascii="Arial Narrow" w:hAnsi="Arial Narrow" w:cs="Arial Narrow"/>
                <w:bCs/>
                <w:sz w:val="20"/>
                <w:szCs w:val="20"/>
              </w:rPr>
              <w:t xml:space="preserve">DCM, compared </w:t>
            </w:r>
            <w:r w:rsidR="00D36FCE">
              <w:rPr>
                <w:rFonts w:ascii="Arial Narrow" w:hAnsi="Arial Narrow" w:cs="Arial Narrow"/>
                <w:bCs/>
                <w:sz w:val="20"/>
                <w:szCs w:val="20"/>
              </w:rPr>
              <w:t xml:space="preserve">with </w:t>
            </w:r>
            <w:r w:rsidRPr="003C2141">
              <w:rPr>
                <w:rFonts w:ascii="Arial Narrow" w:hAnsi="Arial Narrow" w:cs="Arial Narrow"/>
                <w:bCs/>
                <w:sz w:val="20"/>
                <w:szCs w:val="20"/>
              </w:rPr>
              <w:t>revascularisation and/or optimal medical therapy or monitoring?</w:t>
            </w:r>
          </w:p>
        </w:tc>
      </w:tr>
    </w:tbl>
    <w:p w14:paraId="34FEE3D8" w14:textId="244991D4" w:rsidR="003D543E" w:rsidRPr="00183E4D" w:rsidRDefault="00A0082D" w:rsidP="004C79C1">
      <w:pPr>
        <w:spacing w:after="120" w:line="240" w:lineRule="auto"/>
        <w:jc w:val="both"/>
      </w:pPr>
      <w:r w:rsidRPr="007E2EE0">
        <w:rPr>
          <w:rFonts w:ascii="Arial Narrow" w:hAnsi="Arial Narrow"/>
          <w:sz w:val="20"/>
          <w:szCs w:val="20"/>
        </w:rPr>
        <w:t>DCM = dilated cardiomyopathy</w:t>
      </w:r>
      <w:r>
        <w:rPr>
          <w:rFonts w:ascii="Arial Narrow" w:hAnsi="Arial Narrow"/>
          <w:sz w:val="20"/>
          <w:szCs w:val="20"/>
        </w:rPr>
        <w:t xml:space="preserve">; ICD = implantable </w:t>
      </w:r>
      <w:r w:rsidR="0026063B">
        <w:rPr>
          <w:rFonts w:ascii="Arial Narrow" w:hAnsi="Arial Narrow"/>
          <w:sz w:val="20"/>
          <w:szCs w:val="20"/>
        </w:rPr>
        <w:t>cardioverter defibrillator</w:t>
      </w:r>
      <w:r w:rsidR="00EF12D0">
        <w:rPr>
          <w:rFonts w:ascii="Arial Narrow" w:hAnsi="Arial Narrow"/>
          <w:sz w:val="20"/>
          <w:szCs w:val="20"/>
        </w:rPr>
        <w:t xml:space="preserve">; NIDCM = non-ischaemic </w:t>
      </w:r>
      <w:r w:rsidR="00EF12D0" w:rsidRPr="007E2EE0">
        <w:rPr>
          <w:rFonts w:ascii="Arial Narrow" w:hAnsi="Arial Narrow"/>
          <w:sz w:val="20"/>
          <w:szCs w:val="20"/>
        </w:rPr>
        <w:t>dilated cardiomyopathy</w:t>
      </w:r>
    </w:p>
    <w:p w14:paraId="3177B0CF" w14:textId="06EFC961" w:rsidR="00CD24D9" w:rsidRPr="00183E4D" w:rsidRDefault="006C210B" w:rsidP="004C79C1">
      <w:pPr>
        <w:pStyle w:val="Heading2"/>
        <w:numPr>
          <w:ilvl w:val="0"/>
          <w:numId w:val="106"/>
        </w:numPr>
        <w:spacing w:before="0" w:after="120" w:line="240" w:lineRule="auto"/>
      </w:pPr>
      <w:bookmarkStart w:id="197" w:name="_Toc451501292"/>
      <w:r>
        <w:t>Consumer impact statement</w:t>
      </w:r>
      <w:bookmarkEnd w:id="197"/>
    </w:p>
    <w:p w14:paraId="5265CC4F" w14:textId="05BA6C97" w:rsidR="000E33A6" w:rsidRDefault="00F5426A" w:rsidP="004C79C1">
      <w:pPr>
        <w:spacing w:after="120" w:line="240" w:lineRule="auto"/>
        <w:jc w:val="both"/>
      </w:pPr>
      <w:r>
        <w:t xml:space="preserve">Some key points/issues received during the public consultation period of the development of the </w:t>
      </w:r>
      <w:r w:rsidR="003976B3">
        <w:t>P</w:t>
      </w:r>
      <w:r>
        <w:t xml:space="preserve">rotocol were: </w:t>
      </w:r>
    </w:p>
    <w:p w14:paraId="0E408D31" w14:textId="2B0E15AB" w:rsidR="00F5426A" w:rsidRDefault="00834AA9" w:rsidP="004C79C1">
      <w:pPr>
        <w:pStyle w:val="ListParagraph"/>
        <w:numPr>
          <w:ilvl w:val="0"/>
          <w:numId w:val="30"/>
        </w:numPr>
        <w:spacing w:after="120" w:line="240" w:lineRule="auto"/>
        <w:jc w:val="both"/>
      </w:pPr>
      <w:r>
        <w:t>Access to CMR can be difficult. There can be long wait</w:t>
      </w:r>
      <w:r w:rsidR="0082336A">
        <w:t>ing</w:t>
      </w:r>
      <w:r>
        <w:t xml:space="preserve"> </w:t>
      </w:r>
      <w:r w:rsidR="0082336A">
        <w:t xml:space="preserve">periods </w:t>
      </w:r>
      <w:r>
        <w:t xml:space="preserve">for CMR within public hospitals due to demand for MRI from other specialties </w:t>
      </w:r>
      <w:r w:rsidR="0082336A">
        <w:t>(</w:t>
      </w:r>
      <w:r>
        <w:t>e.g. orthopaedics and neurology</w:t>
      </w:r>
      <w:r w:rsidR="0082336A">
        <w:t>)</w:t>
      </w:r>
      <w:r>
        <w:t>. Recent changes to the MBS allow greater access to MRI for other areas, and</w:t>
      </w:r>
      <w:r w:rsidR="000E33A6">
        <w:t xml:space="preserve"> recent changes allowing</w:t>
      </w:r>
      <w:r>
        <w:t xml:space="preserve"> general practitioner access has meant that Medicare</w:t>
      </w:r>
      <w:r w:rsidR="00D260F5">
        <w:t>-</w:t>
      </w:r>
      <w:r>
        <w:t>licen</w:t>
      </w:r>
      <w:r w:rsidR="00D260F5">
        <w:t>s</w:t>
      </w:r>
      <w:r>
        <w:t>ed MRI scanners have limited time available for CMR. Therefore</w:t>
      </w:r>
      <w:r w:rsidR="00D260F5">
        <w:t>,</w:t>
      </w:r>
      <w:r>
        <w:t xml:space="preserve"> even after MBS listin</w:t>
      </w:r>
      <w:r w:rsidR="000E33A6">
        <w:t>g of CMR for DCM, patient access to the service may be difficult and lead to inequity.</w:t>
      </w:r>
    </w:p>
    <w:p w14:paraId="70B62175" w14:textId="566205FB" w:rsidR="000E33A6" w:rsidRDefault="000E33A6" w:rsidP="004C79C1">
      <w:pPr>
        <w:pStyle w:val="ListParagraph"/>
        <w:numPr>
          <w:ilvl w:val="0"/>
          <w:numId w:val="30"/>
        </w:numPr>
        <w:spacing w:after="120" w:line="240" w:lineRule="auto"/>
        <w:jc w:val="both"/>
      </w:pPr>
      <w:r>
        <w:t>It is expected that</w:t>
      </w:r>
      <w:r w:rsidR="00AB3137">
        <w:t xml:space="preserve"> MBS listing of</w:t>
      </w:r>
      <w:r>
        <w:t xml:space="preserve"> CMR will significantly reduce the costs paid by patients, improve the commercial viability for providers of CMR</w:t>
      </w:r>
      <w:r w:rsidR="00D260F5">
        <w:t>,</w:t>
      </w:r>
      <w:r>
        <w:t xml:space="preserve"> and decrease pressure on public hospital CMR services if private providers are able to provide a </w:t>
      </w:r>
      <w:r w:rsidR="00AB3137">
        <w:t xml:space="preserve">subsidised </w:t>
      </w:r>
      <w:r>
        <w:t>CMR service.</w:t>
      </w:r>
    </w:p>
    <w:p w14:paraId="28840A93" w14:textId="7CBCE56E" w:rsidR="008F59A8" w:rsidRPr="00124E3B" w:rsidRDefault="00AA708D" w:rsidP="004C79C1">
      <w:pPr>
        <w:pStyle w:val="Heading1"/>
        <w:spacing w:after="120" w:line="240" w:lineRule="auto"/>
      </w:pPr>
      <w:bookmarkStart w:id="198" w:name="_Toc451501293"/>
      <w:r w:rsidRPr="00124E3B">
        <w:lastRenderedPageBreak/>
        <w:t>Section B</w:t>
      </w:r>
      <w:r w:rsidRPr="00124E3B">
        <w:tab/>
        <w:t>Clinical Evaluation</w:t>
      </w:r>
      <w:bookmarkEnd w:id="198"/>
      <w:r w:rsidR="008F59A8" w:rsidRPr="00124E3B">
        <w:t xml:space="preserve"> </w:t>
      </w:r>
    </w:p>
    <w:p w14:paraId="6C967F45" w14:textId="77777777" w:rsidR="00704D5E" w:rsidRDefault="00704D5E" w:rsidP="004C79C1">
      <w:pPr>
        <w:spacing w:after="120" w:line="240" w:lineRule="auto"/>
        <w:jc w:val="both"/>
      </w:pPr>
      <w:r>
        <w:t>Determination of the clinical effectiveness of an investigative medical service requires either:</w:t>
      </w:r>
    </w:p>
    <w:p w14:paraId="649D5A0C" w14:textId="41304340" w:rsidR="00704D5E" w:rsidRDefault="00704D5E" w:rsidP="004C79C1">
      <w:pPr>
        <w:pStyle w:val="ListParagraph"/>
        <w:numPr>
          <w:ilvl w:val="0"/>
          <w:numId w:val="13"/>
        </w:numPr>
        <w:spacing w:after="120" w:line="240" w:lineRule="auto"/>
        <w:jc w:val="both"/>
      </w:pPr>
      <w:proofErr w:type="gramStart"/>
      <w:r>
        <w:t>e</w:t>
      </w:r>
      <w:r w:rsidR="00556C59">
        <w:t>vidence</w:t>
      </w:r>
      <w:proofErr w:type="gramEnd"/>
      <w:r w:rsidR="00556C59">
        <w:t xml:space="preserve"> of the effectiveness of CMR</w:t>
      </w:r>
      <w:r>
        <w:t xml:space="preserve"> from high-quality comparative studies evaluating the use of </w:t>
      </w:r>
      <w:r w:rsidR="00556C59">
        <w:t xml:space="preserve">CMR </w:t>
      </w:r>
      <w:r>
        <w:t>and s</w:t>
      </w:r>
      <w:r w:rsidR="00EA095D">
        <w:t xml:space="preserve">ubsequent treatment compared </w:t>
      </w:r>
      <w:r w:rsidR="003B0018">
        <w:t xml:space="preserve">with </w:t>
      </w:r>
      <w:r w:rsidR="00EA095D">
        <w:t>ICA,</w:t>
      </w:r>
      <w:r w:rsidR="00032260">
        <w:t xml:space="preserve"> </w:t>
      </w:r>
      <w:r w:rsidR="003B0018">
        <w:t>GHPS</w:t>
      </w:r>
      <w:r w:rsidR="00032260">
        <w:t>, stress</w:t>
      </w:r>
      <w:r w:rsidR="003B0018">
        <w:t xml:space="preserve"> </w:t>
      </w:r>
      <w:r w:rsidR="00132681">
        <w:t>echocardiography</w:t>
      </w:r>
      <w:r w:rsidR="00032260">
        <w:t xml:space="preserve"> or contrast </w:t>
      </w:r>
      <w:r w:rsidR="00132681">
        <w:t>echocardiography</w:t>
      </w:r>
      <w:r w:rsidR="00032260">
        <w:t>,</w:t>
      </w:r>
      <w:r w:rsidR="00EA095D">
        <w:t xml:space="preserve"> SPECT</w:t>
      </w:r>
      <w:r w:rsidR="00032260">
        <w:t xml:space="preserve"> or</w:t>
      </w:r>
      <w:r w:rsidR="00EA095D">
        <w:t xml:space="preserve"> CTCA</w:t>
      </w:r>
      <w:r w:rsidR="00C51185">
        <w:t>,</w:t>
      </w:r>
      <w:r w:rsidR="00EA095D">
        <w:t xml:space="preserve"> </w:t>
      </w:r>
      <w:r>
        <w:t>and treatment (direct evidence). R</w:t>
      </w:r>
      <w:r w:rsidR="00C43D61">
        <w:t>CT</w:t>
      </w:r>
      <w:r>
        <w:t>s provide the highest quality evidence for this comparison</w:t>
      </w:r>
      <w:r w:rsidR="00C43D61">
        <w:t>,</w:t>
      </w:r>
      <w:r>
        <w:t xml:space="preserve"> </w:t>
      </w:r>
      <w:r w:rsidR="00C43D61">
        <w:t>o</w:t>
      </w:r>
      <w:r>
        <w:t>r, if this is not available</w:t>
      </w:r>
      <w:r w:rsidR="003B0018">
        <w:t>;</w:t>
      </w:r>
      <w:r>
        <w:t xml:space="preserve"> </w:t>
      </w:r>
    </w:p>
    <w:p w14:paraId="0394726D" w14:textId="689F905D" w:rsidR="00704D5E" w:rsidRDefault="00704D5E" w:rsidP="004C79C1">
      <w:pPr>
        <w:pStyle w:val="ListParagraph"/>
        <w:numPr>
          <w:ilvl w:val="0"/>
          <w:numId w:val="13"/>
        </w:numPr>
        <w:spacing w:after="120" w:line="240" w:lineRule="auto"/>
        <w:jc w:val="both"/>
      </w:pPr>
      <w:r>
        <w:t xml:space="preserve">evidence of the treatment effectiveness from high-quality comparative studies evaluating treatment for </w:t>
      </w:r>
      <w:r w:rsidR="0007256B">
        <w:t>NIDCM</w:t>
      </w:r>
      <w:r>
        <w:t xml:space="preserve">, linked with applicable and high-quality evidence of the accuracy of </w:t>
      </w:r>
      <w:r w:rsidR="00EA095D">
        <w:t>CMR</w:t>
      </w:r>
      <w:r>
        <w:t xml:space="preserve"> </w:t>
      </w:r>
      <w:r w:rsidR="00EA095D">
        <w:t xml:space="preserve">for diagnostic clarification of DCM </w:t>
      </w:r>
      <w:r>
        <w:t xml:space="preserve">compared </w:t>
      </w:r>
      <w:r w:rsidR="0007256B">
        <w:t xml:space="preserve">with </w:t>
      </w:r>
      <w:r w:rsidR="00EA095D">
        <w:t>ICA,</w:t>
      </w:r>
      <w:r w:rsidR="00032260">
        <w:t xml:space="preserve"> </w:t>
      </w:r>
      <w:r w:rsidR="0007256B">
        <w:t>GHPS</w:t>
      </w:r>
      <w:r w:rsidR="00032260">
        <w:t xml:space="preserve">, stress- or contrast </w:t>
      </w:r>
      <w:r w:rsidR="00132681">
        <w:t>echocardiography,</w:t>
      </w:r>
      <w:r w:rsidR="00EA095D">
        <w:t xml:space="preserve"> SPECT</w:t>
      </w:r>
      <w:r w:rsidR="00032260">
        <w:t xml:space="preserve"> or</w:t>
      </w:r>
      <w:r w:rsidR="00EA095D">
        <w:t xml:space="preserve"> CTCA</w:t>
      </w:r>
      <w:r>
        <w:t xml:space="preserve">. This is called ‘linked evidence’. </w:t>
      </w:r>
    </w:p>
    <w:p w14:paraId="3CFFC116" w14:textId="1F090D96" w:rsidR="00EA095D" w:rsidRDefault="00EA095D" w:rsidP="004C79C1">
      <w:pPr>
        <w:spacing w:after="120" w:line="240" w:lineRule="auto"/>
        <w:jc w:val="both"/>
      </w:pPr>
      <w:r>
        <w:t>As there was no</w:t>
      </w:r>
      <w:r w:rsidR="00241B28">
        <w:t>t</w:t>
      </w:r>
      <w:r>
        <w:t xml:space="preserve"> sufficient direct evidence available to assess CMR for DCM, the evidence was supplemented by a linked evidence approach.</w:t>
      </w:r>
    </w:p>
    <w:p w14:paraId="74F76448" w14:textId="0FD9AC07" w:rsidR="0040679A" w:rsidRPr="00F22534" w:rsidRDefault="0040679A" w:rsidP="004C79C1">
      <w:pPr>
        <w:pStyle w:val="Heading2"/>
        <w:spacing w:before="0" w:after="120" w:line="240" w:lineRule="auto"/>
      </w:pPr>
      <w:bookmarkStart w:id="199" w:name="_Ref445284746"/>
      <w:bookmarkStart w:id="200" w:name="_Toc451501294"/>
      <w:r w:rsidRPr="00183E4D">
        <w:t>Literature Sources and Search Strategies</w:t>
      </w:r>
      <w:bookmarkEnd w:id="199"/>
      <w:bookmarkEnd w:id="200"/>
    </w:p>
    <w:p w14:paraId="51CF263A" w14:textId="60B37635" w:rsidR="0040679A" w:rsidRDefault="0040679A" w:rsidP="004C79C1">
      <w:pPr>
        <w:spacing w:after="120" w:line="240" w:lineRule="auto"/>
        <w:jc w:val="both"/>
      </w:pPr>
      <w:r w:rsidRPr="00183E4D">
        <w:t xml:space="preserve">The medical literature was searched </w:t>
      </w:r>
      <w:r>
        <w:t>on 21</w:t>
      </w:r>
      <w:r w:rsidR="00241B28">
        <w:t xml:space="preserve"> December </w:t>
      </w:r>
      <w:r>
        <w:t>2015</w:t>
      </w:r>
      <w:r w:rsidRPr="00183E4D">
        <w:t xml:space="preserve"> to identify relevant studies and systematic reviews </w:t>
      </w:r>
      <w:r w:rsidR="00F373FA">
        <w:t xml:space="preserve">(SRs) </w:t>
      </w:r>
      <w:r w:rsidRPr="00183E4D">
        <w:t>published during the period</w:t>
      </w:r>
      <w:r>
        <w:t xml:space="preserve"> 1990</w:t>
      </w:r>
      <w:r w:rsidRPr="00183E4D">
        <w:t xml:space="preserve"> </w:t>
      </w:r>
      <w:r>
        <w:t>t</w:t>
      </w:r>
      <w:r w:rsidRPr="00183E4D">
        <w:t>o</w:t>
      </w:r>
      <w:r>
        <w:t xml:space="preserve"> 21</w:t>
      </w:r>
      <w:r w:rsidR="00241B28">
        <w:t xml:space="preserve"> December </w:t>
      </w:r>
      <w:r>
        <w:t>2015</w:t>
      </w:r>
      <w:r w:rsidRPr="00183E4D">
        <w:t xml:space="preserve">. Searches were conducted of the databases and sources described </w:t>
      </w:r>
      <w:r w:rsidRPr="007F72D9">
        <w:t>in Appendix B</w:t>
      </w:r>
      <w:r>
        <w:t xml:space="preserve">. </w:t>
      </w:r>
      <w:r w:rsidRPr="00183E4D">
        <w:t>Attempts were also made to source unpublished or grey literature</w:t>
      </w:r>
      <w:r w:rsidR="00241B28">
        <w:t>,</w:t>
      </w:r>
      <w:r>
        <w:t xml:space="preserve"> and the HTA websites listed in</w:t>
      </w:r>
      <w:r w:rsidR="00314E6C">
        <w:t xml:space="preserve"> Appendix B</w:t>
      </w:r>
      <w:r>
        <w:t xml:space="preserve"> were also searched. </w:t>
      </w:r>
      <w:r w:rsidRPr="00183E4D">
        <w:t>Search terms</w:t>
      </w:r>
      <w:r w:rsidR="00681FCB">
        <w:t>,</w:t>
      </w:r>
      <w:r w:rsidRPr="00183E4D">
        <w:t xml:space="preserve"> described in</w:t>
      </w:r>
      <w:r w:rsidR="00314E6C">
        <w:fldChar w:fldCharType="begin"/>
      </w:r>
      <w:r w:rsidR="00314E6C">
        <w:instrText xml:space="preserve"> REF _Ref446409295 \h </w:instrText>
      </w:r>
      <w:r w:rsidR="00314E6C">
        <w:fldChar w:fldCharType="separate"/>
      </w:r>
      <w:r w:rsidR="00D51E33">
        <w:t xml:space="preserve"> </w:t>
      </w:r>
      <w:r w:rsidR="00D51E33" w:rsidRPr="00314E6C">
        <w:t xml:space="preserve">Table </w:t>
      </w:r>
      <w:r w:rsidR="00D51E33">
        <w:rPr>
          <w:noProof/>
        </w:rPr>
        <w:t>7</w:t>
      </w:r>
      <w:r w:rsidR="00314E6C">
        <w:fldChar w:fldCharType="end"/>
      </w:r>
      <w:r w:rsidR="00681FCB">
        <w:t>,</w:t>
      </w:r>
      <w:r>
        <w:t xml:space="preserve"> included a broad range of </w:t>
      </w:r>
      <w:r w:rsidR="000B37DB">
        <w:t>CMs</w:t>
      </w:r>
      <w:r>
        <w:t>, which were divided in</w:t>
      </w:r>
      <w:r w:rsidR="000B37DB">
        <w:t>to</w:t>
      </w:r>
      <w:r>
        <w:t xml:space="preserve"> groups based on population in the culling stages of the assessment. Eligible studies including patients suspected of DCM (and their family members), and </w:t>
      </w:r>
      <w:r w:rsidR="000B37DB">
        <w:t xml:space="preserve">CM </w:t>
      </w:r>
      <w:r>
        <w:t xml:space="preserve">in general in the absence of eligible data on DCM, were included in this assessment report. </w:t>
      </w:r>
    </w:p>
    <w:p w14:paraId="12FA5384" w14:textId="51B7CE39" w:rsidR="0040679A" w:rsidRDefault="0040679A" w:rsidP="004C79C1">
      <w:pPr>
        <w:spacing w:after="120" w:line="240" w:lineRule="auto"/>
        <w:jc w:val="both"/>
      </w:pPr>
      <w:r>
        <w:t>A separate (non-systematic) search was done for the last step of the linked analysis</w:t>
      </w:r>
      <w:r w:rsidR="000B37DB">
        <w:t>—</w:t>
      </w:r>
      <w:r>
        <w:t>the therapeutic effectiveness. Furthermore, a search was conducted in</w:t>
      </w:r>
      <w:r w:rsidR="00314E6C">
        <w:t xml:space="preserve"> Pubmed, Cochrane </w:t>
      </w:r>
      <w:r w:rsidR="00681FCB">
        <w:t>L</w:t>
      </w:r>
      <w:r w:rsidR="00314E6C">
        <w:t>ibrary and</w:t>
      </w:r>
      <w:r>
        <w:t xml:space="preserve"> PubMed Health</w:t>
      </w:r>
      <w:r w:rsidR="00314E6C">
        <w:t xml:space="preserve"> to aim to find </w:t>
      </w:r>
      <w:r w:rsidR="00F373FA">
        <w:t>SR</w:t>
      </w:r>
      <w:r w:rsidR="00314E6C">
        <w:t>s or clinical guidelines on</w:t>
      </w:r>
      <w:r>
        <w:t xml:space="preserve"> the diagnostic accuracy of comparators in </w:t>
      </w:r>
      <w:r w:rsidR="00681FCB">
        <w:t xml:space="preserve">the </w:t>
      </w:r>
      <w:r>
        <w:t>patient population</w:t>
      </w:r>
      <w:r w:rsidR="001E7C22">
        <w:t xml:space="preserve">, and Embase and Pubmed were searched specifically for diagnostic </w:t>
      </w:r>
      <w:r w:rsidR="00314E6C">
        <w:t>performance</w:t>
      </w:r>
      <w:r w:rsidR="001E7C22">
        <w:t xml:space="preserve"> studies on LGE-CMR (as shown in </w:t>
      </w:r>
      <w:r w:rsidR="000D7A9C">
        <w:t>s</w:t>
      </w:r>
      <w:r w:rsidR="001E7C22">
        <w:t>ec</w:t>
      </w:r>
      <w:r w:rsidR="001E7C22" w:rsidRPr="00124E3B">
        <w:t>tion</w:t>
      </w:r>
      <w:r w:rsidR="002E728E">
        <w:t xml:space="preserve"> </w:t>
      </w:r>
      <w:r w:rsidR="00062075">
        <w:t>B3.2</w:t>
      </w:r>
      <w:r w:rsidR="001E7C22">
        <w:t>)</w:t>
      </w:r>
      <w:r>
        <w:t>.</w:t>
      </w:r>
    </w:p>
    <w:p w14:paraId="2862BDA1" w14:textId="13ADB446" w:rsidR="0040679A" w:rsidRPr="00183E4D" w:rsidRDefault="005C100C" w:rsidP="004C79C1">
      <w:pPr>
        <w:pStyle w:val="Caption"/>
        <w:keepNext/>
        <w:tabs>
          <w:tab w:val="left" w:pos="851"/>
        </w:tabs>
        <w:jc w:val="both"/>
      </w:pPr>
      <w:bookmarkStart w:id="201" w:name="_Ref446409295"/>
      <w:r>
        <w:t xml:space="preserve"> </w:t>
      </w:r>
      <w:bookmarkStart w:id="202" w:name="_Toc324410124"/>
      <w:bookmarkStart w:id="203" w:name="_Toc451435334"/>
      <w:r w:rsidR="0040679A" w:rsidRPr="00314E6C">
        <w:t xml:space="preserve">Table </w:t>
      </w:r>
      <w:fldSimple w:instr=" SEQ Table \* ARABIC ">
        <w:r w:rsidR="00050936">
          <w:rPr>
            <w:noProof/>
          </w:rPr>
          <w:t>7</w:t>
        </w:r>
      </w:fldSimple>
      <w:bookmarkEnd w:id="201"/>
      <w:r w:rsidR="0040679A" w:rsidRPr="00314E6C">
        <w:tab/>
        <w:t>Search terms used for CMR for cardiomyopathies (Pubmed/medline platform)</w:t>
      </w:r>
      <w:bookmarkEnd w:id="202"/>
      <w:bookmarkEnd w:id="2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provides the keywords and indexing terms used to search for literature in a specific bibliographic database."/>
      </w:tblPr>
      <w:tblGrid>
        <w:gridCol w:w="2410"/>
        <w:gridCol w:w="6521"/>
      </w:tblGrid>
      <w:tr w:rsidR="0040679A" w:rsidRPr="00183E4D" w14:paraId="64E0115A" w14:textId="77777777" w:rsidTr="00740E83">
        <w:trPr>
          <w:tblHeader/>
        </w:trPr>
        <w:tc>
          <w:tcPr>
            <w:tcW w:w="2410" w:type="dxa"/>
          </w:tcPr>
          <w:p w14:paraId="6F1198AF" w14:textId="77777777" w:rsidR="0040679A" w:rsidRPr="00183E4D" w:rsidRDefault="0040679A" w:rsidP="004C79C1">
            <w:pPr>
              <w:pStyle w:val="TableHeading"/>
              <w:spacing w:before="0" w:after="120"/>
            </w:pPr>
            <w:r w:rsidRPr="00183E4D">
              <w:t>Element of clinical question</w:t>
            </w:r>
          </w:p>
        </w:tc>
        <w:tc>
          <w:tcPr>
            <w:tcW w:w="6521" w:type="dxa"/>
          </w:tcPr>
          <w:p w14:paraId="111B718E" w14:textId="77777777" w:rsidR="0040679A" w:rsidRPr="00183E4D" w:rsidRDefault="0040679A" w:rsidP="004C79C1">
            <w:pPr>
              <w:pStyle w:val="TableHeading"/>
              <w:spacing w:before="0" w:after="120"/>
            </w:pPr>
            <w:r w:rsidRPr="00183E4D">
              <w:t>Search terms</w:t>
            </w:r>
          </w:p>
        </w:tc>
      </w:tr>
      <w:tr w:rsidR="0040679A" w:rsidRPr="00183E4D" w14:paraId="5300BD0F" w14:textId="77777777" w:rsidTr="00740E83">
        <w:trPr>
          <w:trHeight w:val="2104"/>
        </w:trPr>
        <w:tc>
          <w:tcPr>
            <w:tcW w:w="2410" w:type="dxa"/>
          </w:tcPr>
          <w:p w14:paraId="03068F74" w14:textId="77777777" w:rsidR="0040679A" w:rsidRPr="00183E4D" w:rsidRDefault="0040679A" w:rsidP="004C79C1">
            <w:pPr>
              <w:pStyle w:val="Tabletext1"/>
              <w:spacing w:before="0" w:after="120"/>
            </w:pPr>
            <w:r w:rsidRPr="00183E4D">
              <w:t>Population</w:t>
            </w:r>
          </w:p>
        </w:tc>
        <w:tc>
          <w:tcPr>
            <w:tcW w:w="6521" w:type="dxa"/>
          </w:tcPr>
          <w:p w14:paraId="2DB9FBE1" w14:textId="77777777" w:rsidR="0040679A" w:rsidRPr="00183E4D" w:rsidRDefault="0040679A" w:rsidP="004C79C1">
            <w:pPr>
              <w:pStyle w:val="Tabletext1"/>
              <w:spacing w:before="0" w:after="120"/>
            </w:pPr>
            <w:r w:rsidRPr="00F0141D">
              <w:t>(“Cardiomyopathy, Dilated” [MeSH] OR “Cardiomyopathy, Hypertrophic” [MeSH] OR “Cardiomyopathy, Hypertrophic, Familial” [MeSH] OR “Cardiomyopathy, Restrictive” [MeSH] OR “Arrhythmogenic Right Ventricular Dysplasia” [MeSH] OR “Endocardial Fibroelastosis” [MeSH] OR “Isolated Noncompaction of the Ventricular Myocardium” [MeSH] OR cardiomyopathy OR Takotsubo) OR ((“Death, Sudden, Cardiac” [MeSH] OR “sudden cardiac death”) NOT (“Channelopathies” [MeSH] OR “Arrhythmias, Cardiac” [MeSH] OR channelopathy OR arrhythmia))</w:t>
            </w:r>
          </w:p>
        </w:tc>
      </w:tr>
      <w:tr w:rsidR="0040679A" w:rsidRPr="00183E4D" w14:paraId="590EE165" w14:textId="77777777" w:rsidTr="00740E83">
        <w:tc>
          <w:tcPr>
            <w:tcW w:w="2410" w:type="dxa"/>
          </w:tcPr>
          <w:p w14:paraId="5E61BC84" w14:textId="77777777" w:rsidR="0040679A" w:rsidRPr="00183E4D" w:rsidRDefault="0040679A" w:rsidP="004C79C1">
            <w:pPr>
              <w:pStyle w:val="Tabletext1"/>
              <w:spacing w:before="0" w:after="120"/>
            </w:pPr>
            <w:r w:rsidRPr="00183E4D">
              <w:t>Intervention</w:t>
            </w:r>
          </w:p>
        </w:tc>
        <w:tc>
          <w:tcPr>
            <w:tcW w:w="6521" w:type="dxa"/>
          </w:tcPr>
          <w:p w14:paraId="668A0C83" w14:textId="77777777" w:rsidR="0040679A" w:rsidRPr="00183E4D" w:rsidRDefault="0040679A" w:rsidP="004C79C1">
            <w:pPr>
              <w:pStyle w:val="Tabletext1"/>
              <w:spacing w:before="0" w:after="120"/>
            </w:pPr>
            <w:r w:rsidRPr="00F0141D">
              <w:t>“Magnetic Resonance Angiography” [MeSH] OR “cardiac magnetic resonance” OR “cardiac MRI" OR “coronary magnetic resonance” OR “coronary MRI”</w:t>
            </w:r>
          </w:p>
        </w:tc>
      </w:tr>
      <w:tr w:rsidR="0040679A" w:rsidRPr="00183E4D" w14:paraId="1A150BB8" w14:textId="77777777" w:rsidTr="00740E83">
        <w:tc>
          <w:tcPr>
            <w:tcW w:w="2410" w:type="dxa"/>
          </w:tcPr>
          <w:p w14:paraId="2AE9B76F" w14:textId="77777777" w:rsidR="0040679A" w:rsidRPr="00183E4D" w:rsidRDefault="0040679A" w:rsidP="004C79C1">
            <w:pPr>
              <w:pStyle w:val="Tabletext1"/>
              <w:spacing w:before="0" w:after="120"/>
            </w:pPr>
            <w:r w:rsidRPr="00183E4D">
              <w:t>Comparator (if applicable)</w:t>
            </w:r>
          </w:p>
        </w:tc>
        <w:tc>
          <w:tcPr>
            <w:tcW w:w="6521" w:type="dxa"/>
          </w:tcPr>
          <w:p w14:paraId="632EEBB3" w14:textId="77777777" w:rsidR="0040679A" w:rsidRPr="00183E4D" w:rsidRDefault="0040679A" w:rsidP="004C79C1">
            <w:pPr>
              <w:pStyle w:val="Tabletext1"/>
              <w:spacing w:before="0" w:after="120"/>
            </w:pPr>
            <w:r>
              <w:t>-</w:t>
            </w:r>
          </w:p>
        </w:tc>
      </w:tr>
      <w:tr w:rsidR="0040679A" w:rsidRPr="00183E4D" w14:paraId="733D4687" w14:textId="77777777" w:rsidTr="00740E83">
        <w:tc>
          <w:tcPr>
            <w:tcW w:w="2410" w:type="dxa"/>
          </w:tcPr>
          <w:p w14:paraId="346F5594" w14:textId="77777777" w:rsidR="0040679A" w:rsidRPr="00183E4D" w:rsidRDefault="0040679A" w:rsidP="004C79C1">
            <w:pPr>
              <w:pStyle w:val="Tabletext1"/>
              <w:spacing w:before="0" w:after="120"/>
            </w:pPr>
            <w:r w:rsidRPr="00183E4D">
              <w:t>Outcomes (if applicable)</w:t>
            </w:r>
          </w:p>
        </w:tc>
        <w:tc>
          <w:tcPr>
            <w:tcW w:w="6521" w:type="dxa"/>
          </w:tcPr>
          <w:p w14:paraId="2E32F066" w14:textId="77777777" w:rsidR="0040679A" w:rsidRPr="00183E4D" w:rsidRDefault="0040679A" w:rsidP="004C79C1">
            <w:pPr>
              <w:pStyle w:val="Tabletext1"/>
              <w:spacing w:before="0" w:after="120"/>
            </w:pPr>
            <w:r>
              <w:t>-</w:t>
            </w:r>
          </w:p>
        </w:tc>
      </w:tr>
      <w:tr w:rsidR="0040679A" w:rsidRPr="00183E4D" w14:paraId="6DB4F07C" w14:textId="77777777" w:rsidTr="00740E83">
        <w:tc>
          <w:tcPr>
            <w:tcW w:w="2410" w:type="dxa"/>
          </w:tcPr>
          <w:p w14:paraId="10C7A235" w14:textId="77777777" w:rsidR="0040679A" w:rsidRPr="00183E4D" w:rsidRDefault="0040679A" w:rsidP="004C79C1">
            <w:pPr>
              <w:pStyle w:val="Tabletext1"/>
              <w:spacing w:before="0" w:after="120"/>
            </w:pPr>
            <w:r w:rsidRPr="00183E4D">
              <w:t>Limits</w:t>
            </w:r>
          </w:p>
        </w:tc>
        <w:tc>
          <w:tcPr>
            <w:tcW w:w="6521" w:type="dxa"/>
          </w:tcPr>
          <w:p w14:paraId="55A673CA" w14:textId="77777777" w:rsidR="0040679A" w:rsidRPr="00183E4D" w:rsidRDefault="0040679A" w:rsidP="004C79C1">
            <w:pPr>
              <w:pStyle w:val="Tabletext1"/>
              <w:spacing w:before="0" w:after="120"/>
            </w:pPr>
            <w:r>
              <w:t>-</w:t>
            </w:r>
          </w:p>
        </w:tc>
      </w:tr>
    </w:tbl>
    <w:p w14:paraId="517AB8A9" w14:textId="77777777" w:rsidR="0040679A" w:rsidRDefault="0040679A" w:rsidP="004C79C1">
      <w:pPr>
        <w:pStyle w:val="TableText0"/>
        <w:spacing w:before="0" w:after="120"/>
        <w:jc w:val="both"/>
      </w:pPr>
      <w:r w:rsidRPr="007A37F3">
        <w:lastRenderedPageBreak/>
        <w:t>MeSH = Medical Subject Heading, based on a Medline/PubMed platform</w:t>
      </w:r>
    </w:p>
    <w:p w14:paraId="638FF5FE" w14:textId="701AA234" w:rsidR="0040679A" w:rsidRPr="00183E4D" w:rsidRDefault="0040679A" w:rsidP="004C79C1">
      <w:pPr>
        <w:pStyle w:val="Heading2"/>
        <w:spacing w:before="0" w:after="120" w:line="240" w:lineRule="auto"/>
      </w:pPr>
      <w:bookmarkStart w:id="204" w:name="_Toc451501295"/>
      <w:r w:rsidRPr="00183E4D">
        <w:t>Results of Literature Search</w:t>
      </w:r>
      <w:bookmarkEnd w:id="204"/>
    </w:p>
    <w:p w14:paraId="24DD00C5" w14:textId="34B31524" w:rsidR="0040679A" w:rsidRPr="00183E4D" w:rsidRDefault="0040679A" w:rsidP="004C79C1">
      <w:pPr>
        <w:spacing w:after="120" w:line="240" w:lineRule="auto"/>
        <w:jc w:val="both"/>
      </w:pPr>
      <w:r w:rsidRPr="00183E4D">
        <w:t>PRISMA flowchart</w:t>
      </w:r>
      <w:r w:rsidR="00740E83">
        <w:t>s provide</w:t>
      </w:r>
      <w:r w:rsidRPr="00183E4D">
        <w:t xml:space="preserve"> a graphic depiction of the results of the literature search</w:t>
      </w:r>
      <w:r w:rsidR="00314E6C">
        <w:t>es</w:t>
      </w:r>
      <w:r w:rsidRPr="00183E4D">
        <w:t xml:space="preserve"> and the application of the study selection criteria (</w:t>
      </w:r>
      <w:r w:rsidR="00740E83">
        <w:t>listed in section A9</w:t>
      </w:r>
      <w:r w:rsidR="00314E6C">
        <w:t xml:space="preserve">) </w:t>
      </w:r>
      <w:r>
        <w:t>(Liberati et al. 2009). Separate PRISMA flowcharts show the flow of studies for the different steps in the linked analysis (diagnostic performance, clinical validity, clinical utility etc).</w:t>
      </w:r>
      <w:r w:rsidR="00314E6C">
        <w:t xml:space="preserve"> For the different PRISMA flowcharts, see</w:t>
      </w:r>
      <w:r>
        <w:t xml:space="preserve"> </w:t>
      </w:r>
      <w:r w:rsidR="009D6530">
        <w:t>section B</w:t>
      </w:r>
      <w:r w:rsidR="00314E6C">
        <w:t>3.2 for diagnostic performance (</w:t>
      </w:r>
      <w:r w:rsidR="00314E6C">
        <w:fldChar w:fldCharType="begin"/>
      </w:r>
      <w:r w:rsidR="00314E6C">
        <w:instrText xml:space="preserve"> REF _Ref445299702 \h </w:instrText>
      </w:r>
      <w:r w:rsidR="00314E6C">
        <w:fldChar w:fldCharType="separate"/>
      </w:r>
      <w:r w:rsidR="00B85CFA" w:rsidRPr="0072472E">
        <w:t xml:space="preserve">Figure </w:t>
      </w:r>
      <w:r w:rsidR="00B85CFA">
        <w:rPr>
          <w:noProof/>
        </w:rPr>
        <w:t>5</w:t>
      </w:r>
      <w:r w:rsidR="00314E6C">
        <w:fldChar w:fldCharType="end"/>
      </w:r>
      <w:r w:rsidR="00314E6C">
        <w:t xml:space="preserve">), </w:t>
      </w:r>
      <w:r w:rsidR="00D71228">
        <w:t>section B4.2.1 for prognosis (</w:t>
      </w:r>
      <w:r w:rsidR="00D71228">
        <w:fldChar w:fldCharType="begin"/>
      </w:r>
      <w:r w:rsidR="00D71228">
        <w:instrText xml:space="preserve"> REF _Ref446595531 \h </w:instrText>
      </w:r>
      <w:r w:rsidR="00D71228">
        <w:fldChar w:fldCharType="separate"/>
      </w:r>
      <w:r w:rsidR="008A68AA" w:rsidRPr="003E5055">
        <w:rPr>
          <w:bCs/>
        </w:rPr>
        <w:t xml:space="preserve">Figure </w:t>
      </w:r>
      <w:r w:rsidR="008A68AA" w:rsidRPr="003E5055">
        <w:rPr>
          <w:noProof/>
        </w:rPr>
        <w:t>16</w:t>
      </w:r>
      <w:r w:rsidR="00D71228">
        <w:fldChar w:fldCharType="end"/>
      </w:r>
      <w:r w:rsidR="009D6530">
        <w:t>) and section B</w:t>
      </w:r>
      <w:r w:rsidR="00D71228">
        <w:t>5.1.1.2 for therapeutic efficacy (</w:t>
      </w:r>
      <w:r w:rsidR="00D71228">
        <w:fldChar w:fldCharType="begin"/>
      </w:r>
      <w:r w:rsidR="00D71228">
        <w:instrText xml:space="preserve"> REF _Ref446497446 \h </w:instrText>
      </w:r>
      <w:r w:rsidR="00D71228">
        <w:fldChar w:fldCharType="separate"/>
      </w:r>
      <w:r w:rsidR="00B85CFA">
        <w:t xml:space="preserve">Figure </w:t>
      </w:r>
      <w:r w:rsidR="00B85CFA">
        <w:rPr>
          <w:noProof/>
        </w:rPr>
        <w:t>24</w:t>
      </w:r>
      <w:r w:rsidR="00D71228">
        <w:fldChar w:fldCharType="end"/>
      </w:r>
      <w:r w:rsidR="00D71228">
        <w:t>).</w:t>
      </w:r>
    </w:p>
    <w:p w14:paraId="4D7343D5" w14:textId="175E6290" w:rsidR="0040679A" w:rsidRDefault="0040679A" w:rsidP="004C79C1">
      <w:pPr>
        <w:spacing w:after="120" w:line="240" w:lineRule="auto"/>
        <w:jc w:val="both"/>
      </w:pPr>
      <w:r w:rsidRPr="00183E4D">
        <w:t xml:space="preserve">Studies were selected </w:t>
      </w:r>
      <w:r w:rsidRPr="00FF65B2">
        <w:t>by a single reviewer</w:t>
      </w:r>
      <w:r w:rsidR="001F3CA5">
        <w:t>,</w:t>
      </w:r>
      <w:r w:rsidRPr="00FF65B2">
        <w:t xml:space="preserve"> with a random sample</w:t>
      </w:r>
      <w:r>
        <w:t xml:space="preserve"> (20%)</w:t>
      </w:r>
      <w:r w:rsidRPr="00FF65B2">
        <w:t xml:space="preserve"> receiving independent assessment by a second reviewer</w:t>
      </w:r>
      <w:r>
        <w:t xml:space="preserve">. </w:t>
      </w:r>
      <w:r w:rsidRPr="00183E4D">
        <w:t>Disagreements regarding study selection were resolved b</w:t>
      </w:r>
      <w:r>
        <w:t>y a third independent reviewer.</w:t>
      </w:r>
    </w:p>
    <w:p w14:paraId="59FE1A0B" w14:textId="77777777" w:rsidR="0040679A" w:rsidRPr="00183E4D" w:rsidRDefault="0040679A" w:rsidP="004C79C1">
      <w:pPr>
        <w:spacing w:after="120" w:line="240" w:lineRule="auto"/>
        <w:jc w:val="both"/>
      </w:pPr>
      <w:r>
        <w:t>In general, studies were excluded if they did not address the research question, did not provide information on the pre-specified target population, did not address one of the pre-specified outcomes and/or provided inadequate data on these outcomes, were in a language other than English and a lower level of evidence (than the studies in English), did not have the appropriate study design, or were conference abstracts.</w:t>
      </w:r>
    </w:p>
    <w:p w14:paraId="043A05C5" w14:textId="4BEC00A7" w:rsidR="0040679A" w:rsidRPr="00183E4D" w:rsidRDefault="0040679A" w:rsidP="004C79C1">
      <w:pPr>
        <w:spacing w:after="120" w:line="240" w:lineRule="auto"/>
        <w:jc w:val="both"/>
      </w:pPr>
      <w:r w:rsidRPr="00183E4D">
        <w:t xml:space="preserve">Studies that could not be retrieved or that met the inclusion criteria but contained insufficient or inadequate data for inclusion are listed as </w:t>
      </w:r>
      <w:r w:rsidR="00E83CCE">
        <w:t>e</w:t>
      </w:r>
      <w:r w:rsidRPr="00183E4D">
        <w:t xml:space="preserve">xcluded </w:t>
      </w:r>
      <w:r w:rsidR="00E83CCE">
        <w:t>s</w:t>
      </w:r>
      <w:r w:rsidRPr="00183E4D">
        <w:t xml:space="preserve">tudies in </w:t>
      </w:r>
      <w:r w:rsidR="000D3BE3">
        <w:t>Appendix E</w:t>
      </w:r>
      <w:r w:rsidRPr="00183E4D">
        <w:t xml:space="preserve">. All other studies that met the inclusion criteria are listed in </w:t>
      </w:r>
      <w:r w:rsidRPr="00905413">
        <w:t>Appendix C</w:t>
      </w:r>
      <w:r w:rsidRPr="00183E4D">
        <w:t>.</w:t>
      </w:r>
    </w:p>
    <w:p w14:paraId="444F854F" w14:textId="3AC1391F" w:rsidR="0040679A" w:rsidRDefault="0040679A" w:rsidP="004C79C1">
      <w:pPr>
        <w:spacing w:after="120" w:line="240" w:lineRule="auto"/>
        <w:jc w:val="both"/>
        <w:rPr>
          <w:color w:val="000000"/>
        </w:rPr>
      </w:pPr>
      <w:r w:rsidRPr="00183E4D">
        <w:t xml:space="preserve">A profile of each included study is given in </w:t>
      </w:r>
      <w:r w:rsidRPr="000D3BE3">
        <w:fldChar w:fldCharType="begin"/>
      </w:r>
      <w:r w:rsidRPr="000D3BE3">
        <w:instrText xml:space="preserve"> REF _Ref364237249 \h  \* MERGEFORMAT </w:instrText>
      </w:r>
      <w:r w:rsidRPr="000D3BE3">
        <w:fldChar w:fldCharType="separate"/>
      </w:r>
      <w:r w:rsidR="00460601" w:rsidRPr="00183E4D">
        <w:t xml:space="preserve">Appendix </w:t>
      </w:r>
      <w:r w:rsidR="00460601">
        <w:t>C</w:t>
      </w:r>
      <w:r w:rsidRPr="000D3BE3">
        <w:fldChar w:fldCharType="end"/>
      </w:r>
      <w:r w:rsidRPr="00183E4D">
        <w:t xml:space="preserve">. </w:t>
      </w:r>
      <w:r w:rsidRPr="00183E4D">
        <w:rPr>
          <w:color w:val="000000"/>
        </w:rPr>
        <w:t>This study profile describes the author</w:t>
      </w:r>
      <w:r w:rsidR="001F3CA5">
        <w:rPr>
          <w:color w:val="000000"/>
        </w:rPr>
        <w:t>(</w:t>
      </w:r>
      <w:r w:rsidRPr="00183E4D">
        <w:rPr>
          <w:color w:val="000000"/>
        </w:rPr>
        <w:t>s</w:t>
      </w:r>
      <w:r w:rsidR="001F3CA5">
        <w:rPr>
          <w:color w:val="000000"/>
        </w:rPr>
        <w:t>)</w:t>
      </w:r>
      <w:r w:rsidRPr="00183E4D">
        <w:rPr>
          <w:color w:val="000000"/>
        </w:rPr>
        <w:t xml:space="preserve">, study ID, </w:t>
      </w:r>
      <w:r>
        <w:rPr>
          <w:color w:val="000000"/>
        </w:rPr>
        <w:t xml:space="preserve">publication year, study design </w:t>
      </w:r>
      <w:r w:rsidRPr="00183E4D">
        <w:rPr>
          <w:color w:val="000000"/>
        </w:rPr>
        <w:t>and quality (level of evi</w:t>
      </w:r>
      <w:r>
        <w:rPr>
          <w:color w:val="000000"/>
        </w:rPr>
        <w:t>dence and risk of bias)</w:t>
      </w:r>
      <w:r w:rsidRPr="00183E4D">
        <w:rPr>
          <w:color w:val="000000"/>
        </w:rPr>
        <w:t xml:space="preserve">, study location, setting, length of follow-up of patients, study population characteristics, description of the </w:t>
      </w:r>
      <w:r>
        <w:rPr>
          <w:color w:val="000000"/>
        </w:rPr>
        <w:t>test (and associated interventions),</w:t>
      </w:r>
      <w:r w:rsidRPr="00183E4D">
        <w:rPr>
          <w:color w:val="000000"/>
        </w:rPr>
        <w:t xml:space="preserve"> description of the comparator</w:t>
      </w:r>
      <w:r>
        <w:rPr>
          <w:color w:val="000000"/>
        </w:rPr>
        <w:t xml:space="preserve"> (and associated intervention), description of the reference standard or evidentiary standard</w:t>
      </w:r>
      <w:r w:rsidR="00F56AA6">
        <w:rPr>
          <w:color w:val="000000"/>
        </w:rPr>
        <w:t>,</w:t>
      </w:r>
      <w:r>
        <w:rPr>
          <w:color w:val="000000"/>
        </w:rPr>
        <w:t xml:space="preserve"> and </w:t>
      </w:r>
      <w:r w:rsidRPr="00183E4D">
        <w:rPr>
          <w:color w:val="000000"/>
        </w:rPr>
        <w:t xml:space="preserve">relevant outcomes assessed. </w:t>
      </w:r>
    </w:p>
    <w:p w14:paraId="0880ED71" w14:textId="33614FDF" w:rsidR="00211F7B" w:rsidRPr="00183E4D" w:rsidRDefault="00C82B05" w:rsidP="004C79C1">
      <w:pPr>
        <w:pStyle w:val="Heading2"/>
        <w:spacing w:before="0" w:after="120" w:line="240" w:lineRule="auto"/>
      </w:pPr>
      <w:bookmarkStart w:id="205" w:name="_Toc451501296"/>
      <w:r>
        <w:t>Appraisal of the E</w:t>
      </w:r>
      <w:r w:rsidR="00211F7B" w:rsidRPr="00183E4D">
        <w:t>vidence</w:t>
      </w:r>
      <w:bookmarkEnd w:id="205"/>
    </w:p>
    <w:p w14:paraId="5521BCB9" w14:textId="21B93F31" w:rsidR="00211F7B" w:rsidRPr="00183E4D" w:rsidRDefault="00211F7B" w:rsidP="004C79C1">
      <w:pPr>
        <w:spacing w:after="120" w:line="240" w:lineRule="auto"/>
        <w:jc w:val="both"/>
      </w:pPr>
      <w:r w:rsidRPr="00183E4D">
        <w:t xml:space="preserve">Appraisal of the evidence was conducted in </w:t>
      </w:r>
      <w:r w:rsidR="00F56AA6">
        <w:t>four</w:t>
      </w:r>
      <w:r w:rsidRPr="00183E4D">
        <w:t xml:space="preserve"> stages:</w:t>
      </w:r>
    </w:p>
    <w:p w14:paraId="0A51F9A6" w14:textId="410BEE1E" w:rsidR="00211F7B" w:rsidRPr="00183E4D" w:rsidRDefault="00211F7B" w:rsidP="004C79C1">
      <w:pPr>
        <w:spacing w:after="120" w:line="240" w:lineRule="auto"/>
        <w:jc w:val="both"/>
      </w:pPr>
      <w:r w:rsidRPr="00183E4D">
        <w:t xml:space="preserve">Stage 1: Appraisal of the </w:t>
      </w:r>
      <w:r>
        <w:t>risk of bias within</w:t>
      </w:r>
      <w:r w:rsidRPr="00183E4D">
        <w:t xml:space="preserve"> individual studies (or </w:t>
      </w:r>
      <w:r w:rsidR="00F373FA">
        <w:t>SR</w:t>
      </w:r>
      <w:r w:rsidRPr="00183E4D">
        <w:t>s) included in the review</w:t>
      </w:r>
      <w:r>
        <w:t xml:space="preserve"> </w:t>
      </w:r>
      <w:r w:rsidRPr="00183E4D">
        <w:t>(</w:t>
      </w:r>
      <w:r w:rsidR="00987219">
        <w:t xml:space="preserve">see </w:t>
      </w:r>
      <w:r w:rsidR="00254898">
        <w:t>s</w:t>
      </w:r>
      <w:r>
        <w:t>ubs</w:t>
      </w:r>
      <w:r w:rsidRPr="00183E4D">
        <w:t>ection</w:t>
      </w:r>
      <w:r>
        <w:t>s</w:t>
      </w:r>
      <w:r w:rsidRPr="00183E4D">
        <w:t xml:space="preserve"> B</w:t>
      </w:r>
      <w:r>
        <w:t xml:space="preserve">1.3, B3.3, B4.1.2, </w:t>
      </w:r>
      <w:proofErr w:type="gramStart"/>
      <w:r>
        <w:t>B5.1.1</w:t>
      </w:r>
      <w:proofErr w:type="gramEnd"/>
      <w:r w:rsidRPr="00183E4D">
        <w:t>)</w:t>
      </w:r>
    </w:p>
    <w:p w14:paraId="05E31320" w14:textId="01BAD08A" w:rsidR="00211F7B" w:rsidRPr="00183E4D" w:rsidRDefault="00211F7B" w:rsidP="004C79C1">
      <w:pPr>
        <w:spacing w:after="120" w:line="240" w:lineRule="auto"/>
        <w:jc w:val="both"/>
      </w:pPr>
      <w:r w:rsidRPr="00183E4D">
        <w:t>Stage 2: Appraisal of the precision, size of effect and clinical importance of the results reported in the evidence base as they relate to the pre-specified primary outcomes for this assessment</w:t>
      </w:r>
      <w:r>
        <w:t xml:space="preserve"> </w:t>
      </w:r>
      <w:r w:rsidRPr="00183E4D">
        <w:t>(</w:t>
      </w:r>
      <w:r w:rsidR="00987219">
        <w:t xml:space="preserve">see </w:t>
      </w:r>
      <w:r w:rsidR="00254898">
        <w:t>s</w:t>
      </w:r>
      <w:r>
        <w:t>ubs</w:t>
      </w:r>
      <w:r w:rsidRPr="00183E4D">
        <w:t>ection</w:t>
      </w:r>
      <w:r>
        <w:t>s</w:t>
      </w:r>
      <w:r w:rsidRPr="00183E4D">
        <w:t xml:space="preserve"> B</w:t>
      </w:r>
      <w:r>
        <w:t>1.6, B3.6, B4.1.5, B5.1.4, B5.2.4</w:t>
      </w:r>
      <w:r w:rsidRPr="00183E4D">
        <w:t xml:space="preserve">) </w:t>
      </w:r>
    </w:p>
    <w:p w14:paraId="7361607A" w14:textId="62BF55A5" w:rsidR="00211F7B" w:rsidRDefault="00211F7B" w:rsidP="004C79C1">
      <w:pPr>
        <w:spacing w:after="120" w:line="240" w:lineRule="auto"/>
        <w:jc w:val="both"/>
      </w:pPr>
      <w:r w:rsidRPr="00183E4D">
        <w:t xml:space="preserve">Stage 3: </w:t>
      </w:r>
      <w:r>
        <w:t xml:space="preserve">Rating </w:t>
      </w:r>
      <w:r w:rsidR="007A621C">
        <w:t xml:space="preserve">of </w:t>
      </w:r>
      <w:r>
        <w:t>the overall quality of the evidence per outcome, across studies, based on the study limitations (risk of bias), imprecision, inconsistency of results, indirectness of evidence and the likelihood of publication bias, which informs the GRADE of the evidence (</w:t>
      </w:r>
      <w:r w:rsidR="00987219">
        <w:t>see e</w:t>
      </w:r>
      <w:r>
        <w:t xml:space="preserve">vidence profile tables, </w:t>
      </w:r>
      <w:r w:rsidRPr="000D3BE3">
        <w:fldChar w:fldCharType="begin"/>
      </w:r>
      <w:r w:rsidRPr="000D3BE3">
        <w:instrText xml:space="preserve"> REF _Ref421611175 \h  \* MERGEFORMAT </w:instrText>
      </w:r>
      <w:r w:rsidRPr="000D3BE3">
        <w:fldChar w:fldCharType="separate"/>
      </w:r>
      <w:r w:rsidR="00460601">
        <w:t xml:space="preserve">Appendix </w:t>
      </w:r>
      <w:r w:rsidR="00460601">
        <w:rPr>
          <w:noProof/>
        </w:rPr>
        <w:t>D</w:t>
      </w:r>
      <w:r w:rsidRPr="000D3BE3">
        <w:fldChar w:fldCharType="end"/>
      </w:r>
      <w:r>
        <w:t>).</w:t>
      </w:r>
    </w:p>
    <w:p w14:paraId="79BF2ED0" w14:textId="43ABCB27" w:rsidR="00211F7B" w:rsidRDefault="00211F7B" w:rsidP="004C79C1">
      <w:pPr>
        <w:spacing w:after="120" w:line="240" w:lineRule="auto"/>
        <w:jc w:val="both"/>
      </w:pPr>
      <w:r>
        <w:t xml:space="preserve">Stage 4: </w:t>
      </w:r>
      <w:r w:rsidRPr="00183E4D">
        <w:t xml:space="preserve">Integration of this evidence </w:t>
      </w:r>
      <w:r>
        <w:t xml:space="preserve">(across outcomes) </w:t>
      </w:r>
      <w:r w:rsidRPr="00183E4D">
        <w:t xml:space="preserve">for conclusions about the net clinical </w:t>
      </w:r>
      <w:proofErr w:type="gramStart"/>
      <w:r w:rsidRPr="00183E4D">
        <w:t>benefit</w:t>
      </w:r>
      <w:proofErr w:type="gramEnd"/>
      <w:r w:rsidRPr="00183E4D">
        <w:t xml:space="preserve"> of the </w:t>
      </w:r>
      <w:r>
        <w:t>test and associated interventions</w:t>
      </w:r>
      <w:r w:rsidRPr="00183E4D">
        <w:t xml:space="preserve"> in the context of Australian clinical practice </w:t>
      </w:r>
      <w:r w:rsidR="009D6530">
        <w:t>(</w:t>
      </w:r>
      <w:r w:rsidR="00987219">
        <w:t xml:space="preserve">see </w:t>
      </w:r>
      <w:r w:rsidR="00254898">
        <w:t>s</w:t>
      </w:r>
      <w:r w:rsidR="009D6530">
        <w:t>ection B</w:t>
      </w:r>
      <w:r w:rsidRPr="00183E4D">
        <w:t>8)</w:t>
      </w:r>
      <w:r w:rsidR="00EB638D">
        <w:t>.</w:t>
      </w:r>
    </w:p>
    <w:p w14:paraId="46E4B4A5" w14:textId="77777777" w:rsidR="00704D5E" w:rsidRPr="00135EF5" w:rsidRDefault="00704D5E" w:rsidP="004C79C1">
      <w:pPr>
        <w:pStyle w:val="Heading1"/>
        <w:numPr>
          <w:ilvl w:val="1"/>
          <w:numId w:val="17"/>
        </w:numPr>
        <w:spacing w:after="120" w:line="240" w:lineRule="auto"/>
        <w:ind w:hanging="792"/>
      </w:pPr>
      <w:bookmarkStart w:id="206" w:name="_Toc451501297"/>
      <w:bookmarkStart w:id="207" w:name="_Toc381796460"/>
      <w:bookmarkStart w:id="208" w:name="_Toc381796462"/>
      <w:bookmarkStart w:id="209" w:name="_Toc381796467"/>
      <w:bookmarkStart w:id="210" w:name="_Toc379118083"/>
      <w:r w:rsidRPr="00135EF5">
        <w:lastRenderedPageBreak/>
        <w:t>Direct Evidence</w:t>
      </w:r>
      <w:bookmarkEnd w:id="206"/>
    </w:p>
    <w:p w14:paraId="4EF2FC20" w14:textId="2BB3E1DE" w:rsidR="00F22534" w:rsidRDefault="00AA708D" w:rsidP="004C79C1">
      <w:pPr>
        <w:pStyle w:val="Heading2"/>
        <w:numPr>
          <w:ilvl w:val="1"/>
          <w:numId w:val="16"/>
        </w:numPr>
        <w:spacing w:before="0" w:after="120" w:line="240" w:lineRule="auto"/>
      </w:pPr>
      <w:bookmarkStart w:id="211" w:name="_Toc451501298"/>
      <w:r w:rsidRPr="00183E4D">
        <w:t>Literature</w:t>
      </w:r>
      <w:r w:rsidR="00D5489B" w:rsidRPr="00183E4D">
        <w:t xml:space="preserve"> Sources and Search S</w:t>
      </w:r>
      <w:r w:rsidRPr="00183E4D">
        <w:t>trategies</w:t>
      </w:r>
      <w:bookmarkEnd w:id="207"/>
      <w:bookmarkEnd w:id="211"/>
    </w:p>
    <w:p w14:paraId="65ACD98C" w14:textId="136F4989" w:rsidR="00211F7B" w:rsidRPr="00211F7B" w:rsidRDefault="00211F7B" w:rsidP="004C79C1">
      <w:pPr>
        <w:spacing w:after="120" w:line="240" w:lineRule="auto"/>
      </w:pPr>
      <w:r>
        <w:t xml:space="preserve">The literature sources and search strategies are described above </w:t>
      </w:r>
      <w:r w:rsidRPr="002E728E">
        <w:t xml:space="preserve">(page </w:t>
      </w:r>
      <w:r w:rsidRPr="002E728E">
        <w:fldChar w:fldCharType="begin"/>
      </w:r>
      <w:r w:rsidRPr="002E728E">
        <w:instrText xml:space="preserve"> PAGEREF _Ref445284746 \h </w:instrText>
      </w:r>
      <w:r w:rsidRPr="002E728E">
        <w:fldChar w:fldCharType="separate"/>
      </w:r>
      <w:r w:rsidR="002E728E">
        <w:rPr>
          <w:noProof/>
        </w:rPr>
        <w:t>72</w:t>
      </w:r>
      <w:r w:rsidRPr="002E728E">
        <w:fldChar w:fldCharType="end"/>
      </w:r>
      <w:r w:rsidRPr="002E728E">
        <w:t>).</w:t>
      </w:r>
    </w:p>
    <w:p w14:paraId="46E36175" w14:textId="4AD353F3" w:rsidR="00D5489B" w:rsidRDefault="00D5489B" w:rsidP="004C79C1">
      <w:pPr>
        <w:pStyle w:val="Heading2"/>
        <w:numPr>
          <w:ilvl w:val="1"/>
          <w:numId w:val="16"/>
        </w:numPr>
        <w:spacing w:before="0" w:after="120" w:line="240" w:lineRule="auto"/>
      </w:pPr>
      <w:bookmarkStart w:id="212" w:name="_Toc451501299"/>
      <w:r w:rsidRPr="00183E4D">
        <w:t>Results of Literature Search</w:t>
      </w:r>
      <w:bookmarkEnd w:id="212"/>
    </w:p>
    <w:p w14:paraId="27E7B0DE" w14:textId="578C1BAB" w:rsidR="00B43003" w:rsidRDefault="00B43003" w:rsidP="004C79C1">
      <w:pPr>
        <w:spacing w:after="120" w:line="240" w:lineRule="auto"/>
        <w:jc w:val="both"/>
      </w:pPr>
      <w:r>
        <w:t xml:space="preserve">No studies were identified that directly compared the effectiveness of LGE-CMR with other comparator tests in asymptomatic individuals with a family history of NIDCM or in patients presenting with </w:t>
      </w:r>
      <w:r w:rsidR="00D83AEA">
        <w:t>HF</w:t>
      </w:r>
      <w:r>
        <w:t xml:space="preserve"> symptoms, in whom echocardiography is inconclusive or suggests a DCM and in whom diagnostic clarification is required.</w:t>
      </w:r>
      <w:r w:rsidR="006A7F9D">
        <w:t xml:space="preserve"> Therefore, a linked analysis approach was chosen and in some cases the populations were broadened to allow for patients suspected of CM to be included (irrespective of </w:t>
      </w:r>
      <w:r w:rsidR="00884E39">
        <w:t xml:space="preserve">a </w:t>
      </w:r>
      <w:r w:rsidR="006A7F9D">
        <w:t xml:space="preserve">dilated LV). </w:t>
      </w:r>
    </w:p>
    <w:p w14:paraId="5F99E2E9" w14:textId="03E83653" w:rsidR="006A7F9D" w:rsidRPr="00B43003" w:rsidRDefault="006A7F9D" w:rsidP="004C79C1">
      <w:pPr>
        <w:spacing w:after="120" w:line="240" w:lineRule="auto"/>
        <w:jc w:val="both"/>
      </w:pPr>
      <w:r>
        <w:t xml:space="preserve">As there </w:t>
      </w:r>
      <w:r w:rsidR="00251904">
        <w:t xml:space="preserve">were no studies included on direct effectiveness or safety, effectiveness results </w:t>
      </w:r>
      <w:r w:rsidR="00DA68C3">
        <w:t>are</w:t>
      </w:r>
      <w:r w:rsidR="00251904">
        <w:t xml:space="preserve"> shown in </w:t>
      </w:r>
      <w:r w:rsidR="00DA68C3">
        <w:t xml:space="preserve">the </w:t>
      </w:r>
      <w:r w:rsidR="00D83AEA">
        <w:t xml:space="preserve">following </w:t>
      </w:r>
      <w:r w:rsidR="00251904">
        <w:t>linked sections: B3 (diagnostic performance), B4 (clinical validity)</w:t>
      </w:r>
      <w:r w:rsidR="00DA68C3">
        <w:t xml:space="preserve"> and</w:t>
      </w:r>
      <w:r w:rsidR="00251904">
        <w:t xml:space="preserve"> B5 (clinical utility)</w:t>
      </w:r>
      <w:r w:rsidR="00DA68C3">
        <w:t>. S</w:t>
      </w:r>
      <w:r w:rsidR="00251904">
        <w:t>afety results are presented in section B7 (extended assessment of comparative harms).</w:t>
      </w:r>
    </w:p>
    <w:p w14:paraId="4F068727" w14:textId="70E39BE9" w:rsidR="00F269DE" w:rsidRDefault="00A12062" w:rsidP="004C79C1">
      <w:pPr>
        <w:pStyle w:val="Heading1"/>
        <w:spacing w:after="120" w:line="240" w:lineRule="auto"/>
      </w:pPr>
      <w:bookmarkStart w:id="213" w:name="_Toc451501300"/>
      <w:bookmarkEnd w:id="208"/>
      <w:bookmarkEnd w:id="209"/>
      <w:bookmarkEnd w:id="210"/>
      <w:r>
        <w:lastRenderedPageBreak/>
        <w:t>B</w:t>
      </w:r>
      <w:r w:rsidR="00F269DE">
        <w:t xml:space="preserve">2 </w:t>
      </w:r>
      <w:r w:rsidR="00D0630C">
        <w:tab/>
      </w:r>
      <w:r w:rsidR="007A49EE">
        <w:t xml:space="preserve">Linked </w:t>
      </w:r>
      <w:r w:rsidR="005F346B">
        <w:t>E</w:t>
      </w:r>
      <w:r w:rsidR="007A49EE">
        <w:t xml:space="preserve">vidence </w:t>
      </w:r>
      <w:r w:rsidR="005F346B">
        <w:t>A</w:t>
      </w:r>
      <w:r>
        <w:t>pproach</w:t>
      </w:r>
      <w:bookmarkEnd w:id="213"/>
      <w:r w:rsidR="007A49EE">
        <w:t xml:space="preserve"> </w:t>
      </w:r>
    </w:p>
    <w:p w14:paraId="487BB6A3" w14:textId="60839B9D" w:rsidR="00624302" w:rsidRDefault="009A17E2" w:rsidP="004C79C1">
      <w:pPr>
        <w:pStyle w:val="Heading2"/>
        <w:numPr>
          <w:ilvl w:val="1"/>
          <w:numId w:val="18"/>
        </w:numPr>
        <w:spacing w:before="0" w:after="120" w:line="240" w:lineRule="auto"/>
      </w:pPr>
      <w:bookmarkStart w:id="214" w:name="_Toc451501301"/>
      <w:r>
        <w:t xml:space="preserve">Basis for </w:t>
      </w:r>
      <w:r w:rsidR="005F346B">
        <w:t>L</w:t>
      </w:r>
      <w:r>
        <w:t xml:space="preserve">inked </w:t>
      </w:r>
      <w:r w:rsidR="005F346B">
        <w:t>E</w:t>
      </w:r>
      <w:r>
        <w:t>vidence</w:t>
      </w:r>
      <w:bookmarkEnd w:id="214"/>
    </w:p>
    <w:p w14:paraId="7E08E8D5" w14:textId="36D925F2" w:rsidR="00012855" w:rsidRDefault="00012855" w:rsidP="004C79C1">
      <w:pPr>
        <w:spacing w:after="120" w:line="240" w:lineRule="auto"/>
      </w:pPr>
      <w:r>
        <w:t xml:space="preserve">Due to the absence of direct evidence, a linked evidence approach was taken. </w:t>
      </w:r>
    </w:p>
    <w:p w14:paraId="461F30CF" w14:textId="6881A091" w:rsidR="009A17E2" w:rsidRDefault="00BB6CA8" w:rsidP="004C79C1">
      <w:pPr>
        <w:pStyle w:val="Heading2"/>
        <w:numPr>
          <w:ilvl w:val="1"/>
          <w:numId w:val="18"/>
        </w:numPr>
        <w:spacing w:before="0" w:after="120" w:line="240" w:lineRule="auto"/>
      </w:pPr>
      <w:bookmarkStart w:id="215" w:name="_Toc451501302"/>
      <w:r>
        <w:t xml:space="preserve">Steps for </w:t>
      </w:r>
      <w:r w:rsidR="0039526E">
        <w:t>L</w:t>
      </w:r>
      <w:r>
        <w:t xml:space="preserve">inked </w:t>
      </w:r>
      <w:r w:rsidR="0039526E">
        <w:t>A</w:t>
      </w:r>
      <w:r>
        <w:t>nalysis</w:t>
      </w:r>
      <w:bookmarkEnd w:id="215"/>
    </w:p>
    <w:p w14:paraId="35A05050" w14:textId="06EF24E7" w:rsidR="007833D7" w:rsidRDefault="007833D7" w:rsidP="004C79C1">
      <w:pPr>
        <w:spacing w:after="120" w:line="240" w:lineRule="auto"/>
      </w:pPr>
      <w:r>
        <w:t xml:space="preserve">To construct a linked evidence analysis, </w:t>
      </w:r>
      <w:r w:rsidR="00A17634">
        <w:t xml:space="preserve">the following </w:t>
      </w:r>
      <w:r>
        <w:t xml:space="preserve">evidence requirements are </w:t>
      </w:r>
      <w:r w:rsidR="00A17634">
        <w:t>needed</w:t>
      </w:r>
      <w:r>
        <w:t xml:space="preserve">. </w:t>
      </w:r>
    </w:p>
    <w:p w14:paraId="6235E21B" w14:textId="5F8C6420" w:rsidR="007833D7" w:rsidRDefault="00A17634" w:rsidP="004C79C1">
      <w:pPr>
        <w:pStyle w:val="ListParagraph"/>
        <w:numPr>
          <w:ilvl w:val="0"/>
          <w:numId w:val="31"/>
        </w:numPr>
        <w:spacing w:after="120" w:line="240" w:lineRule="auto"/>
        <w:jc w:val="both"/>
      </w:pPr>
      <w:r>
        <w:t>c</w:t>
      </w:r>
      <w:r w:rsidR="007833D7">
        <w:t xml:space="preserve">onsideration of the diagnostic performance and clinical validity </w:t>
      </w:r>
      <w:r w:rsidR="00121CF0">
        <w:t>of the investigative medical service</w:t>
      </w:r>
      <w:r w:rsidR="004D61AC">
        <w:t xml:space="preserve"> (</w:t>
      </w:r>
      <w:r w:rsidR="00254898">
        <w:t>s</w:t>
      </w:r>
      <w:r w:rsidR="004D61AC">
        <w:t>ections B3 and B4)</w:t>
      </w:r>
      <w:r w:rsidR="008A4ADD">
        <w:t>;</w:t>
      </w:r>
    </w:p>
    <w:p w14:paraId="483005DE" w14:textId="5844A2AF" w:rsidR="00121CF0" w:rsidRDefault="00A17634" w:rsidP="004C79C1">
      <w:pPr>
        <w:pStyle w:val="ListParagraph"/>
        <w:numPr>
          <w:ilvl w:val="0"/>
          <w:numId w:val="31"/>
        </w:numPr>
        <w:spacing w:after="120" w:line="240" w:lineRule="auto"/>
        <w:jc w:val="both"/>
      </w:pPr>
      <w:r>
        <w:t>c</w:t>
      </w:r>
      <w:r w:rsidR="00121CF0">
        <w:t>onsideration of the clinical utility of the investigative medi</w:t>
      </w:r>
      <w:r w:rsidR="005F39B3">
        <w:t xml:space="preserve">cal service in terms of impact </w:t>
      </w:r>
      <w:r w:rsidR="00121CF0">
        <w:t>of positive versus negative test results on patient management, the contribution and clinical importance of false negatives versus false positives</w:t>
      </w:r>
      <w:r w:rsidR="000C309B">
        <w:t>,</w:t>
      </w:r>
      <w:r w:rsidR="00121CF0">
        <w:t xml:space="preserve"> and </w:t>
      </w:r>
      <w:r w:rsidR="000C309B">
        <w:t xml:space="preserve">the </w:t>
      </w:r>
      <w:r w:rsidR="00121CF0">
        <w:t>direct impact of each therapeutic model service option on health outcomes</w:t>
      </w:r>
      <w:r w:rsidR="003408F9">
        <w:t xml:space="preserve"> (</w:t>
      </w:r>
      <w:r w:rsidR="00254898">
        <w:t>s</w:t>
      </w:r>
      <w:r w:rsidR="003408F9">
        <w:t>ection B5)</w:t>
      </w:r>
      <w:r w:rsidR="00121CF0">
        <w:t>;</w:t>
      </w:r>
      <w:r w:rsidR="00853195">
        <w:t xml:space="preserve"> and</w:t>
      </w:r>
    </w:p>
    <w:p w14:paraId="2EF02923" w14:textId="789BE6CD" w:rsidR="00121CF0" w:rsidRDefault="00A17634" w:rsidP="004C79C1">
      <w:pPr>
        <w:pStyle w:val="ListParagraph"/>
        <w:numPr>
          <w:ilvl w:val="0"/>
          <w:numId w:val="31"/>
        </w:numPr>
        <w:spacing w:after="120" w:line="240" w:lineRule="auto"/>
        <w:jc w:val="both"/>
      </w:pPr>
      <w:proofErr w:type="gramStart"/>
      <w:r>
        <w:t>c</w:t>
      </w:r>
      <w:r w:rsidR="00121CF0">
        <w:t>onsideration</w:t>
      </w:r>
      <w:proofErr w:type="gramEnd"/>
      <w:r w:rsidR="00121CF0">
        <w:t xml:space="preserve"> of the relative safety of performing the investigative service, both </w:t>
      </w:r>
      <w:r w:rsidR="00C54775">
        <w:t xml:space="preserve">the </w:t>
      </w:r>
      <w:r w:rsidR="00121CF0">
        <w:t xml:space="preserve">immediate safety issues of directly performing the test and </w:t>
      </w:r>
      <w:r w:rsidR="00C54775">
        <w:t xml:space="preserve">the </w:t>
      </w:r>
      <w:r w:rsidR="00121CF0">
        <w:t>‘flow on’ safety issues that arise as a result of conducting the investigative service</w:t>
      </w:r>
      <w:r w:rsidR="003408F9">
        <w:t xml:space="preserve"> (</w:t>
      </w:r>
      <w:r w:rsidR="00254898">
        <w:t>s</w:t>
      </w:r>
      <w:r w:rsidR="003408F9">
        <w:t>ection B7)</w:t>
      </w:r>
      <w:r w:rsidR="00121CF0">
        <w:t>.</w:t>
      </w:r>
      <w:r w:rsidR="000C309B" w:rsidRPr="000C309B">
        <w:t xml:space="preserve"> </w:t>
      </w:r>
    </w:p>
    <w:p w14:paraId="4E66EAAC" w14:textId="0FF242EF" w:rsidR="00A37B8D" w:rsidRPr="009A17E2" w:rsidRDefault="002A398B" w:rsidP="004C79C1">
      <w:pPr>
        <w:spacing w:after="120" w:line="240" w:lineRule="auto"/>
        <w:jc w:val="both"/>
      </w:pPr>
      <w:r>
        <w:t>Conclusions linking t</w:t>
      </w:r>
      <w:r w:rsidR="001B22FA">
        <w:t>he different steps of the linked evidence approach can be found in</w:t>
      </w:r>
      <w:r>
        <w:t xml:space="preserve"> </w:t>
      </w:r>
      <w:r w:rsidR="00254898">
        <w:t>s</w:t>
      </w:r>
      <w:r>
        <w:t xml:space="preserve">ection B8. </w:t>
      </w:r>
    </w:p>
    <w:p w14:paraId="5D45A2D9" w14:textId="75525F26" w:rsidR="007A49EE" w:rsidRDefault="00A12062" w:rsidP="004C79C1">
      <w:pPr>
        <w:pStyle w:val="Heading1"/>
        <w:spacing w:after="120" w:line="240" w:lineRule="auto"/>
      </w:pPr>
      <w:bookmarkStart w:id="216" w:name="_Toc451501303"/>
      <w:r>
        <w:lastRenderedPageBreak/>
        <w:t>B</w:t>
      </w:r>
      <w:r w:rsidR="00F269DE">
        <w:t xml:space="preserve">3 </w:t>
      </w:r>
      <w:r w:rsidR="00ED474F">
        <w:tab/>
      </w:r>
      <w:r w:rsidR="00F269DE">
        <w:t>Diagnostic performance</w:t>
      </w:r>
      <w:bookmarkEnd w:id="216"/>
    </w:p>
    <w:p w14:paraId="0A7A8CC7" w14:textId="18A591D2" w:rsidR="003018D2" w:rsidRDefault="003018D2" w:rsidP="004C79C1">
      <w:pPr>
        <w:spacing w:after="120" w:line="240" w:lineRule="auto"/>
        <w:jc w:val="both"/>
      </w:pPr>
      <w:r>
        <w:t>The PICO criteria for the first step of the linked analysis (diagnostic performance) are shown in Box 5.</w:t>
      </w:r>
      <w:r w:rsidR="00AD5D95">
        <w:t xml:space="preserve"> </w:t>
      </w:r>
    </w:p>
    <w:p w14:paraId="54D970A4" w14:textId="14F6C122" w:rsidR="00376BE2" w:rsidRDefault="00376BE2" w:rsidP="004C79C1">
      <w:pPr>
        <w:pStyle w:val="Heading2"/>
        <w:numPr>
          <w:ilvl w:val="1"/>
          <w:numId w:val="19"/>
        </w:numPr>
        <w:spacing w:before="0" w:after="120" w:line="240" w:lineRule="auto"/>
      </w:pPr>
      <w:bookmarkStart w:id="217" w:name="_Toc451501304"/>
      <w:r w:rsidRPr="0048411A">
        <w:t xml:space="preserve">Reference </w:t>
      </w:r>
      <w:r w:rsidR="00E33F65">
        <w:t>S</w:t>
      </w:r>
      <w:r w:rsidRPr="0048411A">
        <w:t>tandard</w:t>
      </w:r>
      <w:bookmarkEnd w:id="217"/>
    </w:p>
    <w:p w14:paraId="4AB62980" w14:textId="29B3F585" w:rsidR="00FD0EE3" w:rsidRDefault="00570FE7" w:rsidP="004C79C1">
      <w:pPr>
        <w:spacing w:after="120" w:line="240" w:lineRule="auto"/>
        <w:jc w:val="both"/>
      </w:pPr>
      <w:r>
        <w:t xml:space="preserve">To determine whether DCM has an </w:t>
      </w:r>
      <w:r w:rsidR="00410DCD">
        <w:t>ischaemic</w:t>
      </w:r>
      <w:r>
        <w:t xml:space="preserve"> or non-</w:t>
      </w:r>
      <w:r w:rsidR="00410DCD">
        <w:t>ischaemic</w:t>
      </w:r>
      <w:r>
        <w:t xml:space="preserve"> cause, ICA is often used.</w:t>
      </w:r>
      <w:r w:rsidR="00FD0EE3">
        <w:t xml:space="preserve"> However, as it is an invasive test, it is only recommended in stable patients and only if non-invasive tests provide inadequate information</w:t>
      </w:r>
      <w:r w:rsidR="00853195">
        <w:t>, or if there is a suspicion that the patient may have ischaemia</w:t>
      </w:r>
      <w:r w:rsidR="00FD0EE3">
        <w:t>.</w:t>
      </w:r>
      <w:r>
        <w:t xml:space="preserve"> The identification of </w:t>
      </w:r>
      <w:r w:rsidR="00410DCD">
        <w:t>ischaemic</w:t>
      </w:r>
      <w:r>
        <w:t xml:space="preserve"> disease often relies on the demonstration of (coronary) lesions on ICA, and ICA is currently seen as the reference standard</w:t>
      </w:r>
      <w:r w:rsidR="00FD0EE3">
        <w:t xml:space="preserve"> to determine </w:t>
      </w:r>
      <w:r w:rsidR="00410DCD">
        <w:t>ischaemia</w:t>
      </w:r>
      <w:r>
        <w:t>.</w:t>
      </w:r>
      <w:r w:rsidR="00FD0EE3">
        <w:t xml:space="preserve"> </w:t>
      </w:r>
      <w:r w:rsidR="00711147">
        <w:t xml:space="preserve">However, as shown in </w:t>
      </w:r>
      <w:r w:rsidR="00065C69">
        <w:fldChar w:fldCharType="begin"/>
      </w:r>
      <w:r w:rsidR="00065C69">
        <w:instrText xml:space="preserve"> REF _Ref451260101 \h </w:instrText>
      </w:r>
      <w:r w:rsidR="00065C69">
        <w:fldChar w:fldCharType="separate"/>
      </w:r>
      <w:r w:rsidR="00065C69">
        <w:t xml:space="preserve">Figure </w:t>
      </w:r>
      <w:r w:rsidR="00065C69">
        <w:rPr>
          <w:noProof/>
        </w:rPr>
        <w:t>2</w:t>
      </w:r>
      <w:r w:rsidR="00065C69">
        <w:fldChar w:fldCharType="end"/>
      </w:r>
      <w:r w:rsidR="00711147">
        <w:t>, ICA is also a comparator</w:t>
      </w:r>
      <w:r w:rsidR="00576D42">
        <w:t>,</w:t>
      </w:r>
      <w:r w:rsidR="00711147">
        <w:t xml:space="preserve"> as LGE-CMR could potentially avoid ICA in some patients.</w:t>
      </w:r>
    </w:p>
    <w:p w14:paraId="7FFA5F7B" w14:textId="262C4EC9" w:rsidR="00570FE7" w:rsidRDefault="00FD0EE3" w:rsidP="004C79C1">
      <w:pPr>
        <w:spacing w:after="120" w:line="240" w:lineRule="auto"/>
        <w:jc w:val="both"/>
      </w:pPr>
      <w:r>
        <w:t xml:space="preserve">Myocardial inflammation mediated by acute or chronic viral infection, direct toxic injury or autoimmune response is another important cause of DCM </w:t>
      </w:r>
      <w:r w:rsidR="00187A29">
        <w:fldChar w:fldCharType="begin"/>
      </w:r>
      <w:r w:rsidR="00187A29">
        <w:instrText xml:space="preserve"> ADDIN EN.CITE &lt;EndNote&gt;&lt;Cite&gt;&lt;Author&gt;Voigt&lt;/Author&gt;&lt;Year&gt;2011&lt;/Year&gt;&lt;RecNum&gt;13&lt;/RecNum&gt;&lt;IDText&gt;925-35&lt;/IDText&gt;&lt;DisplayText&gt;(Voigt et al. 2011)&lt;/DisplayText&gt;&lt;record&gt;&lt;rec-number&gt;13&lt;/rec-number&gt;&lt;foreign-keys&gt;&lt;key app="EN" db-id="pfxxvref0t0a5de2vwnv2fwkz0p9v0r2fw0t" timestamp="1457058905"&gt;13&lt;/key&gt;&lt;/foreign-keys&gt;&lt;ref-type name="Journal Article"&gt;17&lt;/ref-type&gt;&lt;contributors&gt;&lt;authors&gt;&lt;author&gt;Voigt, A.&lt;/author&gt;&lt;author&gt;Elgeti, T.&lt;/author&gt;&lt;author&gt;Durmus, T.&lt;/author&gt;&lt;author&gt;Idiz, M. E.&lt;/author&gt;&lt;author&gt;Butler, C.&lt;/author&gt;&lt;author&gt;Beling, M.&lt;/author&gt;&lt;author&gt;Schilling, R.&lt;/author&gt;&lt;author&gt;Klingel, K.&lt;/author&gt;&lt;author&gt;Kandolf, R.&lt;/author&gt;&lt;author&gt;Stangl, K.&lt;/author&gt;&lt;author&gt;Taupitz, M.&lt;/author&gt;&lt;author&gt;Kivelitz, D.&lt;/author&gt;&lt;author&gt;Wagner, M.&lt;/author&gt;&lt;/authors&gt;&lt;/contributors&gt;&lt;titles&gt;&lt;title&gt;Cardiac magnetic resonance imaging in dilated cardiomyopathy in adults--towards identification of myocardial inflammation&lt;/title&gt;&lt;secondary-title&gt;Eur Radiol&lt;/secondary-title&gt;&lt;/titles&gt;&lt;periodical&gt;&lt;full-title&gt;Eur Radiol&lt;/full-title&gt;&lt;/periodical&gt;&lt;pages&gt;925-35&lt;/pages&gt;&lt;volume&gt;21&lt;/volume&gt;&lt;number&gt;5&lt;/number&gt;&lt;dates&gt;&lt;year&gt;2011&lt;/year&gt;&lt;pub-dates&gt;&lt;date&gt;2011-01-01&lt;/date&gt;&lt;/pub-dates&gt;&lt;/dates&gt;&lt;isbn&gt;0938-7994 (Print) 0938-7994&lt;/isbn&gt;&lt;urls&gt;&lt;related-urls&gt;&lt;url&gt;http://download.springer.com/static/pdf/776/art%253A10.1007%252Fs00330-010-1985-2.pdf?originUrl=http%3A%2F%2Flink.springer.com%2Farticle%2F10.1007%2Fs00330-010-1985-2&amp;amp;token2=exp=1453419118~acl=%2Fstatic%2Fpdf%2F776%2Fart%25253A10.1007%25252Fs00330-010-1985-2.pdf%3ForiginUrl%3Dhttp%253A%252F%252Flink.springer.com%252Farticle%252F10.1007%252Fs00330-010-1985-2*~hmac=35b4f8480e5b15a249faaf0f7dd1a8dc1dbe1f9b87dd770011f7cbfe6038d684&lt;/url&gt;&lt;/related-urls&gt;&lt;/urls&gt;&lt;custom1&gt;RAYYAN-INCLUSION: {&amp;quot;Sharon&amp;quot;=&amp;gt;true} | RAYYAN-LABELS: DCM&lt;/custom1&gt;&lt;language&gt;eng&lt;/language&gt;&lt;/record&gt;&lt;/Cite&gt;&lt;/EndNote&gt;</w:instrText>
      </w:r>
      <w:r w:rsidR="00187A29">
        <w:fldChar w:fldCharType="separate"/>
      </w:r>
      <w:r w:rsidR="00187A29">
        <w:rPr>
          <w:noProof/>
        </w:rPr>
        <w:t>(</w:t>
      </w:r>
      <w:hyperlink w:anchor="_ENREF_132" w:tooltip="Voigt, 2011 #13" w:history="1">
        <w:r w:rsidR="00B906E9">
          <w:rPr>
            <w:noProof/>
          </w:rPr>
          <w:t>Voigt et al. 2011</w:t>
        </w:r>
      </w:hyperlink>
      <w:r w:rsidR="00187A29">
        <w:rPr>
          <w:noProof/>
        </w:rPr>
        <w:t>)</w:t>
      </w:r>
      <w:r w:rsidR="00187A29">
        <w:fldChar w:fldCharType="end"/>
      </w:r>
      <w:r>
        <w:t xml:space="preserve">. </w:t>
      </w:r>
      <w:r w:rsidR="00570FE7">
        <w:t xml:space="preserve">To investigate whether myocardial inflammation (myocarditis) is the cause of DCM symptoms, </w:t>
      </w:r>
      <w:r w:rsidR="00976C4B">
        <w:t>EMB</w:t>
      </w:r>
      <w:r w:rsidR="00570FE7">
        <w:t xml:space="preserve"> is </w:t>
      </w:r>
      <w:r>
        <w:t xml:space="preserve">a widely accepted method and is </w:t>
      </w:r>
      <w:r w:rsidR="00570FE7">
        <w:t>currently considered the reference standard.</w:t>
      </w:r>
      <w:r>
        <w:t xml:space="preserve"> Although it can be safely performed by experienced operators, it is an invasive test and life-threatening complications can still occur </w:t>
      </w:r>
      <w:r w:rsidR="00187A29">
        <w:fldChar w:fldCharType="begin">
          <w:fldData xml:space="preserve">PEVuZE5vdGU+PENpdGU+PEF1dGhvcj5Db29wZXI8L0F1dGhvcj48WWVhcj4yMDA3PC9ZZWFyPjxS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</w:fldData>
        </w:fldChar>
      </w:r>
      <w:r w:rsidR="00187A29">
        <w:instrText xml:space="preserve"> ADDIN EN.CITE </w:instrText>
      </w:r>
      <w:r w:rsidR="00187A29">
        <w:fldChar w:fldCharType="begin">
          <w:fldData xml:space="preserve">PEVuZE5vdGU+PENpdGU+PEF1dGhvcj5Db29wZXI8L0F1dGhvcj48WWVhcj4yMDA3PC9ZZWFyPjxS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</w:fldData>
        </w:fldChar>
      </w:r>
      <w:r w:rsidR="00187A29">
        <w:instrText xml:space="preserve"> ADDIN EN.CITE.DATA </w:instrText>
      </w:r>
      <w:r w:rsidR="00187A29">
        <w:fldChar w:fldCharType="end"/>
      </w:r>
      <w:r w:rsidR="00187A29">
        <w:fldChar w:fldCharType="separate"/>
      </w:r>
      <w:r w:rsidR="00187A29">
        <w:rPr>
          <w:noProof/>
        </w:rPr>
        <w:t>(</w:t>
      </w:r>
      <w:hyperlink w:anchor="_ENREF_29" w:tooltip="Cooper, 2007 #31" w:history="1">
        <w:r w:rsidR="00B906E9">
          <w:rPr>
            <w:noProof/>
          </w:rPr>
          <w:t>Cooper</w:t>
        </w:r>
        <w:r w:rsidR="00205184">
          <w:rPr>
            <w:noProof/>
          </w:rPr>
          <w:t xml:space="preserve"> </w:t>
        </w:r>
        <w:r w:rsidR="00B906E9">
          <w:rPr>
            <w:noProof/>
          </w:rPr>
          <w:t>et al. 2007</w:t>
        </w:r>
      </w:hyperlink>
      <w:r w:rsidR="00187A29">
        <w:rPr>
          <w:noProof/>
        </w:rPr>
        <w:t>)</w:t>
      </w:r>
      <w:r w:rsidR="00187A29">
        <w:fldChar w:fldCharType="end"/>
      </w:r>
      <w:r>
        <w:t xml:space="preserve">. </w:t>
      </w:r>
    </w:p>
    <w:p w14:paraId="7CD1BB07" w14:textId="7C9AA855" w:rsidR="00BA6275" w:rsidRDefault="00340CD1" w:rsidP="004C79C1">
      <w:pPr>
        <w:spacing w:after="120" w:line="240" w:lineRule="auto"/>
        <w:jc w:val="both"/>
      </w:pPr>
      <w:r>
        <w:t>The third reference standard that was identified during the literature search was a fin</w:t>
      </w:r>
      <w:r w:rsidR="00701E78">
        <w:t xml:space="preserve">al diagnosis based on a review </w:t>
      </w:r>
      <w:r>
        <w:t xml:space="preserve">of all the </w:t>
      </w:r>
      <w:r w:rsidR="00032C1A">
        <w:t>available diagnostic data</w:t>
      </w:r>
      <w:r>
        <w:t xml:space="preserve"> </w:t>
      </w:r>
      <w:r w:rsidR="00D16202">
        <w:t>(</w:t>
      </w:r>
      <w:r>
        <w:t xml:space="preserve">e.g. information from medical history, laboratory tests, ICA, </w:t>
      </w:r>
      <w:r w:rsidR="00976C4B">
        <w:t>EMB</w:t>
      </w:r>
      <w:r>
        <w:t xml:space="preserve">, CMR </w:t>
      </w:r>
      <w:r w:rsidR="00D16202">
        <w:t xml:space="preserve">and </w:t>
      </w:r>
      <w:r w:rsidR="00A21115">
        <w:t>echocardiography</w:t>
      </w:r>
      <w:r>
        <w:t xml:space="preserve"> </w:t>
      </w:r>
      <w:r w:rsidR="0072472E">
        <w:t>by treating cardiologists</w:t>
      </w:r>
      <w:r w:rsidR="00D16202">
        <w:t>)</w:t>
      </w:r>
      <w:r w:rsidR="0072472E">
        <w:t xml:space="preserve"> </w:t>
      </w:r>
      <w:r w:rsidR="00187A29">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187A29">
        <w:instrText xml:space="preserve"> ADDIN EN.CITE </w:instrText>
      </w:r>
      <w:r w:rsidR="00187A29">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8" w:tooltip="Assomull, 2011 #6" w:history="1">
        <w:r w:rsidR="00B906E9">
          <w:rPr>
            <w:noProof/>
          </w:rPr>
          <w:t>Assomull et al. 2011</w:t>
        </w:r>
      </w:hyperlink>
      <w:r w:rsidR="00187A29">
        <w:rPr>
          <w:noProof/>
        </w:rPr>
        <w:t xml:space="preserve">; </w:t>
      </w:r>
      <w:hyperlink w:anchor="_ENREF_31" w:tooltip="de Melo, 2013 #3" w:history="1">
        <w:r w:rsidR="00B906E9">
          <w:rPr>
            <w:noProof/>
          </w:rPr>
          <w:t>de Melo et al. 2013</w:t>
        </w:r>
      </w:hyperlink>
      <w:r w:rsidR="00187A29">
        <w:rPr>
          <w:noProof/>
        </w:rPr>
        <w:t>)</w:t>
      </w:r>
      <w:r w:rsidR="00187A29">
        <w:fldChar w:fldCharType="end"/>
      </w:r>
      <w:r>
        <w:t xml:space="preserve">. This was considered </w:t>
      </w:r>
      <w:r w:rsidR="00D16202">
        <w:t xml:space="preserve">to be </w:t>
      </w:r>
      <w:r>
        <w:t xml:space="preserve">the ‘gold standard’. </w:t>
      </w:r>
    </w:p>
    <w:p w14:paraId="547F283C" w14:textId="5DD5479A" w:rsidR="00770243" w:rsidRDefault="00770243" w:rsidP="004C79C1">
      <w:pPr>
        <w:spacing w:after="120" w:line="240" w:lineRule="auto"/>
        <w:jc w:val="both"/>
      </w:pPr>
      <w:r>
        <w:t xml:space="preserve">Studies using genetic testing as a reference standard in </w:t>
      </w:r>
      <w:r w:rsidR="003734D3">
        <w:t xml:space="preserve">the </w:t>
      </w:r>
      <w:r>
        <w:t>patient population were not identified.</w:t>
      </w:r>
    </w:p>
    <w:p w14:paraId="7FABD5AC" w14:textId="43DD4362" w:rsidR="000F426F" w:rsidRDefault="000F426F" w:rsidP="004C79C1">
      <w:pPr>
        <w:pStyle w:val="Heading2"/>
        <w:numPr>
          <w:ilvl w:val="1"/>
          <w:numId w:val="19"/>
        </w:numPr>
        <w:spacing w:before="0" w:after="120" w:line="240" w:lineRule="auto"/>
      </w:pPr>
      <w:bookmarkStart w:id="218" w:name="_Ref445468632"/>
      <w:bookmarkStart w:id="219" w:name="_Toc451501305"/>
      <w:r>
        <w:t xml:space="preserve">Literature </w:t>
      </w:r>
      <w:r w:rsidR="00E33F65">
        <w:t>S</w:t>
      </w:r>
      <w:r>
        <w:t xml:space="preserve">ources and </w:t>
      </w:r>
      <w:r w:rsidR="00E33F65">
        <w:t>S</w:t>
      </w:r>
      <w:r>
        <w:t xml:space="preserve">earch </w:t>
      </w:r>
      <w:r w:rsidR="00E33F65">
        <w:t>S</w:t>
      </w:r>
      <w:r>
        <w:t>trategies</w:t>
      </w:r>
      <w:bookmarkEnd w:id="218"/>
      <w:bookmarkEnd w:id="219"/>
    </w:p>
    <w:p w14:paraId="2E773AE5" w14:textId="56D1CBFB" w:rsidR="008E3F70" w:rsidRDefault="008E3F70" w:rsidP="004C79C1">
      <w:pPr>
        <w:spacing w:after="120" w:line="240" w:lineRule="auto"/>
        <w:jc w:val="both"/>
      </w:pPr>
      <w:r>
        <w:t xml:space="preserve">In addition to the general broad literature search as described in </w:t>
      </w:r>
      <w:r w:rsidR="005E1832">
        <w:t>s</w:t>
      </w:r>
      <w:r>
        <w:t xml:space="preserve">ection B </w:t>
      </w:r>
      <w:r w:rsidR="00106E1A">
        <w:t>(</w:t>
      </w:r>
      <w:r w:rsidRPr="002E728E">
        <w:t xml:space="preserve">page </w:t>
      </w:r>
      <w:r w:rsidRPr="002E728E">
        <w:fldChar w:fldCharType="begin"/>
      </w:r>
      <w:r w:rsidRPr="002E728E">
        <w:instrText xml:space="preserve"> PAGEREF _Ref445284746 \h </w:instrText>
      </w:r>
      <w:r w:rsidRPr="002E728E">
        <w:fldChar w:fldCharType="separate"/>
      </w:r>
      <w:r w:rsidR="002E728E">
        <w:rPr>
          <w:noProof/>
        </w:rPr>
        <w:t>72</w:t>
      </w:r>
      <w:r w:rsidRPr="002E728E">
        <w:fldChar w:fldCharType="end"/>
      </w:r>
      <w:r w:rsidR="00106E1A" w:rsidRPr="002E728E">
        <w:t>)</w:t>
      </w:r>
      <w:r w:rsidRPr="002E728E">
        <w:t>,</w:t>
      </w:r>
      <w:r>
        <w:t xml:space="preserve"> a separate search on diagnostic accuracy studies was conducted on </w:t>
      </w:r>
      <w:r w:rsidR="005F7925">
        <w:t>29</w:t>
      </w:r>
      <w:r w:rsidR="0072472E">
        <w:t xml:space="preserve"> February </w:t>
      </w:r>
      <w:r w:rsidR="005F7925">
        <w:t>2016</w:t>
      </w:r>
      <w:r>
        <w:t xml:space="preserve">. The search terms </w:t>
      </w:r>
      <w:r w:rsidR="0072472E">
        <w:t xml:space="preserve">used to search Embase and PubMed </w:t>
      </w:r>
      <w:r>
        <w:t xml:space="preserve">are shown in </w:t>
      </w:r>
      <w:r>
        <w:fldChar w:fldCharType="begin"/>
      </w:r>
      <w:r>
        <w:instrText xml:space="preserve"> REF _Ref445299599 \h </w:instrText>
      </w:r>
      <w:r w:rsidR="005F7925">
        <w:instrText xml:space="preserve"> \* MERGEFORMAT </w:instrText>
      </w:r>
      <w:r>
        <w:fldChar w:fldCharType="separate"/>
      </w:r>
      <w:r w:rsidR="00295952">
        <w:t xml:space="preserve">Table </w:t>
      </w:r>
      <w:r w:rsidR="00295952">
        <w:rPr>
          <w:noProof/>
        </w:rPr>
        <w:t>8</w:t>
      </w:r>
      <w:r>
        <w:fldChar w:fldCharType="end"/>
      </w:r>
      <w:r>
        <w:t xml:space="preserve">. </w:t>
      </w:r>
    </w:p>
    <w:p w14:paraId="56F6E1D5" w14:textId="0C6E6BC5" w:rsidR="008E3F70" w:rsidRDefault="008E3F70" w:rsidP="004C79C1">
      <w:pPr>
        <w:pStyle w:val="TableHeading"/>
        <w:spacing w:before="0" w:after="120"/>
      </w:pPr>
      <w:bookmarkStart w:id="220" w:name="_Ref445299599"/>
      <w:bookmarkStart w:id="221" w:name="_Ref445299595"/>
      <w:bookmarkStart w:id="222" w:name="_Toc324410125"/>
      <w:bookmarkStart w:id="223" w:name="_Toc451435335"/>
      <w:r>
        <w:t xml:space="preserve">Table </w:t>
      </w:r>
      <w:fldSimple w:instr=" SEQ Table \* ARABIC ">
        <w:r w:rsidR="00050936">
          <w:rPr>
            <w:noProof/>
          </w:rPr>
          <w:t>8</w:t>
        </w:r>
      </w:fldSimple>
      <w:bookmarkEnd w:id="220"/>
      <w:r>
        <w:t xml:space="preserve"> </w:t>
      </w:r>
      <w:r w:rsidR="00B41D5E">
        <w:tab/>
      </w:r>
      <w:r>
        <w:t>Search terms used in diagnostic accuracy search</w:t>
      </w:r>
      <w:bookmarkEnd w:id="221"/>
      <w:bookmarkEnd w:id="222"/>
      <w:bookmarkEnd w:id="22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provides the keywords and indexing terms used to search for literature in a specific bibliographic database."/>
      </w:tblPr>
      <w:tblGrid>
        <w:gridCol w:w="2518"/>
        <w:gridCol w:w="6503"/>
      </w:tblGrid>
      <w:tr w:rsidR="008E3F70" w:rsidRPr="00183E4D" w14:paraId="54312C8D" w14:textId="77777777" w:rsidTr="005B1F08">
        <w:trPr>
          <w:tblHeader/>
        </w:trPr>
        <w:tc>
          <w:tcPr>
            <w:tcW w:w="2518" w:type="dxa"/>
          </w:tcPr>
          <w:p w14:paraId="0D1AF3E0" w14:textId="77777777" w:rsidR="008E3F70" w:rsidRPr="00183E4D" w:rsidRDefault="008E3F70" w:rsidP="004C79C1">
            <w:pPr>
              <w:pStyle w:val="TableHeading"/>
              <w:spacing w:before="0" w:after="120"/>
            </w:pPr>
            <w:r w:rsidRPr="00183E4D">
              <w:t>Element of clinical question</w:t>
            </w:r>
          </w:p>
        </w:tc>
        <w:tc>
          <w:tcPr>
            <w:tcW w:w="6503" w:type="dxa"/>
          </w:tcPr>
          <w:p w14:paraId="5E0A822F" w14:textId="77777777" w:rsidR="008E3F70" w:rsidRPr="00183E4D" w:rsidRDefault="008E3F70" w:rsidP="004C79C1">
            <w:pPr>
              <w:pStyle w:val="TableHeading"/>
              <w:spacing w:before="0" w:after="120"/>
            </w:pPr>
            <w:r w:rsidRPr="00183E4D">
              <w:t>Search terms</w:t>
            </w:r>
          </w:p>
        </w:tc>
      </w:tr>
      <w:tr w:rsidR="008E3F70" w:rsidRPr="00183E4D" w14:paraId="2668AB27" w14:textId="77777777" w:rsidTr="005B1F08">
        <w:trPr>
          <w:trHeight w:val="456"/>
        </w:trPr>
        <w:tc>
          <w:tcPr>
            <w:tcW w:w="2518" w:type="dxa"/>
          </w:tcPr>
          <w:p w14:paraId="7D86F124" w14:textId="77777777" w:rsidR="008E3F70" w:rsidRPr="00183E4D" w:rsidRDefault="008E3F70" w:rsidP="004C79C1">
            <w:pPr>
              <w:pStyle w:val="Tabletext1"/>
              <w:spacing w:before="0" w:after="120"/>
            </w:pPr>
            <w:r w:rsidRPr="00183E4D">
              <w:t>Population</w:t>
            </w:r>
          </w:p>
        </w:tc>
        <w:tc>
          <w:tcPr>
            <w:tcW w:w="6503" w:type="dxa"/>
          </w:tcPr>
          <w:p w14:paraId="3CDDDCB4" w14:textId="267A051F" w:rsidR="008E3F70" w:rsidRPr="00183E4D" w:rsidRDefault="005F7925" w:rsidP="004C79C1">
            <w:pPr>
              <w:pStyle w:val="TableText0"/>
              <w:spacing w:before="0" w:after="120"/>
            </w:pPr>
            <w:r w:rsidRPr="005F7925">
              <w:t>("heart failure" OR dilated cardiomyopathy))</w:t>
            </w:r>
          </w:p>
        </w:tc>
      </w:tr>
      <w:tr w:rsidR="008E3F70" w:rsidRPr="00183E4D" w14:paraId="595C1969" w14:textId="77777777" w:rsidTr="005B1F08">
        <w:tc>
          <w:tcPr>
            <w:tcW w:w="2518" w:type="dxa"/>
          </w:tcPr>
          <w:p w14:paraId="187AAEC4" w14:textId="77777777" w:rsidR="008E3F70" w:rsidRPr="00183E4D" w:rsidRDefault="008E3F70" w:rsidP="004C79C1">
            <w:pPr>
              <w:pStyle w:val="Tabletext1"/>
              <w:spacing w:before="0" w:after="120"/>
            </w:pPr>
            <w:r w:rsidRPr="00183E4D">
              <w:t>Intervention</w:t>
            </w:r>
          </w:p>
        </w:tc>
        <w:tc>
          <w:tcPr>
            <w:tcW w:w="6503" w:type="dxa"/>
          </w:tcPr>
          <w:p w14:paraId="358F6680" w14:textId="7A54936A" w:rsidR="008E3F70" w:rsidRPr="00183E4D" w:rsidRDefault="005F7925" w:rsidP="004C79C1">
            <w:pPr>
              <w:pStyle w:val="TableText0"/>
              <w:spacing w:before="0" w:after="120"/>
            </w:pPr>
            <w:r w:rsidRPr="005F7925">
              <w:t>(((“Magnetic Resonance Angiography” [MeSH] OR “cardiac magnetic resonance” OR “cardiac MRI" OR “coronary magnetic resonance” OR “coronary MRI” OR CMR))</w:t>
            </w:r>
          </w:p>
        </w:tc>
      </w:tr>
      <w:tr w:rsidR="008E3F70" w:rsidRPr="00183E4D" w14:paraId="0B5B7B9E" w14:textId="77777777" w:rsidTr="005B1F08">
        <w:tc>
          <w:tcPr>
            <w:tcW w:w="2518" w:type="dxa"/>
          </w:tcPr>
          <w:p w14:paraId="3D47B3FA" w14:textId="77777777" w:rsidR="008E3F70" w:rsidRPr="00183E4D" w:rsidRDefault="008E3F70" w:rsidP="004C79C1">
            <w:pPr>
              <w:pStyle w:val="Tabletext1"/>
              <w:spacing w:before="0" w:after="120"/>
            </w:pPr>
            <w:r w:rsidRPr="00183E4D">
              <w:t>Comparator (if applicable)</w:t>
            </w:r>
          </w:p>
        </w:tc>
        <w:tc>
          <w:tcPr>
            <w:tcW w:w="6503" w:type="dxa"/>
          </w:tcPr>
          <w:p w14:paraId="02D047B4" w14:textId="77777777" w:rsidR="008E3F70" w:rsidRPr="00183E4D" w:rsidRDefault="008E3F70" w:rsidP="004C79C1">
            <w:pPr>
              <w:pStyle w:val="TableText0"/>
              <w:spacing w:before="0" w:after="120"/>
            </w:pPr>
            <w:r>
              <w:t>-</w:t>
            </w:r>
          </w:p>
        </w:tc>
      </w:tr>
      <w:tr w:rsidR="008E3F70" w:rsidRPr="00183E4D" w14:paraId="60EFC95C" w14:textId="77777777" w:rsidTr="005B1F08">
        <w:tc>
          <w:tcPr>
            <w:tcW w:w="2518" w:type="dxa"/>
          </w:tcPr>
          <w:p w14:paraId="4FA20ADB" w14:textId="77777777" w:rsidR="008E3F70" w:rsidRPr="00183E4D" w:rsidRDefault="008E3F70" w:rsidP="004C79C1">
            <w:pPr>
              <w:pStyle w:val="Tabletext1"/>
              <w:spacing w:before="0" w:after="120"/>
            </w:pPr>
            <w:r w:rsidRPr="00183E4D">
              <w:t>Outcomes (if applicable)</w:t>
            </w:r>
          </w:p>
        </w:tc>
        <w:tc>
          <w:tcPr>
            <w:tcW w:w="6503" w:type="dxa"/>
          </w:tcPr>
          <w:p w14:paraId="168755B5" w14:textId="434D5701" w:rsidR="008E3F70" w:rsidRPr="00183E4D" w:rsidRDefault="005F7925" w:rsidP="004C79C1">
            <w:pPr>
              <w:pStyle w:val="TableText0"/>
              <w:spacing w:before="0" w:after="120"/>
            </w:pPr>
            <w:r w:rsidRPr="005F7925">
              <w:t>(accuracy OR sensitivity OR specificity OR positive predictive value OR false positive OR false negative)</w:t>
            </w:r>
          </w:p>
        </w:tc>
      </w:tr>
      <w:tr w:rsidR="008E3F70" w:rsidRPr="00183E4D" w14:paraId="725B31EE" w14:textId="77777777" w:rsidTr="005B1F08">
        <w:tc>
          <w:tcPr>
            <w:tcW w:w="2518" w:type="dxa"/>
          </w:tcPr>
          <w:p w14:paraId="6A0CA8A2" w14:textId="77777777" w:rsidR="008E3F70" w:rsidRPr="00183E4D" w:rsidRDefault="008E3F70" w:rsidP="004C79C1">
            <w:pPr>
              <w:pStyle w:val="Tabletext1"/>
              <w:spacing w:before="0" w:after="120"/>
            </w:pPr>
            <w:r w:rsidRPr="00183E4D">
              <w:t>Limits</w:t>
            </w:r>
          </w:p>
        </w:tc>
        <w:tc>
          <w:tcPr>
            <w:tcW w:w="6503" w:type="dxa"/>
          </w:tcPr>
          <w:p w14:paraId="02AE435E" w14:textId="77777777" w:rsidR="008E3F70" w:rsidRPr="00183E4D" w:rsidRDefault="008E3F70" w:rsidP="004C79C1">
            <w:pPr>
              <w:pStyle w:val="Tabletext1"/>
              <w:spacing w:before="0" w:after="120"/>
            </w:pPr>
            <w:r>
              <w:t>-</w:t>
            </w:r>
          </w:p>
        </w:tc>
      </w:tr>
    </w:tbl>
    <w:p w14:paraId="2F976DED" w14:textId="77777777" w:rsidR="008E3F70" w:rsidRDefault="008E3F70" w:rsidP="004C79C1">
      <w:pPr>
        <w:pStyle w:val="Tablenotes0"/>
        <w:spacing w:before="0" w:after="120"/>
      </w:pPr>
      <w:r w:rsidRPr="007A37F3">
        <w:t>MeSH = Medical Subject Heading, based on a Medline/PubMed platform</w:t>
      </w:r>
    </w:p>
    <w:p w14:paraId="2C416390" w14:textId="12A10CC1" w:rsidR="00867D8C" w:rsidRDefault="00867D8C" w:rsidP="004C79C1">
      <w:pPr>
        <w:spacing w:after="120" w:line="240" w:lineRule="auto"/>
        <w:jc w:val="both"/>
        <w:rPr>
          <w:rFonts w:cs="Times New Roman"/>
          <w:color w:val="1F497D"/>
        </w:rPr>
      </w:pPr>
      <w:r>
        <w:t xml:space="preserve">Due to the lack of comparative diagnostic performance data, a second separate search was conducted in PubMed, the Cochrane Library and PubMed Health, with the aim of identifying </w:t>
      </w:r>
      <w:r w:rsidR="00F373FA">
        <w:t>SR</w:t>
      </w:r>
      <w:r>
        <w:t>s on the diagnostic accuracy of comparator tests and conducting an indirect comparison. The search terms used were</w:t>
      </w:r>
      <w:r w:rsidRPr="00867D8C">
        <w:t xml:space="preserve"> </w:t>
      </w:r>
      <w:r w:rsidR="00165F97">
        <w:t>“</w:t>
      </w:r>
      <w:r w:rsidRPr="00867D8C">
        <w:t>Diagnos*</w:t>
      </w:r>
      <w:r w:rsidR="00165F97">
        <w:t>”</w:t>
      </w:r>
      <w:r>
        <w:t xml:space="preserve">, </w:t>
      </w:r>
      <w:r w:rsidR="00165F97">
        <w:t>“</w:t>
      </w:r>
      <w:r>
        <w:t>cardiomyopathy</w:t>
      </w:r>
      <w:r w:rsidR="00165F97">
        <w:t>” and</w:t>
      </w:r>
      <w:r>
        <w:t xml:space="preserve"> </w:t>
      </w:r>
      <w:r w:rsidR="00165F97">
        <w:t>“</w:t>
      </w:r>
      <w:r>
        <w:t>heart failure</w:t>
      </w:r>
      <w:r w:rsidR="00165F97">
        <w:t>”</w:t>
      </w:r>
      <w:r>
        <w:t xml:space="preserve">. The search terms were kept broad as searching for the intervention yielded no results. The limits applied to the search were </w:t>
      </w:r>
      <w:r w:rsidR="003C3045">
        <w:t>“s</w:t>
      </w:r>
      <w:r w:rsidRPr="00867D8C">
        <w:t>ystematic reviews</w:t>
      </w:r>
      <w:r w:rsidR="003C3045">
        <w:t>”</w:t>
      </w:r>
      <w:r w:rsidRPr="00867D8C">
        <w:t xml:space="preserve">, </w:t>
      </w:r>
      <w:r w:rsidR="003C3045">
        <w:t>“</w:t>
      </w:r>
      <w:r w:rsidRPr="00867D8C">
        <w:t>meta analyses</w:t>
      </w:r>
      <w:r w:rsidR="003C3045">
        <w:t>” and</w:t>
      </w:r>
      <w:r w:rsidRPr="00867D8C">
        <w:t xml:space="preserve"> </w:t>
      </w:r>
      <w:r w:rsidR="003C3045">
        <w:t>“</w:t>
      </w:r>
      <w:r w:rsidRPr="00867D8C">
        <w:t>clinical guidelines</w:t>
      </w:r>
      <w:r w:rsidR="003C3045">
        <w:t>”</w:t>
      </w:r>
      <w:r>
        <w:t>.</w:t>
      </w:r>
    </w:p>
    <w:p w14:paraId="3F5376AE" w14:textId="79B9D9F3" w:rsidR="0050644D" w:rsidRPr="00183E4D" w:rsidRDefault="001E7C22" w:rsidP="00161B88">
      <w:pPr>
        <w:pStyle w:val="Heading3"/>
      </w:pPr>
      <w:bookmarkStart w:id="224" w:name="_Toc451501306"/>
      <w:r>
        <w:lastRenderedPageBreak/>
        <w:t xml:space="preserve">B3.2.1 </w:t>
      </w:r>
      <w:r w:rsidR="0050644D" w:rsidRPr="00183E4D">
        <w:t xml:space="preserve">Results of </w:t>
      </w:r>
      <w:r w:rsidR="00722905">
        <w:t>l</w:t>
      </w:r>
      <w:r w:rsidR="0050644D" w:rsidRPr="00183E4D">
        <w:t xml:space="preserve">iterature </w:t>
      </w:r>
      <w:r w:rsidR="00722905">
        <w:t>s</w:t>
      </w:r>
      <w:r w:rsidR="0050644D" w:rsidRPr="00183E4D">
        <w:t>earch</w:t>
      </w:r>
      <w:bookmarkEnd w:id="224"/>
    </w:p>
    <w:p w14:paraId="7FFCD6BC" w14:textId="71AD42B4" w:rsidR="0050644D" w:rsidRPr="00183E4D" w:rsidRDefault="008E3F70" w:rsidP="004C79C1">
      <w:pPr>
        <w:spacing w:after="120" w:line="240" w:lineRule="auto"/>
        <w:jc w:val="both"/>
      </w:pPr>
      <w:r>
        <w:t xml:space="preserve">A PRISMA </w:t>
      </w:r>
      <w:r w:rsidRPr="002E728E">
        <w:t>flowchart (</w:t>
      </w:r>
      <w:r w:rsidR="002E728E">
        <w:fldChar w:fldCharType="begin"/>
      </w:r>
      <w:r w:rsidR="002E728E">
        <w:instrText xml:space="preserve"> REF _Ref451420734 \h </w:instrText>
      </w:r>
      <w:r w:rsidR="002E728E">
        <w:fldChar w:fldCharType="separate"/>
      </w:r>
      <w:r w:rsidR="002E728E">
        <w:t xml:space="preserve">Figure </w:t>
      </w:r>
      <w:r w:rsidR="002E728E">
        <w:rPr>
          <w:noProof/>
        </w:rPr>
        <w:t>5</w:t>
      </w:r>
      <w:r w:rsidR="002E728E">
        <w:fldChar w:fldCharType="end"/>
      </w:r>
      <w:r w:rsidR="002E728E">
        <w:t>)</w:t>
      </w:r>
      <w:r w:rsidR="0050644D" w:rsidRPr="002E728E">
        <w:t xml:space="preserve"> provides a</w:t>
      </w:r>
      <w:r w:rsidR="0050644D" w:rsidRPr="00183E4D">
        <w:t xml:space="preserve"> graphic depiction of the results of the literature search and the application of the study selection criteria (listed in </w:t>
      </w:r>
      <w:r w:rsidR="00076FC8">
        <w:t>section A9</w:t>
      </w:r>
      <w:r w:rsidR="0050644D" w:rsidRPr="00183E4D">
        <w:t>)</w:t>
      </w:r>
      <w:r>
        <w:t xml:space="preserve"> (Liberati et al. 2009). </w:t>
      </w:r>
    </w:p>
    <w:p w14:paraId="21C6EF39" w14:textId="4E8C7E66" w:rsidR="0050644D" w:rsidRPr="00183E4D" w:rsidRDefault="00AD5D95" w:rsidP="004C79C1">
      <w:pPr>
        <w:spacing w:after="120" w:line="240" w:lineRule="auto"/>
        <w:jc w:val="both"/>
      </w:pPr>
      <w:r>
        <w:rPr>
          <w:noProof/>
        </w:rPr>
        <w:drawing>
          <wp:inline distT="0" distB="0" distL="0" distR="0" wp14:anchorId="7ED9F3E8" wp14:editId="693B4BD1">
            <wp:extent cx="5553937" cy="5054022"/>
            <wp:effectExtent l="0" t="0" r="8890" b="0"/>
            <wp:docPr id="8" name="Picture 8" descr="Summary of the process used to identify and select studies for the assessment of diagnostic performance of CMR for patients suspected of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 included studies DA.png"/>
                    <pic:cNvPicPr/>
                  </pic:nvPicPr>
                  <pic:blipFill>
                    <a:blip r:embed="rId24">
                      <a:extLst>
                        <a:ext uri="{28A0092B-C50C-407E-A947-70E740481C1C}">
                          <a14:useLocalDpi xmlns:a14="http://schemas.microsoft.com/office/drawing/2010/main" val="0"/>
                        </a:ext>
                      </a:extLst>
                    </a:blip>
                    <a:stretch>
                      <a:fillRect/>
                    </a:stretch>
                  </pic:blipFill>
                  <pic:spPr>
                    <a:xfrm>
                      <a:off x="0" y="0"/>
                      <a:ext cx="5553937" cy="5054022"/>
                    </a:xfrm>
                    <a:prstGeom prst="rect">
                      <a:avLst/>
                    </a:prstGeom>
                  </pic:spPr>
                </pic:pic>
              </a:graphicData>
            </a:graphic>
          </wp:inline>
        </w:drawing>
      </w:r>
    </w:p>
    <w:p w14:paraId="67D41A2C" w14:textId="13164AA1" w:rsidR="0050644D" w:rsidRPr="0072472E" w:rsidRDefault="003F1524" w:rsidP="004C79C1">
      <w:pPr>
        <w:pStyle w:val="Caption"/>
      </w:pPr>
      <w:bookmarkStart w:id="225" w:name="_Ref451420734"/>
      <w:bookmarkStart w:id="226" w:name="_Toc451435451"/>
      <w:bookmarkStart w:id="227" w:name="_Ref445299696"/>
      <w:bookmarkStart w:id="228" w:name="_Toc324410126"/>
      <w:r>
        <w:t xml:space="preserve">Figure </w:t>
      </w:r>
      <w:fldSimple w:instr=" SEQ Figure \* ARABIC ">
        <w:r w:rsidR="00050936">
          <w:rPr>
            <w:noProof/>
          </w:rPr>
          <w:t>5</w:t>
        </w:r>
      </w:fldSimple>
      <w:bookmarkEnd w:id="225"/>
      <w:r>
        <w:t xml:space="preserve"> </w:t>
      </w:r>
      <w:r>
        <w:tab/>
      </w:r>
      <w:r w:rsidRPr="00C71BBA">
        <w:t>Summary of the process used to identify and select studies for the assessment of diagnostic performance of CMR for patients suspected of DCM</w:t>
      </w:r>
      <w:bookmarkEnd w:id="226"/>
      <w:r w:rsidR="0050644D" w:rsidRPr="0072472E">
        <w:t xml:space="preserve"> </w:t>
      </w:r>
      <w:r w:rsidR="0050644D" w:rsidRPr="0072472E">
        <w:tab/>
      </w:r>
      <w:bookmarkEnd w:id="227"/>
      <w:bookmarkEnd w:id="228"/>
    </w:p>
    <w:p w14:paraId="6E68BCAA" w14:textId="100F3232" w:rsidR="0072472E" w:rsidRPr="0072472E" w:rsidRDefault="007D424D" w:rsidP="004C79C1">
      <w:pPr>
        <w:pStyle w:val="Tablenotes0"/>
        <w:spacing w:before="0" w:after="120"/>
      </w:pPr>
      <w:r w:rsidRPr="00423B4F">
        <w:t xml:space="preserve">CMR = </w:t>
      </w:r>
      <w:r w:rsidR="00423B4F" w:rsidRPr="00EE0A0B">
        <w:t xml:space="preserve">cardiac magnetic resonance </w:t>
      </w:r>
      <w:r w:rsidR="000728E6">
        <w:t>(</w:t>
      </w:r>
      <w:r w:rsidR="00423B4F" w:rsidRPr="00EE0A0B">
        <w:t>imaging</w:t>
      </w:r>
      <w:r w:rsidR="000728E6">
        <w:t>)</w:t>
      </w:r>
      <w:r w:rsidRPr="00423B4F">
        <w:t xml:space="preserve">; DCM = </w:t>
      </w:r>
      <w:r w:rsidR="00423B4F" w:rsidRPr="00EE0A0B">
        <w:t>dilated cardiomyopathy</w:t>
      </w:r>
    </w:p>
    <w:p w14:paraId="7440E1D9" w14:textId="172049BB" w:rsidR="0050644D" w:rsidRDefault="0050644D" w:rsidP="004C79C1">
      <w:pPr>
        <w:spacing w:after="120" w:line="240" w:lineRule="auto"/>
        <w:jc w:val="both"/>
      </w:pPr>
      <w:r w:rsidRPr="00183E4D">
        <w:t xml:space="preserve">A summary </w:t>
      </w:r>
      <w:r>
        <w:t xml:space="preserve">of the characteristics of accuracy studies is shown in </w:t>
      </w:r>
      <w:r w:rsidRPr="00F710F9">
        <w:fldChar w:fldCharType="begin"/>
      </w:r>
      <w:r w:rsidRPr="00F710F9">
        <w:instrText xml:space="preserve"> REF _Ref418589267 \h </w:instrText>
      </w:r>
      <w:r w:rsidR="0066456E" w:rsidRPr="00F710F9">
        <w:instrText xml:space="preserve"> \* MERGEFORMAT </w:instrText>
      </w:r>
      <w:r w:rsidRPr="00F710F9">
        <w:fldChar w:fldCharType="separate"/>
      </w:r>
      <w:r w:rsidR="003F1524" w:rsidRPr="00F710F9">
        <w:t xml:space="preserve">Table </w:t>
      </w:r>
      <w:r w:rsidR="003F1524">
        <w:t>7</w:t>
      </w:r>
      <w:r w:rsidRPr="00F710F9">
        <w:fldChar w:fldCharType="end"/>
      </w:r>
      <w:r>
        <w:t>.</w:t>
      </w:r>
      <w:r w:rsidRPr="006752AD">
        <w:t xml:space="preserve"> </w:t>
      </w:r>
      <w:r w:rsidRPr="00183E4D">
        <w:t xml:space="preserve">A </w:t>
      </w:r>
      <w:r>
        <w:t xml:space="preserve">full </w:t>
      </w:r>
      <w:r w:rsidRPr="00183E4D">
        <w:t xml:space="preserve">profile of each included study is given in </w:t>
      </w:r>
      <w:r w:rsidRPr="00B97D3B">
        <w:fldChar w:fldCharType="begin"/>
      </w:r>
      <w:r w:rsidRPr="00B97D3B">
        <w:instrText xml:space="preserve"> REF _Ref364237249 \h  \* MERGEFORMAT </w:instrText>
      </w:r>
      <w:r w:rsidRPr="00B97D3B">
        <w:fldChar w:fldCharType="separate"/>
      </w:r>
      <w:r w:rsidR="00460601" w:rsidRPr="00183E4D">
        <w:t xml:space="preserve">Appendix </w:t>
      </w:r>
      <w:r w:rsidR="00460601">
        <w:t>C</w:t>
      </w:r>
      <w:r w:rsidRPr="00B97D3B">
        <w:fldChar w:fldCharType="end"/>
      </w:r>
      <w:r w:rsidRPr="00183E4D">
        <w:t xml:space="preserve">. </w:t>
      </w:r>
      <w:r>
        <w:t xml:space="preserve">Those studies </w:t>
      </w:r>
      <w:r w:rsidR="000F190B">
        <w:t xml:space="preserve">that </w:t>
      </w:r>
      <w:r>
        <w:t xml:space="preserve">technically met the inclusion criteria but were not included in the results section or meta-analyses are listed in </w:t>
      </w:r>
      <w:r>
        <w:fldChar w:fldCharType="begin"/>
      </w:r>
      <w:r>
        <w:instrText xml:space="preserve"> REF _Ref364237293 \h </w:instrText>
      </w:r>
      <w:r w:rsidR="0066456E">
        <w:instrText xml:space="preserve"> \* MERGEFORMAT </w:instrText>
      </w:r>
      <w:r>
        <w:fldChar w:fldCharType="separate"/>
      </w:r>
      <w:r w:rsidR="00460601" w:rsidRPr="00183E4D">
        <w:t xml:space="preserve">Appendix </w:t>
      </w:r>
      <w:r w:rsidR="00460601">
        <w:rPr>
          <w:noProof/>
        </w:rPr>
        <w:t>E</w:t>
      </w:r>
      <w:r>
        <w:fldChar w:fldCharType="end"/>
      </w:r>
      <w:r>
        <w:t>.</w:t>
      </w:r>
    </w:p>
    <w:p w14:paraId="64E75C13" w14:textId="652EC004" w:rsidR="00F710F9" w:rsidRDefault="00F710F9" w:rsidP="004C79C1">
      <w:pPr>
        <w:spacing w:after="120" w:line="240" w:lineRule="auto"/>
        <w:jc w:val="both"/>
      </w:pPr>
      <w:r>
        <w:t>No studies were identified that compared the diagnostic performance of LGE-CMR with other comparator tests in asymptomatic individuals with a family history of DCM.</w:t>
      </w:r>
      <w:r w:rsidR="00867D8C">
        <w:t xml:space="preserve"> Furthermore, no </w:t>
      </w:r>
      <w:r w:rsidR="00F373FA">
        <w:t>SR</w:t>
      </w:r>
      <w:r w:rsidR="005F7B5A">
        <w:t>s, meta-</w:t>
      </w:r>
      <w:r w:rsidR="00867D8C">
        <w:t>analyses or clinical guidelines were identified to allow for an indirect comparison of the selected comparators with LGE-CMR.</w:t>
      </w:r>
    </w:p>
    <w:p w14:paraId="3C7877B5" w14:textId="755E12CB" w:rsidR="00D17E79" w:rsidRPr="00183E4D" w:rsidRDefault="00590AD0" w:rsidP="004C79C1">
      <w:pPr>
        <w:spacing w:after="120" w:line="240" w:lineRule="auto"/>
        <w:jc w:val="both"/>
      </w:pPr>
      <w:r>
        <w:t xml:space="preserve">Twelve </w:t>
      </w:r>
      <w:r w:rsidR="00D17E79">
        <w:t xml:space="preserve">studies </w:t>
      </w:r>
      <w:r w:rsidR="0072472E">
        <w:t>met</w:t>
      </w:r>
      <w:r w:rsidR="00D17E79">
        <w:t xml:space="preserve"> the inclusion criteria for diagnostic performance</w:t>
      </w:r>
      <w:r w:rsidR="00F710F9">
        <w:t xml:space="preserve"> (in patients with HF / suspected of DCM)</w:t>
      </w:r>
      <w:r w:rsidR="00D17E79">
        <w:t>.</w:t>
      </w:r>
      <w:r w:rsidR="00C53CD0">
        <w:t xml:space="preserve"> Coronary angiography, ‘</w:t>
      </w:r>
      <w:r w:rsidR="00032C1A">
        <w:t>available diagnostic data</w:t>
      </w:r>
      <w:r w:rsidR="00076FC8">
        <w:t xml:space="preserve">’ and </w:t>
      </w:r>
      <w:r w:rsidR="009A6E26">
        <w:t>EMB</w:t>
      </w:r>
      <w:r w:rsidR="00076FC8">
        <w:t xml:space="preserve"> were</w:t>
      </w:r>
      <w:r w:rsidR="00C53CD0">
        <w:t xml:space="preserve"> used as the reference standard</w:t>
      </w:r>
      <w:r w:rsidR="00076FC8">
        <w:t>s</w:t>
      </w:r>
      <w:r w:rsidR="00C169CF">
        <w:t xml:space="preserve"> in 6, 3</w:t>
      </w:r>
      <w:r w:rsidR="00C53CD0">
        <w:t xml:space="preserve"> and </w:t>
      </w:r>
      <w:r w:rsidR="00C169CF">
        <w:t>3</w:t>
      </w:r>
      <w:r w:rsidR="00C53CD0">
        <w:t xml:space="preserve"> studies, respectively, with CMR as the index test. </w:t>
      </w:r>
      <w:r w:rsidR="009B51D7">
        <w:t>Of the studies with ‘</w:t>
      </w:r>
      <w:r w:rsidR="00032C1A">
        <w:t>available diagnostic data</w:t>
      </w:r>
      <w:r w:rsidR="009B51D7">
        <w:t xml:space="preserve">’ as the reference standard, </w:t>
      </w:r>
      <w:r w:rsidR="000C2C95">
        <w:t xml:space="preserve">1 </w:t>
      </w:r>
      <w:r w:rsidR="009B51D7">
        <w:t xml:space="preserve">study </w:t>
      </w:r>
      <w:r w:rsidR="005B67DB">
        <w:t xml:space="preserve">included </w:t>
      </w:r>
      <w:r w:rsidR="009A6E26">
        <w:t>EMB</w:t>
      </w:r>
      <w:r w:rsidR="009B51D7">
        <w:t xml:space="preserve"> as a comparator to </w:t>
      </w:r>
      <w:r w:rsidR="00487EF4">
        <w:t xml:space="preserve">CMR </w:t>
      </w:r>
      <w:r w:rsidR="00187A29">
        <w:lastRenderedPageBreak/>
        <w:fldChar w:fldCharType="begin"/>
      </w:r>
      <w:r w:rsidR="00187A29">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rsidR="00187A29">
        <w:fldChar w:fldCharType="separate"/>
      </w:r>
      <w:r w:rsidR="00187A29">
        <w:rPr>
          <w:noProof/>
        </w:rPr>
        <w:t>(</w:t>
      </w:r>
      <w:hyperlink w:anchor="_ENREF_143" w:tooltip="Yoshida, 2013 #18" w:history="1">
        <w:r w:rsidR="00B906E9">
          <w:rPr>
            <w:noProof/>
          </w:rPr>
          <w:t>Yoshida, Ishibashi-Ueda et al. 2013</w:t>
        </w:r>
      </w:hyperlink>
      <w:r w:rsidR="00187A29">
        <w:rPr>
          <w:noProof/>
        </w:rPr>
        <w:t>)</w:t>
      </w:r>
      <w:r w:rsidR="00187A29">
        <w:fldChar w:fldCharType="end"/>
      </w:r>
      <w:r w:rsidR="00487EF4">
        <w:t>,</w:t>
      </w:r>
      <w:r w:rsidR="009B51D7">
        <w:t xml:space="preserve"> </w:t>
      </w:r>
      <w:r w:rsidR="00B769B3">
        <w:t xml:space="preserve">and </w:t>
      </w:r>
      <w:r w:rsidR="000C2C95">
        <w:t xml:space="preserve">2 </w:t>
      </w:r>
      <w:r w:rsidR="00B769B3">
        <w:t>studies</w:t>
      </w:r>
      <w:r w:rsidR="009B51D7">
        <w:t xml:space="preserve"> </w:t>
      </w:r>
      <w:r w:rsidR="005B67DB">
        <w:t xml:space="preserve">included </w:t>
      </w:r>
      <w:r w:rsidR="009B51D7">
        <w:t>ICA as a comparator to CMR</w:t>
      </w:r>
      <w:r w:rsidR="00B769B3">
        <w:t xml:space="preserve"> </w:t>
      </w:r>
      <w:r w:rsidR="00992437">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992437">
        <w:instrText xml:space="preserve"> ADDIN EN.CITE </w:instrText>
      </w:r>
      <w:r w:rsidR="00992437">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992437">
        <w:instrText xml:space="preserve"> ADDIN EN.CITE.DATA </w:instrText>
      </w:r>
      <w:r w:rsidR="00992437">
        <w:fldChar w:fldCharType="end"/>
      </w:r>
      <w:r w:rsidR="00992437">
        <w:fldChar w:fldCharType="separate"/>
      </w:r>
      <w:r w:rsidR="00992437">
        <w:rPr>
          <w:noProof/>
        </w:rPr>
        <w:t>(</w:t>
      </w:r>
      <w:hyperlink w:anchor="_ENREF_8" w:tooltip="Assomull, 2011 #6" w:history="1">
        <w:r w:rsidR="00B906E9">
          <w:rPr>
            <w:noProof/>
          </w:rPr>
          <w:t>Assomull et al. 2011</w:t>
        </w:r>
      </w:hyperlink>
      <w:r w:rsidR="00992437">
        <w:rPr>
          <w:noProof/>
        </w:rPr>
        <w:t xml:space="preserve">; </w:t>
      </w:r>
      <w:hyperlink w:anchor="_ENREF_31" w:tooltip="de Melo, 2013 #3" w:history="1">
        <w:r w:rsidR="00B906E9">
          <w:rPr>
            <w:noProof/>
          </w:rPr>
          <w:t>de Melo et al. 2013</w:t>
        </w:r>
      </w:hyperlink>
      <w:r w:rsidR="00992437">
        <w:rPr>
          <w:noProof/>
        </w:rPr>
        <w:t>)</w:t>
      </w:r>
      <w:r w:rsidR="00992437">
        <w:fldChar w:fldCharType="end"/>
      </w:r>
      <w:r w:rsidR="009B51D7">
        <w:t xml:space="preserve">. CTCA was included as a comparator </w:t>
      </w:r>
      <w:r w:rsidR="00626D1B">
        <w:t xml:space="preserve">with </w:t>
      </w:r>
      <w:r w:rsidR="005B67DB">
        <w:t xml:space="preserve">CMR </w:t>
      </w:r>
      <w:r w:rsidR="009B51D7">
        <w:t xml:space="preserve">in </w:t>
      </w:r>
      <w:r w:rsidR="005B67DB">
        <w:t>a</w:t>
      </w:r>
      <w:r w:rsidR="009B51D7">
        <w:t xml:space="preserve"> study</w:t>
      </w:r>
      <w:r w:rsidR="005B67DB">
        <w:t xml:space="preserve"> </w:t>
      </w:r>
      <w:r w:rsidR="00626D1B">
        <w:t xml:space="preserve">that </w:t>
      </w:r>
      <w:r w:rsidR="005B67DB">
        <w:t>used</w:t>
      </w:r>
      <w:r w:rsidR="009B51D7">
        <w:t xml:space="preserve"> ICA as the reference standard </w:t>
      </w:r>
      <w:r w:rsidR="00187A29">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rsidR="00187A29">
        <w:instrText xml:space="preserve"> ADDIN EN.CITE </w:instrText>
      </w:r>
      <w:r w:rsidR="00187A29">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rsidR="00187A29">
        <w:instrText xml:space="preserve"> ADDIN EN.CITE.DATA </w:instrText>
      </w:r>
      <w:r w:rsidR="00187A29">
        <w:fldChar w:fldCharType="end"/>
      </w:r>
      <w:r w:rsidR="00187A29">
        <w:fldChar w:fldCharType="separate"/>
      </w:r>
      <w:r w:rsidR="00187A29">
        <w:rPr>
          <w:noProof/>
        </w:rPr>
        <w:t>(</w:t>
      </w:r>
      <w:hyperlink w:anchor="_ENREF_49" w:tooltip="Hamilton-Craig, 2012 #8" w:history="1">
        <w:r w:rsidR="00B906E9">
          <w:rPr>
            <w:noProof/>
          </w:rPr>
          <w:t>Hamilton-Craig et al. 2012</w:t>
        </w:r>
      </w:hyperlink>
      <w:r w:rsidR="00187A29">
        <w:rPr>
          <w:noProof/>
        </w:rPr>
        <w:t>)</w:t>
      </w:r>
      <w:r w:rsidR="00187A29">
        <w:fldChar w:fldCharType="end"/>
      </w:r>
      <w:r w:rsidR="009B51D7">
        <w:t xml:space="preserve">. </w:t>
      </w:r>
      <w:r w:rsidR="00CE54BD">
        <w:t>The key outcomes in all studies were sensitivity and specificity.</w:t>
      </w:r>
    </w:p>
    <w:p w14:paraId="78253358" w14:textId="5939BD4E" w:rsidR="0050644D" w:rsidRPr="00183E4D" w:rsidRDefault="0050644D" w:rsidP="004C79C1">
      <w:pPr>
        <w:pStyle w:val="Caption"/>
        <w:keepNext/>
      </w:pPr>
      <w:bookmarkStart w:id="229" w:name="_Ref418589267"/>
      <w:bookmarkStart w:id="230" w:name="_Ref418589262"/>
      <w:bookmarkStart w:id="231" w:name="_Toc324410127"/>
      <w:bookmarkStart w:id="232" w:name="_Toc451435336"/>
      <w:r w:rsidRPr="00F710F9">
        <w:t xml:space="preserve">Table </w:t>
      </w:r>
      <w:fldSimple w:instr=" SEQ Table \* ARABIC ">
        <w:r w:rsidR="00050936">
          <w:rPr>
            <w:noProof/>
          </w:rPr>
          <w:t>9</w:t>
        </w:r>
      </w:fldSimple>
      <w:bookmarkEnd w:id="229"/>
      <w:r w:rsidRPr="00F710F9">
        <w:tab/>
        <w:t xml:space="preserve">Key features of the included evidence </w:t>
      </w:r>
      <w:bookmarkEnd w:id="230"/>
      <w:r w:rsidR="0061639C" w:rsidRPr="00F710F9">
        <w:t>o</w:t>
      </w:r>
      <w:r w:rsidR="00CE54BD" w:rsidRPr="00F710F9">
        <w:t xml:space="preserve">f </w:t>
      </w:r>
      <w:r w:rsidR="00CD7790" w:rsidRPr="00F710F9">
        <w:t>diagnostic accuracy of LGE-CMR</w:t>
      </w:r>
      <w:bookmarkEnd w:id="231"/>
      <w:bookmarkEnd w:id="232"/>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995"/>
        <w:gridCol w:w="429"/>
        <w:gridCol w:w="855"/>
        <w:gridCol w:w="714"/>
        <w:gridCol w:w="1856"/>
        <w:gridCol w:w="2857"/>
        <w:gridCol w:w="1427"/>
      </w:tblGrid>
      <w:tr w:rsidR="00EE2FCB" w:rsidRPr="00183E4D" w14:paraId="185660CA" w14:textId="77777777" w:rsidTr="005B67DB">
        <w:trPr>
          <w:tblHeader/>
        </w:trPr>
        <w:tc>
          <w:tcPr>
            <w:tcW w:w="544" w:type="pct"/>
            <w:shd w:val="clear" w:color="auto" w:fill="auto"/>
            <w:vAlign w:val="center"/>
          </w:tcPr>
          <w:p w14:paraId="462FBE5D" w14:textId="77777777" w:rsidR="00CE54BD" w:rsidRPr="00183E4D" w:rsidRDefault="00CE54BD" w:rsidP="004C79C1">
            <w:pPr>
              <w:pStyle w:val="TableHeading"/>
              <w:spacing w:before="0" w:after="120"/>
              <w:ind w:left="0" w:firstLine="0"/>
              <w:rPr>
                <w:snapToGrid w:val="0"/>
                <w:lang w:eastAsia="en-US"/>
              </w:rPr>
            </w:pPr>
            <w:r w:rsidRPr="00183E4D">
              <w:rPr>
                <w:snapToGrid w:val="0"/>
                <w:lang w:eastAsia="en-US"/>
              </w:rPr>
              <w:t>Trial/Study</w:t>
            </w:r>
          </w:p>
        </w:tc>
        <w:tc>
          <w:tcPr>
            <w:tcW w:w="235" w:type="pct"/>
            <w:shd w:val="clear" w:color="auto" w:fill="auto"/>
            <w:vAlign w:val="center"/>
          </w:tcPr>
          <w:p w14:paraId="30A6D851" w14:textId="77777777" w:rsidR="00CE54BD" w:rsidRPr="00183E4D" w:rsidRDefault="00CE54BD" w:rsidP="004C79C1">
            <w:pPr>
              <w:pStyle w:val="TableHeading"/>
              <w:spacing w:before="0" w:after="120"/>
              <w:ind w:left="0" w:firstLine="0"/>
              <w:jc w:val="center"/>
              <w:rPr>
                <w:snapToGrid w:val="0"/>
                <w:lang w:eastAsia="en-US"/>
              </w:rPr>
            </w:pPr>
            <w:r w:rsidRPr="00183E4D">
              <w:rPr>
                <w:snapToGrid w:val="0"/>
                <w:lang w:eastAsia="en-US"/>
              </w:rPr>
              <w:t>N</w:t>
            </w:r>
          </w:p>
        </w:tc>
        <w:tc>
          <w:tcPr>
            <w:tcW w:w="468" w:type="pct"/>
            <w:shd w:val="clear" w:color="auto" w:fill="auto"/>
            <w:vAlign w:val="center"/>
          </w:tcPr>
          <w:p w14:paraId="0BC56FCC" w14:textId="77777777" w:rsidR="00CE54BD" w:rsidRPr="00183E4D" w:rsidRDefault="00CE54BD" w:rsidP="004C79C1">
            <w:pPr>
              <w:pStyle w:val="TableHeading"/>
              <w:spacing w:before="0" w:after="120"/>
              <w:ind w:left="0" w:firstLine="0"/>
              <w:jc w:val="center"/>
              <w:rPr>
                <w:snapToGrid w:val="0"/>
                <w:lang w:eastAsia="en-US"/>
              </w:rPr>
            </w:pPr>
            <w:r>
              <w:rPr>
                <w:snapToGrid w:val="0"/>
                <w:lang w:eastAsia="en-US"/>
              </w:rPr>
              <w:t>Level of evidence</w:t>
            </w:r>
          </w:p>
        </w:tc>
        <w:tc>
          <w:tcPr>
            <w:tcW w:w="391" w:type="pct"/>
            <w:shd w:val="clear" w:color="auto" w:fill="auto"/>
            <w:vAlign w:val="center"/>
          </w:tcPr>
          <w:p w14:paraId="305EACD1" w14:textId="77777777" w:rsidR="00CE54BD" w:rsidRPr="00183E4D" w:rsidRDefault="00CE54BD" w:rsidP="004C79C1">
            <w:pPr>
              <w:pStyle w:val="TableHeading"/>
              <w:spacing w:before="0" w:after="120"/>
              <w:ind w:left="0" w:firstLine="0"/>
              <w:rPr>
                <w:snapToGrid w:val="0"/>
                <w:lang w:eastAsia="en-US"/>
              </w:rPr>
            </w:pPr>
            <w:r w:rsidRPr="00183E4D">
              <w:rPr>
                <w:snapToGrid w:val="0"/>
                <w:lang w:eastAsia="en-US"/>
              </w:rPr>
              <w:t>Risk of bias</w:t>
            </w:r>
          </w:p>
        </w:tc>
        <w:tc>
          <w:tcPr>
            <w:tcW w:w="1016" w:type="pct"/>
            <w:shd w:val="clear" w:color="auto" w:fill="auto"/>
            <w:vAlign w:val="center"/>
          </w:tcPr>
          <w:p w14:paraId="3B18A13F" w14:textId="77777777" w:rsidR="00CE54BD" w:rsidRPr="00183E4D" w:rsidRDefault="00CE54BD" w:rsidP="004C79C1">
            <w:pPr>
              <w:pStyle w:val="TableHeading"/>
              <w:spacing w:before="0" w:after="120"/>
              <w:ind w:left="0" w:firstLine="0"/>
              <w:rPr>
                <w:snapToGrid w:val="0"/>
                <w:lang w:eastAsia="en-US"/>
              </w:rPr>
            </w:pPr>
            <w:r w:rsidRPr="00183E4D">
              <w:rPr>
                <w:snapToGrid w:val="0"/>
                <w:lang w:eastAsia="en-US"/>
              </w:rPr>
              <w:t>Patient population</w:t>
            </w:r>
          </w:p>
        </w:tc>
        <w:tc>
          <w:tcPr>
            <w:tcW w:w="1564" w:type="pct"/>
            <w:vAlign w:val="center"/>
          </w:tcPr>
          <w:p w14:paraId="0F9BD69A" w14:textId="4F3BA1D1" w:rsidR="00CE54BD" w:rsidRPr="00183E4D" w:rsidRDefault="00CE54BD" w:rsidP="004C79C1">
            <w:pPr>
              <w:pStyle w:val="TableHeading"/>
              <w:spacing w:before="0" w:after="120"/>
              <w:ind w:left="0" w:firstLine="0"/>
              <w:rPr>
                <w:snapToGrid w:val="0"/>
                <w:lang w:eastAsia="en-US"/>
              </w:rPr>
            </w:pPr>
            <w:r>
              <w:rPr>
                <w:snapToGrid w:val="0"/>
                <w:lang w:eastAsia="en-US"/>
              </w:rPr>
              <w:t>Purpose of test</w:t>
            </w:r>
          </w:p>
        </w:tc>
        <w:tc>
          <w:tcPr>
            <w:tcW w:w="781" w:type="pct"/>
            <w:vAlign w:val="center"/>
          </w:tcPr>
          <w:p w14:paraId="51FE178B" w14:textId="76C3A9D4" w:rsidR="00CE54BD" w:rsidRPr="00183E4D" w:rsidRDefault="00CE54BD" w:rsidP="004C79C1">
            <w:pPr>
              <w:pStyle w:val="TableHeading"/>
              <w:spacing w:before="0" w:after="120"/>
              <w:ind w:left="0" w:firstLine="0"/>
              <w:rPr>
                <w:snapToGrid w:val="0"/>
                <w:lang w:eastAsia="en-US"/>
              </w:rPr>
            </w:pPr>
            <w:r>
              <w:rPr>
                <w:snapToGrid w:val="0"/>
                <w:lang w:eastAsia="en-US"/>
              </w:rPr>
              <w:t>Reference standard</w:t>
            </w:r>
          </w:p>
        </w:tc>
      </w:tr>
      <w:tr w:rsidR="00EE2FCB" w:rsidRPr="00CE54BD" w14:paraId="17D53C7A" w14:textId="77777777" w:rsidTr="00EE2FCB">
        <w:tc>
          <w:tcPr>
            <w:tcW w:w="544" w:type="pct"/>
            <w:shd w:val="clear" w:color="auto" w:fill="auto"/>
            <w:vAlign w:val="center"/>
          </w:tcPr>
          <w:p w14:paraId="34A83720"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Assomull et al. (2011)</w:t>
            </w:r>
          </w:p>
        </w:tc>
        <w:tc>
          <w:tcPr>
            <w:tcW w:w="235" w:type="pct"/>
            <w:shd w:val="clear" w:color="auto" w:fill="auto"/>
            <w:vAlign w:val="center"/>
          </w:tcPr>
          <w:p w14:paraId="34578D49" w14:textId="77777777" w:rsidR="00EE2FCB" w:rsidRDefault="00EE2FCB" w:rsidP="004C79C1">
            <w:pPr>
              <w:pStyle w:val="TableText0"/>
              <w:spacing w:before="0" w:after="120"/>
              <w:jc w:val="center"/>
              <w:rPr>
                <w:snapToGrid w:val="0"/>
              </w:rPr>
            </w:pPr>
            <w:r>
              <w:rPr>
                <w:snapToGrid w:val="0"/>
              </w:rPr>
              <w:t>120</w:t>
            </w:r>
          </w:p>
        </w:tc>
        <w:tc>
          <w:tcPr>
            <w:tcW w:w="468" w:type="pct"/>
            <w:shd w:val="clear" w:color="auto" w:fill="auto"/>
            <w:vAlign w:val="center"/>
          </w:tcPr>
          <w:p w14:paraId="1DD3E803"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6578814C"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5B052204" w14:textId="77777777" w:rsidR="00EE2FCB" w:rsidRDefault="00EE2FCB" w:rsidP="004C79C1">
            <w:pPr>
              <w:pStyle w:val="TableText0"/>
              <w:spacing w:before="0" w:after="120"/>
              <w:rPr>
                <w:snapToGrid w:val="0"/>
              </w:rPr>
            </w:pPr>
            <w:r>
              <w:rPr>
                <w:snapToGrid w:val="0"/>
              </w:rPr>
              <w:t>HF patients with reduced and dilated LV</w:t>
            </w:r>
          </w:p>
        </w:tc>
        <w:tc>
          <w:tcPr>
            <w:tcW w:w="1564" w:type="pct"/>
            <w:vAlign w:val="center"/>
          </w:tcPr>
          <w:p w14:paraId="6EF6D262" w14:textId="04E8153A" w:rsidR="00EE2FCB" w:rsidRDefault="00EE2FCB" w:rsidP="004C79C1">
            <w:pPr>
              <w:pStyle w:val="TableText0"/>
              <w:spacing w:before="0" w:after="120"/>
              <w:rPr>
                <w:snapToGrid w:val="0"/>
              </w:rPr>
            </w:pPr>
            <w:r>
              <w:rPr>
                <w:snapToGrid w:val="0"/>
              </w:rPr>
              <w:t xml:space="preserve">Determining whether DCM is </w:t>
            </w:r>
            <w:r w:rsidR="00410DCD">
              <w:rPr>
                <w:snapToGrid w:val="0"/>
              </w:rPr>
              <w:t>ischaemic</w:t>
            </w:r>
            <w:r>
              <w:rPr>
                <w:snapToGrid w:val="0"/>
              </w:rPr>
              <w:t xml:space="preserve"> or non-</w:t>
            </w:r>
            <w:r w:rsidR="00410DCD">
              <w:rPr>
                <w:snapToGrid w:val="0"/>
              </w:rPr>
              <w:t>ischaemic</w:t>
            </w:r>
          </w:p>
        </w:tc>
        <w:tc>
          <w:tcPr>
            <w:tcW w:w="781" w:type="pct"/>
            <w:vAlign w:val="center"/>
          </w:tcPr>
          <w:p w14:paraId="0DF1FF21" w14:textId="77777777" w:rsidR="00EE2FCB" w:rsidRDefault="00EE2FCB" w:rsidP="004C79C1">
            <w:pPr>
              <w:pStyle w:val="TableText0"/>
              <w:spacing w:before="0" w:after="120"/>
              <w:rPr>
                <w:snapToGrid w:val="0"/>
              </w:rPr>
            </w:pPr>
            <w:r>
              <w:rPr>
                <w:snapToGrid w:val="0"/>
              </w:rPr>
              <w:t>Clinical data</w:t>
            </w:r>
          </w:p>
        </w:tc>
      </w:tr>
      <w:tr w:rsidR="00EE2FCB" w:rsidRPr="00CE54BD" w14:paraId="40A11F9D" w14:textId="77777777" w:rsidTr="00EE2FCB">
        <w:tc>
          <w:tcPr>
            <w:tcW w:w="544" w:type="pct"/>
            <w:shd w:val="clear" w:color="auto" w:fill="auto"/>
            <w:vAlign w:val="center"/>
          </w:tcPr>
          <w:p w14:paraId="6A7DE398"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Bohnen et al. (2015)</w:t>
            </w:r>
          </w:p>
        </w:tc>
        <w:tc>
          <w:tcPr>
            <w:tcW w:w="235" w:type="pct"/>
            <w:shd w:val="clear" w:color="auto" w:fill="auto"/>
            <w:vAlign w:val="center"/>
          </w:tcPr>
          <w:p w14:paraId="7A911ECC" w14:textId="77777777" w:rsidR="00EE2FCB" w:rsidRDefault="00EE2FCB" w:rsidP="004C79C1">
            <w:pPr>
              <w:pStyle w:val="TableText0"/>
              <w:spacing w:before="0" w:after="120"/>
              <w:jc w:val="center"/>
              <w:rPr>
                <w:snapToGrid w:val="0"/>
              </w:rPr>
            </w:pPr>
            <w:r>
              <w:rPr>
                <w:snapToGrid w:val="0"/>
              </w:rPr>
              <w:t>31</w:t>
            </w:r>
          </w:p>
        </w:tc>
        <w:tc>
          <w:tcPr>
            <w:tcW w:w="468" w:type="pct"/>
            <w:shd w:val="clear" w:color="auto" w:fill="auto"/>
            <w:vAlign w:val="center"/>
          </w:tcPr>
          <w:p w14:paraId="2C577D7C"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3375BDD0" w14:textId="77777777" w:rsidR="00EE2FCB" w:rsidRDefault="00EE2FCB" w:rsidP="004C79C1">
            <w:pPr>
              <w:pStyle w:val="TableText0"/>
              <w:spacing w:before="0" w:after="120"/>
              <w:rPr>
                <w:snapToGrid w:val="0"/>
              </w:rPr>
            </w:pPr>
            <w:r>
              <w:rPr>
                <w:snapToGrid w:val="0"/>
              </w:rPr>
              <w:t>Medium</w:t>
            </w:r>
          </w:p>
        </w:tc>
        <w:tc>
          <w:tcPr>
            <w:tcW w:w="1016" w:type="pct"/>
            <w:shd w:val="clear" w:color="auto" w:fill="auto"/>
            <w:vAlign w:val="center"/>
          </w:tcPr>
          <w:p w14:paraId="46FF9E24" w14:textId="77777777" w:rsidR="00EE2FCB" w:rsidRDefault="00EE2FCB" w:rsidP="004C79C1">
            <w:pPr>
              <w:pStyle w:val="TableText0"/>
              <w:spacing w:before="0" w:after="120"/>
              <w:rPr>
                <w:snapToGrid w:val="0"/>
              </w:rPr>
            </w:pPr>
            <w:r>
              <w:rPr>
                <w:snapToGrid w:val="0"/>
              </w:rPr>
              <w:t>HF patients with reduced LVEF</w:t>
            </w:r>
          </w:p>
        </w:tc>
        <w:tc>
          <w:tcPr>
            <w:tcW w:w="1564" w:type="pct"/>
            <w:vAlign w:val="center"/>
          </w:tcPr>
          <w:p w14:paraId="5762B327" w14:textId="77777777" w:rsidR="00EE2FCB" w:rsidRDefault="00EE2FCB" w:rsidP="004C79C1">
            <w:pPr>
              <w:pStyle w:val="TableText0"/>
              <w:spacing w:before="0" w:after="120"/>
              <w:rPr>
                <w:snapToGrid w:val="0"/>
              </w:rPr>
            </w:pPr>
            <w:r>
              <w:rPr>
                <w:snapToGrid w:val="0"/>
              </w:rPr>
              <w:t>Determining whether CM has an inflammatory cause</w:t>
            </w:r>
          </w:p>
        </w:tc>
        <w:tc>
          <w:tcPr>
            <w:tcW w:w="781" w:type="pct"/>
            <w:vAlign w:val="center"/>
          </w:tcPr>
          <w:p w14:paraId="007FC47A" w14:textId="6868A96F" w:rsidR="00EE2FCB" w:rsidRDefault="00EE2FCB" w:rsidP="004C79C1">
            <w:pPr>
              <w:pStyle w:val="TableText0"/>
              <w:spacing w:before="0" w:after="120"/>
              <w:rPr>
                <w:snapToGrid w:val="0"/>
              </w:rPr>
            </w:pPr>
            <w:r>
              <w:rPr>
                <w:snapToGrid w:val="0"/>
              </w:rPr>
              <w:t>E</w:t>
            </w:r>
            <w:r w:rsidR="00C85C18">
              <w:rPr>
                <w:snapToGrid w:val="0"/>
              </w:rPr>
              <w:t>MB</w:t>
            </w:r>
          </w:p>
        </w:tc>
      </w:tr>
      <w:tr w:rsidR="00EE2FCB" w:rsidRPr="00CE54BD" w14:paraId="5F506DDE" w14:textId="77777777" w:rsidTr="00EE2FCB">
        <w:tc>
          <w:tcPr>
            <w:tcW w:w="544" w:type="pct"/>
            <w:shd w:val="clear" w:color="auto" w:fill="auto"/>
            <w:vAlign w:val="center"/>
          </w:tcPr>
          <w:p w14:paraId="004692B9"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Casolo et al. (2006)</w:t>
            </w:r>
          </w:p>
        </w:tc>
        <w:tc>
          <w:tcPr>
            <w:tcW w:w="235" w:type="pct"/>
            <w:shd w:val="clear" w:color="auto" w:fill="auto"/>
            <w:vAlign w:val="center"/>
          </w:tcPr>
          <w:p w14:paraId="2E776321" w14:textId="77777777" w:rsidR="00EE2FCB" w:rsidRDefault="00EE2FCB" w:rsidP="004C79C1">
            <w:pPr>
              <w:pStyle w:val="TableText0"/>
              <w:spacing w:before="0" w:after="120"/>
              <w:jc w:val="center"/>
              <w:rPr>
                <w:snapToGrid w:val="0"/>
              </w:rPr>
            </w:pPr>
            <w:r>
              <w:rPr>
                <w:snapToGrid w:val="0"/>
              </w:rPr>
              <w:t>60</w:t>
            </w:r>
          </w:p>
        </w:tc>
        <w:tc>
          <w:tcPr>
            <w:tcW w:w="468" w:type="pct"/>
            <w:shd w:val="clear" w:color="auto" w:fill="auto"/>
            <w:vAlign w:val="center"/>
          </w:tcPr>
          <w:p w14:paraId="3522AB01"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0E070834"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3ED26744" w14:textId="77777777" w:rsidR="00EE2FCB" w:rsidRDefault="00EE2FCB" w:rsidP="004C79C1">
            <w:pPr>
              <w:pStyle w:val="TableText0"/>
              <w:spacing w:before="0" w:after="120"/>
              <w:rPr>
                <w:snapToGrid w:val="0"/>
              </w:rPr>
            </w:pPr>
            <w:r>
              <w:rPr>
                <w:snapToGrid w:val="0"/>
              </w:rPr>
              <w:t>HF patients with LV dysfunction and dilation</w:t>
            </w:r>
          </w:p>
        </w:tc>
        <w:tc>
          <w:tcPr>
            <w:tcW w:w="1564" w:type="pct"/>
            <w:vAlign w:val="center"/>
          </w:tcPr>
          <w:p w14:paraId="28D07445" w14:textId="7BCED9A6" w:rsidR="00EE2FCB" w:rsidRDefault="00EE2FCB" w:rsidP="004C79C1">
            <w:pPr>
              <w:pStyle w:val="TableText0"/>
              <w:spacing w:before="0" w:after="120"/>
              <w:rPr>
                <w:snapToGrid w:val="0"/>
              </w:rPr>
            </w:pPr>
            <w:r>
              <w:rPr>
                <w:snapToGrid w:val="0"/>
              </w:rPr>
              <w:t xml:space="preserve">Determining whether DCM is </w:t>
            </w:r>
            <w:r w:rsidR="00410DCD">
              <w:rPr>
                <w:snapToGrid w:val="0"/>
              </w:rPr>
              <w:t>ischaemic</w:t>
            </w:r>
            <w:r>
              <w:rPr>
                <w:snapToGrid w:val="0"/>
              </w:rPr>
              <w:t xml:space="preserve"> or non-</w:t>
            </w:r>
            <w:r w:rsidR="00410DCD">
              <w:rPr>
                <w:snapToGrid w:val="0"/>
              </w:rPr>
              <w:t>ischaemic</w:t>
            </w:r>
          </w:p>
        </w:tc>
        <w:tc>
          <w:tcPr>
            <w:tcW w:w="781" w:type="pct"/>
            <w:vAlign w:val="center"/>
          </w:tcPr>
          <w:p w14:paraId="6009495D" w14:textId="77777777" w:rsidR="00EE2FCB" w:rsidRDefault="00EE2FCB" w:rsidP="004C79C1">
            <w:pPr>
              <w:pStyle w:val="TableText0"/>
              <w:spacing w:before="0" w:after="120"/>
              <w:rPr>
                <w:snapToGrid w:val="0"/>
              </w:rPr>
            </w:pPr>
            <w:r>
              <w:rPr>
                <w:snapToGrid w:val="0"/>
              </w:rPr>
              <w:t>ICA</w:t>
            </w:r>
          </w:p>
        </w:tc>
      </w:tr>
      <w:tr w:rsidR="00EE2FCB" w:rsidRPr="00CE54BD" w14:paraId="48EBCB0C" w14:textId="77777777" w:rsidTr="00EE2FCB">
        <w:tc>
          <w:tcPr>
            <w:tcW w:w="544" w:type="pct"/>
            <w:shd w:val="clear" w:color="auto" w:fill="auto"/>
            <w:vAlign w:val="center"/>
          </w:tcPr>
          <w:p w14:paraId="2B93CBDF" w14:textId="5F825F5F" w:rsidR="00EE2FCB" w:rsidRDefault="00711522"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d</w:t>
            </w:r>
            <w:r w:rsidR="00EE2FCB">
              <w:rPr>
                <w:rFonts w:ascii="Arial Narrow" w:eastAsiaTheme="minorHAnsi" w:hAnsi="Arial Narrow" w:cstheme="minorHAnsi"/>
                <w:sz w:val="20"/>
                <w:lang w:eastAsia="en-US"/>
              </w:rPr>
              <w:t>e Melo et al. (2013)</w:t>
            </w:r>
          </w:p>
          <w:p w14:paraId="6000E4E7" w14:textId="77777777" w:rsidR="00EE2FCB" w:rsidRDefault="00EE2FCB" w:rsidP="004C79C1">
            <w:pPr>
              <w:spacing w:after="120" w:line="240" w:lineRule="auto"/>
              <w:ind w:right="-57"/>
              <w:rPr>
                <w:rFonts w:ascii="Arial Narrow" w:eastAsiaTheme="minorHAnsi" w:hAnsi="Arial Narrow" w:cstheme="minorHAnsi"/>
                <w:sz w:val="20"/>
                <w:lang w:eastAsia="en-US"/>
              </w:rPr>
            </w:pPr>
          </w:p>
        </w:tc>
        <w:tc>
          <w:tcPr>
            <w:tcW w:w="235" w:type="pct"/>
            <w:shd w:val="clear" w:color="auto" w:fill="auto"/>
            <w:vAlign w:val="center"/>
          </w:tcPr>
          <w:p w14:paraId="1D5A6948" w14:textId="77777777" w:rsidR="00EE2FCB" w:rsidRDefault="00EE2FCB" w:rsidP="004C79C1">
            <w:pPr>
              <w:pStyle w:val="TableText0"/>
              <w:spacing w:before="0" w:after="120"/>
              <w:jc w:val="center"/>
              <w:rPr>
                <w:snapToGrid w:val="0"/>
              </w:rPr>
            </w:pPr>
            <w:r>
              <w:rPr>
                <w:snapToGrid w:val="0"/>
              </w:rPr>
              <w:t>24</w:t>
            </w:r>
          </w:p>
        </w:tc>
        <w:tc>
          <w:tcPr>
            <w:tcW w:w="468" w:type="pct"/>
            <w:shd w:val="clear" w:color="auto" w:fill="auto"/>
            <w:vAlign w:val="center"/>
          </w:tcPr>
          <w:p w14:paraId="3085B032" w14:textId="77777777" w:rsidR="00EE2FCB" w:rsidRDefault="00EE2FCB" w:rsidP="004C79C1">
            <w:pPr>
              <w:pStyle w:val="TableText0"/>
              <w:spacing w:before="0" w:after="120"/>
              <w:jc w:val="center"/>
              <w:rPr>
                <w:snapToGrid w:val="0"/>
              </w:rPr>
            </w:pPr>
            <w:r>
              <w:rPr>
                <w:snapToGrid w:val="0"/>
              </w:rPr>
              <w:t>III-1</w:t>
            </w:r>
          </w:p>
        </w:tc>
        <w:tc>
          <w:tcPr>
            <w:tcW w:w="391" w:type="pct"/>
            <w:shd w:val="clear" w:color="auto" w:fill="auto"/>
            <w:vAlign w:val="center"/>
          </w:tcPr>
          <w:p w14:paraId="13C53B1E" w14:textId="77777777" w:rsidR="00EE2FCB" w:rsidRDefault="00EE2FCB" w:rsidP="004C79C1">
            <w:pPr>
              <w:pStyle w:val="TableText0"/>
              <w:spacing w:before="0" w:after="120"/>
              <w:rPr>
                <w:snapToGrid w:val="0"/>
              </w:rPr>
            </w:pPr>
            <w:r>
              <w:rPr>
                <w:snapToGrid w:val="0"/>
              </w:rPr>
              <w:t>Unclear</w:t>
            </w:r>
          </w:p>
        </w:tc>
        <w:tc>
          <w:tcPr>
            <w:tcW w:w="1016" w:type="pct"/>
            <w:shd w:val="clear" w:color="auto" w:fill="auto"/>
            <w:vAlign w:val="center"/>
          </w:tcPr>
          <w:p w14:paraId="1079B648" w14:textId="77777777" w:rsidR="00EE2FCB" w:rsidRDefault="00EE2FCB" w:rsidP="004C79C1">
            <w:pPr>
              <w:pStyle w:val="TableText0"/>
              <w:spacing w:before="0" w:after="120"/>
              <w:rPr>
                <w:snapToGrid w:val="0"/>
              </w:rPr>
            </w:pPr>
            <w:r>
              <w:rPr>
                <w:snapToGrid w:val="0"/>
              </w:rPr>
              <w:t>HF patients with DCM</w:t>
            </w:r>
          </w:p>
        </w:tc>
        <w:tc>
          <w:tcPr>
            <w:tcW w:w="1564" w:type="pct"/>
            <w:vAlign w:val="center"/>
          </w:tcPr>
          <w:p w14:paraId="2852AD77" w14:textId="68671D7E" w:rsidR="00EE2FCB" w:rsidRDefault="00EE2FCB" w:rsidP="004C79C1">
            <w:pPr>
              <w:pStyle w:val="TableText0"/>
              <w:spacing w:before="0" w:after="120"/>
              <w:rPr>
                <w:snapToGrid w:val="0"/>
              </w:rPr>
            </w:pPr>
            <w:r>
              <w:rPr>
                <w:snapToGrid w:val="0"/>
              </w:rPr>
              <w:t xml:space="preserve">Determining whether DCM is </w:t>
            </w:r>
            <w:r w:rsidR="00410DCD">
              <w:rPr>
                <w:snapToGrid w:val="0"/>
              </w:rPr>
              <w:t>ischaemic</w:t>
            </w:r>
            <w:r>
              <w:rPr>
                <w:snapToGrid w:val="0"/>
              </w:rPr>
              <w:t xml:space="preserve"> or non-</w:t>
            </w:r>
            <w:r w:rsidR="00410DCD">
              <w:rPr>
                <w:snapToGrid w:val="0"/>
              </w:rPr>
              <w:t>ischaemic</w:t>
            </w:r>
          </w:p>
        </w:tc>
        <w:tc>
          <w:tcPr>
            <w:tcW w:w="781" w:type="pct"/>
            <w:vAlign w:val="center"/>
          </w:tcPr>
          <w:p w14:paraId="06D588BF" w14:textId="13161576" w:rsidR="00EE2FCB" w:rsidRDefault="00C169CF" w:rsidP="004C79C1">
            <w:pPr>
              <w:pStyle w:val="TableText0"/>
              <w:spacing w:before="0" w:after="120"/>
              <w:rPr>
                <w:snapToGrid w:val="0"/>
              </w:rPr>
            </w:pPr>
            <w:r>
              <w:rPr>
                <w:snapToGrid w:val="0"/>
              </w:rPr>
              <w:t>Clinical data</w:t>
            </w:r>
          </w:p>
        </w:tc>
      </w:tr>
      <w:tr w:rsidR="00EE2FCB" w:rsidRPr="00CE54BD" w14:paraId="782CA5BE" w14:textId="77777777" w:rsidTr="00EE2FCB">
        <w:tc>
          <w:tcPr>
            <w:tcW w:w="544" w:type="pct"/>
            <w:shd w:val="clear" w:color="auto" w:fill="auto"/>
            <w:vAlign w:val="center"/>
          </w:tcPr>
          <w:p w14:paraId="18D96606" w14:textId="77777777" w:rsidR="00EE2FCB" w:rsidRPr="00CE54BD"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Hamilton-Craig et al. (2011)</w:t>
            </w:r>
          </w:p>
        </w:tc>
        <w:tc>
          <w:tcPr>
            <w:tcW w:w="235" w:type="pct"/>
            <w:shd w:val="clear" w:color="auto" w:fill="auto"/>
            <w:vAlign w:val="center"/>
          </w:tcPr>
          <w:p w14:paraId="672BC5C6" w14:textId="77777777" w:rsidR="00EE2FCB" w:rsidRPr="00CE54BD" w:rsidRDefault="00EE2FCB" w:rsidP="004C79C1">
            <w:pPr>
              <w:pStyle w:val="TableText0"/>
              <w:spacing w:before="0" w:after="120"/>
              <w:jc w:val="center"/>
              <w:rPr>
                <w:snapToGrid w:val="0"/>
              </w:rPr>
            </w:pPr>
            <w:r>
              <w:rPr>
                <w:snapToGrid w:val="0"/>
              </w:rPr>
              <w:t>28</w:t>
            </w:r>
          </w:p>
        </w:tc>
        <w:tc>
          <w:tcPr>
            <w:tcW w:w="468" w:type="pct"/>
            <w:shd w:val="clear" w:color="auto" w:fill="auto"/>
            <w:vAlign w:val="center"/>
          </w:tcPr>
          <w:p w14:paraId="154F35B8" w14:textId="77777777" w:rsidR="00EE2FCB" w:rsidRPr="00CE54BD"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1ACC7FD4" w14:textId="77777777" w:rsidR="00EE2FCB" w:rsidRPr="00CE54BD"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3250B365" w14:textId="77777777" w:rsidR="00EE2FCB" w:rsidRPr="00CE54BD" w:rsidRDefault="00EE2FCB" w:rsidP="004C79C1">
            <w:pPr>
              <w:pStyle w:val="TableText0"/>
              <w:spacing w:before="0" w:after="120"/>
              <w:rPr>
                <w:snapToGrid w:val="0"/>
              </w:rPr>
            </w:pPr>
            <w:r>
              <w:rPr>
                <w:snapToGrid w:val="0"/>
              </w:rPr>
              <w:t>Patients suspected of DCM referred for ICA</w:t>
            </w:r>
          </w:p>
        </w:tc>
        <w:tc>
          <w:tcPr>
            <w:tcW w:w="1564" w:type="pct"/>
            <w:vAlign w:val="center"/>
          </w:tcPr>
          <w:p w14:paraId="5CFEF930" w14:textId="682528B2" w:rsidR="00EE2FCB" w:rsidRPr="00CE54BD" w:rsidRDefault="00EE2FCB" w:rsidP="004C79C1">
            <w:pPr>
              <w:pStyle w:val="TableText0"/>
              <w:spacing w:before="0" w:after="120"/>
              <w:rPr>
                <w:snapToGrid w:val="0"/>
              </w:rPr>
            </w:pPr>
            <w:r>
              <w:rPr>
                <w:snapToGrid w:val="0"/>
              </w:rPr>
              <w:t xml:space="preserve">Determining whether DCM is </w:t>
            </w:r>
            <w:r w:rsidR="00410DCD">
              <w:rPr>
                <w:snapToGrid w:val="0"/>
              </w:rPr>
              <w:t>ischaemic</w:t>
            </w:r>
            <w:r>
              <w:rPr>
                <w:snapToGrid w:val="0"/>
              </w:rPr>
              <w:t xml:space="preserve"> or non-</w:t>
            </w:r>
            <w:r w:rsidR="00410DCD">
              <w:rPr>
                <w:snapToGrid w:val="0"/>
              </w:rPr>
              <w:t>ischaemic</w:t>
            </w:r>
          </w:p>
        </w:tc>
        <w:tc>
          <w:tcPr>
            <w:tcW w:w="781" w:type="pct"/>
            <w:vAlign w:val="center"/>
          </w:tcPr>
          <w:p w14:paraId="3CAA9BED" w14:textId="77777777" w:rsidR="00EE2FCB" w:rsidRPr="00CE54BD" w:rsidRDefault="00EE2FCB" w:rsidP="004C79C1">
            <w:pPr>
              <w:pStyle w:val="TableText0"/>
              <w:spacing w:before="0" w:after="120"/>
              <w:rPr>
                <w:snapToGrid w:val="0"/>
              </w:rPr>
            </w:pPr>
            <w:r>
              <w:rPr>
                <w:snapToGrid w:val="0"/>
              </w:rPr>
              <w:t>ICA</w:t>
            </w:r>
          </w:p>
        </w:tc>
      </w:tr>
      <w:tr w:rsidR="00EE2FCB" w:rsidRPr="00CE54BD" w14:paraId="7518E883" w14:textId="77777777" w:rsidTr="00EE2FCB">
        <w:tc>
          <w:tcPr>
            <w:tcW w:w="544" w:type="pct"/>
            <w:shd w:val="clear" w:color="auto" w:fill="auto"/>
            <w:vAlign w:val="center"/>
          </w:tcPr>
          <w:p w14:paraId="4B167448" w14:textId="0F06B164"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McCrohonet al. (2003)</w:t>
            </w:r>
          </w:p>
        </w:tc>
        <w:tc>
          <w:tcPr>
            <w:tcW w:w="235" w:type="pct"/>
            <w:shd w:val="clear" w:color="auto" w:fill="auto"/>
            <w:vAlign w:val="center"/>
          </w:tcPr>
          <w:p w14:paraId="3777BC88" w14:textId="77777777" w:rsidR="00EE2FCB" w:rsidRDefault="00EE2FCB" w:rsidP="004C79C1">
            <w:pPr>
              <w:pStyle w:val="TableText0"/>
              <w:spacing w:before="0" w:after="120"/>
              <w:jc w:val="center"/>
              <w:rPr>
                <w:snapToGrid w:val="0"/>
              </w:rPr>
            </w:pPr>
            <w:r>
              <w:rPr>
                <w:snapToGrid w:val="0"/>
              </w:rPr>
              <w:t>90</w:t>
            </w:r>
          </w:p>
        </w:tc>
        <w:tc>
          <w:tcPr>
            <w:tcW w:w="468" w:type="pct"/>
            <w:shd w:val="clear" w:color="auto" w:fill="auto"/>
            <w:vAlign w:val="center"/>
          </w:tcPr>
          <w:p w14:paraId="07888719" w14:textId="77777777" w:rsidR="00EE2FCB" w:rsidRDefault="00EE2FCB" w:rsidP="004C79C1">
            <w:pPr>
              <w:pStyle w:val="TableText0"/>
              <w:spacing w:before="0" w:after="120"/>
              <w:jc w:val="center"/>
              <w:rPr>
                <w:snapToGrid w:val="0"/>
              </w:rPr>
            </w:pPr>
            <w:r>
              <w:rPr>
                <w:snapToGrid w:val="0"/>
              </w:rPr>
              <w:t>III-3</w:t>
            </w:r>
          </w:p>
        </w:tc>
        <w:tc>
          <w:tcPr>
            <w:tcW w:w="391" w:type="pct"/>
            <w:shd w:val="clear" w:color="auto" w:fill="auto"/>
            <w:vAlign w:val="center"/>
          </w:tcPr>
          <w:p w14:paraId="1BB38DD2" w14:textId="77777777" w:rsidR="00EE2FCB" w:rsidRDefault="00EE2FCB" w:rsidP="004C79C1">
            <w:pPr>
              <w:pStyle w:val="TableText0"/>
              <w:spacing w:before="0" w:after="120"/>
              <w:rPr>
                <w:snapToGrid w:val="0"/>
              </w:rPr>
            </w:pPr>
            <w:r>
              <w:rPr>
                <w:snapToGrid w:val="0"/>
              </w:rPr>
              <w:t>Unclear</w:t>
            </w:r>
          </w:p>
        </w:tc>
        <w:tc>
          <w:tcPr>
            <w:tcW w:w="1016" w:type="pct"/>
            <w:shd w:val="clear" w:color="auto" w:fill="auto"/>
            <w:vAlign w:val="center"/>
          </w:tcPr>
          <w:p w14:paraId="52546C8E" w14:textId="77777777" w:rsidR="00EE2FCB" w:rsidRDefault="00EE2FCB" w:rsidP="004C79C1">
            <w:pPr>
              <w:pStyle w:val="TableText0"/>
              <w:spacing w:before="0" w:after="120"/>
              <w:rPr>
                <w:snapToGrid w:val="0"/>
              </w:rPr>
            </w:pPr>
            <w:r>
              <w:t>63 DCM patients, 27 CAD patients and 15 control subjects</w:t>
            </w:r>
          </w:p>
        </w:tc>
        <w:tc>
          <w:tcPr>
            <w:tcW w:w="1564" w:type="pct"/>
            <w:vAlign w:val="center"/>
          </w:tcPr>
          <w:p w14:paraId="0BD5776E" w14:textId="779D7CDE" w:rsidR="00EE2FCB" w:rsidRDefault="00EE2FCB" w:rsidP="004C79C1">
            <w:pPr>
              <w:pStyle w:val="TableText0"/>
              <w:spacing w:before="0" w:after="120"/>
              <w:rPr>
                <w:snapToGrid w:val="0"/>
              </w:rPr>
            </w:pPr>
            <w:r>
              <w:rPr>
                <w:snapToGrid w:val="0"/>
              </w:rPr>
              <w:t xml:space="preserve">Determining whether there was </w:t>
            </w:r>
            <w:r w:rsidR="00410DCD">
              <w:rPr>
                <w:snapToGrid w:val="0"/>
              </w:rPr>
              <w:t>ischaemia</w:t>
            </w:r>
          </w:p>
        </w:tc>
        <w:tc>
          <w:tcPr>
            <w:tcW w:w="781" w:type="pct"/>
            <w:vAlign w:val="center"/>
          </w:tcPr>
          <w:p w14:paraId="17536365" w14:textId="77777777" w:rsidR="00EE2FCB" w:rsidRDefault="00EE2FCB" w:rsidP="004C79C1">
            <w:pPr>
              <w:pStyle w:val="TableText0"/>
              <w:spacing w:before="0" w:after="120"/>
              <w:rPr>
                <w:snapToGrid w:val="0"/>
              </w:rPr>
            </w:pPr>
            <w:r>
              <w:rPr>
                <w:snapToGrid w:val="0"/>
              </w:rPr>
              <w:t>ICA</w:t>
            </w:r>
          </w:p>
        </w:tc>
      </w:tr>
      <w:tr w:rsidR="00EE2FCB" w:rsidRPr="00CE54BD" w14:paraId="403B78D4" w14:textId="77777777" w:rsidTr="00EE2FCB">
        <w:tc>
          <w:tcPr>
            <w:tcW w:w="544" w:type="pct"/>
            <w:shd w:val="clear" w:color="auto" w:fill="auto"/>
            <w:vAlign w:val="center"/>
          </w:tcPr>
          <w:p w14:paraId="579CED16" w14:textId="77777777" w:rsidR="00EE2FCB" w:rsidRDefault="00EE2FCB" w:rsidP="004C79C1">
            <w:pPr>
              <w:spacing w:after="120" w:line="240" w:lineRule="auto"/>
              <w:ind w:right="-57"/>
              <w:rPr>
                <w:rFonts w:ascii="Arial Narrow" w:eastAsiaTheme="minorHAnsi" w:hAnsi="Arial Narrow" w:cstheme="minorHAnsi"/>
                <w:sz w:val="20"/>
                <w:lang w:eastAsia="en-US"/>
              </w:rPr>
            </w:pPr>
            <w:r w:rsidRPr="00CF4E70">
              <w:rPr>
                <w:rFonts w:ascii="Arial Narrow" w:eastAsiaTheme="minorHAnsi" w:hAnsi="Arial Narrow" w:cstheme="minorHAnsi"/>
                <w:sz w:val="20"/>
                <w:lang w:eastAsia="en-US"/>
              </w:rPr>
              <w:t>Mor-Avi et al. (2008)</w:t>
            </w:r>
          </w:p>
        </w:tc>
        <w:tc>
          <w:tcPr>
            <w:tcW w:w="235" w:type="pct"/>
            <w:shd w:val="clear" w:color="auto" w:fill="auto"/>
            <w:vAlign w:val="center"/>
          </w:tcPr>
          <w:p w14:paraId="3A405CCE" w14:textId="77777777" w:rsidR="00EE2FCB" w:rsidRDefault="00EE2FCB" w:rsidP="004C79C1">
            <w:pPr>
              <w:pStyle w:val="TableText0"/>
              <w:spacing w:before="0" w:after="120"/>
              <w:jc w:val="center"/>
              <w:rPr>
                <w:snapToGrid w:val="0"/>
              </w:rPr>
            </w:pPr>
            <w:r>
              <w:rPr>
                <w:snapToGrid w:val="0"/>
              </w:rPr>
              <w:t>16</w:t>
            </w:r>
          </w:p>
        </w:tc>
        <w:tc>
          <w:tcPr>
            <w:tcW w:w="468" w:type="pct"/>
            <w:shd w:val="clear" w:color="auto" w:fill="auto"/>
            <w:vAlign w:val="center"/>
          </w:tcPr>
          <w:p w14:paraId="52350F52" w14:textId="77777777" w:rsidR="00EE2FCB" w:rsidRDefault="00EE2FCB" w:rsidP="004C79C1">
            <w:pPr>
              <w:pStyle w:val="TableText0"/>
              <w:spacing w:before="0" w:after="120"/>
              <w:jc w:val="center"/>
              <w:rPr>
                <w:snapToGrid w:val="0"/>
              </w:rPr>
            </w:pPr>
            <w:r>
              <w:rPr>
                <w:snapToGrid w:val="0"/>
              </w:rPr>
              <w:t>III-1</w:t>
            </w:r>
          </w:p>
        </w:tc>
        <w:tc>
          <w:tcPr>
            <w:tcW w:w="391" w:type="pct"/>
            <w:shd w:val="clear" w:color="auto" w:fill="auto"/>
            <w:vAlign w:val="center"/>
          </w:tcPr>
          <w:p w14:paraId="58999760"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17512EDF" w14:textId="77777777" w:rsidR="00EE2FCB" w:rsidRDefault="00EE2FCB" w:rsidP="004C79C1">
            <w:pPr>
              <w:pStyle w:val="TableText0"/>
              <w:spacing w:before="0" w:after="120"/>
              <w:rPr>
                <w:snapToGrid w:val="0"/>
              </w:rPr>
            </w:pPr>
            <w:r>
              <w:rPr>
                <w:snapToGrid w:val="0"/>
              </w:rPr>
              <w:t>Patients suspected of CM referred for ICA</w:t>
            </w:r>
          </w:p>
        </w:tc>
        <w:tc>
          <w:tcPr>
            <w:tcW w:w="1564" w:type="pct"/>
            <w:vAlign w:val="center"/>
          </w:tcPr>
          <w:p w14:paraId="207FD131" w14:textId="0BD0B253" w:rsidR="00EE2FCB" w:rsidRDefault="00EE2FCB" w:rsidP="004C79C1">
            <w:pPr>
              <w:pStyle w:val="TableText0"/>
              <w:spacing w:before="0" w:after="120"/>
              <w:rPr>
                <w:snapToGrid w:val="0"/>
              </w:rPr>
            </w:pPr>
            <w:r>
              <w:rPr>
                <w:snapToGrid w:val="0"/>
              </w:rPr>
              <w:t xml:space="preserve">Determining whether CM is </w:t>
            </w:r>
            <w:r w:rsidR="00410DCD">
              <w:rPr>
                <w:snapToGrid w:val="0"/>
              </w:rPr>
              <w:t>ischaemic</w:t>
            </w:r>
            <w:r>
              <w:rPr>
                <w:snapToGrid w:val="0"/>
              </w:rPr>
              <w:t xml:space="preserve"> or non-</w:t>
            </w:r>
            <w:r w:rsidR="00410DCD">
              <w:rPr>
                <w:snapToGrid w:val="0"/>
              </w:rPr>
              <w:t>ischaemic</w:t>
            </w:r>
          </w:p>
        </w:tc>
        <w:tc>
          <w:tcPr>
            <w:tcW w:w="781" w:type="pct"/>
            <w:vAlign w:val="center"/>
          </w:tcPr>
          <w:p w14:paraId="628916C5" w14:textId="77777777" w:rsidR="00EE2FCB" w:rsidRDefault="00EE2FCB" w:rsidP="004C79C1">
            <w:pPr>
              <w:pStyle w:val="TableText0"/>
              <w:spacing w:before="0" w:after="120"/>
              <w:rPr>
                <w:snapToGrid w:val="0"/>
              </w:rPr>
            </w:pPr>
            <w:r>
              <w:rPr>
                <w:snapToGrid w:val="0"/>
              </w:rPr>
              <w:t>ICA</w:t>
            </w:r>
          </w:p>
        </w:tc>
      </w:tr>
      <w:tr w:rsidR="00EE2FCB" w:rsidRPr="00CE54BD" w14:paraId="5D6A7B93" w14:textId="77777777" w:rsidTr="00EE2FCB">
        <w:tc>
          <w:tcPr>
            <w:tcW w:w="544" w:type="pct"/>
            <w:shd w:val="clear" w:color="auto" w:fill="auto"/>
            <w:vAlign w:val="center"/>
          </w:tcPr>
          <w:p w14:paraId="4497411F"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Sramko et al. (2013)</w:t>
            </w:r>
          </w:p>
        </w:tc>
        <w:tc>
          <w:tcPr>
            <w:tcW w:w="235" w:type="pct"/>
            <w:shd w:val="clear" w:color="auto" w:fill="auto"/>
            <w:vAlign w:val="center"/>
          </w:tcPr>
          <w:p w14:paraId="79AA0F82" w14:textId="77777777" w:rsidR="00EE2FCB" w:rsidRDefault="00EE2FCB" w:rsidP="004C79C1">
            <w:pPr>
              <w:pStyle w:val="TableText0"/>
              <w:spacing w:before="0" w:after="120"/>
              <w:jc w:val="center"/>
              <w:rPr>
                <w:snapToGrid w:val="0"/>
              </w:rPr>
            </w:pPr>
            <w:r>
              <w:rPr>
                <w:snapToGrid w:val="0"/>
              </w:rPr>
              <w:t>42</w:t>
            </w:r>
          </w:p>
        </w:tc>
        <w:tc>
          <w:tcPr>
            <w:tcW w:w="468" w:type="pct"/>
            <w:shd w:val="clear" w:color="auto" w:fill="auto"/>
            <w:vAlign w:val="center"/>
          </w:tcPr>
          <w:p w14:paraId="0C21F8D9"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0E5451CF"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53D335C9" w14:textId="77777777" w:rsidR="00EE2FCB" w:rsidRDefault="00EE2FCB" w:rsidP="004C79C1">
            <w:pPr>
              <w:pStyle w:val="TableText0"/>
              <w:spacing w:before="0" w:after="120"/>
              <w:rPr>
                <w:snapToGrid w:val="0"/>
              </w:rPr>
            </w:pPr>
            <w:r>
              <w:rPr>
                <w:snapToGrid w:val="0"/>
              </w:rPr>
              <w:t>HF patients with DCM</w:t>
            </w:r>
          </w:p>
        </w:tc>
        <w:tc>
          <w:tcPr>
            <w:tcW w:w="1564" w:type="pct"/>
            <w:vAlign w:val="center"/>
          </w:tcPr>
          <w:p w14:paraId="68C333B6" w14:textId="77777777" w:rsidR="00EE2FCB" w:rsidRDefault="00EE2FCB" w:rsidP="004C79C1">
            <w:pPr>
              <w:pStyle w:val="TableText0"/>
              <w:spacing w:before="0" w:after="120"/>
              <w:rPr>
                <w:snapToGrid w:val="0"/>
              </w:rPr>
            </w:pPr>
            <w:r>
              <w:rPr>
                <w:snapToGrid w:val="0"/>
              </w:rPr>
              <w:t>Determining whether DCM has an inflammatory cause</w:t>
            </w:r>
          </w:p>
        </w:tc>
        <w:tc>
          <w:tcPr>
            <w:tcW w:w="781" w:type="pct"/>
            <w:vAlign w:val="center"/>
          </w:tcPr>
          <w:p w14:paraId="23A3C933" w14:textId="7A347422" w:rsidR="00EE2FCB" w:rsidRDefault="00EE2FCB" w:rsidP="004C79C1">
            <w:pPr>
              <w:pStyle w:val="TableText0"/>
              <w:spacing w:before="0" w:after="120"/>
              <w:rPr>
                <w:snapToGrid w:val="0"/>
              </w:rPr>
            </w:pPr>
            <w:r>
              <w:rPr>
                <w:snapToGrid w:val="0"/>
              </w:rPr>
              <w:t>E</w:t>
            </w:r>
            <w:r w:rsidR="00BC4BFC">
              <w:rPr>
                <w:snapToGrid w:val="0"/>
              </w:rPr>
              <w:t>MB</w:t>
            </w:r>
          </w:p>
        </w:tc>
      </w:tr>
      <w:tr w:rsidR="00EE2FCB" w:rsidRPr="00CE54BD" w14:paraId="115C2B80" w14:textId="77777777" w:rsidTr="00EE2FCB">
        <w:tc>
          <w:tcPr>
            <w:tcW w:w="544" w:type="pct"/>
            <w:shd w:val="clear" w:color="auto" w:fill="auto"/>
            <w:vAlign w:val="center"/>
          </w:tcPr>
          <w:p w14:paraId="59138C45"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Valle-Munoz et al. (2009)</w:t>
            </w:r>
          </w:p>
        </w:tc>
        <w:tc>
          <w:tcPr>
            <w:tcW w:w="235" w:type="pct"/>
            <w:shd w:val="clear" w:color="auto" w:fill="auto"/>
            <w:vAlign w:val="center"/>
          </w:tcPr>
          <w:p w14:paraId="5DF9130C" w14:textId="77777777" w:rsidR="00EE2FCB" w:rsidRDefault="00EE2FCB" w:rsidP="004C79C1">
            <w:pPr>
              <w:pStyle w:val="TableText0"/>
              <w:spacing w:before="0" w:after="120"/>
              <w:jc w:val="center"/>
              <w:rPr>
                <w:snapToGrid w:val="0"/>
              </w:rPr>
            </w:pPr>
            <w:r>
              <w:rPr>
                <w:snapToGrid w:val="0"/>
              </w:rPr>
              <w:t>100</w:t>
            </w:r>
          </w:p>
        </w:tc>
        <w:tc>
          <w:tcPr>
            <w:tcW w:w="468" w:type="pct"/>
            <w:shd w:val="clear" w:color="auto" w:fill="auto"/>
            <w:vAlign w:val="center"/>
          </w:tcPr>
          <w:p w14:paraId="375CA759"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788CE210"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4FC96CC2" w14:textId="77777777" w:rsidR="00EE2FCB" w:rsidRDefault="00EE2FCB" w:rsidP="004C79C1">
            <w:pPr>
              <w:pStyle w:val="TableText0"/>
              <w:spacing w:before="0" w:after="120"/>
            </w:pPr>
            <w:r>
              <w:t>HF patients with LV dysfunction suspected of DCM</w:t>
            </w:r>
          </w:p>
        </w:tc>
        <w:tc>
          <w:tcPr>
            <w:tcW w:w="1564" w:type="pct"/>
            <w:vAlign w:val="center"/>
          </w:tcPr>
          <w:p w14:paraId="7D5E2C82" w14:textId="3A466B7E" w:rsidR="00EE2FCB" w:rsidRDefault="00EE2FCB" w:rsidP="004C79C1">
            <w:pPr>
              <w:pStyle w:val="TableText0"/>
              <w:spacing w:before="0" w:after="120"/>
              <w:rPr>
                <w:snapToGrid w:val="0"/>
              </w:rPr>
            </w:pPr>
            <w:r>
              <w:rPr>
                <w:snapToGrid w:val="0"/>
              </w:rPr>
              <w:t>Determining whether DCM</w:t>
            </w:r>
            <w:r w:rsidR="00153543">
              <w:rPr>
                <w:snapToGrid w:val="0"/>
              </w:rPr>
              <w:t xml:space="preserve"> is ischaemic or non-ischaemic</w:t>
            </w:r>
          </w:p>
        </w:tc>
        <w:tc>
          <w:tcPr>
            <w:tcW w:w="781" w:type="pct"/>
            <w:vAlign w:val="center"/>
          </w:tcPr>
          <w:p w14:paraId="20DE75DC" w14:textId="77777777" w:rsidR="00EE2FCB" w:rsidRDefault="00EE2FCB" w:rsidP="004C79C1">
            <w:pPr>
              <w:pStyle w:val="TableText0"/>
              <w:spacing w:before="0" w:after="120"/>
              <w:rPr>
                <w:snapToGrid w:val="0"/>
              </w:rPr>
            </w:pPr>
            <w:r>
              <w:rPr>
                <w:snapToGrid w:val="0"/>
              </w:rPr>
              <w:t>ICA</w:t>
            </w:r>
          </w:p>
        </w:tc>
      </w:tr>
      <w:tr w:rsidR="00EE2FCB" w:rsidRPr="00CE54BD" w14:paraId="4393FB00" w14:textId="77777777" w:rsidTr="00EE2FCB">
        <w:tc>
          <w:tcPr>
            <w:tcW w:w="544" w:type="pct"/>
            <w:shd w:val="clear" w:color="auto" w:fill="auto"/>
            <w:vAlign w:val="center"/>
          </w:tcPr>
          <w:p w14:paraId="17FD9848" w14:textId="77777777" w:rsidR="00EE2FCB"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Voigt et al. (2011)</w:t>
            </w:r>
          </w:p>
        </w:tc>
        <w:tc>
          <w:tcPr>
            <w:tcW w:w="235" w:type="pct"/>
            <w:shd w:val="clear" w:color="auto" w:fill="auto"/>
            <w:vAlign w:val="center"/>
          </w:tcPr>
          <w:p w14:paraId="76C7C045" w14:textId="77777777" w:rsidR="00EE2FCB" w:rsidRDefault="00EE2FCB" w:rsidP="004C79C1">
            <w:pPr>
              <w:pStyle w:val="TableText0"/>
              <w:spacing w:before="0" w:after="120"/>
              <w:jc w:val="center"/>
              <w:rPr>
                <w:snapToGrid w:val="0"/>
              </w:rPr>
            </w:pPr>
            <w:r>
              <w:rPr>
                <w:snapToGrid w:val="0"/>
              </w:rPr>
              <w:t>23</w:t>
            </w:r>
          </w:p>
        </w:tc>
        <w:tc>
          <w:tcPr>
            <w:tcW w:w="468" w:type="pct"/>
            <w:shd w:val="clear" w:color="auto" w:fill="auto"/>
            <w:vAlign w:val="center"/>
          </w:tcPr>
          <w:p w14:paraId="68280728"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62A77F8B"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4ED4D48E" w14:textId="77777777" w:rsidR="00EE2FCB" w:rsidRDefault="00EE2FCB" w:rsidP="004C79C1">
            <w:pPr>
              <w:pStyle w:val="TableText0"/>
              <w:spacing w:before="0" w:after="120"/>
              <w:rPr>
                <w:snapToGrid w:val="0"/>
              </w:rPr>
            </w:pPr>
            <w:r>
              <w:rPr>
                <w:snapToGrid w:val="0"/>
              </w:rPr>
              <w:t>HF patients with NIDCM</w:t>
            </w:r>
          </w:p>
        </w:tc>
        <w:tc>
          <w:tcPr>
            <w:tcW w:w="1564" w:type="pct"/>
            <w:vAlign w:val="center"/>
          </w:tcPr>
          <w:p w14:paraId="55EB3C5A" w14:textId="77777777" w:rsidR="00EE2FCB" w:rsidRDefault="00EE2FCB" w:rsidP="004C79C1">
            <w:pPr>
              <w:pStyle w:val="TableText0"/>
              <w:spacing w:before="0" w:after="120"/>
              <w:rPr>
                <w:snapToGrid w:val="0"/>
              </w:rPr>
            </w:pPr>
            <w:r>
              <w:rPr>
                <w:snapToGrid w:val="0"/>
              </w:rPr>
              <w:t>Determining whether DCM has an inflammatory cause</w:t>
            </w:r>
          </w:p>
        </w:tc>
        <w:tc>
          <w:tcPr>
            <w:tcW w:w="781" w:type="pct"/>
            <w:vAlign w:val="center"/>
          </w:tcPr>
          <w:p w14:paraId="3C7730B2" w14:textId="1068095D" w:rsidR="00EE2FCB" w:rsidRDefault="00EE2FCB" w:rsidP="004C79C1">
            <w:pPr>
              <w:pStyle w:val="TableText0"/>
              <w:spacing w:before="0" w:after="120"/>
              <w:rPr>
                <w:snapToGrid w:val="0"/>
              </w:rPr>
            </w:pPr>
            <w:r>
              <w:rPr>
                <w:snapToGrid w:val="0"/>
              </w:rPr>
              <w:t>E</w:t>
            </w:r>
            <w:r w:rsidR="00BC4BFC">
              <w:rPr>
                <w:snapToGrid w:val="0"/>
              </w:rPr>
              <w:t>MB</w:t>
            </w:r>
          </w:p>
        </w:tc>
      </w:tr>
      <w:tr w:rsidR="00EE2FCB" w:rsidRPr="00CE54BD" w14:paraId="4DB47F6C" w14:textId="77777777" w:rsidTr="00EE2FCB">
        <w:tc>
          <w:tcPr>
            <w:tcW w:w="544" w:type="pct"/>
            <w:shd w:val="clear" w:color="auto" w:fill="auto"/>
            <w:vAlign w:val="center"/>
          </w:tcPr>
          <w:p w14:paraId="1F10FCC7" w14:textId="77777777" w:rsidR="00EE2FCB" w:rsidRPr="00CF4E70" w:rsidRDefault="00EE2FCB" w:rsidP="004C79C1">
            <w:pPr>
              <w:spacing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Won et al. (2015)</w:t>
            </w:r>
          </w:p>
        </w:tc>
        <w:tc>
          <w:tcPr>
            <w:tcW w:w="235" w:type="pct"/>
            <w:shd w:val="clear" w:color="auto" w:fill="auto"/>
            <w:vAlign w:val="center"/>
          </w:tcPr>
          <w:p w14:paraId="69BE2699" w14:textId="77777777" w:rsidR="00EE2FCB" w:rsidRDefault="00EE2FCB" w:rsidP="004C79C1">
            <w:pPr>
              <w:pStyle w:val="TableText0"/>
              <w:spacing w:before="0" w:after="120"/>
              <w:jc w:val="center"/>
              <w:rPr>
                <w:snapToGrid w:val="0"/>
              </w:rPr>
            </w:pPr>
            <w:r>
              <w:rPr>
                <w:snapToGrid w:val="0"/>
              </w:rPr>
              <w:t>83</w:t>
            </w:r>
          </w:p>
        </w:tc>
        <w:tc>
          <w:tcPr>
            <w:tcW w:w="468" w:type="pct"/>
            <w:shd w:val="clear" w:color="auto" w:fill="auto"/>
            <w:vAlign w:val="center"/>
          </w:tcPr>
          <w:p w14:paraId="3EDBA049" w14:textId="77777777" w:rsidR="00EE2FCB" w:rsidRDefault="00EE2FCB" w:rsidP="004C79C1">
            <w:pPr>
              <w:pStyle w:val="TableText0"/>
              <w:spacing w:before="0" w:after="120"/>
              <w:jc w:val="center"/>
              <w:rPr>
                <w:snapToGrid w:val="0"/>
              </w:rPr>
            </w:pPr>
            <w:r>
              <w:rPr>
                <w:snapToGrid w:val="0"/>
              </w:rPr>
              <w:t>II</w:t>
            </w:r>
          </w:p>
        </w:tc>
        <w:tc>
          <w:tcPr>
            <w:tcW w:w="391" w:type="pct"/>
            <w:shd w:val="clear" w:color="auto" w:fill="auto"/>
            <w:vAlign w:val="center"/>
          </w:tcPr>
          <w:p w14:paraId="0AA0EF28" w14:textId="77777777" w:rsidR="00EE2FCB" w:rsidRDefault="00EE2FCB" w:rsidP="004C79C1">
            <w:pPr>
              <w:pStyle w:val="TableText0"/>
              <w:spacing w:before="0" w:after="120"/>
              <w:rPr>
                <w:snapToGrid w:val="0"/>
              </w:rPr>
            </w:pPr>
            <w:r>
              <w:rPr>
                <w:snapToGrid w:val="0"/>
              </w:rPr>
              <w:t>Low</w:t>
            </w:r>
          </w:p>
        </w:tc>
        <w:tc>
          <w:tcPr>
            <w:tcW w:w="1016" w:type="pct"/>
            <w:shd w:val="clear" w:color="auto" w:fill="auto"/>
            <w:vAlign w:val="center"/>
          </w:tcPr>
          <w:p w14:paraId="5B0394D1" w14:textId="77777777" w:rsidR="00EE2FCB" w:rsidRDefault="00EE2FCB" w:rsidP="004C79C1">
            <w:pPr>
              <w:pStyle w:val="TableText0"/>
              <w:spacing w:before="0" w:after="120"/>
              <w:rPr>
                <w:snapToGrid w:val="0"/>
              </w:rPr>
            </w:pPr>
            <w:r>
              <w:rPr>
                <w:snapToGrid w:val="0"/>
              </w:rPr>
              <w:t>HF patients with LV dysfunction</w:t>
            </w:r>
          </w:p>
        </w:tc>
        <w:tc>
          <w:tcPr>
            <w:tcW w:w="1564" w:type="pct"/>
            <w:vAlign w:val="center"/>
          </w:tcPr>
          <w:p w14:paraId="3370F41D" w14:textId="5559FB32" w:rsidR="00EE2FCB" w:rsidRDefault="00EE2FCB" w:rsidP="004C79C1">
            <w:pPr>
              <w:pStyle w:val="TableText0"/>
              <w:spacing w:before="0" w:after="120"/>
              <w:rPr>
                <w:snapToGrid w:val="0"/>
              </w:rPr>
            </w:pPr>
            <w:r>
              <w:rPr>
                <w:snapToGrid w:val="0"/>
              </w:rPr>
              <w:t xml:space="preserve">Determining whether CM is </w:t>
            </w:r>
            <w:r w:rsidR="00410DCD">
              <w:rPr>
                <w:snapToGrid w:val="0"/>
              </w:rPr>
              <w:t>ischaemic</w:t>
            </w:r>
            <w:r>
              <w:rPr>
                <w:snapToGrid w:val="0"/>
              </w:rPr>
              <w:t xml:space="preserve"> or non-</w:t>
            </w:r>
            <w:r w:rsidR="00410DCD">
              <w:rPr>
                <w:snapToGrid w:val="0"/>
              </w:rPr>
              <w:t>ischaemic</w:t>
            </w:r>
          </w:p>
        </w:tc>
        <w:tc>
          <w:tcPr>
            <w:tcW w:w="781" w:type="pct"/>
            <w:vAlign w:val="center"/>
          </w:tcPr>
          <w:p w14:paraId="0F51BC61" w14:textId="77777777" w:rsidR="00EE2FCB" w:rsidRDefault="00EE2FCB" w:rsidP="004C79C1">
            <w:pPr>
              <w:pStyle w:val="TableText0"/>
              <w:spacing w:before="0" w:after="120"/>
              <w:rPr>
                <w:snapToGrid w:val="0"/>
              </w:rPr>
            </w:pPr>
            <w:r>
              <w:rPr>
                <w:snapToGrid w:val="0"/>
              </w:rPr>
              <w:t>ICA</w:t>
            </w:r>
          </w:p>
        </w:tc>
      </w:tr>
      <w:tr w:rsidR="00EE2FCB" w:rsidRPr="00CE54BD" w14:paraId="038ED896" w14:textId="77777777" w:rsidTr="00EE2FCB">
        <w:tc>
          <w:tcPr>
            <w:tcW w:w="544" w:type="pct"/>
            <w:shd w:val="clear" w:color="auto" w:fill="auto"/>
            <w:vAlign w:val="center"/>
          </w:tcPr>
          <w:p w14:paraId="20893631" w14:textId="77777777" w:rsidR="00EE2FCB" w:rsidRPr="00CE54BD" w:rsidRDefault="00EE2FCB" w:rsidP="004C79C1">
            <w:pPr>
              <w:pStyle w:val="TableText0"/>
              <w:spacing w:before="0" w:after="120"/>
              <w:rPr>
                <w:snapToGrid w:val="0"/>
              </w:rPr>
            </w:pPr>
            <w:r w:rsidRPr="00CE54BD">
              <w:rPr>
                <w:snapToGrid w:val="0"/>
              </w:rPr>
              <w:lastRenderedPageBreak/>
              <w:t>Yoshida</w:t>
            </w:r>
            <w:r>
              <w:rPr>
                <w:snapToGrid w:val="0"/>
              </w:rPr>
              <w:t xml:space="preserve">, </w:t>
            </w:r>
            <w:r w:rsidRPr="000514F8">
              <w:t>Ishibashi-Ueda</w:t>
            </w:r>
            <w:r>
              <w:t xml:space="preserve"> et al. (2013)</w:t>
            </w:r>
          </w:p>
        </w:tc>
        <w:tc>
          <w:tcPr>
            <w:tcW w:w="235" w:type="pct"/>
            <w:shd w:val="clear" w:color="auto" w:fill="auto"/>
            <w:vAlign w:val="center"/>
          </w:tcPr>
          <w:p w14:paraId="4AF0B51D" w14:textId="77777777" w:rsidR="00EE2FCB" w:rsidRPr="00CE54BD" w:rsidRDefault="00EE2FCB" w:rsidP="004C79C1">
            <w:pPr>
              <w:pStyle w:val="TableText0"/>
              <w:spacing w:before="0" w:after="120"/>
              <w:jc w:val="center"/>
              <w:rPr>
                <w:snapToGrid w:val="0"/>
              </w:rPr>
            </w:pPr>
            <w:r>
              <w:rPr>
                <w:snapToGrid w:val="0"/>
              </w:rPr>
              <w:t>136</w:t>
            </w:r>
          </w:p>
        </w:tc>
        <w:tc>
          <w:tcPr>
            <w:tcW w:w="468" w:type="pct"/>
            <w:shd w:val="clear" w:color="auto" w:fill="auto"/>
            <w:vAlign w:val="center"/>
          </w:tcPr>
          <w:p w14:paraId="0F610609" w14:textId="77777777" w:rsidR="00EE2FCB" w:rsidRPr="00CE54BD" w:rsidRDefault="00EE2FCB" w:rsidP="004C79C1">
            <w:pPr>
              <w:pStyle w:val="TableText0"/>
              <w:spacing w:before="0" w:after="120"/>
              <w:jc w:val="center"/>
              <w:rPr>
                <w:snapToGrid w:val="0"/>
              </w:rPr>
            </w:pPr>
            <w:r>
              <w:rPr>
                <w:snapToGrid w:val="0"/>
              </w:rPr>
              <w:t>III-1</w:t>
            </w:r>
          </w:p>
        </w:tc>
        <w:tc>
          <w:tcPr>
            <w:tcW w:w="391" w:type="pct"/>
            <w:shd w:val="clear" w:color="auto" w:fill="auto"/>
            <w:vAlign w:val="center"/>
          </w:tcPr>
          <w:p w14:paraId="18313B59" w14:textId="77777777" w:rsidR="00EE2FCB" w:rsidRPr="00CE54BD" w:rsidRDefault="00EE2FCB" w:rsidP="004C79C1">
            <w:pPr>
              <w:pStyle w:val="TableText0"/>
              <w:spacing w:before="0" w:after="120"/>
              <w:rPr>
                <w:snapToGrid w:val="0"/>
              </w:rPr>
            </w:pPr>
            <w:r w:rsidRPr="00CE54BD">
              <w:rPr>
                <w:snapToGrid w:val="0"/>
              </w:rPr>
              <w:t>Low</w:t>
            </w:r>
          </w:p>
        </w:tc>
        <w:tc>
          <w:tcPr>
            <w:tcW w:w="1016" w:type="pct"/>
            <w:shd w:val="clear" w:color="auto" w:fill="auto"/>
            <w:vAlign w:val="center"/>
          </w:tcPr>
          <w:p w14:paraId="33BE8206" w14:textId="77777777" w:rsidR="00EE2FCB" w:rsidRPr="00CE54BD" w:rsidRDefault="00EE2FCB" w:rsidP="004C79C1">
            <w:pPr>
              <w:pStyle w:val="TableText0"/>
              <w:spacing w:before="0" w:after="120"/>
              <w:rPr>
                <w:snapToGrid w:val="0"/>
              </w:rPr>
            </w:pPr>
            <w:r>
              <w:t>HF patients with LV hypertrophy or dysfunction</w:t>
            </w:r>
          </w:p>
        </w:tc>
        <w:tc>
          <w:tcPr>
            <w:tcW w:w="1564" w:type="pct"/>
            <w:vAlign w:val="center"/>
          </w:tcPr>
          <w:p w14:paraId="2E8EFEF7" w14:textId="6B120957" w:rsidR="00EE2FCB" w:rsidRPr="00CE54BD" w:rsidRDefault="00EE2FCB" w:rsidP="004C79C1">
            <w:pPr>
              <w:pStyle w:val="TableText0"/>
              <w:spacing w:before="0" w:after="120"/>
              <w:rPr>
                <w:snapToGrid w:val="0"/>
              </w:rPr>
            </w:pPr>
            <w:r>
              <w:t>Diagnos</w:t>
            </w:r>
            <w:r w:rsidR="00BC4BFC">
              <w:t>ing</w:t>
            </w:r>
            <w:r>
              <w:t xml:space="preserve"> DCM (negative result = </w:t>
            </w:r>
            <w:r>
              <w:rPr>
                <w:rFonts w:eastAsiaTheme="minorHAnsi"/>
              </w:rPr>
              <w:t>other CM, hypertensive heart disease or other)</w:t>
            </w:r>
          </w:p>
        </w:tc>
        <w:tc>
          <w:tcPr>
            <w:tcW w:w="781" w:type="pct"/>
            <w:vAlign w:val="center"/>
          </w:tcPr>
          <w:p w14:paraId="3ED81AF4" w14:textId="77777777" w:rsidR="00EE2FCB" w:rsidRPr="00CE54BD" w:rsidRDefault="00EE2FCB" w:rsidP="004C79C1">
            <w:pPr>
              <w:pStyle w:val="TableText0"/>
              <w:spacing w:before="0" w:after="120"/>
              <w:rPr>
                <w:snapToGrid w:val="0"/>
              </w:rPr>
            </w:pPr>
            <w:r>
              <w:rPr>
                <w:snapToGrid w:val="0"/>
              </w:rPr>
              <w:t>Clinical data</w:t>
            </w:r>
          </w:p>
        </w:tc>
      </w:tr>
    </w:tbl>
    <w:p w14:paraId="7D6F73EF" w14:textId="69944F38" w:rsidR="0050644D" w:rsidRDefault="0050644D" w:rsidP="004C79C1">
      <w:pPr>
        <w:pStyle w:val="TableText0"/>
        <w:spacing w:before="0" w:after="120"/>
        <w:jc w:val="both"/>
        <w:rPr>
          <w:rStyle w:val="TablenotesChar0"/>
          <w:sz w:val="22"/>
        </w:rPr>
      </w:pPr>
      <w:r>
        <w:rPr>
          <w:rStyle w:val="TablenotesChar0"/>
        </w:rPr>
        <w:t>I</w:t>
      </w:r>
      <w:r w:rsidR="00702B17">
        <w:rPr>
          <w:rStyle w:val="TablenotesChar0"/>
        </w:rPr>
        <w:t xml:space="preserve"> </w:t>
      </w:r>
      <w:r>
        <w:rPr>
          <w:rStyle w:val="TablenotesChar0"/>
        </w:rPr>
        <w:t>=</w:t>
      </w:r>
      <w:r w:rsidR="00702B17">
        <w:rPr>
          <w:rStyle w:val="TablenotesChar0"/>
        </w:rPr>
        <w:t xml:space="preserve"> </w:t>
      </w:r>
      <w:r w:rsidR="00F373FA">
        <w:rPr>
          <w:rStyle w:val="TablenotesChar0"/>
        </w:rPr>
        <w:t>SR</w:t>
      </w:r>
      <w:r>
        <w:rPr>
          <w:rStyle w:val="TablenotesChar0"/>
        </w:rPr>
        <w:t xml:space="preserve"> of level II studies </w:t>
      </w:r>
    </w:p>
    <w:p w14:paraId="37BF9F38" w14:textId="79AFF800" w:rsidR="0050644D" w:rsidRDefault="0050644D" w:rsidP="004C79C1">
      <w:pPr>
        <w:pStyle w:val="TableText0"/>
        <w:spacing w:before="0" w:after="120"/>
        <w:jc w:val="both"/>
        <w:rPr>
          <w:rStyle w:val="TablenotesChar0"/>
        </w:rPr>
      </w:pPr>
      <w:r>
        <w:rPr>
          <w:rStyle w:val="TablenotesChar0"/>
        </w:rPr>
        <w:t>II</w:t>
      </w:r>
      <w:r w:rsidR="00702B17">
        <w:rPr>
          <w:rStyle w:val="TablenotesChar0"/>
        </w:rPr>
        <w:t xml:space="preserve"> </w:t>
      </w:r>
      <w:r>
        <w:rPr>
          <w:rStyle w:val="TablenotesChar0"/>
        </w:rPr>
        <w:t>=</w:t>
      </w:r>
      <w:r w:rsidR="00702B17">
        <w:rPr>
          <w:rStyle w:val="TablenotesChar0"/>
        </w:rPr>
        <w:t xml:space="preserve"> </w:t>
      </w:r>
      <w:r>
        <w:rPr>
          <w:rStyle w:val="TablenotesChar0"/>
        </w:rPr>
        <w:t>study of test accuracy with an independent, blinded comparison with a valid reference standard, among consecutive patients with a defined clinical presentation</w:t>
      </w:r>
    </w:p>
    <w:p w14:paraId="4D4C09E0" w14:textId="54EA0BEA" w:rsidR="0050644D" w:rsidRDefault="0050644D" w:rsidP="004C79C1">
      <w:pPr>
        <w:pStyle w:val="TableText0"/>
        <w:spacing w:before="0" w:after="120"/>
        <w:jc w:val="both"/>
        <w:rPr>
          <w:rStyle w:val="TablenotesChar0"/>
        </w:rPr>
      </w:pPr>
      <w:r>
        <w:rPr>
          <w:rStyle w:val="TablenotesChar0"/>
        </w:rPr>
        <w:t>III-1</w:t>
      </w:r>
      <w:r w:rsidR="00702B17">
        <w:rPr>
          <w:rStyle w:val="TablenotesChar0"/>
        </w:rPr>
        <w:t xml:space="preserve"> </w:t>
      </w:r>
      <w:r>
        <w:rPr>
          <w:rStyle w:val="TablenotesChar0"/>
        </w:rPr>
        <w:t>=</w:t>
      </w:r>
      <w:r w:rsidR="00702B17">
        <w:rPr>
          <w:rStyle w:val="TablenotesChar0"/>
        </w:rPr>
        <w:t xml:space="preserve"> </w:t>
      </w:r>
      <w:r>
        <w:rPr>
          <w:rStyle w:val="TablenotesChar0"/>
        </w:rPr>
        <w:t>study of test accuracy with an independent blinded comparison with a valid reference standard, among non-consecutive persons with a defined clinical presentation</w:t>
      </w:r>
    </w:p>
    <w:p w14:paraId="7923AABE" w14:textId="31D7F769" w:rsidR="0050644D" w:rsidRDefault="0050644D" w:rsidP="004C79C1">
      <w:pPr>
        <w:pStyle w:val="TableText0"/>
        <w:spacing w:before="0" w:after="120"/>
        <w:jc w:val="both"/>
        <w:rPr>
          <w:rStyle w:val="TablenotesChar0"/>
        </w:rPr>
      </w:pPr>
      <w:r>
        <w:rPr>
          <w:rStyle w:val="TablenotesChar0"/>
        </w:rPr>
        <w:t>III-2</w:t>
      </w:r>
      <w:r w:rsidR="00702B17">
        <w:rPr>
          <w:rStyle w:val="TablenotesChar0"/>
        </w:rPr>
        <w:t xml:space="preserve"> </w:t>
      </w:r>
      <w:r>
        <w:rPr>
          <w:rStyle w:val="TablenotesChar0"/>
        </w:rPr>
        <w:t>=</w:t>
      </w:r>
      <w:r w:rsidR="00702B17">
        <w:rPr>
          <w:rStyle w:val="TablenotesChar0"/>
        </w:rPr>
        <w:t xml:space="preserve"> </w:t>
      </w:r>
      <w:r>
        <w:rPr>
          <w:rStyle w:val="TablenotesChar0"/>
        </w:rPr>
        <w:t>comparison with reference standard that does not meet the criteria for level II and III-1 evidence</w:t>
      </w:r>
    </w:p>
    <w:p w14:paraId="685A2917" w14:textId="05642107" w:rsidR="0050644D" w:rsidRDefault="0050644D" w:rsidP="004C79C1">
      <w:pPr>
        <w:pStyle w:val="TableText0"/>
        <w:spacing w:before="0" w:after="120"/>
        <w:jc w:val="both"/>
        <w:rPr>
          <w:rStyle w:val="TablenotesChar0"/>
        </w:rPr>
      </w:pPr>
      <w:r>
        <w:rPr>
          <w:rStyle w:val="TablenotesChar0"/>
        </w:rPr>
        <w:t>III-3</w:t>
      </w:r>
      <w:r w:rsidR="00702B17">
        <w:rPr>
          <w:rStyle w:val="TablenotesChar0"/>
        </w:rPr>
        <w:t xml:space="preserve"> </w:t>
      </w:r>
      <w:r>
        <w:rPr>
          <w:rStyle w:val="TablenotesChar0"/>
        </w:rPr>
        <w:t>=</w:t>
      </w:r>
      <w:r w:rsidR="00702B17">
        <w:rPr>
          <w:rStyle w:val="TablenotesChar0"/>
        </w:rPr>
        <w:t xml:space="preserve"> </w:t>
      </w:r>
      <w:r>
        <w:rPr>
          <w:rStyle w:val="TablenotesChar0"/>
        </w:rPr>
        <w:t>diagnostic case-control study</w:t>
      </w:r>
    </w:p>
    <w:p w14:paraId="65E7511D" w14:textId="14A515BA" w:rsidR="0050644D" w:rsidRDefault="0050644D" w:rsidP="004C79C1">
      <w:pPr>
        <w:pStyle w:val="TableText0"/>
        <w:spacing w:before="0" w:after="120"/>
        <w:jc w:val="both"/>
        <w:rPr>
          <w:rStyle w:val="TablenotesChar0"/>
        </w:rPr>
      </w:pPr>
      <w:r>
        <w:rPr>
          <w:rStyle w:val="TablenotesChar0"/>
        </w:rPr>
        <w:t>IV</w:t>
      </w:r>
      <w:r w:rsidR="00702B17">
        <w:rPr>
          <w:rStyle w:val="TablenotesChar0"/>
        </w:rPr>
        <w:t xml:space="preserve"> </w:t>
      </w:r>
      <w:r>
        <w:rPr>
          <w:rStyle w:val="TablenotesChar0"/>
        </w:rPr>
        <w:t>=</w:t>
      </w:r>
      <w:r w:rsidR="00702B17">
        <w:rPr>
          <w:rStyle w:val="TablenotesChar0"/>
        </w:rPr>
        <w:t xml:space="preserve"> </w:t>
      </w:r>
      <w:r>
        <w:rPr>
          <w:rStyle w:val="TablenotesChar0"/>
        </w:rPr>
        <w:t>study of diagnostic yield (no reference standard)</w:t>
      </w:r>
    </w:p>
    <w:p w14:paraId="198E0F5E" w14:textId="44B8DC46" w:rsidR="001D02C7" w:rsidRPr="00F46C5B" w:rsidRDefault="001D02C7" w:rsidP="004C79C1">
      <w:pPr>
        <w:spacing w:after="120" w:line="240" w:lineRule="auto"/>
        <w:jc w:val="both"/>
        <w:rPr>
          <w:rFonts w:ascii="Arial Narrow" w:hAnsi="Arial Narrow"/>
          <w:sz w:val="20"/>
          <w:szCs w:val="20"/>
        </w:rPr>
      </w:pPr>
      <w:r w:rsidRPr="00F46C5B">
        <w:rPr>
          <w:rFonts w:ascii="Arial Narrow" w:hAnsi="Arial Narrow"/>
          <w:sz w:val="20"/>
          <w:szCs w:val="20"/>
        </w:rPr>
        <w:t xml:space="preserve">CAD = coronary artery disease; </w:t>
      </w:r>
      <w:r w:rsidR="009B38E1" w:rsidRPr="00F46C5B">
        <w:rPr>
          <w:rFonts w:ascii="Arial Narrow" w:hAnsi="Arial Narrow"/>
          <w:sz w:val="20"/>
          <w:szCs w:val="20"/>
        </w:rPr>
        <w:t>CM</w:t>
      </w:r>
      <w:r w:rsidRPr="00F46C5B">
        <w:rPr>
          <w:rFonts w:ascii="Arial Narrow" w:hAnsi="Arial Narrow"/>
          <w:sz w:val="20"/>
          <w:szCs w:val="20"/>
        </w:rPr>
        <w:t xml:space="preserve"> = cardi</w:t>
      </w:r>
      <w:r w:rsidR="009B38E1" w:rsidRPr="00F46C5B">
        <w:rPr>
          <w:rFonts w:ascii="Arial Narrow" w:hAnsi="Arial Narrow"/>
          <w:sz w:val="20"/>
          <w:szCs w:val="20"/>
        </w:rPr>
        <w:t>omyopathy</w:t>
      </w:r>
      <w:r w:rsidRPr="00F46C5B">
        <w:rPr>
          <w:rFonts w:ascii="Arial Narrow" w:hAnsi="Arial Narrow"/>
          <w:sz w:val="20"/>
          <w:szCs w:val="20"/>
        </w:rPr>
        <w:t xml:space="preserve">; DCM = dilated cardiomyopathy; ECG = electrocardiogram; EMB = endomyocardial biopsy; </w:t>
      </w:r>
      <w:r w:rsidR="004D3F6E" w:rsidRPr="00F46C5B">
        <w:rPr>
          <w:rFonts w:ascii="Arial Narrow" w:hAnsi="Arial Narrow"/>
          <w:sz w:val="20"/>
          <w:szCs w:val="20"/>
        </w:rPr>
        <w:t xml:space="preserve">HF = heart failure; </w:t>
      </w:r>
      <w:r w:rsidRPr="00F46C5B">
        <w:rPr>
          <w:rFonts w:ascii="Arial Narrow" w:hAnsi="Arial Narrow"/>
          <w:sz w:val="20"/>
          <w:szCs w:val="20"/>
        </w:rPr>
        <w:t xml:space="preserve">ICA = invasive coronary angiography; </w:t>
      </w:r>
      <w:r w:rsidR="00F46C5B" w:rsidRPr="00F46C5B">
        <w:rPr>
          <w:rFonts w:ascii="Arial Narrow" w:hAnsi="Arial Narrow"/>
          <w:sz w:val="20"/>
          <w:szCs w:val="20"/>
        </w:rPr>
        <w:t xml:space="preserve">LGE-CMR = </w:t>
      </w:r>
      <w:r w:rsidR="00F46C5B" w:rsidRPr="00DD060C">
        <w:rPr>
          <w:rFonts w:ascii="Arial Narrow" w:hAnsi="Arial Narrow"/>
          <w:sz w:val="20"/>
          <w:szCs w:val="20"/>
        </w:rPr>
        <w:t xml:space="preserve">late gadolinium enhancement; </w:t>
      </w:r>
      <w:r w:rsidR="004D3F6E" w:rsidRPr="00F46C5B">
        <w:rPr>
          <w:rFonts w:ascii="Arial Narrow" w:hAnsi="Arial Narrow"/>
          <w:sz w:val="20"/>
          <w:szCs w:val="20"/>
        </w:rPr>
        <w:t xml:space="preserve">LV = </w:t>
      </w:r>
      <w:r w:rsidR="00CE47EC" w:rsidRPr="00DD060C">
        <w:rPr>
          <w:rFonts w:ascii="Arial Narrow" w:hAnsi="Arial Narrow"/>
          <w:sz w:val="20"/>
          <w:szCs w:val="20"/>
        </w:rPr>
        <w:t>left ventricular / left ventricle</w:t>
      </w:r>
      <w:r w:rsidR="00CE47EC" w:rsidRPr="00F46C5B">
        <w:rPr>
          <w:rFonts w:ascii="Arial Narrow" w:hAnsi="Arial Narrow"/>
          <w:sz w:val="20"/>
          <w:szCs w:val="20"/>
        </w:rPr>
        <w:t xml:space="preserve">; LVEF = </w:t>
      </w:r>
      <w:r w:rsidR="00CE47EC" w:rsidRPr="00DD060C">
        <w:rPr>
          <w:rFonts w:ascii="Arial Narrow" w:hAnsi="Arial Narrow"/>
          <w:sz w:val="20"/>
          <w:szCs w:val="20"/>
        </w:rPr>
        <w:t>left ventricular ejection fraction</w:t>
      </w:r>
      <w:r w:rsidR="000E4FF4">
        <w:rPr>
          <w:rFonts w:ascii="Arial Narrow" w:hAnsi="Arial Narrow"/>
          <w:sz w:val="20"/>
          <w:szCs w:val="20"/>
        </w:rPr>
        <w:t>: SR = systematic review</w:t>
      </w:r>
      <w:r w:rsidRPr="00F46C5B">
        <w:rPr>
          <w:rFonts w:ascii="Arial Narrow" w:hAnsi="Arial Narrow"/>
          <w:sz w:val="20"/>
          <w:szCs w:val="20"/>
        </w:rPr>
        <w:t xml:space="preserve"> </w:t>
      </w:r>
    </w:p>
    <w:p w14:paraId="37264C8E" w14:textId="428FB0B9" w:rsidR="007A49EE" w:rsidRPr="007A49EE" w:rsidRDefault="007A49EE" w:rsidP="004C79C1">
      <w:pPr>
        <w:pStyle w:val="Heading2"/>
        <w:numPr>
          <w:ilvl w:val="1"/>
          <w:numId w:val="19"/>
        </w:numPr>
        <w:spacing w:before="0" w:after="120" w:line="240" w:lineRule="auto"/>
      </w:pPr>
      <w:bookmarkStart w:id="233" w:name="_Toc451501307"/>
      <w:r w:rsidRPr="00183E4D">
        <w:t>Risk of Bias Assessment</w:t>
      </w:r>
      <w:bookmarkEnd w:id="233"/>
    </w:p>
    <w:p w14:paraId="20291D2C" w14:textId="6EE3823A" w:rsidR="00924450" w:rsidRDefault="005C24DF" w:rsidP="004C79C1">
      <w:pPr>
        <w:spacing w:after="120" w:line="240" w:lineRule="auto"/>
        <w:jc w:val="both"/>
      </w:pPr>
      <w:r>
        <w:t>The risk of bias for the 1</w:t>
      </w:r>
      <w:r w:rsidR="00590AD0">
        <w:t>2</w:t>
      </w:r>
      <w:r>
        <w:t xml:space="preserve"> studies identified in the literature searches was assessed using the QUADAS-2 tool </w:t>
      </w:r>
      <w:r>
        <w:fldChar w:fldCharType="begin"/>
      </w:r>
      <w:r w:rsidR="00187A29">
        <w:instrText xml:space="preserve"> ADDIN EN.CITE &lt;EndNote&gt;&lt;Cite&gt;&lt;Author&gt;Whiting&lt;/Author&gt;&lt;Year&gt;2011&lt;/Year&gt;&lt;RecNum&gt;143&lt;/RecNum&gt;&lt;IDText&gt;529–36&lt;/IDText&gt;&lt;DisplayText&gt;(Whiting et al. 2011)&lt;/DisplayText&gt;&lt;record&gt;&lt;rec-number&gt;143&lt;/rec-number&gt;&lt;foreign-keys&gt;&lt;key app="EN" db-id="pfxxvref0t0a5de2vwnv2fwkz0p9v0r2fw0t" timestamp="1458775736"&gt;143&lt;/key&gt;&lt;/foreign-keys&gt;&lt;ref-type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studies&lt;/title&gt;&lt;secondary-title&gt;Annals of Internal Medicine&lt;/secondary-title&gt;&lt;/titles&gt;&lt;periodical&gt;&lt;full-title&gt;Annals of Internal Medicine&lt;/full-title&gt;&lt;/periodical&gt;&lt;pages&gt;529–36&lt;/pages&gt;&lt;volume&gt;155&lt;/volume&gt;&lt;number&gt;8&lt;/number&gt;&lt;edition&gt;2011/10/19&lt;/edition&gt;&lt;keywords&gt;&lt;keyword&gt;Bias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fldChar w:fldCharType="separate"/>
      </w:r>
      <w:r>
        <w:rPr>
          <w:noProof/>
        </w:rPr>
        <w:t>(</w:t>
      </w:r>
      <w:hyperlink w:anchor="_ENREF_134" w:tooltip="Whiting, 2011 #143" w:history="1">
        <w:r w:rsidR="00B906E9">
          <w:rPr>
            <w:noProof/>
          </w:rPr>
          <w:t>Whiting et al. 2011</w:t>
        </w:r>
      </w:hyperlink>
      <w:r>
        <w:rPr>
          <w:noProof/>
        </w:rPr>
        <w:t>)</w:t>
      </w:r>
      <w:r>
        <w:fldChar w:fldCharType="end"/>
      </w:r>
      <w:r>
        <w:t xml:space="preserve">. A summary of the risk of bias and the concerns regarding applicability are shown in </w:t>
      </w:r>
      <w:r>
        <w:fldChar w:fldCharType="begin"/>
      </w:r>
      <w:r>
        <w:instrText xml:space="preserve"> REF _Ref445365937 \h </w:instrText>
      </w:r>
      <w:r w:rsidR="002B0037">
        <w:instrText xml:space="preserve"> \* MERGEFORMAT </w:instrText>
      </w:r>
      <w:r>
        <w:fldChar w:fldCharType="separate"/>
      </w:r>
      <w:r w:rsidR="00B840E2" w:rsidRPr="00714195">
        <w:t xml:space="preserve">Figure </w:t>
      </w:r>
      <w:r w:rsidR="00B840E2">
        <w:rPr>
          <w:noProof/>
        </w:rPr>
        <w:t>6</w:t>
      </w:r>
      <w:r>
        <w:fldChar w:fldCharType="end"/>
      </w:r>
      <w:r>
        <w:t>.</w:t>
      </w:r>
      <w:r w:rsidR="00176A56">
        <w:t xml:space="preserve"> </w:t>
      </w:r>
      <w:r w:rsidR="006030A3">
        <w:t xml:space="preserve">The risk of bias for each of the available studies is listed in </w:t>
      </w:r>
      <w:r w:rsidR="00D14263">
        <w:fldChar w:fldCharType="begin"/>
      </w:r>
      <w:r w:rsidR="00D14263">
        <w:instrText xml:space="preserve"> REF _Ref445369513 \h </w:instrText>
      </w:r>
      <w:r w:rsidR="00D14263">
        <w:fldChar w:fldCharType="separate"/>
      </w:r>
      <w:r w:rsidR="00B840E2">
        <w:t xml:space="preserve">Table </w:t>
      </w:r>
      <w:r w:rsidR="00B840E2">
        <w:rPr>
          <w:noProof/>
        </w:rPr>
        <w:t>10</w:t>
      </w:r>
      <w:r w:rsidR="00D14263">
        <w:fldChar w:fldCharType="end"/>
      </w:r>
      <w:r w:rsidR="006030A3">
        <w:t xml:space="preserve">. </w:t>
      </w:r>
      <w:r w:rsidR="002B0037">
        <w:t>I</w:t>
      </w:r>
      <w:r w:rsidR="006030A3">
        <w:t xml:space="preserve">ndividual studies that had at least two domains with </w:t>
      </w:r>
      <w:r w:rsidR="006030A3" w:rsidRPr="00C019DC">
        <w:rPr>
          <w:sz w:val="20"/>
          <w:shd w:val="clear" w:color="auto" w:fill="D6E3BC" w:themeFill="accent3" w:themeFillTint="66"/>
        </w:rPr>
        <w:sym w:font="Wingdings" w:char="F04A"/>
      </w:r>
      <w:r w:rsidR="006030A3">
        <w:t xml:space="preserve"> (indicating a low risk of bias) and no domains with </w:t>
      </w:r>
      <w:r w:rsidR="006030A3" w:rsidRPr="00C019DC">
        <w:rPr>
          <w:sz w:val="20"/>
          <w:shd w:val="clear" w:color="auto" w:fill="FBD4B4" w:themeFill="accent6" w:themeFillTint="66"/>
        </w:rPr>
        <w:sym w:font="Wingdings" w:char="F04C"/>
      </w:r>
      <w:r w:rsidR="006030A3" w:rsidRPr="006B6BCB">
        <w:t xml:space="preserve"> </w:t>
      </w:r>
      <w:r w:rsidR="006030A3">
        <w:t>(indicating a high risk of bias) out of</w:t>
      </w:r>
      <w:r w:rsidR="006030A3" w:rsidRPr="006B6BCB">
        <w:t xml:space="preserve"> the </w:t>
      </w:r>
      <w:r w:rsidR="006030A3">
        <w:t>four</w:t>
      </w:r>
      <w:r w:rsidR="006030A3" w:rsidRPr="006B6BCB">
        <w:t xml:space="preserve"> risk of bias domains were </w:t>
      </w:r>
      <w:r w:rsidR="006030A3">
        <w:t>defined as</w:t>
      </w:r>
      <w:r w:rsidR="006030A3" w:rsidRPr="006B6BCB">
        <w:t xml:space="preserve"> hav</w:t>
      </w:r>
      <w:r w:rsidR="006030A3">
        <w:t>ing</w:t>
      </w:r>
      <w:r w:rsidR="006030A3" w:rsidRPr="006B6BCB">
        <w:t xml:space="preserve"> a low risk of bias</w:t>
      </w:r>
      <w:r w:rsidR="006030A3">
        <w:t>;</w:t>
      </w:r>
      <w:r w:rsidR="006030A3" w:rsidRPr="006B6BCB">
        <w:t xml:space="preserve"> </w:t>
      </w:r>
      <w:r w:rsidR="006030A3">
        <w:t xml:space="preserve">studies with three or four domains with </w:t>
      </w:r>
      <w:r w:rsidR="006030A3" w:rsidRPr="00E44EB2">
        <w:rPr>
          <w:shd w:val="clear" w:color="auto" w:fill="DAEEF3" w:themeFill="accent5" w:themeFillTint="33"/>
        </w:rPr>
        <w:t>?</w:t>
      </w:r>
      <w:r w:rsidR="006030A3">
        <w:t xml:space="preserve"> (</w:t>
      </w:r>
      <w:proofErr w:type="gramStart"/>
      <w:r w:rsidR="006030A3">
        <w:t>indicating</w:t>
      </w:r>
      <w:proofErr w:type="gramEnd"/>
      <w:r w:rsidR="006030A3">
        <w:t xml:space="preserve"> that risk of bias could not be determined) were considered to have an unclear risk of bias</w:t>
      </w:r>
      <w:r w:rsidR="001028D2">
        <w:t>;</w:t>
      </w:r>
      <w:r w:rsidR="006030A3">
        <w:t xml:space="preserve"> and </w:t>
      </w:r>
      <w:r w:rsidR="006030A3" w:rsidRPr="006B6BCB">
        <w:t>studies with at</w:t>
      </w:r>
      <w:r w:rsidR="006030A3">
        <w:t xml:space="preserve"> least two domains with </w:t>
      </w:r>
      <w:r w:rsidR="006030A3" w:rsidRPr="00C019DC">
        <w:rPr>
          <w:sz w:val="20"/>
          <w:shd w:val="clear" w:color="auto" w:fill="FBD4B4" w:themeFill="accent6" w:themeFillTint="66"/>
        </w:rPr>
        <w:sym w:font="Wingdings" w:char="F04C"/>
      </w:r>
      <w:r w:rsidR="006030A3">
        <w:t xml:space="preserve"> </w:t>
      </w:r>
      <w:r w:rsidR="006030A3" w:rsidRPr="006B6BCB">
        <w:t xml:space="preserve">were </w:t>
      </w:r>
      <w:r w:rsidR="006030A3">
        <w:t>defined as</w:t>
      </w:r>
      <w:r w:rsidR="006030A3" w:rsidRPr="006B6BCB">
        <w:t xml:space="preserve"> hav</w:t>
      </w:r>
      <w:r w:rsidR="006030A3">
        <w:t>ing</w:t>
      </w:r>
      <w:r w:rsidR="006030A3" w:rsidRPr="006B6BCB">
        <w:t xml:space="preserve"> a high risk of bias.</w:t>
      </w:r>
      <w:r w:rsidR="00DB3E54">
        <w:t xml:space="preserve"> Overall, 8 out of 12</w:t>
      </w:r>
      <w:r w:rsidR="004E2C74">
        <w:t xml:space="preserve"> studies had a low risk of bias, </w:t>
      </w:r>
      <w:r w:rsidR="00590AD0">
        <w:t>1</w:t>
      </w:r>
      <w:r w:rsidR="004E2C74">
        <w:t xml:space="preserve"> had a </w:t>
      </w:r>
      <w:r w:rsidR="00C12837">
        <w:t xml:space="preserve">high </w:t>
      </w:r>
      <w:r w:rsidR="004E2C74">
        <w:t>risk of bias and 2 had an unclear risk of bias.</w:t>
      </w:r>
      <w:r w:rsidR="00531662">
        <w:t xml:space="preserve"> </w:t>
      </w:r>
      <w:r w:rsidR="00590AD0">
        <w:t>Four</w:t>
      </w:r>
      <w:r w:rsidR="00531662">
        <w:t xml:space="preserve"> </w:t>
      </w:r>
      <w:r w:rsidR="00590AD0">
        <w:t>studies did not specify whether the patient population had dilated LV</w:t>
      </w:r>
      <w:r w:rsidR="00884E39">
        <w:t>s</w:t>
      </w:r>
      <w:r w:rsidR="00590AD0">
        <w:t xml:space="preserve"> or included patients with varying types of CM. </w:t>
      </w:r>
    </w:p>
    <w:p w14:paraId="4AC56ECB" w14:textId="2E2C383E" w:rsidR="005C24DF" w:rsidRDefault="00AD2778" w:rsidP="004C79C1">
      <w:pPr>
        <w:keepNext/>
        <w:spacing w:after="120" w:line="240" w:lineRule="auto"/>
      </w:pPr>
      <w:r>
        <w:rPr>
          <w:noProof/>
        </w:rPr>
        <w:drawing>
          <wp:inline distT="0" distB="0" distL="0" distR="0" wp14:anchorId="7176735E" wp14:editId="65A11A8F">
            <wp:extent cx="5782933" cy="2231390"/>
            <wp:effectExtent l="0" t="0" r="8890" b="0"/>
            <wp:docPr id="13" name="Picture 13" descr="Summary of the risk of bias and applicability judgments for the 12 diagnostic accur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ary risk of bias figure DCM.png"/>
                    <pic:cNvPicPr/>
                  </pic:nvPicPr>
                  <pic:blipFill rotWithShape="1">
                    <a:blip r:embed="rId25">
                      <a:extLst>
                        <a:ext uri="{28A0092B-C50C-407E-A947-70E740481C1C}">
                          <a14:useLocalDpi xmlns:a14="http://schemas.microsoft.com/office/drawing/2010/main" val="0"/>
                        </a:ext>
                      </a:extLst>
                    </a:blip>
                    <a:srcRect r="15986"/>
                    <a:stretch/>
                  </pic:blipFill>
                  <pic:spPr bwMode="auto">
                    <a:xfrm>
                      <a:off x="0" y="0"/>
                      <a:ext cx="5797052" cy="2236838"/>
                    </a:xfrm>
                    <a:prstGeom prst="rect">
                      <a:avLst/>
                    </a:prstGeom>
                    <a:ln>
                      <a:noFill/>
                    </a:ln>
                    <a:extLst>
                      <a:ext uri="{53640926-AAD7-44D8-BBD7-CCE9431645EC}">
                        <a14:shadowObscured xmlns:a14="http://schemas.microsoft.com/office/drawing/2010/main"/>
                      </a:ext>
                    </a:extLst>
                  </pic:spPr>
                </pic:pic>
              </a:graphicData>
            </a:graphic>
          </wp:inline>
        </w:drawing>
      </w:r>
    </w:p>
    <w:p w14:paraId="3E8A5B73" w14:textId="6DA6F743" w:rsidR="005C24DF" w:rsidRDefault="005C24DF" w:rsidP="004C79C1">
      <w:pPr>
        <w:pStyle w:val="Caption"/>
      </w:pPr>
      <w:bookmarkStart w:id="234" w:name="_Ref445365937"/>
      <w:bookmarkStart w:id="235" w:name="_Toc324410128"/>
      <w:bookmarkStart w:id="236" w:name="_Toc451435452"/>
      <w:r w:rsidRPr="00714195">
        <w:t xml:space="preserve">Figure </w:t>
      </w:r>
      <w:fldSimple w:instr=" SEQ Figure \* ARABIC ">
        <w:r w:rsidR="00050936">
          <w:rPr>
            <w:noProof/>
          </w:rPr>
          <w:t>6</w:t>
        </w:r>
      </w:fldSimple>
      <w:bookmarkEnd w:id="234"/>
      <w:r>
        <w:t xml:space="preserve"> </w:t>
      </w:r>
      <w:r w:rsidR="00947CDE">
        <w:tab/>
      </w:r>
      <w:r w:rsidRPr="00B55BA1">
        <w:t>Summary of the risk of bias and ap</w:t>
      </w:r>
      <w:r w:rsidR="00DB3E54">
        <w:t>plicability judgments for the 12</w:t>
      </w:r>
      <w:r w:rsidRPr="00B55BA1">
        <w:t xml:space="preserve"> diagnostic accuracy studies</w:t>
      </w:r>
      <w:bookmarkEnd w:id="235"/>
      <w:bookmarkEnd w:id="236"/>
    </w:p>
    <w:p w14:paraId="484182BD" w14:textId="77777777" w:rsidR="003D2E6D" w:rsidRDefault="003D2E6D" w:rsidP="004C79C1">
      <w:pPr>
        <w:pStyle w:val="Caption"/>
        <w:keepNext/>
      </w:pPr>
    </w:p>
    <w:p w14:paraId="322D8822" w14:textId="36994947" w:rsidR="002F1CA9" w:rsidRDefault="002F1CA9" w:rsidP="004C79C1">
      <w:pPr>
        <w:pStyle w:val="TableHeading"/>
        <w:spacing w:before="0" w:after="120"/>
      </w:pPr>
      <w:bookmarkStart w:id="237" w:name="_Ref445369513"/>
      <w:bookmarkStart w:id="238" w:name="_Toc324410129"/>
      <w:bookmarkStart w:id="239" w:name="_Toc451435337"/>
      <w:r>
        <w:t xml:space="preserve">Table </w:t>
      </w:r>
      <w:fldSimple w:instr=" SEQ Table \* ARABIC ">
        <w:r w:rsidR="00050936">
          <w:rPr>
            <w:noProof/>
          </w:rPr>
          <w:t>10</w:t>
        </w:r>
      </w:fldSimple>
      <w:bookmarkEnd w:id="237"/>
      <w:r>
        <w:tab/>
      </w:r>
      <w:r w:rsidR="00E931AE">
        <w:t>Tabular presentation for QUADAS-2 results</w:t>
      </w:r>
      <w:bookmarkEnd w:id="238"/>
      <w:bookmarkEnd w:id="239"/>
    </w:p>
    <w:tbl>
      <w:tblPr>
        <w:tblStyle w:val="TableGrid2"/>
        <w:tblW w:w="5107" w:type="pct"/>
        <w:tblLayout w:type="fixed"/>
        <w:tblLook w:val="04A0" w:firstRow="1" w:lastRow="0" w:firstColumn="1" w:lastColumn="0" w:noHBand="0" w:noVBand="1"/>
        <w:tblDescription w:val="Tabular presentation for QUADAS-2 results"/>
      </w:tblPr>
      <w:tblGrid>
        <w:gridCol w:w="1749"/>
        <w:gridCol w:w="1099"/>
        <w:gridCol w:w="1101"/>
        <w:gridCol w:w="1097"/>
        <w:gridCol w:w="1099"/>
        <w:gridCol w:w="1097"/>
        <w:gridCol w:w="1099"/>
        <w:gridCol w:w="1099"/>
      </w:tblGrid>
      <w:tr w:rsidR="00237FF1" w:rsidRPr="00183E4D" w14:paraId="711E0BF1" w14:textId="77777777" w:rsidTr="00237FF1">
        <w:trPr>
          <w:cnfStyle w:val="100000000000" w:firstRow="1" w:lastRow="0" w:firstColumn="0" w:lastColumn="0" w:oddVBand="0" w:evenVBand="0" w:oddHBand="0" w:evenHBand="0" w:firstRowFirstColumn="0" w:firstRowLastColumn="0" w:lastRowFirstColumn="0" w:lastRowLastColumn="0"/>
          <w:tblHeader/>
        </w:trPr>
        <w:tc>
          <w:tcPr>
            <w:tcW w:w="927" w:type="pct"/>
            <w:tcBorders>
              <w:right w:val="single" w:sz="4" w:space="0" w:color="auto"/>
            </w:tcBorders>
            <w:shd w:val="clear" w:color="auto" w:fill="EEECE1" w:themeFill="background2"/>
          </w:tcPr>
          <w:p w14:paraId="02A2F28A" w14:textId="77777777" w:rsidR="00237FF1" w:rsidRPr="00183E4D" w:rsidRDefault="00237FF1" w:rsidP="004C79C1">
            <w:pPr>
              <w:pStyle w:val="TableHeading"/>
              <w:spacing w:before="0" w:after="120"/>
              <w:ind w:left="0" w:firstLine="0"/>
              <w:rPr>
                <w:snapToGrid w:val="0"/>
                <w:lang w:eastAsia="en-US"/>
              </w:rPr>
            </w:pPr>
          </w:p>
        </w:tc>
        <w:tc>
          <w:tcPr>
            <w:tcW w:w="582" w:type="pct"/>
            <w:tcBorders>
              <w:top w:val="single" w:sz="4" w:space="0" w:color="auto"/>
              <w:left w:val="single" w:sz="4" w:space="0" w:color="auto"/>
              <w:bottom w:val="single" w:sz="4" w:space="0" w:color="auto"/>
              <w:right w:val="nil"/>
            </w:tcBorders>
            <w:shd w:val="clear" w:color="auto" w:fill="EEECE1" w:themeFill="background2"/>
          </w:tcPr>
          <w:p w14:paraId="403F4E15" w14:textId="77777777" w:rsidR="00237FF1" w:rsidRPr="00183E4D" w:rsidRDefault="00237FF1" w:rsidP="004C79C1">
            <w:pPr>
              <w:pStyle w:val="TableHeading"/>
              <w:spacing w:before="0" w:after="120"/>
              <w:ind w:left="0" w:firstLine="0"/>
              <w:rPr>
                <w:snapToGrid w:val="0"/>
                <w:lang w:eastAsia="en-US"/>
              </w:rPr>
            </w:pPr>
          </w:p>
        </w:tc>
        <w:tc>
          <w:tcPr>
            <w:tcW w:w="583" w:type="pct"/>
            <w:tcBorders>
              <w:top w:val="single" w:sz="4" w:space="0" w:color="auto"/>
              <w:left w:val="nil"/>
              <w:bottom w:val="single" w:sz="4" w:space="0" w:color="auto"/>
              <w:right w:val="nil"/>
            </w:tcBorders>
            <w:shd w:val="clear" w:color="auto" w:fill="EEECE1" w:themeFill="background2"/>
          </w:tcPr>
          <w:p w14:paraId="57A34D14" w14:textId="77777777" w:rsidR="00237FF1" w:rsidRPr="00183E4D" w:rsidRDefault="00237FF1" w:rsidP="004C79C1">
            <w:pPr>
              <w:pStyle w:val="TableHeading"/>
              <w:spacing w:before="0" w:after="120"/>
              <w:ind w:left="0" w:firstLine="0"/>
              <w:rPr>
                <w:snapToGrid w:val="0"/>
                <w:lang w:eastAsia="en-US"/>
              </w:rPr>
            </w:pPr>
            <w:r>
              <w:rPr>
                <w:snapToGrid w:val="0"/>
                <w:lang w:eastAsia="en-US"/>
              </w:rPr>
              <w:t>Risk of bias</w:t>
            </w:r>
          </w:p>
        </w:tc>
        <w:tc>
          <w:tcPr>
            <w:tcW w:w="581" w:type="pct"/>
            <w:tcBorders>
              <w:top w:val="single" w:sz="4" w:space="0" w:color="auto"/>
              <w:left w:val="nil"/>
              <w:bottom w:val="single" w:sz="4" w:space="0" w:color="auto"/>
              <w:right w:val="nil"/>
            </w:tcBorders>
            <w:shd w:val="clear" w:color="auto" w:fill="EEECE1" w:themeFill="background2"/>
          </w:tcPr>
          <w:p w14:paraId="2ED0D3C1" w14:textId="77777777" w:rsidR="00237FF1" w:rsidRPr="00183E4D" w:rsidRDefault="00237FF1" w:rsidP="004C79C1">
            <w:pPr>
              <w:pStyle w:val="TableHeading"/>
              <w:spacing w:before="0" w:after="120"/>
              <w:ind w:left="0" w:firstLine="0"/>
              <w:rPr>
                <w:snapToGrid w:val="0"/>
                <w:lang w:eastAsia="en-US"/>
              </w:rPr>
            </w:pPr>
          </w:p>
        </w:tc>
        <w:tc>
          <w:tcPr>
            <w:tcW w:w="582" w:type="pct"/>
            <w:tcBorders>
              <w:top w:val="single" w:sz="4" w:space="0" w:color="auto"/>
              <w:left w:val="nil"/>
              <w:bottom w:val="single" w:sz="4" w:space="0" w:color="auto"/>
              <w:right w:val="single" w:sz="4" w:space="0" w:color="auto"/>
            </w:tcBorders>
            <w:shd w:val="clear" w:color="auto" w:fill="EEECE1" w:themeFill="background2"/>
          </w:tcPr>
          <w:p w14:paraId="1C5864A3" w14:textId="77777777" w:rsidR="00237FF1" w:rsidRPr="00183E4D" w:rsidRDefault="00237FF1" w:rsidP="004C79C1">
            <w:pPr>
              <w:pStyle w:val="TableHeading"/>
              <w:spacing w:before="0" w:after="120"/>
              <w:ind w:left="0" w:firstLine="0"/>
              <w:rPr>
                <w:snapToGrid w:val="0"/>
                <w:lang w:eastAsia="en-US"/>
              </w:rPr>
            </w:pPr>
          </w:p>
        </w:tc>
        <w:tc>
          <w:tcPr>
            <w:tcW w:w="581" w:type="pct"/>
            <w:tcBorders>
              <w:top w:val="single" w:sz="4" w:space="0" w:color="auto"/>
              <w:left w:val="single" w:sz="4" w:space="0" w:color="auto"/>
              <w:bottom w:val="single" w:sz="4" w:space="0" w:color="auto"/>
              <w:right w:val="nil"/>
            </w:tcBorders>
            <w:shd w:val="clear" w:color="auto" w:fill="EEECE1" w:themeFill="background2"/>
          </w:tcPr>
          <w:p w14:paraId="06198CAC" w14:textId="77777777" w:rsidR="00237FF1" w:rsidRPr="00183E4D" w:rsidRDefault="00237FF1" w:rsidP="004C79C1">
            <w:pPr>
              <w:pStyle w:val="TableHeading"/>
              <w:spacing w:before="0" w:after="120"/>
              <w:ind w:left="0" w:firstLine="0"/>
              <w:rPr>
                <w:snapToGrid w:val="0"/>
                <w:lang w:eastAsia="en-US"/>
              </w:rPr>
            </w:pPr>
          </w:p>
        </w:tc>
        <w:tc>
          <w:tcPr>
            <w:tcW w:w="582" w:type="pct"/>
            <w:tcBorders>
              <w:top w:val="single" w:sz="4" w:space="0" w:color="auto"/>
              <w:left w:val="nil"/>
              <w:bottom w:val="single" w:sz="4" w:space="0" w:color="auto"/>
              <w:right w:val="nil"/>
            </w:tcBorders>
            <w:shd w:val="clear" w:color="auto" w:fill="EEECE1" w:themeFill="background2"/>
          </w:tcPr>
          <w:p w14:paraId="1D365297" w14:textId="77777777" w:rsidR="00237FF1" w:rsidRPr="00183E4D" w:rsidRDefault="00237FF1" w:rsidP="004C79C1">
            <w:pPr>
              <w:pStyle w:val="TableHeading"/>
              <w:spacing w:before="0" w:after="120"/>
              <w:ind w:left="0" w:firstLine="0"/>
              <w:rPr>
                <w:snapToGrid w:val="0"/>
                <w:lang w:eastAsia="en-US"/>
              </w:rPr>
            </w:pPr>
            <w:r>
              <w:rPr>
                <w:snapToGrid w:val="0"/>
                <w:lang w:eastAsia="en-US"/>
              </w:rPr>
              <w:t>Applica-bility concerns</w:t>
            </w:r>
          </w:p>
        </w:tc>
        <w:tc>
          <w:tcPr>
            <w:tcW w:w="582" w:type="pct"/>
            <w:tcBorders>
              <w:top w:val="single" w:sz="4" w:space="0" w:color="auto"/>
              <w:left w:val="nil"/>
              <w:bottom w:val="single" w:sz="4" w:space="0" w:color="auto"/>
              <w:right w:val="single" w:sz="4" w:space="0" w:color="auto"/>
            </w:tcBorders>
            <w:shd w:val="clear" w:color="auto" w:fill="EEECE1" w:themeFill="background2"/>
          </w:tcPr>
          <w:p w14:paraId="480B35DC" w14:textId="77777777" w:rsidR="00237FF1" w:rsidRPr="00183E4D" w:rsidRDefault="00237FF1" w:rsidP="004C79C1">
            <w:pPr>
              <w:pStyle w:val="TableHeading"/>
              <w:spacing w:before="0" w:after="120"/>
              <w:ind w:left="0" w:firstLine="0"/>
              <w:rPr>
                <w:snapToGrid w:val="0"/>
                <w:lang w:eastAsia="en-US"/>
              </w:rPr>
            </w:pPr>
          </w:p>
        </w:tc>
      </w:tr>
      <w:tr w:rsidR="00A11434" w:rsidRPr="00183E4D" w14:paraId="497AF40E" w14:textId="77777777" w:rsidTr="00237FF1">
        <w:tc>
          <w:tcPr>
            <w:tcW w:w="927" w:type="pct"/>
            <w:tcBorders>
              <w:right w:val="single" w:sz="4" w:space="0" w:color="auto"/>
            </w:tcBorders>
            <w:shd w:val="clear" w:color="auto" w:fill="EEECE1" w:themeFill="background2"/>
          </w:tcPr>
          <w:p w14:paraId="5607501E" w14:textId="77777777" w:rsidR="00BE1A27" w:rsidRPr="00183E4D" w:rsidRDefault="00680017" w:rsidP="004C79C1">
            <w:pPr>
              <w:pStyle w:val="TableHeading"/>
              <w:spacing w:before="0" w:after="120"/>
              <w:ind w:left="0" w:firstLine="0"/>
              <w:rPr>
                <w:snapToGrid w:val="0"/>
                <w:highlight w:val="cyan"/>
              </w:rPr>
            </w:pPr>
            <w:r>
              <w:rPr>
                <w:snapToGrid w:val="0"/>
                <w:lang w:eastAsia="en-US"/>
              </w:rPr>
              <w:t>Study</w:t>
            </w:r>
          </w:p>
        </w:tc>
        <w:tc>
          <w:tcPr>
            <w:tcW w:w="582" w:type="pct"/>
            <w:tcBorders>
              <w:top w:val="single" w:sz="4" w:space="0" w:color="auto"/>
              <w:left w:val="single" w:sz="4" w:space="0" w:color="auto"/>
              <w:bottom w:val="single" w:sz="4" w:space="0" w:color="auto"/>
              <w:right w:val="nil"/>
            </w:tcBorders>
            <w:shd w:val="clear" w:color="auto" w:fill="EEECE1" w:themeFill="background2"/>
          </w:tcPr>
          <w:p w14:paraId="71997BFE" w14:textId="77777777" w:rsidR="00BE1A27" w:rsidRPr="00976DD6" w:rsidRDefault="00BE1A27" w:rsidP="004C79C1">
            <w:pPr>
              <w:pStyle w:val="TableHeading"/>
              <w:spacing w:before="0" w:after="120"/>
              <w:ind w:left="0" w:firstLine="0"/>
              <w:rPr>
                <w:snapToGrid w:val="0"/>
              </w:rPr>
            </w:pPr>
            <w:r w:rsidRPr="00976DD6">
              <w:rPr>
                <w:snapToGrid w:val="0"/>
              </w:rPr>
              <w:t>Patient selection</w:t>
            </w:r>
          </w:p>
        </w:tc>
        <w:tc>
          <w:tcPr>
            <w:tcW w:w="583" w:type="pct"/>
            <w:tcBorders>
              <w:top w:val="single" w:sz="4" w:space="0" w:color="auto"/>
              <w:left w:val="nil"/>
              <w:bottom w:val="single" w:sz="4" w:space="0" w:color="auto"/>
              <w:right w:val="nil"/>
            </w:tcBorders>
            <w:shd w:val="clear" w:color="auto" w:fill="EEECE1" w:themeFill="background2"/>
          </w:tcPr>
          <w:p w14:paraId="2836AB19" w14:textId="77777777" w:rsidR="00BE1A27" w:rsidRPr="00976DD6" w:rsidRDefault="00BE1A27" w:rsidP="004C79C1">
            <w:pPr>
              <w:pStyle w:val="TableHeading"/>
              <w:spacing w:before="0" w:after="120"/>
              <w:ind w:left="0" w:firstLine="0"/>
              <w:rPr>
                <w:snapToGrid w:val="0"/>
              </w:rPr>
            </w:pPr>
            <w:r w:rsidRPr="00976DD6">
              <w:rPr>
                <w:snapToGrid w:val="0"/>
              </w:rPr>
              <w:t>Index test</w:t>
            </w:r>
          </w:p>
        </w:tc>
        <w:tc>
          <w:tcPr>
            <w:tcW w:w="581" w:type="pct"/>
            <w:tcBorders>
              <w:top w:val="single" w:sz="4" w:space="0" w:color="auto"/>
              <w:left w:val="nil"/>
              <w:bottom w:val="single" w:sz="4" w:space="0" w:color="auto"/>
              <w:right w:val="nil"/>
            </w:tcBorders>
            <w:shd w:val="clear" w:color="auto" w:fill="EEECE1" w:themeFill="background2"/>
          </w:tcPr>
          <w:p w14:paraId="544EA03E" w14:textId="77777777" w:rsidR="00BE1A27" w:rsidRPr="00976DD6" w:rsidRDefault="00BE1A27" w:rsidP="004C79C1">
            <w:pPr>
              <w:pStyle w:val="TableHeading"/>
              <w:spacing w:before="0" w:after="120"/>
              <w:ind w:left="0" w:firstLine="0"/>
              <w:rPr>
                <w:snapToGrid w:val="0"/>
              </w:rPr>
            </w:pPr>
            <w:r w:rsidRPr="00976DD6">
              <w:rPr>
                <w:snapToGrid w:val="0"/>
              </w:rPr>
              <w:t>Reference standard</w:t>
            </w:r>
          </w:p>
        </w:tc>
        <w:tc>
          <w:tcPr>
            <w:tcW w:w="582" w:type="pct"/>
            <w:tcBorders>
              <w:top w:val="single" w:sz="4" w:space="0" w:color="auto"/>
              <w:left w:val="nil"/>
              <w:bottom w:val="single" w:sz="4" w:space="0" w:color="auto"/>
              <w:right w:val="nil"/>
            </w:tcBorders>
            <w:shd w:val="clear" w:color="auto" w:fill="EEECE1" w:themeFill="background2"/>
          </w:tcPr>
          <w:p w14:paraId="67665345" w14:textId="77777777" w:rsidR="00BE1A27" w:rsidRPr="00976DD6" w:rsidRDefault="00BE1A27" w:rsidP="004C79C1">
            <w:pPr>
              <w:pStyle w:val="TableHeading"/>
              <w:spacing w:before="0" w:after="120"/>
              <w:ind w:left="0" w:firstLine="0"/>
              <w:rPr>
                <w:snapToGrid w:val="0"/>
              </w:rPr>
            </w:pPr>
            <w:r w:rsidRPr="00976DD6">
              <w:rPr>
                <w:snapToGrid w:val="0"/>
              </w:rPr>
              <w:t>Flow and timing</w:t>
            </w:r>
          </w:p>
        </w:tc>
        <w:tc>
          <w:tcPr>
            <w:tcW w:w="581" w:type="pct"/>
            <w:tcBorders>
              <w:top w:val="single" w:sz="4" w:space="0" w:color="auto"/>
              <w:left w:val="nil"/>
              <w:bottom w:val="single" w:sz="4" w:space="0" w:color="auto"/>
              <w:right w:val="nil"/>
            </w:tcBorders>
            <w:shd w:val="clear" w:color="auto" w:fill="EEECE1" w:themeFill="background2"/>
          </w:tcPr>
          <w:p w14:paraId="5B957BB8" w14:textId="77777777" w:rsidR="00BE1A27" w:rsidRPr="00976DD6" w:rsidRDefault="00BE1A27" w:rsidP="004C79C1">
            <w:pPr>
              <w:pStyle w:val="TableHeading"/>
              <w:spacing w:before="0" w:after="120"/>
              <w:ind w:left="0" w:firstLine="0"/>
              <w:rPr>
                <w:snapToGrid w:val="0"/>
              </w:rPr>
            </w:pPr>
            <w:r w:rsidRPr="00976DD6">
              <w:rPr>
                <w:snapToGrid w:val="0"/>
              </w:rPr>
              <w:t>Patient selection</w:t>
            </w:r>
          </w:p>
        </w:tc>
        <w:tc>
          <w:tcPr>
            <w:tcW w:w="582" w:type="pct"/>
            <w:tcBorders>
              <w:top w:val="single" w:sz="4" w:space="0" w:color="auto"/>
              <w:left w:val="nil"/>
              <w:bottom w:val="single" w:sz="4" w:space="0" w:color="auto"/>
              <w:right w:val="nil"/>
            </w:tcBorders>
            <w:shd w:val="clear" w:color="auto" w:fill="EEECE1" w:themeFill="background2"/>
          </w:tcPr>
          <w:p w14:paraId="10B83323" w14:textId="77777777" w:rsidR="00BE1A27" w:rsidRPr="00976DD6" w:rsidRDefault="00BE1A27" w:rsidP="004C79C1">
            <w:pPr>
              <w:pStyle w:val="TableHeading"/>
              <w:spacing w:before="0" w:after="120"/>
              <w:ind w:left="0" w:firstLine="0"/>
              <w:rPr>
                <w:snapToGrid w:val="0"/>
              </w:rPr>
            </w:pPr>
            <w:r w:rsidRPr="00976DD6">
              <w:rPr>
                <w:snapToGrid w:val="0"/>
              </w:rPr>
              <w:t>Index test</w:t>
            </w:r>
          </w:p>
        </w:tc>
        <w:tc>
          <w:tcPr>
            <w:tcW w:w="582" w:type="pct"/>
            <w:tcBorders>
              <w:top w:val="single" w:sz="4" w:space="0" w:color="auto"/>
              <w:left w:val="nil"/>
              <w:bottom w:val="single" w:sz="4" w:space="0" w:color="auto"/>
              <w:right w:val="single" w:sz="4" w:space="0" w:color="auto"/>
            </w:tcBorders>
            <w:shd w:val="clear" w:color="auto" w:fill="EEECE1" w:themeFill="background2"/>
          </w:tcPr>
          <w:p w14:paraId="058E91C5" w14:textId="77777777" w:rsidR="00BE1A27" w:rsidRPr="00976DD6" w:rsidRDefault="00BE1A27" w:rsidP="004C79C1">
            <w:pPr>
              <w:pStyle w:val="TableHeading"/>
              <w:spacing w:before="0" w:after="120"/>
              <w:ind w:left="0" w:firstLine="0"/>
              <w:rPr>
                <w:snapToGrid w:val="0"/>
              </w:rPr>
            </w:pPr>
            <w:r w:rsidRPr="00976DD6">
              <w:rPr>
                <w:snapToGrid w:val="0"/>
              </w:rPr>
              <w:t>Reference standard</w:t>
            </w:r>
          </w:p>
        </w:tc>
      </w:tr>
      <w:tr w:rsidR="007C4BD0" w:rsidRPr="00CF4B34" w14:paraId="4E51DC7B" w14:textId="77777777" w:rsidTr="00237FF1">
        <w:trPr>
          <w:trHeight w:val="342"/>
        </w:trPr>
        <w:tc>
          <w:tcPr>
            <w:tcW w:w="927" w:type="pct"/>
          </w:tcPr>
          <w:p w14:paraId="04680433" w14:textId="67DFCBC0" w:rsidR="007C4BD0" w:rsidRPr="00CF4B34" w:rsidRDefault="007C4BD0" w:rsidP="004C79C1">
            <w:pPr>
              <w:pStyle w:val="TableText0"/>
              <w:spacing w:before="0" w:after="120"/>
            </w:pPr>
            <w:r w:rsidRPr="00CF4B34">
              <w:t>Ass</w:t>
            </w:r>
            <w:r w:rsidR="004D5920">
              <w:t>o</w:t>
            </w:r>
            <w:r w:rsidRPr="00CF4B34">
              <w:t>mull et al. (2011)</w:t>
            </w:r>
          </w:p>
        </w:tc>
        <w:tc>
          <w:tcPr>
            <w:tcW w:w="582" w:type="pct"/>
          </w:tcPr>
          <w:p w14:paraId="2575D320"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3" w:type="pct"/>
          </w:tcPr>
          <w:p w14:paraId="343127C0"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B6DDE8"/>
                <w:lang w:eastAsia="en-GB"/>
              </w:rPr>
              <w:t>?</w:t>
            </w:r>
          </w:p>
        </w:tc>
        <w:tc>
          <w:tcPr>
            <w:tcW w:w="581" w:type="pct"/>
          </w:tcPr>
          <w:p w14:paraId="5CCEC245"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2" w:type="pct"/>
          </w:tcPr>
          <w:p w14:paraId="02FFC2E3"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1" w:type="pct"/>
          </w:tcPr>
          <w:p w14:paraId="28E42E9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54DB620B"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2" w:type="pct"/>
          </w:tcPr>
          <w:p w14:paraId="7F4D2A04"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r w:rsidR="007C4BD0" w:rsidRPr="00CF4B34" w14:paraId="57E5EA88" w14:textId="77777777" w:rsidTr="00237FF1">
        <w:trPr>
          <w:trHeight w:val="342"/>
        </w:trPr>
        <w:tc>
          <w:tcPr>
            <w:tcW w:w="927" w:type="pct"/>
          </w:tcPr>
          <w:p w14:paraId="35842C6E" w14:textId="77777777" w:rsidR="007C4BD0" w:rsidRPr="00CF4B34" w:rsidRDefault="007C4BD0" w:rsidP="004C79C1">
            <w:pPr>
              <w:pStyle w:val="TableText0"/>
              <w:spacing w:before="0" w:after="120"/>
            </w:pPr>
            <w:r w:rsidRPr="00CF4B34">
              <w:t>Bohnen et al. (2015)</w:t>
            </w:r>
          </w:p>
        </w:tc>
        <w:tc>
          <w:tcPr>
            <w:tcW w:w="582" w:type="pct"/>
          </w:tcPr>
          <w:p w14:paraId="2AA9585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3" w:type="pct"/>
          </w:tcPr>
          <w:p w14:paraId="3DAE0BE5"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590B1C51"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FBD4B4"/>
                <w:lang w:eastAsia="en-GB"/>
              </w:rPr>
              <w:sym w:font="Wingdings" w:char="F04C"/>
            </w:r>
          </w:p>
        </w:tc>
        <w:tc>
          <w:tcPr>
            <w:tcW w:w="582" w:type="pct"/>
          </w:tcPr>
          <w:p w14:paraId="1A4A3E3F"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2D42C32A"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FBD4B4"/>
                <w:lang w:eastAsia="en-GB"/>
              </w:rPr>
              <w:sym w:font="Wingdings" w:char="F04C"/>
            </w:r>
          </w:p>
        </w:tc>
        <w:tc>
          <w:tcPr>
            <w:tcW w:w="582" w:type="pct"/>
          </w:tcPr>
          <w:p w14:paraId="7545F8A6"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2" w:type="pct"/>
          </w:tcPr>
          <w:p w14:paraId="1860E2B5"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FBD4B4"/>
                <w:lang w:eastAsia="en-GB"/>
              </w:rPr>
              <w:sym w:font="Wingdings" w:char="F04C"/>
            </w:r>
          </w:p>
        </w:tc>
      </w:tr>
      <w:tr w:rsidR="007C4BD0" w:rsidRPr="00CF4B34" w14:paraId="541E715E" w14:textId="77777777" w:rsidTr="00237FF1">
        <w:trPr>
          <w:trHeight w:val="342"/>
        </w:trPr>
        <w:tc>
          <w:tcPr>
            <w:tcW w:w="927" w:type="pct"/>
          </w:tcPr>
          <w:p w14:paraId="2A6346C3" w14:textId="77777777" w:rsidR="007C4BD0" w:rsidRPr="00CF4B34" w:rsidRDefault="007C4BD0" w:rsidP="004C79C1">
            <w:pPr>
              <w:pStyle w:val="TableText0"/>
              <w:spacing w:before="0" w:after="120"/>
            </w:pPr>
            <w:r w:rsidRPr="00CF4B34">
              <w:t>Casolo et al. (2006)</w:t>
            </w:r>
          </w:p>
        </w:tc>
        <w:tc>
          <w:tcPr>
            <w:tcW w:w="582" w:type="pct"/>
          </w:tcPr>
          <w:p w14:paraId="3D9E7B22"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3" w:type="pct"/>
          </w:tcPr>
          <w:p w14:paraId="03E6AE75"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43BF6F95"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22287FFF"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1" w:type="pct"/>
          </w:tcPr>
          <w:p w14:paraId="06C31D73"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c>
          <w:tcPr>
            <w:tcW w:w="582" w:type="pct"/>
          </w:tcPr>
          <w:p w14:paraId="064D8705"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67416DCE"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r w:rsidR="007C4BD0" w:rsidRPr="00CF4B34" w14:paraId="4AC8CB3F" w14:textId="77777777" w:rsidTr="00237FF1">
        <w:trPr>
          <w:trHeight w:val="342"/>
        </w:trPr>
        <w:tc>
          <w:tcPr>
            <w:tcW w:w="927" w:type="pct"/>
          </w:tcPr>
          <w:p w14:paraId="2EF014D1" w14:textId="69CFEE56" w:rsidR="007C4BD0" w:rsidRPr="00CF4B34" w:rsidRDefault="009E663F" w:rsidP="004C79C1">
            <w:pPr>
              <w:pStyle w:val="TableText0"/>
              <w:spacing w:before="0" w:after="120"/>
            </w:pPr>
            <w:r>
              <w:t>d</w:t>
            </w:r>
            <w:r w:rsidR="007C4BD0" w:rsidRPr="00CF4B34">
              <w:t>e Melo et al. (2013)</w:t>
            </w:r>
          </w:p>
        </w:tc>
        <w:tc>
          <w:tcPr>
            <w:tcW w:w="582" w:type="pct"/>
          </w:tcPr>
          <w:p w14:paraId="4B5B5E75"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3" w:type="pct"/>
          </w:tcPr>
          <w:p w14:paraId="0B4381C1"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1" w:type="pct"/>
          </w:tcPr>
          <w:p w14:paraId="37D57506"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2" w:type="pct"/>
          </w:tcPr>
          <w:p w14:paraId="12F72B98"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1" w:type="pct"/>
          </w:tcPr>
          <w:p w14:paraId="2F50137A"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2E07FE1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2" w:type="pct"/>
          </w:tcPr>
          <w:p w14:paraId="03AACEB6"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r w:rsidR="007C4BD0" w:rsidRPr="00CF4B34" w14:paraId="43299E52" w14:textId="77777777" w:rsidTr="00237FF1">
        <w:trPr>
          <w:trHeight w:val="342"/>
        </w:trPr>
        <w:tc>
          <w:tcPr>
            <w:tcW w:w="927" w:type="pct"/>
          </w:tcPr>
          <w:p w14:paraId="142A1365" w14:textId="77777777" w:rsidR="007C4BD0" w:rsidRPr="00CF4B34" w:rsidRDefault="007C4BD0" w:rsidP="004C79C1">
            <w:pPr>
              <w:pStyle w:val="TableText0"/>
              <w:spacing w:before="0" w:after="120"/>
              <w:rPr>
                <w:rFonts w:eastAsiaTheme="minorHAnsi" w:cstheme="minorHAnsi"/>
              </w:rPr>
            </w:pPr>
            <w:r w:rsidRPr="00CF4B34">
              <w:rPr>
                <w:rFonts w:eastAsiaTheme="minorHAnsi" w:cstheme="minorHAnsi"/>
              </w:rPr>
              <w:t>Hamilton-Craig et al. (2011)</w:t>
            </w:r>
          </w:p>
        </w:tc>
        <w:tc>
          <w:tcPr>
            <w:tcW w:w="582" w:type="pct"/>
          </w:tcPr>
          <w:p w14:paraId="2D36C590"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c>
          <w:tcPr>
            <w:tcW w:w="583" w:type="pct"/>
          </w:tcPr>
          <w:p w14:paraId="2945DDCF"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785B2663"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5BDC9C26"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1" w:type="pct"/>
          </w:tcPr>
          <w:p w14:paraId="395F4522"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c>
          <w:tcPr>
            <w:tcW w:w="582" w:type="pct"/>
          </w:tcPr>
          <w:p w14:paraId="16EBEF56"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744982BE"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r w:rsidR="007C4BD0" w:rsidRPr="00CF4B34" w14:paraId="0872A428" w14:textId="77777777" w:rsidTr="00237FF1">
        <w:trPr>
          <w:trHeight w:val="342"/>
        </w:trPr>
        <w:tc>
          <w:tcPr>
            <w:tcW w:w="927" w:type="pct"/>
          </w:tcPr>
          <w:p w14:paraId="2BF8B248" w14:textId="77777777" w:rsidR="007C4BD0" w:rsidRPr="00CF4B34" w:rsidRDefault="007C4BD0" w:rsidP="004C79C1">
            <w:pPr>
              <w:pStyle w:val="TableText0"/>
              <w:spacing w:before="0" w:after="120"/>
            </w:pPr>
            <w:r w:rsidRPr="00CF4B34">
              <w:t>McCrohon et al. (2003)</w:t>
            </w:r>
          </w:p>
        </w:tc>
        <w:tc>
          <w:tcPr>
            <w:tcW w:w="582" w:type="pct"/>
          </w:tcPr>
          <w:p w14:paraId="7EDC4C1E"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B6DDE8"/>
                <w:lang w:eastAsia="en-GB"/>
              </w:rPr>
              <w:t>?</w:t>
            </w:r>
          </w:p>
        </w:tc>
        <w:tc>
          <w:tcPr>
            <w:tcW w:w="583" w:type="pct"/>
          </w:tcPr>
          <w:p w14:paraId="6461248A"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1" w:type="pct"/>
          </w:tcPr>
          <w:p w14:paraId="7DC3B5E5"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c>
          <w:tcPr>
            <w:tcW w:w="582" w:type="pct"/>
          </w:tcPr>
          <w:p w14:paraId="5826046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B6DDE8"/>
                <w:lang w:eastAsia="en-GB"/>
              </w:rPr>
              <w:t>?</w:t>
            </w:r>
          </w:p>
        </w:tc>
        <w:tc>
          <w:tcPr>
            <w:tcW w:w="581" w:type="pct"/>
          </w:tcPr>
          <w:p w14:paraId="4582F68C"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B6DDE8"/>
                <w:lang w:eastAsia="en-GB"/>
              </w:rPr>
              <w:t>?</w:t>
            </w:r>
          </w:p>
        </w:tc>
        <w:tc>
          <w:tcPr>
            <w:tcW w:w="582" w:type="pct"/>
          </w:tcPr>
          <w:p w14:paraId="4C39359F"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2" w:type="pct"/>
          </w:tcPr>
          <w:p w14:paraId="49CAE9A8"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r>
      <w:tr w:rsidR="007C4BD0" w:rsidRPr="00CF4B34" w14:paraId="678E6398" w14:textId="77777777" w:rsidTr="00237FF1">
        <w:trPr>
          <w:trHeight w:val="342"/>
        </w:trPr>
        <w:tc>
          <w:tcPr>
            <w:tcW w:w="927" w:type="pct"/>
          </w:tcPr>
          <w:p w14:paraId="31104901" w14:textId="77777777" w:rsidR="007C4BD0" w:rsidRPr="00CF4B34" w:rsidRDefault="007C4BD0" w:rsidP="004C79C1">
            <w:pPr>
              <w:pStyle w:val="TableText0"/>
              <w:spacing w:before="0" w:after="120"/>
            </w:pPr>
            <w:r w:rsidRPr="00CF4B34">
              <w:t>Mor-Avi et al. (2008)</w:t>
            </w:r>
          </w:p>
        </w:tc>
        <w:tc>
          <w:tcPr>
            <w:tcW w:w="582" w:type="pct"/>
            <w:tcBorders>
              <w:top w:val="single" w:sz="4" w:space="0" w:color="auto"/>
            </w:tcBorders>
          </w:tcPr>
          <w:p w14:paraId="58CD8739"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B6DDE8"/>
                <w:lang w:eastAsia="en-GB"/>
              </w:rPr>
              <w:t>?</w:t>
            </w:r>
          </w:p>
        </w:tc>
        <w:tc>
          <w:tcPr>
            <w:tcW w:w="583" w:type="pct"/>
            <w:tcBorders>
              <w:top w:val="single" w:sz="4" w:space="0" w:color="auto"/>
            </w:tcBorders>
          </w:tcPr>
          <w:p w14:paraId="5FC98A12"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1" w:type="pct"/>
            <w:tcBorders>
              <w:top w:val="single" w:sz="4" w:space="0" w:color="auto"/>
            </w:tcBorders>
          </w:tcPr>
          <w:p w14:paraId="51C2B1C0"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2" w:type="pct"/>
            <w:tcBorders>
              <w:top w:val="single" w:sz="4" w:space="0" w:color="auto"/>
            </w:tcBorders>
          </w:tcPr>
          <w:p w14:paraId="3529EB17"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1" w:type="pct"/>
            <w:tcBorders>
              <w:top w:val="single" w:sz="4" w:space="0" w:color="auto"/>
            </w:tcBorders>
          </w:tcPr>
          <w:p w14:paraId="242CB11E"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FBD4B4"/>
                <w:lang w:eastAsia="en-GB"/>
              </w:rPr>
              <w:sym w:font="Wingdings" w:char="F04C"/>
            </w:r>
          </w:p>
        </w:tc>
        <w:tc>
          <w:tcPr>
            <w:tcW w:w="582" w:type="pct"/>
            <w:tcBorders>
              <w:top w:val="single" w:sz="4" w:space="0" w:color="auto"/>
            </w:tcBorders>
          </w:tcPr>
          <w:p w14:paraId="6193849E"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2" w:type="pct"/>
            <w:tcBorders>
              <w:top w:val="single" w:sz="4" w:space="0" w:color="auto"/>
            </w:tcBorders>
          </w:tcPr>
          <w:p w14:paraId="73538E7E"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r>
      <w:tr w:rsidR="007C4BD0" w:rsidRPr="00CF4B34" w14:paraId="7E89D203" w14:textId="77777777" w:rsidTr="00237FF1">
        <w:trPr>
          <w:trHeight w:val="342"/>
        </w:trPr>
        <w:tc>
          <w:tcPr>
            <w:tcW w:w="927" w:type="pct"/>
          </w:tcPr>
          <w:p w14:paraId="5C8FA6BE" w14:textId="77777777" w:rsidR="007C4BD0" w:rsidRPr="00CF4B34" w:rsidRDefault="007C4BD0" w:rsidP="004C79C1">
            <w:pPr>
              <w:pStyle w:val="TableText0"/>
              <w:spacing w:before="0" w:after="120"/>
            </w:pPr>
            <w:r w:rsidRPr="00CF4B34">
              <w:t>Sramko et al. (2013)</w:t>
            </w:r>
          </w:p>
        </w:tc>
        <w:tc>
          <w:tcPr>
            <w:tcW w:w="582" w:type="pct"/>
          </w:tcPr>
          <w:p w14:paraId="0DFCAFC7"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3" w:type="pct"/>
          </w:tcPr>
          <w:p w14:paraId="31F01639"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1" w:type="pct"/>
          </w:tcPr>
          <w:p w14:paraId="629153A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FBD4B4"/>
                <w:lang w:eastAsia="en-GB"/>
              </w:rPr>
              <w:sym w:font="Wingdings" w:char="F04C"/>
            </w:r>
          </w:p>
        </w:tc>
        <w:tc>
          <w:tcPr>
            <w:tcW w:w="582" w:type="pct"/>
          </w:tcPr>
          <w:p w14:paraId="7C426044"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1973F88E"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11133023"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282A6C4F"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FBD4B4"/>
                <w:lang w:eastAsia="en-GB"/>
              </w:rPr>
              <w:sym w:font="Wingdings" w:char="F04C"/>
            </w:r>
          </w:p>
        </w:tc>
      </w:tr>
      <w:tr w:rsidR="007C4BD0" w:rsidRPr="00CF4B34" w14:paraId="1806DB23" w14:textId="77777777" w:rsidTr="00237FF1">
        <w:trPr>
          <w:trHeight w:val="342"/>
        </w:trPr>
        <w:tc>
          <w:tcPr>
            <w:tcW w:w="927" w:type="pct"/>
          </w:tcPr>
          <w:p w14:paraId="084AA997" w14:textId="77777777" w:rsidR="007C4BD0" w:rsidRPr="00CF4B34" w:rsidRDefault="007C4BD0" w:rsidP="004C79C1">
            <w:pPr>
              <w:pStyle w:val="TableText0"/>
              <w:spacing w:before="0" w:after="120"/>
            </w:pPr>
            <w:r w:rsidRPr="00CF4B34">
              <w:t>Valle-Munoz et al. (2009)</w:t>
            </w:r>
          </w:p>
        </w:tc>
        <w:tc>
          <w:tcPr>
            <w:tcW w:w="582" w:type="pct"/>
          </w:tcPr>
          <w:p w14:paraId="3358B9EF"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3" w:type="pct"/>
          </w:tcPr>
          <w:p w14:paraId="6DE1C283"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1" w:type="pct"/>
          </w:tcPr>
          <w:p w14:paraId="08F020BE"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7F24C3F4"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B6DDE8"/>
                <w:lang w:eastAsia="en-GB"/>
              </w:rPr>
              <w:t>?</w:t>
            </w:r>
          </w:p>
        </w:tc>
        <w:tc>
          <w:tcPr>
            <w:tcW w:w="581" w:type="pct"/>
          </w:tcPr>
          <w:p w14:paraId="407E6AEA"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D6E3BC"/>
                <w:lang w:eastAsia="en-GB"/>
              </w:rPr>
              <w:sym w:font="Wingdings" w:char="F04A"/>
            </w:r>
          </w:p>
        </w:tc>
        <w:tc>
          <w:tcPr>
            <w:tcW w:w="582" w:type="pct"/>
          </w:tcPr>
          <w:p w14:paraId="4CD875D6"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272D82FD"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r w:rsidR="007C4BD0" w:rsidRPr="00CF4B34" w14:paraId="683494F7" w14:textId="77777777" w:rsidTr="00237FF1">
        <w:trPr>
          <w:trHeight w:val="342"/>
        </w:trPr>
        <w:tc>
          <w:tcPr>
            <w:tcW w:w="927" w:type="pct"/>
          </w:tcPr>
          <w:p w14:paraId="5A117C2B" w14:textId="77777777" w:rsidR="007C4BD0" w:rsidRPr="00CF4B34" w:rsidRDefault="007C4BD0" w:rsidP="004C79C1">
            <w:pPr>
              <w:pStyle w:val="TableText0"/>
              <w:spacing w:before="0" w:after="120"/>
            </w:pPr>
            <w:r w:rsidRPr="00CF4B34">
              <w:t>Voigt et al. (2011)</w:t>
            </w:r>
          </w:p>
        </w:tc>
        <w:tc>
          <w:tcPr>
            <w:tcW w:w="582" w:type="pct"/>
          </w:tcPr>
          <w:p w14:paraId="6BD56F23"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3" w:type="pct"/>
          </w:tcPr>
          <w:p w14:paraId="761572AB"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2FDD0C1F"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FBD4B4"/>
                <w:lang w:eastAsia="en-GB"/>
              </w:rPr>
              <w:sym w:font="Wingdings" w:char="F04C"/>
            </w:r>
          </w:p>
        </w:tc>
        <w:tc>
          <w:tcPr>
            <w:tcW w:w="582" w:type="pct"/>
          </w:tcPr>
          <w:p w14:paraId="4E26E0CB"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448ABC4A"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196635FB"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0131A286"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FBD4B4"/>
                <w:lang w:eastAsia="en-GB"/>
              </w:rPr>
              <w:sym w:font="Wingdings" w:char="F04C"/>
            </w:r>
          </w:p>
        </w:tc>
      </w:tr>
      <w:tr w:rsidR="007C4BD0" w:rsidRPr="00CF4B34" w14:paraId="4B795624" w14:textId="77777777" w:rsidTr="00237FF1">
        <w:trPr>
          <w:trHeight w:val="342"/>
        </w:trPr>
        <w:tc>
          <w:tcPr>
            <w:tcW w:w="927" w:type="pct"/>
          </w:tcPr>
          <w:p w14:paraId="4443C0F7" w14:textId="77777777" w:rsidR="007C4BD0" w:rsidRPr="00CF4B34" w:rsidRDefault="007C4BD0" w:rsidP="004C79C1">
            <w:pPr>
              <w:pStyle w:val="TableText0"/>
              <w:spacing w:before="0" w:after="120"/>
            </w:pPr>
            <w:r w:rsidRPr="00CF4B34">
              <w:t>Won et al. (2015)</w:t>
            </w:r>
          </w:p>
        </w:tc>
        <w:tc>
          <w:tcPr>
            <w:tcW w:w="582" w:type="pct"/>
          </w:tcPr>
          <w:p w14:paraId="764EA4FC"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B6DDE8"/>
                <w:lang w:eastAsia="en-GB"/>
              </w:rPr>
              <w:t>?</w:t>
            </w:r>
          </w:p>
        </w:tc>
        <w:tc>
          <w:tcPr>
            <w:tcW w:w="583" w:type="pct"/>
          </w:tcPr>
          <w:p w14:paraId="421C4EE8"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1" w:type="pct"/>
          </w:tcPr>
          <w:p w14:paraId="530C01C2"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2" w:type="pct"/>
          </w:tcPr>
          <w:p w14:paraId="0EAC4366"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B6DDE8"/>
                <w:lang w:eastAsia="en-GB"/>
              </w:rPr>
              <w:t>?</w:t>
            </w:r>
          </w:p>
        </w:tc>
        <w:tc>
          <w:tcPr>
            <w:tcW w:w="581" w:type="pct"/>
          </w:tcPr>
          <w:p w14:paraId="01A26452"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FBD4B4"/>
                <w:lang w:eastAsia="en-GB"/>
              </w:rPr>
              <w:sym w:font="Wingdings" w:char="F04C"/>
            </w:r>
          </w:p>
        </w:tc>
        <w:tc>
          <w:tcPr>
            <w:tcW w:w="582" w:type="pct"/>
          </w:tcPr>
          <w:p w14:paraId="4DEF3D1C"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c>
          <w:tcPr>
            <w:tcW w:w="582" w:type="pct"/>
          </w:tcPr>
          <w:p w14:paraId="6E08322A" w14:textId="77777777" w:rsidR="007C4BD0" w:rsidRPr="00CF4B34" w:rsidRDefault="007C4BD0" w:rsidP="004C79C1">
            <w:pPr>
              <w:pStyle w:val="Tabletext1"/>
              <w:spacing w:before="0" w:after="120"/>
              <w:jc w:val="center"/>
              <w:rPr>
                <w:sz w:val="22"/>
                <w:szCs w:val="22"/>
                <w:lang w:eastAsia="en-GB"/>
              </w:rPr>
            </w:pPr>
            <w:r w:rsidRPr="00CF4B34">
              <w:rPr>
                <w:sz w:val="22"/>
                <w:szCs w:val="22"/>
                <w:shd w:val="clear" w:color="auto" w:fill="D6E3BC"/>
                <w:lang w:eastAsia="en-GB"/>
              </w:rPr>
              <w:sym w:font="Wingdings" w:char="F04A"/>
            </w:r>
          </w:p>
        </w:tc>
      </w:tr>
      <w:tr w:rsidR="007C4BD0" w:rsidRPr="00CF4B34" w14:paraId="1C35C65F" w14:textId="77777777" w:rsidTr="00237FF1">
        <w:trPr>
          <w:trHeight w:val="342"/>
        </w:trPr>
        <w:tc>
          <w:tcPr>
            <w:tcW w:w="927" w:type="pct"/>
          </w:tcPr>
          <w:p w14:paraId="08EA77AD" w14:textId="77777777" w:rsidR="007C4BD0" w:rsidRPr="00CF4B34" w:rsidRDefault="007C4BD0" w:rsidP="004C79C1">
            <w:pPr>
              <w:pStyle w:val="TableText0"/>
              <w:spacing w:before="0" w:after="120"/>
              <w:rPr>
                <w:rFonts w:eastAsiaTheme="minorHAnsi" w:cstheme="minorHAnsi"/>
              </w:rPr>
            </w:pPr>
            <w:r w:rsidRPr="00CF4B34">
              <w:rPr>
                <w:rFonts w:eastAsiaTheme="minorHAnsi" w:cstheme="minorHAnsi"/>
              </w:rPr>
              <w:t>Yoshida, Ishibashi-Ueda, et al. (2013)</w:t>
            </w:r>
          </w:p>
        </w:tc>
        <w:tc>
          <w:tcPr>
            <w:tcW w:w="582" w:type="pct"/>
          </w:tcPr>
          <w:p w14:paraId="25FDDE19"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D6E3BC"/>
                <w:lang w:eastAsia="en-GB"/>
              </w:rPr>
              <w:sym w:font="Wingdings" w:char="F04A"/>
            </w:r>
          </w:p>
        </w:tc>
        <w:tc>
          <w:tcPr>
            <w:tcW w:w="583" w:type="pct"/>
          </w:tcPr>
          <w:p w14:paraId="173E2C0B"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1" w:type="pct"/>
          </w:tcPr>
          <w:p w14:paraId="472C55FF"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0AEBF3BA" w14:textId="77777777" w:rsidR="007C4BD0" w:rsidRPr="00CF4B34" w:rsidRDefault="007C4BD0" w:rsidP="004C79C1">
            <w:pPr>
              <w:pStyle w:val="Tabletext1"/>
              <w:spacing w:before="0" w:after="120"/>
              <w:jc w:val="center"/>
              <w:rPr>
                <w:sz w:val="22"/>
                <w:szCs w:val="22"/>
                <w:shd w:val="clear" w:color="auto" w:fill="B6DDE8"/>
                <w:lang w:eastAsia="en-GB"/>
              </w:rPr>
            </w:pPr>
            <w:r w:rsidRPr="00CF4B34">
              <w:rPr>
                <w:sz w:val="22"/>
                <w:szCs w:val="22"/>
                <w:shd w:val="clear" w:color="auto" w:fill="B6DDE8"/>
                <w:lang w:eastAsia="en-GB"/>
              </w:rPr>
              <w:t>?</w:t>
            </w:r>
          </w:p>
        </w:tc>
        <w:tc>
          <w:tcPr>
            <w:tcW w:w="581" w:type="pct"/>
          </w:tcPr>
          <w:p w14:paraId="18F1E31D" w14:textId="77777777" w:rsidR="007C4BD0" w:rsidRPr="00CF4B34" w:rsidRDefault="007C4BD0" w:rsidP="004C79C1">
            <w:pPr>
              <w:pStyle w:val="Tabletext1"/>
              <w:spacing w:before="0" w:after="120"/>
              <w:jc w:val="center"/>
              <w:rPr>
                <w:sz w:val="22"/>
                <w:szCs w:val="22"/>
                <w:shd w:val="clear" w:color="auto" w:fill="FBD4B4"/>
                <w:lang w:eastAsia="en-GB"/>
              </w:rPr>
            </w:pPr>
            <w:r w:rsidRPr="00CF4B34">
              <w:rPr>
                <w:sz w:val="22"/>
                <w:szCs w:val="22"/>
                <w:shd w:val="clear" w:color="auto" w:fill="FBD4B4"/>
                <w:lang w:eastAsia="en-GB"/>
              </w:rPr>
              <w:sym w:font="Wingdings" w:char="F04C"/>
            </w:r>
          </w:p>
        </w:tc>
        <w:tc>
          <w:tcPr>
            <w:tcW w:w="582" w:type="pct"/>
          </w:tcPr>
          <w:p w14:paraId="12A2A063"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c>
          <w:tcPr>
            <w:tcW w:w="582" w:type="pct"/>
          </w:tcPr>
          <w:p w14:paraId="03EFA912" w14:textId="77777777" w:rsidR="007C4BD0" w:rsidRPr="00CF4B34" w:rsidRDefault="007C4BD0" w:rsidP="004C79C1">
            <w:pPr>
              <w:pStyle w:val="Tabletext1"/>
              <w:spacing w:before="0" w:after="120"/>
              <w:jc w:val="center"/>
              <w:rPr>
                <w:sz w:val="22"/>
                <w:szCs w:val="22"/>
                <w:shd w:val="clear" w:color="auto" w:fill="D6E3BC"/>
                <w:lang w:eastAsia="en-GB"/>
              </w:rPr>
            </w:pPr>
            <w:r w:rsidRPr="00CF4B34">
              <w:rPr>
                <w:sz w:val="22"/>
                <w:szCs w:val="22"/>
                <w:shd w:val="clear" w:color="auto" w:fill="D6E3BC"/>
                <w:lang w:eastAsia="en-GB"/>
              </w:rPr>
              <w:sym w:font="Wingdings" w:char="F04A"/>
            </w:r>
          </w:p>
        </w:tc>
      </w:tr>
    </w:tbl>
    <w:p w14:paraId="39EEA986" w14:textId="7F50F4FC" w:rsidR="00A56F26" w:rsidRPr="006A14ED" w:rsidRDefault="00CF4B34" w:rsidP="004C79C1">
      <w:pPr>
        <w:pStyle w:val="Tabletext1"/>
        <w:spacing w:before="0" w:after="120"/>
        <w:rPr>
          <w:rStyle w:val="TablenotesChar0"/>
        </w:rPr>
      </w:pPr>
      <w:r w:rsidRPr="006A14ED">
        <w:rPr>
          <w:rFonts w:cs="Calibri"/>
          <w:shd w:val="clear" w:color="auto" w:fill="D6E3BC"/>
          <w:lang w:eastAsia="en-GB"/>
        </w:rPr>
        <w:sym w:font="Wingdings" w:char="F04A"/>
      </w:r>
      <w:r w:rsidR="00E51DFD">
        <w:rPr>
          <w:rFonts w:cs="Calibri"/>
          <w:shd w:val="clear" w:color="auto" w:fill="D6E3BC"/>
          <w:lang w:eastAsia="en-GB"/>
        </w:rPr>
        <w:t xml:space="preserve"> </w:t>
      </w:r>
      <w:r w:rsidRPr="006A14ED">
        <w:t xml:space="preserve">Low </w:t>
      </w:r>
      <w:r w:rsidR="00E51DFD">
        <w:t>r</w:t>
      </w:r>
      <w:r w:rsidRPr="006A14ED">
        <w:t>isk</w:t>
      </w:r>
      <w:r w:rsidRPr="006A14ED">
        <w:tab/>
      </w:r>
      <w:r w:rsidRPr="006A14ED">
        <w:rPr>
          <w:rFonts w:cs="Calibri"/>
          <w:shd w:val="clear" w:color="auto" w:fill="FBD4B4"/>
          <w:lang w:eastAsia="en-GB"/>
        </w:rPr>
        <w:sym w:font="Wingdings" w:char="F04C"/>
      </w:r>
      <w:r w:rsidR="00E51DFD">
        <w:rPr>
          <w:rFonts w:cs="Calibri"/>
          <w:shd w:val="clear" w:color="auto" w:fill="FBD4B4"/>
          <w:lang w:eastAsia="en-GB"/>
        </w:rPr>
        <w:t xml:space="preserve"> </w:t>
      </w:r>
      <w:r w:rsidRPr="006A14ED">
        <w:t xml:space="preserve">High </w:t>
      </w:r>
      <w:r w:rsidR="00E51DFD">
        <w:t>r</w:t>
      </w:r>
      <w:r w:rsidRPr="006A14ED">
        <w:t>isk</w:t>
      </w:r>
      <w:r w:rsidRPr="006A14ED">
        <w:tab/>
      </w:r>
      <w:r w:rsidRPr="006A14ED">
        <w:rPr>
          <w:rFonts w:cs="Calibri"/>
          <w:shd w:val="clear" w:color="auto" w:fill="B6DDE8"/>
          <w:lang w:eastAsia="en-GB"/>
        </w:rPr>
        <w:t xml:space="preserve"> ?</w:t>
      </w:r>
      <w:r w:rsidRPr="006A14ED">
        <w:t xml:space="preserve"> Unclear </w:t>
      </w:r>
      <w:r w:rsidR="00E51DFD">
        <w:t>r</w:t>
      </w:r>
      <w:r w:rsidRPr="006A14ED">
        <w:t>isk</w:t>
      </w:r>
    </w:p>
    <w:p w14:paraId="13EA5984" w14:textId="7D98F03E" w:rsidR="007A49EE" w:rsidRPr="00183E4D" w:rsidRDefault="007A49EE" w:rsidP="004C79C1">
      <w:pPr>
        <w:pStyle w:val="Heading2"/>
        <w:numPr>
          <w:ilvl w:val="1"/>
          <w:numId w:val="21"/>
        </w:numPr>
        <w:spacing w:before="0" w:after="120" w:line="240" w:lineRule="auto"/>
      </w:pPr>
      <w:bookmarkStart w:id="240" w:name="_Toc421610006"/>
      <w:bookmarkStart w:id="241" w:name="_Toc423451336"/>
      <w:bookmarkStart w:id="242" w:name="_Toc421610007"/>
      <w:bookmarkStart w:id="243" w:name="_Toc423451337"/>
      <w:bookmarkStart w:id="244" w:name="_Toc451501308"/>
      <w:bookmarkEnd w:id="240"/>
      <w:bookmarkEnd w:id="241"/>
      <w:bookmarkEnd w:id="242"/>
      <w:bookmarkEnd w:id="243"/>
      <w:r w:rsidRPr="00183E4D">
        <w:t>Characteristics of the Evidence Base</w:t>
      </w:r>
      <w:bookmarkEnd w:id="244"/>
    </w:p>
    <w:p w14:paraId="2FD942C3" w14:textId="77777777" w:rsidR="00B12DA3" w:rsidRDefault="007A49EE" w:rsidP="004C79C1">
      <w:pPr>
        <w:spacing w:after="120" w:line="240" w:lineRule="auto"/>
        <w:jc w:val="both"/>
      </w:pPr>
      <w:r w:rsidRPr="00183E4D">
        <w:t xml:space="preserve">See </w:t>
      </w:r>
      <w:r w:rsidRPr="000144DD">
        <w:t>Appendix C</w:t>
      </w:r>
      <w:r w:rsidRPr="00183E4D">
        <w:t xml:space="preserve"> for details on the individual studies included in the evidence base.</w:t>
      </w:r>
      <w:r w:rsidR="000A3C6A">
        <w:t xml:space="preserve"> </w:t>
      </w:r>
    </w:p>
    <w:p w14:paraId="6D3C42F3" w14:textId="0F78A8E5" w:rsidR="00B12DA3" w:rsidRDefault="00B12DA3" w:rsidP="004C79C1">
      <w:pPr>
        <w:spacing w:after="120" w:line="240" w:lineRule="auto"/>
      </w:pPr>
      <w:r>
        <w:t>The only study aimed at determining the diagnostic accuracy of LGE-CMR to diagnose DCM included patients with HF and LV dysfunction, which matches the proposed population as shown in</w:t>
      </w:r>
      <w:r w:rsidR="0020662D">
        <w:t xml:space="preserve"> </w:t>
      </w:r>
      <w:r w:rsidR="00065C69">
        <w:fldChar w:fldCharType="begin"/>
      </w:r>
      <w:r w:rsidR="00065C69">
        <w:instrText xml:space="preserve"> REF _Ref451410358 \h </w:instrText>
      </w:r>
      <w:r w:rsidR="00065C69">
        <w:fldChar w:fldCharType="separate"/>
      </w:r>
      <w:r w:rsidR="00065C69">
        <w:t xml:space="preserve">Figure </w:t>
      </w:r>
      <w:r w:rsidR="00065C69">
        <w:rPr>
          <w:noProof/>
        </w:rPr>
        <w:t>1</w:t>
      </w:r>
      <w:r w:rsidR="00065C69">
        <w:fldChar w:fldCharType="end"/>
      </w:r>
      <w:r>
        <w:t xml:space="preserve"> </w:t>
      </w:r>
      <w:r w:rsidR="0020662D">
        <w:t>a</w:t>
      </w:r>
      <w:r w:rsidR="00F710F9" w:rsidRPr="00F710F9">
        <w:t xml:space="preserve">nd </w:t>
      </w:r>
      <w:r w:rsidR="00065C69">
        <w:fldChar w:fldCharType="begin"/>
      </w:r>
      <w:r w:rsidR="00065C69">
        <w:instrText xml:space="preserve"> REF _Ref451260101 \h </w:instrText>
      </w:r>
      <w:r w:rsidR="00065C69">
        <w:fldChar w:fldCharType="separate"/>
      </w:r>
      <w:r w:rsidR="00065C69">
        <w:t xml:space="preserve">Figure </w:t>
      </w:r>
      <w:r w:rsidR="00065C69">
        <w:rPr>
          <w:noProof/>
        </w:rPr>
        <w:t>2</w:t>
      </w:r>
      <w:r w:rsidR="00065C69">
        <w:fldChar w:fldCharType="end"/>
      </w:r>
      <w:r w:rsidRPr="00F710F9">
        <w:t>.</w:t>
      </w:r>
    </w:p>
    <w:p w14:paraId="6C40229C" w14:textId="36C09A6F" w:rsidR="000A3C6A" w:rsidRDefault="000A3C6A" w:rsidP="004C79C1">
      <w:pPr>
        <w:spacing w:after="120" w:line="240" w:lineRule="auto"/>
        <w:jc w:val="both"/>
      </w:pPr>
      <w:r>
        <w:t>In the</w:t>
      </w:r>
      <w:r w:rsidR="00B12DA3">
        <w:t xml:space="preserve"> included</w:t>
      </w:r>
      <w:r>
        <w:t xml:space="preserve"> studies (k=7) where the aim was to determine whether (dilated) CM had an </w:t>
      </w:r>
      <w:r w:rsidR="00410DCD">
        <w:t>ischaemic</w:t>
      </w:r>
      <w:r>
        <w:t xml:space="preserve"> or non-</w:t>
      </w:r>
      <w:r w:rsidR="00410DCD">
        <w:t>ischaemic</w:t>
      </w:r>
      <w:r>
        <w:t xml:space="preserve"> cause, </w:t>
      </w:r>
      <w:r w:rsidR="00D86D6E">
        <w:t xml:space="preserve">2 </w:t>
      </w:r>
      <w:r>
        <w:t>studies included patients with HF symptoms</w:t>
      </w:r>
      <w:r w:rsidR="00D86D6E">
        <w:t>;</w:t>
      </w:r>
      <w:r>
        <w:t xml:space="preserve"> however</w:t>
      </w:r>
      <w:r w:rsidR="00D86D6E">
        <w:t>,</w:t>
      </w:r>
      <w:r>
        <w:t xml:space="preserve"> </w:t>
      </w:r>
      <w:r w:rsidR="00922324">
        <w:t xml:space="preserve">these studies </w:t>
      </w:r>
      <w:r>
        <w:t xml:space="preserve">did not report whether the patients had dilated LVs or were suspected of DCM </w:t>
      </w:r>
      <w:r w:rsidR="00187A29">
        <w:fldChar w:fldCharType="begin">
          <w:fldData xml:space="preserve">PEVuZE5vdGU+PENpdGU+PEF1dGhvcj5Nb3ItQXZpPC9BdXRob3I+PFllYXI+MjAwODwvWWVhcj48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</w:fldData>
        </w:fldChar>
      </w:r>
      <w:r w:rsidR="00187A29">
        <w:instrText xml:space="preserve"> ADDIN EN.CITE </w:instrText>
      </w:r>
      <w:r w:rsidR="00187A29">
        <w:fldChar w:fldCharType="begin">
          <w:fldData xml:space="preserve">PEVuZE5vdGU+PENpdGU+PEF1dGhvcj5Nb3ItQXZpPC9BdXRob3I+PFllYXI+MjAwODwvWWVhcj48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85" w:tooltip="Mor-Avi, 2008 #10" w:history="1">
        <w:r w:rsidR="00B906E9">
          <w:rPr>
            <w:noProof/>
          </w:rPr>
          <w:t>Mor-Avi et al. 2008</w:t>
        </w:r>
      </w:hyperlink>
      <w:r w:rsidR="00187A29">
        <w:rPr>
          <w:noProof/>
        </w:rPr>
        <w:t xml:space="preserve">; </w:t>
      </w:r>
      <w:hyperlink w:anchor="_ENREF_137" w:tooltip="Won, 2015 #16" w:history="1">
        <w:r w:rsidR="00B906E9">
          <w:rPr>
            <w:noProof/>
          </w:rPr>
          <w:t>Won et al. 2015</w:t>
        </w:r>
      </w:hyperlink>
      <w:r w:rsidR="00187A29">
        <w:rPr>
          <w:noProof/>
        </w:rPr>
        <w:t>)</w:t>
      </w:r>
      <w:r w:rsidR="00187A29">
        <w:fldChar w:fldCharType="end"/>
      </w:r>
      <w:r>
        <w:t xml:space="preserve">. One study was a case-control study and included both patients (63 DCM patients and 27 CAD patients) and control subjects with normal LV function </w:t>
      </w:r>
      <w:r w:rsidR="00187A29">
        <w:fldChar w:fldCharType="begin"/>
      </w:r>
      <w:r w:rsidR="00187A29">
        <w:instrText xml:space="preserve"> ADDIN EN.CITE &lt;EndNote&gt;&lt;Cite&gt;&lt;Author&gt;McCrohon&lt;/Author&gt;&lt;Year&gt;2003&lt;/Year&gt;&lt;RecNum&gt;9&lt;/RecNum&gt;&lt;IDText&gt;54-9&lt;/IDText&gt;&lt;DisplayText&gt;(McCrohon et al. 2003)&lt;/DisplayText&gt;&lt;record&gt;&lt;rec-number&gt;9&lt;/rec-number&gt;&lt;foreign-keys&gt;&lt;key app="EN" db-id="pfxxvref0t0a5de2vwnv2fwkz0p9v0r2fw0t" timestamp="1457058904"&gt;9&lt;/key&gt;&lt;/foreign-keys&gt;&lt;ref-type name="Journal Article"&gt;17&lt;/ref-type&gt;&lt;contributors&gt;&lt;authors&gt;&lt;author&gt;McCrohon, Ja&lt;/author&gt;&lt;author&gt;Moon, Jc&lt;/author&gt;&lt;author&gt;Prasad, Sk&lt;/author&gt;&lt;author&gt;McKenna, Wj&lt;/author&gt;&lt;author&gt;Lorenz, Ch&lt;/author&gt;&lt;author&gt;Coats, Aj&lt;/author&gt;&lt;author&gt;Pennell, Dj&lt;/author&gt;&lt;/authors&gt;&lt;/contributors&gt;&lt;titles&gt;&lt;title&gt;Differentiation of heart failure related to dilated cardiomyopathy and coronary artery disease using gadolinium-enhanced cardiovascular magnetic resonance&lt;/title&gt;&lt;secondary-title&gt;Circulation&lt;/secondary-title&gt;&lt;/titles&gt;&lt;periodical&gt;&lt;full-title&gt;Circulation&lt;/full-title&gt;&lt;/periodical&gt;&lt;pages&gt;54-9&lt;/pages&gt;&lt;volume&gt;108&lt;/volume&gt;&lt;number&gt;1&lt;/number&gt;&lt;dates&gt;&lt;year&gt;2003&lt;/year&gt;&lt;pub-dates&gt;&lt;date&gt;2003-01-01&lt;/date&gt;&lt;/pub-dates&gt;&lt;/dates&gt;&lt;isbn&gt;0009-7322&lt;/isbn&gt;&lt;urls&gt;&lt;related-urls&gt;&lt;url&gt;http://onlinelibrary.wiley.com/o/cochrane/clcentral/articles/045/CN-00439045/frame.html&lt;/url&gt;&lt;url&gt;http://circ.ahajournals.org/content/108/1/54.full.pdf&lt;/url&gt;&lt;/related-urls&gt;&lt;/urls&gt;&lt;custom1&gt;RAYYAN-INCLUSION: {&amp;quot;Sharon&amp;quot;=&amp;gt;true} | RAYYAN-LABELS: DCM&lt;/custom1&gt;&lt;/record&gt;&lt;/Cite&gt;&lt;/EndNote&gt;</w:instrText>
      </w:r>
      <w:r w:rsidR="00187A29">
        <w:fldChar w:fldCharType="separate"/>
      </w:r>
      <w:r w:rsidR="00187A29">
        <w:rPr>
          <w:noProof/>
        </w:rPr>
        <w:t>(</w:t>
      </w:r>
      <w:hyperlink w:anchor="_ENREF_77" w:tooltip="McCrohon, 2003 #9" w:history="1">
        <w:r w:rsidR="00B906E9">
          <w:rPr>
            <w:noProof/>
          </w:rPr>
          <w:t>McCrohon et al. 2003</w:t>
        </w:r>
      </w:hyperlink>
      <w:r w:rsidR="00187A29">
        <w:rPr>
          <w:noProof/>
        </w:rPr>
        <w:t>)</w:t>
      </w:r>
      <w:r w:rsidR="00187A29">
        <w:fldChar w:fldCharType="end"/>
      </w:r>
      <w:r>
        <w:t xml:space="preserve">. Four studies included patients with HF and LV dilation and dysfunction, referred for further investigation </w:t>
      </w:r>
      <w:r w:rsidR="00187A29">
        <w:fldChar w:fldCharType="begin">
          <w:fldData xml:space="preserve">PEVuZE5vdGU+PENpdGU+PEF1dGhvcj5DYXNvbG88L0F1dGhvcj48WWVhcj4yMDA2PC9ZZWFyPjxS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</w:fldData>
        </w:fldChar>
      </w:r>
      <w:r w:rsidR="00187A29">
        <w:instrText xml:space="preserve"> ADDIN EN.CITE </w:instrText>
      </w:r>
      <w:r w:rsidR="00187A29">
        <w:fldChar w:fldCharType="begin">
          <w:fldData xml:space="preserve">PEVuZE5vdGU+PENpdGU+PEF1dGhvcj5DYXNvbG88L0F1dGhvcj48WWVhcj4yMDA2PC9ZZWFyPjxS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</w:fldData>
        </w:fldChar>
      </w:r>
      <w:r w:rsidR="00187A29">
        <w:instrText xml:space="preserve"> ADDIN EN.CITE.DATA </w:instrText>
      </w:r>
      <w:r w:rsidR="00187A29">
        <w:fldChar w:fldCharType="end"/>
      </w:r>
      <w:r w:rsidR="00187A29">
        <w:fldChar w:fldCharType="separate"/>
      </w:r>
      <w:r w:rsidR="00187A29">
        <w:rPr>
          <w:noProof/>
        </w:rPr>
        <w:t>(</w:t>
      </w:r>
      <w:hyperlink w:anchor="_ENREF_8" w:tooltip="Assomull, 2011 #6" w:history="1">
        <w:r w:rsidR="00B906E9">
          <w:rPr>
            <w:noProof/>
          </w:rPr>
          <w:t>Assomull et al. 2011</w:t>
        </w:r>
      </w:hyperlink>
      <w:r w:rsidR="00187A29">
        <w:rPr>
          <w:noProof/>
        </w:rPr>
        <w:t xml:space="preserve">; </w:t>
      </w:r>
      <w:hyperlink w:anchor="_ENREF_21" w:tooltip="Casolo, 2006 #2" w:history="1">
        <w:r w:rsidR="00B906E9">
          <w:rPr>
            <w:noProof/>
          </w:rPr>
          <w:t>Casolo et al. 2006</w:t>
        </w:r>
      </w:hyperlink>
      <w:r w:rsidR="00187A29">
        <w:rPr>
          <w:noProof/>
        </w:rPr>
        <w:t xml:space="preserve">; </w:t>
      </w:r>
      <w:hyperlink w:anchor="_ENREF_49" w:tooltip="Hamilton-Craig, 2012 #8" w:history="1">
        <w:r w:rsidR="00B906E9">
          <w:rPr>
            <w:noProof/>
          </w:rPr>
          <w:t>Hamilton-Craig et al. 2012</w:t>
        </w:r>
      </w:hyperlink>
      <w:r w:rsidR="00187A29">
        <w:rPr>
          <w:noProof/>
        </w:rPr>
        <w:t xml:space="preserve">; </w:t>
      </w:r>
      <w:hyperlink w:anchor="_ENREF_130" w:tooltip="Valle-Munoz, 2009 #4" w:history="1">
        <w:r w:rsidR="00B906E9">
          <w:rPr>
            <w:noProof/>
          </w:rPr>
          <w:t>Valle-Munoz et al. 2009</w:t>
        </w:r>
      </w:hyperlink>
      <w:r w:rsidR="00187A29">
        <w:rPr>
          <w:noProof/>
        </w:rPr>
        <w:t>)</w:t>
      </w:r>
      <w:r w:rsidR="00187A29">
        <w:fldChar w:fldCharType="end"/>
      </w:r>
      <w:r>
        <w:t>. The study by Hamilton-Craig et al. (2011) was the only study based in Australia (n=28).</w:t>
      </w:r>
    </w:p>
    <w:p w14:paraId="6D904E56" w14:textId="17F64935" w:rsidR="00225B53" w:rsidRDefault="00B12DA3" w:rsidP="004C79C1">
      <w:pPr>
        <w:spacing w:after="120" w:line="240" w:lineRule="auto"/>
        <w:jc w:val="both"/>
      </w:pPr>
      <w:r>
        <w:t xml:space="preserve">Of the </w:t>
      </w:r>
      <w:r w:rsidR="00D025D7">
        <w:t xml:space="preserve">4 </w:t>
      </w:r>
      <w:r>
        <w:t xml:space="preserve">studies aimed at determining whether DCM had an inflammatory cause, only </w:t>
      </w:r>
      <w:r w:rsidR="00D025D7">
        <w:t xml:space="preserve">1 </w:t>
      </w:r>
      <w:r>
        <w:t>did not report whether patients had dilated LV</w:t>
      </w:r>
      <w:r w:rsidR="00884E39">
        <w:t>s</w:t>
      </w:r>
      <w:r>
        <w:t>. The other studies included patients with diagnosed DCM and a history of HF.</w:t>
      </w:r>
    </w:p>
    <w:p w14:paraId="58264C97" w14:textId="19BC4C80" w:rsidR="007A49EE" w:rsidRPr="00183E4D" w:rsidRDefault="007A49EE" w:rsidP="004C79C1">
      <w:pPr>
        <w:pStyle w:val="Heading2"/>
        <w:numPr>
          <w:ilvl w:val="1"/>
          <w:numId w:val="22"/>
        </w:numPr>
        <w:spacing w:before="0" w:after="120" w:line="240" w:lineRule="auto"/>
      </w:pPr>
      <w:bookmarkStart w:id="245" w:name="_Toc451501309"/>
      <w:r w:rsidRPr="00183E4D">
        <w:lastRenderedPageBreak/>
        <w:t>Outcome Measures and Analysis</w:t>
      </w:r>
      <w:bookmarkEnd w:id="245"/>
    </w:p>
    <w:p w14:paraId="6C2652E5" w14:textId="64AD345B" w:rsidR="00B44AF2" w:rsidRDefault="00B44AF2" w:rsidP="004C79C1">
      <w:pPr>
        <w:spacing w:after="120" w:line="240" w:lineRule="auto"/>
        <w:jc w:val="both"/>
      </w:pPr>
      <w:r w:rsidRPr="00B44AF2">
        <w:t xml:space="preserve">To assess the diagnostic accuracy of the proposed test, studies were included </w:t>
      </w:r>
      <w:r w:rsidR="00AD008F" w:rsidRPr="00B44AF2">
        <w:t xml:space="preserve">only </w:t>
      </w:r>
      <w:r w:rsidRPr="00B44AF2">
        <w:t>if they provided data that could be extracted into a classic 2x2 table</w:t>
      </w:r>
      <w:r w:rsidR="007C4BD0">
        <w:t xml:space="preserve"> (</w:t>
      </w:r>
      <w:r w:rsidR="007C4BD0">
        <w:fldChar w:fldCharType="begin"/>
      </w:r>
      <w:r w:rsidR="007C4BD0">
        <w:instrText xml:space="preserve"> REF _Ref406161847 \h </w:instrText>
      </w:r>
      <w:r w:rsidR="007C4BD0">
        <w:fldChar w:fldCharType="separate"/>
      </w:r>
      <w:r w:rsidR="008F1256" w:rsidRPr="005613FD">
        <w:t xml:space="preserve">Table </w:t>
      </w:r>
      <w:r w:rsidR="008F1256">
        <w:rPr>
          <w:noProof/>
        </w:rPr>
        <w:t>11</w:t>
      </w:r>
      <w:r w:rsidR="007C4BD0">
        <w:fldChar w:fldCharType="end"/>
      </w:r>
      <w:r w:rsidR="007C4BD0">
        <w:t>), or if the data could be calculated from the sensitivity and specificity provided</w:t>
      </w:r>
      <w:r w:rsidRPr="00B44AF2">
        <w:t xml:space="preserve">, in which </w:t>
      </w:r>
      <w:r w:rsidR="00D025D7">
        <w:t xml:space="preserve">case </w:t>
      </w:r>
      <w:r w:rsidRPr="00B44AF2">
        <w:t>the results of the index test or the comparator were cross-classified against the results of the reference</w:t>
      </w:r>
      <w:r w:rsidR="00082A02">
        <w:t xml:space="preserve"> stan</w:t>
      </w:r>
      <w:r w:rsidR="00082A02" w:rsidRPr="00A14CFD">
        <w:rPr>
          <w:rFonts w:asciiTheme="minorHAnsi" w:hAnsiTheme="minorHAnsi"/>
        </w:rPr>
        <w:t>dard</w:t>
      </w:r>
      <w:r w:rsidR="00766AC5" w:rsidRPr="00A14CFD">
        <w:rPr>
          <w:rFonts w:asciiTheme="minorHAnsi" w:hAnsiTheme="minorHAnsi"/>
        </w:rPr>
        <w:t xml:space="preserve"> (A</w:t>
      </w:r>
      <w:r w:rsidR="00766AC5" w:rsidRPr="00A14CFD">
        <w:rPr>
          <w:rFonts w:asciiTheme="minorHAnsi" w:hAnsiTheme="minorHAnsi"/>
          <w:noProof/>
        </w:rPr>
        <w:t>rmitage et al. 2002</w:t>
      </w:r>
      <w:r w:rsidR="00A14CFD" w:rsidRPr="00A14CFD">
        <w:rPr>
          <w:rFonts w:asciiTheme="minorHAnsi" w:hAnsiTheme="minorHAnsi"/>
          <w:noProof/>
        </w:rPr>
        <w:t>;</w:t>
      </w:r>
      <w:r w:rsidR="00766AC5" w:rsidRPr="00A14CFD">
        <w:rPr>
          <w:rFonts w:asciiTheme="minorHAnsi" w:hAnsiTheme="minorHAnsi"/>
          <w:noProof/>
        </w:rPr>
        <w:t xml:space="preserve"> Deeks 2001</w:t>
      </w:r>
      <w:r w:rsidR="00A14CFD" w:rsidRPr="00A14CFD">
        <w:rPr>
          <w:rFonts w:asciiTheme="minorHAnsi" w:hAnsiTheme="minorHAnsi"/>
          <w:noProof/>
        </w:rPr>
        <w:t>)</w:t>
      </w:r>
      <w:r w:rsidRPr="00A14CFD">
        <w:rPr>
          <w:rFonts w:asciiTheme="minorHAnsi" w:hAnsiTheme="minorHAnsi"/>
        </w:rPr>
        <w:t xml:space="preserve">, and </w:t>
      </w:r>
      <w:bookmarkStart w:id="246" w:name="OLE_LINK436"/>
      <w:bookmarkStart w:id="247" w:name="OLE_LINK437"/>
      <w:r w:rsidRPr="00901DD6">
        <w:t>Bayes</w:t>
      </w:r>
      <w:r>
        <w:t>’</w:t>
      </w:r>
      <w:r w:rsidRPr="00901DD6">
        <w:t xml:space="preserve"> Theorem </w:t>
      </w:r>
      <w:bookmarkEnd w:id="246"/>
      <w:bookmarkEnd w:id="247"/>
      <w:r w:rsidRPr="00901DD6">
        <w:t>was applied:</w:t>
      </w:r>
    </w:p>
    <w:p w14:paraId="1546FAA7" w14:textId="4A2B17E5" w:rsidR="00B44AF2" w:rsidRPr="005613FD" w:rsidRDefault="00B44AF2" w:rsidP="004C79C1">
      <w:pPr>
        <w:pStyle w:val="TableHeading"/>
        <w:spacing w:before="0" w:after="120"/>
      </w:pPr>
      <w:bookmarkStart w:id="248" w:name="_Ref406161847"/>
      <w:bookmarkStart w:id="249" w:name="_Toc324410130"/>
      <w:bookmarkStart w:id="250" w:name="_Toc451435338"/>
      <w:bookmarkStart w:id="251" w:name="_Toc406659807"/>
      <w:r w:rsidRPr="005613FD">
        <w:t xml:space="preserve">Table </w:t>
      </w:r>
      <w:fldSimple w:instr=" SEQ Table \* ARABIC ">
        <w:r w:rsidR="00050936">
          <w:rPr>
            <w:noProof/>
          </w:rPr>
          <w:t>11</w:t>
        </w:r>
      </w:fldSimple>
      <w:bookmarkEnd w:id="248"/>
      <w:r>
        <w:rPr>
          <w:noProof/>
        </w:rPr>
        <w:tab/>
      </w:r>
      <w:r w:rsidRPr="005613FD">
        <w:t>Diagnostic accuracy data extraction</w:t>
      </w:r>
      <w:bookmarkEnd w:id="249"/>
      <w:bookmarkEnd w:id="250"/>
      <w:r w:rsidRPr="005613FD">
        <w:t xml:space="preserve"> </w:t>
      </w:r>
      <w:bookmarkEnd w:id="251"/>
    </w:p>
    <w:tbl>
      <w:tblPr>
        <w:tblW w:w="9039" w:type="dxa"/>
        <w:tblLayout w:type="fixed"/>
        <w:tblLook w:val="0000" w:firstRow="0" w:lastRow="0" w:firstColumn="0" w:lastColumn="0" w:noHBand="0" w:noVBand="0"/>
        <w:tblDescription w:val="Diagnostic accuracy table"/>
      </w:tblPr>
      <w:tblGrid>
        <w:gridCol w:w="1526"/>
        <w:gridCol w:w="1134"/>
        <w:gridCol w:w="2268"/>
        <w:gridCol w:w="1984"/>
        <w:gridCol w:w="2127"/>
      </w:tblGrid>
      <w:tr w:rsidR="00166935" w:rsidRPr="00637462" w14:paraId="33E0476D" w14:textId="77777777" w:rsidTr="00B501F9">
        <w:trPr>
          <w:trHeight w:val="177"/>
        </w:trPr>
        <w:tc>
          <w:tcPr>
            <w:tcW w:w="1526" w:type="dxa"/>
            <w:vAlign w:val="bottom"/>
          </w:tcPr>
          <w:p w14:paraId="5F0A9C07" w14:textId="77777777" w:rsidR="00166935" w:rsidRPr="00637462" w:rsidRDefault="0016693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c>
          <w:tcPr>
            <w:tcW w:w="1134" w:type="dxa"/>
            <w:vAlign w:val="bottom"/>
          </w:tcPr>
          <w:p w14:paraId="35109DB2" w14:textId="77777777" w:rsidR="00166935" w:rsidRPr="00637462" w:rsidRDefault="0016693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c>
          <w:tcPr>
            <w:tcW w:w="4252" w:type="dxa"/>
            <w:gridSpan w:val="2"/>
            <w:vAlign w:val="bottom"/>
          </w:tcPr>
          <w:p w14:paraId="68904B4F" w14:textId="68D7640D" w:rsidR="00166935" w:rsidRPr="00637462" w:rsidRDefault="00166935" w:rsidP="004C79C1">
            <w:pPr>
              <w:pStyle w:val="TableText"/>
              <w:spacing w:before="0" w:after="120" w:line="240" w:lineRule="auto"/>
              <w:jc w:val="center"/>
              <w:rPr>
                <w:b/>
                <w:color w:val="FFFFFF" w:themeColor="background1"/>
                <w:sz w:val="20"/>
                <w:szCs w:val="20"/>
              </w:rPr>
            </w:pPr>
            <w:r w:rsidRPr="00637462">
              <w:rPr>
                <w:b/>
                <w:sz w:val="20"/>
                <w:szCs w:val="20"/>
              </w:rPr>
              <w:t>Reference standard</w:t>
            </w:r>
            <w:r>
              <w:rPr>
                <w:b/>
                <w:sz w:val="20"/>
                <w:szCs w:val="20"/>
              </w:rPr>
              <w:t xml:space="preserve"> (ICA, myocardial biopsy or </w:t>
            </w:r>
            <w:r w:rsidR="00032C1A">
              <w:rPr>
                <w:b/>
                <w:sz w:val="20"/>
                <w:szCs w:val="20"/>
              </w:rPr>
              <w:t>available diagnostic data</w:t>
            </w:r>
            <w:r>
              <w:rPr>
                <w:b/>
                <w:sz w:val="20"/>
                <w:szCs w:val="20"/>
              </w:rPr>
              <w:t>)</w:t>
            </w:r>
          </w:p>
        </w:tc>
        <w:tc>
          <w:tcPr>
            <w:tcW w:w="2127" w:type="dxa"/>
            <w:vAlign w:val="bottom"/>
          </w:tcPr>
          <w:p w14:paraId="02A5F623" w14:textId="77777777" w:rsidR="00166935" w:rsidRPr="00637462" w:rsidRDefault="0016693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r>
      <w:tr w:rsidR="00321705" w:rsidRPr="00637462" w14:paraId="65C1011C" w14:textId="77777777" w:rsidTr="00B501F9">
        <w:trPr>
          <w:trHeight w:val="310"/>
        </w:trPr>
        <w:tc>
          <w:tcPr>
            <w:tcW w:w="1526" w:type="dxa"/>
            <w:vAlign w:val="center"/>
          </w:tcPr>
          <w:p w14:paraId="3E20E89B" w14:textId="77777777" w:rsidR="00321705" w:rsidRPr="00637462" w:rsidRDefault="0032170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c>
          <w:tcPr>
            <w:tcW w:w="1134" w:type="dxa"/>
            <w:vAlign w:val="center"/>
          </w:tcPr>
          <w:p w14:paraId="0F886225" w14:textId="77777777" w:rsidR="00321705" w:rsidRPr="00637462" w:rsidRDefault="0032170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c>
          <w:tcPr>
            <w:tcW w:w="2268" w:type="dxa"/>
            <w:tcBorders>
              <w:bottom w:val="single" w:sz="4" w:space="0" w:color="auto"/>
            </w:tcBorders>
            <w:vAlign w:val="center"/>
          </w:tcPr>
          <w:p w14:paraId="7E29E521" w14:textId="77777777" w:rsidR="00321705" w:rsidRPr="00637462" w:rsidRDefault="00321705" w:rsidP="004C79C1">
            <w:pPr>
              <w:pStyle w:val="TableText"/>
              <w:spacing w:before="0" w:after="120" w:line="240" w:lineRule="auto"/>
              <w:ind w:left="113"/>
              <w:rPr>
                <w:sz w:val="20"/>
                <w:szCs w:val="20"/>
              </w:rPr>
            </w:pPr>
            <w:r w:rsidRPr="00637462">
              <w:rPr>
                <w:i/>
                <w:sz w:val="20"/>
                <w:szCs w:val="20"/>
              </w:rPr>
              <w:t>Disease +</w:t>
            </w:r>
          </w:p>
        </w:tc>
        <w:tc>
          <w:tcPr>
            <w:tcW w:w="1984" w:type="dxa"/>
            <w:tcBorders>
              <w:bottom w:val="single" w:sz="4" w:space="0" w:color="auto"/>
            </w:tcBorders>
            <w:vAlign w:val="center"/>
          </w:tcPr>
          <w:p w14:paraId="28480BF7" w14:textId="77777777" w:rsidR="00321705" w:rsidRPr="00637462" w:rsidRDefault="00321705" w:rsidP="004C79C1">
            <w:pPr>
              <w:pStyle w:val="TableText"/>
              <w:spacing w:before="0" w:after="120" w:line="240" w:lineRule="auto"/>
              <w:ind w:left="113"/>
              <w:rPr>
                <w:sz w:val="20"/>
                <w:szCs w:val="20"/>
              </w:rPr>
            </w:pPr>
            <w:r w:rsidRPr="00637462">
              <w:rPr>
                <w:i/>
                <w:sz w:val="20"/>
                <w:szCs w:val="20"/>
              </w:rPr>
              <w:t>Disease –</w:t>
            </w:r>
          </w:p>
        </w:tc>
        <w:tc>
          <w:tcPr>
            <w:tcW w:w="2127" w:type="dxa"/>
            <w:vAlign w:val="center"/>
          </w:tcPr>
          <w:p w14:paraId="6EFFC8A3" w14:textId="77777777" w:rsidR="00321705" w:rsidRPr="00637462" w:rsidRDefault="0032170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r>
      <w:tr w:rsidR="00321705" w:rsidRPr="00637462" w14:paraId="16B4A5D7" w14:textId="77777777" w:rsidTr="00B501F9">
        <w:trPr>
          <w:trHeight w:val="449"/>
        </w:trPr>
        <w:tc>
          <w:tcPr>
            <w:tcW w:w="1526" w:type="dxa"/>
            <w:vAlign w:val="center"/>
          </w:tcPr>
          <w:p w14:paraId="38547E97" w14:textId="5745BD23" w:rsidR="00321705" w:rsidRPr="00637462" w:rsidRDefault="007C4BD0" w:rsidP="004C79C1">
            <w:pPr>
              <w:pStyle w:val="TableText"/>
              <w:spacing w:before="0" w:after="120" w:line="240" w:lineRule="auto"/>
              <w:jc w:val="center"/>
              <w:rPr>
                <w:b/>
                <w:sz w:val="20"/>
                <w:szCs w:val="20"/>
              </w:rPr>
            </w:pPr>
            <w:r>
              <w:rPr>
                <w:b/>
                <w:sz w:val="20"/>
                <w:szCs w:val="20"/>
              </w:rPr>
              <w:t>LGE-CMR</w:t>
            </w:r>
          </w:p>
        </w:tc>
        <w:tc>
          <w:tcPr>
            <w:tcW w:w="1134" w:type="dxa"/>
            <w:tcBorders>
              <w:right w:val="single" w:sz="4" w:space="0" w:color="auto"/>
            </w:tcBorders>
            <w:vAlign w:val="center"/>
          </w:tcPr>
          <w:p w14:paraId="1C894485" w14:textId="77777777" w:rsidR="00321705" w:rsidRPr="00637462" w:rsidRDefault="00321705" w:rsidP="004C79C1">
            <w:pPr>
              <w:pStyle w:val="TableText"/>
              <w:spacing w:before="0" w:after="120" w:line="240" w:lineRule="auto"/>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591657BD" w14:textId="77777777" w:rsidR="00321705" w:rsidRPr="00637462" w:rsidRDefault="00321705" w:rsidP="004C79C1">
            <w:pPr>
              <w:pStyle w:val="TableText"/>
              <w:spacing w:before="0" w:after="120" w:line="240" w:lineRule="auto"/>
              <w:ind w:left="113"/>
              <w:rPr>
                <w:sz w:val="20"/>
                <w:szCs w:val="20"/>
              </w:rPr>
            </w:pPr>
            <w:r w:rsidRPr="00637462">
              <w:rPr>
                <w:sz w:val="20"/>
                <w:szCs w:val="20"/>
              </w:rPr>
              <w:t>true positive</w:t>
            </w:r>
          </w:p>
        </w:tc>
        <w:tc>
          <w:tcPr>
            <w:tcW w:w="1984" w:type="dxa"/>
            <w:tcBorders>
              <w:top w:val="single" w:sz="4" w:space="0" w:color="auto"/>
              <w:left w:val="single" w:sz="4" w:space="0" w:color="auto"/>
              <w:bottom w:val="single" w:sz="4" w:space="0" w:color="auto"/>
              <w:right w:val="single" w:sz="4" w:space="0" w:color="auto"/>
            </w:tcBorders>
            <w:vAlign w:val="center"/>
          </w:tcPr>
          <w:p w14:paraId="4930DB0E" w14:textId="77777777" w:rsidR="00321705" w:rsidRPr="00637462" w:rsidRDefault="00321705" w:rsidP="004C79C1">
            <w:pPr>
              <w:pStyle w:val="TableText"/>
              <w:spacing w:before="0" w:after="120" w:line="240" w:lineRule="auto"/>
              <w:ind w:left="113"/>
              <w:rPr>
                <w:sz w:val="20"/>
                <w:szCs w:val="20"/>
              </w:rPr>
            </w:pPr>
            <w:r w:rsidRPr="00637462">
              <w:rPr>
                <w:sz w:val="20"/>
                <w:szCs w:val="20"/>
              </w:rPr>
              <w:t>false positive</w:t>
            </w:r>
          </w:p>
        </w:tc>
        <w:tc>
          <w:tcPr>
            <w:tcW w:w="2127" w:type="dxa"/>
            <w:tcBorders>
              <w:left w:val="single" w:sz="4" w:space="0" w:color="auto"/>
              <w:right w:val="nil"/>
            </w:tcBorders>
            <w:vAlign w:val="center"/>
          </w:tcPr>
          <w:p w14:paraId="7250896A" w14:textId="77777777" w:rsidR="00321705" w:rsidRPr="00637462" w:rsidRDefault="00321705" w:rsidP="004C79C1">
            <w:pPr>
              <w:pStyle w:val="TableText"/>
              <w:spacing w:before="0" w:after="120" w:line="240" w:lineRule="auto"/>
              <w:rPr>
                <w:sz w:val="20"/>
                <w:szCs w:val="20"/>
              </w:rPr>
            </w:pPr>
            <w:r w:rsidRPr="00637462">
              <w:rPr>
                <w:sz w:val="20"/>
                <w:szCs w:val="20"/>
              </w:rPr>
              <w:t>Total test positive</w:t>
            </w:r>
          </w:p>
        </w:tc>
      </w:tr>
      <w:tr w:rsidR="00321705" w:rsidRPr="00637462" w14:paraId="4F5574DC" w14:textId="77777777" w:rsidTr="00B501F9">
        <w:trPr>
          <w:trHeight w:val="426"/>
        </w:trPr>
        <w:tc>
          <w:tcPr>
            <w:tcW w:w="1526" w:type="dxa"/>
            <w:vAlign w:val="center"/>
          </w:tcPr>
          <w:p w14:paraId="2B4AE62C" w14:textId="24C8DF2F" w:rsidR="00321705" w:rsidRPr="00637462" w:rsidRDefault="007C4BD0" w:rsidP="004C79C1">
            <w:pPr>
              <w:pStyle w:val="TableText0"/>
              <w:spacing w:before="0" w:after="120"/>
              <w:jc w:val="center"/>
              <w:rPr>
                <w:color w:val="FFFFFF" w:themeColor="background1"/>
                <w:szCs w:val="20"/>
              </w:rPr>
            </w:pPr>
            <w:r>
              <w:rPr>
                <w:szCs w:val="20"/>
              </w:rPr>
              <w:t>o</w:t>
            </w:r>
            <w:r w:rsidR="00321705" w:rsidRPr="00637462">
              <w:rPr>
                <w:szCs w:val="20"/>
              </w:rPr>
              <w:t xml:space="preserve">r comparator </w:t>
            </w:r>
          </w:p>
        </w:tc>
        <w:tc>
          <w:tcPr>
            <w:tcW w:w="1134" w:type="dxa"/>
            <w:tcBorders>
              <w:right w:val="single" w:sz="4" w:space="0" w:color="auto"/>
            </w:tcBorders>
            <w:vAlign w:val="center"/>
          </w:tcPr>
          <w:p w14:paraId="736D013F" w14:textId="77777777" w:rsidR="00321705" w:rsidRPr="00637462" w:rsidRDefault="00321705" w:rsidP="004C79C1">
            <w:pPr>
              <w:pStyle w:val="TableText"/>
              <w:spacing w:before="0" w:after="120" w:line="240" w:lineRule="auto"/>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37D5B0DE" w14:textId="77777777" w:rsidR="00321705" w:rsidRPr="00637462" w:rsidRDefault="00321705" w:rsidP="004C79C1">
            <w:pPr>
              <w:pStyle w:val="TableText"/>
              <w:spacing w:before="0" w:after="120" w:line="240" w:lineRule="auto"/>
              <w:ind w:left="113"/>
              <w:rPr>
                <w:sz w:val="20"/>
                <w:szCs w:val="20"/>
              </w:rPr>
            </w:pPr>
            <w:r w:rsidRPr="00637462">
              <w:rPr>
                <w:sz w:val="20"/>
                <w:szCs w:val="20"/>
              </w:rPr>
              <w:t>false negative</w:t>
            </w:r>
          </w:p>
        </w:tc>
        <w:tc>
          <w:tcPr>
            <w:tcW w:w="1984" w:type="dxa"/>
            <w:tcBorders>
              <w:top w:val="single" w:sz="4" w:space="0" w:color="auto"/>
              <w:left w:val="single" w:sz="4" w:space="0" w:color="auto"/>
              <w:bottom w:val="single" w:sz="4" w:space="0" w:color="auto"/>
              <w:right w:val="single" w:sz="4" w:space="0" w:color="auto"/>
            </w:tcBorders>
            <w:vAlign w:val="center"/>
          </w:tcPr>
          <w:p w14:paraId="1BEF0C8B" w14:textId="77777777" w:rsidR="00321705" w:rsidRPr="00637462" w:rsidRDefault="00321705" w:rsidP="004C79C1">
            <w:pPr>
              <w:pStyle w:val="TableText"/>
              <w:spacing w:before="0" w:after="120" w:line="240" w:lineRule="auto"/>
              <w:ind w:left="113"/>
              <w:rPr>
                <w:sz w:val="20"/>
                <w:szCs w:val="20"/>
              </w:rPr>
            </w:pPr>
            <w:r w:rsidRPr="00637462">
              <w:rPr>
                <w:sz w:val="20"/>
                <w:szCs w:val="20"/>
              </w:rPr>
              <w:t>true negative</w:t>
            </w:r>
          </w:p>
        </w:tc>
        <w:tc>
          <w:tcPr>
            <w:tcW w:w="2127" w:type="dxa"/>
            <w:tcBorders>
              <w:left w:val="single" w:sz="4" w:space="0" w:color="auto"/>
              <w:right w:val="nil"/>
            </w:tcBorders>
            <w:vAlign w:val="center"/>
          </w:tcPr>
          <w:p w14:paraId="3CC0E672" w14:textId="77777777" w:rsidR="00321705" w:rsidRPr="00637462" w:rsidRDefault="00321705" w:rsidP="004C79C1">
            <w:pPr>
              <w:pStyle w:val="TableText"/>
              <w:spacing w:before="0" w:after="120" w:line="240" w:lineRule="auto"/>
              <w:rPr>
                <w:sz w:val="20"/>
                <w:szCs w:val="20"/>
              </w:rPr>
            </w:pPr>
            <w:r w:rsidRPr="00637462">
              <w:rPr>
                <w:sz w:val="20"/>
                <w:szCs w:val="20"/>
              </w:rPr>
              <w:t>Total test negative</w:t>
            </w:r>
          </w:p>
        </w:tc>
      </w:tr>
      <w:tr w:rsidR="00321705" w:rsidRPr="00637462" w14:paraId="66A2024B" w14:textId="77777777" w:rsidTr="00B501F9">
        <w:trPr>
          <w:trHeight w:val="149"/>
        </w:trPr>
        <w:tc>
          <w:tcPr>
            <w:tcW w:w="1526" w:type="dxa"/>
            <w:vAlign w:val="center"/>
          </w:tcPr>
          <w:p w14:paraId="1C7106C6" w14:textId="77777777" w:rsidR="00321705" w:rsidRPr="00637462" w:rsidRDefault="00321705" w:rsidP="004C79C1">
            <w:pPr>
              <w:pStyle w:val="TableText0"/>
              <w:spacing w:before="0" w:after="120"/>
              <w:rPr>
                <w:color w:val="FFFFFF" w:themeColor="background1"/>
                <w:szCs w:val="20"/>
              </w:rPr>
            </w:pPr>
            <w:r w:rsidRPr="00637462">
              <w:rPr>
                <w:color w:val="FFFFFF" w:themeColor="background1"/>
                <w:szCs w:val="20"/>
              </w:rPr>
              <w:t>-</w:t>
            </w:r>
          </w:p>
        </w:tc>
        <w:tc>
          <w:tcPr>
            <w:tcW w:w="1134" w:type="dxa"/>
            <w:vAlign w:val="center"/>
          </w:tcPr>
          <w:p w14:paraId="371D8E28" w14:textId="77777777" w:rsidR="00321705" w:rsidRPr="00637462" w:rsidRDefault="0032170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c>
          <w:tcPr>
            <w:tcW w:w="2268" w:type="dxa"/>
            <w:tcBorders>
              <w:top w:val="single" w:sz="4" w:space="0" w:color="auto"/>
              <w:bottom w:val="nil"/>
            </w:tcBorders>
            <w:vAlign w:val="center"/>
          </w:tcPr>
          <w:p w14:paraId="03E35F2A" w14:textId="77777777" w:rsidR="00321705" w:rsidRPr="00637462" w:rsidRDefault="00321705" w:rsidP="004C79C1">
            <w:pPr>
              <w:pStyle w:val="TableText"/>
              <w:spacing w:before="0" w:after="120" w:line="240" w:lineRule="auto"/>
              <w:ind w:left="113"/>
              <w:rPr>
                <w:sz w:val="20"/>
                <w:szCs w:val="20"/>
                <w:highlight w:val="yellow"/>
              </w:rPr>
            </w:pPr>
            <w:r w:rsidRPr="00637462">
              <w:rPr>
                <w:sz w:val="20"/>
                <w:szCs w:val="20"/>
              </w:rPr>
              <w:t xml:space="preserve">Total with </w:t>
            </w:r>
            <w:r>
              <w:rPr>
                <w:sz w:val="20"/>
                <w:szCs w:val="20"/>
              </w:rPr>
              <w:t>disease</w:t>
            </w:r>
          </w:p>
        </w:tc>
        <w:tc>
          <w:tcPr>
            <w:tcW w:w="1984" w:type="dxa"/>
            <w:tcBorders>
              <w:top w:val="single" w:sz="4" w:space="0" w:color="auto"/>
              <w:bottom w:val="nil"/>
            </w:tcBorders>
            <w:vAlign w:val="center"/>
          </w:tcPr>
          <w:p w14:paraId="44C67E70" w14:textId="77777777" w:rsidR="00321705" w:rsidRPr="00637462" w:rsidRDefault="00321705" w:rsidP="004C79C1">
            <w:pPr>
              <w:pStyle w:val="TableText"/>
              <w:spacing w:before="0" w:after="120" w:line="240" w:lineRule="auto"/>
              <w:ind w:left="113"/>
              <w:rPr>
                <w:sz w:val="20"/>
                <w:szCs w:val="20"/>
                <w:highlight w:val="yellow"/>
              </w:rPr>
            </w:pPr>
            <w:r w:rsidRPr="00637462">
              <w:rPr>
                <w:sz w:val="20"/>
                <w:szCs w:val="20"/>
              </w:rPr>
              <w:t xml:space="preserve">Total without </w:t>
            </w:r>
            <w:r>
              <w:rPr>
                <w:sz w:val="20"/>
                <w:szCs w:val="20"/>
              </w:rPr>
              <w:t>disease</w:t>
            </w:r>
          </w:p>
        </w:tc>
        <w:tc>
          <w:tcPr>
            <w:tcW w:w="2127" w:type="dxa"/>
            <w:tcBorders>
              <w:bottom w:val="nil"/>
            </w:tcBorders>
            <w:vAlign w:val="center"/>
          </w:tcPr>
          <w:p w14:paraId="0DED60AA" w14:textId="77777777" w:rsidR="00321705" w:rsidRPr="00637462" w:rsidRDefault="00321705" w:rsidP="004C79C1">
            <w:pPr>
              <w:pStyle w:val="TableText"/>
              <w:spacing w:before="0" w:after="120" w:line="240" w:lineRule="auto"/>
              <w:rPr>
                <w:color w:val="FFFFFF" w:themeColor="background1"/>
                <w:sz w:val="20"/>
                <w:szCs w:val="20"/>
              </w:rPr>
            </w:pPr>
            <w:r w:rsidRPr="00637462">
              <w:rPr>
                <w:color w:val="FFFFFF" w:themeColor="background1"/>
                <w:sz w:val="20"/>
                <w:szCs w:val="20"/>
              </w:rPr>
              <w:t>-</w:t>
            </w:r>
          </w:p>
        </w:tc>
      </w:tr>
    </w:tbl>
    <w:p w14:paraId="52786512" w14:textId="019524B6" w:rsidR="007C4BD0" w:rsidRPr="00F5624A" w:rsidRDefault="007C4BD0" w:rsidP="004C79C1">
      <w:pPr>
        <w:pStyle w:val="Tabletext1"/>
        <w:spacing w:before="0" w:after="120"/>
        <w:jc w:val="both"/>
      </w:pPr>
      <w:r w:rsidRPr="00F5624A">
        <w:t>ICA = invasive coronary angiography; LGE</w:t>
      </w:r>
      <w:r>
        <w:t>-CMR = late gadolinium enhancement</w:t>
      </w:r>
      <w:r w:rsidRPr="00F5624A">
        <w:t xml:space="preserve"> </w:t>
      </w:r>
      <w:r>
        <w:t>c</w:t>
      </w:r>
      <w:r w:rsidRPr="006739C2">
        <w:t xml:space="preserve">ardiac magnetic resonance </w:t>
      </w:r>
      <w:r w:rsidR="0029577A">
        <w:t>(</w:t>
      </w:r>
      <w:r w:rsidRPr="006739C2">
        <w:t>imaging</w:t>
      </w:r>
      <w:r w:rsidR="0029577A">
        <w:t>)</w:t>
      </w:r>
    </w:p>
    <w:p w14:paraId="703EDB59" w14:textId="69479C0B" w:rsidR="00B44AF2" w:rsidRPr="00B44AF2" w:rsidRDefault="00B44AF2" w:rsidP="004C79C1">
      <w:pPr>
        <w:spacing w:after="120" w:line="240" w:lineRule="auto"/>
      </w:pPr>
    </w:p>
    <w:p w14:paraId="4926D0E9" w14:textId="03DB363E" w:rsidR="007C4BD0" w:rsidRDefault="00856602" w:rsidP="004C79C1">
      <w:pPr>
        <w:spacing w:after="120" w:line="240" w:lineRule="auto"/>
        <w:jc w:val="both"/>
      </w:pPr>
      <w:r>
        <w:t>The 2x2 data</w:t>
      </w:r>
      <w:r w:rsidR="006A6BE5">
        <w:t xml:space="preserve"> extraction tables</w:t>
      </w:r>
      <w:r>
        <w:t xml:space="preserve"> for diagnostic performance </w:t>
      </w:r>
      <w:r w:rsidR="006A6BE5">
        <w:t>are available upon request</w:t>
      </w:r>
      <w:r>
        <w:t xml:space="preserve">. </w:t>
      </w:r>
      <w:r w:rsidR="007C4BD0">
        <w:t xml:space="preserve">Disease+ was defined as patients having </w:t>
      </w:r>
      <w:r w:rsidR="00F66F9C">
        <w:t xml:space="preserve">either </w:t>
      </w:r>
      <w:r w:rsidR="00371315">
        <w:t>NIDCM</w:t>
      </w:r>
      <w:r w:rsidR="007C4BD0">
        <w:t xml:space="preserve"> or, in studies with </w:t>
      </w:r>
      <w:r w:rsidR="00AD008F">
        <w:t>EMB</w:t>
      </w:r>
      <w:r w:rsidR="007C4BD0">
        <w:t xml:space="preserve"> as the reference standard, inflammatory lesions or active myocarditis. A negative result indicated the diagnosis of CAD, </w:t>
      </w:r>
      <w:r w:rsidR="009C7245">
        <w:t xml:space="preserve">ICM </w:t>
      </w:r>
      <w:r w:rsidR="007C4BD0">
        <w:t xml:space="preserve">or other heart disease. In studies with </w:t>
      </w:r>
      <w:r w:rsidR="00AD008F">
        <w:t xml:space="preserve">EMB </w:t>
      </w:r>
      <w:r w:rsidR="007C4BD0">
        <w:t>as the reference standard</w:t>
      </w:r>
      <w:r w:rsidR="00371315">
        <w:t>,</w:t>
      </w:r>
      <w:r w:rsidR="007C4BD0">
        <w:t xml:space="preserve"> no inflammatory lesions or the absence of myocarditis was seen as a true negative. </w:t>
      </w:r>
      <w:r w:rsidR="00371315">
        <w:t>‘</w:t>
      </w:r>
      <w:r w:rsidR="00922324">
        <w:t>Clinical data</w:t>
      </w:r>
      <w:r w:rsidR="00371315">
        <w:t>’</w:t>
      </w:r>
      <w:r w:rsidR="00922324">
        <w:t xml:space="preserve"> was used to diagnose varying aetiologies or conditions, </w:t>
      </w:r>
      <w:r w:rsidR="00371315">
        <w:t>for example</w:t>
      </w:r>
      <w:r w:rsidR="00922324">
        <w:t xml:space="preserve"> the type of CM or whether DCM had an </w:t>
      </w:r>
      <w:r w:rsidR="00410DCD">
        <w:t>ischaemic</w:t>
      </w:r>
      <w:r w:rsidR="00922324">
        <w:t xml:space="preserve"> cause.</w:t>
      </w:r>
    </w:p>
    <w:p w14:paraId="0FC17D04" w14:textId="75C32C03" w:rsidR="00F80596" w:rsidRPr="00F5624A" w:rsidRDefault="00F80596" w:rsidP="00161B88">
      <w:pPr>
        <w:pStyle w:val="Heading3"/>
      </w:pPr>
      <w:bookmarkStart w:id="252" w:name="_Toc451501310"/>
      <w:r w:rsidRPr="00F5624A">
        <w:t>Primary measures</w:t>
      </w:r>
      <w:bookmarkEnd w:id="252"/>
    </w:p>
    <w:p w14:paraId="0CE5C212" w14:textId="68350D57" w:rsidR="00F80596" w:rsidRPr="00F5624A" w:rsidRDefault="00F80596" w:rsidP="004C79C1">
      <w:pPr>
        <w:spacing w:after="120" w:line="240" w:lineRule="auto"/>
        <w:jc w:val="both"/>
      </w:pPr>
      <w:r w:rsidRPr="00F5624A">
        <w:t xml:space="preserve">Test sensitivity was </w:t>
      </w:r>
      <w:r w:rsidR="00460E72">
        <w:t>calculated as below</w:t>
      </w:r>
      <w:r w:rsidR="005566C7">
        <w:t xml:space="preserve"> and showed the proportion of patients with either </w:t>
      </w:r>
      <w:r w:rsidR="00F558DE">
        <w:t>NID</w:t>
      </w:r>
      <w:r w:rsidR="005566C7">
        <w:t xml:space="preserve">CM or myocarditis as determined by the reference standard, who had a ‘positive test’ on LGE-CMR (indicating </w:t>
      </w:r>
      <w:proofErr w:type="gramStart"/>
      <w:r w:rsidR="005566C7">
        <w:t xml:space="preserve">either </w:t>
      </w:r>
      <w:r w:rsidR="00F558DE">
        <w:t>NID</w:t>
      </w:r>
      <w:r w:rsidR="005566C7">
        <w:t>CM</w:t>
      </w:r>
      <w:proofErr w:type="gramEnd"/>
      <w:r w:rsidR="005566C7">
        <w:t xml:space="preserve"> or myocarditis</w:t>
      </w:r>
      <w:r w:rsidR="00F558DE">
        <w:t xml:space="preserve"> </w:t>
      </w:r>
      <w:r w:rsidR="005566C7">
        <w:t>/</w:t>
      </w:r>
      <w:r w:rsidR="00F558DE">
        <w:t xml:space="preserve"> </w:t>
      </w:r>
      <w:r w:rsidR="005566C7">
        <w:t>inflammatory lesions):</w:t>
      </w:r>
    </w:p>
    <w:p w14:paraId="2CCF2F70" w14:textId="54D1BFFC" w:rsidR="005566C7" w:rsidRDefault="00F80596" w:rsidP="004C79C1">
      <w:pPr>
        <w:spacing w:after="120" w:line="240" w:lineRule="auto"/>
        <w:ind w:left="567"/>
        <w:rPr>
          <w:rFonts w:ascii="Arial Narrow" w:hAnsi="Arial Narrow"/>
          <w:szCs w:val="24"/>
        </w:rPr>
      </w:pPr>
      <w:bookmarkStart w:id="253" w:name="_Toc240694210"/>
      <w:bookmarkStart w:id="254" w:name="_Toc241647425"/>
      <w:bookmarkStart w:id="255" w:name="_Toc244940616"/>
      <w:bookmarkStart w:id="256" w:name="_Toc248638292"/>
      <w:r w:rsidRPr="00F5624A">
        <w:rPr>
          <w:rFonts w:ascii="Arial Narrow" w:hAnsi="Arial Narrow"/>
          <w:szCs w:val="24"/>
        </w:rPr>
        <w:t>Sensitivity (true positive rate) = number with true positive result</w:t>
      </w:r>
      <w:r w:rsidR="005566C7">
        <w:rPr>
          <w:rFonts w:ascii="Arial Narrow" w:hAnsi="Arial Narrow"/>
          <w:szCs w:val="24"/>
        </w:rPr>
        <w:t xml:space="preserve"> on LGE-CMR</w:t>
      </w:r>
      <w:r w:rsidRPr="00F5624A">
        <w:rPr>
          <w:rFonts w:ascii="Arial Narrow" w:hAnsi="Arial Narrow"/>
          <w:szCs w:val="24"/>
        </w:rPr>
        <w:t xml:space="preserve"> / total with</w:t>
      </w:r>
      <w:r w:rsidR="00460E72">
        <w:rPr>
          <w:rFonts w:ascii="Arial Narrow" w:hAnsi="Arial Narrow"/>
          <w:szCs w:val="24"/>
        </w:rPr>
        <w:t xml:space="preserve"> </w:t>
      </w:r>
      <w:r w:rsidR="00F558DE">
        <w:rPr>
          <w:rFonts w:ascii="Arial Narrow" w:hAnsi="Arial Narrow"/>
          <w:szCs w:val="24"/>
        </w:rPr>
        <w:t>NID</w:t>
      </w:r>
      <w:r w:rsidR="00460E72">
        <w:rPr>
          <w:rFonts w:ascii="Arial Narrow" w:hAnsi="Arial Narrow"/>
          <w:szCs w:val="24"/>
        </w:rPr>
        <w:t>CM or inflammatory lesions</w:t>
      </w:r>
    </w:p>
    <w:bookmarkEnd w:id="253"/>
    <w:bookmarkEnd w:id="254"/>
    <w:bookmarkEnd w:id="255"/>
    <w:bookmarkEnd w:id="256"/>
    <w:p w14:paraId="38A21D07" w14:textId="05C588F7" w:rsidR="00F80596" w:rsidRPr="00F5624A" w:rsidRDefault="00F80596" w:rsidP="004C79C1">
      <w:pPr>
        <w:spacing w:after="120" w:line="240" w:lineRule="auto"/>
        <w:jc w:val="both"/>
      </w:pPr>
      <w:r w:rsidRPr="00946411">
        <w:t xml:space="preserve">Test specificity was calculated as the proportion of people </w:t>
      </w:r>
      <w:r w:rsidR="005566C7">
        <w:t>without</w:t>
      </w:r>
      <w:r w:rsidR="00072222">
        <w:t xml:space="preserve"> </w:t>
      </w:r>
      <w:r w:rsidR="00CE5DC2">
        <w:t>NID</w:t>
      </w:r>
      <w:r w:rsidR="005566C7">
        <w:t>CM or myocarditis</w:t>
      </w:r>
      <w:r w:rsidR="00CE5DC2">
        <w:t xml:space="preserve"> </w:t>
      </w:r>
      <w:r w:rsidR="005566C7">
        <w:t>/</w:t>
      </w:r>
      <w:r w:rsidR="00CE5DC2">
        <w:t xml:space="preserve"> </w:t>
      </w:r>
      <w:r w:rsidR="005566C7">
        <w:t xml:space="preserve">inflammatory lesions (but ICM or other heart disease) </w:t>
      </w:r>
      <w:r w:rsidRPr="00946411">
        <w:t>as deter</w:t>
      </w:r>
      <w:r w:rsidR="005566C7">
        <w:t>mined by the reference standard</w:t>
      </w:r>
      <w:r w:rsidR="00AC77FC">
        <w:t>,</w:t>
      </w:r>
      <w:r w:rsidRPr="00946411">
        <w:t xml:space="preserve"> </w:t>
      </w:r>
      <w:proofErr w:type="gramStart"/>
      <w:r w:rsidRPr="00946411">
        <w:t>who</w:t>
      </w:r>
      <w:proofErr w:type="gramEnd"/>
      <w:r w:rsidR="005566C7">
        <w:t xml:space="preserve"> </w:t>
      </w:r>
      <w:r w:rsidR="00DE7972">
        <w:t xml:space="preserve">had a ‘negative test’ on LGE-CMR (indicating either </w:t>
      </w:r>
      <w:r w:rsidR="00CE5DC2">
        <w:t>I</w:t>
      </w:r>
      <w:r w:rsidR="00DE7972">
        <w:t>CM or absence of myocarditis</w:t>
      </w:r>
      <w:r w:rsidR="00CE5DC2">
        <w:t xml:space="preserve"> </w:t>
      </w:r>
      <w:r w:rsidR="00DE7972">
        <w:t>/</w:t>
      </w:r>
      <w:r w:rsidR="00CE5DC2">
        <w:t xml:space="preserve"> </w:t>
      </w:r>
      <w:r w:rsidR="00DE7972">
        <w:t>inflammatory lesions)</w:t>
      </w:r>
      <w:r w:rsidRPr="00F5624A">
        <w:t>:</w:t>
      </w:r>
    </w:p>
    <w:p w14:paraId="4049558D" w14:textId="4E285E6B" w:rsidR="00DE7972" w:rsidRDefault="00F80596" w:rsidP="004C79C1">
      <w:pPr>
        <w:spacing w:after="120" w:line="240" w:lineRule="auto"/>
        <w:ind w:left="567"/>
        <w:rPr>
          <w:rFonts w:ascii="Arial Narrow" w:hAnsi="Arial Narrow"/>
          <w:szCs w:val="24"/>
        </w:rPr>
      </w:pPr>
      <w:bookmarkStart w:id="257" w:name="_Toc240694211"/>
      <w:bookmarkStart w:id="258" w:name="_Toc241647426"/>
      <w:bookmarkStart w:id="259" w:name="_Toc244940617"/>
      <w:bookmarkStart w:id="260" w:name="_Toc248638293"/>
      <w:r w:rsidRPr="00F5624A">
        <w:rPr>
          <w:rFonts w:ascii="Arial Narrow" w:hAnsi="Arial Narrow"/>
          <w:szCs w:val="24"/>
        </w:rPr>
        <w:t xml:space="preserve">Specificity (true negative rate) = number with true negative result / total without </w:t>
      </w:r>
      <w:bookmarkStart w:id="261" w:name="_Toc240694212"/>
      <w:bookmarkStart w:id="262" w:name="_Toc241647427"/>
      <w:bookmarkStart w:id="263" w:name="_Toc244940618"/>
      <w:bookmarkEnd w:id="257"/>
      <w:bookmarkEnd w:id="258"/>
      <w:bookmarkEnd w:id="259"/>
      <w:bookmarkEnd w:id="260"/>
      <w:r w:rsidR="00CE5DC2">
        <w:rPr>
          <w:rFonts w:ascii="Arial Narrow" w:hAnsi="Arial Narrow"/>
          <w:szCs w:val="24"/>
        </w:rPr>
        <w:t>NID</w:t>
      </w:r>
      <w:r w:rsidR="00DE7972">
        <w:rPr>
          <w:rFonts w:ascii="Arial Narrow" w:hAnsi="Arial Narrow"/>
          <w:szCs w:val="24"/>
        </w:rPr>
        <w:t>CM or inflammatory lesions</w:t>
      </w:r>
    </w:p>
    <w:p w14:paraId="4A98E1C8" w14:textId="47D13775" w:rsidR="00F80596" w:rsidRPr="00F5624A" w:rsidRDefault="00F80596" w:rsidP="004C79C1">
      <w:pPr>
        <w:spacing w:after="120" w:line="240" w:lineRule="auto"/>
      </w:pPr>
      <w:r w:rsidRPr="00F5624A">
        <w:t>The 95%CI was calculated by exact binomial methods.</w:t>
      </w:r>
      <w:bookmarkEnd w:id="261"/>
      <w:bookmarkEnd w:id="262"/>
      <w:bookmarkEnd w:id="263"/>
    </w:p>
    <w:p w14:paraId="661A812F" w14:textId="0C5833A3" w:rsidR="00F80596" w:rsidRPr="00F5624A" w:rsidRDefault="00F80596" w:rsidP="004C79C1">
      <w:pPr>
        <w:spacing w:after="120" w:line="240" w:lineRule="auto"/>
        <w:jc w:val="both"/>
      </w:pPr>
      <w:r w:rsidRPr="00F5624A">
        <w:t>Positive and negative likelihood ratios (LR+ and LR–</w:t>
      </w:r>
      <w:r w:rsidR="00CD468F">
        <w:t>, respectively</w:t>
      </w:r>
      <w:r w:rsidRPr="00F5624A">
        <w:t>) were also reported</w:t>
      </w:r>
      <w:r w:rsidR="009D6530">
        <w:t xml:space="preserve"> (in section B</w:t>
      </w:r>
      <w:r w:rsidR="000F30AD">
        <w:t>4)</w:t>
      </w:r>
      <w:r w:rsidRPr="00F5624A">
        <w:t xml:space="preserve">. These ratios measure the probability of the test result </w:t>
      </w:r>
      <w:r w:rsidRPr="00632FF2">
        <w:t xml:space="preserve">being true </w:t>
      </w:r>
      <w:r w:rsidR="00DE7972">
        <w:t>in patients with NIDCM or myocarditis and those without</w:t>
      </w:r>
      <w:r w:rsidRPr="00F5624A">
        <w:t xml:space="preserve">. </w:t>
      </w:r>
    </w:p>
    <w:p w14:paraId="21DAC583" w14:textId="77777777" w:rsidR="00F80596" w:rsidRPr="00F5624A" w:rsidRDefault="00F80596" w:rsidP="004C79C1">
      <w:pPr>
        <w:spacing w:after="120" w:line="240" w:lineRule="auto"/>
        <w:ind w:left="567"/>
        <w:rPr>
          <w:rFonts w:ascii="Arial Narrow" w:hAnsi="Arial Narrow"/>
          <w:szCs w:val="24"/>
        </w:rPr>
      </w:pPr>
      <w:r w:rsidRPr="00F5624A">
        <w:rPr>
          <w:rFonts w:ascii="Arial Narrow" w:hAnsi="Arial Narrow"/>
          <w:szCs w:val="24"/>
        </w:rPr>
        <w:t>LR+ = sensitivity / 1 – specificity</w:t>
      </w:r>
    </w:p>
    <w:p w14:paraId="60D7F978" w14:textId="77777777" w:rsidR="00F80596" w:rsidRPr="00F5624A" w:rsidRDefault="00F80596" w:rsidP="004C79C1">
      <w:pPr>
        <w:spacing w:after="120" w:line="240" w:lineRule="auto"/>
        <w:ind w:left="567"/>
        <w:rPr>
          <w:rFonts w:ascii="Arial Narrow" w:hAnsi="Arial Narrow"/>
          <w:szCs w:val="24"/>
        </w:rPr>
      </w:pPr>
      <w:r w:rsidRPr="00F5624A">
        <w:rPr>
          <w:rFonts w:ascii="Arial Narrow" w:hAnsi="Arial Narrow"/>
          <w:szCs w:val="24"/>
        </w:rPr>
        <w:t>LR– = 1 – sensitivity / specificity</w:t>
      </w:r>
    </w:p>
    <w:p w14:paraId="588A6A5A" w14:textId="25D9C027" w:rsidR="00F80596" w:rsidRDefault="00F80596" w:rsidP="004C79C1">
      <w:pPr>
        <w:spacing w:after="120" w:line="240" w:lineRule="auto"/>
        <w:jc w:val="both"/>
      </w:pPr>
      <w:r w:rsidRPr="00F5624A">
        <w:t xml:space="preserve">An LR of 1 means that the test does not provide any useful diagnostic information, whereas LR+ &gt;5 and LR– &lt;0.2 can suggest strong diagnostic ability </w:t>
      </w:r>
      <w:r w:rsidRPr="00F5624A">
        <w:fldChar w:fldCharType="begin"/>
      </w:r>
      <w:r w:rsidR="00B906E9">
        <w:instrText xml:space="preserve"> ADDIN EN.CITE &lt;EndNote&gt;&lt;Cite&gt;&lt;Author&gt;MSAC&lt;/Author&gt;&lt;Year&gt;2005&lt;/Year&gt;&lt;RecNum&gt;17&lt;/RecNum&gt;&lt;DisplayText&gt;(MSAC 2005a)&lt;/DisplayText&gt;&lt;record&gt;&lt;rec-number&gt;17&lt;/rec-number&gt;&lt;foreign-keys&gt;&lt;key app="EN" db-id="9wevt9zsm0frf1ezepbpa9dgrfez55etdvpa" timestamp="1425339451"&gt;17&lt;/key&gt;&lt;/foreign-keys&gt;&lt;ref-type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Council, Commonwealth of Australia&lt;/publisher&gt;&lt;urls&gt;&lt;/urls&gt;&lt;/record&gt;&lt;/Cite&gt;&lt;/EndNote&gt;</w:instrText>
      </w:r>
      <w:r w:rsidRPr="00F5624A">
        <w:fldChar w:fldCharType="separate"/>
      </w:r>
      <w:r w:rsidR="00B906E9">
        <w:rPr>
          <w:noProof/>
        </w:rPr>
        <w:t>(</w:t>
      </w:r>
      <w:hyperlink w:anchor="_ENREF_88" w:tooltip="MSAC, 2005 #17" w:history="1">
        <w:r w:rsidR="00B906E9">
          <w:rPr>
            <w:noProof/>
          </w:rPr>
          <w:t>MSAC 2005a</w:t>
        </w:r>
      </w:hyperlink>
      <w:r w:rsidR="00B906E9">
        <w:rPr>
          <w:noProof/>
        </w:rPr>
        <w:t>)</w:t>
      </w:r>
      <w:r w:rsidRPr="00F5624A">
        <w:fldChar w:fldCharType="end"/>
      </w:r>
      <w:r w:rsidRPr="00F5624A">
        <w:t xml:space="preserve">. </w:t>
      </w:r>
    </w:p>
    <w:p w14:paraId="071462AA" w14:textId="2D8EF78D" w:rsidR="00DE7972" w:rsidRPr="00F5624A" w:rsidRDefault="00DE7972" w:rsidP="00161B88">
      <w:pPr>
        <w:pStyle w:val="Heading3"/>
      </w:pPr>
      <w:bookmarkStart w:id="264" w:name="_Toc451501311"/>
      <w:r w:rsidRPr="00F5624A">
        <w:lastRenderedPageBreak/>
        <w:t>Summary measures</w:t>
      </w:r>
      <w:bookmarkEnd w:id="264"/>
    </w:p>
    <w:p w14:paraId="40D6E52E" w14:textId="2EC1A37F" w:rsidR="00DE7972" w:rsidRPr="00F5624A" w:rsidRDefault="003764FB" w:rsidP="004C79C1">
      <w:pPr>
        <w:spacing w:after="120" w:line="240" w:lineRule="auto"/>
        <w:jc w:val="both"/>
      </w:pPr>
      <w:r>
        <w:t>Due to differences in patient population</w:t>
      </w:r>
      <w:r w:rsidR="00CD468F">
        <w:t>s</w:t>
      </w:r>
      <w:r>
        <w:t xml:space="preserve"> and reference standards, d</w:t>
      </w:r>
      <w:r w:rsidR="00DE7972" w:rsidRPr="00F5624A">
        <w:t>iagnostic</w:t>
      </w:r>
      <w:r>
        <w:t xml:space="preserve"> test accuracy meta-analysis could not be undertaken. The ‘midas’ command in S</w:t>
      </w:r>
      <w:r w:rsidR="00DE7972" w:rsidRPr="00F5624A">
        <w:t>tata version 1</w:t>
      </w:r>
      <w:r w:rsidR="00590AD0">
        <w:t>4</w:t>
      </w:r>
      <w:r w:rsidR="00DE7972">
        <w:t xml:space="preserve"> </w:t>
      </w:r>
      <w:r w:rsidR="00187A29">
        <w:fldChar w:fldCharType="begin"/>
      </w:r>
      <w:r w:rsidR="00187A29">
        <w:instrText xml:space="preserve"> ADDIN EN.CITE &lt;EndNote&gt;&lt;Cite&gt;&lt;Author&gt;StataCorp&lt;/Author&gt;&lt;Year&gt;2014&lt;/Year&gt;&lt;RecNum&gt;79&lt;/RecNum&gt;&lt;DisplayText&gt;(StataCorp 2014)&lt;/DisplayText&gt;&lt;record&gt;&lt;rec-number&gt;79&lt;/rec-number&gt;&lt;foreign-keys&gt;&lt;key app="EN" db-id="pfxxvref0t0a5de2vwnv2fwkz0p9v0r2fw0t" timestamp="1458110424"&gt;79&lt;/key&gt;&lt;/foreign-keys&gt;&lt;ref-type name="Report"&gt;27&lt;/ref-type&gt;&lt;contributors&gt;&lt;authors&gt;&lt;author&gt;StataCorp&lt;/author&gt;&lt;/authors&gt;&lt;/contributors&gt;&lt;titles&gt;&lt;title&gt;Stata: Release 14. Statistical Software&lt;/title&gt;&lt;/titles&gt;&lt;dates&gt;&lt;year&gt;2014&lt;/year&gt;&lt;/dates&gt;&lt;pub-location&gt;College Station, Texas&lt;/pub-location&gt;&lt;publisher&gt; Stata Corporation LP&lt;/publisher&gt;&lt;work-type&gt;[computer program]&lt;/work-type&gt;&lt;urls&gt;&lt;/urls&gt;&lt;/record&gt;&lt;/Cite&gt;&lt;/EndNote&gt;</w:instrText>
      </w:r>
      <w:r w:rsidR="00187A29">
        <w:fldChar w:fldCharType="separate"/>
      </w:r>
      <w:r w:rsidR="00187A29">
        <w:rPr>
          <w:noProof/>
        </w:rPr>
        <w:t>(</w:t>
      </w:r>
      <w:hyperlink w:anchor="_ENREF_121" w:tooltip="StataCorp, 2014 #79" w:history="1">
        <w:r w:rsidR="00B906E9">
          <w:rPr>
            <w:noProof/>
          </w:rPr>
          <w:t>StataCorp 2014</w:t>
        </w:r>
      </w:hyperlink>
      <w:r w:rsidR="00187A29">
        <w:rPr>
          <w:noProof/>
        </w:rPr>
        <w:t>)</w:t>
      </w:r>
      <w:r w:rsidR="00187A29">
        <w:fldChar w:fldCharType="end"/>
      </w:r>
      <w:r>
        <w:t xml:space="preserve"> was used to generate forest plots to show the sensitivity and specificity of LG</w:t>
      </w:r>
      <w:r w:rsidR="00701E78">
        <w:t>E-CMR in the different studies.</w:t>
      </w:r>
      <w:r w:rsidR="00DE7972">
        <w:t xml:space="preserve"> </w:t>
      </w:r>
      <w:r>
        <w:t>The results were narratively summarised and subdivided according to the purpose of the tests (</w:t>
      </w:r>
      <w:r w:rsidR="00667FBE">
        <w:t xml:space="preserve">e.g. </w:t>
      </w:r>
      <w:r>
        <w:t xml:space="preserve">diagnosing CMR, determining whether the cause of DCM was </w:t>
      </w:r>
      <w:r w:rsidR="00410DCD">
        <w:t>ischaemic</w:t>
      </w:r>
      <w:r>
        <w:t xml:space="preserve"> or inflammatory</w:t>
      </w:r>
      <w:r w:rsidR="00667FBE">
        <w:t>,</w:t>
      </w:r>
      <w:r>
        <w:t xml:space="preserve"> or other).</w:t>
      </w:r>
    </w:p>
    <w:p w14:paraId="3900FFED" w14:textId="114F9DC1" w:rsidR="003A232F" w:rsidRDefault="003A232F" w:rsidP="004C79C1">
      <w:pPr>
        <w:spacing w:after="120" w:line="240" w:lineRule="auto"/>
        <w:jc w:val="both"/>
        <w:rPr>
          <w:vanish/>
          <w:color w:val="C00000"/>
        </w:rPr>
      </w:pPr>
    </w:p>
    <w:p w14:paraId="7666EB94" w14:textId="77777777" w:rsidR="003A232F" w:rsidRPr="00183E4D" w:rsidRDefault="003A232F" w:rsidP="004C79C1">
      <w:pPr>
        <w:spacing w:after="120" w:line="240" w:lineRule="auto"/>
        <w:jc w:val="both"/>
        <w:sectPr w:rsidR="003A232F" w:rsidRPr="00183E4D" w:rsidSect="007A49EE">
          <w:headerReference w:type="even" r:id="rId26"/>
          <w:headerReference w:type="default" r:id="rId27"/>
          <w:headerReference w:type="first" r:id="rId28"/>
          <w:type w:val="oddPage"/>
          <w:pgSz w:w="11906" w:h="16838"/>
          <w:pgMar w:top="1440" w:right="1440" w:bottom="1440" w:left="1440" w:header="720" w:footer="720" w:gutter="0"/>
          <w:paperSrc w:first="2" w:other="2"/>
          <w:cols w:space="720"/>
        </w:sectPr>
      </w:pPr>
    </w:p>
    <w:p w14:paraId="65688DB7" w14:textId="778BE72C" w:rsidR="007A49EE" w:rsidRDefault="007A49EE" w:rsidP="004C79C1">
      <w:pPr>
        <w:pStyle w:val="Heading2"/>
        <w:numPr>
          <w:ilvl w:val="1"/>
          <w:numId w:val="22"/>
        </w:numPr>
        <w:spacing w:before="0" w:after="120" w:line="240" w:lineRule="auto"/>
      </w:pPr>
      <w:bookmarkStart w:id="265" w:name="_Toc451501312"/>
      <w:r w:rsidRPr="00183E4D">
        <w:lastRenderedPageBreak/>
        <w:t xml:space="preserve">Results of the Systematic Literature </w:t>
      </w:r>
      <w:r w:rsidR="008E5742">
        <w:t>R</w:t>
      </w:r>
      <w:r w:rsidRPr="00183E4D">
        <w:t>eview</w:t>
      </w:r>
      <w:bookmarkEnd w:id="265"/>
    </w:p>
    <w:p w14:paraId="7711968B" w14:textId="6C9DB952" w:rsidR="003F7224" w:rsidRDefault="003F7224" w:rsidP="00161B88">
      <w:pPr>
        <w:pStyle w:val="Heading3"/>
      </w:pPr>
      <w:bookmarkStart w:id="266" w:name="_Toc451501313"/>
      <w:r>
        <w:t>Is it accurate?</w:t>
      </w:r>
      <w:bookmarkEnd w:id="266"/>
    </w:p>
    <w:p w14:paraId="6C712DFD" w14:textId="1D523FD8" w:rsidR="00223BB3" w:rsidRDefault="00DB5940"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183E4D">
        <w:t xml:space="preserve">Summary – </w:t>
      </w:r>
      <w:r w:rsidR="00223BB3" w:rsidRPr="00223BB3">
        <w:t xml:space="preserve">What is the diagnostic accuracy of CMR in patients with </w:t>
      </w:r>
      <w:r w:rsidR="001B3F27">
        <w:t>HF</w:t>
      </w:r>
      <w:r w:rsidR="00223BB3" w:rsidRPr="00223BB3">
        <w:t xml:space="preserve"> symptoms in whom </w:t>
      </w:r>
      <w:r w:rsidR="00A21115">
        <w:t>echocardiography</w:t>
      </w:r>
      <w:r w:rsidR="00E469ED" w:rsidRPr="00223BB3">
        <w:t xml:space="preserve"> </w:t>
      </w:r>
      <w:r w:rsidR="00223BB3" w:rsidRPr="00223BB3">
        <w:t>is inconclusive or suggests a DCM</w:t>
      </w:r>
      <w:r w:rsidR="00B56AB7">
        <w:t>,</w:t>
      </w:r>
      <w:r w:rsidR="00223BB3" w:rsidRPr="00223BB3">
        <w:t xml:space="preserve"> and in whom further diagnostic clarification is required, compared </w:t>
      </w:r>
      <w:r w:rsidR="00B56AB7">
        <w:t>with</w:t>
      </w:r>
      <w:r w:rsidR="00B56AB7" w:rsidRPr="00223BB3">
        <w:t xml:space="preserve"> </w:t>
      </w:r>
      <w:r w:rsidR="004A58D1">
        <w:t>ICA</w:t>
      </w:r>
      <w:r w:rsidR="00223BB3" w:rsidRPr="00223BB3">
        <w:t>, SPECT, CTCA</w:t>
      </w:r>
      <w:r w:rsidR="00AB063E">
        <w:t>, , or contrast-</w:t>
      </w:r>
      <w:r w:rsidR="009A64F4">
        <w:t xml:space="preserve"> or stress echocardiography</w:t>
      </w:r>
      <w:r w:rsidR="00223BB3" w:rsidRPr="00223BB3">
        <w:t>?</w:t>
      </w:r>
    </w:p>
    <w:p w14:paraId="5F03485C" w14:textId="3B0A5EF6" w:rsidR="00DB5940" w:rsidRDefault="00851153"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Twelve studies were identified on diagnostic performance of LGE-CMR in the eligible patient population. Three test purposes for LGE-CMR in patients with HF symptoms were identified in the accuracy studies: (1) diagnosing DCM, (2) identifying whether DCM was of non-ischaemic or ischaemic aetiology, and (3) identifying whether DCM had an inflammatory aetiology.</w:t>
      </w:r>
    </w:p>
    <w:p w14:paraId="7776DE91" w14:textId="4DE791F7" w:rsidR="00577FC7" w:rsidRDefault="00577FC7"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t>Diagnosing DCM</w:t>
      </w:r>
    </w:p>
    <w:p w14:paraId="26455C02" w14:textId="4265259C" w:rsidR="00577FC7" w:rsidRDefault="00577FC7"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One</w:t>
      </w:r>
      <w:r w:rsidR="00350C2B">
        <w:rPr>
          <w:b w:val="0"/>
        </w:rPr>
        <w:t xml:space="preserve"> Japanese</w:t>
      </w:r>
      <w:r>
        <w:rPr>
          <w:b w:val="0"/>
        </w:rPr>
        <w:t xml:space="preserve"> study provided diagnostic accuracy evidence on LGE-CMR to diagnose DCM in patients with CM, with clinical diagnosis as the reference standard</w:t>
      </w:r>
      <w:r w:rsidR="00350C2B">
        <w:rPr>
          <w:b w:val="0"/>
        </w:rPr>
        <w:t xml:space="preserve"> (GRADE </w:t>
      </w:r>
      <w:r w:rsidR="00350C2B" w:rsidRPr="009D6530">
        <w:rPr>
          <w:rFonts w:ascii="Cambria Math" w:hAnsi="Cambria Math" w:cs="Cambria Math"/>
          <w:b w:val="0"/>
          <w:color w:val="00B050"/>
        </w:rPr>
        <w:t>⨁⨁⨁⨁</w:t>
      </w:r>
      <w:r w:rsidR="00350C2B" w:rsidRPr="00350C2B">
        <w:rPr>
          <w:b w:val="0"/>
        </w:rPr>
        <w:t>)</w:t>
      </w:r>
      <w:r w:rsidR="009D6530">
        <w:rPr>
          <w:b w:val="0"/>
        </w:rPr>
        <w:t xml:space="preserve">. </w:t>
      </w:r>
      <w:r w:rsidR="00350C2B">
        <w:rPr>
          <w:b w:val="0"/>
        </w:rPr>
        <w:t xml:space="preserve">The study included 136 patients, and </w:t>
      </w:r>
      <w:r w:rsidR="00350C2B" w:rsidRPr="00350C2B">
        <w:rPr>
          <w:b w:val="0"/>
        </w:rPr>
        <w:t xml:space="preserve">sensitivity and specificity of </w:t>
      </w:r>
      <w:r w:rsidR="000E5733">
        <w:rPr>
          <w:b w:val="0"/>
        </w:rPr>
        <w:t>0.83</w:t>
      </w:r>
      <w:r w:rsidR="00350C2B">
        <w:rPr>
          <w:b w:val="0"/>
        </w:rPr>
        <w:t xml:space="preserve"> </w:t>
      </w:r>
      <w:r w:rsidR="00350C2B" w:rsidRPr="00350C2B">
        <w:rPr>
          <w:b w:val="0"/>
        </w:rPr>
        <w:t>(95%CI 0.71, 0.92)</w:t>
      </w:r>
      <w:r w:rsidR="00350C2B">
        <w:rPr>
          <w:b w:val="0"/>
        </w:rPr>
        <w:t xml:space="preserve"> </w:t>
      </w:r>
      <w:r w:rsidR="00350C2B" w:rsidRPr="00350C2B">
        <w:rPr>
          <w:b w:val="0"/>
        </w:rPr>
        <w:t>and 0.93</w:t>
      </w:r>
      <w:r w:rsidR="00350C2B">
        <w:rPr>
          <w:b w:val="0"/>
        </w:rPr>
        <w:t xml:space="preserve"> </w:t>
      </w:r>
      <w:r w:rsidR="00350C2B" w:rsidRPr="00350C2B">
        <w:rPr>
          <w:b w:val="0"/>
        </w:rPr>
        <w:t>(95%CI 0.85, 0.97), respectively</w:t>
      </w:r>
      <w:r w:rsidR="004A58D1">
        <w:rPr>
          <w:b w:val="0"/>
        </w:rPr>
        <w:t>, were</w:t>
      </w:r>
      <w:r w:rsidR="004A58D1" w:rsidRPr="00350C2B">
        <w:rPr>
          <w:b w:val="0"/>
        </w:rPr>
        <w:t xml:space="preserve"> reported</w:t>
      </w:r>
      <w:r w:rsidR="00350C2B">
        <w:rPr>
          <w:b w:val="0"/>
        </w:rPr>
        <w:t>.</w:t>
      </w:r>
    </w:p>
    <w:p w14:paraId="227D13CD" w14:textId="1F2DDCA7" w:rsidR="00350C2B" w:rsidRDefault="00350C2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350C2B">
        <w:t>Determining non-ischaemic or ischaemic aetiology of DCM</w:t>
      </w:r>
    </w:p>
    <w:p w14:paraId="4709D523" w14:textId="4D3A5098" w:rsidR="00350C2B" w:rsidRDefault="00BF53EF"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BF53EF">
        <w:rPr>
          <w:b w:val="0"/>
        </w:rPr>
        <w:t xml:space="preserve">Eight studies </w:t>
      </w:r>
      <w:r>
        <w:rPr>
          <w:b w:val="0"/>
        </w:rPr>
        <w:t>were included</w:t>
      </w:r>
      <w:r w:rsidRPr="00BF53EF">
        <w:rPr>
          <w:b w:val="0"/>
        </w:rPr>
        <w:t xml:space="preserve"> for determining the accuracy of LGE-CMR to determine whether DCM had a non-ischaemic or ischaemic aetiology using two different reference standards</w:t>
      </w:r>
      <w:r w:rsidR="0002758A">
        <w:rPr>
          <w:b w:val="0"/>
        </w:rPr>
        <w:t>:</w:t>
      </w:r>
      <w:r w:rsidRPr="00BF53EF">
        <w:rPr>
          <w:b w:val="0"/>
        </w:rPr>
        <w:t xml:space="preserve"> ICA (k=6</w:t>
      </w:r>
      <w:r w:rsidR="0037119C">
        <w:rPr>
          <w:b w:val="0"/>
        </w:rPr>
        <w:t xml:space="preserve">; GRADE </w:t>
      </w:r>
      <w:r w:rsidR="0037119C" w:rsidRPr="009D6530">
        <w:rPr>
          <w:rFonts w:ascii="Cambria Math" w:hAnsi="Cambria Math" w:cs="Cambria Math"/>
          <w:b w:val="0"/>
          <w:color w:val="00B050"/>
        </w:rPr>
        <w:t>⨁⨁</w:t>
      </w:r>
      <w:r w:rsidR="0037119C" w:rsidRPr="009D6530">
        <w:rPr>
          <w:rFonts w:ascii="Cambria Math" w:hAnsi="Cambria Math" w:cs="Cambria Math"/>
          <w:b w:val="0"/>
          <w:color w:val="C00000"/>
        </w:rPr>
        <w:t>⨀⨀</w:t>
      </w:r>
      <w:r w:rsidRPr="00BF53EF">
        <w:rPr>
          <w:b w:val="0"/>
        </w:rPr>
        <w:t>) and clinical diagnosis (k=2</w:t>
      </w:r>
      <w:r w:rsidR="0037119C">
        <w:rPr>
          <w:b w:val="0"/>
        </w:rPr>
        <w:t>;</w:t>
      </w:r>
      <w:r w:rsidR="0037119C" w:rsidRPr="0037119C">
        <w:rPr>
          <w:b w:val="0"/>
        </w:rPr>
        <w:t xml:space="preserve"> </w:t>
      </w:r>
      <w:r w:rsidR="0037119C">
        <w:rPr>
          <w:b w:val="0"/>
        </w:rPr>
        <w:t xml:space="preserve">GRADE </w:t>
      </w:r>
      <w:r w:rsidR="0037119C" w:rsidRPr="009D6530">
        <w:rPr>
          <w:rFonts w:ascii="Cambria Math" w:hAnsi="Cambria Math" w:cs="Cambria Math"/>
          <w:b w:val="0"/>
          <w:color w:val="00B050"/>
        </w:rPr>
        <w:t>⨁⨁⨁⨁</w:t>
      </w:r>
      <w:r w:rsidRPr="00BF53EF">
        <w:rPr>
          <w:b w:val="0"/>
        </w:rPr>
        <w:t>).</w:t>
      </w:r>
      <w:r w:rsidRPr="0037119C">
        <w:rPr>
          <w:b w:val="0"/>
        </w:rPr>
        <w:t xml:space="preserve"> </w:t>
      </w:r>
      <w:r w:rsidRPr="00BF53EF">
        <w:rPr>
          <w:b w:val="0"/>
        </w:rPr>
        <w:t>The sensitivity ranged from 0.68 to 1.00 and the specificity from 0.71 to 1.00 in the different studies.</w:t>
      </w:r>
      <w:r>
        <w:rPr>
          <w:b w:val="0"/>
        </w:rPr>
        <w:t xml:space="preserve"> An SROC curve showed excellent test performance for determining non-ischaemic aetiology when all studies were combined, indicating </w:t>
      </w:r>
      <w:r w:rsidR="0002758A">
        <w:rPr>
          <w:b w:val="0"/>
        </w:rPr>
        <w:t xml:space="preserve">that </w:t>
      </w:r>
      <w:r>
        <w:rPr>
          <w:b w:val="0"/>
        </w:rPr>
        <w:t>some patients could potentially avoid ICA with LGE-CMR.</w:t>
      </w:r>
    </w:p>
    <w:p w14:paraId="19BAD6DA" w14:textId="47E6EEC2" w:rsidR="00BF53EF" w:rsidRDefault="00BF53EF"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350C2B">
        <w:t xml:space="preserve">Determining </w:t>
      </w:r>
      <w:r>
        <w:t>inflammatory</w:t>
      </w:r>
      <w:r w:rsidRPr="00350C2B">
        <w:t xml:space="preserve"> aetiology of DCM</w:t>
      </w:r>
    </w:p>
    <w:p w14:paraId="7CEA2FDE" w14:textId="01C0ADEA" w:rsidR="00BF53EF" w:rsidRDefault="00380F56"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 xml:space="preserve">Three studies investigated the diagnostic accuracy of LGE-CMR with the purpose of </w:t>
      </w:r>
      <w:r w:rsidRPr="0037119C">
        <w:rPr>
          <w:b w:val="0"/>
        </w:rPr>
        <w:t>dete</w:t>
      </w:r>
      <w:r w:rsidRPr="00380F56">
        <w:rPr>
          <w:b w:val="0"/>
        </w:rPr>
        <w:t>rmining whether there was an inf</w:t>
      </w:r>
      <w:r w:rsidRPr="0037119C">
        <w:rPr>
          <w:b w:val="0"/>
        </w:rPr>
        <w:t xml:space="preserve">lammatory aetiology in patients with DCM, using </w:t>
      </w:r>
      <w:r w:rsidR="0037119C">
        <w:rPr>
          <w:b w:val="0"/>
        </w:rPr>
        <w:t xml:space="preserve">EMB </w:t>
      </w:r>
      <w:r w:rsidRPr="0037119C">
        <w:rPr>
          <w:b w:val="0"/>
        </w:rPr>
        <w:t>as the reference standard</w:t>
      </w:r>
      <w:r w:rsidR="0037119C">
        <w:rPr>
          <w:b w:val="0"/>
        </w:rPr>
        <w:t xml:space="preserve"> (GRADE </w:t>
      </w:r>
      <w:r w:rsidR="0037119C" w:rsidRPr="009D6530">
        <w:rPr>
          <w:rFonts w:ascii="Cambria Math" w:hAnsi="Cambria Math" w:cs="Cambria Math"/>
          <w:b w:val="0"/>
          <w:color w:val="00B050"/>
        </w:rPr>
        <w:t>⨁⨁</w:t>
      </w:r>
      <w:r w:rsidR="0037119C" w:rsidRPr="009D6530">
        <w:rPr>
          <w:rFonts w:ascii="Cambria Math" w:hAnsi="Cambria Math" w:cs="Cambria Math"/>
          <w:b w:val="0"/>
          <w:color w:val="C00000"/>
        </w:rPr>
        <w:t>⨀⨀</w:t>
      </w:r>
      <w:r w:rsidR="0037119C" w:rsidRPr="0037119C">
        <w:rPr>
          <w:b w:val="0"/>
        </w:rPr>
        <w:t>)</w:t>
      </w:r>
      <w:r w:rsidR="0037119C">
        <w:rPr>
          <w:b w:val="0"/>
        </w:rPr>
        <w:t xml:space="preserve">. </w:t>
      </w:r>
      <w:r w:rsidR="00E70FF1">
        <w:rPr>
          <w:b w:val="0"/>
        </w:rPr>
        <w:t xml:space="preserve">The sensitivities ranged from 0.58 to 0.87 and the specificities from 0.33 to 0.50. </w:t>
      </w:r>
      <w:r w:rsidR="00E70FF1" w:rsidRPr="00E70FF1">
        <w:rPr>
          <w:b w:val="0"/>
        </w:rPr>
        <w:t xml:space="preserve">LGE-CMR was less sensitive and less specific compared </w:t>
      </w:r>
      <w:r w:rsidR="0002758A">
        <w:rPr>
          <w:b w:val="0"/>
        </w:rPr>
        <w:t>with</w:t>
      </w:r>
      <w:r w:rsidR="0002758A" w:rsidRPr="00E70FF1">
        <w:rPr>
          <w:b w:val="0"/>
        </w:rPr>
        <w:t xml:space="preserve"> </w:t>
      </w:r>
      <w:r w:rsidR="00E70FF1" w:rsidRPr="00E70FF1">
        <w:rPr>
          <w:b w:val="0"/>
        </w:rPr>
        <w:t>the reference standard when used for this purpose than for the two purposes discussed above</w:t>
      </w:r>
      <w:r w:rsidR="00E70FF1">
        <w:rPr>
          <w:b w:val="0"/>
        </w:rPr>
        <w:t xml:space="preserve">. Furthermore, </w:t>
      </w:r>
      <w:r w:rsidR="00E70FF1" w:rsidRPr="00E70FF1">
        <w:rPr>
          <w:b w:val="0"/>
        </w:rPr>
        <w:t xml:space="preserve">when </w:t>
      </w:r>
      <w:r w:rsidR="00232F47">
        <w:rPr>
          <w:b w:val="0"/>
        </w:rPr>
        <w:t>EMB</w:t>
      </w:r>
      <w:r w:rsidR="00232F47" w:rsidRPr="00E70FF1">
        <w:rPr>
          <w:b w:val="0"/>
        </w:rPr>
        <w:t xml:space="preserve"> </w:t>
      </w:r>
      <w:r w:rsidR="00E70FF1" w:rsidRPr="00E70FF1">
        <w:rPr>
          <w:b w:val="0"/>
        </w:rPr>
        <w:t>was used for the purpose of diagnosing DCM and was compared with clinical diagnosis as a reference standard, it performed poorly at identifying patients who did not have DCM</w:t>
      </w:r>
      <w:r w:rsidR="00E70FF1">
        <w:rPr>
          <w:b w:val="0"/>
        </w:rPr>
        <w:t>, raising questions about the quality of the reference standard</w:t>
      </w:r>
      <w:r w:rsidR="00E70FF1" w:rsidRPr="00E70FF1">
        <w:rPr>
          <w:b w:val="0"/>
        </w:rPr>
        <w:t>.</w:t>
      </w:r>
    </w:p>
    <w:p w14:paraId="230EAD5B" w14:textId="051D4D5C" w:rsidR="00E70FF1" w:rsidRPr="00E70FF1" w:rsidRDefault="00E70FF1"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E70FF1">
        <w:t>Reference standards and comparators</w:t>
      </w:r>
    </w:p>
    <w:p w14:paraId="1AA5F0D8" w14:textId="3EBC1B23" w:rsidR="00BC2C7B" w:rsidRDefault="00E70FF1"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E70FF1">
        <w:rPr>
          <w:b w:val="0"/>
        </w:rPr>
        <w:t>ICA was compared with clinical diagnosis to determine the quality of the reference standard. The sensitivit</w:t>
      </w:r>
      <w:r w:rsidR="000E0AAF">
        <w:rPr>
          <w:b w:val="0"/>
        </w:rPr>
        <w:t>ies</w:t>
      </w:r>
      <w:r w:rsidRPr="00E70FF1">
        <w:rPr>
          <w:b w:val="0"/>
        </w:rPr>
        <w:t xml:space="preserve"> </w:t>
      </w:r>
      <w:r w:rsidR="000E0AAF">
        <w:rPr>
          <w:b w:val="0"/>
        </w:rPr>
        <w:t>were</w:t>
      </w:r>
      <w:r w:rsidR="000E0AAF" w:rsidRPr="00E70FF1">
        <w:rPr>
          <w:b w:val="0"/>
        </w:rPr>
        <w:t xml:space="preserve"> </w:t>
      </w:r>
      <w:r w:rsidRPr="00E70FF1">
        <w:rPr>
          <w:b w:val="0"/>
        </w:rPr>
        <w:t xml:space="preserve">excellent </w:t>
      </w:r>
      <w:r w:rsidR="000E0AAF">
        <w:rPr>
          <w:b w:val="0"/>
        </w:rPr>
        <w:t>in</w:t>
      </w:r>
      <w:r w:rsidRPr="00E70FF1">
        <w:rPr>
          <w:b w:val="0"/>
        </w:rPr>
        <w:t xml:space="preserve"> the two included studies, although the specificit</w:t>
      </w:r>
      <w:r w:rsidR="000E0AAF">
        <w:rPr>
          <w:b w:val="0"/>
        </w:rPr>
        <w:t>ies</w:t>
      </w:r>
      <w:r w:rsidRPr="00E70FF1">
        <w:rPr>
          <w:b w:val="0"/>
        </w:rPr>
        <w:t xml:space="preserve"> varied.</w:t>
      </w:r>
      <w:r w:rsidR="00BC2C7B">
        <w:rPr>
          <w:b w:val="0"/>
        </w:rPr>
        <w:t xml:space="preserve"> </w:t>
      </w:r>
    </w:p>
    <w:p w14:paraId="60B4B81A" w14:textId="1D2AB2A3" w:rsidR="00EE59B0" w:rsidRDefault="00BC2C7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BC2C7B">
        <w:rPr>
          <w:b w:val="0"/>
        </w:rPr>
        <w:t>CTCA</w:t>
      </w:r>
      <w:r w:rsidR="00B769B3">
        <w:rPr>
          <w:b w:val="0"/>
        </w:rPr>
        <w:t>, ICA</w:t>
      </w:r>
      <w:r w:rsidR="00F80723">
        <w:rPr>
          <w:b w:val="0"/>
        </w:rPr>
        <w:t xml:space="preserve">, </w:t>
      </w:r>
      <w:r w:rsidR="000E0AAF">
        <w:rPr>
          <w:b w:val="0"/>
        </w:rPr>
        <w:t>GHPS</w:t>
      </w:r>
      <w:r w:rsidR="00F80723">
        <w:rPr>
          <w:b w:val="0"/>
        </w:rPr>
        <w:t xml:space="preserve">, stress and contrast </w:t>
      </w:r>
      <w:r w:rsidR="009A64F4">
        <w:rPr>
          <w:b w:val="0"/>
        </w:rPr>
        <w:t>echocardiography</w:t>
      </w:r>
      <w:r w:rsidR="00F80723">
        <w:rPr>
          <w:b w:val="0"/>
        </w:rPr>
        <w:t>,</w:t>
      </w:r>
      <w:r w:rsidRPr="00BC2C7B">
        <w:rPr>
          <w:b w:val="0"/>
        </w:rPr>
        <w:t xml:space="preserve"> and SPECT were identified as the comparators for LGE-CMR</w:t>
      </w:r>
      <w:r>
        <w:rPr>
          <w:b w:val="0"/>
        </w:rPr>
        <w:t>.</w:t>
      </w:r>
      <w:r w:rsidRPr="00BC2C7B">
        <w:rPr>
          <w:b w:val="0"/>
        </w:rPr>
        <w:t xml:space="preserve"> Data regarding the diagnostic performance of LGE-CMR against the main comparators was lacking. On</w:t>
      </w:r>
      <w:r>
        <w:rPr>
          <w:b w:val="0"/>
        </w:rPr>
        <w:t>ly</w:t>
      </w:r>
      <w:r w:rsidR="00B769B3">
        <w:rPr>
          <w:b w:val="0"/>
        </w:rPr>
        <w:t xml:space="preserve"> </w:t>
      </w:r>
      <w:r w:rsidR="009629E6">
        <w:rPr>
          <w:b w:val="0"/>
        </w:rPr>
        <w:t xml:space="preserve">2 </w:t>
      </w:r>
      <w:r w:rsidR="00B769B3">
        <w:rPr>
          <w:b w:val="0"/>
        </w:rPr>
        <w:t xml:space="preserve">studies compared ICA </w:t>
      </w:r>
      <w:r w:rsidR="009629E6">
        <w:rPr>
          <w:b w:val="0"/>
        </w:rPr>
        <w:t xml:space="preserve">with </w:t>
      </w:r>
      <w:r w:rsidR="00B769B3">
        <w:rPr>
          <w:b w:val="0"/>
        </w:rPr>
        <w:t>LGE-CMR</w:t>
      </w:r>
      <w:r w:rsidR="009629E6">
        <w:rPr>
          <w:b w:val="0"/>
        </w:rPr>
        <w:t>,</w:t>
      </w:r>
      <w:r w:rsidR="00B769B3">
        <w:rPr>
          <w:b w:val="0"/>
        </w:rPr>
        <w:t xml:space="preserve"> and</w:t>
      </w:r>
      <w:r>
        <w:rPr>
          <w:b w:val="0"/>
        </w:rPr>
        <w:t xml:space="preserve"> </w:t>
      </w:r>
      <w:r w:rsidR="009629E6">
        <w:rPr>
          <w:b w:val="0"/>
        </w:rPr>
        <w:t xml:space="preserve">1 </w:t>
      </w:r>
      <w:r>
        <w:rPr>
          <w:b w:val="0"/>
        </w:rPr>
        <w:t xml:space="preserve">small study (n=28) </w:t>
      </w:r>
      <w:r w:rsidRPr="00BC2C7B">
        <w:rPr>
          <w:b w:val="0"/>
        </w:rPr>
        <w:t>compar</w:t>
      </w:r>
      <w:r w:rsidR="009629E6">
        <w:rPr>
          <w:b w:val="0"/>
        </w:rPr>
        <w:t>ing</w:t>
      </w:r>
      <w:r w:rsidRPr="00BC2C7B">
        <w:rPr>
          <w:b w:val="0"/>
        </w:rPr>
        <w:t xml:space="preserve"> the accuracy of CTCA and LGE-CMR using ICA as the reference standard</w:t>
      </w:r>
      <w:r>
        <w:rPr>
          <w:b w:val="0"/>
        </w:rPr>
        <w:t xml:space="preserve"> in</w:t>
      </w:r>
      <w:r w:rsidRPr="00BC2C7B">
        <w:rPr>
          <w:b w:val="0"/>
        </w:rPr>
        <w:t xml:space="preserve"> </w:t>
      </w:r>
      <w:r>
        <w:rPr>
          <w:b w:val="0"/>
        </w:rPr>
        <w:t xml:space="preserve">determining non-ischaemic aetiology </w:t>
      </w:r>
      <w:r w:rsidRPr="00BC2C7B">
        <w:rPr>
          <w:b w:val="0"/>
        </w:rPr>
        <w:t>was identified.</w:t>
      </w:r>
      <w:r w:rsidR="008631E3">
        <w:rPr>
          <w:b w:val="0"/>
        </w:rPr>
        <w:t xml:space="preserve"> The results showed that</w:t>
      </w:r>
      <w:r w:rsidR="008631E3" w:rsidRPr="008631E3">
        <w:rPr>
          <w:b w:val="0"/>
        </w:rPr>
        <w:t xml:space="preserve"> CTCA and LGE-CMR are both highly sensitive, but the overlapping wide 95%CIs surrounding the disparate specificity values suggest </w:t>
      </w:r>
      <w:r w:rsidR="009629E6">
        <w:rPr>
          <w:b w:val="0"/>
        </w:rPr>
        <w:t xml:space="preserve">that </w:t>
      </w:r>
      <w:r w:rsidR="008631E3" w:rsidRPr="008631E3">
        <w:rPr>
          <w:b w:val="0"/>
        </w:rPr>
        <w:t>any conclusions regarding the comparative specificity of the two tests should be tentative</w:t>
      </w:r>
      <w:r w:rsidR="008631E3">
        <w:rPr>
          <w:b w:val="0"/>
        </w:rPr>
        <w:t>.</w:t>
      </w:r>
      <w:r w:rsidR="00EE59B0">
        <w:rPr>
          <w:b w:val="0"/>
        </w:rPr>
        <w:t xml:space="preserve"> No difference in diagnostic performance was observed between ICA and LGE-CMR in diagnosing NIDCM.</w:t>
      </w:r>
      <w:r w:rsidR="008631E3">
        <w:rPr>
          <w:b w:val="0"/>
        </w:rPr>
        <w:t xml:space="preserve"> </w:t>
      </w:r>
    </w:p>
    <w:p w14:paraId="1BFBE723" w14:textId="0A13D3E9" w:rsidR="00DB5940" w:rsidRPr="00183E4D" w:rsidRDefault="008631E3"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8631E3">
        <w:rPr>
          <w:b w:val="0"/>
        </w:rPr>
        <w:t xml:space="preserve">An additional broader search for </w:t>
      </w:r>
      <w:r w:rsidR="000E4FF4">
        <w:rPr>
          <w:b w:val="0"/>
        </w:rPr>
        <w:t>SR</w:t>
      </w:r>
      <w:r w:rsidRPr="008631E3">
        <w:rPr>
          <w:b w:val="0"/>
        </w:rPr>
        <w:t>s on the diagnostic performance of comparator tests in the eligible patient populations to enable an indirect comparison could not identify any additional evidence.</w:t>
      </w:r>
    </w:p>
    <w:p w14:paraId="1C582BC0" w14:textId="0437F848" w:rsidR="003764FB" w:rsidRDefault="00E45870" w:rsidP="00161B88">
      <w:pPr>
        <w:pStyle w:val="Heading3"/>
      </w:pPr>
      <w:bookmarkStart w:id="267" w:name="_Toc451501314"/>
      <w:r>
        <w:t>B</w:t>
      </w:r>
      <w:r w:rsidR="00014083">
        <w:t>3.6.1 Diagnostic accuracy of LGE-CMR in diagnosing DCM</w:t>
      </w:r>
      <w:bookmarkEnd w:id="267"/>
      <w:r w:rsidR="00C81E2C">
        <w:t xml:space="preserve"> </w:t>
      </w:r>
    </w:p>
    <w:p w14:paraId="4F95EC96" w14:textId="607C9A59" w:rsidR="005E0591" w:rsidRPr="00754FB6" w:rsidRDefault="005E0591" w:rsidP="004C79C1">
      <w:pPr>
        <w:spacing w:after="120" w:line="240" w:lineRule="auto"/>
        <w:jc w:val="both"/>
      </w:pPr>
      <w:r>
        <w:t xml:space="preserve">One study was identified that included patients with HF and LV dysfunction and aimed to diagnose the type of CM </w:t>
      </w:r>
      <w:r w:rsidR="00187A29">
        <w:fldChar w:fldCharType="begin"/>
      </w:r>
      <w:r w:rsidR="00187A29">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rsidR="00187A29">
        <w:fldChar w:fldCharType="separate"/>
      </w:r>
      <w:r w:rsidR="00187A29">
        <w:rPr>
          <w:noProof/>
        </w:rPr>
        <w:t>(</w:t>
      </w:r>
      <w:hyperlink w:anchor="_ENREF_143" w:tooltip="Yoshida, 2013 #18" w:history="1">
        <w:r w:rsidR="00B906E9">
          <w:rPr>
            <w:noProof/>
          </w:rPr>
          <w:t>Yoshida, Ishibashi-Ueda et al. 2013</w:t>
        </w:r>
      </w:hyperlink>
      <w:r w:rsidR="00187A29">
        <w:rPr>
          <w:noProof/>
        </w:rPr>
        <w:t>)</w:t>
      </w:r>
      <w:r w:rsidR="00187A29">
        <w:fldChar w:fldCharType="end"/>
      </w:r>
      <w:r>
        <w:t xml:space="preserve">. This level III-1 study compared CMR with </w:t>
      </w:r>
      <w:r w:rsidR="00DB2096">
        <w:t>EMB</w:t>
      </w:r>
      <w:r w:rsidR="002F3EC5">
        <w:t>,</w:t>
      </w:r>
      <w:r w:rsidR="005912ED">
        <w:t xml:space="preserve"> </w:t>
      </w:r>
      <w:r>
        <w:lastRenderedPageBreak/>
        <w:t xml:space="preserve">with clinical </w:t>
      </w:r>
      <w:r w:rsidR="005912ED">
        <w:t xml:space="preserve">diagnosis as the reference standard. Clinical </w:t>
      </w:r>
      <w:r>
        <w:t xml:space="preserve">data </w:t>
      </w:r>
      <w:r w:rsidR="005912ED">
        <w:t xml:space="preserve">used in the diagnosis was </w:t>
      </w:r>
      <w:r>
        <w:t xml:space="preserve">defined as </w:t>
      </w:r>
      <w:r w:rsidR="005912ED">
        <w:t xml:space="preserve">the results from </w:t>
      </w:r>
      <w:r w:rsidRPr="008B47B8">
        <w:t xml:space="preserve">any method that could be used to diagnose HF </w:t>
      </w:r>
      <w:r w:rsidR="007B2FC8">
        <w:t>including</w:t>
      </w:r>
      <w:r w:rsidRPr="008B47B8">
        <w:t xml:space="preserve"> </w:t>
      </w:r>
      <w:r w:rsidR="00A21115">
        <w:t>echocardiography</w:t>
      </w:r>
      <w:r w:rsidR="007B2FC8">
        <w:t>, CMR and</w:t>
      </w:r>
      <w:r w:rsidRPr="008B47B8">
        <w:t xml:space="preserve"> EMB</w:t>
      </w:r>
      <w:r w:rsidR="005912ED">
        <w:t>.</w:t>
      </w:r>
      <w:r w:rsidRPr="008B47B8">
        <w:t xml:space="preserve"> </w:t>
      </w:r>
      <w:r w:rsidR="005912ED">
        <w:t>This included</w:t>
      </w:r>
      <w:r w:rsidRPr="008B47B8">
        <w:t xml:space="preserve"> the collection of a patient’s medical history, laboratory tests, scintigraphy and coronary angiography. The final diagnosis was made prior to patient discharge by an expert team of cardiologists using all the available data, including the results of </w:t>
      </w:r>
      <w:r w:rsidR="0003242C">
        <w:t>EMB</w:t>
      </w:r>
      <w:r w:rsidRPr="008B47B8">
        <w:t>, CMR and other diagnostic modalities</w:t>
      </w:r>
      <w:r>
        <w:t>. A diagnosis of DCM was considered a positive result.</w:t>
      </w:r>
      <w:r w:rsidR="00754FB6">
        <w:t xml:space="preserve"> The overall quality of the evidence provided by this study in assessing the diagnostic accuracy of LGE-CMR compared with clinical diagnosis was assessed using GRADE </w:t>
      </w:r>
      <w:r w:rsidR="00754FB6">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 </w:instrText>
      </w:r>
      <w:r w:rsidR="00187A29">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EN.CITE.DATA </w:instrText>
      </w:r>
      <w:r w:rsidR="00187A29">
        <w:fldChar w:fldCharType="end"/>
      </w:r>
      <w:r w:rsidR="00754FB6">
        <w:fldChar w:fldCharType="separate"/>
      </w:r>
      <w:r w:rsidR="00754FB6">
        <w:rPr>
          <w:noProof/>
        </w:rPr>
        <w:t>(</w:t>
      </w:r>
      <w:hyperlink w:anchor="_ENREF_48" w:tooltip="Guyatt, 2011 #123" w:history="1">
        <w:r w:rsidR="00B906E9">
          <w:rPr>
            <w:noProof/>
          </w:rPr>
          <w:t>Guyatt et al. 2011</w:t>
        </w:r>
      </w:hyperlink>
      <w:r w:rsidR="00754FB6">
        <w:rPr>
          <w:noProof/>
        </w:rPr>
        <w:t>)</w:t>
      </w:r>
      <w:r w:rsidR="00754FB6">
        <w:fldChar w:fldCharType="end"/>
      </w:r>
      <w:r w:rsidR="00754FB6">
        <w:t>,</w:t>
      </w:r>
      <w:r w:rsidR="00754FB6" w:rsidRPr="00754FB6">
        <w:t xml:space="preserve"> </w:t>
      </w:r>
      <w:r w:rsidR="00754FB6">
        <w:t>and was graded as high quality (</w:t>
      </w:r>
      <w:r w:rsidR="00754FB6">
        <w:rPr>
          <w:rFonts w:ascii="Cambria Math" w:hAnsi="Cambria Math"/>
          <w:color w:val="00B050"/>
        </w:rPr>
        <w:t>⨁⨁⨁⨁</w:t>
      </w:r>
      <w:r w:rsidR="00754FB6" w:rsidRPr="00754FB6">
        <w:t>)</w:t>
      </w:r>
      <w:r w:rsidR="00754FB6">
        <w:t>.</w:t>
      </w:r>
    </w:p>
    <w:p w14:paraId="4B4A6A52" w14:textId="5AD65A98" w:rsidR="005567ED" w:rsidRDefault="005567ED" w:rsidP="004C79C1">
      <w:pPr>
        <w:spacing w:after="120" w:line="240" w:lineRule="auto"/>
        <w:jc w:val="both"/>
      </w:pPr>
      <w:r>
        <w:t xml:space="preserve">When CMR was used to diagnose DCM,  sensitivity and specificity of </w:t>
      </w:r>
      <w:r w:rsidRPr="000514F8">
        <w:t xml:space="preserve">0.83 </w:t>
      </w:r>
      <w:r>
        <w:t xml:space="preserve">and </w:t>
      </w:r>
      <w:r w:rsidR="000A4AF9">
        <w:t>0.93</w:t>
      </w:r>
      <w:r w:rsidR="00072222">
        <w:t>, resp</w:t>
      </w:r>
      <w:r w:rsidR="002846A4">
        <w:t>ectively,</w:t>
      </w:r>
      <w:r>
        <w:t xml:space="preserve"> w</w:t>
      </w:r>
      <w:r w:rsidR="0003242C">
        <w:t>ere</w:t>
      </w:r>
      <w:r>
        <w:t xml:space="preserve"> reported </w:t>
      </w:r>
      <w:r w:rsidR="00187A29">
        <w:fldChar w:fldCharType="begin"/>
      </w:r>
      <w:r w:rsidR="00187A29">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rsidR="00187A29">
        <w:fldChar w:fldCharType="separate"/>
      </w:r>
      <w:r w:rsidR="00187A29">
        <w:rPr>
          <w:noProof/>
        </w:rPr>
        <w:t>(</w:t>
      </w:r>
      <w:hyperlink w:anchor="_ENREF_143" w:tooltip="Yoshida, 2013 #18" w:history="1">
        <w:r w:rsidR="00B906E9">
          <w:rPr>
            <w:noProof/>
          </w:rPr>
          <w:t>Yoshida, Ishibashi-Ueda et al. 2013</w:t>
        </w:r>
      </w:hyperlink>
      <w:r w:rsidR="00187A29">
        <w:rPr>
          <w:noProof/>
        </w:rPr>
        <w:t>)</w:t>
      </w:r>
      <w:r w:rsidR="00187A29">
        <w:fldChar w:fldCharType="end"/>
      </w:r>
      <w:r>
        <w:t xml:space="preserve"> (</w:t>
      </w:r>
      <w:r>
        <w:fldChar w:fldCharType="begin"/>
      </w:r>
      <w:r>
        <w:instrText xml:space="preserve"> REF _Ref445906817 \h </w:instrText>
      </w:r>
      <w:r>
        <w:fldChar w:fldCharType="separate"/>
      </w:r>
      <w:r w:rsidR="009034B7">
        <w:t xml:space="preserve">Table </w:t>
      </w:r>
      <w:r w:rsidR="009034B7">
        <w:rPr>
          <w:noProof/>
        </w:rPr>
        <w:t>12</w:t>
      </w:r>
      <w:r>
        <w:fldChar w:fldCharType="end"/>
      </w:r>
      <w:r>
        <w:t>).</w:t>
      </w:r>
    </w:p>
    <w:p w14:paraId="2F512031" w14:textId="29B0E1B0" w:rsidR="005567ED" w:rsidRDefault="005567ED" w:rsidP="004C79C1">
      <w:pPr>
        <w:pStyle w:val="Caption"/>
        <w:keepNext/>
      </w:pPr>
      <w:bookmarkStart w:id="268" w:name="_Ref445906817"/>
      <w:bookmarkStart w:id="269" w:name="_Toc324410131"/>
      <w:bookmarkStart w:id="270" w:name="_Toc451435339"/>
      <w:r>
        <w:t xml:space="preserve">Table </w:t>
      </w:r>
      <w:fldSimple w:instr=" SEQ Table \* ARABIC ">
        <w:r w:rsidR="00050936">
          <w:rPr>
            <w:noProof/>
          </w:rPr>
          <w:t>12</w:t>
        </w:r>
      </w:fldSimple>
      <w:bookmarkEnd w:id="268"/>
      <w:r w:rsidR="00B41D5E">
        <w:tab/>
      </w:r>
      <w:r w:rsidRPr="000B63F3">
        <w:t>Sensitivity and specificity of LGE-CMR</w:t>
      </w:r>
      <w:r>
        <w:t xml:space="preserve"> in diagnosing DCM</w:t>
      </w:r>
      <w:r w:rsidRPr="000B63F3">
        <w:t xml:space="preserve"> when </w:t>
      </w:r>
      <w:r w:rsidR="00032C1A">
        <w:t>available diagnostic data</w:t>
      </w:r>
      <w:r w:rsidRPr="000B63F3">
        <w:t xml:space="preserve"> is used as the reference standard</w:t>
      </w:r>
      <w:bookmarkEnd w:id="269"/>
      <w:bookmarkEnd w:id="270"/>
    </w:p>
    <w:tbl>
      <w:tblPr>
        <w:tblStyle w:val="TableGrid1"/>
        <w:tblW w:w="9067" w:type="dxa"/>
        <w:tblLayout w:type="fixed"/>
        <w:tblLook w:val="04A0" w:firstRow="1" w:lastRow="0" w:firstColumn="1" w:lastColumn="0" w:noHBand="0" w:noVBand="1"/>
        <w:tblDescription w:val="Sensitivity and specificity of LGE-CMR in diagnosing DCM when clinical data is used as the reference standard"/>
      </w:tblPr>
      <w:tblGrid>
        <w:gridCol w:w="1555"/>
        <w:gridCol w:w="567"/>
        <w:gridCol w:w="1771"/>
        <w:gridCol w:w="1772"/>
        <w:gridCol w:w="1701"/>
        <w:gridCol w:w="1701"/>
      </w:tblGrid>
      <w:tr w:rsidR="00014083" w:rsidRPr="000514F8" w14:paraId="5E2DDD32" w14:textId="77777777" w:rsidTr="00213B6A">
        <w:trPr>
          <w:cnfStyle w:val="100000000000" w:firstRow="1" w:lastRow="0" w:firstColumn="0" w:lastColumn="0" w:oddVBand="0" w:evenVBand="0" w:oddHBand="0" w:evenHBand="0" w:firstRowFirstColumn="0" w:firstRowLastColumn="0" w:lastRowFirstColumn="0" w:lastRowLastColumn="0"/>
          <w:trHeight w:val="300"/>
          <w:tblHeader/>
        </w:trPr>
        <w:tc>
          <w:tcPr>
            <w:tcW w:w="1555" w:type="dxa"/>
            <w:noWrap/>
            <w:hideMark/>
          </w:tcPr>
          <w:p w14:paraId="0F257D86" w14:textId="77777777" w:rsidR="00014083" w:rsidRPr="000514F8" w:rsidRDefault="00014083" w:rsidP="004C79C1">
            <w:pPr>
              <w:pStyle w:val="TableHeading"/>
              <w:spacing w:before="0" w:after="120"/>
            </w:pPr>
            <w:r w:rsidRPr="000514F8">
              <w:t>Author</w:t>
            </w:r>
          </w:p>
        </w:tc>
        <w:tc>
          <w:tcPr>
            <w:tcW w:w="567" w:type="dxa"/>
            <w:noWrap/>
            <w:hideMark/>
          </w:tcPr>
          <w:p w14:paraId="2C4D276B" w14:textId="77777777" w:rsidR="00014083" w:rsidRPr="000514F8" w:rsidRDefault="00014083" w:rsidP="004C79C1">
            <w:pPr>
              <w:pStyle w:val="TableHeading"/>
              <w:spacing w:before="0" w:after="120"/>
            </w:pPr>
            <w:r w:rsidRPr="000514F8">
              <w:t>N</w:t>
            </w:r>
          </w:p>
        </w:tc>
        <w:tc>
          <w:tcPr>
            <w:tcW w:w="1771" w:type="dxa"/>
          </w:tcPr>
          <w:p w14:paraId="26EDEE04" w14:textId="77777777" w:rsidR="00014083" w:rsidRPr="000514F8" w:rsidRDefault="00014083" w:rsidP="004C79C1">
            <w:pPr>
              <w:pStyle w:val="TableHeading"/>
              <w:spacing w:before="0" w:after="120"/>
            </w:pPr>
            <w:r>
              <w:t>Population</w:t>
            </w:r>
          </w:p>
        </w:tc>
        <w:tc>
          <w:tcPr>
            <w:tcW w:w="1772" w:type="dxa"/>
            <w:tcBorders>
              <w:bottom w:val="single" w:sz="4" w:space="0" w:color="auto"/>
            </w:tcBorders>
          </w:tcPr>
          <w:p w14:paraId="10D0E77F" w14:textId="77777777" w:rsidR="00014083" w:rsidRPr="000514F8" w:rsidRDefault="00014083" w:rsidP="004C79C1">
            <w:pPr>
              <w:pStyle w:val="TableHeading"/>
              <w:spacing w:before="0" w:after="120"/>
            </w:pPr>
            <w:r>
              <w:t>Purpose of test</w:t>
            </w:r>
          </w:p>
        </w:tc>
        <w:tc>
          <w:tcPr>
            <w:tcW w:w="1701" w:type="dxa"/>
            <w:noWrap/>
            <w:hideMark/>
          </w:tcPr>
          <w:p w14:paraId="394DB706" w14:textId="77777777" w:rsidR="00014083" w:rsidRPr="000514F8" w:rsidRDefault="00014083" w:rsidP="004C79C1">
            <w:pPr>
              <w:pStyle w:val="TableHeading"/>
              <w:spacing w:before="0" w:after="120"/>
            </w:pPr>
            <w:r w:rsidRPr="000514F8">
              <w:t>Sensitivity</w:t>
            </w:r>
            <w:r>
              <w:t xml:space="preserve"> (95%CI)</w:t>
            </w:r>
          </w:p>
        </w:tc>
        <w:tc>
          <w:tcPr>
            <w:tcW w:w="1701" w:type="dxa"/>
            <w:noWrap/>
            <w:hideMark/>
          </w:tcPr>
          <w:p w14:paraId="75732A62" w14:textId="77777777" w:rsidR="00014083" w:rsidRPr="000514F8" w:rsidRDefault="00014083" w:rsidP="004C79C1">
            <w:pPr>
              <w:pStyle w:val="TableHeading"/>
              <w:spacing w:before="0" w:after="120"/>
            </w:pPr>
            <w:r>
              <w:t>Specificity (95%CI)</w:t>
            </w:r>
          </w:p>
        </w:tc>
      </w:tr>
      <w:tr w:rsidR="00014083" w:rsidRPr="000514F8" w14:paraId="6D5F3750" w14:textId="77777777" w:rsidTr="00980C01">
        <w:trPr>
          <w:trHeight w:val="300"/>
        </w:trPr>
        <w:tc>
          <w:tcPr>
            <w:tcW w:w="1555" w:type="dxa"/>
            <w:noWrap/>
            <w:hideMark/>
          </w:tcPr>
          <w:p w14:paraId="6CAA28DB" w14:textId="77777777" w:rsidR="00014083" w:rsidRPr="000514F8" w:rsidRDefault="00014083" w:rsidP="004C79C1">
            <w:pPr>
              <w:pStyle w:val="Tabletext1"/>
              <w:spacing w:before="0" w:after="120"/>
            </w:pPr>
            <w:r w:rsidRPr="000514F8">
              <w:t>Yoshida, Ishibashi-Ueda</w:t>
            </w:r>
            <w:r>
              <w:t xml:space="preserve"> et al. (2013)</w:t>
            </w:r>
          </w:p>
        </w:tc>
        <w:tc>
          <w:tcPr>
            <w:tcW w:w="567" w:type="dxa"/>
            <w:noWrap/>
            <w:hideMark/>
          </w:tcPr>
          <w:p w14:paraId="56EE509E" w14:textId="77777777" w:rsidR="00014083" w:rsidRPr="000514F8" w:rsidRDefault="00014083" w:rsidP="004C79C1">
            <w:pPr>
              <w:pStyle w:val="Tabletext1"/>
              <w:spacing w:before="0" w:after="120"/>
            </w:pPr>
            <w:r w:rsidRPr="000514F8">
              <w:t>136</w:t>
            </w:r>
          </w:p>
        </w:tc>
        <w:tc>
          <w:tcPr>
            <w:tcW w:w="1771" w:type="dxa"/>
          </w:tcPr>
          <w:p w14:paraId="0F97AF5E" w14:textId="77777777" w:rsidR="00014083" w:rsidRPr="000514F8" w:rsidRDefault="00014083" w:rsidP="004C79C1">
            <w:pPr>
              <w:pStyle w:val="Tabletext1"/>
              <w:spacing w:before="0" w:after="120"/>
            </w:pPr>
            <w:r>
              <w:t>HF patients with LV hypertrophy or dysfunction</w:t>
            </w:r>
          </w:p>
        </w:tc>
        <w:tc>
          <w:tcPr>
            <w:tcW w:w="1772" w:type="dxa"/>
            <w:tcBorders>
              <w:top w:val="single" w:sz="4" w:space="0" w:color="auto"/>
            </w:tcBorders>
          </w:tcPr>
          <w:p w14:paraId="492F6730" w14:textId="36146C0B" w:rsidR="00014083" w:rsidRPr="000514F8" w:rsidRDefault="00014083" w:rsidP="004C79C1">
            <w:pPr>
              <w:pStyle w:val="Tabletext1"/>
              <w:spacing w:before="0" w:after="120"/>
            </w:pPr>
            <w:r>
              <w:t>Diagnos</w:t>
            </w:r>
            <w:r w:rsidR="006C78F9">
              <w:t>ing</w:t>
            </w:r>
            <w:r>
              <w:t xml:space="preserve"> DCM (negative result = </w:t>
            </w:r>
            <w:r>
              <w:rPr>
                <w:rFonts w:eastAsiaTheme="minorHAnsi"/>
                <w:lang w:eastAsia="en-US"/>
              </w:rPr>
              <w:t>other CM, hypertensive heart disease or other)</w:t>
            </w:r>
          </w:p>
        </w:tc>
        <w:tc>
          <w:tcPr>
            <w:tcW w:w="1701" w:type="dxa"/>
            <w:noWrap/>
            <w:hideMark/>
          </w:tcPr>
          <w:p w14:paraId="3A968590" w14:textId="77777777" w:rsidR="00014083" w:rsidRPr="000514F8" w:rsidRDefault="00014083" w:rsidP="004C79C1">
            <w:pPr>
              <w:pStyle w:val="Tabletext1"/>
              <w:spacing w:before="0" w:after="120"/>
            </w:pPr>
            <w:r w:rsidRPr="000514F8">
              <w:t>0.83 (0.71, 0.92)</w:t>
            </w:r>
          </w:p>
        </w:tc>
        <w:tc>
          <w:tcPr>
            <w:tcW w:w="1701" w:type="dxa"/>
            <w:noWrap/>
            <w:hideMark/>
          </w:tcPr>
          <w:p w14:paraId="3B8EB915" w14:textId="77777777" w:rsidR="00014083" w:rsidRPr="000514F8" w:rsidRDefault="00014083" w:rsidP="004C79C1">
            <w:pPr>
              <w:pStyle w:val="Tabletext1"/>
              <w:spacing w:before="0" w:after="120"/>
            </w:pPr>
            <w:r w:rsidRPr="000514F8">
              <w:t>0.93 (0.85, 0.97)</w:t>
            </w:r>
          </w:p>
        </w:tc>
      </w:tr>
    </w:tbl>
    <w:p w14:paraId="40C878FA" w14:textId="1F9C1488" w:rsidR="006A03A7" w:rsidRPr="000A6433" w:rsidRDefault="00AE1992" w:rsidP="004C79C1">
      <w:pPr>
        <w:spacing w:after="120" w:line="240" w:lineRule="auto"/>
        <w:jc w:val="both"/>
        <w:rPr>
          <w:rFonts w:ascii="Arial Narrow" w:hAnsi="Arial Narrow"/>
          <w:sz w:val="20"/>
          <w:szCs w:val="20"/>
        </w:rPr>
      </w:pPr>
      <w:r w:rsidRPr="000A6433">
        <w:rPr>
          <w:rFonts w:ascii="Arial Narrow" w:hAnsi="Arial Narrow"/>
          <w:sz w:val="20"/>
          <w:szCs w:val="20"/>
        </w:rPr>
        <w:t xml:space="preserve">CI </w:t>
      </w:r>
      <w:r w:rsidR="00DF3F73" w:rsidRPr="00141050">
        <w:rPr>
          <w:rFonts w:ascii="Arial Narrow" w:hAnsi="Arial Narrow"/>
          <w:sz w:val="20"/>
          <w:szCs w:val="20"/>
        </w:rPr>
        <w:t xml:space="preserve">= </w:t>
      </w:r>
      <w:r w:rsidR="00DF3F73" w:rsidRPr="00141050">
        <w:rPr>
          <w:rFonts w:ascii="Arial Narrow" w:hAnsi="Arial Narrow"/>
          <w:bCs/>
          <w:sz w:val="20"/>
          <w:szCs w:val="20"/>
        </w:rPr>
        <w:t>confidence interval</w:t>
      </w:r>
      <w:r w:rsidR="00DF3F73" w:rsidRPr="00141050">
        <w:rPr>
          <w:rFonts w:ascii="Arial Narrow" w:hAnsi="Arial Narrow"/>
          <w:sz w:val="20"/>
          <w:szCs w:val="20"/>
        </w:rPr>
        <w:t xml:space="preserve">; </w:t>
      </w:r>
      <w:r w:rsidRPr="000A6433">
        <w:rPr>
          <w:rFonts w:ascii="Arial Narrow" w:hAnsi="Arial Narrow"/>
          <w:sz w:val="20"/>
          <w:szCs w:val="20"/>
        </w:rPr>
        <w:t xml:space="preserve">CM </w:t>
      </w:r>
      <w:r w:rsidR="00DF3F73" w:rsidRPr="00141050">
        <w:rPr>
          <w:rFonts w:ascii="Arial Narrow" w:hAnsi="Arial Narrow"/>
          <w:sz w:val="20"/>
          <w:szCs w:val="20"/>
        </w:rPr>
        <w:t>=</w:t>
      </w:r>
      <w:r w:rsidR="005F2813" w:rsidRPr="00141050">
        <w:rPr>
          <w:rFonts w:ascii="Arial Narrow" w:hAnsi="Arial Narrow"/>
          <w:sz w:val="20"/>
          <w:szCs w:val="20"/>
        </w:rPr>
        <w:t xml:space="preserve"> cardiomyopathy</w:t>
      </w:r>
      <w:r w:rsidR="00DF3F73" w:rsidRPr="00141050">
        <w:rPr>
          <w:rFonts w:ascii="Arial Narrow" w:hAnsi="Arial Narrow"/>
          <w:sz w:val="20"/>
          <w:szCs w:val="20"/>
        </w:rPr>
        <w:t xml:space="preserve">; </w:t>
      </w:r>
      <w:r w:rsidRPr="000A6433">
        <w:rPr>
          <w:rFonts w:ascii="Arial Narrow" w:hAnsi="Arial Narrow"/>
          <w:sz w:val="20"/>
          <w:szCs w:val="20"/>
        </w:rPr>
        <w:t xml:space="preserve">DCM </w:t>
      </w:r>
      <w:r w:rsidR="00DF3F73" w:rsidRPr="00141050">
        <w:rPr>
          <w:rFonts w:ascii="Arial Narrow" w:hAnsi="Arial Narrow"/>
          <w:sz w:val="20"/>
          <w:szCs w:val="20"/>
        </w:rPr>
        <w:t xml:space="preserve">= </w:t>
      </w:r>
      <w:r w:rsidR="005F2813" w:rsidRPr="000A6433">
        <w:rPr>
          <w:rFonts w:ascii="Arial Narrow" w:hAnsi="Arial Narrow"/>
          <w:sz w:val="20"/>
          <w:szCs w:val="20"/>
        </w:rPr>
        <w:t>dilated cardiomyopathy</w:t>
      </w:r>
      <w:r w:rsidR="00DF3F73" w:rsidRPr="00141050">
        <w:rPr>
          <w:rFonts w:ascii="Arial Narrow" w:hAnsi="Arial Narrow"/>
          <w:sz w:val="20"/>
          <w:szCs w:val="20"/>
        </w:rPr>
        <w:t xml:space="preserve">; </w:t>
      </w:r>
      <w:r w:rsidRPr="000A6433">
        <w:rPr>
          <w:rFonts w:ascii="Arial Narrow" w:hAnsi="Arial Narrow"/>
          <w:sz w:val="20"/>
          <w:szCs w:val="20"/>
        </w:rPr>
        <w:t xml:space="preserve">HF </w:t>
      </w:r>
      <w:r w:rsidR="00DF3F73" w:rsidRPr="00141050">
        <w:rPr>
          <w:rFonts w:ascii="Arial Narrow" w:hAnsi="Arial Narrow"/>
          <w:sz w:val="20"/>
          <w:szCs w:val="20"/>
        </w:rPr>
        <w:t xml:space="preserve">= </w:t>
      </w:r>
      <w:r w:rsidR="009D2106">
        <w:rPr>
          <w:rFonts w:ascii="Arial Narrow" w:hAnsi="Arial Narrow"/>
          <w:sz w:val="20"/>
          <w:szCs w:val="20"/>
        </w:rPr>
        <w:t>heart failure</w:t>
      </w:r>
      <w:r w:rsidR="00DF3F73" w:rsidRPr="00141050">
        <w:rPr>
          <w:rFonts w:ascii="Arial Narrow" w:hAnsi="Arial Narrow"/>
          <w:sz w:val="20"/>
          <w:szCs w:val="20"/>
        </w:rPr>
        <w:t xml:space="preserve">; </w:t>
      </w:r>
      <w:r w:rsidRPr="000A6433">
        <w:rPr>
          <w:rFonts w:ascii="Arial Narrow" w:hAnsi="Arial Narrow"/>
          <w:sz w:val="20"/>
          <w:szCs w:val="20"/>
        </w:rPr>
        <w:t>LGE</w:t>
      </w:r>
      <w:r w:rsidR="00DF3F73" w:rsidRPr="00141050">
        <w:rPr>
          <w:rFonts w:ascii="Arial Narrow" w:hAnsi="Arial Narrow"/>
          <w:sz w:val="20"/>
          <w:szCs w:val="20"/>
        </w:rPr>
        <w:t>-</w:t>
      </w:r>
      <w:r w:rsidRPr="000A6433">
        <w:rPr>
          <w:rFonts w:ascii="Arial Narrow" w:hAnsi="Arial Narrow"/>
          <w:sz w:val="20"/>
          <w:szCs w:val="20"/>
        </w:rPr>
        <w:t xml:space="preserve">CMR </w:t>
      </w:r>
      <w:r w:rsidR="00DF3F73" w:rsidRPr="00141050">
        <w:rPr>
          <w:rFonts w:ascii="Arial Narrow" w:hAnsi="Arial Narrow"/>
          <w:sz w:val="20"/>
          <w:szCs w:val="20"/>
        </w:rPr>
        <w:t xml:space="preserve">= </w:t>
      </w:r>
      <w:r w:rsidR="009D2106" w:rsidRPr="00141050">
        <w:rPr>
          <w:rFonts w:ascii="Arial Narrow" w:hAnsi="Arial Narrow"/>
          <w:sz w:val="20"/>
          <w:szCs w:val="20"/>
        </w:rPr>
        <w:t>l</w:t>
      </w:r>
      <w:r w:rsidR="005F2813" w:rsidRPr="000A6433">
        <w:rPr>
          <w:rFonts w:ascii="Arial Narrow" w:hAnsi="Arial Narrow"/>
          <w:sz w:val="20"/>
          <w:szCs w:val="20"/>
        </w:rPr>
        <w:t>ate gadolinium enhancement cardiac magnetic resonance (imaging)</w:t>
      </w:r>
      <w:r w:rsidR="00DF3F73" w:rsidRPr="00141050">
        <w:rPr>
          <w:rFonts w:ascii="Arial Narrow" w:hAnsi="Arial Narrow"/>
          <w:sz w:val="20"/>
          <w:szCs w:val="20"/>
        </w:rPr>
        <w:t xml:space="preserve">; </w:t>
      </w:r>
      <w:r w:rsidRPr="000A6433">
        <w:rPr>
          <w:rFonts w:ascii="Arial Narrow" w:hAnsi="Arial Narrow"/>
          <w:sz w:val="20"/>
          <w:szCs w:val="20"/>
        </w:rPr>
        <w:t>LV</w:t>
      </w:r>
      <w:r w:rsidR="006A03A7" w:rsidRPr="000A6433">
        <w:rPr>
          <w:rFonts w:ascii="Arial Narrow" w:hAnsi="Arial Narrow"/>
          <w:sz w:val="20"/>
          <w:szCs w:val="20"/>
        </w:rPr>
        <w:t xml:space="preserve"> </w:t>
      </w:r>
      <w:r w:rsidR="00DF3F73" w:rsidRPr="00141050">
        <w:rPr>
          <w:rFonts w:ascii="Arial Narrow" w:hAnsi="Arial Narrow"/>
          <w:sz w:val="20"/>
          <w:szCs w:val="20"/>
        </w:rPr>
        <w:t xml:space="preserve">= </w:t>
      </w:r>
      <w:r w:rsidR="005F2813" w:rsidRPr="000A6433">
        <w:rPr>
          <w:rFonts w:ascii="Arial Narrow" w:hAnsi="Arial Narrow"/>
          <w:sz w:val="20"/>
          <w:szCs w:val="20"/>
        </w:rPr>
        <w:t>left ventricular</w:t>
      </w:r>
    </w:p>
    <w:p w14:paraId="7A28A955" w14:textId="7F49E36D" w:rsidR="000A4F12" w:rsidRDefault="000A4F12" w:rsidP="00161B88">
      <w:pPr>
        <w:pStyle w:val="Heading3"/>
      </w:pPr>
      <w:bookmarkStart w:id="271" w:name="_Toc451501315"/>
      <w:r>
        <w:t>B3.6.2 Diagnostic accuracy of LGE-CMR in determining the aetiology of NIDCM in patients with a low risk of CAD</w:t>
      </w:r>
      <w:bookmarkEnd w:id="271"/>
      <w:r>
        <w:t xml:space="preserve"> </w:t>
      </w:r>
    </w:p>
    <w:p w14:paraId="4837F242" w14:textId="4881ACED" w:rsidR="000A4F12" w:rsidRDefault="000A4F12" w:rsidP="00161B88">
      <w:pPr>
        <w:pStyle w:val="Heading4"/>
      </w:pPr>
      <w:r>
        <w:t xml:space="preserve">Diagnostic accuracy of LGE-CMR compared with </w:t>
      </w:r>
      <w:r w:rsidR="005A4423">
        <w:t>EMB</w:t>
      </w:r>
      <w:r>
        <w:t xml:space="preserve"> as reference standard</w:t>
      </w:r>
    </w:p>
    <w:p w14:paraId="04F527C8" w14:textId="538A57FA" w:rsidR="000A4F12" w:rsidRDefault="000A4F12" w:rsidP="004C79C1">
      <w:pPr>
        <w:spacing w:after="120" w:line="240" w:lineRule="auto"/>
        <w:jc w:val="both"/>
      </w:pPr>
      <w:r>
        <w:t xml:space="preserve">Three studies were included that investigated the diagnostic accuracy of LGE-CMR compared </w:t>
      </w:r>
      <w:r w:rsidR="006C78F9">
        <w:t>with EMB</w:t>
      </w:r>
      <w:r>
        <w:t xml:space="preserve"> in patients with HF symptoms and impaired LVEF </w:t>
      </w:r>
      <w:r>
        <w:fldChar w:fldCharType="begin">
          <w:fldData xml:space="preserve">PEVuZE5vdGU+PENpdGU+PEF1dGhvcj5Cb2huZW48L0F1dGhvcj48WWVhcj4yMDE1PC9ZZWFyPjxS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</w:fldData>
        </w:fldChar>
      </w:r>
      <w:r>
        <w:instrText xml:space="preserve"> ADDIN EN.CITE </w:instrText>
      </w:r>
      <w:r>
        <w:fldChar w:fldCharType="begin">
          <w:fldData xml:space="preserve">PEVuZE5vdGU+PENpdGU+PEF1dGhvcj5Cb2huZW48L0F1dGhvcj48WWVhcj4yMDE1PC9ZZWFyPjxS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</w:fldData>
        </w:fldChar>
      </w:r>
      <w:r>
        <w:instrText xml:space="preserve"> ADDIN EN.CITE.DATA </w:instrText>
      </w:r>
      <w:r>
        <w:fldChar w:fldCharType="end"/>
      </w:r>
      <w:r>
        <w:fldChar w:fldCharType="separate"/>
      </w:r>
      <w:r>
        <w:rPr>
          <w:noProof/>
        </w:rPr>
        <w:t>(</w:t>
      </w:r>
      <w:hyperlink w:anchor="_ENREF_11" w:tooltip="Bohnen, 2015 #1" w:history="1">
        <w:r>
          <w:rPr>
            <w:noProof/>
          </w:rPr>
          <w:t>Bohnen et al. 2015</w:t>
        </w:r>
      </w:hyperlink>
      <w:r>
        <w:rPr>
          <w:noProof/>
        </w:rPr>
        <w:t xml:space="preserve">; </w:t>
      </w:r>
      <w:hyperlink w:anchor="_ENREF_120" w:tooltip="Sramko, 2013 #12" w:history="1">
        <w:r>
          <w:rPr>
            <w:noProof/>
          </w:rPr>
          <w:t>Sramko et al. 2013</w:t>
        </w:r>
      </w:hyperlink>
      <w:r>
        <w:rPr>
          <w:noProof/>
        </w:rPr>
        <w:t xml:space="preserve">; </w:t>
      </w:r>
      <w:hyperlink w:anchor="_ENREF_132" w:tooltip="Voigt, 2011 #13" w:history="1">
        <w:r>
          <w:rPr>
            <w:noProof/>
          </w:rPr>
          <w:t>Voigt et al. 2011</w:t>
        </w:r>
      </w:hyperlink>
      <w:r>
        <w:rPr>
          <w:noProof/>
        </w:rPr>
        <w:t>)</w:t>
      </w:r>
      <w:r>
        <w:fldChar w:fldCharType="end"/>
      </w:r>
      <w:r>
        <w:t xml:space="preserve">. Patients underwent </w:t>
      </w:r>
      <w:r w:rsidR="006365E4">
        <w:t xml:space="preserve">EMB </w:t>
      </w:r>
      <w:r>
        <w:t>and LGE-CMR to determine whether inflammation was the cause of CM symptoms. The study by Bohnen et al. (2015), which had a medium risk of bias, did not report whether patients had dilated LVs. The remaining studies were of low risk of bias and included patients with diagnosed DCM and a history of HF to determine the cause of the disease.</w:t>
      </w:r>
    </w:p>
    <w:p w14:paraId="4C03C78C" w14:textId="4462275D" w:rsidR="000A4F12" w:rsidRDefault="000A4F12" w:rsidP="004C79C1">
      <w:pPr>
        <w:spacing w:after="120" w:line="240" w:lineRule="auto"/>
        <w:jc w:val="both"/>
      </w:pPr>
      <w:r>
        <w:t xml:space="preserve">The overall quality of the evidence provided by these studies in assessing the diagnostic accuracy of LGE-CMR compared with </w:t>
      </w:r>
      <w:r w:rsidR="006365E4">
        <w:t xml:space="preserve">EMB </w:t>
      </w:r>
      <w:r>
        <w:t xml:space="preserve">was assessed using GRADE </w:t>
      </w:r>
      <w:r>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instrText xml:space="preserve"> ADDIN EN.CITE </w:instrText>
      </w:r>
      <w:r>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instrText xml:space="preserve"> ADDIN EN.CITE.DATA </w:instrText>
      </w:r>
      <w:r>
        <w:fldChar w:fldCharType="end"/>
      </w:r>
      <w:r>
        <w:fldChar w:fldCharType="separate"/>
      </w:r>
      <w:r>
        <w:rPr>
          <w:noProof/>
        </w:rPr>
        <w:t>(</w:t>
      </w:r>
      <w:hyperlink w:anchor="_ENREF_48" w:tooltip="Guyatt, 2011 #123" w:history="1">
        <w:r>
          <w:rPr>
            <w:noProof/>
          </w:rPr>
          <w:t>Guyatt et al. 2011</w:t>
        </w:r>
      </w:hyperlink>
      <w:r>
        <w:rPr>
          <w:noProof/>
        </w:rPr>
        <w:t>)</w:t>
      </w:r>
      <w:r>
        <w:fldChar w:fldCharType="end"/>
      </w:r>
      <w:r>
        <w:t xml:space="preserve">, and the results are presented in </w:t>
      </w:r>
      <w:r>
        <w:rPr>
          <w:highlight w:val="cyan"/>
        </w:rPr>
        <w:fldChar w:fldCharType="begin"/>
      </w:r>
      <w:r>
        <w:instrText xml:space="preserve"> REF _Ref445994214 \h </w:instrText>
      </w:r>
      <w:r>
        <w:rPr>
          <w:highlight w:val="cyan"/>
        </w:rPr>
      </w:r>
      <w:r>
        <w:rPr>
          <w:highlight w:val="cyan"/>
        </w:rPr>
        <w:fldChar w:fldCharType="separate"/>
      </w:r>
      <w:r w:rsidR="009E2C60" w:rsidRPr="000A4AF9">
        <w:t xml:space="preserve">Table </w:t>
      </w:r>
      <w:r w:rsidR="009E2C60">
        <w:rPr>
          <w:noProof/>
        </w:rPr>
        <w:t>13</w:t>
      </w:r>
      <w:r>
        <w:rPr>
          <w:highlight w:val="cyan"/>
        </w:rPr>
        <w:fldChar w:fldCharType="end"/>
      </w:r>
      <w:r>
        <w:t>.</w:t>
      </w:r>
      <w:r w:rsidRPr="009F5BFE">
        <w:t xml:space="preserve"> </w:t>
      </w:r>
      <w:r>
        <w:t>The evidence base for this section was graded as being of low (</w:t>
      </w:r>
      <w:r>
        <w:rPr>
          <w:rFonts w:ascii="Cambria Math" w:hAnsi="Cambria Math"/>
          <w:color w:val="00B050"/>
        </w:rPr>
        <w:t>⨁⨁</w:t>
      </w:r>
      <w:r w:rsidRPr="00D4733A">
        <w:rPr>
          <w:rFonts w:ascii="Cambria Math" w:hAnsi="Cambria Math" w:cs="Cambria Math"/>
          <w:color w:val="C00000"/>
        </w:rPr>
        <w:t>⨀⨀</w:t>
      </w:r>
      <w:r w:rsidRPr="000A4AF9">
        <w:t>) quality</w:t>
      </w:r>
      <w:r>
        <w:t>.</w:t>
      </w:r>
    </w:p>
    <w:p w14:paraId="480B1FEC" w14:textId="77777777" w:rsidR="000A4F12" w:rsidRDefault="000A4F12" w:rsidP="004C79C1">
      <w:pPr>
        <w:spacing w:after="120" w:line="240" w:lineRule="auto"/>
        <w:ind w:left="-126"/>
        <w:jc w:val="both"/>
        <w:rPr>
          <w:noProof/>
        </w:rPr>
      </w:pPr>
      <w:r>
        <w:rPr>
          <w:noProof/>
        </w:rPr>
        <w:drawing>
          <wp:inline distT="0" distB="0" distL="0" distR="0" wp14:anchorId="73DDDEA3" wp14:editId="3367578D">
            <wp:extent cx="6185535" cy="1047115"/>
            <wp:effectExtent l="0" t="0" r="5715" b="635"/>
            <wp:docPr id="49" name="Picture 49" descr="Forest plot showing the sensitivity and specificity of LGE-CMR compared with endomyocardial biopsy in diagnosing inflam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april picture3.png"/>
                    <pic:cNvPicPr/>
                  </pic:nvPicPr>
                  <pic:blipFill>
                    <a:blip r:embed="rId29">
                      <a:extLst>
                        <a:ext uri="{28A0092B-C50C-407E-A947-70E740481C1C}">
                          <a14:useLocalDpi xmlns:a14="http://schemas.microsoft.com/office/drawing/2010/main" val="0"/>
                        </a:ext>
                      </a:extLst>
                    </a:blip>
                    <a:stretch>
                      <a:fillRect/>
                    </a:stretch>
                  </pic:blipFill>
                  <pic:spPr>
                    <a:xfrm>
                      <a:off x="0" y="0"/>
                      <a:ext cx="6421286" cy="1087024"/>
                    </a:xfrm>
                    <a:prstGeom prst="rect">
                      <a:avLst/>
                    </a:prstGeom>
                  </pic:spPr>
                </pic:pic>
              </a:graphicData>
            </a:graphic>
          </wp:inline>
        </w:drawing>
      </w:r>
    </w:p>
    <w:p w14:paraId="6DD4874F" w14:textId="2913367A" w:rsidR="000A4F12" w:rsidRDefault="000A4F12" w:rsidP="004C79C1">
      <w:pPr>
        <w:pStyle w:val="Caption"/>
      </w:pPr>
      <w:bookmarkStart w:id="272" w:name="_Ref445472759"/>
      <w:bookmarkStart w:id="273" w:name="_Ref445472750"/>
      <w:bookmarkStart w:id="274" w:name="_Toc324410132"/>
      <w:bookmarkStart w:id="275" w:name="_Toc451435453"/>
      <w:r w:rsidRPr="009E2C60">
        <w:t xml:space="preserve">Figure </w:t>
      </w:r>
      <w:fldSimple w:instr=" SEQ Figure \* ARABIC ">
        <w:r w:rsidR="00050936" w:rsidRPr="009E2C60">
          <w:rPr>
            <w:noProof/>
          </w:rPr>
          <w:t>7</w:t>
        </w:r>
      </w:fldSimple>
      <w:bookmarkEnd w:id="272"/>
      <w:r w:rsidRPr="009E2C60">
        <w:tab/>
        <w:t xml:space="preserve">Forest plot showing the sensitivity and specificity of LGE-CMR compared with </w:t>
      </w:r>
      <w:r w:rsidR="00244B8C" w:rsidRPr="009E2C60">
        <w:t xml:space="preserve">EMB </w:t>
      </w:r>
      <w:r w:rsidRPr="009E2C60">
        <w:t>in diagnosing</w:t>
      </w:r>
      <w:r w:rsidRPr="009C3F84">
        <w:t xml:space="preserve"> </w:t>
      </w:r>
      <w:bookmarkEnd w:id="273"/>
      <w:r w:rsidRPr="009E2C60">
        <w:t>inflammation</w:t>
      </w:r>
      <w:bookmarkEnd w:id="274"/>
      <w:bookmarkEnd w:id="275"/>
    </w:p>
    <w:p w14:paraId="0D57D518" w14:textId="77777777" w:rsidR="000A4F12" w:rsidRPr="00D369F4" w:rsidRDefault="000A4F12" w:rsidP="004C79C1">
      <w:pPr>
        <w:pStyle w:val="Tablenotes0"/>
        <w:spacing w:before="0" w:after="120"/>
        <w:rPr>
          <w:noProof/>
        </w:rPr>
      </w:pPr>
    </w:p>
    <w:p w14:paraId="7D96A2B3" w14:textId="44AFD34C" w:rsidR="000A4F12" w:rsidRDefault="000A4F12" w:rsidP="004C79C1">
      <w:pPr>
        <w:spacing w:after="120" w:line="240" w:lineRule="auto"/>
        <w:jc w:val="both"/>
      </w:pPr>
      <w:r>
        <w:fldChar w:fldCharType="begin"/>
      </w:r>
      <w:r>
        <w:instrText xml:space="preserve"> REF _Ref445472759 \h </w:instrText>
      </w:r>
      <w:r w:rsidR="009E2C60">
        <w:instrText xml:space="preserve"> \* MERGEFORMAT </w:instrText>
      </w:r>
      <w:r>
        <w:fldChar w:fldCharType="separate"/>
      </w:r>
      <w:r w:rsidR="009E2C60" w:rsidRPr="009E2C60">
        <w:t>Figure</w:t>
      </w:r>
      <w:r w:rsidR="009E2C60" w:rsidRPr="009034B7">
        <w:t xml:space="preserve"> </w:t>
      </w:r>
      <w:r w:rsidR="009E2C60">
        <w:rPr>
          <w:noProof/>
        </w:rPr>
        <w:t>7</w:t>
      </w:r>
      <w:r>
        <w:fldChar w:fldCharType="end"/>
      </w:r>
      <w:r>
        <w:t xml:space="preserve"> shows the sensitivity and specificity of LGE-CMR for the detection of inflammation, with </w:t>
      </w:r>
      <w:r w:rsidR="008A7654">
        <w:t>EMB</w:t>
      </w:r>
      <w:r>
        <w:t xml:space="preserve"> as the reference standard. The presence of LGE was used in all </w:t>
      </w:r>
      <w:r w:rsidR="006365E4">
        <w:t xml:space="preserve">3 </w:t>
      </w:r>
      <w:r>
        <w:t xml:space="preserve">studies to determine </w:t>
      </w:r>
      <w:r>
        <w:lastRenderedPageBreak/>
        <w:t xml:space="preserve">inflammation. Active myocarditis was defined by ongoing inflammation on </w:t>
      </w:r>
      <w:r w:rsidR="006365E4">
        <w:t>EMB</w:t>
      </w:r>
      <w:r>
        <w:t xml:space="preserve"> </w:t>
      </w:r>
      <w:r>
        <w:fldChar w:fldCharType="begin"/>
      </w:r>
      <w:r>
        <w:instrText xml:space="preserve"> ADDIN EN.CITE &lt;EndNote&gt;&lt;Cite&gt;&lt;Author&gt;Bohnen&lt;/Author&gt;&lt;Year&gt;2015&lt;/Year&gt;&lt;RecNum&gt;1&lt;/RecNum&gt;&lt;DisplayText&gt;(Bohnen et al. 2015)&lt;/DisplayText&gt;&lt;record&gt;&lt;rec-number&gt;1&lt;/rec-number&gt;&lt;foreign-keys&gt;&lt;key app="EN" db-id="pfxxvref0t0a5de2vwnv2fwkz0p9v0r2fw0t" timestamp="1457058875"&gt;1&lt;/key&gt;&lt;/foreign-keys&gt;&lt;ref-type name="Journal Article"&gt;17&lt;/ref-type&gt;&lt;contributors&gt;&lt;authors&gt;&lt;author&gt;Bohnen, S.&lt;/author&gt;&lt;author&gt;Radunski, U. K.&lt;/author&gt;&lt;author&gt;Lund, G. K.&lt;/author&gt;&lt;author&gt;Kandolf, R.&lt;/author&gt;&lt;author&gt;Stehning, C.&lt;/author&gt;&lt;author&gt;Schnackenburg, B.&lt;/author&gt;&lt;author&gt;Adam, G.&lt;/author&gt;&lt;author&gt;Blankenberg, S.&lt;/author&gt;&lt;author&gt;Muellerleile, K.&lt;/author&gt;&lt;/authors&gt;&lt;/contributors&gt;&lt;titles&gt;&lt;title&gt;Performance of t1 and t2 mapping cardiovascular magnetic resonance to detect active myocarditis in patients with recent-onset heart failure&lt;/title&gt;&lt;secondary-title&gt;Circ Cardiovasc Imaging&lt;/secondary-title&gt;&lt;/titles&gt;&lt;periodical&gt;&lt;full-title&gt;Circ Cardiovasc Imaging&lt;/full-title&gt;&lt;/periodical&gt;&lt;volume&gt;8&lt;/volume&gt;&lt;number&gt;6&lt;/number&gt;&lt;dates&gt;&lt;year&gt;2015&lt;/year&gt;&lt;pub-dates&gt;&lt;date&gt;2015-01-01&lt;/date&gt;&lt;/pub-dates&gt;&lt;/dates&gt;&lt;isbn&gt;1941-9651&lt;/isbn&gt;&lt;urls&gt;&lt;/urls&gt;&lt;custom1&gt;RAYYAN-INCLUSION: {&amp;quot;Skye&amp;quot;=&amp;gt;true}&lt;/custom1&gt;&lt;language&gt;eng&lt;/language&gt;&lt;/record&gt;&lt;/Cite&gt;&lt;/EndNote&gt;</w:instrText>
      </w:r>
      <w:r>
        <w:fldChar w:fldCharType="separate"/>
      </w:r>
      <w:r>
        <w:rPr>
          <w:noProof/>
        </w:rPr>
        <w:t>(</w:t>
      </w:r>
      <w:hyperlink w:anchor="_ENREF_11" w:tooltip="Bohnen, 2015 #1" w:history="1">
        <w:r>
          <w:rPr>
            <w:noProof/>
          </w:rPr>
          <w:t>Bohnen et al. 2015</w:t>
        </w:r>
      </w:hyperlink>
      <w:r>
        <w:rPr>
          <w:noProof/>
        </w:rPr>
        <w:t>)</w:t>
      </w:r>
      <w:r>
        <w:fldChar w:fldCharType="end"/>
      </w:r>
      <w:r>
        <w:t>. Due to the lack of available studies and the differences in study population, no meta-analysis was conducted. The sensitivity of LGE-CMR varied from 0.58 (95%CI 0.28, 0.85) to 0.87 (95%CI 0.60, 0.98)</w:t>
      </w:r>
      <w:r w:rsidR="008A7654">
        <w:t>,</w:t>
      </w:r>
      <w:r>
        <w:t xml:space="preserve"> and the specificity was low, varying from 0.33 (95%CI 0.12, 0.62) to 0.50 (95%CI 0.19, 0.81).</w:t>
      </w:r>
    </w:p>
    <w:p w14:paraId="426BB2B3" w14:textId="68FE97C1" w:rsidR="000A4F12" w:rsidRDefault="000A4F12" w:rsidP="00161B88">
      <w:pPr>
        <w:pStyle w:val="Heading4"/>
      </w:pPr>
      <w:r>
        <w:t xml:space="preserve">Diagnostic accuracy of LGE-CMR </w:t>
      </w:r>
      <w:r w:rsidR="008A7654">
        <w:t>‘</w:t>
      </w:r>
      <w:r>
        <w:t>Lake Louise criteria</w:t>
      </w:r>
      <w:r w:rsidR="00DF623A">
        <w:t>’</w:t>
      </w:r>
      <w:r>
        <w:t xml:space="preserve"> compared with </w:t>
      </w:r>
      <w:r w:rsidR="008A7654">
        <w:t>EMB</w:t>
      </w:r>
      <w:r>
        <w:t xml:space="preserve"> as reference standard</w:t>
      </w:r>
    </w:p>
    <w:p w14:paraId="16ECBAF2" w14:textId="225100AD" w:rsidR="000A4F12" w:rsidRDefault="000A4F12" w:rsidP="004C79C1">
      <w:pPr>
        <w:spacing w:after="120" w:line="240" w:lineRule="auto"/>
        <w:jc w:val="both"/>
      </w:pPr>
      <w:r>
        <w:t xml:space="preserve">In addition to </w:t>
      </w:r>
      <w:r w:rsidR="008A7654">
        <w:t xml:space="preserve">the </w:t>
      </w:r>
      <w:r>
        <w:t xml:space="preserve">‘presence of LGE’, the </w:t>
      </w:r>
      <w:r w:rsidR="008A7654">
        <w:t>‘</w:t>
      </w:r>
      <w:r>
        <w:t>Lake Louise criteria</w:t>
      </w:r>
      <w:r w:rsidR="00DF623A">
        <w:t>’</w:t>
      </w:r>
      <w:r>
        <w:t xml:space="preserve"> were also used to define inflammation in </w:t>
      </w:r>
      <w:r w:rsidR="00E03453">
        <w:t xml:space="preserve">2 </w:t>
      </w:r>
      <w:r>
        <w:t xml:space="preserve">studies </w:t>
      </w:r>
      <w:r>
        <w:fldChar w:fldCharType="begin">
          <w:fldData xml:space="preserve">PEVuZE5vdGU+PENpdGU+PEF1dGhvcj5Cb2huZW48L0F1dGhvcj48WWVhcj4yMDE1PC9ZZWFyPjxS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=
</w:fldData>
        </w:fldChar>
      </w:r>
      <w:r>
        <w:instrText xml:space="preserve"> ADDIN EN.CITE </w:instrText>
      </w:r>
      <w:r>
        <w:fldChar w:fldCharType="begin">
          <w:fldData xml:space="preserve">PEVuZE5vdGU+PENpdGU+PEF1dGhvcj5Cb2huZW48L0F1dGhvcj48WWVhcj4yMDE1PC9ZZWFyPjxS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=
</w:fldData>
        </w:fldChar>
      </w:r>
      <w:r>
        <w:instrText xml:space="preserve"> ADDIN EN.CITE.DATA </w:instrText>
      </w:r>
      <w:r>
        <w:fldChar w:fldCharType="end"/>
      </w:r>
      <w:r>
        <w:fldChar w:fldCharType="separate"/>
      </w:r>
      <w:r>
        <w:rPr>
          <w:noProof/>
        </w:rPr>
        <w:t>(</w:t>
      </w:r>
      <w:hyperlink w:anchor="_ENREF_11" w:tooltip="Bohnen, 2015 #1" w:history="1">
        <w:r>
          <w:rPr>
            <w:noProof/>
          </w:rPr>
          <w:t>Bohnen et al. 2015</w:t>
        </w:r>
      </w:hyperlink>
      <w:r>
        <w:rPr>
          <w:noProof/>
        </w:rPr>
        <w:t xml:space="preserve">; </w:t>
      </w:r>
      <w:hyperlink w:anchor="_ENREF_132" w:tooltip="Voigt, 2011 #13" w:history="1">
        <w:r>
          <w:rPr>
            <w:noProof/>
          </w:rPr>
          <w:t>Voigt et al. 2011</w:t>
        </w:r>
      </w:hyperlink>
      <w:r>
        <w:rPr>
          <w:noProof/>
        </w:rPr>
        <w:t>)</w:t>
      </w:r>
      <w:r>
        <w:fldChar w:fldCharType="end"/>
      </w:r>
      <w:r>
        <w:t xml:space="preserve">. The International Consensus Group on Cardiovascular Magnetic Resonance in Myocarditis developed recommendations for the diagnosis of myocardial inflammation (i.e. the </w:t>
      </w:r>
      <w:r w:rsidR="007875D8">
        <w:t>‘</w:t>
      </w:r>
      <w:r>
        <w:t xml:space="preserve">Lake Louise </w:t>
      </w:r>
      <w:r w:rsidR="00DF623A">
        <w:t>c</w:t>
      </w:r>
      <w:r>
        <w:t>riteria</w:t>
      </w:r>
      <w:r w:rsidR="007875D8">
        <w:t>’</w:t>
      </w:r>
      <w:r>
        <w:t xml:space="preserve"> (LL)) </w:t>
      </w:r>
      <w:r>
        <w:fldChar w:fldCharType="begin"/>
      </w:r>
      <w:r>
        <w:instrText xml:space="preserve"> ADDIN EN.CITE &lt;EndNote&gt;&lt;Cite&gt;&lt;Author&gt;Voigt&lt;/Author&gt;&lt;Year&gt;2011&lt;/Year&gt;&lt;RecNum&gt;13&lt;/RecNum&gt;&lt;IDText&gt;925-35&lt;/IDText&gt;&lt;DisplayText&gt;(Voigt et al. 2011)&lt;/DisplayText&gt;&lt;record&gt;&lt;rec-number&gt;13&lt;/rec-number&gt;&lt;foreign-keys&gt;&lt;key app="EN" db-id="pfxxvref0t0a5de2vwnv2fwkz0p9v0r2fw0t" timestamp="1457058905"&gt;13&lt;/key&gt;&lt;/foreign-keys&gt;&lt;ref-type name="Journal Article"&gt;17&lt;/ref-type&gt;&lt;contributors&gt;&lt;authors&gt;&lt;author&gt;Voigt, A.&lt;/author&gt;&lt;author&gt;Elgeti, T.&lt;/author&gt;&lt;author&gt;Durmus, T.&lt;/author&gt;&lt;author&gt;Idiz, M. E.&lt;/author&gt;&lt;author&gt;Butler, C.&lt;/author&gt;&lt;author&gt;Beling, M.&lt;/author&gt;&lt;author&gt;Schilling, R.&lt;/author&gt;&lt;author&gt;Klingel, K.&lt;/author&gt;&lt;author&gt;Kandolf, R.&lt;/author&gt;&lt;author&gt;Stangl, K.&lt;/author&gt;&lt;author&gt;Taupitz, M.&lt;/author&gt;&lt;author&gt;Kivelitz, D.&lt;/author&gt;&lt;author&gt;Wagner, M.&lt;/author&gt;&lt;/authors&gt;&lt;/contributors&gt;&lt;titles&gt;&lt;title&gt;Cardiac magnetic resonance imaging in dilated cardiomyopathy in adults--towards identification of myocardial inflammation&lt;/title&gt;&lt;secondary-title&gt;Eur Radiol&lt;/secondary-title&gt;&lt;/titles&gt;&lt;periodical&gt;&lt;full-title&gt;Eur Radiol&lt;/full-title&gt;&lt;/periodical&gt;&lt;pages&gt;925-35&lt;/pages&gt;&lt;volume&gt;21&lt;/volume&gt;&lt;number&gt;5&lt;/number&gt;&lt;dates&gt;&lt;year&gt;2011&lt;/year&gt;&lt;pub-dates&gt;&lt;date&gt;2011-01-01&lt;/date&gt;&lt;/pub-dates&gt;&lt;/dates&gt;&lt;isbn&gt;0938-7994 (Print) 0938-7994&lt;/isbn&gt;&lt;urls&gt;&lt;related-urls&gt;&lt;url&gt;http://download.springer.com/static/pdf/776/art%253A10.1007%252Fs00330-010-1985-2.pdf?originUrl=http%3A%2F%2Flink.springer.com%2Farticle%2F10.1007%2Fs00330-010-1985-2&amp;amp;token2=exp=1453419118~acl=%2Fstatic%2Fpdf%2F776%2Fart%25253A10.1007%25252Fs00330-010-1985-2.pdf%3ForiginUrl%3Dhttp%253A%252F%252Flink.springer.com%252Farticle%252F10.1007%252Fs00330-010-1985-2*~hmac=35b4f8480e5b15a249faaf0f7dd1a8dc1dbe1f9b87dd770011f7cbfe6038d684&lt;/url&gt;&lt;/related-urls&gt;&lt;/urls&gt;&lt;custom1&gt;RAYYAN-INCLUSION: {&amp;quot;Sharon&amp;quot;=&amp;gt;true} | RAYYAN-LABELS: DCM&lt;/custom1&gt;&lt;language&gt;eng&lt;/language&gt;&lt;/record&gt;&lt;/Cite&gt;&lt;/EndNote&gt;</w:instrText>
      </w:r>
      <w:r>
        <w:fldChar w:fldCharType="separate"/>
      </w:r>
      <w:r>
        <w:rPr>
          <w:noProof/>
        </w:rPr>
        <w:t>(</w:t>
      </w:r>
      <w:hyperlink w:anchor="_ENREF_132" w:tooltip="Voigt, 2011 #13" w:history="1">
        <w:r>
          <w:rPr>
            <w:noProof/>
          </w:rPr>
          <w:t>Voigt et al. 2011</w:t>
        </w:r>
      </w:hyperlink>
      <w:r>
        <w:rPr>
          <w:noProof/>
        </w:rPr>
        <w:t>)</w:t>
      </w:r>
      <w:r>
        <w:fldChar w:fldCharType="end"/>
      </w:r>
      <w:r>
        <w:t xml:space="preserve">. This includes a comprehensive CMR </w:t>
      </w:r>
      <w:r w:rsidRPr="009E2C60">
        <w:t>protocol, which involves assessment of global myocardial oedema, global relative enhancement (e.g</w:t>
      </w:r>
      <w:r>
        <w:t>. myocardial hyperaemia), and LGE with non-ischaemic regional distribution. For LL to be positive for inflammation, ≥2 of the 3 tissue</w:t>
      </w:r>
      <w:r w:rsidR="0021573F">
        <w:t>-</w:t>
      </w:r>
      <w:r>
        <w:t xml:space="preserve">based criteria have to be positive. The sensitivity and specificity of CMR using the LL criteria are shown in </w:t>
      </w:r>
      <w:r>
        <w:fldChar w:fldCharType="begin"/>
      </w:r>
      <w:r>
        <w:instrText xml:space="preserve"> REF _Ref445473688 \h </w:instrText>
      </w:r>
      <w:r>
        <w:fldChar w:fldCharType="separate"/>
      </w:r>
      <w:r w:rsidR="009E2C60">
        <w:t xml:space="preserve">Figure </w:t>
      </w:r>
      <w:r w:rsidR="009E2C60">
        <w:rPr>
          <w:noProof/>
        </w:rPr>
        <w:t>8</w:t>
      </w:r>
      <w:r>
        <w:fldChar w:fldCharType="end"/>
      </w:r>
      <w:r>
        <w:t xml:space="preserve">, with </w:t>
      </w:r>
      <w:r w:rsidR="0021573F">
        <w:t>EMB</w:t>
      </w:r>
      <w:r>
        <w:t xml:space="preserve"> as the reference standard. The specificity varied significantly between the </w:t>
      </w:r>
      <w:r w:rsidR="0021573F">
        <w:t xml:space="preserve">2 </w:t>
      </w:r>
      <w:r>
        <w:t>studies, from 0.07 (95%CI 0.00, 0.32) to 0.73 (95%CI 0.39, 0.94), whereas the 95%CIs for the sensitivity were overlapping, with 0.88 (95%CI 0.62, 0.98) in Bohnen et al. (2015) and 0.75 (95%CI 0.43, 0.95) in Voigt et al. (2011). The study by Bohnen et al. (2015) was of medium risk of bias and it was not known whether these patients had dilated LV</w:t>
      </w:r>
      <w:r w:rsidR="00884E39">
        <w:t>s</w:t>
      </w:r>
      <w:r>
        <w:t xml:space="preserve"> as well as HF symptoms. The study by Voigt et al. (2011) was of low risk of bias and included patients with DCM. It is not known whether this would have caused the difference in specificity.</w:t>
      </w:r>
    </w:p>
    <w:p w14:paraId="12CC8A97" w14:textId="77777777" w:rsidR="000A4F12" w:rsidRDefault="000A4F12" w:rsidP="004C79C1">
      <w:pPr>
        <w:keepNext/>
        <w:spacing w:after="120" w:line="240" w:lineRule="auto"/>
        <w:ind w:left="-84"/>
      </w:pPr>
      <w:r>
        <w:rPr>
          <w:noProof/>
        </w:rPr>
        <w:drawing>
          <wp:inline distT="0" distB="0" distL="0" distR="0" wp14:anchorId="6D252B3D" wp14:editId="0E6FDEDF">
            <wp:extent cx="6217920" cy="904820"/>
            <wp:effectExtent l="0" t="0" r="0" b="0"/>
            <wp:docPr id="50" name="Picture 50" descr="Forest plot showing the sensitivity and specificity of the Lake Louise Criteria measured with CMR compared with endomyocardial biopsy in diagnosing inflam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april picture4.png"/>
                    <pic:cNvPicPr/>
                  </pic:nvPicPr>
                  <pic:blipFill>
                    <a:blip r:embed="rId30">
                      <a:extLst>
                        <a:ext uri="{28A0092B-C50C-407E-A947-70E740481C1C}">
                          <a14:useLocalDpi xmlns:a14="http://schemas.microsoft.com/office/drawing/2010/main" val="0"/>
                        </a:ext>
                      </a:extLst>
                    </a:blip>
                    <a:stretch>
                      <a:fillRect/>
                    </a:stretch>
                  </pic:blipFill>
                  <pic:spPr>
                    <a:xfrm>
                      <a:off x="0" y="0"/>
                      <a:ext cx="6420073" cy="934237"/>
                    </a:xfrm>
                    <a:prstGeom prst="rect">
                      <a:avLst/>
                    </a:prstGeom>
                  </pic:spPr>
                </pic:pic>
              </a:graphicData>
            </a:graphic>
          </wp:inline>
        </w:drawing>
      </w:r>
    </w:p>
    <w:p w14:paraId="4BED90EE" w14:textId="7796BC56" w:rsidR="000A4F12" w:rsidRDefault="000A4F12" w:rsidP="004C79C1">
      <w:pPr>
        <w:pStyle w:val="Caption"/>
      </w:pPr>
      <w:bookmarkStart w:id="276" w:name="_Ref445473688"/>
      <w:bookmarkStart w:id="277" w:name="_Toc324410133"/>
      <w:bookmarkStart w:id="278" w:name="_Toc451435454"/>
      <w:r>
        <w:t xml:space="preserve">Figure </w:t>
      </w:r>
      <w:fldSimple w:instr=" SEQ Figure \* ARABIC ">
        <w:r w:rsidR="003F1A16">
          <w:rPr>
            <w:noProof/>
          </w:rPr>
          <w:t>8</w:t>
        </w:r>
      </w:fldSimple>
      <w:bookmarkEnd w:id="276"/>
      <w:r>
        <w:t xml:space="preserve"> </w:t>
      </w:r>
      <w:r w:rsidR="00947CDE">
        <w:tab/>
      </w:r>
      <w:r w:rsidRPr="00F45F74">
        <w:t xml:space="preserve">Forest plot showing the sensitivity and specificity of </w:t>
      </w:r>
      <w:r>
        <w:t xml:space="preserve">the </w:t>
      </w:r>
      <w:r w:rsidR="00F510C6">
        <w:t>‘</w:t>
      </w:r>
      <w:r>
        <w:t xml:space="preserve">Lake Louise </w:t>
      </w:r>
      <w:r w:rsidR="00F510C6">
        <w:t>c</w:t>
      </w:r>
      <w:r>
        <w:t>riteria</w:t>
      </w:r>
      <w:r w:rsidR="00F510C6">
        <w:t>’</w:t>
      </w:r>
      <w:r>
        <w:t xml:space="preserve"> measured with CMR</w:t>
      </w:r>
      <w:r w:rsidRPr="00F45F74">
        <w:t xml:space="preserve"> compared with </w:t>
      </w:r>
      <w:r w:rsidR="00F510C6">
        <w:t>EMB</w:t>
      </w:r>
      <w:r w:rsidRPr="00F45F74">
        <w:t xml:space="preserve"> in diagnosing </w:t>
      </w:r>
      <w:r>
        <w:t>inflammation</w:t>
      </w:r>
      <w:bookmarkEnd w:id="277"/>
      <w:bookmarkEnd w:id="278"/>
    </w:p>
    <w:p w14:paraId="2F8A3C80" w14:textId="02883B62" w:rsidR="000A4F12" w:rsidRDefault="000A4F12" w:rsidP="00161B88">
      <w:pPr>
        <w:pStyle w:val="Heading4"/>
      </w:pPr>
      <w:r>
        <w:t xml:space="preserve">Diagnostic accuracy of </w:t>
      </w:r>
      <w:r w:rsidR="00F510C6">
        <w:t xml:space="preserve">EMB </w:t>
      </w:r>
      <w:r>
        <w:t>compared with</w:t>
      </w:r>
      <w:r w:rsidRPr="009B2B9F">
        <w:t xml:space="preserve"> clinical diagnosi</w:t>
      </w:r>
      <w:r>
        <w:t>s as reference standard</w:t>
      </w:r>
    </w:p>
    <w:p w14:paraId="653FD323" w14:textId="3C4C0A13" w:rsidR="000A4F12" w:rsidRDefault="000A4F12" w:rsidP="004C79C1">
      <w:pPr>
        <w:spacing w:after="120" w:line="240" w:lineRule="auto"/>
        <w:jc w:val="both"/>
      </w:pPr>
      <w:r>
        <w:t xml:space="preserve">One study, which included 136 patients who were admitted for the management of HF, compared the accuracy of </w:t>
      </w:r>
      <w:r w:rsidR="00F510C6">
        <w:t>EMB</w:t>
      </w:r>
      <w:r>
        <w:t xml:space="preserve"> with </w:t>
      </w:r>
      <w:r w:rsidR="00032C1A">
        <w:t>available diagnostic data</w:t>
      </w:r>
      <w:r>
        <w:t xml:space="preserve"> in diagnosing DCM </w:t>
      </w:r>
      <w:r>
        <w:fldChar w:fldCharType="begin"/>
      </w:r>
      <w:r>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fldChar w:fldCharType="separate"/>
      </w:r>
      <w:r>
        <w:rPr>
          <w:noProof/>
        </w:rPr>
        <w:t>(</w:t>
      </w:r>
      <w:hyperlink w:anchor="_ENREF_143" w:tooltip="Yoshida, 2013 #18" w:history="1">
        <w:r>
          <w:rPr>
            <w:noProof/>
          </w:rPr>
          <w:t>Yoshida, Ishibashi-Ueda et al. 2013</w:t>
        </w:r>
      </w:hyperlink>
      <w:r>
        <w:rPr>
          <w:noProof/>
        </w:rPr>
        <w:t>)</w:t>
      </w:r>
      <w:r>
        <w:fldChar w:fldCharType="end"/>
      </w:r>
      <w:r>
        <w:t xml:space="preserve">. The sensitivity and specificity of </w:t>
      </w:r>
      <w:r w:rsidR="0049037C">
        <w:t xml:space="preserve">EMB </w:t>
      </w:r>
      <w:r>
        <w:t xml:space="preserve">in diagnosing DCM were 0.89 (95%CI 0.77, 0.96) and 0.71 (95%CI 0.58, 0.79), respectively. </w:t>
      </w:r>
      <w:r w:rsidRPr="009B2B9F">
        <w:t xml:space="preserve">This study also assessed the accuracy of LGE-CMR </w:t>
      </w:r>
      <w:r>
        <w:t>compared with clinical diagnosis</w:t>
      </w:r>
      <w:r w:rsidR="003621F0">
        <w:t>.</w:t>
      </w:r>
      <w:r>
        <w:t xml:space="preserve"> </w:t>
      </w:r>
      <w:r w:rsidR="003621F0">
        <w:t>I</w:t>
      </w:r>
      <w:r>
        <w:t>ts sensitivity was similar (0.83; 95%CI 0.71, 0.92)</w:t>
      </w:r>
      <w:r w:rsidR="003621F0">
        <w:t>;</w:t>
      </w:r>
      <w:r>
        <w:t xml:space="preserve"> </w:t>
      </w:r>
      <w:r w:rsidR="003621F0">
        <w:t>h</w:t>
      </w:r>
      <w:r>
        <w:t xml:space="preserve">owever, the specificity of LGE-CMR was significantly higher than for </w:t>
      </w:r>
      <w:r w:rsidR="0049037C">
        <w:t xml:space="preserve">EMB </w:t>
      </w:r>
      <w:r>
        <w:t xml:space="preserve">when they were compared with clinical diagnosis (0.93, 95%CI 0.84, 0.98 vs 0.71, 95%CI 0.58, 0.79). The superior performance of LGE-CMR raises questions </w:t>
      </w:r>
      <w:r w:rsidR="003621F0">
        <w:t xml:space="preserve">about </w:t>
      </w:r>
      <w:r>
        <w:t xml:space="preserve">the suitability of </w:t>
      </w:r>
      <w:r w:rsidR="0049037C">
        <w:t xml:space="preserve">EMB </w:t>
      </w:r>
      <w:r>
        <w:t xml:space="preserve">as a reference standard. Thus, the proportion of patients that do not have DCM who are correctly identified would be higher with LGE-CMR compared with </w:t>
      </w:r>
      <w:r w:rsidR="0049037C">
        <w:t>EMB</w:t>
      </w:r>
      <w:r>
        <w:t xml:space="preserve">. However, this study does not inform on the accuracy of LGE-CMR and </w:t>
      </w:r>
      <w:r w:rsidR="0049037C">
        <w:t xml:space="preserve">EMB </w:t>
      </w:r>
      <w:r>
        <w:t>when used to determine whether DCM has an inflammatory cause or not.</w:t>
      </w:r>
    </w:p>
    <w:p w14:paraId="61BE8804" w14:textId="4D99E268" w:rsidR="00EE3BD7" w:rsidRDefault="003764FB" w:rsidP="00161B88">
      <w:pPr>
        <w:pStyle w:val="Heading3"/>
      </w:pPr>
      <w:bookmarkStart w:id="279" w:name="_Toc451501316"/>
      <w:r>
        <w:t>B3.6.</w:t>
      </w:r>
      <w:r w:rsidR="000A4F12">
        <w:t>3</w:t>
      </w:r>
      <w:r w:rsidR="00041584">
        <w:t xml:space="preserve"> Di</w:t>
      </w:r>
      <w:r>
        <w:t>agnostic accuracy of LGE-CMR in diagnosing whether DCM has a non-</w:t>
      </w:r>
      <w:r w:rsidR="00410DCD">
        <w:t>ischaemic</w:t>
      </w:r>
      <w:r>
        <w:t xml:space="preserve"> or </w:t>
      </w:r>
      <w:r w:rsidR="00410DCD">
        <w:t>ischaemic</w:t>
      </w:r>
      <w:r>
        <w:t xml:space="preserve"> cause</w:t>
      </w:r>
      <w:r w:rsidR="00041584">
        <w:t xml:space="preserve"> </w:t>
      </w:r>
      <w:r w:rsidR="000A4F12">
        <w:t>in patients with an intermediate risk of CAD</w:t>
      </w:r>
      <w:bookmarkEnd w:id="279"/>
    </w:p>
    <w:p w14:paraId="3DE99C8B" w14:textId="61D474CD" w:rsidR="00C81E2C" w:rsidRDefault="00C81E2C" w:rsidP="00161B88">
      <w:pPr>
        <w:pStyle w:val="Heading4"/>
      </w:pPr>
      <w:r>
        <w:t xml:space="preserve">Diagnostic accuracy of LGE-CMR compared with CTCA and ICA </w:t>
      </w:r>
    </w:p>
    <w:p w14:paraId="4627582A" w14:textId="3A413AA6" w:rsidR="00C81E2C" w:rsidRDefault="00C81E2C" w:rsidP="004C79C1">
      <w:pPr>
        <w:spacing w:after="120" w:line="240" w:lineRule="auto"/>
        <w:jc w:val="both"/>
      </w:pPr>
      <w:r>
        <w:t xml:space="preserve">CTCA, SPECT, </w:t>
      </w:r>
      <w:r w:rsidR="0090216D">
        <w:t>GHPS</w:t>
      </w:r>
      <w:r>
        <w:t xml:space="preserve">, contrast- and stress </w:t>
      </w:r>
      <w:r w:rsidR="000A6433">
        <w:t>echocardiography</w:t>
      </w:r>
      <w:r w:rsidR="0090216D">
        <w:t>,</w:t>
      </w:r>
      <w:r>
        <w:t xml:space="preserve"> and ICA were identified as the comparators for LGE-CMR</w:t>
      </w:r>
      <w:r w:rsidR="0090216D">
        <w:t>,</w:t>
      </w:r>
      <w:r>
        <w:t xml:space="preserve"> as shown in the p</w:t>
      </w:r>
      <w:r w:rsidRPr="000149EE">
        <w:t>roposed clinical pathway</w:t>
      </w:r>
      <w:r>
        <w:t>s</w:t>
      </w:r>
      <w:r w:rsidRPr="000149EE">
        <w:t xml:space="preserve"> </w:t>
      </w:r>
      <w:r>
        <w:t>(</w:t>
      </w:r>
      <w:r w:rsidR="00506E18">
        <w:fldChar w:fldCharType="begin"/>
      </w:r>
      <w:r w:rsidR="00506E18">
        <w:instrText xml:space="preserve"> REF _Ref451260101 \h </w:instrText>
      </w:r>
      <w:r w:rsidR="00506E18">
        <w:fldChar w:fldCharType="separate"/>
      </w:r>
      <w:r w:rsidR="00506E18">
        <w:t xml:space="preserve">Figure </w:t>
      </w:r>
      <w:r w:rsidR="00506E18">
        <w:rPr>
          <w:noProof/>
        </w:rPr>
        <w:t>2</w:t>
      </w:r>
      <w:r w:rsidR="00506E18">
        <w:fldChar w:fldCharType="end"/>
      </w:r>
      <w:r w:rsidR="00506E18">
        <w:t xml:space="preserve"> </w:t>
      </w:r>
      <w:r>
        <w:t xml:space="preserve">and </w:t>
      </w:r>
      <w:r w:rsidR="002B4060" w:rsidRPr="002B4060">
        <w:fldChar w:fldCharType="begin"/>
      </w:r>
      <w:r w:rsidR="002B4060" w:rsidRPr="002B4060">
        <w:instrText xml:space="preserve"> REF _Ref447807237 \h </w:instrText>
      </w:r>
      <w:r w:rsidR="002B4060">
        <w:instrText xml:space="preserve"> \* MERGEFORMAT </w:instrText>
      </w:r>
      <w:r w:rsidR="002B4060" w:rsidRPr="002B4060">
        <w:fldChar w:fldCharType="separate"/>
      </w:r>
      <w:r w:rsidR="002B4060" w:rsidRPr="002B4060">
        <w:t xml:space="preserve">Figure </w:t>
      </w:r>
      <w:r w:rsidR="002B4060" w:rsidRPr="002B4060">
        <w:rPr>
          <w:noProof/>
        </w:rPr>
        <w:t>4</w:t>
      </w:r>
      <w:r w:rsidR="002B4060" w:rsidRPr="002B4060">
        <w:fldChar w:fldCharType="end"/>
      </w:r>
      <w:r>
        <w:t xml:space="preserve">). One small study that included </w:t>
      </w:r>
      <w:r w:rsidRPr="006E1156">
        <w:t xml:space="preserve">28 patients suspected of DCM </w:t>
      </w:r>
      <w:r>
        <w:t>compared the accuracy of CTCA and LGE-</w:t>
      </w:r>
      <w:r>
        <w:lastRenderedPageBreak/>
        <w:t xml:space="preserve">CMR using ICA as the reference standard </w:t>
      </w:r>
      <w:r>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instrText xml:space="preserve"> ADDIN EN.CITE </w:instrText>
      </w:r>
      <w:r>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instrText xml:space="preserve"> ADDIN EN.CITE.DATA </w:instrText>
      </w:r>
      <w:r>
        <w:fldChar w:fldCharType="end"/>
      </w:r>
      <w:r>
        <w:fldChar w:fldCharType="separate"/>
      </w:r>
      <w:r>
        <w:rPr>
          <w:noProof/>
        </w:rPr>
        <w:t>(</w:t>
      </w:r>
      <w:hyperlink w:anchor="_ENREF_49" w:tooltip="Hamilton-Craig, 2012 #8" w:history="1">
        <w:r>
          <w:rPr>
            <w:noProof/>
          </w:rPr>
          <w:t>Hamilton-Craig et al. 2012</w:t>
        </w:r>
      </w:hyperlink>
      <w:r>
        <w:rPr>
          <w:noProof/>
        </w:rPr>
        <w:t>)</w:t>
      </w:r>
      <w:r>
        <w:fldChar w:fldCharType="end"/>
      </w:r>
      <w:r>
        <w:t xml:space="preserve">, and </w:t>
      </w:r>
      <w:r w:rsidR="00CF5EA7">
        <w:t xml:space="preserve">2 </w:t>
      </w:r>
      <w:r>
        <w:t xml:space="preserve">studies were identified comparing ICA and LGE-CMR with </w:t>
      </w:r>
      <w:r w:rsidR="00032C1A">
        <w:t>available diagnostic data</w:t>
      </w:r>
      <w:r>
        <w:t xml:space="preserve"> as the reference standard. When a separate search was conducted for </w:t>
      </w:r>
      <w:r w:rsidR="000E4FF4">
        <w:t>SR</w:t>
      </w:r>
      <w:r>
        <w:t xml:space="preserve">s on the diagnostic performance of comparator tests in the eligible patient population to obtain more diagnostic information on the comparators, no </w:t>
      </w:r>
      <w:r w:rsidR="000E4FF4">
        <w:t>SR</w:t>
      </w:r>
      <w:r>
        <w:t>s were identified (see sec</w:t>
      </w:r>
      <w:r w:rsidR="00520D5A">
        <w:t xml:space="preserve">tion </w:t>
      </w:r>
      <w:r w:rsidR="00520D5A">
        <w:fldChar w:fldCharType="begin"/>
      </w:r>
      <w:r w:rsidR="00520D5A">
        <w:instrText xml:space="preserve"> REF _Ref445468632 \n \h </w:instrText>
      </w:r>
      <w:r w:rsidR="00520D5A">
        <w:fldChar w:fldCharType="separate"/>
      </w:r>
      <w:r w:rsidR="00520D5A">
        <w:t>B3.2</w:t>
      </w:r>
      <w:r w:rsidR="00520D5A">
        <w:fldChar w:fldCharType="end"/>
      </w:r>
      <w:r>
        <w:t>).</w:t>
      </w:r>
    </w:p>
    <w:p w14:paraId="6E6E0AA9" w14:textId="1FFB95BA" w:rsidR="00C81E2C" w:rsidRDefault="00C81E2C" w:rsidP="004C79C1">
      <w:pPr>
        <w:spacing w:after="120" w:line="240" w:lineRule="auto"/>
        <w:jc w:val="both"/>
      </w:pPr>
      <w:r>
        <w:t xml:space="preserve">No studies that were included for diagnostic performance compared LGE-CMR and SPECT with a common reference standard. </w:t>
      </w:r>
    </w:p>
    <w:p w14:paraId="0E9BF992" w14:textId="71745E62" w:rsidR="00C81E2C" w:rsidRPr="00C8750D" w:rsidRDefault="00C81E2C" w:rsidP="004C79C1">
      <w:pPr>
        <w:spacing w:after="120" w:line="240" w:lineRule="auto"/>
        <w:jc w:val="both"/>
      </w:pPr>
      <w:r w:rsidRPr="002B4060">
        <w:fldChar w:fldCharType="begin"/>
      </w:r>
      <w:r w:rsidRPr="002B4060">
        <w:instrText xml:space="preserve"> REF _Ref445819768 \h </w:instrText>
      </w:r>
      <w:r w:rsidR="002B4060">
        <w:instrText xml:space="preserve"> \* MERGEFORMAT </w:instrText>
      </w:r>
      <w:r w:rsidRPr="002B4060">
        <w:fldChar w:fldCharType="separate"/>
      </w:r>
      <w:proofErr w:type="gramStart"/>
      <w:r w:rsidR="00B840E2" w:rsidRPr="002B4060">
        <w:rPr>
          <w:bCs/>
        </w:rPr>
        <w:t xml:space="preserve">Figure </w:t>
      </w:r>
      <w:r w:rsidR="00B840E2" w:rsidRPr="002B4060">
        <w:rPr>
          <w:noProof/>
        </w:rPr>
        <w:t>9</w:t>
      </w:r>
      <w:r w:rsidRPr="002B4060">
        <w:fldChar w:fldCharType="end"/>
      </w:r>
      <w:r w:rsidRPr="002B4060">
        <w:t xml:space="preserve"> shows that both CTCA and LGE-CMR are both highly sensitive when ICA was used as the</w:t>
      </w:r>
      <w:r>
        <w:t xml:space="preserve"> reference standard.</w:t>
      </w:r>
      <w:proofErr w:type="gramEnd"/>
      <w:r>
        <w:t xml:space="preserve"> The specificity appeared to be much higher for CTCA than for LGE-CMR (1.00, 95%CI 0.59, 1.00 </w:t>
      </w:r>
      <w:r w:rsidR="00E222B7">
        <w:t xml:space="preserve">vs </w:t>
      </w:r>
      <w:r>
        <w:t>0.71. 95%CI 0.29, 0.96, respectively)</w:t>
      </w:r>
      <w:r w:rsidR="00E222B7">
        <w:t>,</w:t>
      </w:r>
      <w:r>
        <w:t xml:space="preserve"> but the wide </w:t>
      </w:r>
      <w:r w:rsidR="00A36223">
        <w:t>CI</w:t>
      </w:r>
      <w:r>
        <w:t>s overlapped. The lack of significance was most likely d</w:t>
      </w:r>
      <w:r w:rsidRPr="006E1156">
        <w:t>ue to the small size</w:t>
      </w:r>
      <w:r>
        <w:t xml:space="preserve"> of the study. Consequently,</w:t>
      </w:r>
      <w:r w:rsidRPr="006E1156">
        <w:t xml:space="preserve"> </w:t>
      </w:r>
      <w:r>
        <w:t xml:space="preserve">any conclusions regarding the comparative accuracy of the </w:t>
      </w:r>
      <w:r w:rsidR="00E222B7">
        <w:t xml:space="preserve">2 </w:t>
      </w:r>
      <w:r>
        <w:t>tests should be tentative.</w:t>
      </w:r>
    </w:p>
    <w:p w14:paraId="10C21967" w14:textId="77777777" w:rsidR="00C81E2C" w:rsidRPr="002B4060" w:rsidRDefault="00C81E2C" w:rsidP="004C79C1">
      <w:pPr>
        <w:keepNext/>
        <w:spacing w:after="120" w:line="240" w:lineRule="auto"/>
        <w:ind w:left="-672"/>
      </w:pPr>
      <w:r w:rsidRPr="002B4060">
        <w:rPr>
          <w:noProof/>
        </w:rPr>
        <w:drawing>
          <wp:inline distT="0" distB="0" distL="0" distR="0" wp14:anchorId="6D59A026" wp14:editId="2261D3F5">
            <wp:extent cx="6640894" cy="1409700"/>
            <wp:effectExtent l="0" t="0" r="7620" b="0"/>
            <wp:docPr id="55" name="Picture 55" title="Forest plot showing the sensitivity and specificity of CTCA and LGE-CMR compared with ICA in diagnosing whether HF symptoms are of ischaemic aetiology (true positive = non-ischaemic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 april picture5.png"/>
                    <pic:cNvPicPr/>
                  </pic:nvPicPr>
                  <pic:blipFill>
                    <a:blip r:embed="rId31">
                      <a:extLst>
                        <a:ext uri="{28A0092B-C50C-407E-A947-70E740481C1C}">
                          <a14:useLocalDpi xmlns:a14="http://schemas.microsoft.com/office/drawing/2010/main" val="0"/>
                        </a:ext>
                      </a:extLst>
                    </a:blip>
                    <a:stretch>
                      <a:fillRect/>
                    </a:stretch>
                  </pic:blipFill>
                  <pic:spPr>
                    <a:xfrm>
                      <a:off x="0" y="0"/>
                      <a:ext cx="6643947" cy="1410348"/>
                    </a:xfrm>
                    <a:prstGeom prst="rect">
                      <a:avLst/>
                    </a:prstGeom>
                  </pic:spPr>
                </pic:pic>
              </a:graphicData>
            </a:graphic>
          </wp:inline>
        </w:drawing>
      </w:r>
    </w:p>
    <w:p w14:paraId="01554336" w14:textId="77777777" w:rsidR="00C81E2C" w:rsidRDefault="00C81E2C" w:rsidP="004C79C1">
      <w:pPr>
        <w:pStyle w:val="Caption"/>
      </w:pPr>
      <w:bookmarkStart w:id="280" w:name="_Ref445819768"/>
      <w:bookmarkStart w:id="281" w:name="_Toc324410134"/>
      <w:bookmarkStart w:id="282" w:name="_Toc451435455"/>
      <w:r w:rsidRPr="002B4060">
        <w:t xml:space="preserve">Figure </w:t>
      </w:r>
      <w:r w:rsidR="009A4FB1" w:rsidRPr="002B7CEB">
        <w:fldChar w:fldCharType="begin"/>
      </w:r>
      <w:r w:rsidR="009A4FB1" w:rsidRPr="002B4060">
        <w:instrText xml:space="preserve"> SEQ Figure \* ARABIC </w:instrText>
      </w:r>
      <w:r w:rsidR="009A4FB1" w:rsidRPr="002B7CEB">
        <w:fldChar w:fldCharType="separate"/>
      </w:r>
      <w:r w:rsidR="00050936" w:rsidRPr="002B4060">
        <w:rPr>
          <w:noProof/>
        </w:rPr>
        <w:t>9</w:t>
      </w:r>
      <w:r w:rsidR="009A4FB1" w:rsidRPr="002B7CEB">
        <w:rPr>
          <w:noProof/>
        </w:rPr>
        <w:fldChar w:fldCharType="end"/>
      </w:r>
      <w:bookmarkEnd w:id="280"/>
      <w:r w:rsidRPr="002B4060">
        <w:rPr>
          <w:noProof/>
        </w:rPr>
        <w:tab/>
      </w:r>
      <w:r w:rsidRPr="002B4060">
        <w:t>Forest plot showing the sensitivity and specificity of CTCA and LGE-CMR compared with ICA in diagnosing whether HF symptoms are of ischaemic aetiology (true positive = non-ischaemic DCM)</w:t>
      </w:r>
      <w:bookmarkEnd w:id="281"/>
      <w:bookmarkEnd w:id="282"/>
    </w:p>
    <w:p w14:paraId="3F002A56" w14:textId="77777777" w:rsidR="00C81E2C" w:rsidRDefault="00C81E2C" w:rsidP="004C79C1">
      <w:pPr>
        <w:pStyle w:val="Caption"/>
      </w:pPr>
    </w:p>
    <w:p w14:paraId="0464F62B" w14:textId="2F87DC12" w:rsidR="00C81E2C" w:rsidRPr="00BF51C1" w:rsidRDefault="00D24378" w:rsidP="004C79C1">
      <w:pPr>
        <w:spacing w:after="120" w:line="240" w:lineRule="auto"/>
        <w:jc w:val="both"/>
      </w:pPr>
      <w:r w:rsidRPr="002B4060">
        <w:fldChar w:fldCharType="begin"/>
      </w:r>
      <w:r w:rsidRPr="002B4060">
        <w:instrText xml:space="preserve"> REF _Ref451260570 \h </w:instrText>
      </w:r>
      <w:r w:rsidR="002B4060">
        <w:instrText xml:space="preserve"> \* MERGEFORMAT </w:instrText>
      </w:r>
      <w:r w:rsidRPr="002B4060">
        <w:fldChar w:fldCharType="separate"/>
      </w:r>
      <w:r w:rsidRPr="002B4060">
        <w:t xml:space="preserve">Figure </w:t>
      </w:r>
      <w:r w:rsidRPr="002B4060">
        <w:rPr>
          <w:noProof/>
        </w:rPr>
        <w:t>10</w:t>
      </w:r>
      <w:r w:rsidRPr="002B4060">
        <w:fldChar w:fldCharType="end"/>
      </w:r>
      <w:r w:rsidR="00C81E2C" w:rsidRPr="002B4060">
        <w:t xml:space="preserve"> shows the sensitivity and specificity of ICA and LGE-CMR with </w:t>
      </w:r>
      <w:r w:rsidR="00032C1A">
        <w:t>available diagnostic data</w:t>
      </w:r>
      <w:r w:rsidR="00C81E2C" w:rsidRPr="002B4060">
        <w:t xml:space="preserve"> as the reference</w:t>
      </w:r>
      <w:r w:rsidR="00C81E2C">
        <w:t xml:space="preserve"> standard. These studies were also included in section B3.6.4, comparing ICA with </w:t>
      </w:r>
      <w:r w:rsidR="00032C1A">
        <w:t>available diagnostic data</w:t>
      </w:r>
      <w:r w:rsidR="00C81E2C">
        <w:t>. It is shown that</w:t>
      </w:r>
      <w:r w:rsidR="00AE14A3">
        <w:t>,</w:t>
      </w:r>
      <w:r w:rsidR="00C81E2C">
        <w:t xml:space="preserve"> in the larger study, there is no difference in sensitivity and specificity between ICA and LGE-CMR. The smaller study shows a lower specificity with ICA, although this difference is not statistically significant, </w:t>
      </w:r>
      <w:r w:rsidR="00AE14A3">
        <w:t xml:space="preserve">and is </w:t>
      </w:r>
      <w:r w:rsidR="00C81E2C">
        <w:t xml:space="preserve">possibly due to the small sample size. </w:t>
      </w:r>
    </w:p>
    <w:p w14:paraId="30449528" w14:textId="77777777" w:rsidR="00C81E2C" w:rsidRDefault="00C81E2C" w:rsidP="004C79C1">
      <w:pPr>
        <w:keepNext/>
        <w:spacing w:after="120" w:line="240" w:lineRule="auto"/>
        <w:ind w:left="-210"/>
      </w:pPr>
      <w:r>
        <w:rPr>
          <w:noProof/>
        </w:rPr>
        <w:drawing>
          <wp:inline distT="0" distB="0" distL="0" distR="0" wp14:anchorId="1E0D251D" wp14:editId="4188CEFD">
            <wp:extent cx="6356985" cy="2590586"/>
            <wp:effectExtent l="0" t="0" r="5715" b="635"/>
            <wp:docPr id="56" name="Picture 56" descr="Forest plot showing the sensitivity and specificity of ICA and LGE-CMR compared with clinical data in diagnosing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CA vs LGE.png"/>
                    <pic:cNvPicPr/>
                  </pic:nvPicPr>
                  <pic:blipFill>
                    <a:blip r:embed="rId32">
                      <a:extLst>
                        <a:ext uri="{28A0092B-C50C-407E-A947-70E740481C1C}">
                          <a14:useLocalDpi xmlns:a14="http://schemas.microsoft.com/office/drawing/2010/main" val="0"/>
                        </a:ext>
                      </a:extLst>
                    </a:blip>
                    <a:stretch>
                      <a:fillRect/>
                    </a:stretch>
                  </pic:blipFill>
                  <pic:spPr>
                    <a:xfrm>
                      <a:off x="0" y="0"/>
                      <a:ext cx="6378308" cy="2599275"/>
                    </a:xfrm>
                    <a:prstGeom prst="rect">
                      <a:avLst/>
                    </a:prstGeom>
                  </pic:spPr>
                </pic:pic>
              </a:graphicData>
            </a:graphic>
          </wp:inline>
        </w:drawing>
      </w:r>
    </w:p>
    <w:p w14:paraId="521AE896" w14:textId="31F597E7" w:rsidR="00C81E2C" w:rsidRPr="00BF51C1" w:rsidRDefault="00C81E2C" w:rsidP="004C79C1">
      <w:pPr>
        <w:pStyle w:val="Caption"/>
      </w:pPr>
      <w:bookmarkStart w:id="283" w:name="_Ref451260570"/>
      <w:bookmarkStart w:id="284" w:name="_Toc324410135"/>
      <w:bookmarkStart w:id="285" w:name="_Toc451435456"/>
      <w:r w:rsidRPr="002B4060">
        <w:t xml:space="preserve">Figure </w:t>
      </w:r>
      <w:r w:rsidR="009E663F" w:rsidRPr="00EE130A">
        <w:fldChar w:fldCharType="begin"/>
      </w:r>
      <w:r w:rsidR="009E663F" w:rsidRPr="002B4060">
        <w:instrText xml:space="preserve"> SEQ Figure \* ARABIC </w:instrText>
      </w:r>
      <w:r w:rsidR="009E663F" w:rsidRPr="00EE130A">
        <w:fldChar w:fldCharType="separate"/>
      </w:r>
      <w:r w:rsidR="00050936" w:rsidRPr="002B4060">
        <w:rPr>
          <w:noProof/>
        </w:rPr>
        <w:t>10</w:t>
      </w:r>
      <w:r w:rsidR="009E663F" w:rsidRPr="00EE130A">
        <w:rPr>
          <w:noProof/>
        </w:rPr>
        <w:fldChar w:fldCharType="end"/>
      </w:r>
      <w:bookmarkEnd w:id="283"/>
      <w:r w:rsidRPr="002B4060">
        <w:t xml:space="preserve"> </w:t>
      </w:r>
      <w:r w:rsidR="00947CDE" w:rsidRPr="002B4060">
        <w:tab/>
      </w:r>
      <w:r w:rsidRPr="002B4060">
        <w:t xml:space="preserve">Forest plot showing the sensitivity and specificity of ICA and LGE-CMR compared with </w:t>
      </w:r>
      <w:r w:rsidR="00032C1A">
        <w:t>available diagnostic data</w:t>
      </w:r>
      <w:r w:rsidRPr="002B4060">
        <w:t xml:space="preserve"> in diagnosing NIDCM</w:t>
      </w:r>
      <w:bookmarkEnd w:id="284"/>
      <w:bookmarkEnd w:id="285"/>
    </w:p>
    <w:p w14:paraId="28875BAA" w14:textId="0B3EFCB9" w:rsidR="00C81E2C" w:rsidRDefault="00C81E2C" w:rsidP="00161B88">
      <w:pPr>
        <w:pStyle w:val="Heading4"/>
      </w:pPr>
      <w:r>
        <w:lastRenderedPageBreak/>
        <w:t>Diagnostic accuracy of LGE-CMR compared with ICA as reference standard</w:t>
      </w:r>
    </w:p>
    <w:p w14:paraId="3AFCBE86" w14:textId="078E28F3" w:rsidR="00E61747" w:rsidRPr="000A4AF9" w:rsidRDefault="00E61747" w:rsidP="004C79C1">
      <w:pPr>
        <w:spacing w:after="120" w:line="240" w:lineRule="auto"/>
        <w:jc w:val="both"/>
        <w:rPr>
          <w:rFonts w:asciiTheme="minorHAnsi" w:hAnsiTheme="minorHAnsi"/>
        </w:rPr>
      </w:pPr>
      <w:r>
        <w:t xml:space="preserve">Six studies investigated the diagnostic accuracy of LGE-CMR compared with ICA in the eligible patient population, to determine whether the cause of the symptoms was </w:t>
      </w:r>
      <w:r w:rsidR="00410DCD">
        <w:t>ischaemic</w:t>
      </w:r>
      <w:r>
        <w:t xml:space="preserve"> or non-</w:t>
      </w:r>
      <w:r w:rsidR="00410DCD">
        <w:t>ischaemic</w:t>
      </w:r>
      <w:r>
        <w:t xml:space="preserve">. The overall quality of the evidence provided by these studies in assessing the diagnostic accuracy of LGE-CMR compared with ICA was assessed using GRADE </w:t>
      </w:r>
      <w:r>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 </w:instrText>
      </w:r>
      <w:r w:rsidR="00187A29">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EN.CITE.DATA </w:instrText>
      </w:r>
      <w:r w:rsidR="00187A29">
        <w:fldChar w:fldCharType="end"/>
      </w:r>
      <w:r>
        <w:fldChar w:fldCharType="separate"/>
      </w:r>
      <w:r>
        <w:rPr>
          <w:noProof/>
        </w:rPr>
        <w:t>(</w:t>
      </w:r>
      <w:hyperlink w:anchor="_ENREF_48" w:tooltip="Guyatt, 2011 #123" w:history="1">
        <w:r w:rsidR="00B906E9">
          <w:rPr>
            <w:noProof/>
          </w:rPr>
          <w:t>Guyatt et al. 2011</w:t>
        </w:r>
      </w:hyperlink>
      <w:r>
        <w:rPr>
          <w:noProof/>
        </w:rPr>
        <w:t>)</w:t>
      </w:r>
      <w:r>
        <w:fldChar w:fldCharType="end"/>
      </w:r>
      <w:r>
        <w:t xml:space="preserve">, and the results are presented in </w:t>
      </w:r>
      <w:r w:rsidR="000A4AF9">
        <w:rPr>
          <w:highlight w:val="cyan"/>
        </w:rPr>
        <w:fldChar w:fldCharType="begin"/>
      </w:r>
      <w:r w:rsidR="000A4AF9">
        <w:instrText xml:space="preserve"> REF _Ref445994214 \h </w:instrText>
      </w:r>
      <w:r w:rsidR="000A4AF9">
        <w:rPr>
          <w:highlight w:val="cyan"/>
        </w:rPr>
      </w:r>
      <w:r w:rsidR="000A4AF9">
        <w:rPr>
          <w:highlight w:val="cyan"/>
        </w:rPr>
        <w:fldChar w:fldCharType="separate"/>
      </w:r>
      <w:r w:rsidR="00520D5A" w:rsidRPr="000A4AF9">
        <w:t xml:space="preserve">Table </w:t>
      </w:r>
      <w:r w:rsidR="00520D5A">
        <w:rPr>
          <w:noProof/>
        </w:rPr>
        <w:t>13</w:t>
      </w:r>
      <w:r w:rsidR="000A4AF9">
        <w:rPr>
          <w:highlight w:val="cyan"/>
        </w:rPr>
        <w:fldChar w:fldCharType="end"/>
      </w:r>
      <w:r>
        <w:t xml:space="preserve">. </w:t>
      </w:r>
      <w:r w:rsidR="000A4AF9">
        <w:t>The evidence base for this section was graded as low (</w:t>
      </w:r>
      <w:r w:rsidR="000A4AF9">
        <w:rPr>
          <w:rFonts w:ascii="Cambria Math" w:hAnsi="Cambria Math"/>
          <w:color w:val="00B050"/>
        </w:rPr>
        <w:t>⨁⨁</w:t>
      </w:r>
      <w:r w:rsidR="000A4AF9" w:rsidRPr="00D4733A">
        <w:rPr>
          <w:rFonts w:ascii="Cambria Math" w:hAnsi="Cambria Math" w:cs="Cambria Math"/>
          <w:color w:val="C00000"/>
        </w:rPr>
        <w:t>⨀⨀</w:t>
      </w:r>
      <w:r w:rsidR="000A4AF9" w:rsidRPr="000A4AF9">
        <w:t>) quality</w:t>
      </w:r>
      <w:r w:rsidR="000A4AF9">
        <w:t>.</w:t>
      </w:r>
    </w:p>
    <w:p w14:paraId="29BE8836" w14:textId="73FE773E" w:rsidR="003E2A1D" w:rsidRDefault="008D425E" w:rsidP="004C79C1">
      <w:pPr>
        <w:spacing w:after="120" w:line="240" w:lineRule="auto"/>
        <w:jc w:val="both"/>
      </w:pPr>
      <w:r>
        <w:t xml:space="preserve">Different cut-off values </w:t>
      </w:r>
      <w:r w:rsidR="00482A39">
        <w:t xml:space="preserve">for </w:t>
      </w:r>
      <w:r>
        <w:t>ICA were used</w:t>
      </w:r>
      <w:r w:rsidR="00482A39" w:rsidRPr="00482A39">
        <w:t xml:space="preserve"> </w:t>
      </w:r>
      <w:r w:rsidR="00482A39">
        <w:t>for diagnosing ischaemia</w:t>
      </w:r>
      <w:r>
        <w:t xml:space="preserve">: </w:t>
      </w:r>
      <w:r w:rsidR="00482A39">
        <w:t xml:space="preserve">a cut-off of </w:t>
      </w:r>
      <w:r>
        <w:t>50%</w:t>
      </w:r>
      <w:r w:rsidR="00482A39">
        <w:t xml:space="preserve"> diameter stenosis (DS) in ≥1 coronary arteries was used in 3 studies</w:t>
      </w:r>
      <w:r w:rsidR="004908AC">
        <w:t xml:space="preserve"> </w:t>
      </w:r>
      <w:r w:rsidR="00187A29">
        <w:fldChar w:fldCharType="begin">
          <w:fldData xml:space="preserve">PEVuZE5vdGU+PENpdGU+PEF1dGhvcj5IYW1pbHRvbi1DcmFpZzwvQXV0aG9yPjxZZWFyPjIwMTI8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dGl0bGVzPjxwZXJpb2RpY2FsPjxmdWxsLXRpdGxlPkNpcmN1bGF0aW9uPC9mdWxsLXRpdGxlPjwv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</w:fldData>
        </w:fldChar>
      </w:r>
      <w:r w:rsidR="00187A29">
        <w:instrText xml:space="preserve"> ADDIN EN.CITE </w:instrText>
      </w:r>
      <w:r w:rsidR="00187A29">
        <w:fldChar w:fldCharType="begin">
          <w:fldData xml:space="preserve">PEVuZE5vdGU+PENpdGU+PEF1dGhvcj5IYW1pbHRvbi1DcmFpZzwvQXV0aG9yPjxZZWFyPjIwMTI8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dGl0bGVzPjxwZXJpb2RpY2FsPjxmdWxsLXRpdGxlPkNpcmN1bGF0aW9uPC9mdWxsLXRpdGxlPjwv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</w:fldData>
        </w:fldChar>
      </w:r>
      <w:r w:rsidR="00187A29">
        <w:instrText xml:space="preserve"> ADDIN EN.CITE.DATA </w:instrText>
      </w:r>
      <w:r w:rsidR="00187A29">
        <w:fldChar w:fldCharType="end"/>
      </w:r>
      <w:r w:rsidR="00187A29">
        <w:fldChar w:fldCharType="separate"/>
      </w:r>
      <w:r w:rsidR="00187A29">
        <w:rPr>
          <w:noProof/>
        </w:rPr>
        <w:t>(</w:t>
      </w:r>
      <w:hyperlink w:anchor="_ENREF_49" w:tooltip="Hamilton-Craig, 2012 #8" w:history="1">
        <w:r w:rsidR="00B906E9">
          <w:rPr>
            <w:noProof/>
          </w:rPr>
          <w:t>Hamilton-Craig et al. 2012</w:t>
        </w:r>
      </w:hyperlink>
      <w:r w:rsidR="00187A29">
        <w:rPr>
          <w:noProof/>
        </w:rPr>
        <w:t xml:space="preserve">; </w:t>
      </w:r>
      <w:hyperlink w:anchor="_ENREF_77" w:tooltip="McCrohon, 2003 #9" w:history="1">
        <w:r w:rsidR="00B906E9">
          <w:rPr>
            <w:noProof/>
          </w:rPr>
          <w:t>McCrohon et al. 2003</w:t>
        </w:r>
      </w:hyperlink>
      <w:r w:rsidR="00187A29">
        <w:rPr>
          <w:noProof/>
        </w:rPr>
        <w:t xml:space="preserve">; </w:t>
      </w:r>
      <w:hyperlink w:anchor="_ENREF_85" w:tooltip="Mor-Avi, 2008 #10" w:history="1">
        <w:r w:rsidR="00B906E9">
          <w:rPr>
            <w:noProof/>
          </w:rPr>
          <w:t>Mor-Avi et al. 2008</w:t>
        </w:r>
      </w:hyperlink>
      <w:r w:rsidR="00187A29">
        <w:rPr>
          <w:noProof/>
        </w:rPr>
        <w:t>)</w:t>
      </w:r>
      <w:r w:rsidR="00187A29">
        <w:fldChar w:fldCharType="end"/>
      </w:r>
      <w:r>
        <w:t xml:space="preserve">, 70% </w:t>
      </w:r>
      <w:r w:rsidR="00482A39">
        <w:t xml:space="preserve">DS in 2 </w:t>
      </w:r>
      <w:r w:rsidR="00187A29">
        <w:fldChar w:fldCharType="begin">
          <w:fldData xml:space="preserve">PEVuZE5vdGU+PENpdGU+PEF1dGhvcj5WYWxsZS1NdW5vejwvQXV0aG9yPjxZZWFyPjIwMDk8L1ll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</w:fldData>
        </w:fldChar>
      </w:r>
      <w:r w:rsidR="00187A29">
        <w:instrText xml:space="preserve"> ADDIN EN.CITE </w:instrText>
      </w:r>
      <w:r w:rsidR="00187A29">
        <w:fldChar w:fldCharType="begin">
          <w:fldData xml:space="preserve">PEVuZE5vdGU+PENpdGU+PEF1dGhvcj5WYWxsZS1NdW5vejwvQXV0aG9yPjxZZWFyPjIwMDk8L1ll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</w:fldData>
        </w:fldChar>
      </w:r>
      <w:r w:rsidR="00187A29">
        <w:instrText xml:space="preserve"> ADDIN EN.CITE.DATA </w:instrText>
      </w:r>
      <w:r w:rsidR="00187A29">
        <w:fldChar w:fldCharType="end"/>
      </w:r>
      <w:r w:rsidR="00187A29">
        <w:fldChar w:fldCharType="separate"/>
      </w:r>
      <w:r w:rsidR="00187A29">
        <w:rPr>
          <w:noProof/>
        </w:rPr>
        <w:t>(</w:t>
      </w:r>
      <w:hyperlink w:anchor="_ENREF_130" w:tooltip="Valle-Munoz, 2009 #4" w:history="1">
        <w:r w:rsidR="00B906E9">
          <w:rPr>
            <w:noProof/>
          </w:rPr>
          <w:t>Valle-Munoz et al. 2009</w:t>
        </w:r>
      </w:hyperlink>
      <w:r w:rsidR="00187A29">
        <w:rPr>
          <w:noProof/>
        </w:rPr>
        <w:t xml:space="preserve">; </w:t>
      </w:r>
      <w:hyperlink w:anchor="_ENREF_137" w:tooltip="Won, 2015 #16" w:history="1">
        <w:r w:rsidR="00B906E9">
          <w:rPr>
            <w:noProof/>
          </w:rPr>
          <w:t>Won et al. 2015</w:t>
        </w:r>
      </w:hyperlink>
      <w:r w:rsidR="00187A29">
        <w:rPr>
          <w:noProof/>
        </w:rPr>
        <w:t>)</w:t>
      </w:r>
      <w:r w:rsidR="00187A29">
        <w:fldChar w:fldCharType="end"/>
      </w:r>
      <w:r w:rsidR="004908AC">
        <w:t xml:space="preserve"> </w:t>
      </w:r>
      <w:r w:rsidR="00482A39">
        <w:t>and</w:t>
      </w:r>
      <w:r>
        <w:t xml:space="preserve"> 75%</w:t>
      </w:r>
      <w:r w:rsidR="00482A39">
        <w:t xml:space="preserve"> DS in 1</w:t>
      </w:r>
      <w:r>
        <w:t xml:space="preserve"> </w:t>
      </w:r>
      <w:r w:rsidR="00187A29">
        <w:fldChar w:fldCharType="begin"/>
      </w:r>
      <w:r w:rsidR="00187A29">
        <w:instrText xml:space="preserve"> ADDIN EN.CITE &lt;EndNote&gt;&lt;Cite&gt;&lt;Author&gt;Casolo&lt;/Author&gt;&lt;Year&gt;2006&lt;/Year&gt;&lt;RecNum&gt;2&lt;/RecNum&gt;&lt;IDText&gt;101-8&lt;/IDText&gt;&lt;DisplayText&gt;(Casolo et al. 2006)&lt;/DisplayText&gt;&lt;record&gt;&lt;rec-number&gt;2&lt;/rec-number&gt;&lt;foreign-keys&gt;&lt;key app="EN" db-id="pfxxvref0t0a5de2vwnv2fwkz0p9v0r2fw0t" timestamp="1457058876"&gt;2&lt;/key&gt;&lt;/foreign-keys&gt;&lt;ref-type name="Journal Article"&gt;17&lt;/ref-type&gt;&lt;contributors&gt;&lt;authors&gt;&lt;author&gt;Casolo, G.&lt;/author&gt;&lt;author&gt;Minneci, S.&lt;/author&gt;&lt;author&gt;Manta, R.&lt;/author&gt;&lt;author&gt;Sulla, A.&lt;/author&gt;&lt;author&gt;Del Meglio, J.&lt;/author&gt;&lt;author&gt;Rega, L.&lt;/author&gt;&lt;author&gt;Gensini, G.&lt;/author&gt;&lt;/authors&gt;&lt;/contributors&gt;&lt;titles&gt;&lt;title&gt;Identification of the ischemic etiology of heart failure by cardiovascular magnetic resonance imaging: diagnostic accuracy of late gadolinium enhancement&lt;/title&gt;&lt;secondary-title&gt;Am Heart J&lt;/secondary-title&gt;&lt;/titles&gt;&lt;periodical&gt;&lt;full-title&gt;Am Heart J&lt;/full-title&gt;&lt;/periodical&gt;&lt;pages&gt;101-8&lt;/pages&gt;&lt;volume&gt;151&lt;/volume&gt;&lt;number&gt;1&lt;/number&gt;&lt;dates&gt;&lt;year&gt;2006&lt;/year&gt;&lt;pub-dates&gt;&lt;date&gt;2006-01-01&lt;/date&gt;&lt;/pub-dates&gt;&lt;/dates&gt;&lt;isbn&gt;0002-8703&lt;/isbn&gt;&lt;urls&gt;&lt;related-urls&gt;&lt;url&gt;http://ac.els-cdn.com/S0002870305005363/1-s2.0-S0002870305005363-main.pdf?_tid=d2e94240-df40-11e5-a8f6-00000aacb361&amp;amp;acdnat=1456790701_17724884da4acad6fb0a04b5ce90829f&lt;/url&gt;&lt;/related-urls&gt;&lt;/urls&gt;&lt;custom1&gt;RAYYAN-INCLUSION: {&amp;quot;Skye&amp;quot;=&amp;gt;true}&lt;/custom1&gt;&lt;language&gt;eng&lt;/language&gt;&lt;/record&gt;&lt;/Cite&gt;&lt;/EndNote&gt;</w:instrText>
      </w:r>
      <w:r w:rsidR="00187A29">
        <w:fldChar w:fldCharType="separate"/>
      </w:r>
      <w:r w:rsidR="00187A29">
        <w:rPr>
          <w:noProof/>
        </w:rPr>
        <w:t>(</w:t>
      </w:r>
      <w:hyperlink w:anchor="_ENREF_21" w:tooltip="Casolo, 2006 #2" w:history="1">
        <w:r w:rsidR="00B906E9">
          <w:rPr>
            <w:noProof/>
          </w:rPr>
          <w:t>Casolo et al. 2006</w:t>
        </w:r>
      </w:hyperlink>
      <w:r w:rsidR="00187A29">
        <w:rPr>
          <w:noProof/>
        </w:rPr>
        <w:t>)</w:t>
      </w:r>
      <w:r w:rsidR="00187A29">
        <w:fldChar w:fldCharType="end"/>
      </w:r>
      <w:r>
        <w:t xml:space="preserve">. Due to the differences in patient population and reference standards used, no meta-analysis </w:t>
      </w:r>
      <w:r w:rsidR="00E61747">
        <w:t>was</w:t>
      </w:r>
      <w:r>
        <w:t xml:space="preserve"> conducted. </w:t>
      </w:r>
      <w:r w:rsidR="00E851A5">
        <w:t xml:space="preserve">The sensitivities and specificities of the included studies </w:t>
      </w:r>
      <w:r w:rsidR="004908AC">
        <w:t xml:space="preserve">(based on the 2x2 data extracted) </w:t>
      </w:r>
      <w:r w:rsidR="00E851A5">
        <w:t>are shown in</w:t>
      </w:r>
      <w:r w:rsidR="00D05620">
        <w:t xml:space="preserve"> a forest plot in</w:t>
      </w:r>
      <w:r w:rsidR="00E851A5">
        <w:t xml:space="preserve"> </w:t>
      </w:r>
      <w:r w:rsidR="00CE1EB3">
        <w:fldChar w:fldCharType="begin"/>
      </w:r>
      <w:r w:rsidR="00CE1EB3">
        <w:instrText xml:space="preserve"> REF _Ref445457133 \h </w:instrText>
      </w:r>
      <w:r w:rsidR="00CE1EB3">
        <w:fldChar w:fldCharType="separate"/>
      </w:r>
      <w:r w:rsidR="00D24378">
        <w:t xml:space="preserve">Figure </w:t>
      </w:r>
      <w:r w:rsidR="00D24378">
        <w:rPr>
          <w:noProof/>
        </w:rPr>
        <w:t>11</w:t>
      </w:r>
      <w:r w:rsidR="00CE1EB3">
        <w:fldChar w:fldCharType="end"/>
      </w:r>
      <w:r w:rsidR="00CE1EB3">
        <w:t xml:space="preserve">. </w:t>
      </w:r>
      <w:r w:rsidR="00214513">
        <w:t>When e</w:t>
      </w:r>
      <w:r w:rsidR="00C530A6">
        <w:t>xcluding studies that did not limit the population to patients with dilated LV</w:t>
      </w:r>
      <w:r w:rsidR="00884E39">
        <w:t>s</w:t>
      </w:r>
      <w:r w:rsidR="00C530A6">
        <w:t xml:space="preserve">, the sensitivity of LGE-CMR </w:t>
      </w:r>
      <w:r w:rsidR="00482A39">
        <w:t xml:space="preserve">compared with ICA </w:t>
      </w:r>
      <w:r w:rsidR="00C530A6">
        <w:t>for ‘diagnosing non-</w:t>
      </w:r>
      <w:r w:rsidR="00410DCD">
        <w:t>ischaemic</w:t>
      </w:r>
      <w:r w:rsidR="00C530A6">
        <w:t xml:space="preserve"> cause’ of DCM ranged between 0.84 (95%CI 0.60, 0.97) and 1.00 (95%CI 0.84, 1.00)</w:t>
      </w:r>
      <w:r w:rsidR="003E2A1D">
        <w:t>,</w:t>
      </w:r>
      <w:r w:rsidR="00C530A6">
        <w:t xml:space="preserve"> and the specificity ranged from 0.71 (95%CI 0.29, 0.96) to 1.00 (95%CI 0.87, 1.00)</w:t>
      </w:r>
      <w:r w:rsidR="0095253B">
        <w:t>.</w:t>
      </w:r>
      <w:r w:rsidR="00CB65D4">
        <w:t xml:space="preserve"> </w:t>
      </w:r>
      <w:r w:rsidR="00270A40">
        <w:t xml:space="preserve">In the </w:t>
      </w:r>
      <w:r w:rsidR="003E2A1D">
        <w:t xml:space="preserve">2 </w:t>
      </w:r>
      <w:r w:rsidR="00270A40">
        <w:t>studies where the type of CM was not defined, the sensitivity and specificity ranged from 0.68 (95%CI 0.53, 0.81) to 0.78 (95%CI 0.40, 0.97)</w:t>
      </w:r>
      <w:r w:rsidR="003E2A1D">
        <w:t>,</w:t>
      </w:r>
      <w:r w:rsidR="00270A40">
        <w:t xml:space="preserve"> and from 0.89 (95%CI 0.74, 0.97) to 1.00 (95%CI 0.59, 1.00),</w:t>
      </w:r>
      <w:r w:rsidR="003E2A1D">
        <w:t xml:space="preserve"> </w:t>
      </w:r>
      <w:r w:rsidR="00270A40">
        <w:t>respectively.</w:t>
      </w:r>
    </w:p>
    <w:p w14:paraId="521EE844" w14:textId="0D7C46E1" w:rsidR="00695330" w:rsidRDefault="00270A40" w:rsidP="004C79C1">
      <w:pPr>
        <w:spacing w:after="120" w:line="240" w:lineRule="auto"/>
        <w:jc w:val="both"/>
      </w:pPr>
      <w:r>
        <w:t xml:space="preserve"> </w:t>
      </w:r>
      <w:r w:rsidR="0073251D">
        <w:rPr>
          <w:noProof/>
        </w:rPr>
        <w:drawing>
          <wp:inline distT="0" distB="0" distL="0" distR="0" wp14:anchorId="0B7F1A67" wp14:editId="0DDF7763">
            <wp:extent cx="6210193" cy="1514475"/>
            <wp:effectExtent l="0" t="0" r="635" b="0"/>
            <wp:docPr id="4" name="Picture 4" descr="Forest plot showing the sensitivity and specificity of LGE-CMR compared with ICA in diagnosing non-ischaemic (dilated) cardiomy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april picture1.png"/>
                    <pic:cNvPicPr/>
                  </pic:nvPicPr>
                  <pic:blipFill>
                    <a:blip r:embed="rId33">
                      <a:extLst>
                        <a:ext uri="{28A0092B-C50C-407E-A947-70E740481C1C}">
                          <a14:useLocalDpi xmlns:a14="http://schemas.microsoft.com/office/drawing/2010/main" val="0"/>
                        </a:ext>
                      </a:extLst>
                    </a:blip>
                    <a:stretch>
                      <a:fillRect/>
                    </a:stretch>
                  </pic:blipFill>
                  <pic:spPr>
                    <a:xfrm>
                      <a:off x="0" y="0"/>
                      <a:ext cx="6212576" cy="1515056"/>
                    </a:xfrm>
                    <a:prstGeom prst="rect">
                      <a:avLst/>
                    </a:prstGeom>
                  </pic:spPr>
                </pic:pic>
              </a:graphicData>
            </a:graphic>
          </wp:inline>
        </w:drawing>
      </w:r>
    </w:p>
    <w:p w14:paraId="08A48D9E" w14:textId="46FBD629" w:rsidR="000E2F0D" w:rsidRPr="00583CCD" w:rsidRDefault="000E2F0D" w:rsidP="004C79C1">
      <w:pPr>
        <w:pStyle w:val="Caption"/>
        <w:rPr>
          <w:rFonts w:ascii="Calibri" w:hAnsi="Calibri"/>
          <w:noProof/>
        </w:rPr>
      </w:pPr>
      <w:bookmarkStart w:id="286" w:name="_Ref445457133"/>
      <w:bookmarkStart w:id="287" w:name="_Ref445457126"/>
      <w:bookmarkStart w:id="288" w:name="_Toc324410136"/>
      <w:bookmarkStart w:id="289" w:name="_Toc451435457"/>
      <w:r>
        <w:t xml:space="preserve">Figure </w:t>
      </w:r>
      <w:fldSimple w:instr=" SEQ Figure \* ARABIC ">
        <w:r w:rsidR="00050936">
          <w:rPr>
            <w:noProof/>
          </w:rPr>
          <w:t>11</w:t>
        </w:r>
      </w:fldSimple>
      <w:bookmarkEnd w:id="286"/>
      <w:r>
        <w:rPr>
          <w:noProof/>
        </w:rPr>
        <w:tab/>
      </w:r>
      <w:r>
        <w:t xml:space="preserve">Forest plot showing the sensitivity and specificity of LGE-CMR compared with ICA in diagnosing </w:t>
      </w:r>
      <w:bookmarkEnd w:id="287"/>
      <w:bookmarkEnd w:id="288"/>
      <w:r w:rsidR="00417BBE">
        <w:t>NIDCM</w:t>
      </w:r>
      <w:bookmarkEnd w:id="289"/>
    </w:p>
    <w:p w14:paraId="4F3BFBD1" w14:textId="1886E3FE" w:rsidR="00C81E2C" w:rsidRDefault="00C81E2C" w:rsidP="00161B88">
      <w:pPr>
        <w:pStyle w:val="Heading4"/>
      </w:pPr>
      <w:r>
        <w:t>Diagnostic accuracy of LGE-CMR compared with clinical diagnosis as reference standard</w:t>
      </w:r>
    </w:p>
    <w:p w14:paraId="424F1CEA" w14:textId="46F728AD" w:rsidR="005E0591" w:rsidRDefault="005E0591" w:rsidP="004C79C1">
      <w:pPr>
        <w:spacing w:after="120" w:line="240" w:lineRule="auto"/>
        <w:jc w:val="both"/>
      </w:pPr>
      <w:r>
        <w:t xml:space="preserve">Two studies investigated the diagnostic accuracy of LGE-CMR </w:t>
      </w:r>
      <w:r w:rsidR="00482A39">
        <w:t xml:space="preserve">using </w:t>
      </w:r>
      <w:r w:rsidR="00032C1A">
        <w:t>available diagnostic data</w:t>
      </w:r>
      <w:r>
        <w:t xml:space="preserve"> as the reference standard, to determine whether the cause of </w:t>
      </w:r>
      <w:r w:rsidR="00651D01">
        <w:t>patients’ HF</w:t>
      </w:r>
      <w:r>
        <w:t xml:space="preserve"> symptoms was </w:t>
      </w:r>
      <w:r w:rsidR="00DB3E54">
        <w:t>ischaemic</w:t>
      </w:r>
      <w:r>
        <w:t xml:space="preserve"> or non-</w:t>
      </w:r>
      <w:r w:rsidR="00DB3E54">
        <w:t>ischaemic</w:t>
      </w:r>
      <w:r>
        <w:t xml:space="preserve"> </w:t>
      </w:r>
      <w:r w:rsidR="00187A29">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187A29">
        <w:instrText xml:space="preserve"> ADDIN EN.CITE </w:instrText>
      </w:r>
      <w:r w:rsidR="00187A29">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8" w:tooltip="Assomull, 2011 #6" w:history="1">
        <w:r w:rsidR="00B906E9">
          <w:rPr>
            <w:noProof/>
          </w:rPr>
          <w:t>Assomull et al. 2011</w:t>
        </w:r>
      </w:hyperlink>
      <w:r w:rsidR="00187A29">
        <w:rPr>
          <w:noProof/>
        </w:rPr>
        <w:t xml:space="preserve">; </w:t>
      </w:r>
      <w:hyperlink w:anchor="_ENREF_31" w:tooltip="de Melo, 2013 #3" w:history="1">
        <w:r w:rsidR="00B906E9">
          <w:rPr>
            <w:noProof/>
          </w:rPr>
          <w:t>de Melo et al. 2013</w:t>
        </w:r>
      </w:hyperlink>
      <w:r w:rsidR="00187A29">
        <w:rPr>
          <w:noProof/>
        </w:rPr>
        <w:t>)</w:t>
      </w:r>
      <w:r w:rsidR="00187A29">
        <w:fldChar w:fldCharType="end"/>
      </w:r>
      <w:r>
        <w:t>.</w:t>
      </w:r>
      <w:r w:rsidRPr="00553244">
        <w:t xml:space="preserve"> </w:t>
      </w:r>
      <w:r>
        <w:t xml:space="preserve">The study by </w:t>
      </w:r>
      <w:r w:rsidR="00CF10A3">
        <w:t>d</w:t>
      </w:r>
      <w:r>
        <w:t xml:space="preserve">e Melo et al. </w:t>
      </w:r>
      <w:r w:rsidR="00A73E7E">
        <w:t xml:space="preserve">was </w:t>
      </w:r>
      <w:r w:rsidR="008B673B">
        <w:t xml:space="preserve">a </w:t>
      </w:r>
      <w:r>
        <w:t>level III-1</w:t>
      </w:r>
      <w:r w:rsidR="008B673B">
        <w:t xml:space="preserve"> study</w:t>
      </w:r>
      <w:r>
        <w:t>, included DCM patients</w:t>
      </w:r>
      <w:r w:rsidR="00A73E7E">
        <w:t>,</w:t>
      </w:r>
      <w:r>
        <w:t xml:space="preserve"> used ICA as a comparator</w:t>
      </w:r>
      <w:r w:rsidR="00A73E7E">
        <w:t>,</w:t>
      </w:r>
      <w:r>
        <w:t xml:space="preserve"> and </w:t>
      </w:r>
      <w:r w:rsidR="00A73E7E">
        <w:t xml:space="preserve">used </w:t>
      </w:r>
      <w:r w:rsidR="00032C1A">
        <w:t>available diagnostic data</w:t>
      </w:r>
      <w:r>
        <w:t xml:space="preserve"> specified as ‘global analysis of cases by two clinical cardiologists, including all data in clinical history and laboratory tests available in medical records’ as the reference standard. The study by Assomull et al. was a level II study and included patients suspected of DCM</w:t>
      </w:r>
      <w:r w:rsidR="008B673B">
        <w:t>,</w:t>
      </w:r>
      <w:r>
        <w:t xml:space="preserve"> where the reference standard was defined as a review of all the </w:t>
      </w:r>
      <w:r w:rsidR="00032C1A">
        <w:t>available diagnostic data</w:t>
      </w:r>
      <w:r>
        <w:t xml:space="preserve">, including tissue characterisation information from LGE-CMR and luminographic data from ICA, reviewed by a separate consensus group of three cardiologists </w:t>
      </w:r>
      <w:r w:rsidR="00187A29">
        <w:fldChar w:fldCharType="begin"/>
      </w:r>
      <w:r w:rsidR="00187A29">
        <w:instrText xml:space="preserve"> ADDIN EN.CITE &lt;EndNote&gt;&lt;Cite&gt;&lt;Author&gt;Assomull&lt;/Author&gt;&lt;Year&gt;2011&lt;/Year&gt;&lt;RecNum&gt;6&lt;/RecNum&gt;&lt;IDText&gt;1351-1360&lt;/IDText&gt;&lt;DisplayText&gt;(Assomull, R. G. et al. 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rsidR="00187A29">
        <w:fldChar w:fldCharType="separate"/>
      </w:r>
      <w:r w:rsidR="00187A29">
        <w:rPr>
          <w:noProof/>
        </w:rPr>
        <w:t>(</w:t>
      </w:r>
      <w:hyperlink w:anchor="_ENREF_8" w:tooltip="Assomull, 2011 #6" w:history="1">
        <w:r w:rsidR="00B906E9">
          <w:rPr>
            <w:noProof/>
          </w:rPr>
          <w:t>Assomull et al. 2011</w:t>
        </w:r>
      </w:hyperlink>
      <w:r w:rsidR="00187A29">
        <w:rPr>
          <w:noProof/>
        </w:rPr>
        <w:t>)</w:t>
      </w:r>
      <w:r w:rsidR="00187A29">
        <w:fldChar w:fldCharType="end"/>
      </w:r>
      <w:r>
        <w:t>. Th</w:t>
      </w:r>
      <w:r w:rsidR="00DA78D8">
        <w:t>is</w:t>
      </w:r>
      <w:r>
        <w:t xml:space="preserve"> study</w:t>
      </w:r>
      <w:r w:rsidR="00DA78D8">
        <w:t>,</w:t>
      </w:r>
      <w:r>
        <w:t xml:space="preserve"> </w:t>
      </w:r>
      <w:r w:rsidR="00DA78D8">
        <w:t xml:space="preserve">which </w:t>
      </w:r>
      <w:r>
        <w:t>provided the highest quality evidence with a large patient population (n=120) reported a sensitivity of 1.00 (95%CI 0.96, 1.00) and a specificity of 0.88 (0.</w:t>
      </w:r>
      <w:r w:rsidR="00226998">
        <w:t>7</w:t>
      </w:r>
      <w:r>
        <w:t>2, 0.97) for diagnosing non-</w:t>
      </w:r>
      <w:r w:rsidR="00410DCD" w:rsidRPr="00DA56F0">
        <w:t>ischaemic</w:t>
      </w:r>
      <w:r w:rsidR="00DB3E54" w:rsidRPr="00DA56F0">
        <w:t xml:space="preserve"> </w:t>
      </w:r>
      <w:r w:rsidRPr="00DA56F0">
        <w:t>cause of DCM</w:t>
      </w:r>
      <w:r w:rsidR="00710CCE" w:rsidRPr="00DA56F0">
        <w:t xml:space="preserve"> (</w:t>
      </w:r>
      <w:r w:rsidR="00D24378" w:rsidRPr="00DA56F0">
        <w:fldChar w:fldCharType="begin"/>
      </w:r>
      <w:r w:rsidR="00D24378" w:rsidRPr="00DA56F0">
        <w:instrText xml:space="preserve"> REF _Ref451260648 \h </w:instrText>
      </w:r>
      <w:r w:rsidR="00DA56F0">
        <w:instrText xml:space="preserve"> \* MERGEFORMAT </w:instrText>
      </w:r>
      <w:r w:rsidR="00D24378" w:rsidRPr="00DA56F0">
        <w:fldChar w:fldCharType="separate"/>
      </w:r>
      <w:r w:rsidR="00B840E2" w:rsidRPr="00DA56F0">
        <w:t xml:space="preserve">Figure </w:t>
      </w:r>
      <w:r w:rsidR="00B840E2" w:rsidRPr="00DA56F0">
        <w:rPr>
          <w:noProof/>
        </w:rPr>
        <w:t>12</w:t>
      </w:r>
      <w:r w:rsidR="00D24378" w:rsidRPr="00DA56F0">
        <w:fldChar w:fldCharType="end"/>
      </w:r>
      <w:r w:rsidR="00710CCE" w:rsidRPr="00DA56F0">
        <w:t>)</w:t>
      </w:r>
      <w:r w:rsidRPr="00DA56F0">
        <w:t>.</w:t>
      </w:r>
      <w:r w:rsidR="009F5BFE" w:rsidRPr="00DA56F0">
        <w:t xml:space="preserve"> The overall quality of th</w:t>
      </w:r>
      <w:r w:rsidR="00482A39" w:rsidRPr="00DA56F0">
        <w:t>is</w:t>
      </w:r>
      <w:r w:rsidR="009F5BFE" w:rsidRPr="00DA56F0">
        <w:t xml:space="preserve"> evidence was graded as high (</w:t>
      </w:r>
      <w:r w:rsidR="009F5BFE" w:rsidRPr="00DA56F0">
        <w:rPr>
          <w:rFonts w:ascii="Cambria Math" w:hAnsi="Cambria Math"/>
          <w:color w:val="00B050"/>
        </w:rPr>
        <w:t>⨁⨁⨁⨁</w:t>
      </w:r>
      <w:r w:rsidR="009F5BFE" w:rsidRPr="00DA56F0">
        <w:t>).</w:t>
      </w:r>
    </w:p>
    <w:p w14:paraId="5AA50C0B" w14:textId="77777777" w:rsidR="004218CA" w:rsidRDefault="004218CA" w:rsidP="004C79C1">
      <w:pPr>
        <w:keepNext/>
        <w:spacing w:after="120" w:line="240" w:lineRule="auto"/>
        <w:ind w:left="-112"/>
      </w:pPr>
      <w:r>
        <w:rPr>
          <w:noProof/>
        </w:rPr>
        <w:lastRenderedPageBreak/>
        <w:drawing>
          <wp:inline distT="0" distB="0" distL="0" distR="0" wp14:anchorId="29FF5018" wp14:editId="77E543A7">
            <wp:extent cx="6353175" cy="838141"/>
            <wp:effectExtent l="0" t="0" r="0" b="635"/>
            <wp:docPr id="48" name="Picture 48" descr="Forest plot showing the sensitivity and specificity of LGE-CMR when clinical data is used as the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april picture2.png"/>
                    <pic:cNvPicPr/>
                  </pic:nvPicPr>
                  <pic:blipFill>
                    <a:blip r:embed="rId34">
                      <a:extLst>
                        <a:ext uri="{28A0092B-C50C-407E-A947-70E740481C1C}">
                          <a14:useLocalDpi xmlns:a14="http://schemas.microsoft.com/office/drawing/2010/main" val="0"/>
                        </a:ext>
                      </a:extLst>
                    </a:blip>
                    <a:stretch>
                      <a:fillRect/>
                    </a:stretch>
                  </pic:blipFill>
                  <pic:spPr>
                    <a:xfrm>
                      <a:off x="0" y="0"/>
                      <a:ext cx="6485334" cy="855576"/>
                    </a:xfrm>
                    <a:prstGeom prst="rect">
                      <a:avLst/>
                    </a:prstGeom>
                  </pic:spPr>
                </pic:pic>
              </a:graphicData>
            </a:graphic>
          </wp:inline>
        </w:drawing>
      </w:r>
    </w:p>
    <w:p w14:paraId="421BCC8E" w14:textId="02E60392" w:rsidR="004218CA" w:rsidRDefault="004218CA" w:rsidP="004C79C1">
      <w:pPr>
        <w:pStyle w:val="Caption"/>
      </w:pPr>
      <w:bookmarkStart w:id="290" w:name="_Ref451260648"/>
      <w:bookmarkStart w:id="291" w:name="_Toc324410137"/>
      <w:bookmarkStart w:id="292" w:name="_Toc451435458"/>
      <w:r w:rsidRPr="00DA56F0">
        <w:t xml:space="preserve">Figure </w:t>
      </w:r>
      <w:fldSimple w:instr=" SEQ Figure \* ARABIC ">
        <w:r w:rsidR="00050936" w:rsidRPr="00DA56F0">
          <w:rPr>
            <w:noProof/>
          </w:rPr>
          <w:t>12</w:t>
        </w:r>
      </w:fldSimple>
      <w:bookmarkEnd w:id="290"/>
      <w:r w:rsidRPr="00DA56F0">
        <w:t xml:space="preserve"> </w:t>
      </w:r>
      <w:r w:rsidR="00947CDE" w:rsidRPr="00DA56F0">
        <w:tab/>
      </w:r>
      <w:r w:rsidRPr="00DA56F0">
        <w:t xml:space="preserve">Forest plot showing the sensitivity and specificity of LGE-CMR when </w:t>
      </w:r>
      <w:r w:rsidR="00032C1A">
        <w:t>available diagnostic data</w:t>
      </w:r>
      <w:r w:rsidRPr="00DA56F0">
        <w:t xml:space="preserve"> is used as the reference standard</w:t>
      </w:r>
      <w:bookmarkEnd w:id="291"/>
      <w:bookmarkEnd w:id="292"/>
    </w:p>
    <w:p w14:paraId="1903C4E2" w14:textId="46696471" w:rsidR="009F2209" w:rsidRDefault="009F2209" w:rsidP="004C79C1">
      <w:pPr>
        <w:spacing w:after="120" w:line="240" w:lineRule="auto"/>
        <w:jc w:val="both"/>
      </w:pPr>
      <w:r>
        <w:t xml:space="preserve">All included studies where LGE-CMR was used to determine non-ischaemic aetiology were combined in a summary receiver operating characteristic curve (SROC) to get an idea of the </w:t>
      </w:r>
      <w:r w:rsidR="003A33A2">
        <w:t xml:space="preserve">relative trade-offs between true positives and false positives </w:t>
      </w:r>
      <w:r w:rsidR="007B2FC8">
        <w:t>i</w:t>
      </w:r>
      <w:r w:rsidR="003A33A2">
        <w:t>n these studies</w:t>
      </w:r>
      <w:r>
        <w:t xml:space="preserve"> </w:t>
      </w:r>
      <w:r w:rsidR="00DA78D8">
        <w:t>(</w:t>
      </w:r>
      <w:r>
        <w:t xml:space="preserve">see </w:t>
      </w:r>
      <w:r>
        <w:fldChar w:fldCharType="begin"/>
      </w:r>
      <w:r>
        <w:instrText xml:space="preserve"> REF _Ref446338516 \h  \* MERGEFORMAT </w:instrText>
      </w:r>
      <w:r>
        <w:fldChar w:fldCharType="separate"/>
      </w:r>
      <w:r w:rsidR="00D24378" w:rsidRPr="00D24378">
        <w:t>Figure</w:t>
      </w:r>
      <w:r w:rsidR="00D24378" w:rsidRPr="00B544A7">
        <w:t xml:space="preserve"> </w:t>
      </w:r>
      <w:r w:rsidR="00D24378" w:rsidRPr="00D24378">
        <w:rPr>
          <w:noProof/>
        </w:rPr>
        <w:t>13</w:t>
      </w:r>
      <w:r>
        <w:fldChar w:fldCharType="end"/>
      </w:r>
      <w:r w:rsidR="00DA78D8">
        <w:t>)</w:t>
      </w:r>
      <w:r>
        <w:t>. The light blue dots show the studies with ‘</w:t>
      </w:r>
      <w:r w:rsidR="00032C1A">
        <w:t>available diagnostic data</w:t>
      </w:r>
      <w:r>
        <w:t xml:space="preserve">’ as the reference standard, whereas the dark blue dots depict the studies with ICA as the reference standard. The figure shows </w:t>
      </w:r>
      <w:r w:rsidR="003A33A2">
        <w:t>that all studies lie in the upper left corner of the graph</w:t>
      </w:r>
      <w:r w:rsidR="000E2F0D">
        <w:t xml:space="preserve"> and would have a high area under the ROC curve (AUROC) value if they were suitable for meta-analysis</w:t>
      </w:r>
      <w:r w:rsidR="003A33A2">
        <w:t xml:space="preserve">, </w:t>
      </w:r>
      <w:r w:rsidR="000E2F0D">
        <w:t>indicating</w:t>
      </w:r>
      <w:r w:rsidR="003A33A2">
        <w:t xml:space="preserve"> </w:t>
      </w:r>
      <w:r w:rsidR="009E78A3">
        <w:t xml:space="preserve">that </w:t>
      </w:r>
      <w:r w:rsidR="003A33A2">
        <w:t xml:space="preserve">CMR performs well when compared </w:t>
      </w:r>
      <w:r w:rsidR="009E78A3">
        <w:t xml:space="preserve">with </w:t>
      </w:r>
      <w:r w:rsidR="003A33A2">
        <w:t>the reference standard.</w:t>
      </w:r>
    </w:p>
    <w:p w14:paraId="4DA08964" w14:textId="77777777" w:rsidR="009F2209" w:rsidRDefault="009F2209" w:rsidP="004C79C1">
      <w:pPr>
        <w:keepNext/>
        <w:spacing w:after="120" w:line="240" w:lineRule="auto"/>
      </w:pPr>
      <w:r>
        <w:rPr>
          <w:noProof/>
        </w:rPr>
        <w:drawing>
          <wp:inline distT="0" distB="0" distL="0" distR="0" wp14:anchorId="497D71DA" wp14:editId="46C38146">
            <wp:extent cx="4626610" cy="4626610"/>
            <wp:effectExtent l="0" t="0" r="2540" b="2540"/>
            <wp:docPr id="14" name="Picture 14" descr="SROC of diagnostic accuracy of LGE-CMR in determining non-ischaemic aet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ROC nonischaemic caus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26610" cy="4626610"/>
                    </a:xfrm>
                    <a:prstGeom prst="rect">
                      <a:avLst/>
                    </a:prstGeom>
                  </pic:spPr>
                </pic:pic>
              </a:graphicData>
            </a:graphic>
          </wp:inline>
        </w:drawing>
      </w:r>
    </w:p>
    <w:p w14:paraId="22C3A5F5" w14:textId="02F68838" w:rsidR="009F2209" w:rsidRDefault="009F2209" w:rsidP="004C79C1">
      <w:pPr>
        <w:pStyle w:val="TableHeading"/>
        <w:spacing w:before="0" w:after="120"/>
      </w:pPr>
      <w:bookmarkStart w:id="293" w:name="_Ref446338516"/>
      <w:bookmarkStart w:id="294" w:name="_Toc324410138"/>
      <w:bookmarkStart w:id="295" w:name="_Toc451435459"/>
      <w:r w:rsidRPr="003E5055">
        <w:rPr>
          <w:bCs/>
        </w:rPr>
        <w:t xml:space="preserve">Figure </w:t>
      </w:r>
      <w:r w:rsidR="008A7654" w:rsidRPr="00EE130A">
        <w:rPr>
          <w:bCs/>
        </w:rPr>
        <w:fldChar w:fldCharType="begin"/>
      </w:r>
      <w:r w:rsidR="008A7654" w:rsidRPr="003E5055">
        <w:rPr>
          <w:bCs/>
        </w:rPr>
        <w:instrText xml:space="preserve"> SEQ Figure \* ARABIC </w:instrText>
      </w:r>
      <w:r w:rsidR="008A7654" w:rsidRPr="00EE130A">
        <w:rPr>
          <w:bCs/>
        </w:rPr>
        <w:fldChar w:fldCharType="separate"/>
      </w:r>
      <w:r w:rsidR="00050936" w:rsidRPr="003E5055">
        <w:rPr>
          <w:bCs/>
          <w:noProof/>
        </w:rPr>
        <w:t>13</w:t>
      </w:r>
      <w:r w:rsidR="008A7654" w:rsidRPr="00EE130A">
        <w:rPr>
          <w:bCs/>
          <w:noProof/>
        </w:rPr>
        <w:fldChar w:fldCharType="end"/>
      </w:r>
      <w:bookmarkEnd w:id="293"/>
      <w:r w:rsidRPr="003E5055">
        <w:t xml:space="preserve"> </w:t>
      </w:r>
      <w:r w:rsidR="00947CDE" w:rsidRPr="003E5055">
        <w:tab/>
      </w:r>
      <w:r w:rsidRPr="003E5055">
        <w:t>SROC of diagnostic accuracy of LGE-CMR in determining non-ischaemic aetiology</w:t>
      </w:r>
      <w:bookmarkEnd w:id="294"/>
      <w:bookmarkEnd w:id="295"/>
      <w:r>
        <w:t xml:space="preserve"> </w:t>
      </w:r>
    </w:p>
    <w:p w14:paraId="2D414447" w14:textId="30CCF98A" w:rsidR="000A4F12" w:rsidRPr="009B2B9F" w:rsidRDefault="000A4F12" w:rsidP="00161B88">
      <w:pPr>
        <w:pStyle w:val="Heading4"/>
      </w:pPr>
      <w:r>
        <w:t>Diagnostic accuracy of ICA compared with clinical diagnosis as reference standard</w:t>
      </w:r>
    </w:p>
    <w:p w14:paraId="3BE51E00" w14:textId="74CF1EB7" w:rsidR="000A4F12" w:rsidRDefault="000A4F12" w:rsidP="004C79C1">
      <w:pPr>
        <w:spacing w:after="120" w:line="240" w:lineRule="auto"/>
        <w:jc w:val="both"/>
      </w:pPr>
      <w:r>
        <w:t xml:space="preserve">Two studies compared ICA with clinical diagnosis as the reference standard in patients with or suspected of NIDCM </w:t>
      </w:r>
      <w:r>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instrText xml:space="preserve"> ADDIN EN.CITE </w:instrText>
      </w:r>
      <w:r>
        <w:fldChar w:fldCharType="begin">
          <w:fldData xml:space="preserve">PEVuZE5vdGU+PENpdGU+PEF1dGhvcj5Bc3NvbXVsbDwvQXV0aG9yPjxZZWFyPjIwMTE8L1llYXI+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</w:fldData>
        </w:fldChar>
      </w:r>
      <w:r>
        <w:instrText xml:space="preserve"> ADDIN EN.CITE.DATA </w:instrText>
      </w:r>
      <w:r>
        <w:fldChar w:fldCharType="end"/>
      </w:r>
      <w:r>
        <w:fldChar w:fldCharType="separate"/>
      </w:r>
      <w:r>
        <w:rPr>
          <w:noProof/>
        </w:rPr>
        <w:t>(</w:t>
      </w:r>
      <w:hyperlink w:anchor="_ENREF_8" w:tooltip="Assomull, 2011 #6" w:history="1">
        <w:r>
          <w:rPr>
            <w:noProof/>
          </w:rPr>
          <w:t>Assomull et al. 2011</w:t>
        </w:r>
      </w:hyperlink>
      <w:r>
        <w:rPr>
          <w:noProof/>
        </w:rPr>
        <w:t xml:space="preserve">; </w:t>
      </w:r>
      <w:hyperlink w:anchor="_ENREF_31" w:tooltip="de Melo, 2013 #3" w:history="1">
        <w:r>
          <w:rPr>
            <w:noProof/>
          </w:rPr>
          <w:t>de Melo et al. 2013</w:t>
        </w:r>
      </w:hyperlink>
      <w:r>
        <w:rPr>
          <w:noProof/>
        </w:rPr>
        <w:t>)</w:t>
      </w:r>
      <w:r>
        <w:fldChar w:fldCharType="end"/>
      </w:r>
      <w:r>
        <w:t xml:space="preserve">. The sensitivity of ICA compared </w:t>
      </w:r>
      <w:r w:rsidR="0063233D">
        <w:t xml:space="preserve">with </w:t>
      </w:r>
      <w:r>
        <w:t xml:space="preserve">the ‘gold standard’ of clinical diagnosis defined by the synthesis of all available clinical information </w:t>
      </w:r>
      <w:r>
        <w:lastRenderedPageBreak/>
        <w:t xml:space="preserve">was 1.00 (95%CI 0.75, 1.00) in the small study by </w:t>
      </w:r>
      <w:r w:rsidR="00E30240">
        <w:t>d</w:t>
      </w:r>
      <w:r>
        <w:t xml:space="preserve">e Melo et al. (n=24) and 0.98 (95%CI 0.92, 1.00) in </w:t>
      </w:r>
      <w:r w:rsidRPr="003E5055">
        <w:t xml:space="preserve">the larger study by Assomull et al., which had 120 included patients (see </w:t>
      </w:r>
      <w:r w:rsidRPr="003E5055">
        <w:fldChar w:fldCharType="begin"/>
      </w:r>
      <w:r w:rsidRPr="003E5055">
        <w:instrText xml:space="preserve"> REF _Ref445881673 \h </w:instrText>
      </w:r>
      <w:r w:rsidR="003E5055">
        <w:instrText xml:space="preserve"> \* MERGEFORMAT </w:instrText>
      </w:r>
      <w:r w:rsidRPr="003E5055">
        <w:fldChar w:fldCharType="separate"/>
      </w:r>
      <w:r w:rsidR="003E5055" w:rsidRPr="003E5055">
        <w:rPr>
          <w:bCs/>
        </w:rPr>
        <w:t>Figure</w:t>
      </w:r>
      <w:r w:rsidR="003E5055" w:rsidRPr="00B9728A">
        <w:rPr>
          <w:bCs/>
        </w:rPr>
        <w:t xml:space="preserve"> </w:t>
      </w:r>
      <w:r w:rsidR="003E5055">
        <w:rPr>
          <w:bCs/>
          <w:noProof/>
        </w:rPr>
        <w:t>14</w:t>
      </w:r>
      <w:r w:rsidRPr="003E5055">
        <w:fldChar w:fldCharType="end"/>
      </w:r>
      <w:r w:rsidRPr="003E5055">
        <w:t>). The larger study</w:t>
      </w:r>
      <w:r>
        <w:t xml:space="preserve"> reported a specificity of 0.87 (95%CI 0.70, 0.96), whereas the small study only showed a specificity of 0.45 (95%CI 0.17, 0.77). This means that</w:t>
      </w:r>
      <w:r w:rsidR="0093614D">
        <w:t>,</w:t>
      </w:r>
      <w:r>
        <w:t xml:space="preserve"> in the study by </w:t>
      </w:r>
      <w:r w:rsidR="00E30240">
        <w:t>d</w:t>
      </w:r>
      <w:r>
        <w:t>e Melo et al.</w:t>
      </w:r>
      <w:r w:rsidR="00145FB6">
        <w:t xml:space="preserve"> (2013)</w:t>
      </w:r>
      <w:r>
        <w:t>, only 45% of patients with an ischaemic cause of DCM were correctly identified as having ischaemic DCM on ICA.</w:t>
      </w:r>
    </w:p>
    <w:p w14:paraId="5FBCC768" w14:textId="77777777" w:rsidR="000A4F12" w:rsidRDefault="000A4F12" w:rsidP="004C79C1">
      <w:pPr>
        <w:keepNext/>
        <w:spacing w:after="120" w:line="240" w:lineRule="auto"/>
        <w:ind w:left="-112"/>
        <w:jc w:val="both"/>
      </w:pPr>
      <w:r>
        <w:rPr>
          <w:noProof/>
        </w:rPr>
        <w:drawing>
          <wp:inline distT="0" distB="0" distL="0" distR="0" wp14:anchorId="2A0D9748" wp14:editId="6671667E">
            <wp:extent cx="6160907" cy="1466850"/>
            <wp:effectExtent l="0" t="0" r="0" b="0"/>
            <wp:docPr id="51" name="Picture 51" title="Forest plot showing the sensitivity and specificity of ICA compared with clinical data in diagnosing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A vs clinical diagnosis.png"/>
                    <pic:cNvPicPr/>
                  </pic:nvPicPr>
                  <pic:blipFill>
                    <a:blip r:embed="rId36">
                      <a:extLst>
                        <a:ext uri="{28A0092B-C50C-407E-A947-70E740481C1C}">
                          <a14:useLocalDpi xmlns:a14="http://schemas.microsoft.com/office/drawing/2010/main" val="0"/>
                        </a:ext>
                      </a:extLst>
                    </a:blip>
                    <a:stretch>
                      <a:fillRect/>
                    </a:stretch>
                  </pic:blipFill>
                  <pic:spPr>
                    <a:xfrm>
                      <a:off x="0" y="0"/>
                      <a:ext cx="6163636" cy="1467500"/>
                    </a:xfrm>
                    <a:prstGeom prst="rect">
                      <a:avLst/>
                    </a:prstGeom>
                  </pic:spPr>
                </pic:pic>
              </a:graphicData>
            </a:graphic>
          </wp:inline>
        </w:drawing>
      </w:r>
    </w:p>
    <w:p w14:paraId="683ABFB7" w14:textId="0215252E" w:rsidR="000A4F12" w:rsidRDefault="000A4F12" w:rsidP="004C79C1">
      <w:pPr>
        <w:pStyle w:val="TableHeading"/>
        <w:spacing w:before="0" w:after="120"/>
      </w:pPr>
      <w:bookmarkStart w:id="296" w:name="_Ref445881673"/>
      <w:bookmarkStart w:id="297" w:name="_Toc324410139"/>
      <w:bookmarkStart w:id="298" w:name="_Toc451435460"/>
      <w:r w:rsidRPr="00135BFE">
        <w:rPr>
          <w:bCs/>
        </w:rPr>
        <w:t xml:space="preserve">Figure </w:t>
      </w:r>
      <w:r w:rsidR="009E663F" w:rsidRPr="00135BFE">
        <w:rPr>
          <w:bCs/>
          <w:noProof/>
        </w:rPr>
        <w:fldChar w:fldCharType="begin"/>
      </w:r>
      <w:r w:rsidR="009E663F" w:rsidRPr="00135BFE">
        <w:rPr>
          <w:bCs/>
        </w:rPr>
        <w:instrText xml:space="preserve"> SEQ Figure \* ARABIC </w:instrText>
      </w:r>
      <w:r w:rsidR="009E663F" w:rsidRPr="00135BFE">
        <w:rPr>
          <w:bCs/>
          <w:noProof/>
        </w:rPr>
        <w:fldChar w:fldCharType="separate"/>
      </w:r>
      <w:r w:rsidR="00050936" w:rsidRPr="00135BFE">
        <w:rPr>
          <w:bCs/>
          <w:noProof/>
        </w:rPr>
        <w:t>14</w:t>
      </w:r>
      <w:r w:rsidR="009E663F" w:rsidRPr="00135BFE">
        <w:rPr>
          <w:bCs/>
          <w:noProof/>
        </w:rPr>
        <w:fldChar w:fldCharType="end"/>
      </w:r>
      <w:bookmarkEnd w:id="296"/>
      <w:r w:rsidR="000777E1" w:rsidRPr="00135BFE">
        <w:rPr>
          <w:noProof/>
        </w:rPr>
        <w:t xml:space="preserve"> </w:t>
      </w:r>
      <w:r w:rsidRPr="00135BFE">
        <w:tab/>
        <w:t xml:space="preserve">Forest plot showing the sensitivity and specificity of ICA compared with </w:t>
      </w:r>
      <w:r w:rsidR="00032C1A" w:rsidRPr="00135BFE">
        <w:t>available diagnostic data</w:t>
      </w:r>
      <w:r w:rsidRPr="00135BFE">
        <w:t xml:space="preserve"> in</w:t>
      </w:r>
      <w:r>
        <w:t xml:space="preserve"> diagnosing NIDCM</w:t>
      </w:r>
      <w:bookmarkEnd w:id="297"/>
      <w:bookmarkEnd w:id="298"/>
    </w:p>
    <w:p w14:paraId="167A527E" w14:textId="2BBD4A8C" w:rsidR="00914E70" w:rsidRDefault="009D6530" w:rsidP="00161B88">
      <w:pPr>
        <w:pStyle w:val="Heading3"/>
      </w:pPr>
      <w:bookmarkStart w:id="299" w:name="_Toc451501317"/>
      <w:r>
        <w:t>B</w:t>
      </w:r>
      <w:r w:rsidR="00914E70">
        <w:t>3.6.</w:t>
      </w:r>
      <w:r w:rsidR="00863946">
        <w:t>4</w:t>
      </w:r>
      <w:r w:rsidR="00914E70">
        <w:t xml:space="preserve"> Summary of findings</w:t>
      </w:r>
      <w:bookmarkEnd w:id="299"/>
    </w:p>
    <w:p w14:paraId="6DBB66D1" w14:textId="4031890E" w:rsidR="00914E70" w:rsidRPr="008368D3" w:rsidRDefault="00914E70" w:rsidP="004C79C1">
      <w:pPr>
        <w:spacing w:after="120" w:line="240" w:lineRule="auto"/>
        <w:jc w:val="both"/>
      </w:pPr>
      <w:r>
        <w:fldChar w:fldCharType="begin"/>
      </w:r>
      <w:r>
        <w:instrText xml:space="preserve"> REF _Ref445994214 \h  \* MERGEFORMAT </w:instrText>
      </w:r>
      <w:r>
        <w:fldChar w:fldCharType="separate"/>
      </w:r>
      <w:r w:rsidR="004253E2" w:rsidRPr="000A4AF9">
        <w:t xml:space="preserve">Table </w:t>
      </w:r>
      <w:r>
        <w:fldChar w:fldCharType="end"/>
      </w:r>
      <w:r w:rsidR="00810AC3">
        <w:t xml:space="preserve">13 </w:t>
      </w:r>
      <w:r>
        <w:t xml:space="preserve">shows the summary of findings for the accuracy of LGE-CMR compared </w:t>
      </w:r>
      <w:r w:rsidRPr="006E1156">
        <w:t xml:space="preserve">with </w:t>
      </w:r>
      <w:r>
        <w:t xml:space="preserve">the </w:t>
      </w:r>
      <w:r w:rsidRPr="006E1156">
        <w:t xml:space="preserve">different reference standards </w:t>
      </w:r>
      <w:r>
        <w:t>identified when used for the different purposes as outlined in the proposed clinical pathway (</w:t>
      </w:r>
      <w:r w:rsidR="007E6D19">
        <w:t xml:space="preserve">see </w:t>
      </w:r>
      <w:r w:rsidR="003E5055" w:rsidRPr="003E5055">
        <w:fldChar w:fldCharType="begin"/>
      </w:r>
      <w:r w:rsidR="003E5055" w:rsidRPr="003E5055">
        <w:instrText xml:space="preserve"> REF _Ref447807237 \h </w:instrText>
      </w:r>
      <w:r w:rsidR="003E5055">
        <w:instrText xml:space="preserve"> \* MERGEFORMAT </w:instrText>
      </w:r>
      <w:r w:rsidR="003E5055" w:rsidRPr="003E5055">
        <w:fldChar w:fldCharType="separate"/>
      </w:r>
      <w:r w:rsidR="003E5055" w:rsidRPr="003E5055">
        <w:t xml:space="preserve">Figure </w:t>
      </w:r>
      <w:r w:rsidR="003E5055" w:rsidRPr="003E5055">
        <w:rPr>
          <w:noProof/>
        </w:rPr>
        <w:t>4</w:t>
      </w:r>
      <w:r w:rsidR="003E5055" w:rsidRPr="003E5055">
        <w:fldChar w:fldCharType="end"/>
      </w:r>
      <w:r w:rsidRPr="003E5055">
        <w:t>)</w:t>
      </w:r>
      <w:r>
        <w:t xml:space="preserve">. The studies with </w:t>
      </w:r>
      <w:r w:rsidR="00032C1A">
        <w:t>available diagnostic data</w:t>
      </w:r>
      <w:r>
        <w:t xml:space="preserve"> as the reference standard were considered to provide high</w:t>
      </w:r>
      <w:r w:rsidR="007E6D19">
        <w:t>-</w:t>
      </w:r>
      <w:r>
        <w:t>quality evidence according to GRADE (the complete GRADE e</w:t>
      </w:r>
      <w:r w:rsidRPr="00584EB5">
        <w:t>vidence profile</w:t>
      </w:r>
      <w:r>
        <w:t>s</w:t>
      </w:r>
      <w:r w:rsidRPr="00584EB5">
        <w:t xml:space="preserve"> </w:t>
      </w:r>
      <w:r>
        <w:t xml:space="preserve">are shown </w:t>
      </w:r>
      <w:proofErr w:type="gramStart"/>
      <w:r>
        <w:t xml:space="preserve">in </w:t>
      </w:r>
      <w:r w:rsidR="00810AC3">
        <w:t xml:space="preserve">86 </w:t>
      </w:r>
      <w:r>
        <w:t>in Appendix D</w:t>
      </w:r>
      <w:proofErr w:type="gramEnd"/>
      <w:r>
        <w:t xml:space="preserve">). </w:t>
      </w:r>
    </w:p>
    <w:p w14:paraId="49643EDC" w14:textId="19258283" w:rsidR="00914E70" w:rsidRPr="00183E4D" w:rsidRDefault="00914E70" w:rsidP="004C79C1">
      <w:pPr>
        <w:pStyle w:val="Caption"/>
      </w:pPr>
      <w:bookmarkStart w:id="300" w:name="_Ref445994214"/>
      <w:bookmarkStart w:id="301" w:name="_Toc324410140"/>
      <w:bookmarkStart w:id="302" w:name="_Toc451435340"/>
      <w:r w:rsidRPr="000A4AF9">
        <w:t xml:space="preserve">Table </w:t>
      </w:r>
      <w:fldSimple w:instr=" SEQ Table \* ARABIC ">
        <w:r w:rsidR="00050936">
          <w:rPr>
            <w:noProof/>
          </w:rPr>
          <w:t>13</w:t>
        </w:r>
      </w:fldSimple>
      <w:bookmarkEnd w:id="300"/>
      <w:r w:rsidRPr="000A4AF9">
        <w:tab/>
        <w:t xml:space="preserve">Summary of findings for the accuracy of </w:t>
      </w:r>
      <w:r>
        <w:t>LGE-CMR</w:t>
      </w:r>
      <w:r w:rsidRPr="000A4AF9">
        <w:t xml:space="preserve"> in patients </w:t>
      </w:r>
      <w:r>
        <w:t>suspected of DCM or patients with DCM and an unknown aetiology</w:t>
      </w:r>
      <w:bookmarkEnd w:id="301"/>
      <w:bookmarkEnd w:id="302"/>
    </w:p>
    <w:tbl>
      <w:tblPr>
        <w:tblStyle w:val="TableGrid"/>
        <w:tblW w:w="0" w:type="auto"/>
        <w:tblLayout w:type="fixed"/>
        <w:tblLook w:val="04A0" w:firstRow="1" w:lastRow="0" w:firstColumn="1" w:lastColumn="0" w:noHBand="0" w:noVBand="1"/>
        <w:tblDescription w:val="Summary of findings table"/>
      </w:tblPr>
      <w:tblGrid>
        <w:gridCol w:w="1804"/>
        <w:gridCol w:w="1803"/>
        <w:gridCol w:w="2200"/>
        <w:gridCol w:w="1406"/>
        <w:gridCol w:w="1803"/>
      </w:tblGrid>
      <w:tr w:rsidR="00914E70" w14:paraId="7E3B1568" w14:textId="77777777" w:rsidTr="000152B0">
        <w:trPr>
          <w:tblHeader/>
        </w:trPr>
        <w:tc>
          <w:tcPr>
            <w:tcW w:w="1804" w:type="dxa"/>
          </w:tcPr>
          <w:p w14:paraId="25CC5D28" w14:textId="77777777" w:rsidR="00914E70" w:rsidRPr="000A1599" w:rsidRDefault="00914E70" w:rsidP="004C79C1">
            <w:pPr>
              <w:pStyle w:val="TableHeading"/>
              <w:spacing w:before="0" w:after="120"/>
              <w:ind w:left="0" w:firstLine="0"/>
            </w:pPr>
            <w:r>
              <w:t>Aim of the test</w:t>
            </w:r>
          </w:p>
        </w:tc>
        <w:tc>
          <w:tcPr>
            <w:tcW w:w="1803" w:type="dxa"/>
          </w:tcPr>
          <w:p w14:paraId="2C1E9C34" w14:textId="79B90FC4" w:rsidR="00914E70" w:rsidRDefault="00914E70" w:rsidP="004C79C1">
            <w:pPr>
              <w:pStyle w:val="TableHeading"/>
              <w:spacing w:before="0" w:after="120"/>
              <w:ind w:left="0" w:firstLine="0"/>
            </w:pPr>
            <w:r>
              <w:t xml:space="preserve">No. of participants </w:t>
            </w:r>
          </w:p>
          <w:p w14:paraId="2D5B341C" w14:textId="77777777" w:rsidR="00914E70" w:rsidRPr="000A1599" w:rsidRDefault="00914E70" w:rsidP="004C79C1">
            <w:pPr>
              <w:pStyle w:val="TableHeading"/>
              <w:spacing w:before="0" w:after="120"/>
              <w:ind w:left="0" w:firstLine="0"/>
            </w:pPr>
            <w:r>
              <w:t xml:space="preserve">No. of studies </w:t>
            </w:r>
          </w:p>
        </w:tc>
        <w:tc>
          <w:tcPr>
            <w:tcW w:w="2200" w:type="dxa"/>
          </w:tcPr>
          <w:p w14:paraId="1EEAD903" w14:textId="0957E721" w:rsidR="00914E70" w:rsidRPr="000A1599" w:rsidRDefault="00914E70" w:rsidP="004C79C1">
            <w:pPr>
              <w:pStyle w:val="TableHeading"/>
              <w:spacing w:before="0" w:after="120"/>
              <w:ind w:left="0" w:firstLine="0"/>
            </w:pPr>
            <w:r>
              <w:rPr>
                <w:snapToGrid w:val="0"/>
                <w:lang w:eastAsia="en-US"/>
              </w:rPr>
              <w:t xml:space="preserve">Sensitivity and specificity </w:t>
            </w:r>
            <w:r w:rsidR="007E6D19">
              <w:rPr>
                <w:snapToGrid w:val="0"/>
                <w:lang w:eastAsia="en-US"/>
              </w:rPr>
              <w:t xml:space="preserve">of </w:t>
            </w:r>
            <w:r>
              <w:rPr>
                <w:snapToGrid w:val="0"/>
                <w:lang w:eastAsia="en-US"/>
              </w:rPr>
              <w:t>LGE-CMR (individual or range from studies)</w:t>
            </w:r>
          </w:p>
        </w:tc>
        <w:tc>
          <w:tcPr>
            <w:tcW w:w="1406" w:type="dxa"/>
          </w:tcPr>
          <w:p w14:paraId="3293FC77" w14:textId="77777777" w:rsidR="00914E70" w:rsidRPr="000A1599" w:rsidRDefault="00914E70" w:rsidP="004C79C1">
            <w:pPr>
              <w:pStyle w:val="TableHeading"/>
              <w:spacing w:before="0" w:after="120"/>
              <w:ind w:left="0" w:firstLine="0"/>
            </w:pPr>
            <w:r>
              <w:rPr>
                <w:snapToGrid w:val="0"/>
                <w:lang w:eastAsia="en-US"/>
              </w:rPr>
              <w:t>Reference standard</w:t>
            </w:r>
          </w:p>
        </w:tc>
        <w:tc>
          <w:tcPr>
            <w:tcW w:w="1803" w:type="dxa"/>
          </w:tcPr>
          <w:p w14:paraId="724939CB" w14:textId="35BB3285" w:rsidR="00914E70" w:rsidRPr="00AA78FA" w:rsidRDefault="00914E70" w:rsidP="004C79C1">
            <w:pPr>
              <w:pStyle w:val="TableHeading"/>
              <w:spacing w:before="0" w:after="120"/>
              <w:ind w:left="0" w:firstLine="0"/>
              <w:rPr>
                <w:vertAlign w:val="superscript"/>
              </w:rPr>
            </w:pPr>
            <w:r>
              <w:t>Quality of evidence</w:t>
            </w:r>
            <w:r w:rsidR="00FA0F61">
              <w:t xml:space="preserve"> </w:t>
            </w:r>
            <w:r>
              <w:rPr>
                <w:vertAlign w:val="superscript"/>
              </w:rPr>
              <w:t>a</w:t>
            </w:r>
          </w:p>
        </w:tc>
      </w:tr>
      <w:tr w:rsidR="00914E70" w14:paraId="00131C36" w14:textId="77777777" w:rsidTr="000152B0">
        <w:tc>
          <w:tcPr>
            <w:tcW w:w="1804" w:type="dxa"/>
            <w:tcBorders>
              <w:bottom w:val="single" w:sz="4" w:space="0" w:color="auto"/>
            </w:tcBorders>
          </w:tcPr>
          <w:p w14:paraId="3BB12FF1" w14:textId="77777777" w:rsidR="00914E70" w:rsidRPr="008D52AB" w:rsidRDefault="00914E70" w:rsidP="004C79C1">
            <w:pPr>
              <w:pStyle w:val="Tabletext1"/>
              <w:spacing w:before="0" w:after="120"/>
            </w:pPr>
            <w:r w:rsidRPr="008D52AB">
              <w:t>Diagnose DCM</w:t>
            </w:r>
          </w:p>
        </w:tc>
        <w:tc>
          <w:tcPr>
            <w:tcW w:w="1803" w:type="dxa"/>
          </w:tcPr>
          <w:p w14:paraId="1788FF74" w14:textId="77777777" w:rsidR="00914E70" w:rsidRPr="008D52AB" w:rsidRDefault="00914E70" w:rsidP="004C79C1">
            <w:pPr>
              <w:pStyle w:val="Tabletext1"/>
              <w:spacing w:before="0" w:after="120"/>
            </w:pPr>
            <w:r w:rsidRPr="008D52AB">
              <w:t>N=136 patients</w:t>
            </w:r>
          </w:p>
          <w:p w14:paraId="7DBCC2E1" w14:textId="77777777" w:rsidR="00914E70" w:rsidRPr="008D52AB" w:rsidRDefault="00914E70" w:rsidP="004C79C1">
            <w:pPr>
              <w:pStyle w:val="Tabletext1"/>
              <w:spacing w:before="0" w:after="120"/>
            </w:pPr>
            <w:r w:rsidRPr="008D52AB">
              <w:t>K=1 study</w:t>
            </w:r>
          </w:p>
        </w:tc>
        <w:tc>
          <w:tcPr>
            <w:tcW w:w="2200" w:type="dxa"/>
          </w:tcPr>
          <w:p w14:paraId="4D8D255A" w14:textId="77777777" w:rsidR="00914E70" w:rsidRPr="008D52AB" w:rsidRDefault="00914E70" w:rsidP="004C79C1">
            <w:pPr>
              <w:pStyle w:val="Tabletext1"/>
              <w:spacing w:before="0" w:after="120"/>
            </w:pPr>
            <w:r w:rsidRPr="008D52AB">
              <w:t>Sensitivity: 0.89 (95%CI 0.77, 0.96)</w:t>
            </w:r>
          </w:p>
          <w:p w14:paraId="3ADED206" w14:textId="77777777" w:rsidR="00914E70" w:rsidRPr="008D52AB" w:rsidRDefault="00914E70" w:rsidP="004C79C1">
            <w:pPr>
              <w:pStyle w:val="Tabletext1"/>
              <w:spacing w:before="0" w:after="120"/>
            </w:pPr>
            <w:r w:rsidRPr="008D52AB">
              <w:t>Specificity: 0.70 (95%CI 0.58, 0.79)</w:t>
            </w:r>
          </w:p>
        </w:tc>
        <w:tc>
          <w:tcPr>
            <w:tcW w:w="1406" w:type="dxa"/>
          </w:tcPr>
          <w:p w14:paraId="112C1257" w14:textId="77777777" w:rsidR="00914E70" w:rsidRPr="008D52AB" w:rsidRDefault="00914E70" w:rsidP="004C79C1">
            <w:pPr>
              <w:pStyle w:val="Tabletext1"/>
              <w:spacing w:before="0" w:after="120"/>
            </w:pPr>
            <w:r w:rsidRPr="008D52AB">
              <w:t>Clinical d</w:t>
            </w:r>
            <w:r>
              <w:t>iagnosis</w:t>
            </w:r>
          </w:p>
        </w:tc>
        <w:tc>
          <w:tcPr>
            <w:tcW w:w="1803" w:type="dxa"/>
          </w:tcPr>
          <w:p w14:paraId="62C84522" w14:textId="77777777" w:rsidR="00914E70" w:rsidRPr="008D52AB" w:rsidRDefault="00914E70" w:rsidP="004C79C1">
            <w:pPr>
              <w:keepNext/>
              <w:spacing w:after="120" w:line="240" w:lineRule="auto"/>
              <w:rPr>
                <w:rFonts w:ascii="Arial Narrow" w:hAnsi="Arial Narrow" w:cs="Arial"/>
                <w:sz w:val="20"/>
                <w:szCs w:val="20"/>
              </w:rPr>
            </w:pPr>
            <w:r w:rsidRPr="008D52AB">
              <w:rPr>
                <w:rFonts w:ascii="Arial Narrow" w:hAnsi="Arial Narrow" w:cs="Arial"/>
                <w:sz w:val="20"/>
                <w:szCs w:val="20"/>
              </w:rPr>
              <w:t>High</w:t>
            </w:r>
          </w:p>
          <w:p w14:paraId="381105AA" w14:textId="77777777" w:rsidR="00914E70" w:rsidRPr="008D52AB" w:rsidRDefault="00914E70" w:rsidP="004C79C1">
            <w:pPr>
              <w:keepNext/>
              <w:spacing w:after="120" w:line="240" w:lineRule="auto"/>
              <w:rPr>
                <w:rFonts w:ascii="Arial Narrow" w:hAnsi="Arial Narrow" w:cs="Arial"/>
                <w:sz w:val="20"/>
                <w:szCs w:val="20"/>
              </w:rPr>
            </w:pPr>
            <w:r w:rsidRPr="008D52AB">
              <w:rPr>
                <w:rFonts w:ascii="Cambria Math" w:hAnsi="Cambria Math"/>
                <w:color w:val="00B050"/>
                <w:sz w:val="20"/>
                <w:szCs w:val="20"/>
              </w:rPr>
              <w:t>⨁⨁⨁⨁</w:t>
            </w:r>
          </w:p>
        </w:tc>
      </w:tr>
      <w:tr w:rsidR="00914E70" w14:paraId="7730F28D" w14:textId="77777777" w:rsidTr="000152B0">
        <w:tc>
          <w:tcPr>
            <w:tcW w:w="1804" w:type="dxa"/>
            <w:tcBorders>
              <w:top w:val="single" w:sz="4" w:space="0" w:color="auto"/>
              <w:left w:val="single" w:sz="4" w:space="0" w:color="auto"/>
              <w:bottom w:val="nil"/>
              <w:right w:val="single" w:sz="4" w:space="0" w:color="auto"/>
            </w:tcBorders>
          </w:tcPr>
          <w:p w14:paraId="782DE1BC" w14:textId="77777777" w:rsidR="00914E70" w:rsidRPr="008D52AB" w:rsidRDefault="00914E70" w:rsidP="004C79C1">
            <w:pPr>
              <w:pStyle w:val="Tabletext1"/>
              <w:spacing w:before="0" w:after="120"/>
            </w:pPr>
            <w:r w:rsidRPr="008D52AB">
              <w:t>Determine non-ischaemic cause</w:t>
            </w:r>
          </w:p>
        </w:tc>
        <w:tc>
          <w:tcPr>
            <w:tcW w:w="1803" w:type="dxa"/>
            <w:tcBorders>
              <w:left w:val="single" w:sz="4" w:space="0" w:color="auto"/>
            </w:tcBorders>
          </w:tcPr>
          <w:p w14:paraId="1339EA41" w14:textId="77777777" w:rsidR="00914E70" w:rsidRPr="008D52AB" w:rsidRDefault="00914E70" w:rsidP="004C79C1">
            <w:pPr>
              <w:pStyle w:val="Tabletext1"/>
              <w:spacing w:before="0" w:after="120"/>
            </w:pPr>
            <w:r w:rsidRPr="008D52AB">
              <w:t>N=377</w:t>
            </w:r>
          </w:p>
          <w:p w14:paraId="2FDC7197" w14:textId="77777777" w:rsidR="00914E70" w:rsidRPr="008D52AB" w:rsidRDefault="00914E70" w:rsidP="004C79C1">
            <w:pPr>
              <w:pStyle w:val="Tabletext1"/>
              <w:spacing w:before="0" w:after="120"/>
            </w:pPr>
            <w:r w:rsidRPr="008D52AB">
              <w:t>K=6 studies</w:t>
            </w:r>
          </w:p>
        </w:tc>
        <w:tc>
          <w:tcPr>
            <w:tcW w:w="2200" w:type="dxa"/>
          </w:tcPr>
          <w:p w14:paraId="36FE8D9D" w14:textId="31CF1316" w:rsidR="00914E70" w:rsidRPr="008D52AB" w:rsidRDefault="00914E70" w:rsidP="004C79C1">
            <w:pPr>
              <w:pStyle w:val="Tabletext1"/>
              <w:spacing w:before="0" w:after="120"/>
            </w:pPr>
            <w:r w:rsidRPr="008D52AB">
              <w:t>Sensitivity: 0.68</w:t>
            </w:r>
            <w:r w:rsidR="003C1353">
              <w:t>–</w:t>
            </w:r>
            <w:r w:rsidRPr="008D52AB">
              <w:t xml:space="preserve">1.00 </w:t>
            </w:r>
          </w:p>
          <w:p w14:paraId="5E8B9F1E" w14:textId="701C0FC0" w:rsidR="00914E70" w:rsidRPr="008D52AB" w:rsidRDefault="00914E70" w:rsidP="004C79C1">
            <w:pPr>
              <w:pStyle w:val="Tabletext1"/>
              <w:spacing w:before="0" w:after="120"/>
            </w:pPr>
            <w:r w:rsidRPr="008D52AB">
              <w:t>Specificity: 0.71</w:t>
            </w:r>
            <w:r w:rsidR="003C1353">
              <w:t>–</w:t>
            </w:r>
            <w:r w:rsidRPr="008D52AB">
              <w:t>1.00</w:t>
            </w:r>
          </w:p>
        </w:tc>
        <w:tc>
          <w:tcPr>
            <w:tcW w:w="1406" w:type="dxa"/>
          </w:tcPr>
          <w:p w14:paraId="2D642EFF" w14:textId="77777777" w:rsidR="00914E70" w:rsidRPr="008D52AB" w:rsidRDefault="00914E70" w:rsidP="004C79C1">
            <w:pPr>
              <w:pStyle w:val="Tabletext1"/>
              <w:spacing w:before="0" w:after="120"/>
            </w:pPr>
            <w:r w:rsidRPr="008D52AB">
              <w:t>ICA</w:t>
            </w:r>
          </w:p>
        </w:tc>
        <w:tc>
          <w:tcPr>
            <w:tcW w:w="1803" w:type="dxa"/>
          </w:tcPr>
          <w:p w14:paraId="776BB218" w14:textId="77777777" w:rsidR="00914E70" w:rsidRPr="008D52AB" w:rsidRDefault="00914E70" w:rsidP="004C79C1">
            <w:pPr>
              <w:pStyle w:val="Tabletext1"/>
              <w:spacing w:before="0" w:after="120"/>
              <w:rPr>
                <w:rFonts w:cs="Cambria Math"/>
              </w:rPr>
            </w:pPr>
            <w:r w:rsidRPr="008D52AB">
              <w:rPr>
                <w:rFonts w:cs="Cambria Math"/>
              </w:rPr>
              <w:t xml:space="preserve">Low </w:t>
            </w:r>
          </w:p>
          <w:p w14:paraId="799C2B2A" w14:textId="77777777" w:rsidR="00914E70" w:rsidRPr="008D52AB" w:rsidRDefault="00914E70" w:rsidP="004C79C1">
            <w:pPr>
              <w:keepNext/>
              <w:spacing w:after="120" w:line="240" w:lineRule="auto"/>
              <w:rPr>
                <w:rFonts w:ascii="Arial Narrow" w:hAnsi="Arial Narrow" w:cs="Arial"/>
                <w:sz w:val="20"/>
                <w:szCs w:val="20"/>
              </w:rPr>
            </w:pPr>
            <w:r w:rsidRPr="008D52AB">
              <w:rPr>
                <w:rFonts w:ascii="Cambria Math" w:hAnsi="Cambria Math"/>
                <w:color w:val="00B050"/>
                <w:sz w:val="20"/>
                <w:szCs w:val="20"/>
              </w:rPr>
              <w:t>⨁⨁</w:t>
            </w:r>
            <w:r w:rsidRPr="008D52AB">
              <w:rPr>
                <w:rFonts w:ascii="Cambria Math" w:hAnsi="Cambria Math" w:cs="Cambria Math"/>
                <w:color w:val="C00000"/>
                <w:sz w:val="20"/>
                <w:szCs w:val="20"/>
              </w:rPr>
              <w:t>⨀⨀</w:t>
            </w:r>
          </w:p>
        </w:tc>
      </w:tr>
      <w:tr w:rsidR="00914E70" w14:paraId="2BDCDDEE" w14:textId="77777777" w:rsidTr="000152B0">
        <w:tc>
          <w:tcPr>
            <w:tcW w:w="1804" w:type="dxa"/>
            <w:tcBorders>
              <w:top w:val="nil"/>
              <w:left w:val="single" w:sz="4" w:space="0" w:color="auto"/>
              <w:bottom w:val="single" w:sz="4" w:space="0" w:color="auto"/>
              <w:right w:val="single" w:sz="4" w:space="0" w:color="auto"/>
            </w:tcBorders>
          </w:tcPr>
          <w:p w14:paraId="2BD5F4A6" w14:textId="77777777" w:rsidR="00914E70" w:rsidRPr="008D52AB" w:rsidRDefault="00914E70" w:rsidP="004C79C1">
            <w:pPr>
              <w:pStyle w:val="Tabletext1"/>
              <w:spacing w:before="0" w:after="120"/>
            </w:pPr>
          </w:p>
        </w:tc>
        <w:tc>
          <w:tcPr>
            <w:tcW w:w="1803" w:type="dxa"/>
            <w:tcBorders>
              <w:left w:val="single" w:sz="4" w:space="0" w:color="auto"/>
            </w:tcBorders>
          </w:tcPr>
          <w:p w14:paraId="4A174DA9" w14:textId="77777777" w:rsidR="00914E70" w:rsidRPr="008D52AB" w:rsidRDefault="00914E70" w:rsidP="004C79C1">
            <w:pPr>
              <w:pStyle w:val="Tabletext1"/>
              <w:spacing w:before="0" w:after="120"/>
            </w:pPr>
            <w:r w:rsidRPr="008D52AB">
              <w:t>N=144 patients</w:t>
            </w:r>
          </w:p>
          <w:p w14:paraId="7B0B1F90" w14:textId="77777777" w:rsidR="00914E70" w:rsidRPr="008D52AB" w:rsidRDefault="00914E70" w:rsidP="004C79C1">
            <w:pPr>
              <w:pStyle w:val="Tabletext1"/>
              <w:spacing w:before="0" w:after="120"/>
            </w:pPr>
            <w:r w:rsidRPr="008D52AB">
              <w:t>K=2 studies</w:t>
            </w:r>
          </w:p>
        </w:tc>
        <w:tc>
          <w:tcPr>
            <w:tcW w:w="2200" w:type="dxa"/>
          </w:tcPr>
          <w:p w14:paraId="74C6C8FA" w14:textId="7F953401" w:rsidR="00914E70" w:rsidRPr="008D52AB" w:rsidRDefault="00914E70" w:rsidP="004C79C1">
            <w:pPr>
              <w:pStyle w:val="Tabletext1"/>
              <w:spacing w:before="0" w:after="120"/>
            </w:pPr>
            <w:r w:rsidRPr="008D52AB">
              <w:t>Sensitivity: 0.85</w:t>
            </w:r>
            <w:r w:rsidR="003C1353">
              <w:t>–</w:t>
            </w:r>
            <w:r w:rsidRPr="008D52AB">
              <w:t xml:space="preserve">1.00 </w:t>
            </w:r>
          </w:p>
          <w:p w14:paraId="09190DCB" w14:textId="19F902ED" w:rsidR="00914E70" w:rsidRPr="008D52AB" w:rsidRDefault="00914E70" w:rsidP="004C79C1">
            <w:pPr>
              <w:pStyle w:val="Tabletext1"/>
              <w:spacing w:before="0" w:after="120"/>
            </w:pPr>
            <w:r w:rsidRPr="008D52AB">
              <w:t>Specificity: 0.82</w:t>
            </w:r>
            <w:r w:rsidR="003C1353">
              <w:t>–</w:t>
            </w:r>
            <w:r w:rsidRPr="008D52AB">
              <w:t>0.88</w:t>
            </w:r>
          </w:p>
        </w:tc>
        <w:tc>
          <w:tcPr>
            <w:tcW w:w="1406" w:type="dxa"/>
          </w:tcPr>
          <w:p w14:paraId="2132D8AC" w14:textId="77777777" w:rsidR="00914E70" w:rsidRPr="008D52AB" w:rsidRDefault="00914E70" w:rsidP="004C79C1">
            <w:pPr>
              <w:pStyle w:val="Tabletext1"/>
              <w:spacing w:before="0" w:after="120"/>
            </w:pPr>
            <w:r w:rsidRPr="008D52AB">
              <w:t>Clinical d</w:t>
            </w:r>
            <w:r>
              <w:t>iagnosis</w:t>
            </w:r>
          </w:p>
        </w:tc>
        <w:tc>
          <w:tcPr>
            <w:tcW w:w="1803" w:type="dxa"/>
          </w:tcPr>
          <w:p w14:paraId="36AF139B" w14:textId="77777777" w:rsidR="00914E70" w:rsidRPr="008D52AB" w:rsidRDefault="00914E70" w:rsidP="004C79C1">
            <w:pPr>
              <w:keepNext/>
              <w:spacing w:after="120" w:line="240" w:lineRule="auto"/>
              <w:rPr>
                <w:rFonts w:ascii="Arial Narrow" w:hAnsi="Arial Narrow" w:cs="Arial"/>
                <w:sz w:val="20"/>
                <w:szCs w:val="20"/>
              </w:rPr>
            </w:pPr>
            <w:r w:rsidRPr="008D52AB">
              <w:rPr>
                <w:rFonts w:ascii="Arial Narrow" w:hAnsi="Arial Narrow" w:cs="Arial"/>
                <w:sz w:val="20"/>
                <w:szCs w:val="20"/>
              </w:rPr>
              <w:t>High</w:t>
            </w:r>
          </w:p>
          <w:p w14:paraId="758FE1F8" w14:textId="77777777" w:rsidR="00914E70" w:rsidRPr="008D52AB" w:rsidRDefault="00914E70" w:rsidP="004C79C1">
            <w:pPr>
              <w:keepNext/>
              <w:spacing w:after="120" w:line="240" w:lineRule="auto"/>
              <w:rPr>
                <w:rFonts w:ascii="Arial Narrow" w:hAnsi="Arial Narrow" w:cs="Arial"/>
                <w:sz w:val="20"/>
                <w:szCs w:val="20"/>
              </w:rPr>
            </w:pPr>
            <w:r w:rsidRPr="008D52AB">
              <w:rPr>
                <w:rFonts w:ascii="Cambria Math" w:hAnsi="Cambria Math"/>
                <w:color w:val="00B050"/>
                <w:sz w:val="20"/>
                <w:szCs w:val="20"/>
              </w:rPr>
              <w:t>⨁⨁⨁⨁</w:t>
            </w:r>
          </w:p>
        </w:tc>
      </w:tr>
      <w:tr w:rsidR="00914E70" w14:paraId="45FB58F4" w14:textId="77777777" w:rsidTr="000152B0">
        <w:tc>
          <w:tcPr>
            <w:tcW w:w="1804" w:type="dxa"/>
            <w:tcBorders>
              <w:top w:val="single" w:sz="4" w:space="0" w:color="auto"/>
            </w:tcBorders>
          </w:tcPr>
          <w:p w14:paraId="533AD099" w14:textId="77777777" w:rsidR="00914E70" w:rsidRPr="008D52AB" w:rsidRDefault="00914E70" w:rsidP="004C79C1">
            <w:pPr>
              <w:pStyle w:val="Tabletext1"/>
              <w:spacing w:before="0" w:after="120"/>
            </w:pPr>
            <w:r w:rsidRPr="008D52AB">
              <w:t>Determine inflammatory cause</w:t>
            </w:r>
          </w:p>
        </w:tc>
        <w:tc>
          <w:tcPr>
            <w:tcW w:w="1803" w:type="dxa"/>
          </w:tcPr>
          <w:p w14:paraId="12614EF5" w14:textId="77777777" w:rsidR="00914E70" w:rsidRPr="008D52AB" w:rsidRDefault="00914E70" w:rsidP="004C79C1">
            <w:pPr>
              <w:pStyle w:val="Tabletext1"/>
              <w:spacing w:before="0" w:after="120"/>
            </w:pPr>
            <w:r w:rsidRPr="008D52AB">
              <w:t>N=97 patients</w:t>
            </w:r>
          </w:p>
          <w:p w14:paraId="3A1ECA85" w14:textId="77777777" w:rsidR="00914E70" w:rsidRPr="008D52AB" w:rsidRDefault="00914E70" w:rsidP="004C79C1">
            <w:pPr>
              <w:pStyle w:val="Tabletext1"/>
              <w:spacing w:before="0" w:after="120"/>
            </w:pPr>
            <w:r w:rsidRPr="008D52AB">
              <w:t>K=3 studies</w:t>
            </w:r>
          </w:p>
        </w:tc>
        <w:tc>
          <w:tcPr>
            <w:tcW w:w="2200" w:type="dxa"/>
          </w:tcPr>
          <w:p w14:paraId="4A4C2F07" w14:textId="00F1FB9E" w:rsidR="00914E70" w:rsidRPr="008D52AB" w:rsidRDefault="00914E70" w:rsidP="004C79C1">
            <w:pPr>
              <w:pStyle w:val="Tabletext1"/>
              <w:spacing w:before="0" w:after="120"/>
            </w:pPr>
            <w:r w:rsidRPr="008D52AB">
              <w:t>Sensitivity: 0.58</w:t>
            </w:r>
            <w:r w:rsidR="003C1353">
              <w:t>–</w:t>
            </w:r>
            <w:r w:rsidRPr="008D52AB">
              <w:t>0.87</w:t>
            </w:r>
          </w:p>
          <w:p w14:paraId="67B4E9CB" w14:textId="5E4E94BE" w:rsidR="00914E70" w:rsidRPr="008D52AB" w:rsidRDefault="00914E70" w:rsidP="004C79C1">
            <w:pPr>
              <w:pStyle w:val="Tabletext1"/>
              <w:spacing w:before="0" w:after="120"/>
            </w:pPr>
            <w:r w:rsidRPr="008D52AB">
              <w:t>Specificity: 0.33</w:t>
            </w:r>
            <w:r w:rsidR="003C1353">
              <w:t>–</w:t>
            </w:r>
            <w:r w:rsidRPr="008D52AB">
              <w:t>0.50</w:t>
            </w:r>
          </w:p>
        </w:tc>
        <w:tc>
          <w:tcPr>
            <w:tcW w:w="1406" w:type="dxa"/>
          </w:tcPr>
          <w:p w14:paraId="227A112D" w14:textId="77777777" w:rsidR="00914E70" w:rsidRPr="008D52AB" w:rsidRDefault="00914E70" w:rsidP="004C79C1">
            <w:pPr>
              <w:pStyle w:val="Tabletext1"/>
              <w:spacing w:before="0" w:after="120"/>
            </w:pPr>
            <w:r w:rsidRPr="008D52AB">
              <w:t>Biopsy</w:t>
            </w:r>
          </w:p>
        </w:tc>
        <w:tc>
          <w:tcPr>
            <w:tcW w:w="1803" w:type="dxa"/>
          </w:tcPr>
          <w:p w14:paraId="3FF1AB90" w14:textId="77777777" w:rsidR="00914E70" w:rsidRPr="008D52AB" w:rsidRDefault="00914E70" w:rsidP="004C79C1">
            <w:pPr>
              <w:pStyle w:val="Tabletext1"/>
              <w:spacing w:before="0" w:after="120"/>
              <w:rPr>
                <w:rFonts w:cs="Cambria Math"/>
              </w:rPr>
            </w:pPr>
            <w:r w:rsidRPr="008D52AB">
              <w:rPr>
                <w:rFonts w:cs="Cambria Math"/>
              </w:rPr>
              <w:t xml:space="preserve">Low </w:t>
            </w:r>
          </w:p>
          <w:p w14:paraId="354F8057" w14:textId="77777777" w:rsidR="00914E70" w:rsidRPr="008D52AB" w:rsidRDefault="00914E70" w:rsidP="004C79C1">
            <w:pPr>
              <w:keepNext/>
              <w:spacing w:after="120" w:line="240" w:lineRule="auto"/>
              <w:rPr>
                <w:rFonts w:ascii="Arial Narrow" w:hAnsi="Arial Narrow" w:cs="Arial"/>
                <w:sz w:val="20"/>
                <w:szCs w:val="20"/>
              </w:rPr>
            </w:pPr>
            <w:r w:rsidRPr="008D52AB">
              <w:rPr>
                <w:rFonts w:ascii="Cambria Math" w:hAnsi="Cambria Math"/>
                <w:color w:val="00B050"/>
                <w:sz w:val="20"/>
                <w:szCs w:val="20"/>
              </w:rPr>
              <w:t>⨁⨁</w:t>
            </w:r>
            <w:r w:rsidRPr="008D52AB">
              <w:rPr>
                <w:rFonts w:ascii="Cambria Math" w:hAnsi="Cambria Math" w:cs="Cambria Math"/>
                <w:color w:val="C00000"/>
                <w:sz w:val="20"/>
                <w:szCs w:val="20"/>
              </w:rPr>
              <w:t>⨀⨀</w:t>
            </w:r>
          </w:p>
        </w:tc>
      </w:tr>
    </w:tbl>
    <w:p w14:paraId="1D2A63BB" w14:textId="60CD1832" w:rsidR="00B02AA9" w:rsidRPr="004331B1" w:rsidRDefault="00914E70" w:rsidP="004C79C1">
      <w:pPr>
        <w:pStyle w:val="Tablenotes0"/>
        <w:spacing w:before="0" w:after="120"/>
        <w:rPr>
          <w:vertAlign w:val="superscript"/>
        </w:rPr>
      </w:pPr>
      <w:bookmarkStart w:id="303" w:name="_Toc324410141"/>
      <w:proofErr w:type="gramStart"/>
      <w:r w:rsidRPr="004F27DB">
        <w:rPr>
          <w:vertAlign w:val="superscript"/>
        </w:rPr>
        <w:t>a</w:t>
      </w:r>
      <w:proofErr w:type="gramEnd"/>
      <w:r w:rsidRPr="004F27DB">
        <w:rPr>
          <w:vertAlign w:val="superscript"/>
        </w:rPr>
        <w:t xml:space="preserve"> </w:t>
      </w:r>
      <w:r w:rsidRPr="004F27DB">
        <w:t>GRADE Working Group grades of evidence (Guyatt et al. 2013)</w:t>
      </w:r>
      <w:r w:rsidR="004F27DB">
        <w:t>:</w:t>
      </w:r>
      <w:bookmarkEnd w:id="303"/>
    </w:p>
    <w:p w14:paraId="406310DA" w14:textId="77777777" w:rsidR="00B02AA9" w:rsidRDefault="00914E70" w:rsidP="004C79C1">
      <w:pPr>
        <w:pStyle w:val="Tablenotes0"/>
        <w:spacing w:before="0" w:after="120"/>
      </w:pPr>
      <w:bookmarkStart w:id="304" w:name="_Toc324410142"/>
      <w:r w:rsidRPr="00C60272">
        <w:rPr>
          <w:rFonts w:ascii="Cambria Math" w:hAnsi="Cambria Math" w:cs="Cambria Math"/>
          <w:color w:val="00B050"/>
        </w:rPr>
        <w:t>⨁⨁⨁⨁</w:t>
      </w:r>
      <w:r w:rsidRPr="00C60272">
        <w:rPr>
          <w:color w:val="00B050"/>
        </w:rPr>
        <w:t xml:space="preserve"> </w:t>
      </w:r>
      <w:r w:rsidRPr="00C60272">
        <w:t>High quality: We are very confident that the true effect lies close to that of the estimate of effect.</w:t>
      </w:r>
      <w:bookmarkEnd w:id="304"/>
      <w:r w:rsidRPr="00C60272">
        <w:t xml:space="preserve"> </w:t>
      </w:r>
    </w:p>
    <w:p w14:paraId="0B282EFD" w14:textId="37263385" w:rsidR="00B02AA9" w:rsidRDefault="00914E70" w:rsidP="004C79C1">
      <w:pPr>
        <w:pStyle w:val="Tablenotes0"/>
        <w:spacing w:before="0" w:after="120"/>
      </w:pPr>
      <w:bookmarkStart w:id="305" w:name="_Toc324410143"/>
      <w:r w:rsidRPr="00C60272">
        <w:rPr>
          <w:rFonts w:ascii="Cambria Math" w:hAnsi="Cambria Math" w:cs="Cambria Math"/>
          <w:color w:val="00B050"/>
        </w:rPr>
        <w:t>⨁⨁⨁</w:t>
      </w:r>
      <w:r w:rsidRPr="00C60272">
        <w:rPr>
          <w:rFonts w:ascii="Cambria Math" w:hAnsi="Cambria Math" w:cs="Cambria Math"/>
          <w:color w:val="C00000"/>
        </w:rPr>
        <w:t>⨀</w:t>
      </w:r>
      <w:r w:rsidRPr="00C60272">
        <w:rPr>
          <w:rFonts w:cs="Cambria Math"/>
          <w:color w:val="C00000"/>
        </w:rPr>
        <w:t xml:space="preserve"> </w:t>
      </w:r>
      <w:r w:rsidRPr="00C60272">
        <w:t xml:space="preserve">Moderate quality: We are moderately confident in the effect estimate: </w:t>
      </w:r>
      <w:r w:rsidR="003C1353">
        <w:t>t</w:t>
      </w:r>
      <w:r w:rsidRPr="00C60272">
        <w:t>he true effect is likely to be close to the estimate of the effect, but there is a possibility that it is substantially different.</w:t>
      </w:r>
      <w:bookmarkEnd w:id="305"/>
      <w:r w:rsidRPr="00C60272">
        <w:t xml:space="preserve"> </w:t>
      </w:r>
    </w:p>
    <w:p w14:paraId="2FA4E4CA" w14:textId="4F934ABC" w:rsidR="00B02AA9" w:rsidRDefault="00914E70" w:rsidP="004C79C1">
      <w:pPr>
        <w:pStyle w:val="Tablenotes0"/>
        <w:spacing w:before="0" w:after="120"/>
      </w:pPr>
      <w:bookmarkStart w:id="306" w:name="_Toc324410144"/>
      <w:r w:rsidRPr="00C60272">
        <w:rPr>
          <w:rFonts w:ascii="Cambria Math" w:hAnsi="Cambria Math" w:cs="Cambria Math"/>
          <w:color w:val="00B050"/>
        </w:rPr>
        <w:t>⨁⨁</w:t>
      </w:r>
      <w:r w:rsidRPr="00C60272">
        <w:rPr>
          <w:rFonts w:ascii="Cambria Math" w:hAnsi="Cambria Math" w:cs="Cambria Math"/>
          <w:color w:val="C00000"/>
        </w:rPr>
        <w:t>⨀⨀</w:t>
      </w:r>
      <w:r w:rsidRPr="00C60272">
        <w:rPr>
          <w:rFonts w:cs="Cambria Math"/>
          <w:color w:val="C00000"/>
        </w:rPr>
        <w:t xml:space="preserve"> </w:t>
      </w:r>
      <w:r w:rsidRPr="00C60272">
        <w:t xml:space="preserve">Low quality: Our confidence in the effect estimate is limited: </w:t>
      </w:r>
      <w:r w:rsidR="003C1353">
        <w:t>t</w:t>
      </w:r>
      <w:r w:rsidRPr="00C60272">
        <w:t>he true effect may be substantially different from the estimate of the effect.</w:t>
      </w:r>
      <w:bookmarkEnd w:id="306"/>
    </w:p>
    <w:p w14:paraId="56907031" w14:textId="60A6EAD5" w:rsidR="00914E70" w:rsidRDefault="00914E70" w:rsidP="004C79C1">
      <w:pPr>
        <w:pStyle w:val="Tablenotes0"/>
        <w:spacing w:before="0" w:after="120"/>
      </w:pPr>
      <w:bookmarkStart w:id="307" w:name="_Toc324410145"/>
      <w:r w:rsidRPr="00C60272">
        <w:rPr>
          <w:rFonts w:ascii="Cambria Math" w:hAnsi="Cambria Math" w:cs="Cambria Math"/>
          <w:color w:val="00B050"/>
        </w:rPr>
        <w:t>⨁</w:t>
      </w:r>
      <w:r w:rsidRPr="00C60272">
        <w:rPr>
          <w:rFonts w:ascii="Cambria Math" w:hAnsi="Cambria Math" w:cs="Cambria Math"/>
          <w:color w:val="C00000"/>
        </w:rPr>
        <w:t>⨀⨀⨀</w:t>
      </w:r>
      <w:r w:rsidRPr="00C60272">
        <w:rPr>
          <w:rFonts w:cs="Cambria Math"/>
          <w:color w:val="C00000"/>
        </w:rPr>
        <w:t xml:space="preserve"> </w:t>
      </w:r>
      <w:r w:rsidRPr="00C60272">
        <w:t xml:space="preserve">Very low quality: We have very little confidence in the effect estimate: </w:t>
      </w:r>
      <w:r w:rsidR="003C1353">
        <w:t>t</w:t>
      </w:r>
      <w:r w:rsidRPr="00C60272">
        <w:t xml:space="preserve">he true effect is likely to be substantially </w:t>
      </w:r>
      <w:r w:rsidRPr="00C60272">
        <w:lastRenderedPageBreak/>
        <w:t>different from the estimate of effect.</w:t>
      </w:r>
      <w:bookmarkEnd w:id="307"/>
    </w:p>
    <w:p w14:paraId="5354DB8B" w14:textId="2F42A635" w:rsidR="00255F9A" w:rsidRPr="00254898" w:rsidRDefault="00255F9A" w:rsidP="004C79C1">
      <w:pPr>
        <w:pStyle w:val="Tablenotes0"/>
        <w:spacing w:before="0" w:after="120"/>
      </w:pPr>
      <w:r w:rsidRPr="00254898">
        <w:t xml:space="preserve">DCM = dilated cardiomyopathy; ICA = invasive coronary angiography; K = number of studies; LGE-CMR = late gadolinium enhancement cardiac magnetic resonance (imaging); N = </w:t>
      </w:r>
      <w:r w:rsidR="00294B65" w:rsidRPr="00254898">
        <w:t>number of patients</w:t>
      </w:r>
    </w:p>
    <w:p w14:paraId="7E2CE2AF" w14:textId="4D06DC3E" w:rsidR="00914E70" w:rsidRDefault="00914E70" w:rsidP="004C79C1">
      <w:pPr>
        <w:pStyle w:val="Heading2"/>
        <w:numPr>
          <w:ilvl w:val="1"/>
          <w:numId w:val="22"/>
        </w:numPr>
        <w:spacing w:before="0" w:after="120" w:line="240" w:lineRule="auto"/>
      </w:pPr>
      <w:bookmarkStart w:id="308" w:name="_Toc432677372"/>
      <w:bookmarkStart w:id="309" w:name="_Toc451501318"/>
      <w:r>
        <w:t xml:space="preserve">Extended </w:t>
      </w:r>
      <w:r w:rsidR="0067665D">
        <w:t>A</w:t>
      </w:r>
      <w:r>
        <w:t xml:space="preserve">ssessment of </w:t>
      </w:r>
      <w:r w:rsidR="0067665D">
        <w:t>R</w:t>
      </w:r>
      <w:r>
        <w:t xml:space="preserve">eliability </w:t>
      </w:r>
      <w:r w:rsidR="0067665D">
        <w:t>of E</w:t>
      </w:r>
      <w:r>
        <w:t>vidence</w:t>
      </w:r>
      <w:bookmarkEnd w:id="308"/>
      <w:bookmarkEnd w:id="309"/>
      <w:r>
        <w:t xml:space="preserve"> </w:t>
      </w:r>
    </w:p>
    <w:p w14:paraId="1B016071" w14:textId="1FC847F5" w:rsidR="00914E70" w:rsidRDefault="00914E70" w:rsidP="004C79C1">
      <w:pPr>
        <w:spacing w:after="120" w:line="240" w:lineRule="auto"/>
        <w:jc w:val="both"/>
        <w:rPr>
          <w:b/>
          <w:szCs w:val="24"/>
        </w:rPr>
      </w:pPr>
      <w:r w:rsidRPr="00064A78">
        <w:rPr>
          <w:szCs w:val="24"/>
        </w:rPr>
        <w:t>The term</w:t>
      </w:r>
      <w:r w:rsidRPr="00064A78">
        <w:rPr>
          <w:b/>
          <w:szCs w:val="24"/>
        </w:rPr>
        <w:t xml:space="preserve"> </w:t>
      </w:r>
      <w:r w:rsidRPr="00064A78">
        <w:rPr>
          <w:i/>
          <w:szCs w:val="24"/>
        </w:rPr>
        <w:t>reliability</w:t>
      </w:r>
      <w:r w:rsidRPr="00064A78">
        <w:rPr>
          <w:b/>
          <w:szCs w:val="24"/>
        </w:rPr>
        <w:t xml:space="preserve"> </w:t>
      </w:r>
      <w:r w:rsidRPr="00064A78">
        <w:rPr>
          <w:szCs w:val="24"/>
        </w:rPr>
        <w:t xml:space="preserve">(which is analogous to the concept of </w:t>
      </w:r>
      <w:r w:rsidRPr="00064A78">
        <w:rPr>
          <w:i/>
          <w:szCs w:val="24"/>
        </w:rPr>
        <w:t>precision</w:t>
      </w:r>
      <w:r w:rsidRPr="00064A78">
        <w:rPr>
          <w:szCs w:val="24"/>
        </w:rPr>
        <w:t xml:space="preserve">) refers to the amount of agreement </w:t>
      </w:r>
      <w:r w:rsidR="008975F8">
        <w:rPr>
          <w:szCs w:val="24"/>
        </w:rPr>
        <w:t>between/among</w:t>
      </w:r>
      <w:r w:rsidR="008975F8" w:rsidRPr="00064A78">
        <w:rPr>
          <w:szCs w:val="24"/>
        </w:rPr>
        <w:t xml:space="preserve"> </w:t>
      </w:r>
      <w:r w:rsidRPr="00064A78">
        <w:rPr>
          <w:szCs w:val="24"/>
        </w:rPr>
        <w:t>different operators or instruments applying the same investigative medical ser</w:t>
      </w:r>
      <w:r w:rsidR="00383F0B">
        <w:rPr>
          <w:szCs w:val="24"/>
        </w:rPr>
        <w:t>vice</w:t>
      </w:r>
      <w:r w:rsidR="008975F8">
        <w:rPr>
          <w:szCs w:val="24"/>
        </w:rPr>
        <w:t>;</w:t>
      </w:r>
      <w:r w:rsidR="00383F0B">
        <w:rPr>
          <w:szCs w:val="24"/>
        </w:rPr>
        <w:t xml:space="preserve"> </w:t>
      </w:r>
      <w:r w:rsidR="008975F8">
        <w:rPr>
          <w:szCs w:val="24"/>
        </w:rPr>
        <w:t>t</w:t>
      </w:r>
      <w:r w:rsidRPr="00064A78">
        <w:rPr>
          <w:szCs w:val="24"/>
        </w:rPr>
        <w:t xml:space="preserve">hat is, a reliable investigative medical service is measuring something consistently. Reliability is sometimes referred to as </w:t>
      </w:r>
      <w:r w:rsidRPr="00064A78">
        <w:rPr>
          <w:i/>
          <w:szCs w:val="24"/>
        </w:rPr>
        <w:t>reproducibility</w:t>
      </w:r>
      <w:r w:rsidRPr="00064A78">
        <w:rPr>
          <w:szCs w:val="24"/>
        </w:rPr>
        <w:t xml:space="preserve"> or </w:t>
      </w:r>
      <w:r w:rsidRPr="00064A78">
        <w:rPr>
          <w:i/>
          <w:szCs w:val="24"/>
        </w:rPr>
        <w:t>repeatability</w:t>
      </w:r>
      <w:r w:rsidRPr="00064A78">
        <w:rPr>
          <w:szCs w:val="24"/>
        </w:rPr>
        <w:t>.</w:t>
      </w:r>
    </w:p>
    <w:p w14:paraId="1EDD951C" w14:textId="1E22C2B5" w:rsidR="00914E70" w:rsidRPr="00E669F1" w:rsidRDefault="00914E70" w:rsidP="004C79C1">
      <w:pPr>
        <w:spacing w:after="120" w:line="240" w:lineRule="auto"/>
        <w:jc w:val="both"/>
      </w:pPr>
      <w:r>
        <w:t xml:space="preserve">No studies were identified </w:t>
      </w:r>
      <w:r w:rsidR="008975F8">
        <w:t xml:space="preserve">that </w:t>
      </w:r>
      <w:r>
        <w:t xml:space="preserve">included reproducibility analysis of either LGE-CMR or the main comparators in </w:t>
      </w:r>
      <w:r w:rsidR="008975F8">
        <w:t xml:space="preserve">the </w:t>
      </w:r>
      <w:r>
        <w:t xml:space="preserve">patient population. </w:t>
      </w:r>
    </w:p>
    <w:p w14:paraId="113F85BC" w14:textId="36946189" w:rsidR="005061B6" w:rsidRPr="00B50CCC" w:rsidRDefault="005061B6" w:rsidP="004C79C1">
      <w:pPr>
        <w:pStyle w:val="Heading2"/>
        <w:numPr>
          <w:ilvl w:val="1"/>
          <w:numId w:val="23"/>
        </w:numPr>
        <w:spacing w:before="0" w:after="120" w:line="240" w:lineRule="auto"/>
      </w:pPr>
      <w:bookmarkStart w:id="310" w:name="_Toc451501319"/>
      <w:bookmarkStart w:id="311" w:name="_Toc432677373"/>
      <w:r w:rsidRPr="005061B6">
        <w:t xml:space="preserve">Concordance </w:t>
      </w:r>
      <w:r w:rsidR="0067665D">
        <w:t>A</w:t>
      </w:r>
      <w:r w:rsidRPr="005061B6">
        <w:t>nalysis</w:t>
      </w:r>
      <w:bookmarkEnd w:id="310"/>
    </w:p>
    <w:bookmarkEnd w:id="311"/>
    <w:p w14:paraId="750D48C0" w14:textId="756E9F0E" w:rsidR="00914E70" w:rsidRDefault="00914E70" w:rsidP="004C79C1">
      <w:pPr>
        <w:spacing w:after="120" w:line="240" w:lineRule="auto"/>
        <w:jc w:val="both"/>
      </w:pPr>
      <w:r>
        <w:t xml:space="preserve">No studies were identified </w:t>
      </w:r>
      <w:r w:rsidR="008975F8">
        <w:t xml:space="preserve">that </w:t>
      </w:r>
      <w:r>
        <w:t>examin</w:t>
      </w:r>
      <w:r w:rsidR="008975F8">
        <w:t>ed</w:t>
      </w:r>
      <w:r>
        <w:t xml:space="preserve"> the concordance between LGE-CMR and one of the comparators in the eligible patient population.</w:t>
      </w:r>
    </w:p>
    <w:p w14:paraId="19ACF287" w14:textId="778D41DB" w:rsidR="00914E70" w:rsidRPr="00B50CCC" w:rsidRDefault="00914E70" w:rsidP="004C79C1">
      <w:pPr>
        <w:pStyle w:val="Heading2"/>
        <w:numPr>
          <w:ilvl w:val="1"/>
          <w:numId w:val="23"/>
        </w:numPr>
        <w:spacing w:before="0" w:after="120" w:line="240" w:lineRule="auto"/>
      </w:pPr>
      <w:bookmarkStart w:id="312" w:name="_Toc432677374"/>
      <w:bookmarkStart w:id="313" w:name="_Toc451501320"/>
      <w:r>
        <w:t xml:space="preserve">Interpretation of </w:t>
      </w:r>
      <w:r w:rsidR="0067665D">
        <w:t>E</w:t>
      </w:r>
      <w:r>
        <w:t xml:space="preserve">vidence on </w:t>
      </w:r>
      <w:r w:rsidR="0067665D">
        <w:t>D</w:t>
      </w:r>
      <w:r>
        <w:t xml:space="preserve">iagnostic </w:t>
      </w:r>
      <w:r w:rsidR="0067665D">
        <w:t>P</w:t>
      </w:r>
      <w:r>
        <w:t>erformance</w:t>
      </w:r>
      <w:bookmarkEnd w:id="312"/>
      <w:bookmarkEnd w:id="313"/>
    </w:p>
    <w:p w14:paraId="1AE0D36D" w14:textId="648284D9" w:rsidR="00914E70" w:rsidRDefault="00914E70" w:rsidP="004C79C1">
      <w:pPr>
        <w:spacing w:after="120" w:line="240" w:lineRule="auto"/>
        <w:jc w:val="both"/>
      </w:pPr>
      <w:r>
        <w:t>CTCA</w:t>
      </w:r>
      <w:r w:rsidR="00EE59B0">
        <w:t>, ICA</w:t>
      </w:r>
      <w:r w:rsidR="009E1B34">
        <w:t xml:space="preserve">, </w:t>
      </w:r>
      <w:r w:rsidR="008975F8">
        <w:t>GHPS</w:t>
      </w:r>
      <w:r w:rsidR="009E1B34">
        <w:t xml:space="preserve">, </w:t>
      </w:r>
      <w:r w:rsidR="00FF190D">
        <w:t>c</w:t>
      </w:r>
      <w:r w:rsidR="00A21115">
        <w:t>ontrast</w:t>
      </w:r>
      <w:r w:rsidR="009E1B34">
        <w:t xml:space="preserve"> and stress </w:t>
      </w:r>
      <w:r w:rsidR="00A21115">
        <w:t>echocardiography</w:t>
      </w:r>
      <w:r w:rsidR="008975F8">
        <w:t>,</w:t>
      </w:r>
      <w:r>
        <w:t xml:space="preserve"> and SPECT were identified as the comparators for LGE-CMR</w:t>
      </w:r>
      <w:r w:rsidR="008975F8">
        <w:t>,</w:t>
      </w:r>
      <w:r>
        <w:t xml:space="preserve"> </w:t>
      </w:r>
      <w:r w:rsidRPr="003E5055">
        <w:t>as shown in the proposed clinical pathway</w:t>
      </w:r>
      <w:r w:rsidR="00B85CFA" w:rsidRPr="003E5055">
        <w:t>s</w:t>
      </w:r>
      <w:r w:rsidRPr="003E5055">
        <w:t xml:space="preserve"> (</w:t>
      </w:r>
      <w:r w:rsidR="00B85CFA" w:rsidRPr="003E5055">
        <w:t xml:space="preserve">see </w:t>
      </w:r>
      <w:r w:rsidR="00B85CFA" w:rsidRPr="003E5055">
        <w:fldChar w:fldCharType="begin"/>
      </w:r>
      <w:r w:rsidR="00B85CFA" w:rsidRPr="003E5055">
        <w:instrText xml:space="preserve"> REF _Ref445126668 \h </w:instrText>
      </w:r>
      <w:r w:rsidR="003E5055">
        <w:instrText xml:space="preserve"> \* MERGEFORMAT </w:instrText>
      </w:r>
      <w:r w:rsidR="00B85CFA" w:rsidRPr="003E5055">
        <w:fldChar w:fldCharType="separate"/>
      </w:r>
      <w:r w:rsidR="00B85CFA" w:rsidRPr="003E5055">
        <w:t xml:space="preserve">Figure </w:t>
      </w:r>
      <w:r w:rsidR="00B85CFA" w:rsidRPr="003E5055">
        <w:rPr>
          <w:noProof/>
        </w:rPr>
        <w:t>2</w:t>
      </w:r>
      <w:r w:rsidR="00B85CFA" w:rsidRPr="003E5055">
        <w:fldChar w:fldCharType="end"/>
      </w:r>
      <w:r w:rsidR="00B85CFA" w:rsidRPr="003E5055">
        <w:t xml:space="preserve"> and </w:t>
      </w:r>
      <w:r w:rsidR="003E5055" w:rsidRPr="003E5055">
        <w:fldChar w:fldCharType="begin"/>
      </w:r>
      <w:r w:rsidR="003E5055" w:rsidRPr="003E5055">
        <w:instrText xml:space="preserve"> REF _Ref447807237 \h </w:instrText>
      </w:r>
      <w:r w:rsidR="003E5055">
        <w:instrText xml:space="preserve"> \* MERGEFORMAT </w:instrText>
      </w:r>
      <w:r w:rsidR="003E5055" w:rsidRPr="003E5055">
        <w:fldChar w:fldCharType="separate"/>
      </w:r>
      <w:r w:rsidR="003E5055" w:rsidRPr="003E5055">
        <w:t xml:space="preserve">Figure </w:t>
      </w:r>
      <w:r w:rsidR="003E5055" w:rsidRPr="003E5055">
        <w:rPr>
          <w:noProof/>
        </w:rPr>
        <w:t>4</w:t>
      </w:r>
      <w:r w:rsidR="003E5055" w:rsidRPr="003E5055">
        <w:fldChar w:fldCharType="end"/>
      </w:r>
      <w:r w:rsidRPr="003E5055">
        <w:t>). Data regarding the diagnostic</w:t>
      </w:r>
      <w:r>
        <w:t xml:space="preserve"> performance of LGE-CMR against the main comparators was lacking. Only </w:t>
      </w:r>
      <w:r w:rsidR="008975F8">
        <w:t xml:space="preserve">1 </w:t>
      </w:r>
      <w:r>
        <w:t>small study</w:t>
      </w:r>
      <w:r w:rsidR="00653C5E">
        <w:t>,</w:t>
      </w:r>
      <w:r>
        <w:t xml:space="preserve"> includ</w:t>
      </w:r>
      <w:r w:rsidR="00653C5E">
        <w:t>ing</w:t>
      </w:r>
      <w:r>
        <w:t xml:space="preserve"> </w:t>
      </w:r>
      <w:r w:rsidRPr="006E1156">
        <w:t>28 patients suspected of DCM</w:t>
      </w:r>
      <w:r w:rsidR="00653C5E">
        <w:t>,</w:t>
      </w:r>
      <w:r w:rsidRPr="006E1156">
        <w:t xml:space="preserve"> </w:t>
      </w:r>
      <w:r w:rsidR="00653C5E">
        <w:t xml:space="preserve">that </w:t>
      </w:r>
      <w:r>
        <w:t xml:space="preserve">compared the accuracy of CTCA and LGE-CMR using ICA as the reference standard </w:t>
      </w:r>
      <w:r w:rsidR="00187A29">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rsidR="00187A29">
        <w:instrText xml:space="preserve"> ADDIN EN.CITE </w:instrText>
      </w:r>
      <w:r w:rsidR="00187A29">
        <w:fldChar w:fldCharType="begin">
          <w:fldData xml:space="preserve">PEVuZE5vdGU+PENpdGU+PEF1dGhvcj5IYW1pbHRvbi1DcmFpZzwvQXV0aG9yPjxZZWFyPjIwMTI8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</w:fldData>
        </w:fldChar>
      </w:r>
      <w:r w:rsidR="00187A29">
        <w:instrText xml:space="preserve"> ADDIN EN.CITE.DATA </w:instrText>
      </w:r>
      <w:r w:rsidR="00187A29">
        <w:fldChar w:fldCharType="end"/>
      </w:r>
      <w:r w:rsidR="00187A29">
        <w:fldChar w:fldCharType="separate"/>
      </w:r>
      <w:r w:rsidR="00187A29">
        <w:rPr>
          <w:noProof/>
        </w:rPr>
        <w:t>(</w:t>
      </w:r>
      <w:hyperlink w:anchor="_ENREF_49" w:tooltip="Hamilton-Craig, 2012 #8" w:history="1">
        <w:r w:rsidR="00B906E9">
          <w:rPr>
            <w:noProof/>
          </w:rPr>
          <w:t>Hamilton-Craig et al. 2012</w:t>
        </w:r>
      </w:hyperlink>
      <w:r w:rsidR="00187A29">
        <w:rPr>
          <w:noProof/>
        </w:rPr>
        <w:t>)</w:t>
      </w:r>
      <w:r w:rsidR="00187A29">
        <w:fldChar w:fldCharType="end"/>
      </w:r>
      <w:r>
        <w:t xml:space="preserve"> was identified</w:t>
      </w:r>
      <w:r w:rsidR="00EE59B0">
        <w:t xml:space="preserve">, and only </w:t>
      </w:r>
      <w:r w:rsidR="00653C5E">
        <w:t xml:space="preserve">2 </w:t>
      </w:r>
      <w:r w:rsidR="00EE59B0">
        <w:t>studies compared ICA with LGE-CMR (with clinical diagnosis as the reference standard)</w:t>
      </w:r>
      <w:r>
        <w:t xml:space="preserve">. </w:t>
      </w:r>
      <w:r w:rsidR="001F1F43">
        <w:t>An e</w:t>
      </w:r>
      <w:r>
        <w:t xml:space="preserve">ven broader search for </w:t>
      </w:r>
      <w:r w:rsidR="000E4FF4">
        <w:t>SR</w:t>
      </w:r>
      <w:r>
        <w:t>s on the diagnostic performance of comparator tests in the eligible patient populations to enable an indirect comparison could not identify any suitable studies (see section B3.2).</w:t>
      </w:r>
    </w:p>
    <w:p w14:paraId="3E1BC0C8" w14:textId="3C2E431B" w:rsidR="00914E70" w:rsidRPr="00C8750D" w:rsidRDefault="00914E70" w:rsidP="004C79C1">
      <w:pPr>
        <w:spacing w:after="120" w:line="240" w:lineRule="auto"/>
        <w:jc w:val="both"/>
      </w:pPr>
      <w:r>
        <w:t>The included study showed that both CTCA and LGE-CMR</w:t>
      </w:r>
      <w:r w:rsidRPr="006E1156">
        <w:t xml:space="preserve"> </w:t>
      </w:r>
      <w:r>
        <w:t>are both highly sensitive, but the overlapping wide 95%CIs surrounding the disparate specificity values suggest</w:t>
      </w:r>
      <w:r w:rsidRPr="006E1156">
        <w:t xml:space="preserve"> </w:t>
      </w:r>
      <w:r w:rsidR="003773AC">
        <w:t xml:space="preserve">that </w:t>
      </w:r>
      <w:r>
        <w:t>any conclusions regarding the comparative specificity of the two tests should be tentative.</w:t>
      </w:r>
    </w:p>
    <w:p w14:paraId="49BF9DBC" w14:textId="1C32DDD8" w:rsidR="00914E70" w:rsidRDefault="00914E70" w:rsidP="004C79C1">
      <w:pPr>
        <w:spacing w:after="120" w:line="240" w:lineRule="auto"/>
        <w:jc w:val="both"/>
      </w:pPr>
      <w:r>
        <w:t xml:space="preserve">When assessing the diagnostic performance of LGE-CMR, three different test purposes were identified. Only </w:t>
      </w:r>
      <w:r w:rsidR="003773AC">
        <w:t xml:space="preserve">1 </w:t>
      </w:r>
      <w:r>
        <w:t xml:space="preserve">study provided evidence for determining the accuracy of using LGE-CMR to diagnose DCM in patients with CM. This study reported a high sensitivity and a questionable specificity when LGE-CMR was compared </w:t>
      </w:r>
      <w:r w:rsidR="003773AC">
        <w:t xml:space="preserve">with </w:t>
      </w:r>
      <w:r>
        <w:t xml:space="preserve">clinical diagnosis (see </w:t>
      </w:r>
      <w:r>
        <w:fldChar w:fldCharType="begin"/>
      </w:r>
      <w:r>
        <w:instrText xml:space="preserve"> REF _Ref445994214 \h </w:instrText>
      </w:r>
      <w:r>
        <w:fldChar w:fldCharType="separate"/>
      </w:r>
      <w:r w:rsidR="001472CE" w:rsidRPr="000A4AF9">
        <w:t xml:space="preserve">Table </w:t>
      </w:r>
      <w:r w:rsidR="001472CE">
        <w:rPr>
          <w:noProof/>
        </w:rPr>
        <w:t>11</w:t>
      </w:r>
      <w:r>
        <w:fldChar w:fldCharType="end"/>
      </w:r>
      <w:r>
        <w:t xml:space="preserve">). Although the study had a low risk of bias, </w:t>
      </w:r>
      <w:r w:rsidR="003773AC">
        <w:t>it</w:t>
      </w:r>
      <w:r>
        <w:t xml:space="preserve"> was conducted in Japan and there are some concerns regarding </w:t>
      </w:r>
      <w:r w:rsidR="00826F6F">
        <w:t xml:space="preserve">its </w:t>
      </w:r>
      <w:r>
        <w:t xml:space="preserve">applicability to the Australian population. </w:t>
      </w:r>
    </w:p>
    <w:p w14:paraId="57131069" w14:textId="7F5DF1E2" w:rsidR="00914E70" w:rsidRDefault="00BF53EF" w:rsidP="004C79C1">
      <w:pPr>
        <w:spacing w:after="120" w:line="240" w:lineRule="auto"/>
        <w:jc w:val="both"/>
      </w:pPr>
      <w:r>
        <w:t xml:space="preserve">Eight studies provided evidence for </w:t>
      </w:r>
      <w:r w:rsidR="00826F6F">
        <w:t xml:space="preserve">assessing </w:t>
      </w:r>
      <w:r>
        <w:t>the accuracy of LGE-CMR to determine whether DCM had a non-ischaemic or ischaemic aetiology using two different reference standards</w:t>
      </w:r>
      <w:r w:rsidR="003773AC">
        <w:t>:</w:t>
      </w:r>
      <w:r>
        <w:t xml:space="preserve"> ICA (k=6) and clinical diagnosis (k=2). </w:t>
      </w:r>
      <w:r w:rsidR="00914E70">
        <w:t>The sensitivity ranged from 0.68 to 1.00</w:t>
      </w:r>
      <w:r w:rsidR="00290502">
        <w:t>,</w:t>
      </w:r>
      <w:r w:rsidR="00914E70">
        <w:t xml:space="preserve"> and the specificity from 0.71 to 1.00</w:t>
      </w:r>
      <w:r w:rsidR="00290502">
        <w:t>,</w:t>
      </w:r>
      <w:r w:rsidR="00914E70">
        <w:t xml:space="preserve"> in the different studies. Even though the populations of the included studies varied slightly and different reference standards were used, when the sensitivity and specificity values for each study were plotted on a</w:t>
      </w:r>
      <w:r w:rsidR="00AB1297">
        <w:t>n</w:t>
      </w:r>
      <w:r w:rsidR="00914E70">
        <w:t xml:space="preserve"> SROC curve the studies were all in the upper left corner</w:t>
      </w:r>
      <w:r w:rsidR="00AB1297">
        <w:t>,</w:t>
      </w:r>
      <w:r w:rsidR="00914E70">
        <w:t xml:space="preserve"> indicating an excellent test performance for determining non-ischaemic aetiology of DCM. This could potentially result in some patients avoiding an invasive ICA.</w:t>
      </w:r>
    </w:p>
    <w:p w14:paraId="11696131" w14:textId="69D37DB0" w:rsidR="00914E70" w:rsidRDefault="00914E70" w:rsidP="004C79C1">
      <w:pPr>
        <w:spacing w:after="120" w:line="240" w:lineRule="auto"/>
        <w:jc w:val="both"/>
      </w:pPr>
      <w:r>
        <w:t xml:space="preserve">Three studies investigated the diagnostic performance of LGE-CMR in determining whether there was an inflammatory aetiology in patients with DCM, using </w:t>
      </w:r>
      <w:r w:rsidR="00AB1297">
        <w:t>EMB</w:t>
      </w:r>
      <w:r>
        <w:t xml:space="preserve"> as the reference standard. LGE-CMR was less sensitive and less specific compared </w:t>
      </w:r>
      <w:r w:rsidR="00AB1297">
        <w:t xml:space="preserve">with </w:t>
      </w:r>
      <w:r>
        <w:t xml:space="preserve">the reference standard when used for this purpose than for the two purposes discussed above. As LGE is also frequently found in DCM patients </w:t>
      </w:r>
      <w:r>
        <w:lastRenderedPageBreak/>
        <w:t xml:space="preserve">without immunohistologically proven myocardial inflammation, </w:t>
      </w:r>
      <w:r w:rsidR="000C1DBB">
        <w:t xml:space="preserve">the </w:t>
      </w:r>
      <w:r>
        <w:t xml:space="preserve">diagnostic performance of LGE-CMR was insufficient for reliable diagnosis of myocardial inflammation in patients with DCM </w:t>
      </w:r>
      <w:r w:rsidR="00187A29">
        <w:fldChar w:fldCharType="begin"/>
      </w:r>
      <w:r w:rsidR="00187A29">
        <w:instrText xml:space="preserve"> ADDIN EN.CITE &lt;EndNote&gt;&lt;Cite&gt;&lt;Author&gt;Voigt&lt;/Author&gt;&lt;Year&gt;2011&lt;/Year&gt;&lt;RecNum&gt;13&lt;/RecNum&gt;&lt;IDText&gt;925-35&lt;/IDText&gt;&lt;DisplayText&gt;(Voigt et al. 2011)&lt;/DisplayText&gt;&lt;record&gt;&lt;rec-number&gt;13&lt;/rec-number&gt;&lt;foreign-keys&gt;&lt;key app="EN" db-id="pfxxvref0t0a5de2vwnv2fwkz0p9v0r2fw0t" timestamp="1457058905"&gt;13&lt;/key&gt;&lt;/foreign-keys&gt;&lt;ref-type name="Journal Article"&gt;17&lt;/ref-type&gt;&lt;contributors&gt;&lt;authors&gt;&lt;author&gt;Voigt, A.&lt;/author&gt;&lt;author&gt;Elgeti, T.&lt;/author&gt;&lt;author&gt;Durmus, T.&lt;/author&gt;&lt;author&gt;Idiz, M. E.&lt;/author&gt;&lt;author&gt;Butler, C.&lt;/author&gt;&lt;author&gt;Beling, M.&lt;/author&gt;&lt;author&gt;Schilling, R.&lt;/author&gt;&lt;author&gt;Klingel, K.&lt;/author&gt;&lt;author&gt;Kandolf, R.&lt;/author&gt;&lt;author&gt;Stangl, K.&lt;/author&gt;&lt;author&gt;Taupitz, M.&lt;/author&gt;&lt;author&gt;Kivelitz, D.&lt;/author&gt;&lt;author&gt;Wagner, M.&lt;/author&gt;&lt;/authors&gt;&lt;/contributors&gt;&lt;titles&gt;&lt;title&gt;Cardiac magnetic resonance imaging in dilated cardiomyopathy in adults--towards identification of myocardial inflammation&lt;/title&gt;&lt;secondary-title&gt;Eur Radiol&lt;/secondary-title&gt;&lt;/titles&gt;&lt;periodical&gt;&lt;full-title&gt;Eur Radiol&lt;/full-title&gt;&lt;/periodical&gt;&lt;pages&gt;925-35&lt;/pages&gt;&lt;volume&gt;21&lt;/volume&gt;&lt;number&gt;5&lt;/number&gt;&lt;dates&gt;&lt;year&gt;2011&lt;/year&gt;&lt;pub-dates&gt;&lt;date&gt;2011-01-01&lt;/date&gt;&lt;/pub-dates&gt;&lt;/dates&gt;&lt;isbn&gt;0938-7994 (Print) 0938-7994&lt;/isbn&gt;&lt;urls&gt;&lt;related-urls&gt;&lt;url&gt;http://download.springer.com/static/pdf/776/art%253A10.1007%252Fs00330-010-1985-2.pdf?originUrl=http%3A%2F%2Flink.springer.com%2Farticle%2F10.1007%2Fs00330-010-1985-2&amp;amp;token2=exp=1453419118~acl=%2Fstatic%2Fpdf%2F776%2Fart%25253A10.1007%25252Fs00330-010-1985-2.pdf%3ForiginUrl%3Dhttp%253A%252F%252Flink.springer.com%252Farticle%252F10.1007%252Fs00330-010-1985-2*~hmac=35b4f8480e5b15a249faaf0f7dd1a8dc1dbe1f9b87dd770011f7cbfe6038d684&lt;/url&gt;&lt;/related-urls&gt;&lt;/urls&gt;&lt;custom1&gt;RAYYAN-INCLUSION: {&amp;quot;Sharon&amp;quot;=&amp;gt;true} | RAYYAN-LABELS: DCM&lt;/custom1&gt;&lt;language&gt;eng&lt;/language&gt;&lt;/record&gt;&lt;/Cite&gt;&lt;/EndNote&gt;</w:instrText>
      </w:r>
      <w:r w:rsidR="00187A29">
        <w:fldChar w:fldCharType="separate"/>
      </w:r>
      <w:r w:rsidR="00187A29">
        <w:rPr>
          <w:noProof/>
        </w:rPr>
        <w:t>(</w:t>
      </w:r>
      <w:hyperlink w:anchor="_ENREF_132" w:tooltip="Voigt, 2011 #13" w:history="1">
        <w:r w:rsidR="00B906E9">
          <w:rPr>
            <w:noProof/>
          </w:rPr>
          <w:t>Voigt et al. 2011</w:t>
        </w:r>
      </w:hyperlink>
      <w:r w:rsidR="00187A29">
        <w:rPr>
          <w:noProof/>
        </w:rPr>
        <w:t>)</w:t>
      </w:r>
      <w:r w:rsidR="00187A29">
        <w:fldChar w:fldCharType="end"/>
      </w:r>
      <w:r>
        <w:t xml:space="preserve">. Conversely, when biopsy was used for the purpose of diagnosing DCM and was compared with clinical diagnosis as a reference standard, it performed poorly at identifying patients who did not have DCM. As LGE-CMR had a higher specificity when compared </w:t>
      </w:r>
      <w:r w:rsidR="000C1DBB">
        <w:t xml:space="preserve">with </w:t>
      </w:r>
      <w:r>
        <w:t xml:space="preserve">clinical diagnosis of DCM, it is likely to be more accurate than </w:t>
      </w:r>
      <w:r w:rsidR="00EC7708">
        <w:t xml:space="preserve">EMB </w:t>
      </w:r>
      <w:r>
        <w:t xml:space="preserve">when used for this purpose. </w:t>
      </w:r>
    </w:p>
    <w:p w14:paraId="12C24E80" w14:textId="7C842C6A" w:rsidR="00914E70" w:rsidRDefault="00914E70" w:rsidP="004C79C1">
      <w:pPr>
        <w:spacing w:after="120" w:line="240" w:lineRule="auto"/>
        <w:jc w:val="both"/>
      </w:pPr>
      <w:r>
        <w:t>ICA was compared with clinical diagnosis to determine the quality of th</w:t>
      </w:r>
      <w:r w:rsidR="009D6530">
        <w:t>e reference standard (section B</w:t>
      </w:r>
      <w:r>
        <w:t xml:space="preserve">3.6.4). The sensitivity was excellent </w:t>
      </w:r>
      <w:r w:rsidR="000C1DBB">
        <w:t>in</w:t>
      </w:r>
      <w:r>
        <w:t xml:space="preserve"> the </w:t>
      </w:r>
      <w:r w:rsidR="000C1DBB">
        <w:t xml:space="preserve">2 </w:t>
      </w:r>
      <w:r>
        <w:t>included studies, although the specificity varied. The study that provided the best</w:t>
      </w:r>
      <w:r w:rsidR="00EC7708">
        <w:t>-</w:t>
      </w:r>
      <w:r>
        <w:t>quality evidence reported a good specificity. Nevertheless, due to the small number of studies and the limited sample sizes, any conclusions should be tentative.</w:t>
      </w:r>
    </w:p>
    <w:p w14:paraId="434A32BB" w14:textId="2C43D5E6" w:rsidR="00914E70" w:rsidRDefault="00914E70" w:rsidP="004C79C1">
      <w:pPr>
        <w:pStyle w:val="Heading1"/>
        <w:spacing w:after="120" w:line="240" w:lineRule="auto"/>
      </w:pPr>
      <w:bookmarkStart w:id="314" w:name="_Toc432677375"/>
      <w:bookmarkStart w:id="315" w:name="_Toc451501321"/>
      <w:r>
        <w:lastRenderedPageBreak/>
        <w:t xml:space="preserve">B4 </w:t>
      </w:r>
      <w:r w:rsidR="003E558E">
        <w:tab/>
      </w:r>
      <w:r>
        <w:t>Clinical Validity</w:t>
      </w:r>
      <w:bookmarkEnd w:id="314"/>
      <w:bookmarkEnd w:id="315"/>
    </w:p>
    <w:p w14:paraId="10890C8C" w14:textId="52567A28" w:rsidR="00914E70" w:rsidRDefault="00914E70" w:rsidP="004C79C1">
      <w:pPr>
        <w:pStyle w:val="Heading2"/>
        <w:spacing w:before="0" w:after="120" w:line="240" w:lineRule="auto"/>
      </w:pPr>
      <w:bookmarkStart w:id="316" w:name="_Toc432677376"/>
      <w:bookmarkStart w:id="317" w:name="_Toc451501322"/>
      <w:r>
        <w:t>B4.1</w:t>
      </w:r>
      <w:r>
        <w:tab/>
        <w:t xml:space="preserve">Measures of </w:t>
      </w:r>
      <w:r w:rsidR="009075FC">
        <w:t>C</w:t>
      </w:r>
      <w:r>
        <w:t xml:space="preserve">linical </w:t>
      </w:r>
      <w:r w:rsidR="009075FC">
        <w:t>V</w:t>
      </w:r>
      <w:r>
        <w:t>alidity</w:t>
      </w:r>
      <w:bookmarkEnd w:id="316"/>
      <w:bookmarkEnd w:id="317"/>
    </w:p>
    <w:p w14:paraId="74B31DD0" w14:textId="77777777" w:rsidR="00914E70" w:rsidRDefault="00914E70" w:rsidP="004C79C1">
      <w:pPr>
        <w:spacing w:after="120" w:line="240" w:lineRule="auto"/>
        <w:jc w:val="both"/>
      </w:pPr>
      <w:r>
        <w:t>The clinical validity of a test depends on the prevalence or pre-test probability (PTP) of the outcome of interest. In this case it is DCM diagnosis or diagnosing the aetiology of DCM.</w:t>
      </w:r>
    </w:p>
    <w:p w14:paraId="168BB54B" w14:textId="387FA27D" w:rsidR="00914E70" w:rsidRDefault="00914E70" w:rsidP="004C79C1">
      <w:pPr>
        <w:spacing w:after="120" w:line="240" w:lineRule="auto"/>
        <w:jc w:val="both"/>
      </w:pPr>
      <w:r w:rsidRPr="00C36707">
        <w:t>The key measures used are positive and negative predictive values (PPV and NPV), which are the probabilities of</w:t>
      </w:r>
      <w:r>
        <w:t xml:space="preserve"> a patient with CM symptoms having DCM, or the probabilities of a patient with idiopathic DCM having a non-isch</w:t>
      </w:r>
      <w:r w:rsidR="002313F9">
        <w:t>a</w:t>
      </w:r>
      <w:r>
        <w:t>emic or inflammatory cause. The PPV and the NPV are dependent on the prevalence of DCM in patients with CM or the prevalence of non-isch</w:t>
      </w:r>
      <w:r w:rsidR="002313F9">
        <w:t>a</w:t>
      </w:r>
      <w:r>
        <w:t xml:space="preserve">emic or inflammatory aetiology in DCM. The likelihood ratio (LR) is the likelihood that a given test result would be expected in a patient with the outcome (e.g. DCM) compared with the likelihood that the same result would be expected in a patient without the outcome (e.g. CAD, </w:t>
      </w:r>
      <w:r w:rsidR="00A66887">
        <w:t>h</w:t>
      </w:r>
      <w:r w:rsidR="00A66887" w:rsidRPr="00C80E19">
        <w:t xml:space="preserve">ypertrophic </w:t>
      </w:r>
      <w:r w:rsidR="00A66887">
        <w:t>c</w:t>
      </w:r>
      <w:r w:rsidR="00A66887" w:rsidRPr="00C80E19">
        <w:t>ardiomyopathy</w:t>
      </w:r>
      <w:r w:rsidR="00A66887">
        <w:t xml:space="preserve"> (</w:t>
      </w:r>
      <w:r>
        <w:t>HCM</w:t>
      </w:r>
      <w:r w:rsidR="00A66887">
        <w:t>)</w:t>
      </w:r>
      <w:r>
        <w:t xml:space="preserve"> or other).</w:t>
      </w:r>
    </w:p>
    <w:p w14:paraId="08B6B420" w14:textId="37740FBB" w:rsidR="00914E70" w:rsidRDefault="00914E70" w:rsidP="004C79C1">
      <w:pPr>
        <w:spacing w:after="120" w:line="240" w:lineRule="auto"/>
        <w:jc w:val="both"/>
      </w:pPr>
      <w:r>
        <w:t xml:space="preserve">Information regarding the Australian prevalence of all outcomes of interest was lacking. In the only study that used LGE-CMR to diagnose DCM, 39.7% of the patients with CM were diagnosed with DCM using the reference standard </w:t>
      </w:r>
      <w:r w:rsidR="00187A29">
        <w:fldChar w:fldCharType="begin"/>
      </w:r>
      <w:r w:rsidR="00187A29">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rsidR="00187A29">
        <w:fldChar w:fldCharType="separate"/>
      </w:r>
      <w:r w:rsidR="00187A29">
        <w:rPr>
          <w:noProof/>
        </w:rPr>
        <w:t>(</w:t>
      </w:r>
      <w:hyperlink w:anchor="_ENREF_143" w:tooltip="Yoshida, 2013 #18" w:history="1">
        <w:r w:rsidR="00B906E9">
          <w:rPr>
            <w:noProof/>
          </w:rPr>
          <w:t>Yoshida, Ishibashi-Ueda et al. 2013</w:t>
        </w:r>
      </w:hyperlink>
      <w:r w:rsidR="00187A29">
        <w:rPr>
          <w:noProof/>
        </w:rPr>
        <w:t>)</w:t>
      </w:r>
      <w:r w:rsidR="00187A29">
        <w:fldChar w:fldCharType="end"/>
      </w:r>
      <w:r>
        <w:t xml:space="preserve">. It should also be noted that this study was conducted in Japan and its applicability to the Australian population is unknown. The mean prevalence of a non-ischaemic aetiology in patients with idiopathic DCM using ICA as the reference standard was 63.1% (range 31.7–79%; k=6), and 69.4% (range 54.2–72.5%; k=2) when clinical diagnosis was used as the reference standard. These studies mostly included patients without a history or evidence of CAD, and patients in which more information on aetiology was needed after standard tests had been conducted. Thus, these patients fit the patient population outlined in the proposed </w:t>
      </w:r>
      <w:r w:rsidRPr="003E5055">
        <w:t>clinical pathway (</w:t>
      </w:r>
      <w:r w:rsidR="00BC0529" w:rsidRPr="003E5055">
        <w:t xml:space="preserve">see </w:t>
      </w:r>
      <w:r w:rsidR="003E5055" w:rsidRPr="003E5055">
        <w:fldChar w:fldCharType="begin"/>
      </w:r>
      <w:r w:rsidR="003E5055" w:rsidRPr="003E5055">
        <w:instrText xml:space="preserve"> REF _Ref447807237 \h </w:instrText>
      </w:r>
      <w:r w:rsidR="003E5055">
        <w:instrText xml:space="preserve"> \* MERGEFORMAT </w:instrText>
      </w:r>
      <w:r w:rsidR="003E5055" w:rsidRPr="003E5055">
        <w:fldChar w:fldCharType="separate"/>
      </w:r>
      <w:r w:rsidR="003E5055" w:rsidRPr="003E5055">
        <w:t xml:space="preserve">Figure </w:t>
      </w:r>
      <w:r w:rsidR="003E5055" w:rsidRPr="003E5055">
        <w:rPr>
          <w:noProof/>
        </w:rPr>
        <w:t>4</w:t>
      </w:r>
      <w:r w:rsidR="003E5055" w:rsidRPr="003E5055">
        <w:fldChar w:fldCharType="end"/>
      </w:r>
      <w:r w:rsidRPr="003E5055">
        <w:t xml:space="preserve">). The only Australian study, a small </w:t>
      </w:r>
      <w:r w:rsidR="00354AFA" w:rsidRPr="003E5055">
        <w:t xml:space="preserve">one </w:t>
      </w:r>
      <w:r w:rsidRPr="003E5055">
        <w:t>(n=28) conducted by Hamilton-</w:t>
      </w:r>
      <w:r>
        <w:t>Craig et al.</w:t>
      </w:r>
      <w:r w:rsidR="00354AFA">
        <w:t xml:space="preserve"> (2011</w:t>
      </w:r>
      <w:r w:rsidR="00187A29">
        <w:fldChar w:fldCharType="begin">
          <w:fldData xml:space="preserve">PEVuZE5vdGU+PENpdGUgRXhjbHVkZVllYXI9IjEiPjxBdXRob3I+SGFtaWx0b24tQ3JhaWc8L0F1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</w:fldData>
        </w:fldChar>
      </w:r>
      <w:r w:rsidR="00187A29">
        <w:instrText xml:space="preserve"> ADDIN EN.CITE </w:instrText>
      </w:r>
      <w:r w:rsidR="00187A29">
        <w:fldChar w:fldCharType="begin">
          <w:fldData xml:space="preserve">PEVuZE5vdGU+PENpdGUgRXhjbHVkZVllYXI9IjEiPjxBdXRob3I+SGFtaWx0b24tQ3JhaWc8L0F1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</w:fldData>
        </w:fldChar>
      </w:r>
      <w:r w:rsidR="00187A29">
        <w:instrText xml:space="preserve"> ADDIN EN.CITE.DATA </w:instrText>
      </w:r>
      <w:r w:rsidR="00187A29">
        <w:fldChar w:fldCharType="end"/>
      </w:r>
      <w:r w:rsidR="00187A29">
        <w:fldChar w:fldCharType="separate"/>
      </w:r>
      <w:r w:rsidR="00187A29">
        <w:rPr>
          <w:noProof/>
        </w:rPr>
        <w:t>)</w:t>
      </w:r>
      <w:r w:rsidR="00187A29">
        <w:fldChar w:fldCharType="end"/>
      </w:r>
      <w:r w:rsidR="000F3C30">
        <w:t>,</w:t>
      </w:r>
      <w:r>
        <w:t xml:space="preserve"> reported that 75% of patients with idiopathic DCM had a non-ischaemic aetiology. The </w:t>
      </w:r>
      <w:r w:rsidR="00354AFA">
        <w:t xml:space="preserve">3 </w:t>
      </w:r>
      <w:r>
        <w:t xml:space="preserve">studies that used </w:t>
      </w:r>
      <w:r w:rsidR="000F3C30">
        <w:t xml:space="preserve">EMB </w:t>
      </w:r>
      <w:r>
        <w:t>to diagnose inflammation in patients with DCM reported a combined prevalence of inflammatory aetiology of 45.4% (range</w:t>
      </w:r>
      <w:r w:rsidR="00354AFA">
        <w:t xml:space="preserve"> </w:t>
      </w:r>
      <w:r>
        <w:t>35.7–52.2%) among DCM patients. These prevalence rates also have to be interpreted with caution, as it is unknown if they are applicable to the Australian population, and as most of these patients were already suspected of having ‘non-ischaemic aetiology’ or ‘inflammatory aetiology’</w:t>
      </w:r>
      <w:r w:rsidR="000F47D8">
        <w:t>,</w:t>
      </w:r>
      <w:r>
        <w:t xml:space="preserve"> these rates may be higher than in the general DCM populations presenting for further testing. </w:t>
      </w:r>
    </w:p>
    <w:p w14:paraId="6428D3BD" w14:textId="182F6E6C" w:rsidR="00914E70" w:rsidRPr="00C36707" w:rsidRDefault="009D6530" w:rsidP="00161B88">
      <w:pPr>
        <w:pStyle w:val="Heading3"/>
      </w:pPr>
      <w:bookmarkStart w:id="318" w:name="_Toc439954325"/>
      <w:bookmarkStart w:id="319" w:name="_Toc451501323"/>
      <w:r>
        <w:t>B</w:t>
      </w:r>
      <w:r w:rsidR="00914E70" w:rsidRPr="00026030">
        <w:t xml:space="preserve">4.1.1 </w:t>
      </w:r>
      <w:r w:rsidR="00914E70">
        <w:t xml:space="preserve">to </w:t>
      </w:r>
      <w:r>
        <w:t>B</w:t>
      </w:r>
      <w:r w:rsidR="00914E70" w:rsidRPr="00026030">
        <w:t>4.1.4</w:t>
      </w:r>
      <w:bookmarkEnd w:id="318"/>
      <w:bookmarkEnd w:id="319"/>
    </w:p>
    <w:p w14:paraId="0D4FE8A2" w14:textId="07D9125C" w:rsidR="00914E70" w:rsidRPr="00C36707" w:rsidRDefault="00914E70" w:rsidP="004C79C1">
      <w:pPr>
        <w:spacing w:after="120" w:line="240" w:lineRule="auto"/>
        <w:jc w:val="both"/>
      </w:pPr>
      <w:r w:rsidRPr="00C36707">
        <w:t xml:space="preserve">The studies that provide data to inform on clinical validity are the same as those that provide diagnostic performance data in </w:t>
      </w:r>
      <w:r w:rsidR="00846A3D">
        <w:t>s</w:t>
      </w:r>
      <w:r w:rsidRPr="00C36707">
        <w:t>ection B3.</w:t>
      </w:r>
      <w:r>
        <w:t xml:space="preserve"> Thus, see </w:t>
      </w:r>
      <w:r w:rsidR="00846A3D">
        <w:t>s</w:t>
      </w:r>
      <w:r w:rsidRPr="00C36707">
        <w:t xml:space="preserve">ections B3.1 to B3.5 </w:t>
      </w:r>
      <w:r>
        <w:t xml:space="preserve">for </w:t>
      </w:r>
      <w:r w:rsidRPr="00C36707">
        <w:t>descri</w:t>
      </w:r>
      <w:r>
        <w:t>ption</w:t>
      </w:r>
      <w:r w:rsidR="000F3C30">
        <w:t>s</w:t>
      </w:r>
      <w:r>
        <w:t xml:space="preserve"> of</w:t>
      </w:r>
      <w:r w:rsidRPr="00C36707">
        <w:t xml:space="preserve"> the risk of bias, the characteristics of the </w:t>
      </w:r>
      <w:r>
        <w:t>evidence</w:t>
      </w:r>
      <w:r w:rsidR="000F47D8">
        <w:t xml:space="preserve"> </w:t>
      </w:r>
      <w:r>
        <w:t>base</w:t>
      </w:r>
      <w:r w:rsidRPr="00C36707">
        <w:t>, outcome measures and analysis of the</w:t>
      </w:r>
      <w:r>
        <w:t>se</w:t>
      </w:r>
      <w:r w:rsidRPr="00C36707">
        <w:t xml:space="preserve"> studies. </w:t>
      </w:r>
    </w:p>
    <w:p w14:paraId="4D9C42B4" w14:textId="0B360210" w:rsidR="00914E70" w:rsidRDefault="009D6530" w:rsidP="00161B88">
      <w:pPr>
        <w:pStyle w:val="Heading3"/>
      </w:pPr>
      <w:bookmarkStart w:id="320" w:name="_Toc432677381"/>
      <w:bookmarkStart w:id="321" w:name="_Toc451501324"/>
      <w:r>
        <w:t>B</w:t>
      </w:r>
      <w:r w:rsidR="00914E70">
        <w:t xml:space="preserve">4.1.5 </w:t>
      </w:r>
      <w:r w:rsidR="00914E70" w:rsidRPr="00183E4D">
        <w:t xml:space="preserve">Results of the </w:t>
      </w:r>
      <w:r w:rsidR="000114AA">
        <w:t>s</w:t>
      </w:r>
      <w:r w:rsidR="00914E70" w:rsidRPr="00183E4D">
        <w:t xml:space="preserve">ystematic </w:t>
      </w:r>
      <w:r w:rsidR="000114AA">
        <w:t>l</w:t>
      </w:r>
      <w:r w:rsidR="00914E70" w:rsidRPr="00183E4D">
        <w:t>iterature review</w:t>
      </w:r>
      <w:bookmarkEnd w:id="320"/>
      <w:bookmarkEnd w:id="321"/>
    </w:p>
    <w:p w14:paraId="7EB7C18A" w14:textId="400DDB75" w:rsidR="00914E70" w:rsidRDefault="00914E70" w:rsidP="00161B88">
      <w:pPr>
        <w:pStyle w:val="Heading3"/>
      </w:pPr>
      <w:bookmarkStart w:id="322" w:name="_Toc432677382"/>
      <w:bookmarkStart w:id="323" w:name="_Toc451501325"/>
      <w:r>
        <w:t>Is it accurate?</w:t>
      </w:r>
      <w:bookmarkEnd w:id="322"/>
      <w:bookmarkEnd w:id="323"/>
    </w:p>
    <w:p w14:paraId="6A88B647" w14:textId="68253599" w:rsidR="00914E70" w:rsidRDefault="00914E70"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183E4D">
        <w:t xml:space="preserve">Summary – </w:t>
      </w:r>
      <w:r w:rsidR="00223BB3">
        <w:t>What is the clinical validity of LGE-CMR in patients with HF symptoms and suspected of DCM?</w:t>
      </w:r>
    </w:p>
    <w:p w14:paraId="65F7A296" w14:textId="71CD7A49" w:rsidR="00223BB3" w:rsidRDefault="00CD1EF5"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CD1EF5">
        <w:rPr>
          <w:b w:val="0"/>
        </w:rPr>
        <w:t>The studies that provide data to inform on clinical validity are the same as those that provide diagnostic performance data</w:t>
      </w:r>
      <w:r>
        <w:rPr>
          <w:b w:val="0"/>
        </w:rPr>
        <w:t xml:space="preserve">. </w:t>
      </w:r>
      <w:r w:rsidR="00EA6A61">
        <w:rPr>
          <w:b w:val="0"/>
        </w:rPr>
        <w:t>A</w:t>
      </w:r>
      <w:r w:rsidR="000F47D8">
        <w:rPr>
          <w:b w:val="0"/>
        </w:rPr>
        <w:t>n</w:t>
      </w:r>
      <w:r w:rsidR="00EA6A61">
        <w:rPr>
          <w:b w:val="0"/>
        </w:rPr>
        <w:t xml:space="preserve"> </w:t>
      </w:r>
      <w:r w:rsidR="000F47D8">
        <w:rPr>
          <w:b w:val="0"/>
        </w:rPr>
        <w:t>LR</w:t>
      </w:r>
      <w:r w:rsidR="00EA6A61">
        <w:rPr>
          <w:b w:val="0"/>
        </w:rPr>
        <w:t xml:space="preserve"> scattergram was presented and PPVs and NPVs were given to determine clinical validity.</w:t>
      </w:r>
    </w:p>
    <w:p w14:paraId="5F6B95A4" w14:textId="14DB99C8" w:rsidR="00EA6A61" w:rsidRDefault="00EA6A61"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For the purpose o</w:t>
      </w:r>
      <w:r w:rsidR="00B351C8">
        <w:rPr>
          <w:b w:val="0"/>
        </w:rPr>
        <w:t xml:space="preserve">f diagnosing DCM, the LRs </w:t>
      </w:r>
      <w:r>
        <w:rPr>
          <w:b w:val="0"/>
        </w:rPr>
        <w:t>from the stud</w:t>
      </w:r>
      <w:r w:rsidRPr="003870FE">
        <w:rPr>
          <w:b w:val="0"/>
        </w:rPr>
        <w:t xml:space="preserve">y </w:t>
      </w:r>
      <w:r w:rsidRPr="00141050">
        <w:rPr>
          <w:b w:val="0"/>
        </w:rPr>
        <w:t>by Yoshida</w:t>
      </w:r>
      <w:r w:rsidR="002F66E6" w:rsidRPr="00141050">
        <w:rPr>
          <w:b w:val="0"/>
        </w:rPr>
        <w:t xml:space="preserve">, </w:t>
      </w:r>
      <w:hyperlink w:anchor="_ENREF_155" w:tooltip="Yoshida, 2013 #18" w:history="1">
        <w:r w:rsidR="003870FE" w:rsidRPr="006D1007">
          <w:rPr>
            <w:b w:val="0"/>
            <w:noProof/>
            <w:color w:val="000000" w:themeColor="text1"/>
          </w:rPr>
          <w:t>Ishibashi-Ueda</w:t>
        </w:r>
      </w:hyperlink>
      <w:r w:rsidRPr="006D1007">
        <w:rPr>
          <w:b w:val="0"/>
          <w:color w:val="000000" w:themeColor="text1"/>
        </w:rPr>
        <w:t xml:space="preserve"> </w:t>
      </w:r>
      <w:r w:rsidRPr="00141050">
        <w:rPr>
          <w:b w:val="0"/>
        </w:rPr>
        <w:t>et al.</w:t>
      </w:r>
      <w:r w:rsidRPr="003870FE">
        <w:rPr>
          <w:b w:val="0"/>
        </w:rPr>
        <w:t xml:space="preserve"> (2013) </w:t>
      </w:r>
      <w:r>
        <w:rPr>
          <w:b w:val="0"/>
        </w:rPr>
        <w:t xml:space="preserve">indicate </w:t>
      </w:r>
      <w:r w:rsidR="000F47D8">
        <w:rPr>
          <w:b w:val="0"/>
        </w:rPr>
        <w:t xml:space="preserve">that </w:t>
      </w:r>
      <w:r>
        <w:rPr>
          <w:b w:val="0"/>
        </w:rPr>
        <w:t>LGE-CMR is conclusive for correctly confirming DCM and likely to corr</w:t>
      </w:r>
      <w:r w:rsidR="00B351C8">
        <w:rPr>
          <w:b w:val="0"/>
        </w:rPr>
        <w:t>ectly exclude DCM. LRs</w:t>
      </w:r>
      <w:r>
        <w:rPr>
          <w:b w:val="0"/>
        </w:rPr>
        <w:t xml:space="preserve"> were inconclusive for correctly confirming or excluding inflammatory aetiology in all </w:t>
      </w:r>
      <w:r w:rsidR="00840C10">
        <w:rPr>
          <w:b w:val="0"/>
        </w:rPr>
        <w:t xml:space="preserve">3 </w:t>
      </w:r>
      <w:r>
        <w:rPr>
          <w:b w:val="0"/>
        </w:rPr>
        <w:t xml:space="preserve">studies included for this purpose. </w:t>
      </w:r>
      <w:r>
        <w:rPr>
          <w:b w:val="0"/>
        </w:rPr>
        <w:lastRenderedPageBreak/>
        <w:t>However, for determining non-ischaemic aetiology</w:t>
      </w:r>
      <w:r w:rsidR="00840C10">
        <w:rPr>
          <w:b w:val="0"/>
        </w:rPr>
        <w:t>,</w:t>
      </w:r>
      <w:r w:rsidR="00711355">
        <w:rPr>
          <w:b w:val="0"/>
        </w:rPr>
        <w:t xml:space="preserve"> the combination of LR values</w:t>
      </w:r>
      <w:r>
        <w:rPr>
          <w:b w:val="0"/>
        </w:rPr>
        <w:t xml:space="preserve"> showed</w:t>
      </w:r>
      <w:r w:rsidR="00711355">
        <w:rPr>
          <w:b w:val="0"/>
        </w:rPr>
        <w:t xml:space="preserve"> that LGE-CMR could</w:t>
      </w:r>
      <w:r w:rsidR="006D4E37">
        <w:rPr>
          <w:b w:val="0"/>
        </w:rPr>
        <w:t xml:space="preserve"> likely</w:t>
      </w:r>
      <w:r w:rsidR="00711355">
        <w:rPr>
          <w:b w:val="0"/>
        </w:rPr>
        <w:t xml:space="preserve"> be used to both confirm and exclude non-ischaemic cause </w:t>
      </w:r>
      <w:r w:rsidR="00711355" w:rsidRPr="00711355">
        <w:rPr>
          <w:b w:val="0"/>
        </w:rPr>
        <w:t>(LR+ = 10.8 and LR– = 0.09</w:t>
      </w:r>
      <w:r w:rsidR="00711355">
        <w:rPr>
          <w:b w:val="0"/>
        </w:rPr>
        <w:t>).</w:t>
      </w:r>
    </w:p>
    <w:p w14:paraId="19C5B868" w14:textId="7E03AEFF" w:rsidR="00914E70" w:rsidRPr="00183E4D" w:rsidRDefault="006D4E37"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sidRPr="006D4E37">
        <w:rPr>
          <w:b w:val="0"/>
        </w:rPr>
        <w:t>LGE-CMR had the highest PPV when it was used to diagnose non-ischaemic DCM</w:t>
      </w:r>
      <w:r>
        <w:rPr>
          <w:b w:val="0"/>
        </w:rPr>
        <w:t>: 95 out of 100 patients (</w:t>
      </w:r>
      <w:r w:rsidR="00840C10">
        <w:rPr>
          <w:b w:val="0"/>
        </w:rPr>
        <w:t xml:space="preserve">i.e. </w:t>
      </w:r>
      <w:r>
        <w:rPr>
          <w:b w:val="0"/>
        </w:rPr>
        <w:t>95%) would be correctly identified as having non-ischaemic aetiology</w:t>
      </w:r>
      <w:r w:rsidR="002B3733">
        <w:rPr>
          <w:b w:val="0"/>
        </w:rPr>
        <w:t xml:space="preserve">, compared with </w:t>
      </w:r>
      <w:r>
        <w:rPr>
          <w:b w:val="0"/>
        </w:rPr>
        <w:t>only 46</w:t>
      </w:r>
      <w:r w:rsidR="00840C10">
        <w:rPr>
          <w:b w:val="0"/>
        </w:rPr>
        <w:t>–</w:t>
      </w:r>
      <w:r>
        <w:rPr>
          <w:b w:val="0"/>
        </w:rPr>
        <w:t>58 out of 100 patients when determining inflammation</w:t>
      </w:r>
      <w:r w:rsidRPr="006D4E37">
        <w:rPr>
          <w:b w:val="0"/>
        </w:rPr>
        <w:t>.</w:t>
      </w:r>
      <w:r>
        <w:rPr>
          <w:b w:val="0"/>
        </w:rPr>
        <w:t xml:space="preserve"> Similarly, the NPVs were 86% and 50</w:t>
      </w:r>
      <w:r w:rsidR="00840C10">
        <w:rPr>
          <w:b w:val="0"/>
        </w:rPr>
        <w:t>–</w:t>
      </w:r>
      <w:r>
        <w:rPr>
          <w:b w:val="0"/>
        </w:rPr>
        <w:t>86%</w:t>
      </w:r>
      <w:r w:rsidR="002B3733">
        <w:rPr>
          <w:b w:val="0"/>
        </w:rPr>
        <w:t>, respectively,</w:t>
      </w:r>
      <w:r>
        <w:rPr>
          <w:b w:val="0"/>
        </w:rPr>
        <w:t xml:space="preserve"> for determining isch</w:t>
      </w:r>
      <w:r w:rsidR="008029F5">
        <w:rPr>
          <w:b w:val="0"/>
        </w:rPr>
        <w:t>a</w:t>
      </w:r>
      <w:r>
        <w:rPr>
          <w:b w:val="0"/>
        </w:rPr>
        <w:t xml:space="preserve">emia and not having inflammation. </w:t>
      </w:r>
      <w:r w:rsidRPr="006D4E37">
        <w:rPr>
          <w:b w:val="0"/>
        </w:rPr>
        <w:t>When LGE-CMR was used to diagnose DCM, 12% of patients diagnosed as having DCM on LGE-CMR and 11% of patients diagnosed a</w:t>
      </w:r>
      <w:r w:rsidR="007C57D1">
        <w:rPr>
          <w:b w:val="0"/>
        </w:rPr>
        <w:t>s</w:t>
      </w:r>
      <w:r w:rsidRPr="006D4E37">
        <w:rPr>
          <w:b w:val="0"/>
        </w:rPr>
        <w:t xml:space="preserve"> not having DCM would be misclassified</w:t>
      </w:r>
      <w:r>
        <w:rPr>
          <w:b w:val="0"/>
        </w:rPr>
        <w:t>.</w:t>
      </w:r>
    </w:p>
    <w:p w14:paraId="514035DD" w14:textId="13583CCD" w:rsidR="00914E70" w:rsidRDefault="00914E70" w:rsidP="004C79C1">
      <w:pPr>
        <w:spacing w:after="120" w:line="240" w:lineRule="auto"/>
        <w:jc w:val="both"/>
      </w:pPr>
      <w:r>
        <w:t>The LRs were calculated for LGE-CMR</w:t>
      </w:r>
      <w:r w:rsidR="009F5959">
        <w:t>,</w:t>
      </w:r>
      <w:r>
        <w:t xml:space="preserve"> as shown in</w:t>
      </w:r>
      <w:r w:rsidR="00C60272">
        <w:t xml:space="preserve"> </w:t>
      </w:r>
      <w:r w:rsidR="00C60272">
        <w:fldChar w:fldCharType="begin"/>
      </w:r>
      <w:r w:rsidR="00C60272">
        <w:instrText xml:space="preserve"> REF _Ref446514195 \h </w:instrText>
      </w:r>
      <w:r w:rsidR="00C60272">
        <w:fldChar w:fldCharType="separate"/>
      </w:r>
      <w:r w:rsidR="00E164CF" w:rsidRPr="00C36707">
        <w:t xml:space="preserve">Table </w:t>
      </w:r>
      <w:r w:rsidR="00E164CF">
        <w:rPr>
          <w:noProof/>
        </w:rPr>
        <w:t>14</w:t>
      </w:r>
      <w:r w:rsidR="00C60272">
        <w:fldChar w:fldCharType="end"/>
      </w:r>
      <w:r>
        <w:t xml:space="preserve"> and </w:t>
      </w:r>
      <w:r>
        <w:fldChar w:fldCharType="begin"/>
      </w:r>
      <w:r>
        <w:instrText xml:space="preserve"> REF _Ref446078153 \h  \* MERGEFORMAT </w:instrText>
      </w:r>
      <w:r>
        <w:fldChar w:fldCharType="separate"/>
      </w:r>
      <w:r w:rsidR="00460601">
        <w:t xml:space="preserve">Figure </w:t>
      </w:r>
      <w:r w:rsidR="00460601">
        <w:rPr>
          <w:noProof/>
        </w:rPr>
        <w:t>15</w:t>
      </w:r>
      <w:r>
        <w:fldChar w:fldCharType="end"/>
      </w:r>
      <w:r>
        <w:t xml:space="preserve">. </w:t>
      </w:r>
      <w:r w:rsidRPr="00C36707">
        <w:t>LR scattergrams plot LR+ against LR</w:t>
      </w:r>
      <w:r>
        <w:t>–</w:t>
      </w:r>
      <w:r w:rsidRPr="00C36707">
        <w:t xml:space="preserve">, where the likelihood of correctly identifying </w:t>
      </w:r>
      <w:r>
        <w:t>DCM (yellow), non-ischaemic aetiology</w:t>
      </w:r>
      <w:r w:rsidRPr="00C36707">
        <w:t xml:space="preserve"> </w:t>
      </w:r>
      <w:r>
        <w:t>(blue) or inflammatory aetiology (orange</w:t>
      </w:r>
      <w:r w:rsidRPr="00497C5E">
        <w:t xml:space="preserve">) </w:t>
      </w:r>
      <w:r w:rsidR="00E07B6C" w:rsidRPr="00497C5E">
        <w:t xml:space="preserve">increases </w:t>
      </w:r>
      <w:r w:rsidRPr="00497C5E">
        <w:t>a</w:t>
      </w:r>
      <w:r w:rsidRPr="00C36707">
        <w:t>long the x-axis and the likelihood of correctly eliminating the presence</w:t>
      </w:r>
      <w:r>
        <w:t xml:space="preserve"> of</w:t>
      </w:r>
      <w:r w:rsidRPr="00C36707">
        <w:t xml:space="preserve"> </w:t>
      </w:r>
      <w:r>
        <w:t>DCM, non-isch</w:t>
      </w:r>
      <w:r w:rsidR="00B54AAB">
        <w:t>a</w:t>
      </w:r>
      <w:r>
        <w:t>emic aetiology or inflammatory aetiology</w:t>
      </w:r>
      <w:r w:rsidRPr="00C36707">
        <w:t xml:space="preserve"> decreases along the y-axis</w:t>
      </w:r>
      <w:r w:rsidR="009F5959">
        <w:t xml:space="preserve"> in </w:t>
      </w:r>
      <w:r w:rsidR="003E5055">
        <w:fldChar w:fldCharType="begin"/>
      </w:r>
      <w:r w:rsidR="003E5055">
        <w:instrText xml:space="preserve"> REF _Ref446078153 \h </w:instrText>
      </w:r>
      <w:r w:rsidR="003E5055">
        <w:fldChar w:fldCharType="separate"/>
      </w:r>
      <w:r w:rsidR="003E5055">
        <w:t xml:space="preserve">Figure </w:t>
      </w:r>
      <w:r w:rsidR="003E5055">
        <w:rPr>
          <w:noProof/>
        </w:rPr>
        <w:t>15</w:t>
      </w:r>
      <w:r w:rsidR="003E5055">
        <w:fldChar w:fldCharType="end"/>
      </w:r>
      <w:r w:rsidRPr="00C36707">
        <w:t>.</w:t>
      </w:r>
      <w:r>
        <w:t xml:space="preserve"> </w:t>
      </w:r>
    </w:p>
    <w:p w14:paraId="081046A3" w14:textId="77777777" w:rsidR="00E164CF" w:rsidRDefault="00E164CF" w:rsidP="004C79C1">
      <w:pPr>
        <w:spacing w:after="120" w:line="240" w:lineRule="auto"/>
        <w:rPr>
          <w:rFonts w:ascii="Arial Narrow" w:hAnsi="Arial Narrow"/>
          <w:b/>
          <w:bCs/>
          <w:snapToGrid w:val="0"/>
          <w:sz w:val="20"/>
          <w:lang w:eastAsia="en-US"/>
        </w:rPr>
      </w:pPr>
      <w:bookmarkStart w:id="324" w:name="_Ref446514195"/>
      <w:bookmarkStart w:id="325" w:name="_Toc324410146"/>
      <w:r>
        <w:br w:type="page"/>
      </w:r>
    </w:p>
    <w:p w14:paraId="275F2F16" w14:textId="5A6C4E9A" w:rsidR="00914E70" w:rsidRPr="00C36707" w:rsidRDefault="00914E70" w:rsidP="004C79C1">
      <w:pPr>
        <w:pStyle w:val="Caption"/>
      </w:pPr>
      <w:bookmarkStart w:id="326" w:name="_Toc451435341"/>
      <w:r w:rsidRPr="00C36707">
        <w:lastRenderedPageBreak/>
        <w:t xml:space="preserve">Table </w:t>
      </w:r>
      <w:fldSimple w:instr=" SEQ Table \* ARABIC ">
        <w:r w:rsidR="00050936">
          <w:rPr>
            <w:noProof/>
          </w:rPr>
          <w:t>14</w:t>
        </w:r>
      </w:fldSimple>
      <w:bookmarkEnd w:id="324"/>
      <w:r>
        <w:tab/>
      </w:r>
      <w:r w:rsidRPr="00C36707">
        <w:t>Likelihood ratios and predictive values for LGE-CMR</w:t>
      </w:r>
      <w:r>
        <w:t xml:space="preserve"> compared with reference standards</w:t>
      </w:r>
      <w:bookmarkEnd w:id="325"/>
      <w:bookmarkEnd w:id="326"/>
    </w:p>
    <w:tbl>
      <w:tblPr>
        <w:tblStyle w:val="TableGrid16"/>
        <w:tblW w:w="9072" w:type="dxa"/>
        <w:tblInd w:w="-5" w:type="dxa"/>
        <w:tblLayout w:type="fixed"/>
        <w:tblLook w:val="04A0" w:firstRow="1" w:lastRow="0" w:firstColumn="1" w:lastColumn="0" w:noHBand="0" w:noVBand="1"/>
        <w:tblDescription w:val="Likelihood ratios and predictive values for LGE-CMR and comparators, with segmental recovery in wall motion as the evidentiary standard"/>
      </w:tblPr>
      <w:tblGrid>
        <w:gridCol w:w="1985"/>
        <w:gridCol w:w="2268"/>
        <w:gridCol w:w="850"/>
        <w:gridCol w:w="1418"/>
        <w:gridCol w:w="1417"/>
        <w:gridCol w:w="567"/>
        <w:gridCol w:w="567"/>
      </w:tblGrid>
      <w:tr w:rsidR="00914E70" w:rsidRPr="00C36707" w14:paraId="18DB3199" w14:textId="77777777" w:rsidTr="000152B0">
        <w:trPr>
          <w:tblHeader/>
        </w:trPr>
        <w:tc>
          <w:tcPr>
            <w:tcW w:w="1985" w:type="dxa"/>
          </w:tcPr>
          <w:p w14:paraId="099E23A1" w14:textId="77777777" w:rsidR="00914E70" w:rsidRPr="00E92BE4" w:rsidRDefault="00914E70" w:rsidP="004C79C1">
            <w:pPr>
              <w:keepNext/>
              <w:spacing w:before="0" w:after="120" w:line="240" w:lineRule="auto"/>
              <w:rPr>
                <w:rFonts w:ascii="Arial Narrow" w:hAnsi="Arial Narrow"/>
                <w:b/>
                <w:sz w:val="20"/>
                <w:szCs w:val="20"/>
              </w:rPr>
            </w:pPr>
            <w:r w:rsidRPr="00E92BE4">
              <w:rPr>
                <w:rFonts w:ascii="Arial Narrow" w:hAnsi="Arial Narrow"/>
                <w:b/>
                <w:sz w:val="20"/>
                <w:szCs w:val="20"/>
              </w:rPr>
              <w:t>Intervention</w:t>
            </w:r>
            <w:r>
              <w:rPr>
                <w:rFonts w:ascii="Arial Narrow" w:hAnsi="Arial Narrow"/>
                <w:b/>
                <w:sz w:val="20"/>
                <w:szCs w:val="20"/>
              </w:rPr>
              <w:t xml:space="preserve"> and purpose of test</w:t>
            </w:r>
          </w:p>
        </w:tc>
        <w:tc>
          <w:tcPr>
            <w:tcW w:w="2268" w:type="dxa"/>
          </w:tcPr>
          <w:p w14:paraId="12C999A7" w14:textId="77777777" w:rsidR="00914E70" w:rsidRDefault="00914E70" w:rsidP="004C79C1">
            <w:pPr>
              <w:keepNext/>
              <w:spacing w:before="0" w:after="120" w:line="240" w:lineRule="auto"/>
              <w:rPr>
                <w:rFonts w:ascii="Arial Narrow" w:hAnsi="Arial Narrow"/>
                <w:b/>
                <w:sz w:val="20"/>
                <w:szCs w:val="20"/>
              </w:rPr>
            </w:pPr>
            <w:r>
              <w:rPr>
                <w:rFonts w:ascii="Arial Narrow" w:hAnsi="Arial Narrow"/>
                <w:b/>
                <w:sz w:val="20"/>
                <w:szCs w:val="20"/>
              </w:rPr>
              <w:t>Study/studies</w:t>
            </w:r>
          </w:p>
          <w:p w14:paraId="5B185E0E" w14:textId="77777777" w:rsidR="00914E70" w:rsidRPr="001A793D" w:rsidRDefault="00914E70" w:rsidP="004C79C1">
            <w:pPr>
              <w:keepNext/>
              <w:spacing w:before="0" w:after="120" w:line="240" w:lineRule="auto"/>
              <w:rPr>
                <w:rFonts w:ascii="Arial Narrow" w:hAnsi="Arial Narrow"/>
                <w:b/>
                <w:i/>
                <w:sz w:val="20"/>
                <w:szCs w:val="20"/>
              </w:rPr>
            </w:pPr>
            <w:r w:rsidRPr="001A793D">
              <w:rPr>
                <w:rFonts w:ascii="Arial Narrow" w:hAnsi="Arial Narrow"/>
                <w:b/>
                <w:i/>
                <w:sz w:val="20"/>
                <w:szCs w:val="20"/>
              </w:rPr>
              <w:t>Mean prevalence (range)</w:t>
            </w:r>
          </w:p>
        </w:tc>
        <w:tc>
          <w:tcPr>
            <w:tcW w:w="850" w:type="dxa"/>
            <w:tcBorders>
              <w:right w:val="single" w:sz="4" w:space="0" w:color="auto"/>
            </w:tcBorders>
          </w:tcPr>
          <w:p w14:paraId="50DD1660" w14:textId="77777777" w:rsidR="00914E70" w:rsidRPr="00E92BE4" w:rsidRDefault="00914E70" w:rsidP="004C79C1">
            <w:pPr>
              <w:keepNext/>
              <w:spacing w:before="0" w:after="120" w:line="240" w:lineRule="auto"/>
              <w:rPr>
                <w:rFonts w:ascii="Arial Narrow" w:hAnsi="Arial Narrow"/>
                <w:b/>
                <w:sz w:val="20"/>
                <w:szCs w:val="20"/>
              </w:rPr>
            </w:pPr>
            <w:r w:rsidRPr="00E92BE4">
              <w:rPr>
                <w:rFonts w:ascii="Arial Narrow" w:hAnsi="Arial Narrow"/>
                <w:b/>
                <w:sz w:val="20"/>
                <w:szCs w:val="20"/>
              </w:rPr>
              <w:t>Number of studies</w:t>
            </w:r>
            <w:r>
              <w:rPr>
                <w:rFonts w:ascii="Arial Narrow" w:hAnsi="Arial Narrow"/>
                <w:b/>
                <w:sz w:val="20"/>
                <w:szCs w:val="20"/>
              </w:rPr>
              <w:t>/ patients</w:t>
            </w:r>
          </w:p>
        </w:tc>
        <w:tc>
          <w:tcPr>
            <w:tcW w:w="1418" w:type="dxa"/>
            <w:tcBorders>
              <w:left w:val="single" w:sz="4" w:space="0" w:color="auto"/>
            </w:tcBorders>
          </w:tcPr>
          <w:p w14:paraId="4CB0522B" w14:textId="77777777" w:rsidR="00914E70" w:rsidRPr="00E92BE4" w:rsidRDefault="00914E70" w:rsidP="004C79C1">
            <w:pPr>
              <w:keepNext/>
              <w:spacing w:before="0" w:after="120" w:line="240" w:lineRule="auto"/>
              <w:ind w:right="-57"/>
              <w:rPr>
                <w:rFonts w:ascii="Arial Narrow" w:hAnsi="Arial Narrow"/>
                <w:b/>
                <w:sz w:val="20"/>
                <w:szCs w:val="20"/>
              </w:rPr>
            </w:pPr>
            <w:r>
              <w:rPr>
                <w:rFonts w:ascii="Arial Narrow" w:hAnsi="Arial Narrow"/>
                <w:b/>
                <w:sz w:val="20"/>
                <w:szCs w:val="20"/>
              </w:rPr>
              <w:t>LR+ (</w:t>
            </w:r>
            <w:r w:rsidRPr="00E92BE4">
              <w:rPr>
                <w:rFonts w:ascii="Arial Narrow" w:hAnsi="Arial Narrow"/>
                <w:b/>
                <w:sz w:val="20"/>
                <w:szCs w:val="20"/>
              </w:rPr>
              <w:t>95%CI</w:t>
            </w:r>
            <w:r>
              <w:rPr>
                <w:rFonts w:ascii="Arial Narrow" w:hAnsi="Arial Narrow"/>
                <w:b/>
                <w:sz w:val="20"/>
                <w:szCs w:val="20"/>
              </w:rPr>
              <w:t>)</w:t>
            </w:r>
          </w:p>
        </w:tc>
        <w:tc>
          <w:tcPr>
            <w:tcW w:w="1417" w:type="dxa"/>
          </w:tcPr>
          <w:p w14:paraId="234D07AD" w14:textId="77777777" w:rsidR="00914E70" w:rsidRPr="00E92BE4" w:rsidRDefault="00914E70" w:rsidP="004C79C1">
            <w:pPr>
              <w:keepNext/>
              <w:spacing w:before="0" w:after="120" w:line="240" w:lineRule="auto"/>
              <w:ind w:right="-57"/>
              <w:rPr>
                <w:rFonts w:ascii="Arial Narrow" w:hAnsi="Arial Narrow"/>
                <w:b/>
                <w:sz w:val="20"/>
                <w:szCs w:val="20"/>
              </w:rPr>
            </w:pPr>
            <w:r w:rsidRPr="00E92BE4">
              <w:rPr>
                <w:rFonts w:ascii="Arial Narrow" w:hAnsi="Arial Narrow"/>
                <w:b/>
                <w:sz w:val="20"/>
                <w:szCs w:val="20"/>
              </w:rPr>
              <w:t>LR</w:t>
            </w:r>
            <w:r>
              <w:rPr>
                <w:rFonts w:ascii="Arial Narrow" w:hAnsi="Arial Narrow"/>
                <w:b/>
                <w:sz w:val="20"/>
                <w:szCs w:val="20"/>
              </w:rPr>
              <w:t>–</w:t>
            </w:r>
            <w:r w:rsidRPr="00E92BE4">
              <w:rPr>
                <w:rFonts w:ascii="Arial Narrow" w:hAnsi="Arial Narrow"/>
                <w:b/>
                <w:sz w:val="20"/>
                <w:szCs w:val="20"/>
              </w:rPr>
              <w:t xml:space="preserve"> </w:t>
            </w:r>
            <w:r>
              <w:rPr>
                <w:rFonts w:ascii="Arial Narrow" w:hAnsi="Arial Narrow"/>
                <w:b/>
                <w:sz w:val="20"/>
                <w:szCs w:val="20"/>
              </w:rPr>
              <w:t>(</w:t>
            </w:r>
            <w:r w:rsidRPr="00E92BE4">
              <w:rPr>
                <w:rFonts w:ascii="Arial Narrow" w:hAnsi="Arial Narrow"/>
                <w:b/>
                <w:sz w:val="20"/>
                <w:szCs w:val="20"/>
              </w:rPr>
              <w:t>95%CI</w:t>
            </w:r>
            <w:r>
              <w:rPr>
                <w:rFonts w:ascii="Arial Narrow" w:hAnsi="Arial Narrow"/>
                <w:b/>
                <w:sz w:val="20"/>
                <w:szCs w:val="20"/>
              </w:rPr>
              <w:t>)</w:t>
            </w:r>
          </w:p>
        </w:tc>
        <w:tc>
          <w:tcPr>
            <w:tcW w:w="567" w:type="dxa"/>
          </w:tcPr>
          <w:p w14:paraId="5D2C3955" w14:textId="77777777" w:rsidR="00914E70" w:rsidRPr="00E92BE4" w:rsidRDefault="00914E70" w:rsidP="004C79C1">
            <w:pPr>
              <w:keepNext/>
              <w:spacing w:before="0" w:after="120" w:line="240" w:lineRule="auto"/>
              <w:jc w:val="center"/>
              <w:rPr>
                <w:rFonts w:ascii="Arial Narrow" w:hAnsi="Arial Narrow"/>
                <w:b/>
                <w:sz w:val="20"/>
                <w:szCs w:val="20"/>
              </w:rPr>
            </w:pPr>
            <w:r w:rsidRPr="00E92BE4">
              <w:rPr>
                <w:rFonts w:ascii="Arial Narrow" w:hAnsi="Arial Narrow"/>
                <w:b/>
                <w:sz w:val="20"/>
                <w:szCs w:val="20"/>
              </w:rPr>
              <w:t>PPV</w:t>
            </w:r>
            <w:r>
              <w:rPr>
                <w:rFonts w:ascii="Arial Narrow" w:hAnsi="Arial Narrow"/>
                <w:b/>
                <w:sz w:val="20"/>
                <w:szCs w:val="20"/>
              </w:rPr>
              <w:t xml:space="preserve"> </w:t>
            </w:r>
          </w:p>
        </w:tc>
        <w:tc>
          <w:tcPr>
            <w:tcW w:w="567" w:type="dxa"/>
          </w:tcPr>
          <w:p w14:paraId="04A068A5" w14:textId="77777777" w:rsidR="00914E70" w:rsidRPr="00E92BE4" w:rsidRDefault="00914E70" w:rsidP="004C79C1">
            <w:pPr>
              <w:keepNext/>
              <w:spacing w:before="0" w:after="120" w:line="240" w:lineRule="auto"/>
              <w:jc w:val="center"/>
              <w:rPr>
                <w:rFonts w:ascii="Arial Narrow" w:hAnsi="Arial Narrow"/>
                <w:b/>
                <w:sz w:val="20"/>
                <w:szCs w:val="20"/>
              </w:rPr>
            </w:pPr>
            <w:r w:rsidRPr="00E92BE4">
              <w:rPr>
                <w:rFonts w:ascii="Arial Narrow" w:hAnsi="Arial Narrow"/>
                <w:b/>
                <w:sz w:val="20"/>
                <w:szCs w:val="20"/>
              </w:rPr>
              <w:t>NPV</w:t>
            </w:r>
            <w:r>
              <w:rPr>
                <w:rFonts w:ascii="Arial Narrow" w:hAnsi="Arial Narrow"/>
                <w:b/>
                <w:sz w:val="20"/>
                <w:szCs w:val="20"/>
              </w:rPr>
              <w:t xml:space="preserve"> </w:t>
            </w:r>
          </w:p>
        </w:tc>
      </w:tr>
      <w:tr w:rsidR="00914E70" w:rsidRPr="00C36707" w14:paraId="078E096A" w14:textId="77777777" w:rsidTr="000152B0">
        <w:trPr>
          <w:tblHeader/>
        </w:trPr>
        <w:tc>
          <w:tcPr>
            <w:tcW w:w="1985" w:type="dxa"/>
          </w:tcPr>
          <w:p w14:paraId="2C0A8224" w14:textId="77777777" w:rsidR="00914E70" w:rsidRPr="00E92BE4" w:rsidRDefault="00914E70" w:rsidP="004C79C1">
            <w:pPr>
              <w:pStyle w:val="Tabletext1"/>
              <w:spacing w:before="0" w:after="120"/>
            </w:pPr>
            <w:r>
              <w:t>LGE-CMR in diagnosing DCM (ref std.: clinical diagnosis)</w:t>
            </w:r>
          </w:p>
        </w:tc>
        <w:tc>
          <w:tcPr>
            <w:tcW w:w="2268" w:type="dxa"/>
          </w:tcPr>
          <w:p w14:paraId="2A2F6477" w14:textId="555F791A" w:rsidR="00914E70" w:rsidRDefault="00914E70" w:rsidP="004C79C1">
            <w:pPr>
              <w:pStyle w:val="Tabletext1"/>
              <w:spacing w:before="0" w:after="120"/>
            </w:pPr>
            <w:r w:rsidRPr="00141050">
              <w:t>Yoshida</w:t>
            </w:r>
            <w:r w:rsidR="00C5426B" w:rsidRPr="00141050">
              <w:t xml:space="preserve">, </w:t>
            </w:r>
            <w:hyperlink w:anchor="_ENREF_155" w:tooltip="Yoshida, 2013 #18" w:history="1">
              <w:r w:rsidR="00686715" w:rsidRPr="006D1007">
                <w:rPr>
                  <w:noProof/>
                  <w:color w:val="000000" w:themeColor="text1"/>
                </w:rPr>
                <w:t>Ishibashi-Ueda et al. (2013</w:t>
              </w:r>
            </w:hyperlink>
            <w:r w:rsidR="00686715" w:rsidRPr="006D1007">
              <w:rPr>
                <w:noProof/>
                <w:color w:val="000000" w:themeColor="text1"/>
              </w:rPr>
              <w:t>)</w:t>
            </w:r>
          </w:p>
          <w:p w14:paraId="772DE459" w14:textId="77777777" w:rsidR="00914E70" w:rsidRPr="001A793D" w:rsidRDefault="00914E70" w:rsidP="004C79C1">
            <w:pPr>
              <w:pStyle w:val="Tabletext1"/>
              <w:spacing w:before="0" w:after="120"/>
              <w:rPr>
                <w:i/>
              </w:rPr>
            </w:pPr>
            <w:r w:rsidRPr="001A793D">
              <w:rPr>
                <w:i/>
              </w:rPr>
              <w:t>39.7%</w:t>
            </w:r>
          </w:p>
        </w:tc>
        <w:tc>
          <w:tcPr>
            <w:tcW w:w="850" w:type="dxa"/>
            <w:tcBorders>
              <w:right w:val="single" w:sz="4" w:space="0" w:color="auto"/>
            </w:tcBorders>
          </w:tcPr>
          <w:p w14:paraId="369E103C" w14:textId="4AB5BEEC" w:rsidR="00914E70" w:rsidRDefault="00A36790" w:rsidP="004C79C1">
            <w:pPr>
              <w:pStyle w:val="Tabletext1"/>
              <w:spacing w:before="0" w:after="120"/>
            </w:pPr>
            <w:r>
              <w:t>K</w:t>
            </w:r>
            <w:r w:rsidR="00914E70">
              <w:t>=1</w:t>
            </w:r>
          </w:p>
          <w:p w14:paraId="68E1A8D5" w14:textId="77777777" w:rsidR="00914E70" w:rsidRPr="00E92BE4" w:rsidRDefault="00914E70" w:rsidP="004C79C1">
            <w:pPr>
              <w:pStyle w:val="Tabletext1"/>
              <w:spacing w:before="0" w:after="120"/>
            </w:pPr>
            <w:r>
              <w:t>N=136</w:t>
            </w:r>
          </w:p>
        </w:tc>
        <w:tc>
          <w:tcPr>
            <w:tcW w:w="1418" w:type="dxa"/>
            <w:tcBorders>
              <w:left w:val="single" w:sz="4" w:space="0" w:color="auto"/>
            </w:tcBorders>
          </w:tcPr>
          <w:p w14:paraId="3416E7D2" w14:textId="77777777" w:rsidR="00914E70" w:rsidRDefault="00914E70" w:rsidP="004C79C1">
            <w:pPr>
              <w:pStyle w:val="Tabletext1"/>
              <w:spacing w:before="0" w:after="120"/>
              <w:ind w:right="-57"/>
            </w:pPr>
            <w:r>
              <w:t>11.4 (5.2, 24.8)</w:t>
            </w:r>
          </w:p>
        </w:tc>
        <w:tc>
          <w:tcPr>
            <w:tcW w:w="1417" w:type="dxa"/>
          </w:tcPr>
          <w:p w14:paraId="6DC8211A" w14:textId="77777777" w:rsidR="00914E70" w:rsidRPr="00E92BE4" w:rsidRDefault="00914E70" w:rsidP="004C79C1">
            <w:pPr>
              <w:pStyle w:val="Tabletext1"/>
              <w:spacing w:before="0" w:after="120"/>
              <w:ind w:right="-57"/>
            </w:pPr>
            <w:r>
              <w:t>0.18 (0.10, 0.33)</w:t>
            </w:r>
          </w:p>
        </w:tc>
        <w:tc>
          <w:tcPr>
            <w:tcW w:w="567" w:type="dxa"/>
          </w:tcPr>
          <w:p w14:paraId="31AADD07" w14:textId="77777777" w:rsidR="00914E70" w:rsidRPr="00E92BE4" w:rsidRDefault="00914E70" w:rsidP="004C79C1">
            <w:pPr>
              <w:pStyle w:val="Tabletext1"/>
              <w:spacing w:before="0" w:after="120"/>
            </w:pPr>
            <w:r>
              <w:t>88%</w:t>
            </w:r>
          </w:p>
        </w:tc>
        <w:tc>
          <w:tcPr>
            <w:tcW w:w="567" w:type="dxa"/>
          </w:tcPr>
          <w:p w14:paraId="02EE35AE" w14:textId="77777777" w:rsidR="00914E70" w:rsidRPr="00E92BE4" w:rsidRDefault="00914E70" w:rsidP="004C79C1">
            <w:pPr>
              <w:pStyle w:val="Tabletext1"/>
              <w:spacing w:before="0" w:after="120"/>
            </w:pPr>
            <w:r>
              <w:t>89%</w:t>
            </w:r>
          </w:p>
        </w:tc>
      </w:tr>
      <w:tr w:rsidR="00914E70" w:rsidRPr="00C36707" w14:paraId="4CB5DA1A" w14:textId="77777777" w:rsidTr="000152B0">
        <w:trPr>
          <w:tblHeader/>
        </w:trPr>
        <w:tc>
          <w:tcPr>
            <w:tcW w:w="1985" w:type="dxa"/>
          </w:tcPr>
          <w:p w14:paraId="6F0BD9A2" w14:textId="77777777" w:rsidR="00914E70" w:rsidRDefault="00914E70" w:rsidP="004C79C1">
            <w:pPr>
              <w:pStyle w:val="Tabletext1"/>
              <w:spacing w:before="0" w:after="120"/>
            </w:pPr>
            <w:r>
              <w:t>LGE-CMR in diagnosing non-ischaemic aetiology</w:t>
            </w:r>
          </w:p>
          <w:p w14:paraId="34A9208B" w14:textId="77777777" w:rsidR="00914E70" w:rsidRDefault="00914E70" w:rsidP="004C79C1">
            <w:pPr>
              <w:pStyle w:val="Tabletext1"/>
              <w:spacing w:before="0" w:after="120"/>
            </w:pPr>
            <w:r>
              <w:t>(ref std.: ICA)</w:t>
            </w:r>
          </w:p>
        </w:tc>
        <w:tc>
          <w:tcPr>
            <w:tcW w:w="2268" w:type="dxa"/>
          </w:tcPr>
          <w:p w14:paraId="5752330F" w14:textId="61CF431D" w:rsidR="00914E70" w:rsidRDefault="009D6530" w:rsidP="004C79C1">
            <w:pPr>
              <w:pStyle w:val="Tabletext1"/>
              <w:spacing w:before="0" w:after="120"/>
            </w:pPr>
            <w:r>
              <w:t>See section B</w:t>
            </w:r>
            <w:r w:rsidR="00914E70">
              <w:t>3.6.2</w:t>
            </w:r>
          </w:p>
          <w:p w14:paraId="077DB9FE" w14:textId="77777777" w:rsidR="00914E70" w:rsidRPr="001A793D" w:rsidRDefault="00914E70" w:rsidP="004C79C1">
            <w:pPr>
              <w:pStyle w:val="Tabletext1"/>
              <w:spacing w:before="0" w:after="120"/>
              <w:rPr>
                <w:i/>
              </w:rPr>
            </w:pPr>
            <w:r w:rsidRPr="001A793D">
              <w:rPr>
                <w:i/>
              </w:rPr>
              <w:t>63.1% (31.7–79%)</w:t>
            </w:r>
          </w:p>
        </w:tc>
        <w:tc>
          <w:tcPr>
            <w:tcW w:w="850" w:type="dxa"/>
            <w:tcBorders>
              <w:right w:val="single" w:sz="4" w:space="0" w:color="auto"/>
            </w:tcBorders>
          </w:tcPr>
          <w:p w14:paraId="7D54FC31" w14:textId="396A53D4" w:rsidR="00914E70" w:rsidRDefault="00A36790" w:rsidP="004C79C1">
            <w:pPr>
              <w:pStyle w:val="Tabletext1"/>
              <w:spacing w:before="0" w:after="120"/>
            </w:pPr>
            <w:r>
              <w:t>K</w:t>
            </w:r>
            <w:r w:rsidR="00914E70">
              <w:t>=6</w:t>
            </w:r>
          </w:p>
          <w:p w14:paraId="405BE979" w14:textId="77777777" w:rsidR="00914E70" w:rsidRDefault="00914E70" w:rsidP="004C79C1">
            <w:pPr>
              <w:pStyle w:val="Tabletext1"/>
              <w:spacing w:before="0" w:after="120"/>
            </w:pPr>
            <w:r>
              <w:t>N=377</w:t>
            </w:r>
          </w:p>
        </w:tc>
        <w:tc>
          <w:tcPr>
            <w:tcW w:w="1418" w:type="dxa"/>
            <w:tcBorders>
              <w:left w:val="single" w:sz="4" w:space="0" w:color="auto"/>
            </w:tcBorders>
          </w:tcPr>
          <w:p w14:paraId="2118A299" w14:textId="77777777" w:rsidR="00914E70" w:rsidRDefault="00914E70" w:rsidP="004C79C1">
            <w:pPr>
              <w:pStyle w:val="Tabletext1"/>
              <w:spacing w:before="0" w:after="120"/>
              <w:ind w:right="-57"/>
            </w:pPr>
            <w:r>
              <w:t>12.9 (5.0, 33.5)</w:t>
            </w:r>
          </w:p>
        </w:tc>
        <w:tc>
          <w:tcPr>
            <w:tcW w:w="1417" w:type="dxa"/>
          </w:tcPr>
          <w:p w14:paraId="492280AD" w14:textId="77777777" w:rsidR="00914E70" w:rsidRDefault="00914E70" w:rsidP="004C79C1">
            <w:pPr>
              <w:pStyle w:val="Tabletext1"/>
              <w:spacing w:before="0" w:after="120"/>
              <w:ind w:right="-57"/>
            </w:pPr>
            <w:r>
              <w:t>0.14 (0.07, 0.27)</w:t>
            </w:r>
          </w:p>
        </w:tc>
        <w:tc>
          <w:tcPr>
            <w:tcW w:w="567" w:type="dxa"/>
          </w:tcPr>
          <w:p w14:paraId="4BAF566C" w14:textId="77777777" w:rsidR="00914E70" w:rsidRDefault="00914E70" w:rsidP="004C79C1">
            <w:pPr>
              <w:pStyle w:val="Tabletext1"/>
              <w:spacing w:before="0" w:after="120"/>
            </w:pPr>
            <w:r>
              <w:t>95%</w:t>
            </w:r>
          </w:p>
        </w:tc>
        <w:tc>
          <w:tcPr>
            <w:tcW w:w="567" w:type="dxa"/>
          </w:tcPr>
          <w:p w14:paraId="20934474" w14:textId="77777777" w:rsidR="00914E70" w:rsidRDefault="00914E70" w:rsidP="004C79C1">
            <w:pPr>
              <w:pStyle w:val="Tabletext1"/>
              <w:spacing w:before="0" w:after="120"/>
            </w:pPr>
            <w:r>
              <w:t>81%</w:t>
            </w:r>
          </w:p>
        </w:tc>
      </w:tr>
      <w:tr w:rsidR="00914E70" w:rsidRPr="00C36707" w14:paraId="049420EC" w14:textId="77777777" w:rsidTr="000152B0">
        <w:trPr>
          <w:tblHeader/>
        </w:trPr>
        <w:tc>
          <w:tcPr>
            <w:tcW w:w="1985" w:type="dxa"/>
          </w:tcPr>
          <w:p w14:paraId="777CE79E" w14:textId="7C11381C" w:rsidR="00914E70" w:rsidRDefault="00914E70" w:rsidP="004C79C1">
            <w:pPr>
              <w:pStyle w:val="Tabletext1"/>
              <w:spacing w:before="0" w:after="120"/>
            </w:pPr>
            <w:r>
              <w:t>LGE-CMR in diagnosing non-isch</w:t>
            </w:r>
            <w:r w:rsidR="00B54AAB">
              <w:t>a</w:t>
            </w:r>
            <w:r>
              <w:t>emic aetiology (ref std.: ICA or clinical diagnosis)</w:t>
            </w:r>
          </w:p>
        </w:tc>
        <w:tc>
          <w:tcPr>
            <w:tcW w:w="2268" w:type="dxa"/>
          </w:tcPr>
          <w:p w14:paraId="0DCE7FE1" w14:textId="2035F50A" w:rsidR="00914E70" w:rsidRDefault="009D6530" w:rsidP="004C79C1">
            <w:pPr>
              <w:pStyle w:val="Tabletext1"/>
              <w:spacing w:before="0" w:after="120"/>
            </w:pPr>
            <w:r>
              <w:t>See section B</w:t>
            </w:r>
            <w:r w:rsidR="00914E70">
              <w:t>3.6.2</w:t>
            </w:r>
          </w:p>
          <w:p w14:paraId="460C885F" w14:textId="09230134" w:rsidR="00914E70" w:rsidRPr="001A793D" w:rsidRDefault="00C60272" w:rsidP="004C79C1">
            <w:pPr>
              <w:pStyle w:val="Tabletext1"/>
              <w:spacing w:before="0" w:after="120"/>
              <w:rPr>
                <w:i/>
              </w:rPr>
            </w:pPr>
            <w:r w:rsidRPr="001A793D">
              <w:rPr>
                <w:i/>
              </w:rPr>
              <w:t>65</w:t>
            </w:r>
            <w:r w:rsidR="00914E70" w:rsidRPr="001A793D">
              <w:rPr>
                <w:i/>
              </w:rPr>
              <w:t xml:space="preserve">% </w:t>
            </w:r>
            <w:r w:rsidR="005B5E4F" w:rsidRPr="001A793D">
              <w:rPr>
                <w:i/>
              </w:rPr>
              <w:t>(31.7–79%)</w:t>
            </w:r>
          </w:p>
        </w:tc>
        <w:tc>
          <w:tcPr>
            <w:tcW w:w="850" w:type="dxa"/>
            <w:tcBorders>
              <w:right w:val="single" w:sz="4" w:space="0" w:color="auto"/>
            </w:tcBorders>
          </w:tcPr>
          <w:p w14:paraId="69D86FBD" w14:textId="3F1EBBAA" w:rsidR="00914E70" w:rsidRDefault="00A36790" w:rsidP="004C79C1">
            <w:pPr>
              <w:pStyle w:val="Tabletext1"/>
              <w:spacing w:before="0" w:after="120"/>
            </w:pPr>
            <w:r>
              <w:t>K</w:t>
            </w:r>
            <w:r w:rsidR="00914E70">
              <w:t>=8</w:t>
            </w:r>
          </w:p>
          <w:p w14:paraId="2F438D96" w14:textId="77777777" w:rsidR="00914E70" w:rsidRDefault="00914E70" w:rsidP="004C79C1">
            <w:pPr>
              <w:pStyle w:val="Tabletext1"/>
              <w:spacing w:before="0" w:after="120"/>
            </w:pPr>
            <w:r>
              <w:t>N=521</w:t>
            </w:r>
          </w:p>
        </w:tc>
        <w:tc>
          <w:tcPr>
            <w:tcW w:w="1418" w:type="dxa"/>
            <w:tcBorders>
              <w:left w:val="single" w:sz="4" w:space="0" w:color="auto"/>
            </w:tcBorders>
          </w:tcPr>
          <w:p w14:paraId="4D9B8ADC" w14:textId="77777777" w:rsidR="00914E70" w:rsidRDefault="00914E70" w:rsidP="004C79C1">
            <w:pPr>
              <w:pStyle w:val="Tabletext1"/>
              <w:spacing w:before="0" w:after="120"/>
              <w:ind w:right="-57"/>
            </w:pPr>
            <w:r>
              <w:t>10.8 (6.1, 19.0)</w:t>
            </w:r>
          </w:p>
        </w:tc>
        <w:tc>
          <w:tcPr>
            <w:tcW w:w="1417" w:type="dxa"/>
          </w:tcPr>
          <w:p w14:paraId="632AEBD1" w14:textId="77777777" w:rsidR="00914E70" w:rsidRDefault="00914E70" w:rsidP="004C79C1">
            <w:pPr>
              <w:pStyle w:val="Tabletext1"/>
              <w:spacing w:before="0" w:after="120"/>
              <w:ind w:right="-57"/>
            </w:pPr>
            <w:r>
              <w:t>0.09 (0.04, 0.23)</w:t>
            </w:r>
          </w:p>
        </w:tc>
        <w:tc>
          <w:tcPr>
            <w:tcW w:w="567" w:type="dxa"/>
          </w:tcPr>
          <w:p w14:paraId="00A59F39" w14:textId="77777777" w:rsidR="00914E70" w:rsidRDefault="00914E70" w:rsidP="004C79C1">
            <w:pPr>
              <w:pStyle w:val="Tabletext1"/>
              <w:spacing w:before="0" w:after="120"/>
            </w:pPr>
            <w:r>
              <w:t>95%</w:t>
            </w:r>
          </w:p>
        </w:tc>
        <w:tc>
          <w:tcPr>
            <w:tcW w:w="567" w:type="dxa"/>
          </w:tcPr>
          <w:p w14:paraId="6CDA0F91" w14:textId="77777777" w:rsidR="00914E70" w:rsidRDefault="00914E70" w:rsidP="004C79C1">
            <w:pPr>
              <w:pStyle w:val="Tabletext1"/>
              <w:spacing w:before="0" w:after="120"/>
            </w:pPr>
            <w:r>
              <w:t>86%</w:t>
            </w:r>
          </w:p>
        </w:tc>
      </w:tr>
      <w:tr w:rsidR="00914E70" w:rsidRPr="00C36707" w14:paraId="7FAEAB2A" w14:textId="77777777" w:rsidTr="000152B0">
        <w:trPr>
          <w:tblHeader/>
        </w:trPr>
        <w:tc>
          <w:tcPr>
            <w:tcW w:w="1985" w:type="dxa"/>
          </w:tcPr>
          <w:p w14:paraId="41BFA453" w14:textId="191245D2" w:rsidR="00914E70" w:rsidRDefault="00914E70" w:rsidP="004C79C1">
            <w:pPr>
              <w:pStyle w:val="Tabletext1"/>
              <w:spacing w:before="0" w:after="120"/>
            </w:pPr>
            <w:r>
              <w:t xml:space="preserve">LGE-CMR in diagnosing inflammatory aetiology (ref. std.: </w:t>
            </w:r>
            <w:r w:rsidR="00C53788">
              <w:t>EMB</w:t>
            </w:r>
            <w:r>
              <w:t>)</w:t>
            </w:r>
          </w:p>
        </w:tc>
        <w:tc>
          <w:tcPr>
            <w:tcW w:w="2268" w:type="dxa"/>
          </w:tcPr>
          <w:p w14:paraId="700FCC88" w14:textId="77777777" w:rsidR="00914E70" w:rsidRDefault="00914E70" w:rsidP="004C79C1">
            <w:pPr>
              <w:pStyle w:val="Tabletext1"/>
              <w:spacing w:before="0" w:after="120"/>
            </w:pPr>
            <w:r>
              <w:t>Sramko et al. (2013)</w:t>
            </w:r>
          </w:p>
          <w:p w14:paraId="29266914" w14:textId="77777777" w:rsidR="00914E70" w:rsidRDefault="00914E70" w:rsidP="004C79C1">
            <w:pPr>
              <w:pStyle w:val="Tabletext1"/>
              <w:spacing w:before="0" w:after="120"/>
            </w:pPr>
            <w:r>
              <w:t>Voigt et al. (2011)</w:t>
            </w:r>
          </w:p>
          <w:p w14:paraId="4199FEDB" w14:textId="77777777" w:rsidR="00914E70" w:rsidRDefault="00914E70" w:rsidP="004C79C1">
            <w:pPr>
              <w:pStyle w:val="Tabletext1"/>
              <w:spacing w:before="0" w:after="120"/>
            </w:pPr>
            <w:r>
              <w:t>Bohnen et al. (2015)</w:t>
            </w:r>
          </w:p>
          <w:p w14:paraId="4BD2E230" w14:textId="77777777" w:rsidR="00914E70" w:rsidRPr="001A793D" w:rsidRDefault="00914E70" w:rsidP="004C79C1">
            <w:pPr>
              <w:pStyle w:val="Tabletext1"/>
              <w:spacing w:before="0" w:after="120"/>
              <w:rPr>
                <w:i/>
              </w:rPr>
            </w:pPr>
            <w:r w:rsidRPr="001A793D">
              <w:rPr>
                <w:i/>
              </w:rPr>
              <w:t>45.4% (35.7–52.2%)</w:t>
            </w:r>
          </w:p>
        </w:tc>
        <w:tc>
          <w:tcPr>
            <w:tcW w:w="850" w:type="dxa"/>
            <w:tcBorders>
              <w:right w:val="single" w:sz="4" w:space="0" w:color="auto"/>
            </w:tcBorders>
          </w:tcPr>
          <w:p w14:paraId="743C21FA" w14:textId="77777777" w:rsidR="00914E70" w:rsidRDefault="00914E70" w:rsidP="004C79C1">
            <w:pPr>
              <w:pStyle w:val="Tabletext1"/>
              <w:spacing w:before="0" w:after="120"/>
            </w:pPr>
            <w:r>
              <w:t>N=42</w:t>
            </w:r>
          </w:p>
          <w:p w14:paraId="41F06C28" w14:textId="77777777" w:rsidR="00914E70" w:rsidRDefault="00914E70" w:rsidP="004C79C1">
            <w:pPr>
              <w:pStyle w:val="Tabletext1"/>
              <w:spacing w:before="0" w:after="120"/>
            </w:pPr>
            <w:r>
              <w:t>N=23</w:t>
            </w:r>
          </w:p>
          <w:p w14:paraId="3F720995" w14:textId="77777777" w:rsidR="00914E70" w:rsidRDefault="00914E70" w:rsidP="004C79C1">
            <w:pPr>
              <w:pStyle w:val="Tabletext1"/>
              <w:spacing w:before="0" w:after="120"/>
            </w:pPr>
            <w:r>
              <w:t>N=31</w:t>
            </w:r>
          </w:p>
        </w:tc>
        <w:tc>
          <w:tcPr>
            <w:tcW w:w="1418" w:type="dxa"/>
            <w:tcBorders>
              <w:left w:val="single" w:sz="4" w:space="0" w:color="auto"/>
            </w:tcBorders>
          </w:tcPr>
          <w:p w14:paraId="14E664CF" w14:textId="77777777" w:rsidR="00914E70" w:rsidRPr="00B76726" w:rsidRDefault="00914E70" w:rsidP="004C79C1">
            <w:pPr>
              <w:pStyle w:val="Tabletext1"/>
              <w:spacing w:before="0" w:after="120"/>
              <w:ind w:right="-57"/>
              <w:rPr>
                <w:vertAlign w:val="superscript"/>
              </w:rPr>
            </w:pPr>
            <w:r>
              <w:t>1.56 (1.05, 2.31)</w:t>
            </w:r>
          </w:p>
          <w:p w14:paraId="65B61E35" w14:textId="77777777" w:rsidR="00914E70" w:rsidRPr="00B76726" w:rsidRDefault="00914E70" w:rsidP="004C79C1">
            <w:pPr>
              <w:pStyle w:val="Tabletext1"/>
              <w:spacing w:before="0" w:after="120"/>
              <w:ind w:right="-57"/>
              <w:rPr>
                <w:vertAlign w:val="superscript"/>
              </w:rPr>
            </w:pPr>
            <w:r>
              <w:t>1.17 (0.53, 2.55)</w:t>
            </w:r>
          </w:p>
          <w:p w14:paraId="16B1BC43" w14:textId="77777777" w:rsidR="00914E70" w:rsidRPr="00B76726" w:rsidRDefault="00914E70" w:rsidP="004C79C1">
            <w:pPr>
              <w:pStyle w:val="Tabletext1"/>
              <w:spacing w:before="0" w:after="120"/>
              <w:ind w:right="-57"/>
              <w:rPr>
                <w:vertAlign w:val="superscript"/>
              </w:rPr>
            </w:pPr>
            <w:r>
              <w:t>1.13 (0.71, 1.78)</w:t>
            </w:r>
          </w:p>
        </w:tc>
        <w:tc>
          <w:tcPr>
            <w:tcW w:w="1417" w:type="dxa"/>
          </w:tcPr>
          <w:p w14:paraId="3B90041F" w14:textId="77777777" w:rsidR="00914E70" w:rsidRPr="00B76726" w:rsidRDefault="00914E70" w:rsidP="004C79C1">
            <w:pPr>
              <w:pStyle w:val="Tabletext1"/>
              <w:spacing w:before="0" w:after="120"/>
              <w:ind w:right="-57"/>
              <w:rPr>
                <w:vertAlign w:val="superscript"/>
              </w:rPr>
            </w:pPr>
            <w:r>
              <w:t>0.30 (0.08, 1.17)</w:t>
            </w:r>
          </w:p>
          <w:p w14:paraId="1EFAF26E" w14:textId="77777777" w:rsidR="00914E70" w:rsidRPr="00B76726" w:rsidRDefault="00914E70" w:rsidP="004C79C1">
            <w:pPr>
              <w:pStyle w:val="Tabletext1"/>
              <w:spacing w:before="0" w:after="120"/>
              <w:ind w:right="-57"/>
              <w:rPr>
                <w:vertAlign w:val="superscript"/>
              </w:rPr>
            </w:pPr>
            <w:r>
              <w:t>0.83 (0.33, 2.08)</w:t>
            </w:r>
          </w:p>
          <w:p w14:paraId="1C331F49" w14:textId="77777777" w:rsidR="00914E70" w:rsidRPr="00B76726" w:rsidRDefault="00914E70" w:rsidP="004C79C1">
            <w:pPr>
              <w:pStyle w:val="Tabletext1"/>
              <w:spacing w:before="0" w:after="120"/>
              <w:ind w:right="-57"/>
              <w:rPr>
                <w:vertAlign w:val="superscript"/>
              </w:rPr>
            </w:pPr>
            <w:r>
              <w:t>0.75 (0.25, 2.28)</w:t>
            </w:r>
          </w:p>
        </w:tc>
        <w:tc>
          <w:tcPr>
            <w:tcW w:w="567" w:type="dxa"/>
          </w:tcPr>
          <w:p w14:paraId="7043E545" w14:textId="77777777" w:rsidR="00914E70" w:rsidRDefault="00914E70" w:rsidP="004C79C1">
            <w:pPr>
              <w:pStyle w:val="Tabletext1"/>
              <w:spacing w:before="0" w:after="120"/>
            </w:pPr>
            <w:r>
              <w:t>46%</w:t>
            </w:r>
          </w:p>
          <w:p w14:paraId="77BF7948" w14:textId="77777777" w:rsidR="00914E70" w:rsidRDefault="00914E70" w:rsidP="004C79C1">
            <w:pPr>
              <w:pStyle w:val="Tabletext1"/>
              <w:spacing w:before="0" w:after="120"/>
            </w:pPr>
            <w:r>
              <w:t>58%</w:t>
            </w:r>
          </w:p>
          <w:p w14:paraId="079CAAAF" w14:textId="77777777" w:rsidR="00914E70" w:rsidRDefault="00914E70" w:rsidP="004C79C1">
            <w:pPr>
              <w:pStyle w:val="Tabletext1"/>
              <w:spacing w:before="0" w:after="120"/>
            </w:pPr>
            <w:r>
              <w:t>55%</w:t>
            </w:r>
          </w:p>
        </w:tc>
        <w:tc>
          <w:tcPr>
            <w:tcW w:w="567" w:type="dxa"/>
          </w:tcPr>
          <w:p w14:paraId="204CA1DD" w14:textId="77777777" w:rsidR="00914E70" w:rsidRDefault="00914E70" w:rsidP="004C79C1">
            <w:pPr>
              <w:pStyle w:val="Tabletext1"/>
              <w:spacing w:before="0" w:after="120"/>
            </w:pPr>
            <w:r>
              <w:t>86%</w:t>
            </w:r>
          </w:p>
          <w:p w14:paraId="36EA6E28" w14:textId="77777777" w:rsidR="00914E70" w:rsidRDefault="00914E70" w:rsidP="004C79C1">
            <w:pPr>
              <w:pStyle w:val="Tabletext1"/>
              <w:spacing w:before="0" w:after="120"/>
            </w:pPr>
            <w:r>
              <w:t>50%</w:t>
            </w:r>
          </w:p>
          <w:p w14:paraId="5A90CA53" w14:textId="77777777" w:rsidR="00914E70" w:rsidRDefault="00914E70" w:rsidP="004C79C1">
            <w:pPr>
              <w:pStyle w:val="Tabletext1"/>
              <w:spacing w:before="0" w:after="120"/>
            </w:pPr>
            <w:r>
              <w:t>56%</w:t>
            </w:r>
          </w:p>
        </w:tc>
      </w:tr>
    </w:tbl>
    <w:p w14:paraId="6AE9625E" w14:textId="357C894F" w:rsidR="00914E70" w:rsidRDefault="00914E70" w:rsidP="004C79C1">
      <w:pPr>
        <w:pStyle w:val="Tablenotes0"/>
        <w:spacing w:before="0" w:after="120"/>
      </w:pPr>
      <w:bookmarkStart w:id="327" w:name="_Toc324410147"/>
      <w:r w:rsidRPr="00C60272">
        <w:t xml:space="preserve">CI = </w:t>
      </w:r>
      <w:r w:rsidR="000526A3">
        <w:t>c</w:t>
      </w:r>
      <w:r w:rsidRPr="00C60272">
        <w:t xml:space="preserve">onfidence interval; CMR = cardiac magnetic resonance </w:t>
      </w:r>
      <w:r w:rsidR="000728E6">
        <w:t>(</w:t>
      </w:r>
      <w:r w:rsidRPr="00C60272">
        <w:t>imaging</w:t>
      </w:r>
      <w:r w:rsidR="000728E6">
        <w:t>)</w:t>
      </w:r>
      <w:r w:rsidRPr="00C60272">
        <w:t xml:space="preserve">; DCM = dilated cardiomyopathy; </w:t>
      </w:r>
      <w:r w:rsidR="00C53788">
        <w:t xml:space="preserve">EMB = endomyocardial biopsy; </w:t>
      </w:r>
      <w:r w:rsidRPr="00C60272">
        <w:t xml:space="preserve">ICA = invasive coronary angiography; </w:t>
      </w:r>
      <w:r w:rsidR="00A36790">
        <w:t>K</w:t>
      </w:r>
      <w:r w:rsidRPr="00C60272">
        <w:t xml:space="preserve"> = number of studies; LGE = late gadolinium enhancement; LR+ = positive likelihood ratio; LR– = negative likelihood ratio; N = number of patients; NPV = negative predictive value; PPV = positive predictive value</w:t>
      </w:r>
      <w:bookmarkEnd w:id="327"/>
    </w:p>
    <w:p w14:paraId="715448DB" w14:textId="77777777" w:rsidR="00054ED4" w:rsidRDefault="00054ED4" w:rsidP="004C79C1">
      <w:pPr>
        <w:pStyle w:val="Tablenotes0"/>
        <w:spacing w:before="0" w:after="120"/>
      </w:pPr>
    </w:p>
    <w:p w14:paraId="16E8D491" w14:textId="77777777" w:rsidR="00054ED4" w:rsidRDefault="00054ED4" w:rsidP="004C79C1">
      <w:pPr>
        <w:spacing w:after="120" w:line="240" w:lineRule="auto"/>
        <w:sectPr w:rsidR="00054ED4" w:rsidSect="00061768">
          <w:headerReference w:type="even" r:id="rId37"/>
          <w:headerReference w:type="default" r:id="rId38"/>
          <w:headerReference w:type="first" r:id="rId39"/>
          <w:pgSz w:w="11906" w:h="16838"/>
          <w:pgMar w:top="1440" w:right="1440" w:bottom="1440" w:left="1440" w:header="720" w:footer="720" w:gutter="0"/>
          <w:paperSrc w:first="2" w:other="2"/>
          <w:cols w:space="720"/>
        </w:sectPr>
      </w:pPr>
    </w:p>
    <w:p w14:paraId="1941F3C5" w14:textId="0ECE2EDF" w:rsidR="00914E70" w:rsidRDefault="00914E70" w:rsidP="004C79C1">
      <w:pPr>
        <w:spacing w:after="120" w:line="240" w:lineRule="auto"/>
      </w:pPr>
      <w:r>
        <w:rPr>
          <w:noProof/>
        </w:rPr>
        <w:lastRenderedPageBreak/>
        <w:drawing>
          <wp:inline distT="0" distB="0" distL="0" distR="0" wp14:anchorId="6F160497" wp14:editId="00EAAAA4">
            <wp:extent cx="8823278" cy="4480355"/>
            <wp:effectExtent l="0" t="0" r="0" b="0"/>
            <wp:docPr id="10" name="Picture 10" descr="Likelihood ratio scattergram for the diagnosis of DCM/inflammatory aetiology/non-ischaemic aetiology (all included studies on diagnostic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kelihood all3.png"/>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8845415" cy="4491596"/>
                    </a:xfrm>
                    <a:prstGeom prst="rect">
                      <a:avLst/>
                    </a:prstGeom>
                    <a:ln>
                      <a:noFill/>
                    </a:ln>
                    <a:extLst>
                      <a:ext uri="{53640926-AAD7-44D8-BBD7-CCE9431645EC}">
                        <a14:shadowObscured xmlns:a14="http://schemas.microsoft.com/office/drawing/2010/main"/>
                      </a:ext>
                    </a:extLst>
                  </pic:spPr>
                </pic:pic>
              </a:graphicData>
            </a:graphic>
          </wp:inline>
        </w:drawing>
      </w:r>
    </w:p>
    <w:p w14:paraId="12319147" w14:textId="7E33247E" w:rsidR="00914E70" w:rsidRDefault="00914E70" w:rsidP="004C79C1">
      <w:pPr>
        <w:pStyle w:val="Caption"/>
      </w:pPr>
      <w:bookmarkStart w:id="328" w:name="_Ref446078153"/>
      <w:bookmarkStart w:id="329" w:name="_Toc324410148"/>
      <w:bookmarkStart w:id="330" w:name="_Toc451435461"/>
      <w:r>
        <w:t xml:space="preserve">Figure </w:t>
      </w:r>
      <w:fldSimple w:instr=" SEQ Figure \* ARABIC ">
        <w:r w:rsidR="00050936">
          <w:rPr>
            <w:noProof/>
          </w:rPr>
          <w:t>15</w:t>
        </w:r>
      </w:fldSimple>
      <w:bookmarkEnd w:id="328"/>
      <w:r>
        <w:rPr>
          <w:noProof/>
        </w:rPr>
        <w:tab/>
      </w:r>
      <w:r>
        <w:t>Likelihood ratio scattergram for the diagnosis of DCM</w:t>
      </w:r>
      <w:r w:rsidR="00E90185">
        <w:t xml:space="preserve"> </w:t>
      </w:r>
      <w:r>
        <w:t>/</w:t>
      </w:r>
      <w:r w:rsidR="00E90185">
        <w:t xml:space="preserve"> </w:t>
      </w:r>
      <w:r>
        <w:t>inflammatory aetiology</w:t>
      </w:r>
      <w:r w:rsidR="00E90185">
        <w:t xml:space="preserve"> </w:t>
      </w:r>
      <w:r>
        <w:t>/</w:t>
      </w:r>
      <w:r w:rsidR="00E90185">
        <w:t xml:space="preserve"> </w:t>
      </w:r>
      <w:r>
        <w:t>non-ischaemic aetiology (all included studies on diagnostic performance)</w:t>
      </w:r>
      <w:bookmarkEnd w:id="329"/>
      <w:bookmarkEnd w:id="330"/>
    </w:p>
    <w:p w14:paraId="129F19ED" w14:textId="3B00F35F" w:rsidR="00914E70" w:rsidRPr="00C60272" w:rsidRDefault="00914E70" w:rsidP="004C79C1">
      <w:pPr>
        <w:pStyle w:val="Tablenotes0"/>
        <w:spacing w:before="0" w:after="120"/>
      </w:pPr>
      <w:bookmarkStart w:id="331" w:name="_Toc324410149"/>
      <w:r w:rsidRPr="00C60272">
        <w:t xml:space="preserve">LGE-CMR = late gadolinium enhancement cardiac magnetic resonance </w:t>
      </w:r>
      <w:r w:rsidR="000728E6">
        <w:t>(</w:t>
      </w:r>
      <w:r w:rsidRPr="00C60272">
        <w:t>imaging</w:t>
      </w:r>
      <w:r w:rsidR="000728E6">
        <w:t>)</w:t>
      </w:r>
      <w:r w:rsidRPr="00C60272">
        <w:t>; LR– = negative likelihood ratio; LR+ = positive likelihood ratio</w:t>
      </w:r>
      <w:bookmarkEnd w:id="331"/>
    </w:p>
    <w:p w14:paraId="200D15E9" w14:textId="77777777" w:rsidR="00054ED4" w:rsidRDefault="00054ED4" w:rsidP="004C79C1">
      <w:pPr>
        <w:spacing w:after="120" w:line="240" w:lineRule="auto"/>
        <w:jc w:val="both"/>
        <w:sectPr w:rsidR="00054ED4" w:rsidSect="00054ED4">
          <w:pgSz w:w="16838" w:h="11906" w:orient="landscape"/>
          <w:pgMar w:top="1440" w:right="1440" w:bottom="1440" w:left="1440" w:header="720" w:footer="720" w:gutter="0"/>
          <w:paperSrc w:first="4" w:other="4"/>
          <w:cols w:space="720"/>
        </w:sectPr>
      </w:pPr>
    </w:p>
    <w:p w14:paraId="68A3C3B2" w14:textId="7D2F70F3" w:rsidR="00914E70" w:rsidRDefault="00914E70" w:rsidP="004C79C1">
      <w:pPr>
        <w:spacing w:after="120" w:line="240" w:lineRule="auto"/>
        <w:jc w:val="both"/>
      </w:pPr>
      <w:r>
        <w:lastRenderedPageBreak/>
        <w:t xml:space="preserve">The LRs from the study reporting on the accuracy of diagnosing DCM with LGE-CMR compared with a clinical diagnosis fall within the upper right quadrant of the scattergram (yellow dot in </w:t>
      </w:r>
      <w:r w:rsidR="00AD3EE2">
        <w:fldChar w:fldCharType="begin"/>
      </w:r>
      <w:r w:rsidR="00AD3EE2">
        <w:instrText xml:space="preserve"> REF _Ref446078153 \h  \* MERGEFORMAT </w:instrText>
      </w:r>
      <w:r w:rsidR="00AD3EE2">
        <w:fldChar w:fldCharType="separate"/>
      </w:r>
      <w:r w:rsidR="00460601">
        <w:t xml:space="preserve">Figure </w:t>
      </w:r>
      <w:r w:rsidR="00460601">
        <w:rPr>
          <w:noProof/>
        </w:rPr>
        <w:t>15</w:t>
      </w:r>
      <w:r w:rsidR="00AD3EE2">
        <w:fldChar w:fldCharType="end"/>
      </w:r>
      <w:r>
        <w:t>). This represents LR+ values conclusive for correctly confirming DCM. Even though the study estimates are not conclusive for excluding DCM (LR</w:t>
      </w:r>
      <w:r w:rsidR="00CC714E">
        <w:t>–</w:t>
      </w:r>
      <w:r>
        <w:t xml:space="preserve"> &gt;0.1), it still lies within the 0.1</w:t>
      </w:r>
      <w:r w:rsidR="00CC714E">
        <w:t>–</w:t>
      </w:r>
      <w:r>
        <w:t xml:space="preserve">0.2 range, which means </w:t>
      </w:r>
      <w:r w:rsidR="00CC714E">
        <w:t xml:space="preserve">that </w:t>
      </w:r>
      <w:r>
        <w:t xml:space="preserve">it is still a strong indicator that a ‘negative test result’ is likely to correctly exclude DCM. </w:t>
      </w:r>
    </w:p>
    <w:p w14:paraId="6D976F69" w14:textId="79D58998" w:rsidR="00914E70" w:rsidRDefault="00914E70" w:rsidP="004C79C1">
      <w:pPr>
        <w:spacing w:after="120" w:line="240" w:lineRule="auto"/>
        <w:jc w:val="both"/>
      </w:pPr>
      <w:r>
        <w:t xml:space="preserve">The LRs from all </w:t>
      </w:r>
      <w:r w:rsidR="00CC714E">
        <w:t xml:space="preserve">3 </w:t>
      </w:r>
      <w:r>
        <w:t xml:space="preserve">studies reporting on the accuracy of LGE-CMR compared with </w:t>
      </w:r>
      <w:r w:rsidR="008A2C76">
        <w:t xml:space="preserve">EMB </w:t>
      </w:r>
      <w:r>
        <w:t xml:space="preserve">in diagnosing inflammatory aetiology are in the lower right quadrant of the scattergram (orange dots in </w:t>
      </w:r>
      <w:r w:rsidR="00AD3EE2">
        <w:fldChar w:fldCharType="begin"/>
      </w:r>
      <w:r w:rsidR="00AD3EE2">
        <w:instrText xml:space="preserve"> REF _Ref446078153 \h  \* MERGEFORMAT </w:instrText>
      </w:r>
      <w:r w:rsidR="00AD3EE2">
        <w:fldChar w:fldCharType="separate"/>
      </w:r>
      <w:r w:rsidR="00460601">
        <w:t xml:space="preserve">Figure </w:t>
      </w:r>
      <w:r w:rsidR="00460601">
        <w:rPr>
          <w:noProof/>
        </w:rPr>
        <w:t>15</w:t>
      </w:r>
      <w:r w:rsidR="00AD3EE2">
        <w:fldChar w:fldCharType="end"/>
      </w:r>
      <w:r>
        <w:t xml:space="preserve">). This represents LR values inconclusive for correctly confirming or excluding inflammatory aetiology, and suggests that LGE-CMR does not provide any useful information to either confirm or exclude an inflammatory aetiology. </w:t>
      </w:r>
    </w:p>
    <w:p w14:paraId="6599F0A0" w14:textId="6AEBFDE8" w:rsidR="00914E70" w:rsidRDefault="00914E70" w:rsidP="004C79C1">
      <w:pPr>
        <w:spacing w:after="120" w:line="240" w:lineRule="auto"/>
        <w:jc w:val="both"/>
      </w:pPr>
      <w:r>
        <w:t xml:space="preserve">The </w:t>
      </w:r>
      <w:r w:rsidR="009509ED">
        <w:t xml:space="preserve">8 </w:t>
      </w:r>
      <w:r>
        <w:t>studies reporting on the accuracy of LGE-CMR in diagnosing non-ischaemic aetiology compared with either clinical diagnosis (light blue dots) or ICA (dark blue dots) are spread over three quadrants. However, a pooled estimate would fall within the upper left quadrant of the scattergram (LR+ = 10.8 and LR</w:t>
      </w:r>
      <w:r>
        <w:rPr>
          <w:rFonts w:ascii="Arial Narrow" w:hAnsi="Arial Narrow"/>
        </w:rPr>
        <w:t>–</w:t>
      </w:r>
      <w:r>
        <w:t xml:space="preserve"> = 0.09 (</w:t>
      </w:r>
      <w:r w:rsidR="00AD3EE2">
        <w:fldChar w:fldCharType="begin"/>
      </w:r>
      <w:r w:rsidR="00AD3EE2">
        <w:instrText xml:space="preserve"> REF _Ref446514195 \h </w:instrText>
      </w:r>
      <w:r w:rsidR="00AD3EE2">
        <w:fldChar w:fldCharType="separate"/>
      </w:r>
      <w:r w:rsidR="00850A6D" w:rsidRPr="00C36707">
        <w:t xml:space="preserve">Table </w:t>
      </w:r>
      <w:r w:rsidR="00850A6D">
        <w:rPr>
          <w:noProof/>
        </w:rPr>
        <w:t>12</w:t>
      </w:r>
      <w:r w:rsidR="00AD3EE2">
        <w:fldChar w:fldCharType="end"/>
      </w:r>
      <w:r>
        <w:t>), which would indicate that LGE-CMR can be used to both confirm and exclude non-ischaemic cause in DCM.</w:t>
      </w:r>
    </w:p>
    <w:p w14:paraId="5DB1101A" w14:textId="4CFF7749" w:rsidR="00914E70" w:rsidRDefault="00914E70" w:rsidP="004C79C1">
      <w:pPr>
        <w:spacing w:after="120" w:line="240" w:lineRule="auto"/>
        <w:jc w:val="both"/>
      </w:pPr>
      <w:r>
        <w:t xml:space="preserve">The NPVs and PPVs for LGE-CMR were calculated using the prevalences discussed in </w:t>
      </w:r>
      <w:r w:rsidR="009D6530">
        <w:t>section B</w:t>
      </w:r>
      <w:r w:rsidR="00CD1EF5">
        <w:t>4.1 and the LR values</w:t>
      </w:r>
      <w:r>
        <w:t xml:space="preserve"> shown in </w:t>
      </w:r>
      <w:r w:rsidR="00AD3EE2">
        <w:fldChar w:fldCharType="begin"/>
      </w:r>
      <w:r w:rsidR="00AD3EE2">
        <w:instrText xml:space="preserve"> REF _Ref446514195 \h </w:instrText>
      </w:r>
      <w:r w:rsidR="00AD3EE2">
        <w:fldChar w:fldCharType="separate"/>
      </w:r>
      <w:r w:rsidR="003E5055" w:rsidRPr="00C36707">
        <w:t xml:space="preserve">Table </w:t>
      </w:r>
      <w:r w:rsidR="003E5055">
        <w:rPr>
          <w:noProof/>
        </w:rPr>
        <w:t>14</w:t>
      </w:r>
      <w:r w:rsidR="00AD3EE2">
        <w:fldChar w:fldCharType="end"/>
      </w:r>
      <w:r>
        <w:t>. LGE-CMR had the highest PPV when it was used to diagnose non-ischaemic DCM. A PPV of 95% means that 95 out of 100 patients with a ‘positive’ result on LGE-CMR (indicating a non-ischaemic aetiology) would be correctly classified</w:t>
      </w:r>
      <w:r w:rsidR="001F787C">
        <w:t>,</w:t>
      </w:r>
      <w:r>
        <w:t xml:space="preserve"> compared with only 46</w:t>
      </w:r>
      <w:r w:rsidR="009509ED">
        <w:t>–</w:t>
      </w:r>
      <w:r>
        <w:t xml:space="preserve">58 out of 100 patients being correctly classified when LGE-CMR was used to determine inflammation (with </w:t>
      </w:r>
      <w:r w:rsidR="001F787C">
        <w:t xml:space="preserve">EMB </w:t>
      </w:r>
      <w:r>
        <w:t>as the reference standard). Similarly, 86 out of 100 patients diagnosed with ischaemic DCM by LGE-CMR would be correctly classified</w:t>
      </w:r>
      <w:r w:rsidR="001F787C">
        <w:t>,</w:t>
      </w:r>
      <w:r>
        <w:t xml:space="preserve"> compared with only 50–86 patients diagnosed as not having a myocardial inflammation. When LGE-CMR was used to diagnose DCM, 12 out of 100 patients diagnosed as having DCM on LGE-CMR, and 11 out of 100 patients diagnosed a</w:t>
      </w:r>
      <w:r w:rsidR="009509ED">
        <w:t>s</w:t>
      </w:r>
      <w:r>
        <w:t xml:space="preserve"> not having DCM</w:t>
      </w:r>
      <w:r w:rsidR="009509ED">
        <w:t>,</w:t>
      </w:r>
      <w:r>
        <w:t xml:space="preserve"> would be misclassified.</w:t>
      </w:r>
    </w:p>
    <w:p w14:paraId="18771651" w14:textId="1C4D666E" w:rsidR="007638EB" w:rsidRDefault="007638EB" w:rsidP="004C79C1">
      <w:pPr>
        <w:pStyle w:val="Heading2"/>
        <w:spacing w:before="0" w:after="120" w:line="240" w:lineRule="auto"/>
      </w:pPr>
      <w:bookmarkStart w:id="332" w:name="_Toc451501326"/>
      <w:r>
        <w:t>B4.2</w:t>
      </w:r>
      <w:r>
        <w:tab/>
      </w:r>
      <w:r w:rsidR="00874681">
        <w:t>P</w:t>
      </w:r>
      <w:r>
        <w:t xml:space="preserve">rognosis or </w:t>
      </w:r>
      <w:r w:rsidR="009E3F35">
        <w:t>P</w:t>
      </w:r>
      <w:r>
        <w:t>redisposition</w:t>
      </w:r>
      <w:bookmarkEnd w:id="332"/>
    </w:p>
    <w:p w14:paraId="6EAE30DA" w14:textId="48EF2BE9" w:rsidR="00BF6567" w:rsidRDefault="00BF6567" w:rsidP="00161B88">
      <w:pPr>
        <w:pStyle w:val="Heading3"/>
      </w:pPr>
      <w:bookmarkStart w:id="333" w:name="_Toc451501327"/>
      <w:r>
        <w:t xml:space="preserve">B4.2.1 Results of </w:t>
      </w:r>
      <w:r w:rsidR="009E3F35">
        <w:t>l</w:t>
      </w:r>
      <w:r>
        <w:t xml:space="preserve">iterature </w:t>
      </w:r>
      <w:r w:rsidR="009E3F35">
        <w:t>s</w:t>
      </w:r>
      <w:r>
        <w:t>earch</w:t>
      </w:r>
      <w:bookmarkEnd w:id="333"/>
    </w:p>
    <w:p w14:paraId="2B950CB7" w14:textId="06FB0B7A" w:rsidR="00BF6567" w:rsidRDefault="00BF6567" w:rsidP="004C79C1">
      <w:pPr>
        <w:spacing w:after="120" w:line="240" w:lineRule="auto"/>
        <w:jc w:val="both"/>
      </w:pPr>
      <w:r>
        <w:t xml:space="preserve">The Decision Analytic Protocol prepared for this assessment did not explicitly pose a research question related to the use of CMR for determining the prognosis of patients with DCM. However, scoping searches of the literature showed that CMR is more frequently used for prognostic purposes </w:t>
      </w:r>
      <w:r w:rsidR="00A9091F">
        <w:t xml:space="preserve">rather </w:t>
      </w:r>
      <w:r>
        <w:t xml:space="preserve">than diagnostic. The prognostic value of CMR was therefore assessed. </w:t>
      </w:r>
    </w:p>
    <w:p w14:paraId="10158327" w14:textId="016AEDF8" w:rsidR="00BF6567" w:rsidRDefault="00BF6567" w:rsidP="004C79C1">
      <w:pPr>
        <w:spacing w:after="120" w:line="240" w:lineRule="auto"/>
        <w:jc w:val="both"/>
      </w:pPr>
      <w:r>
        <w:t>A PRISMA flowchar</w:t>
      </w:r>
      <w:r w:rsidRPr="002C12A3">
        <w:t>t (</w:t>
      </w:r>
      <w:r w:rsidRPr="002C12A3">
        <w:fldChar w:fldCharType="begin"/>
      </w:r>
      <w:r w:rsidRPr="002C12A3">
        <w:instrText xml:space="preserve"> REF _Ref445299702 \h </w:instrText>
      </w:r>
      <w:r w:rsidRPr="002C12A3">
        <w:fldChar w:fldCharType="separate"/>
      </w:r>
      <w:r w:rsidR="00B85CFA" w:rsidRPr="002C12A3">
        <w:t xml:space="preserve">Figure </w:t>
      </w:r>
      <w:r w:rsidR="00B85CFA" w:rsidRPr="002C12A3">
        <w:rPr>
          <w:noProof/>
        </w:rPr>
        <w:t>5</w:t>
      </w:r>
      <w:r w:rsidRPr="002C12A3">
        <w:fldChar w:fldCharType="end"/>
      </w:r>
      <w:r>
        <w:t xml:space="preserve">) provides a graphic depiction of the results of the literature search and the application of the study selection criteria (listed in section A9) </w:t>
      </w:r>
      <w:r w:rsidR="00187A29">
        <w:fldChar w:fldCharType="begin"/>
      </w:r>
      <w:r w:rsidR="00187A29">
        <w:instrText xml:space="preserve"> ADDIN EN.CITE &lt;EndNote&gt;&lt;Cite&gt;&lt;Author&gt;Liberati&lt;/Author&gt;&lt;Year&gt;2009&lt;/Year&gt;&lt;RecNum&gt;124&lt;/RecNum&gt;&lt;DisplayText&gt;(Liberati et al. 2009)&lt;/DisplayText&gt;&lt;record&gt;&lt;rec-number&gt;124&lt;/rec-number&gt;&lt;foreign-keys&gt;&lt;key app="EN" db-id="pfxxvref0t0a5de2vwnv2fwkz0p9v0r2fw0t" timestamp="1458709208"&gt;124&lt;/key&gt;&lt;/foreign-keys&gt;&lt;ref-type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Medicine&lt;/secondary-title&gt;&lt;/titles&gt;&lt;periodical&gt;&lt;full-title&gt;PLoS Medicine&lt;/full-title&gt;&lt;/periodical&gt;&lt;pages&gt;e1000100&lt;/pages&gt;&lt;volume&gt;6&lt;/volume&gt;&lt;number&gt;7&lt;/number&gt;&lt;edition&gt;2009/07/22&lt;/edition&gt;&lt;keywords&gt;&lt;keyword&gt;Evidence-Based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00187A29">
        <w:fldChar w:fldCharType="separate"/>
      </w:r>
      <w:r w:rsidR="00187A29">
        <w:rPr>
          <w:noProof/>
        </w:rPr>
        <w:t>(</w:t>
      </w:r>
      <w:hyperlink w:anchor="_ENREF_68" w:tooltip="Liberati, 2009 #124" w:history="1">
        <w:r w:rsidR="00B906E9">
          <w:rPr>
            <w:noProof/>
          </w:rPr>
          <w:t>Liberati et al. 2009</w:t>
        </w:r>
      </w:hyperlink>
      <w:r w:rsidR="00187A29">
        <w:rPr>
          <w:noProof/>
        </w:rPr>
        <w:t>)</w:t>
      </w:r>
      <w:r w:rsidR="00187A29">
        <w:fldChar w:fldCharType="end"/>
      </w:r>
      <w:r>
        <w:t xml:space="preserve">. </w:t>
      </w:r>
    </w:p>
    <w:p w14:paraId="24552B43" w14:textId="3B93ABE7" w:rsidR="00BF6567" w:rsidRDefault="00135BFE" w:rsidP="004C79C1">
      <w:pPr>
        <w:spacing w:after="120" w:line="240" w:lineRule="auto"/>
        <w:jc w:val="both"/>
      </w:pPr>
      <w:r>
        <w:rPr>
          <w:noProof/>
        </w:rPr>
        <w:lastRenderedPageBreak/>
        <w:drawing>
          <wp:inline distT="0" distB="0" distL="0" distR="0" wp14:anchorId="2B369629" wp14:editId="4BD167AF">
            <wp:extent cx="5553937" cy="4804064"/>
            <wp:effectExtent l="0" t="0" r="8890" b="0"/>
            <wp:docPr id="20" name="Picture 20" descr="Summary of the process used to identify and select studies for the assessment of the prognostic value of LGE-CMR for patients with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A prognostic.png"/>
                    <pic:cNvPicPr/>
                  </pic:nvPicPr>
                  <pic:blipFill>
                    <a:blip r:embed="rId41">
                      <a:extLst>
                        <a:ext uri="{28A0092B-C50C-407E-A947-70E740481C1C}">
                          <a14:useLocalDpi xmlns:a14="http://schemas.microsoft.com/office/drawing/2010/main" val="0"/>
                        </a:ext>
                      </a:extLst>
                    </a:blip>
                    <a:stretch>
                      <a:fillRect/>
                    </a:stretch>
                  </pic:blipFill>
                  <pic:spPr>
                    <a:xfrm>
                      <a:off x="0" y="0"/>
                      <a:ext cx="5553937" cy="4804064"/>
                    </a:xfrm>
                    <a:prstGeom prst="rect">
                      <a:avLst/>
                    </a:prstGeom>
                  </pic:spPr>
                </pic:pic>
              </a:graphicData>
            </a:graphic>
          </wp:inline>
        </w:drawing>
      </w:r>
    </w:p>
    <w:p w14:paraId="726976BD" w14:textId="77777777" w:rsidR="00BF6567" w:rsidRDefault="00BF6567" w:rsidP="004C79C1">
      <w:pPr>
        <w:pStyle w:val="Caption"/>
      </w:pPr>
      <w:bookmarkStart w:id="334" w:name="_Ref446595531"/>
      <w:bookmarkStart w:id="335" w:name="_Toc324410150"/>
      <w:bookmarkStart w:id="336" w:name="_Toc451435462"/>
      <w:r w:rsidRPr="003E5055">
        <w:t xml:space="preserve">Figure </w:t>
      </w:r>
      <w:fldSimple w:instr=" SEQ Figure \* ARABIC ">
        <w:r w:rsidR="00050936" w:rsidRPr="003E5055">
          <w:rPr>
            <w:noProof/>
          </w:rPr>
          <w:t>16</w:t>
        </w:r>
      </w:fldSimple>
      <w:bookmarkEnd w:id="334"/>
      <w:r w:rsidRPr="003E5055">
        <w:t xml:space="preserve"> </w:t>
      </w:r>
      <w:r w:rsidRPr="003E5055">
        <w:tab/>
        <w:t>Summary of the process used to identify and select studies for the assessment of the prognostic</w:t>
      </w:r>
      <w:r>
        <w:t xml:space="preserve"> value of LGE-CMR for patients with DCM</w:t>
      </w:r>
      <w:bookmarkEnd w:id="335"/>
      <w:bookmarkEnd w:id="336"/>
    </w:p>
    <w:p w14:paraId="52FD22DA" w14:textId="77777777" w:rsidR="00BF6567" w:rsidRDefault="00BF6567" w:rsidP="004C79C1">
      <w:pPr>
        <w:pStyle w:val="Tablenotes0"/>
        <w:spacing w:before="0" w:after="120"/>
      </w:pPr>
    </w:p>
    <w:p w14:paraId="542ED824" w14:textId="29E7DB79" w:rsidR="00BF6567" w:rsidRDefault="00BF6567" w:rsidP="004C79C1">
      <w:pPr>
        <w:spacing w:after="120" w:line="240" w:lineRule="auto"/>
        <w:jc w:val="both"/>
      </w:pPr>
      <w:r>
        <w:t xml:space="preserve">Those studies </w:t>
      </w:r>
      <w:r w:rsidR="001C3C25">
        <w:t xml:space="preserve">that </w:t>
      </w:r>
      <w:r>
        <w:t xml:space="preserve">technically met the inclusion criteria but were not included in the results section or meta-analyses are listed in </w:t>
      </w:r>
      <w:r>
        <w:fldChar w:fldCharType="begin"/>
      </w:r>
      <w:r>
        <w:instrText xml:space="preserve"> REF _Ref364237293 \h  \* MERGEFORMAT </w:instrText>
      </w:r>
      <w:r>
        <w:fldChar w:fldCharType="separate"/>
      </w:r>
      <w:r w:rsidR="00460601" w:rsidRPr="00183E4D">
        <w:t xml:space="preserve">Appendix </w:t>
      </w:r>
      <w:r w:rsidR="00460601">
        <w:rPr>
          <w:noProof/>
        </w:rPr>
        <w:t>E</w:t>
      </w:r>
      <w:r>
        <w:fldChar w:fldCharType="end"/>
      </w:r>
      <w:r>
        <w:t>.</w:t>
      </w:r>
    </w:p>
    <w:p w14:paraId="049F6388" w14:textId="26295EA5" w:rsidR="00061768" w:rsidRDefault="00BF6567" w:rsidP="00161B88">
      <w:pPr>
        <w:pStyle w:val="Heading3"/>
      </w:pPr>
      <w:bookmarkStart w:id="337" w:name="_Toc451501328"/>
      <w:r>
        <w:t>B4.2.2</w:t>
      </w:r>
      <w:r w:rsidR="00061768">
        <w:t xml:space="preserve"> Characteristics of the evidence base and risk of bias assessment</w:t>
      </w:r>
      <w:bookmarkEnd w:id="337"/>
    </w:p>
    <w:p w14:paraId="71BA0D87" w14:textId="6966F990" w:rsidR="00061768" w:rsidRDefault="00061768" w:rsidP="004C79C1">
      <w:pPr>
        <w:spacing w:after="120" w:line="240" w:lineRule="auto"/>
        <w:jc w:val="both"/>
        <w:rPr>
          <w:bCs/>
        </w:rPr>
      </w:pPr>
      <w:r>
        <w:rPr>
          <w:bCs/>
        </w:rPr>
        <w:t xml:space="preserve">Four SRs were identified in the systematic literature search that reported on the prognostic value of scar tissue identified by LGE-CMR in patients with DCM, and one SR compared the prognosis of patients diagnosed with NIDCM with those diagnosed with ICM. The quality of these SRs was appraised using the AMSTAR checklist </w:t>
      </w:r>
      <w:r w:rsidR="00187A29">
        <w:rPr>
          <w:bCs/>
        </w:rPr>
        <w:fldChar w:fldCharType="begin"/>
      </w:r>
      <w:r w:rsidR="00187A29">
        <w:rPr>
          <w:bCs/>
        </w:rPr>
        <w:instrText xml:space="preserve"> ADDIN EN.CITE &lt;EndNote&gt;&lt;Cite&gt;&lt;Author&gt;Shea&lt;/Author&gt;&lt;Year&gt;2007&lt;/Year&gt;&lt;RecNum&gt;70&lt;/RecNum&gt;&lt;DisplayText&gt;(Shea et al. 2007)&lt;/DisplayText&gt;&lt;record&gt;&lt;rec-number&gt;70&lt;/rec-number&gt;&lt;foreign-keys&gt;&lt;key app="EN" db-id="pfxxvref0t0a5de2vwnv2fwkz0p9v0r2fw0t" timestamp="1458109329"&gt;70&lt;/key&gt;&lt;/foreign-keys&gt;&lt;ref-type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rsidR="00187A29">
        <w:rPr>
          <w:bCs/>
        </w:rPr>
        <w:fldChar w:fldCharType="separate"/>
      </w:r>
      <w:r w:rsidR="00187A29">
        <w:rPr>
          <w:bCs/>
          <w:noProof/>
        </w:rPr>
        <w:t>(</w:t>
      </w:r>
      <w:hyperlink w:anchor="_ENREF_115" w:tooltip="Shea, 2007 #70" w:history="1">
        <w:r w:rsidR="00B906E9">
          <w:rPr>
            <w:bCs/>
            <w:noProof/>
          </w:rPr>
          <w:t>Shea et al. 2007</w:t>
        </w:r>
      </w:hyperlink>
      <w:r w:rsidR="00187A29">
        <w:rPr>
          <w:bCs/>
          <w:noProof/>
        </w:rPr>
        <w:t>)</w:t>
      </w:r>
      <w:r w:rsidR="00187A29">
        <w:rPr>
          <w:bCs/>
        </w:rPr>
        <w:fldChar w:fldCharType="end"/>
      </w:r>
      <w:r w:rsidR="00CB74FB">
        <w:rPr>
          <w:bCs/>
        </w:rPr>
        <w:t>,</w:t>
      </w:r>
      <w:r>
        <w:rPr>
          <w:bCs/>
        </w:rPr>
        <w:t xml:space="preserve"> and the results along with the study characteristics are listed in</w:t>
      </w:r>
      <w:r w:rsidR="00350683">
        <w:rPr>
          <w:bCs/>
        </w:rPr>
        <w:t xml:space="preserve"> Table</w:t>
      </w:r>
      <w:r>
        <w:rPr>
          <w:bCs/>
        </w:rPr>
        <w:t xml:space="preserve"> </w:t>
      </w:r>
      <w:r w:rsidR="007D2E26">
        <w:rPr>
          <w:bCs/>
        </w:rPr>
        <w:t xml:space="preserve">77 </w:t>
      </w:r>
      <w:r w:rsidRPr="00511FC9">
        <w:rPr>
          <w:bCs/>
        </w:rPr>
        <w:t xml:space="preserve">in </w:t>
      </w:r>
      <w:r w:rsidRPr="00B97D3B">
        <w:rPr>
          <w:bCs/>
        </w:rPr>
        <w:t>Appendix C</w:t>
      </w:r>
      <w:r w:rsidRPr="00511FC9">
        <w:rPr>
          <w:bCs/>
        </w:rPr>
        <w:t>.</w:t>
      </w:r>
      <w:r>
        <w:rPr>
          <w:bCs/>
        </w:rPr>
        <w:t xml:space="preserve"> </w:t>
      </w:r>
    </w:p>
    <w:p w14:paraId="09A5EBEF" w14:textId="1337ED92" w:rsidR="00061768" w:rsidRDefault="00061768" w:rsidP="004C79C1">
      <w:pPr>
        <w:spacing w:after="120" w:line="240" w:lineRule="auto"/>
        <w:jc w:val="both"/>
        <w:rPr>
          <w:bCs/>
        </w:rPr>
      </w:pPr>
      <w:r>
        <w:rPr>
          <w:bCs/>
        </w:rPr>
        <w:t xml:space="preserve">The SR by Scott et al. </w:t>
      </w:r>
      <w:r w:rsidR="00187A29">
        <w:rPr>
          <w:bCs/>
        </w:rPr>
        <w:fldChar w:fldCharType="begin"/>
      </w:r>
      <w:r w:rsidR="00187A29">
        <w:rPr>
          <w:bCs/>
        </w:rPr>
        <w:instrText xml:space="preserve"> ADDIN EN.CITE &lt;EndNote&gt;&lt;Cite ExcludeAuth="1"&gt;&lt;Author&gt;Scott&lt;/Author&gt;&lt;Year&gt;2013&lt;/Year&gt;&lt;RecNum&gt;68&lt;/RecNum&gt;&lt;DisplayText&gt;(2013)&lt;/DisplayText&gt;&lt;record&gt;&lt;rec-number&gt;68&lt;/rec-number&gt;&lt;foreign-keys&gt;&lt;key app="EN" db-id="pfxxvref0t0a5de2vwnv2fwkz0p9v0r2fw0t" timestamp="1458109066"&gt;68&lt;/key&gt;&lt;/foreign-keys&gt;&lt;ref-type name="Journal Article"&gt;17&lt;/ref-type&gt;&lt;contributors&gt;&lt;authors&gt;&lt;author&gt;Scott, P. A.&lt;/author&gt;&lt;author&gt;Rosengarten, J. A.&lt;/author&gt;&lt;author&gt;Curzen, N. P.&lt;/author&gt;&lt;author&gt;Morgan, J. M.&lt;/author&gt;&lt;/authors&gt;&lt;/contributors&gt;&lt;titles&gt;&lt;title&gt;Late gadolinium enhancement cardiac magnetic resonance imaging for the prediction of ventricular tachyarrhythmic events: a meta-analysis&lt;/title&gt;&lt;secondary-title&gt;Eur J Heart Fail&lt;/secondary-title&gt;&lt;/titles&gt;&lt;periodical&gt;&lt;full-title&gt;Eur J Heart Fail&lt;/full-title&gt;&lt;/periodical&gt;&lt;pages&gt;1019-27&lt;/pages&gt;&lt;volume&gt;15&lt;/volume&gt;&lt;number&gt;9&lt;/number&gt;&lt;dates&gt;&lt;year&gt;2013&lt;/year&gt;&lt;pub-dates&gt;&lt;date&gt;2013-01-01&lt;/date&gt;&lt;/pub-dates&gt;&lt;/dates&gt;&lt;isbn&gt;1388-9842&lt;/isbn&gt;&lt;urls&gt;&lt;related-urls&gt;&lt;url&gt;http://onlinelibrary.wiley.com/store/10.1093/eurjhf/hft053/asset/ejhfhft053.pdf?v=1&amp;amp;t=ijov9fxd&amp;amp;s=f95a1d21184ed9becc8b062ae5e7b547adbaeca0&lt;/url&gt;&lt;/related-urls&gt;&lt;/urls&gt;&lt;custom1&gt;RAYYAN-INCLUSION: {&amp;quot;Sharon&amp;quot;=&amp;gt;true} | RAYYAN-LABELS: general&lt;/custom1&gt;&lt;language&gt;eng&lt;/language&gt;&lt;/record&gt;&lt;/Cite&gt;&lt;/EndNote&gt;</w:instrText>
      </w:r>
      <w:r w:rsidR="00187A29">
        <w:rPr>
          <w:bCs/>
        </w:rPr>
        <w:fldChar w:fldCharType="separate"/>
      </w:r>
      <w:r w:rsidR="00187A29">
        <w:rPr>
          <w:bCs/>
          <w:noProof/>
        </w:rPr>
        <w:t>(</w:t>
      </w:r>
      <w:hyperlink w:anchor="_ENREF_113" w:tooltip="Scott, 2013 #68" w:history="1">
        <w:r w:rsidR="00B906E9">
          <w:rPr>
            <w:bCs/>
            <w:noProof/>
          </w:rPr>
          <w:t>2013</w:t>
        </w:r>
      </w:hyperlink>
      <w:r w:rsidR="00187A29">
        <w:rPr>
          <w:bCs/>
          <w:noProof/>
        </w:rPr>
        <w:t>)</w:t>
      </w:r>
      <w:r w:rsidR="00187A29">
        <w:rPr>
          <w:bCs/>
        </w:rPr>
        <w:fldChar w:fldCharType="end"/>
      </w:r>
      <w:r>
        <w:rPr>
          <w:bCs/>
        </w:rPr>
        <w:t xml:space="preserve"> was of good quality with a low risk of bias but reported on only one health outcome</w:t>
      </w:r>
      <w:r w:rsidR="00CB74FB">
        <w:rPr>
          <w:bCs/>
        </w:rPr>
        <w:t>—</w:t>
      </w:r>
      <w:r>
        <w:rPr>
          <w:bCs/>
        </w:rPr>
        <w:t xml:space="preserve">the likelihood of having ventricular arrhythmic events in patients diagnosed with DCM due to CAD compared with those diagnosed with NIDCM. The SR by Duan et al. </w:t>
      </w:r>
      <w:r w:rsidR="00187A29">
        <w:rPr>
          <w:bCs/>
        </w:rPr>
        <w:fldChar w:fldCharType="begin"/>
      </w:r>
      <w:r w:rsidR="00187A29">
        <w:rPr>
          <w:bCs/>
        </w:rPr>
        <w:instrText xml:space="preserve"> ADDIN EN.CITE &lt;EndNote&gt;&lt;Cite ExcludeAuth="1"&gt;&lt;Author&gt;Duan&lt;/Author&gt;&lt;Year&gt;2015&lt;/Year&gt;&lt;RecNum&gt;65&lt;/RecNum&gt;&lt;DisplayText&gt;(2015)&lt;/DisplayText&gt;&lt;record&gt;&lt;rec-number&gt;65&lt;/rec-number&gt;&lt;foreign-keys&gt;&lt;key app="EN" db-id="pfxxvref0t0a5de2vwnv2fwkz0p9v0r2fw0t" timestamp="1458109065"&gt;65&lt;/key&gt;&lt;/foreign-keys&gt;&lt;ref-type name="Journal Article"&gt;17&lt;/ref-type&gt;&lt;contributors&gt;&lt;authors&gt;&lt;author&gt;Duan, X.&lt;/author&gt;&lt;author&gt;Li, J.&lt;/author&gt;&lt;author&gt;Zhang, Q.&lt;/author&gt;&lt;author&gt;Zeng, Z.&lt;/author&gt;&lt;author&gt;Luo, Y.&lt;/author&gt;&lt;author&gt;Jiang, J.&lt;/author&gt;&lt;author&gt;Chen, Y.&lt;/author&gt;&lt;/authors&gt;&lt;/contributors&gt;&lt;titles&gt;&lt;title&gt;Prognostic value of late gadolinium enhancement in dilated cardiomyopathy patients: a meta-analysis&lt;/title&gt;&lt;secondary-title&gt;Clin Radiol&lt;/secondary-title&gt;&lt;/titles&gt;&lt;periodical&gt;&lt;full-title&gt;Clin Radiol&lt;/full-title&gt;&lt;/periodical&gt;&lt;pages&gt;999-1008&lt;/pages&gt;&lt;volume&gt;70&lt;/volume&gt;&lt;number&gt;9&lt;/number&gt;&lt;dates&gt;&lt;year&gt;2015&lt;/year&gt;&lt;pub-dates&gt;&lt;date&gt;2015-01-01&lt;/date&gt;&lt;/pub-dates&gt;&lt;/dates&gt;&lt;isbn&gt;0009-9260&lt;/isbn&gt;&lt;urls&gt;&lt;related-urls&gt;&lt;url&gt;http://ac.els-cdn.com/S0009926015002470/1-s2.0-S0009926015002470-main.pdf?_tid=fb2e82e0-c093-11e5-ab42-00000aacb360&amp;amp;acdnat=1453417931_497186e497311df87f77a09224099dfb&lt;/url&gt;&lt;/related-urls&gt;&lt;/urls&gt;&lt;custom1&gt;RAYYAN-INCLUSION: {&amp;quot;Sharon&amp;quot;=&amp;gt;true} | RAYYAN-LABELS: DCM,prognostic&lt;/custom1&gt;&lt;language&gt;eng&lt;/language&gt;&lt;/record&gt;&lt;/Cite&gt;&lt;/EndNote&gt;</w:instrText>
      </w:r>
      <w:r w:rsidR="00187A29">
        <w:rPr>
          <w:bCs/>
        </w:rPr>
        <w:fldChar w:fldCharType="separate"/>
      </w:r>
      <w:r w:rsidR="00187A29">
        <w:rPr>
          <w:bCs/>
          <w:noProof/>
        </w:rPr>
        <w:t>(</w:t>
      </w:r>
      <w:hyperlink w:anchor="_ENREF_32" w:tooltip="Duan, 2015 #65" w:history="1">
        <w:r w:rsidR="00B906E9">
          <w:rPr>
            <w:bCs/>
            <w:noProof/>
          </w:rPr>
          <w:t>2015</w:t>
        </w:r>
      </w:hyperlink>
      <w:r w:rsidR="00187A29">
        <w:rPr>
          <w:bCs/>
          <w:noProof/>
        </w:rPr>
        <w:t>)</w:t>
      </w:r>
      <w:r w:rsidR="00187A29">
        <w:rPr>
          <w:bCs/>
        </w:rPr>
        <w:fldChar w:fldCharType="end"/>
      </w:r>
      <w:r>
        <w:rPr>
          <w:bCs/>
        </w:rPr>
        <w:t xml:space="preserve"> was also of good quality with a low risk of bias</w:t>
      </w:r>
      <w:r w:rsidR="00350683">
        <w:rPr>
          <w:bCs/>
        </w:rPr>
        <w:t>,</w:t>
      </w:r>
      <w:r>
        <w:rPr>
          <w:bCs/>
        </w:rPr>
        <w:t xml:space="preserve"> but included </w:t>
      </w:r>
      <w:r w:rsidR="00CB74FB">
        <w:rPr>
          <w:bCs/>
        </w:rPr>
        <w:t xml:space="preserve">2 </w:t>
      </w:r>
      <w:r>
        <w:rPr>
          <w:bCs/>
        </w:rPr>
        <w:t xml:space="preserve">studies that enrolled the same patients </w:t>
      </w:r>
      <w:r w:rsidR="00187A29">
        <w:rPr>
          <w:bCs/>
        </w:rPr>
        <w:fldChar w:fldCharType="begin">
          <w:fldData xml:space="preserve">PEVuZE5vdGU+PENpdGU+PEF1dGhvcj5Bc3NvbXVsbDwvQXV0aG9yPjxZZWFyPjIwMDY8L1llYXI+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</w:fldData>
        </w:fldChar>
      </w:r>
      <w:r w:rsidR="00187A29">
        <w:rPr>
          <w:bCs/>
        </w:rPr>
        <w:instrText xml:space="preserve"> ADDIN EN.CITE </w:instrText>
      </w:r>
      <w:r w:rsidR="00187A29">
        <w:rPr>
          <w:bCs/>
        </w:rPr>
        <w:fldChar w:fldCharType="begin">
          <w:fldData xml:space="preserve">PEVuZE5vdGU+PENpdGU+PEF1dGhvcj5Bc3NvbXVsbDwvQXV0aG9yPjxZZWFyPjIwMDY8L1llYXI+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7" w:tooltip="Assomull, 2006 #71" w:history="1">
        <w:r w:rsidR="00B906E9">
          <w:rPr>
            <w:bCs/>
            <w:noProof/>
          </w:rPr>
          <w:t>Assomull et al. 2006</w:t>
        </w:r>
      </w:hyperlink>
      <w:r w:rsidR="00187A29">
        <w:rPr>
          <w:bCs/>
          <w:noProof/>
        </w:rPr>
        <w:t xml:space="preserve">; </w:t>
      </w:r>
      <w:hyperlink w:anchor="_ENREF_47" w:tooltip="Gulati, 2013 #42" w:history="1">
        <w:r w:rsidR="00B906E9">
          <w:rPr>
            <w:bCs/>
            <w:noProof/>
          </w:rPr>
          <w:t>Gulati et al. 2013</w:t>
        </w:r>
      </w:hyperlink>
      <w:r w:rsidR="00187A29">
        <w:rPr>
          <w:bCs/>
          <w:noProof/>
        </w:rPr>
        <w:t>)</w:t>
      </w:r>
      <w:r w:rsidR="00187A29">
        <w:rPr>
          <w:bCs/>
        </w:rPr>
        <w:fldChar w:fldCharType="end"/>
      </w:r>
      <w:r>
        <w:rPr>
          <w:bCs/>
        </w:rPr>
        <w:t>, thus duplicating data in their meta-analyses and introducing uncertainty around the accuracy of the pooled odds ratios (ORs). Two SRs were of moderate quality with a moderate risk of bias</w:t>
      </w:r>
      <w:r w:rsidR="00350683">
        <w:rPr>
          <w:bCs/>
        </w:rPr>
        <w:t>,</w:t>
      </w:r>
      <w:r>
        <w:rPr>
          <w:bCs/>
        </w:rPr>
        <w:t xml:space="preserve"> but included at most 7 studies in their meta-analyses </w:t>
      </w:r>
      <w:r w:rsidR="00187A29">
        <w:rPr>
          <w:bCs/>
        </w:rPr>
        <w:fldChar w:fldCharType="begin">
          <w:fldData xml:space="preserve">PEVuZE5vdGU+PENpdGU+PEF1dGhvcj5LdXJ1dmlsbGE8L0F1dGhvcj48WWVhcj4yMDE0PC9ZZWFy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</w:fldData>
        </w:fldChar>
      </w:r>
      <w:r w:rsidR="00187A29">
        <w:rPr>
          <w:bCs/>
        </w:rPr>
        <w:instrText xml:space="preserve"> ADDIN EN.CITE </w:instrText>
      </w:r>
      <w:r w:rsidR="00187A29">
        <w:rPr>
          <w:bCs/>
        </w:rPr>
        <w:fldChar w:fldCharType="begin">
          <w:fldData xml:space="preserve">PEVuZE5vdGU+PENpdGU+PEF1dGhvcj5LdXJ1dmlsbGE8L0F1dGhvcj48WWVhcj4yMDE0PC9ZZWFy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64" w:tooltip="Kuruvilla, 2014 #67" w:history="1">
        <w:r w:rsidR="00B906E9">
          <w:rPr>
            <w:bCs/>
            <w:noProof/>
          </w:rPr>
          <w:t>Kuruvilla et al. 2014</w:t>
        </w:r>
      </w:hyperlink>
      <w:r w:rsidR="00187A29">
        <w:rPr>
          <w:bCs/>
          <w:noProof/>
        </w:rPr>
        <w:t xml:space="preserve">; </w:t>
      </w:r>
      <w:hyperlink w:anchor="_ENREF_116" w:tooltip="Shi, 2013 #69" w:history="1">
        <w:r w:rsidR="00B906E9">
          <w:rPr>
            <w:bCs/>
            <w:noProof/>
          </w:rPr>
          <w:t>Shi et al. 2013</w:t>
        </w:r>
      </w:hyperlink>
      <w:r w:rsidR="00187A29">
        <w:rPr>
          <w:bCs/>
          <w:noProof/>
        </w:rPr>
        <w:t>)</w:t>
      </w:r>
      <w:r w:rsidR="00187A29">
        <w:rPr>
          <w:bCs/>
        </w:rPr>
        <w:fldChar w:fldCharType="end"/>
      </w:r>
      <w:r>
        <w:rPr>
          <w:bCs/>
        </w:rPr>
        <w:t xml:space="preserve">. The SR by Kim et al. </w:t>
      </w:r>
      <w:r w:rsidR="00187A29">
        <w:rPr>
          <w:bCs/>
        </w:rPr>
        <w:fldChar w:fldCharType="begin"/>
      </w:r>
      <w:r w:rsidR="00187A29">
        <w:rPr>
          <w:bCs/>
        </w:rPr>
        <w:instrText xml:space="preserve"> ADDIN EN.CITE &lt;EndNote&gt;&lt;Cite ExcludeAuth="1"&gt;&lt;Author&gt;Kim&lt;/Author&gt;&lt;Year&gt;2015&lt;/Year&gt;&lt;RecNum&gt;66&lt;/RecNum&gt;&lt;DisplayText&gt;(2015)&lt;/DisplayText&gt;&lt;record&gt;&lt;rec-number&gt;66&lt;/rec-number&gt;&lt;foreign-keys&gt;&lt;key app="EN" db-id="pfxxvref0t0a5de2vwnv2fwkz0p9v0r2fw0t" timestamp="1458109065"&gt;66&lt;/key&gt;&lt;/foreign-keys&gt;&lt;ref-type name="Journal Article"&gt;17&lt;/ref-type&gt;&lt;contributors&gt;&lt;authors&gt;&lt;author&gt;Kim, E. K.&lt;/author&gt;&lt;author&gt;Chattranukulchai, P.&lt;/author&gt;&lt;author&gt;Klem, I.&lt;/author&gt;&lt;/authors&gt;&lt;/contributors&gt;&lt;titles&gt;&lt;title&gt;Cardiac Magnetic Resonance Scar Imaging for Sudden Cardiac Death Risk Stratification in Patients with Non-Ischemic Cardiomyopathy&lt;/title&gt;&lt;secondary-title&gt;Korean J Radiol&lt;/secondary-title&gt;&lt;/titles&gt;&lt;periodical&gt;&lt;full-title&gt;Korean J Radiol&lt;/full-title&gt;&lt;/periodical&gt;&lt;pages&gt;683-95&lt;/pages&gt;&lt;volume&gt;16&lt;/volume&gt;&lt;number&gt;4&lt;/number&gt;&lt;dates&gt;&lt;year&gt;2015&lt;/year&gt;&lt;pub-dates&gt;&lt;date&gt;2015-01-01&lt;/date&gt;&lt;/pub-dates&gt;&lt;/dates&gt;&lt;isbn&gt;1229-6929 (Print) 1229-6929&lt;/isbn&gt;&lt;urls&gt;&lt;related-urls&gt;&lt;url&gt;http://www.ncbi.nlm.nih.gov/pmc/articles/PMC4499533/pdf/kjr-16-683.pdf&lt;/url&gt;&lt;/related-urls&gt;&lt;/urls&gt;&lt;custom1&gt;RAYYAN-INCLUSION: {&amp;quot;Sharon&amp;quot;=&amp;gt;true} | RAYYAN-LABELS: general&lt;/custom1&gt;&lt;language&gt;eng&lt;/language&gt;&lt;/record&gt;&lt;/Cite&gt;&lt;/EndNote&gt;</w:instrText>
      </w:r>
      <w:r w:rsidR="00187A29">
        <w:rPr>
          <w:bCs/>
        </w:rPr>
        <w:fldChar w:fldCharType="separate"/>
      </w:r>
      <w:r w:rsidR="00187A29">
        <w:rPr>
          <w:bCs/>
          <w:noProof/>
        </w:rPr>
        <w:t>(</w:t>
      </w:r>
      <w:hyperlink w:anchor="_ENREF_59" w:tooltip="Kim, 2015 #66" w:history="1">
        <w:r w:rsidR="00B906E9">
          <w:rPr>
            <w:bCs/>
            <w:noProof/>
          </w:rPr>
          <w:t>2015</w:t>
        </w:r>
      </w:hyperlink>
      <w:r w:rsidR="00187A29">
        <w:rPr>
          <w:bCs/>
          <w:noProof/>
        </w:rPr>
        <w:t>)</w:t>
      </w:r>
      <w:r w:rsidR="00187A29">
        <w:rPr>
          <w:bCs/>
        </w:rPr>
        <w:fldChar w:fldCharType="end"/>
      </w:r>
      <w:r>
        <w:rPr>
          <w:bCs/>
        </w:rPr>
        <w:t xml:space="preserve"> was of poor quality with a high risk </w:t>
      </w:r>
      <w:r>
        <w:rPr>
          <w:bCs/>
        </w:rPr>
        <w:lastRenderedPageBreak/>
        <w:t>of bias</w:t>
      </w:r>
      <w:r w:rsidR="00942335">
        <w:rPr>
          <w:bCs/>
        </w:rPr>
        <w:t>,</w:t>
      </w:r>
      <w:r>
        <w:rPr>
          <w:bCs/>
        </w:rPr>
        <w:t xml:space="preserve"> as the authors did not report on the quality of the included studies or the likelihood of publication bias. This SR also included the 2 studies with duplicated data. </w:t>
      </w:r>
    </w:p>
    <w:p w14:paraId="3D58D4EA" w14:textId="507B653B" w:rsidR="00061768" w:rsidRDefault="00061768" w:rsidP="004C79C1">
      <w:pPr>
        <w:spacing w:after="120" w:line="240" w:lineRule="auto"/>
        <w:jc w:val="both"/>
        <w:rPr>
          <w:bCs/>
        </w:rPr>
      </w:pPr>
      <w:r>
        <w:rPr>
          <w:bCs/>
        </w:rPr>
        <w:t>These five SRs included between 5 and 15 of a total of 25 cohort studies. Six of these studies did not meet the inclusion criteria and were excluded from further analysis</w:t>
      </w:r>
      <w:r w:rsidR="002945B3">
        <w:rPr>
          <w:bCs/>
        </w:rPr>
        <w:t>.</w:t>
      </w:r>
      <w:r>
        <w:rPr>
          <w:bCs/>
        </w:rPr>
        <w:t xml:space="preserve"> </w:t>
      </w:r>
      <w:r w:rsidRPr="008F060E">
        <w:rPr>
          <w:bCs/>
        </w:rPr>
        <w:t xml:space="preserve">Assomull et al. </w:t>
      </w:r>
      <w:r w:rsidR="00187A29">
        <w:rPr>
          <w:bCs/>
        </w:rPr>
        <w:fldChar w:fldCharType="begin"/>
      </w:r>
      <w:r w:rsidR="00187A29">
        <w:rPr>
          <w:bCs/>
        </w:rPr>
        <w:instrText xml:space="preserve"> ADDIN EN.CITE &lt;EndNote&gt;&lt;Cite ExcludeAuth="1"&gt;&lt;Author&gt;Assomull&lt;/Author&gt;&lt;Year&gt;2006&lt;/Year&gt;&lt;RecNum&gt;71&lt;/RecNum&gt;&lt;DisplayText&gt;(2006)&lt;/DisplayText&gt;&lt;record&gt;&lt;rec-number&gt;71&lt;/rec-number&gt;&lt;foreign-keys&gt;&lt;key app="EN" db-id="pfxxvref0t0a5de2vwnv2fwkz0p9v0r2fw0t" timestamp="1458109466"&gt;71&lt;/key&gt;&lt;/foreign-keys&gt;&lt;ref-type name="Journal Article"&gt;17&lt;/ref-type&gt;&lt;contributors&gt;&lt;authors&gt;&lt;author&gt;Assomull, Ravi G.&lt;/author&gt;&lt;author&gt;Prasad, Sanjay K.&lt;/author&gt;&lt;author&gt;Lyne, Jonathan&lt;/author&gt;&lt;author&gt;Smith, Gillian&lt;/author&gt;&lt;author&gt;Burman, Elizabeth D.&lt;/author&gt;&lt;author&gt;Khan, Mohammed&lt;/author&gt;&lt;author&gt;Sheppard, Mary N.&lt;/author&gt;&lt;author&gt;Poole-Wilson, Philip A.&lt;/author&gt;&lt;author&gt;Pennell, Dudley J.&lt;/author&gt;&lt;/authors&gt;&lt;/contributors&gt;&lt;titles&gt;&lt;title&gt;Cardiovascular Magnetic Resonance, Fibrosis, and Prognosis in Dilated Cardiomyopathy&lt;/title&gt;&lt;secondary-title&gt;Journal of the American College of Cardiology&lt;/secondary-title&gt;&lt;/titles&gt;&lt;periodical&gt;&lt;full-title&gt;Journal of the American College of Cardiology&lt;/full-title&gt;&lt;/periodical&gt;&lt;pages&gt;1977-1985&lt;/pages&gt;&lt;volume&gt;48&lt;/volume&gt;&lt;number&gt;10&lt;/number&gt;&lt;dates&gt;&lt;year&gt;2006&lt;/year&gt;&lt;pub-dates&gt;&lt;date&gt;11/21/&lt;/date&gt;&lt;/pub-dates&gt;&lt;/dates&gt;&lt;isbn&gt;0735-1097&lt;/isbn&gt;&lt;urls&gt;&lt;related-urls&gt;&lt;url&gt;http://www.sciencedirect.com/science/article/pii/S0735109706021115&lt;/url&gt;&lt;url&gt;http://ac.els-cdn.com/S0735109706021115/1-s2.0-S0735109706021115-main.pdf?_tid=b28f172c-c889-11e5-99b6-00000aacb35d&amp;amp;acdnat=1454293123_147e3db6ca91c2c67c29f05affaba6b0&lt;/url&gt;&lt;/related-urls&gt;&lt;/urls&gt;&lt;electronic-resource-num&gt;http://dx.doi.org/10.1016/j.jacc.2006.07.049&lt;/electronic-resource-num&gt;&lt;/record&gt;&lt;/Cite&gt;&lt;/EndNote&gt;</w:instrText>
      </w:r>
      <w:r w:rsidR="00187A29">
        <w:rPr>
          <w:bCs/>
        </w:rPr>
        <w:fldChar w:fldCharType="separate"/>
      </w:r>
      <w:r w:rsidR="00187A29">
        <w:rPr>
          <w:bCs/>
          <w:noProof/>
        </w:rPr>
        <w:t>(</w:t>
      </w:r>
      <w:hyperlink w:anchor="_ENREF_7" w:tooltip="Assomull, 2006 #71" w:history="1">
        <w:r w:rsidR="00B906E9">
          <w:rPr>
            <w:bCs/>
            <w:noProof/>
          </w:rPr>
          <w:t>2006</w:t>
        </w:r>
      </w:hyperlink>
      <w:r w:rsidR="00187A29">
        <w:rPr>
          <w:bCs/>
          <w:noProof/>
        </w:rPr>
        <w:t>)</w:t>
      </w:r>
      <w:r w:rsidR="00187A29">
        <w:rPr>
          <w:bCs/>
        </w:rPr>
        <w:fldChar w:fldCharType="end"/>
      </w:r>
      <w:r>
        <w:rPr>
          <w:bCs/>
        </w:rPr>
        <w:t xml:space="preserve"> reported on duplicated data; </w:t>
      </w:r>
      <w:r w:rsidRPr="008F060E">
        <w:rPr>
          <w:bCs/>
        </w:rPr>
        <w:t>all 101 patients enrolled</w:t>
      </w:r>
      <w:r w:rsidRPr="008F060E">
        <w:t xml:space="preserve"> </w:t>
      </w:r>
      <w:r>
        <w:t xml:space="preserve">in that study were included in </w:t>
      </w:r>
      <w:r w:rsidRPr="008F060E">
        <w:rPr>
          <w:bCs/>
        </w:rPr>
        <w:t>the study</w:t>
      </w:r>
      <w:r>
        <w:rPr>
          <w:bCs/>
        </w:rPr>
        <w:t xml:space="preserve"> by</w:t>
      </w:r>
      <w:r w:rsidRPr="008F060E">
        <w:rPr>
          <w:bCs/>
        </w:rPr>
        <w:t xml:space="preserve"> Gulati et al. </w:t>
      </w:r>
      <w:r w:rsidR="00187A29">
        <w:rPr>
          <w:bCs/>
        </w:rPr>
        <w:fldChar w:fldCharType="begin">
          <w:fldData xml:space="preserve">PEVuZE5vdGU+PENpdGUgRXhjbHVkZUF1dGg9IjEiPjxBdXRob3I+R3VsYXRpPC9BdXRob3I+PFll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</w:fldData>
        </w:fldChar>
      </w:r>
      <w:r w:rsidR="00187A29">
        <w:rPr>
          <w:bCs/>
        </w:rPr>
        <w:instrText xml:space="preserve"> ADDIN EN.CITE </w:instrText>
      </w:r>
      <w:r w:rsidR="00187A29">
        <w:rPr>
          <w:bCs/>
        </w:rPr>
        <w:fldChar w:fldCharType="begin">
          <w:fldData xml:space="preserve">PEVuZE5vdGU+PENpdGUgRXhjbHVkZUF1dGg9IjEiPjxBdXRob3I+R3VsYXRpPC9BdXRob3I+PFll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47" w:tooltip="Gulati, 2013 #42" w:history="1">
        <w:r w:rsidR="00B906E9">
          <w:rPr>
            <w:bCs/>
            <w:noProof/>
          </w:rPr>
          <w:t>2013</w:t>
        </w:r>
      </w:hyperlink>
      <w:r w:rsidR="00187A29">
        <w:rPr>
          <w:bCs/>
          <w:noProof/>
        </w:rPr>
        <w:t>)</w:t>
      </w:r>
      <w:r w:rsidR="00187A29">
        <w:rPr>
          <w:bCs/>
        </w:rPr>
        <w:fldChar w:fldCharType="end"/>
      </w:r>
      <w:r>
        <w:rPr>
          <w:bCs/>
        </w:rPr>
        <w:t>. The study by Wu</w:t>
      </w:r>
      <w:r w:rsidR="00FA44D9">
        <w:rPr>
          <w:bCs/>
        </w:rPr>
        <w:t>, E</w:t>
      </w:r>
      <w:r>
        <w:rPr>
          <w:bCs/>
        </w:rPr>
        <w:t xml:space="preserve"> et al</w:t>
      </w:r>
      <w:r w:rsidR="004B754C">
        <w:rPr>
          <w:bCs/>
        </w:rPr>
        <w:t>.</w:t>
      </w:r>
      <w:r>
        <w:rPr>
          <w:bCs/>
        </w:rPr>
        <w:t xml:space="preserve"> </w:t>
      </w:r>
      <w:r w:rsidR="00187A29">
        <w:rPr>
          <w:bCs/>
        </w:rPr>
        <w:fldChar w:fldCharType="begin">
          <w:fldData xml:space="preserve">PEVuZE5vdGU+PENpdGUgRXhjbHVkZUF1dGg9IjEiPjxBdXRob3I+V3U8L0F1dGhvcj48WWVhcj4y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</w:fldData>
        </w:fldChar>
      </w:r>
      <w:r w:rsidR="00187A29">
        <w:rPr>
          <w:bCs/>
        </w:rPr>
        <w:instrText xml:space="preserve"> ADDIN EN.CITE </w:instrText>
      </w:r>
      <w:r w:rsidR="00187A29">
        <w:rPr>
          <w:bCs/>
        </w:rPr>
        <w:fldChar w:fldCharType="begin">
          <w:fldData xml:space="preserve">PEVuZE5vdGU+PENpdGUgRXhjbHVkZUF1dGg9IjEiPjxBdXRob3I+V3U8L0F1dGhvcj48WWVhcj4y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138" w:tooltip="Wu, 2001 #72" w:history="1">
        <w:r w:rsidR="00B906E9">
          <w:rPr>
            <w:bCs/>
            <w:noProof/>
          </w:rPr>
          <w:t>2001</w:t>
        </w:r>
      </w:hyperlink>
      <w:r w:rsidR="00187A29">
        <w:rPr>
          <w:bCs/>
          <w:noProof/>
        </w:rPr>
        <w:t>)</w:t>
      </w:r>
      <w:r w:rsidR="00187A29">
        <w:rPr>
          <w:bCs/>
        </w:rPr>
        <w:fldChar w:fldCharType="end"/>
      </w:r>
      <w:r>
        <w:rPr>
          <w:bCs/>
        </w:rPr>
        <w:t xml:space="preserve"> did not report on any </w:t>
      </w:r>
      <w:r w:rsidRPr="008F060E">
        <w:rPr>
          <w:bCs/>
        </w:rPr>
        <w:t>adverse health outcomes</w:t>
      </w:r>
      <w:r>
        <w:rPr>
          <w:bCs/>
        </w:rPr>
        <w:t xml:space="preserve">. The remaining </w:t>
      </w:r>
      <w:r w:rsidR="002945B3">
        <w:rPr>
          <w:bCs/>
        </w:rPr>
        <w:t xml:space="preserve">4 </w:t>
      </w:r>
      <w:r>
        <w:rPr>
          <w:bCs/>
        </w:rPr>
        <w:t xml:space="preserve">studies enrolled only patients with CAD </w:t>
      </w:r>
      <w:r w:rsidR="00187A29">
        <w:rPr>
          <w:bCs/>
        </w:rPr>
        <w:fldChar w:fldCharType="begin">
          <w:fldData xml:space="preserve">PEVuZE5vdGU+PENpdGU+PEF1dGhvcj5Cb3llPC9BdXRob3I+PFllYXI+MjAxMTwvWWVhcj48UmVj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</w:fldData>
        </w:fldChar>
      </w:r>
      <w:r w:rsidR="00187A29">
        <w:rPr>
          <w:bCs/>
        </w:rPr>
        <w:instrText xml:space="preserve"> ADDIN EN.CITE </w:instrText>
      </w:r>
      <w:r w:rsidR="00187A29">
        <w:rPr>
          <w:bCs/>
        </w:rPr>
        <w:fldChar w:fldCharType="begin">
          <w:fldData xml:space="preserve">PEVuZE5vdGU+PENpdGU+PEF1dGhvcj5Cb3llPC9BdXRob3I+PFllYXI+MjAxMTwvWWVhcj48UmVj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12" w:tooltip="Boye, 2011 #74" w:history="1">
        <w:r w:rsidR="00B906E9">
          <w:rPr>
            <w:bCs/>
            <w:noProof/>
          </w:rPr>
          <w:t>Boye et al. 2011</w:t>
        </w:r>
      </w:hyperlink>
      <w:r w:rsidR="00187A29">
        <w:rPr>
          <w:bCs/>
          <w:noProof/>
        </w:rPr>
        <w:t xml:space="preserve">; </w:t>
      </w:r>
      <w:hyperlink w:anchor="_ENREF_30" w:tooltip="de Haan, 2011 #75" w:history="1">
        <w:r w:rsidR="00B906E9">
          <w:rPr>
            <w:bCs/>
            <w:noProof/>
          </w:rPr>
          <w:t>de Haan et al. 2011</w:t>
        </w:r>
      </w:hyperlink>
      <w:r w:rsidR="00187A29">
        <w:rPr>
          <w:bCs/>
          <w:noProof/>
        </w:rPr>
        <w:t xml:space="preserve">; </w:t>
      </w:r>
      <w:hyperlink w:anchor="_ENREF_110" w:tooltip="Roes, 2009 #76" w:history="1">
        <w:r w:rsidR="00B906E9">
          <w:rPr>
            <w:bCs/>
            <w:noProof/>
          </w:rPr>
          <w:t>Roes et al. 2009</w:t>
        </w:r>
      </w:hyperlink>
      <w:r w:rsidR="00187A29">
        <w:rPr>
          <w:bCs/>
          <w:noProof/>
        </w:rPr>
        <w:t xml:space="preserve">; </w:t>
      </w:r>
      <w:hyperlink w:anchor="_ENREF_112" w:tooltip="Scott, 2011 #73" w:history="1">
        <w:r w:rsidR="00B906E9">
          <w:rPr>
            <w:bCs/>
            <w:noProof/>
          </w:rPr>
          <w:t>Scott et al. 2011</w:t>
        </w:r>
      </w:hyperlink>
      <w:r w:rsidR="00187A29">
        <w:rPr>
          <w:bCs/>
          <w:noProof/>
        </w:rPr>
        <w:t>)</w:t>
      </w:r>
      <w:r w:rsidR="00187A29">
        <w:rPr>
          <w:bCs/>
        </w:rPr>
        <w:fldChar w:fldCharType="end"/>
      </w:r>
      <w:r>
        <w:rPr>
          <w:bCs/>
        </w:rPr>
        <w:t>. In addition to these 18 studies, another 12 cohort studies were identified in the literature search that met the inclusion criteria.</w:t>
      </w:r>
    </w:p>
    <w:p w14:paraId="7FB65B78" w14:textId="04E3FBF4" w:rsidR="00385A17" w:rsidRPr="00385A17" w:rsidRDefault="00061768" w:rsidP="004C79C1">
      <w:pPr>
        <w:spacing w:after="120" w:line="240" w:lineRule="auto"/>
        <w:jc w:val="both"/>
        <w:rPr>
          <w:bCs/>
        </w:rPr>
      </w:pPr>
      <w:r>
        <w:t xml:space="preserve">Of the included studies, </w:t>
      </w:r>
      <w:r w:rsidR="001D5B11">
        <w:t xml:space="preserve">25 </w:t>
      </w:r>
      <w:r>
        <w:t xml:space="preserve">were prospective studies providing level II prognostic evidence </w:t>
      </w:r>
      <w:r w:rsidR="00187A29">
        <w:fldChar w:fldCharType="begin">
          <w:fldData xml:space="preserve">PEVuZE5vdGU+PENpdGU+PEF1dGhvcj5NZXJsaW48L0F1dGhvcj48WWVhcj4yMDA5PC9ZZWFyPjxS
ZWNOdW0+Nzc8L1JlY051bT48SURUZXh0PjM0PC9JRFRleHQ+PERpc3BsYXlUZXh0PihNZXJsaW4s
IFdlc3RvbiAmYW1wOyBUb29oZXIgMjAwOTsgTkhNUkMgMjAwMCk8L0Rpc3BsYXlUZXh0PjxyZWNv
cmQ+PHJlYy1udW1iZXI+Nzc8L3JlYy1udW1iZXI+PGZvcmVpZ24ta2V5cz48a2V5IGFwcD0iRU4i
IGRiLWlkPSJwZnh4dnJlZjB0MGE1ZGUydndudjJmd2t6MHA5djByMmZ3MHQiIHRpbWVzdGFtcD0i
MTQ1ODExMDM2MyI+Nzc8L2tleT48L2ZvcmVpZ24ta2V5cz48cmVmLXR5cGUgbmFtZT0iSm91cm5h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dmVscyBvZiBldmlkZW5jZSZhcG9zOzwvdGl0bGU+PHNlY29uZGFyeS10aXRsZT5CTUMgTWVkaWNh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</w:fldData>
        </w:fldChar>
      </w:r>
      <w:r w:rsidR="00187A29">
        <w:instrText xml:space="preserve"> ADDIN EN.CITE </w:instrText>
      </w:r>
      <w:r w:rsidR="00187A29">
        <w:fldChar w:fldCharType="begin">
          <w:fldData xml:space="preserve">PEVuZE5vdGU+PENpdGU+PEF1dGhvcj5NZXJsaW48L0F1dGhvcj48WWVhcj4yMDA5PC9ZZWFyPjxS
ZWNOdW0+Nzc8L1JlY051bT48SURUZXh0PjM0PC9JRFRleHQ+PERpc3BsYXlUZXh0PihNZXJsaW4s
IFdlc3RvbiAmYW1wOyBUb29oZXIgMjAwOTsgTkhNUkMgMjAwMCk8L0Rpc3BsYXlUZXh0PjxyZWNv
cmQ+PHJlYy1udW1iZXI+Nzc8L3JlYy1udW1iZXI+PGZvcmVpZ24ta2V5cz48a2V5IGFwcD0iRU4i
IGRiLWlkPSJwZnh4dnJlZjB0MGE1ZGUydndudjJmd2t6MHA5djByMmZ3MHQiIHRpbWVzdGFtcD0i
MTQ1ODExMDM2MyI+Nzc8L2tleT48L2ZvcmVpZ24ta2V5cz48cmVmLXR5cGUgbmFtZT0iSm91cm5h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dmVscyBvZiBldmlkZW5jZSZhcG9zOzwvdGl0bGU+PHNlY29uZGFyeS10aXRsZT5CTUMgTWVkaWNh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</w:fldData>
        </w:fldChar>
      </w:r>
      <w:r w:rsidR="00187A29">
        <w:instrText xml:space="preserve"> ADDIN EN.CITE.DATA </w:instrText>
      </w:r>
      <w:r w:rsidR="00187A29">
        <w:fldChar w:fldCharType="end"/>
      </w:r>
      <w:r w:rsidR="00187A29">
        <w:fldChar w:fldCharType="separate"/>
      </w:r>
      <w:r w:rsidR="00187A29">
        <w:rPr>
          <w:noProof/>
        </w:rPr>
        <w:t>(</w:t>
      </w:r>
      <w:hyperlink w:anchor="_ENREF_82" w:tooltip="Merlin, 2009 #77" w:history="1">
        <w:r w:rsidR="00B906E9">
          <w:rPr>
            <w:noProof/>
          </w:rPr>
          <w:t>Merlin, Weston &amp; Tooher 2009</w:t>
        </w:r>
      </w:hyperlink>
      <w:r w:rsidR="00187A29">
        <w:rPr>
          <w:noProof/>
        </w:rPr>
        <w:t xml:space="preserve">; </w:t>
      </w:r>
      <w:hyperlink w:anchor="_ENREF_97" w:tooltip="NHMRC, 2000 #78" w:history="1">
        <w:r w:rsidR="00B906E9">
          <w:rPr>
            <w:noProof/>
          </w:rPr>
          <w:t>NHMRC 2000</w:t>
        </w:r>
      </w:hyperlink>
      <w:r w:rsidR="00187A29">
        <w:rPr>
          <w:noProof/>
        </w:rPr>
        <w:t>)</w:t>
      </w:r>
      <w:r w:rsidR="00187A29">
        <w:fldChar w:fldCharType="end"/>
      </w:r>
      <w:r>
        <w:t xml:space="preserve">, and 5 were retrospective cohort studies providing level III-3 evidence. Two of the cohort studies provided comparative prognostic data, comparing the predictive value of LGE-CMR with SPECT. One cohort study investigated the prognostic value of CMR in children with DCM. </w:t>
      </w:r>
      <w:r w:rsidRPr="00B35152">
        <w:t>The quality of these studies w</w:t>
      </w:r>
      <w:r>
        <w:t>as</w:t>
      </w:r>
      <w:r w:rsidRPr="00B35152">
        <w:t xml:space="preserve"> appraised using the SIGN Checklist for Cohort </w:t>
      </w:r>
      <w:r w:rsidR="00835EF8">
        <w:t>S</w:t>
      </w:r>
      <w:r w:rsidRPr="00B35152">
        <w:t xml:space="preserve">tudies </w:t>
      </w:r>
      <w:r w:rsidR="00187A29">
        <w:fldChar w:fldCharType="begin"/>
      </w:r>
      <w:r w:rsidR="00187A29">
        <w:instrText xml:space="preserve"> ADDIN EN.CITE &lt;EndNote&gt;&lt;Cite&gt;&lt;Author&gt;SIGN&lt;/Author&gt;&lt;Year&gt;2014&lt;/Year&gt;&lt;RecNum&gt;80&lt;/RecNum&gt;&lt;DisplayText&gt;(SIGN 2014)&lt;/DisplayText&gt;&lt;record&gt;&lt;rec-number&gt;80&lt;/rec-number&gt;&lt;foreign-keys&gt;&lt;key app="EN" db-id="pfxxvref0t0a5de2vwnv2fwkz0p9v0r2fw0t" timestamp="1458111095"&gt;80&lt;/key&gt;&lt;/foreign-keys&gt;&lt;ref-type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187A29">
        <w:fldChar w:fldCharType="separate"/>
      </w:r>
      <w:r w:rsidR="00187A29">
        <w:rPr>
          <w:noProof/>
        </w:rPr>
        <w:t>(</w:t>
      </w:r>
      <w:hyperlink w:anchor="_ENREF_118" w:tooltip="SIGN, 2014 #80" w:history="1">
        <w:r w:rsidR="00B906E9">
          <w:rPr>
            <w:noProof/>
          </w:rPr>
          <w:t>SIGN 2014</w:t>
        </w:r>
      </w:hyperlink>
      <w:r w:rsidR="00187A29">
        <w:rPr>
          <w:noProof/>
        </w:rPr>
        <w:t>)</w:t>
      </w:r>
      <w:r w:rsidR="00187A29">
        <w:fldChar w:fldCharType="end"/>
      </w:r>
      <w:r w:rsidR="00835EF8">
        <w:t>,</w:t>
      </w:r>
      <w:r>
        <w:t xml:space="preserve"> and the results along with the </w:t>
      </w:r>
      <w:r w:rsidRPr="008A75A1">
        <w:t xml:space="preserve">study characteristics are listed in </w:t>
      </w:r>
      <w:r w:rsidR="004F1D48">
        <w:fldChar w:fldCharType="begin"/>
      </w:r>
      <w:r w:rsidR="004F1D48">
        <w:instrText xml:space="preserve"> REF _Ref451329088 \h </w:instrText>
      </w:r>
      <w:r w:rsidR="004F1D48">
        <w:fldChar w:fldCharType="separate"/>
      </w:r>
      <w:r w:rsidR="004F1D48">
        <w:t xml:space="preserve">Table </w:t>
      </w:r>
      <w:r w:rsidR="004F1D48">
        <w:rPr>
          <w:noProof/>
        </w:rPr>
        <w:t>77</w:t>
      </w:r>
      <w:r w:rsidR="004F1D48">
        <w:fldChar w:fldCharType="end"/>
      </w:r>
      <w:r>
        <w:t xml:space="preserve"> to </w:t>
      </w:r>
      <w:r w:rsidR="004F1D48">
        <w:fldChar w:fldCharType="begin"/>
      </w:r>
      <w:r w:rsidR="004F1D48">
        <w:instrText xml:space="preserve"> REF _Ref451329099 \h </w:instrText>
      </w:r>
      <w:r w:rsidR="004F1D48">
        <w:fldChar w:fldCharType="separate"/>
      </w:r>
      <w:r w:rsidR="004F1D48">
        <w:t xml:space="preserve">Table </w:t>
      </w:r>
      <w:r w:rsidR="004F1D48">
        <w:rPr>
          <w:noProof/>
        </w:rPr>
        <w:t>80</w:t>
      </w:r>
      <w:r w:rsidR="004F1D48">
        <w:fldChar w:fldCharType="end"/>
      </w:r>
      <w:r>
        <w:rPr>
          <w:bCs/>
        </w:rPr>
        <w:t xml:space="preserve"> </w:t>
      </w:r>
      <w:r w:rsidRPr="00511FC9">
        <w:rPr>
          <w:bCs/>
        </w:rPr>
        <w:t xml:space="preserve">in </w:t>
      </w:r>
      <w:r w:rsidRPr="00B97D3B">
        <w:rPr>
          <w:bCs/>
        </w:rPr>
        <w:t>Appendix C</w:t>
      </w:r>
      <w:r w:rsidRPr="00511FC9">
        <w:rPr>
          <w:bCs/>
        </w:rPr>
        <w:t>.</w:t>
      </w:r>
      <w:r w:rsidRPr="00AA5C8D">
        <w:rPr>
          <w:bCs/>
        </w:rPr>
        <w:t xml:space="preserve"> Fourteen</w:t>
      </w:r>
      <w:r>
        <w:rPr>
          <w:bCs/>
        </w:rPr>
        <w:t xml:space="preserve"> of the studies were of high quality with a low risk of bias, 12 were of acceptable quality with a moderate risk of bias</w:t>
      </w:r>
      <w:r w:rsidR="00835EF8">
        <w:rPr>
          <w:bCs/>
        </w:rPr>
        <w:t>,</w:t>
      </w:r>
      <w:r>
        <w:rPr>
          <w:bCs/>
        </w:rPr>
        <w:t xml:space="preserve"> and 4 prospective studies were of unacceptable quality with a high risk of bias.</w:t>
      </w:r>
    </w:p>
    <w:p w14:paraId="03127254" w14:textId="66D16C9A" w:rsidR="00061768" w:rsidRDefault="00061768" w:rsidP="004C79C1">
      <w:pPr>
        <w:spacing w:after="120" w:line="240" w:lineRule="auto"/>
        <w:jc w:val="both"/>
        <w:rPr>
          <w:bCs/>
        </w:rPr>
      </w:pPr>
      <w:r w:rsidRPr="00204D58">
        <w:rPr>
          <w:bCs/>
        </w:rPr>
        <w:t xml:space="preserve">The risk of bias </w:t>
      </w:r>
      <w:r>
        <w:rPr>
          <w:bCs/>
        </w:rPr>
        <w:t>for the cohort studies reporting on the prognostic value of LGE (LGE+ vs LGE</w:t>
      </w:r>
      <w:r w:rsidRPr="00204D58">
        <w:rPr>
          <w:bCs/>
        </w:rPr>
        <w:t>–</w:t>
      </w:r>
      <w:r>
        <w:rPr>
          <w:bCs/>
        </w:rPr>
        <w:t xml:space="preserve">; overall and for individual health outcomes), the prognostic value of LVEF versus LGE, and the prognosis of ICM versus NIDCM </w:t>
      </w:r>
      <w:r w:rsidR="00E87448">
        <w:rPr>
          <w:bCs/>
        </w:rPr>
        <w:t>are</w:t>
      </w:r>
      <w:r w:rsidR="00E87448" w:rsidRPr="00204D58">
        <w:rPr>
          <w:bCs/>
        </w:rPr>
        <w:t xml:space="preserve"> </w:t>
      </w:r>
      <w:r w:rsidRPr="00204D58">
        <w:rPr>
          <w:bCs/>
        </w:rPr>
        <w:t>s</w:t>
      </w:r>
      <w:r>
        <w:rPr>
          <w:bCs/>
        </w:rPr>
        <w:t>ummarised</w:t>
      </w:r>
      <w:r w:rsidRPr="00204D58">
        <w:rPr>
          <w:bCs/>
        </w:rPr>
        <w:t xml:space="preserve"> in</w:t>
      </w:r>
      <w:r>
        <w:rPr>
          <w:bCs/>
        </w:rPr>
        <w:t xml:space="preserve"> </w:t>
      </w:r>
      <w:r>
        <w:rPr>
          <w:bCs/>
        </w:rPr>
        <w:fldChar w:fldCharType="begin"/>
      </w:r>
      <w:r>
        <w:rPr>
          <w:bCs/>
        </w:rPr>
        <w:instrText xml:space="preserve"> REF _Ref445908951 \h </w:instrText>
      </w:r>
      <w:r w:rsidR="00CB1A8B">
        <w:rPr>
          <w:bCs/>
        </w:rPr>
        <w:instrText xml:space="preserve"> \* MERGEFORMAT </w:instrText>
      </w:r>
      <w:r>
        <w:rPr>
          <w:bCs/>
        </w:rPr>
      </w:r>
      <w:r>
        <w:rPr>
          <w:bCs/>
        </w:rPr>
        <w:fldChar w:fldCharType="separate"/>
      </w:r>
      <w:r w:rsidR="004F1D48" w:rsidRPr="00313D73">
        <w:t xml:space="preserve">Figure </w:t>
      </w:r>
      <w:r w:rsidR="004F1D48">
        <w:rPr>
          <w:noProof/>
        </w:rPr>
        <w:t>17</w:t>
      </w:r>
      <w:r>
        <w:rPr>
          <w:bCs/>
        </w:rPr>
        <w:fldChar w:fldCharType="end"/>
      </w:r>
      <w:r>
        <w:rPr>
          <w:bCs/>
        </w:rPr>
        <w:t>.</w:t>
      </w:r>
    </w:p>
    <w:p w14:paraId="75B8AD2C" w14:textId="77777777" w:rsidR="00061768" w:rsidRDefault="00061768" w:rsidP="004C79C1">
      <w:pPr>
        <w:spacing w:after="120" w:line="240" w:lineRule="auto"/>
        <w:jc w:val="both"/>
        <w:rPr>
          <w:bCs/>
        </w:rPr>
      </w:pPr>
      <w:r>
        <w:rPr>
          <w:bCs/>
          <w:noProof/>
        </w:rPr>
        <w:drawing>
          <wp:inline distT="0" distB="0" distL="0" distR="0" wp14:anchorId="20CA300F" wp14:editId="3F812F93">
            <wp:extent cx="5720486" cy="3694378"/>
            <wp:effectExtent l="0" t="0" r="0" b="1905"/>
            <wp:docPr id="33" name="Picture 33" descr="Summary of the risk of bias for the prognostic cohort studies for each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9752" cy="3706820"/>
                    </a:xfrm>
                    <a:prstGeom prst="rect">
                      <a:avLst/>
                    </a:prstGeom>
                    <a:noFill/>
                  </pic:spPr>
                </pic:pic>
              </a:graphicData>
            </a:graphic>
          </wp:inline>
        </w:drawing>
      </w:r>
    </w:p>
    <w:p w14:paraId="48D854B7" w14:textId="77777777" w:rsidR="00061768" w:rsidRPr="00313D73" w:rsidRDefault="00061768" w:rsidP="004C79C1">
      <w:pPr>
        <w:pStyle w:val="Caption"/>
      </w:pPr>
      <w:bookmarkStart w:id="338" w:name="_Ref445908951"/>
      <w:bookmarkStart w:id="339" w:name="_Toc324410151"/>
      <w:bookmarkStart w:id="340" w:name="_Toc451435463"/>
      <w:r w:rsidRPr="00313D73">
        <w:t xml:space="preserve">Figure </w:t>
      </w:r>
      <w:fldSimple w:instr=" SEQ Figure \* ARABIC ">
        <w:r w:rsidR="00050936">
          <w:rPr>
            <w:noProof/>
          </w:rPr>
          <w:t>17</w:t>
        </w:r>
      </w:fldSimple>
      <w:bookmarkEnd w:id="338"/>
      <w:r w:rsidRPr="00313D73">
        <w:tab/>
        <w:t>Summary of the risk of bias for the prognostic cohort studies for each outcome</w:t>
      </w:r>
      <w:bookmarkEnd w:id="339"/>
      <w:bookmarkEnd w:id="340"/>
    </w:p>
    <w:p w14:paraId="2E36D842" w14:textId="5A9FB06D" w:rsidR="00061768" w:rsidRDefault="00061768" w:rsidP="004C79C1">
      <w:pPr>
        <w:pStyle w:val="Tablenotes0"/>
        <w:spacing w:before="0" w:after="120"/>
      </w:pPr>
      <w:bookmarkStart w:id="341" w:name="_Toc324410152"/>
      <w:r w:rsidRPr="00B07930">
        <w:t xml:space="preserve">HF = heart failure; ICD = implantable </w:t>
      </w:r>
      <w:r w:rsidR="0026063B">
        <w:t>cardioverter defibrillator</w:t>
      </w:r>
      <w:r w:rsidRPr="00B07930">
        <w:t xml:space="preserve">; </w:t>
      </w:r>
      <w:r w:rsidR="00347BAB" w:rsidRPr="00B07930">
        <w:t xml:space="preserve">ICM = </w:t>
      </w:r>
      <w:r w:rsidR="00347BAB" w:rsidRPr="00254898">
        <w:t>ischaemic cardiomyopathy</w:t>
      </w:r>
      <w:r w:rsidR="00347BAB" w:rsidRPr="00B07930">
        <w:t xml:space="preserve">; </w:t>
      </w:r>
      <w:r w:rsidRPr="00B07930">
        <w:t xml:space="preserve">k = number of studies included in each meta-analysis; LGE = late gadolinium enhancement; </w:t>
      </w:r>
      <w:r w:rsidR="00E87448" w:rsidRPr="00B07930">
        <w:t xml:space="preserve">LVEF = </w:t>
      </w:r>
      <w:r w:rsidR="00347BAB" w:rsidRPr="008229D1">
        <w:t>left ventricular ejection fraction</w:t>
      </w:r>
      <w:r w:rsidR="00347BAB" w:rsidRPr="00B07930">
        <w:t xml:space="preserve">; NIDCM = </w:t>
      </w:r>
      <w:r w:rsidR="00347BAB" w:rsidRPr="008229D1">
        <w:rPr>
          <w:rFonts w:asciiTheme="minorHAnsi" w:hAnsiTheme="minorHAnsi"/>
          <w:color w:val="000000"/>
          <w:szCs w:val="24"/>
        </w:rPr>
        <w:t>non-ischaemic dilated cardiomyopathy</w:t>
      </w:r>
      <w:r w:rsidR="00347BAB" w:rsidRPr="00B07930">
        <w:t xml:space="preserve">; </w:t>
      </w:r>
      <w:r w:rsidRPr="00B07930">
        <w:t>SCD = sudden cardiac death; VA = ventricular arrhythmia; VT = ventricular</w:t>
      </w:r>
      <w:r w:rsidRPr="00CB1A8B">
        <w:t xml:space="preserve"> tachycardia</w:t>
      </w:r>
      <w:bookmarkEnd w:id="341"/>
    </w:p>
    <w:p w14:paraId="48EDC5BB" w14:textId="53CDBBA0" w:rsidR="00CF0113" w:rsidRDefault="00CF0113" w:rsidP="004C79C1">
      <w:pPr>
        <w:spacing w:after="120" w:line="240" w:lineRule="auto"/>
      </w:pPr>
      <w:r>
        <w:lastRenderedPageBreak/>
        <w:br w:type="page"/>
      </w:r>
    </w:p>
    <w:p w14:paraId="09132569" w14:textId="372DE088" w:rsidR="00061768" w:rsidRDefault="00BF6567" w:rsidP="00161B88">
      <w:pPr>
        <w:pStyle w:val="Heading3"/>
      </w:pPr>
      <w:bookmarkStart w:id="342" w:name="_Toc451501329"/>
      <w:r>
        <w:lastRenderedPageBreak/>
        <w:t>B4.2.3</w:t>
      </w:r>
      <w:r w:rsidR="00061768">
        <w:t xml:space="preserve"> Results of the </w:t>
      </w:r>
      <w:r w:rsidR="009E3F35">
        <w:t>s</w:t>
      </w:r>
      <w:r w:rsidR="00061768">
        <w:t xml:space="preserve">ystematic </w:t>
      </w:r>
      <w:r w:rsidR="009E3F35">
        <w:t>l</w:t>
      </w:r>
      <w:r w:rsidR="00061768">
        <w:t xml:space="preserve">iterature </w:t>
      </w:r>
      <w:r w:rsidR="009E3F35">
        <w:t>r</w:t>
      </w:r>
      <w:r w:rsidR="00061768">
        <w:t>eview</w:t>
      </w:r>
      <w:bookmarkEnd w:id="342"/>
    </w:p>
    <w:tbl>
      <w:tblPr>
        <w:tblStyle w:val="TableGrid"/>
        <w:tblW w:w="0" w:type="auto"/>
        <w:tblBorders>
          <w:insideH w:val="none" w:sz="0" w:space="0" w:color="auto"/>
          <w:insideV w:val="none" w:sz="0" w:space="0" w:color="auto"/>
        </w:tblBorders>
        <w:tblLook w:val="04A0" w:firstRow="1" w:lastRow="0" w:firstColumn="1" w:lastColumn="0" w:noHBand="0" w:noVBand="1"/>
        <w:tblDescription w:val="Will the information generated as a result of CMR be of prognostic value in patients with HF symptoms in whom Echo is inconclusive or suggests a DCM, compared to SPECT or CTCA?"/>
      </w:tblPr>
      <w:tblGrid>
        <w:gridCol w:w="9016"/>
      </w:tblGrid>
      <w:tr w:rsidR="00061768" w:rsidRPr="00874B63" w14:paraId="0A5784EB" w14:textId="77777777" w:rsidTr="00547111">
        <w:trPr>
          <w:tblHeader/>
        </w:trPr>
        <w:tc>
          <w:tcPr>
            <w:tcW w:w="9016" w:type="dxa"/>
          </w:tcPr>
          <w:p w14:paraId="3E8EE0EC" w14:textId="1A10D6B2" w:rsidR="00061768" w:rsidRPr="00874B63" w:rsidRDefault="00061768" w:rsidP="004C79C1">
            <w:pPr>
              <w:spacing w:after="120" w:line="240" w:lineRule="auto"/>
              <w:jc w:val="both"/>
              <w:rPr>
                <w:rFonts w:ascii="Arial Narrow" w:hAnsi="Arial Narrow"/>
                <w:b/>
              </w:rPr>
            </w:pPr>
            <w:r w:rsidRPr="00874B63">
              <w:rPr>
                <w:rFonts w:ascii="Arial Narrow" w:hAnsi="Arial Narrow"/>
                <w:b/>
              </w:rPr>
              <w:t xml:space="preserve">Summary – Will the information generated as a result of CMR be of prognostic value in patients with HF symptoms in whom </w:t>
            </w:r>
            <w:r w:rsidR="00A21115">
              <w:rPr>
                <w:rFonts w:ascii="Arial Narrow" w:hAnsi="Arial Narrow"/>
                <w:b/>
              </w:rPr>
              <w:t>echocardiography</w:t>
            </w:r>
            <w:r w:rsidRPr="00874B63">
              <w:rPr>
                <w:rFonts w:ascii="Arial Narrow" w:hAnsi="Arial Narrow"/>
                <w:b/>
              </w:rPr>
              <w:t xml:space="preserve"> is inconclusive or suggests a DCM, compared </w:t>
            </w:r>
            <w:r w:rsidR="00B07930">
              <w:rPr>
                <w:rFonts w:ascii="Arial Narrow" w:hAnsi="Arial Narrow"/>
                <w:b/>
              </w:rPr>
              <w:t>with</w:t>
            </w:r>
            <w:r w:rsidR="00B07930" w:rsidRPr="00874B63">
              <w:rPr>
                <w:rFonts w:ascii="Arial Narrow" w:hAnsi="Arial Narrow"/>
                <w:b/>
              </w:rPr>
              <w:t xml:space="preserve"> </w:t>
            </w:r>
            <w:r w:rsidRPr="00874B63">
              <w:rPr>
                <w:rFonts w:ascii="Arial Narrow" w:hAnsi="Arial Narrow"/>
                <w:b/>
              </w:rPr>
              <w:t>SPECT or CTCA?</w:t>
            </w:r>
          </w:p>
        </w:tc>
      </w:tr>
      <w:tr w:rsidR="00061768" w:rsidRPr="00874B63" w14:paraId="279E1C99" w14:textId="77777777" w:rsidTr="00547111">
        <w:tc>
          <w:tcPr>
            <w:tcW w:w="9016" w:type="dxa"/>
          </w:tcPr>
          <w:p w14:paraId="5A92F446" w14:textId="24D9F4C6" w:rsidR="00061768" w:rsidRPr="00A55F9F" w:rsidRDefault="00061768" w:rsidP="004C79C1">
            <w:pPr>
              <w:spacing w:after="120" w:line="240" w:lineRule="auto"/>
              <w:jc w:val="both"/>
              <w:rPr>
                <w:rFonts w:ascii="Arial Narrow" w:hAnsi="Arial Narrow"/>
              </w:rPr>
            </w:pPr>
            <w:r w:rsidRPr="00A55F9F">
              <w:rPr>
                <w:rFonts w:ascii="Arial Narrow" w:hAnsi="Arial Narrow"/>
              </w:rPr>
              <w:t xml:space="preserve">Overall, a mean of 38% of DCM patients were diagnosed with NIDCM, of whom approximately 38% were LGE+ (13% of the total DCM population). Of the 62% of patients diagnosed with ICM, a mean of 86% were LGE+ (56% of the total DCM population). </w:t>
            </w:r>
          </w:p>
          <w:p w14:paraId="52B21784" w14:textId="58901576" w:rsidR="00061768" w:rsidRDefault="00061768" w:rsidP="004C79C1">
            <w:pPr>
              <w:spacing w:after="120" w:line="240" w:lineRule="auto"/>
              <w:jc w:val="both"/>
              <w:rPr>
                <w:rFonts w:ascii="Arial Narrow" w:hAnsi="Arial Narrow"/>
              </w:rPr>
            </w:pPr>
            <w:r>
              <w:rPr>
                <w:rFonts w:ascii="Arial Narrow" w:hAnsi="Arial Narrow"/>
              </w:rPr>
              <w:t xml:space="preserve">A median of 22% of </w:t>
            </w:r>
            <w:r w:rsidRPr="007C20EF">
              <w:rPr>
                <w:rFonts w:ascii="Arial Narrow" w:hAnsi="Arial Narrow"/>
              </w:rPr>
              <w:t xml:space="preserve">patients who had </w:t>
            </w:r>
            <w:r>
              <w:rPr>
                <w:rFonts w:ascii="Arial Narrow" w:hAnsi="Arial Narrow"/>
              </w:rPr>
              <w:t xml:space="preserve">an ICD implanted for primary prevention had </w:t>
            </w:r>
            <w:r w:rsidRPr="007C20EF">
              <w:rPr>
                <w:rFonts w:ascii="Arial Narrow" w:hAnsi="Arial Narrow"/>
              </w:rPr>
              <w:t xml:space="preserve">an appropriate ICD discharge (range 11–71%), </w:t>
            </w:r>
            <w:r>
              <w:rPr>
                <w:rFonts w:ascii="Arial Narrow" w:hAnsi="Arial Narrow"/>
              </w:rPr>
              <w:t xml:space="preserve">while appropriate discharges occurred in a median of </w:t>
            </w:r>
            <w:r w:rsidRPr="007C20EF">
              <w:rPr>
                <w:rFonts w:ascii="Arial Narrow" w:hAnsi="Arial Narrow"/>
              </w:rPr>
              <w:t>61%</w:t>
            </w:r>
            <w:r>
              <w:rPr>
                <w:rFonts w:ascii="Arial Narrow" w:hAnsi="Arial Narrow"/>
              </w:rPr>
              <w:t xml:space="preserve"> of patients who had an ICD implanted for secondary prevention</w:t>
            </w:r>
            <w:r w:rsidRPr="007C20EF">
              <w:rPr>
                <w:rFonts w:ascii="Arial Narrow" w:hAnsi="Arial Narrow"/>
              </w:rPr>
              <w:t>.</w:t>
            </w:r>
            <w:r>
              <w:rPr>
                <w:rFonts w:ascii="Arial Narrow" w:hAnsi="Arial Narrow"/>
              </w:rPr>
              <w:t xml:space="preserve"> </w:t>
            </w:r>
            <w:r w:rsidRPr="007C20EF">
              <w:rPr>
                <w:rFonts w:ascii="Arial Narrow" w:hAnsi="Arial Narrow"/>
              </w:rPr>
              <w:t>A greater proportion of LGE+ patients who had an I</w:t>
            </w:r>
            <w:r w:rsidRPr="00E91107">
              <w:rPr>
                <w:rFonts w:ascii="Arial Narrow" w:hAnsi="Arial Narrow"/>
              </w:rPr>
              <w:t>CD</w:t>
            </w:r>
            <w:r w:rsidR="00EF2824">
              <w:rPr>
                <w:rFonts w:ascii="Arial Narrow" w:hAnsi="Arial Narrow"/>
              </w:rPr>
              <w:t xml:space="preserve"> </w:t>
            </w:r>
            <w:r w:rsidRPr="00E91107">
              <w:rPr>
                <w:rFonts w:ascii="Arial Narrow" w:hAnsi="Arial Narrow"/>
              </w:rPr>
              <w:t>/</w:t>
            </w:r>
            <w:r w:rsidR="00EF2824">
              <w:rPr>
                <w:rFonts w:ascii="Arial Narrow" w:hAnsi="Arial Narrow"/>
              </w:rPr>
              <w:t xml:space="preserve"> </w:t>
            </w:r>
            <w:r w:rsidR="00AC2DBF" w:rsidRPr="008229D1">
              <w:rPr>
                <w:rFonts w:ascii="Arial Narrow" w:hAnsi="Arial Narrow"/>
              </w:rPr>
              <w:t>cardiac resynchronisation therapy</w:t>
            </w:r>
            <w:r w:rsidR="00AC2DBF" w:rsidRPr="00E91107">
              <w:rPr>
                <w:rFonts w:ascii="Arial Narrow" w:hAnsi="Arial Narrow"/>
              </w:rPr>
              <w:t xml:space="preserve"> (</w:t>
            </w:r>
            <w:r w:rsidRPr="00E91107">
              <w:rPr>
                <w:rFonts w:ascii="Arial Narrow" w:hAnsi="Arial Narrow"/>
              </w:rPr>
              <w:t>CRT</w:t>
            </w:r>
            <w:r w:rsidR="00AC2DBF" w:rsidRPr="00E91107">
              <w:rPr>
                <w:rFonts w:ascii="Arial Narrow" w:hAnsi="Arial Narrow"/>
              </w:rPr>
              <w:t>)</w:t>
            </w:r>
            <w:r w:rsidRPr="00E91107">
              <w:rPr>
                <w:rFonts w:ascii="Arial Narrow" w:hAnsi="Arial Narrow"/>
              </w:rPr>
              <w:t xml:space="preserve"> had an appropriate discharge compared with th</w:t>
            </w:r>
            <w:r w:rsidRPr="007C20EF">
              <w:rPr>
                <w:rFonts w:ascii="Arial Narrow" w:hAnsi="Arial Narrow"/>
              </w:rPr>
              <w:t>ose who were LGE–</w:t>
            </w:r>
            <w:r w:rsidR="00B07930">
              <w:rPr>
                <w:rFonts w:ascii="Arial Narrow" w:hAnsi="Arial Narrow"/>
              </w:rPr>
              <w:t>,</w:t>
            </w:r>
            <w:r w:rsidRPr="007C20EF">
              <w:rPr>
                <w:rFonts w:ascii="Arial Narrow" w:hAnsi="Arial Narrow"/>
              </w:rPr>
              <w:t xml:space="preserve"> regardless of the reason</w:t>
            </w:r>
            <w:r>
              <w:rPr>
                <w:rFonts w:ascii="Arial Narrow" w:hAnsi="Arial Narrow"/>
              </w:rPr>
              <w:t xml:space="preserve"> </w:t>
            </w:r>
            <w:r w:rsidRPr="007C20EF">
              <w:rPr>
                <w:rFonts w:ascii="Arial Narrow" w:hAnsi="Arial Narrow"/>
              </w:rPr>
              <w:t>for implantation.</w:t>
            </w:r>
          </w:p>
          <w:p w14:paraId="153D06FC" w14:textId="5D360D7F" w:rsidR="00061768" w:rsidRDefault="00061768" w:rsidP="004C79C1">
            <w:pPr>
              <w:spacing w:after="120" w:line="240" w:lineRule="auto"/>
              <w:jc w:val="both"/>
              <w:rPr>
                <w:rFonts w:ascii="Arial Narrow" w:hAnsi="Arial Narrow"/>
              </w:rPr>
            </w:pPr>
            <w:r>
              <w:rPr>
                <w:rFonts w:ascii="Arial Narrow" w:hAnsi="Arial Narrow"/>
              </w:rPr>
              <w:t>F</w:t>
            </w:r>
            <w:r w:rsidRPr="00CB72CE">
              <w:rPr>
                <w:rFonts w:ascii="Arial Narrow" w:hAnsi="Arial Narrow"/>
              </w:rPr>
              <w:t>or primary prevention</w:t>
            </w:r>
            <w:r>
              <w:rPr>
                <w:rFonts w:ascii="Arial Narrow" w:hAnsi="Arial Narrow"/>
              </w:rPr>
              <w:t>,</w:t>
            </w:r>
            <w:r w:rsidRPr="00CB72CE">
              <w:rPr>
                <w:rFonts w:ascii="Arial Narrow" w:hAnsi="Arial Narrow"/>
              </w:rPr>
              <w:t xml:space="preserve"> LGE+ patients were 4.5-times more likely to have an appropriate ICD discharge than LGE– patients. There was a 7.5-fold increase in the number of secondary prevention LGE– patients benefiting by having an appropriate ICD discharge compared with primary prevention LGE– patients (30% vs 4%), and a 3-fold increase in the number of LGE+ patients (85% vs 29%).</w:t>
            </w:r>
          </w:p>
          <w:p w14:paraId="6141B7D4" w14:textId="0DA0169A" w:rsidR="00061768" w:rsidRDefault="00061768" w:rsidP="004C79C1">
            <w:pPr>
              <w:spacing w:after="120" w:line="240" w:lineRule="auto"/>
              <w:jc w:val="both"/>
              <w:rPr>
                <w:rFonts w:ascii="Arial Narrow" w:hAnsi="Arial Narrow"/>
              </w:rPr>
            </w:pPr>
            <w:r w:rsidRPr="00824A5D">
              <w:rPr>
                <w:rFonts w:ascii="Arial Narrow" w:hAnsi="Arial Narrow"/>
              </w:rPr>
              <w:t>Meta-analys</w:t>
            </w:r>
            <w:r>
              <w:rPr>
                <w:rFonts w:ascii="Arial Narrow" w:hAnsi="Arial Narrow"/>
              </w:rPr>
              <w:t>i</w:t>
            </w:r>
            <w:r w:rsidRPr="00824A5D">
              <w:rPr>
                <w:rFonts w:ascii="Arial Narrow" w:hAnsi="Arial Narrow"/>
              </w:rPr>
              <w:t>s</w:t>
            </w:r>
            <w:r>
              <w:rPr>
                <w:rFonts w:ascii="Arial Narrow" w:hAnsi="Arial Narrow"/>
              </w:rPr>
              <w:t xml:space="preserve"> of the data</w:t>
            </w:r>
            <w:r w:rsidRPr="00824A5D">
              <w:rPr>
                <w:rFonts w:ascii="Arial Narrow" w:hAnsi="Arial Narrow"/>
              </w:rPr>
              <w:t xml:space="preserve"> clearly show</w:t>
            </w:r>
            <w:r>
              <w:rPr>
                <w:rFonts w:ascii="Arial Narrow" w:hAnsi="Arial Narrow"/>
              </w:rPr>
              <w:t>ed</w:t>
            </w:r>
            <w:r w:rsidRPr="00824A5D">
              <w:rPr>
                <w:rFonts w:ascii="Arial Narrow" w:hAnsi="Arial Narrow"/>
              </w:rPr>
              <w:t xml:space="preserve"> that LGE+ </w:t>
            </w:r>
            <w:r>
              <w:rPr>
                <w:rFonts w:ascii="Arial Narrow" w:hAnsi="Arial Narrow"/>
              </w:rPr>
              <w:t xml:space="preserve">NIDCM </w:t>
            </w:r>
            <w:r w:rsidRPr="00824A5D">
              <w:rPr>
                <w:rFonts w:ascii="Arial Narrow" w:hAnsi="Arial Narrow"/>
              </w:rPr>
              <w:t xml:space="preserve">patients are </w:t>
            </w:r>
            <w:r w:rsidRPr="00CB72CE">
              <w:rPr>
                <w:rFonts w:ascii="Arial Narrow" w:hAnsi="Arial Narrow"/>
              </w:rPr>
              <w:t xml:space="preserve">up to 4-times </w:t>
            </w:r>
            <w:r w:rsidRPr="00824A5D">
              <w:rPr>
                <w:rFonts w:ascii="Arial Narrow" w:hAnsi="Arial Narrow"/>
              </w:rPr>
              <w:t xml:space="preserve">more likely to experience </w:t>
            </w:r>
            <w:r>
              <w:rPr>
                <w:rFonts w:ascii="Arial Narrow" w:hAnsi="Arial Narrow"/>
              </w:rPr>
              <w:t xml:space="preserve">an </w:t>
            </w:r>
            <w:r w:rsidRPr="00824A5D">
              <w:rPr>
                <w:rFonts w:ascii="Arial Narrow" w:hAnsi="Arial Narrow"/>
              </w:rPr>
              <w:t xml:space="preserve">adverse </w:t>
            </w:r>
            <w:r>
              <w:rPr>
                <w:rFonts w:ascii="Arial Narrow" w:hAnsi="Arial Narrow"/>
              </w:rPr>
              <w:t>cardiac event</w:t>
            </w:r>
            <w:r w:rsidR="00133DB9">
              <w:rPr>
                <w:rFonts w:ascii="Arial Narrow" w:hAnsi="Arial Narrow"/>
              </w:rPr>
              <w:t>,</w:t>
            </w:r>
            <w:r>
              <w:rPr>
                <w:rFonts w:ascii="Arial Narrow" w:hAnsi="Arial Narrow"/>
              </w:rPr>
              <w:t xml:space="preserve"> and</w:t>
            </w:r>
            <w:r>
              <w:t xml:space="preserve"> </w:t>
            </w:r>
            <w:r w:rsidRPr="00CB72CE">
              <w:rPr>
                <w:rFonts w:ascii="Arial Narrow" w:hAnsi="Arial Narrow"/>
              </w:rPr>
              <w:t>3-times more likely to die</w:t>
            </w:r>
            <w:r w:rsidR="00133DB9">
              <w:rPr>
                <w:rFonts w:ascii="Arial Narrow" w:hAnsi="Arial Narrow"/>
              </w:rPr>
              <w:t>,</w:t>
            </w:r>
            <w:r>
              <w:rPr>
                <w:rFonts w:ascii="Arial Narrow" w:hAnsi="Arial Narrow"/>
              </w:rPr>
              <w:t xml:space="preserve"> </w:t>
            </w:r>
            <w:r w:rsidRPr="00824A5D">
              <w:rPr>
                <w:rFonts w:ascii="Arial Narrow" w:hAnsi="Arial Narrow"/>
              </w:rPr>
              <w:t>than those who are LGE–.</w:t>
            </w:r>
            <w:r>
              <w:rPr>
                <w:rFonts w:ascii="Arial Narrow" w:hAnsi="Arial Narrow"/>
              </w:rPr>
              <w:t xml:space="preserve"> Conversely, i</w:t>
            </w:r>
            <w:r w:rsidRPr="00553423">
              <w:rPr>
                <w:rFonts w:ascii="Arial Narrow" w:hAnsi="Arial Narrow"/>
              </w:rPr>
              <w:t>n children with a recent diagnosis of DCM of unknown origin, th</w:t>
            </w:r>
            <w:r>
              <w:rPr>
                <w:rFonts w:ascii="Arial Narrow" w:hAnsi="Arial Narrow"/>
              </w:rPr>
              <w:t>ose who were</w:t>
            </w:r>
            <w:r w:rsidRPr="00553423">
              <w:rPr>
                <w:rFonts w:ascii="Arial Narrow" w:hAnsi="Arial Narrow"/>
              </w:rPr>
              <w:t xml:space="preserve"> LGE</w:t>
            </w:r>
            <w:r>
              <w:rPr>
                <w:rFonts w:ascii="Arial Narrow" w:hAnsi="Arial Narrow"/>
              </w:rPr>
              <w:t>+</w:t>
            </w:r>
            <w:r w:rsidRPr="00553423">
              <w:rPr>
                <w:rFonts w:ascii="Arial Narrow" w:hAnsi="Arial Narrow"/>
              </w:rPr>
              <w:t xml:space="preserve"> </w:t>
            </w:r>
            <w:r>
              <w:rPr>
                <w:rFonts w:ascii="Arial Narrow" w:hAnsi="Arial Narrow"/>
              </w:rPr>
              <w:t>were 2-times more likely to</w:t>
            </w:r>
            <w:r w:rsidRPr="00553423">
              <w:rPr>
                <w:rFonts w:ascii="Arial Narrow" w:hAnsi="Arial Narrow"/>
              </w:rPr>
              <w:t xml:space="preserve"> </w:t>
            </w:r>
            <w:r>
              <w:rPr>
                <w:rFonts w:ascii="Arial Narrow" w:hAnsi="Arial Narrow"/>
              </w:rPr>
              <w:t>fully recover</w:t>
            </w:r>
            <w:r w:rsidRPr="00553423">
              <w:rPr>
                <w:rFonts w:ascii="Arial Narrow" w:hAnsi="Arial Narrow"/>
              </w:rPr>
              <w:t xml:space="preserve"> LV function</w:t>
            </w:r>
            <w:r>
              <w:rPr>
                <w:rFonts w:ascii="Arial Narrow" w:hAnsi="Arial Narrow"/>
              </w:rPr>
              <w:t xml:space="preserve"> than those who were LGE–</w:t>
            </w:r>
            <w:r w:rsidRPr="00553423">
              <w:rPr>
                <w:rFonts w:ascii="Arial Narrow" w:hAnsi="Arial Narrow"/>
              </w:rPr>
              <w:t xml:space="preserve">. </w:t>
            </w:r>
          </w:p>
          <w:p w14:paraId="31362864" w14:textId="1492375B" w:rsidR="00061768" w:rsidRDefault="00061768" w:rsidP="004C79C1">
            <w:pPr>
              <w:spacing w:after="120" w:line="240" w:lineRule="auto"/>
              <w:jc w:val="both"/>
              <w:rPr>
                <w:rFonts w:ascii="Arial Narrow" w:hAnsi="Arial Narrow"/>
              </w:rPr>
            </w:pPr>
            <w:r>
              <w:rPr>
                <w:rFonts w:ascii="Arial Narrow" w:hAnsi="Arial Narrow"/>
              </w:rPr>
              <w:t xml:space="preserve">This apparent disparity is caused by </w:t>
            </w:r>
            <w:r w:rsidRPr="00553423">
              <w:rPr>
                <w:rFonts w:ascii="Arial Narrow" w:hAnsi="Arial Narrow"/>
              </w:rPr>
              <w:t>LGE-CMR detect</w:t>
            </w:r>
            <w:r>
              <w:rPr>
                <w:rFonts w:ascii="Arial Narrow" w:hAnsi="Arial Narrow"/>
              </w:rPr>
              <w:t>ing</w:t>
            </w:r>
            <w:r w:rsidRPr="00553423">
              <w:rPr>
                <w:rFonts w:ascii="Arial Narrow" w:hAnsi="Arial Narrow"/>
              </w:rPr>
              <w:t xml:space="preserve"> the presence of myocardial inflammation</w:t>
            </w:r>
            <w:r>
              <w:rPr>
                <w:rFonts w:ascii="Arial Narrow" w:hAnsi="Arial Narrow"/>
              </w:rPr>
              <w:t xml:space="preserve"> in children, whereas</w:t>
            </w:r>
            <w:r w:rsidRPr="00553423">
              <w:rPr>
                <w:rFonts w:ascii="Arial Narrow" w:hAnsi="Arial Narrow"/>
              </w:rPr>
              <w:t xml:space="preserve"> </w:t>
            </w:r>
            <w:r>
              <w:rPr>
                <w:rFonts w:ascii="Arial Narrow" w:hAnsi="Arial Narrow"/>
              </w:rPr>
              <w:t>what it is detecting</w:t>
            </w:r>
            <w:r w:rsidR="00133DB9">
              <w:rPr>
                <w:rFonts w:ascii="Arial Narrow" w:hAnsi="Arial Narrow"/>
              </w:rPr>
              <w:t xml:space="preserve"> i</w:t>
            </w:r>
            <w:r w:rsidR="00133DB9" w:rsidRPr="00553423">
              <w:rPr>
                <w:rFonts w:ascii="Arial Narrow" w:hAnsi="Arial Narrow"/>
              </w:rPr>
              <w:t>n adults</w:t>
            </w:r>
            <w:r>
              <w:rPr>
                <w:rFonts w:ascii="Arial Narrow" w:hAnsi="Arial Narrow"/>
              </w:rPr>
              <w:t xml:space="preserve"> is often</w:t>
            </w:r>
            <w:r w:rsidRPr="00553423">
              <w:rPr>
                <w:rFonts w:ascii="Arial Narrow" w:hAnsi="Arial Narrow"/>
              </w:rPr>
              <w:t xml:space="preserve"> fibrotic or scarred myocardium. The greatest difference between fibrotic and inflamed myocardium is in its ability to recover. Once the myocardium has become fibrotic it is permanently scarred</w:t>
            </w:r>
            <w:r w:rsidR="00342657">
              <w:rPr>
                <w:rFonts w:ascii="Arial Narrow" w:hAnsi="Arial Narrow"/>
              </w:rPr>
              <w:t>,</w:t>
            </w:r>
            <w:r w:rsidRPr="00553423">
              <w:rPr>
                <w:rFonts w:ascii="Arial Narrow" w:hAnsi="Arial Narrow"/>
              </w:rPr>
              <w:t xml:space="preserve"> leading to worse health outcomes in adults.</w:t>
            </w:r>
          </w:p>
          <w:p w14:paraId="05B85F25" w14:textId="6CCD85E1" w:rsidR="00061768" w:rsidRDefault="00061768" w:rsidP="004C79C1">
            <w:pPr>
              <w:spacing w:after="120" w:line="240" w:lineRule="auto"/>
              <w:jc w:val="both"/>
              <w:rPr>
                <w:rFonts w:ascii="Arial Narrow" w:hAnsi="Arial Narrow"/>
              </w:rPr>
            </w:pPr>
            <w:r>
              <w:rPr>
                <w:rFonts w:ascii="Arial Narrow" w:hAnsi="Arial Narrow"/>
              </w:rPr>
              <w:t>I</w:t>
            </w:r>
            <w:r w:rsidRPr="00347BDD">
              <w:rPr>
                <w:rFonts w:ascii="Arial Narrow" w:hAnsi="Arial Narrow"/>
              </w:rPr>
              <w:t xml:space="preserve">t is </w:t>
            </w:r>
            <w:r>
              <w:rPr>
                <w:rFonts w:ascii="Arial Narrow" w:hAnsi="Arial Narrow"/>
              </w:rPr>
              <w:t>probable</w:t>
            </w:r>
            <w:r w:rsidRPr="00347BDD">
              <w:rPr>
                <w:rFonts w:ascii="Arial Narrow" w:hAnsi="Arial Narrow"/>
              </w:rPr>
              <w:t xml:space="preserve"> that the presence of LGE is a stronger predictor </w:t>
            </w:r>
            <w:r>
              <w:rPr>
                <w:rFonts w:ascii="Arial Narrow" w:hAnsi="Arial Narrow"/>
              </w:rPr>
              <w:t xml:space="preserve">of cardiac events </w:t>
            </w:r>
            <w:r w:rsidRPr="00347BDD">
              <w:rPr>
                <w:rFonts w:ascii="Arial Narrow" w:hAnsi="Arial Narrow"/>
              </w:rPr>
              <w:t>than %LVEF</w:t>
            </w:r>
            <w:r>
              <w:rPr>
                <w:rFonts w:ascii="Arial Narrow" w:hAnsi="Arial Narrow"/>
              </w:rPr>
              <w:t>, even though</w:t>
            </w:r>
            <w:r w:rsidRPr="00347BDD">
              <w:rPr>
                <w:rFonts w:ascii="Arial Narrow" w:hAnsi="Arial Narrow"/>
              </w:rPr>
              <w:t xml:space="preserve"> </w:t>
            </w:r>
            <w:r>
              <w:rPr>
                <w:rFonts w:ascii="Arial Narrow" w:hAnsi="Arial Narrow"/>
              </w:rPr>
              <w:t>t</w:t>
            </w:r>
            <w:r w:rsidRPr="00347BDD">
              <w:rPr>
                <w:rFonts w:ascii="Arial Narrow" w:hAnsi="Arial Narrow"/>
              </w:rPr>
              <w:t>he</w:t>
            </w:r>
            <w:r>
              <w:rPr>
                <w:rFonts w:ascii="Arial Narrow" w:hAnsi="Arial Narrow"/>
              </w:rPr>
              <w:t xml:space="preserve"> </w:t>
            </w:r>
            <w:r w:rsidRPr="00347BDD">
              <w:rPr>
                <w:rFonts w:ascii="Arial Narrow" w:hAnsi="Arial Narrow"/>
              </w:rPr>
              <w:t>results suggest</w:t>
            </w:r>
            <w:r>
              <w:rPr>
                <w:rFonts w:ascii="Arial Narrow" w:hAnsi="Arial Narrow"/>
              </w:rPr>
              <w:t>ed</w:t>
            </w:r>
            <w:r w:rsidRPr="00347BDD">
              <w:rPr>
                <w:rFonts w:ascii="Arial Narrow" w:hAnsi="Arial Narrow"/>
              </w:rPr>
              <w:t xml:space="preserve"> that both %LVEF and the presence of LGE are prognostic factors that can predict which patients are more likely to have an adverse cardiac event. </w:t>
            </w:r>
            <w:r>
              <w:rPr>
                <w:rFonts w:ascii="Arial Narrow" w:hAnsi="Arial Narrow"/>
              </w:rPr>
              <w:t xml:space="preserve">The results also indicated that </w:t>
            </w:r>
            <w:r w:rsidR="00A21115">
              <w:rPr>
                <w:rFonts w:ascii="Arial Narrow" w:hAnsi="Arial Narrow"/>
              </w:rPr>
              <w:t>echocardiography</w:t>
            </w:r>
            <w:r w:rsidRPr="00347BDD">
              <w:rPr>
                <w:rFonts w:ascii="Arial Narrow" w:hAnsi="Arial Narrow"/>
              </w:rPr>
              <w:t xml:space="preserve"> LVEF measurements</w:t>
            </w:r>
            <w:r>
              <w:rPr>
                <w:rFonts w:ascii="Arial Narrow" w:hAnsi="Arial Narrow"/>
              </w:rPr>
              <w:t xml:space="preserve"> were less reliable than </w:t>
            </w:r>
            <w:r w:rsidRPr="00347BDD">
              <w:rPr>
                <w:rFonts w:ascii="Arial Narrow" w:hAnsi="Arial Narrow"/>
              </w:rPr>
              <w:t>CMR measurements</w:t>
            </w:r>
            <w:r>
              <w:rPr>
                <w:rFonts w:ascii="Arial Narrow" w:hAnsi="Arial Narrow"/>
              </w:rPr>
              <w:t xml:space="preserve"> </w:t>
            </w:r>
            <w:r w:rsidRPr="00347BDD">
              <w:rPr>
                <w:rFonts w:ascii="Arial Narrow" w:hAnsi="Arial Narrow"/>
              </w:rPr>
              <w:t>for predicting the likelihood of a patient having an adverse cardiac event.</w:t>
            </w:r>
            <w:r>
              <w:rPr>
                <w:rFonts w:ascii="Arial Narrow" w:hAnsi="Arial Narrow"/>
              </w:rPr>
              <w:t xml:space="preserve"> Nevertheless, c</w:t>
            </w:r>
            <w:r w:rsidRPr="00B1118B">
              <w:rPr>
                <w:rFonts w:ascii="Arial Narrow" w:hAnsi="Arial Narrow"/>
              </w:rPr>
              <w:t>urrent guidelines do not use LGE-CMR in the diagnosis and/or clinical management o</w:t>
            </w:r>
            <w:r w:rsidRPr="00053390">
              <w:rPr>
                <w:rFonts w:ascii="Arial Narrow" w:hAnsi="Arial Narrow"/>
              </w:rPr>
              <w:t xml:space="preserve">f </w:t>
            </w:r>
            <w:r w:rsidR="00053390" w:rsidRPr="008229D1">
              <w:rPr>
                <w:rFonts w:ascii="Arial Narrow" w:eastAsiaTheme="minorEastAsia" w:hAnsi="Arial Narrow" w:cstheme="minorBidi"/>
                <w:iCs/>
                <w:lang w:eastAsia="en-US"/>
              </w:rPr>
              <w:t>congestive heart failure</w:t>
            </w:r>
            <w:r w:rsidR="00053390" w:rsidRPr="00053390">
              <w:rPr>
                <w:rFonts w:ascii="Arial Narrow" w:hAnsi="Arial Narrow"/>
              </w:rPr>
              <w:t xml:space="preserve"> (</w:t>
            </w:r>
            <w:r w:rsidRPr="00053390">
              <w:rPr>
                <w:rFonts w:ascii="Arial Narrow" w:hAnsi="Arial Narrow"/>
              </w:rPr>
              <w:t>C</w:t>
            </w:r>
            <w:r w:rsidRPr="00B1118B">
              <w:rPr>
                <w:rFonts w:ascii="Arial Narrow" w:hAnsi="Arial Narrow"/>
              </w:rPr>
              <w:t>HF</w:t>
            </w:r>
            <w:r w:rsidR="00053390">
              <w:rPr>
                <w:rFonts w:ascii="Arial Narrow" w:hAnsi="Arial Narrow"/>
              </w:rPr>
              <w:t>)</w:t>
            </w:r>
            <w:r w:rsidRPr="00B1118B">
              <w:rPr>
                <w:rFonts w:ascii="Arial Narrow" w:hAnsi="Arial Narrow"/>
              </w:rPr>
              <w:t>, but rely heavily on %LVEF for both diagnosis and clinical management of these patients.</w:t>
            </w:r>
          </w:p>
          <w:p w14:paraId="0D26C79D" w14:textId="4C3C24F0" w:rsidR="00061768" w:rsidRDefault="00061768" w:rsidP="004C79C1">
            <w:pPr>
              <w:spacing w:after="120" w:line="240" w:lineRule="auto"/>
              <w:jc w:val="both"/>
              <w:rPr>
                <w:rFonts w:ascii="Arial Narrow" w:hAnsi="Arial Narrow"/>
              </w:rPr>
            </w:pPr>
            <w:r w:rsidRPr="00874B63">
              <w:rPr>
                <w:rFonts w:ascii="Arial Narrow" w:hAnsi="Arial Narrow"/>
              </w:rPr>
              <w:t xml:space="preserve">Two </w:t>
            </w:r>
            <w:r>
              <w:rPr>
                <w:rFonts w:ascii="Arial Narrow" w:hAnsi="Arial Narrow"/>
              </w:rPr>
              <w:t xml:space="preserve">small </w:t>
            </w:r>
            <w:r w:rsidRPr="00874B63">
              <w:rPr>
                <w:rFonts w:ascii="Arial Narrow" w:hAnsi="Arial Narrow"/>
              </w:rPr>
              <w:t>cohort studies compared the prognostic value of detecting myocardial scarring by LGE-CMR compared with SPECT in patients diagnosed with DCM</w:t>
            </w:r>
            <w:r w:rsidR="00813858">
              <w:rPr>
                <w:rFonts w:ascii="Arial Narrow" w:hAnsi="Arial Narrow"/>
              </w:rPr>
              <w:t>,</w:t>
            </w:r>
            <w:r>
              <w:rPr>
                <w:rFonts w:ascii="Arial Narrow" w:hAnsi="Arial Narrow"/>
              </w:rPr>
              <w:t xml:space="preserve"> and found opposite results. </w:t>
            </w:r>
          </w:p>
          <w:p w14:paraId="23C49C37" w14:textId="0CF33AB4" w:rsidR="00061768" w:rsidRDefault="00061768" w:rsidP="004C79C1">
            <w:pPr>
              <w:spacing w:after="120" w:line="240" w:lineRule="auto"/>
              <w:jc w:val="both"/>
              <w:rPr>
                <w:rFonts w:ascii="Arial Narrow" w:hAnsi="Arial Narrow"/>
              </w:rPr>
            </w:pPr>
            <w:r>
              <w:rPr>
                <w:rFonts w:ascii="Arial Narrow" w:hAnsi="Arial Narrow"/>
              </w:rPr>
              <w:t xml:space="preserve">One study </w:t>
            </w:r>
            <w:r w:rsidRPr="002926E6">
              <w:rPr>
                <w:rFonts w:ascii="Arial Narrow" w:hAnsi="Arial Narrow"/>
              </w:rPr>
              <w:t xml:space="preserve">reported that </w:t>
            </w:r>
            <w:r>
              <w:rPr>
                <w:rFonts w:ascii="Arial Narrow" w:hAnsi="Arial Narrow"/>
              </w:rPr>
              <w:t xml:space="preserve">the odds of </w:t>
            </w:r>
            <w:r w:rsidRPr="002926E6">
              <w:rPr>
                <w:rFonts w:ascii="Arial Narrow" w:hAnsi="Arial Narrow"/>
              </w:rPr>
              <w:t>hav</w:t>
            </w:r>
            <w:r>
              <w:rPr>
                <w:rFonts w:ascii="Arial Narrow" w:hAnsi="Arial Narrow"/>
              </w:rPr>
              <w:t>ing</w:t>
            </w:r>
            <w:r w:rsidRPr="002926E6">
              <w:rPr>
                <w:rFonts w:ascii="Arial Narrow" w:hAnsi="Arial Narrow"/>
              </w:rPr>
              <w:t xml:space="preserve"> an adverse cardiac event</w:t>
            </w:r>
            <w:r>
              <w:rPr>
                <w:rFonts w:ascii="Arial Narrow" w:hAnsi="Arial Narrow"/>
              </w:rPr>
              <w:t xml:space="preserve"> in patients who were LGE+ were 2.7-</w:t>
            </w:r>
            <w:r w:rsidRPr="002926E6">
              <w:rPr>
                <w:rFonts w:ascii="Arial Narrow" w:hAnsi="Arial Narrow"/>
              </w:rPr>
              <w:t xml:space="preserve">times </w:t>
            </w:r>
            <w:r>
              <w:rPr>
                <w:rFonts w:ascii="Arial Narrow" w:hAnsi="Arial Narrow"/>
              </w:rPr>
              <w:t>greater</w:t>
            </w:r>
            <w:r w:rsidRPr="002926E6">
              <w:rPr>
                <w:rFonts w:ascii="Arial Narrow" w:hAnsi="Arial Narrow"/>
              </w:rPr>
              <w:t xml:space="preserve"> than </w:t>
            </w:r>
            <w:r>
              <w:rPr>
                <w:rFonts w:ascii="Arial Narrow" w:hAnsi="Arial Narrow"/>
              </w:rPr>
              <w:t xml:space="preserve">for </w:t>
            </w:r>
            <w:r w:rsidRPr="002926E6">
              <w:rPr>
                <w:rFonts w:ascii="Arial Narrow" w:hAnsi="Arial Narrow"/>
              </w:rPr>
              <w:t xml:space="preserve">those who were LGE–, </w:t>
            </w:r>
            <w:r>
              <w:rPr>
                <w:rFonts w:ascii="Arial Narrow" w:hAnsi="Arial Narrow"/>
              </w:rPr>
              <w:t>whereas the odds for those</w:t>
            </w:r>
            <w:r w:rsidRPr="002926E6">
              <w:rPr>
                <w:rFonts w:ascii="Arial Narrow" w:hAnsi="Arial Narrow"/>
              </w:rPr>
              <w:t xml:space="preserve"> who had scarring detected by a SPECT perfusion-metabolism mismatch were 4-times </w:t>
            </w:r>
            <w:r>
              <w:rPr>
                <w:rFonts w:ascii="Arial Narrow" w:hAnsi="Arial Narrow"/>
              </w:rPr>
              <w:t xml:space="preserve">greater than for those who did not, indicating </w:t>
            </w:r>
            <w:r w:rsidR="00813858">
              <w:rPr>
                <w:rFonts w:ascii="Arial Narrow" w:hAnsi="Arial Narrow"/>
              </w:rPr>
              <w:t xml:space="preserve">that </w:t>
            </w:r>
            <w:r>
              <w:rPr>
                <w:rFonts w:ascii="Arial Narrow" w:hAnsi="Arial Narrow"/>
              </w:rPr>
              <w:t>SPECT may be more accurate than LGE-CMR.</w:t>
            </w:r>
          </w:p>
          <w:p w14:paraId="48A9BD13" w14:textId="22647AB4" w:rsidR="00061768" w:rsidRDefault="00061768" w:rsidP="004C79C1">
            <w:pPr>
              <w:spacing w:after="120" w:line="240" w:lineRule="auto"/>
              <w:jc w:val="both"/>
              <w:rPr>
                <w:rFonts w:ascii="Arial Narrow" w:hAnsi="Arial Narrow"/>
              </w:rPr>
            </w:pPr>
            <w:r w:rsidRPr="002926E6">
              <w:rPr>
                <w:rFonts w:ascii="Arial Narrow" w:hAnsi="Arial Narrow"/>
              </w:rPr>
              <w:t>Th</w:t>
            </w:r>
            <w:r>
              <w:rPr>
                <w:rFonts w:ascii="Arial Narrow" w:hAnsi="Arial Narrow"/>
              </w:rPr>
              <w:t>e second study found that</w:t>
            </w:r>
            <w:r w:rsidRPr="002926E6">
              <w:rPr>
                <w:rFonts w:ascii="Arial Narrow" w:hAnsi="Arial Narrow"/>
              </w:rPr>
              <w:t xml:space="preserve"> LGE-CMR could identify non-responders to CRT more reliably than SPECT in patients with NIDCM</w:t>
            </w:r>
            <w:r>
              <w:rPr>
                <w:rFonts w:ascii="Arial Narrow" w:hAnsi="Arial Narrow"/>
              </w:rPr>
              <w:t xml:space="preserve">, and that </w:t>
            </w:r>
            <w:r w:rsidRPr="002926E6">
              <w:rPr>
                <w:rFonts w:ascii="Arial Narrow" w:hAnsi="Arial Narrow"/>
              </w:rPr>
              <w:t xml:space="preserve">SPECT imaging in the NIDCM group often showed severe perfusion defects in the LV inferior wall, due to attenuation artefacts, which resulted in the overestimation of scar tissue. </w:t>
            </w:r>
          </w:p>
          <w:p w14:paraId="32C76C9A" w14:textId="03C40191" w:rsidR="00061768" w:rsidRPr="000410D6" w:rsidRDefault="00061768" w:rsidP="004C79C1">
            <w:pPr>
              <w:spacing w:after="120" w:line="240" w:lineRule="auto"/>
              <w:jc w:val="both"/>
              <w:rPr>
                <w:rFonts w:ascii="Arial Narrow" w:hAnsi="Arial Narrow"/>
              </w:rPr>
            </w:pPr>
            <w:r>
              <w:rPr>
                <w:rFonts w:ascii="Arial Narrow" w:hAnsi="Arial Narrow"/>
              </w:rPr>
              <w:t>Due</w:t>
            </w:r>
            <w:r w:rsidRPr="002926E6">
              <w:rPr>
                <w:rFonts w:ascii="Arial Narrow" w:hAnsi="Arial Narrow"/>
              </w:rPr>
              <w:t xml:space="preserve"> to the small study size</w:t>
            </w:r>
            <w:r>
              <w:rPr>
                <w:rFonts w:ascii="Arial Narrow" w:hAnsi="Arial Narrow"/>
              </w:rPr>
              <w:t>s</w:t>
            </w:r>
            <w:r w:rsidRPr="002926E6">
              <w:rPr>
                <w:rFonts w:ascii="Arial Narrow" w:hAnsi="Arial Narrow"/>
              </w:rPr>
              <w:t xml:space="preserve"> </w:t>
            </w:r>
            <w:r>
              <w:rPr>
                <w:rFonts w:ascii="Arial Narrow" w:hAnsi="Arial Narrow"/>
              </w:rPr>
              <w:t xml:space="preserve">and the limited comparative data available, no conclusions could be made about the prognostic value of detecting myocardial fibrosis by LGE-CMR compared with SPECT or CTCA. </w:t>
            </w:r>
          </w:p>
        </w:tc>
      </w:tr>
    </w:tbl>
    <w:p w14:paraId="77BBEC73" w14:textId="77777777" w:rsidR="00061768" w:rsidRDefault="00061768" w:rsidP="004C79C1">
      <w:pPr>
        <w:pStyle w:val="Caption"/>
      </w:pPr>
    </w:p>
    <w:p w14:paraId="7F6AF3EE" w14:textId="77777777" w:rsidR="00061768" w:rsidRDefault="00061768" w:rsidP="00161B88">
      <w:pPr>
        <w:pStyle w:val="Heading4"/>
      </w:pPr>
      <w:r>
        <w:t>The prognostic value of detecting myocardial scarring by LGE-CMR in patients with NIDCM</w:t>
      </w:r>
    </w:p>
    <w:p w14:paraId="451CF0EA" w14:textId="5D909A6F" w:rsidR="00061768" w:rsidRPr="007B6EB4" w:rsidRDefault="00061768" w:rsidP="004C79C1">
      <w:pPr>
        <w:spacing w:after="120" w:line="240" w:lineRule="auto"/>
        <w:jc w:val="both"/>
        <w:rPr>
          <w:bCs/>
        </w:rPr>
      </w:pPr>
      <w:r w:rsidRPr="007B6EB4">
        <w:rPr>
          <w:bCs/>
        </w:rPr>
        <w:t>As the SRs undertook flawed assessments of the prognostic value of LGE-CMR in NIDCM (see above), and hence provided low</w:t>
      </w:r>
      <w:r w:rsidR="00C91F30">
        <w:rPr>
          <w:bCs/>
        </w:rPr>
        <w:t>-</w:t>
      </w:r>
      <w:r w:rsidRPr="007B6EB4">
        <w:rPr>
          <w:bCs/>
        </w:rPr>
        <w:t xml:space="preserve">quality evidence (GRADE </w:t>
      </w:r>
      <w:r w:rsidRPr="00BE7769">
        <w:rPr>
          <w:rFonts w:ascii="Cambria Math" w:hAnsi="Cambria Math" w:cs="Cambria Math"/>
          <w:color w:val="00B050"/>
          <w:sz w:val="20"/>
        </w:rPr>
        <w:t>⊕⊕</w:t>
      </w:r>
      <w:r w:rsidRPr="004268BA">
        <w:rPr>
          <w:rFonts w:ascii="Cambria Math" w:hAnsi="Cambria Math" w:cs="Cambria Math"/>
          <w:color w:val="FF0000"/>
          <w:sz w:val="20"/>
        </w:rPr>
        <w:t>⨀⨀</w:t>
      </w:r>
      <w:r w:rsidRPr="004268BA">
        <w:rPr>
          <w:bCs/>
        </w:rPr>
        <w:t xml:space="preserve">; </w:t>
      </w:r>
      <w:r w:rsidR="004F1D48">
        <w:rPr>
          <w:bCs/>
        </w:rPr>
        <w:fldChar w:fldCharType="begin"/>
      </w:r>
      <w:r w:rsidR="004F1D48">
        <w:rPr>
          <w:bCs/>
        </w:rPr>
        <w:instrText xml:space="preserve"> REF _Ref451329172 \h </w:instrText>
      </w:r>
      <w:r w:rsidR="004F1D48">
        <w:rPr>
          <w:bCs/>
        </w:rPr>
      </w:r>
      <w:r w:rsidR="004F1D48">
        <w:rPr>
          <w:bCs/>
        </w:rPr>
        <w:fldChar w:fldCharType="separate"/>
      </w:r>
      <w:r w:rsidR="004F1D48">
        <w:t xml:space="preserve">Table </w:t>
      </w:r>
      <w:r w:rsidR="004F1D48">
        <w:rPr>
          <w:noProof/>
        </w:rPr>
        <w:t>87</w:t>
      </w:r>
      <w:r w:rsidR="004F1D48">
        <w:rPr>
          <w:bCs/>
        </w:rPr>
        <w:fldChar w:fldCharType="end"/>
      </w:r>
      <w:r w:rsidRPr="007B6EB4">
        <w:rPr>
          <w:bCs/>
        </w:rPr>
        <w:t xml:space="preserve"> in </w:t>
      </w:r>
      <w:r w:rsidR="00B97D3B">
        <w:rPr>
          <w:bCs/>
        </w:rPr>
        <w:t>Appendix D</w:t>
      </w:r>
      <w:r w:rsidRPr="007B6EB4">
        <w:rPr>
          <w:rFonts w:ascii="Cambria Math" w:hAnsi="Cambria Math" w:cs="Cambria Math"/>
        </w:rPr>
        <w:t xml:space="preserve">), </w:t>
      </w:r>
      <w:r w:rsidRPr="00BE7769">
        <w:rPr>
          <w:bCs/>
        </w:rPr>
        <w:t xml:space="preserve">relevant data </w:t>
      </w:r>
      <w:r w:rsidRPr="00BE7769">
        <w:rPr>
          <w:bCs/>
        </w:rPr>
        <w:lastRenderedPageBreak/>
        <w:t xml:space="preserve">were extracted from the individual cohort </w:t>
      </w:r>
      <w:r w:rsidR="00C91F30">
        <w:rPr>
          <w:bCs/>
        </w:rPr>
        <w:t xml:space="preserve">studies </w:t>
      </w:r>
      <w:r w:rsidRPr="007B6EB4">
        <w:rPr>
          <w:bCs/>
        </w:rPr>
        <w:t xml:space="preserve">and a meta-analysis of the data was performed using the </w:t>
      </w:r>
      <w:r w:rsidR="00FA0F61">
        <w:rPr>
          <w:bCs/>
        </w:rPr>
        <w:t>‘</w:t>
      </w:r>
      <w:r w:rsidRPr="007B6EB4">
        <w:rPr>
          <w:bCs/>
        </w:rPr>
        <w:t>metan</w:t>
      </w:r>
      <w:r w:rsidR="00FA0F61">
        <w:rPr>
          <w:bCs/>
        </w:rPr>
        <w:t>’</w:t>
      </w:r>
      <w:r w:rsidRPr="007B6EB4">
        <w:rPr>
          <w:bCs/>
        </w:rPr>
        <w:t xml:space="preserve"> command in </w:t>
      </w:r>
      <w:r w:rsidR="00FA0F61">
        <w:rPr>
          <w:bCs/>
        </w:rPr>
        <w:t>S</w:t>
      </w:r>
      <w:r w:rsidR="00FA0F61" w:rsidRPr="007B6EB4">
        <w:rPr>
          <w:bCs/>
        </w:rPr>
        <w:t xml:space="preserve">tata </w:t>
      </w:r>
      <w:r w:rsidRPr="007B6EB4">
        <w:rPr>
          <w:bCs/>
        </w:rPr>
        <w:t xml:space="preserve">14 </w:t>
      </w:r>
      <w:r w:rsidR="00187A29" w:rsidRPr="007B6EB4">
        <w:rPr>
          <w:bCs/>
        </w:rPr>
        <w:fldChar w:fldCharType="begin"/>
      </w:r>
      <w:r w:rsidR="00187A29" w:rsidRPr="007B6EB4">
        <w:rPr>
          <w:bCs/>
        </w:rPr>
        <w:instrText xml:space="preserve"> ADDIN EN.CITE &lt;EndNote&gt;&lt;Cite&gt;&lt;Author&gt;StataCorp&lt;/Author&gt;&lt;Year&gt;2014&lt;/Year&gt;&lt;RecNum&gt;79&lt;/RecNum&gt;&lt;DisplayText&gt;(StataCorp 2014)&lt;/DisplayText&gt;&lt;record&gt;&lt;rec-number&gt;79&lt;/rec-number&gt;&lt;foreign-keys&gt;&lt;key app="EN" db-id="pfxxvref0t0a5de2vwnv2fwkz0p9v0r2fw0t" timestamp="1458110424"&gt;79&lt;/key&gt;&lt;/foreign-keys&gt;&lt;ref-type name="Report"&gt;27&lt;/ref-type&gt;&lt;contributors&gt;&lt;authors&gt;&lt;author&gt;StataCorp&lt;/author&gt;&lt;/authors&gt;&lt;/contributors&gt;&lt;titles&gt;&lt;title&gt;Stata: Release 14. Statistical Software&lt;/title&gt;&lt;/titles&gt;&lt;dates&gt;&lt;year&gt;2014&lt;/year&gt;&lt;/dates&gt;&lt;pub-location&gt;College Station, Texas&lt;/pub-location&gt;&lt;publisher&gt; Stata Corporation LP&lt;/publisher&gt;&lt;work-type&gt;[computer program]&lt;/work-type&gt;&lt;urls&gt;&lt;/urls&gt;&lt;/record&gt;&lt;/Cite&gt;&lt;/EndNote&gt;</w:instrText>
      </w:r>
      <w:r w:rsidR="00187A29" w:rsidRPr="007B6EB4">
        <w:rPr>
          <w:bCs/>
        </w:rPr>
        <w:fldChar w:fldCharType="separate"/>
      </w:r>
      <w:r w:rsidR="00187A29" w:rsidRPr="007B6EB4">
        <w:rPr>
          <w:bCs/>
          <w:noProof/>
        </w:rPr>
        <w:t>(</w:t>
      </w:r>
      <w:hyperlink w:anchor="_ENREF_121" w:tooltip="StataCorp, 2014 #79" w:history="1">
        <w:r w:rsidR="00B906E9" w:rsidRPr="00BE7769">
          <w:rPr>
            <w:bCs/>
            <w:noProof/>
          </w:rPr>
          <w:t>StataCorp 2014</w:t>
        </w:r>
      </w:hyperlink>
      <w:r w:rsidR="00187A29" w:rsidRPr="007B6EB4">
        <w:rPr>
          <w:bCs/>
          <w:noProof/>
        </w:rPr>
        <w:t>)</w:t>
      </w:r>
      <w:r w:rsidR="00187A29" w:rsidRPr="007B6EB4">
        <w:rPr>
          <w:bCs/>
        </w:rPr>
        <w:fldChar w:fldCharType="end"/>
      </w:r>
      <w:r w:rsidRPr="007B6EB4">
        <w:rPr>
          <w:bCs/>
        </w:rPr>
        <w:t>.</w:t>
      </w:r>
    </w:p>
    <w:p w14:paraId="025319CD" w14:textId="6D440581" w:rsidR="00061768" w:rsidRPr="007B6EB4" w:rsidRDefault="00061768" w:rsidP="004C79C1">
      <w:pPr>
        <w:spacing w:after="120" w:line="240" w:lineRule="auto"/>
        <w:jc w:val="both"/>
        <w:rPr>
          <w:bCs/>
        </w:rPr>
      </w:pPr>
      <w:r w:rsidRPr="00BE7769">
        <w:rPr>
          <w:bCs/>
        </w:rPr>
        <w:t>Twenty</w:t>
      </w:r>
      <w:r w:rsidR="00C91F30">
        <w:rPr>
          <w:bCs/>
        </w:rPr>
        <w:t>-</w:t>
      </w:r>
      <w:r w:rsidRPr="00BE7769">
        <w:rPr>
          <w:bCs/>
        </w:rPr>
        <w:t xml:space="preserve">one cohort studies reported hazard ratios (HRs) </w:t>
      </w:r>
      <w:r w:rsidRPr="004268BA">
        <w:rPr>
          <w:bCs/>
        </w:rPr>
        <w:t xml:space="preserve">from univariate Cox regression analysis. </w:t>
      </w:r>
      <w:proofErr w:type="gramStart"/>
      <w:r w:rsidRPr="004268BA">
        <w:rPr>
          <w:bCs/>
        </w:rPr>
        <w:t>These</w:t>
      </w:r>
      <w:proofErr w:type="gramEnd"/>
      <w:r w:rsidRPr="004268BA">
        <w:rPr>
          <w:bCs/>
        </w:rPr>
        <w:t xml:space="preserve"> HRs indicated that patients with detectable LGE were more likely to have adverse health outcomes than those with no detectable LGE (</w:t>
      </w:r>
      <w:r w:rsidRPr="007B6EB4">
        <w:rPr>
          <w:bCs/>
        </w:rPr>
        <w:fldChar w:fldCharType="begin"/>
      </w:r>
      <w:r w:rsidRPr="007B6EB4">
        <w:rPr>
          <w:bCs/>
        </w:rPr>
        <w:instrText xml:space="preserve"> REF _Ref445908984 \h </w:instrText>
      </w:r>
      <w:r w:rsidR="007B6EB4">
        <w:rPr>
          <w:bCs/>
        </w:rPr>
        <w:instrText xml:space="preserve"> \* MERGEFORMAT </w:instrText>
      </w:r>
      <w:r w:rsidRPr="007B6EB4">
        <w:rPr>
          <w:bCs/>
        </w:rPr>
      </w:r>
      <w:r w:rsidRPr="007B6EB4">
        <w:rPr>
          <w:bCs/>
        </w:rPr>
        <w:fldChar w:fldCharType="separate"/>
      </w:r>
      <w:r w:rsidR="00B840E2">
        <w:t xml:space="preserve">Figure </w:t>
      </w:r>
      <w:r w:rsidR="00B840E2">
        <w:rPr>
          <w:noProof/>
        </w:rPr>
        <w:t>38</w:t>
      </w:r>
      <w:r w:rsidRPr="007B6EB4">
        <w:rPr>
          <w:bCs/>
        </w:rPr>
        <w:fldChar w:fldCharType="end"/>
      </w:r>
      <w:r w:rsidRPr="007B6EB4">
        <w:rPr>
          <w:bCs/>
        </w:rPr>
        <w:t xml:space="preserve"> in </w:t>
      </w:r>
      <w:r w:rsidRPr="00B97D3B">
        <w:rPr>
          <w:bCs/>
        </w:rPr>
        <w:t xml:space="preserve">Appendix </w:t>
      </w:r>
      <w:r w:rsidR="00177F19">
        <w:rPr>
          <w:bCs/>
        </w:rPr>
        <w:t>G</w:t>
      </w:r>
      <w:r w:rsidRPr="007B6EB4">
        <w:rPr>
          <w:bCs/>
        </w:rPr>
        <w:t xml:space="preserve">). </w:t>
      </w:r>
    </w:p>
    <w:p w14:paraId="49118A50" w14:textId="4B9EB927" w:rsidR="00061768" w:rsidRPr="007B6EB4" w:rsidRDefault="00061768" w:rsidP="004C79C1">
      <w:pPr>
        <w:spacing w:after="120" w:line="240" w:lineRule="auto"/>
        <w:jc w:val="both"/>
        <w:rPr>
          <w:bCs/>
        </w:rPr>
      </w:pPr>
      <w:r w:rsidRPr="00BE7769">
        <w:rPr>
          <w:bCs/>
        </w:rPr>
        <w:t>Twenty</w:t>
      </w:r>
      <w:r w:rsidR="00B255AE">
        <w:rPr>
          <w:bCs/>
        </w:rPr>
        <w:t>-</w:t>
      </w:r>
      <w:r w:rsidRPr="00BE7769">
        <w:rPr>
          <w:bCs/>
        </w:rPr>
        <w:t xml:space="preserve">six cohort studies provided data that could be used in meta-analyses to determine the likelihood of experiencing adverse health outcomes in patients who are LGE+ compared </w:t>
      </w:r>
      <w:r w:rsidR="00B255AE">
        <w:rPr>
          <w:bCs/>
        </w:rPr>
        <w:t>with</w:t>
      </w:r>
      <w:r w:rsidR="00B255AE" w:rsidRPr="00BE7769">
        <w:rPr>
          <w:bCs/>
        </w:rPr>
        <w:t xml:space="preserve"> </w:t>
      </w:r>
      <w:r w:rsidRPr="00BE7769">
        <w:rPr>
          <w:bCs/>
        </w:rPr>
        <w:t>LGE</w:t>
      </w:r>
      <w:r w:rsidRPr="004268BA">
        <w:rPr>
          <w:bCs/>
        </w:rPr>
        <w:t>–.</w:t>
      </w:r>
      <w:r w:rsidR="00B255AE">
        <w:rPr>
          <w:bCs/>
        </w:rPr>
        <w:t xml:space="preserve"> </w:t>
      </w:r>
      <w:r w:rsidRPr="004268BA">
        <w:rPr>
          <w:bCs/>
        </w:rPr>
        <w:t>The pooled results of the meta-ana</w:t>
      </w:r>
      <w:r w:rsidRPr="00116D11">
        <w:rPr>
          <w:bCs/>
        </w:rPr>
        <w:t xml:space="preserve">lyses are shown in </w:t>
      </w:r>
      <w:r w:rsidRPr="007B6EB4">
        <w:rPr>
          <w:bCs/>
        </w:rPr>
        <w:fldChar w:fldCharType="begin"/>
      </w:r>
      <w:r w:rsidRPr="007B6EB4">
        <w:rPr>
          <w:bCs/>
        </w:rPr>
        <w:instrText xml:space="preserve"> REF _Ref445909007 \h </w:instrText>
      </w:r>
      <w:r w:rsidR="007B6EB4">
        <w:rPr>
          <w:bCs/>
        </w:rPr>
        <w:instrText xml:space="preserve"> \* MERGEFORMAT </w:instrText>
      </w:r>
      <w:r w:rsidRPr="007B6EB4">
        <w:rPr>
          <w:bCs/>
        </w:rPr>
      </w:r>
      <w:r w:rsidRPr="007B6EB4">
        <w:rPr>
          <w:bCs/>
        </w:rPr>
        <w:fldChar w:fldCharType="separate"/>
      </w:r>
      <w:r w:rsidR="00B840E2" w:rsidRPr="00313D73">
        <w:t xml:space="preserve">Figure </w:t>
      </w:r>
      <w:r w:rsidR="00B840E2">
        <w:rPr>
          <w:noProof/>
        </w:rPr>
        <w:t>18</w:t>
      </w:r>
      <w:r w:rsidRPr="007B6EB4">
        <w:rPr>
          <w:bCs/>
        </w:rPr>
        <w:fldChar w:fldCharType="end"/>
      </w:r>
      <w:r w:rsidRPr="007B6EB4">
        <w:rPr>
          <w:bCs/>
        </w:rPr>
        <w:t>. The pooled RRs clearly show that LGE+ patients are more likely to experience adverse outcomes than those who are LGE</w:t>
      </w:r>
      <w:r w:rsidRPr="00BE7769">
        <w:rPr>
          <w:rFonts w:ascii="Arial Narrow" w:hAnsi="Arial Narrow"/>
          <w:bCs/>
        </w:rPr>
        <w:t>–</w:t>
      </w:r>
      <w:r w:rsidRPr="004268BA">
        <w:rPr>
          <w:bCs/>
        </w:rPr>
        <w:t xml:space="preserve">. The forest plots showing the individual RRs for each health outcome are presented in </w:t>
      </w:r>
      <w:r w:rsidRPr="00B97D3B">
        <w:rPr>
          <w:bCs/>
        </w:rPr>
        <w:t xml:space="preserve">Appendix </w:t>
      </w:r>
      <w:r w:rsidR="00177F19">
        <w:rPr>
          <w:bCs/>
        </w:rPr>
        <w:t>G</w:t>
      </w:r>
      <w:r w:rsidRPr="007B6EB4">
        <w:rPr>
          <w:bCs/>
        </w:rPr>
        <w:t xml:space="preserve">. The quality of the evidence for each outcome is reported in </w:t>
      </w:r>
      <w:r w:rsidR="004F1D48">
        <w:rPr>
          <w:bCs/>
        </w:rPr>
        <w:fldChar w:fldCharType="begin"/>
      </w:r>
      <w:r w:rsidR="004F1D48">
        <w:rPr>
          <w:bCs/>
        </w:rPr>
        <w:instrText xml:space="preserve"> REF _Ref451329208 \h </w:instrText>
      </w:r>
      <w:r w:rsidR="004F1D48">
        <w:rPr>
          <w:bCs/>
        </w:rPr>
      </w:r>
      <w:r w:rsidR="004F1D48">
        <w:rPr>
          <w:bCs/>
        </w:rPr>
        <w:fldChar w:fldCharType="separate"/>
      </w:r>
      <w:r w:rsidR="004F1D48">
        <w:t xml:space="preserve">Table </w:t>
      </w:r>
      <w:r w:rsidR="004F1D48">
        <w:rPr>
          <w:noProof/>
        </w:rPr>
        <w:t>88</w:t>
      </w:r>
      <w:r w:rsidR="004F1D48">
        <w:rPr>
          <w:bCs/>
        </w:rPr>
        <w:fldChar w:fldCharType="end"/>
      </w:r>
      <w:r w:rsidR="004F1D48">
        <w:rPr>
          <w:bCs/>
        </w:rPr>
        <w:t xml:space="preserve"> </w:t>
      </w:r>
      <w:r w:rsidRPr="007B6EB4">
        <w:rPr>
          <w:bCs/>
        </w:rPr>
        <w:t>(</w:t>
      </w:r>
      <w:r w:rsidR="00177F19">
        <w:rPr>
          <w:bCs/>
        </w:rPr>
        <w:t>Appendix D</w:t>
      </w:r>
      <w:r w:rsidRPr="007B6EB4">
        <w:rPr>
          <w:bCs/>
        </w:rPr>
        <w:t xml:space="preserve">) and summarised in </w:t>
      </w:r>
      <w:r w:rsidRPr="007B6EB4">
        <w:rPr>
          <w:bCs/>
        </w:rPr>
        <w:fldChar w:fldCharType="begin"/>
      </w:r>
      <w:r w:rsidRPr="007B6EB4">
        <w:rPr>
          <w:bCs/>
        </w:rPr>
        <w:instrText xml:space="preserve"> REF _Ref445909007 \h </w:instrText>
      </w:r>
      <w:r w:rsidR="007B6EB4">
        <w:rPr>
          <w:bCs/>
        </w:rPr>
        <w:instrText xml:space="preserve"> \* MERGEFORMAT </w:instrText>
      </w:r>
      <w:r w:rsidRPr="007B6EB4">
        <w:rPr>
          <w:bCs/>
        </w:rPr>
      </w:r>
      <w:r w:rsidRPr="007B6EB4">
        <w:rPr>
          <w:bCs/>
        </w:rPr>
        <w:fldChar w:fldCharType="separate"/>
      </w:r>
      <w:r w:rsidR="00B85CFA" w:rsidRPr="00313D73">
        <w:t xml:space="preserve">Figure </w:t>
      </w:r>
      <w:r w:rsidR="00B85CFA">
        <w:rPr>
          <w:noProof/>
        </w:rPr>
        <w:t>18</w:t>
      </w:r>
      <w:r w:rsidRPr="007B6EB4">
        <w:rPr>
          <w:bCs/>
        </w:rPr>
        <w:fldChar w:fldCharType="end"/>
      </w:r>
      <w:r w:rsidRPr="007B6EB4">
        <w:rPr>
          <w:bCs/>
        </w:rPr>
        <w:t>.</w:t>
      </w:r>
    </w:p>
    <w:p w14:paraId="40F40BC9" w14:textId="65DE5CF1" w:rsidR="00061768" w:rsidRPr="00BE7769" w:rsidRDefault="00061768" w:rsidP="004C79C1">
      <w:pPr>
        <w:spacing w:after="120" w:line="240" w:lineRule="auto"/>
        <w:jc w:val="both"/>
        <w:rPr>
          <w:bCs/>
        </w:rPr>
      </w:pPr>
      <w:r w:rsidRPr="00BE7769">
        <w:rPr>
          <w:bCs/>
        </w:rPr>
        <w:t xml:space="preserve">When the studies with a high risk of bias and the retrospective studies that </w:t>
      </w:r>
      <w:r w:rsidRPr="004268BA">
        <w:rPr>
          <w:bCs/>
        </w:rPr>
        <w:t xml:space="preserve">provided a lower level of evidence were excluded from the meta-analyses, the pooled RR was either little affected or had a larger point estimate with wider 95%CIs. </w:t>
      </w:r>
      <w:r w:rsidRPr="007B6EB4">
        <w:rPr>
          <w:bCs/>
        </w:rPr>
        <w:fldChar w:fldCharType="begin"/>
      </w:r>
      <w:r w:rsidRPr="007B6EB4">
        <w:rPr>
          <w:bCs/>
        </w:rPr>
        <w:instrText xml:space="preserve"> REF _Ref445909007 \h </w:instrText>
      </w:r>
      <w:r w:rsidR="007B6EB4">
        <w:rPr>
          <w:bCs/>
        </w:rPr>
        <w:instrText xml:space="preserve"> \* MERGEFORMAT </w:instrText>
      </w:r>
      <w:r w:rsidRPr="007B6EB4">
        <w:rPr>
          <w:bCs/>
        </w:rPr>
      </w:r>
      <w:r w:rsidRPr="007B6EB4">
        <w:rPr>
          <w:bCs/>
        </w:rPr>
        <w:fldChar w:fldCharType="separate"/>
      </w:r>
      <w:r w:rsidR="00B840E2" w:rsidRPr="00313D73">
        <w:t xml:space="preserve">Figure </w:t>
      </w:r>
      <w:r w:rsidR="00B840E2">
        <w:rPr>
          <w:noProof/>
        </w:rPr>
        <w:t>18</w:t>
      </w:r>
      <w:r w:rsidRPr="007B6EB4">
        <w:rPr>
          <w:bCs/>
        </w:rPr>
        <w:fldChar w:fldCharType="end"/>
      </w:r>
      <w:r w:rsidRPr="007B6EB4">
        <w:rPr>
          <w:bCs/>
        </w:rPr>
        <w:t xml:space="preserve"> lists the number of studies providing the best</w:t>
      </w:r>
      <w:r w:rsidR="005F3599">
        <w:rPr>
          <w:bCs/>
        </w:rPr>
        <w:t>-</w:t>
      </w:r>
      <w:r w:rsidRPr="007B6EB4">
        <w:rPr>
          <w:bCs/>
        </w:rPr>
        <w:t>quality evidence for each outcome and the resultant RR. There was substantial heterogeneity between studies for hospitalisation for HF and any cardiac event, and moderate heterogeneity for all-cause mortality, cardiac deaths, cardiac death or transplantation</w:t>
      </w:r>
      <w:r w:rsidR="005525AD">
        <w:rPr>
          <w:bCs/>
        </w:rPr>
        <w:t>,</w:t>
      </w:r>
      <w:r w:rsidRPr="007B6EB4">
        <w:rPr>
          <w:bCs/>
        </w:rPr>
        <w:t xml:space="preserve"> and ap</w:t>
      </w:r>
      <w:r w:rsidRPr="00BE7769">
        <w:rPr>
          <w:bCs/>
        </w:rPr>
        <w:t xml:space="preserve">propriate ICD discharge. The heterogeneity does not resolve by removing the studies that either had a high risk of bias or were </w:t>
      </w:r>
      <w:r w:rsidR="00391611">
        <w:rPr>
          <w:bCs/>
        </w:rPr>
        <w:t xml:space="preserve">of </w:t>
      </w:r>
      <w:r w:rsidRPr="00BE7769">
        <w:rPr>
          <w:bCs/>
        </w:rPr>
        <w:t xml:space="preserve">a lower level of evidence </w:t>
      </w:r>
      <w:r w:rsidR="00391611">
        <w:rPr>
          <w:bCs/>
        </w:rPr>
        <w:t>than</w:t>
      </w:r>
      <w:r w:rsidR="00391611" w:rsidRPr="00BE7769">
        <w:rPr>
          <w:bCs/>
        </w:rPr>
        <w:t xml:space="preserve"> </w:t>
      </w:r>
      <w:r w:rsidRPr="00BE7769">
        <w:rPr>
          <w:bCs/>
        </w:rPr>
        <w:t xml:space="preserve">the meta-analysis. </w:t>
      </w:r>
    </w:p>
    <w:p w14:paraId="6D74FE00" w14:textId="1DD9F1D6" w:rsidR="00061768" w:rsidRPr="00116D11" w:rsidRDefault="00061768" w:rsidP="004C79C1">
      <w:pPr>
        <w:spacing w:after="120" w:line="240" w:lineRule="auto"/>
        <w:jc w:val="both"/>
        <w:rPr>
          <w:bCs/>
        </w:rPr>
      </w:pPr>
      <w:r w:rsidRPr="004268BA">
        <w:rPr>
          <w:bCs/>
        </w:rPr>
        <w:t xml:space="preserve">It is possible that there is publication bias associated with all outcomes except </w:t>
      </w:r>
      <w:r w:rsidR="0073114C">
        <w:rPr>
          <w:bCs/>
        </w:rPr>
        <w:t>sudden cardiac death (</w:t>
      </w:r>
      <w:r w:rsidRPr="004268BA">
        <w:rPr>
          <w:bCs/>
        </w:rPr>
        <w:t>SCD</w:t>
      </w:r>
      <w:r w:rsidR="0073114C">
        <w:rPr>
          <w:bCs/>
        </w:rPr>
        <w:t>)</w:t>
      </w:r>
      <w:r w:rsidRPr="004268BA">
        <w:rPr>
          <w:bCs/>
        </w:rPr>
        <w:t xml:space="preserve"> and major arrhythmic events, as there seems to be an absence of studies in the lower left area of the funnel plots (</w:t>
      </w:r>
      <w:r w:rsidRPr="00B97D3B">
        <w:rPr>
          <w:bCs/>
        </w:rPr>
        <w:t xml:space="preserve">Appendix </w:t>
      </w:r>
      <w:r w:rsidR="00316248">
        <w:rPr>
          <w:bCs/>
        </w:rPr>
        <w:t>G</w:t>
      </w:r>
      <w:r w:rsidRPr="007B6EB4">
        <w:rPr>
          <w:bCs/>
        </w:rPr>
        <w:t xml:space="preserve">). However, the Egger's test </w:t>
      </w:r>
      <w:r w:rsidRPr="00BE7769">
        <w:rPr>
          <w:bCs/>
        </w:rPr>
        <w:t>did not find any small-study effects (p&gt;0.05</w:t>
      </w:r>
      <w:r w:rsidRPr="004268BA">
        <w:rPr>
          <w:bCs/>
        </w:rPr>
        <w:t xml:space="preserve"> for all outcomes), suggesting that there was no</w:t>
      </w:r>
      <w:r w:rsidRPr="00116D11">
        <w:rPr>
          <w:bCs/>
        </w:rPr>
        <w:t xml:space="preserve"> bias due to the size of the studies.</w:t>
      </w:r>
    </w:p>
    <w:p w14:paraId="3C4139FD" w14:textId="77777777" w:rsidR="00061768" w:rsidRDefault="00061768" w:rsidP="004C79C1">
      <w:pPr>
        <w:spacing w:after="120" w:line="240" w:lineRule="auto"/>
        <w:jc w:val="both"/>
        <w:rPr>
          <w:bCs/>
        </w:rPr>
      </w:pPr>
      <w:r w:rsidRPr="007B6EB4">
        <w:rPr>
          <w:bCs/>
        </w:rPr>
        <w:t>Overall, these data suggest that LGE is a strong prognostic marker for the prediction of future adverse health outcomes, with LGE+ patients being up to 4-times more likely to have a cardiac event and 3-times more likely to die from a cardiac event than those who are LGE</w:t>
      </w:r>
      <w:r w:rsidRPr="007B6EB4">
        <w:rPr>
          <w:rFonts w:ascii="Arial Narrow" w:hAnsi="Arial Narrow"/>
          <w:bCs/>
        </w:rPr>
        <w:t>–</w:t>
      </w:r>
      <w:r w:rsidRPr="007B6EB4">
        <w:rPr>
          <w:bCs/>
        </w:rPr>
        <w:t>.</w:t>
      </w:r>
    </w:p>
    <w:p w14:paraId="2D5A7FA5" w14:textId="77777777" w:rsidR="00061768" w:rsidRDefault="00061768" w:rsidP="004C79C1">
      <w:pPr>
        <w:spacing w:after="120" w:line="240" w:lineRule="auto"/>
        <w:jc w:val="both"/>
        <w:rPr>
          <w:bCs/>
        </w:rPr>
      </w:pPr>
    </w:p>
    <w:p w14:paraId="03DFA387" w14:textId="77777777" w:rsidR="00061768" w:rsidRDefault="00061768" w:rsidP="004C79C1">
      <w:pPr>
        <w:spacing w:after="120" w:line="240" w:lineRule="auto"/>
        <w:jc w:val="both"/>
        <w:rPr>
          <w:bCs/>
        </w:rPr>
      </w:pPr>
    </w:p>
    <w:p w14:paraId="35912991" w14:textId="77777777" w:rsidR="00061768" w:rsidRDefault="00061768" w:rsidP="004C79C1">
      <w:pPr>
        <w:spacing w:after="120" w:line="240" w:lineRule="auto"/>
        <w:jc w:val="both"/>
        <w:rPr>
          <w:bCs/>
        </w:rPr>
        <w:sectPr w:rsidR="00061768" w:rsidSect="00061768">
          <w:pgSz w:w="11906" w:h="16838"/>
          <w:pgMar w:top="1440" w:right="1440" w:bottom="1440" w:left="1440" w:header="720" w:footer="720" w:gutter="0"/>
          <w:paperSrc w:first="2" w:other="2"/>
          <w:cols w:space="720"/>
        </w:sectPr>
      </w:pPr>
    </w:p>
    <w:p w14:paraId="1CF46A02" w14:textId="77777777" w:rsidR="00061768" w:rsidRDefault="00061768" w:rsidP="004C79C1">
      <w:pPr>
        <w:keepNext/>
        <w:spacing w:after="120" w:line="240" w:lineRule="auto"/>
        <w:jc w:val="both"/>
        <w:rPr>
          <w:bCs/>
        </w:rPr>
      </w:pPr>
      <w:r>
        <w:rPr>
          <w:bCs/>
          <w:noProof/>
        </w:rPr>
        <w:lastRenderedPageBreak/>
        <w:drawing>
          <wp:inline distT="0" distB="0" distL="0" distR="0" wp14:anchorId="7FCD60D2" wp14:editId="7251344B">
            <wp:extent cx="8832280" cy="4769510"/>
            <wp:effectExtent l="0" t="0" r="6985" b="0"/>
            <wp:docPr id="34" name="Picture 34" descr="Forest plot showing the pooled RR of having an adverse health outcome in patients who were LGE+ compared with those who were 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8914805" cy="4814074"/>
                    </a:xfrm>
                    <a:prstGeom prst="rect">
                      <a:avLst/>
                    </a:prstGeom>
                    <a:noFill/>
                    <a:ln>
                      <a:noFill/>
                    </a:ln>
                    <a:extLst>
                      <a:ext uri="{53640926-AAD7-44D8-BBD7-CCE9431645EC}">
                        <a14:shadowObscured xmlns:a14="http://schemas.microsoft.com/office/drawing/2010/main"/>
                      </a:ext>
                    </a:extLst>
                  </pic:spPr>
                </pic:pic>
              </a:graphicData>
            </a:graphic>
          </wp:inline>
        </w:drawing>
      </w:r>
    </w:p>
    <w:p w14:paraId="67938965" w14:textId="694F315B" w:rsidR="00061768" w:rsidRPr="00313D73" w:rsidRDefault="00061768" w:rsidP="004C79C1">
      <w:pPr>
        <w:pStyle w:val="Caption"/>
      </w:pPr>
      <w:bookmarkStart w:id="343" w:name="_Ref445909007"/>
      <w:bookmarkStart w:id="344" w:name="_Toc324410153"/>
      <w:bookmarkStart w:id="345" w:name="_Toc451435464"/>
      <w:r w:rsidRPr="00313D73">
        <w:t xml:space="preserve">Figure </w:t>
      </w:r>
      <w:fldSimple w:instr=" SEQ Figure \* ARABIC ">
        <w:r w:rsidR="00050936">
          <w:rPr>
            <w:noProof/>
          </w:rPr>
          <w:t>18</w:t>
        </w:r>
      </w:fldSimple>
      <w:bookmarkEnd w:id="343"/>
      <w:r w:rsidRPr="00313D73">
        <w:tab/>
        <w:t>Forest plot showing the pooled RR of having an adverse health outcome in patients who were LGE+ compared with those who were LGE–</w:t>
      </w:r>
      <w:bookmarkEnd w:id="344"/>
      <w:bookmarkEnd w:id="345"/>
    </w:p>
    <w:p w14:paraId="12F9E135" w14:textId="0B64732B" w:rsidR="00061768" w:rsidRDefault="00061768" w:rsidP="004C79C1">
      <w:pPr>
        <w:pStyle w:val="Tablenotes0"/>
        <w:spacing w:before="0" w:after="120"/>
      </w:pPr>
      <w:bookmarkStart w:id="346" w:name="_Toc324410154"/>
      <w:r w:rsidRPr="00B907DE">
        <w:t>CI = confidence interval; HF = heart failure; I</w:t>
      </w:r>
      <w:r w:rsidRPr="00B907DE">
        <w:rPr>
          <w:vertAlign w:val="superscript"/>
        </w:rPr>
        <w:t>2</w:t>
      </w:r>
      <w:r w:rsidRPr="00B907DE">
        <w:t xml:space="preserve"> = index to measure heterogeneity between studies; ICD = implantable </w:t>
      </w:r>
      <w:r w:rsidR="0026063B" w:rsidRPr="008229D1">
        <w:t>cardioverter defibrillator</w:t>
      </w:r>
      <w:r w:rsidRPr="00B907DE">
        <w:t xml:space="preserve">; K = number of studies included in </w:t>
      </w:r>
      <w:r w:rsidR="00E8792D" w:rsidRPr="008229D1">
        <w:t>e</w:t>
      </w:r>
      <w:r w:rsidRPr="00B907DE">
        <w:t xml:space="preserve">ach meta-analysis; LGE = late gadolinium enhancement; </w:t>
      </w:r>
      <w:r w:rsidR="005B242C" w:rsidRPr="008229D1">
        <w:t xml:space="preserve">QoE = quality of evidence; </w:t>
      </w:r>
      <w:r w:rsidR="00EC1E78" w:rsidRPr="008229D1">
        <w:t xml:space="preserve">RR = relative risk; </w:t>
      </w:r>
      <w:r w:rsidRPr="00B907DE">
        <w:t>SCD = sudden cardiac</w:t>
      </w:r>
      <w:r w:rsidRPr="008209B7">
        <w:t xml:space="preserve"> death; VA = ventricular arrhythmia; VT = ventricular tachycardia</w:t>
      </w:r>
      <w:bookmarkEnd w:id="346"/>
    </w:p>
    <w:p w14:paraId="17417A16" w14:textId="77777777" w:rsidR="00061768" w:rsidRPr="004720B9" w:rsidRDefault="00061768" w:rsidP="004C79C1">
      <w:pPr>
        <w:spacing w:after="120" w:line="240" w:lineRule="auto"/>
        <w:sectPr w:rsidR="00061768" w:rsidRPr="004720B9" w:rsidSect="00A474A9">
          <w:pgSz w:w="16838" w:h="11906" w:orient="landscape"/>
          <w:pgMar w:top="1440" w:right="1440" w:bottom="1440" w:left="1440" w:header="720" w:footer="720" w:gutter="0"/>
          <w:paperSrc w:first="2" w:other="2"/>
          <w:cols w:space="720"/>
          <w:docGrid w:linePitch="299"/>
        </w:sectPr>
      </w:pPr>
    </w:p>
    <w:p w14:paraId="45F54A93" w14:textId="77777777" w:rsidR="00061768" w:rsidRPr="00950111" w:rsidRDefault="00061768" w:rsidP="00161B88">
      <w:pPr>
        <w:pStyle w:val="Heading4"/>
      </w:pPr>
      <w:r w:rsidRPr="00950111">
        <w:lastRenderedPageBreak/>
        <w:t>The prognostic value of detecting inflammation in children with DCM by CMR</w:t>
      </w:r>
    </w:p>
    <w:p w14:paraId="6E3AC629" w14:textId="3C499A61" w:rsidR="00061768" w:rsidRDefault="00061768" w:rsidP="004C79C1">
      <w:pPr>
        <w:spacing w:after="120" w:line="240" w:lineRule="auto"/>
        <w:jc w:val="both"/>
      </w:pPr>
      <w:r w:rsidRPr="007B6EB4">
        <w:t xml:space="preserve">One prospective cohort study with a moderate risk of bias investigated the role of CMR to assess myocardial inflammation in predicting the health outcomes of children recently diagnosed </w:t>
      </w:r>
      <w:r w:rsidR="0033141C">
        <w:t xml:space="preserve">with </w:t>
      </w:r>
      <w:r w:rsidRPr="007B6EB4">
        <w:t xml:space="preserve">DCM </w:t>
      </w:r>
      <w:r w:rsidR="00187A29" w:rsidRPr="007B6EB4">
        <w:fldChar w:fldCharType="begin"/>
      </w:r>
      <w:r w:rsidR="00187A29" w:rsidRPr="007B6EB4">
        <w:instrText xml:space="preserve"> ADDIN EN.CITE &lt;EndNote&gt;&lt;Cite&gt;&lt;Author&gt;Raimondi&lt;/Author&gt;&lt;Year&gt;2015&lt;/Year&gt;&lt;RecNum&gt;58&lt;/RecNum&gt;&lt;DisplayText&gt;(Raimondi et al. 2015)&lt;/DisplayText&gt;&lt;record&gt;&lt;rec-number&gt;58&lt;/rec-number&gt;&lt;foreign-keys&gt;&lt;key app="EN" db-id="pfxxvref0t0a5de2vwnv2fwkz0p9v0r2fw0t" timestamp="1458109055"&gt;58&lt;/key&gt;&lt;/foreign-keys&gt;&lt;ref-type name="Journal Article"&gt;17&lt;/ref-type&gt;&lt;contributors&gt;&lt;authors&gt;&lt;author&gt;Raimondi, F.&lt;/author&gt;&lt;author&gt;Iserin, F.&lt;/author&gt;&lt;author&gt;Raisky, O.&lt;/author&gt;&lt;author&gt;Laux, D.&lt;/author&gt;&lt;author&gt;Bajolle, F.&lt;/author&gt;&lt;author&gt;Boudjemline, Y.&lt;/author&gt;&lt;author&gt;Boddaert, N.&lt;/author&gt;&lt;author&gt;Bonnet, D.&lt;/author&gt;&lt;/authors&gt;&lt;/contributors&gt;&lt;titles&gt;&lt;title&gt;Myocardial inflammation on cardiovascular magnetic resonance predicts left ventricular function recovery in children with recent dilated cardiomyopathy&lt;/title&gt;&lt;secondary-title&gt;European Heart Journal Cardiovascular Imaging&lt;/secondary-title&gt;&lt;/titles&gt;&lt;periodical&gt;&lt;full-title&gt;European Heart Journal Cardiovascular Imaging&lt;/full-title&gt;&lt;/periodical&gt;&lt;pages&gt;756-62&lt;/pages&gt;&lt;volume&gt;16&lt;/volume&gt;&lt;number&gt;7&lt;/number&gt;&lt;dates&gt;&lt;year&gt;2015&lt;/year&gt;&lt;pub-dates&gt;&lt;date&gt;2015-01-01&lt;/date&gt;&lt;/pub-dates&gt;&lt;/dates&gt;&lt;urls&gt;&lt;related-urls&gt;&lt;url&gt;http://ehjcimaging.oxfordjournals.org/content/ejechocard/16/7/756.full.pdf&lt;/url&gt;&lt;/related-urls&gt;&lt;/urls&gt;&lt;custom1&gt;RAYYAN-INCLUSION: {&amp;quot;Sharon&amp;quot;=&amp;gt;true} | RAYYAN-LABELS: prognostic,DCM&lt;/custom1&gt;&lt;research-notes&gt;Acceptable&lt;/research-notes&gt;&lt;language&gt;eng&lt;/language&gt;&lt;/record&gt;&lt;/Cite&gt;&lt;/EndNote&gt;</w:instrText>
      </w:r>
      <w:r w:rsidR="00187A29" w:rsidRPr="007B6EB4">
        <w:fldChar w:fldCharType="separate"/>
      </w:r>
      <w:r w:rsidR="00187A29" w:rsidRPr="007B6EB4">
        <w:rPr>
          <w:noProof/>
        </w:rPr>
        <w:t>(</w:t>
      </w:r>
      <w:hyperlink w:anchor="_ENREF_106" w:tooltip="Raimondi, 2015 #58" w:history="1">
        <w:r w:rsidR="00B906E9" w:rsidRPr="007B6EB4">
          <w:rPr>
            <w:noProof/>
          </w:rPr>
          <w:t>Raimondi et al. 2015</w:t>
        </w:r>
      </w:hyperlink>
      <w:r w:rsidR="00187A29" w:rsidRPr="007B6EB4">
        <w:rPr>
          <w:noProof/>
        </w:rPr>
        <w:t>)</w:t>
      </w:r>
      <w:r w:rsidR="00187A29" w:rsidRPr="007B6EB4">
        <w:fldChar w:fldCharType="end"/>
      </w:r>
      <w:r w:rsidRPr="007B6EB4">
        <w:t>. In this study inflammation was assessed using three criteria: (</w:t>
      </w:r>
      <w:r w:rsidR="000744A1">
        <w:t>1</w:t>
      </w:r>
      <w:r w:rsidRPr="007B6EB4">
        <w:t>) evidence of regional or global myocardial oedema</w:t>
      </w:r>
      <w:r w:rsidRPr="00BE7769">
        <w:t xml:space="preserve"> </w:t>
      </w:r>
      <w:r w:rsidRPr="004268BA">
        <w:t xml:space="preserve">seen as an increase in global myocardial signal </w:t>
      </w:r>
      <w:r w:rsidRPr="00116D11">
        <w:t>hyperintensity on T2-weighted images, (</w:t>
      </w:r>
      <w:r w:rsidR="000744A1">
        <w:t>2</w:t>
      </w:r>
      <w:r w:rsidRPr="00116D11">
        <w:t>) evidence of myocardial hyperaemia and capillary leak with early gadolinium enhancement (EGE), and (</w:t>
      </w:r>
      <w:r w:rsidR="000744A1">
        <w:t>3</w:t>
      </w:r>
      <w:r w:rsidRPr="00116D11">
        <w:t>) evidence of myocardial necrosis and fib</w:t>
      </w:r>
      <w:r w:rsidRPr="007B6EB4">
        <w:t xml:space="preserve">rosis (visual assessment) with non-ischaemic regional distribution at LGE. Myocardial inflammation was diagnosed when at least two criteria were present. In this study all children who were diagnosed as CMR+ and included in the analysis were also </w:t>
      </w:r>
      <w:proofErr w:type="gramStart"/>
      <w:r w:rsidRPr="007B6EB4">
        <w:t>LGE+</w:t>
      </w:r>
      <w:r w:rsidR="0092627E">
        <w:t>,</w:t>
      </w:r>
      <w:proofErr w:type="gramEnd"/>
      <w:r w:rsidRPr="007B6EB4">
        <w:t xml:space="preserve"> and no child who was CMR</w:t>
      </w:r>
      <w:r w:rsidRPr="007B6EB4">
        <w:rPr>
          <w:rFonts w:asciiTheme="minorHAnsi" w:hAnsiTheme="minorHAnsi"/>
        </w:rPr>
        <w:t>–</w:t>
      </w:r>
      <w:r w:rsidRPr="007B6EB4">
        <w:t xml:space="preserve"> was LGE+. The results of the study are presented in </w:t>
      </w:r>
      <w:r w:rsidRPr="007B6EB4">
        <w:fldChar w:fldCharType="begin"/>
      </w:r>
      <w:r w:rsidRPr="007B6EB4">
        <w:instrText xml:space="preserve"> REF _Ref445908211 \h </w:instrText>
      </w:r>
      <w:r w:rsidR="007B6EB4">
        <w:instrText xml:space="preserve"> \* MERGEFORMAT </w:instrText>
      </w:r>
      <w:r w:rsidRPr="007B6EB4">
        <w:fldChar w:fldCharType="separate"/>
      </w:r>
      <w:r w:rsidR="00784796">
        <w:t xml:space="preserve">Table </w:t>
      </w:r>
      <w:r w:rsidR="00784796">
        <w:rPr>
          <w:noProof/>
        </w:rPr>
        <w:t>13</w:t>
      </w:r>
      <w:r w:rsidRPr="007B6EB4">
        <w:fldChar w:fldCharType="end"/>
      </w:r>
      <w:r w:rsidRPr="007B6EB4">
        <w:t xml:space="preserve">. All outcomes provided a high quality of evidence (GRADE </w:t>
      </w:r>
      <w:r w:rsidRPr="007B6EB4">
        <w:rPr>
          <w:rFonts w:ascii="Cambria Math" w:hAnsi="Cambria Math" w:cs="Cambria Math"/>
          <w:color w:val="00B050"/>
          <w:sz w:val="20"/>
        </w:rPr>
        <w:t>⊕⊕⊕⊕</w:t>
      </w:r>
      <w:r w:rsidRPr="00BE7769">
        <w:t xml:space="preserve">; </w:t>
      </w:r>
      <w:r w:rsidR="00E6345A">
        <w:t xml:space="preserve">Table 89 </w:t>
      </w:r>
      <w:r w:rsidRPr="007B6EB4">
        <w:t xml:space="preserve">in </w:t>
      </w:r>
      <w:r w:rsidRPr="00AD7237">
        <w:t xml:space="preserve">Appendix </w:t>
      </w:r>
      <w:r w:rsidR="00316248">
        <w:t>D</w:t>
      </w:r>
      <w:r w:rsidRPr="007B6EB4">
        <w:t>).</w:t>
      </w:r>
    </w:p>
    <w:p w14:paraId="5FD10E26" w14:textId="0FCC8F46" w:rsidR="00061768" w:rsidRPr="0094599A" w:rsidRDefault="00061768" w:rsidP="004C79C1">
      <w:pPr>
        <w:pStyle w:val="Caption"/>
      </w:pPr>
      <w:bookmarkStart w:id="347" w:name="_Ref445908211"/>
      <w:bookmarkStart w:id="348" w:name="_Toc324410155"/>
      <w:bookmarkStart w:id="349" w:name="_Toc451435342"/>
      <w:r>
        <w:t xml:space="preserve">Table </w:t>
      </w:r>
      <w:fldSimple w:instr=" SEQ Table \* ARABIC ">
        <w:r w:rsidR="00050936">
          <w:rPr>
            <w:noProof/>
          </w:rPr>
          <w:t>15</w:t>
        </w:r>
      </w:fldSimple>
      <w:bookmarkEnd w:id="347"/>
      <w:r>
        <w:tab/>
        <w:t>CMR and health outcomes in children recently diagnosed with DCM of unknown origin</w:t>
      </w:r>
      <w:bookmarkEnd w:id="348"/>
      <w:bookmarkEnd w:id="349"/>
    </w:p>
    <w:tbl>
      <w:tblPr>
        <w:tblStyle w:val="TableGrid6"/>
        <w:tblW w:w="9067" w:type="dxa"/>
        <w:tblLayout w:type="fixed"/>
        <w:tblLook w:val="04A0" w:firstRow="1" w:lastRow="0" w:firstColumn="1" w:lastColumn="0" w:noHBand="0" w:noVBand="1"/>
        <w:tblDescription w:val="CMR and health outcomes in children recently diagnosed with DCM of unknown origin"/>
      </w:tblPr>
      <w:tblGrid>
        <w:gridCol w:w="1555"/>
        <w:gridCol w:w="1559"/>
        <w:gridCol w:w="5953"/>
      </w:tblGrid>
      <w:tr w:rsidR="00061768" w:rsidRPr="0094599A" w14:paraId="0E28BEF6" w14:textId="77777777" w:rsidTr="00547111">
        <w:trPr>
          <w:tblHeader/>
        </w:trPr>
        <w:tc>
          <w:tcPr>
            <w:tcW w:w="1555" w:type="dxa"/>
          </w:tcPr>
          <w:p w14:paraId="7218C05D" w14:textId="77777777" w:rsidR="00061768" w:rsidRPr="0094599A" w:rsidRDefault="00061768" w:rsidP="004C79C1">
            <w:pPr>
              <w:spacing w:after="120" w:line="240" w:lineRule="auto"/>
              <w:rPr>
                <w:rFonts w:ascii="Arial Narrow" w:hAnsi="Arial Narrow" w:cs="Arial Narrow"/>
                <w:b/>
                <w:bCs/>
                <w:sz w:val="20"/>
                <w:szCs w:val="20"/>
              </w:rPr>
            </w:pPr>
            <w:r w:rsidRPr="0094599A">
              <w:rPr>
                <w:rFonts w:ascii="Arial Narrow" w:hAnsi="Arial Narrow" w:cs="Arial Narrow"/>
                <w:b/>
                <w:bCs/>
                <w:sz w:val="20"/>
                <w:szCs w:val="20"/>
              </w:rPr>
              <w:t xml:space="preserve">Study </w:t>
            </w:r>
          </w:p>
        </w:tc>
        <w:tc>
          <w:tcPr>
            <w:tcW w:w="1559" w:type="dxa"/>
          </w:tcPr>
          <w:p w14:paraId="3A989397" w14:textId="77777777" w:rsidR="00061768" w:rsidRPr="0094599A" w:rsidRDefault="00061768" w:rsidP="004C79C1">
            <w:pPr>
              <w:spacing w:after="120" w:line="240" w:lineRule="auto"/>
              <w:rPr>
                <w:rFonts w:ascii="Arial Narrow" w:hAnsi="Arial Narrow" w:cs="Arial Narrow"/>
                <w:b/>
                <w:bCs/>
                <w:sz w:val="20"/>
                <w:szCs w:val="20"/>
              </w:rPr>
            </w:pPr>
            <w:r w:rsidRPr="0094599A">
              <w:rPr>
                <w:rFonts w:ascii="Arial Narrow" w:hAnsi="Arial Narrow" w:cs="Arial Narrow"/>
                <w:b/>
                <w:bCs/>
                <w:sz w:val="20"/>
                <w:szCs w:val="20"/>
              </w:rPr>
              <w:t xml:space="preserve">Patients </w:t>
            </w:r>
          </w:p>
        </w:tc>
        <w:tc>
          <w:tcPr>
            <w:tcW w:w="5953" w:type="dxa"/>
          </w:tcPr>
          <w:p w14:paraId="0A62DF9A" w14:textId="77777777" w:rsidR="00061768" w:rsidRPr="0094599A" w:rsidRDefault="00061768" w:rsidP="004C79C1">
            <w:pPr>
              <w:spacing w:after="120" w:line="240" w:lineRule="auto"/>
              <w:rPr>
                <w:rFonts w:ascii="Arial Narrow" w:hAnsi="Arial Narrow" w:cs="Arial Narrow"/>
                <w:b/>
                <w:bCs/>
                <w:sz w:val="20"/>
                <w:szCs w:val="20"/>
              </w:rPr>
            </w:pPr>
            <w:r>
              <w:rPr>
                <w:rFonts w:ascii="Arial Narrow" w:hAnsi="Arial Narrow" w:cs="Arial Narrow"/>
                <w:b/>
                <w:bCs/>
                <w:sz w:val="20"/>
                <w:szCs w:val="20"/>
              </w:rPr>
              <w:t xml:space="preserve">CMR and health </w:t>
            </w:r>
            <w:r w:rsidRPr="00022D62">
              <w:rPr>
                <w:rFonts w:ascii="Arial Narrow" w:hAnsi="Arial Narrow" w:cs="Arial Narrow"/>
                <w:b/>
                <w:bCs/>
                <w:sz w:val="20"/>
                <w:szCs w:val="20"/>
              </w:rPr>
              <w:t>outcomes</w:t>
            </w:r>
          </w:p>
        </w:tc>
      </w:tr>
      <w:tr w:rsidR="00061768" w:rsidRPr="0094599A" w14:paraId="65745533" w14:textId="77777777" w:rsidTr="00547111">
        <w:trPr>
          <w:trHeight w:val="619"/>
        </w:trPr>
        <w:tc>
          <w:tcPr>
            <w:tcW w:w="1555" w:type="dxa"/>
          </w:tcPr>
          <w:p w14:paraId="4C3296B1" w14:textId="6C18C59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 xml:space="preserve">Raimondi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ExcludeAuth="1"&gt;&lt;Author&gt;Raimondi&lt;/Author&gt;&lt;Year&gt;2015&lt;/Year&gt;&lt;RecNum&gt;58&lt;/RecNum&gt;&lt;DisplayText&gt;(2015)&lt;/DisplayText&gt;&lt;record&gt;&lt;rec-number&gt;58&lt;/rec-number&gt;&lt;foreign-keys&gt;&lt;key app="EN" db-id="pfxxvref0t0a5de2vwnv2fwkz0p9v0r2fw0t" timestamp="1458109055"&gt;58&lt;/key&gt;&lt;/foreign-keys&gt;&lt;ref-type name="Journal Article"&gt;17&lt;/ref-type&gt;&lt;contributors&gt;&lt;authors&gt;&lt;author&gt;Raimondi, F.&lt;/author&gt;&lt;author&gt;Iserin, F.&lt;/author&gt;&lt;author&gt;Raisky, O.&lt;/author&gt;&lt;author&gt;Laux, D.&lt;/author&gt;&lt;author&gt;Bajolle, F.&lt;/author&gt;&lt;author&gt;Boudjemline, Y.&lt;/author&gt;&lt;author&gt;Boddaert, N.&lt;/author&gt;&lt;author&gt;Bonnet, D.&lt;/author&gt;&lt;/authors&gt;&lt;/contributors&gt;&lt;titles&gt;&lt;title&gt;Myocardial inflammation on cardiovascular magnetic resonance predicts left ventricular function recovery in children with recent dilated cardiomyopathy&lt;/title&gt;&lt;secondary-title&gt;European Heart Journal Cardiovascular Imaging&lt;/secondary-title&gt;&lt;/titles&gt;&lt;periodical&gt;&lt;full-title&gt;European Heart Journal Cardiovascular Imaging&lt;/full-title&gt;&lt;/periodical&gt;&lt;pages&gt;756-62&lt;/pages&gt;&lt;volume&gt;16&lt;/volume&gt;&lt;number&gt;7&lt;/number&gt;&lt;dates&gt;&lt;year&gt;2015&lt;/year&gt;&lt;pub-dates&gt;&lt;date&gt;2015-01-01&lt;/date&gt;&lt;/pub-dates&gt;&lt;/dates&gt;&lt;urls&gt;&lt;related-urls&gt;&lt;url&gt;http://ehjcimaging.oxfordjournals.org/content/ejechocard/16/7/756.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06" w:tooltip="Raimondi, 2015 #58"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BCBEE66"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France</w:t>
            </w:r>
          </w:p>
          <w:p w14:paraId="6985A0AF"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Prospective cohort</w:t>
            </w:r>
          </w:p>
          <w:p w14:paraId="46724D6A"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Moderate risk of bias</w:t>
            </w:r>
          </w:p>
        </w:tc>
        <w:tc>
          <w:tcPr>
            <w:tcW w:w="1559" w:type="dxa"/>
          </w:tcPr>
          <w:p w14:paraId="2A10AE4E" w14:textId="77777777" w:rsidR="00061768"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N=66</w:t>
            </w:r>
            <w:r>
              <w:rPr>
                <w:rFonts w:ascii="Arial Narrow" w:hAnsi="Arial Narrow" w:cs="Arial Narrow"/>
                <w:bCs/>
                <w:sz w:val="20"/>
                <w:szCs w:val="20"/>
              </w:rPr>
              <w:t xml:space="preserve"> children with recent diagnosis of </w:t>
            </w:r>
            <w:r w:rsidRPr="00BA16B4">
              <w:rPr>
                <w:rFonts w:ascii="Arial Narrow" w:hAnsi="Arial Narrow" w:cs="Arial Narrow"/>
                <w:bCs/>
                <w:sz w:val="20"/>
                <w:szCs w:val="20"/>
              </w:rPr>
              <w:t>DCM of unknown origin</w:t>
            </w:r>
          </w:p>
          <w:p w14:paraId="5CFBB529" w14:textId="77777777" w:rsidR="00061768" w:rsidRDefault="00061768" w:rsidP="004C79C1">
            <w:pPr>
              <w:spacing w:after="120" w:line="240" w:lineRule="auto"/>
              <w:rPr>
                <w:rFonts w:ascii="Arial Narrow" w:hAnsi="Arial Narrow" w:cs="Arial Narrow"/>
                <w:bCs/>
                <w:sz w:val="20"/>
                <w:szCs w:val="20"/>
              </w:rPr>
            </w:pPr>
          </w:p>
          <w:p w14:paraId="3F61C308" w14:textId="77777777" w:rsidR="00061768" w:rsidRPr="0094599A" w:rsidRDefault="00061768" w:rsidP="004C79C1">
            <w:pPr>
              <w:spacing w:after="120" w:line="240" w:lineRule="auto"/>
              <w:rPr>
                <w:rFonts w:ascii="Arial Narrow" w:hAnsi="Arial Narrow" w:cs="Arial Narrow"/>
                <w:bCs/>
                <w:sz w:val="20"/>
                <w:szCs w:val="20"/>
              </w:rPr>
            </w:pPr>
            <w:r>
              <w:rPr>
                <w:rFonts w:ascii="Arial Narrow" w:hAnsi="Arial Narrow" w:cs="Arial Narrow"/>
                <w:bCs/>
                <w:sz w:val="20"/>
                <w:szCs w:val="20"/>
              </w:rPr>
              <w:t>N=55 children with complete CMR study who are alive with no heart transplant and are available for follow-up</w:t>
            </w:r>
          </w:p>
        </w:tc>
        <w:tc>
          <w:tcPr>
            <w:tcW w:w="5953" w:type="dxa"/>
          </w:tcPr>
          <w:p w14:paraId="2483DB48" w14:textId="77777777" w:rsidR="00061768" w:rsidRPr="00EA060F" w:rsidRDefault="00061768" w:rsidP="004C79C1">
            <w:pPr>
              <w:tabs>
                <w:tab w:val="left" w:pos="3152"/>
                <w:tab w:val="left" w:pos="3719"/>
                <w:tab w:val="left" w:pos="4428"/>
              </w:tabs>
              <w:spacing w:after="120" w:line="240" w:lineRule="auto"/>
              <w:rPr>
                <w:rFonts w:ascii="Arial Narrow" w:hAnsi="Arial Narrow" w:cs="Arial Narrow"/>
                <w:b/>
                <w:bCs/>
                <w:sz w:val="20"/>
                <w:szCs w:val="20"/>
              </w:rPr>
            </w:pPr>
            <w:r w:rsidRPr="00053C4E">
              <w:rPr>
                <w:rFonts w:ascii="Arial Narrow" w:hAnsi="Arial Narrow" w:cs="Arial Narrow"/>
                <w:bCs/>
                <w:sz w:val="20"/>
                <w:szCs w:val="20"/>
              </w:rPr>
              <w:tab/>
            </w:r>
            <w:r w:rsidRPr="00EA060F">
              <w:rPr>
                <w:rFonts w:ascii="Arial Narrow" w:hAnsi="Arial Narrow" w:cs="Arial Narrow"/>
                <w:b/>
                <w:bCs/>
                <w:sz w:val="20"/>
                <w:szCs w:val="20"/>
              </w:rPr>
              <w:t>CMR+</w:t>
            </w:r>
            <w:r w:rsidRPr="00EA060F">
              <w:rPr>
                <w:rFonts w:ascii="Arial Narrow" w:hAnsi="Arial Narrow" w:cs="Arial Narrow"/>
                <w:b/>
                <w:bCs/>
                <w:sz w:val="20"/>
                <w:szCs w:val="20"/>
              </w:rPr>
              <w:tab/>
              <w:t>CMR–</w:t>
            </w:r>
            <w:r w:rsidRPr="00EA060F">
              <w:rPr>
                <w:rFonts w:ascii="Arial Narrow" w:hAnsi="Arial Narrow" w:cs="Arial Narrow"/>
                <w:b/>
                <w:bCs/>
                <w:sz w:val="20"/>
                <w:szCs w:val="20"/>
              </w:rPr>
              <w:tab/>
              <w:t>RR (95%CI)</w:t>
            </w:r>
          </w:p>
          <w:p w14:paraId="718016AB" w14:textId="77777777" w:rsidR="00061768" w:rsidRPr="00053C4E" w:rsidRDefault="00061768" w:rsidP="004C79C1">
            <w:pPr>
              <w:tabs>
                <w:tab w:val="left" w:pos="3152"/>
                <w:tab w:val="left" w:pos="3719"/>
                <w:tab w:val="left" w:pos="5420"/>
              </w:tabs>
              <w:spacing w:after="120" w:line="240" w:lineRule="auto"/>
              <w:rPr>
                <w:rFonts w:ascii="Arial Narrow" w:hAnsi="Arial Narrow" w:cs="Arial Narrow"/>
                <w:bCs/>
                <w:sz w:val="20"/>
                <w:szCs w:val="20"/>
              </w:rPr>
            </w:pPr>
            <w:r w:rsidRPr="00BA16B4">
              <w:rPr>
                <w:rFonts w:ascii="Arial Narrow" w:hAnsi="Arial Narrow" w:cs="Arial Narrow"/>
                <w:bCs/>
                <w:sz w:val="20"/>
                <w:szCs w:val="20"/>
                <w:u w:val="single"/>
              </w:rPr>
              <w:t>Number of children</w:t>
            </w:r>
            <w:r>
              <w:rPr>
                <w:rFonts w:ascii="Arial Narrow" w:hAnsi="Arial Narrow" w:cs="Arial Narrow"/>
                <w:bCs/>
                <w:sz w:val="20"/>
                <w:szCs w:val="20"/>
              </w:rPr>
              <w:tab/>
              <w:t>33</w:t>
            </w:r>
            <w:r>
              <w:rPr>
                <w:rFonts w:ascii="Arial Narrow" w:hAnsi="Arial Narrow" w:cs="Arial Narrow"/>
                <w:bCs/>
                <w:sz w:val="20"/>
                <w:szCs w:val="20"/>
              </w:rPr>
              <w:tab/>
              <w:t>33</w:t>
            </w:r>
          </w:p>
          <w:p w14:paraId="59F2A331" w14:textId="72418D65"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T2 + EGE +</w:t>
            </w:r>
            <w:r w:rsidR="00630E3D">
              <w:rPr>
                <w:rFonts w:ascii="Arial Narrow" w:hAnsi="Arial Narrow" w:cs="Arial Narrow"/>
                <w:bCs/>
                <w:sz w:val="20"/>
                <w:szCs w:val="20"/>
              </w:rPr>
              <w:t xml:space="preserve"> </w:t>
            </w:r>
            <w:r>
              <w:rPr>
                <w:rFonts w:ascii="Arial Narrow" w:hAnsi="Arial Narrow" w:cs="Arial Narrow"/>
                <w:bCs/>
                <w:sz w:val="20"/>
                <w:szCs w:val="20"/>
              </w:rPr>
              <w:t>LGE</w:t>
            </w:r>
            <w:r>
              <w:rPr>
                <w:rFonts w:ascii="Arial Narrow" w:hAnsi="Arial Narrow" w:cs="Arial Narrow"/>
                <w:bCs/>
                <w:sz w:val="20"/>
                <w:szCs w:val="20"/>
              </w:rPr>
              <w:tab/>
              <w:t>27</w:t>
            </w:r>
            <w:r>
              <w:rPr>
                <w:rFonts w:ascii="Arial Narrow" w:hAnsi="Arial Narrow" w:cs="Arial Narrow"/>
                <w:bCs/>
                <w:sz w:val="20"/>
                <w:szCs w:val="20"/>
              </w:rPr>
              <w:tab/>
              <w:t>0</w:t>
            </w:r>
          </w:p>
          <w:p w14:paraId="4C6B7F6B" w14:textId="77777777"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T2 + LGE</w:t>
            </w:r>
            <w:r>
              <w:rPr>
                <w:rFonts w:ascii="Arial Narrow" w:hAnsi="Arial Narrow" w:cs="Arial Narrow"/>
                <w:bCs/>
                <w:sz w:val="20"/>
                <w:szCs w:val="20"/>
              </w:rPr>
              <w:tab/>
              <w:t>4</w:t>
            </w:r>
            <w:r>
              <w:rPr>
                <w:rFonts w:ascii="Arial Narrow" w:hAnsi="Arial Narrow" w:cs="Arial Narrow"/>
                <w:bCs/>
                <w:sz w:val="20"/>
                <w:szCs w:val="20"/>
              </w:rPr>
              <w:tab/>
              <w:t>0</w:t>
            </w:r>
          </w:p>
          <w:p w14:paraId="530405EF" w14:textId="77777777"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LGE</w:t>
            </w:r>
            <w:r>
              <w:rPr>
                <w:rFonts w:ascii="Arial Narrow" w:hAnsi="Arial Narrow" w:cs="Arial Narrow"/>
                <w:bCs/>
                <w:sz w:val="20"/>
                <w:szCs w:val="20"/>
              </w:rPr>
              <w:tab/>
              <w:t>31</w:t>
            </w:r>
            <w:r>
              <w:rPr>
                <w:rFonts w:ascii="Arial Narrow" w:hAnsi="Arial Narrow" w:cs="Arial Narrow"/>
                <w:bCs/>
                <w:sz w:val="20"/>
                <w:szCs w:val="20"/>
              </w:rPr>
              <w:tab/>
              <w:t>0</w:t>
            </w:r>
          </w:p>
          <w:p w14:paraId="5C648866" w14:textId="77777777"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T2 (no EGE or LGE data)</w:t>
            </w:r>
            <w:r>
              <w:rPr>
                <w:rFonts w:ascii="Arial Narrow" w:hAnsi="Arial Narrow" w:cs="Arial Narrow"/>
                <w:bCs/>
                <w:sz w:val="20"/>
                <w:szCs w:val="20"/>
              </w:rPr>
              <w:tab/>
              <w:t>2</w:t>
            </w:r>
            <w:r>
              <w:rPr>
                <w:rFonts w:ascii="Arial Narrow" w:hAnsi="Arial Narrow" w:cs="Arial Narrow"/>
                <w:bCs/>
                <w:sz w:val="20"/>
                <w:szCs w:val="20"/>
              </w:rPr>
              <w:tab/>
              <w:t>0</w:t>
            </w:r>
          </w:p>
          <w:p w14:paraId="17D1A472" w14:textId="77777777" w:rsidR="00061768" w:rsidRPr="00BA16B4" w:rsidRDefault="00061768" w:rsidP="004C79C1">
            <w:pPr>
              <w:tabs>
                <w:tab w:val="left" w:pos="3152"/>
                <w:tab w:val="left" w:pos="3719"/>
                <w:tab w:val="left" w:pos="5420"/>
              </w:tabs>
              <w:spacing w:after="120" w:line="240" w:lineRule="auto"/>
              <w:rPr>
                <w:rFonts w:ascii="Arial Narrow" w:hAnsi="Arial Narrow" w:cs="Arial Narrow"/>
                <w:bCs/>
                <w:sz w:val="20"/>
                <w:szCs w:val="20"/>
                <w:u w:val="single"/>
              </w:rPr>
            </w:pPr>
            <w:r w:rsidRPr="00BA16B4">
              <w:rPr>
                <w:rFonts w:ascii="Arial Narrow" w:hAnsi="Arial Narrow" w:cs="Arial Narrow"/>
                <w:bCs/>
                <w:sz w:val="20"/>
                <w:szCs w:val="20"/>
                <w:u w:val="single"/>
              </w:rPr>
              <w:t>Clinical outcomes:</w:t>
            </w:r>
          </w:p>
          <w:p w14:paraId="609E78C3"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rPr>
            </w:pPr>
            <w:r>
              <w:rPr>
                <w:rFonts w:ascii="Arial Narrow" w:hAnsi="Arial Narrow" w:cs="Arial Narrow"/>
                <w:bCs/>
                <w:sz w:val="20"/>
                <w:szCs w:val="20"/>
              </w:rPr>
              <w:t>Death</w:t>
            </w:r>
            <w:r>
              <w:rPr>
                <w:rFonts w:ascii="Arial Narrow" w:hAnsi="Arial Narrow" w:cs="Arial Narrow"/>
                <w:bCs/>
                <w:sz w:val="20"/>
                <w:szCs w:val="20"/>
              </w:rPr>
              <w:tab/>
              <w:t>2</w:t>
            </w:r>
            <w:r>
              <w:rPr>
                <w:rFonts w:ascii="Arial Narrow" w:hAnsi="Arial Narrow" w:cs="Arial Narrow"/>
                <w:bCs/>
                <w:sz w:val="20"/>
                <w:szCs w:val="20"/>
              </w:rPr>
              <w:tab/>
              <w:t>1</w:t>
            </w:r>
            <w:r>
              <w:rPr>
                <w:rFonts w:ascii="Arial Narrow" w:hAnsi="Arial Narrow" w:cs="Arial Narrow"/>
                <w:bCs/>
                <w:sz w:val="20"/>
                <w:szCs w:val="20"/>
              </w:rPr>
              <w:tab/>
              <w:t>2</w:t>
            </w:r>
            <w:r w:rsidRPr="003D69A2">
              <w:rPr>
                <w:rFonts w:ascii="Arial Narrow" w:hAnsi="Arial Narrow" w:cs="Arial Narrow"/>
                <w:bCs/>
                <w:sz w:val="20"/>
                <w:szCs w:val="20"/>
              </w:rPr>
              <w:t>.</w:t>
            </w:r>
            <w:r>
              <w:rPr>
                <w:rFonts w:ascii="Arial Narrow" w:hAnsi="Arial Narrow" w:cs="Arial Narrow"/>
                <w:bCs/>
                <w:sz w:val="20"/>
                <w:szCs w:val="20"/>
              </w:rPr>
              <w:t>00</w:t>
            </w:r>
            <w:r w:rsidRPr="003D69A2">
              <w:rPr>
                <w:rFonts w:ascii="Arial Narrow" w:hAnsi="Arial Narrow" w:cs="Arial Narrow"/>
                <w:bCs/>
                <w:sz w:val="20"/>
                <w:szCs w:val="20"/>
              </w:rPr>
              <w:t xml:space="preserve"> (0.</w:t>
            </w:r>
            <w:r>
              <w:rPr>
                <w:rFonts w:ascii="Arial Narrow" w:hAnsi="Arial Narrow" w:cs="Arial Narrow"/>
                <w:bCs/>
                <w:sz w:val="20"/>
                <w:szCs w:val="20"/>
              </w:rPr>
              <w:t>1</w:t>
            </w:r>
            <w:r w:rsidRPr="003D69A2">
              <w:rPr>
                <w:rFonts w:ascii="Arial Narrow" w:hAnsi="Arial Narrow" w:cs="Arial Narrow"/>
                <w:bCs/>
                <w:sz w:val="20"/>
                <w:szCs w:val="20"/>
              </w:rPr>
              <w:t xml:space="preserve">9, </w:t>
            </w:r>
            <w:r>
              <w:rPr>
                <w:rFonts w:ascii="Arial Narrow" w:hAnsi="Arial Narrow" w:cs="Arial Narrow"/>
                <w:bCs/>
                <w:sz w:val="20"/>
                <w:szCs w:val="20"/>
              </w:rPr>
              <w:t>2</w:t>
            </w:r>
            <w:r w:rsidRPr="003D69A2">
              <w:rPr>
                <w:rFonts w:ascii="Arial Narrow" w:hAnsi="Arial Narrow" w:cs="Arial Narrow"/>
                <w:bCs/>
                <w:sz w:val="20"/>
                <w:szCs w:val="20"/>
              </w:rPr>
              <w:t>1</w:t>
            </w:r>
            <w:r>
              <w:rPr>
                <w:rFonts w:ascii="Arial Narrow" w:hAnsi="Arial Narrow" w:cs="Arial Narrow"/>
                <w:bCs/>
                <w:sz w:val="20"/>
                <w:szCs w:val="20"/>
              </w:rPr>
              <w:t>.00</w:t>
            </w:r>
            <w:r w:rsidRPr="003D69A2">
              <w:rPr>
                <w:rFonts w:ascii="Arial Narrow" w:hAnsi="Arial Narrow" w:cs="Arial Narrow"/>
                <w:bCs/>
                <w:sz w:val="20"/>
                <w:szCs w:val="20"/>
              </w:rPr>
              <w:t>)</w:t>
            </w:r>
          </w:p>
          <w:p w14:paraId="3A8BB864"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rPr>
            </w:pPr>
            <w:r>
              <w:rPr>
                <w:rFonts w:ascii="Arial Narrow" w:hAnsi="Arial Narrow" w:cs="Arial Narrow"/>
                <w:bCs/>
                <w:sz w:val="20"/>
                <w:szCs w:val="20"/>
              </w:rPr>
              <w:t>Cardiac transplant</w:t>
            </w:r>
            <w:r>
              <w:rPr>
                <w:rFonts w:ascii="Arial Narrow" w:hAnsi="Arial Narrow" w:cs="Arial Narrow"/>
                <w:bCs/>
                <w:sz w:val="20"/>
                <w:szCs w:val="20"/>
              </w:rPr>
              <w:tab/>
              <w:t>0</w:t>
            </w:r>
            <w:r>
              <w:rPr>
                <w:rFonts w:ascii="Arial Narrow" w:hAnsi="Arial Narrow" w:cs="Arial Narrow"/>
                <w:bCs/>
                <w:sz w:val="20"/>
                <w:szCs w:val="20"/>
              </w:rPr>
              <w:tab/>
              <w:t>1</w:t>
            </w:r>
            <w:r>
              <w:rPr>
                <w:rFonts w:ascii="Arial Narrow" w:hAnsi="Arial Narrow" w:cs="Arial Narrow"/>
                <w:bCs/>
                <w:sz w:val="20"/>
                <w:szCs w:val="20"/>
              </w:rPr>
              <w:tab/>
            </w:r>
            <w:r w:rsidRPr="003D69A2">
              <w:rPr>
                <w:rFonts w:ascii="Arial Narrow" w:hAnsi="Arial Narrow" w:cs="Arial Narrow"/>
                <w:bCs/>
                <w:sz w:val="20"/>
                <w:szCs w:val="20"/>
              </w:rPr>
              <w:t>0.</w:t>
            </w:r>
            <w:r>
              <w:rPr>
                <w:rFonts w:ascii="Arial Narrow" w:hAnsi="Arial Narrow" w:cs="Arial Narrow"/>
                <w:bCs/>
                <w:sz w:val="20"/>
                <w:szCs w:val="20"/>
              </w:rPr>
              <w:t>33</w:t>
            </w:r>
            <w:r w:rsidRPr="003D69A2">
              <w:rPr>
                <w:rFonts w:ascii="Arial Narrow" w:hAnsi="Arial Narrow" w:cs="Arial Narrow"/>
                <w:bCs/>
                <w:sz w:val="20"/>
                <w:szCs w:val="20"/>
              </w:rPr>
              <w:t xml:space="preserve"> (0.0</w:t>
            </w:r>
            <w:r>
              <w:rPr>
                <w:rFonts w:ascii="Arial Narrow" w:hAnsi="Arial Narrow" w:cs="Arial Narrow"/>
                <w:bCs/>
                <w:sz w:val="20"/>
                <w:szCs w:val="20"/>
              </w:rPr>
              <w:t>1</w:t>
            </w:r>
            <w:r w:rsidRPr="003D69A2">
              <w:rPr>
                <w:rFonts w:ascii="Arial Narrow" w:hAnsi="Arial Narrow" w:cs="Arial Narrow"/>
                <w:bCs/>
                <w:sz w:val="20"/>
                <w:szCs w:val="20"/>
              </w:rPr>
              <w:t xml:space="preserve">, </w:t>
            </w:r>
            <w:r>
              <w:rPr>
                <w:rFonts w:ascii="Arial Narrow" w:hAnsi="Arial Narrow" w:cs="Arial Narrow"/>
                <w:bCs/>
                <w:sz w:val="20"/>
                <w:szCs w:val="20"/>
              </w:rPr>
              <w:t>7</w:t>
            </w:r>
            <w:r w:rsidRPr="003D69A2">
              <w:rPr>
                <w:rFonts w:ascii="Arial Narrow" w:hAnsi="Arial Narrow" w:cs="Arial Narrow"/>
                <w:bCs/>
                <w:sz w:val="20"/>
                <w:szCs w:val="20"/>
              </w:rPr>
              <w:t>.</w:t>
            </w:r>
            <w:r>
              <w:rPr>
                <w:rFonts w:ascii="Arial Narrow" w:hAnsi="Arial Narrow" w:cs="Arial Narrow"/>
                <w:bCs/>
                <w:sz w:val="20"/>
                <w:szCs w:val="20"/>
              </w:rPr>
              <w:t>9</w:t>
            </w:r>
            <w:r w:rsidRPr="003D69A2">
              <w:rPr>
                <w:rFonts w:ascii="Arial Narrow" w:hAnsi="Arial Narrow" w:cs="Arial Narrow"/>
                <w:bCs/>
                <w:sz w:val="20"/>
                <w:szCs w:val="20"/>
              </w:rPr>
              <w:t>0)</w:t>
            </w:r>
          </w:p>
          <w:p w14:paraId="1D2DAF38" w14:textId="77777777"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Incomplete CMR (no EGE or LGE data)</w:t>
            </w:r>
            <w:r>
              <w:rPr>
                <w:rFonts w:ascii="Arial Narrow" w:hAnsi="Arial Narrow" w:cs="Arial Narrow"/>
                <w:bCs/>
                <w:sz w:val="20"/>
                <w:szCs w:val="20"/>
              </w:rPr>
              <w:tab/>
              <w:t>2</w:t>
            </w:r>
            <w:r>
              <w:rPr>
                <w:rFonts w:ascii="Arial Narrow" w:hAnsi="Arial Narrow" w:cs="Arial Narrow"/>
                <w:bCs/>
                <w:sz w:val="20"/>
                <w:szCs w:val="20"/>
              </w:rPr>
              <w:tab/>
              <w:t>0</w:t>
            </w:r>
          </w:p>
          <w:p w14:paraId="7CA7B77B" w14:textId="77777777" w:rsidR="00061768" w:rsidRDefault="00061768" w:rsidP="004C79C1">
            <w:pPr>
              <w:tabs>
                <w:tab w:val="left" w:pos="3152"/>
                <w:tab w:val="left" w:pos="3719"/>
                <w:tab w:val="left" w:pos="5420"/>
              </w:tabs>
              <w:spacing w:after="120" w:line="240" w:lineRule="auto"/>
              <w:rPr>
                <w:rFonts w:ascii="Arial Narrow" w:hAnsi="Arial Narrow" w:cs="Arial Narrow"/>
                <w:bCs/>
                <w:sz w:val="20"/>
                <w:szCs w:val="20"/>
              </w:rPr>
            </w:pPr>
            <w:r>
              <w:rPr>
                <w:rFonts w:ascii="Arial Narrow" w:hAnsi="Arial Narrow" w:cs="Arial Narrow"/>
                <w:bCs/>
                <w:sz w:val="20"/>
                <w:szCs w:val="20"/>
              </w:rPr>
              <w:t>Lost to follow-up</w:t>
            </w:r>
            <w:r>
              <w:rPr>
                <w:rFonts w:ascii="Arial Narrow" w:hAnsi="Arial Narrow" w:cs="Arial Narrow"/>
                <w:bCs/>
                <w:sz w:val="20"/>
                <w:szCs w:val="20"/>
              </w:rPr>
              <w:tab/>
              <w:t>2</w:t>
            </w:r>
            <w:r>
              <w:rPr>
                <w:rFonts w:ascii="Arial Narrow" w:hAnsi="Arial Narrow" w:cs="Arial Narrow"/>
                <w:bCs/>
                <w:sz w:val="20"/>
                <w:szCs w:val="20"/>
              </w:rPr>
              <w:tab/>
              <w:t>3</w:t>
            </w:r>
          </w:p>
          <w:p w14:paraId="4936D61B"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u w:val="single"/>
              </w:rPr>
            </w:pPr>
            <w:r w:rsidRPr="00BA16B4">
              <w:rPr>
                <w:rFonts w:ascii="Arial Narrow" w:hAnsi="Arial Narrow" w:cs="Arial Narrow"/>
                <w:bCs/>
                <w:sz w:val="20"/>
                <w:szCs w:val="20"/>
                <w:u w:val="single"/>
              </w:rPr>
              <w:t>Number of children in analysis</w:t>
            </w:r>
            <w:r w:rsidRPr="00053C4E">
              <w:rPr>
                <w:rFonts w:ascii="Arial Narrow" w:hAnsi="Arial Narrow" w:cs="Arial Narrow"/>
                <w:bCs/>
                <w:sz w:val="20"/>
                <w:szCs w:val="20"/>
              </w:rPr>
              <w:t xml:space="preserve"> (n=55)</w:t>
            </w:r>
            <w:r w:rsidRPr="00053C4E">
              <w:rPr>
                <w:rFonts w:ascii="Arial Narrow" w:hAnsi="Arial Narrow" w:cs="Arial Narrow"/>
                <w:bCs/>
                <w:sz w:val="20"/>
                <w:szCs w:val="20"/>
              </w:rPr>
              <w:tab/>
            </w:r>
            <w:r>
              <w:rPr>
                <w:rFonts w:ascii="Arial Narrow" w:hAnsi="Arial Narrow" w:cs="Arial Narrow"/>
                <w:bCs/>
                <w:sz w:val="20"/>
                <w:szCs w:val="20"/>
              </w:rPr>
              <w:t>27</w:t>
            </w:r>
            <w:r w:rsidRPr="00053C4E">
              <w:rPr>
                <w:rFonts w:ascii="Arial Narrow" w:hAnsi="Arial Narrow" w:cs="Arial Narrow"/>
                <w:bCs/>
                <w:sz w:val="20"/>
                <w:szCs w:val="20"/>
              </w:rPr>
              <w:tab/>
            </w:r>
            <w:r>
              <w:rPr>
                <w:rFonts w:ascii="Arial Narrow" w:hAnsi="Arial Narrow" w:cs="Arial Narrow"/>
                <w:bCs/>
                <w:sz w:val="20"/>
                <w:szCs w:val="20"/>
              </w:rPr>
              <w:t>28</w:t>
            </w:r>
          </w:p>
          <w:p w14:paraId="57C09D5A"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rPr>
            </w:pPr>
            <w:r w:rsidRPr="00053C4E">
              <w:rPr>
                <w:rFonts w:ascii="Arial Narrow" w:hAnsi="Arial Narrow" w:cs="Arial Narrow"/>
                <w:bCs/>
                <w:sz w:val="20"/>
                <w:szCs w:val="20"/>
              </w:rPr>
              <w:t>Normalised LV function</w:t>
            </w:r>
            <w:r>
              <w:rPr>
                <w:rFonts w:ascii="Arial Narrow" w:hAnsi="Arial Narrow" w:cs="Arial Narrow"/>
                <w:bCs/>
                <w:sz w:val="20"/>
                <w:szCs w:val="20"/>
              </w:rPr>
              <w:t xml:space="preserve"> (by ECG)</w:t>
            </w:r>
            <w:r>
              <w:rPr>
                <w:rFonts w:ascii="Arial Narrow" w:hAnsi="Arial Narrow" w:cs="Arial Narrow"/>
                <w:bCs/>
                <w:sz w:val="20"/>
                <w:szCs w:val="20"/>
              </w:rPr>
              <w:tab/>
              <w:t>22</w:t>
            </w:r>
            <w:r>
              <w:rPr>
                <w:rFonts w:ascii="Arial Narrow" w:hAnsi="Arial Narrow" w:cs="Arial Narrow"/>
                <w:bCs/>
                <w:sz w:val="20"/>
                <w:szCs w:val="20"/>
              </w:rPr>
              <w:tab/>
              <w:t>11</w:t>
            </w:r>
            <w:r>
              <w:rPr>
                <w:rFonts w:ascii="Arial Narrow" w:hAnsi="Arial Narrow" w:cs="Arial Narrow"/>
                <w:bCs/>
                <w:sz w:val="20"/>
                <w:szCs w:val="20"/>
              </w:rPr>
              <w:tab/>
            </w:r>
            <w:r w:rsidRPr="00BC3D02">
              <w:rPr>
                <w:rFonts w:ascii="Arial Narrow" w:hAnsi="Arial Narrow" w:cs="Arial Narrow"/>
                <w:bCs/>
                <w:sz w:val="20"/>
                <w:szCs w:val="20"/>
              </w:rPr>
              <w:t>2.</w:t>
            </w:r>
            <w:r>
              <w:rPr>
                <w:rFonts w:ascii="Arial Narrow" w:hAnsi="Arial Narrow" w:cs="Arial Narrow"/>
                <w:bCs/>
                <w:sz w:val="20"/>
                <w:szCs w:val="20"/>
              </w:rPr>
              <w:t>07</w:t>
            </w:r>
            <w:r w:rsidRPr="00BC3D02">
              <w:rPr>
                <w:rFonts w:ascii="Arial Narrow" w:hAnsi="Arial Narrow" w:cs="Arial Narrow"/>
                <w:bCs/>
                <w:sz w:val="20"/>
                <w:szCs w:val="20"/>
              </w:rPr>
              <w:t xml:space="preserve"> (1.</w:t>
            </w:r>
            <w:r>
              <w:rPr>
                <w:rFonts w:ascii="Arial Narrow" w:hAnsi="Arial Narrow" w:cs="Arial Narrow"/>
                <w:bCs/>
                <w:sz w:val="20"/>
                <w:szCs w:val="20"/>
              </w:rPr>
              <w:t>27</w:t>
            </w:r>
            <w:r w:rsidRPr="00BC3D02">
              <w:rPr>
                <w:rFonts w:ascii="Arial Narrow" w:hAnsi="Arial Narrow" w:cs="Arial Narrow"/>
                <w:bCs/>
                <w:sz w:val="20"/>
                <w:szCs w:val="20"/>
              </w:rPr>
              <w:t xml:space="preserve">, </w:t>
            </w:r>
            <w:r>
              <w:rPr>
                <w:rFonts w:ascii="Arial Narrow" w:hAnsi="Arial Narrow" w:cs="Arial Narrow"/>
                <w:bCs/>
                <w:sz w:val="20"/>
                <w:szCs w:val="20"/>
              </w:rPr>
              <w:t>3</w:t>
            </w:r>
            <w:r w:rsidRPr="00BC3D02">
              <w:rPr>
                <w:rFonts w:ascii="Arial Narrow" w:hAnsi="Arial Narrow" w:cs="Arial Narrow"/>
                <w:bCs/>
                <w:sz w:val="20"/>
                <w:szCs w:val="20"/>
              </w:rPr>
              <w:t>.</w:t>
            </w:r>
            <w:r>
              <w:rPr>
                <w:rFonts w:ascii="Arial Narrow" w:hAnsi="Arial Narrow" w:cs="Arial Narrow"/>
                <w:bCs/>
                <w:sz w:val="20"/>
                <w:szCs w:val="20"/>
              </w:rPr>
              <w:t>40</w:t>
            </w:r>
            <w:r w:rsidRPr="00BC3D02">
              <w:rPr>
                <w:rFonts w:ascii="Arial Narrow" w:hAnsi="Arial Narrow" w:cs="Arial Narrow"/>
                <w:bCs/>
                <w:sz w:val="20"/>
                <w:szCs w:val="20"/>
              </w:rPr>
              <w:t>)</w:t>
            </w:r>
          </w:p>
          <w:p w14:paraId="136173D8" w14:textId="77777777" w:rsidR="00061768" w:rsidRDefault="00061768" w:rsidP="004C79C1">
            <w:pPr>
              <w:tabs>
                <w:tab w:val="left" w:pos="310"/>
                <w:tab w:val="left" w:pos="3152"/>
                <w:tab w:val="left" w:pos="3719"/>
                <w:tab w:val="left" w:pos="4428"/>
              </w:tabs>
              <w:spacing w:after="120" w:line="240" w:lineRule="auto"/>
              <w:rPr>
                <w:rFonts w:ascii="Arial Narrow" w:hAnsi="Arial Narrow" w:cs="Arial Narrow"/>
                <w:bCs/>
                <w:sz w:val="20"/>
                <w:szCs w:val="20"/>
              </w:rPr>
            </w:pPr>
            <w:r>
              <w:rPr>
                <w:rFonts w:ascii="Arial Narrow" w:hAnsi="Arial Narrow" w:cs="Arial Narrow"/>
                <w:bCs/>
                <w:sz w:val="20"/>
                <w:szCs w:val="20"/>
              </w:rPr>
              <w:tab/>
              <w:t>ITT</w:t>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t>2.00 (1.17, 3.43)</w:t>
            </w:r>
          </w:p>
          <w:p w14:paraId="1CA5D966"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rPr>
            </w:pPr>
            <w:r w:rsidRPr="0094599A">
              <w:rPr>
                <w:rFonts w:ascii="Arial Narrow" w:hAnsi="Arial Narrow" w:cs="Arial Narrow"/>
                <w:bCs/>
                <w:sz w:val="20"/>
                <w:szCs w:val="20"/>
              </w:rPr>
              <w:t>Recurrent LV</w:t>
            </w:r>
            <w:r>
              <w:rPr>
                <w:rFonts w:ascii="Arial Narrow" w:hAnsi="Arial Narrow" w:cs="Arial Narrow"/>
                <w:bCs/>
                <w:sz w:val="20"/>
                <w:szCs w:val="20"/>
              </w:rPr>
              <w:t>D</w:t>
            </w:r>
            <w:r w:rsidRPr="0094599A">
              <w:rPr>
                <w:rFonts w:ascii="Arial Narrow" w:hAnsi="Arial Narrow" w:cs="Arial Narrow"/>
                <w:bCs/>
                <w:sz w:val="20"/>
                <w:szCs w:val="20"/>
              </w:rPr>
              <w:t xml:space="preserve"> after stopping HF drugs</w:t>
            </w:r>
            <w:r w:rsidRPr="0094599A">
              <w:rPr>
                <w:rFonts w:ascii="Arial Narrow" w:hAnsi="Arial Narrow" w:cs="Arial Narrow"/>
                <w:bCs/>
                <w:sz w:val="20"/>
                <w:szCs w:val="20"/>
              </w:rPr>
              <w:tab/>
              <w:t>0</w:t>
            </w:r>
            <w:r w:rsidRPr="0094599A">
              <w:rPr>
                <w:rFonts w:ascii="Arial Narrow" w:hAnsi="Arial Narrow" w:cs="Arial Narrow"/>
                <w:bCs/>
                <w:sz w:val="20"/>
                <w:szCs w:val="20"/>
              </w:rPr>
              <w:tab/>
              <w:t>0</w:t>
            </w:r>
          </w:p>
          <w:p w14:paraId="2191CCD0" w14:textId="77777777" w:rsidR="00061768" w:rsidRDefault="00061768" w:rsidP="004C79C1">
            <w:pPr>
              <w:tabs>
                <w:tab w:val="left" w:pos="310"/>
                <w:tab w:val="left" w:pos="3152"/>
                <w:tab w:val="left" w:pos="3719"/>
                <w:tab w:val="left" w:pos="4428"/>
              </w:tabs>
              <w:spacing w:after="120" w:line="240" w:lineRule="auto"/>
              <w:rPr>
                <w:rFonts w:ascii="Arial Narrow" w:hAnsi="Arial Narrow" w:cs="Arial Narrow"/>
                <w:bCs/>
                <w:sz w:val="20"/>
                <w:szCs w:val="20"/>
              </w:rPr>
            </w:pPr>
            <w:r w:rsidRPr="0094599A">
              <w:rPr>
                <w:rFonts w:ascii="Arial Narrow" w:hAnsi="Arial Narrow" w:cs="Arial Narrow"/>
                <w:bCs/>
                <w:sz w:val="20"/>
                <w:szCs w:val="20"/>
              </w:rPr>
              <w:t>Persisting LV</w:t>
            </w:r>
            <w:r>
              <w:rPr>
                <w:rFonts w:ascii="Arial Narrow" w:hAnsi="Arial Narrow" w:cs="Arial Narrow"/>
                <w:bCs/>
                <w:sz w:val="20"/>
                <w:szCs w:val="20"/>
              </w:rPr>
              <w:t>D</w:t>
            </w:r>
            <w:r w:rsidRPr="0094599A">
              <w:rPr>
                <w:rFonts w:ascii="Arial Narrow" w:hAnsi="Arial Narrow" w:cs="Arial Narrow"/>
                <w:bCs/>
                <w:sz w:val="20"/>
                <w:szCs w:val="20"/>
              </w:rPr>
              <w:tab/>
              <w:t>5</w:t>
            </w:r>
            <w:r w:rsidRPr="0094599A">
              <w:rPr>
                <w:rFonts w:ascii="Arial Narrow" w:hAnsi="Arial Narrow" w:cs="Arial Narrow"/>
                <w:bCs/>
                <w:sz w:val="20"/>
                <w:szCs w:val="20"/>
              </w:rPr>
              <w:tab/>
              <w:t>17</w:t>
            </w:r>
            <w:r>
              <w:rPr>
                <w:rFonts w:ascii="Arial Narrow" w:hAnsi="Arial Narrow" w:cs="Arial Narrow"/>
                <w:bCs/>
                <w:sz w:val="20"/>
                <w:szCs w:val="20"/>
              </w:rPr>
              <w:tab/>
              <w:t>0.31 (0.13, 0.71)</w:t>
            </w:r>
            <w:r w:rsidRPr="0094599A">
              <w:rPr>
                <w:rFonts w:ascii="Arial Narrow" w:hAnsi="Arial Narrow" w:cs="Arial Narrow"/>
                <w:bCs/>
                <w:sz w:val="20"/>
                <w:szCs w:val="20"/>
              </w:rPr>
              <w:br/>
            </w:r>
            <w:r>
              <w:rPr>
                <w:rFonts w:ascii="Arial Narrow" w:hAnsi="Arial Narrow" w:cs="Arial Narrow"/>
                <w:bCs/>
                <w:sz w:val="20"/>
                <w:szCs w:val="20"/>
              </w:rPr>
              <w:tab/>
              <w:t>ITT</w:t>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t>0.29 (0.12, 0.70)</w:t>
            </w:r>
          </w:p>
          <w:p w14:paraId="716B0839" w14:textId="77777777" w:rsidR="00061768" w:rsidRDefault="00061768" w:rsidP="004C79C1">
            <w:pPr>
              <w:tabs>
                <w:tab w:val="left" w:pos="3152"/>
                <w:tab w:val="left" w:pos="3719"/>
                <w:tab w:val="left" w:pos="4428"/>
              </w:tabs>
              <w:spacing w:after="120" w:line="240" w:lineRule="auto"/>
              <w:rPr>
                <w:rFonts w:ascii="Arial Narrow" w:hAnsi="Arial Narrow" w:cs="Arial Narrow"/>
                <w:bCs/>
                <w:sz w:val="20"/>
                <w:szCs w:val="20"/>
              </w:rPr>
            </w:pPr>
            <w:r w:rsidRPr="0094599A">
              <w:rPr>
                <w:rFonts w:ascii="Arial Narrow" w:hAnsi="Arial Narrow" w:cs="Arial Narrow"/>
                <w:bCs/>
                <w:sz w:val="20"/>
                <w:szCs w:val="20"/>
              </w:rPr>
              <w:t>(Median LVEF = 41%, range 20–54%)</w:t>
            </w:r>
          </w:p>
          <w:p w14:paraId="3227698B" w14:textId="77777777" w:rsidR="00061768" w:rsidRPr="0094599A" w:rsidRDefault="00061768" w:rsidP="004C79C1">
            <w:pPr>
              <w:tabs>
                <w:tab w:val="left" w:pos="4144"/>
                <w:tab w:val="left" w:pos="5137"/>
              </w:tabs>
              <w:spacing w:after="120" w:line="240" w:lineRule="auto"/>
              <w:rPr>
                <w:rFonts w:ascii="Arial Narrow" w:hAnsi="Arial Narrow" w:cs="Arial Narrow"/>
                <w:b/>
                <w:bCs/>
                <w:sz w:val="20"/>
                <w:szCs w:val="20"/>
              </w:rPr>
            </w:pPr>
            <w:r w:rsidRPr="0094599A">
              <w:rPr>
                <w:rFonts w:ascii="Arial Narrow" w:hAnsi="Arial Narrow" w:cs="Arial Narrow"/>
                <w:b/>
                <w:bCs/>
                <w:sz w:val="20"/>
                <w:szCs w:val="20"/>
              </w:rPr>
              <w:t>Predictors of LV function recovery</w:t>
            </w:r>
            <w:r>
              <w:t xml:space="preserve"> </w:t>
            </w:r>
            <w:r w:rsidRPr="00BC3D02">
              <w:rPr>
                <w:rFonts w:ascii="Arial Narrow" w:hAnsi="Arial Narrow" w:cs="Arial Narrow"/>
                <w:b/>
                <w:bCs/>
                <w:sz w:val="20"/>
                <w:szCs w:val="20"/>
              </w:rPr>
              <w:t>in a logistic regression model</w:t>
            </w:r>
            <w:r w:rsidRPr="0094599A">
              <w:rPr>
                <w:rFonts w:ascii="Arial Narrow" w:hAnsi="Arial Narrow" w:cs="Arial Narrow"/>
                <w:b/>
                <w:bCs/>
                <w:sz w:val="20"/>
                <w:szCs w:val="20"/>
              </w:rPr>
              <w:t>:</w:t>
            </w:r>
          </w:p>
          <w:p w14:paraId="2D08D6A2" w14:textId="77777777" w:rsidR="00061768" w:rsidRPr="0094599A" w:rsidRDefault="00061768" w:rsidP="004C79C1">
            <w:pPr>
              <w:tabs>
                <w:tab w:val="left" w:pos="4144"/>
                <w:tab w:val="left" w:pos="5137"/>
              </w:tabs>
              <w:spacing w:after="120" w:line="240" w:lineRule="auto"/>
              <w:rPr>
                <w:rFonts w:ascii="Arial Narrow" w:hAnsi="Arial Narrow" w:cs="Arial Narrow"/>
                <w:bCs/>
                <w:sz w:val="20"/>
                <w:szCs w:val="20"/>
              </w:rPr>
            </w:pPr>
            <w:r w:rsidRPr="0094599A">
              <w:rPr>
                <w:rFonts w:ascii="Arial Narrow" w:hAnsi="Arial Narrow" w:cs="Arial Narrow"/>
                <w:bCs/>
                <w:sz w:val="20"/>
                <w:szCs w:val="20"/>
              </w:rPr>
              <w:t>Presence of myocardial inflammation</w:t>
            </w:r>
            <w:r>
              <w:rPr>
                <w:rFonts w:ascii="Arial Narrow" w:hAnsi="Arial Narrow" w:cs="Arial Narrow"/>
                <w:bCs/>
                <w:sz w:val="20"/>
                <w:szCs w:val="20"/>
              </w:rPr>
              <w:tab/>
            </w:r>
            <w:r w:rsidRPr="0094599A">
              <w:rPr>
                <w:rFonts w:ascii="Arial Narrow" w:hAnsi="Arial Narrow" w:cs="Arial Narrow"/>
                <w:bCs/>
                <w:sz w:val="20"/>
                <w:szCs w:val="20"/>
              </w:rPr>
              <w:t>OR = 3.76 (p=0.02)</w:t>
            </w:r>
          </w:p>
          <w:p w14:paraId="471ED639" w14:textId="77777777" w:rsidR="00061768" w:rsidRDefault="00061768" w:rsidP="004C79C1">
            <w:pPr>
              <w:tabs>
                <w:tab w:val="left" w:pos="4144"/>
                <w:tab w:val="left" w:pos="5137"/>
              </w:tabs>
              <w:spacing w:after="120" w:line="240" w:lineRule="auto"/>
              <w:ind w:right="-57"/>
              <w:rPr>
                <w:rFonts w:ascii="Arial Narrow" w:hAnsi="Arial Narrow" w:cs="Arial Narrow"/>
                <w:bCs/>
                <w:sz w:val="20"/>
                <w:szCs w:val="20"/>
              </w:rPr>
            </w:pPr>
            <w:r w:rsidRPr="0094599A">
              <w:rPr>
                <w:rFonts w:ascii="Arial Narrow" w:hAnsi="Arial Narrow" w:cs="Arial Narrow"/>
                <w:bCs/>
                <w:sz w:val="20"/>
                <w:szCs w:val="20"/>
              </w:rPr>
              <w:t>Elevated troponin levels at baseline</w:t>
            </w:r>
            <w:r>
              <w:rPr>
                <w:rFonts w:ascii="Arial Narrow" w:hAnsi="Arial Narrow" w:cs="Arial Narrow"/>
                <w:bCs/>
                <w:sz w:val="20"/>
                <w:szCs w:val="20"/>
              </w:rPr>
              <w:tab/>
            </w:r>
            <w:r w:rsidRPr="0094599A">
              <w:rPr>
                <w:rFonts w:ascii="Arial Narrow" w:hAnsi="Arial Narrow" w:cs="Arial Narrow"/>
                <w:bCs/>
                <w:sz w:val="20"/>
                <w:szCs w:val="20"/>
              </w:rPr>
              <w:t>OR = 2.76 (p=0.03)</w:t>
            </w:r>
          </w:p>
          <w:p w14:paraId="050D2C97" w14:textId="79B73A9C" w:rsidR="00061768" w:rsidRPr="00053C4E" w:rsidRDefault="00061768" w:rsidP="004C79C1">
            <w:pPr>
              <w:tabs>
                <w:tab w:val="left" w:pos="4144"/>
                <w:tab w:val="left" w:pos="5137"/>
              </w:tabs>
              <w:spacing w:after="120" w:line="240" w:lineRule="auto"/>
              <w:ind w:right="-57"/>
              <w:rPr>
                <w:rFonts w:ascii="Arial Narrow" w:hAnsi="Arial Narrow" w:cs="Arial Narrow"/>
                <w:bCs/>
                <w:sz w:val="20"/>
                <w:szCs w:val="20"/>
              </w:rPr>
            </w:pPr>
            <w:r w:rsidRPr="00BC3D02">
              <w:rPr>
                <w:rFonts w:ascii="Arial Narrow" w:hAnsi="Arial Narrow" w:cs="Arial Narrow"/>
                <w:bCs/>
                <w:sz w:val="20"/>
                <w:szCs w:val="20"/>
              </w:rPr>
              <w:t>Age,</w:t>
            </w:r>
            <w:r>
              <w:rPr>
                <w:rFonts w:ascii="Arial Narrow" w:hAnsi="Arial Narrow" w:cs="Arial Narrow"/>
                <w:bCs/>
                <w:sz w:val="20"/>
                <w:szCs w:val="20"/>
              </w:rPr>
              <w:t xml:space="preserve"> </w:t>
            </w:r>
            <w:r w:rsidRPr="00BC3D02">
              <w:rPr>
                <w:rFonts w:ascii="Arial Narrow" w:hAnsi="Arial Narrow" w:cs="Arial Narrow"/>
                <w:bCs/>
                <w:sz w:val="20"/>
                <w:szCs w:val="20"/>
              </w:rPr>
              <w:t>gender and baseline CMR LV</w:t>
            </w:r>
            <w:r>
              <w:rPr>
                <w:rFonts w:ascii="Arial Narrow" w:hAnsi="Arial Narrow" w:cs="Arial Narrow"/>
                <w:bCs/>
                <w:sz w:val="20"/>
                <w:szCs w:val="20"/>
              </w:rPr>
              <w:t>EF</w:t>
            </w:r>
            <w:r w:rsidRPr="00BC3D02">
              <w:rPr>
                <w:rFonts w:ascii="Arial Narrow" w:hAnsi="Arial Narrow" w:cs="Arial Narrow"/>
                <w:bCs/>
                <w:sz w:val="20"/>
                <w:szCs w:val="20"/>
              </w:rPr>
              <w:t xml:space="preserve"> did not predict</w:t>
            </w:r>
            <w:r>
              <w:rPr>
                <w:rFonts w:ascii="Arial Narrow" w:hAnsi="Arial Narrow" w:cs="Arial Narrow"/>
                <w:bCs/>
                <w:sz w:val="20"/>
                <w:szCs w:val="20"/>
              </w:rPr>
              <w:t xml:space="preserve"> </w:t>
            </w:r>
            <w:r w:rsidRPr="00BC3D02">
              <w:rPr>
                <w:rFonts w:ascii="Arial Narrow" w:hAnsi="Arial Narrow" w:cs="Arial Narrow"/>
                <w:bCs/>
                <w:sz w:val="20"/>
                <w:szCs w:val="20"/>
              </w:rPr>
              <w:t>complete LV</w:t>
            </w:r>
            <w:r>
              <w:rPr>
                <w:rFonts w:ascii="Arial Narrow" w:hAnsi="Arial Narrow" w:cs="Arial Narrow"/>
                <w:bCs/>
                <w:sz w:val="20"/>
                <w:szCs w:val="20"/>
              </w:rPr>
              <w:t xml:space="preserve"> </w:t>
            </w:r>
            <w:r w:rsidRPr="00BC3D02">
              <w:rPr>
                <w:rFonts w:ascii="Arial Narrow" w:hAnsi="Arial Narrow" w:cs="Arial Narrow"/>
                <w:bCs/>
                <w:sz w:val="20"/>
                <w:szCs w:val="20"/>
              </w:rPr>
              <w:t>recovery</w:t>
            </w:r>
          </w:p>
        </w:tc>
      </w:tr>
    </w:tbl>
    <w:p w14:paraId="02F5A137" w14:textId="77777777" w:rsidR="00B907DE" w:rsidRDefault="00061768" w:rsidP="004C79C1">
      <w:pPr>
        <w:pStyle w:val="Tablenotes0"/>
        <w:spacing w:before="0" w:after="120"/>
      </w:pPr>
      <w:bookmarkStart w:id="350" w:name="_Toc324410156"/>
      <w:r w:rsidRPr="00254898">
        <w:t xml:space="preserve">CI = confidence interval; CMR = cardiac magnetic resonance </w:t>
      </w:r>
      <w:r w:rsidR="000728E6">
        <w:rPr>
          <w:b/>
        </w:rPr>
        <w:t>(</w:t>
      </w:r>
      <w:r w:rsidRPr="00254898">
        <w:t>imaging</w:t>
      </w:r>
      <w:r w:rsidR="000728E6">
        <w:rPr>
          <w:b/>
        </w:rPr>
        <w:t>)</w:t>
      </w:r>
      <w:r w:rsidRPr="00254898">
        <w:t xml:space="preserve">; DCM = dilated cardiomyopathy; ECG = electrocardiogram; EGE = early gadolinium enhancement; HF = heart failure; LGE = late gadolinium enhancement; LV = left ventricular; LVD = left ventricular dysfunction; LVEF = left ventricular ejection fraction; OR = odds ratio; </w:t>
      </w:r>
      <w:r w:rsidR="000B2615" w:rsidRPr="00254898">
        <w:t>RR = relative risk;</w:t>
      </w:r>
      <w:r w:rsidR="000B2615">
        <w:rPr>
          <w:b/>
        </w:rPr>
        <w:t xml:space="preserve"> </w:t>
      </w:r>
      <w:r w:rsidRPr="00254898">
        <w:t>T2 = global myocardial T2 signal hyper-intensity</w:t>
      </w:r>
      <w:bookmarkEnd w:id="350"/>
    </w:p>
    <w:p w14:paraId="3AF57625" w14:textId="1D411A91" w:rsidR="00061768" w:rsidRPr="00254898" w:rsidRDefault="00061768" w:rsidP="004C79C1">
      <w:pPr>
        <w:pStyle w:val="Tablenotes0"/>
        <w:spacing w:before="0" w:after="120"/>
      </w:pPr>
    </w:p>
    <w:p w14:paraId="75C24381" w14:textId="2F6B908B" w:rsidR="00061768" w:rsidRDefault="00061768" w:rsidP="004C79C1">
      <w:pPr>
        <w:spacing w:after="120" w:line="240" w:lineRule="auto"/>
        <w:jc w:val="both"/>
      </w:pPr>
      <w:r w:rsidRPr="00DB75CD">
        <w:lastRenderedPageBreak/>
        <w:t xml:space="preserve">These children were all treated </w:t>
      </w:r>
      <w:r>
        <w:t>optimally</w:t>
      </w:r>
      <w:r w:rsidRPr="00DB75CD">
        <w:t>,</w:t>
      </w:r>
      <w:r>
        <w:t xml:space="preserve"> </w:t>
      </w:r>
      <w:r w:rsidRPr="00DB75CD">
        <w:t xml:space="preserve">including mechanical circulatory support, intravenous inotropic support, intravenous diuretics, </w:t>
      </w:r>
      <w:r w:rsidR="009D691A">
        <w:t>i</w:t>
      </w:r>
      <w:r w:rsidRPr="00DB75CD">
        <w:t xml:space="preserve">mmune globulin therapy, </w:t>
      </w:r>
      <w:r w:rsidR="00D8611B">
        <w:t xml:space="preserve">and </w:t>
      </w:r>
      <w:r w:rsidRPr="00DB75CD">
        <w:t>immunosuppressive and/or steroid treatment as required</w:t>
      </w:r>
      <w:r>
        <w:t>, and followed for a mean of 24</w:t>
      </w:r>
      <w:r w:rsidR="009D691A">
        <w:t> </w:t>
      </w:r>
      <w:r>
        <w:t>months (range 6–55</w:t>
      </w:r>
      <w:r w:rsidR="009D691A">
        <w:t> </w:t>
      </w:r>
      <w:r>
        <w:t>months)</w:t>
      </w:r>
      <w:r w:rsidRPr="00DB75CD">
        <w:t xml:space="preserve">. </w:t>
      </w:r>
      <w:r>
        <w:t xml:space="preserve">During this time </w:t>
      </w:r>
      <w:r w:rsidR="00D97353">
        <w:t xml:space="preserve">3 </w:t>
      </w:r>
      <w:r>
        <w:t xml:space="preserve">children died and </w:t>
      </w:r>
      <w:r w:rsidR="00D97353">
        <w:t xml:space="preserve">1 </w:t>
      </w:r>
      <w:r>
        <w:t>child required a heart transplant. There was no difference in the likelihood of death or cardiac transplant in children who were CMR+ for inflammation compared with those who were CMR</w:t>
      </w:r>
      <w:r w:rsidRPr="00DB75CD">
        <w:t>– (</w:t>
      </w:r>
      <w:r>
        <w:fldChar w:fldCharType="begin"/>
      </w:r>
      <w:r>
        <w:instrText xml:space="preserve"> REF _Ref445908211 \h </w:instrText>
      </w:r>
      <w:r>
        <w:fldChar w:fldCharType="separate"/>
      </w:r>
      <w:r w:rsidR="007A2B3E">
        <w:t xml:space="preserve">Table </w:t>
      </w:r>
      <w:r w:rsidR="007A2B3E">
        <w:rPr>
          <w:noProof/>
        </w:rPr>
        <w:t>15</w:t>
      </w:r>
      <w:r>
        <w:fldChar w:fldCharType="end"/>
      </w:r>
      <w:r w:rsidRPr="00DB75CD">
        <w:t>)</w:t>
      </w:r>
      <w:r>
        <w:t xml:space="preserve">. Two children did not have complete CMR data (EGE and LGE </w:t>
      </w:r>
      <w:r w:rsidR="008050B2">
        <w:t xml:space="preserve">were </w:t>
      </w:r>
      <w:r>
        <w:t>not done) and were excluded</w:t>
      </w:r>
      <w:r w:rsidR="00E2325B">
        <w:t>,</w:t>
      </w:r>
      <w:r>
        <w:t xml:space="preserve"> along with those who died or required a transplant from the analysis on LV recovery.</w:t>
      </w:r>
    </w:p>
    <w:p w14:paraId="38A49271" w14:textId="68807EFB" w:rsidR="00061768" w:rsidRDefault="00061768" w:rsidP="004C79C1">
      <w:pPr>
        <w:spacing w:after="120" w:line="240" w:lineRule="auto"/>
        <w:jc w:val="both"/>
      </w:pPr>
      <w:r>
        <w:t>During the follow-up period 33/55 children recovered with normal LV function (LVEF &gt;55%) and dimensions on ECG. Additionally, when oral HF treatment was progressively stopped in these children after being stable for at least 6</w:t>
      </w:r>
      <w:r w:rsidR="000508FE">
        <w:t> </w:t>
      </w:r>
      <w:r>
        <w:t>months, LV dysfunction</w:t>
      </w:r>
      <w:r w:rsidRPr="00E901B3">
        <w:t xml:space="preserve"> </w:t>
      </w:r>
      <w:r>
        <w:t xml:space="preserve">did not recur. Surprisingly, recovery of LV function was twice as likely in children who were LGE+ compared </w:t>
      </w:r>
      <w:r w:rsidR="000508FE">
        <w:t xml:space="preserve">with </w:t>
      </w:r>
      <w:r>
        <w:t>those who were LGE</w:t>
      </w:r>
      <w:r w:rsidRPr="00DB75CD">
        <w:rPr>
          <w:rFonts w:asciiTheme="minorHAnsi" w:hAnsiTheme="minorHAnsi"/>
        </w:rPr>
        <w:t>–</w:t>
      </w:r>
      <w:r>
        <w:rPr>
          <w:rFonts w:asciiTheme="minorHAnsi" w:hAnsiTheme="minorHAnsi"/>
        </w:rPr>
        <w:t xml:space="preserve"> (RR = </w:t>
      </w:r>
      <w:r w:rsidRPr="00EA060F">
        <w:t>2.07</w:t>
      </w:r>
      <w:r>
        <w:t>,</w:t>
      </w:r>
      <w:r w:rsidRPr="00EA060F">
        <w:t xml:space="preserve"> </w:t>
      </w:r>
      <w:r>
        <w:t xml:space="preserve">95%CI </w:t>
      </w:r>
      <w:r w:rsidRPr="00EA060F">
        <w:t>1.27, 3.40)</w:t>
      </w:r>
      <w:r>
        <w:t>. Therefore, the presence of LGE may predict LV functional recovery in children with a recent diagnosis of DCM of unknown origin.</w:t>
      </w:r>
    </w:p>
    <w:p w14:paraId="1C92C628" w14:textId="3CA9CAF2" w:rsidR="00061768" w:rsidRDefault="00061768" w:rsidP="004C79C1">
      <w:pPr>
        <w:spacing w:after="120" w:line="240" w:lineRule="auto"/>
        <w:jc w:val="both"/>
      </w:pPr>
      <w:r>
        <w:t xml:space="preserve">This agrees with the findings reported by Raimondi et al. </w:t>
      </w:r>
      <w:r w:rsidR="00187A29">
        <w:fldChar w:fldCharType="begin"/>
      </w:r>
      <w:r w:rsidR="00187A29">
        <w:instrText xml:space="preserve"> ADDIN EN.CITE &lt;EndNote&gt;&lt;Cite ExcludeAuth="1"&gt;&lt;Author&gt;Raimondi&lt;/Author&gt;&lt;Year&gt;2015&lt;/Year&gt;&lt;RecNum&gt;58&lt;/RecNum&gt;&lt;DisplayText&gt;(2015)&lt;/DisplayText&gt;&lt;record&gt;&lt;rec-number&gt;58&lt;/rec-number&gt;&lt;foreign-keys&gt;&lt;key app="EN" db-id="pfxxvref0t0a5de2vwnv2fwkz0p9v0r2fw0t" timestamp="1458109055"&gt;58&lt;/key&gt;&lt;/foreign-keys&gt;&lt;ref-type name="Journal Article"&gt;17&lt;/ref-type&gt;&lt;contributors&gt;&lt;authors&gt;&lt;author&gt;Raimondi, F.&lt;/author&gt;&lt;author&gt;Iserin, F.&lt;/author&gt;&lt;author&gt;Raisky, O.&lt;/author&gt;&lt;author&gt;Laux, D.&lt;/author&gt;&lt;author&gt;Bajolle, F.&lt;/author&gt;&lt;author&gt;Boudjemline, Y.&lt;/author&gt;&lt;author&gt;Boddaert, N.&lt;/author&gt;&lt;author&gt;Bonnet, D.&lt;/author&gt;&lt;/authors&gt;&lt;/contributors&gt;&lt;titles&gt;&lt;title&gt;Myocardial inflammation on cardiovascular magnetic resonance predicts left ventricular function recovery in children with recent dilated cardiomyopathy&lt;/title&gt;&lt;secondary-title&gt;European Heart Journal Cardiovascular Imaging&lt;/secondary-title&gt;&lt;/titles&gt;&lt;periodical&gt;&lt;full-title&gt;European Heart Journal Cardiovascular Imaging&lt;/full-title&gt;&lt;/periodical&gt;&lt;pages&gt;756-62&lt;/pages&gt;&lt;volume&gt;16&lt;/volume&gt;&lt;number&gt;7&lt;/number&gt;&lt;dates&gt;&lt;year&gt;2015&lt;/year&gt;&lt;pub-dates&gt;&lt;date&gt;2015-01-01&lt;/date&gt;&lt;/pub-dates&gt;&lt;/dates&gt;&lt;urls&gt;&lt;related-urls&gt;&lt;url&gt;http://ehjcimaging.oxfordjournals.org/content/ejechocard/16/7/756.full.pdf&lt;/url&gt;&lt;/related-urls&gt;&lt;/urls&gt;&lt;custom1&gt;RAYYAN-INCLUSION: {&amp;quot;Sharon&amp;quot;=&amp;gt;true} | RAYYAN-LABELS: prognostic,DCM&lt;/custom1&gt;&lt;research-notes&gt;Acceptable&lt;/research-notes&gt;&lt;language&gt;eng&lt;/language&gt;&lt;/record&gt;&lt;/Cite&gt;&lt;/EndNote&gt;</w:instrText>
      </w:r>
      <w:r w:rsidR="00187A29">
        <w:fldChar w:fldCharType="separate"/>
      </w:r>
      <w:r w:rsidR="00187A29">
        <w:rPr>
          <w:noProof/>
        </w:rPr>
        <w:t>(</w:t>
      </w:r>
      <w:hyperlink w:anchor="_ENREF_106" w:tooltip="Raimondi, 2015 #58" w:history="1">
        <w:r w:rsidR="00B906E9">
          <w:rPr>
            <w:noProof/>
          </w:rPr>
          <w:t>2015</w:t>
        </w:r>
      </w:hyperlink>
      <w:r w:rsidR="00187A29">
        <w:rPr>
          <w:noProof/>
        </w:rPr>
        <w:t>)</w:t>
      </w:r>
      <w:r w:rsidR="00187A29">
        <w:fldChar w:fldCharType="end"/>
      </w:r>
      <w:r>
        <w:t xml:space="preserve"> that only the presence of myocardial inflammation as detected by CMR and elevated troponin levels, which is also a measure of inflammation as well as heart muscle damage, p</w:t>
      </w:r>
      <w:r w:rsidRPr="00126FC8">
        <w:t>redict</w:t>
      </w:r>
      <w:r>
        <w:t>ed</w:t>
      </w:r>
      <w:r w:rsidRPr="00126FC8">
        <w:t xml:space="preserve"> LV function</w:t>
      </w:r>
      <w:r>
        <w:t>al</w:t>
      </w:r>
      <w:r w:rsidRPr="00126FC8">
        <w:t xml:space="preserve"> recovery in a logistic regression model</w:t>
      </w:r>
      <w:r>
        <w:t>. They found that the odds of LV recovery were nearly 4-times higher in children with myocardial inflammation by CMR compared with those who had no detectable inflammation.</w:t>
      </w:r>
    </w:p>
    <w:p w14:paraId="45C89C7C" w14:textId="4766031A" w:rsidR="00061768" w:rsidRDefault="00061768" w:rsidP="004C79C1">
      <w:pPr>
        <w:spacing w:after="120" w:line="240" w:lineRule="auto"/>
        <w:jc w:val="both"/>
      </w:pPr>
      <w:r>
        <w:t>This result appears to contradict that seen in adults, where the presence of LGE was found to be predictive of adverse health outcomes. However, in adults LGE-CMR was used to detect fibrotic or scarred myocardium as opposed to inflammation. The greatest difference between fibrotic and inflamed myocardium is in its ability to recover. Once the myocardium has become fibrotic it is permanently scarred</w:t>
      </w:r>
      <w:r w:rsidR="008F400E">
        <w:t>,</w:t>
      </w:r>
      <w:r>
        <w:t xml:space="preserve"> leading to worse health outcomes in adults.</w:t>
      </w:r>
    </w:p>
    <w:p w14:paraId="3C28247A" w14:textId="07AED96A" w:rsidR="00061768" w:rsidRDefault="00061768" w:rsidP="004C79C1">
      <w:pPr>
        <w:spacing w:after="120" w:line="240" w:lineRule="auto"/>
        <w:jc w:val="both"/>
      </w:pPr>
      <w:r>
        <w:t xml:space="preserve">In children </w:t>
      </w:r>
      <w:r w:rsidRPr="00EF7087">
        <w:t>recent</w:t>
      </w:r>
      <w:r>
        <w:t>ly</w:t>
      </w:r>
      <w:r w:rsidRPr="00EF7087">
        <w:t xml:space="preserve"> diagnos</w:t>
      </w:r>
      <w:r w:rsidR="008F400E">
        <w:t>ed</w:t>
      </w:r>
      <w:r w:rsidRPr="00EF7087">
        <w:t xml:space="preserve"> </w:t>
      </w:r>
      <w:r w:rsidR="008F400E">
        <w:t>with</w:t>
      </w:r>
      <w:r w:rsidR="008F400E" w:rsidRPr="00EF7087">
        <w:t xml:space="preserve"> </w:t>
      </w:r>
      <w:r w:rsidRPr="00EF7087">
        <w:t>DCM</w:t>
      </w:r>
      <w:r>
        <w:t>, the damage caused to the myocardium by the inflammation detected by LGE was reversible</w:t>
      </w:r>
      <w:r w:rsidR="008F400E">
        <w:t>,</w:t>
      </w:r>
      <w:r>
        <w:t xml:space="preserve"> with full recovery of LV function possible. </w:t>
      </w:r>
      <w:r w:rsidRPr="00C0729D">
        <w:t>Of the 55 children followed in this study, 37 underwent a second CMR</w:t>
      </w:r>
      <w:r>
        <w:t xml:space="preserve"> scan, either after recovery of LV function or </w:t>
      </w:r>
      <w:r w:rsidR="00593716">
        <w:t xml:space="preserve">at </w:t>
      </w:r>
      <w:r>
        <w:t>a median of 23</w:t>
      </w:r>
      <w:r w:rsidR="00794DA7">
        <w:t> </w:t>
      </w:r>
      <w:r>
        <w:t>months after the first scan</w:t>
      </w:r>
      <w:r w:rsidRPr="00C0729D">
        <w:t xml:space="preserve"> (</w:t>
      </w:r>
      <w:r>
        <w:fldChar w:fldCharType="begin"/>
      </w:r>
      <w:r>
        <w:instrText xml:space="preserve"> REF _Ref445908259 \h </w:instrText>
      </w:r>
      <w:r>
        <w:fldChar w:fldCharType="separate"/>
      </w:r>
      <w:r w:rsidR="00D54939">
        <w:t xml:space="preserve">Table </w:t>
      </w:r>
      <w:r w:rsidR="00D54939">
        <w:rPr>
          <w:noProof/>
        </w:rPr>
        <w:t>16</w:t>
      </w:r>
      <w:r>
        <w:fldChar w:fldCharType="end"/>
      </w:r>
      <w:r w:rsidRPr="00C0729D">
        <w:t>)</w:t>
      </w:r>
      <w:r>
        <w:t xml:space="preserve">. Of the 21 children who were originally diagnosed as LGE+ after the first scan, only 6 (29%) were still LGE+ </w:t>
      </w:r>
      <w:r w:rsidR="00593716">
        <w:t xml:space="preserve">following </w:t>
      </w:r>
      <w:r>
        <w:t xml:space="preserve">the second scan. Only </w:t>
      </w:r>
      <w:r w:rsidR="00593716">
        <w:t xml:space="preserve">3 </w:t>
      </w:r>
      <w:r>
        <w:t xml:space="preserve">of these children (14%) still had LV dysfunction, and all </w:t>
      </w:r>
      <w:r w:rsidR="00593716">
        <w:t xml:space="preserve">these </w:t>
      </w:r>
      <w:r>
        <w:t>were still LGE+. Of the 16 children who were found to be LGE</w:t>
      </w:r>
      <w:r>
        <w:rPr>
          <w:rFonts w:ascii="Arial Narrow" w:hAnsi="Arial Narrow"/>
        </w:rPr>
        <w:t>–</w:t>
      </w:r>
      <w:r>
        <w:t xml:space="preserve"> </w:t>
      </w:r>
      <w:r w:rsidR="00593716">
        <w:t xml:space="preserve">at </w:t>
      </w:r>
      <w:r>
        <w:t xml:space="preserve">the first scan, none were LGE+ </w:t>
      </w:r>
      <w:r w:rsidR="00A015BC">
        <w:t xml:space="preserve">following </w:t>
      </w:r>
      <w:r>
        <w:t>the second scan</w:t>
      </w:r>
      <w:r w:rsidR="00DA7525">
        <w:t>,</w:t>
      </w:r>
      <w:r>
        <w:t xml:space="preserve"> but only </w:t>
      </w:r>
      <w:r w:rsidR="00A015BC">
        <w:t xml:space="preserve">7 </w:t>
      </w:r>
      <w:r>
        <w:t>(44%) had fully recovered LV function, compared with 18/21 (86%) of those who were LGE+.</w:t>
      </w:r>
    </w:p>
    <w:p w14:paraId="6B0C3795" w14:textId="05505A27" w:rsidR="00061768" w:rsidRDefault="00061768" w:rsidP="004C79C1">
      <w:pPr>
        <w:pStyle w:val="Caption"/>
      </w:pPr>
      <w:bookmarkStart w:id="351" w:name="_Ref445908259"/>
      <w:bookmarkStart w:id="352" w:name="_Toc324410157"/>
      <w:bookmarkStart w:id="353" w:name="_Toc451435343"/>
      <w:r>
        <w:t xml:space="preserve">Table </w:t>
      </w:r>
      <w:fldSimple w:instr=" SEQ Table \* ARABIC ">
        <w:r w:rsidR="00050936">
          <w:rPr>
            <w:noProof/>
          </w:rPr>
          <w:t>16</w:t>
        </w:r>
      </w:fldSimple>
      <w:bookmarkEnd w:id="351"/>
      <w:r>
        <w:tab/>
        <w:t>Outcomes of a second CMR scan conducted at least 6</w:t>
      </w:r>
      <w:r w:rsidR="00A015BC">
        <w:t> </w:t>
      </w:r>
      <w:r>
        <w:t>months after the first CMR scan</w:t>
      </w:r>
      <w:bookmarkEnd w:id="352"/>
      <w:bookmarkEnd w:id="353"/>
    </w:p>
    <w:tbl>
      <w:tblPr>
        <w:tblStyle w:val="TableGrid6"/>
        <w:tblW w:w="9067" w:type="dxa"/>
        <w:tblLayout w:type="fixed"/>
        <w:tblLook w:val="04A0" w:firstRow="1" w:lastRow="0" w:firstColumn="1" w:lastColumn="0" w:noHBand="0" w:noVBand="1"/>
        <w:tblDescription w:val="Outcomes of a second CMR scan conducted at least 6 months after the first CMR scan"/>
      </w:tblPr>
      <w:tblGrid>
        <w:gridCol w:w="1555"/>
        <w:gridCol w:w="1559"/>
        <w:gridCol w:w="5953"/>
      </w:tblGrid>
      <w:tr w:rsidR="00061768" w:rsidRPr="0094599A" w14:paraId="0CED6B13" w14:textId="77777777" w:rsidTr="00A474A9">
        <w:trPr>
          <w:tblHeader/>
        </w:trPr>
        <w:tc>
          <w:tcPr>
            <w:tcW w:w="1555" w:type="dxa"/>
          </w:tcPr>
          <w:p w14:paraId="4EBD321C" w14:textId="77777777" w:rsidR="00061768" w:rsidRPr="0094599A" w:rsidRDefault="00061768" w:rsidP="004C79C1">
            <w:pPr>
              <w:spacing w:after="120" w:line="240" w:lineRule="auto"/>
              <w:rPr>
                <w:rFonts w:ascii="Arial Narrow" w:hAnsi="Arial Narrow" w:cs="Arial Narrow"/>
                <w:b/>
                <w:bCs/>
                <w:sz w:val="20"/>
                <w:szCs w:val="20"/>
              </w:rPr>
            </w:pPr>
            <w:r w:rsidRPr="0094599A">
              <w:rPr>
                <w:rFonts w:ascii="Arial Narrow" w:hAnsi="Arial Narrow" w:cs="Arial Narrow"/>
                <w:b/>
                <w:bCs/>
                <w:sz w:val="20"/>
                <w:szCs w:val="20"/>
              </w:rPr>
              <w:t xml:space="preserve">Study </w:t>
            </w:r>
          </w:p>
        </w:tc>
        <w:tc>
          <w:tcPr>
            <w:tcW w:w="1559" w:type="dxa"/>
          </w:tcPr>
          <w:p w14:paraId="4B383410" w14:textId="77777777" w:rsidR="00061768" w:rsidRPr="0094599A" w:rsidRDefault="00061768" w:rsidP="004C79C1">
            <w:pPr>
              <w:spacing w:after="120" w:line="240" w:lineRule="auto"/>
              <w:rPr>
                <w:rFonts w:ascii="Arial Narrow" w:hAnsi="Arial Narrow" w:cs="Arial Narrow"/>
                <w:b/>
                <w:bCs/>
                <w:sz w:val="20"/>
                <w:szCs w:val="20"/>
              </w:rPr>
            </w:pPr>
            <w:r w:rsidRPr="0094599A">
              <w:rPr>
                <w:rFonts w:ascii="Arial Narrow" w:hAnsi="Arial Narrow" w:cs="Arial Narrow"/>
                <w:b/>
                <w:bCs/>
                <w:sz w:val="20"/>
                <w:szCs w:val="20"/>
              </w:rPr>
              <w:t xml:space="preserve">Patients </w:t>
            </w:r>
          </w:p>
        </w:tc>
        <w:tc>
          <w:tcPr>
            <w:tcW w:w="5953" w:type="dxa"/>
          </w:tcPr>
          <w:p w14:paraId="46322620" w14:textId="77777777" w:rsidR="00061768" w:rsidRPr="0094599A" w:rsidRDefault="00061768" w:rsidP="004C79C1">
            <w:pPr>
              <w:spacing w:after="120" w:line="240" w:lineRule="auto"/>
              <w:rPr>
                <w:rFonts w:ascii="Arial Narrow" w:hAnsi="Arial Narrow" w:cs="Arial Narrow"/>
                <w:b/>
                <w:bCs/>
                <w:sz w:val="20"/>
                <w:szCs w:val="20"/>
              </w:rPr>
            </w:pPr>
            <w:r>
              <w:rPr>
                <w:rFonts w:ascii="Arial Narrow" w:hAnsi="Arial Narrow" w:cs="Arial Narrow"/>
                <w:b/>
                <w:bCs/>
                <w:sz w:val="20"/>
                <w:szCs w:val="20"/>
              </w:rPr>
              <w:t xml:space="preserve">CMR and health </w:t>
            </w:r>
            <w:r w:rsidRPr="00022D62">
              <w:rPr>
                <w:rFonts w:ascii="Arial Narrow" w:hAnsi="Arial Narrow" w:cs="Arial Narrow"/>
                <w:b/>
                <w:bCs/>
                <w:sz w:val="20"/>
                <w:szCs w:val="20"/>
              </w:rPr>
              <w:t>outcomes</w:t>
            </w:r>
          </w:p>
        </w:tc>
      </w:tr>
      <w:tr w:rsidR="00061768" w:rsidRPr="0094599A" w14:paraId="68BE0F4B" w14:textId="77777777" w:rsidTr="00A474A9">
        <w:trPr>
          <w:trHeight w:val="619"/>
        </w:trPr>
        <w:tc>
          <w:tcPr>
            <w:tcW w:w="1555" w:type="dxa"/>
          </w:tcPr>
          <w:p w14:paraId="0B317C64" w14:textId="5335CC5F"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 xml:space="preserve">Raimondi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ExcludeAuth="1"&gt;&lt;Author&gt;Raimondi&lt;/Author&gt;&lt;Year&gt;2015&lt;/Year&gt;&lt;RecNum&gt;58&lt;/RecNum&gt;&lt;DisplayText&gt;(2015)&lt;/DisplayText&gt;&lt;record&gt;&lt;rec-number&gt;58&lt;/rec-number&gt;&lt;foreign-keys&gt;&lt;key app="EN" db-id="pfxxvref0t0a5de2vwnv2fwkz0p9v0r2fw0t" timestamp="1458109055"&gt;58&lt;/key&gt;&lt;/foreign-keys&gt;&lt;ref-type name="Journal Article"&gt;17&lt;/ref-type&gt;&lt;contributors&gt;&lt;authors&gt;&lt;author&gt;Raimondi, F.&lt;/author&gt;&lt;author&gt;Iserin, F.&lt;/author&gt;&lt;author&gt;Raisky, O.&lt;/author&gt;&lt;author&gt;Laux, D.&lt;/author&gt;&lt;author&gt;Bajolle, F.&lt;/author&gt;&lt;author&gt;Boudjemline, Y.&lt;/author&gt;&lt;author&gt;Boddaert, N.&lt;/author&gt;&lt;author&gt;Bonnet, D.&lt;/author&gt;&lt;/authors&gt;&lt;/contributors&gt;&lt;titles&gt;&lt;title&gt;Myocardial inflammation on cardiovascular magnetic resonance predicts left ventricular function recovery in children with recent dilated cardiomyopathy&lt;/title&gt;&lt;secondary-title&gt;European Heart Journal Cardiovascular Imaging&lt;/secondary-title&gt;&lt;/titles&gt;&lt;periodical&gt;&lt;full-title&gt;European Heart Journal Cardiovascular Imaging&lt;/full-title&gt;&lt;/periodical&gt;&lt;pages&gt;756-62&lt;/pages&gt;&lt;volume&gt;16&lt;/volume&gt;&lt;number&gt;7&lt;/number&gt;&lt;dates&gt;&lt;year&gt;2015&lt;/year&gt;&lt;pub-dates&gt;&lt;date&gt;2015-01-01&lt;/date&gt;&lt;/pub-dates&gt;&lt;/dates&gt;&lt;urls&gt;&lt;related-urls&gt;&lt;url&gt;http://ehjcimaging.oxfordjournals.org/content/ejechocard/16/7/756.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06" w:tooltip="Raimondi, 2015 #58"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047DBC8F"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France</w:t>
            </w:r>
          </w:p>
          <w:p w14:paraId="66B75E36"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Prospective cohort</w:t>
            </w:r>
          </w:p>
          <w:p w14:paraId="23A63A86"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Moderate risk of bias</w:t>
            </w:r>
          </w:p>
        </w:tc>
        <w:tc>
          <w:tcPr>
            <w:tcW w:w="1559" w:type="dxa"/>
          </w:tcPr>
          <w:p w14:paraId="3B1FF8A7" w14:textId="77777777" w:rsidR="00061768" w:rsidRPr="0094599A" w:rsidRDefault="00061768" w:rsidP="004C79C1">
            <w:pPr>
              <w:spacing w:after="120" w:line="240" w:lineRule="auto"/>
              <w:rPr>
                <w:rFonts w:ascii="Arial Narrow" w:hAnsi="Arial Narrow" w:cs="Arial Narrow"/>
                <w:bCs/>
                <w:sz w:val="20"/>
                <w:szCs w:val="20"/>
              </w:rPr>
            </w:pPr>
            <w:r w:rsidRPr="0094599A">
              <w:rPr>
                <w:rFonts w:ascii="Arial Narrow" w:hAnsi="Arial Narrow" w:cs="Arial Narrow"/>
                <w:bCs/>
                <w:sz w:val="20"/>
                <w:szCs w:val="20"/>
              </w:rPr>
              <w:t>N=</w:t>
            </w:r>
            <w:r>
              <w:rPr>
                <w:rFonts w:ascii="Arial Narrow" w:hAnsi="Arial Narrow" w:cs="Arial Narrow"/>
                <w:bCs/>
                <w:sz w:val="20"/>
                <w:szCs w:val="20"/>
              </w:rPr>
              <w:t>37 children with DCM who had second CMR during follow-up period</w:t>
            </w:r>
          </w:p>
        </w:tc>
        <w:tc>
          <w:tcPr>
            <w:tcW w:w="5953" w:type="dxa"/>
          </w:tcPr>
          <w:p w14:paraId="5492ED91" w14:textId="77777777" w:rsidR="00061768" w:rsidRPr="00EA060F" w:rsidRDefault="00061768" w:rsidP="004C79C1">
            <w:pPr>
              <w:tabs>
                <w:tab w:val="left" w:pos="3152"/>
                <w:tab w:val="left" w:pos="3719"/>
                <w:tab w:val="left" w:pos="4286"/>
              </w:tabs>
              <w:spacing w:after="120" w:line="240" w:lineRule="auto"/>
              <w:rPr>
                <w:rFonts w:ascii="Arial Narrow" w:hAnsi="Arial Narrow" w:cs="Arial Narrow"/>
                <w:b/>
                <w:bCs/>
                <w:sz w:val="20"/>
                <w:szCs w:val="20"/>
              </w:rPr>
            </w:pPr>
            <w:r w:rsidRPr="0094599A">
              <w:rPr>
                <w:rFonts w:ascii="Arial Narrow" w:hAnsi="Arial Narrow" w:cs="Arial Narrow"/>
                <w:bCs/>
                <w:sz w:val="20"/>
                <w:szCs w:val="20"/>
              </w:rPr>
              <w:t>Initial CMR result:</w:t>
            </w:r>
            <w:r w:rsidRPr="00053C4E">
              <w:rPr>
                <w:rFonts w:ascii="Arial Narrow" w:hAnsi="Arial Narrow" w:cs="Arial Narrow"/>
                <w:bCs/>
                <w:sz w:val="20"/>
                <w:szCs w:val="20"/>
              </w:rPr>
              <w:tab/>
            </w:r>
            <w:r w:rsidRPr="00EA060F">
              <w:rPr>
                <w:rFonts w:ascii="Arial Narrow" w:hAnsi="Arial Narrow" w:cs="Arial Narrow"/>
                <w:b/>
                <w:bCs/>
                <w:sz w:val="20"/>
                <w:szCs w:val="20"/>
              </w:rPr>
              <w:t>CMR+</w:t>
            </w:r>
            <w:r w:rsidRPr="00EA060F">
              <w:rPr>
                <w:rFonts w:ascii="Arial Narrow" w:hAnsi="Arial Narrow" w:cs="Arial Narrow"/>
                <w:b/>
                <w:bCs/>
                <w:sz w:val="20"/>
                <w:szCs w:val="20"/>
              </w:rPr>
              <w:tab/>
              <w:t>CMR–</w:t>
            </w:r>
            <w:r w:rsidRPr="00EA060F">
              <w:rPr>
                <w:rFonts w:ascii="Arial Narrow" w:hAnsi="Arial Narrow" w:cs="Arial Narrow"/>
                <w:b/>
                <w:bCs/>
                <w:sz w:val="20"/>
                <w:szCs w:val="20"/>
              </w:rPr>
              <w:tab/>
              <w:t>RR (95%CI)</w:t>
            </w:r>
          </w:p>
          <w:p w14:paraId="23B0B7C8" w14:textId="77777777" w:rsidR="00061768" w:rsidRPr="0094599A" w:rsidRDefault="00061768" w:rsidP="004C79C1">
            <w:pPr>
              <w:tabs>
                <w:tab w:val="left" w:pos="3152"/>
                <w:tab w:val="left" w:pos="3719"/>
                <w:tab w:val="left" w:pos="4286"/>
              </w:tabs>
              <w:spacing w:after="120" w:line="240" w:lineRule="auto"/>
              <w:ind w:right="-57"/>
              <w:rPr>
                <w:rFonts w:ascii="Arial Narrow" w:hAnsi="Arial Narrow" w:cs="Arial Narrow"/>
                <w:bCs/>
                <w:sz w:val="20"/>
                <w:szCs w:val="20"/>
              </w:rPr>
            </w:pPr>
            <w:r w:rsidRPr="0094599A">
              <w:rPr>
                <w:rFonts w:ascii="Arial Narrow" w:hAnsi="Arial Narrow" w:cs="Arial Narrow"/>
                <w:bCs/>
                <w:sz w:val="20"/>
                <w:szCs w:val="20"/>
              </w:rPr>
              <w:t xml:space="preserve">Number of children </w:t>
            </w:r>
            <w:r>
              <w:rPr>
                <w:rFonts w:ascii="Arial Narrow" w:hAnsi="Arial Narrow" w:cs="Arial Narrow"/>
                <w:bCs/>
                <w:sz w:val="20"/>
                <w:szCs w:val="20"/>
              </w:rPr>
              <w:t xml:space="preserve">who </w:t>
            </w:r>
            <w:r w:rsidRPr="0094599A">
              <w:rPr>
                <w:rFonts w:ascii="Arial Narrow" w:hAnsi="Arial Narrow" w:cs="Arial Narrow"/>
                <w:bCs/>
                <w:sz w:val="20"/>
                <w:szCs w:val="20"/>
              </w:rPr>
              <w:t>had 2</w:t>
            </w:r>
            <w:r w:rsidRPr="000E703F">
              <w:rPr>
                <w:rFonts w:ascii="Arial Narrow" w:hAnsi="Arial Narrow" w:cs="Arial Narrow"/>
                <w:bCs/>
                <w:sz w:val="20"/>
                <w:szCs w:val="20"/>
              </w:rPr>
              <w:t>nd</w:t>
            </w:r>
            <w:r w:rsidRPr="0094599A">
              <w:rPr>
                <w:rFonts w:ascii="Arial Narrow" w:hAnsi="Arial Narrow" w:cs="Arial Narrow"/>
                <w:bCs/>
                <w:sz w:val="20"/>
                <w:szCs w:val="20"/>
              </w:rPr>
              <w:t xml:space="preserve"> CMR</w:t>
            </w:r>
            <w:r w:rsidRPr="0094599A">
              <w:rPr>
                <w:rFonts w:ascii="Arial Narrow" w:hAnsi="Arial Narrow" w:cs="Arial Narrow"/>
                <w:bCs/>
                <w:sz w:val="20"/>
                <w:szCs w:val="20"/>
              </w:rPr>
              <w:tab/>
              <w:t>21</w:t>
            </w:r>
            <w:r w:rsidRPr="0094599A">
              <w:rPr>
                <w:rFonts w:ascii="Arial Narrow" w:hAnsi="Arial Narrow" w:cs="Arial Narrow"/>
                <w:bCs/>
                <w:sz w:val="20"/>
                <w:szCs w:val="20"/>
              </w:rPr>
              <w:tab/>
              <w:t>16</w:t>
            </w:r>
          </w:p>
          <w:p w14:paraId="4D8740E8" w14:textId="77777777" w:rsidR="00061768" w:rsidRPr="0094599A" w:rsidRDefault="00061768" w:rsidP="004C79C1">
            <w:pPr>
              <w:tabs>
                <w:tab w:val="left" w:pos="3152"/>
                <w:tab w:val="left" w:pos="3719"/>
                <w:tab w:val="left" w:pos="4286"/>
              </w:tabs>
              <w:spacing w:after="120" w:line="240" w:lineRule="auto"/>
              <w:ind w:right="-57"/>
              <w:rPr>
                <w:rFonts w:ascii="Arial Narrow" w:hAnsi="Arial Narrow" w:cs="Arial Narrow"/>
                <w:bCs/>
                <w:sz w:val="20"/>
                <w:szCs w:val="20"/>
              </w:rPr>
            </w:pPr>
            <w:r w:rsidRPr="0094599A">
              <w:rPr>
                <w:rFonts w:ascii="Arial Narrow" w:hAnsi="Arial Narrow" w:cs="Arial Narrow"/>
                <w:bCs/>
                <w:sz w:val="20"/>
                <w:szCs w:val="20"/>
              </w:rPr>
              <w:t>Median time between CMRs (months)</w:t>
            </w:r>
            <w:r w:rsidRPr="0094599A">
              <w:rPr>
                <w:rFonts w:ascii="Arial Narrow" w:hAnsi="Arial Narrow" w:cs="Arial Narrow"/>
                <w:bCs/>
                <w:sz w:val="20"/>
                <w:szCs w:val="20"/>
              </w:rPr>
              <w:tab/>
              <w:t>6.0</w:t>
            </w:r>
            <w:r w:rsidRPr="0094599A">
              <w:rPr>
                <w:rFonts w:ascii="Arial Narrow" w:hAnsi="Arial Narrow" w:cs="Arial Narrow"/>
                <w:bCs/>
                <w:sz w:val="20"/>
                <w:szCs w:val="20"/>
              </w:rPr>
              <w:tab/>
              <w:t>23.0</w:t>
            </w:r>
          </w:p>
          <w:p w14:paraId="58D1E889" w14:textId="77777777" w:rsidR="00061768" w:rsidRDefault="00061768" w:rsidP="004C79C1">
            <w:pPr>
              <w:tabs>
                <w:tab w:val="left" w:pos="3152"/>
                <w:tab w:val="left" w:pos="3719"/>
                <w:tab w:val="left" w:pos="4286"/>
              </w:tabs>
              <w:spacing w:after="120" w:line="240" w:lineRule="auto"/>
              <w:rPr>
                <w:rFonts w:ascii="Arial Narrow" w:hAnsi="Arial Narrow" w:cs="Arial Narrow"/>
                <w:bCs/>
                <w:sz w:val="20"/>
                <w:szCs w:val="20"/>
              </w:rPr>
            </w:pPr>
            <w:r>
              <w:rPr>
                <w:rFonts w:ascii="Arial Narrow" w:hAnsi="Arial Narrow" w:cs="Arial Narrow"/>
                <w:bCs/>
                <w:sz w:val="20"/>
                <w:szCs w:val="20"/>
              </w:rPr>
              <w:t>LV recovery</w:t>
            </w:r>
            <w:r>
              <w:rPr>
                <w:rFonts w:ascii="Arial Narrow" w:hAnsi="Arial Narrow" w:cs="Arial Narrow"/>
                <w:bCs/>
                <w:sz w:val="20"/>
                <w:szCs w:val="20"/>
              </w:rPr>
              <w:tab/>
              <w:t>18</w:t>
            </w:r>
            <w:r>
              <w:rPr>
                <w:rFonts w:ascii="Arial Narrow" w:hAnsi="Arial Narrow" w:cs="Arial Narrow"/>
                <w:bCs/>
                <w:sz w:val="20"/>
                <w:szCs w:val="20"/>
              </w:rPr>
              <w:tab/>
              <w:t>7</w:t>
            </w:r>
            <w:r>
              <w:rPr>
                <w:rFonts w:ascii="Arial Narrow" w:hAnsi="Arial Narrow" w:cs="Arial Narrow"/>
                <w:bCs/>
                <w:sz w:val="20"/>
                <w:szCs w:val="20"/>
              </w:rPr>
              <w:tab/>
              <w:t>2.88 (1.05, 7.91)</w:t>
            </w:r>
          </w:p>
          <w:p w14:paraId="07D2AAF6" w14:textId="77777777" w:rsidR="00061768" w:rsidRDefault="00061768" w:rsidP="004C79C1">
            <w:pPr>
              <w:tabs>
                <w:tab w:val="left" w:pos="3152"/>
                <w:tab w:val="left" w:pos="3719"/>
                <w:tab w:val="left" w:pos="4286"/>
              </w:tabs>
              <w:spacing w:after="120" w:line="240" w:lineRule="auto"/>
              <w:ind w:right="-57"/>
              <w:rPr>
                <w:rFonts w:ascii="Arial Narrow" w:hAnsi="Arial Narrow" w:cs="Arial Narrow"/>
                <w:bCs/>
                <w:sz w:val="20"/>
                <w:szCs w:val="20"/>
              </w:rPr>
            </w:pPr>
            <w:r>
              <w:rPr>
                <w:rFonts w:ascii="Arial Narrow" w:hAnsi="Arial Narrow" w:cs="Arial Narrow"/>
                <w:bCs/>
                <w:sz w:val="20"/>
                <w:szCs w:val="20"/>
              </w:rPr>
              <w:t>LV dysfunction</w:t>
            </w:r>
            <w:r>
              <w:rPr>
                <w:rFonts w:ascii="Arial Narrow" w:hAnsi="Arial Narrow" w:cs="Arial Narrow"/>
                <w:bCs/>
                <w:sz w:val="20"/>
                <w:szCs w:val="20"/>
              </w:rPr>
              <w:tab/>
              <w:t>3</w:t>
            </w:r>
            <w:r>
              <w:rPr>
                <w:rFonts w:ascii="Arial Narrow" w:hAnsi="Arial Narrow" w:cs="Arial Narrow"/>
                <w:bCs/>
                <w:sz w:val="20"/>
                <w:szCs w:val="20"/>
              </w:rPr>
              <w:tab/>
              <w:t>9</w:t>
            </w:r>
            <w:r>
              <w:rPr>
                <w:rFonts w:ascii="Arial Narrow" w:hAnsi="Arial Narrow" w:cs="Arial Narrow"/>
                <w:bCs/>
                <w:sz w:val="20"/>
                <w:szCs w:val="20"/>
              </w:rPr>
              <w:tab/>
              <w:t>0.35 (0.13, 0.95)</w:t>
            </w:r>
          </w:p>
          <w:p w14:paraId="37F55504" w14:textId="77777777" w:rsidR="00061768" w:rsidRPr="0094599A" w:rsidRDefault="00061768" w:rsidP="004C79C1">
            <w:pPr>
              <w:tabs>
                <w:tab w:val="left" w:pos="3152"/>
                <w:tab w:val="left" w:pos="3719"/>
                <w:tab w:val="left" w:pos="4286"/>
              </w:tabs>
              <w:spacing w:after="120" w:line="240" w:lineRule="auto"/>
              <w:ind w:left="175" w:hanging="175"/>
              <w:rPr>
                <w:rFonts w:ascii="Arial Narrow" w:hAnsi="Arial Narrow" w:cs="Arial Narrow"/>
                <w:bCs/>
                <w:sz w:val="20"/>
                <w:szCs w:val="20"/>
              </w:rPr>
            </w:pPr>
            <w:r w:rsidRPr="0094599A">
              <w:rPr>
                <w:rFonts w:ascii="Arial Narrow" w:hAnsi="Arial Narrow" w:cs="Arial Narrow"/>
                <w:bCs/>
                <w:sz w:val="20"/>
                <w:szCs w:val="20"/>
              </w:rPr>
              <w:t>LGE+ on 2</w:t>
            </w:r>
            <w:r w:rsidRPr="000E703F">
              <w:rPr>
                <w:rFonts w:ascii="Arial Narrow" w:hAnsi="Arial Narrow" w:cs="Arial Narrow"/>
                <w:bCs/>
                <w:sz w:val="20"/>
                <w:szCs w:val="20"/>
              </w:rPr>
              <w:t>nd</w:t>
            </w:r>
            <w:r w:rsidRPr="0094599A">
              <w:rPr>
                <w:rFonts w:ascii="Arial Narrow" w:hAnsi="Arial Narrow" w:cs="Arial Narrow"/>
                <w:bCs/>
                <w:sz w:val="20"/>
                <w:szCs w:val="20"/>
              </w:rPr>
              <w:t xml:space="preserve"> CMR</w:t>
            </w:r>
            <w:r w:rsidRPr="0094599A">
              <w:rPr>
                <w:rFonts w:ascii="Arial Narrow" w:hAnsi="Arial Narrow" w:cs="Arial Narrow"/>
                <w:bCs/>
                <w:sz w:val="20"/>
                <w:szCs w:val="20"/>
              </w:rPr>
              <w:tab/>
              <w:t>6</w:t>
            </w:r>
            <w:r w:rsidRPr="0094599A">
              <w:rPr>
                <w:rFonts w:ascii="Arial Narrow" w:hAnsi="Arial Narrow" w:cs="Arial Narrow"/>
                <w:bCs/>
                <w:sz w:val="20"/>
                <w:szCs w:val="20"/>
              </w:rPr>
              <w:tab/>
              <w:t>0</w:t>
            </w:r>
            <w:r>
              <w:rPr>
                <w:rFonts w:ascii="Arial Narrow" w:hAnsi="Arial Narrow" w:cs="Arial Narrow"/>
                <w:bCs/>
                <w:sz w:val="20"/>
                <w:szCs w:val="20"/>
              </w:rPr>
              <w:tab/>
              <w:t>6/21 = 29% CMR+</w:t>
            </w:r>
            <w:r w:rsidRPr="0094599A">
              <w:rPr>
                <w:rFonts w:ascii="Arial Narrow" w:hAnsi="Arial Narrow" w:cs="Arial Narrow"/>
                <w:bCs/>
                <w:sz w:val="20"/>
                <w:szCs w:val="20"/>
              </w:rPr>
              <w:br/>
              <w:t>with LV recovery</w:t>
            </w:r>
            <w:r w:rsidRPr="0094599A">
              <w:rPr>
                <w:rFonts w:ascii="Arial Narrow" w:hAnsi="Arial Narrow" w:cs="Arial Narrow"/>
                <w:bCs/>
                <w:sz w:val="20"/>
                <w:szCs w:val="20"/>
              </w:rPr>
              <w:tab/>
              <w:t>3</w:t>
            </w:r>
            <w:r w:rsidRPr="0094599A">
              <w:rPr>
                <w:rFonts w:ascii="Arial Narrow" w:hAnsi="Arial Narrow" w:cs="Arial Narrow"/>
                <w:bCs/>
                <w:sz w:val="20"/>
                <w:szCs w:val="20"/>
              </w:rPr>
              <w:tab/>
              <w:t>0</w:t>
            </w:r>
            <w:r>
              <w:rPr>
                <w:rFonts w:ascii="Arial Narrow" w:hAnsi="Arial Narrow" w:cs="Arial Narrow"/>
                <w:bCs/>
                <w:sz w:val="20"/>
                <w:szCs w:val="20"/>
              </w:rPr>
              <w:tab/>
              <w:t>18/21 = 86% CMR+</w:t>
            </w:r>
            <w:r w:rsidRPr="0094599A">
              <w:rPr>
                <w:rFonts w:ascii="Arial Narrow" w:hAnsi="Arial Narrow" w:cs="Arial Narrow"/>
                <w:bCs/>
                <w:sz w:val="20"/>
                <w:szCs w:val="20"/>
              </w:rPr>
              <w:br/>
              <w:t>with LV dysfunction</w:t>
            </w:r>
            <w:r w:rsidRPr="0094599A">
              <w:rPr>
                <w:rFonts w:ascii="Arial Narrow" w:hAnsi="Arial Narrow" w:cs="Arial Narrow"/>
                <w:bCs/>
                <w:sz w:val="20"/>
                <w:szCs w:val="20"/>
              </w:rPr>
              <w:tab/>
              <w:t>3</w:t>
            </w:r>
            <w:r w:rsidRPr="0094599A">
              <w:rPr>
                <w:rFonts w:ascii="Arial Narrow" w:hAnsi="Arial Narrow" w:cs="Arial Narrow"/>
                <w:bCs/>
                <w:sz w:val="20"/>
                <w:szCs w:val="20"/>
              </w:rPr>
              <w:tab/>
              <w:t>0</w:t>
            </w:r>
            <w:r>
              <w:rPr>
                <w:rFonts w:ascii="Arial Narrow" w:hAnsi="Arial Narrow" w:cs="Arial Narrow"/>
                <w:bCs/>
                <w:sz w:val="20"/>
                <w:szCs w:val="20"/>
              </w:rPr>
              <w:tab/>
              <w:t>3/21 = 14% CMR+</w:t>
            </w:r>
          </w:p>
          <w:p w14:paraId="59CB5664" w14:textId="77777777" w:rsidR="00061768" w:rsidRPr="006F3C9E" w:rsidRDefault="00061768" w:rsidP="004C79C1">
            <w:pPr>
              <w:tabs>
                <w:tab w:val="left" w:pos="3152"/>
                <w:tab w:val="left" w:pos="3719"/>
                <w:tab w:val="left" w:pos="4286"/>
              </w:tabs>
              <w:spacing w:after="120" w:line="240" w:lineRule="auto"/>
              <w:ind w:left="175" w:hanging="175"/>
              <w:rPr>
                <w:rFonts w:ascii="Arial Narrow" w:hAnsi="Arial Narrow" w:cs="Arial Narrow"/>
                <w:bCs/>
                <w:sz w:val="20"/>
                <w:szCs w:val="20"/>
              </w:rPr>
            </w:pPr>
            <w:r w:rsidRPr="0094599A">
              <w:rPr>
                <w:rFonts w:ascii="Arial Narrow" w:hAnsi="Arial Narrow" w:cs="Arial Narrow"/>
                <w:bCs/>
                <w:sz w:val="20"/>
                <w:szCs w:val="20"/>
              </w:rPr>
              <w:t>LGE– on 2</w:t>
            </w:r>
            <w:r w:rsidRPr="000E703F">
              <w:rPr>
                <w:rFonts w:ascii="Arial Narrow" w:hAnsi="Arial Narrow" w:cs="Arial Narrow"/>
                <w:bCs/>
                <w:sz w:val="20"/>
                <w:szCs w:val="20"/>
              </w:rPr>
              <w:t>nd</w:t>
            </w:r>
            <w:r w:rsidRPr="0094599A">
              <w:rPr>
                <w:rFonts w:ascii="Arial Narrow" w:hAnsi="Arial Narrow" w:cs="Arial Narrow"/>
                <w:bCs/>
                <w:sz w:val="20"/>
                <w:szCs w:val="20"/>
              </w:rPr>
              <w:t xml:space="preserve"> CMR</w:t>
            </w:r>
            <w:r w:rsidRPr="0094599A">
              <w:rPr>
                <w:rFonts w:ascii="Arial Narrow" w:hAnsi="Arial Narrow" w:cs="Arial Narrow"/>
                <w:bCs/>
                <w:sz w:val="20"/>
                <w:szCs w:val="20"/>
              </w:rPr>
              <w:tab/>
              <w:t>15</w:t>
            </w:r>
            <w:r w:rsidRPr="0094599A">
              <w:rPr>
                <w:rFonts w:ascii="Arial Narrow" w:hAnsi="Arial Narrow" w:cs="Arial Narrow"/>
                <w:bCs/>
                <w:sz w:val="20"/>
                <w:szCs w:val="20"/>
              </w:rPr>
              <w:tab/>
              <w:t>16</w:t>
            </w:r>
            <w:r w:rsidRPr="0094599A">
              <w:rPr>
                <w:rFonts w:ascii="Arial Narrow" w:hAnsi="Arial Narrow" w:cs="Arial Narrow"/>
                <w:bCs/>
                <w:sz w:val="20"/>
                <w:szCs w:val="20"/>
              </w:rPr>
              <w:br/>
              <w:t>with LV recovery</w:t>
            </w:r>
            <w:r w:rsidRPr="0094599A">
              <w:rPr>
                <w:rFonts w:ascii="Arial Narrow" w:hAnsi="Arial Narrow" w:cs="Arial Narrow"/>
                <w:bCs/>
                <w:sz w:val="20"/>
                <w:szCs w:val="20"/>
              </w:rPr>
              <w:tab/>
              <w:t>15</w:t>
            </w:r>
            <w:r w:rsidRPr="0094599A">
              <w:rPr>
                <w:rFonts w:ascii="Arial Narrow" w:hAnsi="Arial Narrow" w:cs="Arial Narrow"/>
                <w:bCs/>
                <w:sz w:val="20"/>
                <w:szCs w:val="20"/>
              </w:rPr>
              <w:tab/>
              <w:t>7</w:t>
            </w:r>
            <w:r>
              <w:rPr>
                <w:rFonts w:ascii="Arial Narrow" w:hAnsi="Arial Narrow" w:cs="Arial Narrow"/>
                <w:bCs/>
                <w:sz w:val="20"/>
                <w:szCs w:val="20"/>
              </w:rPr>
              <w:tab/>
              <w:t>7/16 = 44% CMR–</w:t>
            </w:r>
            <w:r w:rsidRPr="0094599A">
              <w:rPr>
                <w:rFonts w:ascii="Arial Narrow" w:hAnsi="Arial Narrow" w:cs="Arial Narrow"/>
                <w:bCs/>
                <w:sz w:val="20"/>
                <w:szCs w:val="20"/>
              </w:rPr>
              <w:br/>
              <w:t>with LV dysfunction</w:t>
            </w:r>
            <w:r w:rsidRPr="0094599A">
              <w:rPr>
                <w:rFonts w:ascii="Arial Narrow" w:hAnsi="Arial Narrow" w:cs="Arial Narrow"/>
                <w:bCs/>
                <w:sz w:val="20"/>
                <w:szCs w:val="20"/>
              </w:rPr>
              <w:tab/>
              <w:t>0</w:t>
            </w:r>
            <w:r w:rsidRPr="0094599A">
              <w:rPr>
                <w:rFonts w:ascii="Arial Narrow" w:hAnsi="Arial Narrow" w:cs="Arial Narrow"/>
                <w:bCs/>
                <w:sz w:val="20"/>
                <w:szCs w:val="20"/>
              </w:rPr>
              <w:tab/>
              <w:t>9</w:t>
            </w:r>
            <w:r>
              <w:rPr>
                <w:rFonts w:ascii="Arial Narrow" w:hAnsi="Arial Narrow" w:cs="Arial Narrow"/>
                <w:bCs/>
                <w:sz w:val="20"/>
                <w:szCs w:val="20"/>
              </w:rPr>
              <w:tab/>
              <w:t>9/16 = 56% CMR–</w:t>
            </w:r>
          </w:p>
        </w:tc>
      </w:tr>
    </w:tbl>
    <w:p w14:paraId="5E5DAFB3" w14:textId="6807F5F7" w:rsidR="00061768" w:rsidRPr="00254898" w:rsidRDefault="00061768" w:rsidP="004C79C1">
      <w:pPr>
        <w:pStyle w:val="Tablenotes0"/>
        <w:spacing w:before="0" w:after="120"/>
      </w:pPr>
      <w:bookmarkStart w:id="354" w:name="_Toc324410158"/>
      <w:r w:rsidRPr="00254898">
        <w:lastRenderedPageBreak/>
        <w:t>CI = confidence interval; CMR = cardiac magnetic resonance</w:t>
      </w:r>
      <w:r w:rsidRPr="0040534D">
        <w:t xml:space="preserve"> </w:t>
      </w:r>
      <w:r w:rsidR="000728E6" w:rsidRPr="0040534D">
        <w:t>(</w:t>
      </w:r>
      <w:r w:rsidRPr="0040534D">
        <w:t>i</w:t>
      </w:r>
      <w:r w:rsidRPr="00254898">
        <w:t>maging</w:t>
      </w:r>
      <w:r w:rsidR="000728E6">
        <w:rPr>
          <w:b/>
        </w:rPr>
        <w:t>)</w:t>
      </w:r>
      <w:r w:rsidRPr="00254898">
        <w:t>; DCM = dilated cardiomyopathy; LGE = late gadolinium enhancement; LV = left ventricula</w:t>
      </w:r>
      <w:r w:rsidRPr="0040534D">
        <w:t>r</w:t>
      </w:r>
      <w:r w:rsidR="00A015BC" w:rsidRPr="0040534D">
        <w:t>; RR = relative risk</w:t>
      </w:r>
      <w:bookmarkEnd w:id="354"/>
    </w:p>
    <w:p w14:paraId="4B2A3EBE" w14:textId="77777777" w:rsidR="00061768" w:rsidRPr="00874B63" w:rsidRDefault="00061768" w:rsidP="00161B88">
      <w:pPr>
        <w:pStyle w:val="Heading4"/>
      </w:pPr>
      <w:r w:rsidRPr="00874B63">
        <w:t>The prognostic value of detecting myocardial scarring by LGE-CMR compared with SPECT in patients diagnosed with NIDCM</w:t>
      </w:r>
    </w:p>
    <w:p w14:paraId="2EB5DB43" w14:textId="769F37CC" w:rsidR="00061768" w:rsidRDefault="00061768" w:rsidP="004C79C1">
      <w:pPr>
        <w:spacing w:after="120" w:line="240" w:lineRule="auto"/>
        <w:jc w:val="both"/>
        <w:rPr>
          <w:bCs/>
        </w:rPr>
      </w:pPr>
      <w:r w:rsidRPr="007B6EB4">
        <w:rPr>
          <w:bCs/>
        </w:rPr>
        <w:t xml:space="preserve">Two cohort studies compared the prognostic value of detecting myocardial scarring by LGE-CMR compared with SPECT in patients diagnosed with DCM </w:t>
      </w:r>
      <w:r w:rsidR="00187A29" w:rsidRPr="007B6EB4">
        <w:rPr>
          <w:bCs/>
        </w:rPr>
        <w:fldChar w:fldCharType="begin">
          <w:fldData xml:space="preserve">PEVuZE5vdGU+PENpdGU+PEF1dGhvcj5Zb2tva2F3YTwvQXV0aG9yPjxZZWFyPjIwMDk8L1llYXI+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==
</w:fldData>
        </w:fldChar>
      </w:r>
      <w:r w:rsidR="00992437">
        <w:rPr>
          <w:bCs/>
        </w:rPr>
        <w:instrText xml:space="preserve"> ADDIN EN.CITE </w:instrText>
      </w:r>
      <w:r w:rsidR="00992437">
        <w:rPr>
          <w:bCs/>
        </w:rPr>
        <w:fldChar w:fldCharType="begin">
          <w:fldData xml:space="preserve">PEVuZE5vdGU+PENpdGU+PEF1dGhvcj5Zb2tva2F3YTwvQXV0aG9yPjxZZWFyPjIwMDk8L1llYXI+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==
</w:fldData>
        </w:fldChar>
      </w:r>
      <w:r w:rsidR="00992437">
        <w:rPr>
          <w:bCs/>
        </w:rPr>
        <w:instrText xml:space="preserve"> ADDIN EN.CITE.DATA </w:instrText>
      </w:r>
      <w:r w:rsidR="00992437">
        <w:rPr>
          <w:bCs/>
        </w:rPr>
      </w:r>
      <w:r w:rsidR="00992437">
        <w:rPr>
          <w:bCs/>
        </w:rPr>
        <w:fldChar w:fldCharType="end"/>
      </w:r>
      <w:r w:rsidR="00187A29" w:rsidRPr="007B6EB4">
        <w:rPr>
          <w:bCs/>
        </w:rPr>
      </w:r>
      <w:r w:rsidR="00187A29" w:rsidRPr="007B6EB4">
        <w:rPr>
          <w:bCs/>
        </w:rPr>
        <w:fldChar w:fldCharType="separate"/>
      </w:r>
      <w:r w:rsidR="00187A29" w:rsidRPr="007B6EB4">
        <w:rPr>
          <w:bCs/>
          <w:noProof/>
        </w:rPr>
        <w:t>(</w:t>
      </w:r>
      <w:hyperlink w:anchor="_ENREF_142" w:tooltip="Yokokawa, 2009 #63" w:history="1">
        <w:r w:rsidR="00B906E9" w:rsidRPr="007B6EB4">
          <w:rPr>
            <w:bCs/>
            <w:noProof/>
          </w:rPr>
          <w:t>Yokokawa et al. 2009</w:t>
        </w:r>
      </w:hyperlink>
      <w:r w:rsidR="00187A29" w:rsidRPr="007B6EB4">
        <w:rPr>
          <w:bCs/>
          <w:noProof/>
        </w:rPr>
        <w:t xml:space="preserve">; </w:t>
      </w:r>
      <w:hyperlink w:anchor="_ENREF_144" w:tooltip="Yoshida, 2013 #19" w:history="1">
        <w:r w:rsidR="00B906E9" w:rsidRPr="007B6EB4">
          <w:rPr>
            <w:bCs/>
            <w:noProof/>
          </w:rPr>
          <w:t>Yoshida, Takano et al. 2013</w:t>
        </w:r>
      </w:hyperlink>
      <w:r w:rsidR="00187A29" w:rsidRPr="007B6EB4">
        <w:rPr>
          <w:bCs/>
          <w:noProof/>
        </w:rPr>
        <w:t>)</w:t>
      </w:r>
      <w:r w:rsidR="00187A29" w:rsidRPr="007B6EB4">
        <w:rPr>
          <w:bCs/>
        </w:rPr>
        <w:fldChar w:fldCharType="end"/>
      </w:r>
      <w:r w:rsidRPr="007B6EB4">
        <w:rPr>
          <w:bCs/>
        </w:rPr>
        <w:t>.</w:t>
      </w:r>
    </w:p>
    <w:p w14:paraId="11A963D2" w14:textId="1596EBD4" w:rsidR="00061768" w:rsidRDefault="00061768" w:rsidP="004C79C1">
      <w:pPr>
        <w:spacing w:after="120" w:line="240" w:lineRule="auto"/>
        <w:jc w:val="both"/>
        <w:rPr>
          <w:bCs/>
        </w:rPr>
      </w:pPr>
      <w:r>
        <w:rPr>
          <w:bCs/>
        </w:rPr>
        <w:t>The retrospective cohort study by Yoshida</w:t>
      </w:r>
      <w:r w:rsidR="003C7382">
        <w:rPr>
          <w:bCs/>
        </w:rPr>
        <w:t>, Takano</w:t>
      </w:r>
      <w:r>
        <w:rPr>
          <w:bCs/>
        </w:rPr>
        <w:t xml:space="preserve"> et al. </w:t>
      </w:r>
      <w:r w:rsidR="00187A29">
        <w:rPr>
          <w:bCs/>
        </w:rPr>
        <w:fldChar w:fldCharType="begin"/>
      </w:r>
      <w:r w:rsidR="00992437">
        <w:rPr>
          <w:bCs/>
        </w:rPr>
        <w:instrText xml:space="preserve"> ADDIN EN.CITE &lt;EndNote&gt;&lt;Cite ExcludeAuth="1"&gt;&lt;Author&gt;Yoshida&lt;/Author&gt;&lt;Year&gt;2013&lt;/Year&gt;&lt;RecNum&gt;19&lt;/RecNum&gt;&lt;IDText&gt;445-53&lt;/IDText&gt;&lt;DisplayText&gt;(2013)&lt;/DisplayText&gt;&lt;record&gt;&lt;rec-number&gt;19&lt;/rec-number&gt;&lt;foreign-keys&gt;&lt;key app="EN" db-id="pfxxvref0t0a5de2vwnv2fwkz0p9v0r2fw0t" timestamp="1457058906"&gt;19&lt;/key&gt;&lt;/foreign-keys&gt;&lt;ref-type name="Journal Article"&gt;17&lt;/ref-type&gt;&lt;contributors&gt;&lt;authors&gt;&lt;author&gt;Yoshida, A.&lt;/author&gt;&lt;author&gt;Takano, H.&lt;/author&gt;&lt;author&gt;Asai, K.&lt;/author&gt;&lt;author&gt;Yasutake, M.&lt;/author&gt;&lt;author&gt;Amano, Y.&lt;/author&gt;&lt;author&gt;Kumita, S.&lt;/author&gt;&lt;author&gt;Shimizu, W.&lt;/author&gt;&lt;author&gt;Mizuno, K.&lt;/author&gt;&lt;/authors&gt;&lt;/contributors&gt;&lt;titles&gt;&lt;title&gt;Comparison of perfusion-metabolism mismatch in 99mTc-MIBI and 123I-BMIPP scintigraphy with cardiac magnetic resonance in patients with dilated cardiomyopathy&lt;/title&gt;&lt;secondary-title&gt;J Card Fail&lt;/secondary-title&gt;&lt;/titles&gt;&lt;periodical&gt;&lt;full-title&gt;J Card Fail&lt;/full-title&gt;&lt;/periodical&gt;&lt;pages&gt;445-53&lt;/pages&gt;&lt;volume&gt;19&lt;/volume&gt;&lt;number&gt;7&lt;/number&gt;&lt;dates&gt;&lt;year&gt;2013&lt;/year&gt;&lt;pub-dates&gt;&lt;date&gt;2013-01-01&lt;/date&gt;&lt;/pub-dates&gt;&lt;/dates&gt;&lt;isbn&gt;1071-9164&lt;/isbn&gt;&lt;urls&gt;&lt;related-urls&gt;&lt;url&gt;http://ac.els-cdn.com/S1071916413001589/1-s2.0-S1071916413001589-main.pdf?_tid=65ec9806-c094-11e5-98c6-00000aacb35e&amp;amp;acdnat=1453418110_17eaafe0e09bba8e50c94996a70e8ca8&lt;/url&gt;&lt;/related-urls&gt;&lt;/urls&gt;&lt;custom1&gt;RAYYAN-INCLUSION: {&amp;quot;Sharon&amp;quot;=&amp;gt;true} | RAYYAN-LABELS: DCM&lt;/custom1&gt;&lt;language&gt;eng&lt;/language&gt;&lt;/record&gt;&lt;/Cite&gt;&lt;/EndNote&gt;</w:instrText>
      </w:r>
      <w:r w:rsidR="00187A29">
        <w:rPr>
          <w:bCs/>
        </w:rPr>
        <w:fldChar w:fldCharType="separate"/>
      </w:r>
      <w:r w:rsidR="00187A29">
        <w:rPr>
          <w:bCs/>
          <w:noProof/>
        </w:rPr>
        <w:t>(</w:t>
      </w:r>
      <w:hyperlink w:anchor="_ENREF_144" w:tooltip="Yoshida, 2013 #19" w:history="1">
        <w:r w:rsidR="00B906E9">
          <w:rPr>
            <w:bCs/>
            <w:noProof/>
          </w:rPr>
          <w:t>2013</w:t>
        </w:r>
      </w:hyperlink>
      <w:r w:rsidR="00187A29">
        <w:rPr>
          <w:bCs/>
          <w:noProof/>
        </w:rPr>
        <w:t>)</w:t>
      </w:r>
      <w:r w:rsidR="00187A29">
        <w:rPr>
          <w:bCs/>
        </w:rPr>
        <w:fldChar w:fldCharType="end"/>
      </w:r>
      <w:r>
        <w:rPr>
          <w:bCs/>
        </w:rPr>
        <w:t xml:space="preserve"> had a moderate risk of bias and reported that a similar number of patients had myocardial scarring detected by LGE-CMR (21/50) and by SPECT </w:t>
      </w:r>
      <w:r w:rsidRPr="00850C41">
        <w:rPr>
          <w:bCs/>
        </w:rPr>
        <w:t xml:space="preserve">perfusion-metabolism mismatch </w:t>
      </w:r>
      <w:r>
        <w:rPr>
          <w:bCs/>
        </w:rPr>
        <w:t xml:space="preserve">(20/50). However, only 8 of these patients were positive by both LGE-CMR and SPECT. Using a univariate </w:t>
      </w:r>
      <w:r w:rsidRPr="009F6841">
        <w:rPr>
          <w:bCs/>
        </w:rPr>
        <w:t>Cox regression model</w:t>
      </w:r>
      <w:r w:rsidR="00437A4E">
        <w:rPr>
          <w:bCs/>
        </w:rPr>
        <w:t>,</w:t>
      </w:r>
      <w:r>
        <w:rPr>
          <w:bCs/>
        </w:rPr>
        <w:t xml:space="preserve"> the authors reported that patients who were LGE+ were 2.7</w:t>
      </w:r>
      <w:r w:rsidR="00437A4E">
        <w:rPr>
          <w:bCs/>
        </w:rPr>
        <w:t>-</w:t>
      </w:r>
      <w:r>
        <w:rPr>
          <w:bCs/>
        </w:rPr>
        <w:t>times more likely to have an adverse cardiac event than those who were LGE</w:t>
      </w:r>
      <w:r>
        <w:rPr>
          <w:rFonts w:ascii="Arial Narrow" w:hAnsi="Arial Narrow"/>
          <w:bCs/>
        </w:rPr>
        <w:t>–, and p</w:t>
      </w:r>
      <w:r>
        <w:rPr>
          <w:bCs/>
        </w:rPr>
        <w:t xml:space="preserve">atients who had scarring detected by a SPECT </w:t>
      </w:r>
      <w:r w:rsidRPr="009F6841">
        <w:rPr>
          <w:bCs/>
        </w:rPr>
        <w:t xml:space="preserve">perfusion-metabolism mismatch </w:t>
      </w:r>
      <w:r>
        <w:rPr>
          <w:bCs/>
        </w:rPr>
        <w:t>were 4-times more likely to have an adverse cardiac event. This indicates that the SPECT results may have been more accurate at predict</w:t>
      </w:r>
      <w:r w:rsidR="00437A4E">
        <w:rPr>
          <w:bCs/>
        </w:rPr>
        <w:t>ing</w:t>
      </w:r>
      <w:r>
        <w:rPr>
          <w:bCs/>
        </w:rPr>
        <w:t xml:space="preserve"> adverse cardiac events; however, due to the small sample size of the study</w:t>
      </w:r>
      <w:r w:rsidR="00437A4E">
        <w:rPr>
          <w:bCs/>
        </w:rPr>
        <w:t>,</w:t>
      </w:r>
      <w:r>
        <w:rPr>
          <w:bCs/>
        </w:rPr>
        <w:t xml:space="preserve"> neither observation was statistically significant (p=0.163 and p=0.056, respectively). Although only a small number of patients were positive by both LGE-CMR and SPECT, they were 8-times more likely to have an adverse cardiac event (p=0.007). Therefore, it is possible that clinicians may seek for patients to undergo both SPECT and LGE-CMR as they provide complementary information. </w:t>
      </w:r>
    </w:p>
    <w:p w14:paraId="2A6737E5" w14:textId="49EC393C" w:rsidR="00061768" w:rsidRDefault="00061768" w:rsidP="004C79C1">
      <w:pPr>
        <w:spacing w:after="120" w:line="240" w:lineRule="auto"/>
        <w:jc w:val="both"/>
        <w:rPr>
          <w:bCs/>
        </w:rPr>
      </w:pPr>
      <w:r>
        <w:rPr>
          <w:bCs/>
        </w:rPr>
        <w:t xml:space="preserve">The prospective cohort study by Yokokawa et al. </w:t>
      </w:r>
      <w:r w:rsidR="00187A29">
        <w:rPr>
          <w:bCs/>
        </w:rPr>
        <w:fldChar w:fldCharType="begin"/>
      </w:r>
      <w:r w:rsidR="00187A29">
        <w:rPr>
          <w:bCs/>
        </w:rPr>
        <w:instrText xml:space="preserve"> ADDIN EN.CITE &lt;EndNote&gt;&lt;Cite ExcludeAuth="1"&gt;&lt;Author&gt;Yokokawa&lt;/Author&gt;&lt;Year&gt;2009&lt;/Year&gt;&lt;RecNum&gt;63&lt;/RecNum&gt;&lt;DisplayText&gt;(2009)&lt;/DisplayText&gt;&lt;record&gt;&lt;rec-number&gt;63&lt;/rec-number&gt;&lt;foreign-keys&gt;&lt;key app="EN" db-id="pfxxvref0t0a5de2vwnv2fwkz0p9v0r2fw0t" timestamp="1458109056"&gt;63&lt;/key&gt;&lt;/foreign-keys&gt;&lt;ref-type name="Journal Article"&gt;17&lt;/ref-type&gt;&lt;contributors&gt;&lt;authors&gt;&lt;author&gt;Yokokawa, M&lt;/author&gt;&lt;author&gt;Tada, H&lt;/author&gt;&lt;author&gt;Toyama, T&lt;/author&gt;&lt;author&gt;Koyama, K&lt;/author&gt;&lt;author&gt;Naito, S&lt;/author&gt;&lt;author&gt;Oshima, S&lt;/author&gt;&lt;author&gt;Taniguchi, K&lt;/author&gt;&lt;/authors&gt;&lt;/contributors&gt;&lt;titles&gt;&lt;title&gt;Magnetic resonance imaging is superior to cardiac scintigraphy to identify nonresponders to cardiac resynchronization therapy&lt;/title&gt;&lt;secondary-title&gt;Pacing and clinical electrophysiology : PACE&lt;/secondary-title&gt;&lt;/titles&gt;&lt;periodical&gt;&lt;full-title&gt;Pacing and clinical electrophysiology : PACE&lt;/full-title&gt;&lt;/periodical&gt;&lt;pages&gt;S57-62&lt;/pages&gt;&lt;volume&gt;32&lt;/volume&gt;&lt;dates&gt;&lt;year&gt;2009&lt;/year&gt;&lt;pub-dates&gt;&lt;date&gt;2009-01-01&lt;/date&gt;&lt;/pub-dates&gt;&lt;/dates&gt;&lt;isbn&gt;0147-8389&lt;/isbn&gt;&lt;urls&gt;&lt;related-urls&gt;&lt;url&gt;http://onlinelibrary.wiley.com/o/cochrane/clcentral/articles/799/CN-00702799/frame.html&lt;/url&gt;&lt;url&gt;http://onlinelibrary.wiley.com/store/10.1111/j.1540-8159.2008.02227.x/asset/j.1540-8159.2008.02227.x.pdf?v=1&amp;amp;t=ijovib5a&amp;amp;s=e5dfb43f21b7285775d0c1f636cad4df484ffc20&lt;/url&gt;&lt;/related-urls&gt;&lt;/urls&gt;&lt;custom1&gt;RAYYAN-INCLUSION: {&amp;quot;Sharon&amp;quot;=&amp;gt;true} | RAYYAN-LABELS: DCM,general&lt;/custom1&gt;&lt;research-notes&gt;Unacceptable&lt;/research-notes&gt;&lt;/record&gt;&lt;/Cite&gt;&lt;/EndNote&gt;</w:instrText>
      </w:r>
      <w:r w:rsidR="00187A29">
        <w:rPr>
          <w:bCs/>
        </w:rPr>
        <w:fldChar w:fldCharType="separate"/>
      </w:r>
      <w:r w:rsidR="00187A29">
        <w:rPr>
          <w:bCs/>
          <w:noProof/>
        </w:rPr>
        <w:t>(</w:t>
      </w:r>
      <w:hyperlink w:anchor="_ENREF_142" w:tooltip="Yokokawa, 2009 #63" w:history="1">
        <w:r w:rsidR="00B906E9">
          <w:rPr>
            <w:bCs/>
            <w:noProof/>
          </w:rPr>
          <w:t>2009</w:t>
        </w:r>
      </w:hyperlink>
      <w:r w:rsidR="00187A29">
        <w:rPr>
          <w:bCs/>
          <w:noProof/>
        </w:rPr>
        <w:t>)</w:t>
      </w:r>
      <w:r w:rsidR="00187A29">
        <w:rPr>
          <w:bCs/>
        </w:rPr>
        <w:fldChar w:fldCharType="end"/>
      </w:r>
      <w:r>
        <w:rPr>
          <w:bCs/>
        </w:rPr>
        <w:t xml:space="preserve"> had a high risk of bias and compared the total and regional scar burden by LGE-CMR and SPECT in patients diagnosed with NIDCM or ICM who either responded or not to CRT. Response to CRT after 6</w:t>
      </w:r>
      <w:r w:rsidR="000839E8">
        <w:rPr>
          <w:bCs/>
        </w:rPr>
        <w:t> </w:t>
      </w:r>
      <w:r>
        <w:rPr>
          <w:bCs/>
        </w:rPr>
        <w:t>months was defined as</w:t>
      </w:r>
      <w:r w:rsidRPr="00F517C2">
        <w:rPr>
          <w:bCs/>
        </w:rPr>
        <w:t>: (1)</w:t>
      </w:r>
      <w:r>
        <w:rPr>
          <w:bCs/>
        </w:rPr>
        <w:t xml:space="preserve"> </w:t>
      </w:r>
      <w:r w:rsidRPr="00F517C2">
        <w:rPr>
          <w:bCs/>
        </w:rPr>
        <w:t>a ≥5% increase in LV</w:t>
      </w:r>
      <w:r>
        <w:rPr>
          <w:bCs/>
        </w:rPr>
        <w:t>EF</w:t>
      </w:r>
      <w:r w:rsidRPr="00F517C2">
        <w:rPr>
          <w:bCs/>
        </w:rPr>
        <w:t xml:space="preserve"> or a ≥15%</w:t>
      </w:r>
      <w:r>
        <w:rPr>
          <w:bCs/>
        </w:rPr>
        <w:t xml:space="preserve"> </w:t>
      </w:r>
      <w:r w:rsidRPr="00F517C2">
        <w:rPr>
          <w:bCs/>
        </w:rPr>
        <w:t>decrease in LV end-diastolic volume, or both; (2)</w:t>
      </w:r>
      <w:r>
        <w:rPr>
          <w:bCs/>
        </w:rPr>
        <w:t xml:space="preserve"> </w:t>
      </w:r>
      <w:r w:rsidRPr="00F517C2">
        <w:rPr>
          <w:bCs/>
        </w:rPr>
        <w:t>≥1 point decrease in</w:t>
      </w:r>
      <w:r w:rsidRPr="00AB0D8D">
        <w:rPr>
          <w:bCs/>
        </w:rPr>
        <w:t xml:space="preserve"> </w:t>
      </w:r>
      <w:r w:rsidR="00972CAD" w:rsidRPr="00AB0D8D">
        <w:rPr>
          <w:rStyle w:val="Emphasis"/>
          <w:b w:val="0"/>
        </w:rPr>
        <w:t>New York Heart Association</w:t>
      </w:r>
      <w:r w:rsidR="00972CAD" w:rsidRPr="00F517C2">
        <w:rPr>
          <w:bCs/>
        </w:rPr>
        <w:t xml:space="preserve"> </w:t>
      </w:r>
      <w:r w:rsidR="00972CAD">
        <w:rPr>
          <w:bCs/>
        </w:rPr>
        <w:t>(</w:t>
      </w:r>
      <w:r w:rsidRPr="00F517C2">
        <w:rPr>
          <w:bCs/>
        </w:rPr>
        <w:t>NYHA</w:t>
      </w:r>
      <w:r w:rsidR="00972CAD">
        <w:rPr>
          <w:bCs/>
        </w:rPr>
        <w:t>)</w:t>
      </w:r>
      <w:r>
        <w:rPr>
          <w:bCs/>
        </w:rPr>
        <w:t xml:space="preserve"> </w:t>
      </w:r>
      <w:r w:rsidRPr="00F517C2">
        <w:rPr>
          <w:bCs/>
        </w:rPr>
        <w:t>functional class; and (3) no hospitali</w:t>
      </w:r>
      <w:r w:rsidR="000839E8">
        <w:rPr>
          <w:bCs/>
        </w:rPr>
        <w:t>s</w:t>
      </w:r>
      <w:r w:rsidRPr="00F517C2">
        <w:rPr>
          <w:bCs/>
        </w:rPr>
        <w:t>ation for</w:t>
      </w:r>
      <w:r>
        <w:rPr>
          <w:bCs/>
        </w:rPr>
        <w:t xml:space="preserve"> </w:t>
      </w:r>
      <w:r w:rsidRPr="00F517C2">
        <w:rPr>
          <w:bCs/>
        </w:rPr>
        <w:t xml:space="preserve">management of decompensated </w:t>
      </w:r>
      <w:r>
        <w:rPr>
          <w:bCs/>
        </w:rPr>
        <w:t>HF</w:t>
      </w:r>
      <w:r w:rsidRPr="00F517C2">
        <w:rPr>
          <w:bCs/>
        </w:rPr>
        <w:t xml:space="preserve"> during</w:t>
      </w:r>
      <w:r>
        <w:rPr>
          <w:bCs/>
        </w:rPr>
        <w:t xml:space="preserve"> </w:t>
      </w:r>
      <w:r w:rsidRPr="00F517C2">
        <w:rPr>
          <w:bCs/>
        </w:rPr>
        <w:t>follow-up.</w:t>
      </w:r>
      <w:r>
        <w:rPr>
          <w:bCs/>
        </w:rPr>
        <w:t xml:space="preserve"> </w:t>
      </w:r>
    </w:p>
    <w:p w14:paraId="54D82667" w14:textId="1D32E715" w:rsidR="00061768" w:rsidRDefault="00061768" w:rsidP="004C79C1">
      <w:pPr>
        <w:spacing w:after="120" w:line="240" w:lineRule="auto"/>
        <w:jc w:val="both"/>
        <w:rPr>
          <w:bCs/>
        </w:rPr>
      </w:pPr>
      <w:r>
        <w:rPr>
          <w:bCs/>
        </w:rPr>
        <w:t>The authors found that 59% (10/17) of DCM patients and 43% (3/7) of ICM patients responded to CRT. T</w:t>
      </w:r>
      <w:r w:rsidRPr="00F517C2">
        <w:rPr>
          <w:bCs/>
        </w:rPr>
        <w:t>he total scar score was significantly higher in the ICM than</w:t>
      </w:r>
      <w:r>
        <w:rPr>
          <w:bCs/>
        </w:rPr>
        <w:t xml:space="preserve"> </w:t>
      </w:r>
      <w:r w:rsidRPr="00F517C2">
        <w:rPr>
          <w:bCs/>
        </w:rPr>
        <w:t xml:space="preserve">the </w:t>
      </w:r>
      <w:r>
        <w:rPr>
          <w:bCs/>
        </w:rPr>
        <w:t>NI</w:t>
      </w:r>
      <w:r w:rsidRPr="00F517C2">
        <w:rPr>
          <w:bCs/>
        </w:rPr>
        <w:t>DCM group</w:t>
      </w:r>
      <w:r>
        <w:rPr>
          <w:bCs/>
        </w:rPr>
        <w:t xml:space="preserve"> by both SPECT and CMR imaging</w:t>
      </w:r>
      <w:r w:rsidRPr="00F517C2">
        <w:rPr>
          <w:bCs/>
        </w:rPr>
        <w:t>.</w:t>
      </w:r>
      <w:r>
        <w:rPr>
          <w:bCs/>
        </w:rPr>
        <w:t xml:space="preserve"> By LGE-CMR the NI</w:t>
      </w:r>
      <w:r w:rsidRPr="00217B93">
        <w:rPr>
          <w:bCs/>
        </w:rPr>
        <w:t>DCM group</w:t>
      </w:r>
      <w:r>
        <w:rPr>
          <w:bCs/>
        </w:rPr>
        <w:t xml:space="preserve"> had </w:t>
      </w:r>
      <w:r w:rsidRPr="00217B93">
        <w:rPr>
          <w:bCs/>
        </w:rPr>
        <w:t>significantly higher percentage</w:t>
      </w:r>
      <w:r>
        <w:rPr>
          <w:bCs/>
        </w:rPr>
        <w:t>s</w:t>
      </w:r>
      <w:r w:rsidRPr="00217B93">
        <w:rPr>
          <w:bCs/>
        </w:rPr>
        <w:t xml:space="preserve"> of regional</w:t>
      </w:r>
      <w:r>
        <w:rPr>
          <w:bCs/>
        </w:rPr>
        <w:t xml:space="preserve"> </w:t>
      </w:r>
      <w:r w:rsidRPr="00217B93">
        <w:rPr>
          <w:bCs/>
        </w:rPr>
        <w:t>scar segments and regional scar score</w:t>
      </w:r>
      <w:r>
        <w:rPr>
          <w:bCs/>
        </w:rPr>
        <w:t xml:space="preserve"> </w:t>
      </w:r>
      <w:r w:rsidRPr="00217B93">
        <w:rPr>
          <w:bCs/>
        </w:rPr>
        <w:t xml:space="preserve">in the LV inferior wall </w:t>
      </w:r>
      <w:r>
        <w:rPr>
          <w:bCs/>
        </w:rPr>
        <w:t>of</w:t>
      </w:r>
      <w:r w:rsidRPr="00217B93">
        <w:rPr>
          <w:bCs/>
        </w:rPr>
        <w:t xml:space="preserve"> non</w:t>
      </w:r>
      <w:r>
        <w:rPr>
          <w:bCs/>
        </w:rPr>
        <w:t>-</w:t>
      </w:r>
      <w:r w:rsidRPr="00217B93">
        <w:rPr>
          <w:bCs/>
        </w:rPr>
        <w:t>responders than responders</w:t>
      </w:r>
      <w:r w:rsidR="00F604D6">
        <w:rPr>
          <w:bCs/>
        </w:rPr>
        <w:t>;</w:t>
      </w:r>
      <w:r>
        <w:rPr>
          <w:bCs/>
        </w:rPr>
        <w:t xml:space="preserve"> whereas by</w:t>
      </w:r>
      <w:r w:rsidRPr="00217B93">
        <w:rPr>
          <w:bCs/>
        </w:rPr>
        <w:t xml:space="preserve"> SPECT the regional scar</w:t>
      </w:r>
      <w:r>
        <w:rPr>
          <w:bCs/>
        </w:rPr>
        <w:t xml:space="preserve"> </w:t>
      </w:r>
      <w:r w:rsidRPr="00217B93">
        <w:rPr>
          <w:bCs/>
        </w:rPr>
        <w:t>burdens were similar</w:t>
      </w:r>
      <w:r>
        <w:rPr>
          <w:bCs/>
        </w:rPr>
        <w:t>ly high</w:t>
      </w:r>
      <w:r w:rsidRPr="00217B93">
        <w:rPr>
          <w:bCs/>
        </w:rPr>
        <w:t xml:space="preserve"> in </w:t>
      </w:r>
      <w:r>
        <w:rPr>
          <w:bCs/>
        </w:rPr>
        <w:t xml:space="preserve">both </w:t>
      </w:r>
      <w:r w:rsidRPr="00217B93">
        <w:rPr>
          <w:bCs/>
        </w:rPr>
        <w:t>responders and non</w:t>
      </w:r>
      <w:r>
        <w:rPr>
          <w:bCs/>
        </w:rPr>
        <w:t>-</w:t>
      </w:r>
      <w:r w:rsidRPr="00217B93">
        <w:rPr>
          <w:bCs/>
        </w:rPr>
        <w:t>responders</w:t>
      </w:r>
      <w:r>
        <w:rPr>
          <w:bCs/>
        </w:rPr>
        <w:t>. Thus, LGE-</w:t>
      </w:r>
      <w:r w:rsidRPr="00126FC8">
        <w:rPr>
          <w:bCs/>
        </w:rPr>
        <w:t>CMR</w:t>
      </w:r>
      <w:r>
        <w:rPr>
          <w:bCs/>
        </w:rPr>
        <w:t xml:space="preserve"> could </w:t>
      </w:r>
      <w:r w:rsidRPr="00126FC8">
        <w:rPr>
          <w:bCs/>
        </w:rPr>
        <w:t>identif</w:t>
      </w:r>
      <w:r>
        <w:rPr>
          <w:bCs/>
        </w:rPr>
        <w:t>y</w:t>
      </w:r>
      <w:r w:rsidRPr="00126FC8">
        <w:rPr>
          <w:bCs/>
        </w:rPr>
        <w:t xml:space="preserve"> non-responders to CRT more reliably than </w:t>
      </w:r>
      <w:r w:rsidR="002954D1">
        <w:rPr>
          <w:bCs/>
        </w:rPr>
        <w:t xml:space="preserve">to </w:t>
      </w:r>
      <w:r w:rsidRPr="00126FC8">
        <w:rPr>
          <w:bCs/>
        </w:rPr>
        <w:t xml:space="preserve">SPECT in patients with </w:t>
      </w:r>
      <w:r>
        <w:rPr>
          <w:bCs/>
        </w:rPr>
        <w:t>NI</w:t>
      </w:r>
      <w:r w:rsidRPr="00126FC8">
        <w:rPr>
          <w:bCs/>
        </w:rPr>
        <w:t>DCM.</w:t>
      </w:r>
    </w:p>
    <w:p w14:paraId="034631EF" w14:textId="27B88CE2" w:rsidR="00061768" w:rsidRPr="00126FC8" w:rsidRDefault="00061768" w:rsidP="004C79C1">
      <w:pPr>
        <w:spacing w:after="120" w:line="240" w:lineRule="auto"/>
        <w:jc w:val="both"/>
        <w:rPr>
          <w:bCs/>
        </w:rPr>
      </w:pPr>
      <w:r>
        <w:rPr>
          <w:bCs/>
        </w:rPr>
        <w:t xml:space="preserve">The authors also noted that </w:t>
      </w:r>
      <w:r w:rsidRPr="00126FC8">
        <w:rPr>
          <w:bCs/>
        </w:rPr>
        <w:t xml:space="preserve">SPECT imaging in the </w:t>
      </w:r>
      <w:r>
        <w:rPr>
          <w:bCs/>
        </w:rPr>
        <w:t>NI</w:t>
      </w:r>
      <w:r w:rsidRPr="00126FC8">
        <w:rPr>
          <w:bCs/>
        </w:rPr>
        <w:t>DCM group often showed severe perfusion defects</w:t>
      </w:r>
      <w:r w:rsidRPr="00217B93">
        <w:rPr>
          <w:bCs/>
        </w:rPr>
        <w:t xml:space="preserve"> </w:t>
      </w:r>
      <w:r w:rsidRPr="00126FC8">
        <w:rPr>
          <w:bCs/>
        </w:rPr>
        <w:t>in the LV inferior wall, due to attenuation artefacts, which result</w:t>
      </w:r>
      <w:r>
        <w:rPr>
          <w:bCs/>
        </w:rPr>
        <w:t>ed</w:t>
      </w:r>
      <w:r w:rsidRPr="00126FC8">
        <w:rPr>
          <w:bCs/>
        </w:rPr>
        <w:t xml:space="preserve"> in overestimation of scar tissue. </w:t>
      </w:r>
      <w:r>
        <w:rPr>
          <w:bCs/>
        </w:rPr>
        <w:t>However, due to the small study size, these results should be viewed with caution.</w:t>
      </w:r>
    </w:p>
    <w:p w14:paraId="36F6629C" w14:textId="6EA2E839" w:rsidR="00061768" w:rsidRDefault="00061768" w:rsidP="00161B88">
      <w:pPr>
        <w:pStyle w:val="Heading4"/>
      </w:pPr>
      <w:r>
        <w:t>The prognostic value of detecting myocardial scarring by LGE-CMR in patients with NIDCM who have an ICD</w:t>
      </w:r>
      <w:r w:rsidR="00C341B5">
        <w:t xml:space="preserve"> </w:t>
      </w:r>
      <w:r w:rsidRPr="006811CD">
        <w:t>/</w:t>
      </w:r>
      <w:r w:rsidR="00F22EC4" w:rsidRPr="006811CD">
        <w:t xml:space="preserve"> cardiac resynchronisation therapy with ICD (</w:t>
      </w:r>
      <w:r>
        <w:t>CRT-D</w:t>
      </w:r>
      <w:r w:rsidR="00F22EC4">
        <w:t>)</w:t>
      </w:r>
      <w:r>
        <w:t xml:space="preserve"> </w:t>
      </w:r>
      <w:r w:rsidR="008711D8">
        <w:t xml:space="preserve">device </w:t>
      </w:r>
      <w:r>
        <w:t>implantation</w:t>
      </w:r>
    </w:p>
    <w:p w14:paraId="2531CAC6" w14:textId="25DC9150" w:rsidR="00061768" w:rsidRPr="007B6EB4" w:rsidRDefault="00061768" w:rsidP="004C79C1">
      <w:pPr>
        <w:spacing w:after="120" w:line="240" w:lineRule="auto"/>
        <w:jc w:val="both"/>
        <w:rPr>
          <w:bCs/>
        </w:rPr>
      </w:pPr>
      <w:r w:rsidRPr="007B6EB4">
        <w:rPr>
          <w:bCs/>
        </w:rPr>
        <w:t xml:space="preserve">Eleven prospective and </w:t>
      </w:r>
      <w:r w:rsidR="00576387">
        <w:rPr>
          <w:bCs/>
        </w:rPr>
        <w:t>1</w:t>
      </w:r>
      <w:r w:rsidR="00576387" w:rsidRPr="007B6EB4">
        <w:rPr>
          <w:bCs/>
        </w:rPr>
        <w:t xml:space="preserve"> </w:t>
      </w:r>
      <w:r w:rsidRPr="007B6EB4">
        <w:rPr>
          <w:bCs/>
        </w:rPr>
        <w:t>retrospective cohort studies reported on ICD/CRT</w:t>
      </w:r>
      <w:r w:rsidRPr="00BE7769">
        <w:rPr>
          <w:bCs/>
        </w:rPr>
        <w:t xml:space="preserve"> device</w:t>
      </w:r>
      <w:r w:rsidRPr="004268BA">
        <w:rPr>
          <w:bCs/>
        </w:rPr>
        <w:t xml:space="preserve"> implantation and discharge </w:t>
      </w:r>
      <w:r w:rsidRPr="00141050">
        <w:rPr>
          <w:bCs/>
        </w:rPr>
        <w:t>(</w:t>
      </w:r>
      <w:r w:rsidR="000E703F">
        <w:rPr>
          <w:bCs/>
        </w:rPr>
        <w:fldChar w:fldCharType="begin"/>
      </w:r>
      <w:r w:rsidR="000E703F">
        <w:rPr>
          <w:bCs/>
        </w:rPr>
        <w:instrText xml:space="preserve"> REF _Ref451329452 \h </w:instrText>
      </w:r>
      <w:r w:rsidR="000E703F">
        <w:rPr>
          <w:bCs/>
        </w:rPr>
      </w:r>
      <w:r w:rsidR="000E703F">
        <w:rPr>
          <w:bCs/>
        </w:rPr>
        <w:fldChar w:fldCharType="separate"/>
      </w:r>
      <w:r w:rsidR="000E703F">
        <w:t xml:space="preserve">Table </w:t>
      </w:r>
      <w:r w:rsidR="000E703F">
        <w:rPr>
          <w:noProof/>
        </w:rPr>
        <w:t>78</w:t>
      </w:r>
      <w:r w:rsidR="000E703F">
        <w:rPr>
          <w:bCs/>
        </w:rPr>
        <w:fldChar w:fldCharType="end"/>
      </w:r>
      <w:r w:rsidRPr="00141050">
        <w:rPr>
          <w:bCs/>
        </w:rPr>
        <w:t>).</w:t>
      </w:r>
      <w:r w:rsidRPr="007B6EB4">
        <w:rPr>
          <w:bCs/>
        </w:rPr>
        <w:t xml:space="preserve"> Four</w:t>
      </w:r>
      <w:r w:rsidRPr="00BE7769">
        <w:rPr>
          <w:bCs/>
        </w:rPr>
        <w:t xml:space="preserve"> studies enrolled only patients who were to be implanted with an ICD/CR</w:t>
      </w:r>
      <w:r w:rsidRPr="004268BA">
        <w:rPr>
          <w:bCs/>
        </w:rPr>
        <w:t>T-D</w:t>
      </w:r>
      <w:r w:rsidR="008711D8">
        <w:rPr>
          <w:bCs/>
        </w:rPr>
        <w:t xml:space="preserve"> device</w:t>
      </w:r>
      <w:r w:rsidRPr="00116D11">
        <w:rPr>
          <w:bCs/>
        </w:rPr>
        <w:t xml:space="preserve"> and </w:t>
      </w:r>
      <w:r w:rsidR="00DA074B">
        <w:rPr>
          <w:bCs/>
        </w:rPr>
        <w:t>8</w:t>
      </w:r>
      <w:r w:rsidR="00DA074B" w:rsidRPr="00116D11">
        <w:rPr>
          <w:bCs/>
        </w:rPr>
        <w:t xml:space="preserve"> </w:t>
      </w:r>
      <w:r w:rsidRPr="00116D11">
        <w:rPr>
          <w:bCs/>
        </w:rPr>
        <w:t>studies reported on the proportion of NIDCM patients who had an ICD/CRT device implanted. Three of these studies did not provide any information about the presence</w:t>
      </w:r>
      <w:r w:rsidRPr="007B6EB4">
        <w:rPr>
          <w:bCs/>
        </w:rPr>
        <w:t xml:space="preserve"> or absence of LGE among the patients who received ICDs </w:t>
      </w:r>
      <w:r w:rsidR="00187A29" w:rsidRPr="007B6EB4">
        <w:rPr>
          <w:bCs/>
        </w:rPr>
        <w:fldChar w:fldCharType="begin">
          <w:fldData xml:space="preserve">PEVuZE5vdGU+PENpdGU+PEF1dGhvcj5Ib21iYWNoPC9BdXRob3I+PFllYXI+MjAwOTwvWWVhcj48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</w:fldData>
        </w:fldChar>
      </w:r>
      <w:r w:rsidR="00187A29" w:rsidRPr="007B6EB4">
        <w:rPr>
          <w:bCs/>
        </w:rPr>
        <w:instrText xml:space="preserve"> ADDIN EN.CITE </w:instrText>
      </w:r>
      <w:r w:rsidR="00187A29" w:rsidRPr="00AD7237">
        <w:rPr>
          <w:bCs/>
        </w:rPr>
        <w:fldChar w:fldCharType="begin">
          <w:fldData xml:space="preserve">PEVuZE5vdGU+PENpdGU+PEF1dGhvcj5Ib21iYWNoPC9BdXRob3I+PFllYXI+MjAwOTwvWWVhcj48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</w:fldData>
        </w:fldChar>
      </w:r>
      <w:r w:rsidR="00187A29" w:rsidRPr="007B6EB4">
        <w:rPr>
          <w:bCs/>
        </w:rPr>
        <w:instrText xml:space="preserve"> ADDIN EN.CITE.DATA </w:instrText>
      </w:r>
      <w:r w:rsidR="00187A29" w:rsidRPr="00AD7237">
        <w:rPr>
          <w:bCs/>
        </w:rPr>
      </w:r>
      <w:r w:rsidR="00187A29" w:rsidRPr="00AD7237">
        <w:rPr>
          <w:bCs/>
        </w:rPr>
        <w:fldChar w:fldCharType="end"/>
      </w:r>
      <w:r w:rsidR="00187A29" w:rsidRPr="007B6EB4">
        <w:rPr>
          <w:bCs/>
        </w:rPr>
      </w:r>
      <w:r w:rsidR="00187A29" w:rsidRPr="007B6EB4">
        <w:rPr>
          <w:bCs/>
        </w:rPr>
        <w:fldChar w:fldCharType="separate"/>
      </w:r>
      <w:r w:rsidR="00187A29" w:rsidRPr="007B6EB4">
        <w:rPr>
          <w:bCs/>
          <w:noProof/>
        </w:rPr>
        <w:t>(</w:t>
      </w:r>
      <w:hyperlink w:anchor="_ENREF_52" w:tooltip="Hombach, 2009 #43" w:history="1">
        <w:r w:rsidR="00B906E9" w:rsidRPr="007B6EB4">
          <w:rPr>
            <w:bCs/>
            <w:noProof/>
          </w:rPr>
          <w:t xml:space="preserve">Hombach et </w:t>
        </w:r>
        <w:r w:rsidR="00B906E9" w:rsidRPr="00BE7769">
          <w:rPr>
            <w:bCs/>
            <w:noProof/>
          </w:rPr>
          <w:t>al. 2009</w:t>
        </w:r>
      </w:hyperlink>
      <w:r w:rsidR="00187A29" w:rsidRPr="007B6EB4">
        <w:rPr>
          <w:bCs/>
          <w:noProof/>
        </w:rPr>
        <w:t xml:space="preserve">; </w:t>
      </w:r>
      <w:hyperlink w:anchor="_ENREF_90" w:tooltip="Muller, 2013 #53" w:history="1">
        <w:r w:rsidR="00B906E9" w:rsidRPr="007B6EB4">
          <w:rPr>
            <w:bCs/>
            <w:noProof/>
          </w:rPr>
          <w:t>Muller et al. 2013</w:t>
        </w:r>
      </w:hyperlink>
      <w:r w:rsidR="00187A29" w:rsidRPr="007B6EB4">
        <w:rPr>
          <w:bCs/>
          <w:noProof/>
        </w:rPr>
        <w:t xml:space="preserve">; </w:t>
      </w:r>
      <w:hyperlink w:anchor="_ENREF_101" w:tooltip="Perazzolo Marra, 2014 #56" w:history="1">
        <w:r w:rsidR="00B906E9" w:rsidRPr="007B6EB4">
          <w:rPr>
            <w:bCs/>
            <w:noProof/>
          </w:rPr>
          <w:t>Perazzolo Marra et al. 2014</w:t>
        </w:r>
      </w:hyperlink>
      <w:r w:rsidR="00187A29" w:rsidRPr="007B6EB4">
        <w:rPr>
          <w:bCs/>
          <w:noProof/>
        </w:rPr>
        <w:t>)</w:t>
      </w:r>
      <w:r w:rsidR="00187A29" w:rsidRPr="007B6EB4">
        <w:rPr>
          <w:bCs/>
        </w:rPr>
        <w:fldChar w:fldCharType="end"/>
      </w:r>
      <w:r w:rsidRPr="007B6EB4">
        <w:rPr>
          <w:bCs/>
        </w:rPr>
        <w:t>.</w:t>
      </w:r>
    </w:p>
    <w:p w14:paraId="023CDF15" w14:textId="6D76B1D5" w:rsidR="00061768" w:rsidRDefault="00061768" w:rsidP="004C79C1">
      <w:pPr>
        <w:spacing w:after="120" w:line="240" w:lineRule="auto"/>
        <w:jc w:val="both"/>
        <w:rPr>
          <w:bCs/>
        </w:rPr>
      </w:pPr>
      <w:r w:rsidRPr="00BE7769">
        <w:rPr>
          <w:bCs/>
        </w:rPr>
        <w:t>Overall</w:t>
      </w:r>
      <w:r w:rsidR="00A5235C">
        <w:rPr>
          <w:bCs/>
        </w:rPr>
        <w:t>,</w:t>
      </w:r>
      <w:r w:rsidRPr="00BE7769">
        <w:rPr>
          <w:bCs/>
        </w:rPr>
        <w:t xml:space="preserve"> a median of 24% (range 14</w:t>
      </w:r>
      <w:r w:rsidRPr="004268BA">
        <w:rPr>
          <w:rFonts w:ascii="Arial Narrow" w:hAnsi="Arial Narrow"/>
          <w:bCs/>
        </w:rPr>
        <w:t>–</w:t>
      </w:r>
      <w:r w:rsidRPr="004268BA">
        <w:rPr>
          <w:bCs/>
        </w:rPr>
        <w:t>50%) of patients received the devices at the disc</w:t>
      </w:r>
      <w:r w:rsidRPr="00116D11">
        <w:rPr>
          <w:bCs/>
        </w:rPr>
        <w:t>retion of the treating physician and according to current guidelines on the implantation of thes</w:t>
      </w:r>
      <w:r w:rsidRPr="007B6EB4">
        <w:rPr>
          <w:bCs/>
        </w:rPr>
        <w:t>e devices (</w:t>
      </w:r>
      <w:r w:rsidRPr="007B6EB4">
        <w:rPr>
          <w:bCs/>
        </w:rPr>
        <w:fldChar w:fldCharType="begin"/>
      </w:r>
      <w:r w:rsidRPr="007B6EB4">
        <w:rPr>
          <w:bCs/>
        </w:rPr>
        <w:instrText xml:space="preserve"> REF _Ref445909265 \h </w:instrText>
      </w:r>
      <w:r w:rsidR="007B6EB4">
        <w:rPr>
          <w:bCs/>
        </w:rPr>
        <w:instrText xml:space="preserve"> \* MERGEFORMAT </w:instrText>
      </w:r>
      <w:r w:rsidRPr="007B6EB4">
        <w:rPr>
          <w:bCs/>
        </w:rPr>
      </w:r>
      <w:r w:rsidRPr="007B6EB4">
        <w:rPr>
          <w:bCs/>
        </w:rPr>
        <w:fldChar w:fldCharType="separate"/>
      </w:r>
      <w:r w:rsidR="00B85CFA" w:rsidRPr="00313D73">
        <w:t xml:space="preserve">Figure </w:t>
      </w:r>
      <w:r w:rsidR="00B85CFA">
        <w:rPr>
          <w:noProof/>
        </w:rPr>
        <w:lastRenderedPageBreak/>
        <w:t>19</w:t>
      </w:r>
      <w:r w:rsidRPr="007B6EB4">
        <w:rPr>
          <w:bCs/>
        </w:rPr>
        <w:fldChar w:fldCharType="end"/>
      </w:r>
      <w:r w:rsidRPr="007B6EB4">
        <w:rPr>
          <w:bCs/>
        </w:rPr>
        <w:t xml:space="preserve">). Five studies provided moderatequality evidence (GRADE </w:t>
      </w:r>
      <w:r w:rsidRPr="007B6EB4">
        <w:rPr>
          <w:rFonts w:ascii="Cambria Math" w:hAnsi="Cambria Math" w:cs="Cambria Math"/>
          <w:color w:val="00B050"/>
          <w:sz w:val="20"/>
        </w:rPr>
        <w:t>⊕⊕⊕</w:t>
      </w:r>
      <w:r w:rsidRPr="007B6EB4">
        <w:rPr>
          <w:rFonts w:ascii="Cambria Math" w:hAnsi="Cambria Math" w:cs="Cambria Math"/>
          <w:color w:val="FF0000"/>
          <w:sz w:val="20"/>
        </w:rPr>
        <w:t>⨀</w:t>
      </w:r>
      <w:r w:rsidRPr="00BE7769">
        <w:rPr>
          <w:rFonts w:asciiTheme="minorHAnsi" w:hAnsiTheme="minorHAnsi" w:cs="Cambria Math"/>
        </w:rPr>
        <w:t xml:space="preserve">) </w:t>
      </w:r>
      <w:r w:rsidRPr="004268BA">
        <w:rPr>
          <w:rFonts w:asciiTheme="minorHAnsi" w:hAnsiTheme="minorHAnsi" w:cs="Cambria Math"/>
        </w:rPr>
        <w:t>on the proportion of LGE+ and LGE–</w:t>
      </w:r>
      <w:r w:rsidRPr="00116D11">
        <w:rPr>
          <w:bCs/>
        </w:rPr>
        <w:t xml:space="preserve"> patients who received an ICD/CRT device (</w:t>
      </w:r>
      <w:r w:rsidR="008A68AA">
        <w:rPr>
          <w:bCs/>
        </w:rPr>
        <w:fldChar w:fldCharType="begin"/>
      </w:r>
      <w:r w:rsidR="008A68AA">
        <w:rPr>
          <w:bCs/>
        </w:rPr>
        <w:instrText xml:space="preserve"> REF _Ref451329208 \h </w:instrText>
      </w:r>
      <w:r w:rsidR="008A68AA">
        <w:rPr>
          <w:bCs/>
        </w:rPr>
      </w:r>
      <w:r w:rsidR="008A68AA">
        <w:rPr>
          <w:bCs/>
        </w:rPr>
        <w:fldChar w:fldCharType="separate"/>
      </w:r>
      <w:r w:rsidR="008A68AA">
        <w:t xml:space="preserve">Table </w:t>
      </w:r>
      <w:r w:rsidR="008A68AA">
        <w:rPr>
          <w:noProof/>
        </w:rPr>
        <w:t>88</w:t>
      </w:r>
      <w:r w:rsidR="008A68AA">
        <w:rPr>
          <w:bCs/>
        </w:rPr>
        <w:fldChar w:fldCharType="end"/>
      </w:r>
      <w:r w:rsidR="008A68AA">
        <w:rPr>
          <w:bCs/>
        </w:rPr>
        <w:t xml:space="preserve"> </w:t>
      </w:r>
      <w:r w:rsidRPr="007B6EB4">
        <w:rPr>
          <w:bCs/>
        </w:rPr>
        <w:t xml:space="preserve">in </w:t>
      </w:r>
      <w:r w:rsidRPr="00AD7237">
        <w:rPr>
          <w:bCs/>
        </w:rPr>
        <w:t xml:space="preserve">Appendix </w:t>
      </w:r>
      <w:r w:rsidR="00C105E8">
        <w:rPr>
          <w:bCs/>
        </w:rPr>
        <w:t>D</w:t>
      </w:r>
      <w:r w:rsidRPr="007B6EB4">
        <w:rPr>
          <w:bCs/>
        </w:rPr>
        <w:t>). Among those patients who were LGE+</w:t>
      </w:r>
      <w:r w:rsidR="00A5235C">
        <w:rPr>
          <w:bCs/>
        </w:rPr>
        <w:t>,</w:t>
      </w:r>
      <w:r w:rsidRPr="007B6EB4">
        <w:rPr>
          <w:bCs/>
        </w:rPr>
        <w:t xml:space="preserve"> a median of 25% (range 18</w:t>
      </w:r>
      <w:r w:rsidRPr="00BE7769">
        <w:rPr>
          <w:rFonts w:ascii="Arial Narrow" w:hAnsi="Arial Narrow"/>
          <w:bCs/>
        </w:rPr>
        <w:t>–</w:t>
      </w:r>
      <w:r w:rsidRPr="004268BA">
        <w:rPr>
          <w:bCs/>
        </w:rPr>
        <w:t>41%) received an ICD/CRT device compared with a median of 10% (range 4</w:t>
      </w:r>
      <w:r w:rsidRPr="00116D11">
        <w:rPr>
          <w:rFonts w:ascii="Arial Narrow" w:hAnsi="Arial Narrow"/>
          <w:bCs/>
        </w:rPr>
        <w:t>–</w:t>
      </w:r>
      <w:r w:rsidRPr="007B6EB4">
        <w:rPr>
          <w:bCs/>
        </w:rPr>
        <w:t>16%) of LGE</w:t>
      </w:r>
      <w:r w:rsidRPr="007B6EB4">
        <w:rPr>
          <w:rFonts w:ascii="Arial Narrow" w:hAnsi="Arial Narrow"/>
          <w:bCs/>
        </w:rPr>
        <w:t>–</w:t>
      </w:r>
      <w:r w:rsidRPr="007B6EB4">
        <w:rPr>
          <w:bCs/>
        </w:rPr>
        <w:t xml:space="preserve"> patients. The forest plot in </w:t>
      </w:r>
      <w:r w:rsidRPr="007B6EB4">
        <w:rPr>
          <w:bCs/>
        </w:rPr>
        <w:fldChar w:fldCharType="begin"/>
      </w:r>
      <w:r w:rsidRPr="007B6EB4">
        <w:rPr>
          <w:bCs/>
        </w:rPr>
        <w:instrText xml:space="preserve"> REF _Ref445909265 \h </w:instrText>
      </w:r>
      <w:r w:rsidR="007B6EB4">
        <w:rPr>
          <w:bCs/>
        </w:rPr>
        <w:instrText xml:space="preserve"> \* MERGEFORMAT </w:instrText>
      </w:r>
      <w:r w:rsidRPr="007B6EB4">
        <w:rPr>
          <w:bCs/>
        </w:rPr>
      </w:r>
      <w:r w:rsidRPr="007B6EB4">
        <w:rPr>
          <w:bCs/>
        </w:rPr>
        <w:fldChar w:fldCharType="separate"/>
      </w:r>
      <w:r w:rsidR="00B85CFA" w:rsidRPr="00313D73">
        <w:t xml:space="preserve">Figure </w:t>
      </w:r>
      <w:r w:rsidR="00B85CFA">
        <w:rPr>
          <w:noProof/>
        </w:rPr>
        <w:t>19</w:t>
      </w:r>
      <w:r w:rsidRPr="007B6EB4">
        <w:rPr>
          <w:bCs/>
        </w:rPr>
        <w:fldChar w:fldCharType="end"/>
      </w:r>
      <w:r w:rsidRPr="007B6EB4">
        <w:rPr>
          <w:bCs/>
        </w:rPr>
        <w:t xml:space="preserve"> shows that NIDCM patients who are LGE+ were 2.5-times more likely to receive an ICD/CRT device implant than those who were LGE</w:t>
      </w:r>
      <w:r w:rsidRPr="00BE7769">
        <w:rPr>
          <w:rFonts w:ascii="Arial Narrow" w:hAnsi="Arial Narrow"/>
          <w:bCs/>
        </w:rPr>
        <w:t>–</w:t>
      </w:r>
      <w:r w:rsidRPr="004268BA">
        <w:rPr>
          <w:bCs/>
        </w:rPr>
        <w:t>.</w:t>
      </w:r>
      <w:r>
        <w:rPr>
          <w:bCs/>
        </w:rPr>
        <w:t xml:space="preserve"> </w:t>
      </w:r>
    </w:p>
    <w:p w14:paraId="7446D13D" w14:textId="1DA7EE53" w:rsidR="00061768" w:rsidRDefault="00061768" w:rsidP="004C79C1">
      <w:pPr>
        <w:spacing w:after="120" w:line="240" w:lineRule="auto"/>
        <w:jc w:val="both"/>
        <w:rPr>
          <w:bCs/>
        </w:rPr>
      </w:pPr>
      <w:r>
        <w:rPr>
          <w:bCs/>
        </w:rPr>
        <w:t xml:space="preserve">Of the </w:t>
      </w:r>
      <w:r w:rsidR="008711D8">
        <w:rPr>
          <w:bCs/>
        </w:rPr>
        <w:t>4</w:t>
      </w:r>
      <w:r w:rsidR="008711D8" w:rsidRPr="00DE557D">
        <w:rPr>
          <w:bCs/>
        </w:rPr>
        <w:t xml:space="preserve"> </w:t>
      </w:r>
      <w:r w:rsidRPr="00DE557D">
        <w:rPr>
          <w:bCs/>
        </w:rPr>
        <w:t xml:space="preserve">studies </w:t>
      </w:r>
      <w:r>
        <w:rPr>
          <w:bCs/>
        </w:rPr>
        <w:t xml:space="preserve">that </w:t>
      </w:r>
      <w:r w:rsidRPr="00DE557D">
        <w:rPr>
          <w:bCs/>
        </w:rPr>
        <w:t>enrolled only patients who were to be implanted with an ICD/CR</w:t>
      </w:r>
      <w:r>
        <w:rPr>
          <w:bCs/>
        </w:rPr>
        <w:t xml:space="preserve">T device, </w:t>
      </w:r>
      <w:r w:rsidR="008711D8">
        <w:rPr>
          <w:bCs/>
        </w:rPr>
        <w:t xml:space="preserve">3 </w:t>
      </w:r>
      <w:r>
        <w:rPr>
          <w:bCs/>
        </w:rPr>
        <w:t xml:space="preserve">enrolled only patients undergoing the intervention for primary prevention of SCD </w:t>
      </w:r>
      <w:r w:rsidR="00187A29">
        <w:rPr>
          <w:bCs/>
        </w:rPr>
        <w:fldChar w:fldCharType="begin">
          <w:fldData xml:space="preserve">PEVuZE5vdGU+PENpdGU+PEF1dGhvcj5JbGVzPC9BdXRob3I+PFllYXI+MjAxMTwvWWVhcj48UmVj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</w:fldData>
        </w:fldChar>
      </w:r>
      <w:r w:rsidR="00187A29">
        <w:rPr>
          <w:bCs/>
        </w:rPr>
        <w:instrText xml:space="preserve"> ADDIN EN.CITE </w:instrText>
      </w:r>
      <w:r w:rsidR="00187A29">
        <w:rPr>
          <w:bCs/>
        </w:rPr>
        <w:fldChar w:fldCharType="begin">
          <w:fldData xml:space="preserve">PEVuZE5vdGU+PENpdGU+PEF1dGhvcj5JbGVzPC9BdXRob3I+PFllYXI+MjAxMTwvWWVhcj48UmVj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54" w:tooltip="Iles, 2011 #44" w:history="1">
        <w:r w:rsidR="00B906E9">
          <w:rPr>
            <w:bCs/>
            <w:noProof/>
          </w:rPr>
          <w:t>Iles et al. 2011</w:t>
        </w:r>
      </w:hyperlink>
      <w:r w:rsidR="00187A29">
        <w:rPr>
          <w:bCs/>
          <w:noProof/>
        </w:rPr>
        <w:t xml:space="preserve">; </w:t>
      </w:r>
      <w:hyperlink w:anchor="_ENREF_95" w:tooltip="Neilan, 2013 #55" w:history="1">
        <w:r w:rsidR="00B906E9">
          <w:rPr>
            <w:bCs/>
            <w:noProof/>
          </w:rPr>
          <w:t>Neilan et al. 2013</w:t>
        </w:r>
      </w:hyperlink>
      <w:r w:rsidR="00187A29">
        <w:rPr>
          <w:bCs/>
          <w:noProof/>
        </w:rPr>
        <w:t xml:space="preserve">; </w:t>
      </w:r>
      <w:hyperlink w:anchor="_ENREF_140" w:tooltip="Wu, 2008 #62" w:history="1">
        <w:r w:rsidR="00B906E9">
          <w:rPr>
            <w:bCs/>
            <w:noProof/>
          </w:rPr>
          <w:t>Wu, KC et al. 2008</w:t>
        </w:r>
      </w:hyperlink>
      <w:r w:rsidR="00187A29">
        <w:rPr>
          <w:bCs/>
          <w:noProof/>
        </w:rPr>
        <w:t>)</w:t>
      </w:r>
      <w:r w:rsidR="00187A29">
        <w:rPr>
          <w:bCs/>
        </w:rPr>
        <w:fldChar w:fldCharType="end"/>
      </w:r>
      <w:r>
        <w:rPr>
          <w:bCs/>
        </w:rPr>
        <w:t>. The fifth study</w:t>
      </w:r>
      <w:r w:rsidR="00646966">
        <w:rPr>
          <w:bCs/>
        </w:rPr>
        <w:t>,</w:t>
      </w:r>
      <w:r>
        <w:rPr>
          <w:bCs/>
        </w:rPr>
        <w:t xml:space="preserve"> by </w:t>
      </w:r>
      <w:r w:rsidRPr="00184B77">
        <w:rPr>
          <w:bCs/>
        </w:rPr>
        <w:t xml:space="preserve">Piers </w:t>
      </w:r>
      <w:r>
        <w:rPr>
          <w:bCs/>
        </w:rPr>
        <w:t xml:space="preserve">et al. </w:t>
      </w:r>
      <w:r w:rsidR="00187A29">
        <w:rPr>
          <w:bCs/>
        </w:rPr>
        <w:fldChar w:fldCharType="begin"/>
      </w:r>
      <w:r w:rsidR="00187A29">
        <w:rPr>
          <w:bCs/>
        </w:rPr>
        <w:instrText xml:space="preserve"> ADDIN EN.CITE &lt;EndNote&gt;&lt;Cite ExcludeAuth="1"&gt;&lt;Author&gt;Piers&lt;/Author&gt;&lt;Year&gt;2015&lt;/Year&gt;&lt;RecNum&gt;57&lt;/RecNum&gt;&lt;DisplayText&gt;(2015)&lt;/DisplayText&gt;&lt;record&gt;&lt;rec-number&gt;57&lt;/rec-number&gt;&lt;foreign-keys&gt;&lt;key app="EN" db-id="pfxxvref0t0a5de2vwnv2fwkz0p9v0r2fw0t" timestamp="1458109054"&gt;57&lt;/key&gt;&lt;/foreign-keys&gt;&lt;ref-type name="Journal Article"&gt;17&lt;/ref-type&gt;&lt;contributors&gt;&lt;authors&gt;&lt;author&gt;Piers, S. R.&lt;/author&gt;&lt;author&gt;Everaerts, K.&lt;/author&gt;&lt;author&gt;van der Geest, R. J.&lt;/author&gt;&lt;author&gt;Hazebroek, M. R.&lt;/author&gt;&lt;author&gt;Siebelink, H. M.&lt;/author&gt;&lt;author&gt;Pison, L. A.&lt;/author&gt;&lt;author&gt;Schalij, M. J.&lt;/author&gt;&lt;author&gt;Bekkers, S. C.&lt;/author&gt;&lt;author&gt;Heymans, S.&lt;/author&gt;&lt;author&gt;Zeppenfeld, K.&lt;/author&gt;&lt;/authors&gt;&lt;/contributors&gt;&lt;titles&gt;&lt;title&gt;Myocardial scar predicts monomorphic ventricular tachycardia but not polymorphic ventricular tachycardia or ventricular fibrillation in nonischemic dilated cardiomyopathy&lt;/title&gt;&lt;secondary-title&gt;Heart Rhythm&lt;/secondary-title&gt;&lt;/titles&gt;&lt;periodical&gt;&lt;full-title&gt;Heart Rhythm&lt;/full-title&gt;&lt;/periodical&gt;&lt;pages&gt;2106-14&lt;/pages&gt;&lt;volume&gt;12&lt;/volume&gt;&lt;number&gt;10&lt;/number&gt;&lt;dates&gt;&lt;year&gt;2015&lt;/year&gt;&lt;pub-dates&gt;&lt;date&gt;2015-01-01&lt;/date&gt;&lt;/pub-dates&gt;&lt;/dates&gt;&lt;isbn&gt;1547-5271&lt;/isbn&gt;&lt;urls&gt;&lt;related-urls&gt;&lt;url&gt;http://ac.els-cdn.com/S1547527115006293/1-s2.0-S1547527115006293-main.pdf?_tid=090a958a-c09d-11e5-bd53-00000aacb360&amp;amp;acdnat=1453421820_c554e004da4d394a4b3b5ab7a07fc7ee&lt;/url&gt;&lt;/related-urls&gt;&lt;/urls&gt;&lt;custom1&gt;RAYYAN-INCLUSION: {&amp;quot;Sharon&amp;quot;=&amp;gt;true} | RAYYAN-LABELS: prognostic,DCM&lt;/custom1&gt;&lt;research-notes&gt;High quality&lt;/research-notes&gt;&lt;language&gt;eng&lt;/language&gt;&lt;/record&gt;&lt;/Cite&gt;&lt;/EndNote&gt;</w:instrText>
      </w:r>
      <w:r w:rsidR="00187A29">
        <w:rPr>
          <w:bCs/>
        </w:rPr>
        <w:fldChar w:fldCharType="separate"/>
      </w:r>
      <w:r w:rsidR="00187A29">
        <w:rPr>
          <w:bCs/>
          <w:noProof/>
        </w:rPr>
        <w:t>(</w:t>
      </w:r>
      <w:hyperlink w:anchor="_ENREF_102" w:tooltip="Piers, 2015 #57" w:history="1">
        <w:r w:rsidR="00B906E9">
          <w:rPr>
            <w:bCs/>
            <w:noProof/>
          </w:rPr>
          <w:t>2015</w:t>
        </w:r>
      </w:hyperlink>
      <w:r w:rsidR="00187A29">
        <w:rPr>
          <w:bCs/>
          <w:noProof/>
        </w:rPr>
        <w:t>)</w:t>
      </w:r>
      <w:r w:rsidR="00187A29">
        <w:rPr>
          <w:bCs/>
        </w:rPr>
        <w:fldChar w:fldCharType="end"/>
      </w:r>
      <w:r w:rsidR="00646966">
        <w:rPr>
          <w:bCs/>
        </w:rPr>
        <w:t>,</w:t>
      </w:r>
      <w:r>
        <w:rPr>
          <w:bCs/>
        </w:rPr>
        <w:t xml:space="preserve"> enrolled 64 patients for primary prevention of SCD and 23 patients for secondary prevention (</w:t>
      </w:r>
      <w:r w:rsidR="007819A7">
        <w:rPr>
          <w:bCs/>
        </w:rPr>
        <w:t xml:space="preserve">those </w:t>
      </w:r>
      <w:r>
        <w:rPr>
          <w:bCs/>
        </w:rPr>
        <w:t>with either s</w:t>
      </w:r>
      <w:r w:rsidRPr="00184B77">
        <w:rPr>
          <w:bCs/>
        </w:rPr>
        <w:t xml:space="preserve">ustained monomorphic </w:t>
      </w:r>
      <w:r w:rsidR="00B960E6">
        <w:rPr>
          <w:bCs/>
        </w:rPr>
        <w:t>ventricula</w:t>
      </w:r>
      <w:r w:rsidR="00646966">
        <w:rPr>
          <w:bCs/>
        </w:rPr>
        <w:t>r tachycardia (</w:t>
      </w:r>
      <w:r w:rsidRPr="00184B77">
        <w:rPr>
          <w:bCs/>
        </w:rPr>
        <w:t>VT</w:t>
      </w:r>
      <w:r w:rsidR="00646966">
        <w:rPr>
          <w:bCs/>
        </w:rPr>
        <w:t>)</w:t>
      </w:r>
      <w:r>
        <w:rPr>
          <w:bCs/>
        </w:rPr>
        <w:t xml:space="preserve"> or o</w:t>
      </w:r>
      <w:r w:rsidRPr="00184B77">
        <w:rPr>
          <w:bCs/>
        </w:rPr>
        <w:t xml:space="preserve">ut-of-hospital cardiac arrest with </w:t>
      </w:r>
      <w:r w:rsidR="006B33B8" w:rsidRPr="00781A27">
        <w:t>ventricular fibrillation</w:t>
      </w:r>
      <w:r w:rsidR="006B33B8" w:rsidRPr="00E91107">
        <w:rPr>
          <w:bCs/>
        </w:rPr>
        <w:t xml:space="preserve"> </w:t>
      </w:r>
      <w:r w:rsidR="006B33B8">
        <w:rPr>
          <w:bCs/>
        </w:rPr>
        <w:t>(</w:t>
      </w:r>
      <w:r w:rsidRPr="00184B77">
        <w:rPr>
          <w:bCs/>
        </w:rPr>
        <w:t>VF</w:t>
      </w:r>
      <w:r>
        <w:rPr>
          <w:bCs/>
        </w:rPr>
        <w:t>)</w:t>
      </w:r>
      <w:r w:rsidR="007819A7">
        <w:rPr>
          <w:bCs/>
        </w:rPr>
        <w:t>)</w:t>
      </w:r>
      <w:r>
        <w:rPr>
          <w:bCs/>
        </w:rPr>
        <w:t xml:space="preserve">. The study by Chimura et al. </w:t>
      </w:r>
      <w:r w:rsidR="00187A29">
        <w:rPr>
          <w:bCs/>
        </w:rPr>
        <w:fldChar w:fldCharType="begin"/>
      </w:r>
      <w:r w:rsidR="00187A29">
        <w:rPr>
          <w:bCs/>
        </w:rPr>
        <w:instrText xml:space="preserve"> ADDIN EN.CITE &lt;EndNote&gt;&lt;Cite ExcludeAuth="1"&gt;&lt;Author&gt;Chimura&lt;/Author&gt;&lt;Year&gt;2015&lt;/Year&gt;&lt;RecNum&gt;38&lt;/RecNum&gt;&lt;DisplayText&gt;(2015)&lt;/DisplayText&gt;&lt;record&gt;&lt;rec-number&gt;38&lt;/rec-number&gt;&lt;foreign-keys&gt;&lt;key app="EN" db-id="pfxxvref0t0a5de2vwnv2fwkz0p9v0r2fw0t" timestamp="1458109047"&gt;38&lt;/key&gt;&lt;/foreign-keys&gt;&lt;ref-type name="Journal Article"&gt;17&lt;/ref-type&gt;&lt;contributors&gt;&lt;authors&gt;&lt;author&gt;Chimura, M.&lt;/author&gt;&lt;author&gt;Kiuchi, K.&lt;/author&gt;&lt;author&gt;Okajima, K.&lt;/author&gt;&lt;author&gt;Shimane, A.&lt;/author&gt;&lt;author&gt;Sawada, T.&lt;/author&gt;&lt;author&gt;Onishi, T.&lt;/author&gt;&lt;author&gt;Yamada, S.&lt;/author&gt;&lt;author&gt;Taniguchi, Y.&lt;/author&gt;&lt;author&gt;Yasaka, Y.&lt;/author&gt;&lt;author&gt;Kawai, H.&lt;/author&gt;&lt;/authors&gt;&lt;/contributors&gt;&lt;titles&gt;&lt;title&gt;Distribution of ventricular fibrosis associated with life threatening ventricular tachyarrhythmias in patients with nonishcemic dilated cardiomyopathy&lt;/title&gt;&lt;secondary-title&gt;J Cardiovasc Electrophysiol&lt;/secondary-title&gt;&lt;/titles&gt;&lt;periodical&gt;&lt;full-title&gt;J Cardiovasc Electrophysiol&lt;/full-title&gt;&lt;/periodical&gt;&lt;pages&gt;1239-1246&lt;/pages&gt;&lt;volume&gt;26&lt;/volume&gt;&lt;dates&gt;&lt;year&gt;2015&lt;/year&gt;&lt;pub-dates&gt;&lt;date&gt;2015-01-01&lt;/date&gt;&lt;/pub-dates&gt;&lt;/dates&gt;&lt;isbn&gt;1045-3873 (Print) 1045-3873&lt;/isbn&gt;&lt;urls&gt;&lt;related-urls&gt;&lt;url&gt;http://onlinelibrary.wiley.com/doi/10.1111/jce.12767/epdf&lt;/url&gt;&lt;/related-urls&gt;&lt;/urls&gt;&lt;custom1&gt;RAYYAN-INCLUSION: {&amp;quot;Sharon&amp;quot;=&amp;gt;true} | RAYYAN-LABELS: general&lt;/custom1&gt;&lt;research-notes&gt;High quality&lt;/research-notes&gt;&lt;language&gt;Eng&lt;/language&gt;&lt;/record&gt;&lt;/Cite&gt;&lt;/EndNote&gt;</w:instrText>
      </w:r>
      <w:r w:rsidR="00187A29">
        <w:rPr>
          <w:bCs/>
        </w:rPr>
        <w:fldChar w:fldCharType="separate"/>
      </w:r>
      <w:r w:rsidR="00187A29">
        <w:rPr>
          <w:bCs/>
          <w:noProof/>
        </w:rPr>
        <w:t>(</w:t>
      </w:r>
      <w:hyperlink w:anchor="_ENREF_24" w:tooltip="Chimura, 2015 #38" w:history="1">
        <w:r w:rsidR="00B906E9">
          <w:rPr>
            <w:bCs/>
            <w:noProof/>
          </w:rPr>
          <w:t>2015</w:t>
        </w:r>
      </w:hyperlink>
      <w:r w:rsidR="00187A29">
        <w:rPr>
          <w:bCs/>
          <w:noProof/>
        </w:rPr>
        <w:t>)</w:t>
      </w:r>
      <w:r w:rsidR="00187A29">
        <w:rPr>
          <w:bCs/>
        </w:rPr>
        <w:fldChar w:fldCharType="end"/>
      </w:r>
      <w:r>
        <w:rPr>
          <w:bCs/>
        </w:rPr>
        <w:t xml:space="preserve"> included 24 patients who received an ICD implant for primary prevention. The median proportion of patients who had an</w:t>
      </w:r>
      <w:r w:rsidRPr="00D33C10">
        <w:rPr>
          <w:bCs/>
        </w:rPr>
        <w:t xml:space="preserve"> appropriate </w:t>
      </w:r>
      <w:r>
        <w:rPr>
          <w:bCs/>
        </w:rPr>
        <w:t xml:space="preserve">ICD </w:t>
      </w:r>
      <w:r w:rsidRPr="00D33C10">
        <w:rPr>
          <w:bCs/>
        </w:rPr>
        <w:t xml:space="preserve">discharge among </w:t>
      </w:r>
      <w:r>
        <w:rPr>
          <w:bCs/>
        </w:rPr>
        <w:t xml:space="preserve">primary prevention </w:t>
      </w:r>
      <w:r w:rsidRPr="00D33C10">
        <w:rPr>
          <w:bCs/>
        </w:rPr>
        <w:t xml:space="preserve">patients </w:t>
      </w:r>
      <w:r>
        <w:rPr>
          <w:bCs/>
        </w:rPr>
        <w:t xml:space="preserve">in the </w:t>
      </w:r>
      <w:r w:rsidR="004D46A9">
        <w:rPr>
          <w:bCs/>
        </w:rPr>
        <w:t xml:space="preserve">5 </w:t>
      </w:r>
      <w:r>
        <w:rPr>
          <w:bCs/>
        </w:rPr>
        <w:t>studies was 22</w:t>
      </w:r>
      <w:r w:rsidRPr="00D33C10">
        <w:rPr>
          <w:bCs/>
        </w:rPr>
        <w:t>% (range 11</w:t>
      </w:r>
      <w:r>
        <w:rPr>
          <w:bCs/>
        </w:rPr>
        <w:t xml:space="preserve">–71%), and among the secondary prevention patients in the study by </w:t>
      </w:r>
      <w:r w:rsidRPr="00184B77">
        <w:rPr>
          <w:bCs/>
        </w:rPr>
        <w:t xml:space="preserve">Piers et al. </w:t>
      </w:r>
      <w:r w:rsidR="00187A29">
        <w:rPr>
          <w:bCs/>
        </w:rPr>
        <w:fldChar w:fldCharType="begin"/>
      </w:r>
      <w:r w:rsidR="00187A29">
        <w:rPr>
          <w:bCs/>
        </w:rPr>
        <w:instrText xml:space="preserve"> ADDIN EN.CITE &lt;EndNote&gt;&lt;Cite ExcludeAuth="1"&gt;&lt;Author&gt;Piers&lt;/Author&gt;&lt;Year&gt;2015&lt;/Year&gt;&lt;RecNum&gt;57&lt;/RecNum&gt;&lt;DisplayText&gt;(2015)&lt;/DisplayText&gt;&lt;record&gt;&lt;rec-number&gt;57&lt;/rec-number&gt;&lt;foreign-keys&gt;&lt;key app="EN" db-id="pfxxvref0t0a5de2vwnv2fwkz0p9v0r2fw0t" timestamp="1458109054"&gt;57&lt;/key&gt;&lt;/foreign-keys&gt;&lt;ref-type name="Journal Article"&gt;17&lt;/ref-type&gt;&lt;contributors&gt;&lt;authors&gt;&lt;author&gt;Piers, S. R.&lt;/author&gt;&lt;author&gt;Everaerts, K.&lt;/author&gt;&lt;author&gt;van der Geest, R. J.&lt;/author&gt;&lt;author&gt;Hazebroek, M. R.&lt;/author&gt;&lt;author&gt;Siebelink, H. M.&lt;/author&gt;&lt;author&gt;Pison, L. A.&lt;/author&gt;&lt;author&gt;Schalij, M. J.&lt;/author&gt;&lt;author&gt;Bekkers, S. C.&lt;/author&gt;&lt;author&gt;Heymans, S.&lt;/author&gt;&lt;author&gt;Zeppenfeld, K.&lt;/author&gt;&lt;/authors&gt;&lt;/contributors&gt;&lt;titles&gt;&lt;title&gt;Myocardial scar predicts monomorphic ventricular tachycardia but not polymorphic ventricular tachycardia or ventricular fibrillation in nonischemic dilated cardiomyopathy&lt;/title&gt;&lt;secondary-title&gt;Heart Rhythm&lt;/secondary-title&gt;&lt;/titles&gt;&lt;periodical&gt;&lt;full-title&gt;Heart Rhythm&lt;/full-title&gt;&lt;/periodical&gt;&lt;pages&gt;2106-14&lt;/pages&gt;&lt;volume&gt;12&lt;/volume&gt;&lt;number&gt;10&lt;/number&gt;&lt;dates&gt;&lt;year&gt;2015&lt;/year&gt;&lt;pub-dates&gt;&lt;date&gt;2015-01-01&lt;/date&gt;&lt;/pub-dates&gt;&lt;/dates&gt;&lt;isbn&gt;1547-5271&lt;/isbn&gt;&lt;urls&gt;&lt;related-urls&gt;&lt;url&gt;http://ac.els-cdn.com/S1547527115006293/1-s2.0-S1547527115006293-main.pdf?_tid=090a958a-c09d-11e5-bd53-00000aacb360&amp;amp;acdnat=1453421820_c554e004da4d394a4b3b5ab7a07fc7ee&lt;/url&gt;&lt;/related-urls&gt;&lt;/urls&gt;&lt;custom1&gt;RAYYAN-INCLUSION: {&amp;quot;Sharon&amp;quot;=&amp;gt;true} | RAYYAN-LABELS: prognostic,DCM&lt;/custom1&gt;&lt;research-notes&gt;High quality&lt;/research-notes&gt;&lt;language&gt;eng&lt;/language&gt;&lt;/record&gt;&lt;/Cite&gt;&lt;/EndNote&gt;</w:instrText>
      </w:r>
      <w:r w:rsidR="00187A29">
        <w:rPr>
          <w:bCs/>
        </w:rPr>
        <w:fldChar w:fldCharType="separate"/>
      </w:r>
      <w:r w:rsidR="00187A29">
        <w:rPr>
          <w:bCs/>
          <w:noProof/>
        </w:rPr>
        <w:t>(</w:t>
      </w:r>
      <w:hyperlink w:anchor="_ENREF_102" w:tooltip="Piers, 2015 #57" w:history="1">
        <w:r w:rsidR="00B906E9">
          <w:rPr>
            <w:bCs/>
            <w:noProof/>
          </w:rPr>
          <w:t>2015</w:t>
        </w:r>
      </w:hyperlink>
      <w:r w:rsidR="00187A29">
        <w:rPr>
          <w:bCs/>
          <w:noProof/>
        </w:rPr>
        <w:t>)</w:t>
      </w:r>
      <w:r w:rsidR="00187A29">
        <w:rPr>
          <w:bCs/>
        </w:rPr>
        <w:fldChar w:fldCharType="end"/>
      </w:r>
      <w:r w:rsidRPr="00184B77">
        <w:rPr>
          <w:bCs/>
        </w:rPr>
        <w:t xml:space="preserve"> </w:t>
      </w:r>
      <w:r>
        <w:rPr>
          <w:bCs/>
        </w:rPr>
        <w:t>61% had an appropriate ICD discharge (</w:t>
      </w:r>
      <w:r>
        <w:rPr>
          <w:bCs/>
        </w:rPr>
        <w:fldChar w:fldCharType="begin"/>
      </w:r>
      <w:r>
        <w:rPr>
          <w:bCs/>
        </w:rPr>
        <w:instrText xml:space="preserve"> REF _Ref445909335 \h </w:instrText>
      </w:r>
      <w:r w:rsidR="00391681">
        <w:rPr>
          <w:bCs/>
        </w:rPr>
        <w:instrText xml:space="preserve"> \* MERGEFORMAT </w:instrText>
      </w:r>
      <w:r>
        <w:rPr>
          <w:bCs/>
        </w:rPr>
      </w:r>
      <w:r>
        <w:rPr>
          <w:bCs/>
        </w:rPr>
        <w:fldChar w:fldCharType="separate"/>
      </w:r>
      <w:r w:rsidR="00B85CFA" w:rsidRPr="00B85CFA">
        <w:rPr>
          <w:bCs/>
        </w:rPr>
        <w:t>Figure 20</w:t>
      </w:r>
      <w:r>
        <w:rPr>
          <w:bCs/>
        </w:rPr>
        <w:fldChar w:fldCharType="end"/>
      </w:r>
      <w:r>
        <w:rPr>
          <w:bCs/>
        </w:rPr>
        <w:t xml:space="preserve">). An additional </w:t>
      </w:r>
      <w:r w:rsidR="004D46A9">
        <w:rPr>
          <w:bCs/>
        </w:rPr>
        <w:t xml:space="preserve">2 </w:t>
      </w:r>
      <w:r>
        <w:rPr>
          <w:bCs/>
        </w:rPr>
        <w:t>studies reported the proportion of LGE+ and LGE</w:t>
      </w:r>
      <w:r w:rsidRPr="003132D8">
        <w:rPr>
          <w:bCs/>
        </w:rPr>
        <w:t>– patients who re</w:t>
      </w:r>
      <w:r>
        <w:rPr>
          <w:bCs/>
        </w:rPr>
        <w:t>c</w:t>
      </w:r>
      <w:r w:rsidRPr="003132D8">
        <w:rPr>
          <w:bCs/>
        </w:rPr>
        <w:t xml:space="preserve">eived </w:t>
      </w:r>
      <w:r>
        <w:rPr>
          <w:bCs/>
        </w:rPr>
        <w:t>an appropriate ICD discharge</w:t>
      </w:r>
      <w:r w:rsidR="004D46A9">
        <w:rPr>
          <w:bCs/>
        </w:rPr>
        <w:t>,</w:t>
      </w:r>
      <w:r>
        <w:rPr>
          <w:bCs/>
        </w:rPr>
        <w:t xml:space="preserve"> but </w:t>
      </w:r>
      <w:r w:rsidR="004D46A9">
        <w:rPr>
          <w:bCs/>
        </w:rPr>
        <w:t xml:space="preserve">it </w:t>
      </w:r>
      <w:r>
        <w:rPr>
          <w:bCs/>
        </w:rPr>
        <w:t xml:space="preserve">did not comment on whether it was for primary or secondary prevention </w:t>
      </w:r>
      <w:r w:rsidR="00187A29">
        <w:rPr>
          <w:bCs/>
        </w:rPr>
        <w:fldChar w:fldCharType="begin">
          <w:fldData xml:space="preserve">PEVuZE5vdGU+PENpdGU+PEF1dGhvcj5HdWxhdGk8L0F1dGhvcj48WWVhcj4yMDEzPC9ZZWFyPjxS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</w:fldData>
        </w:fldChar>
      </w:r>
      <w:r w:rsidR="00187A29">
        <w:rPr>
          <w:bCs/>
        </w:rPr>
        <w:instrText xml:space="preserve"> ADDIN EN.CITE </w:instrText>
      </w:r>
      <w:r w:rsidR="00187A29">
        <w:rPr>
          <w:bCs/>
        </w:rPr>
        <w:fldChar w:fldCharType="begin">
          <w:fldData xml:space="preserve">PEVuZE5vdGU+PENpdGU+PEF1dGhvcj5HdWxhdGk8L0F1dGhvcj48WWVhcj4yMDEzPC9ZZWFyPjxS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47" w:tooltip="Gulati, 2013 #42" w:history="1">
        <w:r w:rsidR="00B906E9">
          <w:rPr>
            <w:bCs/>
            <w:noProof/>
          </w:rPr>
          <w:t>Gulati et al. 2013</w:t>
        </w:r>
      </w:hyperlink>
      <w:r w:rsidR="00187A29">
        <w:rPr>
          <w:bCs/>
          <w:noProof/>
        </w:rPr>
        <w:t xml:space="preserve">; </w:t>
      </w:r>
      <w:hyperlink w:anchor="_ENREF_65" w:tooltip="Lehrke, 2011 #47" w:history="1">
        <w:r w:rsidR="00B906E9">
          <w:rPr>
            <w:bCs/>
            <w:noProof/>
          </w:rPr>
          <w:t>Lehrke et al. 2011</w:t>
        </w:r>
      </w:hyperlink>
      <w:r w:rsidR="00187A29">
        <w:rPr>
          <w:bCs/>
          <w:noProof/>
        </w:rPr>
        <w:t>)</w:t>
      </w:r>
      <w:r w:rsidR="00187A29">
        <w:rPr>
          <w:bCs/>
        </w:rPr>
        <w:fldChar w:fldCharType="end"/>
      </w:r>
      <w:r>
        <w:rPr>
          <w:bCs/>
        </w:rPr>
        <w:t>.</w:t>
      </w:r>
    </w:p>
    <w:p w14:paraId="5BD5FC3C" w14:textId="67EA5D7E" w:rsidR="00061768" w:rsidRDefault="00061768" w:rsidP="004C79C1">
      <w:pPr>
        <w:spacing w:after="120" w:line="240" w:lineRule="auto"/>
        <w:jc w:val="both"/>
        <w:rPr>
          <w:bCs/>
        </w:rPr>
      </w:pPr>
      <w:r>
        <w:rPr>
          <w:bCs/>
        </w:rPr>
        <w:t>A greater proportion of LGE+ patients who had an ICD had an appropriate ICD/CRT discharge compared with those who were LGE–</w:t>
      </w:r>
      <w:r w:rsidR="007117D4">
        <w:rPr>
          <w:bCs/>
        </w:rPr>
        <w:t>,</w:t>
      </w:r>
      <w:r>
        <w:rPr>
          <w:bCs/>
        </w:rPr>
        <w:t xml:space="preserve"> regardless of the reason for implantation</w:t>
      </w:r>
      <w:r w:rsidRPr="00F3324A">
        <w:rPr>
          <w:bCs/>
        </w:rPr>
        <w:t xml:space="preserve">. </w:t>
      </w:r>
      <w:r>
        <w:rPr>
          <w:bCs/>
        </w:rPr>
        <w:t xml:space="preserve">The forest plot in </w:t>
      </w:r>
      <w:r>
        <w:rPr>
          <w:bCs/>
        </w:rPr>
        <w:fldChar w:fldCharType="begin"/>
      </w:r>
      <w:r>
        <w:rPr>
          <w:bCs/>
        </w:rPr>
        <w:instrText xml:space="preserve"> REF _Ref445909335 \h  \* MERGEFORMAT </w:instrText>
      </w:r>
      <w:r>
        <w:rPr>
          <w:bCs/>
        </w:rPr>
      </w:r>
      <w:r>
        <w:rPr>
          <w:bCs/>
        </w:rPr>
        <w:fldChar w:fldCharType="separate"/>
      </w:r>
      <w:r w:rsidR="00B85CFA" w:rsidRPr="00B85CFA">
        <w:rPr>
          <w:bCs/>
        </w:rPr>
        <w:t>Figure 20</w:t>
      </w:r>
      <w:r>
        <w:rPr>
          <w:bCs/>
        </w:rPr>
        <w:fldChar w:fldCharType="end"/>
      </w:r>
      <w:r>
        <w:rPr>
          <w:bCs/>
        </w:rPr>
        <w:t xml:space="preserve"> shows that</w:t>
      </w:r>
      <w:r w:rsidR="007117D4">
        <w:rPr>
          <w:bCs/>
        </w:rPr>
        <w:t>,</w:t>
      </w:r>
      <w:r>
        <w:rPr>
          <w:bCs/>
        </w:rPr>
        <w:t xml:space="preserve"> among patients receiving an ICD/CRT device for primary prevention</w:t>
      </w:r>
      <w:r w:rsidR="007117D4">
        <w:rPr>
          <w:bCs/>
        </w:rPr>
        <w:t>,</w:t>
      </w:r>
      <w:r>
        <w:rPr>
          <w:bCs/>
        </w:rPr>
        <w:t xml:space="preserve"> LGE+ patients were 4.5-times more likely to have an appropriate ICD discharge than LGE– patients. When being treated for secondary prevention</w:t>
      </w:r>
      <w:r w:rsidR="007117D4">
        <w:rPr>
          <w:bCs/>
        </w:rPr>
        <w:t>,</w:t>
      </w:r>
      <w:r>
        <w:rPr>
          <w:bCs/>
        </w:rPr>
        <w:t xml:space="preserve"> LGE+ patients from the </w:t>
      </w:r>
      <w:r w:rsidR="007117D4">
        <w:rPr>
          <w:bCs/>
        </w:rPr>
        <w:t xml:space="preserve">1 </w:t>
      </w:r>
      <w:r>
        <w:rPr>
          <w:bCs/>
        </w:rPr>
        <w:t>study providing evidence in this population were still almost 3-times more likely to have an appropriate discharge than LGE</w:t>
      </w:r>
      <w:r>
        <w:rPr>
          <w:rFonts w:ascii="Arial Narrow" w:hAnsi="Arial Narrow"/>
          <w:bCs/>
        </w:rPr>
        <w:t>–</w:t>
      </w:r>
      <w:r>
        <w:rPr>
          <w:bCs/>
        </w:rPr>
        <w:t xml:space="preserve"> patients, even though the total number of both LGE+ and LGE– patients who had an ICD shock increased. There was a 7.5-fold increase in the number of secondary prevention LGE</w:t>
      </w:r>
      <w:r>
        <w:rPr>
          <w:rFonts w:ascii="Arial Narrow" w:hAnsi="Arial Narrow"/>
          <w:bCs/>
        </w:rPr>
        <w:t>–</w:t>
      </w:r>
      <w:r>
        <w:rPr>
          <w:bCs/>
        </w:rPr>
        <w:t xml:space="preserve"> patients benefiting by having an appropriate ICD discharge compared with primary prevention LGE</w:t>
      </w:r>
      <w:r>
        <w:rPr>
          <w:rFonts w:ascii="Arial Narrow" w:hAnsi="Arial Narrow"/>
          <w:bCs/>
        </w:rPr>
        <w:t>–</w:t>
      </w:r>
      <w:r>
        <w:rPr>
          <w:bCs/>
        </w:rPr>
        <w:t xml:space="preserve"> patients (30% vs 4%), and a 3-fold increase in the number of </w:t>
      </w:r>
      <w:r w:rsidRPr="00FB0C8C">
        <w:rPr>
          <w:bCs/>
        </w:rPr>
        <w:t>LGE</w:t>
      </w:r>
      <w:r>
        <w:rPr>
          <w:bCs/>
        </w:rPr>
        <w:t>+</w:t>
      </w:r>
      <w:r w:rsidRPr="00FB0C8C">
        <w:rPr>
          <w:bCs/>
        </w:rPr>
        <w:t xml:space="preserve"> patients </w:t>
      </w:r>
      <w:r>
        <w:rPr>
          <w:bCs/>
        </w:rPr>
        <w:t>(85% vs 29%).</w:t>
      </w:r>
    </w:p>
    <w:p w14:paraId="3B3A69EE" w14:textId="77777777" w:rsidR="00061768" w:rsidRDefault="00061768" w:rsidP="004C79C1">
      <w:pPr>
        <w:spacing w:after="120" w:line="240" w:lineRule="auto"/>
        <w:jc w:val="both"/>
        <w:rPr>
          <w:bCs/>
        </w:rPr>
        <w:sectPr w:rsidR="00061768" w:rsidSect="00A474A9">
          <w:pgSz w:w="11906" w:h="16838"/>
          <w:pgMar w:top="1440" w:right="1440" w:bottom="1440" w:left="1440" w:header="720" w:footer="720" w:gutter="0"/>
          <w:paperSrc w:first="2" w:other="2"/>
          <w:cols w:space="720"/>
        </w:sectPr>
      </w:pPr>
    </w:p>
    <w:p w14:paraId="4AFEAB06" w14:textId="77777777" w:rsidR="00061768" w:rsidRPr="00CF1290" w:rsidRDefault="00061768" w:rsidP="004C79C1">
      <w:pPr>
        <w:keepNext/>
        <w:spacing w:after="120" w:line="240" w:lineRule="auto"/>
      </w:pPr>
      <w:r>
        <w:rPr>
          <w:noProof/>
        </w:rPr>
        <w:lastRenderedPageBreak/>
        <w:drawing>
          <wp:inline distT="0" distB="0" distL="0" distR="0" wp14:anchorId="2C2F0BD6" wp14:editId="2CB33867">
            <wp:extent cx="8845509" cy="4345229"/>
            <wp:effectExtent l="0" t="0" r="0" b="0"/>
            <wp:docPr id="35" name="Picture 35" descr="Forest plot showing the RR of having an ICD/CRT implantation in patients who were LGE+ compared with those who were 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7" t="2379" r="1320" b="1382"/>
                    <a:stretch/>
                  </pic:blipFill>
                  <pic:spPr bwMode="auto">
                    <a:xfrm>
                      <a:off x="0" y="0"/>
                      <a:ext cx="8872636" cy="4358555"/>
                    </a:xfrm>
                    <a:prstGeom prst="rect">
                      <a:avLst/>
                    </a:prstGeom>
                    <a:noFill/>
                    <a:ln>
                      <a:noFill/>
                    </a:ln>
                    <a:extLst>
                      <a:ext uri="{53640926-AAD7-44D8-BBD7-CCE9431645EC}">
                        <a14:shadowObscured xmlns:a14="http://schemas.microsoft.com/office/drawing/2010/main"/>
                      </a:ext>
                    </a:extLst>
                  </pic:spPr>
                </pic:pic>
              </a:graphicData>
            </a:graphic>
          </wp:inline>
        </w:drawing>
      </w:r>
    </w:p>
    <w:p w14:paraId="26F3DDAC" w14:textId="77777777" w:rsidR="00061768" w:rsidRPr="00313D73" w:rsidRDefault="00061768" w:rsidP="004C79C1">
      <w:pPr>
        <w:pStyle w:val="Caption"/>
      </w:pPr>
      <w:bookmarkStart w:id="355" w:name="_Ref445909265"/>
      <w:bookmarkStart w:id="356" w:name="_Toc324410159"/>
      <w:bookmarkStart w:id="357" w:name="_Toc451435465"/>
      <w:r w:rsidRPr="00781A27">
        <w:t xml:space="preserve">Figure </w:t>
      </w:r>
      <w:fldSimple w:instr=" SEQ Figure \* ARABIC ">
        <w:r w:rsidR="00050936" w:rsidRPr="00781A27">
          <w:rPr>
            <w:noProof/>
          </w:rPr>
          <w:t>19</w:t>
        </w:r>
      </w:fldSimple>
      <w:bookmarkEnd w:id="355"/>
      <w:r w:rsidRPr="00781A27">
        <w:tab/>
        <w:t>Forest plot showing the RR of having an ICD/CRT implantation in patients who were LGE+ compared with those who were LGE–</w:t>
      </w:r>
      <w:bookmarkEnd w:id="356"/>
      <w:bookmarkEnd w:id="357"/>
    </w:p>
    <w:p w14:paraId="748BD6D0" w14:textId="06F9F5D3" w:rsidR="00061768" w:rsidRDefault="00061768" w:rsidP="004C79C1">
      <w:pPr>
        <w:spacing w:after="120" w:line="240" w:lineRule="auto"/>
        <w:jc w:val="both"/>
        <w:rPr>
          <w:rFonts w:ascii="Arial Narrow" w:hAnsi="Arial Narrow"/>
          <w:bCs/>
          <w:sz w:val="20"/>
        </w:rPr>
      </w:pPr>
      <w:r w:rsidRPr="00CF1290">
        <w:rPr>
          <w:rFonts w:ascii="Arial Narrow" w:hAnsi="Arial Narrow"/>
          <w:bCs/>
          <w:sz w:val="20"/>
        </w:rPr>
        <w:t>CI = confidence interval; CRT = cardiac resynchroni</w:t>
      </w:r>
      <w:r w:rsidR="003C798D">
        <w:rPr>
          <w:rFonts w:ascii="Arial Narrow" w:hAnsi="Arial Narrow"/>
          <w:bCs/>
          <w:sz w:val="20"/>
        </w:rPr>
        <w:t>s</w:t>
      </w:r>
      <w:r w:rsidRPr="00CF1290">
        <w:rPr>
          <w:rFonts w:ascii="Arial Narrow" w:hAnsi="Arial Narrow"/>
          <w:bCs/>
          <w:sz w:val="20"/>
        </w:rPr>
        <w:t xml:space="preserve">ation therapy </w:t>
      </w:r>
      <w:r w:rsidR="00D66E0D">
        <w:rPr>
          <w:rFonts w:ascii="Arial Narrow" w:hAnsi="Arial Narrow"/>
          <w:bCs/>
          <w:sz w:val="20"/>
        </w:rPr>
        <w:t>(</w:t>
      </w:r>
      <w:r w:rsidRPr="00CF1290">
        <w:rPr>
          <w:rFonts w:ascii="Arial Narrow" w:hAnsi="Arial Narrow"/>
          <w:bCs/>
          <w:sz w:val="20"/>
        </w:rPr>
        <w:t>device</w:t>
      </w:r>
      <w:r w:rsidR="00D66E0D">
        <w:rPr>
          <w:rFonts w:ascii="Arial Narrow" w:hAnsi="Arial Narrow"/>
          <w:bCs/>
          <w:sz w:val="20"/>
        </w:rPr>
        <w:t>)</w:t>
      </w:r>
      <w:r w:rsidRPr="00CF1290">
        <w:rPr>
          <w:rFonts w:ascii="Arial Narrow" w:hAnsi="Arial Narrow"/>
          <w:bCs/>
          <w:sz w:val="20"/>
        </w:rPr>
        <w:t xml:space="preserve">; Evidence level = NHMRC levels of evidence </w:t>
      </w:r>
      <w:r w:rsidR="00187A29">
        <w:rPr>
          <w:rFonts w:ascii="Arial Narrow" w:hAnsi="Arial Narrow"/>
          <w:bCs/>
          <w:sz w:val="20"/>
        </w:rPr>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Pr>
          <w:rFonts w:ascii="Arial Narrow" w:hAnsi="Arial Narrow"/>
          <w:bCs/>
          <w:sz w:val="20"/>
        </w:rPr>
        <w:instrText xml:space="preserve"> ADDIN EN.CITE </w:instrText>
      </w:r>
      <w:r w:rsidR="00187A29">
        <w:rPr>
          <w:rFonts w:ascii="Arial Narrow" w:hAnsi="Arial Narrow"/>
          <w:bCs/>
          <w:sz w:val="20"/>
        </w:rPr>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Pr>
          <w:rFonts w:ascii="Arial Narrow" w:hAnsi="Arial Narrow"/>
          <w:bCs/>
          <w:sz w:val="20"/>
        </w:rPr>
        <w:instrText xml:space="preserve"> ADDIN EN.CITE.DATA </w:instrText>
      </w:r>
      <w:r w:rsidR="00187A29">
        <w:rPr>
          <w:rFonts w:ascii="Arial Narrow" w:hAnsi="Arial Narrow"/>
          <w:bCs/>
          <w:sz w:val="20"/>
        </w:rPr>
      </w:r>
      <w:r w:rsidR="00187A29">
        <w:rPr>
          <w:rFonts w:ascii="Arial Narrow" w:hAnsi="Arial Narrow"/>
          <w:bCs/>
          <w:sz w:val="20"/>
        </w:rPr>
        <w:fldChar w:fldCharType="end"/>
      </w:r>
      <w:r w:rsidR="00187A29">
        <w:rPr>
          <w:rFonts w:ascii="Arial Narrow" w:hAnsi="Arial Narrow"/>
          <w:bCs/>
          <w:sz w:val="20"/>
        </w:rPr>
      </w:r>
      <w:r w:rsidR="00187A29">
        <w:rPr>
          <w:rFonts w:ascii="Arial Narrow" w:hAnsi="Arial Narrow"/>
          <w:bCs/>
          <w:sz w:val="20"/>
        </w:rPr>
        <w:fldChar w:fldCharType="separate"/>
      </w:r>
      <w:r w:rsidR="00187A29">
        <w:rPr>
          <w:rFonts w:ascii="Arial Narrow" w:hAnsi="Arial Narrow"/>
          <w:bCs/>
          <w:noProof/>
          <w:sz w:val="20"/>
        </w:rPr>
        <w:t>(</w:t>
      </w:r>
      <w:hyperlink w:anchor="_ENREF_82" w:tooltip="Merlin, 2009 #77" w:history="1">
        <w:r w:rsidR="00B906E9">
          <w:rPr>
            <w:rFonts w:ascii="Arial Narrow" w:hAnsi="Arial Narrow"/>
            <w:bCs/>
            <w:noProof/>
            <w:sz w:val="20"/>
          </w:rPr>
          <w:t>Merlin, Weston &amp; Tooher 2009</w:t>
        </w:r>
      </w:hyperlink>
      <w:r w:rsidR="00187A29">
        <w:rPr>
          <w:rFonts w:ascii="Arial Narrow" w:hAnsi="Arial Narrow"/>
          <w:bCs/>
          <w:noProof/>
          <w:sz w:val="20"/>
        </w:rPr>
        <w:t xml:space="preserve">; </w:t>
      </w:r>
      <w:hyperlink w:anchor="_ENREF_97" w:tooltip="NHMRC, 2000 #78" w:history="1">
        <w:r w:rsidR="00B906E9">
          <w:rPr>
            <w:rFonts w:ascii="Arial Narrow" w:hAnsi="Arial Narrow"/>
            <w:bCs/>
            <w:noProof/>
            <w:sz w:val="20"/>
          </w:rPr>
          <w:t>NHMRC 2000</w:t>
        </w:r>
      </w:hyperlink>
      <w:r w:rsidR="00187A29">
        <w:rPr>
          <w:rFonts w:ascii="Arial Narrow" w:hAnsi="Arial Narrow"/>
          <w:bCs/>
          <w:noProof/>
          <w:sz w:val="20"/>
        </w:rPr>
        <w:t>)</w:t>
      </w:r>
      <w:r w:rsidR="00187A29">
        <w:rPr>
          <w:rFonts w:ascii="Arial Narrow" w:hAnsi="Arial Narrow"/>
          <w:bCs/>
          <w:sz w:val="20"/>
        </w:rPr>
        <w:fldChar w:fldCharType="end"/>
      </w:r>
      <w:r w:rsidRPr="00CF1290">
        <w:rPr>
          <w:rFonts w:ascii="Arial Narrow" w:hAnsi="Arial Narrow"/>
          <w:bCs/>
          <w:sz w:val="20"/>
        </w:rPr>
        <w:t xml:space="preserve">; ICD = implantable </w:t>
      </w:r>
      <w:r w:rsidR="0026063B">
        <w:rPr>
          <w:rFonts w:ascii="Arial Narrow" w:hAnsi="Arial Narrow"/>
          <w:bCs/>
          <w:sz w:val="20"/>
        </w:rPr>
        <w:t>cardioverter defibrillator</w:t>
      </w:r>
      <w:r w:rsidRPr="00CF1290">
        <w:rPr>
          <w:rFonts w:ascii="Arial Narrow" w:hAnsi="Arial Narrow"/>
          <w:bCs/>
          <w:sz w:val="20"/>
        </w:rPr>
        <w:t xml:space="preserve">; LGE = late gadolinium enhancement; </w:t>
      </w:r>
      <w:r w:rsidRPr="007D38E1">
        <w:rPr>
          <w:rFonts w:ascii="Arial Narrow" w:hAnsi="Arial Narrow"/>
          <w:bCs/>
          <w:sz w:val="20"/>
        </w:rPr>
        <w:t xml:space="preserve">N = number; </w:t>
      </w:r>
      <w:r w:rsidRPr="00CF1290">
        <w:rPr>
          <w:rFonts w:ascii="Arial Narrow" w:hAnsi="Arial Narrow"/>
          <w:bCs/>
          <w:sz w:val="20"/>
        </w:rPr>
        <w:t>RR = relative risk</w:t>
      </w:r>
    </w:p>
    <w:p w14:paraId="33BCE6C5" w14:textId="77777777" w:rsidR="00061768" w:rsidRPr="00781A27" w:rsidRDefault="00061768" w:rsidP="004C79C1">
      <w:pPr>
        <w:keepNext/>
        <w:spacing w:after="120" w:line="240" w:lineRule="auto"/>
        <w:jc w:val="both"/>
        <w:rPr>
          <w:bCs/>
        </w:rPr>
      </w:pPr>
      <w:r w:rsidRPr="00781A27">
        <w:rPr>
          <w:bCs/>
          <w:noProof/>
        </w:rPr>
        <w:lastRenderedPageBreak/>
        <w:drawing>
          <wp:inline distT="0" distB="0" distL="0" distR="0" wp14:anchorId="426E7574" wp14:editId="54C9FA9C">
            <wp:extent cx="8854950" cy="4418381"/>
            <wp:effectExtent l="0" t="0" r="3810" b="1270"/>
            <wp:docPr id="36" name="Picture 36" descr="Forest plot showing the RR of having an appropriate ICD/CRT-D discharge in patients who were LGE+ compared with those who were LGE–, and according to reason for ICD/CRT-D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2002" t="2449" r="1269" b="4055"/>
                    <a:stretch/>
                  </pic:blipFill>
                  <pic:spPr bwMode="auto">
                    <a:xfrm>
                      <a:off x="0" y="0"/>
                      <a:ext cx="8884153" cy="4432952"/>
                    </a:xfrm>
                    <a:prstGeom prst="rect">
                      <a:avLst/>
                    </a:prstGeom>
                    <a:noFill/>
                    <a:ln>
                      <a:noFill/>
                    </a:ln>
                    <a:extLst>
                      <a:ext uri="{53640926-AAD7-44D8-BBD7-CCE9431645EC}">
                        <a14:shadowObscured xmlns:a14="http://schemas.microsoft.com/office/drawing/2010/main"/>
                      </a:ext>
                    </a:extLst>
                  </pic:spPr>
                </pic:pic>
              </a:graphicData>
            </a:graphic>
          </wp:inline>
        </w:drawing>
      </w:r>
    </w:p>
    <w:p w14:paraId="70EDDB1F" w14:textId="77777777" w:rsidR="00061768" w:rsidRPr="00313D73" w:rsidRDefault="00061768" w:rsidP="004C79C1">
      <w:pPr>
        <w:pStyle w:val="Caption"/>
      </w:pPr>
      <w:bookmarkStart w:id="358" w:name="_Ref445909335"/>
      <w:bookmarkStart w:id="359" w:name="_Toc324410160"/>
      <w:bookmarkStart w:id="360" w:name="_Toc451435466"/>
      <w:r w:rsidRPr="00781A27">
        <w:t xml:space="preserve">Figure </w:t>
      </w:r>
      <w:r w:rsidRPr="00781A27">
        <w:rPr>
          <w:rStyle w:val="TableHeadingChar"/>
          <w:b/>
        </w:rPr>
        <w:fldChar w:fldCharType="begin"/>
      </w:r>
      <w:r w:rsidRPr="00781A27">
        <w:rPr>
          <w:rStyle w:val="TableHeadingChar"/>
          <w:b/>
        </w:rPr>
        <w:instrText xml:space="preserve"> SEQ Figure \* ARABIC </w:instrText>
      </w:r>
      <w:r w:rsidRPr="00781A27">
        <w:rPr>
          <w:rStyle w:val="TableHeadingChar"/>
          <w:b/>
        </w:rPr>
        <w:fldChar w:fldCharType="separate"/>
      </w:r>
      <w:r w:rsidR="00050936" w:rsidRPr="00781A27">
        <w:rPr>
          <w:rStyle w:val="TableHeadingChar"/>
          <w:b/>
          <w:noProof/>
        </w:rPr>
        <w:t>20</w:t>
      </w:r>
      <w:r w:rsidRPr="00781A27">
        <w:rPr>
          <w:rStyle w:val="TableHeadingChar"/>
          <w:b/>
        </w:rPr>
        <w:fldChar w:fldCharType="end"/>
      </w:r>
      <w:bookmarkEnd w:id="358"/>
      <w:r w:rsidRPr="00781A27">
        <w:tab/>
        <w:t>Forest plot showing the RR of having an appropriate ICD/CRT-D discharge in patients who were LGE+ compared with those who were LGE–, and according to reason for ICD/CRT-D implantation</w:t>
      </w:r>
      <w:bookmarkEnd w:id="359"/>
      <w:bookmarkEnd w:id="360"/>
    </w:p>
    <w:p w14:paraId="6FFC2002" w14:textId="248E939A" w:rsidR="00061768" w:rsidRPr="00CF1290" w:rsidRDefault="00061768" w:rsidP="004C79C1">
      <w:pPr>
        <w:spacing w:after="120" w:line="240" w:lineRule="auto"/>
        <w:jc w:val="both"/>
        <w:rPr>
          <w:rFonts w:ascii="Arial Narrow" w:hAnsi="Arial Narrow"/>
          <w:bCs/>
          <w:sz w:val="20"/>
        </w:rPr>
      </w:pPr>
      <w:r w:rsidRPr="00CF1290">
        <w:rPr>
          <w:rFonts w:ascii="Arial Narrow" w:hAnsi="Arial Narrow"/>
          <w:bCs/>
          <w:sz w:val="20"/>
        </w:rPr>
        <w:t>CI = confidence interval; CRT-D = cardiac resynchroni</w:t>
      </w:r>
      <w:r w:rsidR="00E91107">
        <w:rPr>
          <w:rFonts w:ascii="Arial Narrow" w:hAnsi="Arial Narrow"/>
          <w:bCs/>
          <w:sz w:val="20"/>
        </w:rPr>
        <w:t>s</w:t>
      </w:r>
      <w:r w:rsidRPr="00CF1290">
        <w:rPr>
          <w:rFonts w:ascii="Arial Narrow" w:hAnsi="Arial Narrow"/>
          <w:bCs/>
          <w:sz w:val="20"/>
        </w:rPr>
        <w:t xml:space="preserve">ation therapy device with defibrillation capabilities; Evidence level = NHMRC levels of evidence </w:t>
      </w:r>
      <w:r w:rsidR="00187A29">
        <w:rPr>
          <w:rFonts w:ascii="Arial Narrow" w:hAnsi="Arial Narrow"/>
          <w:bCs/>
          <w:sz w:val="20"/>
        </w:rPr>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Pr>
          <w:rFonts w:ascii="Arial Narrow" w:hAnsi="Arial Narrow"/>
          <w:bCs/>
          <w:sz w:val="20"/>
        </w:rPr>
        <w:instrText xml:space="preserve"> ADDIN EN.CITE </w:instrText>
      </w:r>
      <w:r w:rsidR="00187A29">
        <w:rPr>
          <w:rFonts w:ascii="Arial Narrow" w:hAnsi="Arial Narrow"/>
          <w:bCs/>
          <w:sz w:val="20"/>
        </w:rPr>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Pr>
          <w:rFonts w:ascii="Arial Narrow" w:hAnsi="Arial Narrow"/>
          <w:bCs/>
          <w:sz w:val="20"/>
        </w:rPr>
        <w:instrText xml:space="preserve"> ADDIN EN.CITE.DATA </w:instrText>
      </w:r>
      <w:r w:rsidR="00187A29">
        <w:rPr>
          <w:rFonts w:ascii="Arial Narrow" w:hAnsi="Arial Narrow"/>
          <w:bCs/>
          <w:sz w:val="20"/>
        </w:rPr>
      </w:r>
      <w:r w:rsidR="00187A29">
        <w:rPr>
          <w:rFonts w:ascii="Arial Narrow" w:hAnsi="Arial Narrow"/>
          <w:bCs/>
          <w:sz w:val="20"/>
        </w:rPr>
        <w:fldChar w:fldCharType="end"/>
      </w:r>
      <w:r w:rsidR="00187A29">
        <w:rPr>
          <w:rFonts w:ascii="Arial Narrow" w:hAnsi="Arial Narrow"/>
          <w:bCs/>
          <w:sz w:val="20"/>
        </w:rPr>
      </w:r>
      <w:r w:rsidR="00187A29">
        <w:rPr>
          <w:rFonts w:ascii="Arial Narrow" w:hAnsi="Arial Narrow"/>
          <w:bCs/>
          <w:sz w:val="20"/>
        </w:rPr>
        <w:fldChar w:fldCharType="separate"/>
      </w:r>
      <w:r w:rsidR="00187A29">
        <w:rPr>
          <w:rFonts w:ascii="Arial Narrow" w:hAnsi="Arial Narrow"/>
          <w:bCs/>
          <w:noProof/>
          <w:sz w:val="20"/>
        </w:rPr>
        <w:t>(</w:t>
      </w:r>
      <w:hyperlink w:anchor="_ENREF_82" w:tooltip="Merlin, 2009 #77" w:history="1">
        <w:r w:rsidR="00B906E9">
          <w:rPr>
            <w:rFonts w:ascii="Arial Narrow" w:hAnsi="Arial Narrow"/>
            <w:bCs/>
            <w:noProof/>
            <w:sz w:val="20"/>
          </w:rPr>
          <w:t>Merlin, Weston &amp; Tooher 2009</w:t>
        </w:r>
      </w:hyperlink>
      <w:r w:rsidR="00187A29">
        <w:rPr>
          <w:rFonts w:ascii="Arial Narrow" w:hAnsi="Arial Narrow"/>
          <w:bCs/>
          <w:noProof/>
          <w:sz w:val="20"/>
        </w:rPr>
        <w:t xml:space="preserve">; </w:t>
      </w:r>
      <w:hyperlink w:anchor="_ENREF_97" w:tooltip="NHMRC, 2000 #78" w:history="1">
        <w:r w:rsidR="00B906E9">
          <w:rPr>
            <w:rFonts w:ascii="Arial Narrow" w:hAnsi="Arial Narrow"/>
            <w:bCs/>
            <w:noProof/>
            <w:sz w:val="20"/>
          </w:rPr>
          <w:t>NHMRC 2000</w:t>
        </w:r>
      </w:hyperlink>
      <w:r w:rsidR="00187A29">
        <w:rPr>
          <w:rFonts w:ascii="Arial Narrow" w:hAnsi="Arial Narrow"/>
          <w:bCs/>
          <w:noProof/>
          <w:sz w:val="20"/>
        </w:rPr>
        <w:t>)</w:t>
      </w:r>
      <w:r w:rsidR="00187A29">
        <w:rPr>
          <w:rFonts w:ascii="Arial Narrow" w:hAnsi="Arial Narrow"/>
          <w:bCs/>
          <w:sz w:val="20"/>
        </w:rPr>
        <w:fldChar w:fldCharType="end"/>
      </w:r>
      <w:r w:rsidRPr="00CF1290">
        <w:rPr>
          <w:rFonts w:ascii="Arial Narrow" w:hAnsi="Arial Narrow"/>
          <w:bCs/>
          <w:sz w:val="20"/>
        </w:rPr>
        <w:t xml:space="preserve">; ICD = implantable </w:t>
      </w:r>
      <w:r w:rsidR="0026063B">
        <w:rPr>
          <w:rFonts w:ascii="Arial Narrow" w:hAnsi="Arial Narrow"/>
          <w:bCs/>
          <w:sz w:val="20"/>
        </w:rPr>
        <w:t>cardioverter defibrillator</w:t>
      </w:r>
      <w:r w:rsidRPr="00CF1290">
        <w:rPr>
          <w:rFonts w:ascii="Arial Narrow" w:hAnsi="Arial Narrow"/>
          <w:bCs/>
          <w:sz w:val="20"/>
        </w:rPr>
        <w:t xml:space="preserve">; LGE = late gadolinium enhancement; </w:t>
      </w:r>
      <w:r w:rsidRPr="007D38E1">
        <w:rPr>
          <w:rFonts w:ascii="Arial Narrow" w:hAnsi="Arial Narrow"/>
          <w:bCs/>
          <w:sz w:val="20"/>
        </w:rPr>
        <w:t xml:space="preserve">N = number; </w:t>
      </w:r>
      <w:r w:rsidRPr="00CF1290">
        <w:rPr>
          <w:rFonts w:ascii="Arial Narrow" w:hAnsi="Arial Narrow"/>
          <w:bCs/>
          <w:sz w:val="20"/>
        </w:rPr>
        <w:t>RR = relative risk</w:t>
      </w:r>
    </w:p>
    <w:p w14:paraId="3664CE5C" w14:textId="77777777" w:rsidR="00061768" w:rsidRDefault="00061768" w:rsidP="004C79C1">
      <w:pPr>
        <w:spacing w:after="120" w:line="240" w:lineRule="auto"/>
        <w:jc w:val="both"/>
        <w:rPr>
          <w:bCs/>
        </w:rPr>
        <w:sectPr w:rsidR="00061768" w:rsidSect="00A474A9">
          <w:pgSz w:w="16838" w:h="11906" w:orient="landscape"/>
          <w:pgMar w:top="1440" w:right="1440" w:bottom="1440" w:left="1440" w:header="720" w:footer="720" w:gutter="0"/>
          <w:paperSrc w:first="2" w:other="2"/>
          <w:cols w:space="720"/>
          <w:docGrid w:linePitch="299"/>
        </w:sectPr>
      </w:pPr>
    </w:p>
    <w:p w14:paraId="544D6CF9" w14:textId="0CC15370" w:rsidR="00061768" w:rsidRDefault="00061768" w:rsidP="004C79C1">
      <w:pPr>
        <w:spacing w:after="120" w:line="240" w:lineRule="auto"/>
        <w:jc w:val="both"/>
      </w:pPr>
      <w:r>
        <w:rPr>
          <w:bCs/>
        </w:rPr>
        <w:lastRenderedPageBreak/>
        <w:t xml:space="preserve">It should be noted that with only </w:t>
      </w:r>
      <w:r w:rsidR="000F4DFA">
        <w:rPr>
          <w:bCs/>
        </w:rPr>
        <w:t xml:space="preserve">1 </w:t>
      </w:r>
      <w:r>
        <w:rPr>
          <w:bCs/>
        </w:rPr>
        <w:t>small study contributing information on the rate of appropriate discharge among secondary prevention patients, the true differences in health outcomes when treating patients for secondary prevention based on either their LGE status or in comparison with primary prevention patients cannot be determined with any confidence.</w:t>
      </w:r>
    </w:p>
    <w:p w14:paraId="395A6639" w14:textId="6FAAB704" w:rsidR="00061768" w:rsidRDefault="00061768" w:rsidP="00161B88">
      <w:pPr>
        <w:pStyle w:val="Heading4"/>
      </w:pPr>
      <w:r>
        <w:t>The prognostic value of %LVEF compared with the presence or extent of LGE in patients with NIDCM</w:t>
      </w:r>
    </w:p>
    <w:p w14:paraId="5C106369" w14:textId="319B2107" w:rsidR="00061768" w:rsidRDefault="00061768" w:rsidP="004C79C1">
      <w:pPr>
        <w:spacing w:after="120" w:line="240" w:lineRule="auto"/>
        <w:jc w:val="both"/>
        <w:rPr>
          <w:bCs/>
        </w:rPr>
      </w:pPr>
      <w:r>
        <w:rPr>
          <w:bCs/>
        </w:rPr>
        <w:t xml:space="preserve">The 2011 </w:t>
      </w:r>
      <w:r w:rsidRPr="000C615F">
        <w:rPr>
          <w:bCs/>
          <w:i/>
        </w:rPr>
        <w:t>Guidelines for the prevention, detection and management of chronic heart failure in Australia</w:t>
      </w:r>
      <w:r>
        <w:rPr>
          <w:bCs/>
        </w:rPr>
        <w:t xml:space="preserve"> </w:t>
      </w:r>
      <w:r w:rsidR="00187A29">
        <w:rPr>
          <w:bCs/>
        </w:rPr>
        <w:fldChar w:fldCharType="begin"/>
      </w:r>
      <w:r w:rsidR="00187A29">
        <w:rPr>
          <w:bCs/>
        </w:rPr>
        <w:instrText xml:space="preserve"> ADDIN EN.CITE &lt;EndNote&gt;&lt;Cite&gt;&lt;Author&gt;National Heart Foundation of Australia and the Cardiac Society of Australia and New Zealand (Chronic Heart Failure Guidelines Expert Writing Panel)&lt;/Author&gt;&lt;Year&gt;2011&lt;/Year&gt;&lt;RecNum&gt;84&lt;/RecNum&gt;&lt;DisplayText&gt;(National Heart Foundation of Australia and the Cardiac Society of Australia and New Zealand (Chronic Heart Failure Guidelines Expert Writing Panel) 2011)&lt;/DisplayText&gt;&lt;record&gt;&lt;rec-number&gt;84&lt;/rec-number&gt;&lt;foreign-keys&gt;&lt;key app="EN" db-id="pfxxvref0t0a5de2vwnv2fwkz0p9v0r2fw0t" timestamp="1458169464"&gt;84&lt;/key&gt;&lt;/foreign-keys&gt;&lt;ref-type name="Serial"&gt;57&lt;/ref-type&gt;&lt;contributors&gt;&lt;authors&gt;&lt;author&gt;National Heart Foundation of Australia and the Cardiac Society of Australia and New Zealand (Chronic Heart Failure Guidelines Expert Writing Panel),&lt;/author&gt;&lt;/authors&gt;&lt;/contributors&gt;&lt;titles&gt;&lt;title&gt;Guidelines for the prevention, detection and management of chronic heart failure in Australia. Updated July 2011&lt;/title&gt;&lt;/titles&gt;&lt;dates&gt;&lt;year&gt;2011&lt;/year&gt;&lt;/dates&gt;&lt;urls&gt;&lt;/urls&gt;&lt;/record&gt;&lt;/Cite&gt;&lt;/EndNote&gt;</w:instrText>
      </w:r>
      <w:r w:rsidR="00187A29">
        <w:rPr>
          <w:bCs/>
        </w:rPr>
        <w:fldChar w:fldCharType="separate"/>
      </w:r>
      <w:r w:rsidR="00187A29">
        <w:rPr>
          <w:bCs/>
          <w:noProof/>
        </w:rPr>
        <w:t>(</w:t>
      </w:r>
      <w:hyperlink w:anchor="_ENREF_92" w:tooltip="National Heart Foundation of Australia and the Cardiac Society of Australia and New Zealand (Chronic Heart Failure Guidelines Expert Writing Panel), 2011 #84" w:history="1">
        <w:r w:rsidR="00B906E9">
          <w:rPr>
            <w:bCs/>
            <w:noProof/>
          </w:rPr>
          <w:t>National Heart Foundation of Australia and the Cardiac Society of Australia and New Zealand (Chronic Heart Failure Guidelines Expert Writing Panel) 2011</w:t>
        </w:r>
      </w:hyperlink>
      <w:r w:rsidR="00187A29">
        <w:rPr>
          <w:bCs/>
          <w:noProof/>
        </w:rPr>
        <w:t>)</w:t>
      </w:r>
      <w:r w:rsidR="00187A29">
        <w:rPr>
          <w:bCs/>
        </w:rPr>
        <w:fldChar w:fldCharType="end"/>
      </w:r>
      <w:r>
        <w:rPr>
          <w:bCs/>
        </w:rPr>
        <w:t xml:space="preserve"> does not use LGE-CMR in the diagnosis and/or clinical management of CHF, but it does rely heavily on the %LVEF for both the diagnosis and clinical management of patients. This guideline recommends that </w:t>
      </w:r>
      <w:r w:rsidRPr="000C615F">
        <w:rPr>
          <w:bCs/>
        </w:rPr>
        <w:t>ICD implantation should be considered in patients with</w:t>
      </w:r>
      <w:r>
        <w:rPr>
          <w:bCs/>
        </w:rPr>
        <w:t xml:space="preserve"> </w:t>
      </w:r>
      <w:r w:rsidRPr="000C615F">
        <w:rPr>
          <w:bCs/>
        </w:rPr>
        <w:t>symptomatic CHF (i.e. NYHA fun</w:t>
      </w:r>
      <w:r>
        <w:rPr>
          <w:bCs/>
        </w:rPr>
        <w:t>ctional class II/III) and LVEF ≤</w:t>
      </w:r>
      <w:r w:rsidRPr="000C615F">
        <w:rPr>
          <w:bCs/>
        </w:rPr>
        <w:t>35%.</w:t>
      </w:r>
      <w:r>
        <w:rPr>
          <w:bCs/>
        </w:rPr>
        <w:t xml:space="preserve"> Thus, the prognostic value of LGE was compared </w:t>
      </w:r>
      <w:r w:rsidR="00742C58">
        <w:rPr>
          <w:bCs/>
        </w:rPr>
        <w:t xml:space="preserve">with </w:t>
      </w:r>
      <w:r>
        <w:rPr>
          <w:bCs/>
        </w:rPr>
        <w:t>that of low LVEF values in the cohort studies discussed above.</w:t>
      </w:r>
    </w:p>
    <w:p w14:paraId="7BC290A7" w14:textId="17C1B8B4" w:rsidR="00061768" w:rsidRPr="00BE7769" w:rsidRDefault="00061768" w:rsidP="004C79C1">
      <w:pPr>
        <w:spacing w:after="120" w:line="240" w:lineRule="auto"/>
        <w:jc w:val="both"/>
        <w:rPr>
          <w:bCs/>
        </w:rPr>
      </w:pPr>
      <w:r w:rsidRPr="007B6EB4">
        <w:rPr>
          <w:bCs/>
        </w:rPr>
        <w:t>Twelve studies undertook univariate Cox regression analysis</w:t>
      </w:r>
      <w:r w:rsidRPr="00BE7769">
        <w:rPr>
          <w:bCs/>
        </w:rPr>
        <w:t xml:space="preserve"> and reported the HRs per unit (%) LVEF</w:t>
      </w:r>
      <w:r w:rsidR="00830033">
        <w:rPr>
          <w:bCs/>
        </w:rPr>
        <w:t>,</w:t>
      </w:r>
      <w:r w:rsidRPr="00BE7769">
        <w:rPr>
          <w:bCs/>
        </w:rPr>
        <w:t xml:space="preserve"> and </w:t>
      </w:r>
      <w:r w:rsidR="00830033">
        <w:rPr>
          <w:bCs/>
        </w:rPr>
        <w:t>1</w:t>
      </w:r>
      <w:r w:rsidR="00830033" w:rsidRPr="00BE7769">
        <w:rPr>
          <w:bCs/>
        </w:rPr>
        <w:t xml:space="preserve"> </w:t>
      </w:r>
      <w:r w:rsidRPr="00BE7769">
        <w:rPr>
          <w:bCs/>
        </w:rPr>
        <w:t xml:space="preserve">study </w:t>
      </w:r>
      <w:r w:rsidR="00187A29" w:rsidRPr="007B6EB4">
        <w:rPr>
          <w:bCs/>
        </w:rPr>
        <w:fldChar w:fldCharType="begin"/>
      </w:r>
      <w:r w:rsidR="00187A29" w:rsidRPr="007B6EB4">
        <w:rPr>
          <w:bCs/>
        </w:rPr>
        <w:instrText xml:space="preserve"> ADDIN EN.CITE &lt;EndNote&gt;&lt;Cite&gt;&lt;Author&gt;Piers&lt;/Author&gt;&lt;Year&gt;2015&lt;/Year&gt;&lt;RecNum&gt;57&lt;/RecNum&gt;&lt;DisplayText&gt;(Piers et al. 2015)&lt;/DisplayText&gt;&lt;record&gt;&lt;rec-number&gt;57&lt;/rec-number&gt;&lt;foreign-keys&gt;&lt;key app="EN" db-id="pfxxvref0t0a5de2vwnv2fwkz0p9v0r2fw0t" timestamp="1458109054"&gt;57&lt;/key&gt;&lt;/foreign-keys&gt;&lt;ref-type name="Journal Article"&gt;17&lt;/ref-type&gt;&lt;contributors&gt;&lt;authors&gt;&lt;author&gt;Piers, S. R.&lt;/author&gt;&lt;author&gt;Everaerts, K.&lt;/author&gt;&lt;author&gt;van der Geest, R. J.&lt;/author&gt;&lt;author&gt;Hazebroek, M. R.&lt;/author&gt;&lt;author&gt;Siebelink, H. M.&lt;/author&gt;&lt;author&gt;Pison, L. A.&lt;/author&gt;&lt;author&gt;Schalij, M. J.&lt;/author&gt;&lt;author&gt;Bekkers, S. C.&lt;/author&gt;&lt;author&gt;Heymans, S.&lt;/author&gt;&lt;author&gt;Zeppenfeld, K.&lt;/author&gt;&lt;/authors&gt;&lt;/contributors&gt;&lt;titles&gt;&lt;title&gt;Myocardial scar predicts monomorphic ventricular tachycardia but not polymorphic ventricular tachycardia or ventricular fibrillation in nonischemic dilated cardiomyopathy&lt;/title&gt;&lt;secondary-title&gt;Heart Rhythm&lt;/secondary-title&gt;&lt;/titles&gt;&lt;periodical&gt;&lt;full-title&gt;Heart Rhythm&lt;/full-title&gt;&lt;/periodical&gt;&lt;pages&gt;2106-14&lt;/pages&gt;&lt;volume&gt;12&lt;/volume&gt;&lt;number&gt;10&lt;/number&gt;&lt;dates&gt;&lt;year&gt;2015&lt;/year&gt;&lt;pub-dates&gt;&lt;date&gt;2015-01-01&lt;/date&gt;&lt;/pub-dates&gt;&lt;/dates&gt;&lt;isbn&gt;1547-5271&lt;/isbn&gt;&lt;urls&gt;&lt;related-urls&gt;&lt;url&gt;http://ac.els-cdn.com/S1547527115006293/1-s2.0-S1547527115006293-main.pdf?_tid=090a958a-c09d-11e5-bd53-00000aacb360&amp;amp;acdnat=1453421820_c554e004da4d394a4b3b5ab7a07fc7ee&lt;/url&gt;&lt;/related-urls&gt;&lt;/urls&gt;&lt;custom1&gt;RAYYAN-INCLUSION: {&amp;quot;Sharon&amp;quot;=&amp;gt;true} | RAYYAN-LABELS: prognostic,DCM&lt;/custom1&gt;&lt;research-notes&gt;High quality&lt;/research-notes&gt;&lt;language&gt;eng&lt;/language&gt;&lt;/record&gt;&lt;/Cite&gt;&lt;/EndNote&gt;</w:instrText>
      </w:r>
      <w:r w:rsidR="00187A29" w:rsidRPr="007B6EB4">
        <w:rPr>
          <w:bCs/>
        </w:rPr>
        <w:fldChar w:fldCharType="separate"/>
      </w:r>
      <w:r w:rsidR="00187A29" w:rsidRPr="007B6EB4">
        <w:rPr>
          <w:bCs/>
          <w:noProof/>
        </w:rPr>
        <w:t>(</w:t>
      </w:r>
      <w:hyperlink w:anchor="_ENREF_102" w:tooltip="Piers, 2015 #57" w:history="1">
        <w:r w:rsidR="00B906E9" w:rsidRPr="00BE7769">
          <w:rPr>
            <w:bCs/>
            <w:noProof/>
          </w:rPr>
          <w:t>Piers et al. 2015</w:t>
        </w:r>
      </w:hyperlink>
      <w:r w:rsidR="00187A29" w:rsidRPr="007B6EB4">
        <w:rPr>
          <w:bCs/>
          <w:noProof/>
        </w:rPr>
        <w:t>)</w:t>
      </w:r>
      <w:r w:rsidR="00187A29" w:rsidRPr="007B6EB4">
        <w:rPr>
          <w:bCs/>
        </w:rPr>
        <w:fldChar w:fldCharType="end"/>
      </w:r>
      <w:r w:rsidRPr="007B6EB4">
        <w:rPr>
          <w:bCs/>
        </w:rPr>
        <w:t xml:space="preserve"> per 10% LVEF decrease. However, only 4 studies found that a lower </w:t>
      </w:r>
      <w:r w:rsidRPr="00BE7769">
        <w:rPr>
          <w:bCs/>
        </w:rPr>
        <w:t>%</w:t>
      </w:r>
      <w:r w:rsidRPr="004268BA">
        <w:rPr>
          <w:bCs/>
        </w:rPr>
        <w:t xml:space="preserve">LVEF was significantly </w:t>
      </w:r>
      <w:r w:rsidRPr="00116D11">
        <w:rPr>
          <w:bCs/>
        </w:rPr>
        <w:t xml:space="preserve">associated with worse health outcomes </w:t>
      </w:r>
      <w:r w:rsidR="00187A29" w:rsidRPr="007B6EB4">
        <w:rPr>
          <w:bCs/>
        </w:rPr>
        <w:fldChar w:fldCharType="begin">
          <w:fldData xml:space="preserve">PEVuZE5vdGU+PENpdGU+PEF1dGhvcj5CdXNzPC9BdXRob3I+PFllYXI+MjAxNTwvWWVhcj48UmVj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</w:fldData>
        </w:fldChar>
      </w:r>
      <w:r w:rsidR="00187A29" w:rsidRPr="007B6EB4">
        <w:rPr>
          <w:bCs/>
        </w:rPr>
        <w:instrText xml:space="preserve"> ADDIN EN.CITE </w:instrText>
      </w:r>
      <w:r w:rsidR="00187A29" w:rsidRPr="00AD7237">
        <w:rPr>
          <w:bCs/>
        </w:rPr>
        <w:fldChar w:fldCharType="begin">
          <w:fldData xml:space="preserve">PEVuZE5vdGU+PENpdGU+PEF1dGhvcj5CdXNzPC9BdXRob3I+PFllYXI+MjAxNTwvWWVhcj48UmVj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</w:fldData>
        </w:fldChar>
      </w:r>
      <w:r w:rsidR="00187A29" w:rsidRPr="007B6EB4">
        <w:rPr>
          <w:bCs/>
        </w:rPr>
        <w:instrText xml:space="preserve"> ADDIN EN.CITE.DATA </w:instrText>
      </w:r>
      <w:r w:rsidR="00187A29" w:rsidRPr="00AD7237">
        <w:rPr>
          <w:bCs/>
        </w:rPr>
      </w:r>
      <w:r w:rsidR="00187A29" w:rsidRPr="00AD7237">
        <w:rPr>
          <w:bCs/>
        </w:rPr>
        <w:fldChar w:fldCharType="end"/>
      </w:r>
      <w:r w:rsidR="00187A29" w:rsidRPr="007B6EB4">
        <w:rPr>
          <w:bCs/>
        </w:rPr>
      </w:r>
      <w:r w:rsidR="00187A29" w:rsidRPr="007B6EB4">
        <w:rPr>
          <w:bCs/>
        </w:rPr>
        <w:fldChar w:fldCharType="separate"/>
      </w:r>
      <w:r w:rsidR="00187A29" w:rsidRPr="007B6EB4">
        <w:rPr>
          <w:bCs/>
          <w:noProof/>
        </w:rPr>
        <w:t>(</w:t>
      </w:r>
      <w:hyperlink w:anchor="_ENREF_18" w:tooltip="Buss, 2015 #36" w:history="1">
        <w:r w:rsidR="00B906E9" w:rsidRPr="00BE7769">
          <w:rPr>
            <w:bCs/>
            <w:noProof/>
          </w:rPr>
          <w:t>Buss et al. 2015</w:t>
        </w:r>
      </w:hyperlink>
      <w:r w:rsidR="00187A29" w:rsidRPr="007B6EB4">
        <w:rPr>
          <w:bCs/>
          <w:noProof/>
        </w:rPr>
        <w:t xml:space="preserve">; </w:t>
      </w:r>
      <w:hyperlink w:anchor="_ENREF_47" w:tooltip="Gulati, 2013 #42" w:history="1">
        <w:r w:rsidR="00B906E9" w:rsidRPr="00BE7769">
          <w:rPr>
            <w:bCs/>
            <w:noProof/>
          </w:rPr>
          <w:t>Gulati et al. 2013</w:t>
        </w:r>
      </w:hyperlink>
      <w:r w:rsidR="00187A29" w:rsidRPr="007B6EB4">
        <w:rPr>
          <w:bCs/>
          <w:noProof/>
        </w:rPr>
        <w:t xml:space="preserve">; </w:t>
      </w:r>
      <w:hyperlink w:anchor="_ENREF_52" w:tooltip="Hombach, 2009 #43" w:history="1">
        <w:r w:rsidR="00B906E9" w:rsidRPr="00BE7769">
          <w:rPr>
            <w:bCs/>
            <w:noProof/>
          </w:rPr>
          <w:t>Hombach et al. 2009</w:t>
        </w:r>
      </w:hyperlink>
      <w:r w:rsidR="00187A29" w:rsidRPr="007B6EB4">
        <w:rPr>
          <w:bCs/>
          <w:noProof/>
        </w:rPr>
        <w:t xml:space="preserve">; </w:t>
      </w:r>
      <w:hyperlink w:anchor="_ENREF_76" w:tooltip="Masci, 2012 #52" w:history="1">
        <w:r w:rsidR="00B906E9" w:rsidRPr="00BE7769">
          <w:rPr>
            <w:bCs/>
            <w:noProof/>
          </w:rPr>
          <w:t>Masci et al. 2012</w:t>
        </w:r>
      </w:hyperlink>
      <w:r w:rsidR="00187A29" w:rsidRPr="007B6EB4">
        <w:rPr>
          <w:bCs/>
          <w:noProof/>
        </w:rPr>
        <w:t>)</w:t>
      </w:r>
      <w:r w:rsidR="00187A29" w:rsidRPr="007B6EB4">
        <w:rPr>
          <w:bCs/>
        </w:rPr>
        <w:fldChar w:fldCharType="end"/>
      </w:r>
      <w:r w:rsidRPr="007B6EB4">
        <w:rPr>
          <w:bCs/>
        </w:rPr>
        <w:t xml:space="preserve">. </w:t>
      </w:r>
      <w:r w:rsidR="005F7B5A" w:rsidRPr="00AD7237">
        <w:rPr>
          <w:bCs/>
        </w:rPr>
        <w:t xml:space="preserve">Appendix </w:t>
      </w:r>
      <w:r w:rsidR="00391681">
        <w:rPr>
          <w:bCs/>
        </w:rPr>
        <w:t>G</w:t>
      </w:r>
      <w:r w:rsidRPr="007B6EB4">
        <w:rPr>
          <w:bCs/>
        </w:rPr>
        <w:t xml:space="preserve"> shows that</w:t>
      </w:r>
      <w:r w:rsidR="00830033">
        <w:rPr>
          <w:bCs/>
        </w:rPr>
        <w:t>,</w:t>
      </w:r>
      <w:r w:rsidRPr="007B6EB4">
        <w:rPr>
          <w:bCs/>
        </w:rPr>
        <w:t xml:space="preserve"> overall, the HRs reported by most studies trended towards worse outcomes in patients with lower %LVEF</w:t>
      </w:r>
      <w:r w:rsidR="00E430F8">
        <w:rPr>
          <w:bCs/>
        </w:rPr>
        <w:t xml:space="preserve">; that is, </w:t>
      </w:r>
      <w:r w:rsidRPr="007B6EB4">
        <w:rPr>
          <w:bCs/>
        </w:rPr>
        <w:t xml:space="preserve">there would be 4% </w:t>
      </w:r>
      <w:r w:rsidR="00830033">
        <w:rPr>
          <w:bCs/>
        </w:rPr>
        <w:t>fewer</w:t>
      </w:r>
      <w:r w:rsidR="00830033" w:rsidRPr="007B6EB4">
        <w:rPr>
          <w:bCs/>
        </w:rPr>
        <w:t xml:space="preserve"> </w:t>
      </w:r>
      <w:r w:rsidRPr="007B6EB4">
        <w:rPr>
          <w:bCs/>
        </w:rPr>
        <w:t>adverse cardiac events occurring among patients for each % increase in their LVEF (pooled HR = 0.96, 95%C</w:t>
      </w:r>
      <w:r w:rsidRPr="00BE7769">
        <w:rPr>
          <w:bCs/>
        </w:rPr>
        <w:t xml:space="preserve">I 0.94, 0.98). </w:t>
      </w:r>
    </w:p>
    <w:p w14:paraId="72344AE1" w14:textId="203B2F26" w:rsidR="00061768" w:rsidRDefault="00061768" w:rsidP="004C79C1">
      <w:pPr>
        <w:spacing w:after="120" w:line="240" w:lineRule="auto"/>
        <w:jc w:val="both"/>
        <w:rPr>
          <w:bCs/>
        </w:rPr>
      </w:pPr>
      <w:r w:rsidRPr="004268BA">
        <w:rPr>
          <w:bCs/>
        </w:rPr>
        <w:t>By comparison, univariate Cox regression analysis</w:t>
      </w:r>
      <w:r w:rsidRPr="00116D11">
        <w:rPr>
          <w:bCs/>
        </w:rPr>
        <w:t xml:space="preserve"> in </w:t>
      </w:r>
      <w:r w:rsidR="00E430F8">
        <w:rPr>
          <w:bCs/>
        </w:rPr>
        <w:t>12</w:t>
      </w:r>
      <w:r w:rsidR="00E430F8" w:rsidRPr="00116D11">
        <w:rPr>
          <w:bCs/>
        </w:rPr>
        <w:t xml:space="preserve"> </w:t>
      </w:r>
      <w:r w:rsidRPr="00116D11">
        <w:rPr>
          <w:bCs/>
        </w:rPr>
        <w:t xml:space="preserve">of these </w:t>
      </w:r>
      <w:r w:rsidR="00E430F8">
        <w:rPr>
          <w:bCs/>
        </w:rPr>
        <w:t>13</w:t>
      </w:r>
      <w:r w:rsidR="00E430F8" w:rsidRPr="00116D11">
        <w:rPr>
          <w:bCs/>
        </w:rPr>
        <w:t xml:space="preserve"> </w:t>
      </w:r>
      <w:r w:rsidRPr="00116D11">
        <w:rPr>
          <w:bCs/>
        </w:rPr>
        <w:t>studies found that the presence of LGE was significantly associated with worse health</w:t>
      </w:r>
      <w:r w:rsidRPr="007B6EB4">
        <w:rPr>
          <w:bCs/>
        </w:rPr>
        <w:t xml:space="preserve"> outcomes. In the </w:t>
      </w:r>
      <w:r w:rsidR="00E430F8">
        <w:rPr>
          <w:bCs/>
        </w:rPr>
        <w:t>13</w:t>
      </w:r>
      <w:r w:rsidR="00E430F8" w:rsidRPr="007B6EB4">
        <w:rPr>
          <w:bCs/>
        </w:rPr>
        <w:t xml:space="preserve">th </w:t>
      </w:r>
      <w:r w:rsidRPr="007B6EB4">
        <w:rPr>
          <w:bCs/>
        </w:rPr>
        <w:t xml:space="preserve">study the presence of LGE was the strongest independent predictor of the primary combined outcome of appropriate ICD therapy, survived cardiac arrest or </w:t>
      </w:r>
      <w:r w:rsidR="0037597C">
        <w:rPr>
          <w:bCs/>
        </w:rPr>
        <w:t>SCD</w:t>
      </w:r>
      <w:r w:rsidRPr="007B6EB4">
        <w:rPr>
          <w:bCs/>
        </w:rPr>
        <w:t xml:space="preserve"> </w:t>
      </w:r>
      <w:r w:rsidR="00187A29" w:rsidRPr="007B6EB4">
        <w:rPr>
          <w:bCs/>
        </w:rPr>
        <w:fldChar w:fldCharType="begin"/>
      </w:r>
      <w:r w:rsidR="00187A29" w:rsidRPr="007B6EB4">
        <w:rPr>
          <w:bCs/>
        </w:rPr>
        <w:instrText xml:space="preserve"> ADDIN EN.CITE &lt;EndNote&gt;&lt;Cite&gt;&lt;Author&gt;Gao&lt;/Author&gt;&lt;Year&gt;2012&lt;/Year&gt;&lt;RecNum&gt;41&lt;/RecNum&gt;&lt;DisplayText&gt;(Gao et al. 2012)&lt;/DisplayText&gt;&lt;record&gt;&lt;rec-number&gt;41&lt;/rec-number&gt;&lt;foreign-keys&gt;&lt;key app="EN" db-id="pfxxvref0t0a5de2vwnv2fwkz0p9v0r2fw0t" timestamp="1458109048"&gt;41&lt;/key&gt;&lt;/foreign-keys&gt;&lt;ref-type name="Journal Article"&gt;17&lt;/ref-type&gt;&lt;contributors&gt;&lt;authors&gt;&lt;author&gt;Gao, P.&lt;/author&gt;&lt;author&gt;Yee, R.&lt;/author&gt;&lt;author&gt;Gula, L.&lt;/author&gt;&lt;author&gt;Krahn, A. D.&lt;/author&gt;&lt;author&gt;Skanes, A.&lt;/author&gt;&lt;author&gt;Leong-Sit, P.&lt;/author&gt;&lt;author&gt;Klein, G. J.&lt;/author&gt;&lt;author&gt;Stirrat, J.&lt;/author&gt;&lt;author&gt;Fine, N.&lt;/author&gt;&lt;author&gt;Pallaveshi, L.&lt;/author&gt;&lt;author&gt;Wisenberg, G.&lt;/author&gt;&lt;author&gt;Thompson, T. R.&lt;/author&gt;&lt;author&gt;Prato, F.&lt;/author&gt;&lt;author&gt;Drangova, M.&lt;/author&gt;&lt;author&gt;White, J. A.&lt;/author&gt;&lt;/authors&gt;&lt;/contributors&gt;&lt;titles&gt;&lt;title&gt;Prediction of arrhythmic events in ischemic and dilated cardiomyopathy patients referred for implantable cardiac defibrillator: evaluation of multiple scar quantification measures for late gadolinium enhancement magnetic resonance imaging&lt;/title&gt;&lt;secondary-title&gt;Circ Cardiovasc Imaging&lt;/secondary-title&gt;&lt;/titles&gt;&lt;periodical&gt;&lt;full-title&gt;Circ Cardiovasc Imaging&lt;/full-title&gt;&lt;/periodical&gt;&lt;pages&gt;448-56&lt;/pages&gt;&lt;volume&gt;5&lt;/volume&gt;&lt;number&gt;4&lt;/number&gt;&lt;dates&gt;&lt;year&gt;2012&lt;/year&gt;&lt;pub-dates&gt;&lt;date&gt;2012-01-01&lt;/date&gt;&lt;/pub-dates&gt;&lt;/dates&gt;&lt;isbn&gt;1941-9651&lt;/isbn&gt;&lt;urls&gt;&lt;related-urls&gt;&lt;url&gt;http://circimaging.ahajournals.org/content/5/4/448.full.pdf&lt;/url&gt;&lt;/related-urls&gt;&lt;/urls&gt;&lt;custom1&gt;RAYYAN-INCLUSION: {&amp;quot;Sharon&amp;quot;=&amp;gt;true} | RAYYAN-LABELS: DCM,prognostic&lt;/custom1&gt;&lt;research-notes&gt;High quality&lt;/research-notes&gt;&lt;language&gt;eng&lt;/language&gt;&lt;/record&gt;&lt;/Cite&gt;&lt;/EndNote&gt;</w:instrText>
      </w:r>
      <w:r w:rsidR="00187A29" w:rsidRPr="007B6EB4">
        <w:rPr>
          <w:bCs/>
        </w:rPr>
        <w:fldChar w:fldCharType="separate"/>
      </w:r>
      <w:r w:rsidR="00187A29" w:rsidRPr="007B6EB4">
        <w:rPr>
          <w:bCs/>
          <w:noProof/>
        </w:rPr>
        <w:t>(</w:t>
      </w:r>
      <w:hyperlink w:anchor="_ENREF_43" w:tooltip="Gao, 2012 #41" w:history="1">
        <w:r w:rsidR="00B906E9" w:rsidRPr="00BE7769">
          <w:rPr>
            <w:bCs/>
            <w:noProof/>
          </w:rPr>
          <w:t>Gao et al. 2012</w:t>
        </w:r>
      </w:hyperlink>
      <w:r w:rsidR="00187A29" w:rsidRPr="007B6EB4">
        <w:rPr>
          <w:bCs/>
          <w:noProof/>
        </w:rPr>
        <w:t>)</w:t>
      </w:r>
      <w:r w:rsidR="00187A29" w:rsidRPr="007B6EB4">
        <w:rPr>
          <w:bCs/>
        </w:rPr>
        <w:fldChar w:fldCharType="end"/>
      </w:r>
      <w:r w:rsidRPr="007B6EB4">
        <w:rPr>
          <w:bCs/>
        </w:rPr>
        <w:t xml:space="preserve">. Additionally, </w:t>
      </w:r>
      <w:r w:rsidR="00086EA0">
        <w:rPr>
          <w:bCs/>
        </w:rPr>
        <w:t>8</w:t>
      </w:r>
      <w:r w:rsidR="00086EA0" w:rsidRPr="007B6EB4">
        <w:rPr>
          <w:bCs/>
        </w:rPr>
        <w:t xml:space="preserve"> </w:t>
      </w:r>
      <w:r w:rsidRPr="007B6EB4">
        <w:rPr>
          <w:bCs/>
        </w:rPr>
        <w:t>studies reported the HR per unit LGE</w:t>
      </w:r>
      <w:r w:rsidR="0037597C">
        <w:rPr>
          <w:bCs/>
        </w:rPr>
        <w:t>—</w:t>
      </w:r>
      <w:r w:rsidRPr="007B6EB4">
        <w:rPr>
          <w:bCs/>
        </w:rPr>
        <w:t>either per % or per g LGE mass, or per % of LV mass</w:t>
      </w:r>
      <w:r w:rsidR="0037597C">
        <w:rPr>
          <w:bCs/>
        </w:rPr>
        <w:t>.</w:t>
      </w:r>
      <w:r w:rsidRPr="007B6EB4">
        <w:rPr>
          <w:bCs/>
        </w:rPr>
        <w:t xml:space="preserve"> </w:t>
      </w:r>
      <w:r w:rsidR="0037597C">
        <w:rPr>
          <w:bCs/>
        </w:rPr>
        <w:t>A</w:t>
      </w:r>
      <w:r w:rsidRPr="007B6EB4">
        <w:rPr>
          <w:bCs/>
        </w:rPr>
        <w:t xml:space="preserve">ll except </w:t>
      </w:r>
      <w:r w:rsidR="00086EA0">
        <w:rPr>
          <w:bCs/>
        </w:rPr>
        <w:t>1</w:t>
      </w:r>
      <w:r w:rsidR="00086EA0" w:rsidRPr="007B6EB4">
        <w:rPr>
          <w:bCs/>
        </w:rPr>
        <w:t xml:space="preserve"> </w:t>
      </w:r>
      <w:r w:rsidRPr="007B6EB4">
        <w:rPr>
          <w:bCs/>
        </w:rPr>
        <w:t>study found a significant association between LGE size and advers</w:t>
      </w:r>
      <w:r w:rsidRPr="00BE7769">
        <w:rPr>
          <w:bCs/>
        </w:rPr>
        <w:t>e cardiac events. Meta-analysis found that for each unit increase in LGE</w:t>
      </w:r>
      <w:r w:rsidR="00DB741B">
        <w:rPr>
          <w:bCs/>
        </w:rPr>
        <w:t>,</w:t>
      </w:r>
      <w:r w:rsidRPr="00BE7769">
        <w:rPr>
          <w:bCs/>
        </w:rPr>
        <w:t xml:space="preserve"> there was an 11% increase in </w:t>
      </w:r>
      <w:r w:rsidR="00DB741B">
        <w:rPr>
          <w:bCs/>
        </w:rPr>
        <w:t xml:space="preserve">the </w:t>
      </w:r>
      <w:r w:rsidRPr="00BE7769">
        <w:rPr>
          <w:bCs/>
        </w:rPr>
        <w:t xml:space="preserve">occurrence of adverse cardiac events </w:t>
      </w:r>
      <w:r w:rsidRPr="004268BA">
        <w:rPr>
          <w:bCs/>
        </w:rPr>
        <w:t>(</w:t>
      </w:r>
      <w:r w:rsidR="005F7B5A" w:rsidRPr="00AD7237">
        <w:rPr>
          <w:bCs/>
        </w:rPr>
        <w:t xml:space="preserve">Appendix </w:t>
      </w:r>
      <w:r w:rsidR="00391681">
        <w:rPr>
          <w:bCs/>
        </w:rPr>
        <w:t>G</w:t>
      </w:r>
      <w:r w:rsidRPr="007B6EB4">
        <w:rPr>
          <w:bCs/>
        </w:rPr>
        <w:t>).</w:t>
      </w:r>
    </w:p>
    <w:p w14:paraId="5B298F73" w14:textId="198C8073" w:rsidR="00061768" w:rsidRDefault="00061768" w:rsidP="004C79C1">
      <w:pPr>
        <w:spacing w:after="120" w:line="240" w:lineRule="auto"/>
        <w:jc w:val="both"/>
        <w:rPr>
          <w:bCs/>
        </w:rPr>
      </w:pPr>
      <w:r>
        <w:rPr>
          <w:bCs/>
        </w:rPr>
        <w:t>Three studies investigated the HRs for the likelihood of having a cardiac event using LVEF cut-offs of 20%, 30% and 40% (</w:t>
      </w:r>
      <w:r>
        <w:rPr>
          <w:bCs/>
        </w:rPr>
        <w:fldChar w:fldCharType="begin"/>
      </w:r>
      <w:r>
        <w:rPr>
          <w:bCs/>
        </w:rPr>
        <w:instrText xml:space="preserve"> REF _Ref445909565 \h </w:instrText>
      </w:r>
      <w:r>
        <w:rPr>
          <w:bCs/>
        </w:rPr>
      </w:r>
      <w:r>
        <w:rPr>
          <w:bCs/>
        </w:rPr>
        <w:fldChar w:fldCharType="separate"/>
      </w:r>
      <w:r w:rsidR="00460601">
        <w:t xml:space="preserve">Figure </w:t>
      </w:r>
      <w:r w:rsidR="00460601">
        <w:rPr>
          <w:noProof/>
        </w:rPr>
        <w:t>21</w:t>
      </w:r>
      <w:r>
        <w:rPr>
          <w:bCs/>
        </w:rPr>
        <w:fldChar w:fldCharType="end"/>
      </w:r>
      <w:r>
        <w:rPr>
          <w:bCs/>
        </w:rPr>
        <w:t>). Two studies with mean LVEF values for the enrolled patients of 38% and 43% showed that patients with LVEF ≤30% and ≤40% were 3.4- and 5.4-times</w:t>
      </w:r>
      <w:r w:rsidR="00DB741B">
        <w:rPr>
          <w:bCs/>
        </w:rPr>
        <w:t>, respectively,</w:t>
      </w:r>
      <w:r w:rsidRPr="004E5C91">
        <w:rPr>
          <w:bCs/>
        </w:rPr>
        <w:t xml:space="preserve"> </w:t>
      </w:r>
      <w:r>
        <w:rPr>
          <w:bCs/>
        </w:rPr>
        <w:t xml:space="preserve">more likely to have a cardiac event than patients with higher LVEF values </w:t>
      </w:r>
      <w:r w:rsidR="00187A29">
        <w:rPr>
          <w:bCs/>
        </w:rPr>
        <w:fldChar w:fldCharType="begin">
          <w:fldData xml:space="preserve">PEVuZE5vdGU+PENpdGU+PEF1dGhvcj5MZWhya2U8L0F1dGhvcj48WWVhcj4yMDExPC9ZZWFyPjxS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</w:fldData>
        </w:fldChar>
      </w:r>
      <w:r w:rsidR="00187A29">
        <w:rPr>
          <w:bCs/>
        </w:rPr>
        <w:instrText xml:space="preserve"> ADDIN EN.CITE </w:instrText>
      </w:r>
      <w:r w:rsidR="00187A29">
        <w:rPr>
          <w:bCs/>
        </w:rPr>
        <w:fldChar w:fldCharType="begin">
          <w:fldData xml:space="preserve">PEVuZE5vdGU+PENpdGU+PEF1dGhvcj5MZWhya2U8L0F1dGhvcj48WWVhcj4yMDExPC9ZZWFyPjxS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</w:fldData>
        </w:fldChar>
      </w:r>
      <w:r w:rsidR="00187A29">
        <w:rPr>
          <w:bCs/>
        </w:rPr>
        <w:instrText xml:space="preserve"> ADDIN EN.CITE.DATA </w:instrText>
      </w:r>
      <w:r w:rsidR="00187A29">
        <w:rPr>
          <w:bCs/>
        </w:rPr>
      </w:r>
      <w:r w:rsidR="00187A29">
        <w:rPr>
          <w:bCs/>
        </w:rPr>
        <w:fldChar w:fldCharType="end"/>
      </w:r>
      <w:r w:rsidR="00187A29">
        <w:rPr>
          <w:bCs/>
        </w:rPr>
      </w:r>
      <w:r w:rsidR="00187A29">
        <w:rPr>
          <w:bCs/>
        </w:rPr>
        <w:fldChar w:fldCharType="separate"/>
      </w:r>
      <w:r w:rsidR="00187A29">
        <w:rPr>
          <w:bCs/>
          <w:noProof/>
        </w:rPr>
        <w:t>(</w:t>
      </w:r>
      <w:hyperlink w:anchor="_ENREF_65" w:tooltip="Lehrke, 2011 #47" w:history="1">
        <w:r w:rsidR="00B906E9">
          <w:rPr>
            <w:bCs/>
            <w:noProof/>
          </w:rPr>
          <w:t>Lehrke et al. 2011</w:t>
        </w:r>
      </w:hyperlink>
      <w:r w:rsidR="00187A29">
        <w:rPr>
          <w:bCs/>
          <w:noProof/>
        </w:rPr>
        <w:t xml:space="preserve">; </w:t>
      </w:r>
      <w:hyperlink w:anchor="_ENREF_90" w:tooltip="Muller, 2013 #53" w:history="1">
        <w:r w:rsidR="00B906E9">
          <w:rPr>
            <w:bCs/>
            <w:noProof/>
          </w:rPr>
          <w:t>Muller et al. 2013</w:t>
        </w:r>
      </w:hyperlink>
      <w:r w:rsidR="00187A29">
        <w:rPr>
          <w:bCs/>
          <w:noProof/>
        </w:rPr>
        <w:t>)</w:t>
      </w:r>
      <w:r w:rsidR="00187A29">
        <w:rPr>
          <w:bCs/>
        </w:rPr>
        <w:fldChar w:fldCharType="end"/>
      </w:r>
      <w:r>
        <w:rPr>
          <w:bCs/>
        </w:rPr>
        <w:t xml:space="preserve">. The HR for the presence of LGE was similar in the study using the 30% cut-off for LVEF (3.5 vs 3.4) but was much reduced and only just reached significance in the study using a 40% cut-off (1.8 vs 5.4; </w:t>
      </w:r>
      <w:r>
        <w:rPr>
          <w:bCs/>
        </w:rPr>
        <w:fldChar w:fldCharType="begin"/>
      </w:r>
      <w:r>
        <w:rPr>
          <w:bCs/>
        </w:rPr>
        <w:instrText xml:space="preserve"> REF _Ref445909565 \h </w:instrText>
      </w:r>
      <w:r>
        <w:rPr>
          <w:bCs/>
        </w:rPr>
      </w:r>
      <w:r>
        <w:rPr>
          <w:bCs/>
        </w:rPr>
        <w:fldChar w:fldCharType="separate"/>
      </w:r>
      <w:r w:rsidR="00460601">
        <w:t xml:space="preserve">Figure </w:t>
      </w:r>
      <w:r w:rsidR="00460601">
        <w:rPr>
          <w:noProof/>
        </w:rPr>
        <w:t>21</w:t>
      </w:r>
      <w:r>
        <w:rPr>
          <w:bCs/>
        </w:rPr>
        <w:fldChar w:fldCharType="end"/>
      </w:r>
      <w:r>
        <w:rPr>
          <w:bCs/>
        </w:rPr>
        <w:t xml:space="preserve">). </w:t>
      </w:r>
    </w:p>
    <w:p w14:paraId="64711667" w14:textId="0936AC77" w:rsidR="00061768" w:rsidRDefault="00061768" w:rsidP="004C79C1">
      <w:pPr>
        <w:spacing w:after="120" w:line="240" w:lineRule="auto"/>
        <w:jc w:val="both"/>
        <w:rPr>
          <w:bCs/>
        </w:rPr>
      </w:pPr>
      <w:r w:rsidRPr="00781A27">
        <w:rPr>
          <w:rFonts w:asciiTheme="minorHAnsi" w:hAnsiTheme="minorHAnsi"/>
          <w:bCs/>
        </w:rPr>
        <w:t xml:space="preserve">The </w:t>
      </w:r>
      <w:r w:rsidR="00D4092A" w:rsidRPr="00781A27">
        <w:rPr>
          <w:rFonts w:asciiTheme="minorHAnsi" w:hAnsiTheme="minorHAnsi"/>
          <w:bCs/>
        </w:rPr>
        <w:t xml:space="preserve">3rd </w:t>
      </w:r>
      <w:r w:rsidRPr="00781A27">
        <w:rPr>
          <w:rFonts w:asciiTheme="minorHAnsi" w:hAnsiTheme="minorHAnsi"/>
          <w:bCs/>
        </w:rPr>
        <w:t>study</w:t>
      </w:r>
      <w:r w:rsidR="00D4092A" w:rsidRPr="00781A27">
        <w:rPr>
          <w:rFonts w:asciiTheme="minorHAnsi" w:hAnsiTheme="minorHAnsi"/>
          <w:bCs/>
        </w:rPr>
        <w:t>,</w:t>
      </w:r>
      <w:r w:rsidRPr="00781A27">
        <w:rPr>
          <w:rFonts w:asciiTheme="minorHAnsi" w:hAnsiTheme="minorHAnsi"/>
          <w:bCs/>
        </w:rPr>
        <w:t xml:space="preserve"> by </w:t>
      </w:r>
      <w:hyperlink w:anchor="_ENREF_155" w:tooltip="Yoshida, 2013 #18" w:history="1">
        <w:r w:rsidR="00644D2E" w:rsidRPr="00141050">
          <w:rPr>
            <w:rFonts w:asciiTheme="minorHAnsi" w:hAnsiTheme="minorHAnsi"/>
            <w:noProof/>
            <w:color w:val="000000" w:themeColor="text1"/>
          </w:rPr>
          <w:t>Yoshida, Ishibashi-Ueda</w:t>
        </w:r>
        <w:r w:rsidR="00644D2E" w:rsidRPr="00EE130A">
          <w:rPr>
            <w:rFonts w:asciiTheme="minorHAnsi" w:hAnsiTheme="minorHAnsi"/>
            <w:noProof/>
            <w:color w:val="000000" w:themeColor="text1"/>
          </w:rPr>
          <w:t xml:space="preserve"> et al. (2013</w:t>
        </w:r>
      </w:hyperlink>
      <w:r w:rsidR="00644D2E" w:rsidRPr="00EE130A">
        <w:rPr>
          <w:rFonts w:asciiTheme="minorHAnsi" w:hAnsiTheme="minorHAnsi"/>
          <w:noProof/>
          <w:color w:val="000000" w:themeColor="text1"/>
        </w:rPr>
        <w:t>)</w:t>
      </w:r>
      <w:r w:rsidR="00D4092A" w:rsidRPr="00781A27">
        <w:rPr>
          <w:rFonts w:asciiTheme="minorHAnsi" w:hAnsiTheme="minorHAnsi"/>
          <w:bCs/>
        </w:rPr>
        <w:t>,</w:t>
      </w:r>
      <w:r w:rsidRPr="00781A27">
        <w:rPr>
          <w:rFonts w:asciiTheme="minorHAnsi" w:hAnsiTheme="minorHAnsi"/>
          <w:bCs/>
        </w:rPr>
        <w:t xml:space="preserve"> had enrolled patients who</w:t>
      </w:r>
      <w:r>
        <w:rPr>
          <w:bCs/>
        </w:rPr>
        <w:t xml:space="preserve"> were sicker than in the other </w:t>
      </w:r>
      <w:r w:rsidR="00D4092A">
        <w:rPr>
          <w:bCs/>
        </w:rPr>
        <w:t xml:space="preserve">2 </w:t>
      </w:r>
      <w:r>
        <w:rPr>
          <w:bCs/>
        </w:rPr>
        <w:t xml:space="preserve">studies and these patients had a mean LVEF of </w:t>
      </w:r>
      <w:r w:rsidRPr="00F62FDF">
        <w:rPr>
          <w:bCs/>
        </w:rPr>
        <w:t xml:space="preserve">22.6 </w:t>
      </w:r>
      <w:r>
        <w:rPr>
          <w:bCs/>
        </w:rPr>
        <w:t>±</w:t>
      </w:r>
      <w:r w:rsidRPr="00F62FDF">
        <w:rPr>
          <w:bCs/>
        </w:rPr>
        <w:t xml:space="preserve"> 8.8</w:t>
      </w:r>
      <w:r>
        <w:rPr>
          <w:bCs/>
        </w:rPr>
        <w:t>%. Thus, very few patients in this study, if any at all, would have had an LVEF of &gt;35%, let alone approaching normal. Hence, it is not surprising that there was little difference between the number of cardiac events experienced by patients with LVEF values marginally above or below the 20% cut-off. There was a trend towards increased risk of cardiac events in patients who were LGE+ in this study, but the 95%CIs were very wide and did not reach significance.</w:t>
      </w:r>
    </w:p>
    <w:p w14:paraId="61754F46" w14:textId="6D7501AB" w:rsidR="00061768" w:rsidRDefault="00061768" w:rsidP="004C79C1">
      <w:pPr>
        <w:spacing w:after="120" w:line="240" w:lineRule="auto"/>
        <w:jc w:val="both"/>
        <w:rPr>
          <w:bCs/>
        </w:rPr>
      </w:pPr>
      <w:r>
        <w:rPr>
          <w:bCs/>
        </w:rPr>
        <w:t>Together these results suggest that both %LVEF and the presence of LGE are prognostic factors that can predict which patients are more likely to have an adverse cardiac event. However, it is possible that the presence of LGE is a stronger predictor than %LVEF.</w:t>
      </w:r>
    </w:p>
    <w:p w14:paraId="6C6F12CF" w14:textId="77777777" w:rsidR="00061768" w:rsidRDefault="00061768" w:rsidP="004C79C1">
      <w:pPr>
        <w:keepNext/>
        <w:spacing w:after="120" w:line="240" w:lineRule="auto"/>
        <w:jc w:val="center"/>
        <w:rPr>
          <w:rFonts w:ascii="Arial Narrow" w:hAnsi="Arial Narrow"/>
          <w:bCs/>
          <w:sz w:val="20"/>
        </w:rPr>
      </w:pPr>
      <w:r>
        <w:rPr>
          <w:rFonts w:ascii="Arial Narrow" w:hAnsi="Arial Narrow"/>
          <w:bCs/>
          <w:noProof/>
          <w:sz w:val="20"/>
        </w:rPr>
        <w:lastRenderedPageBreak/>
        <w:drawing>
          <wp:inline distT="0" distB="0" distL="0" distR="0" wp14:anchorId="7183A0EE" wp14:editId="0F1B031C">
            <wp:extent cx="5700899" cy="2699309"/>
            <wp:effectExtent l="0" t="0" r="0" b="6350"/>
            <wp:docPr id="37" name="Picture 37" descr="Forest plot showing the HRs of the likelihood of having any cardiac event in patients with either LVEF ≤20–40% or with LG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2243" t="5393" r="1527" b="2005"/>
                    <a:stretch/>
                  </pic:blipFill>
                  <pic:spPr bwMode="auto">
                    <a:xfrm>
                      <a:off x="0" y="0"/>
                      <a:ext cx="5729355" cy="2712783"/>
                    </a:xfrm>
                    <a:prstGeom prst="rect">
                      <a:avLst/>
                    </a:prstGeom>
                    <a:noFill/>
                    <a:ln>
                      <a:noFill/>
                    </a:ln>
                    <a:extLst>
                      <a:ext uri="{53640926-AAD7-44D8-BBD7-CCE9431645EC}">
                        <a14:shadowObscured xmlns:a14="http://schemas.microsoft.com/office/drawing/2010/main"/>
                      </a:ext>
                    </a:extLst>
                  </pic:spPr>
                </pic:pic>
              </a:graphicData>
            </a:graphic>
          </wp:inline>
        </w:drawing>
      </w:r>
    </w:p>
    <w:p w14:paraId="7C317BFE" w14:textId="77777777" w:rsidR="00061768" w:rsidRPr="00A47F42" w:rsidRDefault="00061768" w:rsidP="004C79C1">
      <w:pPr>
        <w:pStyle w:val="Caption"/>
      </w:pPr>
      <w:bookmarkStart w:id="361" w:name="_Ref445909565"/>
      <w:bookmarkStart w:id="362" w:name="_Toc324410161"/>
      <w:bookmarkStart w:id="363" w:name="_Toc451435467"/>
      <w:r>
        <w:t xml:space="preserve">Figure </w:t>
      </w:r>
      <w:fldSimple w:instr=" SEQ Figure \* ARABIC ">
        <w:r w:rsidR="00050936">
          <w:rPr>
            <w:noProof/>
          </w:rPr>
          <w:t>21</w:t>
        </w:r>
      </w:fldSimple>
      <w:bookmarkEnd w:id="361"/>
      <w:r w:rsidRPr="00A47F42">
        <w:tab/>
        <w:t xml:space="preserve">Forest plot showing </w:t>
      </w:r>
      <w:r>
        <w:t>the HRs of the likelihood of having any cardiac event</w:t>
      </w:r>
      <w:r w:rsidRPr="00A47F42">
        <w:t xml:space="preserve"> </w:t>
      </w:r>
      <w:r>
        <w:t xml:space="preserve">in patients with either </w:t>
      </w:r>
      <w:r w:rsidRPr="00A47F42">
        <w:t xml:space="preserve">LVEF </w:t>
      </w:r>
      <w:r>
        <w:t>≤20–40% or with LGE present</w:t>
      </w:r>
      <w:bookmarkEnd w:id="362"/>
      <w:bookmarkEnd w:id="363"/>
    </w:p>
    <w:p w14:paraId="116EB597" w14:textId="4CEA268E" w:rsidR="00061768" w:rsidRPr="00254898" w:rsidRDefault="005408C0" w:rsidP="004C79C1">
      <w:pPr>
        <w:pStyle w:val="Tablenotes0"/>
        <w:spacing w:before="0" w:after="120"/>
      </w:pPr>
      <w:bookmarkStart w:id="364" w:name="_Toc324410162"/>
      <w:r>
        <w:rPr>
          <w:b/>
        </w:rPr>
        <w:t xml:space="preserve">Note: </w:t>
      </w:r>
      <w:r w:rsidR="00061768" w:rsidRPr="00254898">
        <w:t xml:space="preserve">The HRs </w:t>
      </w:r>
      <w:proofErr w:type="gramStart"/>
      <w:r w:rsidR="00061768" w:rsidRPr="00254898">
        <w:t>were</w:t>
      </w:r>
      <w:proofErr w:type="gramEnd"/>
      <w:r w:rsidR="00061768" w:rsidRPr="00254898">
        <w:t xml:space="preserve"> derived from univariate Cox regression analysis.</w:t>
      </w:r>
      <w:bookmarkEnd w:id="364"/>
    </w:p>
    <w:p w14:paraId="5F390E23" w14:textId="3CCDDFA7" w:rsidR="00061768" w:rsidRPr="005408C0" w:rsidRDefault="00061768" w:rsidP="004C79C1">
      <w:pPr>
        <w:pStyle w:val="Tablenotes0"/>
        <w:spacing w:before="0" w:after="120"/>
      </w:pPr>
      <w:bookmarkStart w:id="365" w:name="_Toc324410163"/>
      <w:r w:rsidRPr="005408C0">
        <w:t>CI = confidence interval; HR = hazard ratio; LGE = late gadolinium enhancement; LVEF = left ventricular ejection fraction</w:t>
      </w:r>
      <w:bookmarkEnd w:id="365"/>
    </w:p>
    <w:p w14:paraId="2AE03BF8" w14:textId="6BCA74C5" w:rsidR="00061768" w:rsidRDefault="005F7B5A" w:rsidP="004C79C1">
      <w:pPr>
        <w:spacing w:after="120" w:line="240" w:lineRule="auto"/>
        <w:jc w:val="both"/>
      </w:pPr>
      <w:r w:rsidRPr="00AD7237">
        <w:rPr>
          <w:bCs/>
        </w:rPr>
        <w:t xml:space="preserve">Appendix </w:t>
      </w:r>
      <w:r w:rsidR="006D273B">
        <w:rPr>
          <w:bCs/>
        </w:rPr>
        <w:t>G</w:t>
      </w:r>
      <w:r w:rsidR="00061768" w:rsidRPr="007B6EB4">
        <w:rPr>
          <w:bCs/>
        </w:rPr>
        <w:t xml:space="preserve"> shows</w:t>
      </w:r>
      <w:r w:rsidR="00061768" w:rsidRPr="007B6EB4">
        <w:t xml:space="preserve"> that there were differences in the outcomes between the </w:t>
      </w:r>
      <w:r w:rsidR="001B3A69">
        <w:t>3</w:t>
      </w:r>
      <w:r w:rsidR="001B3A69" w:rsidRPr="007B6EB4">
        <w:t xml:space="preserve"> </w:t>
      </w:r>
      <w:r w:rsidR="00061768" w:rsidRPr="007B6EB4">
        <w:t>studies that used</w:t>
      </w:r>
      <w:r w:rsidR="00061768">
        <w:t xml:space="preserve"> </w:t>
      </w:r>
      <w:r w:rsidR="00A21115">
        <w:t>echocardiography</w:t>
      </w:r>
      <w:r w:rsidR="00061768">
        <w:t xml:space="preserve"> LVEF measurements compared with the </w:t>
      </w:r>
      <w:r w:rsidR="001B3A69">
        <w:t xml:space="preserve">10 </w:t>
      </w:r>
      <w:r w:rsidR="00061768">
        <w:t>using CMR measurements (</w:t>
      </w:r>
      <w:r w:rsidR="00061768" w:rsidRPr="00996854">
        <w:t xml:space="preserve">see </w:t>
      </w:r>
      <w:r w:rsidR="00A009B7">
        <w:t>s</w:t>
      </w:r>
      <w:r w:rsidRPr="005F7B5A">
        <w:t xml:space="preserve">ection </w:t>
      </w:r>
      <w:r>
        <w:t>F.2</w:t>
      </w:r>
      <w:r w:rsidR="00061768">
        <w:t xml:space="preserve"> for a comparison between </w:t>
      </w:r>
      <w:r w:rsidR="00A21115">
        <w:t>echocardiography</w:t>
      </w:r>
      <w:r w:rsidR="00061768">
        <w:t xml:space="preserve"> and CMR LVEF measurements). Remarkably, the </w:t>
      </w:r>
      <w:r w:rsidR="009D0511">
        <w:t xml:space="preserve">3 </w:t>
      </w:r>
      <w:r w:rsidR="00061768">
        <w:t xml:space="preserve">studies that conducted </w:t>
      </w:r>
      <w:r w:rsidR="00061768" w:rsidRPr="004C13C4">
        <w:t xml:space="preserve">univariate Cox regression analysis </w:t>
      </w:r>
      <w:r w:rsidR="00061768">
        <w:t xml:space="preserve">using the </w:t>
      </w:r>
      <w:r w:rsidR="00A21115">
        <w:t>echocardiography</w:t>
      </w:r>
      <w:r w:rsidR="00061768">
        <w:t xml:space="preserve"> LVEF measurements had three of the five highest HRs, indicating either no difference in the number of adverse cardiac events with changing LVEF values or trending in the wrong direction. This suggests that CMR measurements may be more reliable than </w:t>
      </w:r>
      <w:r w:rsidR="00A21115">
        <w:t>echocardiography</w:t>
      </w:r>
      <w:r w:rsidR="00061768">
        <w:t xml:space="preserve"> measurements for predicting the likelihood of a patient having an adverse cardiac event.</w:t>
      </w:r>
    </w:p>
    <w:p w14:paraId="7769581B" w14:textId="77777777" w:rsidR="00061768" w:rsidRDefault="00061768" w:rsidP="00161B88">
      <w:pPr>
        <w:pStyle w:val="Heading4"/>
      </w:pPr>
      <w:r>
        <w:t>The prognosis of patients with NIDCM compared with those with ICM</w:t>
      </w:r>
    </w:p>
    <w:p w14:paraId="1F65FACC" w14:textId="13629AF0" w:rsidR="00061768" w:rsidRPr="007B6EB4" w:rsidRDefault="00061768" w:rsidP="004C79C1">
      <w:pPr>
        <w:spacing w:after="120" w:line="240" w:lineRule="auto"/>
        <w:jc w:val="both"/>
        <w:rPr>
          <w:bCs/>
        </w:rPr>
      </w:pPr>
      <w:r>
        <w:rPr>
          <w:bCs/>
        </w:rPr>
        <w:t xml:space="preserve">Seven studies enrolled DCM patients with both ischaemic and non-ischaemic disease, as defined by </w:t>
      </w:r>
      <w:r w:rsidRPr="007B6EB4">
        <w:rPr>
          <w:bCs/>
        </w:rPr>
        <w:t xml:space="preserve">patient history, ICA, CTCA or other non-invasive testing; </w:t>
      </w:r>
      <w:r w:rsidR="005C6157">
        <w:rPr>
          <w:bCs/>
        </w:rPr>
        <w:t>1</w:t>
      </w:r>
      <w:r w:rsidR="005C6157" w:rsidRPr="007B6EB4">
        <w:rPr>
          <w:bCs/>
        </w:rPr>
        <w:t xml:space="preserve"> </w:t>
      </w:r>
      <w:r w:rsidRPr="007B6EB4">
        <w:rPr>
          <w:bCs/>
        </w:rPr>
        <w:t>of these studies did not report the proportion of LGE+ patients who were diagnosed with either NIDCM o</w:t>
      </w:r>
      <w:r w:rsidR="009B1946" w:rsidRPr="007B6EB4">
        <w:rPr>
          <w:bCs/>
        </w:rPr>
        <w:t>r</w:t>
      </w:r>
      <w:r w:rsidRPr="007B6EB4">
        <w:rPr>
          <w:bCs/>
        </w:rPr>
        <w:t xml:space="preserve"> ICM.</w:t>
      </w:r>
    </w:p>
    <w:p w14:paraId="265328AC" w14:textId="45ED929C" w:rsidR="00061768" w:rsidRPr="007B6EB4" w:rsidRDefault="00061768" w:rsidP="004C79C1">
      <w:pPr>
        <w:spacing w:after="120" w:line="240" w:lineRule="auto"/>
        <w:jc w:val="both"/>
        <w:rPr>
          <w:rFonts w:asciiTheme="minorHAnsi" w:hAnsiTheme="minorHAnsi"/>
        </w:rPr>
      </w:pPr>
      <w:r w:rsidRPr="00BE7769">
        <w:rPr>
          <w:bCs/>
        </w:rPr>
        <w:t>O</w:t>
      </w:r>
      <w:r w:rsidRPr="004268BA">
        <w:rPr>
          <w:bCs/>
        </w:rPr>
        <w:t xml:space="preserve">verall, a mean of 38% of the DCM patients were diagnosed with NIDCM, of whom approximately 38% were LGE+ (13% of the total DCM population). The proportion of NIDCM patients who were LGE+ in </w:t>
      </w:r>
      <w:r w:rsidRPr="004268BA">
        <w:t xml:space="preserve">the 20 cohort studies that only reported on NIDCM </w:t>
      </w:r>
      <w:r w:rsidRPr="00116D11">
        <w:rPr>
          <w:bCs/>
        </w:rPr>
        <w:t>was similar (mean 43%)</w:t>
      </w:r>
      <w:r w:rsidRPr="007B6EB4">
        <w:t xml:space="preserve">. </w:t>
      </w:r>
      <w:r w:rsidRPr="007B6EB4">
        <w:rPr>
          <w:bCs/>
        </w:rPr>
        <w:t xml:space="preserve">Of the 62% of patients diagnosed with ICM, a mean of 86% were LGE+ (56% of the total DCM population). The forest plot in </w:t>
      </w:r>
      <w:r w:rsidRPr="007B6EB4">
        <w:rPr>
          <w:bCs/>
        </w:rPr>
        <w:fldChar w:fldCharType="begin"/>
      </w:r>
      <w:r w:rsidRPr="007B6EB4">
        <w:rPr>
          <w:bCs/>
        </w:rPr>
        <w:instrText xml:space="preserve"> REF _Ref445909745 \h </w:instrText>
      </w:r>
      <w:r w:rsidR="007B6EB4">
        <w:rPr>
          <w:bCs/>
        </w:rPr>
        <w:instrText xml:space="preserve"> \* MERGEFORMAT </w:instrText>
      </w:r>
      <w:r w:rsidRPr="007B6EB4">
        <w:rPr>
          <w:bCs/>
        </w:rPr>
      </w:r>
      <w:r w:rsidRPr="007B6EB4">
        <w:rPr>
          <w:bCs/>
        </w:rPr>
        <w:fldChar w:fldCharType="separate"/>
      </w:r>
      <w:r w:rsidR="00460601">
        <w:t xml:space="preserve">Figure </w:t>
      </w:r>
      <w:r w:rsidR="00460601">
        <w:rPr>
          <w:noProof/>
        </w:rPr>
        <w:t>22</w:t>
      </w:r>
      <w:r w:rsidRPr="007B6EB4">
        <w:rPr>
          <w:bCs/>
        </w:rPr>
        <w:fldChar w:fldCharType="end"/>
      </w:r>
      <w:r w:rsidRPr="007B6EB4">
        <w:rPr>
          <w:bCs/>
        </w:rPr>
        <w:t xml:space="preserve"> shows that </w:t>
      </w:r>
      <w:r w:rsidRPr="007B6EB4">
        <w:t xml:space="preserve">ICM patients are 8-times more likely to be LGE+ than NIDCM patients (GRADE </w:t>
      </w:r>
      <w:r w:rsidRPr="00BE7769">
        <w:rPr>
          <w:rFonts w:ascii="Cambria Math" w:hAnsi="Cambria Math" w:cs="Cambria Math"/>
          <w:color w:val="00B050"/>
          <w:sz w:val="20"/>
        </w:rPr>
        <w:t>⊕⊕⊕</w:t>
      </w:r>
      <w:r w:rsidRPr="004268BA">
        <w:rPr>
          <w:rFonts w:ascii="Cambria Math" w:hAnsi="Cambria Math" w:cs="Cambria Math"/>
          <w:color w:val="FF0000"/>
          <w:sz w:val="20"/>
        </w:rPr>
        <w:t>⨀</w:t>
      </w:r>
      <w:r w:rsidRPr="004268BA">
        <w:t>: moderate quality of evidence). It should be noted that LGE-CMR alone is unable to distinguish between ICM and NIDCM in patients</w:t>
      </w:r>
      <w:r w:rsidRPr="00116D11">
        <w:t xml:space="preserve"> who are LGE</w:t>
      </w:r>
      <w:r w:rsidRPr="007B6EB4">
        <w:rPr>
          <w:rFonts w:ascii="Arial Narrow" w:hAnsi="Arial Narrow"/>
        </w:rPr>
        <w:t>–</w:t>
      </w:r>
      <w:r w:rsidR="009E59CC">
        <w:t xml:space="preserve">, </w:t>
      </w:r>
      <w:r w:rsidRPr="007B6EB4">
        <w:t>because the assessment of ICM versus NIDCM is based on the pattern of LGE observed in the CMR images. As the majority of LGE</w:t>
      </w:r>
      <w:r w:rsidRPr="007B6EB4">
        <w:rPr>
          <w:rFonts w:ascii="Arial Narrow" w:hAnsi="Arial Narrow"/>
        </w:rPr>
        <w:t>–</w:t>
      </w:r>
      <w:r w:rsidRPr="007B6EB4">
        <w:t xml:space="preserve"> patients (80%) would have NIDCM, it is possible that some ICM patients who are LGE</w:t>
      </w:r>
      <w:r w:rsidRPr="007B6EB4">
        <w:rPr>
          <w:rFonts w:asciiTheme="minorHAnsi" w:hAnsiTheme="minorHAnsi"/>
        </w:rPr>
        <w:t>– could be wrongly classified as NIDCM, based on their LGE-CMR result.</w:t>
      </w:r>
    </w:p>
    <w:p w14:paraId="5F4C09AD" w14:textId="143F6FDB" w:rsidR="00061768" w:rsidRDefault="00061768" w:rsidP="004C79C1">
      <w:pPr>
        <w:spacing w:after="120" w:line="240" w:lineRule="auto"/>
        <w:jc w:val="both"/>
        <w:rPr>
          <w:bCs/>
        </w:rPr>
      </w:pPr>
      <w:r w:rsidRPr="007B6EB4">
        <w:rPr>
          <w:bCs/>
        </w:rPr>
        <w:t xml:space="preserve">Three studies reported the HR for </w:t>
      </w:r>
      <w:r w:rsidR="00A42EBB">
        <w:rPr>
          <w:bCs/>
        </w:rPr>
        <w:t xml:space="preserve">patients who were </w:t>
      </w:r>
      <w:r w:rsidRPr="007B6EB4">
        <w:rPr>
          <w:bCs/>
        </w:rPr>
        <w:t>dying and/or having an appropriate ICD discharge (</w:t>
      </w:r>
      <w:r w:rsidR="005F7B5A" w:rsidRPr="00AD7237">
        <w:rPr>
          <w:bCs/>
        </w:rPr>
        <w:t xml:space="preserve">Appendix </w:t>
      </w:r>
      <w:r w:rsidR="005E5A24">
        <w:rPr>
          <w:bCs/>
        </w:rPr>
        <w:t>G</w:t>
      </w:r>
      <w:r w:rsidRPr="007B6EB4">
        <w:rPr>
          <w:bCs/>
        </w:rPr>
        <w:t xml:space="preserve">). All univariate analyses showed </w:t>
      </w:r>
      <w:r w:rsidR="00A42EBB">
        <w:rPr>
          <w:bCs/>
        </w:rPr>
        <w:t xml:space="preserve">that </w:t>
      </w:r>
      <w:r w:rsidRPr="007B6EB4">
        <w:rPr>
          <w:bCs/>
        </w:rPr>
        <w:t>a significantly larger proportion of events occur in ICM patients compared</w:t>
      </w:r>
      <w:r>
        <w:rPr>
          <w:bCs/>
        </w:rPr>
        <w:t xml:space="preserve"> with NIDCM patients. The multivariate analysis performed by Almehmadi et al</w:t>
      </w:r>
      <w:r w:rsidR="004B754C">
        <w:rPr>
          <w:bCs/>
        </w:rPr>
        <w:t>.</w:t>
      </w:r>
      <w:r>
        <w:rPr>
          <w:bCs/>
        </w:rPr>
        <w:t xml:space="preserve"> </w:t>
      </w:r>
      <w:r w:rsidR="00187A29">
        <w:rPr>
          <w:bCs/>
        </w:rPr>
        <w:fldChar w:fldCharType="begin"/>
      </w:r>
      <w:r w:rsidR="00187A29">
        <w:rPr>
          <w:bCs/>
        </w:rPr>
        <w:instrText xml:space="preserve"> ADDIN EN.CITE &lt;EndNote&gt;&lt;Cite ExcludeAuth="1"&gt;&lt;Author&gt;Almehmadi&lt;/Author&gt;&lt;Year&gt;2014&lt;/Year&gt;&lt;RecNum&gt;35&lt;/RecNum&gt;&lt;DisplayText&gt;(2014)&lt;/DisplayText&gt;&lt;record&gt;&lt;rec-number&gt;35&lt;/rec-number&gt;&lt;foreign-keys&gt;&lt;key app="EN" db-id="pfxxvref0t0a5de2vwnv2fwkz0p9v0r2fw0t" timestamp="1458109046"&gt;35&lt;/key&gt;&lt;/foreign-keys&gt;&lt;ref-type name="Journal Article"&gt;17&lt;/ref-type&gt;&lt;contributors&gt;&lt;authors&gt;&lt;author&gt;Almehmadi, F.&lt;/author&gt;&lt;author&gt;Joncas, S. X.&lt;/author&gt;&lt;author&gt;Nevis, I.&lt;/author&gt;&lt;author&gt;Zahrani, M.&lt;/author&gt;&lt;author&gt;Bokhari, M.&lt;/author&gt;&lt;author&gt;Stirrat, J.&lt;/author&gt;&lt;author&gt;Fine, N. M.&lt;/author&gt;&lt;author&gt;Yee, R.&lt;/author&gt;&lt;author&gt;White, J. A.&lt;/author&gt;&lt;/authors&gt;&lt;/contributors&gt;&lt;titles&gt;&lt;title&gt;Prevalence of myocardial fibrosis patterns in patients with systolic dysfunction: prognostic significance for the prediction of sudden cardiac arrest or appropriate implantable cardiac defibrillator therapy&lt;/title&gt;&lt;secondary-title&gt;Circ Cardiovasc Imaging&lt;/secondary-title&gt;&lt;/titles&gt;&lt;periodical&gt;&lt;full-title&gt;Circ Cardiovasc Imaging&lt;/full-title&gt;&lt;/periodical&gt;&lt;pages&gt;593-600&lt;/pages&gt;&lt;volume&gt;7&lt;/volume&gt;&lt;number&gt;4&lt;/number&gt;&lt;dates&gt;&lt;year&gt;2014&lt;/year&gt;&lt;pub-dates&gt;&lt;date&gt;2014-01-01&lt;/date&gt;&lt;/pub-dates&gt;&lt;/dates&gt;&lt;isbn&gt;1941-9651&lt;/isbn&gt;&lt;urls&gt;&lt;related-urls&gt;&lt;url&gt;http://circimaging.ahajournals.org/content/7/4/593.full.pdf&lt;/url&gt;&lt;/related-urls&gt;&lt;/urls&gt;&lt;custom1&gt;RAYYAN-INCLUSION: {&amp;quot;Sharon&amp;quot;=&amp;gt;false, &amp;quot;Skye&amp;quot;=&amp;gt;true} | RAYYAN-EXCLUSION-REASONS: wrong population&lt;/custom1&gt;&lt;research-notes&gt;Acceptable&lt;/research-notes&gt;&lt;language&gt;eng&lt;/language&gt;&lt;/record&gt;&lt;/Cite&gt;&lt;/EndNote&gt;</w:instrText>
      </w:r>
      <w:r w:rsidR="00187A29">
        <w:rPr>
          <w:bCs/>
        </w:rPr>
        <w:fldChar w:fldCharType="separate"/>
      </w:r>
      <w:r w:rsidR="00187A29">
        <w:rPr>
          <w:bCs/>
          <w:noProof/>
        </w:rPr>
        <w:t>(</w:t>
      </w:r>
      <w:hyperlink w:anchor="_ENREF_4" w:tooltip="Almehmadi, 2014 #35" w:history="1">
        <w:r w:rsidR="00B906E9">
          <w:rPr>
            <w:bCs/>
            <w:noProof/>
          </w:rPr>
          <w:t>2014</w:t>
        </w:r>
      </w:hyperlink>
      <w:r w:rsidR="00187A29">
        <w:rPr>
          <w:bCs/>
          <w:noProof/>
        </w:rPr>
        <w:t>)</w:t>
      </w:r>
      <w:r w:rsidR="00187A29">
        <w:rPr>
          <w:bCs/>
        </w:rPr>
        <w:fldChar w:fldCharType="end"/>
      </w:r>
      <w:r>
        <w:rPr>
          <w:bCs/>
        </w:rPr>
        <w:t xml:space="preserve">, which was </w:t>
      </w:r>
      <w:r w:rsidRPr="008C18E6">
        <w:rPr>
          <w:bCs/>
        </w:rPr>
        <w:t>adjust</w:t>
      </w:r>
      <w:r>
        <w:rPr>
          <w:bCs/>
        </w:rPr>
        <w:t>ed</w:t>
      </w:r>
      <w:r w:rsidRPr="008C18E6">
        <w:rPr>
          <w:bCs/>
        </w:rPr>
        <w:t xml:space="preserve"> for LVEF, mid</w:t>
      </w:r>
      <w:r>
        <w:rPr>
          <w:bCs/>
        </w:rPr>
        <w:t>-</w:t>
      </w:r>
      <w:r w:rsidRPr="008C18E6">
        <w:rPr>
          <w:bCs/>
        </w:rPr>
        <w:t>wall hyperenhancement</w:t>
      </w:r>
      <w:r>
        <w:rPr>
          <w:bCs/>
        </w:rPr>
        <w:t xml:space="preserve"> </w:t>
      </w:r>
      <w:r w:rsidRPr="008C18E6">
        <w:rPr>
          <w:bCs/>
        </w:rPr>
        <w:t xml:space="preserve">and total </w:t>
      </w:r>
      <w:r w:rsidRPr="008C18E6">
        <w:rPr>
          <w:bCs/>
        </w:rPr>
        <w:lastRenderedPageBreak/>
        <w:t>hyperenhancement</w:t>
      </w:r>
      <w:r>
        <w:rPr>
          <w:bCs/>
        </w:rPr>
        <w:t xml:space="preserve">, did not show a significant difference in event rate but still favoured a greater number of events occurring in ICM patients over NIDCM patients. </w:t>
      </w:r>
    </w:p>
    <w:p w14:paraId="031C1EB9" w14:textId="67D72A4A" w:rsidR="00061768" w:rsidRDefault="00061768" w:rsidP="004C79C1">
      <w:pPr>
        <w:spacing w:after="120" w:line="240" w:lineRule="auto"/>
        <w:jc w:val="both"/>
      </w:pPr>
      <w:r>
        <w:t>Six studies provided data to enable meta-analyses to be undertaken (</w:t>
      </w:r>
      <w:r w:rsidRPr="00AC0547">
        <w:fldChar w:fldCharType="begin"/>
      </w:r>
      <w:r w:rsidRPr="00AC0547">
        <w:instrText xml:space="preserve"> REF _Ref445909874 \h </w:instrText>
      </w:r>
      <w:r w:rsidR="00AC0547">
        <w:instrText xml:space="preserve"> \* MERGEFORMAT </w:instrText>
      </w:r>
      <w:r w:rsidRPr="00AC0547">
        <w:fldChar w:fldCharType="separate"/>
      </w:r>
      <w:r w:rsidR="00D54939" w:rsidRPr="00AC0547">
        <w:rPr>
          <w:bCs/>
        </w:rPr>
        <w:t xml:space="preserve">Figure </w:t>
      </w:r>
      <w:r w:rsidR="00D54939" w:rsidRPr="00AC0547">
        <w:rPr>
          <w:noProof/>
        </w:rPr>
        <w:t>23</w:t>
      </w:r>
      <w:r w:rsidRPr="00AC0547">
        <w:fldChar w:fldCharType="end"/>
      </w:r>
      <w:r>
        <w:t xml:space="preserve">). </w:t>
      </w:r>
      <w:r>
        <w:rPr>
          <w:bCs/>
        </w:rPr>
        <w:t xml:space="preserve">The quality of the </w:t>
      </w:r>
      <w:r w:rsidRPr="007B6EB4">
        <w:rPr>
          <w:bCs/>
        </w:rPr>
        <w:t xml:space="preserve">evidence for each outcome is reported in </w:t>
      </w:r>
      <w:r w:rsidR="00AC0547">
        <w:fldChar w:fldCharType="begin"/>
      </w:r>
      <w:r w:rsidR="00AC0547">
        <w:rPr>
          <w:bCs/>
        </w:rPr>
        <w:instrText xml:space="preserve"> REF _Ref451332097 \h </w:instrText>
      </w:r>
      <w:r w:rsidR="00AC0547">
        <w:fldChar w:fldCharType="separate"/>
      </w:r>
      <w:r w:rsidR="00AC0547">
        <w:t xml:space="preserve">Table </w:t>
      </w:r>
      <w:r w:rsidR="00AC0547">
        <w:rPr>
          <w:noProof/>
        </w:rPr>
        <w:t>90</w:t>
      </w:r>
      <w:r w:rsidR="00AC0547">
        <w:fldChar w:fldCharType="end"/>
      </w:r>
      <w:r w:rsidRPr="007B6EB4">
        <w:rPr>
          <w:bCs/>
        </w:rPr>
        <w:t xml:space="preserve"> (</w:t>
      </w:r>
      <w:r w:rsidRPr="00AD7237">
        <w:rPr>
          <w:bCs/>
        </w:rPr>
        <w:t xml:space="preserve">Appendix </w:t>
      </w:r>
      <w:r w:rsidR="005E5A24">
        <w:rPr>
          <w:bCs/>
        </w:rPr>
        <w:t>D</w:t>
      </w:r>
      <w:r w:rsidRPr="007B6EB4">
        <w:rPr>
          <w:bCs/>
        </w:rPr>
        <w:t xml:space="preserve">) and summarised in </w:t>
      </w:r>
      <w:r w:rsidRPr="007B6EB4">
        <w:rPr>
          <w:bCs/>
        </w:rPr>
        <w:fldChar w:fldCharType="begin"/>
      </w:r>
      <w:r w:rsidRPr="007B6EB4">
        <w:rPr>
          <w:bCs/>
        </w:rPr>
        <w:instrText xml:space="preserve"> REF _Ref445909874 \h </w:instrText>
      </w:r>
      <w:r w:rsidR="007B6EB4">
        <w:rPr>
          <w:bCs/>
        </w:rPr>
        <w:instrText xml:space="preserve"> \* MERGEFORMAT </w:instrText>
      </w:r>
      <w:r w:rsidRPr="007B6EB4">
        <w:rPr>
          <w:bCs/>
        </w:rPr>
      </w:r>
      <w:r w:rsidRPr="007B6EB4">
        <w:rPr>
          <w:bCs/>
        </w:rPr>
        <w:fldChar w:fldCharType="separate"/>
      </w:r>
      <w:r w:rsidR="00B85CFA">
        <w:t xml:space="preserve">Figure </w:t>
      </w:r>
      <w:r w:rsidR="00B85CFA">
        <w:rPr>
          <w:noProof/>
        </w:rPr>
        <w:t>23</w:t>
      </w:r>
      <w:r w:rsidRPr="007B6EB4">
        <w:rPr>
          <w:bCs/>
        </w:rPr>
        <w:fldChar w:fldCharType="end"/>
      </w:r>
      <w:r w:rsidRPr="007B6EB4">
        <w:rPr>
          <w:bCs/>
        </w:rPr>
        <w:t xml:space="preserve">. </w:t>
      </w:r>
      <w:r w:rsidRPr="007B6EB4">
        <w:t>All death and cardiac outco</w:t>
      </w:r>
      <w:r w:rsidRPr="00BE7769">
        <w:t>mes that could be measured showed that events occurred more commonly in ICM patients compared with NIDCM patients, except for the number of non-life</w:t>
      </w:r>
      <w:r w:rsidR="00507970">
        <w:t>-</w:t>
      </w:r>
      <w:r w:rsidRPr="00BE7769">
        <w:t xml:space="preserve">threatening </w:t>
      </w:r>
      <w:r w:rsidR="00E40669">
        <w:t>VT</w:t>
      </w:r>
      <w:r w:rsidRPr="00BE7769">
        <w:t xml:space="preserve"> and ventricular arrhythmic events, which occurred equally in both patie</w:t>
      </w:r>
      <w:r w:rsidRPr="004268BA">
        <w:t>nt</w:t>
      </w:r>
      <w:r>
        <w:t xml:space="preserve"> subgroups. Hence, it would also be expected that appropriate ICD discharges would occur equally in both ICM and NIDCM patients, as indicated in </w:t>
      </w:r>
      <w:r w:rsidRPr="00AC0547">
        <w:fldChar w:fldCharType="begin"/>
      </w:r>
      <w:r w:rsidRPr="00AC0547">
        <w:instrText xml:space="preserve"> REF _Ref445909874 \h </w:instrText>
      </w:r>
      <w:r w:rsidR="00AC0547">
        <w:instrText xml:space="preserve"> \* MERGEFORMAT </w:instrText>
      </w:r>
      <w:r w:rsidRPr="00AC0547">
        <w:fldChar w:fldCharType="separate"/>
      </w:r>
      <w:r w:rsidR="00D54939" w:rsidRPr="00AC0547">
        <w:rPr>
          <w:bCs/>
        </w:rPr>
        <w:t xml:space="preserve">Figure </w:t>
      </w:r>
      <w:r w:rsidR="00D54939" w:rsidRPr="00AC0547">
        <w:rPr>
          <w:noProof/>
        </w:rPr>
        <w:t>23</w:t>
      </w:r>
      <w:r w:rsidRPr="00AC0547">
        <w:fldChar w:fldCharType="end"/>
      </w:r>
      <w:r w:rsidRPr="00AC0547">
        <w:t>.</w:t>
      </w:r>
      <w:r>
        <w:t xml:space="preserve"> Thus, ICD/CRT device implantation may be equally effective for both </w:t>
      </w:r>
      <w:r w:rsidRPr="00DF4B35">
        <w:t xml:space="preserve">ischaemic and non-ischaemic </w:t>
      </w:r>
      <w:r>
        <w:t xml:space="preserve">DCM patients. </w:t>
      </w:r>
    </w:p>
    <w:p w14:paraId="0DA7BA4C" w14:textId="4118D904" w:rsidR="00061768" w:rsidRPr="008C18E6" w:rsidRDefault="00061768" w:rsidP="004C79C1">
      <w:pPr>
        <w:spacing w:after="120" w:line="240" w:lineRule="auto"/>
        <w:jc w:val="both"/>
      </w:pPr>
      <w:r w:rsidRPr="00B25165">
        <w:t xml:space="preserve">One good-quality SR </w:t>
      </w:r>
      <w:r w:rsidRPr="00104234">
        <w:t xml:space="preserve">cited in MSAC assessment </w:t>
      </w:r>
      <w:r w:rsidR="008E5A36">
        <w:t xml:space="preserve">no. </w:t>
      </w:r>
      <w:r w:rsidRPr="00104234">
        <w:t>1237</w:t>
      </w:r>
      <w:r>
        <w:t xml:space="preserve"> </w:t>
      </w:r>
      <w:r w:rsidR="00187A29">
        <w:fldChar w:fldCharType="begin"/>
      </w:r>
      <w:r w:rsidR="00187A29">
        <w:instrText xml:space="preserve"> ADDIN EN.CITE &lt;EndNote&gt;&lt;Cite&gt;&lt;Author&gt;Zemrak&lt;/Author&gt;&lt;Year&gt;2011&lt;/Year&gt;&lt;RecNum&gt;100&lt;/RecNum&gt;&lt;DisplayText&gt;(Zemrak &amp;amp; Petersen 2011)&lt;/DisplayText&gt;&lt;record&gt;&lt;rec-number&gt;100&lt;/rec-number&gt;&lt;foreign-keys&gt;&lt;key app="EN" db-id="pfxxvref0t0a5de2vwnv2fwkz0p9v0r2fw0t" timestamp="1458540980"&gt;100&lt;/key&gt;&lt;/foreign-keys&gt;&lt;ref-type name="Journal Article"&gt;17&lt;/ref-type&gt;&lt;contributors&gt;&lt;authors&gt;&lt;author&gt;Zemrak, F&lt;/author&gt;&lt;author&gt;Petersen, Se&lt;/author&gt;&lt;/authors&gt;&lt;/contributors&gt;&lt;titles&gt;&lt;title&gt;Late gadolinium enhancement CMR predicts adverse cardiovascular outcomes and mortality in patients with coronary artery disease: systematic review and meta-analysis (Provisional abstract)&lt;/title&gt;&lt;secondary-title&gt;Progress in Cardiovascular Diseases&lt;/secondary-title&gt;&lt;/titles&gt;&lt;periodical&gt;&lt;full-title&gt;Progress in Cardiovascular Diseases&lt;/full-title&gt;&lt;/periodical&gt;&lt;pages&gt;215-229&lt;/pages&gt;&lt;volume&gt;54&lt;/volume&gt;&lt;number&gt;3&lt;/number&gt;&lt;keywords&gt;&lt;keyword&gt;Cardiovascular Diseases [etiology] [mortality]&lt;/keyword&gt;&lt;keyword&gt;Contrast Media [diagnostic use]&lt;/keyword&gt;&lt;keyword&gt;Coronary Artery Disease [complications] [diagnosis] [mortality]&lt;/keyword&gt;&lt;keyword&gt;Gadolinium [diagnostic use]&lt;/keyword&gt;&lt;keyword&gt;Magnetic Resonance Imaging&lt;/keyword&gt;&lt;keyword&gt;Predictive Value of Tests&lt;/keyword&gt;&lt;keyword&gt;Prognosis&lt;/keyword&gt;&lt;keyword&gt;Risk Assessment&lt;/keyword&gt;&lt;keyword&gt;Risk Factors&lt;/keyword&gt;&lt;keyword&gt;Severity of Illness Index&lt;/keyword&gt;&lt;keyword&gt;Humans[checkword]&lt;/keyword&gt;&lt;/keywords&gt;&lt;dates&gt;&lt;year&gt;2011&lt;/year&gt;&lt;/dates&gt;&lt;accession-num&gt;DARE-12011007025&lt;/accession-num&gt;&lt;urls&gt;&lt;related-urls&gt;&lt;url&gt;http://onlinelibrary.wiley.com/o/cochrane/cldare/articles/DARE-12011007025/frame.html&lt;/url&gt;&lt;url&gt;http://ac.els-cdn.com/S0033062011001368/1-s2.0-S0033062011001368-main.pdf?_tid=24ff6dd4-09b8-11e5-a3d4-00000aab0f6b&amp;amp;acdnat=1433312400_f6ecf6ac0368e568aae1a912c016241e&lt;/url&gt;&lt;/related-urls&gt;&lt;/urls&gt;&lt;research-notes&gt;Report on this!! Sysrev on prognostic value of CMR&lt;/research-notes&gt;&lt;/record&gt;&lt;/Cite&gt;&lt;/EndNote&gt;</w:instrText>
      </w:r>
      <w:r w:rsidR="00187A29">
        <w:fldChar w:fldCharType="separate"/>
      </w:r>
      <w:r w:rsidR="00187A29">
        <w:rPr>
          <w:noProof/>
        </w:rPr>
        <w:t>(</w:t>
      </w:r>
      <w:hyperlink w:anchor="_ENREF_145" w:tooltip="Zemrak, 2011 #100" w:history="1">
        <w:r w:rsidR="00B906E9">
          <w:rPr>
            <w:noProof/>
          </w:rPr>
          <w:t>Zemrak &amp; Petersen 2011</w:t>
        </w:r>
      </w:hyperlink>
      <w:r w:rsidR="00187A29">
        <w:rPr>
          <w:noProof/>
        </w:rPr>
        <w:t>)</w:t>
      </w:r>
      <w:r w:rsidR="00187A29">
        <w:fldChar w:fldCharType="end"/>
      </w:r>
      <w:r>
        <w:t>,</w:t>
      </w:r>
      <w:r w:rsidRPr="00104234">
        <w:t xml:space="preserve"> </w:t>
      </w:r>
      <w:r>
        <w:t xml:space="preserve">which </w:t>
      </w:r>
      <w:r w:rsidRPr="00B25165">
        <w:t xml:space="preserve">assessed whether LGE-CMR predicted mortality and </w:t>
      </w:r>
      <w:r>
        <w:t xml:space="preserve">adverse cardiac outcomes in patients with CAD, </w:t>
      </w:r>
      <w:r w:rsidRPr="00C36707">
        <w:t xml:space="preserve">reported that </w:t>
      </w:r>
      <w:r>
        <w:t xml:space="preserve">the </w:t>
      </w:r>
      <w:r w:rsidRPr="00C36707">
        <w:t>presence of LGE</w:t>
      </w:r>
      <w:r>
        <w:t xml:space="preserve"> </w:t>
      </w:r>
      <w:r w:rsidRPr="00C36707">
        <w:t>w</w:t>
      </w:r>
      <w:r>
        <w:t>as</w:t>
      </w:r>
      <w:r w:rsidRPr="00C36707">
        <w:t xml:space="preserve"> associated with a </w:t>
      </w:r>
      <w:r>
        <w:t xml:space="preserve">4-fold </w:t>
      </w:r>
      <w:r w:rsidRPr="00C36707">
        <w:t xml:space="preserve">higher probability of dying </w:t>
      </w:r>
      <w:r>
        <w:t xml:space="preserve">or having an </w:t>
      </w:r>
      <w:r w:rsidRPr="00B25165">
        <w:t xml:space="preserve">adverse cardiac </w:t>
      </w:r>
      <w:r>
        <w:t>event</w:t>
      </w:r>
      <w:r w:rsidRPr="00B25165">
        <w:t>.</w:t>
      </w:r>
      <w:r>
        <w:t xml:space="preserve"> This is similar to the increased risk observed in LGE+ compared </w:t>
      </w:r>
      <w:r w:rsidR="00581D64">
        <w:t xml:space="preserve">with </w:t>
      </w:r>
      <w:r>
        <w:t>LGE– NIDCM patients discussed above. Thus, one could hypothesi</w:t>
      </w:r>
      <w:r w:rsidR="00581D64">
        <w:t>s</w:t>
      </w:r>
      <w:r>
        <w:t>e that ICM patients are more likely to suffer an adverse health outcome than NIDCM patients simply due to the greater proportion of LGE+ patients in the ICM group compared with the NIDCM group (85% vs 38%).</w:t>
      </w:r>
    </w:p>
    <w:p w14:paraId="76A2A08A" w14:textId="77777777" w:rsidR="00061768" w:rsidRDefault="00061768" w:rsidP="004C79C1">
      <w:pPr>
        <w:spacing w:after="120" w:line="240" w:lineRule="auto"/>
        <w:sectPr w:rsidR="00061768" w:rsidSect="00A474A9">
          <w:pgSz w:w="11906" w:h="16838"/>
          <w:pgMar w:top="1440" w:right="1440" w:bottom="1440" w:left="1440" w:header="720" w:footer="720" w:gutter="0"/>
          <w:paperSrc w:first="2" w:other="2"/>
          <w:cols w:space="720"/>
        </w:sectPr>
      </w:pPr>
    </w:p>
    <w:p w14:paraId="57F5D168" w14:textId="77777777" w:rsidR="00061768" w:rsidRDefault="00061768" w:rsidP="004C79C1">
      <w:pPr>
        <w:keepNext/>
        <w:spacing w:after="120" w:line="240" w:lineRule="auto"/>
      </w:pPr>
      <w:r>
        <w:rPr>
          <w:noProof/>
        </w:rPr>
        <w:lastRenderedPageBreak/>
        <w:drawing>
          <wp:inline distT="0" distB="0" distL="0" distR="0" wp14:anchorId="62BF4B1F" wp14:editId="7C124537">
            <wp:extent cx="8849025" cy="4608576"/>
            <wp:effectExtent l="0" t="0" r="0" b="1905"/>
            <wp:docPr id="38" name="Picture 38" descr="Forest plot showing the likelihood of DCM patients diagnosed with ICM being LGE+ compared with those diagnosed with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l="2168" t="2988" r="1805" b="1601"/>
                    <a:stretch/>
                  </pic:blipFill>
                  <pic:spPr bwMode="auto">
                    <a:xfrm>
                      <a:off x="0" y="0"/>
                      <a:ext cx="8873956" cy="4621560"/>
                    </a:xfrm>
                    <a:prstGeom prst="rect">
                      <a:avLst/>
                    </a:prstGeom>
                    <a:noFill/>
                    <a:ln>
                      <a:noFill/>
                    </a:ln>
                    <a:extLst>
                      <a:ext uri="{53640926-AAD7-44D8-BBD7-CCE9431645EC}">
                        <a14:shadowObscured xmlns:a14="http://schemas.microsoft.com/office/drawing/2010/main"/>
                      </a:ext>
                    </a:extLst>
                  </pic:spPr>
                </pic:pic>
              </a:graphicData>
            </a:graphic>
          </wp:inline>
        </w:drawing>
      </w:r>
    </w:p>
    <w:p w14:paraId="0C6F659D" w14:textId="77777777" w:rsidR="00061768" w:rsidRDefault="00061768" w:rsidP="004C79C1">
      <w:pPr>
        <w:pStyle w:val="Caption"/>
      </w:pPr>
      <w:bookmarkStart w:id="366" w:name="_Ref445909745"/>
      <w:bookmarkStart w:id="367" w:name="_Toc324410164"/>
      <w:bookmarkStart w:id="368" w:name="_Toc451435468"/>
      <w:r>
        <w:t xml:space="preserve">Figure </w:t>
      </w:r>
      <w:fldSimple w:instr=" SEQ Figure \* ARABIC ">
        <w:r w:rsidR="00050936">
          <w:rPr>
            <w:noProof/>
          </w:rPr>
          <w:t>22</w:t>
        </w:r>
      </w:fldSimple>
      <w:bookmarkEnd w:id="366"/>
      <w:r>
        <w:tab/>
        <w:t>Forest plot showing the likelihood of DCM patients diagnosed with ICM being LGE+ compared with those diagnosed with NIDCM</w:t>
      </w:r>
      <w:bookmarkEnd w:id="367"/>
      <w:bookmarkEnd w:id="368"/>
    </w:p>
    <w:p w14:paraId="289A01EB" w14:textId="56785FE6" w:rsidR="00061768" w:rsidRPr="005408C0" w:rsidRDefault="00061768" w:rsidP="004C79C1">
      <w:pPr>
        <w:pStyle w:val="Tablenotes0"/>
        <w:spacing w:before="0" w:after="120"/>
      </w:pPr>
      <w:bookmarkStart w:id="369" w:name="_Toc324410165"/>
      <w:r w:rsidRPr="005408C0">
        <w:t xml:space="preserve">CI = confidence interval; DCM = dilated cardiomyopathy; Evidence level = NHMRC levels of evidence </w:t>
      </w:r>
      <w:r w:rsidR="00187A29" w:rsidRPr="00254898">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sidRPr="005408C0">
        <w:instrText xml:space="preserve"> ADDIN EN.CITE </w:instrText>
      </w:r>
      <w:r w:rsidR="00187A29" w:rsidRPr="00254898">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sidRPr="005408C0">
        <w:instrText xml:space="preserve"> ADDIN EN.CITE.DATA </w:instrText>
      </w:r>
      <w:r w:rsidR="00187A29" w:rsidRPr="00254898">
        <w:fldChar w:fldCharType="end"/>
      </w:r>
      <w:r w:rsidR="00187A29" w:rsidRPr="00254898">
        <w:fldChar w:fldCharType="separate"/>
      </w:r>
      <w:r w:rsidR="00187A29" w:rsidRPr="005408C0">
        <w:rPr>
          <w:noProof/>
        </w:rPr>
        <w:t>(</w:t>
      </w:r>
      <w:hyperlink w:anchor="_ENREF_82" w:tooltip="Merlin, 2009 #77" w:history="1">
        <w:r w:rsidR="00B906E9" w:rsidRPr="005408C0">
          <w:rPr>
            <w:noProof/>
          </w:rPr>
          <w:t>Merlin, Weston &amp; Tooher 2009</w:t>
        </w:r>
      </w:hyperlink>
      <w:r w:rsidR="00187A29" w:rsidRPr="005408C0">
        <w:rPr>
          <w:noProof/>
        </w:rPr>
        <w:t xml:space="preserve">; </w:t>
      </w:r>
      <w:hyperlink w:anchor="_ENREF_97" w:tooltip="NHMRC, 2000 #78" w:history="1">
        <w:r w:rsidR="00B906E9" w:rsidRPr="005408C0">
          <w:rPr>
            <w:noProof/>
          </w:rPr>
          <w:t>NHMRC 2000</w:t>
        </w:r>
      </w:hyperlink>
      <w:r w:rsidR="00187A29" w:rsidRPr="005408C0">
        <w:rPr>
          <w:noProof/>
        </w:rPr>
        <w:t>)</w:t>
      </w:r>
      <w:r w:rsidR="00187A29" w:rsidRPr="00254898">
        <w:fldChar w:fldCharType="end"/>
      </w:r>
      <w:r w:rsidRPr="005408C0">
        <w:t>; ICM = ischaemic cardiomyopathy; LGE = late gadolinium enhancement; N = number; NIDCM = non-ischaemic dilated cardiomyopathy; RR = relative risk</w:t>
      </w:r>
      <w:bookmarkEnd w:id="369"/>
    </w:p>
    <w:p w14:paraId="37484B98" w14:textId="77777777" w:rsidR="00061768" w:rsidRDefault="00061768" w:rsidP="004C79C1">
      <w:pPr>
        <w:keepNext/>
        <w:spacing w:after="120" w:line="240" w:lineRule="auto"/>
      </w:pPr>
      <w:r>
        <w:rPr>
          <w:noProof/>
        </w:rPr>
        <w:lastRenderedPageBreak/>
        <w:drawing>
          <wp:inline distT="0" distB="0" distL="0" distR="0" wp14:anchorId="429FC88E" wp14:editId="7B4E4F8F">
            <wp:extent cx="8860155" cy="4279392"/>
            <wp:effectExtent l="0" t="0" r="0" b="6985"/>
            <wp:docPr id="39" name="Picture 39" descr="Forest plot showing the RR of having an adverse cardiac event in patients diagnosed with NIDCM compared with those diagnosed with 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8872541" cy="4285374"/>
                    </a:xfrm>
                    <a:prstGeom prst="rect">
                      <a:avLst/>
                    </a:prstGeom>
                    <a:noFill/>
                    <a:ln>
                      <a:noFill/>
                    </a:ln>
                    <a:extLst>
                      <a:ext uri="{53640926-AAD7-44D8-BBD7-CCE9431645EC}">
                        <a14:shadowObscured xmlns:a14="http://schemas.microsoft.com/office/drawing/2010/main"/>
                      </a:ext>
                    </a:extLst>
                  </pic:spPr>
                </pic:pic>
              </a:graphicData>
            </a:graphic>
          </wp:inline>
        </w:drawing>
      </w:r>
    </w:p>
    <w:p w14:paraId="6B88DB09" w14:textId="77777777" w:rsidR="00061768" w:rsidRDefault="00061768" w:rsidP="004C79C1">
      <w:pPr>
        <w:pStyle w:val="Caption"/>
      </w:pPr>
      <w:bookmarkStart w:id="370" w:name="_Ref445909874"/>
      <w:bookmarkStart w:id="371" w:name="_Toc324410166"/>
      <w:bookmarkStart w:id="372" w:name="_Toc451435469"/>
      <w:r w:rsidRPr="00AC0547">
        <w:t xml:space="preserve">Figure </w:t>
      </w:r>
      <w:fldSimple w:instr=" SEQ Figure \* ARABIC ">
        <w:r w:rsidR="00050936" w:rsidRPr="00AC0547">
          <w:rPr>
            <w:noProof/>
          </w:rPr>
          <w:t>23</w:t>
        </w:r>
      </w:fldSimple>
      <w:bookmarkEnd w:id="370"/>
      <w:r w:rsidRPr="00AC0547">
        <w:tab/>
        <w:t>Forest plot showing the RR of having an adverse cardiac event in patients diagnosed with NIDCM compared with those diagnosed with ICM</w:t>
      </w:r>
      <w:bookmarkEnd w:id="371"/>
      <w:bookmarkEnd w:id="372"/>
    </w:p>
    <w:p w14:paraId="7C47D9C8" w14:textId="4DF14FDD" w:rsidR="00061768" w:rsidRPr="00254898" w:rsidRDefault="00061768" w:rsidP="004C79C1">
      <w:pPr>
        <w:pStyle w:val="Tablenotes0"/>
        <w:spacing w:before="0" w:after="120"/>
      </w:pPr>
      <w:bookmarkStart w:id="373" w:name="_Toc324410167"/>
      <w:r w:rsidRPr="00254898">
        <w:t>CI = confidence interval; CRT-D = cardiac resynchroni</w:t>
      </w:r>
      <w:r w:rsidR="008B40ED" w:rsidRPr="00254898">
        <w:t>s</w:t>
      </w:r>
      <w:r w:rsidRPr="00254898">
        <w:t xml:space="preserve">ation therapy device with defibrillation capabilities; Evidence level = NHMRC levels of evidence </w:t>
      </w:r>
      <w:r w:rsidR="00187A29" w:rsidRPr="00254898">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sidRPr="00254898">
        <w:instrText xml:space="preserve"> ADDIN EN.CITE </w:instrText>
      </w:r>
      <w:r w:rsidR="00187A29" w:rsidRPr="00254898">
        <w:fldChar w:fldCharType="begin">
          <w:fldData xml:space="preserve">PEVuZE5vdGU+PENpdGU+PEF1dGhvcj5NZXJsaW48L0F1dGhvcj48WWVhcj4yMDA5PC9ZZWFyPjxS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</w:fldData>
        </w:fldChar>
      </w:r>
      <w:r w:rsidR="00187A29" w:rsidRPr="00254898">
        <w:instrText xml:space="preserve"> ADDIN EN.CITE.DATA </w:instrText>
      </w:r>
      <w:r w:rsidR="00187A29" w:rsidRPr="00254898">
        <w:fldChar w:fldCharType="end"/>
      </w:r>
      <w:r w:rsidR="00187A29" w:rsidRPr="00254898">
        <w:fldChar w:fldCharType="separate"/>
      </w:r>
      <w:r w:rsidR="00187A29" w:rsidRPr="00254898">
        <w:rPr>
          <w:noProof/>
        </w:rPr>
        <w:t>(</w:t>
      </w:r>
      <w:hyperlink w:anchor="_ENREF_82" w:tooltip="Merlin, 2009 #77" w:history="1">
        <w:r w:rsidR="00B906E9" w:rsidRPr="00254898">
          <w:rPr>
            <w:noProof/>
          </w:rPr>
          <w:t>Merlin, Weston &amp; Tooher 2009</w:t>
        </w:r>
      </w:hyperlink>
      <w:r w:rsidR="00187A29" w:rsidRPr="00254898">
        <w:rPr>
          <w:noProof/>
        </w:rPr>
        <w:t xml:space="preserve">; </w:t>
      </w:r>
      <w:hyperlink w:anchor="_ENREF_97" w:tooltip="NHMRC, 2000 #78" w:history="1">
        <w:r w:rsidR="00B906E9" w:rsidRPr="00254898">
          <w:rPr>
            <w:noProof/>
          </w:rPr>
          <w:t>NHMRC 2000</w:t>
        </w:r>
      </w:hyperlink>
      <w:r w:rsidR="00187A29" w:rsidRPr="00254898">
        <w:rPr>
          <w:noProof/>
        </w:rPr>
        <w:t>)</w:t>
      </w:r>
      <w:r w:rsidR="00187A29" w:rsidRPr="00254898">
        <w:fldChar w:fldCharType="end"/>
      </w:r>
      <w:r w:rsidRPr="00254898">
        <w:t xml:space="preserve">; ICD = implantable </w:t>
      </w:r>
      <w:r w:rsidR="0026063B" w:rsidRPr="00254898">
        <w:t>cardioverter defibrillator</w:t>
      </w:r>
      <w:r w:rsidRPr="00254898">
        <w:t>; ICM = ischaemic cardiomyopathy; LGE = late gadolinium enhancement; N = number; NIDCM = non-ischaemic dilated cardiomyopathy; RR = relative risk</w:t>
      </w:r>
      <w:r w:rsidR="00E65F52" w:rsidRPr="00254898">
        <w:t>; SCD = sudden cardiac death</w:t>
      </w:r>
      <w:r w:rsidR="00B04502" w:rsidRPr="00254898">
        <w:t xml:space="preserve">; VA = </w:t>
      </w:r>
      <w:r w:rsidR="00F35C8B" w:rsidRPr="00AC0547">
        <w:t>ventricula</w:t>
      </w:r>
      <w:r w:rsidR="00B04502" w:rsidRPr="00AC0547">
        <w:t xml:space="preserve">r arrhythmia; VT = </w:t>
      </w:r>
      <w:r w:rsidR="00F35C8B" w:rsidRPr="00AC0547">
        <w:t>ventricula</w:t>
      </w:r>
      <w:r w:rsidR="00B04502" w:rsidRPr="00AC0547">
        <w:t>r tachycardia</w:t>
      </w:r>
      <w:bookmarkEnd w:id="373"/>
    </w:p>
    <w:p w14:paraId="6B7AD50D" w14:textId="77777777" w:rsidR="00061768" w:rsidRDefault="00061768" w:rsidP="004C79C1">
      <w:pPr>
        <w:spacing w:after="120" w:line="240" w:lineRule="auto"/>
      </w:pPr>
    </w:p>
    <w:p w14:paraId="624C3640" w14:textId="77777777" w:rsidR="00061768" w:rsidRDefault="00061768" w:rsidP="004C79C1">
      <w:pPr>
        <w:spacing w:after="120" w:line="240" w:lineRule="auto"/>
        <w:sectPr w:rsidR="00061768" w:rsidSect="00A474A9">
          <w:pgSz w:w="16838" w:h="11906" w:orient="landscape"/>
          <w:pgMar w:top="1440" w:right="1440" w:bottom="1440" w:left="1440" w:header="720" w:footer="720" w:gutter="0"/>
          <w:paperSrc w:first="2" w:other="2"/>
          <w:cols w:space="720"/>
          <w:docGrid w:linePitch="299"/>
        </w:sectPr>
      </w:pPr>
    </w:p>
    <w:p w14:paraId="7A75F0DC" w14:textId="5A280CC5" w:rsidR="003F36FF" w:rsidRPr="00C069EC" w:rsidRDefault="003F36FF" w:rsidP="004C79C1">
      <w:pPr>
        <w:pStyle w:val="Heading1"/>
        <w:spacing w:after="120" w:line="240" w:lineRule="auto"/>
      </w:pPr>
      <w:bookmarkStart w:id="374" w:name="_Toc451501330"/>
      <w:r w:rsidRPr="00C069EC">
        <w:lastRenderedPageBreak/>
        <w:t xml:space="preserve">B5 </w:t>
      </w:r>
      <w:r w:rsidR="005062FC">
        <w:tab/>
      </w:r>
      <w:r w:rsidRPr="00C069EC">
        <w:t>Clinical utility</w:t>
      </w:r>
      <w:bookmarkEnd w:id="374"/>
      <w:r w:rsidRPr="00C069EC">
        <w:t xml:space="preserve"> </w:t>
      </w:r>
    </w:p>
    <w:p w14:paraId="19A62BCC" w14:textId="4B6FE7C4" w:rsidR="003F36FF" w:rsidRDefault="003F36FF" w:rsidP="004C79C1">
      <w:pPr>
        <w:spacing w:after="120" w:line="240" w:lineRule="auto"/>
      </w:pPr>
      <w:r w:rsidRPr="002F0DD8">
        <w:t xml:space="preserve">Clinical utility refers to how likely </w:t>
      </w:r>
      <w:r w:rsidR="001B094A">
        <w:t>a</w:t>
      </w:r>
      <w:r w:rsidR="001B094A" w:rsidRPr="002F0DD8">
        <w:t xml:space="preserve"> </w:t>
      </w:r>
      <w:r w:rsidRPr="002F0DD8">
        <w:t>test is to significantly impact on patient management and health outcomes.</w:t>
      </w:r>
    </w:p>
    <w:p w14:paraId="16EAFEF6" w14:textId="4463280E" w:rsidR="003F36FF" w:rsidRDefault="003F36FF" w:rsidP="004C79C1">
      <w:pPr>
        <w:pStyle w:val="Heading2"/>
        <w:spacing w:before="0" w:after="120" w:line="240" w:lineRule="auto"/>
      </w:pPr>
      <w:bookmarkStart w:id="375" w:name="_Toc451501331"/>
      <w:r>
        <w:t>B5.1</w:t>
      </w:r>
      <w:r>
        <w:tab/>
        <w:t xml:space="preserve">Impact on </w:t>
      </w:r>
      <w:r w:rsidR="00B25B25">
        <w:t>C</w:t>
      </w:r>
      <w:r>
        <w:t xml:space="preserve">linical </w:t>
      </w:r>
      <w:r w:rsidR="00B25B25">
        <w:t>M</w:t>
      </w:r>
      <w:r>
        <w:t xml:space="preserve">anagement (Therapeutic </w:t>
      </w:r>
      <w:r w:rsidR="00B25B25">
        <w:t>E</w:t>
      </w:r>
      <w:r>
        <w:t>fficacy)</w:t>
      </w:r>
      <w:bookmarkEnd w:id="375"/>
    </w:p>
    <w:p w14:paraId="01E29EB9" w14:textId="24554EED" w:rsidR="00FD49A2" w:rsidRDefault="003E4875" w:rsidP="00161B88">
      <w:pPr>
        <w:pStyle w:val="Heading3"/>
      </w:pPr>
      <w:bookmarkStart w:id="376" w:name="_Toc451501332"/>
      <w:r>
        <w:t xml:space="preserve">B5.1.1 </w:t>
      </w:r>
      <w:r w:rsidR="00FD49A2">
        <w:t>Literature sources and search strategy</w:t>
      </w:r>
      <w:bookmarkEnd w:id="376"/>
    </w:p>
    <w:p w14:paraId="6DEFD41B" w14:textId="1F738CD1" w:rsidR="00FD49A2" w:rsidRDefault="00FD49A2" w:rsidP="004C79C1">
      <w:pPr>
        <w:spacing w:after="120" w:line="240" w:lineRule="auto"/>
        <w:jc w:val="both"/>
      </w:pPr>
      <w:r>
        <w:t xml:space="preserve">Articles identified in the broad literature search (described in </w:t>
      </w:r>
      <w:r w:rsidR="00A009B7">
        <w:t>s</w:t>
      </w:r>
      <w:r>
        <w:t xml:space="preserve">ection B) were assessed for possible inclusion in the </w:t>
      </w:r>
      <w:r w:rsidR="00795616">
        <w:t>i</w:t>
      </w:r>
      <w:r>
        <w:t xml:space="preserve">mpact on clinical management section by application of the appropriate PICO criteria (see Box 8 and 9 in </w:t>
      </w:r>
      <w:r w:rsidR="00A009B7">
        <w:t>s</w:t>
      </w:r>
      <w:r>
        <w:t xml:space="preserve">ection </w:t>
      </w:r>
      <w:r>
        <w:fldChar w:fldCharType="begin"/>
      </w:r>
      <w:r>
        <w:instrText xml:space="preserve"> REF _Ref446497352 \r \h </w:instrText>
      </w:r>
      <w:r>
        <w:fldChar w:fldCharType="separate"/>
      </w:r>
      <w:r w:rsidR="00460601">
        <w:t>A9</w:t>
      </w:r>
      <w:r>
        <w:fldChar w:fldCharType="end"/>
      </w:r>
      <w:r>
        <w:t xml:space="preserve">). Additional articles were pearled or found to have possibly relevant data when assessed for inclusion in other sections. </w:t>
      </w:r>
    </w:p>
    <w:p w14:paraId="3F6E7B3C" w14:textId="2EEDEA52" w:rsidR="00FD49A2" w:rsidRDefault="00FD49A2" w:rsidP="00161B88">
      <w:pPr>
        <w:pStyle w:val="Heading4"/>
      </w:pPr>
      <w:r>
        <w:t>Results of literature search</w:t>
      </w:r>
    </w:p>
    <w:p w14:paraId="0C7A95C6" w14:textId="78430EB2" w:rsidR="00FD49A2" w:rsidRDefault="00FD49A2" w:rsidP="004C79C1">
      <w:pPr>
        <w:spacing w:after="120" w:line="240" w:lineRule="auto"/>
        <w:jc w:val="both"/>
      </w:pPr>
      <w:r w:rsidRPr="007B11B0">
        <w:t xml:space="preserve">The PRISMA flowchart in </w:t>
      </w:r>
      <w:r w:rsidRPr="007B11B0">
        <w:fldChar w:fldCharType="begin"/>
      </w:r>
      <w:r w:rsidRPr="007B11B0">
        <w:instrText xml:space="preserve"> REF _Ref446497446 \h </w:instrText>
      </w:r>
      <w:r w:rsidR="007B11B0">
        <w:instrText xml:space="preserve"> \* MERGEFORMAT </w:instrText>
      </w:r>
      <w:r w:rsidRPr="007B11B0">
        <w:fldChar w:fldCharType="separate"/>
      </w:r>
      <w:r w:rsidR="00D54939" w:rsidRPr="007B11B0">
        <w:rPr>
          <w:bCs/>
        </w:rPr>
        <w:t xml:space="preserve">Figure </w:t>
      </w:r>
      <w:r w:rsidR="00D54939" w:rsidRPr="007B11B0">
        <w:rPr>
          <w:noProof/>
        </w:rPr>
        <w:t>24</w:t>
      </w:r>
      <w:r w:rsidRPr="007B11B0">
        <w:fldChar w:fldCharType="end"/>
      </w:r>
      <w:r w:rsidRPr="007B11B0">
        <w:t xml:space="preserve"> provides a summary of the process of selection and exclusion of</w:t>
      </w:r>
      <w:r>
        <w:t xml:space="preserve"> studies for evidence of the impact of CMR on the clinical management of patients indicated for DCM. </w:t>
      </w:r>
    </w:p>
    <w:p w14:paraId="55D092C3" w14:textId="77777777" w:rsidR="00FD49A2" w:rsidRDefault="00FD49A2" w:rsidP="004C79C1">
      <w:pPr>
        <w:spacing w:after="120" w:line="240" w:lineRule="auto"/>
      </w:pPr>
    </w:p>
    <w:p w14:paraId="3D9B27C5" w14:textId="3E87277D" w:rsidR="00FD49A2" w:rsidRDefault="00135BFE" w:rsidP="004C79C1">
      <w:pPr>
        <w:pStyle w:val="TableHeading"/>
        <w:spacing w:before="0" w:after="120"/>
        <w:ind w:left="992" w:hanging="992"/>
      </w:pPr>
      <w:r>
        <w:rPr>
          <w:noProof/>
        </w:rPr>
        <w:lastRenderedPageBreak/>
        <w:drawing>
          <wp:inline distT="0" distB="0" distL="0" distR="0" wp14:anchorId="6202CE8F" wp14:editId="247589D1">
            <wp:extent cx="5652135" cy="5261263"/>
            <wp:effectExtent l="0" t="0" r="5715" b="0"/>
            <wp:docPr id="23" name="Picture 23" descr="Summary of the process used to identify and select studies for the assessment of the impact of CMR on clinical management of patients suspected of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SMA CIM.png"/>
                    <pic:cNvPicPr/>
                  </pic:nvPicPr>
                  <pic:blipFill>
                    <a:blip r:embed="rId49">
                      <a:extLst>
                        <a:ext uri="{28A0092B-C50C-407E-A947-70E740481C1C}">
                          <a14:useLocalDpi xmlns:a14="http://schemas.microsoft.com/office/drawing/2010/main" val="0"/>
                        </a:ext>
                      </a:extLst>
                    </a:blip>
                    <a:stretch>
                      <a:fillRect/>
                    </a:stretch>
                  </pic:blipFill>
                  <pic:spPr>
                    <a:xfrm>
                      <a:off x="0" y="0"/>
                      <a:ext cx="5653346" cy="5262390"/>
                    </a:xfrm>
                    <a:prstGeom prst="rect">
                      <a:avLst/>
                    </a:prstGeom>
                  </pic:spPr>
                </pic:pic>
              </a:graphicData>
            </a:graphic>
          </wp:inline>
        </w:drawing>
      </w:r>
    </w:p>
    <w:p w14:paraId="4551BF4F" w14:textId="0BEBEF4A" w:rsidR="00FD49A2" w:rsidRPr="00A35152" w:rsidRDefault="00FD49A2" w:rsidP="004C79C1">
      <w:pPr>
        <w:pStyle w:val="Caption"/>
      </w:pPr>
      <w:bookmarkStart w:id="377" w:name="_Ref446497446"/>
      <w:bookmarkStart w:id="378" w:name="_Toc324410168"/>
      <w:bookmarkStart w:id="379" w:name="_Toc451435470"/>
      <w:r w:rsidRPr="007B11B0">
        <w:t xml:space="preserve">Figure </w:t>
      </w:r>
      <w:fldSimple w:instr=" SEQ Figure \* ARABIC ">
        <w:r w:rsidR="00050936" w:rsidRPr="007B11B0">
          <w:rPr>
            <w:noProof/>
          </w:rPr>
          <w:t>24</w:t>
        </w:r>
      </w:fldSimple>
      <w:bookmarkEnd w:id="377"/>
      <w:r w:rsidRPr="007B11B0">
        <w:t xml:space="preserve"> </w:t>
      </w:r>
      <w:r w:rsidRPr="007B11B0">
        <w:tab/>
        <w:t>Summary of the process used to identify and select studies for the assessment of the impact of CMR</w:t>
      </w:r>
      <w:r w:rsidRPr="00A35152">
        <w:t xml:space="preserve"> </w:t>
      </w:r>
      <w:r>
        <w:t>on clinical management of</w:t>
      </w:r>
      <w:r w:rsidRPr="00A35152">
        <w:t xml:space="preserve"> patients suspected of DCM</w:t>
      </w:r>
      <w:bookmarkEnd w:id="378"/>
      <w:bookmarkEnd w:id="379"/>
    </w:p>
    <w:p w14:paraId="1764653A" w14:textId="5C7C25EB" w:rsidR="00D24BFD" w:rsidRPr="0072472E" w:rsidRDefault="00D24BFD" w:rsidP="004C79C1">
      <w:pPr>
        <w:pStyle w:val="Tablenotes0"/>
        <w:spacing w:before="0" w:after="120"/>
      </w:pPr>
      <w:r w:rsidRPr="00423B4F">
        <w:t xml:space="preserve">CMR = </w:t>
      </w:r>
      <w:r w:rsidRPr="000F6251">
        <w:t xml:space="preserve">cardiac magnetic resonance </w:t>
      </w:r>
      <w:r w:rsidR="00555DDC">
        <w:t>(</w:t>
      </w:r>
      <w:r w:rsidR="00555DDC" w:rsidRPr="00FA186D">
        <w:t>imaging</w:t>
      </w:r>
      <w:r w:rsidR="00555DDC">
        <w:t>)</w:t>
      </w:r>
      <w:r w:rsidRPr="00423B4F">
        <w:t xml:space="preserve">; DCM = </w:t>
      </w:r>
      <w:r w:rsidRPr="000F6251">
        <w:t>dilated cardiomyopathy</w:t>
      </w:r>
    </w:p>
    <w:p w14:paraId="663D3D5D" w14:textId="1C817250" w:rsidR="00FD49A2" w:rsidRDefault="00FD49A2" w:rsidP="004C79C1">
      <w:pPr>
        <w:spacing w:after="120" w:line="240" w:lineRule="auto"/>
        <w:jc w:val="both"/>
      </w:pPr>
      <w:r>
        <w:t xml:space="preserve">The characteristics of the included studies are summarised in </w:t>
      </w:r>
      <w:r>
        <w:fldChar w:fldCharType="begin"/>
      </w:r>
      <w:r>
        <w:instrText xml:space="preserve"> REF _Ref445366910 \h  \* MERGEFORMAT </w:instrText>
      </w:r>
      <w:r>
        <w:fldChar w:fldCharType="separate"/>
      </w:r>
      <w:r w:rsidR="007B11B0" w:rsidRPr="00401C93">
        <w:t xml:space="preserve">Table </w:t>
      </w:r>
      <w:r w:rsidR="007B11B0">
        <w:rPr>
          <w:noProof/>
        </w:rPr>
        <w:t>17</w:t>
      </w:r>
      <w:r>
        <w:fldChar w:fldCharType="end"/>
      </w:r>
      <w:r>
        <w:t xml:space="preserve">, and full study profiles can be </w:t>
      </w:r>
      <w:r w:rsidRPr="007B6EB4">
        <w:t xml:space="preserve">found in </w:t>
      </w:r>
      <w:r w:rsidR="00546E68">
        <w:fldChar w:fldCharType="begin"/>
      </w:r>
      <w:r w:rsidR="00546E68">
        <w:instrText xml:space="preserve"> REF _Ref451332674 \h </w:instrText>
      </w:r>
      <w:r w:rsidR="00546E68">
        <w:fldChar w:fldCharType="separate"/>
      </w:r>
      <w:r w:rsidR="00546E68">
        <w:t xml:space="preserve">Table </w:t>
      </w:r>
      <w:r w:rsidR="00546E68">
        <w:rPr>
          <w:noProof/>
        </w:rPr>
        <w:t>81</w:t>
      </w:r>
      <w:r w:rsidR="00546E68">
        <w:fldChar w:fldCharType="end"/>
      </w:r>
      <w:r w:rsidRPr="005E5A24">
        <w:t xml:space="preserve">, Appendix </w:t>
      </w:r>
      <w:r w:rsidRPr="00AD7237">
        <w:t>C</w:t>
      </w:r>
      <w:r w:rsidRPr="007B6EB4">
        <w:t xml:space="preserve">. Studies </w:t>
      </w:r>
      <w:r w:rsidR="006763BB">
        <w:t>that</w:t>
      </w:r>
      <w:r w:rsidR="006763BB" w:rsidRPr="007B6EB4">
        <w:t xml:space="preserve"> </w:t>
      </w:r>
      <w:r w:rsidRPr="007B6EB4">
        <w:t>were considered to be possibl</w:t>
      </w:r>
      <w:r w:rsidR="006763BB">
        <w:t>y</w:t>
      </w:r>
      <w:r w:rsidRPr="007B6EB4">
        <w:t xml:space="preserve"> include</w:t>
      </w:r>
      <w:r w:rsidR="006763BB">
        <w:t>d</w:t>
      </w:r>
      <w:r w:rsidRPr="007B6EB4">
        <w:t xml:space="preserve"> but</w:t>
      </w:r>
      <w:r>
        <w:t xml:space="preserve"> </w:t>
      </w:r>
      <w:r w:rsidR="006763BB">
        <w:t xml:space="preserve">were </w:t>
      </w:r>
      <w:r>
        <w:t xml:space="preserve">subsequently excluded are listed in </w:t>
      </w:r>
      <w:r w:rsidRPr="00FD49A2">
        <w:t>Appendix E.</w:t>
      </w:r>
    </w:p>
    <w:p w14:paraId="5043F2A4" w14:textId="1C2CC6D7" w:rsidR="003F36FF" w:rsidRDefault="00D864CE" w:rsidP="00161B88">
      <w:pPr>
        <w:pStyle w:val="Heading3"/>
      </w:pPr>
      <w:bookmarkStart w:id="380" w:name="_Toc451501333"/>
      <w:r>
        <w:t xml:space="preserve">B5.1.2 </w:t>
      </w:r>
      <w:r w:rsidR="003F36FF" w:rsidRPr="00183E4D">
        <w:t xml:space="preserve">Risk of </w:t>
      </w:r>
      <w:r w:rsidR="00B25B25">
        <w:t>b</w:t>
      </w:r>
      <w:r w:rsidR="003F36FF" w:rsidRPr="00183E4D">
        <w:t xml:space="preserve">ias </w:t>
      </w:r>
      <w:r w:rsidR="00B25B25">
        <w:t>a</w:t>
      </w:r>
      <w:r w:rsidR="003F36FF" w:rsidRPr="00183E4D">
        <w:t>ssessment</w:t>
      </w:r>
      <w:bookmarkEnd w:id="380"/>
    </w:p>
    <w:p w14:paraId="3E4CFCA5" w14:textId="36865FB5" w:rsidR="003F36FF" w:rsidRDefault="003F36FF" w:rsidP="004C79C1">
      <w:pPr>
        <w:spacing w:after="120" w:line="240" w:lineRule="auto"/>
        <w:jc w:val="both"/>
      </w:pPr>
      <w:r>
        <w:t xml:space="preserve">The </w:t>
      </w:r>
      <w:r w:rsidR="006763BB">
        <w:t>i</w:t>
      </w:r>
      <w:r>
        <w:t>mpact on clinical management of a diagnostic test is the second step of linked evidence. It is assessed in order to determine whether management of the DCM population would change should CMR replace a less accurate test in use or be added to current practice.</w:t>
      </w:r>
    </w:p>
    <w:p w14:paraId="2A850F99" w14:textId="20B146E2" w:rsidR="003F36FF" w:rsidRPr="00012326" w:rsidRDefault="003F36FF" w:rsidP="004C79C1">
      <w:pPr>
        <w:spacing w:after="120" w:line="240" w:lineRule="auto"/>
        <w:jc w:val="both"/>
      </w:pPr>
      <w:r w:rsidRPr="00810BD3">
        <w:t xml:space="preserve">A summary </w:t>
      </w:r>
      <w:r>
        <w:t>of</w:t>
      </w:r>
      <w:r w:rsidRPr="00810BD3">
        <w:t xml:space="preserve"> included studies for </w:t>
      </w:r>
      <w:r w:rsidR="001101BB">
        <w:t>i</w:t>
      </w:r>
      <w:r w:rsidRPr="00810BD3">
        <w:t xml:space="preserve">mpact on clinical management, </w:t>
      </w:r>
      <w:r>
        <w:t xml:space="preserve">including </w:t>
      </w:r>
      <w:r w:rsidRPr="00810BD3">
        <w:t>their study design and duration and risk of bias</w:t>
      </w:r>
      <w:r w:rsidR="00474FF3">
        <w:t>,</w:t>
      </w:r>
      <w:r w:rsidRPr="00810BD3">
        <w:t xml:space="preserve"> is </w:t>
      </w:r>
      <w:r w:rsidR="001101BB">
        <w:t xml:space="preserve">provided </w:t>
      </w:r>
      <w:r w:rsidRPr="00810BD3">
        <w:t xml:space="preserve">in </w:t>
      </w:r>
      <w:r>
        <w:rPr>
          <w:highlight w:val="yellow"/>
        </w:rPr>
        <w:fldChar w:fldCharType="begin"/>
      </w:r>
      <w:r>
        <w:instrText xml:space="preserve"> REF _Ref445366910 \h </w:instrText>
      </w:r>
      <w:r>
        <w:rPr>
          <w:highlight w:val="yellow"/>
        </w:rPr>
      </w:r>
      <w:r>
        <w:rPr>
          <w:highlight w:val="yellow"/>
        </w:rPr>
        <w:fldChar w:fldCharType="separate"/>
      </w:r>
      <w:r w:rsidR="00546E68" w:rsidRPr="00401C93">
        <w:t xml:space="preserve">Table </w:t>
      </w:r>
      <w:r w:rsidR="00546E68">
        <w:rPr>
          <w:noProof/>
        </w:rPr>
        <w:t>17</w:t>
      </w:r>
      <w:r>
        <w:rPr>
          <w:highlight w:val="yellow"/>
        </w:rPr>
        <w:fldChar w:fldCharType="end"/>
      </w:r>
      <w:r w:rsidRPr="00810BD3">
        <w:t>.</w:t>
      </w:r>
    </w:p>
    <w:p w14:paraId="4DB42943" w14:textId="50CDFFBC" w:rsidR="003F36FF" w:rsidRDefault="003F36FF" w:rsidP="004C79C1">
      <w:pPr>
        <w:spacing w:after="120" w:line="240" w:lineRule="auto"/>
        <w:jc w:val="both"/>
      </w:pPr>
      <w:r>
        <w:t xml:space="preserve">One of the </w:t>
      </w:r>
      <w:r w:rsidR="001101BB">
        <w:t>4</w:t>
      </w:r>
      <w:r w:rsidR="001101BB" w:rsidRPr="00012326">
        <w:t xml:space="preserve"> </w:t>
      </w:r>
      <w:r w:rsidRPr="00012326">
        <w:t xml:space="preserve">studies included for evidence on patient management </w:t>
      </w:r>
      <w:r>
        <w:t xml:space="preserve">was a cohort study </w:t>
      </w:r>
      <w:r w:rsidR="00474FF3">
        <w:t>(</w:t>
      </w:r>
      <w:r>
        <w:t>rated level III-2 interventional evidence</w:t>
      </w:r>
      <w:r w:rsidR="00474FF3">
        <w:t>)</w:t>
      </w:r>
      <w:r>
        <w:t xml:space="preserve"> </w:t>
      </w:r>
      <w:r w:rsidR="00187A29">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instrText xml:space="preserve"> ADDIN EN.CITE </w:instrText>
      </w:r>
      <w:r w:rsidR="00187A29">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instrText xml:space="preserve"> ADDIN EN.CITE.DATA </w:instrText>
      </w:r>
      <w:r w:rsidR="00187A29">
        <w:fldChar w:fldCharType="end"/>
      </w:r>
      <w:r w:rsidR="00187A29">
        <w:fldChar w:fldCharType="separate"/>
      </w:r>
      <w:r w:rsidR="00187A29">
        <w:rPr>
          <w:noProof/>
        </w:rPr>
        <w:t>(</w:t>
      </w:r>
      <w:hyperlink w:anchor="_ENREF_14" w:tooltip="Broch, 2015 #107" w:history="1">
        <w:r w:rsidR="00B906E9">
          <w:rPr>
            <w:noProof/>
          </w:rPr>
          <w:t>Broch et al. 2015</w:t>
        </w:r>
      </w:hyperlink>
      <w:r w:rsidR="00187A29">
        <w:rPr>
          <w:noProof/>
        </w:rPr>
        <w:t>)</w:t>
      </w:r>
      <w:r w:rsidR="00187A29">
        <w:fldChar w:fldCharType="end"/>
      </w:r>
      <w:r>
        <w:t xml:space="preserve">, and </w:t>
      </w:r>
      <w:r w:rsidR="001101BB">
        <w:t xml:space="preserve">3 </w:t>
      </w:r>
      <w:r>
        <w:t>were</w:t>
      </w:r>
      <w:r w:rsidRPr="00012326">
        <w:t xml:space="preserve"> case series (</w:t>
      </w:r>
      <w:r w:rsidR="00474FF3">
        <w:t xml:space="preserve">rated </w:t>
      </w:r>
      <w:r w:rsidRPr="00012326">
        <w:t>level IV</w:t>
      </w:r>
      <w:r>
        <w:t xml:space="preserve"> interventional evidence</w:t>
      </w:r>
      <w:r w:rsidRPr="00012326">
        <w:t>) with pre</w:t>
      </w:r>
      <w:r w:rsidR="001101BB">
        <w:t>-</w:t>
      </w:r>
      <w:r w:rsidRPr="00012326">
        <w:t xml:space="preserve"> and post-test outcomes assessed prospectively</w:t>
      </w:r>
      <w:r>
        <w:t xml:space="preserve"> </w:t>
      </w:r>
      <w:r w:rsidRPr="00BF1B13">
        <w:fldChar w:fldCharType="begin">
          <w:fldData xml:space="preserve">PEVuZE5vdGU+PENpdGU+PEF1dGhvcj5BYmFzc2kgU0E8L0F1dGhvcj48WWVhcj4yMDEzPC9ZZWFy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</w:fldData>
        </w:fldChar>
      </w:r>
      <w:r w:rsidR="00187A29" w:rsidRPr="007B6EB4">
        <w:instrText xml:space="preserve"> ADDIN EN.CITE </w:instrText>
      </w:r>
      <w:r w:rsidR="00187A29" w:rsidRPr="00AD7237">
        <w:fldChar w:fldCharType="begin">
          <w:fldData xml:space="preserve">PEVuZE5vdGU+PENpdGU+PEF1dGhvcj5BYmFzc2kgU0E8L0F1dGhvcj48WWVhcj4yMDEzPC9ZZWFy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</w:fldData>
        </w:fldChar>
      </w:r>
      <w:r w:rsidR="00187A29" w:rsidRPr="007B6EB4">
        <w:instrText xml:space="preserve"> ADDIN EN.CITE.DATA </w:instrText>
      </w:r>
      <w:r w:rsidR="00187A29" w:rsidRPr="00AD7237">
        <w:fldChar w:fldCharType="end"/>
      </w:r>
      <w:r w:rsidRPr="00BF1B13">
        <w:fldChar w:fldCharType="separate"/>
      </w:r>
      <w:r w:rsidR="00187A29" w:rsidRPr="007B6EB4">
        <w:rPr>
          <w:noProof/>
        </w:rPr>
        <w:t>(</w:t>
      </w:r>
      <w:hyperlink w:anchor="_ENREF_1" w:tooltip="Abassi SA, 2013 #106" w:history="1">
        <w:r w:rsidR="00B906E9" w:rsidRPr="007B6EB4">
          <w:rPr>
            <w:noProof/>
          </w:rPr>
          <w:t>Abassi et al. 2013</w:t>
        </w:r>
      </w:hyperlink>
      <w:r w:rsidR="00187A29" w:rsidRPr="007B6EB4">
        <w:rPr>
          <w:noProof/>
        </w:rPr>
        <w:t xml:space="preserve">; </w:t>
      </w:r>
      <w:hyperlink w:anchor="_ENREF_14" w:tooltip="Broch, 2015 #107" w:history="1">
        <w:r w:rsidR="00B906E9" w:rsidRPr="007B6EB4">
          <w:rPr>
            <w:noProof/>
          </w:rPr>
          <w:t>Broch et al. 2015</w:t>
        </w:r>
      </w:hyperlink>
      <w:r w:rsidR="00187A29" w:rsidRPr="007B6EB4">
        <w:rPr>
          <w:noProof/>
        </w:rPr>
        <w:t xml:space="preserve">; </w:t>
      </w:r>
      <w:hyperlink w:anchor="_ENREF_15" w:tooltip="Bruder O, 2009 #108" w:history="1">
        <w:r w:rsidR="00B906E9" w:rsidRPr="007B6EB4">
          <w:rPr>
            <w:noProof/>
          </w:rPr>
          <w:t>Bruder et al. 2009</w:t>
        </w:r>
      </w:hyperlink>
      <w:r w:rsidR="00187A29" w:rsidRPr="007B6EB4">
        <w:rPr>
          <w:noProof/>
        </w:rPr>
        <w:t xml:space="preserve">; </w:t>
      </w:r>
      <w:hyperlink w:anchor="_ENREF_126" w:tooltip="Taylor AJ, 2013 #109" w:history="1">
        <w:r w:rsidR="00B906E9" w:rsidRPr="007B6EB4">
          <w:rPr>
            <w:noProof/>
          </w:rPr>
          <w:t>Taylor</w:t>
        </w:r>
        <w:r w:rsidR="00DB55CA">
          <w:rPr>
            <w:noProof/>
          </w:rPr>
          <w:t>,</w:t>
        </w:r>
        <w:r w:rsidR="00B906E9" w:rsidRPr="007B6EB4">
          <w:rPr>
            <w:noProof/>
          </w:rPr>
          <w:t xml:space="preserve"> AJ et al. 2013</w:t>
        </w:r>
      </w:hyperlink>
      <w:r w:rsidR="00187A29" w:rsidRPr="007B6EB4">
        <w:rPr>
          <w:noProof/>
        </w:rPr>
        <w:t>)</w:t>
      </w:r>
      <w:r w:rsidRPr="00BF1B13">
        <w:fldChar w:fldCharType="end"/>
      </w:r>
      <w:r w:rsidRPr="007B6EB4">
        <w:t>. The cohort study was assessed using the SI</w:t>
      </w:r>
      <w:r w:rsidR="005F7B5A" w:rsidRPr="007B6EB4">
        <w:t xml:space="preserve">GN </w:t>
      </w:r>
      <w:r w:rsidR="005F7B5A" w:rsidRPr="007B6EB4">
        <w:lastRenderedPageBreak/>
        <w:t>checklist for cohort studies (</w:t>
      </w:r>
      <w:r w:rsidR="00F70656">
        <w:fldChar w:fldCharType="begin"/>
      </w:r>
      <w:r w:rsidR="00F70656">
        <w:instrText xml:space="preserve"> REF _Ref451332674 \h </w:instrText>
      </w:r>
      <w:r w:rsidR="00F70656">
        <w:fldChar w:fldCharType="separate"/>
      </w:r>
      <w:r w:rsidR="00F70656">
        <w:t xml:space="preserve">Table </w:t>
      </w:r>
      <w:r w:rsidR="00F70656">
        <w:rPr>
          <w:noProof/>
        </w:rPr>
        <w:t>81</w:t>
      </w:r>
      <w:r w:rsidR="00F70656">
        <w:fldChar w:fldCharType="end"/>
      </w:r>
      <w:r w:rsidRPr="00AD7237">
        <w:t>, Appendix C)</w:t>
      </w:r>
      <w:r w:rsidRPr="007B6EB4">
        <w:t xml:space="preserve"> and was rated as high quality (low risk of bias). The participants of the cohort underwent a range of tests including CMR</w:t>
      </w:r>
      <w:r w:rsidR="00B0529A">
        <w:t>,</w:t>
      </w:r>
      <w:r w:rsidRPr="007B6EB4">
        <w:t xml:space="preserve"> and consequently provided within</w:t>
      </w:r>
      <w:r w:rsidR="00B0529A">
        <w:t>-</w:t>
      </w:r>
      <w:r w:rsidRPr="007B6EB4">
        <w:t xml:space="preserve">patient controls </w:t>
      </w:r>
      <w:r w:rsidR="00B0529A">
        <w:t>that</w:t>
      </w:r>
      <w:r w:rsidR="00B0529A" w:rsidRPr="007B6EB4">
        <w:t xml:space="preserve"> </w:t>
      </w:r>
      <w:r w:rsidRPr="007B6EB4">
        <w:t xml:space="preserve">minimised bias. </w:t>
      </w:r>
      <w:r w:rsidRPr="00BE7769">
        <w:t>The</w:t>
      </w:r>
      <w:r w:rsidRPr="004268BA">
        <w:t xml:space="preserve"> case series were assessed for quality and bias using the NHLBI Quality Assessment Tool f</w:t>
      </w:r>
      <w:r w:rsidRPr="00116D11">
        <w:t>or Case Series Studies</w:t>
      </w:r>
      <w:r w:rsidR="00B0529A">
        <w:t>,</w:t>
      </w:r>
      <w:r w:rsidRPr="00116D11">
        <w:t xml:space="preserve"> and were all rated as low risk of bias using an adapted scoring system of the tool</w:t>
      </w:r>
      <w:r w:rsidRPr="00AD7237">
        <w:t xml:space="preserve"> </w:t>
      </w:r>
      <w:r w:rsidR="001B7914">
        <w:t>(</w:t>
      </w:r>
      <w:r w:rsidR="001B7914">
        <w:fldChar w:fldCharType="begin"/>
      </w:r>
      <w:r w:rsidR="001B7914">
        <w:instrText xml:space="preserve"> REF _Ref451332674 \h </w:instrText>
      </w:r>
      <w:r w:rsidR="001B7914">
        <w:fldChar w:fldCharType="separate"/>
      </w:r>
      <w:r w:rsidR="001B7914">
        <w:t xml:space="preserve">Table </w:t>
      </w:r>
      <w:r w:rsidR="001B7914">
        <w:rPr>
          <w:noProof/>
        </w:rPr>
        <w:t>81</w:t>
      </w:r>
      <w:r w:rsidR="001B7914">
        <w:fldChar w:fldCharType="end"/>
      </w:r>
      <w:r w:rsidR="001B7914">
        <w:t xml:space="preserve">, </w:t>
      </w:r>
      <w:r w:rsidRPr="00AD7237">
        <w:t>Appendix C</w:t>
      </w:r>
      <w:r w:rsidRPr="007B6EB4">
        <w:t xml:space="preserve">). A GRADE assessment was performed for each outcome </w:t>
      </w:r>
      <w:r w:rsidR="00521084" w:rsidRPr="00BF1B13">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521084" w:rsidRPr="007B6EB4">
        <w:instrText xml:space="preserve"> ADDIN EN.CITE </w:instrText>
      </w:r>
      <w:r w:rsidR="00521084" w:rsidRPr="00AD7237">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521084" w:rsidRPr="007B6EB4">
        <w:instrText xml:space="preserve"> ADDIN EN.CITE.DATA </w:instrText>
      </w:r>
      <w:r w:rsidR="00521084" w:rsidRPr="00AD7237">
        <w:fldChar w:fldCharType="end"/>
      </w:r>
      <w:r w:rsidR="00521084" w:rsidRPr="00BF1B13">
        <w:fldChar w:fldCharType="separate"/>
      </w:r>
      <w:r w:rsidR="00521084" w:rsidRPr="007B6EB4">
        <w:rPr>
          <w:noProof/>
        </w:rPr>
        <w:t>(</w:t>
      </w:r>
      <w:hyperlink w:anchor="_ENREF_48" w:tooltip="Guyatt, 2011 #123" w:history="1">
        <w:r w:rsidR="00B906E9" w:rsidRPr="007B6EB4">
          <w:rPr>
            <w:noProof/>
          </w:rPr>
          <w:t>Guyatt et al. 2011</w:t>
        </w:r>
      </w:hyperlink>
      <w:r w:rsidR="00521084" w:rsidRPr="007B6EB4">
        <w:rPr>
          <w:noProof/>
        </w:rPr>
        <w:t>)</w:t>
      </w:r>
      <w:r w:rsidR="00521084" w:rsidRPr="00BF1B13">
        <w:fldChar w:fldCharType="end"/>
      </w:r>
      <w:r w:rsidRPr="007B6EB4">
        <w:t>.</w:t>
      </w:r>
    </w:p>
    <w:p w14:paraId="4EEF554D" w14:textId="2FDC78B9" w:rsidR="00AD7237" w:rsidRDefault="003F36FF" w:rsidP="004C79C1">
      <w:pPr>
        <w:spacing w:after="120" w:line="240" w:lineRule="auto"/>
        <w:jc w:val="both"/>
      </w:pPr>
      <w:r w:rsidRPr="00012326">
        <w:t>All studies reported a clear objective, a full description of the study population and intervention, outcome measures and statistical methods.</w:t>
      </w:r>
      <w:r>
        <w:t xml:space="preserve"> Three of the </w:t>
      </w:r>
      <w:r w:rsidR="00B0529A">
        <w:t>4</w:t>
      </w:r>
      <w:r w:rsidR="00B0529A" w:rsidRPr="00012326">
        <w:t xml:space="preserve"> </w:t>
      </w:r>
      <w:r w:rsidRPr="00012326">
        <w:t xml:space="preserve">studies reported that they recruited consecutive patients. One study </w:t>
      </w:r>
      <w:r w:rsidRPr="00012326">
        <w:fldChar w:fldCharType="begin"/>
      </w:r>
      <w:r w:rsidR="00187A29">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rsidRPr="00012326">
        <w:fldChar w:fldCharType="separate"/>
      </w:r>
      <w:r w:rsidRPr="00012326">
        <w:rPr>
          <w:noProof/>
        </w:rPr>
        <w:t>(</w:t>
      </w:r>
      <w:hyperlink w:anchor="_ENREF_1" w:tooltip="Abassi SA, 2013 #106" w:history="1">
        <w:r w:rsidR="00B906E9" w:rsidRPr="00012326">
          <w:rPr>
            <w:noProof/>
          </w:rPr>
          <w:t>Abassi et al. 2013</w:t>
        </w:r>
      </w:hyperlink>
      <w:r w:rsidRPr="00012326">
        <w:rPr>
          <w:noProof/>
        </w:rPr>
        <w:t>)</w:t>
      </w:r>
      <w:r w:rsidRPr="00012326">
        <w:fldChar w:fldCharType="end"/>
      </w:r>
      <w:r w:rsidRPr="00012326">
        <w:t xml:space="preserve"> acknowledged a limitation in patient selection, claiming that clinicians were likely to have selected patients who would benefit from CMR. Two of the studies did not include a follow-up period after CMR </w:t>
      </w:r>
      <w:r w:rsidR="007035C7">
        <w:t>ha</w:t>
      </w:r>
      <w:r w:rsidR="00B0529A">
        <w:t>d been</w:t>
      </w:r>
      <w:r w:rsidR="00B0529A" w:rsidRPr="00012326">
        <w:t xml:space="preserve"> </w:t>
      </w:r>
      <w:r w:rsidRPr="00012326">
        <w:t xml:space="preserve">performed </w:t>
      </w:r>
      <w:r w:rsidRPr="00012326">
        <w:fldChar w:fldCharType="begin">
          <w:fldData xml:space="preserve">PEVuZE5vdGU+PENpdGU+PEF1dGhvcj5CcnVkZXIgTzwvQXV0aG9yPjxZZWFyPjIwMDk8L1llYXI+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</w:fldData>
        </w:fldChar>
      </w:r>
      <w:r w:rsidR="00187A29">
        <w:instrText xml:space="preserve"> ADDIN EN.CITE </w:instrText>
      </w:r>
      <w:r w:rsidR="00187A29">
        <w:fldChar w:fldCharType="begin">
          <w:fldData xml:space="preserve">PEVuZE5vdGU+PENpdGU+PEF1dGhvcj5CcnVkZXIgTzwvQXV0aG9yPjxZZWFyPjIwMDk8L1llYXI+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</w:fldData>
        </w:fldChar>
      </w:r>
      <w:r w:rsidR="00187A29">
        <w:instrText xml:space="preserve"> ADDIN EN.CITE.DATA </w:instrText>
      </w:r>
      <w:r w:rsidR="00187A29">
        <w:fldChar w:fldCharType="end"/>
      </w:r>
      <w:r w:rsidRPr="00012326">
        <w:fldChar w:fldCharType="separate"/>
      </w:r>
      <w:r w:rsidRPr="00012326">
        <w:rPr>
          <w:noProof/>
        </w:rPr>
        <w:t>(</w:t>
      </w:r>
      <w:hyperlink w:anchor="_ENREF_1" w:tooltip="Abassi SA, 2013 #106" w:history="1">
        <w:r w:rsidR="00B906E9" w:rsidRPr="00012326">
          <w:rPr>
            <w:noProof/>
          </w:rPr>
          <w:t>Abassi et al. 2013</w:t>
        </w:r>
      </w:hyperlink>
      <w:r w:rsidRPr="00012326">
        <w:rPr>
          <w:noProof/>
        </w:rPr>
        <w:t xml:space="preserve">; </w:t>
      </w:r>
      <w:hyperlink w:anchor="_ENREF_15" w:tooltip="Bruder O, 2009 #108" w:history="1">
        <w:r w:rsidR="00B906E9" w:rsidRPr="00012326">
          <w:rPr>
            <w:noProof/>
          </w:rPr>
          <w:t>Bruder et al. 2009</w:t>
        </w:r>
      </w:hyperlink>
      <w:r w:rsidRPr="00012326">
        <w:rPr>
          <w:noProof/>
        </w:rPr>
        <w:t>)</w:t>
      </w:r>
      <w:r w:rsidRPr="00012326">
        <w:fldChar w:fldCharType="end"/>
      </w:r>
      <w:r w:rsidR="00B0529A">
        <w:t>;</w:t>
      </w:r>
      <w:r w:rsidRPr="00012326">
        <w:t xml:space="preserve"> however</w:t>
      </w:r>
      <w:r w:rsidR="00B0529A">
        <w:t>,</w:t>
      </w:r>
      <w:r w:rsidRPr="00012326">
        <w:t xml:space="preserve"> the remaining </w:t>
      </w:r>
      <w:r w:rsidR="00B0529A">
        <w:t>2</w:t>
      </w:r>
      <w:r w:rsidR="00B0529A" w:rsidRPr="00012326">
        <w:t xml:space="preserve"> </w:t>
      </w:r>
      <w:r w:rsidRPr="00012326">
        <w:t xml:space="preserve">studies conducted some level of follow-up to determine the impact of change in management on the patients. Recall bias could not be ruled out in </w:t>
      </w:r>
      <w:r w:rsidR="00D04F13">
        <w:t>1</w:t>
      </w:r>
      <w:r w:rsidR="00D04F13" w:rsidRPr="00012326">
        <w:t xml:space="preserve"> </w:t>
      </w:r>
      <w:r w:rsidRPr="00012326">
        <w:t xml:space="preserve">study </w:t>
      </w:r>
      <w:r w:rsidRPr="00012326">
        <w:fldChar w:fldCharType="begin"/>
      </w:r>
      <w:r w:rsidR="00187A29">
        <w:instrText xml:space="preserve"> ADDIN EN.CITE &lt;EndNote&gt;&lt;Cite&gt;&lt;Author&gt;Taylor AJ&lt;/Author&gt;&lt;Year&gt;2013&lt;/Year&gt;&lt;RecNum&gt;109&lt;/RecNum&gt;&lt;IDText&gt;855-64&lt;/IDText&gt;&lt;DisplayText&gt;(Taylor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rsidRPr="00012326">
        <w:fldChar w:fldCharType="separate"/>
      </w:r>
      <w:r w:rsidRPr="00012326">
        <w:rPr>
          <w:noProof/>
        </w:rPr>
        <w:t>(</w:t>
      </w:r>
      <w:hyperlink w:anchor="_ENREF_126" w:tooltip="Taylor AJ, 2013 #109" w:history="1">
        <w:r w:rsidR="00B906E9" w:rsidRPr="00012326">
          <w:rPr>
            <w:noProof/>
          </w:rPr>
          <w:t>Taylor</w:t>
        </w:r>
        <w:r w:rsidR="00DB55CA">
          <w:rPr>
            <w:noProof/>
          </w:rPr>
          <w:t>,</w:t>
        </w:r>
        <w:r w:rsidR="00B906E9" w:rsidRPr="00012326">
          <w:rPr>
            <w:noProof/>
          </w:rPr>
          <w:t xml:space="preserve"> AJ et al. 2013</w:t>
        </w:r>
      </w:hyperlink>
      <w:r w:rsidRPr="00012326">
        <w:rPr>
          <w:noProof/>
        </w:rPr>
        <w:t>)</w:t>
      </w:r>
      <w:r w:rsidRPr="00012326">
        <w:fldChar w:fldCharType="end"/>
      </w:r>
      <w:r w:rsidR="00D04F13">
        <w:t>,</w:t>
      </w:r>
      <w:r w:rsidRPr="00012326">
        <w:t xml:space="preserve"> which used patient questionnaires to collect data on change in treatment plan 6</w:t>
      </w:r>
      <w:r w:rsidR="00D04F13">
        <w:t> </w:t>
      </w:r>
      <w:r w:rsidRPr="00012326">
        <w:t>months after CMR, although medical records were consulted to provide information where data was missing.</w:t>
      </w:r>
      <w:r>
        <w:t xml:space="preserve"> Case series studies have no comparator arm and are rated lowest according to the NHMRC recommendations for levels of evidence, and the evidence included here should be considered in this light</w:t>
      </w:r>
      <w:r w:rsidR="003E554C">
        <w:t xml:space="preserve"> </w:t>
      </w:r>
      <w:r w:rsidR="00992437">
        <w:fldChar w:fldCharType="begin"/>
      </w:r>
      <w:r w:rsidR="00992437">
        <w:instrText xml:space="preserve"> ADDIN EN.CITE &lt;EndNote&gt;&lt;Cite&gt;&lt;Author&gt;NHMRC&lt;/Author&gt;&lt;Year&gt;2000&lt;/Year&gt;&lt;RecNum&gt;78&lt;/RecNum&gt;&lt;IDText&gt;84&lt;/IDText&gt;&lt;DisplayText&gt;(NHMRC 2000)&lt;/DisplayText&gt;&lt;record&gt;&lt;rec-number&gt;78&lt;/rec-number&gt;&lt;foreign-keys&gt;&lt;key app="EN" db-id="pfxxvref0t0a5de2vwnv2fwkz0p9v0r2fw0t" timestamp="1458110363"&gt;78&lt;/key&gt;&lt;/foreign-keys&gt;&lt;ref-type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 ACT&lt;/pub-location&gt;&lt;publisher&gt;National Health and Medical Research Council, Commonwealth of Australia&lt;/publisher&gt;&lt;call-num&gt;shelf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992437">
        <w:fldChar w:fldCharType="separate"/>
      </w:r>
      <w:r w:rsidR="00992437">
        <w:rPr>
          <w:noProof/>
        </w:rPr>
        <w:t>(</w:t>
      </w:r>
      <w:hyperlink w:anchor="_ENREF_97" w:tooltip="NHMRC, 2000 #78" w:history="1">
        <w:r w:rsidR="00B906E9">
          <w:rPr>
            <w:noProof/>
          </w:rPr>
          <w:t>NHMRC 2000</w:t>
        </w:r>
      </w:hyperlink>
      <w:r w:rsidR="00992437">
        <w:rPr>
          <w:noProof/>
        </w:rPr>
        <w:t>)</w:t>
      </w:r>
      <w:r w:rsidR="00992437">
        <w:fldChar w:fldCharType="end"/>
      </w:r>
      <w:r>
        <w:t>.</w:t>
      </w:r>
    </w:p>
    <w:p w14:paraId="2AFE7F79" w14:textId="1BC2E77F" w:rsidR="008823F1" w:rsidRDefault="00D864CE" w:rsidP="00161B88">
      <w:pPr>
        <w:pStyle w:val="Heading3"/>
      </w:pPr>
      <w:bookmarkStart w:id="381" w:name="_Toc451501334"/>
      <w:r>
        <w:t xml:space="preserve">B5.1.3 </w:t>
      </w:r>
      <w:r w:rsidR="008823F1" w:rsidRPr="00183E4D">
        <w:t xml:space="preserve">Characteristics of the </w:t>
      </w:r>
      <w:r w:rsidR="00B25B25">
        <w:t>e</w:t>
      </w:r>
      <w:r w:rsidR="008823F1" w:rsidRPr="00183E4D">
        <w:t xml:space="preserve">vidence </w:t>
      </w:r>
      <w:r w:rsidR="00B25B25">
        <w:t>b</w:t>
      </w:r>
      <w:r w:rsidR="008823F1" w:rsidRPr="00183E4D">
        <w:t>ase</w:t>
      </w:r>
      <w:bookmarkEnd w:id="381"/>
    </w:p>
    <w:p w14:paraId="4998CD72" w14:textId="4E2921BD" w:rsidR="003F36FF" w:rsidRDefault="003F36FF" w:rsidP="004C79C1">
      <w:pPr>
        <w:spacing w:after="120" w:line="240" w:lineRule="auto"/>
        <w:jc w:val="both"/>
      </w:pPr>
      <w:r w:rsidRPr="00183E4D">
        <w:t>See</w:t>
      </w:r>
      <w:r w:rsidR="00AD7237">
        <w:t xml:space="preserve"> </w:t>
      </w:r>
      <w:r w:rsidR="001C59E2">
        <w:rPr>
          <w:highlight w:val="yellow"/>
        </w:rPr>
        <w:fldChar w:fldCharType="begin"/>
      </w:r>
      <w:r w:rsidR="001C59E2">
        <w:instrText xml:space="preserve"> REF _Ref451332674 \h </w:instrText>
      </w:r>
      <w:r w:rsidR="001C59E2">
        <w:rPr>
          <w:highlight w:val="yellow"/>
        </w:rPr>
      </w:r>
      <w:r w:rsidR="001C59E2">
        <w:rPr>
          <w:highlight w:val="yellow"/>
        </w:rPr>
        <w:fldChar w:fldCharType="separate"/>
      </w:r>
      <w:r w:rsidR="001C59E2">
        <w:t xml:space="preserve">Table </w:t>
      </w:r>
      <w:r w:rsidR="001C59E2">
        <w:rPr>
          <w:noProof/>
        </w:rPr>
        <w:t>81</w:t>
      </w:r>
      <w:r w:rsidR="001C59E2">
        <w:rPr>
          <w:highlight w:val="yellow"/>
        </w:rPr>
        <w:fldChar w:fldCharType="end"/>
      </w:r>
      <w:r w:rsidRPr="00AD7237">
        <w:t>, Appendix C</w:t>
      </w:r>
      <w:r w:rsidR="00D04F13">
        <w:t>,</w:t>
      </w:r>
      <w:r w:rsidRPr="00183E4D">
        <w:t xml:space="preserve"> for details on the individual studies included in the evidence base. </w:t>
      </w:r>
    </w:p>
    <w:p w14:paraId="264D56F8" w14:textId="0AC5DF77" w:rsidR="003F36FF" w:rsidRDefault="003F36FF" w:rsidP="004C79C1">
      <w:pPr>
        <w:spacing w:after="120" w:line="240" w:lineRule="auto"/>
        <w:jc w:val="both"/>
      </w:pPr>
      <w:r>
        <w:t xml:space="preserve">Articles identified in the literature were searched for evidence to inform the linked evidence question of </w:t>
      </w:r>
      <w:r w:rsidR="00D04F13">
        <w:t>i</w:t>
      </w:r>
      <w:r w:rsidRPr="001C59E2">
        <w:t xml:space="preserve">mpact on </w:t>
      </w:r>
      <w:r w:rsidR="00D04F13">
        <w:t>c</w:t>
      </w:r>
      <w:r w:rsidRPr="001C59E2">
        <w:t xml:space="preserve">linical </w:t>
      </w:r>
      <w:r w:rsidR="00D04F13">
        <w:t>m</w:t>
      </w:r>
      <w:r w:rsidRPr="001C59E2">
        <w:t>anagement</w:t>
      </w:r>
      <w:r>
        <w:t xml:space="preserve">. Only one article was identified </w:t>
      </w:r>
      <w:r w:rsidR="00127D6E">
        <w:t xml:space="preserve">that </w:t>
      </w:r>
      <w:r>
        <w:t xml:space="preserve">addressed this question in the specific population of </w:t>
      </w:r>
      <w:r w:rsidR="0003529B">
        <w:t>DCM</w:t>
      </w:r>
      <w:r>
        <w:t xml:space="preserve"> (Broch et al</w:t>
      </w:r>
      <w:r w:rsidR="00D72D68">
        <w:t>.</w:t>
      </w:r>
      <w:r>
        <w:t xml:space="preserve"> </w:t>
      </w:r>
      <w:r w:rsidR="00127D6E">
        <w:t xml:space="preserve">(2015) </w:t>
      </w:r>
      <w:r>
        <w:t>included patients with idiopathic DCM)</w:t>
      </w:r>
      <w:r w:rsidR="008F7ACA">
        <w:t>;</w:t>
      </w:r>
      <w:r>
        <w:t xml:space="preserve"> therefore</w:t>
      </w:r>
      <w:r w:rsidR="008F7ACA">
        <w:t>,</w:t>
      </w:r>
      <w:r>
        <w:t xml:space="preserve"> articles were included </w:t>
      </w:r>
      <w:r w:rsidR="008F7ACA">
        <w:t xml:space="preserve">that </w:t>
      </w:r>
      <w:r>
        <w:t xml:space="preserve">addressed the impact of CMR on the management of broader populations of patients with </w:t>
      </w:r>
      <w:r w:rsidR="008F7ACA">
        <w:t>HF</w:t>
      </w:r>
      <w:r>
        <w:t xml:space="preserve">, </w:t>
      </w:r>
      <w:r w:rsidR="00CB6E17">
        <w:t>HF</w:t>
      </w:r>
      <w:r>
        <w:t xml:space="preserve"> symptoms or unspecified CM. </w:t>
      </w:r>
    </w:p>
    <w:p w14:paraId="000E3A4B" w14:textId="7FC465ED" w:rsidR="003F36FF" w:rsidRDefault="003F36FF" w:rsidP="004C79C1">
      <w:pPr>
        <w:spacing w:after="120" w:line="240" w:lineRule="auto"/>
        <w:jc w:val="both"/>
      </w:pPr>
      <w:r>
        <w:t>Three relevant articles were identified in the literature search</w:t>
      </w:r>
      <w:r w:rsidR="00F356B1">
        <w:t xml:space="preserve"> </w:t>
      </w:r>
      <w:r w:rsidR="00992437">
        <w:fldChar w:fldCharType="begin">
          <w:fldData xml:space="preserve">PEVuZE5vdGU+PENpdGU+PEF1dGhvcj5Ccm9jaDwvQXV0aG9yPjxZZWFyPjIwMTU8L1llYXI+PFJl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</w:fldData>
        </w:fldChar>
      </w:r>
      <w:r w:rsidR="00992437">
        <w:instrText xml:space="preserve"> ADDIN EN.CITE </w:instrText>
      </w:r>
      <w:r w:rsidR="00992437">
        <w:fldChar w:fldCharType="begin">
          <w:fldData xml:space="preserve">PEVuZE5vdGU+PENpdGU+PEF1dGhvcj5Ccm9jaDwvQXV0aG9yPjxZZWFyPjIwMTU8L1llYXI+PFJl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</w:fldData>
        </w:fldChar>
      </w:r>
      <w:r w:rsidR="00992437">
        <w:instrText xml:space="preserve"> ADDIN EN.CITE.DATA </w:instrText>
      </w:r>
      <w:r w:rsidR="00992437">
        <w:fldChar w:fldCharType="end"/>
      </w:r>
      <w:r w:rsidR="00992437">
        <w:fldChar w:fldCharType="separate"/>
      </w:r>
      <w:r w:rsidR="00992437">
        <w:rPr>
          <w:noProof/>
        </w:rPr>
        <w:t>(</w:t>
      </w:r>
      <w:hyperlink w:anchor="_ENREF_14" w:tooltip="Broch, 2015 #107" w:history="1">
        <w:r w:rsidR="00B906E9">
          <w:rPr>
            <w:noProof/>
          </w:rPr>
          <w:t>Broch et al. 2015</w:t>
        </w:r>
      </w:hyperlink>
      <w:r w:rsidR="00992437">
        <w:rPr>
          <w:noProof/>
        </w:rPr>
        <w:t xml:space="preserve">; </w:t>
      </w:r>
      <w:hyperlink w:anchor="_ENREF_15" w:tooltip="Bruder O, 2009 #108" w:history="1">
        <w:r w:rsidR="00B906E9">
          <w:rPr>
            <w:noProof/>
          </w:rPr>
          <w:t>Bruder et al. 2009</w:t>
        </w:r>
      </w:hyperlink>
      <w:r w:rsidR="00992437">
        <w:rPr>
          <w:noProof/>
        </w:rPr>
        <w:t xml:space="preserve">; </w:t>
      </w:r>
      <w:hyperlink w:anchor="_ENREF_126" w:tooltip="Taylor AJ, 2013 #109" w:history="1">
        <w:r w:rsidR="00B906E9">
          <w:rPr>
            <w:noProof/>
          </w:rPr>
          <w:t>Taylor</w:t>
        </w:r>
        <w:r w:rsidR="00DB55CA">
          <w:rPr>
            <w:noProof/>
          </w:rPr>
          <w:t>,</w:t>
        </w:r>
        <w:r w:rsidR="00B906E9">
          <w:rPr>
            <w:noProof/>
          </w:rPr>
          <w:t xml:space="preserve"> AJ et al. 2013</w:t>
        </w:r>
      </w:hyperlink>
      <w:r w:rsidR="00992437">
        <w:rPr>
          <w:noProof/>
        </w:rPr>
        <w:t>)</w:t>
      </w:r>
      <w:r w:rsidR="00992437">
        <w:fldChar w:fldCharType="end"/>
      </w:r>
      <w:r w:rsidR="00CF4AED">
        <w:t xml:space="preserve"> </w:t>
      </w:r>
      <w:r>
        <w:t xml:space="preserve">and one additional article was identified through pearling </w:t>
      </w:r>
      <w:r w:rsidR="00992437">
        <w:fldChar w:fldCharType="begin"/>
      </w:r>
      <w:r w:rsidR="00992437">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rsidR="00992437">
        <w:fldChar w:fldCharType="separate"/>
      </w:r>
      <w:r w:rsidR="00992437">
        <w:rPr>
          <w:noProof/>
        </w:rPr>
        <w:t>(</w:t>
      </w:r>
      <w:hyperlink w:anchor="_ENREF_1" w:tooltip="Abassi SA, 2013 #106" w:history="1">
        <w:r w:rsidR="00B906E9">
          <w:rPr>
            <w:noProof/>
          </w:rPr>
          <w:t>Abassi et al. 2013</w:t>
        </w:r>
      </w:hyperlink>
      <w:r w:rsidR="00992437">
        <w:rPr>
          <w:noProof/>
        </w:rPr>
        <w:t>)</w:t>
      </w:r>
      <w:r w:rsidR="00992437">
        <w:fldChar w:fldCharType="end"/>
      </w:r>
      <w:r w:rsidR="00CF4AED">
        <w:t>.</w:t>
      </w:r>
      <w:r w:rsidR="00F356B1">
        <w:t xml:space="preserve"> </w:t>
      </w:r>
    </w:p>
    <w:p w14:paraId="3CDF0CB0" w14:textId="472E8F1C" w:rsidR="003F36FF" w:rsidRDefault="003F36FF" w:rsidP="004C79C1">
      <w:pPr>
        <w:spacing w:after="120" w:line="240" w:lineRule="auto"/>
        <w:jc w:val="both"/>
      </w:pPr>
      <w:r>
        <w:t>The article by Taylor</w:t>
      </w:r>
      <w:r w:rsidR="00BB32EB">
        <w:t>, AJ</w:t>
      </w:r>
      <w:r>
        <w:t xml:space="preserve"> et al</w:t>
      </w:r>
      <w:r w:rsidR="009B77B1">
        <w:t>.</w:t>
      </w:r>
      <w:r>
        <w:t xml:space="preserve"> </w:t>
      </w:r>
      <w:r w:rsidR="00BB32EB">
        <w:t xml:space="preserve">(2013) </w:t>
      </w:r>
      <w:r>
        <w:t xml:space="preserve">reported on a single-centre trial conducted in patients from the Alfred Hospital Heart Centre, Melbourne, Australia. The study was a prospective observational trial of cardiac patients (n=732) from four pre-specified treatment pathways: CM, viability, tumour/mass and arrythmogenic right ventricular cardiomyopathy (ARVC). The patients underwent assessment and treatment planning using conventional clinical methods, and also underwent CMR to determine its impact on the treatment plan. Through personal communications with the author </w:t>
      </w:r>
      <w:r w:rsidR="00532368">
        <w:t>(</w:t>
      </w:r>
      <w:r>
        <w:t>A</w:t>
      </w:r>
      <w:r w:rsidR="00791E4B">
        <w:t>.</w:t>
      </w:r>
      <w:r w:rsidR="00532368">
        <w:t xml:space="preserve"> </w:t>
      </w:r>
      <w:r>
        <w:t>T</w:t>
      </w:r>
      <w:r w:rsidR="00532368">
        <w:t>aylor)</w:t>
      </w:r>
      <w:r>
        <w:t xml:space="preserve">, further data were obtained that provided detailed outcomes for the CM group. According to the author, the CM group comprised 90% DCM patients, </w:t>
      </w:r>
      <w:r w:rsidR="00791E4B">
        <w:t xml:space="preserve">and </w:t>
      </w:r>
      <w:r>
        <w:t xml:space="preserve">thus the data that was provided is considered closely relevant to the population under review. </w:t>
      </w:r>
    </w:p>
    <w:p w14:paraId="103C772A" w14:textId="73410B2B" w:rsidR="003F36FF" w:rsidRDefault="003F36FF" w:rsidP="004C79C1">
      <w:pPr>
        <w:spacing w:after="120" w:line="240" w:lineRule="auto"/>
        <w:jc w:val="both"/>
      </w:pPr>
      <w:r>
        <w:t>The pearled study by Abassi et al</w:t>
      </w:r>
      <w:r w:rsidR="004B754C">
        <w:t>.</w:t>
      </w:r>
      <w:r>
        <w:t xml:space="preserve"> </w:t>
      </w:r>
      <w:r w:rsidR="00791E4B">
        <w:t xml:space="preserve">(2013) </w:t>
      </w:r>
      <w:r>
        <w:t>was a single-centre prospective cohort analysis conducted on patients from a single centre in US</w:t>
      </w:r>
      <w:r w:rsidR="00791E4B">
        <w:t>A</w:t>
      </w:r>
      <w:r>
        <w:t xml:space="preserve"> (n=150). CMR was performed on </w:t>
      </w:r>
      <w:r w:rsidR="00791E4B">
        <w:t>HF</w:t>
      </w:r>
      <w:r>
        <w:t xml:space="preserve"> patients with a treatment plan, following which the clinical impact of CMR was assessed. Patients from the EuroCMR registry</w:t>
      </w:r>
      <w:bookmarkStart w:id="382" w:name="_Ref444694615"/>
      <w:r>
        <w:rPr>
          <w:rStyle w:val="FootnoteReference"/>
        </w:rPr>
        <w:footnoteReference w:id="4"/>
      </w:r>
      <w:bookmarkEnd w:id="382"/>
      <w:r>
        <w:t xml:space="preserve"> who underwent CMR were assessed in the article by Bruder et al</w:t>
      </w:r>
      <w:r w:rsidR="009B77B1">
        <w:t>.</w:t>
      </w:r>
      <w:r>
        <w:t xml:space="preserve"> (2013). In this European cohort study, 3</w:t>
      </w:r>
      <w:r w:rsidR="005C358A">
        <w:t>,</w:t>
      </w:r>
      <w:r>
        <w:t xml:space="preserve">511 patients were recommended for CMR for indications of myocarditis or </w:t>
      </w:r>
      <w:r>
        <w:lastRenderedPageBreak/>
        <w:t xml:space="preserve">other CM. The impact of CMR on patient management was reported for this group. Finally, a study conducted in Norway reported diagnostic yield and management outcomes for a group </w:t>
      </w:r>
      <w:r w:rsidR="005C358A">
        <w:t xml:space="preserve">of </w:t>
      </w:r>
      <w:r>
        <w:t xml:space="preserve">102 DCM patients of unknown aetiology who underwent a number of other tests including CMR </w:t>
      </w:r>
      <w: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instrText xml:space="preserve"> ADDIN EN.CITE </w:instrText>
      </w:r>
      <w:r w:rsidR="00187A29">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instrText xml:space="preserve"> ADDIN EN.CITE.DATA </w:instrText>
      </w:r>
      <w:r w:rsidR="00187A29">
        <w:fldChar w:fldCharType="end"/>
      </w:r>
      <w:r>
        <w:fldChar w:fldCharType="separate"/>
      </w:r>
      <w:r>
        <w:rPr>
          <w:noProof/>
        </w:rPr>
        <w:t>(</w:t>
      </w:r>
      <w:hyperlink w:anchor="_ENREF_14" w:tooltip="Broch, 2015 #107" w:history="1">
        <w:r w:rsidR="00B906E9">
          <w:rPr>
            <w:noProof/>
          </w:rPr>
          <w:t>Broch et al. 2015</w:t>
        </w:r>
      </w:hyperlink>
      <w:r>
        <w:rPr>
          <w:noProof/>
        </w:rPr>
        <w:t>)</w:t>
      </w:r>
      <w:r>
        <w:fldChar w:fldCharType="end"/>
      </w:r>
      <w:r>
        <w:t>.</w:t>
      </w:r>
    </w:p>
    <w:p w14:paraId="358C5639" w14:textId="21566164" w:rsidR="003F36FF" w:rsidRDefault="003F36FF" w:rsidP="004C79C1">
      <w:pPr>
        <w:spacing w:after="120" w:line="240" w:lineRule="auto"/>
        <w:jc w:val="both"/>
      </w:pPr>
      <w:r>
        <w:t>Stud</w:t>
      </w:r>
      <w:r w:rsidR="005C358A">
        <w:t>y</w:t>
      </w:r>
      <w:r>
        <w:t xml:space="preserve"> characteristics and key outcomes are provided in </w:t>
      </w:r>
      <w:r>
        <w:fldChar w:fldCharType="begin"/>
      </w:r>
      <w:r>
        <w:instrText xml:space="preserve"> REF _Ref445366910 \h </w:instrText>
      </w:r>
      <w:r>
        <w:fldChar w:fldCharType="separate"/>
      </w:r>
      <w:r w:rsidR="00B736EE" w:rsidRPr="00401C93">
        <w:t xml:space="preserve">Table </w:t>
      </w:r>
      <w:r w:rsidR="00B736EE">
        <w:rPr>
          <w:noProof/>
        </w:rPr>
        <w:t>17</w:t>
      </w:r>
      <w:r>
        <w:fldChar w:fldCharType="end"/>
      </w:r>
      <w:r>
        <w:t>.</w:t>
      </w:r>
      <w:r w:rsidR="00355922">
        <w:t xml:space="preserve"> All outcomes were considered to be</w:t>
      </w:r>
      <w:r w:rsidR="00445CFB">
        <w:t xml:space="preserve"> critical or</w:t>
      </w:r>
      <w:r w:rsidR="00355922">
        <w:t xml:space="preserve"> impo</w:t>
      </w:r>
      <w:r w:rsidR="00445CFB">
        <w:t xml:space="preserve">rtant </w:t>
      </w:r>
      <w:r w:rsidR="00355922">
        <w:t xml:space="preserve">to patients. </w:t>
      </w:r>
    </w:p>
    <w:p w14:paraId="45F11DBC" w14:textId="4376A62F" w:rsidR="003F36FF" w:rsidRPr="00183E4D" w:rsidRDefault="003F36FF" w:rsidP="004C79C1">
      <w:pPr>
        <w:pStyle w:val="Caption"/>
        <w:keepNext/>
      </w:pPr>
      <w:bookmarkStart w:id="383" w:name="_Ref445366910"/>
      <w:bookmarkStart w:id="384" w:name="_Toc432677294"/>
      <w:bookmarkStart w:id="385" w:name="_Toc324410169"/>
      <w:bookmarkStart w:id="386" w:name="_Toc451435344"/>
      <w:r w:rsidRPr="00401C93">
        <w:t xml:space="preserve">Table </w:t>
      </w:r>
      <w:fldSimple w:instr=" SEQ Table \* ARABIC ">
        <w:r w:rsidR="00050936">
          <w:rPr>
            <w:noProof/>
          </w:rPr>
          <w:t>17</w:t>
        </w:r>
      </w:fldSimple>
      <w:bookmarkEnd w:id="383"/>
      <w:r w:rsidRPr="00183E4D">
        <w:tab/>
        <w:t>Key features of the included evidence</w:t>
      </w:r>
      <w:r>
        <w:t xml:space="preserve"> for impact on clinical management outcomes</w:t>
      </w:r>
      <w:bookmarkEnd w:id="384"/>
      <w:bookmarkEnd w:id="385"/>
      <w:bookmarkEnd w:id="386"/>
    </w:p>
    <w:tbl>
      <w:tblPr>
        <w:tblStyle w:val="TableGrid1"/>
        <w:tblW w:w="5028" w:type="pct"/>
        <w:tblLayout w:type="fixed"/>
        <w:tblLook w:val="04A0" w:firstRow="1" w:lastRow="0" w:firstColumn="1" w:lastColumn="0" w:noHBand="0" w:noVBand="1"/>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009"/>
        <w:gridCol w:w="729"/>
        <w:gridCol w:w="2470"/>
        <w:gridCol w:w="1309"/>
        <w:gridCol w:w="1809"/>
        <w:gridCol w:w="1968"/>
      </w:tblGrid>
      <w:tr w:rsidR="00355922" w:rsidRPr="00183E4D" w14:paraId="50F2435A" w14:textId="77777777" w:rsidTr="00DE65AE">
        <w:trPr>
          <w:cnfStyle w:val="100000000000" w:firstRow="1" w:lastRow="0" w:firstColumn="0" w:lastColumn="0" w:oddVBand="0" w:evenVBand="0" w:oddHBand="0" w:evenHBand="0" w:firstRowFirstColumn="0" w:firstRowLastColumn="0" w:lastRowFirstColumn="0" w:lastRowLastColumn="0"/>
          <w:tblHeader/>
        </w:trPr>
        <w:tc>
          <w:tcPr>
            <w:tcW w:w="543" w:type="pct"/>
          </w:tcPr>
          <w:p w14:paraId="4E0E8E16" w14:textId="77777777" w:rsidR="00355922" w:rsidRPr="00183E4D" w:rsidRDefault="00355922" w:rsidP="004C79C1">
            <w:pPr>
              <w:pStyle w:val="TableHeading"/>
              <w:spacing w:before="0" w:after="120"/>
              <w:jc w:val="center"/>
              <w:rPr>
                <w:snapToGrid w:val="0"/>
                <w:lang w:eastAsia="en-US"/>
              </w:rPr>
            </w:pPr>
            <w:r w:rsidRPr="00183E4D">
              <w:rPr>
                <w:snapToGrid w:val="0"/>
                <w:lang w:eastAsia="en-US"/>
              </w:rPr>
              <w:t>Trial/Study</w:t>
            </w:r>
          </w:p>
        </w:tc>
        <w:tc>
          <w:tcPr>
            <w:tcW w:w="392" w:type="pct"/>
          </w:tcPr>
          <w:p w14:paraId="1F6DC533" w14:textId="77777777" w:rsidR="00355922" w:rsidRPr="00183E4D" w:rsidRDefault="00355922" w:rsidP="004C79C1">
            <w:pPr>
              <w:pStyle w:val="TableHeading"/>
              <w:spacing w:before="0" w:after="120"/>
              <w:jc w:val="center"/>
              <w:rPr>
                <w:snapToGrid w:val="0"/>
                <w:lang w:eastAsia="en-US"/>
              </w:rPr>
            </w:pPr>
            <w:r w:rsidRPr="00183E4D">
              <w:rPr>
                <w:snapToGrid w:val="0"/>
                <w:lang w:eastAsia="en-US"/>
              </w:rPr>
              <w:t>N</w:t>
            </w:r>
          </w:p>
        </w:tc>
        <w:tc>
          <w:tcPr>
            <w:tcW w:w="1329" w:type="pct"/>
          </w:tcPr>
          <w:p w14:paraId="5132FBE2" w14:textId="77777777" w:rsidR="00355922" w:rsidRPr="00183E4D" w:rsidRDefault="00355922" w:rsidP="004C79C1">
            <w:pPr>
              <w:pStyle w:val="TableHeading"/>
              <w:spacing w:before="0" w:after="120"/>
              <w:rPr>
                <w:snapToGrid w:val="0"/>
                <w:lang w:eastAsia="en-US"/>
              </w:rPr>
            </w:pPr>
            <w:r w:rsidRPr="00183E4D">
              <w:rPr>
                <w:snapToGrid w:val="0"/>
                <w:lang w:eastAsia="en-US"/>
              </w:rPr>
              <w:t>Design/ duration</w:t>
            </w:r>
          </w:p>
        </w:tc>
        <w:tc>
          <w:tcPr>
            <w:tcW w:w="704" w:type="pct"/>
          </w:tcPr>
          <w:p w14:paraId="2BF5FC72" w14:textId="70EEF55A" w:rsidR="00355922" w:rsidRPr="00E01542" w:rsidRDefault="00355922" w:rsidP="004C79C1">
            <w:pPr>
              <w:pStyle w:val="TableHeading"/>
              <w:spacing w:before="0" w:after="120"/>
              <w:rPr>
                <w:snapToGrid w:val="0"/>
                <w:vertAlign w:val="superscript"/>
                <w:lang w:eastAsia="en-US"/>
              </w:rPr>
            </w:pPr>
            <w:r w:rsidRPr="00183E4D">
              <w:rPr>
                <w:snapToGrid w:val="0"/>
                <w:lang w:eastAsia="en-US"/>
              </w:rPr>
              <w:t>Risk of bias</w:t>
            </w:r>
            <w:r w:rsidR="007035C7">
              <w:rPr>
                <w:snapToGrid w:val="0"/>
                <w:lang w:eastAsia="en-US"/>
              </w:rPr>
              <w:t xml:space="preserve"> </w:t>
            </w:r>
            <w:r>
              <w:rPr>
                <w:snapToGrid w:val="0"/>
                <w:vertAlign w:val="superscript"/>
                <w:lang w:eastAsia="en-US"/>
              </w:rPr>
              <w:t>a</w:t>
            </w:r>
          </w:p>
        </w:tc>
        <w:tc>
          <w:tcPr>
            <w:tcW w:w="973" w:type="pct"/>
          </w:tcPr>
          <w:p w14:paraId="16E2781C" w14:textId="77777777" w:rsidR="00355922" w:rsidRPr="00183E4D" w:rsidRDefault="00355922" w:rsidP="004C79C1">
            <w:pPr>
              <w:pStyle w:val="TableHeading"/>
              <w:spacing w:before="0" w:after="120"/>
              <w:rPr>
                <w:snapToGrid w:val="0"/>
                <w:lang w:eastAsia="en-US"/>
              </w:rPr>
            </w:pPr>
            <w:r w:rsidRPr="00183E4D">
              <w:rPr>
                <w:snapToGrid w:val="0"/>
                <w:lang w:eastAsia="en-US"/>
              </w:rPr>
              <w:t>Patient population</w:t>
            </w:r>
          </w:p>
        </w:tc>
        <w:tc>
          <w:tcPr>
            <w:tcW w:w="1059" w:type="pct"/>
          </w:tcPr>
          <w:p w14:paraId="092683B8" w14:textId="77777777" w:rsidR="00355922" w:rsidRPr="00183E4D" w:rsidRDefault="00355922" w:rsidP="004C79C1">
            <w:pPr>
              <w:pStyle w:val="TableHeading"/>
              <w:spacing w:before="0" w:after="120"/>
              <w:rPr>
                <w:snapToGrid w:val="0"/>
                <w:lang w:eastAsia="en-US"/>
              </w:rPr>
            </w:pPr>
            <w:r w:rsidRPr="00183E4D">
              <w:rPr>
                <w:snapToGrid w:val="0"/>
                <w:lang w:eastAsia="en-US"/>
              </w:rPr>
              <w:t>Key outcome(s)</w:t>
            </w:r>
          </w:p>
        </w:tc>
      </w:tr>
      <w:tr w:rsidR="00355922" w:rsidRPr="00183E4D" w14:paraId="20DD0CE0" w14:textId="77777777" w:rsidTr="004557E8">
        <w:tc>
          <w:tcPr>
            <w:tcW w:w="543" w:type="pct"/>
          </w:tcPr>
          <w:p w14:paraId="790EC043" w14:textId="49149777" w:rsidR="00355922" w:rsidRPr="00976FCD" w:rsidRDefault="00355922" w:rsidP="004C79C1">
            <w:pPr>
              <w:pStyle w:val="TableText0"/>
              <w:spacing w:before="0" w:after="120"/>
              <w:rPr>
                <w:snapToGrid w:val="0"/>
              </w:rPr>
            </w:pPr>
            <w:r w:rsidRPr="00976FCD">
              <w:rPr>
                <w:snapToGrid w:val="0"/>
              </w:rPr>
              <w:fldChar w:fldCharType="begin"/>
            </w:r>
            <w:r>
              <w:rPr>
                <w:snapToGrid w:val="0"/>
              </w:rPr>
              <w:instrText xml:space="preserve"> ADDIN EN.CITE &lt;EndNote&gt;&lt;Cite&gt;&lt;Author&gt;Bruder O&lt;/Author&gt;&lt;Year&gt;2009&lt;/Year&gt;&lt;RecNum&gt;108&lt;/RecNum&gt;&lt;IDText&gt;1457-66&lt;/IDText&gt;&lt;DisplayText&gt;(Bruder O et al. 2009)&lt;/DisplayText&gt;&lt;record&gt;&lt;rec-number&gt;108&lt;/rec-number&gt;&lt;foreign-keys&gt;&lt;key app="EN" db-id="pfxxvref0t0a5de2vwnv2fwkz0p9v0r2fw0t" timestamp="1458687902"&gt;108&lt;/key&gt;&lt;/foreign-keys&gt;&lt;ref-type name="Journal Article"&gt;17&lt;/ref-type&gt;&lt;contributors&gt;&lt;authors&gt;&lt;author&gt;Bruder O, &lt;/author&gt;&lt;author&gt;Schneider S, &lt;/author&gt;&lt;author&gt;Nothnagel D, &lt;/author&gt;&lt;author&gt;Dill T, &lt;/author&gt;&lt;author&gt;Hombach V, &lt;/author&gt;&lt;author&gt;Schulz-Menger J, &lt;/author&gt;&lt;author&gt;Nagel E, &lt;/author&gt;&lt;author&gt;Lombardi M, &lt;/author&gt;&lt;author&gt;van Rossum AC, &lt;/author&gt;&lt;author&gt;Wagner A, &lt;/author&gt;&lt;author&gt;Schwitter J, &lt;/author&gt;&lt;author&gt;Senges J, &lt;/author&gt;&lt;author&gt;Sabin GV, &lt;/author&gt;&lt;author&gt;Sechtem U,&lt;/author&gt;&lt;author&gt;Mahrholdt H, &lt;/author&gt;&lt;/authors&gt;&lt;/contributors&gt;&lt;titles&gt;&lt;title&gt;EuroCMR (European Cardiovascular Magnetic Resonance) registry: results of the German pilot phase&lt;/title&gt;&lt;secondary-title&gt;J Am Coll Cardiol&lt;/secondary-title&gt;&lt;/titles&gt;&lt;periodical&gt;&lt;full-title&gt;J Am Coll Cardiol&lt;/full-title&gt;&lt;/periodical&gt;&lt;pages&gt;1457-66&lt;/pages&gt;&lt;volume&gt;54&lt;/volume&gt;&lt;number&gt;15&lt;/number&gt;&lt;dates&gt;&lt;year&gt;2009&lt;/year&gt;&lt;pub-dates&gt;&lt;date&gt;2009-01-01&lt;/date&gt;&lt;/pub-dates&gt;&lt;/dates&gt;&lt;isbn&gt;0735-1097 (Print) 0735-1097&lt;/isbn&gt;&lt;urls&gt;&lt;related-urls&gt;&lt;url&gt;http://ac.els-cdn.com/S0735109709022451/1-s2.0-S0735109709022451-main.pdf?_tid=fafb48cc-c092-11e5-b964-00000aab0f6b&amp;amp;acdnat=1453417501_6eac3891612277439962d47546b6e40f&lt;/url&gt;&lt;/related-urls&gt;&lt;/urls&gt;&lt;custom1&gt;RAYYAN-INCLUSION: {&amp;quot;Sharon&amp;quot;=&amp;gt;true} | RAYYAN-LABELS: general&lt;/custom1&gt;&lt;language&gt;eng&lt;/language&gt;&lt;/record&gt;&lt;/Cite&gt;&lt;/EndNote&gt;</w:instrText>
            </w:r>
            <w:r w:rsidRPr="00976FCD">
              <w:rPr>
                <w:snapToGrid w:val="0"/>
              </w:rPr>
              <w:fldChar w:fldCharType="separate"/>
            </w:r>
            <w:hyperlink w:anchor="_ENREF_15" w:tooltip="Bruder O, 2009 #108" w:history="1">
              <w:r w:rsidR="00B906E9" w:rsidRPr="00976FCD">
                <w:rPr>
                  <w:noProof/>
                  <w:snapToGrid w:val="0"/>
                </w:rPr>
                <w:t xml:space="preserve">Bruder et al. </w:t>
              </w:r>
              <w:r w:rsidR="006F6A06">
                <w:rPr>
                  <w:noProof/>
                  <w:snapToGrid w:val="0"/>
                </w:rPr>
                <w:t>(</w:t>
              </w:r>
              <w:r w:rsidR="00B906E9" w:rsidRPr="00976FCD">
                <w:rPr>
                  <w:noProof/>
                  <w:snapToGrid w:val="0"/>
                </w:rPr>
                <w:t>2009</w:t>
              </w:r>
            </w:hyperlink>
            <w:r w:rsidRPr="00976FCD">
              <w:rPr>
                <w:noProof/>
                <w:snapToGrid w:val="0"/>
              </w:rPr>
              <w:t>)</w:t>
            </w:r>
            <w:r w:rsidRPr="00976FCD">
              <w:rPr>
                <w:snapToGrid w:val="0"/>
              </w:rPr>
              <w:fldChar w:fldCharType="end"/>
            </w:r>
          </w:p>
        </w:tc>
        <w:tc>
          <w:tcPr>
            <w:tcW w:w="392" w:type="pct"/>
          </w:tcPr>
          <w:p w14:paraId="45F2D21C" w14:textId="1381FD8B" w:rsidR="00355922" w:rsidRPr="00976FCD" w:rsidRDefault="00355922" w:rsidP="004C79C1">
            <w:pPr>
              <w:pStyle w:val="TableText0"/>
              <w:spacing w:before="0" w:after="120"/>
              <w:jc w:val="right"/>
              <w:rPr>
                <w:snapToGrid w:val="0"/>
              </w:rPr>
            </w:pPr>
            <w:r>
              <w:rPr>
                <w:snapToGrid w:val="0"/>
              </w:rPr>
              <w:t>3</w:t>
            </w:r>
            <w:r w:rsidR="003B33E4">
              <w:rPr>
                <w:snapToGrid w:val="0"/>
              </w:rPr>
              <w:t>,</w:t>
            </w:r>
            <w:r>
              <w:rPr>
                <w:snapToGrid w:val="0"/>
              </w:rPr>
              <w:t>511</w:t>
            </w:r>
          </w:p>
        </w:tc>
        <w:tc>
          <w:tcPr>
            <w:tcW w:w="1329" w:type="pct"/>
          </w:tcPr>
          <w:p w14:paraId="0F735B1C" w14:textId="02648C98" w:rsidR="00355922" w:rsidRDefault="00355922" w:rsidP="004C79C1">
            <w:pPr>
              <w:pStyle w:val="TableText0"/>
              <w:spacing w:before="0" w:after="120"/>
              <w:rPr>
                <w:snapToGrid w:val="0"/>
              </w:rPr>
            </w:pPr>
            <w:r>
              <w:rPr>
                <w:snapToGrid w:val="0"/>
              </w:rPr>
              <w:t>Case series with before</w:t>
            </w:r>
            <w:r w:rsidR="00B52BE2">
              <w:rPr>
                <w:snapToGrid w:val="0"/>
              </w:rPr>
              <w:t>-</w:t>
            </w:r>
            <w:r>
              <w:rPr>
                <w:snapToGrid w:val="0"/>
              </w:rPr>
              <w:t>and</w:t>
            </w:r>
            <w:r w:rsidR="00B52BE2">
              <w:rPr>
                <w:snapToGrid w:val="0"/>
              </w:rPr>
              <w:t>-</w:t>
            </w:r>
            <w:r>
              <w:rPr>
                <w:snapToGrid w:val="0"/>
              </w:rPr>
              <w:t>after data</w:t>
            </w:r>
          </w:p>
          <w:p w14:paraId="577AF9F7" w14:textId="77777777" w:rsidR="00355922" w:rsidRDefault="00355922" w:rsidP="004C79C1">
            <w:pPr>
              <w:pStyle w:val="TableText0"/>
              <w:spacing w:before="0" w:after="120"/>
              <w:rPr>
                <w:snapToGrid w:val="0"/>
              </w:rPr>
            </w:pPr>
            <w:r>
              <w:rPr>
                <w:snapToGrid w:val="0"/>
              </w:rPr>
              <w:t>Enrolment period 21 months</w:t>
            </w:r>
          </w:p>
          <w:p w14:paraId="23D46CCC" w14:textId="77777777" w:rsidR="00355922" w:rsidRPr="00976FCD" w:rsidRDefault="00355922" w:rsidP="004C79C1">
            <w:pPr>
              <w:pStyle w:val="TableText0"/>
              <w:spacing w:before="0" w:after="120"/>
              <w:rPr>
                <w:snapToGrid w:val="0"/>
              </w:rPr>
            </w:pPr>
            <w:r>
              <w:rPr>
                <w:snapToGrid w:val="0"/>
              </w:rPr>
              <w:t>No follow-up</w:t>
            </w:r>
          </w:p>
        </w:tc>
        <w:tc>
          <w:tcPr>
            <w:tcW w:w="704" w:type="pct"/>
          </w:tcPr>
          <w:p w14:paraId="275E8F73" w14:textId="77777777" w:rsidR="00355922" w:rsidRPr="00976FCD" w:rsidRDefault="00355922" w:rsidP="004C79C1">
            <w:pPr>
              <w:pStyle w:val="TableText0"/>
              <w:spacing w:before="0" w:after="120"/>
              <w:rPr>
                <w:snapToGrid w:val="0"/>
              </w:rPr>
            </w:pPr>
            <w:r w:rsidRPr="00976FCD">
              <w:rPr>
                <w:snapToGrid w:val="0"/>
              </w:rPr>
              <w:t>Low</w:t>
            </w:r>
          </w:p>
        </w:tc>
        <w:tc>
          <w:tcPr>
            <w:tcW w:w="973" w:type="pct"/>
          </w:tcPr>
          <w:p w14:paraId="71B1F13C" w14:textId="77777777" w:rsidR="00355922" w:rsidRPr="00976FCD" w:rsidRDefault="00355922" w:rsidP="004C79C1">
            <w:pPr>
              <w:pStyle w:val="TableText0"/>
              <w:spacing w:before="0" w:after="120"/>
              <w:rPr>
                <w:snapToGrid w:val="0"/>
              </w:rPr>
            </w:pPr>
            <w:r w:rsidRPr="00976FCD">
              <w:rPr>
                <w:snapToGrid w:val="0"/>
              </w:rPr>
              <w:t>Patients indicated for myocarditis or CM</w:t>
            </w:r>
            <w:r>
              <w:rPr>
                <w:snapToGrid w:val="0"/>
              </w:rPr>
              <w:t xml:space="preserve"> </w:t>
            </w:r>
          </w:p>
        </w:tc>
        <w:tc>
          <w:tcPr>
            <w:tcW w:w="1059" w:type="pct"/>
          </w:tcPr>
          <w:p w14:paraId="52808F6B" w14:textId="77777777" w:rsidR="00355922" w:rsidRDefault="00355922" w:rsidP="004C79C1">
            <w:pPr>
              <w:pStyle w:val="TableText0"/>
              <w:spacing w:before="0" w:after="120"/>
              <w:rPr>
                <w:snapToGrid w:val="0"/>
              </w:rPr>
            </w:pPr>
            <w:r>
              <w:rPr>
                <w:snapToGrid w:val="0"/>
              </w:rPr>
              <w:t xml:space="preserve">New diagnoses </w:t>
            </w:r>
          </w:p>
          <w:p w14:paraId="290AE931" w14:textId="77777777" w:rsidR="00355922" w:rsidRDefault="00355922" w:rsidP="004C79C1">
            <w:pPr>
              <w:pStyle w:val="TableText0"/>
              <w:spacing w:before="0" w:after="120"/>
              <w:rPr>
                <w:snapToGrid w:val="0"/>
              </w:rPr>
            </w:pPr>
            <w:r>
              <w:rPr>
                <w:snapToGrid w:val="0"/>
              </w:rPr>
              <w:t>Therapeutic consequences</w:t>
            </w:r>
          </w:p>
          <w:p w14:paraId="22A0D72B" w14:textId="77777777" w:rsidR="00355922" w:rsidRPr="00976FCD" w:rsidRDefault="00355922" w:rsidP="004C79C1">
            <w:pPr>
              <w:pStyle w:val="TableText0"/>
              <w:spacing w:before="0" w:after="120"/>
              <w:rPr>
                <w:snapToGrid w:val="0"/>
              </w:rPr>
            </w:pPr>
            <w:r>
              <w:rPr>
                <w:snapToGrid w:val="0"/>
              </w:rPr>
              <w:t>Non-invasive imaging ordered after CMR</w:t>
            </w:r>
          </w:p>
        </w:tc>
      </w:tr>
      <w:tr w:rsidR="00355922" w:rsidRPr="00183E4D" w14:paraId="6FC48964" w14:textId="77777777" w:rsidTr="004557E8">
        <w:tc>
          <w:tcPr>
            <w:tcW w:w="543" w:type="pct"/>
          </w:tcPr>
          <w:p w14:paraId="5B43BE39" w14:textId="6E172606" w:rsidR="00355922" w:rsidRPr="00976FCD" w:rsidRDefault="00355922" w:rsidP="004C79C1">
            <w:pPr>
              <w:pStyle w:val="TableText0"/>
              <w:spacing w:before="0" w:after="120"/>
              <w:rPr>
                <w:snapToGrid w:val="0"/>
              </w:rPr>
            </w:pPr>
            <w:r>
              <w:rPr>
                <w:snapToGrid w:val="0"/>
              </w:rPr>
              <w:fldChar w:fldCharType="begin"/>
            </w:r>
            <w:r>
              <w:rPr>
                <w:snapToGrid w:val="0"/>
              </w:rPr>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rPr>
                <w:snapToGrid w:val="0"/>
              </w:rPr>
              <w:fldChar w:fldCharType="separate"/>
            </w:r>
            <w:hyperlink w:anchor="_ENREF_1" w:tooltip="Abassi SA, 2013 #106" w:history="1">
              <w:r w:rsidR="00B906E9">
                <w:rPr>
                  <w:noProof/>
                  <w:snapToGrid w:val="0"/>
                </w:rPr>
                <w:t xml:space="preserve">Abassi et al. </w:t>
              </w:r>
              <w:r w:rsidR="006F6A06">
                <w:rPr>
                  <w:noProof/>
                  <w:snapToGrid w:val="0"/>
                </w:rPr>
                <w:t>(</w:t>
              </w:r>
              <w:r w:rsidR="00B906E9">
                <w:rPr>
                  <w:noProof/>
                  <w:snapToGrid w:val="0"/>
                </w:rPr>
                <w:t>2013</w:t>
              </w:r>
            </w:hyperlink>
            <w:r>
              <w:rPr>
                <w:noProof/>
                <w:snapToGrid w:val="0"/>
              </w:rPr>
              <w:t>)</w:t>
            </w:r>
            <w:r>
              <w:rPr>
                <w:snapToGrid w:val="0"/>
              </w:rPr>
              <w:fldChar w:fldCharType="end"/>
            </w:r>
          </w:p>
        </w:tc>
        <w:tc>
          <w:tcPr>
            <w:tcW w:w="392" w:type="pct"/>
          </w:tcPr>
          <w:p w14:paraId="50E56A2C" w14:textId="77777777" w:rsidR="00355922" w:rsidRDefault="00355922" w:rsidP="004C79C1">
            <w:pPr>
              <w:pStyle w:val="TableText0"/>
              <w:spacing w:before="0" w:after="120"/>
              <w:jc w:val="right"/>
              <w:rPr>
                <w:snapToGrid w:val="0"/>
              </w:rPr>
            </w:pPr>
            <w:r>
              <w:rPr>
                <w:snapToGrid w:val="0"/>
              </w:rPr>
              <w:t>150</w:t>
            </w:r>
          </w:p>
        </w:tc>
        <w:tc>
          <w:tcPr>
            <w:tcW w:w="1329" w:type="pct"/>
          </w:tcPr>
          <w:p w14:paraId="0C26EF2E" w14:textId="352DF313" w:rsidR="00355922" w:rsidRDefault="00355922" w:rsidP="004C79C1">
            <w:pPr>
              <w:pStyle w:val="TableText0"/>
              <w:spacing w:before="0" w:after="120"/>
              <w:rPr>
                <w:snapToGrid w:val="0"/>
              </w:rPr>
            </w:pPr>
            <w:r>
              <w:rPr>
                <w:snapToGrid w:val="0"/>
              </w:rPr>
              <w:t>Case series with before</w:t>
            </w:r>
            <w:r w:rsidR="00B52BE2">
              <w:rPr>
                <w:snapToGrid w:val="0"/>
              </w:rPr>
              <w:t>-</w:t>
            </w:r>
            <w:r>
              <w:rPr>
                <w:snapToGrid w:val="0"/>
              </w:rPr>
              <w:t>and</w:t>
            </w:r>
            <w:r w:rsidR="00B52BE2">
              <w:rPr>
                <w:snapToGrid w:val="0"/>
              </w:rPr>
              <w:t>-</w:t>
            </w:r>
            <w:r>
              <w:rPr>
                <w:snapToGrid w:val="0"/>
              </w:rPr>
              <w:t>after data</w:t>
            </w:r>
          </w:p>
          <w:p w14:paraId="4CB27F58" w14:textId="77777777" w:rsidR="00355922" w:rsidRDefault="00355922" w:rsidP="004C79C1">
            <w:pPr>
              <w:pStyle w:val="TableText0"/>
              <w:spacing w:before="0" w:after="120"/>
              <w:rPr>
                <w:snapToGrid w:val="0"/>
              </w:rPr>
            </w:pPr>
            <w:r>
              <w:rPr>
                <w:snapToGrid w:val="0"/>
              </w:rPr>
              <w:t>Enrolment period 6 months</w:t>
            </w:r>
          </w:p>
          <w:p w14:paraId="76CC1F51" w14:textId="77777777" w:rsidR="00355922" w:rsidRPr="000E61EA" w:rsidRDefault="00355922" w:rsidP="004C79C1">
            <w:pPr>
              <w:pStyle w:val="TableText0"/>
              <w:spacing w:before="0" w:after="120"/>
              <w:rPr>
                <w:snapToGrid w:val="0"/>
                <w:vertAlign w:val="superscript"/>
              </w:rPr>
            </w:pPr>
            <w:r>
              <w:rPr>
                <w:snapToGrid w:val="0"/>
              </w:rPr>
              <w:t>No follow-up</w:t>
            </w:r>
          </w:p>
        </w:tc>
        <w:tc>
          <w:tcPr>
            <w:tcW w:w="704" w:type="pct"/>
          </w:tcPr>
          <w:p w14:paraId="0FDA6A27" w14:textId="77777777" w:rsidR="00355922" w:rsidRPr="00976FCD" w:rsidRDefault="00355922" w:rsidP="004C79C1">
            <w:pPr>
              <w:pStyle w:val="TableText0"/>
              <w:spacing w:before="0" w:after="120"/>
              <w:rPr>
                <w:snapToGrid w:val="0"/>
              </w:rPr>
            </w:pPr>
            <w:r>
              <w:rPr>
                <w:snapToGrid w:val="0"/>
              </w:rPr>
              <w:t>Low</w:t>
            </w:r>
          </w:p>
        </w:tc>
        <w:tc>
          <w:tcPr>
            <w:tcW w:w="973" w:type="pct"/>
          </w:tcPr>
          <w:p w14:paraId="49271A3B" w14:textId="0CC63A63" w:rsidR="00355922" w:rsidRDefault="00355922" w:rsidP="004C79C1">
            <w:pPr>
              <w:pStyle w:val="TableText0"/>
              <w:spacing w:before="0" w:after="120"/>
              <w:rPr>
                <w:snapToGrid w:val="0"/>
              </w:rPr>
            </w:pPr>
            <w:r>
              <w:rPr>
                <w:snapToGrid w:val="0"/>
              </w:rPr>
              <w:t xml:space="preserve">Patients with LVEF ≤50% </w:t>
            </w:r>
          </w:p>
          <w:p w14:paraId="7C262EE2" w14:textId="77777777" w:rsidR="00355922" w:rsidRPr="00976FCD" w:rsidRDefault="00355922" w:rsidP="004C79C1">
            <w:pPr>
              <w:pStyle w:val="TableText0"/>
              <w:spacing w:before="0" w:after="120"/>
              <w:rPr>
                <w:snapToGrid w:val="0"/>
              </w:rPr>
            </w:pPr>
            <w:r>
              <w:rPr>
                <w:snapToGrid w:val="0"/>
              </w:rPr>
              <w:t>Indications included CM of unknown aetiology (59%); viability (31%); suspected myocarditis (5%); other (5%)</w:t>
            </w:r>
          </w:p>
        </w:tc>
        <w:tc>
          <w:tcPr>
            <w:tcW w:w="1059" w:type="pct"/>
          </w:tcPr>
          <w:p w14:paraId="5FE1920E" w14:textId="77777777" w:rsidR="00355922" w:rsidRDefault="00355922" w:rsidP="004C79C1">
            <w:pPr>
              <w:pStyle w:val="TableText0"/>
              <w:spacing w:before="0" w:after="120"/>
              <w:rPr>
                <w:snapToGrid w:val="0"/>
              </w:rPr>
            </w:pPr>
            <w:r>
              <w:rPr>
                <w:snapToGrid w:val="0"/>
              </w:rPr>
              <w:t>Patients with significant clinical impacts</w:t>
            </w:r>
          </w:p>
          <w:p w14:paraId="6BAD09F6" w14:textId="77777777" w:rsidR="00355922" w:rsidRDefault="00355922" w:rsidP="004C79C1">
            <w:pPr>
              <w:pStyle w:val="TableText0"/>
              <w:spacing w:before="0" w:after="120"/>
              <w:rPr>
                <w:snapToGrid w:val="0"/>
              </w:rPr>
            </w:pPr>
            <w:r>
              <w:rPr>
                <w:snapToGrid w:val="0"/>
              </w:rPr>
              <w:t>New diagnoses</w:t>
            </w:r>
          </w:p>
          <w:p w14:paraId="68640B44" w14:textId="77777777" w:rsidR="00355922" w:rsidRDefault="00355922" w:rsidP="004C79C1">
            <w:pPr>
              <w:pStyle w:val="TableText0"/>
              <w:spacing w:before="0" w:after="120"/>
              <w:rPr>
                <w:snapToGrid w:val="0"/>
              </w:rPr>
            </w:pPr>
            <w:r>
              <w:rPr>
                <w:snapToGrid w:val="0"/>
              </w:rPr>
              <w:t>Change in management</w:t>
            </w:r>
          </w:p>
          <w:p w14:paraId="611114EE" w14:textId="173923D8" w:rsidR="00355922" w:rsidRDefault="00355922" w:rsidP="004C79C1">
            <w:pPr>
              <w:pStyle w:val="TableText0"/>
              <w:spacing w:before="0" w:after="120"/>
              <w:rPr>
                <w:snapToGrid w:val="0"/>
              </w:rPr>
            </w:pPr>
            <w:r>
              <w:rPr>
                <w:snapToGrid w:val="0"/>
              </w:rPr>
              <w:t>Predictors of significant clinical impact (single and multivariable analysis)</w:t>
            </w:r>
          </w:p>
        </w:tc>
      </w:tr>
      <w:tr w:rsidR="00355922" w:rsidRPr="00183E4D" w14:paraId="69785DF8" w14:textId="77777777" w:rsidTr="004557E8">
        <w:tc>
          <w:tcPr>
            <w:tcW w:w="543" w:type="pct"/>
          </w:tcPr>
          <w:p w14:paraId="61D7A222" w14:textId="4A3C6256" w:rsidR="00355922" w:rsidRPr="00976FCD" w:rsidRDefault="00355922" w:rsidP="004C79C1">
            <w:pPr>
              <w:pStyle w:val="TableText0"/>
              <w:spacing w:before="0" w:after="120"/>
              <w:rPr>
                <w:snapToGrid w:val="0"/>
              </w:rPr>
            </w:pPr>
            <w:r>
              <w:rPr>
                <w:snapToGrid w:val="0"/>
              </w:rPr>
              <w:fldChar w:fldCharType="begin"/>
            </w:r>
            <w:r>
              <w:rPr>
                <w:snapToGrid w:val="0"/>
              </w:rPr>
              <w:instrText xml:space="preserve"> ADDIN EN.CITE &lt;EndNote&gt;&lt;Cite&gt;&lt;Author&gt;Taylor AJ&lt;/Author&gt;&lt;Year&gt;2013&lt;/Year&gt;&lt;RecNum&gt;109&lt;/RecNum&gt;&lt;IDText&gt;855-64&lt;/IDText&gt;&lt;DisplayText&gt;(Taylor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rPr>
                <w:snapToGrid w:val="0"/>
              </w:rPr>
              <w:fldChar w:fldCharType="separate"/>
            </w:r>
            <w:hyperlink w:anchor="_ENREF_126" w:tooltip="Taylor AJ, 2013 #109" w:history="1">
              <w:r w:rsidR="00B906E9">
                <w:rPr>
                  <w:noProof/>
                  <w:snapToGrid w:val="0"/>
                </w:rPr>
                <w:t>Taylor</w:t>
              </w:r>
              <w:r w:rsidR="00DB55CA">
                <w:rPr>
                  <w:noProof/>
                  <w:snapToGrid w:val="0"/>
                </w:rPr>
                <w:t>,</w:t>
              </w:r>
              <w:r w:rsidR="00B906E9">
                <w:rPr>
                  <w:noProof/>
                  <w:snapToGrid w:val="0"/>
                </w:rPr>
                <w:t xml:space="preserve"> AJ et al. </w:t>
              </w:r>
              <w:r w:rsidR="006F6A06">
                <w:rPr>
                  <w:noProof/>
                  <w:snapToGrid w:val="0"/>
                </w:rPr>
                <w:t>(</w:t>
              </w:r>
              <w:r w:rsidR="00B906E9">
                <w:rPr>
                  <w:noProof/>
                  <w:snapToGrid w:val="0"/>
                </w:rPr>
                <w:t>2013</w:t>
              </w:r>
            </w:hyperlink>
            <w:r>
              <w:rPr>
                <w:noProof/>
                <w:snapToGrid w:val="0"/>
              </w:rPr>
              <w:t>)</w:t>
            </w:r>
            <w:r>
              <w:rPr>
                <w:snapToGrid w:val="0"/>
              </w:rPr>
              <w:fldChar w:fldCharType="end"/>
            </w:r>
          </w:p>
        </w:tc>
        <w:tc>
          <w:tcPr>
            <w:tcW w:w="392" w:type="pct"/>
          </w:tcPr>
          <w:p w14:paraId="2873E644" w14:textId="77777777" w:rsidR="00355922" w:rsidRDefault="00355922" w:rsidP="004C79C1">
            <w:pPr>
              <w:pStyle w:val="TableText0"/>
              <w:spacing w:before="0" w:after="120"/>
              <w:jc w:val="right"/>
              <w:rPr>
                <w:snapToGrid w:val="0"/>
              </w:rPr>
            </w:pPr>
            <w:r>
              <w:rPr>
                <w:snapToGrid w:val="0"/>
              </w:rPr>
              <w:t>488</w:t>
            </w:r>
          </w:p>
        </w:tc>
        <w:tc>
          <w:tcPr>
            <w:tcW w:w="1329" w:type="pct"/>
          </w:tcPr>
          <w:p w14:paraId="01559879" w14:textId="6166C173" w:rsidR="00355922" w:rsidRDefault="00355922" w:rsidP="004C79C1">
            <w:pPr>
              <w:pStyle w:val="TableText0"/>
              <w:spacing w:before="0" w:after="120"/>
              <w:rPr>
                <w:snapToGrid w:val="0"/>
              </w:rPr>
            </w:pPr>
            <w:r>
              <w:rPr>
                <w:snapToGrid w:val="0"/>
              </w:rPr>
              <w:t>Case series with before</w:t>
            </w:r>
            <w:r w:rsidR="00B52BE2">
              <w:rPr>
                <w:snapToGrid w:val="0"/>
              </w:rPr>
              <w:t>-</w:t>
            </w:r>
            <w:r>
              <w:rPr>
                <w:snapToGrid w:val="0"/>
              </w:rPr>
              <w:t>and</w:t>
            </w:r>
            <w:r w:rsidR="00B52BE2">
              <w:rPr>
                <w:snapToGrid w:val="0"/>
              </w:rPr>
              <w:t>-</w:t>
            </w:r>
            <w:r>
              <w:rPr>
                <w:snapToGrid w:val="0"/>
              </w:rPr>
              <w:t>after data</w:t>
            </w:r>
          </w:p>
          <w:p w14:paraId="4BC6FE4C" w14:textId="77777777" w:rsidR="00355922" w:rsidRDefault="00355922" w:rsidP="004C79C1">
            <w:pPr>
              <w:pStyle w:val="TableText0"/>
              <w:spacing w:before="0" w:after="120"/>
              <w:rPr>
                <w:snapToGrid w:val="0"/>
              </w:rPr>
            </w:pPr>
            <w:r>
              <w:rPr>
                <w:snapToGrid w:val="0"/>
              </w:rPr>
              <w:t>Enrolment period 2 years</w:t>
            </w:r>
          </w:p>
          <w:p w14:paraId="2C16871F" w14:textId="77777777" w:rsidR="00355922" w:rsidRDefault="00355922" w:rsidP="004C79C1">
            <w:pPr>
              <w:pStyle w:val="TableText0"/>
              <w:spacing w:before="0" w:after="120"/>
              <w:rPr>
                <w:snapToGrid w:val="0"/>
              </w:rPr>
            </w:pPr>
            <w:r>
              <w:rPr>
                <w:snapToGrid w:val="0"/>
              </w:rPr>
              <w:t>Follow-up at 6 and 12 months</w:t>
            </w:r>
          </w:p>
        </w:tc>
        <w:tc>
          <w:tcPr>
            <w:tcW w:w="704" w:type="pct"/>
          </w:tcPr>
          <w:p w14:paraId="774A8993" w14:textId="77777777" w:rsidR="00355922" w:rsidRPr="00976FCD" w:rsidRDefault="00355922" w:rsidP="004C79C1">
            <w:pPr>
              <w:pStyle w:val="TableText0"/>
              <w:spacing w:before="0" w:after="120"/>
              <w:rPr>
                <w:snapToGrid w:val="0"/>
              </w:rPr>
            </w:pPr>
            <w:r>
              <w:rPr>
                <w:snapToGrid w:val="0"/>
              </w:rPr>
              <w:t>Low</w:t>
            </w:r>
          </w:p>
        </w:tc>
        <w:tc>
          <w:tcPr>
            <w:tcW w:w="973" w:type="pct"/>
          </w:tcPr>
          <w:p w14:paraId="018CBA07" w14:textId="738894B6" w:rsidR="00355922" w:rsidRPr="00976FCD" w:rsidRDefault="00355922" w:rsidP="004C79C1">
            <w:pPr>
              <w:pStyle w:val="TableText0"/>
              <w:spacing w:before="0" w:after="120"/>
              <w:rPr>
                <w:snapToGrid w:val="0"/>
              </w:rPr>
            </w:pPr>
            <w:r>
              <w:rPr>
                <w:snapToGrid w:val="0"/>
              </w:rPr>
              <w:t>Patients with a treatment plan for CM</w:t>
            </w:r>
            <w:r w:rsidR="00DD1045">
              <w:rPr>
                <w:snapToGrid w:val="0"/>
              </w:rPr>
              <w:t xml:space="preserve"> (90% DCM)</w:t>
            </w:r>
            <w:r w:rsidR="00F615C1">
              <w:rPr>
                <w:snapToGrid w:val="0"/>
              </w:rPr>
              <w:t>, ischaemia ruled out</w:t>
            </w:r>
          </w:p>
        </w:tc>
        <w:tc>
          <w:tcPr>
            <w:tcW w:w="1059" w:type="pct"/>
          </w:tcPr>
          <w:p w14:paraId="0EC94822" w14:textId="444A1001" w:rsidR="00355922" w:rsidRDefault="00355922" w:rsidP="004C79C1">
            <w:pPr>
              <w:pStyle w:val="TableText0"/>
              <w:spacing w:before="0" w:after="120"/>
              <w:rPr>
                <w:snapToGrid w:val="0"/>
              </w:rPr>
            </w:pPr>
            <w:r>
              <w:rPr>
                <w:snapToGrid w:val="0"/>
              </w:rPr>
              <w:t>Change in treatment plan</w:t>
            </w:r>
            <w:r w:rsidR="00AE0772">
              <w:rPr>
                <w:snapToGrid w:val="0"/>
              </w:rPr>
              <w:t>:</w:t>
            </w:r>
          </w:p>
          <w:p w14:paraId="5AE0EC8F" w14:textId="77777777" w:rsidR="00355922" w:rsidRDefault="00355922" w:rsidP="004C79C1">
            <w:pPr>
              <w:pStyle w:val="TableText0"/>
              <w:spacing w:before="0" w:after="120"/>
              <w:ind w:left="254"/>
              <w:rPr>
                <w:snapToGrid w:val="0"/>
              </w:rPr>
            </w:pPr>
            <w:r>
              <w:rPr>
                <w:snapToGrid w:val="0"/>
              </w:rPr>
              <w:t>Avoided surgery</w:t>
            </w:r>
          </w:p>
          <w:p w14:paraId="01E015BD" w14:textId="77777777" w:rsidR="00355922" w:rsidRDefault="00355922" w:rsidP="004C79C1">
            <w:pPr>
              <w:pStyle w:val="TableText0"/>
              <w:spacing w:before="0" w:after="120"/>
              <w:ind w:left="254"/>
              <w:rPr>
                <w:snapToGrid w:val="0"/>
              </w:rPr>
            </w:pPr>
            <w:r>
              <w:rPr>
                <w:snapToGrid w:val="0"/>
              </w:rPr>
              <w:t>Avoided implanted device</w:t>
            </w:r>
          </w:p>
          <w:p w14:paraId="0CAE9F1F" w14:textId="77777777" w:rsidR="00355922" w:rsidRDefault="00355922" w:rsidP="004C79C1">
            <w:pPr>
              <w:pStyle w:val="TableText0"/>
              <w:spacing w:before="0" w:after="120"/>
              <w:ind w:left="254"/>
              <w:rPr>
                <w:snapToGrid w:val="0"/>
              </w:rPr>
            </w:pPr>
            <w:r>
              <w:rPr>
                <w:snapToGrid w:val="0"/>
              </w:rPr>
              <w:t>Added implanted device</w:t>
            </w:r>
          </w:p>
          <w:p w14:paraId="0709730D" w14:textId="79AB1763" w:rsidR="00355922" w:rsidRDefault="00355922" w:rsidP="004C79C1">
            <w:pPr>
              <w:pStyle w:val="TableText0"/>
              <w:spacing w:before="0" w:after="120"/>
              <w:ind w:left="254"/>
              <w:rPr>
                <w:snapToGrid w:val="0"/>
              </w:rPr>
            </w:pPr>
            <w:r>
              <w:rPr>
                <w:snapToGrid w:val="0"/>
              </w:rPr>
              <w:t>Added surgery</w:t>
            </w:r>
          </w:p>
        </w:tc>
      </w:tr>
      <w:tr w:rsidR="00355922" w:rsidRPr="00183E4D" w14:paraId="47CE8DFF" w14:textId="77777777" w:rsidTr="004557E8">
        <w:tc>
          <w:tcPr>
            <w:tcW w:w="543" w:type="pct"/>
          </w:tcPr>
          <w:p w14:paraId="49B9DEE1" w14:textId="607FCA3F" w:rsidR="00355922" w:rsidRDefault="00355922" w:rsidP="004C79C1">
            <w:pPr>
              <w:pStyle w:val="TableText0"/>
              <w:spacing w:before="0" w:after="120"/>
              <w:rPr>
                <w:snapToGrid w:val="0"/>
              </w:rPr>
            </w:pPr>
            <w:r>
              <w:rPr>
                <w:snapToGrid w:val="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Pr>
                <w:snapToGrid w:val="0"/>
              </w:rPr>
              <w:instrText xml:space="preserve"> ADDIN EN.CITE </w:instrText>
            </w:r>
            <w:r>
              <w:rPr>
                <w:snapToGrid w:val="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hyperlink w:anchor="_ENREF_14" w:tooltip="Broch, 2015 #107" w:history="1">
              <w:r w:rsidR="00B906E9">
                <w:rPr>
                  <w:noProof/>
                  <w:snapToGrid w:val="0"/>
                </w:rPr>
                <w:t xml:space="preserve">Broch et al. </w:t>
              </w:r>
              <w:r w:rsidR="00AE691B">
                <w:rPr>
                  <w:noProof/>
                  <w:snapToGrid w:val="0"/>
                </w:rPr>
                <w:t>(</w:t>
              </w:r>
              <w:r w:rsidR="00B906E9">
                <w:rPr>
                  <w:noProof/>
                  <w:snapToGrid w:val="0"/>
                </w:rPr>
                <w:t>2015</w:t>
              </w:r>
            </w:hyperlink>
            <w:r>
              <w:rPr>
                <w:noProof/>
                <w:snapToGrid w:val="0"/>
              </w:rPr>
              <w:t>)</w:t>
            </w:r>
            <w:r>
              <w:rPr>
                <w:snapToGrid w:val="0"/>
              </w:rPr>
              <w:fldChar w:fldCharType="end"/>
            </w:r>
          </w:p>
        </w:tc>
        <w:tc>
          <w:tcPr>
            <w:tcW w:w="392" w:type="pct"/>
          </w:tcPr>
          <w:p w14:paraId="7AA82F8F" w14:textId="77777777" w:rsidR="00355922" w:rsidRDefault="00355922" w:rsidP="004C79C1">
            <w:pPr>
              <w:pStyle w:val="TableText0"/>
              <w:spacing w:before="0" w:after="120"/>
              <w:jc w:val="right"/>
              <w:rPr>
                <w:snapToGrid w:val="0"/>
              </w:rPr>
            </w:pPr>
            <w:r>
              <w:rPr>
                <w:snapToGrid w:val="0"/>
              </w:rPr>
              <w:t>88</w:t>
            </w:r>
          </w:p>
        </w:tc>
        <w:tc>
          <w:tcPr>
            <w:tcW w:w="1329" w:type="pct"/>
          </w:tcPr>
          <w:p w14:paraId="21356847" w14:textId="77777777" w:rsidR="00355922" w:rsidRDefault="00355922" w:rsidP="004C79C1">
            <w:pPr>
              <w:pStyle w:val="TableText0"/>
              <w:spacing w:before="0" w:after="120"/>
              <w:rPr>
                <w:snapToGrid w:val="0"/>
              </w:rPr>
            </w:pPr>
            <w:r>
              <w:rPr>
                <w:snapToGrid w:val="0"/>
              </w:rPr>
              <w:t>Cohort study</w:t>
            </w:r>
          </w:p>
          <w:p w14:paraId="18EE31DB" w14:textId="25052FE6" w:rsidR="00355922" w:rsidRDefault="00355922" w:rsidP="004C79C1">
            <w:pPr>
              <w:pStyle w:val="TableText0"/>
              <w:spacing w:before="0" w:after="120"/>
              <w:rPr>
                <w:snapToGrid w:val="0"/>
              </w:rPr>
            </w:pPr>
            <w:r>
              <w:rPr>
                <w:snapToGrid w:val="0"/>
              </w:rPr>
              <w:t>Enrolment period 4 years (Oct</w:t>
            </w:r>
            <w:r w:rsidR="00A136F9">
              <w:rPr>
                <w:snapToGrid w:val="0"/>
              </w:rPr>
              <w:t>ober</w:t>
            </w:r>
            <w:r>
              <w:rPr>
                <w:snapToGrid w:val="0"/>
              </w:rPr>
              <w:t xml:space="preserve"> 2008 to Nov</w:t>
            </w:r>
            <w:r w:rsidR="00A136F9">
              <w:rPr>
                <w:snapToGrid w:val="0"/>
              </w:rPr>
              <w:t xml:space="preserve">ember </w:t>
            </w:r>
            <w:r>
              <w:rPr>
                <w:snapToGrid w:val="0"/>
              </w:rPr>
              <w:t>2012)</w:t>
            </w:r>
          </w:p>
          <w:p w14:paraId="04FB4BAB" w14:textId="74936554" w:rsidR="00355922" w:rsidRDefault="00355922" w:rsidP="004C79C1">
            <w:pPr>
              <w:pStyle w:val="TableText0"/>
              <w:spacing w:before="0" w:after="120"/>
              <w:rPr>
                <w:snapToGrid w:val="0"/>
              </w:rPr>
            </w:pPr>
            <w:r>
              <w:rPr>
                <w:snapToGrid w:val="0"/>
              </w:rPr>
              <w:t>Follow-up at 1 year after inclusion and long-term (approximately 2</w:t>
            </w:r>
            <w:r w:rsidR="00242AD2">
              <w:rPr>
                <w:snapToGrid w:val="0"/>
              </w:rPr>
              <w:t>–</w:t>
            </w:r>
            <w:r>
              <w:rPr>
                <w:snapToGrid w:val="0"/>
              </w:rPr>
              <w:t>5</w:t>
            </w:r>
            <w:r w:rsidR="00242AD2">
              <w:rPr>
                <w:snapToGrid w:val="0"/>
              </w:rPr>
              <w:t> </w:t>
            </w:r>
            <w:r>
              <w:rPr>
                <w:snapToGrid w:val="0"/>
              </w:rPr>
              <w:t>years)</w:t>
            </w:r>
          </w:p>
        </w:tc>
        <w:tc>
          <w:tcPr>
            <w:tcW w:w="704" w:type="pct"/>
          </w:tcPr>
          <w:p w14:paraId="37929FEF" w14:textId="77777777" w:rsidR="00355922" w:rsidRDefault="00355922" w:rsidP="004C79C1">
            <w:pPr>
              <w:pStyle w:val="TableText0"/>
              <w:spacing w:before="0" w:after="120"/>
              <w:rPr>
                <w:snapToGrid w:val="0"/>
              </w:rPr>
            </w:pPr>
            <w:r>
              <w:rPr>
                <w:snapToGrid w:val="0"/>
              </w:rPr>
              <w:t>Low</w:t>
            </w:r>
          </w:p>
        </w:tc>
        <w:tc>
          <w:tcPr>
            <w:tcW w:w="973" w:type="pct"/>
          </w:tcPr>
          <w:p w14:paraId="0F0E723D" w14:textId="77777777" w:rsidR="00355922" w:rsidRDefault="00355922" w:rsidP="004C79C1">
            <w:pPr>
              <w:pStyle w:val="TableText0"/>
              <w:spacing w:before="0" w:after="120"/>
              <w:rPr>
                <w:snapToGrid w:val="0"/>
              </w:rPr>
            </w:pPr>
            <w:r>
              <w:rPr>
                <w:snapToGrid w:val="0"/>
              </w:rPr>
              <w:t>Patients admitted to the cardiology department with suspected DCM, but without a known or suspected cause, LVEF ≤40%</w:t>
            </w:r>
          </w:p>
        </w:tc>
        <w:tc>
          <w:tcPr>
            <w:tcW w:w="1059" w:type="pct"/>
          </w:tcPr>
          <w:p w14:paraId="38413C8B" w14:textId="77777777" w:rsidR="00355922" w:rsidRDefault="00355922" w:rsidP="004C79C1">
            <w:pPr>
              <w:pStyle w:val="TableText0"/>
              <w:spacing w:before="0" w:after="120"/>
              <w:rPr>
                <w:snapToGrid w:val="0"/>
              </w:rPr>
            </w:pPr>
            <w:r>
              <w:rPr>
                <w:snapToGrid w:val="0"/>
              </w:rPr>
              <w:t>New diagnoses</w:t>
            </w:r>
          </w:p>
          <w:p w14:paraId="39BC64AE" w14:textId="77777777" w:rsidR="00355922" w:rsidRDefault="00355922" w:rsidP="004C79C1">
            <w:pPr>
              <w:pStyle w:val="TableText0"/>
              <w:spacing w:before="0" w:after="120"/>
              <w:rPr>
                <w:snapToGrid w:val="0"/>
              </w:rPr>
            </w:pPr>
            <w:r>
              <w:rPr>
                <w:snapToGrid w:val="0"/>
              </w:rPr>
              <w:t xml:space="preserve">Therapeutic consequences </w:t>
            </w:r>
          </w:p>
        </w:tc>
      </w:tr>
    </w:tbl>
    <w:p w14:paraId="6BE14866" w14:textId="55A349AA" w:rsidR="004F6C12" w:rsidRDefault="004F6C12" w:rsidP="004C79C1">
      <w:pPr>
        <w:pStyle w:val="Tablenotes0"/>
        <w:spacing w:before="0" w:after="120"/>
      </w:pPr>
      <w:proofErr w:type="gramStart"/>
      <w:r w:rsidRPr="00185224">
        <w:rPr>
          <w:vertAlign w:val="superscript"/>
        </w:rPr>
        <w:t>a</w:t>
      </w:r>
      <w:proofErr w:type="gramEnd"/>
      <w:r>
        <w:rPr>
          <w:vertAlign w:val="superscript"/>
        </w:rPr>
        <w:t xml:space="preserve"> </w:t>
      </w:r>
      <w:r>
        <w:t>Assessed using</w:t>
      </w:r>
      <w:r w:rsidRPr="00CF1C78">
        <w:t xml:space="preserve"> </w:t>
      </w:r>
      <w:r w:rsidRPr="00012326">
        <w:t>the NHLBI Quality Assessment Tool for Case Series</w:t>
      </w:r>
      <w:r>
        <w:t xml:space="preserve"> Studies</w:t>
      </w:r>
    </w:p>
    <w:p w14:paraId="5A2A44AE" w14:textId="7F1F13C9" w:rsidR="003F36FF" w:rsidRPr="00E01542" w:rsidRDefault="003F36FF" w:rsidP="004C79C1">
      <w:pPr>
        <w:pStyle w:val="Tablenotes0"/>
        <w:spacing w:before="0" w:after="120"/>
        <w:rPr>
          <w:highlight w:val="lightGray"/>
        </w:rPr>
      </w:pPr>
      <w:r w:rsidRPr="00E01542">
        <w:t>CM</w:t>
      </w:r>
      <w:r w:rsidR="00D5212F">
        <w:t xml:space="preserve"> </w:t>
      </w:r>
      <w:r w:rsidRPr="00E01542">
        <w:t>=</w:t>
      </w:r>
      <w:r w:rsidR="00D5212F">
        <w:t xml:space="preserve"> </w:t>
      </w:r>
      <w:r w:rsidRPr="00E01542">
        <w:t>cardiomyopathy; CMR</w:t>
      </w:r>
      <w:r w:rsidR="00D5212F">
        <w:t xml:space="preserve"> </w:t>
      </w:r>
      <w:r w:rsidRPr="00E01542">
        <w:t>=</w:t>
      </w:r>
      <w:r w:rsidR="00D5212F">
        <w:t xml:space="preserve"> </w:t>
      </w:r>
      <w:r w:rsidRPr="00E01542">
        <w:t xml:space="preserve">cardiac magnetic resonance </w:t>
      </w:r>
      <w:r w:rsidR="00555DDC">
        <w:t>(</w:t>
      </w:r>
      <w:r w:rsidRPr="00E01542">
        <w:t>imaging</w:t>
      </w:r>
      <w:r w:rsidR="00555DDC">
        <w:t>)</w:t>
      </w:r>
      <w:r w:rsidRPr="00E01542">
        <w:t xml:space="preserve">; </w:t>
      </w:r>
      <w:r w:rsidR="004C3D1E">
        <w:t xml:space="preserve">DCM </w:t>
      </w:r>
      <w:r w:rsidR="004C3D1E" w:rsidRPr="004C3D1E">
        <w:t xml:space="preserve">= </w:t>
      </w:r>
      <w:r w:rsidR="004C3D1E" w:rsidRPr="001C59E2">
        <w:t>dilated cardiomyopathy</w:t>
      </w:r>
      <w:r w:rsidR="004C3D1E" w:rsidRPr="004C3D1E">
        <w:t>;</w:t>
      </w:r>
      <w:r w:rsidR="00BA1BFC">
        <w:t xml:space="preserve"> </w:t>
      </w:r>
      <w:r w:rsidRPr="00E01542">
        <w:t>LVEF</w:t>
      </w:r>
      <w:r w:rsidR="00D5212F">
        <w:t xml:space="preserve"> </w:t>
      </w:r>
      <w:r w:rsidRPr="00E01542">
        <w:t>=</w:t>
      </w:r>
      <w:r w:rsidR="00D5212F">
        <w:t xml:space="preserve"> </w:t>
      </w:r>
      <w:r w:rsidRPr="00E01542">
        <w:t xml:space="preserve">left ventricular ejection fraction </w:t>
      </w:r>
    </w:p>
    <w:p w14:paraId="1F4019D4" w14:textId="22A9F3C1" w:rsidR="00DF6C3E" w:rsidRDefault="00D864CE" w:rsidP="00161B88">
      <w:pPr>
        <w:pStyle w:val="Heading3"/>
      </w:pPr>
      <w:bookmarkStart w:id="387" w:name="_Toc451501335"/>
      <w:r>
        <w:t xml:space="preserve">B5.1.4 </w:t>
      </w:r>
      <w:r w:rsidR="00DF6C3E" w:rsidRPr="00183E4D">
        <w:t xml:space="preserve">Outcome </w:t>
      </w:r>
      <w:r w:rsidR="00B25B25">
        <w:t>m</w:t>
      </w:r>
      <w:r w:rsidR="00DF6C3E" w:rsidRPr="00183E4D">
        <w:t xml:space="preserve">easures and </w:t>
      </w:r>
      <w:r w:rsidR="00B25B25">
        <w:t>a</w:t>
      </w:r>
      <w:r w:rsidR="00DF6C3E" w:rsidRPr="00183E4D">
        <w:t>nalysis</w:t>
      </w:r>
      <w:bookmarkEnd w:id="387"/>
    </w:p>
    <w:p w14:paraId="35D2D8F0" w14:textId="3A66A6A1" w:rsidR="003F36FF" w:rsidRPr="00183E4D" w:rsidRDefault="003F36FF" w:rsidP="004C79C1">
      <w:pPr>
        <w:spacing w:after="120" w:line="240" w:lineRule="auto"/>
        <w:jc w:val="both"/>
      </w:pPr>
      <w:r w:rsidRPr="00183E4D">
        <w:t xml:space="preserve">See </w:t>
      </w:r>
      <w:r w:rsidRPr="00177B88">
        <w:t>Appendix C</w:t>
      </w:r>
      <w:r w:rsidRPr="00183E4D">
        <w:t xml:space="preserve"> for details on the outcomes measured in the studies, along with the statistical methods used to analyse the results.</w:t>
      </w:r>
      <w:r>
        <w:t xml:space="preserve"> </w:t>
      </w:r>
      <w:r>
        <w:rPr>
          <w:highlight w:val="yellow"/>
        </w:rPr>
        <w:fldChar w:fldCharType="begin"/>
      </w:r>
      <w:r>
        <w:instrText xml:space="preserve"> REF _Ref445366910 \h </w:instrText>
      </w:r>
      <w:r>
        <w:rPr>
          <w:highlight w:val="yellow"/>
        </w:rPr>
      </w:r>
      <w:r>
        <w:rPr>
          <w:highlight w:val="yellow"/>
        </w:rPr>
        <w:fldChar w:fldCharType="separate"/>
      </w:r>
      <w:r w:rsidR="00F31A49" w:rsidRPr="00401C93">
        <w:t xml:space="preserve">Table </w:t>
      </w:r>
      <w:r w:rsidR="00F31A49">
        <w:rPr>
          <w:noProof/>
        </w:rPr>
        <w:t>17</w:t>
      </w:r>
      <w:r>
        <w:rPr>
          <w:highlight w:val="yellow"/>
        </w:rPr>
        <w:fldChar w:fldCharType="end"/>
      </w:r>
      <w:r>
        <w:t xml:space="preserve"> lists the key outcomes and their clinical importance in the context of this review.</w:t>
      </w:r>
    </w:p>
    <w:p w14:paraId="675F4B05" w14:textId="50FD8295" w:rsidR="003F36FF" w:rsidRDefault="003F36FF" w:rsidP="004C79C1">
      <w:pPr>
        <w:spacing w:after="120" w:line="240" w:lineRule="auto"/>
        <w:jc w:val="both"/>
      </w:pPr>
      <w:r w:rsidRPr="00012326">
        <w:lastRenderedPageBreak/>
        <w:t xml:space="preserve">The evidence for the impact of CMR on clinical management of patients with DCM, CM or </w:t>
      </w:r>
      <w:r w:rsidR="007D3B31">
        <w:t>HF</w:t>
      </w:r>
      <w:r w:rsidRPr="00012326">
        <w:t xml:space="preserve"> is reported primarily in outcomes of new or changed diagnoses, change in therapy or management, avoided surgery or invasive procedure</w:t>
      </w:r>
      <w:r>
        <w:t>, reported as patient numbers and proportions</w:t>
      </w:r>
      <w:r w:rsidRPr="00012326">
        <w:t xml:space="preserve">. </w:t>
      </w:r>
      <w:r>
        <w:t>Case series with pre-</w:t>
      </w:r>
      <w:r w:rsidR="007D3B31">
        <w:t xml:space="preserve"> </w:t>
      </w:r>
      <w:r>
        <w:t xml:space="preserve">and post-test outcomes are considered typical for evidence of clinical management changes </w:t>
      </w:r>
      <w:r w:rsidR="00992437">
        <w:fldChar w:fldCharType="begin"/>
      </w:r>
      <w:r w:rsidR="00B906E9">
        <w:instrText xml:space="preserve"> ADDIN EN.CITE &lt;EndNote&gt;&lt;Cite&gt;&lt;Author&gt;MSAC&lt;/Author&gt;&lt;Year&gt;2005&lt;/Year&gt;&lt;RecNum&gt;110&lt;/RecNum&gt;&lt;DisplayText&gt;(MSAC 2005b)&lt;/DisplayText&gt;&lt;record&gt;&lt;rec-number&gt;110&lt;/rec-number&gt;&lt;foreign-keys&gt;&lt;key app="EN" db-id="pfxxvref0t0a5de2vwnv2fwkz0p9v0r2fw0t" timestamp="1458688105"&gt;110&lt;/key&gt;&lt;/foreign-keys&gt;&lt;ref-type name="Report"&gt;27&lt;/ref-type&gt;&lt;contributors&gt;&lt;authors&gt;&lt;author&gt;MSAC&lt;/author&gt;&lt;/authors&gt;&lt;secondary-authors&gt;&lt;author&gt;Medical Services Advisory Committee&lt;/author&gt;&lt;/secondary-authors&gt;&lt;/contributors&gt;&lt;titles&gt;&lt;title&gt;Guidelines for the assessment of diagnostic technologies&lt;/title&gt;&lt;/titles&gt;&lt;dates&gt;&lt;year&gt;2005&lt;/year&gt;&lt;/dates&gt;&lt;pub-location&gt;Canberra, Australia&lt;/pub-location&gt;&lt;urls&gt;&lt;/urls&gt;&lt;/record&gt;&lt;/Cite&gt;&lt;/EndNote&gt;</w:instrText>
      </w:r>
      <w:r w:rsidR="00992437">
        <w:fldChar w:fldCharType="separate"/>
      </w:r>
      <w:r w:rsidR="00B906E9">
        <w:rPr>
          <w:noProof/>
        </w:rPr>
        <w:t>(</w:t>
      </w:r>
      <w:hyperlink w:anchor="_ENREF_89" w:tooltip="MSAC, 2005 #110" w:history="1">
        <w:r w:rsidR="00B906E9">
          <w:rPr>
            <w:noProof/>
          </w:rPr>
          <w:t>MSAC 2005b</w:t>
        </w:r>
      </w:hyperlink>
      <w:r w:rsidR="00B906E9">
        <w:rPr>
          <w:noProof/>
        </w:rPr>
        <w:t>)</w:t>
      </w:r>
      <w:r w:rsidR="00992437">
        <w:fldChar w:fldCharType="end"/>
      </w:r>
      <w:r w:rsidRPr="00012326">
        <w:t>.</w:t>
      </w:r>
      <w:r>
        <w:t xml:space="preserve"> A</w:t>
      </w:r>
      <w:r w:rsidRPr="00012326">
        <w:t xml:space="preserve">ll </w:t>
      </w:r>
      <w:r>
        <w:t>studies</w:t>
      </w:r>
      <w:r w:rsidRPr="00012326">
        <w:t xml:space="preserve"> reported a clear description of the statistical methods used</w:t>
      </w:r>
      <w:r w:rsidR="007D3B31">
        <w:t>,</w:t>
      </w:r>
      <w:r w:rsidRPr="00012326">
        <w:t xml:space="preserve"> and these are shown in</w:t>
      </w:r>
      <w:r w:rsidR="00963ABC">
        <w:t xml:space="preserve"> </w:t>
      </w:r>
      <w:r w:rsidR="001C59E2">
        <w:fldChar w:fldCharType="begin"/>
      </w:r>
      <w:r w:rsidR="001C59E2">
        <w:instrText xml:space="preserve"> REF _Ref451332674 \h </w:instrText>
      </w:r>
      <w:r w:rsidR="001C59E2">
        <w:fldChar w:fldCharType="separate"/>
      </w:r>
      <w:r w:rsidR="001C59E2">
        <w:t xml:space="preserve">Table </w:t>
      </w:r>
      <w:r w:rsidR="001C59E2">
        <w:rPr>
          <w:noProof/>
        </w:rPr>
        <w:t>81</w:t>
      </w:r>
      <w:r w:rsidR="001C59E2">
        <w:fldChar w:fldCharType="end"/>
      </w:r>
      <w:r w:rsidRPr="00177B88">
        <w:t>, Appendix C</w:t>
      </w:r>
      <w:r w:rsidRPr="00012326">
        <w:t>.</w:t>
      </w:r>
      <w:r>
        <w:t xml:space="preserve"> Although a change in management is considered more clinically important than a change in diagnosis, the change in diagnosis results are presented first, for chronological reasons. </w:t>
      </w:r>
    </w:p>
    <w:p w14:paraId="2C76E03C" w14:textId="4A30D118" w:rsidR="00DF6C3E" w:rsidRDefault="00D864CE" w:rsidP="00161B88">
      <w:pPr>
        <w:pStyle w:val="Heading3"/>
      </w:pPr>
      <w:bookmarkStart w:id="388" w:name="_Toc451501336"/>
      <w:r>
        <w:t>B5.1.5</w:t>
      </w:r>
      <w:r w:rsidR="008B2CF0">
        <w:t xml:space="preserve"> </w:t>
      </w:r>
      <w:r w:rsidR="00DF6C3E" w:rsidRPr="00183E4D">
        <w:t xml:space="preserve">Results of the </w:t>
      </w:r>
      <w:r w:rsidR="00B25B25">
        <w:t>s</w:t>
      </w:r>
      <w:r w:rsidR="00DF6C3E" w:rsidRPr="00183E4D">
        <w:t xml:space="preserve">ystematic </w:t>
      </w:r>
      <w:r w:rsidR="00B25B25">
        <w:t>l</w:t>
      </w:r>
      <w:r w:rsidR="00DF6C3E" w:rsidRPr="00183E4D">
        <w:t>iterature review</w:t>
      </w:r>
      <w:bookmarkEnd w:id="388"/>
    </w:p>
    <w:p w14:paraId="6F227E00" w14:textId="7100E7B9" w:rsidR="003F36FF" w:rsidRDefault="003F36FF" w:rsidP="00161B88">
      <w:pPr>
        <w:pStyle w:val="Heading3"/>
      </w:pPr>
      <w:bookmarkStart w:id="389" w:name="_Toc451501337"/>
      <w:r>
        <w:t>Does it impact on clinical management</w:t>
      </w:r>
      <w:r w:rsidRPr="004D0C0F">
        <w:t>?</w:t>
      </w:r>
      <w:bookmarkEnd w:id="389"/>
    </w:p>
    <w:p w14:paraId="1948B1E6" w14:textId="10206737" w:rsidR="003F36F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pPr>
      <w:r w:rsidRPr="00183E4D">
        <w:t xml:space="preserve">Summary – </w:t>
      </w:r>
      <w:r>
        <w:t>Does CMR impact on clinical management?</w:t>
      </w:r>
    </w:p>
    <w:p w14:paraId="14DD8D9D" w14:textId="7D37F7F2" w:rsidR="003F36FF" w:rsidRPr="008F0365"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rPr>
          <w:b w:val="0"/>
        </w:rPr>
      </w:pPr>
      <w:r>
        <w:rPr>
          <w:b w:val="0"/>
        </w:rPr>
        <w:t xml:space="preserve">Three case series and </w:t>
      </w:r>
      <w:r w:rsidR="00664310">
        <w:rPr>
          <w:b w:val="0"/>
        </w:rPr>
        <w:t xml:space="preserve">1 </w:t>
      </w:r>
      <w:r>
        <w:rPr>
          <w:b w:val="0"/>
        </w:rPr>
        <w:t>cohort study provided evidence</w:t>
      </w:r>
      <w:r w:rsidR="00664310">
        <w:rPr>
          <w:b w:val="0"/>
        </w:rPr>
        <w:t>,</w:t>
      </w:r>
      <w:r>
        <w:rPr>
          <w:b w:val="0"/>
        </w:rPr>
        <w:t xml:space="preserve"> identified through the literature search</w:t>
      </w:r>
      <w:r w:rsidR="00664310">
        <w:rPr>
          <w:b w:val="0"/>
        </w:rPr>
        <w:t xml:space="preserve"> and</w:t>
      </w:r>
      <w:r>
        <w:rPr>
          <w:b w:val="0"/>
        </w:rPr>
        <w:t xml:space="preserve"> pearling, and extended through personal </w:t>
      </w:r>
      <w:proofErr w:type="gramStart"/>
      <w:r>
        <w:rPr>
          <w:b w:val="0"/>
        </w:rPr>
        <w:t>communications, that</w:t>
      </w:r>
      <w:proofErr w:type="gramEnd"/>
      <w:r>
        <w:rPr>
          <w:b w:val="0"/>
        </w:rPr>
        <w:t xml:space="preserve"> was found to be relevant to the impact of CMR on the clinical management of the DCM population. </w:t>
      </w:r>
    </w:p>
    <w:p w14:paraId="128E7756" w14:textId="77777777" w:rsidR="003F36FF" w:rsidRPr="0007191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pPr>
      <w:r w:rsidRPr="0007191F">
        <w:t>New and changed diagnoses</w:t>
      </w:r>
    </w:p>
    <w:p w14:paraId="7E84D3AA" w14:textId="3857E844" w:rsidR="003F36F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rPr>
          <w:b w:val="0"/>
        </w:rPr>
      </w:pPr>
      <w:r>
        <w:rPr>
          <w:b w:val="0"/>
        </w:rPr>
        <w:t xml:space="preserve">The ability of CMR to provide a new diagnosis in patients greatly depends on the prior tests they have undergone. In a sample diagnosed as having idiopathic NIDCM (after standard tests plus ICA), CMR was found to diagnose the aetiology of the DCM in 4/88 cases, </w:t>
      </w:r>
      <w:r w:rsidR="00FE483B">
        <w:rPr>
          <w:b w:val="0"/>
        </w:rPr>
        <w:t xml:space="preserve">2 </w:t>
      </w:r>
      <w:r>
        <w:rPr>
          <w:b w:val="0"/>
        </w:rPr>
        <w:t xml:space="preserve">of which were subsequently treated with immunosuppressant therapy, which they would not have received without the further testing (GRADE </w:t>
      </w:r>
      <w:r w:rsidRPr="00CF4AED">
        <w:rPr>
          <w:rFonts w:ascii="Cambria Math" w:hAnsi="Cambria Math" w:cs="Cambria Math"/>
          <w:b w:val="0"/>
          <w:color w:val="00B050"/>
        </w:rPr>
        <w:t>⨁⨁⨁</w:t>
      </w:r>
      <w:r w:rsidRPr="00CF4AED">
        <w:rPr>
          <w:rFonts w:ascii="Cambria Math" w:hAnsi="Cambria Math" w:cs="Cambria Math"/>
          <w:b w:val="0"/>
          <w:color w:val="C00000"/>
        </w:rPr>
        <w:t>⨀</w:t>
      </w:r>
      <w:r w:rsidRPr="008F0365">
        <w:rPr>
          <w:b w:val="0"/>
        </w:rPr>
        <w:t>)</w:t>
      </w:r>
      <w:r>
        <w:rPr>
          <w:b w:val="0"/>
        </w:rPr>
        <w:t>.</w:t>
      </w:r>
    </w:p>
    <w:p w14:paraId="48B90E27" w14:textId="48E9A2AC" w:rsidR="003F36F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rPr>
          <w:b w:val="0"/>
        </w:rPr>
      </w:pPr>
      <w:r>
        <w:rPr>
          <w:b w:val="0"/>
        </w:rPr>
        <w:t xml:space="preserve">Two case series </w:t>
      </w:r>
      <w:r w:rsidR="00F273BB">
        <w:rPr>
          <w:b w:val="0"/>
        </w:rPr>
        <w:t xml:space="preserve">that </w:t>
      </w:r>
      <w:r>
        <w:rPr>
          <w:b w:val="0"/>
        </w:rPr>
        <w:t>reported on broader populations than DCM (</w:t>
      </w:r>
      <w:r w:rsidR="00F273BB">
        <w:rPr>
          <w:b w:val="0"/>
        </w:rPr>
        <w:t xml:space="preserve">i.e. </w:t>
      </w:r>
      <w:r>
        <w:rPr>
          <w:b w:val="0"/>
        </w:rPr>
        <w:t>patients indicated for myocarditis or CM; HF patients with LVEF ≤50%) found that CMR provided new diagnoses in 21% and 27% of patients tested</w:t>
      </w:r>
      <w:r w:rsidR="00F273BB">
        <w:rPr>
          <w:b w:val="0"/>
        </w:rPr>
        <w:t>,</w:t>
      </w:r>
      <w:r>
        <w:rPr>
          <w:b w:val="0"/>
        </w:rPr>
        <w:t xml:space="preserve"> respectively</w:t>
      </w:r>
      <w:r w:rsidR="00F273BB">
        <w:rPr>
          <w:b w:val="0"/>
        </w:rPr>
        <w:t>;</w:t>
      </w:r>
      <w:r>
        <w:rPr>
          <w:b w:val="0"/>
        </w:rPr>
        <w:t xml:space="preserve"> however</w:t>
      </w:r>
      <w:r w:rsidR="00F273BB">
        <w:rPr>
          <w:b w:val="0"/>
        </w:rPr>
        <w:t>,</w:t>
      </w:r>
      <w:r>
        <w:rPr>
          <w:b w:val="0"/>
        </w:rPr>
        <w:t xml:space="preserve"> the participants </w:t>
      </w:r>
      <w:r w:rsidRPr="00737A9C">
        <w:rPr>
          <w:b w:val="0"/>
        </w:rPr>
        <w:t>of the study</w:t>
      </w:r>
      <w:r>
        <w:rPr>
          <w:b w:val="0"/>
        </w:rPr>
        <w:t xml:space="preserve"> with a higher rate of new CM</w:t>
      </w:r>
      <w:r w:rsidR="00C7691F">
        <w:rPr>
          <w:b w:val="0"/>
        </w:rPr>
        <w:t>-</w:t>
      </w:r>
      <w:r>
        <w:rPr>
          <w:b w:val="0"/>
        </w:rPr>
        <w:t xml:space="preserve">related diagnoses had undergone more thorough triaging with prior testing than the other group (GRADE </w:t>
      </w:r>
      <w:r w:rsidRPr="00CF4AED">
        <w:rPr>
          <w:rFonts w:ascii="Cambria Math" w:hAnsi="Cambria Math" w:cs="Cambria Math"/>
          <w:b w:val="0"/>
          <w:color w:val="00B050"/>
        </w:rPr>
        <w:t>⨁⨁</w:t>
      </w:r>
      <w:r w:rsidRPr="00CF4AED">
        <w:rPr>
          <w:rFonts w:ascii="Cambria Math" w:hAnsi="Cambria Math" w:cs="Cambria Math"/>
          <w:b w:val="0"/>
          <w:color w:val="C00000"/>
        </w:rPr>
        <w:t>⨀⨀</w:t>
      </w:r>
      <w:r w:rsidRPr="008F0365">
        <w:rPr>
          <w:b w:val="0"/>
        </w:rPr>
        <w:t>)</w:t>
      </w:r>
      <w:r>
        <w:rPr>
          <w:b w:val="0"/>
        </w:rPr>
        <w:t xml:space="preserve">. </w:t>
      </w:r>
    </w:p>
    <w:p w14:paraId="7E60CF7F" w14:textId="77777777" w:rsidR="003F36FF" w:rsidRPr="000A2603"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pPr>
      <w:r w:rsidRPr="000A2603">
        <w:t>Impact on further diagnostic tests</w:t>
      </w:r>
    </w:p>
    <w:p w14:paraId="6501839C" w14:textId="76BCE5F5" w:rsidR="006F46F9"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rPr>
          <w:b w:val="0"/>
        </w:rPr>
      </w:pPr>
      <w:r>
        <w:rPr>
          <w:b w:val="0"/>
        </w:rPr>
        <w:t>Low</w:t>
      </w:r>
      <w:r w:rsidR="00C15FC8">
        <w:rPr>
          <w:b w:val="0"/>
        </w:rPr>
        <w:t>-</w:t>
      </w:r>
      <w:r>
        <w:rPr>
          <w:b w:val="0"/>
        </w:rPr>
        <w:t xml:space="preserve">quality evidence from </w:t>
      </w:r>
      <w:r w:rsidR="00C15FC8">
        <w:rPr>
          <w:b w:val="0"/>
        </w:rPr>
        <w:t xml:space="preserve">1 </w:t>
      </w:r>
      <w:r>
        <w:rPr>
          <w:b w:val="0"/>
        </w:rPr>
        <w:t xml:space="preserve">case series found that when CMR was performed on a cohort of patients with </w:t>
      </w:r>
      <w:r w:rsidR="00C15FC8">
        <w:rPr>
          <w:b w:val="0"/>
        </w:rPr>
        <w:t>HF</w:t>
      </w:r>
      <w:r>
        <w:rPr>
          <w:b w:val="0"/>
        </w:rPr>
        <w:t xml:space="preserve"> symptoms that had undergone prior testing, further non-invasive imaging could be ruled out in 86% of the group. In a group in whom CMR was the first test performed, further imaging could be ruled out in 80.4% of patients (GRADE </w:t>
      </w:r>
      <w:r w:rsidRPr="00CF4AED">
        <w:rPr>
          <w:rFonts w:ascii="Cambria Math" w:hAnsi="Cambria Math" w:cs="Cambria Math"/>
          <w:b w:val="0"/>
          <w:color w:val="00B050"/>
        </w:rPr>
        <w:t>⨁</w:t>
      </w:r>
      <w:r w:rsidRPr="00CF4AED">
        <w:rPr>
          <w:rFonts w:ascii="Cambria Math" w:hAnsi="Cambria Math" w:cs="Cambria Math"/>
          <w:b w:val="0"/>
          <w:color w:val="C00000"/>
        </w:rPr>
        <w:t>⨀⨀⨀</w:t>
      </w:r>
      <w:r w:rsidRPr="008F0365">
        <w:rPr>
          <w:b w:val="0"/>
        </w:rPr>
        <w:t>)</w:t>
      </w:r>
      <w:r>
        <w:rPr>
          <w:b w:val="0"/>
        </w:rPr>
        <w:t xml:space="preserve">. </w:t>
      </w:r>
    </w:p>
    <w:p w14:paraId="5A7A6DA9" w14:textId="489CBD42" w:rsidR="003F36F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pPr>
      <w:r>
        <w:t>D</w:t>
      </w:r>
      <w:r w:rsidRPr="00870724">
        <w:t>evices, procedures or surgery avoided</w:t>
      </w:r>
      <w:r>
        <w:t xml:space="preserve"> or added</w:t>
      </w:r>
    </w:p>
    <w:p w14:paraId="62715B02" w14:textId="720A0258" w:rsidR="003F36FF" w:rsidRDefault="003F36FF" w:rsidP="004C79C1">
      <w:pPr>
        <w:pStyle w:val="Summaryboxheading"/>
        <w:pBdr>
          <w:top w:val="single" w:sz="4" w:space="1" w:color="auto"/>
          <w:left w:val="single" w:sz="4" w:space="4" w:color="auto"/>
          <w:bottom w:val="single" w:sz="4" w:space="9" w:color="auto"/>
          <w:right w:val="single" w:sz="4" w:space="4" w:color="auto"/>
        </w:pBdr>
        <w:spacing w:before="0" w:after="120" w:afterAutospacing="0" w:line="240" w:lineRule="auto"/>
        <w:jc w:val="both"/>
        <w:rPr>
          <w:b w:val="0"/>
        </w:rPr>
      </w:pPr>
      <w:r w:rsidRPr="008F0365">
        <w:rPr>
          <w:b w:val="0"/>
        </w:rPr>
        <w:t>In an Australian population diagnosed through prior testing with NI</w:t>
      </w:r>
      <w:r w:rsidR="00C15FC8">
        <w:rPr>
          <w:b w:val="0"/>
        </w:rPr>
        <w:t>D</w:t>
      </w:r>
      <w:r w:rsidRPr="008F0365">
        <w:rPr>
          <w:b w:val="0"/>
        </w:rPr>
        <w:t xml:space="preserve">CM (N=488 patients), a total of 19 fewer devices were implanted than originally planned, and </w:t>
      </w:r>
      <w:r w:rsidR="00725627">
        <w:rPr>
          <w:b w:val="0"/>
        </w:rPr>
        <w:t>1</w:t>
      </w:r>
      <w:r w:rsidR="00725627" w:rsidRPr="008F0365">
        <w:rPr>
          <w:b w:val="0"/>
        </w:rPr>
        <w:t xml:space="preserve"> </w:t>
      </w:r>
      <w:r w:rsidR="00725627">
        <w:rPr>
          <w:b w:val="0"/>
        </w:rPr>
        <w:t>fewer</w:t>
      </w:r>
      <w:r w:rsidR="00725627" w:rsidRPr="008F0365">
        <w:rPr>
          <w:b w:val="0"/>
        </w:rPr>
        <w:t xml:space="preserve"> </w:t>
      </w:r>
      <w:r w:rsidRPr="008F0365">
        <w:rPr>
          <w:b w:val="0"/>
        </w:rPr>
        <w:t xml:space="preserve">patient underwent </w:t>
      </w:r>
      <w:r>
        <w:rPr>
          <w:b w:val="0"/>
        </w:rPr>
        <w:t>an implantation</w:t>
      </w:r>
      <w:r w:rsidRPr="008F0365">
        <w:rPr>
          <w:b w:val="0"/>
        </w:rPr>
        <w:t xml:space="preserve"> procedure, as a consequence of undergoing CMR. In addition, there was a reduction of 6 patients undergoing surgery as a consequence of CMR. </w:t>
      </w:r>
      <w:r>
        <w:rPr>
          <w:b w:val="0"/>
        </w:rPr>
        <w:t>A</w:t>
      </w:r>
      <w:r w:rsidRPr="008F0365">
        <w:rPr>
          <w:b w:val="0"/>
        </w:rPr>
        <w:t xml:space="preserve"> total of 61 out of 449 (13.6%) patients had a change in treatment</w:t>
      </w:r>
      <w:r w:rsidR="00725627">
        <w:rPr>
          <w:b w:val="0"/>
        </w:rPr>
        <w:t>—</w:t>
      </w:r>
      <w:r w:rsidRPr="008F0365">
        <w:rPr>
          <w:b w:val="0"/>
        </w:rPr>
        <w:t>device implantation or surgery</w:t>
      </w:r>
      <w:r w:rsidR="00725627">
        <w:rPr>
          <w:b w:val="0"/>
        </w:rPr>
        <w:t>—</w:t>
      </w:r>
      <w:r w:rsidRPr="008F0365">
        <w:rPr>
          <w:b w:val="0"/>
        </w:rPr>
        <w:t>following CMR at 6</w:t>
      </w:r>
      <w:r w:rsidR="00725627">
        <w:rPr>
          <w:b w:val="0"/>
        </w:rPr>
        <w:t> </w:t>
      </w:r>
      <w:r w:rsidRPr="008F0365">
        <w:rPr>
          <w:b w:val="0"/>
        </w:rPr>
        <w:t xml:space="preserve">months follow-up. </w:t>
      </w:r>
      <w:r>
        <w:rPr>
          <w:b w:val="0"/>
        </w:rPr>
        <w:t>I</w:t>
      </w:r>
      <w:r w:rsidRPr="008F0365">
        <w:rPr>
          <w:b w:val="0"/>
        </w:rPr>
        <w:t xml:space="preserve">t should be noted that there will be the additional step of CMR stratifying patients with NIDCM and ICM if CMR </w:t>
      </w:r>
      <w:r w:rsidR="00725627">
        <w:rPr>
          <w:b w:val="0"/>
        </w:rPr>
        <w:t>was</w:t>
      </w:r>
      <w:r w:rsidR="00725627" w:rsidRPr="008F0365">
        <w:rPr>
          <w:b w:val="0"/>
        </w:rPr>
        <w:t xml:space="preserve"> </w:t>
      </w:r>
      <w:r w:rsidRPr="008F0365">
        <w:rPr>
          <w:b w:val="0"/>
        </w:rPr>
        <w:t xml:space="preserve">to be funded for those with HF symptoms (GRADE </w:t>
      </w:r>
      <w:r w:rsidRPr="00CF4AED">
        <w:rPr>
          <w:rFonts w:ascii="Cambria Math" w:hAnsi="Cambria Math" w:cs="Cambria Math"/>
          <w:b w:val="0"/>
          <w:color w:val="00B050"/>
        </w:rPr>
        <w:t>⨁⨁</w:t>
      </w:r>
      <w:r w:rsidRPr="00CF4AED">
        <w:rPr>
          <w:rFonts w:ascii="Cambria Math" w:hAnsi="Cambria Math" w:cs="Cambria Math"/>
          <w:b w:val="0"/>
          <w:color w:val="C00000"/>
        </w:rPr>
        <w:t>⨀⨀</w:t>
      </w:r>
      <w:r w:rsidRPr="008F0365">
        <w:rPr>
          <w:b w:val="0"/>
        </w:rPr>
        <w:t>).</w:t>
      </w:r>
      <w:r>
        <w:rPr>
          <w:b w:val="0"/>
        </w:rPr>
        <w:t xml:space="preserve"> </w:t>
      </w:r>
      <w:r w:rsidRPr="008F0365">
        <w:rPr>
          <w:b w:val="0"/>
        </w:rPr>
        <w:t>Th</w:t>
      </w:r>
      <w:r w:rsidR="00CF4AED">
        <w:rPr>
          <w:b w:val="0"/>
        </w:rPr>
        <w:t>ese</w:t>
      </w:r>
      <w:r w:rsidRPr="008F0365">
        <w:rPr>
          <w:b w:val="0"/>
        </w:rPr>
        <w:t xml:space="preserve"> data w</w:t>
      </w:r>
      <w:r w:rsidR="00CF4AED">
        <w:rPr>
          <w:b w:val="0"/>
        </w:rPr>
        <w:t>ere</w:t>
      </w:r>
      <w:r w:rsidRPr="008F0365">
        <w:rPr>
          <w:b w:val="0"/>
        </w:rPr>
        <w:t xml:space="preserve"> supported by a further case series </w:t>
      </w:r>
      <w:r w:rsidR="002E2881">
        <w:rPr>
          <w:b w:val="0"/>
        </w:rPr>
        <w:t>that</w:t>
      </w:r>
      <w:r w:rsidR="002E2881" w:rsidRPr="008F0365">
        <w:rPr>
          <w:b w:val="0"/>
        </w:rPr>
        <w:t xml:space="preserve"> </w:t>
      </w:r>
      <w:r w:rsidRPr="008F0365">
        <w:rPr>
          <w:b w:val="0"/>
        </w:rPr>
        <w:t xml:space="preserve">reported an overall reduction in procedures and other services in a small population of </w:t>
      </w:r>
      <w:r w:rsidR="002E2881">
        <w:rPr>
          <w:b w:val="0"/>
        </w:rPr>
        <w:t>HF</w:t>
      </w:r>
      <w:r w:rsidRPr="008F0365">
        <w:rPr>
          <w:b w:val="0"/>
        </w:rPr>
        <w:t xml:space="preserve"> patients</w:t>
      </w:r>
      <w:r>
        <w:rPr>
          <w:b w:val="0"/>
        </w:rPr>
        <w:t xml:space="preserve">. In broader populations with </w:t>
      </w:r>
      <w:r w:rsidR="002E2881">
        <w:rPr>
          <w:b w:val="0"/>
        </w:rPr>
        <w:t>HF</w:t>
      </w:r>
      <w:r>
        <w:rPr>
          <w:b w:val="0"/>
        </w:rPr>
        <w:t xml:space="preserve"> symptoms, a larger proportion of patients were subject to a change in treatment</w:t>
      </w:r>
      <w:r w:rsidR="002E2881">
        <w:rPr>
          <w:b w:val="0"/>
        </w:rPr>
        <w:t>;</w:t>
      </w:r>
      <w:r>
        <w:rPr>
          <w:b w:val="0"/>
        </w:rPr>
        <w:t xml:space="preserve"> for example</w:t>
      </w:r>
      <w:r w:rsidR="002E2881">
        <w:rPr>
          <w:b w:val="0"/>
        </w:rPr>
        <w:t>,</w:t>
      </w:r>
      <w:r>
        <w:rPr>
          <w:b w:val="0"/>
        </w:rPr>
        <w:t xml:space="preserve"> in </w:t>
      </w:r>
      <w:r w:rsidR="002E2881">
        <w:rPr>
          <w:b w:val="0"/>
        </w:rPr>
        <w:t xml:space="preserve">1 </w:t>
      </w:r>
      <w:r>
        <w:rPr>
          <w:b w:val="0"/>
        </w:rPr>
        <w:t xml:space="preserve">case series of patients with </w:t>
      </w:r>
      <w:r w:rsidR="002E2881">
        <w:rPr>
          <w:b w:val="0"/>
        </w:rPr>
        <w:t>HF</w:t>
      </w:r>
      <w:r>
        <w:rPr>
          <w:b w:val="0"/>
        </w:rPr>
        <w:t xml:space="preserve"> symptoms (LVEF ≤50%), there was a 27% reduction in catheter</w:t>
      </w:r>
      <w:r w:rsidR="002E2881">
        <w:rPr>
          <w:b w:val="0"/>
        </w:rPr>
        <w:t>-</w:t>
      </w:r>
      <w:r>
        <w:rPr>
          <w:b w:val="0"/>
        </w:rPr>
        <w:t xml:space="preserve">based procedures. In a European registry population of patients undergoing CMR, the test resulted </w:t>
      </w:r>
      <w:r w:rsidR="00724B3F">
        <w:rPr>
          <w:b w:val="0"/>
        </w:rPr>
        <w:t xml:space="preserve">in </w:t>
      </w:r>
      <w:r>
        <w:rPr>
          <w:b w:val="0"/>
        </w:rPr>
        <w:t xml:space="preserve">therapeutic consequences </w:t>
      </w:r>
      <w:r w:rsidR="00724B3F">
        <w:rPr>
          <w:b w:val="0"/>
        </w:rPr>
        <w:t xml:space="preserve">for </w:t>
      </w:r>
      <w:r>
        <w:rPr>
          <w:b w:val="0"/>
        </w:rPr>
        <w:t xml:space="preserve">44% of participants (GRADE </w:t>
      </w:r>
      <w:r w:rsidRPr="00CF4AED">
        <w:rPr>
          <w:rFonts w:ascii="Cambria Math" w:hAnsi="Cambria Math" w:cs="Cambria Math"/>
          <w:b w:val="0"/>
          <w:color w:val="00B050"/>
        </w:rPr>
        <w:t>⨁⨁</w:t>
      </w:r>
      <w:r w:rsidRPr="00CF4AED">
        <w:rPr>
          <w:rFonts w:ascii="Cambria Math" w:hAnsi="Cambria Math" w:cs="Cambria Math"/>
          <w:b w:val="0"/>
          <w:color w:val="C00000"/>
        </w:rPr>
        <w:t>⨀⨀</w:t>
      </w:r>
      <w:r w:rsidRPr="008F0365">
        <w:rPr>
          <w:b w:val="0"/>
        </w:rPr>
        <w:t>)</w:t>
      </w:r>
      <w:r>
        <w:rPr>
          <w:b w:val="0"/>
        </w:rPr>
        <w:t>.</w:t>
      </w:r>
    </w:p>
    <w:p w14:paraId="2EF7B4F1" w14:textId="77777777" w:rsidR="00814693" w:rsidRDefault="00814693" w:rsidP="004C79C1">
      <w:pPr>
        <w:spacing w:after="120" w:line="240" w:lineRule="auto"/>
        <w:jc w:val="both"/>
      </w:pPr>
    </w:p>
    <w:p w14:paraId="51781E64" w14:textId="04622009" w:rsidR="003F36FF" w:rsidRDefault="003F36FF" w:rsidP="004C79C1">
      <w:pPr>
        <w:spacing w:after="120" w:line="240" w:lineRule="auto"/>
        <w:jc w:val="both"/>
      </w:pPr>
      <w:r>
        <w:t xml:space="preserve">Three case series and </w:t>
      </w:r>
      <w:r w:rsidR="00814693">
        <w:t xml:space="preserve">1 </w:t>
      </w:r>
      <w:r>
        <w:t>cohort study provide before</w:t>
      </w:r>
      <w:r w:rsidR="00B52BE2">
        <w:t>-</w:t>
      </w:r>
      <w:r>
        <w:t>and</w:t>
      </w:r>
      <w:r w:rsidR="00B52BE2">
        <w:t>-</w:t>
      </w:r>
      <w:r>
        <w:t>after data on the impact of CMR on patient management</w:t>
      </w:r>
      <w:r w:rsidR="00D92F1D">
        <w:t>,</w:t>
      </w:r>
      <w:r>
        <w:t xml:space="preserve"> and that evidence is discussed in sections according to the outcomes reported. Further details were sought through personal communication with one author of an Australian case </w:t>
      </w:r>
      <w:r>
        <w:lastRenderedPageBreak/>
        <w:t xml:space="preserve">series, for </w:t>
      </w:r>
      <w:r w:rsidR="00D92F1D">
        <w:t xml:space="preserve">a </w:t>
      </w:r>
      <w:r>
        <w:t xml:space="preserve">subgroup of patients with </w:t>
      </w:r>
      <w:r w:rsidR="00AC2E46">
        <w:t>CMs</w:t>
      </w:r>
      <w:r>
        <w:t>, of which 90</w:t>
      </w:r>
      <w:r w:rsidR="00D92F1D">
        <w:t>%</w:t>
      </w:r>
      <w:r>
        <w:t xml:space="preserve"> were estimated to be DCM. This evidence is considered more relevant than that provided by other studies, which were conducted in broader populations of patients with </w:t>
      </w:r>
      <w:r w:rsidR="00D92F1D">
        <w:t>HF</w:t>
      </w:r>
      <w:r>
        <w:t xml:space="preserve"> </w:t>
      </w:r>
      <w:r w:rsidR="00D92F1D">
        <w:t xml:space="preserve">or </w:t>
      </w:r>
      <w:r>
        <w:t>unspecified CM, or the narrower patient group of idiopathic DCM. The evidence from Taylor</w:t>
      </w:r>
      <w:r w:rsidR="00DB55CA">
        <w:t>, AJ</w:t>
      </w:r>
      <w:r>
        <w:t xml:space="preserve"> et al</w:t>
      </w:r>
      <w:r w:rsidR="003319E5">
        <w:t>.</w:t>
      </w:r>
      <w:r w:rsidR="00DA3794">
        <w:t xml:space="preserve"> (2013)</w:t>
      </w:r>
      <w:r>
        <w:t xml:space="preserve"> is also highly applicable to the Australian setting, and will be given more attention here.</w:t>
      </w:r>
    </w:p>
    <w:p w14:paraId="36D309BE" w14:textId="7B18D5D4" w:rsidR="00DD1045" w:rsidRDefault="00DD1045" w:rsidP="00161B88">
      <w:pPr>
        <w:pStyle w:val="Heading3"/>
      </w:pPr>
      <w:bookmarkStart w:id="390" w:name="_Toc451501338"/>
      <w:r>
        <w:t xml:space="preserve">Impact on the clinical management of patients with an indeterminate result on </w:t>
      </w:r>
      <w:r w:rsidR="00A21115">
        <w:t>echocardiography</w:t>
      </w:r>
      <w:bookmarkEnd w:id="390"/>
    </w:p>
    <w:p w14:paraId="044DDE19" w14:textId="07D5B26A" w:rsidR="001E11D7" w:rsidRPr="00DD1045" w:rsidRDefault="00DD1045" w:rsidP="004C79C1">
      <w:pPr>
        <w:spacing w:after="120" w:line="240" w:lineRule="auto"/>
        <w:jc w:val="both"/>
      </w:pPr>
      <w:r>
        <w:t xml:space="preserve">No studies were identified </w:t>
      </w:r>
      <w:r w:rsidR="0091739B">
        <w:t xml:space="preserve">that </w:t>
      </w:r>
      <w:r>
        <w:t xml:space="preserve">explicitly examined the impact of CMR on the management of patients who had an indeterminate result on </w:t>
      </w:r>
      <w:r w:rsidR="00A21115">
        <w:t>echocardiography</w:t>
      </w:r>
      <w:r>
        <w:t xml:space="preserve">. </w:t>
      </w:r>
    </w:p>
    <w:p w14:paraId="5AADC82D" w14:textId="7DCE36B5" w:rsidR="00DD1045" w:rsidRDefault="00DD1045" w:rsidP="00161B88">
      <w:pPr>
        <w:pStyle w:val="Heading3"/>
      </w:pPr>
      <w:bookmarkStart w:id="391" w:name="_Toc451501339"/>
      <w:r>
        <w:t>Impact on the clinical management of patients with a dilated LV and a low risk of CAD</w:t>
      </w:r>
      <w:bookmarkEnd w:id="391"/>
    </w:p>
    <w:p w14:paraId="166F7A20" w14:textId="0D4A8660" w:rsidR="00652BB3" w:rsidRPr="00652BB3" w:rsidRDefault="00652BB3" w:rsidP="004C79C1">
      <w:pPr>
        <w:spacing w:after="120" w:line="240" w:lineRule="auto"/>
        <w:jc w:val="both"/>
      </w:pPr>
      <w:r>
        <w:t>Two studies were identified as being relevant to the population of those with DCM and a low risk of CAD. In both studies a significant proportion of patients had received an ICA prior to study entry, and were considered to have DCM rather than CAD (Taylor</w:t>
      </w:r>
      <w:r w:rsidR="00DB55CA">
        <w:t>,</w:t>
      </w:r>
      <w:r w:rsidR="00DA3794">
        <w:t xml:space="preserve"> AJ</w:t>
      </w:r>
      <w:r>
        <w:t xml:space="preserve"> et al. 2013; Broch et al. 2015). </w:t>
      </w:r>
    </w:p>
    <w:p w14:paraId="730EC387" w14:textId="1204008E" w:rsidR="00DD1045" w:rsidRDefault="00917A74" w:rsidP="00161B88">
      <w:pPr>
        <w:pStyle w:val="Heading4"/>
      </w:pPr>
      <w:r>
        <w:t>Impact of diagnosing aetiology</w:t>
      </w:r>
      <w:r w:rsidR="00765131">
        <w:t xml:space="preserve"> of NIDCM </w:t>
      </w:r>
    </w:p>
    <w:p w14:paraId="71388040" w14:textId="20E9F6FA" w:rsidR="00DD1045" w:rsidRDefault="00DD1045" w:rsidP="004C79C1">
      <w:pPr>
        <w:spacing w:after="120" w:line="240" w:lineRule="auto"/>
        <w:jc w:val="both"/>
      </w:pPr>
      <w:r>
        <w:t>In those with a low risk of CAD, the proposed clinical management algorithm suggests that in the absence of CMR, patients would undergo further testing. One study could be considered to provide data on the comparative usefulness of a suite of further tests. Broch et al</w:t>
      </w:r>
      <w:r w:rsidR="00DA3794">
        <w:t>.</w:t>
      </w:r>
      <w:r>
        <w:t xml:space="preserve"> (2015), a cohort study identified through the literature search, reported on 102 consecutive patients attending a cardiac clinic and diagnosed with idiopathic DCM. This classification was given after the standard work-up, which included patient history, physical examination, routine blood tests, </w:t>
      </w:r>
      <w:r w:rsidR="001C59E2">
        <w:t>echocardiography</w:t>
      </w:r>
      <w:r>
        <w:t xml:space="preserve"> and ICA (which would have excluded ICM). Patients were given an extended work-up </w:t>
      </w:r>
      <w:r w:rsidR="00326035">
        <w:t xml:space="preserve">that </w:t>
      </w:r>
      <w:r>
        <w:t xml:space="preserve">included CMR ± LGE and blood tests for known monogenic causes of NIDCM, right-sided cardiac catheterisation, </w:t>
      </w:r>
      <w:r w:rsidR="00326035">
        <w:t>EMB</w:t>
      </w:r>
      <w:r>
        <w:t xml:space="preserve">, exercise test with measurement of peak oxygen consumption, 24-hour ECG and genetic screening. The results of these extended tests are shown in </w:t>
      </w:r>
      <w:r w:rsidR="001C59E2">
        <w:fldChar w:fldCharType="begin"/>
      </w:r>
      <w:r w:rsidR="001C59E2">
        <w:instrText xml:space="preserve"> REF _Ref451333814 \h </w:instrText>
      </w:r>
      <w:r w:rsidR="001C59E2">
        <w:fldChar w:fldCharType="separate"/>
      </w:r>
      <w:r w:rsidR="001C59E2">
        <w:t xml:space="preserve">Table </w:t>
      </w:r>
      <w:r w:rsidR="001C59E2">
        <w:rPr>
          <w:noProof/>
        </w:rPr>
        <w:t>18</w:t>
      </w:r>
      <w:r w:rsidR="001C59E2">
        <w:fldChar w:fldCharType="end"/>
      </w:r>
      <w:r>
        <w:t xml:space="preserve">. In total, of the 102 patients, only 15 (15%) had their diagnosis changed from </w:t>
      </w:r>
      <w:r w:rsidR="00326035">
        <w:t>‘</w:t>
      </w:r>
      <w:r>
        <w:t>idiopathic DCM</w:t>
      </w:r>
      <w:r w:rsidR="00326035">
        <w:t>’</w:t>
      </w:r>
      <w:r>
        <w:t xml:space="preserve"> to a specific diagnosis. Blood testing for monogenic causes identified the most possible aetiologies. Of 88 patients who underwent CMR</w:t>
      </w:r>
      <w:r w:rsidR="008E6DAC">
        <w:t>,</w:t>
      </w:r>
      <w:r>
        <w:t xml:space="preserve"> </w:t>
      </w:r>
      <w:r w:rsidR="008E6DAC">
        <w:t xml:space="preserve">2 </w:t>
      </w:r>
      <w:r>
        <w:t xml:space="preserve">were diagnosed with non-compaction CM and </w:t>
      </w:r>
      <w:r w:rsidR="008E6DAC">
        <w:t xml:space="preserve">2 </w:t>
      </w:r>
      <w:r>
        <w:t>with CM associated with inflammatory disease by LGE (4.5%).</w:t>
      </w:r>
    </w:p>
    <w:p w14:paraId="1F9D1D73" w14:textId="37E87247" w:rsidR="00DD1045" w:rsidRDefault="004F65C6" w:rsidP="004C79C1">
      <w:pPr>
        <w:pStyle w:val="Caption"/>
        <w:keepNext/>
      </w:pPr>
      <w:bookmarkStart w:id="392" w:name="_Ref451333814"/>
      <w:bookmarkStart w:id="393" w:name="_Ref445468821"/>
      <w:bookmarkStart w:id="394" w:name="_Toc324410170"/>
      <w:bookmarkStart w:id="395" w:name="_Toc451435345"/>
      <w:r>
        <w:lastRenderedPageBreak/>
        <w:t xml:space="preserve">Table </w:t>
      </w:r>
      <w:fldSimple w:instr=" SEQ Table \* ARABIC ">
        <w:r w:rsidR="00050936">
          <w:rPr>
            <w:noProof/>
          </w:rPr>
          <w:t>18</w:t>
        </w:r>
      </w:fldSimple>
      <w:bookmarkEnd w:id="392"/>
      <w:r>
        <w:t xml:space="preserve"> </w:t>
      </w:r>
      <w:r>
        <w:tab/>
      </w:r>
      <w:r w:rsidRPr="00711E00">
        <w:t>Therapeutic impact of further testing in idiopathic NIDCM</w:t>
      </w:r>
      <w:bookmarkEnd w:id="393"/>
      <w:bookmarkEnd w:id="394"/>
      <w:bookmarkEnd w:id="395"/>
    </w:p>
    <w:tbl>
      <w:tblPr>
        <w:tblStyle w:val="TableGrid"/>
        <w:tblW w:w="9130" w:type="dxa"/>
        <w:tblLook w:val="04A0" w:firstRow="1" w:lastRow="0" w:firstColumn="1" w:lastColumn="0" w:noHBand="0" w:noVBand="1"/>
        <w:tblDescription w:val="Diagnostic yield of further testing in idiopathic NIDCM"/>
      </w:tblPr>
      <w:tblGrid>
        <w:gridCol w:w="1860"/>
        <w:gridCol w:w="1411"/>
        <w:gridCol w:w="2313"/>
        <w:gridCol w:w="1853"/>
        <w:gridCol w:w="1693"/>
      </w:tblGrid>
      <w:tr w:rsidR="00765131" w:rsidRPr="00E36ACC" w14:paraId="435EE1D6" w14:textId="244ABB08" w:rsidTr="00765131">
        <w:trPr>
          <w:tblHeader/>
        </w:trPr>
        <w:tc>
          <w:tcPr>
            <w:tcW w:w="1860" w:type="dxa"/>
          </w:tcPr>
          <w:p w14:paraId="5C0C9213" w14:textId="269A001A" w:rsidR="00765131" w:rsidRPr="00E175D4" w:rsidRDefault="00765131" w:rsidP="004C79C1">
            <w:pPr>
              <w:pStyle w:val="TableName"/>
              <w:spacing w:before="0" w:after="120" w:line="240" w:lineRule="auto"/>
              <w:ind w:left="0" w:firstLine="0"/>
              <w:rPr>
                <w:b w:val="0"/>
                <w:bCs/>
              </w:rPr>
            </w:pPr>
            <w:bookmarkStart w:id="396" w:name="_Toc324410171"/>
            <w:r>
              <w:t>Study</w:t>
            </w:r>
            <w:bookmarkEnd w:id="396"/>
            <w:r>
              <w:t xml:space="preserve"> </w:t>
            </w:r>
            <w:r w:rsidR="0061056A">
              <w:br/>
            </w:r>
            <w:r w:rsidRPr="00254898">
              <w:rPr>
                <w:bCs/>
              </w:rPr>
              <w:t>Population</w:t>
            </w:r>
          </w:p>
        </w:tc>
        <w:tc>
          <w:tcPr>
            <w:tcW w:w="1411" w:type="dxa"/>
          </w:tcPr>
          <w:p w14:paraId="694CCAFA" w14:textId="77777777" w:rsidR="00765131" w:rsidRPr="00CF1420" w:rsidRDefault="00765131" w:rsidP="004C79C1">
            <w:pPr>
              <w:spacing w:after="120" w:line="240" w:lineRule="auto"/>
            </w:pPr>
            <w:r w:rsidRPr="00E67E13">
              <w:rPr>
                <w:rFonts w:ascii="Arial Narrow" w:hAnsi="Arial Narrow"/>
                <w:b/>
                <w:bCs/>
                <w:sz w:val="20"/>
              </w:rPr>
              <w:t>Further test</w:t>
            </w:r>
          </w:p>
        </w:tc>
        <w:tc>
          <w:tcPr>
            <w:tcW w:w="2313" w:type="dxa"/>
          </w:tcPr>
          <w:p w14:paraId="4213BE20" w14:textId="77777777" w:rsidR="00765131" w:rsidRPr="00E36ACC" w:rsidRDefault="00765131" w:rsidP="004C79C1">
            <w:pPr>
              <w:spacing w:after="120" w:line="240" w:lineRule="auto"/>
              <w:rPr>
                <w:rFonts w:ascii="Arial Narrow" w:hAnsi="Arial Narrow"/>
                <w:b/>
                <w:bCs/>
                <w:sz w:val="20"/>
              </w:rPr>
            </w:pPr>
            <w:r>
              <w:rPr>
                <w:rFonts w:ascii="Arial Narrow" w:hAnsi="Arial Narrow"/>
                <w:b/>
                <w:bCs/>
                <w:sz w:val="20"/>
              </w:rPr>
              <w:t>Diagnostic findings</w:t>
            </w:r>
          </w:p>
        </w:tc>
        <w:tc>
          <w:tcPr>
            <w:tcW w:w="1853" w:type="dxa"/>
          </w:tcPr>
          <w:p w14:paraId="0A719B48" w14:textId="77777777" w:rsidR="00765131" w:rsidRPr="00E36ACC" w:rsidRDefault="00765131" w:rsidP="004C79C1">
            <w:pPr>
              <w:spacing w:after="120" w:line="240" w:lineRule="auto"/>
              <w:rPr>
                <w:rFonts w:ascii="Arial Narrow" w:hAnsi="Arial Narrow"/>
                <w:b/>
                <w:bCs/>
                <w:sz w:val="20"/>
              </w:rPr>
            </w:pPr>
            <w:r>
              <w:rPr>
                <w:rFonts w:ascii="Arial Narrow" w:hAnsi="Arial Narrow"/>
                <w:b/>
                <w:bCs/>
                <w:sz w:val="20"/>
              </w:rPr>
              <w:t>Overlap with CMR results</w:t>
            </w:r>
          </w:p>
        </w:tc>
        <w:tc>
          <w:tcPr>
            <w:tcW w:w="1693" w:type="dxa"/>
          </w:tcPr>
          <w:p w14:paraId="6518D34A" w14:textId="04AB2123" w:rsidR="00765131" w:rsidRPr="00E36ACC" w:rsidRDefault="00765131" w:rsidP="004C79C1">
            <w:pPr>
              <w:spacing w:after="120" w:line="240" w:lineRule="auto"/>
              <w:rPr>
                <w:rFonts w:ascii="Arial Narrow" w:hAnsi="Arial Narrow"/>
                <w:b/>
                <w:bCs/>
                <w:sz w:val="20"/>
              </w:rPr>
            </w:pPr>
            <w:r>
              <w:rPr>
                <w:rFonts w:ascii="Arial Narrow" w:hAnsi="Arial Narrow"/>
                <w:b/>
                <w:bCs/>
                <w:sz w:val="20"/>
              </w:rPr>
              <w:t>Therapeutic impact</w:t>
            </w:r>
          </w:p>
        </w:tc>
      </w:tr>
      <w:tr w:rsidR="00765131" w14:paraId="1FBFBD3A" w14:textId="46CD5F75" w:rsidTr="00765131">
        <w:tc>
          <w:tcPr>
            <w:tcW w:w="1860" w:type="dxa"/>
            <w:tcBorders>
              <w:bottom w:val="nil"/>
            </w:tcBorders>
          </w:tcPr>
          <w:p w14:paraId="2A0AAFED" w14:textId="77777777" w:rsidR="00765131" w:rsidRDefault="00765131" w:rsidP="004C79C1">
            <w:pPr>
              <w:pStyle w:val="TableText0"/>
              <w:spacing w:before="0" w:after="120"/>
              <w:rPr>
                <w:snapToGrid w:val="0"/>
              </w:rPr>
            </w:pPr>
            <w:r>
              <w:rPr>
                <w:snapToGrid w:val="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Pr>
                <w:snapToGrid w:val="0"/>
              </w:rPr>
              <w:instrText xml:space="preserve"> ADDIN EN.CITE </w:instrText>
            </w:r>
            <w:r>
              <w:rPr>
                <w:snapToGrid w:val="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14" w:tooltip="Broch, 2015 #107" w:history="1">
              <w:r>
                <w:rPr>
                  <w:noProof/>
                  <w:snapToGrid w:val="0"/>
                </w:rPr>
                <w:t>Broch et al. 2015</w:t>
              </w:r>
            </w:hyperlink>
            <w:r>
              <w:rPr>
                <w:noProof/>
                <w:snapToGrid w:val="0"/>
              </w:rPr>
              <w:t>)</w:t>
            </w:r>
            <w:r>
              <w:rPr>
                <w:snapToGrid w:val="0"/>
              </w:rPr>
              <w:fldChar w:fldCharType="end"/>
            </w:r>
          </w:p>
          <w:p w14:paraId="770BE120" w14:textId="42F47FB4" w:rsidR="00765131" w:rsidRDefault="00765131" w:rsidP="004C79C1">
            <w:pPr>
              <w:pStyle w:val="TableText0"/>
              <w:spacing w:before="0" w:after="120"/>
              <w:rPr>
                <w:snapToGrid w:val="0"/>
              </w:rPr>
            </w:pPr>
            <w:r>
              <w:rPr>
                <w:snapToGrid w:val="0"/>
              </w:rPr>
              <w:t>H</w:t>
            </w:r>
            <w:r w:rsidR="00ED70B7">
              <w:rPr>
                <w:snapToGrid w:val="0"/>
              </w:rPr>
              <w:t>F</w:t>
            </w:r>
            <w:r>
              <w:rPr>
                <w:snapToGrid w:val="0"/>
              </w:rPr>
              <w:t xml:space="preserve"> patients with LVEF ≤40% with idiopathic NIDCM</w:t>
            </w:r>
          </w:p>
          <w:p w14:paraId="1DC87426" w14:textId="094D02B8" w:rsidR="00765131" w:rsidRDefault="00765131" w:rsidP="004C79C1">
            <w:pPr>
              <w:pStyle w:val="TableText0"/>
              <w:spacing w:before="0" w:after="120"/>
            </w:pPr>
            <w:r>
              <w:rPr>
                <w:snapToGrid w:val="0"/>
              </w:rPr>
              <w:t>N=102</w:t>
            </w:r>
          </w:p>
        </w:tc>
        <w:tc>
          <w:tcPr>
            <w:tcW w:w="1411" w:type="dxa"/>
          </w:tcPr>
          <w:p w14:paraId="2E1CA275" w14:textId="77777777" w:rsidR="00765131" w:rsidRDefault="00765131" w:rsidP="004C79C1">
            <w:pPr>
              <w:pStyle w:val="TableText0"/>
              <w:spacing w:before="0" w:after="120"/>
            </w:pPr>
            <w:r>
              <w:t xml:space="preserve">CMR </w:t>
            </w:r>
          </w:p>
          <w:p w14:paraId="1B913561" w14:textId="2069E84D" w:rsidR="00765131" w:rsidRPr="00507FB8" w:rsidRDefault="00765131" w:rsidP="004C79C1">
            <w:pPr>
              <w:pStyle w:val="TableText0"/>
              <w:spacing w:before="0" w:after="120"/>
              <w:rPr>
                <w:vertAlign w:val="superscript"/>
              </w:rPr>
            </w:pPr>
            <w:r>
              <w:t>N=88</w:t>
            </w:r>
            <w:r w:rsidR="002355C8">
              <w:t xml:space="preserve"> </w:t>
            </w:r>
            <w:r>
              <w:rPr>
                <w:vertAlign w:val="superscript"/>
              </w:rPr>
              <w:t>a</w:t>
            </w:r>
          </w:p>
        </w:tc>
        <w:tc>
          <w:tcPr>
            <w:tcW w:w="2313" w:type="dxa"/>
          </w:tcPr>
          <w:p w14:paraId="2CB979AB" w14:textId="77777777" w:rsidR="00765131" w:rsidRDefault="00765131" w:rsidP="004C79C1">
            <w:pPr>
              <w:pStyle w:val="TableText0"/>
              <w:spacing w:before="0" w:after="120"/>
            </w:pPr>
            <w:r>
              <w:t>2 diagnosed with non-compaction CM</w:t>
            </w:r>
          </w:p>
          <w:p w14:paraId="627D6E22" w14:textId="2F06BEA8" w:rsidR="00765131" w:rsidRPr="00507FB8" w:rsidRDefault="00765131" w:rsidP="004C79C1">
            <w:pPr>
              <w:pStyle w:val="TableText0"/>
              <w:spacing w:before="0" w:after="120"/>
              <w:rPr>
                <w:vertAlign w:val="superscript"/>
              </w:rPr>
            </w:pPr>
            <w:r>
              <w:t>2 diagnosed with CM associated with systemic inflammatory disease</w:t>
            </w:r>
            <w:r w:rsidR="002355C8">
              <w:t xml:space="preserve"> </w:t>
            </w:r>
            <w:r>
              <w:rPr>
                <w:vertAlign w:val="superscript"/>
              </w:rPr>
              <w:t>b</w:t>
            </w:r>
          </w:p>
        </w:tc>
        <w:tc>
          <w:tcPr>
            <w:tcW w:w="1853" w:type="dxa"/>
          </w:tcPr>
          <w:p w14:paraId="00F70677" w14:textId="77777777" w:rsidR="00765131" w:rsidRDefault="00765131" w:rsidP="004C79C1">
            <w:pPr>
              <w:pStyle w:val="TableText0"/>
              <w:spacing w:before="0" w:after="120"/>
            </w:pPr>
            <w:r>
              <w:t>N/A</w:t>
            </w:r>
          </w:p>
        </w:tc>
        <w:tc>
          <w:tcPr>
            <w:tcW w:w="1693" w:type="dxa"/>
          </w:tcPr>
          <w:p w14:paraId="3422DBC9" w14:textId="36B85021" w:rsidR="00765131" w:rsidRDefault="00765131" w:rsidP="004C79C1">
            <w:pPr>
              <w:pStyle w:val="TableText0"/>
              <w:spacing w:before="0" w:after="120"/>
            </w:pPr>
            <w:r>
              <w:t xml:space="preserve">2 cases initiated oral anticoagulation and ICDs </w:t>
            </w:r>
            <w:r w:rsidR="00CC4495">
              <w:t xml:space="preserve">were </w:t>
            </w:r>
            <w:r>
              <w:t>implanted</w:t>
            </w:r>
          </w:p>
          <w:p w14:paraId="25B8F819" w14:textId="2E3C99BC" w:rsidR="00765131" w:rsidRDefault="00765131" w:rsidP="004C79C1">
            <w:pPr>
              <w:pStyle w:val="TableText0"/>
              <w:spacing w:before="0" w:after="120"/>
            </w:pPr>
            <w:r>
              <w:t xml:space="preserve">2 cases </w:t>
            </w:r>
            <w:r w:rsidR="00CC4495">
              <w:t xml:space="preserve">initiated </w:t>
            </w:r>
            <w:r>
              <w:t xml:space="preserve">appropriate immunosuppressant therapy </w:t>
            </w:r>
          </w:p>
        </w:tc>
      </w:tr>
      <w:tr w:rsidR="00765131" w14:paraId="3BCB9F12" w14:textId="4AC97337" w:rsidTr="00765131">
        <w:trPr>
          <w:hidden/>
        </w:trPr>
        <w:tc>
          <w:tcPr>
            <w:tcW w:w="1860" w:type="dxa"/>
            <w:tcBorders>
              <w:top w:val="nil"/>
              <w:bottom w:val="nil"/>
            </w:tcBorders>
          </w:tcPr>
          <w:p w14:paraId="19CB242E" w14:textId="77777777" w:rsidR="00765131" w:rsidRPr="004557E8" w:rsidRDefault="00765131" w:rsidP="004C79C1">
            <w:pPr>
              <w:pStyle w:val="TableText0"/>
              <w:spacing w:before="0" w:after="120"/>
              <w:rPr>
                <w:vanish/>
                <w:color w:val="FFFFFF" w:themeColor="background1"/>
              </w:rPr>
            </w:pPr>
            <w:r w:rsidRPr="004557E8">
              <w:rPr>
                <w:vanish/>
                <w:color w:val="FFFFFF" w:themeColor="background1"/>
              </w:rPr>
              <w:t>-</w:t>
            </w:r>
          </w:p>
        </w:tc>
        <w:tc>
          <w:tcPr>
            <w:tcW w:w="1411" w:type="dxa"/>
          </w:tcPr>
          <w:p w14:paraId="2137A9FA" w14:textId="77777777" w:rsidR="00765131" w:rsidRDefault="00765131" w:rsidP="004C79C1">
            <w:pPr>
              <w:pStyle w:val="TableText0"/>
              <w:spacing w:before="0" w:after="120"/>
            </w:pPr>
            <w:r>
              <w:t>Blood test</w:t>
            </w:r>
          </w:p>
          <w:p w14:paraId="6F80B2EC" w14:textId="52AF74D5" w:rsidR="00765131" w:rsidRDefault="00765131" w:rsidP="004C79C1">
            <w:pPr>
              <w:pStyle w:val="TableText0"/>
              <w:spacing w:before="0" w:after="120"/>
            </w:pPr>
            <w:r>
              <w:t>N=102</w:t>
            </w:r>
          </w:p>
        </w:tc>
        <w:tc>
          <w:tcPr>
            <w:tcW w:w="2313" w:type="dxa"/>
          </w:tcPr>
          <w:p w14:paraId="375CFACA" w14:textId="77777777" w:rsidR="00765131" w:rsidRDefault="00765131" w:rsidP="004C79C1">
            <w:pPr>
              <w:pStyle w:val="TableText0"/>
              <w:spacing w:before="0" w:after="120"/>
            </w:pPr>
            <w:r>
              <w:t>16/102</w:t>
            </w:r>
          </w:p>
          <w:p w14:paraId="050DDA99" w14:textId="77777777" w:rsidR="00765131" w:rsidRDefault="00765131" w:rsidP="004C79C1">
            <w:pPr>
              <w:pStyle w:val="TableText0"/>
              <w:spacing w:before="0" w:after="120"/>
            </w:pPr>
            <w:r>
              <w:t>9 parvovirus</w:t>
            </w:r>
          </w:p>
          <w:p w14:paraId="7F87D06F" w14:textId="77777777" w:rsidR="00765131" w:rsidRDefault="00765131" w:rsidP="004C79C1">
            <w:pPr>
              <w:pStyle w:val="TableText0"/>
              <w:spacing w:before="0" w:after="120"/>
            </w:pPr>
            <w:r>
              <w:t>4 adenoviral DNA</w:t>
            </w:r>
          </w:p>
          <w:p w14:paraId="18541CA6" w14:textId="4FB2D246" w:rsidR="00765131" w:rsidRDefault="00765131" w:rsidP="004C79C1">
            <w:pPr>
              <w:pStyle w:val="TableText0"/>
              <w:spacing w:before="0" w:after="120"/>
            </w:pPr>
            <w:r>
              <w:t>3 herpes</w:t>
            </w:r>
            <w:r w:rsidR="00D72018">
              <w:t xml:space="preserve"> </w:t>
            </w:r>
            <w:r>
              <w:t>virus 6 DNA</w:t>
            </w:r>
          </w:p>
        </w:tc>
        <w:tc>
          <w:tcPr>
            <w:tcW w:w="1853" w:type="dxa"/>
          </w:tcPr>
          <w:p w14:paraId="6DDBDC8D" w14:textId="77777777" w:rsidR="00765131" w:rsidRDefault="00765131" w:rsidP="004C79C1">
            <w:pPr>
              <w:pStyle w:val="TableText0"/>
              <w:spacing w:before="0" w:after="120"/>
            </w:pPr>
            <w:r>
              <w:t>LGE present in 8% of those with viral RNA/DNA</w:t>
            </w:r>
          </w:p>
          <w:p w14:paraId="26A8FBAB" w14:textId="0A0FA65E" w:rsidR="00765131" w:rsidRDefault="00765131" w:rsidP="004C79C1">
            <w:pPr>
              <w:pStyle w:val="TableText0"/>
              <w:spacing w:before="0" w:after="120"/>
            </w:pPr>
            <w:r>
              <w:t>LGE present in 40% of those without evidence of viral persistence</w:t>
            </w:r>
          </w:p>
        </w:tc>
        <w:tc>
          <w:tcPr>
            <w:tcW w:w="1693" w:type="dxa"/>
          </w:tcPr>
          <w:p w14:paraId="1BE0A1FF" w14:textId="692B65AA" w:rsidR="00765131" w:rsidRDefault="00765131" w:rsidP="004C79C1">
            <w:pPr>
              <w:pStyle w:val="TableText0"/>
              <w:spacing w:before="0" w:after="120"/>
            </w:pPr>
            <w:r>
              <w:t>Unclear</w:t>
            </w:r>
          </w:p>
        </w:tc>
      </w:tr>
      <w:tr w:rsidR="00765131" w14:paraId="109E760B" w14:textId="095C57D9" w:rsidTr="00765131">
        <w:trPr>
          <w:hidden/>
        </w:trPr>
        <w:tc>
          <w:tcPr>
            <w:tcW w:w="1860" w:type="dxa"/>
            <w:tcBorders>
              <w:top w:val="nil"/>
              <w:bottom w:val="nil"/>
            </w:tcBorders>
          </w:tcPr>
          <w:p w14:paraId="0DA2481D" w14:textId="77777777" w:rsidR="00765131" w:rsidRPr="004557E8" w:rsidRDefault="00765131" w:rsidP="004C79C1">
            <w:pPr>
              <w:pStyle w:val="TableText0"/>
              <w:spacing w:before="0" w:after="120"/>
              <w:rPr>
                <w:color w:val="FFFFFF" w:themeColor="background1"/>
              </w:rPr>
            </w:pPr>
            <w:r w:rsidRPr="004557E8">
              <w:rPr>
                <w:vanish/>
                <w:color w:val="FFFFFF" w:themeColor="background1"/>
              </w:rPr>
              <w:t>-</w:t>
            </w:r>
          </w:p>
        </w:tc>
        <w:tc>
          <w:tcPr>
            <w:tcW w:w="1411" w:type="dxa"/>
          </w:tcPr>
          <w:p w14:paraId="25B53A75" w14:textId="57EC19DF" w:rsidR="00765131" w:rsidRDefault="00765131" w:rsidP="004C79C1">
            <w:pPr>
              <w:pStyle w:val="TableText0"/>
              <w:spacing w:before="0" w:after="120"/>
            </w:pPr>
            <w:r>
              <w:t>Endomyocardial biopsy</w:t>
            </w:r>
          </w:p>
          <w:p w14:paraId="34905DA4" w14:textId="27A6CE23" w:rsidR="00765131" w:rsidRDefault="00765131" w:rsidP="004C79C1">
            <w:pPr>
              <w:pStyle w:val="TableText0"/>
              <w:spacing w:before="0" w:after="120"/>
            </w:pPr>
            <w:r>
              <w:t>N=97</w:t>
            </w:r>
          </w:p>
        </w:tc>
        <w:tc>
          <w:tcPr>
            <w:tcW w:w="2313" w:type="dxa"/>
          </w:tcPr>
          <w:p w14:paraId="21652CD4" w14:textId="77777777" w:rsidR="00765131" w:rsidRDefault="00765131" w:rsidP="004C79C1">
            <w:pPr>
              <w:pStyle w:val="TableText0"/>
              <w:spacing w:before="0" w:after="120"/>
            </w:pPr>
            <w:r>
              <w:t>2/97</w:t>
            </w:r>
          </w:p>
          <w:p w14:paraId="41758919" w14:textId="77777777" w:rsidR="00765131" w:rsidRDefault="00765131" w:rsidP="004C79C1">
            <w:pPr>
              <w:pStyle w:val="TableText0"/>
              <w:spacing w:before="0" w:after="120"/>
            </w:pPr>
            <w:r>
              <w:t xml:space="preserve">1 diagnosed with cardiac sarcoidosis </w:t>
            </w:r>
          </w:p>
          <w:p w14:paraId="551953E1" w14:textId="77777777" w:rsidR="00765131" w:rsidRDefault="00765131" w:rsidP="004C79C1">
            <w:pPr>
              <w:pStyle w:val="TableText0"/>
              <w:spacing w:before="0" w:after="120"/>
            </w:pPr>
            <w:r>
              <w:t>1 diagnosed with non-familial transthyretin amyloidosis</w:t>
            </w:r>
          </w:p>
        </w:tc>
        <w:tc>
          <w:tcPr>
            <w:tcW w:w="1853" w:type="dxa"/>
          </w:tcPr>
          <w:p w14:paraId="47B3C9BC" w14:textId="77777777" w:rsidR="00765131" w:rsidRDefault="00765131" w:rsidP="004C79C1">
            <w:pPr>
              <w:pStyle w:val="TableText0"/>
              <w:spacing w:before="0" w:after="120"/>
            </w:pPr>
            <w:r>
              <w:t xml:space="preserve">1/2 </w:t>
            </w:r>
          </w:p>
          <w:p w14:paraId="574F19D2" w14:textId="77777777" w:rsidR="00765131" w:rsidRDefault="00765131" w:rsidP="004C79C1">
            <w:pPr>
              <w:pStyle w:val="TableText0"/>
              <w:spacing w:before="0" w:after="120"/>
            </w:pPr>
            <w:r>
              <w:t>1 patient with cardiac sarcoidosis was suspected on CMR</w:t>
            </w:r>
          </w:p>
        </w:tc>
        <w:tc>
          <w:tcPr>
            <w:tcW w:w="1693" w:type="dxa"/>
          </w:tcPr>
          <w:p w14:paraId="6550CC27" w14:textId="40E80B0A" w:rsidR="00765131" w:rsidRDefault="00765131" w:rsidP="004C79C1">
            <w:pPr>
              <w:pStyle w:val="TableText0"/>
              <w:spacing w:before="0" w:after="120"/>
            </w:pPr>
            <w:r>
              <w:t>1 patient with sarcoidosis treated with prednisone</w:t>
            </w:r>
          </w:p>
        </w:tc>
      </w:tr>
      <w:tr w:rsidR="00765131" w14:paraId="4B713DCF" w14:textId="0FC9F001" w:rsidTr="00765131">
        <w:trPr>
          <w:hidden/>
        </w:trPr>
        <w:tc>
          <w:tcPr>
            <w:tcW w:w="1860" w:type="dxa"/>
            <w:tcBorders>
              <w:top w:val="nil"/>
              <w:bottom w:val="nil"/>
            </w:tcBorders>
          </w:tcPr>
          <w:p w14:paraId="2A2334ED" w14:textId="77777777" w:rsidR="00765131" w:rsidRPr="004557E8" w:rsidRDefault="00765131" w:rsidP="004C79C1">
            <w:pPr>
              <w:pStyle w:val="TableText0"/>
              <w:spacing w:before="0" w:after="120"/>
              <w:rPr>
                <w:color w:val="FFFFFF" w:themeColor="background1"/>
              </w:rPr>
            </w:pPr>
            <w:r w:rsidRPr="004557E8">
              <w:rPr>
                <w:vanish/>
                <w:color w:val="FFFFFF" w:themeColor="background1"/>
              </w:rPr>
              <w:t>-</w:t>
            </w:r>
          </w:p>
        </w:tc>
        <w:tc>
          <w:tcPr>
            <w:tcW w:w="1411" w:type="dxa"/>
          </w:tcPr>
          <w:p w14:paraId="23B23307" w14:textId="77777777" w:rsidR="00765131" w:rsidRDefault="00765131" w:rsidP="004C79C1">
            <w:pPr>
              <w:pStyle w:val="TableText0"/>
              <w:spacing w:before="0" w:after="120"/>
            </w:pPr>
            <w:r>
              <w:t>Exercise testing</w:t>
            </w:r>
          </w:p>
          <w:p w14:paraId="065C5F99" w14:textId="60192120" w:rsidR="00765131" w:rsidRDefault="00765131" w:rsidP="004C79C1">
            <w:pPr>
              <w:pStyle w:val="TableText0"/>
              <w:spacing w:before="0" w:after="120"/>
            </w:pPr>
            <w:r>
              <w:t>N=96</w:t>
            </w:r>
          </w:p>
        </w:tc>
        <w:tc>
          <w:tcPr>
            <w:tcW w:w="2313" w:type="dxa"/>
          </w:tcPr>
          <w:p w14:paraId="20CC3212" w14:textId="5DF17345" w:rsidR="00765131" w:rsidRDefault="00765131" w:rsidP="004C79C1">
            <w:pPr>
              <w:pStyle w:val="TableText0"/>
              <w:spacing w:before="0" w:after="120"/>
            </w:pPr>
            <w:r>
              <w:t xml:space="preserve">3/96 experienced non-sustained </w:t>
            </w:r>
            <w:r w:rsidR="001363A0">
              <w:t>VT</w:t>
            </w:r>
          </w:p>
          <w:p w14:paraId="54A9ACF0" w14:textId="77777777" w:rsidR="00765131" w:rsidRDefault="00765131" w:rsidP="004C79C1">
            <w:pPr>
              <w:pStyle w:val="TableText0"/>
              <w:spacing w:before="0" w:after="120"/>
            </w:pPr>
            <w:r>
              <w:t>Diagnostic yield considered 0</w:t>
            </w:r>
          </w:p>
        </w:tc>
        <w:tc>
          <w:tcPr>
            <w:tcW w:w="1853" w:type="dxa"/>
          </w:tcPr>
          <w:p w14:paraId="0C5C4935" w14:textId="77777777" w:rsidR="00765131" w:rsidRDefault="00765131" w:rsidP="004C79C1">
            <w:pPr>
              <w:pStyle w:val="TableText0"/>
              <w:spacing w:before="0" w:after="120"/>
            </w:pPr>
            <w:r>
              <w:t>None mentioned</w:t>
            </w:r>
          </w:p>
        </w:tc>
        <w:tc>
          <w:tcPr>
            <w:tcW w:w="1693" w:type="dxa"/>
          </w:tcPr>
          <w:p w14:paraId="20FC6822" w14:textId="6A81BAD4" w:rsidR="00765131" w:rsidRDefault="00765131" w:rsidP="004C79C1">
            <w:pPr>
              <w:pStyle w:val="TableText0"/>
              <w:spacing w:before="0" w:after="120"/>
            </w:pPr>
            <w:r>
              <w:t xml:space="preserve">2/3 cases of </w:t>
            </w:r>
            <w:r w:rsidR="000270CB">
              <w:t>VA</w:t>
            </w:r>
            <w:r>
              <w:t xml:space="preserve"> prompted ICD implantation </w:t>
            </w:r>
          </w:p>
          <w:p w14:paraId="2101D55D" w14:textId="0E33B09A" w:rsidR="00765131" w:rsidRDefault="00765131" w:rsidP="004C79C1">
            <w:pPr>
              <w:pStyle w:val="TableText0"/>
              <w:spacing w:before="0" w:after="120"/>
            </w:pPr>
            <w:r>
              <w:t>Peak oxygen consumption one of several parameters used to stratify for heart transplantation</w:t>
            </w:r>
          </w:p>
        </w:tc>
      </w:tr>
      <w:tr w:rsidR="00765131" w14:paraId="5B025636" w14:textId="4321BE00" w:rsidTr="00765131">
        <w:trPr>
          <w:hidden/>
        </w:trPr>
        <w:tc>
          <w:tcPr>
            <w:tcW w:w="1860" w:type="dxa"/>
            <w:tcBorders>
              <w:top w:val="nil"/>
              <w:bottom w:val="nil"/>
            </w:tcBorders>
          </w:tcPr>
          <w:p w14:paraId="525D19F2" w14:textId="77777777" w:rsidR="00765131" w:rsidRPr="004557E8" w:rsidRDefault="00765131" w:rsidP="004C79C1">
            <w:pPr>
              <w:pStyle w:val="TableText0"/>
              <w:spacing w:before="0" w:after="120"/>
              <w:rPr>
                <w:color w:val="FFFFFF" w:themeColor="background1"/>
              </w:rPr>
            </w:pPr>
            <w:r w:rsidRPr="004557E8">
              <w:rPr>
                <w:vanish/>
                <w:color w:val="FFFFFF" w:themeColor="background1"/>
              </w:rPr>
              <w:t>-</w:t>
            </w:r>
          </w:p>
        </w:tc>
        <w:tc>
          <w:tcPr>
            <w:tcW w:w="1411" w:type="dxa"/>
          </w:tcPr>
          <w:p w14:paraId="58B93A65" w14:textId="77777777" w:rsidR="00765131" w:rsidRDefault="00765131" w:rsidP="004C79C1">
            <w:pPr>
              <w:pStyle w:val="TableText0"/>
              <w:spacing w:before="0" w:after="120"/>
            </w:pPr>
            <w:r>
              <w:t>24-hour ECG</w:t>
            </w:r>
          </w:p>
          <w:p w14:paraId="55021A98" w14:textId="025E5397" w:rsidR="00765131" w:rsidRDefault="00765131" w:rsidP="004C79C1">
            <w:pPr>
              <w:pStyle w:val="TableText0"/>
              <w:spacing w:before="0" w:after="120"/>
            </w:pPr>
            <w:r>
              <w:t>N=89</w:t>
            </w:r>
          </w:p>
        </w:tc>
        <w:tc>
          <w:tcPr>
            <w:tcW w:w="2313" w:type="dxa"/>
          </w:tcPr>
          <w:p w14:paraId="4CC31442" w14:textId="7A013E20" w:rsidR="00765131" w:rsidRDefault="00765131" w:rsidP="004C79C1">
            <w:pPr>
              <w:pStyle w:val="TableText0"/>
              <w:spacing w:before="0" w:after="120"/>
            </w:pPr>
            <w:r>
              <w:t xml:space="preserve">25/89 experienced non-sustained </w:t>
            </w:r>
            <w:r w:rsidR="000270CB">
              <w:t>VT</w:t>
            </w:r>
            <w:r>
              <w:t xml:space="preserve"> </w:t>
            </w:r>
          </w:p>
          <w:p w14:paraId="72ECF60D" w14:textId="77777777" w:rsidR="00765131" w:rsidRDefault="00765131" w:rsidP="004C79C1">
            <w:pPr>
              <w:pStyle w:val="TableText0"/>
              <w:spacing w:before="0" w:after="120"/>
            </w:pPr>
            <w:r>
              <w:t>Diagnostic yield considered 0</w:t>
            </w:r>
          </w:p>
        </w:tc>
        <w:tc>
          <w:tcPr>
            <w:tcW w:w="1853" w:type="dxa"/>
          </w:tcPr>
          <w:p w14:paraId="07A834E8" w14:textId="77777777" w:rsidR="00765131" w:rsidRDefault="00765131" w:rsidP="004C79C1">
            <w:pPr>
              <w:pStyle w:val="TableText0"/>
              <w:spacing w:before="0" w:after="120"/>
            </w:pPr>
            <w:r>
              <w:t>None mentioned</w:t>
            </w:r>
          </w:p>
        </w:tc>
        <w:tc>
          <w:tcPr>
            <w:tcW w:w="1693" w:type="dxa"/>
          </w:tcPr>
          <w:p w14:paraId="18D8024E" w14:textId="6A34EF90" w:rsidR="00765131" w:rsidRDefault="00765131" w:rsidP="004C79C1">
            <w:pPr>
              <w:pStyle w:val="TableText0"/>
              <w:spacing w:before="0" w:after="120"/>
            </w:pPr>
            <w:r>
              <w:t xml:space="preserve">No direct impact Detection of </w:t>
            </w:r>
            <w:r w:rsidR="00CE4414">
              <w:t>VT</w:t>
            </w:r>
            <w:r>
              <w:t xml:space="preserve"> strengthens case for ICD implantation</w:t>
            </w:r>
          </w:p>
        </w:tc>
      </w:tr>
      <w:tr w:rsidR="00765131" w14:paraId="4BEA9603" w14:textId="64E8CDBA" w:rsidTr="00765131">
        <w:trPr>
          <w:hidden/>
        </w:trPr>
        <w:tc>
          <w:tcPr>
            <w:tcW w:w="1860" w:type="dxa"/>
            <w:tcBorders>
              <w:top w:val="nil"/>
            </w:tcBorders>
          </w:tcPr>
          <w:p w14:paraId="03B23CB9" w14:textId="77777777" w:rsidR="00765131" w:rsidRPr="004557E8" w:rsidRDefault="00765131" w:rsidP="004C79C1">
            <w:pPr>
              <w:pStyle w:val="TableText0"/>
              <w:spacing w:before="0" w:after="120"/>
              <w:rPr>
                <w:color w:val="FFFFFF" w:themeColor="background1"/>
              </w:rPr>
            </w:pPr>
            <w:r w:rsidRPr="004557E8">
              <w:rPr>
                <w:vanish/>
                <w:color w:val="FFFFFF" w:themeColor="background1"/>
              </w:rPr>
              <w:t>-</w:t>
            </w:r>
          </w:p>
        </w:tc>
        <w:tc>
          <w:tcPr>
            <w:tcW w:w="1411" w:type="dxa"/>
          </w:tcPr>
          <w:p w14:paraId="67D03648" w14:textId="77777777" w:rsidR="00765131" w:rsidRDefault="00765131" w:rsidP="004C79C1">
            <w:pPr>
              <w:pStyle w:val="TableText0"/>
              <w:spacing w:before="0" w:after="120"/>
            </w:pPr>
            <w:r>
              <w:t>Genetic testing</w:t>
            </w:r>
          </w:p>
          <w:p w14:paraId="39BF6763" w14:textId="5C900722" w:rsidR="00765131" w:rsidRDefault="00765131" w:rsidP="004C79C1">
            <w:pPr>
              <w:pStyle w:val="TableText0"/>
              <w:spacing w:before="0" w:after="120"/>
            </w:pPr>
            <w:r>
              <w:t>N=102</w:t>
            </w:r>
          </w:p>
        </w:tc>
        <w:tc>
          <w:tcPr>
            <w:tcW w:w="2313" w:type="dxa"/>
          </w:tcPr>
          <w:p w14:paraId="7EEE04C5" w14:textId="77777777" w:rsidR="00765131" w:rsidRDefault="00765131" w:rsidP="004C79C1">
            <w:pPr>
              <w:pStyle w:val="TableText0"/>
              <w:spacing w:before="0" w:after="120"/>
            </w:pPr>
            <w:r>
              <w:t>10/102 possible disease-causing mutations</w:t>
            </w:r>
          </w:p>
          <w:p w14:paraId="0C3A0888" w14:textId="77777777" w:rsidR="00765131" w:rsidRDefault="00765131" w:rsidP="004C79C1">
            <w:pPr>
              <w:pStyle w:val="TableText0"/>
              <w:spacing w:before="0" w:after="120"/>
            </w:pPr>
            <w:r>
              <w:t>3/10 had family history indicating familial DCM</w:t>
            </w:r>
          </w:p>
        </w:tc>
        <w:tc>
          <w:tcPr>
            <w:tcW w:w="1853" w:type="dxa"/>
          </w:tcPr>
          <w:p w14:paraId="296612C3" w14:textId="77777777" w:rsidR="00765131" w:rsidRDefault="00765131" w:rsidP="004C79C1">
            <w:pPr>
              <w:pStyle w:val="TableText0"/>
              <w:spacing w:before="0" w:after="120"/>
            </w:pPr>
            <w:r>
              <w:t>None mentioned</w:t>
            </w:r>
          </w:p>
        </w:tc>
        <w:tc>
          <w:tcPr>
            <w:tcW w:w="1693" w:type="dxa"/>
          </w:tcPr>
          <w:p w14:paraId="6941F857" w14:textId="1C6E7D45" w:rsidR="00765131" w:rsidRDefault="00765131" w:rsidP="004C79C1">
            <w:pPr>
              <w:pStyle w:val="TableText0"/>
              <w:spacing w:before="0" w:after="120"/>
            </w:pPr>
            <w:r>
              <w:t>1/10 findings prompted ICD implantation</w:t>
            </w:r>
          </w:p>
          <w:p w14:paraId="0E42DE68" w14:textId="55C87258" w:rsidR="00765131" w:rsidRDefault="00765131" w:rsidP="004C79C1">
            <w:pPr>
              <w:pStyle w:val="TableText0"/>
              <w:spacing w:before="0" w:after="120"/>
            </w:pPr>
            <w:r>
              <w:t>Allowed for family screening</w:t>
            </w:r>
          </w:p>
        </w:tc>
      </w:tr>
    </w:tbl>
    <w:p w14:paraId="175D2EE7" w14:textId="77777777" w:rsidR="000B6043" w:rsidRDefault="000B6043" w:rsidP="004C79C1">
      <w:pPr>
        <w:pStyle w:val="Tablenotes0"/>
        <w:spacing w:before="0" w:after="120"/>
      </w:pPr>
      <w:proofErr w:type="gramStart"/>
      <w:r w:rsidRPr="00D90AB4">
        <w:rPr>
          <w:vertAlign w:val="superscript"/>
        </w:rPr>
        <w:t>a</w:t>
      </w:r>
      <w:proofErr w:type="gramEnd"/>
      <w:r>
        <w:rPr>
          <w:vertAlign w:val="superscript"/>
        </w:rPr>
        <w:t xml:space="preserve"> </w:t>
      </w:r>
      <w:r>
        <w:t>88 p</w:t>
      </w:r>
      <w:r w:rsidRPr="00C05D6B">
        <w:t>atients</w:t>
      </w:r>
      <w:r>
        <w:t xml:space="preserve"> underwent CMR, 81 of whom also underwent LGE.</w:t>
      </w:r>
    </w:p>
    <w:p w14:paraId="6CDD03B8" w14:textId="34D345C3" w:rsidR="000B6043" w:rsidRDefault="000B6043" w:rsidP="004C79C1">
      <w:pPr>
        <w:pStyle w:val="Tablenotes0"/>
        <w:spacing w:before="0" w:after="120"/>
      </w:pPr>
      <w:proofErr w:type="gramStart"/>
      <w:r>
        <w:rPr>
          <w:vertAlign w:val="superscript"/>
        </w:rPr>
        <w:t>b</w:t>
      </w:r>
      <w:proofErr w:type="gramEnd"/>
      <w:r>
        <w:rPr>
          <w:vertAlign w:val="superscript"/>
        </w:rPr>
        <w:t xml:space="preserve"> </w:t>
      </w:r>
      <w:r w:rsidRPr="00D90AB4">
        <w:t>The</w:t>
      </w:r>
      <w:r>
        <w:rPr>
          <w:vertAlign w:val="superscript"/>
        </w:rPr>
        <w:t xml:space="preserve"> </w:t>
      </w:r>
      <w:r>
        <w:t>2 patients had LGE of 24.6% and 45.1% of LV volume. One patient was diagnosed with Wegener’s granulomatosis and one with sarcoidosis based on extracardiac and cardiac biopsy results.</w:t>
      </w:r>
    </w:p>
    <w:p w14:paraId="0189BC66" w14:textId="0CC61C33" w:rsidR="00DD1045" w:rsidRDefault="00DD1045" w:rsidP="004C79C1">
      <w:pPr>
        <w:pStyle w:val="Tablenotes0"/>
        <w:spacing w:before="0" w:after="120"/>
      </w:pPr>
      <w:r>
        <w:t>CM</w:t>
      </w:r>
      <w:r w:rsidR="00D1493E">
        <w:t xml:space="preserve"> </w:t>
      </w:r>
      <w:r>
        <w:t>=</w:t>
      </w:r>
      <w:r w:rsidR="00D1493E">
        <w:t xml:space="preserve"> </w:t>
      </w:r>
      <w:r>
        <w:t>cardiomyopathy; CMR</w:t>
      </w:r>
      <w:r w:rsidR="00D1493E">
        <w:t xml:space="preserve"> </w:t>
      </w:r>
      <w:r>
        <w:t>=</w:t>
      </w:r>
      <w:r w:rsidR="00D1493E">
        <w:t xml:space="preserve"> </w:t>
      </w:r>
      <w:r>
        <w:t xml:space="preserve">cardiac magnetic resonance </w:t>
      </w:r>
      <w:r w:rsidR="00555DDC">
        <w:t>(</w:t>
      </w:r>
      <w:r>
        <w:t>imaging</w:t>
      </w:r>
      <w:r w:rsidR="00555DDC">
        <w:t>)</w:t>
      </w:r>
      <w:r>
        <w:t>; DCN</w:t>
      </w:r>
      <w:r w:rsidR="00D1493E">
        <w:t xml:space="preserve"> </w:t>
      </w:r>
      <w:r>
        <w:t>=</w:t>
      </w:r>
      <w:r w:rsidR="00D1493E">
        <w:t xml:space="preserve"> </w:t>
      </w:r>
      <w:r>
        <w:t>dilated cardiomyopathy; DNA</w:t>
      </w:r>
      <w:r w:rsidR="00D1493E">
        <w:t xml:space="preserve"> </w:t>
      </w:r>
      <w:r>
        <w:t>=</w:t>
      </w:r>
      <w:r w:rsidR="00D1493E">
        <w:t xml:space="preserve"> </w:t>
      </w:r>
      <w:r>
        <w:t>deoxyribonucleic acid; ECG</w:t>
      </w:r>
      <w:r w:rsidR="00D1493E">
        <w:t xml:space="preserve"> </w:t>
      </w:r>
      <w:r>
        <w:t>=</w:t>
      </w:r>
      <w:r w:rsidR="00D1493E">
        <w:t xml:space="preserve"> </w:t>
      </w:r>
      <w:r>
        <w:t>ele</w:t>
      </w:r>
      <w:r w:rsidR="00D72018">
        <w:t>c</w:t>
      </w:r>
      <w:r>
        <w:t>trocardiograph</w:t>
      </w:r>
      <w:r w:rsidRPr="00AB0D8D">
        <w:t xml:space="preserve">y; </w:t>
      </w:r>
      <w:r w:rsidR="00ED70B7" w:rsidRPr="00AB0D8D">
        <w:t xml:space="preserve">HF = heart failure; </w:t>
      </w:r>
      <w:r w:rsidR="007F4B7B" w:rsidRPr="00AB0D8D">
        <w:t xml:space="preserve">ICD = </w:t>
      </w:r>
      <w:r w:rsidR="002563DB" w:rsidRPr="00E175D4">
        <w:t xml:space="preserve">implantable </w:t>
      </w:r>
      <w:r w:rsidR="0026063B">
        <w:t>cardioverter defibrillator</w:t>
      </w:r>
      <w:r w:rsidR="007F4B7B" w:rsidRPr="00AB0D8D">
        <w:t xml:space="preserve">; </w:t>
      </w:r>
      <w:r w:rsidRPr="00AB0D8D">
        <w:t>LGE</w:t>
      </w:r>
      <w:r w:rsidR="00D1493E" w:rsidRPr="00AB0D8D">
        <w:t xml:space="preserve"> </w:t>
      </w:r>
      <w:r w:rsidRPr="00AB0D8D">
        <w:t>=</w:t>
      </w:r>
      <w:r w:rsidR="00D1493E" w:rsidRPr="00AB0D8D">
        <w:t xml:space="preserve"> </w:t>
      </w:r>
      <w:r w:rsidRPr="00AB0D8D">
        <w:t xml:space="preserve">late gadolinium enhancement; </w:t>
      </w:r>
      <w:r w:rsidR="00316CA8" w:rsidRPr="00AB0D8D">
        <w:t>LVEF =</w:t>
      </w:r>
      <w:r w:rsidR="002563DB" w:rsidRPr="00AB0D8D">
        <w:t xml:space="preserve"> </w:t>
      </w:r>
      <w:r w:rsidR="002563DB" w:rsidRPr="00E175D4">
        <w:t>left ventricular ejection fraction</w:t>
      </w:r>
      <w:r w:rsidR="007F4B7B" w:rsidRPr="00AB0D8D">
        <w:t xml:space="preserve">; </w:t>
      </w:r>
      <w:r w:rsidRPr="00AB0D8D">
        <w:t>N</w:t>
      </w:r>
      <w:r w:rsidR="00D1493E" w:rsidRPr="00AB0D8D">
        <w:t xml:space="preserve"> </w:t>
      </w:r>
      <w:r w:rsidRPr="00AB0D8D">
        <w:t>=</w:t>
      </w:r>
      <w:r w:rsidR="00D1493E" w:rsidRPr="00AB0D8D">
        <w:t xml:space="preserve"> </w:t>
      </w:r>
      <w:r w:rsidRPr="00AB0D8D">
        <w:t>number</w:t>
      </w:r>
      <w:r w:rsidR="00C237D5">
        <w:t xml:space="preserve"> of patients</w:t>
      </w:r>
      <w:r w:rsidRPr="00AB0D8D">
        <w:t>; N</w:t>
      </w:r>
      <w:r>
        <w:t>/A</w:t>
      </w:r>
      <w:r w:rsidR="00D1493E">
        <w:t xml:space="preserve"> </w:t>
      </w:r>
      <w:r>
        <w:t>=</w:t>
      </w:r>
      <w:r w:rsidR="00D1493E">
        <w:t xml:space="preserve"> </w:t>
      </w:r>
      <w:r>
        <w:t>not applicable; NIDCM</w:t>
      </w:r>
      <w:r w:rsidR="00D1493E">
        <w:t xml:space="preserve"> </w:t>
      </w:r>
      <w:r>
        <w:t>=</w:t>
      </w:r>
      <w:r w:rsidR="00D1493E">
        <w:t xml:space="preserve"> </w:t>
      </w:r>
      <w:r>
        <w:t>non-isch</w:t>
      </w:r>
      <w:r w:rsidR="00B54AAB">
        <w:t>a</w:t>
      </w:r>
      <w:r>
        <w:t>emic cardiomyopathy; RNA</w:t>
      </w:r>
      <w:r w:rsidR="00D1493E">
        <w:t xml:space="preserve"> </w:t>
      </w:r>
      <w:r>
        <w:t>=</w:t>
      </w:r>
      <w:r w:rsidR="00D1493E">
        <w:t xml:space="preserve"> </w:t>
      </w:r>
      <w:r>
        <w:t>ribonucleic acid</w:t>
      </w:r>
      <w:r w:rsidR="001363A0">
        <w:t xml:space="preserve">; </w:t>
      </w:r>
      <w:r w:rsidR="000270CB">
        <w:t xml:space="preserve">VA = ventricular arrhythmia; </w:t>
      </w:r>
      <w:r w:rsidR="001363A0">
        <w:t>VT = ventricular tachycardia</w:t>
      </w:r>
    </w:p>
    <w:p w14:paraId="13FD26B5" w14:textId="77777777" w:rsidR="00DD1045" w:rsidRPr="00870724" w:rsidRDefault="00DD1045" w:rsidP="00161B88">
      <w:pPr>
        <w:pStyle w:val="Heading4"/>
      </w:pPr>
      <w:r>
        <w:lastRenderedPageBreak/>
        <w:t>D</w:t>
      </w:r>
      <w:r w:rsidRPr="00870724">
        <w:t>evices, procedures or surgery avoided</w:t>
      </w:r>
      <w:r>
        <w:t xml:space="preserve"> or added</w:t>
      </w:r>
    </w:p>
    <w:p w14:paraId="71C29AA2" w14:textId="19A930B3" w:rsidR="00DD1045" w:rsidRDefault="00DD1045" w:rsidP="004C79C1">
      <w:pPr>
        <w:spacing w:after="120" w:line="240" w:lineRule="auto"/>
        <w:jc w:val="both"/>
      </w:pPr>
      <w:r>
        <w:t>The study by Taylor</w:t>
      </w:r>
      <w:r w:rsidR="004C5651">
        <w:t>, AJ</w:t>
      </w:r>
      <w:r>
        <w:t xml:space="preserve"> et al</w:t>
      </w:r>
      <w:r w:rsidR="003C3F89">
        <w:t>.</w:t>
      </w:r>
      <w:r>
        <w:t xml:space="preserve"> (2013) reported on patients attending an Australian </w:t>
      </w:r>
      <w:r w:rsidR="00DA3ED9">
        <w:t>HF</w:t>
      </w:r>
      <w:r>
        <w:t xml:space="preserve"> clinic who underwent clinical treatment planning for CM. More than half of the CM patients had already had an ICA, but less than 1</w:t>
      </w:r>
      <w:r w:rsidR="00DA3ED9">
        <w:t>%</w:t>
      </w:r>
      <w:r>
        <w:t xml:space="preserve"> of patients were scheduled for CABG prior to undergoing CMR, so it is likely that the patients being classified as CM in the study </w:t>
      </w:r>
      <w:r w:rsidR="00DA3ED9">
        <w:t xml:space="preserve">were </w:t>
      </w:r>
      <w:r>
        <w:t>NIDCM rather than ICM. To assess the</w:t>
      </w:r>
      <w:r>
        <w:rPr>
          <w:i/>
        </w:rPr>
        <w:t xml:space="preserve"> </w:t>
      </w:r>
      <w:r w:rsidRPr="00893453">
        <w:t>incremental</w:t>
      </w:r>
      <w:r w:rsidRPr="00F35255">
        <w:t xml:space="preserve"> </w:t>
      </w:r>
      <w:r>
        <w:t xml:space="preserve">impact of CMR on treatment of NIDCM, patients underwent scanning prior to undergoing surgery or implantation of the device or devices specified in their treatment plan, after all other tests. Over </w:t>
      </w:r>
      <w:r w:rsidR="00D15A46">
        <w:t>one-</w:t>
      </w:r>
      <w:r>
        <w:t>quarter (27%) of patients had already undergone a gated heart pool SPECT</w:t>
      </w:r>
      <w:r w:rsidR="00D15A46">
        <w:t>,</w:t>
      </w:r>
      <w:r>
        <w:t xml:space="preserve"> which provided a separate LVEF score. </w:t>
      </w:r>
    </w:p>
    <w:p w14:paraId="51B3317C" w14:textId="5C66A260" w:rsidR="00DD1045" w:rsidRDefault="00DD1045" w:rsidP="004C79C1">
      <w:pPr>
        <w:shd w:val="clear" w:color="auto" w:fill="FFFFFF" w:themeFill="background1"/>
        <w:spacing w:after="120" w:line="240" w:lineRule="auto"/>
        <w:jc w:val="both"/>
      </w:pPr>
      <w:r>
        <w:t>The study reported the number of patients who avoided device implantations and surgeries as a result of CMR imaging, and also the number who</w:t>
      </w:r>
      <w:r w:rsidR="00FA5340">
        <w:t>,</w:t>
      </w:r>
      <w:r>
        <w:t xml:space="preserve"> prior to CMR</w:t>
      </w:r>
      <w:r w:rsidR="00FA5340">
        <w:t>,</w:t>
      </w:r>
      <w:r>
        <w:t xml:space="preserve"> did not have a plan for a device or surgery but subsequently underwent either. Decisions regarding cardiac surgery were made in case conferences </w:t>
      </w:r>
      <w:r w:rsidR="00FA5340">
        <w:t xml:space="preserve">that </w:t>
      </w:r>
      <w:r>
        <w:t>included a presentation of CMR findings by a CMR team member. For device implantation, decisions were based on currently accepted guidelines that integrated LVEF measured by CMR. Patient clinical plans were recorded from CMR referrals and confirmed through communications with the clinician or patient. Data for the actual devices implanted and surgeries undergone by the patients was collected through patient questionnaires distributed 6</w:t>
      </w:r>
      <w:r w:rsidR="00FA5340">
        <w:t> </w:t>
      </w:r>
      <w:r>
        <w:t xml:space="preserve">months following CMR </w:t>
      </w:r>
      <w:r>
        <w:fldChar w:fldCharType="begin"/>
      </w:r>
      <w:r>
        <w:instrText xml:space="preserve"> ADDIN EN.CITE &lt;EndNote&gt;&lt;Cite&gt;&lt;Author&gt;Taylor AJ&lt;/Author&gt;&lt;Year&gt;2013&lt;/Year&gt;&lt;RecNum&gt;109&lt;/RecNum&gt;&lt;IDText&gt;855-64&lt;/IDText&gt;&lt;DisplayText&gt;(Taylor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26" w:tooltip="Taylor AJ, 2013 #109" w:history="1">
        <w:r>
          <w:rPr>
            <w:noProof/>
          </w:rPr>
          <w:t>Taylor</w:t>
        </w:r>
        <w:r w:rsidR="004C5651">
          <w:rPr>
            <w:noProof/>
          </w:rPr>
          <w:t>,</w:t>
        </w:r>
        <w:r>
          <w:rPr>
            <w:noProof/>
          </w:rPr>
          <w:t xml:space="preserve"> AJ et al. 2013</w:t>
        </w:r>
      </w:hyperlink>
      <w:r>
        <w:rPr>
          <w:noProof/>
        </w:rPr>
        <w:t>)</w:t>
      </w:r>
      <w:r>
        <w:fldChar w:fldCharType="end"/>
      </w:r>
      <w:r>
        <w:t>.</w:t>
      </w:r>
    </w:p>
    <w:p w14:paraId="627E4CF8" w14:textId="7255A74C" w:rsidR="00DD1045" w:rsidRDefault="00DD1045" w:rsidP="004C79C1">
      <w:pPr>
        <w:shd w:val="clear" w:color="auto" w:fill="FFFFFF" w:themeFill="background1"/>
        <w:spacing w:after="120" w:line="240" w:lineRule="auto"/>
        <w:jc w:val="both"/>
      </w:pPr>
      <w:r>
        <w:t>Data obtained from the author</w:t>
      </w:r>
      <w:r w:rsidRPr="006036C4">
        <w:rPr>
          <w:vertAlign w:val="superscript"/>
        </w:rPr>
        <w:footnoteReference w:id="5"/>
      </w:r>
      <w:r>
        <w:t xml:space="preserve"> on the 449 CM patients, of whom it was estimated that 90% were DCM patients, are reported in </w:t>
      </w:r>
      <w:r>
        <w:fldChar w:fldCharType="begin"/>
      </w:r>
      <w:r>
        <w:instrText xml:space="preserve"> REF _Ref445819066 \h  \* MERGEFORMAT </w:instrText>
      </w:r>
      <w:r>
        <w:fldChar w:fldCharType="separate"/>
      </w:r>
      <w:r w:rsidR="00DE0432">
        <w:t>Table 19</w:t>
      </w:r>
      <w:r>
        <w:fldChar w:fldCharType="end"/>
      </w:r>
      <w:r>
        <w:t xml:space="preserve"> and </w:t>
      </w:r>
      <w:r>
        <w:fldChar w:fldCharType="begin"/>
      </w:r>
      <w:r>
        <w:instrText xml:space="preserve"> REF _Ref447093570 \h  \* MERGEFORMAT </w:instrText>
      </w:r>
      <w:r>
        <w:fldChar w:fldCharType="separate"/>
      </w:r>
      <w:r w:rsidR="00DE0432">
        <w:rPr>
          <w:noProof/>
        </w:rPr>
        <w:t>Table</w:t>
      </w:r>
      <w:r w:rsidR="00DE0432">
        <w:t xml:space="preserve"> </w:t>
      </w:r>
      <w:r w:rsidR="00DE0432">
        <w:rPr>
          <w:noProof/>
        </w:rPr>
        <w:t>20</w:t>
      </w:r>
      <w:r>
        <w:fldChar w:fldCharType="end"/>
      </w:r>
      <w:r>
        <w:t>. Of 72 patients with a plan prior to CMR to implant a device (ICD, CRT, ICD and CRT</w:t>
      </w:r>
      <w:r w:rsidR="00E14441">
        <w:t>,</w:t>
      </w:r>
      <w:r>
        <w:t xml:space="preserve"> or pacemaker)</w:t>
      </w:r>
      <w:r w:rsidR="00E14441">
        <w:t>,</w:t>
      </w:r>
      <w:r>
        <w:t xml:space="preserve"> 21 </w:t>
      </w:r>
      <w:r w:rsidR="00E14441">
        <w:t xml:space="preserve">(29.2%) </w:t>
      </w:r>
      <w:r>
        <w:t xml:space="preserve">subsequently avoided having the device implantation. A high proportion </w:t>
      </w:r>
      <w:r w:rsidR="00E14441">
        <w:t xml:space="preserve">(57.6%) </w:t>
      </w:r>
      <w:r>
        <w:t xml:space="preserve">of planned CRTs were avoided, while almost </w:t>
      </w:r>
      <w:r w:rsidR="00E14441">
        <w:t>one-</w:t>
      </w:r>
      <w:r>
        <w:t xml:space="preserve">third </w:t>
      </w:r>
      <w:r w:rsidR="00E14441">
        <w:t xml:space="preserve">(31.8%) </w:t>
      </w:r>
      <w:r>
        <w:t xml:space="preserve">of planned ICDs were avoided. </w:t>
      </w:r>
    </w:p>
    <w:p w14:paraId="225BA7A7" w14:textId="36B64A48" w:rsidR="00DD1045" w:rsidRDefault="00DD1045" w:rsidP="004C79C1">
      <w:pPr>
        <w:shd w:val="clear" w:color="auto" w:fill="FFFFFF" w:themeFill="background1"/>
        <w:spacing w:after="120" w:line="240" w:lineRule="auto"/>
        <w:jc w:val="both"/>
      </w:pPr>
      <w:r>
        <w:t xml:space="preserve">In the group of 375 patients without a treatment plan for device implantation prior to CMR, 20 </w:t>
      </w:r>
      <w:r w:rsidR="00C46860">
        <w:t xml:space="preserve">(5.3%) </w:t>
      </w:r>
      <w:r>
        <w:t xml:space="preserve">subsequently did receive a device, and a total of 23 devices were implanted. In the whole group of 488 patients, a total of 19 fewer devices were implanted than originally planned, and </w:t>
      </w:r>
      <w:r w:rsidR="00C46860">
        <w:t xml:space="preserve">1 fewer </w:t>
      </w:r>
      <w:r>
        <w:t xml:space="preserve">patient underwent device implantation overall. </w:t>
      </w:r>
    </w:p>
    <w:p w14:paraId="313B782D" w14:textId="34E8775F" w:rsidR="00DD1045" w:rsidRDefault="00DD1045" w:rsidP="004C79C1">
      <w:pPr>
        <w:shd w:val="clear" w:color="auto" w:fill="FFFFFF" w:themeFill="background1"/>
        <w:spacing w:after="120" w:line="240" w:lineRule="auto"/>
        <w:jc w:val="both"/>
      </w:pPr>
      <w:r>
        <w:t>For the whole study population (i.e. including those with ARVC or ischaemia), nearly half of all device changes (either device plans averted or devices implanted in patients without a device plan prior to CMR) were due to what was considered to be more</w:t>
      </w:r>
      <w:r w:rsidR="006265EF">
        <w:t>-</w:t>
      </w:r>
      <w:r>
        <w:t xml:space="preserve">precise LVEF obtained by CMR, which was either above the recommended threshold of 35% (allowing avoidance of a device) or below </w:t>
      </w:r>
      <w:r w:rsidR="00444BC7">
        <w:t xml:space="preserve">the threshold </w:t>
      </w:r>
      <w:r>
        <w:t xml:space="preserve">(recommending device implantation). </w:t>
      </w:r>
    </w:p>
    <w:p w14:paraId="517E2D44" w14:textId="5D83EB6A" w:rsidR="00DD1045" w:rsidRDefault="00DD1045" w:rsidP="004C79C1">
      <w:pPr>
        <w:spacing w:after="120" w:line="240" w:lineRule="auto"/>
        <w:jc w:val="both"/>
      </w:pPr>
      <w:r>
        <w:t xml:space="preserve">Other reasons for avoiding device implantation included identification of a previously undiagnosed reversible cause of </w:t>
      </w:r>
      <w:r w:rsidR="006265EF">
        <w:t>CM</w:t>
      </w:r>
      <w:r>
        <w:t xml:space="preserve">, transmural scar, lack of LV dyssynchrony and exclusion of ARVC. In the broader study, 22 out of 516 patients without a device or surgery plan subsequently underwent implantation of either </w:t>
      </w:r>
      <w:r w:rsidR="00E82672">
        <w:t xml:space="preserve">an </w:t>
      </w:r>
      <w:r>
        <w:t xml:space="preserve">ICD or ICD/CRT, of which 16 were implanted on the basis of an LVEF &lt;35% on CMR. Other device recipients were diagnosed by CMR with hypertrophic obstructive CM or ARCV. </w:t>
      </w:r>
    </w:p>
    <w:p w14:paraId="709B5827" w14:textId="28EB31AD" w:rsidR="00DD1045" w:rsidRDefault="00DD1045" w:rsidP="004C79C1">
      <w:pPr>
        <w:pStyle w:val="Caption"/>
        <w:keepNext/>
        <w:shd w:val="clear" w:color="auto" w:fill="FFFFFF" w:themeFill="background1"/>
        <w:ind w:left="720" w:hanging="720"/>
      </w:pPr>
      <w:bookmarkStart w:id="397" w:name="_Ref445819066"/>
      <w:bookmarkStart w:id="398" w:name="_Toc324410172"/>
      <w:bookmarkStart w:id="399" w:name="_Toc451435346"/>
      <w:r>
        <w:lastRenderedPageBreak/>
        <w:t>Table</w:t>
      </w:r>
      <w:r w:rsidR="00F73514">
        <w:t xml:space="preserve"> </w:t>
      </w:r>
      <w:fldSimple w:instr=" SEQ Table \* ARABIC ">
        <w:r w:rsidR="00050936">
          <w:rPr>
            <w:noProof/>
          </w:rPr>
          <w:t>19</w:t>
        </w:r>
      </w:fldSimple>
      <w:bookmarkEnd w:id="397"/>
      <w:r w:rsidR="00F31A49">
        <w:rPr>
          <w:noProof/>
        </w:rPr>
        <w:tab/>
      </w:r>
      <w:r>
        <w:tab/>
        <w:t xml:space="preserve">Device implantations at 6 months following CMR in </w:t>
      </w:r>
      <w:r w:rsidR="002421D8">
        <w:t>HF</w:t>
      </w:r>
      <w:r>
        <w:t xml:space="preserve"> patients indicated for DCM</w:t>
      </w:r>
      <w:r w:rsidR="00BE2DFF">
        <w:t xml:space="preserve"> </w:t>
      </w:r>
      <w:r w:rsidRPr="00036B04">
        <w:rPr>
          <w:vertAlign w:val="superscript"/>
        </w:rPr>
        <w:t>a</w:t>
      </w:r>
      <w:bookmarkEnd w:id="398"/>
      <w:bookmarkEnd w:id="399"/>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28" w:type="dxa"/>
          <w:right w:w="28" w:type="dxa"/>
        </w:tblCellMar>
        <w:tblLook w:val="04A0" w:firstRow="1" w:lastRow="0" w:firstColumn="1" w:lastColumn="0" w:noHBand="0" w:noVBand="1"/>
        <w:tblDescription w:val="Device implantation"/>
      </w:tblPr>
      <w:tblGrid>
        <w:gridCol w:w="3027"/>
        <w:gridCol w:w="3027"/>
        <w:gridCol w:w="3028"/>
      </w:tblGrid>
      <w:tr w:rsidR="00673731" w:rsidRPr="00183E4D" w14:paraId="5857649E" w14:textId="77777777" w:rsidTr="00673731">
        <w:trPr>
          <w:tblHeader/>
        </w:trPr>
        <w:tc>
          <w:tcPr>
            <w:tcW w:w="1666" w:type="pct"/>
            <w:shd w:val="clear" w:color="auto" w:fill="FFFFFF" w:themeFill="background1"/>
            <w:vAlign w:val="center"/>
          </w:tcPr>
          <w:p w14:paraId="1291B0D4" w14:textId="7E9E4DC8" w:rsidR="00673731" w:rsidRPr="00183E4D" w:rsidRDefault="00E25DBF" w:rsidP="004C79C1">
            <w:pPr>
              <w:pStyle w:val="TableHeading"/>
              <w:shd w:val="clear" w:color="auto" w:fill="FFFFFF" w:themeFill="background1"/>
              <w:spacing w:before="0" w:after="120"/>
              <w:rPr>
                <w:snapToGrid w:val="0"/>
                <w:lang w:eastAsia="en-US"/>
              </w:rPr>
            </w:pPr>
            <w:r>
              <w:rPr>
                <w:snapToGrid w:val="0"/>
                <w:lang w:eastAsia="en-US"/>
              </w:rPr>
              <w:t xml:space="preserve"> </w:t>
            </w:r>
          </w:p>
        </w:tc>
        <w:tc>
          <w:tcPr>
            <w:tcW w:w="1666" w:type="pct"/>
            <w:shd w:val="clear" w:color="auto" w:fill="FFFFFF" w:themeFill="background1"/>
          </w:tcPr>
          <w:p w14:paraId="7A3974C7" w14:textId="77777777" w:rsidR="00673731" w:rsidRDefault="00673731" w:rsidP="004C79C1">
            <w:pPr>
              <w:pStyle w:val="TableHeading"/>
              <w:shd w:val="clear" w:color="auto" w:fill="FFFFFF" w:themeFill="background1"/>
              <w:spacing w:before="0" w:after="120"/>
              <w:ind w:left="0" w:firstLine="0"/>
              <w:jc w:val="center"/>
              <w:rPr>
                <w:snapToGrid w:val="0"/>
                <w:lang w:eastAsia="en-US"/>
              </w:rPr>
            </w:pPr>
            <w:r>
              <w:rPr>
                <w:snapToGrid w:val="0"/>
                <w:lang w:eastAsia="en-US"/>
              </w:rPr>
              <w:t>Devices avoided in 72 patients with a device plan</w:t>
            </w:r>
          </w:p>
          <w:p w14:paraId="0941E63D" w14:textId="77777777" w:rsidR="00673731" w:rsidRDefault="00673731" w:rsidP="004C79C1">
            <w:pPr>
              <w:pStyle w:val="TableHeading"/>
              <w:shd w:val="clear" w:color="auto" w:fill="FFFFFF" w:themeFill="background1"/>
              <w:spacing w:before="0" w:after="120"/>
              <w:jc w:val="center"/>
              <w:rPr>
                <w:snapToGrid w:val="0"/>
                <w:lang w:eastAsia="en-US"/>
              </w:rPr>
            </w:pPr>
            <w:r>
              <w:rPr>
                <w:snapToGrid w:val="0"/>
                <w:lang w:eastAsia="en-US"/>
              </w:rPr>
              <w:t xml:space="preserve">N </w:t>
            </w:r>
          </w:p>
        </w:tc>
        <w:tc>
          <w:tcPr>
            <w:tcW w:w="1667" w:type="pct"/>
            <w:shd w:val="clear" w:color="auto" w:fill="FFFFFF" w:themeFill="background1"/>
          </w:tcPr>
          <w:p w14:paraId="26F68AD8" w14:textId="61DD9077" w:rsidR="00673731" w:rsidRDefault="00673731" w:rsidP="004C79C1">
            <w:pPr>
              <w:pStyle w:val="TableHeading"/>
              <w:shd w:val="clear" w:color="auto" w:fill="FFFFFF" w:themeFill="background1"/>
              <w:spacing w:before="0" w:after="120"/>
              <w:ind w:left="0" w:firstLine="0"/>
              <w:jc w:val="center"/>
              <w:rPr>
                <w:snapToGrid w:val="0"/>
                <w:lang w:eastAsia="en-US"/>
              </w:rPr>
            </w:pPr>
            <w:r>
              <w:rPr>
                <w:snapToGrid w:val="0"/>
                <w:lang w:eastAsia="en-US"/>
              </w:rPr>
              <w:t xml:space="preserve">Devices implanted in 375 patients without a device plan </w:t>
            </w:r>
          </w:p>
          <w:p w14:paraId="18FDB6B8" w14:textId="5B395A9B" w:rsidR="00673731" w:rsidRDefault="00673731" w:rsidP="004C79C1">
            <w:pPr>
              <w:pStyle w:val="TableHeading"/>
              <w:shd w:val="clear" w:color="auto" w:fill="FFFFFF" w:themeFill="background1"/>
              <w:spacing w:before="0" w:after="120"/>
              <w:jc w:val="center"/>
              <w:rPr>
                <w:snapToGrid w:val="0"/>
                <w:lang w:eastAsia="en-US"/>
              </w:rPr>
            </w:pPr>
            <w:r>
              <w:rPr>
                <w:snapToGrid w:val="0"/>
                <w:lang w:eastAsia="en-US"/>
              </w:rPr>
              <w:t xml:space="preserve">N </w:t>
            </w:r>
          </w:p>
        </w:tc>
      </w:tr>
      <w:tr w:rsidR="00673731" w:rsidRPr="006667EC" w14:paraId="7745189E" w14:textId="77777777" w:rsidTr="00673731">
        <w:tc>
          <w:tcPr>
            <w:tcW w:w="1666" w:type="pct"/>
            <w:shd w:val="clear" w:color="auto" w:fill="FFFFFF" w:themeFill="background1"/>
            <w:vAlign w:val="center"/>
          </w:tcPr>
          <w:p w14:paraId="2BBBEEF2" w14:textId="77777777" w:rsidR="00673731" w:rsidRPr="00893453" w:rsidRDefault="00673731" w:rsidP="004C79C1">
            <w:pPr>
              <w:pStyle w:val="TableText0"/>
              <w:shd w:val="clear" w:color="auto" w:fill="FFFFFF" w:themeFill="background1"/>
              <w:spacing w:before="0" w:after="120"/>
              <w:rPr>
                <w:snapToGrid w:val="0"/>
              </w:rPr>
            </w:pPr>
            <w:r w:rsidRPr="00893453">
              <w:rPr>
                <w:snapToGrid w:val="0"/>
              </w:rPr>
              <w:t>ICD</w:t>
            </w:r>
          </w:p>
        </w:tc>
        <w:tc>
          <w:tcPr>
            <w:tcW w:w="1666" w:type="pct"/>
            <w:shd w:val="clear" w:color="auto" w:fill="FFFFFF" w:themeFill="background1"/>
          </w:tcPr>
          <w:p w14:paraId="63CA82D1" w14:textId="77777777"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22</w:t>
            </w:r>
            <w:r>
              <w:rPr>
                <w:snapToGrid w:val="0"/>
              </w:rPr>
              <w:t>/69</w:t>
            </w:r>
          </w:p>
        </w:tc>
        <w:tc>
          <w:tcPr>
            <w:tcW w:w="1667" w:type="pct"/>
            <w:shd w:val="clear" w:color="auto" w:fill="FFFFFF" w:themeFill="background1"/>
          </w:tcPr>
          <w:p w14:paraId="66CD911E" w14:textId="02119FC5"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19</w:t>
            </w:r>
          </w:p>
        </w:tc>
      </w:tr>
      <w:tr w:rsidR="00673731" w:rsidRPr="006667EC" w14:paraId="27374DA0" w14:textId="77777777" w:rsidTr="00673731">
        <w:tc>
          <w:tcPr>
            <w:tcW w:w="1666" w:type="pct"/>
            <w:shd w:val="clear" w:color="auto" w:fill="FFFFFF" w:themeFill="background1"/>
            <w:vAlign w:val="center"/>
          </w:tcPr>
          <w:p w14:paraId="30CE54BE" w14:textId="77777777" w:rsidR="00673731" w:rsidRPr="00893453" w:rsidRDefault="00673731" w:rsidP="004C79C1">
            <w:pPr>
              <w:pStyle w:val="TableText0"/>
              <w:shd w:val="clear" w:color="auto" w:fill="FFFFFF" w:themeFill="background1"/>
              <w:spacing w:before="0" w:after="120"/>
              <w:rPr>
                <w:snapToGrid w:val="0"/>
              </w:rPr>
            </w:pPr>
            <w:r w:rsidRPr="00893453">
              <w:rPr>
                <w:snapToGrid w:val="0"/>
              </w:rPr>
              <w:t>CRT</w:t>
            </w:r>
          </w:p>
        </w:tc>
        <w:tc>
          <w:tcPr>
            <w:tcW w:w="1666" w:type="pct"/>
            <w:shd w:val="clear" w:color="auto" w:fill="FFFFFF" w:themeFill="background1"/>
          </w:tcPr>
          <w:p w14:paraId="7695D3DD" w14:textId="77777777"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19</w:t>
            </w:r>
            <w:r>
              <w:rPr>
                <w:snapToGrid w:val="0"/>
              </w:rPr>
              <w:t>/33</w:t>
            </w:r>
          </w:p>
        </w:tc>
        <w:tc>
          <w:tcPr>
            <w:tcW w:w="1667" w:type="pct"/>
            <w:shd w:val="clear" w:color="auto" w:fill="FFFFFF" w:themeFill="background1"/>
          </w:tcPr>
          <w:p w14:paraId="75FDDDEA" w14:textId="194F3396"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2</w:t>
            </w:r>
          </w:p>
        </w:tc>
      </w:tr>
      <w:tr w:rsidR="00673731" w:rsidRPr="006667EC" w14:paraId="5C15F007" w14:textId="77777777" w:rsidTr="00673731">
        <w:tc>
          <w:tcPr>
            <w:tcW w:w="1666" w:type="pct"/>
            <w:shd w:val="clear" w:color="auto" w:fill="FFFFFF" w:themeFill="background1"/>
            <w:vAlign w:val="center"/>
          </w:tcPr>
          <w:p w14:paraId="0FA9B118" w14:textId="0BFBFE2D" w:rsidR="00673731" w:rsidRPr="00893453" w:rsidRDefault="00673731" w:rsidP="004C79C1">
            <w:pPr>
              <w:pStyle w:val="TableText0"/>
              <w:shd w:val="clear" w:color="auto" w:fill="FFFFFF" w:themeFill="background1"/>
              <w:spacing w:before="0" w:after="120"/>
              <w:rPr>
                <w:snapToGrid w:val="0"/>
              </w:rPr>
            </w:pPr>
            <w:r w:rsidRPr="00893453">
              <w:rPr>
                <w:snapToGrid w:val="0"/>
              </w:rPr>
              <w:t>Pacemaker</w:t>
            </w:r>
          </w:p>
        </w:tc>
        <w:tc>
          <w:tcPr>
            <w:tcW w:w="1666" w:type="pct"/>
            <w:shd w:val="clear" w:color="auto" w:fill="FFFFFF" w:themeFill="background1"/>
          </w:tcPr>
          <w:p w14:paraId="7BFBA182" w14:textId="77777777"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1</w:t>
            </w:r>
            <w:r>
              <w:rPr>
                <w:snapToGrid w:val="0"/>
              </w:rPr>
              <w:t>/5</w:t>
            </w:r>
          </w:p>
        </w:tc>
        <w:tc>
          <w:tcPr>
            <w:tcW w:w="1667" w:type="pct"/>
            <w:shd w:val="clear" w:color="auto" w:fill="FFFFFF" w:themeFill="background1"/>
          </w:tcPr>
          <w:p w14:paraId="054FA913" w14:textId="22E6EC9C"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2</w:t>
            </w:r>
          </w:p>
        </w:tc>
      </w:tr>
      <w:tr w:rsidR="00673731" w:rsidRPr="006667EC" w14:paraId="54ACF37D" w14:textId="77777777" w:rsidTr="00673731">
        <w:tc>
          <w:tcPr>
            <w:tcW w:w="1666" w:type="pct"/>
            <w:shd w:val="clear" w:color="auto" w:fill="FFFFFF" w:themeFill="background1"/>
            <w:vAlign w:val="center"/>
          </w:tcPr>
          <w:p w14:paraId="50A62A3D" w14:textId="78A11C2C" w:rsidR="00673731" w:rsidRPr="00893453" w:rsidRDefault="00673731" w:rsidP="004C79C1">
            <w:pPr>
              <w:pStyle w:val="TableText0"/>
              <w:shd w:val="clear" w:color="auto" w:fill="FFFFFF" w:themeFill="background1"/>
              <w:spacing w:before="0" w:after="120"/>
              <w:rPr>
                <w:snapToGrid w:val="0"/>
              </w:rPr>
            </w:pPr>
            <w:r w:rsidRPr="00893453">
              <w:rPr>
                <w:snapToGrid w:val="0"/>
              </w:rPr>
              <w:t>Total number of devices</w:t>
            </w:r>
            <w:r w:rsidR="002421D8">
              <w:rPr>
                <w:snapToGrid w:val="0"/>
              </w:rPr>
              <w:t xml:space="preserve"> implanted</w:t>
            </w:r>
          </w:p>
        </w:tc>
        <w:tc>
          <w:tcPr>
            <w:tcW w:w="1666" w:type="pct"/>
            <w:shd w:val="clear" w:color="auto" w:fill="FFFFFF" w:themeFill="background1"/>
          </w:tcPr>
          <w:p w14:paraId="11AF3D01" w14:textId="77777777"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42</w:t>
            </w:r>
            <w:r>
              <w:rPr>
                <w:snapToGrid w:val="0"/>
              </w:rPr>
              <w:t>/107</w:t>
            </w:r>
          </w:p>
        </w:tc>
        <w:tc>
          <w:tcPr>
            <w:tcW w:w="1667" w:type="pct"/>
            <w:shd w:val="clear" w:color="auto" w:fill="FFFFFF" w:themeFill="background1"/>
          </w:tcPr>
          <w:p w14:paraId="1FAD4140" w14:textId="2A9B9071"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23</w:t>
            </w:r>
          </w:p>
        </w:tc>
      </w:tr>
      <w:tr w:rsidR="00673731" w:rsidRPr="00976FCD" w14:paraId="5CBE1C82" w14:textId="77777777" w:rsidTr="00673731">
        <w:tc>
          <w:tcPr>
            <w:tcW w:w="1666" w:type="pct"/>
            <w:shd w:val="clear" w:color="auto" w:fill="FFFFFF" w:themeFill="background1"/>
            <w:vAlign w:val="center"/>
          </w:tcPr>
          <w:p w14:paraId="0A05E7F1" w14:textId="77777777" w:rsidR="00673731" w:rsidRPr="00893453" w:rsidRDefault="00673731" w:rsidP="004C79C1">
            <w:pPr>
              <w:pStyle w:val="TableText0"/>
              <w:shd w:val="clear" w:color="auto" w:fill="FFFFFF" w:themeFill="background1"/>
              <w:spacing w:before="0" w:after="120"/>
              <w:rPr>
                <w:snapToGrid w:val="0"/>
              </w:rPr>
            </w:pPr>
            <w:r w:rsidRPr="00893453">
              <w:rPr>
                <w:snapToGrid w:val="0"/>
              </w:rPr>
              <w:t>Number of patients affected</w:t>
            </w:r>
          </w:p>
        </w:tc>
        <w:tc>
          <w:tcPr>
            <w:tcW w:w="1666" w:type="pct"/>
            <w:shd w:val="clear" w:color="auto" w:fill="FFFFFF" w:themeFill="background1"/>
          </w:tcPr>
          <w:p w14:paraId="1F9FC0C0" w14:textId="77777777" w:rsidR="00673731" w:rsidRPr="00893453" w:rsidRDefault="00673731" w:rsidP="004C79C1">
            <w:pPr>
              <w:pStyle w:val="TableText0"/>
              <w:shd w:val="clear" w:color="auto" w:fill="FFFFFF" w:themeFill="background1"/>
              <w:spacing w:before="0" w:after="120"/>
              <w:jc w:val="center"/>
              <w:rPr>
                <w:snapToGrid w:val="0"/>
              </w:rPr>
            </w:pPr>
            <w:r w:rsidRPr="00893453">
              <w:rPr>
                <w:snapToGrid w:val="0"/>
              </w:rPr>
              <w:t>21/72 (29.2%)</w:t>
            </w:r>
          </w:p>
        </w:tc>
        <w:tc>
          <w:tcPr>
            <w:tcW w:w="1667" w:type="pct"/>
            <w:shd w:val="clear" w:color="auto" w:fill="FFFFFF" w:themeFill="background1"/>
          </w:tcPr>
          <w:p w14:paraId="279D687C" w14:textId="1435232C" w:rsidR="00673731" w:rsidRPr="00794CC0" w:rsidRDefault="00673731" w:rsidP="004C79C1">
            <w:pPr>
              <w:pStyle w:val="TableText0"/>
              <w:shd w:val="clear" w:color="auto" w:fill="FFFFFF" w:themeFill="background1"/>
              <w:spacing w:before="0" w:after="120"/>
              <w:jc w:val="center"/>
              <w:rPr>
                <w:snapToGrid w:val="0"/>
              </w:rPr>
            </w:pPr>
            <w:r w:rsidRPr="00893453">
              <w:rPr>
                <w:snapToGrid w:val="0"/>
              </w:rPr>
              <w:t>20/375 (5.3%)</w:t>
            </w:r>
          </w:p>
        </w:tc>
      </w:tr>
    </w:tbl>
    <w:p w14:paraId="5FB5A79B" w14:textId="47212552" w:rsidR="000B6043" w:rsidRDefault="000B6043" w:rsidP="004C79C1">
      <w:pPr>
        <w:pStyle w:val="Tablenotes0"/>
        <w:shd w:val="clear" w:color="auto" w:fill="FFFFFF" w:themeFill="background1"/>
        <w:spacing w:before="0" w:after="120"/>
      </w:pPr>
      <w:proofErr w:type="gramStart"/>
      <w:r w:rsidRPr="00036B04">
        <w:rPr>
          <w:vertAlign w:val="superscript"/>
        </w:rPr>
        <w:t>a</w:t>
      </w:r>
      <w:proofErr w:type="gramEnd"/>
      <w:r>
        <w:rPr>
          <w:vertAlign w:val="superscript"/>
        </w:rPr>
        <w:t xml:space="preserve"> </w:t>
      </w:r>
      <w:r>
        <w:t xml:space="preserve">Data obtained through personal communications with A. Taylor. </w:t>
      </w:r>
    </w:p>
    <w:p w14:paraId="0458A1AA" w14:textId="10692DCB" w:rsidR="00DD1045" w:rsidRDefault="00DD1045" w:rsidP="004C79C1">
      <w:pPr>
        <w:pStyle w:val="Tablenotes0"/>
        <w:shd w:val="clear" w:color="auto" w:fill="FFFFFF" w:themeFill="background1"/>
        <w:spacing w:before="0" w:after="120"/>
      </w:pPr>
      <w:r>
        <w:t>AICD</w:t>
      </w:r>
      <w:r w:rsidR="007D2AC6">
        <w:t xml:space="preserve"> </w:t>
      </w:r>
      <w:r>
        <w:t>=</w:t>
      </w:r>
      <w:r w:rsidR="007D2AC6">
        <w:t xml:space="preserve"> automated </w:t>
      </w:r>
      <w:r>
        <w:t xml:space="preserve">implantable </w:t>
      </w:r>
      <w:r w:rsidR="0026063B">
        <w:t>cardioverter defibrillator</w:t>
      </w:r>
      <w:r w:rsidR="00622581">
        <w:t xml:space="preserve">; </w:t>
      </w:r>
      <w:r>
        <w:t>CMR</w:t>
      </w:r>
      <w:r w:rsidR="00D1493E">
        <w:t xml:space="preserve"> </w:t>
      </w:r>
      <w:r>
        <w:t>=</w:t>
      </w:r>
      <w:r w:rsidR="00D1493E">
        <w:t xml:space="preserve"> </w:t>
      </w:r>
      <w:r>
        <w:t xml:space="preserve">cardiac magnetic resonance </w:t>
      </w:r>
      <w:r w:rsidR="00555DDC">
        <w:t>(</w:t>
      </w:r>
      <w:r>
        <w:t>imaging</w:t>
      </w:r>
      <w:r w:rsidR="00555DDC">
        <w:t>)</w:t>
      </w:r>
      <w:r>
        <w:t>; DCM</w:t>
      </w:r>
      <w:r w:rsidR="00D1493E">
        <w:t xml:space="preserve"> </w:t>
      </w:r>
      <w:r>
        <w:t>=</w:t>
      </w:r>
      <w:r w:rsidR="00D1493E">
        <w:t xml:space="preserve"> </w:t>
      </w:r>
      <w:r>
        <w:t>dilated cardiomyopathy; CRT</w:t>
      </w:r>
      <w:r w:rsidR="00D1493E">
        <w:t xml:space="preserve"> </w:t>
      </w:r>
      <w:r>
        <w:t>=</w:t>
      </w:r>
      <w:r w:rsidR="00D1493E">
        <w:t xml:space="preserve"> </w:t>
      </w:r>
      <w:r>
        <w:t xml:space="preserve">cardiac resynchronisation therapy; </w:t>
      </w:r>
      <w:r w:rsidR="00117FB2">
        <w:t xml:space="preserve">HF = heart failure; </w:t>
      </w:r>
      <w:r w:rsidR="00B948FC">
        <w:t xml:space="preserve">ICD = implantable </w:t>
      </w:r>
      <w:r w:rsidR="0026063B">
        <w:t>cardioverter defibrillator</w:t>
      </w:r>
      <w:r w:rsidR="00B948FC">
        <w:t xml:space="preserve">; </w:t>
      </w:r>
      <w:r>
        <w:t>N</w:t>
      </w:r>
      <w:r w:rsidR="00D1493E">
        <w:t xml:space="preserve"> </w:t>
      </w:r>
      <w:r>
        <w:t>=</w:t>
      </w:r>
      <w:r w:rsidR="00D1493E">
        <w:t xml:space="preserve"> </w:t>
      </w:r>
      <w:r>
        <w:t>number</w:t>
      </w:r>
    </w:p>
    <w:p w14:paraId="18F05EAA" w14:textId="77777777" w:rsidR="00DD1045" w:rsidRDefault="00DD1045" w:rsidP="004C79C1">
      <w:pPr>
        <w:pStyle w:val="Tablenotes0"/>
        <w:shd w:val="clear" w:color="auto" w:fill="FFFFFF" w:themeFill="background1"/>
        <w:spacing w:before="0" w:after="120"/>
      </w:pPr>
      <w:bookmarkStart w:id="400" w:name="_Ref445819069"/>
    </w:p>
    <w:bookmarkEnd w:id="400"/>
    <w:p w14:paraId="586C5122" w14:textId="70A2155A" w:rsidR="00DD1045" w:rsidRDefault="00DD1045" w:rsidP="004C79C1">
      <w:pPr>
        <w:shd w:val="clear" w:color="auto" w:fill="FFFFFF" w:themeFill="background1"/>
        <w:spacing w:after="120" w:line="240" w:lineRule="auto"/>
        <w:jc w:val="both"/>
      </w:pPr>
      <w:r>
        <w:t>There were also changes in the surgical management of the DCM patients. In the group of 20 patients who had a surgical plan prior to CMR (</w:t>
      </w:r>
      <w:r w:rsidR="004C3C91">
        <w:t xml:space="preserve">i.e. </w:t>
      </w:r>
      <w:r>
        <w:t>coronary artery graft surgery (CAG</w:t>
      </w:r>
      <w:r w:rsidR="004C3C91">
        <w:t>S</w:t>
      </w:r>
      <w:r>
        <w:t xml:space="preserve">), CAGS with ventricular reconstruction, CAGS and valve surgery, valve surgery, possible transplant, transplant, lung transplant or cardiac surgery), 13 </w:t>
      </w:r>
      <w:r w:rsidR="006A12E3">
        <w:t xml:space="preserve">(65%) </w:t>
      </w:r>
      <w:r>
        <w:t xml:space="preserve">avoided surgery following CMR, while of the 427 patients without a surgical plan prior to CMR, </w:t>
      </w:r>
      <w:r w:rsidR="006A12E3">
        <w:t xml:space="preserve">7 (1.6%) </w:t>
      </w:r>
      <w:r>
        <w:t>subsequently underwent either valve or cardiac surgery. In total</w:t>
      </w:r>
      <w:r w:rsidR="00815840">
        <w:t>,</w:t>
      </w:r>
      <w:r>
        <w:t xml:space="preserve"> there was a reduction of 6 patients undergoing surgery. </w:t>
      </w:r>
    </w:p>
    <w:p w14:paraId="4E717A17" w14:textId="23DF5A58" w:rsidR="00DD1045" w:rsidRDefault="00DD1045" w:rsidP="004C79C1">
      <w:pPr>
        <w:shd w:val="clear" w:color="auto" w:fill="FFFFFF" w:themeFill="background1"/>
        <w:spacing w:after="120" w:line="240" w:lineRule="auto"/>
        <w:jc w:val="both"/>
      </w:pPr>
      <w:r>
        <w:t>In summary</w:t>
      </w:r>
      <w:r w:rsidR="00815840">
        <w:t>,</w:t>
      </w:r>
      <w:r>
        <w:t xml:space="preserve"> a total of 61 out of 449 (13.6%) patients had a change in treatment</w:t>
      </w:r>
      <w:r w:rsidR="00815840">
        <w:t>—</w:t>
      </w:r>
      <w:r>
        <w:t>device implantation or surgery</w:t>
      </w:r>
      <w:r w:rsidR="00815840">
        <w:t>—</w:t>
      </w:r>
      <w:r>
        <w:t xml:space="preserve">following CMR (data from personal communications on the DCM subgroup). </w:t>
      </w:r>
    </w:p>
    <w:p w14:paraId="72659E0B" w14:textId="0237BA62" w:rsidR="00DD1045" w:rsidRDefault="00DD1045" w:rsidP="004C79C1">
      <w:pPr>
        <w:shd w:val="clear" w:color="auto" w:fill="FFFFFF" w:themeFill="background1"/>
        <w:spacing w:after="120" w:line="240" w:lineRule="auto"/>
        <w:jc w:val="both"/>
      </w:pPr>
      <w:r>
        <w:t>Taylor</w:t>
      </w:r>
      <w:r w:rsidR="00176F05">
        <w:t>, AJ</w:t>
      </w:r>
      <w:r>
        <w:t xml:space="preserve"> et al</w:t>
      </w:r>
      <w:r w:rsidR="00213DE8">
        <w:t>.</w:t>
      </w:r>
      <w:r>
        <w:t xml:space="preserve"> (2013) reported on the reasons why surgery plans changed following CMR in the broader CMR-indicated population. The primary reasons for avoiding planned surgery following CMR were findings related to conditions other than DCM, for example lack of myocardial viability in patients planned for CABG or downgrading of </w:t>
      </w:r>
      <w:r w:rsidR="001A6D1F">
        <w:t xml:space="preserve">the </w:t>
      </w:r>
      <w:r>
        <w:t xml:space="preserve">severity of cardiac valve lesions or shunts. The most common reason for newly planned surgery following CMR was identification of </w:t>
      </w:r>
      <w:r w:rsidR="001A6D1F">
        <w:t xml:space="preserve">the </w:t>
      </w:r>
      <w:r>
        <w:t xml:space="preserve">increased severity of </w:t>
      </w:r>
      <w:r w:rsidR="001A6D1F">
        <w:t xml:space="preserve">a </w:t>
      </w:r>
      <w:r>
        <w:t xml:space="preserve">valve lesion. </w:t>
      </w:r>
    </w:p>
    <w:p w14:paraId="3F6CF618" w14:textId="2EF5E5CB" w:rsidR="00DD1045" w:rsidRDefault="006E0D10" w:rsidP="004C79C1">
      <w:pPr>
        <w:pStyle w:val="Caption"/>
        <w:keepNext/>
      </w:pPr>
      <w:bookmarkStart w:id="401" w:name="_Ref447093570"/>
      <w:bookmarkStart w:id="402" w:name="_Toc324410173"/>
      <w:bookmarkStart w:id="403" w:name="_Toc451435347"/>
      <w:r>
        <w:t xml:space="preserve">Table </w:t>
      </w:r>
      <w:fldSimple w:instr=" SEQ Table \* ARABIC ">
        <w:r w:rsidR="00050936">
          <w:rPr>
            <w:noProof/>
          </w:rPr>
          <w:t>20</w:t>
        </w:r>
      </w:fldSimple>
      <w:bookmarkEnd w:id="401"/>
      <w:r w:rsidR="00DD1045">
        <w:tab/>
        <w:t xml:space="preserve">Surgery conducted following CMR in </w:t>
      </w:r>
      <w:r w:rsidR="001A6D1F">
        <w:t>HF</w:t>
      </w:r>
      <w:r w:rsidR="00DD1045">
        <w:t xml:space="preserve"> patients indicated for DCM</w:t>
      </w:r>
      <w:r w:rsidR="001A6D1F">
        <w:t xml:space="preserve"> </w:t>
      </w:r>
      <w:r w:rsidR="00DD1045" w:rsidRPr="00036B04">
        <w:rPr>
          <w:vertAlign w:val="superscript"/>
        </w:rPr>
        <w:t>a</w:t>
      </w:r>
      <w:bookmarkEnd w:id="402"/>
      <w:bookmarkEnd w:id="4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28" w:type="dxa"/>
          <w:right w:w="28" w:type="dxa"/>
        </w:tblCellMar>
        <w:tblLook w:val="04A0" w:firstRow="1" w:lastRow="0" w:firstColumn="1" w:lastColumn="0" w:noHBand="0" w:noVBand="1"/>
        <w:tblDescription w:val="Surgery following CMR"/>
      </w:tblPr>
      <w:tblGrid>
        <w:gridCol w:w="3027"/>
        <w:gridCol w:w="3027"/>
        <w:gridCol w:w="3028"/>
      </w:tblGrid>
      <w:tr w:rsidR="00673731" w:rsidRPr="00183E4D" w14:paraId="2B9E69E2" w14:textId="77777777" w:rsidTr="00673731">
        <w:trPr>
          <w:tblHeader/>
        </w:trPr>
        <w:tc>
          <w:tcPr>
            <w:tcW w:w="1666" w:type="pct"/>
            <w:shd w:val="clear" w:color="auto" w:fill="FFFFFF" w:themeFill="background1"/>
            <w:vAlign w:val="center"/>
          </w:tcPr>
          <w:p w14:paraId="5229D859" w14:textId="77777777" w:rsidR="00673731" w:rsidRPr="00183E4D" w:rsidRDefault="00673731" w:rsidP="004C79C1">
            <w:pPr>
              <w:pStyle w:val="TableHeading"/>
              <w:spacing w:before="0" w:after="120"/>
              <w:rPr>
                <w:snapToGrid w:val="0"/>
                <w:lang w:eastAsia="en-US"/>
              </w:rPr>
            </w:pPr>
            <w:r>
              <w:rPr>
                <w:snapToGrid w:val="0"/>
                <w:lang w:eastAsia="en-US"/>
              </w:rPr>
              <w:t>Procedure</w:t>
            </w:r>
          </w:p>
        </w:tc>
        <w:tc>
          <w:tcPr>
            <w:tcW w:w="1666" w:type="pct"/>
            <w:shd w:val="clear" w:color="auto" w:fill="FFFFFF" w:themeFill="background1"/>
          </w:tcPr>
          <w:p w14:paraId="2A5DC22C" w14:textId="77777777" w:rsidR="00673731" w:rsidRDefault="00673731" w:rsidP="004C79C1">
            <w:pPr>
              <w:pStyle w:val="TableHeading"/>
              <w:spacing w:before="0" w:after="120"/>
              <w:ind w:left="0" w:firstLine="0"/>
              <w:jc w:val="center"/>
              <w:rPr>
                <w:snapToGrid w:val="0"/>
                <w:lang w:eastAsia="en-US"/>
              </w:rPr>
            </w:pPr>
            <w:r>
              <w:rPr>
                <w:snapToGrid w:val="0"/>
                <w:lang w:eastAsia="en-US"/>
              </w:rPr>
              <w:t>Avoided surgeries in 20 patients with a surgery plan</w:t>
            </w:r>
          </w:p>
          <w:p w14:paraId="69EEE4C7" w14:textId="77777777" w:rsidR="00673731" w:rsidRPr="00183E4D" w:rsidRDefault="00673731" w:rsidP="004C79C1">
            <w:pPr>
              <w:pStyle w:val="TableHeading"/>
              <w:spacing w:before="0" w:after="120"/>
              <w:jc w:val="center"/>
              <w:rPr>
                <w:snapToGrid w:val="0"/>
                <w:lang w:eastAsia="en-US"/>
              </w:rPr>
            </w:pPr>
            <w:r>
              <w:rPr>
                <w:snapToGrid w:val="0"/>
                <w:lang w:eastAsia="en-US"/>
              </w:rPr>
              <w:t>N</w:t>
            </w:r>
          </w:p>
        </w:tc>
        <w:tc>
          <w:tcPr>
            <w:tcW w:w="1667" w:type="pct"/>
            <w:shd w:val="clear" w:color="auto" w:fill="FFFFFF" w:themeFill="background1"/>
          </w:tcPr>
          <w:p w14:paraId="0CCB9B7C" w14:textId="77777777" w:rsidR="00673731" w:rsidRDefault="00673731" w:rsidP="004C79C1">
            <w:pPr>
              <w:pStyle w:val="TableHeading"/>
              <w:spacing w:before="0" w:after="120"/>
              <w:ind w:left="0" w:firstLine="0"/>
              <w:jc w:val="center"/>
              <w:rPr>
                <w:snapToGrid w:val="0"/>
                <w:lang w:eastAsia="en-US"/>
              </w:rPr>
            </w:pPr>
            <w:r>
              <w:rPr>
                <w:snapToGrid w:val="0"/>
                <w:lang w:eastAsia="en-US"/>
              </w:rPr>
              <w:t>Added surgery in 427 patients without a surgery plan</w:t>
            </w:r>
          </w:p>
          <w:p w14:paraId="7A189AD1" w14:textId="77777777" w:rsidR="00673731" w:rsidRDefault="00673731" w:rsidP="004C79C1">
            <w:pPr>
              <w:pStyle w:val="TableHeading"/>
              <w:spacing w:before="0" w:after="120"/>
              <w:jc w:val="center"/>
              <w:rPr>
                <w:snapToGrid w:val="0"/>
                <w:lang w:eastAsia="en-US"/>
              </w:rPr>
            </w:pPr>
            <w:r>
              <w:rPr>
                <w:snapToGrid w:val="0"/>
                <w:lang w:eastAsia="en-US"/>
              </w:rPr>
              <w:t>N</w:t>
            </w:r>
          </w:p>
        </w:tc>
      </w:tr>
      <w:tr w:rsidR="00673731" w:rsidRPr="006667EC" w14:paraId="6EE38180" w14:textId="77777777" w:rsidTr="00673731">
        <w:tc>
          <w:tcPr>
            <w:tcW w:w="1666" w:type="pct"/>
            <w:shd w:val="clear" w:color="auto" w:fill="FFFFFF" w:themeFill="background1"/>
            <w:vAlign w:val="center"/>
          </w:tcPr>
          <w:p w14:paraId="7750C543" w14:textId="77777777" w:rsidR="00673731" w:rsidRPr="00893453" w:rsidRDefault="00673731" w:rsidP="004C79C1">
            <w:pPr>
              <w:pStyle w:val="TableText0"/>
              <w:spacing w:before="0" w:after="120"/>
              <w:rPr>
                <w:snapToGrid w:val="0"/>
              </w:rPr>
            </w:pPr>
            <w:r w:rsidRPr="00893453">
              <w:rPr>
                <w:snapToGrid w:val="0"/>
              </w:rPr>
              <w:t>CAGS</w:t>
            </w:r>
          </w:p>
        </w:tc>
        <w:tc>
          <w:tcPr>
            <w:tcW w:w="1666" w:type="pct"/>
            <w:shd w:val="clear" w:color="auto" w:fill="FFFFFF" w:themeFill="background1"/>
          </w:tcPr>
          <w:p w14:paraId="70AC8416" w14:textId="77777777" w:rsidR="00673731" w:rsidRPr="00893453" w:rsidRDefault="00673731" w:rsidP="004C79C1">
            <w:pPr>
              <w:pStyle w:val="TableText0"/>
              <w:spacing w:before="0" w:after="120"/>
              <w:jc w:val="center"/>
              <w:rPr>
                <w:snapToGrid w:val="0"/>
              </w:rPr>
            </w:pPr>
            <w:r w:rsidRPr="00893453">
              <w:rPr>
                <w:snapToGrid w:val="0"/>
              </w:rPr>
              <w:t>2</w:t>
            </w:r>
            <w:r>
              <w:rPr>
                <w:snapToGrid w:val="0"/>
              </w:rPr>
              <w:t>/2</w:t>
            </w:r>
          </w:p>
        </w:tc>
        <w:tc>
          <w:tcPr>
            <w:tcW w:w="1667" w:type="pct"/>
            <w:shd w:val="clear" w:color="auto" w:fill="FFFFFF" w:themeFill="background1"/>
          </w:tcPr>
          <w:p w14:paraId="25543DCC" w14:textId="77777777" w:rsidR="00673731" w:rsidRPr="00893453" w:rsidRDefault="00673731" w:rsidP="004C79C1">
            <w:pPr>
              <w:pStyle w:val="TableText0"/>
              <w:spacing w:before="0" w:after="120"/>
              <w:jc w:val="center"/>
              <w:rPr>
                <w:snapToGrid w:val="0"/>
              </w:rPr>
            </w:pPr>
            <w:r w:rsidRPr="00893453">
              <w:rPr>
                <w:snapToGrid w:val="0"/>
              </w:rPr>
              <w:t>0</w:t>
            </w:r>
          </w:p>
        </w:tc>
      </w:tr>
      <w:tr w:rsidR="00673731" w:rsidRPr="006667EC" w14:paraId="21145254" w14:textId="77777777" w:rsidTr="00673731">
        <w:tc>
          <w:tcPr>
            <w:tcW w:w="1666" w:type="pct"/>
            <w:shd w:val="clear" w:color="auto" w:fill="FFFFFF" w:themeFill="background1"/>
            <w:vAlign w:val="center"/>
          </w:tcPr>
          <w:p w14:paraId="28EBEFFB" w14:textId="77777777" w:rsidR="00673731" w:rsidRPr="00893453" w:rsidRDefault="00673731" w:rsidP="004C79C1">
            <w:pPr>
              <w:pStyle w:val="TableText0"/>
              <w:spacing w:before="0" w:after="120"/>
              <w:rPr>
                <w:snapToGrid w:val="0"/>
              </w:rPr>
            </w:pPr>
            <w:r w:rsidRPr="00893453">
              <w:rPr>
                <w:snapToGrid w:val="0"/>
              </w:rPr>
              <w:t>CAGS with ventricular reconstruction</w:t>
            </w:r>
          </w:p>
        </w:tc>
        <w:tc>
          <w:tcPr>
            <w:tcW w:w="1666" w:type="pct"/>
            <w:shd w:val="clear" w:color="auto" w:fill="FFFFFF" w:themeFill="background1"/>
          </w:tcPr>
          <w:p w14:paraId="7E6239FC" w14:textId="77777777" w:rsidR="00673731" w:rsidRPr="00893453" w:rsidRDefault="00673731" w:rsidP="004C79C1">
            <w:pPr>
              <w:pStyle w:val="TableText0"/>
              <w:spacing w:before="0" w:after="120"/>
              <w:jc w:val="center"/>
              <w:rPr>
                <w:snapToGrid w:val="0"/>
              </w:rPr>
            </w:pPr>
            <w:r w:rsidRPr="00893453">
              <w:rPr>
                <w:snapToGrid w:val="0"/>
              </w:rPr>
              <w:t>2</w:t>
            </w:r>
            <w:r>
              <w:rPr>
                <w:snapToGrid w:val="0"/>
              </w:rPr>
              <w:t>/2</w:t>
            </w:r>
          </w:p>
        </w:tc>
        <w:tc>
          <w:tcPr>
            <w:tcW w:w="1667" w:type="pct"/>
            <w:shd w:val="clear" w:color="auto" w:fill="FFFFFF" w:themeFill="background1"/>
          </w:tcPr>
          <w:p w14:paraId="19577588" w14:textId="77777777" w:rsidR="00673731" w:rsidRPr="00893453" w:rsidRDefault="00673731" w:rsidP="004C79C1">
            <w:pPr>
              <w:pStyle w:val="TableText0"/>
              <w:spacing w:before="0" w:after="120"/>
              <w:jc w:val="center"/>
              <w:rPr>
                <w:snapToGrid w:val="0"/>
              </w:rPr>
            </w:pPr>
            <w:r w:rsidRPr="00893453">
              <w:rPr>
                <w:snapToGrid w:val="0"/>
              </w:rPr>
              <w:t>0</w:t>
            </w:r>
          </w:p>
        </w:tc>
      </w:tr>
      <w:tr w:rsidR="00673731" w:rsidRPr="006667EC" w14:paraId="70BE4976" w14:textId="77777777" w:rsidTr="00673731">
        <w:tc>
          <w:tcPr>
            <w:tcW w:w="1666" w:type="pct"/>
            <w:shd w:val="clear" w:color="auto" w:fill="FFFFFF" w:themeFill="background1"/>
            <w:vAlign w:val="center"/>
          </w:tcPr>
          <w:p w14:paraId="23A71EA2" w14:textId="77777777" w:rsidR="00673731" w:rsidRPr="00893453" w:rsidRDefault="00673731" w:rsidP="004C79C1">
            <w:pPr>
              <w:pStyle w:val="TableText0"/>
              <w:spacing w:before="0" w:after="120"/>
              <w:rPr>
                <w:snapToGrid w:val="0"/>
              </w:rPr>
            </w:pPr>
            <w:r w:rsidRPr="00893453">
              <w:rPr>
                <w:snapToGrid w:val="0"/>
              </w:rPr>
              <w:t>Valve surgery</w:t>
            </w:r>
          </w:p>
        </w:tc>
        <w:tc>
          <w:tcPr>
            <w:tcW w:w="1666" w:type="pct"/>
            <w:shd w:val="clear" w:color="auto" w:fill="FFFFFF" w:themeFill="background1"/>
          </w:tcPr>
          <w:p w14:paraId="5D4EF694" w14:textId="77777777" w:rsidR="00673731" w:rsidRPr="00893453" w:rsidRDefault="00673731" w:rsidP="004C79C1">
            <w:pPr>
              <w:pStyle w:val="TableText0"/>
              <w:spacing w:before="0" w:after="120"/>
              <w:jc w:val="center"/>
              <w:rPr>
                <w:snapToGrid w:val="0"/>
              </w:rPr>
            </w:pPr>
            <w:r w:rsidRPr="00893453">
              <w:rPr>
                <w:snapToGrid w:val="0"/>
              </w:rPr>
              <w:t>5</w:t>
            </w:r>
            <w:r>
              <w:rPr>
                <w:snapToGrid w:val="0"/>
              </w:rPr>
              <w:t>/7</w:t>
            </w:r>
          </w:p>
        </w:tc>
        <w:tc>
          <w:tcPr>
            <w:tcW w:w="1667" w:type="pct"/>
            <w:shd w:val="clear" w:color="auto" w:fill="FFFFFF" w:themeFill="background1"/>
          </w:tcPr>
          <w:p w14:paraId="395681C7" w14:textId="77777777" w:rsidR="00673731" w:rsidRPr="00893453" w:rsidRDefault="00673731" w:rsidP="004C79C1">
            <w:pPr>
              <w:pStyle w:val="TableText0"/>
              <w:spacing w:before="0" w:after="120"/>
              <w:jc w:val="center"/>
              <w:rPr>
                <w:snapToGrid w:val="0"/>
              </w:rPr>
            </w:pPr>
            <w:r w:rsidRPr="00893453">
              <w:rPr>
                <w:snapToGrid w:val="0"/>
              </w:rPr>
              <w:t>0</w:t>
            </w:r>
          </w:p>
        </w:tc>
      </w:tr>
      <w:tr w:rsidR="00673731" w:rsidRPr="006667EC" w14:paraId="16ED12F4" w14:textId="77777777" w:rsidTr="00673731">
        <w:tc>
          <w:tcPr>
            <w:tcW w:w="1666" w:type="pct"/>
            <w:shd w:val="clear" w:color="auto" w:fill="FFFFFF" w:themeFill="background1"/>
            <w:vAlign w:val="center"/>
          </w:tcPr>
          <w:p w14:paraId="4F151BDE" w14:textId="77777777" w:rsidR="00673731" w:rsidRPr="00893453" w:rsidRDefault="00673731" w:rsidP="004C79C1">
            <w:pPr>
              <w:pStyle w:val="TableText0"/>
              <w:spacing w:before="0" w:after="120"/>
              <w:rPr>
                <w:snapToGrid w:val="0"/>
              </w:rPr>
            </w:pPr>
            <w:r w:rsidRPr="00893453">
              <w:rPr>
                <w:snapToGrid w:val="0"/>
              </w:rPr>
              <w:t>Work up for transplant</w:t>
            </w:r>
          </w:p>
        </w:tc>
        <w:tc>
          <w:tcPr>
            <w:tcW w:w="1666" w:type="pct"/>
            <w:shd w:val="clear" w:color="auto" w:fill="FFFFFF" w:themeFill="background1"/>
          </w:tcPr>
          <w:p w14:paraId="77DAF1FB" w14:textId="77777777" w:rsidR="00673731" w:rsidRPr="00893453" w:rsidRDefault="00673731" w:rsidP="004C79C1">
            <w:pPr>
              <w:pStyle w:val="TableText0"/>
              <w:spacing w:before="0" w:after="120"/>
              <w:jc w:val="center"/>
              <w:rPr>
                <w:snapToGrid w:val="0"/>
              </w:rPr>
            </w:pPr>
            <w:r w:rsidRPr="00893453">
              <w:rPr>
                <w:snapToGrid w:val="0"/>
              </w:rPr>
              <w:t>3</w:t>
            </w:r>
            <w:r>
              <w:rPr>
                <w:snapToGrid w:val="0"/>
              </w:rPr>
              <w:t>/3</w:t>
            </w:r>
          </w:p>
        </w:tc>
        <w:tc>
          <w:tcPr>
            <w:tcW w:w="1667" w:type="pct"/>
            <w:shd w:val="clear" w:color="auto" w:fill="FFFFFF" w:themeFill="background1"/>
          </w:tcPr>
          <w:p w14:paraId="25821E53" w14:textId="77777777" w:rsidR="00673731" w:rsidRPr="00893453" w:rsidRDefault="00673731" w:rsidP="004C79C1">
            <w:pPr>
              <w:pStyle w:val="TableText0"/>
              <w:spacing w:before="0" w:after="120"/>
              <w:jc w:val="center"/>
              <w:rPr>
                <w:snapToGrid w:val="0"/>
              </w:rPr>
            </w:pPr>
            <w:r w:rsidRPr="00893453">
              <w:rPr>
                <w:snapToGrid w:val="0"/>
              </w:rPr>
              <w:t>6</w:t>
            </w:r>
          </w:p>
        </w:tc>
      </w:tr>
      <w:tr w:rsidR="00673731" w:rsidRPr="006667EC" w14:paraId="667FF437" w14:textId="77777777" w:rsidTr="00673731">
        <w:tc>
          <w:tcPr>
            <w:tcW w:w="1666" w:type="pct"/>
            <w:shd w:val="clear" w:color="auto" w:fill="FFFFFF" w:themeFill="background1"/>
            <w:vAlign w:val="center"/>
          </w:tcPr>
          <w:p w14:paraId="1FFCCAAC" w14:textId="77777777" w:rsidR="00673731" w:rsidRPr="00893453" w:rsidRDefault="00673731" w:rsidP="004C79C1">
            <w:pPr>
              <w:pStyle w:val="TableText0"/>
              <w:spacing w:before="0" w:after="120"/>
              <w:rPr>
                <w:snapToGrid w:val="0"/>
              </w:rPr>
            </w:pPr>
            <w:r w:rsidRPr="00893453">
              <w:rPr>
                <w:snapToGrid w:val="0"/>
              </w:rPr>
              <w:t xml:space="preserve">Heart transplant </w:t>
            </w:r>
          </w:p>
        </w:tc>
        <w:tc>
          <w:tcPr>
            <w:tcW w:w="1666" w:type="pct"/>
            <w:shd w:val="clear" w:color="auto" w:fill="FFFFFF" w:themeFill="background1"/>
          </w:tcPr>
          <w:p w14:paraId="3FF7EC85" w14:textId="77777777" w:rsidR="00673731" w:rsidRPr="00893453" w:rsidRDefault="00673731" w:rsidP="004C79C1">
            <w:pPr>
              <w:pStyle w:val="TableText0"/>
              <w:spacing w:before="0" w:after="120"/>
              <w:jc w:val="center"/>
              <w:rPr>
                <w:snapToGrid w:val="0"/>
              </w:rPr>
            </w:pPr>
            <w:r w:rsidRPr="00893453">
              <w:rPr>
                <w:snapToGrid w:val="0"/>
              </w:rPr>
              <w:t>2</w:t>
            </w:r>
            <w:r>
              <w:rPr>
                <w:snapToGrid w:val="0"/>
              </w:rPr>
              <w:t>/5</w:t>
            </w:r>
          </w:p>
        </w:tc>
        <w:tc>
          <w:tcPr>
            <w:tcW w:w="1667" w:type="pct"/>
            <w:shd w:val="clear" w:color="auto" w:fill="FFFFFF" w:themeFill="background1"/>
          </w:tcPr>
          <w:p w14:paraId="25398176" w14:textId="77777777" w:rsidR="00673731" w:rsidRPr="00893453" w:rsidRDefault="00673731" w:rsidP="004C79C1">
            <w:pPr>
              <w:pStyle w:val="TableText0"/>
              <w:spacing w:before="0" w:after="120"/>
              <w:jc w:val="center"/>
              <w:rPr>
                <w:snapToGrid w:val="0"/>
              </w:rPr>
            </w:pPr>
            <w:r w:rsidRPr="00893453">
              <w:rPr>
                <w:snapToGrid w:val="0"/>
              </w:rPr>
              <w:t>0</w:t>
            </w:r>
          </w:p>
        </w:tc>
      </w:tr>
      <w:tr w:rsidR="00673731" w:rsidRPr="006667EC" w14:paraId="153C0B75" w14:textId="77777777" w:rsidTr="00673731">
        <w:tc>
          <w:tcPr>
            <w:tcW w:w="1666" w:type="pct"/>
            <w:shd w:val="clear" w:color="auto" w:fill="FFFFFF" w:themeFill="background1"/>
            <w:vAlign w:val="center"/>
          </w:tcPr>
          <w:p w14:paraId="55C8C915" w14:textId="77777777" w:rsidR="00673731" w:rsidRPr="00893453" w:rsidRDefault="00673731" w:rsidP="004C79C1">
            <w:pPr>
              <w:pStyle w:val="TableText0"/>
              <w:spacing w:before="0" w:after="120"/>
              <w:rPr>
                <w:snapToGrid w:val="0"/>
              </w:rPr>
            </w:pPr>
            <w:r w:rsidRPr="00893453">
              <w:rPr>
                <w:snapToGrid w:val="0"/>
              </w:rPr>
              <w:t>Cardiac surgery</w:t>
            </w:r>
          </w:p>
        </w:tc>
        <w:tc>
          <w:tcPr>
            <w:tcW w:w="1666" w:type="pct"/>
            <w:shd w:val="clear" w:color="auto" w:fill="FFFFFF" w:themeFill="background1"/>
          </w:tcPr>
          <w:p w14:paraId="12D70213" w14:textId="77777777" w:rsidR="00673731" w:rsidRPr="00893453" w:rsidRDefault="00673731" w:rsidP="004C79C1">
            <w:pPr>
              <w:pStyle w:val="TableText0"/>
              <w:spacing w:before="0" w:after="120"/>
              <w:jc w:val="center"/>
              <w:rPr>
                <w:snapToGrid w:val="0"/>
              </w:rPr>
            </w:pPr>
            <w:r w:rsidRPr="00893453">
              <w:rPr>
                <w:snapToGrid w:val="0"/>
              </w:rPr>
              <w:t>2</w:t>
            </w:r>
            <w:r>
              <w:rPr>
                <w:snapToGrid w:val="0"/>
              </w:rPr>
              <w:t>/3</w:t>
            </w:r>
          </w:p>
        </w:tc>
        <w:tc>
          <w:tcPr>
            <w:tcW w:w="1667" w:type="pct"/>
            <w:shd w:val="clear" w:color="auto" w:fill="FFFFFF" w:themeFill="background1"/>
          </w:tcPr>
          <w:p w14:paraId="5D774567" w14:textId="77777777" w:rsidR="00673731" w:rsidRPr="00893453" w:rsidRDefault="00673731" w:rsidP="004C79C1">
            <w:pPr>
              <w:pStyle w:val="TableText0"/>
              <w:spacing w:before="0" w:after="120"/>
              <w:jc w:val="center"/>
              <w:rPr>
                <w:snapToGrid w:val="0"/>
              </w:rPr>
            </w:pPr>
            <w:r w:rsidRPr="00893453">
              <w:rPr>
                <w:snapToGrid w:val="0"/>
              </w:rPr>
              <w:t>1</w:t>
            </w:r>
          </w:p>
        </w:tc>
      </w:tr>
      <w:tr w:rsidR="00673731" w:rsidRPr="00976FCD" w14:paraId="3D251A5D" w14:textId="77777777" w:rsidTr="00673731">
        <w:tc>
          <w:tcPr>
            <w:tcW w:w="1666" w:type="pct"/>
            <w:shd w:val="clear" w:color="auto" w:fill="FFFFFF" w:themeFill="background1"/>
            <w:vAlign w:val="center"/>
          </w:tcPr>
          <w:p w14:paraId="3B9050DC" w14:textId="77777777" w:rsidR="00673731" w:rsidRPr="00893453" w:rsidRDefault="00673731" w:rsidP="004C79C1">
            <w:pPr>
              <w:pStyle w:val="TableText0"/>
              <w:spacing w:before="0" w:after="120"/>
              <w:rPr>
                <w:snapToGrid w:val="0"/>
              </w:rPr>
            </w:pPr>
            <w:r w:rsidRPr="00893453">
              <w:rPr>
                <w:snapToGrid w:val="0"/>
              </w:rPr>
              <w:t>Total number of surgeries</w:t>
            </w:r>
          </w:p>
        </w:tc>
        <w:tc>
          <w:tcPr>
            <w:tcW w:w="1666" w:type="pct"/>
            <w:shd w:val="clear" w:color="auto" w:fill="FFFFFF" w:themeFill="background1"/>
          </w:tcPr>
          <w:p w14:paraId="2A7ADB18" w14:textId="77777777" w:rsidR="00673731" w:rsidRPr="00893453" w:rsidRDefault="00673731" w:rsidP="004C79C1">
            <w:pPr>
              <w:pStyle w:val="TableText0"/>
              <w:spacing w:before="0" w:after="120"/>
              <w:jc w:val="center"/>
              <w:rPr>
                <w:snapToGrid w:val="0"/>
              </w:rPr>
            </w:pPr>
            <w:r w:rsidRPr="00893453">
              <w:rPr>
                <w:snapToGrid w:val="0"/>
              </w:rPr>
              <w:t>13/20 (65%)</w:t>
            </w:r>
          </w:p>
        </w:tc>
        <w:tc>
          <w:tcPr>
            <w:tcW w:w="1667" w:type="pct"/>
            <w:shd w:val="clear" w:color="auto" w:fill="FFFFFF" w:themeFill="background1"/>
          </w:tcPr>
          <w:p w14:paraId="4633F306" w14:textId="77777777" w:rsidR="00673731" w:rsidRPr="00893453" w:rsidRDefault="00673731" w:rsidP="004C79C1">
            <w:pPr>
              <w:pStyle w:val="TableText0"/>
              <w:spacing w:before="0" w:after="120"/>
              <w:jc w:val="center"/>
              <w:rPr>
                <w:snapToGrid w:val="0"/>
              </w:rPr>
            </w:pPr>
            <w:r w:rsidRPr="00893453">
              <w:rPr>
                <w:snapToGrid w:val="0"/>
              </w:rPr>
              <w:t>7/427 (1.6%)</w:t>
            </w:r>
          </w:p>
        </w:tc>
      </w:tr>
    </w:tbl>
    <w:p w14:paraId="4AE0BBAF" w14:textId="2A7D6C53" w:rsidR="00E04A19" w:rsidRDefault="00E04A19" w:rsidP="004C79C1">
      <w:pPr>
        <w:pStyle w:val="Tablenotes0"/>
        <w:spacing w:before="0" w:after="120"/>
      </w:pPr>
      <w:proofErr w:type="gramStart"/>
      <w:r w:rsidRPr="00036B04">
        <w:rPr>
          <w:vertAlign w:val="superscript"/>
        </w:rPr>
        <w:t>a</w:t>
      </w:r>
      <w:proofErr w:type="gramEnd"/>
      <w:r>
        <w:rPr>
          <w:vertAlign w:val="superscript"/>
        </w:rPr>
        <w:t xml:space="preserve"> </w:t>
      </w:r>
      <w:r>
        <w:t xml:space="preserve">Data obtained through personal communications with A. Taylor. </w:t>
      </w:r>
    </w:p>
    <w:p w14:paraId="5371340E" w14:textId="7FA4A61F" w:rsidR="00DD1045" w:rsidRDefault="00DD1045" w:rsidP="004C79C1">
      <w:pPr>
        <w:pStyle w:val="Tablenotes0"/>
        <w:spacing w:before="0" w:after="120"/>
      </w:pPr>
      <w:r>
        <w:t>CAGS</w:t>
      </w:r>
      <w:r w:rsidR="005060DF">
        <w:t xml:space="preserve"> </w:t>
      </w:r>
      <w:r>
        <w:t>=</w:t>
      </w:r>
      <w:r w:rsidR="005060DF">
        <w:t xml:space="preserve"> </w:t>
      </w:r>
      <w:r>
        <w:t>coronary artery graft surgery; CMR</w:t>
      </w:r>
      <w:r w:rsidR="005060DF">
        <w:t xml:space="preserve"> </w:t>
      </w:r>
      <w:r>
        <w:t>=</w:t>
      </w:r>
      <w:r w:rsidR="005060DF">
        <w:t xml:space="preserve"> </w:t>
      </w:r>
      <w:r>
        <w:t xml:space="preserve">cardiac magnetic resonance </w:t>
      </w:r>
      <w:r w:rsidR="00372D4E">
        <w:t>(</w:t>
      </w:r>
      <w:r>
        <w:t>imaging</w:t>
      </w:r>
      <w:r w:rsidR="00372D4E">
        <w:t>)</w:t>
      </w:r>
      <w:r>
        <w:t>; DCM</w:t>
      </w:r>
      <w:r w:rsidR="005060DF">
        <w:t xml:space="preserve"> </w:t>
      </w:r>
      <w:r>
        <w:t>=</w:t>
      </w:r>
      <w:r w:rsidR="005060DF">
        <w:t xml:space="preserve"> </w:t>
      </w:r>
      <w:r>
        <w:t>dilated cardiomyopathy</w:t>
      </w:r>
      <w:r w:rsidR="001A6D1F">
        <w:t xml:space="preserve">; HF = </w:t>
      </w:r>
      <w:r w:rsidR="001A6D1F">
        <w:lastRenderedPageBreak/>
        <w:t>heart failure</w:t>
      </w:r>
      <w:r w:rsidR="0055609C">
        <w:t>; N = number</w:t>
      </w:r>
    </w:p>
    <w:p w14:paraId="0D59B68C" w14:textId="77777777" w:rsidR="00DD1045" w:rsidRDefault="00DD1045" w:rsidP="004C79C1">
      <w:pPr>
        <w:pStyle w:val="Tablenotes0"/>
        <w:spacing w:before="0" w:after="120"/>
      </w:pPr>
    </w:p>
    <w:p w14:paraId="6E4FF265" w14:textId="3B98808E" w:rsidR="00DD1045" w:rsidRPr="00E3531A" w:rsidRDefault="00DD1045" w:rsidP="004C79C1">
      <w:pPr>
        <w:spacing w:after="120" w:line="240" w:lineRule="auto"/>
        <w:jc w:val="both"/>
      </w:pPr>
      <w:r>
        <w:t>In interpreting the change in management data provided by Taylor</w:t>
      </w:r>
      <w:r w:rsidR="00176F05">
        <w:t>, AJ</w:t>
      </w:r>
      <w:r>
        <w:t xml:space="preserve"> et al</w:t>
      </w:r>
      <w:r w:rsidR="00213DE8">
        <w:t>.</w:t>
      </w:r>
      <w:r>
        <w:t xml:space="preserve"> (2013), some differences from the way CMR is proposed to be used in this assessment should be kept in mind. The study provided information on a subgroup of patients who had already been diagnosed as having a NI</w:t>
      </w:r>
      <w:r w:rsidR="00190698">
        <w:t>D</w:t>
      </w:r>
      <w:r>
        <w:t xml:space="preserve">CM, and had had further investigations, which would have occurred in the absence of CMR (including an ICA in half the cases). Those with ICM had already been ruled out from the CM patient group and are not included. If CMR is to be funded in the proposed population of those with HF symptoms </w:t>
      </w:r>
      <w:r w:rsidR="00242A63">
        <w:t xml:space="preserve">and </w:t>
      </w:r>
      <w:r>
        <w:t>with a dilated LV (and a low</w:t>
      </w:r>
      <w:r w:rsidR="00190698">
        <w:t>–</w:t>
      </w:r>
      <w:r>
        <w:t xml:space="preserve">intermediate risk of CAD), </w:t>
      </w:r>
      <w:r w:rsidR="00242A63">
        <w:t xml:space="preserve">it </w:t>
      </w:r>
      <w:r>
        <w:t xml:space="preserve">is proposed to also be used for the earlier step of stratifying patients as having either NIDCM or ICM. Those with ICM will go on for further testing with ICA, and it is not expected that their treatment would change as a result of CMR having identified the ischaemia, compared </w:t>
      </w:r>
      <w:r w:rsidR="00D20059">
        <w:t xml:space="preserve">with </w:t>
      </w:r>
      <w:r>
        <w:t>other non-invasive imaging having identified the ischaemia</w:t>
      </w:r>
      <w:r>
        <w:rPr>
          <w:rStyle w:val="FootnoteReference"/>
        </w:rPr>
        <w:footnoteReference w:id="6"/>
      </w:r>
      <w:r>
        <w:t xml:space="preserve">. Those with NIDCM would have avoided an ICA through the use of CMR. The impact on treatment would therefore appear smaller through the inclusion of those with ICM. The comparative impact on further imaging, versus the proposed comparators of CTCA and SPECT, is unknown. </w:t>
      </w:r>
      <w:r w:rsidR="00F24D4E">
        <w:t xml:space="preserve">Overall, the evidence was assessed as </w:t>
      </w:r>
      <w:r w:rsidR="0003430E" w:rsidRPr="00F24D4E">
        <w:t>l</w:t>
      </w:r>
      <w:r w:rsidRPr="00F24D4E">
        <w:t>ow quality using the GRADE system (</w:t>
      </w:r>
      <w:r w:rsidRPr="00F24D4E">
        <w:rPr>
          <w:rFonts w:ascii="Cambria Math" w:hAnsi="Cambria Math" w:cs="Cambria Math"/>
          <w:color w:val="00B050"/>
          <w:sz w:val="20"/>
          <w:szCs w:val="20"/>
        </w:rPr>
        <w:t>⨁⨁</w:t>
      </w:r>
      <w:r w:rsidRPr="00F24D4E">
        <w:rPr>
          <w:rFonts w:ascii="Cambria Math" w:hAnsi="Cambria Math" w:cs="Cambria Math"/>
          <w:color w:val="C00000"/>
        </w:rPr>
        <w:t>⨀⨀</w:t>
      </w:r>
      <w:r w:rsidRPr="00F24D4E">
        <w:t>)</w:t>
      </w:r>
      <w:r w:rsidRPr="00F24D4E">
        <w:rPr>
          <w:rFonts w:ascii="Cambria Math" w:hAnsi="Cambria Math" w:cs="Cambria Math"/>
          <w:sz w:val="20"/>
          <w:szCs w:val="20"/>
        </w:rPr>
        <w:t>.</w:t>
      </w:r>
    </w:p>
    <w:p w14:paraId="1B99400F" w14:textId="6E09451E" w:rsidR="00270B6D" w:rsidRDefault="00270B6D" w:rsidP="00161B88">
      <w:pPr>
        <w:pStyle w:val="Heading3"/>
      </w:pPr>
      <w:bookmarkStart w:id="404" w:name="_Toc451501340"/>
      <w:r>
        <w:t>Impact on the clinical management of patients with a dilated LV and an intermediate risk of CAD</w:t>
      </w:r>
      <w:bookmarkEnd w:id="404"/>
    </w:p>
    <w:p w14:paraId="2BAAB06B" w14:textId="200B9AEC" w:rsidR="00F615C1" w:rsidRPr="00270B6D" w:rsidRDefault="00270B6D" w:rsidP="004C79C1">
      <w:pPr>
        <w:spacing w:after="120" w:line="240" w:lineRule="auto"/>
        <w:jc w:val="both"/>
      </w:pPr>
      <w:r>
        <w:t>No studies were</w:t>
      </w:r>
      <w:r w:rsidR="00F615C1">
        <w:t xml:space="preserve"> identified </w:t>
      </w:r>
      <w:r w:rsidR="00037AB1">
        <w:t xml:space="preserve">that </w:t>
      </w:r>
      <w:r w:rsidR="00F615C1">
        <w:t>specifically m</w:t>
      </w:r>
      <w:r>
        <w:t xml:space="preserve">et the criteria </w:t>
      </w:r>
      <w:r w:rsidR="00F02E0B">
        <w:t xml:space="preserve">of </w:t>
      </w:r>
      <w:r>
        <w:t xml:space="preserve">an intermediate pre-test risk of having CAD. </w:t>
      </w:r>
      <w:r w:rsidR="00F615C1">
        <w:t xml:space="preserve">However, </w:t>
      </w:r>
      <w:r w:rsidR="00F02E0B">
        <w:t xml:space="preserve">2 </w:t>
      </w:r>
      <w:r w:rsidR="00F615C1">
        <w:t xml:space="preserve">studies </w:t>
      </w:r>
      <w:r w:rsidR="00F02E0B">
        <w:t xml:space="preserve">that </w:t>
      </w:r>
      <w:r w:rsidR="00F615C1">
        <w:t xml:space="preserve">were included may be applicable to this population. Bruder et al. (2009) </w:t>
      </w:r>
      <w:r w:rsidR="00E86508">
        <w:t xml:space="preserve">reported on a registry </w:t>
      </w:r>
      <w:r w:rsidR="00F02E0B">
        <w:t xml:space="preserve">that </w:t>
      </w:r>
      <w:r w:rsidR="00F615C1">
        <w:t xml:space="preserve">included those indicated for CMR to investigate possible myocarditis or </w:t>
      </w:r>
      <w:r w:rsidR="00F02E0B">
        <w:t>CM</w:t>
      </w:r>
      <w:r w:rsidR="00F77803">
        <w:t>;</w:t>
      </w:r>
      <w:r w:rsidR="00F615C1">
        <w:t xml:space="preserve"> and Abassi et al. (2013) included patients with LVEF ≤50% and indicated for CMR for </w:t>
      </w:r>
      <w:r w:rsidR="007F7E73">
        <w:t xml:space="preserve">CM </w:t>
      </w:r>
      <w:r w:rsidR="00F615C1">
        <w:t xml:space="preserve">of unknown aetiology (59%), viability (31%), suspected myocarditis (5%) and other </w:t>
      </w:r>
      <w:r w:rsidR="007F7E73">
        <w:t xml:space="preserve">diagnoses </w:t>
      </w:r>
      <w:r w:rsidR="00F615C1">
        <w:t xml:space="preserve">(5%). </w:t>
      </w:r>
    </w:p>
    <w:p w14:paraId="2D720B04" w14:textId="0B1D6AF4" w:rsidR="00DD1045" w:rsidRPr="00DD1045" w:rsidRDefault="003F36FF" w:rsidP="00161B88">
      <w:pPr>
        <w:pStyle w:val="Heading4"/>
      </w:pPr>
      <w:r w:rsidRPr="00870724">
        <w:t>New and changed diagnoses</w:t>
      </w:r>
    </w:p>
    <w:p w14:paraId="1FEA9275" w14:textId="04CBFE5F" w:rsidR="003F36FF" w:rsidRDefault="003F36FF" w:rsidP="004C79C1">
      <w:pPr>
        <w:spacing w:after="120" w:line="240" w:lineRule="auto"/>
        <w:jc w:val="both"/>
      </w:pPr>
      <w:r>
        <w:t xml:space="preserve">Two case series reported the number of new diagnoses following CMR </w:t>
      </w:r>
      <w:r>
        <w:fldChar w:fldCharType="begin">
          <w:fldData xml:space="preserve">PEVuZE5vdGU+PENpdGU+PEF1dGhvcj5BYmFzc2kgU0E8L0F1dGhvcj48WWVhcj4yMDEzPC9ZZWFy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</w:fldData>
        </w:fldChar>
      </w:r>
      <w:r w:rsidR="00187A29">
        <w:instrText xml:space="preserve"> ADDIN EN.CITE </w:instrText>
      </w:r>
      <w:r w:rsidR="00187A29">
        <w:fldChar w:fldCharType="begin">
          <w:fldData xml:space="preserve">PEVuZE5vdGU+PENpdGU+PEF1dGhvcj5BYmFzc2kgU0E8L0F1dGhvcj48WWVhcj4yMDEzPC9ZZWFy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</w:fldData>
        </w:fldChar>
      </w:r>
      <w:r w:rsidR="00187A29">
        <w:instrText xml:space="preserve"> ADDIN EN.CITE.DATA </w:instrText>
      </w:r>
      <w:r w:rsidR="00187A29">
        <w:fldChar w:fldCharType="end"/>
      </w:r>
      <w:r>
        <w:fldChar w:fldCharType="separate"/>
      </w:r>
      <w:r w:rsidR="00187A29">
        <w:rPr>
          <w:noProof/>
        </w:rPr>
        <w:t>(</w:t>
      </w:r>
      <w:hyperlink w:anchor="_ENREF_1" w:tooltip="Abassi SA, 2013 #106" w:history="1">
        <w:r w:rsidR="00B906E9">
          <w:rPr>
            <w:noProof/>
          </w:rPr>
          <w:t>Abassi et al. 2013</w:t>
        </w:r>
      </w:hyperlink>
      <w:r w:rsidR="00187A29">
        <w:rPr>
          <w:noProof/>
        </w:rPr>
        <w:t xml:space="preserve">; </w:t>
      </w:r>
      <w:hyperlink w:anchor="_ENREF_15" w:tooltip="Bruder O, 2009 #108" w:history="1">
        <w:r w:rsidR="00B906E9">
          <w:rPr>
            <w:noProof/>
          </w:rPr>
          <w:t>Bruder et al. 2009</w:t>
        </w:r>
      </w:hyperlink>
      <w:r w:rsidR="00187A29">
        <w:rPr>
          <w:noProof/>
        </w:rPr>
        <w:t>)</w:t>
      </w:r>
      <w:r>
        <w:fldChar w:fldCharType="end"/>
      </w:r>
      <w:r>
        <w:t xml:space="preserve"> (</w:t>
      </w:r>
      <w:r w:rsidR="00621EAC">
        <w:rPr>
          <w:highlight w:val="yellow"/>
        </w:rPr>
        <w:fldChar w:fldCharType="begin"/>
      </w:r>
      <w:r w:rsidR="00621EAC">
        <w:instrText xml:space="preserve"> REF _Ref451334568 \h </w:instrText>
      </w:r>
      <w:r w:rsidR="00621EAC">
        <w:rPr>
          <w:highlight w:val="yellow"/>
        </w:rPr>
      </w:r>
      <w:r w:rsidR="00621EAC">
        <w:rPr>
          <w:highlight w:val="yellow"/>
        </w:rPr>
        <w:fldChar w:fldCharType="separate"/>
      </w:r>
      <w:r w:rsidR="00621EAC">
        <w:t xml:space="preserve">Table </w:t>
      </w:r>
      <w:r w:rsidR="00621EAC">
        <w:rPr>
          <w:noProof/>
        </w:rPr>
        <w:t>21</w:t>
      </w:r>
      <w:r w:rsidR="00621EAC">
        <w:rPr>
          <w:highlight w:val="yellow"/>
        </w:rPr>
        <w:fldChar w:fldCharType="end"/>
      </w:r>
      <w:r>
        <w:t xml:space="preserve">). A diagnosis is considered to be ‘new’ following CMR if the patient’s condition was undiagnosed prior to CMR despite other clinical investigations, and if there was no other diagnosis made. In these studies, diagnosis by CMR was prospective and had the potential to lead to clinical management changes in the group </w:t>
      </w:r>
      <w:r>
        <w:fldChar w:fldCharType="begin">
          <w:fldData xml:space="preserve">PEVuZE5vdGU+PENpdGU+PEF1dGhvcj5BYmFzc2kgU0E8L0F1dGhvcj48WWVhcj4yMDEzPC9ZZWFy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</w:fldData>
        </w:fldChar>
      </w:r>
      <w:r w:rsidR="00187A29">
        <w:instrText xml:space="preserve"> ADDIN EN.CITE </w:instrText>
      </w:r>
      <w:r w:rsidR="00187A29">
        <w:fldChar w:fldCharType="begin">
          <w:fldData xml:space="preserve">PEVuZE5vdGU+PENpdGU+PEF1dGhvcj5BYmFzc2kgU0E8L0F1dGhvcj48WWVhcj4yMDEzPC9ZZWFy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</w:fldData>
        </w:fldChar>
      </w:r>
      <w:r w:rsidR="00187A29">
        <w:instrText xml:space="preserve"> ADDIN EN.CITE.DATA </w:instrText>
      </w:r>
      <w:r w:rsidR="00187A29">
        <w:fldChar w:fldCharType="end"/>
      </w:r>
      <w:r>
        <w:fldChar w:fldCharType="separate"/>
      </w:r>
      <w:r>
        <w:rPr>
          <w:noProof/>
        </w:rPr>
        <w:t>(</w:t>
      </w:r>
      <w:hyperlink w:anchor="_ENREF_1" w:tooltip="Abassi SA, 2013 #106" w:history="1">
        <w:r w:rsidR="00B906E9">
          <w:rPr>
            <w:noProof/>
          </w:rPr>
          <w:t>Abassi et al. 2013</w:t>
        </w:r>
      </w:hyperlink>
      <w:r>
        <w:rPr>
          <w:noProof/>
        </w:rPr>
        <w:t xml:space="preserve">; </w:t>
      </w:r>
      <w:hyperlink w:anchor="_ENREF_15" w:tooltip="Bruder O, 2009 #108" w:history="1">
        <w:r w:rsidR="00B906E9">
          <w:rPr>
            <w:noProof/>
          </w:rPr>
          <w:t>Bruder et al. 2009</w:t>
        </w:r>
      </w:hyperlink>
      <w:r>
        <w:rPr>
          <w:noProof/>
        </w:rPr>
        <w:t>)</w:t>
      </w:r>
      <w:r>
        <w:fldChar w:fldCharType="end"/>
      </w:r>
      <w:r>
        <w:t>.</w:t>
      </w:r>
    </w:p>
    <w:p w14:paraId="05014742" w14:textId="53E3E927" w:rsidR="003F36FF" w:rsidRDefault="003F36FF" w:rsidP="004C79C1">
      <w:pPr>
        <w:spacing w:after="120" w:line="240" w:lineRule="auto"/>
        <w:jc w:val="both"/>
      </w:pPr>
      <w:r>
        <w:t xml:space="preserve">The differences in populations and in prior testing between the </w:t>
      </w:r>
      <w:r w:rsidR="00CF2F31">
        <w:t xml:space="preserve">2 </w:t>
      </w:r>
      <w:r>
        <w:t xml:space="preserve">studies are reflected in the proportion of patients diagnosed with CM as a result of CMR. Prior tests conducted and new diagnoses are listed in </w:t>
      </w:r>
      <w:r w:rsidR="00152DC8">
        <w:fldChar w:fldCharType="begin"/>
      </w:r>
      <w:r w:rsidR="00152DC8">
        <w:instrText xml:space="preserve"> REF _Ref451334568 \h </w:instrText>
      </w:r>
      <w:r w:rsidR="00152DC8">
        <w:fldChar w:fldCharType="separate"/>
      </w:r>
      <w:r w:rsidR="00152DC8">
        <w:t xml:space="preserve">Table </w:t>
      </w:r>
      <w:r w:rsidR="00152DC8">
        <w:rPr>
          <w:noProof/>
        </w:rPr>
        <w:t>21</w:t>
      </w:r>
      <w:r w:rsidR="00152DC8">
        <w:fldChar w:fldCharType="end"/>
      </w:r>
      <w:r>
        <w:t>. In the registry study</w:t>
      </w:r>
      <w:r w:rsidR="00AC7777">
        <w:t>,</w:t>
      </w:r>
      <w:r>
        <w:t xml:space="preserve"> the prior testing was less frequent than in the smaller study</w:t>
      </w:r>
      <w:r w:rsidR="00CF2F31">
        <w:t>;</w:t>
      </w:r>
      <w:r>
        <w:t xml:space="preserve"> </w:t>
      </w:r>
      <w:r w:rsidR="00CF2F31">
        <w:t>that is</w:t>
      </w:r>
      <w:r>
        <w:t xml:space="preserve">, 66% compared with 100% of participants in </w:t>
      </w:r>
      <w:r w:rsidR="00915619">
        <w:t xml:space="preserve">the studies by </w:t>
      </w:r>
      <w:r w:rsidRPr="00BA5A63">
        <w:t>Bruder et al</w:t>
      </w:r>
      <w:r w:rsidR="00915619" w:rsidRPr="00BA5A63">
        <w:t>.</w:t>
      </w:r>
      <w:r w:rsidRPr="00BA5A63">
        <w:t xml:space="preserve"> and Abassi et al</w:t>
      </w:r>
      <w:r w:rsidR="00915619" w:rsidRPr="00BA5A63">
        <w:t>.</w:t>
      </w:r>
      <w:r w:rsidR="00CF2F31">
        <w:t>,</w:t>
      </w:r>
      <w:r w:rsidRPr="00BA5A63">
        <w:t xml:space="preserve"> respe</w:t>
      </w:r>
      <w:r>
        <w:t>ctively</w:t>
      </w:r>
      <w:r w:rsidR="00CF2F31">
        <w:t>,</w:t>
      </w:r>
      <w:r>
        <w:t xml:space="preserve"> underwent </w:t>
      </w:r>
      <w:r w:rsidR="00A21115">
        <w:t>echocardiography</w:t>
      </w:r>
      <w:r>
        <w:t xml:space="preserve"> prior to the intervention. In addition, there was an inclusion criteri</w:t>
      </w:r>
      <w:r w:rsidR="00AC7777">
        <w:t>on</w:t>
      </w:r>
      <w:r>
        <w:t xml:space="preserve"> of LVEF of ≤50% in </w:t>
      </w:r>
      <w:r w:rsidR="00D36790">
        <w:t xml:space="preserve">the </w:t>
      </w:r>
      <w:r w:rsidRPr="00BA5A63">
        <w:t xml:space="preserve">study </w:t>
      </w:r>
      <w:r w:rsidR="00D36790" w:rsidRPr="00BA5A63">
        <w:t xml:space="preserve">by </w:t>
      </w:r>
      <w:r w:rsidR="00D36790" w:rsidRPr="00513CC7">
        <w:t>Abassi et al.</w:t>
      </w:r>
      <w:r w:rsidR="00D36790">
        <w:t xml:space="preserve">, </w:t>
      </w:r>
      <w:r>
        <w:t>which was not a restriction for the registry population</w:t>
      </w:r>
      <w:r w:rsidR="00CE0B9A">
        <w:t xml:space="preserve"> in</w:t>
      </w:r>
      <w:r w:rsidR="001C357D">
        <w:t xml:space="preserve"> </w:t>
      </w:r>
      <w:hyperlink w:anchor="_ENREF_15" w:tooltip="Bruder O, 2009 #108" w:history="1">
        <w:r w:rsidR="001C357D">
          <w:rPr>
            <w:noProof/>
          </w:rPr>
          <w:t>Bruder et al. (2009</w:t>
        </w:r>
      </w:hyperlink>
      <w:r w:rsidR="001C357D">
        <w:rPr>
          <w:noProof/>
        </w:rPr>
        <w:t>)</w:t>
      </w:r>
      <w:r>
        <w:t xml:space="preserve">. </w:t>
      </w:r>
      <w:r w:rsidR="008A7501">
        <w:t xml:space="preserve">The study by </w:t>
      </w:r>
      <w:r>
        <w:t>Abassi et al</w:t>
      </w:r>
      <w:r w:rsidR="00CE0B9A">
        <w:t>.</w:t>
      </w:r>
      <w:r>
        <w:t xml:space="preserve"> is likely to have been more rigorously triaged as a result, and thus the population has a higher likelihood of diagnosis of CM by CMR</w:t>
      </w:r>
      <w:r w:rsidR="008A7501">
        <w:t>,</w:t>
      </w:r>
      <w:r>
        <w:t xml:space="preserve"> compared </w:t>
      </w:r>
      <w:r w:rsidR="00CE0B9A">
        <w:t xml:space="preserve">with </w:t>
      </w:r>
      <w:r>
        <w:t>the reg</w:t>
      </w:r>
      <w:r w:rsidR="00C82D32">
        <w:t>istry population (27% vs 21</w:t>
      </w:r>
      <w:r>
        <w:t>% for all new diagnoses).</w:t>
      </w:r>
    </w:p>
    <w:p w14:paraId="1D175DA9" w14:textId="5DEEE547" w:rsidR="003F36FF" w:rsidRDefault="006F0C4E" w:rsidP="004C79C1">
      <w:pPr>
        <w:pStyle w:val="Caption"/>
      </w:pPr>
      <w:bookmarkStart w:id="405" w:name="_Ref451334568"/>
      <w:bookmarkStart w:id="406" w:name="_Toc324410174"/>
      <w:bookmarkStart w:id="407" w:name="_Toc451435348"/>
      <w:r>
        <w:t xml:space="preserve">Table </w:t>
      </w:r>
      <w:fldSimple w:instr=" SEQ Table \* ARABIC ">
        <w:r w:rsidR="00050936">
          <w:rPr>
            <w:noProof/>
          </w:rPr>
          <w:t>21</w:t>
        </w:r>
      </w:fldSimple>
      <w:bookmarkEnd w:id="405"/>
      <w:r w:rsidR="003F36FF">
        <w:tab/>
        <w:t xml:space="preserve">New diagnoses following CMR </w:t>
      </w:r>
      <w:r w:rsidR="00C82D32">
        <w:t>for</w:t>
      </w:r>
      <w:r w:rsidR="003F36FF">
        <w:t xml:space="preserve"> </w:t>
      </w:r>
      <w:r w:rsidR="00CE0B9A">
        <w:t>HF</w:t>
      </w:r>
      <w:r w:rsidR="003F36FF">
        <w:t xml:space="preserve"> or </w:t>
      </w:r>
      <w:r w:rsidR="00C82D32">
        <w:t>suspected</w:t>
      </w:r>
      <w:r w:rsidR="003F36FF">
        <w:t xml:space="preserve"> </w:t>
      </w:r>
      <w:r w:rsidR="00CE0B9A">
        <w:t>CM</w:t>
      </w:r>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Study results"/>
      </w:tblPr>
      <w:tblGrid>
        <w:gridCol w:w="1709"/>
        <w:gridCol w:w="2714"/>
        <w:gridCol w:w="1548"/>
        <w:gridCol w:w="1878"/>
        <w:gridCol w:w="1233"/>
      </w:tblGrid>
      <w:tr w:rsidR="003F36FF" w:rsidRPr="00183E4D" w14:paraId="6C983BBB" w14:textId="77777777" w:rsidTr="006F46F9">
        <w:trPr>
          <w:tblHeader/>
        </w:trPr>
        <w:tc>
          <w:tcPr>
            <w:tcW w:w="941" w:type="pct"/>
            <w:shd w:val="clear" w:color="auto" w:fill="auto"/>
            <w:vAlign w:val="center"/>
          </w:tcPr>
          <w:p w14:paraId="2470D617" w14:textId="77777777" w:rsidR="003F36FF" w:rsidRDefault="003F36FF" w:rsidP="004C79C1">
            <w:pPr>
              <w:pStyle w:val="TableHeading"/>
              <w:spacing w:before="0" w:after="120"/>
              <w:ind w:left="0" w:firstLine="0"/>
              <w:rPr>
                <w:snapToGrid w:val="0"/>
                <w:lang w:eastAsia="en-US"/>
              </w:rPr>
            </w:pPr>
            <w:r>
              <w:rPr>
                <w:snapToGrid w:val="0"/>
                <w:lang w:eastAsia="en-US"/>
              </w:rPr>
              <w:lastRenderedPageBreak/>
              <w:t>Study</w:t>
            </w:r>
          </w:p>
          <w:p w14:paraId="17D204F4" w14:textId="77777777" w:rsidR="003F36FF" w:rsidRPr="00183E4D" w:rsidRDefault="003F36FF" w:rsidP="004C79C1">
            <w:pPr>
              <w:pStyle w:val="TableHeading"/>
              <w:spacing w:before="0" w:after="120"/>
              <w:ind w:left="0" w:firstLine="0"/>
              <w:rPr>
                <w:snapToGrid w:val="0"/>
                <w:lang w:eastAsia="en-US"/>
              </w:rPr>
            </w:pPr>
            <w:r>
              <w:rPr>
                <w:snapToGrid w:val="0"/>
                <w:lang w:eastAsia="en-US"/>
              </w:rPr>
              <w:t>Population</w:t>
            </w:r>
          </w:p>
        </w:tc>
        <w:tc>
          <w:tcPr>
            <w:tcW w:w="1494" w:type="pct"/>
          </w:tcPr>
          <w:p w14:paraId="6F14BAE3" w14:textId="77777777" w:rsidR="003F36FF" w:rsidRDefault="003F36FF" w:rsidP="004C79C1">
            <w:pPr>
              <w:pStyle w:val="TableHeading"/>
              <w:spacing w:before="0" w:after="120"/>
              <w:ind w:left="0" w:firstLine="0"/>
              <w:rPr>
                <w:snapToGrid w:val="0"/>
                <w:lang w:eastAsia="en-US"/>
              </w:rPr>
            </w:pPr>
            <w:r>
              <w:rPr>
                <w:snapToGrid w:val="0"/>
                <w:lang w:eastAsia="en-US"/>
              </w:rPr>
              <w:t>Prior tests</w:t>
            </w:r>
          </w:p>
        </w:tc>
        <w:tc>
          <w:tcPr>
            <w:tcW w:w="852" w:type="pct"/>
          </w:tcPr>
          <w:p w14:paraId="095283CA" w14:textId="60EDEA9E" w:rsidR="003F36FF" w:rsidRDefault="003F36FF" w:rsidP="004C79C1">
            <w:pPr>
              <w:pStyle w:val="TableHeading"/>
              <w:spacing w:before="0" w:after="120"/>
              <w:ind w:left="0" w:firstLine="0"/>
              <w:rPr>
                <w:snapToGrid w:val="0"/>
                <w:lang w:eastAsia="en-US"/>
              </w:rPr>
            </w:pPr>
            <w:r>
              <w:rPr>
                <w:snapToGrid w:val="0"/>
                <w:lang w:eastAsia="en-US"/>
              </w:rPr>
              <w:t xml:space="preserve">Patients assessed by CMR </w:t>
            </w:r>
            <w:r w:rsidR="003C3DA8">
              <w:rPr>
                <w:snapToGrid w:val="0"/>
                <w:lang w:eastAsia="en-US"/>
              </w:rPr>
              <w:t>(</w:t>
            </w:r>
            <w:r>
              <w:rPr>
                <w:snapToGrid w:val="0"/>
                <w:lang w:eastAsia="en-US"/>
              </w:rPr>
              <w:t>N</w:t>
            </w:r>
            <w:r w:rsidR="003C3DA8">
              <w:rPr>
                <w:snapToGrid w:val="0"/>
                <w:lang w:eastAsia="en-US"/>
              </w:rPr>
              <w:t>)</w:t>
            </w:r>
          </w:p>
        </w:tc>
        <w:tc>
          <w:tcPr>
            <w:tcW w:w="1034" w:type="pct"/>
          </w:tcPr>
          <w:p w14:paraId="3D969075" w14:textId="77777777" w:rsidR="003F36FF" w:rsidRPr="00183E4D" w:rsidRDefault="003F36FF" w:rsidP="004C79C1">
            <w:pPr>
              <w:pStyle w:val="TableHeading"/>
              <w:spacing w:before="0" w:after="120"/>
              <w:ind w:left="0" w:firstLine="0"/>
              <w:rPr>
                <w:snapToGrid w:val="0"/>
                <w:lang w:eastAsia="en-US"/>
              </w:rPr>
            </w:pPr>
            <w:r>
              <w:rPr>
                <w:snapToGrid w:val="0"/>
                <w:lang w:eastAsia="en-US"/>
              </w:rPr>
              <w:t>New diagnoses by CMR</w:t>
            </w:r>
          </w:p>
        </w:tc>
        <w:tc>
          <w:tcPr>
            <w:tcW w:w="679" w:type="pct"/>
          </w:tcPr>
          <w:p w14:paraId="5430BB8F" w14:textId="77777777" w:rsidR="003F36FF" w:rsidRDefault="003F36FF" w:rsidP="004C79C1">
            <w:pPr>
              <w:pStyle w:val="TableHeading"/>
              <w:spacing w:before="0" w:after="120"/>
              <w:ind w:left="0" w:firstLine="0"/>
              <w:jc w:val="center"/>
              <w:rPr>
                <w:snapToGrid w:val="0"/>
                <w:lang w:eastAsia="en-US"/>
              </w:rPr>
            </w:pPr>
            <w:r>
              <w:rPr>
                <w:snapToGrid w:val="0"/>
                <w:lang w:eastAsia="en-US"/>
              </w:rPr>
              <w:t>N (%)</w:t>
            </w:r>
          </w:p>
        </w:tc>
      </w:tr>
      <w:tr w:rsidR="003F36FF" w:rsidRPr="00976FCD" w14:paraId="2CC27C4F" w14:textId="77777777" w:rsidTr="006F46F9">
        <w:tc>
          <w:tcPr>
            <w:tcW w:w="941" w:type="pct"/>
            <w:shd w:val="clear" w:color="auto" w:fill="auto"/>
          </w:tcPr>
          <w:p w14:paraId="27386C85" w14:textId="6E19FDC4" w:rsidR="003F36FF" w:rsidRDefault="003F36FF" w:rsidP="004C79C1">
            <w:pPr>
              <w:pStyle w:val="TableText0"/>
              <w:spacing w:before="0" w:after="120"/>
              <w:rPr>
                <w:snapToGrid w:val="0"/>
              </w:rPr>
            </w:pPr>
            <w:r>
              <w:rPr>
                <w:snapToGrid w:val="0"/>
              </w:rPr>
              <w:fldChar w:fldCharType="begin"/>
            </w:r>
            <w:r w:rsidR="00187A29">
              <w:rPr>
                <w:snapToGrid w:val="0"/>
              </w:rPr>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rPr>
                <w:snapToGrid w:val="0"/>
              </w:rPr>
              <w:fldChar w:fldCharType="separate"/>
            </w:r>
            <w:hyperlink w:anchor="_ENREF_1" w:tooltip="Abassi SA, 2013 #106" w:history="1">
              <w:r w:rsidR="00B906E9">
                <w:rPr>
                  <w:noProof/>
                  <w:snapToGrid w:val="0"/>
                </w:rPr>
                <w:t xml:space="preserve">Abassi et al. </w:t>
              </w:r>
              <w:r w:rsidR="00CE0B9A">
                <w:rPr>
                  <w:noProof/>
                  <w:snapToGrid w:val="0"/>
                </w:rPr>
                <w:t>(</w:t>
              </w:r>
              <w:r w:rsidR="00B906E9">
                <w:rPr>
                  <w:noProof/>
                  <w:snapToGrid w:val="0"/>
                </w:rPr>
                <w:t>2013</w:t>
              </w:r>
            </w:hyperlink>
            <w:r>
              <w:rPr>
                <w:noProof/>
                <w:snapToGrid w:val="0"/>
              </w:rPr>
              <w:t>)</w:t>
            </w:r>
            <w:r>
              <w:rPr>
                <w:snapToGrid w:val="0"/>
              </w:rPr>
              <w:fldChar w:fldCharType="end"/>
            </w:r>
          </w:p>
          <w:p w14:paraId="3AA80043" w14:textId="762934D9" w:rsidR="003F36FF" w:rsidRPr="00976FCD" w:rsidRDefault="003F36FF" w:rsidP="004C79C1">
            <w:pPr>
              <w:pStyle w:val="TableText0"/>
              <w:spacing w:before="0" w:after="120"/>
              <w:rPr>
                <w:snapToGrid w:val="0"/>
              </w:rPr>
            </w:pPr>
            <w:r>
              <w:rPr>
                <w:snapToGrid w:val="0"/>
              </w:rPr>
              <w:t>H</w:t>
            </w:r>
            <w:r w:rsidR="00CE0B9A">
              <w:rPr>
                <w:snapToGrid w:val="0"/>
              </w:rPr>
              <w:t>F</w:t>
            </w:r>
            <w:r>
              <w:rPr>
                <w:snapToGrid w:val="0"/>
              </w:rPr>
              <w:t xml:space="preserve"> patients with LVEF ≤50%, indicated for CMR due to CM of unknown aetiology</w:t>
            </w:r>
          </w:p>
        </w:tc>
        <w:tc>
          <w:tcPr>
            <w:tcW w:w="1494" w:type="pct"/>
          </w:tcPr>
          <w:p w14:paraId="5A1ECAED" w14:textId="27C10F37" w:rsidR="003F36FF" w:rsidRDefault="003F36FF" w:rsidP="004C79C1">
            <w:pPr>
              <w:pStyle w:val="TableText0"/>
              <w:spacing w:before="0" w:after="120"/>
              <w:rPr>
                <w:snapToGrid w:val="0"/>
              </w:rPr>
            </w:pPr>
            <w:r>
              <w:rPr>
                <w:snapToGrid w:val="0"/>
              </w:rPr>
              <w:t>Data for whole case series</w:t>
            </w:r>
            <w:r w:rsidR="00E47689">
              <w:rPr>
                <w:snapToGrid w:val="0"/>
              </w:rPr>
              <w:t>,</w:t>
            </w:r>
            <w:r>
              <w:rPr>
                <w:snapToGrid w:val="0"/>
              </w:rPr>
              <w:t xml:space="preserve"> which included those referred for CMR for viability:</w:t>
            </w:r>
          </w:p>
          <w:p w14:paraId="6A5BD5F7" w14:textId="77777777" w:rsidR="003F36FF" w:rsidRDefault="003F36FF" w:rsidP="004C79C1">
            <w:pPr>
              <w:pStyle w:val="TableText0"/>
              <w:spacing w:before="0" w:after="120"/>
              <w:ind w:left="276"/>
              <w:rPr>
                <w:snapToGrid w:val="0"/>
              </w:rPr>
            </w:pPr>
            <w:r>
              <w:rPr>
                <w:snapToGrid w:val="0"/>
              </w:rPr>
              <w:t>18% prior SPECT</w:t>
            </w:r>
          </w:p>
          <w:p w14:paraId="602C45D6" w14:textId="25DD515C" w:rsidR="003F36FF" w:rsidRDefault="003F36FF" w:rsidP="004C79C1">
            <w:pPr>
              <w:pStyle w:val="TableText0"/>
              <w:spacing w:before="0" w:after="120"/>
              <w:ind w:left="276"/>
              <w:rPr>
                <w:snapToGrid w:val="0"/>
              </w:rPr>
            </w:pPr>
            <w:r>
              <w:rPr>
                <w:snapToGrid w:val="0"/>
              </w:rPr>
              <w:t xml:space="preserve">100% prior </w:t>
            </w:r>
            <w:r w:rsidR="00C35AAF">
              <w:rPr>
                <w:snapToGrid w:val="0"/>
              </w:rPr>
              <w:t>E</w:t>
            </w:r>
            <w:r>
              <w:rPr>
                <w:snapToGrid w:val="0"/>
              </w:rPr>
              <w:t>cho</w:t>
            </w:r>
          </w:p>
          <w:p w14:paraId="1D800C2B" w14:textId="77777777" w:rsidR="003F36FF" w:rsidRDefault="003F36FF" w:rsidP="004C79C1">
            <w:pPr>
              <w:pStyle w:val="TableText0"/>
              <w:spacing w:before="0" w:after="120"/>
              <w:ind w:left="276"/>
              <w:rPr>
                <w:snapToGrid w:val="0"/>
              </w:rPr>
            </w:pPr>
            <w:r>
              <w:rPr>
                <w:snapToGrid w:val="0"/>
              </w:rPr>
              <w:t>59% prior ICA</w:t>
            </w:r>
          </w:p>
        </w:tc>
        <w:tc>
          <w:tcPr>
            <w:tcW w:w="852" w:type="pct"/>
          </w:tcPr>
          <w:p w14:paraId="545F96E6" w14:textId="77777777" w:rsidR="003F36FF" w:rsidRDefault="003F36FF" w:rsidP="004C79C1">
            <w:pPr>
              <w:pStyle w:val="TableText0"/>
              <w:spacing w:before="0" w:after="120"/>
              <w:jc w:val="center"/>
              <w:rPr>
                <w:snapToGrid w:val="0"/>
              </w:rPr>
            </w:pPr>
            <w:r>
              <w:rPr>
                <w:snapToGrid w:val="0"/>
              </w:rPr>
              <w:t>89</w:t>
            </w:r>
          </w:p>
        </w:tc>
        <w:tc>
          <w:tcPr>
            <w:tcW w:w="1034" w:type="pct"/>
          </w:tcPr>
          <w:p w14:paraId="722CE81E" w14:textId="77777777" w:rsidR="003F36FF" w:rsidRDefault="003F36FF" w:rsidP="004C79C1">
            <w:pPr>
              <w:pStyle w:val="TableText0"/>
              <w:spacing w:before="0" w:after="120"/>
              <w:rPr>
                <w:snapToGrid w:val="0"/>
              </w:rPr>
            </w:pPr>
            <w:r>
              <w:rPr>
                <w:snapToGrid w:val="0"/>
              </w:rPr>
              <w:t>All</w:t>
            </w:r>
          </w:p>
          <w:p w14:paraId="3FD1BCB0" w14:textId="655E59B9" w:rsidR="003F36FF" w:rsidRDefault="003F36FF" w:rsidP="004C79C1">
            <w:pPr>
              <w:pStyle w:val="TableText0"/>
              <w:spacing w:before="0" w:after="120"/>
              <w:rPr>
                <w:snapToGrid w:val="0"/>
              </w:rPr>
            </w:pPr>
            <w:r>
              <w:rPr>
                <w:snapToGrid w:val="0"/>
              </w:rPr>
              <w:t>Non-isch</w:t>
            </w:r>
            <w:r w:rsidR="00B54AAB">
              <w:rPr>
                <w:snapToGrid w:val="0"/>
              </w:rPr>
              <w:t>a</w:t>
            </w:r>
            <w:r>
              <w:rPr>
                <w:snapToGrid w:val="0"/>
              </w:rPr>
              <w:t xml:space="preserve">emic CM </w:t>
            </w:r>
          </w:p>
          <w:p w14:paraId="6C407417" w14:textId="6FA504BE" w:rsidR="003F36FF" w:rsidRDefault="003F36FF" w:rsidP="004C79C1">
            <w:pPr>
              <w:pStyle w:val="TableText0"/>
              <w:spacing w:before="0" w:after="120"/>
              <w:rPr>
                <w:snapToGrid w:val="0"/>
              </w:rPr>
            </w:pPr>
            <w:r>
              <w:rPr>
                <w:snapToGrid w:val="0"/>
              </w:rPr>
              <w:t>Isch</w:t>
            </w:r>
            <w:r w:rsidR="00B54AAB">
              <w:rPr>
                <w:snapToGrid w:val="0"/>
              </w:rPr>
              <w:t>a</w:t>
            </w:r>
            <w:r>
              <w:rPr>
                <w:snapToGrid w:val="0"/>
              </w:rPr>
              <w:t xml:space="preserve">emic CM </w:t>
            </w:r>
          </w:p>
          <w:p w14:paraId="7FB2937B" w14:textId="77777777" w:rsidR="003F36FF" w:rsidRDefault="003F36FF" w:rsidP="004C79C1">
            <w:pPr>
              <w:pStyle w:val="TableText0"/>
              <w:spacing w:before="0" w:after="120"/>
              <w:rPr>
                <w:snapToGrid w:val="0"/>
              </w:rPr>
            </w:pPr>
            <w:r>
              <w:rPr>
                <w:snapToGrid w:val="0"/>
              </w:rPr>
              <w:t>Muscular dystrophy</w:t>
            </w:r>
          </w:p>
          <w:p w14:paraId="00D0E314" w14:textId="77777777" w:rsidR="003F36FF" w:rsidRPr="00976FCD" w:rsidRDefault="003F36FF" w:rsidP="004C79C1">
            <w:pPr>
              <w:pStyle w:val="TableText0"/>
              <w:spacing w:before="0" w:after="120"/>
              <w:rPr>
                <w:snapToGrid w:val="0"/>
              </w:rPr>
            </w:pPr>
            <w:r>
              <w:rPr>
                <w:snapToGrid w:val="0"/>
              </w:rPr>
              <w:t>LV non-compaction CM</w:t>
            </w:r>
          </w:p>
        </w:tc>
        <w:tc>
          <w:tcPr>
            <w:tcW w:w="679" w:type="pct"/>
          </w:tcPr>
          <w:p w14:paraId="68A42073" w14:textId="77777777" w:rsidR="003F36FF" w:rsidRDefault="003F36FF" w:rsidP="004C79C1">
            <w:pPr>
              <w:pStyle w:val="TableText0"/>
              <w:spacing w:before="0" w:after="120"/>
              <w:jc w:val="center"/>
              <w:rPr>
                <w:snapToGrid w:val="0"/>
              </w:rPr>
            </w:pPr>
            <w:r>
              <w:rPr>
                <w:snapToGrid w:val="0"/>
              </w:rPr>
              <w:t>24 (27.0)</w:t>
            </w:r>
          </w:p>
          <w:p w14:paraId="7B7DBFBB" w14:textId="77777777" w:rsidR="003F36FF" w:rsidRDefault="003F36FF" w:rsidP="004C79C1">
            <w:pPr>
              <w:pStyle w:val="TableText0"/>
              <w:spacing w:before="0" w:after="120"/>
              <w:jc w:val="center"/>
              <w:rPr>
                <w:snapToGrid w:val="0"/>
              </w:rPr>
            </w:pPr>
            <w:r>
              <w:rPr>
                <w:snapToGrid w:val="0"/>
              </w:rPr>
              <w:t>11 (12.4)</w:t>
            </w:r>
          </w:p>
          <w:p w14:paraId="22315A14" w14:textId="77777777" w:rsidR="003F36FF" w:rsidRDefault="003F36FF" w:rsidP="004C79C1">
            <w:pPr>
              <w:pStyle w:val="TableText0"/>
              <w:spacing w:before="0" w:after="120"/>
              <w:jc w:val="center"/>
              <w:rPr>
                <w:snapToGrid w:val="0"/>
              </w:rPr>
            </w:pPr>
            <w:r>
              <w:rPr>
                <w:snapToGrid w:val="0"/>
              </w:rPr>
              <w:t>7 (7.9)</w:t>
            </w:r>
          </w:p>
          <w:p w14:paraId="5A596F88" w14:textId="77777777" w:rsidR="003F36FF" w:rsidRDefault="003F36FF" w:rsidP="004C79C1">
            <w:pPr>
              <w:pStyle w:val="TableText0"/>
              <w:spacing w:before="0" w:after="120"/>
              <w:jc w:val="center"/>
              <w:rPr>
                <w:snapToGrid w:val="0"/>
              </w:rPr>
            </w:pPr>
            <w:r>
              <w:rPr>
                <w:snapToGrid w:val="0"/>
              </w:rPr>
              <w:t>4 (4.5)</w:t>
            </w:r>
          </w:p>
          <w:p w14:paraId="34188C13" w14:textId="77777777" w:rsidR="003F36FF" w:rsidRPr="00976FCD" w:rsidRDefault="003F36FF" w:rsidP="004C79C1">
            <w:pPr>
              <w:pStyle w:val="TableText0"/>
              <w:spacing w:before="0" w:after="120"/>
              <w:jc w:val="center"/>
              <w:rPr>
                <w:snapToGrid w:val="0"/>
              </w:rPr>
            </w:pPr>
            <w:r>
              <w:rPr>
                <w:snapToGrid w:val="0"/>
              </w:rPr>
              <w:t>2 (2.2)</w:t>
            </w:r>
          </w:p>
        </w:tc>
      </w:tr>
      <w:tr w:rsidR="003F36FF" w:rsidRPr="00976FCD" w14:paraId="54806925" w14:textId="77777777" w:rsidTr="007844B9">
        <w:tc>
          <w:tcPr>
            <w:tcW w:w="941" w:type="pct"/>
            <w:shd w:val="clear" w:color="auto" w:fill="auto"/>
          </w:tcPr>
          <w:p w14:paraId="3C27C083" w14:textId="7306D45C" w:rsidR="003F36FF" w:rsidRDefault="003F36FF" w:rsidP="004C79C1">
            <w:pPr>
              <w:pStyle w:val="TableText0"/>
              <w:spacing w:before="0" w:after="120"/>
              <w:rPr>
                <w:snapToGrid w:val="0"/>
              </w:rPr>
            </w:pPr>
            <w:r>
              <w:rPr>
                <w:snapToGrid w:val="0"/>
              </w:rPr>
              <w:fldChar w:fldCharType="begin"/>
            </w:r>
            <w:r w:rsidR="00187A29">
              <w:rPr>
                <w:snapToGrid w:val="0"/>
              </w:rPr>
              <w:instrText xml:space="preserve"> ADDIN EN.CITE &lt;EndNote&gt;&lt;Cite&gt;&lt;Author&gt;Bruder O&lt;/Author&gt;&lt;Year&gt;2009&lt;/Year&gt;&lt;RecNum&gt;108&lt;/RecNum&gt;&lt;IDText&gt;1457-66&lt;/IDText&gt;&lt;DisplayText&gt;(Bruder O et al. 2009)&lt;/DisplayText&gt;&lt;record&gt;&lt;rec-number&gt;108&lt;/rec-number&gt;&lt;foreign-keys&gt;&lt;key app="EN" db-id="pfxxvref0t0a5de2vwnv2fwkz0p9v0r2fw0t" timestamp="1458687902"&gt;108&lt;/key&gt;&lt;/foreign-keys&gt;&lt;ref-type name="Journal Article"&gt;17&lt;/ref-type&gt;&lt;contributors&gt;&lt;authors&gt;&lt;author&gt;Bruder O, &lt;/author&gt;&lt;author&gt;Schneider S, &lt;/author&gt;&lt;author&gt;Nothnagel D, &lt;/author&gt;&lt;author&gt;Dill T, &lt;/author&gt;&lt;author&gt;Hombach V, &lt;/author&gt;&lt;author&gt;Schulz-Menger J, &lt;/author&gt;&lt;author&gt;Nagel E, &lt;/author&gt;&lt;author&gt;Lombardi M, &lt;/author&gt;&lt;author&gt;van Rossum AC, &lt;/author&gt;&lt;author&gt;Wagner A, &lt;/author&gt;&lt;author&gt;Schwitter J, &lt;/author&gt;&lt;author&gt;Senges J, &lt;/author&gt;&lt;author&gt;Sabin GV, &lt;/author&gt;&lt;author&gt;Sechtem U,&lt;/author&gt;&lt;author&gt;Mahrholdt H, &lt;/author&gt;&lt;/authors&gt;&lt;/contributors&gt;&lt;titles&gt;&lt;title&gt;EuroCMR (European Cardiovascular Magnetic Resonance) registry: results of the German pilot phase&lt;/title&gt;&lt;secondary-title&gt;J Am Coll Cardiol&lt;/secondary-title&gt;&lt;/titles&gt;&lt;periodical&gt;&lt;full-title&gt;J Am Coll Cardiol&lt;/full-title&gt;&lt;/periodical&gt;&lt;pages&gt;1457-66&lt;/pages&gt;&lt;volume&gt;54&lt;/volume&gt;&lt;number&gt;15&lt;/number&gt;&lt;dates&gt;&lt;year&gt;2009&lt;/year&gt;&lt;pub-dates&gt;&lt;date&gt;2009-01-01&lt;/date&gt;&lt;/pub-dates&gt;&lt;/dates&gt;&lt;isbn&gt;0735-1097 (Print) 0735-1097&lt;/isbn&gt;&lt;urls&gt;&lt;related-urls&gt;&lt;url&gt;http://ac.els-cdn.com/S0735109709022451/1-s2.0-S0735109709022451-main.pdf?_tid=fafb48cc-c092-11e5-b964-00000aab0f6b&amp;amp;acdnat=1453417501_6eac3891612277439962d47546b6e40f&lt;/url&gt;&lt;/related-urls&gt;&lt;/urls&gt;&lt;custom1&gt;RAYYAN-INCLUSION: {&amp;quot;Sharon&amp;quot;=&amp;gt;true} | RAYYAN-LABELS: general&lt;/custom1&gt;&lt;language&gt;eng&lt;/language&gt;&lt;/record&gt;&lt;/Cite&gt;&lt;/EndNote&gt;</w:instrText>
            </w:r>
            <w:r>
              <w:rPr>
                <w:snapToGrid w:val="0"/>
              </w:rPr>
              <w:fldChar w:fldCharType="separate"/>
            </w:r>
            <w:hyperlink w:anchor="_ENREF_15" w:tooltip="Bruder O, 2009 #108" w:history="1">
              <w:r w:rsidR="00B906E9">
                <w:rPr>
                  <w:noProof/>
                  <w:snapToGrid w:val="0"/>
                </w:rPr>
                <w:t xml:space="preserve">Bruder et al. </w:t>
              </w:r>
              <w:r w:rsidR="00DE61D6">
                <w:rPr>
                  <w:noProof/>
                  <w:snapToGrid w:val="0"/>
                </w:rPr>
                <w:t>(</w:t>
              </w:r>
              <w:r w:rsidR="00B906E9">
                <w:rPr>
                  <w:noProof/>
                  <w:snapToGrid w:val="0"/>
                </w:rPr>
                <w:t>2009</w:t>
              </w:r>
            </w:hyperlink>
            <w:r>
              <w:rPr>
                <w:noProof/>
                <w:snapToGrid w:val="0"/>
              </w:rPr>
              <w:t>)</w:t>
            </w:r>
            <w:r>
              <w:rPr>
                <w:snapToGrid w:val="0"/>
              </w:rPr>
              <w:fldChar w:fldCharType="end"/>
            </w:r>
          </w:p>
          <w:p w14:paraId="5C1124F3" w14:textId="77777777" w:rsidR="003F36FF" w:rsidRPr="00976FCD" w:rsidRDefault="003F36FF" w:rsidP="004C79C1">
            <w:pPr>
              <w:pStyle w:val="TableText0"/>
              <w:spacing w:before="0" w:after="120"/>
              <w:rPr>
                <w:snapToGrid w:val="0"/>
              </w:rPr>
            </w:pPr>
            <w:r w:rsidRPr="006F257C">
              <w:rPr>
                <w:snapToGrid w:val="0"/>
              </w:rPr>
              <w:t>Registry patients</w:t>
            </w:r>
            <w:r>
              <w:rPr>
                <w:snapToGrid w:val="0"/>
              </w:rPr>
              <w:t xml:space="preserve"> indicated for myocarditis or CM</w:t>
            </w:r>
          </w:p>
        </w:tc>
        <w:tc>
          <w:tcPr>
            <w:tcW w:w="1494" w:type="pct"/>
          </w:tcPr>
          <w:p w14:paraId="18C3636F" w14:textId="347183ED" w:rsidR="003F36FF" w:rsidRDefault="003F36FF" w:rsidP="004C79C1">
            <w:pPr>
              <w:pStyle w:val="TableText0"/>
              <w:spacing w:before="0" w:after="120"/>
              <w:rPr>
                <w:snapToGrid w:val="0"/>
              </w:rPr>
            </w:pPr>
            <w:r>
              <w:rPr>
                <w:snapToGrid w:val="0"/>
              </w:rPr>
              <w:t>Data for whole case series</w:t>
            </w:r>
            <w:r w:rsidR="00E47689">
              <w:rPr>
                <w:snapToGrid w:val="0"/>
              </w:rPr>
              <w:t>,</w:t>
            </w:r>
            <w:r>
              <w:rPr>
                <w:snapToGrid w:val="0"/>
              </w:rPr>
              <w:t xml:space="preserve"> which included those referred for CMR for suspected CAD and viability:</w:t>
            </w:r>
          </w:p>
          <w:p w14:paraId="1ACA550B" w14:textId="680DBA97" w:rsidR="003F36FF" w:rsidRDefault="003F36FF" w:rsidP="004C79C1">
            <w:pPr>
              <w:pStyle w:val="TableText0"/>
              <w:spacing w:before="0" w:after="120"/>
              <w:ind w:left="276"/>
              <w:rPr>
                <w:snapToGrid w:val="0"/>
              </w:rPr>
            </w:pPr>
            <w:r>
              <w:rPr>
                <w:snapToGrid w:val="0"/>
              </w:rPr>
              <w:t xml:space="preserve">64.1% transthoracic </w:t>
            </w:r>
            <w:r w:rsidR="00CA36F8">
              <w:rPr>
                <w:snapToGrid w:val="0"/>
              </w:rPr>
              <w:t>E</w:t>
            </w:r>
            <w:r>
              <w:rPr>
                <w:snapToGrid w:val="0"/>
              </w:rPr>
              <w:t>cho</w:t>
            </w:r>
          </w:p>
          <w:p w14:paraId="5F2D57EB" w14:textId="77777777" w:rsidR="003F36FF" w:rsidRDefault="003F36FF" w:rsidP="004C79C1">
            <w:pPr>
              <w:pStyle w:val="TableText0"/>
              <w:spacing w:before="0" w:after="120"/>
              <w:ind w:left="276"/>
              <w:rPr>
                <w:snapToGrid w:val="0"/>
              </w:rPr>
            </w:pPr>
            <w:r>
              <w:rPr>
                <w:snapToGrid w:val="0"/>
              </w:rPr>
              <w:t>25.1% ICA</w:t>
            </w:r>
          </w:p>
          <w:p w14:paraId="6992B2CD" w14:textId="71BC25B8" w:rsidR="003F36FF" w:rsidRDefault="003F36FF" w:rsidP="004C79C1">
            <w:pPr>
              <w:pStyle w:val="TableText0"/>
              <w:spacing w:before="0" w:after="120"/>
              <w:ind w:left="276"/>
              <w:rPr>
                <w:snapToGrid w:val="0"/>
              </w:rPr>
            </w:pPr>
            <w:r>
              <w:rPr>
                <w:snapToGrid w:val="0"/>
              </w:rPr>
              <w:t xml:space="preserve">1.9% transoesophageal </w:t>
            </w:r>
            <w:r w:rsidR="00CA36F8">
              <w:rPr>
                <w:snapToGrid w:val="0"/>
              </w:rPr>
              <w:t>E</w:t>
            </w:r>
            <w:r>
              <w:rPr>
                <w:snapToGrid w:val="0"/>
              </w:rPr>
              <w:t>cho</w:t>
            </w:r>
          </w:p>
          <w:p w14:paraId="3BE259E9" w14:textId="77777777" w:rsidR="003F36FF" w:rsidRDefault="003F36FF" w:rsidP="004C79C1">
            <w:pPr>
              <w:pStyle w:val="TableText0"/>
              <w:spacing w:before="0" w:after="120"/>
              <w:ind w:left="276"/>
              <w:rPr>
                <w:snapToGrid w:val="0"/>
              </w:rPr>
            </w:pPr>
            <w:r>
              <w:rPr>
                <w:snapToGrid w:val="0"/>
              </w:rPr>
              <w:t>1.8% CTCA</w:t>
            </w:r>
          </w:p>
          <w:p w14:paraId="75A007A6" w14:textId="77777777" w:rsidR="003F36FF" w:rsidRDefault="003F36FF" w:rsidP="004C79C1">
            <w:pPr>
              <w:pStyle w:val="TableText0"/>
              <w:spacing w:before="0" w:after="120"/>
              <w:ind w:left="276"/>
              <w:rPr>
                <w:snapToGrid w:val="0"/>
              </w:rPr>
            </w:pPr>
            <w:r>
              <w:rPr>
                <w:snapToGrid w:val="0"/>
              </w:rPr>
              <w:t>0.3% SPECT</w:t>
            </w:r>
          </w:p>
          <w:p w14:paraId="17525A80" w14:textId="77777777" w:rsidR="003F36FF" w:rsidRDefault="003F36FF" w:rsidP="004C79C1">
            <w:pPr>
              <w:pStyle w:val="TableText0"/>
              <w:spacing w:before="0" w:after="120"/>
              <w:ind w:left="276"/>
              <w:rPr>
                <w:snapToGrid w:val="0"/>
              </w:rPr>
            </w:pPr>
            <w:r>
              <w:rPr>
                <w:snapToGrid w:val="0"/>
              </w:rPr>
              <w:t>23.1% no imaging</w:t>
            </w:r>
          </w:p>
        </w:tc>
        <w:tc>
          <w:tcPr>
            <w:tcW w:w="852" w:type="pct"/>
          </w:tcPr>
          <w:p w14:paraId="4D66A941" w14:textId="30199652" w:rsidR="003F36FF" w:rsidRDefault="003F36FF" w:rsidP="004C79C1">
            <w:pPr>
              <w:pStyle w:val="TableText0"/>
              <w:spacing w:before="0" w:after="120"/>
              <w:jc w:val="center"/>
              <w:rPr>
                <w:snapToGrid w:val="0"/>
              </w:rPr>
            </w:pPr>
            <w:r>
              <w:rPr>
                <w:snapToGrid w:val="0"/>
              </w:rPr>
              <w:t>3</w:t>
            </w:r>
            <w:r w:rsidR="00A04A09">
              <w:rPr>
                <w:snapToGrid w:val="0"/>
              </w:rPr>
              <w:t>,</w:t>
            </w:r>
            <w:r>
              <w:rPr>
                <w:snapToGrid w:val="0"/>
              </w:rPr>
              <w:t>511</w:t>
            </w:r>
          </w:p>
        </w:tc>
        <w:tc>
          <w:tcPr>
            <w:tcW w:w="1034" w:type="pct"/>
          </w:tcPr>
          <w:p w14:paraId="76780AC3" w14:textId="77777777" w:rsidR="003F36FF" w:rsidRDefault="003F36FF" w:rsidP="004C79C1">
            <w:pPr>
              <w:pStyle w:val="TableText0"/>
              <w:spacing w:before="0" w:after="120"/>
              <w:rPr>
                <w:snapToGrid w:val="0"/>
              </w:rPr>
            </w:pPr>
            <w:r>
              <w:rPr>
                <w:snapToGrid w:val="0"/>
              </w:rPr>
              <w:t>Unsuspected new diagnosis</w:t>
            </w:r>
          </w:p>
        </w:tc>
        <w:tc>
          <w:tcPr>
            <w:tcW w:w="679" w:type="pct"/>
          </w:tcPr>
          <w:p w14:paraId="7641C71C" w14:textId="77777777" w:rsidR="003F36FF" w:rsidRDefault="003F36FF" w:rsidP="004C79C1">
            <w:pPr>
              <w:pStyle w:val="TableText0"/>
              <w:spacing w:before="0" w:after="120"/>
              <w:jc w:val="center"/>
              <w:rPr>
                <w:snapToGrid w:val="0"/>
              </w:rPr>
            </w:pPr>
            <w:r>
              <w:rPr>
                <w:snapToGrid w:val="0"/>
              </w:rPr>
              <w:t>737 (21)</w:t>
            </w:r>
          </w:p>
        </w:tc>
      </w:tr>
    </w:tbl>
    <w:p w14:paraId="5D4E808A" w14:textId="150B2ECE" w:rsidR="003F36FF" w:rsidRDefault="003F36FF" w:rsidP="004C79C1">
      <w:pPr>
        <w:pStyle w:val="Tablenotes0"/>
        <w:spacing w:before="0" w:after="120"/>
      </w:pPr>
      <w:r>
        <w:t>ARVC</w:t>
      </w:r>
      <w:r w:rsidR="00ED0326">
        <w:t xml:space="preserve"> </w:t>
      </w:r>
      <w:r>
        <w:t>=</w:t>
      </w:r>
      <w:r w:rsidR="00ED0326">
        <w:t xml:space="preserve"> </w:t>
      </w:r>
      <w:r w:rsidRPr="00AB0D8D">
        <w:t xml:space="preserve">arrhythmogenic right ventricular cardiomyopathy; </w:t>
      </w:r>
      <w:r w:rsidR="00C35AAF" w:rsidRPr="00AB0D8D">
        <w:t xml:space="preserve">CAD = </w:t>
      </w:r>
      <w:r w:rsidR="00C35AAF" w:rsidRPr="00513CC7">
        <w:t>coronary artery disease</w:t>
      </w:r>
      <w:r w:rsidR="00C35AAF" w:rsidRPr="00AB0D8D">
        <w:t xml:space="preserve">; </w:t>
      </w:r>
      <w:r w:rsidRPr="00AB0D8D">
        <w:t>CM</w:t>
      </w:r>
      <w:r w:rsidR="00ED0326" w:rsidRPr="00AB0D8D">
        <w:t xml:space="preserve"> </w:t>
      </w:r>
      <w:r w:rsidRPr="00AB0D8D">
        <w:t>=</w:t>
      </w:r>
      <w:r w:rsidR="00ED0326" w:rsidRPr="00AB0D8D">
        <w:t xml:space="preserve"> </w:t>
      </w:r>
      <w:r w:rsidRPr="00AB0D8D">
        <w:t xml:space="preserve">cardiomyopathies; </w:t>
      </w:r>
      <w:r w:rsidR="006637AE" w:rsidRPr="00AB0D8D">
        <w:t xml:space="preserve">CMR = </w:t>
      </w:r>
      <w:r w:rsidR="006637AE" w:rsidRPr="00513CC7">
        <w:t xml:space="preserve">cardiac magnetic resonance </w:t>
      </w:r>
      <w:r w:rsidR="00372D4E">
        <w:t>(</w:t>
      </w:r>
      <w:r w:rsidR="00372D4E" w:rsidRPr="00FA186D">
        <w:t>imaging</w:t>
      </w:r>
      <w:r w:rsidR="00372D4E">
        <w:t>)</w:t>
      </w:r>
      <w:r w:rsidR="006637AE" w:rsidRPr="00AB0D8D">
        <w:t xml:space="preserve">; </w:t>
      </w:r>
      <w:r w:rsidR="00CA36F8" w:rsidRPr="00AB0D8D">
        <w:t xml:space="preserve">Echo = </w:t>
      </w:r>
      <w:r w:rsidR="00CA36F8" w:rsidRPr="00513CC7">
        <w:t xml:space="preserve">echocardiography; </w:t>
      </w:r>
      <w:r w:rsidR="00EF5E77" w:rsidRPr="00AB0D8D">
        <w:t>I</w:t>
      </w:r>
      <w:r w:rsidR="00EF5E77" w:rsidRPr="00513CC7">
        <w:t>C</w:t>
      </w:r>
      <w:r w:rsidR="00EF5E77" w:rsidRPr="00AB0D8D">
        <w:t xml:space="preserve">A = </w:t>
      </w:r>
      <w:r w:rsidR="00CA36F8" w:rsidRPr="00513CC7">
        <w:t>invasive coronary angiography</w:t>
      </w:r>
      <w:r w:rsidR="00EF5E77" w:rsidRPr="00AB0D8D">
        <w:t xml:space="preserve">; </w:t>
      </w:r>
      <w:r w:rsidRPr="00AB0D8D">
        <w:t>ICD</w:t>
      </w:r>
      <w:r w:rsidR="00ED0326" w:rsidRPr="00AB0D8D">
        <w:t xml:space="preserve"> </w:t>
      </w:r>
      <w:r w:rsidRPr="00AB0D8D">
        <w:t>=</w:t>
      </w:r>
      <w:r w:rsidR="00ED0326" w:rsidRPr="00AB0D8D">
        <w:t xml:space="preserve"> </w:t>
      </w:r>
      <w:r w:rsidRPr="00AB0D8D">
        <w:t xml:space="preserve">implantable </w:t>
      </w:r>
      <w:r w:rsidR="0026063B">
        <w:t>cardioverter defibrillator</w:t>
      </w:r>
      <w:r w:rsidRPr="00AB0D8D">
        <w:t>; LV</w:t>
      </w:r>
      <w:r w:rsidR="00ED0326" w:rsidRPr="00AB0D8D">
        <w:t xml:space="preserve"> </w:t>
      </w:r>
      <w:r w:rsidRPr="00AB0D8D">
        <w:t>=</w:t>
      </w:r>
      <w:r w:rsidR="00ED0326" w:rsidRPr="00AB0D8D">
        <w:t xml:space="preserve"> </w:t>
      </w:r>
      <w:r w:rsidRPr="00AB0D8D">
        <w:t>left ventricular; LVEF</w:t>
      </w:r>
      <w:r w:rsidR="00ED0326" w:rsidRPr="00AB0D8D">
        <w:t xml:space="preserve"> </w:t>
      </w:r>
      <w:r w:rsidRPr="00AB0D8D">
        <w:t>=</w:t>
      </w:r>
      <w:r w:rsidR="00ED0326" w:rsidRPr="00AB0D8D">
        <w:t xml:space="preserve"> </w:t>
      </w:r>
      <w:r w:rsidRPr="00AB0D8D">
        <w:t>left ventricular ejection fraction; N</w:t>
      </w:r>
      <w:r w:rsidR="00ED0326" w:rsidRPr="00AB0D8D">
        <w:t xml:space="preserve"> </w:t>
      </w:r>
      <w:r w:rsidRPr="00AB0D8D">
        <w:t>=</w:t>
      </w:r>
      <w:r w:rsidR="00ED0326" w:rsidRPr="00AB0D8D">
        <w:t xml:space="preserve"> </w:t>
      </w:r>
      <w:r w:rsidRPr="00AB0D8D">
        <w:t xml:space="preserve">number; </w:t>
      </w:r>
      <w:r w:rsidR="00EF5E77" w:rsidRPr="00AB0D8D">
        <w:t xml:space="preserve">SPECT = </w:t>
      </w:r>
      <w:r w:rsidR="00CA36F8" w:rsidRPr="00513CC7">
        <w:t>single-photon emission computed tomography</w:t>
      </w:r>
    </w:p>
    <w:p w14:paraId="2E204EB9" w14:textId="77777777" w:rsidR="002E0970" w:rsidRDefault="002E0970" w:rsidP="004C79C1">
      <w:pPr>
        <w:spacing w:after="120" w:line="240" w:lineRule="auto"/>
        <w:jc w:val="both"/>
      </w:pPr>
    </w:p>
    <w:p w14:paraId="288C819F" w14:textId="3C66DB2C" w:rsidR="003F36FF" w:rsidRDefault="003F36FF" w:rsidP="004C79C1">
      <w:pPr>
        <w:spacing w:after="120" w:line="240" w:lineRule="auto"/>
        <w:jc w:val="both"/>
      </w:pPr>
      <w:r>
        <w:t>Abassi et al</w:t>
      </w:r>
      <w:r w:rsidR="001F4590">
        <w:t>.</w:t>
      </w:r>
      <w:r>
        <w:t xml:space="preserve"> </w:t>
      </w:r>
      <w:r w:rsidR="00BF5713">
        <w:t xml:space="preserve">(2013) </w:t>
      </w:r>
      <w:r>
        <w:t xml:space="preserve">reported on the number of changed diagnoses in </w:t>
      </w:r>
      <w:r w:rsidR="00BF5713">
        <w:t>HF</w:t>
      </w:r>
      <w:r>
        <w:t xml:space="preserve"> patients (LVEF ≤50%) as a result of conducting CMR. Results are shown for the changes found in patients with a pre-CMR diagnosis of CM of unknown aetiology, and non-ischaemic CM</w:t>
      </w:r>
      <w:r w:rsidR="00200F29">
        <w:t>,</w:t>
      </w:r>
      <w:r w:rsidRPr="00396675">
        <w:t xml:space="preserve"> </w:t>
      </w:r>
      <w:r>
        <w:t xml:space="preserve">in </w:t>
      </w:r>
      <w:r w:rsidR="00513CC7">
        <w:fldChar w:fldCharType="begin"/>
      </w:r>
      <w:r w:rsidR="00513CC7">
        <w:instrText xml:space="preserve"> REF _Ref451335814 \h </w:instrText>
      </w:r>
      <w:r w:rsidR="00513CC7">
        <w:fldChar w:fldCharType="separate"/>
      </w:r>
      <w:r w:rsidR="00513CC7">
        <w:t xml:space="preserve">Table </w:t>
      </w:r>
      <w:r w:rsidR="00513CC7">
        <w:rPr>
          <w:noProof/>
        </w:rPr>
        <w:t>22</w:t>
      </w:r>
      <w:r w:rsidR="00513CC7">
        <w:fldChar w:fldCharType="end"/>
      </w:r>
      <w:r>
        <w:t xml:space="preserve">. </w:t>
      </w:r>
    </w:p>
    <w:p w14:paraId="3668CD83" w14:textId="63CBEE44" w:rsidR="003F36FF" w:rsidRDefault="006F0C4E" w:rsidP="004C79C1">
      <w:pPr>
        <w:pStyle w:val="Caption"/>
      </w:pPr>
      <w:bookmarkStart w:id="408" w:name="_Ref451335814"/>
      <w:bookmarkStart w:id="409" w:name="_Toc324410175"/>
      <w:bookmarkStart w:id="410" w:name="_Toc451435349"/>
      <w:r>
        <w:t xml:space="preserve">Table </w:t>
      </w:r>
      <w:fldSimple w:instr=" SEQ Table \* ARABIC ">
        <w:r w:rsidR="00050936">
          <w:rPr>
            <w:noProof/>
          </w:rPr>
          <w:t>22</w:t>
        </w:r>
      </w:fldSimple>
      <w:bookmarkEnd w:id="408"/>
      <w:r w:rsidR="003F36FF">
        <w:tab/>
        <w:t xml:space="preserve">Changed diagnoses following CMR in patients with </w:t>
      </w:r>
      <w:r w:rsidR="00200F29">
        <w:t>HF</w:t>
      </w:r>
      <w:bookmarkEnd w:id="409"/>
      <w:bookmarkEnd w:id="410"/>
      <w:r w:rsidR="003F36F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Change diagnosis"/>
      </w:tblPr>
      <w:tblGrid>
        <w:gridCol w:w="2850"/>
        <w:gridCol w:w="2999"/>
        <w:gridCol w:w="3233"/>
      </w:tblGrid>
      <w:tr w:rsidR="003F36FF" w:rsidRPr="00183E4D" w14:paraId="7F21AD7B" w14:textId="77777777" w:rsidTr="006F46F9">
        <w:trPr>
          <w:tblHeader/>
        </w:trPr>
        <w:tc>
          <w:tcPr>
            <w:tcW w:w="1569" w:type="pct"/>
          </w:tcPr>
          <w:p w14:paraId="6DA0DFD2" w14:textId="77777777" w:rsidR="003F36FF" w:rsidRDefault="003F36FF" w:rsidP="004C79C1">
            <w:pPr>
              <w:pStyle w:val="TableHeading"/>
              <w:spacing w:before="0" w:after="120"/>
              <w:ind w:left="0" w:firstLine="0"/>
              <w:rPr>
                <w:snapToGrid w:val="0"/>
                <w:lang w:eastAsia="en-US"/>
              </w:rPr>
            </w:pPr>
            <w:r>
              <w:rPr>
                <w:snapToGrid w:val="0"/>
                <w:lang w:eastAsia="en-US"/>
              </w:rPr>
              <w:t>Study</w:t>
            </w:r>
          </w:p>
          <w:p w14:paraId="4C17ED62" w14:textId="09A06211" w:rsidR="003F36FF" w:rsidRDefault="00C82D32" w:rsidP="004C79C1">
            <w:pPr>
              <w:pStyle w:val="TableHeading"/>
              <w:spacing w:before="0" w:after="120"/>
              <w:ind w:left="0" w:firstLine="0"/>
              <w:rPr>
                <w:snapToGrid w:val="0"/>
                <w:lang w:eastAsia="en-US"/>
              </w:rPr>
            </w:pPr>
            <w:r>
              <w:rPr>
                <w:snapToGrid w:val="0"/>
                <w:lang w:eastAsia="en-US"/>
              </w:rPr>
              <w:t>Population</w:t>
            </w:r>
          </w:p>
        </w:tc>
        <w:tc>
          <w:tcPr>
            <w:tcW w:w="1651" w:type="pct"/>
            <w:shd w:val="clear" w:color="auto" w:fill="auto"/>
          </w:tcPr>
          <w:p w14:paraId="4CFAA9DC" w14:textId="614A954B" w:rsidR="003F36FF" w:rsidRDefault="003F36FF" w:rsidP="004C79C1">
            <w:pPr>
              <w:pStyle w:val="TableHeading"/>
              <w:spacing w:before="0" w:after="120"/>
              <w:ind w:left="0" w:firstLine="0"/>
              <w:rPr>
                <w:snapToGrid w:val="0"/>
                <w:lang w:eastAsia="en-US"/>
              </w:rPr>
            </w:pPr>
            <w:r>
              <w:rPr>
                <w:snapToGrid w:val="0"/>
                <w:lang w:eastAsia="en-US"/>
              </w:rPr>
              <w:t>Pre-CMR diagnosis</w:t>
            </w:r>
            <w:r w:rsidR="00C82D32">
              <w:rPr>
                <w:snapToGrid w:val="0"/>
                <w:lang w:eastAsia="en-US"/>
              </w:rPr>
              <w:t xml:space="preserve"> </w:t>
            </w:r>
          </w:p>
          <w:p w14:paraId="47532DEB" w14:textId="77777777" w:rsidR="003F36FF" w:rsidRPr="00183E4D" w:rsidRDefault="003F36FF" w:rsidP="004C79C1">
            <w:pPr>
              <w:pStyle w:val="TableHeading"/>
              <w:spacing w:before="0" w:after="120"/>
              <w:ind w:left="0" w:firstLine="0"/>
              <w:rPr>
                <w:snapToGrid w:val="0"/>
                <w:lang w:eastAsia="en-US"/>
              </w:rPr>
            </w:pPr>
            <w:r>
              <w:rPr>
                <w:snapToGrid w:val="0"/>
                <w:lang w:eastAsia="en-US"/>
              </w:rPr>
              <w:t>N</w:t>
            </w:r>
          </w:p>
        </w:tc>
        <w:tc>
          <w:tcPr>
            <w:tcW w:w="1780" w:type="pct"/>
          </w:tcPr>
          <w:p w14:paraId="5D1577C5" w14:textId="2CDB56FF" w:rsidR="003F36FF" w:rsidRDefault="003F36FF" w:rsidP="004C79C1">
            <w:pPr>
              <w:pStyle w:val="TableHeading"/>
              <w:spacing w:before="0" w:after="120"/>
              <w:ind w:left="0" w:firstLine="0"/>
              <w:rPr>
                <w:snapToGrid w:val="0"/>
                <w:lang w:eastAsia="en-US"/>
              </w:rPr>
            </w:pPr>
            <w:r>
              <w:rPr>
                <w:snapToGrid w:val="0"/>
                <w:lang w:eastAsia="en-US"/>
              </w:rPr>
              <w:t>Post-CMR diagnosis</w:t>
            </w:r>
            <w:r w:rsidR="00C82D32">
              <w:rPr>
                <w:snapToGrid w:val="0"/>
                <w:lang w:eastAsia="en-US"/>
              </w:rPr>
              <w:t xml:space="preserve"> </w:t>
            </w:r>
          </w:p>
          <w:p w14:paraId="1BA0B3E2" w14:textId="77777777" w:rsidR="003F36FF" w:rsidRDefault="003F36FF" w:rsidP="004C79C1">
            <w:pPr>
              <w:pStyle w:val="TableHeading"/>
              <w:spacing w:before="0" w:after="120"/>
              <w:ind w:left="0" w:firstLine="0"/>
              <w:rPr>
                <w:snapToGrid w:val="0"/>
                <w:lang w:eastAsia="en-US"/>
              </w:rPr>
            </w:pPr>
            <w:r>
              <w:rPr>
                <w:snapToGrid w:val="0"/>
                <w:lang w:eastAsia="en-US"/>
              </w:rPr>
              <w:t>N</w:t>
            </w:r>
          </w:p>
        </w:tc>
      </w:tr>
      <w:tr w:rsidR="003F36FF" w:rsidRPr="00976FCD" w14:paraId="3AB2AB1F" w14:textId="77777777" w:rsidTr="006F46F9">
        <w:tc>
          <w:tcPr>
            <w:tcW w:w="1569" w:type="pct"/>
            <w:tcBorders>
              <w:bottom w:val="single" w:sz="4" w:space="0" w:color="FFFFFF" w:themeColor="background1"/>
            </w:tcBorders>
          </w:tcPr>
          <w:p w14:paraId="4A09335B" w14:textId="5E119527" w:rsidR="003F36FF" w:rsidRDefault="003F36FF" w:rsidP="004C79C1">
            <w:pPr>
              <w:pStyle w:val="TableText0"/>
              <w:spacing w:before="0" w:after="120"/>
              <w:rPr>
                <w:snapToGrid w:val="0"/>
              </w:rPr>
            </w:pPr>
            <w:r>
              <w:rPr>
                <w:snapToGrid w:val="0"/>
              </w:rPr>
              <w:fldChar w:fldCharType="begin"/>
            </w:r>
            <w:r w:rsidR="00187A29">
              <w:rPr>
                <w:snapToGrid w:val="0"/>
              </w:rPr>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rPr>
                <w:snapToGrid w:val="0"/>
              </w:rPr>
              <w:fldChar w:fldCharType="separate"/>
            </w:r>
            <w:hyperlink w:anchor="_ENREF_1" w:tooltip="Abassi SA, 2013 #106" w:history="1">
              <w:r w:rsidR="00B906E9">
                <w:rPr>
                  <w:noProof/>
                  <w:snapToGrid w:val="0"/>
                </w:rPr>
                <w:t xml:space="preserve">Abassi et al. </w:t>
              </w:r>
              <w:r w:rsidR="00243EB2">
                <w:rPr>
                  <w:noProof/>
                  <w:snapToGrid w:val="0"/>
                </w:rPr>
                <w:t>(</w:t>
              </w:r>
              <w:r w:rsidR="00B906E9">
                <w:rPr>
                  <w:noProof/>
                  <w:snapToGrid w:val="0"/>
                </w:rPr>
                <w:t>2013</w:t>
              </w:r>
            </w:hyperlink>
            <w:r>
              <w:rPr>
                <w:noProof/>
                <w:snapToGrid w:val="0"/>
              </w:rPr>
              <w:t>)</w:t>
            </w:r>
            <w:r>
              <w:rPr>
                <w:snapToGrid w:val="0"/>
              </w:rPr>
              <w:fldChar w:fldCharType="end"/>
            </w:r>
          </w:p>
          <w:p w14:paraId="5E0404A5" w14:textId="6393DD92" w:rsidR="003F36FF" w:rsidRDefault="003F36FF" w:rsidP="004C79C1">
            <w:pPr>
              <w:pStyle w:val="TableText0"/>
              <w:spacing w:before="0" w:after="120"/>
              <w:rPr>
                <w:snapToGrid w:val="0"/>
              </w:rPr>
            </w:pPr>
            <w:r>
              <w:rPr>
                <w:snapToGrid w:val="0"/>
              </w:rPr>
              <w:t>H</w:t>
            </w:r>
            <w:r w:rsidR="00243EB2">
              <w:rPr>
                <w:snapToGrid w:val="0"/>
              </w:rPr>
              <w:t>F</w:t>
            </w:r>
            <w:r>
              <w:rPr>
                <w:snapToGrid w:val="0"/>
              </w:rPr>
              <w:t xml:space="preserve"> patients with LVEF ≤50%, indicated for CM of unknown aetiology</w:t>
            </w:r>
          </w:p>
        </w:tc>
        <w:tc>
          <w:tcPr>
            <w:tcW w:w="1651" w:type="pct"/>
            <w:shd w:val="clear" w:color="auto" w:fill="auto"/>
          </w:tcPr>
          <w:p w14:paraId="5B331EEF" w14:textId="77777777" w:rsidR="003F36FF" w:rsidRDefault="003F36FF" w:rsidP="004C79C1">
            <w:pPr>
              <w:pStyle w:val="TableText0"/>
              <w:tabs>
                <w:tab w:val="left" w:pos="2240"/>
              </w:tabs>
              <w:spacing w:before="0" w:after="120"/>
              <w:rPr>
                <w:snapToGrid w:val="0"/>
              </w:rPr>
            </w:pPr>
            <w:r>
              <w:rPr>
                <w:snapToGrid w:val="0"/>
              </w:rPr>
              <w:t>Non-ischaemic CM</w:t>
            </w:r>
            <w:r>
              <w:rPr>
                <w:snapToGrid w:val="0"/>
              </w:rPr>
              <w:tab/>
              <w:t>NR</w:t>
            </w:r>
          </w:p>
          <w:p w14:paraId="53368D5E" w14:textId="77777777" w:rsidR="003F36FF" w:rsidRDefault="003F36FF" w:rsidP="004C79C1">
            <w:pPr>
              <w:pStyle w:val="TableText0"/>
              <w:tabs>
                <w:tab w:val="left" w:pos="2240"/>
              </w:tabs>
              <w:spacing w:before="0" w:after="120"/>
              <w:rPr>
                <w:snapToGrid w:val="0"/>
              </w:rPr>
            </w:pPr>
          </w:p>
        </w:tc>
        <w:tc>
          <w:tcPr>
            <w:tcW w:w="1780" w:type="pct"/>
          </w:tcPr>
          <w:p w14:paraId="6EDA211E" w14:textId="77777777" w:rsidR="003F36FF" w:rsidRDefault="003F36FF" w:rsidP="004C79C1">
            <w:pPr>
              <w:pStyle w:val="TableText0"/>
              <w:tabs>
                <w:tab w:val="left" w:pos="2241"/>
              </w:tabs>
              <w:spacing w:before="0" w:after="120"/>
              <w:rPr>
                <w:snapToGrid w:val="0"/>
              </w:rPr>
            </w:pPr>
            <w:r>
              <w:rPr>
                <w:snapToGrid w:val="0"/>
              </w:rPr>
              <w:t>Myocarditis</w:t>
            </w:r>
            <w:r>
              <w:rPr>
                <w:snapToGrid w:val="0"/>
              </w:rPr>
              <w:tab/>
              <w:t>4</w:t>
            </w:r>
          </w:p>
          <w:p w14:paraId="41357129" w14:textId="77777777" w:rsidR="003F36FF" w:rsidRDefault="003F36FF" w:rsidP="004C79C1">
            <w:pPr>
              <w:pStyle w:val="TableText0"/>
              <w:tabs>
                <w:tab w:val="left" w:pos="2241"/>
              </w:tabs>
              <w:spacing w:before="0" w:after="120"/>
              <w:rPr>
                <w:snapToGrid w:val="0"/>
              </w:rPr>
            </w:pPr>
            <w:r>
              <w:rPr>
                <w:snapToGrid w:val="0"/>
              </w:rPr>
              <w:t>Constriction</w:t>
            </w:r>
            <w:r>
              <w:rPr>
                <w:snapToGrid w:val="0"/>
              </w:rPr>
              <w:tab/>
              <w:t>2</w:t>
            </w:r>
          </w:p>
          <w:p w14:paraId="3A431613" w14:textId="77777777" w:rsidR="003F36FF" w:rsidRDefault="003F36FF" w:rsidP="004C79C1">
            <w:pPr>
              <w:pStyle w:val="TableText0"/>
              <w:tabs>
                <w:tab w:val="left" w:pos="2241"/>
              </w:tabs>
              <w:spacing w:before="0" w:after="120"/>
              <w:rPr>
                <w:snapToGrid w:val="0"/>
              </w:rPr>
            </w:pPr>
            <w:r>
              <w:rPr>
                <w:snapToGrid w:val="0"/>
              </w:rPr>
              <w:t>Hypertrophic CM</w:t>
            </w:r>
            <w:r>
              <w:rPr>
                <w:snapToGrid w:val="0"/>
              </w:rPr>
              <w:tab/>
              <w:t>1</w:t>
            </w:r>
          </w:p>
        </w:tc>
      </w:tr>
      <w:tr w:rsidR="003F36FF" w:rsidRPr="00976FCD" w14:paraId="7F2F6EE4" w14:textId="77777777" w:rsidTr="006F46F9">
        <w:tc>
          <w:tcPr>
            <w:tcW w:w="1569" w:type="pct"/>
            <w:tcBorders>
              <w:top w:val="single" w:sz="4" w:space="0" w:color="FFFFFF" w:themeColor="background1"/>
              <w:bottom w:val="nil"/>
            </w:tcBorders>
          </w:tcPr>
          <w:p w14:paraId="735BA464" w14:textId="5CF40607" w:rsidR="003F36FF" w:rsidRDefault="00C82D32" w:rsidP="004C79C1">
            <w:pPr>
              <w:pStyle w:val="TableText0"/>
              <w:spacing w:before="0" w:after="120"/>
              <w:rPr>
                <w:snapToGrid w:val="0"/>
              </w:rPr>
            </w:pPr>
            <w:r>
              <w:rPr>
                <w:snapToGrid w:val="0"/>
              </w:rPr>
              <w:t>N=</w:t>
            </w:r>
            <w:r w:rsidR="003F36FF">
              <w:rPr>
                <w:snapToGrid w:val="0"/>
              </w:rPr>
              <w:t>150</w:t>
            </w:r>
          </w:p>
        </w:tc>
        <w:tc>
          <w:tcPr>
            <w:tcW w:w="1651" w:type="pct"/>
            <w:shd w:val="clear" w:color="auto" w:fill="auto"/>
          </w:tcPr>
          <w:p w14:paraId="32FDA041" w14:textId="1DC0005D" w:rsidR="003F36FF" w:rsidRDefault="00D9473E" w:rsidP="004C79C1">
            <w:pPr>
              <w:pStyle w:val="TableText0"/>
              <w:tabs>
                <w:tab w:val="left" w:pos="2240"/>
              </w:tabs>
              <w:spacing w:before="0" w:after="120"/>
              <w:rPr>
                <w:snapToGrid w:val="0"/>
              </w:rPr>
            </w:pPr>
            <w:r>
              <w:rPr>
                <w:snapToGrid w:val="0"/>
              </w:rPr>
              <w:t xml:space="preserve">CM </w:t>
            </w:r>
            <w:r w:rsidR="003F36FF">
              <w:rPr>
                <w:snapToGrid w:val="0"/>
              </w:rPr>
              <w:t>of unknown aetiology</w:t>
            </w:r>
            <w:r w:rsidR="003F36FF">
              <w:rPr>
                <w:snapToGrid w:val="0"/>
              </w:rPr>
              <w:tab/>
              <w:t>89</w:t>
            </w:r>
          </w:p>
        </w:tc>
        <w:tc>
          <w:tcPr>
            <w:tcW w:w="1780" w:type="pct"/>
          </w:tcPr>
          <w:p w14:paraId="46F9B2E2" w14:textId="77777777" w:rsidR="003F36FF" w:rsidRDefault="003F36FF" w:rsidP="004C79C1">
            <w:pPr>
              <w:pStyle w:val="TableText0"/>
              <w:tabs>
                <w:tab w:val="left" w:pos="2241"/>
              </w:tabs>
              <w:spacing w:before="0" w:after="120"/>
              <w:rPr>
                <w:snapToGrid w:val="0"/>
              </w:rPr>
            </w:pPr>
            <w:r>
              <w:rPr>
                <w:snapToGrid w:val="0"/>
              </w:rPr>
              <w:t>Non-ischaemic CM</w:t>
            </w:r>
            <w:r>
              <w:rPr>
                <w:snapToGrid w:val="0"/>
              </w:rPr>
              <w:tab/>
              <w:t>11</w:t>
            </w:r>
          </w:p>
          <w:p w14:paraId="745056B3" w14:textId="77777777" w:rsidR="003F36FF" w:rsidRDefault="003F36FF" w:rsidP="004C79C1">
            <w:pPr>
              <w:pStyle w:val="TableText0"/>
              <w:tabs>
                <w:tab w:val="left" w:pos="2241"/>
              </w:tabs>
              <w:spacing w:before="0" w:after="120"/>
              <w:rPr>
                <w:snapToGrid w:val="0"/>
              </w:rPr>
            </w:pPr>
            <w:r>
              <w:rPr>
                <w:snapToGrid w:val="0"/>
              </w:rPr>
              <w:t>Ischaemic CM</w:t>
            </w:r>
            <w:r>
              <w:rPr>
                <w:snapToGrid w:val="0"/>
              </w:rPr>
              <w:tab/>
              <w:t>7</w:t>
            </w:r>
          </w:p>
          <w:p w14:paraId="491AFF9F" w14:textId="77777777" w:rsidR="003F36FF" w:rsidRDefault="003F36FF" w:rsidP="004C79C1">
            <w:pPr>
              <w:pStyle w:val="TableText0"/>
              <w:tabs>
                <w:tab w:val="left" w:pos="2241"/>
              </w:tabs>
              <w:spacing w:before="0" w:after="120"/>
              <w:rPr>
                <w:snapToGrid w:val="0"/>
              </w:rPr>
            </w:pPr>
            <w:r>
              <w:rPr>
                <w:snapToGrid w:val="0"/>
              </w:rPr>
              <w:t>Muscular-dystrophy CM</w:t>
            </w:r>
            <w:r>
              <w:rPr>
                <w:snapToGrid w:val="0"/>
              </w:rPr>
              <w:tab/>
              <w:t>4</w:t>
            </w:r>
          </w:p>
          <w:p w14:paraId="2BCD5480" w14:textId="77777777" w:rsidR="003F36FF" w:rsidRDefault="003F36FF" w:rsidP="004C79C1">
            <w:pPr>
              <w:pStyle w:val="TableText0"/>
              <w:tabs>
                <w:tab w:val="left" w:pos="2241"/>
              </w:tabs>
              <w:spacing w:before="0" w:after="120"/>
              <w:rPr>
                <w:snapToGrid w:val="0"/>
              </w:rPr>
            </w:pPr>
            <w:r>
              <w:rPr>
                <w:snapToGrid w:val="0"/>
              </w:rPr>
              <w:t>LV non-compaction</w:t>
            </w:r>
            <w:r>
              <w:rPr>
                <w:snapToGrid w:val="0"/>
              </w:rPr>
              <w:tab/>
              <w:t>2</w:t>
            </w:r>
          </w:p>
        </w:tc>
      </w:tr>
      <w:tr w:rsidR="003F36FF" w:rsidRPr="00976FCD" w:rsidDel="00D86DE4" w14:paraId="3758AC9A" w14:textId="77777777" w:rsidTr="006F46F9">
        <w:tc>
          <w:tcPr>
            <w:tcW w:w="1569" w:type="pct"/>
            <w:tcBorders>
              <w:top w:val="nil"/>
            </w:tcBorders>
          </w:tcPr>
          <w:p w14:paraId="59BE0A1A" w14:textId="77777777" w:rsidR="003F36FF" w:rsidDel="00D86DE4" w:rsidRDefault="003F36FF" w:rsidP="004C79C1">
            <w:pPr>
              <w:pStyle w:val="TableText0"/>
              <w:spacing w:before="0" w:after="120"/>
              <w:rPr>
                <w:snapToGrid w:val="0"/>
              </w:rPr>
            </w:pPr>
          </w:p>
        </w:tc>
        <w:tc>
          <w:tcPr>
            <w:tcW w:w="1651" w:type="pct"/>
            <w:shd w:val="clear" w:color="auto" w:fill="auto"/>
          </w:tcPr>
          <w:p w14:paraId="6A966939" w14:textId="77777777" w:rsidR="003F36FF" w:rsidDel="00D86DE4" w:rsidRDefault="003F36FF" w:rsidP="004C79C1">
            <w:pPr>
              <w:pStyle w:val="TableText0"/>
              <w:tabs>
                <w:tab w:val="left" w:pos="2240"/>
              </w:tabs>
              <w:spacing w:before="0" w:after="120"/>
              <w:rPr>
                <w:snapToGrid w:val="0"/>
              </w:rPr>
            </w:pPr>
            <w:r>
              <w:rPr>
                <w:snapToGrid w:val="0"/>
              </w:rPr>
              <w:t>Peripartum CM</w:t>
            </w:r>
            <w:r>
              <w:rPr>
                <w:snapToGrid w:val="0"/>
              </w:rPr>
              <w:tab/>
              <w:t>1</w:t>
            </w:r>
          </w:p>
        </w:tc>
        <w:tc>
          <w:tcPr>
            <w:tcW w:w="1780" w:type="pct"/>
          </w:tcPr>
          <w:p w14:paraId="274FB17C" w14:textId="77777777" w:rsidR="003F36FF" w:rsidDel="00D86DE4" w:rsidRDefault="003F36FF" w:rsidP="004C79C1">
            <w:pPr>
              <w:pStyle w:val="TableText0"/>
              <w:tabs>
                <w:tab w:val="left" w:pos="2241"/>
              </w:tabs>
              <w:spacing w:before="0" w:after="120"/>
              <w:rPr>
                <w:snapToGrid w:val="0"/>
              </w:rPr>
            </w:pPr>
            <w:r>
              <w:rPr>
                <w:snapToGrid w:val="0"/>
              </w:rPr>
              <w:t>Myocarditis</w:t>
            </w:r>
            <w:r>
              <w:rPr>
                <w:snapToGrid w:val="0"/>
              </w:rPr>
              <w:tab/>
              <w:t>1</w:t>
            </w:r>
          </w:p>
        </w:tc>
      </w:tr>
    </w:tbl>
    <w:p w14:paraId="0D294F13" w14:textId="3038DCC1" w:rsidR="00E34FEB" w:rsidRDefault="00E34FEB" w:rsidP="004C79C1">
      <w:pPr>
        <w:pStyle w:val="Tablenotes0"/>
        <w:spacing w:before="0" w:after="120"/>
      </w:pPr>
      <w:r w:rsidRPr="00732785">
        <w:t xml:space="preserve">Source: </w:t>
      </w:r>
      <w:r>
        <w:t>Abassi et al. (2013)</w:t>
      </w:r>
    </w:p>
    <w:p w14:paraId="3BC468BF" w14:textId="04CB3CD6" w:rsidR="00E04A19" w:rsidRDefault="00E04A19" w:rsidP="004C79C1">
      <w:pPr>
        <w:pStyle w:val="Tablenotes0"/>
        <w:spacing w:before="0" w:after="120"/>
      </w:pPr>
      <w:proofErr w:type="gramStart"/>
      <w:r w:rsidRPr="00D90AB4">
        <w:rPr>
          <w:vertAlign w:val="superscript"/>
        </w:rPr>
        <w:t>a</w:t>
      </w:r>
      <w:proofErr w:type="gramEnd"/>
      <w:r>
        <w:rPr>
          <w:vertAlign w:val="superscript"/>
        </w:rPr>
        <w:t xml:space="preserve"> </w:t>
      </w:r>
      <w:r>
        <w:t>88 p</w:t>
      </w:r>
      <w:r w:rsidRPr="00C05D6B">
        <w:t>atients</w:t>
      </w:r>
      <w:r>
        <w:t xml:space="preserve"> underwent CMR, 81 of whom also underwent LGE.</w:t>
      </w:r>
    </w:p>
    <w:p w14:paraId="78F339BB" w14:textId="69DA9FAA" w:rsidR="00E04A19" w:rsidRDefault="00E04A19" w:rsidP="004C79C1">
      <w:pPr>
        <w:pStyle w:val="Tablenotes0"/>
        <w:spacing w:before="0" w:after="120"/>
      </w:pPr>
      <w:proofErr w:type="gramStart"/>
      <w:r>
        <w:rPr>
          <w:vertAlign w:val="superscript"/>
        </w:rPr>
        <w:t>b</w:t>
      </w:r>
      <w:proofErr w:type="gramEnd"/>
      <w:r>
        <w:rPr>
          <w:vertAlign w:val="superscript"/>
        </w:rPr>
        <w:t xml:space="preserve"> </w:t>
      </w:r>
      <w:r w:rsidRPr="00D90AB4">
        <w:t>The</w:t>
      </w:r>
      <w:r>
        <w:rPr>
          <w:vertAlign w:val="superscript"/>
        </w:rPr>
        <w:t xml:space="preserve"> </w:t>
      </w:r>
      <w:r>
        <w:t>two patients had LGE of 24.6% and 45.1% of LV volume. One patient was diagnosed with granulomatosis and one with sarcoidosis based on extracardiac and cardiac biopsy results.</w:t>
      </w:r>
    </w:p>
    <w:p w14:paraId="5FE25F84" w14:textId="50E4D037" w:rsidR="003F36FF" w:rsidRPr="00D90AB4" w:rsidRDefault="003F36FF" w:rsidP="004C79C1">
      <w:pPr>
        <w:pStyle w:val="Tablenotes0"/>
        <w:spacing w:before="0" w:after="120"/>
      </w:pPr>
      <w:r>
        <w:t>CM</w:t>
      </w:r>
      <w:r w:rsidR="00ED0326">
        <w:t xml:space="preserve"> </w:t>
      </w:r>
      <w:r>
        <w:t>=</w:t>
      </w:r>
      <w:r w:rsidR="00ED0326">
        <w:t xml:space="preserve"> </w:t>
      </w:r>
      <w:r>
        <w:t xml:space="preserve">cardiomyopathies; CMR </w:t>
      </w:r>
      <w:r w:rsidR="00ED0326">
        <w:t xml:space="preserve">= </w:t>
      </w:r>
      <w:r>
        <w:t xml:space="preserve">cardiac magnetic resonance </w:t>
      </w:r>
      <w:r w:rsidR="00372D4E">
        <w:t>(</w:t>
      </w:r>
      <w:r>
        <w:t>imaging</w:t>
      </w:r>
      <w:r w:rsidR="00372D4E">
        <w:t>)</w:t>
      </w:r>
      <w:r>
        <w:t xml:space="preserve">; </w:t>
      </w:r>
      <w:r w:rsidR="00243EB2">
        <w:t xml:space="preserve">HF = heart failure; </w:t>
      </w:r>
      <w:r>
        <w:t>LGE</w:t>
      </w:r>
      <w:r w:rsidR="00ED0326">
        <w:t xml:space="preserve"> </w:t>
      </w:r>
      <w:r>
        <w:t>=</w:t>
      </w:r>
      <w:r w:rsidR="00ED0326">
        <w:t xml:space="preserve"> </w:t>
      </w:r>
      <w:r>
        <w:t xml:space="preserve">late gadolinium </w:t>
      </w:r>
      <w:r>
        <w:lastRenderedPageBreak/>
        <w:t xml:space="preserve">enhancement; </w:t>
      </w:r>
      <w:r w:rsidR="00DB7DE8">
        <w:t xml:space="preserve">LV = left ventricular; </w:t>
      </w:r>
      <w:r>
        <w:t>LVEF</w:t>
      </w:r>
      <w:r w:rsidR="00ED0326">
        <w:t xml:space="preserve"> </w:t>
      </w:r>
      <w:r>
        <w:t>=</w:t>
      </w:r>
      <w:r w:rsidR="00ED0326">
        <w:t xml:space="preserve"> </w:t>
      </w:r>
      <w:r>
        <w:t>left ventricular ejection fraction; N</w:t>
      </w:r>
      <w:r w:rsidR="00ED0326">
        <w:t xml:space="preserve"> </w:t>
      </w:r>
      <w:r>
        <w:t>=</w:t>
      </w:r>
      <w:r w:rsidR="00ED0326">
        <w:t xml:space="preserve"> </w:t>
      </w:r>
      <w:r>
        <w:t>number; NR</w:t>
      </w:r>
      <w:r w:rsidR="00ED0326">
        <w:t xml:space="preserve"> </w:t>
      </w:r>
      <w:r>
        <w:t>=</w:t>
      </w:r>
      <w:r w:rsidR="00ED0326">
        <w:t xml:space="preserve"> </w:t>
      </w:r>
      <w:r>
        <w:t>not reported</w:t>
      </w:r>
    </w:p>
    <w:p w14:paraId="66B387A8" w14:textId="77777777" w:rsidR="00A97EC6" w:rsidRDefault="00A97EC6" w:rsidP="004C79C1">
      <w:pPr>
        <w:pStyle w:val="Tablenotes0"/>
        <w:spacing w:before="0" w:after="120"/>
      </w:pPr>
    </w:p>
    <w:p w14:paraId="6863E78F" w14:textId="577A3AD2" w:rsidR="003F36FF" w:rsidRDefault="003F36FF" w:rsidP="004C79C1">
      <w:pPr>
        <w:spacing w:after="120" w:line="240" w:lineRule="auto"/>
        <w:jc w:val="both"/>
      </w:pPr>
      <w:r>
        <w:t xml:space="preserve">Considered together, the results from </w:t>
      </w:r>
      <w:r w:rsidR="00E86508">
        <w:t xml:space="preserve">these </w:t>
      </w:r>
      <w:r w:rsidR="00DB7DE8">
        <w:t xml:space="preserve">2 </w:t>
      </w:r>
      <w:r>
        <w:t>studies reporting on new or changed diagnoses indicate that further clarity may be achieved through the use of CMR</w:t>
      </w:r>
      <w:r w:rsidR="00DB7DE8">
        <w:t>;</w:t>
      </w:r>
      <w:r>
        <w:t xml:space="preserve"> however</w:t>
      </w:r>
      <w:r w:rsidR="00DB7DE8">
        <w:t>,</w:t>
      </w:r>
      <w:r>
        <w:t xml:space="preserve"> the numbers are small and there are no comparative data against the main comparators (CTCA or SPECT), and therefore </w:t>
      </w:r>
      <w:r w:rsidR="00763D29">
        <w:t>there is no</w:t>
      </w:r>
      <w:r>
        <w:t xml:space="preserve"> strong evidence. Overall</w:t>
      </w:r>
      <w:r w:rsidR="00B35541">
        <w:t>,</w:t>
      </w:r>
      <w:r>
        <w:t xml:space="preserve"> the evidence for </w:t>
      </w:r>
      <w:r w:rsidR="00E86508">
        <w:t>n</w:t>
      </w:r>
      <w:r>
        <w:t>ew and changed diagnoses w</w:t>
      </w:r>
      <w:r w:rsidR="00B35541">
        <w:t>as</w:t>
      </w:r>
      <w:r>
        <w:t xml:space="preserve"> assessed as being </w:t>
      </w:r>
      <w:r w:rsidR="00E86508">
        <w:t>low</w:t>
      </w:r>
      <w:r>
        <w:t xml:space="preserve"> quality using the GRADE system (</w:t>
      </w:r>
      <w:r w:rsidRPr="002066F7">
        <w:rPr>
          <w:rFonts w:ascii="Cambria Math" w:hAnsi="Cambria Math" w:cs="Cambria Math"/>
          <w:color w:val="00B050"/>
          <w:sz w:val="20"/>
          <w:szCs w:val="20"/>
        </w:rPr>
        <w:t>⊕⊕</w:t>
      </w:r>
      <w:r w:rsidRPr="002066F7">
        <w:rPr>
          <w:rFonts w:ascii="Cambria Math" w:hAnsi="Cambria Math" w:cs="Cambria Math"/>
          <w:color w:val="C00000"/>
        </w:rPr>
        <w:t>⨀⨀</w:t>
      </w:r>
      <w:r w:rsidRPr="00991529">
        <w:t>)</w:t>
      </w:r>
      <w:r>
        <w:t>.</w:t>
      </w:r>
    </w:p>
    <w:p w14:paraId="1F663293" w14:textId="77777777" w:rsidR="003F36FF" w:rsidRDefault="003F36FF" w:rsidP="00161B88">
      <w:pPr>
        <w:pStyle w:val="Heading4"/>
      </w:pPr>
      <w:r>
        <w:t>Impact on further diagnostic tests</w:t>
      </w:r>
    </w:p>
    <w:p w14:paraId="2EAEE33B" w14:textId="0F60C7F4" w:rsidR="003F36FF" w:rsidRDefault="003F36FF" w:rsidP="004C79C1">
      <w:pPr>
        <w:spacing w:after="120" w:line="240" w:lineRule="auto"/>
        <w:jc w:val="both"/>
      </w:pPr>
      <w:r>
        <w:t>Bruder et al</w:t>
      </w:r>
      <w:r w:rsidR="001F4590">
        <w:t>.</w:t>
      </w:r>
      <w:r>
        <w:t xml:space="preserve"> (2009) reported that in the whole cohort analysed (including those suspected of ICM/CAD and those being assessed for viability), CMR provided sufficient information so that no further non-invasive imaging was required in 86</w:t>
      </w:r>
      <w:r w:rsidR="00763D29">
        <w:t>%</w:t>
      </w:r>
      <w:r>
        <w:t xml:space="preserve"> of patients. In 23.1</w:t>
      </w:r>
      <w:r w:rsidR="00763D29">
        <w:t>%</w:t>
      </w:r>
      <w:r>
        <w:t xml:space="preserve"> of patients, CMR was the first imaging procedure performed. Of these patients, CMR was considered to rule out the need for further imaging in 80.4</w:t>
      </w:r>
      <w:r w:rsidR="00763D29">
        <w:t>%</w:t>
      </w:r>
      <w:r>
        <w:t xml:space="preserve"> of cases. The generalisability of these data to the target population (those suspected of NIDCM) is unclear. For the subgroup of patients being referred for CMR due to </w:t>
      </w:r>
      <w:r w:rsidR="00563DBE">
        <w:t xml:space="preserve">CM </w:t>
      </w:r>
      <w:r>
        <w:t xml:space="preserve">or myocarditis, the results are provided </w:t>
      </w:r>
      <w:r w:rsidR="00563DBE">
        <w:t xml:space="preserve">in </w:t>
      </w:r>
      <w:r w:rsidR="00732785">
        <w:fldChar w:fldCharType="begin"/>
      </w:r>
      <w:r w:rsidR="00732785">
        <w:instrText xml:space="preserve"> REF _Ref451335900 \h </w:instrText>
      </w:r>
      <w:r w:rsidR="00732785">
        <w:fldChar w:fldCharType="separate"/>
      </w:r>
      <w:r w:rsidR="00732785">
        <w:t xml:space="preserve">Table </w:t>
      </w:r>
      <w:r w:rsidR="00732785">
        <w:rPr>
          <w:noProof/>
        </w:rPr>
        <w:t>23</w:t>
      </w:r>
      <w:r w:rsidR="00732785">
        <w:fldChar w:fldCharType="end"/>
      </w:r>
      <w:r w:rsidR="00563DBE">
        <w:t>.</w:t>
      </w:r>
      <w:r>
        <w:t xml:space="preserve"> This outcome, taken from </w:t>
      </w:r>
      <w:r w:rsidR="00297E96">
        <w:t xml:space="preserve">1 </w:t>
      </w:r>
      <w:r>
        <w:t xml:space="preserve">case series, was assessed as very low quality (GRADE </w:t>
      </w:r>
      <w:r w:rsidRPr="002066F7">
        <w:rPr>
          <w:rFonts w:ascii="Cambria Math" w:hAnsi="Cambria Math" w:cs="Cambria Math"/>
          <w:color w:val="00B050"/>
        </w:rPr>
        <w:t>⨁</w:t>
      </w:r>
      <w:r w:rsidRPr="002066F7">
        <w:rPr>
          <w:rFonts w:ascii="Cambria Math" w:hAnsi="Cambria Math" w:cs="Cambria Math"/>
          <w:color w:val="C00000"/>
        </w:rPr>
        <w:t>⨀⨀⨀</w:t>
      </w:r>
      <w:r w:rsidRPr="00D515BB">
        <w:t>)</w:t>
      </w:r>
      <w:r>
        <w:t>.</w:t>
      </w:r>
    </w:p>
    <w:p w14:paraId="06502042" w14:textId="77777777" w:rsidR="003F36FF" w:rsidRDefault="003F36FF" w:rsidP="004C79C1">
      <w:pPr>
        <w:spacing w:after="120" w:line="240" w:lineRule="auto"/>
      </w:pPr>
    </w:p>
    <w:p w14:paraId="4AF244F0" w14:textId="75A91600" w:rsidR="003F36FF" w:rsidRDefault="006F0C4E" w:rsidP="004C79C1">
      <w:pPr>
        <w:pStyle w:val="Caption"/>
      </w:pPr>
      <w:bookmarkStart w:id="411" w:name="_Ref451335900"/>
      <w:bookmarkStart w:id="412" w:name="_Toc324410176"/>
      <w:bookmarkStart w:id="413" w:name="_Toc451435350"/>
      <w:r>
        <w:t xml:space="preserve">Table </w:t>
      </w:r>
      <w:fldSimple w:instr=" SEQ Table \* ARABIC ">
        <w:r w:rsidR="00050936">
          <w:rPr>
            <w:noProof/>
          </w:rPr>
          <w:t>23</w:t>
        </w:r>
      </w:fldSimple>
      <w:bookmarkEnd w:id="411"/>
      <w:r w:rsidR="008301DB">
        <w:tab/>
      </w:r>
      <w:r w:rsidR="003F36FF">
        <w:t>Patients indicated for myocarditis or CM with therapeutic consequences following CMR</w:t>
      </w:r>
      <w:bookmarkEnd w:id="412"/>
      <w:bookmarkEnd w:id="413"/>
      <w:r w:rsidR="003F36F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management"/>
      </w:tblPr>
      <w:tblGrid>
        <w:gridCol w:w="4625"/>
        <w:gridCol w:w="4457"/>
      </w:tblGrid>
      <w:tr w:rsidR="003F36FF" w:rsidRPr="00183E4D" w14:paraId="7E7F555C" w14:textId="77777777" w:rsidTr="006F46F9">
        <w:tc>
          <w:tcPr>
            <w:tcW w:w="2546" w:type="pct"/>
          </w:tcPr>
          <w:p w14:paraId="4B4B9789" w14:textId="77777777" w:rsidR="003F36FF" w:rsidRDefault="003F36FF" w:rsidP="004C79C1">
            <w:pPr>
              <w:pStyle w:val="TableHeading"/>
              <w:spacing w:before="0" w:after="120"/>
              <w:rPr>
                <w:snapToGrid w:val="0"/>
                <w:lang w:eastAsia="en-US"/>
              </w:rPr>
            </w:pPr>
            <w:r>
              <w:rPr>
                <w:snapToGrid w:val="0"/>
                <w:lang w:eastAsia="en-US"/>
              </w:rPr>
              <w:t xml:space="preserve">Management </w:t>
            </w:r>
          </w:p>
        </w:tc>
        <w:tc>
          <w:tcPr>
            <w:tcW w:w="2454" w:type="pct"/>
          </w:tcPr>
          <w:p w14:paraId="2E012F46" w14:textId="77777777" w:rsidR="003F36FF" w:rsidRDefault="003F36FF" w:rsidP="004C79C1">
            <w:pPr>
              <w:pStyle w:val="TableHeading"/>
              <w:spacing w:before="0" w:after="120"/>
              <w:jc w:val="center"/>
              <w:rPr>
                <w:snapToGrid w:val="0"/>
                <w:lang w:eastAsia="en-US"/>
              </w:rPr>
            </w:pPr>
            <w:r>
              <w:rPr>
                <w:snapToGrid w:val="0"/>
                <w:lang w:eastAsia="en-US"/>
              </w:rPr>
              <w:t>N (%)</w:t>
            </w:r>
          </w:p>
        </w:tc>
      </w:tr>
      <w:tr w:rsidR="003F36FF" w:rsidRPr="00976FCD" w14:paraId="1466AE53" w14:textId="77777777" w:rsidTr="006F46F9">
        <w:tc>
          <w:tcPr>
            <w:tcW w:w="2546" w:type="pct"/>
          </w:tcPr>
          <w:p w14:paraId="75FAAED1" w14:textId="77777777" w:rsidR="003F36FF" w:rsidRDefault="003F36FF" w:rsidP="004C79C1">
            <w:pPr>
              <w:pStyle w:val="TableText0"/>
              <w:spacing w:before="0" w:after="120"/>
              <w:rPr>
                <w:snapToGrid w:val="0"/>
              </w:rPr>
            </w:pPr>
            <w:r>
              <w:rPr>
                <w:snapToGrid w:val="0"/>
              </w:rPr>
              <w:t>Invasive angiography or biopsy</w:t>
            </w:r>
          </w:p>
        </w:tc>
        <w:tc>
          <w:tcPr>
            <w:tcW w:w="2454" w:type="pct"/>
          </w:tcPr>
          <w:p w14:paraId="2D1186A2" w14:textId="77777777" w:rsidR="003F36FF" w:rsidRDefault="003F36FF" w:rsidP="004C79C1">
            <w:pPr>
              <w:pStyle w:val="TableText0"/>
              <w:spacing w:before="0" w:after="120"/>
              <w:jc w:val="center"/>
              <w:rPr>
                <w:snapToGrid w:val="0"/>
              </w:rPr>
            </w:pPr>
            <w:r>
              <w:rPr>
                <w:snapToGrid w:val="0"/>
              </w:rPr>
              <w:t>221 (6.3)</w:t>
            </w:r>
          </w:p>
        </w:tc>
      </w:tr>
      <w:tr w:rsidR="003F36FF" w:rsidRPr="00976FCD" w14:paraId="7D36F7CE" w14:textId="77777777" w:rsidTr="006F46F9">
        <w:tc>
          <w:tcPr>
            <w:tcW w:w="2546" w:type="pct"/>
          </w:tcPr>
          <w:p w14:paraId="423A65D7" w14:textId="79347473" w:rsidR="003F36FF" w:rsidRDefault="003F36FF" w:rsidP="004C79C1">
            <w:pPr>
              <w:pStyle w:val="TableText0"/>
              <w:spacing w:before="0" w:after="120"/>
              <w:rPr>
                <w:snapToGrid w:val="0"/>
              </w:rPr>
            </w:pPr>
            <w:r>
              <w:rPr>
                <w:snapToGrid w:val="0"/>
              </w:rPr>
              <w:t>Non-invasive imaging ordered after CMR</w:t>
            </w:r>
            <w:r w:rsidR="00F45815">
              <w:rPr>
                <w:snapToGrid w:val="0"/>
              </w:rPr>
              <w:t>:</w:t>
            </w:r>
          </w:p>
          <w:p w14:paraId="5561D214" w14:textId="7D01CBBE" w:rsidR="003F36FF" w:rsidRDefault="003F36FF" w:rsidP="004C79C1">
            <w:pPr>
              <w:pStyle w:val="TableText0"/>
              <w:spacing w:before="0" w:after="120"/>
              <w:ind w:left="251"/>
              <w:rPr>
                <w:snapToGrid w:val="0"/>
              </w:rPr>
            </w:pPr>
            <w:r>
              <w:rPr>
                <w:snapToGrid w:val="0"/>
              </w:rPr>
              <w:t xml:space="preserve">Transthoracic </w:t>
            </w:r>
            <w:r w:rsidR="00F45815">
              <w:rPr>
                <w:snapToGrid w:val="0"/>
              </w:rPr>
              <w:t>E</w:t>
            </w:r>
            <w:r>
              <w:rPr>
                <w:snapToGrid w:val="0"/>
              </w:rPr>
              <w:t>cho</w:t>
            </w:r>
          </w:p>
          <w:p w14:paraId="24C53577" w14:textId="0D30742B" w:rsidR="003F36FF" w:rsidRDefault="003F36FF" w:rsidP="004C79C1">
            <w:pPr>
              <w:pStyle w:val="TableText0"/>
              <w:spacing w:before="0" w:after="120"/>
              <w:ind w:left="251"/>
              <w:rPr>
                <w:snapToGrid w:val="0"/>
              </w:rPr>
            </w:pPr>
            <w:r>
              <w:rPr>
                <w:snapToGrid w:val="0"/>
              </w:rPr>
              <w:t>Trans</w:t>
            </w:r>
            <w:r w:rsidR="00BE2DFF">
              <w:rPr>
                <w:snapToGrid w:val="0"/>
              </w:rPr>
              <w:t>o</w:t>
            </w:r>
            <w:r>
              <w:rPr>
                <w:snapToGrid w:val="0"/>
              </w:rPr>
              <w:t xml:space="preserve">esophageal </w:t>
            </w:r>
            <w:r w:rsidR="00F45815">
              <w:rPr>
                <w:snapToGrid w:val="0"/>
              </w:rPr>
              <w:t>E</w:t>
            </w:r>
            <w:r>
              <w:rPr>
                <w:snapToGrid w:val="0"/>
              </w:rPr>
              <w:t>cho</w:t>
            </w:r>
          </w:p>
          <w:p w14:paraId="3CA0D4CC" w14:textId="77777777" w:rsidR="003F36FF" w:rsidRDefault="003F36FF" w:rsidP="004C79C1">
            <w:pPr>
              <w:pStyle w:val="TableText0"/>
              <w:spacing w:before="0" w:after="120"/>
              <w:ind w:left="251"/>
              <w:rPr>
                <w:snapToGrid w:val="0"/>
              </w:rPr>
            </w:pPr>
            <w:r>
              <w:rPr>
                <w:snapToGrid w:val="0"/>
              </w:rPr>
              <w:t>Computed tomography</w:t>
            </w:r>
          </w:p>
        </w:tc>
        <w:tc>
          <w:tcPr>
            <w:tcW w:w="2454" w:type="pct"/>
          </w:tcPr>
          <w:p w14:paraId="0110634A" w14:textId="77777777" w:rsidR="003F36FF" w:rsidRDefault="003F36FF" w:rsidP="004C79C1">
            <w:pPr>
              <w:pStyle w:val="TableText0"/>
              <w:spacing w:before="0" w:after="120"/>
              <w:jc w:val="center"/>
              <w:rPr>
                <w:snapToGrid w:val="0"/>
              </w:rPr>
            </w:pPr>
          </w:p>
          <w:p w14:paraId="6CBDC4CE" w14:textId="77777777" w:rsidR="003F36FF" w:rsidRDefault="003F36FF" w:rsidP="004C79C1">
            <w:pPr>
              <w:pStyle w:val="TableText0"/>
              <w:spacing w:before="0" w:after="120"/>
              <w:jc w:val="center"/>
              <w:rPr>
                <w:snapToGrid w:val="0"/>
              </w:rPr>
            </w:pPr>
            <w:r>
              <w:rPr>
                <w:snapToGrid w:val="0"/>
              </w:rPr>
              <w:t>593 (16.9)</w:t>
            </w:r>
          </w:p>
          <w:p w14:paraId="4733F225" w14:textId="77777777" w:rsidR="003F36FF" w:rsidRDefault="003F36FF" w:rsidP="004C79C1">
            <w:pPr>
              <w:pStyle w:val="TableText0"/>
              <w:spacing w:before="0" w:after="120"/>
              <w:jc w:val="center"/>
              <w:rPr>
                <w:snapToGrid w:val="0"/>
              </w:rPr>
            </w:pPr>
            <w:r>
              <w:rPr>
                <w:snapToGrid w:val="0"/>
              </w:rPr>
              <w:t>14 (0.4)</w:t>
            </w:r>
          </w:p>
          <w:p w14:paraId="2EDD5C9E" w14:textId="77777777" w:rsidR="003F36FF" w:rsidRDefault="003F36FF" w:rsidP="004C79C1">
            <w:pPr>
              <w:pStyle w:val="TableText0"/>
              <w:spacing w:before="0" w:after="120"/>
              <w:jc w:val="center"/>
              <w:rPr>
                <w:snapToGrid w:val="0"/>
              </w:rPr>
            </w:pPr>
            <w:r>
              <w:rPr>
                <w:snapToGrid w:val="0"/>
              </w:rPr>
              <w:t>21 (0.6)</w:t>
            </w:r>
          </w:p>
        </w:tc>
      </w:tr>
    </w:tbl>
    <w:p w14:paraId="4FCA17AF" w14:textId="35C064E8" w:rsidR="006927CE" w:rsidRPr="00732785" w:rsidRDefault="006927CE" w:rsidP="004C79C1">
      <w:pPr>
        <w:spacing w:after="120" w:line="240" w:lineRule="auto"/>
        <w:rPr>
          <w:rFonts w:ascii="Arial Narrow" w:hAnsi="Arial Narrow"/>
          <w:sz w:val="20"/>
          <w:szCs w:val="20"/>
        </w:rPr>
      </w:pPr>
      <w:r w:rsidRPr="006927CE">
        <w:rPr>
          <w:rFonts w:ascii="Arial Narrow" w:hAnsi="Arial Narrow"/>
          <w:sz w:val="20"/>
          <w:szCs w:val="20"/>
        </w:rPr>
        <w:t xml:space="preserve">Source: Bruder et al. </w:t>
      </w:r>
      <w:r>
        <w:rPr>
          <w:rFonts w:ascii="Arial Narrow" w:hAnsi="Arial Narrow"/>
          <w:sz w:val="20"/>
          <w:szCs w:val="20"/>
        </w:rPr>
        <w:t>(</w:t>
      </w:r>
      <w:r w:rsidRPr="00732785">
        <w:rPr>
          <w:rFonts w:ascii="Arial Narrow" w:hAnsi="Arial Narrow"/>
          <w:sz w:val="20"/>
          <w:szCs w:val="20"/>
        </w:rPr>
        <w:t>2009)</w:t>
      </w:r>
    </w:p>
    <w:p w14:paraId="40CD94F2" w14:textId="16FB844C" w:rsidR="003F36FF" w:rsidRPr="00732785" w:rsidRDefault="00297E96" w:rsidP="004C79C1">
      <w:pPr>
        <w:spacing w:after="120" w:line="240" w:lineRule="auto"/>
        <w:rPr>
          <w:rFonts w:ascii="Arial Narrow" w:hAnsi="Arial Narrow"/>
          <w:sz w:val="20"/>
          <w:szCs w:val="20"/>
        </w:rPr>
      </w:pPr>
      <w:r w:rsidRPr="00732785">
        <w:rPr>
          <w:rFonts w:ascii="Arial Narrow" w:hAnsi="Arial Narrow"/>
          <w:sz w:val="20"/>
          <w:szCs w:val="20"/>
        </w:rPr>
        <w:t xml:space="preserve">CM = cardiomyopathies; CMR = cardiac magnetic resonance </w:t>
      </w:r>
      <w:r w:rsidR="00372D4E" w:rsidRPr="00732785">
        <w:rPr>
          <w:rFonts w:ascii="Arial Narrow" w:hAnsi="Arial Narrow"/>
          <w:sz w:val="20"/>
          <w:szCs w:val="20"/>
        </w:rPr>
        <w:t>(imaging)</w:t>
      </w:r>
      <w:r w:rsidRPr="00732785">
        <w:rPr>
          <w:rFonts w:ascii="Arial Narrow" w:hAnsi="Arial Narrow"/>
          <w:sz w:val="20"/>
          <w:szCs w:val="20"/>
        </w:rPr>
        <w:t xml:space="preserve">; </w:t>
      </w:r>
      <w:r w:rsidR="00F45815" w:rsidRPr="008734D3">
        <w:rPr>
          <w:rFonts w:ascii="Arial Narrow" w:hAnsi="Arial Narrow"/>
          <w:sz w:val="20"/>
          <w:szCs w:val="20"/>
        </w:rPr>
        <w:t xml:space="preserve">Echo = echocardiography; </w:t>
      </w:r>
      <w:r w:rsidRPr="00732785">
        <w:rPr>
          <w:rFonts w:ascii="Arial Narrow" w:hAnsi="Arial Narrow"/>
          <w:sz w:val="20"/>
          <w:szCs w:val="20"/>
        </w:rPr>
        <w:t>N = number</w:t>
      </w:r>
      <w:r w:rsidR="00793056">
        <w:rPr>
          <w:rFonts w:ascii="Arial Narrow" w:hAnsi="Arial Narrow"/>
          <w:sz w:val="20"/>
          <w:szCs w:val="20"/>
        </w:rPr>
        <w:t xml:space="preserve"> of patients</w:t>
      </w:r>
    </w:p>
    <w:p w14:paraId="29D7CC2D" w14:textId="26A75A58" w:rsidR="003F36FF" w:rsidRDefault="003F36FF" w:rsidP="004C79C1">
      <w:pPr>
        <w:spacing w:after="120" w:line="240" w:lineRule="auto"/>
        <w:jc w:val="both"/>
      </w:pPr>
      <w:r>
        <w:t>One article included in the diagnostic accuracy section (Assomull et al</w:t>
      </w:r>
      <w:r w:rsidR="0071310B">
        <w:t>.</w:t>
      </w:r>
      <w:r>
        <w:t xml:space="preserve"> 2011) discussed the use of CMR as a gatekeeper to ICA in patients with HF of unknown aetiology. No change in </w:t>
      </w:r>
      <w:r w:rsidR="00611128">
        <w:t xml:space="preserve">the </w:t>
      </w:r>
      <w:r>
        <w:t xml:space="preserve">rate of ICA actually occurred, only the suggestion that CMR may be used in this way (so </w:t>
      </w:r>
      <w:r w:rsidR="00611128">
        <w:t xml:space="preserve">it </w:t>
      </w:r>
      <w:r>
        <w:t>is not technically an included study for this section). In their case series of 120 patients, CMR was 100</w:t>
      </w:r>
      <w:r w:rsidR="00EE5C9E">
        <w:t>%</w:t>
      </w:r>
      <w:r>
        <w:t xml:space="preserve"> sensitive at detecting patients with ischaemia, which meant </w:t>
      </w:r>
      <w:r w:rsidR="00EE5C9E">
        <w:t xml:space="preserve">that </w:t>
      </w:r>
      <w:r>
        <w:t>every patient who required an ICA would have received one if referral to an ICA was based first on CMR. Conversely, ischaemia was ruled out in 73</w:t>
      </w:r>
      <w:r w:rsidR="00EE5C9E">
        <w:t>%</w:t>
      </w:r>
      <w:r>
        <w:t xml:space="preserve"> of cases, so these patients could have theoretically avoided an ICA. In the proposed clinical management algorithm, CMR would be used </w:t>
      </w:r>
      <w:r w:rsidR="00EE5C9E">
        <w:t xml:space="preserve">as </w:t>
      </w:r>
      <w:r>
        <w:t xml:space="preserve">an alternative gatekeeper to CTCA and SPECT, which are currently used in patients with a low to intermediate risk of CAD. </w:t>
      </w:r>
    </w:p>
    <w:p w14:paraId="56C0A008" w14:textId="77777777" w:rsidR="003F36FF" w:rsidRDefault="003F36FF" w:rsidP="00161B88">
      <w:pPr>
        <w:pStyle w:val="Heading4"/>
      </w:pPr>
      <w:r w:rsidRPr="00870724">
        <w:t>Change in management or therapy</w:t>
      </w:r>
    </w:p>
    <w:p w14:paraId="610BC883" w14:textId="32F7BC06" w:rsidR="007844B9" w:rsidRDefault="00673731" w:rsidP="00792EB5">
      <w:pPr>
        <w:spacing w:after="120" w:line="240" w:lineRule="auto"/>
        <w:jc w:val="both"/>
      </w:pPr>
      <w:r>
        <w:t>Catheter-based procedures avoided and conducted as a result of undergoing CMR were reported in the case series by Abassi et al</w:t>
      </w:r>
      <w:r w:rsidR="004B754C">
        <w:t>.</w:t>
      </w:r>
      <w:r>
        <w:t xml:space="preserve"> </w:t>
      </w:r>
      <w:r w:rsidR="00900037">
        <w:t xml:space="preserve">(2013), </w:t>
      </w:r>
      <w:r>
        <w:t>which used an LVEF ≤50% as a criteri</w:t>
      </w:r>
      <w:r w:rsidR="00900037">
        <w:t>on</w:t>
      </w:r>
      <w:r>
        <w:t xml:space="preserve"> for inclusion. Patients were referred for CMR for the </w:t>
      </w:r>
      <w:r w:rsidR="00900037">
        <w:t xml:space="preserve">following </w:t>
      </w:r>
      <w:r>
        <w:t xml:space="preserve">indications: 1) </w:t>
      </w:r>
      <w:r w:rsidR="00900037">
        <w:t xml:space="preserve">CM </w:t>
      </w:r>
      <w:r>
        <w:t xml:space="preserve">of unknown aetiology, 2) viability or 3) suspected myocarditis. </w:t>
      </w:r>
      <w:r w:rsidR="00900037">
        <w:t>D</w:t>
      </w:r>
      <w:r>
        <w:t>ecisions to implant devices or avoid planned procedures were based directly on CMR findings. In this study</w:t>
      </w:r>
      <w:r w:rsidR="0008248E">
        <w:t>,</w:t>
      </w:r>
      <w:r>
        <w:t xml:space="preserve"> catheter-based procedures were the most commonly impacted element of patient management, and 27% of patients underwent changes to these procedures as a result of CMR. Th</w:t>
      </w:r>
      <w:r w:rsidR="0008248E">
        <w:t>e</w:t>
      </w:r>
      <w:r>
        <w:t>s</w:t>
      </w:r>
      <w:r w:rsidR="00B36A81">
        <w:t>e</w:t>
      </w:r>
      <w:r>
        <w:t xml:space="preserve"> data </w:t>
      </w:r>
      <w:r w:rsidR="0008248E">
        <w:t xml:space="preserve">were </w:t>
      </w:r>
      <w:r>
        <w:t xml:space="preserve">reported for all included </w:t>
      </w:r>
      <w:r w:rsidR="0008248E">
        <w:t>HF</w:t>
      </w:r>
      <w:r>
        <w:t xml:space="preserve"> patients (n=150), of </w:t>
      </w:r>
      <w:r>
        <w:lastRenderedPageBreak/>
        <w:t xml:space="preserve">which 59% (n=89) were indicated for CM of unknown aetiology </w:t>
      </w:r>
      <w:r w:rsidRPr="00F56790">
        <w:t>(</w:t>
      </w:r>
      <w:r>
        <w:fldChar w:fldCharType="begin"/>
      </w:r>
      <w:r>
        <w:instrText xml:space="preserve"> REF _Ref445819269 \h  \* MERGEFORMAT </w:instrText>
      </w:r>
      <w:r>
        <w:fldChar w:fldCharType="separate"/>
      </w:r>
      <w:r w:rsidR="00C33AEF" w:rsidRPr="00254898">
        <w:t xml:space="preserve">Table </w:t>
      </w:r>
      <w:r w:rsidR="00C33AEF">
        <w:rPr>
          <w:noProof/>
        </w:rPr>
        <w:t>24</w:t>
      </w:r>
      <w:r>
        <w:fldChar w:fldCharType="end"/>
      </w:r>
      <w:r>
        <w:t>). Scar assessment by LGE led to an impact on planned CABG procedures, with some patients avoiding the surgery and others ultimately undergoing CABG as a result of LGE findings. The authors also commented that</w:t>
      </w:r>
      <w:r w:rsidR="0008248E">
        <w:t>,</w:t>
      </w:r>
      <w:r>
        <w:t xml:space="preserve"> in patients without CAD risk factors but with a history or ECG evidence of </w:t>
      </w:r>
      <w:r w:rsidR="009D6F77">
        <w:t>m</w:t>
      </w:r>
      <w:r w:rsidR="009D6F77" w:rsidRPr="00C80E19">
        <w:t>yocardial infarction</w:t>
      </w:r>
      <w:r w:rsidR="009D6F77">
        <w:t xml:space="preserve"> (</w:t>
      </w:r>
      <w:r>
        <w:t>MI</w:t>
      </w:r>
      <w:r w:rsidR="009D6F77">
        <w:t>)</w:t>
      </w:r>
      <w:r>
        <w:t xml:space="preserve">, </w:t>
      </w:r>
      <w:r w:rsidR="00985B11">
        <w:t xml:space="preserve">and </w:t>
      </w:r>
      <w:r>
        <w:t>indicated for CM of unknown aetiology who underwent CMR, the a</w:t>
      </w:r>
      <w:r w:rsidR="009B6DFB">
        <w:t>bsence of LGE at a young age (&lt;</w:t>
      </w:r>
      <w:r>
        <w:t>30</w:t>
      </w:r>
      <w:r w:rsidR="00454FF8">
        <w:t> </w:t>
      </w:r>
      <w:r>
        <w:t>years) led to clinicians avoiding angiography. The number of avoided angiographies in this group was not reported. Overall</w:t>
      </w:r>
      <w:r w:rsidR="00985B11">
        <w:t>,</w:t>
      </w:r>
      <w:r>
        <w:t xml:space="preserve"> there was a significant clinical impact in 65% of cases</w:t>
      </w:r>
      <w:r w:rsidR="00985B11">
        <w:t>,</w:t>
      </w:r>
      <w:r>
        <w:t xml:space="preserve"> which included </w:t>
      </w:r>
      <w:r w:rsidR="00107DC8">
        <w:t xml:space="preserve">a </w:t>
      </w:r>
      <w:r>
        <w:t>change in management in 52%</w:t>
      </w:r>
      <w:r w:rsidR="00107DC8">
        <w:t xml:space="preserve"> of cases</w:t>
      </w:r>
      <w:r>
        <w:t>, a new diagnosis in 30%, and both occurring in 17% of patients.</w:t>
      </w:r>
    </w:p>
    <w:p w14:paraId="177B9E76" w14:textId="10661EC6" w:rsidR="00673731" w:rsidRPr="00254898" w:rsidRDefault="00673731" w:rsidP="004C79C1">
      <w:pPr>
        <w:pStyle w:val="Caption"/>
      </w:pPr>
      <w:bookmarkStart w:id="414" w:name="_Toc324410177"/>
      <w:bookmarkStart w:id="415" w:name="_Ref445819269"/>
      <w:bookmarkStart w:id="416" w:name="_Toc451435351"/>
      <w:r w:rsidRPr="00254898">
        <w:t>T</w:t>
      </w:r>
      <w:bookmarkEnd w:id="414"/>
      <w:r w:rsidRPr="00254898">
        <w:t xml:space="preserve">able </w:t>
      </w:r>
      <w:r w:rsidR="006B659F" w:rsidRPr="007D1F2A">
        <w:fldChar w:fldCharType="begin"/>
      </w:r>
      <w:r w:rsidR="006B659F" w:rsidRPr="00254898">
        <w:instrText xml:space="preserve"> SEQ Table \* ARABIC </w:instrText>
      </w:r>
      <w:r w:rsidR="006B659F" w:rsidRPr="007D1F2A">
        <w:fldChar w:fldCharType="separate"/>
      </w:r>
      <w:r w:rsidR="00050936">
        <w:rPr>
          <w:noProof/>
        </w:rPr>
        <w:t>24</w:t>
      </w:r>
      <w:r w:rsidR="006B659F" w:rsidRPr="007D1F2A">
        <w:fldChar w:fldCharType="end"/>
      </w:r>
      <w:bookmarkEnd w:id="415"/>
      <w:r w:rsidRPr="00254898">
        <w:tab/>
        <w:t>Catheter-based procedures, vascular surgery, electrophysiology procedures</w:t>
      </w:r>
      <w:r w:rsidR="00107DC8" w:rsidRPr="00254898">
        <w:t>,</w:t>
      </w:r>
      <w:r w:rsidRPr="00254898">
        <w:t xml:space="preserve"> medications and hospital admissions avoided and conducted following CMR in patients with </w:t>
      </w:r>
      <w:r w:rsidR="00107DC8" w:rsidRPr="00254898">
        <w:t>HF</w:t>
      </w:r>
      <w:bookmarkEnd w:id="416"/>
      <w:r w:rsidRPr="0025489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81"/>
        <w:gridCol w:w="3219"/>
        <w:gridCol w:w="3082"/>
      </w:tblGrid>
      <w:tr w:rsidR="00B432CC" w:rsidRPr="00183E4D" w14:paraId="3690633C" w14:textId="77777777" w:rsidTr="00B432CC">
        <w:trPr>
          <w:tblHeader/>
        </w:trPr>
        <w:tc>
          <w:tcPr>
            <w:tcW w:w="1531" w:type="pct"/>
            <w:shd w:val="clear" w:color="auto" w:fill="auto"/>
            <w:vAlign w:val="center"/>
          </w:tcPr>
          <w:p w14:paraId="7C7AE4E3" w14:textId="77777777" w:rsidR="00B432CC" w:rsidRPr="00183E4D" w:rsidRDefault="00B432CC" w:rsidP="004C79C1">
            <w:pPr>
              <w:pStyle w:val="TableHeading"/>
              <w:spacing w:before="0" w:after="120"/>
              <w:rPr>
                <w:snapToGrid w:val="0"/>
                <w:lang w:eastAsia="en-US"/>
              </w:rPr>
            </w:pPr>
            <w:r>
              <w:rPr>
                <w:snapToGrid w:val="0"/>
                <w:lang w:eastAsia="en-US"/>
              </w:rPr>
              <w:t>Procedure or other management</w:t>
            </w:r>
          </w:p>
        </w:tc>
        <w:tc>
          <w:tcPr>
            <w:tcW w:w="1772" w:type="pct"/>
            <w:shd w:val="clear" w:color="auto" w:fill="auto"/>
            <w:vAlign w:val="center"/>
          </w:tcPr>
          <w:p w14:paraId="11ABD85F" w14:textId="77777777" w:rsidR="00B432CC" w:rsidRDefault="00B432CC" w:rsidP="004C79C1">
            <w:pPr>
              <w:pStyle w:val="TableHeading"/>
              <w:spacing w:before="0" w:after="120"/>
              <w:jc w:val="center"/>
              <w:rPr>
                <w:snapToGrid w:val="0"/>
                <w:lang w:eastAsia="en-US"/>
              </w:rPr>
            </w:pPr>
            <w:r>
              <w:rPr>
                <w:snapToGrid w:val="0"/>
                <w:lang w:eastAsia="en-US"/>
              </w:rPr>
              <w:t>Avoided following CMR</w:t>
            </w:r>
          </w:p>
          <w:p w14:paraId="08986A64" w14:textId="77777777" w:rsidR="00B432CC" w:rsidRPr="00183E4D" w:rsidRDefault="00B432CC" w:rsidP="004C79C1">
            <w:pPr>
              <w:pStyle w:val="TableHeading"/>
              <w:spacing w:before="0" w:after="120"/>
              <w:jc w:val="center"/>
              <w:rPr>
                <w:snapToGrid w:val="0"/>
                <w:lang w:eastAsia="en-US"/>
              </w:rPr>
            </w:pPr>
            <w:r>
              <w:rPr>
                <w:snapToGrid w:val="0"/>
                <w:lang w:eastAsia="en-US"/>
              </w:rPr>
              <w:t>N (%)</w:t>
            </w:r>
          </w:p>
        </w:tc>
        <w:tc>
          <w:tcPr>
            <w:tcW w:w="1697" w:type="pct"/>
          </w:tcPr>
          <w:p w14:paraId="5A362271" w14:textId="77777777" w:rsidR="00B432CC" w:rsidRDefault="00B432CC" w:rsidP="004C79C1">
            <w:pPr>
              <w:pStyle w:val="TableHeading"/>
              <w:spacing w:before="0" w:after="120"/>
              <w:jc w:val="center"/>
              <w:rPr>
                <w:snapToGrid w:val="0"/>
                <w:lang w:eastAsia="en-US"/>
              </w:rPr>
            </w:pPr>
            <w:r>
              <w:rPr>
                <w:snapToGrid w:val="0"/>
                <w:lang w:eastAsia="en-US"/>
              </w:rPr>
              <w:t>Added following CMR</w:t>
            </w:r>
          </w:p>
          <w:p w14:paraId="69D43804" w14:textId="77777777" w:rsidR="00B432CC" w:rsidRPr="00183E4D" w:rsidRDefault="00B432CC" w:rsidP="004C79C1">
            <w:pPr>
              <w:pStyle w:val="TableHeading"/>
              <w:spacing w:before="0" w:after="120"/>
              <w:jc w:val="center"/>
              <w:rPr>
                <w:snapToGrid w:val="0"/>
                <w:lang w:eastAsia="en-US"/>
              </w:rPr>
            </w:pPr>
            <w:r>
              <w:rPr>
                <w:snapToGrid w:val="0"/>
                <w:lang w:eastAsia="en-US"/>
              </w:rPr>
              <w:t>N (%)</w:t>
            </w:r>
          </w:p>
        </w:tc>
      </w:tr>
      <w:tr w:rsidR="00B432CC" w:rsidRPr="00976FCD" w14:paraId="061A27D4" w14:textId="77777777" w:rsidTr="00B432CC">
        <w:tc>
          <w:tcPr>
            <w:tcW w:w="1531" w:type="pct"/>
            <w:shd w:val="clear" w:color="auto" w:fill="auto"/>
            <w:vAlign w:val="center"/>
          </w:tcPr>
          <w:p w14:paraId="5C3BC4E5" w14:textId="77777777" w:rsidR="00B432CC" w:rsidRDefault="00B432CC" w:rsidP="004C79C1">
            <w:pPr>
              <w:pStyle w:val="TableText0"/>
              <w:spacing w:before="0" w:after="120"/>
              <w:rPr>
                <w:snapToGrid w:val="0"/>
              </w:rPr>
            </w:pPr>
            <w:r>
              <w:rPr>
                <w:snapToGrid w:val="0"/>
              </w:rPr>
              <w:t>All changes</w:t>
            </w:r>
          </w:p>
        </w:tc>
        <w:tc>
          <w:tcPr>
            <w:tcW w:w="1772" w:type="pct"/>
            <w:shd w:val="clear" w:color="auto" w:fill="auto"/>
            <w:vAlign w:val="center"/>
          </w:tcPr>
          <w:p w14:paraId="7BFD7129" w14:textId="77777777" w:rsidR="00B432CC" w:rsidRDefault="00B432CC" w:rsidP="004C79C1">
            <w:pPr>
              <w:pStyle w:val="TableText0"/>
              <w:spacing w:before="0" w:after="120"/>
              <w:jc w:val="center"/>
              <w:rPr>
                <w:snapToGrid w:val="0"/>
              </w:rPr>
            </w:pPr>
            <w:r>
              <w:rPr>
                <w:snapToGrid w:val="0"/>
              </w:rPr>
              <w:t>56 (37)</w:t>
            </w:r>
          </w:p>
        </w:tc>
        <w:tc>
          <w:tcPr>
            <w:tcW w:w="1697" w:type="pct"/>
          </w:tcPr>
          <w:p w14:paraId="44EB2848" w14:textId="77777777" w:rsidR="00B432CC" w:rsidRDefault="00B432CC" w:rsidP="004C79C1">
            <w:pPr>
              <w:pStyle w:val="TableText0"/>
              <w:spacing w:before="0" w:after="120"/>
              <w:jc w:val="center"/>
              <w:rPr>
                <w:snapToGrid w:val="0"/>
              </w:rPr>
            </w:pPr>
            <w:r>
              <w:rPr>
                <w:snapToGrid w:val="0"/>
              </w:rPr>
              <w:t>52 (34)</w:t>
            </w:r>
          </w:p>
        </w:tc>
      </w:tr>
      <w:tr w:rsidR="00B432CC" w:rsidRPr="00976FCD" w14:paraId="3A2B8388" w14:textId="77777777" w:rsidTr="00B432CC">
        <w:tc>
          <w:tcPr>
            <w:tcW w:w="1531" w:type="pct"/>
            <w:shd w:val="clear" w:color="auto" w:fill="auto"/>
            <w:vAlign w:val="center"/>
          </w:tcPr>
          <w:p w14:paraId="3476B387" w14:textId="77777777" w:rsidR="00B432CC" w:rsidRPr="00976FCD" w:rsidRDefault="00B432CC" w:rsidP="004C79C1">
            <w:pPr>
              <w:pStyle w:val="TableText0"/>
              <w:spacing w:before="0" w:after="120"/>
              <w:rPr>
                <w:snapToGrid w:val="0"/>
              </w:rPr>
            </w:pPr>
            <w:r>
              <w:rPr>
                <w:snapToGrid w:val="0"/>
              </w:rPr>
              <w:t>Angiography</w:t>
            </w:r>
          </w:p>
        </w:tc>
        <w:tc>
          <w:tcPr>
            <w:tcW w:w="1772" w:type="pct"/>
            <w:shd w:val="clear" w:color="auto" w:fill="auto"/>
            <w:vAlign w:val="center"/>
          </w:tcPr>
          <w:p w14:paraId="48D20EC5" w14:textId="77777777" w:rsidR="00B432CC" w:rsidRPr="00490B66" w:rsidRDefault="00B432CC" w:rsidP="004C79C1">
            <w:pPr>
              <w:pStyle w:val="TableText0"/>
              <w:spacing w:before="0" w:after="120"/>
              <w:jc w:val="center"/>
              <w:rPr>
                <w:snapToGrid w:val="0"/>
              </w:rPr>
            </w:pPr>
            <w:r>
              <w:rPr>
                <w:snapToGrid w:val="0"/>
              </w:rPr>
              <w:t>17 (11)</w:t>
            </w:r>
          </w:p>
        </w:tc>
        <w:tc>
          <w:tcPr>
            <w:tcW w:w="1697" w:type="pct"/>
          </w:tcPr>
          <w:p w14:paraId="3D8D7568" w14:textId="77777777" w:rsidR="00B432CC" w:rsidRDefault="00B432CC" w:rsidP="004C79C1">
            <w:pPr>
              <w:pStyle w:val="TableText0"/>
              <w:spacing w:before="0" w:after="120"/>
              <w:jc w:val="center"/>
              <w:rPr>
                <w:snapToGrid w:val="0"/>
              </w:rPr>
            </w:pPr>
            <w:r>
              <w:rPr>
                <w:snapToGrid w:val="0"/>
              </w:rPr>
              <w:t>14 (9)</w:t>
            </w:r>
          </w:p>
        </w:tc>
      </w:tr>
      <w:tr w:rsidR="00B432CC" w:rsidRPr="00976FCD" w14:paraId="70699E2D" w14:textId="77777777" w:rsidTr="00B432CC">
        <w:tc>
          <w:tcPr>
            <w:tcW w:w="1531" w:type="pct"/>
            <w:shd w:val="clear" w:color="auto" w:fill="auto"/>
            <w:vAlign w:val="center"/>
          </w:tcPr>
          <w:p w14:paraId="3261C6B5" w14:textId="77777777" w:rsidR="00B432CC" w:rsidRPr="00976FCD" w:rsidRDefault="00B432CC" w:rsidP="004C79C1">
            <w:pPr>
              <w:pStyle w:val="TableText0"/>
              <w:spacing w:before="0" w:after="120"/>
              <w:rPr>
                <w:snapToGrid w:val="0"/>
              </w:rPr>
            </w:pPr>
            <w:r>
              <w:rPr>
                <w:snapToGrid w:val="0"/>
              </w:rPr>
              <w:t>PCI</w:t>
            </w:r>
          </w:p>
        </w:tc>
        <w:tc>
          <w:tcPr>
            <w:tcW w:w="1772" w:type="pct"/>
            <w:shd w:val="clear" w:color="auto" w:fill="auto"/>
            <w:vAlign w:val="center"/>
          </w:tcPr>
          <w:p w14:paraId="6C10E079" w14:textId="77777777" w:rsidR="00B432CC" w:rsidRDefault="00B432CC" w:rsidP="004C79C1">
            <w:pPr>
              <w:pStyle w:val="TableText0"/>
              <w:spacing w:before="0" w:after="120"/>
              <w:jc w:val="center"/>
              <w:rPr>
                <w:snapToGrid w:val="0"/>
              </w:rPr>
            </w:pPr>
            <w:r>
              <w:rPr>
                <w:snapToGrid w:val="0"/>
              </w:rPr>
              <w:t>8 (5)</w:t>
            </w:r>
          </w:p>
        </w:tc>
        <w:tc>
          <w:tcPr>
            <w:tcW w:w="1697" w:type="pct"/>
          </w:tcPr>
          <w:p w14:paraId="5E80702D" w14:textId="77777777" w:rsidR="00B432CC" w:rsidRDefault="00B432CC" w:rsidP="004C79C1">
            <w:pPr>
              <w:pStyle w:val="TableText0"/>
              <w:spacing w:before="0" w:after="120"/>
              <w:jc w:val="center"/>
              <w:rPr>
                <w:snapToGrid w:val="0"/>
              </w:rPr>
            </w:pPr>
            <w:r>
              <w:rPr>
                <w:snapToGrid w:val="0"/>
              </w:rPr>
              <w:t>11 (7)</w:t>
            </w:r>
          </w:p>
        </w:tc>
      </w:tr>
      <w:tr w:rsidR="00B432CC" w:rsidRPr="00976FCD" w14:paraId="01109B84" w14:textId="77777777" w:rsidTr="00B432CC">
        <w:tc>
          <w:tcPr>
            <w:tcW w:w="1531" w:type="pct"/>
            <w:shd w:val="clear" w:color="auto" w:fill="auto"/>
            <w:vAlign w:val="center"/>
          </w:tcPr>
          <w:p w14:paraId="1EE607A2" w14:textId="77777777" w:rsidR="00B432CC" w:rsidRPr="00976FCD" w:rsidRDefault="00B432CC" w:rsidP="004C79C1">
            <w:pPr>
              <w:pStyle w:val="TableText0"/>
              <w:spacing w:before="0" w:after="120"/>
              <w:rPr>
                <w:snapToGrid w:val="0"/>
              </w:rPr>
            </w:pPr>
            <w:r>
              <w:rPr>
                <w:snapToGrid w:val="0"/>
              </w:rPr>
              <w:t>CABG</w:t>
            </w:r>
          </w:p>
        </w:tc>
        <w:tc>
          <w:tcPr>
            <w:tcW w:w="1772" w:type="pct"/>
            <w:shd w:val="clear" w:color="auto" w:fill="auto"/>
            <w:vAlign w:val="center"/>
          </w:tcPr>
          <w:p w14:paraId="79BF8746" w14:textId="77777777" w:rsidR="00B432CC" w:rsidRDefault="00B432CC" w:rsidP="004C79C1">
            <w:pPr>
              <w:pStyle w:val="TableText0"/>
              <w:spacing w:before="0" w:after="120"/>
              <w:jc w:val="center"/>
              <w:rPr>
                <w:snapToGrid w:val="0"/>
              </w:rPr>
            </w:pPr>
            <w:r>
              <w:rPr>
                <w:snapToGrid w:val="0"/>
              </w:rPr>
              <w:t>7 (5)</w:t>
            </w:r>
          </w:p>
        </w:tc>
        <w:tc>
          <w:tcPr>
            <w:tcW w:w="1697" w:type="pct"/>
          </w:tcPr>
          <w:p w14:paraId="43B575D3" w14:textId="77777777" w:rsidR="00B432CC" w:rsidRDefault="00B432CC" w:rsidP="004C79C1">
            <w:pPr>
              <w:pStyle w:val="TableText0"/>
              <w:spacing w:before="0" w:after="120"/>
              <w:jc w:val="center"/>
              <w:rPr>
                <w:snapToGrid w:val="0"/>
              </w:rPr>
            </w:pPr>
            <w:r>
              <w:rPr>
                <w:snapToGrid w:val="0"/>
              </w:rPr>
              <w:t>7 (5)</w:t>
            </w:r>
          </w:p>
        </w:tc>
      </w:tr>
      <w:tr w:rsidR="00B432CC" w:rsidRPr="00976FCD" w14:paraId="6DFB8828" w14:textId="77777777" w:rsidTr="00B432CC">
        <w:tc>
          <w:tcPr>
            <w:tcW w:w="1531" w:type="pct"/>
            <w:shd w:val="clear" w:color="auto" w:fill="auto"/>
            <w:vAlign w:val="center"/>
          </w:tcPr>
          <w:p w14:paraId="752AD3DE" w14:textId="77777777" w:rsidR="00B432CC" w:rsidRDefault="00B432CC" w:rsidP="004C79C1">
            <w:pPr>
              <w:pStyle w:val="TableText0"/>
              <w:spacing w:before="0" w:after="120"/>
              <w:rPr>
                <w:snapToGrid w:val="0"/>
              </w:rPr>
            </w:pPr>
            <w:r>
              <w:rPr>
                <w:snapToGrid w:val="0"/>
              </w:rPr>
              <w:t>ICD</w:t>
            </w:r>
          </w:p>
        </w:tc>
        <w:tc>
          <w:tcPr>
            <w:tcW w:w="1772" w:type="pct"/>
            <w:shd w:val="clear" w:color="auto" w:fill="auto"/>
            <w:vAlign w:val="center"/>
          </w:tcPr>
          <w:p w14:paraId="070EDF58" w14:textId="77777777" w:rsidR="00B432CC" w:rsidRDefault="00B432CC" w:rsidP="004C79C1">
            <w:pPr>
              <w:pStyle w:val="TableText0"/>
              <w:spacing w:before="0" w:after="120"/>
              <w:jc w:val="center"/>
              <w:rPr>
                <w:snapToGrid w:val="0"/>
              </w:rPr>
            </w:pPr>
            <w:r>
              <w:rPr>
                <w:snapToGrid w:val="0"/>
              </w:rPr>
              <w:t>10 (7)</w:t>
            </w:r>
          </w:p>
        </w:tc>
        <w:tc>
          <w:tcPr>
            <w:tcW w:w="1697" w:type="pct"/>
          </w:tcPr>
          <w:p w14:paraId="609ADD00" w14:textId="77777777" w:rsidR="00B432CC" w:rsidRDefault="00B432CC" w:rsidP="004C79C1">
            <w:pPr>
              <w:pStyle w:val="TableText0"/>
              <w:spacing w:before="0" w:after="120"/>
              <w:jc w:val="center"/>
              <w:rPr>
                <w:snapToGrid w:val="0"/>
              </w:rPr>
            </w:pPr>
            <w:r>
              <w:rPr>
                <w:snapToGrid w:val="0"/>
              </w:rPr>
              <w:t>5 (3)</w:t>
            </w:r>
          </w:p>
        </w:tc>
      </w:tr>
      <w:tr w:rsidR="00B432CC" w:rsidRPr="00976FCD" w14:paraId="23A3C6EE" w14:textId="77777777" w:rsidTr="00B432CC">
        <w:tc>
          <w:tcPr>
            <w:tcW w:w="1531" w:type="pct"/>
            <w:shd w:val="clear" w:color="auto" w:fill="auto"/>
            <w:vAlign w:val="center"/>
          </w:tcPr>
          <w:p w14:paraId="65A35247" w14:textId="77777777" w:rsidR="00B432CC" w:rsidRDefault="00B432CC" w:rsidP="004C79C1">
            <w:pPr>
              <w:pStyle w:val="TableText0"/>
              <w:spacing w:before="0" w:after="120"/>
              <w:rPr>
                <w:snapToGrid w:val="0"/>
              </w:rPr>
            </w:pPr>
            <w:r>
              <w:rPr>
                <w:snapToGrid w:val="0"/>
              </w:rPr>
              <w:t>Anticoagulation</w:t>
            </w:r>
          </w:p>
        </w:tc>
        <w:tc>
          <w:tcPr>
            <w:tcW w:w="1772" w:type="pct"/>
            <w:shd w:val="clear" w:color="auto" w:fill="auto"/>
            <w:vAlign w:val="center"/>
          </w:tcPr>
          <w:p w14:paraId="45984F6D" w14:textId="77777777" w:rsidR="00B432CC" w:rsidRDefault="00B432CC" w:rsidP="004C79C1">
            <w:pPr>
              <w:pStyle w:val="TableText0"/>
              <w:spacing w:before="0" w:after="120"/>
              <w:jc w:val="center"/>
              <w:rPr>
                <w:snapToGrid w:val="0"/>
              </w:rPr>
            </w:pPr>
            <w:r>
              <w:rPr>
                <w:snapToGrid w:val="0"/>
              </w:rPr>
              <w:t>9 (6)</w:t>
            </w:r>
          </w:p>
        </w:tc>
        <w:tc>
          <w:tcPr>
            <w:tcW w:w="1697" w:type="pct"/>
          </w:tcPr>
          <w:p w14:paraId="7F2BD612" w14:textId="77777777" w:rsidR="00B432CC" w:rsidRDefault="00B432CC" w:rsidP="004C79C1">
            <w:pPr>
              <w:pStyle w:val="TableText0"/>
              <w:spacing w:before="0" w:after="120"/>
              <w:jc w:val="center"/>
              <w:rPr>
                <w:snapToGrid w:val="0"/>
              </w:rPr>
            </w:pPr>
            <w:r>
              <w:rPr>
                <w:snapToGrid w:val="0"/>
              </w:rPr>
              <w:t>9 (6)</w:t>
            </w:r>
          </w:p>
        </w:tc>
      </w:tr>
      <w:tr w:rsidR="00B432CC" w:rsidRPr="00976FCD" w14:paraId="62B61F30" w14:textId="77777777" w:rsidTr="00B432CC">
        <w:tc>
          <w:tcPr>
            <w:tcW w:w="1531" w:type="pct"/>
            <w:shd w:val="clear" w:color="auto" w:fill="auto"/>
            <w:vAlign w:val="center"/>
          </w:tcPr>
          <w:p w14:paraId="5D135633" w14:textId="77777777" w:rsidR="00B432CC" w:rsidRDefault="00B432CC" w:rsidP="004C79C1">
            <w:pPr>
              <w:pStyle w:val="TableText0"/>
              <w:spacing w:before="0" w:after="120"/>
              <w:rPr>
                <w:snapToGrid w:val="0"/>
              </w:rPr>
            </w:pPr>
            <w:r>
              <w:rPr>
                <w:snapToGrid w:val="0"/>
              </w:rPr>
              <w:t>Cardiac medication</w:t>
            </w:r>
          </w:p>
        </w:tc>
        <w:tc>
          <w:tcPr>
            <w:tcW w:w="1772" w:type="pct"/>
            <w:shd w:val="clear" w:color="auto" w:fill="auto"/>
            <w:vAlign w:val="center"/>
          </w:tcPr>
          <w:p w14:paraId="49DED624" w14:textId="77777777" w:rsidR="00B432CC" w:rsidRDefault="00B432CC" w:rsidP="004C79C1">
            <w:pPr>
              <w:pStyle w:val="TableText0"/>
              <w:spacing w:before="0" w:after="120"/>
              <w:jc w:val="center"/>
              <w:rPr>
                <w:snapToGrid w:val="0"/>
              </w:rPr>
            </w:pPr>
            <w:r>
              <w:rPr>
                <w:snapToGrid w:val="0"/>
              </w:rPr>
              <w:t>3 (2)</w:t>
            </w:r>
          </w:p>
        </w:tc>
        <w:tc>
          <w:tcPr>
            <w:tcW w:w="1697" w:type="pct"/>
          </w:tcPr>
          <w:p w14:paraId="04CA0756" w14:textId="77777777" w:rsidR="00B432CC" w:rsidRDefault="00B432CC" w:rsidP="004C79C1">
            <w:pPr>
              <w:pStyle w:val="TableText0"/>
              <w:spacing w:before="0" w:after="120"/>
              <w:jc w:val="center"/>
              <w:rPr>
                <w:snapToGrid w:val="0"/>
              </w:rPr>
            </w:pPr>
            <w:r>
              <w:rPr>
                <w:snapToGrid w:val="0"/>
              </w:rPr>
              <w:t>4 (3)</w:t>
            </w:r>
          </w:p>
        </w:tc>
      </w:tr>
      <w:tr w:rsidR="00B432CC" w:rsidRPr="00976FCD" w14:paraId="4A1E40C5" w14:textId="77777777" w:rsidTr="00B432CC">
        <w:tc>
          <w:tcPr>
            <w:tcW w:w="1531" w:type="pct"/>
            <w:shd w:val="clear" w:color="auto" w:fill="auto"/>
            <w:vAlign w:val="center"/>
          </w:tcPr>
          <w:p w14:paraId="7FD7505F" w14:textId="77777777" w:rsidR="00B432CC" w:rsidRDefault="00B432CC" w:rsidP="004C79C1">
            <w:pPr>
              <w:pStyle w:val="TableText0"/>
              <w:spacing w:before="0" w:after="120"/>
              <w:rPr>
                <w:snapToGrid w:val="0"/>
              </w:rPr>
            </w:pPr>
            <w:r>
              <w:rPr>
                <w:snapToGrid w:val="0"/>
              </w:rPr>
              <w:t>Hospital admission</w:t>
            </w:r>
          </w:p>
        </w:tc>
        <w:tc>
          <w:tcPr>
            <w:tcW w:w="1772" w:type="pct"/>
            <w:shd w:val="clear" w:color="auto" w:fill="auto"/>
            <w:vAlign w:val="center"/>
          </w:tcPr>
          <w:p w14:paraId="023347D9" w14:textId="77777777" w:rsidR="00B432CC" w:rsidRDefault="00B432CC" w:rsidP="004C79C1">
            <w:pPr>
              <w:pStyle w:val="TableText0"/>
              <w:spacing w:before="0" w:after="120"/>
              <w:jc w:val="center"/>
              <w:rPr>
                <w:snapToGrid w:val="0"/>
              </w:rPr>
            </w:pPr>
            <w:r>
              <w:rPr>
                <w:snapToGrid w:val="0"/>
              </w:rPr>
              <w:t>2 (1)</w:t>
            </w:r>
          </w:p>
        </w:tc>
        <w:tc>
          <w:tcPr>
            <w:tcW w:w="1697" w:type="pct"/>
          </w:tcPr>
          <w:p w14:paraId="045802B6" w14:textId="77777777" w:rsidR="00B432CC" w:rsidRDefault="00B432CC" w:rsidP="004C79C1">
            <w:pPr>
              <w:pStyle w:val="TableText0"/>
              <w:spacing w:before="0" w:after="120"/>
              <w:jc w:val="center"/>
              <w:rPr>
                <w:snapToGrid w:val="0"/>
              </w:rPr>
            </w:pPr>
            <w:r>
              <w:rPr>
                <w:snapToGrid w:val="0"/>
              </w:rPr>
              <w:t>2 (1)</w:t>
            </w:r>
          </w:p>
        </w:tc>
      </w:tr>
    </w:tbl>
    <w:p w14:paraId="166C115D" w14:textId="01E74E53" w:rsidR="00DF1743" w:rsidRDefault="00DF1743" w:rsidP="004C79C1">
      <w:pPr>
        <w:pStyle w:val="Tablenotes0"/>
        <w:spacing w:before="0" w:after="120"/>
      </w:pPr>
      <w:r>
        <w:t xml:space="preserve">Source: </w:t>
      </w:r>
      <w:r>
        <w:fldChar w:fldCharType="begin"/>
      </w:r>
      <w:r>
        <w:instrText xml:space="preserve"> ADDIN EN.CITE &lt;EndNote&gt;&lt;Cite&gt;&lt;Author&gt;Abassi SA&lt;/Author&gt;&lt;Year&gt;2013&lt;/Year&gt;&lt;RecNum&gt;106&lt;/RecNum&gt;&lt;DisplayText&gt;(Abassi SA et al. 2013)&lt;/DisplayText&gt;&lt;record&gt;&lt;rec-number&gt;106&lt;/rec-number&gt;&lt;foreign-keys&gt;&lt;key app="EN" db-id="pfxxvref0t0a5de2vwnv2fwkz0p9v0r2fw0t" timestamp="1458687902"&gt;106&lt;/key&gt;&lt;/foreign-keys&gt;&lt;ref-type name="Journal Article"&gt;17&lt;/ref-type&gt;&lt;contributors&gt;&lt;authors&gt;&lt;author&gt;Abassi SA, &lt;/author&gt;&lt;author&gt;Ertel A, &lt;/author&gt;&lt;author&gt;Shah RV, &lt;/author&gt;&lt;author&gt;Dandekar V, &lt;/author&gt;&lt;author&gt;Chung J, &lt;/author&gt;&lt;author&gt;Bhat G, &lt;/author&gt;&lt;author&gt;Desai AA, &lt;/author&gt;&lt;author&gt;Kwoong RY, &lt;/author&gt;&lt;author&gt;Farzaneh-Far A, &lt;/author&gt;&lt;/authors&gt;&lt;/contributors&gt;&lt;titles&gt;&lt;title&gt;Impact of a new cardiac magnetic resonance (CMR) program on management and clinical decision-making in cardiomyopathy patients&lt;/title&gt;&lt;/titles&gt;&lt;dates&gt;&lt;year&gt;2013&lt;/year&gt;&lt;/dates&gt;&lt;urls&gt;&lt;/urls&gt;&lt;/record&gt;&lt;/Cite&gt;&lt;/EndNote&gt;</w:instrText>
      </w:r>
      <w:r>
        <w:fldChar w:fldCharType="separate"/>
      </w:r>
      <w:hyperlink w:anchor="_ENREF_1" w:tooltip="Abassi SA, 2013 #106" w:history="1">
        <w:r>
          <w:rPr>
            <w:noProof/>
          </w:rPr>
          <w:t>Abassi et al. (2013</w:t>
        </w:r>
      </w:hyperlink>
      <w:r>
        <w:rPr>
          <w:noProof/>
        </w:rPr>
        <w:t>)</w:t>
      </w:r>
      <w:r>
        <w:fldChar w:fldCharType="end"/>
      </w:r>
    </w:p>
    <w:p w14:paraId="05A79ECF" w14:textId="4AE2C984" w:rsidR="00673731" w:rsidRDefault="00673731" w:rsidP="004C79C1">
      <w:pPr>
        <w:pStyle w:val="Tablenotes0"/>
        <w:spacing w:before="0" w:after="120"/>
      </w:pPr>
      <w:r>
        <w:t>CABG</w:t>
      </w:r>
      <w:r w:rsidR="00ED0326">
        <w:t xml:space="preserve"> </w:t>
      </w:r>
      <w:r>
        <w:t>=</w:t>
      </w:r>
      <w:r w:rsidR="00ED0326">
        <w:t xml:space="preserve"> </w:t>
      </w:r>
      <w:r>
        <w:t>coronary artery bypa</w:t>
      </w:r>
      <w:r w:rsidRPr="00AB0D8D">
        <w:t>ss grafting; CMR</w:t>
      </w:r>
      <w:r w:rsidR="00ED0326" w:rsidRPr="00AB0D8D">
        <w:t xml:space="preserve"> </w:t>
      </w:r>
      <w:r w:rsidRPr="00AB0D8D">
        <w:t>=</w:t>
      </w:r>
      <w:r w:rsidR="00ED0326" w:rsidRPr="00AB0D8D">
        <w:t xml:space="preserve"> </w:t>
      </w:r>
      <w:r w:rsidRPr="00AB0D8D">
        <w:t xml:space="preserve">cardiac magnetic resonance </w:t>
      </w:r>
      <w:r w:rsidR="00372D4E">
        <w:t>(</w:t>
      </w:r>
      <w:r w:rsidRPr="00AB0D8D">
        <w:t>imaging</w:t>
      </w:r>
      <w:r w:rsidR="00372D4E">
        <w:t>)</w:t>
      </w:r>
      <w:r w:rsidRPr="00AB0D8D">
        <w:t xml:space="preserve">; </w:t>
      </w:r>
      <w:r w:rsidR="00DE3A8D" w:rsidRPr="00AB0D8D">
        <w:t xml:space="preserve">HF = heart failure; ICD = </w:t>
      </w:r>
      <w:r w:rsidR="00AE48FD" w:rsidRPr="007D1F2A">
        <w:t xml:space="preserve">implantable </w:t>
      </w:r>
      <w:r w:rsidR="0026063B">
        <w:t>cardioverter defibrillator</w:t>
      </w:r>
      <w:r w:rsidR="00DE3A8D" w:rsidRPr="00AB0D8D">
        <w:t xml:space="preserve">; </w:t>
      </w:r>
      <w:r w:rsidRPr="00AB0D8D">
        <w:t>N</w:t>
      </w:r>
      <w:r w:rsidR="00ED0326" w:rsidRPr="00AB0D8D">
        <w:t xml:space="preserve"> </w:t>
      </w:r>
      <w:r w:rsidRPr="00AB0D8D">
        <w:t>=</w:t>
      </w:r>
      <w:r w:rsidR="00ED0326">
        <w:t xml:space="preserve"> </w:t>
      </w:r>
      <w:r>
        <w:t>number; PCI</w:t>
      </w:r>
      <w:r w:rsidR="00ED0326">
        <w:t xml:space="preserve"> </w:t>
      </w:r>
      <w:r>
        <w:t>=</w:t>
      </w:r>
      <w:r w:rsidR="00ED0326">
        <w:t xml:space="preserve"> </w:t>
      </w:r>
      <w:r>
        <w:t>percutaneous coronary intervention</w:t>
      </w:r>
    </w:p>
    <w:p w14:paraId="0493B1CF" w14:textId="77777777" w:rsidR="0072132B" w:rsidRDefault="0072132B" w:rsidP="004C79C1">
      <w:pPr>
        <w:spacing w:after="120" w:line="240" w:lineRule="auto"/>
        <w:jc w:val="both"/>
      </w:pPr>
    </w:p>
    <w:p w14:paraId="38BEDAFC" w14:textId="099FC3C4" w:rsidR="00673731" w:rsidRPr="00673731" w:rsidRDefault="00270B6D" w:rsidP="004C79C1">
      <w:pPr>
        <w:spacing w:after="120" w:line="240" w:lineRule="auto"/>
        <w:jc w:val="both"/>
      </w:pPr>
      <w:r>
        <w:t>Bruder et al</w:t>
      </w:r>
      <w:r w:rsidR="004B754C">
        <w:t>.</w:t>
      </w:r>
      <w:r>
        <w:t xml:space="preserve"> </w:t>
      </w:r>
      <w:r w:rsidR="005771A0">
        <w:t xml:space="preserve">(2009) </w:t>
      </w:r>
      <w:r>
        <w:t xml:space="preserve">reported on the number of patients who underwent therapeutic consequences following CMR in the subgroup </w:t>
      </w:r>
      <w:r w:rsidR="00A77DDB">
        <w:t xml:space="preserve">that </w:t>
      </w:r>
      <w:r>
        <w:t>was indicated for myocarditis or CM (</w:t>
      </w:r>
      <w:r>
        <w:rPr>
          <w:highlight w:val="yellow"/>
        </w:rPr>
        <w:fldChar w:fldCharType="begin"/>
      </w:r>
      <w:r>
        <w:instrText xml:space="preserve"> REF _Ref445819344 \h </w:instrText>
      </w:r>
      <w:r>
        <w:rPr>
          <w:highlight w:val="yellow"/>
        </w:rPr>
        <w:instrText xml:space="preserve"> \* MERGEFORMAT </w:instrText>
      </w:r>
      <w:r>
        <w:rPr>
          <w:highlight w:val="yellow"/>
        </w:rPr>
      </w:r>
      <w:r>
        <w:rPr>
          <w:highlight w:val="yellow"/>
        </w:rPr>
        <w:fldChar w:fldCharType="separate"/>
      </w:r>
      <w:r w:rsidR="00784796">
        <w:t xml:space="preserve">Table </w:t>
      </w:r>
      <w:r w:rsidR="00784796">
        <w:rPr>
          <w:noProof/>
        </w:rPr>
        <w:t>23</w:t>
      </w:r>
      <w:r>
        <w:rPr>
          <w:highlight w:val="yellow"/>
        </w:rPr>
        <w:fldChar w:fldCharType="end"/>
      </w:r>
      <w:r>
        <w:t>). The total number of patients with therapeutic consequences was 1</w:t>
      </w:r>
      <w:r w:rsidR="00A77DDB">
        <w:t>,</w:t>
      </w:r>
      <w:r>
        <w:t xml:space="preserve">545 </w:t>
      </w:r>
      <w:r w:rsidR="00A77DDB">
        <w:t>(</w:t>
      </w:r>
      <w:r>
        <w:t>44% of 3</w:t>
      </w:r>
      <w:r w:rsidR="00A77DDB">
        <w:t>,</w:t>
      </w:r>
      <w:r>
        <w:t>511 patients in the subgroup</w:t>
      </w:r>
      <w:r w:rsidR="00A77DDB">
        <w:t>)</w:t>
      </w:r>
      <w:r>
        <w:t xml:space="preserve">. These data were not stratified into procedures avoided </w:t>
      </w:r>
      <w:r w:rsidR="00B5626B">
        <w:t xml:space="preserve">or </w:t>
      </w:r>
      <w:r>
        <w:t>conducted as a result of undergoing CMR.</w:t>
      </w:r>
    </w:p>
    <w:p w14:paraId="6EFC6551" w14:textId="5125F3DE" w:rsidR="003F36FF" w:rsidRDefault="003F36FF" w:rsidP="004C79C1">
      <w:pPr>
        <w:pStyle w:val="Caption"/>
        <w:keepNext/>
      </w:pPr>
      <w:bookmarkStart w:id="417" w:name="_Ref445819344"/>
      <w:bookmarkStart w:id="418" w:name="_Toc324410178"/>
      <w:bookmarkStart w:id="419" w:name="_Toc451435352"/>
      <w:r>
        <w:t xml:space="preserve">Table </w:t>
      </w:r>
      <w:fldSimple w:instr=" SEQ Table \* ARABIC ">
        <w:r w:rsidR="00050936">
          <w:rPr>
            <w:noProof/>
          </w:rPr>
          <w:t>25</w:t>
        </w:r>
      </w:fldSimple>
      <w:bookmarkEnd w:id="417"/>
      <w:r>
        <w:tab/>
        <w:t xml:space="preserve">Patients indicated for myocarditis or CM with therapeutic consequences following CMR </w:t>
      </w:r>
      <w:r w:rsidR="00187A29">
        <w:fldChar w:fldCharType="begin"/>
      </w:r>
      <w:r w:rsidR="00187A29">
        <w:instrText xml:space="preserve"> ADDIN EN.CITE &lt;EndNote&gt;&lt;Cite&gt;&lt;Author&gt;Bruder O&lt;/Author&gt;&lt;Year&gt;2009&lt;/Year&gt;&lt;RecNum&gt;108&lt;/RecNum&gt;&lt;IDText&gt;1457-66&lt;/IDText&gt;&lt;DisplayText&gt;(Bruder O et al. 2009)&lt;/DisplayText&gt;&lt;record&gt;&lt;rec-number&gt;108&lt;/rec-number&gt;&lt;foreign-keys&gt;&lt;key app="EN" db-id="pfxxvref0t0a5de2vwnv2fwkz0p9v0r2fw0t" timestamp="1458687902"&gt;108&lt;/key&gt;&lt;/foreign-keys&gt;&lt;ref-type name="Journal Article"&gt;17&lt;/ref-type&gt;&lt;contributors&gt;&lt;authors&gt;&lt;author&gt;Bruder O, &lt;/author&gt;&lt;author&gt;Schneider S, &lt;/author&gt;&lt;author&gt;Nothnagel D, &lt;/author&gt;&lt;author&gt;Dill T, &lt;/author&gt;&lt;author&gt;Hombach V, &lt;/author&gt;&lt;author&gt;Schulz-Menger J, &lt;/author&gt;&lt;author&gt;Nagel E, &lt;/author&gt;&lt;author&gt;Lombardi M, &lt;/author&gt;&lt;author&gt;van Rossum AC, &lt;/author&gt;&lt;author&gt;Wagner A, &lt;/author&gt;&lt;author&gt;Schwitter J, &lt;/author&gt;&lt;author&gt;Senges J, &lt;/author&gt;&lt;author&gt;Sabin GV, &lt;/author&gt;&lt;author&gt;Sechtem U,&lt;/author&gt;&lt;author&gt;Mahrholdt H, &lt;/author&gt;&lt;/authors&gt;&lt;/contributors&gt;&lt;titles&gt;&lt;title&gt;EuroCMR (European Cardiovascular Magnetic Resonance) registry: results of the German pilot phase&lt;/title&gt;&lt;secondary-title&gt;J Am Coll Cardiol&lt;/secondary-title&gt;&lt;/titles&gt;&lt;periodical&gt;&lt;full-title&gt;J Am Coll Cardiol&lt;/full-title&gt;&lt;/periodical&gt;&lt;pages&gt;1457-66&lt;/pages&gt;&lt;volume&gt;54&lt;/volume&gt;&lt;number&gt;15&lt;/number&gt;&lt;dates&gt;&lt;year&gt;2009&lt;/year&gt;&lt;pub-dates&gt;&lt;date&gt;2009-01-01&lt;/date&gt;&lt;/pub-dates&gt;&lt;/dates&gt;&lt;isbn&gt;0735-1097 (Print) 0735-1097&lt;/isbn&gt;&lt;urls&gt;&lt;related-urls&gt;&lt;url&gt;http://ac.els-cdn.com/S0735109709022451/1-s2.0-S0735109709022451-main.pdf?_tid=fafb48cc-c092-11e5-b964-00000aab0f6b&amp;amp;acdnat=1453417501_6eac3891612277439962d47546b6e40f&lt;/url&gt;&lt;/related-urls&gt;&lt;/urls&gt;&lt;custom1&gt;RAYYAN-INCLUSION: {&amp;quot;Sharon&amp;quot;=&amp;gt;true} | RAYYAN-LABELS: general&lt;/custom1&gt;&lt;language&gt;eng&lt;/language&gt;&lt;/record&gt;&lt;/Cite&gt;&lt;/EndNote&gt;</w:instrText>
      </w:r>
      <w:r w:rsidR="00187A29">
        <w:fldChar w:fldCharType="separate"/>
      </w:r>
      <w:r w:rsidR="00187A29">
        <w:rPr>
          <w:noProof/>
        </w:rPr>
        <w:t>(</w:t>
      </w:r>
      <w:hyperlink w:anchor="_ENREF_15" w:tooltip="Bruder O, 2009 #108" w:history="1">
        <w:r w:rsidR="00B906E9">
          <w:rPr>
            <w:noProof/>
          </w:rPr>
          <w:t>Bruder et al. 2009</w:t>
        </w:r>
      </w:hyperlink>
      <w:r w:rsidR="00187A29">
        <w:rPr>
          <w:noProof/>
        </w:rPr>
        <w:t>)</w:t>
      </w:r>
      <w:bookmarkEnd w:id="418"/>
      <w:bookmarkEnd w:id="419"/>
      <w:r w:rsidR="00187A29">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5"/>
        <w:gridCol w:w="4457"/>
      </w:tblGrid>
      <w:tr w:rsidR="003F36FF" w:rsidRPr="00183E4D" w14:paraId="775DA8E0" w14:textId="77777777" w:rsidTr="006F46F9">
        <w:tc>
          <w:tcPr>
            <w:tcW w:w="2546" w:type="pct"/>
          </w:tcPr>
          <w:p w14:paraId="63C7C4F7" w14:textId="77777777" w:rsidR="003F36FF" w:rsidRDefault="003F36FF" w:rsidP="004C79C1">
            <w:pPr>
              <w:pStyle w:val="TableHeading"/>
              <w:spacing w:before="0" w:after="120"/>
              <w:jc w:val="center"/>
              <w:rPr>
                <w:snapToGrid w:val="0"/>
                <w:lang w:eastAsia="en-US"/>
              </w:rPr>
            </w:pPr>
            <w:r>
              <w:rPr>
                <w:snapToGrid w:val="0"/>
                <w:lang w:eastAsia="en-US"/>
              </w:rPr>
              <w:t xml:space="preserve">Management </w:t>
            </w:r>
          </w:p>
        </w:tc>
        <w:tc>
          <w:tcPr>
            <w:tcW w:w="2454" w:type="pct"/>
          </w:tcPr>
          <w:p w14:paraId="01DC3158" w14:textId="77777777" w:rsidR="003F36FF" w:rsidRDefault="003F36FF" w:rsidP="004C79C1">
            <w:pPr>
              <w:pStyle w:val="TableHeading"/>
              <w:spacing w:before="0" w:after="120"/>
              <w:jc w:val="center"/>
              <w:rPr>
                <w:snapToGrid w:val="0"/>
                <w:lang w:eastAsia="en-US"/>
              </w:rPr>
            </w:pPr>
            <w:r>
              <w:rPr>
                <w:snapToGrid w:val="0"/>
                <w:lang w:eastAsia="en-US"/>
              </w:rPr>
              <w:t>N (%)</w:t>
            </w:r>
          </w:p>
        </w:tc>
      </w:tr>
      <w:tr w:rsidR="003F36FF" w:rsidRPr="00976FCD" w14:paraId="592791A5" w14:textId="77777777" w:rsidTr="006F46F9">
        <w:tc>
          <w:tcPr>
            <w:tcW w:w="2546" w:type="pct"/>
          </w:tcPr>
          <w:p w14:paraId="5F248426" w14:textId="77777777" w:rsidR="003F36FF" w:rsidRDefault="003F36FF" w:rsidP="004C79C1">
            <w:pPr>
              <w:pStyle w:val="TableText0"/>
              <w:spacing w:before="0" w:after="120"/>
              <w:rPr>
                <w:snapToGrid w:val="0"/>
              </w:rPr>
            </w:pPr>
            <w:r>
              <w:rPr>
                <w:snapToGrid w:val="0"/>
              </w:rPr>
              <w:t>Change in medication</w:t>
            </w:r>
          </w:p>
        </w:tc>
        <w:tc>
          <w:tcPr>
            <w:tcW w:w="2454" w:type="pct"/>
          </w:tcPr>
          <w:p w14:paraId="16EE906E" w14:textId="77777777" w:rsidR="003F36FF" w:rsidRDefault="003F36FF" w:rsidP="004C79C1">
            <w:pPr>
              <w:pStyle w:val="TableText0"/>
              <w:spacing w:before="0" w:after="120"/>
              <w:jc w:val="center"/>
              <w:rPr>
                <w:snapToGrid w:val="0"/>
              </w:rPr>
            </w:pPr>
            <w:r>
              <w:rPr>
                <w:snapToGrid w:val="0"/>
              </w:rPr>
              <w:t>797 (22.7)</w:t>
            </w:r>
          </w:p>
        </w:tc>
      </w:tr>
      <w:tr w:rsidR="003F36FF" w:rsidRPr="00976FCD" w14:paraId="5A425A0F" w14:textId="77777777" w:rsidTr="006F46F9">
        <w:tc>
          <w:tcPr>
            <w:tcW w:w="2546" w:type="pct"/>
          </w:tcPr>
          <w:p w14:paraId="5E0B3DEF" w14:textId="77777777" w:rsidR="003F36FF" w:rsidRDefault="003F36FF" w:rsidP="004C79C1">
            <w:pPr>
              <w:pStyle w:val="TableText0"/>
              <w:spacing w:before="0" w:after="120"/>
              <w:rPr>
                <w:snapToGrid w:val="0"/>
              </w:rPr>
            </w:pPr>
            <w:r>
              <w:rPr>
                <w:snapToGrid w:val="0"/>
              </w:rPr>
              <w:t>Intervention or surgery</w:t>
            </w:r>
          </w:p>
        </w:tc>
        <w:tc>
          <w:tcPr>
            <w:tcW w:w="2454" w:type="pct"/>
          </w:tcPr>
          <w:p w14:paraId="7053CF3D" w14:textId="77777777" w:rsidR="003F36FF" w:rsidRDefault="003F36FF" w:rsidP="004C79C1">
            <w:pPr>
              <w:pStyle w:val="TableText0"/>
              <w:spacing w:before="0" w:after="120"/>
              <w:jc w:val="center"/>
              <w:rPr>
                <w:snapToGrid w:val="0"/>
              </w:rPr>
            </w:pPr>
            <w:r>
              <w:rPr>
                <w:snapToGrid w:val="0"/>
              </w:rPr>
              <w:t>102 (2.9)</w:t>
            </w:r>
          </w:p>
        </w:tc>
      </w:tr>
      <w:tr w:rsidR="003F36FF" w:rsidRPr="00976FCD" w14:paraId="57201C6B" w14:textId="77777777" w:rsidTr="006F46F9">
        <w:tc>
          <w:tcPr>
            <w:tcW w:w="2546" w:type="pct"/>
          </w:tcPr>
          <w:p w14:paraId="3E85D7E0" w14:textId="775CACEB" w:rsidR="003F36FF" w:rsidRDefault="003F36FF" w:rsidP="004C79C1">
            <w:pPr>
              <w:pStyle w:val="TableText0"/>
              <w:spacing w:before="0" w:after="120"/>
              <w:rPr>
                <w:snapToGrid w:val="0"/>
              </w:rPr>
            </w:pPr>
            <w:r>
              <w:rPr>
                <w:snapToGrid w:val="0"/>
              </w:rPr>
              <w:t>Hospital total</w:t>
            </w:r>
            <w:r w:rsidR="006145FB">
              <w:rPr>
                <w:snapToGrid w:val="0"/>
              </w:rPr>
              <w:t>:</w:t>
            </w:r>
          </w:p>
          <w:p w14:paraId="2FB791D4" w14:textId="77777777" w:rsidR="003F36FF" w:rsidRDefault="003F36FF" w:rsidP="004C79C1">
            <w:pPr>
              <w:pStyle w:val="TableText0"/>
              <w:spacing w:before="0" w:after="120"/>
              <w:ind w:left="251"/>
              <w:rPr>
                <w:snapToGrid w:val="0"/>
              </w:rPr>
            </w:pPr>
            <w:r>
              <w:rPr>
                <w:snapToGrid w:val="0"/>
              </w:rPr>
              <w:t>Hospital admission</w:t>
            </w:r>
          </w:p>
          <w:p w14:paraId="3062499C" w14:textId="77777777" w:rsidR="003F36FF" w:rsidRDefault="003F36FF" w:rsidP="004C79C1">
            <w:pPr>
              <w:pStyle w:val="TableText0"/>
              <w:spacing w:before="0" w:after="120"/>
              <w:ind w:left="251"/>
              <w:rPr>
                <w:snapToGrid w:val="0"/>
              </w:rPr>
            </w:pPr>
            <w:r>
              <w:rPr>
                <w:snapToGrid w:val="0"/>
              </w:rPr>
              <w:t>Hospital discharge</w:t>
            </w:r>
          </w:p>
        </w:tc>
        <w:tc>
          <w:tcPr>
            <w:tcW w:w="2454" w:type="pct"/>
          </w:tcPr>
          <w:p w14:paraId="45AEA61C" w14:textId="77777777" w:rsidR="003F36FF" w:rsidRDefault="003F36FF" w:rsidP="004C79C1">
            <w:pPr>
              <w:pStyle w:val="TableText0"/>
              <w:spacing w:before="0" w:after="120"/>
              <w:jc w:val="center"/>
              <w:rPr>
                <w:snapToGrid w:val="0"/>
              </w:rPr>
            </w:pPr>
            <w:r>
              <w:rPr>
                <w:snapToGrid w:val="0"/>
              </w:rPr>
              <w:t>74 (2.1)</w:t>
            </w:r>
          </w:p>
          <w:p w14:paraId="5827621A" w14:textId="77777777" w:rsidR="003F36FF" w:rsidRDefault="003F36FF" w:rsidP="004C79C1">
            <w:pPr>
              <w:pStyle w:val="TableText0"/>
              <w:spacing w:before="0" w:after="120"/>
              <w:jc w:val="center"/>
              <w:rPr>
                <w:snapToGrid w:val="0"/>
              </w:rPr>
            </w:pPr>
            <w:r>
              <w:rPr>
                <w:snapToGrid w:val="0"/>
              </w:rPr>
              <w:t>14 (0.4)</w:t>
            </w:r>
          </w:p>
          <w:p w14:paraId="79EB68CB" w14:textId="77777777" w:rsidR="003F36FF" w:rsidRDefault="003F36FF" w:rsidP="004C79C1">
            <w:pPr>
              <w:pStyle w:val="TableText0"/>
              <w:spacing w:before="0" w:after="120"/>
              <w:jc w:val="center"/>
              <w:rPr>
                <w:snapToGrid w:val="0"/>
              </w:rPr>
            </w:pPr>
            <w:r>
              <w:rPr>
                <w:snapToGrid w:val="0"/>
              </w:rPr>
              <w:t>60 (1.7)</w:t>
            </w:r>
          </w:p>
        </w:tc>
      </w:tr>
    </w:tbl>
    <w:p w14:paraId="05EF2BA3" w14:textId="56F195F6" w:rsidR="003F36FF" w:rsidRDefault="006145FB" w:rsidP="004C79C1">
      <w:pPr>
        <w:pStyle w:val="Tablenotes0"/>
        <w:spacing w:before="0" w:after="120"/>
      </w:pPr>
      <w:r>
        <w:t xml:space="preserve">CM = cardiomyopathy; </w:t>
      </w:r>
      <w:r w:rsidR="003F36FF">
        <w:t>CMR</w:t>
      </w:r>
      <w:r w:rsidR="005771A0">
        <w:t xml:space="preserve"> </w:t>
      </w:r>
      <w:r w:rsidR="003F36FF">
        <w:t>=</w:t>
      </w:r>
      <w:r w:rsidR="005771A0">
        <w:t xml:space="preserve"> </w:t>
      </w:r>
      <w:r w:rsidR="003F36FF">
        <w:t>cardiac magnetic resonance</w:t>
      </w:r>
      <w:r w:rsidR="00247D8F">
        <w:t xml:space="preserve"> (imaging)</w:t>
      </w:r>
      <w:r w:rsidR="003F36FF">
        <w:t>; N</w:t>
      </w:r>
      <w:r w:rsidR="005771A0">
        <w:t xml:space="preserve"> </w:t>
      </w:r>
      <w:r w:rsidR="003F36FF">
        <w:t>=</w:t>
      </w:r>
      <w:r w:rsidR="005771A0">
        <w:t xml:space="preserve"> </w:t>
      </w:r>
      <w:r w:rsidR="003F36FF">
        <w:t>number</w:t>
      </w:r>
      <w:r w:rsidR="00497DA1">
        <w:t xml:space="preserve"> of patients</w:t>
      </w:r>
    </w:p>
    <w:p w14:paraId="71D99AA8" w14:textId="0D6F5794" w:rsidR="0066524F" w:rsidRPr="00E86508" w:rsidRDefault="0066524F" w:rsidP="004C79C1">
      <w:pPr>
        <w:spacing w:after="120" w:line="240" w:lineRule="auto"/>
        <w:jc w:val="both"/>
        <w:rPr>
          <w:rFonts w:ascii="Cambria Math" w:hAnsi="Cambria Math" w:cs="Cambria Math"/>
          <w:sz w:val="20"/>
          <w:szCs w:val="20"/>
        </w:rPr>
      </w:pPr>
      <w:r w:rsidRPr="00F24D4E">
        <w:t xml:space="preserve">The evidence for planned devices, procedures and surgeries avoided was taken from </w:t>
      </w:r>
      <w:r w:rsidR="00F81E13">
        <w:t>2</w:t>
      </w:r>
      <w:r w:rsidR="00F81E13" w:rsidRPr="00F24D4E">
        <w:t xml:space="preserve"> </w:t>
      </w:r>
      <w:r w:rsidR="00F24D4E" w:rsidRPr="00F24D4E">
        <w:t xml:space="preserve">case series </w:t>
      </w:r>
      <w:r w:rsidRPr="00F24D4E">
        <w:t xml:space="preserve">that </w:t>
      </w:r>
      <w:r w:rsidR="00F24D4E" w:rsidRPr="00F24D4E">
        <w:t>investigated broader populations</w:t>
      </w:r>
      <w:r w:rsidR="00F24D4E">
        <w:t xml:space="preserve"> of patients with myocarditis </w:t>
      </w:r>
      <w:r w:rsidR="00F81E13">
        <w:t xml:space="preserve">or </w:t>
      </w:r>
      <w:r w:rsidR="001507D5">
        <w:t>CMs</w:t>
      </w:r>
      <w:r w:rsidR="00F24D4E">
        <w:t>, or having their viability assessed</w:t>
      </w:r>
      <w:r w:rsidRPr="00F24D4E">
        <w:t>. Together</w:t>
      </w:r>
      <w:r w:rsidR="001507D5">
        <w:t>,</w:t>
      </w:r>
      <w:r w:rsidRPr="00F24D4E">
        <w:t xml:space="preserve"> the evidence was assessed as </w:t>
      </w:r>
      <w:r w:rsidR="00F24D4E">
        <w:t>l</w:t>
      </w:r>
      <w:r w:rsidRPr="00F24D4E">
        <w:t>ow quality using the GRADE system (</w:t>
      </w:r>
      <w:r w:rsidRPr="00F24D4E">
        <w:rPr>
          <w:rFonts w:ascii="Cambria Math" w:hAnsi="Cambria Math" w:cs="Cambria Math"/>
          <w:color w:val="00B050"/>
          <w:sz w:val="20"/>
          <w:szCs w:val="20"/>
        </w:rPr>
        <w:t>⨁⨁</w:t>
      </w:r>
      <w:r w:rsidRPr="00F24D4E">
        <w:rPr>
          <w:rFonts w:ascii="Cambria Math" w:hAnsi="Cambria Math" w:cs="Cambria Math"/>
          <w:color w:val="C00000"/>
        </w:rPr>
        <w:t>⨀⨀</w:t>
      </w:r>
      <w:r w:rsidRPr="00F24D4E">
        <w:t>)</w:t>
      </w:r>
      <w:r w:rsidRPr="00F24D4E">
        <w:rPr>
          <w:rFonts w:ascii="Cambria Math" w:hAnsi="Cambria Math" w:cs="Cambria Math"/>
          <w:sz w:val="20"/>
          <w:szCs w:val="20"/>
        </w:rPr>
        <w:t>.</w:t>
      </w:r>
    </w:p>
    <w:p w14:paraId="205FC259" w14:textId="7408840B" w:rsidR="00951666" w:rsidRDefault="00951666" w:rsidP="004C79C1">
      <w:pPr>
        <w:pStyle w:val="Heading2"/>
        <w:spacing w:before="0" w:after="120" w:line="240" w:lineRule="auto"/>
      </w:pPr>
      <w:bookmarkStart w:id="420" w:name="_Toc451501341"/>
      <w:r>
        <w:lastRenderedPageBreak/>
        <w:t xml:space="preserve">B5.2 </w:t>
      </w:r>
      <w:r>
        <w:tab/>
        <w:t xml:space="preserve">Therapeutic </w:t>
      </w:r>
      <w:r w:rsidR="002E0970">
        <w:t>E</w:t>
      </w:r>
      <w:r>
        <w:t>ffectiveness</w:t>
      </w:r>
      <w:bookmarkEnd w:id="420"/>
    </w:p>
    <w:p w14:paraId="229A70C0" w14:textId="4CF57E62" w:rsidR="00110B75" w:rsidRPr="00110B75" w:rsidRDefault="00B4098B" w:rsidP="00161B88">
      <w:pPr>
        <w:pStyle w:val="Heading3"/>
      </w:pPr>
      <w:bookmarkStart w:id="421" w:name="_Toc451501342"/>
      <w:r>
        <w:t>B</w:t>
      </w:r>
      <w:r w:rsidRPr="00B4098B">
        <w:rPr>
          <w:bCs/>
        </w:rPr>
        <w:t>5.2.1</w:t>
      </w:r>
      <w:r>
        <w:t xml:space="preserve"> </w:t>
      </w:r>
      <w:r w:rsidR="00A36FFB" w:rsidRPr="00183E4D">
        <w:t xml:space="preserve">Risk of </w:t>
      </w:r>
      <w:r w:rsidR="002E0970">
        <w:t>b</w:t>
      </w:r>
      <w:r w:rsidR="00A36FFB" w:rsidRPr="00183E4D">
        <w:t xml:space="preserve">ias </w:t>
      </w:r>
      <w:r w:rsidR="002E0970">
        <w:t>a</w:t>
      </w:r>
      <w:r w:rsidR="00A36FFB" w:rsidRPr="00183E4D">
        <w:t>ssessmen</w:t>
      </w:r>
      <w:r w:rsidR="00951666">
        <w:t>t</w:t>
      </w:r>
      <w:bookmarkEnd w:id="421"/>
    </w:p>
    <w:p w14:paraId="5E314278" w14:textId="1697960B" w:rsidR="00110B75" w:rsidRPr="00110B75" w:rsidRDefault="00110B75" w:rsidP="004C79C1">
      <w:pPr>
        <w:spacing w:after="120" w:line="240" w:lineRule="auto"/>
        <w:jc w:val="both"/>
        <w:rPr>
          <w:i/>
        </w:rPr>
      </w:pPr>
      <w:r>
        <w:t xml:space="preserve">Due to the range of different </w:t>
      </w:r>
      <w:r w:rsidR="00951666">
        <w:t xml:space="preserve">ways in which CMR may </w:t>
      </w:r>
      <w:r>
        <w:t>change</w:t>
      </w:r>
      <w:r w:rsidR="00951666">
        <w:t xml:space="preserve"> the </w:t>
      </w:r>
      <w:r>
        <w:t xml:space="preserve">management </w:t>
      </w:r>
      <w:r w:rsidR="00951666">
        <w:t>of patients with suspected DCM</w:t>
      </w:r>
      <w:r>
        <w:t xml:space="preserve">, data for this section were identified through a rapid review of the literature, </w:t>
      </w:r>
      <w:r w:rsidR="00951666">
        <w:t>searching for high</w:t>
      </w:r>
      <w:r w:rsidR="00F81E13">
        <w:t>-</w:t>
      </w:r>
      <w:r w:rsidR="00951666">
        <w:t>level evidence on treatment effectiveness</w:t>
      </w:r>
      <w:r w:rsidR="00F81E13">
        <w:t>,</w:t>
      </w:r>
      <w:r w:rsidR="00214933">
        <w:t xml:space="preserve"> </w:t>
      </w:r>
      <w:r w:rsidR="00F81E13">
        <w:t xml:space="preserve">and </w:t>
      </w:r>
      <w:r w:rsidR="00214933">
        <w:t>giving preference to recent and more</w:t>
      </w:r>
      <w:r w:rsidR="001507D5">
        <w:t>-</w:t>
      </w:r>
      <w:r w:rsidR="00214933">
        <w:t>comprehensive reviews if several were available on the same topic</w:t>
      </w:r>
      <w:r w:rsidR="00951666">
        <w:t xml:space="preserve">. </w:t>
      </w:r>
    </w:p>
    <w:p w14:paraId="3929297B" w14:textId="0E278DD6" w:rsidR="00A36FFB" w:rsidRDefault="00A36FFB" w:rsidP="004C79C1">
      <w:pPr>
        <w:spacing w:after="120" w:line="240" w:lineRule="auto"/>
        <w:jc w:val="both"/>
      </w:pPr>
      <w:r>
        <w:t>S</w:t>
      </w:r>
      <w:r w:rsidR="000A79E8">
        <w:t>R</w:t>
      </w:r>
      <w:r>
        <w:t xml:space="preserve">s for this section were assessed using the AMSTAR checklist </w:t>
      </w:r>
      <w:r>
        <w:fldChar w:fldCharType="begin"/>
      </w:r>
      <w:r w:rsidR="00187A29">
        <w:instrText xml:space="preserve"> ADDIN EN.CITE &lt;EndNote&gt;&lt;Cite&gt;&lt;Author&gt;Shea&lt;/Author&gt;&lt;Year&gt;2007&lt;/Year&gt;&lt;RecNum&gt;70&lt;/RecNum&gt;&lt;IDText&gt;10&lt;/IDText&gt;&lt;DisplayText&gt;(Shea et al. 2007)&lt;/DisplayText&gt;&lt;record&gt;&lt;rec-number&gt;70&lt;/rec-number&gt;&lt;foreign-keys&gt;&lt;key app="EN" db-id="pfxxvref0t0a5de2vwnv2fwkz0p9v0r2fw0t" timestamp="1458109329"&gt;70&lt;/key&gt;&lt;/foreign-keys&gt;&lt;ref-type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fldChar w:fldCharType="separate"/>
      </w:r>
      <w:r>
        <w:rPr>
          <w:noProof/>
        </w:rPr>
        <w:t>(</w:t>
      </w:r>
      <w:hyperlink w:anchor="_ENREF_115" w:tooltip="Shea, 2007 #70" w:history="1">
        <w:r w:rsidR="00B906E9">
          <w:rPr>
            <w:noProof/>
          </w:rPr>
          <w:t>Shea et al. 2007</w:t>
        </w:r>
      </w:hyperlink>
      <w:r>
        <w:rPr>
          <w:noProof/>
        </w:rPr>
        <w:t>)</w:t>
      </w:r>
      <w:r>
        <w:fldChar w:fldCharType="end"/>
      </w:r>
      <w:r>
        <w:t>.</w:t>
      </w:r>
      <w:r w:rsidR="00946745">
        <w:t xml:space="preserve"> Seven well</w:t>
      </w:r>
      <w:r w:rsidR="000A79E8">
        <w:t>-</w:t>
      </w:r>
      <w:r w:rsidR="00946745">
        <w:t xml:space="preserve">performed </w:t>
      </w:r>
      <w:r w:rsidR="000A79E8">
        <w:t>SR</w:t>
      </w:r>
      <w:r w:rsidR="00946745">
        <w:t xml:space="preserve">s </w:t>
      </w:r>
      <w:r w:rsidR="006F08D8">
        <w:t xml:space="preserve">or </w:t>
      </w:r>
      <w:r w:rsidR="000A79E8" w:rsidRPr="00183E4D">
        <w:t>health technology assessment</w:t>
      </w:r>
      <w:r w:rsidR="000A79E8">
        <w:t>s (</w:t>
      </w:r>
      <w:r w:rsidR="006F08D8">
        <w:t>HTAs</w:t>
      </w:r>
      <w:r w:rsidR="001B4324">
        <w:t>)</w:t>
      </w:r>
      <w:r w:rsidR="006F08D8">
        <w:t xml:space="preserve"> </w:t>
      </w:r>
      <w:r w:rsidR="00946745">
        <w:t>were included</w:t>
      </w:r>
      <w:r w:rsidR="006F08D8">
        <w:t xml:space="preserve">, plus </w:t>
      </w:r>
      <w:r w:rsidR="00EF3670">
        <w:t xml:space="preserve">1 </w:t>
      </w:r>
      <w:r w:rsidR="006F08D8">
        <w:t>moderate</w:t>
      </w:r>
      <w:r w:rsidR="00EF3670">
        <w:t>-</w:t>
      </w:r>
      <w:r w:rsidR="006F08D8">
        <w:t>quality HTA</w:t>
      </w:r>
      <w:r w:rsidR="00946745">
        <w:t>, although the evidence they included w</w:t>
      </w:r>
      <w:r w:rsidR="00474E15">
        <w:t>as</w:t>
      </w:r>
      <w:r w:rsidR="00946745">
        <w:t xml:space="preserve"> considered to be </w:t>
      </w:r>
      <w:r w:rsidR="00EF3670">
        <w:t xml:space="preserve">at </w:t>
      </w:r>
      <w:r w:rsidR="00946745">
        <w:t>a high risk of bias and the subsequent GRADE of evidence was low</w:t>
      </w:r>
      <w:r w:rsidR="006F08D8">
        <w:t xml:space="preserve"> or very low</w:t>
      </w:r>
      <w:r w:rsidR="00946745">
        <w:t>.</w:t>
      </w:r>
      <w:r>
        <w:t xml:space="preserve"> Study profiles for the </w:t>
      </w:r>
      <w:r w:rsidR="00CD5EAF">
        <w:t>SR</w:t>
      </w:r>
      <w:r>
        <w:t>s identified may be found</w:t>
      </w:r>
      <w:r w:rsidR="00AF007A">
        <w:t xml:space="preserve"> in</w:t>
      </w:r>
      <w:r>
        <w:t xml:space="preserve"> Appendix C</w:t>
      </w:r>
      <w:r w:rsidR="00963ABC">
        <w:t xml:space="preserve"> (</w:t>
      </w:r>
      <w:r w:rsidR="00963ABC">
        <w:fldChar w:fldCharType="begin"/>
      </w:r>
      <w:r w:rsidR="00963ABC">
        <w:instrText xml:space="preserve"> REF _Ref448745468 \h </w:instrText>
      </w:r>
      <w:r w:rsidR="00963ABC">
        <w:fldChar w:fldCharType="separate"/>
      </w:r>
      <w:r w:rsidR="00034B8B">
        <w:t xml:space="preserve">Table </w:t>
      </w:r>
      <w:r w:rsidR="00034B8B">
        <w:rPr>
          <w:noProof/>
        </w:rPr>
        <w:t>84</w:t>
      </w:r>
      <w:r w:rsidR="00963ABC">
        <w:fldChar w:fldCharType="end"/>
      </w:r>
      <w:r w:rsidR="00963ABC">
        <w:t>)</w:t>
      </w:r>
      <w:r w:rsidR="00177B88">
        <w:t>.</w:t>
      </w:r>
      <w:r>
        <w:t xml:space="preserve"> Taylor</w:t>
      </w:r>
      <w:r w:rsidR="00176F05">
        <w:t>,</w:t>
      </w:r>
      <w:r w:rsidR="0071310B">
        <w:t xml:space="preserve"> AJ</w:t>
      </w:r>
      <w:r>
        <w:t xml:space="preserve"> et al. (2013) provided level III-2 evidence on health outcomes between those who avoided surgery or device implantation as a result of CMR and those who did not. This study was </w:t>
      </w:r>
      <w:r w:rsidRPr="001C2E66">
        <w:t>evaluated using the</w:t>
      </w:r>
      <w:r>
        <w:t xml:space="preserve"> SIGN methodological checklist for cohort studies, and was rated as having a high risk of bias for the outcomes of mortality, NYHA class and incidence of major events. </w:t>
      </w:r>
    </w:p>
    <w:p w14:paraId="7B292F9E" w14:textId="77777777" w:rsidR="00A36FFB" w:rsidRDefault="00A36FFB" w:rsidP="004C79C1">
      <w:pPr>
        <w:spacing w:after="120" w:line="240" w:lineRule="auto"/>
        <w:jc w:val="both"/>
      </w:pPr>
      <w:r>
        <w:t xml:space="preserve">Broch et al. (2015) provided case report data on the health outcomes after a management change due to CMR, but case reports have an inherently high risk of bias, and no risk of bias checklist was used. </w:t>
      </w:r>
    </w:p>
    <w:p w14:paraId="1472CE2D" w14:textId="22089AD9" w:rsidR="00A36FFB" w:rsidRPr="00183E4D" w:rsidRDefault="00B4098B" w:rsidP="00161B88">
      <w:pPr>
        <w:pStyle w:val="Heading3"/>
      </w:pPr>
      <w:bookmarkStart w:id="422" w:name="_Toc451501343"/>
      <w:r>
        <w:t xml:space="preserve">B5.2.2 </w:t>
      </w:r>
      <w:r w:rsidR="00A36FFB" w:rsidRPr="00183E4D">
        <w:t xml:space="preserve">Characteristics of the </w:t>
      </w:r>
      <w:r w:rsidR="002E0970">
        <w:t>e</w:t>
      </w:r>
      <w:r w:rsidR="00A36FFB" w:rsidRPr="00183E4D">
        <w:t xml:space="preserve">vidence </w:t>
      </w:r>
      <w:r w:rsidR="002E0970">
        <w:t>b</w:t>
      </w:r>
      <w:r w:rsidR="00A36FFB" w:rsidRPr="00183E4D">
        <w:t>ase</w:t>
      </w:r>
      <w:bookmarkEnd w:id="422"/>
      <w:r w:rsidR="00101B48">
        <w:t xml:space="preserve"> </w:t>
      </w:r>
    </w:p>
    <w:p w14:paraId="582AA514" w14:textId="56CBFB2A" w:rsidR="00A36FFB" w:rsidRDefault="00A36FFB" w:rsidP="004C79C1">
      <w:pPr>
        <w:spacing w:after="120" w:line="240" w:lineRule="auto"/>
        <w:jc w:val="both"/>
      </w:pPr>
      <w:r>
        <w:t xml:space="preserve">Two studies included in </w:t>
      </w:r>
      <w:r w:rsidR="005C5167">
        <w:t>s</w:t>
      </w:r>
      <w:r>
        <w:t>ection B5.1 (</w:t>
      </w:r>
      <w:r w:rsidR="000553D6">
        <w:t>i</w:t>
      </w:r>
      <w:r>
        <w:t xml:space="preserve">mpact on clinical management) provided data on the health outcomes of patients who had their management changed as a result of investigations with CMR, compared </w:t>
      </w:r>
      <w:r w:rsidR="000553D6">
        <w:t xml:space="preserve">with </w:t>
      </w:r>
      <w:r>
        <w:t>device and surgical plans prior to CMR (Taylor</w:t>
      </w:r>
      <w:r w:rsidR="00176F05">
        <w:t>,</w:t>
      </w:r>
      <w:r>
        <w:t xml:space="preserve"> </w:t>
      </w:r>
      <w:r w:rsidR="00346596">
        <w:t xml:space="preserve">AJ </w:t>
      </w:r>
      <w:r>
        <w:t>et al</w:t>
      </w:r>
      <w:r w:rsidR="00346596">
        <w:t>.</w:t>
      </w:r>
      <w:r>
        <w:t xml:space="preserve"> 2013), and </w:t>
      </w:r>
      <w:r w:rsidR="007706DD">
        <w:t xml:space="preserve">with </w:t>
      </w:r>
      <w:r>
        <w:t>other investigations for idiopathic NIDCM (</w:t>
      </w:r>
      <w:r w:rsidR="00BB394D">
        <w:t>EMB</w:t>
      </w:r>
      <w:r>
        <w:t>, genetic testing, 24-hour ECG etc). Taylor</w:t>
      </w:r>
      <w:r w:rsidR="00176F05">
        <w:t>,</w:t>
      </w:r>
      <w:r w:rsidR="00346596">
        <w:t xml:space="preserve"> AJ</w:t>
      </w:r>
      <w:r>
        <w:t xml:space="preserve"> et al</w:t>
      </w:r>
      <w:r w:rsidR="00346596">
        <w:t>.</w:t>
      </w:r>
      <w:r>
        <w:t xml:space="preserve"> (2013) provide cohort study data comparing the health of those who had their surgical or device plan averted by CMR </w:t>
      </w:r>
      <w:r w:rsidR="007706DD">
        <w:t xml:space="preserve">with </w:t>
      </w:r>
      <w:r>
        <w:t xml:space="preserve">those who proceeded with the surgical or device procedure </w:t>
      </w:r>
      <w:r w:rsidR="007706DD">
        <w:t xml:space="preserve">that </w:t>
      </w:r>
      <w:r>
        <w:t xml:space="preserve">had been planned </w:t>
      </w:r>
      <w:r w:rsidR="008B2092">
        <w:t xml:space="preserve">prior </w:t>
      </w:r>
      <w:r>
        <w:t>to CMR. Broch et al</w:t>
      </w:r>
      <w:r w:rsidR="004B754C">
        <w:t>.</w:t>
      </w:r>
      <w:r>
        <w:t xml:space="preserve"> (2015) presented a series of case reports </w:t>
      </w:r>
      <w:r w:rsidR="008B2092">
        <w:t xml:space="preserve">that </w:t>
      </w:r>
      <w:r>
        <w:t>provid</w:t>
      </w:r>
      <w:r w:rsidR="008B2092">
        <w:t>ed</w:t>
      </w:r>
      <w:r>
        <w:t xml:space="preserve"> transplant-free survival data in patients who had their management altered as a consequence of receiving a more specific diagnosis by CMR. </w:t>
      </w:r>
    </w:p>
    <w:p w14:paraId="30C1966B" w14:textId="3C388A27" w:rsidR="00A36FFB" w:rsidRPr="003154AD" w:rsidRDefault="00A36FFB" w:rsidP="004C79C1">
      <w:pPr>
        <w:spacing w:after="120" w:line="240" w:lineRule="auto"/>
        <w:jc w:val="both"/>
      </w:pPr>
      <w:r>
        <w:t xml:space="preserve">A summary of the trial characteristics of studies providing evidence relating to the health impact from </w:t>
      </w:r>
      <w:r w:rsidRPr="003154AD">
        <w:t xml:space="preserve">the change in management is provided in </w:t>
      </w:r>
      <w:r w:rsidR="003154AD" w:rsidRPr="003154AD">
        <w:fldChar w:fldCharType="begin"/>
      </w:r>
      <w:r w:rsidR="003154AD" w:rsidRPr="003154AD">
        <w:instrText xml:space="preserve"> REF _Ref446596882 \h </w:instrText>
      </w:r>
      <w:r w:rsidR="003154AD">
        <w:instrText xml:space="preserve"> \* MERGEFORMAT </w:instrText>
      </w:r>
      <w:r w:rsidR="003154AD" w:rsidRPr="003154AD">
        <w:fldChar w:fldCharType="separate"/>
      </w:r>
      <w:r w:rsidR="00ED57E9">
        <w:rPr>
          <w:noProof/>
        </w:rPr>
        <w:t>26</w:t>
      </w:r>
      <w:r w:rsidR="003154AD" w:rsidRPr="003154AD">
        <w:fldChar w:fldCharType="end"/>
      </w:r>
      <w:r w:rsidRPr="003154AD">
        <w:t>.</w:t>
      </w:r>
      <w:r w:rsidR="006F08D8">
        <w:t xml:space="preserve"> </w:t>
      </w:r>
    </w:p>
    <w:p w14:paraId="02EC606F" w14:textId="1C157F1F" w:rsidR="00E27282" w:rsidRDefault="00E27282" w:rsidP="004C79C1">
      <w:pPr>
        <w:pStyle w:val="Caption"/>
        <w:keepNext/>
      </w:pPr>
      <w:bookmarkStart w:id="423" w:name="_Ref451242009"/>
      <w:bookmarkStart w:id="424" w:name="_Toc451435353"/>
      <w:r>
        <w:lastRenderedPageBreak/>
        <w:t xml:space="preserve">Table </w:t>
      </w:r>
      <w:fldSimple w:instr=" SEQ Table \* ARABIC ">
        <w:r w:rsidR="00050936">
          <w:rPr>
            <w:noProof/>
          </w:rPr>
          <w:t>26</w:t>
        </w:r>
      </w:fldSimple>
      <w:bookmarkEnd w:id="423"/>
      <w:r>
        <w:t xml:space="preserve"> </w:t>
      </w:r>
      <w:r>
        <w:tab/>
      </w:r>
      <w:r w:rsidRPr="00F92D39">
        <w:t>Key features of the included evidence assessing impact of change in patient management</w:t>
      </w:r>
      <w:bookmarkEnd w:id="424"/>
    </w:p>
    <w:tbl>
      <w:tblPr>
        <w:tblStyle w:val="TableGrid1"/>
        <w:tblW w:w="4985" w:type="pct"/>
        <w:tblLayout w:type="fixed"/>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44"/>
        <w:gridCol w:w="741"/>
        <w:gridCol w:w="1163"/>
        <w:gridCol w:w="1015"/>
        <w:gridCol w:w="2619"/>
        <w:gridCol w:w="1454"/>
        <w:gridCol w:w="1078"/>
      </w:tblGrid>
      <w:tr w:rsidR="0068176B" w:rsidRPr="00183E4D" w14:paraId="566164F2" w14:textId="77777777" w:rsidTr="00DE65AE">
        <w:trPr>
          <w:cnfStyle w:val="100000000000" w:firstRow="1" w:lastRow="0" w:firstColumn="0" w:lastColumn="0" w:oddVBand="0" w:evenVBand="0" w:oddHBand="0" w:evenHBand="0" w:firstRowFirstColumn="0" w:firstRowLastColumn="0" w:lastRowFirstColumn="0" w:lastRowLastColumn="0"/>
          <w:tblHeader/>
        </w:trPr>
        <w:tc>
          <w:tcPr>
            <w:tcW w:w="621" w:type="pct"/>
          </w:tcPr>
          <w:p w14:paraId="5B735D59" w14:textId="77777777" w:rsidR="00A36FFB" w:rsidRPr="00183E4D" w:rsidRDefault="00A36FFB" w:rsidP="004C79C1">
            <w:pPr>
              <w:pStyle w:val="TableHeading"/>
              <w:spacing w:before="0" w:after="120"/>
              <w:ind w:left="0" w:firstLine="0"/>
              <w:rPr>
                <w:snapToGrid w:val="0"/>
                <w:lang w:eastAsia="en-US"/>
              </w:rPr>
            </w:pPr>
            <w:r w:rsidRPr="00183E4D">
              <w:rPr>
                <w:snapToGrid w:val="0"/>
                <w:lang w:eastAsia="en-US"/>
              </w:rPr>
              <w:t>Trial/Study</w:t>
            </w:r>
          </w:p>
        </w:tc>
        <w:tc>
          <w:tcPr>
            <w:tcW w:w="402" w:type="pct"/>
          </w:tcPr>
          <w:p w14:paraId="73D11079" w14:textId="77777777" w:rsidR="00A36FFB" w:rsidRPr="00183E4D" w:rsidRDefault="00A36FFB" w:rsidP="004C79C1">
            <w:pPr>
              <w:pStyle w:val="TableHeading"/>
              <w:spacing w:before="0" w:after="120"/>
              <w:ind w:left="109" w:firstLine="0"/>
              <w:jc w:val="center"/>
              <w:rPr>
                <w:snapToGrid w:val="0"/>
                <w:lang w:eastAsia="en-US"/>
              </w:rPr>
            </w:pPr>
            <w:r w:rsidRPr="00183E4D">
              <w:rPr>
                <w:snapToGrid w:val="0"/>
                <w:lang w:eastAsia="en-US"/>
              </w:rPr>
              <w:t>N</w:t>
            </w:r>
          </w:p>
        </w:tc>
        <w:tc>
          <w:tcPr>
            <w:tcW w:w="631" w:type="pct"/>
          </w:tcPr>
          <w:p w14:paraId="3671D670" w14:textId="74E4B573" w:rsidR="00A36FFB" w:rsidRPr="00183E4D" w:rsidRDefault="00A36FFB" w:rsidP="004C79C1">
            <w:pPr>
              <w:pStyle w:val="TableHeading"/>
              <w:spacing w:before="0" w:after="120"/>
              <w:ind w:left="0" w:firstLine="0"/>
              <w:rPr>
                <w:snapToGrid w:val="0"/>
                <w:lang w:eastAsia="en-US"/>
              </w:rPr>
            </w:pPr>
            <w:r w:rsidRPr="00183E4D">
              <w:rPr>
                <w:snapToGrid w:val="0"/>
                <w:lang w:eastAsia="en-US"/>
              </w:rPr>
              <w:t>Design</w:t>
            </w:r>
          </w:p>
        </w:tc>
        <w:tc>
          <w:tcPr>
            <w:tcW w:w="551" w:type="pct"/>
          </w:tcPr>
          <w:p w14:paraId="483C507E" w14:textId="77777777" w:rsidR="00A36FFB" w:rsidRPr="00183E4D" w:rsidRDefault="00A36FFB" w:rsidP="004C79C1">
            <w:pPr>
              <w:pStyle w:val="TableHeading"/>
              <w:spacing w:before="0" w:after="120"/>
              <w:ind w:left="0" w:firstLine="0"/>
              <w:rPr>
                <w:snapToGrid w:val="0"/>
                <w:lang w:eastAsia="en-US"/>
              </w:rPr>
            </w:pPr>
            <w:r w:rsidRPr="00183E4D">
              <w:rPr>
                <w:snapToGrid w:val="0"/>
                <w:lang w:eastAsia="en-US"/>
              </w:rPr>
              <w:t>Risk of bias</w:t>
            </w:r>
          </w:p>
        </w:tc>
        <w:tc>
          <w:tcPr>
            <w:tcW w:w="1421" w:type="pct"/>
          </w:tcPr>
          <w:p w14:paraId="4CE8C864" w14:textId="77777777" w:rsidR="00A36FFB" w:rsidRPr="00183E4D" w:rsidRDefault="00A36FFB" w:rsidP="004C79C1">
            <w:pPr>
              <w:pStyle w:val="TableHeading"/>
              <w:spacing w:before="0" w:after="120"/>
              <w:ind w:left="0" w:firstLine="0"/>
              <w:rPr>
                <w:snapToGrid w:val="0"/>
                <w:lang w:eastAsia="en-US"/>
              </w:rPr>
            </w:pPr>
            <w:r w:rsidRPr="00183E4D">
              <w:rPr>
                <w:snapToGrid w:val="0"/>
                <w:lang w:eastAsia="en-US"/>
              </w:rPr>
              <w:t>Patient population</w:t>
            </w:r>
          </w:p>
        </w:tc>
        <w:tc>
          <w:tcPr>
            <w:tcW w:w="789" w:type="pct"/>
          </w:tcPr>
          <w:p w14:paraId="195C7D45" w14:textId="77777777" w:rsidR="00A36FFB" w:rsidRPr="00183E4D" w:rsidRDefault="00A36FFB" w:rsidP="004C79C1">
            <w:pPr>
              <w:pStyle w:val="TableHeading"/>
              <w:spacing w:before="0" w:after="120"/>
              <w:ind w:left="0" w:firstLine="0"/>
              <w:rPr>
                <w:snapToGrid w:val="0"/>
                <w:lang w:eastAsia="en-US"/>
              </w:rPr>
            </w:pPr>
            <w:r w:rsidRPr="00183E4D">
              <w:rPr>
                <w:snapToGrid w:val="0"/>
                <w:lang w:eastAsia="en-US"/>
              </w:rPr>
              <w:t>Key outcome(s)</w:t>
            </w:r>
          </w:p>
        </w:tc>
        <w:tc>
          <w:tcPr>
            <w:tcW w:w="585" w:type="pct"/>
          </w:tcPr>
          <w:p w14:paraId="0C3E8AD9" w14:textId="77777777" w:rsidR="00A36FFB" w:rsidRPr="00183E4D" w:rsidRDefault="00A36FFB" w:rsidP="004C79C1">
            <w:pPr>
              <w:pStyle w:val="TableHeading"/>
              <w:spacing w:before="0" w:after="120"/>
              <w:ind w:left="0" w:firstLine="0"/>
              <w:rPr>
                <w:snapToGrid w:val="0"/>
                <w:lang w:eastAsia="en-US"/>
              </w:rPr>
            </w:pPr>
            <w:r w:rsidRPr="00183E4D">
              <w:rPr>
                <w:snapToGrid w:val="0"/>
                <w:lang w:eastAsia="en-US"/>
              </w:rPr>
              <w:t>Result used in economic model</w:t>
            </w:r>
          </w:p>
        </w:tc>
      </w:tr>
      <w:tr w:rsidR="0068176B" w:rsidRPr="00183E4D" w14:paraId="3BEB8110" w14:textId="77777777" w:rsidTr="0068176B">
        <w:tc>
          <w:tcPr>
            <w:tcW w:w="621" w:type="pct"/>
          </w:tcPr>
          <w:p w14:paraId="716A8801" w14:textId="5A5003A5" w:rsidR="00A36FFB" w:rsidRPr="00554A46" w:rsidRDefault="00014179" w:rsidP="004C79C1">
            <w:pPr>
              <w:pStyle w:val="TableText0"/>
              <w:spacing w:before="0" w:after="120"/>
              <w:rPr>
                <w:snapToGrid w:val="0"/>
              </w:rPr>
            </w:pPr>
            <w:r w:rsidRPr="00554A46">
              <w:rPr>
                <w:snapToGrid w:val="0"/>
              </w:rPr>
              <w:t>Taylor</w:t>
            </w:r>
            <w:r w:rsidR="00176F05">
              <w:rPr>
                <w:snapToGrid w:val="0"/>
              </w:rPr>
              <w:t>,</w:t>
            </w:r>
            <w:r w:rsidR="00216227">
              <w:rPr>
                <w:snapToGrid w:val="0"/>
              </w:rPr>
              <w:t xml:space="preserve"> AJ</w:t>
            </w:r>
            <w:r w:rsidRPr="00554A46">
              <w:rPr>
                <w:snapToGrid w:val="0"/>
              </w:rPr>
              <w:t xml:space="preserve"> et al</w:t>
            </w:r>
            <w:r w:rsidR="008E00B5">
              <w:rPr>
                <w:snapToGrid w:val="0"/>
              </w:rPr>
              <w:t>.</w:t>
            </w:r>
            <w:r w:rsidRPr="00554A46">
              <w:rPr>
                <w:snapToGrid w:val="0"/>
              </w:rPr>
              <w:t xml:space="preserve"> </w:t>
            </w:r>
            <w:r w:rsidR="008E00B5">
              <w:rPr>
                <w:snapToGrid w:val="0"/>
              </w:rPr>
              <w:t>(</w:t>
            </w:r>
            <w:r w:rsidRPr="00554A46">
              <w:rPr>
                <w:snapToGrid w:val="0"/>
              </w:rPr>
              <w:t>2013</w:t>
            </w:r>
            <w:r w:rsidR="008E00B5">
              <w:rPr>
                <w:snapToGrid w:val="0"/>
              </w:rPr>
              <w:t>)</w:t>
            </w:r>
          </w:p>
        </w:tc>
        <w:tc>
          <w:tcPr>
            <w:tcW w:w="402" w:type="pct"/>
          </w:tcPr>
          <w:p w14:paraId="1EF08461" w14:textId="1CC66082" w:rsidR="00A36FFB" w:rsidRPr="00554A46" w:rsidRDefault="00014179" w:rsidP="004C79C1">
            <w:pPr>
              <w:pStyle w:val="TableText0"/>
              <w:spacing w:before="0" w:after="120"/>
              <w:jc w:val="right"/>
              <w:rPr>
                <w:snapToGrid w:val="0"/>
              </w:rPr>
            </w:pPr>
            <w:r w:rsidRPr="00554A46">
              <w:rPr>
                <w:snapToGrid w:val="0"/>
              </w:rPr>
              <w:t>143</w:t>
            </w:r>
          </w:p>
        </w:tc>
        <w:tc>
          <w:tcPr>
            <w:tcW w:w="631" w:type="pct"/>
          </w:tcPr>
          <w:p w14:paraId="57BF2876" w14:textId="1F12211B" w:rsidR="00A36FFB" w:rsidRPr="00554A46" w:rsidRDefault="00014179" w:rsidP="004C79C1">
            <w:pPr>
              <w:pStyle w:val="TableText0"/>
              <w:spacing w:before="0" w:after="120"/>
              <w:jc w:val="center"/>
              <w:rPr>
                <w:snapToGrid w:val="0"/>
              </w:rPr>
            </w:pPr>
            <w:r w:rsidRPr="00554A46">
              <w:rPr>
                <w:snapToGrid w:val="0"/>
              </w:rPr>
              <w:t>Cohort study</w:t>
            </w:r>
          </w:p>
        </w:tc>
        <w:tc>
          <w:tcPr>
            <w:tcW w:w="551" w:type="pct"/>
          </w:tcPr>
          <w:p w14:paraId="5B801ABF" w14:textId="1900080B" w:rsidR="00A36FFB" w:rsidRPr="00554A46" w:rsidRDefault="00014179" w:rsidP="004C79C1">
            <w:pPr>
              <w:pStyle w:val="TableText0"/>
              <w:spacing w:before="0" w:after="120"/>
              <w:rPr>
                <w:snapToGrid w:val="0"/>
              </w:rPr>
            </w:pPr>
            <w:r w:rsidRPr="00554A46">
              <w:rPr>
                <w:snapToGrid w:val="0"/>
              </w:rPr>
              <w:t>High</w:t>
            </w:r>
          </w:p>
        </w:tc>
        <w:tc>
          <w:tcPr>
            <w:tcW w:w="1421" w:type="pct"/>
          </w:tcPr>
          <w:p w14:paraId="5C8EF018" w14:textId="0AAD68AA" w:rsidR="00A36FFB" w:rsidRPr="00554A46" w:rsidRDefault="00014179" w:rsidP="004C79C1">
            <w:pPr>
              <w:pStyle w:val="TableText0"/>
              <w:spacing w:before="0" w:after="120"/>
              <w:rPr>
                <w:snapToGrid w:val="0"/>
              </w:rPr>
            </w:pPr>
            <w:r w:rsidRPr="00554A46">
              <w:rPr>
                <w:snapToGrid w:val="0"/>
              </w:rPr>
              <w:t>Those scheduled for surgery whose management changed from CMR vs those who management did not change</w:t>
            </w:r>
          </w:p>
        </w:tc>
        <w:tc>
          <w:tcPr>
            <w:tcW w:w="789" w:type="pct"/>
          </w:tcPr>
          <w:p w14:paraId="729DB955" w14:textId="5581E9AF" w:rsidR="00A36FFB" w:rsidRPr="00554A46" w:rsidRDefault="00014179" w:rsidP="004C79C1">
            <w:pPr>
              <w:pStyle w:val="TableText0"/>
              <w:spacing w:before="0" w:after="120"/>
              <w:rPr>
                <w:snapToGrid w:val="0"/>
              </w:rPr>
            </w:pPr>
            <w:r w:rsidRPr="00554A46">
              <w:rPr>
                <w:snapToGrid w:val="0"/>
              </w:rPr>
              <w:t>Mortality, NYHA class, adverse events</w:t>
            </w:r>
          </w:p>
        </w:tc>
        <w:tc>
          <w:tcPr>
            <w:tcW w:w="585" w:type="pct"/>
          </w:tcPr>
          <w:p w14:paraId="27DBF24F" w14:textId="22EDC8FE" w:rsidR="00A36FFB" w:rsidRPr="00554A46" w:rsidRDefault="00014179" w:rsidP="004C79C1">
            <w:pPr>
              <w:pStyle w:val="TableText0"/>
              <w:spacing w:before="0" w:after="120"/>
              <w:rPr>
                <w:snapToGrid w:val="0"/>
              </w:rPr>
            </w:pPr>
            <w:r w:rsidRPr="00554A46">
              <w:rPr>
                <w:snapToGrid w:val="0"/>
              </w:rPr>
              <w:t>No</w:t>
            </w:r>
          </w:p>
        </w:tc>
      </w:tr>
      <w:tr w:rsidR="0068176B" w:rsidRPr="00183E4D" w14:paraId="796D286A" w14:textId="77777777" w:rsidTr="0068176B">
        <w:tc>
          <w:tcPr>
            <w:tcW w:w="621" w:type="pct"/>
          </w:tcPr>
          <w:p w14:paraId="54C31DC6" w14:textId="6AF1FFF3" w:rsidR="00A36FFB" w:rsidRPr="00554A46" w:rsidRDefault="00014179" w:rsidP="004C79C1">
            <w:pPr>
              <w:pStyle w:val="TableText0"/>
              <w:spacing w:before="0" w:after="120"/>
              <w:rPr>
                <w:snapToGrid w:val="0"/>
              </w:rPr>
            </w:pPr>
            <w:r w:rsidRPr="00554A46">
              <w:rPr>
                <w:snapToGrid w:val="0"/>
              </w:rPr>
              <w:t>Broch et al</w:t>
            </w:r>
            <w:r w:rsidR="008E00B5">
              <w:rPr>
                <w:snapToGrid w:val="0"/>
              </w:rPr>
              <w:t>.</w:t>
            </w:r>
            <w:r w:rsidRPr="00554A46">
              <w:rPr>
                <w:snapToGrid w:val="0"/>
              </w:rPr>
              <w:t xml:space="preserve"> </w:t>
            </w:r>
            <w:r w:rsidR="008E00B5">
              <w:rPr>
                <w:snapToGrid w:val="0"/>
              </w:rPr>
              <w:t>(</w:t>
            </w:r>
            <w:r w:rsidRPr="00554A46">
              <w:rPr>
                <w:snapToGrid w:val="0"/>
              </w:rPr>
              <w:t>2015</w:t>
            </w:r>
            <w:r w:rsidR="008E00B5">
              <w:rPr>
                <w:snapToGrid w:val="0"/>
              </w:rPr>
              <w:t>)</w:t>
            </w:r>
          </w:p>
        </w:tc>
        <w:tc>
          <w:tcPr>
            <w:tcW w:w="402" w:type="pct"/>
          </w:tcPr>
          <w:p w14:paraId="5C5A2266" w14:textId="4F4649E1" w:rsidR="00A36FFB" w:rsidRPr="00554A46" w:rsidRDefault="00ED2861" w:rsidP="004C79C1">
            <w:pPr>
              <w:pStyle w:val="TableText0"/>
              <w:spacing w:before="0" w:after="120"/>
              <w:jc w:val="right"/>
              <w:rPr>
                <w:snapToGrid w:val="0"/>
              </w:rPr>
            </w:pPr>
            <w:r w:rsidRPr="00554A46">
              <w:rPr>
                <w:snapToGrid w:val="0"/>
              </w:rPr>
              <w:t>4</w:t>
            </w:r>
          </w:p>
        </w:tc>
        <w:tc>
          <w:tcPr>
            <w:tcW w:w="631" w:type="pct"/>
          </w:tcPr>
          <w:p w14:paraId="0F7CF5E8" w14:textId="158CCF52" w:rsidR="00A36FFB" w:rsidRPr="00554A46" w:rsidRDefault="00014179" w:rsidP="004C79C1">
            <w:pPr>
              <w:pStyle w:val="TableText0"/>
              <w:spacing w:before="0" w:after="120"/>
              <w:jc w:val="center"/>
              <w:rPr>
                <w:snapToGrid w:val="0"/>
              </w:rPr>
            </w:pPr>
            <w:r w:rsidRPr="00554A46">
              <w:rPr>
                <w:snapToGrid w:val="0"/>
              </w:rPr>
              <w:t>Case reports</w:t>
            </w:r>
          </w:p>
        </w:tc>
        <w:tc>
          <w:tcPr>
            <w:tcW w:w="551" w:type="pct"/>
          </w:tcPr>
          <w:p w14:paraId="47F28293" w14:textId="55FA2D57" w:rsidR="00A36FFB" w:rsidRPr="00554A46" w:rsidRDefault="00014179" w:rsidP="004C79C1">
            <w:pPr>
              <w:pStyle w:val="TableText0"/>
              <w:spacing w:before="0" w:after="120"/>
              <w:rPr>
                <w:snapToGrid w:val="0"/>
              </w:rPr>
            </w:pPr>
            <w:r w:rsidRPr="00554A46">
              <w:rPr>
                <w:snapToGrid w:val="0"/>
              </w:rPr>
              <w:t>High</w:t>
            </w:r>
          </w:p>
        </w:tc>
        <w:tc>
          <w:tcPr>
            <w:tcW w:w="1421" w:type="pct"/>
          </w:tcPr>
          <w:p w14:paraId="3D880B35" w14:textId="79AA576A" w:rsidR="00A36FFB" w:rsidRPr="00554A46" w:rsidRDefault="00014179" w:rsidP="004C79C1">
            <w:pPr>
              <w:pStyle w:val="TableText0"/>
              <w:spacing w:before="0" w:after="120"/>
              <w:rPr>
                <w:snapToGrid w:val="0"/>
              </w:rPr>
            </w:pPr>
            <w:r w:rsidRPr="00554A46">
              <w:rPr>
                <w:snapToGrid w:val="0"/>
              </w:rPr>
              <w:t>Patients whose management was influenced by CMR</w:t>
            </w:r>
          </w:p>
        </w:tc>
        <w:tc>
          <w:tcPr>
            <w:tcW w:w="789" w:type="pct"/>
          </w:tcPr>
          <w:p w14:paraId="2722C6DF" w14:textId="171CBF3E" w:rsidR="00A36FFB" w:rsidRPr="00554A46" w:rsidRDefault="00ED2861" w:rsidP="004C79C1">
            <w:pPr>
              <w:pStyle w:val="TableText0"/>
              <w:spacing w:before="0" w:after="120"/>
              <w:rPr>
                <w:snapToGrid w:val="0"/>
              </w:rPr>
            </w:pPr>
            <w:r w:rsidRPr="00554A46">
              <w:rPr>
                <w:snapToGrid w:val="0"/>
              </w:rPr>
              <w:t>Transplant-free survival</w:t>
            </w:r>
          </w:p>
        </w:tc>
        <w:tc>
          <w:tcPr>
            <w:tcW w:w="585" w:type="pct"/>
          </w:tcPr>
          <w:p w14:paraId="7C3431F3" w14:textId="44E170CF" w:rsidR="00A36FFB" w:rsidRPr="00554A46" w:rsidRDefault="00ED2861" w:rsidP="004C79C1">
            <w:pPr>
              <w:pStyle w:val="TableText0"/>
              <w:spacing w:before="0" w:after="120"/>
              <w:rPr>
                <w:snapToGrid w:val="0"/>
              </w:rPr>
            </w:pPr>
            <w:r w:rsidRPr="00554A46">
              <w:rPr>
                <w:snapToGrid w:val="0"/>
              </w:rPr>
              <w:t>No</w:t>
            </w:r>
          </w:p>
        </w:tc>
      </w:tr>
      <w:tr w:rsidR="0068176B" w:rsidRPr="00183E4D" w14:paraId="1CC03CC5" w14:textId="77777777" w:rsidTr="0068176B">
        <w:tc>
          <w:tcPr>
            <w:tcW w:w="621" w:type="pct"/>
          </w:tcPr>
          <w:p w14:paraId="0B8BFCF8" w14:textId="58A89CDF" w:rsidR="00ED2861" w:rsidRPr="00ED2861" w:rsidRDefault="00ED2861" w:rsidP="004C79C1">
            <w:pPr>
              <w:pStyle w:val="TableText0"/>
              <w:spacing w:before="0" w:after="120"/>
              <w:rPr>
                <w:snapToGrid w:val="0"/>
              </w:rPr>
            </w:pPr>
            <w:r>
              <w:rPr>
                <w:snapToGrid w:val="0"/>
              </w:rPr>
              <w:t>Theuns et al</w:t>
            </w:r>
            <w:r w:rsidR="008E00B5">
              <w:rPr>
                <w:snapToGrid w:val="0"/>
              </w:rPr>
              <w:t>.</w:t>
            </w:r>
            <w:r>
              <w:rPr>
                <w:snapToGrid w:val="0"/>
              </w:rPr>
              <w:t xml:space="preserve"> (2010)</w:t>
            </w:r>
          </w:p>
        </w:tc>
        <w:tc>
          <w:tcPr>
            <w:tcW w:w="402" w:type="pct"/>
          </w:tcPr>
          <w:p w14:paraId="14746287" w14:textId="5C15992F" w:rsidR="00ED2861" w:rsidRPr="00ED2861" w:rsidRDefault="002D74B3" w:rsidP="004C79C1">
            <w:pPr>
              <w:pStyle w:val="TableText0"/>
              <w:spacing w:before="0" w:after="120"/>
              <w:jc w:val="right"/>
              <w:rPr>
                <w:snapToGrid w:val="0"/>
              </w:rPr>
            </w:pPr>
            <w:r>
              <w:rPr>
                <w:snapToGrid w:val="0"/>
              </w:rPr>
              <w:t>4</w:t>
            </w:r>
            <w:r w:rsidR="008D36F0">
              <w:rPr>
                <w:snapToGrid w:val="0"/>
              </w:rPr>
              <w:t>,</w:t>
            </w:r>
            <w:r>
              <w:rPr>
                <w:snapToGrid w:val="0"/>
              </w:rPr>
              <w:t>195</w:t>
            </w:r>
          </w:p>
        </w:tc>
        <w:tc>
          <w:tcPr>
            <w:tcW w:w="631" w:type="pct"/>
          </w:tcPr>
          <w:p w14:paraId="4FF4A3DE" w14:textId="4716F612" w:rsidR="00ED2861" w:rsidRPr="00ED2861" w:rsidRDefault="00ED2861" w:rsidP="004C79C1">
            <w:pPr>
              <w:pStyle w:val="TableText0"/>
              <w:spacing w:before="0" w:after="120"/>
              <w:jc w:val="center"/>
              <w:rPr>
                <w:snapToGrid w:val="0"/>
              </w:rPr>
            </w:pPr>
            <w:r>
              <w:rPr>
                <w:snapToGrid w:val="0"/>
              </w:rPr>
              <w:t>SR</w:t>
            </w:r>
          </w:p>
        </w:tc>
        <w:tc>
          <w:tcPr>
            <w:tcW w:w="551" w:type="pct"/>
          </w:tcPr>
          <w:p w14:paraId="773F58C8" w14:textId="32841A82" w:rsidR="00ED2861" w:rsidRPr="00ED2861" w:rsidRDefault="000A73C0" w:rsidP="004C79C1">
            <w:pPr>
              <w:pStyle w:val="TableText0"/>
              <w:spacing w:before="0" w:after="120"/>
              <w:rPr>
                <w:snapToGrid w:val="0"/>
              </w:rPr>
            </w:pPr>
            <w:r>
              <w:rPr>
                <w:snapToGrid w:val="0"/>
              </w:rPr>
              <w:t>Low</w:t>
            </w:r>
            <w:r w:rsidR="00ED2861">
              <w:rPr>
                <w:snapToGrid w:val="0"/>
              </w:rPr>
              <w:t xml:space="preserve"> </w:t>
            </w:r>
          </w:p>
        </w:tc>
        <w:tc>
          <w:tcPr>
            <w:tcW w:w="1421" w:type="pct"/>
          </w:tcPr>
          <w:p w14:paraId="543DE864" w14:textId="4D9B0A92" w:rsidR="00ED2861" w:rsidRPr="00ED2861" w:rsidRDefault="002D74B3" w:rsidP="004C79C1">
            <w:pPr>
              <w:pStyle w:val="TableText0"/>
              <w:spacing w:before="0" w:after="120"/>
              <w:rPr>
                <w:snapToGrid w:val="0"/>
              </w:rPr>
            </w:pPr>
            <w:r>
              <w:rPr>
                <w:snapToGrid w:val="0"/>
              </w:rPr>
              <w:t>Patients with or without ischaemia, treated with ICDs plus OMT vs OMT alone</w:t>
            </w:r>
          </w:p>
        </w:tc>
        <w:tc>
          <w:tcPr>
            <w:tcW w:w="789" w:type="pct"/>
          </w:tcPr>
          <w:p w14:paraId="6609285B" w14:textId="043B748C" w:rsidR="00ED2861" w:rsidRPr="00ED2861" w:rsidRDefault="002D74B3" w:rsidP="004C79C1">
            <w:pPr>
              <w:pStyle w:val="TableText0"/>
              <w:spacing w:before="0" w:after="120"/>
              <w:rPr>
                <w:snapToGrid w:val="0"/>
              </w:rPr>
            </w:pPr>
            <w:r>
              <w:rPr>
                <w:snapToGrid w:val="0"/>
              </w:rPr>
              <w:t>Survival</w:t>
            </w:r>
          </w:p>
        </w:tc>
        <w:tc>
          <w:tcPr>
            <w:tcW w:w="585" w:type="pct"/>
          </w:tcPr>
          <w:p w14:paraId="085E17B5" w14:textId="7C0CCAAE" w:rsidR="00ED2861" w:rsidRPr="00ED2861" w:rsidRDefault="002D74B3" w:rsidP="004C79C1">
            <w:pPr>
              <w:pStyle w:val="TableText0"/>
              <w:spacing w:before="0" w:after="120"/>
              <w:rPr>
                <w:snapToGrid w:val="0"/>
              </w:rPr>
            </w:pPr>
            <w:r>
              <w:rPr>
                <w:snapToGrid w:val="0"/>
              </w:rPr>
              <w:t>No</w:t>
            </w:r>
          </w:p>
        </w:tc>
      </w:tr>
      <w:tr w:rsidR="0068176B" w:rsidRPr="00183E4D" w14:paraId="3FB7E319" w14:textId="77777777" w:rsidTr="0068176B">
        <w:tc>
          <w:tcPr>
            <w:tcW w:w="621" w:type="pct"/>
          </w:tcPr>
          <w:p w14:paraId="506EB368" w14:textId="0FDAAF7C" w:rsidR="00ED2861" w:rsidRPr="00ED2861" w:rsidRDefault="008E00B5" w:rsidP="004C79C1">
            <w:pPr>
              <w:pStyle w:val="TableText0"/>
              <w:spacing w:before="0" w:after="120"/>
              <w:rPr>
                <w:snapToGrid w:val="0"/>
              </w:rPr>
            </w:pPr>
            <w:r>
              <w:rPr>
                <w:snapToGrid w:val="0"/>
              </w:rPr>
              <w:t>Windecker et al. (2014)</w:t>
            </w:r>
          </w:p>
        </w:tc>
        <w:tc>
          <w:tcPr>
            <w:tcW w:w="402" w:type="pct"/>
          </w:tcPr>
          <w:p w14:paraId="41E57B0B" w14:textId="43A2823B" w:rsidR="00ED2861" w:rsidRPr="00ED2861" w:rsidRDefault="008E00B5" w:rsidP="004C79C1">
            <w:pPr>
              <w:pStyle w:val="TableText0"/>
              <w:spacing w:before="0" w:after="120"/>
              <w:jc w:val="right"/>
              <w:rPr>
                <w:snapToGrid w:val="0"/>
              </w:rPr>
            </w:pPr>
            <w:r>
              <w:rPr>
                <w:snapToGrid w:val="0"/>
              </w:rPr>
              <w:t>93</w:t>
            </w:r>
            <w:r w:rsidR="008D36F0">
              <w:rPr>
                <w:snapToGrid w:val="0"/>
              </w:rPr>
              <w:t>,</w:t>
            </w:r>
            <w:r>
              <w:rPr>
                <w:snapToGrid w:val="0"/>
              </w:rPr>
              <w:t>553</w:t>
            </w:r>
          </w:p>
        </w:tc>
        <w:tc>
          <w:tcPr>
            <w:tcW w:w="631" w:type="pct"/>
          </w:tcPr>
          <w:p w14:paraId="1BAE1BCE" w14:textId="3308FD69" w:rsidR="00ED2861" w:rsidRPr="00ED2861" w:rsidRDefault="008E00B5" w:rsidP="004C79C1">
            <w:pPr>
              <w:pStyle w:val="TableText0"/>
              <w:spacing w:before="0" w:after="120"/>
              <w:jc w:val="center"/>
              <w:rPr>
                <w:snapToGrid w:val="0"/>
              </w:rPr>
            </w:pPr>
            <w:r>
              <w:rPr>
                <w:snapToGrid w:val="0"/>
              </w:rPr>
              <w:t>SR</w:t>
            </w:r>
          </w:p>
        </w:tc>
        <w:tc>
          <w:tcPr>
            <w:tcW w:w="551" w:type="pct"/>
          </w:tcPr>
          <w:p w14:paraId="016D7A44" w14:textId="3E8EEE33" w:rsidR="00ED2861" w:rsidRPr="00ED2861" w:rsidRDefault="000A73C0" w:rsidP="004C79C1">
            <w:pPr>
              <w:pStyle w:val="TableText0"/>
              <w:spacing w:before="0" w:after="120"/>
              <w:rPr>
                <w:snapToGrid w:val="0"/>
              </w:rPr>
            </w:pPr>
            <w:r>
              <w:rPr>
                <w:snapToGrid w:val="0"/>
              </w:rPr>
              <w:t>Low</w:t>
            </w:r>
          </w:p>
        </w:tc>
        <w:tc>
          <w:tcPr>
            <w:tcW w:w="1421" w:type="pct"/>
          </w:tcPr>
          <w:p w14:paraId="5FF840AB" w14:textId="19A8E146" w:rsidR="00ED2861" w:rsidRPr="00ED2861" w:rsidRDefault="002D74B3" w:rsidP="004C79C1">
            <w:pPr>
              <w:pStyle w:val="TableText0"/>
              <w:spacing w:before="0" w:after="120"/>
              <w:rPr>
                <w:snapToGrid w:val="0"/>
              </w:rPr>
            </w:pPr>
            <w:r>
              <w:rPr>
                <w:snapToGrid w:val="0"/>
              </w:rPr>
              <w:t xml:space="preserve">Stable </w:t>
            </w:r>
            <w:r w:rsidR="00A50A6C">
              <w:rPr>
                <w:snapToGrid w:val="0"/>
              </w:rPr>
              <w:t>CAD</w:t>
            </w:r>
            <w:r>
              <w:rPr>
                <w:snapToGrid w:val="0"/>
              </w:rPr>
              <w:t xml:space="preserve"> treated with revascularisation or not</w:t>
            </w:r>
          </w:p>
        </w:tc>
        <w:tc>
          <w:tcPr>
            <w:tcW w:w="789" w:type="pct"/>
          </w:tcPr>
          <w:p w14:paraId="51D5C247" w14:textId="23623ED2" w:rsidR="00ED2861" w:rsidRPr="00ED2861" w:rsidRDefault="002D74B3" w:rsidP="004C79C1">
            <w:pPr>
              <w:pStyle w:val="TableText0"/>
              <w:spacing w:before="0" w:after="120"/>
              <w:rPr>
                <w:snapToGrid w:val="0"/>
              </w:rPr>
            </w:pPr>
            <w:r>
              <w:rPr>
                <w:snapToGrid w:val="0"/>
              </w:rPr>
              <w:t>Survival, myocardial infarctions, subsequent revascularisations</w:t>
            </w:r>
          </w:p>
        </w:tc>
        <w:tc>
          <w:tcPr>
            <w:tcW w:w="585" w:type="pct"/>
          </w:tcPr>
          <w:p w14:paraId="108B0127" w14:textId="0B10CB05" w:rsidR="00ED2861" w:rsidRPr="00ED2861" w:rsidRDefault="002D74B3" w:rsidP="004C79C1">
            <w:pPr>
              <w:pStyle w:val="TableText0"/>
              <w:spacing w:before="0" w:after="120"/>
              <w:rPr>
                <w:snapToGrid w:val="0"/>
              </w:rPr>
            </w:pPr>
            <w:r>
              <w:rPr>
                <w:snapToGrid w:val="0"/>
              </w:rPr>
              <w:t>No</w:t>
            </w:r>
          </w:p>
        </w:tc>
      </w:tr>
      <w:tr w:rsidR="0068176B" w:rsidRPr="00183E4D" w14:paraId="6824DB08" w14:textId="77777777" w:rsidTr="0068176B">
        <w:tc>
          <w:tcPr>
            <w:tcW w:w="621" w:type="pct"/>
          </w:tcPr>
          <w:p w14:paraId="43ED6F35" w14:textId="0444CE38" w:rsidR="002D74B3" w:rsidRDefault="00A50A6C" w:rsidP="004C79C1">
            <w:pPr>
              <w:pStyle w:val="TableText0"/>
              <w:spacing w:before="0" w:after="120"/>
              <w:rPr>
                <w:snapToGrid w:val="0"/>
              </w:rPr>
            </w:pPr>
            <w:r>
              <w:rPr>
                <w:snapToGrid w:val="0"/>
              </w:rPr>
              <w:t>Colquitt et al. (2014) and Uhlig et al. (2013)</w:t>
            </w:r>
          </w:p>
        </w:tc>
        <w:tc>
          <w:tcPr>
            <w:tcW w:w="402" w:type="pct"/>
          </w:tcPr>
          <w:p w14:paraId="06D02ECE" w14:textId="4C6AE953" w:rsidR="002D74B3" w:rsidRDefault="000A73C0" w:rsidP="004C79C1">
            <w:pPr>
              <w:pStyle w:val="TableText0"/>
              <w:spacing w:before="0" w:after="120"/>
              <w:jc w:val="right"/>
              <w:rPr>
                <w:snapToGrid w:val="0"/>
              </w:rPr>
            </w:pPr>
            <w:r>
              <w:rPr>
                <w:snapToGrid w:val="0"/>
              </w:rPr>
              <w:t>1</w:t>
            </w:r>
            <w:r w:rsidR="008D36F0">
              <w:rPr>
                <w:snapToGrid w:val="0"/>
              </w:rPr>
              <w:t>,</w:t>
            </w:r>
            <w:r>
              <w:rPr>
                <w:snapToGrid w:val="0"/>
              </w:rPr>
              <w:t>482</w:t>
            </w:r>
          </w:p>
        </w:tc>
        <w:tc>
          <w:tcPr>
            <w:tcW w:w="631" w:type="pct"/>
          </w:tcPr>
          <w:p w14:paraId="7BA0538C" w14:textId="5EA7F2D7" w:rsidR="002D74B3" w:rsidRDefault="00A50A6C" w:rsidP="004C79C1">
            <w:pPr>
              <w:pStyle w:val="TableText0"/>
              <w:spacing w:before="0" w:after="120"/>
              <w:jc w:val="center"/>
              <w:rPr>
                <w:snapToGrid w:val="0"/>
              </w:rPr>
            </w:pPr>
            <w:r>
              <w:rPr>
                <w:snapToGrid w:val="0"/>
              </w:rPr>
              <w:t>HTAs</w:t>
            </w:r>
          </w:p>
        </w:tc>
        <w:tc>
          <w:tcPr>
            <w:tcW w:w="551" w:type="pct"/>
          </w:tcPr>
          <w:p w14:paraId="50B22356" w14:textId="0C103660" w:rsidR="002D74B3" w:rsidRDefault="000A73C0" w:rsidP="004C79C1">
            <w:pPr>
              <w:pStyle w:val="TableText0"/>
              <w:spacing w:before="0" w:after="120"/>
              <w:rPr>
                <w:snapToGrid w:val="0"/>
              </w:rPr>
            </w:pPr>
            <w:r>
              <w:rPr>
                <w:snapToGrid w:val="0"/>
              </w:rPr>
              <w:t>Low and moderate</w:t>
            </w:r>
          </w:p>
        </w:tc>
        <w:tc>
          <w:tcPr>
            <w:tcW w:w="1421" w:type="pct"/>
          </w:tcPr>
          <w:p w14:paraId="5D026F49" w14:textId="7ED70129" w:rsidR="002D74B3" w:rsidRDefault="00A50A6C" w:rsidP="004C79C1">
            <w:pPr>
              <w:pStyle w:val="TableText0"/>
              <w:spacing w:before="0" w:after="120"/>
              <w:rPr>
                <w:snapToGrid w:val="0"/>
              </w:rPr>
            </w:pPr>
            <w:r>
              <w:rPr>
                <w:snapToGrid w:val="0"/>
              </w:rPr>
              <w:t>Patients with NIDCM or HF with non-ischaemic subgroup</w:t>
            </w:r>
          </w:p>
        </w:tc>
        <w:tc>
          <w:tcPr>
            <w:tcW w:w="789" w:type="pct"/>
          </w:tcPr>
          <w:p w14:paraId="41742394" w14:textId="5701EE01" w:rsidR="002D74B3" w:rsidRDefault="00A50A6C" w:rsidP="004C79C1">
            <w:pPr>
              <w:pStyle w:val="TableText0"/>
              <w:spacing w:before="0" w:after="120"/>
              <w:rPr>
                <w:snapToGrid w:val="0"/>
              </w:rPr>
            </w:pPr>
            <w:r>
              <w:rPr>
                <w:snapToGrid w:val="0"/>
              </w:rPr>
              <w:t>Survival, cardiac deaths, transplantation, SCD, syncope</w:t>
            </w:r>
          </w:p>
        </w:tc>
        <w:tc>
          <w:tcPr>
            <w:tcW w:w="585" w:type="pct"/>
          </w:tcPr>
          <w:p w14:paraId="1F85B95D" w14:textId="6E8D64F2" w:rsidR="002D74B3" w:rsidRDefault="000A73C0" w:rsidP="004C79C1">
            <w:pPr>
              <w:pStyle w:val="TableText0"/>
              <w:spacing w:before="0" w:after="120"/>
              <w:rPr>
                <w:snapToGrid w:val="0"/>
              </w:rPr>
            </w:pPr>
            <w:r>
              <w:rPr>
                <w:snapToGrid w:val="0"/>
              </w:rPr>
              <w:t>No</w:t>
            </w:r>
          </w:p>
        </w:tc>
      </w:tr>
      <w:tr w:rsidR="0068176B" w:rsidRPr="00183E4D" w14:paraId="204CE21D" w14:textId="77777777" w:rsidTr="0068176B">
        <w:tc>
          <w:tcPr>
            <w:tcW w:w="621" w:type="pct"/>
          </w:tcPr>
          <w:p w14:paraId="0E306601" w14:textId="1B2ADEED" w:rsidR="000A73C0" w:rsidRDefault="000A73C0" w:rsidP="004C79C1">
            <w:pPr>
              <w:pStyle w:val="TableText0"/>
              <w:spacing w:before="0" w:after="120"/>
              <w:rPr>
                <w:snapToGrid w:val="0"/>
              </w:rPr>
            </w:pPr>
            <w:r>
              <w:rPr>
                <w:snapToGrid w:val="0"/>
              </w:rPr>
              <w:t>Chen et al</w:t>
            </w:r>
            <w:r w:rsidR="002824BB">
              <w:rPr>
                <w:snapToGrid w:val="0"/>
              </w:rPr>
              <w:t>.</w:t>
            </w:r>
            <w:r>
              <w:rPr>
                <w:snapToGrid w:val="0"/>
              </w:rPr>
              <w:t xml:space="preserve"> (2013)</w:t>
            </w:r>
          </w:p>
        </w:tc>
        <w:tc>
          <w:tcPr>
            <w:tcW w:w="402" w:type="pct"/>
          </w:tcPr>
          <w:p w14:paraId="71C5EAAF" w14:textId="6FCF43D9" w:rsidR="000A73C0" w:rsidRDefault="000A73C0" w:rsidP="004C79C1">
            <w:pPr>
              <w:pStyle w:val="TableText0"/>
              <w:spacing w:before="0" w:after="120"/>
              <w:jc w:val="right"/>
              <w:rPr>
                <w:snapToGrid w:val="0"/>
              </w:rPr>
            </w:pPr>
            <w:r>
              <w:rPr>
                <w:snapToGrid w:val="0"/>
              </w:rPr>
              <w:t>719</w:t>
            </w:r>
          </w:p>
        </w:tc>
        <w:tc>
          <w:tcPr>
            <w:tcW w:w="631" w:type="pct"/>
          </w:tcPr>
          <w:p w14:paraId="50C92FDD" w14:textId="7D6ACD92" w:rsidR="000A73C0" w:rsidRDefault="000A73C0" w:rsidP="004C79C1">
            <w:pPr>
              <w:pStyle w:val="TableText0"/>
              <w:spacing w:before="0" w:after="120"/>
              <w:jc w:val="center"/>
              <w:rPr>
                <w:snapToGrid w:val="0"/>
              </w:rPr>
            </w:pPr>
            <w:r>
              <w:rPr>
                <w:snapToGrid w:val="0"/>
              </w:rPr>
              <w:t>SR</w:t>
            </w:r>
          </w:p>
        </w:tc>
        <w:tc>
          <w:tcPr>
            <w:tcW w:w="551" w:type="pct"/>
          </w:tcPr>
          <w:p w14:paraId="513E0787" w14:textId="055D500E" w:rsidR="000A73C0" w:rsidRDefault="000A73C0" w:rsidP="004C79C1">
            <w:pPr>
              <w:pStyle w:val="TableText0"/>
              <w:spacing w:before="0" w:after="120"/>
              <w:rPr>
                <w:snapToGrid w:val="0"/>
              </w:rPr>
            </w:pPr>
            <w:r>
              <w:rPr>
                <w:snapToGrid w:val="0"/>
              </w:rPr>
              <w:t>Low</w:t>
            </w:r>
          </w:p>
        </w:tc>
        <w:tc>
          <w:tcPr>
            <w:tcW w:w="1421" w:type="pct"/>
          </w:tcPr>
          <w:p w14:paraId="53B3A281" w14:textId="149C08A4" w:rsidR="000A73C0" w:rsidRDefault="002824BB" w:rsidP="004C79C1">
            <w:pPr>
              <w:pStyle w:val="TableText0"/>
              <w:spacing w:before="0" w:after="120"/>
              <w:rPr>
                <w:snapToGrid w:val="0"/>
              </w:rPr>
            </w:pPr>
            <w:r>
              <w:rPr>
                <w:snapToGrid w:val="0"/>
              </w:rPr>
              <w:t>Patients with viral myocarditis treated with corticosteroids</w:t>
            </w:r>
            <w:r w:rsidR="00281783">
              <w:rPr>
                <w:snapToGrid w:val="0"/>
              </w:rPr>
              <w:t xml:space="preserve"> vs no corticosteroids</w:t>
            </w:r>
          </w:p>
        </w:tc>
        <w:tc>
          <w:tcPr>
            <w:tcW w:w="789" w:type="pct"/>
          </w:tcPr>
          <w:p w14:paraId="2D6E0E40" w14:textId="3AE5C6C3" w:rsidR="000A73C0" w:rsidRDefault="002824BB" w:rsidP="004C79C1">
            <w:pPr>
              <w:pStyle w:val="TableText0"/>
              <w:spacing w:before="0" w:after="120"/>
              <w:rPr>
                <w:snapToGrid w:val="0"/>
              </w:rPr>
            </w:pPr>
            <w:r>
              <w:rPr>
                <w:snapToGrid w:val="0"/>
              </w:rPr>
              <w:t>Survival, transplant free survival</w:t>
            </w:r>
          </w:p>
        </w:tc>
        <w:tc>
          <w:tcPr>
            <w:tcW w:w="585" w:type="pct"/>
          </w:tcPr>
          <w:p w14:paraId="7225697D" w14:textId="1C06F358" w:rsidR="000A73C0" w:rsidRDefault="002824BB" w:rsidP="004C79C1">
            <w:pPr>
              <w:pStyle w:val="TableText0"/>
              <w:spacing w:before="0" w:after="120"/>
              <w:rPr>
                <w:snapToGrid w:val="0"/>
              </w:rPr>
            </w:pPr>
            <w:r>
              <w:rPr>
                <w:snapToGrid w:val="0"/>
              </w:rPr>
              <w:t>No</w:t>
            </w:r>
          </w:p>
        </w:tc>
      </w:tr>
      <w:tr w:rsidR="0068176B" w:rsidRPr="00183E4D" w14:paraId="1BFBE264" w14:textId="77777777" w:rsidTr="0068176B">
        <w:tc>
          <w:tcPr>
            <w:tcW w:w="621" w:type="pct"/>
          </w:tcPr>
          <w:p w14:paraId="54EB39D7" w14:textId="00C1C399" w:rsidR="002824BB" w:rsidRDefault="002824BB" w:rsidP="004C79C1">
            <w:pPr>
              <w:pStyle w:val="TableText0"/>
              <w:spacing w:before="0" w:after="120"/>
              <w:rPr>
                <w:snapToGrid w:val="0"/>
              </w:rPr>
            </w:pPr>
            <w:r>
              <w:rPr>
                <w:snapToGrid w:val="0"/>
              </w:rPr>
              <w:t>Robinson et al. (2015)</w:t>
            </w:r>
          </w:p>
        </w:tc>
        <w:tc>
          <w:tcPr>
            <w:tcW w:w="402" w:type="pct"/>
          </w:tcPr>
          <w:p w14:paraId="5F16CD03" w14:textId="5B1C08B9" w:rsidR="002824BB" w:rsidRDefault="002824BB" w:rsidP="004C79C1">
            <w:pPr>
              <w:pStyle w:val="TableText0"/>
              <w:spacing w:before="0" w:after="120"/>
              <w:jc w:val="right"/>
              <w:rPr>
                <w:snapToGrid w:val="0"/>
              </w:rPr>
            </w:pPr>
            <w:r>
              <w:rPr>
                <w:snapToGrid w:val="0"/>
              </w:rPr>
              <w:t>145</w:t>
            </w:r>
          </w:p>
        </w:tc>
        <w:tc>
          <w:tcPr>
            <w:tcW w:w="631" w:type="pct"/>
          </w:tcPr>
          <w:p w14:paraId="08C3D91D" w14:textId="5D8795B8" w:rsidR="002824BB" w:rsidRDefault="002824BB" w:rsidP="004C79C1">
            <w:pPr>
              <w:pStyle w:val="TableText0"/>
              <w:spacing w:before="0" w:after="120"/>
              <w:jc w:val="center"/>
              <w:rPr>
                <w:snapToGrid w:val="0"/>
              </w:rPr>
            </w:pPr>
            <w:r>
              <w:rPr>
                <w:snapToGrid w:val="0"/>
              </w:rPr>
              <w:t>SR</w:t>
            </w:r>
          </w:p>
        </w:tc>
        <w:tc>
          <w:tcPr>
            <w:tcW w:w="551" w:type="pct"/>
          </w:tcPr>
          <w:p w14:paraId="5C6CEC06" w14:textId="35879EFE" w:rsidR="002824BB" w:rsidRDefault="002824BB" w:rsidP="004C79C1">
            <w:pPr>
              <w:pStyle w:val="TableText0"/>
              <w:spacing w:before="0" w:after="120"/>
              <w:rPr>
                <w:snapToGrid w:val="0"/>
              </w:rPr>
            </w:pPr>
            <w:r>
              <w:rPr>
                <w:snapToGrid w:val="0"/>
              </w:rPr>
              <w:t>Low</w:t>
            </w:r>
          </w:p>
        </w:tc>
        <w:tc>
          <w:tcPr>
            <w:tcW w:w="1421" w:type="pct"/>
          </w:tcPr>
          <w:p w14:paraId="59A78EC0" w14:textId="330BE085" w:rsidR="002824BB" w:rsidRDefault="002824BB" w:rsidP="004C79C1">
            <w:pPr>
              <w:pStyle w:val="TableText0"/>
              <w:spacing w:before="0" w:after="120"/>
              <w:rPr>
                <w:snapToGrid w:val="0"/>
              </w:rPr>
            </w:pPr>
            <w:r>
              <w:rPr>
                <w:snapToGrid w:val="0"/>
              </w:rPr>
              <w:t>Adults suspected of having myocarditis, and children with acute encephalitis and myocarditis, treated with intravenous immunoglobulin</w:t>
            </w:r>
            <w:r w:rsidR="00281783">
              <w:rPr>
                <w:snapToGrid w:val="0"/>
              </w:rPr>
              <w:t xml:space="preserve"> (IVIG) vs no IVIG</w:t>
            </w:r>
          </w:p>
        </w:tc>
        <w:tc>
          <w:tcPr>
            <w:tcW w:w="789" w:type="pct"/>
          </w:tcPr>
          <w:p w14:paraId="0C1C3D29" w14:textId="12F78B06" w:rsidR="002824BB" w:rsidRDefault="002824BB" w:rsidP="004C79C1">
            <w:pPr>
              <w:pStyle w:val="TableText0"/>
              <w:spacing w:before="0" w:after="120"/>
              <w:rPr>
                <w:snapToGrid w:val="0"/>
              </w:rPr>
            </w:pPr>
            <w:r>
              <w:rPr>
                <w:snapToGrid w:val="0"/>
              </w:rPr>
              <w:t>Event-free survival</w:t>
            </w:r>
          </w:p>
        </w:tc>
        <w:tc>
          <w:tcPr>
            <w:tcW w:w="585" w:type="pct"/>
          </w:tcPr>
          <w:p w14:paraId="32630677" w14:textId="3D9D16DC" w:rsidR="002824BB" w:rsidRDefault="002824BB" w:rsidP="004C79C1">
            <w:pPr>
              <w:pStyle w:val="TableText0"/>
              <w:spacing w:before="0" w:after="120"/>
              <w:rPr>
                <w:snapToGrid w:val="0"/>
              </w:rPr>
            </w:pPr>
            <w:r>
              <w:rPr>
                <w:snapToGrid w:val="0"/>
              </w:rPr>
              <w:t>No</w:t>
            </w:r>
          </w:p>
        </w:tc>
      </w:tr>
      <w:tr w:rsidR="0068176B" w:rsidRPr="00183E4D" w14:paraId="7941019D" w14:textId="77777777" w:rsidTr="0068176B">
        <w:tc>
          <w:tcPr>
            <w:tcW w:w="621" w:type="pct"/>
          </w:tcPr>
          <w:p w14:paraId="5C577AEE" w14:textId="5C6E9BE9" w:rsidR="002824BB" w:rsidRDefault="00281783" w:rsidP="004C79C1">
            <w:pPr>
              <w:pStyle w:val="TableText0"/>
              <w:spacing w:before="0" w:after="120"/>
              <w:rPr>
                <w:snapToGrid w:val="0"/>
              </w:rPr>
            </w:pPr>
            <w:r>
              <w:rPr>
                <w:snapToGrid w:val="0"/>
              </w:rPr>
              <w:t>Liu et al. (2013)</w:t>
            </w:r>
          </w:p>
        </w:tc>
        <w:tc>
          <w:tcPr>
            <w:tcW w:w="402" w:type="pct"/>
          </w:tcPr>
          <w:p w14:paraId="2313F34D" w14:textId="1A601D4D" w:rsidR="002824BB" w:rsidRDefault="00281783" w:rsidP="004C79C1">
            <w:pPr>
              <w:pStyle w:val="TableText0"/>
              <w:spacing w:before="0" w:after="120"/>
              <w:jc w:val="right"/>
              <w:rPr>
                <w:snapToGrid w:val="0"/>
              </w:rPr>
            </w:pPr>
            <w:r>
              <w:rPr>
                <w:snapToGrid w:val="0"/>
              </w:rPr>
              <w:t>687</w:t>
            </w:r>
          </w:p>
        </w:tc>
        <w:tc>
          <w:tcPr>
            <w:tcW w:w="631" w:type="pct"/>
          </w:tcPr>
          <w:p w14:paraId="4F698798" w14:textId="7450DCC6" w:rsidR="002824BB" w:rsidRDefault="00281783" w:rsidP="004C79C1">
            <w:pPr>
              <w:pStyle w:val="TableText0"/>
              <w:spacing w:before="0" w:after="120"/>
              <w:jc w:val="center"/>
              <w:rPr>
                <w:snapToGrid w:val="0"/>
              </w:rPr>
            </w:pPr>
            <w:r>
              <w:rPr>
                <w:snapToGrid w:val="0"/>
              </w:rPr>
              <w:t>SR</w:t>
            </w:r>
          </w:p>
        </w:tc>
        <w:tc>
          <w:tcPr>
            <w:tcW w:w="551" w:type="pct"/>
          </w:tcPr>
          <w:p w14:paraId="1E83BC05" w14:textId="5D3294E9" w:rsidR="002824BB" w:rsidRDefault="00281783" w:rsidP="004C79C1">
            <w:pPr>
              <w:pStyle w:val="TableText0"/>
              <w:spacing w:before="0" w:after="120"/>
              <w:rPr>
                <w:snapToGrid w:val="0"/>
              </w:rPr>
            </w:pPr>
            <w:r>
              <w:rPr>
                <w:snapToGrid w:val="0"/>
              </w:rPr>
              <w:t>Low</w:t>
            </w:r>
          </w:p>
        </w:tc>
        <w:tc>
          <w:tcPr>
            <w:tcW w:w="1421" w:type="pct"/>
          </w:tcPr>
          <w:p w14:paraId="3ED0D193" w14:textId="5E578183" w:rsidR="002824BB" w:rsidRDefault="00281783" w:rsidP="004C79C1">
            <w:pPr>
              <w:pStyle w:val="TableText0"/>
              <w:spacing w:before="0" w:after="120"/>
              <w:rPr>
                <w:snapToGrid w:val="0"/>
              </w:rPr>
            </w:pPr>
            <w:r>
              <w:rPr>
                <w:snapToGrid w:val="0"/>
              </w:rPr>
              <w:t>Patients with viral myocarditis treated with herbal medicines vs no herbal medicine</w:t>
            </w:r>
          </w:p>
        </w:tc>
        <w:tc>
          <w:tcPr>
            <w:tcW w:w="789" w:type="pct"/>
          </w:tcPr>
          <w:p w14:paraId="6C04D25C" w14:textId="3DD75662" w:rsidR="002824BB" w:rsidRDefault="00281783" w:rsidP="004C79C1">
            <w:pPr>
              <w:pStyle w:val="TableText0"/>
              <w:spacing w:before="0" w:after="120"/>
              <w:rPr>
                <w:snapToGrid w:val="0"/>
              </w:rPr>
            </w:pPr>
            <w:r>
              <w:rPr>
                <w:snapToGrid w:val="0"/>
              </w:rPr>
              <w:t>Cardiac death, quality of life</w:t>
            </w:r>
          </w:p>
        </w:tc>
        <w:tc>
          <w:tcPr>
            <w:tcW w:w="585" w:type="pct"/>
          </w:tcPr>
          <w:p w14:paraId="10070B16" w14:textId="0919B53D" w:rsidR="002824BB" w:rsidRDefault="00281783" w:rsidP="004C79C1">
            <w:pPr>
              <w:pStyle w:val="TableText0"/>
              <w:spacing w:before="0" w:after="120"/>
              <w:rPr>
                <w:snapToGrid w:val="0"/>
              </w:rPr>
            </w:pPr>
            <w:r>
              <w:rPr>
                <w:snapToGrid w:val="0"/>
              </w:rPr>
              <w:t>No</w:t>
            </w:r>
          </w:p>
        </w:tc>
      </w:tr>
      <w:tr w:rsidR="0068176B" w:rsidRPr="00183E4D" w14:paraId="3DC48110" w14:textId="77777777" w:rsidTr="0068176B">
        <w:tc>
          <w:tcPr>
            <w:tcW w:w="621" w:type="pct"/>
          </w:tcPr>
          <w:p w14:paraId="4CA3699E" w14:textId="3BBE4BC4" w:rsidR="00281783" w:rsidRDefault="00281783" w:rsidP="004C79C1">
            <w:pPr>
              <w:pStyle w:val="TableText0"/>
              <w:spacing w:before="0" w:after="120"/>
              <w:rPr>
                <w:snapToGrid w:val="0"/>
              </w:rPr>
            </w:pPr>
            <w:r>
              <w:rPr>
                <w:snapToGrid w:val="0"/>
              </w:rPr>
              <w:t>Sadek et al. (2013)</w:t>
            </w:r>
          </w:p>
        </w:tc>
        <w:tc>
          <w:tcPr>
            <w:tcW w:w="402" w:type="pct"/>
          </w:tcPr>
          <w:p w14:paraId="3417B754" w14:textId="0E6D7220" w:rsidR="00281783" w:rsidRDefault="00281783" w:rsidP="004C79C1">
            <w:pPr>
              <w:pStyle w:val="TableText0"/>
              <w:spacing w:before="0" w:after="120"/>
              <w:jc w:val="right"/>
              <w:rPr>
                <w:snapToGrid w:val="0"/>
              </w:rPr>
            </w:pPr>
            <w:r>
              <w:rPr>
                <w:snapToGrid w:val="0"/>
              </w:rPr>
              <w:t>299</w:t>
            </w:r>
          </w:p>
        </w:tc>
        <w:tc>
          <w:tcPr>
            <w:tcW w:w="631" w:type="pct"/>
          </w:tcPr>
          <w:p w14:paraId="0CE0DEB2" w14:textId="17BFF9E3" w:rsidR="00281783" w:rsidRDefault="00281783" w:rsidP="004C79C1">
            <w:pPr>
              <w:pStyle w:val="TableText0"/>
              <w:spacing w:before="0" w:after="120"/>
              <w:jc w:val="center"/>
              <w:rPr>
                <w:snapToGrid w:val="0"/>
              </w:rPr>
            </w:pPr>
            <w:r>
              <w:rPr>
                <w:snapToGrid w:val="0"/>
              </w:rPr>
              <w:t>SR</w:t>
            </w:r>
          </w:p>
        </w:tc>
        <w:tc>
          <w:tcPr>
            <w:tcW w:w="551" w:type="pct"/>
          </w:tcPr>
          <w:p w14:paraId="29CC0997" w14:textId="3AE23F26" w:rsidR="00281783" w:rsidRDefault="00281783" w:rsidP="004C79C1">
            <w:pPr>
              <w:pStyle w:val="TableText0"/>
              <w:spacing w:before="0" w:after="120"/>
              <w:rPr>
                <w:snapToGrid w:val="0"/>
              </w:rPr>
            </w:pPr>
            <w:r>
              <w:rPr>
                <w:snapToGrid w:val="0"/>
              </w:rPr>
              <w:t>Low</w:t>
            </w:r>
          </w:p>
        </w:tc>
        <w:tc>
          <w:tcPr>
            <w:tcW w:w="1421" w:type="pct"/>
          </w:tcPr>
          <w:p w14:paraId="13989ECE" w14:textId="763D4686" w:rsidR="00281783" w:rsidRDefault="00281783" w:rsidP="004C79C1">
            <w:pPr>
              <w:pStyle w:val="TableText0"/>
              <w:spacing w:before="0" w:after="120"/>
              <w:rPr>
                <w:snapToGrid w:val="0"/>
              </w:rPr>
            </w:pPr>
            <w:r>
              <w:rPr>
                <w:snapToGrid w:val="0"/>
              </w:rPr>
              <w:t>Patients with cardiac sarcoidosis, treated with or without corticosteroids</w:t>
            </w:r>
          </w:p>
        </w:tc>
        <w:tc>
          <w:tcPr>
            <w:tcW w:w="789" w:type="pct"/>
          </w:tcPr>
          <w:p w14:paraId="6110FA1C" w14:textId="27C78595" w:rsidR="00281783" w:rsidRDefault="00281783" w:rsidP="004C79C1">
            <w:pPr>
              <w:pStyle w:val="TableText0"/>
              <w:spacing w:before="0" w:after="120"/>
              <w:rPr>
                <w:snapToGrid w:val="0"/>
              </w:rPr>
            </w:pPr>
            <w:r>
              <w:rPr>
                <w:snapToGrid w:val="0"/>
              </w:rPr>
              <w:t>Survival, LV functioning</w:t>
            </w:r>
          </w:p>
        </w:tc>
        <w:tc>
          <w:tcPr>
            <w:tcW w:w="585" w:type="pct"/>
          </w:tcPr>
          <w:p w14:paraId="6357E3A1" w14:textId="2C5C6532" w:rsidR="00281783" w:rsidRDefault="00281783" w:rsidP="004C79C1">
            <w:pPr>
              <w:pStyle w:val="TableText0"/>
              <w:spacing w:before="0" w:after="120"/>
              <w:rPr>
                <w:snapToGrid w:val="0"/>
              </w:rPr>
            </w:pPr>
            <w:r>
              <w:rPr>
                <w:snapToGrid w:val="0"/>
              </w:rPr>
              <w:t>No</w:t>
            </w:r>
          </w:p>
        </w:tc>
      </w:tr>
    </w:tbl>
    <w:p w14:paraId="6BB4757F" w14:textId="6DA15695" w:rsidR="00A36FFB" w:rsidRPr="00183E4D" w:rsidRDefault="00A50A6C" w:rsidP="004C79C1">
      <w:pPr>
        <w:pStyle w:val="Tablenotes0"/>
        <w:spacing w:before="0" w:after="120"/>
        <w:rPr>
          <w:rStyle w:val="TablenotesChar0"/>
        </w:rPr>
      </w:pPr>
      <w:r>
        <w:rPr>
          <w:rStyle w:val="TablenotesChar0"/>
        </w:rPr>
        <w:t>CAD = coronary artery dis</w:t>
      </w:r>
      <w:r w:rsidRPr="00BE183D">
        <w:rPr>
          <w:rStyle w:val="TablenotesChar0"/>
        </w:rPr>
        <w:t xml:space="preserve">ease; </w:t>
      </w:r>
      <w:r w:rsidR="00614940" w:rsidRPr="00BE183D">
        <w:rPr>
          <w:rStyle w:val="TablenotesChar0"/>
        </w:rPr>
        <w:t xml:space="preserve">CMR = </w:t>
      </w:r>
      <w:r w:rsidR="00614940" w:rsidRPr="0068176B">
        <w:t xml:space="preserve">cardiac magnetic resonance </w:t>
      </w:r>
      <w:r w:rsidR="00372D4E">
        <w:t>(</w:t>
      </w:r>
      <w:r w:rsidR="00372D4E" w:rsidRPr="00FA186D">
        <w:t>imaging</w:t>
      </w:r>
      <w:r w:rsidR="00372D4E">
        <w:t>)</w:t>
      </w:r>
      <w:r w:rsidR="00614940" w:rsidRPr="00BE183D">
        <w:rPr>
          <w:rStyle w:val="TablenotesChar0"/>
        </w:rPr>
        <w:t xml:space="preserve">; </w:t>
      </w:r>
      <w:r w:rsidRPr="00BE183D">
        <w:rPr>
          <w:rStyle w:val="TablenotesChar0"/>
        </w:rPr>
        <w:t>ICD = im</w:t>
      </w:r>
      <w:r>
        <w:rPr>
          <w:rStyle w:val="TablenotesChar0"/>
        </w:rPr>
        <w:t xml:space="preserve">plantable cardioverter defibrillator; HF = heart failure; HTA = health technology assessment; </w:t>
      </w:r>
      <w:r w:rsidR="001430C5">
        <w:rPr>
          <w:rStyle w:val="TablenotesChar0"/>
        </w:rPr>
        <w:t xml:space="preserve">LV = left ventricle; </w:t>
      </w:r>
      <w:r w:rsidR="004328AE">
        <w:rPr>
          <w:rStyle w:val="TablenotesChar0"/>
        </w:rPr>
        <w:t xml:space="preserve">N = number of patients; </w:t>
      </w:r>
      <w:r>
        <w:rPr>
          <w:rStyle w:val="TablenotesChar0"/>
        </w:rPr>
        <w:t>NIDCM = non-ischaemic dilated cardiomyopathy; NYHA = New York Heart Association; OMT = optimal medical treatment; SCD = sudden cardiac death; SR = systematic review</w:t>
      </w:r>
    </w:p>
    <w:p w14:paraId="4CAD23F9" w14:textId="6D889AD9" w:rsidR="00A36FFB" w:rsidRPr="00183E4D" w:rsidRDefault="00B4098B" w:rsidP="00161B88">
      <w:pPr>
        <w:pStyle w:val="Heading3"/>
      </w:pPr>
      <w:bookmarkStart w:id="425" w:name="_Toc451501344"/>
      <w:r>
        <w:t xml:space="preserve">B5.2.3 </w:t>
      </w:r>
      <w:r w:rsidR="00A36FFB" w:rsidRPr="00183E4D">
        <w:t xml:space="preserve">Outcome </w:t>
      </w:r>
      <w:r w:rsidR="002E0970">
        <w:t>m</w:t>
      </w:r>
      <w:r w:rsidR="00A36FFB" w:rsidRPr="00183E4D">
        <w:t xml:space="preserve">easures and </w:t>
      </w:r>
      <w:r w:rsidR="002E0970">
        <w:t>a</w:t>
      </w:r>
      <w:r w:rsidR="00A36FFB" w:rsidRPr="00183E4D">
        <w:t>nalysis</w:t>
      </w:r>
      <w:bookmarkEnd w:id="425"/>
    </w:p>
    <w:p w14:paraId="135A8684" w14:textId="45C9381A" w:rsidR="00A36FFB" w:rsidRDefault="00A36FFB" w:rsidP="004C79C1">
      <w:pPr>
        <w:spacing w:after="120" w:line="240" w:lineRule="auto"/>
        <w:jc w:val="both"/>
      </w:pPr>
      <w:r>
        <w:t xml:space="preserve">The outcomes focused on for the impact of change in management section were those </w:t>
      </w:r>
      <w:r w:rsidR="000733A8">
        <w:t xml:space="preserve">that </w:t>
      </w:r>
      <w:r>
        <w:t>were most likely to be patient relevant</w:t>
      </w:r>
      <w:r w:rsidR="000733A8">
        <w:t>;</w:t>
      </w:r>
      <w:r>
        <w:t xml:space="preserve"> </w:t>
      </w:r>
      <w:r w:rsidR="000733A8">
        <w:t>that is,</w:t>
      </w:r>
      <w:r>
        <w:t xml:space="preserve"> preference was given to the outcomes of mortality </w:t>
      </w:r>
      <w:r w:rsidR="000733A8">
        <w:t xml:space="preserve">and </w:t>
      </w:r>
      <w:r>
        <w:t xml:space="preserve">quality of life, with comments also made on LVEF. The results of </w:t>
      </w:r>
      <w:r w:rsidR="00D15A51">
        <w:t>SR</w:t>
      </w:r>
      <w:r>
        <w:t>s were provided, with the exception of the analyses of studies comparin</w:t>
      </w:r>
      <w:r w:rsidRPr="00065F6D">
        <w:t xml:space="preserve">g ICDs plus </w:t>
      </w:r>
      <w:r w:rsidR="002F4210" w:rsidRPr="00065F6D">
        <w:rPr>
          <w:snapToGrid w:val="0"/>
        </w:rPr>
        <w:t>optimal medical treatment (</w:t>
      </w:r>
      <w:r w:rsidRPr="00065F6D">
        <w:t>OMT</w:t>
      </w:r>
      <w:r w:rsidR="002F4210" w:rsidRPr="00065F6D">
        <w:t>)</w:t>
      </w:r>
      <w:r w:rsidRPr="00065F6D">
        <w:t xml:space="preserve"> versus </w:t>
      </w:r>
      <w:r w:rsidRPr="00065F6D">
        <w:lastRenderedPageBreak/>
        <w:t>OMT</w:t>
      </w:r>
      <w:r w:rsidR="00DE6CEA" w:rsidRPr="00065F6D">
        <w:t xml:space="preserve"> alone</w:t>
      </w:r>
      <w:r w:rsidRPr="00065F6D">
        <w:t xml:space="preserve"> </w:t>
      </w:r>
      <w:r w:rsidR="00737A9C" w:rsidRPr="00065F6D">
        <w:t>(</w:t>
      </w:r>
      <w:r w:rsidRPr="00065F6D">
        <w:t>where</w:t>
      </w:r>
      <w:r w:rsidRPr="00065F6D">
        <w:rPr>
          <w:rFonts w:asciiTheme="minorHAnsi" w:hAnsiTheme="minorHAnsi"/>
        </w:rPr>
        <w:t xml:space="preserve"> data from the origi</w:t>
      </w:r>
      <w:r w:rsidRPr="00737A9C">
        <w:t>nal studies were derived</w:t>
      </w:r>
      <w:r w:rsidR="00737A9C" w:rsidRPr="00065F6D">
        <w:t>)</w:t>
      </w:r>
      <w:r w:rsidRPr="00737A9C">
        <w:t xml:space="preserve">, due to differences between the HTAs identified and inaccuracies in the data extraction by Theuns et al. </w:t>
      </w:r>
      <w:r w:rsidR="00187A29" w:rsidRPr="00737A9C">
        <w:fldChar w:fldCharType="begin"/>
      </w:r>
      <w:r w:rsidR="00187A29" w:rsidRPr="00737A9C">
        <w:instrText xml:space="preserve"> ADDIN EN.CITE &lt;EndNote&gt;&lt;Cite ExcludeAuth="1"&gt;&lt;Author&gt;Theuns&lt;/Author&gt;&lt;Year&gt;2010&lt;/Year&gt;&lt;RecNum&gt;92&lt;/RecNum&gt;&lt;DisplayText&gt;(2010)&lt;/DisplayText&gt;&lt;record&gt;&lt;rec-number&gt;92&lt;/rec-number&gt;&lt;foreign-keys&gt;&lt;key app="EN" db-id="pfxxvref0t0a5de2vwnv2fwkz0p9v0r2fw0t" timestamp="1458518469"&gt;92&lt;/key&gt;&lt;/foreign-keys&gt;&lt;ref-type name="Journal Article"&gt;17&lt;/ref-type&gt;&lt;contributors&gt;&lt;authors&gt;&lt;author&gt;Theuns, D. A.&lt;/author&gt;&lt;author&gt;Smith, T.&lt;/author&gt;&lt;author&gt;Hunink, M. G.&lt;/author&gt;&lt;author&gt;Bardy, G. H.&lt;/author&gt;&lt;author&gt;Jordaens, L.&lt;/author&gt;&lt;/authors&gt;&lt;/contributors&gt;&lt;titles&gt;&lt;title&gt;Effectiveness of prophylactic implantation of cardioverter-defibrillators without cardiac resynchronization therapy in patients with ischaemic or non-ischaemic heart disease: a systematic review and meta-analysis&lt;/title&gt;&lt;secondary-title&gt;Europace&lt;/secondary-title&gt;&lt;/titles&gt;&lt;periodical&gt;&lt;full-title&gt;Europace&lt;/full-title&gt;&lt;/periodical&gt;&lt;pages&gt;1564-70&lt;/pages&gt;&lt;volume&gt;12&lt;/volume&gt;&lt;number&gt;11&lt;/number&gt;&lt;dates&gt;&lt;year&gt;2010&lt;/year&gt;&lt;pub-dates&gt;&lt;date&gt;2010-01-01&lt;/date&gt;&lt;/pub-dates&gt;&lt;/dates&gt;&lt;isbn&gt;1099-5129&lt;/isbn&gt;&lt;urls&gt;&lt;related-urls&gt;&lt;url&gt;http://www.ncbi.nlm.nih.gov/pmc/articles/PMC2963481/pdf/euq329.pdf&lt;/url&gt;&lt;/related-urls&gt;&lt;/urls&gt;&lt;custom1&gt;RAYYAN-INCLUSION: {&amp;quot;Skye&amp;quot;=&amp;gt;true}&lt;/custom1&gt;&lt;language&gt;eng&lt;/language&gt;&lt;/record&gt;&lt;/Cite&gt;&lt;/EndNote&gt;</w:instrText>
      </w:r>
      <w:r w:rsidR="00187A29" w:rsidRPr="00737A9C">
        <w:fldChar w:fldCharType="separate"/>
      </w:r>
      <w:r w:rsidR="00187A29" w:rsidRPr="00737A9C">
        <w:rPr>
          <w:noProof/>
        </w:rPr>
        <w:t>(</w:t>
      </w:r>
      <w:hyperlink w:anchor="_ENREF_128" w:tooltip="Theuns, 2010 #92" w:history="1">
        <w:r w:rsidR="00B906E9" w:rsidRPr="00737A9C">
          <w:rPr>
            <w:noProof/>
          </w:rPr>
          <w:t>2010</w:t>
        </w:r>
      </w:hyperlink>
      <w:r w:rsidR="00187A29" w:rsidRPr="00737A9C">
        <w:rPr>
          <w:noProof/>
        </w:rPr>
        <w:t>)</w:t>
      </w:r>
      <w:r w:rsidR="00187A29" w:rsidRPr="00737A9C">
        <w:fldChar w:fldCharType="end"/>
      </w:r>
      <w:r w:rsidRPr="00737A9C">
        <w:t>.</w:t>
      </w:r>
      <w:r>
        <w:t xml:space="preserve"> </w:t>
      </w:r>
    </w:p>
    <w:p w14:paraId="12E73199" w14:textId="216C5C9F" w:rsidR="00A36FFB" w:rsidRPr="00183E4D" w:rsidRDefault="00B4098B" w:rsidP="00161B88">
      <w:pPr>
        <w:pStyle w:val="Heading3"/>
      </w:pPr>
      <w:bookmarkStart w:id="426" w:name="_Toc451501345"/>
      <w:r>
        <w:t xml:space="preserve">B5.2.4 </w:t>
      </w:r>
      <w:r w:rsidR="00A36FFB" w:rsidRPr="00183E4D">
        <w:t xml:space="preserve">Results of the </w:t>
      </w:r>
      <w:r w:rsidR="002E0970">
        <w:t>l</w:t>
      </w:r>
      <w:r w:rsidR="00A36FFB" w:rsidRPr="00183E4D">
        <w:t>iterature review</w:t>
      </w:r>
      <w:bookmarkEnd w:id="426"/>
    </w:p>
    <w:p w14:paraId="4A668489" w14:textId="0138893D" w:rsidR="00A36FFB" w:rsidRDefault="00A36FFB" w:rsidP="00161B88">
      <w:pPr>
        <w:pStyle w:val="Heading3"/>
      </w:pPr>
      <w:bookmarkStart w:id="427" w:name="_Toc451501346"/>
      <w:r w:rsidRPr="004D0C0F">
        <w:t xml:space="preserve">Does the change in management </w:t>
      </w:r>
      <w:r>
        <w:t>improve</w:t>
      </w:r>
      <w:r w:rsidRPr="004D0C0F">
        <w:t xml:space="preserve"> health outcomes?</w:t>
      </w:r>
      <w:bookmarkEnd w:id="427"/>
      <w:r w:rsidRPr="004D0C0F">
        <w:t xml:space="preserve"> </w:t>
      </w:r>
    </w:p>
    <w:p w14:paraId="59F76052" w14:textId="32A490AD"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rsidRPr="00183E4D">
        <w:t xml:space="preserve">Summary – </w:t>
      </w:r>
      <w:r>
        <w:t>Do changes in management resulting from CMR improve health outcomes in patients presenting with HF symptoms and dilated LV</w:t>
      </w:r>
      <w:r w:rsidR="004E27FC">
        <w:t>s</w:t>
      </w:r>
      <w:r>
        <w:t xml:space="preserve">? </w:t>
      </w:r>
    </w:p>
    <w:p w14:paraId="023720DB" w14:textId="77777777"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 xml:space="preserve">In patients presenting with HF symptoms, CMR can be used in several different places in the clinical management algorithms. </w:t>
      </w:r>
    </w:p>
    <w:p w14:paraId="17F416BA" w14:textId="5F956005"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For the purposes of distinguishing between ischaemic and non-ischaemic DCM, CMR is proposed as an alternative to SPECT and CTCA, but the comparative accuracy of CMR for this indication, and the potential impact to patient health</w:t>
      </w:r>
      <w:r w:rsidR="0055613B">
        <w:rPr>
          <w:b w:val="0"/>
        </w:rPr>
        <w:t>,</w:t>
      </w:r>
      <w:r>
        <w:rPr>
          <w:b w:val="0"/>
        </w:rPr>
        <w:t xml:space="preserve"> </w:t>
      </w:r>
      <w:r w:rsidR="0055613B">
        <w:rPr>
          <w:b w:val="0"/>
        </w:rPr>
        <w:t xml:space="preserve">are both </w:t>
      </w:r>
      <w:r>
        <w:rPr>
          <w:b w:val="0"/>
        </w:rPr>
        <w:t xml:space="preserve">unknown. Those </w:t>
      </w:r>
      <w:r w:rsidR="0055613B">
        <w:rPr>
          <w:b w:val="0"/>
        </w:rPr>
        <w:t xml:space="preserve">patients </w:t>
      </w:r>
      <w:r>
        <w:rPr>
          <w:b w:val="0"/>
        </w:rPr>
        <w:t>incorrectly classified as ischaemic would be likely to undergo an ICA, which would identify whether the</w:t>
      </w:r>
      <w:r w:rsidR="0055613B">
        <w:rPr>
          <w:b w:val="0"/>
        </w:rPr>
        <w:t>y</w:t>
      </w:r>
      <w:r>
        <w:rPr>
          <w:b w:val="0"/>
        </w:rPr>
        <w:t xml:space="preserve"> </w:t>
      </w:r>
      <w:r w:rsidR="0055613B">
        <w:rPr>
          <w:b w:val="0"/>
        </w:rPr>
        <w:t xml:space="preserve">are </w:t>
      </w:r>
      <w:r>
        <w:rPr>
          <w:b w:val="0"/>
        </w:rPr>
        <w:t xml:space="preserve">truly ischaemic or not. Treatment for those falsely identified as having ischaemia would be the same, but with the addition of an invasive diagnostic procedure. </w:t>
      </w:r>
    </w:p>
    <w:p w14:paraId="0A1894A6" w14:textId="009181D4"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A small number of ischaemic cases who are LGE– will be falsely identified by CMR as NIDCM</w:t>
      </w:r>
      <w:r w:rsidR="00EC1AC7">
        <w:rPr>
          <w:b w:val="0"/>
        </w:rPr>
        <w:t>;</w:t>
      </w:r>
      <w:r>
        <w:rPr>
          <w:b w:val="0"/>
        </w:rPr>
        <w:t xml:space="preserve"> however, patients who are LGE– have a better prognosis than those who are LGE+, and the impact of treating these patients as NIDCM is unknown. The effectiveness of ICD treatment was similar in patients with ICM and NIDCM. </w:t>
      </w:r>
    </w:p>
    <w:p w14:paraId="6C0B5BD3" w14:textId="3FE5D1BC"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 xml:space="preserve">Prognostic data suggests that LGE-CMR provides a more accurate measure of LVEF than </w:t>
      </w:r>
      <w:r w:rsidR="00A21115">
        <w:rPr>
          <w:b w:val="0"/>
        </w:rPr>
        <w:t>echocardiography</w:t>
      </w:r>
      <w:r>
        <w:rPr>
          <w:b w:val="0"/>
        </w:rPr>
        <w:t xml:space="preserve">, which is currently </w:t>
      </w:r>
      <w:proofErr w:type="gramStart"/>
      <w:r>
        <w:rPr>
          <w:b w:val="0"/>
        </w:rPr>
        <w:t>key</w:t>
      </w:r>
      <w:proofErr w:type="gramEnd"/>
      <w:r>
        <w:rPr>
          <w:b w:val="0"/>
        </w:rPr>
        <w:t xml:space="preserve"> to determining whether a patient with NIDCM is referred for surgery or device implantation. Prognostic data suggests that LGE is a better predictor of outcomes than LVEF, so it is likely that this information will be used to determine whether patients should proceed to surgery or not in the near future. However, no trials were identified to prove that stratifying patients with LGE-CMR results in better health outcomes than the current practice without CMR.</w:t>
      </w:r>
    </w:p>
    <w:p w14:paraId="0ACE9E59" w14:textId="77777777"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 xml:space="preserve">For patients who avoid device implantation or surgery due to the use of CMR, the expected impact would depend on whether the CMR result was correct, or whether they were ruled out from these treatments inappropriately. There is some evidence showing a trend towards delayed ICD treatment for NIDCM not showing the same superiority to OMT that early treatment with an ICD does </w:t>
      </w:r>
      <w:r w:rsidRPr="00B777E6">
        <w:rPr>
          <w:b w:val="0"/>
        </w:rPr>
        <w:t xml:space="preserve">(GRADE </w:t>
      </w:r>
      <w:r w:rsidRPr="00B777E6">
        <w:rPr>
          <w:rFonts w:ascii="Cambria Math" w:hAnsi="Cambria Math" w:cs="Cambria Math"/>
          <w:b w:val="0"/>
          <w:color w:val="00B050"/>
        </w:rPr>
        <w:t>⊕</w:t>
      </w:r>
      <w:r w:rsidRPr="00B777E6">
        <w:rPr>
          <w:rFonts w:ascii="Cambria Math" w:hAnsi="Cambria Math" w:cs="Cambria Math"/>
          <w:b w:val="0"/>
          <w:color w:val="FF0000"/>
        </w:rPr>
        <w:t>⨀⨀⨀</w:t>
      </w:r>
      <w:r w:rsidRPr="00B777E6">
        <w:rPr>
          <w:b w:val="0"/>
        </w:rPr>
        <w:t>)</w:t>
      </w:r>
      <w:r>
        <w:rPr>
          <w:b w:val="0"/>
        </w:rPr>
        <w:t xml:space="preserve">. It is possible that if some patients are ruled out inappropriately from ICD treatment by CMR, their outcomes may therefore be inferior to the treatment strategy planned prior to CMR. However, the likelihood of this occurring is unknown. </w:t>
      </w:r>
    </w:p>
    <w:p w14:paraId="339D7701" w14:textId="5041DBBB"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In patients correctly ruled out from more</w:t>
      </w:r>
      <w:r w:rsidR="00973E15">
        <w:rPr>
          <w:b w:val="0"/>
        </w:rPr>
        <w:t>-</w:t>
      </w:r>
      <w:r>
        <w:rPr>
          <w:b w:val="0"/>
        </w:rPr>
        <w:t xml:space="preserve">invasive treatments, it is expected that they will have non-inferior effectiveness outcomes and superior safety outcomes from having avoided the invasive surgical procedure and/or device implantation. One Australian case series compared the mortality rates of those who had invasive treatments avoided due to CMR findings </w:t>
      </w:r>
      <w:r w:rsidR="00EA0E94">
        <w:rPr>
          <w:b w:val="0"/>
        </w:rPr>
        <w:t>with</w:t>
      </w:r>
      <w:r>
        <w:rPr>
          <w:b w:val="0"/>
        </w:rPr>
        <w:t xml:space="preserve"> those who proceeded with invasive treatments and found no significant difference</w:t>
      </w:r>
      <w:r w:rsidRPr="00B777E6">
        <w:rPr>
          <w:b w:val="0"/>
        </w:rPr>
        <w:t xml:space="preserve"> (GRADE </w:t>
      </w:r>
      <w:r w:rsidRPr="00B777E6">
        <w:rPr>
          <w:rFonts w:ascii="Cambria Math" w:hAnsi="Cambria Math" w:cs="Cambria Math"/>
          <w:b w:val="0"/>
          <w:color w:val="00B050"/>
        </w:rPr>
        <w:t>⊕</w:t>
      </w:r>
      <w:r w:rsidRPr="00B777E6">
        <w:rPr>
          <w:rFonts w:ascii="Cambria Math" w:hAnsi="Cambria Math" w:cs="Cambria Math"/>
          <w:b w:val="0"/>
          <w:color w:val="FF0000"/>
        </w:rPr>
        <w:t>⨀⨀⨀</w:t>
      </w:r>
      <w:r w:rsidRPr="00B777E6">
        <w:rPr>
          <w:b w:val="0"/>
        </w:rPr>
        <w:t>).</w:t>
      </w:r>
      <w:r>
        <w:t xml:space="preserve"> </w:t>
      </w:r>
    </w:p>
    <w:p w14:paraId="3AEB1D75" w14:textId="57E1012C"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Some patients with rare forms of DCM are expected to have their aetiology diagnosed with the use of CMR, which may have been missed in the absence of CMR testing. Although all patients with DCM would receive OMT for HF symptoms, those with myocarditis, sarcoidosis and Wegener’s granulomatosis would receive additional immunosuppressants</w:t>
      </w:r>
      <w:r w:rsidR="00EA0E94">
        <w:rPr>
          <w:b w:val="0"/>
        </w:rPr>
        <w:t>;</w:t>
      </w:r>
      <w:r>
        <w:rPr>
          <w:b w:val="0"/>
        </w:rPr>
        <w:t xml:space="preserve"> those with LV non-compaction would receive antithrombotic medication and ICDs</w:t>
      </w:r>
      <w:r w:rsidR="00EA0E94">
        <w:rPr>
          <w:b w:val="0"/>
        </w:rPr>
        <w:t>;</w:t>
      </w:r>
      <w:r>
        <w:rPr>
          <w:b w:val="0"/>
        </w:rPr>
        <w:t xml:space="preserve"> and those with haemochromatosis would also receive </w:t>
      </w:r>
      <w:r w:rsidRPr="008904FC">
        <w:rPr>
          <w:b w:val="0"/>
        </w:rPr>
        <w:t>regular transfusion-chelation therapy</w:t>
      </w:r>
      <w:r>
        <w:rPr>
          <w:b w:val="0"/>
        </w:rPr>
        <w:t xml:space="preserve">. The evidence supporting these treatments is limited. </w:t>
      </w:r>
    </w:p>
    <w:p w14:paraId="68D5DEE7" w14:textId="77777777" w:rsidR="00A36FFB"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pPr>
      <w:r>
        <w:t>Do changes in management resulting from CMR improve health outcomes in family members of someone with DCM?</w:t>
      </w:r>
    </w:p>
    <w:p w14:paraId="6FD5361B" w14:textId="3185D986" w:rsidR="00A36FFB" w:rsidRPr="0069470C" w:rsidRDefault="00A36FFB" w:rsidP="004C79C1">
      <w:pPr>
        <w:pStyle w:val="Summaryboxheading"/>
        <w:pBdr>
          <w:top w:val="single" w:sz="4" w:space="1" w:color="auto"/>
          <w:left w:val="single" w:sz="4" w:space="4" w:color="auto"/>
          <w:bottom w:val="single" w:sz="4" w:space="1" w:color="auto"/>
          <w:right w:val="single" w:sz="4" w:space="4" w:color="auto"/>
        </w:pBdr>
        <w:spacing w:before="0" w:after="120" w:afterAutospacing="0" w:line="240" w:lineRule="auto"/>
        <w:jc w:val="both"/>
        <w:rPr>
          <w:b w:val="0"/>
        </w:rPr>
      </w:pPr>
      <w:r>
        <w:rPr>
          <w:b w:val="0"/>
        </w:rPr>
        <w:t>No evidence regarding the changes expected specifically for family members were identified</w:t>
      </w:r>
      <w:r w:rsidR="003C24EA">
        <w:rPr>
          <w:b w:val="0"/>
        </w:rPr>
        <w:t>;</w:t>
      </w:r>
      <w:r>
        <w:rPr>
          <w:b w:val="0"/>
        </w:rPr>
        <w:t xml:space="preserve"> </w:t>
      </w:r>
      <w:r w:rsidR="003C24EA">
        <w:rPr>
          <w:b w:val="0"/>
        </w:rPr>
        <w:t>t</w:t>
      </w:r>
      <w:r>
        <w:rPr>
          <w:b w:val="0"/>
        </w:rPr>
        <w:t>herefore</w:t>
      </w:r>
      <w:r w:rsidR="003C24EA">
        <w:rPr>
          <w:b w:val="0"/>
        </w:rPr>
        <w:t>,</w:t>
      </w:r>
      <w:r>
        <w:rPr>
          <w:b w:val="0"/>
        </w:rPr>
        <w:t xml:space="preserve"> the last step of linked evidence could not be assessed for family members. </w:t>
      </w:r>
    </w:p>
    <w:p w14:paraId="784392BB" w14:textId="4860CC8D" w:rsidR="00A36FFB" w:rsidRDefault="00A36FFB" w:rsidP="004C79C1">
      <w:pPr>
        <w:spacing w:after="120" w:line="240" w:lineRule="auto"/>
        <w:jc w:val="both"/>
      </w:pPr>
      <w:r>
        <w:t>In patients presenting with HF, CMR can be used in several different places in the clinical management algorithm (</w:t>
      </w:r>
      <w:r w:rsidR="00065F6D">
        <w:fldChar w:fldCharType="begin"/>
      </w:r>
      <w:r w:rsidR="00065F6D">
        <w:instrText xml:space="preserve"> REF _Ref451260101 \h </w:instrText>
      </w:r>
      <w:r w:rsidR="00065F6D">
        <w:fldChar w:fldCharType="separate"/>
      </w:r>
      <w:r w:rsidR="00065F6D">
        <w:t xml:space="preserve">Figure </w:t>
      </w:r>
      <w:r w:rsidR="00065F6D">
        <w:rPr>
          <w:noProof/>
        </w:rPr>
        <w:t>2</w:t>
      </w:r>
      <w:r w:rsidR="00065F6D">
        <w:fldChar w:fldCharType="end"/>
      </w:r>
      <w:r w:rsidR="00963ABC" w:rsidRPr="00554A46">
        <w:t xml:space="preserve"> and </w:t>
      </w:r>
      <w:r w:rsidR="00963ABC" w:rsidRPr="00554A46">
        <w:fldChar w:fldCharType="begin"/>
      </w:r>
      <w:r w:rsidR="00963ABC" w:rsidRPr="00554A46">
        <w:instrText xml:space="preserve"> REF _Ref447807237 \h </w:instrText>
      </w:r>
      <w:r w:rsidR="00963ABC">
        <w:instrText xml:space="preserve"> \* MERGEFORMAT </w:instrText>
      </w:r>
      <w:r w:rsidR="00963ABC" w:rsidRPr="00554A46">
        <w:fldChar w:fldCharType="separate"/>
      </w:r>
      <w:r w:rsidR="00065F6D" w:rsidRPr="00065F6D">
        <w:t xml:space="preserve">Figure </w:t>
      </w:r>
      <w:r w:rsidR="00065F6D" w:rsidRPr="00065F6D">
        <w:rPr>
          <w:noProof/>
        </w:rPr>
        <w:t>4</w:t>
      </w:r>
      <w:r w:rsidR="00963ABC" w:rsidRPr="00554A46">
        <w:fldChar w:fldCharType="end"/>
      </w:r>
      <w:r w:rsidRPr="00554A46">
        <w:t>).</w:t>
      </w:r>
      <w:r>
        <w:t xml:space="preserve"> The impact that CMR is expected to have will differ depending on where in the pathway it is implemented and what prior tests </w:t>
      </w:r>
      <w:r w:rsidR="009E4261">
        <w:t xml:space="preserve">patients </w:t>
      </w:r>
      <w:r>
        <w:t xml:space="preserve">have had. </w:t>
      </w:r>
    </w:p>
    <w:p w14:paraId="53611228" w14:textId="79442417" w:rsidR="00A36FFB" w:rsidRDefault="00A36FFB" w:rsidP="00161B88">
      <w:pPr>
        <w:pStyle w:val="Heading3"/>
      </w:pPr>
      <w:bookmarkStart w:id="428" w:name="_Toc451501347"/>
      <w:r>
        <w:lastRenderedPageBreak/>
        <w:t xml:space="preserve">Impact </w:t>
      </w:r>
      <w:r w:rsidR="00F11F0D">
        <w:t xml:space="preserve">of change in management in </w:t>
      </w:r>
      <w:r>
        <w:t xml:space="preserve">patients with indeterminate results on </w:t>
      </w:r>
      <w:r w:rsidR="00A21115">
        <w:t>echocardiography</w:t>
      </w:r>
      <w:bookmarkEnd w:id="428"/>
    </w:p>
    <w:p w14:paraId="4E027D0B" w14:textId="10FC665A" w:rsidR="00A36FFB" w:rsidRDefault="00A36FFB" w:rsidP="004C79C1">
      <w:pPr>
        <w:spacing w:after="120" w:line="240" w:lineRule="auto"/>
        <w:jc w:val="both"/>
      </w:pPr>
      <w:r>
        <w:t xml:space="preserve">There was no evidence specifically related to the accuracy or impact on patient management of using CMR in patients with an indeterminate result on clinical examination, ECG </w:t>
      </w:r>
      <w:r w:rsidR="00316E80">
        <w:t xml:space="preserve">or </w:t>
      </w:r>
      <w:r w:rsidR="00A21115">
        <w:t>echocardiography</w:t>
      </w:r>
      <w:r>
        <w:t>. It is expected that CMR may replace at least some of the tests currently performed in this population (</w:t>
      </w:r>
      <w:r w:rsidR="00316E80">
        <w:t xml:space="preserve">e.g. </w:t>
      </w:r>
      <w:r>
        <w:t xml:space="preserve">gated </w:t>
      </w:r>
      <w:r w:rsidR="006D7237">
        <w:t>heart pool</w:t>
      </w:r>
      <w:r>
        <w:t xml:space="preserve"> SPECT and contrast </w:t>
      </w:r>
      <w:r w:rsidR="00A21115">
        <w:t>echocardiography</w:t>
      </w:r>
      <w:r>
        <w:t xml:space="preserve">), and in those cases where a dilated LV is detected, </w:t>
      </w:r>
      <w:r w:rsidR="00316E80">
        <w:t xml:space="preserve">it </w:t>
      </w:r>
      <w:r>
        <w:t>would also replace the alternat</w:t>
      </w:r>
      <w:r w:rsidR="00316E80">
        <w:t>iv</w:t>
      </w:r>
      <w:r>
        <w:t>e tests of CTCA or SPECT. Given the lack of comparative accuracy</w:t>
      </w:r>
      <w:r w:rsidR="000C6C95">
        <w:t xml:space="preserve"> data</w:t>
      </w:r>
      <w:r>
        <w:t xml:space="preserve">, the false positive or negative </w:t>
      </w:r>
      <w:r w:rsidR="00BD74BB">
        <w:t xml:space="preserve">rates </w:t>
      </w:r>
      <w:r>
        <w:t xml:space="preserve">from the different tests are unknown, and the impact of any possible changes in management cannot be determined. </w:t>
      </w:r>
    </w:p>
    <w:p w14:paraId="1B2901E7" w14:textId="712B27DD" w:rsidR="00F11F0D" w:rsidRDefault="00F11F0D" w:rsidP="00161B88">
      <w:pPr>
        <w:pStyle w:val="Heading3"/>
      </w:pPr>
      <w:bookmarkStart w:id="429" w:name="_Toc451501348"/>
      <w:r>
        <w:t>Impact of detecting aetiology of NIDCM in patients with a low risk of CAD</w:t>
      </w:r>
      <w:bookmarkEnd w:id="429"/>
    </w:p>
    <w:p w14:paraId="0F3AA927" w14:textId="7AF7AC3E" w:rsidR="00F11F0D" w:rsidRDefault="00F11F0D" w:rsidP="004C79C1">
      <w:pPr>
        <w:spacing w:after="120" w:line="240" w:lineRule="auto"/>
        <w:jc w:val="both"/>
      </w:pPr>
      <w:r>
        <w:t xml:space="preserve">In patients with a low risk of CAD, CMR may be used as either an alternative to or an adjunct to </w:t>
      </w:r>
      <w:r w:rsidR="00387BC3">
        <w:t>‘</w:t>
      </w:r>
      <w:r>
        <w:t>further testing</w:t>
      </w:r>
      <w:r w:rsidR="00387BC3">
        <w:t>’</w:t>
      </w:r>
      <w:r>
        <w:t xml:space="preserve"> to determine the aetiology of the DCM. In </w:t>
      </w:r>
      <w:r w:rsidR="005C5167">
        <w:t>s</w:t>
      </w:r>
      <w:r>
        <w:t xml:space="preserve">ection 5.1 of this assessment, </w:t>
      </w:r>
      <w:r w:rsidR="00387BC3">
        <w:t xml:space="preserve">2 </w:t>
      </w:r>
      <w:r>
        <w:t xml:space="preserve">studies reported on changes in management expected due to CMR and other further tests in patients diagnosed with idiopathic NIDCM after the standard tests plus ICA, and showed that CMR may detect some forms of aetiology </w:t>
      </w:r>
      <w:r w:rsidR="00C5584D">
        <w:t xml:space="preserve">that </w:t>
      </w:r>
      <w:r>
        <w:t xml:space="preserve">were missed through other investigations. The benefit of detecting these aetiologies depends on how much the treatments differ from idiopathic </w:t>
      </w:r>
      <w:proofErr w:type="gramStart"/>
      <w:r>
        <w:t>NIDCM,</w:t>
      </w:r>
      <w:proofErr w:type="gramEnd"/>
      <w:r>
        <w:t xml:space="preserve"> and </w:t>
      </w:r>
      <w:r w:rsidR="00C5584D">
        <w:t xml:space="preserve">on </w:t>
      </w:r>
      <w:r>
        <w:t xml:space="preserve">the effectiveness of treatment once these patients are diagnosed. </w:t>
      </w:r>
    </w:p>
    <w:p w14:paraId="5877F36A" w14:textId="7A53E5F7" w:rsidR="00F11F0D" w:rsidRPr="00EA5B3B" w:rsidRDefault="00F11F0D" w:rsidP="004C79C1">
      <w:pPr>
        <w:spacing w:after="120" w:line="240" w:lineRule="auto"/>
        <w:jc w:val="both"/>
      </w:pPr>
      <w:r>
        <w:t xml:space="preserve">One author proposed that CMR may be used to provide guidance regarding where </w:t>
      </w:r>
      <w:r w:rsidR="00C5584D">
        <w:t>EMB</w:t>
      </w:r>
      <w:r>
        <w:t xml:space="preserve">s should take place to increase tissue yield </w:t>
      </w:r>
      <w:r>
        <w:fldChar w:fldCharType="begin"/>
      </w:r>
      <w:r>
        <w:instrText xml:space="preserve"> ADDIN EN.CITE &lt;EndNote&gt;&lt;Cite&gt;&lt;Author&gt;Mann&lt;/Author&gt;&lt;Year&gt;2015&lt;/Year&gt;&lt;RecNum&gt;24&lt;/RecNum&gt;&lt;DisplayText&gt;(Mann et al. 2015)&lt;/DisplayText&gt;&lt;record&gt;&lt;rec-number&gt;24&lt;/rec-number&gt;&lt;foreign-keys&gt;&lt;key app="EN" db-id="pfxxvref0t0a5de2vwnv2fwkz0p9v0r2fw0t" timestamp="1457069676"&gt;24&lt;/key&gt;&lt;/foreign-keys&gt;&lt;ref-type name="Book"&gt;6&lt;/ref-type&gt;&lt;contributors&gt;&lt;authors&gt;&lt;author&gt;Mann, Douglas L&lt;/author&gt;&lt;author&gt;Zipes, D.P.&lt;/author&gt;&lt;author&gt;Libby, P.&lt;/author&gt;&lt;author&gt;Bonow, R. &lt;/author&gt;&lt;/authors&gt;&lt;tertiary-authors&gt;&lt;author&gt;Braunwald, E. &lt;/author&gt;&lt;/tertiary-authors&gt;&lt;/contributors&gt;&lt;titles&gt;&lt;title&gt;Braunwald&amp;apos;s Heart Disease: A textbook of cardiovascular medicine&lt;/title&gt;&lt;/titles&gt;&lt;edition&gt;10th&lt;/edition&gt;&lt;dates&gt;&lt;year&gt;2015&lt;/year&gt;&lt;/dates&gt;&lt;pub-location&gt;Boston&lt;/pub-location&gt;&lt;publisher&gt;Elsevier Saunders&lt;/publisher&gt;&lt;urls&gt;&lt;related-urls&gt;&lt;url&gt;https://www-clinicalkey-com-au.proxy.library.adelaide.edu.au/#!/content/book/3-s2.0-B9781455751341000901 &lt;/url&gt;&lt;/related-urls&gt;&lt;/urls&gt;&lt;/record&gt;&lt;/Cite&gt;&lt;/EndNote&gt;</w:instrText>
      </w:r>
      <w:r>
        <w:fldChar w:fldCharType="separate"/>
      </w:r>
      <w:r>
        <w:rPr>
          <w:noProof/>
        </w:rPr>
        <w:t>(</w:t>
      </w:r>
      <w:hyperlink w:anchor="_ENREF_75" w:tooltip="Mann, 2015 #24" w:history="1">
        <w:r>
          <w:rPr>
            <w:noProof/>
          </w:rPr>
          <w:t>Mann et al. 2015</w:t>
        </w:r>
      </w:hyperlink>
      <w:r>
        <w:rPr>
          <w:noProof/>
        </w:rPr>
        <w:t>)</w:t>
      </w:r>
      <w:r>
        <w:fldChar w:fldCharType="end"/>
      </w:r>
      <w:r>
        <w:t>. However, no evidence regarding the effectiveness of CMR to triage to biopsy, or the accuracy of using CMR to guide the location of biopsies, was identified. This has not been investigated further.</w:t>
      </w:r>
    </w:p>
    <w:p w14:paraId="0CC216D5" w14:textId="77777777" w:rsidR="00F11F0D" w:rsidRDefault="00F11F0D" w:rsidP="00161B88">
      <w:pPr>
        <w:pStyle w:val="Heading4"/>
      </w:pPr>
      <w:r>
        <w:t>Treatment effectiveness for myocarditis</w:t>
      </w:r>
    </w:p>
    <w:p w14:paraId="0CF29D62" w14:textId="3E27558B" w:rsidR="00F11F0D" w:rsidRDefault="00F11F0D" w:rsidP="004C79C1">
      <w:pPr>
        <w:spacing w:after="120" w:line="240" w:lineRule="auto"/>
        <w:jc w:val="both"/>
      </w:pPr>
      <w:r>
        <w:t xml:space="preserve">One key benefit of CMR is thought to be the ability to detect DCM cases </w:t>
      </w:r>
      <w:proofErr w:type="gramStart"/>
      <w:r>
        <w:t>who</w:t>
      </w:r>
      <w:proofErr w:type="gramEnd"/>
      <w:r>
        <w:t xml:space="preserve"> have myocarditis, allowing a different treatment strategy to be used, </w:t>
      </w:r>
      <w:r w:rsidR="00D14431">
        <w:t xml:space="preserve">rather </w:t>
      </w:r>
      <w:r>
        <w:t xml:space="preserve">than one aimed at idiopathic DCM. </w:t>
      </w:r>
    </w:p>
    <w:p w14:paraId="528C6E53" w14:textId="1569F58D" w:rsidR="00F11F0D" w:rsidRDefault="00F11F0D" w:rsidP="004C79C1">
      <w:pPr>
        <w:spacing w:after="120" w:line="240" w:lineRule="auto"/>
        <w:jc w:val="both"/>
      </w:pPr>
      <w:r>
        <w:t xml:space="preserve">Three Cochrane </w:t>
      </w:r>
      <w:r w:rsidR="00032F5D">
        <w:t>R</w:t>
      </w:r>
      <w:r>
        <w:t xml:space="preserve">eviews were identified </w:t>
      </w:r>
      <w:r w:rsidR="00BB51E1">
        <w:t xml:space="preserve">that </w:t>
      </w:r>
      <w:r>
        <w:t xml:space="preserve">assessed different treatment strategies for viral myocarditis. One reviewed corticosteroids, one intravenous immunoglobulin, and one herbal </w:t>
      </w:r>
      <w:proofErr w:type="gramStart"/>
      <w:r>
        <w:t>medicines</w:t>
      </w:r>
      <w:proofErr w:type="gramEnd"/>
      <w:r>
        <w:t xml:space="preserve">. </w:t>
      </w:r>
    </w:p>
    <w:p w14:paraId="7071490E" w14:textId="77777777" w:rsidR="00F11F0D" w:rsidRDefault="00F11F0D" w:rsidP="004C79C1">
      <w:pPr>
        <w:pStyle w:val="Heading5"/>
        <w:spacing w:after="120" w:line="240" w:lineRule="auto"/>
      </w:pPr>
      <w:r>
        <w:t>Corticosteroids for viral myocarditis</w:t>
      </w:r>
    </w:p>
    <w:p w14:paraId="450C954C" w14:textId="697B7FA7" w:rsidR="00F11F0D" w:rsidRPr="00BF7D48" w:rsidRDefault="00F11F0D" w:rsidP="004C79C1">
      <w:pPr>
        <w:spacing w:after="120" w:line="240" w:lineRule="auto"/>
        <w:jc w:val="both"/>
      </w:pPr>
      <w:r>
        <w:t>One high</w:t>
      </w:r>
      <w:r w:rsidR="00050FE4">
        <w:t>-</w:t>
      </w:r>
      <w:r>
        <w:t xml:space="preserve">quality Cochrane </w:t>
      </w:r>
      <w:r w:rsidR="00050FE4">
        <w:t>SR</w:t>
      </w:r>
      <w:r>
        <w:t xml:space="preserve"> assessed the effectiveness of corticosteroids for treating viral myocarditis, compared </w:t>
      </w:r>
      <w:r w:rsidR="00050FE4">
        <w:t xml:space="preserve">with </w:t>
      </w:r>
      <w:r>
        <w:t xml:space="preserve">no intervention, placebo, supportive therapy, antiviral therapy or conventional therapy </w:t>
      </w:r>
      <w:r>
        <w:fldChar w:fldCharType="begin"/>
      </w:r>
      <w:r>
        <w:instrText xml:space="preserve"> ADDIN EN.CITE &lt;EndNote&gt;&lt;Cite&gt;&lt;Author&gt;Chen&lt;/Author&gt;&lt;Year&gt;2013&lt;/Year&gt;&lt;RecNum&gt;28&lt;/RecNum&gt;&lt;DisplayText&gt;(Chen et al. 2013)&lt;/DisplayText&gt;&lt;record&gt;&lt;rec-number&gt;28&lt;/rec-number&gt;&lt;foreign-keys&gt;&lt;key app="EN" db-id="pfxxvref0t0a5de2vwnv2fwkz0p9v0r2fw0t" timestamp="1457408106"&gt;28&lt;/key&gt;&lt;/foreign-keys&gt;&lt;ref-type name="Journal Article"&gt;17&lt;/ref-type&gt;&lt;contributors&gt;&lt;authors&gt;&lt;author&gt;Chen, H.S.&lt;/author&gt;&lt;author&gt;Wang, W.&lt;/author&gt;&lt;author&gt;Wu, S.N.&lt;/author&gt;&lt;author&gt;Liu, J. P.&lt;/author&gt;&lt;/authors&gt;&lt;/contributors&gt;&lt;titles&gt;&lt;title&gt;Corticosteroids for viral myocarditis&lt;/title&gt;&lt;secondary-title&gt;Cochrane Database Syst Rev&lt;/secondary-title&gt;&lt;/titles&gt;&lt;periodical&gt;&lt;full-title&gt;Cochrane Database Syst Rev&lt;/full-title&gt;&lt;/periodical&gt;&lt;number&gt;10&lt;/number&gt;&lt;dates&gt;&lt;year&gt;2013&lt;/year&gt;&lt;/dates&gt;&lt;urls&gt;&lt;/urls&gt;&lt;/record&gt;&lt;/Cite&gt;&lt;/EndNote&gt;</w:instrText>
      </w:r>
      <w:r>
        <w:fldChar w:fldCharType="separate"/>
      </w:r>
      <w:r>
        <w:rPr>
          <w:noProof/>
        </w:rPr>
        <w:t>(</w:t>
      </w:r>
      <w:hyperlink w:anchor="_ENREF_22" w:tooltip="Chen, 2013 #28" w:history="1">
        <w:r>
          <w:rPr>
            <w:noProof/>
          </w:rPr>
          <w:t>Chen et al. 2013</w:t>
        </w:r>
      </w:hyperlink>
      <w:r>
        <w:rPr>
          <w:noProof/>
        </w:rPr>
        <w:t>)</w:t>
      </w:r>
      <w:r>
        <w:fldChar w:fldCharType="end"/>
      </w:r>
      <w:r>
        <w:t xml:space="preserve">. </w:t>
      </w:r>
      <w:r w:rsidR="00F81C95">
        <w:t xml:space="preserve">It </w:t>
      </w:r>
      <w:r>
        <w:t xml:space="preserve">identified </w:t>
      </w:r>
      <w:r w:rsidR="00050FE4">
        <w:t xml:space="preserve">8 </w:t>
      </w:r>
      <w:r>
        <w:t xml:space="preserve">RCTs, with a total of 719 patients. On the key outcomes of all-cause mortality, or death or heart transplant combined, corticosteroids did not show any significant benefit over the alternative treatment strategies (see </w:t>
      </w:r>
      <w:r>
        <w:fldChar w:fldCharType="begin"/>
      </w:r>
      <w:r>
        <w:instrText xml:space="preserve"> REF _Ref445281845 \h  \* MERGEFORMAT </w:instrText>
      </w:r>
      <w:r>
        <w:fldChar w:fldCharType="separate"/>
      </w:r>
      <w:r w:rsidR="006B593D">
        <w:t xml:space="preserve">Figure </w:t>
      </w:r>
      <w:r w:rsidR="006B593D">
        <w:rPr>
          <w:noProof/>
        </w:rPr>
        <w:t>25</w:t>
      </w:r>
      <w:r>
        <w:fldChar w:fldCharType="end"/>
      </w:r>
      <w:r>
        <w:t xml:space="preserve">)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However, after 1</w:t>
      </w:r>
      <w:r w:rsidR="00F81C95">
        <w:t>–</w:t>
      </w:r>
      <w:r>
        <w:t>3</w:t>
      </w:r>
      <w:r w:rsidR="00F81C95">
        <w:t> </w:t>
      </w:r>
      <w:r>
        <w:t xml:space="preserve">months of treatment, patients receiving corticosteroids had better LVEF scores on average compared </w:t>
      </w:r>
      <w:r w:rsidR="00F81C95">
        <w:t xml:space="preserve">with </w:t>
      </w:r>
      <w:r>
        <w:t xml:space="preserve">the control group (k=5, n=442, </w:t>
      </w:r>
      <w:r w:rsidR="00F81C95">
        <w:t>m</w:t>
      </w:r>
      <w:r>
        <w:t xml:space="preserve">ean difference = 7.36, 95%CI 4.94, 9.79), but there was substantial heterogeneity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NYHA class and </w:t>
      </w:r>
      <w:r w:rsidR="0086583B">
        <w:t>LV</w:t>
      </w:r>
      <w:r>
        <w:t xml:space="preserve"> end-stage systole diameter were not affected </w:t>
      </w:r>
      <w:r>
        <w:fldChar w:fldCharType="begin"/>
      </w:r>
      <w:r>
        <w:instrText xml:space="preserve"> ADDIN EN.CITE &lt;EndNote&gt;&lt;Cite&gt;&lt;Author&gt;Chen&lt;/Author&gt;&lt;Year&gt;2013&lt;/Year&gt;&lt;RecNum&gt;28&lt;/RecNum&gt;&lt;DisplayText&gt;(Chen et al. 2013)&lt;/DisplayText&gt;&lt;record&gt;&lt;rec-number&gt;28&lt;/rec-number&gt;&lt;foreign-keys&gt;&lt;key app="EN" db-id="pfxxvref0t0a5de2vwnv2fwkz0p9v0r2fw0t" timestamp="1457408106"&gt;28&lt;/key&gt;&lt;/foreign-keys&gt;&lt;ref-type name="Journal Article"&gt;17&lt;/ref-type&gt;&lt;contributors&gt;&lt;authors&gt;&lt;author&gt;Chen, H.S.&lt;/author&gt;&lt;author&gt;Wang, W.&lt;/author&gt;&lt;author&gt;Wu, S.N.&lt;/author&gt;&lt;author&gt;Liu, J. P.&lt;/author&gt;&lt;/authors&gt;&lt;/contributors&gt;&lt;titles&gt;&lt;title&gt;Corticosteroids for viral myocarditis&lt;/title&gt;&lt;secondary-title&gt;Cochrane Database Syst Rev&lt;/secondary-title&gt;&lt;/titles&gt;&lt;periodical&gt;&lt;full-title&gt;Cochrane Database Syst Rev&lt;/full-title&gt;&lt;/periodical&gt;&lt;number&gt;10&lt;/number&gt;&lt;dates&gt;&lt;year&gt;2013&lt;/year&gt;&lt;/dates&gt;&lt;urls&gt;&lt;/urls&gt;&lt;/record&gt;&lt;/Cite&gt;&lt;/EndNote&gt;</w:instrText>
      </w:r>
      <w:r>
        <w:fldChar w:fldCharType="separate"/>
      </w:r>
      <w:r>
        <w:rPr>
          <w:noProof/>
        </w:rPr>
        <w:t>(</w:t>
      </w:r>
      <w:hyperlink w:anchor="_ENREF_22" w:tooltip="Chen, 2013 #28" w:history="1">
        <w:r>
          <w:rPr>
            <w:noProof/>
          </w:rPr>
          <w:t>Chen et al. 2013</w:t>
        </w:r>
      </w:hyperlink>
      <w:r>
        <w:rPr>
          <w:noProof/>
        </w:rPr>
        <w:t>)</w:t>
      </w:r>
      <w:r>
        <w:fldChar w:fldCharType="end"/>
      </w:r>
      <w:r>
        <w:t xml:space="preserve">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w:t>
      </w:r>
    </w:p>
    <w:p w14:paraId="0EC85E27" w14:textId="77777777" w:rsidR="00F11F0D" w:rsidRDefault="00F11F0D" w:rsidP="004C79C1">
      <w:pPr>
        <w:keepNext/>
        <w:spacing w:after="120" w:line="240" w:lineRule="auto"/>
      </w:pPr>
      <w:r>
        <w:rPr>
          <w:noProof/>
        </w:rPr>
        <w:lastRenderedPageBreak/>
        <w:drawing>
          <wp:inline distT="0" distB="0" distL="0" distR="0" wp14:anchorId="42A7AB2E" wp14:editId="355ED48F">
            <wp:extent cx="5791200" cy="2495875"/>
            <wp:effectExtent l="0" t="0" r="0" b="0"/>
            <wp:docPr id="2" name="Picture 2" title="Effectiveness of corticosteroids for treating viral myocarditis at reducing mortality or heart trans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tico for myocarditis.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91954" cy="2496200"/>
                    </a:xfrm>
                    <a:prstGeom prst="rect">
                      <a:avLst/>
                    </a:prstGeom>
                  </pic:spPr>
                </pic:pic>
              </a:graphicData>
            </a:graphic>
          </wp:inline>
        </w:drawing>
      </w:r>
    </w:p>
    <w:p w14:paraId="37D0B3F8" w14:textId="41DD2620" w:rsidR="00F11F0D" w:rsidRDefault="00F11F0D" w:rsidP="004C79C1">
      <w:pPr>
        <w:pStyle w:val="Caption"/>
      </w:pPr>
      <w:bookmarkStart w:id="430" w:name="_Ref445281845"/>
      <w:bookmarkStart w:id="431" w:name="_Toc324410180"/>
      <w:bookmarkStart w:id="432" w:name="_Toc451435471"/>
      <w:r>
        <w:t xml:space="preserve">Figure </w:t>
      </w:r>
      <w:fldSimple w:instr=" SEQ Figure \* ARABIC ">
        <w:r w:rsidR="00050936">
          <w:rPr>
            <w:noProof/>
          </w:rPr>
          <w:t>25</w:t>
        </w:r>
      </w:fldSimple>
      <w:bookmarkEnd w:id="430"/>
      <w:r>
        <w:tab/>
        <w:t xml:space="preserve">Effectiveness of corticosteroids </w:t>
      </w:r>
      <w:r w:rsidR="00974C3E">
        <w:t xml:space="preserve">in </w:t>
      </w:r>
      <w:r>
        <w:t>treating viral myocarditis at reducing mortality or heart transplants</w:t>
      </w:r>
      <w:bookmarkEnd w:id="431"/>
      <w:bookmarkEnd w:id="432"/>
    </w:p>
    <w:p w14:paraId="5C94F49A" w14:textId="5C0C6826" w:rsidR="00F11F0D" w:rsidRDefault="00F11F0D" w:rsidP="004C79C1">
      <w:pPr>
        <w:pStyle w:val="Tablenotes0"/>
        <w:spacing w:before="0" w:after="120"/>
      </w:pPr>
      <w:r>
        <w:t>CI = confidence interval; K = number of studies; N = number of patients; RR = relative risk</w:t>
      </w:r>
    </w:p>
    <w:p w14:paraId="1AB0230B" w14:textId="77777777" w:rsidR="00976864" w:rsidRDefault="00976864" w:rsidP="004C79C1">
      <w:pPr>
        <w:pStyle w:val="Heading5"/>
        <w:spacing w:after="120" w:line="240" w:lineRule="auto"/>
      </w:pPr>
    </w:p>
    <w:p w14:paraId="5978AB09" w14:textId="77777777" w:rsidR="00F11F0D" w:rsidRDefault="00F11F0D" w:rsidP="004C79C1">
      <w:pPr>
        <w:pStyle w:val="Heading5"/>
        <w:spacing w:after="120" w:line="240" w:lineRule="auto"/>
      </w:pPr>
      <w:r>
        <w:t>Intravenous immunoglobulin for viral myocarditis</w:t>
      </w:r>
    </w:p>
    <w:p w14:paraId="0546521D" w14:textId="6C7BA1DD" w:rsidR="00F11F0D" w:rsidRPr="00E34A28" w:rsidRDefault="00F11F0D" w:rsidP="004C79C1">
      <w:pPr>
        <w:spacing w:after="120" w:line="240" w:lineRule="auto"/>
        <w:jc w:val="both"/>
      </w:pPr>
      <w:r>
        <w:t>A high</w:t>
      </w:r>
      <w:r w:rsidR="00974C3E">
        <w:t>-</w:t>
      </w:r>
      <w:r>
        <w:t xml:space="preserve">quality Cochrane </w:t>
      </w:r>
      <w:r w:rsidR="00974C3E">
        <w:t>SR</w:t>
      </w:r>
      <w:r>
        <w:t xml:space="preserve"> assessing intravenous immunoglobulin (IVIG) for viral myocarditis identified only </w:t>
      </w:r>
      <w:r w:rsidR="00262724">
        <w:t xml:space="preserve">2 </w:t>
      </w:r>
      <w:r>
        <w:t xml:space="preserve">trials </w:t>
      </w:r>
      <w:r w:rsidR="00262724">
        <w:t xml:space="preserve">that </w:t>
      </w:r>
      <w:r>
        <w:t xml:space="preserve">met their inclusion criteria with unclear and high risk of bias </w:t>
      </w:r>
      <w:r>
        <w:fldChar w:fldCharType="begin"/>
      </w:r>
      <w:r>
        <w:instrText xml:space="preserve"> ADDIN EN.CITE &lt;EndNote&gt;&lt;Cite&gt;&lt;Author&gt;Robinson&lt;/Author&gt;&lt;Year&gt;2015&lt;/Year&gt;&lt;RecNum&gt;29&lt;/RecNum&gt;&lt;DisplayText&gt;(Robinson et al. 2015)&lt;/DisplayText&gt;&lt;record&gt;&lt;rec-number&gt;29&lt;/rec-number&gt;&lt;foreign-keys&gt;&lt;key app="EN" db-id="pfxxvref0t0a5de2vwnv2fwkz0p9v0r2fw0t" timestamp="1457408107"&gt;29&lt;/key&gt;&lt;/foreign-keys&gt;&lt;ref-type name="Journal Article"&gt;17&lt;/ref-type&gt;&lt;contributors&gt;&lt;authors&gt;&lt;author&gt;Robinson, J.&lt;/author&gt;&lt;author&gt;Hartling, L.&lt;/author&gt;&lt;author&gt;Vandermeer, B.&lt;/author&gt;&lt;author&gt;Klassen, T. P.&lt;/author&gt;&lt;/authors&gt;&lt;/contributors&gt;&lt;auth-address&gt;Department of Pediatrics, University of Alberta, 3-588D, 11405 87 Ave NW, Edmonton, AB, Canada, T6G 1C9.&lt;/auth-address&gt;&lt;titles&gt;&lt;title&gt;Intravenous immunoglobulin for presumed viral myocarditis in children and adults&lt;/title&gt;&lt;secondary-title&gt;Cochrane Database Syst Rev&lt;/secondary-title&gt;&lt;/titles&gt;&lt;periodical&gt;&lt;full-title&gt;Cochrane Database Syst Rev&lt;/full-title&gt;&lt;/periodical&gt;&lt;pages&gt;CD004370&lt;/pages&gt;&lt;volume&gt;5&lt;/volume&gt;&lt;keywords&gt;&lt;keyword&gt;Acute Disease&lt;/keyword&gt;&lt;keyword&gt;Adult&lt;/keyword&gt;&lt;keyword&gt;Child&lt;/keyword&gt;&lt;keyword&gt;Humans&lt;/keyword&gt;&lt;keyword&gt;Immunoglobulins, Intravenous/*therapeutic use&lt;/keyword&gt;&lt;keyword&gt;Myocarditis/*therapy/virology&lt;/keyword&gt;&lt;keyword&gt;Randomized Controlled Trials as Topic&lt;/keyword&gt;&lt;keyword&gt;Virus Diseases/*therapy&lt;/keyword&gt;&lt;/keywords&gt;&lt;dates&gt;&lt;year&gt;2015&lt;/year&gt;&lt;/dates&gt;&lt;isbn&gt;1469-493X (Electronic)&amp;#xD;1361-6137 (Linking)&lt;/isbn&gt;&lt;accession-num&gt;25992494&lt;/accession-num&gt;&lt;urls&gt;&lt;related-urls&gt;&lt;url&gt;http://www.ncbi.nlm.nih.gov/pubmed/25992494&lt;/url&gt;&lt;/related-urls&gt;&lt;/urls&gt;&lt;electronic-resource-num&gt;10.1002/14651858.CD004370.pub3&lt;/electronic-resource-num&gt;&lt;/record&gt;&lt;/Cite&gt;&lt;/EndNote&gt;</w:instrText>
      </w:r>
      <w:r>
        <w:fldChar w:fldCharType="separate"/>
      </w:r>
      <w:r>
        <w:rPr>
          <w:noProof/>
        </w:rPr>
        <w:t>(</w:t>
      </w:r>
      <w:hyperlink w:anchor="_ENREF_109" w:tooltip="Robinson, 2015 #29" w:history="1">
        <w:r>
          <w:rPr>
            <w:noProof/>
          </w:rPr>
          <w:t>Robinson et al. 2015</w:t>
        </w:r>
      </w:hyperlink>
      <w:r>
        <w:rPr>
          <w:noProof/>
        </w:rPr>
        <w:t>)</w:t>
      </w:r>
      <w:r>
        <w:fldChar w:fldCharType="end"/>
      </w:r>
      <w:r>
        <w:t>. One trial included 62 adults suspected of having myocarditis, and the other included 83 children with acute encephalitis and myocarditis. IVIG did not statistically significantly improve the rate of event-free survival in adults (</w:t>
      </w:r>
      <w:r w:rsidR="00262724">
        <w:t xml:space="preserve">i.e. </w:t>
      </w:r>
      <w:r>
        <w:t xml:space="preserve">no death, transplant or LV assist device) compared </w:t>
      </w:r>
      <w:r w:rsidR="00465084">
        <w:t xml:space="preserve">with </w:t>
      </w:r>
      <w:r>
        <w:t>placebo (OR 0.52, 95%CI 0.12, 2.30</w:t>
      </w:r>
      <w:r w:rsidR="00465084">
        <w:t>,</w:t>
      </w:r>
      <w:r>
        <w:t xml:space="preserve"> favouring placebo)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Similarly, there was no statistically significant difference in event-free survival in children with myocarditis and encephalitis when treated in hospital with </w:t>
      </w:r>
      <w:r w:rsidR="007B16A9">
        <w:t xml:space="preserve">either </w:t>
      </w:r>
      <w:r>
        <w:t xml:space="preserve">IVIG or no therapy, although the results favoured IVIG (OR 7.39, 95%CI 0.91, 59.86)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These studies were considered to provide a very low grade of evidence, due to unclear or high risk of bias, indirectness of the population (in </w:t>
      </w:r>
      <w:r w:rsidR="007B16A9">
        <w:t xml:space="preserve">1 </w:t>
      </w:r>
      <w:r>
        <w:t xml:space="preserve">trial only a small proportion of patients had proven myocarditis, while in the other all participants also had encephalitis), plus an imprecise estimate of effect. </w:t>
      </w:r>
    </w:p>
    <w:p w14:paraId="75C8CDD7" w14:textId="77777777" w:rsidR="00F11F0D" w:rsidRPr="00AB7A50" w:rsidRDefault="00F11F0D" w:rsidP="004C79C1">
      <w:pPr>
        <w:pStyle w:val="Heading5"/>
        <w:spacing w:after="120" w:line="240" w:lineRule="auto"/>
      </w:pPr>
      <w:r>
        <w:t>Herbal medicines for viral myocarditis</w:t>
      </w:r>
    </w:p>
    <w:p w14:paraId="338DB0DC" w14:textId="3AD4D6A1" w:rsidR="00F11F0D" w:rsidRDefault="00F11F0D" w:rsidP="004C79C1">
      <w:pPr>
        <w:spacing w:after="120" w:line="240" w:lineRule="auto"/>
        <w:jc w:val="both"/>
      </w:pPr>
      <w:r>
        <w:t>A high</w:t>
      </w:r>
      <w:r w:rsidR="00974C3E">
        <w:t>-</w:t>
      </w:r>
      <w:r>
        <w:t xml:space="preserve">quality Cochrane </w:t>
      </w:r>
      <w:r w:rsidR="00974C3E">
        <w:t>SR</w:t>
      </w:r>
      <w:r>
        <w:t xml:space="preserve"> assessed herbal medicines with/without supportive therapy, compared </w:t>
      </w:r>
      <w:r w:rsidR="00044DDA">
        <w:t xml:space="preserve">with </w:t>
      </w:r>
      <w:r>
        <w:t xml:space="preserve">supportive therapy alone, for treating viral myocarditis. The review identified a total of 20 RCTs, all conducted and published in China </w:t>
      </w:r>
      <w:r>
        <w:fldChar w:fldCharType="begin"/>
      </w:r>
      <w:r>
        <w:instrText xml:space="preserve"> ADDIN EN.CITE &lt;EndNote&gt;&lt;Cite&gt;&lt;Author&gt;Liu&lt;/Author&gt;&lt;Year&gt;2013&lt;/Year&gt;&lt;RecNum&gt;27&lt;/RecNum&gt;&lt;DisplayText&gt;(Liu et al. 2013)&lt;/DisplayText&gt;&lt;record&gt;&lt;rec-number&gt;27&lt;/rec-number&gt;&lt;foreign-keys&gt;&lt;key app="EN" db-id="pfxxvref0t0a5de2vwnv2fwkz0p9v0r2fw0t" timestamp="1457408071"&gt;27&lt;/key&gt;&lt;/foreign-keys&gt;&lt;ref-type name="Journal Article"&gt;17&lt;/ref-type&gt;&lt;contributors&gt;&lt;authors&gt;&lt;author&gt;Liu, Z. L.&lt;/author&gt;&lt;author&gt;Liu, Z. J.&lt;/author&gt;&lt;author&gt;Liu, J. P.&lt;/author&gt;&lt;author&gt;Kwong, J. S.&lt;/author&gt;&lt;/authors&gt;&lt;/contributors&gt;&lt;auth-address&gt;Centre for Evidence-Based Chinese Medicine, Beijing University of Chinese Medicine, 11 Bei San Huan Dong Lu, Chaoyang District, Beijing, China, 100029.&lt;/auth-address&gt;&lt;titles&gt;&lt;title&gt;Herbal medicines for viral myocarditis&lt;/title&gt;&lt;secondary-title&gt;Cochrane Database Syst Rev&lt;/secondary-title&gt;&lt;/titles&gt;&lt;periodical&gt;&lt;full-title&gt;Cochrane Database Syst Rev&lt;/full-title&gt;&lt;/periodical&gt;&lt;pages&gt;CD003711&lt;/pages&gt;&lt;volume&gt;8&lt;/volume&gt;&lt;keywords&gt;&lt;keyword&gt;Astragalus membranaceus&lt;/keyword&gt;&lt;keyword&gt;Biomarkers/blood&lt;/keyword&gt;&lt;keyword&gt;China&lt;/keyword&gt;&lt;keyword&gt;Creatine Kinase, MB Form/blood&lt;/keyword&gt;&lt;keyword&gt;Drug Combinations&lt;/keyword&gt;&lt;keyword&gt;Drugs, Chinese Herbal/adverse effects/*therapeutic use&lt;/keyword&gt;&lt;keyword&gt;Electrocardiography/drug effects&lt;/keyword&gt;&lt;keyword&gt;Humans&lt;/keyword&gt;&lt;keyword&gt;L-Lactate Dehydrogenase/blood&lt;/keyword&gt;&lt;keyword&gt;Myocarditis/*drug therapy/virology&lt;/keyword&gt;&lt;keyword&gt;Phytotherapy/adverse effects/*methods&lt;/keyword&gt;&lt;keyword&gt;Randomized Controlled Trials as Topic&lt;/keyword&gt;&lt;keyword&gt;Virus Diseases/*drug therapy&lt;/keyword&gt;&lt;/keywords&gt;&lt;dates&gt;&lt;year&gt;2013&lt;/year&gt;&lt;/dates&gt;&lt;isbn&gt;1469-493X (Electronic)&amp;#xD;1361-6137 (Linking)&lt;/isbn&gt;&lt;accession-num&gt;23986406&lt;/accession-num&gt;&lt;urls&gt;&lt;related-urls&gt;&lt;url&gt;http://www.ncbi.nlm.nih.gov/pubmed/23986406&lt;/url&gt;&lt;/related-urls&gt;&lt;/urls&gt;&lt;electronic-resource-num&gt;10.1002/14651858.CD003711.pub5&lt;/electronic-resource-num&gt;&lt;/record&gt;&lt;/Cite&gt;&lt;/EndNote&gt;</w:instrText>
      </w:r>
      <w:r>
        <w:fldChar w:fldCharType="separate"/>
      </w:r>
      <w:r>
        <w:rPr>
          <w:noProof/>
        </w:rPr>
        <w:t>(</w:t>
      </w:r>
      <w:hyperlink w:anchor="_ENREF_70" w:tooltip="Liu, 2013 #27" w:history="1">
        <w:r>
          <w:rPr>
            <w:noProof/>
          </w:rPr>
          <w:t>Liu et al. 2013</w:t>
        </w:r>
      </w:hyperlink>
      <w:r>
        <w:rPr>
          <w:noProof/>
        </w:rPr>
        <w:t>)</w:t>
      </w:r>
      <w:r>
        <w:fldChar w:fldCharType="end"/>
      </w:r>
      <w:r>
        <w:t>. One RCT reported that</w:t>
      </w:r>
      <w:r w:rsidR="00044DDA">
        <w:t>,</w:t>
      </w:r>
      <w:r>
        <w:t xml:space="preserve"> compared </w:t>
      </w:r>
      <w:r w:rsidR="00044DDA">
        <w:t xml:space="preserve">with </w:t>
      </w:r>
      <w:r>
        <w:t xml:space="preserve">supportive therapy, </w:t>
      </w:r>
      <w:r>
        <w:rPr>
          <w:i/>
        </w:rPr>
        <w:t xml:space="preserve">Astragalus membranaceus </w:t>
      </w:r>
      <w:r>
        <w:t xml:space="preserve">injections did not reduce the risk of cardiac death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Only </w:t>
      </w:r>
      <w:r w:rsidR="00DB02C5">
        <w:t xml:space="preserve">1 </w:t>
      </w:r>
      <w:r>
        <w:t xml:space="preserve">study assessed quality of life, as measured on the Short Form-36, and reported that </w:t>
      </w:r>
      <w:r w:rsidR="00470939">
        <w:t xml:space="preserve">use of </w:t>
      </w:r>
      <w:r>
        <w:t>Compound Qia</w:t>
      </w:r>
      <w:r w:rsidR="00DD5209">
        <w:t>n</w:t>
      </w:r>
      <w:r>
        <w:t>g</w:t>
      </w:r>
      <w:r w:rsidR="00DD5209">
        <w:t>p</w:t>
      </w:r>
      <w:r>
        <w:t>i pills plus supportive therapy was superior to supportive therapy alone (MD –8.84, 95%CI –10.87, –6.80), and</w:t>
      </w:r>
      <w:r w:rsidR="006C6BAC">
        <w:t>,</w:t>
      </w:r>
      <w:r>
        <w:t xml:space="preserve"> similarly,</w:t>
      </w:r>
      <w:r w:rsidR="00470939">
        <w:t xml:space="preserve"> that</w:t>
      </w:r>
      <w:r>
        <w:t xml:space="preserve"> </w:t>
      </w:r>
      <w:r w:rsidRPr="00E90DC7">
        <w:rPr>
          <w:i/>
        </w:rPr>
        <w:t>Shengmai decoction</w:t>
      </w:r>
      <w:r>
        <w:t xml:space="preserve"> plus supportive therapy was superior to supportive therapy alone (MD –4.0, 95%CI –6.23, –18.1)</w:t>
      </w:r>
      <w:r w:rsidR="00C16C0D">
        <w:t xml:space="preserve"> </w:t>
      </w:r>
      <w:r>
        <w:t xml:space="preserve">(GRADE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Six trials reported data on adverse event</w:t>
      </w:r>
      <w:r w:rsidR="002F2CAE">
        <w:t>s (</w:t>
      </w:r>
      <w:r w:rsidR="00470939">
        <w:t>AE</w:t>
      </w:r>
      <w:r>
        <w:t>s</w:t>
      </w:r>
      <w:r w:rsidR="002F2CAE">
        <w:t>)</w:t>
      </w:r>
      <w:r>
        <w:t xml:space="preserve">, and no serious </w:t>
      </w:r>
      <w:r w:rsidR="00047B33">
        <w:t>AE</w:t>
      </w:r>
      <w:r>
        <w:t xml:space="preserve">s were reported </w:t>
      </w:r>
      <w:r>
        <w:fldChar w:fldCharType="begin"/>
      </w:r>
      <w:r>
        <w:instrText xml:space="preserve"> ADDIN EN.CITE &lt;EndNote&gt;&lt;Cite&gt;&lt;Author&gt;Liu&lt;/Author&gt;&lt;Year&gt;2013&lt;/Year&gt;&lt;RecNum&gt;27&lt;/RecNum&gt;&lt;DisplayText&gt;(Liu et al. 2013)&lt;/DisplayText&gt;&lt;record&gt;&lt;rec-number&gt;27&lt;/rec-number&gt;&lt;foreign-keys&gt;&lt;key app="EN" db-id="pfxxvref0t0a5de2vwnv2fwkz0p9v0r2fw0t" timestamp="1457408071"&gt;27&lt;/key&gt;&lt;/foreign-keys&gt;&lt;ref-type name="Journal Article"&gt;17&lt;/ref-type&gt;&lt;contributors&gt;&lt;authors&gt;&lt;author&gt;Liu, Z. L.&lt;/author&gt;&lt;author&gt;Liu, Z. J.&lt;/author&gt;&lt;author&gt;Liu, J. P.&lt;/author&gt;&lt;author&gt;Kwong, J. S.&lt;/author&gt;&lt;/authors&gt;&lt;/contributors&gt;&lt;auth-address&gt;Centre for Evidence-Based Chinese Medicine, Beijing University of Chinese Medicine, 11 Bei San Huan Dong Lu, Chaoyang District, Beijing, China, 100029.&lt;/auth-address&gt;&lt;titles&gt;&lt;title&gt;Herbal medicines for viral myocarditis&lt;/title&gt;&lt;secondary-title&gt;Cochrane Database Syst Rev&lt;/secondary-title&gt;&lt;/titles&gt;&lt;periodical&gt;&lt;full-title&gt;Cochrane Database Syst Rev&lt;/full-title&gt;&lt;/periodical&gt;&lt;pages&gt;CD003711&lt;/pages&gt;&lt;volume&gt;8&lt;/volume&gt;&lt;keywords&gt;&lt;keyword&gt;Astragalus membranaceus&lt;/keyword&gt;&lt;keyword&gt;Biomarkers/blood&lt;/keyword&gt;&lt;keyword&gt;China&lt;/keyword&gt;&lt;keyword&gt;Creatine Kinase, MB Form/blood&lt;/keyword&gt;&lt;keyword&gt;Drug Combinations&lt;/keyword&gt;&lt;keyword&gt;Drugs, Chinese Herbal/adverse effects/*therapeutic use&lt;/keyword&gt;&lt;keyword&gt;Electrocardiography/drug effects&lt;/keyword&gt;&lt;keyword&gt;Humans&lt;/keyword&gt;&lt;keyword&gt;L-Lactate Dehydrogenase/blood&lt;/keyword&gt;&lt;keyword&gt;Myocarditis/*drug therapy/virology&lt;/keyword&gt;&lt;keyword&gt;Phytotherapy/adverse effects/*methods&lt;/keyword&gt;&lt;keyword&gt;Randomized Controlled Trials as Topic&lt;/keyword&gt;&lt;keyword&gt;Virus Diseases/*drug therapy&lt;/keyword&gt;&lt;/keywords&gt;&lt;dates&gt;&lt;year&gt;2013&lt;/year&gt;&lt;/dates&gt;&lt;isbn&gt;1469-493X (Electronic)&amp;#xD;1361-6137 (Linking)&lt;/isbn&gt;&lt;accession-num&gt;23986406&lt;/accession-num&gt;&lt;urls&gt;&lt;related-urls&gt;&lt;url&gt;http://www.ncbi.nlm.nih.gov/pubmed/23986406&lt;/url&gt;&lt;/related-urls&gt;&lt;/urls&gt;&lt;electronic-resource-num&gt;10.1002/14651858.CD003711.pub5&lt;/electronic-resource-num&gt;&lt;/record&gt;&lt;/Cite&gt;&lt;/EndNote&gt;</w:instrText>
      </w:r>
      <w:r>
        <w:fldChar w:fldCharType="separate"/>
      </w:r>
      <w:r>
        <w:rPr>
          <w:noProof/>
        </w:rPr>
        <w:t>(</w:t>
      </w:r>
      <w:hyperlink w:anchor="_ENREF_70" w:tooltip="Liu, 2013 #27" w:history="1">
        <w:r>
          <w:rPr>
            <w:noProof/>
          </w:rPr>
          <w:t>Liu et al. 2013</w:t>
        </w:r>
      </w:hyperlink>
      <w:r>
        <w:rPr>
          <w:noProof/>
        </w:rPr>
        <w:t>)</w:t>
      </w:r>
      <w:r>
        <w:fldChar w:fldCharType="end"/>
      </w:r>
      <w:r>
        <w:t xml:space="preserve">. </w:t>
      </w:r>
    </w:p>
    <w:p w14:paraId="5DC6B638" w14:textId="0FCA0DD3" w:rsidR="00F11F0D" w:rsidRDefault="00F11F0D" w:rsidP="004C79C1">
      <w:pPr>
        <w:spacing w:after="120" w:line="240" w:lineRule="auto"/>
        <w:jc w:val="both"/>
      </w:pPr>
      <w:r>
        <w:t xml:space="preserve">Individual trials reported on the impact of different herbal medicines (with or without supportive therapy) and the number of patients reporting premature beats or arrhythmias (see </w:t>
      </w:r>
      <w:r>
        <w:fldChar w:fldCharType="begin"/>
      </w:r>
      <w:r>
        <w:instrText xml:space="preserve"> REF _Ref445281310 \h  \* MERGEFORMAT </w:instrText>
      </w:r>
      <w:r>
        <w:fldChar w:fldCharType="separate"/>
      </w:r>
      <w:r>
        <w:t xml:space="preserve">Figure </w:t>
      </w:r>
      <w:r>
        <w:rPr>
          <w:noProof/>
        </w:rPr>
        <w:t>28</w:t>
      </w:r>
      <w:r>
        <w:fldChar w:fldCharType="end"/>
      </w:r>
      <w:r>
        <w:t xml:space="preserve">). However, the small size of the trials, limited number of trials of individual herbs, and the risk of bias </w:t>
      </w:r>
      <w:r>
        <w:lastRenderedPageBreak/>
        <w:t xml:space="preserve">within the trials led to the authors </w:t>
      </w:r>
      <w:r w:rsidR="00047B33">
        <w:t xml:space="preserve">to </w:t>
      </w:r>
      <w:r>
        <w:t>conclud</w:t>
      </w:r>
      <w:r w:rsidR="00047B33">
        <w:t>e</w:t>
      </w:r>
      <w:r>
        <w:t xml:space="preserve"> that the results should be interpreted with care </w:t>
      </w:r>
      <w:r>
        <w:fldChar w:fldCharType="begin"/>
      </w:r>
      <w:r>
        <w:instrText xml:space="preserve"> ADDIN EN.CITE &lt;EndNote&gt;&lt;Cite&gt;&lt;Author&gt;Liu&lt;/Author&gt;&lt;Year&gt;2013&lt;/Year&gt;&lt;RecNum&gt;27&lt;/RecNum&gt;&lt;DisplayText&gt;(Liu et al. 2013)&lt;/DisplayText&gt;&lt;record&gt;&lt;rec-number&gt;27&lt;/rec-number&gt;&lt;foreign-keys&gt;&lt;key app="EN" db-id="pfxxvref0t0a5de2vwnv2fwkz0p9v0r2fw0t" timestamp="1457408071"&gt;27&lt;/key&gt;&lt;/foreign-keys&gt;&lt;ref-type name="Journal Article"&gt;17&lt;/ref-type&gt;&lt;contributors&gt;&lt;authors&gt;&lt;author&gt;Liu, Z. L.&lt;/author&gt;&lt;author&gt;Liu, Z. J.&lt;/author&gt;&lt;author&gt;Liu, J. P.&lt;/author&gt;&lt;author&gt;Kwong, J. S.&lt;/author&gt;&lt;/authors&gt;&lt;/contributors&gt;&lt;auth-address&gt;Centre for Evidence-Based Chinese Medicine, Beijing University of Chinese Medicine, 11 Bei San Huan Dong Lu, Chaoyang District, Beijing, China, 100029.&lt;/auth-address&gt;&lt;titles&gt;&lt;title&gt;Herbal medicines for viral myocarditis&lt;/title&gt;&lt;secondary-title&gt;Cochrane Database Syst Rev&lt;/secondary-title&gt;&lt;/titles&gt;&lt;periodical&gt;&lt;full-title&gt;Cochrane Database Syst Rev&lt;/full-title&gt;&lt;/periodical&gt;&lt;pages&gt;CD003711&lt;/pages&gt;&lt;volume&gt;8&lt;/volume&gt;&lt;keywords&gt;&lt;keyword&gt;Astragalus membranaceus&lt;/keyword&gt;&lt;keyword&gt;Biomarkers/blood&lt;/keyword&gt;&lt;keyword&gt;China&lt;/keyword&gt;&lt;keyword&gt;Creatine Kinase, MB Form/blood&lt;/keyword&gt;&lt;keyword&gt;Drug Combinations&lt;/keyword&gt;&lt;keyword&gt;Drugs, Chinese Herbal/adverse effects/*therapeutic use&lt;/keyword&gt;&lt;keyword&gt;Electrocardiography/drug effects&lt;/keyword&gt;&lt;keyword&gt;Humans&lt;/keyword&gt;&lt;keyword&gt;L-Lactate Dehydrogenase/blood&lt;/keyword&gt;&lt;keyword&gt;Myocarditis/*drug therapy/virology&lt;/keyword&gt;&lt;keyword&gt;Phytotherapy/adverse effects/*methods&lt;/keyword&gt;&lt;keyword&gt;Randomized Controlled Trials as Topic&lt;/keyword&gt;&lt;keyword&gt;Virus Diseases/*drug therapy&lt;/keyword&gt;&lt;/keywords&gt;&lt;dates&gt;&lt;year&gt;2013&lt;/year&gt;&lt;/dates&gt;&lt;isbn&gt;1469-493X (Electronic)&amp;#xD;1361-6137 (Linking)&lt;/isbn&gt;&lt;accession-num&gt;23986406&lt;/accession-num&gt;&lt;urls&gt;&lt;related-urls&gt;&lt;url&gt;http://www.ncbi.nlm.nih.gov/pubmed/23986406&lt;/url&gt;&lt;/related-urls&gt;&lt;/urls&gt;&lt;electronic-resource-num&gt;10.1002/14651858.CD003711.pub5&lt;/electronic-resource-num&gt;&lt;/record&gt;&lt;/Cite&gt;&lt;/EndNote&gt;</w:instrText>
      </w:r>
      <w:r>
        <w:fldChar w:fldCharType="separate"/>
      </w:r>
      <w:r>
        <w:rPr>
          <w:noProof/>
        </w:rPr>
        <w:t>(</w:t>
      </w:r>
      <w:hyperlink w:anchor="_ENREF_70" w:tooltip="Liu, 2013 #27" w:history="1">
        <w:r>
          <w:rPr>
            <w:noProof/>
          </w:rPr>
          <w:t>Liu et al. 2013</w:t>
        </w:r>
      </w:hyperlink>
      <w:r>
        <w:rPr>
          <w:noProof/>
        </w:rPr>
        <w:t>)</w:t>
      </w:r>
      <w:r>
        <w:fldChar w:fldCharType="end"/>
      </w:r>
      <w:r>
        <w:t>.</w:t>
      </w:r>
    </w:p>
    <w:p w14:paraId="2B497B6E" w14:textId="77777777" w:rsidR="00F11F0D" w:rsidRDefault="00F11F0D" w:rsidP="004C79C1">
      <w:pPr>
        <w:keepNext/>
        <w:spacing w:after="120" w:line="240" w:lineRule="auto"/>
      </w:pPr>
      <w:r>
        <w:rPr>
          <w:noProof/>
        </w:rPr>
        <w:drawing>
          <wp:inline distT="0" distB="0" distL="0" distR="0" wp14:anchorId="120D4B6B" wp14:editId="3236D682">
            <wp:extent cx="5731510" cy="4295140"/>
            <wp:effectExtent l="0" t="0" r="2540" b="0"/>
            <wp:docPr id="5" name="Picture 5" descr="The effectiveness of herbal medicines for reducing number of patients with viral myocarditis who experience premature beats or arrhythm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bal medicines for myocarditis.tif"/>
                    <pic:cNvPicPr/>
                  </pic:nvPicPr>
                  <pic:blipFill>
                    <a:blip r:embed="rId51">
                      <a:extLst>
                        <a:ext uri="{28A0092B-C50C-407E-A947-70E740481C1C}">
                          <a14:useLocalDpi xmlns:a14="http://schemas.microsoft.com/office/drawing/2010/main" val="0"/>
                        </a:ext>
                      </a:extLst>
                    </a:blip>
                    <a:stretch>
                      <a:fillRect/>
                    </a:stretch>
                  </pic:blipFill>
                  <pic:spPr>
                    <a:xfrm>
                      <a:off x="0" y="0"/>
                      <a:ext cx="5731510" cy="4295140"/>
                    </a:xfrm>
                    <a:prstGeom prst="rect">
                      <a:avLst/>
                    </a:prstGeom>
                  </pic:spPr>
                </pic:pic>
              </a:graphicData>
            </a:graphic>
          </wp:inline>
        </w:drawing>
      </w:r>
    </w:p>
    <w:p w14:paraId="3D10F2D1" w14:textId="77777777" w:rsidR="00F11F0D" w:rsidRDefault="00F11F0D" w:rsidP="004C79C1">
      <w:pPr>
        <w:pStyle w:val="Caption"/>
      </w:pPr>
      <w:bookmarkStart w:id="433" w:name="_Ref445281310"/>
      <w:bookmarkStart w:id="434" w:name="_Toc324410181"/>
      <w:bookmarkStart w:id="435" w:name="_Toc451435472"/>
      <w:r>
        <w:t xml:space="preserve">Figure </w:t>
      </w:r>
      <w:fldSimple w:instr=" SEQ Figure \* ARABIC ">
        <w:r w:rsidR="00050936">
          <w:rPr>
            <w:noProof/>
          </w:rPr>
          <w:t>26</w:t>
        </w:r>
      </w:fldSimple>
      <w:bookmarkEnd w:id="433"/>
      <w:r>
        <w:tab/>
        <w:t>The effectiveness of herbal medicines for reducing number of patients with viral myocarditis who experience premature beats or arrhythmias</w:t>
      </w:r>
      <w:bookmarkEnd w:id="434"/>
      <w:bookmarkEnd w:id="435"/>
      <w:r>
        <w:t xml:space="preserve"> </w:t>
      </w:r>
    </w:p>
    <w:p w14:paraId="4E401D2F" w14:textId="558104FC" w:rsidR="00F11F0D" w:rsidRDefault="00F11F0D" w:rsidP="004C79C1">
      <w:pPr>
        <w:pStyle w:val="Tablenotes0"/>
        <w:spacing w:before="0" w:after="120"/>
      </w:pPr>
      <w:r w:rsidRPr="00DA673D">
        <w:t>CI = confidence interval; N = number of patients; RR = relative risk</w:t>
      </w:r>
    </w:p>
    <w:p w14:paraId="0CAC6513" w14:textId="77777777" w:rsidR="00F11F0D" w:rsidRDefault="00F11F0D" w:rsidP="00161B88">
      <w:pPr>
        <w:pStyle w:val="Heading4"/>
      </w:pPr>
      <w:r>
        <w:t>Treatment effectiveness for cardiac sarcoidosis</w:t>
      </w:r>
    </w:p>
    <w:p w14:paraId="4CAE4AF1" w14:textId="7E8FC00F" w:rsidR="00F11F0D" w:rsidRPr="00DC438E" w:rsidRDefault="00F11F0D" w:rsidP="004C79C1">
      <w:pPr>
        <w:spacing w:after="120" w:line="240" w:lineRule="auto"/>
        <w:jc w:val="both"/>
      </w:pPr>
      <w:r>
        <w:t>In the change in management study by Broch et al</w:t>
      </w:r>
      <w:r w:rsidR="004B754C">
        <w:t>.</w:t>
      </w:r>
      <w:r>
        <w:t xml:space="preserve"> (2015), </w:t>
      </w:r>
      <w:r w:rsidR="00513321">
        <w:t xml:space="preserve">1 </w:t>
      </w:r>
      <w:r>
        <w:t xml:space="preserve">patient was identified as having systemic inflammatory disease, which was confirmed by </w:t>
      </w:r>
      <w:r w:rsidR="00814BC6">
        <w:t>EMB</w:t>
      </w:r>
      <w:r>
        <w:t xml:space="preserve"> as being sarcoidosis. The patient received prednisone (an immunosuppressant) and was alive and transplant-free at 4.7</w:t>
      </w:r>
      <w:r w:rsidR="00B93BDA">
        <w:t> </w:t>
      </w:r>
      <w:r>
        <w:t xml:space="preserve">years follow-up. </w:t>
      </w:r>
    </w:p>
    <w:p w14:paraId="557DCC80" w14:textId="0145F70C" w:rsidR="00F11F0D" w:rsidRDefault="00F11F0D" w:rsidP="004C79C1">
      <w:pPr>
        <w:spacing w:after="120" w:line="240" w:lineRule="auto"/>
        <w:jc w:val="both"/>
      </w:pPr>
      <w:r>
        <w:t xml:space="preserve">One </w:t>
      </w:r>
      <w:r w:rsidR="00B93BDA">
        <w:t>SR</w:t>
      </w:r>
      <w:r>
        <w:t xml:space="preserve"> was identified </w:t>
      </w:r>
      <w:r w:rsidR="00B93BDA">
        <w:t xml:space="preserve">that </w:t>
      </w:r>
      <w:r>
        <w:t xml:space="preserve">reviewed the published literature on corticosteroid treatment for cardiac sarcoidosis </w:t>
      </w:r>
      <w:r>
        <w:fldChar w:fldCharType="begin"/>
      </w:r>
      <w:r>
        <w:instrText xml:space="preserve"> ADDIN EN.CITE &lt;EndNote&gt;&lt;Cite&gt;&lt;Author&gt;Sadek&lt;/Author&gt;&lt;Year&gt;2013&lt;/Year&gt;&lt;RecNum&gt;32&lt;/RecNum&gt;&lt;DisplayText&gt;(Sadek et al. 2013)&lt;/DisplayText&gt;&lt;record&gt;&lt;rec-number&gt;32&lt;/rec-number&gt;&lt;foreign-keys&gt;&lt;key app="EN" db-id="pfxxvref0t0a5de2vwnv2fwkz0p9v0r2fw0t" timestamp="1458006587"&gt;32&lt;/key&gt;&lt;key app="ENWeb" db-id=""&gt;0&lt;/key&gt;&lt;/foreign-keys&gt;&lt;ref-type name="Journal Article"&gt;17&lt;/ref-type&gt;&lt;contributors&gt;&lt;authors&gt;&lt;author&gt;Sadek, M. M.&lt;/author&gt;&lt;author&gt;Yung, D.&lt;/author&gt;&lt;author&gt;Birnie, D. H.&lt;/author&gt;&lt;author&gt;Beanlands, R. S.&lt;/author&gt;&lt;author&gt;Nery, P. B.&lt;/author&gt;&lt;/authors&gt;&lt;/contributors&gt;&lt;auth-address&gt;University of Ottawa Heart Institute, Arrhythmia Service, Division of Cardiology, Department of Medicine, Ottawa, Ontario, Canada.&lt;/auth-address&gt;&lt;titles&gt;&lt;title&gt;Corticosteroid therapy for cardiac sarcoidosis: a systematic review&lt;/title&gt;&lt;secondary-title&gt;Can J Cardiol&lt;/secondary-title&gt;&lt;/titles&gt;&lt;periodical&gt;&lt;full-title&gt;Can J Cardiol&lt;/full-title&gt;&lt;/periodical&gt;&lt;pages&gt;1034-41&lt;/pages&gt;&lt;volume&gt;29&lt;/volume&gt;&lt;number&gt;9&lt;/number&gt;&lt;keywords&gt;&lt;keyword&gt;Cardiomyopathies/*drug therapy/mortality/physiopathology&lt;/keyword&gt;&lt;keyword&gt;Glucocorticoids/*therapeutic use&lt;/keyword&gt;&lt;keyword&gt;Humans&lt;/keyword&gt;&lt;keyword&gt;Methylprednisolone/therapeutic use&lt;/keyword&gt;&lt;keyword&gt;Prednisone/therapeutic use&lt;/keyword&gt;&lt;keyword&gt;Sarcoidosis/*drug therapy/mortality/physiopathology&lt;/keyword&gt;&lt;/keywords&gt;&lt;dates&gt;&lt;year&gt;2013&lt;/year&gt;&lt;pub-dates&gt;&lt;date&gt;Sep&lt;/date&gt;&lt;/pub-dates&gt;&lt;/dates&gt;&lt;isbn&gt;1916-7075 (Electronic)&amp;#xD;0828-282X (Linking)&lt;/isbn&gt;&lt;accession-num&gt;23623644&lt;/accession-num&gt;&lt;urls&gt;&lt;related-urls&gt;&lt;url&gt;http://www.ncbi.nlm.nih.gov/pubmed/23623644&lt;/url&gt;&lt;/related-urls&gt;&lt;/urls&gt;&lt;electronic-resource-num&gt;10.1016/j.cjca.2013.02.004&lt;/electronic-resource-num&gt;&lt;/record&gt;&lt;/Cite&gt;&lt;/EndNote&gt;</w:instrText>
      </w:r>
      <w:r>
        <w:fldChar w:fldCharType="separate"/>
      </w:r>
      <w:r>
        <w:rPr>
          <w:noProof/>
        </w:rPr>
        <w:t>(</w:t>
      </w:r>
      <w:hyperlink w:anchor="_ENREF_111" w:tooltip="Sadek, 2013 #32" w:history="1">
        <w:r>
          <w:rPr>
            <w:noProof/>
          </w:rPr>
          <w:t>Sadek et al. 2013</w:t>
        </w:r>
      </w:hyperlink>
      <w:r>
        <w:rPr>
          <w:noProof/>
        </w:rPr>
        <w:t>)</w:t>
      </w:r>
      <w:r>
        <w:fldChar w:fldCharType="end"/>
      </w:r>
      <w:r>
        <w:t xml:space="preserve">. No randomised trials were identified and the </w:t>
      </w:r>
      <w:r w:rsidR="00B93BDA">
        <w:t xml:space="preserve">10 </w:t>
      </w:r>
      <w:r>
        <w:t xml:space="preserve">cohort studies or case series identified were all of poor to fair quality, presenting results from a total of 257 patients treated with corticosteroids and 42 patients not treated with corticosteroids. The majority of patients in the studies presented with </w:t>
      </w:r>
      <w:r w:rsidR="00C6244A" w:rsidRPr="00CA515C">
        <w:rPr>
          <w:rStyle w:val="Emphasis"/>
          <w:b w:val="0"/>
        </w:rPr>
        <w:t>atrioventricular block</w:t>
      </w:r>
      <w:r w:rsidR="00C6244A" w:rsidRPr="002B7EB6">
        <w:rPr>
          <w:b/>
        </w:rPr>
        <w:t xml:space="preserve"> </w:t>
      </w:r>
      <w:r w:rsidR="00C6244A">
        <w:t>(</w:t>
      </w:r>
      <w:r>
        <w:t>AV</w:t>
      </w:r>
      <w:r w:rsidR="00C6244A">
        <w:t>)</w:t>
      </w:r>
      <w:r>
        <w:t xml:space="preserve"> block (n=104) followed by HF (n=61) and </w:t>
      </w:r>
      <w:r w:rsidR="00F74D1E">
        <w:t>VT</w:t>
      </w:r>
      <w:r>
        <w:t xml:space="preserve"> (n=56). </w:t>
      </w:r>
    </w:p>
    <w:p w14:paraId="561B393E" w14:textId="3ADFD548" w:rsidR="00F11F0D" w:rsidRDefault="00F11F0D" w:rsidP="004C79C1">
      <w:pPr>
        <w:spacing w:after="120" w:line="240" w:lineRule="auto"/>
        <w:jc w:val="both"/>
      </w:pPr>
      <w:r>
        <w:t xml:space="preserve">Nine studies reported on mortality. Mortality rates were highly variable between studies and of limited use in informing the role of corticosteroids in reducing mortality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Only </w:t>
      </w:r>
      <w:r w:rsidR="00723C30">
        <w:t xml:space="preserve">1 </w:t>
      </w:r>
      <w:r>
        <w:t>study provided individual patient data on LV dysfunction with and without corticosteroids. The 66 patients with mild to moderate LV dysfunction who were treated with corticosteroids predominantly had preservation of normal LV function or an improvement of LV dysfunction. Conversely, 11 out of 13 patients who did not receive corticosteroids had a reduction in LV functioning. Additional before-</w:t>
      </w:r>
      <w:r>
        <w:lastRenderedPageBreak/>
        <w:t xml:space="preserve">and-after case series provided information on a further 25 patients with severe LV dysfunction who had received corticosteroids, but mean LVEF did not change with treatment </w:t>
      </w:r>
      <w:r>
        <w:fldChar w:fldCharType="begin"/>
      </w:r>
      <w:r>
        <w:instrText xml:space="preserve"> ADDIN EN.CITE &lt;EndNote&gt;&lt;Cite&gt;&lt;Author&gt;Sadek&lt;/Author&gt;&lt;Year&gt;2013&lt;/Year&gt;&lt;RecNum&gt;32&lt;/RecNum&gt;&lt;DisplayText&gt;(Sadek et al. 2013)&lt;/DisplayText&gt;&lt;record&gt;&lt;rec-number&gt;32&lt;/rec-number&gt;&lt;foreign-keys&gt;&lt;key app="EN" db-id="pfxxvref0t0a5de2vwnv2fwkz0p9v0r2fw0t" timestamp="1458006587"&gt;32&lt;/key&gt;&lt;key app="ENWeb" db-id=""&gt;0&lt;/key&gt;&lt;/foreign-keys&gt;&lt;ref-type name="Journal Article"&gt;17&lt;/ref-type&gt;&lt;contributors&gt;&lt;authors&gt;&lt;author&gt;Sadek, M. M.&lt;/author&gt;&lt;author&gt;Yung, D.&lt;/author&gt;&lt;author&gt;Birnie, D. H.&lt;/author&gt;&lt;author&gt;Beanlands, R. S.&lt;/author&gt;&lt;author&gt;Nery, P. B.&lt;/author&gt;&lt;/authors&gt;&lt;/contributors&gt;&lt;auth-address&gt;University of Ottawa Heart Institute, Arrhythmia Service, Division of Cardiology, Department of Medicine, Ottawa, Ontario, Canada.&lt;/auth-address&gt;&lt;titles&gt;&lt;title&gt;Corticosteroid therapy for cardiac sarcoidosis: a systematic review&lt;/title&gt;&lt;secondary-title&gt;Can J Cardiol&lt;/secondary-title&gt;&lt;/titles&gt;&lt;periodical&gt;&lt;full-title&gt;Can J Cardiol&lt;/full-title&gt;&lt;/periodical&gt;&lt;pages&gt;1034-41&lt;/pages&gt;&lt;volume&gt;29&lt;/volume&gt;&lt;number&gt;9&lt;/number&gt;&lt;keywords&gt;&lt;keyword&gt;Cardiomyopathies/*drug therapy/mortality/physiopathology&lt;/keyword&gt;&lt;keyword&gt;Glucocorticoids/*therapeutic use&lt;/keyword&gt;&lt;keyword&gt;Humans&lt;/keyword&gt;&lt;keyword&gt;Methylprednisolone/therapeutic use&lt;/keyword&gt;&lt;keyword&gt;Prednisone/therapeutic use&lt;/keyword&gt;&lt;keyword&gt;Sarcoidosis/*drug therapy/mortality/physiopathology&lt;/keyword&gt;&lt;/keywords&gt;&lt;dates&gt;&lt;year&gt;2013&lt;/year&gt;&lt;pub-dates&gt;&lt;date&gt;Sep&lt;/date&gt;&lt;/pub-dates&gt;&lt;/dates&gt;&lt;isbn&gt;1916-7075 (Electronic)&amp;#xD;0828-282X (Linking)&lt;/isbn&gt;&lt;accession-num&gt;23623644&lt;/accession-num&gt;&lt;urls&gt;&lt;related-urls&gt;&lt;url&gt;http://www.ncbi.nlm.nih.gov/pubmed/23623644&lt;/url&gt;&lt;/related-urls&gt;&lt;/urls&gt;&lt;electronic-resource-num&gt;10.1016/j.cjca.2013.02.004&lt;/electronic-resource-num&gt;&lt;/record&gt;&lt;/Cite&gt;&lt;/EndNote&gt;</w:instrText>
      </w:r>
      <w:r>
        <w:fldChar w:fldCharType="separate"/>
      </w:r>
      <w:r>
        <w:rPr>
          <w:noProof/>
        </w:rPr>
        <w:t>(</w:t>
      </w:r>
      <w:hyperlink w:anchor="_ENREF_111" w:tooltip="Sadek, 2013 #32" w:history="1">
        <w:r>
          <w:rPr>
            <w:noProof/>
          </w:rPr>
          <w:t>Sadek et al. 2013</w:t>
        </w:r>
      </w:hyperlink>
      <w:r>
        <w:rPr>
          <w:noProof/>
        </w:rPr>
        <w:t>)</w:t>
      </w:r>
      <w:r>
        <w:fldChar w:fldCharType="end"/>
      </w:r>
      <w:r>
        <w:t>.</w:t>
      </w:r>
    </w:p>
    <w:p w14:paraId="6D6FEB31" w14:textId="77777777" w:rsidR="00F11F0D" w:rsidRDefault="00F11F0D" w:rsidP="004C79C1">
      <w:pPr>
        <w:spacing w:after="120" w:line="240" w:lineRule="auto"/>
        <w:jc w:val="both"/>
      </w:pPr>
      <w:r>
        <w:t xml:space="preserve">The evidence regarding the effectiveness of corticosteroids for cardiac sarcoidosis is very limited. However, there is a trend favouring corticosteroid treatment for improving LV functioning, although the majority of the evidence was in a population presenting with AV block rather than HF symptoms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w:t>
      </w:r>
    </w:p>
    <w:p w14:paraId="799EB7AD" w14:textId="55599FFC" w:rsidR="00F11F0D" w:rsidRDefault="00F11F0D" w:rsidP="00161B88">
      <w:pPr>
        <w:pStyle w:val="Heading4"/>
      </w:pPr>
      <w:r>
        <w:t>Treatment effectiveness for Wegener</w:t>
      </w:r>
      <w:r w:rsidR="008B361B">
        <w:t>’s</w:t>
      </w:r>
      <w:r>
        <w:t xml:space="preserve"> disease</w:t>
      </w:r>
    </w:p>
    <w:p w14:paraId="58F951DF" w14:textId="414F4928" w:rsidR="00F11F0D" w:rsidRDefault="00F11F0D" w:rsidP="004C79C1">
      <w:pPr>
        <w:spacing w:after="120" w:line="240" w:lineRule="auto"/>
        <w:jc w:val="both"/>
      </w:pPr>
      <w:r>
        <w:t>The article by Broch et al</w:t>
      </w:r>
      <w:r w:rsidR="004B754C">
        <w:t>.</w:t>
      </w:r>
      <w:r>
        <w:t xml:space="preserve"> (2015) stated that CMR detected two patients with systemic inflammatory disease, one of which was diagnosed by an extra-cardiac biopsy as having Wegener</w:t>
      </w:r>
      <w:r w:rsidR="0069048F">
        <w:t>’</w:t>
      </w:r>
      <w:r>
        <w:t>s granulomatosis. This was treated by immun</w:t>
      </w:r>
      <w:r w:rsidR="00552BF5">
        <w:t>o</w:t>
      </w:r>
      <w:r>
        <w:t>suppressants and the patient was classified as being alive and transplant</w:t>
      </w:r>
      <w:r w:rsidR="00552BF5">
        <w:t>-</w:t>
      </w:r>
      <w:r>
        <w:t>free at 5.3</w:t>
      </w:r>
      <w:r w:rsidR="00552BF5">
        <w:t> </w:t>
      </w:r>
      <w:r>
        <w:t xml:space="preserve">years follow-up. </w:t>
      </w:r>
    </w:p>
    <w:p w14:paraId="6FC6B2BF" w14:textId="79DD535B" w:rsidR="00F11F0D" w:rsidRDefault="00F11F0D" w:rsidP="004C79C1">
      <w:pPr>
        <w:spacing w:after="120" w:line="240" w:lineRule="auto"/>
        <w:jc w:val="both"/>
      </w:pPr>
      <w:r>
        <w:t xml:space="preserve">No </w:t>
      </w:r>
      <w:r w:rsidR="008B361B">
        <w:t>SR</w:t>
      </w:r>
      <w:r>
        <w:t xml:space="preserve">s were identified </w:t>
      </w:r>
      <w:r w:rsidR="008B361B">
        <w:t xml:space="preserve">that </w:t>
      </w:r>
      <w:r>
        <w:t>assess</w:t>
      </w:r>
      <w:r w:rsidR="008B361B">
        <w:t>ed</w:t>
      </w:r>
      <w:r>
        <w:t xml:space="preserve"> the treatment effectiveness of immun</w:t>
      </w:r>
      <w:r w:rsidR="008B361B">
        <w:t>o</w:t>
      </w:r>
      <w:r>
        <w:t xml:space="preserve">suppressants for Wegener’s disease. </w:t>
      </w:r>
    </w:p>
    <w:p w14:paraId="34C44851" w14:textId="77777777" w:rsidR="00F11F0D" w:rsidRDefault="00F11F0D" w:rsidP="00161B88">
      <w:pPr>
        <w:pStyle w:val="Heading4"/>
      </w:pPr>
      <w:r>
        <w:t>Treatment effectiveness for LV non-compaction</w:t>
      </w:r>
    </w:p>
    <w:p w14:paraId="691719E0" w14:textId="756BB5AA" w:rsidR="00F11F0D" w:rsidRDefault="00F11F0D" w:rsidP="004C79C1">
      <w:pPr>
        <w:spacing w:after="120" w:line="240" w:lineRule="auto"/>
        <w:jc w:val="both"/>
      </w:pPr>
      <w:r>
        <w:t>L</w:t>
      </w:r>
      <w:r w:rsidR="008B361B">
        <w:t>eft ventricular</w:t>
      </w:r>
      <w:r>
        <w:t xml:space="preserve"> non-compaction (LVNC) is a myocardial disorder </w:t>
      </w:r>
      <w:r w:rsidR="008B361B">
        <w:t xml:space="preserve">that </w:t>
      </w:r>
      <w:r>
        <w:t>is characterised by trabeculations and intratrabecular recesses in the ventricular endothelium, and can present with features of DCM. The study by Broch et al</w:t>
      </w:r>
      <w:r w:rsidR="004B754C">
        <w:t>.</w:t>
      </w:r>
      <w:r>
        <w:t xml:space="preserve"> </w:t>
      </w:r>
      <w:r w:rsidR="00090626">
        <w:t xml:space="preserve">(2015) </w:t>
      </w:r>
      <w:r>
        <w:t>reported that two cases of LVNC identified by CMR were not detected by any other means. Two conditions prevalent in LVNC are tachyarrhythmia, which can lead to SCD</w:t>
      </w:r>
      <w:r w:rsidR="001F2259">
        <w:t>,</w:t>
      </w:r>
      <w:r>
        <w:t xml:space="preserve"> and clotting of blood in the heart. The two patients identified subsequently received oral anticoagulants and ICDs. One of these patients received a cardiac allograft after 2.2</w:t>
      </w:r>
      <w:r w:rsidR="00B960E6">
        <w:t> </w:t>
      </w:r>
      <w:r>
        <w:t xml:space="preserve">years </w:t>
      </w:r>
      <w:r w:rsidR="00B960E6">
        <w:t xml:space="preserve">and </w:t>
      </w:r>
      <w:r>
        <w:t>the other was alive and transplant-free at 4.6</w:t>
      </w:r>
      <w:r w:rsidR="00B960E6">
        <w:t> </w:t>
      </w:r>
      <w:r>
        <w:t>years follow-up (Broch et al</w:t>
      </w:r>
      <w:r w:rsidR="004B754C">
        <w:t>.</w:t>
      </w:r>
      <w:r>
        <w:t xml:space="preserve"> 2015). It is unclear whether the diagnosis of LVNC resulted in different treatment than what the patients would have received had they remained with the diagnosis of idiopathic DCM. </w:t>
      </w:r>
    </w:p>
    <w:p w14:paraId="36488709" w14:textId="2EF9F426" w:rsidR="00F11F0D" w:rsidRDefault="00F11F0D" w:rsidP="004C79C1">
      <w:pPr>
        <w:spacing w:after="120" w:line="240" w:lineRule="auto"/>
        <w:jc w:val="both"/>
      </w:pPr>
      <w:r>
        <w:t xml:space="preserve">No </w:t>
      </w:r>
      <w:r w:rsidR="00FD476A">
        <w:t>SR</w:t>
      </w:r>
      <w:r>
        <w:t xml:space="preserve">s were identified on the treatment effectiveness of treatments for LVNC compared </w:t>
      </w:r>
      <w:r w:rsidR="00FD476A">
        <w:t xml:space="preserve">with </w:t>
      </w:r>
      <w:r>
        <w:t xml:space="preserve">what </w:t>
      </w:r>
      <w:r w:rsidR="00FD476A">
        <w:t xml:space="preserve">patients </w:t>
      </w:r>
      <w:r>
        <w:t xml:space="preserve">would receive based on a diagnosis of </w:t>
      </w:r>
      <w:r w:rsidRPr="00C8307E">
        <w:t>idiopathic DCM</w:t>
      </w:r>
      <w:r>
        <w:t xml:space="preserve">. </w:t>
      </w:r>
    </w:p>
    <w:p w14:paraId="177123E3" w14:textId="77777777" w:rsidR="00F11F0D" w:rsidRDefault="00F11F0D" w:rsidP="00161B88">
      <w:pPr>
        <w:pStyle w:val="Heading4"/>
      </w:pPr>
      <w:r>
        <w:t>Treatment effectiveness of haemochromatosis</w:t>
      </w:r>
    </w:p>
    <w:p w14:paraId="6A7A771B" w14:textId="6BF05A29" w:rsidR="00F11F0D" w:rsidRDefault="00F11F0D" w:rsidP="004C79C1">
      <w:pPr>
        <w:spacing w:after="120" w:line="240" w:lineRule="auto"/>
        <w:jc w:val="both"/>
      </w:pPr>
      <w:r>
        <w:t xml:space="preserve">Secondary haemochromatosis CM has been described as a DCM </w:t>
      </w:r>
      <w:r>
        <w:fldChar w:fldCharType="begin"/>
      </w:r>
      <w:r>
        <w:instrText xml:space="preserve"> ADDIN EN.CITE &lt;EndNote&gt;&lt;Cite&gt;&lt;Author&gt;Kremastinos&lt;/Author&gt;&lt;Year&gt;2011&lt;/Year&gt;&lt;RecNum&gt;101&lt;/RecNum&gt;&lt;DisplayText&gt;(Kremastinos &amp;amp; Farmakis 2011)&lt;/DisplayText&gt;&lt;record&gt;&lt;rec-number&gt;101&lt;/rec-number&gt;&lt;foreign-keys&gt;&lt;key app="EN" db-id="pfxxvref0t0a5de2vwnv2fwkz0p9v0r2fw0t" timestamp="1458601655"&gt;101&lt;/key&gt;&lt;key app="ENWeb" db-id=""&gt;0&lt;/key&gt;&lt;/foreign-keys&gt;&lt;ref-type name="Journal Article"&gt;17&lt;/ref-type&gt;&lt;contributors&gt;&lt;authors&gt;&lt;author&gt;Kremastinos, D. T.&lt;/author&gt;&lt;author&gt;Farmakis, D.&lt;/author&gt;&lt;/authors&gt;&lt;/contributors&gt;&lt;auth-address&gt;Second Department of Cardiology, Attikon University Hospital, Athens, Greece. dimkrem@gmail.com&lt;/auth-address&gt;&lt;titles&gt;&lt;title&gt;Iron overload cardiomyopathy in clinical practice&lt;/title&gt;&lt;secondary-title&gt;Circulation&lt;/secondary-title&gt;&lt;/titles&gt;&lt;periodical&gt;&lt;full-title&gt;Circulation&lt;/full-title&gt;&lt;/periodical&gt;&lt;pages&gt;2253-63&lt;/pages&gt;&lt;volume&gt;124&lt;/volume&gt;&lt;number&gt;20&lt;/number&gt;&lt;keywords&gt;&lt;keyword&gt;Animals&lt;/keyword&gt;&lt;keyword&gt;Cardiomyopathies/*diagnosis/etiology/*physiopathology&lt;/keyword&gt;&lt;keyword&gt;Clinical Trials as Topic/methods&lt;/keyword&gt;&lt;keyword&gt;Hemochromatosis/diagnosis/etiology/physiopathology&lt;/keyword&gt;&lt;keyword&gt;Humans&lt;/keyword&gt;&lt;keyword&gt;Iron Overload/*diagnosis/etiology/*physiopathology&lt;/keyword&gt;&lt;keyword&gt;Phenotype&lt;/keyword&gt;&lt;/keywords&gt;&lt;dates&gt;&lt;year&gt;2011&lt;/year&gt;&lt;pub-dates&gt;&lt;date&gt;Nov 15&lt;/date&gt;&lt;/pub-dates&gt;&lt;/dates&gt;&lt;isbn&gt;1524-4539 (Electronic)&amp;#xD;0009-7322 (Linking)&lt;/isbn&gt;&lt;accession-num&gt;22083147&lt;/accession-num&gt;&lt;urls&gt;&lt;related-urls&gt;&lt;url&gt;http://www.ncbi.nlm.nih.gov/pubmed/22083147&lt;/url&gt;&lt;/related-urls&gt;&lt;/urls&gt;&lt;electronic-resource-num&gt;10.1161/CIRCULATIONAHA.111.050773&lt;/electronic-resource-num&gt;&lt;/record&gt;&lt;/Cite&gt;&lt;/EndNote&gt;</w:instrText>
      </w:r>
      <w:r>
        <w:fldChar w:fldCharType="separate"/>
      </w:r>
      <w:r>
        <w:rPr>
          <w:noProof/>
        </w:rPr>
        <w:t>(</w:t>
      </w:r>
      <w:hyperlink w:anchor="_ENREF_63" w:tooltip="Kremastinos, 2011 #101" w:history="1">
        <w:r>
          <w:rPr>
            <w:noProof/>
          </w:rPr>
          <w:t>Kremastinos &amp; Farmakis 2011</w:t>
        </w:r>
      </w:hyperlink>
      <w:r>
        <w:rPr>
          <w:noProof/>
        </w:rPr>
        <w:t>)</w:t>
      </w:r>
      <w:r>
        <w:fldChar w:fldCharType="end"/>
      </w:r>
      <w:r>
        <w:t xml:space="preserve">. It has been suggested in the literature that CMR may allow iron overload (haemochromatosis) to be detected </w:t>
      </w:r>
      <w:r>
        <w:fldChar w:fldCharType="begin"/>
      </w:r>
      <w:r>
        <w:instrText xml:space="preserve"> ADDIN EN.CITE &lt;EndNote&gt;&lt;Cite&gt;&lt;Author&gt;Karamitsos&lt;/Author&gt;&lt;Year&gt;2009&lt;/Year&gt;&lt;RecNum&gt;104&lt;/RecNum&gt;&lt;DisplayText&gt;(Karamitsos et al. 2009)&lt;/DisplayText&gt;&lt;record&gt;&lt;rec-number&gt;104&lt;/rec-number&gt;&lt;foreign-keys&gt;&lt;key app="EN" db-id="pfxxvref0t0a5de2vwnv2fwkz0p9v0r2fw0t" timestamp="1458601850"&gt;104&lt;/key&gt;&lt;key app="ENWeb" db-id=""&gt;0&lt;/key&gt;&lt;/foreign-keys&gt;&lt;ref-type name="Journal Article"&gt;17&lt;/ref-type&gt;&lt;contributors&gt;&lt;authors&gt;&lt;author&gt;Karamitsos, T. D.&lt;/author&gt;&lt;author&gt;Francis, J. M.&lt;/author&gt;&lt;author&gt;Myerson, S.&lt;/author&gt;&lt;author&gt;Selvanayagam, J. B.&lt;/author&gt;&lt;author&gt;Neubauer, S.&lt;/author&gt;&lt;/authors&gt;&lt;/contributors&gt;&lt;auth-address&gt;University of Oxford Centre for Clinical Magnetic Resonance Research, Department of Cardiovascular Medicine, John Radcliffe Hospital, Oxford, United Kingdom.&lt;/auth-address&gt;&lt;titles&gt;&lt;title&gt;The role of cardiovascular magnetic resonance imaging in heart failure&lt;/title&gt;&lt;secondary-title&gt;J Am Coll Cardiol&lt;/secondary-title&gt;&lt;/titles&gt;&lt;periodical&gt;&lt;full-title&gt;J Am Coll Cardiol&lt;/full-title&gt;&lt;/periodical&gt;&lt;pages&gt;1407-24&lt;/pages&gt;&lt;volume&gt;54&lt;/volume&gt;&lt;number&gt;15&lt;/number&gt;&lt;keywords&gt;&lt;keyword&gt;Cardiomyopathies/diagnosis&lt;/keyword&gt;&lt;keyword&gt;Disease Progression&lt;/keyword&gt;&lt;keyword&gt;Heart Diseases/*diagnosis&lt;/keyword&gt;&lt;keyword&gt;Heart Failure/*diagnosis/pathology&lt;/keyword&gt;&lt;keyword&gt;Humans&lt;/keyword&gt;&lt;keyword&gt;Magnetic Resonance Angiography&lt;/keyword&gt;&lt;keyword&gt;*Magnetic Resonance Imaging&lt;/keyword&gt;&lt;keyword&gt;Myocardial Ischemia/diagnosis&lt;/keyword&gt;&lt;keyword&gt;Myocarditis/diagnosis&lt;/keyword&gt;&lt;keyword&gt;Prognosis&lt;/keyword&gt;&lt;keyword&gt;Ventricular Dysfunction, Left/diagnosis/pathology&lt;/keyword&gt;&lt;/keywords&gt;&lt;dates&gt;&lt;year&gt;2009&lt;/year&gt;&lt;pub-dates&gt;&lt;date&gt;Oct 6&lt;/date&gt;&lt;/pub-dates&gt;&lt;/dates&gt;&lt;isbn&gt;1558-3597 (Electronic)&amp;#xD;0735-1097 (Linking)&lt;/isbn&gt;&lt;accession-num&gt;19796734&lt;/accession-num&gt;&lt;urls&gt;&lt;related-urls&gt;&lt;url&gt;http://www.ncbi.nlm.nih.gov/pubmed/19796734&lt;/url&gt;&lt;/related-urls&gt;&lt;/urls&gt;&lt;electronic-resource-num&gt;10.1016/j.jacc.2009.04.094&lt;/electronic-resource-num&gt;&lt;/record&gt;&lt;/Cite&gt;&lt;/EndNote&gt;</w:instrText>
      </w:r>
      <w:r>
        <w:fldChar w:fldCharType="separate"/>
      </w:r>
      <w:r>
        <w:rPr>
          <w:noProof/>
        </w:rPr>
        <w:t>(</w:t>
      </w:r>
      <w:hyperlink w:anchor="_ENREF_57" w:tooltip="Karamitsos, 2009 #104" w:history="1">
        <w:r>
          <w:rPr>
            <w:noProof/>
          </w:rPr>
          <w:t>Karamitsos et al. 2009</w:t>
        </w:r>
      </w:hyperlink>
      <w:r>
        <w:rPr>
          <w:noProof/>
        </w:rPr>
        <w:t>)</w:t>
      </w:r>
      <w:r>
        <w:fldChar w:fldCharType="end"/>
      </w:r>
      <w:r>
        <w:t>. No studies identified in this assessment provided evidence on the frequency with which CMR may detect haemochromotosis. The treatment for patients with signs of HF and evidence of functional or structural cardiac dy</w:t>
      </w:r>
      <w:r w:rsidR="008A0976">
        <w:t>s</w:t>
      </w:r>
      <w:r>
        <w:t xml:space="preserve">function, as well as secondary haemochromatosis, involves both treatment for HF symptoms and the reduction of iron through either </w:t>
      </w:r>
      <w:r w:rsidR="0058357A">
        <w:t>phlebotomy (bloodletting)</w:t>
      </w:r>
      <w:r>
        <w:t xml:space="preserve">, chelation therapy or a combination of the two </w:t>
      </w:r>
      <w:r>
        <w:fldChar w:fldCharType="begin"/>
      </w:r>
      <w:r>
        <w:instrText xml:space="preserve"> ADDIN EN.CITE &lt;EndNote&gt;&lt;Cite&gt;&lt;Author&gt;Kremastinos&lt;/Author&gt;&lt;Year&gt;2011&lt;/Year&gt;&lt;RecNum&gt;101&lt;/RecNum&gt;&lt;DisplayText&gt;(Kremastinos &amp;amp; Farmakis 2011)&lt;/DisplayText&gt;&lt;record&gt;&lt;rec-number&gt;101&lt;/rec-number&gt;&lt;foreign-keys&gt;&lt;key app="EN" db-id="pfxxvref0t0a5de2vwnv2fwkz0p9v0r2fw0t" timestamp="1458601655"&gt;101&lt;/key&gt;&lt;key app="ENWeb" db-id=""&gt;0&lt;/key&gt;&lt;/foreign-keys&gt;&lt;ref-type name="Journal Article"&gt;17&lt;/ref-type&gt;&lt;contributors&gt;&lt;authors&gt;&lt;author&gt;Kremastinos, D. T.&lt;/author&gt;&lt;author&gt;Farmakis, D.&lt;/author&gt;&lt;/authors&gt;&lt;/contributors&gt;&lt;auth-address&gt;Second Department of Cardiology, Attikon University Hospital, Athens, Greece. dimkrem@gmail.com&lt;/auth-address&gt;&lt;titles&gt;&lt;title&gt;Iron overload cardiomyopathy in clinical practice&lt;/title&gt;&lt;secondary-title&gt;Circulation&lt;/secondary-title&gt;&lt;/titles&gt;&lt;periodical&gt;&lt;full-title&gt;Circulation&lt;/full-title&gt;&lt;/periodical&gt;&lt;pages&gt;2253-63&lt;/pages&gt;&lt;volume&gt;124&lt;/volume&gt;&lt;number&gt;20&lt;/number&gt;&lt;keywords&gt;&lt;keyword&gt;Animals&lt;/keyword&gt;&lt;keyword&gt;Cardiomyopathies/*diagnosis/etiology/*physiopathology&lt;/keyword&gt;&lt;keyword&gt;Clinical Trials as Topic/methods&lt;/keyword&gt;&lt;keyword&gt;Hemochromatosis/diagnosis/etiology/physiopathology&lt;/keyword&gt;&lt;keyword&gt;Humans&lt;/keyword&gt;&lt;keyword&gt;Iron Overload/*diagnosis/etiology/*physiopathology&lt;/keyword&gt;&lt;keyword&gt;Phenotype&lt;/keyword&gt;&lt;/keywords&gt;&lt;dates&gt;&lt;year&gt;2011&lt;/year&gt;&lt;pub-dates&gt;&lt;date&gt;Nov 15&lt;/date&gt;&lt;/pub-dates&gt;&lt;/dates&gt;&lt;isbn&gt;1524-4539 (Electronic)&amp;#xD;0009-7322 (Linking)&lt;/isbn&gt;&lt;accession-num&gt;22083147&lt;/accession-num&gt;&lt;urls&gt;&lt;related-urls&gt;&lt;url&gt;http://www.ncbi.nlm.nih.gov/pubmed/22083147&lt;/url&gt;&lt;/related-urls&gt;&lt;/urls&gt;&lt;electronic-resource-num&gt;10.1161/CIRCULATIONAHA.111.050773&lt;/electronic-resource-num&gt;&lt;/record&gt;&lt;/Cite&gt;&lt;/EndNote&gt;</w:instrText>
      </w:r>
      <w:r>
        <w:fldChar w:fldCharType="separate"/>
      </w:r>
      <w:r>
        <w:rPr>
          <w:noProof/>
        </w:rPr>
        <w:t>(</w:t>
      </w:r>
      <w:hyperlink w:anchor="_ENREF_63" w:tooltip="Kremastinos, 2011 #101" w:history="1">
        <w:r>
          <w:rPr>
            <w:noProof/>
          </w:rPr>
          <w:t>Kremastinos &amp; Farmakis 2011</w:t>
        </w:r>
      </w:hyperlink>
      <w:r>
        <w:rPr>
          <w:noProof/>
        </w:rPr>
        <w:t>)</w:t>
      </w:r>
      <w:r>
        <w:fldChar w:fldCharType="end"/>
      </w:r>
      <w:r>
        <w:t>.</w:t>
      </w:r>
    </w:p>
    <w:p w14:paraId="77383720" w14:textId="00420305" w:rsidR="00F11F0D" w:rsidRDefault="00F11F0D" w:rsidP="004C79C1">
      <w:pPr>
        <w:spacing w:after="120" w:line="240" w:lineRule="auto"/>
        <w:jc w:val="both"/>
      </w:pPr>
      <w:r>
        <w:t>Although phlebotom</w:t>
      </w:r>
      <w:r w:rsidR="0058357A">
        <w:t>y</w:t>
      </w:r>
      <w:r>
        <w:t xml:space="preserve"> has been considered a cornerstone treatment for haemochromatosis, no randomised trials have been performed to assess the clinical benefit </w:t>
      </w:r>
      <w:r>
        <w:fldChar w:fldCharType="begin"/>
      </w:r>
      <w:r>
        <w:instrText xml:space="preserve"> ADDIN EN.CITE &lt;EndNote&gt;&lt;Cite&gt;&lt;Author&gt;Assi&lt;/Author&gt;&lt;Year&gt;2014&lt;/Year&gt;&lt;RecNum&gt;103&lt;/RecNum&gt;&lt;DisplayText&gt;(Assi &amp;amp; Baz 2014)&lt;/DisplayText&gt;&lt;record&gt;&lt;rec-number&gt;103&lt;/rec-number&gt;&lt;foreign-keys&gt;&lt;key app="EN" db-id="pfxxvref0t0a5de2vwnv2fwkz0p9v0r2fw0t" timestamp="1458601741"&gt;103&lt;/key&gt;&lt;key app="ENWeb" db-id=""&gt;0&lt;/key&gt;&lt;/foreign-keys&gt;&lt;ref-type name="Journal Article"&gt;17&lt;/ref-type&gt;&lt;contributors&gt;&lt;authors&gt;&lt;author&gt;Assi, T. B.&lt;/author&gt;&lt;author&gt;Baz, E.&lt;/author&gt;&lt;/authors&gt;&lt;/contributors&gt;&lt;auth-address&gt;Department of Pathology and Laboratory Medicine, American University of Beirut Medical Centre, Beirut, Lebanon.&lt;/auth-address&gt;&lt;titles&gt;&lt;title&gt;Current applications of therapeutic phlebotomy&lt;/title&gt;&lt;secondary-title&gt;Blood Transfus&lt;/secondary-title&gt;&lt;/titles&gt;&lt;periodical&gt;&lt;full-title&gt;Blood Transfus&lt;/full-title&gt;&lt;/periodical&gt;&lt;pages&gt;s75-83&lt;/pages&gt;&lt;volume&gt;12 Suppl 1&lt;/volume&gt;&lt;keywords&gt;&lt;keyword&gt;Anemia, Sickle Cell/therapy&lt;/keyword&gt;&lt;keyword&gt;Biopsy&lt;/keyword&gt;&lt;keyword&gt;Complementary Therapies&lt;/keyword&gt;&lt;keyword&gt;Diagnosis, Differential&lt;/keyword&gt;&lt;keyword&gt;Erythropoietin/blood&lt;/keyword&gt;&lt;keyword&gt;Hemochromatosis/diagnosis/*therapy&lt;/keyword&gt;&lt;keyword&gt;Hepatitis C, Chronic/therapy&lt;/keyword&gt;&lt;keyword&gt;Humans&lt;/keyword&gt;&lt;keyword&gt;Iron/metabolism&lt;/keyword&gt;&lt;keyword&gt;Kidney Transplantation&lt;/keyword&gt;&lt;keyword&gt;Liver/pathology&lt;/keyword&gt;&lt;keyword&gt;Metabolic Syndrome X/therapy&lt;/keyword&gt;&lt;keyword&gt;*Phlebotomy&lt;/keyword&gt;&lt;keyword&gt;Polycythemia/blood/diagnosis/etiology/therapy&lt;/keyword&gt;&lt;keyword&gt;Polycythemia Vera/diagnosis/*therapy&lt;/keyword&gt;&lt;keyword&gt;Porphyria Cutanea Tarda/diagnosis/pathology/*therapy&lt;/keyword&gt;&lt;keyword&gt;Postoperative Complications/blood/etiology/therapy&lt;/keyword&gt;&lt;/keywords&gt;&lt;dates&gt;&lt;year&gt;2014&lt;/year&gt;&lt;pub-dates&gt;&lt;date&gt;Jan&lt;/date&gt;&lt;/pub-dates&gt;&lt;/dates&gt;&lt;isbn&gt;1723-2007 (Print)&amp;#xD;1723-2007 (Linking)&lt;/isbn&gt;&lt;accession-num&gt;24120605&lt;/accession-num&gt;&lt;urls&gt;&lt;related-urls&gt;&lt;url&gt;http://www.ncbi.nlm.nih.gov/pubmed/24120605&lt;/url&gt;&lt;/related-urls&gt;&lt;/urls&gt;&lt;custom2&gt;3934278&lt;/custom2&gt;&lt;electronic-resource-num&gt;10.2450/2013.0299-12&lt;/electronic-resource-num&gt;&lt;/record&gt;&lt;/Cite&gt;&lt;/EndNote&gt;</w:instrText>
      </w:r>
      <w:r>
        <w:fldChar w:fldCharType="separate"/>
      </w:r>
      <w:r>
        <w:rPr>
          <w:noProof/>
        </w:rPr>
        <w:t>(</w:t>
      </w:r>
      <w:hyperlink w:anchor="_ENREF_6" w:tooltip="Assi, 2014 #103" w:history="1">
        <w:r>
          <w:rPr>
            <w:noProof/>
          </w:rPr>
          <w:t>Assi &amp; Baz 2014</w:t>
        </w:r>
      </w:hyperlink>
      <w:r>
        <w:rPr>
          <w:noProof/>
        </w:rPr>
        <w:t>)</w:t>
      </w:r>
      <w:r>
        <w:fldChar w:fldCharType="end"/>
      </w:r>
      <w:r>
        <w:t xml:space="preserve">. Likewise, dietary restrictions and medications to reduce iron levels appear logical but have not been evaluated with randomised trials </w:t>
      </w:r>
      <w:r>
        <w:fldChar w:fldCharType="begin"/>
      </w:r>
      <w:r>
        <w:instrText xml:space="preserve"> ADDIN EN.CITE &lt;EndNote&gt;&lt;Cite&gt;&lt;Author&gt;Adams&lt;/Author&gt;&lt;Year&gt;2010&lt;/Year&gt;&lt;RecNum&gt;102&lt;/RecNum&gt;&lt;DisplayText&gt;(Adams &amp;amp; Barton 2010)&lt;/DisplayText&gt;&lt;record&gt;&lt;rec-number&gt;102&lt;/rec-number&gt;&lt;foreign-keys&gt;&lt;key app="EN" db-id="pfxxvref0t0a5de2vwnv2fwkz0p9v0r2fw0t" timestamp="1458601696"&gt;102&lt;/key&gt;&lt;key app="ENWeb" db-id=""&gt;0&lt;/key&gt;&lt;/foreign-keys&gt;&lt;ref-type name="Journal Article"&gt;17&lt;/ref-type&gt;&lt;contributors&gt;&lt;authors&gt;&lt;author&gt;Adams, P. C.&lt;/author&gt;&lt;author&gt;Barton, J. C.&lt;/author&gt;&lt;/authors&gt;&lt;/contributors&gt;&lt;auth-address&gt;University Hospital, University of Western Ontario, London, ON, Canada. padams@uwo.ca&lt;/auth-address&gt;&lt;titles&gt;&lt;title&gt;How I treat hemochromatosis&lt;/title&gt;&lt;secondary-title&gt;Blood&lt;/secondary-title&gt;&lt;/titles&gt;&lt;periodical&gt;&lt;full-title&gt;Blood&lt;/full-title&gt;&lt;/periodical&gt;&lt;pages&gt;317-25&lt;/pages&gt;&lt;volume&gt;116&lt;/volume&gt;&lt;number&gt;3&lt;/number&gt;&lt;keywords&gt;&lt;keyword&gt;Blood Donors&lt;/keyword&gt;&lt;keyword&gt;Chelation Therapy&lt;/keyword&gt;&lt;keyword&gt;Cytapheresis&lt;/keyword&gt;&lt;keyword&gt;Deferoxamine/therapeutic use&lt;/keyword&gt;&lt;keyword&gt;Female&lt;/keyword&gt;&lt;keyword&gt;Hemochromatosis/genetics/metabolism/*therapy&lt;/keyword&gt;&lt;keyword&gt;Histocompatibility Antigens Class I/genetics&lt;/keyword&gt;&lt;keyword&gt;Homozygote&lt;/keyword&gt;&lt;keyword&gt;Humans&lt;/keyword&gt;&lt;keyword&gt;Iron/metabolism&lt;/keyword&gt;&lt;keyword&gt;Iron, Dietary/administration &amp;amp; dosage&lt;/keyword&gt;&lt;keyword&gt;Male&lt;/keyword&gt;&lt;keyword&gt;Membrane Proteins/genetics&lt;/keyword&gt;&lt;keyword&gt;*Phlebotomy&lt;/keyword&gt;&lt;keyword&gt;Proton Pump Inhibitors/therapeutic use&lt;/keyword&gt;&lt;keyword&gt;Siderophores/therapeutic use&lt;/keyword&gt;&lt;/keywords&gt;&lt;dates&gt;&lt;year&gt;2010&lt;/year&gt;&lt;pub-dates&gt;&lt;date&gt;Jul 22&lt;/date&gt;&lt;/pub-dates&gt;&lt;/dates&gt;&lt;isbn&gt;1528-0020 (Electronic)&amp;#xD;0006-4971 (Linking)&lt;/isbn&gt;&lt;accession-num&gt;20308595&lt;/accession-num&gt;&lt;urls&gt;&lt;related-urls&gt;&lt;url&gt;http://www.ncbi.nlm.nih.gov/pubmed/20308595&lt;/url&gt;&lt;/related-urls&gt;&lt;/urls&gt;&lt;electronic-resource-num&gt;10.1182/blood-2010-01-261875&lt;/electronic-resource-num&gt;&lt;/record&gt;&lt;/Cite&gt;&lt;/EndNote&gt;</w:instrText>
      </w:r>
      <w:r>
        <w:fldChar w:fldCharType="separate"/>
      </w:r>
      <w:r>
        <w:rPr>
          <w:noProof/>
        </w:rPr>
        <w:t>(</w:t>
      </w:r>
      <w:hyperlink w:anchor="_ENREF_3" w:tooltip="Adams, 2010 #102" w:history="1">
        <w:r>
          <w:rPr>
            <w:noProof/>
          </w:rPr>
          <w:t>Adams &amp; Barton 2010</w:t>
        </w:r>
      </w:hyperlink>
      <w:r>
        <w:rPr>
          <w:noProof/>
        </w:rPr>
        <w:t>)</w:t>
      </w:r>
      <w:r>
        <w:fldChar w:fldCharType="end"/>
      </w:r>
      <w:r>
        <w:t>.</w:t>
      </w:r>
    </w:p>
    <w:p w14:paraId="5083FA25" w14:textId="15B944BC" w:rsidR="00A36FFB" w:rsidRDefault="00A36FFB" w:rsidP="00161B88">
      <w:pPr>
        <w:pStyle w:val="Heading3"/>
      </w:pPr>
      <w:bookmarkStart w:id="436" w:name="_Toc451501349"/>
      <w:r>
        <w:t>Impact of determining whether the patient has NIDCM or ICM</w:t>
      </w:r>
      <w:r w:rsidR="00F11F0D">
        <w:t xml:space="preserve"> in </w:t>
      </w:r>
      <w:r w:rsidR="00FA3CF1">
        <w:t xml:space="preserve">those </w:t>
      </w:r>
      <w:r w:rsidR="00F11F0D">
        <w:t xml:space="preserve">with </w:t>
      </w:r>
      <w:r w:rsidR="004E27FC">
        <w:t xml:space="preserve">a </w:t>
      </w:r>
      <w:r w:rsidR="00F11F0D">
        <w:t>dilated LV and an intermediate risk of CAD</w:t>
      </w:r>
      <w:bookmarkEnd w:id="436"/>
    </w:p>
    <w:p w14:paraId="72202D89" w14:textId="53254AB2" w:rsidR="00A36FFB" w:rsidRDefault="00A36FFB" w:rsidP="004C79C1">
      <w:pPr>
        <w:spacing w:after="120" w:line="240" w:lineRule="auto"/>
        <w:jc w:val="both"/>
      </w:pPr>
      <w:r>
        <w:t xml:space="preserve">One of the uses proposed for CMR is to assess whether a patient with DCM has NIDCM or ICM. In </w:t>
      </w:r>
      <w:r w:rsidR="005C5167">
        <w:t>s</w:t>
      </w:r>
      <w:r>
        <w:t xml:space="preserve">ection B3.6 the accuracy of using CMR for this purpose </w:t>
      </w:r>
      <w:r w:rsidR="00FA3CF1">
        <w:t xml:space="preserve">is </w:t>
      </w:r>
      <w:r>
        <w:t xml:space="preserve">assessed, compared </w:t>
      </w:r>
      <w:r w:rsidR="00FA3CF1">
        <w:t xml:space="preserve">with </w:t>
      </w:r>
      <w:r>
        <w:t>the reference standards of ICA and clinical diagnosis.</w:t>
      </w:r>
      <w:r w:rsidRPr="00EA5B3B">
        <w:t xml:space="preserve"> </w:t>
      </w:r>
      <w:r>
        <w:t xml:space="preserve">Unfortunately, there was insufficient comparative evidence on the accuracy of SPECT and CTCA in the target population to make conclusions </w:t>
      </w:r>
      <w:r w:rsidR="00B12307">
        <w:t xml:space="preserve">on the number of </w:t>
      </w:r>
      <w:r w:rsidR="00B12307">
        <w:lastRenderedPageBreak/>
        <w:t xml:space="preserve">false positives and negatives </w:t>
      </w:r>
      <w:r w:rsidR="00FA3CF1">
        <w:t xml:space="preserve">that </w:t>
      </w:r>
      <w:r w:rsidR="00B12307">
        <w:t>would result from</w:t>
      </w:r>
      <w:r>
        <w:t xml:space="preserve"> CMR compared </w:t>
      </w:r>
      <w:r w:rsidR="00FA3CF1">
        <w:t xml:space="preserve">with </w:t>
      </w:r>
      <w:r>
        <w:t xml:space="preserve">these alternative non-invasive imaging modalities. </w:t>
      </w:r>
    </w:p>
    <w:p w14:paraId="3E5C1CA0" w14:textId="77777777" w:rsidR="00591AD0" w:rsidRPr="00554A46" w:rsidRDefault="00591AD0" w:rsidP="00161B88">
      <w:pPr>
        <w:pStyle w:val="Heading4"/>
      </w:pPr>
      <w:r w:rsidRPr="00554A46">
        <w:t>Impact of avoiding ICAs</w:t>
      </w:r>
    </w:p>
    <w:p w14:paraId="5049E828" w14:textId="6661BD23" w:rsidR="00591AD0" w:rsidRDefault="00591AD0" w:rsidP="004C79C1">
      <w:pPr>
        <w:spacing w:after="120" w:line="240" w:lineRule="auto"/>
        <w:jc w:val="both"/>
      </w:pPr>
      <w:r>
        <w:t xml:space="preserve">One of the potential comparators </w:t>
      </w:r>
      <w:r w:rsidR="00DF642E">
        <w:t xml:space="preserve">with </w:t>
      </w:r>
      <w:r>
        <w:t xml:space="preserve">CMR is ICA. If </w:t>
      </w:r>
      <w:r w:rsidR="00DF642E">
        <w:t xml:space="preserve">a </w:t>
      </w:r>
      <w:r>
        <w:t xml:space="preserve">patient </w:t>
      </w:r>
      <w:r w:rsidR="00DF642E">
        <w:t xml:space="preserve">is </w:t>
      </w:r>
      <w:r>
        <w:t xml:space="preserve">found to have signs of ischaemia on CMR or the other non-invasive techniques of CTCA or SPECT, </w:t>
      </w:r>
      <w:r w:rsidR="00DF642E">
        <w:t xml:space="preserve">they </w:t>
      </w:r>
      <w:r>
        <w:t>would proceed to have an ICA, but if they are classified as non-ischaemic</w:t>
      </w:r>
      <w:r w:rsidR="003B660E">
        <w:t>,</w:t>
      </w:r>
      <w:r>
        <w:t xml:space="preserve"> the</w:t>
      </w:r>
      <w:r w:rsidR="00DF642E">
        <w:t>y</w:t>
      </w:r>
      <w:r>
        <w:t xml:space="preserve"> would avoid having an ICA. The use of CMR as a gatekeeper to ICA was discussed by Assomull et al. (2011). Due to their invasive nature, ICAs are associated with a risk of complications, which may be avoided in those with NIDCM. </w:t>
      </w:r>
    </w:p>
    <w:p w14:paraId="577FE7A4" w14:textId="77777777" w:rsidR="00A36FFB" w:rsidRDefault="00A36FFB" w:rsidP="00161B88">
      <w:pPr>
        <w:pStyle w:val="Heading4"/>
      </w:pPr>
      <w:r>
        <w:t>Management of patients classified with ischaemia</w:t>
      </w:r>
    </w:p>
    <w:p w14:paraId="3E5BC66B" w14:textId="59BF7A64" w:rsidR="006A6BE5" w:rsidRDefault="006A6BE5" w:rsidP="004C79C1">
      <w:pPr>
        <w:spacing w:after="120" w:line="240" w:lineRule="auto"/>
        <w:jc w:val="both"/>
        <w:rPr>
          <w:rFonts w:eastAsiaTheme="minorHAnsi"/>
        </w:rPr>
      </w:pPr>
      <w:r>
        <w:t xml:space="preserve">If a patient is identified as having ischaemia by CMR, CTCA, SPECT or stress </w:t>
      </w:r>
      <w:r w:rsidR="00A21115">
        <w:t>echocardiography</w:t>
      </w:r>
      <w:r>
        <w:t xml:space="preserve"> and is well enough to tolerate an invasive procedure, they would likely proceed to have an ICA, which is the gold standard for confirming whether a patient has ischaemia or not. The results of the ICA would then be used to determine the treatment strategy: whether </w:t>
      </w:r>
      <w:r w:rsidR="0082564D">
        <w:t>the</w:t>
      </w:r>
      <w:r>
        <w:t xml:space="preserve"> patient receives treatment for HF alone, or treatment for HF and CAD (</w:t>
      </w:r>
      <w:r w:rsidR="0082564D">
        <w:t>s</w:t>
      </w:r>
      <w:r>
        <w:t xml:space="preserve">ee </w:t>
      </w:r>
      <w:r w:rsidR="00204861">
        <w:fldChar w:fldCharType="begin"/>
      </w:r>
      <w:r w:rsidR="00204861">
        <w:instrText xml:space="preserve"> REF _Ref451260101 \h </w:instrText>
      </w:r>
      <w:r w:rsidR="00204861">
        <w:fldChar w:fldCharType="separate"/>
      </w:r>
      <w:r w:rsidR="00204861">
        <w:t xml:space="preserve">Figure </w:t>
      </w:r>
      <w:r w:rsidR="00204861">
        <w:rPr>
          <w:noProof/>
        </w:rPr>
        <w:t>2</w:t>
      </w:r>
      <w:r w:rsidR="00204861">
        <w:fldChar w:fldCharType="end"/>
      </w:r>
      <w:r w:rsidR="00204861">
        <w:t xml:space="preserve"> </w:t>
      </w:r>
      <w:r w:rsidRPr="00554A46">
        <w:t xml:space="preserve">and </w:t>
      </w:r>
      <w:r w:rsidRPr="00554A46">
        <w:fldChar w:fldCharType="begin"/>
      </w:r>
      <w:r w:rsidRPr="00554A46">
        <w:instrText xml:space="preserve"> REF _Ref447807237 \h </w:instrText>
      </w:r>
      <w:r>
        <w:instrText xml:space="preserve"> \* MERGEFORMAT </w:instrText>
      </w:r>
      <w:r w:rsidRPr="00554A46">
        <w:fldChar w:fldCharType="separate"/>
      </w:r>
      <w:r w:rsidR="009034B7" w:rsidRPr="009034B7">
        <w:t xml:space="preserve">Figure </w:t>
      </w:r>
      <w:r w:rsidR="009034B7" w:rsidRPr="009034B7">
        <w:rPr>
          <w:noProof/>
        </w:rPr>
        <w:t>4</w:t>
      </w:r>
      <w:r w:rsidRPr="00554A46">
        <w:fldChar w:fldCharType="end"/>
      </w:r>
      <w:r>
        <w:t xml:space="preserve"> for clinical management algorithm). If patients receive a false positive test for ischaemia on CMR, SPECT, CTCA or stress </w:t>
      </w:r>
      <w:r w:rsidR="00A21115">
        <w:t>echocardiography</w:t>
      </w:r>
      <w:r>
        <w:t>, they would therefore undergo an unnecessary invasive imaging test (which has safety implications</w:t>
      </w:r>
      <w:r w:rsidR="0082564D">
        <w:t>;</w:t>
      </w:r>
      <w:r>
        <w:t xml:space="preserve"> see </w:t>
      </w:r>
      <w:r w:rsidR="005C5167">
        <w:t>s</w:t>
      </w:r>
      <w:r>
        <w:t xml:space="preserve">ection B7), but would not undergo incorrect treatment. </w:t>
      </w:r>
    </w:p>
    <w:p w14:paraId="7F95D5A5" w14:textId="01DABB75" w:rsidR="00A36FFB" w:rsidRDefault="00A36FFB" w:rsidP="004C79C1">
      <w:pPr>
        <w:spacing w:after="120" w:line="240" w:lineRule="auto"/>
        <w:jc w:val="both"/>
      </w:pPr>
      <w:r>
        <w:t>If patients are classified as LGE–, there is still a small chance that they would have ICM. These patients would inappropriately be classified as NIDCM and miss receiving an ICA and revascularisation. From the prognostic section (B4), it was reported that having ICM was associated with a worse prognosis than NIDCM. However, from a good</w:t>
      </w:r>
      <w:r w:rsidR="00461507">
        <w:t>-</w:t>
      </w:r>
      <w:r>
        <w:t xml:space="preserve">quality </w:t>
      </w:r>
      <w:r w:rsidR="00461507">
        <w:t>SR</w:t>
      </w:r>
      <w:r>
        <w:t xml:space="preserve"> cited in MSAC assessment </w:t>
      </w:r>
      <w:r w:rsidR="0082564D">
        <w:t xml:space="preserve">no. </w:t>
      </w:r>
      <w:r>
        <w:t xml:space="preserve">1237 </w:t>
      </w:r>
      <w:r w:rsidR="00187A29">
        <w:fldChar w:fldCharType="begin">
          <w:fldData xml:space="preserve">PEVuZE5vdGU+PENpdGU+PEF1dGhvcj5MaXBpbnNraTwvQXV0aG9yPjxZZWFyPjIwMTM8L1llYXI+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</w:fldData>
        </w:fldChar>
      </w:r>
      <w:r w:rsidR="00187A29">
        <w:instrText xml:space="preserve"> ADDIN EN.CITE </w:instrText>
      </w:r>
      <w:r w:rsidR="00187A29">
        <w:fldChar w:fldCharType="begin">
          <w:fldData xml:space="preserve">PEVuZE5vdGU+PENpdGU+PEF1dGhvcj5MaXBpbnNraTwvQXV0aG9yPjxZZWFyPjIwMTM8L1llYXI+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69" w:tooltip="Lipinski, 2013 #93" w:history="1">
        <w:r w:rsidR="00B906E9">
          <w:rPr>
            <w:noProof/>
          </w:rPr>
          <w:t>Lipinski et al. 2013</w:t>
        </w:r>
      </w:hyperlink>
      <w:r w:rsidR="00187A29">
        <w:rPr>
          <w:noProof/>
        </w:rPr>
        <w:t>)</w:t>
      </w:r>
      <w:r w:rsidR="00187A29">
        <w:fldChar w:fldCharType="end"/>
      </w:r>
      <w:r>
        <w:t>, it was reported that</w:t>
      </w:r>
      <w:r w:rsidR="0082564D">
        <w:t>,</w:t>
      </w:r>
      <w:r>
        <w:t xml:space="preserve"> in patients with known or suspected CAD, having LGE was a significant predictive factor, with those who were LGE+ having almost 4</w:t>
      </w:r>
      <w:r w:rsidR="0082564D">
        <w:t>-</w:t>
      </w:r>
      <w:r>
        <w:t xml:space="preserve">times the odds of having a cardiovascular death or non-fatal MI than those who were LGE– (OR = 3.82; 95%CI 2.56, 5.71). </w:t>
      </w:r>
      <w:r w:rsidR="0082564D">
        <w:t>T</w:t>
      </w:r>
      <w:r>
        <w:t>he extent to which ischaemic patients who are LGE– would suffer due to being incorrectly diagnosed as NIDCM</w:t>
      </w:r>
      <w:r w:rsidR="0082564D">
        <w:t xml:space="preserve"> is therefore unknown</w:t>
      </w:r>
      <w:r>
        <w:t xml:space="preserve">. </w:t>
      </w:r>
    </w:p>
    <w:p w14:paraId="32320A83" w14:textId="5F6643A9" w:rsidR="00A36FFB" w:rsidRDefault="00A36FFB" w:rsidP="004C79C1">
      <w:pPr>
        <w:spacing w:after="120" w:line="240" w:lineRule="auto"/>
        <w:jc w:val="both"/>
      </w:pPr>
      <w:r w:rsidRPr="00042923">
        <w:t xml:space="preserve">If a patient is correctly identified as being ischaemic, they would receive treatment for coronary artery disease (CAD). A </w:t>
      </w:r>
      <w:r w:rsidR="0053058B">
        <w:t>high</w:t>
      </w:r>
      <w:r w:rsidR="00461507">
        <w:t>-</w:t>
      </w:r>
      <w:r w:rsidR="0053058B">
        <w:t xml:space="preserve">quality </w:t>
      </w:r>
      <w:r w:rsidR="00461507">
        <w:t>SR</w:t>
      </w:r>
      <w:r w:rsidR="0053058B">
        <w:t xml:space="preserve"> and </w:t>
      </w:r>
      <w:r w:rsidRPr="00042923">
        <w:t xml:space="preserve">network meta-analysis was identified </w:t>
      </w:r>
      <w:r w:rsidR="00CD3E4E">
        <w:t>that</w:t>
      </w:r>
      <w:r w:rsidR="00CD3E4E" w:rsidRPr="00042923">
        <w:t xml:space="preserve"> </w:t>
      </w:r>
      <w:r w:rsidRPr="00042923">
        <w:t xml:space="preserve">compared revascularisation techniques and medical treatment in patients with stable CAD </w:t>
      </w:r>
      <w:r w:rsidR="00187A29">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rsidR="00187A29">
        <w:instrText xml:space="preserve"> ADDIN EN.CITE </w:instrText>
      </w:r>
      <w:r w:rsidR="00187A29">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rsidR="00187A29">
        <w:instrText xml:space="preserve"> ADDIN EN.CITE.DATA </w:instrText>
      </w:r>
      <w:r w:rsidR="00187A29">
        <w:fldChar w:fldCharType="end"/>
      </w:r>
      <w:r w:rsidR="00187A29">
        <w:fldChar w:fldCharType="separate"/>
      </w:r>
      <w:r w:rsidR="00187A29">
        <w:rPr>
          <w:noProof/>
        </w:rPr>
        <w:t>(</w:t>
      </w:r>
      <w:hyperlink w:anchor="_ENREF_136" w:tooltip="Windecker, 2014 #105" w:history="1">
        <w:r w:rsidR="00B906E9">
          <w:rPr>
            <w:noProof/>
          </w:rPr>
          <w:t>Windecker et al. 2014</w:t>
        </w:r>
      </w:hyperlink>
      <w:r w:rsidR="00187A29">
        <w:rPr>
          <w:noProof/>
        </w:rPr>
        <w:t>)</w:t>
      </w:r>
      <w:r w:rsidR="00187A29">
        <w:fldChar w:fldCharType="end"/>
      </w:r>
      <w:r w:rsidRPr="00042923">
        <w:t>. Revascularisation included coronary artery bypass grafting (CABG), percutaneous revascularisation (PCI), balloon angioplasty, bare metal stents and drug</w:t>
      </w:r>
      <w:r w:rsidR="00CD3E4E">
        <w:t>-</w:t>
      </w:r>
      <w:r w:rsidRPr="00042923">
        <w:t>eluting stents. One hundred randomised trials in 93</w:t>
      </w:r>
      <w:r w:rsidR="00CD3E4E">
        <w:t>,</w:t>
      </w:r>
      <w:r w:rsidRPr="00042923">
        <w:t>553 patients were included. The results of the network meta-analyses were that CABG reduces risk of death</w:t>
      </w:r>
      <w:r w:rsidR="000E71CB">
        <w:t xml:space="preserve"> </w:t>
      </w:r>
      <w:r w:rsidR="006E3D05">
        <w:t>(</w:t>
      </w:r>
      <w:r w:rsidR="000E71CB">
        <w:t xml:space="preserve">GRADE </w:t>
      </w:r>
      <w:r w:rsidR="000E71CB" w:rsidRPr="00D8218A">
        <w:rPr>
          <w:rFonts w:ascii="Cambria Math" w:hAnsi="Cambria Math" w:cs="Cambria Math"/>
          <w:color w:val="00B050"/>
          <w:sz w:val="20"/>
        </w:rPr>
        <w:t>⊕⊕</w:t>
      </w:r>
      <w:r w:rsidR="000E71CB" w:rsidRPr="00D8218A">
        <w:rPr>
          <w:rFonts w:ascii="Cambria Math" w:hAnsi="Cambria Math" w:cs="Cambria Math"/>
          <w:color w:val="FF0000"/>
          <w:sz w:val="20"/>
        </w:rPr>
        <w:t>⨀⨀</w:t>
      </w:r>
      <w:r w:rsidR="000E71CB" w:rsidRPr="00D8218A">
        <w:t>)</w:t>
      </w:r>
      <w:r w:rsidR="000E71CB">
        <w:t>,</w:t>
      </w:r>
      <w:r w:rsidRPr="00042923">
        <w:t xml:space="preserve"> </w:t>
      </w:r>
      <w:r w:rsidR="00EF0AD1">
        <w:t>MI</w:t>
      </w:r>
      <w:r w:rsidR="000E71CB">
        <w:t xml:space="preserve"> (GRADE </w:t>
      </w:r>
      <w:r w:rsidR="000E71CB" w:rsidRPr="00D8218A">
        <w:rPr>
          <w:rFonts w:ascii="Cambria Math" w:hAnsi="Cambria Math" w:cs="Cambria Math"/>
          <w:color w:val="00B050"/>
          <w:sz w:val="20"/>
        </w:rPr>
        <w:t>⊕⊕</w:t>
      </w:r>
      <w:r w:rsidR="000E71CB" w:rsidRPr="00D8218A">
        <w:rPr>
          <w:rFonts w:ascii="Cambria Math" w:hAnsi="Cambria Math" w:cs="Cambria Math"/>
          <w:color w:val="FF0000"/>
          <w:sz w:val="20"/>
        </w:rPr>
        <w:t>⨀⨀</w:t>
      </w:r>
      <w:r w:rsidR="000E71CB" w:rsidRPr="00D8218A">
        <w:t>)</w:t>
      </w:r>
      <w:r w:rsidRPr="00042923">
        <w:t xml:space="preserve"> and subsequent revascularisation </w:t>
      </w:r>
      <w:r w:rsidR="000E71CB">
        <w:t xml:space="preserve">(GRADE </w:t>
      </w:r>
      <w:r w:rsidR="000E71CB" w:rsidRPr="00D8218A">
        <w:rPr>
          <w:rFonts w:ascii="Cambria Math" w:hAnsi="Cambria Math" w:cs="Cambria Math"/>
          <w:color w:val="00B050"/>
          <w:sz w:val="20"/>
        </w:rPr>
        <w:t>⊕</w:t>
      </w:r>
      <w:r w:rsidR="000E71CB" w:rsidRPr="00D8218A">
        <w:rPr>
          <w:rFonts w:ascii="Cambria Math" w:hAnsi="Cambria Math" w:cs="Cambria Math"/>
          <w:color w:val="FF0000"/>
          <w:sz w:val="20"/>
        </w:rPr>
        <w:t>⨀⨀⨀</w:t>
      </w:r>
      <w:r w:rsidR="000E71CB" w:rsidRPr="00D8218A">
        <w:t>)</w:t>
      </w:r>
      <w:r w:rsidR="000E71CB">
        <w:t>,</w:t>
      </w:r>
      <w:r w:rsidR="000E71CB" w:rsidRPr="00042923">
        <w:t xml:space="preserve"> </w:t>
      </w:r>
      <w:r w:rsidRPr="00042923">
        <w:t>compared with medical treatment. Survival was also improved from drug</w:t>
      </w:r>
      <w:r w:rsidR="0073099E">
        <w:t>-</w:t>
      </w:r>
      <w:r w:rsidRPr="00042923">
        <w:t>eluting stents, but not from other PCI treatment</w:t>
      </w:r>
      <w:r w:rsidR="0073099E">
        <w:t>,</w:t>
      </w:r>
      <w:r w:rsidRPr="00042923">
        <w:t xml:space="preserve"> compared </w:t>
      </w:r>
      <w:r w:rsidR="0073099E">
        <w:t>with</w:t>
      </w:r>
      <w:r w:rsidR="0073099E" w:rsidRPr="00042923">
        <w:t xml:space="preserve"> </w:t>
      </w:r>
      <w:r w:rsidRPr="00042923">
        <w:t xml:space="preserve">medical treatment </w:t>
      </w:r>
      <w:r w:rsidR="00187A29">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rsidR="00187A29">
        <w:instrText xml:space="preserve"> ADDIN EN.CITE </w:instrText>
      </w:r>
      <w:r w:rsidR="00187A29">
        <w:fldChar w:fldCharType="begin">
          <w:fldData xml:space="preserve">PEVuZE5vdGU+PENpdGU+PEF1dGhvcj5XaW5kZWNrZXI8L0F1dGhvcj48WWVhcj4yMDE0PC9ZZWFy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</w:fldData>
        </w:fldChar>
      </w:r>
      <w:r w:rsidR="00187A29">
        <w:instrText xml:space="preserve"> ADDIN EN.CITE.DATA </w:instrText>
      </w:r>
      <w:r w:rsidR="00187A29">
        <w:fldChar w:fldCharType="end"/>
      </w:r>
      <w:r w:rsidR="00187A29">
        <w:fldChar w:fldCharType="separate"/>
      </w:r>
      <w:r w:rsidR="00187A29">
        <w:rPr>
          <w:noProof/>
        </w:rPr>
        <w:t>(</w:t>
      </w:r>
      <w:hyperlink w:anchor="_ENREF_136" w:tooltip="Windecker, 2014 #105" w:history="1">
        <w:r w:rsidR="00B906E9">
          <w:rPr>
            <w:noProof/>
          </w:rPr>
          <w:t>Windecker et al. 2014</w:t>
        </w:r>
      </w:hyperlink>
      <w:r w:rsidR="00187A29">
        <w:rPr>
          <w:noProof/>
        </w:rPr>
        <w:t>)</w:t>
      </w:r>
      <w:r w:rsidR="00187A29">
        <w:fldChar w:fldCharType="end"/>
      </w:r>
      <w:r w:rsidRPr="00042923">
        <w:t xml:space="preserve">. Therefore, a correct diagnosis of ICM is likely to result in treatment </w:t>
      </w:r>
      <w:r w:rsidR="0073099E">
        <w:t>that</w:t>
      </w:r>
      <w:r w:rsidR="0073099E" w:rsidRPr="00042923">
        <w:t xml:space="preserve"> </w:t>
      </w:r>
      <w:r w:rsidRPr="00042923">
        <w:t>benefits the patient, and patients falsely diagnosed as NIDCM would have a delay in appropriate treatment.</w:t>
      </w:r>
      <w:r>
        <w:t xml:space="preserve"> </w:t>
      </w:r>
    </w:p>
    <w:p w14:paraId="44CA08E6" w14:textId="77777777" w:rsidR="00A36FFB" w:rsidRDefault="00A36FFB" w:rsidP="00161B88">
      <w:pPr>
        <w:pStyle w:val="Heading4"/>
      </w:pPr>
      <w:r>
        <w:t>Treatment with ICDs in ischaemic and non-ischaemic DCM</w:t>
      </w:r>
    </w:p>
    <w:p w14:paraId="15C43A12" w14:textId="6C77B228" w:rsidR="00A36FFB" w:rsidRDefault="00A36FFB" w:rsidP="004C79C1">
      <w:pPr>
        <w:spacing w:after="120" w:line="240" w:lineRule="auto"/>
        <w:jc w:val="both"/>
      </w:pPr>
      <w:r>
        <w:t xml:space="preserve">It was hypothesised that if there were clear differences in the way that patients with NIDCM and ICM responded to particular therapies, support would be given to making a distinction between the two sub-types of DCM. One </w:t>
      </w:r>
      <w:r w:rsidR="00461507">
        <w:t>SR</w:t>
      </w:r>
      <w:r w:rsidR="0082564D">
        <w:t xml:space="preserve"> </w:t>
      </w:r>
      <w:r>
        <w:t xml:space="preserve">was identified </w:t>
      </w:r>
      <w:r w:rsidR="00F2097D">
        <w:t xml:space="preserve">that </w:t>
      </w:r>
      <w:r>
        <w:t>provided subgroup analyses when assessing the impact of ICDs plus OMT</w:t>
      </w:r>
      <w:r w:rsidR="00F2097D">
        <w:t>,</w:t>
      </w:r>
      <w:r>
        <w:t xml:space="preserve"> versus OMT alone </w:t>
      </w:r>
      <w:r w:rsidR="00187A29">
        <w:fldChar w:fldCharType="begin"/>
      </w:r>
      <w:r w:rsidR="00187A29">
        <w:instrText xml:space="preserve"> ADDIN EN.CITE &lt;EndNote&gt;&lt;Cite&gt;&lt;Author&gt;Theuns&lt;/Author&gt;&lt;Year&gt;2010&lt;/Year&gt;&lt;RecNum&gt;92&lt;/RecNum&gt;&lt;DisplayText&gt;(Theuns et al. 2010)&lt;/DisplayText&gt;&lt;record&gt;&lt;rec-number&gt;92&lt;/rec-number&gt;&lt;foreign-keys&gt;&lt;key app="EN" db-id="pfxxvref0t0a5de2vwnv2fwkz0p9v0r2fw0t" timestamp="1458518469"&gt;92&lt;/key&gt;&lt;/foreign-keys&gt;&lt;ref-type name="Journal Article"&gt;17&lt;/ref-type&gt;&lt;contributors&gt;&lt;authors&gt;&lt;author&gt;Theuns, D. A.&lt;/author&gt;&lt;author&gt;Smith, T.&lt;/author&gt;&lt;author&gt;Hunink, M. G.&lt;/author&gt;&lt;author&gt;Bardy, G. H.&lt;/author&gt;&lt;author&gt;Jordaens, L.&lt;/author&gt;&lt;/authors&gt;&lt;/contributors&gt;&lt;titles&gt;&lt;title&gt;Effectiveness of prophylactic implantation of cardioverter-defibrillators without cardiac resynchronization therapy in patients with ischaemic or non-ischaemic heart disease: a systematic review and meta-analysis&lt;/title&gt;&lt;secondary-title&gt;Europace&lt;/secondary-title&gt;&lt;/titles&gt;&lt;periodical&gt;&lt;full-title&gt;Europace&lt;/full-title&gt;&lt;/periodical&gt;&lt;pages&gt;1564-70&lt;/pages&gt;&lt;volume&gt;12&lt;/volume&gt;&lt;number&gt;11&lt;/number&gt;&lt;dates&gt;&lt;year&gt;2010&lt;/year&gt;&lt;pub-dates&gt;&lt;date&gt;2010-01-01&lt;/date&gt;&lt;/pub-dates&gt;&lt;/dates&gt;&lt;isbn&gt;1099-5129&lt;/isbn&gt;&lt;urls&gt;&lt;related-urls&gt;&lt;url&gt;http://www.ncbi.nlm.nih.gov/pmc/articles/PMC2963481/pdf/euq329.pdf&lt;/url&gt;&lt;/related-urls&gt;&lt;/urls&gt;&lt;custom1&gt;RAYYAN-INCLUSION: {&amp;quot;Skye&amp;quot;=&amp;gt;true}&lt;/custom1&gt;&lt;language&gt;eng&lt;/language&gt;&lt;/record&gt;&lt;/Cite&gt;&lt;/EndNote&gt;</w:instrText>
      </w:r>
      <w:r w:rsidR="00187A29">
        <w:fldChar w:fldCharType="separate"/>
      </w:r>
      <w:r w:rsidR="00187A29">
        <w:rPr>
          <w:noProof/>
        </w:rPr>
        <w:t>(</w:t>
      </w:r>
      <w:hyperlink w:anchor="_ENREF_128" w:tooltip="Theuns, 2010 #92" w:history="1">
        <w:r w:rsidR="00B906E9">
          <w:rPr>
            <w:noProof/>
          </w:rPr>
          <w:t>Theuns et al. 2010</w:t>
        </w:r>
      </w:hyperlink>
      <w:r w:rsidR="00187A29">
        <w:rPr>
          <w:noProof/>
        </w:rPr>
        <w:t>)</w:t>
      </w:r>
      <w:r w:rsidR="00187A29">
        <w:fldChar w:fldCharType="end"/>
      </w:r>
      <w:r>
        <w:t xml:space="preserve">. The meta-analysis provided in </w:t>
      </w:r>
      <w:r>
        <w:fldChar w:fldCharType="begin"/>
      </w:r>
      <w:r>
        <w:instrText xml:space="preserve"> REF _Ref445285303 \h  \* MERGEFORMAT </w:instrText>
      </w:r>
      <w:r>
        <w:fldChar w:fldCharType="separate"/>
      </w:r>
      <w:r w:rsidR="002B7EB6" w:rsidRPr="002B7EB6">
        <w:t xml:space="preserve">Figure </w:t>
      </w:r>
      <w:r w:rsidR="002B7EB6" w:rsidRPr="002B7EB6">
        <w:rPr>
          <w:noProof/>
        </w:rPr>
        <w:t>27</w:t>
      </w:r>
      <w:r>
        <w:fldChar w:fldCharType="end"/>
      </w:r>
      <w:r>
        <w:t xml:space="preserve"> includes the same trials as </w:t>
      </w:r>
      <w:r w:rsidR="00F2097D">
        <w:t xml:space="preserve">those </w:t>
      </w:r>
      <w:r>
        <w:t>by Theuns et al</w:t>
      </w:r>
      <w:r w:rsidR="00D912A5">
        <w:t>.</w:t>
      </w:r>
      <w:r>
        <w:t xml:space="preserve"> (2010), but extracted the data from the primary trials, due to identification of some errors in the data extraction by Theuns et al</w:t>
      </w:r>
      <w:r w:rsidR="00D912A5">
        <w:t>.</w:t>
      </w:r>
      <w:r>
        <w:t xml:space="preserve"> (2010). ICDs were found to be effective at reducing the rate of all-cause mortality </w:t>
      </w:r>
      <w:r w:rsidR="00F2097D">
        <w:t xml:space="preserve">in </w:t>
      </w:r>
      <w:r>
        <w:t xml:space="preserve">both patients with ICM </w:t>
      </w:r>
      <w:r>
        <w:lastRenderedPageBreak/>
        <w:t xml:space="preserve">and those with NIDCM, although there was a high degree of heterogeneity in the subgroup with ischaemia (see </w:t>
      </w:r>
      <w:r>
        <w:fldChar w:fldCharType="begin"/>
      </w:r>
      <w:r>
        <w:instrText xml:space="preserve"> REF _Ref445285303 \h  \* MERGEFORMAT </w:instrText>
      </w:r>
      <w:r>
        <w:fldChar w:fldCharType="separate"/>
      </w:r>
      <w:r w:rsidR="002B7EB6" w:rsidRPr="002B7EB6">
        <w:t xml:space="preserve">Figure </w:t>
      </w:r>
      <w:r w:rsidR="002B7EB6" w:rsidRPr="002B7EB6">
        <w:rPr>
          <w:noProof/>
        </w:rPr>
        <w:t>27</w:t>
      </w:r>
      <w:r>
        <w:fldChar w:fldCharType="end"/>
      </w:r>
      <w:r>
        <w:t xml:space="preserve">)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It is clear from the results below that the information regarding whether patients have ischaemia or not is insufficient to determine whether they should receive an ICD or not, as the results do not appear to differ compared </w:t>
      </w:r>
      <w:r w:rsidR="00F2097D">
        <w:t xml:space="preserve">with </w:t>
      </w:r>
      <w:r>
        <w:t>OMT</w:t>
      </w:r>
      <w:r w:rsidR="007F352A">
        <w:t xml:space="preserve"> alone</w:t>
      </w:r>
      <w:r>
        <w:t xml:space="preserve">. </w:t>
      </w:r>
    </w:p>
    <w:p w14:paraId="23F48834" w14:textId="77777777" w:rsidR="00A36FFB" w:rsidRDefault="00A36FFB" w:rsidP="004C79C1">
      <w:pPr>
        <w:keepNext/>
        <w:spacing w:after="120" w:line="240" w:lineRule="auto"/>
      </w:pPr>
      <w:r>
        <w:rPr>
          <w:noProof/>
          <w:sz w:val="16"/>
        </w:rPr>
        <w:drawing>
          <wp:inline distT="0" distB="0" distL="0" distR="0" wp14:anchorId="6209E4F2" wp14:editId="52C0A425">
            <wp:extent cx="5728562" cy="4219575"/>
            <wp:effectExtent l="0" t="0" r="5715" b="0"/>
            <wp:docPr id="1" name="Picture 1" descr="Effectiveness of ICD plus OMT versus OMT alone at reducing all-cause mortality in patients with ICM and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D for NICDCM and ICM.tif"/>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5746500" cy="4232788"/>
                    </a:xfrm>
                    <a:prstGeom prst="rect">
                      <a:avLst/>
                    </a:prstGeom>
                    <a:ln>
                      <a:noFill/>
                    </a:ln>
                    <a:extLst>
                      <a:ext uri="{53640926-AAD7-44D8-BBD7-CCE9431645EC}">
                        <a14:shadowObscured xmlns:a14="http://schemas.microsoft.com/office/drawing/2010/main"/>
                      </a:ext>
                    </a:extLst>
                  </pic:spPr>
                </pic:pic>
              </a:graphicData>
            </a:graphic>
          </wp:inline>
        </w:drawing>
      </w:r>
    </w:p>
    <w:p w14:paraId="7719E730" w14:textId="77777777" w:rsidR="00A36FFB" w:rsidRDefault="00A36FFB" w:rsidP="004C79C1">
      <w:pPr>
        <w:pStyle w:val="Caption"/>
      </w:pPr>
      <w:bookmarkStart w:id="437" w:name="_Ref445285303"/>
      <w:bookmarkStart w:id="438" w:name="_Toc324410182"/>
      <w:bookmarkStart w:id="439" w:name="_Toc451435473"/>
      <w:r w:rsidRPr="002B7EB6">
        <w:t xml:space="preserve">Figure </w:t>
      </w:r>
      <w:fldSimple w:instr=" SEQ Figure \* ARABIC ">
        <w:r w:rsidR="00050936" w:rsidRPr="002B7EB6">
          <w:rPr>
            <w:noProof/>
          </w:rPr>
          <w:t>27</w:t>
        </w:r>
      </w:fldSimple>
      <w:bookmarkEnd w:id="437"/>
      <w:r w:rsidRPr="002B7EB6">
        <w:tab/>
        <w:t>Effectiveness of ICD plus OMT versus OMT alone at reducing all-cause mortality in patients with ICM and NIDCM</w:t>
      </w:r>
      <w:bookmarkEnd w:id="438"/>
      <w:bookmarkEnd w:id="439"/>
    </w:p>
    <w:p w14:paraId="37C71466" w14:textId="17CC35C5" w:rsidR="00A36FFB" w:rsidRDefault="00A36FFB" w:rsidP="004C79C1">
      <w:pPr>
        <w:pStyle w:val="Tablenotes0"/>
        <w:spacing w:before="0" w:after="120"/>
      </w:pPr>
      <w:r>
        <w:t xml:space="preserve">AMIOVERT = Amiodarone vs Implantable Defibrillator in Patients with Nonischemic Cardiomyopathy &amp; Asymptomatic Non-sustained Ventricular Tachycardia; CAT = Cardiomyopathy Trial; </w:t>
      </w:r>
      <w:r w:rsidRPr="00567683">
        <w:t xml:space="preserve">CI = confidence interval; </w:t>
      </w:r>
      <w:r>
        <w:t xml:space="preserve">DEFINITE = </w:t>
      </w:r>
      <w:r w:rsidRPr="00567683">
        <w:t>The Defibrillators in Nonischemic Cardiomyopathy Treatment Evaluation</w:t>
      </w:r>
      <w:r w:rsidR="00F2097D">
        <w:t>;</w:t>
      </w:r>
      <w:r>
        <w:t xml:space="preserve"> ICD = implantable cardioverter defibrillator; ICM = ischaemic cardiomyopathy; N = number of patients enrolled; N</w:t>
      </w:r>
      <w:r w:rsidRPr="008723F6">
        <w:t>I</w:t>
      </w:r>
      <w:r>
        <w:t>D</w:t>
      </w:r>
      <w:r w:rsidRPr="008723F6">
        <w:t xml:space="preserve">CM = </w:t>
      </w:r>
      <w:r>
        <w:t>non-</w:t>
      </w:r>
      <w:r w:rsidRPr="008723F6">
        <w:t xml:space="preserve">ischaemic </w:t>
      </w:r>
      <w:r>
        <w:t xml:space="preserve">dilated </w:t>
      </w:r>
      <w:r w:rsidRPr="008723F6">
        <w:t>cardiomyopathy;</w:t>
      </w:r>
      <w:r>
        <w:t xml:space="preserve"> MADIT = Multicenter Automatic Defibrillator Implantation Trial; RR = relative risk; SCD-HeFT = Sudden Cardiac Death in Heart Failure Trial</w:t>
      </w:r>
    </w:p>
    <w:p w14:paraId="6B665F8C" w14:textId="77777777" w:rsidR="00A36FFB" w:rsidRPr="00F11F0D" w:rsidRDefault="00A36FFB" w:rsidP="00161B88">
      <w:pPr>
        <w:pStyle w:val="Heading4"/>
      </w:pPr>
      <w:r w:rsidRPr="00F11F0D">
        <w:t>Impact of targeting treatment of NIDCM based on LGE-CMR</w:t>
      </w:r>
    </w:p>
    <w:p w14:paraId="516C7D89" w14:textId="143B80CA" w:rsidR="00A36FFB" w:rsidRDefault="00A36FFB" w:rsidP="004C79C1">
      <w:pPr>
        <w:spacing w:after="120" w:line="240" w:lineRule="auto"/>
        <w:jc w:val="both"/>
        <w:rPr>
          <w:bCs/>
        </w:rPr>
      </w:pPr>
      <w:r w:rsidRPr="008135CE">
        <w:t xml:space="preserve">The decision regarding whether a patient should receive </w:t>
      </w:r>
      <w:r>
        <w:t>an ICD</w:t>
      </w:r>
      <w:r w:rsidRPr="008135CE">
        <w:t xml:space="preserve"> currently incorporates </w:t>
      </w:r>
      <w:r w:rsidR="00F2097D">
        <w:t>the</w:t>
      </w:r>
      <w:r w:rsidRPr="008135CE">
        <w:t xml:space="preserve"> patient</w:t>
      </w:r>
      <w:r w:rsidR="00F2097D">
        <w:t>’</w:t>
      </w:r>
      <w:r w:rsidRPr="008135CE">
        <w:t xml:space="preserve">s LVEF score. </w:t>
      </w:r>
      <w:r>
        <w:t xml:space="preserve">Decisions regarding </w:t>
      </w:r>
      <w:r w:rsidR="00F2097D">
        <w:t xml:space="preserve">the </w:t>
      </w:r>
      <w:r>
        <w:t xml:space="preserve">use of ICDs may be made on the basis of CMR-determined LVEF, as well as LGE or TWA abnormalities. </w:t>
      </w:r>
      <w:r w:rsidRPr="008135CE">
        <w:t xml:space="preserve">In the prognostic section (B4.2) it was reported that LVEF determined by LGE-CMR was a better predictor of health outcomes than LVEF determined by </w:t>
      </w:r>
      <w:r w:rsidR="00A21115">
        <w:t>echocardiography</w:t>
      </w:r>
      <w:r w:rsidRPr="008135CE">
        <w:t xml:space="preserve">. Furthermore, LGE status was a better predictor of health outcomes than LVEF, </w:t>
      </w:r>
      <w:r w:rsidRPr="008135CE">
        <w:rPr>
          <w:bCs/>
        </w:rPr>
        <w:t>with LGE+ patients being up to 4-times more likely to have a cardiac event and 3-times more likely to die from a cardiac event than those who are LGE</w:t>
      </w:r>
      <w:r w:rsidRPr="008135CE">
        <w:rPr>
          <w:rFonts w:ascii="Arial Narrow" w:hAnsi="Arial Narrow"/>
          <w:bCs/>
        </w:rPr>
        <w:t>–</w:t>
      </w:r>
      <w:r w:rsidRPr="008135CE">
        <w:rPr>
          <w:bCs/>
        </w:rPr>
        <w:t>.</w:t>
      </w:r>
      <w:r>
        <w:rPr>
          <w:bCs/>
        </w:rPr>
        <w:t xml:space="preserve"> </w:t>
      </w:r>
    </w:p>
    <w:p w14:paraId="343CF036" w14:textId="5008B656" w:rsidR="006A6BE5" w:rsidRDefault="006A6BE5" w:rsidP="004C79C1">
      <w:pPr>
        <w:spacing w:after="120" w:line="240" w:lineRule="auto"/>
        <w:jc w:val="both"/>
        <w:rPr>
          <w:rFonts w:cs="Times New Roman"/>
        </w:rPr>
      </w:pPr>
      <w:r>
        <w:t xml:space="preserve">Data from the </w:t>
      </w:r>
      <w:r w:rsidR="00736525">
        <w:t>p</w:t>
      </w:r>
      <w:r>
        <w:t xml:space="preserve">rognostic section </w:t>
      </w:r>
      <w:r w:rsidR="00736525">
        <w:t>(</w:t>
      </w:r>
      <w:r>
        <w:t>B4</w:t>
      </w:r>
      <w:r w:rsidR="00736525">
        <w:t>)</w:t>
      </w:r>
      <w:r>
        <w:t xml:space="preserve"> suggested that a perfusion</w:t>
      </w:r>
      <w:r w:rsidR="00736525">
        <w:t xml:space="preserve"> </w:t>
      </w:r>
      <w:r>
        <w:t>mismatch detected by SPECT, and myocardial scarring detected by LGE-CMR both predicted the likelihood of a cardiac event, and that the information from both combined is superior to one or the other. Perfusion</w:t>
      </w:r>
      <w:r w:rsidR="00736525">
        <w:t xml:space="preserve"> </w:t>
      </w:r>
      <w:r>
        <w:t xml:space="preserve">mismatch by SPECT was related to a higher chance of a cardiac event than myocardial scarring on LGE-CMR. Conversely, </w:t>
      </w:r>
      <w:r>
        <w:lastRenderedPageBreak/>
        <w:t xml:space="preserve">in a different study, LGE-CMR was found to identify non-responders to CRT more reliably than SPECT in patients with NIDCM. </w:t>
      </w:r>
    </w:p>
    <w:p w14:paraId="37187234" w14:textId="3A9D0724" w:rsidR="00A36FFB" w:rsidRDefault="00A36FFB" w:rsidP="004C79C1">
      <w:pPr>
        <w:spacing w:after="120" w:line="240" w:lineRule="auto"/>
        <w:jc w:val="both"/>
      </w:pPr>
      <w:r w:rsidRPr="008135CE">
        <w:t>The Australian study by Taylor</w:t>
      </w:r>
      <w:r w:rsidR="00176F05">
        <w:t>, AJ</w:t>
      </w:r>
      <w:r w:rsidRPr="008135CE">
        <w:t xml:space="preserve"> et al</w:t>
      </w:r>
      <w:r>
        <w:t>.</w:t>
      </w:r>
      <w:r w:rsidRPr="008135CE">
        <w:t xml:space="preserve"> (2013) showed that when patients had their LVEF re-examined by CMR, fewer patients</w:t>
      </w:r>
      <w:r w:rsidR="007B7BDC">
        <w:t xml:space="preserve">, </w:t>
      </w:r>
      <w:r w:rsidR="007B7BDC" w:rsidRPr="008135CE">
        <w:t>on average,</w:t>
      </w:r>
      <w:r w:rsidRPr="008135CE">
        <w:t xml:space="preserve"> were recommended for surgery, due to CMR showing a higher level of </w:t>
      </w:r>
      <w:r>
        <w:t xml:space="preserve">LV </w:t>
      </w:r>
      <w:r w:rsidRPr="008135CE">
        <w:t xml:space="preserve">functioning than </w:t>
      </w:r>
      <w:r w:rsidR="00A21115">
        <w:t>echocardiography</w:t>
      </w:r>
      <w:r w:rsidRPr="008135CE">
        <w:t>/SPECT. Taylor</w:t>
      </w:r>
      <w:r w:rsidR="00176F05">
        <w:t>, AJ</w:t>
      </w:r>
      <w:r>
        <w:t xml:space="preserve"> et al. examined patients’ health outcomes after 12</w:t>
      </w:r>
      <w:r w:rsidR="0048045B">
        <w:t> </w:t>
      </w:r>
      <w:r>
        <w:t xml:space="preserve">months in 143/150 of those who initially had a cardiac device or surgical plan (for CM, ARVC, ischaemia or tumour/mass), comparing those who had their treatment plan altered as a consequence of CMR </w:t>
      </w:r>
      <w:r w:rsidR="00F5056F">
        <w:t xml:space="preserve">with </w:t>
      </w:r>
      <w:r>
        <w:t xml:space="preserve">those who did not, and reported that the health outcomes were similar, with no significant differences in NYHA class, 12-month survival or incidence of major </w:t>
      </w:r>
      <w:r w:rsidR="0048045B">
        <w:t>AE</w:t>
      </w:r>
      <w:r>
        <w:t>s (</w:t>
      </w:r>
      <w:r w:rsidR="00380A9D">
        <w:t>i.e.</w:t>
      </w:r>
      <w:r w:rsidR="0048045B">
        <w:t xml:space="preserve"> </w:t>
      </w:r>
      <w:r>
        <w:t>death, hospital admission or deterioration in NYHA class)</w:t>
      </w:r>
      <w:r w:rsidR="000C0064">
        <w:t xml:space="preserve"> (Table 27)</w:t>
      </w:r>
      <w:r>
        <w:t xml:space="preserve">. For the purposes of evaluating the health outcomes after the changes in management, this study was considered to have a high risk of bias, as it is unknown to what degree the patients whose management plans varied differed from those whose management plans remained the same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w:t>
      </w:r>
    </w:p>
    <w:p w14:paraId="3FE2007E" w14:textId="2A32F09B" w:rsidR="00A36FFB" w:rsidRDefault="006F0C4E" w:rsidP="004C79C1">
      <w:pPr>
        <w:pStyle w:val="Caption"/>
      </w:pPr>
      <w:bookmarkStart w:id="440" w:name="_Toc324410183"/>
      <w:bookmarkStart w:id="441" w:name="_Toc451435354"/>
      <w:r>
        <w:t xml:space="preserve">Table </w:t>
      </w:r>
      <w:fldSimple w:instr=" SEQ Table \* ARABIC ">
        <w:r w:rsidR="00050936">
          <w:rPr>
            <w:noProof/>
          </w:rPr>
          <w:t>27</w:t>
        </w:r>
      </w:fldSimple>
      <w:r w:rsidR="00A36FFB">
        <w:tab/>
        <w:t>Health outcomes after changes in management</w:t>
      </w:r>
      <w:bookmarkEnd w:id="440"/>
      <w:bookmarkEnd w:id="441"/>
      <w:r w:rsidR="00A36FFB">
        <w:t xml:space="preserve"> </w:t>
      </w:r>
    </w:p>
    <w:tbl>
      <w:tblPr>
        <w:tblW w:w="5000" w:type="pct"/>
        <w:tblLook w:val="04A0" w:firstRow="1" w:lastRow="0" w:firstColumn="1" w:lastColumn="0" w:noHBand="0" w:noVBand="1"/>
      </w:tblPr>
      <w:tblGrid>
        <w:gridCol w:w="2467"/>
        <w:gridCol w:w="2615"/>
        <w:gridCol w:w="2628"/>
        <w:gridCol w:w="1532"/>
      </w:tblGrid>
      <w:tr w:rsidR="00A36FFB" w:rsidRPr="000A1599" w14:paraId="46A943E7" w14:textId="77777777" w:rsidTr="006F46F9">
        <w:tc>
          <w:tcPr>
            <w:tcW w:w="1334" w:type="pct"/>
            <w:tcBorders>
              <w:top w:val="single" w:sz="4" w:space="0" w:color="auto"/>
              <w:left w:val="single" w:sz="4" w:space="0" w:color="auto"/>
              <w:bottom w:val="single" w:sz="4" w:space="0" w:color="auto"/>
              <w:right w:val="single" w:sz="4" w:space="0" w:color="auto"/>
            </w:tcBorders>
          </w:tcPr>
          <w:p w14:paraId="5C39C62D" w14:textId="77777777" w:rsidR="00A36FFB" w:rsidRPr="000A1599" w:rsidRDefault="00A36FFB" w:rsidP="004C79C1">
            <w:pPr>
              <w:pStyle w:val="TableHeading"/>
              <w:spacing w:before="0" w:after="120"/>
            </w:pPr>
            <w:r>
              <w:t>Outcome</w:t>
            </w:r>
          </w:p>
        </w:tc>
        <w:tc>
          <w:tcPr>
            <w:tcW w:w="1415" w:type="pct"/>
            <w:tcBorders>
              <w:top w:val="single" w:sz="4" w:space="0" w:color="auto"/>
              <w:left w:val="single" w:sz="4" w:space="0" w:color="auto"/>
              <w:bottom w:val="single" w:sz="4" w:space="0" w:color="auto"/>
              <w:right w:val="single" w:sz="4" w:space="0" w:color="auto"/>
            </w:tcBorders>
          </w:tcPr>
          <w:p w14:paraId="2F749579" w14:textId="77777777" w:rsidR="00A36FFB" w:rsidRPr="000A1599" w:rsidRDefault="00A36FFB" w:rsidP="004C79C1">
            <w:pPr>
              <w:pStyle w:val="TableHeading"/>
              <w:spacing w:before="0" w:after="120"/>
              <w:ind w:left="34" w:firstLine="0"/>
            </w:pPr>
            <w:r>
              <w:t>Device or surgical plan averted due to CMR (n=56)</w:t>
            </w:r>
          </w:p>
        </w:tc>
        <w:tc>
          <w:tcPr>
            <w:tcW w:w="1422" w:type="pct"/>
            <w:tcBorders>
              <w:top w:val="single" w:sz="4" w:space="0" w:color="auto"/>
              <w:left w:val="single" w:sz="4" w:space="0" w:color="auto"/>
              <w:bottom w:val="single" w:sz="4" w:space="0" w:color="auto"/>
              <w:right w:val="single" w:sz="4" w:space="0" w:color="auto"/>
            </w:tcBorders>
          </w:tcPr>
          <w:p w14:paraId="269716BB" w14:textId="77777777" w:rsidR="00A36FFB" w:rsidRPr="000A1599" w:rsidRDefault="00A36FFB" w:rsidP="004C79C1">
            <w:pPr>
              <w:pStyle w:val="TableHeading"/>
              <w:spacing w:before="0" w:after="120"/>
              <w:ind w:left="34" w:firstLine="0"/>
            </w:pPr>
            <w:r>
              <w:t>Underwent planned device or surgical procedure (n=87)</w:t>
            </w:r>
          </w:p>
        </w:tc>
        <w:tc>
          <w:tcPr>
            <w:tcW w:w="829" w:type="pct"/>
            <w:tcBorders>
              <w:top w:val="single" w:sz="4" w:space="0" w:color="auto"/>
              <w:left w:val="single" w:sz="4" w:space="0" w:color="auto"/>
              <w:bottom w:val="single" w:sz="4" w:space="0" w:color="auto"/>
              <w:right w:val="single" w:sz="4" w:space="0" w:color="auto"/>
            </w:tcBorders>
          </w:tcPr>
          <w:p w14:paraId="0D4FBA43" w14:textId="77777777" w:rsidR="00A36FFB" w:rsidRPr="000A1599" w:rsidRDefault="00A36FFB" w:rsidP="004C79C1">
            <w:pPr>
              <w:pStyle w:val="TableHeading"/>
              <w:spacing w:before="0" w:after="120"/>
            </w:pPr>
            <w:r>
              <w:t>Difference</w:t>
            </w:r>
          </w:p>
        </w:tc>
      </w:tr>
      <w:tr w:rsidR="00A36FFB" w:rsidRPr="004A196F" w14:paraId="7845A73D" w14:textId="77777777" w:rsidTr="006F46F9">
        <w:trPr>
          <w:trHeight w:val="224"/>
        </w:trPr>
        <w:tc>
          <w:tcPr>
            <w:tcW w:w="1334" w:type="pct"/>
            <w:tcBorders>
              <w:top w:val="single" w:sz="4" w:space="0" w:color="auto"/>
              <w:left w:val="single" w:sz="4" w:space="0" w:color="auto"/>
              <w:bottom w:val="single" w:sz="4" w:space="0" w:color="auto"/>
              <w:right w:val="single" w:sz="4" w:space="0" w:color="auto"/>
            </w:tcBorders>
          </w:tcPr>
          <w:p w14:paraId="669ECB29" w14:textId="77777777" w:rsidR="00A36FFB" w:rsidRDefault="00A36FFB" w:rsidP="004C79C1">
            <w:pPr>
              <w:pStyle w:val="Tabletext1"/>
              <w:spacing w:before="0" w:after="120"/>
            </w:pPr>
            <w:r>
              <w:t>NYHA class</w:t>
            </w:r>
          </w:p>
        </w:tc>
        <w:tc>
          <w:tcPr>
            <w:tcW w:w="1415" w:type="pct"/>
            <w:tcBorders>
              <w:top w:val="single" w:sz="4" w:space="0" w:color="auto"/>
              <w:left w:val="single" w:sz="4" w:space="0" w:color="auto"/>
              <w:bottom w:val="single" w:sz="4" w:space="0" w:color="auto"/>
              <w:right w:val="single" w:sz="4" w:space="0" w:color="auto"/>
            </w:tcBorders>
          </w:tcPr>
          <w:p w14:paraId="74E4C05A" w14:textId="1F17DA32" w:rsidR="00A36FFB" w:rsidRPr="004A196F" w:rsidRDefault="00A36FFB" w:rsidP="004C79C1">
            <w:pPr>
              <w:pStyle w:val="Tabletext1"/>
              <w:spacing w:before="0" w:after="120"/>
            </w:pPr>
            <w:r>
              <w:t>Median = 1 (IQR = 1–2)</w:t>
            </w:r>
          </w:p>
        </w:tc>
        <w:tc>
          <w:tcPr>
            <w:tcW w:w="1422" w:type="pct"/>
            <w:tcBorders>
              <w:top w:val="single" w:sz="4" w:space="0" w:color="auto"/>
              <w:left w:val="single" w:sz="4" w:space="0" w:color="auto"/>
              <w:bottom w:val="single" w:sz="4" w:space="0" w:color="auto"/>
              <w:right w:val="single" w:sz="4" w:space="0" w:color="auto"/>
            </w:tcBorders>
          </w:tcPr>
          <w:p w14:paraId="06B44272" w14:textId="7120FADC" w:rsidR="00A36FFB" w:rsidRPr="004A196F" w:rsidRDefault="00A36FFB" w:rsidP="004C79C1">
            <w:pPr>
              <w:pStyle w:val="Tabletext1"/>
              <w:spacing w:before="0" w:after="120"/>
            </w:pPr>
            <w:r>
              <w:t xml:space="preserve">Median = 1 (IQR </w:t>
            </w:r>
            <w:r w:rsidR="00B80171">
              <w:t>=</w:t>
            </w:r>
            <w:r>
              <w:t xml:space="preserve"> 1–2)</w:t>
            </w:r>
          </w:p>
        </w:tc>
        <w:tc>
          <w:tcPr>
            <w:tcW w:w="829" w:type="pct"/>
            <w:tcBorders>
              <w:top w:val="single" w:sz="4" w:space="0" w:color="auto"/>
              <w:left w:val="single" w:sz="4" w:space="0" w:color="auto"/>
              <w:bottom w:val="single" w:sz="4" w:space="0" w:color="auto"/>
              <w:right w:val="single" w:sz="4" w:space="0" w:color="auto"/>
            </w:tcBorders>
          </w:tcPr>
          <w:p w14:paraId="4C65CBBB" w14:textId="7EA0A43A" w:rsidR="00A36FFB" w:rsidRPr="004A196F" w:rsidRDefault="00A36FFB" w:rsidP="004C79C1">
            <w:pPr>
              <w:pStyle w:val="Tabletext1"/>
              <w:spacing w:before="0" w:after="120"/>
            </w:pPr>
            <w:r>
              <w:t>p=0.88</w:t>
            </w:r>
          </w:p>
        </w:tc>
      </w:tr>
      <w:tr w:rsidR="00A36FFB" w:rsidRPr="004A196F" w14:paraId="7F6D32F0" w14:textId="77777777" w:rsidTr="006F46F9">
        <w:trPr>
          <w:trHeight w:val="224"/>
        </w:trPr>
        <w:tc>
          <w:tcPr>
            <w:tcW w:w="1334" w:type="pct"/>
            <w:tcBorders>
              <w:top w:val="single" w:sz="4" w:space="0" w:color="auto"/>
              <w:left w:val="single" w:sz="4" w:space="0" w:color="auto"/>
              <w:bottom w:val="single" w:sz="4" w:space="0" w:color="auto"/>
              <w:right w:val="single" w:sz="4" w:space="0" w:color="auto"/>
            </w:tcBorders>
          </w:tcPr>
          <w:p w14:paraId="232DB4FD" w14:textId="77777777" w:rsidR="00A36FFB" w:rsidRDefault="00A36FFB" w:rsidP="004C79C1">
            <w:pPr>
              <w:pStyle w:val="Tabletext1"/>
              <w:spacing w:before="0" w:after="120"/>
            </w:pPr>
            <w:r>
              <w:t>12-month survival</w:t>
            </w:r>
          </w:p>
        </w:tc>
        <w:tc>
          <w:tcPr>
            <w:tcW w:w="1415" w:type="pct"/>
            <w:tcBorders>
              <w:top w:val="single" w:sz="4" w:space="0" w:color="auto"/>
              <w:left w:val="single" w:sz="4" w:space="0" w:color="auto"/>
              <w:bottom w:val="single" w:sz="4" w:space="0" w:color="auto"/>
              <w:right w:val="single" w:sz="4" w:space="0" w:color="auto"/>
            </w:tcBorders>
          </w:tcPr>
          <w:p w14:paraId="2B85220E" w14:textId="77777777" w:rsidR="00A36FFB" w:rsidRDefault="00A36FFB" w:rsidP="004C79C1">
            <w:pPr>
              <w:pStyle w:val="Tabletext1"/>
              <w:spacing w:before="0" w:after="120"/>
            </w:pPr>
            <w:r>
              <w:t>94%</w:t>
            </w:r>
          </w:p>
        </w:tc>
        <w:tc>
          <w:tcPr>
            <w:tcW w:w="1422" w:type="pct"/>
            <w:tcBorders>
              <w:top w:val="single" w:sz="4" w:space="0" w:color="auto"/>
              <w:left w:val="single" w:sz="4" w:space="0" w:color="auto"/>
              <w:bottom w:val="single" w:sz="4" w:space="0" w:color="auto"/>
              <w:right w:val="single" w:sz="4" w:space="0" w:color="auto"/>
            </w:tcBorders>
          </w:tcPr>
          <w:p w14:paraId="2D784C41" w14:textId="77777777" w:rsidR="00A36FFB" w:rsidRDefault="00A36FFB" w:rsidP="004C79C1">
            <w:pPr>
              <w:pStyle w:val="Tabletext1"/>
              <w:spacing w:before="0" w:after="120"/>
            </w:pPr>
            <w:r>
              <w:t>98%</w:t>
            </w:r>
          </w:p>
        </w:tc>
        <w:tc>
          <w:tcPr>
            <w:tcW w:w="829" w:type="pct"/>
            <w:tcBorders>
              <w:top w:val="single" w:sz="4" w:space="0" w:color="auto"/>
              <w:left w:val="single" w:sz="4" w:space="0" w:color="auto"/>
              <w:bottom w:val="single" w:sz="4" w:space="0" w:color="auto"/>
              <w:right w:val="single" w:sz="4" w:space="0" w:color="auto"/>
            </w:tcBorders>
          </w:tcPr>
          <w:p w14:paraId="7B1212EE" w14:textId="542F7264" w:rsidR="00A36FFB" w:rsidRPr="0079714E" w:rsidRDefault="00A36FFB" w:rsidP="004C79C1">
            <w:pPr>
              <w:pStyle w:val="Tabletext1"/>
              <w:spacing w:before="0" w:after="120"/>
            </w:pPr>
            <w:r>
              <w:t>p=0.57 (</w:t>
            </w:r>
            <w:r w:rsidR="00EF52D5">
              <w:t>I</w:t>
            </w:r>
            <w:r>
              <w:rPr>
                <w:vertAlign w:val="superscript"/>
              </w:rPr>
              <w:t>2</w:t>
            </w:r>
            <w:r>
              <w:t>)</w:t>
            </w:r>
          </w:p>
        </w:tc>
      </w:tr>
      <w:tr w:rsidR="00A36FFB" w:rsidRPr="004A196F" w14:paraId="7FCADBBD" w14:textId="77777777" w:rsidTr="006F46F9">
        <w:trPr>
          <w:trHeight w:val="224"/>
        </w:trPr>
        <w:tc>
          <w:tcPr>
            <w:tcW w:w="1334" w:type="pct"/>
            <w:tcBorders>
              <w:top w:val="single" w:sz="4" w:space="0" w:color="auto"/>
              <w:left w:val="single" w:sz="4" w:space="0" w:color="auto"/>
              <w:bottom w:val="single" w:sz="4" w:space="0" w:color="auto"/>
              <w:right w:val="single" w:sz="4" w:space="0" w:color="auto"/>
            </w:tcBorders>
          </w:tcPr>
          <w:p w14:paraId="1B481268" w14:textId="3B444B7B" w:rsidR="00A36FFB" w:rsidRDefault="00A36FFB" w:rsidP="004C79C1">
            <w:pPr>
              <w:pStyle w:val="Tabletext1"/>
              <w:spacing w:before="0" w:after="120"/>
            </w:pPr>
            <w:r>
              <w:t xml:space="preserve">Incidence of major </w:t>
            </w:r>
            <w:r w:rsidR="00B80171">
              <w:t>AE</w:t>
            </w:r>
            <w:r>
              <w:t>s (</w:t>
            </w:r>
            <w:r w:rsidR="00B80171">
              <w:t xml:space="preserve">i.e. </w:t>
            </w:r>
            <w:r>
              <w:t>death, hospital admission or deterioration in NYHA class)</w:t>
            </w:r>
          </w:p>
        </w:tc>
        <w:tc>
          <w:tcPr>
            <w:tcW w:w="1415" w:type="pct"/>
            <w:tcBorders>
              <w:top w:val="single" w:sz="4" w:space="0" w:color="auto"/>
              <w:left w:val="single" w:sz="4" w:space="0" w:color="auto"/>
              <w:bottom w:val="single" w:sz="4" w:space="0" w:color="auto"/>
              <w:right w:val="single" w:sz="4" w:space="0" w:color="auto"/>
            </w:tcBorders>
          </w:tcPr>
          <w:p w14:paraId="36F6E4F1" w14:textId="77777777" w:rsidR="00A36FFB" w:rsidRDefault="00A36FFB" w:rsidP="004C79C1">
            <w:pPr>
              <w:pStyle w:val="Tabletext1"/>
              <w:spacing w:before="0" w:after="120"/>
            </w:pPr>
            <w:r>
              <w:t>35%</w:t>
            </w:r>
          </w:p>
        </w:tc>
        <w:tc>
          <w:tcPr>
            <w:tcW w:w="1422" w:type="pct"/>
            <w:tcBorders>
              <w:top w:val="single" w:sz="4" w:space="0" w:color="auto"/>
              <w:left w:val="single" w:sz="4" w:space="0" w:color="auto"/>
              <w:bottom w:val="single" w:sz="4" w:space="0" w:color="auto"/>
              <w:right w:val="single" w:sz="4" w:space="0" w:color="auto"/>
            </w:tcBorders>
          </w:tcPr>
          <w:p w14:paraId="38B9BE21" w14:textId="77777777" w:rsidR="00A36FFB" w:rsidRDefault="00A36FFB" w:rsidP="004C79C1">
            <w:pPr>
              <w:pStyle w:val="Tabletext1"/>
              <w:spacing w:before="0" w:after="120"/>
            </w:pPr>
            <w:r>
              <w:t>33%</w:t>
            </w:r>
          </w:p>
        </w:tc>
        <w:tc>
          <w:tcPr>
            <w:tcW w:w="829" w:type="pct"/>
            <w:tcBorders>
              <w:top w:val="single" w:sz="4" w:space="0" w:color="auto"/>
              <w:left w:val="single" w:sz="4" w:space="0" w:color="auto"/>
              <w:bottom w:val="single" w:sz="4" w:space="0" w:color="auto"/>
              <w:right w:val="single" w:sz="4" w:space="0" w:color="auto"/>
            </w:tcBorders>
          </w:tcPr>
          <w:p w14:paraId="48BFC3E4" w14:textId="2A18630F" w:rsidR="00A36FFB" w:rsidRDefault="00A36FFB" w:rsidP="004C79C1">
            <w:pPr>
              <w:pStyle w:val="Tabletext1"/>
              <w:spacing w:before="0" w:after="120"/>
            </w:pPr>
            <w:r>
              <w:t>p=0.89 (</w:t>
            </w:r>
            <w:r w:rsidR="00EF52D5">
              <w:t>I</w:t>
            </w:r>
            <w:r>
              <w:rPr>
                <w:vertAlign w:val="superscript"/>
              </w:rPr>
              <w:t>2</w:t>
            </w:r>
            <w:r>
              <w:t>)</w:t>
            </w:r>
          </w:p>
        </w:tc>
      </w:tr>
    </w:tbl>
    <w:p w14:paraId="313D19FF" w14:textId="1B7829FF" w:rsidR="00A337EE" w:rsidRDefault="00A337EE" w:rsidP="004C79C1">
      <w:pPr>
        <w:pStyle w:val="Tablenotes0"/>
        <w:spacing w:before="0" w:after="120"/>
      </w:pPr>
      <w:r>
        <w:t>Source: Taylor, AJ et al. (2013)</w:t>
      </w:r>
    </w:p>
    <w:p w14:paraId="245CE0AA" w14:textId="101B0DF4" w:rsidR="00A36FFB" w:rsidRDefault="00B80171" w:rsidP="004C79C1">
      <w:pPr>
        <w:pStyle w:val="Tablenotes0"/>
        <w:spacing w:before="0" w:after="120"/>
      </w:pPr>
      <w:r w:rsidRPr="00B80171">
        <w:t xml:space="preserve">CMR = cardiac magnetic resonance </w:t>
      </w:r>
      <w:r w:rsidR="00372D4E">
        <w:t>(</w:t>
      </w:r>
      <w:r w:rsidR="00372D4E" w:rsidRPr="00FA186D">
        <w:t>imaging</w:t>
      </w:r>
      <w:r w:rsidR="00372D4E">
        <w:t>)</w:t>
      </w:r>
      <w:r w:rsidRPr="00B80171">
        <w:t xml:space="preserve">; </w:t>
      </w:r>
      <w:r w:rsidR="00A36FFB" w:rsidRPr="00B80171">
        <w:t>NYHA = New York Heart Association; IQR = interquartile range</w:t>
      </w:r>
    </w:p>
    <w:p w14:paraId="1A23AF1B" w14:textId="2CD9F2F1" w:rsidR="00A36FFB" w:rsidRDefault="00A36FFB" w:rsidP="004C79C1">
      <w:pPr>
        <w:spacing w:after="120" w:line="240" w:lineRule="auto"/>
        <w:jc w:val="both"/>
      </w:pPr>
      <w:r>
        <w:t>One prognostic study reported that the regional scar burden as determined by LGE-CMR was also a significant predictor of whether patients would respond to CRT or not, whereas scar burdens were similarly high in both responders and non-responders as assessed by SPECT. Another study found that both myocardial scarring detect</w:t>
      </w:r>
      <w:r w:rsidR="00654567">
        <w:t>ed</w:t>
      </w:r>
      <w:r>
        <w:t xml:space="preserve"> on LGE-CMR and SPECT perfusion</w:t>
      </w:r>
      <w:r w:rsidR="00654567">
        <w:t xml:space="preserve"> </w:t>
      </w:r>
      <w:r>
        <w:t xml:space="preserve">mismatch were non-significant predictors of the likelihood of having an adverse cardiac event, but that they provided different and possibly complementary information, with the two </w:t>
      </w:r>
      <w:r w:rsidR="00654567">
        <w:t>results</w:t>
      </w:r>
      <w:r>
        <w:t xml:space="preserve"> combined being a better predictor than one imaging modality by itself. </w:t>
      </w:r>
    </w:p>
    <w:p w14:paraId="66014E03" w14:textId="6A5BED66" w:rsidR="00A36FFB" w:rsidRDefault="00A36FFB" w:rsidP="004C79C1">
      <w:pPr>
        <w:spacing w:after="120" w:line="240" w:lineRule="auto"/>
        <w:jc w:val="both"/>
      </w:pPr>
      <w:r>
        <w:t xml:space="preserve">Although this information suggests that patients are </w:t>
      </w:r>
      <w:r w:rsidRPr="00BD215B">
        <w:rPr>
          <w:i/>
        </w:rPr>
        <w:t>likely</w:t>
      </w:r>
      <w:r>
        <w:t xml:space="preserve"> to fare better when their treatment is determined with the addition of LGE-CMR information, there have not been any trials comparing health outcomes between groups treated according to data with or without CMR results. Had this existed, </w:t>
      </w:r>
      <w:r w:rsidR="00654567">
        <w:t xml:space="preserve">it </w:t>
      </w:r>
      <w:r>
        <w:t xml:space="preserve">would have been presented as direct evidence of effectiveness in </w:t>
      </w:r>
      <w:r w:rsidR="005C5167">
        <w:t>s</w:t>
      </w:r>
      <w:r>
        <w:t xml:space="preserve">ection B1. </w:t>
      </w:r>
    </w:p>
    <w:p w14:paraId="5B1AB390" w14:textId="31B4C530" w:rsidR="00A36FFB" w:rsidRDefault="00A36FFB" w:rsidP="004C79C1">
      <w:pPr>
        <w:spacing w:after="120" w:line="240" w:lineRule="auto"/>
        <w:jc w:val="both"/>
      </w:pPr>
      <w:r>
        <w:t xml:space="preserve">In the absence of direct evidence, Merlin et al. </w:t>
      </w:r>
      <w:r w:rsidR="00187A29">
        <w:fldChar w:fldCharType="begin"/>
      </w:r>
      <w:r w:rsidR="00187A29">
        <w:instrText xml:space="preserve"> ADDIN EN.CITE &lt;EndNote&gt;&lt;Cite ExcludeAuth="1"&gt;&lt;Author&gt;Merlin&lt;/Author&gt;&lt;Year&gt;2013&lt;/Year&gt;&lt;RecNum&gt;85&lt;/RecNum&gt;&lt;DisplayText&gt;(2013)&lt;/DisplayText&gt;&lt;record&gt;&lt;rec-number&gt;85&lt;/rec-number&gt;&lt;foreign-keys&gt;&lt;key app="EN" db-id="pfxxvref0t0a5de2vwnv2fwkz0p9v0r2fw0t" timestamp="1458518125"&gt;85&lt;/key&gt;&lt;key app="ENWeb" db-id=""&gt;0&lt;/key&gt;&lt;/foreign-keys&gt;&lt;ref-type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 Adelaide, South Australia, Australia.&lt;/auth-address&gt;&lt;titles&gt;&lt;title&gt;The &amp;quot;linked evidence approach&amp;quot; to assess medical tests: a critical analysis&lt;/title&gt;&lt;secondary-title&gt;Int J Technol Assess Health Care&lt;/secondary-title&gt;&lt;/titles&gt;&lt;periodical&gt;&lt;full-title&gt;Int J Technol Assess Health Care&lt;/full-title&gt;&lt;/periodical&gt;&lt;pages&gt;343-50&lt;/pages&gt;&lt;volume&gt;29&lt;/volume&gt;&lt;number&gt;3&lt;/number&gt;&lt;keywords&gt;&lt;keyword&gt;Advisory Committees&lt;/keyword&gt;&lt;keyword&gt;Australia&lt;/keyword&gt;&lt;keyword&gt;*Diagnostic Techniques and Procedures&lt;/keyword&gt;&lt;keyword&gt;Eligibility Determination/*methods&lt;/keyword&gt;&lt;keyword&gt;*Evidence-Based Medicine&lt;/keyword&gt;&lt;keyword&gt;Gatekeeping&lt;/keyword&gt;&lt;keyword&gt;*Health Services Accessibility&lt;/keyword&gt;&lt;keyword&gt;Humans&lt;/keyword&gt;&lt;keyword&gt;Reimbursement Mechanisms&lt;/keyword&gt;&lt;keyword&gt;Technology Assessment, Biomedical&lt;/keyword&gt;&lt;/keywords&gt;&lt;dates&gt;&lt;year&gt;2013&lt;/year&gt;&lt;pub-dates&gt;&lt;date&gt;Jul&lt;/date&gt;&lt;/pub-dates&gt;&lt;/dates&gt;&lt;isbn&gt;1471-6348 (Electronic)&amp;#xD;0266-4623 (Linking)&lt;/isbn&gt;&lt;accession-num&gt;23769128&lt;/accession-num&gt;&lt;urls&gt;&lt;related-urls&gt;&lt;url&gt;http://www.ncbi.nlm.nih.gov/pubmed/23769128&lt;/url&gt;&lt;/related-urls&gt;&lt;/urls&gt;&lt;electronic-resource-num&gt;10.1017/S0266462313000287&lt;/electronic-resource-num&gt;&lt;/record&gt;&lt;/Cite&gt;&lt;/EndNote&gt;</w:instrText>
      </w:r>
      <w:r w:rsidR="00187A29">
        <w:fldChar w:fldCharType="separate"/>
      </w:r>
      <w:r w:rsidR="00187A29">
        <w:rPr>
          <w:noProof/>
        </w:rPr>
        <w:t>(</w:t>
      </w:r>
      <w:hyperlink w:anchor="_ENREF_81" w:tooltip="Merlin, 2013 #85" w:history="1">
        <w:r w:rsidR="00B906E9">
          <w:rPr>
            <w:noProof/>
          </w:rPr>
          <w:t>2013</w:t>
        </w:r>
      </w:hyperlink>
      <w:r w:rsidR="00187A29">
        <w:rPr>
          <w:noProof/>
        </w:rPr>
        <w:t>)</w:t>
      </w:r>
      <w:r w:rsidR="00187A29">
        <w:fldChar w:fldCharType="end"/>
      </w:r>
      <w:r>
        <w:t xml:space="preserve"> suggest that the benefit of </w:t>
      </w:r>
      <w:r w:rsidR="00654567">
        <w:t xml:space="preserve">a </w:t>
      </w:r>
      <w:r>
        <w:t>more</w:t>
      </w:r>
      <w:r w:rsidR="00654567">
        <w:t>-</w:t>
      </w:r>
      <w:r>
        <w:t>accurate diagnosis depends on the patient</w:t>
      </w:r>
      <w:r w:rsidR="00654567">
        <w:t>’s</w:t>
      </w:r>
      <w:r>
        <w:t xml:space="preserve"> prognosis without the treatment, as well as the comparative effectiveness and risk of the treatment in these particular patients. Treatment effectiveness is assessed below. Regardless of CMR findings, all patients are assumed to be treated with OMT for HF symptoms, with the findings of further testing influencing the rate of treatment with ICDs and CRT, or treatment for specific aetiology. </w:t>
      </w:r>
    </w:p>
    <w:p w14:paraId="2A67796D" w14:textId="77777777" w:rsidR="00A36FFB" w:rsidRDefault="00A36FFB" w:rsidP="00161B88">
      <w:pPr>
        <w:pStyle w:val="Heading4"/>
      </w:pPr>
      <w:r>
        <w:t>Impact of treatment for NIDCM</w:t>
      </w:r>
    </w:p>
    <w:p w14:paraId="5EAA0377" w14:textId="3A7F9F83" w:rsidR="00A36FFB" w:rsidRDefault="00A36FFB" w:rsidP="004C79C1">
      <w:pPr>
        <w:spacing w:after="120" w:line="240" w:lineRule="auto"/>
        <w:jc w:val="both"/>
      </w:pPr>
      <w:r>
        <w:t xml:space="preserve">Two HTAs compared the effectiveness of ICDs with OMT in patients with NIDCM or HF with a non-ischaemic subgroup </w:t>
      </w:r>
      <w:r w:rsidR="00187A29">
        <w:fldChar w:fldCharType="begin">
          <w:fldData xml:space="preserve">PEVuZE5vdGU+PENpdGU+PEF1dGhvcj5Db2xxdWl0dDwvQXV0aG9yPjxZZWFyPjIwMTQ8L1llYXI+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</w:fldData>
        </w:fldChar>
      </w:r>
      <w:r w:rsidR="00187A29">
        <w:instrText xml:space="preserve"> ADDIN EN.CITE </w:instrText>
      </w:r>
      <w:r w:rsidR="00187A29">
        <w:fldChar w:fldCharType="begin">
          <w:fldData xml:space="preserve">PEVuZE5vdGU+PENpdGU+PEF1dGhvcj5Db2xxdWl0dDwvQXV0aG9yPjxZZWFyPjIwMTQ8L1llYXI+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</w:fldData>
        </w:fldChar>
      </w:r>
      <w:r w:rsidR="00187A29">
        <w:instrText xml:space="preserve"> ADDIN EN.CITE.DATA </w:instrText>
      </w:r>
      <w:r w:rsidR="00187A29">
        <w:fldChar w:fldCharType="end"/>
      </w:r>
      <w:r w:rsidR="00187A29">
        <w:fldChar w:fldCharType="separate"/>
      </w:r>
      <w:r w:rsidR="00187A29">
        <w:rPr>
          <w:noProof/>
        </w:rPr>
        <w:t>(</w:t>
      </w:r>
      <w:hyperlink w:anchor="_ENREF_26" w:tooltip="Colquitt, 2014 #86" w:history="1">
        <w:r w:rsidR="00B906E9">
          <w:rPr>
            <w:noProof/>
          </w:rPr>
          <w:t>Colquitt et al. 2014</w:t>
        </w:r>
      </w:hyperlink>
      <w:r w:rsidR="00187A29">
        <w:rPr>
          <w:noProof/>
        </w:rPr>
        <w:t xml:space="preserve">; </w:t>
      </w:r>
      <w:hyperlink w:anchor="_ENREF_129" w:tooltip="Uhlig, 2013 #87" w:history="1">
        <w:r w:rsidR="00B906E9">
          <w:rPr>
            <w:noProof/>
          </w:rPr>
          <w:t>Uhlig et al. 2013</w:t>
        </w:r>
      </w:hyperlink>
      <w:r w:rsidR="00187A29">
        <w:rPr>
          <w:noProof/>
        </w:rPr>
        <w:t>)</w:t>
      </w:r>
      <w:r w:rsidR="00187A29">
        <w:fldChar w:fldCharType="end"/>
      </w:r>
      <w:r>
        <w:t xml:space="preserve">. The </w:t>
      </w:r>
      <w:r w:rsidR="00654567">
        <w:t xml:space="preserve">2 </w:t>
      </w:r>
      <w:r>
        <w:t xml:space="preserve">HTAs included </w:t>
      </w:r>
      <w:r w:rsidR="00654567">
        <w:t xml:space="preserve">4 </w:t>
      </w:r>
      <w:r>
        <w:t xml:space="preserve">RCTs, which were combined using meta-analyses </w:t>
      </w:r>
      <w:r w:rsidR="00187A29">
        <w:fldChar w:fldCharType="begin">
          <w:fldData xml:space="preserve">PEVuZE5vdGU+PENpdGU+PEF1dGhvcj5Cw6Ruc2NoPC9BdXRob3I+PFllYXI+MjAwMjwvWWVhcj48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</w:fldData>
        </w:fldChar>
      </w:r>
      <w:r w:rsidR="00187A29">
        <w:instrText xml:space="preserve"> ADDIN EN.CITE </w:instrText>
      </w:r>
      <w:r w:rsidR="00187A29">
        <w:fldChar w:fldCharType="begin">
          <w:fldData xml:space="preserve">PEVuZE5vdGU+PENpdGU+PEF1dGhvcj5Cw6Ruc2NoPC9BdXRob3I+PFllYXI+MjAwMjwvWWVhcj48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</w:fldData>
        </w:fldChar>
      </w:r>
      <w:r w:rsidR="00187A29">
        <w:instrText xml:space="preserve"> ADDIN EN.CITE.DATA </w:instrText>
      </w:r>
      <w:r w:rsidR="00187A29">
        <w:fldChar w:fldCharType="end"/>
      </w:r>
      <w:r w:rsidR="00187A29">
        <w:fldChar w:fldCharType="separate"/>
      </w:r>
      <w:r w:rsidR="00187A29">
        <w:rPr>
          <w:noProof/>
        </w:rPr>
        <w:t>(</w:t>
      </w:r>
      <w:hyperlink w:anchor="_ENREF_9" w:tooltip="Bänsch, 2002 #88" w:history="1">
        <w:r w:rsidR="00B906E9">
          <w:rPr>
            <w:noProof/>
          </w:rPr>
          <w:t>Bänsch et al. 2002</w:t>
        </w:r>
      </w:hyperlink>
      <w:r w:rsidR="00187A29">
        <w:rPr>
          <w:noProof/>
        </w:rPr>
        <w:t xml:space="preserve">; </w:t>
      </w:r>
      <w:hyperlink w:anchor="_ENREF_10" w:tooltip="Bardy, 2005 #89" w:history="1">
        <w:r w:rsidR="00B906E9">
          <w:rPr>
            <w:noProof/>
          </w:rPr>
          <w:t>Bardy et al. 2005</w:t>
        </w:r>
      </w:hyperlink>
      <w:r w:rsidR="00187A29">
        <w:rPr>
          <w:noProof/>
        </w:rPr>
        <w:t xml:space="preserve">; </w:t>
      </w:r>
      <w:hyperlink w:anchor="_ENREF_34" w:tooltip="Ellenbogen, 2006 #90" w:history="1">
        <w:r w:rsidR="00B906E9">
          <w:rPr>
            <w:noProof/>
          </w:rPr>
          <w:t>Ellenbogen et al. 2006</w:t>
        </w:r>
      </w:hyperlink>
      <w:r w:rsidR="00187A29">
        <w:rPr>
          <w:noProof/>
        </w:rPr>
        <w:t xml:space="preserve">; </w:t>
      </w:r>
      <w:hyperlink w:anchor="_ENREF_124" w:tooltip="Strickberger, 2003 #91" w:history="1">
        <w:r w:rsidR="00B906E9">
          <w:rPr>
            <w:noProof/>
          </w:rPr>
          <w:t>Strickberger et al. 2003</w:t>
        </w:r>
      </w:hyperlink>
      <w:r w:rsidR="00187A29">
        <w:rPr>
          <w:noProof/>
        </w:rPr>
        <w:t>)</w:t>
      </w:r>
      <w:r w:rsidR="00187A29">
        <w:fldChar w:fldCharType="end"/>
      </w:r>
      <w:r>
        <w:t>. Meta-analyses for the individual health outcomes are detailed in Appendix</w:t>
      </w:r>
      <w:r w:rsidR="005F7B5A">
        <w:t xml:space="preserve"> </w:t>
      </w:r>
      <w:r w:rsidR="005F7B5A">
        <w:lastRenderedPageBreak/>
        <w:t>K</w:t>
      </w:r>
      <w:r>
        <w:t xml:space="preserve">. An overall summary of different outcomes is provided in </w:t>
      </w:r>
      <w:r>
        <w:fldChar w:fldCharType="begin"/>
      </w:r>
      <w:r>
        <w:instrText xml:space="preserve"> REF _Ref445198960 \h  \* MERGEFORMAT </w:instrText>
      </w:r>
      <w:r>
        <w:fldChar w:fldCharType="separate"/>
      </w:r>
      <w:r w:rsidR="00B85CFA">
        <w:t xml:space="preserve">Figure </w:t>
      </w:r>
      <w:r w:rsidR="00B85CFA">
        <w:rPr>
          <w:noProof/>
        </w:rPr>
        <w:t>26</w:t>
      </w:r>
      <w:r>
        <w:fldChar w:fldCharType="end"/>
      </w:r>
      <w:r>
        <w:t xml:space="preserve">. For the outcomes of all-cause mortality and </w:t>
      </w:r>
      <w:r w:rsidR="00FD5397">
        <w:t>SCD</w:t>
      </w:r>
      <w:r>
        <w:t xml:space="preserve">, the meta-analyses favour the use of ICDs (RR 0.78, 95%CI 0.61, 0.98; and RR 0.26, 95%CI 0.09, 0.77)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Other outcomes did not show statistically significant differences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Given the high clinical importance of all-cause mortality and </w:t>
      </w:r>
      <w:r w:rsidR="00FD5397">
        <w:t>SCD</w:t>
      </w:r>
      <w:r>
        <w:t xml:space="preserve">, it could be concluded that having a true positive diagnosis of NIDCM, and receiving treatment with an ICD, is likely to be better than the treatment received from an incorrect diagnosis. </w:t>
      </w:r>
    </w:p>
    <w:p w14:paraId="3B53E743" w14:textId="77777777" w:rsidR="00A36FFB" w:rsidRDefault="00A36FFB" w:rsidP="004C79C1">
      <w:pPr>
        <w:keepNext/>
        <w:spacing w:after="120" w:line="240" w:lineRule="auto"/>
      </w:pPr>
      <w:r>
        <w:rPr>
          <w:noProof/>
        </w:rPr>
        <w:drawing>
          <wp:inline distT="0" distB="0" distL="0" distR="0" wp14:anchorId="2A547014" wp14:editId="045C8A75">
            <wp:extent cx="5731510" cy="2934335"/>
            <wp:effectExtent l="0" t="0" r="2540" b="0"/>
            <wp:docPr id="15" name="Picture 15" descr="Mortality and SCD both statistically significant (data from 4 and 3 RCTs), but the effect of ICD was not statistically significant on rate of cardiac deaths, cardiac transplantation and rate of syncope&#10;" title="Summary figure showing different outcomes for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all ICD.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934335"/>
                    </a:xfrm>
                    <a:prstGeom prst="rect">
                      <a:avLst/>
                    </a:prstGeom>
                  </pic:spPr>
                </pic:pic>
              </a:graphicData>
            </a:graphic>
          </wp:inline>
        </w:drawing>
      </w:r>
    </w:p>
    <w:p w14:paraId="1CDBD8EC" w14:textId="77777777" w:rsidR="00A36FFB" w:rsidRDefault="00A36FFB" w:rsidP="004C79C1">
      <w:pPr>
        <w:pStyle w:val="Caption"/>
      </w:pPr>
      <w:bookmarkStart w:id="442" w:name="_Ref445198960"/>
      <w:bookmarkStart w:id="443" w:name="_Toc324410184"/>
      <w:bookmarkStart w:id="444" w:name="_Toc451435474"/>
      <w:r>
        <w:t xml:space="preserve">Figure </w:t>
      </w:r>
      <w:fldSimple w:instr=" SEQ Figure \* ARABIC ">
        <w:r w:rsidR="00050936">
          <w:rPr>
            <w:noProof/>
          </w:rPr>
          <w:t>28</w:t>
        </w:r>
      </w:fldSimple>
      <w:bookmarkEnd w:id="442"/>
      <w:r>
        <w:tab/>
        <w:t>Effectiveness of ICD in addition to OMT versus OMT alone</w:t>
      </w:r>
      <w:bookmarkEnd w:id="443"/>
      <w:bookmarkEnd w:id="444"/>
    </w:p>
    <w:p w14:paraId="391D9892" w14:textId="639467D2" w:rsidR="00A36FFB" w:rsidRDefault="00A36FFB" w:rsidP="004C79C1">
      <w:pPr>
        <w:pStyle w:val="Tablenotes0"/>
        <w:spacing w:before="0" w:after="120"/>
        <w:rPr>
          <w:bCs/>
        </w:rPr>
      </w:pPr>
      <w:r w:rsidRPr="00536A56">
        <w:t xml:space="preserve">CI = confidence interval; </w:t>
      </w:r>
      <w:r w:rsidR="00536A56" w:rsidRPr="00536A56">
        <w:t xml:space="preserve">ICD = implantable </w:t>
      </w:r>
      <w:r w:rsidR="0026063B">
        <w:t>cardioverter defibrillator</w:t>
      </w:r>
      <w:r w:rsidR="00536A56" w:rsidRPr="00536A56">
        <w:t xml:space="preserve">; </w:t>
      </w:r>
      <w:r w:rsidRPr="00536A56">
        <w:t xml:space="preserve">K = number of studies; </w:t>
      </w:r>
      <w:r w:rsidR="00536A56" w:rsidRPr="00536A56">
        <w:rPr>
          <w:bCs/>
        </w:rPr>
        <w:t>OMT = optimal medical treatment;</w:t>
      </w:r>
      <w:r w:rsidR="00536A56" w:rsidRPr="00536A56">
        <w:t xml:space="preserve"> </w:t>
      </w:r>
      <w:r w:rsidRPr="00536A56">
        <w:t xml:space="preserve">RR = relative risk; </w:t>
      </w:r>
      <w:r w:rsidRPr="00536A56">
        <w:rPr>
          <w:bCs/>
        </w:rPr>
        <w:t xml:space="preserve">SCD = sudden cardiac death </w:t>
      </w:r>
    </w:p>
    <w:p w14:paraId="09BE010A" w14:textId="77777777" w:rsidR="006F52B3" w:rsidRDefault="006F52B3" w:rsidP="004C79C1">
      <w:pPr>
        <w:pStyle w:val="Heading5"/>
        <w:spacing w:after="120" w:line="240" w:lineRule="auto"/>
      </w:pPr>
    </w:p>
    <w:p w14:paraId="37FEF1DC" w14:textId="77777777" w:rsidR="00A36FFB" w:rsidRDefault="00A36FFB" w:rsidP="004C79C1">
      <w:pPr>
        <w:pStyle w:val="Heading5"/>
        <w:spacing w:after="120" w:line="240" w:lineRule="auto"/>
      </w:pPr>
      <w:r>
        <w:t>Early versus late treatment for NICDM</w:t>
      </w:r>
    </w:p>
    <w:p w14:paraId="4A915339" w14:textId="6245B398" w:rsidR="00A36FFB" w:rsidRPr="00CD0677" w:rsidRDefault="00A36FFB" w:rsidP="004C79C1">
      <w:pPr>
        <w:spacing w:after="120" w:line="240" w:lineRule="auto"/>
        <w:jc w:val="both"/>
        <w:rPr>
          <w:color w:val="000000" w:themeColor="text1"/>
        </w:rPr>
      </w:pPr>
      <w:r>
        <w:t>One of the trials identified (The Defibrillators in Nonischemic Cardiomyopathy Treatment Evaluation; DEFINITE) performed post-hoc subgroup analyses, assessing the difference in treatment effect of ICDs in patients with recently diagnosed NIDCM or remotely diagnosed with NIDCM, using the cut-points of 3 and 9</w:t>
      </w:r>
      <w:r w:rsidR="00A05711">
        <w:t> </w:t>
      </w:r>
      <w:r>
        <w:t xml:space="preserve">months </w:t>
      </w:r>
      <w:r w:rsidR="00187A29">
        <w:fldChar w:fldCharType="begin"/>
      </w:r>
      <w:r w:rsidR="00187A29">
        <w:instrText xml:space="preserve"> ADDIN EN.CITE &lt;EndNote&gt;&lt;Cite&gt;&lt;Author&gt;Kadish&lt;/Author&gt;&lt;Year&gt;2006&lt;/Year&gt;&lt;RecNum&gt;30&lt;/RecNum&gt;&lt;DisplayText&gt;(Kadish et al. 2006)&lt;/DisplayText&gt;&lt;record&gt;&lt;rec-number&gt;30&lt;/rec-number&gt;&lt;foreign-keys&gt;&lt;key app="EN" db-id="pfxxvref0t0a5de2vwnv2fwkz0p9v0r2fw0t" timestamp="1457486118"&gt;30&lt;/key&gt;&lt;/foreign-keys&gt;&lt;ref-type name="Journal Article"&gt;17&lt;/ref-type&gt;&lt;contributors&gt;&lt;authors&gt;&lt;author&gt;Kadish, A.&lt;/author&gt;&lt;author&gt;Schaechter, A.&lt;/author&gt;&lt;author&gt;Subacius, H.&lt;/author&gt;&lt;author&gt;Thattassery, E.&lt;/author&gt;&lt;author&gt;Sanders, W.&lt;/author&gt;&lt;author&gt;Anderson, K. P.&lt;/author&gt;&lt;author&gt;Dyer, A.&lt;/author&gt;&lt;author&gt;Goldberger, J.&lt;/author&gt;&lt;author&gt;Levine, J.&lt;/author&gt;&lt;/authors&gt;&lt;/contributors&gt;&lt;titles&gt;&lt;title&gt;Patients with recently diagnosed nonischemic cardiomyopathy benefit from implantable cardioverter-defibrillators&lt;/title&gt;&lt;secondary-title&gt;J Am Coll Cardiol&lt;/secondary-title&gt;&lt;/titles&gt;&lt;periodical&gt;&lt;full-title&gt;J Am Coll Cardiol&lt;/full-title&gt;&lt;/periodical&gt;&lt;pages&gt;2477-82&lt;/pages&gt;&lt;volume&gt;47&lt;/volume&gt;&lt;number&gt;12&lt;/number&gt;&lt;dates&gt;&lt;year&gt;2006&lt;/year&gt;&lt;pub-dates&gt;&lt;date&gt;2006-01-01&lt;/date&gt;&lt;/pub-dates&gt;&lt;/dates&gt;&lt;isbn&gt;0735-1097 (Print) 0735-1097&lt;/isbn&gt;&lt;urls&gt;&lt;related-urls&gt;&lt;url&gt;http://ac.els-cdn.com/S0735109706007960/1-s2.0-S0735109706007960-main.pdf?_tid=5c58980c-d8fa-11e5-8c75-00000aab0f27&amp;amp;acdnat=1456100730_536dd8170c76c03555ed94cc6196ace5&lt;/url&gt;&lt;/related-urls&gt;&lt;/urls&gt;&lt;custom1&gt;RAYYAN-INCLUSION: {&amp;quot;Skye&amp;quot;=&amp;gt;true}&lt;/custom1&gt;&lt;language&gt;eng&lt;/language&gt;&lt;/record&gt;&lt;/Cite&gt;&lt;/EndNote&gt;</w:instrText>
      </w:r>
      <w:r w:rsidR="00187A29">
        <w:fldChar w:fldCharType="separate"/>
      </w:r>
      <w:r w:rsidR="00187A29">
        <w:rPr>
          <w:noProof/>
        </w:rPr>
        <w:t>(</w:t>
      </w:r>
      <w:hyperlink w:anchor="_ENREF_56" w:tooltip="Kadish, 2006 #30" w:history="1">
        <w:r w:rsidR="00B906E9">
          <w:rPr>
            <w:noProof/>
          </w:rPr>
          <w:t>Kadish et al. 2006</w:t>
        </w:r>
      </w:hyperlink>
      <w:r w:rsidR="00187A29">
        <w:rPr>
          <w:noProof/>
        </w:rPr>
        <w:t>)</w:t>
      </w:r>
      <w:r w:rsidR="00187A29">
        <w:fldChar w:fldCharType="end"/>
      </w:r>
      <w:r>
        <w:t>. Patients who were randomised to receive an ICD within 3</w:t>
      </w:r>
      <w:r w:rsidR="00F36600">
        <w:t> </w:t>
      </w:r>
      <w:r>
        <w:t>months of diagnosis fared better than those who were randomised to receive standard medical therapy within 3</w:t>
      </w:r>
      <w:r w:rsidR="00F36600">
        <w:t> </w:t>
      </w:r>
      <w:r>
        <w:t xml:space="preserve">months of randomisation (all-cause mortality HR = 0.37, 95%CI 0.14, 0.998; p=0.049), </w:t>
      </w:r>
      <w:r w:rsidR="00E5371F">
        <w:t xml:space="preserve">and </w:t>
      </w:r>
      <w:r>
        <w:t>there was no statistically significant benefit on all-cause mortality in those randomised after 3</w:t>
      </w:r>
      <w:r w:rsidR="00F36600">
        <w:t> </w:t>
      </w:r>
      <w:r>
        <w:t>months since diagnosis (HR = 0.82, 95%CI 0.47, 1.43, p=0.48). When a cut-off of 9</w:t>
      </w:r>
      <w:r w:rsidR="00F36600">
        <w:t> </w:t>
      </w:r>
      <w:r>
        <w:t>months was used, there was a trend favouring ICDs in the early treatment subgroup (HR = 0.48, 95%CI 0.23, 1.025, p=0.058), but not in the late subgroup (HR = 0.86, 95%CI 0.46, 1.94, p=0.64). However, despite these differences in the subgroups, there was a non</w:t>
      </w:r>
      <w:r w:rsidR="00322B0A">
        <w:t>-</w:t>
      </w:r>
      <w:r>
        <w:t>significant interaction term (p=0.17 for 3</w:t>
      </w:r>
      <w:r w:rsidR="00F36600">
        <w:t>-</w:t>
      </w:r>
      <w:r>
        <w:t>month cut-off, and p=0.25 for 9</w:t>
      </w:r>
      <w:r w:rsidR="00F36600">
        <w:t>-</w:t>
      </w:r>
      <w:r>
        <w:t xml:space="preserve">month cut-off). The evidence is therefore not sufficiently strong to conclude that there is a difference in ICD benefit based on duration of NIDCM (GRADE </w:t>
      </w:r>
      <w:r w:rsidRPr="00D8218A">
        <w:rPr>
          <w:rFonts w:ascii="Cambria Math" w:hAnsi="Cambria Math" w:cs="Cambria Math"/>
          <w:color w:val="00B050"/>
          <w:sz w:val="20"/>
        </w:rPr>
        <w:t>⊕</w:t>
      </w:r>
      <w:r w:rsidRPr="00D8218A">
        <w:rPr>
          <w:rFonts w:ascii="Cambria Math" w:hAnsi="Cambria Math" w:cs="Cambria Math"/>
          <w:color w:val="FF0000"/>
          <w:sz w:val="20"/>
        </w:rPr>
        <w:t>⨀⨀⨀</w:t>
      </w:r>
      <w:r w:rsidRPr="00D8218A">
        <w:t>)</w:t>
      </w:r>
      <w:r>
        <w:t xml:space="preserve">. </w:t>
      </w:r>
      <w:r w:rsidR="004451C0" w:rsidRPr="00CD0677">
        <w:rPr>
          <w:color w:val="000000" w:themeColor="text1"/>
        </w:rPr>
        <w:t>An overall summary of the findings regarding the health impact of the expected changes to management from CMR, in patients with DCM, is shown in Table 28.</w:t>
      </w:r>
    </w:p>
    <w:p w14:paraId="23D3338A" w14:textId="2707A85C" w:rsidR="00A36FFB" w:rsidRPr="00914258" w:rsidRDefault="006F0C4E" w:rsidP="004C79C1">
      <w:pPr>
        <w:pStyle w:val="Caption"/>
      </w:pPr>
      <w:bookmarkStart w:id="445" w:name="_Toc432677296"/>
      <w:bookmarkStart w:id="446" w:name="_Toc324410185"/>
      <w:bookmarkStart w:id="447" w:name="_Toc451435355"/>
      <w:r>
        <w:t xml:space="preserve">Table </w:t>
      </w:r>
      <w:fldSimple w:instr=" SEQ Table \* ARABIC ">
        <w:r w:rsidR="00050936">
          <w:rPr>
            <w:noProof/>
          </w:rPr>
          <w:t>28</w:t>
        </w:r>
      </w:fldSimple>
      <w:r w:rsidR="00A36FFB" w:rsidRPr="00183E4D">
        <w:tab/>
      </w:r>
      <w:r w:rsidR="00A36FFB">
        <w:t>Summary of findings assessing whether</w:t>
      </w:r>
      <w:r w:rsidR="00A36FFB" w:rsidRPr="00914258">
        <w:t xml:space="preserve"> changes </w:t>
      </w:r>
      <w:r w:rsidR="00F36600">
        <w:t xml:space="preserve">in </w:t>
      </w:r>
      <w:r w:rsidR="00A36FFB" w:rsidRPr="00914258">
        <w:t xml:space="preserve">management based on CMR are beneficial to health outcomes, relative to CTCA or SPECT, or further testing, in patients with </w:t>
      </w:r>
      <w:bookmarkEnd w:id="445"/>
      <w:r w:rsidR="00A36FFB" w:rsidRPr="00914258">
        <w:t>DCM or an indeterminate result</w:t>
      </w:r>
      <w:bookmarkEnd w:id="446"/>
      <w:bookmarkEnd w:id="447"/>
    </w:p>
    <w:tbl>
      <w:tblPr>
        <w:tblW w:w="0" w:type="auto"/>
        <w:tblLayout w:type="fixed"/>
        <w:tblLook w:val="04A0" w:firstRow="1" w:lastRow="0" w:firstColumn="1" w:lastColumn="0" w:noHBand="0" w:noVBand="1"/>
        <w:tblDescription w:val="Summary of findings table"/>
      </w:tblPr>
      <w:tblGrid>
        <w:gridCol w:w="1981"/>
        <w:gridCol w:w="1275"/>
        <w:gridCol w:w="4581"/>
        <w:gridCol w:w="1179"/>
      </w:tblGrid>
      <w:tr w:rsidR="00A36FFB" w14:paraId="3B703454" w14:textId="77777777" w:rsidTr="00CD0677">
        <w:tc>
          <w:tcPr>
            <w:tcW w:w="1981" w:type="dxa"/>
            <w:tcBorders>
              <w:top w:val="single" w:sz="4" w:space="0" w:color="auto"/>
              <w:left w:val="single" w:sz="4" w:space="0" w:color="auto"/>
              <w:bottom w:val="single" w:sz="4" w:space="0" w:color="auto"/>
              <w:right w:val="single" w:sz="4" w:space="0" w:color="auto"/>
            </w:tcBorders>
          </w:tcPr>
          <w:p w14:paraId="786CFE69" w14:textId="77777777" w:rsidR="00A36FFB" w:rsidRPr="000A1599" w:rsidRDefault="00A36FFB" w:rsidP="004C79C1">
            <w:pPr>
              <w:pStyle w:val="TableHeading"/>
              <w:spacing w:before="0" w:after="120"/>
            </w:pPr>
            <w:r w:rsidRPr="000A1599">
              <w:lastRenderedPageBreak/>
              <w:t>Outcomes</w:t>
            </w:r>
          </w:p>
        </w:tc>
        <w:tc>
          <w:tcPr>
            <w:tcW w:w="1275" w:type="dxa"/>
            <w:tcBorders>
              <w:top w:val="single" w:sz="4" w:space="0" w:color="auto"/>
              <w:left w:val="single" w:sz="4" w:space="0" w:color="auto"/>
              <w:bottom w:val="single" w:sz="4" w:space="0" w:color="auto"/>
              <w:right w:val="single" w:sz="4" w:space="0" w:color="auto"/>
            </w:tcBorders>
          </w:tcPr>
          <w:p w14:paraId="0868F4B7" w14:textId="77777777" w:rsidR="00A36FFB" w:rsidRPr="000A1599" w:rsidRDefault="00A36FFB" w:rsidP="004C79C1">
            <w:pPr>
              <w:pStyle w:val="TableHeading"/>
              <w:spacing w:before="0" w:after="120"/>
              <w:ind w:left="0" w:firstLine="0"/>
            </w:pPr>
            <w:r>
              <w:t>Quality of evidence</w:t>
            </w:r>
          </w:p>
        </w:tc>
        <w:tc>
          <w:tcPr>
            <w:tcW w:w="4581" w:type="dxa"/>
            <w:tcBorders>
              <w:top w:val="single" w:sz="4" w:space="0" w:color="auto"/>
              <w:left w:val="single" w:sz="4" w:space="0" w:color="auto"/>
              <w:bottom w:val="single" w:sz="4" w:space="0" w:color="auto"/>
              <w:right w:val="single" w:sz="4" w:space="0" w:color="auto"/>
            </w:tcBorders>
          </w:tcPr>
          <w:p w14:paraId="3D80B99E" w14:textId="77777777" w:rsidR="00A36FFB" w:rsidRPr="000A1599" w:rsidRDefault="00A36FFB" w:rsidP="004C79C1">
            <w:pPr>
              <w:pStyle w:val="TableHeading"/>
              <w:spacing w:before="0" w:after="120"/>
            </w:pPr>
            <w:r>
              <w:t>Findings</w:t>
            </w:r>
          </w:p>
        </w:tc>
        <w:tc>
          <w:tcPr>
            <w:tcW w:w="1179" w:type="dxa"/>
            <w:tcBorders>
              <w:top w:val="single" w:sz="4" w:space="0" w:color="auto"/>
              <w:left w:val="single" w:sz="4" w:space="0" w:color="auto"/>
              <w:bottom w:val="single" w:sz="4" w:space="0" w:color="auto"/>
              <w:right w:val="single" w:sz="4" w:space="0" w:color="auto"/>
            </w:tcBorders>
          </w:tcPr>
          <w:p w14:paraId="0E5DB187" w14:textId="77777777" w:rsidR="00A36FFB" w:rsidRPr="000A1599" w:rsidRDefault="00A36FFB" w:rsidP="004C79C1">
            <w:pPr>
              <w:pStyle w:val="TableHeading"/>
              <w:spacing w:before="0" w:after="120"/>
            </w:pPr>
            <w:r>
              <w:t>Importance</w:t>
            </w:r>
          </w:p>
        </w:tc>
      </w:tr>
      <w:tr w:rsidR="00A36FFB" w14:paraId="6A75D98E" w14:textId="77777777" w:rsidTr="00CD0677">
        <w:tc>
          <w:tcPr>
            <w:tcW w:w="1981" w:type="dxa"/>
            <w:tcBorders>
              <w:top w:val="single" w:sz="4" w:space="0" w:color="auto"/>
              <w:left w:val="single" w:sz="4" w:space="0" w:color="auto"/>
              <w:bottom w:val="single" w:sz="4" w:space="0" w:color="auto"/>
              <w:right w:val="single" w:sz="4" w:space="0" w:color="auto"/>
            </w:tcBorders>
          </w:tcPr>
          <w:p w14:paraId="5A943B67" w14:textId="12A529EE" w:rsidR="00A36FFB" w:rsidRDefault="00A36FFB" w:rsidP="004C79C1">
            <w:pPr>
              <w:pStyle w:val="TableText0"/>
              <w:spacing w:before="0" w:after="120"/>
            </w:pPr>
            <w:r>
              <w:t>Reclassification of NIDCM patients’ prognosis based on CMR, allowing more</w:t>
            </w:r>
            <w:r w:rsidR="00CE26B0">
              <w:t>-</w:t>
            </w:r>
            <w:r>
              <w:t xml:space="preserve">targeted treatment </w:t>
            </w:r>
          </w:p>
        </w:tc>
        <w:tc>
          <w:tcPr>
            <w:tcW w:w="1275" w:type="dxa"/>
            <w:tcBorders>
              <w:top w:val="single" w:sz="4" w:space="0" w:color="auto"/>
              <w:left w:val="single" w:sz="4" w:space="0" w:color="auto"/>
              <w:bottom w:val="single" w:sz="4" w:space="0" w:color="auto"/>
              <w:right w:val="single" w:sz="4" w:space="0" w:color="auto"/>
            </w:tcBorders>
          </w:tcPr>
          <w:p w14:paraId="03B7C3CD" w14:textId="77777777" w:rsidR="00A36FFB" w:rsidRDefault="00A36FFB" w:rsidP="004C79C1">
            <w:pPr>
              <w:pStyle w:val="TableText0"/>
              <w:spacing w:before="0" w:after="120"/>
              <w:rPr>
                <w:rFonts w:ascii="Cambria Math" w:hAnsi="Cambria Math" w:cs="Cambria Math"/>
                <w:color w:val="FF0000"/>
              </w:rPr>
            </w:pPr>
            <w:r w:rsidRPr="00D8218A">
              <w:rPr>
                <w:rFonts w:ascii="Cambria Math" w:hAnsi="Cambria Math" w:cs="Cambria Math"/>
                <w:color w:val="00B050"/>
              </w:rPr>
              <w:t>⊕</w:t>
            </w:r>
            <w:r w:rsidRPr="00D8218A">
              <w:rPr>
                <w:rFonts w:ascii="Cambria Math" w:hAnsi="Cambria Math" w:cs="Cambria Math"/>
                <w:color w:val="FF0000"/>
              </w:rPr>
              <w:t>⨀⨀⨀</w:t>
            </w:r>
            <w:r>
              <w:rPr>
                <w:rFonts w:ascii="Cambria Math" w:hAnsi="Cambria Math" w:cs="Cambria Math"/>
                <w:color w:val="FF0000"/>
              </w:rPr>
              <w:t xml:space="preserve"> </w:t>
            </w:r>
          </w:p>
          <w:p w14:paraId="3BDF39BC" w14:textId="77777777" w:rsidR="00A36FFB" w:rsidRPr="004A196F" w:rsidRDefault="00A36FFB" w:rsidP="004C79C1">
            <w:pPr>
              <w:pStyle w:val="TableText0"/>
              <w:spacing w:before="0" w:after="120"/>
            </w:pPr>
            <w:r w:rsidRPr="00D7115A">
              <w:t>Very low</w:t>
            </w:r>
          </w:p>
        </w:tc>
        <w:tc>
          <w:tcPr>
            <w:tcW w:w="4581" w:type="dxa"/>
            <w:tcBorders>
              <w:top w:val="single" w:sz="4" w:space="0" w:color="auto"/>
              <w:left w:val="single" w:sz="4" w:space="0" w:color="auto"/>
              <w:bottom w:val="single" w:sz="4" w:space="0" w:color="auto"/>
              <w:right w:val="single" w:sz="4" w:space="0" w:color="auto"/>
            </w:tcBorders>
          </w:tcPr>
          <w:p w14:paraId="7DB6A5DA" w14:textId="65465598" w:rsidR="00A36FFB" w:rsidRDefault="00A36FFB" w:rsidP="004C79C1">
            <w:pPr>
              <w:pStyle w:val="TableText0"/>
              <w:spacing w:before="0" w:after="120"/>
            </w:pPr>
            <w:r>
              <w:t xml:space="preserve">There is Australian change in management data that a large proportion of those scheduled for surgery or device implantation have their plan amended due to CMR, and evidence that a small amount of </w:t>
            </w:r>
            <w:r w:rsidR="00CE26B0">
              <w:t xml:space="preserve">patients </w:t>
            </w:r>
            <w:r>
              <w:t xml:space="preserve">without a surgical or device plan have their </w:t>
            </w:r>
            <w:r w:rsidR="00CE26B0">
              <w:t xml:space="preserve">management </w:t>
            </w:r>
            <w:r>
              <w:t xml:space="preserve">amended to undergo invasive treatment. Prognostic data suggests </w:t>
            </w:r>
            <w:r w:rsidR="00CE26B0">
              <w:t xml:space="preserve">that </w:t>
            </w:r>
            <w:r>
              <w:t xml:space="preserve">the treatment amendments are likely to be an improvement, but no studies have proven health benefits. </w:t>
            </w:r>
          </w:p>
        </w:tc>
        <w:tc>
          <w:tcPr>
            <w:tcW w:w="1179" w:type="dxa"/>
            <w:tcBorders>
              <w:top w:val="single" w:sz="4" w:space="0" w:color="auto"/>
              <w:left w:val="single" w:sz="4" w:space="0" w:color="auto"/>
              <w:bottom w:val="single" w:sz="4" w:space="0" w:color="auto"/>
              <w:right w:val="single" w:sz="4" w:space="0" w:color="auto"/>
            </w:tcBorders>
          </w:tcPr>
          <w:p w14:paraId="6305A41D" w14:textId="77777777" w:rsidR="00A36FFB" w:rsidRPr="004A196F" w:rsidRDefault="00A36FFB" w:rsidP="004C79C1">
            <w:pPr>
              <w:pStyle w:val="TableText0"/>
              <w:spacing w:before="0" w:after="120"/>
            </w:pPr>
            <w:r>
              <w:t>High</w:t>
            </w:r>
          </w:p>
        </w:tc>
      </w:tr>
      <w:tr w:rsidR="00A36FFB" w14:paraId="67218F29" w14:textId="77777777" w:rsidTr="00CD0677">
        <w:tc>
          <w:tcPr>
            <w:tcW w:w="1981" w:type="dxa"/>
            <w:tcBorders>
              <w:top w:val="single" w:sz="4" w:space="0" w:color="auto"/>
              <w:left w:val="single" w:sz="4" w:space="0" w:color="auto"/>
              <w:bottom w:val="single" w:sz="4" w:space="0" w:color="auto"/>
              <w:right w:val="single" w:sz="4" w:space="0" w:color="auto"/>
            </w:tcBorders>
          </w:tcPr>
          <w:p w14:paraId="46280170" w14:textId="538F1752" w:rsidR="00A36FFB" w:rsidRDefault="00A36FFB" w:rsidP="004C79C1">
            <w:pPr>
              <w:pStyle w:val="TableText0"/>
              <w:spacing w:before="0" w:after="120"/>
            </w:pPr>
            <w:r>
              <w:t xml:space="preserve">Treatment for rare aetiologies detected by </w:t>
            </w:r>
            <w:r w:rsidR="00BD555B">
              <w:t>CMR</w:t>
            </w:r>
          </w:p>
        </w:tc>
        <w:tc>
          <w:tcPr>
            <w:tcW w:w="1275" w:type="dxa"/>
            <w:tcBorders>
              <w:top w:val="single" w:sz="4" w:space="0" w:color="auto"/>
              <w:left w:val="single" w:sz="4" w:space="0" w:color="auto"/>
              <w:bottom w:val="single" w:sz="4" w:space="0" w:color="auto"/>
              <w:right w:val="single" w:sz="4" w:space="0" w:color="auto"/>
            </w:tcBorders>
          </w:tcPr>
          <w:p w14:paraId="07CC1243" w14:textId="77777777" w:rsidR="00A36FFB" w:rsidRDefault="00A36FFB" w:rsidP="004C79C1">
            <w:pPr>
              <w:pStyle w:val="TableText0"/>
              <w:spacing w:before="0" w:after="120"/>
              <w:rPr>
                <w:rFonts w:ascii="Cambria Math" w:hAnsi="Cambria Math" w:cs="Cambria Math"/>
                <w:color w:val="FF0000"/>
              </w:rPr>
            </w:pPr>
            <w:r w:rsidRPr="00D8218A">
              <w:rPr>
                <w:rFonts w:ascii="Cambria Math" w:hAnsi="Cambria Math" w:cs="Cambria Math"/>
                <w:color w:val="00B050"/>
              </w:rPr>
              <w:t>⊕</w:t>
            </w:r>
            <w:r w:rsidRPr="00D8218A">
              <w:rPr>
                <w:rFonts w:ascii="Cambria Math" w:hAnsi="Cambria Math" w:cs="Cambria Math"/>
                <w:color w:val="FF0000"/>
              </w:rPr>
              <w:t>⨀⨀⨀</w:t>
            </w:r>
            <w:r>
              <w:rPr>
                <w:rFonts w:ascii="Cambria Math" w:hAnsi="Cambria Math" w:cs="Cambria Math"/>
                <w:color w:val="FF0000"/>
              </w:rPr>
              <w:t xml:space="preserve"> </w:t>
            </w:r>
          </w:p>
          <w:p w14:paraId="3AE54F62" w14:textId="77777777" w:rsidR="00A36FFB" w:rsidRPr="004A196F" w:rsidRDefault="00A36FFB" w:rsidP="004C79C1">
            <w:pPr>
              <w:pStyle w:val="TableText0"/>
              <w:spacing w:before="0" w:after="120"/>
            </w:pPr>
            <w:r w:rsidRPr="00D7115A">
              <w:t>Very low</w:t>
            </w:r>
          </w:p>
        </w:tc>
        <w:tc>
          <w:tcPr>
            <w:tcW w:w="4581" w:type="dxa"/>
            <w:tcBorders>
              <w:top w:val="single" w:sz="4" w:space="0" w:color="auto"/>
              <w:left w:val="single" w:sz="4" w:space="0" w:color="auto"/>
              <w:bottom w:val="single" w:sz="4" w:space="0" w:color="auto"/>
              <w:right w:val="single" w:sz="4" w:space="0" w:color="auto"/>
            </w:tcBorders>
          </w:tcPr>
          <w:p w14:paraId="0A23418A" w14:textId="55E20CC7" w:rsidR="00A36FFB" w:rsidRPr="00E90DC7" w:rsidRDefault="00A36FFB" w:rsidP="004C79C1">
            <w:pPr>
              <w:pStyle w:val="TableText0"/>
              <w:spacing w:before="0" w:after="120"/>
            </w:pPr>
            <w:r>
              <w:t xml:space="preserve">CMR may detect some rare aetiologies of NIDCM </w:t>
            </w:r>
            <w:r w:rsidR="00CE26B0">
              <w:t xml:space="preserve">that </w:t>
            </w:r>
            <w:r>
              <w:t xml:space="preserve">are not diagnosed through the standard tests. There were no </w:t>
            </w:r>
            <w:r w:rsidR="00CE26B0">
              <w:t>SR</w:t>
            </w:r>
            <w:r>
              <w:t>s reporting mortality benefits due to treatment for these aetiologies. However, for myocarditis, corticosteroids may improve LVEF</w:t>
            </w:r>
            <w:r w:rsidR="00CE26B0">
              <w:t>;</w:t>
            </w:r>
            <w:r>
              <w:t xml:space="preserve"> and </w:t>
            </w:r>
            <w:r w:rsidR="00CE26B0">
              <w:t xml:space="preserve">there is </w:t>
            </w:r>
            <w:r>
              <w:t xml:space="preserve">very limited evidence suggesting </w:t>
            </w:r>
            <w:r w:rsidR="00CE26B0">
              <w:t xml:space="preserve">that </w:t>
            </w:r>
            <w:r>
              <w:t xml:space="preserve">corticosteroids may maintain or improve LVEF in cardiac sarcoidosis. </w:t>
            </w:r>
          </w:p>
        </w:tc>
        <w:tc>
          <w:tcPr>
            <w:tcW w:w="1179" w:type="dxa"/>
            <w:tcBorders>
              <w:top w:val="single" w:sz="4" w:space="0" w:color="auto"/>
              <w:left w:val="single" w:sz="4" w:space="0" w:color="auto"/>
              <w:bottom w:val="single" w:sz="4" w:space="0" w:color="auto"/>
              <w:right w:val="single" w:sz="4" w:space="0" w:color="auto"/>
            </w:tcBorders>
          </w:tcPr>
          <w:p w14:paraId="059603EF" w14:textId="77777777" w:rsidR="00A36FFB" w:rsidRPr="00E90DC7" w:rsidRDefault="00A36FFB" w:rsidP="004C79C1">
            <w:pPr>
              <w:pStyle w:val="TableText0"/>
              <w:spacing w:before="0" w:after="120"/>
            </w:pPr>
            <w:r>
              <w:t>Moderate</w:t>
            </w:r>
          </w:p>
        </w:tc>
      </w:tr>
      <w:tr w:rsidR="00A36FFB" w14:paraId="5024F072" w14:textId="77777777" w:rsidTr="00CD0677">
        <w:tc>
          <w:tcPr>
            <w:tcW w:w="1981" w:type="dxa"/>
            <w:tcBorders>
              <w:top w:val="single" w:sz="4" w:space="0" w:color="auto"/>
              <w:left w:val="single" w:sz="4" w:space="0" w:color="auto"/>
              <w:bottom w:val="single" w:sz="4" w:space="0" w:color="auto"/>
              <w:right w:val="single" w:sz="4" w:space="0" w:color="auto"/>
            </w:tcBorders>
          </w:tcPr>
          <w:p w14:paraId="0D7DFF99" w14:textId="26AA9DE9" w:rsidR="00A36FFB" w:rsidRPr="00E90DC7" w:rsidRDefault="00A36FFB" w:rsidP="004C79C1">
            <w:pPr>
              <w:pStyle w:val="TableText0"/>
              <w:spacing w:before="0" w:after="120"/>
            </w:pPr>
            <w:r>
              <w:t>False</w:t>
            </w:r>
            <w:r w:rsidRPr="00E90DC7">
              <w:t xml:space="preserve"> positive </w:t>
            </w:r>
            <w:r w:rsidR="00CE26B0">
              <w:t xml:space="preserve">results </w:t>
            </w:r>
            <w:r w:rsidRPr="00E90DC7">
              <w:t xml:space="preserve">for NIDCM </w:t>
            </w:r>
          </w:p>
        </w:tc>
        <w:tc>
          <w:tcPr>
            <w:tcW w:w="1275" w:type="dxa"/>
            <w:tcBorders>
              <w:top w:val="single" w:sz="4" w:space="0" w:color="auto"/>
              <w:left w:val="single" w:sz="4" w:space="0" w:color="auto"/>
              <w:bottom w:val="single" w:sz="4" w:space="0" w:color="auto"/>
              <w:right w:val="single" w:sz="4" w:space="0" w:color="auto"/>
            </w:tcBorders>
          </w:tcPr>
          <w:p w14:paraId="35C3530B" w14:textId="46A31D66" w:rsidR="00A36FFB" w:rsidRPr="00E90DC7" w:rsidRDefault="00C454A2" w:rsidP="004C79C1">
            <w:pPr>
              <w:pStyle w:val="TableText0"/>
              <w:spacing w:before="0" w:after="120"/>
            </w:pPr>
            <w:r>
              <w:t>NA</w:t>
            </w:r>
          </w:p>
        </w:tc>
        <w:tc>
          <w:tcPr>
            <w:tcW w:w="4581" w:type="dxa"/>
            <w:tcBorders>
              <w:top w:val="single" w:sz="4" w:space="0" w:color="auto"/>
              <w:left w:val="single" w:sz="4" w:space="0" w:color="auto"/>
              <w:bottom w:val="single" w:sz="4" w:space="0" w:color="auto"/>
              <w:right w:val="single" w:sz="4" w:space="0" w:color="auto"/>
            </w:tcBorders>
          </w:tcPr>
          <w:p w14:paraId="2155AB42" w14:textId="5C10FF84" w:rsidR="00A36FFB" w:rsidRPr="00E90DC7" w:rsidRDefault="00A36FFB" w:rsidP="004C79C1">
            <w:pPr>
              <w:pStyle w:val="TableText0"/>
              <w:spacing w:before="0" w:after="120"/>
            </w:pPr>
            <w:r>
              <w:t>The comparative accuracy against CTCA and SPECT is unknown. Revascularisation</w:t>
            </w:r>
            <w:r w:rsidRPr="00042923">
              <w:t xml:space="preserve"> for CAD is effective</w:t>
            </w:r>
            <w:r>
              <w:t xml:space="preserve"> at reducing mortality compared </w:t>
            </w:r>
            <w:r w:rsidR="00CE26B0">
              <w:t xml:space="preserve">with </w:t>
            </w:r>
            <w:r>
              <w:t>medical treatment alone</w:t>
            </w:r>
            <w:r w:rsidRPr="00042923">
              <w:t>, and those who are LGE– may miss appropriate treatment</w:t>
            </w:r>
            <w:r>
              <w:t xml:space="preserve"> for ICM</w:t>
            </w:r>
            <w:r w:rsidRPr="00042923">
              <w:t>, although they are a subset of</w:t>
            </w:r>
            <w:r>
              <w:t xml:space="preserve"> patients who are likely to have better prognosis than those who are LGE+. </w:t>
            </w:r>
          </w:p>
        </w:tc>
        <w:tc>
          <w:tcPr>
            <w:tcW w:w="1179" w:type="dxa"/>
            <w:tcBorders>
              <w:top w:val="single" w:sz="4" w:space="0" w:color="auto"/>
              <w:left w:val="single" w:sz="4" w:space="0" w:color="auto"/>
              <w:bottom w:val="single" w:sz="4" w:space="0" w:color="auto"/>
              <w:right w:val="single" w:sz="4" w:space="0" w:color="auto"/>
            </w:tcBorders>
          </w:tcPr>
          <w:p w14:paraId="6E97C9C8" w14:textId="77777777" w:rsidR="00A36FFB" w:rsidRPr="00E90DC7" w:rsidRDefault="00A36FFB" w:rsidP="004C79C1">
            <w:pPr>
              <w:pStyle w:val="TableText0"/>
              <w:spacing w:before="0" w:after="120"/>
            </w:pPr>
            <w:r>
              <w:t>High</w:t>
            </w:r>
          </w:p>
        </w:tc>
      </w:tr>
      <w:tr w:rsidR="00A36FFB" w14:paraId="317C3715" w14:textId="77777777" w:rsidTr="00CD0677">
        <w:tc>
          <w:tcPr>
            <w:tcW w:w="1981" w:type="dxa"/>
            <w:tcBorders>
              <w:top w:val="single" w:sz="4" w:space="0" w:color="auto"/>
              <w:left w:val="single" w:sz="4" w:space="0" w:color="auto"/>
              <w:bottom w:val="single" w:sz="4" w:space="0" w:color="auto"/>
              <w:right w:val="single" w:sz="4" w:space="0" w:color="auto"/>
            </w:tcBorders>
          </w:tcPr>
          <w:p w14:paraId="342929BE" w14:textId="77777777" w:rsidR="00A36FFB" w:rsidRPr="00E90DC7" w:rsidRDefault="00A36FFB" w:rsidP="004C79C1">
            <w:pPr>
              <w:pStyle w:val="TableText0"/>
              <w:spacing w:before="0" w:after="120"/>
            </w:pPr>
            <w:r>
              <w:t>False negative results for NIDCM</w:t>
            </w:r>
          </w:p>
        </w:tc>
        <w:tc>
          <w:tcPr>
            <w:tcW w:w="1275" w:type="dxa"/>
            <w:tcBorders>
              <w:top w:val="single" w:sz="4" w:space="0" w:color="auto"/>
              <w:left w:val="single" w:sz="4" w:space="0" w:color="auto"/>
              <w:bottom w:val="single" w:sz="4" w:space="0" w:color="auto"/>
              <w:right w:val="single" w:sz="4" w:space="0" w:color="auto"/>
            </w:tcBorders>
          </w:tcPr>
          <w:p w14:paraId="2A33402E" w14:textId="77777777" w:rsidR="00A36FFB" w:rsidRDefault="00A36FFB" w:rsidP="004C79C1">
            <w:pPr>
              <w:pStyle w:val="TableText0"/>
              <w:spacing w:before="0" w:after="120"/>
              <w:rPr>
                <w:rFonts w:ascii="Cambria Math" w:hAnsi="Cambria Math" w:cs="Cambria Math"/>
                <w:color w:val="FF0000"/>
              </w:rPr>
            </w:pPr>
            <w:r w:rsidRPr="00D8218A">
              <w:rPr>
                <w:rFonts w:ascii="Cambria Math" w:hAnsi="Cambria Math" w:cs="Cambria Math"/>
                <w:color w:val="FF0000"/>
              </w:rPr>
              <w:t>⨀⨀⨀⨀</w:t>
            </w:r>
          </w:p>
          <w:p w14:paraId="0B31FC9B" w14:textId="77777777" w:rsidR="00A36FFB" w:rsidRPr="00E90DC7" w:rsidRDefault="00A36FFB" w:rsidP="004C79C1">
            <w:pPr>
              <w:pStyle w:val="TableText0"/>
              <w:spacing w:before="0" w:after="120"/>
            </w:pPr>
            <w:r>
              <w:t>C</w:t>
            </w:r>
            <w:r w:rsidRPr="005B3069">
              <w:t>linical advice</w:t>
            </w:r>
          </w:p>
        </w:tc>
        <w:tc>
          <w:tcPr>
            <w:tcW w:w="4581" w:type="dxa"/>
            <w:tcBorders>
              <w:top w:val="single" w:sz="4" w:space="0" w:color="auto"/>
              <w:left w:val="single" w:sz="4" w:space="0" w:color="auto"/>
              <w:bottom w:val="single" w:sz="4" w:space="0" w:color="auto"/>
              <w:right w:val="single" w:sz="4" w:space="0" w:color="auto"/>
            </w:tcBorders>
          </w:tcPr>
          <w:p w14:paraId="17B47C42" w14:textId="77777777" w:rsidR="00A36FFB" w:rsidRPr="00E90DC7" w:rsidRDefault="00A36FFB" w:rsidP="004C79C1">
            <w:pPr>
              <w:pStyle w:val="TableText0"/>
              <w:spacing w:before="0" w:after="120"/>
              <w:rPr>
                <w:highlight w:val="magenta"/>
              </w:rPr>
            </w:pPr>
            <w:r w:rsidRPr="00352B9A">
              <w:t>Those detected as having isch</w:t>
            </w:r>
            <w:r>
              <w:t xml:space="preserve">aemia would receive an ICA, at which point ischaemia would be ruled out. Patients would therefore receive an unnecessary invasive diagnostic test, but treatment would remain the same. </w:t>
            </w:r>
          </w:p>
        </w:tc>
        <w:tc>
          <w:tcPr>
            <w:tcW w:w="1179" w:type="dxa"/>
            <w:tcBorders>
              <w:top w:val="single" w:sz="4" w:space="0" w:color="auto"/>
              <w:left w:val="single" w:sz="4" w:space="0" w:color="auto"/>
              <w:bottom w:val="single" w:sz="4" w:space="0" w:color="auto"/>
              <w:right w:val="single" w:sz="4" w:space="0" w:color="auto"/>
            </w:tcBorders>
          </w:tcPr>
          <w:p w14:paraId="020FC16D" w14:textId="77777777" w:rsidR="00A36FFB" w:rsidRPr="00E90DC7" w:rsidRDefault="00A36FFB" w:rsidP="004C79C1">
            <w:pPr>
              <w:pStyle w:val="TableText0"/>
              <w:spacing w:before="0" w:after="120"/>
            </w:pPr>
            <w:r>
              <w:t>Low</w:t>
            </w:r>
          </w:p>
        </w:tc>
      </w:tr>
    </w:tbl>
    <w:p w14:paraId="2027A588" w14:textId="75E4E935" w:rsidR="00F11F0D" w:rsidRPr="00CD0677" w:rsidRDefault="00C30271" w:rsidP="004C79C1">
      <w:pPr>
        <w:spacing w:after="120" w:line="240" w:lineRule="auto"/>
        <w:jc w:val="both"/>
        <w:rPr>
          <w:rFonts w:ascii="Arial Narrow" w:hAnsi="Arial Narrow"/>
          <w:sz w:val="20"/>
          <w:szCs w:val="20"/>
        </w:rPr>
      </w:pPr>
      <w:r w:rsidRPr="00CD0677">
        <w:rPr>
          <w:rFonts w:ascii="Arial Narrow" w:hAnsi="Arial Narrow"/>
          <w:sz w:val="20"/>
          <w:szCs w:val="20"/>
        </w:rPr>
        <w:t xml:space="preserve">CAD = </w:t>
      </w:r>
      <w:r w:rsidR="00220D64" w:rsidRPr="00372D4E">
        <w:rPr>
          <w:rStyle w:val="TablenotesChar0"/>
        </w:rPr>
        <w:t>coronary artery disease</w:t>
      </w:r>
      <w:r w:rsidRPr="00CD0677">
        <w:rPr>
          <w:rFonts w:ascii="Arial Narrow" w:hAnsi="Arial Narrow"/>
          <w:sz w:val="20"/>
          <w:szCs w:val="20"/>
        </w:rPr>
        <w:t xml:space="preserve">; </w:t>
      </w:r>
      <w:r w:rsidR="00612AE9" w:rsidRPr="00CD0677">
        <w:rPr>
          <w:rFonts w:ascii="Arial Narrow" w:hAnsi="Arial Narrow"/>
          <w:sz w:val="20"/>
          <w:szCs w:val="20"/>
        </w:rPr>
        <w:t xml:space="preserve">CMR = </w:t>
      </w:r>
      <w:r w:rsidR="007056AF" w:rsidRPr="00CD0677">
        <w:rPr>
          <w:rFonts w:ascii="Arial Narrow" w:hAnsi="Arial Narrow"/>
          <w:sz w:val="20"/>
          <w:szCs w:val="20"/>
        </w:rPr>
        <w:t xml:space="preserve">cardiac magnetic resonance </w:t>
      </w:r>
      <w:r w:rsidR="00372D4E" w:rsidRPr="00CD0677">
        <w:rPr>
          <w:rFonts w:ascii="Arial Narrow" w:hAnsi="Arial Narrow"/>
          <w:sz w:val="20"/>
          <w:szCs w:val="20"/>
        </w:rPr>
        <w:t>(imaging)</w:t>
      </w:r>
      <w:r w:rsidR="00612AE9" w:rsidRPr="00CD0677">
        <w:rPr>
          <w:rFonts w:ascii="Arial Narrow" w:hAnsi="Arial Narrow"/>
          <w:sz w:val="20"/>
          <w:szCs w:val="20"/>
        </w:rPr>
        <w:t xml:space="preserve">; </w:t>
      </w:r>
      <w:r w:rsidRPr="00CD0677">
        <w:rPr>
          <w:rFonts w:ascii="Arial Narrow" w:hAnsi="Arial Narrow"/>
          <w:sz w:val="20"/>
          <w:szCs w:val="20"/>
        </w:rPr>
        <w:t xml:space="preserve">CTCA = </w:t>
      </w:r>
      <w:r w:rsidR="00AB1CBB" w:rsidRPr="00CD0677">
        <w:rPr>
          <w:rFonts w:ascii="Arial Narrow" w:hAnsi="Arial Narrow"/>
          <w:sz w:val="20"/>
          <w:szCs w:val="20"/>
        </w:rPr>
        <w:t>computed tomography coronary angiography</w:t>
      </w:r>
      <w:r w:rsidRPr="00CD0677">
        <w:rPr>
          <w:rFonts w:ascii="Arial Narrow" w:hAnsi="Arial Narrow"/>
          <w:sz w:val="20"/>
          <w:szCs w:val="20"/>
        </w:rPr>
        <w:t xml:space="preserve">; </w:t>
      </w:r>
      <w:r w:rsidR="0074391E" w:rsidRPr="00CD0677">
        <w:rPr>
          <w:rFonts w:ascii="Arial Narrow" w:hAnsi="Arial Narrow"/>
          <w:sz w:val="20"/>
          <w:szCs w:val="20"/>
        </w:rPr>
        <w:t xml:space="preserve">ICA = </w:t>
      </w:r>
      <w:r w:rsidR="003232F0">
        <w:rPr>
          <w:rFonts w:ascii="Arial Narrow" w:hAnsi="Arial Narrow"/>
          <w:sz w:val="20"/>
          <w:szCs w:val="20"/>
        </w:rPr>
        <w:t>invasive</w:t>
      </w:r>
      <w:r w:rsidR="00AB1CBB" w:rsidRPr="00CD0677">
        <w:rPr>
          <w:rFonts w:ascii="Arial Narrow" w:hAnsi="Arial Narrow"/>
          <w:sz w:val="20"/>
          <w:szCs w:val="20"/>
        </w:rPr>
        <w:t xml:space="preserve"> coronary angiography</w:t>
      </w:r>
      <w:r w:rsidR="0074391E" w:rsidRPr="00CD0677">
        <w:rPr>
          <w:rFonts w:ascii="Arial Narrow" w:hAnsi="Arial Narrow"/>
          <w:sz w:val="20"/>
          <w:szCs w:val="20"/>
        </w:rPr>
        <w:t xml:space="preserve">; </w:t>
      </w:r>
      <w:r w:rsidRPr="00CD0677">
        <w:rPr>
          <w:rFonts w:ascii="Arial Narrow" w:hAnsi="Arial Narrow"/>
          <w:sz w:val="20"/>
          <w:szCs w:val="20"/>
        </w:rPr>
        <w:t xml:space="preserve">ICM = </w:t>
      </w:r>
      <w:r w:rsidR="00220D64" w:rsidRPr="00CD0677">
        <w:rPr>
          <w:rFonts w:ascii="Arial Narrow" w:hAnsi="Arial Narrow"/>
          <w:sz w:val="20"/>
          <w:szCs w:val="20"/>
        </w:rPr>
        <w:t>ischaemic cardiomyopathy</w:t>
      </w:r>
      <w:r w:rsidRPr="00CD0677">
        <w:rPr>
          <w:rFonts w:ascii="Arial Narrow" w:hAnsi="Arial Narrow"/>
          <w:sz w:val="20"/>
          <w:szCs w:val="20"/>
        </w:rPr>
        <w:t>; LGE+</w:t>
      </w:r>
      <w:r w:rsidR="00AB1CBB" w:rsidRPr="00AB1CBB">
        <w:rPr>
          <w:rFonts w:ascii="Arial Narrow" w:hAnsi="Arial Narrow"/>
          <w:sz w:val="20"/>
          <w:szCs w:val="20"/>
        </w:rPr>
        <w:t>/–</w:t>
      </w:r>
      <w:r w:rsidRPr="00CD0677">
        <w:rPr>
          <w:rFonts w:ascii="Arial Narrow" w:hAnsi="Arial Narrow"/>
          <w:sz w:val="20"/>
          <w:szCs w:val="20"/>
        </w:rPr>
        <w:t xml:space="preserve"> = </w:t>
      </w:r>
      <w:r w:rsidR="007056AF" w:rsidRPr="00CD0677">
        <w:rPr>
          <w:rFonts w:ascii="Arial Narrow" w:hAnsi="Arial Narrow"/>
          <w:sz w:val="20"/>
          <w:szCs w:val="20"/>
        </w:rPr>
        <w:t>late gadolinium enhancement</w:t>
      </w:r>
      <w:r w:rsidRPr="00CD0677">
        <w:rPr>
          <w:rFonts w:ascii="Arial Narrow" w:hAnsi="Arial Narrow"/>
          <w:sz w:val="20"/>
          <w:szCs w:val="20"/>
        </w:rPr>
        <w:t xml:space="preserve">; LVEF = </w:t>
      </w:r>
      <w:r w:rsidR="007056AF" w:rsidRPr="00CD0677">
        <w:rPr>
          <w:rFonts w:ascii="Arial Narrow" w:hAnsi="Arial Narrow"/>
          <w:sz w:val="20"/>
          <w:szCs w:val="20"/>
        </w:rPr>
        <w:t>left ventricular ejection fraction</w:t>
      </w:r>
      <w:r w:rsidRPr="00CD0677">
        <w:rPr>
          <w:rFonts w:ascii="Arial Narrow" w:hAnsi="Arial Narrow"/>
          <w:sz w:val="20"/>
          <w:szCs w:val="20"/>
        </w:rPr>
        <w:t xml:space="preserve">; </w:t>
      </w:r>
      <w:r w:rsidR="00612AE9" w:rsidRPr="00CD0677">
        <w:rPr>
          <w:rFonts w:ascii="Arial Narrow" w:hAnsi="Arial Narrow"/>
          <w:sz w:val="20"/>
          <w:szCs w:val="20"/>
        </w:rPr>
        <w:t xml:space="preserve">NIDCM = </w:t>
      </w:r>
      <w:r w:rsidR="00220D64" w:rsidRPr="00CD0677">
        <w:rPr>
          <w:rFonts w:ascii="Arial Narrow" w:hAnsi="Arial Narrow"/>
          <w:sz w:val="20"/>
          <w:szCs w:val="20"/>
        </w:rPr>
        <w:t>non-ischaemic dilated cardiomyopathy</w:t>
      </w:r>
      <w:r w:rsidR="00612AE9" w:rsidRPr="00CD0677">
        <w:rPr>
          <w:rFonts w:ascii="Arial Narrow" w:hAnsi="Arial Narrow"/>
          <w:sz w:val="20"/>
          <w:szCs w:val="20"/>
        </w:rPr>
        <w:t xml:space="preserve">; </w:t>
      </w:r>
      <w:r w:rsidR="00220D64" w:rsidRPr="00AB1CBB">
        <w:rPr>
          <w:rFonts w:ascii="Arial Narrow" w:hAnsi="Arial Narrow"/>
          <w:sz w:val="20"/>
          <w:szCs w:val="20"/>
        </w:rPr>
        <w:t xml:space="preserve">SPECT = </w:t>
      </w:r>
      <w:r w:rsidR="009575E2">
        <w:rPr>
          <w:rFonts w:ascii="Arial Narrow" w:hAnsi="Arial Narrow"/>
          <w:sz w:val="20"/>
          <w:szCs w:val="20"/>
        </w:rPr>
        <w:t>single-</w:t>
      </w:r>
      <w:r w:rsidR="00AB1CBB" w:rsidRPr="00CD0677">
        <w:rPr>
          <w:rFonts w:ascii="Arial Narrow" w:hAnsi="Arial Narrow"/>
          <w:sz w:val="20"/>
          <w:szCs w:val="20"/>
        </w:rPr>
        <w:t>photon emission computed tomography</w:t>
      </w:r>
      <w:r w:rsidRPr="00CD0677">
        <w:rPr>
          <w:rFonts w:ascii="Arial Narrow" w:hAnsi="Arial Narrow"/>
          <w:sz w:val="20"/>
          <w:szCs w:val="20"/>
        </w:rPr>
        <w:t xml:space="preserve"> </w:t>
      </w:r>
    </w:p>
    <w:p w14:paraId="011F684D" w14:textId="22DF858D" w:rsidR="00A36FFB" w:rsidRDefault="00A36FFB" w:rsidP="00161B88">
      <w:pPr>
        <w:pStyle w:val="Heading3"/>
      </w:pPr>
      <w:bookmarkStart w:id="448" w:name="_Toc451501350"/>
      <w:r>
        <w:t xml:space="preserve">Impact of CMR on family members with an indeterminate result or found to have </w:t>
      </w:r>
      <w:r w:rsidR="004E27FC">
        <w:t xml:space="preserve">a </w:t>
      </w:r>
      <w:r>
        <w:t>dilated LV and LV dysfunction through familial screening</w:t>
      </w:r>
      <w:bookmarkEnd w:id="448"/>
    </w:p>
    <w:p w14:paraId="2CF0FE68" w14:textId="503FBFDB" w:rsidR="00A36FFB" w:rsidRDefault="00A36FFB" w:rsidP="004C79C1">
      <w:pPr>
        <w:spacing w:after="120" w:line="240" w:lineRule="auto"/>
        <w:jc w:val="both"/>
      </w:pPr>
      <w:r>
        <w:t xml:space="preserve">It is recommended that all first-degree family members of someone diagnosed with DCM should be screened clinically, including history, physical examination, ECG and echo </w:t>
      </w:r>
      <w:r w:rsidR="00187A29">
        <w:fldChar w:fldCharType="begin"/>
      </w:r>
      <w:r w:rsidR="00187A29">
        <w:instrText xml:space="preserve"> ADDIN EN.CITE &lt;EndNote&gt;&lt;Cite&gt;&lt;Author&gt;Mann&lt;/Author&gt;&lt;Year&gt;2015&lt;/Year&gt;&lt;RecNum&gt;24&lt;/RecNum&gt;&lt;DisplayText&gt;(Mann et al. 2015)&lt;/DisplayText&gt;&lt;record&gt;&lt;rec-number&gt;24&lt;/rec-number&gt;&lt;foreign-keys&gt;&lt;key app="EN" db-id="pfxxvref0t0a5de2vwnv2fwkz0p9v0r2fw0t" timestamp="1457069676"&gt;24&lt;/key&gt;&lt;/foreign-keys&gt;&lt;ref-type name="Book"&gt;6&lt;/ref-type&gt;&lt;contributors&gt;&lt;authors&gt;&lt;author&gt;Mann, Douglas L&lt;/author&gt;&lt;author&gt;Zipes, D.P.&lt;/author&gt;&lt;author&gt;Libby, P.&lt;/author&gt;&lt;author&gt;Bonow, R. &lt;/author&gt;&lt;/authors&gt;&lt;tertiary-authors&gt;&lt;author&gt;Braunwald, E. &lt;/author&gt;&lt;/tertiary-authors&gt;&lt;/contributors&gt;&lt;titles&gt;&lt;title&gt;Braunwald&amp;apos;s Heart Disease: A textbook of cardiovascular medicine&lt;/title&gt;&lt;/titles&gt;&lt;edition&gt;10th&lt;/edition&gt;&lt;dates&gt;&lt;year&gt;2015&lt;/year&gt;&lt;/dates&gt;&lt;pub-location&gt;Boston&lt;/pub-location&gt;&lt;publisher&gt;Elsevier Saunders&lt;/publisher&gt;&lt;urls&gt;&lt;related-urls&gt;&lt;url&gt;https://www-clinicalkey-com-au.proxy.library.adelaide.edu.au/#!/content/book/3-s2.0-B9781455751341000901 &lt;/url&gt;&lt;/related-urls&gt;&lt;/urls&gt;&lt;/record&gt;&lt;/Cite&gt;&lt;/EndNote&gt;</w:instrText>
      </w:r>
      <w:r w:rsidR="00187A29">
        <w:fldChar w:fldCharType="separate"/>
      </w:r>
      <w:r w:rsidR="00187A29">
        <w:rPr>
          <w:noProof/>
        </w:rPr>
        <w:t>(</w:t>
      </w:r>
      <w:hyperlink w:anchor="_ENREF_75" w:tooltip="Mann, 2015 #24" w:history="1">
        <w:r w:rsidR="00B906E9">
          <w:rPr>
            <w:noProof/>
          </w:rPr>
          <w:t>Mann et al. 2015</w:t>
        </w:r>
      </w:hyperlink>
      <w:r w:rsidR="00187A29">
        <w:rPr>
          <w:noProof/>
        </w:rPr>
        <w:t>)</w:t>
      </w:r>
      <w:r w:rsidR="00187A29">
        <w:fldChar w:fldCharType="end"/>
      </w:r>
      <w:r>
        <w:t xml:space="preserve">. The rationale is that early identification of someone with DCM may allow treatment with ACE inhibitors or </w:t>
      </w:r>
      <w:r w:rsidR="00B25494">
        <w:sym w:font="Symbol" w:char="F062"/>
      </w:r>
      <w:r w:rsidR="0094435E">
        <w:t>-</w:t>
      </w:r>
      <w:r>
        <w:t xml:space="preserve">blockers, to delay or prevent progression of the disease </w:t>
      </w:r>
      <w:r w:rsidR="00187A29">
        <w:fldChar w:fldCharType="begin"/>
      </w:r>
      <w:r w:rsidR="00187A29">
        <w:instrText xml:space="preserve"> ADDIN EN.CITE &lt;EndNote&gt;&lt;Cite&gt;&lt;Author&gt;Mann&lt;/Author&gt;&lt;Year&gt;2015&lt;/Year&gt;&lt;RecNum&gt;24&lt;/RecNum&gt;&lt;DisplayText&gt;(Mann et al. 2015)&lt;/DisplayText&gt;&lt;record&gt;&lt;rec-number&gt;24&lt;/rec-number&gt;&lt;foreign-keys&gt;&lt;key app="EN" db-id="pfxxvref0t0a5de2vwnv2fwkz0p9v0r2fw0t" timestamp="1457069676"&gt;24&lt;/key&gt;&lt;/foreign-keys&gt;&lt;ref-type name="Book"&gt;6&lt;/ref-type&gt;&lt;contributors&gt;&lt;authors&gt;&lt;author&gt;Mann, Douglas L&lt;/author&gt;&lt;author&gt;Zipes, D.P.&lt;/author&gt;&lt;author&gt;Libby, P.&lt;/author&gt;&lt;author&gt;Bonow, R. &lt;/author&gt;&lt;/authors&gt;&lt;tertiary-authors&gt;&lt;author&gt;Braunwald, E. &lt;/author&gt;&lt;/tertiary-authors&gt;&lt;/contributors&gt;&lt;titles&gt;&lt;title&gt;Braunwald&amp;apos;s Heart Disease: A textbook of cardiovascular medicine&lt;/title&gt;&lt;/titles&gt;&lt;edition&gt;10th&lt;/edition&gt;&lt;dates&gt;&lt;year&gt;2015&lt;/year&gt;&lt;/dates&gt;&lt;pub-location&gt;Boston&lt;/pub-location&gt;&lt;publisher&gt;Elsevier Saunders&lt;/publisher&gt;&lt;urls&gt;&lt;related-urls&gt;&lt;url&gt;https://www-clinicalkey-com-au.proxy.library.adelaide.edu.au/#!/content/book/3-s2.0-B9781455751341000901 &lt;/url&gt;&lt;/related-urls&gt;&lt;/urls&gt;&lt;/record&gt;&lt;/Cite&gt;&lt;/EndNote&gt;</w:instrText>
      </w:r>
      <w:r w:rsidR="00187A29">
        <w:fldChar w:fldCharType="separate"/>
      </w:r>
      <w:r w:rsidR="00187A29">
        <w:rPr>
          <w:noProof/>
        </w:rPr>
        <w:t>(</w:t>
      </w:r>
      <w:hyperlink w:anchor="_ENREF_75" w:tooltip="Mann, 2015 #24" w:history="1">
        <w:r w:rsidR="00B906E9">
          <w:rPr>
            <w:noProof/>
          </w:rPr>
          <w:t>Mann et al. 2015</w:t>
        </w:r>
      </w:hyperlink>
      <w:r w:rsidR="00187A29">
        <w:rPr>
          <w:noProof/>
        </w:rPr>
        <w:t>)</w:t>
      </w:r>
      <w:r w:rsidR="00187A29">
        <w:fldChar w:fldCharType="end"/>
      </w:r>
      <w:r>
        <w:t>. CMR is thought to be useful in two scenarios for family members</w:t>
      </w:r>
      <w:r w:rsidR="00B25494">
        <w:t>—</w:t>
      </w:r>
      <w:r>
        <w:t xml:space="preserve">in cases where the prior tests are indeterminate, and </w:t>
      </w:r>
      <w:r w:rsidR="00B25494">
        <w:t xml:space="preserve">in </w:t>
      </w:r>
      <w:r>
        <w:t xml:space="preserve">cases where the family member is found to have LV dysfunction but where further investigations are still warranted, to establish whether the person has familial DCM or CAD. No evidence on the accuracy of CMR in these populations, or showing a change in management in these patients, was identified through the </w:t>
      </w:r>
      <w:r w:rsidR="00B25494">
        <w:t>SR</w:t>
      </w:r>
      <w:r>
        <w:t xml:space="preserve">. </w:t>
      </w:r>
      <w:r w:rsidR="00CA7CAB">
        <w:t xml:space="preserve">The therapeutic effectiveness was therefore not assessed. </w:t>
      </w:r>
    </w:p>
    <w:p w14:paraId="345CAA9C" w14:textId="076D6414" w:rsidR="00A36FFB" w:rsidRPr="00183E4D" w:rsidRDefault="00A36FFB" w:rsidP="004C79C1">
      <w:pPr>
        <w:pStyle w:val="Heading1"/>
        <w:spacing w:after="120" w:line="240" w:lineRule="auto"/>
        <w:ind w:left="0" w:firstLine="0"/>
        <w:jc w:val="both"/>
        <w:sectPr w:rsidR="00A36FFB" w:rsidRPr="00183E4D" w:rsidSect="00A36FFB">
          <w:headerReference w:type="even" r:id="rId54"/>
          <w:headerReference w:type="default" r:id="rId55"/>
          <w:footerReference w:type="even" r:id="rId56"/>
          <w:headerReference w:type="first" r:id="rId57"/>
          <w:pgSz w:w="11906" w:h="16838"/>
          <w:pgMar w:top="1440" w:right="1440" w:bottom="1440" w:left="1440" w:header="720" w:footer="720" w:gutter="0"/>
          <w:paperSrc w:first="7" w:other="7"/>
          <w:cols w:space="720"/>
        </w:sectPr>
      </w:pPr>
    </w:p>
    <w:p w14:paraId="5E91313D" w14:textId="47F378F4" w:rsidR="00F54E7C" w:rsidRDefault="00F54E7C" w:rsidP="004C79C1">
      <w:pPr>
        <w:pStyle w:val="Heading1"/>
        <w:spacing w:after="120" w:line="240" w:lineRule="auto"/>
      </w:pPr>
      <w:bookmarkStart w:id="449" w:name="_Toc451501351"/>
      <w:r>
        <w:lastRenderedPageBreak/>
        <w:t>B6</w:t>
      </w:r>
      <w:r>
        <w:tab/>
        <w:t xml:space="preserve">Impact of </w:t>
      </w:r>
      <w:r w:rsidR="00393444">
        <w:t>R</w:t>
      </w:r>
      <w:r>
        <w:t xml:space="preserve">epeat </w:t>
      </w:r>
      <w:r w:rsidR="00393444">
        <w:t>T</w:t>
      </w:r>
      <w:r>
        <w:t>esting/</w:t>
      </w:r>
      <w:r w:rsidR="00393444">
        <w:t>M</w:t>
      </w:r>
      <w:r>
        <w:t>onitoring</w:t>
      </w:r>
      <w:bookmarkEnd w:id="449"/>
    </w:p>
    <w:p w14:paraId="75F53D11" w14:textId="1055018D" w:rsidR="00101B48" w:rsidRDefault="005F7B5A" w:rsidP="004C79C1">
      <w:pPr>
        <w:spacing w:after="120" w:line="240" w:lineRule="auto"/>
      </w:pPr>
      <w:r>
        <w:t>Not applicable.</w:t>
      </w:r>
    </w:p>
    <w:p w14:paraId="5AE069FE" w14:textId="6F4ACBE3" w:rsidR="00FB05A7" w:rsidRPr="00254898" w:rsidRDefault="006563F3" w:rsidP="004C79C1">
      <w:pPr>
        <w:pStyle w:val="Heading1"/>
        <w:spacing w:after="120" w:line="240" w:lineRule="auto"/>
      </w:pPr>
      <w:bookmarkStart w:id="450" w:name="_Toc451501352"/>
      <w:r w:rsidRPr="00254898">
        <w:lastRenderedPageBreak/>
        <w:t>B7</w:t>
      </w:r>
      <w:r w:rsidRPr="00254898">
        <w:tab/>
        <w:t xml:space="preserve">Extended </w:t>
      </w:r>
      <w:r w:rsidR="00A6509B" w:rsidRPr="00254898">
        <w:t>A</w:t>
      </w:r>
      <w:r w:rsidRPr="00254898">
        <w:t xml:space="preserve">ssessment of </w:t>
      </w:r>
      <w:r w:rsidR="00A6509B" w:rsidRPr="00254898">
        <w:t>C</w:t>
      </w:r>
      <w:r w:rsidRPr="00254898">
        <w:t xml:space="preserve">omparative </w:t>
      </w:r>
      <w:r w:rsidR="00A6509B" w:rsidRPr="00254898">
        <w:t>H</w:t>
      </w:r>
      <w:r w:rsidRPr="00254898">
        <w:t>arms</w:t>
      </w:r>
      <w:bookmarkEnd w:id="450"/>
    </w:p>
    <w:p w14:paraId="0D4DA7B8" w14:textId="4CA158B2" w:rsidR="00B774D7" w:rsidRDefault="009D6530" w:rsidP="004C79C1">
      <w:pPr>
        <w:pStyle w:val="Heading2"/>
        <w:spacing w:before="0" w:after="120" w:line="240" w:lineRule="auto"/>
      </w:pPr>
      <w:bookmarkStart w:id="451" w:name="_Toc446596471"/>
      <w:bookmarkStart w:id="452" w:name="_Toc451501353"/>
      <w:r>
        <w:t>B</w:t>
      </w:r>
      <w:r w:rsidR="00B774D7">
        <w:t xml:space="preserve">7.1 Safety of LGE-CMR and </w:t>
      </w:r>
      <w:r w:rsidR="00A6509B">
        <w:t>C</w:t>
      </w:r>
      <w:r w:rsidR="00B774D7">
        <w:t>omparators</w:t>
      </w:r>
      <w:bookmarkEnd w:id="451"/>
      <w:bookmarkEnd w:id="452"/>
    </w:p>
    <w:p w14:paraId="7727FF7A" w14:textId="2347224E" w:rsidR="00B774D7" w:rsidRPr="0017040A" w:rsidRDefault="00D54B07" w:rsidP="004C79C1">
      <w:pPr>
        <w:spacing w:after="120" w:line="240" w:lineRule="auto"/>
        <w:jc w:val="both"/>
      </w:pPr>
      <w:r>
        <w:t>The s</w:t>
      </w:r>
      <w:r w:rsidR="00B774D7">
        <w:t xml:space="preserve">afety </w:t>
      </w:r>
      <w:r>
        <w:t xml:space="preserve">of </w:t>
      </w:r>
      <w:r w:rsidR="00B774D7">
        <w:t>CMR, SPECT, GHPS, stress</w:t>
      </w:r>
      <w:r w:rsidR="009C3FE6">
        <w:t>- and contrast e</w:t>
      </w:r>
      <w:r w:rsidR="00B774D7">
        <w:t>cho</w:t>
      </w:r>
      <w:r w:rsidR="009C3FE6">
        <w:t>cardiography</w:t>
      </w:r>
      <w:r w:rsidR="00B774D7">
        <w:t>, ICA and CTCA</w:t>
      </w:r>
      <w:r>
        <w:t>,</w:t>
      </w:r>
      <w:r w:rsidR="00B774D7">
        <w:t xml:space="preserve"> specifically in relation to their use in </w:t>
      </w:r>
      <w:r w:rsidR="005A3E59">
        <w:t>CM</w:t>
      </w:r>
      <w:r>
        <w:t>,</w:t>
      </w:r>
      <w:r w:rsidR="00B774D7">
        <w:t xml:space="preserve"> was not identified; thus, an extended assessment of the safety of these techniques has been provided from larger registries, cohort studies etc</w:t>
      </w:r>
      <w:r>
        <w:t>.</w:t>
      </w:r>
      <w:r w:rsidR="00B774D7">
        <w:t xml:space="preserve">, and collated in naïve comparisons. These are summarised based on the purpose of the imaging. For further details, see </w:t>
      </w:r>
      <w:r w:rsidR="00B774D7">
        <w:fldChar w:fldCharType="begin"/>
      </w:r>
      <w:r w:rsidR="00B774D7">
        <w:instrText xml:space="preserve"> REF _Ref431283813 \h </w:instrText>
      </w:r>
      <w:r w:rsidR="00B774D7">
        <w:fldChar w:fldCharType="separate"/>
      </w:r>
      <w:r w:rsidR="009C3FE6" w:rsidRPr="0032214A">
        <w:t xml:space="preserve">Table </w:t>
      </w:r>
      <w:r w:rsidR="009C3FE6">
        <w:rPr>
          <w:noProof/>
        </w:rPr>
        <w:t>98</w:t>
      </w:r>
      <w:r w:rsidR="00B774D7">
        <w:fldChar w:fldCharType="end"/>
      </w:r>
      <w:r w:rsidR="00B774D7">
        <w:t xml:space="preserve"> to </w:t>
      </w:r>
      <w:r w:rsidR="00B774D7">
        <w:fldChar w:fldCharType="begin"/>
      </w:r>
      <w:r w:rsidR="00B774D7">
        <w:instrText xml:space="preserve"> REF _Ref448738150 \h </w:instrText>
      </w:r>
      <w:r w:rsidR="00B774D7">
        <w:fldChar w:fldCharType="separate"/>
      </w:r>
      <w:r w:rsidR="003E4452">
        <w:rPr>
          <w:noProof/>
        </w:rPr>
        <w:t>100</w:t>
      </w:r>
      <w:r w:rsidR="00B774D7">
        <w:fldChar w:fldCharType="end"/>
      </w:r>
      <w:r w:rsidR="00B774D7">
        <w:t xml:space="preserve"> in </w:t>
      </w:r>
      <w:r w:rsidR="00DA6BB9">
        <w:rPr>
          <w:highlight w:val="yellow"/>
        </w:rPr>
        <w:fldChar w:fldCharType="begin"/>
      </w:r>
      <w:r w:rsidR="00DA6BB9">
        <w:instrText xml:space="preserve"> REF _Ref448824415 \h </w:instrText>
      </w:r>
      <w:r w:rsidR="00DA6BB9">
        <w:rPr>
          <w:highlight w:val="yellow"/>
        </w:rPr>
      </w:r>
      <w:r w:rsidR="00DA6BB9">
        <w:rPr>
          <w:highlight w:val="yellow"/>
        </w:rPr>
        <w:fldChar w:fldCharType="separate"/>
      </w:r>
      <w:r w:rsidR="00460601">
        <w:t xml:space="preserve">Appendix </w:t>
      </w:r>
      <w:r w:rsidR="00460601">
        <w:rPr>
          <w:noProof/>
        </w:rPr>
        <w:t>J</w:t>
      </w:r>
      <w:r w:rsidR="00DA6BB9">
        <w:rPr>
          <w:highlight w:val="yellow"/>
        </w:rPr>
        <w:fldChar w:fldCharType="end"/>
      </w:r>
      <w:r w:rsidR="00DA6BB9">
        <w:t xml:space="preserve">. </w:t>
      </w:r>
      <w:r w:rsidR="00B774D7">
        <w:t xml:space="preserve">Further text regarding the safety implications of CMR, </w:t>
      </w:r>
      <w:r w:rsidR="00A21115">
        <w:t>echocardiography</w:t>
      </w:r>
      <w:r w:rsidR="00B774D7">
        <w:t>, SPECT, CTCA, ICA, and their components of radiation risk, stressors and contrast agents</w:t>
      </w:r>
      <w:r w:rsidR="00750D71">
        <w:t>,</w:t>
      </w:r>
      <w:r w:rsidR="00B774D7">
        <w:t xml:space="preserve"> may be found in the concurrent MSAC assessment </w:t>
      </w:r>
      <w:r w:rsidR="00750D71">
        <w:t xml:space="preserve">no. </w:t>
      </w:r>
      <w:r w:rsidR="00B774D7">
        <w:t xml:space="preserve">1237 </w:t>
      </w:r>
      <w:r w:rsidR="00A9379A">
        <w:t>’</w:t>
      </w:r>
      <w:r w:rsidR="00B774D7" w:rsidRPr="009C3FE6">
        <w:t>Cardiac MRI for myocardial stress perfusion and viability imaging in patients with known or suspected coronary artery disease</w:t>
      </w:r>
      <w:r w:rsidR="00A9379A">
        <w:t>’</w:t>
      </w:r>
      <w:r w:rsidR="00B774D7">
        <w:t xml:space="preserve"> </w:t>
      </w:r>
      <w:r w:rsidR="00DA6BB9">
        <w:rPr>
          <w:szCs w:val="23"/>
        </w:rPr>
        <w:fldChar w:fldCharType="begin"/>
      </w:r>
      <w:r w:rsidR="00DA6BB9">
        <w:rPr>
          <w:szCs w:val="23"/>
        </w:rPr>
        <w:instrText xml:space="preserve"> ADDIN EN.CITE &lt;EndNote&gt;&lt;Cite&gt;&lt;Author&gt;Morona&lt;/Author&gt;&lt;Year&gt;unpublished&lt;/Year&gt;&lt;RecNum&gt;120&lt;/RecNum&gt;&lt;DisplayText&gt;(Morona et al. unpublished)&lt;/DisplayText&gt;&lt;record&gt;&lt;rec-number&gt;120&lt;/rec-number&gt;&lt;foreign-keys&gt;&lt;key app="EN" db-id="pfxxvref0t0a5de2vwnv2fwkz0p9v0r2fw0t" timestamp="1458690408"&gt;120&lt;/key&gt;&lt;/foreign-keys&gt;&lt;ref-type name="Report"&gt;27&lt;/ref-type&gt;&lt;contributors&gt;&lt;authors&gt;&lt;author&gt;Morona, JK&lt;/author&gt;&lt;author&gt;Kessels, S&lt;/author&gt;&lt;author&gt;Vogan, A&lt;/author&gt;&lt;author&gt;Mittal, R&lt;/author&gt;&lt;author&gt;Newton, S&lt;/author&gt;&lt;author&gt;Parsons, J&lt;/author&gt;&lt;author&gt;Milverton, J&lt;/author&gt;&lt;author&gt;Ellery, B&lt;/author&gt;&lt;author&gt;Schubert, C&lt;/author&gt;&lt;author&gt;Merlin, T.&lt;/author&gt;&lt;/authors&gt;&lt;/contributors&gt;&lt;titles&gt;&lt;title&gt;Cardiac MRI for myocardial stress perfusion and viability imaging in patients with known or suspected coronary artery disease&lt;/title&gt;&lt;secondary-title&gt;MSAC Application Number 1237&lt;/secondary-title&gt;&lt;/titles&gt;&lt;dates&gt;&lt;year&gt;unpublished&lt;/year&gt;&lt;/dates&gt;&lt;pub-location&gt;Canberra&lt;/pub-location&gt;&lt;publisher&gt;Commonwealth of Australia&lt;/publisher&gt;&lt;urls&gt;&lt;/urls&gt;&lt;/record&gt;&lt;/Cite&gt;&lt;/EndNote&gt;</w:instrText>
      </w:r>
      <w:r w:rsidR="00DA6BB9">
        <w:rPr>
          <w:szCs w:val="23"/>
        </w:rPr>
        <w:fldChar w:fldCharType="separate"/>
      </w:r>
      <w:r w:rsidR="00DA6BB9">
        <w:rPr>
          <w:noProof/>
          <w:szCs w:val="23"/>
        </w:rPr>
        <w:t>(</w:t>
      </w:r>
      <w:hyperlink w:anchor="_ENREF_87" w:tooltip="Morona, unpublished #120" w:history="1">
        <w:r w:rsidR="00B906E9">
          <w:rPr>
            <w:noProof/>
            <w:szCs w:val="23"/>
          </w:rPr>
          <w:t>Morona et al. unpublished</w:t>
        </w:r>
      </w:hyperlink>
      <w:r w:rsidR="00DA6BB9">
        <w:rPr>
          <w:noProof/>
          <w:szCs w:val="23"/>
        </w:rPr>
        <w:t>)</w:t>
      </w:r>
      <w:r w:rsidR="00DA6BB9">
        <w:rPr>
          <w:szCs w:val="23"/>
        </w:rPr>
        <w:fldChar w:fldCharType="end"/>
      </w:r>
      <w:r w:rsidR="00DA6BB9">
        <w:rPr>
          <w:szCs w:val="23"/>
        </w:rPr>
        <w:t>.</w:t>
      </w:r>
    </w:p>
    <w:p w14:paraId="5480F004" w14:textId="517E153C" w:rsidR="00B774D7" w:rsidRDefault="00B774D7" w:rsidP="00161B88">
      <w:pPr>
        <w:pStyle w:val="Heading3"/>
      </w:pPr>
      <w:bookmarkStart w:id="453" w:name="_Toc451501354"/>
      <w:r>
        <w:t xml:space="preserve">Safety concerns in tests performed after an indeterminate </w:t>
      </w:r>
      <w:r w:rsidR="00A21115">
        <w:t>echocardiography</w:t>
      </w:r>
      <w:r>
        <w:t xml:space="preserve"> result</w:t>
      </w:r>
      <w:bookmarkEnd w:id="453"/>
    </w:p>
    <w:p w14:paraId="7184BDAA" w14:textId="19281B47" w:rsidR="00B774D7" w:rsidRPr="00AD221F" w:rsidRDefault="00B774D7" w:rsidP="004C79C1">
      <w:pPr>
        <w:tabs>
          <w:tab w:val="left" w:pos="6237"/>
        </w:tabs>
        <w:spacing w:after="120" w:line="240" w:lineRule="auto"/>
        <w:jc w:val="both"/>
      </w:pPr>
      <w:r>
        <w:t xml:space="preserve">The tests used after an indeterminate </w:t>
      </w:r>
      <w:r w:rsidR="00A21115">
        <w:t>echocardiography</w:t>
      </w:r>
      <w:r>
        <w:t xml:space="preserve"> are GHPS, contrast </w:t>
      </w:r>
      <w:r w:rsidR="00A21115">
        <w:t>echocardiography</w:t>
      </w:r>
      <w:r>
        <w:t xml:space="preserve"> or CMR, in order to determine if the patient has DCM or some other aetiology for their HF symptoms. All these tests have good safety profiles, with the rate of serious </w:t>
      </w:r>
      <w:r w:rsidR="0010587A">
        <w:t>AEs</w:t>
      </w:r>
      <w:r w:rsidR="009648E0">
        <w:t xml:space="preserve"> </w:t>
      </w:r>
      <w:r>
        <w:t xml:space="preserve">being 3 cases per 10,000 or less (see </w:t>
      </w:r>
      <w:r>
        <w:fldChar w:fldCharType="begin"/>
      </w:r>
      <w:r>
        <w:instrText xml:space="preserve"> REF _Ref435781516 \h  \* MERGEFORMAT </w:instrText>
      </w:r>
      <w:r>
        <w:fldChar w:fldCharType="separate"/>
      </w:r>
      <w:r w:rsidR="0049194C" w:rsidRPr="00C91AD8">
        <w:t xml:space="preserve">Figure </w:t>
      </w:r>
      <w:r w:rsidR="0049194C">
        <w:t>29</w:t>
      </w:r>
      <w:r>
        <w:fldChar w:fldCharType="end"/>
      </w:r>
      <w:r>
        <w:t>). The long</w:t>
      </w:r>
      <w:r w:rsidR="009648E0">
        <w:t>-</w:t>
      </w:r>
      <w:r>
        <w:t xml:space="preserve">term mortality attributable to CMR and GHPS were similar, due to the use of contrast for CMR (gadolinium) and radiation for GHPS, with negligible risk of mortality attributable to contrast </w:t>
      </w:r>
      <w:r w:rsidR="00A21115">
        <w:t>echocardiography</w:t>
      </w:r>
      <w:r>
        <w:t xml:space="preserve"> (see </w:t>
      </w:r>
      <w:r>
        <w:fldChar w:fldCharType="begin"/>
      </w:r>
      <w:r>
        <w:instrText xml:space="preserve"> REF _Ref445908984 \h  \* MERGEFORMAT </w:instrText>
      </w:r>
      <w:r>
        <w:fldChar w:fldCharType="separate"/>
      </w:r>
      <w:r w:rsidR="0049194C">
        <w:t xml:space="preserve">Figure </w:t>
      </w:r>
      <w:r w:rsidR="0049194C">
        <w:rPr>
          <w:noProof/>
        </w:rPr>
        <w:t>38</w:t>
      </w:r>
      <w:r>
        <w:fldChar w:fldCharType="end"/>
      </w:r>
      <w:r>
        <w:t xml:space="preserve">). Further details may be found in </w:t>
      </w:r>
      <w:r>
        <w:fldChar w:fldCharType="begin"/>
      </w:r>
      <w:r>
        <w:instrText xml:space="preserve"> REF _Ref431283813 \h  \* MERGEFORMAT </w:instrText>
      </w:r>
      <w:r>
        <w:fldChar w:fldCharType="separate"/>
      </w:r>
      <w:r w:rsidR="0049194C" w:rsidRPr="0032214A">
        <w:rPr>
          <w:noProof/>
        </w:rPr>
        <w:t>Table</w:t>
      </w:r>
      <w:r w:rsidR="0049194C" w:rsidRPr="0032214A">
        <w:t xml:space="preserve"> </w:t>
      </w:r>
      <w:r w:rsidR="0049194C">
        <w:rPr>
          <w:noProof/>
        </w:rPr>
        <w:t>98</w:t>
      </w:r>
      <w:r>
        <w:fldChar w:fldCharType="end"/>
      </w:r>
      <w:r w:rsidR="00226F7E">
        <w:t xml:space="preserve">, </w:t>
      </w:r>
      <w:r w:rsidR="00226F7E">
        <w:fldChar w:fldCharType="begin"/>
      </w:r>
      <w:r w:rsidR="00226F7E">
        <w:instrText xml:space="preserve"> REF _Ref448824415 \h </w:instrText>
      </w:r>
      <w:r w:rsidR="00226F7E">
        <w:fldChar w:fldCharType="separate"/>
      </w:r>
      <w:r w:rsidR="0049194C">
        <w:t xml:space="preserve">Appendix </w:t>
      </w:r>
      <w:r w:rsidR="0049194C">
        <w:rPr>
          <w:noProof/>
        </w:rPr>
        <w:t>J</w:t>
      </w:r>
      <w:r w:rsidR="00226F7E">
        <w:fldChar w:fldCharType="end"/>
      </w:r>
      <w:r>
        <w:t xml:space="preserve">. </w:t>
      </w:r>
    </w:p>
    <w:p w14:paraId="2355EBEB" w14:textId="3A0211DD" w:rsidR="00B774D7" w:rsidRDefault="00792EB5" w:rsidP="004C79C1">
      <w:pPr>
        <w:spacing w:after="120" w:line="240" w:lineRule="auto"/>
        <w:jc w:val="center"/>
        <w:rPr>
          <w:lang w:eastAsia="en-US"/>
        </w:rPr>
      </w:pPr>
      <w:r>
        <w:rPr>
          <w:noProof/>
        </w:rPr>
        <w:t>[</w:t>
      </w:r>
      <w:r w:rsidR="00B774D7">
        <w:rPr>
          <w:noProof/>
        </w:rPr>
        <w:drawing>
          <wp:inline distT="0" distB="0" distL="0" distR="0" wp14:anchorId="68C8246A" wp14:editId="4365F8AE">
            <wp:extent cx="3907790" cy="2755900"/>
            <wp:effectExtent l="0" t="0" r="0" b="6350"/>
            <wp:docPr id="54" name="Picture 54" descr="Contrast Echo shows a rate of serious AEs of 3 per 10,000. LGE-CMR is 0.7, and GHPS i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7790" cy="2755900"/>
                    </a:xfrm>
                    <a:prstGeom prst="rect">
                      <a:avLst/>
                    </a:prstGeom>
                    <a:noFill/>
                  </pic:spPr>
                </pic:pic>
              </a:graphicData>
            </a:graphic>
          </wp:inline>
        </w:drawing>
      </w:r>
    </w:p>
    <w:p w14:paraId="32485E4E" w14:textId="0ADEC043" w:rsidR="00B774D7" w:rsidRPr="00C91AD8" w:rsidRDefault="00B774D7" w:rsidP="004C79C1">
      <w:pPr>
        <w:pStyle w:val="Caption"/>
        <w:rPr>
          <w:noProof/>
        </w:rPr>
      </w:pPr>
      <w:bookmarkStart w:id="454" w:name="_Ref435781516"/>
      <w:bookmarkStart w:id="455" w:name="_Toc436645367"/>
      <w:bookmarkStart w:id="456" w:name="_Toc439954465"/>
      <w:bookmarkStart w:id="457" w:name="_Toc324410186"/>
      <w:bookmarkStart w:id="458" w:name="_Toc451435475"/>
      <w:r w:rsidRPr="00C91AD8">
        <w:rPr>
          <w:noProof/>
        </w:rPr>
        <w:t xml:space="preserve">Figure </w:t>
      </w:r>
      <w:r w:rsidRPr="00C91AD8">
        <w:rPr>
          <w:noProof/>
        </w:rPr>
        <w:fldChar w:fldCharType="begin"/>
      </w:r>
      <w:r w:rsidRPr="00C91AD8">
        <w:rPr>
          <w:noProof/>
        </w:rPr>
        <w:instrText xml:space="preserve"> SEQ Figure \* ARABIC </w:instrText>
      </w:r>
      <w:r w:rsidRPr="00C91AD8">
        <w:rPr>
          <w:noProof/>
        </w:rPr>
        <w:fldChar w:fldCharType="separate"/>
      </w:r>
      <w:r w:rsidR="00050936">
        <w:rPr>
          <w:noProof/>
        </w:rPr>
        <w:t>29</w:t>
      </w:r>
      <w:r w:rsidRPr="00C91AD8">
        <w:rPr>
          <w:noProof/>
        </w:rPr>
        <w:fldChar w:fldCharType="end"/>
      </w:r>
      <w:bookmarkEnd w:id="454"/>
      <w:r w:rsidRPr="00C91AD8">
        <w:rPr>
          <w:noProof/>
        </w:rPr>
        <w:tab/>
      </w:r>
      <w:bookmarkEnd w:id="455"/>
      <w:r w:rsidRPr="00C91AD8">
        <w:rPr>
          <w:noProof/>
        </w:rPr>
        <w:t>Estimated risk of serious AEs for different imaging procedures</w:t>
      </w:r>
      <w:bookmarkEnd w:id="456"/>
      <w:r w:rsidRPr="00D27881">
        <w:rPr>
          <w:noProof/>
        </w:rPr>
        <w:t xml:space="preserve"> </w:t>
      </w:r>
      <w:r>
        <w:rPr>
          <w:noProof/>
        </w:rPr>
        <w:t xml:space="preserve">used </w:t>
      </w:r>
      <w:r w:rsidRPr="00D27881">
        <w:rPr>
          <w:noProof/>
        </w:rPr>
        <w:t xml:space="preserve">for investigating whether the patient has DCM (after unclear </w:t>
      </w:r>
      <w:r w:rsidR="00A21115">
        <w:rPr>
          <w:noProof/>
        </w:rPr>
        <w:t>echocardiography</w:t>
      </w:r>
      <w:r w:rsidRPr="00D27881">
        <w:rPr>
          <w:noProof/>
        </w:rPr>
        <w:t>)</w:t>
      </w:r>
      <w:bookmarkEnd w:id="457"/>
      <w:bookmarkEnd w:id="458"/>
    </w:p>
    <w:p w14:paraId="1D569833" w14:textId="241F5435" w:rsidR="00B774D7" w:rsidRPr="00C91AD8" w:rsidRDefault="00B774D7" w:rsidP="004C79C1">
      <w:pPr>
        <w:spacing w:after="120" w:line="240" w:lineRule="auto"/>
        <w:jc w:val="both"/>
        <w:rPr>
          <w:rFonts w:ascii="Arial Narrow" w:hAnsi="Arial Narrow"/>
          <w:bCs/>
          <w:sz w:val="20"/>
          <w:lang w:eastAsia="en-US"/>
        </w:rPr>
      </w:pPr>
      <w:r w:rsidRPr="00C91AD8">
        <w:rPr>
          <w:rFonts w:ascii="Arial Narrow" w:hAnsi="Arial Narrow"/>
          <w:bCs/>
          <w:sz w:val="20"/>
          <w:lang w:eastAsia="en-US"/>
        </w:rPr>
        <w:t xml:space="preserve">AE = adverse event; </w:t>
      </w:r>
      <w:r w:rsidR="00C31D40" w:rsidRPr="00BE183D">
        <w:rPr>
          <w:rFonts w:ascii="Arial Narrow" w:hAnsi="Arial Narrow"/>
          <w:bCs/>
          <w:sz w:val="20"/>
          <w:lang w:eastAsia="en-US"/>
        </w:rPr>
        <w:t xml:space="preserve">DCM = </w:t>
      </w:r>
      <w:r w:rsidR="00C31D40" w:rsidRPr="0049194C">
        <w:rPr>
          <w:rFonts w:ascii="Arial Narrow" w:hAnsi="Arial Narrow"/>
          <w:bCs/>
          <w:sz w:val="20"/>
          <w:lang w:eastAsia="en-US"/>
        </w:rPr>
        <w:t>dilated cardiomyopathy</w:t>
      </w:r>
      <w:r w:rsidR="00C31D40" w:rsidRPr="00BE183D">
        <w:rPr>
          <w:rFonts w:ascii="Arial Narrow" w:hAnsi="Arial Narrow"/>
          <w:bCs/>
          <w:sz w:val="20"/>
          <w:lang w:eastAsia="en-US"/>
        </w:rPr>
        <w:t xml:space="preserve">; </w:t>
      </w:r>
      <w:r w:rsidRPr="00BE183D">
        <w:rPr>
          <w:rFonts w:ascii="Arial Narrow" w:hAnsi="Arial Narrow"/>
          <w:bCs/>
          <w:sz w:val="20"/>
          <w:lang w:eastAsia="en-US"/>
        </w:rPr>
        <w:t>E</w:t>
      </w:r>
      <w:r>
        <w:rPr>
          <w:rFonts w:ascii="Arial Narrow" w:hAnsi="Arial Narrow"/>
          <w:bCs/>
          <w:sz w:val="20"/>
          <w:lang w:eastAsia="en-US"/>
        </w:rPr>
        <w:t>cho</w:t>
      </w:r>
      <w:r w:rsidRPr="00C91AD8">
        <w:rPr>
          <w:rFonts w:ascii="Arial Narrow" w:hAnsi="Arial Narrow"/>
          <w:bCs/>
          <w:sz w:val="20"/>
          <w:lang w:eastAsia="en-US"/>
        </w:rPr>
        <w:t xml:space="preserve"> = echocardiography; </w:t>
      </w:r>
      <w:r>
        <w:rPr>
          <w:rFonts w:ascii="Arial Narrow" w:hAnsi="Arial Narrow"/>
          <w:bCs/>
          <w:sz w:val="20"/>
          <w:lang w:eastAsia="en-US"/>
        </w:rPr>
        <w:t xml:space="preserve">GHP = gated heart pool; </w:t>
      </w:r>
      <w:r w:rsidRPr="00C91AD8">
        <w:rPr>
          <w:rFonts w:ascii="Arial Narrow" w:hAnsi="Arial Narrow"/>
          <w:bCs/>
          <w:sz w:val="20"/>
          <w:lang w:eastAsia="en-US"/>
        </w:rPr>
        <w:t>LGE</w:t>
      </w:r>
      <w:r>
        <w:rPr>
          <w:rFonts w:ascii="Arial Narrow" w:hAnsi="Arial Narrow"/>
          <w:bCs/>
          <w:sz w:val="20"/>
          <w:lang w:eastAsia="en-US"/>
        </w:rPr>
        <w:t>-CMR</w:t>
      </w:r>
      <w:r w:rsidRPr="00C91AD8">
        <w:rPr>
          <w:rFonts w:ascii="Arial Narrow" w:hAnsi="Arial Narrow"/>
          <w:bCs/>
          <w:sz w:val="20"/>
          <w:lang w:eastAsia="en-US"/>
        </w:rPr>
        <w:t xml:space="preserve"> = late gadolinium enhancement</w:t>
      </w:r>
      <w:r>
        <w:rPr>
          <w:rFonts w:ascii="Arial Narrow" w:hAnsi="Arial Narrow"/>
          <w:bCs/>
          <w:sz w:val="20"/>
          <w:lang w:eastAsia="en-US"/>
        </w:rPr>
        <w:t xml:space="preserve"> </w:t>
      </w:r>
      <w:r w:rsidRPr="00C91AD8">
        <w:rPr>
          <w:rFonts w:ascii="Arial Narrow" w:hAnsi="Arial Narrow"/>
          <w:bCs/>
          <w:sz w:val="20"/>
          <w:lang w:eastAsia="en-US"/>
        </w:rPr>
        <w:t>car</w:t>
      </w:r>
      <w:r>
        <w:rPr>
          <w:rFonts w:ascii="Arial Narrow" w:hAnsi="Arial Narrow"/>
          <w:bCs/>
          <w:sz w:val="20"/>
          <w:lang w:eastAsia="en-US"/>
        </w:rPr>
        <w:t xml:space="preserve">diac magnetic resonance </w:t>
      </w:r>
      <w:r w:rsidR="001138BE">
        <w:rPr>
          <w:rFonts w:ascii="Arial Narrow" w:hAnsi="Arial Narrow"/>
          <w:bCs/>
          <w:sz w:val="20"/>
          <w:lang w:eastAsia="en-US"/>
        </w:rPr>
        <w:t>(</w:t>
      </w:r>
      <w:r>
        <w:rPr>
          <w:rFonts w:ascii="Arial Narrow" w:hAnsi="Arial Narrow"/>
          <w:bCs/>
          <w:sz w:val="20"/>
          <w:lang w:eastAsia="en-US"/>
        </w:rPr>
        <w:t>imaging</w:t>
      </w:r>
      <w:r w:rsidR="001138BE">
        <w:rPr>
          <w:rFonts w:ascii="Arial Narrow" w:hAnsi="Arial Narrow"/>
          <w:bCs/>
          <w:sz w:val="20"/>
          <w:lang w:eastAsia="en-US"/>
        </w:rPr>
        <w:t>)</w:t>
      </w:r>
    </w:p>
    <w:p w14:paraId="1E19A968" w14:textId="77777777" w:rsidR="00B774D7" w:rsidRDefault="00B774D7" w:rsidP="004C79C1">
      <w:pPr>
        <w:spacing w:after="120" w:line="240" w:lineRule="auto"/>
        <w:jc w:val="center"/>
        <w:rPr>
          <w:lang w:eastAsia="en-US"/>
        </w:rPr>
      </w:pPr>
      <w:r>
        <w:rPr>
          <w:noProof/>
        </w:rPr>
        <w:lastRenderedPageBreak/>
        <w:drawing>
          <wp:inline distT="0" distB="0" distL="0" distR="0" wp14:anchorId="1E471FB1" wp14:editId="40E4396F">
            <wp:extent cx="4188460" cy="2755900"/>
            <wp:effectExtent l="0" t="0" r="2540" b="6350"/>
            <wp:docPr id="57" name="Picture 57" descr="LGE-CMR has long term death rate of 6.8 per 10,000. GHPS has long term death rate of 7.8 per 10,000. Contrast Echo rate is negligible. " title="Estimated acute and long-term mortality rates for different imaging procedures used for investigating whether the patient has DCM (after unclear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8460" cy="2755900"/>
                    </a:xfrm>
                    <a:prstGeom prst="rect">
                      <a:avLst/>
                    </a:prstGeom>
                    <a:noFill/>
                  </pic:spPr>
                </pic:pic>
              </a:graphicData>
            </a:graphic>
          </wp:inline>
        </w:drawing>
      </w:r>
    </w:p>
    <w:p w14:paraId="5984BC31" w14:textId="3FE281D1" w:rsidR="00B774D7" w:rsidRPr="00C91AD8" w:rsidRDefault="00B774D7" w:rsidP="004C79C1">
      <w:pPr>
        <w:pStyle w:val="Caption"/>
        <w:rPr>
          <w:noProof/>
        </w:rPr>
      </w:pPr>
      <w:bookmarkStart w:id="459" w:name="_Ref435781525"/>
      <w:bookmarkStart w:id="460" w:name="_Toc436645368"/>
      <w:bookmarkStart w:id="461" w:name="_Toc439954466"/>
      <w:bookmarkStart w:id="462" w:name="_Toc324410187"/>
      <w:bookmarkStart w:id="463" w:name="_Toc451435476"/>
      <w:r w:rsidRPr="00C91AD8">
        <w:rPr>
          <w:noProof/>
        </w:rPr>
        <w:t xml:space="preserve">Figure </w:t>
      </w:r>
      <w:r w:rsidRPr="00C91AD8">
        <w:rPr>
          <w:noProof/>
        </w:rPr>
        <w:fldChar w:fldCharType="begin"/>
      </w:r>
      <w:r w:rsidRPr="00C91AD8">
        <w:rPr>
          <w:noProof/>
        </w:rPr>
        <w:instrText xml:space="preserve"> SEQ Figure \* ARABIC </w:instrText>
      </w:r>
      <w:r w:rsidRPr="00C91AD8">
        <w:rPr>
          <w:noProof/>
        </w:rPr>
        <w:fldChar w:fldCharType="separate"/>
      </w:r>
      <w:r w:rsidR="00050936">
        <w:rPr>
          <w:noProof/>
        </w:rPr>
        <w:t>30</w:t>
      </w:r>
      <w:r w:rsidRPr="00C91AD8">
        <w:rPr>
          <w:noProof/>
        </w:rPr>
        <w:fldChar w:fldCharType="end"/>
      </w:r>
      <w:bookmarkEnd w:id="459"/>
      <w:r w:rsidRPr="00C91AD8">
        <w:rPr>
          <w:noProof/>
        </w:rPr>
        <w:tab/>
      </w:r>
      <w:bookmarkEnd w:id="460"/>
      <w:r w:rsidRPr="00C91AD8">
        <w:rPr>
          <w:noProof/>
        </w:rPr>
        <w:t>Estimated acute and long-term mortality rates for different imaging procedures</w:t>
      </w:r>
      <w:bookmarkEnd w:id="461"/>
      <w:r w:rsidRPr="00D27881">
        <w:rPr>
          <w:noProof/>
        </w:rPr>
        <w:t xml:space="preserve"> used for investigating whether the patient has DCM (after unclear </w:t>
      </w:r>
      <w:r w:rsidR="00A21115">
        <w:rPr>
          <w:noProof/>
        </w:rPr>
        <w:t>echocardiography</w:t>
      </w:r>
      <w:r w:rsidRPr="00D27881">
        <w:rPr>
          <w:noProof/>
        </w:rPr>
        <w:t>)</w:t>
      </w:r>
      <w:bookmarkEnd w:id="462"/>
      <w:bookmarkEnd w:id="463"/>
    </w:p>
    <w:p w14:paraId="54349398" w14:textId="3010850F" w:rsidR="00B774D7" w:rsidRPr="00C91AD8" w:rsidRDefault="00B774D7" w:rsidP="004C79C1">
      <w:pPr>
        <w:spacing w:after="120" w:line="240" w:lineRule="auto"/>
        <w:jc w:val="both"/>
        <w:rPr>
          <w:rFonts w:ascii="Arial Narrow" w:hAnsi="Arial Narrow"/>
          <w:bCs/>
          <w:sz w:val="20"/>
        </w:rPr>
      </w:pPr>
      <w:r w:rsidRPr="00C91AD8">
        <w:rPr>
          <w:rFonts w:ascii="Arial Narrow" w:hAnsi="Arial Narrow"/>
          <w:bCs/>
          <w:sz w:val="20"/>
        </w:rPr>
        <w:t>E</w:t>
      </w:r>
      <w:r>
        <w:rPr>
          <w:rFonts w:ascii="Arial Narrow" w:hAnsi="Arial Narrow"/>
          <w:bCs/>
          <w:sz w:val="20"/>
        </w:rPr>
        <w:t>cho</w:t>
      </w:r>
      <w:r w:rsidRPr="00C91AD8">
        <w:rPr>
          <w:rFonts w:ascii="Arial Narrow" w:hAnsi="Arial Narrow"/>
          <w:bCs/>
          <w:sz w:val="20"/>
        </w:rPr>
        <w:t xml:space="preserve"> = echocardiography; </w:t>
      </w:r>
      <w:r>
        <w:rPr>
          <w:rFonts w:ascii="Arial Narrow" w:hAnsi="Arial Narrow"/>
          <w:bCs/>
          <w:sz w:val="20"/>
          <w:lang w:eastAsia="en-US"/>
        </w:rPr>
        <w:t>GHP = gated heart pool;</w:t>
      </w:r>
      <w:r w:rsidRPr="00C91AD8">
        <w:rPr>
          <w:rFonts w:ascii="Arial Narrow" w:hAnsi="Arial Narrow"/>
          <w:bCs/>
          <w:sz w:val="20"/>
        </w:rPr>
        <w:t xml:space="preserve"> LGE-CMR</w:t>
      </w:r>
      <w:r>
        <w:rPr>
          <w:rFonts w:ascii="Arial Narrow" w:hAnsi="Arial Narrow"/>
          <w:bCs/>
          <w:sz w:val="20"/>
        </w:rPr>
        <w:t xml:space="preserve"> = late gadolinium enhancement</w:t>
      </w:r>
      <w:r w:rsidRPr="00C91AD8">
        <w:rPr>
          <w:rFonts w:ascii="Arial Narrow" w:hAnsi="Arial Narrow"/>
          <w:bCs/>
          <w:sz w:val="20"/>
        </w:rPr>
        <w:t xml:space="preserve"> card</w:t>
      </w:r>
      <w:r>
        <w:rPr>
          <w:rFonts w:ascii="Arial Narrow" w:hAnsi="Arial Narrow"/>
          <w:bCs/>
          <w:sz w:val="20"/>
        </w:rPr>
        <w:t xml:space="preserve">iac magnetic resonance </w:t>
      </w:r>
      <w:r w:rsidR="002B2D1C">
        <w:rPr>
          <w:rFonts w:ascii="Arial Narrow" w:hAnsi="Arial Narrow"/>
          <w:bCs/>
          <w:sz w:val="20"/>
        </w:rPr>
        <w:t>(</w:t>
      </w:r>
      <w:r>
        <w:rPr>
          <w:rFonts w:ascii="Arial Narrow" w:hAnsi="Arial Narrow"/>
          <w:bCs/>
          <w:sz w:val="20"/>
        </w:rPr>
        <w:t>imaging</w:t>
      </w:r>
      <w:r w:rsidR="002B2D1C">
        <w:rPr>
          <w:rFonts w:ascii="Arial Narrow" w:hAnsi="Arial Narrow"/>
          <w:bCs/>
          <w:sz w:val="20"/>
        </w:rPr>
        <w:t>)</w:t>
      </w:r>
      <w:r>
        <w:rPr>
          <w:rFonts w:ascii="Arial Narrow" w:hAnsi="Arial Narrow"/>
          <w:bCs/>
          <w:sz w:val="20"/>
        </w:rPr>
        <w:t>; LT = long</w:t>
      </w:r>
      <w:r w:rsidR="00084762">
        <w:rPr>
          <w:rFonts w:ascii="Arial Narrow" w:hAnsi="Arial Narrow"/>
          <w:bCs/>
          <w:sz w:val="20"/>
        </w:rPr>
        <w:t>-</w:t>
      </w:r>
      <w:r>
        <w:rPr>
          <w:rFonts w:ascii="Arial Narrow" w:hAnsi="Arial Narrow"/>
          <w:bCs/>
          <w:sz w:val="20"/>
        </w:rPr>
        <w:t>term</w:t>
      </w:r>
    </w:p>
    <w:p w14:paraId="570114D4" w14:textId="5FC9BA2E" w:rsidR="00B774D7" w:rsidRDefault="00B774D7" w:rsidP="00161B88">
      <w:pPr>
        <w:pStyle w:val="Heading3"/>
      </w:pPr>
      <w:bookmarkStart w:id="464" w:name="_Toc451501355"/>
      <w:r>
        <w:t>Safety concerns in tests performed to determine the aetiology of NIDCM</w:t>
      </w:r>
      <w:r w:rsidR="002150FB">
        <w:t xml:space="preserve"> in patients </w:t>
      </w:r>
      <w:r w:rsidR="007615A6">
        <w:t xml:space="preserve">with </w:t>
      </w:r>
      <w:r w:rsidR="00D23B8C">
        <w:t xml:space="preserve">a </w:t>
      </w:r>
      <w:r w:rsidR="00A82906">
        <w:t xml:space="preserve">dilated LV and a </w:t>
      </w:r>
      <w:r w:rsidR="002150FB">
        <w:t>low risk of CAD</w:t>
      </w:r>
      <w:bookmarkEnd w:id="464"/>
    </w:p>
    <w:p w14:paraId="5F88EA1F" w14:textId="4CE47770" w:rsidR="00B774D7" w:rsidRDefault="00B774D7" w:rsidP="004C79C1">
      <w:pPr>
        <w:spacing w:after="120" w:line="240" w:lineRule="auto"/>
        <w:jc w:val="both"/>
      </w:pPr>
      <w:r>
        <w:t xml:space="preserve">For determining the aetiology of NIDCM, the comparator </w:t>
      </w:r>
      <w:r w:rsidR="007615A6">
        <w:t xml:space="preserve">with </w:t>
      </w:r>
      <w:r>
        <w:t xml:space="preserve">CRM is defined as </w:t>
      </w:r>
      <w:r w:rsidR="007615A6">
        <w:t>‘</w:t>
      </w:r>
      <w:r>
        <w:t>further test</w:t>
      </w:r>
      <w:r w:rsidR="007615A6">
        <w:t>ing’</w:t>
      </w:r>
      <w:r>
        <w:t xml:space="preserve">, which is predominantly expected to be blood tests. The risks of this are considered negligible. In Australia, </w:t>
      </w:r>
      <w:r w:rsidR="007615A6">
        <w:t>EMB</w:t>
      </w:r>
      <w:r>
        <w:t xml:space="preserve">s are performed only very rarely, so they are not considered to be a comparator </w:t>
      </w:r>
      <w:r w:rsidR="007615A6">
        <w:t xml:space="preserve">with </w:t>
      </w:r>
      <w:r>
        <w:t>CMR</w:t>
      </w:r>
      <w:r w:rsidR="007615A6">
        <w:t>;</w:t>
      </w:r>
      <w:r>
        <w:t xml:space="preserve"> however, expert opinion is that CMR would replace (or triage to) a very small </w:t>
      </w:r>
      <w:r w:rsidR="008138D3">
        <w:t xml:space="preserve">number </w:t>
      </w:r>
      <w:r>
        <w:t xml:space="preserve">of </w:t>
      </w:r>
      <w:r w:rsidR="008138D3">
        <w:t>EMB</w:t>
      </w:r>
      <w:r>
        <w:t xml:space="preserve">s. The safety implications of these biopsies are therefore considered, alongside CMR and blood tests in </w:t>
      </w:r>
      <w:r>
        <w:fldChar w:fldCharType="begin"/>
      </w:r>
      <w:r>
        <w:instrText xml:space="preserve"> REF _Ref448755692 \h  \* MERGEFORMAT </w:instrText>
      </w:r>
      <w:r>
        <w:fldChar w:fldCharType="separate"/>
      </w:r>
      <w:r w:rsidR="0049194C" w:rsidRPr="00EE130A">
        <w:t xml:space="preserve">Figure </w:t>
      </w:r>
      <w:r w:rsidR="0049194C" w:rsidRPr="0049194C">
        <w:t>31</w:t>
      </w:r>
      <w:r>
        <w:fldChar w:fldCharType="end"/>
      </w:r>
      <w:r>
        <w:t xml:space="preserve"> and </w:t>
      </w:r>
      <w:r>
        <w:fldChar w:fldCharType="begin"/>
      </w:r>
      <w:r>
        <w:instrText xml:space="preserve"> REF _Ref448755697 \h  \* MERGEFORMAT </w:instrText>
      </w:r>
      <w:r>
        <w:fldChar w:fldCharType="separate"/>
      </w:r>
      <w:r w:rsidR="0049194C" w:rsidRPr="00EE130A">
        <w:t xml:space="preserve">Figure </w:t>
      </w:r>
      <w:r w:rsidR="0049194C" w:rsidRPr="0049194C">
        <w:t>32</w:t>
      </w:r>
      <w:r>
        <w:fldChar w:fldCharType="end"/>
      </w:r>
      <w:r>
        <w:t xml:space="preserve">. </w:t>
      </w:r>
    </w:p>
    <w:p w14:paraId="182600E4" w14:textId="059A0D0F" w:rsidR="00B774D7" w:rsidRPr="00FB05A7" w:rsidRDefault="00B774D7" w:rsidP="004C79C1">
      <w:pPr>
        <w:spacing w:after="120" w:line="240" w:lineRule="auto"/>
        <w:jc w:val="both"/>
        <w:rPr>
          <w:b/>
          <w:lang w:eastAsia="en-US"/>
        </w:rPr>
      </w:pPr>
      <w:r>
        <w:t xml:space="preserve">Data on </w:t>
      </w:r>
      <w:r w:rsidR="008138D3">
        <w:t>EMBs</w:t>
      </w:r>
      <w:r>
        <w:t xml:space="preserve"> are limited and derived from single</w:t>
      </w:r>
      <w:r w:rsidR="008138D3">
        <w:t xml:space="preserve"> </w:t>
      </w:r>
      <w:r>
        <w:t>centres and registries, and individual complications are based on case reports</w:t>
      </w:r>
      <w:r w:rsidR="008138D3">
        <w:t>,</w:t>
      </w:r>
      <w:r>
        <w:t xml:space="preserve"> so calculable risks or rates are limited. A recent study of 9</w:t>
      </w:r>
      <w:r w:rsidR="008138D3">
        <w:t>,</w:t>
      </w:r>
      <w:r>
        <w:t xml:space="preserve">508 adult patients using an inpatient database in Japan reported a complication rate of 0.9%, with complications defined as urgent procedures required on the day of biopsy or the day after, including pericardiocentesis and surgical repair, and temporary pacing </w:t>
      </w:r>
      <w:r>
        <w:fldChar w:fldCharType="begin"/>
      </w:r>
      <w:r>
        <w:instrText xml:space="preserve"> ADDIN EN.CITE &lt;EndNote&gt;&lt;Cite&gt;&lt;Author&gt;Isogai&lt;/Author&gt;&lt;Year&gt;2015&lt;/Year&gt;&lt;RecNum&gt;130&lt;/RecNum&gt;&lt;IDText&gt;164-170&lt;/IDText&gt;&lt;DisplayText&gt;(Isogai et al. 2015)&lt;/DisplayText&gt;&lt;record&gt;&lt;rec-number&gt;130&lt;/rec-number&gt;&lt;foreign-keys&gt;&lt;key app="EN" db-id="pfxxvref0t0a5de2vwnv2fwkz0p9v0r2fw0t" timestamp="1458714100"&gt;130&lt;/key&gt;&lt;/foreign-keys&gt;&lt;ref-type name="Journal Article"&gt;17&lt;/ref-type&gt;&lt;contributors&gt;&lt;authors&gt;&lt;author&gt;Isogai, Toshiaki&lt;/author&gt;&lt;author&gt;Yasunaga, Hideo&lt;/author&gt;&lt;author&gt;Matsui, Hiroki&lt;/author&gt;&lt;author&gt;Ueda, Tetsuro&lt;/author&gt;&lt;author&gt;Tanaka, Hiroyuki&lt;/author&gt;&lt;author&gt;Horiguchi, Hiromasa&lt;/author&gt;&lt;author&gt;Fushimi, Kiyohide&lt;/author&gt;&lt;/authors&gt;&lt;/contributors&gt;&lt;titles&gt;&lt;title&gt;Hospital Volume and Cardiac Complications of Endomyocardial Biopsy: A Retrospective Cohort Study of 9508 Adult Patients Using a Nationwide Inpatient Database in Japan&lt;/title&gt;&lt;secondary-title&gt;Clinical Cardiology&lt;/secondary-title&gt;&lt;/titles&gt;&lt;periodical&gt;&lt;full-title&gt;Clinical Cardiology&lt;/full-title&gt;&lt;/periodical&gt;&lt;pages&gt;164-170&lt;/pages&gt;&lt;volume&gt;38&lt;/volume&gt;&lt;number&gt;3&lt;/number&gt;&lt;dates&gt;&lt;year&gt;2015&lt;/year&gt;&lt;/dates&gt;&lt;publisher&gt;Wiley Periodicals, Inc.&lt;/publisher&gt;&lt;isbn&gt;1932-8737&lt;/isbn&gt;&lt;urls&gt;&lt;related-urls&gt;&lt;url&gt;http://dx.doi.org/10.1002/clc.22368&lt;/url&gt;&lt;/related-urls&gt;&lt;/urls&gt;&lt;electronic-resource-num&gt;10.1002/clc.22368&lt;/electronic-resource-num&gt;&lt;/record&gt;&lt;/Cite&gt;&lt;/EndNote&gt;</w:instrText>
      </w:r>
      <w:r>
        <w:fldChar w:fldCharType="separate"/>
      </w:r>
      <w:r>
        <w:rPr>
          <w:noProof/>
        </w:rPr>
        <w:t>(</w:t>
      </w:r>
      <w:hyperlink w:anchor="_ENREF_55" w:tooltip="Isogai, 2015 #130" w:history="1">
        <w:r w:rsidR="00B906E9">
          <w:rPr>
            <w:noProof/>
          </w:rPr>
          <w:t>Isogai et al. 2015</w:t>
        </w:r>
      </w:hyperlink>
      <w:r>
        <w:rPr>
          <w:noProof/>
        </w:rPr>
        <w:t>)</w:t>
      </w:r>
      <w:r>
        <w:fldChar w:fldCharType="end"/>
      </w:r>
      <w:r>
        <w:t xml:space="preserve">. The in-hospital mortality rate was 1.4% in this study. Other studies have reported lower mortality rates. EMB can be </w:t>
      </w:r>
      <w:proofErr w:type="gramStart"/>
      <w:r>
        <w:t>fluoroscopy</w:t>
      </w:r>
      <w:r w:rsidR="00C055C0">
        <w:t>-</w:t>
      </w:r>
      <w:r>
        <w:t xml:space="preserve"> or </w:t>
      </w:r>
      <w:r w:rsidR="0049194C">
        <w:t>echocardioagram</w:t>
      </w:r>
      <w:r>
        <w:t>-guided</w:t>
      </w:r>
      <w:proofErr w:type="gramEnd"/>
      <w:r w:rsidR="00C055C0">
        <w:t>.</w:t>
      </w:r>
      <w:r>
        <w:t xml:space="preserve"> </w:t>
      </w:r>
      <w:r w:rsidR="00C055C0">
        <w:t>T</w:t>
      </w:r>
      <w:r>
        <w:t xml:space="preserve">here are risks associated with fluoroscopy that relate to radiation dose and contrast agent, although details were difficult to find. A study in children and young adults reported that doses for cardiac catheterisation procedures have been falling over the last two decades, </w:t>
      </w:r>
      <w:r w:rsidR="00C055C0">
        <w:t>and</w:t>
      </w:r>
      <w:r>
        <w:t xml:space="preserve"> another study of radiation dose during cardiac catheterisation for congenital heart conditions found that dose was not related to fluoroscopy time. </w:t>
      </w:r>
      <w:r>
        <w:fldChar w:fldCharType="begin">
          <w:fldData xml:space="preserve">PEVuZE5vdGU+PENpdGU+PEF1dGhvcj5IYXJicm9uPC9BdXRob3I+PFllYXI+MjAxNTwvWWVhcj48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</w:fldData>
        </w:fldChar>
      </w:r>
      <w:r>
        <w:instrText xml:space="preserve"> ADDIN EN.CITE </w:instrText>
      </w:r>
      <w:r>
        <w:fldChar w:fldCharType="begin">
          <w:fldData xml:space="preserve">PEVuZE5vdGU+PENpdGU+PEF1dGhvcj5IYXJicm9uPC9BdXRob3I+PFllYXI+MjAxNTwvWWVhcj48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</w:fldData>
        </w:fldChar>
      </w:r>
      <w:r>
        <w:instrText xml:space="preserve"> ADDIN EN.CITE.DATA </w:instrText>
      </w:r>
      <w:r>
        <w:fldChar w:fldCharType="end"/>
      </w:r>
      <w:r>
        <w:fldChar w:fldCharType="separate"/>
      </w:r>
      <w:r>
        <w:rPr>
          <w:noProof/>
        </w:rPr>
        <w:t>(</w:t>
      </w:r>
      <w:hyperlink w:anchor="_ENREF_44" w:tooltip="Ghelani, 2014 #128" w:history="1">
        <w:r w:rsidR="00B906E9">
          <w:rPr>
            <w:noProof/>
          </w:rPr>
          <w:t>Ghelani et al. 2014</w:t>
        </w:r>
      </w:hyperlink>
      <w:r>
        <w:rPr>
          <w:noProof/>
        </w:rPr>
        <w:t xml:space="preserve">; </w:t>
      </w:r>
      <w:hyperlink w:anchor="_ENREF_50" w:tooltip="Harbron, 2015 #129" w:history="1">
        <w:r w:rsidR="00B906E9">
          <w:rPr>
            <w:noProof/>
          </w:rPr>
          <w:t>Harbron et al. 2015</w:t>
        </w:r>
      </w:hyperlink>
      <w:r>
        <w:rPr>
          <w:noProof/>
        </w:rPr>
        <w:t>)</w:t>
      </w:r>
      <w:r>
        <w:fldChar w:fldCharType="end"/>
      </w:r>
      <w:r>
        <w:t xml:space="preserve">. The potential complications, and the range of complication rates reported in the literature, are listed in </w:t>
      </w:r>
      <w:r>
        <w:fldChar w:fldCharType="begin"/>
      </w:r>
      <w:r>
        <w:instrText xml:space="preserve"> REF _Ref431283813 \h  \* MERGEFORMAT </w:instrText>
      </w:r>
      <w:r>
        <w:fldChar w:fldCharType="separate"/>
      </w:r>
      <w:r w:rsidR="0049194C" w:rsidRPr="0032214A">
        <w:t xml:space="preserve">Table </w:t>
      </w:r>
      <w:r w:rsidR="0049194C">
        <w:rPr>
          <w:noProof/>
        </w:rPr>
        <w:t>98</w:t>
      </w:r>
      <w:r>
        <w:fldChar w:fldCharType="end"/>
      </w:r>
      <w:r w:rsidR="00226F7E">
        <w:t xml:space="preserve">, </w:t>
      </w:r>
      <w:r w:rsidR="00226F7E">
        <w:fldChar w:fldCharType="begin"/>
      </w:r>
      <w:r w:rsidR="00226F7E">
        <w:instrText xml:space="preserve"> REF _Ref448824415 \h </w:instrText>
      </w:r>
      <w:r w:rsidR="00226F7E">
        <w:fldChar w:fldCharType="separate"/>
      </w:r>
      <w:r w:rsidR="00460601">
        <w:t xml:space="preserve">Appendix </w:t>
      </w:r>
      <w:r w:rsidR="00460601">
        <w:rPr>
          <w:noProof/>
        </w:rPr>
        <w:t>J</w:t>
      </w:r>
      <w:r w:rsidR="00226F7E">
        <w:fldChar w:fldCharType="end"/>
      </w:r>
      <w:r w:rsidR="00226F7E">
        <w:t>.</w:t>
      </w:r>
    </w:p>
    <w:p w14:paraId="7710E3AA" w14:textId="77777777" w:rsidR="00B774D7" w:rsidRDefault="00B774D7" w:rsidP="004C79C1">
      <w:pPr>
        <w:spacing w:after="120" w:line="240" w:lineRule="auto"/>
        <w:jc w:val="center"/>
        <w:rPr>
          <w:lang w:eastAsia="en-US"/>
        </w:rPr>
      </w:pPr>
      <w:r>
        <w:rPr>
          <w:noProof/>
        </w:rPr>
        <w:lastRenderedPageBreak/>
        <w:drawing>
          <wp:inline distT="0" distB="0" distL="0" distR="0" wp14:anchorId="46ACB940" wp14:editId="343588B7">
            <wp:extent cx="3749675" cy="2755900"/>
            <wp:effectExtent l="0" t="0" r="3175" b="6350"/>
            <wp:docPr id="64" name="Picture 64" descr="Serious AEs from CMR and blood tests is negligible. Endomyocardial biopsies are associated with a risk of 100 per 10,000. " title="Estimated risk of serious AEs for different imaging procedures used for investigating the aetiology of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9675" cy="2755900"/>
                    </a:xfrm>
                    <a:prstGeom prst="rect">
                      <a:avLst/>
                    </a:prstGeom>
                    <a:noFill/>
                  </pic:spPr>
                </pic:pic>
              </a:graphicData>
            </a:graphic>
          </wp:inline>
        </w:drawing>
      </w:r>
    </w:p>
    <w:p w14:paraId="5DFAE964" w14:textId="77777777" w:rsidR="00B774D7" w:rsidRPr="00C91AD8" w:rsidRDefault="00B774D7" w:rsidP="004C79C1">
      <w:pPr>
        <w:pStyle w:val="Caption"/>
        <w:rPr>
          <w:noProof/>
        </w:rPr>
      </w:pPr>
      <w:bookmarkStart w:id="465" w:name="_Ref448755692"/>
      <w:bookmarkStart w:id="466" w:name="_Toc324410188"/>
      <w:bookmarkStart w:id="467" w:name="_Toc451435477"/>
      <w:r w:rsidRPr="0049194C">
        <w:rPr>
          <w:noProof/>
        </w:rPr>
        <w:t xml:space="preserve">Figure </w:t>
      </w:r>
      <w:r w:rsidRPr="0049194C">
        <w:rPr>
          <w:noProof/>
        </w:rPr>
        <w:fldChar w:fldCharType="begin"/>
      </w:r>
      <w:r w:rsidRPr="0049194C">
        <w:rPr>
          <w:noProof/>
        </w:rPr>
        <w:instrText xml:space="preserve"> SEQ Figure \* ARABIC </w:instrText>
      </w:r>
      <w:r w:rsidRPr="0049194C">
        <w:rPr>
          <w:noProof/>
        </w:rPr>
        <w:fldChar w:fldCharType="separate"/>
      </w:r>
      <w:r w:rsidR="00050936" w:rsidRPr="0049194C">
        <w:rPr>
          <w:noProof/>
        </w:rPr>
        <w:t>31</w:t>
      </w:r>
      <w:r w:rsidRPr="0049194C">
        <w:rPr>
          <w:noProof/>
        </w:rPr>
        <w:fldChar w:fldCharType="end"/>
      </w:r>
      <w:bookmarkEnd w:id="465"/>
      <w:r w:rsidRPr="0049194C">
        <w:rPr>
          <w:noProof/>
        </w:rPr>
        <w:tab/>
        <w:t>Estimated risk of serious AEs for different imaging procedures used for investigating the aetiology of NIDCM</w:t>
      </w:r>
      <w:bookmarkEnd w:id="466"/>
      <w:bookmarkEnd w:id="467"/>
    </w:p>
    <w:p w14:paraId="7DD88C3F" w14:textId="328A76BD" w:rsidR="00B774D7" w:rsidRPr="00C91AD8" w:rsidRDefault="00B774D7" w:rsidP="004C79C1">
      <w:pPr>
        <w:spacing w:after="120" w:line="240" w:lineRule="auto"/>
        <w:jc w:val="both"/>
        <w:rPr>
          <w:rFonts w:ascii="Arial Narrow" w:hAnsi="Arial Narrow"/>
          <w:bCs/>
          <w:sz w:val="20"/>
        </w:rPr>
      </w:pPr>
      <w:r w:rsidRPr="00397A78">
        <w:rPr>
          <w:rFonts w:ascii="Arial Narrow" w:hAnsi="Arial Narrow"/>
          <w:bCs/>
          <w:sz w:val="20"/>
        </w:rPr>
        <w:t xml:space="preserve">AE = adverse event; </w:t>
      </w:r>
      <w:r w:rsidR="00A82FA9">
        <w:rPr>
          <w:rFonts w:ascii="Arial Narrow" w:hAnsi="Arial Narrow"/>
          <w:bCs/>
          <w:sz w:val="20"/>
        </w:rPr>
        <w:t>biopsy</w:t>
      </w:r>
      <w:r w:rsidR="00D72C5B" w:rsidRPr="00397A78">
        <w:rPr>
          <w:rFonts w:ascii="Arial Narrow" w:hAnsi="Arial Narrow"/>
          <w:bCs/>
          <w:sz w:val="20"/>
        </w:rPr>
        <w:t xml:space="preserve"> </w:t>
      </w:r>
      <w:r w:rsidRPr="00397A78">
        <w:rPr>
          <w:rFonts w:ascii="Arial Narrow" w:hAnsi="Arial Narrow"/>
          <w:bCs/>
          <w:sz w:val="20"/>
        </w:rPr>
        <w:t xml:space="preserve">= endomyocardial biopsy; </w:t>
      </w:r>
      <w:r w:rsidRPr="00C91AD8">
        <w:rPr>
          <w:rFonts w:ascii="Arial Narrow" w:hAnsi="Arial Narrow"/>
          <w:bCs/>
          <w:sz w:val="20"/>
        </w:rPr>
        <w:t>LGE-CMR = late gadolinium enhancement card</w:t>
      </w:r>
      <w:r>
        <w:rPr>
          <w:rFonts w:ascii="Arial Narrow" w:hAnsi="Arial Narrow"/>
          <w:bCs/>
          <w:sz w:val="20"/>
        </w:rPr>
        <w:t xml:space="preserve">iac magnetic resonance </w:t>
      </w:r>
      <w:r w:rsidR="002B2D1C">
        <w:rPr>
          <w:rFonts w:ascii="Arial Narrow" w:hAnsi="Arial Narrow"/>
          <w:bCs/>
          <w:sz w:val="20"/>
        </w:rPr>
        <w:t>(</w:t>
      </w:r>
      <w:r>
        <w:rPr>
          <w:rFonts w:ascii="Arial Narrow" w:hAnsi="Arial Narrow"/>
          <w:bCs/>
          <w:sz w:val="20"/>
        </w:rPr>
        <w:t>imaging</w:t>
      </w:r>
      <w:r w:rsidR="002B2D1C">
        <w:rPr>
          <w:rFonts w:ascii="Arial Narrow" w:hAnsi="Arial Narrow"/>
          <w:bCs/>
          <w:sz w:val="20"/>
        </w:rPr>
        <w:t>)</w:t>
      </w:r>
    </w:p>
    <w:p w14:paraId="6A874FDB" w14:textId="77777777" w:rsidR="00B774D7" w:rsidRDefault="00B774D7" w:rsidP="004C79C1">
      <w:pPr>
        <w:spacing w:after="120" w:line="240" w:lineRule="auto"/>
        <w:jc w:val="center"/>
        <w:rPr>
          <w:lang w:eastAsia="en-US"/>
        </w:rPr>
      </w:pPr>
      <w:r>
        <w:rPr>
          <w:noProof/>
        </w:rPr>
        <w:drawing>
          <wp:inline distT="0" distB="0" distL="0" distR="0" wp14:anchorId="503B1182" wp14:editId="755511D5">
            <wp:extent cx="4005580" cy="2822575"/>
            <wp:effectExtent l="0" t="0" r="0" b="0"/>
            <wp:docPr id="63" name="Picture 63" descr="Risk of long term mortality from CMR due to contrast is under 10 per 10,000. Risk from biopsy is 70 per 10,000. " title="Estimated acute and long-term mortality rates for different imaging procedures used for investigating the aetiology of NI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5580" cy="2822575"/>
                    </a:xfrm>
                    <a:prstGeom prst="rect">
                      <a:avLst/>
                    </a:prstGeom>
                    <a:noFill/>
                  </pic:spPr>
                </pic:pic>
              </a:graphicData>
            </a:graphic>
          </wp:inline>
        </w:drawing>
      </w:r>
    </w:p>
    <w:p w14:paraId="640F697C" w14:textId="77777777" w:rsidR="00B774D7" w:rsidRPr="00C91AD8" w:rsidRDefault="00B774D7" w:rsidP="004C79C1">
      <w:pPr>
        <w:pStyle w:val="Caption"/>
        <w:rPr>
          <w:noProof/>
        </w:rPr>
      </w:pPr>
      <w:bookmarkStart w:id="468" w:name="_Ref448755697"/>
      <w:bookmarkStart w:id="469" w:name="_Toc324410189"/>
      <w:bookmarkStart w:id="470" w:name="_Toc451435478"/>
      <w:r w:rsidRPr="0049194C">
        <w:rPr>
          <w:noProof/>
        </w:rPr>
        <w:t xml:space="preserve">Figure </w:t>
      </w:r>
      <w:r w:rsidRPr="0049194C">
        <w:rPr>
          <w:noProof/>
        </w:rPr>
        <w:fldChar w:fldCharType="begin"/>
      </w:r>
      <w:r w:rsidRPr="0049194C">
        <w:rPr>
          <w:noProof/>
        </w:rPr>
        <w:instrText xml:space="preserve"> SEQ Figure \* ARABIC </w:instrText>
      </w:r>
      <w:r w:rsidRPr="0049194C">
        <w:rPr>
          <w:noProof/>
        </w:rPr>
        <w:fldChar w:fldCharType="separate"/>
      </w:r>
      <w:r w:rsidR="00050936" w:rsidRPr="0049194C">
        <w:rPr>
          <w:noProof/>
        </w:rPr>
        <w:t>32</w:t>
      </w:r>
      <w:r w:rsidRPr="0049194C">
        <w:rPr>
          <w:noProof/>
        </w:rPr>
        <w:fldChar w:fldCharType="end"/>
      </w:r>
      <w:bookmarkEnd w:id="468"/>
      <w:r w:rsidRPr="0049194C">
        <w:rPr>
          <w:noProof/>
        </w:rPr>
        <w:tab/>
        <w:t>Estimated acute and long-term mortality rates for different imaging procedures used for investigating the aetiology of NIDCM</w:t>
      </w:r>
      <w:bookmarkEnd w:id="469"/>
      <w:bookmarkEnd w:id="470"/>
    </w:p>
    <w:p w14:paraId="3E4EAD96" w14:textId="04C860D3" w:rsidR="00B774D7" w:rsidRPr="0034522C" w:rsidRDefault="00A82FA9" w:rsidP="004C79C1">
      <w:pPr>
        <w:spacing w:after="120" w:line="240" w:lineRule="auto"/>
        <w:jc w:val="both"/>
        <w:rPr>
          <w:rFonts w:ascii="Arial Narrow" w:hAnsi="Arial Narrow"/>
          <w:bCs/>
          <w:sz w:val="20"/>
          <w:szCs w:val="20"/>
          <w:lang w:eastAsia="en-US"/>
        </w:rPr>
      </w:pPr>
      <w:proofErr w:type="gramStart"/>
      <w:r>
        <w:rPr>
          <w:rFonts w:ascii="Arial Narrow" w:hAnsi="Arial Narrow"/>
          <w:bCs/>
          <w:sz w:val="20"/>
          <w:lang w:eastAsia="en-US"/>
        </w:rPr>
        <w:t>biopsy</w:t>
      </w:r>
      <w:proofErr w:type="gramEnd"/>
      <w:r w:rsidR="00BE183D">
        <w:rPr>
          <w:rFonts w:ascii="Arial Narrow" w:hAnsi="Arial Narrow"/>
          <w:bCs/>
          <w:sz w:val="20"/>
          <w:lang w:eastAsia="en-US"/>
        </w:rPr>
        <w:t xml:space="preserve"> </w:t>
      </w:r>
      <w:r w:rsidR="00B774D7">
        <w:rPr>
          <w:rFonts w:ascii="Arial Narrow" w:hAnsi="Arial Narrow"/>
          <w:bCs/>
          <w:sz w:val="20"/>
          <w:lang w:eastAsia="en-US"/>
        </w:rPr>
        <w:t>= e</w:t>
      </w:r>
      <w:r w:rsidR="00B774D7" w:rsidRPr="00F7764A">
        <w:rPr>
          <w:rFonts w:ascii="Arial Narrow" w:hAnsi="Arial Narrow"/>
          <w:bCs/>
          <w:sz w:val="20"/>
          <w:lang w:eastAsia="en-US"/>
        </w:rPr>
        <w:t>ndomyocardial biopsy</w:t>
      </w:r>
      <w:r w:rsidR="00B774D7">
        <w:rPr>
          <w:rFonts w:ascii="Arial Narrow" w:hAnsi="Arial Narrow"/>
          <w:bCs/>
          <w:sz w:val="20"/>
          <w:lang w:eastAsia="en-US"/>
        </w:rPr>
        <w:t xml:space="preserve">; </w:t>
      </w:r>
      <w:r w:rsidR="00B774D7" w:rsidRPr="00C91AD8">
        <w:rPr>
          <w:rFonts w:ascii="Arial Narrow" w:hAnsi="Arial Narrow"/>
          <w:bCs/>
          <w:sz w:val="20"/>
          <w:lang w:eastAsia="en-US"/>
        </w:rPr>
        <w:t>LGE-CMR = late gadolinium enhancement card</w:t>
      </w:r>
      <w:r w:rsidR="00B774D7">
        <w:rPr>
          <w:rFonts w:ascii="Arial Narrow" w:hAnsi="Arial Narrow"/>
          <w:bCs/>
          <w:sz w:val="20"/>
          <w:lang w:eastAsia="en-US"/>
        </w:rPr>
        <w:t xml:space="preserve">iac magnetic resonance </w:t>
      </w:r>
      <w:r w:rsidR="002B2D1C">
        <w:rPr>
          <w:rFonts w:ascii="Arial Narrow" w:hAnsi="Arial Narrow"/>
          <w:bCs/>
          <w:sz w:val="20"/>
          <w:lang w:eastAsia="en-US"/>
        </w:rPr>
        <w:t>(</w:t>
      </w:r>
      <w:r w:rsidR="00B774D7">
        <w:rPr>
          <w:rFonts w:ascii="Arial Narrow" w:hAnsi="Arial Narrow"/>
          <w:bCs/>
          <w:sz w:val="20"/>
          <w:lang w:eastAsia="en-US"/>
        </w:rPr>
        <w:t>imaging</w:t>
      </w:r>
      <w:r w:rsidR="002B2D1C">
        <w:rPr>
          <w:rFonts w:ascii="Arial Narrow" w:hAnsi="Arial Narrow"/>
          <w:bCs/>
          <w:sz w:val="20"/>
          <w:lang w:eastAsia="en-US"/>
        </w:rPr>
        <w:t>)</w:t>
      </w:r>
      <w:r w:rsidR="00EC6DE2">
        <w:rPr>
          <w:rFonts w:ascii="Arial Narrow" w:hAnsi="Arial Narrow"/>
          <w:bCs/>
          <w:sz w:val="20"/>
          <w:lang w:eastAsia="en-US"/>
        </w:rPr>
        <w:t xml:space="preserve">; </w:t>
      </w:r>
      <w:r w:rsidR="00EC6DE2" w:rsidRPr="0034522C">
        <w:rPr>
          <w:rFonts w:ascii="Arial Narrow" w:hAnsi="Arial Narrow"/>
          <w:bCs/>
          <w:sz w:val="20"/>
          <w:lang w:eastAsia="en-US"/>
        </w:rPr>
        <w:t xml:space="preserve">LT </w:t>
      </w:r>
      <w:r w:rsidR="00AF0FA5" w:rsidRPr="0034522C">
        <w:rPr>
          <w:rFonts w:ascii="Arial Narrow" w:hAnsi="Arial Narrow"/>
          <w:bCs/>
          <w:sz w:val="20"/>
          <w:szCs w:val="20"/>
        </w:rPr>
        <w:t>= long-term;</w:t>
      </w:r>
      <w:r w:rsidR="00EC6DE2" w:rsidRPr="0034522C">
        <w:rPr>
          <w:rFonts w:ascii="Arial Narrow" w:hAnsi="Arial Narrow"/>
          <w:bCs/>
          <w:sz w:val="20"/>
          <w:szCs w:val="20"/>
          <w:lang w:eastAsia="en-US"/>
        </w:rPr>
        <w:t xml:space="preserve"> NIDCM = </w:t>
      </w:r>
      <w:r w:rsidR="00EC6DE2" w:rsidRPr="0049194C">
        <w:rPr>
          <w:rFonts w:ascii="Arial Narrow" w:hAnsi="Arial Narrow"/>
          <w:color w:val="000000"/>
          <w:sz w:val="20"/>
          <w:szCs w:val="20"/>
        </w:rPr>
        <w:t>non-ischaemic dilated cardiomyopathy</w:t>
      </w:r>
    </w:p>
    <w:p w14:paraId="24E7FD52" w14:textId="607742BA" w:rsidR="002150FB" w:rsidRDefault="002150FB" w:rsidP="00161B88">
      <w:pPr>
        <w:pStyle w:val="Heading3"/>
      </w:pPr>
      <w:bookmarkStart w:id="471" w:name="_Toc451501356"/>
      <w:r>
        <w:t xml:space="preserve">Safety concerns in tests performed to determine whether patients with </w:t>
      </w:r>
      <w:r w:rsidR="00D23B8C">
        <w:t xml:space="preserve">a </w:t>
      </w:r>
      <w:r w:rsidR="00A82906">
        <w:t xml:space="preserve">dilated LV and an </w:t>
      </w:r>
      <w:r>
        <w:t>intermediate risk of CAD</w:t>
      </w:r>
      <w:r w:rsidR="0034522C">
        <w:t xml:space="preserve"> have ischaemia</w:t>
      </w:r>
      <w:bookmarkEnd w:id="471"/>
    </w:p>
    <w:p w14:paraId="72EE06DB" w14:textId="71110602" w:rsidR="002150FB" w:rsidRDefault="002150FB" w:rsidP="004C79C1">
      <w:pPr>
        <w:spacing w:after="120" w:line="240" w:lineRule="auto"/>
        <w:jc w:val="both"/>
      </w:pPr>
      <w:r>
        <w:rPr>
          <w:lang w:eastAsia="en-US"/>
        </w:rPr>
        <w:t xml:space="preserve">For the purpose of determining ischaemia, CMR is an alternative to </w:t>
      </w:r>
      <w:r w:rsidR="00117A52">
        <w:rPr>
          <w:lang w:eastAsia="en-US"/>
        </w:rPr>
        <w:t xml:space="preserve">the </w:t>
      </w:r>
      <w:r>
        <w:rPr>
          <w:lang w:eastAsia="en-US"/>
        </w:rPr>
        <w:t xml:space="preserve">non-invasive imaging modalities of CTCA, SPECT and stress </w:t>
      </w:r>
      <w:r w:rsidR="00A21115">
        <w:rPr>
          <w:lang w:eastAsia="en-US"/>
        </w:rPr>
        <w:t>echocardiography</w:t>
      </w:r>
      <w:r>
        <w:rPr>
          <w:lang w:eastAsia="en-US"/>
        </w:rPr>
        <w:t xml:space="preserve">, and an alternative to ICA. ICAs clearly have the highest rate of serious </w:t>
      </w:r>
      <w:r w:rsidR="00117A52">
        <w:rPr>
          <w:lang w:eastAsia="en-US"/>
        </w:rPr>
        <w:t>AE</w:t>
      </w:r>
      <w:r>
        <w:rPr>
          <w:lang w:eastAsia="en-US"/>
        </w:rPr>
        <w:t>s (</w:t>
      </w:r>
      <w:r>
        <w:rPr>
          <w:lang w:eastAsia="en-US"/>
        </w:rPr>
        <w:fldChar w:fldCharType="begin"/>
      </w:r>
      <w:r>
        <w:rPr>
          <w:lang w:eastAsia="en-US"/>
        </w:rPr>
        <w:instrText xml:space="preserve"> REF _Ref448754540 \h  \* MERGEFORMAT </w:instrText>
      </w:r>
      <w:r>
        <w:rPr>
          <w:lang w:eastAsia="en-US"/>
        </w:rPr>
      </w:r>
      <w:r>
        <w:rPr>
          <w:lang w:eastAsia="en-US"/>
        </w:rPr>
        <w:fldChar w:fldCharType="separate"/>
      </w:r>
      <w:r w:rsidR="0049194C" w:rsidRPr="00C91AD8">
        <w:rPr>
          <w:lang w:eastAsia="en-US"/>
        </w:rPr>
        <w:t xml:space="preserve">Figure </w:t>
      </w:r>
      <w:r w:rsidR="0049194C">
        <w:rPr>
          <w:lang w:eastAsia="en-US"/>
        </w:rPr>
        <w:t>33</w:t>
      </w:r>
      <w:r>
        <w:rPr>
          <w:lang w:eastAsia="en-US"/>
        </w:rPr>
        <w:fldChar w:fldCharType="end"/>
      </w:r>
      <w:r>
        <w:rPr>
          <w:lang w:eastAsia="en-US"/>
        </w:rPr>
        <w:t>) and mortality (</w:t>
      </w:r>
      <w:r>
        <w:rPr>
          <w:lang w:eastAsia="en-US"/>
        </w:rPr>
        <w:fldChar w:fldCharType="begin"/>
      </w:r>
      <w:r>
        <w:rPr>
          <w:lang w:eastAsia="en-US"/>
        </w:rPr>
        <w:instrText xml:space="preserve"> REF _Ref448756542 \h  \* MERGEFORMAT </w:instrText>
      </w:r>
      <w:r>
        <w:rPr>
          <w:lang w:eastAsia="en-US"/>
        </w:rPr>
      </w:r>
      <w:r>
        <w:rPr>
          <w:lang w:eastAsia="en-US"/>
        </w:rPr>
        <w:fldChar w:fldCharType="separate"/>
      </w:r>
      <w:r w:rsidR="0049194C" w:rsidRPr="00C91AD8">
        <w:rPr>
          <w:lang w:eastAsia="en-US"/>
        </w:rPr>
        <w:t xml:space="preserve">Figure </w:t>
      </w:r>
      <w:r w:rsidR="0049194C">
        <w:rPr>
          <w:lang w:eastAsia="en-US"/>
        </w:rPr>
        <w:t>34</w:t>
      </w:r>
      <w:r>
        <w:rPr>
          <w:lang w:eastAsia="en-US"/>
        </w:rPr>
        <w:fldChar w:fldCharType="end"/>
      </w:r>
      <w:r>
        <w:rPr>
          <w:lang w:eastAsia="en-US"/>
        </w:rPr>
        <w:t xml:space="preserve">), due to the invasive nature of the procedure itself. Using non-invasive imaging to triage to ICA will therefore have superior safety for those who are found to be non-ischaemic, but inferior safety for those who are found to have signs </w:t>
      </w:r>
      <w:r>
        <w:rPr>
          <w:lang w:eastAsia="en-US"/>
        </w:rPr>
        <w:lastRenderedPageBreak/>
        <w:t>of ischaemia and have a subsequent ICA. The risks to mortality from the non-invasive techniques are predominantly due to the long</w:t>
      </w:r>
      <w:r w:rsidR="00F40E9C">
        <w:rPr>
          <w:lang w:eastAsia="en-US"/>
        </w:rPr>
        <w:t>-</w:t>
      </w:r>
      <w:r>
        <w:rPr>
          <w:lang w:eastAsia="en-US"/>
        </w:rPr>
        <w:t xml:space="preserve">term effects of radiation and contrast. CMR has similar safety to SPECT, marginally superior safety to CTCA, and clearly superior safety to ICA. Further data may be found in </w:t>
      </w:r>
      <w:r>
        <w:rPr>
          <w:lang w:eastAsia="en-US"/>
        </w:rPr>
        <w:fldChar w:fldCharType="begin"/>
      </w:r>
      <w:r>
        <w:rPr>
          <w:lang w:eastAsia="en-US"/>
        </w:rPr>
        <w:instrText xml:space="preserve"> REF _Ref448757037 \h </w:instrText>
      </w:r>
      <w:r>
        <w:rPr>
          <w:lang w:eastAsia="en-US"/>
        </w:rPr>
      </w:r>
      <w:r>
        <w:rPr>
          <w:lang w:eastAsia="en-US"/>
        </w:rPr>
        <w:fldChar w:fldCharType="separate"/>
      </w:r>
      <w:r w:rsidR="0049194C" w:rsidRPr="0032214A">
        <w:t xml:space="preserve">Table </w:t>
      </w:r>
      <w:r w:rsidR="0049194C">
        <w:rPr>
          <w:noProof/>
        </w:rPr>
        <w:t>99</w:t>
      </w:r>
      <w:r>
        <w:rPr>
          <w:lang w:eastAsia="en-US"/>
        </w:rPr>
        <w:fldChar w:fldCharType="end"/>
      </w:r>
      <w:r>
        <w:rPr>
          <w:lang w:eastAsia="en-US"/>
        </w:rPr>
        <w:t xml:space="preserve">, </w:t>
      </w:r>
      <w:r>
        <w:fldChar w:fldCharType="begin"/>
      </w:r>
      <w:r>
        <w:instrText xml:space="preserve"> REF _Ref448824415 \h </w:instrText>
      </w:r>
      <w:r>
        <w:fldChar w:fldCharType="separate"/>
      </w:r>
      <w:r w:rsidR="0049194C">
        <w:t xml:space="preserve">Appendix </w:t>
      </w:r>
      <w:r w:rsidR="0049194C">
        <w:rPr>
          <w:noProof/>
        </w:rPr>
        <w:t>J</w:t>
      </w:r>
      <w:r>
        <w:fldChar w:fldCharType="end"/>
      </w:r>
      <w:r>
        <w:rPr>
          <w:lang w:eastAsia="en-US"/>
        </w:rPr>
        <w:t xml:space="preserve">. </w:t>
      </w:r>
    </w:p>
    <w:p w14:paraId="38007AC7" w14:textId="77777777" w:rsidR="002150FB" w:rsidRDefault="002150FB" w:rsidP="004C79C1">
      <w:pPr>
        <w:spacing w:after="120" w:line="240" w:lineRule="auto"/>
        <w:jc w:val="center"/>
        <w:rPr>
          <w:lang w:eastAsia="en-US"/>
        </w:rPr>
      </w:pPr>
      <w:r>
        <w:rPr>
          <w:noProof/>
        </w:rPr>
        <w:drawing>
          <wp:inline distT="0" distB="0" distL="0" distR="0" wp14:anchorId="1A852F67" wp14:editId="0278439C">
            <wp:extent cx="5731510" cy="3445624"/>
            <wp:effectExtent l="0" t="0" r="2540" b="2540"/>
            <wp:docPr id="53" name="Picture 53" descr="Figure shows adverse events from ICA are above 150 per 10,000, whereas all the non-invasive tests are below 20 per 10,000. " title="Estimated risk of serious AEs for different imaging procedures used for investigating whether the patient has isch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445624"/>
                    </a:xfrm>
                    <a:prstGeom prst="rect">
                      <a:avLst/>
                    </a:prstGeom>
                    <a:noFill/>
                  </pic:spPr>
                </pic:pic>
              </a:graphicData>
            </a:graphic>
          </wp:inline>
        </w:drawing>
      </w:r>
    </w:p>
    <w:p w14:paraId="05730302" w14:textId="77777777" w:rsidR="002150FB" w:rsidRPr="00C91AD8" w:rsidRDefault="002150FB" w:rsidP="004C79C1">
      <w:pPr>
        <w:pStyle w:val="Caption"/>
        <w:rPr>
          <w:noProof/>
        </w:rPr>
      </w:pPr>
      <w:bookmarkStart w:id="472" w:name="_Ref448754540"/>
      <w:bookmarkStart w:id="473" w:name="_Toc324410190"/>
      <w:bookmarkStart w:id="474" w:name="_Toc451435479"/>
      <w:r w:rsidRPr="00C91AD8">
        <w:rPr>
          <w:noProof/>
        </w:rPr>
        <w:t xml:space="preserve">Figure </w:t>
      </w:r>
      <w:r w:rsidRPr="00C91AD8">
        <w:rPr>
          <w:noProof/>
        </w:rPr>
        <w:fldChar w:fldCharType="begin"/>
      </w:r>
      <w:r w:rsidRPr="00C91AD8">
        <w:rPr>
          <w:noProof/>
        </w:rPr>
        <w:instrText xml:space="preserve"> SEQ Figure \* ARABIC </w:instrText>
      </w:r>
      <w:r w:rsidRPr="00C91AD8">
        <w:rPr>
          <w:noProof/>
        </w:rPr>
        <w:fldChar w:fldCharType="separate"/>
      </w:r>
      <w:r w:rsidR="00050936">
        <w:rPr>
          <w:noProof/>
        </w:rPr>
        <w:t>33</w:t>
      </w:r>
      <w:r w:rsidRPr="00C91AD8">
        <w:rPr>
          <w:noProof/>
        </w:rPr>
        <w:fldChar w:fldCharType="end"/>
      </w:r>
      <w:bookmarkEnd w:id="472"/>
      <w:r w:rsidRPr="00C91AD8">
        <w:rPr>
          <w:noProof/>
        </w:rPr>
        <w:tab/>
        <w:t>Estimated risk of serious AEs for different imaging procedures</w:t>
      </w:r>
      <w:r>
        <w:rPr>
          <w:noProof/>
        </w:rPr>
        <w:t xml:space="preserve"> used for </w:t>
      </w:r>
      <w:r w:rsidRPr="00F7764A">
        <w:rPr>
          <w:noProof/>
        </w:rPr>
        <w:t>investigating whether the patient has ischaemia</w:t>
      </w:r>
      <w:bookmarkEnd w:id="473"/>
      <w:bookmarkEnd w:id="474"/>
    </w:p>
    <w:p w14:paraId="2847079E" w14:textId="5A52E4AA" w:rsidR="002150FB" w:rsidRPr="00C91AD8" w:rsidRDefault="002150FB" w:rsidP="004C79C1">
      <w:pPr>
        <w:spacing w:after="120" w:line="240" w:lineRule="auto"/>
        <w:jc w:val="both"/>
        <w:rPr>
          <w:rFonts w:ascii="Arial Narrow" w:hAnsi="Arial Narrow"/>
          <w:bCs/>
          <w:sz w:val="20"/>
          <w:lang w:eastAsia="en-US"/>
        </w:rPr>
      </w:pPr>
      <w:r w:rsidRPr="00C91AD8">
        <w:rPr>
          <w:rFonts w:ascii="Arial Narrow" w:hAnsi="Arial Narrow"/>
          <w:bCs/>
          <w:sz w:val="20"/>
          <w:lang w:eastAsia="en-US"/>
        </w:rPr>
        <w:t xml:space="preserve">AE = adverse event; </w:t>
      </w:r>
      <w:r w:rsidRPr="00F7764A">
        <w:rPr>
          <w:rFonts w:ascii="Arial Narrow" w:hAnsi="Arial Narrow"/>
          <w:bCs/>
          <w:sz w:val="20"/>
          <w:lang w:eastAsia="en-US"/>
        </w:rPr>
        <w:t xml:space="preserve">CTCA = computed tomography coronary angiography; </w:t>
      </w:r>
      <w:r w:rsidRPr="00C91AD8">
        <w:rPr>
          <w:rFonts w:ascii="Arial Narrow" w:hAnsi="Arial Narrow"/>
          <w:bCs/>
          <w:sz w:val="20"/>
          <w:lang w:eastAsia="en-US"/>
        </w:rPr>
        <w:t>E</w:t>
      </w:r>
      <w:r>
        <w:rPr>
          <w:rFonts w:ascii="Arial Narrow" w:hAnsi="Arial Narrow"/>
          <w:bCs/>
          <w:sz w:val="20"/>
          <w:lang w:eastAsia="en-US"/>
        </w:rPr>
        <w:t>cho</w:t>
      </w:r>
      <w:r w:rsidRPr="00C91AD8">
        <w:rPr>
          <w:rFonts w:ascii="Arial Narrow" w:hAnsi="Arial Narrow"/>
          <w:bCs/>
          <w:sz w:val="20"/>
          <w:lang w:eastAsia="en-US"/>
        </w:rPr>
        <w:t xml:space="preserve"> = echocardiography; ICA = invasive coronary angiography; LGE-CMR = late gadolinium enhancement</w:t>
      </w:r>
      <w:r>
        <w:rPr>
          <w:rFonts w:ascii="Arial Narrow" w:hAnsi="Arial Narrow"/>
          <w:bCs/>
          <w:sz w:val="20"/>
          <w:lang w:eastAsia="en-US"/>
        </w:rPr>
        <w:t xml:space="preserve"> card</w:t>
      </w:r>
      <w:r w:rsidRPr="00C91AD8">
        <w:rPr>
          <w:rFonts w:ascii="Arial Narrow" w:hAnsi="Arial Narrow"/>
          <w:bCs/>
          <w:sz w:val="20"/>
          <w:lang w:eastAsia="en-US"/>
        </w:rPr>
        <w:t xml:space="preserve">iac magnetic resonance </w:t>
      </w:r>
      <w:r w:rsidR="002B2D1C">
        <w:rPr>
          <w:rFonts w:ascii="Arial Narrow" w:hAnsi="Arial Narrow"/>
          <w:bCs/>
          <w:sz w:val="20"/>
          <w:lang w:eastAsia="en-US"/>
        </w:rPr>
        <w:t>(</w:t>
      </w:r>
      <w:r w:rsidRPr="00C91AD8">
        <w:rPr>
          <w:rFonts w:ascii="Arial Narrow" w:hAnsi="Arial Narrow"/>
          <w:bCs/>
          <w:sz w:val="20"/>
          <w:lang w:eastAsia="en-US"/>
        </w:rPr>
        <w:t>imaging</w:t>
      </w:r>
      <w:r w:rsidR="002B2D1C">
        <w:rPr>
          <w:rFonts w:ascii="Arial Narrow" w:hAnsi="Arial Narrow"/>
          <w:bCs/>
          <w:sz w:val="20"/>
          <w:lang w:eastAsia="en-US"/>
        </w:rPr>
        <w:t>)</w:t>
      </w:r>
      <w:r w:rsidRPr="00C91AD8">
        <w:rPr>
          <w:rFonts w:ascii="Arial Narrow" w:hAnsi="Arial Narrow"/>
          <w:bCs/>
          <w:sz w:val="20"/>
          <w:lang w:eastAsia="en-US"/>
        </w:rPr>
        <w:t>; SPECT = single-photon emission computed tomography</w:t>
      </w:r>
    </w:p>
    <w:p w14:paraId="47FC1276" w14:textId="77777777" w:rsidR="002150FB" w:rsidRDefault="002150FB" w:rsidP="004C79C1">
      <w:pPr>
        <w:keepNext/>
        <w:spacing w:after="120" w:line="240" w:lineRule="auto"/>
        <w:jc w:val="center"/>
        <w:rPr>
          <w:lang w:eastAsia="en-US"/>
        </w:rPr>
      </w:pPr>
      <w:r>
        <w:rPr>
          <w:noProof/>
        </w:rPr>
        <w:lastRenderedPageBreak/>
        <w:drawing>
          <wp:inline distT="0" distB="0" distL="0" distR="0" wp14:anchorId="5AC66C32" wp14:editId="7F3662EC">
            <wp:extent cx="5731510" cy="3259210"/>
            <wp:effectExtent l="0" t="0" r="2540" b="0"/>
            <wp:docPr id="52" name="Picture 52" descr="Mortality from contrast is the same for LGE-CMR, CTCA and ICA. SPECT has a high radiation risk, and CTCA and ICA also have radiation risks. ICA also has additional acute risks associated with the procedure. Overall, ICA has the greatest risk of d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259210"/>
                    </a:xfrm>
                    <a:prstGeom prst="rect">
                      <a:avLst/>
                    </a:prstGeom>
                    <a:noFill/>
                  </pic:spPr>
                </pic:pic>
              </a:graphicData>
            </a:graphic>
          </wp:inline>
        </w:drawing>
      </w:r>
    </w:p>
    <w:p w14:paraId="2C5D1F72" w14:textId="77777777" w:rsidR="002150FB" w:rsidRPr="00C91AD8" w:rsidRDefault="002150FB" w:rsidP="004C79C1">
      <w:pPr>
        <w:pStyle w:val="Caption"/>
        <w:rPr>
          <w:noProof/>
        </w:rPr>
      </w:pPr>
      <w:bookmarkStart w:id="475" w:name="_Ref448756542"/>
      <w:bookmarkStart w:id="476" w:name="_Toc324410191"/>
      <w:bookmarkStart w:id="477" w:name="_Toc451435480"/>
      <w:r w:rsidRPr="00C91AD8">
        <w:rPr>
          <w:noProof/>
        </w:rPr>
        <w:t xml:space="preserve">Figure </w:t>
      </w:r>
      <w:r w:rsidRPr="00C91AD8">
        <w:rPr>
          <w:noProof/>
        </w:rPr>
        <w:fldChar w:fldCharType="begin"/>
      </w:r>
      <w:r w:rsidRPr="00C91AD8">
        <w:rPr>
          <w:noProof/>
        </w:rPr>
        <w:instrText xml:space="preserve"> SEQ Figure \* ARABIC </w:instrText>
      </w:r>
      <w:r w:rsidRPr="00C91AD8">
        <w:rPr>
          <w:noProof/>
        </w:rPr>
        <w:fldChar w:fldCharType="separate"/>
      </w:r>
      <w:r w:rsidR="00050936">
        <w:rPr>
          <w:noProof/>
        </w:rPr>
        <w:t>34</w:t>
      </w:r>
      <w:r w:rsidRPr="00C91AD8">
        <w:rPr>
          <w:noProof/>
        </w:rPr>
        <w:fldChar w:fldCharType="end"/>
      </w:r>
      <w:bookmarkEnd w:id="475"/>
      <w:r w:rsidRPr="00C91AD8">
        <w:rPr>
          <w:noProof/>
        </w:rPr>
        <w:tab/>
        <w:t>Estimated acute and long-term mortality rates for different imaging procedures</w:t>
      </w:r>
      <w:r w:rsidRPr="00F7764A">
        <w:rPr>
          <w:noProof/>
        </w:rPr>
        <w:t xml:space="preserve"> used for investigating whether the patient has ischaemia</w:t>
      </w:r>
      <w:bookmarkEnd w:id="476"/>
      <w:bookmarkEnd w:id="477"/>
    </w:p>
    <w:p w14:paraId="0B8C2572" w14:textId="391B451F" w:rsidR="002150FB" w:rsidRPr="00C91AD8" w:rsidRDefault="002150FB" w:rsidP="004C79C1">
      <w:pPr>
        <w:spacing w:after="120" w:line="240" w:lineRule="auto"/>
        <w:jc w:val="both"/>
        <w:rPr>
          <w:rFonts w:ascii="Arial Narrow" w:hAnsi="Arial Narrow"/>
          <w:bCs/>
          <w:sz w:val="20"/>
        </w:rPr>
      </w:pPr>
      <w:r w:rsidRPr="00C91AD8">
        <w:rPr>
          <w:rFonts w:ascii="Arial Narrow" w:hAnsi="Arial Narrow"/>
          <w:bCs/>
          <w:sz w:val="20"/>
        </w:rPr>
        <w:t>CTCA = computed tomography coronary angiography; E</w:t>
      </w:r>
      <w:r>
        <w:rPr>
          <w:rFonts w:ascii="Arial Narrow" w:hAnsi="Arial Narrow"/>
          <w:bCs/>
          <w:sz w:val="20"/>
        </w:rPr>
        <w:t>cho</w:t>
      </w:r>
      <w:r w:rsidRPr="00C91AD8">
        <w:rPr>
          <w:rFonts w:ascii="Arial Narrow" w:hAnsi="Arial Narrow"/>
          <w:bCs/>
          <w:sz w:val="20"/>
        </w:rPr>
        <w:t xml:space="preserve"> = echocardiography; ICA = invasive coronary angiography; LGE-CMR = late gadolinium enhancement</w:t>
      </w:r>
      <w:r w:rsidRPr="00F7764A">
        <w:rPr>
          <w:rFonts w:ascii="Arial Narrow" w:hAnsi="Arial Narrow"/>
          <w:bCs/>
          <w:sz w:val="20"/>
        </w:rPr>
        <w:t xml:space="preserve"> </w:t>
      </w:r>
      <w:r w:rsidRPr="00C91AD8">
        <w:rPr>
          <w:rFonts w:ascii="Arial Narrow" w:hAnsi="Arial Narrow"/>
          <w:bCs/>
          <w:sz w:val="20"/>
        </w:rPr>
        <w:t xml:space="preserve">cardiac magnetic resonance </w:t>
      </w:r>
      <w:r w:rsidR="002B2D1C">
        <w:rPr>
          <w:rFonts w:ascii="Arial Narrow" w:hAnsi="Arial Narrow"/>
          <w:bCs/>
          <w:sz w:val="20"/>
        </w:rPr>
        <w:t>(</w:t>
      </w:r>
      <w:r w:rsidRPr="00C91AD8">
        <w:rPr>
          <w:rFonts w:ascii="Arial Narrow" w:hAnsi="Arial Narrow"/>
          <w:bCs/>
          <w:sz w:val="20"/>
        </w:rPr>
        <w:t>imaging</w:t>
      </w:r>
      <w:r w:rsidR="002B2D1C">
        <w:rPr>
          <w:rFonts w:ascii="Arial Narrow" w:hAnsi="Arial Narrow"/>
          <w:bCs/>
          <w:sz w:val="20"/>
        </w:rPr>
        <w:t>)</w:t>
      </w:r>
      <w:r w:rsidRPr="00C91AD8">
        <w:rPr>
          <w:rFonts w:ascii="Arial Narrow" w:hAnsi="Arial Narrow"/>
          <w:bCs/>
          <w:sz w:val="20"/>
        </w:rPr>
        <w:t>; LT = long-term; SPECT = single-photon emission computed tomography</w:t>
      </w:r>
    </w:p>
    <w:p w14:paraId="5CCA710F" w14:textId="77777777" w:rsidR="004C1460" w:rsidRDefault="004C1460" w:rsidP="004C79C1">
      <w:pPr>
        <w:spacing w:after="120" w:line="240" w:lineRule="auto"/>
        <w:rPr>
          <w:b/>
          <w:smallCaps/>
          <w:sz w:val="28"/>
        </w:rPr>
      </w:pPr>
      <w:bookmarkStart w:id="478" w:name="_Toc446596472"/>
      <w:bookmarkStart w:id="479" w:name="_Toc451501357"/>
      <w:r>
        <w:br w:type="page"/>
      </w:r>
    </w:p>
    <w:p w14:paraId="4A6A219A" w14:textId="4777DF9D" w:rsidR="00B774D7" w:rsidRDefault="009D6530" w:rsidP="004C79C1">
      <w:pPr>
        <w:pStyle w:val="Heading2"/>
        <w:spacing w:before="0" w:after="120" w:line="240" w:lineRule="auto"/>
      </w:pPr>
      <w:r>
        <w:lastRenderedPageBreak/>
        <w:t>B</w:t>
      </w:r>
      <w:r w:rsidR="00B774D7">
        <w:t xml:space="preserve">7.2 Extended </w:t>
      </w:r>
      <w:r w:rsidR="002944B1">
        <w:t>S</w:t>
      </w:r>
      <w:r w:rsidR="00B774D7">
        <w:t xml:space="preserve">afety </w:t>
      </w:r>
      <w:r w:rsidR="002944B1">
        <w:t>A</w:t>
      </w:r>
      <w:r w:rsidR="00B774D7">
        <w:t>ssessment</w:t>
      </w:r>
      <w:bookmarkEnd w:id="478"/>
      <w:bookmarkEnd w:id="479"/>
    </w:p>
    <w:p w14:paraId="6497EC95" w14:textId="44A127CE" w:rsidR="00B774D7" w:rsidRDefault="00B774D7" w:rsidP="004C79C1">
      <w:pPr>
        <w:spacing w:after="120" w:line="240" w:lineRule="auto"/>
        <w:jc w:val="both"/>
      </w:pPr>
      <w:r>
        <w:t xml:space="preserve">From </w:t>
      </w:r>
      <w:r w:rsidR="005C5167">
        <w:t>s</w:t>
      </w:r>
      <w:r>
        <w:t xml:space="preserve">ection B5.1, an Australian study reported that use of CMR re-stratified a large proportion of patients who would otherwise have undergone surgery or had an ICD implanted, allowing </w:t>
      </w:r>
      <w:r w:rsidR="00D6349B">
        <w:t xml:space="preserve">them </w:t>
      </w:r>
      <w:r>
        <w:t xml:space="preserve">to avoid the surgery or implantation. </w:t>
      </w:r>
      <w:r w:rsidR="00D6349B">
        <w:t>T</w:t>
      </w:r>
      <w:r>
        <w:t xml:space="preserve">he safety of this change in management is therefore considered here. </w:t>
      </w:r>
    </w:p>
    <w:p w14:paraId="335BEF97" w14:textId="5D1C67EE" w:rsidR="00B774D7" w:rsidRDefault="00B774D7" w:rsidP="004C79C1">
      <w:pPr>
        <w:spacing w:after="120" w:line="240" w:lineRule="auto"/>
        <w:jc w:val="both"/>
      </w:pPr>
      <w:r>
        <w:t xml:space="preserve">There are harms associated with implantable devices; some are related to implantation and include coronary vein dissection, coronary vein perforation, lead dislodgement, infection, adverse psychological symptoms </w:t>
      </w:r>
      <w:r w:rsidR="00D6349B">
        <w:t>(</w:t>
      </w:r>
      <w:r>
        <w:t>notably anxiety</w:t>
      </w:r>
      <w:r w:rsidR="00D6349B">
        <w:t>)</w:t>
      </w:r>
      <w:r>
        <w:t xml:space="preserve"> and death. In RCTs, </w:t>
      </w:r>
      <w:r w:rsidR="00D6349B">
        <w:t>AE</w:t>
      </w:r>
      <w:r>
        <w:t>s included inappropriate discharge</w:t>
      </w:r>
      <w:r w:rsidR="004F414C">
        <w:t>;</w:t>
      </w:r>
      <w:r>
        <w:t xml:space="preserve"> device-related discomfort</w:t>
      </w:r>
      <w:r w:rsidR="004F414C">
        <w:t>;</w:t>
      </w:r>
      <w:r>
        <w:t xml:space="preserve"> permanent explant because of infection, heart transplantation or patient preference</w:t>
      </w:r>
      <w:r w:rsidR="004F414C">
        <w:t>;</w:t>
      </w:r>
      <w:r>
        <w:t xml:space="preserve"> device dysfunction</w:t>
      </w:r>
      <w:r w:rsidR="004F414C">
        <w:t>;</w:t>
      </w:r>
      <w:r>
        <w:t xml:space="preserve"> pocket erosion requiring removal of ICD</w:t>
      </w:r>
      <w:r w:rsidR="004F414C">
        <w:t>;</w:t>
      </w:r>
      <w:r>
        <w:t xml:space="preserve"> dislodgement or migration of leads</w:t>
      </w:r>
      <w:r w:rsidR="00E17B1C">
        <w:t>;</w:t>
      </w:r>
      <w:r>
        <w:t xml:space="preserve"> dislodgment or fracture of device</w:t>
      </w:r>
      <w:r w:rsidR="00E17B1C">
        <w:t>;</w:t>
      </w:r>
      <w:r>
        <w:t xml:space="preserve"> bleeding requiring reoperation or transfusion</w:t>
      </w:r>
      <w:r w:rsidR="00E17B1C">
        <w:t>;</w:t>
      </w:r>
      <w:r>
        <w:t xml:space="preserve"> and unsuccessful first attempt at implantation</w:t>
      </w:r>
      <w:r w:rsidR="00E17B1C">
        <w:t xml:space="preserve"> </w:t>
      </w:r>
      <w:r>
        <w:fldChar w:fldCharType="begin"/>
      </w:r>
      <w:r>
        <w:instrText xml:space="preserve"> ADDIN EN.CITE &lt;EndNote&gt;&lt;Cite&gt;&lt;Author&gt;National Institute for Health and Care Excellence&lt;/Author&gt;&lt;Year&gt;2014&lt;/Year&gt;&lt;RecNum&gt;65&lt;/RecNum&gt;&lt;DisplayText&gt;(National Institute for Health and Care Excellence 2014)&lt;/DisplayText&gt;&lt;record&gt;&lt;rec-number&gt;65&lt;/rec-number&gt;&lt;foreign-keys&gt;&lt;key app="EN" db-id="a5peextzh2zze2eeawxvd0xzfeas50z9e2av" timestamp="1458178506"&gt;65&lt;/key&gt;&lt;/foreign-keys&gt;&lt;ref-type name="Report"&gt;27&lt;/ref-type&gt;&lt;contributors&gt;&lt;authors&gt;&lt;author&gt;National Institute for Health and Care Excellence,.&lt;/author&gt;&lt;/authors&gt;&lt;/contributors&gt;&lt;titles&gt;&lt;title&gt;Implantable cardioverter defibrillators and cardiac resynchronisation therapy for arrhythmias and heart failure.&lt;/title&gt;&lt;secondary-title&gt;NICE technology appraisal guidance TA314&lt;/secondary-title&gt;&lt;/titles&gt;&lt;dates&gt;&lt;year&gt;2014&lt;/year&gt;&lt;/dates&gt;&lt;pub-location&gt;London&lt;/pub-location&gt;&lt;publisher&gt;NICE&lt;/publisher&gt;&lt;urls&gt;&lt;related-urls&gt;&lt;url&gt;https://www.nice.org.uk/guidance/ta314/chapter/1-Guidance&lt;/url&gt;&lt;/related-urls&gt;&lt;/urls&gt;&lt;/record&gt;&lt;/Cite&gt;&lt;/EndNote&gt;</w:instrText>
      </w:r>
      <w:r>
        <w:fldChar w:fldCharType="separate"/>
      </w:r>
      <w:r>
        <w:rPr>
          <w:noProof/>
        </w:rPr>
        <w:t>(</w:t>
      </w:r>
      <w:hyperlink w:anchor="_ENREF_93" w:tooltip="National Institute for Health and Care Excellence, 2014 #65" w:history="1">
        <w:r w:rsidR="00B906E9">
          <w:rPr>
            <w:noProof/>
          </w:rPr>
          <w:t>National Institute for Health and Care Excellence 2014</w:t>
        </w:r>
      </w:hyperlink>
      <w:r>
        <w:rPr>
          <w:noProof/>
        </w:rPr>
        <w:t>)</w:t>
      </w:r>
      <w:r>
        <w:fldChar w:fldCharType="end"/>
      </w:r>
      <w:r>
        <w:t>.</w:t>
      </w:r>
    </w:p>
    <w:p w14:paraId="69033710" w14:textId="5A7FA0A2" w:rsidR="00B774D7" w:rsidRPr="00CC77CA" w:rsidRDefault="00B774D7" w:rsidP="004C79C1">
      <w:pPr>
        <w:spacing w:after="120" w:line="240" w:lineRule="auto"/>
        <w:jc w:val="both"/>
      </w:pPr>
      <w:r>
        <w:t>Two</w:t>
      </w:r>
      <w:r w:rsidRPr="00CC77CA">
        <w:t xml:space="preserve"> papers identified in the results of the systematic search conducted for this review </w:t>
      </w:r>
      <w:r w:rsidR="00E17B1C">
        <w:t>list</w:t>
      </w:r>
      <w:r w:rsidR="00E17B1C" w:rsidRPr="00CC77CA">
        <w:t>e</w:t>
      </w:r>
      <w:r w:rsidR="00E17B1C">
        <w:t xml:space="preserve">d </w:t>
      </w:r>
      <w:r>
        <w:t xml:space="preserve">inappropriate shock </w:t>
      </w:r>
      <w:r w:rsidR="00DB0607">
        <w:t xml:space="preserve">rates </w:t>
      </w:r>
      <w:r>
        <w:t>from ICDs</w:t>
      </w:r>
      <w:r w:rsidRPr="00CC77CA">
        <w:t xml:space="preserve"> as a relevant safety consideration when treating patients with </w:t>
      </w:r>
      <w:r w:rsidR="00E17B1C">
        <w:t>CM</w:t>
      </w:r>
      <w:r w:rsidRPr="00CC77CA">
        <w:t xml:space="preserve">. </w:t>
      </w:r>
      <w:r>
        <w:t>These studies both followed up patients with DCM (CAD or NIDCM) over a mean of 49</w:t>
      </w:r>
      <w:r w:rsidR="00CB5279">
        <w:t> </w:t>
      </w:r>
      <w:r>
        <w:t xml:space="preserve">months, and reported that inappropriate shock </w:t>
      </w:r>
      <w:r w:rsidR="00DB0607">
        <w:t>rates</w:t>
      </w:r>
      <w:r w:rsidR="00366D0C">
        <w:t xml:space="preserve"> </w:t>
      </w:r>
      <w:r>
        <w:t>occurred in 12</w:t>
      </w:r>
      <w:r w:rsidR="0042307B">
        <w:t>.0</w:t>
      </w:r>
      <w:r>
        <w:t>–21.2</w:t>
      </w:r>
      <w:r w:rsidR="009C3C8F">
        <w:t>%</w:t>
      </w:r>
      <w:r>
        <w:t xml:space="preserve"> of cases (</w:t>
      </w:r>
      <w:r w:rsidR="0049194C">
        <w:fldChar w:fldCharType="begin"/>
      </w:r>
      <w:r w:rsidR="0049194C">
        <w:instrText xml:space="preserve"> REF _Ref451351918 \h </w:instrText>
      </w:r>
      <w:r w:rsidR="0049194C">
        <w:fldChar w:fldCharType="separate"/>
      </w:r>
      <w:r w:rsidR="0049194C">
        <w:t xml:space="preserve">Table </w:t>
      </w:r>
      <w:r w:rsidR="0049194C">
        <w:rPr>
          <w:noProof/>
        </w:rPr>
        <w:t>29</w:t>
      </w:r>
      <w:r w:rsidR="0049194C">
        <w:fldChar w:fldCharType="end"/>
      </w:r>
      <w:r>
        <w:t>). Streitner et al. (2013) assessed the relationship between inappropriate shock</w:t>
      </w:r>
      <w:r w:rsidR="00366D0C">
        <w:t xml:space="preserve"> </w:t>
      </w:r>
      <w:r>
        <w:t xml:space="preserve">and mortality, and found a significant association between the two. However, it cannot be assumed that this relationship is causal. Furthermore, Streitner et al. pointed out that </w:t>
      </w:r>
      <w:r w:rsidRPr="00CC77CA">
        <w:t>recommendations for ICD programming have changed over time</w:t>
      </w:r>
      <w:r>
        <w:t>. The study used</w:t>
      </w:r>
      <w:r w:rsidRPr="00CC77CA">
        <w:t xml:space="preserve"> </w:t>
      </w:r>
      <w:r>
        <w:t>fewer</w:t>
      </w:r>
      <w:r w:rsidRPr="00CC77CA">
        <w:t xml:space="preserve"> intervals for detection and a lower </w:t>
      </w:r>
      <w:r w:rsidR="00CB5279">
        <w:t>VF</w:t>
      </w:r>
      <w:r w:rsidRPr="00CC77CA">
        <w:t xml:space="preserve"> cut-off rate than currently recommended, which may have influenced the incidence of ICD shocks</w:t>
      </w:r>
      <w:r>
        <w:t xml:space="preserve">. </w:t>
      </w:r>
      <w:r w:rsidRPr="00CC77CA">
        <w:t>Grimm commented that patients with inappropriate shock</w:t>
      </w:r>
      <w:r w:rsidR="00DB0607">
        <w:t xml:space="preserve"> rate</w:t>
      </w:r>
      <w:r w:rsidR="00A836BD">
        <w:t>s</w:t>
      </w:r>
      <w:r w:rsidRPr="00CC77CA">
        <w:t xml:space="preserve"> appear to have a higher mortality and lower quality of life during follow-up compared </w:t>
      </w:r>
      <w:r w:rsidR="0025651D">
        <w:t>with</w:t>
      </w:r>
      <w:r w:rsidR="0025651D" w:rsidRPr="00CC77CA">
        <w:t xml:space="preserve"> </w:t>
      </w:r>
      <w:r w:rsidR="0025651D">
        <w:t>those</w:t>
      </w:r>
      <w:r w:rsidR="0025651D" w:rsidRPr="00CC77CA">
        <w:t xml:space="preserve"> </w:t>
      </w:r>
      <w:r w:rsidRPr="00CC77CA">
        <w:t>without inappropriate shock</w:t>
      </w:r>
      <w:r w:rsidR="00DB0607">
        <w:t xml:space="preserve"> rate</w:t>
      </w:r>
      <w:r w:rsidRPr="00CC77CA">
        <w:t>s</w:t>
      </w:r>
      <w:r>
        <w:t xml:space="preserve"> </w:t>
      </w:r>
      <w:r>
        <w:fldChar w:fldCharType="begin">
          <w:fldData xml:space="preserve">PEVuZE5vdGU+PENpdGU+PEF1dGhvcj5HcmltbTwvQXV0aG9yPjxZZWFyPjIwMTI8L1llYXI+PFJl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</w:fldData>
        </w:fldChar>
      </w:r>
      <w:r>
        <w:instrText xml:space="preserve"> ADDIN EN.CITE </w:instrText>
      </w:r>
      <w:r>
        <w:fldChar w:fldCharType="begin">
          <w:fldData xml:space="preserve">PEVuZE5vdGU+PENpdGU+PEF1dGhvcj5HcmltbTwvQXV0aG9yPjxZZWFyPjIwMTI8L1llYXI+PFJl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</w:fldData>
        </w:fldChar>
      </w:r>
      <w:r>
        <w:instrText xml:space="preserve"> ADDIN EN.CITE.DATA </w:instrText>
      </w:r>
      <w:r>
        <w:fldChar w:fldCharType="end"/>
      </w:r>
      <w:r>
        <w:fldChar w:fldCharType="separate"/>
      </w:r>
      <w:r>
        <w:rPr>
          <w:noProof/>
        </w:rPr>
        <w:t>(</w:t>
      </w:r>
      <w:hyperlink w:anchor="_ENREF_45" w:tooltip="Grimm, 2012 #131" w:history="1">
        <w:r w:rsidR="00B906E9">
          <w:rPr>
            <w:noProof/>
          </w:rPr>
          <w:t>Grimm 2012</w:t>
        </w:r>
      </w:hyperlink>
      <w:r>
        <w:rPr>
          <w:noProof/>
        </w:rPr>
        <w:t>)</w:t>
      </w:r>
      <w:r>
        <w:fldChar w:fldCharType="end"/>
      </w:r>
      <w:r w:rsidRPr="00CC77CA">
        <w:t xml:space="preserve">. However, the evidence cited to substantiate this claim was not specific to DCM patients. The author further reasoned, based on several trials </w:t>
      </w:r>
      <w:r>
        <w:fldChar w:fldCharType="begin">
          <w:fldData xml:space="preserve">PEVuZE5vdGU+PENpdGU+PEF1dGhvcj5HcmltbTwvQXV0aG9yPjxZZWFyPjIwMDY8L1llYXI+PFJl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</w:fldData>
        </w:fldChar>
      </w:r>
      <w:r>
        <w:instrText xml:space="preserve"> ADDIN EN.CITE </w:instrText>
      </w:r>
      <w:r>
        <w:fldChar w:fldCharType="begin">
          <w:fldData xml:space="preserve">PEVuZE5vdGU+PENpdGU+PEF1dGhvcj5HcmltbTwvQXV0aG9yPjxZZWFyPjIwMDY8L1llYXI+PFJl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</w:fldData>
        </w:fldChar>
      </w:r>
      <w:r>
        <w:instrText xml:space="preserve"> ADDIN EN.CITE.DATA </w:instrText>
      </w:r>
      <w:r>
        <w:fldChar w:fldCharType="end"/>
      </w:r>
      <w:r>
        <w:fldChar w:fldCharType="separate"/>
      </w:r>
      <w:r>
        <w:rPr>
          <w:noProof/>
        </w:rPr>
        <w:t>(</w:t>
      </w:r>
      <w:hyperlink w:anchor="_ENREF_46" w:tooltip="Grimm, 2006 #132" w:history="1">
        <w:r w:rsidR="00B906E9">
          <w:rPr>
            <w:noProof/>
          </w:rPr>
          <w:t>Grimm, Plachta &amp; Maisch 2006</w:t>
        </w:r>
      </w:hyperlink>
      <w:r>
        <w:rPr>
          <w:noProof/>
        </w:rPr>
        <w:t xml:space="preserve">; </w:t>
      </w:r>
      <w:hyperlink w:anchor="_ENREF_125" w:tooltip="Sweeney, 2005 #139" w:history="1">
        <w:r w:rsidR="00B906E9">
          <w:rPr>
            <w:noProof/>
          </w:rPr>
          <w:t>Sweeney et al. 2005</w:t>
        </w:r>
      </w:hyperlink>
      <w:r>
        <w:rPr>
          <w:noProof/>
        </w:rPr>
        <w:t xml:space="preserve">; </w:t>
      </w:r>
      <w:hyperlink w:anchor="_ENREF_135" w:tooltip="Wilkoff, 2008 #141" w:history="1">
        <w:r w:rsidR="00B906E9">
          <w:rPr>
            <w:noProof/>
          </w:rPr>
          <w:t>Wilkoff et al. 2008</w:t>
        </w:r>
      </w:hyperlink>
      <w:r>
        <w:rPr>
          <w:noProof/>
        </w:rPr>
        <w:t>)</w:t>
      </w:r>
      <w:r>
        <w:fldChar w:fldCharType="end"/>
      </w:r>
      <w:r w:rsidRPr="00CC77CA">
        <w:t xml:space="preserve"> conducted in mixed populations indicated for ICD implantation, either for primary or secondary prevention, that the negative impact of inappropriate shock </w:t>
      </w:r>
      <w:r w:rsidR="00A836BD">
        <w:t xml:space="preserve">rates </w:t>
      </w:r>
      <w:r w:rsidRPr="00CC77CA">
        <w:t>on patient survival and quality of life may be mitigated by the following:</w:t>
      </w:r>
    </w:p>
    <w:p w14:paraId="3B645E65" w14:textId="2461D953" w:rsidR="00B774D7" w:rsidRPr="00CC77CA" w:rsidRDefault="00B774D7" w:rsidP="004C79C1">
      <w:pPr>
        <w:numPr>
          <w:ilvl w:val="0"/>
          <w:numId w:val="36"/>
        </w:numPr>
        <w:spacing w:after="120" w:line="240" w:lineRule="auto"/>
        <w:contextualSpacing/>
      </w:pPr>
      <w:r w:rsidRPr="00CC77CA">
        <w:t>routine use of supraventricular tachycardia discrimination algorithms;</w:t>
      </w:r>
    </w:p>
    <w:p w14:paraId="14860CA8" w14:textId="77777777" w:rsidR="00B774D7" w:rsidRPr="00CC77CA" w:rsidRDefault="00B774D7" w:rsidP="004C79C1">
      <w:pPr>
        <w:numPr>
          <w:ilvl w:val="0"/>
          <w:numId w:val="36"/>
        </w:numPr>
        <w:spacing w:after="120" w:line="240" w:lineRule="auto"/>
        <w:contextualSpacing/>
      </w:pPr>
      <w:r w:rsidRPr="00CC77CA">
        <w:t>β-blocker therapy unless contraindicated;</w:t>
      </w:r>
    </w:p>
    <w:p w14:paraId="75A032D7" w14:textId="1340228C" w:rsidR="00B774D7" w:rsidRPr="00CC77CA" w:rsidRDefault="00B774D7" w:rsidP="004C79C1">
      <w:pPr>
        <w:numPr>
          <w:ilvl w:val="0"/>
          <w:numId w:val="36"/>
        </w:numPr>
        <w:spacing w:after="120" w:line="240" w:lineRule="auto"/>
        <w:contextualSpacing/>
      </w:pPr>
      <w:r w:rsidRPr="00CC77CA">
        <w:t>use of high-rate cut-offs of 200</w:t>
      </w:r>
      <w:r w:rsidR="003809CE">
        <w:t> </w:t>
      </w:r>
      <w:r w:rsidRPr="00CC77CA">
        <w:t>bpm for VT detection in patients with primary prevention indications;</w:t>
      </w:r>
    </w:p>
    <w:p w14:paraId="1DCB4995" w14:textId="1E7A15E6" w:rsidR="00B774D7" w:rsidRPr="00CC77CA" w:rsidRDefault="00B774D7" w:rsidP="004C79C1">
      <w:pPr>
        <w:numPr>
          <w:ilvl w:val="0"/>
          <w:numId w:val="36"/>
        </w:numPr>
        <w:spacing w:after="120" w:line="240" w:lineRule="auto"/>
        <w:contextualSpacing/>
      </w:pPr>
      <w:r w:rsidRPr="00CC77CA">
        <w:t>long detection intervals of at least 10</w:t>
      </w:r>
      <w:r w:rsidR="003809CE">
        <w:t> </w:t>
      </w:r>
      <w:r w:rsidRPr="00CC77CA">
        <w:t>seconds (or 30 out of 40 rapid intervals to detect);</w:t>
      </w:r>
      <w:r w:rsidR="003809CE">
        <w:t xml:space="preserve"> or</w:t>
      </w:r>
    </w:p>
    <w:p w14:paraId="1AD2AD20" w14:textId="39BF749C" w:rsidR="00B774D7" w:rsidRDefault="00B774D7" w:rsidP="004C79C1">
      <w:pPr>
        <w:numPr>
          <w:ilvl w:val="0"/>
          <w:numId w:val="36"/>
        </w:numPr>
        <w:spacing w:after="120" w:line="240" w:lineRule="auto"/>
        <w:ind w:left="714" w:hanging="357"/>
      </w:pPr>
      <w:proofErr w:type="gramStart"/>
      <w:r w:rsidRPr="00CC77CA">
        <w:t>one</w:t>
      </w:r>
      <w:proofErr w:type="gramEnd"/>
      <w:r w:rsidRPr="00CC77CA">
        <w:t xml:space="preserve"> or two bursts</w:t>
      </w:r>
      <w:r w:rsidRPr="0049194C">
        <w:rPr>
          <w:rFonts w:asciiTheme="minorHAnsi" w:hAnsiTheme="minorHAnsi"/>
        </w:rPr>
        <w:t xml:space="preserve"> of </w:t>
      </w:r>
      <w:r w:rsidR="008653A7" w:rsidRPr="0049194C">
        <w:rPr>
          <w:rFonts w:asciiTheme="minorHAnsi" w:hAnsiTheme="minorHAnsi"/>
          <w:lang w:eastAsia="en-US"/>
        </w:rPr>
        <w:t xml:space="preserve">anti-tachycardia </w:t>
      </w:r>
      <w:r w:rsidR="008653A7" w:rsidRPr="0049194C">
        <w:rPr>
          <w:rFonts w:asciiTheme="minorHAnsi" w:hAnsiTheme="minorHAnsi"/>
        </w:rPr>
        <w:t>pacing</w:t>
      </w:r>
      <w:r w:rsidR="008653A7" w:rsidRPr="00CC77CA">
        <w:t xml:space="preserve"> </w:t>
      </w:r>
      <w:r w:rsidR="008653A7">
        <w:t>(</w:t>
      </w:r>
      <w:r w:rsidRPr="00CC77CA">
        <w:t>ATP</w:t>
      </w:r>
      <w:r w:rsidR="008653A7">
        <w:t>)</w:t>
      </w:r>
      <w:r w:rsidRPr="00CC77CA">
        <w:t xml:space="preserve"> even for rapid VTs up to 250</w:t>
      </w:r>
      <w:r w:rsidR="00E00072">
        <w:t> </w:t>
      </w:r>
      <w:r w:rsidRPr="00CC77CA">
        <w:t>bpm</w:t>
      </w:r>
      <w:r w:rsidRPr="00CC77CA">
        <w:rPr>
          <w:vertAlign w:val="superscript"/>
        </w:rPr>
        <w:footnoteReference w:id="7"/>
      </w:r>
      <w:r w:rsidRPr="00CC77CA">
        <w:t>.</w:t>
      </w:r>
    </w:p>
    <w:p w14:paraId="38F7E61F" w14:textId="0753E5A8" w:rsidR="00B774D7" w:rsidRPr="00CC77CA" w:rsidRDefault="00B774D7" w:rsidP="004C79C1">
      <w:pPr>
        <w:tabs>
          <w:tab w:val="left" w:pos="1418"/>
        </w:tabs>
        <w:spacing w:after="120" w:line="240" w:lineRule="auto"/>
        <w:jc w:val="both"/>
      </w:pPr>
      <w:r>
        <w:t xml:space="preserve">Two </w:t>
      </w:r>
      <w:r w:rsidR="0001655A">
        <w:t>SR</w:t>
      </w:r>
      <w:r>
        <w:t>s also provided data on the rate of inappropriate shock</w:t>
      </w:r>
      <w:r w:rsidR="00E60722">
        <w:t>s</w:t>
      </w:r>
      <w:r>
        <w:t xml:space="preserve"> in patients with CAD or NIDCM, and those who had an ICD implanted for primary prevention reasons </w:t>
      </w:r>
      <w:r w:rsidRPr="00D2767D">
        <w:t>(</w:t>
      </w:r>
      <w:r w:rsidRPr="00141050">
        <w:t>Scott et al. 2014 and Persson et al. 2014)</w:t>
      </w:r>
      <w:r w:rsidRPr="00D2767D">
        <w:t>. T</w:t>
      </w:r>
      <w:r>
        <w:t>he rate of inappropriate shock</w:t>
      </w:r>
      <w:r w:rsidR="00E60722">
        <w:t>s</w:t>
      </w:r>
      <w:r>
        <w:t xml:space="preserve"> varied </w:t>
      </w:r>
      <w:r w:rsidR="00175B31">
        <w:t xml:space="preserve">in the range </w:t>
      </w:r>
      <w:r>
        <w:t>3</w:t>
      </w:r>
      <w:r w:rsidR="00175B31">
        <w:t>–</w:t>
      </w:r>
      <w:r>
        <w:t>21</w:t>
      </w:r>
      <w:r w:rsidR="00175B31">
        <w:t>%</w:t>
      </w:r>
      <w:r>
        <w:t xml:space="preserve">. </w:t>
      </w:r>
    </w:p>
    <w:p w14:paraId="19440AA1" w14:textId="3FDAEC45" w:rsidR="00B774D7" w:rsidRDefault="006F0C4E" w:rsidP="004C79C1">
      <w:pPr>
        <w:pStyle w:val="Caption"/>
      </w:pPr>
      <w:bookmarkStart w:id="480" w:name="_Ref451351918"/>
      <w:bookmarkStart w:id="481" w:name="_Toc324410192"/>
      <w:bookmarkStart w:id="482" w:name="_Toc451435356"/>
      <w:r>
        <w:t xml:space="preserve">Table </w:t>
      </w:r>
      <w:fldSimple w:instr=" SEQ Table \* ARABIC ">
        <w:r w:rsidR="0049194C">
          <w:rPr>
            <w:noProof/>
          </w:rPr>
          <w:t>29</w:t>
        </w:r>
      </w:fldSimple>
      <w:bookmarkEnd w:id="480"/>
      <w:r w:rsidR="00B774D7">
        <w:tab/>
        <w:t>Rate of inappropriate shocks from ICDs in patients with DCM</w:t>
      </w:r>
      <w:bookmarkEnd w:id="481"/>
      <w:bookmarkEnd w:id="482"/>
    </w:p>
    <w:tbl>
      <w:tblPr>
        <w:tblStyle w:val="TableGrid"/>
        <w:tblW w:w="5000" w:type="pct"/>
        <w:tblLook w:val="04A0" w:firstRow="1" w:lastRow="0" w:firstColumn="1" w:lastColumn="0" w:noHBand="0" w:noVBand="1"/>
        <w:tblCaption w:val="Rate of inappropriate shock from ICDs"/>
        <w:tblDescription w:val="Rate of inappropriate shock from ICDs"/>
      </w:tblPr>
      <w:tblGrid>
        <w:gridCol w:w="1786"/>
        <w:gridCol w:w="1941"/>
        <w:gridCol w:w="2323"/>
        <w:gridCol w:w="1146"/>
        <w:gridCol w:w="2046"/>
      </w:tblGrid>
      <w:tr w:rsidR="00B774D7" w:rsidRPr="00976864" w14:paraId="05391495" w14:textId="77777777" w:rsidTr="00951CE8">
        <w:trPr>
          <w:tblHeader/>
        </w:trPr>
        <w:tc>
          <w:tcPr>
            <w:tcW w:w="966" w:type="pct"/>
          </w:tcPr>
          <w:p w14:paraId="62589462" w14:textId="77777777" w:rsidR="00B774D7" w:rsidRPr="00254898" w:rsidRDefault="00B774D7" w:rsidP="004C79C1">
            <w:pPr>
              <w:pStyle w:val="TableText"/>
              <w:spacing w:before="0" w:after="120" w:line="240" w:lineRule="auto"/>
              <w:rPr>
                <w:szCs w:val="20"/>
              </w:rPr>
            </w:pPr>
            <w:bookmarkStart w:id="483" w:name="_Toc324410193"/>
            <w:r w:rsidRPr="0049194C">
              <w:rPr>
                <w:b/>
                <w:sz w:val="20"/>
                <w:szCs w:val="20"/>
              </w:rPr>
              <w:lastRenderedPageBreak/>
              <w:t>Study</w:t>
            </w:r>
            <w:bookmarkEnd w:id="483"/>
          </w:p>
        </w:tc>
        <w:tc>
          <w:tcPr>
            <w:tcW w:w="1050" w:type="pct"/>
          </w:tcPr>
          <w:p w14:paraId="7B4161E5" w14:textId="77777777" w:rsidR="00B774D7" w:rsidRPr="00254898" w:rsidRDefault="00B774D7" w:rsidP="004C79C1">
            <w:pPr>
              <w:pStyle w:val="TableText"/>
              <w:spacing w:before="0" w:after="120" w:line="240" w:lineRule="auto"/>
              <w:rPr>
                <w:szCs w:val="20"/>
              </w:rPr>
            </w:pPr>
            <w:bookmarkStart w:id="484" w:name="_Toc324410194"/>
            <w:r w:rsidRPr="0049194C">
              <w:rPr>
                <w:b/>
                <w:sz w:val="20"/>
                <w:szCs w:val="20"/>
              </w:rPr>
              <w:t>Population</w:t>
            </w:r>
            <w:bookmarkEnd w:id="484"/>
          </w:p>
        </w:tc>
        <w:tc>
          <w:tcPr>
            <w:tcW w:w="1257" w:type="pct"/>
          </w:tcPr>
          <w:p w14:paraId="1655766B" w14:textId="77777777" w:rsidR="00B774D7" w:rsidRPr="00254898" w:rsidRDefault="00B774D7" w:rsidP="004C79C1">
            <w:pPr>
              <w:pStyle w:val="TableText"/>
              <w:spacing w:before="0" w:after="120" w:line="240" w:lineRule="auto"/>
              <w:rPr>
                <w:szCs w:val="20"/>
              </w:rPr>
            </w:pPr>
            <w:bookmarkStart w:id="485" w:name="_Toc324410195"/>
            <w:r w:rsidRPr="0049194C">
              <w:rPr>
                <w:b/>
                <w:sz w:val="20"/>
                <w:szCs w:val="20"/>
              </w:rPr>
              <w:t>Rate of inappropriate ICD therapy</w:t>
            </w:r>
            <w:bookmarkEnd w:id="485"/>
          </w:p>
        </w:tc>
        <w:tc>
          <w:tcPr>
            <w:tcW w:w="620" w:type="pct"/>
          </w:tcPr>
          <w:p w14:paraId="67ACB3D2" w14:textId="77777777" w:rsidR="00B774D7" w:rsidRPr="00254898" w:rsidRDefault="00B774D7" w:rsidP="004C79C1">
            <w:pPr>
              <w:pStyle w:val="TableText"/>
              <w:spacing w:before="0" w:after="120" w:line="240" w:lineRule="auto"/>
              <w:rPr>
                <w:szCs w:val="20"/>
              </w:rPr>
            </w:pPr>
            <w:bookmarkStart w:id="486" w:name="_Toc324410196"/>
            <w:r w:rsidRPr="0049194C">
              <w:rPr>
                <w:b/>
                <w:sz w:val="20"/>
                <w:szCs w:val="20"/>
              </w:rPr>
              <w:t>Follow-up</w:t>
            </w:r>
            <w:bookmarkEnd w:id="486"/>
          </w:p>
        </w:tc>
        <w:tc>
          <w:tcPr>
            <w:tcW w:w="1108" w:type="pct"/>
          </w:tcPr>
          <w:p w14:paraId="677B6E08" w14:textId="77777777" w:rsidR="00B774D7" w:rsidRPr="00254898" w:rsidRDefault="00B774D7" w:rsidP="004C79C1">
            <w:pPr>
              <w:pStyle w:val="TableText"/>
              <w:spacing w:before="0" w:after="120" w:line="240" w:lineRule="auto"/>
              <w:rPr>
                <w:szCs w:val="20"/>
              </w:rPr>
            </w:pPr>
            <w:bookmarkStart w:id="487" w:name="_Toc324410197"/>
            <w:r w:rsidRPr="0049194C">
              <w:rPr>
                <w:b/>
                <w:sz w:val="20"/>
                <w:szCs w:val="20"/>
              </w:rPr>
              <w:t>Mortality</w:t>
            </w:r>
            <w:bookmarkEnd w:id="487"/>
          </w:p>
        </w:tc>
      </w:tr>
      <w:tr w:rsidR="00B774D7" w:rsidRPr="0032214A" w14:paraId="5CE87543" w14:textId="77777777" w:rsidTr="00951CE8">
        <w:tc>
          <w:tcPr>
            <w:tcW w:w="966" w:type="pct"/>
          </w:tcPr>
          <w:p w14:paraId="79D74C47" w14:textId="77777777" w:rsidR="00B774D7" w:rsidRPr="0032214A" w:rsidRDefault="00B774D7" w:rsidP="004C79C1">
            <w:pPr>
              <w:pStyle w:val="Tabletext1"/>
              <w:spacing w:before="0" w:after="120"/>
              <w:rPr>
                <w:lang w:eastAsia="en-US"/>
              </w:rPr>
            </w:pPr>
            <w:r>
              <w:rPr>
                <w:lang w:eastAsia="en-US"/>
              </w:rPr>
              <w:t>Streitner et al. (2013)</w:t>
            </w:r>
          </w:p>
        </w:tc>
        <w:tc>
          <w:tcPr>
            <w:tcW w:w="1050" w:type="pct"/>
          </w:tcPr>
          <w:p w14:paraId="539629D1" w14:textId="108E0BE9" w:rsidR="00B774D7" w:rsidRPr="0032214A" w:rsidRDefault="00B774D7" w:rsidP="004C79C1">
            <w:pPr>
              <w:pStyle w:val="Tabletext1"/>
              <w:spacing w:before="0" w:after="120"/>
              <w:rPr>
                <w:lang w:eastAsia="en-US"/>
              </w:rPr>
            </w:pPr>
            <w:r>
              <w:rPr>
                <w:lang w:eastAsia="en-US"/>
              </w:rPr>
              <w:t>N=146 CAD and NIDCM for primary prevention</w:t>
            </w:r>
          </w:p>
        </w:tc>
        <w:tc>
          <w:tcPr>
            <w:tcW w:w="1257" w:type="pct"/>
          </w:tcPr>
          <w:p w14:paraId="42CF11AA" w14:textId="77777777" w:rsidR="00B774D7" w:rsidRDefault="00B774D7" w:rsidP="004C79C1">
            <w:pPr>
              <w:pStyle w:val="Tabletext1"/>
              <w:spacing w:before="0" w:after="120"/>
              <w:rPr>
                <w:lang w:eastAsia="en-US"/>
              </w:rPr>
            </w:pPr>
            <w:r>
              <w:rPr>
                <w:lang w:eastAsia="en-US"/>
              </w:rPr>
              <w:t>31/146 patients: 21.2%</w:t>
            </w:r>
          </w:p>
          <w:p w14:paraId="1CE57F53" w14:textId="037CD974" w:rsidR="00B774D7" w:rsidRDefault="00B774D7" w:rsidP="004C79C1">
            <w:pPr>
              <w:pStyle w:val="Tabletext1"/>
              <w:spacing w:before="0" w:after="120"/>
              <w:ind w:left="64"/>
              <w:rPr>
                <w:lang w:eastAsia="en-US"/>
              </w:rPr>
            </w:pPr>
            <w:r>
              <w:rPr>
                <w:lang w:eastAsia="en-US"/>
              </w:rPr>
              <w:t>Inappropriate shock: 12.3%</w:t>
            </w:r>
          </w:p>
          <w:p w14:paraId="2B526174" w14:textId="5710E101" w:rsidR="00B774D7" w:rsidRPr="0032214A" w:rsidRDefault="00B774D7" w:rsidP="004C79C1">
            <w:pPr>
              <w:pStyle w:val="Tabletext1"/>
              <w:spacing w:before="0" w:after="120"/>
              <w:ind w:left="64"/>
              <w:rPr>
                <w:lang w:eastAsia="en-US"/>
              </w:rPr>
            </w:pPr>
            <w:r>
              <w:rPr>
                <w:lang w:eastAsia="en-US"/>
              </w:rPr>
              <w:t>Inappropriate ATP therapy: 15.1%</w:t>
            </w:r>
          </w:p>
        </w:tc>
        <w:tc>
          <w:tcPr>
            <w:tcW w:w="620" w:type="pct"/>
          </w:tcPr>
          <w:p w14:paraId="127171DD" w14:textId="77777777" w:rsidR="00B774D7" w:rsidRPr="0032214A" w:rsidRDefault="00B774D7" w:rsidP="004C79C1">
            <w:pPr>
              <w:pStyle w:val="Tabletext1"/>
              <w:spacing w:before="0" w:after="120"/>
              <w:rPr>
                <w:lang w:eastAsia="en-US"/>
              </w:rPr>
            </w:pPr>
            <w:r>
              <w:rPr>
                <w:lang w:eastAsia="en-US"/>
              </w:rPr>
              <w:t>49.3 months</w:t>
            </w:r>
          </w:p>
        </w:tc>
        <w:tc>
          <w:tcPr>
            <w:tcW w:w="1108" w:type="pct"/>
          </w:tcPr>
          <w:p w14:paraId="2529F325" w14:textId="77777777" w:rsidR="00B774D7" w:rsidRDefault="00B774D7" w:rsidP="004C79C1">
            <w:pPr>
              <w:pStyle w:val="Tabletext1"/>
              <w:spacing w:before="0" w:after="120"/>
              <w:rPr>
                <w:lang w:eastAsia="en-US"/>
              </w:rPr>
            </w:pPr>
            <w:r>
              <w:rPr>
                <w:lang w:eastAsia="en-US"/>
              </w:rPr>
              <w:t>9/30 with inappropriate ATP died during follow-up</w:t>
            </w:r>
          </w:p>
          <w:p w14:paraId="55618D56" w14:textId="77777777" w:rsidR="00B774D7" w:rsidRDefault="00B774D7" w:rsidP="004C79C1">
            <w:pPr>
              <w:pStyle w:val="Tabletext1"/>
              <w:spacing w:before="0" w:after="120"/>
              <w:rPr>
                <w:lang w:eastAsia="en-US"/>
              </w:rPr>
            </w:pPr>
            <w:r>
              <w:rPr>
                <w:lang w:eastAsia="en-US"/>
              </w:rPr>
              <w:t xml:space="preserve">13/116 without inappropriate ATP </w:t>
            </w:r>
          </w:p>
          <w:p w14:paraId="1A77ED3E" w14:textId="212DE521" w:rsidR="00B774D7" w:rsidRDefault="00B774D7" w:rsidP="004C79C1">
            <w:pPr>
              <w:pStyle w:val="Tabletext1"/>
              <w:spacing w:before="0" w:after="120"/>
              <w:rPr>
                <w:lang w:eastAsia="en-US"/>
              </w:rPr>
            </w:pPr>
            <w:r>
              <w:rPr>
                <w:lang w:eastAsia="en-US"/>
              </w:rPr>
              <w:t>Impact of shock</w:t>
            </w:r>
            <w:r w:rsidR="00DC4884">
              <w:rPr>
                <w:lang w:eastAsia="en-US"/>
              </w:rPr>
              <w:t>s</w:t>
            </w:r>
            <w:r>
              <w:rPr>
                <w:lang w:eastAsia="en-US"/>
              </w:rPr>
              <w:t xml:space="preserve"> vs no shock</w:t>
            </w:r>
            <w:r w:rsidR="00DC4884">
              <w:rPr>
                <w:lang w:eastAsia="en-US"/>
              </w:rPr>
              <w:t>s</w:t>
            </w:r>
            <w:r>
              <w:rPr>
                <w:lang w:eastAsia="en-US"/>
              </w:rPr>
              <w:t xml:space="preserve"> on mortality:</w:t>
            </w:r>
          </w:p>
          <w:p w14:paraId="05D52491" w14:textId="77777777" w:rsidR="00B774D7" w:rsidRPr="0032214A" w:rsidRDefault="00B774D7" w:rsidP="004C79C1">
            <w:pPr>
              <w:pStyle w:val="Tabletext1"/>
              <w:spacing w:before="0" w:after="120"/>
              <w:rPr>
                <w:lang w:eastAsia="en-US"/>
              </w:rPr>
            </w:pPr>
            <w:r>
              <w:rPr>
                <w:lang w:eastAsia="en-US"/>
              </w:rPr>
              <w:t>HR = 3.4, 95%CI 1.3, 9</w:t>
            </w:r>
          </w:p>
        </w:tc>
      </w:tr>
      <w:tr w:rsidR="00B774D7" w:rsidRPr="0032214A" w14:paraId="2899537D" w14:textId="77777777" w:rsidTr="00951CE8">
        <w:tc>
          <w:tcPr>
            <w:tcW w:w="966" w:type="pct"/>
          </w:tcPr>
          <w:p w14:paraId="5CE77A15" w14:textId="77777777" w:rsidR="00B774D7" w:rsidRDefault="00B774D7" w:rsidP="004C79C1">
            <w:pPr>
              <w:pStyle w:val="Tabletext1"/>
              <w:spacing w:before="0" w:after="120"/>
              <w:rPr>
                <w:lang w:eastAsia="en-US"/>
              </w:rPr>
            </w:pPr>
            <w:r>
              <w:rPr>
                <w:lang w:eastAsia="en-US"/>
              </w:rPr>
              <w:t>Grimm (2012)</w:t>
            </w:r>
          </w:p>
        </w:tc>
        <w:tc>
          <w:tcPr>
            <w:tcW w:w="1050" w:type="pct"/>
          </w:tcPr>
          <w:p w14:paraId="3743634D" w14:textId="4F889DB4" w:rsidR="00B774D7" w:rsidRDefault="00B774D7" w:rsidP="004C79C1">
            <w:pPr>
              <w:pStyle w:val="Tabletext1"/>
              <w:spacing w:before="0" w:after="120"/>
              <w:rPr>
                <w:lang w:eastAsia="en-US"/>
              </w:rPr>
            </w:pPr>
            <w:r>
              <w:rPr>
                <w:lang w:eastAsia="en-US"/>
              </w:rPr>
              <w:t xml:space="preserve">N=805 </w:t>
            </w:r>
            <w:r w:rsidR="005F6680">
              <w:rPr>
                <w:lang w:eastAsia="en-US"/>
              </w:rPr>
              <w:t>c</w:t>
            </w:r>
            <w:r>
              <w:rPr>
                <w:lang w:eastAsia="en-US"/>
              </w:rPr>
              <w:t>onsecutive DCM patients</w:t>
            </w:r>
          </w:p>
        </w:tc>
        <w:tc>
          <w:tcPr>
            <w:tcW w:w="1257" w:type="pct"/>
          </w:tcPr>
          <w:p w14:paraId="2F455B7D" w14:textId="77777777" w:rsidR="00B774D7" w:rsidRDefault="00B774D7" w:rsidP="004C79C1">
            <w:pPr>
              <w:pStyle w:val="Tabletext1"/>
              <w:spacing w:before="0" w:after="120"/>
              <w:rPr>
                <w:lang w:eastAsia="en-US"/>
              </w:rPr>
            </w:pPr>
            <w:r>
              <w:rPr>
                <w:lang w:eastAsia="en-US"/>
              </w:rPr>
              <w:t>12%</w:t>
            </w:r>
          </w:p>
        </w:tc>
        <w:tc>
          <w:tcPr>
            <w:tcW w:w="620" w:type="pct"/>
          </w:tcPr>
          <w:p w14:paraId="12D38E13" w14:textId="77777777" w:rsidR="00B774D7" w:rsidRDefault="00B774D7" w:rsidP="004C79C1">
            <w:pPr>
              <w:pStyle w:val="Tabletext1"/>
              <w:spacing w:before="0" w:after="120"/>
              <w:rPr>
                <w:lang w:eastAsia="en-US"/>
              </w:rPr>
            </w:pPr>
            <w:r>
              <w:rPr>
                <w:lang w:eastAsia="en-US"/>
              </w:rPr>
              <w:t>49 months</w:t>
            </w:r>
          </w:p>
        </w:tc>
        <w:tc>
          <w:tcPr>
            <w:tcW w:w="1108" w:type="pct"/>
          </w:tcPr>
          <w:p w14:paraId="58FE2333" w14:textId="77777777" w:rsidR="00B774D7" w:rsidRPr="0032214A" w:rsidRDefault="00B774D7" w:rsidP="004C79C1">
            <w:pPr>
              <w:pStyle w:val="Tabletext1"/>
              <w:spacing w:before="0" w:after="120"/>
              <w:rPr>
                <w:lang w:eastAsia="en-US"/>
              </w:rPr>
            </w:pPr>
            <w:r>
              <w:rPr>
                <w:lang w:eastAsia="en-US"/>
              </w:rPr>
              <w:t>-</w:t>
            </w:r>
          </w:p>
        </w:tc>
      </w:tr>
      <w:tr w:rsidR="00B774D7" w:rsidRPr="0032214A" w14:paraId="6CFB7F44" w14:textId="77777777" w:rsidTr="00951CE8">
        <w:tc>
          <w:tcPr>
            <w:tcW w:w="966" w:type="pct"/>
          </w:tcPr>
          <w:p w14:paraId="1D24B4D5" w14:textId="77777777" w:rsidR="00B774D7" w:rsidRDefault="00B774D7" w:rsidP="004C79C1">
            <w:pPr>
              <w:pStyle w:val="Tabletext1"/>
              <w:spacing w:before="0" w:after="120"/>
              <w:rPr>
                <w:lang w:eastAsia="en-US"/>
              </w:rPr>
            </w:pPr>
            <w:r>
              <w:rPr>
                <w:lang w:eastAsia="en-US"/>
              </w:rPr>
              <w:t>SR by Scott et al. (2014)</w:t>
            </w:r>
          </w:p>
        </w:tc>
        <w:tc>
          <w:tcPr>
            <w:tcW w:w="1050" w:type="pct"/>
          </w:tcPr>
          <w:p w14:paraId="243A21BA" w14:textId="51EDBF44" w:rsidR="00B774D7" w:rsidRDefault="00B774D7" w:rsidP="004C79C1">
            <w:pPr>
              <w:pStyle w:val="Tabletext1"/>
              <w:spacing w:before="0" w:after="120"/>
              <w:rPr>
                <w:lang w:eastAsia="en-US"/>
              </w:rPr>
            </w:pPr>
            <w:r>
              <w:rPr>
                <w:lang w:eastAsia="en-US"/>
              </w:rPr>
              <w:t>K=4</w:t>
            </w:r>
          </w:p>
          <w:p w14:paraId="652CA7F2" w14:textId="2EA7C973" w:rsidR="00B774D7" w:rsidRDefault="00B774D7" w:rsidP="004C79C1">
            <w:pPr>
              <w:pStyle w:val="Tabletext1"/>
              <w:spacing w:before="0" w:after="120"/>
              <w:rPr>
                <w:lang w:eastAsia="en-US"/>
              </w:rPr>
            </w:pPr>
            <w:r>
              <w:rPr>
                <w:lang w:eastAsia="en-US"/>
              </w:rPr>
              <w:t>N=4</w:t>
            </w:r>
            <w:r w:rsidR="005F6680">
              <w:rPr>
                <w:lang w:eastAsia="en-US"/>
              </w:rPr>
              <w:t>,</w:t>
            </w:r>
            <w:r>
              <w:rPr>
                <w:lang w:eastAsia="en-US"/>
              </w:rPr>
              <w:t>896</w:t>
            </w:r>
          </w:p>
          <w:p w14:paraId="7D33E4C6" w14:textId="77777777" w:rsidR="00B774D7" w:rsidRDefault="00B774D7" w:rsidP="004C79C1">
            <w:pPr>
              <w:pStyle w:val="Tabletext1"/>
              <w:spacing w:before="0" w:after="120"/>
              <w:rPr>
                <w:lang w:eastAsia="en-US"/>
              </w:rPr>
            </w:pPr>
            <w:r>
              <w:rPr>
                <w:lang w:eastAsia="en-US"/>
              </w:rPr>
              <w:t>CAD and NIDCM for primary and secondary prevention</w:t>
            </w:r>
          </w:p>
        </w:tc>
        <w:tc>
          <w:tcPr>
            <w:tcW w:w="1257" w:type="pct"/>
          </w:tcPr>
          <w:p w14:paraId="4ADC756B" w14:textId="1CFEBAF9" w:rsidR="00B774D7" w:rsidRDefault="00B774D7" w:rsidP="004C79C1">
            <w:pPr>
              <w:pStyle w:val="Tabletext1"/>
              <w:spacing w:before="0" w:after="120"/>
              <w:rPr>
                <w:lang w:eastAsia="en-US"/>
              </w:rPr>
            </w:pPr>
            <w:r>
              <w:rPr>
                <w:lang w:eastAsia="en-US"/>
              </w:rPr>
              <w:t>253/4</w:t>
            </w:r>
            <w:r w:rsidR="005F6680">
              <w:rPr>
                <w:lang w:eastAsia="en-US"/>
              </w:rPr>
              <w:t>,</w:t>
            </w:r>
            <w:r>
              <w:rPr>
                <w:lang w:eastAsia="en-US"/>
              </w:rPr>
              <w:t>896 patients had inappropriate shock: 5.1%</w:t>
            </w:r>
          </w:p>
        </w:tc>
        <w:tc>
          <w:tcPr>
            <w:tcW w:w="620" w:type="pct"/>
          </w:tcPr>
          <w:p w14:paraId="06915C85" w14:textId="5DC53B3A" w:rsidR="00B774D7" w:rsidRDefault="00B774D7" w:rsidP="004C79C1">
            <w:pPr>
              <w:pStyle w:val="Tabletext1"/>
              <w:spacing w:before="0" w:after="120"/>
              <w:rPr>
                <w:lang w:eastAsia="en-US"/>
              </w:rPr>
            </w:pPr>
            <w:r>
              <w:rPr>
                <w:lang w:eastAsia="en-US"/>
              </w:rPr>
              <w:t>12–17 months</w:t>
            </w:r>
          </w:p>
        </w:tc>
        <w:tc>
          <w:tcPr>
            <w:tcW w:w="1108" w:type="pct"/>
          </w:tcPr>
          <w:p w14:paraId="11971B35" w14:textId="77777777" w:rsidR="00B774D7" w:rsidRDefault="00B774D7" w:rsidP="004C79C1">
            <w:pPr>
              <w:pStyle w:val="Tabletext1"/>
              <w:spacing w:before="0" w:after="120"/>
              <w:rPr>
                <w:lang w:eastAsia="en-US"/>
              </w:rPr>
            </w:pPr>
            <w:r>
              <w:rPr>
                <w:lang w:eastAsia="en-US"/>
              </w:rPr>
              <w:t>-</w:t>
            </w:r>
          </w:p>
        </w:tc>
      </w:tr>
      <w:tr w:rsidR="00B774D7" w:rsidRPr="0032214A" w14:paraId="5B3566E7" w14:textId="77777777" w:rsidTr="00951CE8">
        <w:tc>
          <w:tcPr>
            <w:tcW w:w="966" w:type="pct"/>
          </w:tcPr>
          <w:p w14:paraId="074E4AB1" w14:textId="77777777" w:rsidR="00B774D7" w:rsidRDefault="00B774D7" w:rsidP="004C79C1">
            <w:pPr>
              <w:pStyle w:val="Tabletext1"/>
              <w:spacing w:before="0" w:after="120"/>
              <w:rPr>
                <w:lang w:eastAsia="en-US"/>
              </w:rPr>
            </w:pPr>
            <w:r>
              <w:rPr>
                <w:lang w:eastAsia="en-US"/>
              </w:rPr>
              <w:t xml:space="preserve">HTA by </w:t>
            </w:r>
            <w:hyperlink w:anchor="_ENREF_96" w:tooltip="Persson, 2014 #133" w:history="1">
              <w:r>
                <w:rPr>
                  <w:noProof/>
                </w:rPr>
                <w:t>Persson et al. (2014</w:t>
              </w:r>
            </w:hyperlink>
            <w:r>
              <w:rPr>
                <w:noProof/>
              </w:rPr>
              <w:t xml:space="preserve">); </w:t>
            </w:r>
            <w:hyperlink w:anchor="_ENREF_121" w:tooltip="Uhlig, 2013 #87" w:history="1">
              <w:r>
                <w:rPr>
                  <w:noProof/>
                </w:rPr>
                <w:t>Uhlig et al. (2013</w:t>
              </w:r>
            </w:hyperlink>
            <w:r>
              <w:rPr>
                <w:noProof/>
              </w:rPr>
              <w:t>)</w:t>
            </w:r>
          </w:p>
        </w:tc>
        <w:tc>
          <w:tcPr>
            <w:tcW w:w="1050" w:type="pct"/>
          </w:tcPr>
          <w:p w14:paraId="61942CDC" w14:textId="77A916B2" w:rsidR="00B774D7" w:rsidRDefault="00B774D7" w:rsidP="004C79C1">
            <w:pPr>
              <w:pStyle w:val="Tabletext1"/>
              <w:spacing w:before="0" w:after="120"/>
              <w:rPr>
                <w:lang w:eastAsia="en-US"/>
              </w:rPr>
            </w:pPr>
            <w:r>
              <w:rPr>
                <w:lang w:eastAsia="en-US"/>
              </w:rPr>
              <w:t>K=15</w:t>
            </w:r>
          </w:p>
          <w:p w14:paraId="0C89D57B" w14:textId="77777777" w:rsidR="00B774D7" w:rsidRDefault="00B774D7" w:rsidP="004C79C1">
            <w:pPr>
              <w:pStyle w:val="Tabletext1"/>
              <w:spacing w:before="0" w:after="120"/>
              <w:rPr>
                <w:lang w:eastAsia="en-US"/>
              </w:rPr>
            </w:pPr>
            <w:r>
              <w:rPr>
                <w:lang w:eastAsia="en-US"/>
              </w:rPr>
              <w:t>Patients who had an ICD implanted for primary prevention</w:t>
            </w:r>
          </w:p>
        </w:tc>
        <w:tc>
          <w:tcPr>
            <w:tcW w:w="1257" w:type="pct"/>
          </w:tcPr>
          <w:p w14:paraId="1ECF9632" w14:textId="77ECAEA7" w:rsidR="00B774D7" w:rsidRDefault="00B774D7" w:rsidP="004C79C1">
            <w:pPr>
              <w:pStyle w:val="Tabletext1"/>
              <w:spacing w:before="0" w:after="120"/>
              <w:rPr>
                <w:lang w:eastAsia="en-US"/>
              </w:rPr>
            </w:pPr>
            <w:r>
              <w:rPr>
                <w:lang w:eastAsia="en-US"/>
              </w:rPr>
              <w:t>3–21%</w:t>
            </w:r>
          </w:p>
        </w:tc>
        <w:tc>
          <w:tcPr>
            <w:tcW w:w="620" w:type="pct"/>
          </w:tcPr>
          <w:p w14:paraId="1CC1ACB8" w14:textId="50992F7C" w:rsidR="00B774D7" w:rsidRDefault="00B774D7" w:rsidP="004C79C1">
            <w:pPr>
              <w:pStyle w:val="Tabletext1"/>
              <w:spacing w:before="0" w:after="120"/>
              <w:rPr>
                <w:lang w:eastAsia="en-US"/>
              </w:rPr>
            </w:pPr>
            <w:r>
              <w:rPr>
                <w:lang w:eastAsia="en-US"/>
              </w:rPr>
              <w:t>1–5 years</w:t>
            </w:r>
          </w:p>
        </w:tc>
        <w:tc>
          <w:tcPr>
            <w:tcW w:w="1108" w:type="pct"/>
          </w:tcPr>
          <w:p w14:paraId="4D0BDD4B" w14:textId="77777777" w:rsidR="00B774D7" w:rsidRPr="004C1460" w:rsidRDefault="00B774D7" w:rsidP="004C79C1">
            <w:pPr>
              <w:pStyle w:val="Tabletext1"/>
              <w:spacing w:before="0" w:after="120"/>
              <w:rPr>
                <w:color w:val="FFFFFF" w:themeColor="background1"/>
                <w:lang w:eastAsia="en-US"/>
              </w:rPr>
            </w:pPr>
            <w:r w:rsidRPr="004C1460">
              <w:rPr>
                <w:color w:val="FFFFFF" w:themeColor="background1"/>
                <w:lang w:eastAsia="en-US"/>
              </w:rPr>
              <w:t>-</w:t>
            </w:r>
          </w:p>
        </w:tc>
      </w:tr>
      <w:tr w:rsidR="00B774D7" w:rsidRPr="0032214A" w14:paraId="0E5A71DE" w14:textId="77777777" w:rsidTr="00951CE8">
        <w:tc>
          <w:tcPr>
            <w:tcW w:w="966" w:type="pct"/>
          </w:tcPr>
          <w:p w14:paraId="2AB991E6" w14:textId="4528CB2E" w:rsidR="00B774D7" w:rsidRDefault="00B774D7" w:rsidP="004C79C1">
            <w:pPr>
              <w:pStyle w:val="Tabletext1"/>
              <w:spacing w:before="0" w:after="120"/>
              <w:rPr>
                <w:lang w:eastAsia="en-US"/>
              </w:rPr>
            </w:pPr>
            <w:r>
              <w:rPr>
                <w:lang w:eastAsia="en-US"/>
              </w:rPr>
              <w:t>SR by Proietti et al. (2015)</w:t>
            </w:r>
          </w:p>
        </w:tc>
        <w:tc>
          <w:tcPr>
            <w:tcW w:w="1050" w:type="pct"/>
          </w:tcPr>
          <w:p w14:paraId="2C1EE033" w14:textId="6CC3510F" w:rsidR="00B774D7" w:rsidRDefault="00B774D7" w:rsidP="004C79C1">
            <w:pPr>
              <w:pStyle w:val="Tabletext1"/>
              <w:spacing w:before="0" w:after="120"/>
              <w:rPr>
                <w:lang w:eastAsia="en-US"/>
              </w:rPr>
            </w:pPr>
            <w:r>
              <w:rPr>
                <w:lang w:eastAsia="en-US"/>
              </w:rPr>
              <w:t>K=6</w:t>
            </w:r>
          </w:p>
          <w:p w14:paraId="378BCE7B" w14:textId="1019A6A0" w:rsidR="00B774D7" w:rsidRDefault="00B774D7" w:rsidP="004C79C1">
            <w:pPr>
              <w:pStyle w:val="Tabletext1"/>
              <w:spacing w:before="0" w:after="120"/>
              <w:rPr>
                <w:lang w:eastAsia="en-US"/>
              </w:rPr>
            </w:pPr>
            <w:r>
              <w:rPr>
                <w:lang w:eastAsia="en-US"/>
              </w:rPr>
              <w:t>N=</w:t>
            </w:r>
            <w:r w:rsidRPr="00D12890">
              <w:rPr>
                <w:lang w:eastAsia="en-US"/>
              </w:rPr>
              <w:t>192</w:t>
            </w:r>
            <w:r w:rsidR="00D12890" w:rsidRPr="0049194C">
              <w:rPr>
                <w:lang w:eastAsia="en-US"/>
              </w:rPr>
              <w:t>,</w:t>
            </w:r>
            <w:r w:rsidRPr="00D12890">
              <w:rPr>
                <w:lang w:eastAsia="en-US"/>
              </w:rPr>
              <w:t>142</w:t>
            </w:r>
          </w:p>
          <w:p w14:paraId="097D293E" w14:textId="22641486" w:rsidR="00B774D7" w:rsidRDefault="00826CBC" w:rsidP="004C79C1">
            <w:pPr>
              <w:pStyle w:val="Tabletext1"/>
              <w:spacing w:before="0" w:after="120"/>
              <w:rPr>
                <w:lang w:eastAsia="en-US"/>
              </w:rPr>
            </w:pPr>
            <w:r>
              <w:rPr>
                <w:lang w:eastAsia="en-US"/>
              </w:rPr>
              <w:t>Ischaemic and</w:t>
            </w:r>
            <w:r w:rsidR="003F5B49">
              <w:rPr>
                <w:lang w:eastAsia="en-US"/>
              </w:rPr>
              <w:t xml:space="preserve"> n</w:t>
            </w:r>
            <w:r w:rsidR="00B774D7">
              <w:rPr>
                <w:lang w:eastAsia="en-US"/>
              </w:rPr>
              <w:t xml:space="preserve">on-ischaemic </w:t>
            </w:r>
            <w:r w:rsidR="00D12890">
              <w:rPr>
                <w:lang w:eastAsia="en-US"/>
              </w:rPr>
              <w:t xml:space="preserve">CM </w:t>
            </w:r>
            <w:r w:rsidR="00B774D7">
              <w:rPr>
                <w:lang w:eastAsia="en-US"/>
              </w:rPr>
              <w:t>for primary or secondary prevention</w:t>
            </w:r>
          </w:p>
        </w:tc>
        <w:tc>
          <w:tcPr>
            <w:tcW w:w="1257" w:type="pct"/>
          </w:tcPr>
          <w:p w14:paraId="21A3D9DC" w14:textId="77777777" w:rsidR="00B774D7" w:rsidRDefault="00B774D7" w:rsidP="004C79C1">
            <w:pPr>
              <w:pStyle w:val="Tabletext1"/>
              <w:spacing w:before="0" w:after="120"/>
              <w:rPr>
                <w:lang w:eastAsia="en-US"/>
              </w:rPr>
            </w:pPr>
            <w:r>
              <w:rPr>
                <w:lang w:eastAsia="en-US"/>
              </w:rPr>
              <w:t>Not stated</w:t>
            </w:r>
          </w:p>
        </w:tc>
        <w:tc>
          <w:tcPr>
            <w:tcW w:w="620" w:type="pct"/>
          </w:tcPr>
          <w:p w14:paraId="25E99874" w14:textId="77777777" w:rsidR="00B774D7" w:rsidRDefault="00B774D7" w:rsidP="004C79C1">
            <w:pPr>
              <w:pStyle w:val="Tabletext1"/>
              <w:spacing w:before="0" w:after="120"/>
              <w:rPr>
                <w:lang w:eastAsia="en-US"/>
              </w:rPr>
            </w:pPr>
            <w:r>
              <w:rPr>
                <w:lang w:eastAsia="en-US"/>
              </w:rPr>
              <w:t>3 years</w:t>
            </w:r>
          </w:p>
        </w:tc>
        <w:tc>
          <w:tcPr>
            <w:tcW w:w="1108" w:type="pct"/>
          </w:tcPr>
          <w:p w14:paraId="0D8A5137" w14:textId="42F68FCE" w:rsidR="00B774D7" w:rsidRDefault="00B774D7" w:rsidP="004C79C1">
            <w:pPr>
              <w:pStyle w:val="Tabletext1"/>
              <w:spacing w:before="0" w:after="120"/>
              <w:rPr>
                <w:lang w:eastAsia="en-US"/>
              </w:rPr>
            </w:pPr>
            <w:r>
              <w:rPr>
                <w:lang w:eastAsia="en-US"/>
              </w:rPr>
              <w:t>Impact of shock</w:t>
            </w:r>
            <w:r w:rsidR="00E60722">
              <w:rPr>
                <w:lang w:eastAsia="en-US"/>
              </w:rPr>
              <w:t>s</w:t>
            </w:r>
            <w:r>
              <w:rPr>
                <w:lang w:eastAsia="en-US"/>
              </w:rPr>
              <w:t xml:space="preserve"> vs no shock</w:t>
            </w:r>
            <w:r w:rsidR="00E60722">
              <w:rPr>
                <w:lang w:eastAsia="en-US"/>
              </w:rPr>
              <w:t>s</w:t>
            </w:r>
            <w:r>
              <w:rPr>
                <w:lang w:eastAsia="en-US"/>
              </w:rPr>
              <w:t xml:space="preserve"> on mortality: HR = 1.71, 95%CI 1.45, 2.02, </w:t>
            </w:r>
            <w:r w:rsidRPr="00CC77CA">
              <w:t xml:space="preserve">p&lt;0.001, </w:t>
            </w:r>
            <w:r w:rsidRPr="0049194C">
              <w:t>I</w:t>
            </w:r>
            <w:r w:rsidRPr="0049194C">
              <w:rPr>
                <w:vertAlign w:val="superscript"/>
              </w:rPr>
              <w:t>2</w:t>
            </w:r>
            <w:r w:rsidRPr="00CC77CA">
              <w:t>=0</w:t>
            </w:r>
          </w:p>
        </w:tc>
      </w:tr>
      <w:tr w:rsidR="00B774D7" w:rsidRPr="0032214A" w14:paraId="52DBFB16" w14:textId="77777777" w:rsidTr="00951CE8">
        <w:tc>
          <w:tcPr>
            <w:tcW w:w="966" w:type="pct"/>
          </w:tcPr>
          <w:p w14:paraId="3ECEFEAE" w14:textId="77777777" w:rsidR="00B774D7" w:rsidRDefault="00B774D7" w:rsidP="004C79C1">
            <w:pPr>
              <w:pStyle w:val="Tabletext1"/>
              <w:spacing w:before="0" w:after="120"/>
              <w:rPr>
                <w:lang w:eastAsia="en-US"/>
              </w:rPr>
            </w:pPr>
            <w:r>
              <w:rPr>
                <w:lang w:eastAsia="en-US"/>
              </w:rPr>
              <w:t>SR by Qian et al. (2016)</w:t>
            </w:r>
          </w:p>
        </w:tc>
        <w:tc>
          <w:tcPr>
            <w:tcW w:w="1050" w:type="pct"/>
          </w:tcPr>
          <w:p w14:paraId="260D396C" w14:textId="2145394C" w:rsidR="00B774D7" w:rsidRDefault="00B774D7" w:rsidP="004C79C1">
            <w:pPr>
              <w:pStyle w:val="Tabletext1"/>
              <w:spacing w:before="0" w:after="120"/>
              <w:rPr>
                <w:lang w:eastAsia="en-US"/>
              </w:rPr>
            </w:pPr>
            <w:r>
              <w:rPr>
                <w:lang w:eastAsia="en-US"/>
              </w:rPr>
              <w:t>K=4</w:t>
            </w:r>
          </w:p>
          <w:p w14:paraId="6460A066" w14:textId="77B3DC44" w:rsidR="00B774D7" w:rsidRDefault="00826CBC" w:rsidP="004C79C1">
            <w:pPr>
              <w:pStyle w:val="Tabletext1"/>
              <w:spacing w:before="0" w:after="120"/>
              <w:rPr>
                <w:lang w:eastAsia="en-US"/>
              </w:rPr>
            </w:pPr>
            <w:r>
              <w:rPr>
                <w:lang w:eastAsia="en-US"/>
              </w:rPr>
              <w:t>Ischaemic and n</w:t>
            </w:r>
            <w:r w:rsidR="00B774D7">
              <w:rPr>
                <w:lang w:eastAsia="en-US"/>
              </w:rPr>
              <w:t xml:space="preserve">on-ischaemic </w:t>
            </w:r>
            <w:r w:rsidR="00D12890">
              <w:rPr>
                <w:lang w:eastAsia="en-US"/>
              </w:rPr>
              <w:t xml:space="preserve">CM </w:t>
            </w:r>
            <w:r w:rsidR="00B774D7">
              <w:rPr>
                <w:lang w:eastAsia="en-US"/>
              </w:rPr>
              <w:t>for primary or secondary prevention</w:t>
            </w:r>
          </w:p>
        </w:tc>
        <w:tc>
          <w:tcPr>
            <w:tcW w:w="1257" w:type="pct"/>
          </w:tcPr>
          <w:p w14:paraId="69F663C9" w14:textId="77777777" w:rsidR="00B774D7" w:rsidRDefault="00B774D7" w:rsidP="004C79C1">
            <w:pPr>
              <w:pStyle w:val="Tabletext1"/>
              <w:spacing w:before="0" w:after="120"/>
              <w:rPr>
                <w:lang w:eastAsia="en-US"/>
              </w:rPr>
            </w:pPr>
            <w:r>
              <w:rPr>
                <w:lang w:eastAsia="en-US"/>
              </w:rPr>
              <w:t>Not stated</w:t>
            </w:r>
          </w:p>
        </w:tc>
        <w:tc>
          <w:tcPr>
            <w:tcW w:w="620" w:type="pct"/>
          </w:tcPr>
          <w:p w14:paraId="2C5F0417" w14:textId="4D7F60AE" w:rsidR="00B774D7" w:rsidRDefault="00B774D7" w:rsidP="004C79C1">
            <w:pPr>
              <w:pStyle w:val="Tabletext1"/>
              <w:spacing w:before="0" w:after="120"/>
              <w:rPr>
                <w:lang w:eastAsia="en-US"/>
              </w:rPr>
            </w:pPr>
            <w:r>
              <w:rPr>
                <w:lang w:eastAsia="en-US"/>
              </w:rPr>
              <w:t>1.4–4.1 years</w:t>
            </w:r>
          </w:p>
        </w:tc>
        <w:tc>
          <w:tcPr>
            <w:tcW w:w="1108" w:type="pct"/>
          </w:tcPr>
          <w:p w14:paraId="542CB9AD" w14:textId="4422D647" w:rsidR="00B774D7" w:rsidRDefault="00B774D7" w:rsidP="004C79C1">
            <w:pPr>
              <w:pStyle w:val="Tabletext1"/>
              <w:spacing w:before="0" w:after="120"/>
              <w:rPr>
                <w:lang w:eastAsia="en-US"/>
              </w:rPr>
            </w:pPr>
            <w:r>
              <w:rPr>
                <w:lang w:eastAsia="en-US"/>
              </w:rPr>
              <w:t>Impact of shock</w:t>
            </w:r>
            <w:r w:rsidR="00E60722">
              <w:rPr>
                <w:lang w:eastAsia="en-US"/>
              </w:rPr>
              <w:t>s</w:t>
            </w:r>
            <w:r>
              <w:rPr>
                <w:lang w:eastAsia="en-US"/>
              </w:rPr>
              <w:t xml:space="preserve"> vs no shock</w:t>
            </w:r>
            <w:r w:rsidR="00E60722">
              <w:rPr>
                <w:lang w:eastAsia="en-US"/>
              </w:rPr>
              <w:t>s</w:t>
            </w:r>
            <w:r>
              <w:rPr>
                <w:lang w:eastAsia="en-US"/>
              </w:rPr>
              <w:t xml:space="preserve"> on mortality: HR = 1.54, 95%CI 1.25, 1.89,</w:t>
            </w:r>
            <w:r w:rsidRPr="00CC77CA">
              <w:t xml:space="preserve"> p&lt;0.001, </w:t>
            </w:r>
            <w:r w:rsidRPr="0049194C">
              <w:t>I</w:t>
            </w:r>
            <w:r w:rsidRPr="0049194C">
              <w:rPr>
                <w:vertAlign w:val="superscript"/>
              </w:rPr>
              <w:t>2</w:t>
            </w:r>
            <w:r>
              <w:t>=1%</w:t>
            </w:r>
          </w:p>
        </w:tc>
      </w:tr>
    </w:tbl>
    <w:p w14:paraId="7510F142" w14:textId="26EE1079" w:rsidR="00991DC0" w:rsidRPr="0049194C" w:rsidRDefault="00951CE8" w:rsidP="004C79C1">
      <w:pPr>
        <w:spacing w:after="120" w:line="240" w:lineRule="auto"/>
        <w:contextualSpacing/>
        <w:jc w:val="both"/>
        <w:rPr>
          <w:rFonts w:ascii="Arial Narrow" w:hAnsi="Arial Narrow"/>
          <w:sz w:val="20"/>
          <w:szCs w:val="20"/>
        </w:rPr>
      </w:pPr>
      <w:r w:rsidRPr="0049194C">
        <w:rPr>
          <w:rFonts w:ascii="Arial Narrow" w:hAnsi="Arial Narrow"/>
          <w:sz w:val="20"/>
          <w:szCs w:val="20"/>
        </w:rPr>
        <w:t>ATP</w:t>
      </w:r>
      <w:r w:rsidR="008F6425" w:rsidRPr="0049194C">
        <w:rPr>
          <w:rFonts w:ascii="Arial Narrow" w:hAnsi="Arial Narrow"/>
          <w:sz w:val="20"/>
          <w:szCs w:val="20"/>
        </w:rPr>
        <w:t xml:space="preserve"> = </w:t>
      </w:r>
      <w:r w:rsidR="0071032B" w:rsidRPr="0049194C">
        <w:rPr>
          <w:rFonts w:ascii="Arial Narrow" w:hAnsi="Arial Narrow"/>
          <w:sz w:val="20"/>
          <w:szCs w:val="20"/>
          <w:lang w:eastAsia="en-US"/>
        </w:rPr>
        <w:t>anti-tachycardia pacing</w:t>
      </w:r>
      <w:r w:rsidR="008F6425" w:rsidRPr="0049194C">
        <w:rPr>
          <w:rFonts w:ascii="Arial Narrow" w:hAnsi="Arial Narrow"/>
          <w:sz w:val="20"/>
          <w:szCs w:val="20"/>
        </w:rPr>
        <w:t>;</w:t>
      </w:r>
      <w:r w:rsidRPr="0049194C">
        <w:rPr>
          <w:rFonts w:ascii="Arial Narrow" w:hAnsi="Arial Narrow"/>
          <w:sz w:val="20"/>
          <w:szCs w:val="20"/>
        </w:rPr>
        <w:t xml:space="preserve"> CAD</w:t>
      </w:r>
      <w:r w:rsidR="008F6425" w:rsidRPr="0049194C">
        <w:rPr>
          <w:rFonts w:ascii="Arial Narrow" w:hAnsi="Arial Narrow"/>
          <w:sz w:val="20"/>
          <w:szCs w:val="20"/>
        </w:rPr>
        <w:t xml:space="preserve"> = </w:t>
      </w:r>
      <w:r w:rsidR="00346040" w:rsidRPr="0049194C">
        <w:rPr>
          <w:rFonts w:ascii="Arial Narrow" w:hAnsi="Arial Narrow"/>
          <w:sz w:val="20"/>
          <w:szCs w:val="20"/>
        </w:rPr>
        <w:t>coronary artery disease</w:t>
      </w:r>
      <w:r w:rsidR="008F6425" w:rsidRPr="0049194C">
        <w:rPr>
          <w:rFonts w:ascii="Arial Narrow" w:hAnsi="Arial Narrow"/>
          <w:sz w:val="20"/>
          <w:szCs w:val="20"/>
        </w:rPr>
        <w:t>;</w:t>
      </w:r>
      <w:r w:rsidRPr="0049194C">
        <w:rPr>
          <w:rFonts w:ascii="Arial Narrow" w:hAnsi="Arial Narrow"/>
          <w:sz w:val="20"/>
          <w:szCs w:val="20"/>
        </w:rPr>
        <w:t xml:space="preserve"> </w:t>
      </w:r>
      <w:r w:rsidR="00D75722" w:rsidRPr="0049194C">
        <w:rPr>
          <w:rFonts w:ascii="Arial Narrow" w:hAnsi="Arial Narrow"/>
          <w:sz w:val="20"/>
          <w:szCs w:val="20"/>
        </w:rPr>
        <w:t xml:space="preserve">CI = confidence interval; CM = cardiomyopathy; </w:t>
      </w:r>
      <w:r w:rsidR="00537957" w:rsidRPr="0049194C">
        <w:rPr>
          <w:rFonts w:ascii="Arial Narrow" w:hAnsi="Arial Narrow"/>
          <w:sz w:val="20"/>
          <w:szCs w:val="20"/>
        </w:rPr>
        <w:t xml:space="preserve">DCM = dilated cardiomyopathy; </w:t>
      </w:r>
      <w:r w:rsidR="00394055" w:rsidRPr="0049194C">
        <w:rPr>
          <w:rFonts w:ascii="Arial Narrow" w:hAnsi="Arial Narrow"/>
          <w:sz w:val="20"/>
          <w:szCs w:val="20"/>
        </w:rPr>
        <w:t>HR</w:t>
      </w:r>
      <w:r w:rsidR="008F6425" w:rsidRPr="0049194C">
        <w:rPr>
          <w:rFonts w:ascii="Arial Narrow" w:hAnsi="Arial Narrow"/>
          <w:sz w:val="20"/>
          <w:szCs w:val="20"/>
        </w:rPr>
        <w:t xml:space="preserve"> = </w:t>
      </w:r>
      <w:r w:rsidR="00BD0FCF" w:rsidRPr="0049194C">
        <w:rPr>
          <w:rFonts w:ascii="Arial Narrow" w:hAnsi="Arial Narrow"/>
          <w:sz w:val="20"/>
          <w:szCs w:val="20"/>
        </w:rPr>
        <w:t>hazard ratio</w:t>
      </w:r>
      <w:r w:rsidR="008F6425" w:rsidRPr="0049194C">
        <w:rPr>
          <w:rFonts w:ascii="Arial Narrow" w:hAnsi="Arial Narrow"/>
          <w:sz w:val="20"/>
          <w:szCs w:val="20"/>
        </w:rPr>
        <w:t>;</w:t>
      </w:r>
      <w:r w:rsidR="00394055" w:rsidRPr="0049194C">
        <w:rPr>
          <w:rFonts w:ascii="Arial Narrow" w:hAnsi="Arial Narrow"/>
          <w:sz w:val="20"/>
          <w:szCs w:val="20"/>
        </w:rPr>
        <w:t xml:space="preserve"> HTA</w:t>
      </w:r>
      <w:r w:rsidR="008F6425" w:rsidRPr="0049194C">
        <w:rPr>
          <w:rFonts w:ascii="Arial Narrow" w:hAnsi="Arial Narrow"/>
          <w:sz w:val="20"/>
          <w:szCs w:val="20"/>
        </w:rPr>
        <w:t xml:space="preserve"> = </w:t>
      </w:r>
      <w:r w:rsidR="007E7544" w:rsidRPr="0049194C">
        <w:rPr>
          <w:rFonts w:ascii="Arial Narrow" w:hAnsi="Arial Narrow"/>
          <w:sz w:val="20"/>
          <w:szCs w:val="20"/>
        </w:rPr>
        <w:t>health technology assessment</w:t>
      </w:r>
      <w:r w:rsidR="008F6425" w:rsidRPr="0049194C">
        <w:rPr>
          <w:rFonts w:ascii="Arial Narrow" w:hAnsi="Arial Narrow"/>
          <w:sz w:val="20"/>
          <w:szCs w:val="20"/>
        </w:rPr>
        <w:t>;</w:t>
      </w:r>
      <w:r w:rsidR="00394055" w:rsidRPr="0049194C">
        <w:rPr>
          <w:rFonts w:ascii="Arial Narrow" w:hAnsi="Arial Narrow"/>
          <w:sz w:val="20"/>
          <w:szCs w:val="20"/>
        </w:rPr>
        <w:t xml:space="preserve"> </w:t>
      </w:r>
      <w:r w:rsidRPr="0049194C">
        <w:rPr>
          <w:rFonts w:ascii="Arial Narrow" w:hAnsi="Arial Narrow"/>
          <w:sz w:val="20"/>
          <w:szCs w:val="20"/>
        </w:rPr>
        <w:t>ICD</w:t>
      </w:r>
      <w:r w:rsidR="008F6425" w:rsidRPr="0049194C">
        <w:rPr>
          <w:rFonts w:ascii="Arial Narrow" w:hAnsi="Arial Narrow"/>
          <w:sz w:val="20"/>
          <w:szCs w:val="20"/>
        </w:rPr>
        <w:t xml:space="preserve"> = </w:t>
      </w:r>
      <w:r w:rsidR="007E7544" w:rsidRPr="0049194C">
        <w:rPr>
          <w:rFonts w:ascii="Arial Narrow" w:hAnsi="Arial Narrow"/>
          <w:sz w:val="20"/>
          <w:szCs w:val="20"/>
        </w:rPr>
        <w:t xml:space="preserve">implantable </w:t>
      </w:r>
      <w:r w:rsidR="0026063B" w:rsidRPr="00991DC0">
        <w:rPr>
          <w:rFonts w:ascii="Arial Narrow" w:hAnsi="Arial Narrow"/>
          <w:sz w:val="20"/>
          <w:szCs w:val="20"/>
        </w:rPr>
        <w:t>cardioverter defibrillator</w:t>
      </w:r>
      <w:r w:rsidR="008F6425" w:rsidRPr="0049194C">
        <w:rPr>
          <w:rFonts w:ascii="Arial Narrow" w:hAnsi="Arial Narrow"/>
          <w:sz w:val="20"/>
          <w:szCs w:val="20"/>
        </w:rPr>
        <w:t xml:space="preserve">; </w:t>
      </w:r>
      <w:r w:rsidR="00667AA3" w:rsidRPr="0049194C">
        <w:rPr>
          <w:rFonts w:ascii="Arial Narrow" w:hAnsi="Arial Narrow"/>
          <w:sz w:val="20"/>
          <w:szCs w:val="20"/>
        </w:rPr>
        <w:t xml:space="preserve">K = </w:t>
      </w:r>
      <w:r w:rsidR="00BD0FCF" w:rsidRPr="0049194C">
        <w:rPr>
          <w:rFonts w:ascii="Arial Narrow" w:hAnsi="Arial Narrow"/>
          <w:sz w:val="20"/>
          <w:szCs w:val="20"/>
        </w:rPr>
        <w:t>number of studies</w:t>
      </w:r>
      <w:r w:rsidR="00667AA3" w:rsidRPr="0049194C">
        <w:rPr>
          <w:rFonts w:ascii="Arial Narrow" w:hAnsi="Arial Narrow"/>
          <w:sz w:val="20"/>
          <w:szCs w:val="20"/>
        </w:rPr>
        <w:t xml:space="preserve">; </w:t>
      </w:r>
      <w:r w:rsidR="00394055" w:rsidRPr="0049194C">
        <w:rPr>
          <w:rFonts w:ascii="Arial Narrow" w:hAnsi="Arial Narrow"/>
          <w:sz w:val="20"/>
          <w:szCs w:val="20"/>
        </w:rPr>
        <w:t>N</w:t>
      </w:r>
      <w:r w:rsidR="008F6425" w:rsidRPr="0049194C">
        <w:rPr>
          <w:rFonts w:ascii="Arial Narrow" w:hAnsi="Arial Narrow"/>
          <w:sz w:val="20"/>
          <w:szCs w:val="20"/>
        </w:rPr>
        <w:t xml:space="preserve"> = </w:t>
      </w:r>
      <w:r w:rsidR="007E7544" w:rsidRPr="0049194C">
        <w:rPr>
          <w:rFonts w:ascii="Arial Narrow" w:hAnsi="Arial Narrow"/>
          <w:sz w:val="20"/>
          <w:szCs w:val="20"/>
        </w:rPr>
        <w:t>number</w:t>
      </w:r>
      <w:r w:rsidR="00BD0FCF" w:rsidRPr="0049194C">
        <w:rPr>
          <w:rFonts w:ascii="Arial Narrow" w:hAnsi="Arial Narrow"/>
          <w:sz w:val="20"/>
          <w:szCs w:val="20"/>
        </w:rPr>
        <w:t xml:space="preserve"> of patients</w:t>
      </w:r>
      <w:r w:rsidR="008F6425" w:rsidRPr="0049194C">
        <w:rPr>
          <w:rFonts w:ascii="Arial Narrow" w:hAnsi="Arial Narrow"/>
          <w:sz w:val="20"/>
          <w:szCs w:val="20"/>
        </w:rPr>
        <w:t>;</w:t>
      </w:r>
      <w:r w:rsidR="00394055" w:rsidRPr="0049194C">
        <w:rPr>
          <w:rFonts w:ascii="Arial Narrow" w:hAnsi="Arial Narrow"/>
          <w:sz w:val="20"/>
          <w:szCs w:val="20"/>
        </w:rPr>
        <w:t xml:space="preserve"> </w:t>
      </w:r>
      <w:r w:rsidRPr="0049194C">
        <w:rPr>
          <w:rFonts w:ascii="Arial Narrow" w:hAnsi="Arial Narrow"/>
          <w:sz w:val="20"/>
          <w:szCs w:val="20"/>
        </w:rPr>
        <w:t>NIDCM</w:t>
      </w:r>
      <w:r w:rsidR="008F6425" w:rsidRPr="0049194C">
        <w:rPr>
          <w:rFonts w:ascii="Arial Narrow" w:hAnsi="Arial Narrow"/>
          <w:sz w:val="20"/>
          <w:szCs w:val="20"/>
        </w:rPr>
        <w:t xml:space="preserve"> = </w:t>
      </w:r>
      <w:r w:rsidR="007E7544" w:rsidRPr="0049194C">
        <w:rPr>
          <w:rFonts w:ascii="Arial Narrow" w:hAnsi="Arial Narrow"/>
          <w:color w:val="000000"/>
          <w:sz w:val="20"/>
          <w:szCs w:val="20"/>
        </w:rPr>
        <w:t>non-ischaemic dilated cardiomyopathy</w:t>
      </w:r>
      <w:r w:rsidR="008F6425" w:rsidRPr="0049194C">
        <w:rPr>
          <w:rFonts w:ascii="Arial Narrow" w:hAnsi="Arial Narrow"/>
          <w:sz w:val="20"/>
          <w:szCs w:val="20"/>
        </w:rPr>
        <w:t>;</w:t>
      </w:r>
      <w:r w:rsidRPr="0049194C">
        <w:rPr>
          <w:rFonts w:ascii="Arial Narrow" w:hAnsi="Arial Narrow"/>
          <w:sz w:val="20"/>
          <w:szCs w:val="20"/>
        </w:rPr>
        <w:t xml:space="preserve"> </w:t>
      </w:r>
      <w:r w:rsidR="00394055" w:rsidRPr="0049194C">
        <w:rPr>
          <w:rFonts w:ascii="Arial Narrow" w:hAnsi="Arial Narrow"/>
          <w:sz w:val="20"/>
          <w:szCs w:val="20"/>
        </w:rPr>
        <w:t>SR</w:t>
      </w:r>
      <w:r w:rsidR="008F6425" w:rsidRPr="0049194C">
        <w:rPr>
          <w:rFonts w:ascii="Arial Narrow" w:hAnsi="Arial Narrow"/>
          <w:sz w:val="20"/>
          <w:szCs w:val="20"/>
        </w:rPr>
        <w:t xml:space="preserve"> = </w:t>
      </w:r>
      <w:r w:rsidR="00667AA3" w:rsidRPr="0049194C">
        <w:rPr>
          <w:rFonts w:ascii="Arial Narrow" w:hAnsi="Arial Narrow"/>
          <w:sz w:val="20"/>
          <w:szCs w:val="20"/>
        </w:rPr>
        <w:t>systematic review</w:t>
      </w:r>
    </w:p>
    <w:p w14:paraId="20308CD9" w14:textId="77777777" w:rsidR="00667AA3" w:rsidRDefault="00667AA3" w:rsidP="004C79C1">
      <w:pPr>
        <w:spacing w:after="120" w:line="240" w:lineRule="auto"/>
        <w:jc w:val="both"/>
      </w:pPr>
    </w:p>
    <w:p w14:paraId="4C02F5D0" w14:textId="1A111892" w:rsidR="00982D1F" w:rsidRDefault="00B774D7" w:rsidP="004C79C1">
      <w:pPr>
        <w:spacing w:after="120" w:line="240" w:lineRule="auto"/>
        <w:jc w:val="both"/>
      </w:pPr>
      <w:r>
        <w:t>Two further SRs by Qian et al</w:t>
      </w:r>
      <w:r w:rsidR="00D912A5">
        <w:t>.</w:t>
      </w:r>
      <w:r>
        <w:t xml:space="preserve"> </w:t>
      </w:r>
      <w:r w:rsidR="00F83EAB">
        <w:t xml:space="preserve">(2016) </w:t>
      </w:r>
      <w:r>
        <w:t>and Pr</w:t>
      </w:r>
      <w:r w:rsidRPr="00CC77CA">
        <w:t>o</w:t>
      </w:r>
      <w:r>
        <w:t>ie</w:t>
      </w:r>
      <w:r w:rsidRPr="00CC77CA">
        <w:t>tti et al</w:t>
      </w:r>
      <w:r w:rsidR="00D912A5">
        <w:t>.</w:t>
      </w:r>
      <w:r w:rsidRPr="00CC77CA">
        <w:t xml:space="preserve"> </w:t>
      </w:r>
      <w:r w:rsidR="00F83EAB">
        <w:t xml:space="preserve">(2015) </w:t>
      </w:r>
      <w:r w:rsidRPr="00CC77CA">
        <w:t xml:space="preserve">provided the most recent and directly comparable pooled data on inappropriate shock </w:t>
      </w:r>
      <w:r w:rsidR="00B278C6">
        <w:t>rates</w:t>
      </w:r>
      <w:r w:rsidR="00F83EAB">
        <w:t xml:space="preserve"> </w:t>
      </w:r>
      <w:r w:rsidRPr="00CC77CA">
        <w:t xml:space="preserve">in composite populations of ischaemic and non-ischaemic </w:t>
      </w:r>
      <w:r w:rsidR="00F83EAB">
        <w:t>CM</w:t>
      </w:r>
      <w:r w:rsidR="00F83EAB" w:rsidRPr="00CC77CA">
        <w:t xml:space="preserve"> </w:t>
      </w:r>
      <w:r w:rsidRPr="00CC77CA">
        <w:t>patients implanted with ICDs for primary or secondary prevention. Comparing patients who had inappropriate shock</w:t>
      </w:r>
      <w:r w:rsidR="00CC0CD3">
        <w:t>s</w:t>
      </w:r>
      <w:r w:rsidRPr="00CC77CA">
        <w:t xml:space="preserve"> with those who did not have any shock, there was a consistent finding across these SRs that inappropriate shock</w:t>
      </w:r>
      <w:r w:rsidR="00F83EAB">
        <w:t xml:space="preserve"> </w:t>
      </w:r>
      <w:r w:rsidR="00B278C6">
        <w:t>rates</w:t>
      </w:r>
      <w:r w:rsidRPr="00CC77CA">
        <w:t xml:space="preserve"> </w:t>
      </w:r>
      <w:r w:rsidR="00F83EAB">
        <w:t>were</w:t>
      </w:r>
      <w:r w:rsidR="00F83EAB" w:rsidRPr="00CC77CA">
        <w:t xml:space="preserve"> </w:t>
      </w:r>
      <w:r w:rsidRPr="00CC77CA">
        <w:t>significantly associated with an increase in mortality. Based on the meta-analysis of impact of inappropriate shock</w:t>
      </w:r>
      <w:r w:rsidR="00CC0CD3">
        <w:t>s</w:t>
      </w:r>
      <w:r w:rsidRPr="00CC77CA">
        <w:t xml:space="preserve"> compared </w:t>
      </w:r>
      <w:r w:rsidR="0088215D">
        <w:lastRenderedPageBreak/>
        <w:t>with</w:t>
      </w:r>
      <w:r w:rsidR="0088215D" w:rsidRPr="00CC77CA">
        <w:t xml:space="preserve"> </w:t>
      </w:r>
      <w:r w:rsidRPr="00CC77CA">
        <w:t>no shock</w:t>
      </w:r>
      <w:r w:rsidR="00CC0CD3">
        <w:t>s</w:t>
      </w:r>
      <w:r w:rsidRPr="00CC77CA">
        <w:t xml:space="preserve"> (k=4</w:t>
      </w:r>
      <w:r w:rsidRPr="00CC77CA">
        <w:rPr>
          <w:vertAlign w:val="superscript"/>
        </w:rPr>
        <w:footnoteReference w:id="8"/>
      </w:r>
      <w:r w:rsidRPr="00CC77CA">
        <w:t>), Qian et al</w:t>
      </w:r>
      <w:r w:rsidR="00D912A5">
        <w:t>.</w:t>
      </w:r>
      <w:r w:rsidRPr="00CC77CA">
        <w:t xml:space="preserve"> reported a pooled HR of 1.54 (95%CI 1.25, 1.89); p&lt;0.001, </w:t>
      </w:r>
      <w:r w:rsidRPr="0049194C">
        <w:t>I</w:t>
      </w:r>
      <w:r w:rsidRPr="0049194C">
        <w:rPr>
          <w:vertAlign w:val="superscript"/>
        </w:rPr>
        <w:t>2</w:t>
      </w:r>
      <w:r w:rsidRPr="00CC77CA">
        <w:t xml:space="preserve">=1%. Similarly, for the same comparison across </w:t>
      </w:r>
      <w:r w:rsidR="0088215D">
        <w:t>6</w:t>
      </w:r>
      <w:r w:rsidR="0088215D" w:rsidRPr="00CC77CA">
        <w:t xml:space="preserve"> </w:t>
      </w:r>
      <w:r w:rsidRPr="00CC77CA">
        <w:t>studies, Proietti et al</w:t>
      </w:r>
      <w:r w:rsidR="00D912A5">
        <w:t>.</w:t>
      </w:r>
      <w:r w:rsidRPr="00CC77CA">
        <w:t xml:space="preserve"> reported a pooled HR of 1.71 (95%CI 1.45, 2.02); p&lt;0.001,</w:t>
      </w:r>
      <w:r w:rsidRPr="0040534D">
        <w:t xml:space="preserve"> </w:t>
      </w:r>
      <w:r w:rsidRPr="0049194C">
        <w:t>I</w:t>
      </w:r>
      <w:r w:rsidRPr="0049194C">
        <w:rPr>
          <w:vertAlign w:val="superscript"/>
        </w:rPr>
        <w:t>2</w:t>
      </w:r>
      <w:r w:rsidRPr="0040534D">
        <w:t>=</w:t>
      </w:r>
      <w:r w:rsidRPr="00CC77CA">
        <w:t>0. The analysis provided by Proietti and colleagues included 192</w:t>
      </w:r>
      <w:r w:rsidR="0088215D">
        <w:t>,</w:t>
      </w:r>
      <w:r w:rsidRPr="00CC77CA">
        <w:t xml:space="preserve">142 patients followed over </w:t>
      </w:r>
      <w:r w:rsidR="0088215D">
        <w:t>3 </w:t>
      </w:r>
      <w:r w:rsidRPr="00CC77CA">
        <w:t>years</w:t>
      </w:r>
      <w:r w:rsidRPr="00CC77CA">
        <w:rPr>
          <w:vertAlign w:val="superscript"/>
        </w:rPr>
        <w:footnoteReference w:id="9"/>
      </w:r>
      <w:r w:rsidR="006447AA">
        <w:t>.</w:t>
      </w:r>
      <w:r w:rsidRPr="00CC77CA">
        <w:t xml:space="preserve"> Interestingly, while most of the studies identified and included by the authors of these SRs do overlap, only the data reported by Sood and colleagues</w:t>
      </w:r>
      <w:r>
        <w:t xml:space="preserve"> </w:t>
      </w:r>
      <w:r>
        <w:fldChar w:fldCharType="begin">
          <w:fldData xml:space="preserve">PEVuZE5vdGU+PENpdGU+PEF1dGhvcj5Tb29kPC9BdXRob3I+PFllYXI+MjAxNDwvWWVhcj48UmVj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</w:fldData>
        </w:fldChar>
      </w:r>
      <w:r>
        <w:instrText xml:space="preserve"> ADDIN EN.CITE </w:instrText>
      </w:r>
      <w:r>
        <w:fldChar w:fldCharType="begin">
          <w:fldData xml:space="preserve">PEVuZE5vdGU+PENpdGU+PEF1dGhvcj5Tb29kPC9BdXRob3I+PFllYXI+MjAxNDwvWWVhcj48UmVj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</w:fldData>
        </w:fldChar>
      </w:r>
      <w:r>
        <w:instrText xml:space="preserve"> ADDIN EN.CITE.DATA </w:instrText>
      </w:r>
      <w:r>
        <w:fldChar w:fldCharType="end"/>
      </w:r>
      <w:r>
        <w:fldChar w:fldCharType="separate"/>
      </w:r>
      <w:r>
        <w:rPr>
          <w:noProof/>
        </w:rPr>
        <w:t>(</w:t>
      </w:r>
      <w:hyperlink w:anchor="_ENREF_119" w:tooltip="Sood, 2014 #137" w:history="1">
        <w:r w:rsidR="00B906E9">
          <w:rPr>
            <w:noProof/>
          </w:rPr>
          <w:t>Sood et al. 2014</w:t>
        </w:r>
      </w:hyperlink>
      <w:r>
        <w:rPr>
          <w:noProof/>
        </w:rPr>
        <w:t>)</w:t>
      </w:r>
      <w:r>
        <w:fldChar w:fldCharType="end"/>
      </w:r>
      <w:r w:rsidRPr="00CC77CA">
        <w:t xml:space="preserve"> was common to both the meta-analyses. While this does suggest a potential source of errors or bias in the conduct of these SRs, it does not seem to have affected the findings greatly, and it is reasonable to conclude, based on these data including at least 200,000 patients, that measures to avoid the occurrence of inappropriate shock</w:t>
      </w:r>
      <w:r w:rsidR="00580428">
        <w:t>s</w:t>
      </w:r>
      <w:r w:rsidRPr="00CC77CA">
        <w:t xml:space="preserve"> are warranted in patients with ICD</w:t>
      </w:r>
      <w:r w:rsidR="007202F5">
        <w:t>s</w:t>
      </w:r>
      <w:r w:rsidRPr="00CC77CA">
        <w:t xml:space="preserve"> implanted for primary or secondary prevention. Furthermore, given the relative scarcity of data on the impact of inappropriate shock</w:t>
      </w:r>
      <w:r w:rsidR="00580428">
        <w:t>s</w:t>
      </w:r>
      <w:r w:rsidRPr="00CC77CA">
        <w:t xml:space="preserve"> on mortality in patients with DCM, it would be sensible to assume </w:t>
      </w:r>
      <w:r w:rsidR="007202F5">
        <w:t xml:space="preserve">that </w:t>
      </w:r>
      <w:r w:rsidRPr="00CC77CA">
        <w:t>the more</w:t>
      </w:r>
      <w:r w:rsidR="007202F5">
        <w:t>-</w:t>
      </w:r>
      <w:r w:rsidRPr="00CC77CA">
        <w:t xml:space="preserve">general data are applicable in this context of the narrower DCM population. </w:t>
      </w:r>
    </w:p>
    <w:p w14:paraId="4AC91916" w14:textId="40CCC34F" w:rsidR="004268BA" w:rsidRDefault="003E1A66" w:rsidP="004C79C1">
      <w:pPr>
        <w:pStyle w:val="Heading1"/>
        <w:spacing w:after="120" w:line="240" w:lineRule="auto"/>
      </w:pPr>
      <w:bookmarkStart w:id="488" w:name="_Toc451501358"/>
      <w:r>
        <w:lastRenderedPageBreak/>
        <w:t>B8</w:t>
      </w:r>
      <w:r>
        <w:tab/>
      </w:r>
      <w:r w:rsidR="004268BA">
        <w:t xml:space="preserve">Interpretation of the </w:t>
      </w:r>
      <w:r w:rsidR="00615F94">
        <w:t>C</w:t>
      </w:r>
      <w:r w:rsidR="004268BA">
        <w:t xml:space="preserve">linical </w:t>
      </w:r>
      <w:r w:rsidR="00615F94">
        <w:t>E</w:t>
      </w:r>
      <w:r w:rsidR="004268BA">
        <w:t>vidence</w:t>
      </w:r>
      <w:bookmarkEnd w:id="488"/>
    </w:p>
    <w:p w14:paraId="1FD44240" w14:textId="6A4783C1" w:rsidR="004268BA" w:rsidRDefault="004268BA" w:rsidP="004C79C1">
      <w:pPr>
        <w:tabs>
          <w:tab w:val="left" w:pos="1134"/>
          <w:tab w:val="left" w:pos="2268"/>
        </w:tabs>
        <w:spacing w:after="120" w:line="240" w:lineRule="auto"/>
        <w:jc w:val="both"/>
        <w:rPr>
          <w:szCs w:val="23"/>
        </w:rPr>
      </w:pPr>
      <w:r>
        <w:rPr>
          <w:szCs w:val="23"/>
        </w:rPr>
        <w:t xml:space="preserve">CMR is proposed as an investigative modality that can provide a range of different information </w:t>
      </w:r>
      <w:r w:rsidR="002953EC">
        <w:rPr>
          <w:szCs w:val="23"/>
        </w:rPr>
        <w:t xml:space="preserve">that </w:t>
      </w:r>
      <w:r>
        <w:rPr>
          <w:szCs w:val="23"/>
        </w:rPr>
        <w:t xml:space="preserve">may inform a patients’ diagnosis and prognosis, would logically influence the patients’ treatment, and hopefully </w:t>
      </w:r>
      <w:r w:rsidR="009564CA">
        <w:rPr>
          <w:szCs w:val="23"/>
        </w:rPr>
        <w:t xml:space="preserve">would </w:t>
      </w:r>
      <w:r>
        <w:rPr>
          <w:szCs w:val="23"/>
        </w:rPr>
        <w:t xml:space="preserve">improve health outcomes. </w:t>
      </w:r>
    </w:p>
    <w:p w14:paraId="2CFE6240" w14:textId="77777777" w:rsidR="004268BA" w:rsidRDefault="004268BA" w:rsidP="004C79C1">
      <w:pPr>
        <w:spacing w:after="120" w:line="240" w:lineRule="auto"/>
        <w:jc w:val="both"/>
      </w:pPr>
      <w:r w:rsidRPr="0086732F">
        <w:t xml:space="preserve">In the Decision Analytic Protocol, CMR was proposed for use in four populations: </w:t>
      </w:r>
    </w:p>
    <w:p w14:paraId="360BF24A" w14:textId="2C29EEAE" w:rsidR="004268BA" w:rsidRDefault="005224ED" w:rsidP="004C79C1">
      <w:pPr>
        <w:pStyle w:val="ListParagraph"/>
        <w:numPr>
          <w:ilvl w:val="0"/>
          <w:numId w:val="43"/>
        </w:numPr>
        <w:spacing w:after="120" w:line="240" w:lineRule="auto"/>
        <w:contextualSpacing/>
        <w:jc w:val="both"/>
      </w:pPr>
      <w:r>
        <w:t>p</w:t>
      </w:r>
      <w:r w:rsidR="004268BA">
        <w:t xml:space="preserve">atients </w:t>
      </w:r>
      <w:r w:rsidR="004268BA" w:rsidRPr="0008198D">
        <w:t xml:space="preserve">presenting with </w:t>
      </w:r>
      <w:r w:rsidR="00F553CB">
        <w:t>HF</w:t>
      </w:r>
      <w:r w:rsidR="004268BA" w:rsidRPr="0008198D">
        <w:t xml:space="preserve"> symptoms in whom </w:t>
      </w:r>
      <w:r w:rsidR="00A21115">
        <w:t>echocardiography</w:t>
      </w:r>
      <w:r w:rsidR="004268BA">
        <w:t xml:space="preserve"> is inconclusive;</w:t>
      </w:r>
    </w:p>
    <w:p w14:paraId="035ACDD7" w14:textId="678CA7AD" w:rsidR="004268BA" w:rsidRDefault="005224ED" w:rsidP="004C79C1">
      <w:pPr>
        <w:pStyle w:val="ListParagraph"/>
        <w:numPr>
          <w:ilvl w:val="0"/>
          <w:numId w:val="43"/>
        </w:numPr>
        <w:spacing w:after="120" w:line="240" w:lineRule="auto"/>
        <w:contextualSpacing/>
        <w:jc w:val="both"/>
      </w:pPr>
      <w:r>
        <w:t>p</w:t>
      </w:r>
      <w:r w:rsidR="004268BA">
        <w:t xml:space="preserve">atients presenting with </w:t>
      </w:r>
      <w:r w:rsidR="00F553CB">
        <w:t>HF</w:t>
      </w:r>
      <w:r w:rsidR="004268BA">
        <w:t xml:space="preserve"> symptoms in whom </w:t>
      </w:r>
      <w:r w:rsidR="00A21115">
        <w:t>echocardiography</w:t>
      </w:r>
      <w:r w:rsidR="004268BA">
        <w:t xml:space="preserve"> </w:t>
      </w:r>
      <w:r w:rsidR="004268BA" w:rsidRPr="0008198D">
        <w:t>sug</w:t>
      </w:r>
      <w:r w:rsidR="004268BA">
        <w:t xml:space="preserve">gests a </w:t>
      </w:r>
      <w:r w:rsidR="00991DC0">
        <w:t>DCM</w:t>
      </w:r>
      <w:r w:rsidR="004268BA">
        <w:t xml:space="preserve"> and who have a low–intermediate risk of </w:t>
      </w:r>
      <w:r w:rsidR="00F553CB">
        <w:t>CAD</w:t>
      </w:r>
      <w:r w:rsidR="004268BA">
        <w:t>;</w:t>
      </w:r>
    </w:p>
    <w:p w14:paraId="4D97531F" w14:textId="0E17926B" w:rsidR="004268BA" w:rsidRDefault="005224ED" w:rsidP="004C79C1">
      <w:pPr>
        <w:pStyle w:val="ListParagraph"/>
        <w:numPr>
          <w:ilvl w:val="0"/>
          <w:numId w:val="43"/>
        </w:numPr>
        <w:spacing w:after="120" w:line="240" w:lineRule="auto"/>
        <w:contextualSpacing/>
        <w:jc w:val="both"/>
      </w:pPr>
      <w:r>
        <w:rPr>
          <w:rFonts w:cs="Arial"/>
        </w:rPr>
        <w:t>a</w:t>
      </w:r>
      <w:r w:rsidR="004268BA" w:rsidRPr="00F403C2">
        <w:rPr>
          <w:rFonts w:cs="Arial"/>
        </w:rPr>
        <w:t xml:space="preserve">symptomatic </w:t>
      </w:r>
      <w:r w:rsidR="004268BA">
        <w:rPr>
          <w:rFonts w:cs="Arial"/>
        </w:rPr>
        <w:t>first</w:t>
      </w:r>
      <w:r w:rsidR="00F553CB">
        <w:rPr>
          <w:rFonts w:cs="Arial"/>
        </w:rPr>
        <w:t>-</w:t>
      </w:r>
      <w:r w:rsidR="004268BA">
        <w:rPr>
          <w:rFonts w:cs="Arial"/>
        </w:rPr>
        <w:t>degree relatives of someone diagnosed with</w:t>
      </w:r>
      <w:r w:rsidR="004268BA" w:rsidRPr="00F403C2">
        <w:rPr>
          <w:rFonts w:cs="Arial"/>
        </w:rPr>
        <w:t xml:space="preserve"> </w:t>
      </w:r>
      <w:r w:rsidR="00F553CB">
        <w:rPr>
          <w:rFonts w:cs="Arial"/>
        </w:rPr>
        <w:t>NIDCM</w:t>
      </w:r>
      <w:r w:rsidR="004268BA" w:rsidRPr="00F403C2">
        <w:rPr>
          <w:rFonts w:cs="Arial"/>
        </w:rPr>
        <w:t xml:space="preserve"> </w:t>
      </w:r>
      <w:r w:rsidR="004268BA">
        <w:rPr>
          <w:rFonts w:cs="Arial"/>
        </w:rPr>
        <w:t xml:space="preserve">in whom </w:t>
      </w:r>
      <w:r w:rsidR="00A21115">
        <w:rPr>
          <w:rFonts w:cs="Arial"/>
        </w:rPr>
        <w:t>echocardiography</w:t>
      </w:r>
      <w:r w:rsidR="004268BA">
        <w:rPr>
          <w:rFonts w:cs="Arial"/>
        </w:rPr>
        <w:t xml:space="preserve"> is inconclusive; and</w:t>
      </w:r>
    </w:p>
    <w:p w14:paraId="415CB7EF" w14:textId="288FB870" w:rsidR="004268BA" w:rsidRPr="003E0217" w:rsidRDefault="005224ED" w:rsidP="004C79C1">
      <w:pPr>
        <w:pStyle w:val="ListParagraph"/>
        <w:numPr>
          <w:ilvl w:val="0"/>
          <w:numId w:val="43"/>
        </w:numPr>
        <w:spacing w:after="120" w:line="240" w:lineRule="auto"/>
        <w:contextualSpacing/>
        <w:jc w:val="both"/>
      </w:pPr>
      <w:proofErr w:type="gramStart"/>
      <w:r>
        <w:rPr>
          <w:rFonts w:cs="Arial"/>
        </w:rPr>
        <w:t>a</w:t>
      </w:r>
      <w:r w:rsidR="004268BA" w:rsidRPr="00F403C2">
        <w:rPr>
          <w:rFonts w:cs="Arial"/>
        </w:rPr>
        <w:t>symptomatic</w:t>
      </w:r>
      <w:proofErr w:type="gramEnd"/>
      <w:r w:rsidR="004268BA" w:rsidRPr="00F403C2">
        <w:rPr>
          <w:rFonts w:cs="Arial"/>
        </w:rPr>
        <w:t xml:space="preserve"> </w:t>
      </w:r>
      <w:r w:rsidR="004268BA">
        <w:rPr>
          <w:rFonts w:cs="Arial"/>
        </w:rPr>
        <w:t>first</w:t>
      </w:r>
      <w:r w:rsidR="00F553CB">
        <w:rPr>
          <w:rFonts w:cs="Arial"/>
        </w:rPr>
        <w:t>-</w:t>
      </w:r>
      <w:r w:rsidR="004268BA">
        <w:rPr>
          <w:rFonts w:cs="Arial"/>
        </w:rPr>
        <w:t>degree relatives of someone diagnosed with</w:t>
      </w:r>
      <w:r w:rsidR="004268BA" w:rsidRPr="00F403C2">
        <w:rPr>
          <w:rFonts w:cs="Arial"/>
        </w:rPr>
        <w:t xml:space="preserve"> </w:t>
      </w:r>
      <w:r w:rsidR="00F553CB">
        <w:rPr>
          <w:rFonts w:cs="Arial"/>
        </w:rPr>
        <w:t>NIDCM</w:t>
      </w:r>
      <w:r w:rsidR="004268BA" w:rsidRPr="00F403C2">
        <w:rPr>
          <w:rFonts w:cs="Arial"/>
        </w:rPr>
        <w:t xml:space="preserve"> </w:t>
      </w:r>
      <w:r w:rsidR="004268BA">
        <w:rPr>
          <w:rFonts w:cs="Arial"/>
        </w:rPr>
        <w:t xml:space="preserve">in whom </w:t>
      </w:r>
      <w:r w:rsidR="00A21115">
        <w:rPr>
          <w:rFonts w:cs="Arial"/>
        </w:rPr>
        <w:t>echocardiography</w:t>
      </w:r>
      <w:r w:rsidR="004268BA">
        <w:rPr>
          <w:rFonts w:cs="Arial"/>
        </w:rPr>
        <w:t xml:space="preserve"> suggests a </w:t>
      </w:r>
      <w:r w:rsidR="002A4A71">
        <w:rPr>
          <w:rFonts w:cs="Arial"/>
        </w:rPr>
        <w:t>DCM</w:t>
      </w:r>
      <w:r w:rsidR="004268BA">
        <w:rPr>
          <w:rFonts w:cs="Arial"/>
        </w:rPr>
        <w:t xml:space="preserve"> </w:t>
      </w:r>
      <w:r w:rsidR="002A4A71">
        <w:rPr>
          <w:rFonts w:cs="Arial"/>
        </w:rPr>
        <w:t xml:space="preserve">that </w:t>
      </w:r>
      <w:r w:rsidR="004268BA">
        <w:rPr>
          <w:rFonts w:cs="Arial"/>
        </w:rPr>
        <w:t xml:space="preserve">requires further investigations prior to treatment due to an intermediate–high risk of </w:t>
      </w:r>
      <w:r w:rsidR="002A4A71">
        <w:rPr>
          <w:rFonts w:cs="Arial"/>
        </w:rPr>
        <w:t>CAD</w:t>
      </w:r>
      <w:r w:rsidR="004268BA">
        <w:rPr>
          <w:rFonts w:cs="Arial"/>
        </w:rPr>
        <w:t>.</w:t>
      </w:r>
    </w:p>
    <w:p w14:paraId="1D092657" w14:textId="35FEA102" w:rsidR="004268BA" w:rsidRDefault="004268BA" w:rsidP="004C79C1">
      <w:pPr>
        <w:tabs>
          <w:tab w:val="left" w:pos="1134"/>
          <w:tab w:val="left" w:pos="2268"/>
        </w:tabs>
        <w:spacing w:after="120" w:line="240" w:lineRule="auto"/>
        <w:jc w:val="both"/>
      </w:pPr>
      <w:r>
        <w:t xml:space="preserve">Potentially relevant evidence was identified for symptomatic populations (i) and (ii) but not for asymptomatic family members. </w:t>
      </w:r>
    </w:p>
    <w:p w14:paraId="03109B45" w14:textId="7A8A65A0" w:rsidR="004268BA" w:rsidRPr="00D53754" w:rsidRDefault="004268BA" w:rsidP="004C79C1">
      <w:pPr>
        <w:tabs>
          <w:tab w:val="left" w:pos="1134"/>
          <w:tab w:val="left" w:pos="2268"/>
        </w:tabs>
        <w:spacing w:after="120" w:line="240" w:lineRule="auto"/>
        <w:jc w:val="both"/>
        <w:rPr>
          <w:szCs w:val="23"/>
        </w:rPr>
      </w:pPr>
      <w:r>
        <w:rPr>
          <w:szCs w:val="23"/>
        </w:rPr>
        <w:t xml:space="preserve">The accuracy of LGE-CMR was considered in regards to its ability to detect three separate, but linked, concepts. It is proposed as a means of diagnosing DCM (relevant for patients in whom </w:t>
      </w:r>
      <w:r w:rsidR="00A21115">
        <w:rPr>
          <w:szCs w:val="23"/>
        </w:rPr>
        <w:t>echocardiography</w:t>
      </w:r>
      <w:r>
        <w:rPr>
          <w:szCs w:val="23"/>
        </w:rPr>
        <w:t xml:space="preserve"> was inconclusive), distinguishing between ischaemic and non-ischaemic DCM (generally after LV dilation and systolic dysfunction has been identified), and detecting the aetiology of NIDCM in those who may otherwise be classified as idiopathic. Furthermore, LGE-CMR can be used to predict a patient’s health outcomes and influence their treatment. </w:t>
      </w:r>
    </w:p>
    <w:p w14:paraId="2F215A5E" w14:textId="49D6C6D5" w:rsidR="004268BA" w:rsidRPr="0086732F" w:rsidRDefault="004268BA" w:rsidP="004C79C1">
      <w:pPr>
        <w:pStyle w:val="Heading2"/>
        <w:numPr>
          <w:ilvl w:val="0"/>
          <w:numId w:val="90"/>
        </w:numPr>
        <w:spacing w:before="0" w:after="120" w:line="240" w:lineRule="auto"/>
        <w:ind w:left="0" w:firstLine="0"/>
        <w:rPr>
          <w:b w:val="0"/>
          <w:szCs w:val="23"/>
        </w:rPr>
      </w:pPr>
      <w:bookmarkStart w:id="489" w:name="_Toc451501359"/>
      <w:r w:rsidRPr="0086732F">
        <w:rPr>
          <w:szCs w:val="23"/>
        </w:rPr>
        <w:t xml:space="preserve">Patients </w:t>
      </w:r>
      <w:r w:rsidR="005A543B">
        <w:rPr>
          <w:szCs w:val="23"/>
        </w:rPr>
        <w:t>P</w:t>
      </w:r>
      <w:r w:rsidRPr="0086732F">
        <w:rPr>
          <w:szCs w:val="23"/>
        </w:rPr>
        <w:t xml:space="preserve">resenting with </w:t>
      </w:r>
      <w:r w:rsidR="0026070C">
        <w:rPr>
          <w:szCs w:val="23"/>
        </w:rPr>
        <w:t>HF</w:t>
      </w:r>
      <w:r w:rsidRPr="0086732F">
        <w:rPr>
          <w:szCs w:val="23"/>
        </w:rPr>
        <w:t xml:space="preserve"> </w:t>
      </w:r>
      <w:r w:rsidR="005A543B">
        <w:rPr>
          <w:szCs w:val="23"/>
        </w:rPr>
        <w:t>S</w:t>
      </w:r>
      <w:r w:rsidRPr="0086732F">
        <w:rPr>
          <w:szCs w:val="23"/>
        </w:rPr>
        <w:t xml:space="preserve">ymptoms in whom </w:t>
      </w:r>
      <w:r w:rsidR="00A21115">
        <w:rPr>
          <w:szCs w:val="23"/>
        </w:rPr>
        <w:t>echocardiography</w:t>
      </w:r>
      <w:r w:rsidRPr="0086732F">
        <w:rPr>
          <w:szCs w:val="23"/>
        </w:rPr>
        <w:t xml:space="preserve"> is </w:t>
      </w:r>
      <w:r w:rsidR="005A543B">
        <w:rPr>
          <w:szCs w:val="23"/>
        </w:rPr>
        <w:t>I</w:t>
      </w:r>
      <w:r w:rsidRPr="0086732F">
        <w:rPr>
          <w:szCs w:val="23"/>
        </w:rPr>
        <w:t>nconclusive</w:t>
      </w:r>
      <w:bookmarkEnd w:id="489"/>
    </w:p>
    <w:p w14:paraId="2D9499C0" w14:textId="0F213255" w:rsidR="004268BA" w:rsidRDefault="004268BA" w:rsidP="004C79C1">
      <w:pPr>
        <w:spacing w:after="120" w:line="240" w:lineRule="auto"/>
        <w:jc w:val="both"/>
        <w:rPr>
          <w:szCs w:val="23"/>
        </w:rPr>
      </w:pPr>
      <w:r>
        <w:t xml:space="preserve">No evidence was identified on the specific population of patients presenting with </w:t>
      </w:r>
      <w:r w:rsidR="0026070C">
        <w:t>HF</w:t>
      </w:r>
      <w:r>
        <w:t xml:space="preserve"> symptoms in </w:t>
      </w:r>
      <w:proofErr w:type="gramStart"/>
      <w:r>
        <w:t>whom</w:t>
      </w:r>
      <w:proofErr w:type="gramEnd"/>
      <w:r>
        <w:t xml:space="preserve"> </w:t>
      </w:r>
      <w:r w:rsidR="00A21115">
        <w:t>echocardiography</w:t>
      </w:r>
      <w:r>
        <w:t xml:space="preserve"> is inconclusive. One study was identified </w:t>
      </w:r>
      <w:r w:rsidR="0026070C">
        <w:t xml:space="preserve">that </w:t>
      </w:r>
      <w:r>
        <w:t xml:space="preserve">may potentially be informative. In those who have an inconclusive </w:t>
      </w:r>
      <w:r w:rsidR="00A21115">
        <w:t>echocardiography</w:t>
      </w:r>
      <w:r>
        <w:t xml:space="preserve">, the initial purpose of CMR is to determine whether patients have DCM or an alternative diagnosis. </w:t>
      </w:r>
      <w:r>
        <w:rPr>
          <w:szCs w:val="23"/>
        </w:rPr>
        <w:t xml:space="preserve">The evidence on LGE-CMR for the purpose of diagnosing DCM consisted of only </w:t>
      </w:r>
      <w:r w:rsidR="00BD4C78">
        <w:rPr>
          <w:szCs w:val="23"/>
        </w:rPr>
        <w:t xml:space="preserve">1 </w:t>
      </w:r>
      <w:r>
        <w:rPr>
          <w:szCs w:val="23"/>
        </w:rPr>
        <w:t xml:space="preserve">retrospective study performed in Japan (n=136; </w:t>
      </w:r>
      <w:r>
        <w:fldChar w:fldCharType="begin"/>
      </w:r>
      <w:r w:rsidR="00992437">
        <w:instrText xml:space="preserve"> ADDIN EN.CITE &lt;EndNote&gt;&lt;Cite&gt;&lt;Author&gt;Yoshida&lt;/Author&gt;&lt;Year&gt;2013&lt;/Year&gt;&lt;RecNum&gt;18&lt;/RecNum&gt;&lt;IDText&gt;166-75&lt;/IDText&gt;&lt;DisplayText&gt;(Yoshida, Ishibashi-Ueda, et al. 2013)&lt;/DisplayText&gt;&lt;record&gt;&lt;rec-number&gt;18&lt;/rec-number&gt;&lt;foreign-keys&gt;&lt;key app="EN" db-id="pfxxvref0t0a5de2vwnv2fwkz0p9v0r2fw0t" timestamp="1457058906"&gt;18&lt;/key&gt;&lt;/foreign-keys&gt;&lt;ref-type name="Journal Article"&gt;17&lt;/ref-type&gt;&lt;contributors&gt;&lt;authors&gt;&lt;author&gt;Yoshida, A.&lt;/author&gt;&lt;author&gt;Ishibashi-Ueda, H.&lt;/author&gt;&lt;author&gt;Yamada, N.&lt;/author&gt;&lt;author&gt;Kanzaki, H.&lt;/author&gt;&lt;author&gt;Hasegawa, T.&lt;/author&gt;&lt;author&gt;Takahama, H.&lt;/author&gt;&lt;author&gt;Amaki, M.&lt;/author&gt;&lt;author&gt;Asakura, M.&lt;/author&gt;&lt;author&gt;Kitakaze, M.&lt;/author&gt;&lt;/authors&gt;&lt;/contributors&gt;&lt;titles&gt;&lt;title&gt;Direct comparison of the diagnostic capability of cardiac magnetic resonance and endomyocardial biopsy in patients with heart failure&lt;/title&gt;&lt;secondary-title&gt;Eur J Heart Fail&lt;/secondary-title&gt;&lt;/titles&gt;&lt;periodical&gt;&lt;full-title&gt;Eur J Heart Fail&lt;/full-title&gt;&lt;/periodical&gt;&lt;pages&gt;166-75&lt;/pages&gt;&lt;volume&gt;15&lt;/volume&gt;&lt;number&gt;2&lt;/number&gt;&lt;dates&gt;&lt;year&gt;2013&lt;/year&gt;&lt;pub-dates&gt;&lt;date&gt;2013-01-01&lt;/date&gt;&lt;/pub-dates&gt;&lt;/dates&gt;&lt;isbn&gt;1388-9842&lt;/isbn&gt;&lt;urls&gt;&lt;related-urls&gt;&lt;url&gt;http://onlinelibrary.wiley.com/store/10.1093/eurjhf/hfs206/asset/ejhfhfs206.pdf?v=1&amp;amp;t=ijovarmv&amp;amp;s=f9935553f212bce66f70ed3ecaf7477142389a31&lt;/url&gt;&lt;/related-urls&gt;&lt;/urls&gt;&lt;custom1&gt;RAYYAN-INCLUSION: {&amp;quot;Sharon&amp;quot;=&amp;gt;true} | RAYYAN-LABELS: general,HCM,DCM&lt;/custom1&gt;&lt;language&gt;eng&lt;/language&gt;&lt;/record&gt;&lt;/Cite&gt;&lt;/EndNote&gt;</w:instrText>
      </w:r>
      <w:r>
        <w:fldChar w:fldCharType="separate"/>
      </w:r>
      <w:hyperlink w:anchor="_ENREF_143" w:tooltip="Yoshida, 2013 #18" w:history="1">
        <w:r w:rsidR="00B906E9">
          <w:rPr>
            <w:noProof/>
          </w:rPr>
          <w:t>Yoshida, Ishibashi-Ueda et al. 2013</w:t>
        </w:r>
      </w:hyperlink>
      <w:r w:rsidR="00992437">
        <w:rPr>
          <w:noProof/>
        </w:rPr>
        <w:t>)</w:t>
      </w:r>
      <w:r>
        <w:fldChar w:fldCharType="end"/>
      </w:r>
      <w:r>
        <w:rPr>
          <w:szCs w:val="23"/>
        </w:rPr>
        <w:t xml:space="preserve">. Patients included in this study were those who had HF symptoms, with either LV hypertrophy and/or LV dysfunction. The sensitivity and specificity of LGE-CMR for this purpose, compared </w:t>
      </w:r>
      <w:r w:rsidR="00BD4C78">
        <w:rPr>
          <w:szCs w:val="23"/>
        </w:rPr>
        <w:t xml:space="preserve">with </w:t>
      </w:r>
      <w:r>
        <w:rPr>
          <w:szCs w:val="23"/>
        </w:rPr>
        <w:t xml:space="preserve">a reference standard of </w:t>
      </w:r>
      <w:r w:rsidR="00BD4C78">
        <w:rPr>
          <w:szCs w:val="23"/>
        </w:rPr>
        <w:t>EMB</w:t>
      </w:r>
      <w:r>
        <w:rPr>
          <w:szCs w:val="23"/>
        </w:rPr>
        <w:t xml:space="preserve"> and clinical diagnosis, were good (83% and 93%</w:t>
      </w:r>
      <w:r w:rsidR="00D40009">
        <w:rPr>
          <w:szCs w:val="23"/>
        </w:rPr>
        <w:t>, respectively</w:t>
      </w:r>
      <w:r>
        <w:rPr>
          <w:szCs w:val="23"/>
        </w:rPr>
        <w:t xml:space="preserve">), and the </w:t>
      </w:r>
      <w:r w:rsidR="00D40009">
        <w:rPr>
          <w:szCs w:val="23"/>
        </w:rPr>
        <w:t>LR</w:t>
      </w:r>
      <w:r>
        <w:rPr>
          <w:szCs w:val="23"/>
        </w:rPr>
        <w:t xml:space="preserve">s indicated that it was conclusive for correctly confirming DCM and was likely to correctly exclude DCM. However, the applicability of these results to those patients in whom an initial </w:t>
      </w:r>
      <w:r w:rsidR="00A21115">
        <w:rPr>
          <w:szCs w:val="23"/>
        </w:rPr>
        <w:t>echocardiography</w:t>
      </w:r>
      <w:r>
        <w:rPr>
          <w:szCs w:val="23"/>
        </w:rPr>
        <w:t xml:space="preserve"> is inconclusive is unknown. </w:t>
      </w:r>
    </w:p>
    <w:p w14:paraId="38DB1DD0" w14:textId="2CF72295" w:rsidR="004268BA" w:rsidRPr="00233580" w:rsidRDefault="004268BA" w:rsidP="004C79C1">
      <w:pPr>
        <w:spacing w:after="120" w:line="240" w:lineRule="auto"/>
        <w:jc w:val="both"/>
      </w:pPr>
      <w:r>
        <w:rPr>
          <w:szCs w:val="23"/>
        </w:rPr>
        <w:t xml:space="preserve">The current clinical management algorithm for patients with </w:t>
      </w:r>
      <w:r w:rsidR="00D40009">
        <w:rPr>
          <w:szCs w:val="23"/>
        </w:rPr>
        <w:t>HF</w:t>
      </w:r>
      <w:r>
        <w:rPr>
          <w:szCs w:val="23"/>
        </w:rPr>
        <w:t xml:space="preserve"> symptoms who have an inconclusive </w:t>
      </w:r>
      <w:r w:rsidR="00A21115">
        <w:rPr>
          <w:szCs w:val="23"/>
        </w:rPr>
        <w:t>echocardiography</w:t>
      </w:r>
      <w:r>
        <w:rPr>
          <w:szCs w:val="23"/>
        </w:rPr>
        <w:t xml:space="preserve"> (</w:t>
      </w:r>
      <w:r w:rsidR="003F4B27">
        <w:rPr>
          <w:szCs w:val="23"/>
          <w:highlight w:val="yellow"/>
        </w:rPr>
        <w:fldChar w:fldCharType="begin"/>
      </w:r>
      <w:r w:rsidR="003F4B27">
        <w:rPr>
          <w:szCs w:val="23"/>
        </w:rPr>
        <w:instrText xml:space="preserve"> REF _Ref451410358 \h </w:instrText>
      </w:r>
      <w:r w:rsidR="003F4B27">
        <w:rPr>
          <w:szCs w:val="23"/>
          <w:highlight w:val="yellow"/>
        </w:rPr>
      </w:r>
      <w:r w:rsidR="003F4B27">
        <w:rPr>
          <w:szCs w:val="23"/>
          <w:highlight w:val="yellow"/>
        </w:rPr>
        <w:fldChar w:fldCharType="separate"/>
      </w:r>
      <w:r w:rsidR="003F4B27">
        <w:t xml:space="preserve">Figure </w:t>
      </w:r>
      <w:r w:rsidR="003F4B27">
        <w:rPr>
          <w:noProof/>
        </w:rPr>
        <w:t>1</w:t>
      </w:r>
      <w:r w:rsidR="003F4B27">
        <w:rPr>
          <w:szCs w:val="23"/>
          <w:highlight w:val="yellow"/>
        </w:rPr>
        <w:fldChar w:fldCharType="end"/>
      </w:r>
      <w:r>
        <w:rPr>
          <w:szCs w:val="23"/>
        </w:rPr>
        <w:t>) suggests that</w:t>
      </w:r>
      <w:r w:rsidR="00D40009">
        <w:rPr>
          <w:szCs w:val="23"/>
        </w:rPr>
        <w:t>,</w:t>
      </w:r>
      <w:r>
        <w:rPr>
          <w:szCs w:val="23"/>
        </w:rPr>
        <w:t xml:space="preserve"> in the absence of CMR, patients would undergo a contrast </w:t>
      </w:r>
      <w:r w:rsidR="00A21115">
        <w:rPr>
          <w:szCs w:val="23"/>
        </w:rPr>
        <w:t>echocardiography</w:t>
      </w:r>
      <w:r>
        <w:rPr>
          <w:szCs w:val="23"/>
        </w:rPr>
        <w:t xml:space="preserve"> or a </w:t>
      </w:r>
      <w:r w:rsidR="00D40009">
        <w:rPr>
          <w:szCs w:val="23"/>
        </w:rPr>
        <w:t>GHPS</w:t>
      </w:r>
      <w:r>
        <w:rPr>
          <w:szCs w:val="23"/>
        </w:rPr>
        <w:t xml:space="preserve">. The accuracy of CMR compared </w:t>
      </w:r>
      <w:r w:rsidR="00D40009">
        <w:rPr>
          <w:szCs w:val="23"/>
        </w:rPr>
        <w:t xml:space="preserve">with </w:t>
      </w:r>
      <w:r>
        <w:rPr>
          <w:szCs w:val="23"/>
        </w:rPr>
        <w:t>these techniques is also unknown. There is a likely benefit of CMR over these techniques</w:t>
      </w:r>
      <w:r w:rsidR="00932ACF">
        <w:rPr>
          <w:szCs w:val="23"/>
        </w:rPr>
        <w:t>;</w:t>
      </w:r>
      <w:r>
        <w:rPr>
          <w:szCs w:val="23"/>
        </w:rPr>
        <w:t xml:space="preserve"> if DCM is identified, CMR can also determine whether there are signs of ischaemia and</w:t>
      </w:r>
      <w:r w:rsidR="006C0CA9">
        <w:rPr>
          <w:szCs w:val="23"/>
        </w:rPr>
        <w:t>,</w:t>
      </w:r>
      <w:r>
        <w:rPr>
          <w:szCs w:val="23"/>
        </w:rPr>
        <w:t xml:space="preserve"> in those who are non-ischaemic, determine if there is inflammation or signs of an infiltrative disease. Discussions regarding the accuracy of CMR for determining ischaemia and aetiology within NIDCM are therefore also relevant to this population (see below). </w:t>
      </w:r>
    </w:p>
    <w:p w14:paraId="49137DD8" w14:textId="03EA848A" w:rsidR="004268BA" w:rsidRDefault="004268BA" w:rsidP="004C79C1">
      <w:pPr>
        <w:spacing w:after="120" w:line="240" w:lineRule="auto"/>
        <w:jc w:val="both"/>
        <w:rPr>
          <w:szCs w:val="23"/>
        </w:rPr>
      </w:pPr>
      <w:r>
        <w:rPr>
          <w:szCs w:val="23"/>
        </w:rPr>
        <w:t>Data from the prognostic studies showed that</w:t>
      </w:r>
      <w:r w:rsidR="00D82C6B">
        <w:rPr>
          <w:szCs w:val="23"/>
        </w:rPr>
        <w:t>,</w:t>
      </w:r>
      <w:r>
        <w:rPr>
          <w:szCs w:val="23"/>
        </w:rPr>
        <w:t xml:space="preserve"> in the </w:t>
      </w:r>
      <w:r w:rsidR="00932ACF">
        <w:rPr>
          <w:szCs w:val="23"/>
        </w:rPr>
        <w:t xml:space="preserve">3 </w:t>
      </w:r>
      <w:r>
        <w:rPr>
          <w:szCs w:val="23"/>
        </w:rPr>
        <w:t xml:space="preserve">studies </w:t>
      </w:r>
      <w:r w:rsidR="00932ACF">
        <w:rPr>
          <w:szCs w:val="23"/>
        </w:rPr>
        <w:t xml:space="preserve">that </w:t>
      </w:r>
      <w:r>
        <w:rPr>
          <w:szCs w:val="23"/>
        </w:rPr>
        <w:t xml:space="preserve">used </w:t>
      </w:r>
      <w:r w:rsidR="00A21115">
        <w:rPr>
          <w:szCs w:val="23"/>
        </w:rPr>
        <w:t>echocardiography</w:t>
      </w:r>
      <w:r>
        <w:rPr>
          <w:szCs w:val="23"/>
        </w:rPr>
        <w:t xml:space="preserve"> to determine LVEF, the number of adverse cardiac events did not change with LVEF values or trended </w:t>
      </w:r>
      <w:r>
        <w:rPr>
          <w:szCs w:val="23"/>
        </w:rPr>
        <w:lastRenderedPageBreak/>
        <w:t xml:space="preserve">in the opposite direction to what would be expected. Conversely, in the </w:t>
      </w:r>
      <w:r w:rsidR="00932ACF">
        <w:rPr>
          <w:szCs w:val="23"/>
        </w:rPr>
        <w:t xml:space="preserve">10 </w:t>
      </w:r>
      <w:r>
        <w:rPr>
          <w:szCs w:val="23"/>
        </w:rPr>
        <w:t xml:space="preserve">studies </w:t>
      </w:r>
      <w:r w:rsidR="00932ACF">
        <w:rPr>
          <w:szCs w:val="23"/>
        </w:rPr>
        <w:t xml:space="preserve">that </w:t>
      </w:r>
      <w:r>
        <w:rPr>
          <w:szCs w:val="23"/>
        </w:rPr>
        <w:t xml:space="preserve">used CMR to determine LVEF, %LVEF was consistently a predictor of the risk of having a cardiac event. </w:t>
      </w:r>
    </w:p>
    <w:p w14:paraId="0BCF93AD" w14:textId="6D7DB431" w:rsidR="004268BA" w:rsidRPr="003F4B27" w:rsidRDefault="004268BA" w:rsidP="004C79C1">
      <w:pPr>
        <w:spacing w:after="120" w:line="240" w:lineRule="auto"/>
        <w:jc w:val="both"/>
        <w:rPr>
          <w:color w:val="000000" w:themeColor="text1"/>
          <w:szCs w:val="23"/>
        </w:rPr>
      </w:pPr>
      <w:r>
        <w:rPr>
          <w:szCs w:val="23"/>
        </w:rPr>
        <w:t xml:space="preserve">No clinical claims were made about CMR is this </w:t>
      </w:r>
      <w:r w:rsidR="00573BCC">
        <w:rPr>
          <w:szCs w:val="23"/>
        </w:rPr>
        <w:t xml:space="preserve">specific </w:t>
      </w:r>
      <w:r>
        <w:rPr>
          <w:szCs w:val="23"/>
        </w:rPr>
        <w:t xml:space="preserve">population. </w:t>
      </w:r>
      <w:r w:rsidR="00342EB6" w:rsidRPr="003F4B27">
        <w:rPr>
          <w:color w:val="000000" w:themeColor="text1"/>
        </w:rPr>
        <w:t xml:space="preserve">A summary of the small amount of evidence available in patients who had an inconclusive echocardiogram is shown in </w:t>
      </w:r>
      <w:r w:rsidR="003F4B27">
        <w:rPr>
          <w:color w:val="000000" w:themeColor="text1"/>
        </w:rPr>
        <w:fldChar w:fldCharType="begin"/>
      </w:r>
      <w:r w:rsidR="003F4B27">
        <w:rPr>
          <w:color w:val="000000" w:themeColor="text1"/>
        </w:rPr>
        <w:instrText xml:space="preserve"> REF _Ref451410435 \h </w:instrText>
      </w:r>
      <w:r w:rsidR="003F4B27">
        <w:rPr>
          <w:color w:val="000000" w:themeColor="text1"/>
        </w:rPr>
      </w:r>
      <w:r w:rsidR="003F4B27">
        <w:rPr>
          <w:color w:val="000000" w:themeColor="text1"/>
        </w:rPr>
        <w:fldChar w:fldCharType="separate"/>
      </w:r>
      <w:r w:rsidR="003F4B27">
        <w:t xml:space="preserve">Table </w:t>
      </w:r>
      <w:r w:rsidR="003F4B27">
        <w:rPr>
          <w:noProof/>
        </w:rPr>
        <w:t>30</w:t>
      </w:r>
      <w:r w:rsidR="003F4B27">
        <w:rPr>
          <w:color w:val="000000" w:themeColor="text1"/>
        </w:rPr>
        <w:fldChar w:fldCharType="end"/>
      </w:r>
      <w:r w:rsidR="00342EB6" w:rsidRPr="003F4B27">
        <w:rPr>
          <w:color w:val="000000" w:themeColor="text1"/>
        </w:rPr>
        <w:t>.</w:t>
      </w:r>
    </w:p>
    <w:p w14:paraId="3560FCE9" w14:textId="48567810" w:rsidR="004268BA" w:rsidRPr="00E254C5" w:rsidRDefault="006F0C4E" w:rsidP="004C79C1">
      <w:pPr>
        <w:pStyle w:val="Caption"/>
      </w:pPr>
      <w:bookmarkStart w:id="490" w:name="_Ref451410435"/>
      <w:bookmarkStart w:id="491" w:name="_Toc324410198"/>
      <w:bookmarkStart w:id="492" w:name="_Toc451435357"/>
      <w:r>
        <w:t xml:space="preserve">Table </w:t>
      </w:r>
      <w:fldSimple w:instr=" SEQ Table \* ARABIC ">
        <w:r w:rsidR="00050936">
          <w:rPr>
            <w:noProof/>
          </w:rPr>
          <w:t>30</w:t>
        </w:r>
      </w:fldSimple>
      <w:bookmarkEnd w:id="490"/>
      <w:r w:rsidR="004268BA" w:rsidRPr="00E254C5">
        <w:tab/>
      </w:r>
      <w:r w:rsidR="004268BA">
        <w:t xml:space="preserve">Balance of clinical benefits and harms of CMR, relative to contrast </w:t>
      </w:r>
      <w:r w:rsidR="00A21115">
        <w:t>echocardiography</w:t>
      </w:r>
      <w:r w:rsidR="004268BA">
        <w:t xml:space="preserve"> or </w:t>
      </w:r>
      <w:r w:rsidR="00781636">
        <w:t>GHPS,</w:t>
      </w:r>
      <w:r w:rsidR="004268BA">
        <w:t xml:space="preserve"> in patients with </w:t>
      </w:r>
      <w:r w:rsidR="00781636">
        <w:t>HF</w:t>
      </w:r>
      <w:r w:rsidR="004268BA">
        <w:t xml:space="preserve"> symptoms in whom </w:t>
      </w:r>
      <w:r w:rsidR="00A21115">
        <w:t>echocardiography</w:t>
      </w:r>
      <w:r w:rsidR="004268BA">
        <w:t xml:space="preserve"> is conclusive</w:t>
      </w:r>
      <w:bookmarkEnd w:id="491"/>
      <w:bookmarkEnd w:id="492"/>
    </w:p>
    <w:tbl>
      <w:tblPr>
        <w:tblStyle w:val="TableGrid"/>
        <w:tblW w:w="4942" w:type="pct"/>
        <w:tblInd w:w="108" w:type="dxa"/>
        <w:tblLayout w:type="fixed"/>
        <w:tblLook w:val="04A0" w:firstRow="1" w:lastRow="0" w:firstColumn="1" w:lastColumn="0" w:noHBand="0" w:noVBand="1"/>
        <w:tblCaption w:val="Table 42"/>
        <w:tblDescription w:val="Balance of clinical benefits and harms of CMR, relative to stress ECHO, SPECT and CTCA"/>
      </w:tblPr>
      <w:tblGrid>
        <w:gridCol w:w="1218"/>
        <w:gridCol w:w="1191"/>
        <w:gridCol w:w="1703"/>
        <w:gridCol w:w="1984"/>
        <w:gridCol w:w="2065"/>
        <w:gridCol w:w="974"/>
      </w:tblGrid>
      <w:tr w:rsidR="004268BA" w:rsidRPr="001B2E40" w14:paraId="5F258B5E" w14:textId="77777777" w:rsidTr="004268BA">
        <w:trPr>
          <w:trHeight w:val="60"/>
          <w:tblHeader/>
        </w:trPr>
        <w:tc>
          <w:tcPr>
            <w:tcW w:w="667" w:type="pct"/>
          </w:tcPr>
          <w:p w14:paraId="64D33ECC" w14:textId="77777777" w:rsidR="004268BA" w:rsidRPr="001B2E40" w:rsidRDefault="004268BA" w:rsidP="004C79C1">
            <w:pPr>
              <w:pStyle w:val="TableHeading"/>
              <w:spacing w:before="0" w:after="120"/>
              <w:ind w:left="4" w:firstLine="0"/>
            </w:pPr>
            <w:r w:rsidRPr="001B2E40">
              <w:t>Outcomes</w:t>
            </w:r>
            <w:r>
              <w:t xml:space="preserve"> </w:t>
            </w:r>
          </w:p>
        </w:tc>
        <w:tc>
          <w:tcPr>
            <w:tcW w:w="652" w:type="pct"/>
          </w:tcPr>
          <w:p w14:paraId="171D153E" w14:textId="77777777" w:rsidR="004268BA" w:rsidRPr="001B2E40" w:rsidRDefault="004268BA" w:rsidP="004C79C1">
            <w:pPr>
              <w:pStyle w:val="TableHeading"/>
              <w:spacing w:before="0" w:after="120"/>
              <w:ind w:left="4" w:firstLine="0"/>
            </w:pPr>
            <w:r>
              <w:t>Participants (studies)</w:t>
            </w:r>
          </w:p>
        </w:tc>
        <w:tc>
          <w:tcPr>
            <w:tcW w:w="932" w:type="pct"/>
          </w:tcPr>
          <w:p w14:paraId="51C4AC09" w14:textId="77777777" w:rsidR="004268BA" w:rsidRPr="001B2E40" w:rsidRDefault="004268BA" w:rsidP="004C79C1">
            <w:pPr>
              <w:pStyle w:val="TableHeading"/>
              <w:spacing w:before="0" w:after="120"/>
              <w:ind w:left="4" w:firstLine="0"/>
            </w:pPr>
            <w:r w:rsidRPr="001B2E40">
              <w:t>Quality of evidence</w:t>
            </w:r>
          </w:p>
        </w:tc>
        <w:tc>
          <w:tcPr>
            <w:tcW w:w="1086" w:type="pct"/>
          </w:tcPr>
          <w:p w14:paraId="0108BE2C" w14:textId="77777777" w:rsidR="004268BA" w:rsidRPr="001B2E40" w:rsidRDefault="004268BA" w:rsidP="004C79C1">
            <w:pPr>
              <w:pStyle w:val="TableHeading"/>
              <w:spacing w:before="0" w:after="120"/>
              <w:ind w:left="4" w:firstLine="0"/>
            </w:pPr>
            <w:r w:rsidRPr="001B2E40">
              <w:t>Results</w:t>
            </w:r>
          </w:p>
        </w:tc>
        <w:tc>
          <w:tcPr>
            <w:tcW w:w="1130" w:type="pct"/>
          </w:tcPr>
          <w:p w14:paraId="47745CD9" w14:textId="77777777" w:rsidR="004268BA" w:rsidRPr="001B2E40" w:rsidRDefault="004268BA" w:rsidP="004C79C1">
            <w:pPr>
              <w:pStyle w:val="TableHeading"/>
              <w:spacing w:before="0" w:after="120"/>
              <w:ind w:left="4" w:firstLine="0"/>
            </w:pPr>
            <w:r w:rsidRPr="001B2E40">
              <w:t>Interpretation</w:t>
            </w:r>
          </w:p>
        </w:tc>
        <w:tc>
          <w:tcPr>
            <w:tcW w:w="533" w:type="pct"/>
          </w:tcPr>
          <w:p w14:paraId="561AD9E2" w14:textId="77777777" w:rsidR="004268BA" w:rsidRPr="001B2E40" w:rsidRDefault="004268BA" w:rsidP="004C79C1">
            <w:pPr>
              <w:pStyle w:val="TableHeading"/>
              <w:spacing w:before="0" w:after="120"/>
              <w:ind w:left="4" w:firstLine="0"/>
            </w:pPr>
            <w:r w:rsidRPr="001B2E40">
              <w:t>GRADE</w:t>
            </w:r>
          </w:p>
        </w:tc>
      </w:tr>
      <w:tr w:rsidR="004268BA" w:rsidRPr="00F12AEE" w14:paraId="50031784" w14:textId="77777777" w:rsidTr="004268BA">
        <w:tc>
          <w:tcPr>
            <w:tcW w:w="667" w:type="pct"/>
          </w:tcPr>
          <w:p w14:paraId="3E606DF0" w14:textId="77777777" w:rsidR="004268BA" w:rsidRPr="00F12AEE" w:rsidRDefault="004268B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Accuracy of CMR for diagnosing DCM</w:t>
            </w:r>
          </w:p>
        </w:tc>
        <w:tc>
          <w:tcPr>
            <w:tcW w:w="652" w:type="pct"/>
          </w:tcPr>
          <w:p w14:paraId="14667365" w14:textId="5C0C48D0" w:rsidR="004268BA"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N=136</w:t>
            </w:r>
          </w:p>
          <w:p w14:paraId="3965B00D" w14:textId="789D15DA" w:rsidR="004268BA" w:rsidRPr="00F12AEE"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K=1</w:t>
            </w:r>
          </w:p>
        </w:tc>
        <w:tc>
          <w:tcPr>
            <w:tcW w:w="932" w:type="pct"/>
          </w:tcPr>
          <w:p w14:paraId="0D1FABB5" w14:textId="77777777" w:rsidR="004268BA" w:rsidRPr="00F12AEE"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130AEF16" w14:textId="77777777" w:rsidR="004268BA" w:rsidRPr="00F12AEE" w:rsidRDefault="004268BA"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Inconsistency:</w:t>
            </w:r>
            <w:r>
              <w:rPr>
                <w:rFonts w:ascii="Arial Narrow" w:hAnsi="Arial Narrow" w:cs="Arial"/>
                <w:sz w:val="20"/>
                <w:szCs w:val="20"/>
              </w:rPr>
              <w:t xml:space="preserve"> N/A</w:t>
            </w:r>
          </w:p>
          <w:p w14:paraId="2582D88A" w14:textId="46C76CB7" w:rsidR="004268BA" w:rsidRPr="00F12AEE"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Indirectness: </w:t>
            </w:r>
            <w:r w:rsidR="00781636">
              <w:rPr>
                <w:rFonts w:ascii="Arial Narrow" w:hAnsi="Arial Narrow" w:cs="Arial"/>
                <w:sz w:val="20"/>
                <w:szCs w:val="20"/>
              </w:rPr>
              <w:t>–</w:t>
            </w:r>
            <w:r>
              <w:rPr>
                <w:rFonts w:ascii="Arial Narrow" w:hAnsi="Arial Narrow" w:cs="Arial"/>
                <w:sz w:val="20"/>
                <w:szCs w:val="20"/>
              </w:rPr>
              <w:t>1</w:t>
            </w:r>
          </w:p>
          <w:p w14:paraId="27B9ECCB" w14:textId="77777777" w:rsidR="004268BA"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22BDE63D" w14:textId="77777777" w:rsidR="004268BA" w:rsidRPr="00F12AEE"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6A36785E" w14:textId="77777777" w:rsidR="004268BA" w:rsidRDefault="004268BA" w:rsidP="004C79C1">
            <w:pPr>
              <w:pStyle w:val="Tabletext1"/>
              <w:spacing w:before="0" w:after="120"/>
              <w:ind w:left="4" w:right="-57"/>
              <w:rPr>
                <w:rFonts w:cs="Arial"/>
              </w:rPr>
            </w:pPr>
            <w:r>
              <w:rPr>
                <w:rFonts w:cs="Arial"/>
              </w:rPr>
              <w:t>Sensitivity = 0.83 (0.71, 0.92)</w:t>
            </w:r>
          </w:p>
          <w:p w14:paraId="46B48F8E" w14:textId="77777777" w:rsidR="004268BA" w:rsidRPr="00F12AEE" w:rsidRDefault="004268BA" w:rsidP="004C79C1">
            <w:pPr>
              <w:pStyle w:val="Tabletext1"/>
              <w:spacing w:before="0" w:after="120"/>
              <w:ind w:left="4" w:right="-57"/>
              <w:rPr>
                <w:rFonts w:cs="Arial"/>
              </w:rPr>
            </w:pPr>
            <w:r>
              <w:rPr>
                <w:rFonts w:cs="Arial"/>
              </w:rPr>
              <w:t>Specificity = 0.93 (0.85, 0.97)</w:t>
            </w:r>
          </w:p>
        </w:tc>
        <w:tc>
          <w:tcPr>
            <w:tcW w:w="1130" w:type="pct"/>
          </w:tcPr>
          <w:p w14:paraId="17F41986" w14:textId="3A385D9C" w:rsidR="004268BA" w:rsidRPr="00F12AEE" w:rsidRDefault="004268BA"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CMR is reasonably good at diagnosing DCM, compared </w:t>
            </w:r>
            <w:r w:rsidR="00781636">
              <w:rPr>
                <w:rFonts w:ascii="Arial Narrow" w:hAnsi="Arial Narrow" w:cs="Arial"/>
                <w:sz w:val="20"/>
                <w:szCs w:val="20"/>
              </w:rPr>
              <w:t xml:space="preserve">with </w:t>
            </w:r>
            <w:r>
              <w:rPr>
                <w:rFonts w:ascii="Arial Narrow" w:hAnsi="Arial Narrow" w:cs="Arial"/>
                <w:sz w:val="20"/>
                <w:szCs w:val="20"/>
              </w:rPr>
              <w:t>clinical diagnosis and EMB</w:t>
            </w:r>
            <w:r w:rsidR="00573BCC">
              <w:rPr>
                <w:rFonts w:ascii="Arial Narrow" w:hAnsi="Arial Narrow" w:cs="Arial"/>
                <w:sz w:val="20"/>
                <w:szCs w:val="20"/>
              </w:rPr>
              <w:t>;</w:t>
            </w:r>
            <w:r>
              <w:rPr>
                <w:rFonts w:ascii="Arial Narrow" w:hAnsi="Arial Narrow" w:cs="Arial"/>
                <w:sz w:val="20"/>
                <w:szCs w:val="20"/>
              </w:rPr>
              <w:t xml:space="preserve"> </w:t>
            </w:r>
            <w:r w:rsidR="00573BCC">
              <w:rPr>
                <w:rFonts w:ascii="Arial Narrow" w:hAnsi="Arial Narrow" w:cs="Arial"/>
                <w:sz w:val="20"/>
                <w:szCs w:val="20"/>
              </w:rPr>
              <w:t>h</w:t>
            </w:r>
            <w:r>
              <w:rPr>
                <w:rFonts w:ascii="Arial Narrow" w:hAnsi="Arial Narrow" w:cs="Arial"/>
                <w:sz w:val="20"/>
                <w:szCs w:val="20"/>
              </w:rPr>
              <w:t>owever, the evidence is not specific to those patients with an inclusive Echo</w:t>
            </w:r>
            <w:r w:rsidR="00BC7DD9">
              <w:rPr>
                <w:rFonts w:ascii="Arial Narrow" w:hAnsi="Arial Narrow" w:cs="Arial"/>
                <w:sz w:val="20"/>
                <w:szCs w:val="20"/>
              </w:rPr>
              <w:t>.</w:t>
            </w:r>
          </w:p>
        </w:tc>
        <w:tc>
          <w:tcPr>
            <w:tcW w:w="533" w:type="pct"/>
          </w:tcPr>
          <w:p w14:paraId="0A83E27B" w14:textId="77777777" w:rsidR="004268BA" w:rsidRDefault="004268BA"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00943006" w14:textId="77777777" w:rsidR="004268BA" w:rsidRPr="00F12AEE" w:rsidRDefault="004268BA" w:rsidP="004C79C1">
            <w:pPr>
              <w:spacing w:after="120" w:line="240" w:lineRule="auto"/>
              <w:ind w:left="4" w:right="-57"/>
              <w:rPr>
                <w:rFonts w:ascii="Arial Narrow" w:hAnsi="Arial Narrow" w:cs="Arial"/>
                <w:sz w:val="20"/>
                <w:szCs w:val="20"/>
              </w:rPr>
            </w:pPr>
            <w:r>
              <w:rPr>
                <w:rFonts w:ascii="Cambria Math" w:hAnsi="Cambria Math"/>
                <w:color w:val="00B050"/>
              </w:rPr>
              <w:t>⨁⨁⨁</w:t>
            </w:r>
            <w:r w:rsidRPr="001B2E40">
              <w:rPr>
                <w:rFonts w:ascii="Cambria Math" w:hAnsi="Cambria Math" w:cs="Cambria Math"/>
                <w:color w:val="FF0000"/>
                <w:sz w:val="20"/>
                <w:szCs w:val="20"/>
              </w:rPr>
              <w:t>⨀</w:t>
            </w:r>
          </w:p>
        </w:tc>
      </w:tr>
      <w:tr w:rsidR="004268BA" w:rsidRPr="00F12AEE" w14:paraId="3156CF84" w14:textId="77777777" w:rsidTr="004268BA">
        <w:tc>
          <w:tcPr>
            <w:tcW w:w="667" w:type="pct"/>
          </w:tcPr>
          <w:p w14:paraId="21AA0BC8" w14:textId="77777777" w:rsidR="004268BA" w:rsidRDefault="004268BA" w:rsidP="004C79C1">
            <w:pPr>
              <w:tabs>
                <w:tab w:val="left" w:pos="268"/>
              </w:tabs>
              <w:spacing w:after="120" w:line="240" w:lineRule="auto"/>
              <w:ind w:left="4"/>
              <w:rPr>
                <w:rFonts w:ascii="Arial Narrow" w:hAnsi="Arial Narrow" w:cs="Arial"/>
                <w:sz w:val="20"/>
                <w:szCs w:val="20"/>
              </w:rPr>
            </w:pPr>
            <w:r>
              <w:rPr>
                <w:rFonts w:ascii="Arial Narrow" w:hAnsi="Arial Narrow" w:cs="Arial"/>
                <w:sz w:val="20"/>
                <w:szCs w:val="20"/>
              </w:rPr>
              <w:t xml:space="preserve">Change in management or health outcomes </w:t>
            </w:r>
          </w:p>
        </w:tc>
        <w:tc>
          <w:tcPr>
            <w:tcW w:w="652" w:type="pct"/>
          </w:tcPr>
          <w:p w14:paraId="1392BB05" w14:textId="77777777" w:rsidR="004268BA"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N/A</w:t>
            </w:r>
          </w:p>
        </w:tc>
        <w:tc>
          <w:tcPr>
            <w:tcW w:w="932" w:type="pct"/>
          </w:tcPr>
          <w:p w14:paraId="7F1D6D9A" w14:textId="77777777" w:rsidR="004268BA" w:rsidRDefault="004268BA" w:rsidP="004C79C1">
            <w:pPr>
              <w:spacing w:after="120" w:line="240" w:lineRule="auto"/>
              <w:ind w:left="4"/>
              <w:rPr>
                <w:rFonts w:ascii="Arial Narrow" w:hAnsi="Arial Narrow" w:cs="Arial"/>
                <w:sz w:val="20"/>
                <w:szCs w:val="20"/>
              </w:rPr>
            </w:pPr>
            <w:r>
              <w:rPr>
                <w:rFonts w:ascii="Arial Narrow" w:hAnsi="Arial Narrow" w:cs="Arial"/>
                <w:sz w:val="20"/>
                <w:szCs w:val="20"/>
              </w:rPr>
              <w:t>N/A</w:t>
            </w:r>
          </w:p>
        </w:tc>
        <w:tc>
          <w:tcPr>
            <w:tcW w:w="1086" w:type="pct"/>
          </w:tcPr>
          <w:p w14:paraId="2702B564" w14:textId="77777777" w:rsidR="004268BA" w:rsidRDefault="004268BA" w:rsidP="004C79C1">
            <w:pPr>
              <w:pStyle w:val="Tabletext1"/>
              <w:spacing w:before="0" w:after="120"/>
              <w:ind w:left="4" w:right="-57"/>
              <w:rPr>
                <w:rFonts w:cs="Arial"/>
              </w:rPr>
            </w:pPr>
            <w:r>
              <w:rPr>
                <w:rFonts w:cs="Arial"/>
              </w:rPr>
              <w:t>No evidence was available on how CMR would change patient management, or impact on health outcomes, in patients with an inconclusive Echo.</w:t>
            </w:r>
          </w:p>
        </w:tc>
        <w:tc>
          <w:tcPr>
            <w:tcW w:w="1130" w:type="pct"/>
          </w:tcPr>
          <w:p w14:paraId="2DF58E54" w14:textId="77777777" w:rsidR="004268BA" w:rsidRDefault="004268BA" w:rsidP="004C79C1">
            <w:pPr>
              <w:spacing w:after="120" w:line="240" w:lineRule="auto"/>
              <w:ind w:left="4" w:right="-57"/>
              <w:rPr>
                <w:rFonts w:ascii="Arial Narrow" w:hAnsi="Arial Narrow" w:cs="Arial"/>
                <w:sz w:val="20"/>
                <w:szCs w:val="20"/>
              </w:rPr>
            </w:pPr>
            <w:r>
              <w:rPr>
                <w:rFonts w:ascii="Arial Narrow" w:hAnsi="Arial Narrow" w:cs="Arial"/>
                <w:sz w:val="20"/>
                <w:szCs w:val="20"/>
              </w:rPr>
              <w:t>N/A</w:t>
            </w:r>
          </w:p>
        </w:tc>
        <w:tc>
          <w:tcPr>
            <w:tcW w:w="533" w:type="pct"/>
          </w:tcPr>
          <w:p w14:paraId="4061ED8E" w14:textId="77777777" w:rsidR="004268BA" w:rsidRPr="00016E2F" w:rsidRDefault="004268BA" w:rsidP="004C79C1">
            <w:pPr>
              <w:spacing w:after="120" w:line="240" w:lineRule="auto"/>
              <w:ind w:left="4" w:right="-57"/>
              <w:rPr>
                <w:rFonts w:ascii="Arial Narrow" w:hAnsi="Arial Narrow" w:cs="Arial"/>
                <w:sz w:val="20"/>
                <w:szCs w:val="20"/>
              </w:rPr>
            </w:pPr>
            <w:r>
              <w:rPr>
                <w:rFonts w:ascii="Arial Narrow" w:hAnsi="Arial Narrow" w:cs="Arial"/>
                <w:sz w:val="20"/>
                <w:szCs w:val="20"/>
              </w:rPr>
              <w:t>Not identified</w:t>
            </w:r>
          </w:p>
          <w:p w14:paraId="07E32D8B" w14:textId="77777777" w:rsidR="004268BA" w:rsidRDefault="004268BA" w:rsidP="004C79C1">
            <w:pPr>
              <w:spacing w:after="120" w:line="240" w:lineRule="auto"/>
              <w:ind w:left="4" w:right="-57"/>
              <w:rPr>
                <w:rFonts w:ascii="Arial Narrow" w:hAnsi="Arial Narrow" w:cs="Arial"/>
                <w:sz w:val="20"/>
                <w:szCs w:val="20"/>
              </w:rPr>
            </w:pPr>
            <w:r w:rsidRPr="001B2E40">
              <w:rPr>
                <w:rFonts w:ascii="Cambria Math" w:hAnsi="Cambria Math" w:cs="Cambria Math"/>
                <w:color w:val="FF0000"/>
                <w:sz w:val="20"/>
                <w:szCs w:val="20"/>
              </w:rPr>
              <w:t>⨀⨀⨀⨀</w:t>
            </w:r>
          </w:p>
        </w:tc>
      </w:tr>
    </w:tbl>
    <w:p w14:paraId="6A63C042" w14:textId="7A03619E" w:rsidR="004268BA" w:rsidRPr="003F4B27" w:rsidRDefault="008E6514" w:rsidP="004C79C1">
      <w:pPr>
        <w:spacing w:after="120" w:line="240" w:lineRule="auto"/>
        <w:jc w:val="both"/>
        <w:rPr>
          <w:rFonts w:ascii="Arial Narrow" w:hAnsi="Arial Narrow"/>
          <w:sz w:val="20"/>
          <w:szCs w:val="20"/>
        </w:rPr>
      </w:pPr>
      <w:r w:rsidRPr="003F4B27">
        <w:rPr>
          <w:rFonts w:ascii="Arial Narrow" w:hAnsi="Arial Narrow"/>
          <w:sz w:val="20"/>
          <w:szCs w:val="20"/>
        </w:rPr>
        <w:t xml:space="preserve">CMR = </w:t>
      </w:r>
      <w:r w:rsidR="00CC18E8" w:rsidRPr="003F4B27">
        <w:rPr>
          <w:rFonts w:ascii="Arial Narrow" w:hAnsi="Arial Narrow"/>
          <w:sz w:val="20"/>
          <w:szCs w:val="20"/>
        </w:rPr>
        <w:t xml:space="preserve">cardiac magnetic resonance </w:t>
      </w:r>
      <w:r w:rsidR="002B2D1C" w:rsidRPr="003F4B27">
        <w:rPr>
          <w:rFonts w:ascii="Arial Narrow" w:hAnsi="Arial Narrow"/>
          <w:sz w:val="20"/>
          <w:szCs w:val="20"/>
        </w:rPr>
        <w:t>(imaging)</w:t>
      </w:r>
      <w:r w:rsidRPr="003F4B27">
        <w:rPr>
          <w:rFonts w:ascii="Arial Narrow" w:hAnsi="Arial Narrow"/>
          <w:sz w:val="20"/>
          <w:szCs w:val="20"/>
        </w:rPr>
        <w:t xml:space="preserve">; DCM = </w:t>
      </w:r>
      <w:r w:rsidR="00CC18E8" w:rsidRPr="003F4B27">
        <w:rPr>
          <w:rFonts w:ascii="Arial Narrow" w:hAnsi="Arial Narrow"/>
          <w:sz w:val="20"/>
          <w:szCs w:val="20"/>
        </w:rPr>
        <w:t>dilated cardiomyopathy</w:t>
      </w:r>
      <w:r w:rsidRPr="003F4B27">
        <w:rPr>
          <w:rFonts w:ascii="Arial Narrow" w:hAnsi="Arial Narrow"/>
          <w:sz w:val="20"/>
          <w:szCs w:val="20"/>
        </w:rPr>
        <w:t xml:space="preserve">; Echo = </w:t>
      </w:r>
      <w:r w:rsidR="00F0010B" w:rsidRPr="003F4B27">
        <w:rPr>
          <w:rFonts w:ascii="Arial Narrow" w:hAnsi="Arial Narrow"/>
          <w:sz w:val="20"/>
          <w:szCs w:val="20"/>
        </w:rPr>
        <w:t>echocardiography</w:t>
      </w:r>
      <w:r w:rsidRPr="003F4B27">
        <w:rPr>
          <w:rFonts w:ascii="Arial Narrow" w:hAnsi="Arial Narrow"/>
          <w:sz w:val="20"/>
          <w:szCs w:val="20"/>
        </w:rPr>
        <w:t xml:space="preserve">; EMB = </w:t>
      </w:r>
      <w:r w:rsidR="00F0010B" w:rsidRPr="003F4B27">
        <w:rPr>
          <w:rFonts w:ascii="Arial Narrow" w:hAnsi="Arial Narrow"/>
          <w:sz w:val="20"/>
          <w:szCs w:val="20"/>
        </w:rPr>
        <w:t>Endomyocardial biopsy</w:t>
      </w:r>
      <w:r w:rsidRPr="003F4B27">
        <w:rPr>
          <w:rFonts w:ascii="Arial Narrow" w:hAnsi="Arial Narrow"/>
          <w:sz w:val="20"/>
          <w:szCs w:val="20"/>
        </w:rPr>
        <w:t>;</w:t>
      </w:r>
      <w:r w:rsidR="00CC18E8" w:rsidRPr="003F4B27">
        <w:rPr>
          <w:rFonts w:ascii="Arial Narrow" w:hAnsi="Arial Narrow"/>
          <w:sz w:val="20"/>
          <w:szCs w:val="20"/>
        </w:rPr>
        <w:t xml:space="preserve"> </w:t>
      </w:r>
      <w:r w:rsidR="000B7A09">
        <w:rPr>
          <w:rFonts w:ascii="Arial Narrow" w:hAnsi="Arial Narrow"/>
          <w:sz w:val="20"/>
          <w:szCs w:val="20"/>
        </w:rPr>
        <w:t xml:space="preserve">GHPS = gated heart pool scan; HF = heart failure; </w:t>
      </w:r>
      <w:r w:rsidR="00CC18E8" w:rsidRPr="003F4B27">
        <w:rPr>
          <w:rFonts w:ascii="Arial Narrow" w:hAnsi="Arial Narrow"/>
          <w:sz w:val="20"/>
          <w:szCs w:val="20"/>
        </w:rPr>
        <w:t>K =</w:t>
      </w:r>
      <w:r w:rsidR="000B7A09">
        <w:rPr>
          <w:rFonts w:ascii="Arial Narrow" w:hAnsi="Arial Narrow"/>
          <w:sz w:val="20"/>
          <w:szCs w:val="20"/>
        </w:rPr>
        <w:t xml:space="preserve"> number of studies</w:t>
      </w:r>
      <w:r w:rsidR="00CC18E8" w:rsidRPr="003F4B27">
        <w:rPr>
          <w:rFonts w:ascii="Arial Narrow" w:hAnsi="Arial Narrow"/>
          <w:sz w:val="20"/>
          <w:szCs w:val="20"/>
        </w:rPr>
        <w:t>; N = number</w:t>
      </w:r>
      <w:r w:rsidR="000B7A09">
        <w:rPr>
          <w:rFonts w:ascii="Arial Narrow" w:hAnsi="Arial Narrow"/>
          <w:sz w:val="20"/>
          <w:szCs w:val="20"/>
        </w:rPr>
        <w:t xml:space="preserve"> of patients</w:t>
      </w:r>
    </w:p>
    <w:p w14:paraId="0FD3A4DB" w14:textId="4C98355F" w:rsidR="004268BA" w:rsidRDefault="004268BA" w:rsidP="004C79C1">
      <w:pPr>
        <w:pStyle w:val="Heading2"/>
        <w:numPr>
          <w:ilvl w:val="0"/>
          <w:numId w:val="93"/>
        </w:numPr>
        <w:spacing w:before="0" w:after="120" w:line="240" w:lineRule="auto"/>
        <w:ind w:left="0" w:hanging="11"/>
        <w:rPr>
          <w:szCs w:val="23"/>
        </w:rPr>
      </w:pPr>
      <w:bookmarkStart w:id="493" w:name="_Toc451501360"/>
      <w:r w:rsidRPr="000C176F">
        <w:rPr>
          <w:szCs w:val="23"/>
        </w:rPr>
        <w:t xml:space="preserve">Patients </w:t>
      </w:r>
      <w:r w:rsidR="005A543B">
        <w:rPr>
          <w:szCs w:val="23"/>
        </w:rPr>
        <w:t>P</w:t>
      </w:r>
      <w:r w:rsidRPr="000C176F">
        <w:rPr>
          <w:szCs w:val="23"/>
        </w:rPr>
        <w:t xml:space="preserve">resenting with </w:t>
      </w:r>
      <w:r w:rsidR="00FD1DE7">
        <w:rPr>
          <w:szCs w:val="23"/>
        </w:rPr>
        <w:t>HF</w:t>
      </w:r>
      <w:r w:rsidRPr="000C176F">
        <w:rPr>
          <w:szCs w:val="23"/>
        </w:rPr>
        <w:t xml:space="preserve"> </w:t>
      </w:r>
      <w:r w:rsidR="005A543B">
        <w:rPr>
          <w:szCs w:val="23"/>
        </w:rPr>
        <w:t>S</w:t>
      </w:r>
      <w:r w:rsidRPr="000C176F">
        <w:rPr>
          <w:szCs w:val="23"/>
        </w:rPr>
        <w:t xml:space="preserve">ymptoms in whom </w:t>
      </w:r>
      <w:r w:rsidR="00A21115">
        <w:rPr>
          <w:szCs w:val="23"/>
        </w:rPr>
        <w:t>echocardiography</w:t>
      </w:r>
      <w:r w:rsidRPr="000C176F">
        <w:rPr>
          <w:szCs w:val="23"/>
        </w:rPr>
        <w:t xml:space="preserve"> </w:t>
      </w:r>
      <w:r w:rsidR="005A543B">
        <w:rPr>
          <w:szCs w:val="23"/>
        </w:rPr>
        <w:t>S</w:t>
      </w:r>
      <w:r>
        <w:rPr>
          <w:szCs w:val="23"/>
        </w:rPr>
        <w:t xml:space="preserve">uggests a </w:t>
      </w:r>
      <w:r w:rsidR="00FD1DE7">
        <w:rPr>
          <w:szCs w:val="23"/>
        </w:rPr>
        <w:t>DCM</w:t>
      </w:r>
      <w:bookmarkEnd w:id="493"/>
    </w:p>
    <w:p w14:paraId="45682938" w14:textId="0BD26914" w:rsidR="004268BA" w:rsidRDefault="004268BA" w:rsidP="004C79C1">
      <w:pPr>
        <w:tabs>
          <w:tab w:val="left" w:pos="1134"/>
          <w:tab w:val="left" w:pos="2268"/>
        </w:tabs>
        <w:spacing w:after="120" w:line="240" w:lineRule="auto"/>
        <w:jc w:val="both"/>
      </w:pPr>
      <w:r>
        <w:t>No direct evidence was available presenting health outcomes following CMR-guided treatment of patients versus health outcomes of patients who were managed without the results of CMR. Two studies provided data on survival following the use of CMR to guide treatment but</w:t>
      </w:r>
      <w:r w:rsidR="00FD1DE7">
        <w:t>,</w:t>
      </w:r>
      <w:r>
        <w:t xml:space="preserve"> given the lack of a comparator, it is difficult to know the impact that CMR had on the patients’ health. </w:t>
      </w:r>
    </w:p>
    <w:p w14:paraId="48022402" w14:textId="288795B1" w:rsidR="004268BA" w:rsidRPr="00F5317A" w:rsidRDefault="004268BA" w:rsidP="00161B88">
      <w:pPr>
        <w:pStyle w:val="Heading3"/>
      </w:pPr>
      <w:bookmarkStart w:id="494" w:name="_Toc451501361"/>
      <w:r>
        <w:t>Patients with a low risk of CAD</w:t>
      </w:r>
      <w:bookmarkEnd w:id="494"/>
    </w:p>
    <w:p w14:paraId="152C3254" w14:textId="2215E5E8" w:rsidR="004268BA" w:rsidRDefault="004268BA" w:rsidP="004C79C1">
      <w:pPr>
        <w:tabs>
          <w:tab w:val="left" w:pos="1134"/>
          <w:tab w:val="left" w:pos="2268"/>
        </w:tabs>
        <w:spacing w:after="120" w:line="240" w:lineRule="auto"/>
        <w:jc w:val="both"/>
        <w:rPr>
          <w:szCs w:val="23"/>
        </w:rPr>
      </w:pPr>
      <w:r>
        <w:rPr>
          <w:szCs w:val="23"/>
        </w:rPr>
        <w:t xml:space="preserve">In patients with a low risk of CAD, the purpose of CMR is to determine if there is a treatable aetiology of the NIDCM (diagnosis), and determine the severity of NIDCM (prognosis). </w:t>
      </w:r>
    </w:p>
    <w:p w14:paraId="5B936C92" w14:textId="4AA79D38" w:rsidR="004268BA" w:rsidRDefault="004268BA" w:rsidP="004C79C1">
      <w:pPr>
        <w:tabs>
          <w:tab w:val="left" w:pos="1134"/>
          <w:tab w:val="left" w:pos="2268"/>
        </w:tabs>
        <w:spacing w:after="120" w:line="240" w:lineRule="auto"/>
        <w:jc w:val="both"/>
        <w:rPr>
          <w:szCs w:val="23"/>
        </w:rPr>
      </w:pPr>
      <w:r>
        <w:rPr>
          <w:szCs w:val="23"/>
        </w:rPr>
        <w:t xml:space="preserve">The comparator for the purposes of determining the aetiology is proposed to be </w:t>
      </w:r>
      <w:r w:rsidR="006E077A">
        <w:rPr>
          <w:szCs w:val="23"/>
        </w:rPr>
        <w:t>‘</w:t>
      </w:r>
      <w:r>
        <w:rPr>
          <w:szCs w:val="23"/>
        </w:rPr>
        <w:t>further test</w:t>
      </w:r>
      <w:r w:rsidR="006E077A">
        <w:rPr>
          <w:szCs w:val="23"/>
        </w:rPr>
        <w:t>ing’</w:t>
      </w:r>
      <w:r>
        <w:rPr>
          <w:szCs w:val="23"/>
        </w:rPr>
        <w:t xml:space="preserve">. In Australia, further testing currently involves blood tests and would occasionally involve invasive EMB. It is proposed that CMR may be used to triage patients to EMB, but would otherwise be added to the further tests. In the literature, a Norwegian study in patients with idiopathic DCM described further testing as including genetic testing, blood tests, EMB, 24-hour ECG, exercise testing and CMR (Broch et al. 2015). </w:t>
      </w:r>
    </w:p>
    <w:p w14:paraId="41B915C0" w14:textId="4B736AB5" w:rsidR="004268BA" w:rsidRDefault="004268BA" w:rsidP="004C79C1">
      <w:pPr>
        <w:tabs>
          <w:tab w:val="left" w:pos="1134"/>
          <w:tab w:val="left" w:pos="2268"/>
        </w:tabs>
        <w:spacing w:after="120" w:line="240" w:lineRule="auto"/>
        <w:jc w:val="both"/>
        <w:rPr>
          <w:szCs w:val="23"/>
        </w:rPr>
      </w:pPr>
      <w:r>
        <w:rPr>
          <w:szCs w:val="23"/>
        </w:rPr>
        <w:t>No information about the safety of any of the non-invasive tests in DCM was identified. The best estimates for safety are based on the use of the test in CAD, and indicate that CMR is safe. E</w:t>
      </w:r>
      <w:r w:rsidR="00204173">
        <w:rPr>
          <w:szCs w:val="23"/>
        </w:rPr>
        <w:t>MB</w:t>
      </w:r>
      <w:r>
        <w:rPr>
          <w:szCs w:val="23"/>
        </w:rPr>
        <w:t xml:space="preserve"> has more complications associated with it </w:t>
      </w:r>
      <w:r w:rsidR="00204173">
        <w:rPr>
          <w:szCs w:val="23"/>
        </w:rPr>
        <w:t xml:space="preserve">but </w:t>
      </w:r>
      <w:r>
        <w:rPr>
          <w:szCs w:val="23"/>
        </w:rPr>
        <w:t>the overall complication rate is still relatively low.</w:t>
      </w:r>
    </w:p>
    <w:p w14:paraId="74843220" w14:textId="73DA84C6" w:rsidR="004268BA" w:rsidRDefault="004268BA" w:rsidP="004C79C1">
      <w:pPr>
        <w:tabs>
          <w:tab w:val="left" w:pos="1134"/>
          <w:tab w:val="left" w:pos="2268"/>
        </w:tabs>
        <w:spacing w:after="120" w:line="240" w:lineRule="auto"/>
        <w:jc w:val="both"/>
        <w:rPr>
          <w:szCs w:val="23"/>
        </w:rPr>
      </w:pPr>
      <w:r>
        <w:rPr>
          <w:szCs w:val="23"/>
        </w:rPr>
        <w:t xml:space="preserve">Three studies assessed the diagnostic accuracy of LGE-CMR for determining whether there was an inflammatory aetiology in patients with DCM, using EMB as a reference standard. The sensitivity ranged from 0.58 to 0.87, and the specificity ranged from 0.33 to 0.50. However, EMB is not a </w:t>
      </w:r>
      <w:r>
        <w:rPr>
          <w:szCs w:val="23"/>
        </w:rPr>
        <w:lastRenderedPageBreak/>
        <w:t xml:space="preserve">perfect reference standard as it is highly dependent on whether the samples are taken from the areas where there is inflammation, and is at risk of missing some cases of inflammation. The low specificity of LGE-CMR compared </w:t>
      </w:r>
      <w:r w:rsidR="00204173">
        <w:rPr>
          <w:szCs w:val="23"/>
        </w:rPr>
        <w:t xml:space="preserve">with </w:t>
      </w:r>
      <w:r>
        <w:rPr>
          <w:szCs w:val="23"/>
        </w:rPr>
        <w:t xml:space="preserve">EMB is potentially a sign that LGE-CMR detects more cases of inflammation than EMB. </w:t>
      </w:r>
    </w:p>
    <w:p w14:paraId="0E83EB7E" w14:textId="375976A4" w:rsidR="004268BA" w:rsidRDefault="004268BA" w:rsidP="004C79C1">
      <w:pPr>
        <w:tabs>
          <w:tab w:val="left" w:pos="1134"/>
          <w:tab w:val="left" w:pos="2268"/>
        </w:tabs>
        <w:spacing w:after="120" w:line="240" w:lineRule="auto"/>
        <w:jc w:val="both"/>
        <w:rPr>
          <w:szCs w:val="23"/>
        </w:rPr>
      </w:pPr>
      <w:r>
        <w:rPr>
          <w:szCs w:val="23"/>
        </w:rPr>
        <w:t>Broch et al. (2015) reported that in a sample of 102 patients diagnosed through standard testing (</w:t>
      </w:r>
      <w:r w:rsidR="00332FE8">
        <w:rPr>
          <w:szCs w:val="23"/>
        </w:rPr>
        <w:t xml:space="preserve">e.g. </w:t>
      </w:r>
      <w:r>
        <w:rPr>
          <w:szCs w:val="23"/>
        </w:rPr>
        <w:t xml:space="preserve">patient history, physical examination, routine blood tests, </w:t>
      </w:r>
      <w:r w:rsidR="00A21115">
        <w:rPr>
          <w:szCs w:val="23"/>
        </w:rPr>
        <w:t>echocardiography</w:t>
      </w:r>
      <w:r w:rsidR="00332FE8">
        <w:rPr>
          <w:szCs w:val="23"/>
        </w:rPr>
        <w:t>,</w:t>
      </w:r>
      <w:r>
        <w:rPr>
          <w:szCs w:val="23"/>
        </w:rPr>
        <w:t xml:space="preserve"> ICA)</w:t>
      </w:r>
      <w:r w:rsidR="00F017E6">
        <w:rPr>
          <w:szCs w:val="23"/>
        </w:rPr>
        <w:t xml:space="preserve"> as having idiopathic DCM</w:t>
      </w:r>
      <w:r>
        <w:rPr>
          <w:szCs w:val="23"/>
        </w:rPr>
        <w:t xml:space="preserve">, CMR was used in 88 patients, and identified the aetiology of the DCM in </w:t>
      </w:r>
      <w:r w:rsidR="00F017E6">
        <w:rPr>
          <w:szCs w:val="23"/>
        </w:rPr>
        <w:t xml:space="preserve">4 </w:t>
      </w:r>
      <w:r>
        <w:rPr>
          <w:szCs w:val="23"/>
        </w:rPr>
        <w:t xml:space="preserve">patients in total, </w:t>
      </w:r>
      <w:r w:rsidR="00F017E6">
        <w:rPr>
          <w:szCs w:val="23"/>
        </w:rPr>
        <w:t xml:space="preserve">3 </w:t>
      </w:r>
      <w:r>
        <w:rPr>
          <w:szCs w:val="23"/>
        </w:rPr>
        <w:t xml:space="preserve">of whom </w:t>
      </w:r>
      <w:r w:rsidR="00332FE8">
        <w:rPr>
          <w:szCs w:val="23"/>
        </w:rPr>
        <w:t xml:space="preserve">had </w:t>
      </w:r>
      <w:r>
        <w:rPr>
          <w:szCs w:val="23"/>
        </w:rPr>
        <w:t>not ha</w:t>
      </w:r>
      <w:r w:rsidR="00332FE8">
        <w:rPr>
          <w:szCs w:val="23"/>
        </w:rPr>
        <w:t>d</w:t>
      </w:r>
      <w:r>
        <w:rPr>
          <w:szCs w:val="23"/>
        </w:rPr>
        <w:t xml:space="preserve"> their aetiology identified through any other means (</w:t>
      </w:r>
      <w:r w:rsidR="00F017E6">
        <w:rPr>
          <w:szCs w:val="23"/>
        </w:rPr>
        <w:t xml:space="preserve">1 </w:t>
      </w:r>
      <w:r>
        <w:rPr>
          <w:szCs w:val="23"/>
        </w:rPr>
        <w:t xml:space="preserve">patient with Wegener’s granulomatosis and </w:t>
      </w:r>
      <w:r w:rsidR="00F017E6">
        <w:rPr>
          <w:szCs w:val="23"/>
        </w:rPr>
        <w:t xml:space="preserve">2 </w:t>
      </w:r>
      <w:r>
        <w:rPr>
          <w:szCs w:val="23"/>
        </w:rPr>
        <w:t xml:space="preserve">with non-compaction </w:t>
      </w:r>
      <w:r w:rsidR="00F017E6">
        <w:rPr>
          <w:szCs w:val="23"/>
        </w:rPr>
        <w:t>CM</w:t>
      </w:r>
      <w:r>
        <w:rPr>
          <w:szCs w:val="23"/>
        </w:rPr>
        <w:t xml:space="preserve">), while the remaining </w:t>
      </w:r>
      <w:r w:rsidR="00A41625">
        <w:rPr>
          <w:szCs w:val="23"/>
        </w:rPr>
        <w:t xml:space="preserve">1 </w:t>
      </w:r>
      <w:r>
        <w:rPr>
          <w:szCs w:val="23"/>
        </w:rPr>
        <w:t xml:space="preserve">with sarcoidosis was also identified through the invasive procedure of </w:t>
      </w:r>
      <w:r w:rsidR="00A41625">
        <w:rPr>
          <w:szCs w:val="23"/>
        </w:rPr>
        <w:t>EMB</w:t>
      </w:r>
      <w:r>
        <w:rPr>
          <w:szCs w:val="23"/>
        </w:rPr>
        <w:t xml:space="preserve">. If assessed as an incremental test, in addition to other non-invasive investigations, the number needed to test to diagnose </w:t>
      </w:r>
      <w:proofErr w:type="gramStart"/>
      <w:r>
        <w:rPr>
          <w:szCs w:val="23"/>
        </w:rPr>
        <w:t>one extra aetiology</w:t>
      </w:r>
      <w:proofErr w:type="gramEnd"/>
      <w:r>
        <w:rPr>
          <w:szCs w:val="23"/>
        </w:rPr>
        <w:t xml:space="preserve"> using CMR was 25. Detecting the aetiology is thought to be beneficial to patients due to the ability to treat the underlying cause (as can be done for myocarditis, sarcoidosis, Wegener’s granulomatosis, haemochromatosis etc.) using</w:t>
      </w:r>
      <w:r w:rsidR="00A41625">
        <w:rPr>
          <w:szCs w:val="23"/>
        </w:rPr>
        <w:t>, for example,</w:t>
      </w:r>
      <w:r>
        <w:rPr>
          <w:szCs w:val="23"/>
        </w:rPr>
        <w:t xml:space="preserve"> immunosuppressant medication, although the quality of the evidence assessing the treatment effectiveness for these rare diseases was low. </w:t>
      </w:r>
      <w:r w:rsidR="00D55842">
        <w:rPr>
          <w:szCs w:val="23"/>
        </w:rPr>
        <w:t>Another benefit is the ability to rule out the need for family members to be screened.</w:t>
      </w:r>
    </w:p>
    <w:p w14:paraId="75EDE99B" w14:textId="7048D001" w:rsidR="004268BA" w:rsidRDefault="004268BA" w:rsidP="004C79C1">
      <w:pPr>
        <w:tabs>
          <w:tab w:val="left" w:pos="1134"/>
          <w:tab w:val="left" w:pos="2268"/>
        </w:tabs>
        <w:spacing w:after="120" w:line="240" w:lineRule="auto"/>
        <w:jc w:val="both"/>
        <w:rPr>
          <w:szCs w:val="23"/>
        </w:rPr>
      </w:pPr>
      <w:r>
        <w:rPr>
          <w:szCs w:val="23"/>
        </w:rPr>
        <w:t xml:space="preserve">As well as using CMR to determine if there is an identifiable aetiology for a patient’s DCM, </w:t>
      </w:r>
      <w:r w:rsidR="00281151">
        <w:rPr>
          <w:szCs w:val="23"/>
        </w:rPr>
        <w:t xml:space="preserve">it </w:t>
      </w:r>
      <w:r>
        <w:rPr>
          <w:szCs w:val="23"/>
        </w:rPr>
        <w:t xml:space="preserve">may also be used to assess </w:t>
      </w:r>
      <w:r w:rsidR="0034387F">
        <w:rPr>
          <w:szCs w:val="23"/>
        </w:rPr>
        <w:t>their</w:t>
      </w:r>
      <w:r>
        <w:rPr>
          <w:szCs w:val="23"/>
        </w:rPr>
        <w:t xml:space="preserve"> prognosis and to determine what treatment strategies are likely to be best (see section on </w:t>
      </w:r>
      <w:r w:rsidR="00233580">
        <w:rPr>
          <w:szCs w:val="23"/>
        </w:rPr>
        <w:t>‘</w:t>
      </w:r>
      <w:r>
        <w:rPr>
          <w:szCs w:val="23"/>
        </w:rPr>
        <w:fldChar w:fldCharType="begin"/>
      </w:r>
      <w:r>
        <w:rPr>
          <w:szCs w:val="23"/>
        </w:rPr>
        <w:instrText xml:space="preserve"> REF _Ref448140918 \h  \* MERGEFORMAT </w:instrText>
      </w:r>
      <w:r>
        <w:rPr>
          <w:szCs w:val="23"/>
        </w:rPr>
      </w:r>
      <w:r>
        <w:rPr>
          <w:szCs w:val="23"/>
        </w:rPr>
        <w:fldChar w:fldCharType="separate"/>
      </w:r>
      <w:r w:rsidR="00B85CFA" w:rsidRPr="00B85CFA">
        <w:rPr>
          <w:szCs w:val="23"/>
        </w:rPr>
        <w:t>Patients who are identified as NIDCM</w:t>
      </w:r>
      <w:r>
        <w:rPr>
          <w:szCs w:val="23"/>
        </w:rPr>
        <w:fldChar w:fldCharType="end"/>
      </w:r>
      <w:r w:rsidR="003F4B27">
        <w:rPr>
          <w:szCs w:val="23"/>
        </w:rPr>
        <w:t>’</w:t>
      </w:r>
      <w:r>
        <w:rPr>
          <w:szCs w:val="23"/>
        </w:rPr>
        <w:t xml:space="preserve"> </w:t>
      </w:r>
      <w:r w:rsidRPr="003F4B27">
        <w:rPr>
          <w:szCs w:val="23"/>
        </w:rPr>
        <w:t xml:space="preserve">on page </w:t>
      </w:r>
      <w:r w:rsidRPr="003F4B27">
        <w:rPr>
          <w:szCs w:val="23"/>
        </w:rPr>
        <w:fldChar w:fldCharType="begin"/>
      </w:r>
      <w:r w:rsidRPr="003F4B27">
        <w:rPr>
          <w:szCs w:val="23"/>
        </w:rPr>
        <w:instrText xml:space="preserve"> PAGEREF _Ref448140918 \h </w:instrText>
      </w:r>
      <w:r w:rsidRPr="003F4B27">
        <w:rPr>
          <w:szCs w:val="23"/>
        </w:rPr>
      </w:r>
      <w:r w:rsidRPr="003F4B27">
        <w:rPr>
          <w:szCs w:val="23"/>
        </w:rPr>
        <w:fldChar w:fldCharType="separate"/>
      </w:r>
      <w:r w:rsidR="003F4B27">
        <w:rPr>
          <w:noProof/>
          <w:szCs w:val="23"/>
        </w:rPr>
        <w:t>167</w:t>
      </w:r>
      <w:r w:rsidRPr="003F4B27">
        <w:rPr>
          <w:szCs w:val="23"/>
        </w:rPr>
        <w:fldChar w:fldCharType="end"/>
      </w:r>
      <w:r>
        <w:rPr>
          <w:szCs w:val="23"/>
        </w:rPr>
        <w:t xml:space="preserve">). </w:t>
      </w:r>
    </w:p>
    <w:p w14:paraId="137E3458" w14:textId="62B08BF9" w:rsidR="004268BA" w:rsidRPr="00122DCB" w:rsidRDefault="004268BA" w:rsidP="00161B88">
      <w:pPr>
        <w:pStyle w:val="Heading3"/>
      </w:pPr>
      <w:bookmarkStart w:id="495" w:name="_Toc451501362"/>
      <w:r w:rsidRPr="00122DCB">
        <w:t>Patients with an intermediate risk of CAD</w:t>
      </w:r>
      <w:bookmarkEnd w:id="495"/>
    </w:p>
    <w:p w14:paraId="6BAAC26C" w14:textId="6389865A" w:rsidR="004268BA" w:rsidRDefault="004268BA" w:rsidP="004C79C1">
      <w:pPr>
        <w:tabs>
          <w:tab w:val="left" w:pos="1134"/>
          <w:tab w:val="left" w:pos="2268"/>
        </w:tabs>
        <w:spacing w:after="120" w:line="240" w:lineRule="auto"/>
        <w:jc w:val="both"/>
        <w:rPr>
          <w:szCs w:val="23"/>
        </w:rPr>
      </w:pPr>
      <w:r>
        <w:rPr>
          <w:szCs w:val="23"/>
        </w:rPr>
        <w:t xml:space="preserve">In patients with an intermediate risk of CAD, the purpose of CMR is </w:t>
      </w:r>
      <w:r w:rsidR="000B3BDC">
        <w:rPr>
          <w:szCs w:val="23"/>
        </w:rPr>
        <w:t>3</w:t>
      </w:r>
      <w:r>
        <w:rPr>
          <w:szCs w:val="23"/>
        </w:rPr>
        <w:t>-fold</w:t>
      </w:r>
      <w:r w:rsidR="00281151">
        <w:rPr>
          <w:szCs w:val="23"/>
        </w:rPr>
        <w:t>—</w:t>
      </w:r>
      <w:r>
        <w:rPr>
          <w:szCs w:val="23"/>
        </w:rPr>
        <w:t xml:space="preserve">to determine whether there are signs of ischaemia </w:t>
      </w:r>
      <w:r w:rsidR="00281151">
        <w:rPr>
          <w:szCs w:val="23"/>
        </w:rPr>
        <w:t>(</w:t>
      </w:r>
      <w:r>
        <w:rPr>
          <w:szCs w:val="23"/>
        </w:rPr>
        <w:t>in which case patients are referred for an ICA</w:t>
      </w:r>
      <w:r w:rsidR="00281151">
        <w:rPr>
          <w:szCs w:val="23"/>
        </w:rPr>
        <w:t>);</w:t>
      </w:r>
      <w:r>
        <w:rPr>
          <w:szCs w:val="23"/>
        </w:rPr>
        <w:t xml:space="preserve"> and</w:t>
      </w:r>
      <w:r w:rsidR="00281151">
        <w:rPr>
          <w:szCs w:val="23"/>
        </w:rPr>
        <w:t>,</w:t>
      </w:r>
      <w:r>
        <w:rPr>
          <w:szCs w:val="23"/>
        </w:rPr>
        <w:t xml:space="preserve"> in those without ischaemia, determine if any treatable aetiology of DCM can be identified and assess their prognosis.</w:t>
      </w:r>
    </w:p>
    <w:p w14:paraId="10F19AC1" w14:textId="77777777" w:rsidR="004268BA" w:rsidRDefault="004268BA" w:rsidP="004C79C1">
      <w:pPr>
        <w:tabs>
          <w:tab w:val="left" w:pos="1134"/>
          <w:tab w:val="left" w:pos="2268"/>
        </w:tabs>
        <w:spacing w:after="120" w:line="240" w:lineRule="auto"/>
        <w:jc w:val="both"/>
        <w:rPr>
          <w:szCs w:val="23"/>
        </w:rPr>
      </w:pPr>
      <w:r>
        <w:rPr>
          <w:szCs w:val="23"/>
        </w:rPr>
        <w:t>For determining whether the patient has signs of ischaemia, CMR is proposed as:</w:t>
      </w:r>
    </w:p>
    <w:p w14:paraId="1FCA98C9" w14:textId="32FB7576" w:rsidR="004268BA" w:rsidRPr="00781034" w:rsidRDefault="004268BA" w:rsidP="004C79C1">
      <w:pPr>
        <w:pStyle w:val="ListParagraph"/>
        <w:numPr>
          <w:ilvl w:val="0"/>
          <w:numId w:val="44"/>
        </w:numPr>
        <w:tabs>
          <w:tab w:val="left" w:pos="1134"/>
          <w:tab w:val="left" w:pos="2268"/>
        </w:tabs>
        <w:spacing w:after="120" w:line="240" w:lineRule="auto"/>
        <w:jc w:val="both"/>
        <w:rPr>
          <w:szCs w:val="23"/>
        </w:rPr>
      </w:pPr>
      <w:r>
        <w:rPr>
          <w:szCs w:val="23"/>
        </w:rPr>
        <w:t>a possible alternative to</w:t>
      </w:r>
      <w:r w:rsidRPr="00781034">
        <w:rPr>
          <w:szCs w:val="23"/>
        </w:rPr>
        <w:t xml:space="preserve"> the non-invasive imaging techniques of CTCA, SPECT and stress </w:t>
      </w:r>
      <w:r w:rsidR="00A21115">
        <w:rPr>
          <w:szCs w:val="23"/>
        </w:rPr>
        <w:t>echocardiography</w:t>
      </w:r>
      <w:r w:rsidR="002A0C9F">
        <w:rPr>
          <w:szCs w:val="23"/>
        </w:rPr>
        <w:t>,</w:t>
      </w:r>
      <w:r w:rsidRPr="00781034">
        <w:rPr>
          <w:szCs w:val="23"/>
        </w:rPr>
        <w:t xml:space="preserve"> all of which may triage patients to ICA if signs of ischaemia are detected</w:t>
      </w:r>
      <w:r w:rsidR="002A0C9F">
        <w:rPr>
          <w:szCs w:val="23"/>
        </w:rPr>
        <w:t>;</w:t>
      </w:r>
      <w:r w:rsidRPr="00781034">
        <w:rPr>
          <w:szCs w:val="23"/>
        </w:rPr>
        <w:t xml:space="preserve"> and </w:t>
      </w:r>
    </w:p>
    <w:p w14:paraId="3A54131D" w14:textId="3ED4C086" w:rsidR="004268BA" w:rsidRPr="00781034" w:rsidRDefault="004268BA" w:rsidP="004C79C1">
      <w:pPr>
        <w:pStyle w:val="ListParagraph"/>
        <w:numPr>
          <w:ilvl w:val="0"/>
          <w:numId w:val="44"/>
        </w:numPr>
        <w:tabs>
          <w:tab w:val="left" w:pos="1134"/>
          <w:tab w:val="left" w:pos="2268"/>
        </w:tabs>
        <w:spacing w:after="120" w:line="240" w:lineRule="auto"/>
        <w:jc w:val="both"/>
        <w:rPr>
          <w:szCs w:val="23"/>
        </w:rPr>
      </w:pPr>
      <w:r w:rsidRPr="00781034">
        <w:rPr>
          <w:szCs w:val="23"/>
        </w:rPr>
        <w:t>an alternative to patients going directly for an ICA</w:t>
      </w:r>
      <w:r w:rsidR="002A0C9F">
        <w:rPr>
          <w:szCs w:val="23"/>
        </w:rPr>
        <w:t>,</w:t>
      </w:r>
      <w:r w:rsidRPr="00781034">
        <w:rPr>
          <w:szCs w:val="23"/>
        </w:rPr>
        <w:t xml:space="preserve"> </w:t>
      </w:r>
      <w:r w:rsidR="002A0C9F">
        <w:rPr>
          <w:szCs w:val="23"/>
        </w:rPr>
        <w:t>that is</w:t>
      </w:r>
      <w:r w:rsidRPr="00781034">
        <w:rPr>
          <w:szCs w:val="23"/>
        </w:rPr>
        <w:t xml:space="preserve"> ruling out the need for an ICA if patients have NIDCM, and triaging to ICA if they do show signs of ischaemia. </w:t>
      </w:r>
    </w:p>
    <w:p w14:paraId="466E0CF0" w14:textId="77777777" w:rsidR="004268BA" w:rsidRDefault="004268BA" w:rsidP="004C79C1">
      <w:pPr>
        <w:tabs>
          <w:tab w:val="left" w:pos="1134"/>
          <w:tab w:val="left" w:pos="2268"/>
        </w:tabs>
        <w:spacing w:after="120" w:line="240" w:lineRule="auto"/>
        <w:jc w:val="both"/>
        <w:rPr>
          <w:szCs w:val="23"/>
        </w:rPr>
      </w:pPr>
      <w:r>
        <w:rPr>
          <w:szCs w:val="23"/>
        </w:rPr>
        <w:t xml:space="preserve">For the purposes of determining the aetiology of NIDCM, the comparator is: </w:t>
      </w:r>
    </w:p>
    <w:p w14:paraId="06F31F05" w14:textId="371DAAB5" w:rsidR="004268BA" w:rsidRPr="00781034" w:rsidRDefault="002A0C9F" w:rsidP="004C79C1">
      <w:pPr>
        <w:pStyle w:val="ListParagraph"/>
        <w:numPr>
          <w:ilvl w:val="0"/>
          <w:numId w:val="45"/>
        </w:numPr>
        <w:tabs>
          <w:tab w:val="left" w:pos="1134"/>
          <w:tab w:val="left" w:pos="2268"/>
        </w:tabs>
        <w:spacing w:after="120" w:line="240" w:lineRule="auto"/>
        <w:jc w:val="both"/>
        <w:rPr>
          <w:szCs w:val="23"/>
        </w:rPr>
      </w:pPr>
      <w:r>
        <w:rPr>
          <w:szCs w:val="23"/>
        </w:rPr>
        <w:t>‘</w:t>
      </w:r>
      <w:proofErr w:type="gramStart"/>
      <w:r w:rsidR="004268BA" w:rsidRPr="00781034">
        <w:rPr>
          <w:szCs w:val="23"/>
        </w:rPr>
        <w:t>further</w:t>
      </w:r>
      <w:proofErr w:type="gramEnd"/>
      <w:r w:rsidR="004268BA" w:rsidRPr="00781034">
        <w:rPr>
          <w:szCs w:val="23"/>
        </w:rPr>
        <w:t xml:space="preserve"> test</w:t>
      </w:r>
      <w:r>
        <w:rPr>
          <w:szCs w:val="23"/>
        </w:rPr>
        <w:t>ing’</w:t>
      </w:r>
      <w:r w:rsidR="004268BA" w:rsidRPr="00781034">
        <w:rPr>
          <w:szCs w:val="23"/>
        </w:rPr>
        <w:t xml:space="preserve">, as per the population with a low risk of CAD. </w:t>
      </w:r>
    </w:p>
    <w:p w14:paraId="37F9AF66" w14:textId="370CA4AF" w:rsidR="004268BA" w:rsidRDefault="004268BA" w:rsidP="004C79C1">
      <w:pPr>
        <w:tabs>
          <w:tab w:val="left" w:pos="1134"/>
          <w:tab w:val="left" w:pos="2268"/>
        </w:tabs>
        <w:spacing w:after="120" w:line="240" w:lineRule="auto"/>
        <w:jc w:val="both"/>
        <w:rPr>
          <w:szCs w:val="23"/>
        </w:rPr>
      </w:pPr>
      <w:r>
        <w:rPr>
          <w:szCs w:val="23"/>
        </w:rPr>
        <w:t xml:space="preserve">Eight studies assessed the accuracy of LGE-CMR for determining whether patients had signs of ischaemia or not, compared </w:t>
      </w:r>
      <w:r w:rsidR="00001957">
        <w:rPr>
          <w:szCs w:val="23"/>
        </w:rPr>
        <w:t xml:space="preserve">with </w:t>
      </w:r>
      <w:r>
        <w:rPr>
          <w:szCs w:val="23"/>
        </w:rPr>
        <w:t>two different reference standards: ICA (k=6)</w:t>
      </w:r>
      <w:r w:rsidR="00001957">
        <w:rPr>
          <w:szCs w:val="23"/>
        </w:rPr>
        <w:t xml:space="preserve"> and</w:t>
      </w:r>
      <w:r>
        <w:rPr>
          <w:szCs w:val="23"/>
        </w:rPr>
        <w:t xml:space="preserve"> clinical diagnosis (k=2). The sensitivity of LGE-CMR for classifying NIDCM ranged from 0.68 to 1.00. This means that 0</w:t>
      </w:r>
      <w:r w:rsidR="00001957">
        <w:rPr>
          <w:szCs w:val="23"/>
        </w:rPr>
        <w:t>–</w:t>
      </w:r>
      <w:r>
        <w:rPr>
          <w:szCs w:val="23"/>
        </w:rPr>
        <w:t>32</w:t>
      </w:r>
      <w:r w:rsidR="00001957">
        <w:rPr>
          <w:szCs w:val="23"/>
        </w:rPr>
        <w:t>%</w:t>
      </w:r>
      <w:r>
        <w:rPr>
          <w:szCs w:val="23"/>
        </w:rPr>
        <w:t xml:space="preserve"> of patients who have NIDCM would be classified as ICM by CMR (false negatives), and would be referred unnecessarily for an ICA. </w:t>
      </w:r>
    </w:p>
    <w:p w14:paraId="00CAB8D2" w14:textId="2AE437D0" w:rsidR="004268BA" w:rsidRDefault="004268BA" w:rsidP="004C79C1">
      <w:pPr>
        <w:tabs>
          <w:tab w:val="left" w:pos="1134"/>
          <w:tab w:val="left" w:pos="2268"/>
        </w:tabs>
        <w:spacing w:after="120" w:line="240" w:lineRule="auto"/>
        <w:jc w:val="both"/>
        <w:rPr>
          <w:szCs w:val="23"/>
        </w:rPr>
      </w:pPr>
      <w:r>
        <w:rPr>
          <w:szCs w:val="23"/>
        </w:rPr>
        <w:t>The specificity of CMR for classifying NIDCM ranged from 0.71 to 1.00, meaning that 71</w:t>
      </w:r>
      <w:r w:rsidR="00FA1F5C">
        <w:rPr>
          <w:szCs w:val="23"/>
        </w:rPr>
        <w:t>–</w:t>
      </w:r>
      <w:r>
        <w:rPr>
          <w:szCs w:val="23"/>
        </w:rPr>
        <w:t>100</w:t>
      </w:r>
      <w:r w:rsidR="00FA1F5C">
        <w:rPr>
          <w:szCs w:val="23"/>
        </w:rPr>
        <w:t>%</w:t>
      </w:r>
      <w:r>
        <w:rPr>
          <w:szCs w:val="23"/>
        </w:rPr>
        <w:t xml:space="preserve"> of patients who truly have NIDCM would be able to avoid undergoing an ICA, and would be able to have CMR determine if there is a treatable aetiology for their NIDCM. It also means that 0</w:t>
      </w:r>
      <w:r w:rsidR="00FA1F5C">
        <w:rPr>
          <w:szCs w:val="23"/>
        </w:rPr>
        <w:t>–</w:t>
      </w:r>
      <w:r>
        <w:rPr>
          <w:szCs w:val="23"/>
        </w:rPr>
        <w:t>29</w:t>
      </w:r>
      <w:r w:rsidR="00FA1F5C">
        <w:rPr>
          <w:szCs w:val="23"/>
        </w:rPr>
        <w:t>%</w:t>
      </w:r>
      <w:r>
        <w:rPr>
          <w:szCs w:val="23"/>
        </w:rPr>
        <w:t xml:space="preserve"> of patients who have ischaemia would not receive the appropriate ICA if imaged by CMR.</w:t>
      </w:r>
    </w:p>
    <w:p w14:paraId="7C20FED1" w14:textId="3DA37519" w:rsidR="004268BA" w:rsidRDefault="004268BA" w:rsidP="00161B88">
      <w:pPr>
        <w:pStyle w:val="Heading4"/>
      </w:pPr>
      <w:r>
        <w:t xml:space="preserve">Compared </w:t>
      </w:r>
      <w:r w:rsidR="00E247B1">
        <w:t xml:space="preserve">with </w:t>
      </w:r>
      <w:r>
        <w:t xml:space="preserve">CTCA, SPECT and stress </w:t>
      </w:r>
      <w:r w:rsidR="00A21115">
        <w:t>echocardiography</w:t>
      </w:r>
    </w:p>
    <w:p w14:paraId="18DC906A" w14:textId="547BC702" w:rsidR="004268BA" w:rsidRDefault="004268BA" w:rsidP="004C79C1">
      <w:pPr>
        <w:tabs>
          <w:tab w:val="left" w:pos="1134"/>
          <w:tab w:val="left" w:pos="2268"/>
        </w:tabs>
        <w:spacing w:after="120" w:line="240" w:lineRule="auto"/>
        <w:jc w:val="both"/>
        <w:rPr>
          <w:szCs w:val="23"/>
        </w:rPr>
      </w:pPr>
      <w:r>
        <w:rPr>
          <w:szCs w:val="23"/>
        </w:rPr>
        <w:t xml:space="preserve">CMR was compared with CTCA against the reference standard of ICA in </w:t>
      </w:r>
      <w:r w:rsidR="00E247B1">
        <w:rPr>
          <w:szCs w:val="23"/>
        </w:rPr>
        <w:t xml:space="preserve">1 </w:t>
      </w:r>
      <w:r>
        <w:rPr>
          <w:szCs w:val="23"/>
        </w:rPr>
        <w:t>small study (n=28). The results of the two non-invasive tests were similar but</w:t>
      </w:r>
      <w:r w:rsidR="003345C1">
        <w:rPr>
          <w:szCs w:val="23"/>
        </w:rPr>
        <w:t>,</w:t>
      </w:r>
      <w:r>
        <w:rPr>
          <w:szCs w:val="23"/>
        </w:rPr>
        <w:t xml:space="preserve"> due to the small number of patients included, </w:t>
      </w:r>
      <w:r>
        <w:rPr>
          <w:szCs w:val="23"/>
        </w:rPr>
        <w:lastRenderedPageBreak/>
        <w:t xml:space="preserve">the results had wide, overlapping </w:t>
      </w:r>
      <w:r w:rsidR="003345C1">
        <w:rPr>
          <w:szCs w:val="23"/>
        </w:rPr>
        <w:t>CI</w:t>
      </w:r>
      <w:r>
        <w:rPr>
          <w:szCs w:val="23"/>
        </w:rPr>
        <w:t xml:space="preserve">s, and no conclusions on the comparative accuracy of the tests could be made. </w:t>
      </w:r>
    </w:p>
    <w:p w14:paraId="609CF485" w14:textId="6D4A0478" w:rsidR="004268BA" w:rsidRPr="00957B04" w:rsidRDefault="004268BA" w:rsidP="004C79C1">
      <w:pPr>
        <w:spacing w:after="120" w:line="240" w:lineRule="auto"/>
        <w:jc w:val="both"/>
      </w:pPr>
      <w:r>
        <w:t xml:space="preserve">Two studies compared the prognostic value of CMR with SPECT but found contradictory results regarding which was superior. No studies compared CTCA with stress </w:t>
      </w:r>
      <w:r w:rsidR="00A21115">
        <w:t>echocardiography</w:t>
      </w:r>
      <w:r>
        <w:t xml:space="preserve">. </w:t>
      </w:r>
    </w:p>
    <w:p w14:paraId="005D6D22" w14:textId="0DEB1BE8" w:rsidR="004268BA" w:rsidRDefault="004268BA" w:rsidP="004C79C1">
      <w:pPr>
        <w:tabs>
          <w:tab w:val="left" w:pos="1134"/>
          <w:tab w:val="left" w:pos="2268"/>
        </w:tabs>
        <w:spacing w:after="120" w:line="240" w:lineRule="auto"/>
        <w:jc w:val="both"/>
        <w:rPr>
          <w:szCs w:val="23"/>
        </w:rPr>
      </w:pPr>
      <w:r>
        <w:rPr>
          <w:szCs w:val="23"/>
        </w:rPr>
        <w:t>Given the lack of data comparing CMR against the alternative non-invasive tests, comments cannot be made on the clinical impact of receiving CMR rather than CTCA</w:t>
      </w:r>
      <w:r w:rsidR="003E0971">
        <w:rPr>
          <w:szCs w:val="23"/>
        </w:rPr>
        <w:t>,</w:t>
      </w:r>
      <w:r>
        <w:rPr>
          <w:szCs w:val="23"/>
        </w:rPr>
        <w:t xml:space="preserve"> SPECT or stress </w:t>
      </w:r>
      <w:r w:rsidR="00A21115">
        <w:rPr>
          <w:szCs w:val="23"/>
        </w:rPr>
        <w:t>echocardiography</w:t>
      </w:r>
      <w:r>
        <w:rPr>
          <w:szCs w:val="23"/>
        </w:rPr>
        <w:t xml:space="preserve">. The clinical claim made during the development of the Protocol was that CMR had increased diagnostic sensitivity compared </w:t>
      </w:r>
      <w:r w:rsidR="003E0971">
        <w:rPr>
          <w:szCs w:val="23"/>
        </w:rPr>
        <w:t xml:space="preserve">with </w:t>
      </w:r>
      <w:r>
        <w:rPr>
          <w:szCs w:val="23"/>
        </w:rPr>
        <w:t xml:space="preserve">the current non-invasive techniques for investigating and differentiating DCM. However, there were no data to support this claim. Another claim was that CMR has increased safety compared </w:t>
      </w:r>
      <w:r w:rsidR="003E0971">
        <w:rPr>
          <w:szCs w:val="23"/>
        </w:rPr>
        <w:t xml:space="preserve">with </w:t>
      </w:r>
      <w:r>
        <w:rPr>
          <w:szCs w:val="23"/>
        </w:rPr>
        <w:t>SPECT and CTCA due to the avoidance of ionising tests (radiation) and subsequent cancer risk. No data were available specifically on the safety of the procedures in the HF or DCM population</w:t>
      </w:r>
      <w:r w:rsidR="003E0971">
        <w:rPr>
          <w:szCs w:val="23"/>
        </w:rPr>
        <w:t>s</w:t>
      </w:r>
      <w:r>
        <w:rPr>
          <w:szCs w:val="23"/>
        </w:rPr>
        <w:t xml:space="preserve">. All the non-invasive tests are very safe, although there is a small risk of </w:t>
      </w:r>
      <w:r w:rsidR="003E0971">
        <w:rPr>
          <w:szCs w:val="23"/>
        </w:rPr>
        <w:t>AE</w:t>
      </w:r>
      <w:r>
        <w:rPr>
          <w:szCs w:val="23"/>
        </w:rPr>
        <w:t>s due to str</w:t>
      </w:r>
      <w:r w:rsidR="00DA6BB9">
        <w:rPr>
          <w:szCs w:val="23"/>
        </w:rPr>
        <w:t xml:space="preserve">essors, contrast and radiation. CMR has a similar risk to SPECT and slightly superior safety to CTCA. </w:t>
      </w:r>
    </w:p>
    <w:p w14:paraId="1B306A86" w14:textId="1F1C1DB0" w:rsidR="004268BA" w:rsidRDefault="004268BA" w:rsidP="004C79C1">
      <w:pPr>
        <w:tabs>
          <w:tab w:val="left" w:pos="1134"/>
          <w:tab w:val="left" w:pos="2268"/>
        </w:tabs>
        <w:spacing w:after="120" w:line="240" w:lineRule="auto"/>
        <w:jc w:val="both"/>
        <w:rPr>
          <w:szCs w:val="23"/>
        </w:rPr>
      </w:pPr>
      <w:r>
        <w:rPr>
          <w:szCs w:val="23"/>
        </w:rPr>
        <w:t xml:space="preserve">In those with an intermediate risk of CAD, the comparators of CTCA, SPECT, stress </w:t>
      </w:r>
      <w:r w:rsidR="00A21115">
        <w:rPr>
          <w:szCs w:val="23"/>
        </w:rPr>
        <w:t>echocardiography</w:t>
      </w:r>
      <w:r>
        <w:rPr>
          <w:szCs w:val="23"/>
        </w:rPr>
        <w:t xml:space="preserve"> and ICA are not considered to be good at determining the aetiology of NIDCM, so if ischaemia is not detected through these imaging modalities, patients would be referred for further testing. CMR is proposed as an additional test </w:t>
      </w:r>
      <w:r w:rsidR="00EC7F2A">
        <w:rPr>
          <w:szCs w:val="23"/>
        </w:rPr>
        <w:t>for</w:t>
      </w:r>
      <w:r>
        <w:rPr>
          <w:szCs w:val="23"/>
        </w:rPr>
        <w:t xml:space="preserve"> further testing</w:t>
      </w:r>
      <w:r w:rsidR="00EC7F2A">
        <w:rPr>
          <w:szCs w:val="23"/>
        </w:rPr>
        <w:t>, and</w:t>
      </w:r>
      <w:r>
        <w:rPr>
          <w:szCs w:val="23"/>
        </w:rPr>
        <w:t xml:space="preserve"> therefore has the benefit of being able to combine its function for assessing the aetiology of DCM at the same time as determining whether the patient has NIDCM or ICM. </w:t>
      </w:r>
    </w:p>
    <w:p w14:paraId="2B7360DD" w14:textId="64DEF854" w:rsidR="004268BA" w:rsidRPr="00842BD0" w:rsidRDefault="004268BA" w:rsidP="00161B88">
      <w:pPr>
        <w:pStyle w:val="Heading4"/>
      </w:pPr>
      <w:r>
        <w:t xml:space="preserve">Compared </w:t>
      </w:r>
      <w:r w:rsidR="00EC7F2A">
        <w:t xml:space="preserve">with </w:t>
      </w:r>
      <w:r>
        <w:t>ICA</w:t>
      </w:r>
    </w:p>
    <w:p w14:paraId="0457B968" w14:textId="216B9740" w:rsidR="004268BA" w:rsidRPr="00F5317A" w:rsidRDefault="004268BA" w:rsidP="004C79C1">
      <w:pPr>
        <w:tabs>
          <w:tab w:val="left" w:pos="1134"/>
          <w:tab w:val="left" w:pos="2268"/>
        </w:tabs>
        <w:spacing w:after="120" w:line="240" w:lineRule="auto"/>
        <w:jc w:val="both"/>
        <w:rPr>
          <w:szCs w:val="23"/>
        </w:rPr>
      </w:pPr>
      <w:r>
        <w:rPr>
          <w:szCs w:val="23"/>
        </w:rPr>
        <w:t xml:space="preserve">For patients with stable </w:t>
      </w:r>
      <w:r w:rsidR="00EC7F2A">
        <w:rPr>
          <w:szCs w:val="23"/>
        </w:rPr>
        <w:t>CAD</w:t>
      </w:r>
      <w:r>
        <w:rPr>
          <w:szCs w:val="23"/>
        </w:rPr>
        <w:t xml:space="preserve">, the evidence suggests that revascularisation is effective at improving health outcomes compared </w:t>
      </w:r>
      <w:r w:rsidR="00EC7F2A">
        <w:rPr>
          <w:szCs w:val="23"/>
        </w:rPr>
        <w:t xml:space="preserve">with </w:t>
      </w:r>
      <w:r>
        <w:rPr>
          <w:szCs w:val="23"/>
        </w:rPr>
        <w:t xml:space="preserve">medical treatment alone. It could therefore be implied that those patients who receive a false diagnosis of NIDCM from CMR would be worse off than if they had undergone an ICA, as under the CMR scenario, any treatment for ischaemia would be delayed. </w:t>
      </w:r>
      <w:r w:rsidR="00D55842">
        <w:rPr>
          <w:szCs w:val="23"/>
        </w:rPr>
        <w:t xml:space="preserve">ICA is considered the gold standard, so is assumed to correctly identify ischaemia. </w:t>
      </w:r>
      <w:r>
        <w:rPr>
          <w:szCs w:val="23"/>
        </w:rPr>
        <w:t>However, in the included studies, the patients who were fal</w:t>
      </w:r>
      <w:r w:rsidR="00D55842">
        <w:rPr>
          <w:szCs w:val="23"/>
        </w:rPr>
        <w:t>sely classified as having NIDCM by CMR</w:t>
      </w:r>
      <w:r>
        <w:rPr>
          <w:szCs w:val="23"/>
        </w:rPr>
        <w:t xml:space="preserve"> were classified as such due to an absence of LGE. The prognostic data showed that those who were LGE– were less likely to undergo revascularisation and had superior health outcomes, compared </w:t>
      </w:r>
      <w:r w:rsidR="001C02D5">
        <w:rPr>
          <w:szCs w:val="23"/>
        </w:rPr>
        <w:t xml:space="preserve">with </w:t>
      </w:r>
      <w:r>
        <w:rPr>
          <w:szCs w:val="23"/>
        </w:rPr>
        <w:t>those who were LGE+. The impact of a patient with ischaemia being misclassified as being non-ischaemic due to being LGE– is unknown, but could be hypothesised to be not as bad as if those who were LGE+ were misclassified as non-ischaemic. The impact of delayed</w:t>
      </w:r>
      <w:r w:rsidR="004F0762">
        <w:rPr>
          <w:szCs w:val="23"/>
        </w:rPr>
        <w:t>,</w:t>
      </w:r>
      <w:r w:rsidR="004F0762" w:rsidRPr="004F0762">
        <w:rPr>
          <w:szCs w:val="23"/>
        </w:rPr>
        <w:t xml:space="preserve"> </w:t>
      </w:r>
      <w:r w:rsidR="004F0762">
        <w:rPr>
          <w:szCs w:val="23"/>
        </w:rPr>
        <w:t>rather than early,</w:t>
      </w:r>
      <w:r>
        <w:rPr>
          <w:szCs w:val="23"/>
        </w:rPr>
        <w:t xml:space="preserve"> treatment for ischaemia is unknown. </w:t>
      </w:r>
    </w:p>
    <w:p w14:paraId="34708A52" w14:textId="1B4B2788" w:rsidR="004268BA" w:rsidRDefault="004268BA" w:rsidP="004C79C1">
      <w:pPr>
        <w:tabs>
          <w:tab w:val="left" w:pos="1134"/>
          <w:tab w:val="left" w:pos="2268"/>
        </w:tabs>
        <w:spacing w:after="120" w:line="240" w:lineRule="auto"/>
        <w:jc w:val="both"/>
        <w:rPr>
          <w:szCs w:val="23"/>
        </w:rPr>
      </w:pPr>
      <w:r>
        <w:rPr>
          <w:szCs w:val="23"/>
        </w:rPr>
        <w:t xml:space="preserve">Those who are truly classified as NIDCM on CMR would avoid undergoing ICA, which would be beneficial to patient safety </w:t>
      </w:r>
      <w:r w:rsidR="004223E3">
        <w:rPr>
          <w:szCs w:val="23"/>
        </w:rPr>
        <w:t xml:space="preserve">because of </w:t>
      </w:r>
      <w:r>
        <w:rPr>
          <w:szCs w:val="23"/>
        </w:rPr>
        <w:t>avoiding an invasive technique. The resulting treatment of patients would likely be the same</w:t>
      </w:r>
      <w:r w:rsidR="00D55842">
        <w:rPr>
          <w:szCs w:val="23"/>
        </w:rPr>
        <w:t xml:space="preserve"> as if they had received ICA</w:t>
      </w:r>
      <w:r>
        <w:rPr>
          <w:szCs w:val="23"/>
        </w:rPr>
        <w:t xml:space="preserve">. If patients receive an ICA rather than CMR as the initial test, and are found to not have any signs of ischaemia, they would receive further tests to determine the aetiology of NIDCM. CMR is proposed to be an additional test to assist in determining the aetiology, so under either scenario (ICA or CMR first) patients may end up receiving both tests. </w:t>
      </w:r>
    </w:p>
    <w:p w14:paraId="5FB66DD3" w14:textId="74A013E3" w:rsidR="00D55842" w:rsidRDefault="00D55842" w:rsidP="004C79C1">
      <w:pPr>
        <w:tabs>
          <w:tab w:val="left" w:pos="1134"/>
          <w:tab w:val="left" w:pos="2268"/>
        </w:tabs>
        <w:spacing w:after="120" w:line="240" w:lineRule="auto"/>
        <w:jc w:val="both"/>
        <w:rPr>
          <w:szCs w:val="23"/>
        </w:rPr>
      </w:pPr>
      <w:r>
        <w:rPr>
          <w:szCs w:val="23"/>
        </w:rPr>
        <w:t>For those patients who are classified as having ischaemia by either CMR or ICA, the treatment and health outcomes are expected to be the same.</w:t>
      </w:r>
    </w:p>
    <w:p w14:paraId="08A6C46F" w14:textId="0BC5E7DE" w:rsidR="004268BA" w:rsidRDefault="004268BA" w:rsidP="00161B88">
      <w:pPr>
        <w:pStyle w:val="Heading3"/>
      </w:pPr>
      <w:bookmarkStart w:id="496" w:name="_Ref448140918"/>
      <w:bookmarkStart w:id="497" w:name="_Toc451501363"/>
      <w:r w:rsidRPr="003E6B27">
        <w:lastRenderedPageBreak/>
        <w:t>Patients who are identified as NIDCM</w:t>
      </w:r>
      <w:bookmarkEnd w:id="496"/>
      <w:bookmarkEnd w:id="497"/>
    </w:p>
    <w:p w14:paraId="2E0C4E82" w14:textId="3094E313" w:rsidR="00D55842" w:rsidRPr="00265D40" w:rsidRDefault="00D55842" w:rsidP="004C79C1">
      <w:pPr>
        <w:tabs>
          <w:tab w:val="left" w:pos="1134"/>
          <w:tab w:val="left" w:pos="2268"/>
        </w:tabs>
        <w:spacing w:after="120" w:line="240" w:lineRule="auto"/>
        <w:jc w:val="both"/>
        <w:rPr>
          <w:szCs w:val="23"/>
        </w:rPr>
      </w:pPr>
      <w:r w:rsidRPr="00265D40">
        <w:rPr>
          <w:szCs w:val="23"/>
        </w:rPr>
        <w:t xml:space="preserve">CMR may be used to re-assess patients’ LVEF and determine the prognosis of </w:t>
      </w:r>
      <w:r w:rsidR="00282EE9">
        <w:rPr>
          <w:szCs w:val="23"/>
        </w:rPr>
        <w:t>those</w:t>
      </w:r>
      <w:r w:rsidR="00282EE9" w:rsidRPr="00265D40">
        <w:rPr>
          <w:szCs w:val="23"/>
        </w:rPr>
        <w:t xml:space="preserve"> </w:t>
      </w:r>
      <w:r w:rsidRPr="00265D40">
        <w:rPr>
          <w:szCs w:val="23"/>
        </w:rPr>
        <w:t xml:space="preserve">who are classified as having NIDCM (either low or intermediate pre-test risk of CAD). </w:t>
      </w:r>
      <w:r w:rsidRPr="00956D24">
        <w:rPr>
          <w:szCs w:val="23"/>
        </w:rPr>
        <w:t xml:space="preserve">This section is relevant to patients who had a low </w:t>
      </w:r>
      <w:r w:rsidR="002103CC">
        <w:rPr>
          <w:szCs w:val="23"/>
        </w:rPr>
        <w:t xml:space="preserve">to </w:t>
      </w:r>
      <w:r w:rsidRPr="00956D24">
        <w:rPr>
          <w:szCs w:val="23"/>
        </w:rPr>
        <w:t xml:space="preserve">intermediate pre-test risk of CAD and have had ischaemia ruled out. </w:t>
      </w:r>
    </w:p>
    <w:p w14:paraId="7F827201" w14:textId="46A0A2D2" w:rsidR="00D55842" w:rsidRDefault="00D55842" w:rsidP="004C79C1">
      <w:pPr>
        <w:tabs>
          <w:tab w:val="left" w:pos="1134"/>
          <w:tab w:val="left" w:pos="2268"/>
        </w:tabs>
        <w:spacing w:after="120" w:line="240" w:lineRule="auto"/>
        <w:jc w:val="both"/>
        <w:rPr>
          <w:szCs w:val="23"/>
        </w:rPr>
      </w:pPr>
      <w:r w:rsidRPr="00265D40">
        <w:rPr>
          <w:szCs w:val="23"/>
        </w:rPr>
        <w:t>One good</w:t>
      </w:r>
      <w:r w:rsidR="00282EE9">
        <w:rPr>
          <w:szCs w:val="23"/>
        </w:rPr>
        <w:t>-</w:t>
      </w:r>
      <w:r w:rsidRPr="00265D40">
        <w:rPr>
          <w:szCs w:val="23"/>
        </w:rPr>
        <w:t>quality Australian study assessed whether CMR resulted in a change in management in patients who ha</w:t>
      </w:r>
      <w:r w:rsidR="00331E23">
        <w:rPr>
          <w:szCs w:val="23"/>
        </w:rPr>
        <w:t>d</w:t>
      </w:r>
      <w:r w:rsidRPr="00265D40">
        <w:rPr>
          <w:szCs w:val="23"/>
        </w:rPr>
        <w:t xml:space="preserve"> been diagnosed as having non-ischaemic </w:t>
      </w:r>
      <w:r w:rsidR="00DE766C">
        <w:rPr>
          <w:szCs w:val="23"/>
        </w:rPr>
        <w:t>CM</w:t>
      </w:r>
      <w:r w:rsidR="00DE766C" w:rsidRPr="00265D40">
        <w:rPr>
          <w:szCs w:val="23"/>
        </w:rPr>
        <w:t xml:space="preserve"> </w:t>
      </w:r>
      <w:r w:rsidRPr="00265D40">
        <w:rPr>
          <w:szCs w:val="23"/>
        </w:rPr>
        <w:t xml:space="preserve">(predominantly DCM). At least half these patients may have initially been considered to have an intermediate or high risk of CAD </w:t>
      </w:r>
      <w:r w:rsidR="008D3259">
        <w:rPr>
          <w:szCs w:val="23"/>
        </w:rPr>
        <w:t>but</w:t>
      </w:r>
      <w:r w:rsidR="002103CC">
        <w:rPr>
          <w:szCs w:val="23"/>
        </w:rPr>
        <w:t>,</w:t>
      </w:r>
      <w:r w:rsidR="008D3259" w:rsidRPr="00265D40">
        <w:rPr>
          <w:szCs w:val="23"/>
        </w:rPr>
        <w:t xml:space="preserve"> </w:t>
      </w:r>
      <w:r w:rsidRPr="00265D40">
        <w:rPr>
          <w:szCs w:val="23"/>
        </w:rPr>
        <w:t xml:space="preserve">after undergoing an ICA, those in the </w:t>
      </w:r>
      <w:r w:rsidR="00331E23">
        <w:rPr>
          <w:szCs w:val="23"/>
        </w:rPr>
        <w:t>CM</w:t>
      </w:r>
      <w:r w:rsidR="00331E23" w:rsidRPr="00265D40">
        <w:rPr>
          <w:szCs w:val="23"/>
        </w:rPr>
        <w:t xml:space="preserve"> </w:t>
      </w:r>
      <w:r w:rsidRPr="00265D40">
        <w:rPr>
          <w:szCs w:val="23"/>
        </w:rPr>
        <w:t>group had had ischaemia excluded</w:t>
      </w:r>
      <w:r w:rsidRPr="00ED3A10">
        <w:rPr>
          <w:szCs w:val="23"/>
        </w:rPr>
        <w:t>.</w:t>
      </w:r>
      <w:r>
        <w:rPr>
          <w:szCs w:val="23"/>
        </w:rPr>
        <w:t xml:space="preserve"> Treatment decisions had already been </w:t>
      </w:r>
      <w:proofErr w:type="gramStart"/>
      <w:r>
        <w:rPr>
          <w:szCs w:val="23"/>
        </w:rPr>
        <w:t>made,</w:t>
      </w:r>
      <w:proofErr w:type="gramEnd"/>
      <w:r>
        <w:rPr>
          <w:szCs w:val="23"/>
        </w:rPr>
        <w:t xml:space="preserve"> based on investigations </w:t>
      </w:r>
      <w:r w:rsidR="008D3259">
        <w:rPr>
          <w:szCs w:val="23"/>
        </w:rPr>
        <w:t xml:space="preserve">that </w:t>
      </w:r>
      <w:r>
        <w:rPr>
          <w:szCs w:val="23"/>
        </w:rPr>
        <w:t xml:space="preserve">would occur in the absence of CMR. CMR was then used and the treatments </w:t>
      </w:r>
      <w:r w:rsidR="008D3259">
        <w:rPr>
          <w:szCs w:val="23"/>
        </w:rPr>
        <w:t xml:space="preserve">that </w:t>
      </w:r>
      <w:r>
        <w:rPr>
          <w:szCs w:val="23"/>
        </w:rPr>
        <w:t xml:space="preserve">patients received were documented. </w:t>
      </w:r>
      <w:r>
        <w:t>Evidence shows that if CMR is listed on the MBS for assessing patients with DCM, it is likely to have a large impact on those who would otherwise undergo a more invasive treatment approach, with a smaller impact on those who are classified by other tests as not requiring surgery or device implantation.</w:t>
      </w:r>
      <w:r w:rsidRPr="00ED3A10">
        <w:t xml:space="preserve"> </w:t>
      </w:r>
      <w:r>
        <w:t>In the absence of CMR, clinicians tend to err on the side of caution but</w:t>
      </w:r>
      <w:r w:rsidR="00180863">
        <w:t>,</w:t>
      </w:r>
      <w:r>
        <w:t xml:space="preserve"> with the additional information gained through CMR, are able to feel more confident in the ability of the patient to have good outcomes through </w:t>
      </w:r>
      <w:r w:rsidR="00375C71">
        <w:t>OMT</w:t>
      </w:r>
      <w:r>
        <w:t xml:space="preserve"> alone</w:t>
      </w:r>
      <w:r>
        <w:rPr>
          <w:rStyle w:val="FootnoteReference"/>
        </w:rPr>
        <w:footnoteReference w:id="10"/>
      </w:r>
      <w:r>
        <w:t>.</w:t>
      </w:r>
    </w:p>
    <w:p w14:paraId="3950241E" w14:textId="4D5CE47E" w:rsidR="00577E67" w:rsidRDefault="00577E67" w:rsidP="004C79C1">
      <w:pPr>
        <w:tabs>
          <w:tab w:val="left" w:pos="1134"/>
          <w:tab w:val="left" w:pos="2268"/>
        </w:tabs>
        <w:spacing w:after="120" w:line="240" w:lineRule="auto"/>
        <w:jc w:val="both"/>
      </w:pPr>
      <w:r w:rsidRPr="00DF0949">
        <w:t xml:space="preserve">The prognostic data suggest that using CMR to stratify patients to treatments, as </w:t>
      </w:r>
      <w:proofErr w:type="gramStart"/>
      <w:r w:rsidRPr="00DF0949">
        <w:t>occurred</w:t>
      </w:r>
      <w:proofErr w:type="gramEnd"/>
      <w:r w:rsidRPr="00DF0949">
        <w:t xml:space="preserve"> in the Australian study by Taylor</w:t>
      </w:r>
      <w:r w:rsidR="00176F05">
        <w:t>, AJ</w:t>
      </w:r>
      <w:r w:rsidRPr="00DF0949">
        <w:t xml:space="preserve"> et al</w:t>
      </w:r>
      <w:r w:rsidR="00D912A5">
        <w:t>.</w:t>
      </w:r>
      <w:r w:rsidRPr="00DF0949">
        <w:t xml:space="preserve"> (2013), is likely to result in </w:t>
      </w:r>
      <w:r>
        <w:t xml:space="preserve">superior or </w:t>
      </w:r>
      <w:r w:rsidRPr="00DF0949">
        <w:t xml:space="preserve">non-inferior effectiveness outcomes compared </w:t>
      </w:r>
      <w:r w:rsidR="00375C71">
        <w:t>with</w:t>
      </w:r>
      <w:r w:rsidR="00375C71" w:rsidRPr="00DF0949">
        <w:t xml:space="preserve"> </w:t>
      </w:r>
      <w:r w:rsidRPr="00DF0949">
        <w:t xml:space="preserve">not using CMR. </w:t>
      </w:r>
      <w:r>
        <w:t>Taylor</w:t>
      </w:r>
      <w:r w:rsidR="00176F05">
        <w:t>, AJ</w:t>
      </w:r>
      <w:r>
        <w:t xml:space="preserve"> et al</w:t>
      </w:r>
      <w:r w:rsidR="00D912A5">
        <w:t>.</w:t>
      </w:r>
      <w:r>
        <w:t xml:space="preserve"> (2013) reported that health outcomes after 12</w:t>
      </w:r>
      <w:r w:rsidR="00123603">
        <w:t> </w:t>
      </w:r>
      <w:r>
        <w:t>months (</w:t>
      </w:r>
      <w:r w:rsidR="00123603">
        <w:t>NYHA</w:t>
      </w:r>
      <w:r>
        <w:t xml:space="preserve"> classification, mortality and rate of major </w:t>
      </w:r>
      <w:r w:rsidR="00123603">
        <w:t>AE</w:t>
      </w:r>
      <w:r>
        <w:t xml:space="preserve">s) were not significantly different between those who had their surgical or device plans avoided due to CMR and those who proceeded with having surgery or device implantation. </w:t>
      </w:r>
    </w:p>
    <w:p w14:paraId="6B409242" w14:textId="7E62FADE" w:rsidR="00577E67" w:rsidRDefault="00577E67" w:rsidP="004C79C1">
      <w:pPr>
        <w:spacing w:after="120" w:line="240" w:lineRule="auto"/>
        <w:jc w:val="both"/>
      </w:pPr>
      <w:r>
        <w:t xml:space="preserve">Detection of myocardial scarring through LGE-CMR could potentially be used to help assess whether someone should receive an ICD and/or CRT. A median of 25% of those who were LGE+ received an ICD/CRT, while a median of only 10% of those who were LGE– received an ICD/CRT. In patients with an ICD implanted for primary prevention of SCD, those who were LGE+ were 4.5-times more likely to have an appropriate discharge than those who were LGE–. Similarly, in studies </w:t>
      </w:r>
      <w:r w:rsidR="00904D66">
        <w:t xml:space="preserve">that </w:t>
      </w:r>
      <w:r>
        <w:t xml:space="preserve">did not restrict included patients to a particular treatment method, those who were LGE+ were 4-times more likely to have an adverse cardiac event, and 3-times more likely to die than those </w:t>
      </w:r>
      <w:r w:rsidR="00904D66">
        <w:t xml:space="preserve">who </w:t>
      </w:r>
      <w:r>
        <w:t>were LGE–. Conversely, in children, LGE may more often be detecting myocardial inflammation rather than fibrotic o</w:t>
      </w:r>
      <w:r w:rsidR="00BB5FE5">
        <w:t>r</w:t>
      </w:r>
      <w:r>
        <w:t xml:space="preserve"> scarred myocardium. Within children with a recent diagnosis of DCM, those who were LGE+ were 2-times more likely to fully recover LV functioning than those who were LGE–. </w:t>
      </w:r>
    </w:p>
    <w:p w14:paraId="31F0B615" w14:textId="219A76AF" w:rsidR="004268BA" w:rsidRDefault="004268BA" w:rsidP="004C79C1">
      <w:pPr>
        <w:spacing w:after="120" w:line="240" w:lineRule="auto"/>
        <w:jc w:val="both"/>
      </w:pPr>
      <w:r>
        <w:t xml:space="preserve">As well as detecting scarring or inflammation using LGE, CMR may also be used to assess LVEF. LVEF determined by CMR was a better predictor of adverse cardiac events than LVEF determined by </w:t>
      </w:r>
      <w:r w:rsidR="00A21115">
        <w:t>echocardiography</w:t>
      </w:r>
      <w:r>
        <w:t xml:space="preserve">. Treatment guidelines currently used %LVEF as one criterion for determining whether patients should receive an ICD. However, it appears likely that </w:t>
      </w:r>
      <w:r w:rsidR="00BB5FE5">
        <w:t xml:space="preserve">the </w:t>
      </w:r>
      <w:r>
        <w:t>presence of LGE is a stronger predictor of adverse cardiac events than LVEF.</w:t>
      </w:r>
    </w:p>
    <w:p w14:paraId="0FA872A0" w14:textId="660B4FFF" w:rsidR="006559F3" w:rsidRDefault="00577E67" w:rsidP="004C79C1">
      <w:pPr>
        <w:spacing w:after="120" w:line="240" w:lineRule="auto"/>
        <w:jc w:val="both"/>
      </w:pPr>
      <w:r>
        <w:rPr>
          <w:szCs w:val="23"/>
        </w:rPr>
        <w:t xml:space="preserve">In terms of extended safety, there is evidence that inappropriate shocks from implantable cardiac devices increase mortality; this reinforces the importance of appropriate selection of patients to receive these devices </w:t>
      </w:r>
      <w:r w:rsidR="00E4187B">
        <w:rPr>
          <w:szCs w:val="23"/>
        </w:rPr>
        <w:t xml:space="preserve">for </w:t>
      </w:r>
      <w:r>
        <w:rPr>
          <w:szCs w:val="23"/>
        </w:rPr>
        <w:t xml:space="preserve">which CMR is useful. Furthermore, </w:t>
      </w:r>
      <w:r>
        <w:t>many patients implanted with ICDs suffer comorbidities. For the moribund patient, prevention of sudden cardiac death from ICD shock is at odds with palliative care goals at end-of-life</w:t>
      </w:r>
      <w:r w:rsidR="00D62FD5">
        <w:t>;</w:t>
      </w:r>
      <w:r>
        <w:t xml:space="preserve"> ICD shock at this stage of life is painful and distressing for the patient, which does not facilitate a dignified death. For these patients</w:t>
      </w:r>
      <w:r w:rsidR="009307CF">
        <w:t>’</w:t>
      </w:r>
      <w:r>
        <w:t xml:space="preserve"> families, </w:t>
      </w:r>
      <w:r>
        <w:lastRenderedPageBreak/>
        <w:t>this is likely to be emotionally distressing. Deactivation of a patient’s ICD at end-of-life therefore presents an ethical dilemma</w:t>
      </w:r>
      <w:r w:rsidR="00D62FD5">
        <w:t>, and</w:t>
      </w:r>
      <w:r>
        <w:t xml:space="preserve"> </w:t>
      </w:r>
      <w:r w:rsidR="00D62FD5">
        <w:t>t</w:t>
      </w:r>
      <w:r>
        <w:t xml:space="preserve">he ability to more appropriately target ICD treatment would be of benefit to patients and families. </w:t>
      </w:r>
    </w:p>
    <w:p w14:paraId="7A862375" w14:textId="5DFE5BE9" w:rsidR="004268BA" w:rsidRDefault="004268BA" w:rsidP="004C79C1">
      <w:pPr>
        <w:spacing w:after="120" w:line="240" w:lineRule="auto"/>
        <w:jc w:val="both"/>
      </w:pPr>
      <w:r>
        <w:t xml:space="preserve">Overall, it is clear that CMR provides information </w:t>
      </w:r>
      <w:r w:rsidR="00D62FD5">
        <w:t xml:space="preserve">that </w:t>
      </w:r>
      <w:r>
        <w:t>is useful for determining a patient</w:t>
      </w:r>
      <w:r w:rsidR="00D62FD5">
        <w:t>’</w:t>
      </w:r>
      <w:r>
        <w:t>s</w:t>
      </w:r>
      <w:r w:rsidR="00322B0A">
        <w:t xml:space="preserve"> </w:t>
      </w:r>
      <w:r>
        <w:t xml:space="preserve">prognosis, and could potentially be helpful at deciding which treatments patients should receive. There is no direct evidence proving that CMR does benefit health outcomes, but a linked evidence approach suggests </w:t>
      </w:r>
      <w:r w:rsidR="00FA4F82">
        <w:t xml:space="preserve">that </w:t>
      </w:r>
      <w:r>
        <w:t xml:space="preserve">it is likely to be effective. </w:t>
      </w:r>
    </w:p>
    <w:p w14:paraId="2C3C826F" w14:textId="6B1DB351" w:rsidR="006559F3" w:rsidRPr="003E6B27" w:rsidRDefault="006559F3" w:rsidP="00161B88">
      <w:pPr>
        <w:pStyle w:val="Heading3"/>
      </w:pPr>
      <w:bookmarkStart w:id="498" w:name="_Toc451501364"/>
      <w:r w:rsidRPr="003E6B27">
        <w:t xml:space="preserve">Patients who are identified as </w:t>
      </w:r>
      <w:r>
        <w:t>ICM</w:t>
      </w:r>
      <w:bookmarkEnd w:id="498"/>
    </w:p>
    <w:p w14:paraId="2864B172" w14:textId="1E37474A" w:rsidR="006559F3" w:rsidRDefault="006559F3" w:rsidP="004C79C1">
      <w:pPr>
        <w:tabs>
          <w:tab w:val="left" w:pos="1134"/>
          <w:tab w:val="left" w:pos="2268"/>
        </w:tabs>
        <w:spacing w:after="120" w:line="240" w:lineRule="auto"/>
        <w:jc w:val="both"/>
        <w:rPr>
          <w:szCs w:val="23"/>
        </w:rPr>
      </w:pPr>
      <w:r w:rsidRPr="00265D40">
        <w:rPr>
          <w:szCs w:val="23"/>
        </w:rPr>
        <w:t xml:space="preserve">CMR may also be used to determine the prognosis of patients with </w:t>
      </w:r>
      <w:r>
        <w:rPr>
          <w:szCs w:val="23"/>
        </w:rPr>
        <w:t>ICM/</w:t>
      </w:r>
      <w:r w:rsidRPr="00265D40">
        <w:rPr>
          <w:szCs w:val="23"/>
        </w:rPr>
        <w:t xml:space="preserve">CAD and to assess viability for revascularisation. However, this is outside the scope of the current review and is considered within the concurrent MSAC assessment </w:t>
      </w:r>
      <w:r w:rsidR="00FA4F82">
        <w:rPr>
          <w:szCs w:val="23"/>
        </w:rPr>
        <w:t xml:space="preserve">no. </w:t>
      </w:r>
      <w:r w:rsidRPr="00265D40">
        <w:rPr>
          <w:szCs w:val="23"/>
        </w:rPr>
        <w:t xml:space="preserve">1237 </w:t>
      </w:r>
      <w:r w:rsidR="00FA4F82">
        <w:rPr>
          <w:szCs w:val="23"/>
        </w:rPr>
        <w:t>’</w:t>
      </w:r>
      <w:r w:rsidRPr="00FA4F82">
        <w:rPr>
          <w:szCs w:val="23"/>
        </w:rPr>
        <w:t>Cardiac MRI for myocardial stress perfusion and viability imaging in patients with known or suspected coronary artery disease</w:t>
      </w:r>
      <w:r w:rsidR="00FA4F82">
        <w:rPr>
          <w:szCs w:val="23"/>
        </w:rPr>
        <w:t>’</w:t>
      </w:r>
      <w:r w:rsidRPr="00265D40">
        <w:rPr>
          <w:szCs w:val="23"/>
        </w:rPr>
        <w:t xml:space="preserve"> </w:t>
      </w:r>
      <w:r w:rsidR="00992437">
        <w:rPr>
          <w:szCs w:val="23"/>
        </w:rPr>
        <w:fldChar w:fldCharType="begin"/>
      </w:r>
      <w:r w:rsidR="00992437">
        <w:rPr>
          <w:szCs w:val="23"/>
        </w:rPr>
        <w:instrText xml:space="preserve"> ADDIN EN.CITE &lt;EndNote&gt;&lt;Cite&gt;&lt;Author&gt;Morona&lt;/Author&gt;&lt;Year&gt;unpublished&lt;/Year&gt;&lt;RecNum&gt;120&lt;/RecNum&gt;&lt;DisplayText&gt;(Morona et al. unpublished)&lt;/DisplayText&gt;&lt;record&gt;&lt;rec-number&gt;120&lt;/rec-number&gt;&lt;foreign-keys&gt;&lt;key app="EN" db-id="pfxxvref0t0a5de2vwnv2fwkz0p9v0r2fw0t" timestamp="1458690408"&gt;120&lt;/key&gt;&lt;/foreign-keys&gt;&lt;ref-type name="Report"&gt;27&lt;/ref-type&gt;&lt;contributors&gt;&lt;authors&gt;&lt;author&gt;Morona, JK&lt;/author&gt;&lt;author&gt;Kessels, S&lt;/author&gt;&lt;author&gt;Vogan, A&lt;/author&gt;&lt;author&gt;Mittal, R&lt;/author&gt;&lt;author&gt;Newton, S&lt;/author&gt;&lt;author&gt;Parsons, J&lt;/author&gt;&lt;author&gt;Milverton, J&lt;/author&gt;&lt;author&gt;Ellery, B&lt;/author&gt;&lt;author&gt;Schubert, C&lt;/author&gt;&lt;author&gt;Merlin, T.&lt;/author&gt;&lt;/authors&gt;&lt;/contributors&gt;&lt;titles&gt;&lt;title&gt;Cardiac MRI for myocardial stress perfusion and viability imaging in patients with known or suspected coronary artery disease&lt;/title&gt;&lt;secondary-title&gt;MSAC Application Number 1237&lt;/secondary-title&gt;&lt;/titles&gt;&lt;dates&gt;&lt;year&gt;unpublished&lt;/year&gt;&lt;/dates&gt;&lt;pub-location&gt;Canberra&lt;/pub-location&gt;&lt;publisher&gt;Commonwealth of Australia&lt;/publisher&gt;&lt;urls&gt;&lt;/urls&gt;&lt;/record&gt;&lt;/Cite&gt;&lt;/EndNote&gt;</w:instrText>
      </w:r>
      <w:r w:rsidR="00992437">
        <w:rPr>
          <w:szCs w:val="23"/>
        </w:rPr>
        <w:fldChar w:fldCharType="separate"/>
      </w:r>
      <w:r w:rsidR="00992437">
        <w:rPr>
          <w:noProof/>
          <w:szCs w:val="23"/>
        </w:rPr>
        <w:t>(</w:t>
      </w:r>
      <w:hyperlink w:anchor="_ENREF_87" w:tooltip="Morona, unpublished #120" w:history="1">
        <w:r w:rsidR="00B906E9">
          <w:rPr>
            <w:noProof/>
            <w:szCs w:val="23"/>
          </w:rPr>
          <w:t>Morona et al. unpublished</w:t>
        </w:r>
      </w:hyperlink>
      <w:r w:rsidR="00992437">
        <w:rPr>
          <w:noProof/>
          <w:szCs w:val="23"/>
        </w:rPr>
        <w:t>)</w:t>
      </w:r>
      <w:r w:rsidR="00992437">
        <w:rPr>
          <w:szCs w:val="23"/>
        </w:rPr>
        <w:fldChar w:fldCharType="end"/>
      </w:r>
      <w:r>
        <w:rPr>
          <w:szCs w:val="23"/>
        </w:rPr>
        <w:t xml:space="preserve">. </w:t>
      </w:r>
    </w:p>
    <w:p w14:paraId="024E5DF9" w14:textId="36AE2842" w:rsidR="006559F3" w:rsidRDefault="006559F3" w:rsidP="00161B88">
      <w:pPr>
        <w:pStyle w:val="Heading3"/>
      </w:pPr>
      <w:bookmarkStart w:id="499" w:name="_Toc451501365"/>
      <w:r>
        <w:t>Overall summary of benefit in patients with LV dysfunction</w:t>
      </w:r>
      <w:bookmarkEnd w:id="499"/>
    </w:p>
    <w:p w14:paraId="1377BB41" w14:textId="34C8DFE4" w:rsidR="006559F3" w:rsidRDefault="006559F3" w:rsidP="004C79C1">
      <w:pPr>
        <w:spacing w:after="120" w:line="240" w:lineRule="auto"/>
        <w:jc w:val="both"/>
      </w:pPr>
      <w:r>
        <w:t>Based on a linked evidence approach i</w:t>
      </w:r>
      <w:r w:rsidRPr="00265D40">
        <w:t xml:space="preserve">n patients with </w:t>
      </w:r>
      <w:r>
        <w:t>a low risk of CAD, the addition of CMR to further blood test</w:t>
      </w:r>
      <w:r w:rsidR="003C4818">
        <w:t>ing</w:t>
      </w:r>
      <w:r>
        <w:t xml:space="preserve"> is safe and effective for the determination of aetiology of NIDCM, benefiting a small number of patients with rare aetiologies and ruling out the need for familial screening in those cases. It also has the capacity to stratify a significant number of patients to different treatments than they would have receive</w:t>
      </w:r>
      <w:r w:rsidR="003C4818">
        <w:t>d</w:t>
      </w:r>
      <w:r>
        <w:t xml:space="preserve"> with current tests alone. However, the effectiveness of these changes </w:t>
      </w:r>
      <w:r w:rsidR="00DA6BB9">
        <w:t>is</w:t>
      </w:r>
      <w:r>
        <w:t xml:space="preserve"> unclear (see </w:t>
      </w:r>
      <w:r w:rsidR="008F5C6B">
        <w:fldChar w:fldCharType="begin"/>
      </w:r>
      <w:r w:rsidR="008F5C6B">
        <w:instrText xml:space="preserve"> REF _Ref451411094 \h </w:instrText>
      </w:r>
      <w:r w:rsidR="008F5C6B">
        <w:fldChar w:fldCharType="separate"/>
      </w:r>
      <w:r w:rsidR="008F5C6B">
        <w:t xml:space="preserve">Table </w:t>
      </w:r>
      <w:r w:rsidR="008F5C6B">
        <w:rPr>
          <w:noProof/>
        </w:rPr>
        <w:t>31</w:t>
      </w:r>
      <w:r w:rsidR="008F5C6B">
        <w:fldChar w:fldCharType="end"/>
      </w:r>
      <w:r>
        <w:t xml:space="preserve">). </w:t>
      </w:r>
    </w:p>
    <w:p w14:paraId="73575D04" w14:textId="033DCBEE" w:rsidR="006559F3" w:rsidRPr="00254898" w:rsidRDefault="006F0C4E" w:rsidP="004C79C1">
      <w:pPr>
        <w:pStyle w:val="Caption"/>
      </w:pPr>
      <w:bookmarkStart w:id="500" w:name="_Ref451411094"/>
      <w:bookmarkStart w:id="501" w:name="_Toc324410199"/>
      <w:bookmarkStart w:id="502" w:name="_Toc451435358"/>
      <w:r>
        <w:t xml:space="preserve">Table </w:t>
      </w:r>
      <w:fldSimple w:instr=" SEQ Table \* ARABIC ">
        <w:r w:rsidR="00050936">
          <w:rPr>
            <w:noProof/>
          </w:rPr>
          <w:t>31</w:t>
        </w:r>
      </w:fldSimple>
      <w:bookmarkEnd w:id="500"/>
      <w:r w:rsidR="006559F3" w:rsidRPr="00254898">
        <w:tab/>
        <w:t>Balance of clinical benefits and harms of CMR + further test</w:t>
      </w:r>
      <w:r w:rsidR="00022C4E" w:rsidRPr="00254898">
        <w:t>ing</w:t>
      </w:r>
      <w:r w:rsidR="006559F3" w:rsidRPr="00254898">
        <w:t>, relative to further test</w:t>
      </w:r>
      <w:r w:rsidR="00022C4E" w:rsidRPr="00254898">
        <w:t>ing</w:t>
      </w:r>
      <w:r w:rsidR="006559F3" w:rsidRPr="00254898">
        <w:t xml:space="preserve"> in patients with a low risk of CAD</w:t>
      </w:r>
      <w:bookmarkEnd w:id="501"/>
      <w:bookmarkEnd w:id="502"/>
    </w:p>
    <w:tbl>
      <w:tblPr>
        <w:tblStyle w:val="TableGrid"/>
        <w:tblW w:w="4942" w:type="pct"/>
        <w:tblInd w:w="108" w:type="dxa"/>
        <w:tblLayout w:type="fixed"/>
        <w:tblLook w:val="04A0" w:firstRow="1" w:lastRow="0" w:firstColumn="1" w:lastColumn="0" w:noHBand="0" w:noVBand="1"/>
        <w:tblDescription w:val="Balance of clinical benefits and harms of CMR, relative to stress ECHO, SPECT and CTCA"/>
      </w:tblPr>
      <w:tblGrid>
        <w:gridCol w:w="1218"/>
        <w:gridCol w:w="1191"/>
        <w:gridCol w:w="1703"/>
        <w:gridCol w:w="1984"/>
        <w:gridCol w:w="2065"/>
        <w:gridCol w:w="974"/>
      </w:tblGrid>
      <w:tr w:rsidR="006559F3" w:rsidRPr="001B2E40" w14:paraId="1C42BD3C" w14:textId="77777777" w:rsidTr="00FB0B97">
        <w:trPr>
          <w:trHeight w:val="60"/>
          <w:tblHeader/>
        </w:trPr>
        <w:tc>
          <w:tcPr>
            <w:tcW w:w="667" w:type="pct"/>
          </w:tcPr>
          <w:p w14:paraId="79986054" w14:textId="77777777" w:rsidR="006559F3" w:rsidRPr="001B2E40" w:rsidRDefault="006559F3" w:rsidP="004C79C1">
            <w:pPr>
              <w:pStyle w:val="TableHeading"/>
              <w:spacing w:before="0" w:after="120"/>
              <w:ind w:left="4" w:right="-80" w:firstLine="0"/>
            </w:pPr>
            <w:r w:rsidRPr="001B2E40">
              <w:t>Outcomes</w:t>
            </w:r>
            <w:r>
              <w:t xml:space="preserve"> </w:t>
            </w:r>
          </w:p>
        </w:tc>
        <w:tc>
          <w:tcPr>
            <w:tcW w:w="652" w:type="pct"/>
          </w:tcPr>
          <w:p w14:paraId="65B47CB6" w14:textId="77777777" w:rsidR="006559F3" w:rsidRPr="001B2E40" w:rsidRDefault="006559F3" w:rsidP="004C79C1">
            <w:pPr>
              <w:pStyle w:val="TableHeading"/>
              <w:spacing w:before="0" w:after="120"/>
              <w:ind w:left="4" w:firstLine="0"/>
            </w:pPr>
            <w:r>
              <w:t>Participants (studies)</w:t>
            </w:r>
          </w:p>
        </w:tc>
        <w:tc>
          <w:tcPr>
            <w:tcW w:w="932" w:type="pct"/>
          </w:tcPr>
          <w:p w14:paraId="5821383E" w14:textId="77777777" w:rsidR="006559F3" w:rsidRPr="001B2E40" w:rsidRDefault="006559F3" w:rsidP="004C79C1">
            <w:pPr>
              <w:pStyle w:val="TableHeading"/>
              <w:spacing w:before="0" w:after="120"/>
              <w:ind w:left="4" w:firstLine="0"/>
            </w:pPr>
            <w:r w:rsidRPr="001B2E40">
              <w:t>Quality of evidence</w:t>
            </w:r>
          </w:p>
        </w:tc>
        <w:tc>
          <w:tcPr>
            <w:tcW w:w="1086" w:type="pct"/>
          </w:tcPr>
          <w:p w14:paraId="0D779278" w14:textId="77777777" w:rsidR="006559F3" w:rsidRPr="001B2E40" w:rsidRDefault="006559F3" w:rsidP="004C79C1">
            <w:pPr>
              <w:pStyle w:val="TableHeading"/>
              <w:spacing w:before="0" w:after="120"/>
              <w:ind w:left="4" w:firstLine="0"/>
            </w:pPr>
            <w:r w:rsidRPr="001B2E40">
              <w:t>Results</w:t>
            </w:r>
          </w:p>
        </w:tc>
        <w:tc>
          <w:tcPr>
            <w:tcW w:w="1130" w:type="pct"/>
          </w:tcPr>
          <w:p w14:paraId="3F3AC74E" w14:textId="77777777" w:rsidR="006559F3" w:rsidRPr="001B2E40" w:rsidRDefault="006559F3" w:rsidP="004C79C1">
            <w:pPr>
              <w:pStyle w:val="TableHeading"/>
              <w:spacing w:before="0" w:after="120"/>
              <w:ind w:left="4" w:firstLine="0"/>
            </w:pPr>
            <w:r w:rsidRPr="001B2E40">
              <w:t>Interpretation</w:t>
            </w:r>
          </w:p>
        </w:tc>
        <w:tc>
          <w:tcPr>
            <w:tcW w:w="533" w:type="pct"/>
          </w:tcPr>
          <w:p w14:paraId="4CFCE0A3" w14:textId="77777777" w:rsidR="006559F3" w:rsidRPr="001B2E40" w:rsidRDefault="006559F3" w:rsidP="004C79C1">
            <w:pPr>
              <w:pStyle w:val="TableHeading"/>
              <w:spacing w:before="0" w:after="120"/>
              <w:ind w:left="4" w:firstLine="0"/>
            </w:pPr>
            <w:r w:rsidRPr="001B2E40">
              <w:t>GRADE</w:t>
            </w:r>
          </w:p>
        </w:tc>
      </w:tr>
      <w:tr w:rsidR="006559F3" w:rsidRPr="00F12AEE" w14:paraId="30ED6BFC" w14:textId="77777777" w:rsidTr="00FB0B97">
        <w:tc>
          <w:tcPr>
            <w:tcW w:w="667" w:type="pct"/>
          </w:tcPr>
          <w:p w14:paraId="47626F7A"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LGE-CMR for determining prognosis in those with NIDCM</w:t>
            </w:r>
          </w:p>
        </w:tc>
        <w:tc>
          <w:tcPr>
            <w:tcW w:w="652" w:type="pct"/>
          </w:tcPr>
          <w:p w14:paraId="265B7C81" w14:textId="759A5CAA"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K=30</w:t>
            </w:r>
          </w:p>
        </w:tc>
        <w:tc>
          <w:tcPr>
            <w:tcW w:w="932" w:type="pct"/>
          </w:tcPr>
          <w:p w14:paraId="1EC42AE5" w14:textId="019B7A89"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Risk of bias: </w:t>
            </w:r>
            <w:r w:rsidR="00B3321F">
              <w:rPr>
                <w:rFonts w:ascii="Arial Narrow" w:hAnsi="Arial Narrow" w:cs="Arial"/>
                <w:sz w:val="20"/>
                <w:szCs w:val="20"/>
              </w:rPr>
              <w:t>–</w:t>
            </w:r>
            <w:r>
              <w:rPr>
                <w:rFonts w:ascii="Arial Narrow" w:hAnsi="Arial Narrow" w:cs="Arial"/>
                <w:sz w:val="20"/>
                <w:szCs w:val="20"/>
              </w:rPr>
              <w:t>1</w:t>
            </w:r>
          </w:p>
          <w:p w14:paraId="66AE5859"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Inconsistency: 0</w:t>
            </w:r>
          </w:p>
          <w:p w14:paraId="49804146"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5854E655"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4C1524CB"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62315862" w14:textId="77777777" w:rsidR="006559F3" w:rsidRDefault="006559F3" w:rsidP="004C79C1">
            <w:pPr>
              <w:pStyle w:val="Tabletext1"/>
              <w:spacing w:before="0" w:after="120"/>
              <w:ind w:right="-57"/>
            </w:pPr>
            <w:r>
              <w:t xml:space="preserve">All-cause mortality RR = 2.47 (95% 1.63, 3.74) </w:t>
            </w:r>
          </w:p>
          <w:p w14:paraId="1A18A33C" w14:textId="77777777" w:rsidR="006559F3" w:rsidRDefault="006559F3" w:rsidP="004C79C1">
            <w:pPr>
              <w:pStyle w:val="Tabletext1"/>
              <w:spacing w:before="0" w:after="120"/>
              <w:ind w:right="-57"/>
            </w:pPr>
            <w:r>
              <w:t>Cardiac deaths RR = 3.21 (95%CI 1.79, 5.76)</w:t>
            </w:r>
          </w:p>
          <w:p w14:paraId="3E3B0366" w14:textId="77777777" w:rsidR="006559F3" w:rsidRDefault="006559F3" w:rsidP="004C79C1">
            <w:pPr>
              <w:pStyle w:val="Tabletext1"/>
              <w:spacing w:before="0" w:after="120"/>
              <w:ind w:left="4" w:right="-57"/>
              <w:rPr>
                <w:rFonts w:cs="Arial"/>
              </w:rPr>
            </w:pPr>
            <w:r>
              <w:t>Any cardiac event RR = 3.71 (95%CI 2.29, 6.04)</w:t>
            </w:r>
          </w:p>
        </w:tc>
        <w:tc>
          <w:tcPr>
            <w:tcW w:w="1130" w:type="pct"/>
          </w:tcPr>
          <w:p w14:paraId="78FE2848"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Those with LGE on CMR have worse cardiac outcomes than those without LGE, and are more likely to have an ICD implanted, and more likely to have an appropriate ICD shock.</w:t>
            </w:r>
          </w:p>
        </w:tc>
        <w:tc>
          <w:tcPr>
            <w:tcW w:w="533" w:type="pct"/>
          </w:tcPr>
          <w:p w14:paraId="495C5641" w14:textId="77777777" w:rsidR="006559F3" w:rsidRDefault="006559F3"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7665DE71" w14:textId="77777777"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to Moderate</w:t>
            </w:r>
          </w:p>
          <w:p w14:paraId="3D13854B" w14:textId="77777777" w:rsidR="006559F3" w:rsidRPr="00305C0D"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F12AEE" w14:paraId="2F84273B" w14:textId="77777777" w:rsidTr="00E86AA4">
        <w:tc>
          <w:tcPr>
            <w:tcW w:w="667" w:type="pct"/>
          </w:tcPr>
          <w:p w14:paraId="1F545EF1"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Effect of CMR on device implantation and surgery for NIDCM</w:t>
            </w:r>
          </w:p>
        </w:tc>
        <w:tc>
          <w:tcPr>
            <w:tcW w:w="652" w:type="pct"/>
          </w:tcPr>
          <w:p w14:paraId="02CB0677" w14:textId="65C2311C"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N=488</w:t>
            </w:r>
          </w:p>
          <w:p w14:paraId="41C3BE93" w14:textId="5B704DDC"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K=1</w:t>
            </w:r>
          </w:p>
        </w:tc>
        <w:tc>
          <w:tcPr>
            <w:tcW w:w="932" w:type="pct"/>
          </w:tcPr>
          <w:p w14:paraId="0D72E1DA"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0B4F2783"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Inconsistency:</w:t>
            </w:r>
            <w:r>
              <w:rPr>
                <w:rFonts w:ascii="Arial Narrow" w:hAnsi="Arial Narrow" w:cs="Arial"/>
                <w:sz w:val="20"/>
                <w:szCs w:val="20"/>
              </w:rPr>
              <w:t xml:space="preserve"> N/A</w:t>
            </w:r>
          </w:p>
          <w:p w14:paraId="76AB92B8"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2F289DA6"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4434A612"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shd w:val="clear" w:color="auto" w:fill="auto"/>
          </w:tcPr>
          <w:p w14:paraId="32D3E64B" w14:textId="77777777" w:rsidR="006559F3" w:rsidRDefault="006559F3" w:rsidP="004C79C1">
            <w:pPr>
              <w:pStyle w:val="Tabletext1"/>
              <w:spacing w:before="0" w:after="120"/>
              <w:ind w:left="4" w:right="-57"/>
              <w:rPr>
                <w:rFonts w:cs="Arial"/>
              </w:rPr>
            </w:pPr>
            <w:r>
              <w:rPr>
                <w:rFonts w:cs="Arial"/>
              </w:rPr>
              <w:t>In those scheduled for devices, 21/72 (29.2%) avoided after CMR</w:t>
            </w:r>
          </w:p>
          <w:p w14:paraId="0636985A" w14:textId="77777777" w:rsidR="006559F3" w:rsidRDefault="006559F3" w:rsidP="004C79C1">
            <w:pPr>
              <w:pStyle w:val="Tabletext1"/>
              <w:spacing w:before="0" w:after="120"/>
              <w:ind w:left="4" w:right="-57"/>
              <w:rPr>
                <w:rFonts w:cs="Arial"/>
              </w:rPr>
            </w:pPr>
            <w:r>
              <w:rPr>
                <w:rFonts w:cs="Arial"/>
              </w:rPr>
              <w:t>In those not scheduled for devices, 20/375 (5.3%) had one implanted after CMR</w:t>
            </w:r>
          </w:p>
          <w:p w14:paraId="777F64A5" w14:textId="7BD9F4F5" w:rsidR="006559F3" w:rsidRDefault="006559F3" w:rsidP="004C79C1">
            <w:pPr>
              <w:pStyle w:val="Tabletext1"/>
              <w:spacing w:before="0" w:after="120"/>
              <w:ind w:left="4" w:right="-57"/>
              <w:rPr>
                <w:rFonts w:cs="Arial"/>
              </w:rPr>
            </w:pPr>
            <w:r>
              <w:rPr>
                <w:rFonts w:cs="Arial"/>
              </w:rPr>
              <w:t xml:space="preserve">In those scheduled for surgery, 13/20 (65%) avoided </w:t>
            </w:r>
            <w:r w:rsidR="00855A01">
              <w:rPr>
                <w:rFonts w:cs="Arial"/>
              </w:rPr>
              <w:t xml:space="preserve">it </w:t>
            </w:r>
            <w:r>
              <w:rPr>
                <w:rFonts w:cs="Arial"/>
              </w:rPr>
              <w:t>after CMR</w:t>
            </w:r>
          </w:p>
          <w:p w14:paraId="6D4517BB" w14:textId="77777777" w:rsidR="006559F3" w:rsidRDefault="006559F3" w:rsidP="004C79C1">
            <w:pPr>
              <w:pStyle w:val="Tabletext1"/>
              <w:spacing w:before="0" w:after="120"/>
              <w:ind w:left="4" w:right="-57"/>
              <w:rPr>
                <w:rFonts w:cs="Arial"/>
              </w:rPr>
            </w:pPr>
            <w:r>
              <w:rPr>
                <w:rFonts w:cs="Arial"/>
              </w:rPr>
              <w:t>In those not scheduled for surgery, 7/427 (1.6%) underwent surgery after CMR</w:t>
            </w:r>
          </w:p>
        </w:tc>
        <w:tc>
          <w:tcPr>
            <w:tcW w:w="1130" w:type="pct"/>
          </w:tcPr>
          <w:p w14:paraId="0EAC62A3" w14:textId="68444D21"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CMR is effective at reducing the proportion of patients who receive devices and surgery for treatment of </w:t>
            </w:r>
            <w:r w:rsidR="00855A01">
              <w:rPr>
                <w:rFonts w:ascii="Arial Narrow" w:hAnsi="Arial Narrow" w:cs="Arial"/>
                <w:sz w:val="20"/>
                <w:szCs w:val="20"/>
              </w:rPr>
              <w:t>CM</w:t>
            </w:r>
            <w:r>
              <w:rPr>
                <w:rFonts w:ascii="Arial Narrow" w:hAnsi="Arial Narrow" w:cs="Arial"/>
                <w:sz w:val="20"/>
                <w:szCs w:val="20"/>
              </w:rPr>
              <w:t xml:space="preserve">, compared </w:t>
            </w:r>
            <w:r w:rsidR="00855A01">
              <w:rPr>
                <w:rFonts w:ascii="Arial Narrow" w:hAnsi="Arial Narrow" w:cs="Arial"/>
                <w:sz w:val="20"/>
                <w:szCs w:val="20"/>
              </w:rPr>
              <w:t xml:space="preserve">with </w:t>
            </w:r>
            <w:r>
              <w:rPr>
                <w:rFonts w:ascii="Arial Narrow" w:hAnsi="Arial Narrow" w:cs="Arial"/>
                <w:sz w:val="20"/>
                <w:szCs w:val="20"/>
              </w:rPr>
              <w:t>what is done currently in Australia. Only a small proportion of patients who would otherwise not receive devices or surgery have their treatment plan amended by CMR.</w:t>
            </w:r>
          </w:p>
        </w:tc>
        <w:tc>
          <w:tcPr>
            <w:tcW w:w="533" w:type="pct"/>
          </w:tcPr>
          <w:p w14:paraId="0650CAE1" w14:textId="77777777" w:rsidR="006559F3" w:rsidRPr="00305C0D"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6483CE09" w14:textId="77777777" w:rsidR="006559F3" w:rsidRPr="00305C0D" w:rsidRDefault="006559F3" w:rsidP="004C79C1">
            <w:pPr>
              <w:spacing w:after="120" w:line="240" w:lineRule="auto"/>
              <w:ind w:left="4" w:right="-113"/>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F12AEE" w14:paraId="188E2D3A" w14:textId="77777777" w:rsidTr="00FB0B97">
        <w:tc>
          <w:tcPr>
            <w:tcW w:w="667" w:type="pct"/>
          </w:tcPr>
          <w:p w14:paraId="7BE1D4DA"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sidRPr="00F12AEE">
              <w:rPr>
                <w:rFonts w:ascii="Arial Narrow" w:hAnsi="Arial Narrow" w:cs="Arial"/>
                <w:sz w:val="20"/>
                <w:szCs w:val="20"/>
              </w:rPr>
              <w:t>Diagnostic yield</w:t>
            </w:r>
            <w:r>
              <w:rPr>
                <w:rFonts w:ascii="Arial Narrow" w:hAnsi="Arial Narrow" w:cs="Arial"/>
                <w:sz w:val="20"/>
                <w:szCs w:val="20"/>
              </w:rPr>
              <w:t xml:space="preserve"> of CMR </w:t>
            </w:r>
            <w:r>
              <w:rPr>
                <w:rFonts w:ascii="Arial Narrow" w:hAnsi="Arial Narrow" w:cs="Arial"/>
                <w:sz w:val="20"/>
                <w:szCs w:val="20"/>
              </w:rPr>
              <w:lastRenderedPageBreak/>
              <w:t>in those classified as having idiopathic DCM</w:t>
            </w:r>
          </w:p>
        </w:tc>
        <w:tc>
          <w:tcPr>
            <w:tcW w:w="652" w:type="pct"/>
          </w:tcPr>
          <w:p w14:paraId="21AFA7E8" w14:textId="7E448AAF"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lastRenderedPageBreak/>
              <w:t>N=102</w:t>
            </w:r>
          </w:p>
          <w:p w14:paraId="6AC93ABB" w14:textId="2B429971"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lastRenderedPageBreak/>
              <w:t>K=1</w:t>
            </w:r>
          </w:p>
        </w:tc>
        <w:tc>
          <w:tcPr>
            <w:tcW w:w="932" w:type="pct"/>
          </w:tcPr>
          <w:p w14:paraId="44DF14C4" w14:textId="182BD040"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 xml:space="preserve">Risk of bias: </w:t>
            </w:r>
            <w:r w:rsidR="00022C4E">
              <w:rPr>
                <w:rFonts w:ascii="Arial Narrow" w:hAnsi="Arial Narrow" w:cs="Arial"/>
                <w:sz w:val="20"/>
                <w:szCs w:val="20"/>
              </w:rPr>
              <w:t>–</w:t>
            </w:r>
            <w:r>
              <w:rPr>
                <w:rFonts w:ascii="Arial Narrow" w:hAnsi="Arial Narrow" w:cs="Arial"/>
                <w:sz w:val="20"/>
                <w:szCs w:val="20"/>
              </w:rPr>
              <w:t>1</w:t>
            </w:r>
          </w:p>
          <w:p w14:paraId="3D2C6E5B"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lastRenderedPageBreak/>
              <w:t>Inconsistency:</w:t>
            </w:r>
            <w:r>
              <w:rPr>
                <w:rFonts w:ascii="Arial Narrow" w:hAnsi="Arial Narrow" w:cs="Arial"/>
                <w:sz w:val="20"/>
                <w:szCs w:val="20"/>
              </w:rPr>
              <w:t xml:space="preserve"> N/A</w:t>
            </w:r>
          </w:p>
          <w:p w14:paraId="6C927A03" w14:textId="7B7317DA"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 xml:space="preserve">Indirectness: </w:t>
            </w:r>
            <w:r w:rsidR="0070684A">
              <w:rPr>
                <w:rFonts w:ascii="Arial Narrow" w:hAnsi="Arial Narrow" w:cs="Arial"/>
                <w:sz w:val="20"/>
                <w:szCs w:val="20"/>
              </w:rPr>
              <w:t>–</w:t>
            </w:r>
            <w:r w:rsidRPr="00F12AEE">
              <w:rPr>
                <w:rFonts w:ascii="Arial Narrow" w:hAnsi="Arial Narrow" w:cs="Arial"/>
                <w:sz w:val="20"/>
                <w:szCs w:val="20"/>
              </w:rPr>
              <w:t>1</w:t>
            </w:r>
          </w:p>
          <w:p w14:paraId="4A5FC6F1" w14:textId="6EB99CA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Imprecision: </w:t>
            </w:r>
            <w:r w:rsidR="0070684A">
              <w:rPr>
                <w:rFonts w:ascii="Arial Narrow" w:hAnsi="Arial Narrow" w:cs="Arial"/>
                <w:sz w:val="20"/>
                <w:szCs w:val="20"/>
              </w:rPr>
              <w:t>–</w:t>
            </w:r>
            <w:r>
              <w:rPr>
                <w:rFonts w:ascii="Arial Narrow" w:hAnsi="Arial Narrow" w:cs="Arial"/>
                <w:sz w:val="20"/>
                <w:szCs w:val="20"/>
              </w:rPr>
              <w:t>1</w:t>
            </w:r>
          </w:p>
          <w:p w14:paraId="575FDD26"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13B3CD3B" w14:textId="77777777" w:rsidR="006559F3" w:rsidRDefault="006559F3" w:rsidP="004C79C1">
            <w:pPr>
              <w:pStyle w:val="Tabletext1"/>
              <w:spacing w:before="0" w:after="120"/>
              <w:ind w:left="4" w:right="-57"/>
              <w:rPr>
                <w:rFonts w:cs="Arial"/>
              </w:rPr>
            </w:pPr>
            <w:r>
              <w:rPr>
                <w:rFonts w:cs="Arial"/>
              </w:rPr>
              <w:lastRenderedPageBreak/>
              <w:t xml:space="preserve">CMR identified aetiologies in 4/102 </w:t>
            </w:r>
            <w:r>
              <w:rPr>
                <w:rFonts w:cs="Arial"/>
              </w:rPr>
              <w:lastRenderedPageBreak/>
              <w:t>patients</w:t>
            </w:r>
          </w:p>
          <w:p w14:paraId="73D4FC6A" w14:textId="77777777" w:rsidR="006559F3" w:rsidRDefault="006559F3" w:rsidP="004C79C1">
            <w:pPr>
              <w:pStyle w:val="Tabletext1"/>
              <w:spacing w:before="0" w:after="120"/>
              <w:ind w:left="4" w:right="-57"/>
              <w:rPr>
                <w:rFonts w:cs="Arial"/>
              </w:rPr>
            </w:pPr>
            <w:r>
              <w:rPr>
                <w:rFonts w:cs="Arial"/>
              </w:rPr>
              <w:t>3/4 aetiologies not identified by any other further test</w:t>
            </w:r>
          </w:p>
          <w:p w14:paraId="4CE46040" w14:textId="77777777" w:rsidR="006559F3" w:rsidRPr="00F12AEE" w:rsidRDefault="006559F3" w:rsidP="004C79C1">
            <w:pPr>
              <w:pStyle w:val="Tabletext1"/>
              <w:spacing w:before="0" w:after="120"/>
              <w:ind w:left="4" w:right="-57"/>
              <w:rPr>
                <w:rFonts w:cs="Arial"/>
              </w:rPr>
            </w:pPr>
            <w:r>
              <w:rPr>
                <w:rFonts w:cs="Arial"/>
              </w:rPr>
              <w:t>1/4 also identified by EMB</w:t>
            </w:r>
          </w:p>
        </w:tc>
        <w:tc>
          <w:tcPr>
            <w:tcW w:w="1130" w:type="pct"/>
          </w:tcPr>
          <w:p w14:paraId="704D46E5" w14:textId="77777777" w:rsidR="006559F3" w:rsidRDefault="006559F3" w:rsidP="004C79C1">
            <w:pPr>
              <w:spacing w:after="120" w:line="240" w:lineRule="auto"/>
              <w:ind w:left="4" w:right="-57"/>
              <w:rPr>
                <w:rFonts w:ascii="Arial Narrow" w:hAnsi="Arial Narrow" w:cs="Arial"/>
                <w:sz w:val="20"/>
                <w:szCs w:val="20"/>
              </w:rPr>
            </w:pPr>
            <w:r w:rsidRPr="00F12AEE">
              <w:rPr>
                <w:rFonts w:ascii="Arial Narrow" w:hAnsi="Arial Narrow" w:cs="Arial"/>
                <w:sz w:val="20"/>
                <w:szCs w:val="20"/>
              </w:rPr>
              <w:lastRenderedPageBreak/>
              <w:t xml:space="preserve">CMR </w:t>
            </w:r>
            <w:r>
              <w:rPr>
                <w:rFonts w:ascii="Arial Narrow" w:hAnsi="Arial Narrow" w:cs="Arial"/>
                <w:sz w:val="20"/>
                <w:szCs w:val="20"/>
              </w:rPr>
              <w:t xml:space="preserve">provides unique information, identifying a </w:t>
            </w:r>
            <w:r>
              <w:rPr>
                <w:rFonts w:ascii="Arial Narrow" w:hAnsi="Arial Narrow" w:cs="Arial"/>
                <w:sz w:val="20"/>
                <w:szCs w:val="20"/>
              </w:rPr>
              <w:lastRenderedPageBreak/>
              <w:t xml:space="preserve">small number of cases who would otherwise be classified as having idiopathic NIDCM. </w:t>
            </w:r>
          </w:p>
          <w:p w14:paraId="5FA5C29D"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None of the other tests could be replaced by CMR, </w:t>
            </w:r>
            <w:proofErr w:type="gramStart"/>
            <w:r>
              <w:rPr>
                <w:rFonts w:ascii="Arial Narrow" w:hAnsi="Arial Narrow" w:cs="Arial"/>
                <w:sz w:val="20"/>
                <w:szCs w:val="20"/>
              </w:rPr>
              <w:t>as each reported unique aetiologies</w:t>
            </w:r>
            <w:proofErr w:type="gramEnd"/>
            <w:r>
              <w:rPr>
                <w:rFonts w:ascii="Arial Narrow" w:hAnsi="Arial Narrow" w:cs="Arial"/>
                <w:sz w:val="20"/>
                <w:szCs w:val="20"/>
              </w:rPr>
              <w:t xml:space="preserve">. </w:t>
            </w:r>
          </w:p>
        </w:tc>
        <w:tc>
          <w:tcPr>
            <w:tcW w:w="533" w:type="pct"/>
          </w:tcPr>
          <w:p w14:paraId="7527F1F3" w14:textId="77777777" w:rsidR="006559F3" w:rsidRPr="00305C0D" w:rsidRDefault="006559F3"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lastRenderedPageBreak/>
              <w:t>Very low</w:t>
            </w:r>
          </w:p>
          <w:p w14:paraId="1879ED38" w14:textId="77777777" w:rsidR="006559F3" w:rsidRPr="00F12AEE"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lastRenderedPageBreak/>
              <w:t>⊕</w:t>
            </w:r>
            <w:r w:rsidRPr="001B2E40">
              <w:rPr>
                <w:rFonts w:ascii="Cambria Math" w:hAnsi="Cambria Math" w:cs="Cambria Math"/>
                <w:color w:val="FF0000"/>
                <w:sz w:val="20"/>
                <w:szCs w:val="20"/>
              </w:rPr>
              <w:t>⨀⨀⨀</w:t>
            </w:r>
          </w:p>
        </w:tc>
      </w:tr>
      <w:tr w:rsidR="006559F3" w:rsidRPr="00F12AEE" w14:paraId="1D819F0A" w14:textId="77777777" w:rsidTr="00FB0B97">
        <w:tc>
          <w:tcPr>
            <w:tcW w:w="667" w:type="pct"/>
          </w:tcPr>
          <w:p w14:paraId="2169C02C"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lastRenderedPageBreak/>
              <w:t>Impact of CMR on management of rare aetiologies</w:t>
            </w:r>
          </w:p>
        </w:tc>
        <w:tc>
          <w:tcPr>
            <w:tcW w:w="652" w:type="pct"/>
          </w:tcPr>
          <w:p w14:paraId="70FE1101" w14:textId="2E56AE50"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N=4</w:t>
            </w:r>
          </w:p>
          <w:p w14:paraId="5DDF35F8" w14:textId="022AD6DC"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K=1</w:t>
            </w:r>
          </w:p>
        </w:tc>
        <w:tc>
          <w:tcPr>
            <w:tcW w:w="932" w:type="pct"/>
          </w:tcPr>
          <w:p w14:paraId="5726466E" w14:textId="18590121"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Risk of bias: </w:t>
            </w:r>
            <w:r w:rsidR="0070684A">
              <w:rPr>
                <w:rFonts w:ascii="Arial Narrow" w:hAnsi="Arial Narrow" w:cs="Arial"/>
                <w:sz w:val="20"/>
                <w:szCs w:val="20"/>
              </w:rPr>
              <w:t>–</w:t>
            </w:r>
            <w:r>
              <w:rPr>
                <w:rFonts w:ascii="Arial Narrow" w:hAnsi="Arial Narrow" w:cs="Arial"/>
                <w:sz w:val="20"/>
                <w:szCs w:val="20"/>
              </w:rPr>
              <w:t>1</w:t>
            </w:r>
          </w:p>
          <w:p w14:paraId="7268D3E8"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Inconsistency:</w:t>
            </w:r>
            <w:r>
              <w:rPr>
                <w:rFonts w:ascii="Arial Narrow" w:hAnsi="Arial Narrow" w:cs="Arial"/>
                <w:sz w:val="20"/>
                <w:szCs w:val="20"/>
              </w:rPr>
              <w:t xml:space="preserve"> N/A</w:t>
            </w:r>
          </w:p>
          <w:p w14:paraId="3A966557" w14:textId="6AEBBA6D"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 xml:space="preserve">Indirectness: </w:t>
            </w:r>
            <w:r w:rsidR="0070684A">
              <w:rPr>
                <w:rFonts w:ascii="Arial Narrow" w:hAnsi="Arial Narrow" w:cs="Arial"/>
                <w:sz w:val="20"/>
                <w:szCs w:val="20"/>
              </w:rPr>
              <w:t>–</w:t>
            </w:r>
            <w:r w:rsidRPr="00F12AEE">
              <w:rPr>
                <w:rFonts w:ascii="Arial Narrow" w:hAnsi="Arial Narrow" w:cs="Arial"/>
                <w:sz w:val="20"/>
                <w:szCs w:val="20"/>
              </w:rPr>
              <w:t>1</w:t>
            </w:r>
          </w:p>
          <w:p w14:paraId="36BA9066" w14:textId="743F93CB"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Imprecision: </w:t>
            </w:r>
            <w:r w:rsidR="0070684A">
              <w:rPr>
                <w:rFonts w:ascii="Arial Narrow" w:hAnsi="Arial Narrow" w:cs="Arial"/>
                <w:sz w:val="20"/>
                <w:szCs w:val="20"/>
              </w:rPr>
              <w:t>–</w:t>
            </w:r>
            <w:r>
              <w:rPr>
                <w:rFonts w:ascii="Arial Narrow" w:hAnsi="Arial Narrow" w:cs="Arial"/>
                <w:sz w:val="20"/>
                <w:szCs w:val="20"/>
              </w:rPr>
              <w:t>1</w:t>
            </w:r>
          </w:p>
          <w:p w14:paraId="2E427212"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461EEE49" w14:textId="77777777" w:rsidR="006559F3" w:rsidRDefault="006559F3" w:rsidP="004C79C1">
            <w:pPr>
              <w:pStyle w:val="Tabletext1"/>
              <w:spacing w:before="0" w:after="120"/>
              <w:ind w:left="4" w:right="-57"/>
              <w:rPr>
                <w:rFonts w:cs="Arial"/>
              </w:rPr>
            </w:pPr>
            <w:r>
              <w:rPr>
                <w:rFonts w:cs="Arial"/>
              </w:rPr>
              <w:t>4/4 patients with aetiology identified by CMR likely had their management altered by the findings</w:t>
            </w:r>
          </w:p>
        </w:tc>
        <w:tc>
          <w:tcPr>
            <w:tcW w:w="1130" w:type="pct"/>
          </w:tcPr>
          <w:p w14:paraId="2BA846E1"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For the few patients classified as having a treatable aetiology, or identified as having non-compaction CM, CMR impacts on their management.</w:t>
            </w:r>
          </w:p>
        </w:tc>
        <w:tc>
          <w:tcPr>
            <w:tcW w:w="533" w:type="pct"/>
          </w:tcPr>
          <w:p w14:paraId="71B3EFD7" w14:textId="77777777" w:rsidR="006559F3" w:rsidRPr="00305C0D" w:rsidRDefault="006559F3"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t>Very low</w:t>
            </w:r>
          </w:p>
          <w:p w14:paraId="1F04FD99" w14:textId="77777777" w:rsidR="006559F3" w:rsidRPr="00305C0D"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1B2E40" w14:paraId="36967B7D" w14:textId="77777777" w:rsidTr="00FB0B97">
        <w:tc>
          <w:tcPr>
            <w:tcW w:w="667" w:type="pct"/>
          </w:tcPr>
          <w:p w14:paraId="10BF0EEA" w14:textId="6ACFBF91" w:rsidR="006559F3" w:rsidRPr="001B2E40"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Effectiveness of corticosteroids for myocarditis</w:t>
            </w:r>
          </w:p>
        </w:tc>
        <w:tc>
          <w:tcPr>
            <w:tcW w:w="652" w:type="pct"/>
          </w:tcPr>
          <w:p w14:paraId="0CABD70A" w14:textId="04C72A0E"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N=719</w:t>
            </w:r>
          </w:p>
          <w:p w14:paraId="37655EAB" w14:textId="0B04099D"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K=8</w:t>
            </w:r>
          </w:p>
          <w:p w14:paraId="46ED9D43" w14:textId="77777777" w:rsidR="006559F3" w:rsidRDefault="006559F3" w:rsidP="004C79C1">
            <w:pPr>
              <w:spacing w:after="120" w:line="240" w:lineRule="auto"/>
              <w:ind w:left="4"/>
              <w:rPr>
                <w:rFonts w:ascii="Arial Narrow" w:hAnsi="Arial Narrow" w:cs="Arial"/>
                <w:sz w:val="20"/>
                <w:szCs w:val="20"/>
              </w:rPr>
            </w:pPr>
          </w:p>
        </w:tc>
        <w:tc>
          <w:tcPr>
            <w:tcW w:w="932" w:type="pct"/>
          </w:tcPr>
          <w:p w14:paraId="24B6F6B2"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1A22DEF6" w14:textId="48BB238A"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Inconsistency:</w:t>
            </w:r>
            <w:r>
              <w:rPr>
                <w:rFonts w:ascii="Arial Narrow" w:hAnsi="Arial Narrow" w:cs="Arial"/>
                <w:sz w:val="20"/>
                <w:szCs w:val="20"/>
              </w:rPr>
              <w:t xml:space="preserve"> </w:t>
            </w:r>
            <w:r w:rsidR="0070684A">
              <w:rPr>
                <w:rFonts w:ascii="Arial Narrow" w:hAnsi="Arial Narrow" w:cs="Arial"/>
                <w:sz w:val="20"/>
                <w:szCs w:val="20"/>
              </w:rPr>
              <w:t>–</w:t>
            </w:r>
            <w:r>
              <w:rPr>
                <w:rFonts w:ascii="Arial Narrow" w:hAnsi="Arial Narrow" w:cs="Arial"/>
                <w:sz w:val="20"/>
                <w:szCs w:val="20"/>
              </w:rPr>
              <w:t>1</w:t>
            </w:r>
          </w:p>
          <w:p w14:paraId="46D0441B"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 xml:space="preserve">Indirectness: </w:t>
            </w:r>
            <w:r>
              <w:rPr>
                <w:rFonts w:ascii="Arial Narrow" w:hAnsi="Arial Narrow" w:cs="Arial"/>
                <w:sz w:val="20"/>
                <w:szCs w:val="20"/>
              </w:rPr>
              <w:t>0</w:t>
            </w:r>
          </w:p>
          <w:p w14:paraId="3ED19740"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09A44B1E"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7EE281B4" w14:textId="2B3703C2" w:rsidR="006559F3" w:rsidRDefault="006559F3" w:rsidP="004C79C1">
            <w:pPr>
              <w:pStyle w:val="Tabletext1"/>
              <w:spacing w:before="0" w:after="120"/>
              <w:ind w:left="4" w:right="-57"/>
            </w:pPr>
            <w:r>
              <w:t>Mean LVEF difference = 7.36% (95%CI 4.94, 9.79) favouring corticosteroids over no corticosteroids after 1</w:t>
            </w:r>
            <w:r w:rsidR="0070684A">
              <w:t>–</w:t>
            </w:r>
            <w:r>
              <w:t>3</w:t>
            </w:r>
            <w:r w:rsidR="0070684A">
              <w:t> </w:t>
            </w:r>
            <w:r>
              <w:t>months</w:t>
            </w:r>
          </w:p>
          <w:p w14:paraId="5296E55A" w14:textId="77777777" w:rsidR="006559F3" w:rsidRPr="001B2E40" w:rsidRDefault="006559F3" w:rsidP="004C79C1">
            <w:pPr>
              <w:pStyle w:val="Tabletext1"/>
              <w:spacing w:before="0" w:after="120"/>
              <w:ind w:left="4" w:right="-57"/>
            </w:pPr>
            <w:r>
              <w:t>No significant difference in mortality</w:t>
            </w:r>
          </w:p>
        </w:tc>
        <w:tc>
          <w:tcPr>
            <w:tcW w:w="1130" w:type="pct"/>
          </w:tcPr>
          <w:p w14:paraId="01E99D6B" w14:textId="6C8782C0"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Treatment specific for myocarditis may improve cardiovascular functioning, compared </w:t>
            </w:r>
            <w:r w:rsidR="007A7A8F">
              <w:rPr>
                <w:rFonts w:ascii="Arial Narrow" w:hAnsi="Arial Narrow" w:cs="Arial"/>
                <w:sz w:val="20"/>
                <w:szCs w:val="20"/>
              </w:rPr>
              <w:t xml:space="preserve">with </w:t>
            </w:r>
            <w:r>
              <w:rPr>
                <w:rFonts w:ascii="Arial Narrow" w:hAnsi="Arial Narrow" w:cs="Arial"/>
                <w:sz w:val="20"/>
                <w:szCs w:val="20"/>
              </w:rPr>
              <w:t>general treatment for HF symptoms</w:t>
            </w:r>
            <w:r w:rsidR="007A7A8F">
              <w:rPr>
                <w:rFonts w:ascii="Arial Narrow" w:hAnsi="Arial Narrow" w:cs="Arial"/>
                <w:sz w:val="20"/>
                <w:szCs w:val="20"/>
              </w:rPr>
              <w:t>.</w:t>
            </w:r>
          </w:p>
        </w:tc>
        <w:tc>
          <w:tcPr>
            <w:tcW w:w="533" w:type="pct"/>
          </w:tcPr>
          <w:p w14:paraId="7A48BEAD" w14:textId="77777777" w:rsidR="006559F3" w:rsidRPr="00305C0D"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53C7E484" w14:textId="77777777" w:rsidR="006559F3" w:rsidRPr="00305C0D"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1B2E40" w14:paraId="1AA736B8" w14:textId="77777777" w:rsidTr="00FB0B97">
        <w:tc>
          <w:tcPr>
            <w:tcW w:w="667" w:type="pct"/>
          </w:tcPr>
          <w:p w14:paraId="460C3497" w14:textId="229E694E" w:rsidR="006559F3" w:rsidRDefault="006559F3" w:rsidP="004C79C1">
            <w:pPr>
              <w:tabs>
                <w:tab w:val="left" w:pos="268"/>
              </w:tabs>
              <w:spacing w:after="120" w:line="240" w:lineRule="auto"/>
              <w:ind w:right="-80"/>
              <w:rPr>
                <w:rFonts w:ascii="Arial Narrow" w:hAnsi="Arial Narrow" w:cs="Arial"/>
                <w:sz w:val="20"/>
                <w:szCs w:val="20"/>
              </w:rPr>
            </w:pPr>
            <w:r>
              <w:rPr>
                <w:rFonts w:ascii="Arial Narrow" w:hAnsi="Arial Narrow" w:cs="Arial"/>
                <w:sz w:val="20"/>
                <w:szCs w:val="20"/>
              </w:rPr>
              <w:t>Effectiveness of corticosteroids for cardiac sarcoidosis</w:t>
            </w:r>
          </w:p>
        </w:tc>
        <w:tc>
          <w:tcPr>
            <w:tcW w:w="652" w:type="pct"/>
          </w:tcPr>
          <w:p w14:paraId="5D4A57F3" w14:textId="59CAEF01"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N=299</w:t>
            </w:r>
          </w:p>
          <w:p w14:paraId="081CEFFB" w14:textId="22CEE99E"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K=9</w:t>
            </w:r>
          </w:p>
          <w:p w14:paraId="592F1679" w14:textId="77777777" w:rsidR="006559F3" w:rsidRDefault="006559F3" w:rsidP="004C79C1">
            <w:pPr>
              <w:spacing w:after="120" w:line="240" w:lineRule="auto"/>
              <w:ind w:left="4"/>
              <w:rPr>
                <w:rFonts w:ascii="Arial Narrow" w:hAnsi="Arial Narrow" w:cs="Arial"/>
                <w:sz w:val="20"/>
                <w:szCs w:val="20"/>
              </w:rPr>
            </w:pPr>
          </w:p>
        </w:tc>
        <w:tc>
          <w:tcPr>
            <w:tcW w:w="932" w:type="pct"/>
          </w:tcPr>
          <w:p w14:paraId="7E7DF2D3" w14:textId="0544F5FA" w:rsidR="006559F3" w:rsidRPr="00001B18" w:rsidRDefault="006559F3" w:rsidP="004C79C1">
            <w:pPr>
              <w:spacing w:after="120" w:line="240" w:lineRule="auto"/>
              <w:ind w:left="4"/>
              <w:rPr>
                <w:rFonts w:ascii="Arial Narrow" w:hAnsi="Arial Narrow" w:cs="Arial"/>
                <w:sz w:val="20"/>
                <w:szCs w:val="20"/>
              </w:rPr>
            </w:pPr>
            <w:r w:rsidRPr="00001B18">
              <w:rPr>
                <w:rFonts w:ascii="Arial Narrow" w:hAnsi="Arial Narrow" w:cs="Arial"/>
                <w:sz w:val="20"/>
                <w:szCs w:val="20"/>
              </w:rPr>
              <w:t xml:space="preserve">Risk of bias: </w:t>
            </w:r>
            <w:r w:rsidR="0070684A" w:rsidRPr="00001B18">
              <w:rPr>
                <w:rFonts w:ascii="Arial Narrow" w:hAnsi="Arial Narrow" w:cs="Arial"/>
                <w:sz w:val="20"/>
                <w:szCs w:val="20"/>
              </w:rPr>
              <w:t>–</w:t>
            </w:r>
            <w:r w:rsidRPr="00001B18">
              <w:rPr>
                <w:rFonts w:ascii="Arial Narrow" w:hAnsi="Arial Narrow" w:cs="Arial"/>
                <w:sz w:val="20"/>
                <w:szCs w:val="20"/>
              </w:rPr>
              <w:t>1</w:t>
            </w:r>
          </w:p>
          <w:p w14:paraId="40D984CF" w14:textId="167E98FA" w:rsidR="006559F3" w:rsidRPr="00001B18" w:rsidRDefault="006559F3" w:rsidP="004C79C1">
            <w:pPr>
              <w:spacing w:after="120" w:line="240" w:lineRule="auto"/>
              <w:ind w:left="4"/>
              <w:rPr>
                <w:rFonts w:ascii="Arial Narrow" w:hAnsi="Arial Narrow" w:cs="Arial"/>
                <w:sz w:val="20"/>
                <w:szCs w:val="20"/>
              </w:rPr>
            </w:pPr>
            <w:r w:rsidRPr="00001B18">
              <w:rPr>
                <w:rFonts w:ascii="Arial Narrow" w:hAnsi="Arial Narrow" w:cs="Arial"/>
                <w:sz w:val="20"/>
                <w:szCs w:val="20"/>
              </w:rPr>
              <w:t xml:space="preserve">Inconsistency: </w:t>
            </w:r>
            <w:r w:rsidR="0070684A" w:rsidRPr="00001B18">
              <w:rPr>
                <w:rFonts w:ascii="Arial Narrow" w:hAnsi="Arial Narrow" w:cs="Arial"/>
                <w:sz w:val="20"/>
                <w:szCs w:val="20"/>
              </w:rPr>
              <w:t>–</w:t>
            </w:r>
            <w:r w:rsidRPr="00001B18">
              <w:rPr>
                <w:rFonts w:ascii="Arial Narrow" w:hAnsi="Arial Narrow" w:cs="Arial"/>
                <w:sz w:val="20"/>
                <w:szCs w:val="20"/>
              </w:rPr>
              <w:t>1</w:t>
            </w:r>
          </w:p>
          <w:p w14:paraId="73C8D249" w14:textId="0730589C" w:rsidR="006559F3" w:rsidRPr="00001B18" w:rsidRDefault="006559F3" w:rsidP="004C79C1">
            <w:pPr>
              <w:spacing w:after="120" w:line="240" w:lineRule="auto"/>
              <w:ind w:left="4"/>
              <w:rPr>
                <w:rFonts w:ascii="Arial Narrow" w:hAnsi="Arial Narrow" w:cs="Arial"/>
                <w:sz w:val="20"/>
                <w:szCs w:val="20"/>
              </w:rPr>
            </w:pPr>
            <w:r w:rsidRPr="00001B18">
              <w:rPr>
                <w:rFonts w:ascii="Arial Narrow" w:hAnsi="Arial Narrow" w:cs="Arial"/>
                <w:sz w:val="20"/>
                <w:szCs w:val="20"/>
              </w:rPr>
              <w:t xml:space="preserve">Indirectness: </w:t>
            </w:r>
            <w:r w:rsidR="0070684A" w:rsidRPr="00001B18">
              <w:rPr>
                <w:rFonts w:ascii="Arial Narrow" w:hAnsi="Arial Narrow" w:cs="Arial"/>
                <w:sz w:val="20"/>
                <w:szCs w:val="20"/>
              </w:rPr>
              <w:t>–</w:t>
            </w:r>
            <w:r w:rsidRPr="00001B18">
              <w:rPr>
                <w:rFonts w:ascii="Arial Narrow" w:hAnsi="Arial Narrow" w:cs="Arial"/>
                <w:sz w:val="20"/>
                <w:szCs w:val="20"/>
              </w:rPr>
              <w:t>1</w:t>
            </w:r>
          </w:p>
          <w:p w14:paraId="7A383998" w14:textId="5C8563CF" w:rsidR="006559F3" w:rsidRPr="00001B18" w:rsidRDefault="006559F3" w:rsidP="004C79C1">
            <w:pPr>
              <w:spacing w:after="120" w:line="240" w:lineRule="auto"/>
              <w:ind w:left="4"/>
              <w:rPr>
                <w:rFonts w:ascii="Arial Narrow" w:hAnsi="Arial Narrow" w:cs="Arial"/>
                <w:sz w:val="20"/>
                <w:szCs w:val="20"/>
              </w:rPr>
            </w:pPr>
            <w:r w:rsidRPr="00001B18">
              <w:rPr>
                <w:rFonts w:ascii="Arial Narrow" w:hAnsi="Arial Narrow" w:cs="Arial"/>
                <w:sz w:val="20"/>
                <w:szCs w:val="20"/>
              </w:rPr>
              <w:t xml:space="preserve">Imprecision: </w:t>
            </w:r>
            <w:r w:rsidR="0070684A" w:rsidRPr="00001B18">
              <w:rPr>
                <w:rFonts w:ascii="Arial Narrow" w:hAnsi="Arial Narrow" w:cs="Arial"/>
                <w:sz w:val="20"/>
                <w:szCs w:val="20"/>
              </w:rPr>
              <w:t>–</w:t>
            </w:r>
            <w:r w:rsidRPr="00001B18">
              <w:rPr>
                <w:rFonts w:ascii="Arial Narrow" w:hAnsi="Arial Narrow" w:cs="Arial"/>
                <w:sz w:val="20"/>
                <w:szCs w:val="20"/>
              </w:rPr>
              <w:t>1</w:t>
            </w:r>
          </w:p>
          <w:p w14:paraId="5A067ED1" w14:textId="77777777" w:rsidR="006559F3" w:rsidRPr="00001B18" w:rsidRDefault="006559F3" w:rsidP="004C79C1">
            <w:pPr>
              <w:spacing w:after="120" w:line="240" w:lineRule="auto"/>
              <w:ind w:left="4"/>
              <w:rPr>
                <w:rFonts w:ascii="Arial Narrow" w:hAnsi="Arial Narrow" w:cs="Arial"/>
                <w:sz w:val="20"/>
                <w:szCs w:val="20"/>
              </w:rPr>
            </w:pPr>
            <w:r w:rsidRPr="00001B18">
              <w:rPr>
                <w:rFonts w:ascii="Arial Narrow" w:hAnsi="Arial Narrow" w:cs="Arial"/>
                <w:sz w:val="20"/>
                <w:szCs w:val="20"/>
              </w:rPr>
              <w:t>Publication bias: 0</w:t>
            </w:r>
          </w:p>
        </w:tc>
        <w:tc>
          <w:tcPr>
            <w:tcW w:w="1086" w:type="pct"/>
          </w:tcPr>
          <w:p w14:paraId="463C08D8" w14:textId="581392D5" w:rsidR="006559F3" w:rsidRPr="00001B18" w:rsidRDefault="006559F3" w:rsidP="004C79C1">
            <w:pPr>
              <w:pStyle w:val="Tabletext1"/>
              <w:spacing w:before="0" w:after="120"/>
              <w:ind w:left="4" w:right="-57"/>
            </w:pPr>
            <w:r w:rsidRPr="00001B18">
              <w:t>Mortality was highly variable</w:t>
            </w:r>
          </w:p>
          <w:p w14:paraId="082C160C" w14:textId="1C2B9DAD" w:rsidR="006559F3" w:rsidRPr="00001B18" w:rsidRDefault="006559F3" w:rsidP="004C79C1">
            <w:pPr>
              <w:pStyle w:val="Tabletext1"/>
              <w:spacing w:before="0" w:after="120"/>
              <w:ind w:left="4" w:right="-57"/>
            </w:pPr>
            <w:r w:rsidRPr="00001B18">
              <w:t>LVEF may be improved or preserved through corticosteroid use</w:t>
            </w:r>
            <w:r w:rsidR="00001B18" w:rsidRPr="00001B18">
              <w:t>.</w:t>
            </w:r>
            <w:r w:rsidRPr="00001B18">
              <w:t xml:space="preserve"> </w:t>
            </w:r>
          </w:p>
        </w:tc>
        <w:tc>
          <w:tcPr>
            <w:tcW w:w="1130" w:type="pct"/>
          </w:tcPr>
          <w:p w14:paraId="1E567A17" w14:textId="2B56D884" w:rsidR="006559F3" w:rsidRDefault="006559F3" w:rsidP="004C79C1">
            <w:pPr>
              <w:spacing w:after="120" w:line="240" w:lineRule="auto"/>
              <w:ind w:right="-57"/>
              <w:rPr>
                <w:rFonts w:ascii="Arial Narrow" w:hAnsi="Arial Narrow" w:cs="Arial"/>
                <w:sz w:val="20"/>
                <w:szCs w:val="20"/>
              </w:rPr>
            </w:pPr>
            <w:r>
              <w:rPr>
                <w:rFonts w:ascii="Arial Narrow" w:hAnsi="Arial Narrow" w:cs="Arial"/>
                <w:sz w:val="20"/>
                <w:szCs w:val="20"/>
              </w:rPr>
              <w:t xml:space="preserve">The limited evidence available suggests </w:t>
            </w:r>
            <w:r w:rsidR="007A7A8F">
              <w:rPr>
                <w:rFonts w:ascii="Arial Narrow" w:hAnsi="Arial Narrow" w:cs="Arial"/>
                <w:sz w:val="20"/>
                <w:szCs w:val="20"/>
              </w:rPr>
              <w:t xml:space="preserve">that </w:t>
            </w:r>
            <w:r>
              <w:rPr>
                <w:rFonts w:ascii="Arial Narrow" w:hAnsi="Arial Narrow" w:cs="Arial"/>
                <w:sz w:val="20"/>
                <w:szCs w:val="20"/>
              </w:rPr>
              <w:t>corticosteroid use is beneficial for preserving or improving cardiovascular functioning in patients with sarcoidosis.</w:t>
            </w:r>
          </w:p>
        </w:tc>
        <w:tc>
          <w:tcPr>
            <w:tcW w:w="533" w:type="pct"/>
          </w:tcPr>
          <w:p w14:paraId="769692E1" w14:textId="77777777" w:rsidR="006559F3" w:rsidRPr="00305C0D" w:rsidRDefault="006559F3"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t>Very low</w:t>
            </w:r>
          </w:p>
          <w:p w14:paraId="098DA95E" w14:textId="77777777" w:rsidR="006559F3" w:rsidRPr="00305C0D"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1B2E40" w14:paraId="1D570938" w14:textId="77777777" w:rsidTr="00FB0B97">
        <w:tc>
          <w:tcPr>
            <w:tcW w:w="667" w:type="pct"/>
          </w:tcPr>
          <w:p w14:paraId="1BEAF3D5" w14:textId="77777777" w:rsidR="006559F3" w:rsidDel="00A22CD4"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Ruling out family members from screening</w:t>
            </w:r>
          </w:p>
        </w:tc>
        <w:tc>
          <w:tcPr>
            <w:tcW w:w="652" w:type="pct"/>
          </w:tcPr>
          <w:p w14:paraId="1F98F4B1" w14:textId="77777777" w:rsidR="006559F3" w:rsidDel="00A22CD4"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None</w:t>
            </w:r>
          </w:p>
        </w:tc>
        <w:tc>
          <w:tcPr>
            <w:tcW w:w="932" w:type="pct"/>
          </w:tcPr>
          <w:p w14:paraId="49EFFAA0" w14:textId="77777777" w:rsidR="006559F3" w:rsidDel="00A22CD4"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N/A</w:t>
            </w:r>
          </w:p>
        </w:tc>
        <w:tc>
          <w:tcPr>
            <w:tcW w:w="1086" w:type="pct"/>
          </w:tcPr>
          <w:p w14:paraId="166E9B2D" w14:textId="77777777" w:rsidR="006559F3" w:rsidDel="00A22CD4" w:rsidRDefault="006559F3" w:rsidP="004C79C1">
            <w:pPr>
              <w:pStyle w:val="Tabletext1"/>
              <w:spacing w:before="0" w:after="120"/>
              <w:ind w:left="4" w:right="-57"/>
            </w:pPr>
            <w:r>
              <w:rPr>
                <w:rFonts w:cs="Arial"/>
              </w:rPr>
              <w:t>N/A</w:t>
            </w:r>
          </w:p>
        </w:tc>
        <w:tc>
          <w:tcPr>
            <w:tcW w:w="1130" w:type="pct"/>
          </w:tcPr>
          <w:p w14:paraId="2C43D907" w14:textId="77777777" w:rsidR="006559F3" w:rsidDel="00A22CD4" w:rsidRDefault="006559F3" w:rsidP="004C79C1">
            <w:pPr>
              <w:spacing w:after="120" w:line="240" w:lineRule="auto"/>
              <w:ind w:right="-57"/>
              <w:rPr>
                <w:rFonts w:ascii="Arial Narrow" w:hAnsi="Arial Narrow" w:cs="Arial"/>
                <w:sz w:val="20"/>
                <w:szCs w:val="20"/>
              </w:rPr>
            </w:pPr>
            <w:r w:rsidRPr="00A34F04">
              <w:rPr>
                <w:rFonts w:ascii="Arial Narrow" w:hAnsi="Arial Narrow" w:cs="Arial"/>
                <w:sz w:val="20"/>
                <w:szCs w:val="20"/>
              </w:rPr>
              <w:t>If the index case has a non-familial aetiology detected, family members may avoid cascade screening.</w:t>
            </w:r>
            <w:r>
              <w:t xml:space="preserve"> </w:t>
            </w:r>
          </w:p>
        </w:tc>
        <w:tc>
          <w:tcPr>
            <w:tcW w:w="533" w:type="pct"/>
          </w:tcPr>
          <w:p w14:paraId="41E9A68D" w14:textId="77777777" w:rsidR="006559F3" w:rsidRPr="00305C0D"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Not identified</w:t>
            </w:r>
          </w:p>
          <w:p w14:paraId="3BA7543A" w14:textId="77777777" w:rsidR="006559F3" w:rsidDel="00A22CD4"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FF0000"/>
                <w:sz w:val="20"/>
                <w:szCs w:val="20"/>
              </w:rPr>
              <w:t>⨀⨀⨀⨀</w:t>
            </w:r>
          </w:p>
        </w:tc>
      </w:tr>
    </w:tbl>
    <w:p w14:paraId="2F095C26" w14:textId="768E2B04" w:rsidR="006559F3" w:rsidRPr="00D436E7" w:rsidRDefault="00B3321F" w:rsidP="004C79C1">
      <w:pPr>
        <w:pStyle w:val="Tablenotes0"/>
        <w:spacing w:before="0" w:after="120"/>
      </w:pPr>
      <w:r w:rsidRPr="00D436E7">
        <w:t xml:space="preserve">CAD = coronary artery disease; </w:t>
      </w:r>
      <w:r w:rsidR="00B50997" w:rsidRPr="00D436E7">
        <w:t xml:space="preserve">CM = cardiomyopathy; </w:t>
      </w:r>
      <w:r w:rsidRPr="00D436E7">
        <w:t xml:space="preserve">CMR = </w:t>
      </w:r>
      <w:r w:rsidR="00B50997" w:rsidRPr="00D436E7">
        <w:t>c</w:t>
      </w:r>
      <w:r w:rsidRPr="00D436E7">
        <w:t xml:space="preserve">ardiac magnetic resonance </w:t>
      </w:r>
      <w:r w:rsidR="000C188E">
        <w:t>(</w:t>
      </w:r>
      <w:r w:rsidR="000C188E" w:rsidRPr="00FA186D">
        <w:t>imaging</w:t>
      </w:r>
      <w:r w:rsidR="000C188E">
        <w:t>)</w:t>
      </w:r>
      <w:r w:rsidRPr="00D436E7">
        <w:t xml:space="preserve">; </w:t>
      </w:r>
      <w:r w:rsidR="006559F3" w:rsidRPr="00D436E7">
        <w:t xml:space="preserve">DCM = dilated cardiomyopathy; EMB = endomyocardial biopsy; </w:t>
      </w:r>
      <w:r w:rsidR="00E31709">
        <w:t xml:space="preserve">HF = heart failure; </w:t>
      </w:r>
      <w:r w:rsidR="006559F3" w:rsidRPr="00D436E7">
        <w:t xml:space="preserve">ICD = implantable cardioverter defibrillator; </w:t>
      </w:r>
      <w:r w:rsidR="006B2BB8">
        <w:t xml:space="preserve">K = number of studies; </w:t>
      </w:r>
      <w:r w:rsidR="00DD05BC">
        <w:t xml:space="preserve">LGE = </w:t>
      </w:r>
      <w:r w:rsidR="00DD05BC" w:rsidRPr="00C80E19">
        <w:t>late gadolinium enhancement</w:t>
      </w:r>
      <w:r w:rsidR="00DD05BC">
        <w:t>;</w:t>
      </w:r>
      <w:r w:rsidR="00DD05BC" w:rsidRPr="00D436E7">
        <w:t xml:space="preserve"> </w:t>
      </w:r>
      <w:r w:rsidR="006559F3" w:rsidRPr="00D436E7">
        <w:t xml:space="preserve">LVEF = left ventricular ejection fraction; </w:t>
      </w:r>
      <w:r w:rsidR="006B2BB8">
        <w:t xml:space="preserve">N = number of patients; </w:t>
      </w:r>
      <w:r w:rsidR="00772A9C" w:rsidRPr="00D436E7">
        <w:t xml:space="preserve">NIDCM = </w:t>
      </w:r>
      <w:r w:rsidR="00772A9C" w:rsidRPr="00704222">
        <w:rPr>
          <w:color w:val="000000"/>
          <w:szCs w:val="24"/>
        </w:rPr>
        <w:t>non-ischaemic dilated cardiomyopathy</w:t>
      </w:r>
      <w:r w:rsidR="00772A9C" w:rsidRPr="00D436E7">
        <w:t xml:space="preserve">; </w:t>
      </w:r>
      <w:r w:rsidR="006559F3" w:rsidRPr="00D436E7">
        <w:t>RR = relative risk</w:t>
      </w:r>
    </w:p>
    <w:p w14:paraId="27E9BEBE" w14:textId="723CE8B9" w:rsidR="006559F3" w:rsidRDefault="006559F3" w:rsidP="004C79C1">
      <w:pPr>
        <w:spacing w:after="120" w:line="240" w:lineRule="auto"/>
        <w:jc w:val="both"/>
      </w:pPr>
      <w:r>
        <w:t xml:space="preserve">Based on a linked evidence approach in patients with an intermediate risk of CAD, CMR has uncertain effectiveness compared </w:t>
      </w:r>
      <w:r w:rsidR="00E31709">
        <w:t xml:space="preserve">with </w:t>
      </w:r>
      <w:r>
        <w:t xml:space="preserve">CTCA, SPECT and stress </w:t>
      </w:r>
      <w:r w:rsidR="00A21115">
        <w:t>echocardiography</w:t>
      </w:r>
      <w:r>
        <w:t xml:space="preserve"> for determining ischaemia. It is effective at triaging to an ICA in those with NIDCM. CMR has the capacity to stratify a significant number of patients to different treatments than they would have receive</w:t>
      </w:r>
      <w:r w:rsidR="00C645AC">
        <w:t>d</w:t>
      </w:r>
      <w:r>
        <w:t xml:space="preserve"> with current test</w:t>
      </w:r>
      <w:r w:rsidR="00C645AC">
        <w:t>ing</w:t>
      </w:r>
      <w:r>
        <w:t xml:space="preserve"> alone. However, the effectiveness of these </w:t>
      </w:r>
      <w:r w:rsidR="00C645AC">
        <w:t xml:space="preserve">treatment </w:t>
      </w:r>
      <w:r>
        <w:t xml:space="preserve">changes </w:t>
      </w:r>
      <w:proofErr w:type="gramStart"/>
      <w:r>
        <w:t>are</w:t>
      </w:r>
      <w:proofErr w:type="gramEnd"/>
      <w:r>
        <w:t xml:space="preserve"> unclear (see </w:t>
      </w:r>
      <w:r w:rsidR="00704222">
        <w:fldChar w:fldCharType="begin"/>
      </w:r>
      <w:r w:rsidR="00704222">
        <w:instrText xml:space="preserve"> REF _Ref451411174 \h </w:instrText>
      </w:r>
      <w:r w:rsidR="00704222">
        <w:fldChar w:fldCharType="separate"/>
      </w:r>
      <w:r w:rsidR="00704222">
        <w:t xml:space="preserve">Table </w:t>
      </w:r>
      <w:r w:rsidR="00704222">
        <w:rPr>
          <w:noProof/>
        </w:rPr>
        <w:t>32</w:t>
      </w:r>
      <w:r w:rsidR="00704222">
        <w:fldChar w:fldCharType="end"/>
      </w:r>
      <w:r>
        <w:t>).</w:t>
      </w:r>
    </w:p>
    <w:p w14:paraId="4D4749E0" w14:textId="2CBB956E" w:rsidR="006559F3" w:rsidRPr="00E254C5" w:rsidRDefault="006F0C4E" w:rsidP="004C79C1">
      <w:pPr>
        <w:pStyle w:val="Caption"/>
      </w:pPr>
      <w:bookmarkStart w:id="503" w:name="_Ref451411174"/>
      <w:bookmarkStart w:id="504" w:name="_Toc324410200"/>
      <w:bookmarkStart w:id="505" w:name="_Toc451435359"/>
      <w:r>
        <w:t xml:space="preserve">Table </w:t>
      </w:r>
      <w:fldSimple w:instr=" SEQ Table \* ARABIC ">
        <w:r w:rsidR="00050936">
          <w:rPr>
            <w:noProof/>
          </w:rPr>
          <w:t>32</w:t>
        </w:r>
      </w:fldSimple>
      <w:bookmarkEnd w:id="503"/>
      <w:r w:rsidR="006559F3" w:rsidRPr="00E254C5">
        <w:tab/>
      </w:r>
      <w:r w:rsidR="006559F3">
        <w:t xml:space="preserve">Balance of clinical benefits and harms of CMR relative to CTCA, SPECT, stress </w:t>
      </w:r>
      <w:r w:rsidR="00A21115">
        <w:t>echocardiography</w:t>
      </w:r>
      <w:r w:rsidR="006559F3">
        <w:t xml:space="preserve"> or ICA, in patients with an intermediate risk of CAD</w:t>
      </w:r>
      <w:bookmarkEnd w:id="504"/>
      <w:bookmarkEnd w:id="505"/>
    </w:p>
    <w:tbl>
      <w:tblPr>
        <w:tblStyle w:val="TableGrid"/>
        <w:tblW w:w="4942" w:type="pct"/>
        <w:tblInd w:w="108" w:type="dxa"/>
        <w:tblLayout w:type="fixed"/>
        <w:tblLook w:val="04A0" w:firstRow="1" w:lastRow="0" w:firstColumn="1" w:lastColumn="0" w:noHBand="0" w:noVBand="1"/>
        <w:tblDescription w:val="Balance of clinical benefits and harms of CMR, relative to stress ECHO, SPECT and CTCA"/>
      </w:tblPr>
      <w:tblGrid>
        <w:gridCol w:w="1218"/>
        <w:gridCol w:w="1191"/>
        <w:gridCol w:w="1703"/>
        <w:gridCol w:w="1984"/>
        <w:gridCol w:w="2065"/>
        <w:gridCol w:w="974"/>
      </w:tblGrid>
      <w:tr w:rsidR="006559F3" w:rsidRPr="001B2E40" w14:paraId="64779D60" w14:textId="77777777" w:rsidTr="00FB0B97">
        <w:trPr>
          <w:trHeight w:val="60"/>
          <w:tblHeader/>
        </w:trPr>
        <w:tc>
          <w:tcPr>
            <w:tcW w:w="667" w:type="pct"/>
          </w:tcPr>
          <w:p w14:paraId="42EA01D3" w14:textId="77777777" w:rsidR="006559F3" w:rsidRPr="001B2E40" w:rsidRDefault="006559F3" w:rsidP="004C79C1">
            <w:pPr>
              <w:pStyle w:val="TableHeading"/>
              <w:spacing w:before="0" w:after="120"/>
              <w:ind w:left="4" w:right="-80" w:firstLine="0"/>
            </w:pPr>
            <w:r w:rsidRPr="001B2E40">
              <w:lastRenderedPageBreak/>
              <w:t>Outcomes</w:t>
            </w:r>
            <w:r>
              <w:t xml:space="preserve"> </w:t>
            </w:r>
          </w:p>
        </w:tc>
        <w:tc>
          <w:tcPr>
            <w:tcW w:w="652" w:type="pct"/>
          </w:tcPr>
          <w:p w14:paraId="2654C143" w14:textId="77777777" w:rsidR="006559F3" w:rsidRPr="001B2E40" w:rsidRDefault="006559F3" w:rsidP="004C79C1">
            <w:pPr>
              <w:pStyle w:val="TableHeading"/>
              <w:spacing w:before="0" w:after="120"/>
              <w:ind w:left="4" w:firstLine="0"/>
            </w:pPr>
            <w:r>
              <w:t>Participants (studies)</w:t>
            </w:r>
          </w:p>
        </w:tc>
        <w:tc>
          <w:tcPr>
            <w:tcW w:w="932" w:type="pct"/>
          </w:tcPr>
          <w:p w14:paraId="1C86F75E" w14:textId="77777777" w:rsidR="006559F3" w:rsidRPr="001B2E40" w:rsidRDefault="006559F3" w:rsidP="004C79C1">
            <w:pPr>
              <w:pStyle w:val="TableHeading"/>
              <w:spacing w:before="0" w:after="120"/>
              <w:ind w:left="4" w:firstLine="0"/>
            </w:pPr>
            <w:r w:rsidRPr="001B2E40">
              <w:t>Quality of evidence</w:t>
            </w:r>
          </w:p>
        </w:tc>
        <w:tc>
          <w:tcPr>
            <w:tcW w:w="1086" w:type="pct"/>
          </w:tcPr>
          <w:p w14:paraId="00CC8454" w14:textId="77777777" w:rsidR="006559F3" w:rsidRPr="001B2E40" w:rsidRDefault="006559F3" w:rsidP="004C79C1">
            <w:pPr>
              <w:pStyle w:val="TableHeading"/>
              <w:spacing w:before="0" w:after="120"/>
              <w:ind w:left="4" w:firstLine="0"/>
            </w:pPr>
            <w:r w:rsidRPr="001B2E40">
              <w:t>Results</w:t>
            </w:r>
          </w:p>
        </w:tc>
        <w:tc>
          <w:tcPr>
            <w:tcW w:w="1130" w:type="pct"/>
          </w:tcPr>
          <w:p w14:paraId="40FD4050" w14:textId="77777777" w:rsidR="006559F3" w:rsidRPr="001B2E40" w:rsidRDefault="006559F3" w:rsidP="004C79C1">
            <w:pPr>
              <w:pStyle w:val="TableHeading"/>
              <w:spacing w:before="0" w:after="120"/>
              <w:ind w:left="4" w:firstLine="0"/>
            </w:pPr>
            <w:r w:rsidRPr="001B2E40">
              <w:t>Interpretation</w:t>
            </w:r>
          </w:p>
        </w:tc>
        <w:tc>
          <w:tcPr>
            <w:tcW w:w="533" w:type="pct"/>
          </w:tcPr>
          <w:p w14:paraId="4E9926F0" w14:textId="77777777" w:rsidR="006559F3" w:rsidRPr="001B2E40" w:rsidRDefault="006559F3" w:rsidP="004C79C1">
            <w:pPr>
              <w:pStyle w:val="TableHeading"/>
              <w:spacing w:before="0" w:after="120"/>
              <w:ind w:left="4" w:firstLine="0"/>
            </w:pPr>
            <w:r w:rsidRPr="001B2E40">
              <w:t>GRADE</w:t>
            </w:r>
          </w:p>
        </w:tc>
      </w:tr>
      <w:tr w:rsidR="006559F3" w:rsidRPr="00F12AEE" w14:paraId="43FF214B" w14:textId="77777777" w:rsidTr="00FB0B97">
        <w:tc>
          <w:tcPr>
            <w:tcW w:w="667" w:type="pct"/>
          </w:tcPr>
          <w:p w14:paraId="5BDD640F"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LGE-CMR for determining prognosis in those with NIDCM</w:t>
            </w:r>
          </w:p>
        </w:tc>
        <w:tc>
          <w:tcPr>
            <w:tcW w:w="652" w:type="pct"/>
          </w:tcPr>
          <w:p w14:paraId="57547AC6" w14:textId="3620A345"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K=30 cohort studies</w:t>
            </w:r>
          </w:p>
        </w:tc>
        <w:tc>
          <w:tcPr>
            <w:tcW w:w="932" w:type="pct"/>
          </w:tcPr>
          <w:p w14:paraId="5EF6EA46" w14:textId="71E8579C"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Risk of bias: </w:t>
            </w:r>
            <w:r w:rsidR="00C645AC">
              <w:rPr>
                <w:rFonts w:ascii="Arial Narrow" w:hAnsi="Arial Narrow" w:cs="Arial"/>
                <w:sz w:val="20"/>
                <w:szCs w:val="20"/>
              </w:rPr>
              <w:t>–</w:t>
            </w:r>
            <w:r>
              <w:rPr>
                <w:rFonts w:ascii="Arial Narrow" w:hAnsi="Arial Narrow" w:cs="Arial"/>
                <w:sz w:val="20"/>
                <w:szCs w:val="20"/>
              </w:rPr>
              <w:t>1</w:t>
            </w:r>
          </w:p>
          <w:p w14:paraId="4186724C"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Inconsistency: 0</w:t>
            </w:r>
          </w:p>
          <w:p w14:paraId="5DDB928B"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4B91BC88"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30FA85AC"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15E6F047" w14:textId="77777777" w:rsidR="006559F3" w:rsidRDefault="006559F3" w:rsidP="004C79C1">
            <w:pPr>
              <w:pStyle w:val="Tabletext1"/>
              <w:spacing w:before="0" w:after="120"/>
              <w:ind w:right="-57"/>
            </w:pPr>
            <w:r>
              <w:t xml:space="preserve">All-cause mortality RR = 2.47 (95% 1.63, 3.74) </w:t>
            </w:r>
          </w:p>
          <w:p w14:paraId="579C90A2" w14:textId="77777777" w:rsidR="006559F3" w:rsidRDefault="006559F3" w:rsidP="004C79C1">
            <w:pPr>
              <w:pStyle w:val="Tabletext1"/>
              <w:spacing w:before="0" w:after="120"/>
              <w:ind w:right="-57"/>
            </w:pPr>
            <w:r>
              <w:t>Cardiac deaths RR = 3.21 (95%CI 1.79, 5.76)</w:t>
            </w:r>
          </w:p>
          <w:p w14:paraId="2C658393" w14:textId="77777777" w:rsidR="006559F3" w:rsidRDefault="006559F3" w:rsidP="004C79C1">
            <w:pPr>
              <w:pStyle w:val="Tabletext1"/>
              <w:spacing w:before="0" w:after="120"/>
              <w:ind w:left="4" w:right="-57"/>
              <w:rPr>
                <w:rFonts w:cs="Arial"/>
              </w:rPr>
            </w:pPr>
            <w:r>
              <w:t>Any cardiac event RR = 3.71 (95%CI 2.29, 6.04)</w:t>
            </w:r>
          </w:p>
        </w:tc>
        <w:tc>
          <w:tcPr>
            <w:tcW w:w="1130" w:type="pct"/>
          </w:tcPr>
          <w:p w14:paraId="4D756762"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Those with LGE on CMR have worse cardiac outcomes than those without LGE, and are more likely to have an ICD implanted, and more likely to have an appropriate ICD shock.</w:t>
            </w:r>
          </w:p>
        </w:tc>
        <w:tc>
          <w:tcPr>
            <w:tcW w:w="533" w:type="pct"/>
          </w:tcPr>
          <w:p w14:paraId="2C0BF14C" w14:textId="77777777" w:rsidR="006559F3" w:rsidRDefault="006559F3"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6134AA27" w14:textId="77777777"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to Moderate</w:t>
            </w:r>
          </w:p>
          <w:p w14:paraId="3C708730" w14:textId="77777777" w:rsidR="006559F3" w:rsidRPr="00305C0D"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F12AEE" w14:paraId="6984CFD6" w14:textId="77777777" w:rsidTr="00E86AA4">
        <w:tc>
          <w:tcPr>
            <w:tcW w:w="667" w:type="pct"/>
          </w:tcPr>
          <w:p w14:paraId="2DAD0075"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Effect of CMR on device implantation and surgery for NIDCM</w:t>
            </w:r>
          </w:p>
        </w:tc>
        <w:tc>
          <w:tcPr>
            <w:tcW w:w="652" w:type="pct"/>
          </w:tcPr>
          <w:p w14:paraId="60F7438C" w14:textId="51E62A0B"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N=488</w:t>
            </w:r>
          </w:p>
          <w:p w14:paraId="08E730CC" w14:textId="24364D22"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K=1 before</w:t>
            </w:r>
            <w:r w:rsidR="00B52BE2">
              <w:rPr>
                <w:rFonts w:ascii="Arial Narrow" w:hAnsi="Arial Narrow" w:cs="Arial"/>
                <w:sz w:val="20"/>
                <w:szCs w:val="20"/>
              </w:rPr>
              <w:t>-</w:t>
            </w:r>
            <w:r>
              <w:rPr>
                <w:rFonts w:ascii="Arial Narrow" w:hAnsi="Arial Narrow" w:cs="Arial"/>
                <w:sz w:val="20"/>
                <w:szCs w:val="20"/>
              </w:rPr>
              <w:t>and</w:t>
            </w:r>
            <w:r w:rsidR="00B52BE2">
              <w:rPr>
                <w:rFonts w:ascii="Arial Narrow" w:hAnsi="Arial Narrow" w:cs="Arial"/>
                <w:sz w:val="20"/>
                <w:szCs w:val="20"/>
              </w:rPr>
              <w:t>-</w:t>
            </w:r>
            <w:r>
              <w:rPr>
                <w:rFonts w:ascii="Arial Narrow" w:hAnsi="Arial Narrow" w:cs="Arial"/>
                <w:sz w:val="20"/>
                <w:szCs w:val="20"/>
              </w:rPr>
              <w:t>after case series</w:t>
            </w:r>
          </w:p>
        </w:tc>
        <w:tc>
          <w:tcPr>
            <w:tcW w:w="932" w:type="pct"/>
          </w:tcPr>
          <w:p w14:paraId="2847BAE8"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62DA23FB"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t>Inconsistency:</w:t>
            </w:r>
            <w:r>
              <w:rPr>
                <w:rFonts w:ascii="Arial Narrow" w:hAnsi="Arial Narrow" w:cs="Arial"/>
                <w:sz w:val="20"/>
                <w:szCs w:val="20"/>
              </w:rPr>
              <w:t xml:space="preserve"> N/A</w:t>
            </w:r>
          </w:p>
          <w:p w14:paraId="65A33BE2"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423D35ED"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414AA35C"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shd w:val="clear" w:color="auto" w:fill="auto"/>
          </w:tcPr>
          <w:p w14:paraId="6769C73A" w14:textId="77777777" w:rsidR="006559F3" w:rsidRDefault="006559F3" w:rsidP="004C79C1">
            <w:pPr>
              <w:pStyle w:val="Tabletext1"/>
              <w:spacing w:before="0" w:after="120"/>
              <w:ind w:left="4" w:right="-57"/>
              <w:rPr>
                <w:rFonts w:cs="Arial"/>
              </w:rPr>
            </w:pPr>
            <w:r>
              <w:rPr>
                <w:rFonts w:cs="Arial"/>
              </w:rPr>
              <w:t>In those scheduled for devices, 21/72 (29.2%) patients avoided devices due to CMR</w:t>
            </w:r>
          </w:p>
          <w:p w14:paraId="600CEEDC" w14:textId="77777777" w:rsidR="006559F3" w:rsidRDefault="006559F3" w:rsidP="004C79C1">
            <w:pPr>
              <w:pStyle w:val="Tabletext1"/>
              <w:spacing w:before="0" w:after="120"/>
              <w:ind w:left="4" w:right="-57"/>
              <w:rPr>
                <w:rFonts w:cs="Arial"/>
              </w:rPr>
            </w:pPr>
            <w:r>
              <w:rPr>
                <w:rFonts w:cs="Arial"/>
              </w:rPr>
              <w:t>In those not scheduled for devices, 20/375 (5.3%) had one implanted due to CMR</w:t>
            </w:r>
          </w:p>
          <w:p w14:paraId="6B345240" w14:textId="30C0891B" w:rsidR="006559F3" w:rsidRDefault="006559F3" w:rsidP="004C79C1">
            <w:pPr>
              <w:pStyle w:val="Tabletext1"/>
              <w:spacing w:before="0" w:after="120"/>
              <w:ind w:left="4" w:right="-57"/>
              <w:rPr>
                <w:rFonts w:cs="Arial"/>
              </w:rPr>
            </w:pPr>
            <w:r>
              <w:rPr>
                <w:rFonts w:cs="Arial"/>
              </w:rPr>
              <w:t xml:space="preserve">In those scheduled for surgery, 13/20 (65%) avoided </w:t>
            </w:r>
            <w:r w:rsidR="0065689B">
              <w:rPr>
                <w:rFonts w:cs="Arial"/>
              </w:rPr>
              <w:t xml:space="preserve">it </w:t>
            </w:r>
            <w:r>
              <w:rPr>
                <w:rFonts w:cs="Arial"/>
              </w:rPr>
              <w:t>due to CMR</w:t>
            </w:r>
          </w:p>
          <w:p w14:paraId="51444368" w14:textId="77777777" w:rsidR="006559F3" w:rsidRDefault="006559F3" w:rsidP="004C79C1">
            <w:pPr>
              <w:pStyle w:val="Tabletext1"/>
              <w:spacing w:before="0" w:after="120"/>
              <w:ind w:left="4" w:right="-57"/>
              <w:rPr>
                <w:rFonts w:cs="Arial"/>
              </w:rPr>
            </w:pPr>
            <w:r>
              <w:rPr>
                <w:rFonts w:cs="Arial"/>
              </w:rPr>
              <w:t>In those not scheduled for surgery, 7/427 (1.6%) underwent surgery due to CMR</w:t>
            </w:r>
          </w:p>
        </w:tc>
        <w:tc>
          <w:tcPr>
            <w:tcW w:w="1130" w:type="pct"/>
          </w:tcPr>
          <w:p w14:paraId="42DAC4D2" w14:textId="0117D94E"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In those </w:t>
            </w:r>
            <w:r w:rsidR="000E270C">
              <w:rPr>
                <w:rFonts w:ascii="Arial Narrow" w:hAnsi="Arial Narrow" w:cs="Arial"/>
                <w:sz w:val="20"/>
                <w:szCs w:val="20"/>
              </w:rPr>
              <w:t xml:space="preserve">CM </w:t>
            </w:r>
            <w:r>
              <w:rPr>
                <w:rFonts w:ascii="Arial Narrow" w:hAnsi="Arial Narrow" w:cs="Arial"/>
                <w:sz w:val="20"/>
                <w:szCs w:val="20"/>
              </w:rPr>
              <w:t>patients who are likely to receive a device or surgery based on investigations prior to CMR, CMR is highly effective at reducing the number who receive devices and surgery. Only a small proportion of patients who would otherwise not receive devices or surgery have their treatment plan amended by CMR.</w:t>
            </w:r>
          </w:p>
        </w:tc>
        <w:tc>
          <w:tcPr>
            <w:tcW w:w="533" w:type="pct"/>
          </w:tcPr>
          <w:p w14:paraId="5DBD9689" w14:textId="77777777" w:rsidR="006559F3" w:rsidRPr="00305C0D"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Moderate</w:t>
            </w:r>
          </w:p>
          <w:p w14:paraId="4D44F556" w14:textId="77777777" w:rsidR="006559F3" w:rsidRPr="00305C0D" w:rsidRDefault="006559F3" w:rsidP="004C79C1">
            <w:pPr>
              <w:spacing w:after="120" w:line="240" w:lineRule="auto"/>
              <w:ind w:left="4" w:right="-113"/>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F12AEE" w14:paraId="332A06E2" w14:textId="77777777" w:rsidTr="00FB0B97">
        <w:tc>
          <w:tcPr>
            <w:tcW w:w="667" w:type="pct"/>
          </w:tcPr>
          <w:p w14:paraId="27263EA7" w14:textId="77777777" w:rsidR="006559F3"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Accuracy of CMR at distinguishing ICM from NIDCM</w:t>
            </w:r>
          </w:p>
        </w:tc>
        <w:tc>
          <w:tcPr>
            <w:tcW w:w="652" w:type="pct"/>
          </w:tcPr>
          <w:p w14:paraId="013E5474" w14:textId="62A53A98"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K=8 diagnostic accuracy studies</w:t>
            </w:r>
          </w:p>
          <w:p w14:paraId="4F3A9A11" w14:textId="29AEF5EB"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(K=6 vs ICA, K=2 vs clinical diagnosis)</w:t>
            </w:r>
          </w:p>
        </w:tc>
        <w:tc>
          <w:tcPr>
            <w:tcW w:w="932" w:type="pct"/>
          </w:tcPr>
          <w:p w14:paraId="1635534C"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16C956BD" w14:textId="7530255A"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Inconsistency: </w:t>
            </w:r>
            <w:r w:rsidR="0065689B">
              <w:rPr>
                <w:rFonts w:ascii="Arial Narrow" w:hAnsi="Arial Narrow" w:cs="Arial"/>
                <w:sz w:val="20"/>
                <w:szCs w:val="20"/>
              </w:rPr>
              <w:t>–</w:t>
            </w:r>
            <w:r>
              <w:rPr>
                <w:rFonts w:ascii="Arial Narrow" w:hAnsi="Arial Narrow" w:cs="Arial"/>
                <w:sz w:val="20"/>
                <w:szCs w:val="20"/>
              </w:rPr>
              <w:t xml:space="preserve">1 </w:t>
            </w:r>
          </w:p>
          <w:p w14:paraId="4511591E"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4594A02D" w14:textId="577D6FF4"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Imprecision: </w:t>
            </w:r>
            <w:r w:rsidR="0065689B">
              <w:rPr>
                <w:rFonts w:ascii="Arial Narrow" w:hAnsi="Arial Narrow" w:cs="Arial"/>
                <w:sz w:val="20"/>
                <w:szCs w:val="20"/>
              </w:rPr>
              <w:t>–</w:t>
            </w:r>
            <w:r>
              <w:rPr>
                <w:rFonts w:ascii="Arial Narrow" w:hAnsi="Arial Narrow" w:cs="Arial"/>
                <w:sz w:val="20"/>
                <w:szCs w:val="20"/>
              </w:rPr>
              <w:t>1</w:t>
            </w:r>
          </w:p>
          <w:p w14:paraId="71D1B4BD"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Publication bias: 0 </w:t>
            </w:r>
          </w:p>
        </w:tc>
        <w:tc>
          <w:tcPr>
            <w:tcW w:w="1086" w:type="pct"/>
            <w:shd w:val="clear" w:color="auto" w:fill="FFFFFF" w:themeFill="background1"/>
          </w:tcPr>
          <w:p w14:paraId="150FA110" w14:textId="7FE22CC1" w:rsidR="006559F3" w:rsidRDefault="006559F3" w:rsidP="004C79C1">
            <w:pPr>
              <w:pStyle w:val="Tabletext1"/>
              <w:spacing w:before="0" w:after="120"/>
              <w:ind w:left="4" w:right="-57"/>
              <w:rPr>
                <w:rFonts w:cs="Arial"/>
              </w:rPr>
            </w:pPr>
            <w:r>
              <w:rPr>
                <w:rFonts w:cs="Arial"/>
              </w:rPr>
              <w:t>Sensitivity = 0.68</w:t>
            </w:r>
            <w:r w:rsidR="0065689B">
              <w:rPr>
                <w:rFonts w:cs="Arial"/>
              </w:rPr>
              <w:t>–</w:t>
            </w:r>
            <w:r>
              <w:rPr>
                <w:rFonts w:cs="Arial"/>
              </w:rPr>
              <w:t>1.00</w:t>
            </w:r>
          </w:p>
          <w:p w14:paraId="13A29398" w14:textId="1C89EBB0" w:rsidR="006559F3" w:rsidRDefault="006559F3" w:rsidP="004C79C1">
            <w:pPr>
              <w:pStyle w:val="Tabletext1"/>
              <w:spacing w:before="0" w:after="120"/>
              <w:ind w:left="4" w:right="-57"/>
              <w:rPr>
                <w:rFonts w:cs="Arial"/>
              </w:rPr>
            </w:pPr>
            <w:r>
              <w:rPr>
                <w:rFonts w:cs="Arial"/>
              </w:rPr>
              <w:t>Specificity = 0.71</w:t>
            </w:r>
            <w:r w:rsidR="0065689B">
              <w:rPr>
                <w:rFonts w:cs="Arial"/>
              </w:rPr>
              <w:t>–</w:t>
            </w:r>
            <w:r>
              <w:rPr>
                <w:rFonts w:cs="Arial"/>
              </w:rPr>
              <w:t>1.00</w:t>
            </w:r>
          </w:p>
        </w:tc>
        <w:tc>
          <w:tcPr>
            <w:tcW w:w="1130" w:type="pct"/>
          </w:tcPr>
          <w:p w14:paraId="5F04EB35" w14:textId="77777777"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A high proportion of those with NIDCM may avoid ICD if imaged with CMR. </w:t>
            </w:r>
          </w:p>
        </w:tc>
        <w:tc>
          <w:tcPr>
            <w:tcW w:w="533" w:type="pct"/>
          </w:tcPr>
          <w:p w14:paraId="5AC04AE9" w14:textId="77777777" w:rsidR="006559F3" w:rsidRDefault="006559F3"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1E06B3C0" w14:textId="77777777"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to High</w:t>
            </w:r>
          </w:p>
          <w:p w14:paraId="022A7DD5" w14:textId="77777777" w:rsidR="006559F3" w:rsidRDefault="006559F3" w:rsidP="004C79C1">
            <w:pPr>
              <w:spacing w:after="120" w:line="240" w:lineRule="auto"/>
              <w:ind w:left="4" w:right="-71"/>
              <w:rPr>
                <w:rFonts w:ascii="Arial Narrow" w:hAnsi="Arial Narrow" w:cs="Arial"/>
                <w:sz w:val="20"/>
                <w:szCs w:val="20"/>
              </w:rPr>
            </w:pPr>
            <w:r w:rsidRPr="001B2E40">
              <w:rPr>
                <w:rFonts w:ascii="Cambria Math" w:hAnsi="Cambria Math" w:cs="Cambria Math"/>
                <w:color w:val="00B050"/>
                <w:sz w:val="20"/>
                <w:szCs w:val="20"/>
              </w:rPr>
              <w:t>⊕⊕⊕⊕</w:t>
            </w:r>
          </w:p>
        </w:tc>
      </w:tr>
      <w:tr w:rsidR="006559F3" w:rsidRPr="00F12AEE" w14:paraId="7192F50A" w14:textId="77777777" w:rsidTr="00FB0B97">
        <w:tc>
          <w:tcPr>
            <w:tcW w:w="667" w:type="pct"/>
          </w:tcPr>
          <w:p w14:paraId="6E56CFE9" w14:textId="77777777" w:rsidR="006559F3"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Accuracy of CMR vs CTCA, SPECT or stress Echo</w:t>
            </w:r>
          </w:p>
        </w:tc>
        <w:tc>
          <w:tcPr>
            <w:tcW w:w="652" w:type="pct"/>
          </w:tcPr>
          <w:p w14:paraId="13731D40" w14:textId="545C3280"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K=1 diagnostic accuracy study; 2 prognostic studies</w:t>
            </w:r>
          </w:p>
        </w:tc>
        <w:tc>
          <w:tcPr>
            <w:tcW w:w="932" w:type="pct"/>
          </w:tcPr>
          <w:p w14:paraId="4235E09D"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Risk of bias: 0</w:t>
            </w:r>
          </w:p>
          <w:p w14:paraId="27F6C200" w14:textId="610A7E75"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Inconsistency: </w:t>
            </w:r>
            <w:r w:rsidR="00B6693A">
              <w:rPr>
                <w:rFonts w:ascii="Arial Narrow" w:hAnsi="Arial Narrow" w:cs="Arial"/>
                <w:sz w:val="20"/>
                <w:szCs w:val="20"/>
              </w:rPr>
              <w:t>–</w:t>
            </w:r>
            <w:r>
              <w:rPr>
                <w:rFonts w:ascii="Arial Narrow" w:hAnsi="Arial Narrow" w:cs="Arial"/>
                <w:sz w:val="20"/>
                <w:szCs w:val="20"/>
              </w:rPr>
              <w:t>1</w:t>
            </w:r>
          </w:p>
          <w:p w14:paraId="407D411B"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Indirectness: 0</w:t>
            </w:r>
          </w:p>
          <w:p w14:paraId="2037911C" w14:textId="1087AE4C"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Imprecision: </w:t>
            </w:r>
            <w:r w:rsidR="00B6693A">
              <w:rPr>
                <w:rFonts w:ascii="Arial Narrow" w:hAnsi="Arial Narrow" w:cs="Arial"/>
                <w:sz w:val="20"/>
                <w:szCs w:val="20"/>
              </w:rPr>
              <w:t>–</w:t>
            </w:r>
            <w:r>
              <w:rPr>
                <w:rFonts w:ascii="Arial Narrow" w:hAnsi="Arial Narrow" w:cs="Arial"/>
                <w:sz w:val="20"/>
                <w:szCs w:val="20"/>
              </w:rPr>
              <w:t>1</w:t>
            </w:r>
          </w:p>
          <w:p w14:paraId="0EC6B305"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Publication bias: 0 </w:t>
            </w:r>
          </w:p>
        </w:tc>
        <w:tc>
          <w:tcPr>
            <w:tcW w:w="1086" w:type="pct"/>
            <w:shd w:val="clear" w:color="auto" w:fill="FFFFFF" w:themeFill="background1"/>
          </w:tcPr>
          <w:p w14:paraId="77CE841B" w14:textId="6E0A1A03"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Only very limited evidence compared </w:t>
            </w:r>
            <w:r w:rsidR="00B6693A">
              <w:rPr>
                <w:rFonts w:ascii="Arial Narrow" w:hAnsi="Arial Narrow" w:cs="Arial"/>
                <w:sz w:val="20"/>
                <w:szCs w:val="20"/>
              </w:rPr>
              <w:t xml:space="preserve">with </w:t>
            </w:r>
            <w:r>
              <w:rPr>
                <w:rFonts w:ascii="Arial Narrow" w:hAnsi="Arial Narrow" w:cs="Arial"/>
                <w:sz w:val="20"/>
                <w:szCs w:val="20"/>
              </w:rPr>
              <w:t xml:space="preserve">CTCA </w:t>
            </w:r>
          </w:p>
          <w:p w14:paraId="48AEEFFA" w14:textId="09D31679"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Contradictory evidence compared </w:t>
            </w:r>
            <w:r w:rsidR="00B6693A">
              <w:rPr>
                <w:rFonts w:ascii="Arial Narrow" w:hAnsi="Arial Narrow" w:cs="Arial"/>
                <w:sz w:val="20"/>
                <w:szCs w:val="20"/>
              </w:rPr>
              <w:t xml:space="preserve">with </w:t>
            </w:r>
            <w:r>
              <w:rPr>
                <w:rFonts w:ascii="Arial Narrow" w:hAnsi="Arial Narrow" w:cs="Arial"/>
                <w:sz w:val="20"/>
                <w:szCs w:val="20"/>
              </w:rPr>
              <w:t>SPECT</w:t>
            </w:r>
          </w:p>
          <w:p w14:paraId="7A392082" w14:textId="4EA46779" w:rsidR="006559F3" w:rsidRDefault="006559F3" w:rsidP="004C79C1">
            <w:pPr>
              <w:pStyle w:val="Tabletext1"/>
              <w:spacing w:before="0" w:after="120"/>
              <w:ind w:left="4" w:right="-57"/>
              <w:rPr>
                <w:rFonts w:cs="Arial"/>
              </w:rPr>
            </w:pPr>
            <w:r>
              <w:rPr>
                <w:rFonts w:cs="Arial"/>
              </w:rPr>
              <w:t xml:space="preserve">No evidence compared </w:t>
            </w:r>
            <w:r w:rsidR="00B6693A">
              <w:rPr>
                <w:rFonts w:cs="Arial"/>
              </w:rPr>
              <w:t xml:space="preserve">with </w:t>
            </w:r>
            <w:r>
              <w:rPr>
                <w:rFonts w:cs="Arial"/>
              </w:rPr>
              <w:t>stress Echo</w:t>
            </w:r>
          </w:p>
        </w:tc>
        <w:tc>
          <w:tcPr>
            <w:tcW w:w="1130" w:type="pct"/>
          </w:tcPr>
          <w:p w14:paraId="7CA1217F" w14:textId="77777777" w:rsidR="006559F3"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Conclusions on the comparative accuracy or prognostic benefit of CMR vs alternative non-imaging techniques cannot be made. </w:t>
            </w:r>
          </w:p>
        </w:tc>
        <w:tc>
          <w:tcPr>
            <w:tcW w:w="533" w:type="pct"/>
          </w:tcPr>
          <w:p w14:paraId="4C8EF228" w14:textId="77777777" w:rsidR="006559F3" w:rsidRPr="00305C0D" w:rsidRDefault="006559F3" w:rsidP="004C79C1">
            <w:pPr>
              <w:spacing w:after="120" w:line="240" w:lineRule="auto"/>
              <w:ind w:left="4" w:right="-57"/>
              <w:rPr>
                <w:rFonts w:ascii="Arial Narrow" w:hAnsi="Arial Narrow" w:cs="Arial"/>
                <w:sz w:val="20"/>
                <w:szCs w:val="20"/>
              </w:rPr>
            </w:pPr>
            <w:r w:rsidRPr="00305C0D">
              <w:rPr>
                <w:rFonts w:ascii="Arial Narrow" w:hAnsi="Arial Narrow" w:cs="Arial"/>
                <w:sz w:val="20"/>
                <w:szCs w:val="20"/>
              </w:rPr>
              <w:t>Very low</w:t>
            </w:r>
          </w:p>
          <w:p w14:paraId="22ECCD76" w14:textId="77777777" w:rsidR="006559F3"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00B050"/>
                <w:sz w:val="20"/>
                <w:szCs w:val="20"/>
              </w:rPr>
              <w:t>⊕</w:t>
            </w:r>
            <w:r w:rsidRPr="001B2E40">
              <w:rPr>
                <w:rFonts w:ascii="Cambria Math" w:hAnsi="Cambria Math" w:cs="Cambria Math"/>
                <w:color w:val="FF0000"/>
                <w:sz w:val="20"/>
                <w:szCs w:val="20"/>
              </w:rPr>
              <w:t>⨀⨀⨀</w:t>
            </w:r>
          </w:p>
        </w:tc>
      </w:tr>
      <w:tr w:rsidR="006559F3" w:rsidRPr="00F12AEE" w14:paraId="4D9D9B94" w14:textId="77777777" w:rsidTr="00FB0B97">
        <w:tc>
          <w:tcPr>
            <w:tcW w:w="667" w:type="pct"/>
          </w:tcPr>
          <w:p w14:paraId="2DCF8449" w14:textId="77777777" w:rsidR="006559F3" w:rsidRPr="00F12AEE" w:rsidRDefault="006559F3" w:rsidP="004C79C1">
            <w:pPr>
              <w:tabs>
                <w:tab w:val="left" w:pos="268"/>
              </w:tabs>
              <w:spacing w:after="120" w:line="240" w:lineRule="auto"/>
              <w:ind w:left="4" w:right="-80"/>
              <w:rPr>
                <w:rFonts w:ascii="Arial Narrow" w:hAnsi="Arial Narrow" w:cs="Arial"/>
                <w:sz w:val="20"/>
                <w:szCs w:val="20"/>
              </w:rPr>
            </w:pPr>
            <w:r>
              <w:rPr>
                <w:rFonts w:ascii="Arial Narrow" w:hAnsi="Arial Narrow" w:cs="Arial"/>
                <w:sz w:val="20"/>
                <w:szCs w:val="20"/>
              </w:rPr>
              <w:t>Safety of CMR vs ICD</w:t>
            </w:r>
          </w:p>
        </w:tc>
        <w:tc>
          <w:tcPr>
            <w:tcW w:w="652" w:type="pct"/>
          </w:tcPr>
          <w:p w14:paraId="0D129D8B"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N/A</w:t>
            </w:r>
          </w:p>
        </w:tc>
        <w:tc>
          <w:tcPr>
            <w:tcW w:w="932" w:type="pct"/>
          </w:tcPr>
          <w:p w14:paraId="1E3299BE"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N/A</w:t>
            </w:r>
          </w:p>
        </w:tc>
        <w:tc>
          <w:tcPr>
            <w:tcW w:w="1086" w:type="pct"/>
          </w:tcPr>
          <w:p w14:paraId="1640C300" w14:textId="77777777" w:rsidR="006559F3" w:rsidRPr="00F12AEE" w:rsidRDefault="006559F3" w:rsidP="004C79C1">
            <w:pPr>
              <w:pStyle w:val="Tabletext1"/>
              <w:spacing w:before="0" w:after="120"/>
              <w:ind w:left="4" w:right="-57"/>
              <w:rPr>
                <w:rFonts w:cs="Arial"/>
              </w:rPr>
            </w:pPr>
            <w:r>
              <w:rPr>
                <w:rFonts w:cs="Arial"/>
              </w:rPr>
              <w:t>Being an invasive procedure, ICAs have a higher risk of adverse events than non-invasive imaging. CMR rules out the need for those without signs of ischaemia to have an ICA.</w:t>
            </w:r>
          </w:p>
        </w:tc>
        <w:tc>
          <w:tcPr>
            <w:tcW w:w="1130" w:type="pct"/>
          </w:tcPr>
          <w:p w14:paraId="4D859A96"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 xml:space="preserve">CMR is a safer procedure than ICA, and non-ischaemic patients therefore benefit from being imaged with CMR rather than ICA. </w:t>
            </w:r>
          </w:p>
        </w:tc>
        <w:tc>
          <w:tcPr>
            <w:tcW w:w="533" w:type="pct"/>
          </w:tcPr>
          <w:p w14:paraId="19884031" w14:textId="77777777" w:rsidR="006559F3" w:rsidRPr="00305C0D"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t>Not identified</w:t>
            </w:r>
          </w:p>
          <w:p w14:paraId="1B134728" w14:textId="77777777" w:rsidR="006559F3" w:rsidRPr="00F12AEE" w:rsidRDefault="006559F3" w:rsidP="004C79C1">
            <w:pPr>
              <w:spacing w:after="120" w:line="240" w:lineRule="auto"/>
              <w:ind w:left="4" w:right="-57"/>
              <w:rPr>
                <w:rFonts w:ascii="Arial Narrow" w:hAnsi="Arial Narrow" w:cs="Arial"/>
                <w:sz w:val="20"/>
                <w:szCs w:val="20"/>
              </w:rPr>
            </w:pPr>
            <w:r w:rsidRPr="001B2E40">
              <w:rPr>
                <w:rFonts w:ascii="Cambria Math" w:hAnsi="Cambria Math" w:cs="Cambria Math"/>
                <w:color w:val="FF0000"/>
                <w:sz w:val="20"/>
                <w:szCs w:val="20"/>
              </w:rPr>
              <w:t>⨀⨀⨀⨀</w:t>
            </w:r>
          </w:p>
        </w:tc>
      </w:tr>
      <w:tr w:rsidR="006559F3" w:rsidRPr="00F12AEE" w14:paraId="296E521C" w14:textId="77777777" w:rsidTr="00FB0B97">
        <w:tc>
          <w:tcPr>
            <w:tcW w:w="667" w:type="pct"/>
          </w:tcPr>
          <w:p w14:paraId="326652A2" w14:textId="77777777" w:rsidR="006559F3" w:rsidRDefault="006559F3" w:rsidP="004C79C1">
            <w:pPr>
              <w:tabs>
                <w:tab w:val="left" w:pos="268"/>
              </w:tabs>
              <w:spacing w:after="120" w:line="240" w:lineRule="auto"/>
              <w:ind w:right="-80"/>
              <w:rPr>
                <w:rFonts w:ascii="Arial Narrow" w:hAnsi="Arial Narrow" w:cs="Arial"/>
                <w:sz w:val="20"/>
                <w:szCs w:val="20"/>
              </w:rPr>
            </w:pPr>
            <w:r>
              <w:rPr>
                <w:rFonts w:ascii="Arial Narrow" w:hAnsi="Arial Narrow" w:cs="Arial"/>
                <w:sz w:val="20"/>
                <w:szCs w:val="20"/>
              </w:rPr>
              <w:t>Effectiveness of revascular-</w:t>
            </w:r>
            <w:r>
              <w:rPr>
                <w:rFonts w:ascii="Arial Narrow" w:hAnsi="Arial Narrow" w:cs="Arial"/>
                <w:sz w:val="20"/>
                <w:szCs w:val="20"/>
              </w:rPr>
              <w:lastRenderedPageBreak/>
              <w:t>isation for ICM</w:t>
            </w:r>
          </w:p>
        </w:tc>
        <w:tc>
          <w:tcPr>
            <w:tcW w:w="652" w:type="pct"/>
          </w:tcPr>
          <w:p w14:paraId="1A7CF0D6" w14:textId="18D9DDE9"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N=93</w:t>
            </w:r>
            <w:r w:rsidR="0047298A">
              <w:rPr>
                <w:rFonts w:ascii="Arial Narrow" w:hAnsi="Arial Narrow" w:cs="Arial"/>
                <w:sz w:val="20"/>
                <w:szCs w:val="20"/>
              </w:rPr>
              <w:t>,</w:t>
            </w:r>
            <w:r>
              <w:rPr>
                <w:rFonts w:ascii="Arial Narrow" w:hAnsi="Arial Narrow" w:cs="Arial"/>
                <w:sz w:val="20"/>
                <w:szCs w:val="20"/>
              </w:rPr>
              <w:t>553</w:t>
            </w:r>
          </w:p>
          <w:p w14:paraId="46300F5E" w14:textId="4AECA33A"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K=100 RCTs</w:t>
            </w:r>
          </w:p>
          <w:p w14:paraId="3CCA69E2" w14:textId="77777777" w:rsidR="006559F3" w:rsidRPr="00F12AEE" w:rsidRDefault="006559F3" w:rsidP="004C79C1">
            <w:pPr>
              <w:spacing w:after="120" w:line="240" w:lineRule="auto"/>
              <w:ind w:left="4"/>
              <w:rPr>
                <w:rFonts w:ascii="Arial Narrow" w:hAnsi="Arial Narrow" w:cs="Arial"/>
                <w:sz w:val="20"/>
                <w:szCs w:val="20"/>
              </w:rPr>
            </w:pPr>
          </w:p>
        </w:tc>
        <w:tc>
          <w:tcPr>
            <w:tcW w:w="932" w:type="pct"/>
          </w:tcPr>
          <w:p w14:paraId="3C4CC9AF" w14:textId="733EC44E"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lastRenderedPageBreak/>
              <w:t xml:space="preserve">Risk of bias: </w:t>
            </w:r>
            <w:r w:rsidR="0047298A">
              <w:rPr>
                <w:rFonts w:ascii="Arial Narrow" w:hAnsi="Arial Narrow" w:cs="Arial"/>
                <w:sz w:val="20"/>
                <w:szCs w:val="20"/>
              </w:rPr>
              <w:t>–</w:t>
            </w:r>
            <w:r>
              <w:rPr>
                <w:rFonts w:ascii="Arial Narrow" w:hAnsi="Arial Narrow" w:cs="Arial"/>
                <w:sz w:val="20"/>
                <w:szCs w:val="20"/>
              </w:rPr>
              <w:t>1</w:t>
            </w:r>
          </w:p>
          <w:p w14:paraId="68E21C75" w14:textId="77777777" w:rsidR="006559F3" w:rsidRPr="00F12AEE" w:rsidRDefault="006559F3" w:rsidP="004C79C1">
            <w:pPr>
              <w:spacing w:after="120" w:line="240" w:lineRule="auto"/>
              <w:ind w:left="4"/>
              <w:rPr>
                <w:rFonts w:ascii="Arial Narrow" w:hAnsi="Arial Narrow" w:cs="Arial"/>
                <w:sz w:val="20"/>
                <w:szCs w:val="20"/>
              </w:rPr>
            </w:pPr>
            <w:r w:rsidRPr="00F12AEE">
              <w:rPr>
                <w:rFonts w:ascii="Arial Narrow" w:hAnsi="Arial Narrow" w:cs="Arial"/>
                <w:sz w:val="20"/>
                <w:szCs w:val="20"/>
              </w:rPr>
              <w:lastRenderedPageBreak/>
              <w:t>Inconsistency:</w:t>
            </w:r>
            <w:r>
              <w:rPr>
                <w:rFonts w:ascii="Arial Narrow" w:hAnsi="Arial Narrow" w:cs="Arial"/>
                <w:sz w:val="20"/>
                <w:szCs w:val="20"/>
              </w:rPr>
              <w:t xml:space="preserve"> 0</w:t>
            </w:r>
          </w:p>
          <w:p w14:paraId="456AA532" w14:textId="49FDD52D"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 xml:space="preserve">Indirectness: </w:t>
            </w:r>
            <w:r w:rsidR="0047298A">
              <w:rPr>
                <w:rFonts w:ascii="Arial Narrow" w:hAnsi="Arial Narrow" w:cs="Arial"/>
                <w:sz w:val="20"/>
                <w:szCs w:val="20"/>
              </w:rPr>
              <w:t>–</w:t>
            </w:r>
            <w:r>
              <w:rPr>
                <w:rFonts w:ascii="Arial Narrow" w:hAnsi="Arial Narrow" w:cs="Arial"/>
                <w:sz w:val="20"/>
                <w:szCs w:val="20"/>
              </w:rPr>
              <w:t>1</w:t>
            </w:r>
          </w:p>
          <w:p w14:paraId="27505033" w14:textId="77777777" w:rsidR="006559F3"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Imprecision: 0</w:t>
            </w:r>
          </w:p>
          <w:p w14:paraId="4F21709F" w14:textId="77777777" w:rsidR="006559F3" w:rsidRPr="00F12AEE" w:rsidRDefault="006559F3" w:rsidP="004C79C1">
            <w:pPr>
              <w:spacing w:after="120" w:line="240" w:lineRule="auto"/>
              <w:ind w:left="4"/>
              <w:rPr>
                <w:rFonts w:ascii="Arial Narrow" w:hAnsi="Arial Narrow" w:cs="Arial"/>
                <w:sz w:val="20"/>
                <w:szCs w:val="20"/>
              </w:rPr>
            </w:pPr>
            <w:r>
              <w:rPr>
                <w:rFonts w:ascii="Arial Narrow" w:hAnsi="Arial Narrow" w:cs="Arial"/>
                <w:sz w:val="20"/>
                <w:szCs w:val="20"/>
              </w:rPr>
              <w:t>Publication bias: 0</w:t>
            </w:r>
          </w:p>
        </w:tc>
        <w:tc>
          <w:tcPr>
            <w:tcW w:w="1086" w:type="pct"/>
          </w:tcPr>
          <w:p w14:paraId="50EA5129" w14:textId="467FD361" w:rsidR="006559F3" w:rsidRDefault="006559F3" w:rsidP="004C79C1">
            <w:pPr>
              <w:pStyle w:val="Tabletext1"/>
              <w:spacing w:before="0" w:after="120"/>
              <w:ind w:left="4" w:right="-57"/>
              <w:rPr>
                <w:rFonts w:cs="Arial"/>
              </w:rPr>
            </w:pPr>
            <w:r>
              <w:rPr>
                <w:rFonts w:cs="Arial"/>
              </w:rPr>
              <w:lastRenderedPageBreak/>
              <w:t xml:space="preserve">CABG reduces risk of death, myocardial </w:t>
            </w:r>
            <w:r>
              <w:rPr>
                <w:rFonts w:cs="Arial"/>
              </w:rPr>
              <w:lastRenderedPageBreak/>
              <w:t xml:space="preserve">infarction and subsequent revascularisation, compared </w:t>
            </w:r>
            <w:r w:rsidR="0047298A">
              <w:rPr>
                <w:rFonts w:cs="Arial"/>
              </w:rPr>
              <w:t xml:space="preserve">with </w:t>
            </w:r>
            <w:r>
              <w:rPr>
                <w:rFonts w:cs="Arial"/>
              </w:rPr>
              <w:t xml:space="preserve">medical treatment alone. </w:t>
            </w:r>
          </w:p>
          <w:p w14:paraId="48388416" w14:textId="30DD1C83" w:rsidR="006559F3" w:rsidRPr="00F12AEE" w:rsidRDefault="006559F3" w:rsidP="004C79C1">
            <w:pPr>
              <w:pStyle w:val="Tabletext1"/>
              <w:spacing w:before="0" w:after="120"/>
              <w:ind w:left="4" w:right="-57"/>
              <w:rPr>
                <w:rFonts w:cs="Arial"/>
              </w:rPr>
            </w:pPr>
            <w:r>
              <w:rPr>
                <w:rFonts w:cs="Arial"/>
              </w:rPr>
              <w:t>No data specific for LGE– patients</w:t>
            </w:r>
          </w:p>
        </w:tc>
        <w:tc>
          <w:tcPr>
            <w:tcW w:w="1130" w:type="pct"/>
          </w:tcPr>
          <w:p w14:paraId="3B3012F0" w14:textId="77777777" w:rsidR="006559F3" w:rsidRPr="00F12AEE" w:rsidRDefault="006559F3" w:rsidP="004C79C1">
            <w:pPr>
              <w:spacing w:after="120" w:line="240" w:lineRule="auto"/>
              <w:ind w:left="4" w:right="-57"/>
              <w:rPr>
                <w:rFonts w:ascii="Arial Narrow" w:hAnsi="Arial Narrow" w:cs="Arial"/>
                <w:sz w:val="20"/>
                <w:szCs w:val="20"/>
              </w:rPr>
            </w:pPr>
            <w:r>
              <w:rPr>
                <w:rFonts w:ascii="Arial Narrow" w:hAnsi="Arial Narrow" w:cs="Arial"/>
                <w:sz w:val="20"/>
                <w:szCs w:val="20"/>
              </w:rPr>
              <w:lastRenderedPageBreak/>
              <w:t xml:space="preserve">Correct identification of ICM is likely to be </w:t>
            </w:r>
            <w:r>
              <w:rPr>
                <w:rFonts w:ascii="Arial Narrow" w:hAnsi="Arial Narrow" w:cs="Arial"/>
                <w:sz w:val="20"/>
                <w:szCs w:val="20"/>
              </w:rPr>
              <w:lastRenderedPageBreak/>
              <w:t xml:space="preserve">beneficial to patient mortality and other outcomes. However, the impact of an incorrect diagnosis of NIDCM in those who are LGE– is unknown. </w:t>
            </w:r>
          </w:p>
        </w:tc>
        <w:tc>
          <w:tcPr>
            <w:tcW w:w="533" w:type="pct"/>
          </w:tcPr>
          <w:p w14:paraId="3E535DF3" w14:textId="77777777" w:rsidR="006559F3" w:rsidRDefault="006559F3" w:rsidP="004C79C1">
            <w:pPr>
              <w:spacing w:after="120" w:line="240" w:lineRule="auto"/>
              <w:ind w:left="4" w:right="-57"/>
              <w:rPr>
                <w:rFonts w:ascii="Cambria Math" w:hAnsi="Cambria Math" w:cs="Cambria Math"/>
                <w:color w:val="FF0000"/>
                <w:sz w:val="20"/>
                <w:szCs w:val="20"/>
              </w:rPr>
            </w:pPr>
            <w:r>
              <w:rPr>
                <w:rFonts w:ascii="Arial Narrow" w:hAnsi="Arial Narrow" w:cs="Arial"/>
                <w:sz w:val="20"/>
                <w:szCs w:val="20"/>
              </w:rPr>
              <w:lastRenderedPageBreak/>
              <w:t>L</w:t>
            </w:r>
            <w:r w:rsidRPr="00305C0D">
              <w:rPr>
                <w:rFonts w:ascii="Arial Narrow" w:hAnsi="Arial Narrow" w:cs="Arial"/>
                <w:sz w:val="20"/>
                <w:szCs w:val="20"/>
              </w:rPr>
              <w:t>ow</w:t>
            </w:r>
            <w:r w:rsidRPr="001B2E40">
              <w:rPr>
                <w:rFonts w:ascii="Cambria Math" w:hAnsi="Cambria Math" w:cs="Cambria Math"/>
                <w:color w:val="00B050"/>
                <w:sz w:val="20"/>
                <w:szCs w:val="20"/>
              </w:rPr>
              <w:t xml:space="preserve"> ⊕⊕</w:t>
            </w:r>
            <w:r w:rsidRPr="001B2E40">
              <w:rPr>
                <w:rFonts w:ascii="Cambria Math" w:hAnsi="Cambria Math" w:cs="Cambria Math"/>
                <w:color w:val="FF0000"/>
                <w:sz w:val="20"/>
                <w:szCs w:val="20"/>
              </w:rPr>
              <w:t>⨀⨀</w:t>
            </w:r>
          </w:p>
          <w:p w14:paraId="1F48082C" w14:textId="77777777" w:rsidR="006559F3" w:rsidRPr="00F12AEE" w:rsidRDefault="006559F3" w:rsidP="004C79C1">
            <w:pPr>
              <w:spacing w:after="120" w:line="240" w:lineRule="auto"/>
              <w:ind w:left="4" w:right="-141"/>
              <w:rPr>
                <w:rFonts w:ascii="Arial Narrow" w:hAnsi="Arial Narrow" w:cs="Arial"/>
                <w:sz w:val="20"/>
                <w:szCs w:val="20"/>
              </w:rPr>
            </w:pPr>
          </w:p>
        </w:tc>
      </w:tr>
    </w:tbl>
    <w:p w14:paraId="0850B2A6" w14:textId="7EE689CC" w:rsidR="006559F3" w:rsidRDefault="00C4425A" w:rsidP="004C79C1">
      <w:pPr>
        <w:pStyle w:val="Tablenotes0"/>
        <w:spacing w:before="0" w:after="120"/>
      </w:pPr>
      <w:r>
        <w:lastRenderedPageBreak/>
        <w:t xml:space="preserve">CABG = </w:t>
      </w:r>
      <w:r w:rsidRPr="00C80E19">
        <w:t>coronary artery bypass graft</w:t>
      </w:r>
      <w:r>
        <w:t xml:space="preserve">; </w:t>
      </w:r>
      <w:r w:rsidR="00180749" w:rsidRPr="00AB3C15">
        <w:t xml:space="preserve">CAD = coronary artery disease; CMR = cardiac magnetic resonance </w:t>
      </w:r>
      <w:r w:rsidR="000C188E">
        <w:t>(</w:t>
      </w:r>
      <w:r w:rsidR="000C188E" w:rsidRPr="00FA186D">
        <w:t>imaging</w:t>
      </w:r>
      <w:r w:rsidR="000C188E">
        <w:t>)</w:t>
      </w:r>
      <w:r w:rsidR="00180749" w:rsidRPr="00AB3C15">
        <w:t xml:space="preserve">; </w:t>
      </w:r>
      <w:r w:rsidR="006360C4">
        <w:t xml:space="preserve">CTCA = </w:t>
      </w:r>
      <w:r w:rsidR="00A0727C">
        <w:t>c</w:t>
      </w:r>
      <w:r w:rsidR="00A0727C" w:rsidRPr="00C80E19">
        <w:t>omputed tomography coronary angiography</w:t>
      </w:r>
      <w:r w:rsidR="006360C4">
        <w:t xml:space="preserve">; Echo = </w:t>
      </w:r>
      <w:r>
        <w:t>e</w:t>
      </w:r>
      <w:r w:rsidRPr="00C80E19">
        <w:t>chocardiography</w:t>
      </w:r>
      <w:r w:rsidR="006360C4">
        <w:t xml:space="preserve">; ICA = </w:t>
      </w:r>
      <w:r w:rsidR="00A0727C">
        <w:t>i</w:t>
      </w:r>
      <w:r w:rsidR="00A0727C" w:rsidRPr="00C80E19">
        <w:t>nvasive coronary angiography</w:t>
      </w:r>
      <w:r w:rsidR="006360C4">
        <w:t xml:space="preserve">; </w:t>
      </w:r>
      <w:r w:rsidR="00180749" w:rsidRPr="00AB3C15">
        <w:t xml:space="preserve">ICD = implantable cardioverter defibrillator; </w:t>
      </w:r>
      <w:r w:rsidR="00BB2BC9">
        <w:t>I</w:t>
      </w:r>
      <w:r w:rsidR="00BB2BC9" w:rsidRPr="00AB3C15">
        <w:t xml:space="preserve">CM = </w:t>
      </w:r>
      <w:r w:rsidR="00BB2BC9">
        <w:t>i</w:t>
      </w:r>
      <w:r w:rsidR="00BB2BC9" w:rsidRPr="00AB3C15">
        <w:rPr>
          <w:color w:val="000000"/>
          <w:szCs w:val="24"/>
        </w:rPr>
        <w:t>schaemic</w:t>
      </w:r>
      <w:r w:rsidR="00BB2BC9">
        <w:rPr>
          <w:color w:val="000000"/>
          <w:szCs w:val="24"/>
        </w:rPr>
        <w:t xml:space="preserve"> </w:t>
      </w:r>
      <w:r w:rsidR="00BB2BC9" w:rsidRPr="00AB3C15">
        <w:t>cardiomyopathy;</w:t>
      </w:r>
      <w:r w:rsidR="00BB2BC9">
        <w:t xml:space="preserve"> </w:t>
      </w:r>
      <w:r w:rsidR="00750152">
        <w:t xml:space="preserve">K = number of studies; </w:t>
      </w:r>
      <w:r w:rsidR="00180749">
        <w:t xml:space="preserve">LGE = </w:t>
      </w:r>
      <w:r w:rsidR="00180749" w:rsidRPr="00C80E19">
        <w:t>late gadolinium enhancement</w:t>
      </w:r>
      <w:r w:rsidR="00180749">
        <w:t>;</w:t>
      </w:r>
      <w:r w:rsidR="00180749" w:rsidRPr="00AB3C15">
        <w:t xml:space="preserve"> </w:t>
      </w:r>
      <w:r w:rsidR="00750152">
        <w:t xml:space="preserve">N = number of patients; </w:t>
      </w:r>
      <w:r w:rsidR="00180749" w:rsidRPr="00AB3C15">
        <w:t xml:space="preserve">NIDCM = </w:t>
      </w:r>
      <w:r w:rsidR="00180749" w:rsidRPr="00AB3C15">
        <w:rPr>
          <w:color w:val="000000"/>
          <w:szCs w:val="24"/>
        </w:rPr>
        <w:t>non-ischaemic dilated cardiomyopathy</w:t>
      </w:r>
      <w:r w:rsidR="00180749" w:rsidRPr="00AB3C15">
        <w:t xml:space="preserve">; </w:t>
      </w:r>
      <w:r>
        <w:t xml:space="preserve">RCT = </w:t>
      </w:r>
      <w:r w:rsidR="009739D1">
        <w:t>randomised controlled trial</w:t>
      </w:r>
      <w:r>
        <w:t xml:space="preserve">; </w:t>
      </w:r>
      <w:r w:rsidR="00180749" w:rsidRPr="00AB3C15">
        <w:t>RR = relative risk</w:t>
      </w:r>
      <w:r w:rsidR="00EF7EF7">
        <w:t xml:space="preserve">; </w:t>
      </w:r>
      <w:r w:rsidR="006360C4">
        <w:t xml:space="preserve">SPECT = </w:t>
      </w:r>
      <w:r w:rsidR="00716CE8">
        <w:t>s</w:t>
      </w:r>
      <w:r w:rsidR="00716CE8" w:rsidRPr="00C80E19">
        <w:t>ingle</w:t>
      </w:r>
      <w:r w:rsidR="00716CE8">
        <w:t>-</w:t>
      </w:r>
      <w:r w:rsidR="00716CE8" w:rsidRPr="00C80E19">
        <w:t>photon emission computed tomography</w:t>
      </w:r>
      <w:r w:rsidR="00716CE8" w:rsidDel="006360C4">
        <w:t xml:space="preserve"> </w:t>
      </w:r>
    </w:p>
    <w:p w14:paraId="398096E1" w14:textId="5720050C" w:rsidR="00521084" w:rsidRDefault="00521084" w:rsidP="004C79C1">
      <w:pPr>
        <w:spacing w:after="120" w:line="240" w:lineRule="auto"/>
      </w:pPr>
    </w:p>
    <w:p w14:paraId="026E8690" w14:textId="77777777" w:rsidR="00E96446" w:rsidRPr="00521084" w:rsidRDefault="00E96446" w:rsidP="004C79C1">
      <w:pPr>
        <w:spacing w:after="120" w:line="240" w:lineRule="auto"/>
        <w:sectPr w:rsidR="00E96446" w:rsidRPr="00521084" w:rsidSect="00E96446">
          <w:headerReference w:type="even" r:id="rId64"/>
          <w:headerReference w:type="default" r:id="rId65"/>
          <w:footerReference w:type="even" r:id="rId66"/>
          <w:headerReference w:type="first" r:id="rId67"/>
          <w:type w:val="oddPage"/>
          <w:pgSz w:w="11906" w:h="16838"/>
          <w:pgMar w:top="1440" w:right="1440" w:bottom="1440" w:left="1440" w:header="720" w:footer="720" w:gutter="0"/>
          <w:paperSrc w:first="7" w:other="7"/>
          <w:cols w:space="720"/>
        </w:sectPr>
      </w:pPr>
    </w:p>
    <w:p w14:paraId="59E49672" w14:textId="6E3EFDF2" w:rsidR="00306F6C" w:rsidRPr="00183E4D" w:rsidRDefault="00306F6C" w:rsidP="004C79C1">
      <w:pPr>
        <w:pStyle w:val="Heading1"/>
        <w:spacing w:after="120" w:line="240" w:lineRule="auto"/>
        <w:jc w:val="both"/>
      </w:pPr>
      <w:bookmarkStart w:id="506" w:name="_Toc451501366"/>
      <w:r w:rsidRPr="00183E4D">
        <w:lastRenderedPageBreak/>
        <w:t>Section C</w:t>
      </w:r>
      <w:r w:rsidRPr="00183E4D">
        <w:tab/>
        <w:t>Translation Issues</w:t>
      </w:r>
      <w:bookmarkEnd w:id="506"/>
    </w:p>
    <w:p w14:paraId="396789B0" w14:textId="77777777" w:rsidR="00F468E8" w:rsidRDefault="00C82412" w:rsidP="004C79C1">
      <w:pPr>
        <w:pStyle w:val="Heading2"/>
        <w:numPr>
          <w:ilvl w:val="2"/>
          <w:numId w:val="95"/>
        </w:numPr>
        <w:spacing w:before="0" w:after="120" w:line="240" w:lineRule="auto"/>
      </w:pPr>
      <w:bookmarkStart w:id="507" w:name="_Toc451501367"/>
      <w:bookmarkStart w:id="508" w:name="_Toc432677401"/>
      <w:bookmarkStart w:id="509" w:name="_Toc379118089"/>
      <w:r>
        <w:t>Overview</w:t>
      </w:r>
      <w:bookmarkEnd w:id="507"/>
    </w:p>
    <w:p w14:paraId="05A5FA94" w14:textId="65DB338B" w:rsidR="00F468E8" w:rsidRPr="00F468E8" w:rsidRDefault="00F468E8" w:rsidP="004C79C1">
      <w:pPr>
        <w:spacing w:after="120" w:line="240" w:lineRule="auto"/>
        <w:jc w:val="both"/>
      </w:pPr>
      <w:r w:rsidRPr="00F468E8">
        <w:t xml:space="preserve">The clinical data presented in </w:t>
      </w:r>
      <w:r w:rsidR="005C5167">
        <w:t>s</w:t>
      </w:r>
      <w:r w:rsidRPr="00F468E8">
        <w:t>ection B, where relevant and appropriate, was incorporated into the related economic analyses, without quantitative translation. The applicability of data is discussed where it is presented under the ‘Inputs’ section of the relevant analysis. Thus</w:t>
      </w:r>
      <w:r w:rsidR="002E7C01">
        <w:t>,</w:t>
      </w:r>
      <w:r w:rsidRPr="00F468E8">
        <w:t xml:space="preserve"> there are no translation studies to present in </w:t>
      </w:r>
      <w:r w:rsidR="005C5167">
        <w:t>s</w:t>
      </w:r>
      <w:r w:rsidRPr="00F468E8">
        <w:t>ection C.</w:t>
      </w:r>
    </w:p>
    <w:bookmarkEnd w:id="508"/>
    <w:p w14:paraId="314EBCA8" w14:textId="77777777" w:rsidR="00C82412" w:rsidRPr="000A546E" w:rsidRDefault="00C82412" w:rsidP="004C79C1">
      <w:pPr>
        <w:pStyle w:val="Tablenotes0"/>
        <w:spacing w:before="0" w:after="120"/>
      </w:pPr>
    </w:p>
    <w:p w14:paraId="34A858DE" w14:textId="77777777" w:rsidR="00C82412" w:rsidRPr="00183E4D" w:rsidRDefault="00C82412" w:rsidP="004C79C1">
      <w:pPr>
        <w:pStyle w:val="Heading1"/>
        <w:spacing w:after="120" w:line="240" w:lineRule="auto"/>
        <w:jc w:val="both"/>
      </w:pPr>
      <w:bookmarkStart w:id="510" w:name="_Toc379118086"/>
      <w:bookmarkStart w:id="511" w:name="_Toc381796473"/>
      <w:bookmarkStart w:id="512" w:name="_Toc432677407"/>
      <w:bookmarkStart w:id="513" w:name="_Toc451501368"/>
      <w:r w:rsidRPr="00183E4D">
        <w:lastRenderedPageBreak/>
        <w:t>Section D</w:t>
      </w:r>
      <w:r w:rsidRPr="00183E4D">
        <w:tab/>
        <w:t>Economic Evaluation</w:t>
      </w:r>
      <w:bookmarkEnd w:id="510"/>
      <w:bookmarkEnd w:id="511"/>
      <w:bookmarkEnd w:id="512"/>
      <w:bookmarkEnd w:id="513"/>
    </w:p>
    <w:p w14:paraId="7EF1CB0B" w14:textId="77777777" w:rsidR="000E482F" w:rsidRPr="00183E4D" w:rsidRDefault="000E482F" w:rsidP="004C79C1">
      <w:pPr>
        <w:pStyle w:val="Heading2"/>
        <w:numPr>
          <w:ilvl w:val="3"/>
          <w:numId w:val="96"/>
        </w:numPr>
        <w:spacing w:before="0" w:after="120" w:line="240" w:lineRule="auto"/>
      </w:pPr>
      <w:bookmarkStart w:id="514" w:name="_Toc381796475"/>
      <w:bookmarkStart w:id="515" w:name="_Toc432677408"/>
      <w:bookmarkStart w:id="516" w:name="_Toc449608997"/>
      <w:bookmarkStart w:id="517" w:name="_Toc451501369"/>
      <w:bookmarkStart w:id="518" w:name="_Toc432677418"/>
      <w:bookmarkStart w:id="519" w:name="_Ref379274614"/>
      <w:r w:rsidRPr="00183E4D">
        <w:t>Overview</w:t>
      </w:r>
      <w:bookmarkEnd w:id="514"/>
      <w:bookmarkEnd w:id="515"/>
      <w:bookmarkEnd w:id="516"/>
      <w:bookmarkEnd w:id="517"/>
    </w:p>
    <w:p w14:paraId="1D07649A" w14:textId="67A287A5" w:rsidR="000E482F" w:rsidRDefault="000E482F" w:rsidP="004C79C1">
      <w:pPr>
        <w:spacing w:after="120" w:line="240" w:lineRule="auto"/>
        <w:jc w:val="both"/>
      </w:pPr>
      <w:bookmarkStart w:id="520" w:name="_Ref378945269"/>
      <w:r>
        <w:t xml:space="preserve">There is inadequate data, particularly with respect to health outcomes, to reliably construct an economic model to generate a full cost–utility or overall cost-effectiveness analysis </w:t>
      </w:r>
      <w:r w:rsidR="007B4366">
        <w:t xml:space="preserve">(CEA) </w:t>
      </w:r>
      <w:r>
        <w:t>for the proposed MBS listing.</w:t>
      </w:r>
    </w:p>
    <w:p w14:paraId="3FAB284F" w14:textId="2A13E19B" w:rsidR="000E482F" w:rsidRDefault="000E482F" w:rsidP="004C79C1">
      <w:pPr>
        <w:spacing w:after="120" w:line="240" w:lineRule="auto"/>
        <w:jc w:val="both"/>
      </w:pPr>
      <w:r>
        <w:t>However, the available evidence has allowed some economic analys</w:t>
      </w:r>
      <w:r w:rsidR="00406A3C">
        <w:t>i</w:t>
      </w:r>
      <w:r>
        <w:t xml:space="preserve">s of the use of CMR within specific patient populations included in the listing. Based broadly on the populations identified and detailed in </w:t>
      </w:r>
      <w:r w:rsidR="005C5167">
        <w:t>s</w:t>
      </w:r>
      <w:r>
        <w:t>ection A.4, the following analyses are undertaken</w:t>
      </w:r>
      <w:r w:rsidR="008B1090">
        <w:t>:</w:t>
      </w:r>
    </w:p>
    <w:p w14:paraId="243639AA" w14:textId="157735BB" w:rsidR="000E482F" w:rsidRPr="00852F20" w:rsidRDefault="000E482F" w:rsidP="004C79C1">
      <w:pPr>
        <w:spacing w:after="120" w:line="240" w:lineRule="auto"/>
        <w:jc w:val="both"/>
        <w:rPr>
          <w:i/>
        </w:rPr>
      </w:pPr>
      <w:r w:rsidRPr="00852F20">
        <w:rPr>
          <w:i/>
        </w:rPr>
        <w:t xml:space="preserve">Population i: Patients with inconclusive </w:t>
      </w:r>
      <w:r w:rsidR="00E57F9C">
        <w:rPr>
          <w:b/>
          <w:i/>
        </w:rPr>
        <w:t>e</w:t>
      </w:r>
      <w:r w:rsidR="00E57F9C" w:rsidRPr="00CE767B">
        <w:rPr>
          <w:b/>
          <w:i/>
        </w:rPr>
        <w:t>cho</w:t>
      </w:r>
      <w:r w:rsidR="00E57F9C">
        <w:rPr>
          <w:b/>
          <w:i/>
        </w:rPr>
        <w:t>cardiogram</w:t>
      </w:r>
      <w:r w:rsidR="00E57F9C" w:rsidRPr="00CE767B">
        <w:rPr>
          <w:b/>
          <w:i/>
        </w:rPr>
        <w:t xml:space="preserve"> </w:t>
      </w:r>
      <w:r w:rsidRPr="00852F20">
        <w:rPr>
          <w:i/>
        </w:rPr>
        <w:t>results</w:t>
      </w:r>
      <w:r w:rsidR="00123619" w:rsidRPr="00852F20">
        <w:rPr>
          <w:i/>
        </w:rPr>
        <w:t>:</w:t>
      </w:r>
    </w:p>
    <w:p w14:paraId="4F4EF5DD" w14:textId="77777777" w:rsidR="000E482F" w:rsidRPr="00C75389" w:rsidRDefault="000E482F" w:rsidP="004C79C1">
      <w:pPr>
        <w:pStyle w:val="ListParagraph"/>
        <w:numPr>
          <w:ilvl w:val="1"/>
          <w:numId w:val="47"/>
        </w:numPr>
        <w:spacing w:after="120" w:line="240" w:lineRule="auto"/>
        <w:jc w:val="both"/>
        <w:rPr>
          <w:i/>
        </w:rPr>
      </w:pPr>
      <w:proofErr w:type="gramStart"/>
      <w:r w:rsidRPr="0039328A">
        <w:rPr>
          <w:b/>
          <w:i/>
        </w:rPr>
        <w:t>a</w:t>
      </w:r>
      <w:proofErr w:type="gramEnd"/>
      <w:r w:rsidRPr="00C75389">
        <w:rPr>
          <w:i/>
        </w:rPr>
        <w:t xml:space="preserve"> </w:t>
      </w:r>
      <w:r w:rsidRPr="00CE767B">
        <w:rPr>
          <w:b/>
          <w:i/>
        </w:rPr>
        <w:t xml:space="preserve">cost comparison analysis of CMR </w:t>
      </w:r>
      <w:r>
        <w:rPr>
          <w:b/>
          <w:i/>
        </w:rPr>
        <w:t xml:space="preserve">(vs </w:t>
      </w:r>
      <w:r w:rsidRPr="00CE767B">
        <w:rPr>
          <w:b/>
          <w:i/>
        </w:rPr>
        <w:t>comparator</w:t>
      </w:r>
      <w:r>
        <w:rPr>
          <w:b/>
          <w:i/>
        </w:rPr>
        <w:t xml:space="preserve"> investigations)</w:t>
      </w:r>
      <w:r w:rsidRPr="00C75389">
        <w:rPr>
          <w:i/>
        </w:rPr>
        <w:t>.</w:t>
      </w:r>
    </w:p>
    <w:p w14:paraId="233B0796" w14:textId="232CABAB" w:rsidR="000E482F" w:rsidRDefault="000E482F" w:rsidP="004C79C1">
      <w:pPr>
        <w:spacing w:after="120" w:line="240" w:lineRule="auto"/>
        <w:jc w:val="both"/>
      </w:pPr>
      <w:r w:rsidRPr="00852F20">
        <w:rPr>
          <w:i/>
        </w:rPr>
        <w:t>Population ii:</w:t>
      </w:r>
      <w:r w:rsidRPr="005A1B45">
        <w:t xml:space="preserve"> Patients diagnosed with DCM on </w:t>
      </w:r>
      <w:r w:rsidR="00E57F9C">
        <w:t>echocardiogram</w:t>
      </w:r>
      <w:r w:rsidRPr="005A1B45">
        <w:t xml:space="preserve">, with </w:t>
      </w:r>
      <w:r w:rsidR="00123619" w:rsidRPr="005A1B45">
        <w:t xml:space="preserve">a </w:t>
      </w:r>
      <w:r w:rsidRPr="005A1B45">
        <w:t>low</w:t>
      </w:r>
      <w:r w:rsidR="00B03EC6" w:rsidRPr="005A1B45">
        <w:t>–</w:t>
      </w:r>
      <w:r w:rsidRPr="005A1B45">
        <w:t>intermediate risk of CAD, requiring</w:t>
      </w:r>
      <w:r>
        <w:t xml:space="preserve"> further diagnostic clarification</w:t>
      </w:r>
      <w:r w:rsidR="00B03EC6">
        <w:t>;</w:t>
      </w:r>
      <w:r>
        <w:t xml:space="preserve"> </w:t>
      </w:r>
      <w:r w:rsidR="00B03EC6">
        <w:t>t</w:t>
      </w:r>
      <w:r>
        <w:t>his population was further divided into two subgroups</w:t>
      </w:r>
      <w:r w:rsidR="00B03EC6">
        <w:t>:</w:t>
      </w:r>
      <w:r w:rsidRPr="00B118A0">
        <w:t xml:space="preserve"> </w:t>
      </w:r>
    </w:p>
    <w:p w14:paraId="2A9ED957" w14:textId="753E504E" w:rsidR="000E482F" w:rsidRPr="00852F20" w:rsidRDefault="000E482F" w:rsidP="004C79C1">
      <w:pPr>
        <w:spacing w:after="120" w:line="240" w:lineRule="auto"/>
        <w:ind w:left="567"/>
        <w:jc w:val="both"/>
        <w:rPr>
          <w:i/>
        </w:rPr>
      </w:pPr>
      <w:r w:rsidRPr="00852F20">
        <w:rPr>
          <w:i/>
        </w:rPr>
        <w:t xml:space="preserve">Subpopulation iiA: patients with low risk of CAD (or where CAD has been investigated and ruled out), </w:t>
      </w:r>
      <w:r w:rsidR="00391EAC" w:rsidRPr="00852F20">
        <w:rPr>
          <w:i/>
        </w:rPr>
        <w:t xml:space="preserve">and </w:t>
      </w:r>
      <w:r w:rsidRPr="00852F20">
        <w:rPr>
          <w:i/>
        </w:rPr>
        <w:t>where further identification of non-ischaemic aetiology is necessary</w:t>
      </w:r>
      <w:r w:rsidR="00693987" w:rsidRPr="00852F20">
        <w:rPr>
          <w:i/>
        </w:rPr>
        <w:t>:</w:t>
      </w:r>
    </w:p>
    <w:p w14:paraId="2B049BE6" w14:textId="77777777" w:rsidR="000E482F" w:rsidRPr="00CE767B" w:rsidRDefault="000E482F" w:rsidP="004C79C1">
      <w:pPr>
        <w:pStyle w:val="ListParagraph"/>
        <w:numPr>
          <w:ilvl w:val="1"/>
          <w:numId w:val="47"/>
        </w:numPr>
        <w:spacing w:after="120" w:line="240" w:lineRule="auto"/>
        <w:ind w:left="1434" w:hanging="357"/>
        <w:jc w:val="both"/>
      </w:pPr>
      <w:r w:rsidRPr="00CE767B">
        <w:rPr>
          <w:b/>
          <w:i/>
        </w:rPr>
        <w:t>a (limited) cost-effectiveness analysis of CMR as an additional test</w:t>
      </w:r>
    </w:p>
    <w:p w14:paraId="6ADD905B" w14:textId="729BACC1" w:rsidR="000E482F" w:rsidRPr="00CE767B" w:rsidRDefault="000E482F" w:rsidP="004C79C1">
      <w:pPr>
        <w:pStyle w:val="ListParagraph"/>
        <w:numPr>
          <w:ilvl w:val="1"/>
          <w:numId w:val="47"/>
        </w:numPr>
        <w:spacing w:after="120" w:line="240" w:lineRule="auto"/>
        <w:ind w:left="1434" w:hanging="357"/>
        <w:jc w:val="both"/>
        <w:rPr>
          <w:i/>
        </w:rPr>
      </w:pPr>
      <w:r w:rsidRPr="00CE767B">
        <w:rPr>
          <w:b/>
          <w:i/>
        </w:rPr>
        <w:t>a cost comparison with other investigations or tests</w:t>
      </w:r>
      <w:r w:rsidRPr="00CE767B">
        <w:rPr>
          <w:i/>
        </w:rPr>
        <w:t xml:space="preserve"> is presented in </w:t>
      </w:r>
      <w:r w:rsidRPr="00C40F4E">
        <w:rPr>
          <w:i/>
        </w:rPr>
        <w:t xml:space="preserve">Appendix </w:t>
      </w:r>
      <w:r>
        <w:rPr>
          <w:i/>
        </w:rPr>
        <w:t>L</w:t>
      </w:r>
    </w:p>
    <w:p w14:paraId="50F7F00A" w14:textId="4952BC9B" w:rsidR="000E482F" w:rsidRPr="002C1811" w:rsidRDefault="000E482F" w:rsidP="004C79C1">
      <w:pPr>
        <w:spacing w:after="120" w:line="240" w:lineRule="auto"/>
        <w:ind w:left="567"/>
        <w:jc w:val="both"/>
        <w:rPr>
          <w:i/>
        </w:rPr>
      </w:pPr>
      <w:r w:rsidRPr="00852F20">
        <w:rPr>
          <w:i/>
        </w:rPr>
        <w:t xml:space="preserve">Subpopulation iiB: patients with intermediate risk of CAD, </w:t>
      </w:r>
      <w:r w:rsidR="00153D0F" w:rsidRPr="00852F20">
        <w:rPr>
          <w:i/>
        </w:rPr>
        <w:t>where</w:t>
      </w:r>
      <w:r w:rsidRPr="00852F20">
        <w:rPr>
          <w:i/>
        </w:rPr>
        <w:t xml:space="preserve"> investigations for CAD are required</w:t>
      </w:r>
      <w:r w:rsidR="00EE5866" w:rsidRPr="00852F20">
        <w:rPr>
          <w:i/>
        </w:rPr>
        <w:t>,</w:t>
      </w:r>
      <w:r w:rsidRPr="002C1811">
        <w:rPr>
          <w:i/>
        </w:rPr>
        <w:t xml:space="preserve"> </w:t>
      </w:r>
      <w:r w:rsidR="000723CD" w:rsidRPr="00852F20">
        <w:rPr>
          <w:i/>
        </w:rPr>
        <w:t xml:space="preserve">including </w:t>
      </w:r>
      <w:r w:rsidR="00EE5866" w:rsidRPr="002C1811">
        <w:rPr>
          <w:i/>
        </w:rPr>
        <w:t xml:space="preserve">the </w:t>
      </w:r>
      <w:r w:rsidRPr="002C1811">
        <w:rPr>
          <w:i/>
        </w:rPr>
        <w:t>use of alternative non-invasive techniques to identify CAD and/or invasive ICA a</w:t>
      </w:r>
      <w:r w:rsidR="00D672AC" w:rsidRPr="00852F20">
        <w:rPr>
          <w:i/>
        </w:rPr>
        <w:t>s</w:t>
      </w:r>
      <w:r w:rsidRPr="002C1811">
        <w:rPr>
          <w:i/>
        </w:rPr>
        <w:t xml:space="preserve"> potential comparators</w:t>
      </w:r>
      <w:r w:rsidR="00693987" w:rsidRPr="002C1811">
        <w:rPr>
          <w:i/>
        </w:rPr>
        <w:t>:</w:t>
      </w:r>
    </w:p>
    <w:p w14:paraId="52C08892" w14:textId="77777777" w:rsidR="000E482F" w:rsidRPr="00FA43C7" w:rsidRDefault="000E482F" w:rsidP="004C79C1">
      <w:pPr>
        <w:pStyle w:val="ListParagraph"/>
        <w:numPr>
          <w:ilvl w:val="1"/>
          <w:numId w:val="47"/>
        </w:numPr>
        <w:spacing w:after="120" w:line="240" w:lineRule="auto"/>
        <w:ind w:left="1434" w:hanging="357"/>
        <w:jc w:val="both"/>
        <w:rPr>
          <w:b/>
        </w:rPr>
      </w:pPr>
      <w:r w:rsidRPr="00CE767B">
        <w:rPr>
          <w:b/>
          <w:i/>
        </w:rPr>
        <w:t xml:space="preserve">a </w:t>
      </w:r>
      <w:r>
        <w:rPr>
          <w:b/>
          <w:i/>
        </w:rPr>
        <w:t xml:space="preserve">(limited) </w:t>
      </w:r>
      <w:r w:rsidRPr="00CE767B">
        <w:rPr>
          <w:b/>
          <w:i/>
        </w:rPr>
        <w:t>cost-effectiveness analysis vs ICA</w:t>
      </w:r>
    </w:p>
    <w:p w14:paraId="3F443A2E" w14:textId="1BB7BE5E" w:rsidR="000E482F" w:rsidRPr="00CE767B" w:rsidRDefault="000E482F" w:rsidP="004C79C1">
      <w:pPr>
        <w:pStyle w:val="ListParagraph"/>
        <w:numPr>
          <w:ilvl w:val="1"/>
          <w:numId w:val="47"/>
        </w:numPr>
        <w:spacing w:after="120" w:line="240" w:lineRule="auto"/>
        <w:jc w:val="both"/>
        <w:rPr>
          <w:b/>
        </w:rPr>
      </w:pPr>
      <w:r w:rsidRPr="00FA43C7">
        <w:rPr>
          <w:b/>
          <w:i/>
        </w:rPr>
        <w:t xml:space="preserve"> </w:t>
      </w:r>
      <w:r w:rsidRPr="00CE767B">
        <w:rPr>
          <w:b/>
          <w:i/>
        </w:rPr>
        <w:t>a cost</w:t>
      </w:r>
      <w:r w:rsidR="00297A10">
        <w:rPr>
          <w:b/>
          <w:i/>
        </w:rPr>
        <w:t>-</w:t>
      </w:r>
      <w:r>
        <w:rPr>
          <w:b/>
          <w:i/>
        </w:rPr>
        <w:t xml:space="preserve">comparison </w:t>
      </w:r>
      <w:r w:rsidRPr="00CE767B">
        <w:rPr>
          <w:b/>
          <w:i/>
        </w:rPr>
        <w:t>analys</w:t>
      </w:r>
      <w:r w:rsidR="00EE5866">
        <w:rPr>
          <w:b/>
          <w:i/>
        </w:rPr>
        <w:t>i</w:t>
      </w:r>
      <w:r w:rsidRPr="00CE767B">
        <w:rPr>
          <w:b/>
          <w:i/>
        </w:rPr>
        <w:t xml:space="preserve">s vs SPECT, CTCA, stress </w:t>
      </w:r>
      <w:r w:rsidR="00E57F9C">
        <w:rPr>
          <w:b/>
          <w:i/>
        </w:rPr>
        <w:t>e</w:t>
      </w:r>
      <w:r w:rsidR="00E57F9C" w:rsidRPr="00CE767B">
        <w:rPr>
          <w:b/>
          <w:i/>
        </w:rPr>
        <w:t>cho</w:t>
      </w:r>
      <w:r w:rsidR="00E57F9C">
        <w:rPr>
          <w:b/>
          <w:i/>
        </w:rPr>
        <w:t>cardiography</w:t>
      </w:r>
    </w:p>
    <w:p w14:paraId="54D61913" w14:textId="59209030" w:rsidR="00123619" w:rsidRPr="00852F20" w:rsidRDefault="000E482F" w:rsidP="004C79C1">
      <w:pPr>
        <w:spacing w:after="120" w:line="240" w:lineRule="auto"/>
        <w:jc w:val="both"/>
        <w:rPr>
          <w:i/>
        </w:rPr>
      </w:pPr>
      <w:proofErr w:type="gramStart"/>
      <w:r w:rsidRPr="00852F20">
        <w:rPr>
          <w:i/>
        </w:rPr>
        <w:t>Populations</w:t>
      </w:r>
      <w:proofErr w:type="gramEnd"/>
      <w:r w:rsidRPr="00852F20">
        <w:rPr>
          <w:i/>
        </w:rPr>
        <w:t xml:space="preserve"> iii and iv: </w:t>
      </w:r>
      <w:r w:rsidR="00E63C2E" w:rsidRPr="00852F20">
        <w:rPr>
          <w:i/>
        </w:rPr>
        <w:t>f</w:t>
      </w:r>
      <w:r w:rsidRPr="00852F20">
        <w:rPr>
          <w:i/>
        </w:rPr>
        <w:t>amily members of patients with DCM:</w:t>
      </w:r>
    </w:p>
    <w:p w14:paraId="1B558D7A" w14:textId="514867F0" w:rsidR="00123619" w:rsidRDefault="000E482F" w:rsidP="004C79C1">
      <w:pPr>
        <w:pStyle w:val="ListParagraph"/>
        <w:numPr>
          <w:ilvl w:val="0"/>
          <w:numId w:val="60"/>
        </w:numPr>
        <w:spacing w:after="120" w:line="240" w:lineRule="auto"/>
        <w:ind w:left="1417" w:hanging="357"/>
        <w:jc w:val="both"/>
      </w:pPr>
      <w:proofErr w:type="gramStart"/>
      <w:r w:rsidRPr="00852F20">
        <w:rPr>
          <w:b/>
          <w:i/>
        </w:rPr>
        <w:t>no</w:t>
      </w:r>
      <w:proofErr w:type="gramEnd"/>
      <w:r w:rsidRPr="00852F20">
        <w:rPr>
          <w:b/>
          <w:i/>
        </w:rPr>
        <w:t xml:space="preserve"> economic analyses</w:t>
      </w:r>
      <w:r w:rsidRPr="00852F20">
        <w:rPr>
          <w:i/>
        </w:rPr>
        <w:t xml:space="preserve"> are presented.</w:t>
      </w:r>
      <w:r>
        <w:t xml:space="preserve"> </w:t>
      </w:r>
    </w:p>
    <w:p w14:paraId="3778DB31" w14:textId="61C84E9B" w:rsidR="000E482F" w:rsidRDefault="000E482F" w:rsidP="004C79C1">
      <w:pPr>
        <w:spacing w:after="120" w:line="240" w:lineRule="auto"/>
        <w:jc w:val="both"/>
      </w:pPr>
      <w:r>
        <w:t xml:space="preserve">No relevant evidence </w:t>
      </w:r>
      <w:r w:rsidR="002B4F05">
        <w:t xml:space="preserve">that </w:t>
      </w:r>
      <w:r>
        <w:t>could inform an economic analysis on the use of CMR in these populations was identified during the clinical assessment.</w:t>
      </w:r>
    </w:p>
    <w:p w14:paraId="327DB088" w14:textId="30CC6E41" w:rsidR="000E482F" w:rsidRDefault="000E482F" w:rsidP="004C79C1">
      <w:pPr>
        <w:spacing w:after="120" w:line="240" w:lineRule="auto"/>
        <w:jc w:val="both"/>
      </w:pPr>
      <w:r>
        <w:t>The cost comparison analyses consider CMR and the nominated comparators and</w:t>
      </w:r>
      <w:r w:rsidR="002B4F05">
        <w:t>,</w:t>
      </w:r>
      <w:r>
        <w:t xml:space="preserve"> where available, incorporate downstream diagnostic costs and utilise data from the clinical evaluation regarding the accuracy, </w:t>
      </w:r>
      <w:r w:rsidR="002B4F05">
        <w:t>AE</w:t>
      </w:r>
      <w:r>
        <w:t xml:space="preserve"> rates and change in management. The consequences of the different testing strategies are discussed.</w:t>
      </w:r>
    </w:p>
    <w:p w14:paraId="1AEA210F" w14:textId="2DAE9206" w:rsidR="000E482F" w:rsidRDefault="000E482F" w:rsidP="004C79C1">
      <w:pPr>
        <w:spacing w:after="120" w:line="240" w:lineRule="auto"/>
        <w:jc w:val="both"/>
      </w:pPr>
      <w:r>
        <w:t>The outcomes of interest in the economic analyses include incremental costs, costs per testing strategy, incremental cost per appropriate patient management, incremental cost per inappropriate patient management avoided</w:t>
      </w:r>
      <w:r w:rsidR="002B4F05">
        <w:t>,</w:t>
      </w:r>
      <w:r>
        <w:t xml:space="preserve"> and incremental cost per unnecessary procedure</w:t>
      </w:r>
      <w:r w:rsidR="002B4F05">
        <w:t xml:space="preserve"> </w:t>
      </w:r>
      <w:r>
        <w:t>/</w:t>
      </w:r>
      <w:r w:rsidR="002B4F05">
        <w:t xml:space="preserve"> </w:t>
      </w:r>
      <w:r>
        <w:t xml:space="preserve">invasive test avoided. </w:t>
      </w:r>
    </w:p>
    <w:p w14:paraId="2302F326" w14:textId="12143581" w:rsidR="000E482F" w:rsidRDefault="000E482F" w:rsidP="004C79C1">
      <w:pPr>
        <w:spacing w:after="120" w:line="240" w:lineRule="auto"/>
        <w:jc w:val="both"/>
      </w:pPr>
      <w:r>
        <w:t>A summary of the key characteristics of each economic evaluation are presented in</w:t>
      </w:r>
      <w:r w:rsidR="00E57F9C">
        <w:t xml:space="preserve"> </w:t>
      </w:r>
      <w:r w:rsidR="00E57F9C" w:rsidRPr="00E45267">
        <w:fldChar w:fldCharType="begin"/>
      </w:r>
      <w:r w:rsidR="00E57F9C" w:rsidRPr="00E45267">
        <w:instrText xml:space="preserve"> REF _Ref451252779 \h </w:instrText>
      </w:r>
      <w:r w:rsidR="00E45267">
        <w:instrText xml:space="preserve"> \* MERGEFORMAT </w:instrText>
      </w:r>
      <w:r w:rsidR="00E57F9C" w:rsidRPr="00E45267">
        <w:fldChar w:fldCharType="separate"/>
      </w:r>
      <w:r w:rsidR="00BB164D">
        <w:t>Table 33</w:t>
      </w:r>
      <w:r w:rsidR="00E57F9C" w:rsidRPr="00E45267">
        <w:fldChar w:fldCharType="end"/>
      </w:r>
      <w:r>
        <w:t>.</w:t>
      </w:r>
    </w:p>
    <w:p w14:paraId="4FB922A7" w14:textId="04CE74FC" w:rsidR="00E57F9C" w:rsidRDefault="00E57F9C" w:rsidP="004C79C1">
      <w:pPr>
        <w:pStyle w:val="Caption"/>
        <w:keepNext/>
      </w:pPr>
      <w:bookmarkStart w:id="521" w:name="_Ref451252779"/>
      <w:bookmarkStart w:id="522" w:name="_Toc451435360"/>
      <w:r>
        <w:t xml:space="preserve">Table </w:t>
      </w:r>
      <w:fldSimple w:instr=" SEQ Table \* ARABIC ">
        <w:r w:rsidR="00050936">
          <w:rPr>
            <w:noProof/>
          </w:rPr>
          <w:t>33</w:t>
        </w:r>
      </w:fldSimple>
      <w:bookmarkEnd w:id="521"/>
      <w:r>
        <w:tab/>
      </w:r>
      <w:r w:rsidRPr="00570739">
        <w:t>Summary of the key characteristics of the economic evaluations</w:t>
      </w:r>
      <w:bookmarkEnd w:id="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ummary of the key characteristics of the economic evaluations"/>
      </w:tblPr>
      <w:tblGrid>
        <w:gridCol w:w="1450"/>
        <w:gridCol w:w="1948"/>
        <w:gridCol w:w="1948"/>
        <w:gridCol w:w="1948"/>
        <w:gridCol w:w="1948"/>
      </w:tblGrid>
      <w:tr w:rsidR="000E482F" w:rsidRPr="00183E4D" w14:paraId="77ED9D4E"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tcPr>
          <w:p w14:paraId="26EBB042" w14:textId="77777777" w:rsidR="000E482F" w:rsidRPr="00183E4D" w:rsidRDefault="000E482F" w:rsidP="004C79C1">
            <w:pPr>
              <w:pStyle w:val="Tabletext1"/>
              <w:spacing w:before="0" w:after="120"/>
              <w:rPr>
                <w:b/>
              </w:rPr>
            </w:pPr>
            <w:r>
              <w:rPr>
                <w:b/>
              </w:rPr>
              <w:t>Population</w:t>
            </w:r>
          </w:p>
        </w:tc>
        <w:tc>
          <w:tcPr>
            <w:tcW w:w="1054" w:type="pct"/>
            <w:tcBorders>
              <w:top w:val="single" w:sz="4" w:space="0" w:color="auto"/>
              <w:left w:val="single" w:sz="4" w:space="0" w:color="auto"/>
              <w:bottom w:val="single" w:sz="4" w:space="0" w:color="auto"/>
              <w:right w:val="single" w:sz="4" w:space="0" w:color="auto"/>
            </w:tcBorders>
          </w:tcPr>
          <w:p w14:paraId="742501C8" w14:textId="3602E1FF" w:rsidR="00F4098A" w:rsidRDefault="000E482F" w:rsidP="004C79C1">
            <w:pPr>
              <w:pStyle w:val="Tabletext1"/>
              <w:spacing w:before="0" w:after="120"/>
              <w:rPr>
                <w:b/>
              </w:rPr>
            </w:pPr>
            <w:r w:rsidRPr="009652BD">
              <w:rPr>
                <w:b/>
              </w:rPr>
              <w:t>Population i</w:t>
            </w:r>
          </w:p>
          <w:p w14:paraId="3AD58BF3" w14:textId="4AC244A0" w:rsidR="000E482F" w:rsidRPr="009652BD" w:rsidRDefault="000E482F" w:rsidP="004C79C1">
            <w:pPr>
              <w:pStyle w:val="Tabletext1"/>
              <w:spacing w:before="0" w:after="120"/>
              <w:rPr>
                <w:b/>
              </w:rPr>
            </w:pPr>
            <w:r w:rsidRPr="00154333">
              <w:t>Patients with indeterminate Echo</w:t>
            </w:r>
          </w:p>
        </w:tc>
        <w:tc>
          <w:tcPr>
            <w:tcW w:w="1054" w:type="pct"/>
            <w:tcBorders>
              <w:top w:val="single" w:sz="4" w:space="0" w:color="auto"/>
              <w:left w:val="single" w:sz="4" w:space="0" w:color="auto"/>
              <w:bottom w:val="single" w:sz="4" w:space="0" w:color="auto"/>
              <w:right w:val="single" w:sz="4" w:space="0" w:color="auto"/>
            </w:tcBorders>
          </w:tcPr>
          <w:p w14:paraId="2D66B70E" w14:textId="4AA8FABB" w:rsidR="000E482F" w:rsidRDefault="000E482F" w:rsidP="004C79C1">
            <w:pPr>
              <w:pStyle w:val="Tabletext1"/>
              <w:spacing w:before="0" w:after="120"/>
              <w:rPr>
                <w:b/>
              </w:rPr>
            </w:pPr>
            <w:r>
              <w:rPr>
                <w:b/>
              </w:rPr>
              <w:t>P</w:t>
            </w:r>
            <w:r w:rsidRPr="009652BD">
              <w:rPr>
                <w:b/>
              </w:rPr>
              <w:t>opulation iiA</w:t>
            </w:r>
          </w:p>
          <w:p w14:paraId="58895C64" w14:textId="77777777" w:rsidR="000E482F" w:rsidRPr="00154333" w:rsidRDefault="000E482F" w:rsidP="004C79C1">
            <w:pPr>
              <w:pStyle w:val="Tabletext1"/>
              <w:spacing w:before="0" w:after="120"/>
            </w:pPr>
            <w:r w:rsidRPr="00154333">
              <w:t xml:space="preserve">Patients at low risk of CAD or identified with </w:t>
            </w:r>
            <w:r w:rsidRPr="00154333">
              <w:lastRenderedPageBreak/>
              <w:t>NIDCM</w:t>
            </w:r>
          </w:p>
        </w:tc>
        <w:tc>
          <w:tcPr>
            <w:tcW w:w="1054" w:type="pct"/>
            <w:tcBorders>
              <w:top w:val="single" w:sz="4" w:space="0" w:color="auto"/>
              <w:left w:val="single" w:sz="4" w:space="0" w:color="auto"/>
              <w:bottom w:val="single" w:sz="4" w:space="0" w:color="auto"/>
              <w:right w:val="single" w:sz="4" w:space="0" w:color="auto"/>
            </w:tcBorders>
          </w:tcPr>
          <w:p w14:paraId="28AA4D09" w14:textId="6CF78625" w:rsidR="000E482F" w:rsidRDefault="000E482F" w:rsidP="004C79C1">
            <w:pPr>
              <w:pStyle w:val="Tabletext1"/>
              <w:spacing w:before="0" w:after="120"/>
              <w:rPr>
                <w:b/>
                <w:bCs/>
              </w:rPr>
            </w:pPr>
            <w:r w:rsidRPr="009652BD">
              <w:rPr>
                <w:b/>
                <w:bCs/>
              </w:rPr>
              <w:lastRenderedPageBreak/>
              <w:t>Population iiB</w:t>
            </w:r>
          </w:p>
          <w:p w14:paraId="285A0A8B" w14:textId="27A4C83C" w:rsidR="000E482F" w:rsidRPr="009652BD" w:rsidRDefault="000E482F" w:rsidP="004C79C1">
            <w:pPr>
              <w:pStyle w:val="Tabletext1"/>
              <w:spacing w:before="0" w:after="120"/>
              <w:rPr>
                <w:b/>
              </w:rPr>
            </w:pPr>
            <w:r w:rsidRPr="00154333">
              <w:rPr>
                <w:bCs/>
              </w:rPr>
              <w:t>Patients at intermediate risk of CAD</w:t>
            </w:r>
            <w:r w:rsidR="006F7727">
              <w:rPr>
                <w:bCs/>
              </w:rPr>
              <w:t>—</w:t>
            </w:r>
            <w:r w:rsidRPr="00154333">
              <w:rPr>
                <w:bCs/>
                <w:i/>
              </w:rPr>
              <w:t xml:space="preserve">for further </w:t>
            </w:r>
            <w:r w:rsidRPr="00154333">
              <w:rPr>
                <w:bCs/>
                <w:i/>
              </w:rPr>
              <w:lastRenderedPageBreak/>
              <w:t>investigation with ICA</w:t>
            </w:r>
          </w:p>
        </w:tc>
        <w:tc>
          <w:tcPr>
            <w:tcW w:w="1054" w:type="pct"/>
            <w:tcBorders>
              <w:top w:val="single" w:sz="4" w:space="0" w:color="auto"/>
              <w:left w:val="single" w:sz="4" w:space="0" w:color="auto"/>
              <w:bottom w:val="single" w:sz="4" w:space="0" w:color="auto"/>
              <w:right w:val="single" w:sz="4" w:space="0" w:color="auto"/>
            </w:tcBorders>
          </w:tcPr>
          <w:p w14:paraId="215339C9" w14:textId="7709A946" w:rsidR="000E482F" w:rsidRDefault="000E482F" w:rsidP="004C79C1">
            <w:pPr>
              <w:pStyle w:val="Tabletext1"/>
              <w:spacing w:before="0" w:after="120"/>
              <w:rPr>
                <w:b/>
              </w:rPr>
            </w:pPr>
            <w:r w:rsidRPr="009652BD">
              <w:rPr>
                <w:b/>
              </w:rPr>
              <w:lastRenderedPageBreak/>
              <w:t>Population iiB</w:t>
            </w:r>
          </w:p>
          <w:p w14:paraId="10DC8BD8" w14:textId="77A25C0B" w:rsidR="000E482F" w:rsidRPr="009652BD" w:rsidRDefault="000E482F" w:rsidP="004C79C1">
            <w:pPr>
              <w:pStyle w:val="Tabletext1"/>
              <w:spacing w:before="0" w:after="120"/>
              <w:rPr>
                <w:b/>
              </w:rPr>
            </w:pPr>
            <w:r w:rsidRPr="00154333">
              <w:t>Patients at intermediate risk of CAD</w:t>
            </w:r>
            <w:r w:rsidR="006F7727">
              <w:t>—</w:t>
            </w:r>
            <w:r w:rsidRPr="00154333">
              <w:rPr>
                <w:i/>
              </w:rPr>
              <w:t>for non-</w:t>
            </w:r>
            <w:r w:rsidRPr="00154333">
              <w:rPr>
                <w:i/>
              </w:rPr>
              <w:lastRenderedPageBreak/>
              <w:t>invasive further investigation</w:t>
            </w:r>
          </w:p>
        </w:tc>
      </w:tr>
      <w:tr w:rsidR="000E482F" w:rsidRPr="00183E4D" w14:paraId="6BD1D0EF"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tcPr>
          <w:p w14:paraId="71B8B03F" w14:textId="77777777" w:rsidR="000E482F" w:rsidRPr="00183E4D" w:rsidRDefault="000E482F" w:rsidP="004C79C1">
            <w:pPr>
              <w:pStyle w:val="Tabletext1"/>
              <w:spacing w:before="0" w:after="120"/>
              <w:rPr>
                <w:b/>
              </w:rPr>
            </w:pPr>
            <w:r w:rsidRPr="00183E4D">
              <w:rPr>
                <w:b/>
              </w:rPr>
              <w:lastRenderedPageBreak/>
              <w:t>Perspective</w:t>
            </w:r>
          </w:p>
        </w:tc>
        <w:tc>
          <w:tcPr>
            <w:tcW w:w="1054" w:type="pct"/>
            <w:tcBorders>
              <w:top w:val="single" w:sz="4" w:space="0" w:color="auto"/>
              <w:left w:val="single" w:sz="4" w:space="0" w:color="auto"/>
              <w:bottom w:val="single" w:sz="4" w:space="0" w:color="auto"/>
              <w:right w:val="single" w:sz="4" w:space="0" w:color="auto"/>
            </w:tcBorders>
          </w:tcPr>
          <w:p w14:paraId="554E44EA" w14:textId="099CA0DE" w:rsidR="000E482F" w:rsidRPr="002D4CA7" w:rsidRDefault="000E482F" w:rsidP="004C79C1">
            <w:pPr>
              <w:pStyle w:val="Tabletext1"/>
              <w:spacing w:before="0" w:after="120"/>
              <w:rPr>
                <w:vanish/>
                <w:color w:val="C00000"/>
              </w:rPr>
            </w:pPr>
            <w:r w:rsidRPr="002D4CA7">
              <w:t xml:space="preserve">Australian </w:t>
            </w:r>
            <w:r w:rsidR="00326BDF">
              <w:t>h</w:t>
            </w:r>
            <w:r w:rsidRPr="002D4CA7">
              <w:t>ealthcare</w:t>
            </w:r>
          </w:p>
        </w:tc>
        <w:tc>
          <w:tcPr>
            <w:tcW w:w="1054" w:type="pct"/>
            <w:tcBorders>
              <w:top w:val="single" w:sz="4" w:space="0" w:color="auto"/>
              <w:left w:val="single" w:sz="4" w:space="0" w:color="auto"/>
              <w:bottom w:val="single" w:sz="4" w:space="0" w:color="auto"/>
              <w:right w:val="single" w:sz="4" w:space="0" w:color="auto"/>
            </w:tcBorders>
          </w:tcPr>
          <w:p w14:paraId="36B6B1BB" w14:textId="5D0FE563" w:rsidR="000E482F" w:rsidRPr="002D4CA7" w:rsidRDefault="000E482F" w:rsidP="004C79C1">
            <w:pPr>
              <w:pStyle w:val="Tabletext1"/>
              <w:spacing w:before="0" w:after="120"/>
              <w:rPr>
                <w:vanish/>
                <w:color w:val="C00000"/>
              </w:rPr>
            </w:pPr>
            <w:r w:rsidRPr="002D4CA7">
              <w:t xml:space="preserve">Australian </w:t>
            </w:r>
            <w:r w:rsidR="00326BDF">
              <w:t>h</w:t>
            </w:r>
            <w:r w:rsidRPr="002D4CA7">
              <w:t>ealthcare</w:t>
            </w:r>
          </w:p>
        </w:tc>
        <w:tc>
          <w:tcPr>
            <w:tcW w:w="1054" w:type="pct"/>
            <w:tcBorders>
              <w:top w:val="single" w:sz="4" w:space="0" w:color="auto"/>
              <w:left w:val="single" w:sz="4" w:space="0" w:color="auto"/>
              <w:bottom w:val="single" w:sz="4" w:space="0" w:color="auto"/>
              <w:right w:val="single" w:sz="4" w:space="0" w:color="auto"/>
            </w:tcBorders>
          </w:tcPr>
          <w:p w14:paraId="19CD1BEB" w14:textId="3D353D2A" w:rsidR="000E482F" w:rsidRPr="00270362" w:rsidRDefault="000E482F" w:rsidP="004C79C1">
            <w:pPr>
              <w:spacing w:after="120" w:line="240" w:lineRule="auto"/>
              <w:rPr>
                <w:rFonts w:ascii="Arial Narrow" w:hAnsi="Arial Narrow"/>
                <w:vanish/>
                <w:color w:val="C00000"/>
                <w:sz w:val="20"/>
                <w:szCs w:val="20"/>
              </w:rPr>
            </w:pPr>
            <w:r w:rsidRPr="00270362">
              <w:rPr>
                <w:rFonts w:ascii="Arial Narrow" w:hAnsi="Arial Narrow"/>
                <w:sz w:val="20"/>
                <w:szCs w:val="20"/>
              </w:rPr>
              <w:t xml:space="preserve">Australian </w:t>
            </w:r>
            <w:r w:rsidR="00326BDF">
              <w:rPr>
                <w:rFonts w:ascii="Arial Narrow" w:hAnsi="Arial Narrow"/>
                <w:sz w:val="20"/>
                <w:szCs w:val="20"/>
              </w:rPr>
              <w:t>h</w:t>
            </w:r>
            <w:r w:rsidRPr="00270362">
              <w:rPr>
                <w:rFonts w:ascii="Arial Narrow" w:hAnsi="Arial Narrow"/>
                <w:sz w:val="20"/>
                <w:szCs w:val="20"/>
              </w:rPr>
              <w:t>ealthcare</w:t>
            </w:r>
          </w:p>
        </w:tc>
        <w:tc>
          <w:tcPr>
            <w:tcW w:w="1054" w:type="pct"/>
            <w:tcBorders>
              <w:top w:val="single" w:sz="4" w:space="0" w:color="auto"/>
              <w:left w:val="single" w:sz="4" w:space="0" w:color="auto"/>
              <w:bottom w:val="single" w:sz="4" w:space="0" w:color="auto"/>
              <w:right w:val="single" w:sz="4" w:space="0" w:color="auto"/>
            </w:tcBorders>
          </w:tcPr>
          <w:p w14:paraId="6CB4B6B3" w14:textId="2A4FF020" w:rsidR="000E482F" w:rsidRPr="002D4CA7" w:rsidRDefault="000E482F" w:rsidP="004C79C1">
            <w:pPr>
              <w:pStyle w:val="Tabletext1"/>
              <w:spacing w:before="0" w:after="120"/>
              <w:rPr>
                <w:vanish/>
                <w:color w:val="C00000"/>
              </w:rPr>
            </w:pPr>
            <w:r w:rsidRPr="002D4CA7">
              <w:t xml:space="preserve">Australian </w:t>
            </w:r>
            <w:r w:rsidR="00326BDF">
              <w:t>h</w:t>
            </w:r>
            <w:r w:rsidRPr="002D4CA7">
              <w:t>ealthcare</w:t>
            </w:r>
          </w:p>
        </w:tc>
      </w:tr>
      <w:tr w:rsidR="000E482F" w:rsidRPr="00183E4D" w14:paraId="5F4175C5"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tcPr>
          <w:p w14:paraId="6B494DD8" w14:textId="77777777" w:rsidR="000E482F" w:rsidRPr="00183E4D" w:rsidRDefault="000E482F" w:rsidP="004C79C1">
            <w:pPr>
              <w:pStyle w:val="Tabletext1"/>
              <w:spacing w:before="0" w:after="120"/>
              <w:rPr>
                <w:b/>
              </w:rPr>
            </w:pPr>
            <w:r w:rsidRPr="00183E4D">
              <w:rPr>
                <w:b/>
              </w:rPr>
              <w:t>Comparator</w:t>
            </w:r>
            <w:r>
              <w:rPr>
                <w:b/>
              </w:rPr>
              <w:t>(s)</w:t>
            </w:r>
          </w:p>
        </w:tc>
        <w:tc>
          <w:tcPr>
            <w:tcW w:w="1054" w:type="pct"/>
            <w:tcBorders>
              <w:top w:val="single" w:sz="4" w:space="0" w:color="auto"/>
              <w:left w:val="single" w:sz="4" w:space="0" w:color="auto"/>
              <w:bottom w:val="single" w:sz="4" w:space="0" w:color="auto"/>
              <w:right w:val="single" w:sz="4" w:space="0" w:color="auto"/>
            </w:tcBorders>
          </w:tcPr>
          <w:p w14:paraId="763C3C65" w14:textId="57501D92" w:rsidR="000E482F" w:rsidRPr="002D4CA7" w:rsidRDefault="00422507" w:rsidP="004C79C1">
            <w:pPr>
              <w:pStyle w:val="Tabletext1"/>
              <w:spacing w:before="0" w:after="120"/>
            </w:pPr>
            <w:r>
              <w:t>c</w:t>
            </w:r>
            <w:r w:rsidR="000E482F">
              <w:t>Echo, GHPS</w:t>
            </w:r>
          </w:p>
        </w:tc>
        <w:tc>
          <w:tcPr>
            <w:tcW w:w="1054" w:type="pct"/>
            <w:tcBorders>
              <w:top w:val="single" w:sz="4" w:space="0" w:color="auto"/>
              <w:left w:val="single" w:sz="4" w:space="0" w:color="auto"/>
              <w:bottom w:val="single" w:sz="4" w:space="0" w:color="auto"/>
              <w:right w:val="single" w:sz="4" w:space="0" w:color="auto"/>
            </w:tcBorders>
          </w:tcPr>
          <w:p w14:paraId="7FE5E24D" w14:textId="77777777" w:rsidR="000E482F" w:rsidRPr="002D4CA7" w:rsidRDefault="000E482F" w:rsidP="004C79C1">
            <w:pPr>
              <w:pStyle w:val="Tabletext1"/>
              <w:spacing w:before="0" w:after="120"/>
            </w:pPr>
            <w:r>
              <w:t>No CMR testing</w:t>
            </w:r>
          </w:p>
        </w:tc>
        <w:tc>
          <w:tcPr>
            <w:tcW w:w="1054" w:type="pct"/>
            <w:tcBorders>
              <w:top w:val="single" w:sz="4" w:space="0" w:color="auto"/>
              <w:left w:val="single" w:sz="4" w:space="0" w:color="auto"/>
              <w:bottom w:val="single" w:sz="4" w:space="0" w:color="auto"/>
              <w:right w:val="single" w:sz="4" w:space="0" w:color="auto"/>
            </w:tcBorders>
          </w:tcPr>
          <w:p w14:paraId="3127AEAB" w14:textId="77777777" w:rsidR="000E482F" w:rsidRPr="00270362" w:rsidRDefault="000E482F" w:rsidP="004C79C1">
            <w:pPr>
              <w:spacing w:after="120" w:line="240" w:lineRule="auto"/>
              <w:rPr>
                <w:rFonts w:ascii="Arial Narrow" w:hAnsi="Arial Narrow"/>
                <w:sz w:val="20"/>
                <w:szCs w:val="20"/>
              </w:rPr>
            </w:pPr>
            <w:r w:rsidRPr="00270362">
              <w:rPr>
                <w:rFonts w:ascii="Arial Narrow" w:hAnsi="Arial Narrow"/>
                <w:sz w:val="20"/>
                <w:szCs w:val="20"/>
              </w:rPr>
              <w:t>ICA</w:t>
            </w:r>
          </w:p>
        </w:tc>
        <w:tc>
          <w:tcPr>
            <w:tcW w:w="1054" w:type="pct"/>
            <w:tcBorders>
              <w:top w:val="single" w:sz="4" w:space="0" w:color="auto"/>
              <w:left w:val="single" w:sz="4" w:space="0" w:color="auto"/>
              <w:bottom w:val="single" w:sz="4" w:space="0" w:color="auto"/>
              <w:right w:val="single" w:sz="4" w:space="0" w:color="auto"/>
            </w:tcBorders>
          </w:tcPr>
          <w:p w14:paraId="5A6491FD" w14:textId="77777777" w:rsidR="000E482F" w:rsidRPr="002D4CA7" w:rsidRDefault="000E482F" w:rsidP="004C79C1">
            <w:pPr>
              <w:pStyle w:val="Tabletext1"/>
              <w:spacing w:before="0" w:after="120"/>
            </w:pPr>
            <w:r>
              <w:t>SPECT, CTCA, stress Echo</w:t>
            </w:r>
          </w:p>
        </w:tc>
      </w:tr>
      <w:tr w:rsidR="000E482F" w:rsidRPr="00183E4D" w14:paraId="6F01556B"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tcPr>
          <w:p w14:paraId="6D4FDEC1" w14:textId="77777777" w:rsidR="000E482F" w:rsidRPr="00183E4D" w:rsidRDefault="000E482F" w:rsidP="004C79C1">
            <w:pPr>
              <w:pStyle w:val="Tabletext1"/>
              <w:spacing w:before="0" w:after="120"/>
              <w:rPr>
                <w:b/>
              </w:rPr>
            </w:pPr>
            <w:r w:rsidRPr="00183E4D">
              <w:rPr>
                <w:b/>
              </w:rPr>
              <w:t>Type</w:t>
            </w:r>
            <w:r>
              <w:rPr>
                <w:b/>
              </w:rPr>
              <w:t>(s)</w:t>
            </w:r>
            <w:r w:rsidRPr="00183E4D">
              <w:rPr>
                <w:b/>
              </w:rPr>
              <w:t xml:space="preserve"> of economic evaluation</w:t>
            </w:r>
          </w:p>
        </w:tc>
        <w:tc>
          <w:tcPr>
            <w:tcW w:w="1054" w:type="pct"/>
            <w:tcBorders>
              <w:top w:val="single" w:sz="4" w:space="0" w:color="auto"/>
              <w:left w:val="single" w:sz="4" w:space="0" w:color="auto"/>
              <w:bottom w:val="single" w:sz="4" w:space="0" w:color="auto"/>
              <w:right w:val="single" w:sz="4" w:space="0" w:color="auto"/>
            </w:tcBorders>
          </w:tcPr>
          <w:p w14:paraId="2C218A4D" w14:textId="378B59AF" w:rsidR="000E482F" w:rsidRPr="002D4CA7" w:rsidRDefault="000E482F" w:rsidP="004C79C1">
            <w:pPr>
              <w:pStyle w:val="Tabletext1"/>
              <w:spacing w:before="0" w:after="120"/>
            </w:pPr>
            <w:r w:rsidRPr="002D4CA7">
              <w:t>Cost-analysis, cost-consequences</w:t>
            </w:r>
          </w:p>
        </w:tc>
        <w:tc>
          <w:tcPr>
            <w:tcW w:w="1054" w:type="pct"/>
            <w:tcBorders>
              <w:top w:val="single" w:sz="4" w:space="0" w:color="auto"/>
              <w:left w:val="single" w:sz="4" w:space="0" w:color="auto"/>
              <w:bottom w:val="single" w:sz="4" w:space="0" w:color="auto"/>
              <w:right w:val="single" w:sz="4" w:space="0" w:color="auto"/>
            </w:tcBorders>
          </w:tcPr>
          <w:p w14:paraId="1DC36CF0" w14:textId="77777777" w:rsidR="000E482F" w:rsidRPr="002D4CA7" w:rsidRDefault="000E482F" w:rsidP="004C79C1">
            <w:pPr>
              <w:pStyle w:val="Tabletext1"/>
              <w:spacing w:before="0" w:after="120"/>
            </w:pPr>
            <w:r>
              <w:t>Cost-effectiveness analysis</w:t>
            </w:r>
          </w:p>
        </w:tc>
        <w:tc>
          <w:tcPr>
            <w:tcW w:w="1054" w:type="pct"/>
            <w:tcBorders>
              <w:top w:val="single" w:sz="4" w:space="0" w:color="auto"/>
              <w:left w:val="single" w:sz="4" w:space="0" w:color="auto"/>
              <w:bottom w:val="single" w:sz="4" w:space="0" w:color="auto"/>
              <w:right w:val="single" w:sz="4" w:space="0" w:color="auto"/>
            </w:tcBorders>
          </w:tcPr>
          <w:p w14:paraId="6D36F92B" w14:textId="77777777" w:rsidR="000E482F" w:rsidRPr="00270362" w:rsidRDefault="000E482F" w:rsidP="004C79C1">
            <w:pPr>
              <w:spacing w:after="120" w:line="240" w:lineRule="auto"/>
              <w:rPr>
                <w:rFonts w:ascii="Arial Narrow" w:hAnsi="Arial Narrow"/>
                <w:sz w:val="20"/>
                <w:szCs w:val="20"/>
              </w:rPr>
            </w:pPr>
            <w:r w:rsidRPr="00270362">
              <w:rPr>
                <w:rFonts w:ascii="Arial Narrow" w:hAnsi="Arial Narrow"/>
                <w:sz w:val="20"/>
                <w:szCs w:val="20"/>
              </w:rPr>
              <w:t>Cost-effectiveness analysis</w:t>
            </w:r>
          </w:p>
        </w:tc>
        <w:tc>
          <w:tcPr>
            <w:tcW w:w="1054" w:type="pct"/>
            <w:tcBorders>
              <w:top w:val="single" w:sz="4" w:space="0" w:color="auto"/>
              <w:left w:val="single" w:sz="4" w:space="0" w:color="auto"/>
              <w:bottom w:val="single" w:sz="4" w:space="0" w:color="auto"/>
              <w:right w:val="single" w:sz="4" w:space="0" w:color="auto"/>
            </w:tcBorders>
          </w:tcPr>
          <w:p w14:paraId="7101D97C" w14:textId="77777777" w:rsidR="000E482F" w:rsidRPr="002D4CA7" w:rsidRDefault="000E482F" w:rsidP="004C79C1">
            <w:pPr>
              <w:pStyle w:val="Tabletext1"/>
              <w:spacing w:before="0" w:after="120"/>
            </w:pPr>
            <w:r w:rsidRPr="002D4CA7">
              <w:t>C</w:t>
            </w:r>
            <w:r>
              <w:t>ost-analysis</w:t>
            </w:r>
          </w:p>
        </w:tc>
      </w:tr>
      <w:tr w:rsidR="000E482F" w:rsidRPr="00183E4D" w14:paraId="0308D7FC"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tcPr>
          <w:p w14:paraId="2136CEF4" w14:textId="77777777" w:rsidR="000E482F" w:rsidRPr="00C8641E" w:rsidRDefault="000E482F" w:rsidP="004C79C1">
            <w:pPr>
              <w:pStyle w:val="Tabletext1"/>
              <w:spacing w:before="0" w:after="120"/>
              <w:rPr>
                <w:b/>
              </w:rPr>
            </w:pPr>
            <w:r w:rsidRPr="00C8641E">
              <w:rPr>
                <w:b/>
              </w:rPr>
              <w:t>Sources of evidence</w:t>
            </w:r>
          </w:p>
        </w:tc>
        <w:tc>
          <w:tcPr>
            <w:tcW w:w="1054" w:type="pct"/>
            <w:tcBorders>
              <w:top w:val="single" w:sz="4" w:space="0" w:color="auto"/>
              <w:left w:val="single" w:sz="4" w:space="0" w:color="auto"/>
              <w:bottom w:val="single" w:sz="4" w:space="0" w:color="auto"/>
              <w:right w:val="single" w:sz="4" w:space="0" w:color="auto"/>
            </w:tcBorders>
          </w:tcPr>
          <w:p w14:paraId="4EAE1B77" w14:textId="1D72862E" w:rsidR="000E482F" w:rsidRPr="002D4CA7" w:rsidRDefault="000E482F" w:rsidP="004C79C1">
            <w:pPr>
              <w:pStyle w:val="Tabletext1"/>
              <w:spacing w:before="0" w:after="120"/>
            </w:pPr>
            <w:r>
              <w:t>Cost derivations using data from MBS and AR-DRG</w:t>
            </w:r>
            <w:r w:rsidR="00565ECB">
              <w:t>;</w:t>
            </w:r>
            <w:r>
              <w:t xml:space="preserve"> </w:t>
            </w:r>
            <w:r>
              <w:fldChar w:fldCharType="begin"/>
            </w:r>
            <w: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w:t>
            </w:r>
            <w:r>
              <w:fldChar w:fldCharType="end"/>
            </w:r>
          </w:p>
        </w:tc>
        <w:tc>
          <w:tcPr>
            <w:tcW w:w="1054" w:type="pct"/>
            <w:tcBorders>
              <w:top w:val="single" w:sz="4" w:space="0" w:color="auto"/>
              <w:left w:val="single" w:sz="4" w:space="0" w:color="auto"/>
              <w:bottom w:val="single" w:sz="4" w:space="0" w:color="auto"/>
              <w:right w:val="single" w:sz="4" w:space="0" w:color="auto"/>
            </w:tcBorders>
          </w:tcPr>
          <w:p w14:paraId="0860803F" w14:textId="77FC5AC6" w:rsidR="000E482F" w:rsidRPr="002D4CA7" w:rsidRDefault="000E482F" w:rsidP="004C79C1">
            <w:pPr>
              <w:pStyle w:val="Tabletext1"/>
              <w:spacing w:before="0" w:after="120"/>
            </w:pPr>
            <w:r>
              <w:t>Taylor</w:t>
            </w:r>
            <w:r w:rsidR="009A703D">
              <w:t>, AJ</w:t>
            </w:r>
            <w:r>
              <w:t xml:space="preserve"> et al</w:t>
            </w:r>
            <w:r w:rsidR="00326BDF">
              <w:t>.</w:t>
            </w:r>
            <w:r>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rsidRPr="002D4CA7">
              <w:t xml:space="preserve">, </w:t>
            </w:r>
            <w:r w:rsidR="008122B2">
              <w:t>s</w:t>
            </w:r>
            <w:r w:rsidRPr="002D4CA7">
              <w:t>ection B</w:t>
            </w:r>
          </w:p>
        </w:tc>
        <w:tc>
          <w:tcPr>
            <w:tcW w:w="1054" w:type="pct"/>
            <w:tcBorders>
              <w:top w:val="single" w:sz="4" w:space="0" w:color="auto"/>
              <w:left w:val="single" w:sz="4" w:space="0" w:color="auto"/>
              <w:bottom w:val="single" w:sz="4" w:space="0" w:color="auto"/>
              <w:right w:val="single" w:sz="4" w:space="0" w:color="auto"/>
            </w:tcBorders>
          </w:tcPr>
          <w:p w14:paraId="7924A675" w14:textId="273353B8" w:rsidR="000E482F" w:rsidRPr="00270362" w:rsidRDefault="000E482F" w:rsidP="004C79C1">
            <w:pPr>
              <w:spacing w:after="120" w:line="240" w:lineRule="auto"/>
              <w:rPr>
                <w:rFonts w:ascii="Arial Narrow" w:hAnsi="Arial Narrow"/>
                <w:sz w:val="20"/>
                <w:szCs w:val="20"/>
              </w:rPr>
            </w:pPr>
            <w:r>
              <w:rPr>
                <w:rFonts w:ascii="Arial Narrow" w:hAnsi="Arial Narrow"/>
                <w:sz w:val="20"/>
                <w:szCs w:val="20"/>
              </w:rPr>
              <w:t>Assomull</w:t>
            </w:r>
            <w:r w:rsidR="009E73DB">
              <w:rPr>
                <w:rFonts w:ascii="Arial Narrow" w:hAnsi="Arial Narrow"/>
                <w:sz w:val="20"/>
                <w:szCs w:val="20"/>
              </w:rPr>
              <w:t xml:space="preserve"> et al.</w:t>
            </w:r>
            <w:r>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rPr>
                <w:rFonts w:ascii="Arial Narrow" w:hAnsi="Arial Narrow"/>
                <w:sz w:val="20"/>
                <w:szCs w:val="20"/>
              </w:rPr>
              <w:fldChar w:fldCharType="separate"/>
            </w:r>
            <w:r>
              <w:rPr>
                <w:rFonts w:ascii="Arial Narrow" w:hAnsi="Arial Narrow"/>
                <w:noProof/>
                <w:sz w:val="20"/>
                <w:szCs w:val="20"/>
              </w:rPr>
              <w:t>(</w:t>
            </w:r>
            <w:hyperlink w:anchor="_ENREF_9" w:tooltip="Assomull, 2011 #6" w:history="1">
              <w:r>
                <w:rPr>
                  <w:rFonts w:ascii="Arial Narrow" w:hAnsi="Arial Narrow"/>
                  <w:noProof/>
                  <w:sz w:val="20"/>
                  <w:szCs w:val="20"/>
                </w:rPr>
                <w:t>2011</w:t>
              </w:r>
            </w:hyperlink>
            <w:r>
              <w:rPr>
                <w:rFonts w:ascii="Arial Narrow" w:hAnsi="Arial Narrow"/>
                <w:noProof/>
                <w:sz w:val="20"/>
                <w:szCs w:val="20"/>
              </w:rPr>
              <w:t>)</w:t>
            </w:r>
            <w:r>
              <w:rPr>
                <w:rFonts w:ascii="Arial Narrow" w:hAnsi="Arial Narrow"/>
                <w:sz w:val="20"/>
                <w:szCs w:val="20"/>
              </w:rPr>
              <w:fldChar w:fldCharType="end"/>
            </w:r>
            <w:r w:rsidRPr="00270362">
              <w:rPr>
                <w:rFonts w:ascii="Arial Narrow" w:hAnsi="Arial Narrow"/>
                <w:sz w:val="20"/>
                <w:szCs w:val="20"/>
              </w:rPr>
              <w:t xml:space="preserve">, </w:t>
            </w:r>
            <w:r w:rsidR="008122B2">
              <w:rPr>
                <w:rFonts w:ascii="Arial Narrow" w:hAnsi="Arial Narrow"/>
                <w:sz w:val="20"/>
                <w:szCs w:val="20"/>
              </w:rPr>
              <w:t>s</w:t>
            </w:r>
            <w:r w:rsidRPr="00270362">
              <w:rPr>
                <w:rFonts w:ascii="Arial Narrow" w:hAnsi="Arial Narrow"/>
                <w:sz w:val="20"/>
                <w:szCs w:val="20"/>
              </w:rPr>
              <w:t>ection B</w:t>
            </w:r>
          </w:p>
        </w:tc>
        <w:tc>
          <w:tcPr>
            <w:tcW w:w="1054" w:type="pct"/>
            <w:tcBorders>
              <w:top w:val="single" w:sz="4" w:space="0" w:color="auto"/>
              <w:left w:val="single" w:sz="4" w:space="0" w:color="auto"/>
              <w:bottom w:val="single" w:sz="4" w:space="0" w:color="auto"/>
              <w:right w:val="single" w:sz="4" w:space="0" w:color="auto"/>
            </w:tcBorders>
          </w:tcPr>
          <w:p w14:paraId="0E12D1D7" w14:textId="771F81FF" w:rsidR="000E482F" w:rsidRPr="002D4CA7" w:rsidRDefault="000E482F" w:rsidP="004C79C1">
            <w:pPr>
              <w:pStyle w:val="Tabletext1"/>
              <w:spacing w:before="0" w:after="120"/>
            </w:pPr>
            <w:r>
              <w:t>Cost derivations using data from MBS and AR-DRG</w:t>
            </w:r>
            <w:r w:rsidR="00565ECB">
              <w:t>;</w:t>
            </w:r>
            <w:r>
              <w:t xml:space="preserve"> </w:t>
            </w:r>
            <w:r>
              <w:fldChar w:fldCharType="begin"/>
            </w:r>
            <w:r>
              <w:instrText xml:space="preserve"> ADDIN EN.CITE &lt;EndNote&gt;&lt;Cite&gt;&lt;Author&gt;Independent Hospital Pricing Authority (IHPA)&lt;/Author&gt;&lt;Year&gt;2015&lt;/Year&gt;&lt;RecNum&gt;160&lt;/RecNum&gt;&lt;DisplayText&gt;(Independent Hospital Pricing Authority (IHPA) 2015a, 2015c)&lt;/DisplayText&gt;&lt;record&gt;&lt;rec-number&gt;160&lt;/rec-number&gt;&lt;foreign-keys&gt;&lt;key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Cite&gt;&lt;Author&gt;Independent Hospital Pricing Authority (IHPA)&lt;/Author&gt;&lt;Year&gt;2015&lt;/Year&gt;&lt;RecNum&gt;161&lt;/RecNum&gt;&lt;record&gt;&lt;rec-number&gt;161&lt;/rec-number&gt;&lt;foreign-keys&gt;&lt;key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 xml:space="preserve">, </w:t>
            </w:r>
            <w:hyperlink w:anchor="_ENREF_60" w:tooltip="Independent Hospital Pricing Authority (IHPA), 2015 #161" w:history="1">
              <w:r>
                <w:rPr>
                  <w:noProof/>
                </w:rPr>
                <w:t>2015c</w:t>
              </w:r>
            </w:hyperlink>
            <w:r>
              <w:rPr>
                <w:noProof/>
              </w:rPr>
              <w:t>)</w:t>
            </w:r>
            <w:r>
              <w:fldChar w:fldCharType="end"/>
            </w:r>
            <w:r>
              <w:t xml:space="preserve">, </w:t>
            </w:r>
            <w:r w:rsidR="00326BDF">
              <w:br/>
            </w:r>
            <w:r w:rsidR="008122B2">
              <w:t>s</w:t>
            </w:r>
            <w:r w:rsidRPr="002D4CA7">
              <w:t>ection B</w:t>
            </w:r>
          </w:p>
        </w:tc>
      </w:tr>
      <w:tr w:rsidR="000E482F" w:rsidRPr="00183E4D" w14:paraId="0B2C7A14"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hideMark/>
          </w:tcPr>
          <w:p w14:paraId="05529ED7" w14:textId="77777777" w:rsidR="000E482F" w:rsidRPr="00C8641E" w:rsidRDefault="000E482F" w:rsidP="004C79C1">
            <w:pPr>
              <w:pStyle w:val="Tabletext1"/>
              <w:spacing w:before="0" w:after="120"/>
              <w:rPr>
                <w:b/>
              </w:rPr>
            </w:pPr>
            <w:r w:rsidRPr="00C8641E">
              <w:rPr>
                <w:b/>
              </w:rPr>
              <w:t>Time horizon</w:t>
            </w:r>
          </w:p>
        </w:tc>
        <w:tc>
          <w:tcPr>
            <w:tcW w:w="1054" w:type="pct"/>
            <w:tcBorders>
              <w:top w:val="single" w:sz="4" w:space="0" w:color="auto"/>
              <w:left w:val="single" w:sz="4" w:space="0" w:color="auto"/>
              <w:bottom w:val="single" w:sz="4" w:space="0" w:color="auto"/>
              <w:right w:val="single" w:sz="4" w:space="0" w:color="auto"/>
            </w:tcBorders>
            <w:hideMark/>
          </w:tcPr>
          <w:p w14:paraId="4DA44BBD" w14:textId="0ECB10C5" w:rsidR="000E482F" w:rsidRPr="002D4CA7" w:rsidRDefault="000E482F" w:rsidP="004C79C1">
            <w:pPr>
              <w:pStyle w:val="Tabletext1"/>
              <w:spacing w:before="0" w:after="120"/>
            </w:pPr>
            <w:r w:rsidRPr="004C4687">
              <w:t>Time to achieve a diagnosis</w:t>
            </w:r>
            <w:r>
              <w:t xml:space="preserve"> (assumed &lt;1 year </w:t>
            </w:r>
            <w:r w:rsidR="00892CCA">
              <w:t>—</w:t>
            </w:r>
            <w:r>
              <w:t>no discounting)</w:t>
            </w:r>
          </w:p>
        </w:tc>
        <w:tc>
          <w:tcPr>
            <w:tcW w:w="1054" w:type="pct"/>
            <w:tcBorders>
              <w:top w:val="single" w:sz="4" w:space="0" w:color="auto"/>
              <w:left w:val="single" w:sz="4" w:space="0" w:color="auto"/>
              <w:bottom w:val="single" w:sz="4" w:space="0" w:color="auto"/>
              <w:right w:val="single" w:sz="4" w:space="0" w:color="auto"/>
            </w:tcBorders>
          </w:tcPr>
          <w:p w14:paraId="32FA73E2" w14:textId="1F4F163B" w:rsidR="000E482F" w:rsidRPr="002D4CA7" w:rsidRDefault="000E482F" w:rsidP="004C79C1">
            <w:pPr>
              <w:pStyle w:val="Tabletext1"/>
              <w:spacing w:before="0" w:after="120"/>
            </w:pPr>
            <w:r w:rsidRPr="002D4CA7">
              <w:t>Immediate or 6</w:t>
            </w:r>
            <w:r w:rsidR="00892CCA">
              <w:t> </w:t>
            </w:r>
            <w:r w:rsidRPr="002D4CA7">
              <w:t>months from the baseline</w:t>
            </w:r>
          </w:p>
        </w:tc>
        <w:tc>
          <w:tcPr>
            <w:tcW w:w="1054" w:type="pct"/>
            <w:tcBorders>
              <w:top w:val="single" w:sz="4" w:space="0" w:color="auto"/>
              <w:left w:val="single" w:sz="4" w:space="0" w:color="auto"/>
              <w:bottom w:val="single" w:sz="4" w:space="0" w:color="auto"/>
              <w:right w:val="single" w:sz="4" w:space="0" w:color="auto"/>
            </w:tcBorders>
          </w:tcPr>
          <w:p w14:paraId="4D3C74AD" w14:textId="3814A5E8" w:rsidR="000E482F" w:rsidRPr="00270362" w:rsidRDefault="000E482F" w:rsidP="004C79C1">
            <w:pPr>
              <w:spacing w:after="120" w:line="240" w:lineRule="auto"/>
              <w:rPr>
                <w:rFonts w:ascii="Arial Narrow" w:hAnsi="Arial Narrow"/>
                <w:sz w:val="20"/>
                <w:szCs w:val="20"/>
              </w:rPr>
            </w:pPr>
            <w:r w:rsidRPr="00270362">
              <w:rPr>
                <w:rFonts w:ascii="Arial Narrow" w:hAnsi="Arial Narrow"/>
                <w:sz w:val="20"/>
                <w:szCs w:val="20"/>
              </w:rPr>
              <w:t>Time to achieve a diagnosis (assumed &lt;1 year</w:t>
            </w:r>
            <w:r w:rsidR="00892CCA">
              <w:rPr>
                <w:rFonts w:ascii="Arial Narrow" w:hAnsi="Arial Narrow"/>
                <w:sz w:val="20"/>
                <w:szCs w:val="20"/>
              </w:rPr>
              <w:t>—</w:t>
            </w:r>
            <w:r w:rsidRPr="00270362">
              <w:rPr>
                <w:rFonts w:ascii="Arial Narrow" w:hAnsi="Arial Narrow"/>
                <w:sz w:val="20"/>
                <w:szCs w:val="20"/>
              </w:rPr>
              <w:t>no discounting)</w:t>
            </w:r>
          </w:p>
        </w:tc>
        <w:tc>
          <w:tcPr>
            <w:tcW w:w="1054" w:type="pct"/>
            <w:tcBorders>
              <w:top w:val="single" w:sz="4" w:space="0" w:color="auto"/>
              <w:left w:val="single" w:sz="4" w:space="0" w:color="auto"/>
              <w:bottom w:val="single" w:sz="4" w:space="0" w:color="auto"/>
              <w:right w:val="single" w:sz="4" w:space="0" w:color="auto"/>
            </w:tcBorders>
          </w:tcPr>
          <w:p w14:paraId="2354E6F1" w14:textId="0B2D9245" w:rsidR="000E482F" w:rsidRPr="002D4CA7" w:rsidRDefault="000E482F" w:rsidP="004C79C1">
            <w:pPr>
              <w:pStyle w:val="Tabletext1"/>
              <w:spacing w:before="0" w:after="120"/>
            </w:pPr>
            <w:r w:rsidRPr="004C4687">
              <w:t>Time to achieve a diagnosis</w:t>
            </w:r>
            <w:r>
              <w:t xml:space="preserve"> (assumed &lt;1 year</w:t>
            </w:r>
            <w:r w:rsidR="00892CCA">
              <w:t>—</w:t>
            </w:r>
            <w:r>
              <w:t>no discounting)</w:t>
            </w:r>
          </w:p>
        </w:tc>
      </w:tr>
      <w:tr w:rsidR="000E482F" w:rsidRPr="00183E4D" w14:paraId="5343F7C3"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hideMark/>
          </w:tcPr>
          <w:p w14:paraId="44541287" w14:textId="77777777" w:rsidR="000E482F" w:rsidRPr="00183E4D" w:rsidRDefault="000E482F" w:rsidP="004C79C1">
            <w:pPr>
              <w:pStyle w:val="Tabletext1"/>
              <w:spacing w:before="0" w:after="120"/>
              <w:rPr>
                <w:b/>
              </w:rPr>
            </w:pPr>
            <w:r w:rsidRPr="00183E4D">
              <w:rPr>
                <w:b/>
              </w:rPr>
              <w:t>Outcomes</w:t>
            </w:r>
          </w:p>
        </w:tc>
        <w:tc>
          <w:tcPr>
            <w:tcW w:w="1054" w:type="pct"/>
            <w:tcBorders>
              <w:top w:val="single" w:sz="4" w:space="0" w:color="auto"/>
              <w:left w:val="single" w:sz="4" w:space="0" w:color="auto"/>
              <w:bottom w:val="single" w:sz="4" w:space="0" w:color="auto"/>
              <w:right w:val="single" w:sz="4" w:space="0" w:color="auto"/>
            </w:tcBorders>
          </w:tcPr>
          <w:p w14:paraId="6857A6E6" w14:textId="77777777" w:rsidR="000E482F" w:rsidRPr="00183E4D" w:rsidRDefault="000E482F" w:rsidP="004C79C1">
            <w:pPr>
              <w:pStyle w:val="Tabletext1"/>
              <w:spacing w:before="0" w:after="120"/>
            </w:pPr>
            <w:r>
              <w:t>I</w:t>
            </w:r>
            <w:r w:rsidRPr="002D4CA7">
              <w:t xml:space="preserve">ncremental cost per </w:t>
            </w:r>
            <w:r>
              <w:t>testing strategy</w:t>
            </w:r>
          </w:p>
        </w:tc>
        <w:tc>
          <w:tcPr>
            <w:tcW w:w="1054" w:type="pct"/>
            <w:tcBorders>
              <w:top w:val="single" w:sz="4" w:space="0" w:color="auto"/>
              <w:left w:val="single" w:sz="4" w:space="0" w:color="auto"/>
              <w:bottom w:val="single" w:sz="4" w:space="0" w:color="auto"/>
              <w:right w:val="single" w:sz="4" w:space="0" w:color="auto"/>
            </w:tcBorders>
          </w:tcPr>
          <w:p w14:paraId="05AAA7F0" w14:textId="6E512480" w:rsidR="000E482F" w:rsidRPr="00183E4D" w:rsidRDefault="000E482F" w:rsidP="004C79C1">
            <w:pPr>
              <w:pStyle w:val="Tabletext1"/>
              <w:spacing w:before="0" w:after="120"/>
            </w:pPr>
            <w:r>
              <w:t>Cost per additional appropriate patient management, cost per additional inappropriate patient management avoided, cost per additional unnecessary device/surgery avoided</w:t>
            </w:r>
          </w:p>
        </w:tc>
        <w:tc>
          <w:tcPr>
            <w:tcW w:w="1054" w:type="pct"/>
            <w:tcBorders>
              <w:top w:val="single" w:sz="4" w:space="0" w:color="auto"/>
              <w:left w:val="single" w:sz="4" w:space="0" w:color="auto"/>
              <w:bottom w:val="single" w:sz="4" w:space="0" w:color="auto"/>
              <w:right w:val="single" w:sz="4" w:space="0" w:color="auto"/>
            </w:tcBorders>
          </w:tcPr>
          <w:p w14:paraId="7EF9689E" w14:textId="77777777" w:rsidR="000E482F" w:rsidRPr="00270362" w:rsidRDefault="000E482F" w:rsidP="004C79C1">
            <w:pPr>
              <w:spacing w:after="120" w:line="240" w:lineRule="auto"/>
              <w:rPr>
                <w:rFonts w:ascii="Arial Narrow" w:hAnsi="Arial Narrow"/>
                <w:sz w:val="20"/>
                <w:szCs w:val="20"/>
              </w:rPr>
            </w:pPr>
            <w:r w:rsidRPr="00871B5F">
              <w:rPr>
                <w:rFonts w:ascii="Arial Narrow" w:hAnsi="Arial Narrow"/>
                <w:sz w:val="20"/>
                <w:szCs w:val="20"/>
              </w:rPr>
              <w:t>Cost per additional correct diagnosis, cost per additional unnecessary ICA avoided</w:t>
            </w:r>
          </w:p>
        </w:tc>
        <w:tc>
          <w:tcPr>
            <w:tcW w:w="1054" w:type="pct"/>
            <w:tcBorders>
              <w:top w:val="single" w:sz="4" w:space="0" w:color="auto"/>
              <w:left w:val="single" w:sz="4" w:space="0" w:color="auto"/>
              <w:bottom w:val="single" w:sz="4" w:space="0" w:color="auto"/>
              <w:right w:val="single" w:sz="4" w:space="0" w:color="auto"/>
            </w:tcBorders>
          </w:tcPr>
          <w:p w14:paraId="412F6BB6" w14:textId="77777777" w:rsidR="000E482F" w:rsidRPr="00183E4D" w:rsidRDefault="000E482F" w:rsidP="004C79C1">
            <w:pPr>
              <w:pStyle w:val="Tabletext1"/>
              <w:spacing w:before="0" w:after="120"/>
            </w:pPr>
            <w:r>
              <w:t>Incremental c</w:t>
            </w:r>
            <w:r w:rsidRPr="002D4CA7">
              <w:t>ost</w:t>
            </w:r>
            <w:r>
              <w:t>s per testing strategy</w:t>
            </w:r>
          </w:p>
        </w:tc>
      </w:tr>
      <w:tr w:rsidR="000E482F" w:rsidRPr="00183E4D" w14:paraId="196B3F8D"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hideMark/>
          </w:tcPr>
          <w:p w14:paraId="7184DB17" w14:textId="77777777" w:rsidR="000E482F" w:rsidRPr="00183E4D" w:rsidRDefault="000E482F" w:rsidP="004C79C1">
            <w:pPr>
              <w:pStyle w:val="Tabletext1"/>
              <w:spacing w:before="0" w:after="120"/>
              <w:rPr>
                <w:b/>
              </w:rPr>
            </w:pPr>
            <w:r w:rsidRPr="00183E4D">
              <w:rPr>
                <w:b/>
              </w:rPr>
              <w:t>Methods used to generate results</w:t>
            </w:r>
          </w:p>
        </w:tc>
        <w:tc>
          <w:tcPr>
            <w:tcW w:w="1054" w:type="pct"/>
            <w:tcBorders>
              <w:top w:val="single" w:sz="4" w:space="0" w:color="auto"/>
              <w:left w:val="single" w:sz="4" w:space="0" w:color="auto"/>
              <w:bottom w:val="single" w:sz="4" w:space="0" w:color="auto"/>
              <w:right w:val="single" w:sz="4" w:space="0" w:color="auto"/>
            </w:tcBorders>
          </w:tcPr>
          <w:p w14:paraId="10D5E6BD" w14:textId="39F22E9F" w:rsidR="000E482F" w:rsidRPr="00183E4D" w:rsidRDefault="000E482F" w:rsidP="004C79C1">
            <w:pPr>
              <w:pStyle w:val="Tabletext1"/>
              <w:spacing w:before="0" w:after="120"/>
            </w:pPr>
            <w:r>
              <w:t>Cost</w:t>
            </w:r>
            <w:r w:rsidR="00892CCA">
              <w:t xml:space="preserve"> </w:t>
            </w:r>
            <w:r>
              <w:t>analyses</w:t>
            </w:r>
          </w:p>
        </w:tc>
        <w:tc>
          <w:tcPr>
            <w:tcW w:w="1054" w:type="pct"/>
            <w:tcBorders>
              <w:top w:val="single" w:sz="4" w:space="0" w:color="auto"/>
              <w:left w:val="single" w:sz="4" w:space="0" w:color="auto"/>
              <w:bottom w:val="single" w:sz="4" w:space="0" w:color="auto"/>
              <w:right w:val="single" w:sz="4" w:space="0" w:color="auto"/>
            </w:tcBorders>
          </w:tcPr>
          <w:p w14:paraId="79018AFE" w14:textId="77777777" w:rsidR="000E482F" w:rsidRPr="00183E4D" w:rsidRDefault="000E482F" w:rsidP="004C79C1">
            <w:pPr>
              <w:pStyle w:val="Tabletext1"/>
              <w:spacing w:before="0" w:after="120"/>
            </w:pPr>
            <w:r>
              <w:t>Decision tree analysis</w:t>
            </w:r>
          </w:p>
        </w:tc>
        <w:tc>
          <w:tcPr>
            <w:tcW w:w="1054" w:type="pct"/>
            <w:tcBorders>
              <w:top w:val="single" w:sz="4" w:space="0" w:color="auto"/>
              <w:left w:val="single" w:sz="4" w:space="0" w:color="auto"/>
              <w:bottom w:val="single" w:sz="4" w:space="0" w:color="auto"/>
              <w:right w:val="single" w:sz="4" w:space="0" w:color="auto"/>
            </w:tcBorders>
          </w:tcPr>
          <w:p w14:paraId="4B3E242A" w14:textId="77777777" w:rsidR="000E482F" w:rsidRPr="00270362" w:rsidRDefault="000E482F" w:rsidP="004C79C1">
            <w:pPr>
              <w:spacing w:after="120" w:line="240" w:lineRule="auto"/>
              <w:rPr>
                <w:rFonts w:ascii="Arial Narrow" w:hAnsi="Arial Narrow"/>
                <w:sz w:val="20"/>
                <w:szCs w:val="20"/>
              </w:rPr>
            </w:pPr>
            <w:r w:rsidRPr="00270362">
              <w:rPr>
                <w:rFonts w:ascii="Arial Narrow" w:hAnsi="Arial Narrow"/>
                <w:sz w:val="20"/>
                <w:szCs w:val="20"/>
              </w:rPr>
              <w:t>Decision tree analysis</w:t>
            </w:r>
          </w:p>
        </w:tc>
        <w:tc>
          <w:tcPr>
            <w:tcW w:w="1054" w:type="pct"/>
            <w:tcBorders>
              <w:top w:val="single" w:sz="4" w:space="0" w:color="auto"/>
              <w:left w:val="single" w:sz="4" w:space="0" w:color="auto"/>
              <w:bottom w:val="single" w:sz="4" w:space="0" w:color="auto"/>
              <w:right w:val="single" w:sz="4" w:space="0" w:color="auto"/>
            </w:tcBorders>
          </w:tcPr>
          <w:p w14:paraId="29FE3CB2" w14:textId="77777777" w:rsidR="000E482F" w:rsidRPr="00183E4D" w:rsidRDefault="000E482F" w:rsidP="004C79C1">
            <w:pPr>
              <w:pStyle w:val="Tabletext1"/>
              <w:spacing w:before="0" w:after="120"/>
            </w:pPr>
            <w:r>
              <w:t>Cost analysis</w:t>
            </w:r>
          </w:p>
        </w:tc>
      </w:tr>
      <w:tr w:rsidR="000E482F" w:rsidRPr="00183E4D" w14:paraId="5FDFBF81" w14:textId="77777777" w:rsidTr="00723891">
        <w:trPr>
          <w:trHeight w:val="20"/>
        </w:trPr>
        <w:tc>
          <w:tcPr>
            <w:tcW w:w="784" w:type="pct"/>
            <w:tcBorders>
              <w:top w:val="single" w:sz="4" w:space="0" w:color="auto"/>
              <w:left w:val="single" w:sz="4" w:space="0" w:color="auto"/>
              <w:bottom w:val="single" w:sz="4" w:space="0" w:color="auto"/>
              <w:right w:val="single" w:sz="4" w:space="0" w:color="auto"/>
            </w:tcBorders>
            <w:hideMark/>
          </w:tcPr>
          <w:p w14:paraId="4271B141" w14:textId="77777777" w:rsidR="000E482F" w:rsidRPr="00183E4D" w:rsidRDefault="000E482F" w:rsidP="004C79C1">
            <w:pPr>
              <w:pStyle w:val="Tabletext1"/>
              <w:spacing w:before="0" w:after="120"/>
              <w:rPr>
                <w:b/>
              </w:rPr>
            </w:pPr>
            <w:r w:rsidRPr="00183E4D">
              <w:rPr>
                <w:b/>
              </w:rPr>
              <w:t>Software package used</w:t>
            </w:r>
          </w:p>
        </w:tc>
        <w:tc>
          <w:tcPr>
            <w:tcW w:w="1054" w:type="pct"/>
            <w:tcBorders>
              <w:top w:val="single" w:sz="4" w:space="0" w:color="auto"/>
              <w:left w:val="single" w:sz="4" w:space="0" w:color="auto"/>
              <w:bottom w:val="single" w:sz="4" w:space="0" w:color="auto"/>
              <w:right w:val="single" w:sz="4" w:space="0" w:color="auto"/>
            </w:tcBorders>
          </w:tcPr>
          <w:p w14:paraId="1EA9EAD3" w14:textId="77777777" w:rsidR="000E482F" w:rsidRPr="00183E4D" w:rsidRDefault="000E482F" w:rsidP="004C79C1">
            <w:pPr>
              <w:pStyle w:val="Tabletext1"/>
              <w:spacing w:before="0" w:after="120"/>
            </w:pPr>
            <w:r>
              <w:t>MS Excel 2013</w:t>
            </w:r>
          </w:p>
        </w:tc>
        <w:tc>
          <w:tcPr>
            <w:tcW w:w="1054" w:type="pct"/>
            <w:tcBorders>
              <w:top w:val="single" w:sz="4" w:space="0" w:color="auto"/>
              <w:left w:val="single" w:sz="4" w:space="0" w:color="auto"/>
              <w:bottom w:val="single" w:sz="4" w:space="0" w:color="auto"/>
              <w:right w:val="single" w:sz="4" w:space="0" w:color="auto"/>
            </w:tcBorders>
          </w:tcPr>
          <w:p w14:paraId="77A25CD1" w14:textId="77777777" w:rsidR="000E482F" w:rsidRPr="00183E4D" w:rsidRDefault="000E482F" w:rsidP="004C79C1">
            <w:pPr>
              <w:pStyle w:val="Tabletext1"/>
              <w:spacing w:before="0" w:after="120"/>
            </w:pPr>
            <w:r>
              <w:t>TreeAge Pro 2015</w:t>
            </w:r>
          </w:p>
        </w:tc>
        <w:tc>
          <w:tcPr>
            <w:tcW w:w="1054" w:type="pct"/>
            <w:tcBorders>
              <w:top w:val="single" w:sz="4" w:space="0" w:color="auto"/>
              <w:left w:val="single" w:sz="4" w:space="0" w:color="auto"/>
              <w:bottom w:val="single" w:sz="4" w:space="0" w:color="auto"/>
              <w:right w:val="single" w:sz="4" w:space="0" w:color="auto"/>
            </w:tcBorders>
          </w:tcPr>
          <w:p w14:paraId="2ACFB8A9" w14:textId="77777777" w:rsidR="000E482F" w:rsidRPr="00270362" w:rsidRDefault="000E482F" w:rsidP="004C79C1">
            <w:pPr>
              <w:spacing w:after="120" w:line="240" w:lineRule="auto"/>
              <w:rPr>
                <w:rFonts w:ascii="Arial Narrow" w:hAnsi="Arial Narrow"/>
                <w:sz w:val="20"/>
                <w:szCs w:val="20"/>
              </w:rPr>
            </w:pPr>
            <w:r w:rsidRPr="00270362">
              <w:rPr>
                <w:rFonts w:ascii="Arial Narrow" w:hAnsi="Arial Narrow"/>
                <w:sz w:val="20"/>
                <w:szCs w:val="20"/>
              </w:rPr>
              <w:t>TreeAge Pro 2015</w:t>
            </w:r>
          </w:p>
        </w:tc>
        <w:tc>
          <w:tcPr>
            <w:tcW w:w="1054" w:type="pct"/>
            <w:tcBorders>
              <w:top w:val="single" w:sz="4" w:space="0" w:color="auto"/>
              <w:left w:val="single" w:sz="4" w:space="0" w:color="auto"/>
              <w:bottom w:val="single" w:sz="4" w:space="0" w:color="auto"/>
              <w:right w:val="single" w:sz="4" w:space="0" w:color="auto"/>
            </w:tcBorders>
          </w:tcPr>
          <w:p w14:paraId="7DEBF33F" w14:textId="77777777" w:rsidR="000E482F" w:rsidRPr="00183E4D" w:rsidRDefault="000E482F" w:rsidP="004C79C1">
            <w:pPr>
              <w:pStyle w:val="Tabletext1"/>
              <w:spacing w:before="0" w:after="120"/>
            </w:pPr>
            <w:r>
              <w:t>MS Excel 2013</w:t>
            </w:r>
          </w:p>
        </w:tc>
      </w:tr>
    </w:tbl>
    <w:p w14:paraId="25C2AF60" w14:textId="081614A8" w:rsidR="000E482F" w:rsidRPr="00565ECB" w:rsidRDefault="000E482F" w:rsidP="004C79C1">
      <w:pPr>
        <w:pStyle w:val="Tablenotes0"/>
        <w:spacing w:before="0" w:after="120"/>
      </w:pPr>
      <w:r w:rsidRPr="00565ECB">
        <w:t xml:space="preserve">AR-DRG = </w:t>
      </w:r>
      <w:r w:rsidRPr="00565ECB">
        <w:rPr>
          <w:rStyle w:val="st"/>
        </w:rPr>
        <w:t xml:space="preserve">Australian Refined Diagnosis Related Groups; </w:t>
      </w:r>
      <w:r w:rsidR="003E645F" w:rsidRPr="00565ECB">
        <w:rPr>
          <w:rStyle w:val="st"/>
        </w:rPr>
        <w:t xml:space="preserve">CAD = </w:t>
      </w:r>
      <w:r w:rsidR="00565ECB" w:rsidRPr="00852F20">
        <w:t>coronary artery disease</w:t>
      </w:r>
      <w:r w:rsidR="003E645F" w:rsidRPr="00565ECB">
        <w:rPr>
          <w:rStyle w:val="st"/>
        </w:rPr>
        <w:t>;</w:t>
      </w:r>
      <w:r w:rsidR="004F632C">
        <w:rPr>
          <w:rStyle w:val="st"/>
        </w:rPr>
        <w:t xml:space="preserve"> cEcho = contrast echocardiography; </w:t>
      </w:r>
      <w:r w:rsidRPr="00565ECB">
        <w:rPr>
          <w:rStyle w:val="st"/>
        </w:rPr>
        <w:t xml:space="preserve">CMR = cardiac magnetic resonance </w:t>
      </w:r>
      <w:r w:rsidR="000C188E">
        <w:rPr>
          <w:rStyle w:val="st"/>
        </w:rPr>
        <w:t>(</w:t>
      </w:r>
      <w:r w:rsidRPr="00565ECB">
        <w:rPr>
          <w:rStyle w:val="st"/>
        </w:rPr>
        <w:t>imaging</w:t>
      </w:r>
      <w:r w:rsidR="000C188E">
        <w:rPr>
          <w:rStyle w:val="st"/>
        </w:rPr>
        <w:t>)</w:t>
      </w:r>
      <w:r w:rsidRPr="00565ECB">
        <w:rPr>
          <w:rStyle w:val="st"/>
        </w:rPr>
        <w:t>;</w:t>
      </w:r>
      <w:r w:rsidRPr="00565ECB">
        <w:t xml:space="preserve"> CTCA = computed tomography coronary angiography; Echo = echocardiography; GHPS = gated heart pool scan; ICA = invasive coronary angiogram; IHPA = Independent Hospital Pricing Authority; MBS = Medicare Benefits Schedule; </w:t>
      </w:r>
      <w:r w:rsidR="003E645F" w:rsidRPr="00565ECB">
        <w:t xml:space="preserve">NIDCM = </w:t>
      </w:r>
      <w:r w:rsidR="00565ECB" w:rsidRPr="00852F20">
        <w:rPr>
          <w:color w:val="000000"/>
          <w:szCs w:val="24"/>
        </w:rPr>
        <w:t>non-ischaemic dilated cardiomyopathy</w:t>
      </w:r>
      <w:r w:rsidR="003E645F" w:rsidRPr="00565ECB">
        <w:t xml:space="preserve">; </w:t>
      </w:r>
      <w:r w:rsidRPr="00565ECB">
        <w:t>SPECT = single-photon emission computed tomography</w:t>
      </w:r>
    </w:p>
    <w:p w14:paraId="6F62A3E7" w14:textId="30DEE556" w:rsidR="000E482F" w:rsidRDefault="000E482F" w:rsidP="004C79C1">
      <w:pPr>
        <w:spacing w:after="120" w:line="240" w:lineRule="auto"/>
      </w:pPr>
      <w:r>
        <w:t>The remaining subsections (D.2</w:t>
      </w:r>
      <w:r w:rsidR="000E4D8F">
        <w:t>–</w:t>
      </w:r>
      <w:r>
        <w:t xml:space="preserve">D.6) of </w:t>
      </w:r>
      <w:r w:rsidR="008A1F4E">
        <w:t>s</w:t>
      </w:r>
      <w:r>
        <w:t>ection D are presented separately for each of the above-detailed analyses, with each analysis presented in full, consecutively.</w:t>
      </w:r>
      <w:r w:rsidR="000238A4" w:rsidDel="000238A4">
        <w:t xml:space="preserve"> </w:t>
      </w:r>
    </w:p>
    <w:p w14:paraId="3636C46A" w14:textId="49A1A770" w:rsidR="000E482F" w:rsidRPr="00154333" w:rsidRDefault="000E482F" w:rsidP="004C79C1">
      <w:pPr>
        <w:pStyle w:val="Heading2"/>
        <w:spacing w:before="0" w:after="120" w:line="240" w:lineRule="auto"/>
        <w:rPr>
          <w:u w:val="single"/>
        </w:rPr>
      </w:pPr>
      <w:bookmarkStart w:id="523" w:name="_Toc449428898"/>
      <w:bookmarkStart w:id="524" w:name="_Toc451501370"/>
      <w:r w:rsidRPr="00154333">
        <w:rPr>
          <w:u w:val="single"/>
        </w:rPr>
        <w:t xml:space="preserve">Population i: Patients with </w:t>
      </w:r>
      <w:r w:rsidR="00A73207">
        <w:rPr>
          <w:u w:val="single"/>
        </w:rPr>
        <w:t>I</w:t>
      </w:r>
      <w:r w:rsidRPr="00154333">
        <w:rPr>
          <w:u w:val="single"/>
        </w:rPr>
        <w:t xml:space="preserve">ndeterminate </w:t>
      </w:r>
      <w:bookmarkEnd w:id="523"/>
      <w:r w:rsidR="006255B4">
        <w:rPr>
          <w:u w:val="single"/>
        </w:rPr>
        <w:t>e</w:t>
      </w:r>
      <w:r w:rsidR="006255B4" w:rsidRPr="00154333">
        <w:rPr>
          <w:u w:val="single"/>
        </w:rPr>
        <w:t>cho</w:t>
      </w:r>
      <w:r w:rsidR="006255B4">
        <w:rPr>
          <w:u w:val="single"/>
        </w:rPr>
        <w:t>cardiogram</w:t>
      </w:r>
      <w:bookmarkEnd w:id="524"/>
    </w:p>
    <w:p w14:paraId="6E19D4C5" w14:textId="3EADCB58" w:rsidR="000E482F" w:rsidRPr="00BE756F" w:rsidRDefault="000E482F" w:rsidP="00161B88">
      <w:pPr>
        <w:pStyle w:val="Heading3"/>
      </w:pPr>
      <w:bookmarkStart w:id="525" w:name="_Toc449428899"/>
      <w:bookmarkStart w:id="526" w:name="_Toc451501371"/>
      <w:r w:rsidRPr="00BE756F">
        <w:t>D2</w:t>
      </w:r>
      <w:proofErr w:type="gramStart"/>
      <w:r w:rsidRPr="00BE756F">
        <w:t>.(</w:t>
      </w:r>
      <w:proofErr w:type="gramEnd"/>
      <w:r w:rsidRPr="00BE756F">
        <w:t>i)</w:t>
      </w:r>
      <w:r>
        <w:t xml:space="preserve"> CA</w:t>
      </w:r>
      <w:r w:rsidRPr="00BE756F">
        <w:tab/>
        <w:t>Population and setting</w:t>
      </w:r>
      <w:bookmarkEnd w:id="525"/>
      <w:bookmarkEnd w:id="526"/>
    </w:p>
    <w:p w14:paraId="70048798" w14:textId="647667EF" w:rsidR="000E482F" w:rsidRDefault="000E482F" w:rsidP="004C79C1">
      <w:pPr>
        <w:spacing w:after="120" w:line="240" w:lineRule="auto"/>
        <w:jc w:val="both"/>
      </w:pPr>
      <w:r>
        <w:t>T</w:t>
      </w:r>
      <w:r w:rsidRPr="00BE756F">
        <w:t>his population</w:t>
      </w:r>
      <w:r>
        <w:t xml:space="preserve"> </w:t>
      </w:r>
      <w:r w:rsidR="005550A6">
        <w:t xml:space="preserve">comprises </w:t>
      </w:r>
      <w:r>
        <w:t xml:space="preserve">symptomatic patients </w:t>
      </w:r>
      <w:r w:rsidR="001E38F8">
        <w:t xml:space="preserve">who </w:t>
      </w:r>
      <w:r>
        <w:t xml:space="preserve">have not obtained conclusive results from an </w:t>
      </w:r>
      <w:r w:rsidR="00944054">
        <w:t xml:space="preserve">echocardiogram </w:t>
      </w:r>
      <w:r>
        <w:t>to enable diagnosis. Currently</w:t>
      </w:r>
      <w:r w:rsidR="001E38F8">
        <w:t>,</w:t>
      </w:r>
      <w:r>
        <w:t xml:space="preserve"> in this situation, a </w:t>
      </w:r>
      <w:r w:rsidR="00E57C86">
        <w:t xml:space="preserve">contrast echocardiography </w:t>
      </w:r>
      <w:r>
        <w:t xml:space="preserve">or a </w:t>
      </w:r>
      <w:r w:rsidR="001E38F8">
        <w:t>GHPS</w:t>
      </w:r>
      <w:r>
        <w:t xml:space="preserve"> would be undertaken to assess the functioning of the heart and enable diagnosis. Where these tests are indicative of </w:t>
      </w:r>
      <w:r w:rsidR="00D23B8C">
        <w:t xml:space="preserve">a </w:t>
      </w:r>
      <w:r>
        <w:t xml:space="preserve">dilated LV and systolic dysfunction, subsequent tests </w:t>
      </w:r>
      <w:r w:rsidR="00E57C86">
        <w:t>(CTCA, SPECT, stress e</w:t>
      </w:r>
      <w:r>
        <w:t>cho</w:t>
      </w:r>
      <w:r w:rsidR="00E57C86">
        <w:t>cardiography</w:t>
      </w:r>
      <w:r>
        <w:t xml:space="preserve"> or ICA) are also likely to be performed to rule out ischaemia (as for Population ii). </w:t>
      </w:r>
    </w:p>
    <w:p w14:paraId="78D2C023" w14:textId="1FF64019" w:rsidR="000E482F" w:rsidRDefault="000E482F" w:rsidP="004C79C1">
      <w:pPr>
        <w:spacing w:after="120" w:line="240" w:lineRule="auto"/>
        <w:jc w:val="both"/>
      </w:pPr>
      <w:r>
        <w:lastRenderedPageBreak/>
        <w:t xml:space="preserve">In this analysis </w:t>
      </w:r>
      <w:r w:rsidRPr="001D6DA9">
        <w:rPr>
          <w:i/>
        </w:rPr>
        <w:t xml:space="preserve">CMR is proposed to replace </w:t>
      </w:r>
      <w:r w:rsidR="006255B4" w:rsidRPr="001D6DA9">
        <w:rPr>
          <w:i/>
        </w:rPr>
        <w:t xml:space="preserve">contrast </w:t>
      </w:r>
      <w:r w:rsidR="006255B4">
        <w:rPr>
          <w:i/>
        </w:rPr>
        <w:t>e</w:t>
      </w:r>
      <w:r w:rsidR="006255B4" w:rsidRPr="001D6DA9">
        <w:rPr>
          <w:i/>
        </w:rPr>
        <w:t>cho</w:t>
      </w:r>
      <w:r w:rsidR="006255B4">
        <w:rPr>
          <w:i/>
        </w:rPr>
        <w:t>cardiography</w:t>
      </w:r>
      <w:r w:rsidR="006255B4" w:rsidRPr="001D6DA9">
        <w:rPr>
          <w:i/>
        </w:rPr>
        <w:t xml:space="preserve"> </w:t>
      </w:r>
      <w:r w:rsidRPr="001D6DA9">
        <w:rPr>
          <w:i/>
        </w:rPr>
        <w:t xml:space="preserve">or GHPS. </w:t>
      </w:r>
      <w:r>
        <w:t>The extent to which it may also replace any subsequent test (e</w:t>
      </w:r>
      <w:r w:rsidR="00A25D74">
        <w:t>.</w:t>
      </w:r>
      <w:r>
        <w:t>g</w:t>
      </w:r>
      <w:r w:rsidR="00A25D74">
        <w:t>.</w:t>
      </w:r>
      <w:r>
        <w:t xml:space="preserve"> to rule out isch</w:t>
      </w:r>
      <w:r w:rsidR="008029F5">
        <w:t>a</w:t>
      </w:r>
      <w:r>
        <w:t>emia or further investigation) is not estimated in this analysis.</w:t>
      </w:r>
    </w:p>
    <w:p w14:paraId="4821EA89" w14:textId="3B060E06" w:rsidR="000E482F" w:rsidRDefault="000E482F" w:rsidP="00161B88">
      <w:pPr>
        <w:pStyle w:val="Heading3"/>
      </w:pPr>
      <w:bookmarkStart w:id="527" w:name="_Toc449428900"/>
      <w:bookmarkStart w:id="528" w:name="_Toc451501372"/>
      <w:r>
        <w:t>D3</w:t>
      </w:r>
      <w:proofErr w:type="gramStart"/>
      <w:r>
        <w:t>.(</w:t>
      </w:r>
      <w:proofErr w:type="gramEnd"/>
      <w:r>
        <w:t>i) CA</w:t>
      </w:r>
      <w:r>
        <w:tab/>
        <w:t xml:space="preserve">Structure and </w:t>
      </w:r>
      <w:r w:rsidR="004617A0">
        <w:t>r</w:t>
      </w:r>
      <w:r>
        <w:t>ational</w:t>
      </w:r>
      <w:r w:rsidR="00517A21">
        <w:t>e</w:t>
      </w:r>
      <w:r>
        <w:t xml:space="preserve"> of the economic analysis</w:t>
      </w:r>
      <w:bookmarkEnd w:id="527"/>
      <w:bookmarkEnd w:id="528"/>
    </w:p>
    <w:p w14:paraId="582F724B" w14:textId="06638C57" w:rsidR="000E482F" w:rsidRPr="00966B95" w:rsidRDefault="000E482F" w:rsidP="004C79C1">
      <w:pPr>
        <w:shd w:val="clear" w:color="auto" w:fill="FFFFFF" w:themeFill="background1"/>
        <w:spacing w:after="120" w:line="240" w:lineRule="auto"/>
        <w:jc w:val="both"/>
      </w:pPr>
      <w:r w:rsidRPr="00966B95">
        <w:t>In th</w:t>
      </w:r>
      <w:r>
        <w:t xml:space="preserve">is </w:t>
      </w:r>
      <w:r w:rsidRPr="00966B95">
        <w:t xml:space="preserve">population, evidence for the effectiveness of CMR </w:t>
      </w:r>
      <w:r w:rsidR="00A25D74">
        <w:t>compared with</w:t>
      </w:r>
      <w:r w:rsidR="00A25D74" w:rsidRPr="00966B95">
        <w:t xml:space="preserve"> </w:t>
      </w:r>
      <w:r w:rsidR="00A25D74">
        <w:t xml:space="preserve">an </w:t>
      </w:r>
      <w:r w:rsidRPr="00966B95">
        <w:t>alternative follow-up (</w:t>
      </w:r>
      <w:r w:rsidR="00A25D74">
        <w:t>GHPS</w:t>
      </w:r>
      <w:r w:rsidRPr="00966B95">
        <w:t xml:space="preserve"> and/or </w:t>
      </w:r>
      <w:r w:rsidR="006255B4" w:rsidRPr="006255B4">
        <w:t>contrast echocardiography</w:t>
      </w:r>
      <w:r w:rsidRPr="00966B95">
        <w:t>) was not identified. A cost</w:t>
      </w:r>
      <w:r w:rsidR="00C714C5">
        <w:t xml:space="preserve"> </w:t>
      </w:r>
      <w:r w:rsidRPr="00966B95">
        <w:t xml:space="preserve">analysis </w:t>
      </w:r>
      <w:r w:rsidR="00392414">
        <w:t xml:space="preserve">(CA) </w:t>
      </w:r>
      <w:r w:rsidRPr="00966B95">
        <w:t xml:space="preserve">comparing CMR </w:t>
      </w:r>
      <w:r w:rsidR="00C714C5">
        <w:t>with</w:t>
      </w:r>
      <w:r w:rsidR="00C714C5" w:rsidRPr="00966B95">
        <w:t xml:space="preserve"> </w:t>
      </w:r>
      <w:r w:rsidRPr="00966B95">
        <w:t xml:space="preserve">these comparators is presented. The costs considered in the analysis include those related to testing (including patient co-payments), the cost of referrals for testing (where applicable), and the cost for treating AEs related to the testing methodology. A qualitative summary of clinical differences </w:t>
      </w:r>
      <w:r w:rsidR="00C714C5">
        <w:t>that</w:t>
      </w:r>
      <w:r w:rsidR="00C714C5" w:rsidRPr="00966B95">
        <w:t xml:space="preserve"> </w:t>
      </w:r>
      <w:r w:rsidRPr="00966B95">
        <w:t>should be considered concurrently with the cost analysis is also presented</w:t>
      </w:r>
      <w:r w:rsidR="00FF3716">
        <w:t>:</w:t>
      </w:r>
    </w:p>
    <w:p w14:paraId="2F408FFF" w14:textId="1FF990E7" w:rsidR="000E482F" w:rsidRPr="00966B95" w:rsidRDefault="000E482F" w:rsidP="004C79C1">
      <w:pPr>
        <w:pStyle w:val="ListParagraph"/>
        <w:numPr>
          <w:ilvl w:val="0"/>
          <w:numId w:val="32"/>
        </w:numPr>
        <w:shd w:val="clear" w:color="auto" w:fill="FFFFFF" w:themeFill="background1"/>
        <w:spacing w:after="120" w:line="240" w:lineRule="auto"/>
        <w:ind w:left="714" w:hanging="357"/>
        <w:jc w:val="both"/>
      </w:pPr>
      <w:r w:rsidRPr="00966B95">
        <w:t xml:space="preserve">The analyses only consider the costs associated with resolving the initial indeterminate </w:t>
      </w:r>
      <w:r w:rsidR="006255B4">
        <w:t>echo</w:t>
      </w:r>
      <w:r w:rsidR="006255B4" w:rsidRPr="00094D3C">
        <w:t>cardiography</w:t>
      </w:r>
      <w:r w:rsidR="006255B4">
        <w:t xml:space="preserve"> </w:t>
      </w:r>
      <w:r w:rsidRPr="00966B95">
        <w:t>result</w:t>
      </w:r>
      <w:r w:rsidR="004617A0">
        <w:t>,</w:t>
      </w:r>
      <w:r w:rsidRPr="00966B95">
        <w:t xml:space="preserve"> as there is a high degree of uncertainty in the proportion of initially indeterminate patients who have </w:t>
      </w:r>
      <w:r w:rsidR="00D23B8C">
        <w:t xml:space="preserve">a </w:t>
      </w:r>
      <w:r w:rsidRPr="00966B95">
        <w:t>dilated LV</w:t>
      </w:r>
      <w:r w:rsidR="00774CD3">
        <w:t>,</w:t>
      </w:r>
      <w:r w:rsidRPr="00966B95">
        <w:t xml:space="preserve"> and </w:t>
      </w:r>
      <w:r w:rsidR="00774CD3">
        <w:t xml:space="preserve">in </w:t>
      </w:r>
      <w:r w:rsidRPr="00966B95">
        <w:t>the risk of CAD in these patients (which determines the type of further testing).</w:t>
      </w:r>
    </w:p>
    <w:p w14:paraId="5AE100ED" w14:textId="3E2F7EAF" w:rsidR="000E482F" w:rsidRPr="00966B95" w:rsidRDefault="000E482F" w:rsidP="004C79C1">
      <w:pPr>
        <w:pStyle w:val="ListParagraph"/>
        <w:numPr>
          <w:ilvl w:val="0"/>
          <w:numId w:val="32"/>
        </w:numPr>
        <w:shd w:val="clear" w:color="auto" w:fill="FFFFFF" w:themeFill="background1"/>
        <w:spacing w:after="120" w:line="240" w:lineRule="auto"/>
        <w:jc w:val="both"/>
      </w:pPr>
      <w:r w:rsidRPr="00966B95">
        <w:t>The analyses assume that CMR yields similar results, diagnostically, to that of</w:t>
      </w:r>
      <w:r w:rsidR="00774CD3">
        <w:t xml:space="preserve"> GHPS</w:t>
      </w:r>
      <w:r w:rsidRPr="00966B95">
        <w:t xml:space="preserve"> and </w:t>
      </w:r>
      <w:r w:rsidR="006255B4" w:rsidRPr="006255B4">
        <w:t>contrast echocardiography</w:t>
      </w:r>
      <w:r w:rsidR="00774CD3">
        <w:t>,</w:t>
      </w:r>
      <w:r w:rsidRPr="00966B95">
        <w:t xml:space="preserve"> as the information contained within this report do</w:t>
      </w:r>
      <w:r>
        <w:t>es</w:t>
      </w:r>
      <w:r w:rsidRPr="00966B95">
        <w:t xml:space="preserve"> not provide adequate support for quantifying the consequences of true or false positives or negatives.</w:t>
      </w:r>
    </w:p>
    <w:p w14:paraId="04ED7565" w14:textId="74DBCA11" w:rsidR="000E482F" w:rsidRPr="00966B95" w:rsidRDefault="000E482F" w:rsidP="00161B88">
      <w:pPr>
        <w:pStyle w:val="Heading3"/>
      </w:pPr>
      <w:bookmarkStart w:id="529" w:name="_Toc449428901"/>
      <w:bookmarkStart w:id="530" w:name="_Toc451501373"/>
      <w:r w:rsidRPr="00966B95">
        <w:t>D4</w:t>
      </w:r>
      <w:proofErr w:type="gramStart"/>
      <w:r w:rsidRPr="00966B95">
        <w:t>.(</w:t>
      </w:r>
      <w:proofErr w:type="gramEnd"/>
      <w:r w:rsidRPr="00966B95">
        <w:t>i)</w:t>
      </w:r>
      <w:r>
        <w:t xml:space="preserve"> CA</w:t>
      </w:r>
      <w:r w:rsidRPr="00966B95">
        <w:tab/>
        <w:t>Inputs to the cost analysis</w:t>
      </w:r>
      <w:bookmarkEnd w:id="529"/>
      <w:bookmarkEnd w:id="530"/>
    </w:p>
    <w:p w14:paraId="24BD4962" w14:textId="77777777" w:rsidR="000E482F" w:rsidRPr="00966B95" w:rsidRDefault="000E482F" w:rsidP="00161B88">
      <w:pPr>
        <w:pStyle w:val="Heading4"/>
      </w:pPr>
      <w:r w:rsidRPr="00966B95">
        <w:t>CMR</w:t>
      </w:r>
    </w:p>
    <w:p w14:paraId="0CB4F618" w14:textId="7AE4E9C3" w:rsidR="000E482F" w:rsidRPr="00966B95" w:rsidRDefault="000E482F" w:rsidP="004C79C1">
      <w:pPr>
        <w:shd w:val="clear" w:color="auto" w:fill="FFFFFF" w:themeFill="background1"/>
        <w:spacing w:after="120" w:line="240" w:lineRule="auto"/>
      </w:pPr>
      <w:r w:rsidRPr="00966B95">
        <w:t xml:space="preserve">A summary of the identified costs associated with CMR </w:t>
      </w:r>
      <w:r w:rsidR="00601E9C">
        <w:t>is</w:t>
      </w:r>
      <w:r w:rsidR="00601E9C" w:rsidRPr="00966B95">
        <w:t xml:space="preserve"> </w:t>
      </w:r>
      <w:r w:rsidRPr="00966B95">
        <w:t>presented in</w:t>
      </w:r>
      <w:r>
        <w:t xml:space="preserve"> </w:t>
      </w:r>
      <w:r w:rsidR="006255B4">
        <w:fldChar w:fldCharType="begin"/>
      </w:r>
      <w:r w:rsidR="006255B4">
        <w:instrText xml:space="preserve"> REF _Ref451253034 \h </w:instrText>
      </w:r>
      <w:r w:rsidR="006255B4">
        <w:fldChar w:fldCharType="separate"/>
      </w:r>
      <w:r w:rsidR="00931520">
        <w:t xml:space="preserve">Table </w:t>
      </w:r>
      <w:r w:rsidR="00931520">
        <w:rPr>
          <w:noProof/>
        </w:rPr>
        <w:t>34</w:t>
      </w:r>
      <w:r w:rsidR="006255B4">
        <w:fldChar w:fldCharType="end"/>
      </w:r>
      <w:r w:rsidRPr="00966B95">
        <w:t>.</w:t>
      </w:r>
    </w:p>
    <w:p w14:paraId="4C4923AB" w14:textId="2E525FE7" w:rsidR="006255B4" w:rsidRDefault="006255B4" w:rsidP="004C79C1">
      <w:pPr>
        <w:pStyle w:val="Caption"/>
        <w:keepNext/>
      </w:pPr>
      <w:bookmarkStart w:id="531" w:name="_Ref451253034"/>
      <w:bookmarkStart w:id="532" w:name="_Toc451435361"/>
      <w:r>
        <w:t xml:space="preserve">Table </w:t>
      </w:r>
      <w:fldSimple w:instr=" SEQ Table \* ARABIC ">
        <w:r w:rsidR="00050936">
          <w:rPr>
            <w:noProof/>
          </w:rPr>
          <w:t>34</w:t>
        </w:r>
      </w:fldSimple>
      <w:bookmarkEnd w:id="531"/>
      <w:r>
        <w:tab/>
      </w:r>
      <w:r w:rsidRPr="00BE5E2B">
        <w:t>Costs associated with proposed CMR testing</w:t>
      </w:r>
      <w:bookmarkEnd w:id="532"/>
    </w:p>
    <w:tbl>
      <w:tblPr>
        <w:tblStyle w:val="TableGrid"/>
        <w:tblW w:w="0" w:type="auto"/>
        <w:tblLook w:val="04A0" w:firstRow="1" w:lastRow="0" w:firstColumn="1" w:lastColumn="0" w:noHBand="0" w:noVBand="1"/>
        <w:tblDescription w:val="Costs associated with proposed CMR testing"/>
      </w:tblPr>
      <w:tblGrid>
        <w:gridCol w:w="4106"/>
        <w:gridCol w:w="1276"/>
        <w:gridCol w:w="3634"/>
      </w:tblGrid>
      <w:tr w:rsidR="000E482F" w:rsidRPr="00D50186" w14:paraId="2F933EE6" w14:textId="77777777" w:rsidTr="00723891">
        <w:trPr>
          <w:tblHeader/>
        </w:trPr>
        <w:tc>
          <w:tcPr>
            <w:tcW w:w="4106" w:type="dxa"/>
            <w:tcBorders>
              <w:bottom w:val="single" w:sz="4" w:space="0" w:color="auto"/>
            </w:tcBorders>
          </w:tcPr>
          <w:p w14:paraId="7790E221" w14:textId="77777777" w:rsidR="000E482F" w:rsidRPr="00D50186" w:rsidRDefault="000E482F" w:rsidP="004C79C1">
            <w:pPr>
              <w:pStyle w:val="TableHeading"/>
              <w:shd w:val="clear" w:color="auto" w:fill="FFFFFF" w:themeFill="background1"/>
              <w:spacing w:before="0" w:after="120"/>
            </w:pPr>
            <w:r w:rsidRPr="00D50186">
              <w:t>Parameter</w:t>
            </w:r>
          </w:p>
        </w:tc>
        <w:tc>
          <w:tcPr>
            <w:tcW w:w="1276" w:type="dxa"/>
            <w:tcBorders>
              <w:bottom w:val="single" w:sz="4" w:space="0" w:color="auto"/>
            </w:tcBorders>
          </w:tcPr>
          <w:p w14:paraId="0C3FF9E9" w14:textId="77777777" w:rsidR="000E482F" w:rsidRPr="00D50186" w:rsidRDefault="000E482F" w:rsidP="004C79C1">
            <w:pPr>
              <w:pStyle w:val="TableHeading"/>
              <w:shd w:val="clear" w:color="auto" w:fill="FFFFFF" w:themeFill="background1"/>
              <w:spacing w:before="0" w:after="120"/>
            </w:pPr>
            <w:r w:rsidRPr="00D50186">
              <w:t>Estimate</w:t>
            </w:r>
          </w:p>
        </w:tc>
        <w:tc>
          <w:tcPr>
            <w:tcW w:w="3634" w:type="dxa"/>
            <w:tcBorders>
              <w:bottom w:val="single" w:sz="4" w:space="0" w:color="auto"/>
            </w:tcBorders>
          </w:tcPr>
          <w:p w14:paraId="0D63251B" w14:textId="77777777" w:rsidR="000E482F" w:rsidRPr="00D50186" w:rsidRDefault="000E482F" w:rsidP="004C79C1">
            <w:pPr>
              <w:pStyle w:val="TableHeading"/>
              <w:shd w:val="clear" w:color="auto" w:fill="FFFFFF" w:themeFill="background1"/>
              <w:spacing w:before="0" w:after="120"/>
            </w:pPr>
            <w:r w:rsidRPr="00D50186">
              <w:t>Source</w:t>
            </w:r>
          </w:p>
        </w:tc>
      </w:tr>
      <w:tr w:rsidR="000E482F" w:rsidRPr="00D50186" w14:paraId="42102640" w14:textId="77777777" w:rsidTr="00723891">
        <w:tc>
          <w:tcPr>
            <w:tcW w:w="4106" w:type="dxa"/>
            <w:tcBorders>
              <w:right w:val="nil"/>
            </w:tcBorders>
          </w:tcPr>
          <w:p w14:paraId="3EE0B8F9" w14:textId="77777777" w:rsidR="000E482F" w:rsidRPr="00D50186" w:rsidRDefault="000E482F" w:rsidP="004C79C1">
            <w:pPr>
              <w:pStyle w:val="Tabletext1"/>
              <w:shd w:val="clear" w:color="auto" w:fill="FFFFFF" w:themeFill="background1"/>
              <w:spacing w:before="0" w:after="120"/>
              <w:rPr>
                <w:b/>
              </w:rPr>
            </w:pPr>
            <w:r w:rsidRPr="00D50186">
              <w:rPr>
                <w:b/>
              </w:rPr>
              <w:t>Costs related to testing</w:t>
            </w:r>
          </w:p>
        </w:tc>
        <w:tc>
          <w:tcPr>
            <w:tcW w:w="1276" w:type="dxa"/>
            <w:tcBorders>
              <w:left w:val="nil"/>
              <w:right w:val="nil"/>
            </w:tcBorders>
          </w:tcPr>
          <w:p w14:paraId="4E2503DE" w14:textId="77777777" w:rsidR="000E482F" w:rsidRPr="00D50186" w:rsidRDefault="000E482F" w:rsidP="004C79C1">
            <w:pPr>
              <w:pStyle w:val="Tabletext1"/>
              <w:shd w:val="clear" w:color="auto" w:fill="FFFFFF" w:themeFill="background1"/>
              <w:spacing w:before="0" w:after="120"/>
              <w:jc w:val="center"/>
              <w:rPr>
                <w:b/>
              </w:rPr>
            </w:pPr>
            <w:r w:rsidRPr="00D50186">
              <w:rPr>
                <w:b/>
                <w:color w:val="FFFFFF" w:themeColor="background1"/>
              </w:rPr>
              <w:t>-</w:t>
            </w:r>
          </w:p>
        </w:tc>
        <w:tc>
          <w:tcPr>
            <w:tcW w:w="3634" w:type="dxa"/>
            <w:tcBorders>
              <w:left w:val="nil"/>
            </w:tcBorders>
          </w:tcPr>
          <w:p w14:paraId="7D124C90" w14:textId="77777777" w:rsidR="000E482F" w:rsidRPr="00D50186" w:rsidRDefault="000E482F" w:rsidP="004C79C1">
            <w:pPr>
              <w:pStyle w:val="Tabletext1"/>
              <w:shd w:val="clear" w:color="auto" w:fill="FFFFFF" w:themeFill="background1"/>
              <w:spacing w:before="0" w:after="120"/>
              <w:rPr>
                <w:b/>
              </w:rPr>
            </w:pPr>
            <w:r w:rsidRPr="00D50186">
              <w:rPr>
                <w:b/>
                <w:color w:val="FFFFFF" w:themeColor="background1"/>
              </w:rPr>
              <w:t>-</w:t>
            </w:r>
          </w:p>
        </w:tc>
      </w:tr>
      <w:tr w:rsidR="000E482F" w:rsidRPr="00D50186" w14:paraId="401670EE" w14:textId="77777777" w:rsidTr="00723891">
        <w:tc>
          <w:tcPr>
            <w:tcW w:w="4106" w:type="dxa"/>
          </w:tcPr>
          <w:p w14:paraId="00983B7F" w14:textId="72039CCF" w:rsidR="000E482F" w:rsidRPr="00D50186" w:rsidRDefault="000E482F" w:rsidP="004C79C1">
            <w:pPr>
              <w:pStyle w:val="Tabletext1"/>
              <w:shd w:val="clear" w:color="auto" w:fill="FFFFFF" w:themeFill="background1"/>
              <w:spacing w:before="0" w:after="120"/>
            </w:pPr>
            <w:r w:rsidRPr="00D50186">
              <w:t>Proportion of patients bulk-billed</w:t>
            </w:r>
            <w:r w:rsidR="00DD72E4">
              <w:t>:</w:t>
            </w:r>
          </w:p>
        </w:tc>
        <w:tc>
          <w:tcPr>
            <w:tcW w:w="1276" w:type="dxa"/>
            <w:vAlign w:val="bottom"/>
          </w:tcPr>
          <w:p w14:paraId="6B2F2D3C"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72.8%</w:t>
            </w:r>
          </w:p>
        </w:tc>
        <w:tc>
          <w:tcPr>
            <w:tcW w:w="3634" w:type="dxa"/>
            <w:vAlign w:val="bottom"/>
          </w:tcPr>
          <w:p w14:paraId="0BE7362F"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current CMR services</w:t>
            </w:r>
          </w:p>
        </w:tc>
      </w:tr>
      <w:tr w:rsidR="000E482F" w:rsidRPr="00D50186" w14:paraId="0CD76D2E" w14:textId="77777777" w:rsidTr="00723891">
        <w:tc>
          <w:tcPr>
            <w:tcW w:w="4106" w:type="dxa"/>
          </w:tcPr>
          <w:p w14:paraId="37F73BB8" w14:textId="277C09B0" w:rsidR="000E482F" w:rsidRPr="00D50186" w:rsidRDefault="000E482F" w:rsidP="004C79C1">
            <w:pPr>
              <w:pStyle w:val="Tabletext1"/>
              <w:shd w:val="clear" w:color="auto" w:fill="FFFFFF" w:themeFill="background1"/>
              <w:spacing w:before="0" w:after="120"/>
              <w:ind w:left="142"/>
            </w:pPr>
            <w:r w:rsidRPr="00D50186">
              <w:t>MBS benefit for bulk-billed patients</w:t>
            </w:r>
          </w:p>
        </w:tc>
        <w:tc>
          <w:tcPr>
            <w:tcW w:w="1276" w:type="dxa"/>
            <w:vAlign w:val="bottom"/>
          </w:tcPr>
          <w:p w14:paraId="22BAD2D8" w14:textId="77777777" w:rsidR="000E482F" w:rsidRPr="00D50186" w:rsidRDefault="000E482F" w:rsidP="004C79C1">
            <w:pPr>
              <w:pStyle w:val="Tabletext1"/>
              <w:shd w:val="clear" w:color="auto" w:fill="FFFFFF" w:themeFill="background1"/>
              <w:tabs>
                <w:tab w:val="decimal" w:pos="459"/>
              </w:tabs>
              <w:spacing w:before="0" w:after="120"/>
              <w:jc w:val="right"/>
            </w:pPr>
            <w:r w:rsidRPr="00D50186">
              <w:t>$855.20</w:t>
            </w:r>
          </w:p>
        </w:tc>
        <w:tc>
          <w:tcPr>
            <w:tcW w:w="3634" w:type="dxa"/>
            <w:vAlign w:val="bottom"/>
          </w:tcPr>
          <w:p w14:paraId="74376981" w14:textId="77777777" w:rsidR="000E482F" w:rsidRPr="00D50186" w:rsidRDefault="000E482F" w:rsidP="004C79C1">
            <w:pPr>
              <w:pStyle w:val="Tabletext1"/>
              <w:shd w:val="clear" w:color="auto" w:fill="FFFFFF" w:themeFill="background1"/>
              <w:spacing w:before="0" w:after="120"/>
            </w:pPr>
            <w:r w:rsidRPr="00D50186">
              <w:t>100% proposed schedule fee</w:t>
            </w:r>
          </w:p>
        </w:tc>
      </w:tr>
      <w:tr w:rsidR="000E482F" w:rsidRPr="00D50186" w14:paraId="40376A50" w14:textId="77777777" w:rsidTr="00723891">
        <w:tc>
          <w:tcPr>
            <w:tcW w:w="4106" w:type="dxa"/>
          </w:tcPr>
          <w:p w14:paraId="3F84462B" w14:textId="5C8C6CCB" w:rsidR="000E482F" w:rsidRPr="00D50186" w:rsidRDefault="000E482F" w:rsidP="004C79C1">
            <w:pPr>
              <w:pStyle w:val="Tabletext1"/>
              <w:shd w:val="clear" w:color="auto" w:fill="FFFFFF" w:themeFill="background1"/>
              <w:spacing w:before="0" w:after="120"/>
              <w:ind w:left="142"/>
            </w:pPr>
            <w:r w:rsidRPr="00D50186">
              <w:t>MBS benefit for non-bulk-billed patients</w:t>
            </w:r>
          </w:p>
        </w:tc>
        <w:tc>
          <w:tcPr>
            <w:tcW w:w="1276" w:type="dxa"/>
            <w:vAlign w:val="bottom"/>
          </w:tcPr>
          <w:p w14:paraId="5084ABE6"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$726.90</w:t>
            </w:r>
          </w:p>
        </w:tc>
        <w:tc>
          <w:tcPr>
            <w:tcW w:w="3634" w:type="dxa"/>
            <w:vAlign w:val="bottom"/>
          </w:tcPr>
          <w:p w14:paraId="0CC36CF3" w14:textId="77777777" w:rsidR="000E482F" w:rsidRPr="00D50186" w:rsidRDefault="000E482F" w:rsidP="004C79C1">
            <w:pPr>
              <w:pStyle w:val="Tabletext1"/>
              <w:shd w:val="clear" w:color="auto" w:fill="FFFFFF" w:themeFill="background1"/>
              <w:spacing w:before="0" w:after="120"/>
              <w:rPr>
                <w:color w:val="000000"/>
              </w:rPr>
            </w:pPr>
            <w:r w:rsidRPr="00D50186">
              <w:t>85% proposed schedule fee</w:t>
            </w:r>
          </w:p>
        </w:tc>
      </w:tr>
      <w:tr w:rsidR="000E482F" w:rsidRPr="00D50186" w14:paraId="3C1B28D0" w14:textId="77777777" w:rsidTr="00723891">
        <w:tc>
          <w:tcPr>
            <w:tcW w:w="4106" w:type="dxa"/>
          </w:tcPr>
          <w:p w14:paraId="28F65635" w14:textId="0266940D" w:rsidR="000E482F" w:rsidRPr="00D50186" w:rsidRDefault="000E482F" w:rsidP="004C79C1">
            <w:pPr>
              <w:pStyle w:val="Tabletext1"/>
              <w:shd w:val="clear" w:color="auto" w:fill="FFFFFF" w:themeFill="background1"/>
              <w:spacing w:before="0" w:after="120"/>
            </w:pPr>
            <w:r w:rsidRPr="00D50186">
              <w:t>Average MBS benefit</w:t>
            </w:r>
            <w:r w:rsidR="00840774">
              <w:t>:</w:t>
            </w:r>
          </w:p>
        </w:tc>
        <w:tc>
          <w:tcPr>
            <w:tcW w:w="1276" w:type="dxa"/>
            <w:vAlign w:val="bottom"/>
          </w:tcPr>
          <w:p w14:paraId="0D55EC40"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$820.26</w:t>
            </w:r>
          </w:p>
        </w:tc>
        <w:tc>
          <w:tcPr>
            <w:tcW w:w="3634" w:type="dxa"/>
            <w:vAlign w:val="bottom"/>
          </w:tcPr>
          <w:p w14:paraId="3455012F"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Weighted</w:t>
            </w:r>
          </w:p>
        </w:tc>
      </w:tr>
      <w:tr w:rsidR="000E482F" w:rsidRPr="00D50186" w14:paraId="1FE62FDE" w14:textId="77777777" w:rsidTr="00723891">
        <w:tc>
          <w:tcPr>
            <w:tcW w:w="4106" w:type="dxa"/>
            <w:vAlign w:val="bottom"/>
          </w:tcPr>
          <w:p w14:paraId="78F98B00" w14:textId="12368902" w:rsidR="000E482F" w:rsidRPr="00D50186" w:rsidRDefault="000E482F" w:rsidP="004C79C1">
            <w:pPr>
              <w:pStyle w:val="Tabletext1"/>
              <w:shd w:val="clear" w:color="auto" w:fill="FFFFFF" w:themeFill="background1"/>
              <w:spacing w:before="0" w:after="120"/>
              <w:ind w:left="142"/>
            </w:pPr>
            <w:r w:rsidRPr="00D50186">
              <w:t>Patient contribution (bulk-billed)</w:t>
            </w:r>
          </w:p>
        </w:tc>
        <w:tc>
          <w:tcPr>
            <w:tcW w:w="1276" w:type="dxa"/>
            <w:vAlign w:val="bottom"/>
          </w:tcPr>
          <w:p w14:paraId="18567E3B"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$0.00</w:t>
            </w:r>
          </w:p>
        </w:tc>
        <w:tc>
          <w:tcPr>
            <w:tcW w:w="3634" w:type="dxa"/>
            <w:vAlign w:val="bottom"/>
          </w:tcPr>
          <w:p w14:paraId="49356165" w14:textId="77777777" w:rsidR="000E482F" w:rsidRPr="00D50186" w:rsidRDefault="000E482F" w:rsidP="004C79C1">
            <w:pPr>
              <w:pStyle w:val="Tabletext1"/>
              <w:shd w:val="clear" w:color="auto" w:fill="FFFFFF" w:themeFill="background1"/>
              <w:spacing w:before="0" w:after="120"/>
              <w:rPr>
                <w:color w:val="000000"/>
              </w:rPr>
            </w:pPr>
          </w:p>
        </w:tc>
      </w:tr>
      <w:tr w:rsidR="000E482F" w:rsidRPr="00D50186" w14:paraId="2A627821" w14:textId="77777777" w:rsidTr="00723891">
        <w:tc>
          <w:tcPr>
            <w:tcW w:w="4106" w:type="dxa"/>
            <w:vAlign w:val="bottom"/>
          </w:tcPr>
          <w:p w14:paraId="5CC718C2" w14:textId="5132BC5C" w:rsidR="000E482F" w:rsidRPr="00D50186" w:rsidRDefault="000E482F" w:rsidP="004C79C1">
            <w:pPr>
              <w:pStyle w:val="Tabletext1"/>
              <w:shd w:val="clear" w:color="auto" w:fill="FFFFFF" w:themeFill="background1"/>
              <w:spacing w:before="0" w:after="120"/>
              <w:ind w:left="142"/>
            </w:pPr>
            <w:r w:rsidRPr="00D50186">
              <w:t>Patient contribution (non-bulk-billed)</w:t>
            </w:r>
          </w:p>
        </w:tc>
        <w:tc>
          <w:tcPr>
            <w:tcW w:w="1276" w:type="dxa"/>
            <w:vAlign w:val="bottom"/>
          </w:tcPr>
          <w:p w14:paraId="5D0DC4C2"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$244.36</w:t>
            </w:r>
          </w:p>
        </w:tc>
        <w:tc>
          <w:tcPr>
            <w:tcW w:w="3634" w:type="dxa"/>
            <w:vAlign w:val="bottom"/>
          </w:tcPr>
          <w:p w14:paraId="74423119"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current CMR services</w:t>
            </w:r>
          </w:p>
        </w:tc>
      </w:tr>
      <w:tr w:rsidR="000E482F" w:rsidRPr="00D50186" w14:paraId="76708770" w14:textId="77777777" w:rsidTr="00723891">
        <w:tc>
          <w:tcPr>
            <w:tcW w:w="4106" w:type="dxa"/>
          </w:tcPr>
          <w:p w14:paraId="1EA76122" w14:textId="77777777" w:rsidR="000E482F" w:rsidRPr="00D50186" w:rsidRDefault="000E482F" w:rsidP="004C79C1">
            <w:pPr>
              <w:pStyle w:val="Tabletext1"/>
              <w:shd w:val="clear" w:color="auto" w:fill="FFFFFF" w:themeFill="background1"/>
              <w:spacing w:before="0" w:after="120"/>
            </w:pPr>
            <w:r w:rsidRPr="00D50186">
              <w:t>Average patient co-payment</w:t>
            </w:r>
          </w:p>
        </w:tc>
        <w:tc>
          <w:tcPr>
            <w:tcW w:w="1276" w:type="dxa"/>
            <w:vAlign w:val="bottom"/>
          </w:tcPr>
          <w:p w14:paraId="16461259"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$66.54</w:t>
            </w:r>
          </w:p>
        </w:tc>
        <w:tc>
          <w:tcPr>
            <w:tcW w:w="3634" w:type="dxa"/>
            <w:vAlign w:val="bottom"/>
          </w:tcPr>
          <w:p w14:paraId="193A8E44"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Weighted</w:t>
            </w:r>
          </w:p>
        </w:tc>
      </w:tr>
      <w:tr w:rsidR="000E482F" w:rsidRPr="00D50186" w14:paraId="438BE275" w14:textId="77777777" w:rsidTr="00723891">
        <w:tc>
          <w:tcPr>
            <w:tcW w:w="4106" w:type="dxa"/>
          </w:tcPr>
          <w:p w14:paraId="5608D17E" w14:textId="2270FCD3" w:rsidR="000E482F" w:rsidRPr="00D50186" w:rsidRDefault="00E363A1" w:rsidP="004C79C1">
            <w:pPr>
              <w:pStyle w:val="Tabletext1"/>
              <w:shd w:val="clear" w:color="auto" w:fill="FFFFFF" w:themeFill="background1"/>
              <w:spacing w:before="0" w:after="120"/>
            </w:pPr>
            <w:r>
              <w:t>Gd</w:t>
            </w:r>
            <w:r w:rsidRPr="00D50186">
              <w:t xml:space="preserve"> </w:t>
            </w:r>
            <w:r w:rsidR="000E482F" w:rsidRPr="00D50186">
              <w:t>contrast agent</w:t>
            </w:r>
          </w:p>
        </w:tc>
        <w:tc>
          <w:tcPr>
            <w:tcW w:w="1276" w:type="dxa"/>
            <w:vAlign w:val="bottom"/>
          </w:tcPr>
          <w:p w14:paraId="2B59A7B7" w14:textId="77777777" w:rsidR="000E482F" w:rsidRPr="00D50186" w:rsidRDefault="000E482F" w:rsidP="004C79C1">
            <w:pPr>
              <w:pStyle w:val="Tabletext1"/>
              <w:shd w:val="clear" w:color="auto" w:fill="FFFFFF" w:themeFill="background1"/>
              <w:tabs>
                <w:tab w:val="decimal" w:pos="459"/>
              </w:tabs>
              <w:spacing w:before="0" w:after="120"/>
              <w:jc w:val="right"/>
            </w:pPr>
            <w:r w:rsidRPr="00D50186">
              <w:rPr>
                <w:color w:val="000000"/>
              </w:rPr>
              <w:t>$38.10</w:t>
            </w:r>
          </w:p>
        </w:tc>
        <w:tc>
          <w:tcPr>
            <w:tcW w:w="3634" w:type="dxa"/>
            <w:vAlign w:val="bottom"/>
          </w:tcPr>
          <w:p w14:paraId="2983E243" w14:textId="77777777" w:rsidR="000E482F" w:rsidRPr="00D50186" w:rsidRDefault="000E482F" w:rsidP="004C79C1">
            <w:pPr>
              <w:pStyle w:val="Tabletext1"/>
              <w:shd w:val="clear" w:color="auto" w:fill="FFFFFF" w:themeFill="background1"/>
              <w:spacing w:before="0" w:after="120"/>
            </w:pPr>
            <w:r w:rsidRPr="00D50186">
              <w:rPr>
                <w:color w:val="000000"/>
              </w:rPr>
              <w:t>MBS item 63491 (outpatient benefit)</w:t>
            </w:r>
          </w:p>
        </w:tc>
      </w:tr>
      <w:tr w:rsidR="000E482F" w:rsidRPr="00D50186" w14:paraId="312C0DBA" w14:textId="77777777" w:rsidTr="00723891">
        <w:tc>
          <w:tcPr>
            <w:tcW w:w="4106" w:type="dxa"/>
            <w:tcBorders>
              <w:bottom w:val="single" w:sz="4" w:space="0" w:color="auto"/>
            </w:tcBorders>
            <w:vAlign w:val="bottom"/>
          </w:tcPr>
          <w:p w14:paraId="687B6C3B"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Average patient co-payment</w:t>
            </w:r>
          </w:p>
        </w:tc>
        <w:tc>
          <w:tcPr>
            <w:tcW w:w="1276" w:type="dxa"/>
            <w:tcBorders>
              <w:bottom w:val="single" w:sz="4" w:space="0" w:color="auto"/>
            </w:tcBorders>
            <w:vAlign w:val="bottom"/>
          </w:tcPr>
          <w:p w14:paraId="61F40972"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$1.82</w:t>
            </w:r>
          </w:p>
        </w:tc>
        <w:tc>
          <w:tcPr>
            <w:tcW w:w="3634" w:type="dxa"/>
            <w:tcBorders>
              <w:bottom w:val="single" w:sz="4" w:space="0" w:color="auto"/>
            </w:tcBorders>
            <w:vAlign w:val="bottom"/>
          </w:tcPr>
          <w:p w14:paraId="6A1B3779" w14:textId="639FF79A" w:rsidR="000E482F" w:rsidRPr="00D50186" w:rsidRDefault="000E482F" w:rsidP="004C79C1">
            <w:pPr>
              <w:pStyle w:val="Tabletext1"/>
              <w:shd w:val="clear" w:color="auto" w:fill="FFFFFF" w:themeFill="background1"/>
              <w:spacing w:before="0" w:after="120"/>
              <w:rPr>
                <w:color w:val="000000"/>
              </w:rPr>
            </w:pPr>
            <w:r w:rsidRPr="00D50186">
              <w:rPr>
                <w:color w:val="000000"/>
              </w:rPr>
              <w:t>Assumption</w:t>
            </w:r>
            <w:r w:rsidR="00840774">
              <w:rPr>
                <w:color w:val="000000"/>
              </w:rPr>
              <w:t xml:space="preserve"> </w:t>
            </w:r>
            <w:r w:rsidR="00840774" w:rsidRPr="00737640">
              <w:rPr>
                <w:color w:val="000000"/>
                <w:vertAlign w:val="superscript"/>
              </w:rPr>
              <w:t>a</w:t>
            </w:r>
          </w:p>
        </w:tc>
      </w:tr>
      <w:tr w:rsidR="000E482F" w:rsidRPr="00D50186" w14:paraId="41466529" w14:textId="77777777" w:rsidTr="00723891">
        <w:tc>
          <w:tcPr>
            <w:tcW w:w="4106" w:type="dxa"/>
            <w:tcBorders>
              <w:bottom w:val="double" w:sz="4" w:space="0" w:color="auto"/>
            </w:tcBorders>
            <w:vAlign w:val="bottom"/>
          </w:tcPr>
          <w:p w14:paraId="02175A36" w14:textId="0AEABDB1" w:rsidR="000E482F" w:rsidRPr="00D50186" w:rsidRDefault="000E482F" w:rsidP="004C79C1">
            <w:pPr>
              <w:pStyle w:val="Tabletext1"/>
              <w:shd w:val="clear" w:color="auto" w:fill="FFFFFF" w:themeFill="background1"/>
              <w:spacing w:before="0" w:after="120"/>
              <w:rPr>
                <w:b/>
                <w:bCs/>
                <w:color w:val="000000"/>
              </w:rPr>
            </w:pPr>
            <w:r w:rsidRPr="00D50186">
              <w:rPr>
                <w:b/>
                <w:bCs/>
                <w:color w:val="000000"/>
              </w:rPr>
              <w:t>Subtotal</w:t>
            </w:r>
          </w:p>
        </w:tc>
        <w:tc>
          <w:tcPr>
            <w:tcW w:w="1276" w:type="dxa"/>
            <w:tcBorders>
              <w:bottom w:val="double" w:sz="4" w:space="0" w:color="auto"/>
            </w:tcBorders>
            <w:vAlign w:val="bottom"/>
          </w:tcPr>
          <w:p w14:paraId="54EC8196" w14:textId="77777777" w:rsidR="000E482F" w:rsidRPr="00D50186" w:rsidRDefault="000E482F" w:rsidP="004C79C1">
            <w:pPr>
              <w:pStyle w:val="Tabletext1"/>
              <w:shd w:val="clear" w:color="auto" w:fill="FFFFFF" w:themeFill="background1"/>
              <w:tabs>
                <w:tab w:val="decimal" w:pos="459"/>
              </w:tabs>
              <w:spacing w:before="0" w:after="120"/>
              <w:jc w:val="right"/>
              <w:rPr>
                <w:b/>
                <w:bCs/>
                <w:color w:val="000000"/>
              </w:rPr>
            </w:pPr>
            <w:r w:rsidRPr="00D50186">
              <w:rPr>
                <w:b/>
                <w:bCs/>
                <w:color w:val="000000"/>
              </w:rPr>
              <w:t>$926.73</w:t>
            </w:r>
          </w:p>
        </w:tc>
        <w:tc>
          <w:tcPr>
            <w:tcW w:w="3634" w:type="dxa"/>
            <w:tcBorders>
              <w:bottom w:val="double" w:sz="4" w:space="0" w:color="auto"/>
            </w:tcBorders>
            <w:vAlign w:val="bottom"/>
          </w:tcPr>
          <w:p w14:paraId="10344BA3" w14:textId="77777777" w:rsidR="000E482F" w:rsidRPr="00D50186" w:rsidRDefault="000E482F" w:rsidP="004C79C1">
            <w:pPr>
              <w:pStyle w:val="Tabletext1"/>
              <w:shd w:val="clear" w:color="auto" w:fill="FFFFFF" w:themeFill="background1"/>
              <w:spacing w:before="0" w:after="120"/>
              <w:rPr>
                <w:b/>
                <w:bCs/>
                <w:color w:val="000000"/>
              </w:rPr>
            </w:pPr>
            <w:r w:rsidRPr="00D50186">
              <w:rPr>
                <w:b/>
                <w:bCs/>
                <w:color w:val="000000"/>
              </w:rPr>
              <w:t>Sum of test costs</w:t>
            </w:r>
          </w:p>
        </w:tc>
      </w:tr>
      <w:tr w:rsidR="000E482F" w:rsidRPr="00D50186" w14:paraId="05C60F24" w14:textId="77777777" w:rsidTr="00723891">
        <w:tc>
          <w:tcPr>
            <w:tcW w:w="4106" w:type="dxa"/>
            <w:tcBorders>
              <w:top w:val="double" w:sz="4" w:space="0" w:color="auto"/>
              <w:right w:val="nil"/>
            </w:tcBorders>
          </w:tcPr>
          <w:p w14:paraId="44A3B188" w14:textId="7F267BC1" w:rsidR="000E482F" w:rsidRPr="00D50186" w:rsidRDefault="000E482F" w:rsidP="004C79C1">
            <w:pPr>
              <w:pStyle w:val="Tabletext1"/>
              <w:shd w:val="clear" w:color="auto" w:fill="FFFFFF" w:themeFill="background1"/>
              <w:spacing w:before="0" w:after="120"/>
            </w:pPr>
            <w:r w:rsidRPr="00D50186">
              <w:t>Referral costs</w:t>
            </w:r>
            <w:r w:rsidR="00840774">
              <w:t>:</w:t>
            </w:r>
          </w:p>
        </w:tc>
        <w:tc>
          <w:tcPr>
            <w:tcW w:w="1276" w:type="dxa"/>
            <w:tcBorders>
              <w:top w:val="double" w:sz="4" w:space="0" w:color="auto"/>
              <w:left w:val="nil"/>
              <w:right w:val="nil"/>
            </w:tcBorders>
          </w:tcPr>
          <w:p w14:paraId="56DE8DDD" w14:textId="77777777" w:rsidR="000E482F" w:rsidRPr="00D50186" w:rsidRDefault="000E482F" w:rsidP="004C79C1">
            <w:pPr>
              <w:pStyle w:val="Tabletext1"/>
              <w:shd w:val="clear" w:color="auto" w:fill="FFFFFF" w:themeFill="background1"/>
              <w:tabs>
                <w:tab w:val="decimal" w:pos="459"/>
              </w:tabs>
              <w:spacing w:before="0" w:after="120"/>
              <w:jc w:val="right"/>
            </w:pPr>
            <w:r w:rsidRPr="00D50186">
              <w:rPr>
                <w:color w:val="FFFFFF" w:themeColor="background1"/>
              </w:rPr>
              <w:t>-</w:t>
            </w:r>
          </w:p>
        </w:tc>
        <w:tc>
          <w:tcPr>
            <w:tcW w:w="3634" w:type="dxa"/>
            <w:tcBorders>
              <w:top w:val="double" w:sz="4" w:space="0" w:color="auto"/>
              <w:left w:val="nil"/>
            </w:tcBorders>
          </w:tcPr>
          <w:p w14:paraId="32F540DC" w14:textId="77777777" w:rsidR="000E482F" w:rsidRPr="00D50186" w:rsidRDefault="000E482F" w:rsidP="004C79C1">
            <w:pPr>
              <w:pStyle w:val="Tabletext1"/>
              <w:shd w:val="clear" w:color="auto" w:fill="FFFFFF" w:themeFill="background1"/>
              <w:spacing w:before="0" w:after="120"/>
            </w:pPr>
            <w:r w:rsidRPr="00D50186">
              <w:rPr>
                <w:color w:val="FFFFFF" w:themeColor="background1"/>
              </w:rPr>
              <w:t>-</w:t>
            </w:r>
          </w:p>
        </w:tc>
      </w:tr>
      <w:tr w:rsidR="000E482F" w:rsidRPr="00D50186" w14:paraId="0210D1FC" w14:textId="77777777" w:rsidTr="00723891">
        <w:tc>
          <w:tcPr>
            <w:tcW w:w="4106" w:type="dxa"/>
            <w:tcBorders>
              <w:bottom w:val="single" w:sz="4" w:space="0" w:color="auto"/>
            </w:tcBorders>
            <w:vAlign w:val="bottom"/>
          </w:tcPr>
          <w:p w14:paraId="1A3F9C0A" w14:textId="77777777" w:rsidR="000E482F" w:rsidRPr="00D50186" w:rsidRDefault="000E482F" w:rsidP="004C79C1">
            <w:pPr>
              <w:pStyle w:val="Tabletext1"/>
              <w:shd w:val="clear" w:color="auto" w:fill="FFFFFF" w:themeFill="background1"/>
              <w:spacing w:before="0" w:after="120"/>
              <w:ind w:left="142"/>
              <w:rPr>
                <w:color w:val="000000"/>
              </w:rPr>
            </w:pPr>
            <w:r w:rsidRPr="00D50186">
              <w:rPr>
                <w:color w:val="000000"/>
              </w:rPr>
              <w:t>Specialist referral</w:t>
            </w:r>
          </w:p>
        </w:tc>
        <w:tc>
          <w:tcPr>
            <w:tcW w:w="1276" w:type="dxa"/>
            <w:tcBorders>
              <w:bottom w:val="single" w:sz="4" w:space="0" w:color="auto"/>
            </w:tcBorders>
            <w:vAlign w:val="bottom"/>
          </w:tcPr>
          <w:p w14:paraId="1551FBCF"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$128.74</w:t>
            </w:r>
          </w:p>
        </w:tc>
        <w:tc>
          <w:tcPr>
            <w:tcW w:w="3634" w:type="dxa"/>
            <w:tcBorders>
              <w:bottom w:val="single" w:sz="4" w:space="0" w:color="auto"/>
            </w:tcBorders>
            <w:vAlign w:val="bottom"/>
          </w:tcPr>
          <w:p w14:paraId="0535F551"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110</w:t>
            </w:r>
          </w:p>
        </w:tc>
      </w:tr>
      <w:tr w:rsidR="000E482F" w:rsidRPr="00D50186" w14:paraId="27228570" w14:textId="77777777" w:rsidTr="00723891">
        <w:tc>
          <w:tcPr>
            <w:tcW w:w="4106" w:type="dxa"/>
            <w:tcBorders>
              <w:bottom w:val="single" w:sz="4" w:space="0" w:color="auto"/>
            </w:tcBorders>
            <w:vAlign w:val="bottom"/>
          </w:tcPr>
          <w:p w14:paraId="5A5474CE" w14:textId="77777777" w:rsidR="000E482F" w:rsidRPr="00D50186" w:rsidRDefault="000E482F" w:rsidP="004C79C1">
            <w:pPr>
              <w:pStyle w:val="Tabletext1"/>
              <w:shd w:val="clear" w:color="auto" w:fill="FFFFFF" w:themeFill="background1"/>
              <w:spacing w:before="0" w:after="120"/>
              <w:ind w:left="142"/>
              <w:rPr>
                <w:color w:val="000000"/>
              </w:rPr>
            </w:pPr>
            <w:r w:rsidRPr="00D50186">
              <w:rPr>
                <w:color w:val="000000"/>
              </w:rPr>
              <w:t>Average patient co-payment</w:t>
            </w:r>
          </w:p>
        </w:tc>
        <w:tc>
          <w:tcPr>
            <w:tcW w:w="1276" w:type="dxa"/>
            <w:tcBorders>
              <w:bottom w:val="single" w:sz="4" w:space="0" w:color="auto"/>
            </w:tcBorders>
            <w:vAlign w:val="bottom"/>
          </w:tcPr>
          <w:p w14:paraId="7511EEE2"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$50.79</w:t>
            </w:r>
          </w:p>
        </w:tc>
        <w:tc>
          <w:tcPr>
            <w:tcW w:w="3634" w:type="dxa"/>
            <w:tcBorders>
              <w:bottom w:val="single" w:sz="4" w:space="0" w:color="auto"/>
            </w:tcBorders>
            <w:vAlign w:val="bottom"/>
          </w:tcPr>
          <w:p w14:paraId="4C064219"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110</w:t>
            </w:r>
          </w:p>
        </w:tc>
      </w:tr>
      <w:tr w:rsidR="000E482F" w:rsidRPr="00D50186" w14:paraId="4716A6D2" w14:textId="77777777" w:rsidTr="00723891">
        <w:tc>
          <w:tcPr>
            <w:tcW w:w="4106" w:type="dxa"/>
            <w:tcBorders>
              <w:bottom w:val="double" w:sz="4" w:space="0" w:color="auto"/>
            </w:tcBorders>
          </w:tcPr>
          <w:p w14:paraId="7265D0AF" w14:textId="6A7BF49B" w:rsidR="000E482F" w:rsidRPr="00D50186" w:rsidRDefault="000E482F" w:rsidP="004C79C1">
            <w:pPr>
              <w:pStyle w:val="Tabletext1"/>
              <w:shd w:val="clear" w:color="auto" w:fill="FFFFFF" w:themeFill="background1"/>
              <w:spacing w:before="0" w:after="120"/>
              <w:rPr>
                <w:b/>
              </w:rPr>
            </w:pPr>
            <w:r w:rsidRPr="00D50186">
              <w:rPr>
                <w:b/>
              </w:rPr>
              <w:t>Subtotal</w:t>
            </w:r>
          </w:p>
        </w:tc>
        <w:tc>
          <w:tcPr>
            <w:tcW w:w="1276" w:type="dxa"/>
            <w:tcBorders>
              <w:bottom w:val="double" w:sz="4" w:space="0" w:color="auto"/>
            </w:tcBorders>
            <w:vAlign w:val="bottom"/>
          </w:tcPr>
          <w:p w14:paraId="4703AFDA" w14:textId="77777777" w:rsidR="000E482F" w:rsidRPr="00D50186" w:rsidRDefault="000E482F" w:rsidP="004C79C1">
            <w:pPr>
              <w:pStyle w:val="Tabletext1"/>
              <w:shd w:val="clear" w:color="auto" w:fill="FFFFFF" w:themeFill="background1"/>
              <w:tabs>
                <w:tab w:val="decimal" w:pos="459"/>
              </w:tabs>
              <w:spacing w:before="0" w:after="120"/>
              <w:jc w:val="right"/>
              <w:rPr>
                <w:b/>
              </w:rPr>
            </w:pPr>
            <w:r w:rsidRPr="00D50186">
              <w:rPr>
                <w:b/>
                <w:bCs/>
                <w:color w:val="000000"/>
              </w:rPr>
              <w:t>$179.53</w:t>
            </w:r>
          </w:p>
        </w:tc>
        <w:tc>
          <w:tcPr>
            <w:tcW w:w="3634" w:type="dxa"/>
            <w:tcBorders>
              <w:bottom w:val="double" w:sz="4" w:space="0" w:color="auto"/>
            </w:tcBorders>
          </w:tcPr>
          <w:p w14:paraId="737E15C9" w14:textId="77777777" w:rsidR="000E482F" w:rsidRPr="00D50186" w:rsidRDefault="000E482F" w:rsidP="004C79C1">
            <w:pPr>
              <w:pStyle w:val="Tabletext1"/>
              <w:shd w:val="clear" w:color="auto" w:fill="FFFFFF" w:themeFill="background1"/>
              <w:spacing w:before="0" w:after="120"/>
              <w:rPr>
                <w:b/>
              </w:rPr>
            </w:pPr>
            <w:r w:rsidRPr="00D50186">
              <w:rPr>
                <w:b/>
              </w:rPr>
              <w:t>Sum of referral costs</w:t>
            </w:r>
          </w:p>
        </w:tc>
      </w:tr>
      <w:tr w:rsidR="000E482F" w:rsidRPr="00D50186" w14:paraId="05E0FA39" w14:textId="77777777" w:rsidTr="00723891">
        <w:tc>
          <w:tcPr>
            <w:tcW w:w="4106" w:type="dxa"/>
            <w:tcBorders>
              <w:top w:val="double" w:sz="4" w:space="0" w:color="auto"/>
              <w:right w:val="nil"/>
            </w:tcBorders>
          </w:tcPr>
          <w:p w14:paraId="4B0AA838" w14:textId="77777777" w:rsidR="000E482F" w:rsidRPr="00D50186" w:rsidRDefault="000E482F" w:rsidP="004C79C1">
            <w:pPr>
              <w:pStyle w:val="Tabletext1"/>
              <w:shd w:val="clear" w:color="auto" w:fill="FFFFFF" w:themeFill="background1"/>
              <w:spacing w:before="0" w:after="120"/>
              <w:rPr>
                <w:b/>
              </w:rPr>
            </w:pPr>
            <w:r w:rsidRPr="00D50186">
              <w:rPr>
                <w:b/>
              </w:rPr>
              <w:t>Treatment of AEs costs</w:t>
            </w:r>
          </w:p>
        </w:tc>
        <w:tc>
          <w:tcPr>
            <w:tcW w:w="1276" w:type="dxa"/>
            <w:tcBorders>
              <w:top w:val="double" w:sz="4" w:space="0" w:color="auto"/>
              <w:left w:val="nil"/>
              <w:right w:val="nil"/>
            </w:tcBorders>
          </w:tcPr>
          <w:p w14:paraId="72E455B1" w14:textId="77777777" w:rsidR="000E482F" w:rsidRPr="00D50186" w:rsidRDefault="000E482F" w:rsidP="004C79C1">
            <w:pPr>
              <w:pStyle w:val="Tabletext1"/>
              <w:shd w:val="clear" w:color="auto" w:fill="FFFFFF" w:themeFill="background1"/>
              <w:tabs>
                <w:tab w:val="decimal" w:pos="459"/>
              </w:tabs>
              <w:spacing w:before="0" w:after="120"/>
              <w:jc w:val="right"/>
              <w:rPr>
                <w:b/>
              </w:rPr>
            </w:pPr>
            <w:r w:rsidRPr="00D50186">
              <w:rPr>
                <w:b/>
                <w:color w:val="FFFFFF" w:themeColor="background1"/>
              </w:rPr>
              <w:t>-</w:t>
            </w:r>
          </w:p>
        </w:tc>
        <w:tc>
          <w:tcPr>
            <w:tcW w:w="3634" w:type="dxa"/>
            <w:tcBorders>
              <w:top w:val="double" w:sz="4" w:space="0" w:color="auto"/>
              <w:left w:val="nil"/>
            </w:tcBorders>
          </w:tcPr>
          <w:p w14:paraId="3CB84FFA" w14:textId="77777777" w:rsidR="000E482F" w:rsidRPr="00D50186" w:rsidRDefault="000E482F" w:rsidP="004C79C1">
            <w:pPr>
              <w:pStyle w:val="Tabletext1"/>
              <w:shd w:val="clear" w:color="auto" w:fill="FFFFFF" w:themeFill="background1"/>
              <w:spacing w:before="0" w:after="120"/>
              <w:rPr>
                <w:b/>
              </w:rPr>
            </w:pPr>
            <w:r w:rsidRPr="00D50186">
              <w:rPr>
                <w:b/>
                <w:color w:val="FFFFFF" w:themeColor="background1"/>
              </w:rPr>
              <w:t>-</w:t>
            </w:r>
          </w:p>
        </w:tc>
      </w:tr>
      <w:tr w:rsidR="000E482F" w:rsidRPr="00D50186" w14:paraId="53F74A2D" w14:textId="77777777" w:rsidTr="00723891">
        <w:tc>
          <w:tcPr>
            <w:tcW w:w="4106" w:type="dxa"/>
          </w:tcPr>
          <w:p w14:paraId="22EC0C5D" w14:textId="3063DF30" w:rsidR="000E482F" w:rsidRPr="00D50186" w:rsidRDefault="000E482F" w:rsidP="004C79C1">
            <w:pPr>
              <w:pStyle w:val="Tabletext1"/>
              <w:shd w:val="clear" w:color="auto" w:fill="FFFFFF" w:themeFill="background1"/>
              <w:spacing w:before="0" w:after="120"/>
            </w:pPr>
            <w:r w:rsidRPr="00D50186">
              <w:t xml:space="preserve">Probability of reaction to </w:t>
            </w:r>
            <w:r w:rsidR="00E363A1">
              <w:t>Gd contrast agent</w:t>
            </w:r>
          </w:p>
        </w:tc>
        <w:tc>
          <w:tcPr>
            <w:tcW w:w="1276" w:type="dxa"/>
          </w:tcPr>
          <w:p w14:paraId="54A31357" w14:textId="77777777" w:rsidR="000E482F" w:rsidRPr="00D50186" w:rsidRDefault="000E482F" w:rsidP="004C79C1">
            <w:pPr>
              <w:pStyle w:val="Tabletext1"/>
              <w:shd w:val="clear" w:color="auto" w:fill="FFFFFF" w:themeFill="background1"/>
              <w:tabs>
                <w:tab w:val="decimal" w:pos="459"/>
              </w:tabs>
              <w:spacing w:before="0" w:after="120"/>
              <w:jc w:val="right"/>
            </w:pPr>
            <w:r w:rsidRPr="00D50186">
              <w:t>0.005%</w:t>
            </w:r>
          </w:p>
        </w:tc>
        <w:tc>
          <w:tcPr>
            <w:tcW w:w="3634" w:type="dxa"/>
          </w:tcPr>
          <w:p w14:paraId="0F29DC5B" w14:textId="77777777" w:rsidR="000E482F" w:rsidRPr="00D50186" w:rsidRDefault="000E482F" w:rsidP="004C79C1">
            <w:pPr>
              <w:pStyle w:val="Tabletext1"/>
              <w:shd w:val="clear" w:color="auto" w:fill="FFFFFF" w:themeFill="background1"/>
              <w:spacing w:before="0" w:after="120"/>
            </w:pPr>
            <w:r w:rsidRPr="00D50186">
              <w:t>Section B.7</w:t>
            </w:r>
          </w:p>
        </w:tc>
      </w:tr>
      <w:tr w:rsidR="000E482F" w:rsidRPr="00D50186" w14:paraId="3AAC8F2F" w14:textId="77777777" w:rsidTr="00723891">
        <w:tc>
          <w:tcPr>
            <w:tcW w:w="4106" w:type="dxa"/>
            <w:tcBorders>
              <w:bottom w:val="single" w:sz="4" w:space="0" w:color="auto"/>
            </w:tcBorders>
          </w:tcPr>
          <w:p w14:paraId="50E58640" w14:textId="366DA58E" w:rsidR="000E482F" w:rsidRPr="00D50186" w:rsidRDefault="000E482F" w:rsidP="004C79C1">
            <w:pPr>
              <w:pStyle w:val="Tabletext1"/>
              <w:shd w:val="clear" w:color="auto" w:fill="FFFFFF" w:themeFill="background1"/>
              <w:spacing w:before="0" w:after="120"/>
            </w:pPr>
            <w:r w:rsidRPr="00D50186">
              <w:lastRenderedPageBreak/>
              <w:t>Cost of treating AE</w:t>
            </w:r>
            <w:r w:rsidR="00AC78F2">
              <w:t>s</w:t>
            </w:r>
          </w:p>
        </w:tc>
        <w:tc>
          <w:tcPr>
            <w:tcW w:w="1276" w:type="dxa"/>
            <w:tcBorders>
              <w:bottom w:val="single" w:sz="4" w:space="0" w:color="auto"/>
            </w:tcBorders>
          </w:tcPr>
          <w:p w14:paraId="105C204B" w14:textId="77777777" w:rsidR="000E482F" w:rsidRPr="00D50186" w:rsidRDefault="000E482F" w:rsidP="004C79C1">
            <w:pPr>
              <w:pStyle w:val="Tabletext1"/>
              <w:shd w:val="clear" w:color="auto" w:fill="FFFFFF" w:themeFill="background1"/>
              <w:tabs>
                <w:tab w:val="decimal" w:pos="459"/>
              </w:tabs>
              <w:spacing w:before="0" w:after="120"/>
              <w:jc w:val="right"/>
            </w:pPr>
            <w:r w:rsidRPr="00D50186">
              <w:t>$1,084.03</w:t>
            </w:r>
          </w:p>
        </w:tc>
        <w:tc>
          <w:tcPr>
            <w:tcW w:w="3634" w:type="dxa"/>
            <w:tcBorders>
              <w:bottom w:val="single" w:sz="4" w:space="0" w:color="auto"/>
            </w:tcBorders>
          </w:tcPr>
          <w:p w14:paraId="394F84F5" w14:textId="0275F81A" w:rsidR="000E482F" w:rsidRPr="00D50186" w:rsidRDefault="000E482F" w:rsidP="004C79C1">
            <w:pPr>
              <w:pStyle w:val="Tabletext1"/>
              <w:shd w:val="clear" w:color="auto" w:fill="FFFFFF" w:themeFill="background1"/>
              <w:spacing w:before="0" w:after="120"/>
            </w:pPr>
            <w:r w:rsidRPr="00D50186">
              <w:t>NEP for X61Z</w:t>
            </w:r>
            <w:r w:rsidR="002A02A8">
              <w:t xml:space="preserve"> </w:t>
            </w:r>
            <w:r w:rsidR="002A02A8" w:rsidRPr="00737640">
              <w:rPr>
                <w:vertAlign w:val="superscript"/>
              </w:rPr>
              <w:t>b</w:t>
            </w:r>
          </w:p>
        </w:tc>
      </w:tr>
      <w:tr w:rsidR="000E482F" w:rsidRPr="00D50186" w14:paraId="4A53C3F6" w14:textId="77777777" w:rsidTr="00723891">
        <w:tc>
          <w:tcPr>
            <w:tcW w:w="4106" w:type="dxa"/>
            <w:tcBorders>
              <w:bottom w:val="double" w:sz="4" w:space="0" w:color="auto"/>
            </w:tcBorders>
          </w:tcPr>
          <w:p w14:paraId="08FDD24C" w14:textId="02BBB1C0" w:rsidR="000E482F" w:rsidRPr="00D50186" w:rsidRDefault="000E482F" w:rsidP="004C79C1">
            <w:pPr>
              <w:pStyle w:val="Tabletext1"/>
              <w:shd w:val="clear" w:color="auto" w:fill="FFFFFF" w:themeFill="background1"/>
              <w:spacing w:before="0" w:after="120"/>
              <w:rPr>
                <w:b/>
              </w:rPr>
            </w:pPr>
            <w:r w:rsidRPr="00D50186">
              <w:rPr>
                <w:b/>
              </w:rPr>
              <w:t>Subtotal</w:t>
            </w:r>
          </w:p>
        </w:tc>
        <w:tc>
          <w:tcPr>
            <w:tcW w:w="1276" w:type="dxa"/>
            <w:tcBorders>
              <w:bottom w:val="double" w:sz="4" w:space="0" w:color="auto"/>
            </w:tcBorders>
          </w:tcPr>
          <w:p w14:paraId="0C796762" w14:textId="77777777" w:rsidR="000E482F" w:rsidRPr="00D50186" w:rsidRDefault="000E482F" w:rsidP="004C79C1">
            <w:pPr>
              <w:pStyle w:val="Tabletext1"/>
              <w:shd w:val="clear" w:color="auto" w:fill="FFFFFF" w:themeFill="background1"/>
              <w:tabs>
                <w:tab w:val="decimal" w:pos="459"/>
              </w:tabs>
              <w:spacing w:before="0" w:after="120"/>
              <w:jc w:val="right"/>
              <w:rPr>
                <w:b/>
              </w:rPr>
            </w:pPr>
            <w:r w:rsidRPr="00D50186">
              <w:rPr>
                <w:b/>
              </w:rPr>
              <w:t>$0.05</w:t>
            </w:r>
          </w:p>
        </w:tc>
        <w:tc>
          <w:tcPr>
            <w:tcW w:w="3634" w:type="dxa"/>
            <w:tcBorders>
              <w:bottom w:val="double" w:sz="4" w:space="0" w:color="auto"/>
            </w:tcBorders>
          </w:tcPr>
          <w:p w14:paraId="287FCFCD" w14:textId="77777777" w:rsidR="000E482F" w:rsidRPr="00D50186" w:rsidRDefault="000E482F" w:rsidP="004C79C1">
            <w:pPr>
              <w:pStyle w:val="Tabletext1"/>
              <w:shd w:val="clear" w:color="auto" w:fill="FFFFFF" w:themeFill="background1"/>
              <w:spacing w:before="0" w:after="120"/>
              <w:rPr>
                <w:b/>
              </w:rPr>
            </w:pPr>
            <w:r w:rsidRPr="00D50186">
              <w:rPr>
                <w:b/>
              </w:rPr>
              <w:t>Cost of AE per CMR</w:t>
            </w:r>
          </w:p>
        </w:tc>
      </w:tr>
      <w:tr w:rsidR="000E482F" w:rsidRPr="00D50186" w14:paraId="5DCC705E" w14:textId="77777777" w:rsidTr="00723891">
        <w:tc>
          <w:tcPr>
            <w:tcW w:w="4106" w:type="dxa"/>
            <w:tcBorders>
              <w:top w:val="double" w:sz="4" w:space="0" w:color="auto"/>
            </w:tcBorders>
          </w:tcPr>
          <w:p w14:paraId="0A91A211" w14:textId="77777777" w:rsidR="000E482F" w:rsidRPr="00D50186" w:rsidRDefault="000E482F" w:rsidP="004C79C1">
            <w:pPr>
              <w:pStyle w:val="Tabletext1"/>
              <w:shd w:val="clear" w:color="auto" w:fill="FFFFFF" w:themeFill="background1"/>
              <w:spacing w:before="0" w:after="120"/>
              <w:rPr>
                <w:b/>
              </w:rPr>
            </w:pPr>
            <w:r w:rsidRPr="00D50186">
              <w:rPr>
                <w:b/>
              </w:rPr>
              <w:t>Total</w:t>
            </w:r>
          </w:p>
        </w:tc>
        <w:tc>
          <w:tcPr>
            <w:tcW w:w="1276" w:type="dxa"/>
            <w:tcBorders>
              <w:top w:val="double" w:sz="4" w:space="0" w:color="auto"/>
            </w:tcBorders>
          </w:tcPr>
          <w:p w14:paraId="100316A8" w14:textId="77777777" w:rsidR="000E482F" w:rsidRPr="00D50186" w:rsidRDefault="000E482F" w:rsidP="004C79C1">
            <w:pPr>
              <w:pStyle w:val="Tabletext1"/>
              <w:shd w:val="clear" w:color="auto" w:fill="FFFFFF" w:themeFill="background1"/>
              <w:tabs>
                <w:tab w:val="decimal" w:pos="459"/>
              </w:tabs>
              <w:spacing w:before="0" w:after="120"/>
              <w:jc w:val="right"/>
              <w:rPr>
                <w:b/>
              </w:rPr>
            </w:pPr>
            <w:r w:rsidRPr="00D50186">
              <w:rPr>
                <w:b/>
              </w:rPr>
              <w:t>$1,106.31</w:t>
            </w:r>
          </w:p>
        </w:tc>
        <w:tc>
          <w:tcPr>
            <w:tcW w:w="3634" w:type="dxa"/>
            <w:tcBorders>
              <w:top w:val="double" w:sz="4" w:space="0" w:color="auto"/>
            </w:tcBorders>
          </w:tcPr>
          <w:p w14:paraId="6188F283" w14:textId="77777777" w:rsidR="000E482F" w:rsidRPr="00D50186" w:rsidRDefault="000E482F" w:rsidP="004C79C1">
            <w:pPr>
              <w:pStyle w:val="Tabletext1"/>
              <w:shd w:val="clear" w:color="auto" w:fill="FFFFFF" w:themeFill="background1"/>
              <w:spacing w:before="0" w:after="120"/>
              <w:rPr>
                <w:b/>
              </w:rPr>
            </w:pPr>
          </w:p>
        </w:tc>
      </w:tr>
    </w:tbl>
    <w:p w14:paraId="06FFABC1" w14:textId="65EB55F7" w:rsidR="000E482F" w:rsidRPr="00966B95" w:rsidRDefault="004A26D5" w:rsidP="004C79C1">
      <w:pPr>
        <w:pStyle w:val="Tablenotes0"/>
        <w:shd w:val="clear" w:color="auto" w:fill="FFFFFF" w:themeFill="background1"/>
        <w:spacing w:before="0" w:after="120"/>
      </w:pPr>
      <w:proofErr w:type="gramStart"/>
      <w:r w:rsidRPr="00737640">
        <w:rPr>
          <w:vertAlign w:val="superscript"/>
        </w:rPr>
        <w:t>a</w:t>
      </w:r>
      <w:proofErr w:type="gramEnd"/>
      <w:r w:rsidR="000E482F" w:rsidRPr="00966B95">
        <w:t xml:space="preserve"> Patient contribution assumed only for patients who were not bulk-billed. No out-of-pocket </w:t>
      </w:r>
      <w:r w:rsidR="00AC78F2" w:rsidRPr="00966B95">
        <w:t xml:space="preserve">expenses </w:t>
      </w:r>
      <w:r w:rsidR="000E482F" w:rsidRPr="00966B95">
        <w:t xml:space="preserve">(i.e. charges above the schedule fee) were assumed. The bulk-bill rate was assumed to be the same as that for currently listed CMR services. </w:t>
      </w:r>
    </w:p>
    <w:p w14:paraId="196CCA48" w14:textId="626A4264" w:rsidR="000E482F" w:rsidRPr="00966B95" w:rsidRDefault="004A26D5" w:rsidP="004C79C1">
      <w:pPr>
        <w:pStyle w:val="Tablenotes0"/>
        <w:shd w:val="clear" w:color="auto" w:fill="FFFFFF" w:themeFill="background1"/>
        <w:spacing w:before="0" w:after="120"/>
      </w:pPr>
      <w:r w:rsidRPr="00737640">
        <w:rPr>
          <w:vertAlign w:val="superscript"/>
        </w:rPr>
        <w:t>b</w:t>
      </w:r>
      <w:r w:rsidR="000E482F" w:rsidRPr="00966B95">
        <w:t xml:space="preserve"> Price weight for AR-DRG X61Z (0.22)</w:t>
      </w:r>
      <w:r w:rsidR="000E482F">
        <w:t xml:space="preserve"> </w:t>
      </w:r>
      <w:r w:rsidR="000E482F" w:rsidRPr="00966B95">
        <w:fldChar w:fldCharType="begin"/>
      </w:r>
      <w:r w:rsidR="000E482F" w:rsidRPr="00966B95">
        <w:instrText xml:space="preserve"> ADDIN EN.CITE &lt;EndNote&gt;&lt;Cite&gt;&lt;Author&gt;Independent Hospital Pricing Authority (IHPA)&lt;/Author&gt;&lt;Year&gt;2015&lt;/Year&gt;&lt;RecNum&gt;81&lt;/RecNum&gt;&lt;DisplayText&gt;(Independent Hospital Pricing Authority (IHPA) 2015a)&lt;/DisplayText&gt;&lt;record&gt;&lt;rec-number&gt;81&lt;/rec-number&gt;&lt;foreign-keys&gt;&lt;key app="EN" db-id="pfxxvref0t0a5de2vwnv2fwkz0p9v0r2fw0t" timestamp="1458113555"&gt;81&lt;/key&gt;&lt;/foreign-keys&gt;&lt;ref-type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0E482F" w:rsidRPr="00966B95">
        <w:fldChar w:fldCharType="separate"/>
      </w:r>
      <w:r w:rsidR="000E482F" w:rsidRPr="00966B95">
        <w:rPr>
          <w:noProof/>
        </w:rPr>
        <w:t>(</w:t>
      </w:r>
      <w:hyperlink w:anchor="_ENREF_58" w:tooltip="Independent Hospital Pricing Authority (IHPA), 2015 #160" w:history="1">
        <w:r w:rsidR="000E482F" w:rsidRPr="00966B95">
          <w:rPr>
            <w:noProof/>
          </w:rPr>
          <w:t>Independent Hospital Pricing Authority (IHPA) 2015a</w:t>
        </w:r>
      </w:hyperlink>
      <w:r w:rsidR="000E482F" w:rsidRPr="00966B95">
        <w:rPr>
          <w:noProof/>
        </w:rPr>
        <w:t>)</w:t>
      </w:r>
      <w:r w:rsidR="000E482F" w:rsidRPr="00966B95">
        <w:fldChar w:fldCharType="end"/>
      </w:r>
      <w:r w:rsidR="00871A43">
        <w:t xml:space="preserve"> *</w:t>
      </w:r>
      <w:r w:rsidR="000E482F" w:rsidRPr="00966B95">
        <w:t xml:space="preserve"> the N</w:t>
      </w:r>
      <w:r w:rsidR="008D0AC6">
        <w:t>EP</w:t>
      </w:r>
      <w:r w:rsidR="000E482F" w:rsidRPr="00966B95">
        <w:t xml:space="preserve"> 2016</w:t>
      </w:r>
      <w:r w:rsidR="000925E6">
        <w:t>–</w:t>
      </w:r>
      <w:r w:rsidR="000E482F" w:rsidRPr="00966B95">
        <w:t>17 ($4,883</w:t>
      </w:r>
      <w:r w:rsidR="000E482F">
        <w:t xml:space="preserve">) </w:t>
      </w:r>
      <w:r w:rsidR="000E482F">
        <w:fldChar w:fldCharType="begin"/>
      </w:r>
      <w:r w:rsidR="000E482F">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0E482F">
        <w:fldChar w:fldCharType="separate"/>
      </w:r>
      <w:r w:rsidR="000E482F">
        <w:rPr>
          <w:noProof/>
        </w:rPr>
        <w:t>(</w:t>
      </w:r>
      <w:hyperlink w:anchor="_ENREF_61" w:tooltip="Independent Hospital Pricing Authority (IHPA), 2016 #82" w:history="1">
        <w:r w:rsidR="000E482F">
          <w:rPr>
            <w:noProof/>
          </w:rPr>
          <w:t>Independent Hospital Pricing Authority (IHPA) 2016</w:t>
        </w:r>
      </w:hyperlink>
      <w:r w:rsidR="000E482F">
        <w:rPr>
          <w:noProof/>
        </w:rPr>
        <w:t>)</w:t>
      </w:r>
      <w:r w:rsidR="000E482F">
        <w:fldChar w:fldCharType="end"/>
      </w:r>
    </w:p>
    <w:p w14:paraId="6EDD24B0" w14:textId="347F5179" w:rsidR="00A73207" w:rsidRDefault="000E482F" w:rsidP="00CC55F9">
      <w:pPr>
        <w:pStyle w:val="Tablenotes0"/>
        <w:shd w:val="clear" w:color="auto" w:fill="FFFFFF" w:themeFill="background1"/>
        <w:spacing w:before="0" w:after="120"/>
      </w:pPr>
      <w:r w:rsidRPr="00966B95">
        <w:t>AE</w:t>
      </w:r>
      <w:r w:rsidR="00AC78F2">
        <w:t xml:space="preserve"> </w:t>
      </w:r>
      <w:r w:rsidRPr="00966B95">
        <w:t>=</w:t>
      </w:r>
      <w:r w:rsidR="00AC78F2">
        <w:t xml:space="preserve"> </w:t>
      </w:r>
      <w:r w:rsidRPr="00966B95">
        <w:t>adverse events; CMR</w:t>
      </w:r>
      <w:r w:rsidR="00AC78F2">
        <w:t xml:space="preserve"> </w:t>
      </w:r>
      <w:r w:rsidRPr="00966B95">
        <w:t>=</w:t>
      </w:r>
      <w:r w:rsidR="00AC78F2">
        <w:t xml:space="preserve"> </w:t>
      </w:r>
      <w:r w:rsidRPr="00966B95">
        <w:t xml:space="preserve">cardiac magnetic resonance </w:t>
      </w:r>
      <w:r w:rsidR="000C188E">
        <w:t>(</w:t>
      </w:r>
      <w:r w:rsidRPr="00966B95">
        <w:t>imaging</w:t>
      </w:r>
      <w:r w:rsidR="000C188E">
        <w:t>)</w:t>
      </w:r>
      <w:r w:rsidRPr="00966B95">
        <w:t xml:space="preserve">; </w:t>
      </w:r>
      <w:r w:rsidR="00E363A1">
        <w:t xml:space="preserve">Gd = gadolinium; </w:t>
      </w:r>
      <w:r w:rsidRPr="00966B95">
        <w:t>MBS</w:t>
      </w:r>
      <w:r w:rsidR="00AC78F2">
        <w:t xml:space="preserve"> </w:t>
      </w:r>
      <w:r w:rsidRPr="00966B95">
        <w:t>=</w:t>
      </w:r>
      <w:r w:rsidR="00AC78F2">
        <w:t xml:space="preserve"> </w:t>
      </w:r>
      <w:r w:rsidRPr="00966B95">
        <w:t>Medicare Benefits Schedule; NEP</w:t>
      </w:r>
      <w:r w:rsidR="00AC78F2">
        <w:t xml:space="preserve"> </w:t>
      </w:r>
      <w:r w:rsidRPr="00966B95">
        <w:t>=</w:t>
      </w:r>
      <w:r w:rsidR="00AC78F2">
        <w:t xml:space="preserve"> </w:t>
      </w:r>
      <w:r w:rsidR="00CC55F9">
        <w:t>National Efficient Price</w:t>
      </w:r>
    </w:p>
    <w:p w14:paraId="6D7D3360" w14:textId="4B6F5BD5" w:rsidR="000E482F" w:rsidRDefault="000E482F" w:rsidP="004C79C1">
      <w:pPr>
        <w:shd w:val="clear" w:color="auto" w:fill="FFFFFF" w:themeFill="background1"/>
        <w:spacing w:after="120" w:line="240" w:lineRule="auto"/>
        <w:jc w:val="both"/>
      </w:pPr>
      <w:r w:rsidRPr="001D6DA9">
        <w:t>It is assumed that services are provided in the outpatient setting</w:t>
      </w:r>
      <w:r>
        <w:t>.</w:t>
      </w:r>
      <w:r w:rsidRPr="001D6DA9">
        <w:t xml:space="preserve"> </w:t>
      </w:r>
    </w:p>
    <w:p w14:paraId="7728CC41" w14:textId="298E80CE" w:rsidR="000E482F" w:rsidRPr="00966B95" w:rsidRDefault="000E482F" w:rsidP="004C79C1">
      <w:pPr>
        <w:shd w:val="clear" w:color="auto" w:fill="FFFFFF" w:themeFill="background1"/>
        <w:spacing w:after="120" w:line="240" w:lineRule="auto"/>
        <w:jc w:val="both"/>
      </w:pPr>
      <w:r w:rsidRPr="00966B95">
        <w:t xml:space="preserve">Testing costs included in the analyses </w:t>
      </w:r>
      <w:r>
        <w:t xml:space="preserve">are </w:t>
      </w:r>
      <w:r w:rsidRPr="00966B95">
        <w:t>th</w:t>
      </w:r>
      <w:r w:rsidR="00001184">
        <w:t>ose</w:t>
      </w:r>
      <w:r w:rsidRPr="00966B95">
        <w:t xml:space="preserve"> of the CMR and the gadolinium </w:t>
      </w:r>
      <w:r w:rsidR="00831EEC">
        <w:t xml:space="preserve">(Gd) </w:t>
      </w:r>
      <w:r w:rsidRPr="00966B95">
        <w:t>contrast agent</w:t>
      </w:r>
      <w:r w:rsidR="00001184">
        <w:t>,</w:t>
      </w:r>
      <w:r>
        <w:t xml:space="preserve"> </w:t>
      </w:r>
      <w:r w:rsidRPr="00966B95">
        <w:t>assum</w:t>
      </w:r>
      <w:r w:rsidR="00001184">
        <w:t>ing</w:t>
      </w:r>
      <w:r w:rsidRPr="00966B95">
        <w:t xml:space="preserve"> that a bulk-billing incentive will apply to the proposed CMR service</w:t>
      </w:r>
      <w:r>
        <w:t xml:space="preserve"> (as per other CMR services)</w:t>
      </w:r>
      <w:r w:rsidRPr="00966B95">
        <w:t>. This infers that for out</w:t>
      </w:r>
      <w:r w:rsidR="00001184">
        <w:t>-</w:t>
      </w:r>
      <w:r w:rsidRPr="00966B95">
        <w:t>of</w:t>
      </w:r>
      <w:r w:rsidR="00001184">
        <w:t>-</w:t>
      </w:r>
      <w:r w:rsidRPr="00966B95">
        <w:t>hospital services that are bulk-billed, the benefits paid by the MBS are 100% of the schedule fee. In order to account for this, an estimated bulk-billing rate is used based on the proportion of current out</w:t>
      </w:r>
      <w:r w:rsidR="00001184">
        <w:t>-</w:t>
      </w:r>
      <w:r w:rsidRPr="00966B95">
        <w:t>of</w:t>
      </w:r>
      <w:r w:rsidR="00001184">
        <w:t>-</w:t>
      </w:r>
      <w:r w:rsidRPr="00966B95">
        <w:t>hospital CMR services that are bulk-billed (72.8% in 2014</w:t>
      </w:r>
      <w:r w:rsidR="00001184">
        <w:t>–</w:t>
      </w:r>
      <w:r w:rsidRPr="00966B95">
        <w:t>15). Therefore, for 72.8% of services the MBS benefit paid is 100% of the schedule fee, and for the remaining billed patients the MBS benefit paid is 85%. Therefore</w:t>
      </w:r>
      <w:r w:rsidR="006E750B">
        <w:t>,</w:t>
      </w:r>
      <w:r w:rsidRPr="00966B95">
        <w:t xml:space="preserve"> the average weighted MBS benefit paid is $820.26.</w:t>
      </w:r>
    </w:p>
    <w:p w14:paraId="7330C67B" w14:textId="30614248" w:rsidR="000E482F" w:rsidRPr="00966B95" w:rsidRDefault="000E482F" w:rsidP="004C79C1">
      <w:pPr>
        <w:shd w:val="clear" w:color="auto" w:fill="FFFFFF" w:themeFill="background1"/>
        <w:spacing w:after="120" w:line="240" w:lineRule="auto"/>
        <w:jc w:val="both"/>
      </w:pPr>
      <w:r w:rsidRPr="00966B95">
        <w:t xml:space="preserve">The Protocol for this assessment stated that the total cost for one CMR scan on </w:t>
      </w:r>
      <w:r w:rsidR="006E750B">
        <w:t>1</w:t>
      </w:r>
      <w:r w:rsidR="006E750B" w:rsidRPr="00966B95">
        <w:t xml:space="preserve"> </w:t>
      </w:r>
      <w:r w:rsidRPr="00966B95">
        <w:t xml:space="preserve">patient for suspected </w:t>
      </w:r>
      <w:r w:rsidR="006E750B">
        <w:t>CM</w:t>
      </w:r>
      <w:r w:rsidR="006E750B" w:rsidRPr="00966B95">
        <w:t xml:space="preserve">s </w:t>
      </w:r>
      <w:r w:rsidRPr="00966B95">
        <w:t xml:space="preserve">would </w:t>
      </w:r>
      <w:r w:rsidR="006E750B">
        <w:t xml:space="preserve">be in the </w:t>
      </w:r>
      <w:r w:rsidRPr="00966B95">
        <w:t>range $1,100–$1,200. Given that the proposed item fee is $855.20, for patients that are not bulk-billed, patient co-payments in the order of $200</w:t>
      </w:r>
      <w:r w:rsidR="006E750B">
        <w:t>–</w:t>
      </w:r>
      <w:r w:rsidRPr="00966B95">
        <w:t>$300 may be expected. This is consistent with the observed average patient contribution per current CMR service for out</w:t>
      </w:r>
      <w:r w:rsidR="006E750B">
        <w:t>-</w:t>
      </w:r>
      <w:r w:rsidRPr="00966B95">
        <w:t>of</w:t>
      </w:r>
      <w:r w:rsidR="006E750B">
        <w:t>-</w:t>
      </w:r>
      <w:r w:rsidRPr="00966B95">
        <w:t>hospital billed patients, 2014</w:t>
      </w:r>
      <w:r w:rsidR="006E750B">
        <w:t>–</w:t>
      </w:r>
      <w:r w:rsidRPr="00966B95">
        <w:t>15 ($244.36).</w:t>
      </w:r>
    </w:p>
    <w:p w14:paraId="313B5A0A" w14:textId="6FD20BF5" w:rsidR="000E482F" w:rsidRPr="00966B95" w:rsidRDefault="000E482F" w:rsidP="004C79C1">
      <w:pPr>
        <w:shd w:val="clear" w:color="auto" w:fill="FFFFFF" w:themeFill="background1"/>
        <w:spacing w:after="120" w:line="240" w:lineRule="auto"/>
        <w:jc w:val="both"/>
      </w:pPr>
      <w:r w:rsidRPr="00966B95">
        <w:t xml:space="preserve">The MBS benefit for the </w:t>
      </w:r>
      <w:r w:rsidR="00831EEC">
        <w:t>Gd</w:t>
      </w:r>
      <w:r w:rsidR="00831EEC" w:rsidRPr="00966B95">
        <w:t xml:space="preserve"> </w:t>
      </w:r>
      <w:r w:rsidRPr="00966B95">
        <w:t xml:space="preserve">contrast agent (MBS item 63491) is assumed to be 85% of the schedule fee (i.e. the outpatient benefit). The patient contribution for the </w:t>
      </w:r>
      <w:r w:rsidR="00831EEC">
        <w:t>Gd</w:t>
      </w:r>
      <w:r w:rsidR="00831EEC" w:rsidRPr="00966B95">
        <w:t xml:space="preserve"> </w:t>
      </w:r>
      <w:r w:rsidRPr="00966B95">
        <w:t xml:space="preserve">contrast was assumed to be applied only to the proportion that </w:t>
      </w:r>
      <w:r w:rsidR="008D7E79">
        <w:t>would</w:t>
      </w:r>
      <w:r w:rsidR="008D7E79" w:rsidRPr="00966B95">
        <w:t xml:space="preserve"> </w:t>
      </w:r>
      <w:r w:rsidRPr="00966B95">
        <w:t xml:space="preserve">not </w:t>
      </w:r>
      <w:r w:rsidR="008D7E79">
        <w:t xml:space="preserve">be </w:t>
      </w:r>
      <w:r w:rsidRPr="00966B95">
        <w:t>bulk-billed, and assume</w:t>
      </w:r>
      <w:r>
        <w:t>s</w:t>
      </w:r>
      <w:r w:rsidRPr="00966B95">
        <w:t xml:space="preserve"> that patients </w:t>
      </w:r>
      <w:r w:rsidR="008D7E79">
        <w:t>would</w:t>
      </w:r>
      <w:r w:rsidR="008D7E79" w:rsidRPr="00966B95">
        <w:t xml:space="preserve"> </w:t>
      </w:r>
      <w:r w:rsidRPr="00966B95">
        <w:t xml:space="preserve">not </w:t>
      </w:r>
      <w:r w:rsidR="008D7E79">
        <w:t xml:space="preserve">be </w:t>
      </w:r>
      <w:r w:rsidRPr="00966B95">
        <w:t xml:space="preserve">charged above the schedule fee (i.e. </w:t>
      </w:r>
      <w:r>
        <w:t>the</w:t>
      </w:r>
      <w:r w:rsidRPr="00966B95">
        <w:t xml:space="preserve"> patient contribution for billed patients was 15% of the schedule fee). The bulk-bill rate was assumed to be the same as that for currently listed CMR services. </w:t>
      </w:r>
    </w:p>
    <w:p w14:paraId="4CFA0720" w14:textId="630A4C6B" w:rsidR="000E482F" w:rsidRPr="00966B95" w:rsidRDefault="000E482F" w:rsidP="004C79C1">
      <w:pPr>
        <w:shd w:val="clear" w:color="auto" w:fill="FFFFFF" w:themeFill="background1"/>
        <w:spacing w:after="120" w:line="240" w:lineRule="auto"/>
        <w:jc w:val="both"/>
      </w:pPr>
      <w:r w:rsidRPr="00966B95">
        <w:t xml:space="preserve">Should CMR be available in this proposed population, all patients will require a specialist referral after the indeterminate </w:t>
      </w:r>
      <w:r w:rsidR="00EB3FA3">
        <w:t xml:space="preserve">echocardiogram </w:t>
      </w:r>
      <w:r w:rsidRPr="00966B95">
        <w:t>prior to receiving CMR. This is costed based on MBS data for item 110 for 2014</w:t>
      </w:r>
      <w:r w:rsidR="0082426D">
        <w:t>–</w:t>
      </w:r>
      <w:r w:rsidRPr="00966B95">
        <w:t>15, using the average benefit paid per service and the average patient contribution per service.</w:t>
      </w:r>
    </w:p>
    <w:p w14:paraId="2EF03A22" w14:textId="31F238E7" w:rsidR="000E482F" w:rsidRPr="00966B95" w:rsidRDefault="000E482F" w:rsidP="004C79C1">
      <w:pPr>
        <w:shd w:val="clear" w:color="auto" w:fill="FFFFFF" w:themeFill="background1"/>
        <w:spacing w:after="120" w:line="240" w:lineRule="auto"/>
        <w:jc w:val="both"/>
      </w:pPr>
      <w:proofErr w:type="gramStart"/>
      <w:r w:rsidRPr="00966B95">
        <w:t xml:space="preserve">Section B7 reports that 4.8 per 100,000 patients experience an adverse reaction to the </w:t>
      </w:r>
      <w:r w:rsidR="00831EEC">
        <w:t>Gd</w:t>
      </w:r>
      <w:r w:rsidR="00831EEC" w:rsidRPr="00966B95">
        <w:t xml:space="preserve"> </w:t>
      </w:r>
      <w:r w:rsidRPr="00966B95">
        <w:t>contrast.</w:t>
      </w:r>
      <w:proofErr w:type="gramEnd"/>
      <w:r w:rsidRPr="00966B95">
        <w:t xml:space="preserve"> The cost of treating the allergic reaction has been estimated by multiplying the price weight for AR-DRG X61Z </w:t>
      </w:r>
      <w:r w:rsidR="00134C52">
        <w:t>(</w:t>
      </w:r>
      <w:r w:rsidRPr="00966B95">
        <w:t xml:space="preserve">Allergic </w:t>
      </w:r>
      <w:r w:rsidR="006E5B5B">
        <w:t>R</w:t>
      </w:r>
      <w:r w:rsidRPr="00966B95">
        <w:t>eactions</w:t>
      </w:r>
      <w:r w:rsidR="00134C52">
        <w:t>)</w:t>
      </w:r>
      <w:r w:rsidRPr="00966B95">
        <w:t xml:space="preserve"> by the National Efficient Price </w:t>
      </w:r>
      <w:r w:rsidR="003156EB">
        <w:t xml:space="preserve">(NEP) </w:t>
      </w:r>
      <w:r w:rsidRPr="00966B95">
        <w:t>for 2016</w:t>
      </w:r>
      <w:r w:rsidR="001E156F">
        <w:t>–</w:t>
      </w:r>
      <w:r w:rsidRPr="00966B95">
        <w:t>17</w:t>
      </w:r>
      <w:r>
        <w:t xml:space="preserve"> (see footnote in </w:t>
      </w:r>
      <w:r w:rsidR="00931520">
        <w:fldChar w:fldCharType="begin"/>
      </w:r>
      <w:r w:rsidR="00931520">
        <w:instrText xml:space="preserve"> REF _Ref451253034 \h </w:instrText>
      </w:r>
      <w:r w:rsidR="00931520">
        <w:fldChar w:fldCharType="separate"/>
      </w:r>
      <w:r w:rsidR="00931520">
        <w:t xml:space="preserve">Table </w:t>
      </w:r>
      <w:r w:rsidR="00931520">
        <w:rPr>
          <w:noProof/>
        </w:rPr>
        <w:t>34</w:t>
      </w:r>
      <w:r w:rsidR="00931520">
        <w:fldChar w:fldCharType="end"/>
      </w:r>
      <w:r>
        <w:t>)</w:t>
      </w:r>
      <w:r w:rsidR="001E156F">
        <w:t xml:space="preserve"> </w:t>
      </w:r>
      <w:r w:rsidRPr="00966B95">
        <w:fldChar w:fldCharType="begin"/>
      </w:r>
      <w:r>
        <w:instrText xml:space="preserve"> ADDIN EN.CITE &lt;EndNote&gt;&lt;Cite&gt;&lt;Author&gt;Independent Hospital Pricing Authority (IHPA)&lt;/Author&gt;&lt;Year&gt;2016&lt;/Year&gt;&lt;RecNum&gt;82&lt;/RecNum&gt;&lt;DisplayText&gt;(Independent Hospital Pricing Authority (IHPA) 2016)&lt;/DisplayText&gt;&lt;record&gt;&lt;rec-number&gt;82&lt;/rec-number&gt;&lt;foreign-keys&gt;&lt;key app="EN" db-id="pfxxvref0t0a5de2vwnv2fwkz0p9v0r2fw0t" timestamp="1458113555"&gt;82&lt;/key&gt;&lt;/foreign-keys&gt;&lt;ref-type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Pr="00966B95">
        <w:fldChar w:fldCharType="end"/>
      </w:r>
      <w:r>
        <w:t>(</w:t>
      </w:r>
      <w:hyperlink w:anchor="_ENREF_61" w:tooltip="Independent Hospital Pricing Authority (IHPA), 2016 #82" w:history="1">
        <w:r>
          <w:t>Independent Hospital Pricing Authority (IHPA) 2016</w:t>
        </w:r>
      </w:hyperlink>
      <w:r>
        <w:t>)</w:t>
      </w:r>
      <w:r w:rsidRPr="00966B95">
        <w:t>. Therefore</w:t>
      </w:r>
      <w:r w:rsidR="001E156F">
        <w:t>,</w:t>
      </w:r>
      <w:r w:rsidRPr="00966B95">
        <w:t xml:space="preserve"> the cost of treating each AE due to a reaction </w:t>
      </w:r>
      <w:r w:rsidR="0052599E">
        <w:t>to the Gd</w:t>
      </w:r>
      <w:r w:rsidR="004F73C7" w:rsidRPr="00966B95">
        <w:t xml:space="preserve"> </w:t>
      </w:r>
      <w:r w:rsidR="004F73C7">
        <w:t xml:space="preserve">contrast </w:t>
      </w:r>
      <w:r w:rsidRPr="00966B95">
        <w:t>is $1,084.03, which equates to $0.05 per CMR.</w:t>
      </w:r>
    </w:p>
    <w:p w14:paraId="50F2E638" w14:textId="27C9F76A" w:rsidR="000E482F" w:rsidRPr="00966B95" w:rsidRDefault="000E482F" w:rsidP="004C79C1">
      <w:pPr>
        <w:shd w:val="clear" w:color="auto" w:fill="FFFFFF" w:themeFill="background1"/>
        <w:spacing w:after="120" w:line="240" w:lineRule="auto"/>
        <w:jc w:val="both"/>
      </w:pPr>
      <w:r w:rsidRPr="00966B95">
        <w:t>The total estimated cost assoc</w:t>
      </w:r>
      <w:r>
        <w:t>iated with CMR testing is $1,106.31</w:t>
      </w:r>
      <w:r w:rsidRPr="00966B95">
        <w:t xml:space="preserve"> per patient</w:t>
      </w:r>
      <w:r>
        <w:t xml:space="preserve">, as per </w:t>
      </w:r>
      <w:r w:rsidR="00EB3FA3">
        <w:fldChar w:fldCharType="begin"/>
      </w:r>
      <w:r w:rsidR="00EB3FA3">
        <w:instrText xml:space="preserve"> REF _Ref451253034 \h </w:instrText>
      </w:r>
      <w:r w:rsidR="00EB3FA3">
        <w:fldChar w:fldCharType="separate"/>
      </w:r>
      <w:r w:rsidR="00931520">
        <w:t xml:space="preserve">Table </w:t>
      </w:r>
      <w:r w:rsidR="00931520">
        <w:rPr>
          <w:noProof/>
        </w:rPr>
        <w:t>34</w:t>
      </w:r>
      <w:r w:rsidR="00EB3FA3">
        <w:fldChar w:fldCharType="end"/>
      </w:r>
      <w:r w:rsidRPr="00966B95">
        <w:t>.</w:t>
      </w:r>
    </w:p>
    <w:p w14:paraId="1176D135" w14:textId="271E69FF" w:rsidR="000E482F" w:rsidRPr="00966B95" w:rsidRDefault="000E482F" w:rsidP="00161B88">
      <w:pPr>
        <w:pStyle w:val="Heading4"/>
      </w:pPr>
      <w:r w:rsidRPr="00966B95">
        <w:t>G</w:t>
      </w:r>
      <w:r w:rsidR="00703451">
        <w:t>HPS</w:t>
      </w:r>
    </w:p>
    <w:p w14:paraId="16449016" w14:textId="347DD5C1" w:rsidR="000E482F" w:rsidRPr="00966B95" w:rsidRDefault="000E482F" w:rsidP="004C79C1">
      <w:pPr>
        <w:shd w:val="clear" w:color="auto" w:fill="FFFFFF" w:themeFill="background1"/>
        <w:spacing w:after="120" w:line="240" w:lineRule="auto"/>
      </w:pPr>
      <w:r w:rsidRPr="00966B95">
        <w:t xml:space="preserve">A summary of the costs of a </w:t>
      </w:r>
      <w:r w:rsidR="00703451">
        <w:t>GHPS</w:t>
      </w:r>
      <w:r w:rsidRPr="00966B95">
        <w:t xml:space="preserve"> are presented in</w:t>
      </w:r>
      <w:r>
        <w:t xml:space="preserve"> </w:t>
      </w:r>
      <w:r w:rsidR="00EB3FA3" w:rsidRPr="00931520">
        <w:fldChar w:fldCharType="begin"/>
      </w:r>
      <w:r w:rsidR="00EB3FA3" w:rsidRPr="00931520">
        <w:instrText xml:space="preserve"> REF _Ref451253185 \h </w:instrText>
      </w:r>
      <w:r w:rsidR="00931520">
        <w:instrText xml:space="preserve"> \* MERGEFORMAT </w:instrText>
      </w:r>
      <w:r w:rsidR="00EB3FA3" w:rsidRPr="00931520">
        <w:fldChar w:fldCharType="separate"/>
      </w:r>
      <w:r w:rsidR="00931520" w:rsidRPr="00931520">
        <w:t>Table 35</w:t>
      </w:r>
      <w:r w:rsidR="00EB3FA3" w:rsidRPr="00931520">
        <w:fldChar w:fldCharType="end"/>
      </w:r>
      <w:r w:rsidRPr="00966B95">
        <w:t>.</w:t>
      </w:r>
    </w:p>
    <w:p w14:paraId="3E71BB61" w14:textId="4F38870A" w:rsidR="00EB3FA3" w:rsidRDefault="00EB3FA3" w:rsidP="004C79C1">
      <w:pPr>
        <w:pStyle w:val="Caption"/>
        <w:keepNext/>
      </w:pPr>
      <w:bookmarkStart w:id="533" w:name="_Ref451253185"/>
      <w:bookmarkStart w:id="534" w:name="_Toc451435362"/>
      <w:r>
        <w:lastRenderedPageBreak/>
        <w:t xml:space="preserve">Table </w:t>
      </w:r>
      <w:fldSimple w:instr=" SEQ Table \* ARABIC ">
        <w:r w:rsidR="00050936">
          <w:rPr>
            <w:noProof/>
          </w:rPr>
          <w:t>35</w:t>
        </w:r>
      </w:fldSimple>
      <w:bookmarkEnd w:id="533"/>
      <w:r>
        <w:tab/>
      </w:r>
      <w:r w:rsidRPr="00F572E2">
        <w:t>Costs associated with GHPS in the</w:t>
      </w:r>
      <w:r w:rsidR="004F632C">
        <w:t xml:space="preserve"> population with indeterminate e</w:t>
      </w:r>
      <w:r w:rsidRPr="00F572E2">
        <w:t>cho</w:t>
      </w:r>
      <w:r w:rsidR="004F632C">
        <w:t>cardiography</w:t>
      </w:r>
      <w:bookmarkEnd w:id="534"/>
    </w:p>
    <w:tbl>
      <w:tblPr>
        <w:tblStyle w:val="TableGrid"/>
        <w:tblW w:w="0" w:type="auto"/>
        <w:tblLook w:val="04A0" w:firstRow="1" w:lastRow="0" w:firstColumn="1" w:lastColumn="0" w:noHBand="0" w:noVBand="1"/>
        <w:tblDescription w:val="Costs associated with gated heart pool scanning in the population with indeterminate Echo"/>
      </w:tblPr>
      <w:tblGrid>
        <w:gridCol w:w="4248"/>
        <w:gridCol w:w="1276"/>
        <w:gridCol w:w="3492"/>
      </w:tblGrid>
      <w:tr w:rsidR="000E482F" w:rsidRPr="00D50186" w14:paraId="252C7343" w14:textId="77777777" w:rsidTr="00723891">
        <w:trPr>
          <w:tblHeader/>
        </w:trPr>
        <w:tc>
          <w:tcPr>
            <w:tcW w:w="4248" w:type="dxa"/>
            <w:tcBorders>
              <w:bottom w:val="single" w:sz="4" w:space="0" w:color="auto"/>
            </w:tcBorders>
          </w:tcPr>
          <w:p w14:paraId="58B9EE1A" w14:textId="77777777" w:rsidR="000E482F" w:rsidRPr="00D50186" w:rsidRDefault="000E482F" w:rsidP="004C79C1">
            <w:pPr>
              <w:pStyle w:val="Tabletext1"/>
              <w:shd w:val="clear" w:color="auto" w:fill="FFFFFF" w:themeFill="background1"/>
              <w:spacing w:before="0" w:after="120"/>
              <w:rPr>
                <w:b/>
              </w:rPr>
            </w:pPr>
            <w:r w:rsidRPr="00D50186">
              <w:rPr>
                <w:b/>
              </w:rPr>
              <w:t>Parameter</w:t>
            </w:r>
          </w:p>
        </w:tc>
        <w:tc>
          <w:tcPr>
            <w:tcW w:w="1276" w:type="dxa"/>
            <w:tcBorders>
              <w:bottom w:val="single" w:sz="4" w:space="0" w:color="auto"/>
            </w:tcBorders>
          </w:tcPr>
          <w:p w14:paraId="6FF047CA" w14:textId="77777777" w:rsidR="000E482F" w:rsidRPr="00D50186" w:rsidRDefault="000E482F" w:rsidP="004C79C1">
            <w:pPr>
              <w:pStyle w:val="Tabletext1"/>
              <w:shd w:val="clear" w:color="auto" w:fill="FFFFFF" w:themeFill="background1"/>
              <w:spacing w:before="0" w:after="120"/>
              <w:rPr>
                <w:b/>
              </w:rPr>
            </w:pPr>
            <w:r w:rsidRPr="00D50186">
              <w:rPr>
                <w:b/>
              </w:rPr>
              <w:t>Estimate</w:t>
            </w:r>
          </w:p>
        </w:tc>
        <w:tc>
          <w:tcPr>
            <w:tcW w:w="3492" w:type="dxa"/>
            <w:tcBorders>
              <w:bottom w:val="single" w:sz="4" w:space="0" w:color="auto"/>
            </w:tcBorders>
          </w:tcPr>
          <w:p w14:paraId="6FFF033F" w14:textId="77777777" w:rsidR="000E482F" w:rsidRPr="00D50186" w:rsidRDefault="000E482F" w:rsidP="004C79C1">
            <w:pPr>
              <w:pStyle w:val="Tabletext1"/>
              <w:shd w:val="clear" w:color="auto" w:fill="FFFFFF" w:themeFill="background1"/>
              <w:spacing w:before="0" w:after="120"/>
              <w:rPr>
                <w:b/>
              </w:rPr>
            </w:pPr>
            <w:r w:rsidRPr="00D50186">
              <w:rPr>
                <w:b/>
              </w:rPr>
              <w:t>Source</w:t>
            </w:r>
          </w:p>
        </w:tc>
      </w:tr>
      <w:tr w:rsidR="000E482F" w:rsidRPr="00D50186" w14:paraId="6B731A18" w14:textId="77777777" w:rsidTr="00723891">
        <w:tc>
          <w:tcPr>
            <w:tcW w:w="4248" w:type="dxa"/>
            <w:tcBorders>
              <w:right w:val="nil"/>
            </w:tcBorders>
          </w:tcPr>
          <w:p w14:paraId="354E900E" w14:textId="77777777" w:rsidR="000E482F" w:rsidRPr="00D50186" w:rsidRDefault="000E482F" w:rsidP="004C79C1">
            <w:pPr>
              <w:pStyle w:val="Tabletext1"/>
              <w:shd w:val="clear" w:color="auto" w:fill="FFFFFF" w:themeFill="background1"/>
              <w:spacing w:before="0" w:after="120"/>
            </w:pPr>
            <w:r w:rsidRPr="00D50186">
              <w:t>Costs related to testing</w:t>
            </w:r>
          </w:p>
        </w:tc>
        <w:tc>
          <w:tcPr>
            <w:tcW w:w="1276" w:type="dxa"/>
            <w:tcBorders>
              <w:left w:val="nil"/>
              <w:right w:val="nil"/>
            </w:tcBorders>
          </w:tcPr>
          <w:p w14:paraId="21F94433" w14:textId="77777777" w:rsidR="000E482F" w:rsidRPr="00D50186" w:rsidRDefault="000E482F" w:rsidP="004C79C1">
            <w:pPr>
              <w:pStyle w:val="Tabletext1"/>
              <w:shd w:val="clear" w:color="auto" w:fill="FFFFFF" w:themeFill="background1"/>
              <w:spacing w:before="0" w:after="120"/>
            </w:pPr>
            <w:r w:rsidRPr="00D50186">
              <w:rPr>
                <w:color w:val="FFFFFF" w:themeColor="background1"/>
              </w:rPr>
              <w:t>-</w:t>
            </w:r>
          </w:p>
        </w:tc>
        <w:tc>
          <w:tcPr>
            <w:tcW w:w="3492" w:type="dxa"/>
            <w:tcBorders>
              <w:left w:val="nil"/>
            </w:tcBorders>
          </w:tcPr>
          <w:p w14:paraId="72BA2D91" w14:textId="77777777" w:rsidR="000E482F" w:rsidRPr="00D50186" w:rsidRDefault="000E482F" w:rsidP="004C79C1">
            <w:pPr>
              <w:pStyle w:val="Tabletext1"/>
              <w:shd w:val="clear" w:color="auto" w:fill="FFFFFF" w:themeFill="background1"/>
              <w:spacing w:before="0" w:after="120"/>
            </w:pPr>
            <w:r w:rsidRPr="00D50186">
              <w:rPr>
                <w:color w:val="FFFFFF" w:themeColor="background1"/>
              </w:rPr>
              <w:t>-</w:t>
            </w:r>
          </w:p>
        </w:tc>
      </w:tr>
      <w:tr w:rsidR="000E482F" w:rsidRPr="00D50186" w14:paraId="45EBEE50" w14:textId="77777777" w:rsidTr="00723891">
        <w:tc>
          <w:tcPr>
            <w:tcW w:w="4248" w:type="dxa"/>
          </w:tcPr>
          <w:p w14:paraId="39BD05D4" w14:textId="342995E0" w:rsidR="000E482F" w:rsidRPr="00D50186" w:rsidRDefault="000E482F" w:rsidP="004C79C1">
            <w:pPr>
              <w:pStyle w:val="Tabletext1"/>
              <w:shd w:val="clear" w:color="auto" w:fill="FFFFFF" w:themeFill="background1"/>
              <w:spacing w:before="0" w:after="120"/>
            </w:pPr>
            <w:r w:rsidRPr="00D50186">
              <w:t>G</w:t>
            </w:r>
            <w:r w:rsidR="00703451">
              <w:t>HPS</w:t>
            </w:r>
          </w:p>
        </w:tc>
        <w:tc>
          <w:tcPr>
            <w:tcW w:w="1276" w:type="dxa"/>
            <w:vAlign w:val="bottom"/>
          </w:tcPr>
          <w:p w14:paraId="23955A47"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$283.16</w:t>
            </w:r>
          </w:p>
        </w:tc>
        <w:tc>
          <w:tcPr>
            <w:tcW w:w="3492" w:type="dxa"/>
            <w:vAlign w:val="bottom"/>
          </w:tcPr>
          <w:p w14:paraId="33B51B7A"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61313</w:t>
            </w:r>
          </w:p>
        </w:tc>
      </w:tr>
      <w:tr w:rsidR="000E482F" w:rsidRPr="00D50186" w14:paraId="39BBB826" w14:textId="77777777" w:rsidTr="00723891">
        <w:tc>
          <w:tcPr>
            <w:tcW w:w="4248" w:type="dxa"/>
            <w:tcBorders>
              <w:bottom w:val="single" w:sz="4" w:space="0" w:color="auto"/>
            </w:tcBorders>
            <w:vAlign w:val="bottom"/>
          </w:tcPr>
          <w:p w14:paraId="0722487C"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 xml:space="preserve">Patient co-payment </w:t>
            </w:r>
          </w:p>
        </w:tc>
        <w:tc>
          <w:tcPr>
            <w:tcW w:w="1276" w:type="dxa"/>
            <w:tcBorders>
              <w:bottom w:val="single" w:sz="4" w:space="0" w:color="auto"/>
            </w:tcBorders>
            <w:vAlign w:val="bottom"/>
          </w:tcPr>
          <w:p w14:paraId="49437338"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$22.52</w:t>
            </w:r>
          </w:p>
        </w:tc>
        <w:tc>
          <w:tcPr>
            <w:tcW w:w="3492" w:type="dxa"/>
            <w:tcBorders>
              <w:bottom w:val="single" w:sz="4" w:space="0" w:color="auto"/>
            </w:tcBorders>
            <w:vAlign w:val="bottom"/>
          </w:tcPr>
          <w:p w14:paraId="3BA811B2"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61313</w:t>
            </w:r>
          </w:p>
        </w:tc>
      </w:tr>
      <w:tr w:rsidR="000E482F" w:rsidRPr="00D50186" w14:paraId="2B61CAC4" w14:textId="77777777" w:rsidTr="00723891">
        <w:tc>
          <w:tcPr>
            <w:tcW w:w="4248" w:type="dxa"/>
            <w:tcBorders>
              <w:bottom w:val="double" w:sz="4" w:space="0" w:color="auto"/>
            </w:tcBorders>
            <w:vAlign w:val="bottom"/>
          </w:tcPr>
          <w:p w14:paraId="71946584" w14:textId="3A6775E3" w:rsidR="000E482F" w:rsidRPr="00D50186" w:rsidRDefault="000E482F" w:rsidP="004C79C1">
            <w:pPr>
              <w:pStyle w:val="Tabletext1"/>
              <w:shd w:val="clear" w:color="auto" w:fill="FFFFFF" w:themeFill="background1"/>
              <w:spacing w:before="0" w:after="120"/>
              <w:rPr>
                <w:b/>
                <w:bCs/>
                <w:color w:val="000000"/>
              </w:rPr>
            </w:pPr>
            <w:r w:rsidRPr="00D50186">
              <w:rPr>
                <w:b/>
                <w:bCs/>
                <w:color w:val="000000"/>
              </w:rPr>
              <w:t>Subtotal</w:t>
            </w:r>
          </w:p>
        </w:tc>
        <w:tc>
          <w:tcPr>
            <w:tcW w:w="1276" w:type="dxa"/>
            <w:tcBorders>
              <w:bottom w:val="double" w:sz="4" w:space="0" w:color="auto"/>
            </w:tcBorders>
            <w:vAlign w:val="bottom"/>
          </w:tcPr>
          <w:p w14:paraId="65075F61"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$305.68</w:t>
            </w:r>
          </w:p>
        </w:tc>
        <w:tc>
          <w:tcPr>
            <w:tcW w:w="3492" w:type="dxa"/>
            <w:tcBorders>
              <w:bottom w:val="double" w:sz="4" w:space="0" w:color="auto"/>
            </w:tcBorders>
            <w:vAlign w:val="bottom"/>
          </w:tcPr>
          <w:p w14:paraId="66E2F1C4" w14:textId="77777777" w:rsidR="000E482F" w:rsidRPr="00D50186" w:rsidRDefault="000E482F" w:rsidP="004C79C1">
            <w:pPr>
              <w:pStyle w:val="Tabletext1"/>
              <w:shd w:val="clear" w:color="auto" w:fill="FFFFFF" w:themeFill="background1"/>
              <w:spacing w:before="0" w:after="120"/>
              <w:rPr>
                <w:b/>
                <w:bCs/>
                <w:color w:val="000000"/>
              </w:rPr>
            </w:pPr>
            <w:r w:rsidRPr="00D50186">
              <w:rPr>
                <w:b/>
                <w:bCs/>
                <w:color w:val="000000"/>
              </w:rPr>
              <w:t>Sum of test costs</w:t>
            </w:r>
          </w:p>
        </w:tc>
      </w:tr>
      <w:tr w:rsidR="000E482F" w:rsidRPr="00D50186" w14:paraId="524A6AED" w14:textId="77777777" w:rsidTr="00723891">
        <w:tc>
          <w:tcPr>
            <w:tcW w:w="4248" w:type="dxa"/>
            <w:tcBorders>
              <w:top w:val="double" w:sz="4" w:space="0" w:color="auto"/>
              <w:right w:val="nil"/>
            </w:tcBorders>
          </w:tcPr>
          <w:p w14:paraId="61AC7D85" w14:textId="2E225231" w:rsidR="000E482F" w:rsidRPr="00D50186" w:rsidRDefault="000E482F" w:rsidP="004C79C1">
            <w:pPr>
              <w:pStyle w:val="Tabletext1"/>
              <w:shd w:val="clear" w:color="auto" w:fill="FFFFFF" w:themeFill="background1"/>
              <w:spacing w:before="0" w:after="120"/>
            </w:pPr>
            <w:r w:rsidRPr="00D50186">
              <w:t>Referral costs (inc</w:t>
            </w:r>
            <w:r w:rsidR="00691B41">
              <w:t>luding</w:t>
            </w:r>
            <w:r w:rsidRPr="00D50186">
              <w:t xml:space="preserve"> patient co-payment)</w:t>
            </w:r>
          </w:p>
        </w:tc>
        <w:tc>
          <w:tcPr>
            <w:tcW w:w="1276" w:type="dxa"/>
            <w:tcBorders>
              <w:top w:val="double" w:sz="4" w:space="0" w:color="auto"/>
              <w:left w:val="nil"/>
              <w:right w:val="nil"/>
            </w:tcBorders>
          </w:tcPr>
          <w:p w14:paraId="315839A0" w14:textId="77777777" w:rsidR="000E482F" w:rsidRPr="00D50186" w:rsidRDefault="000E482F" w:rsidP="004C79C1">
            <w:pPr>
              <w:pStyle w:val="Tabletext1"/>
              <w:shd w:val="clear" w:color="auto" w:fill="FFFFFF" w:themeFill="background1"/>
              <w:tabs>
                <w:tab w:val="decimal" w:pos="608"/>
              </w:tabs>
              <w:spacing w:before="0" w:after="120"/>
            </w:pPr>
            <w:r w:rsidRPr="00D50186">
              <w:rPr>
                <w:color w:val="FFFFFF" w:themeColor="background1"/>
              </w:rPr>
              <w:t>-</w:t>
            </w:r>
          </w:p>
        </w:tc>
        <w:tc>
          <w:tcPr>
            <w:tcW w:w="3492" w:type="dxa"/>
            <w:tcBorders>
              <w:top w:val="double" w:sz="4" w:space="0" w:color="auto"/>
              <w:left w:val="nil"/>
            </w:tcBorders>
          </w:tcPr>
          <w:p w14:paraId="20A76E97" w14:textId="77777777" w:rsidR="000E482F" w:rsidRPr="00D50186" w:rsidRDefault="000E482F" w:rsidP="004C79C1">
            <w:pPr>
              <w:pStyle w:val="Tabletext1"/>
              <w:shd w:val="clear" w:color="auto" w:fill="FFFFFF" w:themeFill="background1"/>
              <w:spacing w:before="0" w:after="120"/>
            </w:pPr>
            <w:r w:rsidRPr="00D50186">
              <w:rPr>
                <w:color w:val="FFFFFF" w:themeColor="background1"/>
              </w:rPr>
              <w:t>-</w:t>
            </w:r>
          </w:p>
        </w:tc>
      </w:tr>
      <w:tr w:rsidR="000E482F" w:rsidRPr="00D50186" w14:paraId="6351269B" w14:textId="77777777" w:rsidTr="00723891">
        <w:tc>
          <w:tcPr>
            <w:tcW w:w="4248" w:type="dxa"/>
            <w:tcBorders>
              <w:bottom w:val="single" w:sz="4" w:space="0" w:color="auto"/>
            </w:tcBorders>
            <w:vAlign w:val="bottom"/>
          </w:tcPr>
          <w:p w14:paraId="0BF4D84C"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GP referral</w:t>
            </w:r>
          </w:p>
        </w:tc>
        <w:tc>
          <w:tcPr>
            <w:tcW w:w="1276" w:type="dxa"/>
            <w:tcBorders>
              <w:bottom w:val="single" w:sz="4" w:space="0" w:color="auto"/>
            </w:tcBorders>
            <w:vAlign w:val="bottom"/>
          </w:tcPr>
          <w:p w14:paraId="4B1A990D"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$37.36</w:t>
            </w:r>
          </w:p>
        </w:tc>
        <w:tc>
          <w:tcPr>
            <w:tcW w:w="3492" w:type="dxa"/>
            <w:tcBorders>
              <w:bottom w:val="single" w:sz="4" w:space="0" w:color="auto"/>
            </w:tcBorders>
            <w:vAlign w:val="bottom"/>
          </w:tcPr>
          <w:p w14:paraId="566E5F76"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23</w:t>
            </w:r>
          </w:p>
        </w:tc>
      </w:tr>
      <w:tr w:rsidR="000E482F" w:rsidRPr="00D50186" w14:paraId="65E2B5EF" w14:textId="77777777" w:rsidTr="00723891">
        <w:tc>
          <w:tcPr>
            <w:tcW w:w="4248" w:type="dxa"/>
            <w:tcBorders>
              <w:bottom w:val="single" w:sz="4" w:space="0" w:color="auto"/>
            </w:tcBorders>
            <w:vAlign w:val="bottom"/>
          </w:tcPr>
          <w:p w14:paraId="3B42E200"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Patient co-payment</w:t>
            </w:r>
          </w:p>
        </w:tc>
        <w:tc>
          <w:tcPr>
            <w:tcW w:w="1276" w:type="dxa"/>
            <w:tcBorders>
              <w:bottom w:val="single" w:sz="4" w:space="0" w:color="auto"/>
            </w:tcBorders>
            <w:vAlign w:val="bottom"/>
          </w:tcPr>
          <w:p w14:paraId="0FE4DDBD"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$5.69</w:t>
            </w:r>
          </w:p>
        </w:tc>
        <w:tc>
          <w:tcPr>
            <w:tcW w:w="3492" w:type="dxa"/>
            <w:tcBorders>
              <w:bottom w:val="single" w:sz="4" w:space="0" w:color="auto"/>
            </w:tcBorders>
            <w:vAlign w:val="bottom"/>
          </w:tcPr>
          <w:p w14:paraId="5A1B56ED"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23</w:t>
            </w:r>
          </w:p>
        </w:tc>
      </w:tr>
      <w:tr w:rsidR="000E482F" w:rsidRPr="00D50186" w14:paraId="6D171AAD" w14:textId="77777777" w:rsidTr="00723891">
        <w:tc>
          <w:tcPr>
            <w:tcW w:w="4248" w:type="dxa"/>
            <w:tcBorders>
              <w:bottom w:val="single" w:sz="4" w:space="0" w:color="auto"/>
            </w:tcBorders>
            <w:vAlign w:val="bottom"/>
          </w:tcPr>
          <w:p w14:paraId="456A8AFC"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Specialist referral</w:t>
            </w:r>
          </w:p>
        </w:tc>
        <w:tc>
          <w:tcPr>
            <w:tcW w:w="1276" w:type="dxa"/>
            <w:tcBorders>
              <w:bottom w:val="single" w:sz="4" w:space="0" w:color="auto"/>
            </w:tcBorders>
            <w:vAlign w:val="bottom"/>
          </w:tcPr>
          <w:p w14:paraId="2362B460"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$128.74</w:t>
            </w:r>
          </w:p>
        </w:tc>
        <w:tc>
          <w:tcPr>
            <w:tcW w:w="3492" w:type="dxa"/>
            <w:tcBorders>
              <w:bottom w:val="single" w:sz="4" w:space="0" w:color="auto"/>
            </w:tcBorders>
            <w:vAlign w:val="bottom"/>
          </w:tcPr>
          <w:p w14:paraId="1CAE7DA6"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110</w:t>
            </w:r>
          </w:p>
        </w:tc>
      </w:tr>
      <w:tr w:rsidR="000E482F" w:rsidRPr="00D50186" w14:paraId="6FC33C19" w14:textId="77777777" w:rsidTr="00723891">
        <w:tc>
          <w:tcPr>
            <w:tcW w:w="4248" w:type="dxa"/>
            <w:tcBorders>
              <w:bottom w:val="single" w:sz="4" w:space="0" w:color="auto"/>
            </w:tcBorders>
            <w:vAlign w:val="bottom"/>
          </w:tcPr>
          <w:p w14:paraId="2A6742BB"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Patient co-payment</w:t>
            </w:r>
          </w:p>
        </w:tc>
        <w:tc>
          <w:tcPr>
            <w:tcW w:w="1276" w:type="dxa"/>
            <w:tcBorders>
              <w:bottom w:val="single" w:sz="4" w:space="0" w:color="auto"/>
            </w:tcBorders>
            <w:vAlign w:val="bottom"/>
          </w:tcPr>
          <w:p w14:paraId="5677B85B" w14:textId="77777777" w:rsidR="000E482F" w:rsidRPr="00D50186" w:rsidRDefault="000E482F" w:rsidP="004C79C1">
            <w:pPr>
              <w:pStyle w:val="Tabletext1"/>
              <w:shd w:val="clear" w:color="auto" w:fill="FFFFFF" w:themeFill="background1"/>
              <w:tabs>
                <w:tab w:val="decimal" w:pos="459"/>
              </w:tabs>
              <w:spacing w:before="0" w:after="120"/>
              <w:jc w:val="right"/>
              <w:rPr>
                <w:color w:val="000000"/>
              </w:rPr>
            </w:pPr>
            <w:r w:rsidRPr="00D50186">
              <w:rPr>
                <w:color w:val="000000"/>
              </w:rPr>
              <w:t>$53.57</w:t>
            </w:r>
          </w:p>
        </w:tc>
        <w:tc>
          <w:tcPr>
            <w:tcW w:w="3492" w:type="dxa"/>
            <w:tcBorders>
              <w:bottom w:val="single" w:sz="4" w:space="0" w:color="auto"/>
            </w:tcBorders>
            <w:vAlign w:val="bottom"/>
          </w:tcPr>
          <w:p w14:paraId="49E84C48" w14:textId="77777777" w:rsidR="000E482F" w:rsidRPr="00D50186" w:rsidRDefault="000E482F" w:rsidP="004C79C1">
            <w:pPr>
              <w:pStyle w:val="Tabletext1"/>
              <w:shd w:val="clear" w:color="auto" w:fill="FFFFFF" w:themeFill="background1"/>
              <w:spacing w:before="0" w:after="120"/>
              <w:rPr>
                <w:color w:val="000000"/>
              </w:rPr>
            </w:pPr>
            <w:r w:rsidRPr="00D50186">
              <w:rPr>
                <w:color w:val="000000"/>
              </w:rPr>
              <w:t>MBS data for item 110</w:t>
            </w:r>
          </w:p>
        </w:tc>
      </w:tr>
      <w:tr w:rsidR="000E482F" w:rsidRPr="00D50186" w14:paraId="58BC3B79" w14:textId="77777777" w:rsidTr="00723891">
        <w:tc>
          <w:tcPr>
            <w:tcW w:w="4248" w:type="dxa"/>
            <w:tcBorders>
              <w:bottom w:val="double" w:sz="4" w:space="0" w:color="auto"/>
            </w:tcBorders>
          </w:tcPr>
          <w:p w14:paraId="2FE57209" w14:textId="77777777" w:rsidR="000E482F" w:rsidRPr="00D50186" w:rsidRDefault="000E482F" w:rsidP="004C79C1">
            <w:pPr>
              <w:pStyle w:val="Tabletext1"/>
              <w:shd w:val="clear" w:color="auto" w:fill="FFFFFF" w:themeFill="background1"/>
              <w:spacing w:before="0" w:after="120"/>
              <w:rPr>
                <w:b/>
              </w:rPr>
            </w:pPr>
            <w:r w:rsidRPr="00D50186">
              <w:rPr>
                <w:b/>
              </w:rPr>
              <w:t>Weighted cost</w:t>
            </w:r>
          </w:p>
        </w:tc>
        <w:tc>
          <w:tcPr>
            <w:tcW w:w="1276" w:type="dxa"/>
            <w:tcBorders>
              <w:bottom w:val="double" w:sz="4" w:space="0" w:color="auto"/>
            </w:tcBorders>
            <w:vAlign w:val="bottom"/>
          </w:tcPr>
          <w:p w14:paraId="10548CED"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$112.68</w:t>
            </w:r>
          </w:p>
        </w:tc>
        <w:tc>
          <w:tcPr>
            <w:tcW w:w="3492" w:type="dxa"/>
            <w:tcBorders>
              <w:bottom w:val="double" w:sz="4" w:space="0" w:color="auto"/>
            </w:tcBorders>
          </w:tcPr>
          <w:p w14:paraId="16AF28C8" w14:textId="77777777" w:rsidR="000E482F" w:rsidRPr="00881445" w:rsidRDefault="000E482F" w:rsidP="004C79C1">
            <w:pPr>
              <w:pStyle w:val="Tabletext1"/>
              <w:shd w:val="clear" w:color="auto" w:fill="FFFFFF" w:themeFill="background1"/>
              <w:spacing w:before="0" w:after="120"/>
              <w:rPr>
                <w:b/>
              </w:rPr>
            </w:pPr>
            <w:r w:rsidRPr="00881445">
              <w:rPr>
                <w:b/>
              </w:rPr>
              <w:t>Assuming 50:50 referrals</w:t>
            </w:r>
          </w:p>
        </w:tc>
      </w:tr>
      <w:tr w:rsidR="000E482F" w:rsidRPr="00D50186" w14:paraId="19C6FE9F" w14:textId="77777777" w:rsidTr="00723891">
        <w:tc>
          <w:tcPr>
            <w:tcW w:w="4248" w:type="dxa"/>
            <w:tcBorders>
              <w:top w:val="double" w:sz="4" w:space="0" w:color="auto"/>
              <w:right w:val="nil"/>
            </w:tcBorders>
          </w:tcPr>
          <w:p w14:paraId="48428159" w14:textId="77777777" w:rsidR="000E482F" w:rsidRPr="00D50186" w:rsidRDefault="000E482F" w:rsidP="004C79C1">
            <w:pPr>
              <w:pStyle w:val="Tabletext1"/>
              <w:shd w:val="clear" w:color="auto" w:fill="FFFFFF" w:themeFill="background1"/>
              <w:spacing w:before="0" w:after="120"/>
            </w:pPr>
            <w:r w:rsidRPr="00D50186">
              <w:t>Treatment of AEs costs</w:t>
            </w:r>
          </w:p>
        </w:tc>
        <w:tc>
          <w:tcPr>
            <w:tcW w:w="1276" w:type="dxa"/>
            <w:tcBorders>
              <w:top w:val="double" w:sz="4" w:space="0" w:color="auto"/>
              <w:left w:val="nil"/>
              <w:right w:val="nil"/>
            </w:tcBorders>
          </w:tcPr>
          <w:p w14:paraId="3A691EDB"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w:t>
            </w:r>
          </w:p>
        </w:tc>
        <w:tc>
          <w:tcPr>
            <w:tcW w:w="3492" w:type="dxa"/>
            <w:tcBorders>
              <w:top w:val="double" w:sz="4" w:space="0" w:color="auto"/>
              <w:left w:val="nil"/>
            </w:tcBorders>
          </w:tcPr>
          <w:p w14:paraId="6DD18422" w14:textId="77777777" w:rsidR="000E482F" w:rsidRPr="00D50186" w:rsidRDefault="000E482F" w:rsidP="004C79C1">
            <w:pPr>
              <w:pStyle w:val="Tabletext1"/>
              <w:shd w:val="clear" w:color="auto" w:fill="FFFFFF" w:themeFill="background1"/>
              <w:spacing w:before="0" w:after="120"/>
            </w:pPr>
            <w:r w:rsidRPr="00D50186">
              <w:rPr>
                <w:color w:val="FFFFFF" w:themeColor="background1"/>
              </w:rPr>
              <w:t>-</w:t>
            </w:r>
          </w:p>
        </w:tc>
      </w:tr>
      <w:tr w:rsidR="000E482F" w:rsidRPr="00D50186" w14:paraId="1D129D31" w14:textId="77777777" w:rsidTr="00723891">
        <w:tc>
          <w:tcPr>
            <w:tcW w:w="4248" w:type="dxa"/>
          </w:tcPr>
          <w:p w14:paraId="0222CD64" w14:textId="77777777" w:rsidR="000E482F" w:rsidRPr="00D50186" w:rsidRDefault="000E482F" w:rsidP="004C79C1">
            <w:pPr>
              <w:pStyle w:val="Tabletext1"/>
              <w:shd w:val="clear" w:color="auto" w:fill="FFFFFF" w:themeFill="background1"/>
              <w:spacing w:before="0" w:after="120"/>
            </w:pPr>
            <w:r w:rsidRPr="00D50186">
              <w:t>None identified</w:t>
            </w:r>
          </w:p>
        </w:tc>
        <w:tc>
          <w:tcPr>
            <w:tcW w:w="1276" w:type="dxa"/>
          </w:tcPr>
          <w:p w14:paraId="0C2E2E94"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p>
        </w:tc>
        <w:tc>
          <w:tcPr>
            <w:tcW w:w="3492" w:type="dxa"/>
          </w:tcPr>
          <w:p w14:paraId="62BD8E8D" w14:textId="77777777" w:rsidR="000E482F" w:rsidRPr="00D50186" w:rsidRDefault="000E482F" w:rsidP="004C79C1">
            <w:pPr>
              <w:pStyle w:val="Tabletext1"/>
              <w:shd w:val="clear" w:color="auto" w:fill="FFFFFF" w:themeFill="background1"/>
              <w:spacing w:before="0" w:after="120"/>
            </w:pPr>
          </w:p>
        </w:tc>
      </w:tr>
      <w:tr w:rsidR="000E482F" w:rsidRPr="004A52DA" w14:paraId="5E949D69" w14:textId="77777777" w:rsidTr="00723891">
        <w:tc>
          <w:tcPr>
            <w:tcW w:w="4248" w:type="dxa"/>
            <w:tcBorders>
              <w:bottom w:val="double" w:sz="4" w:space="0" w:color="auto"/>
            </w:tcBorders>
          </w:tcPr>
          <w:p w14:paraId="6E253385" w14:textId="75B7FBA3" w:rsidR="000E482F" w:rsidRPr="00737640" w:rsidRDefault="000E482F" w:rsidP="004C79C1">
            <w:pPr>
              <w:pStyle w:val="Tabletext1"/>
              <w:shd w:val="clear" w:color="auto" w:fill="FFFFFF" w:themeFill="background1"/>
              <w:spacing w:before="0" w:after="120"/>
              <w:rPr>
                <w:b/>
              </w:rPr>
            </w:pPr>
            <w:r w:rsidRPr="00737640">
              <w:rPr>
                <w:b/>
              </w:rPr>
              <w:t>Subtotal</w:t>
            </w:r>
          </w:p>
        </w:tc>
        <w:tc>
          <w:tcPr>
            <w:tcW w:w="1276" w:type="dxa"/>
            <w:tcBorders>
              <w:bottom w:val="double" w:sz="4" w:space="0" w:color="auto"/>
            </w:tcBorders>
          </w:tcPr>
          <w:p w14:paraId="2436638A"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$0.00</w:t>
            </w:r>
          </w:p>
        </w:tc>
        <w:tc>
          <w:tcPr>
            <w:tcW w:w="3492" w:type="dxa"/>
            <w:tcBorders>
              <w:bottom w:val="double" w:sz="4" w:space="0" w:color="auto"/>
            </w:tcBorders>
          </w:tcPr>
          <w:p w14:paraId="5595601A" w14:textId="77777777" w:rsidR="000E482F" w:rsidRPr="00737640" w:rsidRDefault="000E482F" w:rsidP="004C79C1">
            <w:pPr>
              <w:pStyle w:val="Tabletext1"/>
              <w:shd w:val="clear" w:color="auto" w:fill="FFFFFF" w:themeFill="background1"/>
              <w:spacing w:before="0" w:after="120"/>
              <w:rPr>
                <w:b/>
              </w:rPr>
            </w:pPr>
          </w:p>
        </w:tc>
      </w:tr>
      <w:tr w:rsidR="000E482F" w:rsidRPr="00D50186" w14:paraId="63ABB012" w14:textId="77777777" w:rsidTr="00723891">
        <w:tc>
          <w:tcPr>
            <w:tcW w:w="4248" w:type="dxa"/>
            <w:tcBorders>
              <w:top w:val="double" w:sz="4" w:space="0" w:color="auto"/>
            </w:tcBorders>
          </w:tcPr>
          <w:p w14:paraId="0667A86E" w14:textId="77777777" w:rsidR="000E482F" w:rsidRPr="00D50186" w:rsidRDefault="000E482F" w:rsidP="004C79C1">
            <w:pPr>
              <w:pStyle w:val="Tabletext1"/>
              <w:shd w:val="clear" w:color="auto" w:fill="FFFFFF" w:themeFill="background1"/>
              <w:spacing w:before="0" w:after="120"/>
              <w:rPr>
                <w:b/>
              </w:rPr>
            </w:pPr>
            <w:r w:rsidRPr="00D50186">
              <w:rPr>
                <w:b/>
              </w:rPr>
              <w:t>TOTAL</w:t>
            </w:r>
          </w:p>
        </w:tc>
        <w:tc>
          <w:tcPr>
            <w:tcW w:w="1276" w:type="dxa"/>
            <w:tcBorders>
              <w:top w:val="double" w:sz="4" w:space="0" w:color="auto"/>
            </w:tcBorders>
          </w:tcPr>
          <w:p w14:paraId="51B52AEC"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$418.36</w:t>
            </w:r>
          </w:p>
        </w:tc>
        <w:tc>
          <w:tcPr>
            <w:tcW w:w="3492" w:type="dxa"/>
            <w:tcBorders>
              <w:top w:val="double" w:sz="4" w:space="0" w:color="auto"/>
            </w:tcBorders>
          </w:tcPr>
          <w:p w14:paraId="2E3C8AF5" w14:textId="77777777" w:rsidR="000E482F" w:rsidRPr="00D50186" w:rsidRDefault="000E482F" w:rsidP="004C79C1">
            <w:pPr>
              <w:pStyle w:val="Tabletext1"/>
              <w:shd w:val="clear" w:color="auto" w:fill="FFFFFF" w:themeFill="background1"/>
              <w:spacing w:before="0" w:after="120"/>
              <w:rPr>
                <w:b/>
              </w:rPr>
            </w:pPr>
          </w:p>
        </w:tc>
      </w:tr>
    </w:tbl>
    <w:p w14:paraId="2F3E54CD" w14:textId="309A8D12" w:rsidR="0018509C" w:rsidRDefault="000E482F" w:rsidP="00CC55F9">
      <w:pPr>
        <w:pStyle w:val="Tablenotes0"/>
        <w:spacing w:before="0" w:after="120"/>
      </w:pPr>
      <w:r w:rsidRPr="00737640">
        <w:t>AE</w:t>
      </w:r>
      <w:r w:rsidR="00FC48DD" w:rsidRPr="00737640">
        <w:t xml:space="preserve"> </w:t>
      </w:r>
      <w:r w:rsidRPr="00737640">
        <w:t>=</w:t>
      </w:r>
      <w:r w:rsidR="00FC48DD" w:rsidRPr="00737640">
        <w:t xml:space="preserve"> </w:t>
      </w:r>
      <w:r w:rsidRPr="00737640">
        <w:t xml:space="preserve">adverse events; </w:t>
      </w:r>
      <w:r w:rsidR="00B57C12" w:rsidRPr="00737640">
        <w:t xml:space="preserve">GHPS = gated heart pool scan; </w:t>
      </w:r>
      <w:r w:rsidRPr="00737640">
        <w:t>GP</w:t>
      </w:r>
      <w:r w:rsidR="00FC48DD" w:rsidRPr="00737640">
        <w:t xml:space="preserve"> </w:t>
      </w:r>
      <w:r w:rsidRPr="00737640">
        <w:t>=</w:t>
      </w:r>
      <w:r w:rsidR="00FC48DD" w:rsidRPr="00737640">
        <w:t xml:space="preserve"> </w:t>
      </w:r>
      <w:r w:rsidRPr="00737640">
        <w:t>general practitioner; MBS</w:t>
      </w:r>
      <w:r w:rsidR="00FC48DD" w:rsidRPr="00737640">
        <w:t xml:space="preserve"> </w:t>
      </w:r>
      <w:r w:rsidRPr="00737640">
        <w:t>=</w:t>
      </w:r>
      <w:r w:rsidR="00FC48DD" w:rsidRPr="00737640">
        <w:t xml:space="preserve"> </w:t>
      </w:r>
      <w:r w:rsidR="00CC55F9">
        <w:t>Medicare Benefits Schedule</w:t>
      </w:r>
    </w:p>
    <w:p w14:paraId="11A82284" w14:textId="048C3715" w:rsidR="000E482F" w:rsidRPr="00966B95" w:rsidRDefault="000E482F" w:rsidP="004C79C1">
      <w:pPr>
        <w:shd w:val="clear" w:color="auto" w:fill="FFFFFF" w:themeFill="background1"/>
        <w:spacing w:after="120" w:line="240" w:lineRule="auto"/>
        <w:jc w:val="both"/>
      </w:pPr>
      <w:r w:rsidRPr="00966B95">
        <w:t>The costs related to</w:t>
      </w:r>
      <w:r w:rsidR="009A222B">
        <w:t xml:space="preserve"> GHPS</w:t>
      </w:r>
      <w:r w:rsidRPr="00966B95">
        <w:t xml:space="preserve"> include the cost of the scan (based on MBS data for item 61313 for the average benefits paid per service) and the average patient co-payment (based on MBS data for item 61313 for the average patient contribution paid per service) for 2014</w:t>
      </w:r>
      <w:r w:rsidR="009A222B">
        <w:t>–</w:t>
      </w:r>
      <w:r w:rsidRPr="00966B95">
        <w:t xml:space="preserve">15. </w:t>
      </w:r>
    </w:p>
    <w:p w14:paraId="7A40E250" w14:textId="16808E9B" w:rsidR="000E482F" w:rsidRPr="00966B95" w:rsidRDefault="000E482F" w:rsidP="004C79C1">
      <w:pPr>
        <w:shd w:val="clear" w:color="auto" w:fill="FFFFFF" w:themeFill="background1"/>
        <w:spacing w:after="120" w:line="240" w:lineRule="auto"/>
        <w:jc w:val="both"/>
      </w:pPr>
      <w:r w:rsidRPr="00966B95">
        <w:t xml:space="preserve">All patients require referral to a </w:t>
      </w:r>
      <w:r w:rsidR="009A222B">
        <w:t>GHPS</w:t>
      </w:r>
      <w:r w:rsidRPr="00966B95">
        <w:t xml:space="preserve"> after an indeterminate </w:t>
      </w:r>
      <w:r w:rsidR="00EB3FA3">
        <w:t>echocardiogram</w:t>
      </w:r>
      <w:r w:rsidRPr="00966B95">
        <w:t>, and so the referral cost has been included, assum</w:t>
      </w:r>
      <w:r w:rsidR="009A222B">
        <w:t>ing</w:t>
      </w:r>
      <w:r w:rsidRPr="00966B95">
        <w:t xml:space="preserve"> that 50% of patients have GP referral and 50% have specialist referral (as per MSAC Assessment 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r w:rsidRPr="00966B95">
        <w:t>). This assumption is tested in sensitivity analyses. The cost of referral and applicable patient co-payment is based on MBS data for 2014</w:t>
      </w:r>
      <w:r w:rsidR="009558E2">
        <w:t>–</w:t>
      </w:r>
      <w:r w:rsidRPr="00966B95">
        <w:t>15 reporting the average benefits paid and the average patient contribution for items 23 and 110.</w:t>
      </w:r>
    </w:p>
    <w:p w14:paraId="26371864" w14:textId="65F47627" w:rsidR="000E482F" w:rsidRPr="00966B95" w:rsidRDefault="000E482F" w:rsidP="004C79C1">
      <w:pPr>
        <w:shd w:val="clear" w:color="auto" w:fill="FFFFFF" w:themeFill="background1"/>
        <w:spacing w:after="120" w:line="240" w:lineRule="auto"/>
        <w:jc w:val="both"/>
      </w:pPr>
      <w:r w:rsidRPr="00966B95">
        <w:t xml:space="preserve">No acute AEs were found to be associated with </w:t>
      </w:r>
      <w:r w:rsidR="00364C89">
        <w:t>GHPS</w:t>
      </w:r>
      <w:r w:rsidRPr="00966B95">
        <w:t xml:space="preserve"> (</w:t>
      </w:r>
      <w:r w:rsidR="008A1F4E">
        <w:t>s</w:t>
      </w:r>
      <w:r w:rsidRPr="00966B95">
        <w:t>ection B.7), and so no costs for the treatment of AEs have been included in the analysis.</w:t>
      </w:r>
    </w:p>
    <w:p w14:paraId="2AAF7B96" w14:textId="488732EA" w:rsidR="000E482F" w:rsidRPr="00966B95" w:rsidRDefault="000E482F" w:rsidP="004C79C1">
      <w:pPr>
        <w:shd w:val="clear" w:color="auto" w:fill="FFFFFF" w:themeFill="background1"/>
        <w:spacing w:after="120" w:line="240" w:lineRule="auto"/>
        <w:jc w:val="both"/>
      </w:pPr>
      <w:r w:rsidRPr="00966B95">
        <w:t xml:space="preserve">The total cost of assessment by </w:t>
      </w:r>
      <w:r w:rsidR="00364C89">
        <w:t>GHPS</w:t>
      </w:r>
      <w:r w:rsidRPr="00966B95">
        <w:t xml:space="preserve"> is </w:t>
      </w:r>
      <w:r w:rsidR="008867DF">
        <w:t xml:space="preserve">therefore </w:t>
      </w:r>
      <w:r w:rsidRPr="00966B95">
        <w:t>$418.36 per patient</w:t>
      </w:r>
      <w:r>
        <w:t xml:space="preserve"> (as per </w:t>
      </w:r>
      <w:r w:rsidR="00881445">
        <w:fldChar w:fldCharType="begin"/>
      </w:r>
      <w:r w:rsidR="00881445">
        <w:instrText xml:space="preserve"> REF _Ref451253185 \h </w:instrText>
      </w:r>
      <w:r w:rsidR="00881445">
        <w:fldChar w:fldCharType="separate"/>
      </w:r>
      <w:r w:rsidR="00931520">
        <w:t xml:space="preserve">Table </w:t>
      </w:r>
      <w:r w:rsidR="00931520">
        <w:rPr>
          <w:noProof/>
        </w:rPr>
        <w:t>35</w:t>
      </w:r>
      <w:r w:rsidR="00881445">
        <w:fldChar w:fldCharType="end"/>
      </w:r>
      <w:r>
        <w:t>)</w:t>
      </w:r>
      <w:r w:rsidRPr="00966B95">
        <w:t>.</w:t>
      </w:r>
    </w:p>
    <w:p w14:paraId="2924F95E" w14:textId="3A8A9319" w:rsidR="000E482F" w:rsidRPr="00966B95" w:rsidRDefault="00737640" w:rsidP="00161B88">
      <w:pPr>
        <w:pStyle w:val="Heading4"/>
      </w:pPr>
      <w:r>
        <w:t>Contrast e</w:t>
      </w:r>
      <w:r w:rsidR="000E482F" w:rsidRPr="00966B95">
        <w:t>cho</w:t>
      </w:r>
      <w:r>
        <w:t>cardiography</w:t>
      </w:r>
    </w:p>
    <w:p w14:paraId="0A7F56C1" w14:textId="290D5FE6" w:rsidR="000E482F" w:rsidRPr="00966B95" w:rsidRDefault="000E482F" w:rsidP="004C79C1">
      <w:pPr>
        <w:shd w:val="clear" w:color="auto" w:fill="FFFFFF" w:themeFill="background1"/>
        <w:spacing w:after="120" w:line="240" w:lineRule="auto"/>
      </w:pPr>
      <w:r w:rsidRPr="00966B95">
        <w:t xml:space="preserve">A summary of the costs </w:t>
      </w:r>
      <w:r>
        <w:t xml:space="preserve">of a </w:t>
      </w:r>
      <w:r w:rsidR="009900F1">
        <w:t>c</w:t>
      </w:r>
      <w:r w:rsidR="00737640">
        <w:t>ontrast e</w:t>
      </w:r>
      <w:r>
        <w:t>cho</w:t>
      </w:r>
      <w:r w:rsidR="00737640">
        <w:t>cardiogram</w:t>
      </w:r>
      <w:r>
        <w:t xml:space="preserve"> </w:t>
      </w:r>
      <w:r w:rsidRPr="00966B95">
        <w:t>used in the cost</w:t>
      </w:r>
      <w:r w:rsidR="00364C89">
        <w:t xml:space="preserve"> </w:t>
      </w:r>
      <w:r w:rsidRPr="00966B95">
        <w:t>analysis are presented in</w:t>
      </w:r>
      <w:r>
        <w:t xml:space="preserve"> </w:t>
      </w:r>
      <w:r w:rsidR="00EB3FA3">
        <w:fldChar w:fldCharType="begin"/>
      </w:r>
      <w:r w:rsidR="00EB3FA3">
        <w:instrText xml:space="preserve"> REF _Ref451253283 \h </w:instrText>
      </w:r>
      <w:r w:rsidR="00EB3FA3">
        <w:fldChar w:fldCharType="separate"/>
      </w:r>
      <w:r w:rsidR="00931520">
        <w:t xml:space="preserve">Table </w:t>
      </w:r>
      <w:r w:rsidR="00931520">
        <w:rPr>
          <w:noProof/>
        </w:rPr>
        <w:t>36</w:t>
      </w:r>
      <w:r w:rsidR="00EB3FA3">
        <w:fldChar w:fldCharType="end"/>
      </w:r>
      <w:r w:rsidRPr="00966B95">
        <w:t>.</w:t>
      </w:r>
    </w:p>
    <w:p w14:paraId="3C8E69F1" w14:textId="0EB05985" w:rsidR="00EB3FA3" w:rsidRDefault="00EB3FA3" w:rsidP="004C79C1">
      <w:pPr>
        <w:pStyle w:val="Caption"/>
        <w:keepNext/>
      </w:pPr>
      <w:bookmarkStart w:id="535" w:name="_Ref451253283"/>
      <w:bookmarkStart w:id="536" w:name="_Toc451435363"/>
      <w:r>
        <w:t xml:space="preserve">Table </w:t>
      </w:r>
      <w:fldSimple w:instr=" SEQ Table \* ARABIC ">
        <w:r w:rsidR="00050936">
          <w:rPr>
            <w:noProof/>
          </w:rPr>
          <w:t>36</w:t>
        </w:r>
      </w:fldSimple>
      <w:bookmarkEnd w:id="535"/>
      <w:r>
        <w:tab/>
      </w:r>
      <w:r w:rsidRPr="00FD5820">
        <w:t xml:space="preserve">Costs associated with </w:t>
      </w:r>
      <w:r w:rsidR="00881445" w:rsidRPr="00966B95">
        <w:t xml:space="preserve">contrast </w:t>
      </w:r>
      <w:r w:rsidR="00881445">
        <w:t>echo</w:t>
      </w:r>
      <w:r w:rsidR="00881445" w:rsidRPr="00094D3C">
        <w:t>cardiography</w:t>
      </w:r>
      <w:r w:rsidR="00881445">
        <w:t xml:space="preserve"> </w:t>
      </w:r>
      <w:r w:rsidRPr="00FD5820">
        <w:t xml:space="preserve">in the population with indeterminate </w:t>
      </w:r>
      <w:r w:rsidR="00A21115">
        <w:t>echocardiography</w:t>
      </w:r>
      <w:bookmarkEnd w:id="536"/>
    </w:p>
    <w:tbl>
      <w:tblPr>
        <w:tblStyle w:val="TableGrid"/>
        <w:tblW w:w="0" w:type="auto"/>
        <w:tblLook w:val="04A0" w:firstRow="1" w:lastRow="0" w:firstColumn="1" w:lastColumn="0" w:noHBand="0" w:noVBand="1"/>
        <w:tblDescription w:val="Costs associated with contrast Echo testing in the population with indeterminate Echo"/>
      </w:tblPr>
      <w:tblGrid>
        <w:gridCol w:w="4248"/>
        <w:gridCol w:w="1276"/>
        <w:gridCol w:w="3492"/>
      </w:tblGrid>
      <w:tr w:rsidR="000E482F" w:rsidRPr="00C90A29" w14:paraId="48869701" w14:textId="77777777" w:rsidTr="00723891">
        <w:trPr>
          <w:tblHeader/>
        </w:trPr>
        <w:tc>
          <w:tcPr>
            <w:tcW w:w="4248" w:type="dxa"/>
            <w:tcBorders>
              <w:bottom w:val="single" w:sz="4" w:space="0" w:color="auto"/>
            </w:tcBorders>
          </w:tcPr>
          <w:p w14:paraId="12EA094C" w14:textId="77777777" w:rsidR="000E482F" w:rsidRPr="00C90A29" w:rsidRDefault="000E482F" w:rsidP="004C79C1">
            <w:pPr>
              <w:pStyle w:val="TableHeading"/>
              <w:shd w:val="clear" w:color="auto" w:fill="FFFFFF" w:themeFill="background1"/>
              <w:spacing w:before="0" w:after="120"/>
            </w:pPr>
            <w:r w:rsidRPr="00C90A29">
              <w:t>Parameter</w:t>
            </w:r>
          </w:p>
        </w:tc>
        <w:tc>
          <w:tcPr>
            <w:tcW w:w="1276" w:type="dxa"/>
            <w:tcBorders>
              <w:bottom w:val="single" w:sz="4" w:space="0" w:color="auto"/>
            </w:tcBorders>
          </w:tcPr>
          <w:p w14:paraId="37735604" w14:textId="77777777" w:rsidR="000E482F" w:rsidRPr="00C90A29" w:rsidRDefault="000E482F" w:rsidP="004C79C1">
            <w:pPr>
              <w:pStyle w:val="TableHeading"/>
              <w:shd w:val="clear" w:color="auto" w:fill="FFFFFF" w:themeFill="background1"/>
              <w:spacing w:before="0" w:after="120"/>
            </w:pPr>
            <w:r w:rsidRPr="00C90A29">
              <w:t>Estimate</w:t>
            </w:r>
          </w:p>
        </w:tc>
        <w:tc>
          <w:tcPr>
            <w:tcW w:w="3492" w:type="dxa"/>
            <w:tcBorders>
              <w:bottom w:val="single" w:sz="4" w:space="0" w:color="auto"/>
            </w:tcBorders>
          </w:tcPr>
          <w:p w14:paraId="5EB7B423" w14:textId="77777777" w:rsidR="000E482F" w:rsidRPr="00C90A29" w:rsidRDefault="000E482F" w:rsidP="004C79C1">
            <w:pPr>
              <w:pStyle w:val="TableHeading"/>
              <w:shd w:val="clear" w:color="auto" w:fill="FFFFFF" w:themeFill="background1"/>
              <w:spacing w:before="0" w:after="120"/>
            </w:pPr>
            <w:r w:rsidRPr="00C90A29">
              <w:t>Source</w:t>
            </w:r>
          </w:p>
        </w:tc>
      </w:tr>
      <w:tr w:rsidR="000E482F" w:rsidRPr="00C90A29" w14:paraId="3ECBD9A0" w14:textId="77777777" w:rsidTr="00723891">
        <w:tc>
          <w:tcPr>
            <w:tcW w:w="4248" w:type="dxa"/>
            <w:tcBorders>
              <w:right w:val="nil"/>
            </w:tcBorders>
          </w:tcPr>
          <w:p w14:paraId="6E5BD79A" w14:textId="77777777" w:rsidR="000E482F" w:rsidRPr="00C90A29" w:rsidRDefault="000E482F" w:rsidP="004C79C1">
            <w:pPr>
              <w:pStyle w:val="Tabletext1"/>
              <w:shd w:val="clear" w:color="auto" w:fill="FFFFFF" w:themeFill="background1"/>
              <w:spacing w:before="0" w:after="120"/>
              <w:rPr>
                <w:b/>
              </w:rPr>
            </w:pPr>
            <w:r w:rsidRPr="00C90A29">
              <w:rPr>
                <w:b/>
              </w:rPr>
              <w:t>Costs related to testing</w:t>
            </w:r>
          </w:p>
        </w:tc>
        <w:tc>
          <w:tcPr>
            <w:tcW w:w="1276" w:type="dxa"/>
            <w:tcBorders>
              <w:left w:val="nil"/>
              <w:right w:val="nil"/>
            </w:tcBorders>
          </w:tcPr>
          <w:p w14:paraId="546B31C5" w14:textId="77777777" w:rsidR="000E482F" w:rsidRPr="00C90A29" w:rsidRDefault="000E482F" w:rsidP="004C79C1">
            <w:pPr>
              <w:pStyle w:val="Tabletext1"/>
              <w:shd w:val="clear" w:color="auto" w:fill="FFFFFF" w:themeFill="background1"/>
              <w:spacing w:before="0" w:after="120"/>
              <w:rPr>
                <w:b/>
              </w:rPr>
            </w:pPr>
            <w:r w:rsidRPr="00C90A29">
              <w:rPr>
                <w:b/>
                <w:color w:val="FFFFFF" w:themeColor="background1"/>
              </w:rPr>
              <w:t>-</w:t>
            </w:r>
          </w:p>
        </w:tc>
        <w:tc>
          <w:tcPr>
            <w:tcW w:w="3492" w:type="dxa"/>
            <w:tcBorders>
              <w:left w:val="nil"/>
            </w:tcBorders>
          </w:tcPr>
          <w:p w14:paraId="2F61321A" w14:textId="77777777" w:rsidR="000E482F" w:rsidRPr="00C90A29" w:rsidRDefault="000E482F" w:rsidP="004C79C1">
            <w:pPr>
              <w:pStyle w:val="Tabletext1"/>
              <w:shd w:val="clear" w:color="auto" w:fill="FFFFFF" w:themeFill="background1"/>
              <w:spacing w:before="0" w:after="120"/>
              <w:rPr>
                <w:b/>
              </w:rPr>
            </w:pPr>
            <w:r w:rsidRPr="00C90A29">
              <w:rPr>
                <w:b/>
                <w:color w:val="FFFFFF" w:themeColor="background1"/>
              </w:rPr>
              <w:t>-</w:t>
            </w:r>
          </w:p>
        </w:tc>
      </w:tr>
      <w:tr w:rsidR="000E482F" w:rsidRPr="00C90A29" w14:paraId="2BFA4E2D" w14:textId="77777777" w:rsidTr="00723891">
        <w:tc>
          <w:tcPr>
            <w:tcW w:w="4248" w:type="dxa"/>
            <w:vAlign w:val="bottom"/>
          </w:tcPr>
          <w:p w14:paraId="2D68A239" w14:textId="77777777" w:rsidR="000E482F" w:rsidRPr="00C90A29" w:rsidRDefault="000E482F" w:rsidP="004C79C1">
            <w:pPr>
              <w:pStyle w:val="TableText0"/>
              <w:spacing w:before="0" w:after="120"/>
            </w:pPr>
            <w:r w:rsidRPr="00C90A29">
              <w:lastRenderedPageBreak/>
              <w:t>Contrast agent</w:t>
            </w:r>
          </w:p>
        </w:tc>
        <w:tc>
          <w:tcPr>
            <w:tcW w:w="1276" w:type="dxa"/>
            <w:vAlign w:val="bottom"/>
          </w:tcPr>
          <w:p w14:paraId="2224290B"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$90.00</w:t>
            </w:r>
          </w:p>
        </w:tc>
        <w:tc>
          <w:tcPr>
            <w:tcW w:w="3492" w:type="dxa"/>
            <w:vAlign w:val="bottom"/>
          </w:tcPr>
          <w:p w14:paraId="604757A5" w14:textId="56BAC0BD" w:rsidR="000E482F" w:rsidRPr="00C90A29" w:rsidRDefault="000E482F" w:rsidP="004C79C1">
            <w:pPr>
              <w:pStyle w:val="TableText0"/>
              <w:spacing w:before="0" w:after="120"/>
            </w:pPr>
            <w:r w:rsidRPr="00C90A29">
              <w:t xml:space="preserve">MSAC Application </w:t>
            </w:r>
            <w:r w:rsidR="009558E2">
              <w:t xml:space="preserve">no. </w:t>
            </w:r>
            <w:r w:rsidRPr="00C90A29">
              <w:t>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p>
        </w:tc>
      </w:tr>
      <w:tr w:rsidR="000E482F" w:rsidRPr="00C90A29" w14:paraId="06A77798" w14:textId="77777777" w:rsidTr="00723891">
        <w:tc>
          <w:tcPr>
            <w:tcW w:w="4248" w:type="dxa"/>
            <w:tcBorders>
              <w:bottom w:val="single" w:sz="4" w:space="0" w:color="auto"/>
            </w:tcBorders>
            <w:vAlign w:val="bottom"/>
          </w:tcPr>
          <w:p w14:paraId="3C95EA24" w14:textId="77777777" w:rsidR="000E482F" w:rsidRPr="00C90A29" w:rsidRDefault="000E482F" w:rsidP="004C79C1">
            <w:pPr>
              <w:pStyle w:val="TableText0"/>
              <w:spacing w:before="0" w:after="120"/>
            </w:pPr>
            <w:r w:rsidRPr="00C90A29">
              <w:t>Consumables</w:t>
            </w:r>
          </w:p>
        </w:tc>
        <w:tc>
          <w:tcPr>
            <w:tcW w:w="1276" w:type="dxa"/>
            <w:tcBorders>
              <w:bottom w:val="single" w:sz="4" w:space="0" w:color="auto"/>
            </w:tcBorders>
            <w:vAlign w:val="bottom"/>
          </w:tcPr>
          <w:p w14:paraId="5E444017"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$5.00</w:t>
            </w:r>
          </w:p>
        </w:tc>
        <w:tc>
          <w:tcPr>
            <w:tcW w:w="3492" w:type="dxa"/>
            <w:tcBorders>
              <w:bottom w:val="single" w:sz="4" w:space="0" w:color="auto"/>
            </w:tcBorders>
            <w:vAlign w:val="bottom"/>
          </w:tcPr>
          <w:p w14:paraId="7B5BAA76" w14:textId="6B6282F3" w:rsidR="000E482F" w:rsidRPr="00C90A29" w:rsidRDefault="000E482F" w:rsidP="004C79C1">
            <w:pPr>
              <w:pStyle w:val="TableText0"/>
              <w:spacing w:before="0" w:after="120"/>
            </w:pPr>
            <w:r w:rsidRPr="00C90A29">
              <w:t xml:space="preserve">MSAC Application </w:t>
            </w:r>
            <w:r w:rsidR="009558E2">
              <w:t xml:space="preserve">no. </w:t>
            </w:r>
            <w:r w:rsidRPr="00C90A29">
              <w:t>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p>
        </w:tc>
      </w:tr>
      <w:tr w:rsidR="000E482F" w:rsidRPr="00C90A29" w14:paraId="1007ADE8" w14:textId="77777777" w:rsidTr="00723891">
        <w:tc>
          <w:tcPr>
            <w:tcW w:w="4248" w:type="dxa"/>
            <w:tcBorders>
              <w:bottom w:val="single" w:sz="4" w:space="0" w:color="auto"/>
            </w:tcBorders>
            <w:vAlign w:val="bottom"/>
          </w:tcPr>
          <w:p w14:paraId="61A3A61C" w14:textId="77777777" w:rsidR="000E482F" w:rsidRPr="00C90A29" w:rsidRDefault="000E482F" w:rsidP="004C79C1">
            <w:pPr>
              <w:pStyle w:val="TableText0"/>
              <w:spacing w:before="0" w:after="120"/>
            </w:pPr>
            <w:r w:rsidRPr="00C90A29">
              <w:t>Additional time</w:t>
            </w:r>
          </w:p>
        </w:tc>
        <w:tc>
          <w:tcPr>
            <w:tcW w:w="1276" w:type="dxa"/>
            <w:tcBorders>
              <w:bottom w:val="single" w:sz="4" w:space="0" w:color="auto"/>
            </w:tcBorders>
            <w:vAlign w:val="bottom"/>
          </w:tcPr>
          <w:p w14:paraId="5E285A3C"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$35.98</w:t>
            </w:r>
          </w:p>
        </w:tc>
        <w:tc>
          <w:tcPr>
            <w:tcW w:w="3492" w:type="dxa"/>
            <w:tcBorders>
              <w:bottom w:val="single" w:sz="4" w:space="0" w:color="auto"/>
            </w:tcBorders>
            <w:vAlign w:val="bottom"/>
          </w:tcPr>
          <w:p w14:paraId="4D1A9660" w14:textId="6D0A5056" w:rsidR="000E482F" w:rsidRPr="00C90A29" w:rsidRDefault="000E482F" w:rsidP="004C79C1">
            <w:pPr>
              <w:pStyle w:val="TableText0"/>
              <w:spacing w:before="0" w:after="120"/>
            </w:pPr>
            <w:r w:rsidRPr="00C90A29">
              <w:t>Assumption</w:t>
            </w:r>
            <w:r w:rsidR="00364C89">
              <w:t xml:space="preserve"> </w:t>
            </w:r>
            <w:r w:rsidR="00364C89" w:rsidRPr="00737640">
              <w:rPr>
                <w:vertAlign w:val="superscript"/>
              </w:rPr>
              <w:t>a</w:t>
            </w:r>
          </w:p>
        </w:tc>
      </w:tr>
      <w:tr w:rsidR="000E482F" w:rsidRPr="00C90A29" w14:paraId="3FB38301" w14:textId="77777777" w:rsidTr="00723891">
        <w:tc>
          <w:tcPr>
            <w:tcW w:w="4248" w:type="dxa"/>
            <w:tcBorders>
              <w:bottom w:val="double" w:sz="4" w:space="0" w:color="auto"/>
            </w:tcBorders>
            <w:vAlign w:val="bottom"/>
          </w:tcPr>
          <w:p w14:paraId="11A74645" w14:textId="3FB8EA27" w:rsidR="000E482F" w:rsidRPr="00C90A29" w:rsidRDefault="000E482F" w:rsidP="004C79C1">
            <w:pPr>
              <w:pStyle w:val="TableHeading"/>
              <w:spacing w:before="0" w:after="120"/>
            </w:pPr>
            <w:r w:rsidRPr="00C90A29">
              <w:t>Subtotal</w:t>
            </w:r>
          </w:p>
        </w:tc>
        <w:tc>
          <w:tcPr>
            <w:tcW w:w="1276" w:type="dxa"/>
            <w:tcBorders>
              <w:bottom w:val="double" w:sz="4" w:space="0" w:color="auto"/>
            </w:tcBorders>
            <w:vAlign w:val="bottom"/>
          </w:tcPr>
          <w:p w14:paraId="593F8641"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$130.98</w:t>
            </w:r>
          </w:p>
        </w:tc>
        <w:tc>
          <w:tcPr>
            <w:tcW w:w="3492" w:type="dxa"/>
            <w:tcBorders>
              <w:bottom w:val="double" w:sz="4" w:space="0" w:color="auto"/>
            </w:tcBorders>
            <w:vAlign w:val="bottom"/>
          </w:tcPr>
          <w:p w14:paraId="750E4680" w14:textId="77777777" w:rsidR="000E482F" w:rsidRPr="00C90A29" w:rsidRDefault="000E482F" w:rsidP="004C79C1">
            <w:pPr>
              <w:pStyle w:val="TableHeading"/>
              <w:spacing w:before="0" w:after="120"/>
            </w:pPr>
            <w:r w:rsidRPr="00C90A29">
              <w:t>Sum of testing costs</w:t>
            </w:r>
          </w:p>
        </w:tc>
      </w:tr>
      <w:tr w:rsidR="000E482F" w:rsidRPr="00C90A29" w14:paraId="55031A16" w14:textId="77777777" w:rsidTr="00723891">
        <w:tc>
          <w:tcPr>
            <w:tcW w:w="4248" w:type="dxa"/>
            <w:tcBorders>
              <w:top w:val="double" w:sz="4" w:space="0" w:color="auto"/>
              <w:right w:val="nil"/>
            </w:tcBorders>
          </w:tcPr>
          <w:p w14:paraId="64B5836B" w14:textId="33FBBE33" w:rsidR="000E482F" w:rsidRPr="00C90A29" w:rsidRDefault="000E482F" w:rsidP="004C79C1">
            <w:pPr>
              <w:pStyle w:val="Tabletext1"/>
              <w:shd w:val="clear" w:color="auto" w:fill="FFFFFF" w:themeFill="background1"/>
              <w:spacing w:before="0" w:after="120"/>
              <w:rPr>
                <w:b/>
              </w:rPr>
            </w:pPr>
            <w:r w:rsidRPr="00C90A29">
              <w:rPr>
                <w:b/>
              </w:rPr>
              <w:t>Additional costs (inc</w:t>
            </w:r>
            <w:r w:rsidR="00691B41">
              <w:rPr>
                <w:b/>
              </w:rPr>
              <w:t>luding</w:t>
            </w:r>
            <w:r w:rsidRPr="00C90A29">
              <w:rPr>
                <w:b/>
              </w:rPr>
              <w:t xml:space="preserve"> patient co-payment)</w:t>
            </w:r>
          </w:p>
        </w:tc>
        <w:tc>
          <w:tcPr>
            <w:tcW w:w="1276" w:type="dxa"/>
            <w:tcBorders>
              <w:top w:val="double" w:sz="4" w:space="0" w:color="auto"/>
              <w:left w:val="nil"/>
              <w:right w:val="nil"/>
            </w:tcBorders>
          </w:tcPr>
          <w:p w14:paraId="227F99B5"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w:t>
            </w:r>
          </w:p>
        </w:tc>
        <w:tc>
          <w:tcPr>
            <w:tcW w:w="3492" w:type="dxa"/>
            <w:tcBorders>
              <w:top w:val="double" w:sz="4" w:space="0" w:color="auto"/>
              <w:left w:val="nil"/>
            </w:tcBorders>
          </w:tcPr>
          <w:p w14:paraId="14387592" w14:textId="77777777" w:rsidR="000E482F" w:rsidRPr="00C90A29" w:rsidRDefault="000E482F" w:rsidP="004C79C1">
            <w:pPr>
              <w:pStyle w:val="Tabletext1"/>
              <w:shd w:val="clear" w:color="auto" w:fill="FFFFFF" w:themeFill="background1"/>
              <w:spacing w:before="0" w:after="120"/>
              <w:rPr>
                <w:b/>
              </w:rPr>
            </w:pPr>
            <w:r w:rsidRPr="00C90A29">
              <w:rPr>
                <w:b/>
                <w:color w:val="FFFFFF" w:themeColor="background1"/>
              </w:rPr>
              <w:t>-</w:t>
            </w:r>
          </w:p>
        </w:tc>
      </w:tr>
      <w:tr w:rsidR="000E482F" w:rsidRPr="00C90A29" w14:paraId="2C5A0CB7" w14:textId="77777777" w:rsidTr="00723891">
        <w:tc>
          <w:tcPr>
            <w:tcW w:w="4248" w:type="dxa"/>
            <w:tcBorders>
              <w:bottom w:val="single" w:sz="4" w:space="0" w:color="auto"/>
            </w:tcBorders>
            <w:vAlign w:val="bottom"/>
          </w:tcPr>
          <w:p w14:paraId="730C92BC" w14:textId="734BBCA7" w:rsidR="000E482F" w:rsidRPr="00C90A29" w:rsidRDefault="000E482F" w:rsidP="004C79C1">
            <w:pPr>
              <w:pStyle w:val="TableText0"/>
              <w:spacing w:before="0" w:after="120"/>
            </w:pPr>
            <w:r w:rsidRPr="00C90A29">
              <w:t xml:space="preserve">Proportion </w:t>
            </w:r>
            <w:r w:rsidR="00DC3107">
              <w:t xml:space="preserve">of </w:t>
            </w:r>
            <w:r w:rsidRPr="00C90A29">
              <w:t>tests unresolved by contrast</w:t>
            </w:r>
          </w:p>
        </w:tc>
        <w:tc>
          <w:tcPr>
            <w:tcW w:w="1276" w:type="dxa"/>
            <w:tcBorders>
              <w:bottom w:val="single" w:sz="4" w:space="0" w:color="auto"/>
            </w:tcBorders>
            <w:vAlign w:val="bottom"/>
          </w:tcPr>
          <w:p w14:paraId="446620D8"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3.6%</w:t>
            </w:r>
          </w:p>
        </w:tc>
        <w:tc>
          <w:tcPr>
            <w:tcW w:w="3492" w:type="dxa"/>
            <w:tcBorders>
              <w:bottom w:val="single" w:sz="4" w:space="0" w:color="auto"/>
            </w:tcBorders>
            <w:vAlign w:val="bottom"/>
          </w:tcPr>
          <w:p w14:paraId="1D06E3B3" w14:textId="7324ED76" w:rsidR="000E482F" w:rsidRPr="00C90A29" w:rsidRDefault="000E482F" w:rsidP="004C79C1">
            <w:pPr>
              <w:pStyle w:val="TableText0"/>
              <w:spacing w:before="0" w:after="120"/>
            </w:pPr>
            <w:r w:rsidRPr="00C90A29">
              <w:t>Thanigaraj et al</w:t>
            </w:r>
            <w:r w:rsidR="00237E99">
              <w:t>.</w:t>
            </w:r>
            <w:r w:rsidRPr="00C90A29">
              <w:t xml:space="preserve"> </w:t>
            </w:r>
            <w:r>
              <w:fldChar w:fldCharType="begin"/>
            </w:r>
            <w:r>
              <w:instrText xml:space="preserve"> ADDIN EN.CITE &lt;EndNote&gt;&lt;Cite ExcludeAuth="1"&gt;&lt;Author&gt;Thanigaraj&lt;/Author&gt;&lt;Year&gt;2001&lt;/Year&gt;&lt;RecNum&gt;83&lt;/RecNum&gt;&lt;DisplayText&gt;(2001)&lt;/DisplayText&gt;&lt;record&gt;&lt;rec-number&gt;83&lt;/rec-number&gt;&lt;foreign-keys&gt;&lt;key app="EN" db-id="pfxxvref0t0a5de2vwnv2fwkz0p9v0r2fw0t" timestamp="1458113555"&gt;83&lt;/key&gt;&lt;/foreign-keys&gt;&lt;ref-type name="Journal Article"&gt;17&lt;/ref-type&gt;&lt;contributors&gt;&lt;authors&gt;&lt;author&gt;Thanigaraj, S.&lt;/author&gt;&lt;author&gt;Nease, R. F., Jr.&lt;/author&gt;&lt;author&gt;Schechtman, K. B.&lt;/author&gt;&lt;author&gt;Wade, R. L.&lt;/author&gt;&lt;author&gt;Loslo, S.&lt;/author&gt;&lt;author&gt;Perez, J. E.&lt;/author&gt;&lt;/authors&gt;&lt;/contributors&gt;&lt;auth-address&gt;Cardiovascular Division, Washington University School of Medicine, St. Louis, Missouri 63110, USA.&lt;/auth-address&gt;&lt;titles&gt;&lt;title&gt;Use of contrast for image enhancement during stress echocardiography is cost-effective and reduces additional diagnostic testing&lt;/title&gt;&lt;secondary-title&gt;Am J Cardiol&lt;/secondary-title&gt;&lt;/titles&gt;&lt;periodical&gt;&lt;full-title&gt;Am J Cardiol&lt;/full-title&gt;&lt;/periodical&gt;&lt;pages&gt;1430-2&lt;/pages&gt;&lt;volume&gt;87&lt;/volume&gt;&lt;number&gt;12&lt;/number&gt;&lt;keywords&gt;&lt;keyword&gt;Aged&lt;/keyword&gt;&lt;keyword&gt;Albumins/*economics&lt;/keyword&gt;&lt;keyword&gt;Contrast Media/*economics&lt;/keyword&gt;&lt;keyword&gt;Coronary Disease/diagnosis/*economics&lt;/keyword&gt;&lt;keyword&gt;Cost-Benefit Analysis&lt;/keyword&gt;&lt;keyword&gt;Dobutamine&lt;/keyword&gt;&lt;keyword&gt;Echocardiography/*economics&lt;/keyword&gt;&lt;keyword&gt;Exercise Test/*economics&lt;/keyword&gt;&lt;keyword&gt;Female&lt;/keyword&gt;&lt;keyword&gt;Fluorocarbons/*economics&lt;/keyword&gt;&lt;keyword&gt;Humans&lt;/keyword&gt;&lt;keyword&gt;Male&lt;/keyword&gt;&lt;keyword&gt;Middle Aged&lt;/keyword&gt;&lt;keyword&gt;Myocardial Infarction/diagnosis/*economics&lt;/keyword&gt;&lt;keyword&gt;Predictive Value of Tests&lt;/keyword&gt;&lt;keyword&gt;Tomography, Emission-Computed, Single-Photon/economics&lt;/keyword&gt;&lt;/keywords&gt;&lt;dates&gt;&lt;year&gt;2001&lt;/year&gt;&lt;pub-dates&gt;&lt;date&gt;Jun 15&lt;/date&gt;&lt;/pub-dates&gt;&lt;/dates&gt;&lt;isbn&gt;0002-9149 (Print)&amp;#xD;0002-9149 (Linking)&lt;/isbn&gt;&lt;accession-num&gt;11397374&lt;/accession-num&gt;&lt;urls&gt;&lt;related-urls&gt;&lt;url&gt;http://www.ncbi.nlm.nih.gov/pubmed/11397374&lt;/url&gt;&lt;/related-urls&gt;&lt;/urls&gt;&lt;/record&gt;&lt;/Cite&gt;&lt;/EndNote&gt;</w:instrText>
            </w:r>
            <w:r>
              <w:fldChar w:fldCharType="separate"/>
            </w:r>
            <w:r>
              <w:rPr>
                <w:noProof/>
              </w:rPr>
              <w:t>(</w:t>
            </w:r>
            <w:hyperlink w:anchor="_ENREF_138" w:tooltip="Thanigaraj, 2001 #83" w:history="1">
              <w:r>
                <w:rPr>
                  <w:noProof/>
                </w:rPr>
                <w:t>2001</w:t>
              </w:r>
            </w:hyperlink>
            <w:r>
              <w:rPr>
                <w:noProof/>
              </w:rPr>
              <w:t>)</w:t>
            </w:r>
            <w:r>
              <w:fldChar w:fldCharType="end"/>
            </w:r>
          </w:p>
        </w:tc>
      </w:tr>
      <w:tr w:rsidR="000E482F" w:rsidRPr="00C90A29" w14:paraId="54F5F3EB" w14:textId="77777777" w:rsidTr="00723891">
        <w:tc>
          <w:tcPr>
            <w:tcW w:w="4248" w:type="dxa"/>
            <w:tcBorders>
              <w:bottom w:val="single" w:sz="4" w:space="0" w:color="auto"/>
            </w:tcBorders>
            <w:vAlign w:val="bottom"/>
          </w:tcPr>
          <w:p w14:paraId="15A69549" w14:textId="5BBC70CF" w:rsidR="000E482F" w:rsidRPr="00C90A29" w:rsidRDefault="000E482F" w:rsidP="004C79C1">
            <w:pPr>
              <w:pStyle w:val="TableText0"/>
              <w:spacing w:before="0" w:after="120"/>
            </w:pPr>
            <w:r w:rsidRPr="00C90A29">
              <w:t>Follow-up GH</w:t>
            </w:r>
            <w:r w:rsidR="00DC3107">
              <w:t>P</w:t>
            </w:r>
            <w:r w:rsidRPr="00C90A29">
              <w:t>S</w:t>
            </w:r>
          </w:p>
        </w:tc>
        <w:tc>
          <w:tcPr>
            <w:tcW w:w="1276" w:type="dxa"/>
            <w:tcBorders>
              <w:bottom w:val="single" w:sz="4" w:space="0" w:color="auto"/>
            </w:tcBorders>
            <w:vAlign w:val="bottom"/>
          </w:tcPr>
          <w:p w14:paraId="32B9CBF7"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$418.36</w:t>
            </w:r>
          </w:p>
        </w:tc>
        <w:tc>
          <w:tcPr>
            <w:tcW w:w="3492" w:type="dxa"/>
            <w:tcBorders>
              <w:bottom w:val="single" w:sz="4" w:space="0" w:color="auto"/>
            </w:tcBorders>
            <w:vAlign w:val="bottom"/>
          </w:tcPr>
          <w:p w14:paraId="1CD29049" w14:textId="023B0889" w:rsidR="000E482F" w:rsidRPr="00C90A29" w:rsidRDefault="000E482F" w:rsidP="004C79C1">
            <w:pPr>
              <w:pStyle w:val="TableText0"/>
              <w:spacing w:before="0" w:after="120"/>
            </w:pPr>
            <w:r w:rsidRPr="00C90A29">
              <w:t xml:space="preserve">See </w:t>
            </w:r>
            <w:r w:rsidR="00931520">
              <w:fldChar w:fldCharType="begin"/>
            </w:r>
            <w:r w:rsidR="00931520">
              <w:instrText xml:space="preserve"> REF _Ref451253185 \h </w:instrText>
            </w:r>
            <w:r w:rsidR="00931520">
              <w:fldChar w:fldCharType="separate"/>
            </w:r>
            <w:r w:rsidR="00931520">
              <w:t xml:space="preserve">Table </w:t>
            </w:r>
            <w:r w:rsidR="00931520">
              <w:rPr>
                <w:noProof/>
              </w:rPr>
              <w:t>35</w:t>
            </w:r>
            <w:r w:rsidR="00931520">
              <w:fldChar w:fldCharType="end"/>
            </w:r>
          </w:p>
        </w:tc>
      </w:tr>
      <w:tr w:rsidR="000E482F" w:rsidRPr="00C90A29" w14:paraId="530B4383" w14:textId="77777777" w:rsidTr="00723891">
        <w:tc>
          <w:tcPr>
            <w:tcW w:w="4248" w:type="dxa"/>
            <w:tcBorders>
              <w:bottom w:val="double" w:sz="4" w:space="0" w:color="auto"/>
            </w:tcBorders>
          </w:tcPr>
          <w:p w14:paraId="7A9B6F6F" w14:textId="27429E22" w:rsidR="000E482F" w:rsidRPr="00C90A29" w:rsidRDefault="000E482F" w:rsidP="004C79C1">
            <w:pPr>
              <w:pStyle w:val="Tabletext1"/>
              <w:shd w:val="clear" w:color="auto" w:fill="FFFFFF" w:themeFill="background1"/>
              <w:spacing w:before="0" w:after="120"/>
              <w:rPr>
                <w:b/>
              </w:rPr>
            </w:pPr>
            <w:r w:rsidRPr="00C90A29">
              <w:rPr>
                <w:b/>
              </w:rPr>
              <w:t>Subtotal</w:t>
            </w:r>
          </w:p>
        </w:tc>
        <w:tc>
          <w:tcPr>
            <w:tcW w:w="1276" w:type="dxa"/>
            <w:tcBorders>
              <w:bottom w:val="double" w:sz="4" w:space="0" w:color="auto"/>
            </w:tcBorders>
          </w:tcPr>
          <w:p w14:paraId="380EF933"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$15.10</w:t>
            </w:r>
          </w:p>
        </w:tc>
        <w:tc>
          <w:tcPr>
            <w:tcW w:w="3492" w:type="dxa"/>
            <w:tcBorders>
              <w:bottom w:val="double" w:sz="4" w:space="0" w:color="auto"/>
            </w:tcBorders>
          </w:tcPr>
          <w:p w14:paraId="317AE761" w14:textId="77777777" w:rsidR="000E482F" w:rsidRPr="00C90A29" w:rsidRDefault="000E482F" w:rsidP="004C79C1">
            <w:pPr>
              <w:pStyle w:val="Tabletext1"/>
              <w:shd w:val="clear" w:color="auto" w:fill="FFFFFF" w:themeFill="background1"/>
              <w:spacing w:before="0" w:after="120"/>
              <w:rPr>
                <w:b/>
              </w:rPr>
            </w:pPr>
            <w:r w:rsidRPr="00C90A29">
              <w:rPr>
                <w:b/>
              </w:rPr>
              <w:t>Further testing costs per cEcho</w:t>
            </w:r>
          </w:p>
        </w:tc>
      </w:tr>
      <w:tr w:rsidR="000E482F" w:rsidRPr="00C90A29" w14:paraId="7EE279FE" w14:textId="77777777" w:rsidTr="00723891">
        <w:tc>
          <w:tcPr>
            <w:tcW w:w="4248" w:type="dxa"/>
            <w:tcBorders>
              <w:top w:val="double" w:sz="4" w:space="0" w:color="auto"/>
              <w:right w:val="nil"/>
            </w:tcBorders>
          </w:tcPr>
          <w:p w14:paraId="7229D92B" w14:textId="77777777" w:rsidR="000E482F" w:rsidRPr="00C90A29" w:rsidRDefault="000E482F" w:rsidP="004C79C1">
            <w:pPr>
              <w:pStyle w:val="Tabletext1"/>
              <w:shd w:val="clear" w:color="auto" w:fill="FFFFFF" w:themeFill="background1"/>
              <w:spacing w:before="0" w:after="120"/>
              <w:rPr>
                <w:b/>
              </w:rPr>
            </w:pPr>
            <w:r w:rsidRPr="00C90A29">
              <w:rPr>
                <w:b/>
              </w:rPr>
              <w:t>Treatment of AEs costs</w:t>
            </w:r>
          </w:p>
        </w:tc>
        <w:tc>
          <w:tcPr>
            <w:tcW w:w="1276" w:type="dxa"/>
            <w:tcBorders>
              <w:top w:val="double" w:sz="4" w:space="0" w:color="auto"/>
              <w:left w:val="nil"/>
              <w:right w:val="nil"/>
            </w:tcBorders>
          </w:tcPr>
          <w:p w14:paraId="4A7D4BFE"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w:t>
            </w:r>
          </w:p>
        </w:tc>
        <w:tc>
          <w:tcPr>
            <w:tcW w:w="3492" w:type="dxa"/>
            <w:tcBorders>
              <w:top w:val="double" w:sz="4" w:space="0" w:color="auto"/>
              <w:left w:val="nil"/>
            </w:tcBorders>
          </w:tcPr>
          <w:p w14:paraId="43D93567" w14:textId="77777777" w:rsidR="000E482F" w:rsidRPr="00C90A29" w:rsidRDefault="000E482F" w:rsidP="004C79C1">
            <w:pPr>
              <w:pStyle w:val="Tabletext1"/>
              <w:shd w:val="clear" w:color="auto" w:fill="FFFFFF" w:themeFill="background1"/>
              <w:spacing w:before="0" w:after="120"/>
              <w:rPr>
                <w:b/>
              </w:rPr>
            </w:pPr>
            <w:r w:rsidRPr="00C90A29">
              <w:rPr>
                <w:b/>
                <w:color w:val="FFFFFF" w:themeColor="background1"/>
              </w:rPr>
              <w:t>-</w:t>
            </w:r>
          </w:p>
        </w:tc>
      </w:tr>
      <w:tr w:rsidR="000E482F" w:rsidRPr="00C90A29" w14:paraId="46179766" w14:textId="77777777" w:rsidTr="00723891">
        <w:tc>
          <w:tcPr>
            <w:tcW w:w="4248" w:type="dxa"/>
          </w:tcPr>
          <w:p w14:paraId="516F13B6" w14:textId="549AAC28" w:rsidR="000E482F" w:rsidRPr="00C90A29" w:rsidRDefault="000E482F" w:rsidP="004C79C1">
            <w:pPr>
              <w:pStyle w:val="Tabletext1"/>
              <w:shd w:val="clear" w:color="auto" w:fill="FFFFFF" w:themeFill="background1"/>
              <w:spacing w:before="0" w:after="120"/>
            </w:pPr>
            <w:r w:rsidRPr="00C90A29">
              <w:t>Probability of reaction to contrast</w:t>
            </w:r>
            <w:r w:rsidR="000D1EDA">
              <w:t xml:space="preserve"> agent</w:t>
            </w:r>
          </w:p>
        </w:tc>
        <w:tc>
          <w:tcPr>
            <w:tcW w:w="1276" w:type="dxa"/>
          </w:tcPr>
          <w:p w14:paraId="2D54127F"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0.03%</w:t>
            </w:r>
          </w:p>
        </w:tc>
        <w:tc>
          <w:tcPr>
            <w:tcW w:w="3492" w:type="dxa"/>
          </w:tcPr>
          <w:p w14:paraId="0D5662C3" w14:textId="77777777" w:rsidR="000E482F" w:rsidRPr="00C90A29" w:rsidRDefault="000E482F" w:rsidP="004C79C1">
            <w:pPr>
              <w:pStyle w:val="Tabletext1"/>
              <w:shd w:val="clear" w:color="auto" w:fill="FFFFFF" w:themeFill="background1"/>
              <w:spacing w:before="0" w:after="120"/>
            </w:pPr>
            <w:r w:rsidRPr="00C90A29">
              <w:t>Section B.7</w:t>
            </w:r>
          </w:p>
        </w:tc>
      </w:tr>
      <w:tr w:rsidR="000E482F" w:rsidRPr="00C90A29" w14:paraId="42735DF5" w14:textId="77777777" w:rsidTr="00723891">
        <w:tc>
          <w:tcPr>
            <w:tcW w:w="4248" w:type="dxa"/>
          </w:tcPr>
          <w:p w14:paraId="1218059D" w14:textId="77777777" w:rsidR="000E482F" w:rsidRPr="00C90A29" w:rsidRDefault="000E482F" w:rsidP="004C79C1">
            <w:pPr>
              <w:pStyle w:val="Tabletext1"/>
              <w:shd w:val="clear" w:color="auto" w:fill="FFFFFF" w:themeFill="background1"/>
              <w:spacing w:before="0" w:after="120"/>
            </w:pPr>
            <w:r w:rsidRPr="00C90A29">
              <w:t>Cost of treating AE</w:t>
            </w:r>
          </w:p>
        </w:tc>
        <w:tc>
          <w:tcPr>
            <w:tcW w:w="1276" w:type="dxa"/>
          </w:tcPr>
          <w:p w14:paraId="3E9C1E8B" w14:textId="77777777" w:rsidR="000E482F" w:rsidRPr="00881445" w:rsidRDefault="000E482F" w:rsidP="004C79C1">
            <w:pPr>
              <w:pStyle w:val="Tabletext1"/>
              <w:shd w:val="clear" w:color="auto" w:fill="FFFFFF" w:themeFill="background1"/>
              <w:tabs>
                <w:tab w:val="decimal" w:pos="459"/>
              </w:tabs>
              <w:spacing w:before="0" w:after="120"/>
              <w:jc w:val="right"/>
              <w:rPr>
                <w:color w:val="000000"/>
              </w:rPr>
            </w:pPr>
            <w:r w:rsidRPr="00881445">
              <w:rPr>
                <w:color w:val="000000"/>
              </w:rPr>
              <w:t>$1,084.03</w:t>
            </w:r>
          </w:p>
        </w:tc>
        <w:tc>
          <w:tcPr>
            <w:tcW w:w="3492" w:type="dxa"/>
          </w:tcPr>
          <w:p w14:paraId="064C916B" w14:textId="41B95172" w:rsidR="000E482F" w:rsidRPr="00C90A29" w:rsidRDefault="000E482F" w:rsidP="004C79C1">
            <w:pPr>
              <w:pStyle w:val="Tabletext1"/>
              <w:shd w:val="clear" w:color="auto" w:fill="FFFFFF" w:themeFill="background1"/>
              <w:spacing w:before="0" w:after="120"/>
            </w:pPr>
            <w:r w:rsidRPr="00C90A29">
              <w:t>NEP for X61Z</w:t>
            </w:r>
            <w:r w:rsidR="000D1EDA">
              <w:t xml:space="preserve"> </w:t>
            </w:r>
            <w:r w:rsidR="000D1EDA" w:rsidRPr="00737640">
              <w:rPr>
                <w:vertAlign w:val="superscript"/>
              </w:rPr>
              <w:t>b</w:t>
            </w:r>
          </w:p>
        </w:tc>
      </w:tr>
      <w:tr w:rsidR="000E482F" w:rsidRPr="00C90A29" w14:paraId="10103F46" w14:textId="77777777" w:rsidTr="00723891">
        <w:tc>
          <w:tcPr>
            <w:tcW w:w="4248" w:type="dxa"/>
            <w:tcBorders>
              <w:bottom w:val="double" w:sz="4" w:space="0" w:color="auto"/>
            </w:tcBorders>
          </w:tcPr>
          <w:p w14:paraId="5EE860A9" w14:textId="7D766D1C" w:rsidR="000E482F" w:rsidRPr="00C90A29" w:rsidRDefault="000E482F" w:rsidP="004C79C1">
            <w:pPr>
              <w:pStyle w:val="Tabletext1"/>
              <w:shd w:val="clear" w:color="auto" w:fill="FFFFFF" w:themeFill="background1"/>
              <w:spacing w:before="0" w:after="120"/>
              <w:rPr>
                <w:b/>
              </w:rPr>
            </w:pPr>
            <w:r w:rsidRPr="00C90A29">
              <w:rPr>
                <w:b/>
              </w:rPr>
              <w:t>Subtotal</w:t>
            </w:r>
          </w:p>
        </w:tc>
        <w:tc>
          <w:tcPr>
            <w:tcW w:w="1276" w:type="dxa"/>
            <w:tcBorders>
              <w:bottom w:val="double" w:sz="4" w:space="0" w:color="auto"/>
            </w:tcBorders>
          </w:tcPr>
          <w:p w14:paraId="13D11960"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$0.33</w:t>
            </w:r>
          </w:p>
        </w:tc>
        <w:tc>
          <w:tcPr>
            <w:tcW w:w="3492" w:type="dxa"/>
            <w:tcBorders>
              <w:bottom w:val="double" w:sz="4" w:space="0" w:color="auto"/>
            </w:tcBorders>
          </w:tcPr>
          <w:p w14:paraId="57C73384" w14:textId="7CB92DBF" w:rsidR="000E482F" w:rsidRPr="00C90A29" w:rsidRDefault="000E482F" w:rsidP="004C79C1">
            <w:pPr>
              <w:pStyle w:val="Tabletext1"/>
              <w:shd w:val="clear" w:color="auto" w:fill="FFFFFF" w:themeFill="background1"/>
              <w:spacing w:before="0" w:after="120"/>
              <w:rPr>
                <w:b/>
              </w:rPr>
            </w:pPr>
            <w:r w:rsidRPr="00C90A29">
              <w:rPr>
                <w:b/>
              </w:rPr>
              <w:t>Cost of AE per cE</w:t>
            </w:r>
            <w:r w:rsidR="00CA3172" w:rsidRPr="00C90A29">
              <w:rPr>
                <w:b/>
              </w:rPr>
              <w:t>cho</w:t>
            </w:r>
          </w:p>
        </w:tc>
      </w:tr>
      <w:tr w:rsidR="000E482F" w:rsidRPr="00C90A29" w14:paraId="094BAC22" w14:textId="77777777" w:rsidTr="00723891">
        <w:tc>
          <w:tcPr>
            <w:tcW w:w="4248" w:type="dxa"/>
            <w:tcBorders>
              <w:top w:val="double" w:sz="4" w:space="0" w:color="auto"/>
            </w:tcBorders>
          </w:tcPr>
          <w:p w14:paraId="5A581E9E" w14:textId="77777777" w:rsidR="000E482F" w:rsidRPr="00C90A29" w:rsidRDefault="000E482F" w:rsidP="004C79C1">
            <w:pPr>
              <w:pStyle w:val="Tabletext1"/>
              <w:shd w:val="clear" w:color="auto" w:fill="FFFFFF" w:themeFill="background1"/>
              <w:spacing w:before="0" w:after="120"/>
              <w:rPr>
                <w:b/>
              </w:rPr>
            </w:pPr>
            <w:r w:rsidRPr="00C90A29">
              <w:rPr>
                <w:b/>
              </w:rPr>
              <w:t>Total</w:t>
            </w:r>
          </w:p>
        </w:tc>
        <w:tc>
          <w:tcPr>
            <w:tcW w:w="1276" w:type="dxa"/>
            <w:tcBorders>
              <w:top w:val="double" w:sz="4" w:space="0" w:color="auto"/>
            </w:tcBorders>
          </w:tcPr>
          <w:p w14:paraId="019B8A77" w14:textId="77777777" w:rsidR="000E482F" w:rsidRPr="00881445" w:rsidRDefault="000E482F" w:rsidP="004C79C1">
            <w:pPr>
              <w:pStyle w:val="Tabletext1"/>
              <w:shd w:val="clear" w:color="auto" w:fill="FFFFFF" w:themeFill="background1"/>
              <w:tabs>
                <w:tab w:val="decimal" w:pos="459"/>
              </w:tabs>
              <w:spacing w:before="0" w:after="120"/>
              <w:jc w:val="right"/>
              <w:rPr>
                <w:b/>
                <w:color w:val="000000"/>
              </w:rPr>
            </w:pPr>
            <w:r w:rsidRPr="00881445">
              <w:rPr>
                <w:b/>
                <w:color w:val="000000"/>
              </w:rPr>
              <w:t>$146.41</w:t>
            </w:r>
          </w:p>
        </w:tc>
        <w:tc>
          <w:tcPr>
            <w:tcW w:w="3492" w:type="dxa"/>
            <w:tcBorders>
              <w:top w:val="double" w:sz="4" w:space="0" w:color="auto"/>
            </w:tcBorders>
          </w:tcPr>
          <w:p w14:paraId="471B9C65" w14:textId="77777777" w:rsidR="000E482F" w:rsidRPr="00C90A29" w:rsidRDefault="000E482F" w:rsidP="004C79C1">
            <w:pPr>
              <w:pStyle w:val="Tabletext1"/>
              <w:shd w:val="clear" w:color="auto" w:fill="FFFFFF" w:themeFill="background1"/>
              <w:spacing w:before="0" w:after="120"/>
              <w:rPr>
                <w:b/>
              </w:rPr>
            </w:pPr>
          </w:p>
        </w:tc>
      </w:tr>
    </w:tbl>
    <w:p w14:paraId="37174056" w14:textId="23CE3651" w:rsidR="000E482F" w:rsidRPr="00966B95" w:rsidRDefault="000D1EDA" w:rsidP="004C79C1">
      <w:pPr>
        <w:pStyle w:val="Tablenotes0"/>
        <w:shd w:val="clear" w:color="auto" w:fill="FFFFFF" w:themeFill="background1"/>
        <w:spacing w:before="0" w:after="120"/>
      </w:pPr>
      <w:proofErr w:type="gramStart"/>
      <w:r w:rsidRPr="00737640">
        <w:rPr>
          <w:vertAlign w:val="superscript"/>
        </w:rPr>
        <w:t>a</w:t>
      </w:r>
      <w:proofErr w:type="gramEnd"/>
      <w:r w:rsidR="000E482F" w:rsidRPr="00966B95">
        <w:t xml:space="preserve"> Assumed applying 15% extra time for a </w:t>
      </w:r>
      <w:r w:rsidR="00881445" w:rsidRPr="00966B95">
        <w:t xml:space="preserve">contrast </w:t>
      </w:r>
      <w:r w:rsidR="00881445">
        <w:t>echo</w:t>
      </w:r>
      <w:r w:rsidR="00881445" w:rsidRPr="00094D3C">
        <w:t>cardiography</w:t>
      </w:r>
      <w:r w:rsidR="00881445" w:rsidRPr="00966B95">
        <w:t xml:space="preserve"> </w:t>
      </w:r>
      <w:r w:rsidR="000E482F" w:rsidRPr="00966B95">
        <w:t xml:space="preserve">(as per MSAC </w:t>
      </w:r>
      <w:r w:rsidR="00146FC1">
        <w:t xml:space="preserve">no. </w:t>
      </w:r>
      <w:r w:rsidR="000E482F" w:rsidRPr="00966B95">
        <w:t>1129) to the average fee charged per 55113 service ($239.86, from MBS data 2014</w:t>
      </w:r>
      <w:r w:rsidR="003B239A">
        <w:t>–</w:t>
      </w:r>
      <w:r w:rsidR="000E482F" w:rsidRPr="00966B95">
        <w:t>15)</w:t>
      </w:r>
    </w:p>
    <w:p w14:paraId="120BEEA0" w14:textId="09A559F9" w:rsidR="000E482F" w:rsidRPr="00966B95" w:rsidRDefault="000D1EDA" w:rsidP="004C79C1">
      <w:pPr>
        <w:pStyle w:val="Tablenotes0"/>
        <w:shd w:val="clear" w:color="auto" w:fill="FFFFFF" w:themeFill="background1"/>
        <w:spacing w:before="0" w:after="120"/>
      </w:pPr>
      <w:r w:rsidRPr="00737640">
        <w:rPr>
          <w:vertAlign w:val="superscript"/>
        </w:rPr>
        <w:t>b</w:t>
      </w:r>
      <w:r w:rsidRPr="00966B95">
        <w:t xml:space="preserve"> </w:t>
      </w:r>
      <w:r w:rsidR="000E482F" w:rsidRPr="00966B95">
        <w:t xml:space="preserve">Price weight for AR-DRG X61Z (0.22) </w:t>
      </w:r>
      <w:r w:rsidR="000E482F">
        <w:fldChar w:fldCharType="begin"/>
      </w:r>
      <w:r w:rsidR="000E482F">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0E482F">
        <w:fldChar w:fldCharType="separate"/>
      </w:r>
      <w:r w:rsidR="000E482F">
        <w:rPr>
          <w:noProof/>
        </w:rPr>
        <w:t>(</w:t>
      </w:r>
      <w:hyperlink w:anchor="_ENREF_58" w:tooltip="Independent Hospital Pricing Authority (IHPA), 2015 #160" w:history="1">
        <w:r w:rsidR="000E482F">
          <w:rPr>
            <w:noProof/>
          </w:rPr>
          <w:t>Independent Hospital Pricing Authority (IHPA) 2015a</w:t>
        </w:r>
      </w:hyperlink>
      <w:r w:rsidR="000E482F">
        <w:rPr>
          <w:noProof/>
        </w:rPr>
        <w:t>)</w:t>
      </w:r>
      <w:r w:rsidR="000E482F">
        <w:fldChar w:fldCharType="end"/>
      </w:r>
      <w:r w:rsidR="000E482F">
        <w:t xml:space="preserve"> </w:t>
      </w:r>
      <w:r w:rsidR="00050869">
        <w:t>*</w:t>
      </w:r>
      <w:r w:rsidR="000E482F" w:rsidRPr="00966B95">
        <w:t xml:space="preserve"> the N</w:t>
      </w:r>
      <w:r w:rsidR="003B239A">
        <w:t>EP</w:t>
      </w:r>
      <w:r w:rsidR="000E482F" w:rsidRPr="00966B95">
        <w:t xml:space="preserve"> 2016</w:t>
      </w:r>
      <w:r w:rsidR="003B239A">
        <w:t>–</w:t>
      </w:r>
      <w:r w:rsidR="000E482F" w:rsidRPr="00966B95">
        <w:t xml:space="preserve">17 ($4,883) </w:t>
      </w:r>
      <w:r w:rsidR="000E482F">
        <w:fldChar w:fldCharType="begin"/>
      </w:r>
      <w:r w:rsidR="000E482F">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0E482F">
        <w:fldChar w:fldCharType="separate"/>
      </w:r>
      <w:r w:rsidR="000E482F">
        <w:rPr>
          <w:noProof/>
        </w:rPr>
        <w:t>(</w:t>
      </w:r>
      <w:hyperlink w:anchor="_ENREF_61" w:tooltip="Independent Hospital Pricing Authority (IHPA), 2016 #82" w:history="1">
        <w:r w:rsidR="000E482F">
          <w:rPr>
            <w:noProof/>
          </w:rPr>
          <w:t>Independent Hospital Pricing Authority (IHPA) 2016</w:t>
        </w:r>
      </w:hyperlink>
      <w:r w:rsidR="000E482F">
        <w:rPr>
          <w:noProof/>
        </w:rPr>
        <w:t>)</w:t>
      </w:r>
      <w:r w:rsidR="000E482F">
        <w:fldChar w:fldCharType="end"/>
      </w:r>
    </w:p>
    <w:p w14:paraId="054810D9" w14:textId="7E66135B" w:rsidR="0018509C" w:rsidRDefault="000E482F" w:rsidP="00CC55F9">
      <w:pPr>
        <w:pStyle w:val="Tablenotes0"/>
        <w:shd w:val="clear" w:color="auto" w:fill="FFFFFF" w:themeFill="background1"/>
        <w:spacing w:before="0" w:after="120"/>
      </w:pPr>
      <w:r w:rsidRPr="00966B95">
        <w:t>AE</w:t>
      </w:r>
      <w:r w:rsidR="003B239A">
        <w:t xml:space="preserve"> </w:t>
      </w:r>
      <w:r w:rsidRPr="00966B95">
        <w:t>=</w:t>
      </w:r>
      <w:r w:rsidR="003B239A">
        <w:t xml:space="preserve"> </w:t>
      </w:r>
      <w:r w:rsidR="00881445">
        <w:t>adverse event;</w:t>
      </w:r>
      <w:r w:rsidR="004F632C">
        <w:t xml:space="preserve"> cEcho = contrast echocardiography;</w:t>
      </w:r>
      <w:r w:rsidR="00881445">
        <w:t xml:space="preserve"> </w:t>
      </w:r>
      <w:r w:rsidRPr="00966B95">
        <w:t>Echo</w:t>
      </w:r>
      <w:r w:rsidR="003B239A">
        <w:t xml:space="preserve"> </w:t>
      </w:r>
      <w:r w:rsidRPr="00966B95">
        <w:t>=</w:t>
      </w:r>
      <w:r w:rsidR="003B239A">
        <w:t xml:space="preserve"> </w:t>
      </w:r>
      <w:r w:rsidRPr="00966B95">
        <w:t>echocardiogram; G</w:t>
      </w:r>
      <w:r>
        <w:t>H</w:t>
      </w:r>
      <w:r w:rsidRPr="00966B95">
        <w:t>PS</w:t>
      </w:r>
      <w:r w:rsidR="003B239A">
        <w:t xml:space="preserve"> </w:t>
      </w:r>
      <w:r w:rsidRPr="00966B95">
        <w:t>=</w:t>
      </w:r>
      <w:r w:rsidR="003B239A">
        <w:t xml:space="preserve"> </w:t>
      </w:r>
      <w:r w:rsidRPr="00966B95">
        <w:t xml:space="preserve">gated </w:t>
      </w:r>
      <w:r>
        <w:t>heart</w:t>
      </w:r>
      <w:r w:rsidRPr="00966B95">
        <w:t xml:space="preserve"> pool scan; MBS</w:t>
      </w:r>
      <w:r w:rsidR="003B239A">
        <w:t xml:space="preserve"> </w:t>
      </w:r>
      <w:r w:rsidRPr="00966B95">
        <w:t>=</w:t>
      </w:r>
      <w:r w:rsidR="003B239A">
        <w:t xml:space="preserve"> </w:t>
      </w:r>
      <w:r w:rsidRPr="00966B95">
        <w:t>Medicare Benefits Schedule; MSAC</w:t>
      </w:r>
      <w:r w:rsidR="003B239A">
        <w:t xml:space="preserve"> </w:t>
      </w:r>
      <w:r w:rsidRPr="00966B95">
        <w:t>=</w:t>
      </w:r>
      <w:r w:rsidR="003B239A">
        <w:t xml:space="preserve"> </w:t>
      </w:r>
      <w:r w:rsidRPr="00966B95">
        <w:t>Medical Services Advisory Committee; NEP</w:t>
      </w:r>
      <w:r w:rsidR="003B239A">
        <w:t xml:space="preserve"> </w:t>
      </w:r>
      <w:r w:rsidRPr="00966B95">
        <w:t>=</w:t>
      </w:r>
      <w:r w:rsidR="003B239A">
        <w:t xml:space="preserve"> </w:t>
      </w:r>
      <w:r w:rsidR="00CC55F9">
        <w:t>National Efficient Price</w:t>
      </w:r>
    </w:p>
    <w:p w14:paraId="73ABEE76" w14:textId="6271BEC2" w:rsidR="000E482F" w:rsidRPr="00966B95" w:rsidRDefault="000E482F" w:rsidP="004C79C1">
      <w:pPr>
        <w:shd w:val="clear" w:color="auto" w:fill="FFFFFF" w:themeFill="background1"/>
        <w:spacing w:after="120" w:line="240" w:lineRule="auto"/>
        <w:jc w:val="both"/>
      </w:pPr>
      <w:r w:rsidRPr="00966B95">
        <w:t xml:space="preserve">According to MSAC Application </w:t>
      </w:r>
      <w:r w:rsidR="00146FC1">
        <w:t xml:space="preserve">no. </w:t>
      </w:r>
      <w:r w:rsidRPr="00966B95">
        <w:t>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r w:rsidRPr="00966B95">
        <w:t xml:space="preserve">, </w:t>
      </w:r>
      <w:r w:rsidR="00FF4CA1">
        <w:t xml:space="preserve">a </w:t>
      </w:r>
      <w:r w:rsidR="00881445" w:rsidRPr="00881445">
        <w:t xml:space="preserve">contrast echocardiography </w:t>
      </w:r>
      <w:r w:rsidRPr="00966B95">
        <w:t xml:space="preserve">would be conducted during the same visit as the initial (suboptimal) </w:t>
      </w:r>
      <w:r w:rsidR="00881445">
        <w:t>echo</w:t>
      </w:r>
      <w:r w:rsidR="00881445" w:rsidRPr="00094D3C">
        <w:t>cardiography</w:t>
      </w:r>
      <w:r w:rsidR="00881445">
        <w:t xml:space="preserve"> </w:t>
      </w:r>
      <w:r w:rsidRPr="00966B95">
        <w:t xml:space="preserve">without contrast (MSAC </w:t>
      </w:r>
      <w:r w:rsidR="00146FC1">
        <w:t xml:space="preserve">Application no. </w:t>
      </w:r>
      <w:r w:rsidRPr="00966B95">
        <w:t>1129). Therefore</w:t>
      </w:r>
      <w:r w:rsidR="00F47534">
        <w:t>,</w:t>
      </w:r>
      <w:r w:rsidRPr="00966B95">
        <w:t xml:space="preserve"> only the costs associated with administering the contrast agent are included in the analysis</w:t>
      </w:r>
      <w:r w:rsidR="00FF4CA1">
        <w:t>,</w:t>
      </w:r>
      <w:r w:rsidRPr="00966B95">
        <w:t xml:space="preserve"> as the costs associated with the initial </w:t>
      </w:r>
      <w:r w:rsidR="00881445">
        <w:t xml:space="preserve">echocardiogram </w:t>
      </w:r>
      <w:r w:rsidRPr="00966B95">
        <w:t>would be equivalent in each of the comparisons. This is tested in sensitivity analysis</w:t>
      </w:r>
      <w:r w:rsidR="000440C4">
        <w:t>,</w:t>
      </w:r>
      <w:r w:rsidRPr="00966B95">
        <w:t xml:space="preserve"> assuming that all </w:t>
      </w:r>
      <w:r w:rsidR="00881445" w:rsidRPr="00966B95">
        <w:t xml:space="preserve">contrast </w:t>
      </w:r>
      <w:r w:rsidR="00881445">
        <w:t>echocardiogram</w:t>
      </w:r>
      <w:r w:rsidR="00881445" w:rsidRPr="00094D3C">
        <w:t>s</w:t>
      </w:r>
      <w:r w:rsidR="00881445">
        <w:t xml:space="preserve"> </w:t>
      </w:r>
      <w:r w:rsidRPr="00966B95">
        <w:t>occur subsequently (and so too require referral). The included costs are th</w:t>
      </w:r>
      <w:r w:rsidR="00FF4CA1">
        <w:t>ose</w:t>
      </w:r>
      <w:r w:rsidRPr="00966B95">
        <w:t xml:space="preserve"> of the contrast agent, consumables and additional time. Contrast agent and consumables costs have been assumed based on MSAC </w:t>
      </w:r>
      <w:r w:rsidR="00881445">
        <w:t>Application</w:t>
      </w:r>
      <w:r w:rsidR="00146FC1">
        <w:t xml:space="preserve"> </w:t>
      </w:r>
      <w:r w:rsidRPr="00966B95">
        <w:t xml:space="preserve">1129, while additional time is costed based on the assumption that </w:t>
      </w:r>
      <w:r w:rsidR="00FF4CA1">
        <w:t xml:space="preserve">a </w:t>
      </w:r>
      <w:r w:rsidR="00881445" w:rsidRPr="00966B95">
        <w:t xml:space="preserve">contrast </w:t>
      </w:r>
      <w:r w:rsidR="00881445">
        <w:t xml:space="preserve">echocardiograms </w:t>
      </w:r>
      <w:r w:rsidRPr="00966B95">
        <w:t xml:space="preserve">would take 15% longer to administer (as per MSAC </w:t>
      </w:r>
      <w:r w:rsidR="00146FC1">
        <w:t xml:space="preserve">Application </w:t>
      </w:r>
      <w:r w:rsidRPr="00966B95">
        <w:t>1129), and so an additional 15% of the average fee charged per 55113 service is applied. This is tested in sensitivity analyses</w:t>
      </w:r>
      <w:r w:rsidR="000440C4">
        <w:t>,</w:t>
      </w:r>
      <w:r w:rsidRPr="00966B95">
        <w:t xml:space="preserve"> assuming no increase in time and doubling the extra time cost.</w:t>
      </w:r>
    </w:p>
    <w:p w14:paraId="25E81DE1" w14:textId="44B92B56" w:rsidR="000E482F" w:rsidRPr="00966B95" w:rsidRDefault="000E482F" w:rsidP="004C79C1">
      <w:pPr>
        <w:shd w:val="clear" w:color="auto" w:fill="FFFFFF" w:themeFill="background1"/>
        <w:spacing w:after="120" w:line="240" w:lineRule="auto"/>
        <w:jc w:val="both"/>
        <w:rPr>
          <w:color w:val="000000"/>
        </w:rPr>
      </w:pPr>
      <w:r w:rsidRPr="00966B95">
        <w:t xml:space="preserve">Contrast </w:t>
      </w:r>
      <w:r w:rsidR="00881445">
        <w:t>echo</w:t>
      </w:r>
      <w:r w:rsidR="00881445" w:rsidRPr="00094D3C">
        <w:t>cardiography</w:t>
      </w:r>
      <w:r w:rsidR="00881445">
        <w:t xml:space="preserve"> </w:t>
      </w:r>
      <w:r w:rsidRPr="00966B95">
        <w:t xml:space="preserve">may not resolve all suboptimal </w:t>
      </w:r>
      <w:r w:rsidR="00881445">
        <w:t>echocardiograms</w:t>
      </w:r>
      <w:r w:rsidRPr="00966B95">
        <w:t xml:space="preserve">, and so 3.6% </w:t>
      </w:r>
      <w:r w:rsidRPr="00966B95">
        <w:fldChar w:fldCharType="begin"/>
      </w:r>
      <w:r w:rsidRPr="00966B95">
        <w:instrText xml:space="preserve"> ADDIN EN.CITE &lt;EndNote&gt;&lt;Cite&gt;&lt;Author&gt;Thanigaraj&lt;/Author&gt;&lt;Year&gt;2001&lt;/Year&gt;&lt;RecNum&gt;83&lt;/RecNum&gt;&lt;DisplayText&gt;(Thanigaraj et al. 2001)&lt;/DisplayText&gt;&lt;record&gt;&lt;rec-number&gt;83&lt;/rec-number&gt;&lt;foreign-keys&gt;&lt;key app="EN" db-id="pfxxvref0t0a5de2vwnv2fwkz0p9v0r2fw0t" timestamp="1458113555"&gt;83&lt;/key&gt;&lt;/foreign-keys&gt;&lt;ref-type name="Journal Article"&gt;17&lt;/ref-type&gt;&lt;contributors&gt;&lt;authors&gt;&lt;author&gt;Thanigaraj, S.&lt;/author&gt;&lt;author&gt;Nease, R. F., Jr.&lt;/author&gt;&lt;author&gt;Schechtman, K. B.&lt;/author&gt;&lt;author&gt;Wade, R. L.&lt;/author&gt;&lt;author&gt;Loslo, S.&lt;/author&gt;&lt;author&gt;Perez, J. E.&lt;/author&gt;&lt;/authors&gt;&lt;/contributors&gt;&lt;auth-address&gt;Cardiovascular Division, Washington University School of Medicine, St. Louis, Missouri 63110, USA.&lt;/auth-address&gt;&lt;titles&gt;&lt;title&gt;Use of contrast for image enhancement during stress echocardiography is cost-effective and reduces additional diagnostic testing&lt;/title&gt;&lt;secondary-title&gt;Am J Cardiol&lt;/secondary-title&gt;&lt;/titles&gt;&lt;periodical&gt;&lt;full-title&gt;Am J Cardiol&lt;/full-title&gt;&lt;/periodical&gt;&lt;pages&gt;1430-2&lt;/pages&gt;&lt;volume&gt;87&lt;/volume&gt;&lt;number&gt;12&lt;/number&gt;&lt;keywords&gt;&lt;keyword&gt;Aged&lt;/keyword&gt;&lt;keyword&gt;Albumins/*economics&lt;/keyword&gt;&lt;keyword&gt;Contrast Media/*economics&lt;/keyword&gt;&lt;keyword&gt;Coronary Disease/diagnosis/*economics&lt;/keyword&gt;&lt;keyword&gt;Cost-Benefit Analysis&lt;/keyword&gt;&lt;keyword&gt;Dobutamine&lt;/keyword&gt;&lt;keyword&gt;Echocardiography/*economics&lt;/keyword&gt;&lt;keyword&gt;Exercise Test/*economics&lt;/keyword&gt;&lt;keyword&gt;Female&lt;/keyword&gt;&lt;keyword&gt;Fluorocarbons/*economics&lt;/keyword&gt;&lt;keyword&gt;Humans&lt;/keyword&gt;&lt;keyword&gt;Male&lt;/keyword&gt;&lt;keyword&gt;Middle Aged&lt;/keyword&gt;&lt;keyword&gt;Myocardial Infarction/diagnosis/*economics&lt;/keyword&gt;&lt;keyword&gt;Predictive Value of Tests&lt;/keyword&gt;&lt;keyword&gt;Tomography, Emission-Computed, Single-Photon/economics&lt;/keyword&gt;&lt;/keywords&gt;&lt;dates&gt;&lt;year&gt;2001&lt;/year&gt;&lt;pub-dates&gt;&lt;date&gt;Jun 15&lt;/date&gt;&lt;/pub-dates&gt;&lt;/dates&gt;&lt;isbn&gt;0002-9149 (Print)&amp;#xD;0002-9149 (Linking)&lt;/isbn&gt;&lt;accession-num&gt;11397374&lt;/accession-num&gt;&lt;urls&gt;&lt;related-urls&gt;&lt;url&gt;http://www.ncbi.nlm.nih.gov/pubmed/11397374&lt;/url&gt;&lt;/related-urls&gt;&lt;/urls&gt;&lt;/record&gt;&lt;/Cite&gt;&lt;/EndNote&gt;</w:instrText>
      </w:r>
      <w:r w:rsidRPr="00966B95">
        <w:fldChar w:fldCharType="separate"/>
      </w:r>
      <w:r w:rsidRPr="00966B95">
        <w:rPr>
          <w:noProof/>
        </w:rPr>
        <w:t>(</w:t>
      </w:r>
      <w:hyperlink w:anchor="_ENREF_138" w:tooltip="Thanigaraj, 2001 #83" w:history="1">
        <w:r w:rsidRPr="00966B95">
          <w:rPr>
            <w:noProof/>
          </w:rPr>
          <w:t>Thanigaraj et al. 2001</w:t>
        </w:r>
      </w:hyperlink>
      <w:r w:rsidRPr="00966B95">
        <w:rPr>
          <w:noProof/>
        </w:rPr>
        <w:t>)</w:t>
      </w:r>
      <w:r w:rsidRPr="00966B95">
        <w:fldChar w:fldCharType="end"/>
      </w:r>
      <w:r w:rsidRPr="00966B95">
        <w:rPr>
          <w:color w:val="000000"/>
        </w:rPr>
        <w:t xml:space="preserve"> </w:t>
      </w:r>
      <w:r w:rsidR="004106C1">
        <w:rPr>
          <w:color w:val="000000"/>
        </w:rPr>
        <w:t xml:space="preserve">of cases </w:t>
      </w:r>
      <w:r w:rsidRPr="00966B95">
        <w:rPr>
          <w:color w:val="000000"/>
        </w:rPr>
        <w:t xml:space="preserve">are assumed to require referral for further testing, using </w:t>
      </w:r>
      <w:r w:rsidR="004106C1">
        <w:rPr>
          <w:color w:val="000000"/>
        </w:rPr>
        <w:t>GHPS</w:t>
      </w:r>
      <w:r w:rsidRPr="00966B95">
        <w:rPr>
          <w:color w:val="000000"/>
        </w:rPr>
        <w:t>. The cost for referral and testing is that reported in</w:t>
      </w:r>
      <w:r w:rsidR="00931520">
        <w:rPr>
          <w:color w:val="000000"/>
        </w:rPr>
        <w:t xml:space="preserve"> </w:t>
      </w:r>
      <w:r w:rsidR="00931520">
        <w:rPr>
          <w:color w:val="000000"/>
        </w:rPr>
        <w:fldChar w:fldCharType="begin"/>
      </w:r>
      <w:r w:rsidR="00931520">
        <w:rPr>
          <w:color w:val="000000"/>
        </w:rPr>
        <w:instrText xml:space="preserve"> REF _Ref451253185 \h </w:instrText>
      </w:r>
      <w:r w:rsidR="00931520">
        <w:rPr>
          <w:color w:val="000000"/>
        </w:rPr>
      </w:r>
      <w:r w:rsidR="00931520">
        <w:rPr>
          <w:color w:val="000000"/>
        </w:rPr>
        <w:fldChar w:fldCharType="separate"/>
      </w:r>
      <w:r w:rsidR="00931520">
        <w:t xml:space="preserve">Table </w:t>
      </w:r>
      <w:r w:rsidR="00931520">
        <w:rPr>
          <w:noProof/>
        </w:rPr>
        <w:t>35</w:t>
      </w:r>
      <w:r w:rsidR="00931520">
        <w:rPr>
          <w:color w:val="000000"/>
        </w:rPr>
        <w:fldChar w:fldCharType="end"/>
      </w:r>
      <w:r>
        <w:rPr>
          <w:color w:val="000000"/>
        </w:rPr>
        <w:t>.</w:t>
      </w:r>
      <w:r w:rsidRPr="00966B95">
        <w:rPr>
          <w:color w:val="000000"/>
        </w:rPr>
        <w:t xml:space="preserve"> The </w:t>
      </w:r>
      <w:proofErr w:type="gramStart"/>
      <w:r w:rsidRPr="00966B95">
        <w:rPr>
          <w:color w:val="000000"/>
        </w:rPr>
        <w:t>proportion that have</w:t>
      </w:r>
      <w:proofErr w:type="gramEnd"/>
      <w:r w:rsidRPr="00966B95">
        <w:rPr>
          <w:color w:val="000000"/>
        </w:rPr>
        <w:t xml:space="preserve"> persistent suboptimal results after </w:t>
      </w:r>
      <w:r w:rsidR="006D4B97">
        <w:rPr>
          <w:color w:val="000000"/>
        </w:rPr>
        <w:t xml:space="preserve">a </w:t>
      </w:r>
      <w:r w:rsidR="00881445">
        <w:rPr>
          <w:color w:val="000000"/>
        </w:rPr>
        <w:t xml:space="preserve">contrast </w:t>
      </w:r>
      <w:r w:rsidR="00881445">
        <w:t>echo</w:t>
      </w:r>
      <w:r w:rsidR="00881445" w:rsidRPr="00094D3C">
        <w:t>cardiography</w:t>
      </w:r>
      <w:r w:rsidR="00881445">
        <w:t xml:space="preserve"> </w:t>
      </w:r>
      <w:r w:rsidRPr="00966B95">
        <w:rPr>
          <w:color w:val="000000"/>
        </w:rPr>
        <w:t>is tested in sensitivity analyses</w:t>
      </w:r>
      <w:r w:rsidR="000440C4">
        <w:rPr>
          <w:color w:val="000000"/>
        </w:rPr>
        <w:t>,</w:t>
      </w:r>
      <w:r w:rsidRPr="00966B95">
        <w:rPr>
          <w:color w:val="000000"/>
        </w:rPr>
        <w:t xml:space="preserve"> assuming a higher proportion (15%).</w:t>
      </w:r>
    </w:p>
    <w:p w14:paraId="54CF01B3" w14:textId="10FC9AB7" w:rsidR="000E482F" w:rsidRPr="00966B95" w:rsidRDefault="000E482F" w:rsidP="004C79C1">
      <w:pPr>
        <w:shd w:val="clear" w:color="auto" w:fill="FFFFFF" w:themeFill="background1"/>
        <w:spacing w:after="120" w:line="240" w:lineRule="auto"/>
        <w:jc w:val="both"/>
      </w:pPr>
      <w:proofErr w:type="gramStart"/>
      <w:r w:rsidRPr="00966B95">
        <w:t>Section B7 reports that 3 per 10,000 patients experience an adverse reaction to the contrast agent.</w:t>
      </w:r>
      <w:proofErr w:type="gramEnd"/>
      <w:r w:rsidRPr="00966B95">
        <w:t xml:space="preserve"> The cost of treating the allergic reaction has been estimated by multiplying the price weight for AR-DRG X61Z </w:t>
      </w:r>
      <w:r w:rsidR="00F35845">
        <w:t>(</w:t>
      </w:r>
      <w:r w:rsidRPr="00966B95">
        <w:t xml:space="preserve">Allergic </w:t>
      </w:r>
      <w:r w:rsidR="006E5B5B">
        <w:t>R</w:t>
      </w:r>
      <w:r w:rsidRPr="00966B95">
        <w:t>eactions</w:t>
      </w:r>
      <w:r w:rsidR="00F35845">
        <w:t>)</w:t>
      </w:r>
      <w:r w:rsidRPr="00966B95">
        <w:t xml:space="preserve"> (0.22) </w:t>
      </w:r>
      <w:r>
        <w:fldChar w:fldCharType="begin"/>
      </w:r>
      <w: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w:t>
      </w:r>
      <w:r>
        <w:fldChar w:fldCharType="end"/>
      </w:r>
      <w:r>
        <w:t xml:space="preserve"> </w:t>
      </w:r>
      <w:r w:rsidRPr="00966B95">
        <w:t>by the N</w:t>
      </w:r>
      <w:r w:rsidR="00FB1A8A">
        <w:t>EP</w:t>
      </w:r>
      <w:r w:rsidRPr="00966B95">
        <w:t xml:space="preserve"> for 2016</w:t>
      </w:r>
      <w:r w:rsidR="00FB1A8A">
        <w:t>–</w:t>
      </w:r>
      <w:r w:rsidRPr="00966B95">
        <w:t>17 ($4,883)</w:t>
      </w:r>
      <w:r>
        <w:t xml:space="preserve"> </w:t>
      </w:r>
      <w:r>
        <w:fldChar w:fldCharType="begin"/>
      </w:r>
      <w:r>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fldChar w:fldCharType="separate"/>
      </w:r>
      <w:r>
        <w:rPr>
          <w:noProof/>
        </w:rPr>
        <w:t>(</w:t>
      </w:r>
      <w:hyperlink w:anchor="_ENREF_61" w:tooltip="Independent Hospital Pricing Authority (IHPA), 2016 #82" w:history="1">
        <w:r>
          <w:rPr>
            <w:noProof/>
          </w:rPr>
          <w:t>Independent Hospital Pricing Authority (IHPA) 2016</w:t>
        </w:r>
      </w:hyperlink>
      <w:r>
        <w:rPr>
          <w:noProof/>
        </w:rPr>
        <w:t>)</w:t>
      </w:r>
      <w:r>
        <w:fldChar w:fldCharType="end"/>
      </w:r>
      <w:r w:rsidRPr="00966B95">
        <w:t>. Therefore</w:t>
      </w:r>
      <w:r w:rsidR="00FB1A8A">
        <w:t>,</w:t>
      </w:r>
      <w:r w:rsidRPr="00966B95">
        <w:t xml:space="preserve"> the cost </w:t>
      </w:r>
      <w:r w:rsidRPr="00966B95">
        <w:lastRenderedPageBreak/>
        <w:t xml:space="preserve">of treating each AE due to a reaction to the contrast agent is $1,084.03, which equates to $0.33 per </w:t>
      </w:r>
      <w:r w:rsidR="00037CFD" w:rsidRPr="00966B95">
        <w:t xml:space="preserve">contrast </w:t>
      </w:r>
      <w:r w:rsidR="00037CFD">
        <w:t>echo</w:t>
      </w:r>
      <w:r w:rsidR="00037CFD" w:rsidRPr="00094D3C">
        <w:t>cardiography</w:t>
      </w:r>
      <w:r w:rsidRPr="00966B95">
        <w:t>.</w:t>
      </w:r>
    </w:p>
    <w:p w14:paraId="24811C60" w14:textId="52FCAA21" w:rsidR="00067EB8" w:rsidRDefault="000E482F" w:rsidP="004C79C1">
      <w:pPr>
        <w:shd w:val="clear" w:color="auto" w:fill="FFFFFF" w:themeFill="background1"/>
        <w:spacing w:after="120" w:line="240" w:lineRule="auto"/>
        <w:jc w:val="both"/>
      </w:pPr>
      <w:r w:rsidRPr="00966B95">
        <w:t xml:space="preserve">The total cost of </w:t>
      </w:r>
      <w:r w:rsidR="00067EB8">
        <w:t xml:space="preserve">a </w:t>
      </w:r>
      <w:r w:rsidR="00037CFD" w:rsidRPr="00966B95">
        <w:t xml:space="preserve">contrast </w:t>
      </w:r>
      <w:r w:rsidR="00037CFD">
        <w:t>echo</w:t>
      </w:r>
      <w:r w:rsidR="00037CFD" w:rsidRPr="00094D3C">
        <w:t>cardiography</w:t>
      </w:r>
      <w:r w:rsidR="00037CFD">
        <w:t xml:space="preserve"> </w:t>
      </w:r>
      <w:r w:rsidRPr="00966B95">
        <w:t xml:space="preserve">is then </w:t>
      </w:r>
      <w:r>
        <w:t xml:space="preserve">calculated </w:t>
      </w:r>
      <w:r w:rsidRPr="00966B95">
        <w:t>to be $146.41</w:t>
      </w:r>
      <w:r>
        <w:t>, as per</w:t>
      </w:r>
      <w:r w:rsidR="00037CFD">
        <w:t xml:space="preserve"> </w:t>
      </w:r>
      <w:r w:rsidR="00037CFD">
        <w:fldChar w:fldCharType="begin"/>
      </w:r>
      <w:r w:rsidR="00037CFD">
        <w:instrText xml:space="preserve"> REF _Ref451253283 \h </w:instrText>
      </w:r>
      <w:r w:rsidR="00037CFD">
        <w:fldChar w:fldCharType="separate"/>
      </w:r>
      <w:r w:rsidR="00931520">
        <w:t xml:space="preserve">Table </w:t>
      </w:r>
      <w:r w:rsidR="00931520">
        <w:rPr>
          <w:noProof/>
        </w:rPr>
        <w:t>36</w:t>
      </w:r>
      <w:r w:rsidR="00037CFD">
        <w:fldChar w:fldCharType="end"/>
      </w:r>
      <w:r w:rsidRPr="00966B95">
        <w:t>.</w:t>
      </w:r>
    </w:p>
    <w:p w14:paraId="082A5B61" w14:textId="4DE1CC64" w:rsidR="000E482F" w:rsidRPr="00966B95" w:rsidRDefault="000E482F" w:rsidP="00161B88">
      <w:pPr>
        <w:pStyle w:val="Heading3"/>
      </w:pPr>
      <w:bookmarkStart w:id="537" w:name="_Toc449428902"/>
      <w:bookmarkStart w:id="538" w:name="_Toc451501374"/>
      <w:r w:rsidRPr="00966B95">
        <w:t>D5</w:t>
      </w:r>
      <w:proofErr w:type="gramStart"/>
      <w:r w:rsidRPr="00966B95">
        <w:t>.(</w:t>
      </w:r>
      <w:proofErr w:type="gramEnd"/>
      <w:r w:rsidRPr="00966B95">
        <w:t>i)</w:t>
      </w:r>
      <w:r>
        <w:t xml:space="preserve"> CA</w:t>
      </w:r>
      <w:r w:rsidRPr="00966B95">
        <w:tab/>
        <w:t>Results of the cost analysis</w:t>
      </w:r>
      <w:bookmarkEnd w:id="537"/>
      <w:bookmarkEnd w:id="538"/>
    </w:p>
    <w:p w14:paraId="5C005D2C" w14:textId="78EB3DBF" w:rsidR="000E482F" w:rsidRPr="00966B95" w:rsidRDefault="000E482F" w:rsidP="004C79C1">
      <w:pPr>
        <w:shd w:val="clear" w:color="auto" w:fill="FFFFFF" w:themeFill="background1"/>
        <w:spacing w:after="120" w:line="240" w:lineRule="auto"/>
        <w:jc w:val="both"/>
      </w:pPr>
      <w:r w:rsidRPr="00966B95">
        <w:t xml:space="preserve">The cost analysis for the comparison of CMR </w:t>
      </w:r>
      <w:r w:rsidR="000327BB">
        <w:t>with</w:t>
      </w:r>
      <w:r w:rsidR="000327BB" w:rsidRPr="00966B95">
        <w:t xml:space="preserve"> </w:t>
      </w:r>
      <w:r w:rsidR="00067EB8">
        <w:t>GHPS</w:t>
      </w:r>
      <w:r>
        <w:t xml:space="preserve"> or </w:t>
      </w:r>
      <w:r w:rsidR="0077773E">
        <w:t>contrast echo</w:t>
      </w:r>
      <w:r w:rsidR="0077773E" w:rsidRPr="00094D3C">
        <w:t>cardiography</w:t>
      </w:r>
      <w:r w:rsidR="0077773E" w:rsidRPr="00966B95">
        <w:t xml:space="preserve"> </w:t>
      </w:r>
      <w:r w:rsidRPr="00966B95">
        <w:t>is presented in</w:t>
      </w:r>
      <w:r w:rsidR="0077773E">
        <w:t xml:space="preserve"> </w:t>
      </w:r>
      <w:r w:rsidR="0077773E">
        <w:fldChar w:fldCharType="begin"/>
      </w:r>
      <w:r w:rsidR="0077773E">
        <w:instrText xml:space="preserve"> REF _Ref451254058 \h </w:instrText>
      </w:r>
      <w:r w:rsidR="0077773E">
        <w:fldChar w:fldCharType="separate"/>
      </w:r>
      <w:r w:rsidR="00931520">
        <w:t xml:space="preserve">Table </w:t>
      </w:r>
      <w:r w:rsidR="00931520">
        <w:rPr>
          <w:noProof/>
        </w:rPr>
        <w:t>37</w:t>
      </w:r>
      <w:r w:rsidR="0077773E">
        <w:fldChar w:fldCharType="end"/>
      </w:r>
      <w:r w:rsidRPr="00C90A29">
        <w:t>, followed by</w:t>
      </w:r>
      <w:r w:rsidRPr="00402114">
        <w:t xml:space="preserve"> </w:t>
      </w:r>
      <w:r w:rsidRPr="00966B95">
        <w:t xml:space="preserve">a discussion of </w:t>
      </w:r>
      <w:r>
        <w:t>r</w:t>
      </w:r>
      <w:r w:rsidRPr="00966B95">
        <w:t xml:space="preserve">elevant considerations </w:t>
      </w:r>
      <w:r w:rsidR="00067EB8">
        <w:t>that</w:t>
      </w:r>
      <w:r w:rsidR="00067EB8" w:rsidRPr="00966B95">
        <w:t xml:space="preserve"> </w:t>
      </w:r>
      <w:r w:rsidRPr="00966B95">
        <w:t xml:space="preserve">were not </w:t>
      </w:r>
      <w:r>
        <w:t xml:space="preserve">able to be captured </w:t>
      </w:r>
      <w:r w:rsidRPr="00966B95">
        <w:t>in the cost analysis.</w:t>
      </w:r>
    </w:p>
    <w:p w14:paraId="385D0DCE" w14:textId="5A14C227" w:rsidR="0077773E" w:rsidRDefault="0077773E" w:rsidP="004C79C1">
      <w:pPr>
        <w:pStyle w:val="Caption"/>
        <w:keepNext/>
      </w:pPr>
      <w:bookmarkStart w:id="539" w:name="_Ref451254058"/>
      <w:bookmarkStart w:id="540" w:name="_Toc451435364"/>
      <w:r>
        <w:t xml:space="preserve">Table </w:t>
      </w:r>
      <w:fldSimple w:instr=" SEQ Table \* ARABIC ">
        <w:r w:rsidR="00931520">
          <w:rPr>
            <w:noProof/>
          </w:rPr>
          <w:t>37</w:t>
        </w:r>
      </w:fldSimple>
      <w:bookmarkEnd w:id="539"/>
      <w:r>
        <w:tab/>
      </w:r>
      <w:r w:rsidRPr="00CF15BD">
        <w:t>Incremental cost of</w:t>
      </w:r>
      <w:r w:rsidR="00A21115">
        <w:t xml:space="preserve"> CMR compared with GHPS or contrast echocardiography</w:t>
      </w:r>
      <w:r w:rsidRPr="00CF15BD">
        <w:t xml:space="preserve"> in the population with indeterminate </w:t>
      </w:r>
      <w:r w:rsidR="00A21115">
        <w:t>echocardiography</w:t>
      </w:r>
      <w:bookmarkEnd w:id="540"/>
    </w:p>
    <w:tbl>
      <w:tblPr>
        <w:tblStyle w:val="TableGrid"/>
        <w:tblW w:w="0" w:type="auto"/>
        <w:tblLook w:val="04A0" w:firstRow="1" w:lastRow="0" w:firstColumn="1" w:lastColumn="0" w:noHBand="0" w:noVBand="1"/>
        <w:tblDescription w:val="Incremental cost of CMR compared to gated blood pool scanning or contrast-Echo, in the population with indeterminate Echo"/>
      </w:tblPr>
      <w:tblGrid>
        <w:gridCol w:w="3925"/>
        <w:gridCol w:w="1629"/>
        <w:gridCol w:w="1674"/>
        <w:gridCol w:w="1788"/>
      </w:tblGrid>
      <w:tr w:rsidR="000E482F" w:rsidRPr="00966B95" w14:paraId="1555011C" w14:textId="77777777" w:rsidTr="00723891">
        <w:trPr>
          <w:tblHeader/>
        </w:trPr>
        <w:tc>
          <w:tcPr>
            <w:tcW w:w="3925" w:type="dxa"/>
            <w:tcBorders>
              <w:bottom w:val="single" w:sz="4" w:space="0" w:color="auto"/>
            </w:tcBorders>
          </w:tcPr>
          <w:p w14:paraId="38957B15" w14:textId="77777777" w:rsidR="000E482F" w:rsidRPr="00966B95" w:rsidRDefault="000E482F" w:rsidP="004C79C1">
            <w:pPr>
              <w:pStyle w:val="TableHeading"/>
              <w:shd w:val="clear" w:color="auto" w:fill="FFFFFF" w:themeFill="background1"/>
              <w:spacing w:before="0" w:after="120"/>
            </w:pPr>
          </w:p>
        </w:tc>
        <w:tc>
          <w:tcPr>
            <w:tcW w:w="1629" w:type="dxa"/>
            <w:tcBorders>
              <w:bottom w:val="single" w:sz="4" w:space="0" w:color="auto"/>
            </w:tcBorders>
          </w:tcPr>
          <w:p w14:paraId="599FAD6B" w14:textId="77777777" w:rsidR="000E482F" w:rsidRPr="00966B95" w:rsidRDefault="000E482F" w:rsidP="004C79C1">
            <w:pPr>
              <w:pStyle w:val="TableHeading"/>
              <w:shd w:val="clear" w:color="auto" w:fill="FFFFFF" w:themeFill="background1"/>
              <w:spacing w:before="0" w:after="120"/>
            </w:pPr>
            <w:r w:rsidRPr="00966B95">
              <w:t>Cost of CMR</w:t>
            </w:r>
          </w:p>
        </w:tc>
        <w:tc>
          <w:tcPr>
            <w:tcW w:w="1674" w:type="dxa"/>
            <w:tcBorders>
              <w:bottom w:val="single" w:sz="4" w:space="0" w:color="auto"/>
            </w:tcBorders>
          </w:tcPr>
          <w:p w14:paraId="5DCCC513" w14:textId="77777777" w:rsidR="000E482F" w:rsidRPr="00966B95" w:rsidRDefault="000E482F" w:rsidP="004C79C1">
            <w:pPr>
              <w:pStyle w:val="TableHeading"/>
              <w:shd w:val="clear" w:color="auto" w:fill="FFFFFF" w:themeFill="background1"/>
              <w:spacing w:before="0" w:after="120"/>
            </w:pPr>
            <w:r>
              <w:t>Comparator</w:t>
            </w:r>
          </w:p>
        </w:tc>
        <w:tc>
          <w:tcPr>
            <w:tcW w:w="1788" w:type="dxa"/>
            <w:tcBorders>
              <w:bottom w:val="single" w:sz="4" w:space="0" w:color="auto"/>
            </w:tcBorders>
          </w:tcPr>
          <w:p w14:paraId="13B156A0" w14:textId="77777777" w:rsidR="000E482F" w:rsidRPr="00966B95" w:rsidRDefault="000E482F" w:rsidP="004C79C1">
            <w:pPr>
              <w:pStyle w:val="TableHeading"/>
              <w:shd w:val="clear" w:color="auto" w:fill="FFFFFF" w:themeFill="background1"/>
              <w:spacing w:before="0" w:after="120"/>
            </w:pPr>
            <w:r w:rsidRPr="00966B95">
              <w:t>Incremental cost</w:t>
            </w:r>
          </w:p>
        </w:tc>
      </w:tr>
      <w:tr w:rsidR="0077773E" w:rsidRPr="00966B95" w14:paraId="61502CB9" w14:textId="77777777" w:rsidTr="00723891">
        <w:tc>
          <w:tcPr>
            <w:tcW w:w="3925" w:type="dxa"/>
            <w:tcBorders>
              <w:bottom w:val="single" w:sz="4" w:space="0" w:color="auto"/>
            </w:tcBorders>
          </w:tcPr>
          <w:p w14:paraId="79183F7F" w14:textId="445309BC" w:rsidR="0077773E" w:rsidRPr="00966B95" w:rsidRDefault="0077773E" w:rsidP="004C79C1">
            <w:pPr>
              <w:pStyle w:val="Tabletext1"/>
              <w:shd w:val="clear" w:color="auto" w:fill="FFFFFF" w:themeFill="background1"/>
              <w:spacing w:before="0" w:after="120"/>
            </w:pPr>
            <w:r w:rsidRPr="00966B95">
              <w:t>Base</w:t>
            </w:r>
            <w:r>
              <w:t>-</w:t>
            </w:r>
            <w:r w:rsidRPr="00966B95">
              <w:t>case</w:t>
            </w:r>
            <w:r>
              <w:t xml:space="preserve"> CMR vs GHPS</w:t>
            </w:r>
          </w:p>
        </w:tc>
        <w:tc>
          <w:tcPr>
            <w:tcW w:w="1629" w:type="dxa"/>
            <w:tcBorders>
              <w:bottom w:val="single" w:sz="4" w:space="0" w:color="auto"/>
            </w:tcBorders>
          </w:tcPr>
          <w:p w14:paraId="3248F169" w14:textId="3B59CE10" w:rsidR="0077773E" w:rsidRPr="00966B95" w:rsidRDefault="0077773E" w:rsidP="004C79C1">
            <w:pPr>
              <w:pStyle w:val="Tabletext1"/>
              <w:shd w:val="clear" w:color="auto" w:fill="FFFFFF" w:themeFill="background1"/>
              <w:spacing w:before="0" w:after="120"/>
              <w:jc w:val="center"/>
            </w:pPr>
            <w:r w:rsidRPr="00C90A29">
              <w:t>$1,106</w:t>
            </w:r>
          </w:p>
        </w:tc>
        <w:tc>
          <w:tcPr>
            <w:tcW w:w="1674" w:type="dxa"/>
            <w:tcBorders>
              <w:bottom w:val="single" w:sz="4" w:space="0" w:color="auto"/>
            </w:tcBorders>
          </w:tcPr>
          <w:p w14:paraId="33620FCE" w14:textId="4B9CB999" w:rsidR="0077773E" w:rsidRPr="00966B95" w:rsidRDefault="0077773E" w:rsidP="004C79C1">
            <w:pPr>
              <w:pStyle w:val="Tabletext1"/>
              <w:shd w:val="clear" w:color="auto" w:fill="FFFFFF" w:themeFill="background1"/>
              <w:spacing w:before="0" w:after="120"/>
              <w:jc w:val="center"/>
            </w:pPr>
            <w:r w:rsidRPr="00966B95">
              <w:t>$418</w:t>
            </w:r>
          </w:p>
        </w:tc>
        <w:tc>
          <w:tcPr>
            <w:tcW w:w="1788" w:type="dxa"/>
            <w:tcBorders>
              <w:bottom w:val="single" w:sz="4" w:space="0" w:color="auto"/>
            </w:tcBorders>
          </w:tcPr>
          <w:p w14:paraId="54051053" w14:textId="61737F74" w:rsidR="0077773E" w:rsidRPr="00966B95" w:rsidRDefault="0077773E" w:rsidP="004C79C1">
            <w:pPr>
              <w:pStyle w:val="Tabletext1"/>
              <w:shd w:val="clear" w:color="auto" w:fill="FFFFFF" w:themeFill="background1"/>
              <w:spacing w:before="0" w:after="120"/>
              <w:jc w:val="center"/>
            </w:pPr>
            <w:r w:rsidRPr="00C90A29">
              <w:t>$68</w:t>
            </w:r>
            <w:r>
              <w:t>8</w:t>
            </w:r>
          </w:p>
        </w:tc>
      </w:tr>
      <w:tr w:rsidR="0077773E" w:rsidRPr="00966B95" w14:paraId="2421A382" w14:textId="77777777" w:rsidTr="00723891">
        <w:trPr>
          <w:trHeight w:val="115"/>
        </w:trPr>
        <w:tc>
          <w:tcPr>
            <w:tcW w:w="3925" w:type="dxa"/>
          </w:tcPr>
          <w:p w14:paraId="5BD0969D" w14:textId="3AEAC16C" w:rsidR="0077773E" w:rsidRPr="00966B95" w:rsidRDefault="0077773E" w:rsidP="004C79C1">
            <w:pPr>
              <w:pStyle w:val="Tabletext1"/>
              <w:shd w:val="clear" w:color="auto" w:fill="FFFFFF" w:themeFill="background1"/>
              <w:spacing w:before="0" w:after="120"/>
            </w:pPr>
            <w:r w:rsidRPr="00966B95">
              <w:t>Base</w:t>
            </w:r>
            <w:r>
              <w:t>-</w:t>
            </w:r>
            <w:r w:rsidRPr="00966B95">
              <w:t>case</w:t>
            </w:r>
            <w:r>
              <w:t xml:space="preserve"> CMR vs cEcho</w:t>
            </w:r>
          </w:p>
        </w:tc>
        <w:tc>
          <w:tcPr>
            <w:tcW w:w="1629" w:type="dxa"/>
          </w:tcPr>
          <w:p w14:paraId="6C2EE3F8" w14:textId="00131ECD" w:rsidR="0077773E" w:rsidRPr="00966B95" w:rsidRDefault="0077773E" w:rsidP="004C79C1">
            <w:pPr>
              <w:pStyle w:val="Tabletext1"/>
              <w:shd w:val="clear" w:color="auto" w:fill="FFFFFF" w:themeFill="background1"/>
              <w:spacing w:before="0" w:after="120"/>
              <w:jc w:val="center"/>
            </w:pPr>
            <w:r w:rsidRPr="00C90A29">
              <w:t>$1,106</w:t>
            </w:r>
          </w:p>
        </w:tc>
        <w:tc>
          <w:tcPr>
            <w:tcW w:w="1674" w:type="dxa"/>
          </w:tcPr>
          <w:p w14:paraId="5DEC8040" w14:textId="7A802342" w:rsidR="0077773E" w:rsidRPr="00966B95" w:rsidRDefault="0077773E" w:rsidP="004C79C1">
            <w:pPr>
              <w:pStyle w:val="Tabletext1"/>
              <w:shd w:val="clear" w:color="auto" w:fill="FFFFFF" w:themeFill="background1"/>
              <w:spacing w:before="0" w:after="120"/>
              <w:jc w:val="center"/>
              <w:rPr>
                <w:rFonts w:ascii="Calibri" w:hAnsi="Calibri"/>
                <w:bCs/>
                <w:color w:val="000000"/>
              </w:rPr>
            </w:pPr>
            <w:r w:rsidRPr="00966B95">
              <w:t>$146</w:t>
            </w:r>
          </w:p>
        </w:tc>
        <w:tc>
          <w:tcPr>
            <w:tcW w:w="1788" w:type="dxa"/>
          </w:tcPr>
          <w:p w14:paraId="55010B76" w14:textId="3B815E8C" w:rsidR="0077773E" w:rsidRPr="00966B95" w:rsidRDefault="0077773E" w:rsidP="004C79C1">
            <w:pPr>
              <w:pStyle w:val="Tabletext1"/>
              <w:shd w:val="clear" w:color="auto" w:fill="FFFFFF" w:themeFill="background1"/>
              <w:spacing w:before="0" w:after="120"/>
              <w:jc w:val="center"/>
              <w:rPr>
                <w:rFonts w:ascii="Calibri" w:hAnsi="Calibri"/>
                <w:bCs/>
                <w:color w:val="000000"/>
              </w:rPr>
            </w:pPr>
            <w:r w:rsidRPr="00C90A29">
              <w:t>$9</w:t>
            </w:r>
            <w:r>
              <w:t>60</w:t>
            </w:r>
          </w:p>
        </w:tc>
      </w:tr>
    </w:tbl>
    <w:p w14:paraId="398A6C72" w14:textId="31630FAB" w:rsidR="000E482F" w:rsidRPr="00737640" w:rsidRDefault="00E067E8" w:rsidP="004C79C1">
      <w:pPr>
        <w:pStyle w:val="Tablenotes0"/>
        <w:shd w:val="clear" w:color="auto" w:fill="FFFFFF" w:themeFill="background1"/>
        <w:spacing w:before="0" w:after="120"/>
      </w:pPr>
      <w:proofErr w:type="gramStart"/>
      <w:r w:rsidRPr="00737640">
        <w:t>cEcho</w:t>
      </w:r>
      <w:proofErr w:type="gramEnd"/>
      <w:r w:rsidRPr="00737640">
        <w:t xml:space="preserve"> = contrast echocardiography; </w:t>
      </w:r>
      <w:r w:rsidR="000E482F" w:rsidRPr="00737640">
        <w:t>CMR</w:t>
      </w:r>
      <w:r w:rsidRPr="00737640">
        <w:t xml:space="preserve"> </w:t>
      </w:r>
      <w:r w:rsidR="000E482F" w:rsidRPr="00737640">
        <w:t>=</w:t>
      </w:r>
      <w:r w:rsidRPr="00737640">
        <w:t xml:space="preserve"> </w:t>
      </w:r>
      <w:r w:rsidR="000E482F" w:rsidRPr="00737640">
        <w:t xml:space="preserve">cardiac magnetic resonance </w:t>
      </w:r>
      <w:r w:rsidR="000C188E">
        <w:t>(</w:t>
      </w:r>
      <w:r w:rsidR="000E482F" w:rsidRPr="00737640">
        <w:t>imaging</w:t>
      </w:r>
      <w:r w:rsidR="000C188E">
        <w:t>)</w:t>
      </w:r>
      <w:r w:rsidRPr="00737640">
        <w:t xml:space="preserve">; </w:t>
      </w:r>
      <w:r w:rsidR="004F632C" w:rsidRPr="00966B95">
        <w:t>Echo</w:t>
      </w:r>
      <w:r w:rsidR="004F632C">
        <w:t xml:space="preserve"> </w:t>
      </w:r>
      <w:r w:rsidR="004F632C" w:rsidRPr="00966B95">
        <w:t>=</w:t>
      </w:r>
      <w:r w:rsidR="004F632C">
        <w:t xml:space="preserve"> </w:t>
      </w:r>
      <w:r w:rsidR="004F632C" w:rsidRPr="00966B95">
        <w:t xml:space="preserve">echocardiogram; </w:t>
      </w:r>
      <w:r w:rsidRPr="00737640">
        <w:t>GHPS = gated heart pool scan</w:t>
      </w:r>
    </w:p>
    <w:p w14:paraId="0E6F306D" w14:textId="78810880" w:rsidR="000E482F" w:rsidRDefault="000E482F" w:rsidP="004C79C1">
      <w:pPr>
        <w:shd w:val="clear" w:color="auto" w:fill="FFFFFF" w:themeFill="background1"/>
        <w:spacing w:after="120" w:line="240" w:lineRule="auto"/>
      </w:pPr>
      <w:r>
        <w:t>The additional cost of CMR over G</w:t>
      </w:r>
      <w:r w:rsidR="00CD1C6A">
        <w:t>H</w:t>
      </w:r>
      <w:r>
        <w:t xml:space="preserve">PS is approximately $688 per person, and </w:t>
      </w:r>
      <w:r w:rsidRPr="00606A6B">
        <w:t xml:space="preserve">over </w:t>
      </w:r>
      <w:r w:rsidR="0050717A">
        <w:t>contrast echo</w:t>
      </w:r>
      <w:r w:rsidR="0050717A" w:rsidRPr="00094D3C">
        <w:t>cardiography</w:t>
      </w:r>
      <w:r w:rsidR="0050717A">
        <w:t xml:space="preserve"> </w:t>
      </w:r>
      <w:r>
        <w:t>it</w:t>
      </w:r>
      <w:r w:rsidRPr="00606A6B">
        <w:t xml:space="preserve"> is approximately $</w:t>
      </w:r>
      <w:r>
        <w:t>960</w:t>
      </w:r>
      <w:r w:rsidRPr="00606A6B">
        <w:t xml:space="preserve"> per person</w:t>
      </w:r>
      <w:r>
        <w:t>.</w:t>
      </w:r>
    </w:p>
    <w:p w14:paraId="5AA1855C" w14:textId="7847ACBA" w:rsidR="000E482F" w:rsidRPr="00966B95" w:rsidRDefault="000E482F" w:rsidP="004C79C1">
      <w:pPr>
        <w:shd w:val="clear" w:color="auto" w:fill="FFFFFF" w:themeFill="background1"/>
        <w:spacing w:after="120" w:line="240" w:lineRule="auto"/>
      </w:pPr>
      <w:r w:rsidRPr="00966B95">
        <w:t xml:space="preserve">A qualitative summary of clinical differences </w:t>
      </w:r>
      <w:r w:rsidR="00CD1C6A">
        <w:t>that</w:t>
      </w:r>
      <w:r w:rsidR="00CD1C6A" w:rsidRPr="00966B95">
        <w:t xml:space="preserve"> </w:t>
      </w:r>
      <w:r w:rsidRPr="00966B95">
        <w:t xml:space="preserve">should be considered concurrently with the cost analysis of CMR vs </w:t>
      </w:r>
      <w:r w:rsidR="00CD1C6A">
        <w:t>GHPS</w:t>
      </w:r>
      <w:r>
        <w:t xml:space="preserve"> or </w:t>
      </w:r>
      <w:r w:rsidR="0050717A">
        <w:t>contrast echo</w:t>
      </w:r>
      <w:r w:rsidR="0050717A" w:rsidRPr="00094D3C">
        <w:t>cardiography</w:t>
      </w:r>
      <w:r w:rsidR="0050717A">
        <w:t xml:space="preserve"> </w:t>
      </w:r>
      <w:r w:rsidR="00CD1C6A">
        <w:t>includes</w:t>
      </w:r>
      <w:r w:rsidRPr="00966B95">
        <w:t>:</w:t>
      </w:r>
    </w:p>
    <w:p w14:paraId="01860A5E" w14:textId="38E3C6BA" w:rsidR="000E482F" w:rsidRPr="00966B95" w:rsidRDefault="000E482F" w:rsidP="004C79C1">
      <w:pPr>
        <w:pStyle w:val="ListParagraph"/>
        <w:numPr>
          <w:ilvl w:val="0"/>
          <w:numId w:val="63"/>
        </w:numPr>
        <w:spacing w:after="120" w:line="240" w:lineRule="auto"/>
        <w:jc w:val="both"/>
      </w:pPr>
      <w:r w:rsidRPr="00966B95">
        <w:t>Patient acceptability</w:t>
      </w:r>
      <w:r w:rsidR="008D1E02">
        <w:t>—d</w:t>
      </w:r>
      <w:r w:rsidRPr="00966B95">
        <w:t>ue to the confined space within a</w:t>
      </w:r>
      <w:r w:rsidR="006578BD">
        <w:t>n</w:t>
      </w:r>
      <w:r w:rsidRPr="00966B95">
        <w:t xml:space="preserve"> MRI scanner and the duration of the time required </w:t>
      </w:r>
      <w:proofErr w:type="gramStart"/>
      <w:r w:rsidRPr="00966B95">
        <w:t>to be</w:t>
      </w:r>
      <w:proofErr w:type="gramEnd"/>
      <w:r w:rsidRPr="00966B95">
        <w:t xml:space="preserve"> in the scanner (60</w:t>
      </w:r>
      <w:r w:rsidR="006578BD">
        <w:t> </w:t>
      </w:r>
      <w:r w:rsidRPr="00966B95">
        <w:t>minutes),</w:t>
      </w:r>
      <w:r w:rsidR="006578BD">
        <w:t xml:space="preserve"> </w:t>
      </w:r>
      <w:r w:rsidRPr="00966B95">
        <w:t xml:space="preserve">CMR may not be as acceptable to patients as </w:t>
      </w:r>
      <w:r w:rsidR="006578BD">
        <w:t>a GHPS</w:t>
      </w:r>
      <w:r>
        <w:t xml:space="preserve"> or </w:t>
      </w:r>
      <w:r w:rsidR="0050717A">
        <w:t>contrast echo</w:t>
      </w:r>
      <w:r w:rsidR="0050717A" w:rsidRPr="00094D3C">
        <w:t>cardiography</w:t>
      </w:r>
      <w:r>
        <w:t>.</w:t>
      </w:r>
    </w:p>
    <w:p w14:paraId="0E4879DD" w14:textId="72E2F6D4" w:rsidR="000E482F" w:rsidRPr="00966B95" w:rsidRDefault="000E482F" w:rsidP="004C79C1">
      <w:pPr>
        <w:pStyle w:val="ListParagraph"/>
        <w:numPr>
          <w:ilvl w:val="0"/>
          <w:numId w:val="63"/>
        </w:numPr>
        <w:spacing w:after="120" w:line="240" w:lineRule="auto"/>
        <w:jc w:val="both"/>
      </w:pPr>
      <w:r w:rsidRPr="00966B95">
        <w:t>Relative accessibility/timeliness</w:t>
      </w:r>
      <w:r w:rsidR="008D1E02">
        <w:t>—</w:t>
      </w:r>
      <w:r w:rsidRPr="00966B95">
        <w:t xml:space="preserve">while both </w:t>
      </w:r>
      <w:r>
        <w:t xml:space="preserve">CMR and GBPS </w:t>
      </w:r>
      <w:r w:rsidRPr="00966B95">
        <w:t xml:space="preserve">require a referral subsequent to the suboptimal </w:t>
      </w:r>
      <w:r w:rsidR="0050717A">
        <w:t>echocardiogram</w:t>
      </w:r>
      <w:r w:rsidRPr="00966B95">
        <w:t xml:space="preserve">, CMR is by specialist referral only, whereas referral to </w:t>
      </w:r>
      <w:r w:rsidR="00E87AE9">
        <w:t>GHPS</w:t>
      </w:r>
      <w:r w:rsidRPr="00966B95">
        <w:t xml:space="preserve"> can be made by </w:t>
      </w:r>
      <w:r w:rsidR="00E87AE9">
        <w:t xml:space="preserve">a </w:t>
      </w:r>
      <w:r w:rsidRPr="00966B95">
        <w:t>GP or specialist. Alternat</w:t>
      </w:r>
      <w:r w:rsidR="00E87AE9">
        <w:t>iv</w:t>
      </w:r>
      <w:r w:rsidRPr="00966B95">
        <w:t xml:space="preserve">ely, </w:t>
      </w:r>
      <w:r w:rsidR="002163AA">
        <w:t xml:space="preserve">a </w:t>
      </w:r>
      <w:r w:rsidR="0050717A">
        <w:t>contrast echo</w:t>
      </w:r>
      <w:r w:rsidR="0050717A" w:rsidRPr="00094D3C">
        <w:t>cardiography</w:t>
      </w:r>
      <w:r w:rsidR="0050717A" w:rsidRPr="00966B95">
        <w:t xml:space="preserve"> </w:t>
      </w:r>
      <w:r w:rsidRPr="00966B95">
        <w:t>is primarily performed in the same visit as the initial (</w:t>
      </w:r>
      <w:r>
        <w:t>inconclusive</w:t>
      </w:r>
      <w:r w:rsidRPr="00966B95">
        <w:t xml:space="preserve">) </w:t>
      </w:r>
      <w:r w:rsidR="0050717A">
        <w:t>echo</w:t>
      </w:r>
      <w:r w:rsidR="0050717A" w:rsidRPr="00094D3C">
        <w:t>cardiography</w:t>
      </w:r>
      <w:r w:rsidR="0050717A" w:rsidRPr="00966B95" w:rsidDel="00846D10">
        <w:t xml:space="preserve"> </w:t>
      </w:r>
      <w:r w:rsidRPr="00966B95">
        <w:t xml:space="preserve">(MSAC </w:t>
      </w:r>
      <w:r w:rsidR="006872F6">
        <w:t xml:space="preserve">Application no. </w:t>
      </w:r>
      <w:r w:rsidRPr="00966B95">
        <w:t>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r w:rsidRPr="00966B95">
        <w:t>)</w:t>
      </w:r>
      <w:r w:rsidR="00E87AE9">
        <w:t>;</w:t>
      </w:r>
      <w:r>
        <w:t xml:space="preserve"> </w:t>
      </w:r>
      <w:r w:rsidRPr="00966B95">
        <w:t xml:space="preserve">however, </w:t>
      </w:r>
      <w:r>
        <w:t xml:space="preserve">it </w:t>
      </w:r>
      <w:r w:rsidRPr="00966B95">
        <w:t xml:space="preserve">is not listed on the MBS and patients may have to cover </w:t>
      </w:r>
      <w:r w:rsidR="00E87AE9">
        <w:t xml:space="preserve">any </w:t>
      </w:r>
      <w:r w:rsidRPr="00966B95">
        <w:t>additional expenses associated with the contrast and its administration</w:t>
      </w:r>
      <w:r>
        <w:t xml:space="preserve">, which </w:t>
      </w:r>
      <w:r w:rsidRPr="00966B95">
        <w:t xml:space="preserve">may potentially </w:t>
      </w:r>
      <w:r>
        <w:t>limit access</w:t>
      </w:r>
      <w:r w:rsidRPr="00966B95">
        <w:t>.</w:t>
      </w:r>
      <w:r w:rsidRPr="00975CA0">
        <w:t xml:space="preserve"> </w:t>
      </w:r>
      <w:r w:rsidRPr="00966B95">
        <w:t xml:space="preserve">Access to CMR may also be limited due to the duration required for CMR and </w:t>
      </w:r>
      <w:r w:rsidR="00447A22">
        <w:t xml:space="preserve">the </w:t>
      </w:r>
      <w:r w:rsidRPr="00966B95">
        <w:t xml:space="preserve">demand in other </w:t>
      </w:r>
      <w:r>
        <w:t>medical areas</w:t>
      </w:r>
      <w:r w:rsidRPr="00966B95">
        <w:t>.</w:t>
      </w:r>
    </w:p>
    <w:p w14:paraId="0D77D23B" w14:textId="14A1AAC0" w:rsidR="000E482F" w:rsidRPr="00966B95" w:rsidRDefault="000E482F" w:rsidP="004C79C1">
      <w:pPr>
        <w:pStyle w:val="ListParagraph"/>
        <w:numPr>
          <w:ilvl w:val="0"/>
          <w:numId w:val="63"/>
        </w:numPr>
        <w:spacing w:after="120" w:line="240" w:lineRule="auto"/>
        <w:jc w:val="both"/>
      </w:pPr>
      <w:r w:rsidRPr="00966B95">
        <w:t>Additional clinical information provided</w:t>
      </w:r>
      <w:r w:rsidR="008D1E02">
        <w:t>—p</w:t>
      </w:r>
      <w:r w:rsidRPr="00966B95">
        <w:t xml:space="preserve">atients in whom </w:t>
      </w:r>
      <w:r>
        <w:t xml:space="preserve">either </w:t>
      </w:r>
      <w:r w:rsidR="00A17DA0">
        <w:t>a GHPS</w:t>
      </w:r>
      <w:r w:rsidRPr="00966B95">
        <w:t xml:space="preserve"> </w:t>
      </w:r>
      <w:r>
        <w:t xml:space="preserve">or </w:t>
      </w:r>
      <w:r w:rsidR="0050717A">
        <w:t>contrast echo</w:t>
      </w:r>
      <w:r w:rsidR="0050717A" w:rsidRPr="00094D3C">
        <w:t>cardiography</w:t>
      </w:r>
      <w:r w:rsidR="0050717A">
        <w:t xml:space="preserve"> </w:t>
      </w:r>
      <w:r w:rsidRPr="00966B95">
        <w:t xml:space="preserve">identifies </w:t>
      </w:r>
      <w:r w:rsidR="00D23B8C">
        <w:t xml:space="preserve">a </w:t>
      </w:r>
      <w:r w:rsidRPr="00966B95">
        <w:t>dilated LV will then require further testing for diagnostic clarification, unlike CMR</w:t>
      </w:r>
      <w:r w:rsidR="00A17DA0">
        <w:t>,</w:t>
      </w:r>
      <w:r w:rsidRPr="00966B95">
        <w:t xml:space="preserve"> which can provide resolution and further diagnostic clarification at the same time. As the proportion of initially indeterminate patients who have </w:t>
      </w:r>
      <w:r w:rsidR="00D23B8C">
        <w:t xml:space="preserve">a </w:t>
      </w:r>
      <w:r w:rsidRPr="00966B95">
        <w:t xml:space="preserve">dilated LV is unknown, </w:t>
      </w:r>
      <w:r w:rsidR="00ED142F">
        <w:t>as is</w:t>
      </w:r>
      <w:r w:rsidRPr="00966B95">
        <w:t xml:space="preserve"> the risk of CAD in these patients (which determines the type of testing for diagnostic clarification), further downstream testing costs have not been included in the analysis, due to a high degree of uncertainty in their quantification. This is a conservative assumption, as any costs included will be incurred in the comparator arm only.</w:t>
      </w:r>
    </w:p>
    <w:p w14:paraId="48C8D03A" w14:textId="7597F7C6" w:rsidR="000E482F" w:rsidRPr="00966B95" w:rsidRDefault="000E482F" w:rsidP="004C79C1">
      <w:pPr>
        <w:pStyle w:val="ListParagraph"/>
        <w:numPr>
          <w:ilvl w:val="0"/>
          <w:numId w:val="63"/>
        </w:numPr>
        <w:spacing w:after="120" w:line="240" w:lineRule="auto"/>
        <w:jc w:val="both"/>
      </w:pPr>
      <w:r w:rsidRPr="00966B95">
        <w:t>Incidence of side effects</w:t>
      </w:r>
      <w:r w:rsidR="008D1E02">
        <w:t>—</w:t>
      </w:r>
      <w:r w:rsidRPr="00966B95">
        <w:t xml:space="preserve">the incidence of acute AEs related to testing is </w:t>
      </w:r>
      <w:r>
        <w:t xml:space="preserve">generally </w:t>
      </w:r>
      <w:r w:rsidRPr="00966B95">
        <w:t>low</w:t>
      </w:r>
      <w:r w:rsidR="00ED142F">
        <w:t>;</w:t>
      </w:r>
      <w:r>
        <w:t xml:space="preserve"> however</w:t>
      </w:r>
      <w:r w:rsidR="00ED142F">
        <w:t>,</w:t>
      </w:r>
      <w:r>
        <w:t xml:space="preserve"> </w:t>
      </w:r>
      <w:r w:rsidRPr="00966B95">
        <w:t xml:space="preserve">with use of </w:t>
      </w:r>
      <w:r w:rsidR="00ED142F">
        <w:t>a GHPS</w:t>
      </w:r>
      <w:r>
        <w:t xml:space="preserve">, involving </w:t>
      </w:r>
      <w:r w:rsidRPr="00966B95">
        <w:t>the use of radiotracers, there is a long-term fatal cancer risk of approx</w:t>
      </w:r>
      <w:r w:rsidR="009E12BD">
        <w:t>imately</w:t>
      </w:r>
      <w:r w:rsidRPr="00966B95">
        <w:t xml:space="preserve"> 7.8 per 10,000 patients (</w:t>
      </w:r>
      <w:r w:rsidR="008A1F4E">
        <w:t>s</w:t>
      </w:r>
      <w:r w:rsidRPr="00966B95">
        <w:t>ection B7)</w:t>
      </w:r>
      <w:r>
        <w:t xml:space="preserve">; with </w:t>
      </w:r>
      <w:r w:rsidR="0050717A" w:rsidRPr="0050717A">
        <w:t>contrast echocardiography</w:t>
      </w:r>
      <w:r>
        <w:t>,</w:t>
      </w:r>
      <w:r w:rsidRPr="00966B95">
        <w:t xml:space="preserve"> acute allergic reaction</w:t>
      </w:r>
      <w:r>
        <w:t>s</w:t>
      </w:r>
      <w:r w:rsidRPr="00966B95">
        <w:t xml:space="preserve"> </w:t>
      </w:r>
      <w:r>
        <w:t>occur in approx</w:t>
      </w:r>
      <w:r w:rsidR="009E12BD">
        <w:t>imately</w:t>
      </w:r>
      <w:r>
        <w:t xml:space="preserve"> 3 per 10,000 patients</w:t>
      </w:r>
      <w:r w:rsidR="0062264D">
        <w:t>;</w:t>
      </w:r>
      <w:r>
        <w:t xml:space="preserve"> and with CMR</w:t>
      </w:r>
      <w:r w:rsidR="009E12BD">
        <w:t>,</w:t>
      </w:r>
      <w:r>
        <w:t xml:space="preserve"> </w:t>
      </w:r>
      <w:r w:rsidR="009E12BD">
        <w:t xml:space="preserve">the </w:t>
      </w:r>
      <w:r>
        <w:t xml:space="preserve">use of </w:t>
      </w:r>
      <w:r w:rsidR="009E12BD">
        <w:t>Gd</w:t>
      </w:r>
      <w:r w:rsidR="009E12BD" w:rsidRPr="00966B95">
        <w:t xml:space="preserve"> </w:t>
      </w:r>
      <w:r w:rsidRPr="00966B95">
        <w:t xml:space="preserve">contrast </w:t>
      </w:r>
      <w:r>
        <w:t xml:space="preserve">is associated with </w:t>
      </w:r>
      <w:r w:rsidRPr="00966B95">
        <w:t>long-term nephrotic toxicity, with a mortality risk of approx. 6.6 per 10,000 doses (</w:t>
      </w:r>
      <w:r w:rsidR="008A1F4E">
        <w:t>s</w:t>
      </w:r>
      <w:r w:rsidRPr="00966B95">
        <w:t xml:space="preserve">ection B7). </w:t>
      </w:r>
    </w:p>
    <w:p w14:paraId="5AE91866" w14:textId="6E13BE44" w:rsidR="000E482F" w:rsidRPr="00966B95" w:rsidRDefault="000E482F" w:rsidP="00161B88">
      <w:pPr>
        <w:pStyle w:val="Heading3"/>
      </w:pPr>
      <w:bookmarkStart w:id="541" w:name="_Toc449428903"/>
      <w:bookmarkStart w:id="542" w:name="_Toc451501375"/>
      <w:r w:rsidRPr="00966B95">
        <w:lastRenderedPageBreak/>
        <w:t>D6</w:t>
      </w:r>
      <w:proofErr w:type="gramStart"/>
      <w:r w:rsidRPr="00966B95">
        <w:t>.(</w:t>
      </w:r>
      <w:proofErr w:type="gramEnd"/>
      <w:r w:rsidRPr="00966B95">
        <w:t>i)</w:t>
      </w:r>
      <w:r>
        <w:t xml:space="preserve"> CA</w:t>
      </w:r>
      <w:r w:rsidRPr="00966B95">
        <w:tab/>
        <w:t>Sensitivity analyses</w:t>
      </w:r>
      <w:bookmarkEnd w:id="541"/>
      <w:bookmarkEnd w:id="542"/>
    </w:p>
    <w:p w14:paraId="3B59E29D" w14:textId="2FEFC7FA" w:rsidR="000E482F" w:rsidRPr="00966B95" w:rsidRDefault="000E482F" w:rsidP="004C79C1">
      <w:pPr>
        <w:shd w:val="clear" w:color="auto" w:fill="FFFFFF" w:themeFill="background1"/>
        <w:spacing w:after="120" w:line="240" w:lineRule="auto"/>
        <w:jc w:val="both"/>
      </w:pPr>
      <w:r w:rsidRPr="00966B95">
        <w:t xml:space="preserve">Sensitivity analysis were conducted around the incremental cost of CMR compared </w:t>
      </w:r>
      <w:r w:rsidR="00752D6F">
        <w:t>with</w:t>
      </w:r>
      <w:r w:rsidR="00752D6F" w:rsidRPr="00966B95">
        <w:t xml:space="preserve"> </w:t>
      </w:r>
      <w:r w:rsidR="00752D6F">
        <w:t>GHPS</w:t>
      </w:r>
      <w:r>
        <w:t xml:space="preserve"> and </w:t>
      </w:r>
      <w:r w:rsidR="0050717A">
        <w:t>contrast echo</w:t>
      </w:r>
      <w:r w:rsidR="0050717A" w:rsidRPr="00094D3C">
        <w:t>cardiography</w:t>
      </w:r>
      <w:r>
        <w:t xml:space="preserve">, </w:t>
      </w:r>
      <w:r w:rsidRPr="00966B95">
        <w:t xml:space="preserve">testing key assumptions </w:t>
      </w:r>
      <w:r w:rsidRPr="00F51222">
        <w:t>(</w:t>
      </w:r>
      <w:r w:rsidR="0062264D">
        <w:t xml:space="preserve">see </w:t>
      </w:r>
      <w:r w:rsidRPr="00F51222">
        <w:t xml:space="preserve">Appendix K, </w:t>
      </w:r>
      <w:r w:rsidR="00931520">
        <w:fldChar w:fldCharType="begin"/>
      </w:r>
      <w:r w:rsidR="00931520">
        <w:instrText xml:space="preserve"> REF _Ref449546412 \h </w:instrText>
      </w:r>
      <w:r w:rsidR="00931520">
        <w:fldChar w:fldCharType="separate"/>
      </w:r>
      <w:r w:rsidR="00931520">
        <w:t xml:space="preserve">Table </w:t>
      </w:r>
      <w:r w:rsidR="00931520">
        <w:rPr>
          <w:noProof/>
        </w:rPr>
        <w:t>101</w:t>
      </w:r>
      <w:r w:rsidR="00931520">
        <w:fldChar w:fldCharType="end"/>
      </w:r>
      <w:r w:rsidR="00931520">
        <w:t xml:space="preserve"> </w:t>
      </w:r>
      <w:r w:rsidR="002F0510">
        <w:t xml:space="preserve">and </w:t>
      </w:r>
      <w:r w:rsidR="00931520">
        <w:fldChar w:fldCharType="begin"/>
      </w:r>
      <w:r w:rsidR="00931520">
        <w:instrText xml:space="preserve"> REF _Ref449546426 \h </w:instrText>
      </w:r>
      <w:r w:rsidR="00931520">
        <w:fldChar w:fldCharType="separate"/>
      </w:r>
      <w:r w:rsidR="00931520">
        <w:t xml:space="preserve">Table </w:t>
      </w:r>
      <w:r w:rsidR="00931520">
        <w:rPr>
          <w:noProof/>
        </w:rPr>
        <w:t>102</w:t>
      </w:r>
      <w:r w:rsidR="00931520">
        <w:fldChar w:fldCharType="end"/>
      </w:r>
      <w:r w:rsidR="002F0510">
        <w:t>, respectively</w:t>
      </w:r>
      <w:r w:rsidRPr="00F51222">
        <w:t>).</w:t>
      </w:r>
    </w:p>
    <w:p w14:paraId="0257678C" w14:textId="64087DA9" w:rsidR="000E482F" w:rsidRPr="00966B95" w:rsidRDefault="000E482F" w:rsidP="004C79C1">
      <w:pPr>
        <w:shd w:val="clear" w:color="auto" w:fill="FFFFFF" w:themeFill="background1"/>
        <w:spacing w:after="120" w:line="240" w:lineRule="auto"/>
        <w:jc w:val="both"/>
      </w:pPr>
      <w:r w:rsidRPr="00A51EF0">
        <w:t>CMR is consistently more expensive than either comparator in the population</w:t>
      </w:r>
      <w:r w:rsidR="00363B9F">
        <w:t>,</w:t>
      </w:r>
      <w:r w:rsidRPr="00A51EF0">
        <w:t xml:space="preserve"> with indeterminate </w:t>
      </w:r>
      <w:r w:rsidR="0050717A" w:rsidRPr="0050717A">
        <w:t xml:space="preserve">echocardiogram </w:t>
      </w:r>
      <w:r w:rsidRPr="00A51EF0">
        <w:t>across all sensitivity analyses tested</w:t>
      </w:r>
      <w:r w:rsidR="00363B9F">
        <w:t>;</w:t>
      </w:r>
      <w:r w:rsidRPr="00A51EF0">
        <w:t xml:space="preserve"> however</w:t>
      </w:r>
      <w:r w:rsidR="00363B9F">
        <w:t>,</w:t>
      </w:r>
      <w:r w:rsidRPr="00966B95">
        <w:t xml:space="preserve"> not all </w:t>
      </w:r>
      <w:r w:rsidR="00363B9F">
        <w:t xml:space="preserve">the </w:t>
      </w:r>
      <w:r w:rsidRPr="00966B95">
        <w:t>benefits of CMR have been quantified.</w:t>
      </w:r>
    </w:p>
    <w:p w14:paraId="6E2C1669" w14:textId="36C2F461" w:rsidR="000E482F" w:rsidRDefault="000E482F" w:rsidP="004C79C1">
      <w:pPr>
        <w:shd w:val="clear" w:color="auto" w:fill="FFFFFF" w:themeFill="background1"/>
        <w:spacing w:after="120" w:line="240" w:lineRule="auto"/>
        <w:jc w:val="both"/>
      </w:pPr>
      <w:r w:rsidRPr="00966B95">
        <w:t xml:space="preserve">The benefits of CMR that have not been quantified include that CMR can provide resolution to the initial indeterminate </w:t>
      </w:r>
      <w:r w:rsidR="0050717A">
        <w:t xml:space="preserve">echocardiogram </w:t>
      </w:r>
      <w:r w:rsidRPr="00966B95">
        <w:t xml:space="preserve">and further diagnostic clarification at the same time, whereas for either comparator further testing would be required in those who are found to have </w:t>
      </w:r>
      <w:r w:rsidR="00363B9F">
        <w:t>a</w:t>
      </w:r>
      <w:r w:rsidR="003616DA">
        <w:t xml:space="preserve"> </w:t>
      </w:r>
      <w:r w:rsidRPr="00966B95">
        <w:t xml:space="preserve">dilated LV. However, CMR may be associated with lower patient acceptability and accessibility issues. Furthermore, the relative accuracy of CMR compared </w:t>
      </w:r>
      <w:r w:rsidR="00363B9F">
        <w:t>with</w:t>
      </w:r>
      <w:r w:rsidR="00363B9F" w:rsidRPr="00966B95">
        <w:t xml:space="preserve"> </w:t>
      </w:r>
      <w:r w:rsidRPr="00966B95">
        <w:t xml:space="preserve">either </w:t>
      </w:r>
      <w:r w:rsidR="00363B9F">
        <w:t>GHPS</w:t>
      </w:r>
      <w:r w:rsidRPr="00966B95">
        <w:t xml:space="preserve"> or </w:t>
      </w:r>
      <w:r w:rsidR="0050717A">
        <w:t>contrast echo</w:t>
      </w:r>
      <w:r w:rsidR="0050717A" w:rsidRPr="00094D3C">
        <w:t>cardiography</w:t>
      </w:r>
      <w:r w:rsidR="0050717A">
        <w:t xml:space="preserve"> </w:t>
      </w:r>
      <w:r w:rsidRPr="0034390B">
        <w:t>is unknown.</w:t>
      </w:r>
    </w:p>
    <w:p w14:paraId="2D98E4AA" w14:textId="6624FA76" w:rsidR="000E482F" w:rsidRPr="00A51EF0" w:rsidRDefault="000E482F" w:rsidP="004C79C1">
      <w:pPr>
        <w:pStyle w:val="Heading2"/>
        <w:spacing w:before="0" w:after="120" w:line="240" w:lineRule="auto"/>
        <w:rPr>
          <w:u w:val="single"/>
        </w:rPr>
      </w:pPr>
      <w:bookmarkStart w:id="543" w:name="_Toc449428904"/>
      <w:bookmarkStart w:id="544" w:name="_Toc451501376"/>
      <w:r w:rsidRPr="00A51EF0">
        <w:rPr>
          <w:u w:val="single"/>
        </w:rPr>
        <w:t xml:space="preserve">Population iiA: </w:t>
      </w:r>
      <w:r w:rsidR="0018509C">
        <w:rPr>
          <w:u w:val="single"/>
        </w:rPr>
        <w:t>P</w:t>
      </w:r>
      <w:r w:rsidRPr="00A51EF0">
        <w:rPr>
          <w:u w:val="single"/>
        </w:rPr>
        <w:t xml:space="preserve">atients with </w:t>
      </w:r>
      <w:r w:rsidR="00092A03">
        <w:rPr>
          <w:u w:val="single"/>
        </w:rPr>
        <w:t xml:space="preserve">a </w:t>
      </w:r>
      <w:r w:rsidR="0018509C">
        <w:rPr>
          <w:u w:val="single"/>
        </w:rPr>
        <w:t>D</w:t>
      </w:r>
      <w:r w:rsidRPr="00A51EF0">
        <w:rPr>
          <w:u w:val="single"/>
        </w:rPr>
        <w:t xml:space="preserve">ilated LV and Low Risk of CAD (or </w:t>
      </w:r>
      <w:r w:rsidR="0018509C">
        <w:rPr>
          <w:u w:val="single"/>
        </w:rPr>
        <w:t>K</w:t>
      </w:r>
      <w:r w:rsidRPr="00A51EF0">
        <w:rPr>
          <w:u w:val="single"/>
        </w:rPr>
        <w:t>nown NIDCM)</w:t>
      </w:r>
      <w:bookmarkEnd w:id="543"/>
      <w:bookmarkEnd w:id="544"/>
    </w:p>
    <w:p w14:paraId="5D892AAB" w14:textId="37B5A9F6" w:rsidR="000E482F" w:rsidRDefault="000E482F" w:rsidP="004C79C1">
      <w:pPr>
        <w:spacing w:after="120" w:line="240" w:lineRule="auto"/>
        <w:jc w:val="both"/>
      </w:pPr>
      <w:r>
        <w:t>In this population the applicant claimed that the key benefit of CMR beyond the diagnostic accuracy for identifying DCM is the ability to define the aetiology and hence alter patient management. Thus</w:t>
      </w:r>
      <w:r w:rsidR="00092A03">
        <w:t>,</w:t>
      </w:r>
      <w:r>
        <w:t xml:space="preserve"> an economic model has been developed to measure the costs and extent to which management is changed. A lack of data on long-term health outcomes precludes further modelling.</w:t>
      </w:r>
    </w:p>
    <w:p w14:paraId="7236C4F3" w14:textId="4F4612B1" w:rsidR="000E482F" w:rsidRPr="00B118A0" w:rsidRDefault="000E482F" w:rsidP="00161B88">
      <w:pPr>
        <w:pStyle w:val="Heading3"/>
      </w:pPr>
      <w:bookmarkStart w:id="545" w:name="_Toc449428905"/>
      <w:bookmarkStart w:id="546" w:name="_Toc451501377"/>
      <w:r w:rsidRPr="00B118A0">
        <w:rPr>
          <w:rStyle w:val="Heading3Char"/>
          <w:b/>
          <w:smallCaps/>
        </w:rPr>
        <w:t>D2</w:t>
      </w:r>
      <w:proofErr w:type="gramStart"/>
      <w:r w:rsidRPr="00B118A0">
        <w:rPr>
          <w:rStyle w:val="Heading3Char"/>
          <w:b/>
          <w:smallCaps/>
        </w:rPr>
        <w:t>.(</w:t>
      </w:r>
      <w:proofErr w:type="gramEnd"/>
      <w:r w:rsidRPr="00B118A0">
        <w:rPr>
          <w:rStyle w:val="Heading3Char"/>
          <w:b/>
          <w:smallCaps/>
        </w:rPr>
        <w:t>iiA)</w:t>
      </w:r>
      <w:r>
        <w:rPr>
          <w:rStyle w:val="Heading3Char"/>
          <w:b/>
          <w:smallCaps/>
        </w:rPr>
        <w:tab/>
      </w:r>
      <w:r w:rsidRPr="00B118A0">
        <w:rPr>
          <w:rStyle w:val="Heading3Char"/>
          <w:b/>
          <w:smallCaps/>
        </w:rPr>
        <w:t>Population and setting</w:t>
      </w:r>
      <w:bookmarkEnd w:id="545"/>
      <w:bookmarkEnd w:id="546"/>
    </w:p>
    <w:p w14:paraId="3A2E8E85" w14:textId="7445CCF3" w:rsidR="000E482F" w:rsidRDefault="000E482F" w:rsidP="004C79C1">
      <w:pPr>
        <w:spacing w:after="120" w:line="240" w:lineRule="auto"/>
        <w:jc w:val="both"/>
      </w:pPr>
      <w:r w:rsidRPr="00DF2DFC" w:rsidDel="00B118A0">
        <w:t xml:space="preserve">This subgroup includes patients presenting with </w:t>
      </w:r>
      <w:r w:rsidR="00092A03">
        <w:t>HF</w:t>
      </w:r>
      <w:r w:rsidRPr="00DF2DFC" w:rsidDel="00B118A0">
        <w:t xml:space="preserve"> symptoms, </w:t>
      </w:r>
      <w:r w:rsidR="00057BC5">
        <w:t xml:space="preserve">a </w:t>
      </w:r>
      <w:r w:rsidRPr="00DF2DFC" w:rsidDel="00B118A0">
        <w:t xml:space="preserve">dilated LV and systolic dysfunction with </w:t>
      </w:r>
      <w:r w:rsidR="00057BC5">
        <w:t xml:space="preserve">a </w:t>
      </w:r>
      <w:r w:rsidRPr="00DF2DFC" w:rsidDel="00B118A0">
        <w:t xml:space="preserve">low risk of CAD. </w:t>
      </w:r>
      <w:r>
        <w:t>For the purposes of the economic analysis, patients who have DCM and have already been investigated for ischaemia using other tests</w:t>
      </w:r>
      <w:r w:rsidR="00057BC5">
        <w:t>,</w:t>
      </w:r>
      <w:r>
        <w:t xml:space="preserve"> and have been identified as having non-ischaemic disease</w:t>
      </w:r>
      <w:r w:rsidR="00057BC5">
        <w:t>,</w:t>
      </w:r>
      <w:r>
        <w:t xml:space="preserve"> are also included in this modelled population.</w:t>
      </w:r>
      <w:r w:rsidRPr="00A77CC3" w:rsidDel="00B118A0">
        <w:t xml:space="preserve"> </w:t>
      </w:r>
      <w:r w:rsidRPr="00DF2DFC" w:rsidDel="00B118A0">
        <w:t xml:space="preserve">Patients </w:t>
      </w:r>
      <w:r>
        <w:t xml:space="preserve">anticipated or shown to </w:t>
      </w:r>
      <w:r w:rsidRPr="00DF2DFC" w:rsidDel="00B118A0">
        <w:t xml:space="preserve">have NIDCM </w:t>
      </w:r>
      <w:r>
        <w:t xml:space="preserve">will often </w:t>
      </w:r>
      <w:r w:rsidRPr="00DF2DFC" w:rsidDel="00B118A0">
        <w:t>need further diagnostic clarification to identify the aetiology</w:t>
      </w:r>
      <w:r>
        <w:t>.</w:t>
      </w:r>
    </w:p>
    <w:p w14:paraId="271E620E" w14:textId="07FB96A6" w:rsidR="000E482F" w:rsidRDefault="000E482F" w:rsidP="004C79C1">
      <w:pPr>
        <w:spacing w:after="120" w:line="240" w:lineRule="auto"/>
        <w:jc w:val="both"/>
        <w:rPr>
          <w:szCs w:val="23"/>
        </w:rPr>
      </w:pPr>
      <w:r w:rsidRPr="002A048E">
        <w:t xml:space="preserve">For </w:t>
      </w:r>
      <w:r>
        <w:t xml:space="preserve">these </w:t>
      </w:r>
      <w:r w:rsidRPr="002A048E">
        <w:t xml:space="preserve">patients </w:t>
      </w:r>
      <w:r>
        <w:t>(</w:t>
      </w:r>
      <w:r w:rsidR="00E34F38">
        <w:t xml:space="preserve">i.e. </w:t>
      </w:r>
      <w:r>
        <w:t>without CAD</w:t>
      </w:r>
      <w:r w:rsidR="00057BC5">
        <w:t xml:space="preserve"> and </w:t>
      </w:r>
      <w:r w:rsidRPr="002A048E">
        <w:t xml:space="preserve">with </w:t>
      </w:r>
      <w:r w:rsidR="00057BC5">
        <w:t xml:space="preserve">a </w:t>
      </w:r>
      <w:r w:rsidRPr="002A048E">
        <w:t>low risk of CAD</w:t>
      </w:r>
      <w:r>
        <w:t>)</w:t>
      </w:r>
      <w:r w:rsidRPr="002A048E">
        <w:t xml:space="preserve">, CMR is </w:t>
      </w:r>
      <w:r>
        <w:t xml:space="preserve">primarily </w:t>
      </w:r>
      <w:r w:rsidRPr="002A048E">
        <w:t xml:space="preserve">intended to be used as an adjunct test, but </w:t>
      </w:r>
      <w:r>
        <w:t xml:space="preserve">it </w:t>
      </w:r>
      <w:r w:rsidRPr="002A048E">
        <w:t>may replace existing tests in specific circumstances</w:t>
      </w:r>
      <w:r>
        <w:t>. The</w:t>
      </w:r>
      <w:r w:rsidRPr="00C15E83">
        <w:t xml:space="preserve"> </w:t>
      </w:r>
      <w:r>
        <w:t>alternative investigations for determining the aetiology of DCM may include more</w:t>
      </w:r>
      <w:r w:rsidR="00F42F6E">
        <w:t>-</w:t>
      </w:r>
      <w:r>
        <w:t>extensive pathology tests, genetic testing, 24-hour ECG, exercise testing with measurement of peak oxygen uptake</w:t>
      </w:r>
      <w:r w:rsidR="00F42F6E">
        <w:t>,</w:t>
      </w:r>
      <w:r>
        <w:t xml:space="preserve"> and right-sided cardiac catheterisation with EMB </w:t>
      </w:r>
      <w:r>
        <w:fldChar w:fldCharType="begin">
          <w:fldData xml:space="preserve">PEVuZE5vdGU+PENpdGU+PEF1dGhvcj5Ccm9jaDwvQXV0aG9yPjxZZWFyPjIwMTU8L1llYXI+PFJl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</w:fldData>
        </w:fldChar>
      </w:r>
      <w:r>
        <w:instrText xml:space="preserve"> ADDIN EN.CITE </w:instrText>
      </w:r>
      <w:r>
        <w:fldChar w:fldCharType="begin">
          <w:fldData xml:space="preserve">PEVuZE5vdGU+PENpdGU+PEF1dGhvcj5Ccm9jaDwvQXV0aG9yPjxZZWFyPjIwMTU8L1llYXI+PFJl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</w:fldData>
        </w:fldChar>
      </w:r>
      <w:r>
        <w:instrText xml:space="preserve"> ADDIN EN.CITE.DATA </w:instrText>
      </w:r>
      <w:r>
        <w:fldChar w:fldCharType="end"/>
      </w:r>
      <w:r>
        <w:fldChar w:fldCharType="separate"/>
      </w:r>
      <w:r>
        <w:rPr>
          <w:noProof/>
        </w:rPr>
        <w:t>(</w:t>
      </w:r>
      <w:hyperlink w:anchor="_ENREF_16" w:tooltip="Broch, 2015 #107" w:history="1">
        <w:r>
          <w:rPr>
            <w:noProof/>
          </w:rPr>
          <w:t>Broch et al. 2015</w:t>
        </w:r>
      </w:hyperlink>
      <w:r>
        <w:rPr>
          <w:noProof/>
        </w:rPr>
        <w:t>)</w:t>
      </w:r>
      <w:r>
        <w:fldChar w:fldCharType="end"/>
      </w:r>
      <w:r>
        <w:rPr>
          <w:szCs w:val="23"/>
        </w:rPr>
        <w:t>.</w:t>
      </w:r>
      <w:r>
        <w:t xml:space="preserve"> </w:t>
      </w:r>
      <w:r>
        <w:rPr>
          <w:szCs w:val="23"/>
        </w:rPr>
        <w:t>In Australia the further testing currently involves blood tests and would occasionally involve invasive EMB. It is proposed that CMR may be used to triage or prevent patients requiring EMB.</w:t>
      </w:r>
    </w:p>
    <w:p w14:paraId="53A46F7A" w14:textId="76FF4C95" w:rsidR="000E482F" w:rsidRPr="006A5FC8" w:rsidRDefault="000E482F" w:rsidP="004C79C1">
      <w:pPr>
        <w:spacing w:after="120" w:line="240" w:lineRule="auto"/>
        <w:jc w:val="both"/>
        <w:rPr>
          <w:szCs w:val="23"/>
        </w:rPr>
      </w:pPr>
      <w:r w:rsidRPr="006A5FC8">
        <w:rPr>
          <w:b/>
          <w:szCs w:val="23"/>
        </w:rPr>
        <w:t xml:space="preserve">A simple cost analysis </w:t>
      </w:r>
      <w:r w:rsidR="001D5B04">
        <w:rPr>
          <w:b/>
          <w:szCs w:val="23"/>
        </w:rPr>
        <w:t>that</w:t>
      </w:r>
      <w:r w:rsidR="001D5B04" w:rsidRPr="006A5FC8">
        <w:rPr>
          <w:b/>
          <w:szCs w:val="23"/>
        </w:rPr>
        <w:t xml:space="preserve"> </w:t>
      </w:r>
      <w:r w:rsidRPr="006A5FC8">
        <w:rPr>
          <w:b/>
          <w:szCs w:val="23"/>
        </w:rPr>
        <w:t xml:space="preserve">details the costs of other investigative tests is presented in </w:t>
      </w:r>
      <w:r w:rsidRPr="001D4772">
        <w:rPr>
          <w:b/>
          <w:szCs w:val="23"/>
        </w:rPr>
        <w:t>Appendix</w:t>
      </w:r>
      <w:r w:rsidRPr="00737640">
        <w:rPr>
          <w:b/>
          <w:szCs w:val="23"/>
        </w:rPr>
        <w:t xml:space="preserve"> </w:t>
      </w:r>
      <w:r w:rsidRPr="004A515D">
        <w:rPr>
          <w:b/>
          <w:szCs w:val="23"/>
        </w:rPr>
        <w:t>L.</w:t>
      </w:r>
      <w:r>
        <w:rPr>
          <w:b/>
          <w:szCs w:val="23"/>
        </w:rPr>
        <w:t xml:space="preserve"> </w:t>
      </w:r>
      <w:r w:rsidRPr="006A5FC8">
        <w:rPr>
          <w:szCs w:val="23"/>
        </w:rPr>
        <w:t>The remainder of th</w:t>
      </w:r>
      <w:r>
        <w:rPr>
          <w:szCs w:val="23"/>
        </w:rPr>
        <w:t>e</w:t>
      </w:r>
      <w:r w:rsidRPr="006A5FC8">
        <w:rPr>
          <w:szCs w:val="23"/>
        </w:rPr>
        <w:t xml:space="preserve"> analysis </w:t>
      </w:r>
      <w:r>
        <w:rPr>
          <w:szCs w:val="23"/>
        </w:rPr>
        <w:t xml:space="preserve">in population iiA presented in the main body of the report </w:t>
      </w:r>
      <w:r w:rsidRPr="006A5FC8">
        <w:rPr>
          <w:szCs w:val="23"/>
        </w:rPr>
        <w:t xml:space="preserve">assumes that CMR </w:t>
      </w:r>
      <w:r>
        <w:rPr>
          <w:szCs w:val="23"/>
        </w:rPr>
        <w:t xml:space="preserve">would be </w:t>
      </w:r>
      <w:r w:rsidRPr="006A5FC8">
        <w:rPr>
          <w:szCs w:val="23"/>
        </w:rPr>
        <w:t xml:space="preserve">used </w:t>
      </w:r>
      <w:r>
        <w:rPr>
          <w:szCs w:val="23"/>
        </w:rPr>
        <w:t>concurrently</w:t>
      </w:r>
      <w:r w:rsidR="00E02A6A">
        <w:rPr>
          <w:szCs w:val="23"/>
        </w:rPr>
        <w:t xml:space="preserve"> with</w:t>
      </w:r>
      <w:r>
        <w:rPr>
          <w:szCs w:val="23"/>
        </w:rPr>
        <w:t xml:space="preserve">, or in </w:t>
      </w:r>
      <w:r w:rsidRPr="006A5FC8">
        <w:rPr>
          <w:szCs w:val="23"/>
        </w:rPr>
        <w:t>addition to</w:t>
      </w:r>
      <w:r w:rsidR="00E02A6A">
        <w:rPr>
          <w:szCs w:val="23"/>
        </w:rPr>
        <w:t>,</w:t>
      </w:r>
      <w:r w:rsidRPr="006A5FC8">
        <w:rPr>
          <w:szCs w:val="23"/>
        </w:rPr>
        <w:t xml:space="preserve"> </w:t>
      </w:r>
      <w:r>
        <w:rPr>
          <w:szCs w:val="23"/>
        </w:rPr>
        <w:t xml:space="preserve">these </w:t>
      </w:r>
      <w:r w:rsidRPr="006A5FC8">
        <w:rPr>
          <w:szCs w:val="23"/>
        </w:rPr>
        <w:t xml:space="preserve">other </w:t>
      </w:r>
      <w:r>
        <w:rPr>
          <w:szCs w:val="23"/>
        </w:rPr>
        <w:t xml:space="preserve">investigative </w:t>
      </w:r>
      <w:r w:rsidRPr="006A5FC8">
        <w:rPr>
          <w:szCs w:val="23"/>
        </w:rPr>
        <w:t>tests</w:t>
      </w:r>
      <w:r>
        <w:rPr>
          <w:szCs w:val="23"/>
        </w:rPr>
        <w:t xml:space="preserve"> (i.e. </w:t>
      </w:r>
      <w:r w:rsidR="00E34F38">
        <w:rPr>
          <w:szCs w:val="23"/>
        </w:rPr>
        <w:t xml:space="preserve">it </w:t>
      </w:r>
      <w:r>
        <w:rPr>
          <w:szCs w:val="23"/>
        </w:rPr>
        <w:t>has no comparator)</w:t>
      </w:r>
      <w:r w:rsidRPr="006A5FC8">
        <w:rPr>
          <w:szCs w:val="23"/>
        </w:rPr>
        <w:t>.</w:t>
      </w:r>
    </w:p>
    <w:p w14:paraId="66558498" w14:textId="3B29F906" w:rsidR="000E482F" w:rsidRDefault="000E482F" w:rsidP="00161B88">
      <w:pPr>
        <w:pStyle w:val="Heading3"/>
      </w:pPr>
      <w:bookmarkStart w:id="547" w:name="_Toc449428906"/>
      <w:bookmarkStart w:id="548" w:name="_Toc451501378"/>
      <w:r>
        <w:t>D3</w:t>
      </w:r>
      <w:proofErr w:type="gramStart"/>
      <w:r>
        <w:t>.(</w:t>
      </w:r>
      <w:proofErr w:type="gramEnd"/>
      <w:r>
        <w:t>iiA) CEA</w:t>
      </w:r>
      <w:r>
        <w:tab/>
        <w:t>Structure</w:t>
      </w:r>
      <w:bookmarkEnd w:id="547"/>
      <w:r w:rsidR="007C5D94">
        <w:t xml:space="preserve"> and rationale of the economic analysis</w:t>
      </w:r>
      <w:bookmarkEnd w:id="548"/>
    </w:p>
    <w:p w14:paraId="79CC9CEC" w14:textId="77777777" w:rsidR="000E482F" w:rsidRDefault="000E482F" w:rsidP="00161B88">
      <w:pPr>
        <w:pStyle w:val="Heading4"/>
      </w:pPr>
      <w:r>
        <w:t>Studies and evidence base used for the economic model</w:t>
      </w:r>
    </w:p>
    <w:p w14:paraId="39AD048B" w14:textId="2C26E572" w:rsidR="000E482F" w:rsidRDefault="000E482F" w:rsidP="004C79C1">
      <w:pPr>
        <w:spacing w:after="120" w:line="240" w:lineRule="auto"/>
        <w:jc w:val="both"/>
      </w:pPr>
      <w:r>
        <w:t xml:space="preserve">Data from the </w:t>
      </w:r>
      <w:r w:rsidR="00926B54">
        <w:t xml:space="preserve">2 </w:t>
      </w:r>
      <w:r>
        <w:t xml:space="preserve">studies </w:t>
      </w:r>
      <w:r>
        <w:fldChar w:fldCharType="begin">
          <w:fldData xml:space="preserve">PEVuZE5vdGU+PENpdGU+PEF1dGhvcj5Ccm9jaDwvQXV0aG9yPjxZZWFyPjIwMTU8L1llYXI+PFJl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</w:fldData>
        </w:fldChar>
      </w:r>
      <w:r>
        <w:instrText xml:space="preserve"> ADDIN EN.CITE </w:instrText>
      </w:r>
      <w:r>
        <w:fldChar w:fldCharType="begin">
          <w:fldData xml:space="preserve">PEVuZE5vdGU+PENpdGU+PEF1dGhvcj5Ccm9jaDwvQXV0aG9yPjxZZWFyPjIwMTU8L1llYXI+PFJl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</w:fldData>
        </w:fldChar>
      </w:r>
      <w:r>
        <w:instrText xml:space="preserve"> ADDIN EN.CITE.DATA </w:instrText>
      </w:r>
      <w:r>
        <w:fldChar w:fldCharType="end"/>
      </w:r>
      <w:r>
        <w:fldChar w:fldCharType="separate"/>
      </w:r>
      <w:r>
        <w:rPr>
          <w:noProof/>
        </w:rPr>
        <w:t>(</w:t>
      </w:r>
      <w:hyperlink w:anchor="_ENREF_16" w:tooltip="Broch, 2015 #107" w:history="1">
        <w:r>
          <w:rPr>
            <w:noProof/>
          </w:rPr>
          <w:t>Broch et al. 2015</w:t>
        </w:r>
      </w:hyperlink>
      <w:r>
        <w:rPr>
          <w:noProof/>
        </w:rPr>
        <w:t xml:space="preserve">; </w:t>
      </w:r>
      <w:hyperlink w:anchor="_ENREF_135" w:tooltip="Taylor AJ, 2013 #109" w:history="1">
        <w:r>
          <w:rPr>
            <w:noProof/>
          </w:rPr>
          <w:t>Taylor</w:t>
        </w:r>
        <w:r w:rsidR="00926B54">
          <w:rPr>
            <w:noProof/>
          </w:rPr>
          <w:t>,</w:t>
        </w:r>
        <w:r>
          <w:rPr>
            <w:noProof/>
          </w:rPr>
          <w:t xml:space="preserve"> AJ et al. 2013</w:t>
        </w:r>
      </w:hyperlink>
      <w:r>
        <w:rPr>
          <w:noProof/>
        </w:rPr>
        <w:t>)</w:t>
      </w:r>
      <w:r>
        <w:fldChar w:fldCharType="end"/>
      </w:r>
      <w:r>
        <w:t xml:space="preserve"> included in the clinical assessment (see </w:t>
      </w:r>
      <w:r w:rsidR="008A1F4E">
        <w:t>s</w:t>
      </w:r>
      <w:r>
        <w:t xml:space="preserve">ection B.5.1.5) indicate </w:t>
      </w:r>
      <w:r w:rsidR="00926B54">
        <w:t xml:space="preserve">that </w:t>
      </w:r>
      <w:r>
        <w:t>some patients would be expected to undergo a change in management following CMR.</w:t>
      </w:r>
    </w:p>
    <w:p w14:paraId="3D94173F" w14:textId="5E280A38" w:rsidR="000E482F" w:rsidRDefault="000E482F" w:rsidP="004C79C1">
      <w:pPr>
        <w:spacing w:after="120" w:line="240" w:lineRule="auto"/>
        <w:jc w:val="both"/>
      </w:pPr>
      <w:r w:rsidRPr="002767C9">
        <w:t>Taylor</w:t>
      </w:r>
      <w:r w:rsidR="0057495F">
        <w:t>, AJ</w:t>
      </w:r>
      <w:r w:rsidRPr="002767C9">
        <w:t xml:space="preserve"> et al</w:t>
      </w:r>
      <w:r w:rsidR="00926B54">
        <w:t>.</w:t>
      </w:r>
      <w:r w:rsidRPr="002767C9">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t xml:space="preserve"> is a prospective observational study that evaluates the impact of CMR (as an additional test) in altering patient management (</w:t>
      </w:r>
      <w:r w:rsidR="00BA7279">
        <w:t>i.e.</w:t>
      </w:r>
      <w:r w:rsidR="00926B54">
        <w:t xml:space="preserve"> </w:t>
      </w:r>
      <w:r>
        <w:t xml:space="preserve">implantable cardiac device and surgical therapy) </w:t>
      </w:r>
      <w:r>
        <w:lastRenderedPageBreak/>
        <w:t xml:space="preserve">in </w:t>
      </w:r>
      <w:r w:rsidR="00926B54">
        <w:t>HF</w:t>
      </w:r>
      <w:r>
        <w:t xml:space="preserve"> patients referred to the Alfred Hospital, Melbourne (subgroup of </w:t>
      </w:r>
      <w:r w:rsidR="00821724">
        <w:t>n</w:t>
      </w:r>
      <w:r>
        <w:t>=488 CM patients). It is likely to be reasonably applicable to the broader Australian setting and the target population, and therefore forms the basis of the economic analysis</w:t>
      </w:r>
      <w:r>
        <w:rPr>
          <w:rStyle w:val="FootnoteReference"/>
        </w:rPr>
        <w:footnoteReference w:id="11"/>
      </w:r>
      <w:r w:rsidR="00B6539C">
        <w:t>.</w:t>
      </w:r>
    </w:p>
    <w:p w14:paraId="754CA20D" w14:textId="3D8D6EAE" w:rsidR="000E482F" w:rsidRDefault="000E482F" w:rsidP="004C79C1">
      <w:pPr>
        <w:spacing w:after="120" w:line="240" w:lineRule="auto"/>
        <w:jc w:val="both"/>
      </w:pPr>
      <w:r w:rsidRPr="00CE1164">
        <w:t>In section B5.</w:t>
      </w:r>
      <w:r w:rsidRPr="00931520">
        <w:t xml:space="preserve">1.5, </w:t>
      </w:r>
      <w:r w:rsidR="00931520">
        <w:rPr>
          <w:highlight w:val="yellow"/>
        </w:rPr>
        <w:fldChar w:fldCharType="begin"/>
      </w:r>
      <w:r w:rsidR="00931520">
        <w:rPr>
          <w:highlight w:val="yellow"/>
        </w:rPr>
        <w:instrText xml:space="preserve"> REF _Ref445819066 \h </w:instrText>
      </w:r>
      <w:r w:rsidR="00931520">
        <w:rPr>
          <w:highlight w:val="yellow"/>
        </w:rPr>
      </w:r>
      <w:r w:rsidR="00931520">
        <w:rPr>
          <w:highlight w:val="yellow"/>
        </w:rPr>
        <w:fldChar w:fldCharType="separate"/>
      </w:r>
      <w:r w:rsidR="00931520">
        <w:t xml:space="preserve">Table </w:t>
      </w:r>
      <w:r w:rsidR="00931520">
        <w:rPr>
          <w:noProof/>
        </w:rPr>
        <w:t>19</w:t>
      </w:r>
      <w:r w:rsidR="00931520">
        <w:rPr>
          <w:highlight w:val="yellow"/>
        </w:rPr>
        <w:fldChar w:fldCharType="end"/>
      </w:r>
      <w:r>
        <w:t xml:space="preserve"> </w:t>
      </w:r>
      <w:r w:rsidRPr="00CE1164">
        <w:t xml:space="preserve">and </w:t>
      </w:r>
      <w:r w:rsidR="00931520">
        <w:rPr>
          <w:highlight w:val="yellow"/>
        </w:rPr>
        <w:fldChar w:fldCharType="begin"/>
      </w:r>
      <w:r w:rsidR="00931520">
        <w:instrText xml:space="preserve"> REF _Ref447093570 \h </w:instrText>
      </w:r>
      <w:r w:rsidR="00931520">
        <w:rPr>
          <w:highlight w:val="yellow"/>
        </w:rPr>
      </w:r>
      <w:r w:rsidR="00931520">
        <w:rPr>
          <w:highlight w:val="yellow"/>
        </w:rPr>
        <w:fldChar w:fldCharType="separate"/>
      </w:r>
      <w:r w:rsidR="00931520">
        <w:t xml:space="preserve">Table </w:t>
      </w:r>
      <w:r w:rsidR="00931520">
        <w:rPr>
          <w:noProof/>
        </w:rPr>
        <w:t>20</w:t>
      </w:r>
      <w:r w:rsidR="00931520">
        <w:rPr>
          <w:highlight w:val="yellow"/>
        </w:rPr>
        <w:fldChar w:fldCharType="end"/>
      </w:r>
      <w:r w:rsidR="00931520">
        <w:t xml:space="preserve"> </w:t>
      </w:r>
      <w:r>
        <w:t xml:space="preserve">present the changes in management identified in </w:t>
      </w:r>
      <w:r>
        <w:fldChar w:fldCharType="begin"/>
      </w:r>
      <w:r>
        <w:instrText xml:space="preserve"> ADDIN EN.CITE &lt;EndNote&gt;&lt;Cite&gt;&lt;Author&gt;Taylor AJ&lt;/Author&gt;&lt;Year&gt;2013&lt;/Year&gt;&lt;RecNum&gt;109&lt;/RecNum&gt;&lt;DisplayText&gt;(Taylor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hyperlink w:anchor="_ENREF_135" w:tooltip="Taylor AJ, 2013 #109" w:history="1">
        <w:r>
          <w:rPr>
            <w:noProof/>
          </w:rPr>
          <w:t>Taylor</w:t>
        </w:r>
        <w:r w:rsidR="00B550D2">
          <w:rPr>
            <w:noProof/>
          </w:rPr>
          <w:t>,</w:t>
        </w:r>
        <w:r>
          <w:rPr>
            <w:noProof/>
          </w:rPr>
          <w:t xml:space="preserve"> AJ et al. </w:t>
        </w:r>
        <w:r w:rsidR="006C2C4F">
          <w:rPr>
            <w:noProof/>
          </w:rPr>
          <w:t>(</w:t>
        </w:r>
        <w:r>
          <w:rPr>
            <w:noProof/>
          </w:rPr>
          <w:t>2013</w:t>
        </w:r>
      </w:hyperlink>
      <w:r>
        <w:rPr>
          <w:noProof/>
        </w:rPr>
        <w:t>)</w:t>
      </w:r>
      <w:r>
        <w:fldChar w:fldCharType="end"/>
      </w:r>
      <w:r>
        <w:t xml:space="preserve"> with respect to device implantations and surgical procedures performed at 6</w:t>
      </w:r>
      <w:r w:rsidR="006C2C4F">
        <w:t> </w:t>
      </w:r>
      <w:r>
        <w:t xml:space="preserve">months following CMR in </w:t>
      </w:r>
      <w:r w:rsidR="006C2C4F">
        <w:t>HF</w:t>
      </w:r>
      <w:r>
        <w:t xml:space="preserve"> patients indicated for DCM. In this study, a </w:t>
      </w:r>
      <w:r w:rsidRPr="00B0599C">
        <w:t xml:space="preserve">total of 19 fewer devices were implanted than originally planned, </w:t>
      </w:r>
      <w:r w:rsidR="00464B3A">
        <w:t>1</w:t>
      </w:r>
      <w:r w:rsidR="00464B3A" w:rsidRPr="00B0599C">
        <w:t xml:space="preserve"> </w:t>
      </w:r>
      <w:r w:rsidR="00464B3A">
        <w:t>fewer</w:t>
      </w:r>
      <w:r w:rsidR="00464B3A" w:rsidRPr="00B0599C">
        <w:t xml:space="preserve"> </w:t>
      </w:r>
      <w:r w:rsidRPr="00B0599C">
        <w:t xml:space="preserve">patient underwent an implantation procedure, and there was a reduction of 6 patients </w:t>
      </w:r>
      <w:r w:rsidR="00464B3A">
        <w:t>requir</w:t>
      </w:r>
      <w:r w:rsidR="00464B3A" w:rsidRPr="00B0599C">
        <w:t xml:space="preserve">ing </w:t>
      </w:r>
      <w:r w:rsidRPr="00B0599C">
        <w:t>surgery as a consequence of undergoing CMR. In addition,</w:t>
      </w:r>
      <w:r>
        <w:t xml:space="preserve"> 13.6% </w:t>
      </w:r>
      <w:r w:rsidR="00464B3A">
        <w:t xml:space="preserve">of the </w:t>
      </w:r>
      <w:r w:rsidRPr="00B0599C">
        <w:t xml:space="preserve">patients had a change in treatment </w:t>
      </w:r>
      <w:r w:rsidR="00464B3A">
        <w:t xml:space="preserve">(i.e. </w:t>
      </w:r>
      <w:r w:rsidRPr="00B0599C">
        <w:t>device implantation or surgery</w:t>
      </w:r>
      <w:r w:rsidR="00464B3A">
        <w:t>)</w:t>
      </w:r>
      <w:r w:rsidRPr="00B0599C">
        <w:t xml:space="preserve"> following CMR at 6</w:t>
      </w:r>
      <w:r w:rsidR="00464B3A">
        <w:t> </w:t>
      </w:r>
      <w:r w:rsidRPr="00B0599C">
        <w:t xml:space="preserve">months follow-up. </w:t>
      </w:r>
      <w:r>
        <w:t>This data is used in the model to evaluate the economic impact of CMR testing on change in management</w:t>
      </w:r>
      <w:r w:rsidR="001504D3">
        <w:t>,</w:t>
      </w:r>
      <w:r>
        <w:t xml:space="preserve"> and assumes </w:t>
      </w:r>
      <w:r w:rsidR="001504D3">
        <w:t xml:space="preserve">that </w:t>
      </w:r>
      <w:r>
        <w:t>CMR provides 100% appropriate changes.</w:t>
      </w:r>
      <w:r w:rsidRPr="008700B3">
        <w:t xml:space="preserve"> </w:t>
      </w:r>
      <w:r>
        <w:t>A sensitivity analysis, assuming 95% appropriate change in management following CMR</w:t>
      </w:r>
      <w:r w:rsidR="001504D3">
        <w:t>,</w:t>
      </w:r>
      <w:r>
        <w:t xml:space="preserve"> will also be presented.</w:t>
      </w:r>
    </w:p>
    <w:p w14:paraId="17F1C895" w14:textId="08CF4BD0" w:rsidR="000E482F" w:rsidRPr="00075DD8" w:rsidRDefault="000E482F" w:rsidP="004C79C1">
      <w:pPr>
        <w:spacing w:after="120" w:line="240" w:lineRule="auto"/>
        <w:jc w:val="both"/>
        <w:rPr>
          <w:i/>
        </w:rPr>
      </w:pPr>
      <w:r>
        <w:t>However</w:t>
      </w:r>
      <w:r w:rsidR="00646E76">
        <w:t>,</w:t>
      </w:r>
      <w:r>
        <w:t xml:space="preserve"> it is unknown whether the changes in the treatment plan following CMR are short-term, or what the long-term implications are.</w:t>
      </w:r>
      <w:r w:rsidRPr="00355E38">
        <w:t xml:space="preserve"> </w:t>
      </w:r>
      <w:r>
        <w:t xml:space="preserve">No significant difference was found in the health outcomes </w:t>
      </w:r>
      <w:r w:rsidR="00186292">
        <w:t>after 12 months</w:t>
      </w:r>
      <w:r w:rsidR="00186292" w:rsidDel="008E45E0">
        <w:t xml:space="preserve"> </w:t>
      </w:r>
      <w:r>
        <w:t>(N</w:t>
      </w:r>
      <w:r w:rsidR="00646E76">
        <w:t>YHA</w:t>
      </w:r>
      <w:r>
        <w:t xml:space="preserve"> classification, mortality, and rate of major </w:t>
      </w:r>
      <w:r w:rsidR="008E45E0">
        <w:t>AE</w:t>
      </w:r>
      <w:r>
        <w:t>s) between those who had their surgical or device plans avoided due to CMR findings and those who proceeded with having surgery or device implantation (</w:t>
      </w:r>
      <w:r w:rsidR="00931520">
        <w:rPr>
          <w:highlight w:val="yellow"/>
        </w:rPr>
        <w:fldChar w:fldCharType="begin"/>
      </w:r>
      <w:r w:rsidR="00931520">
        <w:rPr>
          <w:highlight w:val="yellow"/>
        </w:rPr>
        <w:instrText xml:space="preserve"> REF _Ref445819066 \h </w:instrText>
      </w:r>
      <w:r w:rsidR="00931520">
        <w:rPr>
          <w:highlight w:val="yellow"/>
        </w:rPr>
      </w:r>
      <w:r w:rsidR="00931520">
        <w:rPr>
          <w:highlight w:val="yellow"/>
        </w:rPr>
        <w:fldChar w:fldCharType="separate"/>
      </w:r>
      <w:r w:rsidR="00931520">
        <w:t xml:space="preserve">Table </w:t>
      </w:r>
      <w:r w:rsidR="00931520">
        <w:rPr>
          <w:noProof/>
        </w:rPr>
        <w:t>19</w:t>
      </w:r>
      <w:r w:rsidR="00931520">
        <w:rPr>
          <w:highlight w:val="yellow"/>
        </w:rPr>
        <w:fldChar w:fldCharType="end"/>
      </w:r>
      <w:r w:rsidR="00931520">
        <w:t xml:space="preserve"> </w:t>
      </w:r>
      <w:r w:rsidR="00931520" w:rsidRPr="00CE1164">
        <w:t xml:space="preserve">and </w:t>
      </w:r>
      <w:r w:rsidR="00931520">
        <w:rPr>
          <w:highlight w:val="yellow"/>
        </w:rPr>
        <w:fldChar w:fldCharType="begin"/>
      </w:r>
      <w:r w:rsidR="00931520">
        <w:instrText xml:space="preserve"> REF _Ref447093570 \h </w:instrText>
      </w:r>
      <w:r w:rsidR="00931520">
        <w:rPr>
          <w:highlight w:val="yellow"/>
        </w:rPr>
      </w:r>
      <w:r w:rsidR="00931520">
        <w:rPr>
          <w:highlight w:val="yellow"/>
        </w:rPr>
        <w:fldChar w:fldCharType="separate"/>
      </w:r>
      <w:r w:rsidR="00931520">
        <w:t xml:space="preserve">Table </w:t>
      </w:r>
      <w:r w:rsidR="00931520">
        <w:rPr>
          <w:noProof/>
        </w:rPr>
        <w:t>20</w:t>
      </w:r>
      <w:r w:rsidR="00931520">
        <w:rPr>
          <w:highlight w:val="yellow"/>
        </w:rPr>
        <w:fldChar w:fldCharType="end"/>
      </w:r>
      <w:r>
        <w:t>)</w:t>
      </w:r>
      <w:r w:rsidRPr="00075DD8">
        <w:rPr>
          <w:i/>
        </w:rPr>
        <w:t xml:space="preserve">. </w:t>
      </w:r>
      <w:r w:rsidRPr="001A25B9">
        <w:rPr>
          <w:b/>
          <w:i/>
        </w:rPr>
        <w:t xml:space="preserve">The economic model is considerably limited in that (i) it only incorporates the change in management at </w:t>
      </w:r>
      <w:r w:rsidR="008E45E0">
        <w:rPr>
          <w:b/>
          <w:i/>
        </w:rPr>
        <w:t>6 </w:t>
      </w:r>
      <w:r w:rsidRPr="001A25B9">
        <w:rPr>
          <w:b/>
          <w:i/>
        </w:rPr>
        <w:t>months follow-up post CMR, (ii) associated patient-relevant health outcomes are not identified, and (iii) the implications of false or delayed treatments are not included.</w:t>
      </w:r>
    </w:p>
    <w:p w14:paraId="31A8B959" w14:textId="6A550EE8" w:rsidR="000E482F" w:rsidRDefault="000E482F" w:rsidP="00161B88">
      <w:pPr>
        <w:pStyle w:val="Heading4"/>
      </w:pPr>
      <w:r>
        <w:t xml:space="preserve">Patient </w:t>
      </w:r>
      <w:r w:rsidR="008E45E0">
        <w:t>f</w:t>
      </w:r>
      <w:r>
        <w:t>low in the economic model</w:t>
      </w:r>
    </w:p>
    <w:p w14:paraId="30DB4E2B" w14:textId="5C29D9FF" w:rsidR="000E482F" w:rsidRDefault="000E482F" w:rsidP="004C79C1">
      <w:pPr>
        <w:spacing w:after="120" w:line="240" w:lineRule="auto"/>
        <w:jc w:val="both"/>
      </w:pPr>
      <w:r w:rsidRPr="00013791">
        <w:t xml:space="preserve">The structure of </w:t>
      </w:r>
      <w:r>
        <w:t xml:space="preserve">the </w:t>
      </w:r>
      <w:r w:rsidRPr="00013791">
        <w:t xml:space="preserve">economic evaluation is shown </w:t>
      </w:r>
      <w:r>
        <w:t xml:space="preserve">in </w:t>
      </w:r>
      <w:r>
        <w:fldChar w:fldCharType="begin"/>
      </w:r>
      <w:r>
        <w:instrText xml:space="preserve"> REF _Ref449526474 \h  \* MERGEFORMAT </w:instrText>
      </w:r>
      <w:r>
        <w:fldChar w:fldCharType="separate"/>
      </w:r>
      <w:r w:rsidR="001C15ED">
        <w:t xml:space="preserve">Figure </w:t>
      </w:r>
      <w:r w:rsidR="001C15ED">
        <w:rPr>
          <w:noProof/>
        </w:rPr>
        <w:t>35</w:t>
      </w:r>
      <w:r>
        <w:fldChar w:fldCharType="end"/>
      </w:r>
      <w:r>
        <w:t>.</w:t>
      </w:r>
    </w:p>
    <w:p w14:paraId="6852A25B" w14:textId="03759966" w:rsidR="000E482F" w:rsidRDefault="000E482F" w:rsidP="004C79C1">
      <w:pPr>
        <w:spacing w:after="120" w:line="240" w:lineRule="auto"/>
        <w:jc w:val="both"/>
      </w:pPr>
      <w:r>
        <w:t>In the intervention arm, all patients undergo CMR testing to guide the</w:t>
      </w:r>
      <w:r w:rsidR="00377D7C">
        <w:t>ir</w:t>
      </w:r>
      <w:r>
        <w:t xml:space="preserve"> management. Implantable devices or surgeries are planned or avoided based on the clinical data obtained through CMR testing. In the control arm, patients undergo procedures as planned</w:t>
      </w:r>
      <w:r w:rsidR="00CD50CA">
        <w:t>,</w:t>
      </w:r>
      <w:r>
        <w:t xml:space="preserve"> based on the prior examinations (</w:t>
      </w:r>
      <w:r w:rsidR="00CD50CA">
        <w:t xml:space="preserve">i.e. </w:t>
      </w:r>
      <w:r>
        <w:t xml:space="preserve">no CMR testing). The implantable devices planned include </w:t>
      </w:r>
      <w:r w:rsidR="00C95C11">
        <w:t>automated</w:t>
      </w:r>
      <w:r w:rsidR="00C95C11" w:rsidRPr="00C5592D">
        <w:t xml:space="preserve"> </w:t>
      </w:r>
      <w:r>
        <w:t xml:space="preserve">implantable </w:t>
      </w:r>
      <w:r w:rsidR="0026063B">
        <w:t>cardioverter defibrillator</w:t>
      </w:r>
      <w:r>
        <w:t>s (AICDs), cardiac resynchronisation therapy with defibrillator (CRT-Ds) and pacemakers. The surgeries planned include CABG, valvular surgeries, heart transplant</w:t>
      </w:r>
      <w:r w:rsidR="00377D7C">
        <w:t>s</w:t>
      </w:r>
      <w:r>
        <w:t xml:space="preserve"> and other cardiac surgeries. </w:t>
      </w:r>
    </w:p>
    <w:p w14:paraId="452B7BFD" w14:textId="2A14DD07" w:rsidR="000E482F" w:rsidRDefault="000E482F" w:rsidP="004C79C1">
      <w:pPr>
        <w:spacing w:after="120" w:line="240" w:lineRule="auto"/>
        <w:jc w:val="both"/>
      </w:pPr>
      <w:r>
        <w:t xml:space="preserve">Each clinical pathway culminates in a decision </w:t>
      </w:r>
      <w:r w:rsidR="00512056">
        <w:t xml:space="preserve">that </w:t>
      </w:r>
      <w:r>
        <w:t>is deemed either appropriate or inappropriate. The base-case analysis assumes CMR to be 100% accurate in informing patients to appropriate clinical management. In patients where CMR rules out more</w:t>
      </w:r>
      <w:r w:rsidR="00512056">
        <w:t>-</w:t>
      </w:r>
      <w:r>
        <w:t xml:space="preserve">invasive treatments (assumed </w:t>
      </w:r>
      <w:r w:rsidR="00297415">
        <w:t>i</w:t>
      </w:r>
      <w:r>
        <w:t>nappropriate), it is expected that they will have non-inferior effectiveness outcomes, and superior safety outcomes, from having avoided the invasive surgical procedure and/or device implantation (</w:t>
      </w:r>
      <w:r w:rsidR="00297415">
        <w:t xml:space="preserve">i.e. </w:t>
      </w:r>
      <w:r>
        <w:t>a net benefit). This is a known area of uncertainty.</w:t>
      </w:r>
    </w:p>
    <w:p w14:paraId="31C45557" w14:textId="7D68F9C4" w:rsidR="000E482F" w:rsidRDefault="000E482F" w:rsidP="004C79C1">
      <w:pPr>
        <w:spacing w:after="120" w:line="240" w:lineRule="auto"/>
        <w:jc w:val="both"/>
      </w:pPr>
      <w:r>
        <w:lastRenderedPageBreak/>
        <w:t xml:space="preserve">In reality, if CMR is not always accurate, patients who do not receive device implantation or surgery as a result of CMR findings may have net harm if the CMR was inaccurate and these treatments were actually appropriate. </w:t>
      </w:r>
      <w:r w:rsidR="00297415">
        <w:t>The i</w:t>
      </w:r>
      <w:r>
        <w:t>mpact of CMR accuracy in change in management will be ass</w:t>
      </w:r>
      <w:r w:rsidR="00CC55F9">
        <w:t xml:space="preserve">essed in sensitivity analysis. </w:t>
      </w:r>
    </w:p>
    <w:p w14:paraId="540AB276" w14:textId="4C8D2470" w:rsidR="000E482F" w:rsidRDefault="000E482F" w:rsidP="00CF003F">
      <w:pPr>
        <w:pStyle w:val="Caption"/>
        <w:ind w:left="0" w:firstLine="0"/>
        <w:jc w:val="both"/>
      </w:pPr>
      <w:bookmarkStart w:id="549" w:name="_Ref449526474"/>
      <w:bookmarkStart w:id="550" w:name="_Toc449555124"/>
      <w:bookmarkStart w:id="551" w:name="_Toc324410206"/>
      <w:bookmarkStart w:id="552" w:name="_Toc451435481"/>
      <w:r>
        <w:t xml:space="preserve">Figure </w:t>
      </w:r>
      <w:fldSimple w:instr=" SEQ Figure \* ARABIC ">
        <w:r w:rsidR="00050936">
          <w:rPr>
            <w:noProof/>
          </w:rPr>
          <w:t>35</w:t>
        </w:r>
      </w:fldSimple>
      <w:bookmarkEnd w:id="549"/>
      <w:r>
        <w:tab/>
      </w:r>
      <w:r w:rsidRPr="007B38DA">
        <w:t xml:space="preserve">Decision analytic structure of the </w:t>
      </w:r>
      <w:r>
        <w:t>cost-effectiveness analysis for c</w:t>
      </w:r>
      <w:r w:rsidRPr="00E63A3D">
        <w:t xml:space="preserve">hange in </w:t>
      </w:r>
      <w:r>
        <w:t xml:space="preserve">clinical </w:t>
      </w:r>
      <w:r w:rsidRPr="00E63A3D">
        <w:t>management</w:t>
      </w:r>
      <w:bookmarkEnd w:id="550"/>
      <w:bookmarkEnd w:id="551"/>
      <w:bookmarkEnd w:id="552"/>
      <w:r w:rsidR="00CC55F9">
        <w:rPr>
          <w:noProof/>
          <w:lang w:eastAsia="en-AU"/>
        </w:rPr>
        <w:drawing>
          <wp:inline distT="0" distB="0" distL="0" distR="0" wp14:anchorId="5DBBCA4E" wp14:editId="084D0894">
            <wp:extent cx="5697415" cy="5605957"/>
            <wp:effectExtent l="0" t="0" r="0" b="0"/>
            <wp:docPr id="26" name="Picture 26" descr="Decision analytic structure of the cost-effectiveness analysis for change in clin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CM-Pop iiA-Figure 35 -May4.tif"/>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699728" cy="5608233"/>
                    </a:xfrm>
                    <a:prstGeom prst="rect">
                      <a:avLst/>
                    </a:prstGeom>
                    <a:ln>
                      <a:noFill/>
                    </a:ln>
                    <a:extLst>
                      <a:ext uri="{53640926-AAD7-44D8-BBD7-CCE9431645EC}">
                        <a14:shadowObscured xmlns:a14="http://schemas.microsoft.com/office/drawing/2010/main"/>
                      </a:ext>
                    </a:extLst>
                  </pic:spPr>
                </pic:pic>
              </a:graphicData>
            </a:graphic>
          </wp:inline>
        </w:drawing>
      </w:r>
    </w:p>
    <w:p w14:paraId="246CC0C9" w14:textId="4C5A524E" w:rsidR="00D93579" w:rsidRPr="005A59D3" w:rsidRDefault="00D93579" w:rsidP="004C79C1">
      <w:pPr>
        <w:spacing w:after="120" w:line="240" w:lineRule="auto"/>
        <w:jc w:val="both"/>
        <w:rPr>
          <w:szCs w:val="20"/>
        </w:rPr>
      </w:pPr>
      <w:r w:rsidRPr="00737640">
        <w:rPr>
          <w:rFonts w:ascii="Arial Narrow" w:hAnsi="Arial Narrow"/>
          <w:sz w:val="20"/>
          <w:szCs w:val="20"/>
        </w:rPr>
        <w:t xml:space="preserve">AICD = </w:t>
      </w:r>
      <w:r w:rsidR="00493B1F" w:rsidRPr="00737640">
        <w:rPr>
          <w:rFonts w:ascii="Arial Narrow" w:hAnsi="Arial Narrow"/>
          <w:sz w:val="20"/>
          <w:szCs w:val="20"/>
        </w:rPr>
        <w:t xml:space="preserve">automated </w:t>
      </w:r>
      <w:r w:rsidR="00006541" w:rsidRPr="00737640">
        <w:rPr>
          <w:rFonts w:ascii="Arial Narrow" w:hAnsi="Arial Narrow"/>
          <w:sz w:val="20"/>
          <w:szCs w:val="20"/>
        </w:rPr>
        <w:t xml:space="preserve">implantable </w:t>
      </w:r>
      <w:r w:rsidR="0026063B" w:rsidRPr="00493B1F">
        <w:rPr>
          <w:rFonts w:ascii="Arial Narrow" w:hAnsi="Arial Narrow"/>
          <w:sz w:val="20"/>
          <w:szCs w:val="20"/>
        </w:rPr>
        <w:t>cardioverter defibrillator</w:t>
      </w:r>
      <w:r w:rsidR="00841823" w:rsidRPr="00737640">
        <w:rPr>
          <w:rFonts w:ascii="Arial Narrow" w:hAnsi="Arial Narrow"/>
          <w:sz w:val="20"/>
          <w:szCs w:val="20"/>
        </w:rPr>
        <w:t xml:space="preserve">; </w:t>
      </w:r>
      <w:r w:rsidR="006820FA" w:rsidRPr="004E1311">
        <w:rPr>
          <w:rFonts w:ascii="Arial Narrow" w:hAnsi="Arial Narrow"/>
          <w:sz w:val="20"/>
          <w:szCs w:val="20"/>
        </w:rPr>
        <w:t xml:space="preserve">Appropriate = appropriate patient management; </w:t>
      </w:r>
      <w:r w:rsidR="00841823" w:rsidRPr="00737640">
        <w:rPr>
          <w:rFonts w:ascii="Arial Narrow" w:hAnsi="Arial Narrow"/>
          <w:sz w:val="20"/>
          <w:szCs w:val="20"/>
        </w:rPr>
        <w:t xml:space="preserve">CABG = </w:t>
      </w:r>
      <w:r w:rsidR="00006541" w:rsidRPr="00737640">
        <w:rPr>
          <w:rFonts w:ascii="Arial Narrow" w:hAnsi="Arial Narrow"/>
          <w:sz w:val="20"/>
          <w:szCs w:val="20"/>
        </w:rPr>
        <w:t>coronary artery bypass graft</w:t>
      </w:r>
      <w:r w:rsidR="00841823" w:rsidRPr="00737640">
        <w:rPr>
          <w:rFonts w:ascii="Arial Narrow" w:hAnsi="Arial Narrow"/>
          <w:sz w:val="20"/>
          <w:szCs w:val="20"/>
        </w:rPr>
        <w:t xml:space="preserve">; CMR = </w:t>
      </w:r>
      <w:r w:rsidR="00006541" w:rsidRPr="00737640">
        <w:rPr>
          <w:rFonts w:ascii="Arial Narrow" w:hAnsi="Arial Narrow"/>
          <w:sz w:val="20"/>
          <w:szCs w:val="20"/>
        </w:rPr>
        <w:t xml:space="preserve">cardiac magnetic resonance </w:t>
      </w:r>
      <w:r w:rsidR="000C188E" w:rsidRPr="00737640">
        <w:rPr>
          <w:rFonts w:ascii="Arial Narrow" w:hAnsi="Arial Narrow"/>
          <w:sz w:val="20"/>
          <w:szCs w:val="20"/>
        </w:rPr>
        <w:t>(imaging)</w:t>
      </w:r>
      <w:r w:rsidR="00841823" w:rsidRPr="00737640">
        <w:rPr>
          <w:rFonts w:ascii="Arial Narrow" w:hAnsi="Arial Narrow"/>
          <w:sz w:val="20"/>
          <w:szCs w:val="20"/>
        </w:rPr>
        <w:t xml:space="preserve">; </w:t>
      </w:r>
      <w:r w:rsidRPr="00737640">
        <w:rPr>
          <w:rFonts w:ascii="Arial Narrow" w:hAnsi="Arial Narrow"/>
          <w:sz w:val="20"/>
          <w:szCs w:val="20"/>
        </w:rPr>
        <w:t>CRT =</w:t>
      </w:r>
      <w:r w:rsidR="00006541" w:rsidRPr="000C188E">
        <w:rPr>
          <w:rFonts w:ascii="Arial Narrow" w:hAnsi="Arial Narrow"/>
          <w:sz w:val="20"/>
          <w:szCs w:val="20"/>
        </w:rPr>
        <w:t xml:space="preserve"> cardiac resynchronisation therapy</w:t>
      </w:r>
      <w:r w:rsidRPr="00737640">
        <w:rPr>
          <w:rFonts w:ascii="Arial Narrow" w:hAnsi="Arial Narrow"/>
          <w:sz w:val="20"/>
          <w:szCs w:val="20"/>
        </w:rPr>
        <w:t xml:space="preserve">; CRT-D = </w:t>
      </w:r>
      <w:r w:rsidR="00006541" w:rsidRPr="00737640">
        <w:rPr>
          <w:rFonts w:ascii="Arial Narrow" w:hAnsi="Arial Narrow"/>
          <w:sz w:val="20"/>
          <w:szCs w:val="20"/>
        </w:rPr>
        <w:t>cardiac resynchronisation therapy with defibrillator</w:t>
      </w:r>
      <w:r w:rsidR="006820FA">
        <w:rPr>
          <w:rFonts w:ascii="Arial Narrow" w:hAnsi="Arial Narrow"/>
          <w:sz w:val="20"/>
          <w:szCs w:val="20"/>
        </w:rPr>
        <w:t xml:space="preserve">; </w:t>
      </w:r>
      <w:r w:rsidR="006820FA" w:rsidRPr="004E1311">
        <w:rPr>
          <w:rFonts w:ascii="Arial Narrow" w:hAnsi="Arial Narrow"/>
          <w:sz w:val="20"/>
          <w:szCs w:val="20"/>
        </w:rPr>
        <w:t>DCM = dilated cardiomyopathy; Inappropriate = inappropriate patient management</w:t>
      </w:r>
    </w:p>
    <w:p w14:paraId="396D3A20" w14:textId="77777777" w:rsidR="000E482F" w:rsidRDefault="000E482F" w:rsidP="004C79C1">
      <w:pPr>
        <w:spacing w:after="120" w:line="240" w:lineRule="auto"/>
      </w:pPr>
      <w:r>
        <w:br w:type="page"/>
      </w:r>
    </w:p>
    <w:p w14:paraId="2E5BAEA0" w14:textId="33429162" w:rsidR="000E482F" w:rsidRDefault="000E482F" w:rsidP="00161B88">
      <w:pPr>
        <w:pStyle w:val="Heading3"/>
      </w:pPr>
      <w:bookmarkStart w:id="553" w:name="_Toc449428907"/>
      <w:bookmarkStart w:id="554" w:name="_Toc451501379"/>
      <w:r>
        <w:lastRenderedPageBreak/>
        <w:t>D4</w:t>
      </w:r>
      <w:proofErr w:type="gramStart"/>
      <w:r>
        <w:t>.(</w:t>
      </w:r>
      <w:proofErr w:type="gramEnd"/>
      <w:r>
        <w:t>iiA) CEA</w:t>
      </w:r>
      <w:r>
        <w:tab/>
        <w:t>Inputs used in the model</w:t>
      </w:r>
      <w:bookmarkEnd w:id="553"/>
      <w:bookmarkEnd w:id="554"/>
    </w:p>
    <w:p w14:paraId="0E46F12B" w14:textId="77777777" w:rsidR="000E482F" w:rsidRPr="00794C6B" w:rsidRDefault="000E482F" w:rsidP="00161B88">
      <w:pPr>
        <w:pStyle w:val="Heading4"/>
      </w:pPr>
      <w:r w:rsidRPr="00794C6B">
        <w:t xml:space="preserve">Costs </w:t>
      </w:r>
      <w:r>
        <w:t xml:space="preserve">of </w:t>
      </w:r>
      <w:r w:rsidRPr="00794C6B">
        <w:t>CMR testing</w:t>
      </w:r>
    </w:p>
    <w:p w14:paraId="529EA535" w14:textId="52E5AE0C" w:rsidR="000E482F" w:rsidRDefault="000B5A96" w:rsidP="004C79C1">
      <w:pPr>
        <w:spacing w:after="120" w:line="240" w:lineRule="auto"/>
        <w:jc w:val="both"/>
      </w:pPr>
      <w:r>
        <w:t>The c</w:t>
      </w:r>
      <w:r w:rsidR="000E482F" w:rsidRPr="00851EA9">
        <w:t>ost of CMR used in the model is $</w:t>
      </w:r>
      <w:r w:rsidR="000E482F">
        <w:t xml:space="preserve">1,106.31, and includes costs associated with testing, associated AEs, </w:t>
      </w:r>
      <w:r>
        <w:t xml:space="preserve">Gd </w:t>
      </w:r>
      <w:r w:rsidR="000E482F">
        <w:t>contrast agent, specialist referral and the respective patient contributions (</w:t>
      </w:r>
      <w:r w:rsidR="000E482F" w:rsidRPr="00851EA9">
        <w:t>as estimated in</w:t>
      </w:r>
      <w:r w:rsidR="005232E5">
        <w:t xml:space="preserve"> </w:t>
      </w:r>
      <w:r w:rsidR="005232E5">
        <w:fldChar w:fldCharType="begin"/>
      </w:r>
      <w:r w:rsidR="005232E5">
        <w:instrText xml:space="preserve"> REF _Ref451253034 \h </w:instrText>
      </w:r>
      <w:r w:rsidR="005232E5">
        <w:fldChar w:fldCharType="separate"/>
      </w:r>
      <w:r w:rsidR="001C15ED">
        <w:t xml:space="preserve">Table </w:t>
      </w:r>
      <w:r w:rsidR="001C15ED">
        <w:rPr>
          <w:noProof/>
        </w:rPr>
        <w:t>34</w:t>
      </w:r>
      <w:r w:rsidR="005232E5">
        <w:fldChar w:fldCharType="end"/>
      </w:r>
      <w:r w:rsidR="000E482F">
        <w:fldChar w:fldCharType="begin"/>
      </w:r>
      <w:r w:rsidR="000E482F">
        <w:instrText xml:space="preserve"> REF _Ref447711601 \h  \* MERGEFORMAT </w:instrText>
      </w:r>
      <w:r w:rsidR="000E482F">
        <w:fldChar w:fldCharType="end"/>
      </w:r>
      <w:r w:rsidR="000E482F">
        <w:t>).</w:t>
      </w:r>
      <w:r w:rsidR="000E482F" w:rsidRPr="004E38EC">
        <w:t xml:space="preserve"> </w:t>
      </w:r>
      <w:r w:rsidR="000E482F">
        <w:t>It is assumed that CMR services are provided in the outpatient setting and that a bulk-billing incentive will be applied to the proposed item (consistent with other CMR services).</w:t>
      </w:r>
    </w:p>
    <w:p w14:paraId="2B34D100" w14:textId="77777777" w:rsidR="000E482F" w:rsidRDefault="000E482F" w:rsidP="00161B88">
      <w:pPr>
        <w:pStyle w:val="Heading4"/>
      </w:pPr>
      <w:r>
        <w:t>Costs of procedures (device implantations and cardiac surgeries)</w:t>
      </w:r>
    </w:p>
    <w:p w14:paraId="2442B250" w14:textId="5C92176C" w:rsidR="000E482F" w:rsidRDefault="000E482F" w:rsidP="004C79C1">
      <w:pPr>
        <w:spacing w:after="120" w:line="240" w:lineRule="auto"/>
        <w:jc w:val="both"/>
        <w:rPr>
          <w:lang w:val="en-US"/>
        </w:rPr>
      </w:pPr>
      <w:r>
        <w:t>The costs of all the procedures performed (</w:t>
      </w:r>
      <w:r w:rsidR="00BA7279">
        <w:t xml:space="preserve">i.e. </w:t>
      </w:r>
      <w:r>
        <w:t xml:space="preserve">implantable devices and cardiac surgeries) included in the base-case model are </w:t>
      </w:r>
      <w:r w:rsidR="00E67C5B">
        <w:t xml:space="preserve">the </w:t>
      </w:r>
      <w:r>
        <w:t xml:space="preserve">weighted average of costs in </w:t>
      </w:r>
      <w:r w:rsidR="00E67C5B">
        <w:t xml:space="preserve">the </w:t>
      </w:r>
      <w:r w:rsidR="00F12DFC">
        <w:t>p</w:t>
      </w:r>
      <w:r>
        <w:t xml:space="preserve">ublic and </w:t>
      </w:r>
      <w:r w:rsidR="00F12DFC">
        <w:t>p</w:t>
      </w:r>
      <w:r>
        <w:t xml:space="preserve">rivate </w:t>
      </w:r>
      <w:r w:rsidR="00F12DFC">
        <w:t>h</w:t>
      </w:r>
      <w:r>
        <w:t>ealth sectors based on the number of separations.</w:t>
      </w:r>
      <w:r w:rsidRPr="004E38EC">
        <w:t xml:space="preserve"> </w:t>
      </w:r>
      <w:r>
        <w:t xml:space="preserve">The costs of these procedures can vary substantially across the </w:t>
      </w:r>
      <w:r w:rsidR="00E67C5B">
        <w:t>p</w:t>
      </w:r>
      <w:r>
        <w:t xml:space="preserve">ublic and </w:t>
      </w:r>
      <w:r w:rsidR="00E67C5B">
        <w:t>p</w:t>
      </w:r>
      <w:r>
        <w:t xml:space="preserve">rivate </w:t>
      </w:r>
      <w:r w:rsidR="00E67C5B">
        <w:t>h</w:t>
      </w:r>
      <w:r>
        <w:t xml:space="preserve">ospitals due to differences in the cost of prosthetic components. </w:t>
      </w:r>
      <w:r>
        <w:rPr>
          <w:lang w:val="en-US"/>
        </w:rPr>
        <w:t>C</w:t>
      </w:r>
      <w:r w:rsidR="00850EBE">
        <w:rPr>
          <w:lang w:val="en-US"/>
        </w:rPr>
        <w:t>EA</w:t>
      </w:r>
      <w:r w:rsidR="002168A3">
        <w:rPr>
          <w:lang w:val="en-US"/>
        </w:rPr>
        <w:t>s</w:t>
      </w:r>
      <w:r>
        <w:rPr>
          <w:lang w:val="en-US"/>
        </w:rPr>
        <w:t xml:space="preserve"> based on the costs estimated to be incurred in </w:t>
      </w:r>
      <w:r w:rsidR="00E67C5B">
        <w:rPr>
          <w:lang w:val="en-US"/>
        </w:rPr>
        <w:t xml:space="preserve">the </w:t>
      </w:r>
      <w:r>
        <w:rPr>
          <w:lang w:val="en-US"/>
        </w:rPr>
        <w:t>public and private sector</w:t>
      </w:r>
      <w:r w:rsidR="00E67C5B">
        <w:rPr>
          <w:lang w:val="en-US"/>
        </w:rPr>
        <w:t>s</w:t>
      </w:r>
      <w:r>
        <w:rPr>
          <w:lang w:val="en-US"/>
        </w:rPr>
        <w:t xml:space="preserve"> alone are provided in the sensitivity analyses.</w:t>
      </w:r>
    </w:p>
    <w:p w14:paraId="2DBF5B37" w14:textId="2609C7CA" w:rsidR="000E482F" w:rsidRDefault="00E67C5B" w:rsidP="004C79C1">
      <w:pPr>
        <w:spacing w:after="120" w:line="240" w:lineRule="auto"/>
        <w:jc w:val="both"/>
        <w:rPr>
          <w:lang w:val="en-US"/>
        </w:rPr>
      </w:pPr>
      <w:r>
        <w:t>The c</w:t>
      </w:r>
      <w:r w:rsidR="000E482F">
        <w:t>osts of procedures (device implantations and cardiac surgeries) incurred in the public sector are sourced from cost reports published by</w:t>
      </w:r>
      <w:r w:rsidR="00482B8D">
        <w:t xml:space="preserve"> the </w:t>
      </w:r>
      <w:r w:rsidR="00482B8D" w:rsidRPr="00FE2E58">
        <w:rPr>
          <w:rFonts w:asciiTheme="minorHAnsi" w:hAnsiTheme="minorHAnsi"/>
        </w:rPr>
        <w:t>Independent Hospital Pricing Authority</w:t>
      </w:r>
      <w:r w:rsidR="000E482F" w:rsidRPr="004F7601">
        <w:t xml:space="preserve"> </w:t>
      </w:r>
      <w:r w:rsidR="00482B8D">
        <w:t>(</w:t>
      </w:r>
      <w:r w:rsidR="000E482F" w:rsidRPr="004F7601">
        <w:t>IHPA</w:t>
      </w:r>
      <w:r w:rsidR="00482B8D">
        <w:t>)</w:t>
      </w:r>
      <w:r w:rsidR="000E482F">
        <w:t xml:space="preserve">, and are estimated by </w:t>
      </w:r>
      <w:r w:rsidR="000E482F">
        <w:rPr>
          <w:lang w:val="en-US"/>
        </w:rPr>
        <w:t>the N</w:t>
      </w:r>
      <w:r w:rsidR="00770CFE">
        <w:rPr>
          <w:lang w:val="en-US"/>
        </w:rPr>
        <w:t>EP</w:t>
      </w:r>
      <w:r w:rsidR="000E482F">
        <w:rPr>
          <w:lang w:val="en-US"/>
        </w:rPr>
        <w:t xml:space="preserve"> for respective AR-DRGs weighted by the respective number of hospital separations</w:t>
      </w:r>
      <w:r w:rsidR="00770CFE">
        <w:rPr>
          <w:lang w:val="en-US"/>
        </w:rPr>
        <w:t xml:space="preserve"> </w:t>
      </w:r>
      <w:r w:rsidR="00792508">
        <w:rPr>
          <w:lang w:val="en-US"/>
        </w:rPr>
        <w:t xml:space="preserve">with complications and without complications </w:t>
      </w:r>
      <w:r w:rsidR="000E482F">
        <w:rPr>
          <w:lang w:val="en-US"/>
        </w:rPr>
        <w:fldChar w:fldCharType="begin"/>
      </w:r>
      <w:r w:rsidR="000E482F">
        <w:rPr>
          <w:lang w:val="en-US"/>
        </w:rP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0E482F">
        <w:rPr>
          <w:lang w:val="en-US"/>
        </w:rPr>
        <w:fldChar w:fldCharType="separate"/>
      </w:r>
      <w:r w:rsidR="000E482F">
        <w:rPr>
          <w:noProof/>
          <w:lang w:val="en-US"/>
        </w:rPr>
        <w:t>(</w:t>
      </w:r>
      <w:hyperlink w:anchor="_ENREF_58" w:tooltip="Independent Hospital Pricing Authority (IHPA), 2015 #160" w:history="1">
        <w:r w:rsidR="000E482F">
          <w:rPr>
            <w:noProof/>
            <w:lang w:val="en-US"/>
          </w:rPr>
          <w:t>Independent Hospital Pricing Authority (IHPA) 2015a</w:t>
        </w:r>
      </w:hyperlink>
      <w:r w:rsidR="000E482F">
        <w:rPr>
          <w:noProof/>
          <w:lang w:val="en-US"/>
        </w:rPr>
        <w:t>)</w:t>
      </w:r>
      <w:r w:rsidR="000E482F">
        <w:rPr>
          <w:lang w:val="en-US"/>
        </w:rPr>
        <w:fldChar w:fldCharType="end"/>
      </w:r>
      <w:r w:rsidR="000E482F">
        <w:rPr>
          <w:lang w:val="en-US"/>
        </w:rPr>
        <w:t>.</w:t>
      </w:r>
    </w:p>
    <w:p w14:paraId="265A3E3E" w14:textId="17F04D34" w:rsidR="000E482F" w:rsidRDefault="000E482F" w:rsidP="004C79C1">
      <w:pPr>
        <w:spacing w:after="120" w:line="240" w:lineRule="auto"/>
        <w:jc w:val="both"/>
        <w:rPr>
          <w:lang w:val="en-US"/>
        </w:rPr>
      </w:pPr>
      <w:r>
        <w:rPr>
          <w:lang w:val="en-US"/>
        </w:rPr>
        <w:t xml:space="preserve">For </w:t>
      </w:r>
      <w:r w:rsidR="00792508">
        <w:rPr>
          <w:lang w:val="en-US"/>
        </w:rPr>
        <w:t>p</w:t>
      </w:r>
      <w:r>
        <w:rPr>
          <w:lang w:val="en-US"/>
        </w:rPr>
        <w:t xml:space="preserve">rivate hospital costs, reports from </w:t>
      </w:r>
      <w:r w:rsidRPr="00A474F0">
        <w:rPr>
          <w:lang w:val="en-US"/>
        </w:rPr>
        <w:t xml:space="preserve">National Hospital Cost Data Collection </w:t>
      </w:r>
      <w:r>
        <w:rPr>
          <w:lang w:val="en-US"/>
        </w:rPr>
        <w:t xml:space="preserve">(NHCDC) for </w:t>
      </w:r>
      <w:r w:rsidRPr="00A474F0">
        <w:rPr>
          <w:lang w:val="en-US"/>
        </w:rPr>
        <w:t>Australian P</w:t>
      </w:r>
      <w:r>
        <w:rPr>
          <w:lang w:val="en-US"/>
        </w:rPr>
        <w:t>rivate</w:t>
      </w:r>
      <w:r w:rsidRPr="00A474F0">
        <w:rPr>
          <w:lang w:val="en-US"/>
        </w:rPr>
        <w:t xml:space="preserve"> Hospitals </w:t>
      </w:r>
      <w:r>
        <w:rPr>
          <w:lang w:val="en-US"/>
        </w:rPr>
        <w:t>were sought. The N</w:t>
      </w:r>
      <w:r w:rsidR="00792508">
        <w:rPr>
          <w:lang w:val="en-US"/>
        </w:rPr>
        <w:t>EP</w:t>
      </w:r>
      <w:r>
        <w:rPr>
          <w:lang w:val="en-US"/>
        </w:rPr>
        <w:t xml:space="preserve"> for </w:t>
      </w:r>
      <w:r w:rsidR="00792508">
        <w:rPr>
          <w:lang w:val="en-US"/>
        </w:rPr>
        <w:t>p</w:t>
      </w:r>
      <w:r>
        <w:rPr>
          <w:lang w:val="en-US"/>
        </w:rPr>
        <w:t>rivate hospitals was last published for Round 13 (2008</w:t>
      </w:r>
      <w:r w:rsidR="004441B9">
        <w:rPr>
          <w:lang w:val="en-US"/>
        </w:rPr>
        <w:t>–</w:t>
      </w:r>
      <w:r>
        <w:rPr>
          <w:lang w:val="en-US"/>
        </w:rPr>
        <w:t xml:space="preserve">09) </w:t>
      </w:r>
      <w:r>
        <w:rPr>
          <w:lang w:val="en-US"/>
        </w:rPr>
        <w:fldChar w:fldCharType="begin"/>
      </w:r>
      <w:r>
        <w:rPr>
          <w:lang w:val="en-US"/>
        </w:rPr>
        <w:instrText xml:space="preserve"> ADDIN EN.CITE &lt;EndNote&gt;&lt;Cite&gt;&lt;Author&gt;Department of Health&lt;/Author&gt;&lt;Year&gt;2012&lt;/Year&gt;&lt;RecNum&gt;165&lt;/RecNum&gt;&lt;DisplayText&gt;(Department of Health 2012)&lt;/DisplayText&gt;&lt;record&gt;&lt;rec-number&gt;165&lt;/rec-number&gt;&lt;foreign-keys&gt;&lt;key app="EN" db-id="pfxxvref0t0a5de2vwnv2fwkz0p9v0r2fw0t" timestamp="1460599073"&gt;165&lt;/key&gt;&lt;/foreign-keys&gt;&lt;ref-type name="Web Page"&gt;12&lt;/ref-type&gt;&lt;contributors&gt;&lt;authors&gt;&lt;author&gt;Department of Health,&lt;/author&gt;&lt;/authors&gt;&lt;/contributors&gt;&lt;titles&gt;&lt;title&gt;Round 13 (2008-09) Cost Report: Public Sector Estimated Cost Weights Round 13 AR-DRG v5.2, Private Sector Estimated Cost Weights Round 13 AR-DRG v5.1&lt;/title&gt;&lt;/titles&gt;&lt;volume&gt;2015&lt;/volume&gt;&lt;number&gt;Dec&lt;/number&gt;&lt;dates&gt;&lt;year&gt;2012&lt;/year&gt;&lt;/dates&gt;&lt;publisher&gt;Commonwealth of Australia&lt;/publisher&gt;&lt;urls&gt;&lt;related-urls&gt;&lt;url&gt;http://www.health.gov.au/internet/main/publishing.nsf/Content/Round_13-cost-reports&lt;/url&gt;&lt;/related-urls&gt;&lt;/urls&gt;&lt;/record&gt;&lt;/Cite&gt;&lt;/EndNote&gt;</w:instrText>
      </w:r>
      <w:r>
        <w:rPr>
          <w:lang w:val="en-US"/>
        </w:rPr>
        <w:fldChar w:fldCharType="separate"/>
      </w:r>
      <w:r>
        <w:rPr>
          <w:noProof/>
          <w:lang w:val="en-US"/>
        </w:rPr>
        <w:t>(</w:t>
      </w:r>
      <w:hyperlink w:anchor="_ENREF_34" w:tooltip="Department of Health, 2012 #165" w:history="1">
        <w:r>
          <w:rPr>
            <w:noProof/>
            <w:lang w:val="en-US"/>
          </w:rPr>
          <w:t>Department of Health 2012</w:t>
        </w:r>
      </w:hyperlink>
      <w:r>
        <w:rPr>
          <w:noProof/>
          <w:lang w:val="en-US"/>
        </w:rPr>
        <w:t>)</w:t>
      </w:r>
      <w:r>
        <w:rPr>
          <w:lang w:val="en-US"/>
        </w:rPr>
        <w:fldChar w:fldCharType="end"/>
      </w:r>
      <w:r>
        <w:rPr>
          <w:lang w:val="en-US"/>
        </w:rPr>
        <w:t>. The only relevant data that can be obtained from the latest report w</w:t>
      </w:r>
      <w:r w:rsidR="004441B9">
        <w:rPr>
          <w:lang w:val="en-US"/>
        </w:rPr>
        <w:t>ere</w:t>
      </w:r>
      <w:r>
        <w:rPr>
          <w:lang w:val="en-US"/>
        </w:rPr>
        <w:t xml:space="preserve"> </w:t>
      </w:r>
      <w:r w:rsidR="004441B9">
        <w:rPr>
          <w:lang w:val="en-US"/>
        </w:rPr>
        <w:t xml:space="preserve">the </w:t>
      </w:r>
      <w:r>
        <w:rPr>
          <w:lang w:val="en-US"/>
        </w:rPr>
        <w:t xml:space="preserve">number of separations for the AR-DRGs used in the modelled costs. An alternative source identified during the search provides </w:t>
      </w:r>
      <w:r>
        <w:t>the total average medical service charges for various procedures in the private healthcare hospitals</w:t>
      </w:r>
      <w:r w:rsidR="001C15ED">
        <w:rPr>
          <w:rStyle w:val="FootnoteReference"/>
        </w:rPr>
        <w:footnoteReference w:id="12"/>
      </w:r>
      <w:r w:rsidR="006E5D9A">
        <w:t>.</w:t>
      </w:r>
      <w:r>
        <w:t xml:space="preserve"> The costs provided were for financial year 2013</w:t>
      </w:r>
      <w:r w:rsidR="00521790">
        <w:t>–</w:t>
      </w:r>
      <w:r>
        <w:t>14, and were adjusted for inflation (</w:t>
      </w:r>
      <w:r w:rsidRPr="008D0679">
        <w:t>2015 AUD)</w:t>
      </w:r>
      <w:r>
        <w:t xml:space="preserve"> </w:t>
      </w:r>
      <w:r w:rsidRPr="008D0679">
        <w:t xml:space="preserve">using the </w:t>
      </w:r>
      <w:r>
        <w:t xml:space="preserve">Inflation Calculator provided by </w:t>
      </w:r>
      <w:r w:rsidR="00521790">
        <w:t>the Reserve Bank of Australia (</w:t>
      </w:r>
      <w:r>
        <w:t>RBA</w:t>
      </w:r>
      <w:r w:rsidR="00521790">
        <w:t>)</w:t>
      </w:r>
      <w:r w:rsidR="001C15ED">
        <w:rPr>
          <w:rStyle w:val="FootnoteReference"/>
        </w:rPr>
        <w:footnoteReference w:id="13"/>
      </w:r>
      <w:r w:rsidR="00521790">
        <w:t>.</w:t>
      </w:r>
    </w:p>
    <w:p w14:paraId="6F12A21E" w14:textId="77777777" w:rsidR="000E482F" w:rsidRPr="00A07317" w:rsidRDefault="000E482F" w:rsidP="00161B88">
      <w:pPr>
        <w:pStyle w:val="Heading4"/>
      </w:pPr>
      <w:r w:rsidRPr="00A07317">
        <w:t>Costs of implantable devices (ICD and CRT-D)</w:t>
      </w:r>
    </w:p>
    <w:p w14:paraId="38E251AF" w14:textId="48884F16" w:rsidR="000E482F" w:rsidRDefault="000E482F" w:rsidP="004C79C1">
      <w:pPr>
        <w:spacing w:after="120" w:line="240" w:lineRule="auto"/>
        <w:jc w:val="both"/>
      </w:pPr>
      <w:r>
        <w:t>ICD and CRT-D are represented by the same AR-DRGs</w:t>
      </w:r>
      <w:r w:rsidR="006E5D9A">
        <w:t>,</w:t>
      </w:r>
      <w:r>
        <w:t xml:space="preserve"> F01A and B (</w:t>
      </w:r>
      <w:r w:rsidR="006128D4">
        <w:t>I</w:t>
      </w:r>
      <w:r>
        <w:t xml:space="preserve">mplantation and </w:t>
      </w:r>
      <w:r w:rsidR="006128D4">
        <w:t>R</w:t>
      </w:r>
      <w:r w:rsidRPr="004F7601">
        <w:t xml:space="preserve">eplacement of AICD, </w:t>
      </w:r>
      <w:r w:rsidR="006128D4">
        <w:t>T</w:t>
      </w:r>
      <w:r>
        <w:t xml:space="preserve">otal </w:t>
      </w:r>
      <w:r w:rsidR="006128D4">
        <w:t>S</w:t>
      </w:r>
      <w:r>
        <w:t xml:space="preserve">ystem, </w:t>
      </w:r>
      <w:r w:rsidR="006128D4">
        <w:t>M</w:t>
      </w:r>
      <w:r w:rsidRPr="004F7601">
        <w:t>ajor</w:t>
      </w:r>
      <w:r>
        <w:t>/</w:t>
      </w:r>
      <w:r w:rsidR="006128D4">
        <w:t>M</w:t>
      </w:r>
      <w:r>
        <w:t>inor</w:t>
      </w:r>
      <w:r w:rsidRPr="004F7601">
        <w:t xml:space="preserve"> </w:t>
      </w:r>
      <w:r w:rsidR="006128D4">
        <w:t>C</w:t>
      </w:r>
      <w:r w:rsidRPr="004F7601">
        <w:t>omplexity</w:t>
      </w:r>
      <w:r>
        <w:t>)</w:t>
      </w:r>
      <w:r w:rsidR="004E0F93">
        <w:t>;</w:t>
      </w:r>
      <w:r>
        <w:t xml:space="preserve"> however</w:t>
      </w:r>
      <w:r w:rsidR="004E0F93">
        <w:t>,</w:t>
      </w:r>
      <w:r>
        <w:t xml:space="preserve"> the cost of these two procedures differ due to the higher costs of </w:t>
      </w:r>
      <w:r w:rsidR="004E0F93">
        <w:t xml:space="preserve">the </w:t>
      </w:r>
      <w:r>
        <w:t xml:space="preserve">CRT-D generator, extra LV lead and lead insertion involved in the CRT-D implant. The same alternative source identified during the assessment also provided </w:t>
      </w:r>
      <w:r w:rsidR="000C60F8">
        <w:t xml:space="preserve">the </w:t>
      </w:r>
      <w:r>
        <w:t>pooled average cost of these procedures</w:t>
      </w:r>
      <w:r w:rsidR="00E97F44">
        <w:rPr>
          <w:vertAlign w:val="superscript"/>
        </w:rPr>
        <w:t>12</w:t>
      </w:r>
      <w:r w:rsidR="004E0F93">
        <w:t>.</w:t>
      </w:r>
    </w:p>
    <w:p w14:paraId="5D6478EB" w14:textId="7950E15D" w:rsidR="000E482F" w:rsidRDefault="000E482F" w:rsidP="004C79C1">
      <w:pPr>
        <w:spacing w:after="120" w:line="240" w:lineRule="auto"/>
        <w:jc w:val="both"/>
      </w:pPr>
      <w:r>
        <w:t>In the Taylor</w:t>
      </w:r>
      <w:r w:rsidR="000C60F8">
        <w:t>, AJ</w:t>
      </w:r>
      <w:r>
        <w:t xml:space="preserve"> et al</w:t>
      </w:r>
      <w:r w:rsidR="000C60F8">
        <w:t>.</w:t>
      </w:r>
      <w:r>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t xml:space="preserve"> study, some inferred benefit of CMR testing was associated with the change in the devices implanted</w:t>
      </w:r>
      <w:r w:rsidR="000C60F8">
        <w:t>,</w:t>
      </w:r>
      <w:r>
        <w:t xml:space="preserve"> which included change</w:t>
      </w:r>
      <w:r w:rsidR="000C60F8">
        <w:t>s</w:t>
      </w:r>
      <w:r>
        <w:t xml:space="preserve"> of planned CRT-Ds to ICDs alone or vice </w:t>
      </w:r>
      <w:r>
        <w:lastRenderedPageBreak/>
        <w:t xml:space="preserve">versa. </w:t>
      </w:r>
      <w:r w:rsidR="005D08C8">
        <w:t>T</w:t>
      </w:r>
      <w:r w:rsidR="000C60F8">
        <w:t xml:space="preserve">he </w:t>
      </w:r>
      <w:r>
        <w:t xml:space="preserve">itemised costs of device implantation procedures were </w:t>
      </w:r>
      <w:r w:rsidR="005D08C8">
        <w:t xml:space="preserve">therefore </w:t>
      </w:r>
      <w:r>
        <w:t>essential to the analysis to reflect these implications.</w:t>
      </w:r>
    </w:p>
    <w:p w14:paraId="727FC11C" w14:textId="0CFE5BD2" w:rsidR="000E482F" w:rsidRDefault="000E482F" w:rsidP="004C79C1">
      <w:pPr>
        <w:spacing w:after="120" w:line="240" w:lineRule="auto"/>
        <w:jc w:val="both"/>
      </w:pPr>
      <w:r>
        <w:t xml:space="preserve">For public hospital costs, </w:t>
      </w:r>
      <w:r w:rsidR="005D08C8">
        <w:t xml:space="preserve">the </w:t>
      </w:r>
      <w:r>
        <w:t>approach used by Taylor</w:t>
      </w:r>
      <w:r w:rsidR="005D08C8">
        <w:t>, AJ</w:t>
      </w:r>
      <w:r>
        <w:t xml:space="preserve"> et al</w:t>
      </w:r>
      <w:r w:rsidR="005D08C8">
        <w:t>.</w:t>
      </w:r>
      <w:r>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t xml:space="preserve"> was used. First</w:t>
      </w:r>
      <w:r w:rsidR="005D08C8">
        <w:t>,</w:t>
      </w:r>
      <w:r>
        <w:t xml:space="preserve"> a weighted cost based on NEP for AR-DRGs F01A and B was calculated as </w:t>
      </w:r>
      <w:r w:rsidRPr="0069646D">
        <w:t>$</w:t>
      </w:r>
      <w:r>
        <w:t xml:space="preserve">28,414 (see </w:t>
      </w:r>
      <w:r w:rsidRPr="00BB2643">
        <w:t>Appendix</w:t>
      </w:r>
      <w:r>
        <w:t xml:space="preserve"> M). The estimated cost per procedure was than either reduced or increased by an adjustment factor</w:t>
      </w:r>
      <w:r w:rsidR="005D08C8">
        <w:t>,</w:t>
      </w:r>
      <w:r>
        <w:t xml:space="preserve"> $3,314</w:t>
      </w:r>
      <w:r>
        <w:rPr>
          <w:rStyle w:val="FootnoteReference"/>
        </w:rPr>
        <w:footnoteReference w:id="14"/>
      </w:r>
      <w:r w:rsidR="005D08C8">
        <w:t>,</w:t>
      </w:r>
      <w:r>
        <w:t xml:space="preserve"> for ICD and CRT-D</w:t>
      </w:r>
      <w:r w:rsidR="00DF3187">
        <w:t>,</w:t>
      </w:r>
      <w:r>
        <w:t xml:space="preserve"> respectively. The approach to derive the itemised cost of ICD and CRT-D implantation procedures in private hospitals is based on MSAC </w:t>
      </w:r>
      <w:r w:rsidR="00641E7B">
        <w:t>A</w:t>
      </w:r>
      <w:r w:rsidR="00495AF8">
        <w:t>pplication</w:t>
      </w:r>
      <w:r w:rsidR="00DF3187">
        <w:t xml:space="preserve"> no. </w:t>
      </w:r>
      <w:r>
        <w:t>1223</w:t>
      </w:r>
      <w:r>
        <w:rPr>
          <w:rStyle w:val="FootnoteReference"/>
        </w:rPr>
        <w:footnoteReference w:id="15"/>
      </w:r>
      <w:r w:rsidR="00DF3187">
        <w:t>,</w:t>
      </w:r>
      <w:r>
        <w:t xml:space="preserve"> with all the costs adjusted for inflation (2015 AUD).</w:t>
      </w:r>
    </w:p>
    <w:p w14:paraId="2A204509" w14:textId="186C5B1F" w:rsidR="000E482F" w:rsidRDefault="000E482F" w:rsidP="004C79C1">
      <w:pPr>
        <w:spacing w:after="120" w:line="240" w:lineRule="auto"/>
        <w:jc w:val="both"/>
      </w:pPr>
      <w:r>
        <w:t>The detailed derivations of costs of ICD, CRT-D, pacemaker, CABG, valvular surgery, other cardiac surgeries and heart transplant</w:t>
      </w:r>
      <w:r w:rsidR="00877955">
        <w:t>s</w:t>
      </w:r>
      <w:r>
        <w:t xml:space="preserve"> for both </w:t>
      </w:r>
      <w:r w:rsidR="00877955">
        <w:t>p</w:t>
      </w:r>
      <w:r>
        <w:t xml:space="preserve">ublic and </w:t>
      </w:r>
      <w:r w:rsidR="00877955">
        <w:t>p</w:t>
      </w:r>
      <w:r>
        <w:t xml:space="preserve">rivate </w:t>
      </w:r>
      <w:r w:rsidR="00877955">
        <w:t>s</w:t>
      </w:r>
      <w:r>
        <w:t>ector</w:t>
      </w:r>
      <w:r w:rsidR="00877955">
        <w:t>s</w:t>
      </w:r>
      <w:r>
        <w:t xml:space="preserve"> are provided </w:t>
      </w:r>
      <w:r w:rsidRPr="00BB2643">
        <w:t>in Appendix M.</w:t>
      </w:r>
      <w:r>
        <w:t xml:space="preserve"> A summary of costs of procedures used in the modelled analysis is presented in</w:t>
      </w:r>
      <w:r w:rsidR="00835DEC">
        <w:t xml:space="preserve"> </w:t>
      </w:r>
      <w:r w:rsidR="00835DEC">
        <w:fldChar w:fldCharType="begin"/>
      </w:r>
      <w:r w:rsidR="00835DEC">
        <w:instrText xml:space="preserve"> REF _Ref451257220 \h </w:instrText>
      </w:r>
      <w:r w:rsidR="00835DEC">
        <w:fldChar w:fldCharType="separate"/>
      </w:r>
      <w:r w:rsidR="001C15ED">
        <w:t xml:space="preserve">Table </w:t>
      </w:r>
      <w:r w:rsidR="001C15ED">
        <w:rPr>
          <w:noProof/>
        </w:rPr>
        <w:t>38</w:t>
      </w:r>
      <w:r w:rsidR="00835DEC">
        <w:fldChar w:fldCharType="end"/>
      </w:r>
      <w:r>
        <w:t>.</w:t>
      </w:r>
    </w:p>
    <w:p w14:paraId="7DA91CDE" w14:textId="1B18E61E" w:rsidR="00835DEC" w:rsidRDefault="00835DEC" w:rsidP="004C79C1">
      <w:pPr>
        <w:pStyle w:val="Caption"/>
        <w:keepNext/>
      </w:pPr>
      <w:bookmarkStart w:id="555" w:name="_Ref451257220"/>
      <w:bookmarkStart w:id="556" w:name="_Toc451435365"/>
      <w:r>
        <w:t xml:space="preserve">Table </w:t>
      </w:r>
      <w:fldSimple w:instr=" SEQ Table \* ARABIC ">
        <w:r w:rsidR="00050936">
          <w:rPr>
            <w:noProof/>
          </w:rPr>
          <w:t>38</w:t>
        </w:r>
      </w:fldSimple>
      <w:bookmarkEnd w:id="555"/>
      <w:r>
        <w:tab/>
      </w:r>
      <w:r w:rsidRPr="003966E0">
        <w:t>Costs of procedures used in the model</w:t>
      </w:r>
      <w:bookmarkEnd w:id="556"/>
    </w:p>
    <w:tbl>
      <w:tblPr>
        <w:tblStyle w:val="TableGrid"/>
        <w:tblW w:w="0" w:type="auto"/>
        <w:tblLook w:val="04A0" w:firstRow="1" w:lastRow="0" w:firstColumn="1" w:lastColumn="0" w:noHBand="0" w:noVBand="1"/>
        <w:tblDescription w:val="Costs of procedures used in the model"/>
      </w:tblPr>
      <w:tblGrid>
        <w:gridCol w:w="1980"/>
        <w:gridCol w:w="2268"/>
        <w:gridCol w:w="2268"/>
        <w:gridCol w:w="2500"/>
      </w:tblGrid>
      <w:tr w:rsidR="000E482F" w14:paraId="359535F4" w14:textId="77777777" w:rsidTr="00723891">
        <w:trPr>
          <w:tblHeader/>
        </w:trPr>
        <w:tc>
          <w:tcPr>
            <w:tcW w:w="1980" w:type="dxa"/>
          </w:tcPr>
          <w:p w14:paraId="6A7A8A35" w14:textId="77777777" w:rsidR="000E482F" w:rsidRDefault="000E482F" w:rsidP="004C79C1">
            <w:pPr>
              <w:pStyle w:val="TableHeading"/>
              <w:spacing w:before="0" w:after="120"/>
            </w:pPr>
          </w:p>
        </w:tc>
        <w:tc>
          <w:tcPr>
            <w:tcW w:w="2268" w:type="dxa"/>
            <w:tcBorders>
              <w:bottom w:val="single" w:sz="4" w:space="0" w:color="auto"/>
            </w:tcBorders>
          </w:tcPr>
          <w:p w14:paraId="7A14F661" w14:textId="77777777" w:rsidR="000E482F" w:rsidRDefault="000E482F" w:rsidP="004C79C1">
            <w:pPr>
              <w:pStyle w:val="TableHeading"/>
              <w:spacing w:before="0" w:after="120"/>
            </w:pPr>
            <w:r>
              <w:t>Costs in public sector</w:t>
            </w:r>
          </w:p>
        </w:tc>
        <w:tc>
          <w:tcPr>
            <w:tcW w:w="2268" w:type="dxa"/>
            <w:tcBorders>
              <w:bottom w:val="single" w:sz="4" w:space="0" w:color="auto"/>
            </w:tcBorders>
          </w:tcPr>
          <w:p w14:paraId="113CF35B" w14:textId="24252AC9" w:rsidR="000E482F" w:rsidRDefault="000E482F" w:rsidP="004C79C1">
            <w:pPr>
              <w:pStyle w:val="TableHeading"/>
              <w:spacing w:before="0" w:after="120"/>
            </w:pPr>
            <w:r>
              <w:t xml:space="preserve">Costs in private </w:t>
            </w:r>
            <w:r w:rsidR="000C38B1">
              <w:t>s</w:t>
            </w:r>
            <w:r>
              <w:t>ector</w:t>
            </w:r>
          </w:p>
        </w:tc>
        <w:tc>
          <w:tcPr>
            <w:tcW w:w="2500" w:type="dxa"/>
            <w:tcBorders>
              <w:bottom w:val="single" w:sz="4" w:space="0" w:color="auto"/>
            </w:tcBorders>
          </w:tcPr>
          <w:p w14:paraId="6A50B74F" w14:textId="77777777" w:rsidR="000E482F" w:rsidRDefault="000E482F" w:rsidP="004C79C1">
            <w:pPr>
              <w:pStyle w:val="TableHeading"/>
              <w:spacing w:before="0" w:after="120"/>
            </w:pPr>
            <w:r>
              <w:t>Weighted costs (base-case)</w:t>
            </w:r>
          </w:p>
        </w:tc>
      </w:tr>
      <w:tr w:rsidR="000E482F" w14:paraId="75C0EFC1" w14:textId="77777777" w:rsidTr="00723891">
        <w:tc>
          <w:tcPr>
            <w:tcW w:w="1980" w:type="dxa"/>
            <w:tcBorders>
              <w:right w:val="nil"/>
            </w:tcBorders>
          </w:tcPr>
          <w:p w14:paraId="3843ACD4" w14:textId="77777777" w:rsidR="000E482F" w:rsidRPr="0081390F" w:rsidRDefault="000E482F" w:rsidP="004C79C1">
            <w:pPr>
              <w:pStyle w:val="Tabletext1"/>
              <w:spacing w:before="0" w:after="120"/>
              <w:rPr>
                <w:b/>
              </w:rPr>
            </w:pPr>
            <w:r w:rsidRPr="0081390F">
              <w:rPr>
                <w:b/>
              </w:rPr>
              <w:t>Implantable device</w:t>
            </w:r>
          </w:p>
        </w:tc>
        <w:tc>
          <w:tcPr>
            <w:tcW w:w="2268" w:type="dxa"/>
            <w:tcBorders>
              <w:left w:val="nil"/>
              <w:right w:val="nil"/>
            </w:tcBorders>
          </w:tcPr>
          <w:p w14:paraId="174A1D08" w14:textId="77777777" w:rsidR="000E482F" w:rsidRDefault="000E482F" w:rsidP="004C79C1">
            <w:pPr>
              <w:pStyle w:val="Tabletext1"/>
              <w:spacing w:before="0" w:after="120"/>
            </w:pPr>
          </w:p>
        </w:tc>
        <w:tc>
          <w:tcPr>
            <w:tcW w:w="2268" w:type="dxa"/>
            <w:tcBorders>
              <w:left w:val="nil"/>
              <w:right w:val="nil"/>
            </w:tcBorders>
          </w:tcPr>
          <w:p w14:paraId="1148717C" w14:textId="77777777" w:rsidR="000E482F" w:rsidRDefault="000E482F" w:rsidP="004C79C1">
            <w:pPr>
              <w:pStyle w:val="Tabletext1"/>
              <w:spacing w:before="0" w:after="120"/>
            </w:pPr>
          </w:p>
        </w:tc>
        <w:tc>
          <w:tcPr>
            <w:tcW w:w="2500" w:type="dxa"/>
            <w:tcBorders>
              <w:left w:val="nil"/>
            </w:tcBorders>
          </w:tcPr>
          <w:p w14:paraId="233650A8" w14:textId="77777777" w:rsidR="000E482F" w:rsidRDefault="000E482F" w:rsidP="004C79C1">
            <w:pPr>
              <w:pStyle w:val="Tabletext1"/>
              <w:spacing w:before="0" w:after="120"/>
            </w:pPr>
          </w:p>
        </w:tc>
      </w:tr>
      <w:tr w:rsidR="000E482F" w14:paraId="37F7784B" w14:textId="77777777" w:rsidTr="00723891">
        <w:tc>
          <w:tcPr>
            <w:tcW w:w="1980" w:type="dxa"/>
          </w:tcPr>
          <w:p w14:paraId="05BABE32" w14:textId="77777777" w:rsidR="000E482F" w:rsidRDefault="000E482F" w:rsidP="004C79C1">
            <w:pPr>
              <w:pStyle w:val="Tabletext1"/>
              <w:spacing w:before="0" w:after="120"/>
            </w:pPr>
            <w:r w:rsidRPr="00745A34">
              <w:t>AICD</w:t>
            </w:r>
          </w:p>
        </w:tc>
        <w:tc>
          <w:tcPr>
            <w:tcW w:w="2268" w:type="dxa"/>
          </w:tcPr>
          <w:p w14:paraId="681F3A09" w14:textId="77777777" w:rsidR="000E482F" w:rsidRDefault="000E482F" w:rsidP="004C79C1">
            <w:pPr>
              <w:pStyle w:val="Tabletext1"/>
              <w:tabs>
                <w:tab w:val="decimal" w:pos="997"/>
              </w:tabs>
              <w:spacing w:before="0" w:after="120"/>
              <w:jc w:val="center"/>
            </w:pPr>
            <w:r w:rsidRPr="001B62D9">
              <w:t>$25,100</w:t>
            </w:r>
          </w:p>
        </w:tc>
        <w:tc>
          <w:tcPr>
            <w:tcW w:w="2268" w:type="dxa"/>
          </w:tcPr>
          <w:p w14:paraId="11025C1D" w14:textId="77777777" w:rsidR="000E482F" w:rsidRDefault="000E482F" w:rsidP="004C79C1">
            <w:pPr>
              <w:pStyle w:val="Tabletext1"/>
              <w:tabs>
                <w:tab w:val="decimal" w:pos="997"/>
              </w:tabs>
              <w:spacing w:before="0" w:after="120"/>
              <w:jc w:val="center"/>
            </w:pPr>
            <w:r w:rsidRPr="00984A55">
              <w:t>$62,955</w:t>
            </w:r>
          </w:p>
        </w:tc>
        <w:tc>
          <w:tcPr>
            <w:tcW w:w="2500" w:type="dxa"/>
          </w:tcPr>
          <w:p w14:paraId="22948D25" w14:textId="77777777" w:rsidR="000E482F" w:rsidRDefault="000E482F" w:rsidP="004C79C1">
            <w:pPr>
              <w:pStyle w:val="Tabletext1"/>
              <w:tabs>
                <w:tab w:val="decimal" w:pos="997"/>
              </w:tabs>
              <w:spacing w:before="0" w:after="120"/>
              <w:jc w:val="center"/>
            </w:pPr>
            <w:r w:rsidRPr="00BE196A">
              <w:t>$43,387</w:t>
            </w:r>
          </w:p>
        </w:tc>
      </w:tr>
      <w:tr w:rsidR="000E482F" w14:paraId="003FDC1A" w14:textId="77777777" w:rsidTr="00723891">
        <w:tc>
          <w:tcPr>
            <w:tcW w:w="1980" w:type="dxa"/>
          </w:tcPr>
          <w:p w14:paraId="2BCEA366" w14:textId="77777777" w:rsidR="000E482F" w:rsidRDefault="000E482F" w:rsidP="004C79C1">
            <w:pPr>
              <w:pStyle w:val="Tabletext1"/>
              <w:spacing w:before="0" w:after="120"/>
            </w:pPr>
            <w:r w:rsidRPr="00745A34">
              <w:t>CRT-D</w:t>
            </w:r>
          </w:p>
        </w:tc>
        <w:tc>
          <w:tcPr>
            <w:tcW w:w="2268" w:type="dxa"/>
          </w:tcPr>
          <w:p w14:paraId="315F44D7" w14:textId="77777777" w:rsidR="000E482F" w:rsidRDefault="000E482F" w:rsidP="004C79C1">
            <w:pPr>
              <w:pStyle w:val="Tabletext1"/>
              <w:tabs>
                <w:tab w:val="decimal" w:pos="997"/>
              </w:tabs>
              <w:spacing w:before="0" w:after="120"/>
              <w:jc w:val="center"/>
            </w:pPr>
            <w:r w:rsidRPr="001B62D9">
              <w:t>$31,727</w:t>
            </w:r>
          </w:p>
        </w:tc>
        <w:tc>
          <w:tcPr>
            <w:tcW w:w="2268" w:type="dxa"/>
          </w:tcPr>
          <w:p w14:paraId="2EE0BC35" w14:textId="77777777" w:rsidR="000E482F" w:rsidRDefault="000E482F" w:rsidP="004C79C1">
            <w:pPr>
              <w:pStyle w:val="Tabletext1"/>
              <w:tabs>
                <w:tab w:val="decimal" w:pos="997"/>
              </w:tabs>
              <w:spacing w:before="0" w:after="120"/>
              <w:jc w:val="center"/>
            </w:pPr>
            <w:r w:rsidRPr="00984A55">
              <w:t>$70,292</w:t>
            </w:r>
          </w:p>
        </w:tc>
        <w:tc>
          <w:tcPr>
            <w:tcW w:w="2500" w:type="dxa"/>
          </w:tcPr>
          <w:p w14:paraId="7EA0F765" w14:textId="77777777" w:rsidR="000E482F" w:rsidRDefault="000E482F" w:rsidP="004C79C1">
            <w:pPr>
              <w:pStyle w:val="Tabletext1"/>
              <w:tabs>
                <w:tab w:val="decimal" w:pos="997"/>
              </w:tabs>
              <w:spacing w:before="0" w:after="120"/>
              <w:jc w:val="center"/>
            </w:pPr>
            <w:r w:rsidRPr="00BE196A">
              <w:t>$50,357</w:t>
            </w:r>
          </w:p>
        </w:tc>
      </w:tr>
      <w:tr w:rsidR="000E482F" w14:paraId="67F08AA1" w14:textId="77777777" w:rsidTr="00723891">
        <w:tc>
          <w:tcPr>
            <w:tcW w:w="1980" w:type="dxa"/>
            <w:tcBorders>
              <w:bottom w:val="single" w:sz="4" w:space="0" w:color="auto"/>
            </w:tcBorders>
          </w:tcPr>
          <w:p w14:paraId="2CEB6F0B" w14:textId="77777777" w:rsidR="000E482F" w:rsidRDefault="000E482F" w:rsidP="004C79C1">
            <w:pPr>
              <w:pStyle w:val="Tabletext1"/>
              <w:spacing w:before="0" w:after="120"/>
            </w:pPr>
            <w:r w:rsidRPr="00745A34">
              <w:t>P</w:t>
            </w:r>
            <w:r>
              <w:t>acemaker</w:t>
            </w:r>
          </w:p>
        </w:tc>
        <w:tc>
          <w:tcPr>
            <w:tcW w:w="2268" w:type="dxa"/>
            <w:tcBorders>
              <w:bottom w:val="single" w:sz="4" w:space="0" w:color="auto"/>
            </w:tcBorders>
          </w:tcPr>
          <w:p w14:paraId="5F0FC92B" w14:textId="77777777" w:rsidR="000E482F" w:rsidRDefault="000E482F" w:rsidP="004C79C1">
            <w:pPr>
              <w:pStyle w:val="Tabletext1"/>
              <w:tabs>
                <w:tab w:val="decimal" w:pos="997"/>
              </w:tabs>
              <w:spacing w:before="0" w:after="120"/>
              <w:jc w:val="center"/>
            </w:pPr>
            <w:r w:rsidRPr="001B62D9">
              <w:t>$14,257</w:t>
            </w:r>
          </w:p>
        </w:tc>
        <w:tc>
          <w:tcPr>
            <w:tcW w:w="2268" w:type="dxa"/>
            <w:tcBorders>
              <w:bottom w:val="single" w:sz="4" w:space="0" w:color="auto"/>
            </w:tcBorders>
          </w:tcPr>
          <w:p w14:paraId="7BA56C7B" w14:textId="77777777" w:rsidR="000E482F" w:rsidRDefault="000E482F" w:rsidP="004C79C1">
            <w:pPr>
              <w:pStyle w:val="Tabletext1"/>
              <w:tabs>
                <w:tab w:val="decimal" w:pos="997"/>
              </w:tabs>
              <w:spacing w:before="0" w:after="120"/>
              <w:jc w:val="center"/>
            </w:pPr>
            <w:r w:rsidRPr="00984A55">
              <w:t>$15,590</w:t>
            </w:r>
          </w:p>
        </w:tc>
        <w:tc>
          <w:tcPr>
            <w:tcW w:w="2500" w:type="dxa"/>
            <w:tcBorders>
              <w:bottom w:val="single" w:sz="4" w:space="0" w:color="auto"/>
            </w:tcBorders>
          </w:tcPr>
          <w:p w14:paraId="143FA02D" w14:textId="77777777" w:rsidR="000E482F" w:rsidRDefault="000E482F" w:rsidP="004C79C1">
            <w:pPr>
              <w:pStyle w:val="Tabletext1"/>
              <w:tabs>
                <w:tab w:val="decimal" w:pos="997"/>
              </w:tabs>
              <w:spacing w:before="0" w:after="120"/>
              <w:jc w:val="center"/>
            </w:pPr>
            <w:r w:rsidRPr="00BE196A">
              <w:t>$14,966</w:t>
            </w:r>
          </w:p>
        </w:tc>
      </w:tr>
      <w:tr w:rsidR="000E482F" w14:paraId="4C3AD253" w14:textId="77777777" w:rsidTr="00723891">
        <w:tc>
          <w:tcPr>
            <w:tcW w:w="1980" w:type="dxa"/>
            <w:tcBorders>
              <w:right w:val="nil"/>
            </w:tcBorders>
          </w:tcPr>
          <w:p w14:paraId="120329BE" w14:textId="77777777" w:rsidR="000E482F" w:rsidRPr="0081390F" w:rsidRDefault="000E482F" w:rsidP="004C79C1">
            <w:pPr>
              <w:pStyle w:val="Tabletext1"/>
              <w:spacing w:before="0" w:after="120"/>
              <w:rPr>
                <w:b/>
              </w:rPr>
            </w:pPr>
            <w:r w:rsidRPr="0081390F">
              <w:rPr>
                <w:b/>
              </w:rPr>
              <w:t>Surgery</w:t>
            </w:r>
          </w:p>
        </w:tc>
        <w:tc>
          <w:tcPr>
            <w:tcW w:w="2268" w:type="dxa"/>
            <w:tcBorders>
              <w:left w:val="nil"/>
              <w:right w:val="nil"/>
            </w:tcBorders>
          </w:tcPr>
          <w:p w14:paraId="1E651D0A" w14:textId="77777777" w:rsidR="000E482F" w:rsidRDefault="000E482F" w:rsidP="004C79C1">
            <w:pPr>
              <w:pStyle w:val="Tabletext1"/>
              <w:tabs>
                <w:tab w:val="decimal" w:pos="997"/>
              </w:tabs>
              <w:spacing w:before="0" w:after="120"/>
              <w:jc w:val="center"/>
            </w:pPr>
          </w:p>
        </w:tc>
        <w:tc>
          <w:tcPr>
            <w:tcW w:w="2268" w:type="dxa"/>
            <w:tcBorders>
              <w:left w:val="nil"/>
              <w:right w:val="nil"/>
            </w:tcBorders>
          </w:tcPr>
          <w:p w14:paraId="2817D942" w14:textId="77777777" w:rsidR="000E482F" w:rsidRDefault="000E482F" w:rsidP="004C79C1">
            <w:pPr>
              <w:pStyle w:val="Tabletext1"/>
              <w:tabs>
                <w:tab w:val="decimal" w:pos="997"/>
              </w:tabs>
              <w:spacing w:before="0" w:after="120"/>
              <w:jc w:val="center"/>
            </w:pPr>
          </w:p>
        </w:tc>
        <w:tc>
          <w:tcPr>
            <w:tcW w:w="2500" w:type="dxa"/>
            <w:tcBorders>
              <w:left w:val="nil"/>
            </w:tcBorders>
          </w:tcPr>
          <w:p w14:paraId="35F67D89" w14:textId="77777777" w:rsidR="000E482F" w:rsidRDefault="000E482F" w:rsidP="004C79C1">
            <w:pPr>
              <w:pStyle w:val="Tabletext1"/>
              <w:tabs>
                <w:tab w:val="decimal" w:pos="997"/>
              </w:tabs>
              <w:spacing w:before="0" w:after="120"/>
              <w:jc w:val="center"/>
            </w:pPr>
          </w:p>
        </w:tc>
      </w:tr>
      <w:tr w:rsidR="000E482F" w14:paraId="0FC102CB" w14:textId="77777777" w:rsidTr="00723891">
        <w:tc>
          <w:tcPr>
            <w:tcW w:w="1980" w:type="dxa"/>
          </w:tcPr>
          <w:p w14:paraId="07A3A707" w14:textId="77777777" w:rsidR="000E482F" w:rsidRDefault="000E482F" w:rsidP="004C79C1">
            <w:pPr>
              <w:pStyle w:val="Tabletext1"/>
              <w:spacing w:before="0" w:after="120"/>
            </w:pPr>
            <w:r w:rsidRPr="00745A34">
              <w:t>CABG</w:t>
            </w:r>
          </w:p>
        </w:tc>
        <w:tc>
          <w:tcPr>
            <w:tcW w:w="2268" w:type="dxa"/>
          </w:tcPr>
          <w:p w14:paraId="2C4B6819" w14:textId="77777777" w:rsidR="000E482F" w:rsidRDefault="000E482F" w:rsidP="004C79C1">
            <w:pPr>
              <w:pStyle w:val="Tabletext1"/>
              <w:tabs>
                <w:tab w:val="decimal" w:pos="997"/>
              </w:tabs>
              <w:spacing w:before="0" w:after="120"/>
              <w:jc w:val="center"/>
            </w:pPr>
            <w:r w:rsidRPr="001B62D9">
              <w:t>$39,371</w:t>
            </w:r>
          </w:p>
        </w:tc>
        <w:tc>
          <w:tcPr>
            <w:tcW w:w="2268" w:type="dxa"/>
          </w:tcPr>
          <w:p w14:paraId="63E55588" w14:textId="77777777" w:rsidR="000E482F" w:rsidRDefault="000E482F" w:rsidP="004C79C1">
            <w:pPr>
              <w:pStyle w:val="Tabletext1"/>
              <w:tabs>
                <w:tab w:val="decimal" w:pos="997"/>
              </w:tabs>
              <w:spacing w:before="0" w:after="120"/>
              <w:jc w:val="center"/>
            </w:pPr>
            <w:r w:rsidRPr="00984A55">
              <w:t>$45,656</w:t>
            </w:r>
          </w:p>
        </w:tc>
        <w:tc>
          <w:tcPr>
            <w:tcW w:w="2500" w:type="dxa"/>
          </w:tcPr>
          <w:p w14:paraId="700F2310" w14:textId="77777777" w:rsidR="000E482F" w:rsidRDefault="000E482F" w:rsidP="004C79C1">
            <w:pPr>
              <w:pStyle w:val="Tabletext1"/>
              <w:tabs>
                <w:tab w:val="decimal" w:pos="997"/>
              </w:tabs>
              <w:spacing w:before="0" w:after="120"/>
              <w:jc w:val="center"/>
            </w:pPr>
            <w:r w:rsidRPr="00BE196A">
              <w:t>$41,939</w:t>
            </w:r>
          </w:p>
        </w:tc>
      </w:tr>
      <w:tr w:rsidR="000E482F" w14:paraId="0BFC1FD3" w14:textId="77777777" w:rsidTr="00723891">
        <w:tc>
          <w:tcPr>
            <w:tcW w:w="1980" w:type="dxa"/>
          </w:tcPr>
          <w:p w14:paraId="7A94E176" w14:textId="77777777" w:rsidR="000E482F" w:rsidRDefault="000E482F" w:rsidP="004C79C1">
            <w:pPr>
              <w:pStyle w:val="Tabletext1"/>
              <w:spacing w:before="0" w:after="120"/>
            </w:pPr>
            <w:r w:rsidRPr="00745A34">
              <w:t>Valve</w:t>
            </w:r>
            <w:r>
              <w:t xml:space="preserve"> surgery</w:t>
            </w:r>
          </w:p>
        </w:tc>
        <w:tc>
          <w:tcPr>
            <w:tcW w:w="2268" w:type="dxa"/>
          </w:tcPr>
          <w:p w14:paraId="3C9A6327" w14:textId="77777777" w:rsidR="000E482F" w:rsidRDefault="000E482F" w:rsidP="004C79C1">
            <w:pPr>
              <w:pStyle w:val="Tabletext1"/>
              <w:tabs>
                <w:tab w:val="decimal" w:pos="997"/>
              </w:tabs>
              <w:spacing w:before="0" w:after="120"/>
              <w:jc w:val="center"/>
            </w:pPr>
            <w:r w:rsidRPr="001B62D9">
              <w:t>$49,413</w:t>
            </w:r>
          </w:p>
        </w:tc>
        <w:tc>
          <w:tcPr>
            <w:tcW w:w="2268" w:type="dxa"/>
          </w:tcPr>
          <w:p w14:paraId="09DAAF9B" w14:textId="77777777" w:rsidR="000E482F" w:rsidRDefault="000E482F" w:rsidP="004C79C1">
            <w:pPr>
              <w:pStyle w:val="Tabletext1"/>
              <w:tabs>
                <w:tab w:val="decimal" w:pos="997"/>
              </w:tabs>
              <w:spacing w:before="0" w:after="120"/>
              <w:jc w:val="center"/>
            </w:pPr>
            <w:r w:rsidRPr="00984A55">
              <w:t>$50,317</w:t>
            </w:r>
          </w:p>
        </w:tc>
        <w:tc>
          <w:tcPr>
            <w:tcW w:w="2500" w:type="dxa"/>
          </w:tcPr>
          <w:p w14:paraId="258F7805" w14:textId="77777777" w:rsidR="000E482F" w:rsidRDefault="000E482F" w:rsidP="004C79C1">
            <w:pPr>
              <w:pStyle w:val="Tabletext1"/>
              <w:tabs>
                <w:tab w:val="decimal" w:pos="997"/>
              </w:tabs>
              <w:spacing w:before="0" w:after="120"/>
              <w:jc w:val="center"/>
            </w:pPr>
            <w:r w:rsidRPr="00BE196A">
              <w:t>$49,854</w:t>
            </w:r>
          </w:p>
        </w:tc>
      </w:tr>
      <w:tr w:rsidR="000E482F" w14:paraId="436B19CE" w14:textId="77777777" w:rsidTr="00723891">
        <w:tc>
          <w:tcPr>
            <w:tcW w:w="1980" w:type="dxa"/>
          </w:tcPr>
          <w:p w14:paraId="625DAA7B" w14:textId="0EB86CE6" w:rsidR="000E482F" w:rsidRDefault="000E482F" w:rsidP="004C79C1">
            <w:pPr>
              <w:pStyle w:val="Tabletext1"/>
              <w:spacing w:before="0" w:after="120"/>
            </w:pPr>
            <w:r>
              <w:t>Heart t</w:t>
            </w:r>
            <w:r w:rsidRPr="00745A34">
              <w:t>ransplant</w:t>
            </w:r>
            <w:r w:rsidR="003C1142">
              <w:t xml:space="preserve"> </w:t>
            </w:r>
            <w:r w:rsidR="003C1142" w:rsidRPr="00FC17B7">
              <w:rPr>
                <w:vertAlign w:val="superscript"/>
              </w:rPr>
              <w:t>a</w:t>
            </w:r>
          </w:p>
        </w:tc>
        <w:tc>
          <w:tcPr>
            <w:tcW w:w="2268" w:type="dxa"/>
          </w:tcPr>
          <w:p w14:paraId="3E621FCD" w14:textId="77777777" w:rsidR="000E482F" w:rsidRDefault="000E482F" w:rsidP="004C79C1">
            <w:pPr>
              <w:pStyle w:val="Tabletext1"/>
              <w:tabs>
                <w:tab w:val="decimal" w:pos="997"/>
              </w:tabs>
              <w:spacing w:before="0" w:after="120"/>
              <w:jc w:val="center"/>
            </w:pPr>
            <w:r w:rsidRPr="001B62D9">
              <w:t>$162,479</w:t>
            </w:r>
          </w:p>
        </w:tc>
        <w:tc>
          <w:tcPr>
            <w:tcW w:w="2268" w:type="dxa"/>
          </w:tcPr>
          <w:p w14:paraId="556AE39F" w14:textId="77777777" w:rsidR="000E482F" w:rsidRDefault="000E482F" w:rsidP="004C79C1">
            <w:pPr>
              <w:pStyle w:val="Tabletext1"/>
              <w:tabs>
                <w:tab w:val="decimal" w:pos="997"/>
              </w:tabs>
              <w:spacing w:before="0" w:after="120"/>
              <w:jc w:val="center"/>
            </w:pPr>
          </w:p>
        </w:tc>
        <w:tc>
          <w:tcPr>
            <w:tcW w:w="2500" w:type="dxa"/>
          </w:tcPr>
          <w:p w14:paraId="00AB370A" w14:textId="77777777" w:rsidR="000E482F" w:rsidRDefault="000E482F" w:rsidP="004C79C1">
            <w:pPr>
              <w:pStyle w:val="Tabletext1"/>
              <w:tabs>
                <w:tab w:val="decimal" w:pos="997"/>
              </w:tabs>
              <w:spacing w:before="0" w:after="120"/>
              <w:jc w:val="center"/>
            </w:pPr>
            <w:r w:rsidRPr="00BE196A">
              <w:t>$162,479</w:t>
            </w:r>
          </w:p>
        </w:tc>
      </w:tr>
      <w:tr w:rsidR="000E482F" w14:paraId="331BBA32" w14:textId="77777777" w:rsidTr="00723891">
        <w:tc>
          <w:tcPr>
            <w:tcW w:w="1980" w:type="dxa"/>
          </w:tcPr>
          <w:p w14:paraId="7EC9BCE4" w14:textId="77777777" w:rsidR="000E482F" w:rsidRDefault="000E482F" w:rsidP="004C79C1">
            <w:pPr>
              <w:pStyle w:val="Tabletext1"/>
              <w:spacing w:before="0" w:after="120"/>
            </w:pPr>
            <w:r w:rsidRPr="00745A34">
              <w:t>Other</w:t>
            </w:r>
          </w:p>
        </w:tc>
        <w:tc>
          <w:tcPr>
            <w:tcW w:w="2268" w:type="dxa"/>
          </w:tcPr>
          <w:p w14:paraId="1C605FF4" w14:textId="77777777" w:rsidR="000E482F" w:rsidRDefault="000E482F" w:rsidP="004C79C1">
            <w:pPr>
              <w:pStyle w:val="Tabletext1"/>
              <w:tabs>
                <w:tab w:val="decimal" w:pos="997"/>
              </w:tabs>
              <w:spacing w:before="0" w:after="120"/>
              <w:jc w:val="center"/>
            </w:pPr>
            <w:r w:rsidRPr="001B62D9">
              <w:t>$22,705</w:t>
            </w:r>
          </w:p>
        </w:tc>
        <w:tc>
          <w:tcPr>
            <w:tcW w:w="2268" w:type="dxa"/>
          </w:tcPr>
          <w:p w14:paraId="384DE77C" w14:textId="77777777" w:rsidR="000E482F" w:rsidRDefault="000E482F" w:rsidP="004C79C1">
            <w:pPr>
              <w:pStyle w:val="Tabletext1"/>
              <w:tabs>
                <w:tab w:val="decimal" w:pos="997"/>
              </w:tabs>
              <w:spacing w:before="0" w:after="120"/>
              <w:jc w:val="center"/>
            </w:pPr>
            <w:r w:rsidRPr="00984A55">
              <w:t>$18,570</w:t>
            </w:r>
          </w:p>
        </w:tc>
        <w:tc>
          <w:tcPr>
            <w:tcW w:w="2500" w:type="dxa"/>
          </w:tcPr>
          <w:p w14:paraId="1FB663B4" w14:textId="77777777" w:rsidR="000E482F" w:rsidRDefault="000E482F" w:rsidP="004C79C1">
            <w:pPr>
              <w:pStyle w:val="Tabletext1"/>
              <w:tabs>
                <w:tab w:val="decimal" w:pos="997"/>
              </w:tabs>
              <w:spacing w:before="0" w:after="120"/>
              <w:jc w:val="center"/>
            </w:pPr>
            <w:r w:rsidRPr="00BE196A">
              <w:t>$21,402</w:t>
            </w:r>
          </w:p>
        </w:tc>
      </w:tr>
    </w:tbl>
    <w:p w14:paraId="49C2E6C8" w14:textId="4AC45E9A" w:rsidR="000E482F" w:rsidRPr="00FC17B7" w:rsidRDefault="000E482F" w:rsidP="004C79C1">
      <w:pPr>
        <w:pStyle w:val="Tablenotes0"/>
        <w:spacing w:before="0" w:after="120"/>
      </w:pPr>
      <w:r w:rsidRPr="00FC17B7">
        <w:t>AICD</w:t>
      </w:r>
      <w:r w:rsidR="000C38B1" w:rsidRPr="00FC17B7">
        <w:t xml:space="preserve"> </w:t>
      </w:r>
      <w:r w:rsidRPr="00FC17B7">
        <w:t>=</w:t>
      </w:r>
      <w:r w:rsidR="000C38B1" w:rsidRPr="00FC17B7">
        <w:t xml:space="preserve"> </w:t>
      </w:r>
      <w:r w:rsidR="00493B1F">
        <w:t>automated</w:t>
      </w:r>
      <w:r w:rsidR="00493B1F" w:rsidRPr="00C5592D">
        <w:t xml:space="preserve"> </w:t>
      </w:r>
      <w:r w:rsidRPr="00FC17B7">
        <w:t xml:space="preserve">implantable </w:t>
      </w:r>
      <w:r w:rsidR="0026063B">
        <w:t>cardioverter defibrillator</w:t>
      </w:r>
      <w:r w:rsidRPr="00FC17B7">
        <w:t xml:space="preserve">; </w:t>
      </w:r>
      <w:r w:rsidR="003C1142" w:rsidRPr="00FC17B7">
        <w:t xml:space="preserve">CABG = coronary artery bypass graft surgery; </w:t>
      </w:r>
      <w:r w:rsidRPr="00FC17B7">
        <w:t>CRT-D =</w:t>
      </w:r>
      <w:r w:rsidR="000C38B1" w:rsidRPr="00FC17B7">
        <w:t xml:space="preserve"> </w:t>
      </w:r>
      <w:r w:rsidRPr="00FC17B7">
        <w:t xml:space="preserve">cardiac resynchronisation therapy with defibrillator </w:t>
      </w:r>
    </w:p>
    <w:p w14:paraId="551C5F98" w14:textId="5D18B613" w:rsidR="000E482F" w:rsidRPr="00FC17B7" w:rsidRDefault="003C1142" w:rsidP="004C79C1">
      <w:pPr>
        <w:pStyle w:val="Tablenotes0"/>
        <w:spacing w:before="0" w:after="120"/>
      </w:pPr>
      <w:proofErr w:type="gramStart"/>
      <w:r w:rsidRPr="00FC17B7">
        <w:rPr>
          <w:vertAlign w:val="superscript"/>
        </w:rPr>
        <w:t>a</w:t>
      </w:r>
      <w:proofErr w:type="gramEnd"/>
      <w:r w:rsidRPr="00FC17B7">
        <w:t xml:space="preserve"> </w:t>
      </w:r>
      <w:r w:rsidR="000E482F" w:rsidRPr="00FC17B7">
        <w:t>Transplant not included in base</w:t>
      </w:r>
      <w:r w:rsidR="00243328" w:rsidRPr="00FC17B7">
        <w:t>-</w:t>
      </w:r>
      <w:r w:rsidR="000E482F" w:rsidRPr="00FC17B7">
        <w:t>case model</w:t>
      </w:r>
      <w:r w:rsidR="00243328" w:rsidRPr="00FC17B7">
        <w:t>;</w:t>
      </w:r>
      <w:r w:rsidR="000E482F" w:rsidRPr="00FC17B7">
        <w:t xml:space="preserve"> see below</w:t>
      </w:r>
    </w:p>
    <w:p w14:paraId="3C8C3B5C" w14:textId="180DD64A" w:rsidR="000E482F" w:rsidRPr="005845B0" w:rsidRDefault="000E482F" w:rsidP="004C79C1">
      <w:pPr>
        <w:pStyle w:val="Heading5"/>
        <w:spacing w:after="120" w:line="240" w:lineRule="auto"/>
      </w:pPr>
      <w:r w:rsidRPr="005845B0">
        <w:t xml:space="preserve">Heart </w:t>
      </w:r>
      <w:r w:rsidR="00922C7F">
        <w:t>t</w:t>
      </w:r>
      <w:r w:rsidRPr="005845B0">
        <w:t>ransplant</w:t>
      </w:r>
    </w:p>
    <w:p w14:paraId="6ACE1CE6" w14:textId="19668514" w:rsidR="000E482F" w:rsidRPr="00FC17B7" w:rsidRDefault="000E482F" w:rsidP="004C79C1">
      <w:pPr>
        <w:spacing w:after="120" w:line="240" w:lineRule="auto"/>
        <w:jc w:val="both"/>
        <w:rPr>
          <w:color w:val="000000" w:themeColor="text1"/>
        </w:rPr>
      </w:pPr>
      <w:r>
        <w:t>Taylor</w:t>
      </w:r>
      <w:r w:rsidR="00922C7F">
        <w:t>, AJ</w:t>
      </w:r>
      <w:r>
        <w:t xml:space="preserve"> et al</w:t>
      </w:r>
      <w:r w:rsidR="00922C7F">
        <w:t>.</w:t>
      </w:r>
      <w:r>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t xml:space="preserve"> reported that</w:t>
      </w:r>
      <w:r w:rsidR="002B667E">
        <w:t>,</w:t>
      </w:r>
      <w:r>
        <w:t xml:space="preserve"> out of five heart transplants planned in CM patients, two were avoided due to CMR testing. The patient population included in </w:t>
      </w:r>
      <w:r w:rsidR="001E50AD">
        <w:t xml:space="preserve">this </w:t>
      </w:r>
      <w:r>
        <w:t xml:space="preserve">study (patients </w:t>
      </w:r>
      <w:r w:rsidR="001E50AD">
        <w:t xml:space="preserve">were </w:t>
      </w:r>
      <w:r>
        <w:t xml:space="preserve">referred to a specialised </w:t>
      </w:r>
      <w:r w:rsidR="001E50AD">
        <w:t>HF</w:t>
      </w:r>
      <w:r>
        <w:t xml:space="preserve"> hospital) </w:t>
      </w:r>
      <w:r w:rsidR="001E50AD">
        <w:t xml:space="preserve">is </w:t>
      </w:r>
      <w:r>
        <w:t>probably more restricted than the target population. There were approximately 64 heart transplant surgeries (for all indications) performed in 2013</w:t>
      </w:r>
      <w:r w:rsidR="00690780">
        <w:t>–</w:t>
      </w:r>
      <w:r>
        <w:t xml:space="preserve">14 </w:t>
      </w:r>
      <w:r w:rsidR="00B853AE">
        <w:t xml:space="preserve">in </w:t>
      </w:r>
      <w:r>
        <w:t>Australia and</w:t>
      </w:r>
      <w:r w:rsidR="00B853AE">
        <w:t>,</w:t>
      </w:r>
      <w:r>
        <w:t xml:space="preserve"> thus, five heart transplant surgeries planned in 449 CM patients does not seem representative </w:t>
      </w:r>
      <w:r>
        <w:lastRenderedPageBreak/>
        <w:t xml:space="preserve">of the proposed population. The cost associated with a heart transplant surgery is substantial and </w:t>
      </w:r>
      <w:r w:rsidR="00672E21">
        <w:t>therefore</w:t>
      </w:r>
      <w:r>
        <w:t xml:space="preserve"> any surgery avoided will favour the intervention arm considerably. As such, the heart transplant surgeries planned and the associated changes were not included in the base-case analyses. A sensitivity analysis including this data on changes in planned heart transplants is presented.</w:t>
      </w:r>
      <w:r w:rsidR="00202D86">
        <w:t xml:space="preserve"> </w:t>
      </w:r>
    </w:p>
    <w:p w14:paraId="003793A7" w14:textId="5B135E8D" w:rsidR="000E482F" w:rsidRPr="00366C17" w:rsidRDefault="000E482F" w:rsidP="00161B88">
      <w:pPr>
        <w:pStyle w:val="Heading3"/>
      </w:pPr>
      <w:bookmarkStart w:id="557" w:name="_Toc449428908"/>
      <w:bookmarkStart w:id="558" w:name="_Toc451501380"/>
      <w:r>
        <w:t>D5</w:t>
      </w:r>
      <w:proofErr w:type="gramStart"/>
      <w:r>
        <w:t>.(</w:t>
      </w:r>
      <w:proofErr w:type="gramEnd"/>
      <w:r>
        <w:t>iiA) CEA</w:t>
      </w:r>
      <w:r>
        <w:tab/>
        <w:t>Results</w:t>
      </w:r>
      <w:bookmarkEnd w:id="557"/>
      <w:bookmarkEnd w:id="558"/>
    </w:p>
    <w:p w14:paraId="6F2816F3" w14:textId="77777777" w:rsidR="000E482F" w:rsidRPr="00E228B3" w:rsidRDefault="000E482F" w:rsidP="00161B88">
      <w:pPr>
        <w:pStyle w:val="Heading4"/>
      </w:pPr>
      <w:r w:rsidRPr="00E228B3">
        <w:t>Modelled costs</w:t>
      </w:r>
    </w:p>
    <w:p w14:paraId="55469F17" w14:textId="6A8B5F6F" w:rsidR="00FC17B7" w:rsidRDefault="00FC17B7" w:rsidP="004C79C1">
      <w:pPr>
        <w:pStyle w:val="Caption"/>
        <w:keepNext/>
      </w:pPr>
      <w:bookmarkStart w:id="559" w:name="_Ref451258059"/>
      <w:bookmarkStart w:id="560" w:name="_Toc451435366"/>
      <w:r>
        <w:t xml:space="preserve">Table </w:t>
      </w:r>
      <w:fldSimple w:instr=" SEQ Table \* ARABIC ">
        <w:r w:rsidR="00050936">
          <w:rPr>
            <w:noProof/>
          </w:rPr>
          <w:t>39</w:t>
        </w:r>
      </w:fldSimple>
      <w:bookmarkEnd w:id="559"/>
      <w:r>
        <w:tab/>
      </w:r>
      <w:r w:rsidRPr="001C41F7">
        <w:t>Total and incremental costs per patient associated with each arm of the modelled analysis</w:t>
      </w:r>
      <w:bookmarkEnd w:id="560"/>
    </w:p>
    <w:tbl>
      <w:tblPr>
        <w:tblStyle w:val="TableGrid"/>
        <w:tblW w:w="5000" w:type="pct"/>
        <w:tblLook w:val="04A0" w:firstRow="1" w:lastRow="0" w:firstColumn="1" w:lastColumn="0" w:noHBand="0" w:noVBand="1"/>
        <w:tblDescription w:val="Total and incremental costs per patient associated with each arm of the modelled analysis"/>
      </w:tblPr>
      <w:tblGrid>
        <w:gridCol w:w="4208"/>
        <w:gridCol w:w="1579"/>
        <w:gridCol w:w="1579"/>
        <w:gridCol w:w="1876"/>
      </w:tblGrid>
      <w:tr w:rsidR="000E482F" w:rsidRPr="005B3774" w14:paraId="6ECD16E6" w14:textId="77777777" w:rsidTr="00723891">
        <w:trPr>
          <w:trHeight w:val="300"/>
          <w:tblHeader/>
        </w:trPr>
        <w:tc>
          <w:tcPr>
            <w:tcW w:w="2277" w:type="pct"/>
            <w:noWrap/>
            <w:hideMark/>
          </w:tcPr>
          <w:p w14:paraId="1B01B12F" w14:textId="77777777" w:rsidR="000E482F" w:rsidRPr="005B3774" w:rsidRDefault="000E482F" w:rsidP="004C79C1">
            <w:pPr>
              <w:pStyle w:val="Tabletext1"/>
              <w:spacing w:before="0" w:after="120"/>
              <w:rPr>
                <w:b/>
              </w:rPr>
            </w:pPr>
          </w:p>
        </w:tc>
        <w:tc>
          <w:tcPr>
            <w:tcW w:w="854" w:type="pct"/>
            <w:noWrap/>
            <w:hideMark/>
          </w:tcPr>
          <w:p w14:paraId="2AF714FE" w14:textId="77777777" w:rsidR="000E482F" w:rsidRPr="005B3774" w:rsidRDefault="000E482F" w:rsidP="004C79C1">
            <w:pPr>
              <w:pStyle w:val="Tabletext1"/>
              <w:spacing w:before="0" w:after="120"/>
              <w:jc w:val="center"/>
              <w:rPr>
                <w:b/>
              </w:rPr>
            </w:pPr>
            <w:r w:rsidRPr="005B3774">
              <w:rPr>
                <w:b/>
              </w:rPr>
              <w:t>No CMR</w:t>
            </w:r>
          </w:p>
        </w:tc>
        <w:tc>
          <w:tcPr>
            <w:tcW w:w="854" w:type="pct"/>
            <w:noWrap/>
            <w:hideMark/>
          </w:tcPr>
          <w:p w14:paraId="63ED2199" w14:textId="77777777" w:rsidR="000E482F" w:rsidRPr="005B3774" w:rsidRDefault="000E482F" w:rsidP="004C79C1">
            <w:pPr>
              <w:pStyle w:val="Tabletext1"/>
              <w:spacing w:before="0" w:after="120"/>
              <w:jc w:val="center"/>
              <w:rPr>
                <w:b/>
              </w:rPr>
            </w:pPr>
            <w:r w:rsidRPr="005B3774">
              <w:rPr>
                <w:b/>
              </w:rPr>
              <w:t>CMR</w:t>
            </w:r>
          </w:p>
        </w:tc>
        <w:tc>
          <w:tcPr>
            <w:tcW w:w="1015" w:type="pct"/>
            <w:noWrap/>
            <w:hideMark/>
          </w:tcPr>
          <w:p w14:paraId="1B2ED5CF" w14:textId="5F1517C2" w:rsidR="000E482F" w:rsidRPr="005B3774" w:rsidRDefault="000E482F" w:rsidP="004C79C1">
            <w:pPr>
              <w:pStyle w:val="Tabletext1"/>
              <w:spacing w:before="0" w:after="120"/>
              <w:jc w:val="center"/>
              <w:rPr>
                <w:b/>
              </w:rPr>
            </w:pPr>
            <w:r w:rsidRPr="005B3774">
              <w:rPr>
                <w:b/>
              </w:rPr>
              <w:t xml:space="preserve">Incremental </w:t>
            </w:r>
            <w:r w:rsidR="00672E21">
              <w:rPr>
                <w:b/>
              </w:rPr>
              <w:t>c</w:t>
            </w:r>
            <w:r w:rsidRPr="005B3774">
              <w:rPr>
                <w:b/>
              </w:rPr>
              <w:t>ost</w:t>
            </w:r>
          </w:p>
        </w:tc>
      </w:tr>
      <w:tr w:rsidR="00FC17B7" w:rsidRPr="005B3774" w14:paraId="7D326AD3" w14:textId="77777777" w:rsidTr="00723891">
        <w:trPr>
          <w:trHeight w:val="300"/>
        </w:trPr>
        <w:tc>
          <w:tcPr>
            <w:tcW w:w="2277" w:type="pct"/>
            <w:noWrap/>
          </w:tcPr>
          <w:p w14:paraId="4CF4784E" w14:textId="77777777" w:rsidR="00FC17B7" w:rsidRPr="00E228B3" w:rsidRDefault="00FC17B7" w:rsidP="004C79C1">
            <w:pPr>
              <w:pStyle w:val="Tabletext1"/>
              <w:spacing w:before="0" w:after="120"/>
            </w:pPr>
            <w:r w:rsidRPr="00E228B3">
              <w:t>Cost associated with testing</w:t>
            </w:r>
          </w:p>
        </w:tc>
        <w:tc>
          <w:tcPr>
            <w:tcW w:w="854" w:type="pct"/>
            <w:noWrap/>
          </w:tcPr>
          <w:p w14:paraId="59B820D3" w14:textId="513011D8" w:rsidR="00FC17B7" w:rsidRPr="00E228B3" w:rsidRDefault="00FC17B7" w:rsidP="004C79C1">
            <w:pPr>
              <w:pStyle w:val="Tabletext1"/>
              <w:spacing w:before="0" w:after="120"/>
              <w:jc w:val="center"/>
            </w:pPr>
            <w:r w:rsidRPr="00E228B3">
              <w:t>-</w:t>
            </w:r>
          </w:p>
        </w:tc>
        <w:tc>
          <w:tcPr>
            <w:tcW w:w="854" w:type="pct"/>
            <w:noWrap/>
          </w:tcPr>
          <w:p w14:paraId="07D02C5A" w14:textId="623E8850" w:rsidR="00FC17B7" w:rsidRPr="00E228B3" w:rsidRDefault="00FC17B7" w:rsidP="004C79C1">
            <w:pPr>
              <w:pStyle w:val="Tabletext1"/>
              <w:spacing w:before="0" w:after="120"/>
              <w:jc w:val="center"/>
            </w:pPr>
            <w:r w:rsidRPr="00E228B3">
              <w:t>$1</w:t>
            </w:r>
            <w:r>
              <w:t>,</w:t>
            </w:r>
            <w:r w:rsidRPr="00E228B3">
              <w:t>106</w:t>
            </w:r>
          </w:p>
        </w:tc>
        <w:tc>
          <w:tcPr>
            <w:tcW w:w="1015" w:type="pct"/>
            <w:noWrap/>
          </w:tcPr>
          <w:p w14:paraId="5842292C" w14:textId="3068BC31" w:rsidR="00FC17B7" w:rsidRPr="00E228B3" w:rsidRDefault="00FC17B7" w:rsidP="004C79C1">
            <w:pPr>
              <w:pStyle w:val="Tabletext1"/>
              <w:spacing w:before="0" w:after="120"/>
              <w:jc w:val="center"/>
            </w:pPr>
            <w:r w:rsidRPr="00E228B3">
              <w:t>$1</w:t>
            </w:r>
            <w:r>
              <w:t>,</w:t>
            </w:r>
            <w:r w:rsidRPr="00E228B3">
              <w:t>106</w:t>
            </w:r>
          </w:p>
        </w:tc>
      </w:tr>
      <w:tr w:rsidR="00FC17B7" w:rsidRPr="005B3774" w14:paraId="59176291" w14:textId="77777777" w:rsidTr="00723891">
        <w:trPr>
          <w:trHeight w:val="300"/>
        </w:trPr>
        <w:tc>
          <w:tcPr>
            <w:tcW w:w="2277" w:type="pct"/>
            <w:noWrap/>
          </w:tcPr>
          <w:p w14:paraId="12392BCC" w14:textId="77777777" w:rsidR="00FC17B7" w:rsidRPr="00AD161D" w:rsidRDefault="00FC17B7" w:rsidP="004C79C1">
            <w:pPr>
              <w:pStyle w:val="Tabletext1"/>
              <w:spacing w:before="0" w:after="120"/>
            </w:pPr>
            <w:r w:rsidRPr="00AD161D">
              <w:t>Costs associated with subsequent management</w:t>
            </w:r>
          </w:p>
        </w:tc>
        <w:tc>
          <w:tcPr>
            <w:tcW w:w="854" w:type="pct"/>
            <w:noWrap/>
          </w:tcPr>
          <w:p w14:paraId="3651F06D" w14:textId="1DDDB9D1" w:rsidR="00FC17B7" w:rsidRPr="00AD161D" w:rsidRDefault="00FC17B7" w:rsidP="004C79C1">
            <w:pPr>
              <w:pStyle w:val="Tabletext1"/>
              <w:spacing w:before="0" w:after="120"/>
              <w:jc w:val="center"/>
            </w:pPr>
            <w:r w:rsidRPr="00AD161D">
              <w:t>$8,416</w:t>
            </w:r>
          </w:p>
        </w:tc>
        <w:tc>
          <w:tcPr>
            <w:tcW w:w="854" w:type="pct"/>
            <w:noWrap/>
          </w:tcPr>
          <w:p w14:paraId="00814BBC" w14:textId="430DBF5B" w:rsidR="00FC17B7" w:rsidRPr="00AD161D" w:rsidRDefault="00FC17B7" w:rsidP="004C79C1">
            <w:pPr>
              <w:pStyle w:val="Tabletext1"/>
              <w:spacing w:before="0" w:after="120"/>
              <w:jc w:val="center"/>
            </w:pPr>
            <w:r>
              <w:t>$7,713</w:t>
            </w:r>
          </w:p>
        </w:tc>
        <w:tc>
          <w:tcPr>
            <w:tcW w:w="1015" w:type="pct"/>
            <w:noWrap/>
          </w:tcPr>
          <w:p w14:paraId="7B431F5E" w14:textId="79DFE364" w:rsidR="00FC17B7" w:rsidRPr="00AD161D" w:rsidRDefault="00FC17B7" w:rsidP="004C79C1">
            <w:pPr>
              <w:pStyle w:val="Tabletext1"/>
              <w:spacing w:before="0" w:after="120"/>
              <w:jc w:val="center"/>
            </w:pPr>
            <w:r>
              <w:t>–$703</w:t>
            </w:r>
          </w:p>
        </w:tc>
      </w:tr>
      <w:tr w:rsidR="00FC17B7" w:rsidRPr="005B3774" w14:paraId="35372D4C" w14:textId="77777777" w:rsidTr="00723891">
        <w:trPr>
          <w:trHeight w:val="300"/>
        </w:trPr>
        <w:tc>
          <w:tcPr>
            <w:tcW w:w="2277" w:type="pct"/>
            <w:noWrap/>
            <w:hideMark/>
          </w:tcPr>
          <w:p w14:paraId="712D3EFF" w14:textId="77777777" w:rsidR="00FC17B7" w:rsidRPr="00E228B3" w:rsidRDefault="00FC17B7" w:rsidP="004C79C1">
            <w:pPr>
              <w:pStyle w:val="Tabletext1"/>
              <w:spacing w:before="0" w:after="120"/>
              <w:rPr>
                <w:b/>
              </w:rPr>
            </w:pPr>
            <w:r>
              <w:rPr>
                <w:b/>
              </w:rPr>
              <w:t>Total m</w:t>
            </w:r>
            <w:r w:rsidRPr="00E228B3">
              <w:rPr>
                <w:b/>
              </w:rPr>
              <w:t>odelled cost per patient</w:t>
            </w:r>
          </w:p>
        </w:tc>
        <w:tc>
          <w:tcPr>
            <w:tcW w:w="854" w:type="pct"/>
            <w:noWrap/>
            <w:hideMark/>
          </w:tcPr>
          <w:p w14:paraId="6FD6B32C" w14:textId="32FB5F9F" w:rsidR="00FC17B7" w:rsidRPr="00E228B3" w:rsidRDefault="00FC17B7" w:rsidP="004C79C1">
            <w:pPr>
              <w:pStyle w:val="Tabletext1"/>
              <w:spacing w:before="0" w:after="120"/>
              <w:jc w:val="center"/>
              <w:rPr>
                <w:b/>
              </w:rPr>
            </w:pPr>
            <w:r w:rsidRPr="00E228B3">
              <w:rPr>
                <w:b/>
              </w:rPr>
              <w:t>$8,416</w:t>
            </w:r>
          </w:p>
        </w:tc>
        <w:tc>
          <w:tcPr>
            <w:tcW w:w="854" w:type="pct"/>
            <w:noWrap/>
            <w:hideMark/>
          </w:tcPr>
          <w:p w14:paraId="1AA4869D" w14:textId="0172E931" w:rsidR="00FC17B7" w:rsidRPr="00E228B3" w:rsidRDefault="00FC17B7" w:rsidP="004C79C1">
            <w:pPr>
              <w:pStyle w:val="Tabletext1"/>
              <w:spacing w:before="0" w:after="120"/>
              <w:jc w:val="center"/>
              <w:rPr>
                <w:b/>
              </w:rPr>
            </w:pPr>
            <w:r w:rsidRPr="00E228B3">
              <w:rPr>
                <w:b/>
              </w:rPr>
              <w:t>$8,819</w:t>
            </w:r>
          </w:p>
        </w:tc>
        <w:tc>
          <w:tcPr>
            <w:tcW w:w="1015" w:type="pct"/>
            <w:noWrap/>
            <w:hideMark/>
          </w:tcPr>
          <w:p w14:paraId="34CCF09B" w14:textId="60BD5930" w:rsidR="00FC17B7" w:rsidRPr="00E228B3" w:rsidRDefault="00FC17B7" w:rsidP="004C79C1">
            <w:pPr>
              <w:pStyle w:val="Tabletext1"/>
              <w:spacing w:before="0" w:after="120"/>
              <w:jc w:val="center"/>
              <w:rPr>
                <w:b/>
              </w:rPr>
            </w:pPr>
            <w:r w:rsidRPr="00E228B3">
              <w:rPr>
                <w:b/>
              </w:rPr>
              <w:t>$403</w:t>
            </w:r>
          </w:p>
        </w:tc>
      </w:tr>
    </w:tbl>
    <w:p w14:paraId="20D17EEC" w14:textId="31FF4188" w:rsidR="000E482F" w:rsidRDefault="000E482F" w:rsidP="004C79C1">
      <w:pPr>
        <w:pStyle w:val="Tablenotes0"/>
        <w:spacing w:before="0" w:after="120"/>
      </w:pPr>
      <w:r>
        <w:t xml:space="preserve">CMR = cardiac magnetic resonance </w:t>
      </w:r>
      <w:r w:rsidR="008734D3">
        <w:t>(</w:t>
      </w:r>
      <w:r>
        <w:t>imaging</w:t>
      </w:r>
      <w:r w:rsidR="008734D3">
        <w:t>)</w:t>
      </w:r>
    </w:p>
    <w:p w14:paraId="1FFEF40F" w14:textId="3ACC71C4" w:rsidR="000E482F" w:rsidRDefault="00FC17B7" w:rsidP="004C79C1">
      <w:pPr>
        <w:spacing w:after="120" w:line="240" w:lineRule="auto"/>
        <w:jc w:val="both"/>
      </w:pPr>
      <w:r w:rsidRPr="00FC17B7">
        <w:rPr>
          <w:color w:val="000000" w:themeColor="text1"/>
        </w:rPr>
        <w:t>The incremental costs per patient associated with each arm of the modelled analysis are presented in</w:t>
      </w:r>
      <w:r>
        <w:rPr>
          <w:color w:val="000000" w:themeColor="text1"/>
        </w:rPr>
        <w:t xml:space="preserve"> </w:t>
      </w:r>
      <w:r>
        <w:rPr>
          <w:color w:val="000000" w:themeColor="text1"/>
        </w:rPr>
        <w:fldChar w:fldCharType="begin"/>
      </w:r>
      <w:r>
        <w:rPr>
          <w:color w:val="000000" w:themeColor="text1"/>
        </w:rPr>
        <w:instrText xml:space="preserve"> REF _Ref451258059 \h </w:instrText>
      </w:r>
      <w:r>
        <w:rPr>
          <w:color w:val="000000" w:themeColor="text1"/>
        </w:rPr>
      </w:r>
      <w:r>
        <w:rPr>
          <w:color w:val="000000" w:themeColor="text1"/>
        </w:rPr>
        <w:fldChar w:fldCharType="separate"/>
      </w:r>
      <w:r w:rsidR="00734099">
        <w:t xml:space="preserve">Table </w:t>
      </w:r>
      <w:r w:rsidR="00734099">
        <w:rPr>
          <w:noProof/>
        </w:rPr>
        <w:t>39</w:t>
      </w:r>
      <w:r>
        <w:rPr>
          <w:color w:val="000000" w:themeColor="text1"/>
        </w:rPr>
        <w:fldChar w:fldCharType="end"/>
      </w:r>
      <w:r w:rsidRPr="00FC17B7">
        <w:rPr>
          <w:color w:val="000000" w:themeColor="text1"/>
        </w:rPr>
        <w:t>.</w:t>
      </w:r>
      <w:r>
        <w:rPr>
          <w:color w:val="000000" w:themeColor="text1"/>
        </w:rPr>
        <w:t xml:space="preserve"> </w:t>
      </w:r>
      <w:r w:rsidR="000E482F">
        <w:t xml:space="preserve">CMR testing is associated with an overall incremental cost of $403 in the base-case analysis. A cost offset is observed due to the net reduction in the proportion of devices implanted or surgeries performed following CMR. The modelled cost is largely driven by the downstream costs of procedures (devices and surgeries) performed in both model arms. Base-case analysis uses </w:t>
      </w:r>
      <w:r w:rsidR="00C5001C">
        <w:t xml:space="preserve">the </w:t>
      </w:r>
      <w:r w:rsidR="000E482F">
        <w:t xml:space="preserve">average costs of procedures performed in </w:t>
      </w:r>
      <w:r w:rsidR="00C5001C">
        <w:t>the p</w:t>
      </w:r>
      <w:r w:rsidR="000E482F">
        <w:t xml:space="preserve">ublic and </w:t>
      </w:r>
      <w:r w:rsidR="00C5001C">
        <w:t>p</w:t>
      </w:r>
      <w:r w:rsidR="000E482F">
        <w:t>rivate sector</w:t>
      </w:r>
      <w:r w:rsidR="00C5001C">
        <w:t>s</w:t>
      </w:r>
      <w:r w:rsidR="000E482F">
        <w:t xml:space="preserve"> weighted by the number of separations. Sensitivity analysis is presented using the estimated costs in </w:t>
      </w:r>
      <w:r w:rsidR="00C5001C">
        <w:t>the p</w:t>
      </w:r>
      <w:r w:rsidR="000E482F">
        <w:t xml:space="preserve">ublic and </w:t>
      </w:r>
      <w:r w:rsidR="00C5001C">
        <w:t>p</w:t>
      </w:r>
      <w:r w:rsidR="000E482F">
        <w:t>rivate sector</w:t>
      </w:r>
      <w:r w:rsidR="000E4B10">
        <w:t>s</w:t>
      </w:r>
      <w:r w:rsidR="000E482F">
        <w:t xml:space="preserve"> separately.</w:t>
      </w:r>
    </w:p>
    <w:p w14:paraId="12E5B280" w14:textId="77777777" w:rsidR="000E482F" w:rsidRPr="00593BCD" w:rsidRDefault="000E482F" w:rsidP="00161B88">
      <w:pPr>
        <w:pStyle w:val="Heading4"/>
      </w:pPr>
      <w:r w:rsidRPr="00593BCD">
        <w:t>Modelled outcomes</w:t>
      </w:r>
    </w:p>
    <w:p w14:paraId="10FDA42E" w14:textId="4753C591" w:rsidR="000E482F" w:rsidRDefault="00202D86" w:rsidP="004C79C1">
      <w:pPr>
        <w:spacing w:after="120" w:line="240" w:lineRule="auto"/>
        <w:jc w:val="both"/>
      </w:pPr>
      <w:r w:rsidRPr="00FC17B7">
        <w:rPr>
          <w:color w:val="000000" w:themeColor="text1"/>
        </w:rPr>
        <w:t>The modelled ou</w:t>
      </w:r>
      <w:r w:rsidR="00791FFF" w:rsidRPr="00FC17B7">
        <w:rPr>
          <w:color w:val="000000" w:themeColor="text1"/>
        </w:rPr>
        <w:t>tcomes of the economic analysis</w:t>
      </w:r>
      <w:r w:rsidRPr="00FC17B7">
        <w:rPr>
          <w:color w:val="000000" w:themeColor="text1"/>
        </w:rPr>
        <w:t xml:space="preserve"> </w:t>
      </w:r>
      <w:r w:rsidR="00791FFF" w:rsidRPr="00FC17B7">
        <w:rPr>
          <w:color w:val="000000" w:themeColor="text1"/>
        </w:rPr>
        <w:t xml:space="preserve">of </w:t>
      </w:r>
      <w:r w:rsidRPr="00FC17B7">
        <w:rPr>
          <w:color w:val="000000" w:themeColor="text1"/>
        </w:rPr>
        <w:t>change</w:t>
      </w:r>
      <w:r w:rsidR="00791FFF" w:rsidRPr="00FC17B7">
        <w:rPr>
          <w:color w:val="000000" w:themeColor="text1"/>
        </w:rPr>
        <w:t>s</w:t>
      </w:r>
      <w:r w:rsidRPr="00FC17B7">
        <w:rPr>
          <w:color w:val="000000" w:themeColor="text1"/>
        </w:rPr>
        <w:t xml:space="preserve"> in patients’ managem</w:t>
      </w:r>
      <w:r w:rsidR="00791FFF" w:rsidRPr="00FC17B7">
        <w:rPr>
          <w:color w:val="000000" w:themeColor="text1"/>
        </w:rPr>
        <w:t>ent following CMR (at 6 months)</w:t>
      </w:r>
      <w:r w:rsidRPr="00FC17B7">
        <w:rPr>
          <w:color w:val="000000" w:themeColor="text1"/>
        </w:rPr>
        <w:t xml:space="preserve"> are summarised in</w:t>
      </w:r>
      <w:r w:rsidR="00FC17B7">
        <w:rPr>
          <w:color w:val="000000" w:themeColor="text1"/>
        </w:rPr>
        <w:t xml:space="preserve"> </w:t>
      </w:r>
      <w:r w:rsidR="00FC17B7">
        <w:rPr>
          <w:color w:val="000000" w:themeColor="text1"/>
        </w:rPr>
        <w:fldChar w:fldCharType="begin"/>
      </w:r>
      <w:r w:rsidR="00FC17B7">
        <w:rPr>
          <w:color w:val="000000" w:themeColor="text1"/>
        </w:rPr>
        <w:instrText xml:space="preserve"> REF _Ref451258294 \h </w:instrText>
      </w:r>
      <w:r w:rsidR="00FC17B7">
        <w:rPr>
          <w:color w:val="000000" w:themeColor="text1"/>
        </w:rPr>
      </w:r>
      <w:r w:rsidR="00FC17B7">
        <w:rPr>
          <w:color w:val="000000" w:themeColor="text1"/>
        </w:rPr>
        <w:fldChar w:fldCharType="separate"/>
      </w:r>
      <w:r w:rsidR="00734099">
        <w:t xml:space="preserve">Table </w:t>
      </w:r>
      <w:r w:rsidR="00734099">
        <w:rPr>
          <w:noProof/>
        </w:rPr>
        <w:t>40</w:t>
      </w:r>
      <w:r w:rsidR="00FC17B7">
        <w:rPr>
          <w:color w:val="000000" w:themeColor="text1"/>
        </w:rPr>
        <w:fldChar w:fldCharType="end"/>
      </w:r>
      <w:r w:rsidRPr="00FC17B7">
        <w:rPr>
          <w:color w:val="000000" w:themeColor="text1"/>
        </w:rPr>
        <w:t>.</w:t>
      </w:r>
      <w:r>
        <w:rPr>
          <w:color w:val="ED7D31"/>
        </w:rPr>
        <w:t xml:space="preserve"> </w:t>
      </w:r>
      <w:r w:rsidR="000E482F">
        <w:t xml:space="preserve">Compared with no testing, CMR is associated with a reduction in the number of inappropriate procedures performed (CMR 0% </w:t>
      </w:r>
      <w:r w:rsidR="00017B06">
        <w:t xml:space="preserve">vs </w:t>
      </w:r>
      <w:r w:rsidR="000E482F">
        <w:t xml:space="preserve">no testing 7.1%). Overall, </w:t>
      </w:r>
      <w:r w:rsidR="00017B06">
        <w:t xml:space="preserve">the </w:t>
      </w:r>
      <w:r w:rsidR="000E482F">
        <w:t xml:space="preserve">CMR testing strategy results in 12.8% </w:t>
      </w:r>
      <w:r w:rsidR="00017B06">
        <w:t xml:space="preserve">of </w:t>
      </w:r>
      <w:r w:rsidR="000E482F">
        <w:t>inappropriate patient management plans (</w:t>
      </w:r>
      <w:r w:rsidR="00017B06">
        <w:t xml:space="preserve">i.e. </w:t>
      </w:r>
      <w:r w:rsidR="000E482F">
        <w:t xml:space="preserve">procedures missed or inappropriately planned) being avoided compared with </w:t>
      </w:r>
      <w:r w:rsidR="00017B06">
        <w:t xml:space="preserve">the </w:t>
      </w:r>
      <w:r w:rsidR="000E482F">
        <w:t xml:space="preserve">no testing strategy. </w:t>
      </w:r>
    </w:p>
    <w:p w14:paraId="01F50B80" w14:textId="6C87E317" w:rsidR="00FC17B7" w:rsidRDefault="00FC17B7" w:rsidP="004C79C1">
      <w:pPr>
        <w:pStyle w:val="Caption"/>
        <w:keepNext/>
      </w:pPr>
      <w:bookmarkStart w:id="561" w:name="_Ref451258294"/>
      <w:bookmarkStart w:id="562" w:name="_Toc451435367"/>
      <w:r>
        <w:t xml:space="preserve">Table </w:t>
      </w:r>
      <w:fldSimple w:instr=" SEQ Table \* ARABIC ">
        <w:r w:rsidR="00734099">
          <w:rPr>
            <w:noProof/>
          </w:rPr>
          <w:t>40</w:t>
        </w:r>
      </w:fldSimple>
      <w:bookmarkEnd w:id="561"/>
      <w:r>
        <w:tab/>
      </w:r>
      <w:r w:rsidRPr="002E1968">
        <w:t xml:space="preserve">Change in patients’ management following CMR (at 6 months) in HF patients indicated for DCM (n=449) </w:t>
      </w:r>
      <w:r w:rsidRPr="00FC17B7">
        <w:rPr>
          <w:vertAlign w:val="superscript"/>
        </w:rPr>
        <w:t>a</w:t>
      </w:r>
      <w:bookmarkEnd w:id="562"/>
    </w:p>
    <w:tbl>
      <w:tblPr>
        <w:tblStyle w:val="TableGrid"/>
        <w:tblW w:w="5000" w:type="pct"/>
        <w:tblLook w:val="04A0" w:firstRow="1" w:lastRow="0" w:firstColumn="1" w:lastColumn="0" w:noHBand="0" w:noVBand="1"/>
        <w:tblDescription w:val="Change in the patients’ management following CMR (at six months) in heart failure patients indicated for DCM (N = 449) "/>
      </w:tblPr>
      <w:tblGrid>
        <w:gridCol w:w="5095"/>
        <w:gridCol w:w="1383"/>
        <w:gridCol w:w="1383"/>
        <w:gridCol w:w="1381"/>
      </w:tblGrid>
      <w:tr w:rsidR="000E482F" w:rsidRPr="0017312F" w14:paraId="12615104" w14:textId="77777777" w:rsidTr="00FC17B7">
        <w:trPr>
          <w:trHeight w:val="300"/>
          <w:tblHeader/>
        </w:trPr>
        <w:tc>
          <w:tcPr>
            <w:tcW w:w="2757" w:type="pct"/>
            <w:tcBorders>
              <w:bottom w:val="single" w:sz="4" w:space="0" w:color="auto"/>
            </w:tcBorders>
            <w:shd w:val="clear" w:color="auto" w:fill="auto"/>
            <w:noWrap/>
            <w:hideMark/>
          </w:tcPr>
          <w:p w14:paraId="519CA0D9" w14:textId="77777777" w:rsidR="000E482F" w:rsidRPr="0017312F" w:rsidRDefault="000E482F" w:rsidP="004C79C1">
            <w:pPr>
              <w:pStyle w:val="Tabletext1"/>
              <w:spacing w:before="0" w:after="120"/>
            </w:pPr>
          </w:p>
        </w:tc>
        <w:tc>
          <w:tcPr>
            <w:tcW w:w="748" w:type="pct"/>
            <w:tcBorders>
              <w:bottom w:val="single" w:sz="4" w:space="0" w:color="auto"/>
            </w:tcBorders>
            <w:shd w:val="clear" w:color="auto" w:fill="auto"/>
            <w:noWrap/>
            <w:hideMark/>
          </w:tcPr>
          <w:p w14:paraId="00D378FB" w14:textId="77777777" w:rsidR="000E482F" w:rsidRPr="0017312F" w:rsidRDefault="000E482F" w:rsidP="004C79C1">
            <w:pPr>
              <w:pStyle w:val="Tabletext1"/>
              <w:spacing w:before="0" w:after="120"/>
              <w:jc w:val="center"/>
              <w:rPr>
                <w:b/>
                <w:bCs/>
              </w:rPr>
            </w:pPr>
            <w:r w:rsidRPr="0017312F">
              <w:rPr>
                <w:b/>
                <w:bCs/>
              </w:rPr>
              <w:t>No CMR</w:t>
            </w:r>
          </w:p>
        </w:tc>
        <w:tc>
          <w:tcPr>
            <w:tcW w:w="748" w:type="pct"/>
            <w:tcBorders>
              <w:bottom w:val="single" w:sz="4" w:space="0" w:color="auto"/>
            </w:tcBorders>
            <w:shd w:val="clear" w:color="auto" w:fill="auto"/>
            <w:noWrap/>
            <w:hideMark/>
          </w:tcPr>
          <w:p w14:paraId="4BD4E7FC" w14:textId="77777777" w:rsidR="000E482F" w:rsidRPr="0017312F" w:rsidRDefault="000E482F" w:rsidP="004C79C1">
            <w:pPr>
              <w:pStyle w:val="Tabletext1"/>
              <w:spacing w:before="0" w:after="120"/>
              <w:jc w:val="center"/>
              <w:rPr>
                <w:b/>
                <w:bCs/>
              </w:rPr>
            </w:pPr>
            <w:r>
              <w:rPr>
                <w:b/>
                <w:bCs/>
              </w:rPr>
              <w:t>Post-</w:t>
            </w:r>
            <w:r w:rsidRPr="0017312F">
              <w:rPr>
                <w:b/>
                <w:bCs/>
              </w:rPr>
              <w:t>CMR</w:t>
            </w:r>
          </w:p>
        </w:tc>
        <w:tc>
          <w:tcPr>
            <w:tcW w:w="747" w:type="pct"/>
            <w:tcBorders>
              <w:bottom w:val="single" w:sz="4" w:space="0" w:color="auto"/>
            </w:tcBorders>
            <w:shd w:val="clear" w:color="auto" w:fill="auto"/>
            <w:noWrap/>
            <w:hideMark/>
          </w:tcPr>
          <w:p w14:paraId="41D48E3B" w14:textId="77777777" w:rsidR="000E482F" w:rsidRPr="0017312F" w:rsidRDefault="000E482F" w:rsidP="004C79C1">
            <w:pPr>
              <w:pStyle w:val="Tabletext1"/>
              <w:spacing w:before="0" w:after="120"/>
              <w:jc w:val="center"/>
              <w:rPr>
                <w:b/>
                <w:bCs/>
              </w:rPr>
            </w:pPr>
            <w:r>
              <w:rPr>
                <w:b/>
                <w:bCs/>
              </w:rPr>
              <w:t>Increment</w:t>
            </w:r>
          </w:p>
        </w:tc>
      </w:tr>
      <w:tr w:rsidR="000E482F" w:rsidRPr="006F2881" w14:paraId="4D4452A5" w14:textId="77777777" w:rsidTr="00FC17B7">
        <w:trPr>
          <w:trHeight w:val="300"/>
        </w:trPr>
        <w:tc>
          <w:tcPr>
            <w:tcW w:w="2757" w:type="pct"/>
            <w:tcBorders>
              <w:bottom w:val="single" w:sz="4" w:space="0" w:color="auto"/>
              <w:right w:val="nil"/>
            </w:tcBorders>
            <w:shd w:val="clear" w:color="auto" w:fill="auto"/>
            <w:noWrap/>
          </w:tcPr>
          <w:p w14:paraId="3A6DC94A" w14:textId="77777777" w:rsidR="000E482F" w:rsidRPr="006F2881" w:rsidRDefault="000E482F" w:rsidP="004C79C1">
            <w:pPr>
              <w:pStyle w:val="Tabletext1"/>
              <w:spacing w:before="0" w:after="120"/>
              <w:rPr>
                <w:b/>
              </w:rPr>
            </w:pPr>
            <w:r w:rsidRPr="006F2881">
              <w:rPr>
                <w:b/>
              </w:rPr>
              <w:t>Appropriate patient management</w:t>
            </w:r>
          </w:p>
        </w:tc>
        <w:tc>
          <w:tcPr>
            <w:tcW w:w="748" w:type="pct"/>
            <w:tcBorders>
              <w:left w:val="nil"/>
              <w:bottom w:val="single" w:sz="4" w:space="0" w:color="auto"/>
              <w:right w:val="nil"/>
            </w:tcBorders>
            <w:shd w:val="clear" w:color="auto" w:fill="auto"/>
            <w:noWrap/>
          </w:tcPr>
          <w:p w14:paraId="20CFF6A0" w14:textId="77777777" w:rsidR="000E482F" w:rsidRPr="006F2881" w:rsidRDefault="000E482F" w:rsidP="004C79C1">
            <w:pPr>
              <w:pStyle w:val="Tabletext1"/>
              <w:spacing w:before="0" w:after="120"/>
              <w:rPr>
                <w:b/>
                <w:bCs/>
              </w:rPr>
            </w:pPr>
          </w:p>
        </w:tc>
        <w:tc>
          <w:tcPr>
            <w:tcW w:w="748" w:type="pct"/>
            <w:tcBorders>
              <w:left w:val="nil"/>
              <w:bottom w:val="single" w:sz="4" w:space="0" w:color="auto"/>
              <w:right w:val="nil"/>
            </w:tcBorders>
            <w:shd w:val="clear" w:color="auto" w:fill="auto"/>
            <w:noWrap/>
          </w:tcPr>
          <w:p w14:paraId="65350A53" w14:textId="77777777" w:rsidR="000E482F" w:rsidRPr="006F2881" w:rsidRDefault="000E482F" w:rsidP="004C79C1">
            <w:pPr>
              <w:pStyle w:val="Tabletext1"/>
              <w:spacing w:before="0" w:after="120"/>
              <w:rPr>
                <w:b/>
                <w:bCs/>
              </w:rPr>
            </w:pPr>
          </w:p>
        </w:tc>
        <w:tc>
          <w:tcPr>
            <w:tcW w:w="747" w:type="pct"/>
            <w:tcBorders>
              <w:left w:val="nil"/>
              <w:bottom w:val="single" w:sz="4" w:space="0" w:color="auto"/>
            </w:tcBorders>
            <w:shd w:val="clear" w:color="auto" w:fill="auto"/>
            <w:noWrap/>
          </w:tcPr>
          <w:p w14:paraId="3EDA06D1" w14:textId="77777777" w:rsidR="000E482F" w:rsidRPr="006F2881" w:rsidRDefault="000E482F" w:rsidP="004C79C1">
            <w:pPr>
              <w:pStyle w:val="Tabletext1"/>
              <w:spacing w:before="0" w:after="120"/>
              <w:rPr>
                <w:b/>
                <w:bCs/>
              </w:rPr>
            </w:pPr>
          </w:p>
        </w:tc>
      </w:tr>
      <w:tr w:rsidR="000E482F" w:rsidRPr="006F2881" w14:paraId="00D42B5A" w14:textId="77777777" w:rsidTr="00FC17B7">
        <w:trPr>
          <w:trHeight w:val="300"/>
        </w:trPr>
        <w:tc>
          <w:tcPr>
            <w:tcW w:w="2757" w:type="pct"/>
            <w:tcBorders>
              <w:bottom w:val="nil"/>
              <w:right w:val="single" w:sz="4" w:space="0" w:color="auto"/>
            </w:tcBorders>
            <w:shd w:val="clear" w:color="auto" w:fill="auto"/>
            <w:noWrap/>
            <w:hideMark/>
          </w:tcPr>
          <w:p w14:paraId="51237229" w14:textId="145E4780" w:rsidR="000E482F" w:rsidRPr="006F2881" w:rsidRDefault="000E482F" w:rsidP="004C79C1">
            <w:pPr>
              <w:pStyle w:val="Tabletext1"/>
              <w:spacing w:before="0" w:after="120"/>
              <w:rPr>
                <w:bCs/>
                <w:i/>
              </w:rPr>
            </w:pPr>
            <w:r w:rsidRPr="006F2881">
              <w:rPr>
                <w:bCs/>
                <w:i/>
              </w:rPr>
              <w:t>Devices planned (appropriate)</w:t>
            </w:r>
            <w:r w:rsidR="006C533D">
              <w:rPr>
                <w:bCs/>
                <w:i/>
              </w:rPr>
              <w:t>:</w:t>
            </w:r>
            <w:r>
              <w:rPr>
                <w:bCs/>
                <w:i/>
              </w:rPr>
              <w:t xml:space="preserve"> </w:t>
            </w:r>
          </w:p>
        </w:tc>
        <w:tc>
          <w:tcPr>
            <w:tcW w:w="748" w:type="pct"/>
            <w:tcBorders>
              <w:left w:val="single" w:sz="4" w:space="0" w:color="auto"/>
              <w:bottom w:val="nil"/>
              <w:right w:val="single" w:sz="4" w:space="0" w:color="auto"/>
            </w:tcBorders>
            <w:shd w:val="clear" w:color="auto" w:fill="auto"/>
            <w:noWrap/>
          </w:tcPr>
          <w:p w14:paraId="57DF7026" w14:textId="77777777" w:rsidR="000E482F" w:rsidRPr="006F2881" w:rsidRDefault="000E482F" w:rsidP="004C79C1">
            <w:pPr>
              <w:pStyle w:val="Tabletext1"/>
              <w:tabs>
                <w:tab w:val="decimal" w:pos="377"/>
              </w:tabs>
              <w:spacing w:before="0" w:after="120"/>
              <w:jc w:val="center"/>
              <w:rPr>
                <w:i/>
                <w:iCs/>
              </w:rPr>
            </w:pPr>
            <w:r w:rsidRPr="006F2881">
              <w:rPr>
                <w:b/>
                <w:iCs/>
              </w:rPr>
              <w:t>11.4%</w:t>
            </w:r>
          </w:p>
        </w:tc>
        <w:tc>
          <w:tcPr>
            <w:tcW w:w="748" w:type="pct"/>
            <w:tcBorders>
              <w:left w:val="single" w:sz="4" w:space="0" w:color="auto"/>
              <w:bottom w:val="nil"/>
              <w:right w:val="single" w:sz="4" w:space="0" w:color="auto"/>
            </w:tcBorders>
            <w:shd w:val="clear" w:color="auto" w:fill="auto"/>
            <w:noWrap/>
          </w:tcPr>
          <w:p w14:paraId="31DE592B" w14:textId="77777777" w:rsidR="000E482F" w:rsidRPr="006F2881" w:rsidRDefault="000E482F" w:rsidP="004C79C1">
            <w:pPr>
              <w:pStyle w:val="Tabletext1"/>
              <w:tabs>
                <w:tab w:val="decimal" w:pos="522"/>
              </w:tabs>
              <w:spacing w:before="0" w:after="120"/>
              <w:jc w:val="center"/>
              <w:rPr>
                <w:i/>
                <w:iCs/>
              </w:rPr>
            </w:pPr>
            <w:r w:rsidRPr="006F2881">
              <w:rPr>
                <w:b/>
                <w:iCs/>
              </w:rPr>
              <w:t>15.8%</w:t>
            </w:r>
          </w:p>
        </w:tc>
        <w:tc>
          <w:tcPr>
            <w:tcW w:w="747" w:type="pct"/>
            <w:tcBorders>
              <w:left w:val="single" w:sz="4" w:space="0" w:color="auto"/>
              <w:bottom w:val="nil"/>
            </w:tcBorders>
            <w:shd w:val="clear" w:color="auto" w:fill="auto"/>
            <w:noWrap/>
          </w:tcPr>
          <w:p w14:paraId="3A0F87A9" w14:textId="77777777" w:rsidR="000E482F" w:rsidRPr="006F2881" w:rsidRDefault="000E482F" w:rsidP="004C79C1">
            <w:pPr>
              <w:pStyle w:val="Tabletext1"/>
              <w:tabs>
                <w:tab w:val="decimal" w:pos="532"/>
              </w:tabs>
              <w:spacing w:before="0" w:after="120"/>
              <w:jc w:val="center"/>
              <w:rPr>
                <w:i/>
                <w:iCs/>
              </w:rPr>
            </w:pPr>
            <w:r w:rsidRPr="006F2881">
              <w:rPr>
                <w:b/>
                <w:iCs/>
              </w:rPr>
              <w:t>4.5%</w:t>
            </w:r>
          </w:p>
        </w:tc>
      </w:tr>
      <w:tr w:rsidR="000E482F" w:rsidRPr="0017312F" w14:paraId="334869EB" w14:textId="77777777" w:rsidTr="00FC17B7">
        <w:trPr>
          <w:trHeight w:val="300"/>
        </w:trPr>
        <w:tc>
          <w:tcPr>
            <w:tcW w:w="2757" w:type="pct"/>
            <w:tcBorders>
              <w:top w:val="nil"/>
              <w:bottom w:val="nil"/>
              <w:right w:val="single" w:sz="4" w:space="0" w:color="auto"/>
            </w:tcBorders>
            <w:shd w:val="clear" w:color="auto" w:fill="auto"/>
            <w:noWrap/>
            <w:hideMark/>
          </w:tcPr>
          <w:p w14:paraId="668FBDB6" w14:textId="77777777" w:rsidR="000E482F" w:rsidRPr="0017312F" w:rsidRDefault="000E482F" w:rsidP="004C79C1">
            <w:pPr>
              <w:pStyle w:val="Tabletext1"/>
              <w:spacing w:before="0" w:after="120"/>
              <w:ind w:left="567"/>
            </w:pPr>
            <w:r w:rsidRPr="0017312F">
              <w:t>AICD</w:t>
            </w:r>
          </w:p>
        </w:tc>
        <w:tc>
          <w:tcPr>
            <w:tcW w:w="748" w:type="pct"/>
            <w:tcBorders>
              <w:top w:val="nil"/>
              <w:left w:val="single" w:sz="4" w:space="0" w:color="auto"/>
              <w:bottom w:val="nil"/>
              <w:right w:val="single" w:sz="4" w:space="0" w:color="auto"/>
            </w:tcBorders>
            <w:shd w:val="clear" w:color="auto" w:fill="auto"/>
            <w:noWrap/>
            <w:hideMark/>
          </w:tcPr>
          <w:p w14:paraId="336DDACB" w14:textId="77777777" w:rsidR="000E482F" w:rsidRPr="008007D8" w:rsidRDefault="000E482F" w:rsidP="004C79C1">
            <w:pPr>
              <w:pStyle w:val="Tabletext1"/>
              <w:tabs>
                <w:tab w:val="decimal" w:pos="377"/>
              </w:tabs>
              <w:spacing w:before="0" w:after="120"/>
              <w:jc w:val="center"/>
              <w:rPr>
                <w:bCs/>
              </w:rPr>
            </w:pPr>
            <w:r w:rsidRPr="008007D8">
              <w:rPr>
                <w:bCs/>
              </w:rPr>
              <w:t>7.4%</w:t>
            </w:r>
          </w:p>
        </w:tc>
        <w:tc>
          <w:tcPr>
            <w:tcW w:w="748" w:type="pct"/>
            <w:tcBorders>
              <w:top w:val="nil"/>
              <w:left w:val="single" w:sz="4" w:space="0" w:color="auto"/>
              <w:bottom w:val="nil"/>
              <w:right w:val="single" w:sz="4" w:space="0" w:color="auto"/>
            </w:tcBorders>
            <w:shd w:val="clear" w:color="auto" w:fill="auto"/>
            <w:noWrap/>
            <w:hideMark/>
          </w:tcPr>
          <w:p w14:paraId="186F5D5D" w14:textId="77777777" w:rsidR="000E482F" w:rsidRPr="008007D8" w:rsidRDefault="000E482F" w:rsidP="004C79C1">
            <w:pPr>
              <w:pStyle w:val="Tabletext1"/>
              <w:tabs>
                <w:tab w:val="decimal" w:pos="522"/>
              </w:tabs>
              <w:spacing w:before="0" w:after="120"/>
              <w:jc w:val="center"/>
              <w:rPr>
                <w:bCs/>
              </w:rPr>
            </w:pPr>
            <w:r w:rsidRPr="008007D8">
              <w:rPr>
                <w:bCs/>
              </w:rPr>
              <w:t>10.9%</w:t>
            </w:r>
          </w:p>
        </w:tc>
        <w:tc>
          <w:tcPr>
            <w:tcW w:w="747" w:type="pct"/>
            <w:tcBorders>
              <w:top w:val="nil"/>
              <w:left w:val="single" w:sz="4" w:space="0" w:color="auto"/>
              <w:bottom w:val="nil"/>
            </w:tcBorders>
            <w:shd w:val="clear" w:color="auto" w:fill="auto"/>
            <w:noWrap/>
            <w:hideMark/>
          </w:tcPr>
          <w:p w14:paraId="035D746F" w14:textId="77777777" w:rsidR="000E482F" w:rsidRPr="008007D8" w:rsidRDefault="000E482F" w:rsidP="004C79C1">
            <w:pPr>
              <w:pStyle w:val="Tabletext1"/>
              <w:tabs>
                <w:tab w:val="decimal" w:pos="532"/>
              </w:tabs>
              <w:spacing w:before="0" w:after="120"/>
              <w:jc w:val="center"/>
              <w:rPr>
                <w:bCs/>
              </w:rPr>
            </w:pPr>
            <w:r w:rsidRPr="008007D8">
              <w:rPr>
                <w:bCs/>
              </w:rPr>
              <w:t>3.6%</w:t>
            </w:r>
          </w:p>
        </w:tc>
      </w:tr>
      <w:tr w:rsidR="000E482F" w:rsidRPr="0017312F" w14:paraId="60D44583" w14:textId="77777777" w:rsidTr="00FC17B7">
        <w:trPr>
          <w:trHeight w:val="300"/>
        </w:trPr>
        <w:tc>
          <w:tcPr>
            <w:tcW w:w="2757" w:type="pct"/>
            <w:tcBorders>
              <w:top w:val="nil"/>
              <w:bottom w:val="nil"/>
              <w:right w:val="single" w:sz="4" w:space="0" w:color="auto"/>
            </w:tcBorders>
            <w:shd w:val="clear" w:color="auto" w:fill="auto"/>
            <w:noWrap/>
            <w:hideMark/>
          </w:tcPr>
          <w:p w14:paraId="7C141A8F" w14:textId="77777777" w:rsidR="000E482F" w:rsidRPr="0017312F" w:rsidRDefault="000E482F" w:rsidP="004C79C1">
            <w:pPr>
              <w:pStyle w:val="Tabletext1"/>
              <w:spacing w:before="0" w:after="120"/>
              <w:ind w:left="567"/>
            </w:pPr>
            <w:r w:rsidRPr="0017312F">
              <w:t>CRT-D</w:t>
            </w:r>
          </w:p>
        </w:tc>
        <w:tc>
          <w:tcPr>
            <w:tcW w:w="748" w:type="pct"/>
            <w:tcBorders>
              <w:top w:val="nil"/>
              <w:left w:val="single" w:sz="4" w:space="0" w:color="auto"/>
              <w:bottom w:val="nil"/>
              <w:right w:val="single" w:sz="4" w:space="0" w:color="auto"/>
            </w:tcBorders>
            <w:shd w:val="clear" w:color="auto" w:fill="auto"/>
            <w:noWrap/>
            <w:hideMark/>
          </w:tcPr>
          <w:p w14:paraId="2A4BD703" w14:textId="77777777" w:rsidR="000E482F" w:rsidRPr="008007D8" w:rsidRDefault="000E482F" w:rsidP="004C79C1">
            <w:pPr>
              <w:pStyle w:val="Tabletext1"/>
              <w:tabs>
                <w:tab w:val="decimal" w:pos="377"/>
              </w:tabs>
              <w:spacing w:before="0" w:after="120"/>
              <w:jc w:val="center"/>
              <w:rPr>
                <w:bCs/>
              </w:rPr>
            </w:pPr>
            <w:r w:rsidRPr="008007D8">
              <w:rPr>
                <w:bCs/>
              </w:rPr>
              <w:t>3.1%</w:t>
            </w:r>
          </w:p>
        </w:tc>
        <w:tc>
          <w:tcPr>
            <w:tcW w:w="748" w:type="pct"/>
            <w:tcBorders>
              <w:top w:val="nil"/>
              <w:left w:val="single" w:sz="4" w:space="0" w:color="auto"/>
              <w:bottom w:val="nil"/>
              <w:right w:val="single" w:sz="4" w:space="0" w:color="auto"/>
            </w:tcBorders>
            <w:shd w:val="clear" w:color="auto" w:fill="auto"/>
            <w:noWrap/>
            <w:hideMark/>
          </w:tcPr>
          <w:p w14:paraId="3A8459B1" w14:textId="77777777" w:rsidR="000E482F" w:rsidRPr="008007D8" w:rsidRDefault="000E482F" w:rsidP="004C79C1">
            <w:pPr>
              <w:pStyle w:val="Tabletext1"/>
              <w:tabs>
                <w:tab w:val="decimal" w:pos="522"/>
              </w:tabs>
              <w:spacing w:before="0" w:after="120"/>
              <w:jc w:val="center"/>
              <w:rPr>
                <w:bCs/>
              </w:rPr>
            </w:pPr>
            <w:r w:rsidRPr="008007D8">
              <w:rPr>
                <w:bCs/>
              </w:rPr>
              <w:t>3.6%</w:t>
            </w:r>
          </w:p>
        </w:tc>
        <w:tc>
          <w:tcPr>
            <w:tcW w:w="747" w:type="pct"/>
            <w:tcBorders>
              <w:top w:val="nil"/>
              <w:left w:val="single" w:sz="4" w:space="0" w:color="auto"/>
              <w:bottom w:val="nil"/>
            </w:tcBorders>
            <w:shd w:val="clear" w:color="auto" w:fill="auto"/>
            <w:noWrap/>
            <w:hideMark/>
          </w:tcPr>
          <w:p w14:paraId="0271BFB5" w14:textId="77777777" w:rsidR="000E482F" w:rsidRPr="008007D8" w:rsidRDefault="000E482F" w:rsidP="004C79C1">
            <w:pPr>
              <w:pStyle w:val="Tabletext1"/>
              <w:tabs>
                <w:tab w:val="decimal" w:pos="532"/>
              </w:tabs>
              <w:spacing w:before="0" w:after="120"/>
              <w:jc w:val="center"/>
              <w:rPr>
                <w:bCs/>
              </w:rPr>
            </w:pPr>
            <w:r w:rsidRPr="008007D8">
              <w:rPr>
                <w:bCs/>
              </w:rPr>
              <w:t>0.4%</w:t>
            </w:r>
          </w:p>
        </w:tc>
      </w:tr>
      <w:tr w:rsidR="000E482F" w:rsidRPr="0017312F" w14:paraId="56C0FCCA" w14:textId="77777777" w:rsidTr="00FC17B7">
        <w:trPr>
          <w:trHeight w:val="300"/>
        </w:trPr>
        <w:tc>
          <w:tcPr>
            <w:tcW w:w="2757" w:type="pct"/>
            <w:tcBorders>
              <w:top w:val="nil"/>
              <w:bottom w:val="single" w:sz="4" w:space="0" w:color="auto"/>
              <w:right w:val="single" w:sz="4" w:space="0" w:color="auto"/>
            </w:tcBorders>
            <w:shd w:val="clear" w:color="auto" w:fill="auto"/>
            <w:noWrap/>
            <w:hideMark/>
          </w:tcPr>
          <w:p w14:paraId="4A7BACBA" w14:textId="77777777" w:rsidR="000E482F" w:rsidRPr="0017312F" w:rsidRDefault="000E482F" w:rsidP="004C79C1">
            <w:pPr>
              <w:pStyle w:val="Tabletext1"/>
              <w:spacing w:before="0" w:after="120"/>
              <w:ind w:left="567"/>
            </w:pPr>
            <w:r w:rsidRPr="0017312F">
              <w:t>Pacemaker</w:t>
            </w:r>
          </w:p>
        </w:tc>
        <w:tc>
          <w:tcPr>
            <w:tcW w:w="748" w:type="pct"/>
            <w:tcBorders>
              <w:top w:val="nil"/>
              <w:left w:val="single" w:sz="4" w:space="0" w:color="auto"/>
              <w:bottom w:val="single" w:sz="4" w:space="0" w:color="auto"/>
              <w:right w:val="single" w:sz="4" w:space="0" w:color="auto"/>
            </w:tcBorders>
            <w:shd w:val="clear" w:color="auto" w:fill="auto"/>
            <w:noWrap/>
            <w:hideMark/>
          </w:tcPr>
          <w:p w14:paraId="059E28E6" w14:textId="77777777" w:rsidR="000E482F" w:rsidRPr="008007D8" w:rsidRDefault="000E482F" w:rsidP="004C79C1">
            <w:pPr>
              <w:pStyle w:val="Tabletext1"/>
              <w:tabs>
                <w:tab w:val="decimal" w:pos="377"/>
              </w:tabs>
              <w:spacing w:before="0" w:after="120"/>
              <w:jc w:val="center"/>
              <w:rPr>
                <w:bCs/>
              </w:rPr>
            </w:pPr>
            <w:r w:rsidRPr="008007D8">
              <w:rPr>
                <w:bCs/>
              </w:rPr>
              <w:t>0.9%</w:t>
            </w:r>
          </w:p>
        </w:tc>
        <w:tc>
          <w:tcPr>
            <w:tcW w:w="748" w:type="pct"/>
            <w:tcBorders>
              <w:top w:val="nil"/>
              <w:left w:val="single" w:sz="4" w:space="0" w:color="auto"/>
              <w:bottom w:val="single" w:sz="4" w:space="0" w:color="auto"/>
              <w:right w:val="single" w:sz="4" w:space="0" w:color="auto"/>
            </w:tcBorders>
            <w:shd w:val="clear" w:color="auto" w:fill="auto"/>
            <w:noWrap/>
            <w:hideMark/>
          </w:tcPr>
          <w:p w14:paraId="1F93C46B" w14:textId="77777777" w:rsidR="000E482F" w:rsidRPr="008007D8" w:rsidRDefault="000E482F" w:rsidP="004C79C1">
            <w:pPr>
              <w:pStyle w:val="Tabletext1"/>
              <w:tabs>
                <w:tab w:val="decimal" w:pos="522"/>
              </w:tabs>
              <w:spacing w:before="0" w:after="120"/>
              <w:jc w:val="center"/>
              <w:rPr>
                <w:bCs/>
              </w:rPr>
            </w:pPr>
            <w:r w:rsidRPr="008007D8">
              <w:rPr>
                <w:bCs/>
              </w:rPr>
              <w:t>1.3%</w:t>
            </w:r>
          </w:p>
        </w:tc>
        <w:tc>
          <w:tcPr>
            <w:tcW w:w="747" w:type="pct"/>
            <w:tcBorders>
              <w:top w:val="nil"/>
              <w:left w:val="single" w:sz="4" w:space="0" w:color="auto"/>
              <w:bottom w:val="single" w:sz="4" w:space="0" w:color="auto"/>
            </w:tcBorders>
            <w:shd w:val="clear" w:color="auto" w:fill="auto"/>
            <w:noWrap/>
            <w:hideMark/>
          </w:tcPr>
          <w:p w14:paraId="02E2ED94" w14:textId="77777777" w:rsidR="000E482F" w:rsidRPr="008007D8" w:rsidRDefault="000E482F" w:rsidP="004C79C1">
            <w:pPr>
              <w:pStyle w:val="Tabletext1"/>
              <w:tabs>
                <w:tab w:val="decimal" w:pos="532"/>
              </w:tabs>
              <w:spacing w:before="0" w:after="120"/>
              <w:jc w:val="center"/>
              <w:rPr>
                <w:bCs/>
              </w:rPr>
            </w:pPr>
            <w:r w:rsidRPr="008007D8">
              <w:rPr>
                <w:bCs/>
              </w:rPr>
              <w:t>0.5%</w:t>
            </w:r>
          </w:p>
        </w:tc>
      </w:tr>
      <w:tr w:rsidR="000E482F" w:rsidRPr="006F2881" w14:paraId="4C091957" w14:textId="77777777" w:rsidTr="00FC17B7">
        <w:trPr>
          <w:trHeight w:val="300"/>
        </w:trPr>
        <w:tc>
          <w:tcPr>
            <w:tcW w:w="2757" w:type="pct"/>
            <w:tcBorders>
              <w:bottom w:val="nil"/>
              <w:right w:val="single" w:sz="4" w:space="0" w:color="auto"/>
            </w:tcBorders>
            <w:shd w:val="clear" w:color="auto" w:fill="auto"/>
            <w:noWrap/>
            <w:hideMark/>
          </w:tcPr>
          <w:p w14:paraId="44AEA9CD" w14:textId="7FE9A495" w:rsidR="000E482F" w:rsidRPr="006F2881" w:rsidRDefault="000E482F" w:rsidP="004C79C1">
            <w:pPr>
              <w:pStyle w:val="Tabletext1"/>
              <w:spacing w:before="0" w:after="120"/>
              <w:rPr>
                <w:bCs/>
                <w:i/>
              </w:rPr>
            </w:pPr>
            <w:r w:rsidRPr="006F2881">
              <w:rPr>
                <w:bCs/>
                <w:i/>
              </w:rPr>
              <w:t>Surgeries planned (appropriate)</w:t>
            </w:r>
            <w:r w:rsidR="007119AE">
              <w:rPr>
                <w:bCs/>
                <w:i/>
              </w:rPr>
              <w:t>:</w:t>
            </w:r>
            <w:r>
              <w:rPr>
                <w:bCs/>
                <w:i/>
              </w:rPr>
              <w:t xml:space="preserve"> </w:t>
            </w:r>
          </w:p>
        </w:tc>
        <w:tc>
          <w:tcPr>
            <w:tcW w:w="748" w:type="pct"/>
            <w:tcBorders>
              <w:left w:val="single" w:sz="4" w:space="0" w:color="auto"/>
              <w:bottom w:val="nil"/>
              <w:right w:val="single" w:sz="4" w:space="0" w:color="auto"/>
            </w:tcBorders>
            <w:shd w:val="clear" w:color="auto" w:fill="auto"/>
            <w:noWrap/>
          </w:tcPr>
          <w:p w14:paraId="7BB4F4D6" w14:textId="77777777" w:rsidR="000E482F" w:rsidRPr="006F2881" w:rsidRDefault="000E482F" w:rsidP="004C79C1">
            <w:pPr>
              <w:pStyle w:val="Tabletext1"/>
              <w:tabs>
                <w:tab w:val="decimal" w:pos="377"/>
              </w:tabs>
              <w:spacing w:before="0" w:after="120"/>
              <w:jc w:val="center"/>
              <w:rPr>
                <w:i/>
                <w:iCs/>
              </w:rPr>
            </w:pPr>
            <w:r w:rsidRPr="00F176CF">
              <w:rPr>
                <w:b/>
                <w:iCs/>
              </w:rPr>
              <w:t>0.7%</w:t>
            </w:r>
          </w:p>
        </w:tc>
        <w:tc>
          <w:tcPr>
            <w:tcW w:w="748" w:type="pct"/>
            <w:tcBorders>
              <w:left w:val="single" w:sz="4" w:space="0" w:color="auto"/>
              <w:bottom w:val="nil"/>
              <w:right w:val="single" w:sz="4" w:space="0" w:color="auto"/>
            </w:tcBorders>
            <w:shd w:val="clear" w:color="auto" w:fill="auto"/>
            <w:noWrap/>
          </w:tcPr>
          <w:p w14:paraId="6821AE00" w14:textId="77777777" w:rsidR="000E482F" w:rsidRPr="006F2881" w:rsidRDefault="000E482F" w:rsidP="004C79C1">
            <w:pPr>
              <w:pStyle w:val="Tabletext1"/>
              <w:tabs>
                <w:tab w:val="decimal" w:pos="522"/>
              </w:tabs>
              <w:spacing w:before="0" w:after="120"/>
              <w:jc w:val="center"/>
              <w:rPr>
                <w:i/>
                <w:iCs/>
              </w:rPr>
            </w:pPr>
            <w:r w:rsidRPr="00F176CF">
              <w:rPr>
                <w:b/>
                <w:iCs/>
              </w:rPr>
              <w:t>2.2%</w:t>
            </w:r>
          </w:p>
        </w:tc>
        <w:tc>
          <w:tcPr>
            <w:tcW w:w="747" w:type="pct"/>
            <w:tcBorders>
              <w:left w:val="single" w:sz="4" w:space="0" w:color="auto"/>
              <w:bottom w:val="nil"/>
            </w:tcBorders>
            <w:shd w:val="clear" w:color="auto" w:fill="auto"/>
            <w:noWrap/>
          </w:tcPr>
          <w:p w14:paraId="6F1D245E" w14:textId="77777777" w:rsidR="000E482F" w:rsidRPr="006F2881" w:rsidRDefault="000E482F" w:rsidP="004C79C1">
            <w:pPr>
              <w:pStyle w:val="Tabletext1"/>
              <w:tabs>
                <w:tab w:val="decimal" w:pos="532"/>
              </w:tabs>
              <w:spacing w:before="0" w:after="120"/>
              <w:jc w:val="center"/>
              <w:rPr>
                <w:i/>
                <w:iCs/>
              </w:rPr>
            </w:pPr>
            <w:r w:rsidRPr="00F176CF">
              <w:rPr>
                <w:b/>
                <w:iCs/>
              </w:rPr>
              <w:t>1.6%</w:t>
            </w:r>
          </w:p>
        </w:tc>
      </w:tr>
      <w:tr w:rsidR="000E482F" w:rsidRPr="0017312F" w14:paraId="6D70EE8F" w14:textId="77777777" w:rsidTr="00FC17B7">
        <w:trPr>
          <w:trHeight w:val="300"/>
        </w:trPr>
        <w:tc>
          <w:tcPr>
            <w:tcW w:w="2757" w:type="pct"/>
            <w:tcBorders>
              <w:top w:val="nil"/>
              <w:bottom w:val="nil"/>
              <w:right w:val="single" w:sz="4" w:space="0" w:color="auto"/>
            </w:tcBorders>
            <w:shd w:val="clear" w:color="auto" w:fill="auto"/>
            <w:noWrap/>
            <w:hideMark/>
          </w:tcPr>
          <w:p w14:paraId="141E0DBA" w14:textId="77777777" w:rsidR="000E482F" w:rsidRPr="00AB62A8" w:rsidRDefault="000E482F" w:rsidP="004C79C1">
            <w:pPr>
              <w:pStyle w:val="Tabletext1"/>
              <w:spacing w:before="0" w:after="120"/>
              <w:ind w:left="567"/>
            </w:pPr>
            <w:r w:rsidRPr="00AB62A8">
              <w:t>CABG</w:t>
            </w:r>
          </w:p>
        </w:tc>
        <w:tc>
          <w:tcPr>
            <w:tcW w:w="748" w:type="pct"/>
            <w:tcBorders>
              <w:top w:val="nil"/>
              <w:left w:val="single" w:sz="4" w:space="0" w:color="auto"/>
              <w:bottom w:val="nil"/>
              <w:right w:val="single" w:sz="4" w:space="0" w:color="auto"/>
            </w:tcBorders>
            <w:shd w:val="clear" w:color="auto" w:fill="auto"/>
            <w:noWrap/>
            <w:hideMark/>
          </w:tcPr>
          <w:p w14:paraId="60015A5B" w14:textId="77777777" w:rsidR="000E482F" w:rsidRPr="00AB62A8" w:rsidRDefault="000E482F" w:rsidP="004C79C1">
            <w:pPr>
              <w:pStyle w:val="Tabletext1"/>
              <w:tabs>
                <w:tab w:val="decimal" w:pos="377"/>
              </w:tabs>
              <w:spacing w:before="0" w:after="120"/>
              <w:jc w:val="center"/>
              <w:rPr>
                <w:bCs/>
              </w:rPr>
            </w:pPr>
            <w:r w:rsidRPr="00AB62A8">
              <w:rPr>
                <w:bCs/>
              </w:rPr>
              <w:t>0.0%</w:t>
            </w:r>
          </w:p>
        </w:tc>
        <w:tc>
          <w:tcPr>
            <w:tcW w:w="748" w:type="pct"/>
            <w:tcBorders>
              <w:top w:val="nil"/>
              <w:left w:val="single" w:sz="4" w:space="0" w:color="auto"/>
              <w:bottom w:val="nil"/>
              <w:right w:val="single" w:sz="4" w:space="0" w:color="auto"/>
            </w:tcBorders>
            <w:shd w:val="clear" w:color="auto" w:fill="auto"/>
            <w:noWrap/>
            <w:hideMark/>
          </w:tcPr>
          <w:p w14:paraId="2EF44155"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bottom w:val="nil"/>
            </w:tcBorders>
            <w:shd w:val="clear" w:color="auto" w:fill="auto"/>
            <w:noWrap/>
            <w:hideMark/>
          </w:tcPr>
          <w:p w14:paraId="6B7B1F69" w14:textId="77777777" w:rsidR="000E482F" w:rsidRPr="00AB62A8" w:rsidRDefault="000E482F" w:rsidP="004C79C1">
            <w:pPr>
              <w:pStyle w:val="Tabletext1"/>
              <w:tabs>
                <w:tab w:val="decimal" w:pos="532"/>
              </w:tabs>
              <w:spacing w:before="0" w:after="120"/>
              <w:jc w:val="center"/>
              <w:rPr>
                <w:bCs/>
              </w:rPr>
            </w:pPr>
            <w:r w:rsidRPr="00AB62A8">
              <w:rPr>
                <w:bCs/>
              </w:rPr>
              <w:t>0.0%</w:t>
            </w:r>
          </w:p>
        </w:tc>
      </w:tr>
      <w:tr w:rsidR="000E482F" w:rsidRPr="0017312F" w14:paraId="027412C0" w14:textId="77777777" w:rsidTr="00FC17B7">
        <w:trPr>
          <w:trHeight w:val="300"/>
        </w:trPr>
        <w:tc>
          <w:tcPr>
            <w:tcW w:w="2757" w:type="pct"/>
            <w:tcBorders>
              <w:top w:val="nil"/>
              <w:bottom w:val="nil"/>
              <w:right w:val="single" w:sz="4" w:space="0" w:color="auto"/>
            </w:tcBorders>
            <w:shd w:val="clear" w:color="auto" w:fill="auto"/>
            <w:noWrap/>
            <w:hideMark/>
          </w:tcPr>
          <w:p w14:paraId="207CE80D" w14:textId="77777777" w:rsidR="000E482F" w:rsidRPr="00AB62A8" w:rsidRDefault="000E482F" w:rsidP="004C79C1">
            <w:pPr>
              <w:pStyle w:val="Tabletext1"/>
              <w:spacing w:before="0" w:after="120"/>
              <w:ind w:left="567"/>
            </w:pPr>
            <w:r w:rsidRPr="00AB62A8">
              <w:t>Valve</w:t>
            </w:r>
          </w:p>
        </w:tc>
        <w:tc>
          <w:tcPr>
            <w:tcW w:w="748" w:type="pct"/>
            <w:tcBorders>
              <w:top w:val="nil"/>
              <w:left w:val="single" w:sz="4" w:space="0" w:color="auto"/>
              <w:bottom w:val="nil"/>
              <w:right w:val="single" w:sz="4" w:space="0" w:color="auto"/>
            </w:tcBorders>
            <w:shd w:val="clear" w:color="auto" w:fill="auto"/>
            <w:noWrap/>
            <w:hideMark/>
          </w:tcPr>
          <w:p w14:paraId="72DEF730" w14:textId="77777777" w:rsidR="000E482F" w:rsidRPr="00AB62A8" w:rsidRDefault="000E482F" w:rsidP="004C79C1">
            <w:pPr>
              <w:pStyle w:val="Tabletext1"/>
              <w:tabs>
                <w:tab w:val="decimal" w:pos="377"/>
              </w:tabs>
              <w:spacing w:before="0" w:after="120"/>
              <w:jc w:val="center"/>
              <w:rPr>
                <w:bCs/>
              </w:rPr>
            </w:pPr>
            <w:r w:rsidRPr="00AB62A8">
              <w:rPr>
                <w:bCs/>
              </w:rPr>
              <w:t>0.5%</w:t>
            </w:r>
          </w:p>
        </w:tc>
        <w:tc>
          <w:tcPr>
            <w:tcW w:w="748" w:type="pct"/>
            <w:tcBorders>
              <w:top w:val="nil"/>
              <w:left w:val="single" w:sz="4" w:space="0" w:color="auto"/>
              <w:bottom w:val="nil"/>
              <w:right w:val="single" w:sz="4" w:space="0" w:color="auto"/>
            </w:tcBorders>
            <w:shd w:val="clear" w:color="auto" w:fill="auto"/>
            <w:noWrap/>
            <w:hideMark/>
          </w:tcPr>
          <w:p w14:paraId="6EBDDCAD" w14:textId="77777777" w:rsidR="000E482F" w:rsidRPr="00AB62A8" w:rsidRDefault="000E482F" w:rsidP="004C79C1">
            <w:pPr>
              <w:pStyle w:val="Tabletext1"/>
              <w:tabs>
                <w:tab w:val="decimal" w:pos="522"/>
              </w:tabs>
              <w:spacing w:before="0" w:after="120"/>
              <w:jc w:val="center"/>
              <w:rPr>
                <w:bCs/>
              </w:rPr>
            </w:pPr>
            <w:r w:rsidRPr="00AB62A8">
              <w:rPr>
                <w:bCs/>
              </w:rPr>
              <w:t>1.8%</w:t>
            </w:r>
          </w:p>
        </w:tc>
        <w:tc>
          <w:tcPr>
            <w:tcW w:w="747" w:type="pct"/>
            <w:tcBorders>
              <w:top w:val="nil"/>
              <w:left w:val="single" w:sz="4" w:space="0" w:color="auto"/>
              <w:bottom w:val="nil"/>
            </w:tcBorders>
            <w:shd w:val="clear" w:color="auto" w:fill="auto"/>
            <w:noWrap/>
            <w:hideMark/>
          </w:tcPr>
          <w:p w14:paraId="04C7DCF3" w14:textId="77777777" w:rsidR="000E482F" w:rsidRPr="00AB62A8" w:rsidRDefault="000E482F" w:rsidP="004C79C1">
            <w:pPr>
              <w:pStyle w:val="Tabletext1"/>
              <w:tabs>
                <w:tab w:val="decimal" w:pos="532"/>
              </w:tabs>
              <w:spacing w:before="0" w:after="120"/>
              <w:jc w:val="center"/>
              <w:rPr>
                <w:bCs/>
              </w:rPr>
            </w:pPr>
            <w:r w:rsidRPr="00AB62A8">
              <w:rPr>
                <w:bCs/>
              </w:rPr>
              <w:t>1.3%</w:t>
            </w:r>
          </w:p>
        </w:tc>
      </w:tr>
      <w:tr w:rsidR="000E482F" w:rsidRPr="0017312F" w14:paraId="2A8111E3" w14:textId="77777777" w:rsidTr="00FC17B7">
        <w:trPr>
          <w:trHeight w:val="300"/>
        </w:trPr>
        <w:tc>
          <w:tcPr>
            <w:tcW w:w="2757" w:type="pct"/>
            <w:tcBorders>
              <w:top w:val="nil"/>
              <w:right w:val="single" w:sz="4" w:space="0" w:color="auto"/>
            </w:tcBorders>
            <w:shd w:val="clear" w:color="auto" w:fill="auto"/>
            <w:noWrap/>
            <w:hideMark/>
          </w:tcPr>
          <w:p w14:paraId="39FFF344" w14:textId="77777777" w:rsidR="000E482F" w:rsidRPr="00AB62A8" w:rsidRDefault="000E482F" w:rsidP="004C79C1">
            <w:pPr>
              <w:pStyle w:val="Tabletext1"/>
              <w:spacing w:before="0" w:after="120"/>
              <w:ind w:left="567"/>
            </w:pPr>
            <w:r w:rsidRPr="00AB62A8">
              <w:t>Other</w:t>
            </w:r>
          </w:p>
        </w:tc>
        <w:tc>
          <w:tcPr>
            <w:tcW w:w="748" w:type="pct"/>
            <w:tcBorders>
              <w:top w:val="nil"/>
              <w:left w:val="single" w:sz="4" w:space="0" w:color="auto"/>
              <w:right w:val="single" w:sz="4" w:space="0" w:color="auto"/>
            </w:tcBorders>
            <w:shd w:val="clear" w:color="auto" w:fill="auto"/>
            <w:noWrap/>
            <w:hideMark/>
          </w:tcPr>
          <w:p w14:paraId="2B24554B" w14:textId="77777777" w:rsidR="000E482F" w:rsidRPr="00AB62A8" w:rsidRDefault="000E482F" w:rsidP="004C79C1">
            <w:pPr>
              <w:pStyle w:val="Tabletext1"/>
              <w:tabs>
                <w:tab w:val="decimal" w:pos="377"/>
              </w:tabs>
              <w:spacing w:before="0" w:after="120"/>
              <w:jc w:val="center"/>
              <w:rPr>
                <w:bCs/>
              </w:rPr>
            </w:pPr>
            <w:r w:rsidRPr="00AB62A8">
              <w:rPr>
                <w:bCs/>
              </w:rPr>
              <w:t>0.2%</w:t>
            </w:r>
          </w:p>
        </w:tc>
        <w:tc>
          <w:tcPr>
            <w:tcW w:w="748" w:type="pct"/>
            <w:tcBorders>
              <w:top w:val="nil"/>
              <w:left w:val="single" w:sz="4" w:space="0" w:color="auto"/>
              <w:right w:val="single" w:sz="4" w:space="0" w:color="auto"/>
            </w:tcBorders>
            <w:shd w:val="clear" w:color="auto" w:fill="auto"/>
            <w:noWrap/>
            <w:hideMark/>
          </w:tcPr>
          <w:p w14:paraId="2BE8E3B5" w14:textId="77777777" w:rsidR="000E482F" w:rsidRPr="00AB62A8" w:rsidRDefault="000E482F" w:rsidP="004C79C1">
            <w:pPr>
              <w:pStyle w:val="Tabletext1"/>
              <w:tabs>
                <w:tab w:val="decimal" w:pos="522"/>
              </w:tabs>
              <w:spacing w:before="0" w:after="120"/>
              <w:jc w:val="center"/>
              <w:rPr>
                <w:bCs/>
              </w:rPr>
            </w:pPr>
            <w:r w:rsidRPr="00AB62A8">
              <w:rPr>
                <w:bCs/>
              </w:rPr>
              <w:t>0.5%</w:t>
            </w:r>
          </w:p>
        </w:tc>
        <w:tc>
          <w:tcPr>
            <w:tcW w:w="747" w:type="pct"/>
            <w:tcBorders>
              <w:top w:val="nil"/>
              <w:left w:val="single" w:sz="4" w:space="0" w:color="auto"/>
            </w:tcBorders>
            <w:shd w:val="clear" w:color="auto" w:fill="auto"/>
            <w:noWrap/>
            <w:hideMark/>
          </w:tcPr>
          <w:p w14:paraId="207458D8" w14:textId="77777777" w:rsidR="000E482F" w:rsidRPr="00AB62A8" w:rsidRDefault="000E482F" w:rsidP="004C79C1">
            <w:pPr>
              <w:pStyle w:val="Tabletext1"/>
              <w:tabs>
                <w:tab w:val="decimal" w:pos="532"/>
              </w:tabs>
              <w:spacing w:before="0" w:after="120"/>
              <w:jc w:val="center"/>
              <w:rPr>
                <w:bCs/>
              </w:rPr>
            </w:pPr>
            <w:r w:rsidRPr="00AB62A8">
              <w:rPr>
                <w:bCs/>
              </w:rPr>
              <w:t>0.2%</w:t>
            </w:r>
          </w:p>
        </w:tc>
      </w:tr>
      <w:tr w:rsidR="000E482F" w:rsidRPr="0017312F" w14:paraId="28F39621" w14:textId="77777777" w:rsidTr="00FC17B7">
        <w:trPr>
          <w:trHeight w:val="300"/>
        </w:trPr>
        <w:tc>
          <w:tcPr>
            <w:tcW w:w="2757" w:type="pct"/>
            <w:tcBorders>
              <w:bottom w:val="single" w:sz="4" w:space="0" w:color="auto"/>
            </w:tcBorders>
            <w:shd w:val="clear" w:color="auto" w:fill="auto"/>
            <w:noWrap/>
            <w:hideMark/>
          </w:tcPr>
          <w:p w14:paraId="34980CE1" w14:textId="77777777" w:rsidR="000E482F" w:rsidRPr="00B150CC" w:rsidRDefault="000E482F" w:rsidP="004C79C1">
            <w:pPr>
              <w:pStyle w:val="Tabletext1"/>
              <w:spacing w:before="0" w:after="120"/>
              <w:rPr>
                <w:i/>
              </w:rPr>
            </w:pPr>
            <w:r w:rsidRPr="00B150CC">
              <w:rPr>
                <w:i/>
              </w:rPr>
              <w:t>No devices or surgeries planned (appropriate)</w:t>
            </w:r>
          </w:p>
        </w:tc>
        <w:tc>
          <w:tcPr>
            <w:tcW w:w="748" w:type="pct"/>
            <w:tcBorders>
              <w:bottom w:val="single" w:sz="4" w:space="0" w:color="auto"/>
            </w:tcBorders>
            <w:shd w:val="clear" w:color="auto" w:fill="auto"/>
            <w:noWrap/>
            <w:hideMark/>
          </w:tcPr>
          <w:p w14:paraId="4832DE4B" w14:textId="77777777" w:rsidR="000E482F" w:rsidRPr="0017312F" w:rsidRDefault="000E482F" w:rsidP="004C79C1">
            <w:pPr>
              <w:pStyle w:val="Tabletext1"/>
              <w:tabs>
                <w:tab w:val="decimal" w:pos="377"/>
              </w:tabs>
              <w:spacing w:before="0" w:after="120"/>
              <w:jc w:val="center"/>
              <w:rPr>
                <w:b/>
                <w:bCs/>
              </w:rPr>
            </w:pPr>
            <w:r w:rsidRPr="0017312F">
              <w:rPr>
                <w:b/>
                <w:bCs/>
              </w:rPr>
              <w:t>75.2%</w:t>
            </w:r>
          </w:p>
        </w:tc>
        <w:tc>
          <w:tcPr>
            <w:tcW w:w="748" w:type="pct"/>
            <w:tcBorders>
              <w:bottom w:val="single" w:sz="4" w:space="0" w:color="auto"/>
            </w:tcBorders>
            <w:shd w:val="clear" w:color="auto" w:fill="auto"/>
            <w:noWrap/>
            <w:hideMark/>
          </w:tcPr>
          <w:p w14:paraId="6286B2D1" w14:textId="77777777" w:rsidR="000E482F" w:rsidRPr="0017312F" w:rsidRDefault="000E482F" w:rsidP="004C79C1">
            <w:pPr>
              <w:pStyle w:val="Tabletext1"/>
              <w:tabs>
                <w:tab w:val="decimal" w:pos="522"/>
              </w:tabs>
              <w:spacing w:before="0" w:after="120"/>
              <w:jc w:val="center"/>
              <w:rPr>
                <w:b/>
                <w:bCs/>
              </w:rPr>
            </w:pPr>
            <w:r w:rsidRPr="0017312F">
              <w:rPr>
                <w:b/>
                <w:bCs/>
              </w:rPr>
              <w:t>82.0%</w:t>
            </w:r>
          </w:p>
        </w:tc>
        <w:tc>
          <w:tcPr>
            <w:tcW w:w="747" w:type="pct"/>
            <w:tcBorders>
              <w:bottom w:val="single" w:sz="4" w:space="0" w:color="auto"/>
            </w:tcBorders>
            <w:shd w:val="clear" w:color="auto" w:fill="auto"/>
            <w:noWrap/>
            <w:hideMark/>
          </w:tcPr>
          <w:p w14:paraId="6486F861" w14:textId="77777777" w:rsidR="000E482F" w:rsidRPr="0017312F" w:rsidRDefault="000E482F" w:rsidP="004C79C1">
            <w:pPr>
              <w:pStyle w:val="Tabletext1"/>
              <w:tabs>
                <w:tab w:val="decimal" w:pos="532"/>
              </w:tabs>
              <w:spacing w:before="0" w:after="120"/>
              <w:jc w:val="center"/>
              <w:rPr>
                <w:b/>
                <w:bCs/>
              </w:rPr>
            </w:pPr>
            <w:r w:rsidRPr="0017312F">
              <w:rPr>
                <w:b/>
                <w:bCs/>
              </w:rPr>
              <w:t>6.8%</w:t>
            </w:r>
          </w:p>
        </w:tc>
      </w:tr>
      <w:tr w:rsidR="000E482F" w:rsidRPr="0017312F" w14:paraId="68F6CF9D" w14:textId="77777777" w:rsidTr="00FC17B7">
        <w:trPr>
          <w:trHeight w:val="300"/>
        </w:trPr>
        <w:tc>
          <w:tcPr>
            <w:tcW w:w="2757" w:type="pct"/>
            <w:tcBorders>
              <w:top w:val="single" w:sz="4" w:space="0" w:color="auto"/>
              <w:bottom w:val="double" w:sz="4" w:space="0" w:color="auto"/>
            </w:tcBorders>
            <w:shd w:val="clear" w:color="auto" w:fill="auto"/>
            <w:noWrap/>
          </w:tcPr>
          <w:p w14:paraId="23D33141" w14:textId="77777777" w:rsidR="000E482F" w:rsidRPr="0017312F" w:rsidRDefault="000E482F" w:rsidP="004C79C1">
            <w:pPr>
              <w:pStyle w:val="Tabletext1"/>
              <w:spacing w:before="0" w:after="120"/>
              <w:rPr>
                <w:b/>
                <w:bCs/>
              </w:rPr>
            </w:pPr>
            <w:r>
              <w:rPr>
                <w:b/>
                <w:bCs/>
              </w:rPr>
              <w:lastRenderedPageBreak/>
              <w:t>Total appropriate patient management plans</w:t>
            </w:r>
          </w:p>
        </w:tc>
        <w:tc>
          <w:tcPr>
            <w:tcW w:w="748" w:type="pct"/>
            <w:tcBorders>
              <w:top w:val="single" w:sz="4" w:space="0" w:color="auto"/>
              <w:bottom w:val="double" w:sz="4" w:space="0" w:color="auto"/>
            </w:tcBorders>
            <w:shd w:val="clear" w:color="auto" w:fill="auto"/>
            <w:noWrap/>
          </w:tcPr>
          <w:p w14:paraId="7815461A" w14:textId="77777777" w:rsidR="000E482F" w:rsidRPr="00057420" w:rsidRDefault="000E482F" w:rsidP="004C79C1">
            <w:pPr>
              <w:pStyle w:val="Tabletext1"/>
              <w:tabs>
                <w:tab w:val="decimal" w:pos="377"/>
              </w:tabs>
              <w:spacing w:before="0" w:after="120"/>
              <w:jc w:val="center"/>
              <w:rPr>
                <w:b/>
                <w:bCs/>
              </w:rPr>
            </w:pPr>
            <w:r w:rsidRPr="00057420">
              <w:rPr>
                <w:b/>
              </w:rPr>
              <w:t>87.2%</w:t>
            </w:r>
          </w:p>
        </w:tc>
        <w:tc>
          <w:tcPr>
            <w:tcW w:w="748" w:type="pct"/>
            <w:tcBorders>
              <w:top w:val="single" w:sz="4" w:space="0" w:color="auto"/>
              <w:bottom w:val="double" w:sz="4" w:space="0" w:color="auto"/>
            </w:tcBorders>
            <w:shd w:val="clear" w:color="auto" w:fill="auto"/>
            <w:noWrap/>
          </w:tcPr>
          <w:p w14:paraId="632F5C30" w14:textId="77777777" w:rsidR="000E482F" w:rsidRPr="00057420" w:rsidRDefault="000E482F" w:rsidP="004C79C1">
            <w:pPr>
              <w:pStyle w:val="Tabletext1"/>
              <w:tabs>
                <w:tab w:val="decimal" w:pos="522"/>
              </w:tabs>
              <w:spacing w:before="0" w:after="120"/>
              <w:jc w:val="center"/>
              <w:rPr>
                <w:b/>
                <w:bCs/>
              </w:rPr>
            </w:pPr>
            <w:r w:rsidRPr="00057420">
              <w:rPr>
                <w:b/>
              </w:rPr>
              <w:t>100.0%</w:t>
            </w:r>
          </w:p>
        </w:tc>
        <w:tc>
          <w:tcPr>
            <w:tcW w:w="747" w:type="pct"/>
            <w:tcBorders>
              <w:top w:val="single" w:sz="4" w:space="0" w:color="auto"/>
              <w:bottom w:val="double" w:sz="4" w:space="0" w:color="auto"/>
            </w:tcBorders>
            <w:shd w:val="clear" w:color="auto" w:fill="auto"/>
            <w:noWrap/>
          </w:tcPr>
          <w:p w14:paraId="2AF08A4F" w14:textId="77777777" w:rsidR="000E482F" w:rsidRPr="00057420" w:rsidRDefault="000E482F" w:rsidP="004C79C1">
            <w:pPr>
              <w:pStyle w:val="Tabletext1"/>
              <w:tabs>
                <w:tab w:val="decimal" w:pos="532"/>
              </w:tabs>
              <w:spacing w:before="0" w:after="120"/>
              <w:jc w:val="center"/>
              <w:rPr>
                <w:b/>
                <w:bCs/>
              </w:rPr>
            </w:pPr>
            <w:r w:rsidRPr="00057420">
              <w:rPr>
                <w:b/>
              </w:rPr>
              <w:t>12.8%</w:t>
            </w:r>
          </w:p>
        </w:tc>
      </w:tr>
      <w:tr w:rsidR="000E482F" w:rsidRPr="006F2881" w14:paraId="68B4E548" w14:textId="77777777" w:rsidTr="00FC17B7">
        <w:trPr>
          <w:trHeight w:val="300"/>
        </w:trPr>
        <w:tc>
          <w:tcPr>
            <w:tcW w:w="2757" w:type="pct"/>
            <w:tcBorders>
              <w:top w:val="double" w:sz="4" w:space="0" w:color="auto"/>
              <w:bottom w:val="single" w:sz="4" w:space="0" w:color="auto"/>
              <w:right w:val="nil"/>
            </w:tcBorders>
            <w:shd w:val="clear" w:color="auto" w:fill="auto"/>
            <w:noWrap/>
          </w:tcPr>
          <w:p w14:paraId="5F87AED9" w14:textId="77777777" w:rsidR="000E482F" w:rsidRPr="006F2881" w:rsidRDefault="000E482F" w:rsidP="004C79C1">
            <w:pPr>
              <w:pStyle w:val="Tabletext1"/>
              <w:spacing w:before="0" w:after="120"/>
              <w:rPr>
                <w:bCs/>
                <w:i/>
              </w:rPr>
            </w:pPr>
            <w:r>
              <w:rPr>
                <w:b/>
              </w:rPr>
              <w:t>Ina</w:t>
            </w:r>
            <w:r w:rsidRPr="006F2881">
              <w:rPr>
                <w:b/>
              </w:rPr>
              <w:t>ppropriate patient management</w:t>
            </w:r>
          </w:p>
        </w:tc>
        <w:tc>
          <w:tcPr>
            <w:tcW w:w="748" w:type="pct"/>
            <w:tcBorders>
              <w:top w:val="double" w:sz="4" w:space="0" w:color="auto"/>
              <w:left w:val="nil"/>
              <w:bottom w:val="single" w:sz="4" w:space="0" w:color="auto"/>
              <w:right w:val="nil"/>
            </w:tcBorders>
            <w:shd w:val="clear" w:color="auto" w:fill="auto"/>
            <w:noWrap/>
          </w:tcPr>
          <w:p w14:paraId="734B9B7D" w14:textId="77777777" w:rsidR="000E482F" w:rsidRPr="006F2881" w:rsidRDefault="000E482F" w:rsidP="004C79C1">
            <w:pPr>
              <w:pStyle w:val="Tabletext1"/>
              <w:tabs>
                <w:tab w:val="decimal" w:pos="377"/>
              </w:tabs>
              <w:spacing w:before="0" w:after="120"/>
              <w:jc w:val="center"/>
              <w:rPr>
                <w:bCs/>
                <w:i/>
              </w:rPr>
            </w:pPr>
          </w:p>
        </w:tc>
        <w:tc>
          <w:tcPr>
            <w:tcW w:w="748" w:type="pct"/>
            <w:tcBorders>
              <w:top w:val="double" w:sz="4" w:space="0" w:color="auto"/>
              <w:left w:val="nil"/>
              <w:bottom w:val="single" w:sz="4" w:space="0" w:color="auto"/>
              <w:right w:val="nil"/>
            </w:tcBorders>
            <w:shd w:val="clear" w:color="auto" w:fill="auto"/>
            <w:noWrap/>
          </w:tcPr>
          <w:p w14:paraId="3698F063" w14:textId="77777777" w:rsidR="000E482F" w:rsidRPr="006F2881" w:rsidRDefault="000E482F" w:rsidP="004C79C1">
            <w:pPr>
              <w:pStyle w:val="Tabletext1"/>
              <w:tabs>
                <w:tab w:val="decimal" w:pos="522"/>
              </w:tabs>
              <w:spacing w:before="0" w:after="120"/>
              <w:jc w:val="center"/>
              <w:rPr>
                <w:bCs/>
                <w:i/>
              </w:rPr>
            </w:pPr>
          </w:p>
        </w:tc>
        <w:tc>
          <w:tcPr>
            <w:tcW w:w="747" w:type="pct"/>
            <w:tcBorders>
              <w:top w:val="double" w:sz="4" w:space="0" w:color="auto"/>
              <w:left w:val="nil"/>
              <w:bottom w:val="single" w:sz="4" w:space="0" w:color="auto"/>
            </w:tcBorders>
            <w:shd w:val="clear" w:color="auto" w:fill="auto"/>
            <w:noWrap/>
          </w:tcPr>
          <w:p w14:paraId="244AE80C" w14:textId="77777777" w:rsidR="000E482F" w:rsidRPr="006F2881" w:rsidRDefault="000E482F" w:rsidP="004C79C1">
            <w:pPr>
              <w:pStyle w:val="Tabletext1"/>
              <w:tabs>
                <w:tab w:val="decimal" w:pos="532"/>
              </w:tabs>
              <w:spacing w:before="0" w:after="120"/>
              <w:jc w:val="center"/>
              <w:rPr>
                <w:bCs/>
                <w:i/>
              </w:rPr>
            </w:pPr>
          </w:p>
        </w:tc>
      </w:tr>
      <w:tr w:rsidR="000E482F" w:rsidRPr="006F2881" w14:paraId="3A77A849" w14:textId="77777777" w:rsidTr="00FC17B7">
        <w:trPr>
          <w:trHeight w:val="300"/>
        </w:trPr>
        <w:tc>
          <w:tcPr>
            <w:tcW w:w="2757" w:type="pct"/>
            <w:tcBorders>
              <w:top w:val="single" w:sz="4" w:space="0" w:color="auto"/>
              <w:bottom w:val="nil"/>
              <w:right w:val="single" w:sz="4" w:space="0" w:color="auto"/>
            </w:tcBorders>
            <w:shd w:val="clear" w:color="auto" w:fill="auto"/>
            <w:noWrap/>
          </w:tcPr>
          <w:p w14:paraId="7ECCDB96" w14:textId="495D2F49" w:rsidR="000E482F" w:rsidRPr="006F2881" w:rsidRDefault="000E482F" w:rsidP="004C79C1">
            <w:pPr>
              <w:pStyle w:val="Tabletext1"/>
              <w:spacing w:before="0" w:after="120"/>
              <w:rPr>
                <w:i/>
              </w:rPr>
            </w:pPr>
            <w:r w:rsidRPr="006F2881">
              <w:rPr>
                <w:bCs/>
                <w:i/>
              </w:rPr>
              <w:t>Devices planned (inappropriate)</w:t>
            </w:r>
            <w:r w:rsidR="00DA0A7B">
              <w:rPr>
                <w:bCs/>
                <w:i/>
              </w:rPr>
              <w:t>:</w:t>
            </w:r>
          </w:p>
        </w:tc>
        <w:tc>
          <w:tcPr>
            <w:tcW w:w="748" w:type="pct"/>
            <w:tcBorders>
              <w:top w:val="single" w:sz="4" w:space="0" w:color="auto"/>
              <w:left w:val="single" w:sz="4" w:space="0" w:color="auto"/>
              <w:bottom w:val="nil"/>
              <w:right w:val="single" w:sz="4" w:space="0" w:color="auto"/>
            </w:tcBorders>
            <w:shd w:val="clear" w:color="auto" w:fill="auto"/>
            <w:noWrap/>
          </w:tcPr>
          <w:p w14:paraId="141100EE" w14:textId="77777777" w:rsidR="000E482F" w:rsidRPr="006F2881" w:rsidRDefault="000E482F" w:rsidP="004C79C1">
            <w:pPr>
              <w:pStyle w:val="Tabletext1"/>
              <w:tabs>
                <w:tab w:val="decimal" w:pos="377"/>
              </w:tabs>
              <w:spacing w:before="0" w:after="120"/>
              <w:jc w:val="center"/>
              <w:rPr>
                <w:bCs/>
                <w:i/>
              </w:rPr>
            </w:pPr>
            <w:r w:rsidRPr="00F629C1">
              <w:rPr>
                <w:b/>
                <w:iCs/>
              </w:rPr>
              <w:t>4.7%</w:t>
            </w:r>
          </w:p>
        </w:tc>
        <w:tc>
          <w:tcPr>
            <w:tcW w:w="748" w:type="pct"/>
            <w:tcBorders>
              <w:top w:val="single" w:sz="4" w:space="0" w:color="auto"/>
              <w:left w:val="single" w:sz="4" w:space="0" w:color="auto"/>
              <w:bottom w:val="nil"/>
              <w:right w:val="single" w:sz="4" w:space="0" w:color="auto"/>
            </w:tcBorders>
            <w:shd w:val="clear" w:color="auto" w:fill="auto"/>
            <w:noWrap/>
          </w:tcPr>
          <w:p w14:paraId="6B5D729D" w14:textId="77777777" w:rsidR="000E482F" w:rsidRPr="006F2881" w:rsidRDefault="000E482F" w:rsidP="004C79C1">
            <w:pPr>
              <w:pStyle w:val="Tabletext1"/>
              <w:tabs>
                <w:tab w:val="decimal" w:pos="522"/>
              </w:tabs>
              <w:spacing w:before="0" w:after="120"/>
              <w:jc w:val="center"/>
              <w:rPr>
                <w:bCs/>
                <w:i/>
              </w:rPr>
            </w:pPr>
            <w:r w:rsidRPr="00F629C1">
              <w:rPr>
                <w:b/>
                <w:iCs/>
              </w:rPr>
              <w:t>0.0%</w:t>
            </w:r>
          </w:p>
        </w:tc>
        <w:tc>
          <w:tcPr>
            <w:tcW w:w="747" w:type="pct"/>
            <w:tcBorders>
              <w:top w:val="single" w:sz="4" w:space="0" w:color="auto"/>
              <w:left w:val="single" w:sz="4" w:space="0" w:color="auto"/>
              <w:bottom w:val="nil"/>
            </w:tcBorders>
            <w:shd w:val="clear" w:color="auto" w:fill="auto"/>
            <w:noWrap/>
          </w:tcPr>
          <w:p w14:paraId="7B02EE2A" w14:textId="415BD2FA" w:rsidR="000E482F" w:rsidRPr="006F2881" w:rsidRDefault="001412C4" w:rsidP="004C79C1">
            <w:pPr>
              <w:pStyle w:val="Tabletext1"/>
              <w:tabs>
                <w:tab w:val="decimal" w:pos="532"/>
              </w:tabs>
              <w:spacing w:before="0" w:after="120"/>
              <w:jc w:val="center"/>
              <w:rPr>
                <w:bCs/>
                <w:i/>
              </w:rPr>
            </w:pPr>
            <w:r>
              <w:rPr>
                <w:b/>
                <w:iCs/>
              </w:rPr>
              <w:t>–</w:t>
            </w:r>
            <w:r w:rsidR="000E482F" w:rsidRPr="00F629C1">
              <w:rPr>
                <w:b/>
                <w:iCs/>
              </w:rPr>
              <w:t>4.7%</w:t>
            </w:r>
          </w:p>
        </w:tc>
      </w:tr>
      <w:tr w:rsidR="000E482F" w:rsidRPr="00AB62A8" w14:paraId="64E9BE0D" w14:textId="77777777" w:rsidTr="00FC17B7">
        <w:trPr>
          <w:trHeight w:val="300"/>
        </w:trPr>
        <w:tc>
          <w:tcPr>
            <w:tcW w:w="2757" w:type="pct"/>
            <w:tcBorders>
              <w:top w:val="nil"/>
              <w:bottom w:val="nil"/>
              <w:right w:val="single" w:sz="4" w:space="0" w:color="auto"/>
            </w:tcBorders>
            <w:shd w:val="clear" w:color="auto" w:fill="auto"/>
            <w:noWrap/>
            <w:hideMark/>
          </w:tcPr>
          <w:p w14:paraId="1B7FC912" w14:textId="77777777" w:rsidR="000E482F" w:rsidRPr="00AB62A8" w:rsidRDefault="000E482F" w:rsidP="004C79C1">
            <w:pPr>
              <w:pStyle w:val="Tabletext1"/>
              <w:spacing w:before="0" w:after="120"/>
              <w:ind w:left="567"/>
            </w:pPr>
            <w:r w:rsidRPr="00AB62A8">
              <w:t>AICD</w:t>
            </w:r>
          </w:p>
        </w:tc>
        <w:tc>
          <w:tcPr>
            <w:tcW w:w="748" w:type="pct"/>
            <w:tcBorders>
              <w:top w:val="nil"/>
              <w:left w:val="single" w:sz="4" w:space="0" w:color="auto"/>
              <w:bottom w:val="nil"/>
              <w:right w:val="single" w:sz="4" w:space="0" w:color="auto"/>
            </w:tcBorders>
            <w:shd w:val="clear" w:color="auto" w:fill="auto"/>
            <w:noWrap/>
            <w:hideMark/>
          </w:tcPr>
          <w:p w14:paraId="10517522" w14:textId="77777777" w:rsidR="000E482F" w:rsidRPr="00AB62A8" w:rsidRDefault="000E482F" w:rsidP="004C79C1">
            <w:pPr>
              <w:pStyle w:val="Tabletext1"/>
              <w:tabs>
                <w:tab w:val="decimal" w:pos="377"/>
              </w:tabs>
              <w:spacing w:before="0" w:after="120"/>
              <w:jc w:val="center"/>
              <w:rPr>
                <w:bCs/>
              </w:rPr>
            </w:pPr>
            <w:r w:rsidRPr="00AB62A8">
              <w:rPr>
                <w:bCs/>
              </w:rPr>
              <w:t>0.7%</w:t>
            </w:r>
          </w:p>
        </w:tc>
        <w:tc>
          <w:tcPr>
            <w:tcW w:w="748" w:type="pct"/>
            <w:tcBorders>
              <w:top w:val="nil"/>
              <w:left w:val="single" w:sz="4" w:space="0" w:color="auto"/>
              <w:bottom w:val="nil"/>
              <w:right w:val="single" w:sz="4" w:space="0" w:color="auto"/>
            </w:tcBorders>
            <w:shd w:val="clear" w:color="auto" w:fill="auto"/>
            <w:noWrap/>
            <w:hideMark/>
          </w:tcPr>
          <w:p w14:paraId="200758AB"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bottom w:val="nil"/>
            </w:tcBorders>
            <w:shd w:val="clear" w:color="auto" w:fill="auto"/>
            <w:noWrap/>
            <w:hideMark/>
          </w:tcPr>
          <w:p w14:paraId="54E15E41" w14:textId="7AB99B8E" w:rsidR="000E482F" w:rsidRPr="00AB62A8" w:rsidRDefault="001412C4" w:rsidP="004C79C1">
            <w:pPr>
              <w:pStyle w:val="Tabletext1"/>
              <w:tabs>
                <w:tab w:val="decimal" w:pos="532"/>
              </w:tabs>
              <w:spacing w:before="0" w:after="120"/>
              <w:jc w:val="center"/>
              <w:rPr>
                <w:bCs/>
              </w:rPr>
            </w:pPr>
            <w:r>
              <w:rPr>
                <w:bCs/>
              </w:rPr>
              <w:t>–</w:t>
            </w:r>
            <w:r w:rsidR="000E482F" w:rsidRPr="00AB62A8">
              <w:rPr>
                <w:bCs/>
              </w:rPr>
              <w:t>0.7%</w:t>
            </w:r>
          </w:p>
        </w:tc>
      </w:tr>
      <w:tr w:rsidR="000E482F" w:rsidRPr="00AB62A8" w14:paraId="5B320A89" w14:textId="77777777" w:rsidTr="00FC17B7">
        <w:trPr>
          <w:trHeight w:val="300"/>
        </w:trPr>
        <w:tc>
          <w:tcPr>
            <w:tcW w:w="2757" w:type="pct"/>
            <w:tcBorders>
              <w:top w:val="nil"/>
              <w:bottom w:val="nil"/>
              <w:right w:val="single" w:sz="4" w:space="0" w:color="auto"/>
            </w:tcBorders>
            <w:shd w:val="clear" w:color="auto" w:fill="auto"/>
            <w:noWrap/>
            <w:hideMark/>
          </w:tcPr>
          <w:p w14:paraId="762CDBC6" w14:textId="77777777" w:rsidR="000E482F" w:rsidRPr="00AB62A8" w:rsidRDefault="000E482F" w:rsidP="004C79C1">
            <w:pPr>
              <w:pStyle w:val="Tabletext1"/>
              <w:spacing w:before="0" w:after="120"/>
              <w:ind w:left="567"/>
            </w:pPr>
            <w:r w:rsidRPr="00AB62A8">
              <w:t>CRT-D</w:t>
            </w:r>
          </w:p>
        </w:tc>
        <w:tc>
          <w:tcPr>
            <w:tcW w:w="748" w:type="pct"/>
            <w:tcBorders>
              <w:top w:val="nil"/>
              <w:left w:val="single" w:sz="4" w:space="0" w:color="auto"/>
              <w:bottom w:val="nil"/>
              <w:right w:val="single" w:sz="4" w:space="0" w:color="auto"/>
            </w:tcBorders>
            <w:shd w:val="clear" w:color="auto" w:fill="auto"/>
            <w:noWrap/>
            <w:hideMark/>
          </w:tcPr>
          <w:p w14:paraId="31F84014" w14:textId="77777777" w:rsidR="000E482F" w:rsidRPr="00AB62A8" w:rsidRDefault="000E482F" w:rsidP="004C79C1">
            <w:pPr>
              <w:pStyle w:val="Tabletext1"/>
              <w:tabs>
                <w:tab w:val="decimal" w:pos="377"/>
              </w:tabs>
              <w:spacing w:before="0" w:after="120"/>
              <w:jc w:val="center"/>
              <w:rPr>
                <w:bCs/>
              </w:rPr>
            </w:pPr>
            <w:r w:rsidRPr="00AB62A8">
              <w:rPr>
                <w:bCs/>
              </w:rPr>
              <w:t>3.8%</w:t>
            </w:r>
          </w:p>
        </w:tc>
        <w:tc>
          <w:tcPr>
            <w:tcW w:w="748" w:type="pct"/>
            <w:tcBorders>
              <w:top w:val="nil"/>
              <w:left w:val="single" w:sz="4" w:space="0" w:color="auto"/>
              <w:bottom w:val="nil"/>
              <w:right w:val="single" w:sz="4" w:space="0" w:color="auto"/>
            </w:tcBorders>
            <w:shd w:val="clear" w:color="auto" w:fill="auto"/>
            <w:noWrap/>
            <w:hideMark/>
          </w:tcPr>
          <w:p w14:paraId="1BBF1091"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bottom w:val="nil"/>
            </w:tcBorders>
            <w:shd w:val="clear" w:color="auto" w:fill="auto"/>
            <w:noWrap/>
            <w:hideMark/>
          </w:tcPr>
          <w:p w14:paraId="0BEB413A" w14:textId="3D919584" w:rsidR="000E482F" w:rsidRPr="00AB62A8" w:rsidRDefault="001412C4" w:rsidP="004C79C1">
            <w:pPr>
              <w:pStyle w:val="Tabletext1"/>
              <w:tabs>
                <w:tab w:val="decimal" w:pos="532"/>
              </w:tabs>
              <w:spacing w:before="0" w:after="120"/>
              <w:jc w:val="center"/>
              <w:rPr>
                <w:bCs/>
              </w:rPr>
            </w:pPr>
            <w:r>
              <w:rPr>
                <w:bCs/>
              </w:rPr>
              <w:t>–</w:t>
            </w:r>
            <w:r w:rsidR="000E482F" w:rsidRPr="00AB62A8">
              <w:rPr>
                <w:bCs/>
              </w:rPr>
              <w:t>3.8%</w:t>
            </w:r>
          </w:p>
        </w:tc>
      </w:tr>
      <w:tr w:rsidR="000E482F" w:rsidRPr="00AB62A8" w14:paraId="0CE19064" w14:textId="77777777" w:rsidTr="00FC17B7">
        <w:trPr>
          <w:trHeight w:val="300"/>
        </w:trPr>
        <w:tc>
          <w:tcPr>
            <w:tcW w:w="2757" w:type="pct"/>
            <w:tcBorders>
              <w:top w:val="nil"/>
              <w:right w:val="single" w:sz="4" w:space="0" w:color="auto"/>
            </w:tcBorders>
            <w:shd w:val="clear" w:color="auto" w:fill="auto"/>
            <w:noWrap/>
            <w:hideMark/>
          </w:tcPr>
          <w:p w14:paraId="29CB1A04" w14:textId="77777777" w:rsidR="000E482F" w:rsidRPr="00AB62A8" w:rsidRDefault="000E482F" w:rsidP="004C79C1">
            <w:pPr>
              <w:pStyle w:val="Tabletext1"/>
              <w:spacing w:before="0" w:after="120"/>
              <w:ind w:left="567"/>
            </w:pPr>
            <w:r w:rsidRPr="00AB62A8">
              <w:t>Pacemaker</w:t>
            </w:r>
          </w:p>
        </w:tc>
        <w:tc>
          <w:tcPr>
            <w:tcW w:w="748" w:type="pct"/>
            <w:tcBorders>
              <w:top w:val="nil"/>
              <w:left w:val="single" w:sz="4" w:space="0" w:color="auto"/>
              <w:right w:val="single" w:sz="4" w:space="0" w:color="auto"/>
            </w:tcBorders>
            <w:shd w:val="clear" w:color="auto" w:fill="auto"/>
            <w:noWrap/>
            <w:hideMark/>
          </w:tcPr>
          <w:p w14:paraId="6FB1C2AC" w14:textId="77777777" w:rsidR="000E482F" w:rsidRPr="00AB62A8" w:rsidRDefault="000E482F" w:rsidP="004C79C1">
            <w:pPr>
              <w:pStyle w:val="Tabletext1"/>
              <w:tabs>
                <w:tab w:val="decimal" w:pos="377"/>
              </w:tabs>
              <w:spacing w:before="0" w:after="120"/>
              <w:jc w:val="center"/>
              <w:rPr>
                <w:bCs/>
              </w:rPr>
            </w:pPr>
            <w:r w:rsidRPr="00AB62A8">
              <w:rPr>
                <w:bCs/>
              </w:rPr>
              <w:t>0.2%</w:t>
            </w:r>
          </w:p>
        </w:tc>
        <w:tc>
          <w:tcPr>
            <w:tcW w:w="748" w:type="pct"/>
            <w:tcBorders>
              <w:top w:val="nil"/>
              <w:left w:val="single" w:sz="4" w:space="0" w:color="auto"/>
              <w:right w:val="single" w:sz="4" w:space="0" w:color="auto"/>
            </w:tcBorders>
            <w:shd w:val="clear" w:color="auto" w:fill="auto"/>
            <w:noWrap/>
            <w:hideMark/>
          </w:tcPr>
          <w:p w14:paraId="11863BAB"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tcBorders>
            <w:shd w:val="clear" w:color="auto" w:fill="auto"/>
            <w:noWrap/>
            <w:hideMark/>
          </w:tcPr>
          <w:p w14:paraId="65ABDA46" w14:textId="1521B768" w:rsidR="000E482F" w:rsidRPr="00AB62A8" w:rsidRDefault="001412C4" w:rsidP="004C79C1">
            <w:pPr>
              <w:pStyle w:val="Tabletext1"/>
              <w:tabs>
                <w:tab w:val="decimal" w:pos="532"/>
              </w:tabs>
              <w:spacing w:before="0" w:after="120"/>
              <w:jc w:val="center"/>
              <w:rPr>
                <w:bCs/>
              </w:rPr>
            </w:pPr>
            <w:r>
              <w:rPr>
                <w:bCs/>
              </w:rPr>
              <w:t>–</w:t>
            </w:r>
            <w:r w:rsidR="000E482F" w:rsidRPr="00AB62A8">
              <w:rPr>
                <w:bCs/>
              </w:rPr>
              <w:t>0.2%</w:t>
            </w:r>
          </w:p>
        </w:tc>
      </w:tr>
      <w:tr w:rsidR="000E482F" w:rsidRPr="006F2881" w14:paraId="1ACF89FF" w14:textId="77777777" w:rsidTr="00FC17B7">
        <w:trPr>
          <w:trHeight w:val="300"/>
        </w:trPr>
        <w:tc>
          <w:tcPr>
            <w:tcW w:w="2757" w:type="pct"/>
            <w:tcBorders>
              <w:bottom w:val="nil"/>
              <w:right w:val="single" w:sz="4" w:space="0" w:color="auto"/>
            </w:tcBorders>
            <w:shd w:val="clear" w:color="auto" w:fill="auto"/>
            <w:noWrap/>
          </w:tcPr>
          <w:p w14:paraId="446D0174" w14:textId="16EBDEA3" w:rsidR="000E482F" w:rsidRPr="006F2881" w:rsidRDefault="000E482F" w:rsidP="004C79C1">
            <w:pPr>
              <w:pStyle w:val="Tabletext1"/>
              <w:spacing w:before="0" w:after="120"/>
              <w:rPr>
                <w:bCs/>
                <w:i/>
              </w:rPr>
            </w:pPr>
            <w:r w:rsidRPr="006F2881">
              <w:rPr>
                <w:bCs/>
                <w:i/>
              </w:rPr>
              <w:t>Surgeries planned (inappropriate)</w:t>
            </w:r>
            <w:r w:rsidR="00DA0A7B">
              <w:rPr>
                <w:bCs/>
                <w:i/>
              </w:rPr>
              <w:t>:</w:t>
            </w:r>
          </w:p>
        </w:tc>
        <w:tc>
          <w:tcPr>
            <w:tcW w:w="748" w:type="pct"/>
            <w:tcBorders>
              <w:left w:val="single" w:sz="4" w:space="0" w:color="auto"/>
              <w:bottom w:val="nil"/>
              <w:right w:val="single" w:sz="4" w:space="0" w:color="auto"/>
            </w:tcBorders>
            <w:shd w:val="clear" w:color="auto" w:fill="auto"/>
            <w:noWrap/>
          </w:tcPr>
          <w:p w14:paraId="24DD90AA" w14:textId="77777777" w:rsidR="000E482F" w:rsidRPr="006F2881" w:rsidRDefault="000E482F" w:rsidP="004C79C1">
            <w:pPr>
              <w:pStyle w:val="Tabletext1"/>
              <w:tabs>
                <w:tab w:val="decimal" w:pos="377"/>
              </w:tabs>
              <w:spacing w:before="0" w:after="120"/>
              <w:jc w:val="center"/>
              <w:rPr>
                <w:i/>
                <w:iCs/>
              </w:rPr>
            </w:pPr>
            <w:r w:rsidRPr="00F176CF">
              <w:rPr>
                <w:b/>
                <w:iCs/>
              </w:rPr>
              <w:t>2.5%</w:t>
            </w:r>
          </w:p>
        </w:tc>
        <w:tc>
          <w:tcPr>
            <w:tcW w:w="748" w:type="pct"/>
            <w:tcBorders>
              <w:left w:val="single" w:sz="4" w:space="0" w:color="auto"/>
              <w:bottom w:val="nil"/>
              <w:right w:val="single" w:sz="4" w:space="0" w:color="auto"/>
            </w:tcBorders>
            <w:shd w:val="clear" w:color="auto" w:fill="auto"/>
            <w:noWrap/>
          </w:tcPr>
          <w:p w14:paraId="63039535" w14:textId="77777777" w:rsidR="000E482F" w:rsidRPr="006F2881" w:rsidRDefault="000E482F" w:rsidP="004C79C1">
            <w:pPr>
              <w:pStyle w:val="Tabletext1"/>
              <w:tabs>
                <w:tab w:val="decimal" w:pos="522"/>
              </w:tabs>
              <w:spacing w:before="0" w:after="120"/>
              <w:jc w:val="center"/>
              <w:rPr>
                <w:i/>
                <w:iCs/>
              </w:rPr>
            </w:pPr>
            <w:r w:rsidRPr="00F176CF">
              <w:rPr>
                <w:b/>
                <w:iCs/>
              </w:rPr>
              <w:t>0.0%</w:t>
            </w:r>
          </w:p>
        </w:tc>
        <w:tc>
          <w:tcPr>
            <w:tcW w:w="747" w:type="pct"/>
            <w:tcBorders>
              <w:left w:val="single" w:sz="4" w:space="0" w:color="auto"/>
              <w:bottom w:val="nil"/>
            </w:tcBorders>
            <w:shd w:val="clear" w:color="auto" w:fill="auto"/>
            <w:noWrap/>
          </w:tcPr>
          <w:p w14:paraId="1B800F16" w14:textId="4985CB13" w:rsidR="000E482F" w:rsidRPr="006F2881" w:rsidRDefault="001412C4" w:rsidP="004C79C1">
            <w:pPr>
              <w:pStyle w:val="Tabletext1"/>
              <w:tabs>
                <w:tab w:val="decimal" w:pos="532"/>
              </w:tabs>
              <w:spacing w:before="0" w:after="120"/>
              <w:jc w:val="center"/>
              <w:rPr>
                <w:i/>
                <w:iCs/>
              </w:rPr>
            </w:pPr>
            <w:r>
              <w:rPr>
                <w:b/>
                <w:iCs/>
              </w:rPr>
              <w:t>–</w:t>
            </w:r>
            <w:r w:rsidR="000E482F" w:rsidRPr="00F176CF">
              <w:rPr>
                <w:b/>
                <w:iCs/>
              </w:rPr>
              <w:t>2.5%</w:t>
            </w:r>
          </w:p>
        </w:tc>
      </w:tr>
      <w:tr w:rsidR="000E482F" w:rsidRPr="0017312F" w14:paraId="1A771ECC" w14:textId="77777777" w:rsidTr="00FC17B7">
        <w:trPr>
          <w:trHeight w:val="300"/>
        </w:trPr>
        <w:tc>
          <w:tcPr>
            <w:tcW w:w="2757" w:type="pct"/>
            <w:tcBorders>
              <w:top w:val="nil"/>
              <w:bottom w:val="nil"/>
              <w:right w:val="single" w:sz="4" w:space="0" w:color="auto"/>
            </w:tcBorders>
            <w:shd w:val="clear" w:color="auto" w:fill="auto"/>
            <w:noWrap/>
            <w:hideMark/>
          </w:tcPr>
          <w:p w14:paraId="26EDCEA9" w14:textId="77777777" w:rsidR="000E482F" w:rsidRPr="00AB62A8" w:rsidRDefault="000E482F" w:rsidP="004C79C1">
            <w:pPr>
              <w:pStyle w:val="Tabletext1"/>
              <w:spacing w:before="0" w:after="120"/>
              <w:ind w:left="567"/>
            </w:pPr>
            <w:r w:rsidRPr="00AB62A8">
              <w:t>CABG</w:t>
            </w:r>
          </w:p>
        </w:tc>
        <w:tc>
          <w:tcPr>
            <w:tcW w:w="748" w:type="pct"/>
            <w:tcBorders>
              <w:top w:val="nil"/>
              <w:left w:val="single" w:sz="4" w:space="0" w:color="auto"/>
              <w:bottom w:val="nil"/>
              <w:right w:val="single" w:sz="4" w:space="0" w:color="auto"/>
            </w:tcBorders>
            <w:shd w:val="clear" w:color="auto" w:fill="auto"/>
            <w:noWrap/>
            <w:hideMark/>
          </w:tcPr>
          <w:p w14:paraId="0C1DE6C4" w14:textId="77777777" w:rsidR="000E482F" w:rsidRPr="00AB62A8" w:rsidRDefault="000E482F" w:rsidP="004C79C1">
            <w:pPr>
              <w:pStyle w:val="Tabletext1"/>
              <w:tabs>
                <w:tab w:val="decimal" w:pos="377"/>
              </w:tabs>
              <w:spacing w:before="0" w:after="120"/>
              <w:jc w:val="center"/>
              <w:rPr>
                <w:bCs/>
              </w:rPr>
            </w:pPr>
            <w:r w:rsidRPr="00AB62A8">
              <w:rPr>
                <w:bCs/>
              </w:rPr>
              <w:t>0.9%</w:t>
            </w:r>
          </w:p>
        </w:tc>
        <w:tc>
          <w:tcPr>
            <w:tcW w:w="748" w:type="pct"/>
            <w:tcBorders>
              <w:top w:val="nil"/>
              <w:left w:val="single" w:sz="4" w:space="0" w:color="auto"/>
              <w:bottom w:val="nil"/>
              <w:right w:val="single" w:sz="4" w:space="0" w:color="auto"/>
            </w:tcBorders>
            <w:shd w:val="clear" w:color="auto" w:fill="auto"/>
            <w:noWrap/>
            <w:hideMark/>
          </w:tcPr>
          <w:p w14:paraId="722A979C"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bottom w:val="nil"/>
            </w:tcBorders>
            <w:shd w:val="clear" w:color="auto" w:fill="auto"/>
            <w:noWrap/>
            <w:hideMark/>
          </w:tcPr>
          <w:p w14:paraId="67073487" w14:textId="2CCC7DE2" w:rsidR="000E482F" w:rsidRPr="00AB62A8" w:rsidRDefault="001412C4" w:rsidP="004C79C1">
            <w:pPr>
              <w:pStyle w:val="Tabletext1"/>
              <w:tabs>
                <w:tab w:val="decimal" w:pos="532"/>
              </w:tabs>
              <w:spacing w:before="0" w:after="120"/>
              <w:jc w:val="center"/>
              <w:rPr>
                <w:bCs/>
              </w:rPr>
            </w:pPr>
            <w:r>
              <w:rPr>
                <w:bCs/>
              </w:rPr>
              <w:t>–</w:t>
            </w:r>
            <w:r w:rsidR="000E482F" w:rsidRPr="00AB62A8">
              <w:rPr>
                <w:bCs/>
              </w:rPr>
              <w:t>0.9%</w:t>
            </w:r>
          </w:p>
        </w:tc>
      </w:tr>
      <w:tr w:rsidR="000E482F" w:rsidRPr="0017312F" w14:paraId="620294E3" w14:textId="77777777" w:rsidTr="00FC17B7">
        <w:trPr>
          <w:trHeight w:val="300"/>
        </w:trPr>
        <w:tc>
          <w:tcPr>
            <w:tcW w:w="2757" w:type="pct"/>
            <w:tcBorders>
              <w:top w:val="nil"/>
              <w:bottom w:val="nil"/>
              <w:right w:val="single" w:sz="4" w:space="0" w:color="auto"/>
            </w:tcBorders>
            <w:shd w:val="clear" w:color="auto" w:fill="auto"/>
            <w:noWrap/>
            <w:hideMark/>
          </w:tcPr>
          <w:p w14:paraId="66E54655" w14:textId="77777777" w:rsidR="000E482F" w:rsidRPr="00AB62A8" w:rsidRDefault="000E482F" w:rsidP="004C79C1">
            <w:pPr>
              <w:pStyle w:val="Tabletext1"/>
              <w:spacing w:before="0" w:after="120"/>
              <w:ind w:left="567"/>
            </w:pPr>
            <w:r w:rsidRPr="00AB62A8">
              <w:t>Valve</w:t>
            </w:r>
          </w:p>
        </w:tc>
        <w:tc>
          <w:tcPr>
            <w:tcW w:w="748" w:type="pct"/>
            <w:tcBorders>
              <w:top w:val="nil"/>
              <w:left w:val="single" w:sz="4" w:space="0" w:color="auto"/>
              <w:bottom w:val="nil"/>
              <w:right w:val="single" w:sz="4" w:space="0" w:color="auto"/>
            </w:tcBorders>
            <w:shd w:val="clear" w:color="auto" w:fill="auto"/>
            <w:noWrap/>
            <w:hideMark/>
          </w:tcPr>
          <w:p w14:paraId="04C81D00" w14:textId="77777777" w:rsidR="000E482F" w:rsidRPr="00AB62A8" w:rsidRDefault="000E482F" w:rsidP="004C79C1">
            <w:pPr>
              <w:pStyle w:val="Tabletext1"/>
              <w:tabs>
                <w:tab w:val="decimal" w:pos="377"/>
              </w:tabs>
              <w:spacing w:before="0" w:after="120"/>
              <w:jc w:val="center"/>
              <w:rPr>
                <w:bCs/>
              </w:rPr>
            </w:pPr>
            <w:r w:rsidRPr="00AB62A8">
              <w:rPr>
                <w:bCs/>
              </w:rPr>
              <w:t>1.1%</w:t>
            </w:r>
          </w:p>
        </w:tc>
        <w:tc>
          <w:tcPr>
            <w:tcW w:w="748" w:type="pct"/>
            <w:tcBorders>
              <w:top w:val="nil"/>
              <w:left w:val="single" w:sz="4" w:space="0" w:color="auto"/>
              <w:bottom w:val="nil"/>
              <w:right w:val="single" w:sz="4" w:space="0" w:color="auto"/>
            </w:tcBorders>
            <w:shd w:val="clear" w:color="auto" w:fill="auto"/>
            <w:noWrap/>
            <w:hideMark/>
          </w:tcPr>
          <w:p w14:paraId="0C0D2E9E"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bottom w:val="nil"/>
            </w:tcBorders>
            <w:shd w:val="clear" w:color="auto" w:fill="auto"/>
            <w:noWrap/>
            <w:hideMark/>
          </w:tcPr>
          <w:p w14:paraId="70C21DEA" w14:textId="3C0602BF" w:rsidR="000E482F" w:rsidRPr="00AB62A8" w:rsidRDefault="001412C4" w:rsidP="004C79C1">
            <w:pPr>
              <w:pStyle w:val="Tabletext1"/>
              <w:tabs>
                <w:tab w:val="decimal" w:pos="532"/>
              </w:tabs>
              <w:spacing w:before="0" w:after="120"/>
              <w:jc w:val="center"/>
              <w:rPr>
                <w:bCs/>
              </w:rPr>
            </w:pPr>
            <w:r>
              <w:rPr>
                <w:bCs/>
              </w:rPr>
              <w:t>–</w:t>
            </w:r>
            <w:r w:rsidR="000E482F" w:rsidRPr="00AB62A8">
              <w:rPr>
                <w:bCs/>
              </w:rPr>
              <w:t>1.1%</w:t>
            </w:r>
          </w:p>
        </w:tc>
      </w:tr>
      <w:tr w:rsidR="000E482F" w:rsidRPr="0017312F" w14:paraId="755BD2A3" w14:textId="77777777" w:rsidTr="00FC17B7">
        <w:trPr>
          <w:trHeight w:val="300"/>
        </w:trPr>
        <w:tc>
          <w:tcPr>
            <w:tcW w:w="2757" w:type="pct"/>
            <w:tcBorders>
              <w:top w:val="nil"/>
              <w:right w:val="single" w:sz="4" w:space="0" w:color="auto"/>
            </w:tcBorders>
            <w:shd w:val="clear" w:color="auto" w:fill="auto"/>
            <w:noWrap/>
            <w:hideMark/>
          </w:tcPr>
          <w:p w14:paraId="1816C479" w14:textId="77777777" w:rsidR="000E482F" w:rsidRPr="00AB62A8" w:rsidRDefault="000E482F" w:rsidP="004C79C1">
            <w:pPr>
              <w:pStyle w:val="Tabletext1"/>
              <w:spacing w:before="0" w:after="120"/>
              <w:ind w:left="567"/>
            </w:pPr>
            <w:r w:rsidRPr="00AB62A8">
              <w:t>Other</w:t>
            </w:r>
          </w:p>
        </w:tc>
        <w:tc>
          <w:tcPr>
            <w:tcW w:w="748" w:type="pct"/>
            <w:tcBorders>
              <w:top w:val="nil"/>
              <w:left w:val="single" w:sz="4" w:space="0" w:color="auto"/>
              <w:right w:val="single" w:sz="4" w:space="0" w:color="auto"/>
            </w:tcBorders>
            <w:shd w:val="clear" w:color="auto" w:fill="auto"/>
            <w:noWrap/>
            <w:hideMark/>
          </w:tcPr>
          <w:p w14:paraId="3C7C2109" w14:textId="77777777" w:rsidR="000E482F" w:rsidRPr="00AB62A8" w:rsidRDefault="000E482F" w:rsidP="004C79C1">
            <w:pPr>
              <w:pStyle w:val="Tabletext1"/>
              <w:tabs>
                <w:tab w:val="decimal" w:pos="377"/>
              </w:tabs>
              <w:spacing w:before="0" w:after="120"/>
              <w:jc w:val="center"/>
              <w:rPr>
                <w:bCs/>
              </w:rPr>
            </w:pPr>
            <w:r w:rsidRPr="00AB62A8">
              <w:rPr>
                <w:bCs/>
              </w:rPr>
              <w:t>0.5%</w:t>
            </w:r>
          </w:p>
        </w:tc>
        <w:tc>
          <w:tcPr>
            <w:tcW w:w="748" w:type="pct"/>
            <w:tcBorders>
              <w:top w:val="nil"/>
              <w:left w:val="single" w:sz="4" w:space="0" w:color="auto"/>
              <w:right w:val="single" w:sz="4" w:space="0" w:color="auto"/>
            </w:tcBorders>
            <w:shd w:val="clear" w:color="auto" w:fill="auto"/>
            <w:noWrap/>
            <w:hideMark/>
          </w:tcPr>
          <w:p w14:paraId="010C3043" w14:textId="77777777" w:rsidR="000E482F" w:rsidRPr="00AB62A8" w:rsidRDefault="000E482F" w:rsidP="004C79C1">
            <w:pPr>
              <w:pStyle w:val="Tabletext1"/>
              <w:tabs>
                <w:tab w:val="decimal" w:pos="522"/>
              </w:tabs>
              <w:spacing w:before="0" w:after="120"/>
              <w:jc w:val="center"/>
              <w:rPr>
                <w:bCs/>
              </w:rPr>
            </w:pPr>
            <w:r w:rsidRPr="00AB62A8">
              <w:rPr>
                <w:bCs/>
              </w:rPr>
              <w:t>0.0%</w:t>
            </w:r>
          </w:p>
        </w:tc>
        <w:tc>
          <w:tcPr>
            <w:tcW w:w="747" w:type="pct"/>
            <w:tcBorders>
              <w:top w:val="nil"/>
              <w:left w:val="single" w:sz="4" w:space="0" w:color="auto"/>
            </w:tcBorders>
            <w:shd w:val="clear" w:color="auto" w:fill="auto"/>
            <w:noWrap/>
            <w:hideMark/>
          </w:tcPr>
          <w:p w14:paraId="4BA43396" w14:textId="4DA42357" w:rsidR="000E482F" w:rsidRPr="00AB62A8" w:rsidRDefault="001412C4" w:rsidP="004C79C1">
            <w:pPr>
              <w:pStyle w:val="Tabletext1"/>
              <w:tabs>
                <w:tab w:val="decimal" w:pos="532"/>
              </w:tabs>
              <w:spacing w:before="0" w:after="120"/>
              <w:jc w:val="center"/>
              <w:rPr>
                <w:bCs/>
              </w:rPr>
            </w:pPr>
            <w:r>
              <w:rPr>
                <w:bCs/>
              </w:rPr>
              <w:t>–</w:t>
            </w:r>
            <w:r w:rsidR="000E482F" w:rsidRPr="00AB62A8">
              <w:rPr>
                <w:bCs/>
              </w:rPr>
              <w:t>0.5%</w:t>
            </w:r>
          </w:p>
        </w:tc>
      </w:tr>
      <w:tr w:rsidR="000E482F" w:rsidRPr="008007D8" w14:paraId="4C552535" w14:textId="77777777" w:rsidTr="00FC17B7">
        <w:trPr>
          <w:trHeight w:val="300"/>
        </w:trPr>
        <w:tc>
          <w:tcPr>
            <w:tcW w:w="2757" w:type="pct"/>
            <w:tcBorders>
              <w:bottom w:val="double" w:sz="4" w:space="0" w:color="auto"/>
            </w:tcBorders>
            <w:shd w:val="clear" w:color="auto" w:fill="auto"/>
            <w:noWrap/>
            <w:hideMark/>
          </w:tcPr>
          <w:p w14:paraId="5EACB804" w14:textId="77777777" w:rsidR="000E482F" w:rsidRPr="00B150CC" w:rsidRDefault="000E482F" w:rsidP="004C79C1">
            <w:pPr>
              <w:pStyle w:val="Tabletext1"/>
              <w:spacing w:before="0" w:after="120"/>
              <w:rPr>
                <w:i/>
              </w:rPr>
            </w:pPr>
            <w:r w:rsidRPr="00B150CC">
              <w:rPr>
                <w:i/>
              </w:rPr>
              <w:t>No devices or surgeries planned (inappropriate)</w:t>
            </w:r>
          </w:p>
        </w:tc>
        <w:tc>
          <w:tcPr>
            <w:tcW w:w="748" w:type="pct"/>
            <w:tcBorders>
              <w:bottom w:val="double" w:sz="4" w:space="0" w:color="auto"/>
            </w:tcBorders>
            <w:shd w:val="clear" w:color="auto" w:fill="auto"/>
            <w:noWrap/>
            <w:hideMark/>
          </w:tcPr>
          <w:p w14:paraId="231C5496" w14:textId="77777777" w:rsidR="000E482F" w:rsidRPr="00B150CC" w:rsidRDefault="000E482F" w:rsidP="004C79C1">
            <w:pPr>
              <w:pStyle w:val="Tabletext1"/>
              <w:tabs>
                <w:tab w:val="decimal" w:pos="377"/>
              </w:tabs>
              <w:spacing w:before="0" w:after="120"/>
              <w:jc w:val="center"/>
              <w:rPr>
                <w:b/>
                <w:bCs/>
              </w:rPr>
            </w:pPr>
            <w:r w:rsidRPr="00B150CC">
              <w:rPr>
                <w:b/>
                <w:bCs/>
              </w:rPr>
              <w:t>5.6%</w:t>
            </w:r>
          </w:p>
        </w:tc>
        <w:tc>
          <w:tcPr>
            <w:tcW w:w="748" w:type="pct"/>
            <w:tcBorders>
              <w:bottom w:val="double" w:sz="4" w:space="0" w:color="auto"/>
            </w:tcBorders>
            <w:shd w:val="clear" w:color="auto" w:fill="auto"/>
            <w:noWrap/>
            <w:hideMark/>
          </w:tcPr>
          <w:p w14:paraId="10E5BDE2" w14:textId="77777777" w:rsidR="000E482F" w:rsidRPr="00B150CC" w:rsidRDefault="000E482F" w:rsidP="004C79C1">
            <w:pPr>
              <w:pStyle w:val="Tabletext1"/>
              <w:tabs>
                <w:tab w:val="decimal" w:pos="522"/>
              </w:tabs>
              <w:spacing w:before="0" w:after="120"/>
              <w:jc w:val="center"/>
              <w:rPr>
                <w:b/>
                <w:bCs/>
              </w:rPr>
            </w:pPr>
            <w:r w:rsidRPr="00B150CC">
              <w:rPr>
                <w:b/>
                <w:bCs/>
              </w:rPr>
              <w:t>0.0%</w:t>
            </w:r>
          </w:p>
        </w:tc>
        <w:tc>
          <w:tcPr>
            <w:tcW w:w="747" w:type="pct"/>
            <w:tcBorders>
              <w:bottom w:val="double" w:sz="4" w:space="0" w:color="auto"/>
            </w:tcBorders>
            <w:shd w:val="clear" w:color="auto" w:fill="auto"/>
            <w:noWrap/>
            <w:hideMark/>
          </w:tcPr>
          <w:p w14:paraId="58B25434" w14:textId="2CECA529" w:rsidR="000E482F" w:rsidRPr="00B150CC" w:rsidRDefault="001412C4" w:rsidP="004C79C1">
            <w:pPr>
              <w:pStyle w:val="Tabletext1"/>
              <w:tabs>
                <w:tab w:val="decimal" w:pos="532"/>
              </w:tabs>
              <w:spacing w:before="0" w:after="120"/>
              <w:jc w:val="center"/>
              <w:rPr>
                <w:b/>
                <w:bCs/>
              </w:rPr>
            </w:pPr>
            <w:r>
              <w:rPr>
                <w:b/>
                <w:bCs/>
              </w:rPr>
              <w:t>–</w:t>
            </w:r>
            <w:r w:rsidR="000E482F" w:rsidRPr="00B150CC">
              <w:rPr>
                <w:b/>
                <w:bCs/>
              </w:rPr>
              <w:t>5.6%</w:t>
            </w:r>
          </w:p>
        </w:tc>
      </w:tr>
      <w:tr w:rsidR="000E482F" w:rsidRPr="00D74BEC" w14:paraId="4DFF692D" w14:textId="77777777" w:rsidTr="00FC17B7">
        <w:trPr>
          <w:trHeight w:val="300"/>
        </w:trPr>
        <w:tc>
          <w:tcPr>
            <w:tcW w:w="2757" w:type="pct"/>
            <w:tcBorders>
              <w:top w:val="double" w:sz="4" w:space="0" w:color="auto"/>
              <w:bottom w:val="double" w:sz="4" w:space="0" w:color="auto"/>
            </w:tcBorders>
            <w:shd w:val="clear" w:color="auto" w:fill="auto"/>
            <w:noWrap/>
          </w:tcPr>
          <w:p w14:paraId="798145AE" w14:textId="77777777" w:rsidR="000E482F" w:rsidRPr="00D74BEC" w:rsidRDefault="000E482F" w:rsidP="004C79C1">
            <w:pPr>
              <w:pStyle w:val="Tabletext1"/>
              <w:spacing w:before="0" w:after="120"/>
              <w:rPr>
                <w:b/>
                <w:bCs/>
              </w:rPr>
            </w:pPr>
            <w:r w:rsidRPr="00D74BEC">
              <w:rPr>
                <w:b/>
              </w:rPr>
              <w:t>Total inappropriate patient management plans</w:t>
            </w:r>
          </w:p>
        </w:tc>
        <w:tc>
          <w:tcPr>
            <w:tcW w:w="748" w:type="pct"/>
            <w:tcBorders>
              <w:top w:val="double" w:sz="4" w:space="0" w:color="auto"/>
              <w:bottom w:val="double" w:sz="4" w:space="0" w:color="auto"/>
            </w:tcBorders>
            <w:shd w:val="clear" w:color="auto" w:fill="auto"/>
            <w:noWrap/>
          </w:tcPr>
          <w:p w14:paraId="6F5B25D6" w14:textId="77777777" w:rsidR="000E482F" w:rsidRPr="00D74BEC" w:rsidRDefault="000E482F" w:rsidP="004C79C1">
            <w:pPr>
              <w:pStyle w:val="Tabletext1"/>
              <w:tabs>
                <w:tab w:val="decimal" w:pos="377"/>
              </w:tabs>
              <w:spacing w:before="0" w:after="120"/>
              <w:jc w:val="center"/>
              <w:rPr>
                <w:b/>
                <w:bCs/>
              </w:rPr>
            </w:pPr>
            <w:r w:rsidRPr="00D74BEC">
              <w:rPr>
                <w:b/>
              </w:rPr>
              <w:t>12.8%</w:t>
            </w:r>
          </w:p>
        </w:tc>
        <w:tc>
          <w:tcPr>
            <w:tcW w:w="748" w:type="pct"/>
            <w:tcBorders>
              <w:top w:val="double" w:sz="4" w:space="0" w:color="auto"/>
              <w:bottom w:val="double" w:sz="4" w:space="0" w:color="auto"/>
            </w:tcBorders>
            <w:shd w:val="clear" w:color="auto" w:fill="auto"/>
            <w:noWrap/>
          </w:tcPr>
          <w:p w14:paraId="16C765E0" w14:textId="77777777" w:rsidR="000E482F" w:rsidRPr="00D74BEC" w:rsidRDefault="000E482F" w:rsidP="004C79C1">
            <w:pPr>
              <w:pStyle w:val="Tabletext1"/>
              <w:tabs>
                <w:tab w:val="decimal" w:pos="522"/>
              </w:tabs>
              <w:spacing w:before="0" w:after="120"/>
              <w:jc w:val="center"/>
              <w:rPr>
                <w:b/>
                <w:bCs/>
              </w:rPr>
            </w:pPr>
            <w:r w:rsidRPr="00D74BEC">
              <w:rPr>
                <w:b/>
              </w:rPr>
              <w:t>0.0%</w:t>
            </w:r>
          </w:p>
        </w:tc>
        <w:tc>
          <w:tcPr>
            <w:tcW w:w="747" w:type="pct"/>
            <w:tcBorders>
              <w:top w:val="double" w:sz="4" w:space="0" w:color="auto"/>
              <w:bottom w:val="double" w:sz="4" w:space="0" w:color="auto"/>
            </w:tcBorders>
            <w:shd w:val="clear" w:color="auto" w:fill="auto"/>
            <w:noWrap/>
          </w:tcPr>
          <w:p w14:paraId="7A9C01D6" w14:textId="0D88E699" w:rsidR="000E482F" w:rsidRPr="00D74BEC" w:rsidRDefault="001412C4" w:rsidP="004C79C1">
            <w:pPr>
              <w:pStyle w:val="Tabletext1"/>
              <w:tabs>
                <w:tab w:val="decimal" w:pos="532"/>
              </w:tabs>
              <w:spacing w:before="0" w:after="120"/>
              <w:jc w:val="center"/>
              <w:rPr>
                <w:b/>
                <w:bCs/>
              </w:rPr>
            </w:pPr>
            <w:r>
              <w:rPr>
                <w:b/>
              </w:rPr>
              <w:t>–</w:t>
            </w:r>
            <w:r w:rsidR="000E482F" w:rsidRPr="00D74BEC">
              <w:rPr>
                <w:b/>
              </w:rPr>
              <w:t>12.8%</w:t>
            </w:r>
          </w:p>
        </w:tc>
      </w:tr>
    </w:tbl>
    <w:p w14:paraId="148FFE97" w14:textId="580320BF" w:rsidR="00050869" w:rsidRPr="006604AA" w:rsidRDefault="00050869" w:rsidP="004C79C1">
      <w:pPr>
        <w:pStyle w:val="Tablenotes0"/>
        <w:spacing w:before="0" w:after="120"/>
      </w:pPr>
      <w:r w:rsidRPr="006604AA">
        <w:rPr>
          <w:vertAlign w:val="superscript"/>
        </w:rPr>
        <w:t>a</w:t>
      </w:r>
      <w:r w:rsidRPr="006604AA">
        <w:t xml:space="preserve"> Data obtained through personal communications with the author of </w:t>
      </w:r>
      <w:r w:rsidRPr="006604AA">
        <w:fldChar w:fldCharType="begin"/>
      </w:r>
      <w:r w:rsidRPr="006604AA">
        <w:instrText xml:space="preserve"> ADDIN EN.CITE &lt;EndNote&gt;&lt;Cite&gt;&lt;Author&gt;Taylor AJ&lt;/Author&gt;&lt;Year&gt;2013&lt;/Year&gt;&lt;RecNum&gt;109&lt;/RecNum&gt;&lt;DisplayText&gt;(Taylor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rsidRPr="006604AA">
        <w:fldChar w:fldCharType="separate"/>
      </w:r>
      <w:hyperlink w:anchor="_ENREF_135" w:tooltip="Taylor AJ, 2013 #109" w:history="1">
        <w:r w:rsidRPr="006604AA">
          <w:rPr>
            <w:noProof/>
          </w:rPr>
          <w:t>Taylor, AJ et al. (2013</w:t>
        </w:r>
      </w:hyperlink>
      <w:r w:rsidRPr="006604AA">
        <w:rPr>
          <w:noProof/>
        </w:rPr>
        <w:t>)</w:t>
      </w:r>
      <w:r w:rsidRPr="006604AA">
        <w:fldChar w:fldCharType="end"/>
      </w:r>
      <w:r w:rsidRPr="006604AA">
        <w:t xml:space="preserve">. </w:t>
      </w:r>
    </w:p>
    <w:p w14:paraId="5A72B5B1" w14:textId="6ABA9188" w:rsidR="000E482F" w:rsidRPr="006604AA" w:rsidRDefault="000E482F" w:rsidP="004C79C1">
      <w:pPr>
        <w:pStyle w:val="Tablenotes0"/>
        <w:spacing w:before="0" w:after="120"/>
      </w:pPr>
      <w:r w:rsidRPr="006604AA">
        <w:t>AICD</w:t>
      </w:r>
      <w:r w:rsidR="00DA0A7B" w:rsidRPr="006604AA">
        <w:t xml:space="preserve"> </w:t>
      </w:r>
      <w:r w:rsidRPr="006604AA">
        <w:t>=</w:t>
      </w:r>
      <w:r w:rsidR="00DA0A7B" w:rsidRPr="006604AA">
        <w:t xml:space="preserve"> </w:t>
      </w:r>
      <w:r w:rsidR="0009464C">
        <w:t>automated</w:t>
      </w:r>
      <w:r w:rsidR="0009464C" w:rsidRPr="00C5592D">
        <w:t xml:space="preserve"> </w:t>
      </w:r>
      <w:r w:rsidRPr="006604AA">
        <w:t xml:space="preserve">implantable </w:t>
      </w:r>
      <w:r w:rsidR="0026063B">
        <w:t>cardioverter defibrillator</w:t>
      </w:r>
      <w:r w:rsidRPr="006604AA">
        <w:t xml:space="preserve">; CABG = coronary artery bypass grafting; CMR = cardiac magnetic resonance </w:t>
      </w:r>
      <w:r w:rsidR="008734D3">
        <w:t>(</w:t>
      </w:r>
      <w:r w:rsidRPr="006604AA">
        <w:t>imaging</w:t>
      </w:r>
      <w:r w:rsidR="008734D3">
        <w:t>)</w:t>
      </w:r>
      <w:r w:rsidRPr="006604AA">
        <w:t>; CRT = cardiac resynchronisation therapy with defibrillator; DCM = dilated cardiomyopathy; N</w:t>
      </w:r>
      <w:r w:rsidR="00DA0A7B" w:rsidRPr="006604AA">
        <w:t xml:space="preserve"> </w:t>
      </w:r>
      <w:r w:rsidRPr="006604AA">
        <w:t>=</w:t>
      </w:r>
      <w:r w:rsidR="00DA0A7B" w:rsidRPr="006604AA">
        <w:t xml:space="preserve"> </w:t>
      </w:r>
      <w:r w:rsidRPr="006604AA">
        <w:t>number</w:t>
      </w:r>
      <w:r w:rsidR="009573F4">
        <w:t xml:space="preserve"> of patients</w:t>
      </w:r>
    </w:p>
    <w:p w14:paraId="12E62A80" w14:textId="77777777" w:rsidR="000E482F" w:rsidRDefault="000E482F" w:rsidP="004C79C1">
      <w:pPr>
        <w:pStyle w:val="Tablenotes0"/>
        <w:spacing w:before="0" w:after="120"/>
      </w:pPr>
    </w:p>
    <w:p w14:paraId="22F91957" w14:textId="77777777" w:rsidR="000E482F" w:rsidRDefault="000E482F" w:rsidP="00161B88">
      <w:pPr>
        <w:pStyle w:val="Heading4"/>
      </w:pPr>
      <w:r>
        <w:t>Incremental cost-effectiveness</w:t>
      </w:r>
    </w:p>
    <w:p w14:paraId="494DD1DB" w14:textId="0F65131F" w:rsidR="000E482F" w:rsidRPr="0012230A" w:rsidRDefault="000E482F" w:rsidP="004C79C1">
      <w:pPr>
        <w:spacing w:after="120" w:line="240" w:lineRule="auto"/>
        <w:jc w:val="both"/>
      </w:pPr>
      <w:r>
        <w:t xml:space="preserve">There are </w:t>
      </w:r>
      <w:r w:rsidR="00DC6149">
        <w:t xml:space="preserve">a </w:t>
      </w:r>
      <w:r>
        <w:t xml:space="preserve">number of outcomes that may be used to assess cost-effectiveness, although interpretation is limited in that these are not final health outcomes. </w:t>
      </w:r>
      <w:r w:rsidR="00734099">
        <w:fldChar w:fldCharType="begin"/>
      </w:r>
      <w:r w:rsidR="00734099">
        <w:instrText xml:space="preserve"> REF _Ref451258415 \h </w:instrText>
      </w:r>
      <w:r w:rsidR="00734099">
        <w:fldChar w:fldCharType="separate"/>
      </w:r>
      <w:r w:rsidR="00734099">
        <w:t xml:space="preserve">Table </w:t>
      </w:r>
      <w:r w:rsidR="00734099">
        <w:rPr>
          <w:noProof/>
        </w:rPr>
        <w:t>41</w:t>
      </w:r>
      <w:r w:rsidR="00734099">
        <w:fldChar w:fldCharType="end"/>
      </w:r>
      <w:r>
        <w:t xml:space="preserve"> summarises </w:t>
      </w:r>
      <w:r w:rsidR="00DC6149">
        <w:t xml:space="preserve">the </w:t>
      </w:r>
      <w:r>
        <w:t xml:space="preserve">incremental costs and various incremental outcomes and </w:t>
      </w:r>
      <w:r w:rsidR="00015222">
        <w:t>ICER</w:t>
      </w:r>
      <w:r>
        <w:t>s for the above comparison.</w:t>
      </w:r>
    </w:p>
    <w:p w14:paraId="0EA47EBC" w14:textId="54E589C0" w:rsidR="006604AA" w:rsidRDefault="006604AA" w:rsidP="004C79C1">
      <w:pPr>
        <w:pStyle w:val="Caption"/>
        <w:keepNext/>
      </w:pPr>
      <w:bookmarkStart w:id="563" w:name="_Ref451258415"/>
      <w:bookmarkStart w:id="564" w:name="_Toc451435368"/>
      <w:r>
        <w:t xml:space="preserve">Table </w:t>
      </w:r>
      <w:fldSimple w:instr=" SEQ Table \* ARABIC ">
        <w:r w:rsidR="00050936">
          <w:rPr>
            <w:noProof/>
          </w:rPr>
          <w:t>41</w:t>
        </w:r>
      </w:fldSimple>
      <w:bookmarkEnd w:id="563"/>
      <w:r>
        <w:tab/>
      </w:r>
      <w:r w:rsidRPr="00C26CAD">
        <w:t xml:space="preserve">ICER, change in patients’ management following CMR (at 6 months) in HF patients indicated for DCM </w:t>
      </w:r>
      <w:r w:rsidRPr="006604AA">
        <w:rPr>
          <w:vertAlign w:val="superscript"/>
        </w:rPr>
        <w:t>a</w:t>
      </w:r>
      <w:bookmarkEnd w:id="564"/>
    </w:p>
    <w:tbl>
      <w:tblPr>
        <w:tblStyle w:val="TableGrid"/>
        <w:tblW w:w="5000" w:type="pct"/>
        <w:tblLook w:val="04A0" w:firstRow="1" w:lastRow="0" w:firstColumn="1" w:lastColumn="0" w:noHBand="0" w:noVBand="1"/>
        <w:tblCaption w:val="ICER, change in the patients’ management following CMR (at six months) in heart failure patients indicated for DCM "/>
      </w:tblPr>
      <w:tblGrid>
        <w:gridCol w:w="5494"/>
        <w:gridCol w:w="1251"/>
        <w:gridCol w:w="1251"/>
        <w:gridCol w:w="1246"/>
      </w:tblGrid>
      <w:tr w:rsidR="000E482F" w:rsidRPr="0017312F" w14:paraId="7EC85BE8" w14:textId="77777777" w:rsidTr="006604AA">
        <w:trPr>
          <w:trHeight w:val="300"/>
          <w:tblHeader/>
        </w:trPr>
        <w:tc>
          <w:tcPr>
            <w:tcW w:w="2972" w:type="pct"/>
            <w:tcBorders>
              <w:bottom w:val="single" w:sz="4" w:space="0" w:color="auto"/>
            </w:tcBorders>
            <w:shd w:val="clear" w:color="auto" w:fill="auto"/>
            <w:noWrap/>
            <w:hideMark/>
          </w:tcPr>
          <w:p w14:paraId="33DFC2B1" w14:textId="77777777" w:rsidR="000E482F" w:rsidRPr="0017312F" w:rsidRDefault="000E482F" w:rsidP="004C79C1">
            <w:pPr>
              <w:pStyle w:val="Tabletext1"/>
              <w:spacing w:before="0" w:after="120"/>
            </w:pPr>
          </w:p>
        </w:tc>
        <w:tc>
          <w:tcPr>
            <w:tcW w:w="677" w:type="pct"/>
            <w:tcBorders>
              <w:bottom w:val="single" w:sz="4" w:space="0" w:color="auto"/>
            </w:tcBorders>
            <w:shd w:val="clear" w:color="auto" w:fill="auto"/>
            <w:noWrap/>
            <w:hideMark/>
          </w:tcPr>
          <w:p w14:paraId="2A3CCD67" w14:textId="77777777" w:rsidR="000E482F" w:rsidRPr="0017312F" w:rsidRDefault="000E482F" w:rsidP="004C79C1">
            <w:pPr>
              <w:pStyle w:val="Tabletext1"/>
              <w:spacing w:before="0" w:after="120"/>
              <w:jc w:val="center"/>
              <w:rPr>
                <w:b/>
                <w:bCs/>
              </w:rPr>
            </w:pPr>
            <w:r w:rsidRPr="0017312F">
              <w:rPr>
                <w:b/>
                <w:bCs/>
              </w:rPr>
              <w:t>No CMR</w:t>
            </w:r>
          </w:p>
        </w:tc>
        <w:tc>
          <w:tcPr>
            <w:tcW w:w="677" w:type="pct"/>
            <w:tcBorders>
              <w:bottom w:val="single" w:sz="4" w:space="0" w:color="auto"/>
            </w:tcBorders>
            <w:shd w:val="clear" w:color="auto" w:fill="auto"/>
            <w:noWrap/>
            <w:hideMark/>
          </w:tcPr>
          <w:p w14:paraId="79A0BEBB" w14:textId="77777777" w:rsidR="000E482F" w:rsidRPr="0017312F" w:rsidRDefault="000E482F" w:rsidP="004C79C1">
            <w:pPr>
              <w:pStyle w:val="Tabletext1"/>
              <w:spacing w:before="0" w:after="120"/>
              <w:jc w:val="center"/>
              <w:rPr>
                <w:b/>
                <w:bCs/>
              </w:rPr>
            </w:pPr>
            <w:r>
              <w:rPr>
                <w:b/>
                <w:bCs/>
              </w:rPr>
              <w:t>Post-</w:t>
            </w:r>
            <w:r w:rsidRPr="0017312F">
              <w:rPr>
                <w:b/>
                <w:bCs/>
              </w:rPr>
              <w:t>CMR</w:t>
            </w:r>
          </w:p>
        </w:tc>
        <w:tc>
          <w:tcPr>
            <w:tcW w:w="675" w:type="pct"/>
            <w:tcBorders>
              <w:bottom w:val="single" w:sz="4" w:space="0" w:color="auto"/>
            </w:tcBorders>
            <w:shd w:val="clear" w:color="auto" w:fill="auto"/>
            <w:noWrap/>
            <w:hideMark/>
          </w:tcPr>
          <w:p w14:paraId="26C215BB" w14:textId="77777777" w:rsidR="000E482F" w:rsidRPr="0017312F" w:rsidRDefault="000E482F" w:rsidP="004C79C1">
            <w:pPr>
              <w:pStyle w:val="Tabletext1"/>
              <w:spacing w:before="0" w:after="120"/>
              <w:jc w:val="center"/>
              <w:rPr>
                <w:b/>
                <w:bCs/>
              </w:rPr>
            </w:pPr>
            <w:r>
              <w:rPr>
                <w:b/>
                <w:bCs/>
              </w:rPr>
              <w:t>Increment</w:t>
            </w:r>
          </w:p>
        </w:tc>
      </w:tr>
      <w:tr w:rsidR="000E482F" w:rsidRPr="0017312F" w14:paraId="2A309EBF" w14:textId="77777777" w:rsidTr="006604AA">
        <w:trPr>
          <w:trHeight w:val="300"/>
        </w:trPr>
        <w:tc>
          <w:tcPr>
            <w:tcW w:w="2972" w:type="pct"/>
            <w:tcBorders>
              <w:bottom w:val="single" w:sz="4" w:space="0" w:color="auto"/>
            </w:tcBorders>
            <w:shd w:val="clear" w:color="auto" w:fill="auto"/>
            <w:noWrap/>
          </w:tcPr>
          <w:p w14:paraId="677ABD3A" w14:textId="77777777" w:rsidR="000E482F" w:rsidRPr="0017312F" w:rsidRDefault="000E482F" w:rsidP="004C79C1">
            <w:pPr>
              <w:pStyle w:val="Tabletext1"/>
              <w:spacing w:before="0" w:after="120"/>
            </w:pPr>
            <w:r>
              <w:rPr>
                <w:b/>
              </w:rPr>
              <w:t>C</w:t>
            </w:r>
            <w:r w:rsidRPr="00E228B3">
              <w:rPr>
                <w:b/>
              </w:rPr>
              <w:t>ost per patient</w:t>
            </w:r>
            <w:r>
              <w:rPr>
                <w:b/>
              </w:rPr>
              <w:t xml:space="preserve"> per strategy</w:t>
            </w:r>
          </w:p>
        </w:tc>
        <w:tc>
          <w:tcPr>
            <w:tcW w:w="677" w:type="pct"/>
            <w:tcBorders>
              <w:bottom w:val="single" w:sz="4" w:space="0" w:color="auto"/>
            </w:tcBorders>
            <w:shd w:val="clear" w:color="auto" w:fill="auto"/>
            <w:noWrap/>
          </w:tcPr>
          <w:p w14:paraId="6ABA5447" w14:textId="77777777" w:rsidR="000E482F" w:rsidRPr="0017312F" w:rsidRDefault="000E482F" w:rsidP="004C79C1">
            <w:pPr>
              <w:pStyle w:val="Tabletext1"/>
              <w:spacing w:before="0" w:after="120"/>
              <w:jc w:val="center"/>
              <w:rPr>
                <w:b/>
                <w:bCs/>
              </w:rPr>
            </w:pPr>
            <w:r w:rsidRPr="00E228B3">
              <w:rPr>
                <w:b/>
              </w:rPr>
              <w:t>$8,416</w:t>
            </w:r>
          </w:p>
        </w:tc>
        <w:tc>
          <w:tcPr>
            <w:tcW w:w="677" w:type="pct"/>
            <w:tcBorders>
              <w:bottom w:val="single" w:sz="4" w:space="0" w:color="auto"/>
            </w:tcBorders>
            <w:shd w:val="clear" w:color="auto" w:fill="auto"/>
            <w:noWrap/>
          </w:tcPr>
          <w:p w14:paraId="09400B74" w14:textId="77777777" w:rsidR="000E482F" w:rsidRDefault="000E482F" w:rsidP="004C79C1">
            <w:pPr>
              <w:pStyle w:val="Tabletext1"/>
              <w:spacing w:before="0" w:after="120"/>
              <w:jc w:val="center"/>
              <w:rPr>
                <w:b/>
                <w:bCs/>
              </w:rPr>
            </w:pPr>
            <w:r w:rsidRPr="00E228B3">
              <w:rPr>
                <w:b/>
              </w:rPr>
              <w:t>$8,819</w:t>
            </w:r>
          </w:p>
        </w:tc>
        <w:tc>
          <w:tcPr>
            <w:tcW w:w="675" w:type="pct"/>
            <w:tcBorders>
              <w:bottom w:val="single" w:sz="4" w:space="0" w:color="auto"/>
            </w:tcBorders>
            <w:shd w:val="clear" w:color="auto" w:fill="auto"/>
            <w:noWrap/>
          </w:tcPr>
          <w:p w14:paraId="79040494" w14:textId="77777777" w:rsidR="000E482F" w:rsidRPr="0017312F" w:rsidRDefault="000E482F" w:rsidP="004C79C1">
            <w:pPr>
              <w:pStyle w:val="Tabletext1"/>
              <w:spacing w:before="0" w:after="120"/>
              <w:jc w:val="center"/>
              <w:rPr>
                <w:b/>
                <w:bCs/>
              </w:rPr>
            </w:pPr>
            <w:r w:rsidRPr="00E228B3">
              <w:rPr>
                <w:b/>
              </w:rPr>
              <w:t>$403</w:t>
            </w:r>
          </w:p>
        </w:tc>
      </w:tr>
      <w:tr w:rsidR="000E482F" w:rsidRPr="006F2881" w14:paraId="08B6CAA0" w14:textId="77777777" w:rsidTr="006604AA">
        <w:trPr>
          <w:trHeight w:val="300"/>
        </w:trPr>
        <w:tc>
          <w:tcPr>
            <w:tcW w:w="2972" w:type="pct"/>
            <w:tcBorders>
              <w:bottom w:val="single" w:sz="4" w:space="0" w:color="auto"/>
              <w:right w:val="nil"/>
            </w:tcBorders>
            <w:shd w:val="clear" w:color="auto" w:fill="auto"/>
            <w:noWrap/>
          </w:tcPr>
          <w:p w14:paraId="2646DE54" w14:textId="77777777" w:rsidR="000E482F" w:rsidRPr="006F2881" w:rsidRDefault="000E482F" w:rsidP="004C79C1">
            <w:pPr>
              <w:pStyle w:val="Tabletext1"/>
              <w:spacing w:before="0" w:after="120"/>
              <w:rPr>
                <w:b/>
              </w:rPr>
            </w:pPr>
            <w:r w:rsidRPr="006F2881">
              <w:rPr>
                <w:b/>
              </w:rPr>
              <w:t>Appropriate patient management</w:t>
            </w:r>
          </w:p>
        </w:tc>
        <w:tc>
          <w:tcPr>
            <w:tcW w:w="677" w:type="pct"/>
            <w:tcBorders>
              <w:left w:val="nil"/>
              <w:bottom w:val="single" w:sz="4" w:space="0" w:color="auto"/>
              <w:right w:val="nil"/>
            </w:tcBorders>
            <w:shd w:val="clear" w:color="auto" w:fill="auto"/>
            <w:noWrap/>
          </w:tcPr>
          <w:p w14:paraId="07CC074C" w14:textId="77777777" w:rsidR="000E482F" w:rsidRPr="006F2881" w:rsidRDefault="000E482F" w:rsidP="004C79C1">
            <w:pPr>
              <w:pStyle w:val="Tabletext1"/>
              <w:spacing w:before="0" w:after="120"/>
              <w:rPr>
                <w:b/>
                <w:bCs/>
              </w:rPr>
            </w:pPr>
          </w:p>
        </w:tc>
        <w:tc>
          <w:tcPr>
            <w:tcW w:w="677" w:type="pct"/>
            <w:tcBorders>
              <w:left w:val="nil"/>
              <w:bottom w:val="single" w:sz="4" w:space="0" w:color="auto"/>
              <w:right w:val="nil"/>
            </w:tcBorders>
            <w:shd w:val="clear" w:color="auto" w:fill="auto"/>
            <w:noWrap/>
          </w:tcPr>
          <w:p w14:paraId="3940ACBA" w14:textId="77777777" w:rsidR="000E482F" w:rsidRPr="006F2881" w:rsidRDefault="000E482F" w:rsidP="004C79C1">
            <w:pPr>
              <w:pStyle w:val="Tabletext1"/>
              <w:spacing w:before="0" w:after="120"/>
              <w:rPr>
                <w:b/>
                <w:bCs/>
              </w:rPr>
            </w:pPr>
          </w:p>
        </w:tc>
        <w:tc>
          <w:tcPr>
            <w:tcW w:w="675" w:type="pct"/>
            <w:tcBorders>
              <w:left w:val="nil"/>
              <w:bottom w:val="single" w:sz="4" w:space="0" w:color="auto"/>
            </w:tcBorders>
            <w:shd w:val="clear" w:color="auto" w:fill="auto"/>
            <w:noWrap/>
          </w:tcPr>
          <w:p w14:paraId="012F254E" w14:textId="77777777" w:rsidR="000E482F" w:rsidRPr="006F2881" w:rsidRDefault="000E482F" w:rsidP="004C79C1">
            <w:pPr>
              <w:pStyle w:val="Tabletext1"/>
              <w:spacing w:before="0" w:after="120"/>
              <w:rPr>
                <w:b/>
                <w:bCs/>
              </w:rPr>
            </w:pPr>
          </w:p>
        </w:tc>
      </w:tr>
      <w:tr w:rsidR="000E482F" w:rsidRPr="00962B5C" w14:paraId="23597A5D" w14:textId="77777777" w:rsidTr="006604AA">
        <w:trPr>
          <w:trHeight w:val="300"/>
        </w:trPr>
        <w:tc>
          <w:tcPr>
            <w:tcW w:w="2972" w:type="pct"/>
            <w:tcBorders>
              <w:top w:val="single" w:sz="4" w:space="0" w:color="auto"/>
              <w:bottom w:val="nil"/>
              <w:right w:val="single" w:sz="4" w:space="0" w:color="auto"/>
            </w:tcBorders>
            <w:shd w:val="clear" w:color="auto" w:fill="auto"/>
            <w:noWrap/>
          </w:tcPr>
          <w:p w14:paraId="678812D2" w14:textId="77777777" w:rsidR="000E482F" w:rsidRPr="00962B5C" w:rsidRDefault="000E482F" w:rsidP="004C79C1">
            <w:pPr>
              <w:pStyle w:val="Tabletext1"/>
              <w:spacing w:before="0" w:after="120"/>
              <w:ind w:left="567"/>
            </w:pPr>
            <w:r w:rsidRPr="00962B5C">
              <w:t>Total appropriate devices planned</w:t>
            </w:r>
          </w:p>
        </w:tc>
        <w:tc>
          <w:tcPr>
            <w:tcW w:w="677" w:type="pct"/>
            <w:tcBorders>
              <w:top w:val="single" w:sz="4" w:space="0" w:color="auto"/>
              <w:left w:val="single" w:sz="4" w:space="0" w:color="auto"/>
              <w:bottom w:val="nil"/>
              <w:right w:val="single" w:sz="4" w:space="0" w:color="auto"/>
            </w:tcBorders>
            <w:shd w:val="clear" w:color="auto" w:fill="auto"/>
            <w:noWrap/>
          </w:tcPr>
          <w:p w14:paraId="6A46FE8E" w14:textId="77777777" w:rsidR="000E482F" w:rsidRPr="00962B5C" w:rsidRDefault="000E482F" w:rsidP="004C79C1">
            <w:pPr>
              <w:pStyle w:val="Tabletext1"/>
              <w:tabs>
                <w:tab w:val="decimal" w:pos="377"/>
              </w:tabs>
              <w:spacing w:before="0" w:after="120"/>
              <w:jc w:val="center"/>
              <w:rPr>
                <w:bCs/>
              </w:rPr>
            </w:pPr>
            <w:r w:rsidRPr="00962B5C">
              <w:rPr>
                <w:iCs/>
              </w:rPr>
              <w:t>11.4%</w:t>
            </w:r>
          </w:p>
        </w:tc>
        <w:tc>
          <w:tcPr>
            <w:tcW w:w="677" w:type="pct"/>
            <w:tcBorders>
              <w:top w:val="single" w:sz="4" w:space="0" w:color="auto"/>
              <w:left w:val="single" w:sz="4" w:space="0" w:color="auto"/>
              <w:bottom w:val="nil"/>
              <w:right w:val="single" w:sz="4" w:space="0" w:color="auto"/>
            </w:tcBorders>
            <w:shd w:val="clear" w:color="auto" w:fill="auto"/>
            <w:noWrap/>
          </w:tcPr>
          <w:p w14:paraId="40A08446" w14:textId="77777777" w:rsidR="000E482F" w:rsidRPr="00962B5C" w:rsidRDefault="000E482F" w:rsidP="004C79C1">
            <w:pPr>
              <w:pStyle w:val="Tabletext1"/>
              <w:tabs>
                <w:tab w:val="decimal" w:pos="522"/>
              </w:tabs>
              <w:spacing w:before="0" w:after="120"/>
              <w:jc w:val="center"/>
              <w:rPr>
                <w:bCs/>
              </w:rPr>
            </w:pPr>
            <w:r w:rsidRPr="00962B5C">
              <w:rPr>
                <w:iCs/>
              </w:rPr>
              <w:t>15.8%</w:t>
            </w:r>
          </w:p>
        </w:tc>
        <w:tc>
          <w:tcPr>
            <w:tcW w:w="675" w:type="pct"/>
            <w:tcBorders>
              <w:top w:val="single" w:sz="4" w:space="0" w:color="auto"/>
              <w:left w:val="single" w:sz="4" w:space="0" w:color="auto"/>
              <w:bottom w:val="nil"/>
            </w:tcBorders>
            <w:shd w:val="clear" w:color="auto" w:fill="auto"/>
            <w:noWrap/>
          </w:tcPr>
          <w:p w14:paraId="68FF407A" w14:textId="77777777" w:rsidR="000E482F" w:rsidRPr="00962B5C" w:rsidRDefault="000E482F" w:rsidP="004C79C1">
            <w:pPr>
              <w:pStyle w:val="Tabletext1"/>
              <w:tabs>
                <w:tab w:val="decimal" w:pos="532"/>
              </w:tabs>
              <w:spacing w:before="0" w:after="120"/>
              <w:jc w:val="center"/>
              <w:rPr>
                <w:bCs/>
              </w:rPr>
            </w:pPr>
            <w:r w:rsidRPr="00962B5C">
              <w:rPr>
                <w:iCs/>
              </w:rPr>
              <w:t>4.5%</w:t>
            </w:r>
          </w:p>
        </w:tc>
      </w:tr>
      <w:tr w:rsidR="000E482F" w:rsidRPr="0017312F" w14:paraId="35165BBE" w14:textId="77777777" w:rsidTr="006604AA">
        <w:trPr>
          <w:trHeight w:val="300"/>
        </w:trPr>
        <w:tc>
          <w:tcPr>
            <w:tcW w:w="2972" w:type="pct"/>
            <w:tcBorders>
              <w:top w:val="nil"/>
              <w:bottom w:val="nil"/>
            </w:tcBorders>
            <w:shd w:val="clear" w:color="auto" w:fill="auto"/>
            <w:noWrap/>
          </w:tcPr>
          <w:p w14:paraId="3AB806CB" w14:textId="77777777" w:rsidR="000E482F" w:rsidRPr="00CA024A" w:rsidRDefault="000E482F" w:rsidP="004C79C1">
            <w:pPr>
              <w:pStyle w:val="Tabletext1"/>
              <w:spacing w:before="0" w:after="120"/>
              <w:ind w:left="567"/>
            </w:pPr>
            <w:r w:rsidRPr="00CA024A">
              <w:t>Total appropriate surgeries planned</w:t>
            </w:r>
          </w:p>
        </w:tc>
        <w:tc>
          <w:tcPr>
            <w:tcW w:w="677" w:type="pct"/>
            <w:tcBorders>
              <w:top w:val="nil"/>
              <w:bottom w:val="nil"/>
            </w:tcBorders>
            <w:shd w:val="clear" w:color="auto" w:fill="auto"/>
            <w:noWrap/>
          </w:tcPr>
          <w:p w14:paraId="40E97EC0" w14:textId="77777777" w:rsidR="000E482F" w:rsidRPr="00CA024A" w:rsidRDefault="000E482F" w:rsidP="004C79C1">
            <w:pPr>
              <w:pStyle w:val="Tabletext1"/>
              <w:tabs>
                <w:tab w:val="decimal" w:pos="377"/>
              </w:tabs>
              <w:spacing w:before="0" w:after="120"/>
              <w:jc w:val="center"/>
              <w:rPr>
                <w:bCs/>
              </w:rPr>
            </w:pPr>
            <w:r w:rsidRPr="00CA024A">
              <w:rPr>
                <w:iCs/>
              </w:rPr>
              <w:t>0.7%</w:t>
            </w:r>
          </w:p>
        </w:tc>
        <w:tc>
          <w:tcPr>
            <w:tcW w:w="677" w:type="pct"/>
            <w:tcBorders>
              <w:top w:val="nil"/>
              <w:bottom w:val="nil"/>
            </w:tcBorders>
            <w:shd w:val="clear" w:color="auto" w:fill="auto"/>
            <w:noWrap/>
          </w:tcPr>
          <w:p w14:paraId="58B05FE5" w14:textId="77777777" w:rsidR="000E482F" w:rsidRPr="00CA024A" w:rsidRDefault="000E482F" w:rsidP="004C79C1">
            <w:pPr>
              <w:pStyle w:val="Tabletext1"/>
              <w:tabs>
                <w:tab w:val="decimal" w:pos="522"/>
              </w:tabs>
              <w:spacing w:before="0" w:after="120"/>
              <w:jc w:val="center"/>
              <w:rPr>
                <w:bCs/>
              </w:rPr>
            </w:pPr>
            <w:r w:rsidRPr="00CA024A">
              <w:rPr>
                <w:iCs/>
              </w:rPr>
              <w:t>2.2%</w:t>
            </w:r>
          </w:p>
        </w:tc>
        <w:tc>
          <w:tcPr>
            <w:tcW w:w="675" w:type="pct"/>
            <w:tcBorders>
              <w:top w:val="nil"/>
              <w:bottom w:val="nil"/>
            </w:tcBorders>
            <w:shd w:val="clear" w:color="auto" w:fill="auto"/>
            <w:noWrap/>
          </w:tcPr>
          <w:p w14:paraId="015BAD5C" w14:textId="77777777" w:rsidR="000E482F" w:rsidRPr="00CA024A" w:rsidRDefault="000E482F" w:rsidP="004C79C1">
            <w:pPr>
              <w:pStyle w:val="Tabletext1"/>
              <w:tabs>
                <w:tab w:val="decimal" w:pos="532"/>
              </w:tabs>
              <w:spacing w:before="0" w:after="120"/>
              <w:jc w:val="center"/>
              <w:rPr>
                <w:bCs/>
              </w:rPr>
            </w:pPr>
            <w:r w:rsidRPr="00CA024A">
              <w:rPr>
                <w:iCs/>
              </w:rPr>
              <w:t>1.6%</w:t>
            </w:r>
          </w:p>
        </w:tc>
      </w:tr>
      <w:tr w:rsidR="000E482F" w:rsidRPr="0017312F" w14:paraId="330011B5" w14:textId="77777777" w:rsidTr="006604AA">
        <w:trPr>
          <w:trHeight w:val="300"/>
        </w:trPr>
        <w:tc>
          <w:tcPr>
            <w:tcW w:w="2972" w:type="pct"/>
            <w:tcBorders>
              <w:top w:val="nil"/>
              <w:bottom w:val="nil"/>
            </w:tcBorders>
            <w:shd w:val="clear" w:color="auto" w:fill="auto"/>
            <w:noWrap/>
          </w:tcPr>
          <w:p w14:paraId="35CA6024" w14:textId="77777777" w:rsidR="000E482F" w:rsidRPr="00D33B26" w:rsidRDefault="000E482F" w:rsidP="004C79C1">
            <w:pPr>
              <w:pStyle w:val="Tabletext1"/>
              <w:spacing w:before="0" w:after="120"/>
              <w:ind w:left="567"/>
            </w:pPr>
            <w:r w:rsidRPr="00D33B26">
              <w:rPr>
                <w:bCs/>
              </w:rPr>
              <w:t>No devices or surgeries planned (appropriate)</w:t>
            </w:r>
          </w:p>
        </w:tc>
        <w:tc>
          <w:tcPr>
            <w:tcW w:w="677" w:type="pct"/>
            <w:tcBorders>
              <w:top w:val="nil"/>
              <w:bottom w:val="nil"/>
            </w:tcBorders>
            <w:shd w:val="clear" w:color="auto" w:fill="auto"/>
            <w:noWrap/>
          </w:tcPr>
          <w:p w14:paraId="2FD71B6F" w14:textId="77777777" w:rsidR="000E482F" w:rsidRPr="00D33B26" w:rsidRDefault="000E482F" w:rsidP="004C79C1">
            <w:pPr>
              <w:pStyle w:val="Tabletext1"/>
              <w:tabs>
                <w:tab w:val="decimal" w:pos="377"/>
              </w:tabs>
              <w:spacing w:before="0" w:after="120"/>
              <w:jc w:val="center"/>
              <w:rPr>
                <w:iCs/>
              </w:rPr>
            </w:pPr>
            <w:r w:rsidRPr="00D33B26">
              <w:rPr>
                <w:bCs/>
              </w:rPr>
              <w:t>75.2%</w:t>
            </w:r>
          </w:p>
        </w:tc>
        <w:tc>
          <w:tcPr>
            <w:tcW w:w="677" w:type="pct"/>
            <w:tcBorders>
              <w:top w:val="nil"/>
              <w:bottom w:val="nil"/>
            </w:tcBorders>
            <w:shd w:val="clear" w:color="auto" w:fill="auto"/>
            <w:noWrap/>
          </w:tcPr>
          <w:p w14:paraId="6A444517" w14:textId="77777777" w:rsidR="000E482F" w:rsidRPr="00D33B26" w:rsidRDefault="000E482F" w:rsidP="004C79C1">
            <w:pPr>
              <w:pStyle w:val="Tabletext1"/>
              <w:tabs>
                <w:tab w:val="decimal" w:pos="522"/>
              </w:tabs>
              <w:spacing w:before="0" w:after="120"/>
              <w:jc w:val="center"/>
              <w:rPr>
                <w:iCs/>
              </w:rPr>
            </w:pPr>
            <w:r w:rsidRPr="00D33B26">
              <w:rPr>
                <w:bCs/>
              </w:rPr>
              <w:t>82.0%</w:t>
            </w:r>
          </w:p>
        </w:tc>
        <w:tc>
          <w:tcPr>
            <w:tcW w:w="675" w:type="pct"/>
            <w:tcBorders>
              <w:top w:val="nil"/>
              <w:bottom w:val="nil"/>
            </w:tcBorders>
            <w:shd w:val="clear" w:color="auto" w:fill="auto"/>
            <w:noWrap/>
          </w:tcPr>
          <w:p w14:paraId="581B8667" w14:textId="77777777" w:rsidR="000E482F" w:rsidRPr="00D33B26" w:rsidRDefault="000E482F" w:rsidP="004C79C1">
            <w:pPr>
              <w:pStyle w:val="Tabletext1"/>
              <w:tabs>
                <w:tab w:val="decimal" w:pos="532"/>
              </w:tabs>
              <w:spacing w:before="0" w:after="120"/>
              <w:jc w:val="center"/>
              <w:rPr>
                <w:iCs/>
              </w:rPr>
            </w:pPr>
            <w:r w:rsidRPr="00D33B26">
              <w:rPr>
                <w:bCs/>
              </w:rPr>
              <w:t>6.8%</w:t>
            </w:r>
          </w:p>
        </w:tc>
      </w:tr>
      <w:tr w:rsidR="000E482F" w:rsidRPr="0017312F" w14:paraId="33C69715" w14:textId="77777777" w:rsidTr="006604AA">
        <w:trPr>
          <w:trHeight w:val="300"/>
        </w:trPr>
        <w:tc>
          <w:tcPr>
            <w:tcW w:w="2972" w:type="pct"/>
            <w:tcBorders>
              <w:top w:val="nil"/>
              <w:bottom w:val="single" w:sz="4" w:space="0" w:color="auto"/>
            </w:tcBorders>
            <w:shd w:val="clear" w:color="auto" w:fill="auto"/>
            <w:noWrap/>
          </w:tcPr>
          <w:p w14:paraId="24B42300" w14:textId="77777777" w:rsidR="000E482F" w:rsidRPr="00CA024A" w:rsidRDefault="000E482F" w:rsidP="004C79C1">
            <w:pPr>
              <w:pStyle w:val="Tabletext1"/>
              <w:spacing w:before="0" w:after="120"/>
              <w:rPr>
                <w:bCs/>
                <w:i/>
              </w:rPr>
            </w:pPr>
            <w:r w:rsidRPr="00CA024A">
              <w:rPr>
                <w:bCs/>
                <w:i/>
              </w:rPr>
              <w:t>Total appropriate patient management plans</w:t>
            </w:r>
          </w:p>
        </w:tc>
        <w:tc>
          <w:tcPr>
            <w:tcW w:w="677" w:type="pct"/>
            <w:tcBorders>
              <w:top w:val="nil"/>
              <w:bottom w:val="single" w:sz="4" w:space="0" w:color="auto"/>
            </w:tcBorders>
            <w:shd w:val="clear" w:color="auto" w:fill="auto"/>
            <w:noWrap/>
          </w:tcPr>
          <w:p w14:paraId="2DAF6D1A" w14:textId="77777777" w:rsidR="000E482F" w:rsidRPr="00CA024A" w:rsidRDefault="000E482F" w:rsidP="004C79C1">
            <w:pPr>
              <w:pStyle w:val="Tabletext1"/>
              <w:tabs>
                <w:tab w:val="decimal" w:pos="377"/>
              </w:tabs>
              <w:spacing w:before="0" w:after="120"/>
              <w:jc w:val="center"/>
              <w:rPr>
                <w:bCs/>
                <w:i/>
              </w:rPr>
            </w:pPr>
            <w:r w:rsidRPr="00CA024A">
              <w:rPr>
                <w:i/>
              </w:rPr>
              <w:t>87.2%</w:t>
            </w:r>
          </w:p>
        </w:tc>
        <w:tc>
          <w:tcPr>
            <w:tcW w:w="677" w:type="pct"/>
            <w:tcBorders>
              <w:top w:val="nil"/>
              <w:bottom w:val="single" w:sz="4" w:space="0" w:color="auto"/>
            </w:tcBorders>
            <w:shd w:val="clear" w:color="auto" w:fill="auto"/>
            <w:noWrap/>
          </w:tcPr>
          <w:p w14:paraId="3DF93777" w14:textId="77777777" w:rsidR="000E482F" w:rsidRPr="00CA024A" w:rsidRDefault="000E482F" w:rsidP="004C79C1">
            <w:pPr>
              <w:pStyle w:val="Tabletext1"/>
              <w:tabs>
                <w:tab w:val="decimal" w:pos="522"/>
              </w:tabs>
              <w:spacing w:before="0" w:after="120"/>
              <w:jc w:val="center"/>
              <w:rPr>
                <w:bCs/>
                <w:i/>
              </w:rPr>
            </w:pPr>
            <w:r w:rsidRPr="00CA024A">
              <w:rPr>
                <w:i/>
              </w:rPr>
              <w:t>100.0%</w:t>
            </w:r>
          </w:p>
        </w:tc>
        <w:tc>
          <w:tcPr>
            <w:tcW w:w="675" w:type="pct"/>
            <w:tcBorders>
              <w:top w:val="nil"/>
              <w:bottom w:val="single" w:sz="4" w:space="0" w:color="auto"/>
            </w:tcBorders>
            <w:shd w:val="clear" w:color="auto" w:fill="auto"/>
            <w:noWrap/>
          </w:tcPr>
          <w:p w14:paraId="1CD1B2D7" w14:textId="77777777" w:rsidR="000E482F" w:rsidRPr="00CA024A" w:rsidRDefault="000E482F" w:rsidP="004C79C1">
            <w:pPr>
              <w:pStyle w:val="Tabletext1"/>
              <w:tabs>
                <w:tab w:val="decimal" w:pos="532"/>
              </w:tabs>
              <w:spacing w:before="0" w:after="120"/>
              <w:jc w:val="center"/>
              <w:rPr>
                <w:bCs/>
                <w:i/>
              </w:rPr>
            </w:pPr>
            <w:r w:rsidRPr="00CA024A">
              <w:rPr>
                <w:i/>
              </w:rPr>
              <w:t>12.8%</w:t>
            </w:r>
          </w:p>
        </w:tc>
      </w:tr>
      <w:tr w:rsidR="000E482F" w:rsidRPr="00005EE7" w14:paraId="4A511613" w14:textId="77777777" w:rsidTr="006604AA">
        <w:trPr>
          <w:trHeight w:val="300"/>
        </w:trPr>
        <w:tc>
          <w:tcPr>
            <w:tcW w:w="2972" w:type="pct"/>
            <w:tcBorders>
              <w:top w:val="single" w:sz="4" w:space="0" w:color="auto"/>
              <w:bottom w:val="single" w:sz="4" w:space="0" w:color="auto"/>
              <w:right w:val="nil"/>
            </w:tcBorders>
            <w:shd w:val="clear" w:color="auto" w:fill="auto"/>
            <w:noWrap/>
          </w:tcPr>
          <w:p w14:paraId="649EC436" w14:textId="77777777" w:rsidR="000E482F" w:rsidRPr="00005EE7" w:rsidRDefault="000E482F" w:rsidP="004C79C1">
            <w:pPr>
              <w:pStyle w:val="Tabletext1"/>
              <w:spacing w:before="0" w:after="120"/>
              <w:rPr>
                <w:bCs/>
              </w:rPr>
            </w:pPr>
            <w:r w:rsidRPr="00005EE7">
              <w:rPr>
                <w:b/>
              </w:rPr>
              <w:t xml:space="preserve">Incremental cost per </w:t>
            </w:r>
            <w:r>
              <w:rPr>
                <w:b/>
              </w:rPr>
              <w:t xml:space="preserve">additional </w:t>
            </w:r>
            <w:r w:rsidRPr="00005EE7">
              <w:rPr>
                <w:b/>
              </w:rPr>
              <w:t>appropriate procedure planned</w:t>
            </w:r>
          </w:p>
        </w:tc>
        <w:tc>
          <w:tcPr>
            <w:tcW w:w="677" w:type="pct"/>
            <w:tcBorders>
              <w:top w:val="single" w:sz="4" w:space="0" w:color="auto"/>
              <w:left w:val="nil"/>
              <w:bottom w:val="single" w:sz="4" w:space="0" w:color="auto"/>
              <w:right w:val="nil"/>
            </w:tcBorders>
            <w:shd w:val="clear" w:color="auto" w:fill="auto"/>
            <w:noWrap/>
          </w:tcPr>
          <w:p w14:paraId="39DA45AD" w14:textId="77777777" w:rsidR="000E482F" w:rsidRPr="00005EE7" w:rsidRDefault="000E482F" w:rsidP="004C79C1">
            <w:pPr>
              <w:pStyle w:val="Tabletext1"/>
              <w:tabs>
                <w:tab w:val="decimal" w:pos="377"/>
              </w:tabs>
              <w:spacing w:before="0" w:after="120"/>
              <w:jc w:val="center"/>
            </w:pPr>
          </w:p>
        </w:tc>
        <w:tc>
          <w:tcPr>
            <w:tcW w:w="677" w:type="pct"/>
            <w:tcBorders>
              <w:top w:val="single" w:sz="4" w:space="0" w:color="auto"/>
              <w:left w:val="nil"/>
              <w:bottom w:val="single" w:sz="4" w:space="0" w:color="auto"/>
              <w:right w:val="single" w:sz="4" w:space="0" w:color="auto"/>
            </w:tcBorders>
            <w:shd w:val="clear" w:color="auto" w:fill="auto"/>
            <w:noWrap/>
          </w:tcPr>
          <w:p w14:paraId="05AFD392" w14:textId="77777777" w:rsidR="000E482F" w:rsidRPr="00005EE7" w:rsidRDefault="000E482F" w:rsidP="004C79C1">
            <w:pPr>
              <w:pStyle w:val="Tabletext1"/>
              <w:tabs>
                <w:tab w:val="decimal" w:pos="522"/>
              </w:tabs>
              <w:spacing w:before="0" w:after="120"/>
              <w:jc w:val="center"/>
            </w:pPr>
          </w:p>
        </w:tc>
        <w:tc>
          <w:tcPr>
            <w:tcW w:w="675" w:type="pct"/>
            <w:tcBorders>
              <w:top w:val="single" w:sz="4" w:space="0" w:color="auto"/>
              <w:left w:val="single" w:sz="4" w:space="0" w:color="auto"/>
              <w:bottom w:val="single" w:sz="4" w:space="0" w:color="auto"/>
            </w:tcBorders>
            <w:shd w:val="clear" w:color="auto" w:fill="auto"/>
            <w:noWrap/>
          </w:tcPr>
          <w:p w14:paraId="455433B9" w14:textId="77777777" w:rsidR="000E482F" w:rsidRPr="003937DF" w:rsidRDefault="000E482F" w:rsidP="004C79C1">
            <w:pPr>
              <w:pStyle w:val="Tabletext1"/>
              <w:tabs>
                <w:tab w:val="decimal" w:pos="532"/>
              </w:tabs>
              <w:spacing w:before="0" w:after="120"/>
              <w:jc w:val="center"/>
              <w:rPr>
                <w:b/>
              </w:rPr>
            </w:pPr>
            <w:r w:rsidRPr="003937DF">
              <w:rPr>
                <w:b/>
              </w:rPr>
              <w:t>$6,710</w:t>
            </w:r>
          </w:p>
        </w:tc>
      </w:tr>
      <w:tr w:rsidR="000E482F" w:rsidRPr="00005EE7" w14:paraId="7C8E0838" w14:textId="77777777" w:rsidTr="006604AA">
        <w:trPr>
          <w:trHeight w:val="300"/>
        </w:trPr>
        <w:tc>
          <w:tcPr>
            <w:tcW w:w="2972" w:type="pct"/>
            <w:tcBorders>
              <w:bottom w:val="single" w:sz="4" w:space="0" w:color="auto"/>
              <w:right w:val="nil"/>
            </w:tcBorders>
            <w:shd w:val="clear" w:color="auto" w:fill="auto"/>
            <w:noWrap/>
          </w:tcPr>
          <w:p w14:paraId="23C8B6E3" w14:textId="77777777" w:rsidR="000E482F" w:rsidRPr="00005EE7" w:rsidRDefault="000E482F" w:rsidP="004C79C1">
            <w:pPr>
              <w:pStyle w:val="Tabletext1"/>
              <w:spacing w:before="0" w:after="120"/>
              <w:rPr>
                <w:bCs/>
                <w:i/>
              </w:rPr>
            </w:pPr>
            <w:r w:rsidRPr="00005EE7">
              <w:rPr>
                <w:i/>
              </w:rPr>
              <w:t xml:space="preserve">Incremental cost per </w:t>
            </w:r>
            <w:r>
              <w:rPr>
                <w:i/>
              </w:rPr>
              <w:t xml:space="preserve">additional </w:t>
            </w:r>
            <w:r w:rsidRPr="00005EE7">
              <w:rPr>
                <w:i/>
              </w:rPr>
              <w:t>appropriate implantable device planned</w:t>
            </w:r>
          </w:p>
        </w:tc>
        <w:tc>
          <w:tcPr>
            <w:tcW w:w="677" w:type="pct"/>
            <w:tcBorders>
              <w:left w:val="nil"/>
              <w:bottom w:val="single" w:sz="4" w:space="0" w:color="auto"/>
              <w:right w:val="nil"/>
            </w:tcBorders>
            <w:shd w:val="clear" w:color="auto" w:fill="auto"/>
            <w:noWrap/>
          </w:tcPr>
          <w:p w14:paraId="661CF017" w14:textId="77777777" w:rsidR="000E482F" w:rsidRPr="00005EE7" w:rsidRDefault="000E482F" w:rsidP="004C79C1">
            <w:pPr>
              <w:pStyle w:val="Tabletext1"/>
              <w:tabs>
                <w:tab w:val="decimal" w:pos="377"/>
              </w:tabs>
              <w:spacing w:before="0" w:after="120"/>
              <w:jc w:val="center"/>
              <w:rPr>
                <w:i/>
              </w:rPr>
            </w:pPr>
          </w:p>
        </w:tc>
        <w:tc>
          <w:tcPr>
            <w:tcW w:w="677" w:type="pct"/>
            <w:tcBorders>
              <w:left w:val="nil"/>
              <w:bottom w:val="single" w:sz="4" w:space="0" w:color="auto"/>
              <w:right w:val="single" w:sz="4" w:space="0" w:color="auto"/>
            </w:tcBorders>
            <w:shd w:val="clear" w:color="auto" w:fill="auto"/>
            <w:noWrap/>
          </w:tcPr>
          <w:p w14:paraId="7F338316" w14:textId="77777777" w:rsidR="000E482F" w:rsidRPr="00005EE7" w:rsidRDefault="000E482F" w:rsidP="004C79C1">
            <w:pPr>
              <w:pStyle w:val="Tabletext1"/>
              <w:tabs>
                <w:tab w:val="decimal" w:pos="522"/>
              </w:tabs>
              <w:spacing w:before="0" w:after="120"/>
              <w:jc w:val="center"/>
              <w:rPr>
                <w:i/>
              </w:rPr>
            </w:pPr>
          </w:p>
        </w:tc>
        <w:tc>
          <w:tcPr>
            <w:tcW w:w="675" w:type="pct"/>
            <w:tcBorders>
              <w:left w:val="single" w:sz="4" w:space="0" w:color="auto"/>
              <w:bottom w:val="single" w:sz="4" w:space="0" w:color="auto"/>
            </w:tcBorders>
            <w:shd w:val="clear" w:color="auto" w:fill="auto"/>
            <w:noWrap/>
          </w:tcPr>
          <w:p w14:paraId="7638CFEF" w14:textId="77777777" w:rsidR="000E482F" w:rsidRPr="00005EE7" w:rsidRDefault="000E482F" w:rsidP="004C79C1">
            <w:pPr>
              <w:pStyle w:val="Tabletext1"/>
              <w:tabs>
                <w:tab w:val="decimal" w:pos="532"/>
              </w:tabs>
              <w:spacing w:before="0" w:after="120"/>
              <w:jc w:val="center"/>
              <w:rPr>
                <w:i/>
              </w:rPr>
            </w:pPr>
            <w:r w:rsidRPr="00B772DB">
              <w:t>$9,062</w:t>
            </w:r>
          </w:p>
        </w:tc>
      </w:tr>
      <w:tr w:rsidR="000E482F" w:rsidRPr="00005EE7" w14:paraId="4A1F07B5" w14:textId="77777777" w:rsidTr="006604AA">
        <w:trPr>
          <w:trHeight w:val="300"/>
        </w:trPr>
        <w:tc>
          <w:tcPr>
            <w:tcW w:w="2972" w:type="pct"/>
            <w:tcBorders>
              <w:top w:val="single" w:sz="4" w:space="0" w:color="auto"/>
              <w:bottom w:val="single" w:sz="4" w:space="0" w:color="auto"/>
              <w:right w:val="nil"/>
            </w:tcBorders>
            <w:shd w:val="clear" w:color="auto" w:fill="auto"/>
            <w:noWrap/>
          </w:tcPr>
          <w:p w14:paraId="6FDE4B0B" w14:textId="77777777" w:rsidR="000E482F" w:rsidRPr="00005EE7" w:rsidRDefault="000E482F" w:rsidP="004C79C1">
            <w:pPr>
              <w:pStyle w:val="Tabletext1"/>
              <w:spacing w:before="0" w:after="120"/>
              <w:rPr>
                <w:bCs/>
                <w:i/>
              </w:rPr>
            </w:pPr>
            <w:r w:rsidRPr="00005EE7">
              <w:rPr>
                <w:i/>
              </w:rPr>
              <w:t xml:space="preserve">Incremental cost per </w:t>
            </w:r>
            <w:r>
              <w:rPr>
                <w:i/>
              </w:rPr>
              <w:t xml:space="preserve">additional </w:t>
            </w:r>
            <w:r w:rsidRPr="00005EE7">
              <w:rPr>
                <w:i/>
              </w:rPr>
              <w:t>appropriate cardiac surgery planned</w:t>
            </w:r>
          </w:p>
        </w:tc>
        <w:tc>
          <w:tcPr>
            <w:tcW w:w="677" w:type="pct"/>
            <w:tcBorders>
              <w:top w:val="single" w:sz="4" w:space="0" w:color="auto"/>
              <w:left w:val="nil"/>
              <w:bottom w:val="single" w:sz="4" w:space="0" w:color="auto"/>
              <w:right w:val="nil"/>
            </w:tcBorders>
            <w:shd w:val="clear" w:color="auto" w:fill="auto"/>
            <w:noWrap/>
          </w:tcPr>
          <w:p w14:paraId="3DF1EB31" w14:textId="77777777" w:rsidR="000E482F" w:rsidRPr="00005EE7" w:rsidRDefault="000E482F" w:rsidP="004C79C1">
            <w:pPr>
              <w:pStyle w:val="Tabletext1"/>
              <w:tabs>
                <w:tab w:val="decimal" w:pos="377"/>
              </w:tabs>
              <w:spacing w:before="0" w:after="120"/>
              <w:jc w:val="center"/>
              <w:rPr>
                <w:i/>
              </w:rPr>
            </w:pPr>
          </w:p>
        </w:tc>
        <w:tc>
          <w:tcPr>
            <w:tcW w:w="677" w:type="pct"/>
            <w:tcBorders>
              <w:top w:val="single" w:sz="4" w:space="0" w:color="auto"/>
              <w:left w:val="nil"/>
              <w:bottom w:val="single" w:sz="4" w:space="0" w:color="auto"/>
              <w:right w:val="single" w:sz="4" w:space="0" w:color="auto"/>
            </w:tcBorders>
            <w:shd w:val="clear" w:color="auto" w:fill="auto"/>
            <w:noWrap/>
          </w:tcPr>
          <w:p w14:paraId="04D89CEF" w14:textId="77777777" w:rsidR="000E482F" w:rsidRPr="00005EE7" w:rsidRDefault="000E482F" w:rsidP="004C79C1">
            <w:pPr>
              <w:pStyle w:val="Tabletext1"/>
              <w:tabs>
                <w:tab w:val="decimal" w:pos="522"/>
              </w:tabs>
              <w:spacing w:before="0" w:after="120"/>
              <w:jc w:val="center"/>
              <w:rPr>
                <w:i/>
              </w:rPr>
            </w:pPr>
          </w:p>
        </w:tc>
        <w:tc>
          <w:tcPr>
            <w:tcW w:w="675" w:type="pct"/>
            <w:tcBorders>
              <w:top w:val="single" w:sz="4" w:space="0" w:color="auto"/>
              <w:left w:val="single" w:sz="4" w:space="0" w:color="auto"/>
              <w:bottom w:val="single" w:sz="4" w:space="0" w:color="auto"/>
            </w:tcBorders>
            <w:shd w:val="clear" w:color="auto" w:fill="auto"/>
            <w:noWrap/>
          </w:tcPr>
          <w:p w14:paraId="0509200B" w14:textId="77777777" w:rsidR="000E482F" w:rsidRPr="00005EE7" w:rsidRDefault="000E482F" w:rsidP="004C79C1">
            <w:pPr>
              <w:pStyle w:val="Tabletext1"/>
              <w:tabs>
                <w:tab w:val="decimal" w:pos="532"/>
              </w:tabs>
              <w:spacing w:before="0" w:after="120"/>
              <w:jc w:val="center"/>
              <w:rPr>
                <w:i/>
              </w:rPr>
            </w:pPr>
            <w:r w:rsidRPr="00B772DB">
              <w:t>$25,850</w:t>
            </w:r>
          </w:p>
        </w:tc>
      </w:tr>
      <w:tr w:rsidR="000E482F" w:rsidRPr="0017312F" w14:paraId="40616E40" w14:textId="77777777" w:rsidTr="006604AA">
        <w:trPr>
          <w:trHeight w:val="300"/>
        </w:trPr>
        <w:tc>
          <w:tcPr>
            <w:tcW w:w="2972" w:type="pct"/>
            <w:tcBorders>
              <w:top w:val="single" w:sz="4" w:space="0" w:color="auto"/>
              <w:bottom w:val="double" w:sz="4" w:space="0" w:color="auto"/>
              <w:right w:val="nil"/>
            </w:tcBorders>
            <w:shd w:val="clear" w:color="auto" w:fill="auto"/>
            <w:noWrap/>
          </w:tcPr>
          <w:p w14:paraId="2377900F" w14:textId="77777777" w:rsidR="000E482F" w:rsidRPr="00CA024A" w:rsidRDefault="000E482F" w:rsidP="004C79C1">
            <w:pPr>
              <w:pStyle w:val="Tabletext1"/>
              <w:spacing w:before="0" w:after="120"/>
              <w:rPr>
                <w:bCs/>
              </w:rPr>
            </w:pPr>
            <w:r>
              <w:rPr>
                <w:b/>
              </w:rPr>
              <w:t>Incremental cost per additional a</w:t>
            </w:r>
            <w:r w:rsidRPr="006F2881">
              <w:rPr>
                <w:b/>
              </w:rPr>
              <w:t>ppropriate patient management</w:t>
            </w:r>
          </w:p>
        </w:tc>
        <w:tc>
          <w:tcPr>
            <w:tcW w:w="677" w:type="pct"/>
            <w:tcBorders>
              <w:top w:val="single" w:sz="4" w:space="0" w:color="auto"/>
              <w:left w:val="nil"/>
              <w:bottom w:val="double" w:sz="4" w:space="0" w:color="auto"/>
              <w:right w:val="nil"/>
            </w:tcBorders>
            <w:shd w:val="clear" w:color="auto" w:fill="auto"/>
            <w:noWrap/>
          </w:tcPr>
          <w:p w14:paraId="3CDE591B" w14:textId="77777777" w:rsidR="000E482F" w:rsidRPr="00CA024A" w:rsidRDefault="000E482F" w:rsidP="004C79C1">
            <w:pPr>
              <w:pStyle w:val="Tabletext1"/>
              <w:tabs>
                <w:tab w:val="decimal" w:pos="377"/>
              </w:tabs>
              <w:spacing w:before="0" w:after="120"/>
              <w:jc w:val="center"/>
            </w:pPr>
          </w:p>
        </w:tc>
        <w:tc>
          <w:tcPr>
            <w:tcW w:w="677" w:type="pct"/>
            <w:tcBorders>
              <w:top w:val="single" w:sz="4" w:space="0" w:color="auto"/>
              <w:left w:val="nil"/>
              <w:bottom w:val="double" w:sz="4" w:space="0" w:color="auto"/>
              <w:right w:val="single" w:sz="4" w:space="0" w:color="auto"/>
            </w:tcBorders>
            <w:shd w:val="clear" w:color="auto" w:fill="auto"/>
            <w:noWrap/>
          </w:tcPr>
          <w:p w14:paraId="390D297D" w14:textId="77777777" w:rsidR="000E482F" w:rsidRPr="00CA024A" w:rsidRDefault="000E482F" w:rsidP="004C79C1">
            <w:pPr>
              <w:pStyle w:val="Tabletext1"/>
              <w:tabs>
                <w:tab w:val="decimal" w:pos="522"/>
              </w:tabs>
              <w:spacing w:before="0" w:after="120"/>
              <w:jc w:val="center"/>
            </w:pPr>
          </w:p>
        </w:tc>
        <w:tc>
          <w:tcPr>
            <w:tcW w:w="675" w:type="pct"/>
            <w:tcBorders>
              <w:top w:val="single" w:sz="4" w:space="0" w:color="auto"/>
              <w:left w:val="single" w:sz="4" w:space="0" w:color="auto"/>
              <w:bottom w:val="double" w:sz="4" w:space="0" w:color="auto"/>
            </w:tcBorders>
            <w:shd w:val="clear" w:color="auto" w:fill="auto"/>
            <w:noWrap/>
          </w:tcPr>
          <w:p w14:paraId="48FD8198" w14:textId="77777777" w:rsidR="000E482F" w:rsidRPr="003937DF" w:rsidRDefault="000E482F" w:rsidP="004C79C1">
            <w:pPr>
              <w:pStyle w:val="Tabletext1"/>
              <w:tabs>
                <w:tab w:val="decimal" w:pos="532"/>
              </w:tabs>
              <w:spacing w:before="0" w:after="120"/>
              <w:jc w:val="center"/>
              <w:rPr>
                <w:b/>
              </w:rPr>
            </w:pPr>
            <w:r w:rsidRPr="003937DF">
              <w:rPr>
                <w:b/>
              </w:rPr>
              <w:t>$3,160</w:t>
            </w:r>
          </w:p>
        </w:tc>
      </w:tr>
      <w:tr w:rsidR="000E482F" w:rsidRPr="006F2881" w14:paraId="3DA65B6A" w14:textId="77777777" w:rsidTr="006604AA">
        <w:trPr>
          <w:trHeight w:val="300"/>
        </w:trPr>
        <w:tc>
          <w:tcPr>
            <w:tcW w:w="2972" w:type="pct"/>
            <w:tcBorders>
              <w:top w:val="double" w:sz="4" w:space="0" w:color="auto"/>
              <w:bottom w:val="single" w:sz="4" w:space="0" w:color="auto"/>
              <w:right w:val="nil"/>
            </w:tcBorders>
            <w:shd w:val="clear" w:color="auto" w:fill="auto"/>
            <w:noWrap/>
          </w:tcPr>
          <w:p w14:paraId="74CF5268" w14:textId="77777777" w:rsidR="000E482F" w:rsidRPr="006F2881" w:rsidRDefault="000E482F" w:rsidP="004C79C1">
            <w:pPr>
              <w:pStyle w:val="Tabletext1"/>
              <w:spacing w:before="0" w:after="120"/>
              <w:rPr>
                <w:bCs/>
                <w:i/>
              </w:rPr>
            </w:pPr>
            <w:r>
              <w:rPr>
                <w:b/>
              </w:rPr>
              <w:t>Ina</w:t>
            </w:r>
            <w:r w:rsidRPr="006F2881">
              <w:rPr>
                <w:b/>
              </w:rPr>
              <w:t>ppropriate patient management</w:t>
            </w:r>
          </w:p>
        </w:tc>
        <w:tc>
          <w:tcPr>
            <w:tcW w:w="677" w:type="pct"/>
            <w:tcBorders>
              <w:top w:val="double" w:sz="4" w:space="0" w:color="auto"/>
              <w:left w:val="nil"/>
              <w:bottom w:val="single" w:sz="4" w:space="0" w:color="auto"/>
              <w:right w:val="nil"/>
            </w:tcBorders>
            <w:shd w:val="clear" w:color="auto" w:fill="auto"/>
            <w:noWrap/>
          </w:tcPr>
          <w:p w14:paraId="509952B8" w14:textId="77777777" w:rsidR="000E482F" w:rsidRPr="006F2881" w:rsidRDefault="000E482F" w:rsidP="004C79C1">
            <w:pPr>
              <w:pStyle w:val="Tabletext1"/>
              <w:tabs>
                <w:tab w:val="decimal" w:pos="377"/>
              </w:tabs>
              <w:spacing w:before="0" w:after="120"/>
              <w:jc w:val="center"/>
              <w:rPr>
                <w:bCs/>
                <w:i/>
              </w:rPr>
            </w:pPr>
          </w:p>
        </w:tc>
        <w:tc>
          <w:tcPr>
            <w:tcW w:w="677" w:type="pct"/>
            <w:tcBorders>
              <w:top w:val="double" w:sz="4" w:space="0" w:color="auto"/>
              <w:left w:val="nil"/>
              <w:bottom w:val="single" w:sz="4" w:space="0" w:color="auto"/>
              <w:right w:val="nil"/>
            </w:tcBorders>
            <w:shd w:val="clear" w:color="auto" w:fill="auto"/>
            <w:noWrap/>
          </w:tcPr>
          <w:p w14:paraId="25074F43" w14:textId="77777777" w:rsidR="000E482F" w:rsidRPr="006F2881" w:rsidRDefault="000E482F" w:rsidP="004C79C1">
            <w:pPr>
              <w:pStyle w:val="Tabletext1"/>
              <w:tabs>
                <w:tab w:val="decimal" w:pos="522"/>
              </w:tabs>
              <w:spacing w:before="0" w:after="120"/>
              <w:jc w:val="center"/>
              <w:rPr>
                <w:bCs/>
                <w:i/>
              </w:rPr>
            </w:pPr>
          </w:p>
        </w:tc>
        <w:tc>
          <w:tcPr>
            <w:tcW w:w="675" w:type="pct"/>
            <w:tcBorders>
              <w:top w:val="double" w:sz="4" w:space="0" w:color="auto"/>
              <w:left w:val="nil"/>
              <w:bottom w:val="single" w:sz="4" w:space="0" w:color="auto"/>
            </w:tcBorders>
            <w:shd w:val="clear" w:color="auto" w:fill="auto"/>
            <w:noWrap/>
          </w:tcPr>
          <w:p w14:paraId="24787ED4" w14:textId="77777777" w:rsidR="000E482F" w:rsidRPr="006F2881" w:rsidRDefault="000E482F" w:rsidP="004C79C1">
            <w:pPr>
              <w:pStyle w:val="Tabletext1"/>
              <w:tabs>
                <w:tab w:val="decimal" w:pos="532"/>
              </w:tabs>
              <w:spacing w:before="0" w:after="120"/>
              <w:jc w:val="center"/>
              <w:rPr>
                <w:bCs/>
                <w:i/>
              </w:rPr>
            </w:pPr>
          </w:p>
        </w:tc>
      </w:tr>
      <w:tr w:rsidR="000E482F" w:rsidRPr="0017312F" w14:paraId="27FD398A" w14:textId="77777777" w:rsidTr="006604AA">
        <w:trPr>
          <w:trHeight w:val="300"/>
        </w:trPr>
        <w:tc>
          <w:tcPr>
            <w:tcW w:w="2972" w:type="pct"/>
            <w:tcBorders>
              <w:top w:val="nil"/>
              <w:bottom w:val="nil"/>
            </w:tcBorders>
            <w:shd w:val="clear" w:color="auto" w:fill="auto"/>
            <w:noWrap/>
          </w:tcPr>
          <w:p w14:paraId="320DC787" w14:textId="77777777" w:rsidR="000E482F" w:rsidRPr="00D33B26" w:rsidRDefault="000E482F" w:rsidP="004C79C1">
            <w:pPr>
              <w:pStyle w:val="Tabletext1"/>
              <w:spacing w:before="0" w:after="120"/>
              <w:ind w:left="567"/>
              <w:rPr>
                <w:bCs/>
              </w:rPr>
            </w:pPr>
            <w:r w:rsidRPr="00CA024A">
              <w:rPr>
                <w:bCs/>
              </w:rPr>
              <w:t>Total inappropriate devices planned</w:t>
            </w:r>
          </w:p>
        </w:tc>
        <w:tc>
          <w:tcPr>
            <w:tcW w:w="677" w:type="pct"/>
            <w:tcBorders>
              <w:top w:val="nil"/>
              <w:bottom w:val="nil"/>
            </w:tcBorders>
            <w:shd w:val="clear" w:color="auto" w:fill="auto"/>
            <w:noWrap/>
          </w:tcPr>
          <w:p w14:paraId="55AC4D99" w14:textId="77777777" w:rsidR="000E482F" w:rsidRPr="00AB62A8" w:rsidRDefault="000E482F" w:rsidP="004C79C1">
            <w:pPr>
              <w:pStyle w:val="Tabletext1"/>
              <w:tabs>
                <w:tab w:val="decimal" w:pos="377"/>
              </w:tabs>
              <w:spacing w:before="0" w:after="120"/>
              <w:jc w:val="center"/>
              <w:rPr>
                <w:bCs/>
              </w:rPr>
            </w:pPr>
            <w:r w:rsidRPr="00005EE7">
              <w:rPr>
                <w:bCs/>
              </w:rPr>
              <w:t>4.7%</w:t>
            </w:r>
          </w:p>
        </w:tc>
        <w:tc>
          <w:tcPr>
            <w:tcW w:w="677" w:type="pct"/>
            <w:tcBorders>
              <w:top w:val="nil"/>
              <w:bottom w:val="nil"/>
            </w:tcBorders>
            <w:shd w:val="clear" w:color="auto" w:fill="auto"/>
            <w:noWrap/>
          </w:tcPr>
          <w:p w14:paraId="4E29D254" w14:textId="77777777" w:rsidR="000E482F" w:rsidRPr="00AB62A8" w:rsidRDefault="000E482F" w:rsidP="004C79C1">
            <w:pPr>
              <w:pStyle w:val="Tabletext1"/>
              <w:tabs>
                <w:tab w:val="decimal" w:pos="522"/>
              </w:tabs>
              <w:spacing w:before="0" w:after="120"/>
              <w:jc w:val="center"/>
              <w:rPr>
                <w:bCs/>
              </w:rPr>
            </w:pPr>
            <w:r w:rsidRPr="00005EE7">
              <w:rPr>
                <w:bCs/>
              </w:rPr>
              <w:t>0.0%</w:t>
            </w:r>
          </w:p>
        </w:tc>
        <w:tc>
          <w:tcPr>
            <w:tcW w:w="675" w:type="pct"/>
            <w:tcBorders>
              <w:top w:val="nil"/>
              <w:bottom w:val="nil"/>
            </w:tcBorders>
            <w:shd w:val="clear" w:color="auto" w:fill="auto"/>
            <w:noWrap/>
          </w:tcPr>
          <w:p w14:paraId="3576C200" w14:textId="5B1C9F15" w:rsidR="000E482F" w:rsidRPr="00AB62A8" w:rsidRDefault="00015222" w:rsidP="004C79C1">
            <w:pPr>
              <w:pStyle w:val="Tabletext1"/>
              <w:tabs>
                <w:tab w:val="decimal" w:pos="532"/>
              </w:tabs>
              <w:spacing w:before="0" w:after="120"/>
              <w:jc w:val="center"/>
              <w:rPr>
                <w:bCs/>
              </w:rPr>
            </w:pPr>
            <w:r>
              <w:rPr>
                <w:bCs/>
              </w:rPr>
              <w:t>–</w:t>
            </w:r>
            <w:r w:rsidR="000E482F" w:rsidRPr="00005EE7">
              <w:rPr>
                <w:bCs/>
              </w:rPr>
              <w:t>4.7%</w:t>
            </w:r>
          </w:p>
        </w:tc>
      </w:tr>
      <w:tr w:rsidR="000E482F" w:rsidRPr="0017312F" w14:paraId="3B60BAE3" w14:textId="77777777" w:rsidTr="006604AA">
        <w:trPr>
          <w:trHeight w:val="300"/>
        </w:trPr>
        <w:tc>
          <w:tcPr>
            <w:tcW w:w="2972" w:type="pct"/>
            <w:tcBorders>
              <w:top w:val="nil"/>
              <w:bottom w:val="nil"/>
            </w:tcBorders>
            <w:shd w:val="clear" w:color="auto" w:fill="auto"/>
            <w:noWrap/>
            <w:hideMark/>
          </w:tcPr>
          <w:p w14:paraId="38953E2C" w14:textId="77777777" w:rsidR="000E482F" w:rsidRPr="00CA024A" w:rsidRDefault="000E482F" w:rsidP="004C79C1">
            <w:pPr>
              <w:pStyle w:val="Tabletext1"/>
              <w:spacing w:before="0" w:after="120"/>
              <w:ind w:left="567"/>
              <w:rPr>
                <w:bCs/>
              </w:rPr>
            </w:pPr>
            <w:r w:rsidRPr="00CA024A">
              <w:rPr>
                <w:bCs/>
              </w:rPr>
              <w:t>Total inappropriate surgeries planned</w:t>
            </w:r>
          </w:p>
        </w:tc>
        <w:tc>
          <w:tcPr>
            <w:tcW w:w="677" w:type="pct"/>
            <w:tcBorders>
              <w:top w:val="nil"/>
              <w:bottom w:val="nil"/>
            </w:tcBorders>
            <w:shd w:val="clear" w:color="auto" w:fill="auto"/>
            <w:noWrap/>
            <w:hideMark/>
          </w:tcPr>
          <w:p w14:paraId="507EEC0F" w14:textId="77777777" w:rsidR="000E482F" w:rsidRPr="00CA024A" w:rsidRDefault="000E482F" w:rsidP="004C79C1">
            <w:pPr>
              <w:pStyle w:val="Tabletext1"/>
              <w:tabs>
                <w:tab w:val="decimal" w:pos="377"/>
              </w:tabs>
              <w:spacing w:before="0" w:after="120"/>
              <w:jc w:val="center"/>
              <w:rPr>
                <w:iCs/>
              </w:rPr>
            </w:pPr>
            <w:r w:rsidRPr="00CA024A">
              <w:rPr>
                <w:iCs/>
              </w:rPr>
              <w:t>2.5%</w:t>
            </w:r>
          </w:p>
        </w:tc>
        <w:tc>
          <w:tcPr>
            <w:tcW w:w="677" w:type="pct"/>
            <w:tcBorders>
              <w:top w:val="nil"/>
              <w:bottom w:val="nil"/>
            </w:tcBorders>
            <w:shd w:val="clear" w:color="auto" w:fill="auto"/>
            <w:noWrap/>
            <w:hideMark/>
          </w:tcPr>
          <w:p w14:paraId="3032DFA1" w14:textId="77777777" w:rsidR="000E482F" w:rsidRPr="00CA024A" w:rsidRDefault="000E482F" w:rsidP="004C79C1">
            <w:pPr>
              <w:pStyle w:val="Tabletext1"/>
              <w:tabs>
                <w:tab w:val="decimal" w:pos="522"/>
              </w:tabs>
              <w:spacing w:before="0" w:after="120"/>
              <w:jc w:val="center"/>
              <w:rPr>
                <w:iCs/>
              </w:rPr>
            </w:pPr>
            <w:r w:rsidRPr="00CA024A">
              <w:rPr>
                <w:iCs/>
              </w:rPr>
              <w:t>0.0%</w:t>
            </w:r>
          </w:p>
        </w:tc>
        <w:tc>
          <w:tcPr>
            <w:tcW w:w="675" w:type="pct"/>
            <w:tcBorders>
              <w:top w:val="nil"/>
              <w:bottom w:val="nil"/>
            </w:tcBorders>
            <w:shd w:val="clear" w:color="auto" w:fill="auto"/>
            <w:noWrap/>
            <w:hideMark/>
          </w:tcPr>
          <w:p w14:paraId="2AB9F7B6" w14:textId="740FD965" w:rsidR="000E482F" w:rsidRPr="00CA024A" w:rsidRDefault="00015222" w:rsidP="004C79C1">
            <w:pPr>
              <w:pStyle w:val="Tabletext1"/>
              <w:tabs>
                <w:tab w:val="decimal" w:pos="532"/>
              </w:tabs>
              <w:spacing w:before="0" w:after="120"/>
              <w:jc w:val="center"/>
              <w:rPr>
                <w:iCs/>
              </w:rPr>
            </w:pPr>
            <w:r>
              <w:rPr>
                <w:iCs/>
              </w:rPr>
              <w:t>–</w:t>
            </w:r>
            <w:r w:rsidR="000E482F" w:rsidRPr="00CA024A">
              <w:rPr>
                <w:iCs/>
              </w:rPr>
              <w:t>2.5%</w:t>
            </w:r>
          </w:p>
        </w:tc>
      </w:tr>
      <w:tr w:rsidR="000E482F" w:rsidRPr="0017312F" w14:paraId="7360B9DD" w14:textId="77777777" w:rsidTr="006604AA">
        <w:trPr>
          <w:trHeight w:val="300"/>
        </w:trPr>
        <w:tc>
          <w:tcPr>
            <w:tcW w:w="2972" w:type="pct"/>
            <w:tcBorders>
              <w:top w:val="nil"/>
              <w:bottom w:val="nil"/>
            </w:tcBorders>
            <w:shd w:val="clear" w:color="auto" w:fill="auto"/>
            <w:noWrap/>
          </w:tcPr>
          <w:p w14:paraId="08EE7208" w14:textId="77777777" w:rsidR="000E482F" w:rsidRPr="00D33B26" w:rsidRDefault="000E482F" w:rsidP="004C79C1">
            <w:pPr>
              <w:pStyle w:val="Tabletext1"/>
              <w:spacing w:before="0" w:after="120"/>
              <w:ind w:left="567"/>
              <w:rPr>
                <w:bCs/>
              </w:rPr>
            </w:pPr>
            <w:r w:rsidRPr="00D33B26">
              <w:rPr>
                <w:bCs/>
              </w:rPr>
              <w:lastRenderedPageBreak/>
              <w:t xml:space="preserve">No devices or surgeries planned </w:t>
            </w:r>
            <w:r w:rsidRPr="00D33B26">
              <w:t>(inappropriate)</w:t>
            </w:r>
          </w:p>
        </w:tc>
        <w:tc>
          <w:tcPr>
            <w:tcW w:w="677" w:type="pct"/>
            <w:tcBorders>
              <w:top w:val="nil"/>
              <w:bottom w:val="nil"/>
            </w:tcBorders>
            <w:shd w:val="clear" w:color="auto" w:fill="auto"/>
            <w:noWrap/>
          </w:tcPr>
          <w:p w14:paraId="3E994F09" w14:textId="77777777" w:rsidR="000E482F" w:rsidRPr="00CA024A" w:rsidRDefault="000E482F" w:rsidP="004C79C1">
            <w:pPr>
              <w:pStyle w:val="Tabletext1"/>
              <w:tabs>
                <w:tab w:val="decimal" w:pos="377"/>
              </w:tabs>
              <w:spacing w:before="0" w:after="120"/>
              <w:jc w:val="center"/>
              <w:rPr>
                <w:iCs/>
              </w:rPr>
            </w:pPr>
            <w:r w:rsidRPr="00AB62A8">
              <w:rPr>
                <w:bCs/>
              </w:rPr>
              <w:t>5.6%</w:t>
            </w:r>
          </w:p>
        </w:tc>
        <w:tc>
          <w:tcPr>
            <w:tcW w:w="677" w:type="pct"/>
            <w:tcBorders>
              <w:top w:val="nil"/>
              <w:bottom w:val="nil"/>
            </w:tcBorders>
            <w:shd w:val="clear" w:color="auto" w:fill="auto"/>
            <w:noWrap/>
          </w:tcPr>
          <w:p w14:paraId="1A79D39B" w14:textId="77777777" w:rsidR="000E482F" w:rsidRPr="00CA024A" w:rsidRDefault="000E482F" w:rsidP="004C79C1">
            <w:pPr>
              <w:pStyle w:val="Tabletext1"/>
              <w:tabs>
                <w:tab w:val="decimal" w:pos="522"/>
              </w:tabs>
              <w:spacing w:before="0" w:after="120"/>
              <w:jc w:val="center"/>
              <w:rPr>
                <w:iCs/>
              </w:rPr>
            </w:pPr>
            <w:r w:rsidRPr="00AB62A8">
              <w:rPr>
                <w:bCs/>
              </w:rPr>
              <w:t>0.0%</w:t>
            </w:r>
          </w:p>
        </w:tc>
        <w:tc>
          <w:tcPr>
            <w:tcW w:w="675" w:type="pct"/>
            <w:tcBorders>
              <w:top w:val="nil"/>
              <w:bottom w:val="nil"/>
            </w:tcBorders>
            <w:shd w:val="clear" w:color="auto" w:fill="auto"/>
            <w:noWrap/>
          </w:tcPr>
          <w:p w14:paraId="4EB791C9" w14:textId="1F13DFB2" w:rsidR="000E482F" w:rsidRPr="00CA024A" w:rsidRDefault="00015222" w:rsidP="004C79C1">
            <w:pPr>
              <w:pStyle w:val="Tabletext1"/>
              <w:tabs>
                <w:tab w:val="decimal" w:pos="532"/>
              </w:tabs>
              <w:spacing w:before="0" w:after="120"/>
              <w:jc w:val="center"/>
              <w:rPr>
                <w:iCs/>
              </w:rPr>
            </w:pPr>
            <w:r>
              <w:rPr>
                <w:bCs/>
              </w:rPr>
              <w:t>–</w:t>
            </w:r>
            <w:r w:rsidR="000E482F" w:rsidRPr="00AB62A8">
              <w:rPr>
                <w:bCs/>
              </w:rPr>
              <w:t>5.6%</w:t>
            </w:r>
          </w:p>
        </w:tc>
      </w:tr>
      <w:tr w:rsidR="000E482F" w:rsidRPr="00D33B26" w14:paraId="451F29E6" w14:textId="77777777" w:rsidTr="006604AA">
        <w:trPr>
          <w:trHeight w:val="300"/>
        </w:trPr>
        <w:tc>
          <w:tcPr>
            <w:tcW w:w="2972" w:type="pct"/>
            <w:tcBorders>
              <w:top w:val="nil"/>
              <w:bottom w:val="single" w:sz="4" w:space="0" w:color="auto"/>
            </w:tcBorders>
            <w:shd w:val="clear" w:color="auto" w:fill="auto"/>
            <w:noWrap/>
          </w:tcPr>
          <w:p w14:paraId="60C73810" w14:textId="77777777" w:rsidR="000E482F" w:rsidRPr="00D33B26" w:rsidRDefault="000E482F" w:rsidP="004C79C1">
            <w:pPr>
              <w:pStyle w:val="Tabletext1"/>
              <w:spacing w:before="0" w:after="120"/>
              <w:rPr>
                <w:bCs/>
                <w:i/>
              </w:rPr>
            </w:pPr>
            <w:r w:rsidRPr="00D33B26">
              <w:rPr>
                <w:i/>
              </w:rPr>
              <w:t>Total inappropriate patient management plans</w:t>
            </w:r>
          </w:p>
        </w:tc>
        <w:tc>
          <w:tcPr>
            <w:tcW w:w="677" w:type="pct"/>
            <w:tcBorders>
              <w:top w:val="nil"/>
              <w:bottom w:val="single" w:sz="4" w:space="0" w:color="auto"/>
            </w:tcBorders>
            <w:shd w:val="clear" w:color="auto" w:fill="auto"/>
            <w:noWrap/>
          </w:tcPr>
          <w:p w14:paraId="55BEA37D" w14:textId="77777777" w:rsidR="000E482F" w:rsidRPr="00D33B26" w:rsidRDefault="000E482F" w:rsidP="004C79C1">
            <w:pPr>
              <w:pStyle w:val="Tabletext1"/>
              <w:tabs>
                <w:tab w:val="decimal" w:pos="377"/>
              </w:tabs>
              <w:spacing w:before="0" w:after="120"/>
              <w:jc w:val="center"/>
              <w:rPr>
                <w:bCs/>
                <w:i/>
              </w:rPr>
            </w:pPr>
            <w:r w:rsidRPr="00D33B26">
              <w:rPr>
                <w:i/>
              </w:rPr>
              <w:t>12.8%</w:t>
            </w:r>
          </w:p>
        </w:tc>
        <w:tc>
          <w:tcPr>
            <w:tcW w:w="677" w:type="pct"/>
            <w:tcBorders>
              <w:top w:val="nil"/>
              <w:bottom w:val="single" w:sz="4" w:space="0" w:color="auto"/>
            </w:tcBorders>
            <w:shd w:val="clear" w:color="auto" w:fill="auto"/>
            <w:noWrap/>
          </w:tcPr>
          <w:p w14:paraId="0D92DEE9" w14:textId="77777777" w:rsidR="000E482F" w:rsidRPr="00D33B26" w:rsidRDefault="000E482F" w:rsidP="004C79C1">
            <w:pPr>
              <w:pStyle w:val="Tabletext1"/>
              <w:tabs>
                <w:tab w:val="decimal" w:pos="522"/>
              </w:tabs>
              <w:spacing w:before="0" w:after="120"/>
              <w:jc w:val="center"/>
              <w:rPr>
                <w:bCs/>
                <w:i/>
              </w:rPr>
            </w:pPr>
            <w:r w:rsidRPr="00D33B26">
              <w:rPr>
                <w:i/>
              </w:rPr>
              <w:t>0.0%</w:t>
            </w:r>
          </w:p>
        </w:tc>
        <w:tc>
          <w:tcPr>
            <w:tcW w:w="675" w:type="pct"/>
            <w:tcBorders>
              <w:top w:val="nil"/>
              <w:bottom w:val="single" w:sz="4" w:space="0" w:color="auto"/>
            </w:tcBorders>
            <w:shd w:val="clear" w:color="auto" w:fill="auto"/>
            <w:noWrap/>
          </w:tcPr>
          <w:p w14:paraId="567E44B8" w14:textId="587967A2" w:rsidR="000E482F" w:rsidRPr="00D33B26" w:rsidRDefault="00015222" w:rsidP="004C79C1">
            <w:pPr>
              <w:pStyle w:val="Tabletext1"/>
              <w:tabs>
                <w:tab w:val="decimal" w:pos="532"/>
              </w:tabs>
              <w:spacing w:before="0" w:after="120"/>
              <w:jc w:val="center"/>
              <w:rPr>
                <w:bCs/>
                <w:i/>
              </w:rPr>
            </w:pPr>
            <w:r>
              <w:rPr>
                <w:i/>
              </w:rPr>
              <w:t>–</w:t>
            </w:r>
            <w:r w:rsidR="000E482F" w:rsidRPr="00D33B26">
              <w:rPr>
                <w:i/>
              </w:rPr>
              <w:t>12.8%</w:t>
            </w:r>
          </w:p>
        </w:tc>
      </w:tr>
      <w:tr w:rsidR="000E482F" w:rsidRPr="00005EE7" w14:paraId="2641E083" w14:textId="77777777" w:rsidTr="006604AA">
        <w:trPr>
          <w:trHeight w:val="300"/>
        </w:trPr>
        <w:tc>
          <w:tcPr>
            <w:tcW w:w="2972" w:type="pct"/>
            <w:tcBorders>
              <w:top w:val="single" w:sz="4" w:space="0" w:color="auto"/>
              <w:bottom w:val="single" w:sz="4" w:space="0" w:color="auto"/>
              <w:right w:val="nil"/>
            </w:tcBorders>
            <w:shd w:val="clear" w:color="auto" w:fill="auto"/>
            <w:noWrap/>
          </w:tcPr>
          <w:p w14:paraId="57973B56" w14:textId="77777777" w:rsidR="000E482F" w:rsidRPr="00005EE7" w:rsidRDefault="000E482F" w:rsidP="004C79C1">
            <w:pPr>
              <w:pStyle w:val="Tabletext1"/>
              <w:spacing w:before="0" w:after="120"/>
              <w:rPr>
                <w:b/>
              </w:rPr>
            </w:pPr>
            <w:r w:rsidRPr="00005EE7">
              <w:rPr>
                <w:b/>
              </w:rPr>
              <w:t>Incremental cost per inappropriate procedure avoided</w:t>
            </w:r>
          </w:p>
        </w:tc>
        <w:tc>
          <w:tcPr>
            <w:tcW w:w="677" w:type="pct"/>
            <w:tcBorders>
              <w:top w:val="single" w:sz="4" w:space="0" w:color="auto"/>
              <w:left w:val="nil"/>
              <w:bottom w:val="single" w:sz="4" w:space="0" w:color="auto"/>
              <w:right w:val="nil"/>
            </w:tcBorders>
            <w:shd w:val="clear" w:color="auto" w:fill="auto"/>
            <w:noWrap/>
          </w:tcPr>
          <w:p w14:paraId="5FCC49D3" w14:textId="77777777" w:rsidR="000E482F" w:rsidRPr="00005EE7" w:rsidRDefault="000E482F" w:rsidP="004C79C1">
            <w:pPr>
              <w:pStyle w:val="Tabletext1"/>
              <w:tabs>
                <w:tab w:val="decimal" w:pos="377"/>
              </w:tabs>
              <w:spacing w:before="0" w:after="120"/>
              <w:jc w:val="center"/>
              <w:rPr>
                <w:b/>
              </w:rPr>
            </w:pPr>
          </w:p>
        </w:tc>
        <w:tc>
          <w:tcPr>
            <w:tcW w:w="677" w:type="pct"/>
            <w:tcBorders>
              <w:top w:val="single" w:sz="4" w:space="0" w:color="auto"/>
              <w:left w:val="nil"/>
              <w:bottom w:val="single" w:sz="4" w:space="0" w:color="auto"/>
              <w:right w:val="single" w:sz="4" w:space="0" w:color="auto"/>
            </w:tcBorders>
            <w:shd w:val="clear" w:color="auto" w:fill="auto"/>
            <w:noWrap/>
          </w:tcPr>
          <w:p w14:paraId="3B391FF6" w14:textId="77777777" w:rsidR="000E482F" w:rsidRPr="00005EE7" w:rsidRDefault="000E482F" w:rsidP="004C79C1">
            <w:pPr>
              <w:pStyle w:val="Tabletext1"/>
              <w:tabs>
                <w:tab w:val="decimal" w:pos="522"/>
              </w:tabs>
              <w:spacing w:before="0" w:after="120"/>
              <w:jc w:val="center"/>
              <w:rPr>
                <w:b/>
              </w:rPr>
            </w:pPr>
          </w:p>
        </w:tc>
        <w:tc>
          <w:tcPr>
            <w:tcW w:w="675" w:type="pct"/>
            <w:tcBorders>
              <w:top w:val="single" w:sz="4" w:space="0" w:color="auto"/>
              <w:left w:val="single" w:sz="4" w:space="0" w:color="auto"/>
              <w:bottom w:val="single" w:sz="4" w:space="0" w:color="auto"/>
            </w:tcBorders>
            <w:shd w:val="clear" w:color="auto" w:fill="auto"/>
            <w:noWrap/>
          </w:tcPr>
          <w:p w14:paraId="198BE0F5" w14:textId="77777777" w:rsidR="000E482F" w:rsidRPr="00005EE7" w:rsidRDefault="000E482F" w:rsidP="004C79C1">
            <w:pPr>
              <w:pStyle w:val="Tabletext1"/>
              <w:tabs>
                <w:tab w:val="decimal" w:pos="532"/>
              </w:tabs>
              <w:spacing w:before="0" w:after="120"/>
              <w:jc w:val="center"/>
              <w:rPr>
                <w:b/>
              </w:rPr>
            </w:pPr>
            <w:r w:rsidRPr="00005EE7">
              <w:rPr>
                <w:b/>
              </w:rPr>
              <w:t>$5,656</w:t>
            </w:r>
          </w:p>
        </w:tc>
      </w:tr>
      <w:tr w:rsidR="000E482F" w:rsidRPr="0017312F" w14:paraId="19019372" w14:textId="77777777" w:rsidTr="006604AA">
        <w:trPr>
          <w:trHeight w:val="300"/>
        </w:trPr>
        <w:tc>
          <w:tcPr>
            <w:tcW w:w="2972" w:type="pct"/>
            <w:tcBorders>
              <w:right w:val="nil"/>
            </w:tcBorders>
            <w:shd w:val="clear" w:color="auto" w:fill="auto"/>
            <w:noWrap/>
          </w:tcPr>
          <w:p w14:paraId="484EBC55" w14:textId="77777777" w:rsidR="000E482F" w:rsidRPr="00E541CD" w:rsidRDefault="000E482F" w:rsidP="004C79C1">
            <w:pPr>
              <w:pStyle w:val="Tabletext1"/>
              <w:spacing w:before="0" w:after="120"/>
              <w:rPr>
                <w:bCs/>
                <w:i/>
              </w:rPr>
            </w:pPr>
            <w:r w:rsidRPr="00E541CD">
              <w:rPr>
                <w:i/>
              </w:rPr>
              <w:t>Incremental cost per inappropriate implantable device avoided</w:t>
            </w:r>
          </w:p>
        </w:tc>
        <w:tc>
          <w:tcPr>
            <w:tcW w:w="677" w:type="pct"/>
            <w:tcBorders>
              <w:left w:val="nil"/>
              <w:right w:val="nil"/>
            </w:tcBorders>
            <w:shd w:val="clear" w:color="auto" w:fill="auto"/>
            <w:noWrap/>
          </w:tcPr>
          <w:p w14:paraId="0F9BF24E" w14:textId="77777777" w:rsidR="000E482F" w:rsidRPr="00E541CD" w:rsidRDefault="000E482F" w:rsidP="004C79C1">
            <w:pPr>
              <w:pStyle w:val="Tabletext1"/>
              <w:tabs>
                <w:tab w:val="decimal" w:pos="377"/>
              </w:tabs>
              <w:spacing w:before="0" w:after="120"/>
              <w:jc w:val="center"/>
              <w:rPr>
                <w:i/>
                <w:iCs/>
              </w:rPr>
            </w:pPr>
          </w:p>
        </w:tc>
        <w:tc>
          <w:tcPr>
            <w:tcW w:w="677" w:type="pct"/>
            <w:tcBorders>
              <w:left w:val="nil"/>
              <w:right w:val="single" w:sz="4" w:space="0" w:color="auto"/>
            </w:tcBorders>
            <w:shd w:val="clear" w:color="auto" w:fill="auto"/>
            <w:noWrap/>
          </w:tcPr>
          <w:p w14:paraId="6CAB639D" w14:textId="77777777" w:rsidR="000E482F" w:rsidRPr="00E541CD" w:rsidRDefault="000E482F" w:rsidP="004C79C1">
            <w:pPr>
              <w:pStyle w:val="Tabletext1"/>
              <w:tabs>
                <w:tab w:val="decimal" w:pos="522"/>
              </w:tabs>
              <w:spacing w:before="0" w:after="120"/>
              <w:jc w:val="center"/>
              <w:rPr>
                <w:i/>
                <w:iCs/>
              </w:rPr>
            </w:pPr>
          </w:p>
        </w:tc>
        <w:tc>
          <w:tcPr>
            <w:tcW w:w="675" w:type="pct"/>
            <w:tcBorders>
              <w:left w:val="single" w:sz="4" w:space="0" w:color="auto"/>
            </w:tcBorders>
            <w:shd w:val="clear" w:color="auto" w:fill="auto"/>
            <w:noWrap/>
          </w:tcPr>
          <w:p w14:paraId="0619709B" w14:textId="77777777" w:rsidR="000E482F" w:rsidRPr="00E541CD" w:rsidRDefault="000E482F" w:rsidP="004C79C1">
            <w:pPr>
              <w:pStyle w:val="Tabletext1"/>
              <w:tabs>
                <w:tab w:val="decimal" w:pos="532"/>
              </w:tabs>
              <w:spacing w:before="0" w:after="120"/>
              <w:jc w:val="center"/>
              <w:rPr>
                <w:i/>
                <w:iCs/>
              </w:rPr>
            </w:pPr>
            <w:r w:rsidRPr="00E541CD">
              <w:rPr>
                <w:i/>
              </w:rPr>
              <w:t>$8,617</w:t>
            </w:r>
          </w:p>
        </w:tc>
      </w:tr>
      <w:tr w:rsidR="000E482F" w:rsidRPr="0017312F" w14:paraId="627EFCE3" w14:textId="77777777" w:rsidTr="006604AA">
        <w:trPr>
          <w:trHeight w:val="300"/>
        </w:trPr>
        <w:tc>
          <w:tcPr>
            <w:tcW w:w="2972" w:type="pct"/>
            <w:tcBorders>
              <w:right w:val="nil"/>
            </w:tcBorders>
            <w:shd w:val="clear" w:color="auto" w:fill="auto"/>
            <w:noWrap/>
          </w:tcPr>
          <w:p w14:paraId="6C824B89" w14:textId="77777777" w:rsidR="000E482F" w:rsidRPr="00E541CD" w:rsidRDefault="000E482F" w:rsidP="004C79C1">
            <w:pPr>
              <w:pStyle w:val="Tabletext1"/>
              <w:spacing w:before="0" w:after="120"/>
              <w:rPr>
                <w:bCs/>
                <w:i/>
              </w:rPr>
            </w:pPr>
            <w:r w:rsidRPr="00E541CD">
              <w:rPr>
                <w:i/>
              </w:rPr>
              <w:t>Incremental cost per inappropriate cardiac surgery avoided</w:t>
            </w:r>
          </w:p>
        </w:tc>
        <w:tc>
          <w:tcPr>
            <w:tcW w:w="677" w:type="pct"/>
            <w:tcBorders>
              <w:left w:val="nil"/>
              <w:right w:val="nil"/>
            </w:tcBorders>
            <w:shd w:val="clear" w:color="auto" w:fill="auto"/>
            <w:noWrap/>
          </w:tcPr>
          <w:p w14:paraId="5D98BFC7" w14:textId="77777777" w:rsidR="000E482F" w:rsidRPr="00E541CD" w:rsidRDefault="000E482F" w:rsidP="004C79C1">
            <w:pPr>
              <w:pStyle w:val="Tabletext1"/>
              <w:tabs>
                <w:tab w:val="decimal" w:pos="377"/>
              </w:tabs>
              <w:spacing w:before="0" w:after="120"/>
              <w:jc w:val="center"/>
              <w:rPr>
                <w:i/>
                <w:iCs/>
              </w:rPr>
            </w:pPr>
          </w:p>
        </w:tc>
        <w:tc>
          <w:tcPr>
            <w:tcW w:w="677" w:type="pct"/>
            <w:tcBorders>
              <w:left w:val="nil"/>
              <w:right w:val="single" w:sz="4" w:space="0" w:color="auto"/>
            </w:tcBorders>
            <w:shd w:val="clear" w:color="auto" w:fill="auto"/>
            <w:noWrap/>
          </w:tcPr>
          <w:p w14:paraId="48021C9E" w14:textId="77777777" w:rsidR="000E482F" w:rsidRPr="00E541CD" w:rsidRDefault="000E482F" w:rsidP="004C79C1">
            <w:pPr>
              <w:pStyle w:val="Tabletext1"/>
              <w:tabs>
                <w:tab w:val="decimal" w:pos="522"/>
              </w:tabs>
              <w:spacing w:before="0" w:after="120"/>
              <w:jc w:val="center"/>
              <w:rPr>
                <w:i/>
                <w:iCs/>
              </w:rPr>
            </w:pPr>
          </w:p>
        </w:tc>
        <w:tc>
          <w:tcPr>
            <w:tcW w:w="675" w:type="pct"/>
            <w:tcBorders>
              <w:left w:val="single" w:sz="4" w:space="0" w:color="auto"/>
            </w:tcBorders>
            <w:shd w:val="clear" w:color="auto" w:fill="auto"/>
            <w:noWrap/>
          </w:tcPr>
          <w:p w14:paraId="1410C5BF" w14:textId="77777777" w:rsidR="000E482F" w:rsidRPr="00E541CD" w:rsidRDefault="000E482F" w:rsidP="004C79C1">
            <w:pPr>
              <w:pStyle w:val="Tabletext1"/>
              <w:tabs>
                <w:tab w:val="decimal" w:pos="532"/>
              </w:tabs>
              <w:spacing w:before="0" w:after="120"/>
              <w:jc w:val="center"/>
              <w:rPr>
                <w:i/>
                <w:iCs/>
              </w:rPr>
            </w:pPr>
            <w:r w:rsidRPr="00E541CD">
              <w:rPr>
                <w:i/>
              </w:rPr>
              <w:t>$16,460</w:t>
            </w:r>
          </w:p>
        </w:tc>
      </w:tr>
      <w:tr w:rsidR="000E482F" w:rsidRPr="0017312F" w14:paraId="2ECC7F5B" w14:textId="77777777" w:rsidTr="006604AA">
        <w:trPr>
          <w:trHeight w:val="300"/>
        </w:trPr>
        <w:tc>
          <w:tcPr>
            <w:tcW w:w="2972" w:type="pct"/>
            <w:tcBorders>
              <w:right w:val="nil"/>
            </w:tcBorders>
            <w:shd w:val="clear" w:color="auto" w:fill="auto"/>
            <w:noWrap/>
          </w:tcPr>
          <w:p w14:paraId="3CB87BC3" w14:textId="77777777" w:rsidR="000E482F" w:rsidRPr="00CA024A" w:rsidRDefault="000E482F" w:rsidP="004C79C1">
            <w:pPr>
              <w:pStyle w:val="Tabletext1"/>
              <w:spacing w:before="0" w:after="120"/>
              <w:rPr>
                <w:bCs/>
              </w:rPr>
            </w:pPr>
            <w:r>
              <w:rPr>
                <w:b/>
              </w:rPr>
              <w:t>Incremental cost per ina</w:t>
            </w:r>
            <w:r w:rsidRPr="006F2881">
              <w:rPr>
                <w:b/>
              </w:rPr>
              <w:t>ppropriate patient management</w:t>
            </w:r>
            <w:r>
              <w:rPr>
                <w:b/>
              </w:rPr>
              <w:t xml:space="preserve"> avoided</w:t>
            </w:r>
          </w:p>
        </w:tc>
        <w:tc>
          <w:tcPr>
            <w:tcW w:w="677" w:type="pct"/>
            <w:tcBorders>
              <w:left w:val="nil"/>
              <w:right w:val="nil"/>
            </w:tcBorders>
            <w:shd w:val="clear" w:color="auto" w:fill="auto"/>
            <w:noWrap/>
          </w:tcPr>
          <w:p w14:paraId="0C70C5E1" w14:textId="77777777" w:rsidR="000E482F" w:rsidRPr="00CA024A" w:rsidRDefault="000E482F" w:rsidP="004C79C1">
            <w:pPr>
              <w:pStyle w:val="Tabletext1"/>
              <w:tabs>
                <w:tab w:val="decimal" w:pos="377"/>
              </w:tabs>
              <w:spacing w:before="0" w:after="120"/>
              <w:jc w:val="center"/>
              <w:rPr>
                <w:iCs/>
              </w:rPr>
            </w:pPr>
          </w:p>
        </w:tc>
        <w:tc>
          <w:tcPr>
            <w:tcW w:w="677" w:type="pct"/>
            <w:tcBorders>
              <w:left w:val="nil"/>
              <w:right w:val="single" w:sz="4" w:space="0" w:color="auto"/>
            </w:tcBorders>
            <w:shd w:val="clear" w:color="auto" w:fill="auto"/>
            <w:noWrap/>
          </w:tcPr>
          <w:p w14:paraId="5D63FAA4" w14:textId="77777777" w:rsidR="000E482F" w:rsidRPr="00CA024A" w:rsidRDefault="000E482F" w:rsidP="004C79C1">
            <w:pPr>
              <w:pStyle w:val="Tabletext1"/>
              <w:tabs>
                <w:tab w:val="decimal" w:pos="522"/>
              </w:tabs>
              <w:spacing w:before="0" w:after="120"/>
              <w:jc w:val="center"/>
              <w:rPr>
                <w:iCs/>
              </w:rPr>
            </w:pPr>
          </w:p>
        </w:tc>
        <w:tc>
          <w:tcPr>
            <w:tcW w:w="675" w:type="pct"/>
            <w:tcBorders>
              <w:left w:val="single" w:sz="4" w:space="0" w:color="auto"/>
            </w:tcBorders>
            <w:shd w:val="clear" w:color="auto" w:fill="auto"/>
            <w:noWrap/>
          </w:tcPr>
          <w:p w14:paraId="5F933E5E" w14:textId="77777777" w:rsidR="000E482F" w:rsidRPr="003937DF" w:rsidRDefault="000E482F" w:rsidP="004C79C1">
            <w:pPr>
              <w:pStyle w:val="Tabletext1"/>
              <w:tabs>
                <w:tab w:val="decimal" w:pos="532"/>
              </w:tabs>
              <w:spacing w:before="0" w:after="120"/>
              <w:jc w:val="center"/>
              <w:rPr>
                <w:b/>
                <w:iCs/>
              </w:rPr>
            </w:pPr>
            <w:r w:rsidRPr="003937DF">
              <w:rPr>
                <w:b/>
                <w:iCs/>
              </w:rPr>
              <w:t>$3,158</w:t>
            </w:r>
          </w:p>
        </w:tc>
      </w:tr>
    </w:tbl>
    <w:p w14:paraId="745FB6F6" w14:textId="4489A5FE" w:rsidR="00252CBE" w:rsidRDefault="00252CBE" w:rsidP="004C79C1">
      <w:pPr>
        <w:pStyle w:val="Tablenotes0"/>
        <w:spacing w:before="0" w:after="120"/>
      </w:pPr>
      <w:r w:rsidRPr="00036B04">
        <w:rPr>
          <w:vertAlign w:val="superscript"/>
        </w:rPr>
        <w:t>a</w:t>
      </w:r>
      <w:r>
        <w:rPr>
          <w:vertAlign w:val="superscript"/>
        </w:rPr>
        <w:t xml:space="preserve"> </w:t>
      </w:r>
      <w:r>
        <w:t xml:space="preserve">Data obtained through personal communications with </w:t>
      </w:r>
      <w:r w:rsidRPr="002D70BE">
        <w:t xml:space="preserve">the author of </w:t>
      </w:r>
      <w:r w:rsidRPr="002D70BE">
        <w:fldChar w:fldCharType="begin"/>
      </w:r>
      <w:r w:rsidRPr="002D70BE">
        <w:instrText xml:space="preserve"> ADDIN EN.CITE &lt;EndNote&gt;&lt;Cite&gt;&lt;Author&gt;Taylor AJ&lt;/Author&gt;&lt;Year&gt;2013&lt;/Year&gt;&lt;RecNum&gt;109&lt;/RecNum&gt;&lt;DisplayText&gt;(Taylor AJ et al. 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rsidRPr="002D70BE">
        <w:fldChar w:fldCharType="separate"/>
      </w:r>
      <w:hyperlink w:anchor="_ENREF_135" w:tooltip="Taylor AJ, 2013 #109" w:history="1">
        <w:r w:rsidRPr="002D70BE">
          <w:rPr>
            <w:noProof/>
          </w:rPr>
          <w:t>Taylor, AJ et al. (2013</w:t>
        </w:r>
      </w:hyperlink>
      <w:r w:rsidRPr="002D70BE">
        <w:rPr>
          <w:noProof/>
        </w:rPr>
        <w:t>)</w:t>
      </w:r>
      <w:r w:rsidRPr="002D70BE">
        <w:fldChar w:fldCharType="end"/>
      </w:r>
      <w:r>
        <w:t xml:space="preserve">. </w:t>
      </w:r>
    </w:p>
    <w:p w14:paraId="763E8C6A" w14:textId="16A03A5D" w:rsidR="000E482F" w:rsidRDefault="000E482F" w:rsidP="004C79C1">
      <w:pPr>
        <w:pStyle w:val="Tablenotes0"/>
        <w:spacing w:before="0" w:after="120"/>
      </w:pPr>
      <w:r>
        <w:t xml:space="preserve">CMR = cardiac magnetic resonance </w:t>
      </w:r>
      <w:r w:rsidR="008734D3">
        <w:t>(</w:t>
      </w:r>
      <w:r>
        <w:t>imaging</w:t>
      </w:r>
      <w:r w:rsidR="008734D3">
        <w:t>)</w:t>
      </w:r>
      <w:r>
        <w:t xml:space="preserve">; </w:t>
      </w:r>
      <w:r w:rsidR="000936DC">
        <w:t xml:space="preserve">DCM = </w:t>
      </w:r>
      <w:r w:rsidR="000936DC" w:rsidRPr="002D70BE">
        <w:t>dilated cardiomyopathy</w:t>
      </w:r>
      <w:r w:rsidR="000936DC">
        <w:t xml:space="preserve">; </w:t>
      </w:r>
      <w:r>
        <w:t>ICER = incremental cost-effectiveness ratio</w:t>
      </w:r>
    </w:p>
    <w:p w14:paraId="4B68561D" w14:textId="77777777" w:rsidR="000E482F" w:rsidRDefault="000E482F" w:rsidP="004C79C1">
      <w:pPr>
        <w:pStyle w:val="Heading5"/>
        <w:spacing w:after="120" w:line="240" w:lineRule="auto"/>
      </w:pPr>
      <w:r>
        <w:t>Cost per appropriate management</w:t>
      </w:r>
    </w:p>
    <w:p w14:paraId="7CBC7B4F" w14:textId="1684353B" w:rsidR="000E482F" w:rsidRDefault="000E482F" w:rsidP="004C79C1">
      <w:pPr>
        <w:spacing w:after="120" w:line="240" w:lineRule="auto"/>
        <w:jc w:val="both"/>
      </w:pPr>
      <w:r>
        <w:t xml:space="preserve">Given the increase in number of appropriate procedures planned associated with CMR testing and </w:t>
      </w:r>
      <w:r w:rsidR="004C320A">
        <w:t xml:space="preserve">the </w:t>
      </w:r>
      <w:r>
        <w:t>increase in costs, compared with no testing, CMR results in an i</w:t>
      </w:r>
      <w:r w:rsidRPr="003D58A0">
        <w:t xml:space="preserve">ncremental cost </w:t>
      </w:r>
      <w:r>
        <w:t xml:space="preserve">of $6,710 </w:t>
      </w:r>
      <w:r w:rsidRPr="003D58A0">
        <w:t xml:space="preserve">per </w:t>
      </w:r>
      <w:r>
        <w:t xml:space="preserve">additional </w:t>
      </w:r>
      <w:r w:rsidRPr="003D58A0">
        <w:t>appropriate procedure planned</w:t>
      </w:r>
      <w:r>
        <w:t>. When stratified according to the type of procedure, this translates to an i</w:t>
      </w:r>
      <w:r w:rsidRPr="003D58A0">
        <w:t xml:space="preserve">ncremental cost </w:t>
      </w:r>
      <w:r>
        <w:t xml:space="preserve">of $9,062 </w:t>
      </w:r>
      <w:r w:rsidRPr="003D58A0">
        <w:t xml:space="preserve">per </w:t>
      </w:r>
      <w:r>
        <w:t xml:space="preserve">additional </w:t>
      </w:r>
      <w:r w:rsidRPr="003D58A0">
        <w:t xml:space="preserve">appropriate </w:t>
      </w:r>
      <w:r>
        <w:t>implantable device</w:t>
      </w:r>
      <w:r w:rsidRPr="003D58A0">
        <w:t xml:space="preserve"> planned</w:t>
      </w:r>
      <w:r>
        <w:t xml:space="preserve"> and an i</w:t>
      </w:r>
      <w:r w:rsidRPr="003D58A0">
        <w:t xml:space="preserve">ncremental cost </w:t>
      </w:r>
      <w:r>
        <w:t xml:space="preserve">of $25,850 </w:t>
      </w:r>
      <w:r w:rsidRPr="003D58A0">
        <w:t>per</w:t>
      </w:r>
      <w:r>
        <w:t xml:space="preserve"> additional</w:t>
      </w:r>
      <w:r w:rsidRPr="003D58A0">
        <w:t xml:space="preserve"> appropriate surgery planned</w:t>
      </w:r>
      <w:r>
        <w:t>. When overall appropriate change in patient management (</w:t>
      </w:r>
      <w:r w:rsidR="009A1A8D">
        <w:t xml:space="preserve">i.e. </w:t>
      </w:r>
      <w:r>
        <w:t>procedures planned and no procedures planned)</w:t>
      </w:r>
      <w:r w:rsidR="009A1A8D">
        <w:t xml:space="preserve"> is considered</w:t>
      </w:r>
      <w:r>
        <w:t>, CMR is associated with an i</w:t>
      </w:r>
      <w:r w:rsidRPr="003D58A0">
        <w:t xml:space="preserve">ncremental cost </w:t>
      </w:r>
      <w:r>
        <w:t xml:space="preserve">of $3,160 </w:t>
      </w:r>
      <w:r w:rsidRPr="003D58A0">
        <w:t xml:space="preserve">per </w:t>
      </w:r>
      <w:r>
        <w:t xml:space="preserve">additional </w:t>
      </w:r>
      <w:r w:rsidRPr="003D58A0">
        <w:t>appropriate patient management</w:t>
      </w:r>
      <w:r>
        <w:t>, compared with no testing.</w:t>
      </w:r>
    </w:p>
    <w:p w14:paraId="65D391AA" w14:textId="77777777" w:rsidR="000E482F" w:rsidRDefault="000E482F" w:rsidP="004C79C1">
      <w:pPr>
        <w:pStyle w:val="Heading5"/>
        <w:spacing w:after="120" w:line="240" w:lineRule="auto"/>
      </w:pPr>
      <w:r>
        <w:t>Cost per inappropriate management avoided</w:t>
      </w:r>
    </w:p>
    <w:p w14:paraId="00880C4A" w14:textId="28F3DCD8" w:rsidR="000E482F" w:rsidRDefault="000E482F" w:rsidP="004C79C1">
      <w:pPr>
        <w:spacing w:after="120" w:line="240" w:lineRule="auto"/>
        <w:jc w:val="both"/>
      </w:pPr>
      <w:r>
        <w:t xml:space="preserve">Given the decrease in number of inappropriate procedures planned associated with CMR testing and </w:t>
      </w:r>
      <w:r w:rsidR="009A1A8D">
        <w:t xml:space="preserve">the </w:t>
      </w:r>
      <w:r>
        <w:t>increase in costs, compared with no testing, CMR results in an i</w:t>
      </w:r>
      <w:r w:rsidRPr="003D58A0">
        <w:t xml:space="preserve">ncremental cost </w:t>
      </w:r>
      <w:r>
        <w:t xml:space="preserve">of $5,656 </w:t>
      </w:r>
      <w:r w:rsidRPr="003D58A0">
        <w:t xml:space="preserve">per </w:t>
      </w:r>
      <w:r>
        <w:t>in</w:t>
      </w:r>
      <w:r w:rsidRPr="003D58A0">
        <w:t xml:space="preserve">appropriate procedure </w:t>
      </w:r>
      <w:r>
        <w:t>avoided. When stratified according to the type of procedure, this translates to an i</w:t>
      </w:r>
      <w:r w:rsidRPr="003D58A0">
        <w:t xml:space="preserve">ncremental cost </w:t>
      </w:r>
      <w:r>
        <w:t xml:space="preserve">of $8,617 </w:t>
      </w:r>
      <w:r w:rsidRPr="003D58A0">
        <w:t xml:space="preserve">per </w:t>
      </w:r>
      <w:r>
        <w:t>in</w:t>
      </w:r>
      <w:r w:rsidRPr="003D58A0">
        <w:t xml:space="preserve">appropriate </w:t>
      </w:r>
      <w:r>
        <w:t>implantable device</w:t>
      </w:r>
      <w:r w:rsidRPr="003D58A0">
        <w:t xml:space="preserve"> </w:t>
      </w:r>
      <w:r>
        <w:t>avoided and an i</w:t>
      </w:r>
      <w:r w:rsidRPr="003D58A0">
        <w:t xml:space="preserve">ncremental cost </w:t>
      </w:r>
      <w:r>
        <w:t xml:space="preserve">of $16,460 </w:t>
      </w:r>
      <w:r w:rsidRPr="003D58A0">
        <w:t>per</w:t>
      </w:r>
      <w:r>
        <w:t xml:space="preserve"> in</w:t>
      </w:r>
      <w:r w:rsidRPr="003D58A0">
        <w:t xml:space="preserve">appropriate surgery </w:t>
      </w:r>
      <w:r>
        <w:t xml:space="preserve">avoided. </w:t>
      </w:r>
      <w:proofErr w:type="gramStart"/>
      <w:r>
        <w:t>When overall inappropriate patient management plans (</w:t>
      </w:r>
      <w:r w:rsidR="009A1A8D">
        <w:t xml:space="preserve">i.e. </w:t>
      </w:r>
      <w:r>
        <w:t>procedures planned and no procedures planned)</w:t>
      </w:r>
      <w:r w:rsidR="009A1A8D">
        <w:t xml:space="preserve"> are accounted</w:t>
      </w:r>
      <w:r>
        <w:t>, CMR is associated with an i</w:t>
      </w:r>
      <w:r w:rsidRPr="003D58A0">
        <w:t xml:space="preserve">ncremental cost </w:t>
      </w:r>
      <w:r>
        <w:t xml:space="preserve">of $3,158 </w:t>
      </w:r>
      <w:r w:rsidRPr="003D58A0">
        <w:t xml:space="preserve">per </w:t>
      </w:r>
      <w:r>
        <w:t>in</w:t>
      </w:r>
      <w:r w:rsidRPr="003D58A0">
        <w:t>appropriate patient management</w:t>
      </w:r>
      <w:r>
        <w:t xml:space="preserve"> avoided, compared with no testing.</w:t>
      </w:r>
      <w:proofErr w:type="gramEnd"/>
    </w:p>
    <w:p w14:paraId="7E4C2B13" w14:textId="77777777" w:rsidR="000E482F" w:rsidRPr="00AD161D" w:rsidRDefault="000E482F" w:rsidP="004C79C1">
      <w:pPr>
        <w:pStyle w:val="Heading5"/>
        <w:spacing w:after="120" w:line="240" w:lineRule="auto"/>
        <w:rPr>
          <w:lang w:eastAsia="en-US"/>
        </w:rPr>
      </w:pPr>
      <w:r w:rsidRPr="00AD161D">
        <w:rPr>
          <w:lang w:eastAsia="en-US"/>
        </w:rPr>
        <w:t>Outcomes obtained per $100,000 of additional expenditure</w:t>
      </w:r>
    </w:p>
    <w:p w14:paraId="4B1D80F2" w14:textId="2E6C0CA2" w:rsidR="000E482F" w:rsidRDefault="000E482F" w:rsidP="004C79C1">
      <w:pPr>
        <w:spacing w:after="120" w:line="240" w:lineRule="auto"/>
        <w:jc w:val="both"/>
        <w:rPr>
          <w:lang w:eastAsia="en-US"/>
        </w:rPr>
      </w:pPr>
      <w:r>
        <w:rPr>
          <w:lang w:eastAsia="en-US"/>
        </w:rPr>
        <w:t xml:space="preserve">The ICERs reported above each relate only to a single outcome of interest and cannot be interpreted collectively. To interpret the cost-effectiveness in the context of all identified outcomes, the results can be framed in terms of the collective outcomes </w:t>
      </w:r>
      <w:r w:rsidR="009C693E">
        <w:rPr>
          <w:lang w:eastAsia="en-US"/>
        </w:rPr>
        <w:t xml:space="preserve">that </w:t>
      </w:r>
      <w:r>
        <w:rPr>
          <w:lang w:eastAsia="en-US"/>
        </w:rPr>
        <w:t>would be expected for a given incremental expenditure.</w:t>
      </w:r>
    </w:p>
    <w:p w14:paraId="45E8B1D5" w14:textId="022D653E" w:rsidR="000E482F" w:rsidRDefault="000E482F" w:rsidP="004C79C1">
      <w:pPr>
        <w:spacing w:after="120" w:line="240" w:lineRule="auto"/>
        <w:jc w:val="both"/>
        <w:rPr>
          <w:lang w:eastAsia="en-US"/>
        </w:rPr>
      </w:pPr>
      <w:r>
        <w:rPr>
          <w:lang w:eastAsia="en-US"/>
        </w:rPr>
        <w:t>The CEA model suggests that</w:t>
      </w:r>
      <w:r w:rsidR="00392414">
        <w:rPr>
          <w:lang w:eastAsia="en-US"/>
        </w:rPr>
        <w:t>,</w:t>
      </w:r>
      <w:r>
        <w:rPr>
          <w:lang w:eastAsia="en-US"/>
        </w:rPr>
        <w:t xml:space="preserve"> for every $100,000 of additional expenditure associated with the proposed listing of CMR, the following 6-month patient outcomes will be achieved</w:t>
      </w:r>
      <w:r w:rsidR="00392414">
        <w:rPr>
          <w:lang w:eastAsia="en-US"/>
        </w:rPr>
        <w:t>:</w:t>
      </w:r>
      <w:r>
        <w:rPr>
          <w:lang w:eastAsia="en-US"/>
        </w:rPr>
        <w:t xml:space="preserve"> 358 patients will undergo CMR testing, and out of these 15.9 additional appropriate devices and 5.6 appropriate surgeries will be implanted/undertaken, and 16.7 inappropriate device implantations and 8.8 inappropriate surgeries will be avoided.</w:t>
      </w:r>
    </w:p>
    <w:p w14:paraId="0AFB2421" w14:textId="2291AC74" w:rsidR="000E482F" w:rsidRPr="00616D81" w:rsidRDefault="000E482F" w:rsidP="00161B88">
      <w:pPr>
        <w:pStyle w:val="Heading3"/>
      </w:pPr>
      <w:bookmarkStart w:id="565" w:name="_Toc449428909"/>
      <w:bookmarkStart w:id="566" w:name="_Toc451501381"/>
      <w:r w:rsidRPr="00616D81">
        <w:t>D</w:t>
      </w:r>
      <w:r>
        <w:t>6</w:t>
      </w:r>
      <w:proofErr w:type="gramStart"/>
      <w:r w:rsidRPr="00616D81">
        <w:t>.(</w:t>
      </w:r>
      <w:proofErr w:type="gramEnd"/>
      <w:r w:rsidRPr="00616D81">
        <w:t>iiA)</w:t>
      </w:r>
      <w:r>
        <w:t xml:space="preserve"> </w:t>
      </w:r>
      <w:r w:rsidRPr="00616D81">
        <w:t>CEA</w:t>
      </w:r>
      <w:r>
        <w:tab/>
      </w:r>
      <w:r w:rsidRPr="00616D81">
        <w:t>Sensitivity analyses</w:t>
      </w:r>
      <w:bookmarkEnd w:id="565"/>
      <w:bookmarkEnd w:id="566"/>
    </w:p>
    <w:p w14:paraId="5FA5C11B" w14:textId="77777777" w:rsidR="000E482F" w:rsidRDefault="000E482F" w:rsidP="004C79C1">
      <w:pPr>
        <w:spacing w:after="120" w:line="240" w:lineRule="auto"/>
        <w:jc w:val="both"/>
        <w:rPr>
          <w:lang w:eastAsia="en-US"/>
        </w:rPr>
      </w:pPr>
      <w:r w:rsidRPr="00A51489">
        <w:rPr>
          <w:lang w:eastAsia="en-US"/>
        </w:rPr>
        <w:t>Sensitivity analyses around the base-case analysis will explore the uncertainty surrounding these conclusions further</w:t>
      </w:r>
      <w:r>
        <w:rPr>
          <w:lang w:eastAsia="en-US"/>
        </w:rPr>
        <w:t>. The outcome assessed in the sensitivity analysis is cost per appropriate patient management.</w:t>
      </w:r>
    </w:p>
    <w:p w14:paraId="74EE0EB5" w14:textId="77777777" w:rsidR="000E482F" w:rsidRDefault="000E482F" w:rsidP="00161B88">
      <w:pPr>
        <w:pStyle w:val="Heading4"/>
      </w:pPr>
      <w:r>
        <w:lastRenderedPageBreak/>
        <w:t>C</w:t>
      </w:r>
      <w:r w:rsidRPr="00A266F6">
        <w:t>hanging CMR accuracy</w:t>
      </w:r>
    </w:p>
    <w:p w14:paraId="6BB73727" w14:textId="27E3A61F" w:rsidR="000E482F" w:rsidRPr="00381D0F" w:rsidRDefault="000E482F" w:rsidP="004C79C1">
      <w:pPr>
        <w:spacing w:after="120" w:line="240" w:lineRule="auto"/>
        <w:rPr>
          <w:lang w:eastAsia="en-US"/>
        </w:rPr>
      </w:pPr>
      <w:r>
        <w:rPr>
          <w:lang w:eastAsia="en-US"/>
        </w:rPr>
        <w:t>CMR accuracy significantly impacts the resulting ICERs, as the decrease in CMR accuracy reduces the incremental effect of CMR testing. CMR testing is potentially cost-effective (i.e. not dominated) only if the CMR accuracy is 88% or higher (and the ICER</w:t>
      </w:r>
      <w:r w:rsidR="00D03E52">
        <w:rPr>
          <w:lang w:eastAsia="en-US"/>
        </w:rPr>
        <w:t>s</w:t>
      </w:r>
      <w:r>
        <w:rPr>
          <w:lang w:eastAsia="en-US"/>
        </w:rPr>
        <w:t xml:space="preserve"> improve with increasing CMR accuracy). Some of the ICER</w:t>
      </w:r>
      <w:r w:rsidR="00D03E52">
        <w:rPr>
          <w:lang w:eastAsia="en-US"/>
        </w:rPr>
        <w:t>s</w:t>
      </w:r>
      <w:r>
        <w:rPr>
          <w:lang w:eastAsia="en-US"/>
        </w:rPr>
        <w:t xml:space="preserve"> result</w:t>
      </w:r>
      <w:r w:rsidR="00BB4FB5">
        <w:rPr>
          <w:lang w:eastAsia="en-US"/>
        </w:rPr>
        <w:t>ing</w:t>
      </w:r>
      <w:r>
        <w:rPr>
          <w:lang w:eastAsia="en-US"/>
        </w:rPr>
        <w:t xml:space="preserve"> from varying CMR accuracy are presented in </w:t>
      </w:r>
      <w:r w:rsidR="00280752">
        <w:rPr>
          <w:lang w:eastAsia="en-US"/>
        </w:rPr>
        <w:fldChar w:fldCharType="begin"/>
      </w:r>
      <w:r w:rsidR="00280752">
        <w:rPr>
          <w:lang w:eastAsia="en-US"/>
        </w:rPr>
        <w:instrText xml:space="preserve"> REF _Ref449531082 \h </w:instrText>
      </w:r>
      <w:r w:rsidR="00280752">
        <w:rPr>
          <w:lang w:eastAsia="en-US"/>
        </w:rPr>
      </w:r>
      <w:r w:rsidR="00280752">
        <w:rPr>
          <w:lang w:eastAsia="en-US"/>
        </w:rPr>
        <w:fldChar w:fldCharType="separate"/>
      </w:r>
      <w:r w:rsidR="00280752">
        <w:t xml:space="preserve">Table </w:t>
      </w:r>
      <w:r w:rsidR="00280752">
        <w:rPr>
          <w:noProof/>
        </w:rPr>
        <w:t>42</w:t>
      </w:r>
      <w:r w:rsidR="00280752">
        <w:rPr>
          <w:lang w:eastAsia="en-US"/>
        </w:rPr>
        <w:fldChar w:fldCharType="end"/>
      </w:r>
      <w:r>
        <w:rPr>
          <w:lang w:eastAsia="en-US"/>
        </w:rPr>
        <w:t>.</w:t>
      </w:r>
    </w:p>
    <w:p w14:paraId="6ECBC7AE" w14:textId="136DF143" w:rsidR="000E482F" w:rsidRDefault="000E482F" w:rsidP="004C79C1">
      <w:pPr>
        <w:pStyle w:val="Caption"/>
        <w:keepNext/>
      </w:pPr>
      <w:bookmarkStart w:id="567" w:name="_Ref449531082"/>
      <w:bookmarkStart w:id="568" w:name="_Toc449555002"/>
      <w:bookmarkStart w:id="569" w:name="_Toc324410211"/>
      <w:bookmarkStart w:id="570" w:name="_Toc451435369"/>
      <w:r>
        <w:t xml:space="preserve">Table </w:t>
      </w:r>
      <w:fldSimple w:instr=" SEQ Table \* ARABIC ">
        <w:r w:rsidR="00050936">
          <w:rPr>
            <w:noProof/>
          </w:rPr>
          <w:t>42</w:t>
        </w:r>
      </w:fldSimple>
      <w:bookmarkEnd w:id="567"/>
      <w:r>
        <w:tab/>
        <w:t>Sensitivity analysis, ICER of CMR as an additional test, assuming different CMR accuracies</w:t>
      </w:r>
      <w:bookmarkEnd w:id="568"/>
      <w:bookmarkEnd w:id="569"/>
      <w:bookmarkEnd w:id="570"/>
    </w:p>
    <w:tbl>
      <w:tblPr>
        <w:tblStyle w:val="TableGrid"/>
        <w:tblW w:w="4950" w:type="pct"/>
        <w:tblLook w:val="04A0" w:firstRow="1" w:lastRow="0" w:firstColumn="1" w:lastColumn="0" w:noHBand="0" w:noVBand="1"/>
        <w:tblDescription w:val="Sensitivity analysis, ICERs changing CMR accuracy (base-case: 100%)"/>
      </w:tblPr>
      <w:tblGrid>
        <w:gridCol w:w="5517"/>
        <w:gridCol w:w="3633"/>
      </w:tblGrid>
      <w:tr w:rsidR="000E482F" w:rsidRPr="0022067E" w14:paraId="545FFE96" w14:textId="77777777" w:rsidTr="00723891">
        <w:trPr>
          <w:trHeight w:val="315"/>
          <w:tblHeader/>
        </w:trPr>
        <w:tc>
          <w:tcPr>
            <w:tcW w:w="3015" w:type="pct"/>
          </w:tcPr>
          <w:p w14:paraId="1AB84970" w14:textId="77777777" w:rsidR="000E482F" w:rsidRPr="008709EF" w:rsidRDefault="000E482F" w:rsidP="004C79C1">
            <w:pPr>
              <w:pStyle w:val="TableHeading"/>
              <w:spacing w:before="0" w:after="120"/>
              <w:jc w:val="center"/>
            </w:pPr>
            <w:r w:rsidRPr="008709EF">
              <w:t>CMR accuracy</w:t>
            </w:r>
          </w:p>
        </w:tc>
        <w:tc>
          <w:tcPr>
            <w:tcW w:w="1985" w:type="pct"/>
            <w:noWrap/>
          </w:tcPr>
          <w:p w14:paraId="2AE5FE78" w14:textId="77777777" w:rsidR="000E482F" w:rsidRPr="0022067E" w:rsidRDefault="000E482F" w:rsidP="004C79C1">
            <w:pPr>
              <w:pStyle w:val="TableHeading"/>
              <w:spacing w:before="0" w:after="120"/>
              <w:jc w:val="center"/>
            </w:pPr>
            <w:r>
              <w:t>ICER</w:t>
            </w:r>
          </w:p>
        </w:tc>
      </w:tr>
      <w:tr w:rsidR="000E482F" w:rsidRPr="0022067E" w14:paraId="6C34DEB4" w14:textId="77777777" w:rsidTr="00723891">
        <w:trPr>
          <w:trHeight w:val="315"/>
        </w:trPr>
        <w:tc>
          <w:tcPr>
            <w:tcW w:w="3015" w:type="pct"/>
            <w:tcBorders>
              <w:bottom w:val="single" w:sz="4" w:space="0" w:color="auto"/>
            </w:tcBorders>
          </w:tcPr>
          <w:p w14:paraId="01B694CA" w14:textId="4360D4D9" w:rsidR="000E482F" w:rsidRPr="008709EF" w:rsidRDefault="000E482F" w:rsidP="004C79C1">
            <w:pPr>
              <w:pStyle w:val="TableHeading"/>
              <w:tabs>
                <w:tab w:val="left" w:pos="1701"/>
              </w:tabs>
              <w:spacing w:before="0" w:after="120"/>
              <w:ind w:left="0" w:firstLine="0"/>
              <w:rPr>
                <w:b w:val="0"/>
              </w:rPr>
            </w:pPr>
            <w:r w:rsidRPr="008709EF">
              <w:rPr>
                <w:b w:val="0"/>
              </w:rPr>
              <w:t>Base</w:t>
            </w:r>
            <w:r w:rsidR="00BB4FB5">
              <w:rPr>
                <w:b w:val="0"/>
              </w:rPr>
              <w:t>-</w:t>
            </w:r>
            <w:r w:rsidRPr="008709EF">
              <w:rPr>
                <w:b w:val="0"/>
              </w:rPr>
              <w:t>case</w:t>
            </w:r>
            <w:r w:rsidR="003232F0" w:rsidRPr="008709EF">
              <w:rPr>
                <w:b w:val="0"/>
              </w:rPr>
              <w:t>:</w:t>
            </w:r>
            <w:r w:rsidR="003232F0">
              <w:rPr>
                <w:b w:val="0"/>
              </w:rPr>
              <w:tab/>
            </w:r>
            <w:r w:rsidRPr="008709EF">
              <w:rPr>
                <w:b w:val="0"/>
              </w:rPr>
              <w:t>100%</w:t>
            </w:r>
          </w:p>
        </w:tc>
        <w:tc>
          <w:tcPr>
            <w:tcW w:w="1985" w:type="pct"/>
            <w:tcBorders>
              <w:bottom w:val="single" w:sz="4" w:space="0" w:color="auto"/>
            </w:tcBorders>
            <w:noWrap/>
          </w:tcPr>
          <w:p w14:paraId="5476CA1F" w14:textId="77777777" w:rsidR="000E482F" w:rsidRDefault="000E482F" w:rsidP="004C79C1">
            <w:pPr>
              <w:pStyle w:val="TableHeading"/>
              <w:spacing w:before="0" w:after="120"/>
              <w:ind w:right="1421"/>
              <w:jc w:val="right"/>
            </w:pPr>
            <w:r w:rsidRPr="00F51AA8">
              <w:t>$3,1</w:t>
            </w:r>
            <w:r>
              <w:t>58</w:t>
            </w:r>
          </w:p>
        </w:tc>
      </w:tr>
      <w:tr w:rsidR="000E482F" w:rsidRPr="00B605D0" w14:paraId="5869C6EC" w14:textId="77777777" w:rsidTr="00723891">
        <w:trPr>
          <w:trHeight w:val="315"/>
        </w:trPr>
        <w:tc>
          <w:tcPr>
            <w:tcW w:w="3015" w:type="pct"/>
          </w:tcPr>
          <w:p w14:paraId="43508F42" w14:textId="433103EB" w:rsidR="000E482F" w:rsidRPr="00334FE1" w:rsidRDefault="000E482F" w:rsidP="004C79C1">
            <w:pPr>
              <w:pStyle w:val="Tabletext1"/>
              <w:tabs>
                <w:tab w:val="left" w:pos="1701"/>
              </w:tabs>
              <w:spacing w:before="0" w:after="120"/>
            </w:pPr>
            <w:r>
              <w:t>Sensitivity analyses</w:t>
            </w:r>
            <w:r w:rsidR="003232F0">
              <w:t>:</w:t>
            </w:r>
            <w:r w:rsidR="003232F0">
              <w:tab/>
            </w:r>
            <w:r>
              <w:t>85%</w:t>
            </w:r>
          </w:p>
        </w:tc>
        <w:tc>
          <w:tcPr>
            <w:tcW w:w="1985" w:type="pct"/>
            <w:noWrap/>
            <w:hideMark/>
          </w:tcPr>
          <w:p w14:paraId="0494B82A" w14:textId="77777777" w:rsidR="000E482F" w:rsidRPr="00813933" w:rsidRDefault="000E482F" w:rsidP="004C79C1">
            <w:pPr>
              <w:pStyle w:val="Tabletext1"/>
              <w:spacing w:before="0" w:after="120"/>
              <w:ind w:right="1421"/>
              <w:jc w:val="right"/>
              <w:rPr>
                <w:b/>
              </w:rPr>
            </w:pPr>
            <w:r w:rsidRPr="00813933">
              <w:rPr>
                <w:b/>
              </w:rPr>
              <w:t>Dominated</w:t>
            </w:r>
          </w:p>
        </w:tc>
      </w:tr>
      <w:tr w:rsidR="000E482F" w:rsidRPr="00B605D0" w14:paraId="550F32A3" w14:textId="77777777" w:rsidTr="00723891">
        <w:trPr>
          <w:trHeight w:val="315"/>
        </w:trPr>
        <w:tc>
          <w:tcPr>
            <w:tcW w:w="3015" w:type="pct"/>
          </w:tcPr>
          <w:p w14:paraId="6D013741" w14:textId="77777777" w:rsidR="000E482F" w:rsidRDefault="000E482F" w:rsidP="004C79C1">
            <w:pPr>
              <w:pStyle w:val="Tabletext1"/>
              <w:spacing w:before="0" w:after="120"/>
              <w:ind w:left="1701"/>
            </w:pPr>
            <w:r>
              <w:t>87%</w:t>
            </w:r>
          </w:p>
        </w:tc>
        <w:tc>
          <w:tcPr>
            <w:tcW w:w="1985" w:type="pct"/>
            <w:noWrap/>
          </w:tcPr>
          <w:p w14:paraId="62B1AB8D" w14:textId="77777777" w:rsidR="000E482F" w:rsidRPr="00813933" w:rsidRDefault="000E482F" w:rsidP="004C79C1">
            <w:pPr>
              <w:pStyle w:val="Tabletext1"/>
              <w:spacing w:before="0" w:after="120"/>
              <w:ind w:right="1421"/>
              <w:jc w:val="right"/>
              <w:rPr>
                <w:b/>
              </w:rPr>
            </w:pPr>
            <w:r w:rsidRPr="00813933">
              <w:rPr>
                <w:b/>
              </w:rPr>
              <w:t>Dominated</w:t>
            </w:r>
          </w:p>
        </w:tc>
      </w:tr>
      <w:tr w:rsidR="000E482F" w:rsidRPr="00B605D0" w14:paraId="40CC006C" w14:textId="77777777" w:rsidTr="00723891">
        <w:trPr>
          <w:trHeight w:val="315"/>
        </w:trPr>
        <w:tc>
          <w:tcPr>
            <w:tcW w:w="3015" w:type="pct"/>
          </w:tcPr>
          <w:p w14:paraId="43167F11" w14:textId="77777777" w:rsidR="000E482F" w:rsidRDefault="000E482F" w:rsidP="004C79C1">
            <w:pPr>
              <w:pStyle w:val="Tabletext1"/>
              <w:spacing w:before="0" w:after="120"/>
              <w:ind w:left="1701"/>
            </w:pPr>
            <w:r>
              <w:t>88%</w:t>
            </w:r>
          </w:p>
        </w:tc>
        <w:tc>
          <w:tcPr>
            <w:tcW w:w="1985" w:type="pct"/>
            <w:noWrap/>
          </w:tcPr>
          <w:p w14:paraId="51157F93" w14:textId="77777777" w:rsidR="000E482F" w:rsidRPr="00E45AE4" w:rsidRDefault="000E482F" w:rsidP="004C79C1">
            <w:pPr>
              <w:pStyle w:val="Tabletext1"/>
              <w:spacing w:before="0" w:after="120"/>
              <w:ind w:right="1421"/>
              <w:jc w:val="right"/>
            </w:pPr>
            <w:r w:rsidRPr="00E45AE4">
              <w:t>$52,777</w:t>
            </w:r>
          </w:p>
        </w:tc>
      </w:tr>
      <w:tr w:rsidR="000E482F" w:rsidRPr="00B605D0" w14:paraId="3C5FC69F" w14:textId="77777777" w:rsidTr="00723891">
        <w:trPr>
          <w:trHeight w:val="315"/>
        </w:trPr>
        <w:tc>
          <w:tcPr>
            <w:tcW w:w="3015" w:type="pct"/>
          </w:tcPr>
          <w:p w14:paraId="6D38F6CA" w14:textId="77777777" w:rsidR="000E482F" w:rsidRDefault="000E482F" w:rsidP="004C79C1">
            <w:pPr>
              <w:pStyle w:val="Tabletext1"/>
              <w:spacing w:before="0" w:after="120"/>
              <w:ind w:left="1701"/>
            </w:pPr>
            <w:r>
              <w:t>89%</w:t>
            </w:r>
          </w:p>
        </w:tc>
        <w:tc>
          <w:tcPr>
            <w:tcW w:w="1985" w:type="pct"/>
            <w:noWrap/>
          </w:tcPr>
          <w:p w14:paraId="3D608F21" w14:textId="77777777" w:rsidR="000E482F" w:rsidRDefault="000E482F" w:rsidP="004C79C1">
            <w:pPr>
              <w:pStyle w:val="Tabletext1"/>
              <w:spacing w:before="0" w:after="120"/>
              <w:ind w:right="1421"/>
              <w:jc w:val="right"/>
            </w:pPr>
            <w:r w:rsidRPr="00E45AE4">
              <w:t>$22,860</w:t>
            </w:r>
          </w:p>
        </w:tc>
      </w:tr>
      <w:tr w:rsidR="000E482F" w:rsidRPr="00B605D0" w14:paraId="60DE2AD4" w14:textId="77777777" w:rsidTr="00723891">
        <w:trPr>
          <w:trHeight w:val="315"/>
        </w:trPr>
        <w:tc>
          <w:tcPr>
            <w:tcW w:w="3015" w:type="pct"/>
          </w:tcPr>
          <w:p w14:paraId="41538F3D" w14:textId="77777777" w:rsidR="000E482F" w:rsidRDefault="000E482F" w:rsidP="004C79C1">
            <w:pPr>
              <w:pStyle w:val="Tabletext1"/>
              <w:spacing w:before="0" w:after="120"/>
              <w:ind w:left="1701"/>
            </w:pPr>
            <w:r>
              <w:t>90%</w:t>
            </w:r>
          </w:p>
        </w:tc>
        <w:tc>
          <w:tcPr>
            <w:tcW w:w="1985" w:type="pct"/>
            <w:noWrap/>
          </w:tcPr>
          <w:p w14:paraId="3DAAE9F5" w14:textId="77777777" w:rsidR="000E482F" w:rsidRPr="00E45AE4" w:rsidRDefault="000E482F" w:rsidP="004C79C1">
            <w:pPr>
              <w:pStyle w:val="Tabletext1"/>
              <w:spacing w:before="0" w:after="120"/>
              <w:ind w:right="1421"/>
              <w:jc w:val="right"/>
            </w:pPr>
            <w:r w:rsidRPr="00E45AE4">
              <w:t>$14,589</w:t>
            </w:r>
          </w:p>
        </w:tc>
      </w:tr>
      <w:tr w:rsidR="000E482F" w:rsidRPr="00B605D0" w14:paraId="70CAFB02" w14:textId="77777777" w:rsidTr="00723891">
        <w:trPr>
          <w:trHeight w:val="315"/>
        </w:trPr>
        <w:tc>
          <w:tcPr>
            <w:tcW w:w="3015" w:type="pct"/>
          </w:tcPr>
          <w:p w14:paraId="461DE427" w14:textId="77777777" w:rsidR="000E482F" w:rsidRDefault="000E482F" w:rsidP="004C79C1">
            <w:pPr>
              <w:pStyle w:val="Tabletext1"/>
              <w:spacing w:before="0" w:after="120"/>
              <w:ind w:left="1701"/>
            </w:pPr>
            <w:r>
              <w:t>93%</w:t>
            </w:r>
          </w:p>
        </w:tc>
        <w:tc>
          <w:tcPr>
            <w:tcW w:w="1985" w:type="pct"/>
            <w:noWrap/>
          </w:tcPr>
          <w:p w14:paraId="03C67D8B" w14:textId="77777777" w:rsidR="000E482F" w:rsidRDefault="000E482F" w:rsidP="004C79C1">
            <w:pPr>
              <w:pStyle w:val="Tabletext1"/>
              <w:spacing w:before="0" w:after="120"/>
              <w:ind w:right="1421"/>
              <w:jc w:val="right"/>
            </w:pPr>
            <w:r w:rsidRPr="00E45AE4">
              <w:t>$6,996</w:t>
            </w:r>
          </w:p>
        </w:tc>
      </w:tr>
      <w:tr w:rsidR="000E482F" w:rsidRPr="00B605D0" w14:paraId="199373A3" w14:textId="77777777" w:rsidTr="00723891">
        <w:trPr>
          <w:trHeight w:val="315"/>
        </w:trPr>
        <w:tc>
          <w:tcPr>
            <w:tcW w:w="3015" w:type="pct"/>
          </w:tcPr>
          <w:p w14:paraId="360C80CD" w14:textId="77777777" w:rsidR="000E482F" w:rsidRDefault="000E482F" w:rsidP="004C79C1">
            <w:pPr>
              <w:pStyle w:val="Tabletext1"/>
              <w:spacing w:before="0" w:after="120"/>
              <w:ind w:left="1701"/>
            </w:pPr>
            <w:r>
              <w:t>95%</w:t>
            </w:r>
          </w:p>
        </w:tc>
        <w:tc>
          <w:tcPr>
            <w:tcW w:w="1985" w:type="pct"/>
            <w:noWrap/>
          </w:tcPr>
          <w:p w14:paraId="18B602BB" w14:textId="77777777" w:rsidR="000E482F" w:rsidRDefault="000E482F" w:rsidP="004C79C1">
            <w:pPr>
              <w:pStyle w:val="Tabletext1"/>
              <w:spacing w:before="0" w:after="120"/>
              <w:ind w:right="1421"/>
              <w:jc w:val="right"/>
            </w:pPr>
            <w:r w:rsidRPr="00E45AE4">
              <w:t>$5,194</w:t>
            </w:r>
          </w:p>
        </w:tc>
      </w:tr>
    </w:tbl>
    <w:p w14:paraId="48C7F46E" w14:textId="4066F10B" w:rsidR="000E482F" w:rsidRPr="00280752" w:rsidRDefault="000E482F" w:rsidP="004C79C1">
      <w:pPr>
        <w:pStyle w:val="Tablenotes0"/>
        <w:spacing w:before="0" w:after="120"/>
      </w:pPr>
      <w:r w:rsidRPr="00280752">
        <w:t xml:space="preserve">CMR = cardiac magnetic resonance </w:t>
      </w:r>
      <w:r w:rsidR="008734D3">
        <w:t>(</w:t>
      </w:r>
      <w:r w:rsidRPr="00280752">
        <w:t>imaging</w:t>
      </w:r>
      <w:r w:rsidR="008734D3">
        <w:t>)</w:t>
      </w:r>
      <w:r w:rsidRPr="00280752">
        <w:t>; Dominated = intervention is more costly and less effective compared with the alternative; ICER = incremental cost-effectiveness ratio</w:t>
      </w:r>
    </w:p>
    <w:p w14:paraId="39F8ECFD" w14:textId="52E09D7A" w:rsidR="000E482F" w:rsidRDefault="000E482F" w:rsidP="00161B88">
      <w:pPr>
        <w:pStyle w:val="Heading4"/>
      </w:pPr>
      <w:r>
        <w:t xml:space="preserve">Including change in </w:t>
      </w:r>
      <w:r w:rsidR="00BB4FB5">
        <w:t>h</w:t>
      </w:r>
      <w:r>
        <w:t xml:space="preserve">eart </w:t>
      </w:r>
      <w:r w:rsidR="00BB4FB5">
        <w:t>t</w:t>
      </w:r>
      <w:r>
        <w:t>ransplant surgeries</w:t>
      </w:r>
    </w:p>
    <w:p w14:paraId="1DA87543" w14:textId="4904AC38" w:rsidR="000E482F" w:rsidRDefault="000E482F" w:rsidP="004C79C1">
      <w:pPr>
        <w:spacing w:after="120" w:line="240" w:lineRule="auto"/>
        <w:jc w:val="both"/>
      </w:pPr>
      <w:r>
        <w:t xml:space="preserve">In </w:t>
      </w:r>
      <w:r w:rsidR="00C46DA5">
        <w:t xml:space="preserve">the </w:t>
      </w:r>
      <w:r>
        <w:t>Taylor</w:t>
      </w:r>
      <w:r w:rsidR="00C46DA5">
        <w:t>, AJ</w:t>
      </w:r>
      <w:r>
        <w:t xml:space="preserve"> et al</w:t>
      </w:r>
      <w:r w:rsidR="00C46DA5">
        <w:t>.</w:t>
      </w:r>
      <w:r>
        <w:t xml:space="preserve">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t xml:space="preserve"> study, two out of five heart transplant surgeries were avoided in </w:t>
      </w:r>
      <w:r w:rsidR="00C46DA5">
        <w:t>HF</w:t>
      </w:r>
      <w:r>
        <w:t xml:space="preserve"> patients indicated </w:t>
      </w:r>
      <w:r w:rsidR="00A247C5">
        <w:t xml:space="preserve">for </w:t>
      </w:r>
      <w:r>
        <w:t>DCM. However, these change</w:t>
      </w:r>
      <w:r w:rsidR="00A247C5">
        <w:t>s</w:t>
      </w:r>
      <w:r>
        <w:t xml:space="preserve"> in planned transplant surgeries were not considered generali</w:t>
      </w:r>
      <w:r w:rsidR="00A247C5">
        <w:t>s</w:t>
      </w:r>
      <w:r>
        <w:t xml:space="preserve">able to the target population subgroup included in the model. Sensitivity analysis incorporating this data was performed. When </w:t>
      </w:r>
      <w:r w:rsidR="00A247C5">
        <w:t>h</w:t>
      </w:r>
      <w:r>
        <w:t>eart transplant surgeries are included in the model, CMR results as dominant</w:t>
      </w:r>
      <w:r w:rsidR="00BB3AAA">
        <w:t xml:space="preserve"> (</w:t>
      </w:r>
      <w:r w:rsidR="00280752">
        <w:fldChar w:fldCharType="begin"/>
      </w:r>
      <w:r w:rsidR="00280752">
        <w:instrText xml:space="preserve"> REF _Ref451266180 \h </w:instrText>
      </w:r>
      <w:r w:rsidR="00280752">
        <w:fldChar w:fldCharType="separate"/>
      </w:r>
      <w:r w:rsidR="00280752">
        <w:t xml:space="preserve">Table </w:t>
      </w:r>
      <w:r w:rsidR="00280752">
        <w:rPr>
          <w:noProof/>
        </w:rPr>
        <w:t>43</w:t>
      </w:r>
      <w:r w:rsidR="00280752">
        <w:fldChar w:fldCharType="end"/>
      </w:r>
      <w:r w:rsidR="00BB3AAA">
        <w:t>)</w:t>
      </w:r>
      <w:r w:rsidR="0052706C">
        <w:t>;</w:t>
      </w:r>
      <w:r>
        <w:t xml:space="preserve"> that is, CMR testing is less costly and more effective compared with </w:t>
      </w:r>
      <w:r w:rsidR="0052706C">
        <w:t xml:space="preserve">the </w:t>
      </w:r>
      <w:r>
        <w:t>no testing strategy.</w:t>
      </w:r>
    </w:p>
    <w:p w14:paraId="62A74C87" w14:textId="37A8CC16" w:rsidR="000E482F" w:rsidRDefault="000E482F" w:rsidP="004C79C1">
      <w:pPr>
        <w:pStyle w:val="Caption"/>
        <w:keepNext/>
      </w:pPr>
      <w:bookmarkStart w:id="571" w:name="_Ref451266180"/>
      <w:bookmarkStart w:id="572" w:name="_Toc449555003"/>
      <w:bookmarkStart w:id="573" w:name="_Toc324410212"/>
      <w:bookmarkStart w:id="574" w:name="_Toc451435370"/>
      <w:r>
        <w:t xml:space="preserve">Table </w:t>
      </w:r>
      <w:fldSimple w:instr=" SEQ Table \* ARABIC ">
        <w:r w:rsidR="00050936">
          <w:rPr>
            <w:noProof/>
          </w:rPr>
          <w:t>43</w:t>
        </w:r>
      </w:fldSimple>
      <w:bookmarkEnd w:id="571"/>
      <w:r>
        <w:tab/>
      </w:r>
      <w:r w:rsidRPr="00FA3085">
        <w:t>Sensitivity analysis,</w:t>
      </w:r>
      <w:r>
        <w:t xml:space="preserve"> including changes in </w:t>
      </w:r>
      <w:r w:rsidR="0052706C">
        <w:t>h</w:t>
      </w:r>
      <w:r>
        <w:t xml:space="preserve">eart </w:t>
      </w:r>
      <w:r w:rsidR="0052706C">
        <w:t>t</w:t>
      </w:r>
      <w:r>
        <w:t>ransplants</w:t>
      </w:r>
      <w:bookmarkEnd w:id="572"/>
      <w:bookmarkEnd w:id="573"/>
      <w:bookmarkEnd w:id="574"/>
    </w:p>
    <w:tbl>
      <w:tblPr>
        <w:tblStyle w:val="TableGrid"/>
        <w:tblW w:w="5000" w:type="pct"/>
        <w:tblLook w:val="04A0" w:firstRow="1" w:lastRow="0" w:firstColumn="1" w:lastColumn="0" w:noHBand="0" w:noVBand="1"/>
        <w:tblDescription w:val="Sensitivity analysis, including changes in Heart Transplants"/>
      </w:tblPr>
      <w:tblGrid>
        <w:gridCol w:w="7954"/>
        <w:gridCol w:w="1288"/>
      </w:tblGrid>
      <w:tr w:rsidR="000E482F" w:rsidRPr="0022067E" w14:paraId="5A5512CA" w14:textId="77777777" w:rsidTr="00723891">
        <w:trPr>
          <w:trHeight w:val="315"/>
          <w:tblHeader/>
        </w:trPr>
        <w:tc>
          <w:tcPr>
            <w:tcW w:w="4303" w:type="pct"/>
            <w:noWrap/>
          </w:tcPr>
          <w:p w14:paraId="472FB1EE" w14:textId="77777777" w:rsidR="000E482F" w:rsidRPr="0022067E" w:rsidRDefault="000E482F" w:rsidP="004C79C1">
            <w:pPr>
              <w:pStyle w:val="TableHeading"/>
              <w:spacing w:before="0" w:after="120"/>
            </w:pPr>
            <w:r>
              <w:t>Cost-effectiveness</w:t>
            </w:r>
          </w:p>
        </w:tc>
        <w:tc>
          <w:tcPr>
            <w:tcW w:w="697" w:type="pct"/>
            <w:noWrap/>
          </w:tcPr>
          <w:p w14:paraId="0BC9DDF7" w14:textId="77777777" w:rsidR="000E482F" w:rsidRPr="0022067E" w:rsidRDefault="000E482F" w:rsidP="004C79C1">
            <w:pPr>
              <w:pStyle w:val="TableHeading"/>
              <w:spacing w:before="0" w:after="120"/>
            </w:pPr>
            <w:r>
              <w:t>ICER</w:t>
            </w:r>
          </w:p>
        </w:tc>
      </w:tr>
      <w:tr w:rsidR="000E482F" w:rsidRPr="00B839C7" w14:paraId="5B9C56EC" w14:textId="77777777" w:rsidTr="00723891">
        <w:trPr>
          <w:trHeight w:val="330"/>
        </w:trPr>
        <w:tc>
          <w:tcPr>
            <w:tcW w:w="4303" w:type="pct"/>
            <w:noWrap/>
            <w:hideMark/>
          </w:tcPr>
          <w:p w14:paraId="0CBEA2DB" w14:textId="77777777" w:rsidR="000E482F" w:rsidRPr="00B839C7" w:rsidRDefault="000E482F" w:rsidP="004C79C1">
            <w:pPr>
              <w:pStyle w:val="Tabletext1"/>
              <w:spacing w:before="0" w:after="120"/>
              <w:rPr>
                <w:b/>
              </w:rPr>
            </w:pPr>
            <w:r>
              <w:rPr>
                <w:b/>
              </w:rPr>
              <w:t xml:space="preserve">Incremental cost per </w:t>
            </w:r>
            <w:r w:rsidRPr="00B839C7">
              <w:rPr>
                <w:b/>
              </w:rPr>
              <w:t>appropriate patient management (base-case)</w:t>
            </w:r>
          </w:p>
        </w:tc>
        <w:tc>
          <w:tcPr>
            <w:tcW w:w="697" w:type="pct"/>
            <w:noWrap/>
            <w:hideMark/>
          </w:tcPr>
          <w:p w14:paraId="087A6C60" w14:textId="77777777" w:rsidR="000E482F" w:rsidRPr="00B839C7" w:rsidRDefault="000E482F" w:rsidP="004C79C1">
            <w:pPr>
              <w:pStyle w:val="Tabletext1"/>
              <w:spacing w:before="0" w:after="120"/>
              <w:rPr>
                <w:b/>
              </w:rPr>
            </w:pPr>
            <w:r w:rsidRPr="00B839C7">
              <w:rPr>
                <w:b/>
              </w:rPr>
              <w:t>$3,158</w:t>
            </w:r>
          </w:p>
        </w:tc>
      </w:tr>
      <w:tr w:rsidR="000E482F" w:rsidRPr="00E62693" w14:paraId="21EE43BB" w14:textId="77777777" w:rsidTr="00723891">
        <w:trPr>
          <w:trHeight w:val="315"/>
        </w:trPr>
        <w:tc>
          <w:tcPr>
            <w:tcW w:w="4303" w:type="pct"/>
            <w:noWrap/>
            <w:hideMark/>
          </w:tcPr>
          <w:p w14:paraId="17BF707B" w14:textId="77777777" w:rsidR="000E482F" w:rsidRPr="00280752" w:rsidRDefault="000E482F" w:rsidP="004C79C1">
            <w:pPr>
              <w:pStyle w:val="Tabletext1"/>
              <w:spacing w:before="0" w:after="120"/>
              <w:rPr>
                <w:b/>
              </w:rPr>
            </w:pPr>
            <w:r w:rsidRPr="00280752">
              <w:rPr>
                <w:b/>
              </w:rPr>
              <w:t>Incremental cost per appropriate procedure</w:t>
            </w:r>
          </w:p>
        </w:tc>
        <w:tc>
          <w:tcPr>
            <w:tcW w:w="697" w:type="pct"/>
            <w:noWrap/>
            <w:hideMark/>
          </w:tcPr>
          <w:p w14:paraId="264AE2DF" w14:textId="77777777" w:rsidR="000E482F" w:rsidRPr="00E62693" w:rsidRDefault="000E482F" w:rsidP="004C79C1">
            <w:pPr>
              <w:pStyle w:val="Tabletext1"/>
              <w:spacing w:before="0" w:after="120"/>
              <w:rPr>
                <w:b/>
              </w:rPr>
            </w:pPr>
            <w:r w:rsidRPr="00E62693">
              <w:rPr>
                <w:b/>
              </w:rPr>
              <w:t>Dominant</w:t>
            </w:r>
          </w:p>
        </w:tc>
      </w:tr>
    </w:tbl>
    <w:p w14:paraId="4CA911AF" w14:textId="7CDDBB64" w:rsidR="000E482F" w:rsidRPr="00280752" w:rsidRDefault="000E482F" w:rsidP="004C79C1">
      <w:pPr>
        <w:pStyle w:val="Tablenotes0"/>
        <w:spacing w:before="0" w:after="120"/>
      </w:pPr>
      <w:r w:rsidRPr="00280752">
        <w:t>Dominant = intervention is less</w:t>
      </w:r>
      <w:r w:rsidR="0052706C">
        <w:t xml:space="preserve"> </w:t>
      </w:r>
      <w:r w:rsidRPr="00280752">
        <w:t>costly and more effective than the comparator; ICER = incremental cost-effectiveness ratio</w:t>
      </w:r>
    </w:p>
    <w:p w14:paraId="0D183B9F" w14:textId="4133B7A9" w:rsidR="000E482F" w:rsidRDefault="000E482F" w:rsidP="004C79C1">
      <w:pPr>
        <w:spacing w:after="120" w:line="240" w:lineRule="auto"/>
        <w:jc w:val="both"/>
      </w:pPr>
      <w:r>
        <w:t>Additional s</w:t>
      </w:r>
      <w:r w:rsidRPr="00BB2643">
        <w:t xml:space="preserve">ensitivity analyses using </w:t>
      </w:r>
      <w:r w:rsidR="001C5650">
        <w:t>p</w:t>
      </w:r>
      <w:r w:rsidRPr="00BB2643">
        <w:t>ublic</w:t>
      </w:r>
      <w:r w:rsidR="001C5650">
        <w:t>-</w:t>
      </w:r>
      <w:r w:rsidRPr="00BB2643">
        <w:t xml:space="preserve"> and </w:t>
      </w:r>
      <w:r w:rsidR="001C5650">
        <w:t>p</w:t>
      </w:r>
      <w:r w:rsidRPr="00BB2643">
        <w:t>rivate</w:t>
      </w:r>
      <w:r w:rsidR="001C5650">
        <w:t>-</w:t>
      </w:r>
      <w:r w:rsidRPr="00BB2643">
        <w:t xml:space="preserve">sector costs </w:t>
      </w:r>
      <w:r>
        <w:t>are</w:t>
      </w:r>
      <w:r w:rsidRPr="00BB2643">
        <w:t xml:space="preserve"> provided in Appendix O</w:t>
      </w:r>
      <w:r>
        <w:t>. In conclusion</w:t>
      </w:r>
      <w:r w:rsidR="001C5650">
        <w:t>,</w:t>
      </w:r>
      <w:r>
        <w:t xml:space="preserve"> </w:t>
      </w:r>
      <w:r w:rsidR="001C5650">
        <w:t xml:space="preserve">the </w:t>
      </w:r>
      <w:r>
        <w:t>incremental cost-effectiveness of CMR compared with no testing is sensitive to the changes in CMR accuracy and procedural costs included in the analysis. When CMR accuracy (base-case assumes 100%) is below 88%, CMR is dominated by the no testing strategy. In contrast</w:t>
      </w:r>
      <w:r w:rsidR="007469F6">
        <w:t>,</w:t>
      </w:r>
      <w:r>
        <w:t xml:space="preserve"> when changes in </w:t>
      </w:r>
      <w:r w:rsidR="007469F6">
        <w:t>h</w:t>
      </w:r>
      <w:r>
        <w:t>eart transplant surgeries are incorporated in the model</w:t>
      </w:r>
      <w:r w:rsidR="007469F6">
        <w:t>,</w:t>
      </w:r>
      <w:r>
        <w:t xml:space="preserve"> CMR testing results as dominant</w:t>
      </w:r>
      <w:r w:rsidR="007469F6">
        <w:t>,</w:t>
      </w:r>
      <w:r>
        <w:t xml:space="preserve"> </w:t>
      </w:r>
      <w:proofErr w:type="gramStart"/>
      <w:r w:rsidR="007469F6">
        <w:t xml:space="preserve">which </w:t>
      </w:r>
      <w:r>
        <w:t>is less costly and more effective.</w:t>
      </w:r>
      <w:proofErr w:type="gramEnd"/>
    </w:p>
    <w:p w14:paraId="75B3FC74" w14:textId="7819A649" w:rsidR="000E482F" w:rsidRPr="00270362" w:rsidRDefault="000E482F" w:rsidP="004C79C1">
      <w:pPr>
        <w:pStyle w:val="Heading2"/>
        <w:spacing w:before="0" w:after="120" w:line="240" w:lineRule="auto"/>
        <w:rPr>
          <w:highlight w:val="yellow"/>
        </w:rPr>
      </w:pPr>
      <w:bookmarkStart w:id="575" w:name="_Toc449428910"/>
      <w:bookmarkStart w:id="576" w:name="_Toc451501382"/>
      <w:r>
        <w:t xml:space="preserve">Population iiB: Patients with </w:t>
      </w:r>
      <w:r w:rsidRPr="00BB2643">
        <w:t xml:space="preserve">Intermediate </w:t>
      </w:r>
      <w:r w:rsidR="00C25CB5">
        <w:t>R</w:t>
      </w:r>
      <w:r w:rsidRPr="00BB2643">
        <w:t>isk of CAD</w:t>
      </w:r>
      <w:bookmarkEnd w:id="575"/>
      <w:bookmarkEnd w:id="576"/>
    </w:p>
    <w:p w14:paraId="14E8E91A" w14:textId="153C8F79" w:rsidR="000E482F" w:rsidRDefault="000E482F" w:rsidP="00161B88">
      <w:pPr>
        <w:pStyle w:val="Heading3"/>
      </w:pPr>
      <w:bookmarkStart w:id="577" w:name="_Toc449428911"/>
      <w:bookmarkStart w:id="578" w:name="_Toc451501383"/>
      <w:r>
        <w:t>D2</w:t>
      </w:r>
      <w:proofErr w:type="gramStart"/>
      <w:r>
        <w:t>.(</w:t>
      </w:r>
      <w:proofErr w:type="gramEnd"/>
      <w:r>
        <w:t>iiB)</w:t>
      </w:r>
      <w:r>
        <w:tab/>
        <w:t>Population and setting</w:t>
      </w:r>
      <w:bookmarkEnd w:id="577"/>
      <w:bookmarkEnd w:id="578"/>
    </w:p>
    <w:p w14:paraId="464340C5" w14:textId="44ED8E37" w:rsidR="000E482F" w:rsidRDefault="000E482F" w:rsidP="004C79C1">
      <w:pPr>
        <w:spacing w:after="120" w:line="240" w:lineRule="auto"/>
        <w:jc w:val="both"/>
      </w:pPr>
      <w:r w:rsidRPr="00E81D31">
        <w:t xml:space="preserve">This </w:t>
      </w:r>
      <w:r>
        <w:t>subpopulation</w:t>
      </w:r>
      <w:r w:rsidRPr="00E81D31">
        <w:t xml:space="preserve"> includes patients presenting with </w:t>
      </w:r>
      <w:r w:rsidR="00D6522F">
        <w:t>HF</w:t>
      </w:r>
      <w:r w:rsidRPr="00E81D31">
        <w:t xml:space="preserve"> symptoms, </w:t>
      </w:r>
      <w:r w:rsidR="00D6522F">
        <w:t xml:space="preserve">a </w:t>
      </w:r>
      <w:r w:rsidRPr="00E81D31">
        <w:t xml:space="preserve">dilated LV and systolic dysfunction with </w:t>
      </w:r>
      <w:r>
        <w:t>an intermediate</w:t>
      </w:r>
      <w:r w:rsidRPr="00E81D31">
        <w:t xml:space="preserve"> risk of CAD. </w:t>
      </w:r>
      <w:r>
        <w:t>I</w:t>
      </w:r>
      <w:r w:rsidRPr="00E81D31">
        <w:t xml:space="preserve">n patients assessed with </w:t>
      </w:r>
      <w:r w:rsidR="00303E90">
        <w:t xml:space="preserve">an </w:t>
      </w:r>
      <w:r w:rsidRPr="00E81D31">
        <w:t xml:space="preserve">intermediate risk of CAD, non-invasive imaging or </w:t>
      </w:r>
      <w:r>
        <w:t xml:space="preserve">an </w:t>
      </w:r>
      <w:r w:rsidRPr="00E81D31">
        <w:t>ICA</w:t>
      </w:r>
      <w:r>
        <w:t xml:space="preserve"> (invasive) is undertaken </w:t>
      </w:r>
      <w:r w:rsidRPr="00E81D31">
        <w:t>to rule out</w:t>
      </w:r>
      <w:r>
        <w:t xml:space="preserve"> (or identify)</w:t>
      </w:r>
      <w:r w:rsidRPr="00E81D31">
        <w:t xml:space="preserve"> ischaemia as the </w:t>
      </w:r>
      <w:r w:rsidRPr="00E81D31">
        <w:lastRenderedPageBreak/>
        <w:t xml:space="preserve">cause of DCM. </w:t>
      </w:r>
      <w:r>
        <w:t xml:space="preserve">In current practice, CTCA, SPECT and stress </w:t>
      </w:r>
      <w:r w:rsidR="004F632C">
        <w:t>echocardiography</w:t>
      </w:r>
      <w:r>
        <w:t xml:space="preserve"> are the possible non-invasive tests used to rule out ischaemia in this population.</w:t>
      </w:r>
      <w:r w:rsidRPr="00E81D31">
        <w:t xml:space="preserve"> </w:t>
      </w:r>
    </w:p>
    <w:p w14:paraId="1D18937F" w14:textId="06CAD542" w:rsidR="000E482F" w:rsidRDefault="000E482F" w:rsidP="004C79C1">
      <w:pPr>
        <w:spacing w:after="120" w:line="240" w:lineRule="auto"/>
        <w:jc w:val="both"/>
        <w:rPr>
          <w:szCs w:val="23"/>
        </w:rPr>
      </w:pPr>
      <w:r>
        <w:rPr>
          <w:szCs w:val="23"/>
        </w:rPr>
        <w:t xml:space="preserve">In patients with an intermediate risk of CAD, CMR is proposed as a possible alternative to the non-invasive imaging techniques of CTCA, SPECT and stress </w:t>
      </w:r>
      <w:r w:rsidR="004F632C">
        <w:rPr>
          <w:szCs w:val="23"/>
        </w:rPr>
        <w:t>echocardiography</w:t>
      </w:r>
      <w:r>
        <w:rPr>
          <w:szCs w:val="23"/>
        </w:rPr>
        <w:t xml:space="preserve"> (all of which may triage patients to ICA if ischaemia is likely), </w:t>
      </w:r>
      <w:r w:rsidRPr="00644A2A">
        <w:rPr>
          <w:szCs w:val="23"/>
        </w:rPr>
        <w:t>and as an alternative to patients going directly for an ICA</w:t>
      </w:r>
      <w:r w:rsidR="00303E90">
        <w:rPr>
          <w:szCs w:val="23"/>
        </w:rPr>
        <w:t>;</w:t>
      </w:r>
      <w:r w:rsidRPr="00644A2A">
        <w:rPr>
          <w:szCs w:val="23"/>
        </w:rPr>
        <w:t xml:space="preserve"> </w:t>
      </w:r>
      <w:r w:rsidR="00303E90">
        <w:rPr>
          <w:szCs w:val="23"/>
        </w:rPr>
        <w:t>that is,</w:t>
      </w:r>
      <w:r w:rsidRPr="00644A2A">
        <w:rPr>
          <w:szCs w:val="23"/>
        </w:rPr>
        <w:t xml:space="preserve"> ruling out the need for an ICA if patients have NIDCM, and triaging to ICA if they do show signs of ischaemia.</w:t>
      </w:r>
    </w:p>
    <w:p w14:paraId="52DF1F04" w14:textId="70852982" w:rsidR="000E482F" w:rsidRDefault="000E482F" w:rsidP="004C79C1">
      <w:pPr>
        <w:spacing w:after="120" w:line="240" w:lineRule="auto"/>
        <w:jc w:val="both"/>
      </w:pPr>
      <w:r>
        <w:t>Generally</w:t>
      </w:r>
      <w:r w:rsidR="00970CCC">
        <w:t>,</w:t>
      </w:r>
      <w:r>
        <w:t xml:space="preserve"> patients identified with a likely ischaemic cause of DCM </w:t>
      </w:r>
      <w:r w:rsidR="00970CCC">
        <w:t xml:space="preserve">would </w:t>
      </w:r>
      <w:r>
        <w:t>then undergo ICA (if not undertaken initially) and treatment plans based on the subsequent diagnoses.</w:t>
      </w:r>
    </w:p>
    <w:p w14:paraId="54B5B8EA" w14:textId="05FE594C" w:rsidR="000E482F" w:rsidRPr="00BB2C42" w:rsidRDefault="000E482F" w:rsidP="004C79C1">
      <w:pPr>
        <w:spacing w:after="120" w:line="240" w:lineRule="auto"/>
        <w:jc w:val="both"/>
      </w:pPr>
      <w:r>
        <w:rPr>
          <w:szCs w:val="23"/>
        </w:rPr>
        <w:t>If ischaemia is not detected</w:t>
      </w:r>
      <w:r w:rsidR="00970CCC">
        <w:rPr>
          <w:szCs w:val="23"/>
        </w:rPr>
        <w:t>,</w:t>
      </w:r>
      <w:r>
        <w:rPr>
          <w:szCs w:val="23"/>
        </w:rPr>
        <w:t xml:space="preserve"> patients would be referred for further testing</w:t>
      </w:r>
      <w:r w:rsidR="00970CCC">
        <w:rPr>
          <w:szCs w:val="23"/>
        </w:rPr>
        <w:t>,</w:t>
      </w:r>
      <w:r>
        <w:rPr>
          <w:szCs w:val="23"/>
        </w:rPr>
        <w:t xml:space="preserve"> which is proposed to include CMR in the current assessment. CMR has the benefit of being able to combine the function for assessing the aetiology of DCM at the same time as determining whether the patient has NIDCM.</w:t>
      </w:r>
    </w:p>
    <w:p w14:paraId="5A83C864" w14:textId="6A7B11EF" w:rsidR="000E482F" w:rsidRDefault="000E482F" w:rsidP="004C79C1">
      <w:pPr>
        <w:spacing w:after="120" w:line="240" w:lineRule="auto"/>
        <w:jc w:val="both"/>
      </w:pPr>
      <w:r>
        <w:t xml:space="preserve">Two studies were identified that provided comparative accuracy of ICA and CMR with </w:t>
      </w:r>
      <w:r w:rsidR="00783817">
        <w:t>available diagnostic data</w:t>
      </w:r>
      <w:r>
        <w:t xml:space="preserve"> as the reference standard. As such, a modelled analysis is presented for this comparison. This is presented as a CEA.</w:t>
      </w:r>
    </w:p>
    <w:p w14:paraId="0CAB86F0" w14:textId="6F07CC80" w:rsidR="000E482F" w:rsidRDefault="000E482F" w:rsidP="004C79C1">
      <w:pPr>
        <w:spacing w:after="120" w:line="240" w:lineRule="auto"/>
        <w:jc w:val="both"/>
      </w:pPr>
      <w:r>
        <w:t>No conclusive evidence relating to the comparative diagnostic accuracy and effectiveness of CMR</w:t>
      </w:r>
      <w:r w:rsidR="00CA67A2">
        <w:t xml:space="preserve">, </w:t>
      </w:r>
      <w:r>
        <w:t xml:space="preserve">and the alternative </w:t>
      </w:r>
      <w:r w:rsidRPr="009445D1">
        <w:t>non-invasive imaging modalities</w:t>
      </w:r>
      <w:r>
        <w:t xml:space="preserve"> CTCA, SPECT and stress </w:t>
      </w:r>
      <w:r w:rsidR="004F632C">
        <w:t>echocardiography</w:t>
      </w:r>
      <w:r w:rsidR="00CA67A2">
        <w:t>,</w:t>
      </w:r>
      <w:r>
        <w:t xml:space="preserve"> was identified. Therefore</w:t>
      </w:r>
      <w:r w:rsidR="00CA67A2">
        <w:t>,</w:t>
      </w:r>
      <w:r>
        <w:t xml:space="preserve"> only a simple CA comparing these tests with CMR is able to be presented. The CA </w:t>
      </w:r>
      <w:r w:rsidR="00F8360D">
        <w:t xml:space="preserve">comparing </w:t>
      </w:r>
      <w:r>
        <w:t xml:space="preserve">CTCA, SPECT and stress </w:t>
      </w:r>
      <w:r w:rsidR="004F632C">
        <w:t>echocardiography</w:t>
      </w:r>
      <w:r>
        <w:t xml:space="preserve"> is presented sequentially after the CEA </w:t>
      </w:r>
      <w:r w:rsidR="00F8360D">
        <w:t xml:space="preserve">comparing </w:t>
      </w:r>
      <w:r>
        <w:t xml:space="preserve">ICA. </w:t>
      </w:r>
    </w:p>
    <w:p w14:paraId="2B645A2A" w14:textId="3906E95C" w:rsidR="000E482F" w:rsidRDefault="000E482F" w:rsidP="00161B88">
      <w:pPr>
        <w:pStyle w:val="Heading4"/>
      </w:pPr>
      <w:bookmarkStart w:id="579" w:name="_Toc449428912"/>
      <w:r>
        <w:t>Cost</w:t>
      </w:r>
      <w:r w:rsidR="00C9307B">
        <w:t>-</w:t>
      </w:r>
      <w:r>
        <w:t xml:space="preserve">effectiveness analysis (CEA): CMR vs immediate ICA </w:t>
      </w:r>
      <w:bookmarkEnd w:id="579"/>
    </w:p>
    <w:p w14:paraId="43E3C0D8" w14:textId="59333A06" w:rsidR="000E482F" w:rsidRDefault="000E482F" w:rsidP="004C79C1">
      <w:pPr>
        <w:spacing w:after="120" w:line="240" w:lineRule="auto"/>
        <w:jc w:val="both"/>
      </w:pPr>
      <w:r>
        <w:t>The purpose of CMR testing in this case is to identify, using a non-invasive method</w:t>
      </w:r>
      <w:r w:rsidR="00BE76B3">
        <w:t>,</w:t>
      </w:r>
      <w:r>
        <w:t xml:space="preserve"> which patients should and should not be referred for further invasive testing.</w:t>
      </w:r>
    </w:p>
    <w:p w14:paraId="1369F22B" w14:textId="254F7097" w:rsidR="000E482F" w:rsidRDefault="000E482F" w:rsidP="004C79C1">
      <w:pPr>
        <w:spacing w:after="120" w:line="240" w:lineRule="auto"/>
        <w:jc w:val="both"/>
      </w:pPr>
      <w:r>
        <w:t xml:space="preserve">A literature search identified </w:t>
      </w:r>
      <w:r w:rsidR="00BE76B3">
        <w:t xml:space="preserve">1 </w:t>
      </w:r>
      <w:r>
        <w:t>study that presented the decision tree analysis of LGE-CMR as a gatekeeper to ICA</w:t>
      </w:r>
      <w:r w:rsidRPr="00DA3F91">
        <w:t xml:space="preserve"> </w:t>
      </w:r>
      <w:r>
        <w:t xml:space="preserve">in the UK setting </w:t>
      </w:r>
      <w:r>
        <w:fldChar w:fldCharType="begin"/>
      </w:r>
      <w:r>
        <w:instrText xml:space="preserve"> ADDIN EN.CITE &lt;EndNote&gt;&lt;Cite&gt;&lt;Author&gt;Assomull&lt;/Author&gt;&lt;Year&gt;2011&lt;/Year&gt;&lt;RecNum&gt;6&lt;/RecNum&gt;&lt;DisplayText&gt;(Assomull, R. G. et al. 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fldChar w:fldCharType="separate"/>
      </w:r>
      <w:r>
        <w:rPr>
          <w:noProof/>
        </w:rPr>
        <w:t>(</w:t>
      </w:r>
      <w:hyperlink w:anchor="_ENREF_9" w:tooltip="Assomull, 2011 #6" w:history="1">
        <w:r>
          <w:rPr>
            <w:noProof/>
          </w:rPr>
          <w:t>Assomull et al. 2011</w:t>
        </w:r>
      </w:hyperlink>
      <w:r>
        <w:rPr>
          <w:noProof/>
        </w:rPr>
        <w:t>)</w:t>
      </w:r>
      <w:r>
        <w:fldChar w:fldCharType="end"/>
      </w:r>
      <w:r>
        <w:t>. The strategy of using</w:t>
      </w:r>
      <w:r w:rsidRPr="00BA6F4A">
        <w:t xml:space="preserve"> CMR as a gatekeeper to ICA</w:t>
      </w:r>
      <w:r>
        <w:t xml:space="preserve"> was found </w:t>
      </w:r>
      <w:r w:rsidR="00675F11">
        <w:t xml:space="preserve">to be </w:t>
      </w:r>
      <w:r>
        <w:t>less expensive than the alternative</w:t>
      </w:r>
      <w:r w:rsidR="00675F11">
        <w:t>,</w:t>
      </w:r>
      <w:r>
        <w:t xml:space="preserve"> which assumed </w:t>
      </w:r>
      <w:r w:rsidR="00675F11">
        <w:t xml:space="preserve">that </w:t>
      </w:r>
      <w:r>
        <w:t>all patients would undergo ICA. The authors suggested that the economic conclusions of this model would be sensitive to the relative cost</w:t>
      </w:r>
      <w:r w:rsidR="00675F11">
        <w:t>s</w:t>
      </w:r>
      <w:r>
        <w:t xml:space="preserve"> of CMR and ICA in each specific healthcare </w:t>
      </w:r>
      <w:r w:rsidRPr="00BB2643">
        <w:t>system. Assomull et al</w:t>
      </w:r>
      <w:r w:rsidR="00675F11">
        <w:t>.</w:t>
      </w:r>
      <w:r w:rsidRPr="00BB2643">
        <w:t xml:space="preserve"> </w:t>
      </w:r>
      <w:r>
        <w:fldChar w:fldCharType="begin"/>
      </w:r>
      <w: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fldChar w:fldCharType="separate"/>
      </w:r>
      <w:r>
        <w:rPr>
          <w:noProof/>
        </w:rPr>
        <w:t>(</w:t>
      </w:r>
      <w:hyperlink w:anchor="_ENREF_9" w:tooltip="Assomull, 2011 #6" w:history="1">
        <w:r>
          <w:rPr>
            <w:noProof/>
          </w:rPr>
          <w:t>2011</w:t>
        </w:r>
      </w:hyperlink>
      <w:r>
        <w:rPr>
          <w:noProof/>
        </w:rPr>
        <w:t>)</w:t>
      </w:r>
      <w:r>
        <w:fldChar w:fldCharType="end"/>
      </w:r>
      <w:r w:rsidRPr="00BA6F4A">
        <w:t xml:space="preserve"> </w:t>
      </w:r>
      <w:r>
        <w:t xml:space="preserve">also </w:t>
      </w:r>
      <w:r w:rsidRPr="00BA6F4A">
        <w:t xml:space="preserve">discuss the use of CMR as a gatekeeper to ICA in patients with HF of unknown aetiology. </w:t>
      </w:r>
      <w:r>
        <w:t>No Australian study comparing the economic implications of CMR and ICA in the proposed population was identified. A decision tree analysis based on the model presented in Assomull et al</w:t>
      </w:r>
      <w:r w:rsidR="00A158F4">
        <w:t>.</w:t>
      </w:r>
      <w:r>
        <w:t xml:space="preserve"> </w:t>
      </w:r>
      <w:r>
        <w:fldChar w:fldCharType="begin"/>
      </w:r>
      <w: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fldChar w:fldCharType="separate"/>
      </w:r>
      <w:r>
        <w:rPr>
          <w:noProof/>
        </w:rPr>
        <w:t>(</w:t>
      </w:r>
      <w:hyperlink w:anchor="_ENREF_9" w:tooltip="Assomull, 2011 #6" w:history="1">
        <w:r>
          <w:rPr>
            <w:noProof/>
          </w:rPr>
          <w:t>2011</w:t>
        </w:r>
      </w:hyperlink>
      <w:r>
        <w:rPr>
          <w:noProof/>
        </w:rPr>
        <w:t>)</w:t>
      </w:r>
      <w:r>
        <w:fldChar w:fldCharType="end"/>
      </w:r>
      <w:r>
        <w:t>, but using Australian inputs</w:t>
      </w:r>
      <w:r w:rsidR="00A158F4">
        <w:t>,</w:t>
      </w:r>
      <w:r>
        <w:t xml:space="preserve"> is presented in this economic analysis.</w:t>
      </w:r>
    </w:p>
    <w:p w14:paraId="627C0AF9" w14:textId="739F10D7" w:rsidR="000E482F" w:rsidRDefault="000E482F" w:rsidP="00161B88">
      <w:pPr>
        <w:pStyle w:val="Heading3"/>
      </w:pPr>
      <w:bookmarkStart w:id="580" w:name="_Toc449428913"/>
      <w:bookmarkStart w:id="581" w:name="_Toc451501384"/>
      <w:r>
        <w:t>D3</w:t>
      </w:r>
      <w:proofErr w:type="gramStart"/>
      <w:r>
        <w:t>.(</w:t>
      </w:r>
      <w:proofErr w:type="gramEnd"/>
      <w:r>
        <w:t>iiB) CEA</w:t>
      </w:r>
      <w:r>
        <w:tab/>
      </w:r>
      <w:r w:rsidRPr="000F6D83">
        <w:t>Structure</w:t>
      </w:r>
      <w:bookmarkEnd w:id="580"/>
      <w:bookmarkEnd w:id="581"/>
    </w:p>
    <w:p w14:paraId="4BBDEADE" w14:textId="6F779442" w:rsidR="000E482F" w:rsidRPr="00E110F6" w:rsidRDefault="000E482F" w:rsidP="004C79C1">
      <w:pPr>
        <w:spacing w:after="120" w:line="240" w:lineRule="auto"/>
        <w:jc w:val="both"/>
      </w:pPr>
      <w:r w:rsidRPr="00E110F6">
        <w:rPr>
          <w:noProof/>
        </w:rPr>
        <w:t>The economic model presented is a decision-tree analysis, built in TreeAge Pro.</w:t>
      </w:r>
      <w:r w:rsidRPr="00E110F6">
        <w:t xml:space="preserve"> The time horizon chosen for the economic model is the time to achieve a diagnostic conclusion</w:t>
      </w:r>
      <w:r w:rsidR="004457D3">
        <w:t>,</w:t>
      </w:r>
      <w:r w:rsidRPr="00E110F6">
        <w:t xml:space="preserve"> based on </w:t>
      </w:r>
      <w:r>
        <w:t>CMR</w:t>
      </w:r>
      <w:r w:rsidRPr="00E110F6">
        <w:t xml:space="preserve"> or ICA. </w:t>
      </w:r>
      <w:r w:rsidRPr="0006200C">
        <w:t xml:space="preserve">Since conclusions regarding the long-term health outcome effects of treatment strategies chosen post-diagnosis cannot be made with any certainty (see </w:t>
      </w:r>
      <w:r w:rsidR="00FE2743">
        <w:t>s</w:t>
      </w:r>
      <w:r w:rsidRPr="0006200C">
        <w:t>ection</w:t>
      </w:r>
      <w:r>
        <w:t xml:space="preserve"> B.5</w:t>
      </w:r>
      <w:r w:rsidRPr="0006200C">
        <w:t xml:space="preserve">), the model terminates before this component of the treatment pathway, and neither costs nor </w:t>
      </w:r>
      <w:r>
        <w:t xml:space="preserve">health </w:t>
      </w:r>
      <w:r w:rsidRPr="0006200C">
        <w:t>outcomes associated with post-diagnosis treatments are included</w:t>
      </w:r>
      <w:r>
        <w:t>, which limits interpretation of the analysis</w:t>
      </w:r>
      <w:r w:rsidRPr="0006200C">
        <w:t>.</w:t>
      </w:r>
      <w:r w:rsidRPr="00E110F6">
        <w:t xml:space="preserve"> </w:t>
      </w:r>
    </w:p>
    <w:p w14:paraId="4FE81C84" w14:textId="597F9200" w:rsidR="000E482F" w:rsidRDefault="000E482F" w:rsidP="004C79C1">
      <w:pPr>
        <w:spacing w:after="120" w:line="240" w:lineRule="auto"/>
        <w:jc w:val="both"/>
        <w:rPr>
          <w:noProof/>
        </w:rPr>
      </w:pPr>
      <w:r w:rsidRPr="00E110F6">
        <w:rPr>
          <w:noProof/>
        </w:rPr>
        <w:t xml:space="preserve">Patients </w:t>
      </w:r>
      <w:r>
        <w:rPr>
          <w:noProof/>
        </w:rPr>
        <w:t xml:space="preserve">enter the model </w:t>
      </w:r>
      <w:r w:rsidRPr="00E110F6">
        <w:rPr>
          <w:noProof/>
        </w:rPr>
        <w:t xml:space="preserve">with </w:t>
      </w:r>
      <w:r w:rsidR="004457D3">
        <w:rPr>
          <w:noProof/>
        </w:rPr>
        <w:t>HF</w:t>
      </w:r>
      <w:r>
        <w:rPr>
          <w:noProof/>
        </w:rPr>
        <w:t xml:space="preserve"> symptoms, </w:t>
      </w:r>
      <w:r w:rsidR="004457D3">
        <w:rPr>
          <w:noProof/>
        </w:rPr>
        <w:t xml:space="preserve">a </w:t>
      </w:r>
      <w:r>
        <w:rPr>
          <w:noProof/>
        </w:rPr>
        <w:t xml:space="preserve">dilated LV, systolic dysfunction and </w:t>
      </w:r>
      <w:r w:rsidRPr="00E110F6">
        <w:rPr>
          <w:noProof/>
        </w:rPr>
        <w:t xml:space="preserve">an intermediate </w:t>
      </w:r>
      <w:r>
        <w:rPr>
          <w:noProof/>
        </w:rPr>
        <w:t xml:space="preserve">risk </w:t>
      </w:r>
      <w:r w:rsidRPr="00E110F6">
        <w:rPr>
          <w:noProof/>
        </w:rPr>
        <w:t>of having CAD.</w:t>
      </w:r>
      <w:r>
        <w:rPr>
          <w:noProof/>
        </w:rPr>
        <w:t xml:space="preserve"> </w:t>
      </w:r>
      <w:r w:rsidRPr="00E110F6">
        <w:rPr>
          <w:noProof/>
        </w:rPr>
        <w:t>In the interv</w:t>
      </w:r>
      <w:r>
        <w:rPr>
          <w:noProof/>
        </w:rPr>
        <w:t xml:space="preserve">ention arm, patients receive </w:t>
      </w:r>
      <w:r w:rsidRPr="00E110F6">
        <w:rPr>
          <w:noProof/>
        </w:rPr>
        <w:t xml:space="preserve">CMR testing for the diagnosis of </w:t>
      </w:r>
      <w:r w:rsidRPr="00E9299D">
        <w:rPr>
          <w:i/>
          <w:noProof/>
        </w:rPr>
        <w:t>non-ischaemic</w:t>
      </w:r>
      <w:r>
        <w:rPr>
          <w:noProof/>
        </w:rPr>
        <w:t xml:space="preserve"> DCM. A</w:t>
      </w:r>
      <w:r w:rsidRPr="00E110F6">
        <w:rPr>
          <w:noProof/>
        </w:rPr>
        <w:t xml:space="preserve"> </w:t>
      </w:r>
      <w:r>
        <w:rPr>
          <w:noProof/>
        </w:rPr>
        <w:t>‘positive</w:t>
      </w:r>
      <w:r w:rsidRPr="00E110F6">
        <w:rPr>
          <w:noProof/>
        </w:rPr>
        <w:t xml:space="preserve"> result</w:t>
      </w:r>
      <w:r>
        <w:rPr>
          <w:noProof/>
        </w:rPr>
        <w:t xml:space="preserve"> for NIDCM’</w:t>
      </w:r>
      <w:r w:rsidRPr="00E110F6">
        <w:rPr>
          <w:noProof/>
        </w:rPr>
        <w:t xml:space="preserve"> is assumed to </w:t>
      </w:r>
      <w:r>
        <w:rPr>
          <w:noProof/>
        </w:rPr>
        <w:t xml:space="preserve">direct </w:t>
      </w:r>
      <w:r w:rsidRPr="00E110F6">
        <w:rPr>
          <w:noProof/>
        </w:rPr>
        <w:t>management</w:t>
      </w:r>
      <w:r>
        <w:rPr>
          <w:noProof/>
        </w:rPr>
        <w:t xml:space="preserve"> to avoid an ICA in each</w:t>
      </w:r>
      <w:r w:rsidRPr="00E110F6">
        <w:rPr>
          <w:noProof/>
        </w:rPr>
        <w:t xml:space="preserve"> patient with </w:t>
      </w:r>
      <w:r>
        <w:rPr>
          <w:noProof/>
        </w:rPr>
        <w:t>this diagnosis. P</w:t>
      </w:r>
      <w:r w:rsidRPr="00E110F6">
        <w:rPr>
          <w:noProof/>
        </w:rPr>
        <w:t xml:space="preserve">atients with a </w:t>
      </w:r>
      <w:r>
        <w:rPr>
          <w:noProof/>
        </w:rPr>
        <w:t xml:space="preserve">CMR </w:t>
      </w:r>
      <w:r w:rsidRPr="00E110F6">
        <w:rPr>
          <w:noProof/>
        </w:rPr>
        <w:t xml:space="preserve">result </w:t>
      </w:r>
      <w:r>
        <w:rPr>
          <w:noProof/>
        </w:rPr>
        <w:t xml:space="preserve">suggesting ischaemia (in this case ‘negative for NIDCM’) </w:t>
      </w:r>
      <w:r w:rsidRPr="00E110F6">
        <w:rPr>
          <w:noProof/>
        </w:rPr>
        <w:t>will receive an ICA as part of</w:t>
      </w:r>
      <w:r w:rsidR="001B00D1">
        <w:rPr>
          <w:noProof/>
        </w:rPr>
        <w:t xml:space="preserve"> </w:t>
      </w:r>
      <w:r w:rsidRPr="00E110F6">
        <w:rPr>
          <w:noProof/>
        </w:rPr>
        <w:t>CAD management and to confirm th</w:t>
      </w:r>
      <w:r>
        <w:rPr>
          <w:noProof/>
        </w:rPr>
        <w:t xml:space="preserve">at </w:t>
      </w:r>
      <w:r w:rsidRPr="00E110F6">
        <w:rPr>
          <w:noProof/>
        </w:rPr>
        <w:t>diagnosis.</w:t>
      </w:r>
    </w:p>
    <w:p w14:paraId="169AD3F0" w14:textId="3C43FA18" w:rsidR="000E482F" w:rsidRDefault="00280752" w:rsidP="004C79C1">
      <w:pPr>
        <w:spacing w:after="120" w:line="240" w:lineRule="auto"/>
        <w:jc w:val="both"/>
      </w:pPr>
      <w:r>
        <w:lastRenderedPageBreak/>
        <w:fldChar w:fldCharType="begin"/>
      </w:r>
      <w:r>
        <w:instrText xml:space="preserve"> REF _Ref449548356 \h </w:instrText>
      </w:r>
      <w:r>
        <w:fldChar w:fldCharType="separate"/>
      </w:r>
      <w:r>
        <w:t xml:space="preserve">Figure </w:t>
      </w:r>
      <w:r>
        <w:rPr>
          <w:noProof/>
        </w:rPr>
        <w:t>36</w:t>
      </w:r>
      <w:r>
        <w:fldChar w:fldCharType="end"/>
      </w:r>
      <w:r w:rsidR="000E482F">
        <w:t xml:space="preserve"> shows the d</w:t>
      </w:r>
      <w:r w:rsidR="000E482F" w:rsidRPr="00F548E6">
        <w:t>ecision</w:t>
      </w:r>
      <w:r w:rsidR="000E482F">
        <w:t xml:space="preserve"> analytic structure of the CEA comparing CMR with ICA.</w:t>
      </w:r>
    </w:p>
    <w:p w14:paraId="4CC16BD0" w14:textId="6089B0D3" w:rsidR="000E482F" w:rsidRDefault="00944968" w:rsidP="004C79C1">
      <w:pPr>
        <w:spacing w:after="120" w:line="240" w:lineRule="auto"/>
      </w:pPr>
      <w:r>
        <w:rPr>
          <w:noProof/>
        </w:rPr>
        <w:drawing>
          <wp:inline distT="0" distB="0" distL="0" distR="0" wp14:anchorId="0899C193" wp14:editId="0DA3D0B0">
            <wp:extent cx="5503985" cy="1975756"/>
            <wp:effectExtent l="0" t="0" r="1905" b="5715"/>
            <wp:docPr id="27" name="Picture 27" descr="Decision analytic structure of the cost-effectiveness analysis, CMR vs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CM-Pop iiB - Figure 36 -May 4.tiff"/>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5523162" cy="1982640"/>
                    </a:xfrm>
                    <a:prstGeom prst="rect">
                      <a:avLst/>
                    </a:prstGeom>
                    <a:ln>
                      <a:noFill/>
                    </a:ln>
                    <a:extLst>
                      <a:ext uri="{53640926-AAD7-44D8-BBD7-CCE9431645EC}">
                        <a14:shadowObscured xmlns:a14="http://schemas.microsoft.com/office/drawing/2010/main"/>
                      </a:ext>
                    </a:extLst>
                  </pic:spPr>
                </pic:pic>
              </a:graphicData>
            </a:graphic>
          </wp:inline>
        </w:drawing>
      </w:r>
    </w:p>
    <w:p w14:paraId="3351EB4C" w14:textId="0F832BFC" w:rsidR="000E482F" w:rsidRDefault="000E482F" w:rsidP="004C79C1">
      <w:pPr>
        <w:pStyle w:val="Caption"/>
      </w:pPr>
      <w:bookmarkStart w:id="582" w:name="_Ref449548356"/>
      <w:bookmarkStart w:id="583" w:name="_Toc449555125"/>
      <w:bookmarkStart w:id="584" w:name="_Toc324410213"/>
      <w:bookmarkStart w:id="585" w:name="_Toc451435482"/>
      <w:r>
        <w:t xml:space="preserve">Figure </w:t>
      </w:r>
      <w:fldSimple w:instr=" SEQ Figure \* ARABIC ">
        <w:r w:rsidR="00280752">
          <w:rPr>
            <w:noProof/>
          </w:rPr>
          <w:t>36</w:t>
        </w:r>
      </w:fldSimple>
      <w:bookmarkEnd w:id="582"/>
      <w:r>
        <w:tab/>
        <w:t>Decision analytic structure of the cost-effectiveness analysis, CMR vs ICA</w:t>
      </w:r>
      <w:bookmarkEnd w:id="583"/>
      <w:bookmarkEnd w:id="584"/>
      <w:bookmarkEnd w:id="585"/>
    </w:p>
    <w:p w14:paraId="68BC8931" w14:textId="5BF9BF75" w:rsidR="000E482F" w:rsidRDefault="000E482F" w:rsidP="004C79C1">
      <w:pPr>
        <w:pStyle w:val="Tablenotes0"/>
        <w:spacing w:before="0" w:after="120"/>
      </w:pPr>
      <w:r w:rsidRPr="009409C5">
        <w:t xml:space="preserve">CAD = coronary artery disease; </w:t>
      </w:r>
      <w:r w:rsidRPr="009409C5">
        <w:rPr>
          <w:rStyle w:val="st"/>
        </w:rPr>
        <w:t xml:space="preserve">CMR = cardiac magnetic resonance </w:t>
      </w:r>
      <w:r w:rsidR="008734D3">
        <w:rPr>
          <w:rStyle w:val="st"/>
        </w:rPr>
        <w:t>(</w:t>
      </w:r>
      <w:r w:rsidRPr="009409C5">
        <w:rPr>
          <w:rStyle w:val="st"/>
        </w:rPr>
        <w:t>imaging</w:t>
      </w:r>
      <w:r w:rsidR="008734D3">
        <w:rPr>
          <w:rStyle w:val="st"/>
        </w:rPr>
        <w:t>)</w:t>
      </w:r>
      <w:r w:rsidRPr="009409C5">
        <w:rPr>
          <w:rStyle w:val="st"/>
        </w:rPr>
        <w:t>;</w:t>
      </w:r>
      <w:r w:rsidRPr="009409C5">
        <w:t xml:space="preserve"> DCM = dilated cardiomyopathy; ICA = invasive coronary angiography; LV = left ventricle; </w:t>
      </w:r>
      <w:proofErr w:type="gramStart"/>
      <w:r w:rsidRPr="009409C5">
        <w:t>Tx</w:t>
      </w:r>
      <w:proofErr w:type="gramEnd"/>
      <w:r w:rsidRPr="009409C5">
        <w:t xml:space="preserve"> = treatment</w:t>
      </w:r>
    </w:p>
    <w:p w14:paraId="23E7FAB0" w14:textId="11E93139" w:rsidR="000E482F" w:rsidRDefault="000E482F" w:rsidP="004C79C1">
      <w:pPr>
        <w:spacing w:after="120" w:line="240" w:lineRule="auto"/>
        <w:jc w:val="both"/>
        <w:rPr>
          <w:noProof/>
        </w:rPr>
      </w:pPr>
      <w:r w:rsidRPr="00E110F6">
        <w:rPr>
          <w:noProof/>
        </w:rPr>
        <w:t>Patients with a</w:t>
      </w:r>
      <w:r>
        <w:rPr>
          <w:noProof/>
        </w:rPr>
        <w:t xml:space="preserve"> ‘</w:t>
      </w:r>
      <w:r w:rsidRPr="00E110F6">
        <w:rPr>
          <w:noProof/>
        </w:rPr>
        <w:t xml:space="preserve">false </w:t>
      </w:r>
      <w:r>
        <w:rPr>
          <w:noProof/>
        </w:rPr>
        <w:t xml:space="preserve">negative </w:t>
      </w:r>
      <w:r w:rsidR="0011758E" w:rsidRPr="006C41A1">
        <w:rPr>
          <w:noProof/>
        </w:rPr>
        <w:t>diagnos</w:t>
      </w:r>
      <w:r w:rsidR="0011758E">
        <w:rPr>
          <w:noProof/>
        </w:rPr>
        <w:t>is</w:t>
      </w:r>
      <w:r w:rsidR="0011758E" w:rsidRPr="006C41A1">
        <w:rPr>
          <w:noProof/>
        </w:rPr>
        <w:t xml:space="preserve"> </w:t>
      </w:r>
      <w:r>
        <w:rPr>
          <w:noProof/>
        </w:rPr>
        <w:t xml:space="preserve">for NIDCM’ (i.e. incorrectly suggesting a diagnosis of CAD) </w:t>
      </w:r>
      <w:r w:rsidRPr="00E110F6">
        <w:rPr>
          <w:noProof/>
        </w:rPr>
        <w:t xml:space="preserve">will have </w:t>
      </w:r>
      <w:r>
        <w:rPr>
          <w:noProof/>
        </w:rPr>
        <w:t>an ICA</w:t>
      </w:r>
      <w:r w:rsidR="00454694">
        <w:rPr>
          <w:noProof/>
        </w:rPr>
        <w:t>,</w:t>
      </w:r>
      <w:r>
        <w:rPr>
          <w:noProof/>
        </w:rPr>
        <w:t xml:space="preserve"> and it is assumed that </w:t>
      </w:r>
      <w:r w:rsidRPr="00E110F6">
        <w:rPr>
          <w:noProof/>
        </w:rPr>
        <w:t xml:space="preserve">their diagnosis </w:t>
      </w:r>
      <w:r>
        <w:rPr>
          <w:noProof/>
        </w:rPr>
        <w:t xml:space="preserve">would then be </w:t>
      </w:r>
      <w:r w:rsidRPr="00E110F6">
        <w:rPr>
          <w:noProof/>
        </w:rPr>
        <w:t>corrected at this time.</w:t>
      </w:r>
      <w:r>
        <w:rPr>
          <w:noProof/>
        </w:rPr>
        <w:t xml:space="preserve"> There is no data available on p</w:t>
      </w:r>
      <w:r w:rsidRPr="006C41A1">
        <w:rPr>
          <w:noProof/>
        </w:rPr>
        <w:t xml:space="preserve">atients </w:t>
      </w:r>
      <w:r>
        <w:rPr>
          <w:noProof/>
        </w:rPr>
        <w:t>who may have a ‘</w:t>
      </w:r>
      <w:r w:rsidRPr="006C41A1">
        <w:rPr>
          <w:noProof/>
        </w:rPr>
        <w:t xml:space="preserve">false </w:t>
      </w:r>
      <w:r>
        <w:rPr>
          <w:noProof/>
        </w:rPr>
        <w:t xml:space="preserve">positive </w:t>
      </w:r>
      <w:r w:rsidRPr="006C41A1">
        <w:rPr>
          <w:noProof/>
        </w:rPr>
        <w:t>diagnos</w:t>
      </w:r>
      <w:r>
        <w:rPr>
          <w:noProof/>
        </w:rPr>
        <w:t>is</w:t>
      </w:r>
      <w:r w:rsidRPr="006C41A1">
        <w:rPr>
          <w:noProof/>
        </w:rPr>
        <w:t xml:space="preserve"> </w:t>
      </w:r>
      <w:r>
        <w:rPr>
          <w:noProof/>
        </w:rPr>
        <w:t>of</w:t>
      </w:r>
      <w:r w:rsidRPr="006C41A1">
        <w:rPr>
          <w:noProof/>
        </w:rPr>
        <w:t xml:space="preserve"> NIDCM</w:t>
      </w:r>
      <w:r>
        <w:rPr>
          <w:noProof/>
        </w:rPr>
        <w:t>’ (i.e. when they are, in fact, ischaemic)</w:t>
      </w:r>
      <w:r w:rsidR="00454694">
        <w:rPr>
          <w:noProof/>
        </w:rPr>
        <w:t>,</w:t>
      </w:r>
      <w:r>
        <w:rPr>
          <w:noProof/>
        </w:rPr>
        <w:t xml:space="preserve"> and the implications of such </w:t>
      </w:r>
      <w:r w:rsidR="0011758E">
        <w:rPr>
          <w:noProof/>
        </w:rPr>
        <w:t xml:space="preserve">a </w:t>
      </w:r>
      <w:r>
        <w:rPr>
          <w:noProof/>
        </w:rPr>
        <w:t>result are not included in the model. This is a limitation of the model, but it is anticipated that</w:t>
      </w:r>
      <w:r w:rsidR="00454694">
        <w:rPr>
          <w:noProof/>
        </w:rPr>
        <w:t>,</w:t>
      </w:r>
      <w:r>
        <w:rPr>
          <w:noProof/>
        </w:rPr>
        <w:t xml:space="preserve"> as these patients</w:t>
      </w:r>
      <w:r w:rsidRPr="006C41A1">
        <w:rPr>
          <w:noProof/>
        </w:rPr>
        <w:t xml:space="preserve"> </w:t>
      </w:r>
      <w:r>
        <w:rPr>
          <w:noProof/>
        </w:rPr>
        <w:t>are under close medical attention with further investigation, it is likely that they would receive a corrected diagnosis and appropriate CAD treatment, after a delay.</w:t>
      </w:r>
    </w:p>
    <w:p w14:paraId="1588FC45" w14:textId="367E2772" w:rsidR="000E482F" w:rsidRDefault="000E482F" w:rsidP="004C79C1">
      <w:pPr>
        <w:spacing w:after="120" w:line="240" w:lineRule="auto"/>
        <w:jc w:val="both"/>
        <w:rPr>
          <w:noProof/>
        </w:rPr>
      </w:pPr>
      <w:r>
        <w:rPr>
          <w:noProof/>
        </w:rPr>
        <w:t xml:space="preserve">In the control arm </w:t>
      </w:r>
      <w:r w:rsidR="0011758E">
        <w:rPr>
          <w:noProof/>
        </w:rPr>
        <w:t>(</w:t>
      </w:r>
      <w:r>
        <w:rPr>
          <w:noProof/>
        </w:rPr>
        <w:t>i.e. without access to CMR</w:t>
      </w:r>
      <w:r w:rsidR="0011758E">
        <w:rPr>
          <w:noProof/>
        </w:rPr>
        <w:t>),</w:t>
      </w:r>
      <w:r>
        <w:rPr>
          <w:noProof/>
        </w:rPr>
        <w:t xml:space="preserve"> all patients undergo ICA</w:t>
      </w:r>
      <w:r w:rsidRPr="00E110F6">
        <w:rPr>
          <w:noProof/>
        </w:rPr>
        <w:t xml:space="preserve"> for the diagnosis of </w:t>
      </w:r>
      <w:r>
        <w:rPr>
          <w:noProof/>
        </w:rPr>
        <w:t xml:space="preserve">NIDCM. Patients with </w:t>
      </w:r>
      <w:r w:rsidR="004C2756">
        <w:rPr>
          <w:noProof/>
        </w:rPr>
        <w:t xml:space="preserve">a </w:t>
      </w:r>
      <w:r>
        <w:rPr>
          <w:noProof/>
        </w:rPr>
        <w:t xml:space="preserve">true positive or false negative result for NIDCM (i.e. </w:t>
      </w:r>
      <w:r w:rsidR="004C2756">
        <w:rPr>
          <w:noProof/>
        </w:rPr>
        <w:t xml:space="preserve">a </w:t>
      </w:r>
      <w:r>
        <w:rPr>
          <w:noProof/>
        </w:rPr>
        <w:t xml:space="preserve">confirmed or missed diagnosis) will effectively have had an unnecessary ICA. </w:t>
      </w:r>
      <w:r w:rsidR="004C2756">
        <w:rPr>
          <w:noProof/>
        </w:rPr>
        <w:t>The c</w:t>
      </w:r>
      <w:r>
        <w:rPr>
          <w:noProof/>
        </w:rPr>
        <w:t xml:space="preserve">ost of non-invasive testing is assumed </w:t>
      </w:r>
      <w:r w:rsidR="004C2756">
        <w:rPr>
          <w:noProof/>
        </w:rPr>
        <w:t xml:space="preserve">to be </w:t>
      </w:r>
      <w:r>
        <w:rPr>
          <w:noProof/>
        </w:rPr>
        <w:t>zero in this arm</w:t>
      </w:r>
      <w:r w:rsidR="004C2756">
        <w:rPr>
          <w:noProof/>
        </w:rPr>
        <w:t>,</w:t>
      </w:r>
      <w:r>
        <w:rPr>
          <w:noProof/>
        </w:rPr>
        <w:t xml:space="preserve"> and will include costs associated with ICA and related AEs.</w:t>
      </w:r>
    </w:p>
    <w:p w14:paraId="43429DBC" w14:textId="69ACF3C7" w:rsidR="000E482F" w:rsidRDefault="000E482F" w:rsidP="004C79C1">
      <w:pPr>
        <w:spacing w:after="120" w:line="240" w:lineRule="auto"/>
        <w:jc w:val="both"/>
        <w:rPr>
          <w:szCs w:val="23"/>
        </w:rPr>
      </w:pPr>
      <w:r>
        <w:t>In the base</w:t>
      </w:r>
      <w:r w:rsidR="004C2756">
        <w:t>-</w:t>
      </w:r>
      <w:r>
        <w:t>case</w:t>
      </w:r>
      <w:r w:rsidR="00B178F5">
        <w:t>,</w:t>
      </w:r>
      <w:r>
        <w:t xml:space="preserve"> it is assumed that all treatment is determined on the basis of the CMR findings. In actual practice, clinicians may refer some patients for an ICA based on their medical history and clinical examinations,</w:t>
      </w:r>
      <w:r w:rsidRPr="00ED7F4A">
        <w:t xml:space="preserve"> </w:t>
      </w:r>
      <w:r>
        <w:t xml:space="preserve">irrespective of CMR findings. However, given that CMR was assessed as likely having </w:t>
      </w:r>
      <w:r>
        <w:rPr>
          <w:szCs w:val="23"/>
        </w:rPr>
        <w:t xml:space="preserve">superior safety, and non-inferior or marginally inferior effectiveness, it is not anticipated that this would occur often. Sensitivity analysis exploring the impact on cost-effectiveness of varying </w:t>
      </w:r>
      <w:r w:rsidR="00A52E37">
        <w:rPr>
          <w:szCs w:val="23"/>
        </w:rPr>
        <w:t xml:space="preserve">the </w:t>
      </w:r>
      <w:r>
        <w:rPr>
          <w:szCs w:val="23"/>
        </w:rPr>
        <w:t>proportion of patients with CMR findings of NIDCM still being referred to ICA is undertaken.</w:t>
      </w:r>
    </w:p>
    <w:p w14:paraId="6DAA17C0" w14:textId="2B11008C" w:rsidR="000E482F" w:rsidRPr="008F6AE6" w:rsidRDefault="000E482F" w:rsidP="004C79C1">
      <w:pPr>
        <w:spacing w:after="120" w:line="240" w:lineRule="auto"/>
        <w:jc w:val="both"/>
        <w:rPr>
          <w:u w:val="single"/>
        </w:rPr>
      </w:pPr>
      <w:r>
        <w:rPr>
          <w:szCs w:val="23"/>
        </w:rPr>
        <w:t>Other assumptions to note include</w:t>
      </w:r>
      <w:r w:rsidR="00A52E37">
        <w:rPr>
          <w:szCs w:val="23"/>
        </w:rPr>
        <w:t xml:space="preserve"> the following:</w:t>
      </w:r>
    </w:p>
    <w:p w14:paraId="315E1484" w14:textId="3136CBBC" w:rsidR="000E482F" w:rsidRDefault="000E482F" w:rsidP="004C79C1">
      <w:pPr>
        <w:pStyle w:val="ListParagraph"/>
        <w:numPr>
          <w:ilvl w:val="0"/>
          <w:numId w:val="49"/>
        </w:numPr>
        <w:spacing w:after="120" w:line="240" w:lineRule="auto"/>
        <w:jc w:val="both"/>
      </w:pPr>
      <w:r w:rsidRPr="00643B43">
        <w:t>Adverse health o</w:t>
      </w:r>
      <w:r>
        <w:t xml:space="preserve">utcomes associated with testing </w:t>
      </w:r>
      <w:r w:rsidRPr="00643B43">
        <w:t xml:space="preserve">related AEs </w:t>
      </w:r>
      <w:r>
        <w:t>or procedure</w:t>
      </w:r>
      <w:r w:rsidR="00491A9E">
        <w:t>-</w:t>
      </w:r>
      <w:r>
        <w:t xml:space="preserve">related complications </w:t>
      </w:r>
      <w:r w:rsidRPr="00643B43">
        <w:t>are not captured in the cost analysis; however, many of the associated costs</w:t>
      </w:r>
      <w:r w:rsidR="00491A9E">
        <w:t>,</w:t>
      </w:r>
      <w:r w:rsidRPr="00643B43">
        <w:t xml:space="preserve"> </w:t>
      </w:r>
      <w:r>
        <w:t>such as adverse reactions caused by contrast agents and microspheres</w:t>
      </w:r>
      <w:r w:rsidR="00491A9E">
        <w:t>,</w:t>
      </w:r>
      <w:r>
        <w:t xml:space="preserve"> </w:t>
      </w:r>
      <w:r w:rsidRPr="00643B43">
        <w:t>are incorporated</w:t>
      </w:r>
      <w:r>
        <w:t xml:space="preserve"> in the economic analyses.</w:t>
      </w:r>
    </w:p>
    <w:p w14:paraId="0145D7DC" w14:textId="1E32C237" w:rsidR="000E482F" w:rsidRDefault="000E482F" w:rsidP="004C79C1">
      <w:pPr>
        <w:pStyle w:val="ListParagraph"/>
        <w:numPr>
          <w:ilvl w:val="0"/>
          <w:numId w:val="49"/>
        </w:numPr>
        <w:spacing w:after="120" w:line="240" w:lineRule="auto"/>
        <w:jc w:val="both"/>
      </w:pPr>
      <w:r>
        <w:rPr>
          <w:szCs w:val="23"/>
        </w:rPr>
        <w:t>CMR has the additional benefit</w:t>
      </w:r>
      <w:r w:rsidR="007E73AC">
        <w:rPr>
          <w:szCs w:val="23"/>
        </w:rPr>
        <w:t>, over ICA,</w:t>
      </w:r>
      <w:r>
        <w:rPr>
          <w:szCs w:val="23"/>
        </w:rPr>
        <w:t xml:space="preserve"> of potentially being able to determine the aetiology of DCM at the same time as determining whether the patient has ischaemia or not. This additional benefit is not quantified in this model.</w:t>
      </w:r>
    </w:p>
    <w:p w14:paraId="6F76C678" w14:textId="1C51866F" w:rsidR="000E482F" w:rsidRDefault="000E482F" w:rsidP="00161B88">
      <w:pPr>
        <w:pStyle w:val="Heading3"/>
      </w:pPr>
      <w:bookmarkStart w:id="586" w:name="_Toc449428914"/>
      <w:bookmarkStart w:id="587" w:name="_Toc451501385"/>
      <w:r>
        <w:lastRenderedPageBreak/>
        <w:t>D3</w:t>
      </w:r>
      <w:proofErr w:type="gramStart"/>
      <w:r>
        <w:t>.(</w:t>
      </w:r>
      <w:proofErr w:type="gramEnd"/>
      <w:r>
        <w:t>iiB) CEA</w:t>
      </w:r>
      <w:r>
        <w:tab/>
        <w:t>Inputs used in the model</w:t>
      </w:r>
      <w:bookmarkEnd w:id="586"/>
      <w:bookmarkEnd w:id="587"/>
    </w:p>
    <w:p w14:paraId="3AA8E899" w14:textId="77777777" w:rsidR="000E482F" w:rsidRPr="00794C6B" w:rsidRDefault="000E482F" w:rsidP="00161B88">
      <w:pPr>
        <w:pStyle w:val="Heading4"/>
      </w:pPr>
      <w:r w:rsidRPr="00794C6B">
        <w:t>Diagnostic accuracy of CMR and ICA</w:t>
      </w:r>
    </w:p>
    <w:p w14:paraId="7CF01676" w14:textId="3F591E8E" w:rsidR="000E482F" w:rsidRPr="0034390B" w:rsidRDefault="000E482F" w:rsidP="004C79C1">
      <w:pPr>
        <w:spacing w:after="120" w:line="240" w:lineRule="auto"/>
        <w:jc w:val="both"/>
      </w:pPr>
      <w:r w:rsidRPr="0034390B">
        <w:t>Two studies were identified (</w:t>
      </w:r>
      <w:r w:rsidR="002B10B1">
        <w:t xml:space="preserve">see </w:t>
      </w:r>
      <w:r w:rsidRPr="0034390B">
        <w:t xml:space="preserve">section B3.6.4) to provide the diagnostic accuracy of LGE-CMR and ICA using clinical diagnosis as the reference standard in patients with or suspected of NIDCM </w:t>
      </w:r>
      <w:r>
        <w:fldChar w:fldCharType="begin">
          <w:fldData xml:space="preserve">PEVuZE5vdGU+PENpdGU+PEF1dGhvcj5Bc3NvbXVsbDwvQXV0aG9yPjxZZWFyPjIwMTE8L1llYXI+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=
</w:fldData>
        </w:fldChar>
      </w:r>
      <w:r>
        <w:instrText xml:space="preserve"> ADDIN EN.CITE </w:instrText>
      </w:r>
      <w:r>
        <w:fldChar w:fldCharType="begin">
          <w:fldData xml:space="preserve">PEVuZE5vdGU+PENpdGU+PEF1dGhvcj5Bc3NvbXVsbDwvQXV0aG9yPjxZZWFyPjIwMTE8L1llYXI+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=
</w:fldData>
        </w:fldChar>
      </w:r>
      <w:r>
        <w:instrText xml:space="preserve"> ADDIN EN.CITE.DATA </w:instrText>
      </w:r>
      <w:r>
        <w:fldChar w:fldCharType="end"/>
      </w:r>
      <w:r>
        <w:fldChar w:fldCharType="separate"/>
      </w:r>
      <w:r>
        <w:rPr>
          <w:noProof/>
        </w:rPr>
        <w:t>(</w:t>
      </w:r>
      <w:hyperlink w:anchor="_ENREF_9" w:tooltip="Assomull, 2011 #6" w:history="1">
        <w:r>
          <w:rPr>
            <w:noProof/>
          </w:rPr>
          <w:t>Assomull et al. 2011</w:t>
        </w:r>
      </w:hyperlink>
      <w:r>
        <w:rPr>
          <w:noProof/>
        </w:rPr>
        <w:t xml:space="preserve">; </w:t>
      </w:r>
      <w:hyperlink w:anchor="_ENREF_33" w:tooltip="de Melo, 2013 #3" w:history="1">
        <w:r>
          <w:rPr>
            <w:noProof/>
          </w:rPr>
          <w:t>de Melo et al. 2013</w:t>
        </w:r>
      </w:hyperlink>
      <w:r>
        <w:rPr>
          <w:noProof/>
        </w:rPr>
        <w:t>)</w:t>
      </w:r>
      <w:r>
        <w:fldChar w:fldCharType="end"/>
      </w:r>
      <w:r w:rsidRPr="00CB070A">
        <w:t>.</w:t>
      </w:r>
      <w:r w:rsidRPr="0034390B">
        <w:t xml:space="preserve"> </w:t>
      </w:r>
    </w:p>
    <w:p w14:paraId="219AA7C0" w14:textId="7C1DC668" w:rsidR="000E482F" w:rsidRPr="0034390B" w:rsidRDefault="000E482F" w:rsidP="004C79C1">
      <w:pPr>
        <w:spacing w:after="120" w:line="240" w:lineRule="auto"/>
        <w:jc w:val="both"/>
      </w:pPr>
      <w:r w:rsidRPr="0034390B">
        <w:t xml:space="preserve">The study that provided the highest quality evidence with a large patient population (n=120) </w:t>
      </w:r>
      <w:r w:rsidR="009B6A07" w:rsidRPr="00CB070A">
        <w:fldChar w:fldCharType="begin"/>
      </w:r>
      <w:r w:rsidR="009B6A07" w:rsidRPr="00CB070A">
        <w:instrText xml:space="preserve"> ADDIN EN.CITE &lt;EndNote&gt;&lt;Cite&gt;&lt;Author&gt;Assomull&lt;/Author&gt;&lt;Year&gt;2011&lt;/Year&gt;&lt;RecNum&gt;6&lt;/RecNum&gt;&lt;IDText&gt;1351-1360&lt;/IDText&gt;&lt;DisplayText&gt;(Assomull, R. G. et al. 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rsidR="009B6A07" w:rsidRPr="00CB070A">
        <w:fldChar w:fldCharType="separate"/>
      </w:r>
      <w:r w:rsidR="009B6A07" w:rsidRPr="00CB070A">
        <w:rPr>
          <w:noProof/>
        </w:rPr>
        <w:t>(</w:t>
      </w:r>
      <w:hyperlink w:anchor="_ENREF_9" w:tooltip="Assomull, 2011 #6" w:history="1">
        <w:r w:rsidR="009B6A07" w:rsidRPr="00CB070A">
          <w:rPr>
            <w:noProof/>
          </w:rPr>
          <w:t>Assomull et al. 2011</w:t>
        </w:r>
      </w:hyperlink>
      <w:r w:rsidR="009B6A07" w:rsidRPr="00CB070A">
        <w:rPr>
          <w:noProof/>
        </w:rPr>
        <w:t>)</w:t>
      </w:r>
      <w:r w:rsidR="009B6A07" w:rsidRPr="00CB070A">
        <w:fldChar w:fldCharType="end"/>
      </w:r>
      <w:r w:rsidR="009B6A07">
        <w:t xml:space="preserve"> </w:t>
      </w:r>
      <w:r w:rsidRPr="0034390B">
        <w:t>reported a sensitivity of 1.00 (95%CI 0.96, 1.00) and a specificity of 0.88 (0.82, 0.97</w:t>
      </w:r>
      <w:r w:rsidRPr="00CB070A">
        <w:t xml:space="preserve">) </w:t>
      </w:r>
      <w:r w:rsidRPr="0034390B">
        <w:t>for CMR, and a sensitivity of 0.98 (95%CI 0.92, 1.00) and specificity of 0.87 (95%CI 0.70, 0.96) for ICA</w:t>
      </w:r>
      <w:r w:rsidR="002B10B1">
        <w:t>,</w:t>
      </w:r>
      <w:r w:rsidRPr="0034390B">
        <w:t xml:space="preserve"> for diagnosing non-ischaemic cause of DCM. </w:t>
      </w:r>
      <w:r w:rsidR="005264A8">
        <w:t>The study by d</w:t>
      </w:r>
      <w:r w:rsidRPr="00CB070A">
        <w:t>e</w:t>
      </w:r>
      <w:r>
        <w:t xml:space="preserve"> Melo </w:t>
      </w:r>
      <w:r w:rsidR="009B6A07">
        <w:t xml:space="preserve">et al. </w:t>
      </w:r>
      <w:r>
        <w:fldChar w:fldCharType="begin"/>
      </w:r>
      <w:r>
        <w:instrText xml:space="preserve"> ADDIN EN.CITE &lt;EndNote&gt;&lt;Cite ExcludeAuth="1"&gt;&lt;Author&gt;de Melo&lt;/Author&gt;&lt;Year&gt;2013&lt;/Year&gt;&lt;RecNum&gt;3&lt;/RecNum&gt;&lt;DisplayText&gt;(2013)&lt;/DisplayText&gt;&lt;record&gt;&lt;rec-number&gt;3&lt;/rec-number&gt;&lt;foreign-keys&gt;&lt;key app="EN" db-id="pfxxvref0t0a5de2vwnv2fwkz0p9v0r2fw0t" timestamp="1457058876"&gt;3&lt;/key&gt;&lt;/foreign-keys&gt;&lt;ref-type name="Journal Article"&gt;17&lt;/ref-type&gt;&lt;contributors&gt;&lt;authors&gt;&lt;author&gt;de Melo, E. F. P.&lt;/author&gt;&lt;author&gt;Ávila Cintra, R.&lt;/author&gt;&lt;author&gt;Biselli, B.&lt;/author&gt;&lt;author&gt;de Melo, R. M. V.&lt;/author&gt;&lt;author&gt;Barbosa Ribeiro, H.&lt;/author&gt;&lt;author&gt;Francisco Ávila, L.&lt;/author&gt;&lt;author&gt;Lemos Neto, P. A.&lt;/author&gt;&lt;author&gt;Ribeiro, E. E.&lt;/author&gt;&lt;author&gt;Bocchi, E. A.&lt;/author&gt;&lt;author&gt;Souza, G. E. C.&lt;/author&gt;&lt;/authors&gt;&lt;/contributors&gt;&lt;titles&gt;&lt;title&gt;Clinical use of coronary angiography and magnetic resonance imaging in the diagnosis of ischemic cardiomyopathy&lt;/title&gt;&lt;secondary-title&gt;Revista Brasileira de Cardiologia Invasiva&lt;/secondary-title&gt;&lt;/titles&gt;&lt;periodical&gt;&lt;full-title&gt;Revista Brasileira de Cardiologia Invasiva&lt;/full-title&gt;&lt;/periodical&gt;&lt;volume&gt;21&lt;/volume&gt;&lt;number&gt;3&lt;/number&gt;&lt;dates&gt;&lt;year&gt;2013&lt;/year&gt;&lt;pub-dates&gt;&lt;date&gt;2013-01-01&lt;/date&gt;&lt;/pub-dates&gt;&lt;/dates&gt;&lt;isbn&gt;0104-1843&lt;/isbn&gt;&lt;urls&gt;&lt;related-urls&gt;&lt;url&gt;http://www.embase.com/search/results?subaction=viewrecord&amp;amp;from=export&amp;amp;id=L370222379&lt;/url&gt;&lt;/related-urls&gt;&lt;/urls&gt;&lt;custom1&gt;RAYYAN-INCLUSION: {&amp;quot;Skye&amp;quot;=&amp;gt;true}&lt;/custom1&gt;&lt;/record&gt;&lt;/Cite&gt;&lt;/EndNote&gt;</w:instrText>
      </w:r>
      <w:r>
        <w:fldChar w:fldCharType="separate"/>
      </w:r>
      <w:r>
        <w:rPr>
          <w:noProof/>
        </w:rPr>
        <w:t>(</w:t>
      </w:r>
      <w:hyperlink w:anchor="_ENREF_33" w:tooltip="de Melo, 2013 #3" w:history="1">
        <w:r>
          <w:rPr>
            <w:noProof/>
          </w:rPr>
          <w:t>2013</w:t>
        </w:r>
      </w:hyperlink>
      <w:r>
        <w:rPr>
          <w:noProof/>
        </w:rPr>
        <w:t>)</w:t>
      </w:r>
      <w:r>
        <w:fldChar w:fldCharType="end"/>
      </w:r>
      <w:r w:rsidRPr="0034390B">
        <w:t xml:space="preserve"> (n=24) reported a sensitivity of 0.85 (95%CI 0.55, 0.98) and specificity of 0.82 (0.48, 0.98) for CMR, and a sensitivity of 1.00 (95%CI 0.75, 1.00) and specificity of 0.45 (95%CI 0.17, 0.77) for ICA.</w:t>
      </w:r>
      <w:r w:rsidR="00342C25">
        <w:t xml:space="preserve"> A s</w:t>
      </w:r>
      <w:r w:rsidR="00342C25" w:rsidRPr="0034390B">
        <w:t xml:space="preserve">ummary of the accuracy inputs used in the economic model is provided in </w:t>
      </w:r>
      <w:r w:rsidR="00280752">
        <w:fldChar w:fldCharType="begin"/>
      </w:r>
      <w:r w:rsidR="00280752">
        <w:instrText xml:space="preserve"> REF _Ref451266381 \h </w:instrText>
      </w:r>
      <w:r w:rsidR="00280752">
        <w:fldChar w:fldCharType="separate"/>
      </w:r>
      <w:r w:rsidR="00280752">
        <w:t xml:space="preserve">Table </w:t>
      </w:r>
      <w:r w:rsidR="00280752">
        <w:rPr>
          <w:noProof/>
        </w:rPr>
        <w:t>44</w:t>
      </w:r>
      <w:r w:rsidR="00280752">
        <w:fldChar w:fldCharType="end"/>
      </w:r>
      <w:r w:rsidR="00342C25" w:rsidRPr="0034390B">
        <w:t>.</w:t>
      </w:r>
    </w:p>
    <w:p w14:paraId="45224665" w14:textId="302D2639" w:rsidR="000E482F" w:rsidRPr="0034390B" w:rsidRDefault="006F0C4E" w:rsidP="004C79C1">
      <w:pPr>
        <w:pStyle w:val="Caption"/>
      </w:pPr>
      <w:bookmarkStart w:id="588" w:name="_Ref451266381"/>
      <w:bookmarkStart w:id="589" w:name="_Toc451435371"/>
      <w:r>
        <w:t xml:space="preserve">Table </w:t>
      </w:r>
      <w:fldSimple w:instr=" SEQ Table \* ARABIC ">
        <w:r w:rsidR="00050936">
          <w:rPr>
            <w:noProof/>
          </w:rPr>
          <w:t>44</w:t>
        </w:r>
      </w:fldSimple>
      <w:bookmarkEnd w:id="588"/>
      <w:r w:rsidRPr="0056067A">
        <w:tab/>
        <w:t>Diagnostic accuracy inputs used in the economic evaluation</w:t>
      </w:r>
      <w:bookmarkEnd w:id="589"/>
    </w:p>
    <w:tbl>
      <w:tblPr>
        <w:tblStyle w:val="TableGrid47"/>
        <w:tblW w:w="0" w:type="auto"/>
        <w:tblInd w:w="108" w:type="dxa"/>
        <w:tblLook w:val="04A0" w:firstRow="1" w:lastRow="0" w:firstColumn="1" w:lastColumn="0" w:noHBand="0" w:noVBand="1"/>
        <w:tblDescription w:val="Diagnostic accuracy inputs used in the economic evaluation"/>
      </w:tblPr>
      <w:tblGrid>
        <w:gridCol w:w="738"/>
        <w:gridCol w:w="1037"/>
        <w:gridCol w:w="1089"/>
        <w:gridCol w:w="1418"/>
        <w:gridCol w:w="3183"/>
        <w:gridCol w:w="1669"/>
      </w:tblGrid>
      <w:tr w:rsidR="000E482F" w:rsidRPr="0034390B" w14:paraId="3AB7D0B6" w14:textId="77777777" w:rsidTr="00723891">
        <w:trPr>
          <w:tblHeader/>
        </w:trPr>
        <w:tc>
          <w:tcPr>
            <w:tcW w:w="738" w:type="dxa"/>
          </w:tcPr>
          <w:p w14:paraId="4EF35BC5"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b/>
                <w:sz w:val="20"/>
                <w:szCs w:val="20"/>
                <w:lang w:eastAsia="en-US"/>
              </w:rPr>
              <w:t>Test</w:t>
            </w:r>
          </w:p>
        </w:tc>
        <w:tc>
          <w:tcPr>
            <w:tcW w:w="1037" w:type="dxa"/>
          </w:tcPr>
          <w:p w14:paraId="69146E8E"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b/>
                <w:sz w:val="20"/>
                <w:szCs w:val="20"/>
                <w:lang w:eastAsia="en-US"/>
              </w:rPr>
              <w:t>Sensitivity</w:t>
            </w:r>
          </w:p>
        </w:tc>
        <w:tc>
          <w:tcPr>
            <w:tcW w:w="1089" w:type="dxa"/>
          </w:tcPr>
          <w:p w14:paraId="4FE21D32"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b/>
                <w:sz w:val="20"/>
                <w:szCs w:val="20"/>
                <w:lang w:eastAsia="en-US"/>
              </w:rPr>
              <w:t>Specificity</w:t>
            </w:r>
          </w:p>
        </w:tc>
        <w:tc>
          <w:tcPr>
            <w:tcW w:w="1418" w:type="dxa"/>
          </w:tcPr>
          <w:p w14:paraId="3086D850"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b/>
                <w:sz w:val="20"/>
                <w:szCs w:val="20"/>
                <w:lang w:eastAsia="en-US"/>
              </w:rPr>
              <w:t>Source</w:t>
            </w:r>
          </w:p>
        </w:tc>
        <w:tc>
          <w:tcPr>
            <w:tcW w:w="3183" w:type="dxa"/>
          </w:tcPr>
          <w:p w14:paraId="4025440A" w14:textId="77777777" w:rsidR="000E482F" w:rsidRPr="0034390B" w:rsidRDefault="000E482F" w:rsidP="004C79C1">
            <w:pPr>
              <w:keepNext/>
              <w:spacing w:after="120" w:line="240" w:lineRule="auto"/>
              <w:ind w:left="993" w:hanging="993"/>
              <w:rPr>
                <w:rFonts w:ascii="Arial Narrow" w:hAnsi="Arial Narrow" w:cstheme="minorHAnsi"/>
                <w:b/>
                <w:sz w:val="20"/>
                <w:szCs w:val="20"/>
                <w:lang w:eastAsia="en-US"/>
              </w:rPr>
            </w:pPr>
            <w:r w:rsidRPr="0034390B">
              <w:rPr>
                <w:rFonts w:ascii="Arial Narrow" w:hAnsi="Arial Narrow" w:cstheme="minorHAnsi"/>
                <w:b/>
                <w:sz w:val="20"/>
                <w:szCs w:val="20"/>
                <w:lang w:eastAsia="en-US"/>
              </w:rPr>
              <w:t>Values tested in sensitivity analyses</w:t>
            </w:r>
          </w:p>
          <w:p w14:paraId="70AFF857"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cstheme="minorHAnsi"/>
                <w:b/>
                <w:sz w:val="20"/>
                <w:szCs w:val="20"/>
                <w:lang w:eastAsia="en-US"/>
              </w:rPr>
              <w:t>[95%CI] sensitivity, [95%CI] specificity</w:t>
            </w:r>
          </w:p>
        </w:tc>
        <w:tc>
          <w:tcPr>
            <w:tcW w:w="0" w:type="auto"/>
          </w:tcPr>
          <w:p w14:paraId="29D7111A" w14:textId="77777777" w:rsidR="000E482F" w:rsidRPr="0034390B" w:rsidRDefault="000E482F" w:rsidP="004C79C1">
            <w:pPr>
              <w:keepNext/>
              <w:spacing w:after="120" w:line="240" w:lineRule="auto"/>
              <w:ind w:left="993" w:hanging="993"/>
              <w:rPr>
                <w:rFonts w:ascii="Arial Narrow" w:hAnsi="Arial Narrow"/>
                <w:b/>
                <w:sz w:val="20"/>
                <w:szCs w:val="20"/>
                <w:lang w:eastAsia="en-US"/>
              </w:rPr>
            </w:pPr>
            <w:r w:rsidRPr="0034390B">
              <w:rPr>
                <w:rFonts w:ascii="Arial Narrow" w:hAnsi="Arial Narrow"/>
                <w:b/>
                <w:sz w:val="20"/>
                <w:szCs w:val="20"/>
                <w:lang w:eastAsia="en-US"/>
              </w:rPr>
              <w:t>Source</w:t>
            </w:r>
          </w:p>
        </w:tc>
      </w:tr>
      <w:tr w:rsidR="000E482F" w:rsidRPr="0034390B" w14:paraId="5BE882B1" w14:textId="77777777" w:rsidTr="00723891">
        <w:tc>
          <w:tcPr>
            <w:tcW w:w="738" w:type="dxa"/>
          </w:tcPr>
          <w:p w14:paraId="38CEADC9" w14:textId="77777777" w:rsidR="000E482F" w:rsidRPr="0034390B" w:rsidRDefault="000E482F" w:rsidP="004C79C1">
            <w:pPr>
              <w:spacing w:after="120" w:line="240" w:lineRule="auto"/>
              <w:rPr>
                <w:rFonts w:ascii="Arial Narrow" w:hAnsi="Arial Narrow"/>
                <w:sz w:val="20"/>
                <w:szCs w:val="20"/>
                <w:lang w:eastAsia="en-US"/>
              </w:rPr>
            </w:pPr>
            <w:r w:rsidRPr="0034390B">
              <w:rPr>
                <w:rFonts w:ascii="Arial Narrow" w:hAnsi="Arial Narrow"/>
                <w:sz w:val="20"/>
                <w:szCs w:val="20"/>
                <w:lang w:eastAsia="en-US"/>
              </w:rPr>
              <w:t>CMR</w:t>
            </w:r>
          </w:p>
        </w:tc>
        <w:tc>
          <w:tcPr>
            <w:tcW w:w="1037" w:type="dxa"/>
          </w:tcPr>
          <w:p w14:paraId="6BEDBF6D"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sz w:val="20"/>
                <w:szCs w:val="20"/>
                <w:lang w:eastAsia="en-US"/>
              </w:rPr>
              <w:t>1.00</w:t>
            </w:r>
          </w:p>
        </w:tc>
        <w:tc>
          <w:tcPr>
            <w:tcW w:w="1089" w:type="dxa"/>
          </w:tcPr>
          <w:p w14:paraId="1AD59669"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sz w:val="20"/>
                <w:szCs w:val="20"/>
                <w:lang w:eastAsia="en-US"/>
              </w:rPr>
              <w:t>0.88</w:t>
            </w:r>
          </w:p>
        </w:tc>
        <w:tc>
          <w:tcPr>
            <w:tcW w:w="1418" w:type="dxa"/>
          </w:tcPr>
          <w:p w14:paraId="0EF7FD82" w14:textId="41F123A4" w:rsidR="000E482F" w:rsidRPr="00CB070A" w:rsidRDefault="000E482F" w:rsidP="004C79C1">
            <w:pPr>
              <w:spacing w:after="120" w:line="240" w:lineRule="auto"/>
              <w:rPr>
                <w:rFonts w:ascii="Arial Narrow" w:hAnsi="Arial Narrow"/>
                <w:sz w:val="20"/>
                <w:szCs w:val="20"/>
                <w:lang w:eastAsia="en-US"/>
              </w:rPr>
            </w:pPr>
            <w:r w:rsidRPr="00CB070A">
              <w:rPr>
                <w:rFonts w:ascii="Arial Narrow" w:hAnsi="Arial Narrow"/>
                <w:sz w:val="20"/>
                <w:szCs w:val="20"/>
                <w:lang w:eastAsia="en-US"/>
              </w:rPr>
              <w:t>Assomull et al</w:t>
            </w:r>
            <w:r w:rsidR="005264A8">
              <w:rPr>
                <w:rFonts w:ascii="Arial Narrow" w:hAnsi="Arial Narrow"/>
                <w:sz w:val="20"/>
                <w:szCs w:val="20"/>
                <w:lang w:eastAsia="en-US"/>
              </w:rPr>
              <w:t>.</w:t>
            </w:r>
            <w:r>
              <w:rPr>
                <w:rFonts w:ascii="Arial Narrow" w:hAnsi="Arial Narrow"/>
                <w:sz w:val="20"/>
                <w:szCs w:val="20"/>
                <w:lang w:eastAsia="en-US"/>
              </w:rPr>
              <w:t xml:space="preserve"> </w:t>
            </w:r>
            <w:r>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rPr>
                <w:rFonts w:ascii="Arial Narrow" w:hAnsi="Arial Narrow"/>
                <w:sz w:val="20"/>
                <w:szCs w:val="20"/>
                <w:lang w:eastAsia="en-US"/>
              </w:rPr>
              <w:fldChar w:fldCharType="separate"/>
            </w:r>
            <w:r>
              <w:rPr>
                <w:rFonts w:ascii="Arial Narrow" w:hAnsi="Arial Narrow"/>
                <w:noProof/>
                <w:sz w:val="20"/>
                <w:szCs w:val="20"/>
                <w:lang w:eastAsia="en-US"/>
              </w:rPr>
              <w:t>(</w:t>
            </w:r>
            <w:hyperlink w:anchor="_ENREF_9" w:tooltip="Assomull, 2011 #6" w:history="1">
              <w:r>
                <w:rPr>
                  <w:rFonts w:ascii="Arial Narrow" w:hAnsi="Arial Narrow"/>
                  <w:noProof/>
                  <w:sz w:val="20"/>
                  <w:szCs w:val="20"/>
                  <w:lang w:eastAsia="en-US"/>
                </w:rPr>
                <w:t>2011</w:t>
              </w:r>
            </w:hyperlink>
            <w:r>
              <w:rPr>
                <w:rFonts w:ascii="Arial Narrow" w:hAnsi="Arial Narrow"/>
                <w:noProof/>
                <w:sz w:val="20"/>
                <w:szCs w:val="20"/>
                <w:lang w:eastAsia="en-US"/>
              </w:rPr>
              <w:t>)</w:t>
            </w:r>
            <w:r>
              <w:rPr>
                <w:rFonts w:ascii="Arial Narrow" w:hAnsi="Arial Narrow"/>
                <w:sz w:val="20"/>
                <w:szCs w:val="20"/>
                <w:lang w:eastAsia="en-US"/>
              </w:rPr>
              <w:fldChar w:fldCharType="end"/>
            </w:r>
          </w:p>
        </w:tc>
        <w:tc>
          <w:tcPr>
            <w:tcW w:w="3183" w:type="dxa"/>
          </w:tcPr>
          <w:p w14:paraId="5AC52304"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cstheme="minorHAnsi"/>
                <w:sz w:val="20"/>
                <w:szCs w:val="20"/>
                <w:lang w:eastAsia="en-US"/>
              </w:rPr>
              <w:t>[</w:t>
            </w:r>
            <w:r w:rsidRPr="0034390B">
              <w:rPr>
                <w:rFonts w:ascii="Arial Narrow" w:hAnsi="Arial Narrow"/>
                <w:sz w:val="20"/>
                <w:szCs w:val="20"/>
              </w:rPr>
              <w:t>0.55, 0.98</w:t>
            </w:r>
            <w:r w:rsidRPr="0034390B">
              <w:rPr>
                <w:rFonts w:ascii="Arial Narrow" w:hAnsi="Arial Narrow" w:cstheme="minorHAnsi"/>
                <w:sz w:val="20"/>
                <w:szCs w:val="20"/>
                <w:lang w:eastAsia="en-US"/>
              </w:rPr>
              <w:t>], [</w:t>
            </w:r>
            <w:r w:rsidRPr="0034390B">
              <w:rPr>
                <w:rFonts w:ascii="Arial Narrow" w:hAnsi="Arial Narrow"/>
                <w:sz w:val="20"/>
                <w:szCs w:val="20"/>
              </w:rPr>
              <w:t>0.48, 0.98</w:t>
            </w:r>
            <w:r w:rsidRPr="0034390B">
              <w:rPr>
                <w:rFonts w:ascii="Arial Narrow" w:hAnsi="Arial Narrow" w:cstheme="minorHAnsi"/>
                <w:sz w:val="20"/>
                <w:szCs w:val="20"/>
                <w:lang w:eastAsia="en-US"/>
              </w:rPr>
              <w:t>]</w:t>
            </w:r>
          </w:p>
        </w:tc>
        <w:tc>
          <w:tcPr>
            <w:tcW w:w="0" w:type="auto"/>
          </w:tcPr>
          <w:p w14:paraId="57DD3288" w14:textId="4EA7B583" w:rsidR="000E482F" w:rsidRPr="00CB070A" w:rsidRDefault="005264A8" w:rsidP="004C79C1">
            <w:pPr>
              <w:spacing w:after="120" w:line="240" w:lineRule="auto"/>
              <w:rPr>
                <w:rFonts w:ascii="Arial Narrow" w:hAnsi="Arial Narrow"/>
                <w:sz w:val="20"/>
                <w:szCs w:val="20"/>
                <w:lang w:eastAsia="en-US"/>
              </w:rPr>
            </w:pPr>
            <w:r>
              <w:rPr>
                <w:rFonts w:ascii="Arial Narrow" w:hAnsi="Arial Narrow"/>
                <w:sz w:val="20"/>
                <w:szCs w:val="20"/>
              </w:rPr>
              <w:t>d</w:t>
            </w:r>
            <w:r w:rsidR="000E482F" w:rsidRPr="00CB070A">
              <w:rPr>
                <w:rFonts w:ascii="Arial Narrow" w:hAnsi="Arial Narrow"/>
                <w:sz w:val="20"/>
                <w:szCs w:val="20"/>
              </w:rPr>
              <w:t>e Melo</w:t>
            </w:r>
            <w:r w:rsidR="0075370A">
              <w:rPr>
                <w:rFonts w:ascii="Arial Narrow" w:hAnsi="Arial Narrow"/>
                <w:sz w:val="20"/>
                <w:szCs w:val="20"/>
              </w:rPr>
              <w:t xml:space="preserve"> et al.</w:t>
            </w:r>
            <w:r w:rsidR="000E482F" w:rsidRPr="00CB070A">
              <w:rPr>
                <w:rFonts w:ascii="Arial Narrow" w:hAnsi="Arial Narrow"/>
                <w:sz w:val="20"/>
                <w:szCs w:val="20"/>
              </w:rPr>
              <w:t xml:space="preserve"> </w:t>
            </w:r>
            <w:r w:rsidR="000E482F">
              <w:rPr>
                <w:rFonts w:ascii="Arial Narrow" w:hAnsi="Arial Narrow"/>
                <w:sz w:val="20"/>
                <w:szCs w:val="20"/>
              </w:rPr>
              <w:fldChar w:fldCharType="begin"/>
            </w:r>
            <w:r w:rsidR="000E482F">
              <w:rPr>
                <w:rFonts w:ascii="Arial Narrow" w:hAnsi="Arial Narrow"/>
                <w:sz w:val="20"/>
                <w:szCs w:val="20"/>
              </w:rPr>
              <w:instrText xml:space="preserve"> ADDIN EN.CITE &lt;EndNote&gt;&lt;Cite ExcludeAuth="1"&gt;&lt;Author&gt;de Melo&lt;/Author&gt;&lt;Year&gt;2013&lt;/Year&gt;&lt;RecNum&gt;3&lt;/RecNum&gt;&lt;DisplayText&gt;(2013)&lt;/DisplayText&gt;&lt;record&gt;&lt;rec-number&gt;3&lt;/rec-number&gt;&lt;foreign-keys&gt;&lt;key app="EN" db-id="pfxxvref0t0a5de2vwnv2fwkz0p9v0r2fw0t" timestamp="1457058876"&gt;3&lt;/key&gt;&lt;/foreign-keys&gt;&lt;ref-type name="Journal Article"&gt;17&lt;/ref-type&gt;&lt;contributors&gt;&lt;authors&gt;&lt;author&gt;de Melo, E. F. P.&lt;/author&gt;&lt;author&gt;Ávila Cintra, R.&lt;/author&gt;&lt;author&gt;Biselli, B.&lt;/author&gt;&lt;author&gt;de Melo, R. M. V.&lt;/author&gt;&lt;author&gt;Barbosa Ribeiro, H.&lt;/author&gt;&lt;author&gt;Francisco Ávila, L.&lt;/author&gt;&lt;author&gt;Lemos Neto, P. A.&lt;/author&gt;&lt;author&gt;Ribeiro, E. E.&lt;/author&gt;&lt;author&gt;Bocchi, E. A.&lt;/author&gt;&lt;author&gt;Souza, G. E. C.&lt;/author&gt;&lt;/authors&gt;&lt;/contributors&gt;&lt;titles&gt;&lt;title&gt;Clinical use of coronary angiography and magnetic resonance imaging in the diagnosis of ischemic cardiomyopathy&lt;/title&gt;&lt;secondary-title&gt;Revista Brasileira de Cardiologia Invasiva&lt;/secondary-title&gt;&lt;/titles&gt;&lt;periodical&gt;&lt;full-title&gt;Revista Brasileira de Cardiologia Invasiva&lt;/full-title&gt;&lt;/periodical&gt;&lt;volume&gt;21&lt;/volume&gt;&lt;number&gt;3&lt;/number&gt;&lt;dates&gt;&lt;year&gt;2013&lt;/year&gt;&lt;pub-dates&gt;&lt;date&gt;2013-01-01&lt;/date&gt;&lt;/pub-dates&gt;&lt;/dates&gt;&lt;isbn&gt;0104-1843&lt;/isbn&gt;&lt;urls&gt;&lt;related-urls&gt;&lt;url&gt;http://www.embase.com/search/results?subaction=viewrecord&amp;amp;from=export&amp;amp;id=L370222379&lt;/url&gt;&lt;/related-urls&gt;&lt;/urls&gt;&lt;custom1&gt;RAYYAN-INCLUSION: {&amp;quot;Skye&amp;quot;=&amp;gt;true}&lt;/custom1&gt;&lt;/record&gt;&lt;/Cite&gt;&lt;/EndNote&gt;</w:instrText>
            </w:r>
            <w:r w:rsidR="000E482F">
              <w:rPr>
                <w:rFonts w:ascii="Arial Narrow" w:hAnsi="Arial Narrow"/>
                <w:sz w:val="20"/>
                <w:szCs w:val="20"/>
              </w:rPr>
              <w:fldChar w:fldCharType="separate"/>
            </w:r>
            <w:r w:rsidR="000E482F">
              <w:rPr>
                <w:rFonts w:ascii="Arial Narrow" w:hAnsi="Arial Narrow"/>
                <w:noProof/>
                <w:sz w:val="20"/>
                <w:szCs w:val="20"/>
              </w:rPr>
              <w:t>(</w:t>
            </w:r>
            <w:hyperlink w:anchor="_ENREF_33" w:tooltip="de Melo, 2013 #3" w:history="1">
              <w:r w:rsidR="000E482F">
                <w:rPr>
                  <w:rFonts w:ascii="Arial Narrow" w:hAnsi="Arial Narrow"/>
                  <w:noProof/>
                  <w:sz w:val="20"/>
                  <w:szCs w:val="20"/>
                </w:rPr>
                <w:t>2013</w:t>
              </w:r>
            </w:hyperlink>
            <w:r w:rsidR="000E482F">
              <w:rPr>
                <w:rFonts w:ascii="Arial Narrow" w:hAnsi="Arial Narrow"/>
                <w:noProof/>
                <w:sz w:val="20"/>
                <w:szCs w:val="20"/>
              </w:rPr>
              <w:t>)</w:t>
            </w:r>
            <w:r w:rsidR="000E482F">
              <w:rPr>
                <w:rFonts w:ascii="Arial Narrow" w:hAnsi="Arial Narrow"/>
                <w:sz w:val="20"/>
                <w:szCs w:val="20"/>
              </w:rPr>
              <w:fldChar w:fldCharType="end"/>
            </w:r>
          </w:p>
        </w:tc>
      </w:tr>
      <w:tr w:rsidR="000E482F" w:rsidRPr="0034390B" w14:paraId="0153919B" w14:textId="77777777" w:rsidTr="00723891">
        <w:tc>
          <w:tcPr>
            <w:tcW w:w="738" w:type="dxa"/>
          </w:tcPr>
          <w:p w14:paraId="01EAA0BD" w14:textId="77777777" w:rsidR="000E482F" w:rsidRPr="0034390B" w:rsidRDefault="000E482F" w:rsidP="004C79C1">
            <w:pPr>
              <w:spacing w:after="120" w:line="240" w:lineRule="auto"/>
              <w:rPr>
                <w:rFonts w:ascii="Arial Narrow" w:hAnsi="Arial Narrow"/>
                <w:sz w:val="20"/>
                <w:szCs w:val="20"/>
                <w:lang w:eastAsia="en-US"/>
              </w:rPr>
            </w:pPr>
            <w:r w:rsidRPr="0034390B">
              <w:rPr>
                <w:rFonts w:ascii="Arial Narrow" w:hAnsi="Arial Narrow"/>
                <w:sz w:val="20"/>
                <w:szCs w:val="20"/>
                <w:lang w:eastAsia="en-US"/>
              </w:rPr>
              <w:t xml:space="preserve">ICA </w:t>
            </w:r>
          </w:p>
        </w:tc>
        <w:tc>
          <w:tcPr>
            <w:tcW w:w="1037" w:type="dxa"/>
          </w:tcPr>
          <w:p w14:paraId="21251D5F"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sz w:val="20"/>
                <w:szCs w:val="20"/>
                <w:lang w:eastAsia="en-US"/>
              </w:rPr>
              <w:t>0.98</w:t>
            </w:r>
          </w:p>
        </w:tc>
        <w:tc>
          <w:tcPr>
            <w:tcW w:w="1089" w:type="dxa"/>
          </w:tcPr>
          <w:p w14:paraId="27E48D86"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sz w:val="20"/>
                <w:szCs w:val="20"/>
                <w:lang w:eastAsia="en-US"/>
              </w:rPr>
              <w:t>0.85</w:t>
            </w:r>
          </w:p>
        </w:tc>
        <w:tc>
          <w:tcPr>
            <w:tcW w:w="1418" w:type="dxa"/>
          </w:tcPr>
          <w:p w14:paraId="06160727" w14:textId="5AF116B4" w:rsidR="000E482F" w:rsidRPr="00CB070A" w:rsidRDefault="000E482F" w:rsidP="004C79C1">
            <w:pPr>
              <w:spacing w:after="120" w:line="240" w:lineRule="auto"/>
              <w:rPr>
                <w:rFonts w:ascii="Arial Narrow" w:hAnsi="Arial Narrow"/>
                <w:b/>
                <w:sz w:val="20"/>
                <w:szCs w:val="20"/>
                <w:lang w:eastAsia="en-US"/>
              </w:rPr>
            </w:pPr>
            <w:r w:rsidRPr="00CB070A">
              <w:rPr>
                <w:rFonts w:ascii="Arial Narrow" w:hAnsi="Arial Narrow"/>
                <w:sz w:val="20"/>
                <w:szCs w:val="20"/>
                <w:lang w:eastAsia="en-US"/>
              </w:rPr>
              <w:t>Assomull et al</w:t>
            </w:r>
            <w:r w:rsidR="005264A8">
              <w:rPr>
                <w:rFonts w:ascii="Arial Narrow" w:hAnsi="Arial Narrow"/>
                <w:sz w:val="20"/>
                <w:szCs w:val="20"/>
                <w:lang w:eastAsia="en-US"/>
              </w:rPr>
              <w:t>.</w:t>
            </w:r>
            <w:r>
              <w:rPr>
                <w:rFonts w:ascii="Arial Narrow" w:hAnsi="Arial Narrow"/>
                <w:sz w:val="20"/>
                <w:szCs w:val="20"/>
                <w:lang w:eastAsia="en-US"/>
              </w:rPr>
              <w:t xml:space="preserve"> </w:t>
            </w:r>
            <w:r>
              <w:rPr>
                <w:rFonts w:ascii="Arial Narrow" w:hAnsi="Arial Narrow"/>
                <w:sz w:val="20"/>
                <w:szCs w:val="20"/>
                <w:lang w:eastAsia="en-US"/>
              </w:rPr>
              <w:fldChar w:fldCharType="begin"/>
            </w:r>
            <w:r>
              <w:rPr>
                <w:rFonts w:ascii="Arial Narrow" w:hAnsi="Arial Narrow"/>
                <w:sz w:val="20"/>
                <w:szCs w:val="20"/>
                <w:lang w:eastAsia="en-US"/>
              </w:rP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rPr>
                <w:rFonts w:ascii="Arial Narrow" w:hAnsi="Arial Narrow"/>
                <w:sz w:val="20"/>
                <w:szCs w:val="20"/>
                <w:lang w:eastAsia="en-US"/>
              </w:rPr>
              <w:fldChar w:fldCharType="separate"/>
            </w:r>
            <w:r>
              <w:rPr>
                <w:rFonts w:ascii="Arial Narrow" w:hAnsi="Arial Narrow"/>
                <w:noProof/>
                <w:sz w:val="20"/>
                <w:szCs w:val="20"/>
                <w:lang w:eastAsia="en-US"/>
              </w:rPr>
              <w:t>(</w:t>
            </w:r>
            <w:hyperlink w:anchor="_ENREF_9" w:tooltip="Assomull, 2011 #6" w:history="1">
              <w:r>
                <w:rPr>
                  <w:rFonts w:ascii="Arial Narrow" w:hAnsi="Arial Narrow"/>
                  <w:noProof/>
                  <w:sz w:val="20"/>
                  <w:szCs w:val="20"/>
                  <w:lang w:eastAsia="en-US"/>
                </w:rPr>
                <w:t>2011</w:t>
              </w:r>
            </w:hyperlink>
            <w:r>
              <w:rPr>
                <w:rFonts w:ascii="Arial Narrow" w:hAnsi="Arial Narrow"/>
                <w:noProof/>
                <w:sz w:val="20"/>
                <w:szCs w:val="20"/>
                <w:lang w:eastAsia="en-US"/>
              </w:rPr>
              <w:t>)</w:t>
            </w:r>
            <w:r>
              <w:rPr>
                <w:rFonts w:ascii="Arial Narrow" w:hAnsi="Arial Narrow"/>
                <w:sz w:val="20"/>
                <w:szCs w:val="20"/>
                <w:lang w:eastAsia="en-US"/>
              </w:rPr>
              <w:fldChar w:fldCharType="end"/>
            </w:r>
          </w:p>
        </w:tc>
        <w:tc>
          <w:tcPr>
            <w:tcW w:w="3183" w:type="dxa"/>
          </w:tcPr>
          <w:p w14:paraId="161D22DC" w14:textId="77777777" w:rsidR="000E482F" w:rsidRPr="0034390B" w:rsidRDefault="000E482F" w:rsidP="004C79C1">
            <w:pPr>
              <w:spacing w:after="120" w:line="240" w:lineRule="auto"/>
              <w:jc w:val="center"/>
              <w:rPr>
                <w:rFonts w:ascii="Arial Narrow" w:hAnsi="Arial Narrow"/>
                <w:sz w:val="20"/>
                <w:szCs w:val="20"/>
                <w:lang w:eastAsia="en-US"/>
              </w:rPr>
            </w:pPr>
            <w:r w:rsidRPr="0034390B">
              <w:rPr>
                <w:rFonts w:ascii="Arial Narrow" w:hAnsi="Arial Narrow" w:cstheme="minorHAnsi"/>
                <w:sz w:val="20"/>
                <w:szCs w:val="20"/>
                <w:lang w:eastAsia="en-US"/>
              </w:rPr>
              <w:t>[</w:t>
            </w:r>
            <w:r w:rsidRPr="0034390B">
              <w:rPr>
                <w:rFonts w:ascii="Arial Narrow" w:hAnsi="Arial Narrow"/>
                <w:sz w:val="20"/>
                <w:szCs w:val="20"/>
              </w:rPr>
              <w:t>0.75, 1.00</w:t>
            </w:r>
            <w:r w:rsidRPr="0034390B">
              <w:rPr>
                <w:rFonts w:ascii="Arial Narrow" w:hAnsi="Arial Narrow" w:cstheme="minorHAnsi"/>
                <w:sz w:val="20"/>
                <w:szCs w:val="20"/>
                <w:lang w:eastAsia="en-US"/>
              </w:rPr>
              <w:t>], [</w:t>
            </w:r>
            <w:r w:rsidRPr="0034390B">
              <w:rPr>
                <w:rFonts w:ascii="Arial Narrow" w:hAnsi="Arial Narrow"/>
                <w:sz w:val="20"/>
                <w:szCs w:val="20"/>
              </w:rPr>
              <w:t>0.17, 0.77</w:t>
            </w:r>
            <w:r w:rsidRPr="0034390B">
              <w:rPr>
                <w:rFonts w:ascii="Arial Narrow" w:hAnsi="Arial Narrow" w:cstheme="minorHAnsi"/>
                <w:sz w:val="20"/>
                <w:szCs w:val="20"/>
                <w:lang w:eastAsia="en-US"/>
              </w:rPr>
              <w:t>]</w:t>
            </w:r>
          </w:p>
        </w:tc>
        <w:tc>
          <w:tcPr>
            <w:tcW w:w="0" w:type="auto"/>
          </w:tcPr>
          <w:p w14:paraId="76CF1488" w14:textId="043863C0" w:rsidR="000E482F" w:rsidRPr="00CB070A" w:rsidRDefault="005264A8" w:rsidP="004C79C1">
            <w:pPr>
              <w:spacing w:after="120" w:line="240" w:lineRule="auto"/>
              <w:rPr>
                <w:rFonts w:ascii="Arial Narrow" w:hAnsi="Arial Narrow"/>
                <w:sz w:val="20"/>
                <w:szCs w:val="20"/>
                <w:lang w:eastAsia="en-US"/>
              </w:rPr>
            </w:pPr>
            <w:r>
              <w:rPr>
                <w:rFonts w:ascii="Arial Narrow" w:hAnsi="Arial Narrow"/>
                <w:sz w:val="20"/>
                <w:szCs w:val="20"/>
              </w:rPr>
              <w:t>d</w:t>
            </w:r>
            <w:r w:rsidR="000E482F" w:rsidRPr="00CB070A">
              <w:rPr>
                <w:rFonts w:ascii="Arial Narrow" w:hAnsi="Arial Narrow"/>
                <w:sz w:val="20"/>
                <w:szCs w:val="20"/>
              </w:rPr>
              <w:t>e Melo</w:t>
            </w:r>
            <w:r w:rsidR="0075370A">
              <w:rPr>
                <w:rFonts w:ascii="Arial Narrow" w:hAnsi="Arial Narrow"/>
                <w:sz w:val="20"/>
                <w:szCs w:val="20"/>
              </w:rPr>
              <w:t xml:space="preserve"> et al.</w:t>
            </w:r>
            <w:r w:rsidR="000E482F" w:rsidRPr="00CB070A">
              <w:rPr>
                <w:rFonts w:ascii="Arial Narrow" w:hAnsi="Arial Narrow"/>
                <w:sz w:val="20"/>
                <w:szCs w:val="20"/>
              </w:rPr>
              <w:t xml:space="preserve"> </w:t>
            </w:r>
            <w:r w:rsidR="000E482F">
              <w:rPr>
                <w:rFonts w:ascii="Arial Narrow" w:hAnsi="Arial Narrow"/>
                <w:sz w:val="20"/>
                <w:szCs w:val="20"/>
              </w:rPr>
              <w:fldChar w:fldCharType="begin"/>
            </w:r>
            <w:r w:rsidR="000E482F">
              <w:rPr>
                <w:rFonts w:ascii="Arial Narrow" w:hAnsi="Arial Narrow"/>
                <w:sz w:val="20"/>
                <w:szCs w:val="20"/>
              </w:rPr>
              <w:instrText xml:space="preserve"> ADDIN EN.CITE &lt;EndNote&gt;&lt;Cite ExcludeAuth="1"&gt;&lt;Author&gt;de Melo&lt;/Author&gt;&lt;Year&gt;2013&lt;/Year&gt;&lt;RecNum&gt;3&lt;/RecNum&gt;&lt;DisplayText&gt;(2013)&lt;/DisplayText&gt;&lt;record&gt;&lt;rec-number&gt;3&lt;/rec-number&gt;&lt;foreign-keys&gt;&lt;key app="EN" db-id="pfxxvref0t0a5de2vwnv2fwkz0p9v0r2fw0t" timestamp="1457058876"&gt;3&lt;/key&gt;&lt;/foreign-keys&gt;&lt;ref-type name="Journal Article"&gt;17&lt;/ref-type&gt;&lt;contributors&gt;&lt;authors&gt;&lt;author&gt;de Melo, E. F. P.&lt;/author&gt;&lt;author&gt;Ávila Cintra, R.&lt;/author&gt;&lt;author&gt;Biselli, B.&lt;/author&gt;&lt;author&gt;de Melo, R. M. V.&lt;/author&gt;&lt;author&gt;Barbosa Ribeiro, H.&lt;/author&gt;&lt;author&gt;Francisco Ávila, L.&lt;/author&gt;&lt;author&gt;Lemos Neto, P. A.&lt;/author&gt;&lt;author&gt;Ribeiro, E. E.&lt;/author&gt;&lt;author&gt;Bocchi, E. A.&lt;/author&gt;&lt;author&gt;Souza, G. E. C.&lt;/author&gt;&lt;/authors&gt;&lt;/contributors&gt;&lt;titles&gt;&lt;title&gt;Clinical use of coronary angiography and magnetic resonance imaging in the diagnosis of ischemic cardiomyopathy&lt;/title&gt;&lt;secondary-title&gt;Revista Brasileira de Cardiologia Invasiva&lt;/secondary-title&gt;&lt;/titles&gt;&lt;periodical&gt;&lt;full-title&gt;Revista Brasileira de Cardiologia Invasiva&lt;/full-title&gt;&lt;/periodical&gt;&lt;volume&gt;21&lt;/volume&gt;&lt;number&gt;3&lt;/number&gt;&lt;dates&gt;&lt;year&gt;2013&lt;/year&gt;&lt;pub-dates&gt;&lt;date&gt;2013-01-01&lt;/date&gt;&lt;/pub-dates&gt;&lt;/dates&gt;&lt;isbn&gt;0104-1843&lt;/isbn&gt;&lt;urls&gt;&lt;related-urls&gt;&lt;url&gt;http://www.embase.com/search/results?subaction=viewrecord&amp;amp;from=export&amp;amp;id=L370222379&lt;/url&gt;&lt;/related-urls&gt;&lt;/urls&gt;&lt;custom1&gt;RAYYAN-INCLUSION: {&amp;quot;Skye&amp;quot;=&amp;gt;true}&lt;/custom1&gt;&lt;/record&gt;&lt;/Cite&gt;&lt;/EndNote&gt;</w:instrText>
            </w:r>
            <w:r w:rsidR="000E482F">
              <w:rPr>
                <w:rFonts w:ascii="Arial Narrow" w:hAnsi="Arial Narrow"/>
                <w:sz w:val="20"/>
                <w:szCs w:val="20"/>
              </w:rPr>
              <w:fldChar w:fldCharType="separate"/>
            </w:r>
            <w:r w:rsidR="000E482F">
              <w:rPr>
                <w:rFonts w:ascii="Arial Narrow" w:hAnsi="Arial Narrow"/>
                <w:noProof/>
                <w:sz w:val="20"/>
                <w:szCs w:val="20"/>
              </w:rPr>
              <w:t>(</w:t>
            </w:r>
            <w:hyperlink w:anchor="_ENREF_33" w:tooltip="de Melo, 2013 #3" w:history="1">
              <w:r w:rsidR="000E482F">
                <w:rPr>
                  <w:rFonts w:ascii="Arial Narrow" w:hAnsi="Arial Narrow"/>
                  <w:noProof/>
                  <w:sz w:val="20"/>
                  <w:szCs w:val="20"/>
                </w:rPr>
                <w:t>2013</w:t>
              </w:r>
            </w:hyperlink>
            <w:r w:rsidR="000E482F">
              <w:rPr>
                <w:rFonts w:ascii="Arial Narrow" w:hAnsi="Arial Narrow"/>
                <w:noProof/>
                <w:sz w:val="20"/>
                <w:szCs w:val="20"/>
              </w:rPr>
              <w:t>)</w:t>
            </w:r>
            <w:r w:rsidR="000E482F">
              <w:rPr>
                <w:rFonts w:ascii="Arial Narrow" w:hAnsi="Arial Narrow"/>
                <w:sz w:val="20"/>
                <w:szCs w:val="20"/>
              </w:rPr>
              <w:fldChar w:fldCharType="end"/>
            </w:r>
          </w:p>
        </w:tc>
      </w:tr>
    </w:tbl>
    <w:p w14:paraId="7E05A5DF" w14:textId="2E0AD44C" w:rsidR="000E482F" w:rsidRPr="0034390B" w:rsidRDefault="00691B41" w:rsidP="004C79C1">
      <w:pPr>
        <w:widowControl w:val="0"/>
        <w:spacing w:after="120" w:line="240" w:lineRule="auto"/>
        <w:jc w:val="both"/>
        <w:rPr>
          <w:rFonts w:ascii="Arial Narrow" w:hAnsi="Arial Narrow" w:cs="Arial"/>
          <w:snapToGrid w:val="0"/>
          <w:sz w:val="20"/>
          <w:szCs w:val="20"/>
          <w:lang w:eastAsia="en-US"/>
        </w:rPr>
      </w:pPr>
      <w:r>
        <w:rPr>
          <w:rFonts w:ascii="Arial Narrow" w:hAnsi="Arial Narrow" w:cs="Arial"/>
          <w:snapToGrid w:val="0"/>
          <w:sz w:val="20"/>
          <w:szCs w:val="20"/>
          <w:lang w:eastAsia="en-US"/>
        </w:rPr>
        <w:t>CI</w:t>
      </w:r>
      <w:r w:rsidR="00827566">
        <w:rPr>
          <w:rFonts w:ascii="Arial Narrow" w:hAnsi="Arial Narrow" w:cs="Arial"/>
          <w:snapToGrid w:val="0"/>
          <w:sz w:val="20"/>
          <w:szCs w:val="20"/>
          <w:lang w:eastAsia="en-US"/>
        </w:rPr>
        <w:t xml:space="preserve"> = confidence interval; </w:t>
      </w:r>
      <w:r w:rsidR="000E482F" w:rsidRPr="0034390B">
        <w:rPr>
          <w:rFonts w:ascii="Arial Narrow" w:hAnsi="Arial Narrow" w:cs="Arial"/>
          <w:snapToGrid w:val="0"/>
          <w:sz w:val="20"/>
          <w:szCs w:val="20"/>
          <w:lang w:eastAsia="en-US"/>
        </w:rPr>
        <w:t xml:space="preserve">CMR = cardiac magnetic resonance </w:t>
      </w:r>
      <w:r w:rsidR="008734D3">
        <w:rPr>
          <w:rFonts w:ascii="Arial Narrow" w:hAnsi="Arial Narrow" w:cs="Arial"/>
          <w:snapToGrid w:val="0"/>
          <w:sz w:val="20"/>
          <w:szCs w:val="20"/>
          <w:lang w:eastAsia="en-US"/>
        </w:rPr>
        <w:t>(</w:t>
      </w:r>
      <w:r w:rsidR="000E482F" w:rsidRPr="0034390B">
        <w:rPr>
          <w:rFonts w:ascii="Arial Narrow" w:hAnsi="Arial Narrow" w:cs="Arial"/>
          <w:snapToGrid w:val="0"/>
          <w:sz w:val="20"/>
          <w:szCs w:val="20"/>
          <w:lang w:eastAsia="en-US"/>
        </w:rPr>
        <w:t>imaging</w:t>
      </w:r>
      <w:r w:rsidR="008734D3">
        <w:rPr>
          <w:rFonts w:ascii="Arial Narrow" w:hAnsi="Arial Narrow" w:cs="Arial"/>
          <w:snapToGrid w:val="0"/>
          <w:sz w:val="20"/>
          <w:szCs w:val="20"/>
          <w:lang w:eastAsia="en-US"/>
        </w:rPr>
        <w:t>)</w:t>
      </w:r>
      <w:r w:rsidR="000E482F" w:rsidRPr="0034390B">
        <w:rPr>
          <w:rFonts w:ascii="Arial Narrow" w:hAnsi="Arial Narrow" w:cs="Arial"/>
          <w:snapToGrid w:val="0"/>
          <w:sz w:val="20"/>
          <w:szCs w:val="20"/>
          <w:lang w:eastAsia="en-US"/>
        </w:rPr>
        <w:t>; ICA = invasive coronary angiography</w:t>
      </w:r>
    </w:p>
    <w:p w14:paraId="39B94F8E" w14:textId="614670E7" w:rsidR="000E482F" w:rsidRPr="0034390B" w:rsidRDefault="000E482F" w:rsidP="004C79C1">
      <w:pPr>
        <w:spacing w:after="120" w:line="240" w:lineRule="auto"/>
        <w:jc w:val="both"/>
      </w:pPr>
      <w:r>
        <w:t>Only</w:t>
      </w:r>
      <w:r w:rsidRPr="0034390B">
        <w:t xml:space="preserve"> tentative conclusions regarding the relative accuracy </w:t>
      </w:r>
      <w:r>
        <w:t>can be</w:t>
      </w:r>
      <w:r w:rsidRPr="0034390B">
        <w:t xml:space="preserve"> made due to the small number of studies and the limited sample sizes (Figure 14). As such, </w:t>
      </w:r>
      <w:r w:rsidR="00DC5ABB">
        <w:t xml:space="preserve">the </w:t>
      </w:r>
      <w:r w:rsidRPr="0034390B">
        <w:t xml:space="preserve">accuracy inputs reported in </w:t>
      </w:r>
      <w:r w:rsidR="0010238A">
        <w:t xml:space="preserve">the </w:t>
      </w:r>
      <w:r w:rsidRPr="0034390B">
        <w:t>Assomull et al</w:t>
      </w:r>
      <w:r w:rsidR="0010238A">
        <w:t>.</w:t>
      </w:r>
      <w:r w:rsidRPr="0034390B">
        <w:t xml:space="preserve"> </w:t>
      </w:r>
      <w:r w:rsidR="0035008A">
        <w:t xml:space="preserve">(2011) </w:t>
      </w:r>
      <w:r w:rsidRPr="0034390B">
        <w:t>study (larger and higher quality evidence) are used in the base</w:t>
      </w:r>
      <w:r w:rsidR="00B86E56">
        <w:t>-</w:t>
      </w:r>
      <w:r w:rsidRPr="0034390B">
        <w:t>case economic evaluation, while the 95%</w:t>
      </w:r>
      <w:r w:rsidR="00B86E56">
        <w:t>CI</w:t>
      </w:r>
      <w:r w:rsidRPr="0034390B">
        <w:t xml:space="preserve"> limits for sensitivity and specificity of CMR and ICA reported by </w:t>
      </w:r>
      <w:r w:rsidR="00B86E56">
        <w:t>d</w:t>
      </w:r>
      <w:r w:rsidRPr="0034390B">
        <w:t>e Melo et al</w:t>
      </w:r>
      <w:r w:rsidR="00B86E56">
        <w:t>.</w:t>
      </w:r>
      <w:r w:rsidRPr="0034390B">
        <w:t xml:space="preserve"> </w:t>
      </w:r>
      <w:r w:rsidR="0035008A">
        <w:t xml:space="preserve">(2013) </w:t>
      </w:r>
      <w:r w:rsidRPr="0034390B">
        <w:t xml:space="preserve">are used in the sensitivity analyses. </w:t>
      </w:r>
    </w:p>
    <w:p w14:paraId="152DBD0D" w14:textId="77777777" w:rsidR="000E482F" w:rsidRPr="00794C6B" w:rsidRDefault="000E482F" w:rsidP="00161B88">
      <w:pPr>
        <w:pStyle w:val="Heading4"/>
      </w:pPr>
      <w:r w:rsidRPr="00794C6B">
        <w:t>Prevalence of NIDCM in the tested population</w:t>
      </w:r>
    </w:p>
    <w:p w14:paraId="16BA539F" w14:textId="77777777" w:rsidR="000E482F" w:rsidRPr="004B4693" w:rsidRDefault="000E482F" w:rsidP="004C79C1">
      <w:pPr>
        <w:spacing w:after="120" w:line="240" w:lineRule="auto"/>
        <w:jc w:val="both"/>
      </w:pPr>
      <w:r w:rsidRPr="004B4693">
        <w:t xml:space="preserve">The prevalence of NIDCM in the target population is likely to be an important driver of the cost-effectiveness of </w:t>
      </w:r>
      <w:r>
        <w:t>CMR, but</w:t>
      </w:r>
      <w:r w:rsidRPr="004B4693">
        <w:t xml:space="preserve"> it is unclear what the prevalence might be in the proposed MBS population, as studies conducted in the Australian setting were not identified during the evaluation. </w:t>
      </w:r>
    </w:p>
    <w:p w14:paraId="0526C193" w14:textId="210B9439" w:rsidR="000E482F" w:rsidRPr="004B4693" w:rsidRDefault="000E482F" w:rsidP="004C79C1">
      <w:pPr>
        <w:spacing w:after="120" w:line="240" w:lineRule="auto"/>
        <w:jc w:val="both"/>
      </w:pPr>
      <w:r w:rsidRPr="004B4693">
        <w:t>Eight studies were included in the clinical assessment to provide accuracy estimates of CMR in the proposed population. The mean prevalence of a non-ischaemic aetiology in patients with idiopathic DCM using ICA as the reference standard was 63.1% (range 31.7–79</w:t>
      </w:r>
      <w:r w:rsidR="00AA5B89">
        <w:t>.0</w:t>
      </w:r>
      <w:r w:rsidRPr="004B4693">
        <w:t>%; k=6), and 69.4% (range 54.2–72.5%; k=2) when clinical diagnosis was used as the reference standard. When all studies (both ICA and clinical diagnosis as reference standards) were included</w:t>
      </w:r>
      <w:r w:rsidR="000F3429">
        <w:t>,</w:t>
      </w:r>
      <w:r w:rsidRPr="004B4693">
        <w:t xml:space="preserve"> the mean prevalence was 65% (</w:t>
      </w:r>
      <w:r w:rsidR="00000FA6">
        <w:t>95% CI:</w:t>
      </w:r>
      <w:r w:rsidR="000F3429">
        <w:t xml:space="preserve"> </w:t>
      </w:r>
      <w:r w:rsidR="00000FA6">
        <w:t xml:space="preserve">31.7, </w:t>
      </w:r>
      <w:r w:rsidRPr="004B4693">
        <w:t>79</w:t>
      </w:r>
      <w:r w:rsidR="00325F31">
        <w:t>.0</w:t>
      </w:r>
      <w:r w:rsidRPr="004B4693">
        <w:t xml:space="preserve">%; k=8). The only Australian study, a small </w:t>
      </w:r>
      <w:r w:rsidR="000F3429">
        <w:t>one</w:t>
      </w:r>
      <w:r w:rsidR="000F3429" w:rsidRPr="004B4693">
        <w:t xml:space="preserve"> </w:t>
      </w:r>
      <w:r w:rsidRPr="004B4693">
        <w:t xml:space="preserve">(n=28) conducted by Hamilton-Craig et al. </w:t>
      </w:r>
      <w:r w:rsidR="00391F3C">
        <w:t>(2012</w:t>
      </w:r>
      <w:r>
        <w:t>)</w:t>
      </w:r>
      <w:r w:rsidR="00AD315E">
        <w:t>,</w:t>
      </w:r>
      <w:r w:rsidRPr="004B4693">
        <w:t xml:space="preserve"> reported that 75% of patients with idiopathic DCM had a non-ischaemic aetiology. </w:t>
      </w:r>
    </w:p>
    <w:p w14:paraId="3ADCCA77" w14:textId="0360B278" w:rsidR="000E482F" w:rsidRPr="004B4693" w:rsidRDefault="000E482F" w:rsidP="004C79C1">
      <w:pPr>
        <w:spacing w:after="120" w:line="240" w:lineRule="auto"/>
        <w:jc w:val="both"/>
      </w:pPr>
      <w:r w:rsidRPr="004B4693">
        <w:t>The applicability of these prevalence rates to the Australian population is unknown, and as most of these patients were already suspected of having ‘non-ischaemic aetiology’</w:t>
      </w:r>
      <w:r w:rsidR="00391F3C">
        <w:t>,</w:t>
      </w:r>
      <w:r w:rsidRPr="004B4693">
        <w:t xml:space="preserve"> these rates may be higher than in the general DCM populations presenting for further testing. </w:t>
      </w:r>
    </w:p>
    <w:p w14:paraId="43501B8F" w14:textId="7CEC3B55" w:rsidR="000E482F" w:rsidRPr="00000FA6" w:rsidRDefault="000E482F" w:rsidP="004C79C1">
      <w:pPr>
        <w:spacing w:after="120" w:line="240" w:lineRule="auto"/>
        <w:jc w:val="both"/>
        <w:rPr>
          <w:color w:val="000000" w:themeColor="text1"/>
        </w:rPr>
      </w:pPr>
      <w:r w:rsidRPr="004B4693">
        <w:t xml:space="preserve">A mean prevalence of non-ischaemic aetiology in patients with DCM and </w:t>
      </w:r>
      <w:r w:rsidR="00AA5B89">
        <w:t xml:space="preserve">an </w:t>
      </w:r>
      <w:r w:rsidRPr="004B4693">
        <w:t xml:space="preserve">intermediate risk of CAD was assumed to be 65% in </w:t>
      </w:r>
      <w:r w:rsidR="00AA5B89">
        <w:t xml:space="preserve">the </w:t>
      </w:r>
      <w:r w:rsidRPr="004B4693">
        <w:t>base-case economic analyses (</w:t>
      </w:r>
      <w:r w:rsidR="00000FA6">
        <w:fldChar w:fldCharType="begin"/>
      </w:r>
      <w:r w:rsidR="00000FA6">
        <w:instrText xml:space="preserve"> REF _Ref446514195 \h </w:instrText>
      </w:r>
      <w:r w:rsidR="00000FA6">
        <w:fldChar w:fldCharType="separate"/>
      </w:r>
      <w:r w:rsidR="00000FA6" w:rsidRPr="00C36707">
        <w:t xml:space="preserve">Table </w:t>
      </w:r>
      <w:r w:rsidR="00000FA6">
        <w:rPr>
          <w:noProof/>
        </w:rPr>
        <w:t>14</w:t>
      </w:r>
      <w:r w:rsidR="00000FA6">
        <w:fldChar w:fldCharType="end"/>
      </w:r>
      <w:r w:rsidRPr="009E3ADA">
        <w:t xml:space="preserve">, </w:t>
      </w:r>
      <w:r w:rsidR="00FE2743">
        <w:t>s</w:t>
      </w:r>
      <w:r w:rsidRPr="009E3ADA">
        <w:t>ection B.</w:t>
      </w:r>
      <w:r>
        <w:t>4</w:t>
      </w:r>
      <w:r w:rsidRPr="004B4693">
        <w:t xml:space="preserve">). The 95%CI limits were used in the sensitivity analyses to assess the impact of </w:t>
      </w:r>
      <w:r w:rsidR="00AA5B89">
        <w:t xml:space="preserve">the </w:t>
      </w:r>
      <w:r w:rsidRPr="004B4693">
        <w:t>prevalence used</w:t>
      </w:r>
      <w:r w:rsidR="00AA5B89">
        <w:t>.</w:t>
      </w:r>
      <w:r w:rsidR="005E03ED">
        <w:t xml:space="preserve"> </w:t>
      </w:r>
      <w:r w:rsidR="005E03ED" w:rsidRPr="00000FA6">
        <w:rPr>
          <w:color w:val="000000" w:themeColor="text1"/>
        </w:rPr>
        <w:t>The prevalence estimates of NIDCM used in the model and sensitivity ana</w:t>
      </w:r>
      <w:r w:rsidR="00132C5C" w:rsidRPr="00141050">
        <w:rPr>
          <w:color w:val="000000" w:themeColor="text1"/>
        </w:rPr>
        <w:t xml:space="preserve">lyses are summarised in </w:t>
      </w:r>
      <w:r w:rsidR="00000FA6" w:rsidRPr="00000FA6">
        <w:fldChar w:fldCharType="begin"/>
      </w:r>
      <w:r w:rsidR="00000FA6" w:rsidRPr="00000FA6">
        <w:instrText xml:space="preserve"> REF _Ref451266555 \h </w:instrText>
      </w:r>
      <w:r w:rsidR="00000FA6">
        <w:instrText xml:space="preserve"> \* MERGEFORMAT </w:instrText>
      </w:r>
      <w:r w:rsidR="00000FA6" w:rsidRPr="00000FA6">
        <w:fldChar w:fldCharType="separate"/>
      </w:r>
      <w:r w:rsidR="00000FA6" w:rsidRPr="00000FA6">
        <w:t>Table 45</w:t>
      </w:r>
      <w:r w:rsidR="00000FA6" w:rsidRPr="00000FA6">
        <w:fldChar w:fldCharType="end"/>
      </w:r>
      <w:r w:rsidR="005E03ED" w:rsidRPr="00000FA6">
        <w:rPr>
          <w:color w:val="000000" w:themeColor="text1"/>
        </w:rPr>
        <w:t>.</w:t>
      </w:r>
    </w:p>
    <w:p w14:paraId="733E1F1A" w14:textId="5C9C2DC9" w:rsidR="000E482F" w:rsidRPr="004B4693" w:rsidRDefault="006F0C4E" w:rsidP="004C79C1">
      <w:pPr>
        <w:pStyle w:val="Caption"/>
      </w:pPr>
      <w:bookmarkStart w:id="590" w:name="_Ref451266555"/>
      <w:bookmarkStart w:id="591" w:name="_Toc451435372"/>
      <w:r>
        <w:lastRenderedPageBreak/>
        <w:t xml:space="preserve">Table </w:t>
      </w:r>
      <w:fldSimple w:instr=" SEQ Table \* ARABIC ">
        <w:r w:rsidR="00050936">
          <w:rPr>
            <w:noProof/>
          </w:rPr>
          <w:t>45</w:t>
        </w:r>
      </w:fldSimple>
      <w:bookmarkEnd w:id="590"/>
      <w:r w:rsidRPr="00B52F70">
        <w:tab/>
        <w:t>Prevalence of NIDCM in the proposed population</w:t>
      </w:r>
      <w:bookmarkEnd w:id="591"/>
    </w:p>
    <w:tbl>
      <w:tblPr>
        <w:tblStyle w:val="TableGrid16"/>
        <w:tblW w:w="5000" w:type="pct"/>
        <w:tblLook w:val="04A0" w:firstRow="1" w:lastRow="0" w:firstColumn="1" w:lastColumn="0" w:noHBand="0" w:noVBand="1"/>
        <w:tblCaption w:val="Table 89"/>
        <w:tblDescription w:val="Prevalence of NIDCM in the proposed population"/>
      </w:tblPr>
      <w:tblGrid>
        <w:gridCol w:w="4240"/>
        <w:gridCol w:w="1632"/>
        <w:gridCol w:w="1516"/>
        <w:gridCol w:w="1854"/>
      </w:tblGrid>
      <w:tr w:rsidR="000E482F" w:rsidRPr="009E3ADA" w14:paraId="5582B8D4" w14:textId="77777777" w:rsidTr="00723891">
        <w:trPr>
          <w:tblHeader/>
        </w:trPr>
        <w:tc>
          <w:tcPr>
            <w:tcW w:w="2294" w:type="pct"/>
          </w:tcPr>
          <w:p w14:paraId="313C26B3" w14:textId="77777777" w:rsidR="000E482F" w:rsidRPr="009E3ADA" w:rsidRDefault="000E482F" w:rsidP="004C79C1">
            <w:pPr>
              <w:keepNext/>
              <w:spacing w:before="0" w:after="120" w:line="240" w:lineRule="auto"/>
              <w:ind w:left="993" w:hanging="993"/>
              <w:rPr>
                <w:rFonts w:ascii="Arial Narrow" w:hAnsi="Arial Narrow"/>
                <w:b/>
                <w:sz w:val="20"/>
                <w:szCs w:val="20"/>
              </w:rPr>
            </w:pPr>
          </w:p>
        </w:tc>
        <w:tc>
          <w:tcPr>
            <w:tcW w:w="883" w:type="pct"/>
          </w:tcPr>
          <w:p w14:paraId="6BA57D69" w14:textId="77777777" w:rsidR="000E482F" w:rsidRPr="009E3ADA" w:rsidRDefault="000E482F" w:rsidP="004C79C1">
            <w:pPr>
              <w:keepNext/>
              <w:spacing w:before="0" w:after="120" w:line="240" w:lineRule="auto"/>
              <w:ind w:left="993" w:hanging="993"/>
              <w:rPr>
                <w:rFonts w:ascii="Arial Narrow" w:hAnsi="Arial Narrow"/>
                <w:b/>
                <w:sz w:val="20"/>
                <w:szCs w:val="20"/>
              </w:rPr>
            </w:pPr>
            <w:r w:rsidRPr="009E3ADA">
              <w:rPr>
                <w:rFonts w:ascii="Arial Narrow" w:hAnsi="Arial Narrow"/>
                <w:b/>
                <w:sz w:val="20"/>
                <w:szCs w:val="20"/>
              </w:rPr>
              <w:t>Source</w:t>
            </w:r>
          </w:p>
        </w:tc>
        <w:tc>
          <w:tcPr>
            <w:tcW w:w="820" w:type="pct"/>
            <w:tcBorders>
              <w:left w:val="single" w:sz="4" w:space="0" w:color="auto"/>
            </w:tcBorders>
          </w:tcPr>
          <w:p w14:paraId="46C923EC" w14:textId="77777777" w:rsidR="000E482F" w:rsidRPr="009E3ADA" w:rsidRDefault="000E482F" w:rsidP="004C79C1">
            <w:pPr>
              <w:keepNext/>
              <w:spacing w:before="0" w:after="120" w:line="240" w:lineRule="auto"/>
              <w:ind w:left="993" w:hanging="993"/>
              <w:rPr>
                <w:rFonts w:ascii="Arial Narrow" w:hAnsi="Arial Narrow"/>
                <w:b/>
                <w:sz w:val="20"/>
                <w:szCs w:val="20"/>
              </w:rPr>
            </w:pPr>
            <w:r w:rsidRPr="009E3ADA">
              <w:rPr>
                <w:rFonts w:ascii="Arial Narrow" w:hAnsi="Arial Narrow"/>
                <w:b/>
                <w:sz w:val="20"/>
                <w:szCs w:val="20"/>
              </w:rPr>
              <w:t>Prevalence</w:t>
            </w:r>
          </w:p>
        </w:tc>
        <w:tc>
          <w:tcPr>
            <w:tcW w:w="1003" w:type="pct"/>
          </w:tcPr>
          <w:p w14:paraId="2D73FB76" w14:textId="77777777" w:rsidR="000E482F" w:rsidRPr="009E3ADA" w:rsidRDefault="000E482F" w:rsidP="004C79C1">
            <w:pPr>
              <w:keepNext/>
              <w:spacing w:before="0" w:after="120" w:line="240" w:lineRule="auto"/>
              <w:ind w:left="993" w:hanging="993"/>
              <w:rPr>
                <w:rFonts w:ascii="Arial Narrow" w:hAnsi="Arial Narrow"/>
                <w:b/>
                <w:sz w:val="20"/>
                <w:szCs w:val="20"/>
              </w:rPr>
            </w:pPr>
            <w:r w:rsidRPr="009E3ADA">
              <w:rPr>
                <w:rFonts w:ascii="Arial Narrow" w:hAnsi="Arial Narrow"/>
                <w:b/>
                <w:sz w:val="20"/>
                <w:szCs w:val="20"/>
              </w:rPr>
              <w:t>Sensitivity analyses</w:t>
            </w:r>
          </w:p>
        </w:tc>
      </w:tr>
      <w:tr w:rsidR="000E482F" w:rsidRPr="009E3ADA" w14:paraId="164CDF2C" w14:textId="77777777" w:rsidTr="00723891">
        <w:trPr>
          <w:tblHeader/>
        </w:trPr>
        <w:tc>
          <w:tcPr>
            <w:tcW w:w="2294" w:type="pct"/>
          </w:tcPr>
          <w:p w14:paraId="12F98A7D" w14:textId="1E84C1D4" w:rsidR="000E482F" w:rsidRPr="009E3ADA" w:rsidRDefault="000E482F" w:rsidP="004C79C1">
            <w:pPr>
              <w:spacing w:before="0" w:after="120" w:line="240" w:lineRule="auto"/>
              <w:rPr>
                <w:rFonts w:ascii="Arial Narrow" w:hAnsi="Arial Narrow"/>
                <w:sz w:val="20"/>
                <w:szCs w:val="20"/>
              </w:rPr>
            </w:pPr>
            <w:r w:rsidRPr="009E3ADA">
              <w:rPr>
                <w:rFonts w:ascii="Arial Narrow" w:hAnsi="Arial Narrow"/>
                <w:sz w:val="20"/>
                <w:szCs w:val="20"/>
              </w:rPr>
              <w:t>CMR in diagnosing non-isch</w:t>
            </w:r>
            <w:r w:rsidR="00B54AAB">
              <w:rPr>
                <w:rFonts w:ascii="Arial Narrow" w:hAnsi="Arial Narrow"/>
                <w:sz w:val="20"/>
                <w:szCs w:val="20"/>
              </w:rPr>
              <w:t>a</w:t>
            </w:r>
            <w:r w:rsidRPr="009E3ADA">
              <w:rPr>
                <w:rFonts w:ascii="Arial Narrow" w:hAnsi="Arial Narrow"/>
                <w:sz w:val="20"/>
                <w:szCs w:val="20"/>
              </w:rPr>
              <w:t>emic aetiology (ref</w:t>
            </w:r>
            <w:r w:rsidR="00FF229B">
              <w:rPr>
                <w:rFonts w:ascii="Arial Narrow" w:hAnsi="Arial Narrow"/>
                <w:sz w:val="20"/>
                <w:szCs w:val="20"/>
              </w:rPr>
              <w:t>.</w:t>
            </w:r>
            <w:r w:rsidRPr="009E3ADA">
              <w:rPr>
                <w:rFonts w:ascii="Arial Narrow" w:hAnsi="Arial Narrow"/>
                <w:sz w:val="20"/>
                <w:szCs w:val="20"/>
              </w:rPr>
              <w:t xml:space="preserve"> std. ICA or clinical diagnosis)</w:t>
            </w:r>
          </w:p>
        </w:tc>
        <w:tc>
          <w:tcPr>
            <w:tcW w:w="883" w:type="pct"/>
          </w:tcPr>
          <w:p w14:paraId="0A429F5A" w14:textId="26777929" w:rsidR="000E482F" w:rsidRPr="009E3ADA" w:rsidRDefault="00000FA6" w:rsidP="004C79C1">
            <w:pPr>
              <w:pStyle w:val="Tabletext1"/>
              <w:spacing w:before="0" w:after="120"/>
            </w:pPr>
            <w:r>
              <w:fldChar w:fldCharType="begin"/>
            </w:r>
            <w:r>
              <w:instrText xml:space="preserve"> REF _Ref446514195 \h  \* MERGEFORMAT </w:instrText>
            </w:r>
            <w:r>
              <w:fldChar w:fldCharType="separate"/>
            </w:r>
            <w:r w:rsidRPr="00C36707">
              <w:t xml:space="preserve">Table </w:t>
            </w:r>
            <w:r>
              <w:rPr>
                <w:noProof/>
              </w:rPr>
              <w:t>14</w:t>
            </w:r>
            <w:r>
              <w:fldChar w:fldCharType="end"/>
            </w:r>
          </w:p>
        </w:tc>
        <w:tc>
          <w:tcPr>
            <w:tcW w:w="820" w:type="pct"/>
            <w:tcBorders>
              <w:left w:val="single" w:sz="4" w:space="0" w:color="auto"/>
            </w:tcBorders>
          </w:tcPr>
          <w:p w14:paraId="38E7ED2D" w14:textId="77777777" w:rsidR="000E482F" w:rsidRPr="009E3ADA" w:rsidRDefault="000E482F" w:rsidP="004C79C1">
            <w:pPr>
              <w:spacing w:before="0" w:after="120" w:line="240" w:lineRule="auto"/>
              <w:jc w:val="center"/>
              <w:rPr>
                <w:rFonts w:ascii="Arial Narrow" w:hAnsi="Arial Narrow"/>
                <w:sz w:val="20"/>
                <w:szCs w:val="20"/>
              </w:rPr>
            </w:pPr>
            <w:r w:rsidRPr="009E3ADA">
              <w:rPr>
                <w:rFonts w:ascii="Arial Narrow" w:hAnsi="Arial Narrow"/>
                <w:sz w:val="20"/>
                <w:szCs w:val="20"/>
              </w:rPr>
              <w:t>65%</w:t>
            </w:r>
          </w:p>
        </w:tc>
        <w:tc>
          <w:tcPr>
            <w:tcW w:w="1003" w:type="pct"/>
          </w:tcPr>
          <w:p w14:paraId="3482BB01" w14:textId="103F415D" w:rsidR="000E482F" w:rsidRPr="009E3ADA" w:rsidRDefault="00000FA6" w:rsidP="004C79C1">
            <w:pPr>
              <w:spacing w:before="0" w:after="120" w:line="240" w:lineRule="auto"/>
              <w:jc w:val="center"/>
              <w:rPr>
                <w:rFonts w:ascii="Arial Narrow" w:hAnsi="Arial Narrow"/>
                <w:sz w:val="20"/>
                <w:szCs w:val="20"/>
              </w:rPr>
            </w:pPr>
            <w:r>
              <w:rPr>
                <w:rFonts w:ascii="Arial Narrow" w:hAnsi="Arial Narrow"/>
                <w:sz w:val="20"/>
                <w:szCs w:val="20"/>
              </w:rPr>
              <w:t>95% CI</w:t>
            </w:r>
            <w:r w:rsidR="00114B90">
              <w:rPr>
                <w:rFonts w:ascii="Arial Narrow" w:hAnsi="Arial Narrow"/>
                <w:sz w:val="20"/>
                <w:szCs w:val="20"/>
              </w:rPr>
              <w:t xml:space="preserve"> </w:t>
            </w:r>
            <w:r>
              <w:rPr>
                <w:rFonts w:ascii="Arial Narrow" w:hAnsi="Arial Narrow"/>
                <w:sz w:val="20"/>
                <w:szCs w:val="20"/>
              </w:rPr>
              <w:t xml:space="preserve">(31.7, </w:t>
            </w:r>
            <w:r w:rsidR="000E482F" w:rsidRPr="009E3ADA">
              <w:rPr>
                <w:rFonts w:ascii="Arial Narrow" w:hAnsi="Arial Narrow"/>
                <w:sz w:val="20"/>
                <w:szCs w:val="20"/>
              </w:rPr>
              <w:t>79</w:t>
            </w:r>
            <w:r w:rsidR="00114B90">
              <w:rPr>
                <w:rFonts w:ascii="Arial Narrow" w:hAnsi="Arial Narrow"/>
                <w:sz w:val="20"/>
                <w:szCs w:val="20"/>
              </w:rPr>
              <w:t>.0</w:t>
            </w:r>
            <w:r w:rsidR="000E482F" w:rsidRPr="009E3ADA">
              <w:rPr>
                <w:rFonts w:ascii="Arial Narrow" w:hAnsi="Arial Narrow"/>
                <w:sz w:val="20"/>
                <w:szCs w:val="20"/>
              </w:rPr>
              <w:t>%</w:t>
            </w:r>
            <w:r>
              <w:rPr>
                <w:rFonts w:ascii="Arial Narrow" w:hAnsi="Arial Narrow"/>
                <w:sz w:val="20"/>
                <w:szCs w:val="20"/>
              </w:rPr>
              <w:t>)</w:t>
            </w:r>
          </w:p>
        </w:tc>
      </w:tr>
    </w:tbl>
    <w:p w14:paraId="1E1A4B3E" w14:textId="65BB559D" w:rsidR="000E482F" w:rsidRPr="004B4693" w:rsidRDefault="00000FA6" w:rsidP="004C79C1">
      <w:pPr>
        <w:widowControl w:val="0"/>
        <w:spacing w:after="120" w:line="240" w:lineRule="auto"/>
        <w:jc w:val="both"/>
        <w:rPr>
          <w:rFonts w:ascii="Arial Narrow" w:hAnsi="Arial Narrow" w:cs="Arial"/>
          <w:snapToGrid w:val="0"/>
          <w:sz w:val="20"/>
          <w:szCs w:val="20"/>
          <w:lang w:eastAsia="en-US"/>
        </w:rPr>
      </w:pPr>
      <w:r>
        <w:rPr>
          <w:rFonts w:ascii="Arial Narrow" w:hAnsi="Arial Narrow" w:cs="Arial"/>
          <w:snapToGrid w:val="0"/>
          <w:sz w:val="20"/>
          <w:szCs w:val="20"/>
          <w:lang w:eastAsia="en-US"/>
        </w:rPr>
        <w:t xml:space="preserve">CI = confidence interval; </w:t>
      </w:r>
      <w:r w:rsidR="000E482F" w:rsidRPr="004B4693">
        <w:rPr>
          <w:rFonts w:ascii="Arial Narrow" w:hAnsi="Arial Narrow" w:cs="Arial"/>
          <w:snapToGrid w:val="0"/>
          <w:sz w:val="20"/>
          <w:szCs w:val="20"/>
          <w:lang w:eastAsia="en-US"/>
        </w:rPr>
        <w:t xml:space="preserve">CMR = stress perfusion cardiac magnetic resonance </w:t>
      </w:r>
      <w:r w:rsidR="008734D3">
        <w:rPr>
          <w:rFonts w:ascii="Arial Narrow" w:hAnsi="Arial Narrow" w:cs="Arial"/>
          <w:snapToGrid w:val="0"/>
          <w:sz w:val="20"/>
          <w:szCs w:val="20"/>
          <w:lang w:eastAsia="en-US"/>
        </w:rPr>
        <w:t>(</w:t>
      </w:r>
      <w:r w:rsidR="000E482F" w:rsidRPr="004B4693">
        <w:rPr>
          <w:rFonts w:ascii="Arial Narrow" w:hAnsi="Arial Narrow" w:cs="Arial"/>
          <w:snapToGrid w:val="0"/>
          <w:sz w:val="20"/>
          <w:szCs w:val="20"/>
          <w:lang w:eastAsia="en-US"/>
        </w:rPr>
        <w:t>imaging</w:t>
      </w:r>
      <w:r w:rsidR="008734D3">
        <w:rPr>
          <w:rFonts w:ascii="Arial Narrow" w:hAnsi="Arial Narrow" w:cs="Arial"/>
          <w:snapToGrid w:val="0"/>
          <w:sz w:val="20"/>
          <w:szCs w:val="20"/>
          <w:lang w:eastAsia="en-US"/>
        </w:rPr>
        <w:t>)</w:t>
      </w:r>
      <w:r w:rsidR="000E482F" w:rsidRPr="004B4693">
        <w:rPr>
          <w:rFonts w:ascii="Arial Narrow" w:hAnsi="Arial Narrow" w:cs="Arial"/>
          <w:snapToGrid w:val="0"/>
          <w:sz w:val="20"/>
          <w:szCs w:val="20"/>
          <w:lang w:eastAsia="en-US"/>
        </w:rPr>
        <w:t>; ICA = invasive coronary angiography NIDCM = non-ischaemic dilated cardiomyopathy</w:t>
      </w:r>
    </w:p>
    <w:p w14:paraId="71C53C19" w14:textId="77777777" w:rsidR="000E482F" w:rsidRPr="00794C6B" w:rsidRDefault="000E482F" w:rsidP="00161B88">
      <w:pPr>
        <w:pStyle w:val="Heading4"/>
      </w:pPr>
      <w:r w:rsidRPr="00794C6B">
        <w:t>Costs associated with CMR testing</w:t>
      </w:r>
    </w:p>
    <w:p w14:paraId="369F7C3A" w14:textId="739D6D38" w:rsidR="000E482F" w:rsidRPr="00FA43C7" w:rsidRDefault="000E482F" w:rsidP="004C79C1">
      <w:pPr>
        <w:spacing w:after="120" w:line="240" w:lineRule="auto"/>
        <w:jc w:val="both"/>
      </w:pPr>
      <w:r>
        <w:t xml:space="preserve">It is assumed that CMR services are provided in the outpatient setting and that a bulk-billing incentive will be applied to the proposed item (consistent with other CMR services). </w:t>
      </w:r>
      <w:r w:rsidRPr="00FA43C7">
        <w:t xml:space="preserve">CMR costs are as described </w:t>
      </w:r>
      <w:r w:rsidRPr="00F72C8D">
        <w:t xml:space="preserve">previously in </w:t>
      </w:r>
      <w:r w:rsidR="00000FA6">
        <w:fldChar w:fldCharType="begin"/>
      </w:r>
      <w:r w:rsidR="00000FA6">
        <w:instrText xml:space="preserve"> REF _Ref451253034 \h </w:instrText>
      </w:r>
      <w:r w:rsidR="00000FA6">
        <w:fldChar w:fldCharType="separate"/>
      </w:r>
      <w:r w:rsidR="00000FA6">
        <w:t xml:space="preserve">Table </w:t>
      </w:r>
      <w:r w:rsidR="00000FA6">
        <w:rPr>
          <w:noProof/>
        </w:rPr>
        <w:t>34</w:t>
      </w:r>
      <w:r w:rsidR="00000FA6">
        <w:fldChar w:fldCharType="end"/>
      </w:r>
      <w:r w:rsidRPr="00F72C8D">
        <w:t xml:space="preserve">, </w:t>
      </w:r>
      <w:r w:rsidR="00FE2743">
        <w:t>s</w:t>
      </w:r>
      <w:r w:rsidRPr="00F72C8D">
        <w:t>ection D.4</w:t>
      </w:r>
      <w:proofErr w:type="gramStart"/>
      <w:r w:rsidRPr="00F72C8D">
        <w:t>.(</w:t>
      </w:r>
      <w:proofErr w:type="gramEnd"/>
      <w:r w:rsidRPr="00F72C8D">
        <w:t>i)</w:t>
      </w:r>
      <w:r w:rsidR="00FF34CC">
        <w:t>,</w:t>
      </w:r>
      <w:r w:rsidRPr="00FA43C7">
        <w:t xml:space="preserve"> </w:t>
      </w:r>
      <w:r>
        <w:t>but</w:t>
      </w:r>
      <w:r w:rsidRPr="00FA43C7">
        <w:t xml:space="preserve"> referral costs are excluded </w:t>
      </w:r>
      <w:r>
        <w:t xml:space="preserve">for this set of </w:t>
      </w:r>
      <w:r w:rsidRPr="00FA43C7">
        <w:t>cost comparisons. A summary of costs associated with CMR testing included in the cost</w:t>
      </w:r>
      <w:r w:rsidR="00FF34CC">
        <w:t xml:space="preserve"> </w:t>
      </w:r>
      <w:r w:rsidRPr="00FA43C7">
        <w:t>analyses is presented in</w:t>
      </w:r>
      <w:r>
        <w:t xml:space="preserve"> </w:t>
      </w:r>
      <w:r w:rsidR="00000FA6">
        <w:fldChar w:fldCharType="begin"/>
      </w:r>
      <w:r w:rsidR="00000FA6">
        <w:instrText xml:space="preserve"> REF _Ref449550600 \h </w:instrText>
      </w:r>
      <w:r w:rsidR="00000FA6">
        <w:fldChar w:fldCharType="separate"/>
      </w:r>
      <w:r w:rsidR="00000FA6" w:rsidRPr="00FA43C7">
        <w:t xml:space="preserve">Table </w:t>
      </w:r>
      <w:r w:rsidR="00000FA6">
        <w:rPr>
          <w:noProof/>
        </w:rPr>
        <w:t>46</w:t>
      </w:r>
      <w:r w:rsidR="00000FA6">
        <w:fldChar w:fldCharType="end"/>
      </w:r>
      <w:r w:rsidRPr="00FA43C7">
        <w:t xml:space="preserve"> </w:t>
      </w:r>
    </w:p>
    <w:p w14:paraId="1F6D7B57" w14:textId="4A411156" w:rsidR="000E482F" w:rsidRPr="00FA43C7" w:rsidRDefault="000E482F" w:rsidP="004C79C1">
      <w:pPr>
        <w:pStyle w:val="Caption"/>
      </w:pPr>
      <w:bookmarkStart w:id="592" w:name="_Ref449550600"/>
      <w:bookmarkStart w:id="593" w:name="_Toc449555006"/>
      <w:bookmarkStart w:id="594" w:name="_Toc324410216"/>
      <w:bookmarkStart w:id="595" w:name="_Toc451435373"/>
      <w:r w:rsidRPr="00FA43C7">
        <w:t xml:space="preserve">Table </w:t>
      </w:r>
      <w:fldSimple w:instr=" SEQ Table \* ARABIC ">
        <w:r w:rsidR="00050936">
          <w:rPr>
            <w:noProof/>
          </w:rPr>
          <w:t>46</w:t>
        </w:r>
      </w:fldSimple>
      <w:bookmarkEnd w:id="592"/>
      <w:r w:rsidR="006F0C4E">
        <w:rPr>
          <w:noProof/>
        </w:rPr>
        <w:tab/>
      </w:r>
      <w:r w:rsidRPr="00FA43C7">
        <w:t>Costs associated with CMR testing in the population with intermediate risk of CAD</w:t>
      </w:r>
      <w:bookmarkEnd w:id="593"/>
      <w:bookmarkEnd w:id="594"/>
      <w:bookmarkEnd w:id="595"/>
    </w:p>
    <w:tbl>
      <w:tblPr>
        <w:tblStyle w:val="TableGrid"/>
        <w:tblW w:w="0" w:type="auto"/>
        <w:tblLook w:val="04A0" w:firstRow="1" w:lastRow="0" w:firstColumn="1" w:lastColumn="0" w:noHBand="0" w:noVBand="1"/>
        <w:tblDescription w:val="Costs associated with CMR testing in the population with intermediate risk of CAD"/>
      </w:tblPr>
      <w:tblGrid>
        <w:gridCol w:w="4248"/>
        <w:gridCol w:w="1134"/>
        <w:gridCol w:w="3634"/>
      </w:tblGrid>
      <w:tr w:rsidR="000E482F" w:rsidRPr="00FA43C7" w14:paraId="02EEAA22" w14:textId="77777777" w:rsidTr="00723891">
        <w:trPr>
          <w:tblHeader/>
        </w:trPr>
        <w:tc>
          <w:tcPr>
            <w:tcW w:w="4248" w:type="dxa"/>
            <w:tcBorders>
              <w:bottom w:val="single" w:sz="4" w:space="0" w:color="auto"/>
            </w:tcBorders>
          </w:tcPr>
          <w:p w14:paraId="462169E9"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Parameter</w:t>
            </w:r>
          </w:p>
        </w:tc>
        <w:tc>
          <w:tcPr>
            <w:tcW w:w="1134" w:type="dxa"/>
            <w:tcBorders>
              <w:bottom w:val="single" w:sz="4" w:space="0" w:color="auto"/>
            </w:tcBorders>
          </w:tcPr>
          <w:p w14:paraId="0AE8D70E"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Estimate</w:t>
            </w:r>
          </w:p>
        </w:tc>
        <w:tc>
          <w:tcPr>
            <w:tcW w:w="3634" w:type="dxa"/>
            <w:tcBorders>
              <w:bottom w:val="single" w:sz="4" w:space="0" w:color="auto"/>
            </w:tcBorders>
          </w:tcPr>
          <w:p w14:paraId="218EEB89" w14:textId="77777777" w:rsidR="000E482F" w:rsidRPr="00905AB3" w:rsidRDefault="000E482F" w:rsidP="004C79C1">
            <w:pPr>
              <w:keepNext/>
              <w:spacing w:after="120" w:line="240" w:lineRule="auto"/>
              <w:ind w:left="993" w:hanging="993"/>
              <w:rPr>
                <w:rFonts w:ascii="Arial Narrow" w:hAnsi="Arial Narrow"/>
                <w:b/>
                <w:sz w:val="20"/>
                <w:szCs w:val="20"/>
              </w:rPr>
            </w:pPr>
            <w:r w:rsidRPr="00905AB3">
              <w:rPr>
                <w:rFonts w:ascii="Arial Narrow" w:hAnsi="Arial Narrow"/>
                <w:b/>
                <w:sz w:val="20"/>
                <w:szCs w:val="20"/>
              </w:rPr>
              <w:t>Source</w:t>
            </w:r>
          </w:p>
        </w:tc>
      </w:tr>
      <w:tr w:rsidR="000E482F" w:rsidRPr="00FA43C7" w14:paraId="553467BB" w14:textId="77777777" w:rsidTr="00723891">
        <w:tc>
          <w:tcPr>
            <w:tcW w:w="4248" w:type="dxa"/>
            <w:tcBorders>
              <w:bottom w:val="double" w:sz="4" w:space="0" w:color="auto"/>
            </w:tcBorders>
            <w:vAlign w:val="bottom"/>
          </w:tcPr>
          <w:p w14:paraId="19019925" w14:textId="77777777" w:rsidR="000E482F" w:rsidRPr="00FA43C7" w:rsidRDefault="000E482F" w:rsidP="004C79C1">
            <w:pPr>
              <w:spacing w:after="120" w:line="240" w:lineRule="auto"/>
              <w:rPr>
                <w:rFonts w:ascii="Arial Narrow" w:hAnsi="Arial Narrow"/>
                <w:bCs/>
                <w:color w:val="000000"/>
                <w:sz w:val="20"/>
                <w:szCs w:val="20"/>
              </w:rPr>
            </w:pPr>
            <w:r w:rsidRPr="00FA43C7">
              <w:rPr>
                <w:rFonts w:ascii="Arial Narrow" w:hAnsi="Arial Narrow"/>
                <w:sz w:val="20"/>
                <w:szCs w:val="20"/>
              </w:rPr>
              <w:t>Costs related to testing</w:t>
            </w:r>
          </w:p>
        </w:tc>
        <w:tc>
          <w:tcPr>
            <w:tcW w:w="1134" w:type="dxa"/>
            <w:tcBorders>
              <w:bottom w:val="double" w:sz="4" w:space="0" w:color="auto"/>
            </w:tcBorders>
            <w:vAlign w:val="bottom"/>
          </w:tcPr>
          <w:p w14:paraId="6D5CDC29" w14:textId="77777777" w:rsidR="000E482F" w:rsidRPr="00FA43C7" w:rsidRDefault="000E482F" w:rsidP="004C79C1">
            <w:pPr>
              <w:tabs>
                <w:tab w:val="decimal" w:pos="543"/>
              </w:tabs>
              <w:spacing w:after="120" w:line="240" w:lineRule="auto"/>
              <w:rPr>
                <w:rFonts w:ascii="Arial Narrow" w:hAnsi="Arial Narrow"/>
                <w:bCs/>
                <w:color w:val="000000"/>
                <w:sz w:val="20"/>
                <w:szCs w:val="20"/>
              </w:rPr>
            </w:pPr>
            <w:r w:rsidRPr="00FA43C7">
              <w:rPr>
                <w:rFonts w:ascii="Arial Narrow" w:hAnsi="Arial Narrow"/>
                <w:bCs/>
                <w:color w:val="000000"/>
                <w:sz w:val="20"/>
                <w:szCs w:val="20"/>
              </w:rPr>
              <w:t>$926.73</w:t>
            </w:r>
          </w:p>
        </w:tc>
        <w:tc>
          <w:tcPr>
            <w:tcW w:w="3634" w:type="dxa"/>
            <w:tcBorders>
              <w:bottom w:val="double" w:sz="4" w:space="0" w:color="auto"/>
            </w:tcBorders>
            <w:vAlign w:val="bottom"/>
          </w:tcPr>
          <w:p w14:paraId="1E76F8D3" w14:textId="7973E92A" w:rsidR="000E482F" w:rsidRPr="00905AB3" w:rsidRDefault="000E482F" w:rsidP="004C79C1">
            <w:pPr>
              <w:spacing w:after="120" w:line="240" w:lineRule="auto"/>
              <w:rPr>
                <w:rFonts w:ascii="Arial Narrow" w:hAnsi="Arial Narrow" w:cs="Arial"/>
                <w:bCs/>
                <w:color w:val="000000"/>
                <w:sz w:val="20"/>
                <w:szCs w:val="20"/>
              </w:rPr>
            </w:pPr>
            <w:r w:rsidRPr="00905AB3">
              <w:rPr>
                <w:rFonts w:ascii="Arial Narrow" w:hAnsi="Arial Narrow" w:cs="Arial"/>
                <w:bCs/>
                <w:color w:val="000000"/>
                <w:sz w:val="20"/>
                <w:szCs w:val="20"/>
              </w:rPr>
              <w:t xml:space="preserve">Sum of test costs (excluding referral) </w:t>
            </w:r>
            <w:r w:rsidR="008E3FAB" w:rsidRPr="00905AB3">
              <w:rPr>
                <w:rFonts w:ascii="Arial Narrow" w:hAnsi="Arial Narrow" w:cs="Arial"/>
                <w:bCs/>
                <w:color w:val="000000"/>
                <w:sz w:val="20"/>
                <w:szCs w:val="20"/>
              </w:rPr>
              <w:t>(</w:t>
            </w:r>
            <w:r w:rsidR="00000FA6" w:rsidRPr="00000FA6">
              <w:rPr>
                <w:rStyle w:val="TabletextChar1"/>
                <w:sz w:val="20"/>
                <w:szCs w:val="20"/>
              </w:rPr>
              <w:fldChar w:fldCharType="begin"/>
            </w:r>
            <w:r w:rsidR="00000FA6" w:rsidRPr="00000FA6">
              <w:rPr>
                <w:rStyle w:val="TabletextChar1"/>
                <w:sz w:val="20"/>
                <w:szCs w:val="20"/>
              </w:rPr>
              <w:instrText xml:space="preserve"> REF _Ref451253034 \h  \* MERGEFORMAT </w:instrText>
            </w:r>
            <w:r w:rsidR="00000FA6" w:rsidRPr="00000FA6">
              <w:rPr>
                <w:rStyle w:val="TabletextChar1"/>
                <w:sz w:val="20"/>
                <w:szCs w:val="20"/>
              </w:rPr>
            </w:r>
            <w:r w:rsidR="00000FA6" w:rsidRPr="00000FA6">
              <w:rPr>
                <w:rStyle w:val="TabletextChar1"/>
                <w:sz w:val="20"/>
                <w:szCs w:val="20"/>
              </w:rPr>
              <w:fldChar w:fldCharType="separate"/>
            </w:r>
            <w:r w:rsidR="00000FA6" w:rsidRPr="00000FA6">
              <w:rPr>
                <w:rStyle w:val="TabletextChar1"/>
                <w:sz w:val="20"/>
                <w:szCs w:val="20"/>
              </w:rPr>
              <w:t>Table 34</w:t>
            </w:r>
            <w:r w:rsidR="00000FA6" w:rsidRPr="00000FA6">
              <w:rPr>
                <w:rStyle w:val="TabletextChar1"/>
                <w:sz w:val="20"/>
                <w:szCs w:val="20"/>
              </w:rPr>
              <w:fldChar w:fldCharType="end"/>
            </w:r>
            <w:r w:rsidR="008E3FAB" w:rsidRPr="00905AB3">
              <w:rPr>
                <w:rFonts w:ascii="Arial Narrow" w:hAnsi="Arial Narrow" w:cs="Arial"/>
                <w:bCs/>
                <w:color w:val="000000"/>
                <w:sz w:val="20"/>
                <w:szCs w:val="20"/>
              </w:rPr>
              <w:t>)</w:t>
            </w:r>
          </w:p>
        </w:tc>
      </w:tr>
      <w:tr w:rsidR="000E482F" w:rsidRPr="00FA43C7" w14:paraId="5F574ED4" w14:textId="77777777" w:rsidTr="00723891">
        <w:tc>
          <w:tcPr>
            <w:tcW w:w="4248" w:type="dxa"/>
            <w:tcBorders>
              <w:bottom w:val="double" w:sz="4" w:space="0" w:color="auto"/>
            </w:tcBorders>
          </w:tcPr>
          <w:p w14:paraId="567C49CC" w14:textId="10BD597C" w:rsidR="000E482F" w:rsidRPr="00FA43C7" w:rsidRDefault="00FF34CC" w:rsidP="004C79C1">
            <w:pPr>
              <w:spacing w:after="120" w:line="240" w:lineRule="auto"/>
              <w:rPr>
                <w:rFonts w:ascii="Arial Narrow" w:hAnsi="Arial Narrow"/>
                <w:sz w:val="20"/>
                <w:szCs w:val="20"/>
              </w:rPr>
            </w:pPr>
            <w:r>
              <w:rPr>
                <w:rFonts w:ascii="Arial Narrow" w:hAnsi="Arial Narrow"/>
                <w:sz w:val="20"/>
                <w:szCs w:val="20"/>
              </w:rPr>
              <w:t>Costs related to t</w:t>
            </w:r>
            <w:r w:rsidR="000E482F" w:rsidRPr="00FA43C7">
              <w:rPr>
                <w:rFonts w:ascii="Arial Narrow" w:hAnsi="Arial Narrow"/>
                <w:sz w:val="20"/>
                <w:szCs w:val="20"/>
              </w:rPr>
              <w:t xml:space="preserve">reatment of AEs </w:t>
            </w:r>
          </w:p>
        </w:tc>
        <w:tc>
          <w:tcPr>
            <w:tcW w:w="1134" w:type="dxa"/>
            <w:tcBorders>
              <w:bottom w:val="double" w:sz="4" w:space="0" w:color="auto"/>
            </w:tcBorders>
          </w:tcPr>
          <w:p w14:paraId="79280148" w14:textId="77777777" w:rsidR="000E482F" w:rsidRPr="00FF229B" w:rsidRDefault="000E482F" w:rsidP="004C79C1">
            <w:pPr>
              <w:tabs>
                <w:tab w:val="decimal" w:pos="543"/>
              </w:tabs>
              <w:spacing w:after="120" w:line="240" w:lineRule="auto"/>
              <w:rPr>
                <w:rFonts w:ascii="Arial Narrow" w:hAnsi="Arial Narrow"/>
                <w:sz w:val="20"/>
                <w:szCs w:val="20"/>
              </w:rPr>
            </w:pPr>
            <w:r w:rsidRPr="00FF229B">
              <w:rPr>
                <w:rFonts w:ascii="Arial Narrow" w:hAnsi="Arial Narrow"/>
                <w:sz w:val="20"/>
                <w:szCs w:val="20"/>
              </w:rPr>
              <w:t>$0.05</w:t>
            </w:r>
          </w:p>
        </w:tc>
        <w:tc>
          <w:tcPr>
            <w:tcW w:w="3634" w:type="dxa"/>
            <w:tcBorders>
              <w:bottom w:val="double" w:sz="4" w:space="0" w:color="auto"/>
            </w:tcBorders>
          </w:tcPr>
          <w:p w14:paraId="0EC60FC2" w14:textId="68A4FA86" w:rsidR="000E482F" w:rsidRPr="00905AB3" w:rsidRDefault="000E482F" w:rsidP="004C79C1">
            <w:pPr>
              <w:spacing w:after="120" w:line="240" w:lineRule="auto"/>
              <w:rPr>
                <w:rFonts w:ascii="Arial Narrow" w:hAnsi="Arial Narrow"/>
                <w:sz w:val="20"/>
                <w:szCs w:val="20"/>
              </w:rPr>
            </w:pPr>
            <w:r w:rsidRPr="00905AB3">
              <w:rPr>
                <w:rFonts w:ascii="Arial Narrow" w:hAnsi="Arial Narrow"/>
                <w:sz w:val="20"/>
                <w:szCs w:val="20"/>
              </w:rPr>
              <w:t>Cost of AE per CMR</w:t>
            </w:r>
            <w:r w:rsidR="00FF34CC" w:rsidRPr="00905AB3" w:rsidDel="00FF34CC">
              <w:rPr>
                <w:rFonts w:ascii="Arial Narrow" w:hAnsi="Arial Narrow"/>
                <w:sz w:val="20"/>
                <w:szCs w:val="20"/>
              </w:rPr>
              <w:t xml:space="preserve"> </w:t>
            </w:r>
            <w:r w:rsidR="008E3FAB" w:rsidRPr="00905AB3">
              <w:rPr>
                <w:rFonts w:ascii="Arial Narrow" w:hAnsi="Arial Narrow"/>
                <w:sz w:val="20"/>
                <w:szCs w:val="20"/>
              </w:rPr>
              <w:t>(</w:t>
            </w:r>
            <w:r w:rsidR="00000FA6" w:rsidRPr="00000FA6">
              <w:rPr>
                <w:rStyle w:val="TabletextChar1"/>
                <w:sz w:val="20"/>
                <w:szCs w:val="20"/>
              </w:rPr>
              <w:fldChar w:fldCharType="begin"/>
            </w:r>
            <w:r w:rsidR="00000FA6" w:rsidRPr="00000FA6">
              <w:rPr>
                <w:rStyle w:val="TabletextChar1"/>
                <w:sz w:val="20"/>
                <w:szCs w:val="20"/>
              </w:rPr>
              <w:instrText xml:space="preserve"> REF _Ref451253034 \h  \* MERGEFORMAT </w:instrText>
            </w:r>
            <w:r w:rsidR="00000FA6" w:rsidRPr="00000FA6">
              <w:rPr>
                <w:rStyle w:val="TabletextChar1"/>
                <w:sz w:val="20"/>
                <w:szCs w:val="20"/>
              </w:rPr>
            </w:r>
            <w:r w:rsidR="00000FA6" w:rsidRPr="00000FA6">
              <w:rPr>
                <w:rStyle w:val="TabletextChar1"/>
                <w:sz w:val="20"/>
                <w:szCs w:val="20"/>
              </w:rPr>
              <w:fldChar w:fldCharType="separate"/>
            </w:r>
            <w:r w:rsidR="00000FA6" w:rsidRPr="00000FA6">
              <w:rPr>
                <w:rStyle w:val="TabletextChar1"/>
                <w:sz w:val="20"/>
                <w:szCs w:val="20"/>
              </w:rPr>
              <w:t>Table 34</w:t>
            </w:r>
            <w:r w:rsidR="00000FA6" w:rsidRPr="00000FA6">
              <w:rPr>
                <w:rStyle w:val="TabletextChar1"/>
                <w:sz w:val="20"/>
                <w:szCs w:val="20"/>
              </w:rPr>
              <w:fldChar w:fldCharType="end"/>
            </w:r>
            <w:r w:rsidR="008E3FAB" w:rsidRPr="00905AB3">
              <w:rPr>
                <w:rFonts w:ascii="Arial Narrow" w:hAnsi="Arial Narrow"/>
                <w:bCs/>
                <w:color w:val="000000"/>
                <w:sz w:val="20"/>
                <w:szCs w:val="20"/>
              </w:rPr>
              <w:t>)</w:t>
            </w:r>
          </w:p>
        </w:tc>
      </w:tr>
      <w:tr w:rsidR="000E482F" w:rsidRPr="003B18EC" w14:paraId="1669A1A7" w14:textId="77777777" w:rsidTr="00723891">
        <w:tc>
          <w:tcPr>
            <w:tcW w:w="4248" w:type="dxa"/>
            <w:tcBorders>
              <w:top w:val="double" w:sz="4" w:space="0" w:color="auto"/>
            </w:tcBorders>
          </w:tcPr>
          <w:p w14:paraId="3378148D" w14:textId="77777777" w:rsidR="000E482F" w:rsidRPr="00000FA6" w:rsidRDefault="000E482F" w:rsidP="004C79C1">
            <w:pPr>
              <w:spacing w:after="120" w:line="240" w:lineRule="auto"/>
              <w:rPr>
                <w:rFonts w:ascii="Arial Narrow" w:hAnsi="Arial Narrow"/>
                <w:b/>
                <w:sz w:val="20"/>
                <w:szCs w:val="20"/>
              </w:rPr>
            </w:pPr>
            <w:r w:rsidRPr="00000FA6">
              <w:rPr>
                <w:rFonts w:ascii="Arial Narrow" w:hAnsi="Arial Narrow"/>
                <w:b/>
                <w:sz w:val="20"/>
                <w:szCs w:val="20"/>
              </w:rPr>
              <w:t>Total</w:t>
            </w:r>
          </w:p>
        </w:tc>
        <w:tc>
          <w:tcPr>
            <w:tcW w:w="1134" w:type="dxa"/>
            <w:tcBorders>
              <w:top w:val="double" w:sz="4" w:space="0" w:color="auto"/>
            </w:tcBorders>
          </w:tcPr>
          <w:p w14:paraId="20B93087" w14:textId="77777777" w:rsidR="000E482F" w:rsidRPr="00000FA6" w:rsidRDefault="000E482F" w:rsidP="004C79C1">
            <w:pPr>
              <w:tabs>
                <w:tab w:val="decimal" w:pos="543"/>
              </w:tabs>
              <w:spacing w:after="120" w:line="240" w:lineRule="auto"/>
              <w:rPr>
                <w:rFonts w:ascii="Arial Narrow" w:hAnsi="Arial Narrow"/>
                <w:b/>
                <w:sz w:val="20"/>
                <w:szCs w:val="20"/>
              </w:rPr>
            </w:pPr>
            <w:r w:rsidRPr="00000FA6">
              <w:rPr>
                <w:rFonts w:ascii="Arial Narrow" w:hAnsi="Arial Narrow"/>
                <w:b/>
                <w:sz w:val="20"/>
                <w:szCs w:val="20"/>
              </w:rPr>
              <w:t>$926.78</w:t>
            </w:r>
          </w:p>
        </w:tc>
        <w:tc>
          <w:tcPr>
            <w:tcW w:w="3634" w:type="dxa"/>
            <w:tcBorders>
              <w:top w:val="double" w:sz="4" w:space="0" w:color="auto"/>
            </w:tcBorders>
          </w:tcPr>
          <w:p w14:paraId="7B877392" w14:textId="77777777" w:rsidR="000E482F" w:rsidRPr="00000FA6" w:rsidRDefault="000E482F" w:rsidP="004C79C1">
            <w:pPr>
              <w:spacing w:after="120" w:line="240" w:lineRule="auto"/>
              <w:rPr>
                <w:rFonts w:ascii="Arial Narrow" w:hAnsi="Arial Narrow"/>
                <w:b/>
                <w:sz w:val="20"/>
                <w:szCs w:val="20"/>
              </w:rPr>
            </w:pPr>
          </w:p>
        </w:tc>
      </w:tr>
    </w:tbl>
    <w:p w14:paraId="6D6B2FA6" w14:textId="5C94A3CD" w:rsidR="000E482F" w:rsidRPr="00FA43C7" w:rsidRDefault="000E482F"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AE</w:t>
      </w:r>
      <w:r w:rsidR="00FF34CC">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w:t>
      </w:r>
      <w:r w:rsidR="00FF34CC">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 xml:space="preserve">adverse events; </w:t>
      </w:r>
      <w:r w:rsidR="00BB1FDE">
        <w:rPr>
          <w:rFonts w:ascii="Arial Narrow" w:hAnsi="Arial Narrow" w:cs="Arial"/>
          <w:snapToGrid w:val="0"/>
          <w:sz w:val="20"/>
          <w:szCs w:val="20"/>
          <w:lang w:eastAsia="en-US"/>
        </w:rPr>
        <w:t xml:space="preserve">CAD = coronary artery disease; </w:t>
      </w:r>
      <w:r w:rsidRPr="00FA43C7">
        <w:rPr>
          <w:rFonts w:ascii="Arial Narrow" w:hAnsi="Arial Narrow" w:cs="Arial"/>
          <w:snapToGrid w:val="0"/>
          <w:sz w:val="20"/>
          <w:szCs w:val="20"/>
          <w:lang w:eastAsia="en-US"/>
        </w:rPr>
        <w:t>CMR</w:t>
      </w:r>
      <w:r w:rsidR="00FF34CC">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w:t>
      </w:r>
      <w:r w:rsidR="00FF34CC">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 xml:space="preserve">cardiac magnetic resonance </w:t>
      </w:r>
      <w:r w:rsidR="008734D3">
        <w:rPr>
          <w:rFonts w:ascii="Arial Narrow" w:hAnsi="Arial Narrow" w:cs="Arial"/>
          <w:snapToGrid w:val="0"/>
          <w:sz w:val="20"/>
          <w:szCs w:val="20"/>
          <w:lang w:eastAsia="en-US"/>
        </w:rPr>
        <w:t>(</w:t>
      </w:r>
      <w:r w:rsidRPr="00FA43C7">
        <w:rPr>
          <w:rFonts w:ascii="Arial Narrow" w:hAnsi="Arial Narrow" w:cs="Arial"/>
          <w:snapToGrid w:val="0"/>
          <w:sz w:val="20"/>
          <w:szCs w:val="20"/>
          <w:lang w:eastAsia="en-US"/>
        </w:rPr>
        <w:t>imaging</w:t>
      </w:r>
      <w:r w:rsidR="008734D3">
        <w:rPr>
          <w:rFonts w:ascii="Arial Narrow" w:hAnsi="Arial Narrow" w:cs="Arial"/>
          <w:snapToGrid w:val="0"/>
          <w:sz w:val="20"/>
          <w:szCs w:val="20"/>
          <w:lang w:eastAsia="en-US"/>
        </w:rPr>
        <w:t>)</w:t>
      </w:r>
    </w:p>
    <w:p w14:paraId="30D2CD02" w14:textId="77777777" w:rsidR="000E482F" w:rsidRPr="00794C6B" w:rsidRDefault="000E482F" w:rsidP="00161B88">
      <w:pPr>
        <w:pStyle w:val="Heading4"/>
      </w:pPr>
      <w:r w:rsidRPr="00794C6B">
        <w:t>ICA costs (including costs of treatment of AEs)</w:t>
      </w:r>
    </w:p>
    <w:p w14:paraId="220FA2CA" w14:textId="01CC498B" w:rsidR="000E482F" w:rsidRDefault="000E482F" w:rsidP="004C79C1">
      <w:pPr>
        <w:pStyle w:val="Body"/>
        <w:spacing w:after="120" w:line="240" w:lineRule="auto"/>
        <w:jc w:val="both"/>
        <w:rPr>
          <w:lang w:val="en-US"/>
        </w:rPr>
      </w:pPr>
      <w:r>
        <w:rPr>
          <w:lang w:val="en-US"/>
        </w:rPr>
        <w:t>The modelled cost of ICA is based on the N</w:t>
      </w:r>
      <w:r w:rsidR="00E17D4D">
        <w:rPr>
          <w:lang w:val="en-US"/>
        </w:rPr>
        <w:t>EP</w:t>
      </w:r>
      <w:r>
        <w:rPr>
          <w:lang w:val="en-US"/>
        </w:rPr>
        <w:t xml:space="preserve"> for AR-DRGs F42B (Circulatory </w:t>
      </w:r>
      <w:r w:rsidR="007D20BE">
        <w:rPr>
          <w:lang w:val="en-US"/>
        </w:rPr>
        <w:t>D</w:t>
      </w:r>
      <w:r>
        <w:rPr>
          <w:lang w:val="en-US"/>
        </w:rPr>
        <w:t>isorders</w:t>
      </w:r>
      <w:r>
        <w:t xml:space="preserve">, </w:t>
      </w:r>
      <w:r w:rsidR="00181FB3">
        <w:t>N</w:t>
      </w:r>
      <w:r>
        <w:t xml:space="preserve">ot </w:t>
      </w:r>
      <w:r w:rsidR="00181FB3">
        <w:rPr>
          <w:lang w:val="en-US"/>
        </w:rPr>
        <w:t>A</w:t>
      </w:r>
      <w:r>
        <w:rPr>
          <w:lang w:val="en-US"/>
        </w:rPr>
        <w:t>dmitted</w:t>
      </w:r>
      <w:r>
        <w:rPr>
          <w:lang w:val="da-DK"/>
        </w:rPr>
        <w:t xml:space="preserve"> for AMI </w:t>
      </w:r>
      <w:r>
        <w:rPr>
          <w:lang w:val="en-US"/>
        </w:rPr>
        <w:t>with</w:t>
      </w:r>
      <w:r>
        <w:t xml:space="preserve"> </w:t>
      </w:r>
      <w:r w:rsidR="00181FB3">
        <w:t>I</w:t>
      </w:r>
      <w:r>
        <w:t xml:space="preserve">nvasive </w:t>
      </w:r>
      <w:r w:rsidR="00181FB3">
        <w:t>C</w:t>
      </w:r>
      <w:r>
        <w:t xml:space="preserve">ardiac </w:t>
      </w:r>
      <w:r w:rsidR="00181FB3">
        <w:t>I</w:t>
      </w:r>
      <w:r>
        <w:t>nvestigations</w:t>
      </w:r>
      <w:r>
        <w:rPr>
          <w:lang w:val="en-US"/>
        </w:rPr>
        <w:t xml:space="preserve">, </w:t>
      </w:r>
      <w:r w:rsidR="00181FB3">
        <w:rPr>
          <w:lang w:val="en-US"/>
        </w:rPr>
        <w:t>N</w:t>
      </w:r>
      <w:r>
        <w:rPr>
          <w:lang w:val="en-US"/>
        </w:rPr>
        <w:t xml:space="preserve">o </w:t>
      </w:r>
      <w:r w:rsidR="00181FB3">
        <w:rPr>
          <w:lang w:val="en-US"/>
        </w:rPr>
        <w:t>C</w:t>
      </w:r>
      <w:r>
        <w:rPr>
          <w:lang w:val="en-US"/>
        </w:rPr>
        <w:t xml:space="preserve">omplications, </w:t>
      </w:r>
      <w:r w:rsidR="00181FB3">
        <w:rPr>
          <w:lang w:val="en-US"/>
        </w:rPr>
        <w:t>O</w:t>
      </w:r>
      <w:r>
        <w:rPr>
          <w:lang w:val="en-US"/>
        </w:rPr>
        <w:t xml:space="preserve">vernight </w:t>
      </w:r>
      <w:r w:rsidR="00181FB3">
        <w:rPr>
          <w:lang w:val="en-US"/>
        </w:rPr>
        <w:t>S</w:t>
      </w:r>
      <w:r>
        <w:rPr>
          <w:lang w:val="en-US"/>
        </w:rPr>
        <w:t>tay) and F42C (</w:t>
      </w:r>
      <w:r w:rsidR="00181FB3">
        <w:rPr>
          <w:lang w:val="en-US"/>
        </w:rPr>
        <w:t>as above but S</w:t>
      </w:r>
      <w:r>
        <w:rPr>
          <w:lang w:val="en-US"/>
        </w:rPr>
        <w:t xml:space="preserve">ame </w:t>
      </w:r>
      <w:r w:rsidR="00181FB3">
        <w:rPr>
          <w:lang w:val="en-US"/>
        </w:rPr>
        <w:t>D</w:t>
      </w:r>
      <w:r>
        <w:rPr>
          <w:lang w:val="en-US"/>
        </w:rPr>
        <w:t xml:space="preserve">ay) </w:t>
      </w:r>
      <w:r>
        <w:rPr>
          <w:lang w:val="en-US"/>
        </w:rPr>
        <w:fldChar w:fldCharType="begin"/>
      </w:r>
      <w:r>
        <w:rPr>
          <w:lang w:val="en-US"/>
        </w:rPr>
        <w:instrText xml:space="preserve"> ADDIN EN.CITE &lt;EndNote&gt;&lt;Cite&gt;&lt;Author&gt;Independent Hospital Pricing Authority (IHPA)&lt;/Author&gt;&lt;Year&gt;2015&lt;/Year&gt;&lt;RecNum&gt;161&lt;/RecNum&gt;&lt;DisplayText&gt;(Independent Hospital Pricing Authority (IHPA) 2015c)&lt;/DisplayText&gt;&lt;record&gt;&lt;rec-number&gt;161&lt;/rec-number&gt;&lt;foreign-keys&gt;&lt;key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Pr>
          <w:lang w:val="en-US"/>
        </w:rPr>
        <w:fldChar w:fldCharType="separate"/>
      </w:r>
      <w:r>
        <w:rPr>
          <w:noProof/>
          <w:lang w:val="en-US"/>
        </w:rPr>
        <w:t>(</w:t>
      </w:r>
      <w:hyperlink w:anchor="_ENREF_60" w:tooltip="Independent Hospital Pricing Authority (IHPA), 2015 #161" w:history="1">
        <w:r>
          <w:rPr>
            <w:noProof/>
            <w:lang w:val="en-US"/>
          </w:rPr>
          <w:t>Independent Hospital Pricing Authority (IHPA) 2015c</w:t>
        </w:r>
      </w:hyperlink>
      <w:r>
        <w:rPr>
          <w:noProof/>
          <w:lang w:val="en-US"/>
        </w:rPr>
        <w:t>)</w:t>
      </w:r>
      <w:r>
        <w:rPr>
          <w:lang w:val="en-US"/>
        </w:rPr>
        <w:fldChar w:fldCharType="end"/>
      </w:r>
      <w:r>
        <w:rPr>
          <w:lang w:val="en-US"/>
        </w:rPr>
        <w:t>, weighted by the respective number of hospital separations</w:t>
      </w:r>
      <w:r w:rsidR="00926BAB">
        <w:rPr>
          <w:lang w:val="en-US"/>
        </w:rPr>
        <w:t xml:space="preserve"> </w:t>
      </w:r>
      <w:r>
        <w:rPr>
          <w:lang w:val="en-US"/>
        </w:rPr>
        <w:fldChar w:fldCharType="begin"/>
      </w:r>
      <w:r>
        <w:rPr>
          <w:lang w:val="en-US"/>
        </w:rP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Pr>
          <w:lang w:val="en-US"/>
        </w:rPr>
        <w:fldChar w:fldCharType="separate"/>
      </w:r>
      <w:r>
        <w:rPr>
          <w:noProof/>
          <w:lang w:val="en-US"/>
        </w:rPr>
        <w:t>(</w:t>
      </w:r>
      <w:hyperlink w:anchor="_ENREF_58" w:tooltip="Independent Hospital Pricing Authority (IHPA), 2015 #160" w:history="1">
        <w:r>
          <w:rPr>
            <w:noProof/>
            <w:lang w:val="en-US"/>
          </w:rPr>
          <w:t>Independent Hospital Pricing Authority (IHPA) 2015a</w:t>
        </w:r>
      </w:hyperlink>
      <w:r>
        <w:rPr>
          <w:noProof/>
          <w:lang w:val="en-US"/>
        </w:rPr>
        <w:t>)</w:t>
      </w:r>
      <w:r>
        <w:rPr>
          <w:lang w:val="en-US"/>
        </w:rPr>
        <w:fldChar w:fldCharType="end"/>
      </w:r>
      <w:r>
        <w:rPr>
          <w:lang w:val="en-US"/>
        </w:rPr>
        <w:t>. The treatment of AEs related to ICAs is assumed to be the difference between the N</w:t>
      </w:r>
      <w:r w:rsidR="00926BAB">
        <w:rPr>
          <w:lang w:val="en-US"/>
        </w:rPr>
        <w:t>EP</w:t>
      </w:r>
      <w:r>
        <w:rPr>
          <w:lang w:val="en-US"/>
        </w:rPr>
        <w:t xml:space="preserve"> for AR-DRG F42A (</w:t>
      </w:r>
      <w:r w:rsidR="00926BAB">
        <w:rPr>
          <w:lang w:val="en-US"/>
        </w:rPr>
        <w:t xml:space="preserve">as above but </w:t>
      </w:r>
      <w:r w:rsidR="00905AB3">
        <w:rPr>
          <w:lang w:val="en-US"/>
        </w:rPr>
        <w:t>‘</w:t>
      </w:r>
      <w:r w:rsidR="00181FB3">
        <w:rPr>
          <w:lang w:val="en-US"/>
        </w:rPr>
        <w:t>W</w:t>
      </w:r>
      <w:r>
        <w:rPr>
          <w:lang w:val="en-US"/>
        </w:rPr>
        <w:t xml:space="preserve">ith </w:t>
      </w:r>
      <w:r w:rsidR="00181FB3">
        <w:rPr>
          <w:lang w:val="en-US"/>
        </w:rPr>
        <w:t>C</w:t>
      </w:r>
      <w:r>
        <w:rPr>
          <w:lang w:val="en-US"/>
        </w:rPr>
        <w:t>omplications</w:t>
      </w:r>
      <w:r w:rsidR="00905AB3">
        <w:rPr>
          <w:lang w:val="en-US"/>
        </w:rPr>
        <w:t>’</w:t>
      </w:r>
      <w:r>
        <w:rPr>
          <w:lang w:val="en-US"/>
        </w:rPr>
        <w:t xml:space="preserve">) and the weighted ICA cost (above). </w:t>
      </w:r>
    </w:p>
    <w:p w14:paraId="4CE4E9C9" w14:textId="3CD4A86F" w:rsidR="000E482F" w:rsidRDefault="000E482F" w:rsidP="004C79C1">
      <w:pPr>
        <w:spacing w:after="120" w:line="240" w:lineRule="auto"/>
      </w:pPr>
      <w:r w:rsidRPr="006C6649">
        <w:rPr>
          <w:lang w:val="en-US"/>
        </w:rPr>
        <w:t xml:space="preserve">A summary of the costs used in the economic model related to ICA is presented in </w:t>
      </w:r>
      <w:r w:rsidR="00607E39">
        <w:rPr>
          <w:lang w:val="en-US"/>
        </w:rPr>
        <w:fldChar w:fldCharType="begin"/>
      </w:r>
      <w:r w:rsidR="00607E39">
        <w:rPr>
          <w:lang w:val="en-US"/>
        </w:rPr>
        <w:instrText xml:space="preserve"> REF _Ref436033348 \h </w:instrText>
      </w:r>
      <w:r w:rsidR="00607E39">
        <w:rPr>
          <w:lang w:val="en-US"/>
        </w:rPr>
      </w:r>
      <w:r w:rsidR="00607E39">
        <w:rPr>
          <w:lang w:val="en-US"/>
        </w:rPr>
        <w:fldChar w:fldCharType="separate"/>
      </w:r>
      <w:r w:rsidR="00607E39">
        <w:t xml:space="preserve">Table </w:t>
      </w:r>
      <w:r w:rsidR="00607E39">
        <w:rPr>
          <w:noProof/>
        </w:rPr>
        <w:t>47</w:t>
      </w:r>
      <w:r w:rsidR="00607E39">
        <w:rPr>
          <w:lang w:val="en-US"/>
        </w:rPr>
        <w:fldChar w:fldCharType="end"/>
      </w:r>
      <w:r w:rsidRPr="006C6649">
        <w:rPr>
          <w:lang w:val="en-US"/>
        </w:rPr>
        <w:t>.</w:t>
      </w:r>
      <w:r w:rsidRPr="006C6649">
        <w:t xml:space="preserve"> </w:t>
      </w:r>
      <w:r>
        <w:t xml:space="preserve">Referral costs associated with each test are assumed </w:t>
      </w:r>
      <w:r w:rsidR="00926BAB">
        <w:t xml:space="preserve">to be </w:t>
      </w:r>
      <w:r>
        <w:t>similar and are not included in the analyses.</w:t>
      </w:r>
    </w:p>
    <w:p w14:paraId="04E9AC06" w14:textId="2F8ED49E" w:rsidR="000E482F" w:rsidRDefault="000E482F" w:rsidP="004C79C1">
      <w:pPr>
        <w:pStyle w:val="Caption"/>
      </w:pPr>
      <w:bookmarkStart w:id="596" w:name="_Ref436033348"/>
      <w:bookmarkStart w:id="597" w:name="_Toc437435431"/>
      <w:bookmarkStart w:id="598" w:name="_Toc439954591"/>
      <w:bookmarkStart w:id="599" w:name="_Toc448399161"/>
      <w:bookmarkStart w:id="600" w:name="_Toc449555007"/>
      <w:bookmarkStart w:id="601" w:name="_Toc324410217"/>
      <w:bookmarkStart w:id="602" w:name="_Toc451435374"/>
      <w:r>
        <w:t xml:space="preserve">Table </w:t>
      </w:r>
      <w:fldSimple w:instr=" SEQ Table \* ARABIC ">
        <w:r w:rsidR="00050936">
          <w:rPr>
            <w:noProof/>
          </w:rPr>
          <w:t>47</w:t>
        </w:r>
      </w:fldSimple>
      <w:bookmarkEnd w:id="596"/>
      <w:r>
        <w:tab/>
      </w:r>
      <w:r w:rsidRPr="00DC7281">
        <w:t>Summary of ICA costs related to testing used in the economic model</w:t>
      </w:r>
      <w:bookmarkEnd w:id="597"/>
      <w:bookmarkEnd w:id="598"/>
      <w:bookmarkEnd w:id="599"/>
      <w:bookmarkEnd w:id="600"/>
      <w:bookmarkEnd w:id="601"/>
      <w:bookmarkEnd w:id="602"/>
    </w:p>
    <w:tbl>
      <w:tblPr>
        <w:tblStyle w:val="TableGrid"/>
        <w:tblW w:w="5000" w:type="pct"/>
        <w:tblLook w:val="04A0" w:firstRow="1" w:lastRow="0" w:firstColumn="1" w:lastColumn="0" w:noHBand="0" w:noVBand="1"/>
        <w:tblDescription w:val="Summary of ICA costs related to testing used in the economic model"/>
      </w:tblPr>
      <w:tblGrid>
        <w:gridCol w:w="2389"/>
        <w:gridCol w:w="2384"/>
        <w:gridCol w:w="4469"/>
      </w:tblGrid>
      <w:tr w:rsidR="000E482F" w:rsidRPr="00FE2B6F" w14:paraId="4FD0B40C" w14:textId="77777777" w:rsidTr="00723891">
        <w:trPr>
          <w:tblHeader/>
        </w:trPr>
        <w:tc>
          <w:tcPr>
            <w:tcW w:w="1292" w:type="pct"/>
          </w:tcPr>
          <w:p w14:paraId="13791A27" w14:textId="77777777" w:rsidR="000E482F" w:rsidRPr="00FE2B6F" w:rsidRDefault="000E482F" w:rsidP="004C79C1">
            <w:pPr>
              <w:pStyle w:val="TableHeading"/>
              <w:spacing w:before="0" w:after="120"/>
            </w:pPr>
            <w:r w:rsidRPr="00FE2B6F">
              <w:t>-</w:t>
            </w:r>
          </w:p>
        </w:tc>
        <w:tc>
          <w:tcPr>
            <w:tcW w:w="1290" w:type="pct"/>
          </w:tcPr>
          <w:p w14:paraId="27ED17F2" w14:textId="77777777" w:rsidR="000E482F" w:rsidRPr="00FE2B6F" w:rsidRDefault="000E482F" w:rsidP="004C79C1">
            <w:pPr>
              <w:pStyle w:val="TableHeading"/>
              <w:spacing w:before="0" w:after="120"/>
              <w:jc w:val="center"/>
            </w:pPr>
            <w:r w:rsidRPr="00FE2B6F">
              <w:rPr>
                <w:rStyle w:val="None"/>
                <w:lang w:val="en-US"/>
              </w:rPr>
              <w:t>Cost</w:t>
            </w:r>
          </w:p>
        </w:tc>
        <w:tc>
          <w:tcPr>
            <w:tcW w:w="2418" w:type="pct"/>
          </w:tcPr>
          <w:p w14:paraId="4DBC6738" w14:textId="77777777" w:rsidR="000E482F" w:rsidRPr="00FE2B6F" w:rsidRDefault="000E482F" w:rsidP="004C79C1">
            <w:pPr>
              <w:pStyle w:val="TableHeading"/>
              <w:spacing w:before="0" w:after="120"/>
            </w:pPr>
            <w:r w:rsidRPr="00FE2B6F">
              <w:rPr>
                <w:rStyle w:val="None"/>
                <w:lang w:val="en-US"/>
              </w:rPr>
              <w:t>Source</w:t>
            </w:r>
          </w:p>
        </w:tc>
      </w:tr>
      <w:tr w:rsidR="000E482F" w14:paraId="243A5393" w14:textId="77777777" w:rsidTr="00723891">
        <w:tc>
          <w:tcPr>
            <w:tcW w:w="1292" w:type="pct"/>
          </w:tcPr>
          <w:p w14:paraId="14980EFF" w14:textId="77777777" w:rsidR="000E482F" w:rsidRDefault="000E482F" w:rsidP="004C79C1">
            <w:pPr>
              <w:pStyle w:val="Tabletext1"/>
              <w:spacing w:before="0" w:after="120"/>
            </w:pPr>
            <w:r>
              <w:rPr>
                <w:rStyle w:val="None"/>
                <w:lang w:val="en-US"/>
              </w:rPr>
              <w:t>ICA</w:t>
            </w:r>
          </w:p>
        </w:tc>
        <w:tc>
          <w:tcPr>
            <w:tcW w:w="1290" w:type="pct"/>
          </w:tcPr>
          <w:p w14:paraId="28840FED" w14:textId="77777777" w:rsidR="000E482F" w:rsidRDefault="000E482F" w:rsidP="004C79C1">
            <w:pPr>
              <w:pStyle w:val="Tabletext1"/>
              <w:spacing w:before="0" w:after="120"/>
              <w:jc w:val="center"/>
            </w:pPr>
            <w:r w:rsidRPr="00A94E83">
              <w:t>$4,383</w:t>
            </w:r>
          </w:p>
        </w:tc>
        <w:tc>
          <w:tcPr>
            <w:tcW w:w="2418" w:type="pct"/>
          </w:tcPr>
          <w:p w14:paraId="6D63AEEB" w14:textId="415B1C6F" w:rsidR="000E482F" w:rsidRPr="008620DB" w:rsidRDefault="000E482F" w:rsidP="004C79C1">
            <w:pPr>
              <w:pStyle w:val="Tabletext1"/>
              <w:spacing w:before="0" w:after="120"/>
              <w:rPr>
                <w:highlight w:val="yellow"/>
              </w:rPr>
            </w:pPr>
            <w:r w:rsidRPr="009E3ADA">
              <w:rPr>
                <w:rFonts w:eastAsia="Calibri" w:cs="Calibri"/>
                <w:color w:val="000000"/>
                <w:u w:color="000000"/>
              </w:rPr>
              <w:t xml:space="preserve">NEP </w:t>
            </w:r>
            <w:r>
              <w:rPr>
                <w:rFonts w:eastAsia="Calibri" w:cs="Calibri"/>
                <w:color w:val="000000"/>
                <w:u w:color="000000"/>
              </w:rPr>
              <w:fldChar w:fldCharType="begin"/>
            </w:r>
            <w:r>
              <w:rPr>
                <w:rFonts w:eastAsia="Calibri" w:cs="Calibri"/>
                <w:color w:val="000000"/>
                <w:u w:color="000000"/>
              </w:rPr>
              <w:instrText xml:space="preserve"> ADDIN EN.CITE &lt;EndNote&gt;&lt;Cite&gt;&lt;Author&gt;Independent Hospital Pricing Authority (IHPA)&lt;/Author&gt;&lt;Year&gt;2015&lt;/Year&gt;&lt;RecNum&gt;161&lt;/RecNum&gt;&lt;DisplayText&gt;(Independent Hospital Pricing Authority (IHPA) 2015c)&lt;/DisplayText&gt;&lt;record&gt;&lt;rec-number&gt;161&lt;/rec-number&gt;&lt;foreign-keys&gt;&lt;key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Pr>
                <w:rFonts w:eastAsia="Calibri" w:cs="Calibri"/>
                <w:color w:val="000000"/>
                <w:u w:color="000000"/>
              </w:rPr>
              <w:fldChar w:fldCharType="separate"/>
            </w:r>
            <w:r>
              <w:rPr>
                <w:rFonts w:eastAsia="Calibri" w:cs="Calibri"/>
                <w:noProof/>
                <w:color w:val="000000"/>
                <w:u w:color="000000"/>
              </w:rPr>
              <w:t>(</w:t>
            </w:r>
            <w:hyperlink w:anchor="_ENREF_60" w:tooltip="Independent Hospital Pricing Authority (IHPA), 2015 #161" w:history="1">
              <w:r>
                <w:rPr>
                  <w:rFonts w:eastAsia="Calibri" w:cs="Calibri"/>
                  <w:noProof/>
                  <w:color w:val="000000"/>
                  <w:u w:color="000000"/>
                </w:rPr>
                <w:t>Independent Hospital Pricing Authority (IHPA) 2015c</w:t>
              </w:r>
            </w:hyperlink>
            <w:r>
              <w:rPr>
                <w:rFonts w:eastAsia="Calibri" w:cs="Calibri"/>
                <w:noProof/>
                <w:color w:val="000000"/>
                <w:u w:color="000000"/>
              </w:rPr>
              <w:t>)</w:t>
            </w:r>
            <w:r>
              <w:rPr>
                <w:rFonts w:eastAsia="Calibri" w:cs="Calibri"/>
                <w:color w:val="000000"/>
                <w:u w:color="000000"/>
              </w:rPr>
              <w:fldChar w:fldCharType="end"/>
            </w:r>
            <w:r w:rsidRPr="009E3ADA">
              <w:rPr>
                <w:rFonts w:eastAsia="Calibri" w:cs="Calibri"/>
                <w:color w:val="000000"/>
                <w:u w:color="000000"/>
              </w:rPr>
              <w:t xml:space="preserve"> for AR-DRG</w:t>
            </w:r>
            <w:r w:rsidR="00272A13">
              <w:rPr>
                <w:rFonts w:eastAsia="Calibri" w:cs="Calibri"/>
                <w:color w:val="000000"/>
                <w:u w:color="000000"/>
              </w:rPr>
              <w:t>s</w:t>
            </w:r>
            <w:r w:rsidRPr="009E3ADA">
              <w:rPr>
                <w:rFonts w:eastAsia="Calibri" w:cs="Calibri"/>
                <w:color w:val="000000"/>
                <w:u w:color="000000"/>
              </w:rPr>
              <w:t xml:space="preserve"> F42B and F42C, weighted by hospital separations </w:t>
            </w:r>
            <w:r>
              <w:rPr>
                <w:rFonts w:eastAsia="Calibri" w:cs="Calibri"/>
                <w:color w:val="000000"/>
                <w:u w:color="000000"/>
              </w:rPr>
              <w:fldChar w:fldCharType="begin"/>
            </w:r>
            <w:r>
              <w:rPr>
                <w:rFonts w:eastAsia="Calibri" w:cs="Calibri"/>
                <w:color w:val="000000"/>
                <w:u w:color="000000"/>
              </w:rP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Pr>
                <w:rFonts w:eastAsia="Calibri" w:cs="Calibri"/>
                <w:color w:val="000000"/>
                <w:u w:color="000000"/>
              </w:rPr>
              <w:fldChar w:fldCharType="separate"/>
            </w:r>
            <w:r>
              <w:rPr>
                <w:rFonts w:eastAsia="Calibri" w:cs="Calibri"/>
                <w:noProof/>
                <w:color w:val="000000"/>
                <w:u w:color="000000"/>
              </w:rPr>
              <w:t>(</w:t>
            </w:r>
            <w:hyperlink w:anchor="_ENREF_58" w:tooltip="Independent Hospital Pricing Authority (IHPA), 2015 #160" w:history="1">
              <w:r>
                <w:rPr>
                  <w:rFonts w:eastAsia="Calibri" w:cs="Calibri"/>
                  <w:noProof/>
                  <w:color w:val="000000"/>
                  <w:u w:color="000000"/>
                </w:rPr>
                <w:t>Independent Hospital Pricing Authority (IHPA) 2015a</w:t>
              </w:r>
            </w:hyperlink>
            <w:r>
              <w:rPr>
                <w:rFonts w:eastAsia="Calibri" w:cs="Calibri"/>
                <w:noProof/>
                <w:color w:val="000000"/>
                <w:u w:color="000000"/>
              </w:rPr>
              <w:t>)</w:t>
            </w:r>
            <w:r>
              <w:rPr>
                <w:rFonts w:eastAsia="Calibri" w:cs="Calibri"/>
                <w:color w:val="000000"/>
                <w:u w:color="000000"/>
              </w:rPr>
              <w:fldChar w:fldCharType="end"/>
            </w:r>
          </w:p>
        </w:tc>
      </w:tr>
      <w:tr w:rsidR="000E482F" w14:paraId="7DFFBB68" w14:textId="77777777" w:rsidTr="00723891">
        <w:tc>
          <w:tcPr>
            <w:tcW w:w="1292" w:type="pct"/>
          </w:tcPr>
          <w:p w14:paraId="6CA4FEF3" w14:textId="77777777" w:rsidR="000E482F" w:rsidRDefault="000E482F" w:rsidP="004C79C1">
            <w:pPr>
              <w:pStyle w:val="Tabletext1"/>
              <w:spacing w:before="0" w:after="120"/>
            </w:pPr>
            <w:r>
              <w:rPr>
                <w:rStyle w:val="None"/>
                <w:lang w:val="en-US"/>
              </w:rPr>
              <w:t xml:space="preserve">AEs related to ICAs </w:t>
            </w:r>
          </w:p>
        </w:tc>
        <w:tc>
          <w:tcPr>
            <w:tcW w:w="1290" w:type="pct"/>
          </w:tcPr>
          <w:p w14:paraId="10D5943C" w14:textId="77777777" w:rsidR="000E482F" w:rsidRDefault="000E482F" w:rsidP="004C79C1">
            <w:pPr>
              <w:pStyle w:val="Tabletext1"/>
              <w:spacing w:before="0" w:after="120"/>
              <w:jc w:val="center"/>
            </w:pPr>
            <w:r w:rsidRPr="00A94E83">
              <w:t>$5,595</w:t>
            </w:r>
          </w:p>
        </w:tc>
        <w:tc>
          <w:tcPr>
            <w:tcW w:w="2418" w:type="pct"/>
          </w:tcPr>
          <w:p w14:paraId="6CA48142" w14:textId="77777777" w:rsidR="000E482F" w:rsidRPr="008620DB" w:rsidRDefault="000E482F" w:rsidP="004C79C1">
            <w:pPr>
              <w:pStyle w:val="Tabletext1"/>
              <w:spacing w:before="0" w:after="120"/>
              <w:rPr>
                <w:highlight w:val="yellow"/>
              </w:rPr>
            </w:pPr>
            <w:r w:rsidRPr="009E3ADA">
              <w:rPr>
                <w:rFonts w:eastAsia="Calibri" w:cs="Calibri"/>
                <w:color w:val="000000"/>
                <w:u w:color="000000"/>
              </w:rPr>
              <w:t xml:space="preserve">NEP </w:t>
            </w:r>
            <w:r w:rsidRPr="009E3ADA">
              <w:rPr>
                <w:rFonts w:eastAsia="Calibri" w:cs="Calibri"/>
                <w:color w:val="000000"/>
                <w:u w:color="000000"/>
              </w:rPr>
              <w:fldChar w:fldCharType="begin"/>
            </w:r>
            <w:r>
              <w:rPr>
                <w:rFonts w:eastAsia="Calibri" w:cs="Calibri"/>
                <w:color w:val="000000"/>
                <w:u w:color="000000"/>
              </w:rPr>
              <w:instrText xml:space="preserve"> ADDIN EN.CITE &lt;EndNote&gt;&lt;Cite&gt;&lt;Author&gt;Independent Hospital Pricing Authority (IHPA)&lt;/Author&gt;&lt;Year&gt;2015&lt;/Year&gt;&lt;RecNum&gt;469&lt;/RecNum&gt;&lt;DisplayText&gt;(Independent Hospital Pricing Authority (IHPA) 2015a, 2015c)&lt;/DisplayText&gt;&lt;record&gt;&lt;rec-number&gt;469&lt;/rec-number&gt;&lt;foreign-keys&gt;&lt;key app="EN" db-id="902tefd05sz0tlevxvw5txd6rdazz2awszwd" timestamp="1459993605"&gt;469&lt;/key&gt;&lt;/foreign-keys&gt;&lt;ref-type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Cite&gt;&lt;Author&gt;Independent Hospital Pricing Authority (IHPA)&lt;/Author&gt;&lt;Year&gt;2015&lt;/Year&gt;&lt;RecNum&gt;161&lt;/RecNum&gt;&lt;record&gt;&lt;rec-number&gt;161&lt;/rec-number&gt;&lt;foreign-keys&gt;&lt;key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rsidRPr="009E3ADA">
              <w:rPr>
                <w:rFonts w:eastAsia="Calibri" w:cs="Calibri"/>
                <w:color w:val="000000"/>
                <w:u w:color="000000"/>
              </w:rPr>
              <w:fldChar w:fldCharType="separate"/>
            </w:r>
            <w:r>
              <w:rPr>
                <w:rFonts w:eastAsia="Calibri" w:cs="Calibri"/>
                <w:noProof/>
                <w:color w:val="000000"/>
                <w:u w:color="000000"/>
              </w:rPr>
              <w:t>(</w:t>
            </w:r>
            <w:hyperlink w:anchor="_ENREF_58" w:tooltip="Independent Hospital Pricing Authority (IHPA), 2015 #160" w:history="1">
              <w:r>
                <w:rPr>
                  <w:rFonts w:eastAsia="Calibri" w:cs="Calibri"/>
                  <w:noProof/>
                  <w:color w:val="000000"/>
                  <w:u w:color="000000"/>
                </w:rPr>
                <w:t>Independent Hospital Pricing Authority (IHPA) 2015a</w:t>
              </w:r>
            </w:hyperlink>
            <w:r>
              <w:rPr>
                <w:rFonts w:eastAsia="Calibri" w:cs="Calibri"/>
                <w:noProof/>
                <w:color w:val="000000"/>
                <w:u w:color="000000"/>
              </w:rPr>
              <w:t xml:space="preserve">, </w:t>
            </w:r>
            <w:hyperlink w:anchor="_ENREF_60" w:tooltip="Independent Hospital Pricing Authority (IHPA), 2015 #161" w:history="1">
              <w:r>
                <w:rPr>
                  <w:rFonts w:eastAsia="Calibri" w:cs="Calibri"/>
                  <w:noProof/>
                  <w:color w:val="000000"/>
                  <w:u w:color="000000"/>
                </w:rPr>
                <w:t>2015c</w:t>
              </w:r>
            </w:hyperlink>
            <w:r>
              <w:rPr>
                <w:rFonts w:eastAsia="Calibri" w:cs="Calibri"/>
                <w:noProof/>
                <w:color w:val="000000"/>
                <w:u w:color="000000"/>
              </w:rPr>
              <w:t>)</w:t>
            </w:r>
            <w:r w:rsidRPr="009E3ADA">
              <w:rPr>
                <w:rFonts w:eastAsia="Calibri" w:cs="Calibri"/>
                <w:color w:val="000000"/>
                <w:u w:color="000000"/>
              </w:rPr>
              <w:fldChar w:fldCharType="end"/>
            </w:r>
            <w:r w:rsidRPr="009E3ADA">
              <w:rPr>
                <w:rFonts w:eastAsia="Calibri" w:cs="Calibri"/>
                <w:color w:val="000000"/>
                <w:u w:color="000000"/>
              </w:rPr>
              <w:t xml:space="preserve"> for AR-DRG F42A minus cost of ICA without complications</w:t>
            </w:r>
          </w:p>
        </w:tc>
      </w:tr>
      <w:tr w:rsidR="000E482F" w14:paraId="6818CA49" w14:textId="77777777" w:rsidTr="00723891">
        <w:tc>
          <w:tcPr>
            <w:tcW w:w="1292" w:type="pct"/>
          </w:tcPr>
          <w:p w14:paraId="56C57D7D" w14:textId="4CC51FA0" w:rsidR="000E482F" w:rsidRDefault="000E482F" w:rsidP="004C79C1">
            <w:pPr>
              <w:pStyle w:val="Tabletext1"/>
              <w:spacing w:before="0" w:after="120"/>
              <w:rPr>
                <w:rStyle w:val="None"/>
                <w:lang w:val="en-US"/>
              </w:rPr>
            </w:pPr>
            <w:r>
              <w:rPr>
                <w:rStyle w:val="None"/>
                <w:lang w:val="en-US"/>
              </w:rPr>
              <w:t xml:space="preserve">Proportion </w:t>
            </w:r>
            <w:r w:rsidR="00272A13">
              <w:rPr>
                <w:rStyle w:val="None"/>
                <w:lang w:val="en-US"/>
              </w:rPr>
              <w:t xml:space="preserve">of </w:t>
            </w:r>
            <w:r>
              <w:rPr>
                <w:rStyle w:val="None"/>
                <w:lang w:val="en-US"/>
              </w:rPr>
              <w:t>ICA AEs</w:t>
            </w:r>
          </w:p>
        </w:tc>
        <w:tc>
          <w:tcPr>
            <w:tcW w:w="1290" w:type="pct"/>
          </w:tcPr>
          <w:p w14:paraId="716C1639" w14:textId="77777777" w:rsidR="000E482F" w:rsidRDefault="000E482F" w:rsidP="004C79C1">
            <w:pPr>
              <w:pStyle w:val="Tabletext1"/>
              <w:spacing w:before="0" w:after="120"/>
              <w:jc w:val="center"/>
              <w:rPr>
                <w:rFonts w:eastAsia="Calibri" w:cs="Calibri"/>
                <w:color w:val="000000"/>
                <w:u w:color="000000"/>
              </w:rPr>
            </w:pPr>
            <w:r w:rsidRPr="00A94E83">
              <w:t>1.81%</w:t>
            </w:r>
          </w:p>
        </w:tc>
        <w:tc>
          <w:tcPr>
            <w:tcW w:w="2418" w:type="pct"/>
          </w:tcPr>
          <w:p w14:paraId="5A9D8589" w14:textId="77777777" w:rsidR="000E482F" w:rsidRDefault="000E482F" w:rsidP="004C79C1">
            <w:pPr>
              <w:pStyle w:val="Tabletext1"/>
              <w:spacing w:before="0" w:after="120"/>
              <w:rPr>
                <w:rFonts w:eastAsia="Calibri" w:cs="Calibri"/>
                <w:color w:val="000000"/>
                <w:u w:color="000000"/>
              </w:rPr>
            </w:pPr>
            <w:r>
              <w:rPr>
                <w:rFonts w:eastAsia="Calibri" w:cs="Calibri"/>
                <w:color w:val="000000"/>
                <w:u w:color="000000"/>
              </w:rPr>
              <w:t>Section B.7.1</w:t>
            </w:r>
          </w:p>
        </w:tc>
      </w:tr>
      <w:tr w:rsidR="000E482F" w14:paraId="7C64BCA8" w14:textId="77777777" w:rsidTr="00723891">
        <w:tc>
          <w:tcPr>
            <w:tcW w:w="1292" w:type="pct"/>
          </w:tcPr>
          <w:p w14:paraId="1A15337B" w14:textId="77777777" w:rsidR="000E482F" w:rsidRDefault="000E482F" w:rsidP="004C79C1">
            <w:pPr>
              <w:pStyle w:val="Tabletext1"/>
              <w:spacing w:before="0" w:after="120"/>
              <w:rPr>
                <w:rStyle w:val="None"/>
                <w:lang w:val="en-US"/>
              </w:rPr>
            </w:pPr>
            <w:r>
              <w:rPr>
                <w:rStyle w:val="None"/>
                <w:lang w:val="en-US"/>
              </w:rPr>
              <w:t>Weighted cost of treating AE</w:t>
            </w:r>
          </w:p>
        </w:tc>
        <w:tc>
          <w:tcPr>
            <w:tcW w:w="1290" w:type="pct"/>
          </w:tcPr>
          <w:p w14:paraId="3A64AACF" w14:textId="77777777" w:rsidR="000E482F" w:rsidRDefault="000E482F" w:rsidP="004C79C1">
            <w:pPr>
              <w:pStyle w:val="Tabletext1"/>
              <w:spacing w:before="0" w:after="120"/>
              <w:jc w:val="center"/>
              <w:rPr>
                <w:rFonts w:eastAsia="Calibri" w:cs="Calibri"/>
                <w:color w:val="000000"/>
                <w:u w:color="000000"/>
              </w:rPr>
            </w:pPr>
            <w:r w:rsidRPr="00A94E83">
              <w:t>$101.27</w:t>
            </w:r>
          </w:p>
        </w:tc>
        <w:tc>
          <w:tcPr>
            <w:tcW w:w="2418" w:type="pct"/>
          </w:tcPr>
          <w:p w14:paraId="42F998B9" w14:textId="454E9027" w:rsidR="000E482F" w:rsidRDefault="000E482F" w:rsidP="004C79C1">
            <w:pPr>
              <w:pStyle w:val="Tabletext1"/>
              <w:spacing w:before="0" w:after="120"/>
              <w:rPr>
                <w:rFonts w:eastAsia="Calibri" w:cs="Calibri"/>
                <w:color w:val="000000"/>
                <w:u w:color="000000"/>
              </w:rPr>
            </w:pPr>
            <w:r>
              <w:rPr>
                <w:rFonts w:eastAsia="Calibri" w:cs="Calibri"/>
                <w:color w:val="000000"/>
                <w:u w:color="000000"/>
              </w:rPr>
              <w:t xml:space="preserve">Cost of treating AE </w:t>
            </w:r>
            <w:r w:rsidR="00905AB3">
              <w:rPr>
                <w:rFonts w:ascii="Calibri" w:eastAsia="Calibri" w:hAnsi="Calibri" w:cs="Calibri"/>
                <w:color w:val="000000"/>
                <w:u w:color="000000"/>
              </w:rPr>
              <w:t>*</w:t>
            </w:r>
            <w:r>
              <w:rPr>
                <w:rFonts w:eastAsia="Calibri" w:cs="Calibri"/>
                <w:color w:val="000000"/>
                <w:u w:color="000000"/>
              </w:rPr>
              <w:t xml:space="preserve"> proportion of AEs experienced</w:t>
            </w:r>
          </w:p>
        </w:tc>
      </w:tr>
      <w:tr w:rsidR="000E482F" w14:paraId="27BB3495" w14:textId="77777777" w:rsidTr="00723891">
        <w:tc>
          <w:tcPr>
            <w:tcW w:w="1292" w:type="pct"/>
          </w:tcPr>
          <w:p w14:paraId="3FA675DD" w14:textId="77777777" w:rsidR="000E482F" w:rsidRPr="00062634" w:rsidRDefault="000E482F" w:rsidP="004C79C1">
            <w:pPr>
              <w:pStyle w:val="Tabletext1"/>
              <w:spacing w:before="0" w:after="120"/>
              <w:rPr>
                <w:rStyle w:val="None"/>
                <w:b/>
                <w:lang w:val="en-US"/>
              </w:rPr>
            </w:pPr>
            <w:r w:rsidRPr="00062634">
              <w:rPr>
                <w:rStyle w:val="None"/>
                <w:b/>
                <w:lang w:val="en-US"/>
              </w:rPr>
              <w:t>T</w:t>
            </w:r>
            <w:r>
              <w:rPr>
                <w:rStyle w:val="None"/>
                <w:b/>
                <w:lang w:val="en-US"/>
              </w:rPr>
              <w:t>otal</w:t>
            </w:r>
            <w:r w:rsidRPr="00062634">
              <w:rPr>
                <w:rStyle w:val="None"/>
                <w:b/>
                <w:lang w:val="en-US"/>
              </w:rPr>
              <w:t xml:space="preserve"> ICA </w:t>
            </w:r>
            <w:r>
              <w:rPr>
                <w:rStyle w:val="None"/>
                <w:b/>
                <w:lang w:val="en-US"/>
              </w:rPr>
              <w:t>cost</w:t>
            </w:r>
          </w:p>
        </w:tc>
        <w:tc>
          <w:tcPr>
            <w:tcW w:w="1290" w:type="pct"/>
          </w:tcPr>
          <w:p w14:paraId="70046A70" w14:textId="77777777" w:rsidR="000E482F" w:rsidRPr="009860A4" w:rsidRDefault="000E482F" w:rsidP="004C79C1">
            <w:pPr>
              <w:pStyle w:val="Tabletext1"/>
              <w:spacing w:before="0" w:after="120"/>
              <w:jc w:val="center"/>
              <w:rPr>
                <w:rFonts w:eastAsia="Calibri" w:cs="Calibri"/>
                <w:b/>
                <w:color w:val="000000"/>
                <w:u w:color="000000"/>
              </w:rPr>
            </w:pPr>
            <w:r w:rsidRPr="009860A4">
              <w:rPr>
                <w:b/>
              </w:rPr>
              <w:t>$4,484</w:t>
            </w:r>
          </w:p>
        </w:tc>
        <w:tc>
          <w:tcPr>
            <w:tcW w:w="2418" w:type="pct"/>
          </w:tcPr>
          <w:p w14:paraId="74742BA4" w14:textId="5F5EA9F6" w:rsidR="000E482F" w:rsidRPr="00062634" w:rsidRDefault="000E482F" w:rsidP="004C79C1">
            <w:pPr>
              <w:pStyle w:val="Tabletext1"/>
              <w:spacing w:before="0" w:after="120"/>
              <w:rPr>
                <w:rFonts w:eastAsia="Calibri" w:cs="Calibri"/>
                <w:color w:val="000000"/>
                <w:u w:color="000000"/>
              </w:rPr>
            </w:pPr>
            <w:r w:rsidRPr="00062634">
              <w:rPr>
                <w:rFonts w:eastAsia="Calibri" w:cs="Calibri"/>
                <w:color w:val="000000"/>
                <w:u w:color="000000"/>
              </w:rPr>
              <w:t xml:space="preserve">Sum </w:t>
            </w:r>
            <w:r w:rsidR="00272A13">
              <w:rPr>
                <w:rFonts w:eastAsia="Calibri" w:cs="Calibri"/>
                <w:color w:val="000000"/>
                <w:u w:color="000000"/>
              </w:rPr>
              <w:t xml:space="preserve">of </w:t>
            </w:r>
            <w:r w:rsidRPr="00062634">
              <w:rPr>
                <w:rFonts w:eastAsia="Calibri" w:cs="Calibri"/>
                <w:color w:val="000000"/>
                <w:u w:color="000000"/>
              </w:rPr>
              <w:t>ICA cost and cost of AEs</w:t>
            </w:r>
          </w:p>
        </w:tc>
      </w:tr>
    </w:tbl>
    <w:p w14:paraId="53DCF14C" w14:textId="77777777" w:rsidR="000E482F" w:rsidRDefault="000E482F" w:rsidP="004C79C1">
      <w:pPr>
        <w:pStyle w:val="Tablenotes0"/>
        <w:spacing w:before="0" w:after="120"/>
      </w:pPr>
      <w:r w:rsidRPr="004D49EE">
        <w:t>AE = adverse event; AR-DRG = Australian Refined Diagnosis Related Groups; ICA = invasive coronary angiogram; NEP = National Efficient Price</w:t>
      </w:r>
    </w:p>
    <w:p w14:paraId="5E21E126" w14:textId="71FCFC3C" w:rsidR="000E482F" w:rsidRPr="009257C3" w:rsidRDefault="000E482F" w:rsidP="00161B88">
      <w:pPr>
        <w:pStyle w:val="Heading3"/>
      </w:pPr>
      <w:bookmarkStart w:id="603" w:name="_Toc449428915"/>
      <w:bookmarkStart w:id="604" w:name="_Toc451501386"/>
      <w:r>
        <w:lastRenderedPageBreak/>
        <w:t>D4</w:t>
      </w:r>
      <w:proofErr w:type="gramStart"/>
      <w:r>
        <w:t>.(</w:t>
      </w:r>
      <w:proofErr w:type="gramEnd"/>
      <w:r>
        <w:t>iiB) CEA</w:t>
      </w:r>
      <w:r>
        <w:tab/>
        <w:t>Results</w:t>
      </w:r>
      <w:bookmarkEnd w:id="603"/>
      <w:bookmarkEnd w:id="604"/>
    </w:p>
    <w:p w14:paraId="54C76843" w14:textId="32FCA99C" w:rsidR="000E482F" w:rsidRPr="00D91F46" w:rsidRDefault="000E482F" w:rsidP="004C79C1">
      <w:pPr>
        <w:spacing w:after="120" w:line="240" w:lineRule="auto"/>
        <w:jc w:val="both"/>
      </w:pPr>
      <w:r>
        <w:t>The results of the economic evaluation for comparison of CMR (as a gatekeeper for ICA) v</w:t>
      </w:r>
      <w:r w:rsidR="00AA393D">
        <w:t>ersu</w:t>
      </w:r>
      <w:r>
        <w:t xml:space="preserve">s immediate ICA are presented in </w:t>
      </w:r>
      <w:r w:rsidR="00607E39">
        <w:fldChar w:fldCharType="begin"/>
      </w:r>
      <w:r w:rsidR="00607E39">
        <w:instrText xml:space="preserve"> REF _Ref436735752 \h </w:instrText>
      </w:r>
      <w:r w:rsidR="00607E39">
        <w:fldChar w:fldCharType="separate"/>
      </w:r>
      <w:r w:rsidR="00607E39">
        <w:t xml:space="preserve">Table </w:t>
      </w:r>
      <w:r w:rsidR="00607E39">
        <w:rPr>
          <w:noProof/>
        </w:rPr>
        <w:t>48</w:t>
      </w:r>
      <w:r w:rsidR="00607E39">
        <w:fldChar w:fldCharType="end"/>
      </w:r>
      <w:r>
        <w:t>.</w:t>
      </w:r>
    </w:p>
    <w:p w14:paraId="00F7BD0B" w14:textId="1DF7210C" w:rsidR="000E482F" w:rsidRDefault="000E482F" w:rsidP="004C79C1">
      <w:pPr>
        <w:pStyle w:val="Caption"/>
      </w:pPr>
      <w:bookmarkStart w:id="605" w:name="_Ref436735752"/>
      <w:bookmarkStart w:id="606" w:name="_Toc437435439"/>
      <w:bookmarkStart w:id="607" w:name="_Toc439954597"/>
      <w:bookmarkStart w:id="608" w:name="_Toc448399162"/>
      <w:bookmarkStart w:id="609" w:name="_Toc449555008"/>
      <w:bookmarkStart w:id="610" w:name="_Toc324410218"/>
      <w:bookmarkStart w:id="611" w:name="_Toc451435375"/>
      <w:r>
        <w:t xml:space="preserve">Table </w:t>
      </w:r>
      <w:fldSimple w:instr=" SEQ Table \* ARABIC ">
        <w:r w:rsidR="00050936">
          <w:rPr>
            <w:noProof/>
          </w:rPr>
          <w:t>48</w:t>
        </w:r>
      </w:fldSimple>
      <w:bookmarkEnd w:id="605"/>
      <w:r>
        <w:tab/>
      </w:r>
      <w:bookmarkEnd w:id="606"/>
      <w:r>
        <w:t>Results of CEA</w:t>
      </w:r>
      <w:r w:rsidRPr="009B1275">
        <w:t>, comparison of CMR</w:t>
      </w:r>
      <w:r>
        <w:t xml:space="preserve"> (as a gatekeeper for ICA) v</w:t>
      </w:r>
      <w:r w:rsidR="00AA393D">
        <w:t>ersu</w:t>
      </w:r>
      <w:r>
        <w:t xml:space="preserve">s </w:t>
      </w:r>
      <w:bookmarkEnd w:id="607"/>
      <w:r>
        <w:t>immediate ICA</w:t>
      </w:r>
      <w:bookmarkEnd w:id="608"/>
      <w:bookmarkEnd w:id="609"/>
      <w:bookmarkEnd w:id="610"/>
      <w:bookmarkEnd w:id="611"/>
    </w:p>
    <w:tbl>
      <w:tblPr>
        <w:tblStyle w:val="TableGrid"/>
        <w:tblW w:w="0" w:type="auto"/>
        <w:tblInd w:w="108" w:type="dxa"/>
        <w:tblLook w:val="04A0" w:firstRow="1" w:lastRow="0" w:firstColumn="1" w:lastColumn="0" w:noHBand="0" w:noVBand="1"/>
        <w:tblCaption w:val="Table 68"/>
        <w:tblDescription w:val="Results of the cost and cost-effectiveness analyses for the comparison to SPECT"/>
      </w:tblPr>
      <w:tblGrid>
        <w:gridCol w:w="3859"/>
        <w:gridCol w:w="1683"/>
        <w:gridCol w:w="1683"/>
        <w:gridCol w:w="1683"/>
      </w:tblGrid>
      <w:tr w:rsidR="000E482F" w14:paraId="64523ACF" w14:textId="77777777" w:rsidTr="00723891">
        <w:trPr>
          <w:tblHeader/>
        </w:trPr>
        <w:tc>
          <w:tcPr>
            <w:tcW w:w="3859" w:type="dxa"/>
            <w:tcBorders>
              <w:bottom w:val="single" w:sz="4" w:space="0" w:color="auto"/>
            </w:tcBorders>
          </w:tcPr>
          <w:p w14:paraId="3B1BF549" w14:textId="77777777" w:rsidR="000E482F" w:rsidRPr="00F31D27" w:rsidRDefault="000E482F" w:rsidP="004C79C1">
            <w:pPr>
              <w:pStyle w:val="Tabletext1"/>
              <w:spacing w:before="0" w:after="120"/>
              <w:rPr>
                <w:color w:val="FFFFFF" w:themeColor="background1"/>
              </w:rPr>
            </w:pPr>
          </w:p>
        </w:tc>
        <w:tc>
          <w:tcPr>
            <w:tcW w:w="1683" w:type="dxa"/>
            <w:tcBorders>
              <w:bottom w:val="single" w:sz="4" w:space="0" w:color="auto"/>
            </w:tcBorders>
            <w:vAlign w:val="bottom"/>
          </w:tcPr>
          <w:p w14:paraId="3A9DC464" w14:textId="77777777" w:rsidR="000E482F" w:rsidRDefault="000E482F" w:rsidP="004C79C1">
            <w:pPr>
              <w:pStyle w:val="TableHeading"/>
              <w:spacing w:before="0" w:after="120"/>
              <w:ind w:left="34" w:hanging="34"/>
              <w:jc w:val="center"/>
            </w:pPr>
            <w:r>
              <w:t>CMR</w:t>
            </w:r>
          </w:p>
        </w:tc>
        <w:tc>
          <w:tcPr>
            <w:tcW w:w="1683" w:type="dxa"/>
            <w:tcBorders>
              <w:bottom w:val="single" w:sz="4" w:space="0" w:color="auto"/>
            </w:tcBorders>
          </w:tcPr>
          <w:p w14:paraId="51841196" w14:textId="77777777" w:rsidR="000E482F" w:rsidRDefault="000E482F" w:rsidP="004C79C1">
            <w:pPr>
              <w:pStyle w:val="TableHeading"/>
              <w:spacing w:before="0" w:after="120"/>
              <w:jc w:val="center"/>
            </w:pPr>
            <w:r>
              <w:t>ICA</w:t>
            </w:r>
          </w:p>
        </w:tc>
        <w:tc>
          <w:tcPr>
            <w:tcW w:w="1683" w:type="dxa"/>
            <w:tcBorders>
              <w:bottom w:val="single" w:sz="4" w:space="0" w:color="auto"/>
            </w:tcBorders>
          </w:tcPr>
          <w:p w14:paraId="52A3787D" w14:textId="77777777" w:rsidR="000E482F" w:rsidRDefault="000E482F" w:rsidP="004C79C1">
            <w:pPr>
              <w:pStyle w:val="TableHeading"/>
              <w:spacing w:before="0" w:after="120"/>
              <w:ind w:left="34" w:hanging="34"/>
              <w:jc w:val="center"/>
            </w:pPr>
            <w:r>
              <w:t>Increment</w:t>
            </w:r>
          </w:p>
        </w:tc>
      </w:tr>
      <w:tr w:rsidR="000E482F" w14:paraId="48782752" w14:textId="77777777" w:rsidTr="00723891">
        <w:tc>
          <w:tcPr>
            <w:tcW w:w="3859" w:type="dxa"/>
            <w:tcBorders>
              <w:bottom w:val="single" w:sz="4" w:space="0" w:color="auto"/>
              <w:right w:val="nil"/>
            </w:tcBorders>
          </w:tcPr>
          <w:p w14:paraId="41A70A84" w14:textId="77777777" w:rsidR="000E482F" w:rsidRDefault="000E482F" w:rsidP="004C79C1">
            <w:pPr>
              <w:pStyle w:val="Tabletext1"/>
              <w:spacing w:before="0" w:after="120"/>
            </w:pPr>
            <w:r w:rsidRPr="00B9164B">
              <w:rPr>
                <w:b/>
              </w:rPr>
              <w:t>Costs</w:t>
            </w:r>
          </w:p>
        </w:tc>
        <w:tc>
          <w:tcPr>
            <w:tcW w:w="1683" w:type="dxa"/>
            <w:tcBorders>
              <w:left w:val="nil"/>
              <w:bottom w:val="single" w:sz="4" w:space="0" w:color="auto"/>
              <w:right w:val="nil"/>
            </w:tcBorders>
          </w:tcPr>
          <w:p w14:paraId="404B3256" w14:textId="77777777" w:rsidR="000E482F" w:rsidRPr="00F31D27" w:rsidRDefault="000E482F" w:rsidP="004C79C1">
            <w:pPr>
              <w:pStyle w:val="TableHeading"/>
              <w:spacing w:before="0" w:after="120"/>
              <w:rPr>
                <w:color w:val="FFFFFF" w:themeColor="background1"/>
              </w:rPr>
            </w:pPr>
            <w:r w:rsidRPr="00F31D27">
              <w:rPr>
                <w:color w:val="FFFFFF" w:themeColor="background1"/>
              </w:rPr>
              <w:t>-</w:t>
            </w:r>
          </w:p>
        </w:tc>
        <w:tc>
          <w:tcPr>
            <w:tcW w:w="1683" w:type="dxa"/>
            <w:tcBorders>
              <w:left w:val="nil"/>
              <w:bottom w:val="single" w:sz="4" w:space="0" w:color="auto"/>
              <w:right w:val="nil"/>
            </w:tcBorders>
          </w:tcPr>
          <w:p w14:paraId="1FD6D28E" w14:textId="77777777" w:rsidR="000E482F" w:rsidRPr="00F31D27" w:rsidRDefault="000E482F" w:rsidP="004C79C1">
            <w:pPr>
              <w:pStyle w:val="TableHeading"/>
              <w:spacing w:before="0" w:after="120"/>
              <w:rPr>
                <w:color w:val="FFFFFF" w:themeColor="background1"/>
              </w:rPr>
            </w:pPr>
            <w:r w:rsidRPr="00F31D27">
              <w:rPr>
                <w:color w:val="FFFFFF" w:themeColor="background1"/>
              </w:rPr>
              <w:t>-</w:t>
            </w:r>
          </w:p>
        </w:tc>
        <w:tc>
          <w:tcPr>
            <w:tcW w:w="1683" w:type="dxa"/>
            <w:tcBorders>
              <w:left w:val="nil"/>
              <w:bottom w:val="single" w:sz="4" w:space="0" w:color="auto"/>
            </w:tcBorders>
          </w:tcPr>
          <w:p w14:paraId="0F5845BD" w14:textId="77777777" w:rsidR="000E482F" w:rsidRPr="00F31D27" w:rsidRDefault="000E482F" w:rsidP="004C79C1">
            <w:pPr>
              <w:pStyle w:val="TableHeading"/>
              <w:spacing w:before="0" w:after="120"/>
              <w:rPr>
                <w:color w:val="FFFFFF" w:themeColor="background1"/>
              </w:rPr>
            </w:pPr>
            <w:r w:rsidRPr="00F31D27">
              <w:rPr>
                <w:color w:val="FFFFFF" w:themeColor="background1"/>
              </w:rPr>
              <w:t>-</w:t>
            </w:r>
          </w:p>
        </w:tc>
      </w:tr>
      <w:tr w:rsidR="000E482F" w:rsidRPr="006E77C1" w14:paraId="58998832" w14:textId="77777777" w:rsidTr="00723891">
        <w:tc>
          <w:tcPr>
            <w:tcW w:w="3859" w:type="dxa"/>
            <w:tcBorders>
              <w:bottom w:val="nil"/>
            </w:tcBorders>
          </w:tcPr>
          <w:p w14:paraId="44894F74" w14:textId="181DCAC7" w:rsidR="000E482F" w:rsidRPr="006E77C1" w:rsidRDefault="000E482F" w:rsidP="004C79C1">
            <w:pPr>
              <w:pStyle w:val="Tabletext1"/>
              <w:spacing w:before="0" w:after="120"/>
            </w:pPr>
            <w:r>
              <w:t>Test costs (</w:t>
            </w:r>
            <w:r w:rsidR="00A14494">
              <w:t xml:space="preserve">Table 46 </w:t>
            </w:r>
            <w:r>
              <w:t xml:space="preserve">and </w:t>
            </w:r>
            <w:r w:rsidR="0030410F" w:rsidRPr="00B9164B">
              <w:fldChar w:fldCharType="begin"/>
            </w:r>
            <w:r w:rsidR="0030410F" w:rsidRPr="00B9164B">
              <w:instrText xml:space="preserve"> REF _Ref436033348 \h </w:instrText>
            </w:r>
            <w:r w:rsidR="0030410F">
              <w:instrText xml:space="preserve"> \* MERGEFORMAT </w:instrText>
            </w:r>
            <w:r w:rsidR="0030410F" w:rsidRPr="00B9164B">
              <w:fldChar w:fldCharType="separate"/>
            </w:r>
            <w:r w:rsidR="00460601">
              <w:t xml:space="preserve">Table </w:t>
            </w:r>
            <w:r w:rsidR="0030410F" w:rsidRPr="00B9164B">
              <w:fldChar w:fldCharType="end"/>
            </w:r>
            <w:r w:rsidR="0068393B">
              <w:t>47</w:t>
            </w:r>
            <w:r>
              <w:t>)</w:t>
            </w:r>
          </w:p>
        </w:tc>
        <w:tc>
          <w:tcPr>
            <w:tcW w:w="1683" w:type="dxa"/>
            <w:tcBorders>
              <w:bottom w:val="nil"/>
            </w:tcBorders>
          </w:tcPr>
          <w:p w14:paraId="62B9E6BC" w14:textId="77777777" w:rsidR="000E482F" w:rsidRPr="00B9164B" w:rsidRDefault="000E482F" w:rsidP="004C79C1">
            <w:pPr>
              <w:pStyle w:val="Tabletext1"/>
              <w:keepNext/>
              <w:spacing w:before="0" w:after="120"/>
              <w:jc w:val="center"/>
            </w:pPr>
            <w:r w:rsidRPr="00E677F0">
              <w:t>$927</w:t>
            </w:r>
          </w:p>
        </w:tc>
        <w:tc>
          <w:tcPr>
            <w:tcW w:w="1683" w:type="dxa"/>
            <w:tcBorders>
              <w:bottom w:val="nil"/>
            </w:tcBorders>
          </w:tcPr>
          <w:p w14:paraId="10D5B316" w14:textId="77777777" w:rsidR="000E482F" w:rsidRPr="00B9164B" w:rsidRDefault="000E482F" w:rsidP="004C79C1">
            <w:pPr>
              <w:pStyle w:val="Tabletext1"/>
              <w:keepNext/>
              <w:spacing w:before="0" w:after="120"/>
              <w:jc w:val="center"/>
            </w:pPr>
            <w:r w:rsidRPr="00E677F0">
              <w:t>$4,484</w:t>
            </w:r>
          </w:p>
        </w:tc>
        <w:tc>
          <w:tcPr>
            <w:tcW w:w="1683" w:type="dxa"/>
            <w:tcBorders>
              <w:bottom w:val="nil"/>
            </w:tcBorders>
          </w:tcPr>
          <w:p w14:paraId="7143FEF9" w14:textId="49F8FA5A" w:rsidR="000E482F" w:rsidRPr="00B9164B" w:rsidRDefault="00AA393D" w:rsidP="004C79C1">
            <w:pPr>
              <w:pStyle w:val="Tabletext1"/>
              <w:keepNext/>
              <w:spacing w:before="0" w:after="120"/>
              <w:jc w:val="center"/>
            </w:pPr>
            <w:r>
              <w:t>–</w:t>
            </w:r>
            <w:r w:rsidR="000E482F" w:rsidRPr="00E677F0">
              <w:t>$3,557</w:t>
            </w:r>
          </w:p>
        </w:tc>
      </w:tr>
      <w:tr w:rsidR="000E482F" w:rsidRPr="00932E4D" w14:paraId="7637C941" w14:textId="77777777" w:rsidTr="00723891">
        <w:tc>
          <w:tcPr>
            <w:tcW w:w="3859" w:type="dxa"/>
            <w:tcBorders>
              <w:top w:val="nil"/>
              <w:bottom w:val="nil"/>
            </w:tcBorders>
          </w:tcPr>
          <w:p w14:paraId="150ADC2E" w14:textId="77777777" w:rsidR="000E482F" w:rsidRPr="00932E4D" w:rsidRDefault="000E482F" w:rsidP="004C79C1">
            <w:pPr>
              <w:pStyle w:val="Tabletext1"/>
              <w:spacing w:before="0" w:after="120"/>
              <w:rPr>
                <w:b/>
                <w:highlight w:val="yellow"/>
              </w:rPr>
            </w:pPr>
            <w:r w:rsidRPr="00932E4D">
              <w:rPr>
                <w:b/>
              </w:rPr>
              <w:t>Modelled costs of testing strategy</w:t>
            </w:r>
          </w:p>
        </w:tc>
        <w:tc>
          <w:tcPr>
            <w:tcW w:w="1683" w:type="dxa"/>
            <w:tcBorders>
              <w:top w:val="nil"/>
              <w:bottom w:val="nil"/>
            </w:tcBorders>
          </w:tcPr>
          <w:p w14:paraId="5CAD8768" w14:textId="77777777" w:rsidR="000E482F" w:rsidRPr="00932E4D" w:rsidRDefault="000E482F" w:rsidP="004C79C1">
            <w:pPr>
              <w:pStyle w:val="Tabletext1"/>
              <w:keepNext/>
              <w:spacing w:before="0" w:after="120"/>
              <w:jc w:val="center"/>
              <w:rPr>
                <w:b/>
              </w:rPr>
            </w:pPr>
            <w:r w:rsidRPr="00932E4D">
              <w:rPr>
                <w:b/>
              </w:rPr>
              <w:t>$2,308</w:t>
            </w:r>
          </w:p>
        </w:tc>
        <w:tc>
          <w:tcPr>
            <w:tcW w:w="1683" w:type="dxa"/>
            <w:tcBorders>
              <w:top w:val="nil"/>
              <w:bottom w:val="nil"/>
            </w:tcBorders>
          </w:tcPr>
          <w:p w14:paraId="0830918D" w14:textId="77777777" w:rsidR="000E482F" w:rsidRPr="00932E4D" w:rsidRDefault="000E482F" w:rsidP="004C79C1">
            <w:pPr>
              <w:pStyle w:val="Tabletext1"/>
              <w:keepNext/>
              <w:spacing w:before="0" w:after="120"/>
              <w:jc w:val="center"/>
              <w:rPr>
                <w:b/>
              </w:rPr>
            </w:pPr>
            <w:r w:rsidRPr="00932E4D">
              <w:rPr>
                <w:b/>
              </w:rPr>
              <w:t>$4,484</w:t>
            </w:r>
          </w:p>
        </w:tc>
        <w:tc>
          <w:tcPr>
            <w:tcW w:w="1683" w:type="dxa"/>
            <w:tcBorders>
              <w:top w:val="nil"/>
              <w:bottom w:val="nil"/>
            </w:tcBorders>
          </w:tcPr>
          <w:p w14:paraId="4A4C8FDC" w14:textId="6FA9222A" w:rsidR="000E482F" w:rsidRPr="00932E4D" w:rsidRDefault="00AA393D" w:rsidP="004C79C1">
            <w:pPr>
              <w:pStyle w:val="Tabletext1"/>
              <w:keepNext/>
              <w:spacing w:before="0" w:after="120"/>
              <w:jc w:val="center"/>
              <w:rPr>
                <w:b/>
              </w:rPr>
            </w:pPr>
            <w:r>
              <w:rPr>
                <w:b/>
              </w:rPr>
              <w:t>–</w:t>
            </w:r>
            <w:r w:rsidR="000E482F" w:rsidRPr="00932E4D">
              <w:rPr>
                <w:b/>
              </w:rPr>
              <w:t>$2,176</w:t>
            </w:r>
          </w:p>
        </w:tc>
      </w:tr>
      <w:tr w:rsidR="000E482F" w:rsidRPr="00FA4B09" w14:paraId="0196A054" w14:textId="77777777" w:rsidTr="00723891">
        <w:tc>
          <w:tcPr>
            <w:tcW w:w="3859" w:type="dxa"/>
            <w:tcBorders>
              <w:bottom w:val="single" w:sz="4" w:space="0" w:color="auto"/>
              <w:right w:val="nil"/>
            </w:tcBorders>
          </w:tcPr>
          <w:p w14:paraId="5530B6C0" w14:textId="77777777" w:rsidR="000E482F" w:rsidRPr="00FA4B09" w:rsidRDefault="000E482F" w:rsidP="004C79C1">
            <w:pPr>
              <w:pStyle w:val="Tabletext1"/>
              <w:spacing w:before="0" w:after="120"/>
              <w:rPr>
                <w:b/>
              </w:rPr>
            </w:pPr>
            <w:r w:rsidRPr="00FA4B09">
              <w:rPr>
                <w:b/>
              </w:rPr>
              <w:t>Testing outcomes</w:t>
            </w:r>
          </w:p>
        </w:tc>
        <w:tc>
          <w:tcPr>
            <w:tcW w:w="1683" w:type="dxa"/>
            <w:tcBorders>
              <w:left w:val="nil"/>
              <w:bottom w:val="single" w:sz="4" w:space="0" w:color="auto"/>
              <w:right w:val="nil"/>
            </w:tcBorders>
          </w:tcPr>
          <w:p w14:paraId="48DFD292"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bottom w:val="single" w:sz="4" w:space="0" w:color="auto"/>
              <w:right w:val="nil"/>
            </w:tcBorders>
          </w:tcPr>
          <w:p w14:paraId="4D9DF751"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bottom w:val="single" w:sz="4" w:space="0" w:color="auto"/>
            </w:tcBorders>
          </w:tcPr>
          <w:p w14:paraId="4025B4D2"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r>
      <w:tr w:rsidR="000E482F" w:rsidRPr="00FA4B09" w14:paraId="020B3E01" w14:textId="77777777" w:rsidTr="00723891">
        <w:tc>
          <w:tcPr>
            <w:tcW w:w="3859" w:type="dxa"/>
            <w:tcBorders>
              <w:bottom w:val="nil"/>
            </w:tcBorders>
          </w:tcPr>
          <w:p w14:paraId="0A91674C" w14:textId="77777777" w:rsidR="000E482F" w:rsidRPr="00FA4B09" w:rsidRDefault="000E482F" w:rsidP="004C79C1">
            <w:pPr>
              <w:pStyle w:val="Tabletext1"/>
              <w:spacing w:before="0" w:after="120"/>
            </w:pPr>
            <w:r w:rsidRPr="00FA4B09">
              <w:t>Total correct diagnoses</w:t>
            </w:r>
          </w:p>
        </w:tc>
        <w:tc>
          <w:tcPr>
            <w:tcW w:w="1683" w:type="dxa"/>
            <w:tcBorders>
              <w:bottom w:val="nil"/>
            </w:tcBorders>
          </w:tcPr>
          <w:p w14:paraId="07348B9B" w14:textId="77777777" w:rsidR="000E482F" w:rsidRPr="00B9164B" w:rsidRDefault="000E482F" w:rsidP="004C79C1">
            <w:pPr>
              <w:pStyle w:val="Tabletext1"/>
              <w:tabs>
                <w:tab w:val="decimal" w:pos="743"/>
              </w:tabs>
              <w:spacing w:before="0" w:after="120"/>
            </w:pPr>
            <w:r>
              <w:t>95.8</w:t>
            </w:r>
            <w:r w:rsidRPr="0002585E">
              <w:t>%</w:t>
            </w:r>
          </w:p>
        </w:tc>
        <w:tc>
          <w:tcPr>
            <w:tcW w:w="1683" w:type="dxa"/>
            <w:tcBorders>
              <w:bottom w:val="nil"/>
            </w:tcBorders>
          </w:tcPr>
          <w:p w14:paraId="05DC72BF" w14:textId="77777777" w:rsidR="000E482F" w:rsidRPr="00B9164B" w:rsidRDefault="000E482F" w:rsidP="004C79C1">
            <w:pPr>
              <w:pStyle w:val="Tabletext1"/>
              <w:tabs>
                <w:tab w:val="decimal" w:pos="743"/>
              </w:tabs>
              <w:spacing w:before="0" w:after="120"/>
            </w:pPr>
            <w:r>
              <w:t>94.1</w:t>
            </w:r>
            <w:r w:rsidRPr="0002585E">
              <w:t>%</w:t>
            </w:r>
          </w:p>
        </w:tc>
        <w:tc>
          <w:tcPr>
            <w:tcW w:w="1683" w:type="dxa"/>
            <w:tcBorders>
              <w:bottom w:val="nil"/>
            </w:tcBorders>
          </w:tcPr>
          <w:p w14:paraId="752AB268" w14:textId="77777777" w:rsidR="000E482F" w:rsidRPr="004A7E53" w:rsidRDefault="000E482F" w:rsidP="004C79C1">
            <w:pPr>
              <w:pStyle w:val="Tabletext1"/>
              <w:tabs>
                <w:tab w:val="decimal" w:pos="743"/>
              </w:tabs>
              <w:spacing w:before="0" w:after="120"/>
            </w:pPr>
            <w:r>
              <w:t>1.7</w:t>
            </w:r>
            <w:r w:rsidRPr="0002585E">
              <w:t>%</w:t>
            </w:r>
          </w:p>
        </w:tc>
      </w:tr>
      <w:tr w:rsidR="000E482F" w:rsidRPr="00FA4B09" w14:paraId="3A137252" w14:textId="77777777" w:rsidTr="00723891">
        <w:tc>
          <w:tcPr>
            <w:tcW w:w="3859" w:type="dxa"/>
            <w:tcBorders>
              <w:top w:val="nil"/>
              <w:bottom w:val="nil"/>
            </w:tcBorders>
          </w:tcPr>
          <w:p w14:paraId="04564BC3" w14:textId="77777777" w:rsidR="000E482F" w:rsidRPr="00FA4B09" w:rsidRDefault="000E482F" w:rsidP="004C79C1">
            <w:pPr>
              <w:pStyle w:val="Tabletext1"/>
              <w:spacing w:before="0" w:after="120"/>
            </w:pPr>
            <w:r w:rsidRPr="00FA4B09">
              <w:t>Total incorrect diagnoses</w:t>
            </w:r>
          </w:p>
        </w:tc>
        <w:tc>
          <w:tcPr>
            <w:tcW w:w="1683" w:type="dxa"/>
            <w:tcBorders>
              <w:top w:val="nil"/>
              <w:bottom w:val="nil"/>
            </w:tcBorders>
          </w:tcPr>
          <w:p w14:paraId="7DA52F6F" w14:textId="77777777" w:rsidR="000E482F" w:rsidRPr="00B9164B" w:rsidRDefault="000E482F" w:rsidP="004C79C1">
            <w:pPr>
              <w:pStyle w:val="Tabletext1"/>
              <w:tabs>
                <w:tab w:val="decimal" w:pos="743"/>
              </w:tabs>
              <w:spacing w:before="0" w:after="120"/>
            </w:pPr>
            <w:r>
              <w:t>4.2</w:t>
            </w:r>
            <w:r w:rsidRPr="0002585E">
              <w:t>%</w:t>
            </w:r>
          </w:p>
        </w:tc>
        <w:tc>
          <w:tcPr>
            <w:tcW w:w="1683" w:type="dxa"/>
            <w:tcBorders>
              <w:top w:val="nil"/>
              <w:bottom w:val="nil"/>
            </w:tcBorders>
          </w:tcPr>
          <w:p w14:paraId="4519C3FA" w14:textId="77777777" w:rsidR="000E482F" w:rsidRPr="00B9164B" w:rsidRDefault="000E482F" w:rsidP="004C79C1">
            <w:pPr>
              <w:pStyle w:val="Tabletext1"/>
              <w:tabs>
                <w:tab w:val="decimal" w:pos="743"/>
              </w:tabs>
              <w:spacing w:before="0" w:after="120"/>
            </w:pPr>
            <w:r>
              <w:t>5.9</w:t>
            </w:r>
            <w:r w:rsidRPr="0002585E">
              <w:t>%</w:t>
            </w:r>
          </w:p>
        </w:tc>
        <w:tc>
          <w:tcPr>
            <w:tcW w:w="1683" w:type="dxa"/>
            <w:tcBorders>
              <w:top w:val="nil"/>
              <w:bottom w:val="nil"/>
            </w:tcBorders>
          </w:tcPr>
          <w:p w14:paraId="088038E6" w14:textId="46908C6F" w:rsidR="000E482F" w:rsidRPr="004A7E53" w:rsidRDefault="00AA393D" w:rsidP="004C79C1">
            <w:pPr>
              <w:pStyle w:val="Tabletext1"/>
              <w:tabs>
                <w:tab w:val="decimal" w:pos="743"/>
              </w:tabs>
              <w:spacing w:before="0" w:after="120"/>
            </w:pPr>
            <w:r>
              <w:t>–</w:t>
            </w:r>
            <w:r w:rsidR="000E482F">
              <w:t>1.7</w:t>
            </w:r>
            <w:r w:rsidR="000E482F" w:rsidRPr="0002585E">
              <w:t>%</w:t>
            </w:r>
          </w:p>
        </w:tc>
      </w:tr>
      <w:tr w:rsidR="000E482F" w14:paraId="7C01DB45" w14:textId="77777777" w:rsidTr="00723891">
        <w:tc>
          <w:tcPr>
            <w:tcW w:w="3859" w:type="dxa"/>
            <w:tcBorders>
              <w:bottom w:val="nil"/>
            </w:tcBorders>
          </w:tcPr>
          <w:p w14:paraId="1715986C" w14:textId="77777777" w:rsidR="000E482F" w:rsidRPr="007900F9" w:rsidRDefault="000E482F" w:rsidP="004C79C1">
            <w:pPr>
              <w:pStyle w:val="Tabletext1"/>
              <w:spacing w:before="0" w:after="120"/>
              <w:rPr>
                <w:i/>
              </w:rPr>
            </w:pPr>
            <w:r w:rsidRPr="007900F9">
              <w:rPr>
                <w:i/>
              </w:rPr>
              <w:t>ICA</w:t>
            </w:r>
            <w:r>
              <w:rPr>
                <w:i/>
              </w:rPr>
              <w:t>s performed</w:t>
            </w:r>
          </w:p>
        </w:tc>
        <w:tc>
          <w:tcPr>
            <w:tcW w:w="1683" w:type="dxa"/>
            <w:tcBorders>
              <w:bottom w:val="nil"/>
            </w:tcBorders>
          </w:tcPr>
          <w:p w14:paraId="3285188A" w14:textId="77777777" w:rsidR="000E482F" w:rsidRPr="00B9164B" w:rsidRDefault="000E482F" w:rsidP="004C79C1">
            <w:pPr>
              <w:pStyle w:val="Tabletext1"/>
              <w:tabs>
                <w:tab w:val="decimal" w:pos="743"/>
              </w:tabs>
              <w:spacing w:before="0" w:after="120"/>
              <w:rPr>
                <w:i/>
              </w:rPr>
            </w:pPr>
            <w:r>
              <w:t>30.8</w:t>
            </w:r>
            <w:r w:rsidRPr="00EC69B6">
              <w:t>%</w:t>
            </w:r>
          </w:p>
        </w:tc>
        <w:tc>
          <w:tcPr>
            <w:tcW w:w="1683" w:type="dxa"/>
            <w:tcBorders>
              <w:bottom w:val="nil"/>
            </w:tcBorders>
          </w:tcPr>
          <w:p w14:paraId="370B2D8A" w14:textId="77777777" w:rsidR="000E482F" w:rsidRPr="00B9164B" w:rsidRDefault="000E482F" w:rsidP="004C79C1">
            <w:pPr>
              <w:pStyle w:val="Tabletext1"/>
              <w:tabs>
                <w:tab w:val="decimal" w:pos="743"/>
              </w:tabs>
              <w:spacing w:before="0" w:after="120"/>
              <w:rPr>
                <w:i/>
              </w:rPr>
            </w:pPr>
            <w:r>
              <w:t>100.0</w:t>
            </w:r>
            <w:r w:rsidRPr="00EC69B6">
              <w:t>%</w:t>
            </w:r>
          </w:p>
        </w:tc>
        <w:tc>
          <w:tcPr>
            <w:tcW w:w="1683" w:type="dxa"/>
            <w:tcBorders>
              <w:bottom w:val="nil"/>
            </w:tcBorders>
          </w:tcPr>
          <w:p w14:paraId="42DEE4F1" w14:textId="32685CCF" w:rsidR="000E482F" w:rsidRPr="00B9164B" w:rsidRDefault="00AA393D" w:rsidP="004C79C1">
            <w:pPr>
              <w:pStyle w:val="Tabletext1"/>
              <w:tabs>
                <w:tab w:val="decimal" w:pos="743"/>
              </w:tabs>
              <w:spacing w:before="0" w:after="120"/>
              <w:rPr>
                <w:i/>
              </w:rPr>
            </w:pPr>
            <w:r>
              <w:t>–</w:t>
            </w:r>
            <w:r w:rsidR="000E482F">
              <w:t>69.2</w:t>
            </w:r>
            <w:r w:rsidR="000E482F" w:rsidRPr="00EC69B6">
              <w:t>%</w:t>
            </w:r>
          </w:p>
        </w:tc>
      </w:tr>
      <w:tr w:rsidR="000E482F" w14:paraId="07E9230C" w14:textId="77777777" w:rsidTr="00723891">
        <w:tc>
          <w:tcPr>
            <w:tcW w:w="3859" w:type="dxa"/>
            <w:tcBorders>
              <w:top w:val="nil"/>
              <w:bottom w:val="nil"/>
            </w:tcBorders>
          </w:tcPr>
          <w:p w14:paraId="6E45F195" w14:textId="77777777" w:rsidR="000E482F" w:rsidRDefault="000E482F" w:rsidP="004C79C1">
            <w:pPr>
              <w:pStyle w:val="Tabletext1"/>
              <w:spacing w:before="0" w:after="120"/>
            </w:pPr>
            <w:r>
              <w:t>ICA in NIDCM+</w:t>
            </w:r>
          </w:p>
        </w:tc>
        <w:tc>
          <w:tcPr>
            <w:tcW w:w="1683" w:type="dxa"/>
            <w:tcBorders>
              <w:top w:val="nil"/>
              <w:bottom w:val="nil"/>
            </w:tcBorders>
          </w:tcPr>
          <w:p w14:paraId="0C51C35D" w14:textId="77777777" w:rsidR="000E482F" w:rsidRPr="00B9164B" w:rsidRDefault="000E482F" w:rsidP="004C79C1">
            <w:pPr>
              <w:pStyle w:val="Tabletext1"/>
              <w:tabs>
                <w:tab w:val="decimal" w:pos="743"/>
              </w:tabs>
              <w:spacing w:before="0" w:after="120"/>
            </w:pPr>
            <w:r>
              <w:t>0.0</w:t>
            </w:r>
            <w:r w:rsidRPr="00BB6185">
              <w:t>%</w:t>
            </w:r>
          </w:p>
        </w:tc>
        <w:tc>
          <w:tcPr>
            <w:tcW w:w="1683" w:type="dxa"/>
            <w:tcBorders>
              <w:top w:val="nil"/>
              <w:bottom w:val="nil"/>
            </w:tcBorders>
          </w:tcPr>
          <w:p w14:paraId="37C07F5B" w14:textId="77777777" w:rsidR="000E482F" w:rsidRPr="00B9164B" w:rsidRDefault="000E482F" w:rsidP="004C79C1">
            <w:pPr>
              <w:pStyle w:val="Tabletext1"/>
              <w:tabs>
                <w:tab w:val="decimal" w:pos="743"/>
              </w:tabs>
              <w:spacing w:before="0" w:after="120"/>
            </w:pPr>
            <w:r>
              <w:t>65.0</w:t>
            </w:r>
            <w:r w:rsidRPr="00BB6185">
              <w:t>%</w:t>
            </w:r>
          </w:p>
        </w:tc>
        <w:tc>
          <w:tcPr>
            <w:tcW w:w="1683" w:type="dxa"/>
            <w:tcBorders>
              <w:top w:val="nil"/>
              <w:bottom w:val="nil"/>
            </w:tcBorders>
          </w:tcPr>
          <w:p w14:paraId="6EE2A537" w14:textId="68BD4CE9" w:rsidR="000E482F" w:rsidRPr="00B9164B" w:rsidRDefault="00AA393D" w:rsidP="004C79C1">
            <w:pPr>
              <w:pStyle w:val="Tabletext1"/>
              <w:tabs>
                <w:tab w:val="decimal" w:pos="743"/>
              </w:tabs>
              <w:spacing w:before="0" w:after="120"/>
            </w:pPr>
            <w:r>
              <w:t>–</w:t>
            </w:r>
            <w:r w:rsidR="000E482F">
              <w:t>65.0</w:t>
            </w:r>
            <w:r w:rsidR="000E482F" w:rsidRPr="00BB6185">
              <w:t>%</w:t>
            </w:r>
          </w:p>
        </w:tc>
      </w:tr>
      <w:tr w:rsidR="000E482F" w14:paraId="25BFA80B" w14:textId="77777777" w:rsidTr="00723891">
        <w:tc>
          <w:tcPr>
            <w:tcW w:w="3859" w:type="dxa"/>
            <w:tcBorders>
              <w:top w:val="nil"/>
            </w:tcBorders>
          </w:tcPr>
          <w:p w14:paraId="15F244C6" w14:textId="413C6D12" w:rsidR="000E482F" w:rsidRDefault="000E482F" w:rsidP="004C79C1">
            <w:pPr>
              <w:pStyle w:val="Tabletext1"/>
              <w:spacing w:before="0" w:after="120"/>
            </w:pPr>
            <w:r>
              <w:t>ICA in NIDCM</w:t>
            </w:r>
            <w:r w:rsidR="00BB11E9">
              <w:t>–</w:t>
            </w:r>
          </w:p>
        </w:tc>
        <w:tc>
          <w:tcPr>
            <w:tcW w:w="1683" w:type="dxa"/>
            <w:tcBorders>
              <w:top w:val="nil"/>
            </w:tcBorders>
          </w:tcPr>
          <w:p w14:paraId="0A45295D" w14:textId="77777777" w:rsidR="000E482F" w:rsidRPr="00B9164B" w:rsidRDefault="000E482F" w:rsidP="004C79C1">
            <w:pPr>
              <w:pStyle w:val="Tabletext1"/>
              <w:tabs>
                <w:tab w:val="decimal" w:pos="743"/>
              </w:tabs>
              <w:spacing w:before="0" w:after="120"/>
            </w:pPr>
            <w:r>
              <w:t>30.8</w:t>
            </w:r>
            <w:r w:rsidRPr="00BB6185">
              <w:t>%</w:t>
            </w:r>
          </w:p>
        </w:tc>
        <w:tc>
          <w:tcPr>
            <w:tcW w:w="1683" w:type="dxa"/>
            <w:tcBorders>
              <w:top w:val="nil"/>
            </w:tcBorders>
          </w:tcPr>
          <w:p w14:paraId="1A508890" w14:textId="77777777" w:rsidR="000E482F" w:rsidRPr="00B9164B" w:rsidRDefault="000E482F" w:rsidP="004C79C1">
            <w:pPr>
              <w:pStyle w:val="Tabletext1"/>
              <w:tabs>
                <w:tab w:val="decimal" w:pos="743"/>
              </w:tabs>
              <w:spacing w:before="0" w:after="120"/>
            </w:pPr>
            <w:r>
              <w:t>35.0</w:t>
            </w:r>
            <w:r w:rsidRPr="00BB6185">
              <w:t>%</w:t>
            </w:r>
          </w:p>
        </w:tc>
        <w:tc>
          <w:tcPr>
            <w:tcW w:w="1683" w:type="dxa"/>
            <w:tcBorders>
              <w:top w:val="nil"/>
            </w:tcBorders>
          </w:tcPr>
          <w:p w14:paraId="1E93C37F" w14:textId="463130FE" w:rsidR="000E482F" w:rsidRPr="00B9164B" w:rsidRDefault="00AA393D" w:rsidP="004C79C1">
            <w:pPr>
              <w:pStyle w:val="Tabletext1"/>
              <w:tabs>
                <w:tab w:val="decimal" w:pos="743"/>
              </w:tabs>
              <w:spacing w:before="0" w:after="120"/>
            </w:pPr>
            <w:r>
              <w:t>–</w:t>
            </w:r>
            <w:r w:rsidR="000E482F">
              <w:t>4.2</w:t>
            </w:r>
            <w:r w:rsidR="000E482F" w:rsidRPr="00BB6185">
              <w:t>%</w:t>
            </w:r>
          </w:p>
        </w:tc>
      </w:tr>
      <w:tr w:rsidR="000E482F" w14:paraId="6556BB98" w14:textId="77777777" w:rsidTr="00723891">
        <w:tc>
          <w:tcPr>
            <w:tcW w:w="3859" w:type="dxa"/>
            <w:tcBorders>
              <w:right w:val="nil"/>
            </w:tcBorders>
          </w:tcPr>
          <w:p w14:paraId="449E7DB8" w14:textId="77777777" w:rsidR="000E482F" w:rsidRPr="00281D74" w:rsidRDefault="000E482F" w:rsidP="004C79C1">
            <w:pPr>
              <w:pStyle w:val="Tabletext1"/>
              <w:spacing w:before="0" w:after="120"/>
              <w:rPr>
                <w:b/>
              </w:rPr>
            </w:pPr>
            <w:r w:rsidRPr="00814CE0">
              <w:rPr>
                <w:b/>
              </w:rPr>
              <w:t xml:space="preserve">Incremental cost per correct </w:t>
            </w:r>
            <w:r>
              <w:rPr>
                <w:b/>
              </w:rPr>
              <w:t xml:space="preserve">initial </w:t>
            </w:r>
            <w:r w:rsidRPr="00814CE0">
              <w:rPr>
                <w:b/>
              </w:rPr>
              <w:t>test result</w:t>
            </w:r>
          </w:p>
        </w:tc>
        <w:tc>
          <w:tcPr>
            <w:tcW w:w="1683" w:type="dxa"/>
            <w:tcBorders>
              <w:left w:val="nil"/>
              <w:right w:val="nil"/>
            </w:tcBorders>
          </w:tcPr>
          <w:p w14:paraId="0F49DFE0"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right w:val="nil"/>
            </w:tcBorders>
          </w:tcPr>
          <w:p w14:paraId="201E5AA9"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tcBorders>
          </w:tcPr>
          <w:p w14:paraId="4788C768" w14:textId="77777777" w:rsidR="000E482F" w:rsidRPr="00B9164B" w:rsidRDefault="000E482F" w:rsidP="004C79C1">
            <w:pPr>
              <w:pStyle w:val="Tabletext1"/>
              <w:tabs>
                <w:tab w:val="decimal" w:pos="1026"/>
              </w:tabs>
              <w:spacing w:before="0" w:after="120"/>
              <w:rPr>
                <w:b/>
              </w:rPr>
            </w:pPr>
            <w:r w:rsidRPr="00B9164B">
              <w:rPr>
                <w:b/>
              </w:rPr>
              <w:t>Domina</w:t>
            </w:r>
            <w:r>
              <w:rPr>
                <w:b/>
              </w:rPr>
              <w:t>nt</w:t>
            </w:r>
          </w:p>
        </w:tc>
      </w:tr>
      <w:tr w:rsidR="000E482F" w14:paraId="43F6E3FD" w14:textId="77777777" w:rsidTr="00DE65AE">
        <w:tc>
          <w:tcPr>
            <w:tcW w:w="3859" w:type="dxa"/>
            <w:tcBorders>
              <w:bottom w:val="single" w:sz="4" w:space="0" w:color="auto"/>
              <w:right w:val="nil"/>
            </w:tcBorders>
          </w:tcPr>
          <w:p w14:paraId="4B6795C0" w14:textId="77777777" w:rsidR="000E482F" w:rsidRPr="00814CE0" w:rsidRDefault="000E482F" w:rsidP="004C79C1">
            <w:pPr>
              <w:pStyle w:val="Tabletext1"/>
              <w:spacing w:before="0" w:after="120"/>
              <w:rPr>
                <w:b/>
              </w:rPr>
            </w:pPr>
            <w:r w:rsidRPr="00814CE0">
              <w:rPr>
                <w:b/>
              </w:rPr>
              <w:t xml:space="preserve">Incremental cost </w:t>
            </w:r>
            <w:r w:rsidRPr="00FA4B09">
              <w:rPr>
                <w:b/>
              </w:rPr>
              <w:t>per unnecessary ICA avoided</w:t>
            </w:r>
          </w:p>
        </w:tc>
        <w:tc>
          <w:tcPr>
            <w:tcW w:w="1683" w:type="dxa"/>
            <w:tcBorders>
              <w:left w:val="nil"/>
              <w:bottom w:val="single" w:sz="4" w:space="0" w:color="auto"/>
              <w:right w:val="nil"/>
            </w:tcBorders>
          </w:tcPr>
          <w:p w14:paraId="5FE8D74A"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bottom w:val="single" w:sz="4" w:space="0" w:color="auto"/>
              <w:right w:val="nil"/>
            </w:tcBorders>
          </w:tcPr>
          <w:p w14:paraId="02982B58" w14:textId="77777777" w:rsidR="000E482F" w:rsidRPr="00B9164B" w:rsidRDefault="000E482F" w:rsidP="004C79C1">
            <w:pPr>
              <w:pStyle w:val="TableHeading"/>
              <w:spacing w:before="0" w:after="120"/>
              <w:rPr>
                <w:color w:val="FFFFFF" w:themeColor="background1"/>
              </w:rPr>
            </w:pPr>
            <w:r w:rsidRPr="00B9164B">
              <w:rPr>
                <w:color w:val="FFFFFF" w:themeColor="background1"/>
              </w:rPr>
              <w:t>-</w:t>
            </w:r>
          </w:p>
        </w:tc>
        <w:tc>
          <w:tcPr>
            <w:tcW w:w="1683" w:type="dxa"/>
            <w:tcBorders>
              <w:left w:val="nil"/>
              <w:bottom w:val="single" w:sz="4" w:space="0" w:color="auto"/>
            </w:tcBorders>
          </w:tcPr>
          <w:p w14:paraId="22C3934E" w14:textId="77777777" w:rsidR="000E482F" w:rsidRPr="00B9164B" w:rsidRDefault="000E482F" w:rsidP="004C79C1">
            <w:pPr>
              <w:pStyle w:val="Tabletext1"/>
              <w:tabs>
                <w:tab w:val="decimal" w:pos="1026"/>
              </w:tabs>
              <w:spacing w:before="0" w:after="120"/>
              <w:rPr>
                <w:b/>
              </w:rPr>
            </w:pPr>
            <w:r w:rsidRPr="00B9164B">
              <w:rPr>
                <w:b/>
              </w:rPr>
              <w:t>Domina</w:t>
            </w:r>
            <w:r>
              <w:rPr>
                <w:b/>
              </w:rPr>
              <w:t>nt</w:t>
            </w:r>
          </w:p>
        </w:tc>
      </w:tr>
    </w:tbl>
    <w:p w14:paraId="71954AC8" w14:textId="74156562" w:rsidR="000E482F" w:rsidRDefault="000E482F" w:rsidP="004C79C1">
      <w:pPr>
        <w:pStyle w:val="Tablenotes0"/>
        <w:spacing w:before="0" w:after="120"/>
      </w:pPr>
      <w:r w:rsidRPr="006D1C71">
        <w:t>CEA = cost-effectiveness analysis; CMR = cardiac magnetic resonance</w:t>
      </w:r>
      <w:r w:rsidR="0080591D">
        <w:t xml:space="preserve"> (imaging)</w:t>
      </w:r>
      <w:r w:rsidRPr="006D1C71">
        <w:t xml:space="preserve">; </w:t>
      </w:r>
      <w:r>
        <w:t xml:space="preserve">Dominant = intervention is less costly and more effective than comparator; </w:t>
      </w:r>
      <w:r w:rsidRPr="006D1C71">
        <w:t>ICA =</w:t>
      </w:r>
      <w:r>
        <w:t xml:space="preserve"> invasive coronary angiography; NIDCM = non-ischaemic dilated cardiomyopathy</w:t>
      </w:r>
    </w:p>
    <w:p w14:paraId="0762CDC0" w14:textId="77777777" w:rsidR="000E482F" w:rsidRDefault="000E482F" w:rsidP="00161B88">
      <w:pPr>
        <w:pStyle w:val="Heading4"/>
      </w:pPr>
      <w:r>
        <w:t>Modelled costs</w:t>
      </w:r>
    </w:p>
    <w:p w14:paraId="747BF239" w14:textId="4F274E74" w:rsidR="000E482F" w:rsidRPr="006D1C71" w:rsidRDefault="000651F4" w:rsidP="004C79C1">
      <w:pPr>
        <w:spacing w:after="120" w:line="240" w:lineRule="auto"/>
        <w:jc w:val="both"/>
      </w:pPr>
      <w:r>
        <w:t xml:space="preserve">The </w:t>
      </w:r>
      <w:r w:rsidR="000E482F" w:rsidRPr="006D1C71">
        <w:t xml:space="preserve">CMR </w:t>
      </w:r>
      <w:r w:rsidR="000E482F">
        <w:t xml:space="preserve">testing strategy as a gatekeeper to ICA is determined to be </w:t>
      </w:r>
      <w:r w:rsidR="008E2F5A">
        <w:t xml:space="preserve">a </w:t>
      </w:r>
      <w:r w:rsidR="000E482F">
        <w:t>less-</w:t>
      </w:r>
      <w:r w:rsidR="008E2F5A">
        <w:t xml:space="preserve">costly </w:t>
      </w:r>
      <w:r w:rsidR="000E482F">
        <w:t>option than performing ICA in all patients in the target population.</w:t>
      </w:r>
      <w:r w:rsidR="000E482F" w:rsidRPr="006D1C71">
        <w:t xml:space="preserve"> This is driven </w:t>
      </w:r>
      <w:r w:rsidR="000E482F">
        <w:t xml:space="preserve">primarily </w:t>
      </w:r>
      <w:r w:rsidR="000E482F" w:rsidRPr="006D1C71">
        <w:t xml:space="preserve">by the </w:t>
      </w:r>
      <w:r w:rsidR="000E482F">
        <w:t>higher costs associated with performing ICA procedures</w:t>
      </w:r>
      <w:r w:rsidR="008E2F5A">
        <w:t>,</w:t>
      </w:r>
      <w:r w:rsidR="000E482F">
        <w:t xml:space="preserve"> compared </w:t>
      </w:r>
      <w:r w:rsidR="008E2F5A">
        <w:t xml:space="preserve">with </w:t>
      </w:r>
      <w:r w:rsidR="000E482F">
        <w:t xml:space="preserve">CMR testing. </w:t>
      </w:r>
      <w:r w:rsidR="000E482F" w:rsidRPr="006D1C71">
        <w:t xml:space="preserve">A cost </w:t>
      </w:r>
      <w:r w:rsidR="000E482F">
        <w:t>saving</w:t>
      </w:r>
      <w:r w:rsidR="000E482F" w:rsidRPr="006D1C71">
        <w:t xml:space="preserve"> </w:t>
      </w:r>
      <w:r w:rsidR="000E482F">
        <w:t xml:space="preserve">of $2,176 </w:t>
      </w:r>
      <w:r w:rsidR="000E482F" w:rsidRPr="006D1C71">
        <w:t xml:space="preserve">is observed </w:t>
      </w:r>
      <w:r w:rsidR="000E482F">
        <w:t xml:space="preserve">with </w:t>
      </w:r>
      <w:r w:rsidR="008E2F5A">
        <w:t xml:space="preserve">the </w:t>
      </w:r>
      <w:r w:rsidR="000E482F">
        <w:t xml:space="preserve">CMR testing strategy </w:t>
      </w:r>
      <w:r w:rsidR="000E482F" w:rsidRPr="006D1C71">
        <w:t xml:space="preserve">due to a reduction in the proportion of patients in whom an ICA is performed </w:t>
      </w:r>
      <w:r w:rsidR="000E482F">
        <w:t>due to being non-ischaemic</w:t>
      </w:r>
      <w:r w:rsidR="000E482F" w:rsidRPr="006D1C71">
        <w:t>.</w:t>
      </w:r>
    </w:p>
    <w:p w14:paraId="52086CBE" w14:textId="77777777" w:rsidR="000E482F" w:rsidRPr="006D1C71" w:rsidRDefault="000E482F" w:rsidP="00161B88">
      <w:pPr>
        <w:pStyle w:val="Heading4"/>
      </w:pPr>
      <w:r w:rsidRPr="006D1C71">
        <w:t>Modelled outcomes</w:t>
      </w:r>
    </w:p>
    <w:p w14:paraId="28408E91" w14:textId="0BC7D9DC" w:rsidR="000E482F" w:rsidRPr="006D1C71" w:rsidRDefault="000E482F" w:rsidP="004C79C1">
      <w:pPr>
        <w:spacing w:after="120" w:line="240" w:lineRule="auto"/>
        <w:jc w:val="both"/>
      </w:pPr>
      <w:r>
        <w:t xml:space="preserve">There </w:t>
      </w:r>
      <w:r w:rsidR="008E2F5A">
        <w:t xml:space="preserve">are </w:t>
      </w:r>
      <w:r>
        <w:t>minor difference</w:t>
      </w:r>
      <w:r w:rsidR="008E2F5A">
        <w:t>s</w:t>
      </w:r>
      <w:r>
        <w:t xml:space="preserve"> in sensitivity and specificity between </w:t>
      </w:r>
      <w:r w:rsidR="008E2F5A">
        <w:t xml:space="preserve">the </w:t>
      </w:r>
      <w:r>
        <w:t xml:space="preserve">ICA and LGE-CMR estimates used in the base-case analysis (based on </w:t>
      </w:r>
      <w:r w:rsidR="008E2F5A">
        <w:t xml:space="preserve">the </w:t>
      </w:r>
      <w:r w:rsidRPr="00C40F4E">
        <w:t>Assomull et al</w:t>
      </w:r>
      <w:r w:rsidR="008E2F5A">
        <w:t>.</w:t>
      </w:r>
      <w:r>
        <w:t xml:space="preserve"> </w:t>
      </w:r>
      <w:r>
        <w:fldChar w:fldCharType="begin"/>
      </w:r>
      <w:r>
        <w:instrText xml:space="preserve"> ADDIN EN.CITE &lt;EndNote&gt;&lt;Cite ExcludeAuth="1"&gt;&lt;Author&gt;Assomull&lt;/Author&gt;&lt;Year&gt;2011&lt;/Year&gt;&lt;RecNum&gt;6&lt;/RecNum&gt;&lt;DisplayText&gt;(2011)&lt;/DisplayText&gt;&lt;record&gt;&lt;rec-number&gt;6&lt;/rec-number&gt;&lt;foreign-keys&gt;&lt;key app="EN" db-id="pfxxvref0t0a5de2vwnv2fwkz0p9v0r2fw0t" timestamp="1457058903"&gt;6&lt;/key&gt;&lt;/foreign-keys&gt;&lt;ref-type name="Journal Article"&gt;17&lt;/ref-type&gt;&lt;contributors&gt;&lt;authors&gt;&lt;author&gt;Assomull, R. G.&lt;/author&gt;&lt;author&gt;Shakespeare, C.&lt;/author&gt;&lt;author&gt;Kalra, P. R.&lt;/author&gt;&lt;author&gt;Lloyd, G.&lt;/author&gt;&lt;author&gt;Gulati, A.&lt;/author&gt;&lt;author&gt;Strange, J.&lt;/author&gt;&lt;author&gt;Bradlow, W. M.&lt;/author&gt;&lt;author&gt;Lyne, J.&lt;/author&gt;&lt;author&gt;Keegan, J.&lt;/author&gt;&lt;author&gt;Poole-Wilson, P.&lt;/author&gt;&lt;author&gt;Cowie, M. R.&lt;/author&gt;&lt;author&gt;Pennell, D. J.&lt;/author&gt;&lt;author&gt;Prasad, S. K.&lt;/author&gt;&lt;/authors&gt;&lt;/contributors&gt;&lt;titles&gt;&lt;title&gt;Role of cardiovascular magnetic resonance as a gatekeeper to invasive coronary angiography in patients presenting with heart failure of unknown etiology&lt;/title&gt;&lt;secondary-title&gt;Circulation&lt;/secondary-title&gt;&lt;/titles&gt;&lt;periodical&gt;&lt;full-title&gt;Circulation&lt;/full-title&gt;&lt;/periodical&gt;&lt;pages&gt;1351-1360&lt;/pages&gt;&lt;volume&gt;124&lt;/volume&gt;&lt;number&gt;12&lt;/number&gt;&lt;dates&gt;&lt;year&gt;2011&lt;/year&gt;&lt;pub-dates&gt;&lt;date&gt;2011-01-01&lt;/date&gt;&lt;/pub-dates&gt;&lt;/dates&gt;&lt;isbn&gt;0009-7322&lt;/isbn&gt;&lt;urls&gt;&lt;related-urls&gt;&lt;url&gt;http://www.embase.com/search/results?subaction=viewrecord&amp;amp;from=export&amp;amp;id=L51611014 http://dx.doi.org/10.1161/CIRCULATIONAHA.110.011346&lt;/url&gt;&lt;url&gt;http://circ.ahajournals.org/content/124/12/1351.full.pdf&lt;/url&gt;&lt;/related-urls&gt;&lt;/urls&gt;&lt;custom1&gt;RAYYAN-INCLUSION: {&amp;quot;Sharon&amp;quot;=&amp;gt;true}&lt;/custom1&gt;&lt;/record&gt;&lt;/Cite&gt;&lt;/EndNote&gt;</w:instrText>
      </w:r>
      <w:r>
        <w:fldChar w:fldCharType="separate"/>
      </w:r>
      <w:r>
        <w:rPr>
          <w:noProof/>
        </w:rPr>
        <w:t>(</w:t>
      </w:r>
      <w:hyperlink w:anchor="_ENREF_9" w:tooltip="Assomull, 2011 #6" w:history="1">
        <w:r>
          <w:rPr>
            <w:noProof/>
          </w:rPr>
          <w:t>2011</w:t>
        </w:r>
      </w:hyperlink>
      <w:r>
        <w:rPr>
          <w:noProof/>
        </w:rPr>
        <w:t>)</w:t>
      </w:r>
      <w:r>
        <w:fldChar w:fldCharType="end"/>
      </w:r>
      <w:r>
        <w:t xml:space="preserve"> study). </w:t>
      </w:r>
      <w:r w:rsidRPr="006D1C71">
        <w:t xml:space="preserve">Compared with </w:t>
      </w:r>
      <w:r>
        <w:t>ICA</w:t>
      </w:r>
      <w:r w:rsidRPr="006D1C71">
        <w:t xml:space="preserve">, </w:t>
      </w:r>
      <w:r>
        <w:t>LGE-</w:t>
      </w:r>
      <w:r w:rsidRPr="006D1C71">
        <w:t xml:space="preserve">CMR </w:t>
      </w:r>
      <w:r w:rsidR="00EE7A99">
        <w:t>produces</w:t>
      </w:r>
      <w:r w:rsidRPr="006D1C71">
        <w:t xml:space="preserve"> a reduction in the false </w:t>
      </w:r>
      <w:r>
        <w:t>negative</w:t>
      </w:r>
      <w:r w:rsidRPr="006D1C71">
        <w:t xml:space="preserve"> rate due to better </w:t>
      </w:r>
      <w:r>
        <w:t>sensitivity</w:t>
      </w:r>
      <w:r w:rsidRPr="006D1C71">
        <w:t xml:space="preserve"> associated with CMR testing (</w:t>
      </w:r>
      <w:r>
        <w:t>sensitivity of CMR: 100</w:t>
      </w:r>
      <w:r w:rsidRPr="006D1C71">
        <w:t>%</w:t>
      </w:r>
      <w:r>
        <w:t xml:space="preserve"> vs ICA</w:t>
      </w:r>
      <w:r w:rsidRPr="006D1C71">
        <w:t xml:space="preserve">: </w:t>
      </w:r>
      <w:r>
        <w:t>98</w:t>
      </w:r>
      <w:r w:rsidRPr="006D1C71">
        <w:t xml:space="preserve">%). This </w:t>
      </w:r>
      <w:r w:rsidR="00E44567">
        <w:t>results in</w:t>
      </w:r>
      <w:r w:rsidRPr="006D1C71">
        <w:t xml:space="preserve"> a reduction in unnecessary ICAs being performed</w:t>
      </w:r>
      <w:r>
        <w:t xml:space="preserve"> in the CMR testing arm</w:t>
      </w:r>
      <w:r w:rsidRPr="006D1C71">
        <w:t xml:space="preserve">. </w:t>
      </w:r>
      <w:r>
        <w:t>In the control arm, all patients undergo ICA testing</w:t>
      </w:r>
      <w:r w:rsidR="00E44567">
        <w:t>;</w:t>
      </w:r>
      <w:r>
        <w:t xml:space="preserve"> therefore, unnecessary ICAs are performed in all patients who are identified to have non-ischaemic aetiology of DCM. In the base</w:t>
      </w:r>
      <w:r w:rsidR="00E44567">
        <w:t>-</w:t>
      </w:r>
      <w:r>
        <w:t xml:space="preserve">case, the </w:t>
      </w:r>
      <w:r w:rsidR="00E44567">
        <w:t xml:space="preserve">estimated </w:t>
      </w:r>
      <w:r>
        <w:t>increment in unnecessary ICAs avoided is basically equivalent to the prevalence of NIDCM</w:t>
      </w:r>
      <w:r w:rsidR="00E44567">
        <w:t>,</w:t>
      </w:r>
      <w:r>
        <w:t xml:space="preserve"> as the diagnostic accuracy of both strategies is similar.</w:t>
      </w:r>
    </w:p>
    <w:p w14:paraId="4FAA0679" w14:textId="77777777" w:rsidR="000E482F" w:rsidRPr="006D1C71" w:rsidRDefault="000E482F" w:rsidP="00161B88">
      <w:pPr>
        <w:pStyle w:val="Heading4"/>
      </w:pPr>
      <w:r w:rsidRPr="006D1C71">
        <w:t>Cost per correct initial test result</w:t>
      </w:r>
    </w:p>
    <w:p w14:paraId="48C739D5" w14:textId="2683727B" w:rsidR="000E482F" w:rsidRDefault="000E482F" w:rsidP="004C79C1">
      <w:pPr>
        <w:spacing w:after="120" w:line="240" w:lineRule="auto"/>
        <w:jc w:val="both"/>
      </w:pPr>
      <w:r w:rsidRPr="006D1C71">
        <w:rPr>
          <w:lang w:eastAsia="en-US"/>
        </w:rPr>
        <w:t>For the outcome of cost per correct initial test result, the differences in the outcomes are small</w:t>
      </w:r>
      <w:r>
        <w:t>; w</w:t>
      </w:r>
      <w:r w:rsidRPr="006D1C71">
        <w:t xml:space="preserve">hen compared with </w:t>
      </w:r>
      <w:r>
        <w:t>ICA</w:t>
      </w:r>
      <w:r w:rsidRPr="006D1C71">
        <w:t xml:space="preserve">, CMR is associated with a decrease in false </w:t>
      </w:r>
      <w:r>
        <w:t>negative</w:t>
      </w:r>
      <w:r w:rsidRPr="006D1C71">
        <w:t xml:space="preserve"> test results</w:t>
      </w:r>
      <w:r w:rsidR="00A6246D">
        <w:t>;</w:t>
      </w:r>
      <w:r>
        <w:t xml:space="preserve"> </w:t>
      </w:r>
      <w:r w:rsidR="00A6246D">
        <w:t>that is,</w:t>
      </w:r>
      <w:r>
        <w:t xml:space="preserve"> </w:t>
      </w:r>
      <w:r w:rsidR="00A6246D">
        <w:t xml:space="preserve">it </w:t>
      </w:r>
      <w:r>
        <w:t>is more effective</w:t>
      </w:r>
      <w:r w:rsidRPr="006D1C71">
        <w:t xml:space="preserve">. Given </w:t>
      </w:r>
      <w:r w:rsidR="004C3863">
        <w:t>that ICA has</w:t>
      </w:r>
      <w:r w:rsidR="004C3863" w:rsidRPr="006D1C71">
        <w:t xml:space="preserve"> </w:t>
      </w:r>
      <w:r>
        <w:t xml:space="preserve">higher </w:t>
      </w:r>
      <w:r w:rsidRPr="006D1C71">
        <w:t xml:space="preserve">associated </w:t>
      </w:r>
      <w:r w:rsidR="004C3863" w:rsidRPr="006D1C71">
        <w:t>costs</w:t>
      </w:r>
      <w:r w:rsidRPr="006D1C71">
        <w:t xml:space="preserve">, it is dominated by </w:t>
      </w:r>
      <w:r>
        <w:t>CMR</w:t>
      </w:r>
      <w:r w:rsidRPr="006D1C71">
        <w:t xml:space="preserve"> in the </w:t>
      </w:r>
      <w:r>
        <w:t xml:space="preserve">analysis; </w:t>
      </w:r>
      <w:r w:rsidR="00A6246D">
        <w:t>that is,</w:t>
      </w:r>
      <w:r>
        <w:t xml:space="preserve"> CMR is less costly and more effective in terms of diagnosing NIDCM than the comparator ICA.</w:t>
      </w:r>
    </w:p>
    <w:p w14:paraId="1E026D1C" w14:textId="77777777" w:rsidR="000E482F" w:rsidRPr="006D1C71" w:rsidRDefault="000E482F" w:rsidP="00161B88">
      <w:pPr>
        <w:pStyle w:val="Heading4"/>
      </w:pPr>
      <w:r w:rsidRPr="006D1C71">
        <w:lastRenderedPageBreak/>
        <w:t>Cost per unnecessary ICA avoided</w:t>
      </w:r>
    </w:p>
    <w:p w14:paraId="5E207EA5" w14:textId="5029019A" w:rsidR="000E482F" w:rsidRPr="00071274" w:rsidRDefault="000E482F" w:rsidP="004C79C1">
      <w:pPr>
        <w:spacing w:after="120" w:line="240" w:lineRule="auto"/>
        <w:jc w:val="both"/>
      </w:pPr>
      <w:r w:rsidRPr="006D1C71">
        <w:t xml:space="preserve">Given the decrease in ICAs in </w:t>
      </w:r>
      <w:r>
        <w:t>NIDCM</w:t>
      </w:r>
      <w:r w:rsidRPr="006D1C71">
        <w:t xml:space="preserve"> patients associated with CMR testing, </w:t>
      </w:r>
      <w:r w:rsidRPr="006D1C71">
        <w:rPr>
          <w:lang w:eastAsia="en-US"/>
        </w:rPr>
        <w:t xml:space="preserve">CMR is more effective and less costly than </w:t>
      </w:r>
      <w:r>
        <w:rPr>
          <w:lang w:eastAsia="en-US"/>
        </w:rPr>
        <w:t xml:space="preserve">ICA </w:t>
      </w:r>
      <w:r w:rsidRPr="006D1C71">
        <w:rPr>
          <w:lang w:eastAsia="en-US"/>
        </w:rPr>
        <w:t xml:space="preserve">(i.e. </w:t>
      </w:r>
      <w:r>
        <w:rPr>
          <w:lang w:eastAsia="en-US"/>
        </w:rPr>
        <w:t xml:space="preserve">CMR </w:t>
      </w:r>
      <w:r w:rsidRPr="006D1C71">
        <w:rPr>
          <w:lang w:eastAsia="en-US"/>
        </w:rPr>
        <w:t xml:space="preserve">is dominant to </w:t>
      </w:r>
      <w:r>
        <w:rPr>
          <w:lang w:eastAsia="en-US"/>
        </w:rPr>
        <w:t xml:space="preserve">ICA). </w:t>
      </w:r>
      <w:r w:rsidRPr="006D1C71">
        <w:rPr>
          <w:lang w:eastAsia="en-US"/>
        </w:rPr>
        <w:t>Sensitivity analyses around the base-case analysis will explore the uncertainty surrou</w:t>
      </w:r>
      <w:r>
        <w:rPr>
          <w:lang w:eastAsia="en-US"/>
        </w:rPr>
        <w:t xml:space="preserve">nding the </w:t>
      </w:r>
      <w:r w:rsidRPr="00071274">
        <w:rPr>
          <w:lang w:eastAsia="en-US"/>
        </w:rPr>
        <w:t xml:space="preserve">diagnostic accuracy </w:t>
      </w:r>
      <w:r w:rsidR="00160A90">
        <w:rPr>
          <w:lang w:eastAsia="en-US"/>
        </w:rPr>
        <w:t xml:space="preserve">of </w:t>
      </w:r>
      <w:r w:rsidRPr="00071274">
        <w:rPr>
          <w:lang w:eastAsia="en-US"/>
        </w:rPr>
        <w:t>CMR and ICA</w:t>
      </w:r>
      <w:r w:rsidR="00160A90">
        <w:rPr>
          <w:lang w:eastAsia="en-US"/>
        </w:rPr>
        <w:t>,</w:t>
      </w:r>
      <w:r w:rsidRPr="00071274">
        <w:rPr>
          <w:lang w:eastAsia="en-US"/>
        </w:rPr>
        <w:t xml:space="preserve"> and </w:t>
      </w:r>
      <w:r w:rsidR="00160A90">
        <w:rPr>
          <w:lang w:eastAsia="en-US"/>
        </w:rPr>
        <w:t xml:space="preserve">the </w:t>
      </w:r>
      <w:r w:rsidRPr="00071274">
        <w:rPr>
          <w:lang w:eastAsia="en-US"/>
        </w:rPr>
        <w:t>prevalence of NIDCM.</w:t>
      </w:r>
    </w:p>
    <w:p w14:paraId="1FA777FB" w14:textId="2D66B541" w:rsidR="000E482F" w:rsidRDefault="000E482F" w:rsidP="00161B88">
      <w:pPr>
        <w:pStyle w:val="Heading3"/>
      </w:pPr>
      <w:bookmarkStart w:id="612" w:name="_Toc449428916"/>
      <w:bookmarkStart w:id="613" w:name="_Toc451501387"/>
      <w:r w:rsidRPr="00071274">
        <w:t>D5</w:t>
      </w:r>
      <w:proofErr w:type="gramStart"/>
      <w:r w:rsidRPr="00071274">
        <w:t>.(</w:t>
      </w:r>
      <w:proofErr w:type="gramEnd"/>
      <w:r w:rsidRPr="00071274">
        <w:t>iiB) CEA</w:t>
      </w:r>
      <w:r w:rsidRPr="00071274">
        <w:tab/>
        <w:t>Sensitivity Analysis</w:t>
      </w:r>
      <w:bookmarkEnd w:id="612"/>
      <w:bookmarkEnd w:id="613"/>
    </w:p>
    <w:p w14:paraId="76B28B35" w14:textId="36BA4597" w:rsidR="000E482F" w:rsidRDefault="000E482F" w:rsidP="004C79C1">
      <w:pPr>
        <w:spacing w:after="120" w:line="240" w:lineRule="auto"/>
        <w:jc w:val="both"/>
      </w:pPr>
      <w:r>
        <w:t xml:space="preserve">Analysis also indicated that cost-effectiveness was not sensitive to the possibility that CMR would not wholly determine whether or not ICA was undertaken (i.e. </w:t>
      </w:r>
      <w:r w:rsidR="002E44E3">
        <w:t xml:space="preserve">an </w:t>
      </w:r>
      <w:r>
        <w:t xml:space="preserve">extent of change in management of 100%). Threshold analysis indicated </w:t>
      </w:r>
      <w:r w:rsidR="002E44E3">
        <w:t xml:space="preserve">that </w:t>
      </w:r>
      <w:r>
        <w:t xml:space="preserve">CMR as a </w:t>
      </w:r>
      <w:r w:rsidR="00607E39">
        <w:t>triage test</w:t>
      </w:r>
      <w:r>
        <w:t xml:space="preserve"> to ICA remained dominant even if clinicians still referred up to 75% of CMR diagnoses of NIDCM for an ICA (i.e. in practice, only avoided 25% of ‘avoidable ICAs’)</w:t>
      </w:r>
      <w:r w:rsidR="002E44E3">
        <w:t>,</w:t>
      </w:r>
      <w:r>
        <w:t xml:space="preserve"> a degree of ongoing referral to ICA that seems above likely plausible limits.</w:t>
      </w:r>
    </w:p>
    <w:p w14:paraId="3A9364D8" w14:textId="0873BC08" w:rsidR="000E482F" w:rsidRDefault="000E482F" w:rsidP="004C79C1">
      <w:pPr>
        <w:spacing w:after="120" w:line="240" w:lineRule="auto"/>
        <w:jc w:val="both"/>
      </w:pPr>
      <w:r>
        <w:t>Univariate sensitivity analyses around the variables for diagnostic accuracy of both CMR and ICA</w:t>
      </w:r>
      <w:r w:rsidR="00504A9C">
        <w:t>,</w:t>
      </w:r>
      <w:r>
        <w:t xml:space="preserve"> and the prevalence of NIDCM</w:t>
      </w:r>
      <w:r w:rsidR="00504A9C">
        <w:t>,</w:t>
      </w:r>
      <w:r>
        <w:t xml:space="preserve"> were conducted using the 95%CIs of point estimates or the range specified previously. As all patients undergo ICA in the comparator arm, the impact</w:t>
      </w:r>
      <w:r w:rsidR="00504A9C">
        <w:t>s</w:t>
      </w:r>
      <w:r>
        <w:t xml:space="preserve"> of varying </w:t>
      </w:r>
      <w:r w:rsidR="00504A9C">
        <w:t xml:space="preserve">the </w:t>
      </w:r>
      <w:r>
        <w:t>sensitivity and specificity of ICA are negligible and, thus, not presented.</w:t>
      </w:r>
    </w:p>
    <w:p w14:paraId="43907E39" w14:textId="6D5A6AF2" w:rsidR="000E482F" w:rsidRDefault="000E482F" w:rsidP="004C79C1">
      <w:pPr>
        <w:spacing w:after="120" w:line="240" w:lineRule="auto"/>
        <w:jc w:val="both"/>
      </w:pPr>
      <w:r>
        <w:t>Variations in the ICER due to changes in the extent to which CMR directs change in management (up to 50%), the sensitivity and specificity of CMR</w:t>
      </w:r>
      <w:r w:rsidR="00AD64DC">
        <w:t>,</w:t>
      </w:r>
      <w:r>
        <w:t xml:space="preserve"> and the underlying prevalence of NIDCM are shown in </w:t>
      </w:r>
      <w:r w:rsidR="00504A9C">
        <w:t xml:space="preserve">a </w:t>
      </w:r>
      <w:r>
        <w:t>tornado diagram (</w:t>
      </w:r>
      <w:r>
        <w:fldChar w:fldCharType="begin"/>
      </w:r>
      <w:r>
        <w:instrText xml:space="preserve"> REF _Ref449549833 \h  \* MERGEFORMAT </w:instrText>
      </w:r>
      <w:r>
        <w:fldChar w:fldCharType="separate"/>
      </w:r>
      <w:r w:rsidR="006F0C4E" w:rsidRPr="006F0C4E">
        <w:t xml:space="preserve">Figure </w:t>
      </w:r>
      <w:r w:rsidR="006F0C4E" w:rsidRPr="006F0C4E">
        <w:rPr>
          <w:noProof/>
        </w:rPr>
        <w:t>37</w:t>
      </w:r>
      <w:r>
        <w:fldChar w:fldCharType="end"/>
      </w:r>
      <w:r>
        <w:t>).</w:t>
      </w:r>
    </w:p>
    <w:p w14:paraId="19471CB0" w14:textId="0B11BF26" w:rsidR="000E482F" w:rsidRDefault="00607E39" w:rsidP="004C79C1">
      <w:pPr>
        <w:pStyle w:val="Caption"/>
        <w:keepNext/>
      </w:pPr>
      <w:bookmarkStart w:id="614" w:name="_Ref448916398"/>
      <w:r>
        <w:rPr>
          <w:noProof/>
          <w:lang w:eastAsia="en-AU"/>
        </w:rPr>
        <w:drawing>
          <wp:inline distT="0" distB="0" distL="0" distR="0" wp14:anchorId="03B7E456" wp14:editId="40BF6EFD">
            <wp:extent cx="5719266" cy="2488223"/>
            <wp:effectExtent l="0" t="0" r="0" b="7620"/>
            <wp:docPr id="41" name="Picture 41" descr="Tornado sensitivity analyses, comparison with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125" r="7179" b="3241"/>
                    <a:stretch/>
                  </pic:blipFill>
                  <pic:spPr bwMode="auto">
                    <a:xfrm>
                      <a:off x="0" y="0"/>
                      <a:ext cx="5736693" cy="2495805"/>
                    </a:xfrm>
                    <a:prstGeom prst="rect">
                      <a:avLst/>
                    </a:prstGeom>
                    <a:noFill/>
                    <a:ln>
                      <a:noFill/>
                    </a:ln>
                    <a:extLst>
                      <a:ext uri="{53640926-AAD7-44D8-BBD7-CCE9431645EC}">
                        <a14:shadowObscured xmlns:a14="http://schemas.microsoft.com/office/drawing/2010/main"/>
                      </a:ext>
                    </a:extLst>
                  </pic:spPr>
                </pic:pic>
              </a:graphicData>
            </a:graphic>
          </wp:inline>
        </w:drawing>
      </w:r>
    </w:p>
    <w:p w14:paraId="58244675" w14:textId="77777777" w:rsidR="000E482F" w:rsidRDefault="000E482F" w:rsidP="004C79C1">
      <w:pPr>
        <w:pStyle w:val="Caption"/>
      </w:pPr>
      <w:bookmarkStart w:id="615" w:name="_Ref449549833"/>
      <w:bookmarkStart w:id="616" w:name="_Toc449555126"/>
      <w:bookmarkStart w:id="617" w:name="_Toc324410219"/>
      <w:bookmarkStart w:id="618" w:name="_Toc451435483"/>
      <w:r w:rsidRPr="00607E39">
        <w:t xml:space="preserve">Figure </w:t>
      </w:r>
      <w:fldSimple w:instr=" SEQ Figure \* ARABIC ">
        <w:r w:rsidR="00607E39" w:rsidRPr="00607E39">
          <w:rPr>
            <w:noProof/>
          </w:rPr>
          <w:t>37</w:t>
        </w:r>
      </w:fldSimple>
      <w:bookmarkEnd w:id="615"/>
      <w:r>
        <w:tab/>
        <w:t>Tornado sensitivity analyses, comparison with ICA</w:t>
      </w:r>
      <w:bookmarkEnd w:id="616"/>
      <w:bookmarkEnd w:id="617"/>
      <w:bookmarkEnd w:id="618"/>
    </w:p>
    <w:bookmarkEnd w:id="614"/>
    <w:p w14:paraId="02AFCB07" w14:textId="0A1D4791" w:rsidR="000E482F" w:rsidRDefault="000E482F" w:rsidP="004C79C1">
      <w:pPr>
        <w:pStyle w:val="Tablenotes0"/>
        <w:spacing w:before="0" w:after="120"/>
      </w:pPr>
      <w:r>
        <w:t xml:space="preserve">Dominant = intervention is less costly and more effective than comparator; ICA = invasive coronary angiography; ICER = incremental cost-effectiveness ratio; LGE-CMR = cardiac magnetic resonance </w:t>
      </w:r>
      <w:r w:rsidR="00937268">
        <w:t>(</w:t>
      </w:r>
      <w:r>
        <w:t>imaging</w:t>
      </w:r>
      <w:r w:rsidR="00937268">
        <w:t>)</w:t>
      </w:r>
      <w:r>
        <w:t xml:space="preserve"> with late gadolinium enhancement; NIDCM = non-ischaemic dilated cardiomyopathy</w:t>
      </w:r>
    </w:p>
    <w:p w14:paraId="2D0C7AD3" w14:textId="19A9A658" w:rsidR="000E482F" w:rsidRDefault="009A443D" w:rsidP="004C79C1">
      <w:pPr>
        <w:spacing w:after="120" w:line="240" w:lineRule="auto"/>
        <w:jc w:val="both"/>
      </w:pPr>
      <w:r>
        <w:t>The u</w:t>
      </w:r>
      <w:r w:rsidR="000E482F">
        <w:t>se of LGE-CMR in the first instance to identify ischaemic patients for ICA, compared with the strategy of having all patients at intermediate risk of CAD undergo ICA</w:t>
      </w:r>
      <w:r w:rsidR="00AD0479">
        <w:t>,</w:t>
      </w:r>
      <w:r w:rsidR="000E482F">
        <w:t xml:space="preserve"> consistently results in fewer (unnecessary) invasive angiograms (i.e. is more effective) and is less costly. This conclusion held across the base</w:t>
      </w:r>
      <w:r w:rsidR="00AD0479">
        <w:t>-</w:t>
      </w:r>
      <w:r w:rsidR="000E482F">
        <w:t>case and all plausible sensitivity analyses conducted.</w:t>
      </w:r>
    </w:p>
    <w:p w14:paraId="2CBEE5ED" w14:textId="5BB8D78E" w:rsidR="000E482F" w:rsidRPr="00FA43C7" w:rsidRDefault="000E482F" w:rsidP="00161B88">
      <w:pPr>
        <w:pStyle w:val="Heading4"/>
      </w:pPr>
      <w:bookmarkStart w:id="619" w:name="_Toc449428917"/>
      <w:r w:rsidRPr="00FA43C7">
        <w:lastRenderedPageBreak/>
        <w:t>Cost</w:t>
      </w:r>
      <w:r w:rsidR="00AD0479">
        <w:t xml:space="preserve"> </w:t>
      </w:r>
      <w:r w:rsidRPr="00FA43C7">
        <w:t xml:space="preserve">analyses: CMR compared with SPECT, CTCA and stress </w:t>
      </w:r>
      <w:r w:rsidR="004F632C">
        <w:t>echocardiography</w:t>
      </w:r>
      <w:bookmarkEnd w:id="619"/>
    </w:p>
    <w:p w14:paraId="32878BA4" w14:textId="5BC4B948" w:rsidR="000E482F" w:rsidRPr="00FA43C7" w:rsidRDefault="000E482F" w:rsidP="00161B88">
      <w:pPr>
        <w:pStyle w:val="Heading3"/>
      </w:pPr>
      <w:bookmarkStart w:id="620" w:name="_Toc449428918"/>
      <w:bookmarkStart w:id="621" w:name="_Toc451501388"/>
      <w:r w:rsidRPr="00FA43C7">
        <w:t>D3</w:t>
      </w:r>
      <w:proofErr w:type="gramStart"/>
      <w:r w:rsidRPr="00FA43C7">
        <w:t>.(</w:t>
      </w:r>
      <w:proofErr w:type="gramEnd"/>
      <w:r w:rsidRPr="00FA43C7">
        <w:t>iiB)</w:t>
      </w:r>
      <w:r>
        <w:t xml:space="preserve"> CA</w:t>
      </w:r>
      <w:r>
        <w:tab/>
      </w:r>
      <w:r w:rsidRPr="00FA43C7">
        <w:t>Structure</w:t>
      </w:r>
      <w:bookmarkEnd w:id="620"/>
      <w:bookmarkEnd w:id="621"/>
    </w:p>
    <w:p w14:paraId="1504E48D" w14:textId="0152C92E" w:rsidR="000E482F" w:rsidRPr="00492E51" w:rsidRDefault="000E482F" w:rsidP="004C79C1">
      <w:pPr>
        <w:spacing w:after="120" w:line="240" w:lineRule="auto"/>
        <w:jc w:val="both"/>
      </w:pPr>
      <w:r>
        <w:t>T</w:t>
      </w:r>
      <w:r w:rsidRPr="00492E51">
        <w:t xml:space="preserve">he clinical management algorithm </w:t>
      </w:r>
      <w:r>
        <w:t xml:space="preserve">presented in </w:t>
      </w:r>
      <w:r w:rsidR="00FE2743">
        <w:t>s</w:t>
      </w:r>
      <w:r>
        <w:t>ection A6 suggests that</w:t>
      </w:r>
      <w:r w:rsidR="00AD0479">
        <w:t>,</w:t>
      </w:r>
      <w:r>
        <w:t xml:space="preserve"> in some instances</w:t>
      </w:r>
      <w:r w:rsidR="00AD0479">
        <w:t>,</w:t>
      </w:r>
      <w:r>
        <w:t xml:space="preserve"> other non-invasive tests (specifically, CTCA, SPECT or stress </w:t>
      </w:r>
      <w:r w:rsidR="00EF4D02">
        <w:t>echocardiography</w:t>
      </w:r>
      <w:r>
        <w:t>) currently utilised where CMR is proposed are relevant economic comparators. Section B did not identify any comparative evidence relating to change in management or health</w:t>
      </w:r>
      <w:r w:rsidR="00B91B08">
        <w:t>-</w:t>
      </w:r>
      <w:r>
        <w:t>outcome effects associated with these tests and CMR. Given the inadequate evidence to estimate cost-effectiveness, simple cost</w:t>
      </w:r>
      <w:r w:rsidR="00B91B08">
        <w:t xml:space="preserve"> </w:t>
      </w:r>
      <w:r>
        <w:t>analyses only are presented.</w:t>
      </w:r>
    </w:p>
    <w:p w14:paraId="77C0C41E" w14:textId="3B372204" w:rsidR="000E482F" w:rsidRPr="00FA43C7" w:rsidRDefault="000E482F" w:rsidP="004C79C1">
      <w:pPr>
        <w:spacing w:after="120" w:line="240" w:lineRule="auto"/>
        <w:jc w:val="both"/>
      </w:pPr>
      <w:r>
        <w:t>Given the lack of evidence, considerations around diagnostic yield, comparative accuracy</w:t>
      </w:r>
      <w:r w:rsidR="00B91B08">
        <w:t>,</w:t>
      </w:r>
      <w:r>
        <w:t xml:space="preserve"> and the implications of false negatives or positives are not incorporated into the analysis. </w:t>
      </w:r>
      <w:proofErr w:type="gramStart"/>
      <w:r>
        <w:t xml:space="preserve">Further, </w:t>
      </w:r>
      <w:r w:rsidRPr="00FA43C7">
        <w:rPr>
          <w:szCs w:val="23"/>
        </w:rPr>
        <w:t xml:space="preserve">the additional benefit of </w:t>
      </w:r>
      <w:r>
        <w:rPr>
          <w:szCs w:val="23"/>
        </w:rPr>
        <w:t xml:space="preserve">CMR </w:t>
      </w:r>
      <w:r w:rsidRPr="00FA43C7">
        <w:rPr>
          <w:szCs w:val="23"/>
        </w:rPr>
        <w:t>over other comparators</w:t>
      </w:r>
      <w:r>
        <w:rPr>
          <w:szCs w:val="23"/>
        </w:rPr>
        <w:t xml:space="preserve">, in </w:t>
      </w:r>
      <w:r w:rsidR="001234B4">
        <w:rPr>
          <w:szCs w:val="23"/>
        </w:rPr>
        <w:t xml:space="preserve">simultaneously </w:t>
      </w:r>
      <w:r w:rsidRPr="00FA43C7">
        <w:rPr>
          <w:szCs w:val="23"/>
        </w:rPr>
        <w:t xml:space="preserve">being able to determine </w:t>
      </w:r>
      <w:r w:rsidR="001234B4">
        <w:rPr>
          <w:szCs w:val="23"/>
        </w:rPr>
        <w:t xml:space="preserve">both the </w:t>
      </w:r>
      <w:r w:rsidRPr="00FA43C7">
        <w:rPr>
          <w:szCs w:val="23"/>
        </w:rPr>
        <w:t xml:space="preserve">aetiology of DCM </w:t>
      </w:r>
      <w:r w:rsidR="001234B4">
        <w:rPr>
          <w:szCs w:val="23"/>
        </w:rPr>
        <w:t xml:space="preserve">and </w:t>
      </w:r>
      <w:r w:rsidRPr="00FA43C7">
        <w:rPr>
          <w:szCs w:val="23"/>
        </w:rPr>
        <w:t>whether the patient has ischaemia or not</w:t>
      </w:r>
      <w:r>
        <w:rPr>
          <w:szCs w:val="23"/>
        </w:rPr>
        <w:t>,</w:t>
      </w:r>
      <w:r w:rsidRPr="00FA43C7">
        <w:rPr>
          <w:szCs w:val="23"/>
        </w:rPr>
        <w:t xml:space="preserve"> </w:t>
      </w:r>
      <w:r>
        <w:rPr>
          <w:szCs w:val="23"/>
        </w:rPr>
        <w:t>are</w:t>
      </w:r>
      <w:r w:rsidRPr="00FA43C7">
        <w:rPr>
          <w:szCs w:val="23"/>
        </w:rPr>
        <w:t xml:space="preserve"> not </w:t>
      </w:r>
      <w:r>
        <w:rPr>
          <w:szCs w:val="23"/>
        </w:rPr>
        <w:t xml:space="preserve">incorporated </w:t>
      </w:r>
      <w:r w:rsidRPr="00FA43C7">
        <w:rPr>
          <w:szCs w:val="23"/>
        </w:rPr>
        <w:t xml:space="preserve">in the </w:t>
      </w:r>
      <w:r>
        <w:rPr>
          <w:szCs w:val="23"/>
        </w:rPr>
        <w:t>analysis</w:t>
      </w:r>
      <w:r w:rsidRPr="00FA43C7">
        <w:rPr>
          <w:szCs w:val="23"/>
        </w:rPr>
        <w:t>.</w:t>
      </w:r>
      <w:proofErr w:type="gramEnd"/>
      <w:r w:rsidRPr="00FA43C7">
        <w:rPr>
          <w:szCs w:val="23"/>
        </w:rPr>
        <w:t xml:space="preserve"> </w:t>
      </w:r>
    </w:p>
    <w:p w14:paraId="3930BD5E" w14:textId="0F244919" w:rsidR="000E482F" w:rsidRPr="00FA43C7" w:rsidRDefault="000E482F" w:rsidP="00161B88">
      <w:pPr>
        <w:pStyle w:val="Heading3"/>
      </w:pPr>
      <w:bookmarkStart w:id="622" w:name="_Toc449428919"/>
      <w:bookmarkStart w:id="623" w:name="_Toc451501389"/>
      <w:r w:rsidRPr="00FA43C7">
        <w:t>D4</w:t>
      </w:r>
      <w:proofErr w:type="gramStart"/>
      <w:r w:rsidRPr="00FA43C7">
        <w:t>.(</w:t>
      </w:r>
      <w:proofErr w:type="gramEnd"/>
      <w:r w:rsidRPr="00FA43C7">
        <w:t>iiB)</w:t>
      </w:r>
      <w:r>
        <w:t xml:space="preserve"> CA</w:t>
      </w:r>
      <w:r>
        <w:tab/>
      </w:r>
      <w:r w:rsidRPr="00FA43C7">
        <w:t>Inputs to the cost</w:t>
      </w:r>
      <w:r w:rsidR="00373A11">
        <w:t xml:space="preserve"> </w:t>
      </w:r>
      <w:r w:rsidRPr="00FA43C7">
        <w:t>analyses</w:t>
      </w:r>
      <w:bookmarkEnd w:id="622"/>
      <w:bookmarkEnd w:id="623"/>
    </w:p>
    <w:p w14:paraId="1DDD8C67" w14:textId="3B222916" w:rsidR="000E482F" w:rsidRPr="00FA43C7" w:rsidRDefault="000E482F" w:rsidP="004C79C1">
      <w:pPr>
        <w:spacing w:after="120" w:line="240" w:lineRule="auto"/>
        <w:jc w:val="both"/>
      </w:pPr>
      <w:r>
        <w:t>When calculating cost inputs</w:t>
      </w:r>
      <w:r w:rsidR="00373A11">
        <w:t>,</w:t>
      </w:r>
      <w:r>
        <w:t xml:space="preserve"> it is assumed th</w:t>
      </w:r>
      <w:r w:rsidRPr="00FA43C7">
        <w:t>at non-invasive imaging services are provided in the outpatient setting and that a bulk-billing incentive will be applied to the proposed item (consistent with other CMR services).</w:t>
      </w:r>
    </w:p>
    <w:p w14:paraId="5760094F" w14:textId="02E32FAB" w:rsidR="000E482F" w:rsidRPr="00FA43C7" w:rsidRDefault="000E482F" w:rsidP="004C79C1">
      <w:pPr>
        <w:spacing w:after="120" w:line="240" w:lineRule="auto"/>
        <w:jc w:val="both"/>
      </w:pPr>
      <w:r w:rsidRPr="00FA43C7">
        <w:t>All tests compared in the analyses require a GP or specialist referral</w:t>
      </w:r>
      <w:r w:rsidR="00373A11">
        <w:t>;</w:t>
      </w:r>
      <w:r w:rsidRPr="00FA43C7">
        <w:t xml:space="preserve"> however, CTCA and CMR can only be referred by a specialist. It is assumed that patients symptomatic with </w:t>
      </w:r>
      <w:r w:rsidR="00373A11">
        <w:t>HF</w:t>
      </w:r>
      <w:r w:rsidRPr="00FA43C7">
        <w:t xml:space="preserve"> would largely be managed by cardiac specialists, </w:t>
      </w:r>
      <w:r w:rsidR="007967B8">
        <w:t xml:space="preserve">and </w:t>
      </w:r>
      <w:r w:rsidRPr="00FA43C7">
        <w:t>therefore referral costs associated with each test are considered similar and are not included in the analyses.</w:t>
      </w:r>
    </w:p>
    <w:p w14:paraId="1A51F6E4" w14:textId="77777777" w:rsidR="000E482F" w:rsidRPr="00FA43C7" w:rsidRDefault="000E482F" w:rsidP="00161B88">
      <w:pPr>
        <w:pStyle w:val="Heading4"/>
      </w:pPr>
      <w:r w:rsidRPr="00FA43C7">
        <w:t>Costs associated with treating AEs related to testing</w:t>
      </w:r>
    </w:p>
    <w:p w14:paraId="55793E7A" w14:textId="492A3704" w:rsidR="000E482F" w:rsidRPr="00FA43C7" w:rsidRDefault="000E482F" w:rsidP="004C79C1">
      <w:pPr>
        <w:spacing w:after="120" w:line="240" w:lineRule="auto"/>
        <w:jc w:val="both"/>
      </w:pPr>
      <w:r w:rsidRPr="00FA43C7">
        <w:t>Adverse health outcomes associated with testing-related AEs are not captured in the cost analysis; however, many of the associated costs of test-related AEs are incorporated</w:t>
      </w:r>
      <w:r w:rsidR="007967B8">
        <w:t>,</w:t>
      </w:r>
      <w:r w:rsidRPr="00FA43C7">
        <w:t xml:space="preserve"> includ</w:t>
      </w:r>
      <w:r>
        <w:t>ing costs associated with</w:t>
      </w:r>
      <w:r w:rsidRPr="00FA43C7">
        <w:t>:</w:t>
      </w:r>
    </w:p>
    <w:p w14:paraId="275EAA42" w14:textId="36DF53FB" w:rsidR="000E482F" w:rsidRPr="00FA43C7" w:rsidRDefault="000E482F" w:rsidP="004C79C1">
      <w:pPr>
        <w:numPr>
          <w:ilvl w:val="0"/>
          <w:numId w:val="50"/>
        </w:numPr>
        <w:spacing w:after="120" w:line="240" w:lineRule="auto"/>
        <w:jc w:val="both"/>
      </w:pPr>
      <w:r w:rsidRPr="00FA43C7">
        <w:t xml:space="preserve">allergic reactions to </w:t>
      </w:r>
      <w:r w:rsidR="007967B8">
        <w:t>the Gd</w:t>
      </w:r>
      <w:r w:rsidR="007967B8" w:rsidRPr="00FA43C7">
        <w:t xml:space="preserve"> </w:t>
      </w:r>
      <w:r w:rsidRPr="00FA43C7">
        <w:t>contrast agent associated with CMR</w:t>
      </w:r>
    </w:p>
    <w:p w14:paraId="75B67AF1" w14:textId="65EA1A34" w:rsidR="000E482F" w:rsidRPr="00FA43C7" w:rsidRDefault="000E482F" w:rsidP="004C79C1">
      <w:pPr>
        <w:numPr>
          <w:ilvl w:val="0"/>
          <w:numId w:val="50"/>
        </w:numPr>
        <w:spacing w:after="120" w:line="240" w:lineRule="auto"/>
        <w:jc w:val="both"/>
      </w:pPr>
      <w:r w:rsidRPr="00FA43C7">
        <w:t xml:space="preserve">AEs </w:t>
      </w:r>
      <w:r w:rsidR="00E40E6B">
        <w:t>rel</w:t>
      </w:r>
      <w:r w:rsidR="00EF4D02">
        <w:t>a</w:t>
      </w:r>
      <w:r w:rsidR="00E40E6B">
        <w:t xml:space="preserve">ted </w:t>
      </w:r>
      <w:r w:rsidRPr="00FA43C7">
        <w:t>to iodinated contrast agent</w:t>
      </w:r>
      <w:r w:rsidR="001A310F">
        <w:t>s</w:t>
      </w:r>
      <w:r w:rsidRPr="00FA43C7">
        <w:t xml:space="preserve"> associated with CTCA</w:t>
      </w:r>
    </w:p>
    <w:p w14:paraId="74976F00" w14:textId="6D97F87F" w:rsidR="000E482F" w:rsidRPr="00FA43C7" w:rsidRDefault="000E482F" w:rsidP="004C79C1">
      <w:pPr>
        <w:numPr>
          <w:ilvl w:val="0"/>
          <w:numId w:val="50"/>
        </w:numPr>
        <w:spacing w:after="120" w:line="240" w:lineRule="auto"/>
        <w:jc w:val="both"/>
      </w:pPr>
      <w:r w:rsidRPr="00FA43C7">
        <w:t>AEs related to microspheres and pharmacological stressors (</w:t>
      </w:r>
      <w:r w:rsidR="001A310F">
        <w:t xml:space="preserve">e.g. </w:t>
      </w:r>
      <w:r w:rsidRPr="00FA43C7">
        <w:t xml:space="preserve">adenosine or dobutamine) associated with stress </w:t>
      </w:r>
      <w:r w:rsidR="004F632C">
        <w:t>echocardiography</w:t>
      </w:r>
      <w:r w:rsidRPr="00FA43C7">
        <w:t>.</w:t>
      </w:r>
    </w:p>
    <w:p w14:paraId="708A5227" w14:textId="7BE96BB3" w:rsidR="000E482F" w:rsidRPr="00FA43C7" w:rsidRDefault="000E482F" w:rsidP="004C79C1">
      <w:pPr>
        <w:pBdr>
          <w:top w:val="nil"/>
          <w:left w:val="nil"/>
          <w:bottom w:val="nil"/>
          <w:right w:val="nil"/>
          <w:between w:val="nil"/>
          <w:bar w:val="nil"/>
        </w:pBdr>
        <w:spacing w:after="120" w:line="240" w:lineRule="auto"/>
        <w:jc w:val="both"/>
        <w:rPr>
          <w:rFonts w:eastAsia="Calibri" w:cs="Calibri"/>
          <w:color w:val="000000"/>
          <w:u w:color="000000"/>
          <w:bdr w:val="nil"/>
        </w:rPr>
      </w:pPr>
      <w:r w:rsidRPr="00FA43C7">
        <w:rPr>
          <w:rFonts w:eastAsia="Calibri" w:cs="Calibri"/>
          <w:color w:val="000000"/>
          <w:u w:color="000000"/>
          <w:bdr w:val="nil"/>
          <w:lang w:val="en-US"/>
        </w:rPr>
        <w:t>The cost of treating AEs related to testing are presented in</w:t>
      </w:r>
      <w:r w:rsidR="0097256C">
        <w:rPr>
          <w:rFonts w:eastAsia="Calibri" w:cs="Calibri"/>
          <w:color w:val="000000"/>
          <w:u w:color="000000"/>
          <w:bdr w:val="nil"/>
          <w:lang w:val="en-US"/>
        </w:rPr>
        <w:t xml:space="preserve"> </w:t>
      </w:r>
      <w:r w:rsidR="00EF4D02">
        <w:rPr>
          <w:rFonts w:eastAsia="Calibri" w:cs="Calibri"/>
          <w:color w:val="000000"/>
          <w:u w:color="000000"/>
          <w:bdr w:val="nil"/>
          <w:lang w:val="en-US"/>
        </w:rPr>
        <w:fldChar w:fldCharType="begin"/>
      </w:r>
      <w:r w:rsidR="00EF4D02">
        <w:rPr>
          <w:rFonts w:eastAsia="Calibri" w:cs="Calibri"/>
          <w:color w:val="000000"/>
          <w:u w:color="000000"/>
          <w:bdr w:val="nil"/>
          <w:lang w:val="en-US"/>
        </w:rPr>
        <w:instrText xml:space="preserve"> REF _Ref451267098 \h </w:instrText>
      </w:r>
      <w:r w:rsidR="00EF4D02">
        <w:rPr>
          <w:rFonts w:eastAsia="Calibri" w:cs="Calibri"/>
          <w:color w:val="000000"/>
          <w:u w:color="000000"/>
          <w:bdr w:val="nil"/>
          <w:lang w:val="en-US"/>
        </w:rPr>
      </w:r>
      <w:r w:rsidR="00EF4D02">
        <w:rPr>
          <w:rFonts w:eastAsia="Calibri" w:cs="Calibri"/>
          <w:color w:val="000000"/>
          <w:u w:color="000000"/>
          <w:bdr w:val="nil"/>
          <w:lang w:val="en-US"/>
        </w:rPr>
        <w:fldChar w:fldCharType="separate"/>
      </w:r>
      <w:r w:rsidR="00EF4D02" w:rsidRPr="00FA43C7">
        <w:t xml:space="preserve">Table </w:t>
      </w:r>
      <w:r w:rsidR="00EF4D02">
        <w:rPr>
          <w:noProof/>
        </w:rPr>
        <w:t>49</w:t>
      </w:r>
      <w:r w:rsidR="00EF4D02">
        <w:rPr>
          <w:rFonts w:eastAsia="Calibri" w:cs="Calibri"/>
          <w:color w:val="000000"/>
          <w:u w:color="000000"/>
          <w:bdr w:val="nil"/>
          <w:lang w:val="en-US"/>
        </w:rPr>
        <w:fldChar w:fldCharType="end"/>
      </w:r>
      <w:r w:rsidRPr="00FA43C7">
        <w:rPr>
          <w:rFonts w:eastAsia="Calibri" w:cs="Calibri"/>
          <w:color w:val="000000"/>
          <w:u w:color="000000"/>
          <w:bdr w:val="nil"/>
          <w:lang w:val="en-US"/>
        </w:rPr>
        <w:t xml:space="preserve"> and are based on the NEP for the </w:t>
      </w:r>
      <w:r w:rsidRPr="00FA43C7">
        <w:rPr>
          <w:rFonts w:eastAsia="Calibri" w:cs="Calibri"/>
          <w:color w:val="000000"/>
          <w:u w:color="000000"/>
          <w:bdr w:val="nil"/>
        </w:rPr>
        <w:t>AR-DRG code</w:t>
      </w:r>
      <w:r w:rsidRPr="00FA43C7">
        <w:rPr>
          <w:rFonts w:eastAsia="Calibri" w:cs="Calibri"/>
          <w:color w:val="000000"/>
          <w:u w:color="000000"/>
          <w:bdr w:val="nil"/>
          <w:lang w:val="en-US"/>
        </w:rPr>
        <w:t xml:space="preserve"> </w:t>
      </w:r>
      <w:r w:rsidRPr="00D21E5C">
        <w:rPr>
          <w:rFonts w:eastAsia="Calibri" w:cs="Calibri"/>
          <w:color w:val="000000"/>
          <w:u w:color="000000"/>
          <w:bdr w:val="nil"/>
          <w:lang w:val="en-US"/>
        </w:rPr>
        <w:fldChar w:fldCharType="begin"/>
      </w:r>
      <w:r>
        <w:rPr>
          <w:rFonts w:eastAsia="Calibri" w:cs="Calibri"/>
          <w:color w:val="000000"/>
          <w:u w:color="000000"/>
          <w:bdr w:val="nil"/>
          <w:lang w:val="en-US"/>
        </w:rPr>
        <w:instrText xml:space="preserve"> ADDIN EN.CITE &lt;EndNote&gt;&lt;Cite&gt;&lt;Author&gt;Independent Hospital Pricing Authority (IHPA)&lt;/Author&gt;&lt;Year&gt;2015&lt;/Year&gt;&lt;RecNum&gt;469&lt;/RecNum&gt;&lt;DisplayText&gt;(Independent Hospital Pricing Authority (IHPA) 2015a, 2016)&lt;/DisplayText&gt;&lt;record&gt;&lt;rec-number&gt;469&lt;/rec-number&gt;&lt;foreign-keys&gt;&lt;key app="EN" db-id="902tefd05sz0tlevxvw5txd6rdazz2awszwd" timestamp="1459993605"&gt;469&lt;/key&gt;&lt;/foreign-keys&gt;&lt;ref-type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Cite&gt;&lt;Author&gt;Independent Hospital Pricing Authority (IHPA)&lt;/Author&gt;&lt;Year&gt;2016&lt;/Year&gt;&lt;RecNum&gt;162&lt;/RecNum&gt;&lt;record&gt;&lt;rec-number&gt;162&lt;/rec-number&gt;&lt;foreign-keys&gt;&lt;key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Pr="00D21E5C">
        <w:rPr>
          <w:rFonts w:eastAsia="Calibri" w:cs="Calibri"/>
          <w:color w:val="000000"/>
          <w:u w:color="000000"/>
          <w:bdr w:val="nil"/>
          <w:lang w:val="en-US"/>
        </w:rPr>
        <w:fldChar w:fldCharType="separate"/>
      </w:r>
      <w:r>
        <w:rPr>
          <w:rFonts w:eastAsia="Calibri" w:cs="Calibri"/>
          <w:noProof/>
          <w:color w:val="000000"/>
          <w:u w:color="000000"/>
          <w:bdr w:val="nil"/>
          <w:lang w:val="en-US"/>
        </w:rPr>
        <w:t>(</w:t>
      </w:r>
      <w:hyperlink w:anchor="_ENREF_58" w:tooltip="Independent Hospital Pricing Authority (IHPA), 2015 #160" w:history="1">
        <w:r>
          <w:rPr>
            <w:rFonts w:eastAsia="Calibri" w:cs="Calibri"/>
            <w:noProof/>
            <w:color w:val="000000"/>
            <w:u w:color="000000"/>
            <w:bdr w:val="nil"/>
            <w:lang w:val="en-US"/>
          </w:rPr>
          <w:t>Independent Hospital Pricing Authority (IHPA) 2015a</w:t>
        </w:r>
      </w:hyperlink>
      <w:r>
        <w:rPr>
          <w:rFonts w:eastAsia="Calibri" w:cs="Calibri"/>
          <w:noProof/>
          <w:color w:val="000000"/>
          <w:u w:color="000000"/>
          <w:bdr w:val="nil"/>
          <w:lang w:val="en-US"/>
        </w:rPr>
        <w:t xml:space="preserve">, </w:t>
      </w:r>
      <w:hyperlink w:anchor="_ENREF_61" w:tooltip="Independent Hospital Pricing Authority (IHPA), 2016 #82" w:history="1">
        <w:r>
          <w:rPr>
            <w:rFonts w:eastAsia="Calibri" w:cs="Calibri"/>
            <w:noProof/>
            <w:color w:val="000000"/>
            <w:u w:color="000000"/>
            <w:bdr w:val="nil"/>
            <w:lang w:val="en-US"/>
          </w:rPr>
          <w:t>2016</w:t>
        </w:r>
      </w:hyperlink>
      <w:r>
        <w:rPr>
          <w:rFonts w:eastAsia="Calibri" w:cs="Calibri"/>
          <w:noProof/>
          <w:color w:val="000000"/>
          <w:u w:color="000000"/>
          <w:bdr w:val="nil"/>
          <w:lang w:val="en-US"/>
        </w:rPr>
        <w:t>)</w:t>
      </w:r>
      <w:r w:rsidRPr="00D21E5C">
        <w:rPr>
          <w:rFonts w:eastAsia="Calibri" w:cs="Calibri"/>
          <w:color w:val="000000"/>
          <w:u w:color="000000"/>
          <w:bdr w:val="nil"/>
          <w:lang w:val="en-US"/>
        </w:rPr>
        <w:fldChar w:fldCharType="end"/>
      </w:r>
      <w:r w:rsidRPr="00FA43C7">
        <w:rPr>
          <w:rFonts w:eastAsia="Calibri" w:cs="Calibri"/>
          <w:color w:val="000000"/>
          <w:u w:color="000000"/>
          <w:bdr w:val="nil"/>
        </w:rPr>
        <w:t xml:space="preserve"> </w:t>
      </w:r>
      <w:r w:rsidRPr="00FA43C7">
        <w:rPr>
          <w:rFonts w:eastAsia="Calibri" w:cs="Calibri"/>
          <w:color w:val="000000"/>
          <w:u w:color="000000"/>
          <w:bdr w:val="nil"/>
          <w:lang w:val="en-US"/>
        </w:rPr>
        <w:t xml:space="preserve">most relevant to the event. The International Stress </w:t>
      </w:r>
      <w:r w:rsidR="004F632C">
        <w:rPr>
          <w:rFonts w:eastAsia="Calibri" w:cs="Calibri"/>
          <w:color w:val="000000"/>
          <w:u w:color="000000"/>
          <w:bdr w:val="nil"/>
          <w:lang w:val="en-US"/>
        </w:rPr>
        <w:t>echocardiography</w:t>
      </w:r>
      <w:r w:rsidRPr="00FA43C7">
        <w:rPr>
          <w:rFonts w:eastAsia="Calibri" w:cs="Calibri"/>
          <w:color w:val="000000"/>
          <w:u w:color="000000"/>
          <w:bdr w:val="nil"/>
          <w:lang w:val="en-US"/>
        </w:rPr>
        <w:t xml:space="preserve"> Complication Registry study </w:t>
      </w:r>
      <w:r>
        <w:rPr>
          <w:rFonts w:eastAsia="Calibri" w:cs="Calibri"/>
          <w:color w:val="000000"/>
          <w:u w:color="000000"/>
          <w:bdr w:val="nil"/>
          <w:lang w:val="en-US"/>
        </w:rPr>
        <w:fldChar w:fldCharType="begin"/>
      </w:r>
      <w:r>
        <w:rPr>
          <w:rFonts w:eastAsia="Calibri" w:cs="Calibri"/>
          <w:color w:val="000000"/>
          <w:u w:color="000000"/>
          <w:bdr w:val="nil"/>
          <w:lang w:val="en-US"/>
        </w:rPr>
        <w:instrText xml:space="preserve"> ADDIN EN.CITE &lt;EndNote&gt;&lt;Cite&gt;&lt;Author&gt;Varga&lt;/Author&gt;&lt;Year&gt;2006&lt;/Year&gt;&lt;RecNum&gt;176&lt;/RecNum&gt;&lt;DisplayText&gt;(Varga et al. 2006)&lt;/DisplayText&gt;&lt;record&gt;&lt;rec-number&gt;176&lt;/rec-number&gt;&lt;foreign-keys&gt;&lt;key app="EN" db-id="pfxxvref0t0a5de2vwnv2fwkz0p9v0r2fw0t" timestamp="1461752391"&gt;176&lt;/key&gt;&lt;/foreign-keys&gt;&lt;ref-type name="Journal Article"&gt;17&lt;/ref-type&gt;&lt;contributors&gt;&lt;authors&gt;&lt;author&gt;Varga, A.&lt;/author&gt;&lt;author&gt;Garcia, M. A.&lt;/author&gt;&lt;author&gt;Picano, E.&lt;/author&gt;&lt;author&gt;International Stress Echo Complication, Registry&lt;/author&gt;&lt;/authors&gt;&lt;/contributors&gt;&lt;auth-address&gt;2nd Department of Medicine and Cardiology Center, University of Sciences, Szeged, Hungary. vargaa@in2nd.szote.u-szeged.hu&lt;/auth-address&gt;&lt;titles&gt;&lt;title&gt;Safety of stress echocardiography (from the International Stress Echo Complication Registry)&lt;/title&gt;&lt;secondary-title&gt;Am J Cardiol&lt;/secondary-title&gt;&lt;/titles&gt;&lt;periodical&gt;&lt;full-title&gt;Am J Cardiol&lt;/full-title&gt;&lt;/periodical&gt;&lt;pages&gt;541-3&lt;/pages&gt;&lt;volume&gt;98&lt;/volume&gt;&lt;number&gt;4&lt;/number&gt;&lt;keywords&gt;&lt;keyword&gt;Cardiotonic Agents&lt;/keyword&gt;&lt;keyword&gt;Cost-Benefit Analysis&lt;/keyword&gt;&lt;keyword&gt;Dipyridamole&lt;/keyword&gt;&lt;keyword&gt;Dobutamine&lt;/keyword&gt;&lt;keyword&gt;Echocardiography, Stress/economics/*methods/standards&lt;/keyword&gt;&lt;keyword&gt;Exercise/*physiology&lt;/keyword&gt;&lt;keyword&gt;Heart Diseases/physiopathology/*ultrasonography&lt;/keyword&gt;&lt;keyword&gt;Humans&lt;/keyword&gt;&lt;keyword&gt;Reproducibility of Results&lt;/keyword&gt;&lt;keyword&gt;Retrospective Studies&lt;/keyword&gt;&lt;keyword&gt;Severity of Illness Index&lt;/keyword&gt;&lt;keyword&gt;Surveys and Questionnaires&lt;/keyword&gt;&lt;keyword&gt;Vasodilator Agents&lt;/keyword&gt;&lt;/keywords&gt;&lt;dates&gt;&lt;year&gt;2006&lt;/year&gt;&lt;pub-dates&gt;&lt;date&gt;Aug 15&lt;/date&gt;&lt;/pub-dates&gt;&lt;/dates&gt;&lt;isbn&gt;0002-9149 (Print)&amp;#xD;0002-9149 (Linking)&lt;/isbn&gt;&lt;accession-num&gt;16893714&lt;/accession-num&gt;&lt;urls&gt;&lt;related-urls&gt;&lt;url&gt;http://www.ncbi.nlm.nih.gov/pubmed/16893714&lt;/url&gt;&lt;/related-urls&gt;&lt;/urls&gt;&lt;electronic-resource-num&gt;10.1016/j.amjcard.2006.02.064&lt;/electronic-resource-num&gt;&lt;/record&gt;&lt;/Cite&gt;&lt;/EndNote&gt;</w:instrText>
      </w:r>
      <w:r>
        <w:rPr>
          <w:rFonts w:eastAsia="Calibri" w:cs="Calibri"/>
          <w:color w:val="000000"/>
          <w:u w:color="000000"/>
          <w:bdr w:val="nil"/>
          <w:lang w:val="en-US"/>
        </w:rPr>
        <w:fldChar w:fldCharType="separate"/>
      </w:r>
      <w:r>
        <w:rPr>
          <w:rFonts w:eastAsia="Calibri" w:cs="Calibri"/>
          <w:noProof/>
          <w:color w:val="000000"/>
          <w:u w:color="000000"/>
          <w:bdr w:val="nil"/>
          <w:lang w:val="en-US"/>
        </w:rPr>
        <w:t>(</w:t>
      </w:r>
      <w:hyperlink w:anchor="_ENREF_143" w:tooltip="Varga, 2006 #176" w:history="1">
        <w:r>
          <w:rPr>
            <w:rFonts w:eastAsia="Calibri" w:cs="Calibri"/>
            <w:noProof/>
            <w:color w:val="000000"/>
            <w:u w:color="000000"/>
            <w:bdr w:val="nil"/>
            <w:lang w:val="en-US"/>
          </w:rPr>
          <w:t>Varga et al. 2006</w:t>
        </w:r>
      </w:hyperlink>
      <w:r>
        <w:rPr>
          <w:rFonts w:eastAsia="Calibri" w:cs="Calibri"/>
          <w:noProof/>
          <w:color w:val="000000"/>
          <w:u w:color="000000"/>
          <w:bdr w:val="nil"/>
          <w:lang w:val="en-US"/>
        </w:rPr>
        <w:t>)</w:t>
      </w:r>
      <w:r>
        <w:rPr>
          <w:rFonts w:eastAsia="Calibri" w:cs="Calibri"/>
          <w:color w:val="000000"/>
          <w:u w:color="000000"/>
          <w:bdr w:val="nil"/>
          <w:lang w:val="en-US"/>
        </w:rPr>
        <w:fldChar w:fldCharType="end"/>
      </w:r>
      <w:r>
        <w:rPr>
          <w:rFonts w:eastAsia="Calibri" w:cs="Calibri"/>
          <w:color w:val="000000"/>
          <w:u w:color="000000"/>
          <w:bdr w:val="nil"/>
          <w:lang w:val="en-US"/>
        </w:rPr>
        <w:t xml:space="preserve"> </w:t>
      </w:r>
      <w:r w:rsidRPr="00FA43C7">
        <w:rPr>
          <w:rFonts w:eastAsia="Calibri" w:cs="Calibri"/>
          <w:color w:val="000000"/>
          <w:u w:color="000000"/>
          <w:bdr w:val="nil"/>
          <w:lang w:val="en-US"/>
        </w:rPr>
        <w:t>reports that the most common AEs due to stressors are arrhythmias and MIs. Thus, the NEP for AR-DRG F76A</w:t>
      </w:r>
      <w:r w:rsidR="00553B21">
        <w:rPr>
          <w:rFonts w:eastAsia="Calibri" w:cs="Calibri"/>
          <w:color w:val="000000"/>
          <w:u w:color="000000"/>
          <w:bdr w:val="nil"/>
          <w:lang w:val="en-US"/>
        </w:rPr>
        <w:t xml:space="preserve"> </w:t>
      </w:r>
      <w:r w:rsidR="00DA77F2">
        <w:rPr>
          <w:rFonts w:eastAsia="Calibri" w:cs="Calibri"/>
          <w:color w:val="000000"/>
          <w:u w:color="000000"/>
          <w:bdr w:val="nil"/>
          <w:lang w:val="en-US"/>
        </w:rPr>
        <w:t>(</w:t>
      </w:r>
      <w:r w:rsidRPr="00FA43C7">
        <w:rPr>
          <w:rFonts w:eastAsia="Calibri" w:cs="Calibri"/>
          <w:color w:val="000000"/>
          <w:u w:color="000000"/>
          <w:bdr w:val="nil"/>
          <w:lang w:val="en-US"/>
        </w:rPr>
        <w:t>Arrhythmia, Cardiac Arrest and Conduction Disorders</w:t>
      </w:r>
      <w:r w:rsidR="00DA77F2">
        <w:rPr>
          <w:rFonts w:eastAsia="Calibri" w:cs="Calibri"/>
          <w:color w:val="000000"/>
          <w:u w:color="000000"/>
          <w:bdr w:val="nil"/>
          <w:lang w:val="en-US"/>
        </w:rPr>
        <w:t>)</w:t>
      </w:r>
      <w:r w:rsidR="00553B21">
        <w:rPr>
          <w:rFonts w:eastAsia="Calibri" w:cs="Calibri"/>
          <w:color w:val="000000"/>
          <w:u w:color="000000"/>
          <w:bdr w:val="nil"/>
          <w:lang w:val="en-US"/>
        </w:rPr>
        <w:t xml:space="preserve"> </w:t>
      </w:r>
      <w:r w:rsidRPr="00FA43C7">
        <w:rPr>
          <w:rFonts w:eastAsia="Calibri" w:cs="Calibri"/>
          <w:color w:val="000000"/>
          <w:u w:color="000000"/>
          <w:bdr w:val="nil"/>
          <w:lang w:val="en-US"/>
        </w:rPr>
        <w:t>is used in the analysis</w:t>
      </w:r>
      <w:r w:rsidR="00553B21">
        <w:rPr>
          <w:rFonts w:eastAsia="Calibri" w:cs="Calibri"/>
          <w:color w:val="000000"/>
          <w:u w:color="000000"/>
          <w:bdr w:val="nil"/>
          <w:lang w:val="en-US"/>
        </w:rPr>
        <w:t>.</w:t>
      </w:r>
    </w:p>
    <w:p w14:paraId="057E8574" w14:textId="4339CDB0" w:rsidR="000E482F" w:rsidRPr="00FA43C7" w:rsidRDefault="000E482F" w:rsidP="004C79C1">
      <w:pPr>
        <w:pStyle w:val="Caption"/>
      </w:pPr>
      <w:bookmarkStart w:id="624" w:name="_Ref451267098"/>
      <w:bookmarkStart w:id="625" w:name="_Toc449555009"/>
      <w:bookmarkStart w:id="626" w:name="_Toc324410220"/>
      <w:bookmarkStart w:id="627" w:name="_Toc451435376"/>
      <w:r w:rsidRPr="00FA43C7">
        <w:t xml:space="preserve">Table </w:t>
      </w:r>
      <w:fldSimple w:instr=" SEQ Table \* ARABIC ">
        <w:r w:rsidR="00050936">
          <w:rPr>
            <w:noProof/>
          </w:rPr>
          <w:t>49</w:t>
        </w:r>
      </w:fldSimple>
      <w:bookmarkEnd w:id="624"/>
      <w:r w:rsidRPr="00FA43C7">
        <w:tab/>
        <w:t>Cost of treating AEs</w:t>
      </w:r>
      <w:bookmarkEnd w:id="625"/>
      <w:bookmarkEnd w:id="626"/>
      <w:bookmarkEnd w:id="627"/>
    </w:p>
    <w:tbl>
      <w:tblPr>
        <w:tblStyle w:val="TableGrid"/>
        <w:tblW w:w="0" w:type="auto"/>
        <w:tblInd w:w="108" w:type="dxa"/>
        <w:tblLook w:val="04A0" w:firstRow="1" w:lastRow="0" w:firstColumn="1" w:lastColumn="0" w:noHBand="0" w:noVBand="1"/>
        <w:tblDescription w:val="Cost of treating adverse events related to testing"/>
      </w:tblPr>
      <w:tblGrid>
        <w:gridCol w:w="1823"/>
        <w:gridCol w:w="1130"/>
        <w:gridCol w:w="5955"/>
      </w:tblGrid>
      <w:tr w:rsidR="000E482F" w:rsidRPr="00FA43C7" w14:paraId="7832AB06" w14:textId="77777777" w:rsidTr="00723891">
        <w:trPr>
          <w:tblHeader/>
        </w:trPr>
        <w:tc>
          <w:tcPr>
            <w:tcW w:w="1823" w:type="dxa"/>
          </w:tcPr>
          <w:p w14:paraId="61D25A2D" w14:textId="77777777" w:rsidR="000E482F" w:rsidRPr="00FA43C7" w:rsidRDefault="000E482F" w:rsidP="004C79C1">
            <w:pPr>
              <w:keepNext/>
              <w:spacing w:after="120" w:line="240" w:lineRule="auto"/>
              <w:rPr>
                <w:rFonts w:ascii="Arial Narrow" w:hAnsi="Arial Narrow"/>
                <w:b/>
                <w:sz w:val="20"/>
                <w:szCs w:val="20"/>
              </w:rPr>
            </w:pPr>
            <w:r w:rsidRPr="00FA43C7">
              <w:rPr>
                <w:rFonts w:ascii="Arial Narrow" w:hAnsi="Arial Narrow"/>
                <w:b/>
                <w:sz w:val="20"/>
                <w:szCs w:val="20"/>
              </w:rPr>
              <w:t>AE</w:t>
            </w:r>
          </w:p>
        </w:tc>
        <w:tc>
          <w:tcPr>
            <w:tcW w:w="1130" w:type="dxa"/>
          </w:tcPr>
          <w:p w14:paraId="5DDA6289" w14:textId="77777777" w:rsidR="000E482F" w:rsidRPr="00FA43C7" w:rsidRDefault="000E482F" w:rsidP="004C79C1">
            <w:pPr>
              <w:keepNext/>
              <w:spacing w:after="120" w:line="240" w:lineRule="auto"/>
              <w:jc w:val="center"/>
              <w:rPr>
                <w:rFonts w:ascii="Arial Narrow" w:hAnsi="Arial Narrow"/>
                <w:b/>
                <w:sz w:val="20"/>
                <w:szCs w:val="20"/>
              </w:rPr>
            </w:pPr>
            <w:r w:rsidRPr="00FA43C7">
              <w:rPr>
                <w:rFonts w:ascii="Arial Narrow" w:hAnsi="Arial Narrow"/>
                <w:b/>
                <w:sz w:val="20"/>
                <w:szCs w:val="20"/>
              </w:rPr>
              <w:t>Treatment cost</w:t>
            </w:r>
          </w:p>
        </w:tc>
        <w:tc>
          <w:tcPr>
            <w:tcW w:w="5955" w:type="dxa"/>
          </w:tcPr>
          <w:p w14:paraId="1E031B15" w14:textId="6EF5E464" w:rsidR="000E482F" w:rsidRPr="00FA43C7" w:rsidRDefault="000E482F" w:rsidP="004C79C1">
            <w:pPr>
              <w:keepNext/>
              <w:spacing w:after="120" w:line="240" w:lineRule="auto"/>
              <w:rPr>
                <w:rFonts w:ascii="Arial Narrow" w:hAnsi="Arial Narrow"/>
                <w:b/>
                <w:sz w:val="20"/>
                <w:szCs w:val="20"/>
              </w:rPr>
            </w:pPr>
            <w:r w:rsidRPr="00FA43C7">
              <w:rPr>
                <w:rFonts w:ascii="Arial Narrow" w:hAnsi="Arial Narrow"/>
                <w:b/>
                <w:sz w:val="20"/>
                <w:szCs w:val="20"/>
              </w:rPr>
              <w:t>Source</w:t>
            </w:r>
            <w:r w:rsidR="00130504">
              <w:rPr>
                <w:rFonts w:ascii="Arial Narrow" w:hAnsi="Arial Narrow"/>
                <w:b/>
                <w:sz w:val="20"/>
                <w:szCs w:val="20"/>
              </w:rPr>
              <w:t xml:space="preserve"> </w:t>
            </w:r>
            <w:r w:rsidR="00130504" w:rsidRPr="00EF4D02">
              <w:rPr>
                <w:rFonts w:ascii="Arial Narrow" w:hAnsi="Arial Narrow"/>
                <w:b/>
                <w:sz w:val="20"/>
                <w:szCs w:val="20"/>
                <w:vertAlign w:val="superscript"/>
              </w:rPr>
              <w:t>a</w:t>
            </w:r>
          </w:p>
        </w:tc>
      </w:tr>
      <w:tr w:rsidR="000E482F" w:rsidRPr="00FA43C7" w14:paraId="2CF9A306" w14:textId="77777777" w:rsidTr="00723891">
        <w:tc>
          <w:tcPr>
            <w:tcW w:w="1823" w:type="dxa"/>
          </w:tcPr>
          <w:p w14:paraId="4AD80070" w14:textId="70D7B813"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 xml:space="preserve">Gadolinium </w:t>
            </w:r>
            <w:r w:rsidR="003C73BB">
              <w:rPr>
                <w:rFonts w:ascii="Arial Narrow" w:hAnsi="Arial Narrow"/>
                <w:sz w:val="20"/>
                <w:szCs w:val="20"/>
              </w:rPr>
              <w:t xml:space="preserve">contrast </w:t>
            </w:r>
            <w:r w:rsidRPr="00FA43C7">
              <w:rPr>
                <w:rFonts w:ascii="Arial Narrow" w:hAnsi="Arial Narrow"/>
                <w:sz w:val="20"/>
                <w:szCs w:val="20"/>
              </w:rPr>
              <w:t>reaction</w:t>
            </w:r>
          </w:p>
        </w:tc>
        <w:tc>
          <w:tcPr>
            <w:tcW w:w="1130" w:type="dxa"/>
          </w:tcPr>
          <w:p w14:paraId="5B959AE2"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$1,084</w:t>
            </w:r>
          </w:p>
        </w:tc>
        <w:tc>
          <w:tcPr>
            <w:tcW w:w="5955" w:type="dxa"/>
          </w:tcPr>
          <w:p w14:paraId="1563B3E9" w14:textId="5BF5F2BE"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N</w:t>
            </w:r>
            <w:r w:rsidR="0056349E">
              <w:rPr>
                <w:rFonts w:ascii="Arial Narrow" w:hAnsi="Arial Narrow"/>
                <w:sz w:val="20"/>
                <w:szCs w:val="20"/>
              </w:rPr>
              <w:t xml:space="preserve">EP </w:t>
            </w:r>
            <w:r w:rsidRPr="00FA43C7">
              <w:rPr>
                <w:rFonts w:ascii="Arial Narrow" w:hAnsi="Arial Narrow"/>
                <w:sz w:val="20"/>
                <w:szCs w:val="20"/>
              </w:rPr>
              <w:t xml:space="preserve">for AR-DRG X61Z (Allergic </w:t>
            </w:r>
            <w:r w:rsidR="0056349E">
              <w:rPr>
                <w:rFonts w:ascii="Arial Narrow" w:hAnsi="Arial Narrow"/>
                <w:sz w:val="20"/>
                <w:szCs w:val="20"/>
              </w:rPr>
              <w:t>R</w:t>
            </w:r>
            <w:r w:rsidRPr="00FA43C7">
              <w:rPr>
                <w:rFonts w:ascii="Arial Narrow" w:hAnsi="Arial Narrow"/>
                <w:sz w:val="20"/>
                <w:szCs w:val="20"/>
              </w:rPr>
              <w:t>eactions)</w:t>
            </w:r>
          </w:p>
        </w:tc>
      </w:tr>
      <w:tr w:rsidR="000E482F" w:rsidRPr="00FA43C7" w14:paraId="2B5EE78C" w14:textId="77777777" w:rsidTr="00723891">
        <w:tc>
          <w:tcPr>
            <w:tcW w:w="1823" w:type="dxa"/>
          </w:tcPr>
          <w:p w14:paraId="7FEFEB8D"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Iodinated contrast AE</w:t>
            </w:r>
          </w:p>
        </w:tc>
        <w:tc>
          <w:tcPr>
            <w:tcW w:w="1130" w:type="dxa"/>
          </w:tcPr>
          <w:p w14:paraId="322C8047"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$8,694</w:t>
            </w:r>
          </w:p>
        </w:tc>
        <w:tc>
          <w:tcPr>
            <w:tcW w:w="5955" w:type="dxa"/>
          </w:tcPr>
          <w:p w14:paraId="7041E79A" w14:textId="7529AD8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N</w:t>
            </w:r>
            <w:r w:rsidR="0056349E">
              <w:rPr>
                <w:rFonts w:ascii="Arial Narrow" w:hAnsi="Arial Narrow"/>
                <w:sz w:val="20"/>
                <w:szCs w:val="20"/>
              </w:rPr>
              <w:t>EP</w:t>
            </w:r>
            <w:r w:rsidRPr="00FA43C7">
              <w:rPr>
                <w:rFonts w:ascii="Arial Narrow" w:hAnsi="Arial Narrow"/>
                <w:sz w:val="20"/>
                <w:szCs w:val="20"/>
              </w:rPr>
              <w:t xml:space="preserve"> for AR-DRG E64A (Pulmonary </w:t>
            </w:r>
            <w:r w:rsidR="0056349E">
              <w:rPr>
                <w:rFonts w:ascii="Arial Narrow" w:hAnsi="Arial Narrow"/>
                <w:sz w:val="20"/>
                <w:szCs w:val="20"/>
              </w:rPr>
              <w:t>O</w:t>
            </w:r>
            <w:r w:rsidRPr="00FA43C7">
              <w:rPr>
                <w:rFonts w:ascii="Arial Narrow" w:hAnsi="Arial Narrow"/>
                <w:sz w:val="20"/>
                <w:szCs w:val="20"/>
              </w:rPr>
              <w:t>edema)</w:t>
            </w:r>
          </w:p>
        </w:tc>
      </w:tr>
      <w:tr w:rsidR="000E482F" w:rsidRPr="00FA43C7" w14:paraId="2167A54E" w14:textId="77777777" w:rsidTr="00723891">
        <w:tc>
          <w:tcPr>
            <w:tcW w:w="1823" w:type="dxa"/>
          </w:tcPr>
          <w:p w14:paraId="72E5AF36"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Microspheres reaction</w:t>
            </w:r>
          </w:p>
        </w:tc>
        <w:tc>
          <w:tcPr>
            <w:tcW w:w="1130" w:type="dxa"/>
          </w:tcPr>
          <w:p w14:paraId="707FA426"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$1,084</w:t>
            </w:r>
          </w:p>
        </w:tc>
        <w:tc>
          <w:tcPr>
            <w:tcW w:w="5955" w:type="dxa"/>
          </w:tcPr>
          <w:p w14:paraId="6BC9379E" w14:textId="370C8CB6"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N</w:t>
            </w:r>
            <w:r w:rsidR="0056349E">
              <w:rPr>
                <w:rFonts w:ascii="Arial Narrow" w:hAnsi="Arial Narrow"/>
                <w:sz w:val="20"/>
                <w:szCs w:val="20"/>
              </w:rPr>
              <w:t>EP</w:t>
            </w:r>
            <w:r w:rsidRPr="00FA43C7">
              <w:rPr>
                <w:rFonts w:ascii="Arial Narrow" w:hAnsi="Arial Narrow"/>
                <w:sz w:val="20"/>
                <w:szCs w:val="20"/>
              </w:rPr>
              <w:t xml:space="preserve"> for AR-DRG X61Z (Allergic </w:t>
            </w:r>
            <w:r w:rsidR="0056349E">
              <w:rPr>
                <w:rFonts w:ascii="Arial Narrow" w:hAnsi="Arial Narrow"/>
                <w:sz w:val="20"/>
                <w:szCs w:val="20"/>
              </w:rPr>
              <w:t>R</w:t>
            </w:r>
            <w:r w:rsidRPr="00FA43C7">
              <w:rPr>
                <w:rFonts w:ascii="Arial Narrow" w:hAnsi="Arial Narrow"/>
                <w:sz w:val="20"/>
                <w:szCs w:val="20"/>
              </w:rPr>
              <w:t>eactions)</w:t>
            </w:r>
          </w:p>
        </w:tc>
      </w:tr>
      <w:tr w:rsidR="000E482F" w:rsidRPr="00FA43C7" w14:paraId="4AB23677" w14:textId="77777777" w:rsidTr="00723891">
        <w:tc>
          <w:tcPr>
            <w:tcW w:w="1823" w:type="dxa"/>
          </w:tcPr>
          <w:p w14:paraId="203D7362"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lastRenderedPageBreak/>
              <w:t>Stressors AEs</w:t>
            </w:r>
          </w:p>
        </w:tc>
        <w:tc>
          <w:tcPr>
            <w:tcW w:w="1130" w:type="dxa"/>
          </w:tcPr>
          <w:p w14:paraId="70804C77"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$7,239</w:t>
            </w:r>
          </w:p>
        </w:tc>
        <w:tc>
          <w:tcPr>
            <w:tcW w:w="5955" w:type="dxa"/>
          </w:tcPr>
          <w:p w14:paraId="05027795" w14:textId="777EEF9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N</w:t>
            </w:r>
            <w:r w:rsidR="0056349E">
              <w:rPr>
                <w:rFonts w:ascii="Arial Narrow" w:hAnsi="Arial Narrow"/>
                <w:sz w:val="20"/>
                <w:szCs w:val="20"/>
              </w:rPr>
              <w:t>EP</w:t>
            </w:r>
            <w:r w:rsidRPr="00FA43C7">
              <w:rPr>
                <w:rFonts w:ascii="Arial Narrow" w:hAnsi="Arial Narrow"/>
                <w:sz w:val="20"/>
                <w:szCs w:val="20"/>
              </w:rPr>
              <w:t xml:space="preserve"> for AR-DRG F76A (Arrhythmia, Cardiac Arrest and Conduction Disorders)</w:t>
            </w:r>
          </w:p>
        </w:tc>
      </w:tr>
    </w:tbl>
    <w:p w14:paraId="070D454A" w14:textId="0DDC5377" w:rsidR="000E482F" w:rsidRDefault="00130504" w:rsidP="004C79C1">
      <w:pPr>
        <w:widowControl w:val="0"/>
        <w:spacing w:after="120" w:line="240" w:lineRule="auto"/>
        <w:jc w:val="both"/>
        <w:rPr>
          <w:rFonts w:ascii="Arial Narrow" w:hAnsi="Arial Narrow" w:cs="Arial"/>
          <w:snapToGrid w:val="0"/>
          <w:sz w:val="20"/>
          <w:szCs w:val="20"/>
          <w:lang w:eastAsia="en-US"/>
        </w:rPr>
      </w:pPr>
      <w:r w:rsidRPr="00EF4D02">
        <w:rPr>
          <w:rFonts w:ascii="Arial Narrow" w:hAnsi="Arial Narrow" w:cs="Arial"/>
          <w:snapToGrid w:val="0"/>
          <w:sz w:val="20"/>
          <w:szCs w:val="20"/>
          <w:vertAlign w:val="superscript"/>
          <w:lang w:eastAsia="en-US"/>
        </w:rPr>
        <w:t>a</w:t>
      </w:r>
      <w:r w:rsidR="000E482F" w:rsidRPr="00FA43C7">
        <w:rPr>
          <w:rFonts w:ascii="Arial Narrow" w:hAnsi="Arial Narrow" w:cs="Arial"/>
          <w:snapToGrid w:val="0"/>
          <w:sz w:val="20"/>
          <w:szCs w:val="20"/>
          <w:lang w:eastAsia="en-US"/>
        </w:rPr>
        <w:t xml:space="preserve"> Price weight for the respective AR-DRGs</w:t>
      </w:r>
      <w:r w:rsidR="000E482F">
        <w:rPr>
          <w:rFonts w:ascii="Arial Narrow" w:hAnsi="Arial Narrow" w:cs="Arial"/>
          <w:snapToGrid w:val="0"/>
          <w:sz w:val="20"/>
          <w:szCs w:val="20"/>
          <w:lang w:eastAsia="en-US"/>
        </w:rPr>
        <w:t xml:space="preserve"> </w:t>
      </w:r>
      <w:r w:rsidR="000E482F">
        <w:rPr>
          <w:rFonts w:ascii="Arial Narrow" w:hAnsi="Arial Narrow" w:cs="Arial"/>
          <w:snapToGrid w:val="0"/>
          <w:sz w:val="20"/>
          <w:szCs w:val="20"/>
          <w:lang w:eastAsia="en-US"/>
        </w:rPr>
        <w:fldChar w:fldCharType="begin"/>
      </w:r>
      <w:r w:rsidR="000E482F">
        <w:rPr>
          <w:rFonts w:ascii="Arial Narrow" w:hAnsi="Arial Narrow" w:cs="Arial"/>
          <w:snapToGrid w:val="0"/>
          <w:sz w:val="20"/>
          <w:szCs w:val="20"/>
          <w:lang w:eastAsia="en-US"/>
        </w:rP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0E482F">
        <w:rPr>
          <w:rFonts w:ascii="Arial Narrow" w:hAnsi="Arial Narrow" w:cs="Arial"/>
          <w:snapToGrid w:val="0"/>
          <w:sz w:val="20"/>
          <w:szCs w:val="20"/>
          <w:lang w:eastAsia="en-US"/>
        </w:rPr>
        <w:fldChar w:fldCharType="separate"/>
      </w:r>
      <w:r w:rsidR="000E482F">
        <w:rPr>
          <w:rFonts w:ascii="Arial Narrow" w:hAnsi="Arial Narrow" w:cs="Arial"/>
          <w:noProof/>
          <w:snapToGrid w:val="0"/>
          <w:sz w:val="20"/>
          <w:szCs w:val="20"/>
          <w:lang w:eastAsia="en-US"/>
        </w:rPr>
        <w:t>(</w:t>
      </w:r>
      <w:hyperlink w:anchor="_ENREF_58" w:tooltip="Independent Hospital Pricing Authority (IHPA), 2015 #160" w:history="1">
        <w:r w:rsidR="000E482F">
          <w:rPr>
            <w:rFonts w:ascii="Arial Narrow" w:hAnsi="Arial Narrow" w:cs="Arial"/>
            <w:noProof/>
            <w:snapToGrid w:val="0"/>
            <w:sz w:val="20"/>
            <w:szCs w:val="20"/>
            <w:lang w:eastAsia="en-US"/>
          </w:rPr>
          <w:t>Independent Hospital Pricing Authority (IHPA) 2015a</w:t>
        </w:r>
      </w:hyperlink>
      <w:r w:rsidR="000E482F">
        <w:rPr>
          <w:rFonts w:ascii="Arial Narrow" w:hAnsi="Arial Narrow" w:cs="Arial"/>
          <w:noProof/>
          <w:snapToGrid w:val="0"/>
          <w:sz w:val="20"/>
          <w:szCs w:val="20"/>
          <w:lang w:eastAsia="en-US"/>
        </w:rPr>
        <w:t>)</w:t>
      </w:r>
      <w:r w:rsidR="000E482F">
        <w:rPr>
          <w:rFonts w:ascii="Arial Narrow" w:hAnsi="Arial Narrow" w:cs="Arial"/>
          <w:snapToGrid w:val="0"/>
          <w:sz w:val="20"/>
          <w:szCs w:val="20"/>
          <w:lang w:eastAsia="en-US"/>
        </w:rPr>
        <w:fldChar w:fldCharType="end"/>
      </w:r>
      <w:r w:rsidR="000E482F">
        <w:rPr>
          <w:rFonts w:ascii="Arial Narrow" w:hAnsi="Arial Narrow" w:cs="Arial"/>
          <w:snapToGrid w:val="0"/>
          <w:sz w:val="20"/>
          <w:szCs w:val="20"/>
          <w:lang w:eastAsia="en-US"/>
        </w:rPr>
        <w:t xml:space="preserve"> </w:t>
      </w:r>
      <w:r w:rsidR="000322F8">
        <w:rPr>
          <w:rFonts w:ascii="Arial Narrow" w:hAnsi="Arial Narrow" w:cs="Arial"/>
          <w:snapToGrid w:val="0"/>
          <w:sz w:val="20"/>
          <w:szCs w:val="20"/>
          <w:lang w:eastAsia="en-US"/>
        </w:rPr>
        <w:t>*</w:t>
      </w:r>
      <w:r w:rsidR="000E482F" w:rsidRPr="00FA43C7">
        <w:rPr>
          <w:rFonts w:ascii="Arial Narrow" w:hAnsi="Arial Narrow" w:cs="Arial"/>
          <w:snapToGrid w:val="0"/>
          <w:sz w:val="20"/>
          <w:szCs w:val="20"/>
          <w:lang w:eastAsia="en-US"/>
        </w:rPr>
        <w:t xml:space="preserve"> the N</w:t>
      </w:r>
      <w:r w:rsidR="00A615A4">
        <w:rPr>
          <w:rFonts w:ascii="Arial Narrow" w:hAnsi="Arial Narrow" w:cs="Arial"/>
          <w:snapToGrid w:val="0"/>
          <w:sz w:val="20"/>
          <w:szCs w:val="20"/>
          <w:lang w:eastAsia="en-US"/>
        </w:rPr>
        <w:t>EP</w:t>
      </w:r>
      <w:r w:rsidR="000E482F">
        <w:rPr>
          <w:rFonts w:ascii="Arial Narrow" w:hAnsi="Arial Narrow" w:cs="Arial"/>
          <w:snapToGrid w:val="0"/>
          <w:sz w:val="20"/>
          <w:szCs w:val="20"/>
          <w:lang w:eastAsia="en-US"/>
        </w:rPr>
        <w:t xml:space="preserve"> 2016</w:t>
      </w:r>
      <w:r w:rsidR="00A615A4">
        <w:rPr>
          <w:rFonts w:ascii="Arial Narrow" w:hAnsi="Arial Narrow" w:cs="Arial"/>
          <w:snapToGrid w:val="0"/>
          <w:sz w:val="20"/>
          <w:szCs w:val="20"/>
          <w:lang w:eastAsia="en-US"/>
        </w:rPr>
        <w:t>–</w:t>
      </w:r>
      <w:r w:rsidR="000E482F">
        <w:rPr>
          <w:rFonts w:ascii="Arial Narrow" w:hAnsi="Arial Narrow" w:cs="Arial"/>
          <w:snapToGrid w:val="0"/>
          <w:sz w:val="20"/>
          <w:szCs w:val="20"/>
          <w:lang w:eastAsia="en-US"/>
        </w:rPr>
        <w:t xml:space="preserve">17 ($4,883) </w:t>
      </w:r>
      <w:r w:rsidR="000E482F">
        <w:rPr>
          <w:rFonts w:ascii="Arial Narrow" w:hAnsi="Arial Narrow" w:cs="Arial"/>
          <w:snapToGrid w:val="0"/>
          <w:sz w:val="20"/>
          <w:szCs w:val="20"/>
          <w:lang w:eastAsia="en-US"/>
        </w:rPr>
        <w:fldChar w:fldCharType="begin"/>
      </w:r>
      <w:r w:rsidR="000E482F">
        <w:rPr>
          <w:rFonts w:ascii="Arial Narrow" w:hAnsi="Arial Narrow" w:cs="Arial"/>
          <w:snapToGrid w:val="0"/>
          <w:sz w:val="20"/>
          <w:szCs w:val="20"/>
          <w:lang w:eastAsia="en-US"/>
        </w:rPr>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0E482F">
        <w:rPr>
          <w:rFonts w:ascii="Arial Narrow" w:hAnsi="Arial Narrow" w:cs="Arial"/>
          <w:snapToGrid w:val="0"/>
          <w:sz w:val="20"/>
          <w:szCs w:val="20"/>
          <w:lang w:eastAsia="en-US"/>
        </w:rPr>
        <w:fldChar w:fldCharType="separate"/>
      </w:r>
      <w:r w:rsidR="000E482F">
        <w:rPr>
          <w:rFonts w:ascii="Arial Narrow" w:hAnsi="Arial Narrow" w:cs="Arial"/>
          <w:noProof/>
          <w:snapToGrid w:val="0"/>
          <w:sz w:val="20"/>
          <w:szCs w:val="20"/>
          <w:lang w:eastAsia="en-US"/>
        </w:rPr>
        <w:t>(</w:t>
      </w:r>
      <w:hyperlink w:anchor="_ENREF_61" w:tooltip="Independent Hospital Pricing Authority (IHPA), 2016 #82" w:history="1">
        <w:r w:rsidR="000E482F">
          <w:rPr>
            <w:rFonts w:ascii="Arial Narrow" w:hAnsi="Arial Narrow" w:cs="Arial"/>
            <w:noProof/>
            <w:snapToGrid w:val="0"/>
            <w:sz w:val="20"/>
            <w:szCs w:val="20"/>
            <w:lang w:eastAsia="en-US"/>
          </w:rPr>
          <w:t>Independent Hospital Pricing Authority (IHPA) 2016</w:t>
        </w:r>
      </w:hyperlink>
      <w:r w:rsidR="000E482F">
        <w:rPr>
          <w:rFonts w:ascii="Arial Narrow" w:hAnsi="Arial Narrow" w:cs="Arial"/>
          <w:noProof/>
          <w:snapToGrid w:val="0"/>
          <w:sz w:val="20"/>
          <w:szCs w:val="20"/>
          <w:lang w:eastAsia="en-US"/>
        </w:rPr>
        <w:t>)</w:t>
      </w:r>
      <w:r w:rsidR="000E482F">
        <w:rPr>
          <w:rFonts w:ascii="Arial Narrow" w:hAnsi="Arial Narrow" w:cs="Arial"/>
          <w:snapToGrid w:val="0"/>
          <w:sz w:val="20"/>
          <w:szCs w:val="20"/>
          <w:lang w:eastAsia="en-US"/>
        </w:rPr>
        <w:fldChar w:fldCharType="end"/>
      </w:r>
      <w:r w:rsidR="000E482F">
        <w:rPr>
          <w:rFonts w:ascii="Arial Narrow" w:hAnsi="Arial Narrow" w:cs="Arial"/>
          <w:snapToGrid w:val="0"/>
          <w:sz w:val="20"/>
          <w:szCs w:val="20"/>
          <w:lang w:eastAsia="en-US"/>
        </w:rPr>
        <w:t>.</w:t>
      </w:r>
    </w:p>
    <w:p w14:paraId="7D677A8D" w14:textId="77777777" w:rsidR="00553061" w:rsidRPr="00FA43C7" w:rsidRDefault="00553061"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AE = adverse event; AR-DRG = Australian Refined Diagnosis Related Groups</w:t>
      </w:r>
      <w:r>
        <w:rPr>
          <w:rFonts w:ascii="Arial Narrow" w:hAnsi="Arial Narrow" w:cs="Arial"/>
          <w:snapToGrid w:val="0"/>
          <w:sz w:val="20"/>
          <w:szCs w:val="20"/>
          <w:lang w:eastAsia="en-US"/>
        </w:rPr>
        <w:t>; NEP = National Efficient Price</w:t>
      </w:r>
    </w:p>
    <w:p w14:paraId="2327DFC8" w14:textId="1A9E7917" w:rsidR="000E482F" w:rsidRPr="00FA43C7" w:rsidRDefault="000E482F" w:rsidP="004C79C1">
      <w:pPr>
        <w:spacing w:after="120" w:line="240" w:lineRule="auto"/>
        <w:jc w:val="both"/>
      </w:pPr>
      <w:r w:rsidRPr="00FA43C7">
        <w:t xml:space="preserve">The </w:t>
      </w:r>
      <w:r w:rsidR="00D6709A">
        <w:t>AE</w:t>
      </w:r>
      <w:r w:rsidRPr="00FA43C7">
        <w:t xml:space="preserve"> rates and </w:t>
      </w:r>
      <w:r w:rsidRPr="00FA43C7">
        <w:rPr>
          <w:lang w:val="en-US"/>
        </w:rPr>
        <w:t>the weighted cost of treating AEs related to each test</w:t>
      </w:r>
      <w:r w:rsidRPr="00FA43C7">
        <w:t xml:space="preserve"> used in the economic analyses are presented in </w:t>
      </w:r>
      <w:r w:rsidR="00EF4D02">
        <w:fldChar w:fldCharType="begin"/>
      </w:r>
      <w:r w:rsidR="00EF4D02">
        <w:instrText xml:space="preserve"> REF _Ref449550132 \h </w:instrText>
      </w:r>
      <w:r w:rsidR="00EF4D02">
        <w:fldChar w:fldCharType="separate"/>
      </w:r>
      <w:r w:rsidR="00EF4D02" w:rsidRPr="00FA43C7">
        <w:t xml:space="preserve">Table </w:t>
      </w:r>
      <w:r w:rsidR="00EF4D02">
        <w:rPr>
          <w:noProof/>
        </w:rPr>
        <w:t>50</w:t>
      </w:r>
      <w:r w:rsidR="00EF4D02">
        <w:fldChar w:fldCharType="end"/>
      </w:r>
      <w:r w:rsidRPr="00FA43C7">
        <w:t xml:space="preserve">, and are based on those reported in </w:t>
      </w:r>
      <w:r w:rsidR="00EF4D02">
        <w:fldChar w:fldCharType="begin"/>
      </w:r>
      <w:r w:rsidR="00EF4D02">
        <w:instrText xml:space="preserve"> REF _Ref448757037 \h </w:instrText>
      </w:r>
      <w:r w:rsidR="00EF4D02">
        <w:fldChar w:fldCharType="separate"/>
      </w:r>
      <w:r w:rsidR="00EF4D02" w:rsidRPr="0032214A">
        <w:t xml:space="preserve">Table </w:t>
      </w:r>
      <w:r w:rsidR="00EF4D02">
        <w:rPr>
          <w:noProof/>
        </w:rPr>
        <w:t>99</w:t>
      </w:r>
      <w:r w:rsidR="00EF4D02">
        <w:fldChar w:fldCharType="end"/>
      </w:r>
      <w:r>
        <w:t>, Appendix J</w:t>
      </w:r>
      <w:r w:rsidRPr="00FA43C7">
        <w:t xml:space="preserve">. For pharmacological stressors, </w:t>
      </w:r>
      <w:r w:rsidR="00D6709A">
        <w:t>AE</w:t>
      </w:r>
      <w:r w:rsidR="00D6709A" w:rsidRPr="00FA43C7">
        <w:t xml:space="preserve"> </w:t>
      </w:r>
      <w:r w:rsidRPr="00FA43C7">
        <w:t>rates have been reported by stress type (</w:t>
      </w:r>
      <w:r w:rsidR="00D6709A">
        <w:t xml:space="preserve">e.g. </w:t>
      </w:r>
      <w:r w:rsidRPr="00FA43C7">
        <w:t xml:space="preserve">adenosine or dobutamine). An average estimate was used in the analyses as the relative use of stress agents in Australia is unknown. Other rare serious AEs related to CMR and other tests reported </w:t>
      </w:r>
      <w:r w:rsidRPr="00D85B1F">
        <w:t xml:space="preserve">in </w:t>
      </w:r>
      <w:r w:rsidR="00FE2743">
        <w:t>s</w:t>
      </w:r>
      <w:r w:rsidRPr="00D85B1F">
        <w:t>ection</w:t>
      </w:r>
      <w:r w:rsidR="007B708F" w:rsidRPr="00D85B1F">
        <w:t xml:space="preserve"> B</w:t>
      </w:r>
      <w:r w:rsidR="007B708F">
        <w:t>7.1</w:t>
      </w:r>
      <w:r w:rsidRPr="00FA43C7">
        <w:t xml:space="preserve"> </w:t>
      </w:r>
      <w:r w:rsidR="007B708F">
        <w:t>(</w:t>
      </w:r>
      <w:r w:rsidR="00EF4D02">
        <w:fldChar w:fldCharType="begin"/>
      </w:r>
      <w:r w:rsidR="00EF4D02">
        <w:instrText xml:space="preserve"> REF _Ref448757037 \h </w:instrText>
      </w:r>
      <w:r w:rsidR="00EF4D02">
        <w:fldChar w:fldCharType="separate"/>
      </w:r>
      <w:r w:rsidR="00EF4D02" w:rsidRPr="0032214A">
        <w:t xml:space="preserve">Table </w:t>
      </w:r>
      <w:r w:rsidR="00EF4D02">
        <w:rPr>
          <w:noProof/>
        </w:rPr>
        <w:t>99</w:t>
      </w:r>
      <w:r w:rsidR="00EF4D02">
        <w:fldChar w:fldCharType="end"/>
      </w:r>
      <w:r>
        <w:t>, Appendix J</w:t>
      </w:r>
      <w:r w:rsidR="007B708F">
        <w:t>)</w:t>
      </w:r>
      <w:r w:rsidR="001E01D8">
        <w:t xml:space="preserve"> </w:t>
      </w:r>
      <w:r w:rsidRPr="00FA43C7">
        <w:t>are also not included in the economic analyses.</w:t>
      </w:r>
    </w:p>
    <w:p w14:paraId="4BC0C277" w14:textId="3F8728C3" w:rsidR="000E482F" w:rsidRPr="00FA43C7" w:rsidRDefault="000E482F" w:rsidP="004C79C1">
      <w:pPr>
        <w:pStyle w:val="Caption"/>
      </w:pPr>
      <w:bookmarkStart w:id="628" w:name="_Ref449550132"/>
      <w:bookmarkStart w:id="629" w:name="_Toc449555010"/>
      <w:bookmarkStart w:id="630" w:name="_Toc324410221"/>
      <w:bookmarkStart w:id="631" w:name="_Toc451435377"/>
      <w:r w:rsidRPr="00FA43C7">
        <w:t xml:space="preserve">Table </w:t>
      </w:r>
      <w:fldSimple w:instr=" SEQ Table \* ARABIC ">
        <w:r w:rsidR="00050936">
          <w:rPr>
            <w:noProof/>
          </w:rPr>
          <w:t>50</w:t>
        </w:r>
      </w:fldSimple>
      <w:bookmarkEnd w:id="628"/>
      <w:r w:rsidRPr="00FA43C7">
        <w:tab/>
        <w:t>Cost of treating AEs associated with the testing strategies</w:t>
      </w:r>
      <w:bookmarkEnd w:id="629"/>
      <w:bookmarkEnd w:id="630"/>
      <w:bookmarkEnd w:id="631"/>
    </w:p>
    <w:tbl>
      <w:tblPr>
        <w:tblStyle w:val="TableGrid54"/>
        <w:tblW w:w="4942" w:type="pct"/>
        <w:tblInd w:w="108" w:type="dxa"/>
        <w:tblLook w:val="04A0" w:firstRow="1" w:lastRow="0" w:firstColumn="1" w:lastColumn="0" w:noHBand="0" w:noVBand="1"/>
        <w:tblDescription w:val="Cost of treating AEs associated with the testing strategies"/>
      </w:tblPr>
      <w:tblGrid>
        <w:gridCol w:w="2646"/>
        <w:gridCol w:w="2033"/>
        <w:gridCol w:w="1891"/>
        <w:gridCol w:w="2565"/>
      </w:tblGrid>
      <w:tr w:rsidR="000E482F" w:rsidRPr="00FA43C7" w14:paraId="21867D58" w14:textId="77777777" w:rsidTr="00723891">
        <w:trPr>
          <w:tblHeader/>
        </w:trPr>
        <w:tc>
          <w:tcPr>
            <w:tcW w:w="1448" w:type="pct"/>
            <w:tcBorders>
              <w:bottom w:val="single" w:sz="4" w:space="0" w:color="auto"/>
            </w:tcBorders>
          </w:tcPr>
          <w:p w14:paraId="3CF11BA8" w14:textId="77777777" w:rsidR="000E482F" w:rsidRPr="00FA43C7" w:rsidRDefault="000E482F" w:rsidP="004C79C1">
            <w:pPr>
              <w:spacing w:after="120" w:line="240" w:lineRule="auto"/>
              <w:rPr>
                <w:rFonts w:ascii="Arial Narrow" w:hAnsi="Arial Narrow"/>
                <w:b/>
                <w:color w:val="FFFFFF" w:themeColor="background1"/>
                <w:sz w:val="20"/>
                <w:szCs w:val="20"/>
              </w:rPr>
            </w:pPr>
            <w:r w:rsidRPr="00FA43C7">
              <w:rPr>
                <w:rFonts w:ascii="Arial Narrow" w:hAnsi="Arial Narrow"/>
                <w:b/>
                <w:color w:val="FFFFFF" w:themeColor="background1"/>
                <w:sz w:val="20"/>
                <w:szCs w:val="20"/>
              </w:rPr>
              <w:t>-</w:t>
            </w:r>
          </w:p>
        </w:tc>
        <w:tc>
          <w:tcPr>
            <w:tcW w:w="1113" w:type="pct"/>
            <w:tcBorders>
              <w:bottom w:val="single" w:sz="4" w:space="0" w:color="auto"/>
            </w:tcBorders>
          </w:tcPr>
          <w:p w14:paraId="08BEE05D" w14:textId="77777777" w:rsidR="000E482F" w:rsidRPr="00FA43C7" w:rsidRDefault="000E482F" w:rsidP="004C79C1">
            <w:pPr>
              <w:spacing w:after="120" w:line="240" w:lineRule="auto"/>
              <w:jc w:val="center"/>
              <w:rPr>
                <w:rFonts w:ascii="Arial Narrow" w:eastAsia="Calibri" w:hAnsi="Arial Narrow" w:cs="Calibri"/>
                <w:b/>
                <w:color w:val="000000"/>
                <w:sz w:val="20"/>
                <w:szCs w:val="20"/>
                <w:u w:color="000000"/>
                <w:bdr w:val="nil"/>
              </w:rPr>
            </w:pPr>
            <w:r w:rsidRPr="00FA43C7">
              <w:rPr>
                <w:rFonts w:ascii="Arial Narrow" w:eastAsia="Calibri" w:hAnsi="Arial Narrow" w:cs="Calibri"/>
                <w:b/>
                <w:color w:val="000000"/>
                <w:sz w:val="20"/>
                <w:szCs w:val="20"/>
                <w:u w:color="000000"/>
                <w:bdr w:val="nil"/>
                <w:lang w:val="en-US"/>
              </w:rPr>
              <w:t>AE rate</w:t>
            </w:r>
          </w:p>
        </w:tc>
        <w:tc>
          <w:tcPr>
            <w:tcW w:w="1035" w:type="pct"/>
            <w:tcBorders>
              <w:bottom w:val="single" w:sz="4" w:space="0" w:color="auto"/>
            </w:tcBorders>
          </w:tcPr>
          <w:p w14:paraId="1DB20B95" w14:textId="77777777" w:rsidR="000E482F" w:rsidRPr="00FA43C7" w:rsidRDefault="000E482F" w:rsidP="004C79C1">
            <w:pPr>
              <w:spacing w:after="120" w:line="240" w:lineRule="auto"/>
              <w:rPr>
                <w:rFonts w:ascii="Arial Narrow" w:eastAsia="Calibri" w:hAnsi="Arial Narrow" w:cs="Calibri"/>
                <w:b/>
                <w:color w:val="000000"/>
                <w:sz w:val="20"/>
                <w:szCs w:val="20"/>
                <w:u w:color="000000"/>
                <w:bdr w:val="nil"/>
              </w:rPr>
            </w:pPr>
            <w:r w:rsidRPr="00FA43C7">
              <w:rPr>
                <w:rFonts w:ascii="Arial Narrow" w:eastAsia="Calibri" w:hAnsi="Arial Narrow" w:cs="Calibri"/>
                <w:b/>
                <w:color w:val="000000"/>
                <w:sz w:val="20"/>
                <w:szCs w:val="20"/>
                <w:u w:color="000000"/>
                <w:bdr w:val="nil"/>
                <w:lang w:val="en-US"/>
              </w:rPr>
              <w:t>Cost of treating AE</w:t>
            </w:r>
          </w:p>
        </w:tc>
        <w:tc>
          <w:tcPr>
            <w:tcW w:w="1404" w:type="pct"/>
            <w:tcBorders>
              <w:bottom w:val="single" w:sz="4" w:space="0" w:color="auto"/>
            </w:tcBorders>
          </w:tcPr>
          <w:p w14:paraId="527304A8" w14:textId="77777777" w:rsidR="000E482F" w:rsidRPr="00FA43C7" w:rsidRDefault="000E482F" w:rsidP="004C79C1">
            <w:pPr>
              <w:spacing w:after="120" w:line="240" w:lineRule="auto"/>
              <w:rPr>
                <w:rFonts w:ascii="Arial Narrow" w:eastAsia="Calibri" w:hAnsi="Arial Narrow" w:cs="Calibri"/>
                <w:b/>
                <w:color w:val="000000"/>
                <w:sz w:val="20"/>
                <w:szCs w:val="20"/>
                <w:u w:color="000000"/>
                <w:bdr w:val="nil"/>
              </w:rPr>
            </w:pPr>
            <w:r w:rsidRPr="00FA43C7">
              <w:rPr>
                <w:rFonts w:ascii="Arial Narrow" w:eastAsia="Calibri" w:hAnsi="Arial Narrow" w:cs="Calibri"/>
                <w:b/>
                <w:color w:val="000000"/>
                <w:sz w:val="20"/>
                <w:szCs w:val="20"/>
                <w:u w:color="000000"/>
                <w:bdr w:val="nil"/>
                <w:lang w:val="en-US"/>
              </w:rPr>
              <w:t>Cost of treating AE per test</w:t>
            </w:r>
          </w:p>
        </w:tc>
      </w:tr>
      <w:tr w:rsidR="000E482F" w:rsidRPr="00FA43C7" w14:paraId="20D8195E" w14:textId="77777777" w:rsidTr="00723891">
        <w:tc>
          <w:tcPr>
            <w:tcW w:w="1448" w:type="pct"/>
            <w:tcBorders>
              <w:right w:val="nil"/>
            </w:tcBorders>
          </w:tcPr>
          <w:p w14:paraId="3F836A6B"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lang w:val="en-US"/>
              </w:rPr>
              <w:t>CMR (total)</w:t>
            </w:r>
          </w:p>
        </w:tc>
        <w:tc>
          <w:tcPr>
            <w:tcW w:w="1113" w:type="pct"/>
            <w:tcBorders>
              <w:left w:val="nil"/>
              <w:right w:val="nil"/>
            </w:tcBorders>
          </w:tcPr>
          <w:p w14:paraId="2F964F5B"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color w:val="FFFFFF"/>
                <w:sz w:val="20"/>
                <w:szCs w:val="20"/>
                <w:u w:color="FFFFFF"/>
                <w:lang w:val="en-US"/>
              </w:rPr>
              <w:t>--</w:t>
            </w:r>
          </w:p>
        </w:tc>
        <w:tc>
          <w:tcPr>
            <w:tcW w:w="1035" w:type="pct"/>
            <w:tcBorders>
              <w:left w:val="nil"/>
              <w:right w:val="nil"/>
            </w:tcBorders>
          </w:tcPr>
          <w:p w14:paraId="346F30A6"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sz w:val="20"/>
                <w:szCs w:val="20"/>
              </w:rPr>
              <w:t>--</w:t>
            </w:r>
          </w:p>
        </w:tc>
        <w:tc>
          <w:tcPr>
            <w:tcW w:w="1404" w:type="pct"/>
            <w:tcBorders>
              <w:left w:val="nil"/>
            </w:tcBorders>
          </w:tcPr>
          <w:p w14:paraId="28AA1AEF"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$0.05</w:t>
            </w:r>
          </w:p>
        </w:tc>
      </w:tr>
      <w:tr w:rsidR="000E482F" w:rsidRPr="00FA43C7" w14:paraId="2E73D681" w14:textId="77777777" w:rsidTr="00723891">
        <w:tc>
          <w:tcPr>
            <w:tcW w:w="1448" w:type="pct"/>
          </w:tcPr>
          <w:p w14:paraId="1D51FD1F" w14:textId="77777777" w:rsidR="000E482F" w:rsidRPr="00FA43C7" w:rsidRDefault="000E482F" w:rsidP="004C79C1">
            <w:pPr>
              <w:spacing w:after="120" w:line="240" w:lineRule="auto"/>
              <w:ind w:left="567"/>
              <w:rPr>
                <w:rFonts w:ascii="Arial Narrow" w:hAnsi="Arial Narrow"/>
                <w:sz w:val="20"/>
                <w:szCs w:val="20"/>
              </w:rPr>
            </w:pPr>
            <w:r w:rsidRPr="00FA43C7">
              <w:rPr>
                <w:rFonts w:ascii="Arial Narrow" w:hAnsi="Arial Narrow"/>
                <w:sz w:val="20"/>
                <w:szCs w:val="20"/>
                <w:lang w:val="en-US"/>
              </w:rPr>
              <w:t>Gadolinium contrast</w:t>
            </w:r>
          </w:p>
        </w:tc>
        <w:tc>
          <w:tcPr>
            <w:tcW w:w="1113" w:type="pct"/>
          </w:tcPr>
          <w:p w14:paraId="6D685D29" w14:textId="77777777" w:rsidR="000E482F" w:rsidRPr="00FA43C7" w:rsidRDefault="000E482F" w:rsidP="004C79C1">
            <w:pPr>
              <w:tabs>
                <w:tab w:val="decimal" w:pos="419"/>
                <w:tab w:val="decimal" w:pos="663"/>
              </w:tabs>
              <w:spacing w:after="120" w:line="240" w:lineRule="auto"/>
              <w:jc w:val="center"/>
              <w:rPr>
                <w:rFonts w:ascii="Arial Narrow" w:hAnsi="Arial Narrow"/>
                <w:sz w:val="20"/>
                <w:szCs w:val="20"/>
              </w:rPr>
            </w:pPr>
            <w:r w:rsidRPr="00FA43C7">
              <w:rPr>
                <w:rFonts w:ascii="Arial Narrow" w:hAnsi="Arial Narrow"/>
                <w:sz w:val="20"/>
                <w:szCs w:val="20"/>
                <w:lang w:val="en-US"/>
              </w:rPr>
              <w:t>0.005%</w:t>
            </w:r>
          </w:p>
        </w:tc>
        <w:tc>
          <w:tcPr>
            <w:tcW w:w="1035" w:type="pct"/>
          </w:tcPr>
          <w:p w14:paraId="57CAD1FF"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$1,084</w:t>
            </w:r>
          </w:p>
        </w:tc>
        <w:tc>
          <w:tcPr>
            <w:tcW w:w="1404" w:type="pct"/>
          </w:tcPr>
          <w:p w14:paraId="1AE71741"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$0.05</w:t>
            </w:r>
          </w:p>
        </w:tc>
      </w:tr>
      <w:tr w:rsidR="000E482F" w:rsidRPr="00FA43C7" w14:paraId="46991E4B" w14:textId="77777777" w:rsidTr="00723891">
        <w:tc>
          <w:tcPr>
            <w:tcW w:w="1448" w:type="pct"/>
            <w:tcBorders>
              <w:right w:val="nil"/>
            </w:tcBorders>
          </w:tcPr>
          <w:p w14:paraId="2CF8EE0D"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lang w:val="en-US"/>
              </w:rPr>
              <w:t>CTCA (total)</w:t>
            </w:r>
          </w:p>
        </w:tc>
        <w:tc>
          <w:tcPr>
            <w:tcW w:w="1113" w:type="pct"/>
            <w:tcBorders>
              <w:left w:val="nil"/>
              <w:right w:val="nil"/>
            </w:tcBorders>
          </w:tcPr>
          <w:p w14:paraId="64D144BC" w14:textId="77777777" w:rsidR="000E482F" w:rsidRPr="00FA43C7" w:rsidRDefault="000E482F" w:rsidP="004C79C1">
            <w:pPr>
              <w:tabs>
                <w:tab w:val="decimal" w:pos="419"/>
                <w:tab w:val="decimal" w:pos="663"/>
              </w:tabs>
              <w:spacing w:after="120" w:line="240" w:lineRule="auto"/>
              <w:jc w:val="center"/>
              <w:rPr>
                <w:rFonts w:ascii="Arial Narrow" w:hAnsi="Arial Narrow"/>
                <w:b/>
                <w:sz w:val="20"/>
                <w:szCs w:val="20"/>
              </w:rPr>
            </w:pPr>
            <w:r w:rsidRPr="00FA43C7">
              <w:rPr>
                <w:rFonts w:ascii="Arial Narrow" w:hAnsi="Arial Narrow"/>
                <w:b/>
                <w:color w:val="FFFFFF"/>
                <w:sz w:val="20"/>
                <w:szCs w:val="20"/>
                <w:u w:color="FFFFFF"/>
                <w:lang w:val="en-US"/>
              </w:rPr>
              <w:t>--</w:t>
            </w:r>
          </w:p>
        </w:tc>
        <w:tc>
          <w:tcPr>
            <w:tcW w:w="1035" w:type="pct"/>
            <w:tcBorders>
              <w:left w:val="nil"/>
              <w:right w:val="nil"/>
            </w:tcBorders>
          </w:tcPr>
          <w:p w14:paraId="4B46BC3C"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sz w:val="20"/>
                <w:szCs w:val="20"/>
              </w:rPr>
              <w:t>--</w:t>
            </w:r>
          </w:p>
        </w:tc>
        <w:tc>
          <w:tcPr>
            <w:tcW w:w="1404" w:type="pct"/>
            <w:tcBorders>
              <w:left w:val="nil"/>
            </w:tcBorders>
          </w:tcPr>
          <w:p w14:paraId="73B01EC3"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$3.48</w:t>
            </w:r>
          </w:p>
        </w:tc>
      </w:tr>
      <w:tr w:rsidR="000E482F" w:rsidRPr="00FA43C7" w14:paraId="4306007E" w14:textId="77777777" w:rsidTr="00723891">
        <w:tc>
          <w:tcPr>
            <w:tcW w:w="1448" w:type="pct"/>
          </w:tcPr>
          <w:p w14:paraId="7B2BFC08" w14:textId="77777777" w:rsidR="000E482F" w:rsidRPr="00FA43C7" w:rsidRDefault="000E482F" w:rsidP="004C79C1">
            <w:pPr>
              <w:spacing w:after="120" w:line="240" w:lineRule="auto"/>
              <w:ind w:left="567"/>
              <w:rPr>
                <w:rFonts w:ascii="Arial Narrow" w:hAnsi="Arial Narrow"/>
                <w:sz w:val="20"/>
                <w:szCs w:val="20"/>
              </w:rPr>
            </w:pPr>
            <w:r w:rsidRPr="00FA43C7">
              <w:rPr>
                <w:rFonts w:ascii="Arial Narrow" w:hAnsi="Arial Narrow"/>
                <w:sz w:val="20"/>
                <w:szCs w:val="20"/>
                <w:lang w:val="en-US"/>
              </w:rPr>
              <w:t>Iodinated contrast</w:t>
            </w:r>
          </w:p>
        </w:tc>
        <w:tc>
          <w:tcPr>
            <w:tcW w:w="1113" w:type="pct"/>
          </w:tcPr>
          <w:p w14:paraId="6170C879" w14:textId="77777777" w:rsidR="000E482F" w:rsidRPr="00FA43C7" w:rsidRDefault="000E482F" w:rsidP="004C79C1">
            <w:pPr>
              <w:tabs>
                <w:tab w:val="decimal" w:pos="419"/>
                <w:tab w:val="decimal" w:pos="663"/>
              </w:tabs>
              <w:spacing w:after="120" w:line="240" w:lineRule="auto"/>
              <w:jc w:val="center"/>
              <w:rPr>
                <w:rFonts w:ascii="Arial Narrow" w:hAnsi="Arial Narrow"/>
                <w:sz w:val="20"/>
                <w:szCs w:val="20"/>
              </w:rPr>
            </w:pPr>
            <w:r w:rsidRPr="00FA43C7">
              <w:rPr>
                <w:rFonts w:ascii="Arial Narrow" w:hAnsi="Arial Narrow"/>
                <w:sz w:val="20"/>
                <w:szCs w:val="20"/>
                <w:lang w:val="en-US"/>
              </w:rPr>
              <w:t>0.04%</w:t>
            </w:r>
          </w:p>
        </w:tc>
        <w:tc>
          <w:tcPr>
            <w:tcW w:w="1035" w:type="pct"/>
          </w:tcPr>
          <w:p w14:paraId="3EC7B6AE"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$8,694</w:t>
            </w:r>
          </w:p>
        </w:tc>
        <w:tc>
          <w:tcPr>
            <w:tcW w:w="1404" w:type="pct"/>
          </w:tcPr>
          <w:p w14:paraId="0EB7FA32"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$3.48</w:t>
            </w:r>
          </w:p>
        </w:tc>
      </w:tr>
      <w:tr w:rsidR="000E482F" w:rsidRPr="00FA43C7" w14:paraId="114AC9D7" w14:textId="77777777" w:rsidTr="00723891">
        <w:tc>
          <w:tcPr>
            <w:tcW w:w="1448" w:type="pct"/>
            <w:tcBorders>
              <w:right w:val="nil"/>
            </w:tcBorders>
          </w:tcPr>
          <w:p w14:paraId="584DC1AE" w14:textId="47799E21"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lang w:val="en-US"/>
              </w:rPr>
              <w:t>Stress Echo</w:t>
            </w:r>
            <w:r w:rsidR="00D85B1F">
              <w:rPr>
                <w:rFonts w:ascii="Arial Narrow" w:hAnsi="Arial Narrow"/>
                <w:b/>
                <w:sz w:val="20"/>
                <w:szCs w:val="20"/>
                <w:lang w:val="en-US"/>
              </w:rPr>
              <w:t xml:space="preserve"> </w:t>
            </w:r>
            <w:r w:rsidRPr="00FA43C7">
              <w:rPr>
                <w:rFonts w:ascii="Arial Narrow" w:hAnsi="Arial Narrow"/>
                <w:b/>
                <w:sz w:val="20"/>
                <w:szCs w:val="20"/>
                <w:lang w:val="en-US"/>
              </w:rPr>
              <w:t>(total)</w:t>
            </w:r>
          </w:p>
        </w:tc>
        <w:tc>
          <w:tcPr>
            <w:tcW w:w="1113" w:type="pct"/>
            <w:tcBorders>
              <w:left w:val="nil"/>
              <w:right w:val="nil"/>
            </w:tcBorders>
          </w:tcPr>
          <w:p w14:paraId="3A0C1D3B" w14:textId="77777777" w:rsidR="000E482F" w:rsidRPr="00FA43C7" w:rsidRDefault="000E482F" w:rsidP="004C79C1">
            <w:pPr>
              <w:tabs>
                <w:tab w:val="decimal" w:pos="419"/>
                <w:tab w:val="decimal" w:pos="663"/>
              </w:tabs>
              <w:spacing w:after="120" w:line="240" w:lineRule="auto"/>
              <w:jc w:val="center"/>
              <w:rPr>
                <w:rFonts w:ascii="Arial Narrow" w:hAnsi="Arial Narrow"/>
                <w:b/>
                <w:sz w:val="20"/>
                <w:szCs w:val="20"/>
              </w:rPr>
            </w:pPr>
            <w:r w:rsidRPr="00FA43C7">
              <w:rPr>
                <w:rFonts w:ascii="Arial Narrow" w:hAnsi="Arial Narrow"/>
                <w:b/>
                <w:color w:val="FFFFFF"/>
                <w:sz w:val="20"/>
                <w:szCs w:val="20"/>
                <w:u w:color="FFFFFF"/>
                <w:lang w:val="en-US"/>
              </w:rPr>
              <w:t>-</w:t>
            </w:r>
          </w:p>
        </w:tc>
        <w:tc>
          <w:tcPr>
            <w:tcW w:w="1035" w:type="pct"/>
            <w:tcBorders>
              <w:left w:val="nil"/>
              <w:right w:val="nil"/>
            </w:tcBorders>
          </w:tcPr>
          <w:p w14:paraId="7DCA4549"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sz w:val="20"/>
                <w:szCs w:val="20"/>
              </w:rPr>
              <w:t>-</w:t>
            </w:r>
          </w:p>
        </w:tc>
        <w:tc>
          <w:tcPr>
            <w:tcW w:w="1404" w:type="pct"/>
            <w:tcBorders>
              <w:left w:val="nil"/>
            </w:tcBorders>
          </w:tcPr>
          <w:p w14:paraId="53D0EE17"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$0.98</w:t>
            </w:r>
          </w:p>
        </w:tc>
      </w:tr>
      <w:tr w:rsidR="000E482F" w:rsidRPr="00FA43C7" w14:paraId="3D2F87A4" w14:textId="77777777" w:rsidTr="00723891">
        <w:tc>
          <w:tcPr>
            <w:tcW w:w="1448" w:type="pct"/>
            <w:tcBorders>
              <w:bottom w:val="single" w:sz="4" w:space="0" w:color="auto"/>
            </w:tcBorders>
          </w:tcPr>
          <w:p w14:paraId="7D2DFCA4" w14:textId="77777777" w:rsidR="000E482F" w:rsidRPr="00FA43C7" w:rsidRDefault="000E482F" w:rsidP="004C79C1">
            <w:pPr>
              <w:spacing w:after="120" w:line="240" w:lineRule="auto"/>
              <w:ind w:left="567"/>
              <w:rPr>
                <w:rFonts w:ascii="Arial Narrow" w:hAnsi="Arial Narrow"/>
                <w:sz w:val="20"/>
                <w:szCs w:val="20"/>
              </w:rPr>
            </w:pPr>
            <w:r w:rsidRPr="00FA43C7">
              <w:rPr>
                <w:rFonts w:ascii="Arial Narrow" w:hAnsi="Arial Narrow"/>
                <w:sz w:val="20"/>
                <w:szCs w:val="20"/>
              </w:rPr>
              <w:t>Stressor</w:t>
            </w:r>
          </w:p>
        </w:tc>
        <w:tc>
          <w:tcPr>
            <w:tcW w:w="1113" w:type="pct"/>
            <w:tcBorders>
              <w:bottom w:val="single" w:sz="4" w:space="0" w:color="auto"/>
            </w:tcBorders>
          </w:tcPr>
          <w:p w14:paraId="684220FA" w14:textId="77777777" w:rsidR="000E482F" w:rsidRPr="00FA43C7" w:rsidRDefault="000E482F" w:rsidP="004C79C1">
            <w:pPr>
              <w:tabs>
                <w:tab w:val="decimal" w:pos="419"/>
                <w:tab w:val="decimal" w:pos="663"/>
              </w:tabs>
              <w:spacing w:after="120" w:line="240" w:lineRule="auto"/>
              <w:jc w:val="center"/>
              <w:rPr>
                <w:rFonts w:ascii="Arial Narrow" w:hAnsi="Arial Narrow"/>
                <w:sz w:val="20"/>
                <w:szCs w:val="20"/>
              </w:rPr>
            </w:pPr>
            <w:r w:rsidRPr="00FA43C7">
              <w:rPr>
                <w:rFonts w:ascii="Arial Narrow" w:hAnsi="Arial Narrow"/>
                <w:sz w:val="20"/>
                <w:szCs w:val="20"/>
                <w:lang w:val="en-US"/>
              </w:rPr>
              <w:t>0.009%</w:t>
            </w:r>
          </w:p>
        </w:tc>
        <w:tc>
          <w:tcPr>
            <w:tcW w:w="1035" w:type="pct"/>
            <w:tcBorders>
              <w:bottom w:val="single" w:sz="4" w:space="0" w:color="auto"/>
            </w:tcBorders>
          </w:tcPr>
          <w:p w14:paraId="4BF80B55"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$7,239</w:t>
            </w:r>
          </w:p>
        </w:tc>
        <w:tc>
          <w:tcPr>
            <w:tcW w:w="1404" w:type="pct"/>
            <w:tcBorders>
              <w:bottom w:val="single" w:sz="4" w:space="0" w:color="auto"/>
            </w:tcBorders>
          </w:tcPr>
          <w:p w14:paraId="05D7A708"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$0.65</w:t>
            </w:r>
          </w:p>
        </w:tc>
      </w:tr>
      <w:tr w:rsidR="000E482F" w:rsidRPr="00FA43C7" w14:paraId="5FD78AF8" w14:textId="77777777" w:rsidTr="00723891">
        <w:tc>
          <w:tcPr>
            <w:tcW w:w="1448" w:type="pct"/>
            <w:tcBorders>
              <w:bottom w:val="single" w:sz="4" w:space="0" w:color="auto"/>
            </w:tcBorders>
          </w:tcPr>
          <w:p w14:paraId="63737F15" w14:textId="77777777" w:rsidR="000E482F" w:rsidRPr="00FA43C7" w:rsidRDefault="000E482F" w:rsidP="004C79C1">
            <w:pPr>
              <w:spacing w:after="120" w:line="240" w:lineRule="auto"/>
              <w:ind w:left="567"/>
              <w:rPr>
                <w:rFonts w:ascii="Arial Narrow" w:hAnsi="Arial Narrow"/>
                <w:sz w:val="20"/>
                <w:szCs w:val="20"/>
              </w:rPr>
            </w:pPr>
            <w:r w:rsidRPr="00FA43C7">
              <w:rPr>
                <w:rFonts w:ascii="Arial Narrow" w:hAnsi="Arial Narrow"/>
                <w:sz w:val="20"/>
                <w:szCs w:val="20"/>
                <w:lang w:val="en-US"/>
              </w:rPr>
              <w:t>Microspheres</w:t>
            </w:r>
          </w:p>
        </w:tc>
        <w:tc>
          <w:tcPr>
            <w:tcW w:w="1113" w:type="pct"/>
            <w:tcBorders>
              <w:bottom w:val="single" w:sz="4" w:space="0" w:color="auto"/>
            </w:tcBorders>
          </w:tcPr>
          <w:p w14:paraId="60DF4708" w14:textId="77777777" w:rsidR="000E482F" w:rsidRPr="00FA43C7" w:rsidRDefault="000E482F" w:rsidP="004C79C1">
            <w:pPr>
              <w:tabs>
                <w:tab w:val="decimal" w:pos="419"/>
                <w:tab w:val="decimal" w:pos="663"/>
              </w:tabs>
              <w:spacing w:after="120" w:line="240" w:lineRule="auto"/>
              <w:jc w:val="center"/>
              <w:rPr>
                <w:rFonts w:ascii="Arial Narrow" w:hAnsi="Arial Narrow"/>
                <w:sz w:val="20"/>
                <w:szCs w:val="20"/>
              </w:rPr>
            </w:pPr>
            <w:r w:rsidRPr="00FA43C7">
              <w:rPr>
                <w:rFonts w:ascii="Arial Narrow" w:hAnsi="Arial Narrow"/>
                <w:sz w:val="20"/>
                <w:szCs w:val="20"/>
                <w:lang w:val="en-US"/>
              </w:rPr>
              <w:t>0.03%</w:t>
            </w:r>
          </w:p>
        </w:tc>
        <w:tc>
          <w:tcPr>
            <w:tcW w:w="1035" w:type="pct"/>
            <w:tcBorders>
              <w:bottom w:val="single" w:sz="4" w:space="0" w:color="auto"/>
            </w:tcBorders>
          </w:tcPr>
          <w:p w14:paraId="70B4E827"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$1,084</w:t>
            </w:r>
          </w:p>
        </w:tc>
        <w:tc>
          <w:tcPr>
            <w:tcW w:w="1404" w:type="pct"/>
            <w:tcBorders>
              <w:bottom w:val="single" w:sz="4" w:space="0" w:color="auto"/>
            </w:tcBorders>
          </w:tcPr>
          <w:p w14:paraId="673B0FBC" w14:textId="77777777" w:rsidR="000E482F" w:rsidRPr="00FA43C7" w:rsidRDefault="000E482F" w:rsidP="004C79C1">
            <w:pPr>
              <w:spacing w:after="120" w:line="240" w:lineRule="auto"/>
              <w:jc w:val="center"/>
              <w:rPr>
                <w:rFonts w:ascii="Arial Narrow" w:hAnsi="Arial Narrow"/>
                <w:sz w:val="20"/>
                <w:szCs w:val="20"/>
              </w:rPr>
            </w:pPr>
            <w:r w:rsidRPr="00FA43C7">
              <w:rPr>
                <w:rFonts w:ascii="Arial Narrow" w:hAnsi="Arial Narrow"/>
                <w:sz w:val="20"/>
                <w:szCs w:val="20"/>
              </w:rPr>
              <w:t>$0.33</w:t>
            </w:r>
          </w:p>
        </w:tc>
      </w:tr>
      <w:tr w:rsidR="000E482F" w:rsidRPr="00FA43C7" w14:paraId="4AEF6C08" w14:textId="77777777" w:rsidTr="00723891">
        <w:tc>
          <w:tcPr>
            <w:tcW w:w="1448" w:type="pct"/>
            <w:tcBorders>
              <w:right w:val="nil"/>
            </w:tcBorders>
          </w:tcPr>
          <w:p w14:paraId="6AFB269B" w14:textId="77777777" w:rsidR="000E482F" w:rsidRPr="00FA43C7" w:rsidRDefault="000E482F" w:rsidP="004C79C1">
            <w:pPr>
              <w:spacing w:after="120" w:line="240" w:lineRule="auto"/>
              <w:rPr>
                <w:rFonts w:ascii="Arial Narrow" w:hAnsi="Arial Narrow"/>
                <w:b/>
                <w:sz w:val="20"/>
                <w:szCs w:val="20"/>
                <w:lang w:val="en-US"/>
              </w:rPr>
            </w:pPr>
            <w:r w:rsidRPr="00FA43C7">
              <w:rPr>
                <w:rFonts w:ascii="Arial Narrow" w:hAnsi="Arial Narrow"/>
                <w:b/>
                <w:sz w:val="20"/>
                <w:szCs w:val="20"/>
                <w:lang w:val="en-US"/>
              </w:rPr>
              <w:t>SPECT (total)</w:t>
            </w:r>
          </w:p>
        </w:tc>
        <w:tc>
          <w:tcPr>
            <w:tcW w:w="1113" w:type="pct"/>
            <w:tcBorders>
              <w:left w:val="nil"/>
              <w:right w:val="nil"/>
            </w:tcBorders>
          </w:tcPr>
          <w:p w14:paraId="4004F255" w14:textId="77777777" w:rsidR="000E482F" w:rsidRPr="00FA43C7" w:rsidRDefault="000E482F" w:rsidP="004C79C1">
            <w:pPr>
              <w:tabs>
                <w:tab w:val="decimal" w:pos="419"/>
                <w:tab w:val="decimal" w:pos="663"/>
              </w:tabs>
              <w:spacing w:after="120" w:line="240" w:lineRule="auto"/>
              <w:jc w:val="center"/>
              <w:rPr>
                <w:rFonts w:ascii="Arial Narrow" w:hAnsi="Arial Narrow"/>
                <w:b/>
                <w:sz w:val="20"/>
                <w:szCs w:val="20"/>
                <w:lang w:val="en-US"/>
              </w:rPr>
            </w:pPr>
          </w:p>
        </w:tc>
        <w:tc>
          <w:tcPr>
            <w:tcW w:w="1035" w:type="pct"/>
            <w:tcBorders>
              <w:left w:val="nil"/>
              <w:right w:val="nil"/>
            </w:tcBorders>
          </w:tcPr>
          <w:p w14:paraId="18D1819F" w14:textId="77777777" w:rsidR="000E482F" w:rsidRPr="00FA43C7" w:rsidRDefault="000E482F" w:rsidP="004C79C1">
            <w:pPr>
              <w:spacing w:after="120" w:line="240" w:lineRule="auto"/>
              <w:jc w:val="center"/>
              <w:rPr>
                <w:rFonts w:ascii="Arial Narrow" w:hAnsi="Arial Narrow"/>
                <w:b/>
                <w:sz w:val="20"/>
                <w:szCs w:val="20"/>
                <w:lang w:val="en-US"/>
              </w:rPr>
            </w:pPr>
          </w:p>
        </w:tc>
        <w:tc>
          <w:tcPr>
            <w:tcW w:w="1404" w:type="pct"/>
            <w:tcBorders>
              <w:left w:val="nil"/>
            </w:tcBorders>
          </w:tcPr>
          <w:p w14:paraId="386662F7" w14:textId="77777777" w:rsidR="000E482F" w:rsidRPr="00FA43C7" w:rsidRDefault="000E482F" w:rsidP="004C79C1">
            <w:pPr>
              <w:spacing w:after="120" w:line="240" w:lineRule="auto"/>
              <w:jc w:val="center"/>
              <w:rPr>
                <w:rFonts w:ascii="Arial Narrow" w:eastAsia="Calibri" w:hAnsi="Arial Narrow" w:cs="Calibri"/>
                <w:b/>
                <w:color w:val="000000"/>
                <w:sz w:val="20"/>
                <w:szCs w:val="20"/>
                <w:u w:color="000000"/>
              </w:rPr>
            </w:pPr>
            <w:r w:rsidRPr="00FA43C7">
              <w:rPr>
                <w:rFonts w:ascii="Arial Narrow" w:hAnsi="Arial Narrow"/>
                <w:b/>
                <w:sz w:val="20"/>
                <w:szCs w:val="20"/>
              </w:rPr>
              <w:t>$0.01</w:t>
            </w:r>
          </w:p>
        </w:tc>
      </w:tr>
      <w:tr w:rsidR="000E482F" w:rsidRPr="00FA43C7" w14:paraId="62949F93" w14:textId="77777777" w:rsidTr="00723891">
        <w:tc>
          <w:tcPr>
            <w:tcW w:w="1448" w:type="pct"/>
            <w:tcBorders>
              <w:bottom w:val="single" w:sz="4" w:space="0" w:color="auto"/>
            </w:tcBorders>
          </w:tcPr>
          <w:p w14:paraId="5E1041A0" w14:textId="77777777" w:rsidR="000E482F" w:rsidRPr="00FA43C7" w:rsidRDefault="000E482F" w:rsidP="004C79C1">
            <w:pPr>
              <w:spacing w:after="120" w:line="240" w:lineRule="auto"/>
              <w:ind w:left="567"/>
              <w:rPr>
                <w:rFonts w:ascii="Arial Narrow" w:hAnsi="Arial Narrow"/>
                <w:sz w:val="20"/>
                <w:szCs w:val="20"/>
                <w:lang w:val="en-US"/>
              </w:rPr>
            </w:pPr>
            <w:r w:rsidRPr="00FA43C7">
              <w:rPr>
                <w:rFonts w:ascii="Arial Narrow" w:hAnsi="Arial Narrow"/>
                <w:sz w:val="20"/>
                <w:szCs w:val="20"/>
                <w:lang w:val="en-US"/>
              </w:rPr>
              <w:t>Radiotracers</w:t>
            </w:r>
          </w:p>
        </w:tc>
        <w:tc>
          <w:tcPr>
            <w:tcW w:w="1113" w:type="pct"/>
            <w:tcBorders>
              <w:bottom w:val="single" w:sz="4" w:space="0" w:color="auto"/>
            </w:tcBorders>
          </w:tcPr>
          <w:p w14:paraId="30B28559" w14:textId="77777777" w:rsidR="000E482F" w:rsidRPr="00FA43C7" w:rsidRDefault="000E482F" w:rsidP="004C79C1">
            <w:pPr>
              <w:tabs>
                <w:tab w:val="decimal" w:pos="419"/>
                <w:tab w:val="decimal" w:pos="663"/>
              </w:tabs>
              <w:spacing w:after="120" w:line="240" w:lineRule="auto"/>
              <w:jc w:val="center"/>
              <w:rPr>
                <w:rFonts w:ascii="Arial Narrow" w:hAnsi="Arial Narrow"/>
                <w:sz w:val="20"/>
                <w:szCs w:val="20"/>
                <w:lang w:val="en-US"/>
              </w:rPr>
            </w:pPr>
            <w:r w:rsidRPr="00FA43C7">
              <w:rPr>
                <w:rFonts w:ascii="Arial Narrow" w:hAnsi="Arial Narrow"/>
                <w:sz w:val="20"/>
                <w:szCs w:val="20"/>
                <w:lang w:val="en-US"/>
              </w:rPr>
              <w:t>0.0006%</w:t>
            </w:r>
          </w:p>
        </w:tc>
        <w:tc>
          <w:tcPr>
            <w:tcW w:w="1035" w:type="pct"/>
            <w:tcBorders>
              <w:bottom w:val="single" w:sz="4" w:space="0" w:color="auto"/>
            </w:tcBorders>
          </w:tcPr>
          <w:p w14:paraId="4BB2623A" w14:textId="77777777" w:rsidR="000E482F" w:rsidRPr="00FA43C7" w:rsidRDefault="000E482F" w:rsidP="004C79C1">
            <w:pPr>
              <w:spacing w:after="120" w:line="240" w:lineRule="auto"/>
              <w:jc w:val="center"/>
              <w:rPr>
                <w:rFonts w:ascii="Arial Narrow" w:hAnsi="Arial Narrow"/>
                <w:sz w:val="20"/>
                <w:szCs w:val="20"/>
                <w:lang w:val="en-US"/>
              </w:rPr>
            </w:pPr>
            <w:r w:rsidRPr="00FA43C7">
              <w:rPr>
                <w:rFonts w:ascii="Arial Narrow" w:hAnsi="Arial Narrow"/>
                <w:sz w:val="20"/>
                <w:szCs w:val="20"/>
              </w:rPr>
              <w:t>$1,084</w:t>
            </w:r>
          </w:p>
        </w:tc>
        <w:tc>
          <w:tcPr>
            <w:tcW w:w="1404" w:type="pct"/>
            <w:tcBorders>
              <w:bottom w:val="single" w:sz="4" w:space="0" w:color="auto"/>
            </w:tcBorders>
          </w:tcPr>
          <w:p w14:paraId="156F1C12" w14:textId="77777777" w:rsidR="000E482F" w:rsidRPr="00FA43C7" w:rsidRDefault="000E482F" w:rsidP="004C79C1">
            <w:pPr>
              <w:spacing w:after="120" w:line="240" w:lineRule="auto"/>
              <w:jc w:val="center"/>
              <w:rPr>
                <w:rFonts w:ascii="Arial Narrow" w:eastAsia="Calibri" w:hAnsi="Arial Narrow" w:cs="Calibri"/>
                <w:color w:val="000000"/>
                <w:sz w:val="20"/>
                <w:szCs w:val="20"/>
                <w:u w:color="000000"/>
              </w:rPr>
            </w:pPr>
            <w:r w:rsidRPr="00FA43C7">
              <w:rPr>
                <w:rFonts w:ascii="Arial Narrow" w:hAnsi="Arial Narrow"/>
                <w:sz w:val="20"/>
                <w:szCs w:val="20"/>
              </w:rPr>
              <w:t>$0.01</w:t>
            </w:r>
          </w:p>
        </w:tc>
      </w:tr>
    </w:tbl>
    <w:p w14:paraId="6C9ABA09" w14:textId="36567304" w:rsidR="00D85B1F" w:rsidRPr="00D85B1F" w:rsidRDefault="00D85B1F" w:rsidP="004C79C1">
      <w:pPr>
        <w:widowControl w:val="0"/>
        <w:spacing w:after="120" w:line="240" w:lineRule="auto"/>
        <w:jc w:val="both"/>
        <w:rPr>
          <w:rFonts w:ascii="Arial Narrow" w:hAnsi="Arial Narrow" w:cs="Arial"/>
          <w:snapToGrid w:val="0"/>
          <w:sz w:val="20"/>
          <w:szCs w:val="20"/>
          <w:lang w:eastAsia="en-US"/>
        </w:rPr>
      </w:pPr>
      <w:r w:rsidRPr="00D85B1F">
        <w:rPr>
          <w:rFonts w:ascii="Arial Narrow" w:hAnsi="Arial Narrow" w:cs="Arial"/>
          <w:snapToGrid w:val="0"/>
          <w:sz w:val="20"/>
          <w:szCs w:val="20"/>
          <w:lang w:eastAsia="en-US"/>
        </w:rPr>
        <w:t xml:space="preserve">Source: Data from </w:t>
      </w:r>
      <w:r w:rsidR="00EF4D02" w:rsidRPr="00EF4D02">
        <w:rPr>
          <w:rStyle w:val="TablenotesChar0"/>
        </w:rPr>
        <w:fldChar w:fldCharType="begin"/>
      </w:r>
      <w:r w:rsidR="00EF4D02" w:rsidRPr="00EF4D02">
        <w:rPr>
          <w:rStyle w:val="TablenotesChar0"/>
        </w:rPr>
        <w:instrText xml:space="preserve"> REF _Ref448757037 \h </w:instrText>
      </w:r>
      <w:r w:rsidR="00EF4D02">
        <w:rPr>
          <w:rStyle w:val="TablenotesChar0"/>
        </w:rPr>
        <w:instrText xml:space="preserve"> \* MERGEFORMAT </w:instrText>
      </w:r>
      <w:r w:rsidR="00EF4D02" w:rsidRPr="00EF4D02">
        <w:rPr>
          <w:rStyle w:val="TablenotesChar0"/>
        </w:rPr>
      </w:r>
      <w:r w:rsidR="00EF4D02" w:rsidRPr="00EF4D02">
        <w:rPr>
          <w:rStyle w:val="TablenotesChar0"/>
        </w:rPr>
        <w:fldChar w:fldCharType="separate"/>
      </w:r>
      <w:r w:rsidR="00EF4D02" w:rsidRPr="00EF4D02">
        <w:rPr>
          <w:rStyle w:val="TablenotesChar0"/>
        </w:rPr>
        <w:t>Table 99</w:t>
      </w:r>
      <w:r w:rsidR="00EF4D02" w:rsidRPr="00EF4D02">
        <w:rPr>
          <w:rStyle w:val="TablenotesChar0"/>
        </w:rPr>
        <w:fldChar w:fldCharType="end"/>
      </w:r>
      <w:r w:rsidRPr="00EF4D02">
        <w:rPr>
          <w:rFonts w:ascii="Arial Narrow" w:hAnsi="Arial Narrow"/>
          <w:sz w:val="20"/>
          <w:szCs w:val="20"/>
        </w:rPr>
        <w:t>, Appendix J.</w:t>
      </w:r>
    </w:p>
    <w:p w14:paraId="7ABABDB7" w14:textId="1FD7E8C7" w:rsidR="000E482F" w:rsidRPr="00FA43C7" w:rsidRDefault="000E482F" w:rsidP="004C79C1">
      <w:pPr>
        <w:widowControl w:val="0"/>
        <w:spacing w:after="120" w:line="240" w:lineRule="auto"/>
        <w:contextualSpacing/>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 xml:space="preserve">AE = adverse event; CMR = cardiac magnetic resonance </w:t>
      </w:r>
      <w:r w:rsidR="00937268">
        <w:rPr>
          <w:rFonts w:ascii="Arial Narrow" w:hAnsi="Arial Narrow" w:cs="Arial"/>
          <w:snapToGrid w:val="0"/>
          <w:sz w:val="20"/>
          <w:szCs w:val="20"/>
          <w:lang w:eastAsia="en-US"/>
        </w:rPr>
        <w:t>(</w:t>
      </w:r>
      <w:r w:rsidRPr="00FA43C7">
        <w:rPr>
          <w:rFonts w:ascii="Arial Narrow" w:hAnsi="Arial Narrow" w:cs="Arial"/>
          <w:snapToGrid w:val="0"/>
          <w:sz w:val="20"/>
          <w:szCs w:val="20"/>
          <w:lang w:eastAsia="en-US"/>
        </w:rPr>
        <w:t>imaging</w:t>
      </w:r>
      <w:r w:rsidR="00937268">
        <w:rPr>
          <w:rFonts w:ascii="Arial Narrow" w:hAnsi="Arial Narrow" w:cs="Arial"/>
          <w:snapToGrid w:val="0"/>
          <w:sz w:val="20"/>
          <w:szCs w:val="20"/>
          <w:lang w:eastAsia="en-US"/>
        </w:rPr>
        <w:t>)</w:t>
      </w:r>
      <w:r w:rsidRPr="00FA43C7">
        <w:rPr>
          <w:rFonts w:ascii="Arial Narrow" w:hAnsi="Arial Narrow" w:cs="Arial"/>
          <w:snapToGrid w:val="0"/>
          <w:sz w:val="20"/>
          <w:szCs w:val="20"/>
          <w:lang w:eastAsia="en-US"/>
        </w:rPr>
        <w:t>; CTCA = computed tomography coronary angiography; Echo = echocardiography; SPECT = single-photon emission computed tomography</w:t>
      </w:r>
    </w:p>
    <w:p w14:paraId="3367EA88" w14:textId="77777777" w:rsidR="000E482F" w:rsidRPr="00FA43C7" w:rsidRDefault="000E482F" w:rsidP="00161B88">
      <w:pPr>
        <w:pStyle w:val="Heading4"/>
      </w:pPr>
      <w:r w:rsidRPr="00FA43C7">
        <w:t>Costs associated with CMR testing</w:t>
      </w:r>
    </w:p>
    <w:p w14:paraId="349D257E" w14:textId="0ECC1BAA" w:rsidR="000E482F" w:rsidRPr="00FA43C7" w:rsidRDefault="000E482F" w:rsidP="004C79C1">
      <w:pPr>
        <w:spacing w:after="120" w:line="240" w:lineRule="auto"/>
        <w:jc w:val="both"/>
      </w:pPr>
      <w:r>
        <w:t>The c</w:t>
      </w:r>
      <w:r w:rsidRPr="00851EA9">
        <w:t>ost of CMR used in the model is $926.78</w:t>
      </w:r>
      <w:r>
        <w:t xml:space="preserve"> and includes costs associated with testing, associated AEs, </w:t>
      </w:r>
      <w:r w:rsidR="00687725">
        <w:t xml:space="preserve">Gd </w:t>
      </w:r>
      <w:r>
        <w:t>contrast agent and the respective patient contributions</w:t>
      </w:r>
      <w:r w:rsidRPr="00FA43C7">
        <w:t xml:space="preserve"> as </w:t>
      </w:r>
      <w:r>
        <w:t xml:space="preserve">presented in </w:t>
      </w:r>
      <w:r w:rsidR="00EF4D02">
        <w:fldChar w:fldCharType="begin"/>
      </w:r>
      <w:r w:rsidR="00EF4D02">
        <w:instrText xml:space="preserve"> REF _Ref449550600 \h </w:instrText>
      </w:r>
      <w:r w:rsidR="00EF4D02">
        <w:fldChar w:fldCharType="separate"/>
      </w:r>
      <w:r w:rsidR="00EF4D02" w:rsidRPr="00FA43C7">
        <w:t xml:space="preserve">Table </w:t>
      </w:r>
      <w:r w:rsidR="00EF4D02">
        <w:rPr>
          <w:noProof/>
        </w:rPr>
        <w:t>46</w:t>
      </w:r>
      <w:r w:rsidR="00EF4D02">
        <w:fldChar w:fldCharType="end"/>
      </w:r>
      <w:r>
        <w:t>.</w:t>
      </w:r>
      <w:r w:rsidRPr="00F72C8D">
        <w:t xml:space="preserve"> </w:t>
      </w:r>
    </w:p>
    <w:p w14:paraId="0BB4348F" w14:textId="77777777" w:rsidR="000E482F" w:rsidRPr="00FA43C7" w:rsidRDefault="000E482F" w:rsidP="00161B88">
      <w:pPr>
        <w:pStyle w:val="Heading4"/>
      </w:pPr>
      <w:r w:rsidRPr="00FA43C7">
        <w:t>Costs associated with SPECT testing</w:t>
      </w:r>
    </w:p>
    <w:p w14:paraId="1B510700" w14:textId="1CF00DEB" w:rsidR="000E482F" w:rsidRPr="00FA43C7" w:rsidRDefault="000E482F" w:rsidP="004C79C1">
      <w:pPr>
        <w:spacing w:after="120" w:line="240" w:lineRule="auto"/>
        <w:jc w:val="both"/>
      </w:pPr>
      <w:r w:rsidRPr="00FA43C7">
        <w:t>The costs related to SPECT include the cost of the scan (based on MBS data for item 61303 for the average benefits paid per service) and the average patient co-payment (based on MBS data for item 61303 for the average patient contribution paid per service) for 2014</w:t>
      </w:r>
      <w:r w:rsidR="00687725">
        <w:t>–</w:t>
      </w:r>
      <w:r w:rsidRPr="00FA43C7">
        <w:t>15. Radiotracers used in SPECT are associated with a very low rate of serious AEs and are not included in the cost</w:t>
      </w:r>
      <w:r w:rsidR="00687725">
        <w:t xml:space="preserve"> </w:t>
      </w:r>
      <w:r w:rsidRPr="00FA43C7">
        <w:t>analyses.</w:t>
      </w:r>
    </w:p>
    <w:p w14:paraId="0E86558F" w14:textId="1FF61BCE" w:rsidR="000E482F" w:rsidRPr="00FA43C7" w:rsidRDefault="000E482F" w:rsidP="004C79C1">
      <w:pPr>
        <w:spacing w:after="120" w:line="240" w:lineRule="auto"/>
        <w:jc w:val="both"/>
      </w:pPr>
      <w:r w:rsidRPr="00FA43C7">
        <w:t>The total cost of testing by SPECT is $538.32 per patient. A summary of the costs used in the cost</w:t>
      </w:r>
      <w:r w:rsidR="00687725">
        <w:t xml:space="preserve"> </w:t>
      </w:r>
      <w:r w:rsidRPr="00FA43C7">
        <w:t xml:space="preserve">analysis </w:t>
      </w:r>
      <w:r w:rsidR="006431D1">
        <w:t>is</w:t>
      </w:r>
      <w:r w:rsidR="006431D1" w:rsidRPr="00FA43C7">
        <w:t xml:space="preserve"> </w:t>
      </w:r>
      <w:r w:rsidRPr="00FA43C7">
        <w:t>presented in</w:t>
      </w:r>
      <w:r w:rsidR="004B45C5">
        <w:t xml:space="preserve"> </w:t>
      </w:r>
      <w:r w:rsidR="00EF4D02">
        <w:fldChar w:fldCharType="begin"/>
      </w:r>
      <w:r w:rsidR="00EF4D02">
        <w:instrText xml:space="preserve"> REF _Ref449550756 \h </w:instrText>
      </w:r>
      <w:r w:rsidR="00EF4D02">
        <w:fldChar w:fldCharType="separate"/>
      </w:r>
      <w:r w:rsidR="00EF4D02" w:rsidRPr="00FA43C7">
        <w:t xml:space="preserve">Table </w:t>
      </w:r>
      <w:r w:rsidR="00EF4D02">
        <w:rPr>
          <w:noProof/>
        </w:rPr>
        <w:t>51</w:t>
      </w:r>
      <w:r w:rsidR="00EF4D02">
        <w:fldChar w:fldCharType="end"/>
      </w:r>
      <w:r w:rsidR="00EF47D1">
        <w:t>.</w:t>
      </w:r>
    </w:p>
    <w:p w14:paraId="528CF829" w14:textId="243D95D9" w:rsidR="000E482F" w:rsidRPr="00FA43C7" w:rsidRDefault="000E482F" w:rsidP="004C79C1">
      <w:pPr>
        <w:pStyle w:val="Caption"/>
      </w:pPr>
      <w:bookmarkStart w:id="632" w:name="_Ref449550756"/>
      <w:bookmarkStart w:id="633" w:name="_Toc449555011"/>
      <w:bookmarkStart w:id="634" w:name="_Toc324410222"/>
      <w:bookmarkStart w:id="635" w:name="_Toc451435378"/>
      <w:r w:rsidRPr="00FA43C7">
        <w:t xml:space="preserve">Table </w:t>
      </w:r>
      <w:fldSimple w:instr=" SEQ Table \* ARABIC ">
        <w:r w:rsidR="00050936">
          <w:rPr>
            <w:noProof/>
          </w:rPr>
          <w:t>51</w:t>
        </w:r>
      </w:fldSimple>
      <w:bookmarkEnd w:id="632"/>
      <w:r w:rsidRPr="00FA43C7">
        <w:tab/>
        <w:t>Costs associated with SPECT in the proposed population with intermediate risk of CAD</w:t>
      </w:r>
      <w:bookmarkEnd w:id="633"/>
      <w:bookmarkEnd w:id="634"/>
      <w:bookmarkEnd w:id="635"/>
    </w:p>
    <w:tbl>
      <w:tblPr>
        <w:tblStyle w:val="TableGrid"/>
        <w:tblW w:w="0" w:type="auto"/>
        <w:tblLook w:val="04A0" w:firstRow="1" w:lastRow="0" w:firstColumn="1" w:lastColumn="0" w:noHBand="0" w:noVBand="1"/>
        <w:tblDescription w:val="Costs associated with SPECT in the proposed population with intermediate risk of CAD"/>
      </w:tblPr>
      <w:tblGrid>
        <w:gridCol w:w="1630"/>
        <w:gridCol w:w="1313"/>
        <w:gridCol w:w="4548"/>
      </w:tblGrid>
      <w:tr w:rsidR="000E482F" w:rsidRPr="00FA43C7" w14:paraId="7179E322" w14:textId="77777777" w:rsidTr="00EF4D02">
        <w:trPr>
          <w:tblHeader/>
        </w:trPr>
        <w:tc>
          <w:tcPr>
            <w:tcW w:w="0" w:type="auto"/>
            <w:tcBorders>
              <w:bottom w:val="single" w:sz="4" w:space="0" w:color="auto"/>
            </w:tcBorders>
          </w:tcPr>
          <w:p w14:paraId="051912FE"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Parameter</w:t>
            </w:r>
          </w:p>
        </w:tc>
        <w:tc>
          <w:tcPr>
            <w:tcW w:w="1313" w:type="dxa"/>
            <w:tcBorders>
              <w:bottom w:val="single" w:sz="4" w:space="0" w:color="auto"/>
            </w:tcBorders>
          </w:tcPr>
          <w:p w14:paraId="2DFA4270" w14:textId="77777777" w:rsidR="000E482F" w:rsidRPr="00FA43C7" w:rsidRDefault="000E482F" w:rsidP="004C79C1">
            <w:pPr>
              <w:keepNext/>
              <w:spacing w:after="120" w:line="240" w:lineRule="auto"/>
              <w:ind w:left="993" w:hanging="993"/>
              <w:jc w:val="center"/>
              <w:rPr>
                <w:rFonts w:ascii="Arial Narrow" w:hAnsi="Arial Narrow"/>
                <w:b/>
                <w:sz w:val="20"/>
                <w:szCs w:val="20"/>
              </w:rPr>
            </w:pPr>
            <w:r w:rsidRPr="00FA43C7">
              <w:rPr>
                <w:rFonts w:ascii="Arial Narrow" w:hAnsi="Arial Narrow"/>
                <w:b/>
                <w:sz w:val="20"/>
                <w:szCs w:val="20"/>
              </w:rPr>
              <w:t>Estimate</w:t>
            </w:r>
          </w:p>
        </w:tc>
        <w:tc>
          <w:tcPr>
            <w:tcW w:w="4548" w:type="dxa"/>
            <w:tcBorders>
              <w:bottom w:val="single" w:sz="4" w:space="0" w:color="auto"/>
            </w:tcBorders>
          </w:tcPr>
          <w:p w14:paraId="74D383F2"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Source</w:t>
            </w:r>
          </w:p>
        </w:tc>
      </w:tr>
      <w:tr w:rsidR="000E482F" w:rsidRPr="00FA43C7" w14:paraId="48D532D7" w14:textId="77777777" w:rsidTr="00EF4D02">
        <w:tc>
          <w:tcPr>
            <w:tcW w:w="0" w:type="auto"/>
          </w:tcPr>
          <w:p w14:paraId="6C0B71E1" w14:textId="77777777" w:rsidR="000E482F" w:rsidRPr="00FA43C7" w:rsidRDefault="000E482F" w:rsidP="004C79C1">
            <w:pPr>
              <w:spacing w:after="120" w:line="240" w:lineRule="auto"/>
              <w:rPr>
                <w:rFonts w:ascii="Arial Narrow" w:hAnsi="Arial Narrow"/>
                <w:sz w:val="20"/>
                <w:szCs w:val="20"/>
              </w:rPr>
            </w:pPr>
            <w:r>
              <w:rPr>
                <w:rFonts w:ascii="Arial Narrow" w:hAnsi="Arial Narrow"/>
                <w:sz w:val="20"/>
                <w:szCs w:val="20"/>
              </w:rPr>
              <w:t>Cost of test</w:t>
            </w:r>
          </w:p>
        </w:tc>
        <w:tc>
          <w:tcPr>
            <w:tcW w:w="1313" w:type="dxa"/>
          </w:tcPr>
          <w:p w14:paraId="0E1CBF8D"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$525.53</w:t>
            </w:r>
          </w:p>
        </w:tc>
        <w:tc>
          <w:tcPr>
            <w:tcW w:w="4548" w:type="dxa"/>
            <w:vAlign w:val="bottom"/>
          </w:tcPr>
          <w:p w14:paraId="7FED2C9B" w14:textId="59BE2659"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MBS benefit for outpatient service for item 61303, 2014</w:t>
            </w:r>
            <w:r w:rsidR="007044A3">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7B03EBF8" w14:textId="77777777" w:rsidTr="00EF4D02">
        <w:tc>
          <w:tcPr>
            <w:tcW w:w="0" w:type="auto"/>
            <w:tcBorders>
              <w:bottom w:val="single" w:sz="4" w:space="0" w:color="auto"/>
            </w:tcBorders>
          </w:tcPr>
          <w:p w14:paraId="360C37C0" w14:textId="77777777"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 xml:space="preserve">Patient co-payment </w:t>
            </w:r>
          </w:p>
        </w:tc>
        <w:tc>
          <w:tcPr>
            <w:tcW w:w="1313" w:type="dxa"/>
            <w:tcBorders>
              <w:bottom w:val="single" w:sz="4" w:space="0" w:color="auto"/>
            </w:tcBorders>
          </w:tcPr>
          <w:p w14:paraId="0DC38BD5"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$12.78</w:t>
            </w:r>
          </w:p>
        </w:tc>
        <w:tc>
          <w:tcPr>
            <w:tcW w:w="4548" w:type="dxa"/>
            <w:tcBorders>
              <w:bottom w:val="single" w:sz="4" w:space="0" w:color="auto"/>
            </w:tcBorders>
            <w:vAlign w:val="bottom"/>
          </w:tcPr>
          <w:p w14:paraId="21D81E02" w14:textId="78106F65"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Average patient contribution per SPECT service, 2014</w:t>
            </w:r>
            <w:r w:rsidR="007044A3">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4D495C74" w14:textId="77777777" w:rsidTr="00EF4D02">
        <w:tc>
          <w:tcPr>
            <w:tcW w:w="0" w:type="auto"/>
            <w:tcBorders>
              <w:top w:val="double" w:sz="4" w:space="0" w:color="auto"/>
            </w:tcBorders>
          </w:tcPr>
          <w:p w14:paraId="6080809A"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rPr>
              <w:lastRenderedPageBreak/>
              <w:t>Total</w:t>
            </w:r>
          </w:p>
        </w:tc>
        <w:tc>
          <w:tcPr>
            <w:tcW w:w="1313" w:type="dxa"/>
            <w:tcBorders>
              <w:top w:val="double" w:sz="4" w:space="0" w:color="auto"/>
            </w:tcBorders>
          </w:tcPr>
          <w:p w14:paraId="3CD2895C" w14:textId="77777777" w:rsidR="000E482F" w:rsidRPr="00FA43C7" w:rsidRDefault="000E482F" w:rsidP="004C79C1">
            <w:pPr>
              <w:tabs>
                <w:tab w:val="decimal" w:pos="570"/>
              </w:tabs>
              <w:spacing w:after="120" w:line="240" w:lineRule="auto"/>
              <w:jc w:val="center"/>
              <w:rPr>
                <w:rFonts w:ascii="Arial Narrow" w:hAnsi="Arial Narrow"/>
                <w:b/>
                <w:bCs/>
                <w:color w:val="000000"/>
                <w:sz w:val="20"/>
                <w:szCs w:val="20"/>
              </w:rPr>
            </w:pPr>
            <w:r w:rsidRPr="00FA43C7">
              <w:rPr>
                <w:rFonts w:ascii="Arial Narrow" w:hAnsi="Arial Narrow"/>
                <w:b/>
                <w:bCs/>
                <w:color w:val="000000"/>
                <w:sz w:val="20"/>
                <w:szCs w:val="20"/>
              </w:rPr>
              <w:t>$538.32</w:t>
            </w:r>
          </w:p>
        </w:tc>
        <w:tc>
          <w:tcPr>
            <w:tcW w:w="4548" w:type="dxa"/>
            <w:tcBorders>
              <w:top w:val="double" w:sz="4" w:space="0" w:color="auto"/>
            </w:tcBorders>
          </w:tcPr>
          <w:p w14:paraId="73EC5A19" w14:textId="77777777" w:rsidR="000E482F" w:rsidRPr="00FA43C7" w:rsidRDefault="000E482F" w:rsidP="004C79C1">
            <w:pPr>
              <w:spacing w:after="120" w:line="240" w:lineRule="auto"/>
              <w:rPr>
                <w:rFonts w:ascii="Arial Narrow" w:hAnsi="Arial Narrow"/>
                <w:b/>
                <w:sz w:val="20"/>
                <w:szCs w:val="20"/>
              </w:rPr>
            </w:pPr>
          </w:p>
        </w:tc>
      </w:tr>
    </w:tbl>
    <w:p w14:paraId="126CB339" w14:textId="5D178223" w:rsidR="000E482F" w:rsidRPr="00FA43C7" w:rsidRDefault="000E482F"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CAD = coronary artery disease; MBS = Medicare Benefits Schedule; SPECT = single-photon emission computed tomography</w:t>
      </w:r>
    </w:p>
    <w:p w14:paraId="6F244674" w14:textId="77777777" w:rsidR="000E482F" w:rsidRPr="00FA43C7" w:rsidRDefault="000E482F" w:rsidP="00161B88">
      <w:pPr>
        <w:pStyle w:val="Heading4"/>
      </w:pPr>
      <w:r w:rsidRPr="00FA43C7">
        <w:t>Costs associated with CTCA testing</w:t>
      </w:r>
    </w:p>
    <w:p w14:paraId="5DAFCB8C" w14:textId="2C7EFEC8" w:rsidR="000E482F" w:rsidRPr="00FA43C7" w:rsidRDefault="000E482F" w:rsidP="004C79C1">
      <w:pPr>
        <w:spacing w:after="120" w:line="240" w:lineRule="auto"/>
        <w:jc w:val="both"/>
      </w:pPr>
      <w:r w:rsidRPr="00FA43C7">
        <w:t xml:space="preserve">The costs related to </w:t>
      </w:r>
      <w:r w:rsidR="001872FF">
        <w:t>CTCA</w:t>
      </w:r>
      <w:r w:rsidR="001872FF" w:rsidRPr="00FA43C7">
        <w:t xml:space="preserve"> </w:t>
      </w:r>
      <w:r w:rsidRPr="00FA43C7">
        <w:t>include the cost of the scan (based on MBS data for item 57360 for the average benefits paid per service) and the average patient co-payment (based on MBS data for item 57360 for the average patient contribution paid per service) for 2014</w:t>
      </w:r>
      <w:r w:rsidR="0035596B">
        <w:t>–</w:t>
      </w:r>
      <w:r w:rsidRPr="00FA43C7">
        <w:t>15</w:t>
      </w:r>
      <w:r w:rsidR="00D738E9">
        <w:t>,</w:t>
      </w:r>
      <w:r w:rsidRPr="00FA43C7">
        <w:t xml:space="preserve"> and the costs related to associated AEs. Iodinated contrast agents used in CTCA can cause allergic reactions in 0.04% </w:t>
      </w:r>
      <w:r w:rsidR="00D738E9">
        <w:t xml:space="preserve">of </w:t>
      </w:r>
      <w:r w:rsidRPr="00FA43C7">
        <w:t>cases (</w:t>
      </w:r>
      <w:r w:rsidR="00EF4D02">
        <w:fldChar w:fldCharType="begin"/>
      </w:r>
      <w:r w:rsidR="00EF4D02">
        <w:instrText xml:space="preserve"> REF _Ref448757037 \h </w:instrText>
      </w:r>
      <w:r w:rsidR="00EF4D02">
        <w:fldChar w:fldCharType="separate"/>
      </w:r>
      <w:r w:rsidR="00EF4D02" w:rsidRPr="0032214A">
        <w:t xml:space="preserve">Table </w:t>
      </w:r>
      <w:r w:rsidR="00EF4D02">
        <w:rPr>
          <w:noProof/>
        </w:rPr>
        <w:t>99</w:t>
      </w:r>
      <w:r w:rsidR="00EF4D02">
        <w:fldChar w:fldCharType="end"/>
      </w:r>
      <w:r w:rsidRPr="00BD2022">
        <w:t>, Appendix J</w:t>
      </w:r>
      <w:r w:rsidRPr="00FA43C7">
        <w:t>).</w:t>
      </w:r>
    </w:p>
    <w:p w14:paraId="3C2099FE" w14:textId="07FBB2FA" w:rsidR="000E482F" w:rsidRPr="00FA43C7" w:rsidRDefault="000E482F" w:rsidP="004C79C1">
      <w:pPr>
        <w:spacing w:after="120" w:line="240" w:lineRule="auto"/>
        <w:jc w:val="both"/>
      </w:pPr>
      <w:r w:rsidRPr="00FA43C7">
        <w:t xml:space="preserve">The cost of treating the complications related to iodinated contrast has been estimated by multiplying the price weight for AR-DRG E64A (1.78) </w:t>
      </w:r>
      <w:r>
        <w:fldChar w:fldCharType="begin"/>
      </w:r>
      <w: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w:t>
      </w:r>
      <w:r>
        <w:fldChar w:fldCharType="end"/>
      </w:r>
      <w:r>
        <w:t xml:space="preserve"> </w:t>
      </w:r>
      <w:r w:rsidRPr="00FA43C7">
        <w:t>by the N</w:t>
      </w:r>
      <w:r w:rsidR="00D738E9">
        <w:t>EP</w:t>
      </w:r>
      <w:r w:rsidRPr="00FA43C7">
        <w:t xml:space="preserve"> for 2016</w:t>
      </w:r>
      <w:r w:rsidR="00D738E9">
        <w:t>–</w:t>
      </w:r>
      <w:r w:rsidRPr="00FA43C7">
        <w:t>17 ($4,883)</w:t>
      </w:r>
      <w:r>
        <w:t xml:space="preserve"> </w:t>
      </w:r>
      <w:r>
        <w:fldChar w:fldCharType="begin"/>
      </w:r>
      <w:r>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fldChar w:fldCharType="separate"/>
      </w:r>
      <w:r>
        <w:rPr>
          <w:noProof/>
        </w:rPr>
        <w:t>(</w:t>
      </w:r>
      <w:hyperlink w:anchor="_ENREF_61" w:tooltip="Independent Hospital Pricing Authority (IHPA), 2016 #82" w:history="1">
        <w:r>
          <w:rPr>
            <w:noProof/>
          </w:rPr>
          <w:t>Independent Hospital Pricing Authority (IHPA) 2016</w:t>
        </w:r>
      </w:hyperlink>
      <w:r>
        <w:rPr>
          <w:noProof/>
        </w:rPr>
        <w:t>)</w:t>
      </w:r>
      <w:r>
        <w:fldChar w:fldCharType="end"/>
      </w:r>
      <w:r w:rsidRPr="00FA43C7">
        <w:t>. Therefore</w:t>
      </w:r>
      <w:r w:rsidR="00D738E9">
        <w:t>,</w:t>
      </w:r>
      <w:r w:rsidRPr="00FA43C7">
        <w:t xml:space="preserve"> the cost of treating each AE due to a reaction to the iodinated contrast agent is $8,694, which equates to $3.48 per CTCA.</w:t>
      </w:r>
    </w:p>
    <w:p w14:paraId="49C080D6" w14:textId="5CCCD50F" w:rsidR="000E482F" w:rsidRPr="00FA43C7" w:rsidRDefault="000E482F" w:rsidP="004C79C1">
      <w:pPr>
        <w:spacing w:after="120" w:line="240" w:lineRule="auto"/>
        <w:jc w:val="both"/>
      </w:pPr>
      <w:r w:rsidRPr="00FA43C7">
        <w:t xml:space="preserve">The total cost of testing by CTCA is </w:t>
      </w:r>
      <w:r w:rsidR="007348D7">
        <w:t xml:space="preserve">therefore </w:t>
      </w:r>
      <w:r w:rsidRPr="00FA43C7">
        <w:t>$695.91 per patient. A summary of the costs used in the cost</w:t>
      </w:r>
      <w:r w:rsidR="008F240C">
        <w:t xml:space="preserve"> </w:t>
      </w:r>
      <w:r w:rsidRPr="00FA43C7">
        <w:t xml:space="preserve">analysis </w:t>
      </w:r>
      <w:r w:rsidR="0018540F">
        <w:t>is</w:t>
      </w:r>
      <w:r w:rsidR="0018540F" w:rsidRPr="00FA43C7">
        <w:t xml:space="preserve"> </w:t>
      </w:r>
      <w:r w:rsidRPr="00FA43C7">
        <w:t xml:space="preserve">presented in </w:t>
      </w:r>
      <w:r w:rsidR="00EF4D02">
        <w:fldChar w:fldCharType="begin"/>
      </w:r>
      <w:r w:rsidR="00EF4D02">
        <w:instrText xml:space="preserve"> REF _Ref449550978 \h </w:instrText>
      </w:r>
      <w:r w:rsidR="00EF4D02">
        <w:fldChar w:fldCharType="separate"/>
      </w:r>
      <w:r w:rsidR="00EF4D02" w:rsidRPr="000E66CD">
        <w:t xml:space="preserve">Table </w:t>
      </w:r>
      <w:r w:rsidR="00EF4D02">
        <w:rPr>
          <w:noProof/>
        </w:rPr>
        <w:t>52</w:t>
      </w:r>
      <w:r w:rsidR="00EF4D02">
        <w:fldChar w:fldCharType="end"/>
      </w:r>
      <w:r w:rsidRPr="00FA43C7">
        <w:t>.</w:t>
      </w:r>
    </w:p>
    <w:p w14:paraId="791B6A3B" w14:textId="7E51BC64" w:rsidR="000E482F" w:rsidRPr="000E66CD" w:rsidRDefault="000E482F" w:rsidP="004C79C1">
      <w:pPr>
        <w:pStyle w:val="Caption"/>
      </w:pPr>
      <w:bookmarkStart w:id="636" w:name="_Ref449550978"/>
      <w:bookmarkStart w:id="637" w:name="_Toc449555012"/>
      <w:bookmarkStart w:id="638" w:name="_Toc324410223"/>
      <w:bookmarkStart w:id="639" w:name="_Toc451435379"/>
      <w:r w:rsidRPr="000E66CD">
        <w:t xml:space="preserve">Table </w:t>
      </w:r>
      <w:fldSimple w:instr=" SEQ Table \* ARABIC ">
        <w:r w:rsidR="00EF4D02">
          <w:rPr>
            <w:noProof/>
          </w:rPr>
          <w:t>52</w:t>
        </w:r>
      </w:fldSimple>
      <w:bookmarkEnd w:id="636"/>
      <w:r w:rsidRPr="000E66CD">
        <w:tab/>
        <w:t>Costs associated with CTCA in the proposed population with intermediate risk of CAD</w:t>
      </w:r>
      <w:bookmarkEnd w:id="637"/>
      <w:bookmarkEnd w:id="638"/>
      <w:bookmarkEnd w:id="639"/>
    </w:p>
    <w:tbl>
      <w:tblPr>
        <w:tblStyle w:val="TableGrid"/>
        <w:tblW w:w="9010" w:type="dxa"/>
        <w:tblLook w:val="04A0" w:firstRow="1" w:lastRow="0" w:firstColumn="1" w:lastColumn="0" w:noHBand="0" w:noVBand="1"/>
        <w:tblDescription w:val="Costs associated with CTCA in the proposed population with intermediate risk of CAD"/>
      </w:tblPr>
      <w:tblGrid>
        <w:gridCol w:w="3085"/>
        <w:gridCol w:w="1134"/>
        <w:gridCol w:w="4791"/>
      </w:tblGrid>
      <w:tr w:rsidR="000E482F" w:rsidRPr="00FA43C7" w14:paraId="45D0F1B3" w14:textId="77777777" w:rsidTr="00EF4D02">
        <w:trPr>
          <w:tblHeader/>
        </w:trPr>
        <w:tc>
          <w:tcPr>
            <w:tcW w:w="3085" w:type="dxa"/>
            <w:tcBorders>
              <w:bottom w:val="single" w:sz="4" w:space="0" w:color="auto"/>
            </w:tcBorders>
          </w:tcPr>
          <w:p w14:paraId="2BC74721"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Parameter</w:t>
            </w:r>
          </w:p>
        </w:tc>
        <w:tc>
          <w:tcPr>
            <w:tcW w:w="1134" w:type="dxa"/>
            <w:tcBorders>
              <w:bottom w:val="single" w:sz="4" w:space="0" w:color="auto"/>
            </w:tcBorders>
          </w:tcPr>
          <w:p w14:paraId="170093D5" w14:textId="77777777" w:rsidR="000E482F" w:rsidRPr="00FA43C7" w:rsidRDefault="000E482F" w:rsidP="004C79C1">
            <w:pPr>
              <w:keepNext/>
              <w:spacing w:after="120" w:line="240" w:lineRule="auto"/>
              <w:ind w:left="993" w:hanging="993"/>
              <w:jc w:val="center"/>
              <w:rPr>
                <w:rFonts w:ascii="Arial Narrow" w:hAnsi="Arial Narrow"/>
                <w:b/>
                <w:sz w:val="20"/>
                <w:szCs w:val="20"/>
              </w:rPr>
            </w:pPr>
            <w:r w:rsidRPr="00FA43C7">
              <w:rPr>
                <w:rFonts w:ascii="Arial Narrow" w:hAnsi="Arial Narrow"/>
                <w:b/>
                <w:sz w:val="20"/>
                <w:szCs w:val="20"/>
              </w:rPr>
              <w:t>Estimate</w:t>
            </w:r>
          </w:p>
        </w:tc>
        <w:tc>
          <w:tcPr>
            <w:tcW w:w="4791" w:type="dxa"/>
            <w:tcBorders>
              <w:bottom w:val="single" w:sz="4" w:space="0" w:color="auto"/>
            </w:tcBorders>
          </w:tcPr>
          <w:p w14:paraId="0C3419DD"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Source</w:t>
            </w:r>
          </w:p>
        </w:tc>
      </w:tr>
      <w:tr w:rsidR="000E482F" w:rsidRPr="00FA43C7" w14:paraId="7656DCA3" w14:textId="77777777" w:rsidTr="00EF4D02">
        <w:tc>
          <w:tcPr>
            <w:tcW w:w="3085" w:type="dxa"/>
          </w:tcPr>
          <w:p w14:paraId="7BD545A0"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CTCA</w:t>
            </w:r>
          </w:p>
        </w:tc>
        <w:tc>
          <w:tcPr>
            <w:tcW w:w="1134" w:type="dxa"/>
          </w:tcPr>
          <w:p w14:paraId="3FDD1704"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$649.81</w:t>
            </w:r>
          </w:p>
        </w:tc>
        <w:tc>
          <w:tcPr>
            <w:tcW w:w="4791" w:type="dxa"/>
            <w:vAlign w:val="bottom"/>
          </w:tcPr>
          <w:p w14:paraId="1FC8D317" w14:textId="323FBFC5"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MBS benefit for outpatient service for item 57360, 2014</w:t>
            </w:r>
            <w:r w:rsidR="003052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0B960837" w14:textId="77777777" w:rsidTr="00EF4D02">
        <w:tc>
          <w:tcPr>
            <w:tcW w:w="3085" w:type="dxa"/>
            <w:tcBorders>
              <w:bottom w:val="single" w:sz="4" w:space="0" w:color="auto"/>
            </w:tcBorders>
            <w:vAlign w:val="bottom"/>
          </w:tcPr>
          <w:p w14:paraId="7D5B5DC2" w14:textId="77777777"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 xml:space="preserve">Patient co-payment </w:t>
            </w:r>
          </w:p>
        </w:tc>
        <w:tc>
          <w:tcPr>
            <w:tcW w:w="1134" w:type="dxa"/>
            <w:tcBorders>
              <w:bottom w:val="single" w:sz="4" w:space="0" w:color="auto"/>
            </w:tcBorders>
          </w:tcPr>
          <w:p w14:paraId="3528E81E"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$42.62</w:t>
            </w:r>
          </w:p>
        </w:tc>
        <w:tc>
          <w:tcPr>
            <w:tcW w:w="4791" w:type="dxa"/>
            <w:tcBorders>
              <w:bottom w:val="single" w:sz="4" w:space="0" w:color="auto"/>
            </w:tcBorders>
            <w:vAlign w:val="bottom"/>
          </w:tcPr>
          <w:p w14:paraId="7D5D9E7C" w14:textId="532EA025"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Average patient contribution per CTCA service, 2014</w:t>
            </w:r>
            <w:r w:rsidR="003052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708EB8C8" w14:textId="77777777" w:rsidTr="00EF4D02">
        <w:tc>
          <w:tcPr>
            <w:tcW w:w="3085" w:type="dxa"/>
            <w:tcBorders>
              <w:bottom w:val="double" w:sz="4" w:space="0" w:color="auto"/>
            </w:tcBorders>
          </w:tcPr>
          <w:p w14:paraId="15C5E18D" w14:textId="232C630B" w:rsidR="000E482F" w:rsidRPr="00FA43C7" w:rsidRDefault="003052F7" w:rsidP="004C79C1">
            <w:pPr>
              <w:spacing w:after="120" w:line="240" w:lineRule="auto"/>
              <w:rPr>
                <w:rFonts w:ascii="Arial Narrow" w:hAnsi="Arial Narrow"/>
                <w:sz w:val="20"/>
                <w:szCs w:val="20"/>
              </w:rPr>
            </w:pPr>
            <w:r>
              <w:rPr>
                <w:rFonts w:ascii="Arial Narrow" w:hAnsi="Arial Narrow"/>
                <w:sz w:val="20"/>
                <w:szCs w:val="20"/>
              </w:rPr>
              <w:t>Costs related to t</w:t>
            </w:r>
            <w:r w:rsidR="000E482F" w:rsidRPr="00FA43C7">
              <w:rPr>
                <w:rFonts w:ascii="Arial Narrow" w:hAnsi="Arial Narrow"/>
                <w:sz w:val="20"/>
                <w:szCs w:val="20"/>
              </w:rPr>
              <w:t xml:space="preserve">reatment of AEs </w:t>
            </w:r>
          </w:p>
        </w:tc>
        <w:tc>
          <w:tcPr>
            <w:tcW w:w="1134" w:type="dxa"/>
            <w:tcBorders>
              <w:bottom w:val="double" w:sz="4" w:space="0" w:color="auto"/>
            </w:tcBorders>
          </w:tcPr>
          <w:p w14:paraId="636AA135"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$3.48</w:t>
            </w:r>
          </w:p>
        </w:tc>
        <w:tc>
          <w:tcPr>
            <w:tcW w:w="4791" w:type="dxa"/>
            <w:tcBorders>
              <w:bottom w:val="double" w:sz="4" w:space="0" w:color="auto"/>
            </w:tcBorders>
          </w:tcPr>
          <w:p w14:paraId="0CB756EF" w14:textId="78E0508B"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 xml:space="preserve">Cost of AE per CTCA </w:t>
            </w:r>
          </w:p>
        </w:tc>
      </w:tr>
      <w:tr w:rsidR="000E482F" w:rsidRPr="00FA43C7" w14:paraId="41A97C97" w14:textId="77777777" w:rsidTr="00EF4D02">
        <w:tc>
          <w:tcPr>
            <w:tcW w:w="3085" w:type="dxa"/>
            <w:tcBorders>
              <w:top w:val="double" w:sz="4" w:space="0" w:color="auto"/>
            </w:tcBorders>
          </w:tcPr>
          <w:p w14:paraId="2E53C612"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rPr>
              <w:t>Total</w:t>
            </w:r>
          </w:p>
        </w:tc>
        <w:tc>
          <w:tcPr>
            <w:tcW w:w="1134" w:type="dxa"/>
            <w:tcBorders>
              <w:top w:val="double" w:sz="4" w:space="0" w:color="auto"/>
            </w:tcBorders>
          </w:tcPr>
          <w:p w14:paraId="5EE26C4A" w14:textId="77777777" w:rsidR="000E482F" w:rsidRPr="00FA43C7" w:rsidRDefault="000E482F" w:rsidP="004C79C1">
            <w:pPr>
              <w:tabs>
                <w:tab w:val="decimal" w:pos="570"/>
              </w:tabs>
              <w:spacing w:after="120" w:line="240" w:lineRule="auto"/>
              <w:jc w:val="center"/>
              <w:rPr>
                <w:rFonts w:ascii="Arial Narrow" w:hAnsi="Arial Narrow"/>
                <w:b/>
                <w:bCs/>
                <w:color w:val="000000"/>
                <w:sz w:val="20"/>
                <w:szCs w:val="20"/>
              </w:rPr>
            </w:pPr>
            <w:r w:rsidRPr="00FA43C7">
              <w:rPr>
                <w:rFonts w:ascii="Arial Narrow" w:hAnsi="Arial Narrow"/>
                <w:b/>
                <w:bCs/>
                <w:color w:val="000000"/>
                <w:sz w:val="20"/>
                <w:szCs w:val="20"/>
              </w:rPr>
              <w:t>$695.91</w:t>
            </w:r>
          </w:p>
        </w:tc>
        <w:tc>
          <w:tcPr>
            <w:tcW w:w="4791" w:type="dxa"/>
            <w:tcBorders>
              <w:top w:val="double" w:sz="4" w:space="0" w:color="auto"/>
            </w:tcBorders>
          </w:tcPr>
          <w:p w14:paraId="2F61453A" w14:textId="77777777" w:rsidR="000E482F" w:rsidRPr="00FA43C7" w:rsidRDefault="000E482F" w:rsidP="004C79C1">
            <w:pPr>
              <w:spacing w:after="120" w:line="240" w:lineRule="auto"/>
              <w:rPr>
                <w:rFonts w:ascii="Arial Narrow" w:hAnsi="Arial Narrow"/>
                <w:b/>
                <w:sz w:val="20"/>
                <w:szCs w:val="20"/>
              </w:rPr>
            </w:pPr>
          </w:p>
        </w:tc>
      </w:tr>
    </w:tbl>
    <w:p w14:paraId="1E1D8161" w14:textId="370FE436" w:rsidR="000E482F" w:rsidRPr="00FA43C7" w:rsidRDefault="000E482F"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AE</w:t>
      </w:r>
      <w:r w:rsidR="00372BE9">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w:t>
      </w:r>
      <w:r w:rsidR="00372BE9">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adverse events; CAD = coronary artery disease; CTCA = computed tomography coronary angiography; MBS = Medicare Benefits Schedule</w:t>
      </w:r>
    </w:p>
    <w:p w14:paraId="6CF91584" w14:textId="5306EB7E" w:rsidR="000E482F" w:rsidRPr="00FA43C7" w:rsidRDefault="000E482F" w:rsidP="00161B88">
      <w:pPr>
        <w:pStyle w:val="Heading4"/>
      </w:pPr>
      <w:r w:rsidRPr="00FA43C7">
        <w:t xml:space="preserve">Costs associated with </w:t>
      </w:r>
      <w:r w:rsidR="00421896">
        <w:t>s</w:t>
      </w:r>
      <w:r w:rsidRPr="00FA43C7">
        <w:t xml:space="preserve">tress </w:t>
      </w:r>
      <w:r w:rsidR="004F632C">
        <w:t>echocardiography</w:t>
      </w:r>
    </w:p>
    <w:p w14:paraId="2ABB5A65" w14:textId="00B6FE97" w:rsidR="000E482F" w:rsidRPr="00FA43C7" w:rsidRDefault="000E482F" w:rsidP="004C79C1">
      <w:pPr>
        <w:spacing w:after="120" w:line="240" w:lineRule="auto"/>
        <w:jc w:val="both"/>
      </w:pPr>
      <w:r w:rsidRPr="00FA43C7">
        <w:t xml:space="preserve">Stress </w:t>
      </w:r>
      <w:r w:rsidR="004F632C">
        <w:t>echocardiography</w:t>
      </w:r>
      <w:r w:rsidRPr="00FA43C7">
        <w:t xml:space="preserve"> is performed in conjunction with exercise ECG (MBS item 11712). The costs related to stress </w:t>
      </w:r>
      <w:r w:rsidR="004F632C">
        <w:t>echocardiography</w:t>
      </w:r>
      <w:r w:rsidRPr="00FA43C7">
        <w:t xml:space="preserve"> include the cost of the scan and exercise ECG (based on MBS data for the average benefits paid per service for items 55117 and 11712) </w:t>
      </w:r>
      <w:r w:rsidR="006F3BDB">
        <w:t xml:space="preserve">and </w:t>
      </w:r>
      <w:r w:rsidRPr="00FA43C7">
        <w:t>the average patient co-payment (based on MBS data for the average patient contribution paid per service for items 55117 and 11712</w:t>
      </w:r>
      <w:r w:rsidR="006F3BDB">
        <w:t>)</w:t>
      </w:r>
      <w:r w:rsidRPr="00FA43C7">
        <w:t xml:space="preserve"> </w:t>
      </w:r>
      <w:r w:rsidR="006F3BDB">
        <w:t xml:space="preserve">for </w:t>
      </w:r>
      <w:r w:rsidRPr="00FA43C7">
        <w:t>2014</w:t>
      </w:r>
      <w:r w:rsidR="006F3BDB">
        <w:t>–</w:t>
      </w:r>
      <w:r w:rsidRPr="00FA43C7">
        <w:t>15</w:t>
      </w:r>
      <w:r w:rsidR="006F3BDB">
        <w:t>,</w:t>
      </w:r>
      <w:r w:rsidRPr="00FA43C7">
        <w:t xml:space="preserve"> and costs related to the treatment of AEs.</w:t>
      </w:r>
    </w:p>
    <w:p w14:paraId="7087AED4" w14:textId="68BE5C04" w:rsidR="000E482F" w:rsidRPr="00FA43C7" w:rsidRDefault="000E482F" w:rsidP="004C79C1">
      <w:pPr>
        <w:spacing w:after="120" w:line="240" w:lineRule="auto"/>
        <w:jc w:val="both"/>
      </w:pPr>
      <w:r w:rsidRPr="00FA43C7">
        <w:t xml:space="preserve">AEs related to stress </w:t>
      </w:r>
      <w:r w:rsidR="004F632C">
        <w:t>echocardiography</w:t>
      </w:r>
      <w:r w:rsidRPr="00FA43C7">
        <w:t xml:space="preserve"> include complications associated with the use of pharmacological stressors (0.009%)</w:t>
      </w:r>
      <w:r w:rsidRPr="00FA43C7">
        <w:rPr>
          <w:vertAlign w:val="superscript"/>
        </w:rPr>
        <w:footnoteReference w:id="16"/>
      </w:r>
      <w:r w:rsidRPr="00FA43C7">
        <w:t xml:space="preserve"> and microspheres (0.03%), as reported </w:t>
      </w:r>
      <w:r w:rsidR="00FE2743">
        <w:t>in s</w:t>
      </w:r>
      <w:r w:rsidRPr="00FA43C7">
        <w:t>ection B.7.1. The costs of treating the complications related to stressors and microspheres have been estimated by multiplying the price weight for AR-DRG F76A (1.49) and AR-DRG X61Z (0.22</w:t>
      </w:r>
      <w:r>
        <w:t xml:space="preserve">) </w:t>
      </w:r>
      <w:r>
        <w:fldChar w:fldCharType="begin"/>
      </w:r>
      <w: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w:t>
      </w:r>
      <w:r>
        <w:fldChar w:fldCharType="end"/>
      </w:r>
      <w:r w:rsidRPr="00FA43C7">
        <w:t xml:space="preserve"> by the N</w:t>
      </w:r>
      <w:r w:rsidR="00F82C81">
        <w:t>EP</w:t>
      </w:r>
      <w:r w:rsidRPr="00FA43C7">
        <w:t xml:space="preserve"> for 2016</w:t>
      </w:r>
      <w:r w:rsidR="00F82C81">
        <w:t>–</w:t>
      </w:r>
      <w:r w:rsidRPr="00FA43C7">
        <w:t xml:space="preserve">17 ($4,883) </w:t>
      </w:r>
      <w:r w:rsidRPr="00FA43C7">
        <w:fldChar w:fldCharType="begin"/>
      </w:r>
      <w:r>
        <w:instrText xml:space="preserve"> ADDIN EN.CITE &lt;EndNote&gt;&lt;Cite&gt;&lt;Author&gt;Independent Hospital Pricing Authority (IHPA)&lt;/Author&gt;&lt;Year&gt;2016&lt;/Year&gt;&lt;RecNum&gt;470&lt;/RecNum&gt;&lt;DisplayText&gt;(Independent Hospital Pricing Authority (IHPA) 2016)&lt;/DisplayText&gt;&lt;record&gt;&lt;rec-number&gt;470&lt;/rec-number&gt;&lt;foreign-keys&gt;&lt;key app="EN" db-id="902tefd05sz0tlevxvw5txd6rdazz2awszwd" timestamp="1459993605"&gt;470&lt;/key&gt;&lt;/foreign-keys&gt;&lt;ref-type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Cite&gt;&lt;Author&gt;Independent Hospital Pricing Authority (IHPA)&lt;/Author&gt;&lt;Year&gt;2016&lt;/Year&gt;&lt;RecNum&gt;162&lt;/RecNum&gt;&lt;record&gt;&lt;rec-number&gt;162&lt;/rec-number&gt;&lt;foreign-keys&gt;&lt;key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Pr="00FA43C7">
        <w:fldChar w:fldCharType="separate"/>
      </w:r>
      <w:r>
        <w:rPr>
          <w:noProof/>
        </w:rPr>
        <w:t>(</w:t>
      </w:r>
      <w:hyperlink w:anchor="_ENREF_61" w:tooltip="Independent Hospital Pricing Authority (IHPA), 2016 #82" w:history="1">
        <w:r>
          <w:rPr>
            <w:noProof/>
          </w:rPr>
          <w:t xml:space="preserve">Independent Hospital Pricing </w:t>
        </w:r>
        <w:r>
          <w:rPr>
            <w:noProof/>
          </w:rPr>
          <w:lastRenderedPageBreak/>
          <w:t>Authority (IHPA) 2016</w:t>
        </w:r>
      </w:hyperlink>
      <w:r>
        <w:rPr>
          <w:noProof/>
        </w:rPr>
        <w:t>)</w:t>
      </w:r>
      <w:r w:rsidRPr="00FA43C7">
        <w:fldChar w:fldCharType="end"/>
      </w:r>
      <w:r>
        <w:t>.</w:t>
      </w:r>
      <w:r w:rsidR="007B305E">
        <w:t xml:space="preserve"> </w:t>
      </w:r>
      <w:r w:rsidRPr="00FA43C7">
        <w:t xml:space="preserve">The weighted cost of treating AE per stress </w:t>
      </w:r>
      <w:r w:rsidR="004F632C">
        <w:t>echocardiography</w:t>
      </w:r>
      <w:r w:rsidRPr="00FA43C7">
        <w:t xml:space="preserve"> is $0.98 </w:t>
      </w:r>
      <w:r w:rsidRPr="00BD2022">
        <w:t>(</w:t>
      </w:r>
      <w:r w:rsidR="00EF4D02">
        <w:fldChar w:fldCharType="begin"/>
      </w:r>
      <w:r w:rsidR="00EF4D02">
        <w:instrText xml:space="preserve"> REF _Ref449550132 \h </w:instrText>
      </w:r>
      <w:r w:rsidR="00EF4D02">
        <w:fldChar w:fldCharType="separate"/>
      </w:r>
      <w:r w:rsidR="00EF4D02" w:rsidRPr="00FA43C7">
        <w:t xml:space="preserve">Table </w:t>
      </w:r>
      <w:r w:rsidR="00EF4D02">
        <w:rPr>
          <w:noProof/>
        </w:rPr>
        <w:t>50</w:t>
      </w:r>
      <w:r w:rsidR="00EF4D02">
        <w:fldChar w:fldCharType="end"/>
      </w:r>
      <w:r w:rsidRPr="00BD2022">
        <w:t>).</w:t>
      </w:r>
      <w:r w:rsidRPr="00FA43C7">
        <w:t xml:space="preserve"> </w:t>
      </w:r>
    </w:p>
    <w:p w14:paraId="204AE890" w14:textId="5A15CA6A" w:rsidR="000E482F" w:rsidRPr="00FA43C7" w:rsidRDefault="000E482F" w:rsidP="004C79C1">
      <w:pPr>
        <w:spacing w:after="120" w:line="240" w:lineRule="auto"/>
        <w:jc w:val="both"/>
      </w:pPr>
      <w:r w:rsidRPr="00FA43C7">
        <w:t xml:space="preserve">The total cost of testing by stress </w:t>
      </w:r>
      <w:r w:rsidR="004F632C">
        <w:t>echocardiography</w:t>
      </w:r>
      <w:r w:rsidRPr="00FA43C7">
        <w:t xml:space="preserve"> is </w:t>
      </w:r>
      <w:r w:rsidR="007B305E">
        <w:t xml:space="preserve">then </w:t>
      </w:r>
      <w:r w:rsidRPr="00FA43C7">
        <w:t>$422.35 per patient. A summary of the costs used in the cost</w:t>
      </w:r>
      <w:r w:rsidR="0018540F">
        <w:t xml:space="preserve"> </w:t>
      </w:r>
      <w:r w:rsidRPr="00FA43C7">
        <w:t xml:space="preserve">analysis </w:t>
      </w:r>
      <w:r w:rsidR="0018540F">
        <w:t>is</w:t>
      </w:r>
      <w:r w:rsidR="0018540F" w:rsidRPr="00FA43C7">
        <w:t xml:space="preserve"> </w:t>
      </w:r>
      <w:r w:rsidRPr="00FA43C7">
        <w:t xml:space="preserve">presented in </w:t>
      </w:r>
      <w:r w:rsidR="00EF4D02">
        <w:fldChar w:fldCharType="begin"/>
      </w:r>
      <w:r w:rsidR="00EF4D02">
        <w:instrText xml:space="preserve"> REF _Ref449551023 \h </w:instrText>
      </w:r>
      <w:r w:rsidR="00EF4D02">
        <w:fldChar w:fldCharType="separate"/>
      </w:r>
      <w:r w:rsidR="00EF4D02" w:rsidRPr="00FA43C7">
        <w:t xml:space="preserve">Table </w:t>
      </w:r>
      <w:r w:rsidR="00EF4D02">
        <w:rPr>
          <w:noProof/>
        </w:rPr>
        <w:t>53</w:t>
      </w:r>
      <w:r w:rsidR="00EF4D02">
        <w:fldChar w:fldCharType="end"/>
      </w:r>
      <w:r w:rsidRPr="00FA43C7">
        <w:t>.</w:t>
      </w:r>
    </w:p>
    <w:p w14:paraId="74C8A55D" w14:textId="6953A17C" w:rsidR="000E482F" w:rsidRPr="00FA43C7" w:rsidRDefault="000E482F" w:rsidP="004C79C1">
      <w:pPr>
        <w:pStyle w:val="Caption"/>
      </w:pPr>
      <w:bookmarkStart w:id="640" w:name="_Ref449551023"/>
      <w:bookmarkStart w:id="641" w:name="_Toc449555013"/>
      <w:bookmarkStart w:id="642" w:name="_Toc324410224"/>
      <w:bookmarkStart w:id="643" w:name="_Toc451435380"/>
      <w:r w:rsidRPr="00FA43C7">
        <w:t xml:space="preserve">Table </w:t>
      </w:r>
      <w:fldSimple w:instr=" SEQ Table \* ARABIC ">
        <w:r w:rsidR="00050936">
          <w:rPr>
            <w:noProof/>
          </w:rPr>
          <w:t>53</w:t>
        </w:r>
      </w:fldSimple>
      <w:bookmarkEnd w:id="640"/>
      <w:r w:rsidRPr="00FA43C7">
        <w:tab/>
        <w:t xml:space="preserve">Costs associated with stress </w:t>
      </w:r>
      <w:r w:rsidR="00A21115">
        <w:t>echocardiography</w:t>
      </w:r>
      <w:r w:rsidRPr="00FA43C7">
        <w:t xml:space="preserve"> in the proposed population with intermediate risk of CAD</w:t>
      </w:r>
      <w:bookmarkEnd w:id="641"/>
      <w:bookmarkEnd w:id="642"/>
      <w:bookmarkEnd w:id="643"/>
    </w:p>
    <w:tbl>
      <w:tblPr>
        <w:tblStyle w:val="TableGrid"/>
        <w:tblW w:w="0" w:type="auto"/>
        <w:tblLook w:val="04A0" w:firstRow="1" w:lastRow="0" w:firstColumn="1" w:lastColumn="0" w:noHBand="0" w:noVBand="1"/>
        <w:tblCaption w:val="Costs associated with stress Echo in the proposed population with intermediate risk of CAD"/>
      </w:tblPr>
      <w:tblGrid>
        <w:gridCol w:w="2547"/>
        <w:gridCol w:w="1417"/>
        <w:gridCol w:w="5052"/>
      </w:tblGrid>
      <w:tr w:rsidR="000E482F" w:rsidRPr="00FA43C7" w14:paraId="49AB16AA" w14:textId="77777777" w:rsidTr="00723891">
        <w:trPr>
          <w:tblHeader/>
        </w:trPr>
        <w:tc>
          <w:tcPr>
            <w:tcW w:w="2547" w:type="dxa"/>
            <w:tcBorders>
              <w:bottom w:val="single" w:sz="4" w:space="0" w:color="auto"/>
            </w:tcBorders>
          </w:tcPr>
          <w:p w14:paraId="507CE4CF"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Parameter</w:t>
            </w:r>
          </w:p>
        </w:tc>
        <w:tc>
          <w:tcPr>
            <w:tcW w:w="1417" w:type="dxa"/>
            <w:tcBorders>
              <w:bottom w:val="single" w:sz="4" w:space="0" w:color="auto"/>
            </w:tcBorders>
          </w:tcPr>
          <w:p w14:paraId="6262B522" w14:textId="77777777" w:rsidR="000E482F" w:rsidRPr="00FA43C7" w:rsidRDefault="000E482F" w:rsidP="004C79C1">
            <w:pPr>
              <w:keepNext/>
              <w:spacing w:after="120" w:line="240" w:lineRule="auto"/>
              <w:ind w:left="993" w:hanging="993"/>
              <w:jc w:val="center"/>
              <w:rPr>
                <w:rFonts w:ascii="Arial Narrow" w:hAnsi="Arial Narrow"/>
                <w:b/>
                <w:sz w:val="20"/>
                <w:szCs w:val="20"/>
              </w:rPr>
            </w:pPr>
            <w:r w:rsidRPr="00FA43C7">
              <w:rPr>
                <w:rFonts w:ascii="Arial Narrow" w:hAnsi="Arial Narrow"/>
                <w:b/>
                <w:sz w:val="20"/>
                <w:szCs w:val="20"/>
              </w:rPr>
              <w:t>Estimate</w:t>
            </w:r>
          </w:p>
        </w:tc>
        <w:tc>
          <w:tcPr>
            <w:tcW w:w="5052" w:type="dxa"/>
            <w:tcBorders>
              <w:bottom w:val="single" w:sz="4" w:space="0" w:color="auto"/>
            </w:tcBorders>
          </w:tcPr>
          <w:p w14:paraId="7FCBD4AE" w14:textId="77777777" w:rsidR="000E482F" w:rsidRPr="00FA43C7" w:rsidRDefault="000E482F" w:rsidP="004C79C1">
            <w:pPr>
              <w:keepNext/>
              <w:spacing w:after="120" w:line="240" w:lineRule="auto"/>
              <w:ind w:left="993" w:hanging="993"/>
              <w:rPr>
                <w:rFonts w:ascii="Arial Narrow" w:hAnsi="Arial Narrow"/>
                <w:b/>
                <w:sz w:val="20"/>
                <w:szCs w:val="20"/>
              </w:rPr>
            </w:pPr>
            <w:r w:rsidRPr="00FA43C7">
              <w:rPr>
                <w:rFonts w:ascii="Arial Narrow" w:hAnsi="Arial Narrow"/>
                <w:b/>
                <w:sz w:val="20"/>
                <w:szCs w:val="20"/>
              </w:rPr>
              <w:t>Source</w:t>
            </w:r>
          </w:p>
        </w:tc>
      </w:tr>
      <w:tr w:rsidR="000E482F" w:rsidRPr="00FA43C7" w14:paraId="6EB1F8BF" w14:textId="77777777" w:rsidTr="00723891">
        <w:tc>
          <w:tcPr>
            <w:tcW w:w="2547" w:type="dxa"/>
          </w:tcPr>
          <w:p w14:paraId="4391508C"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Pharmacological stress Echo</w:t>
            </w:r>
          </w:p>
        </w:tc>
        <w:tc>
          <w:tcPr>
            <w:tcW w:w="1417" w:type="dxa"/>
          </w:tcPr>
          <w:p w14:paraId="38CBEE11"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$232.21</w:t>
            </w:r>
          </w:p>
        </w:tc>
        <w:tc>
          <w:tcPr>
            <w:tcW w:w="5052" w:type="dxa"/>
            <w:vAlign w:val="bottom"/>
          </w:tcPr>
          <w:p w14:paraId="0278C88A" w14:textId="2027B0B3"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MBS benefit for outpatient service for item 55117, 2014</w:t>
            </w:r>
            <w:r w:rsidR="00A42E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2E1F9D9E" w14:textId="77777777" w:rsidTr="00723891">
        <w:tc>
          <w:tcPr>
            <w:tcW w:w="2547" w:type="dxa"/>
            <w:tcBorders>
              <w:bottom w:val="single" w:sz="4" w:space="0" w:color="auto"/>
            </w:tcBorders>
            <w:vAlign w:val="bottom"/>
          </w:tcPr>
          <w:p w14:paraId="3CA0B472" w14:textId="77777777"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 xml:space="preserve">Patient co-payment </w:t>
            </w:r>
          </w:p>
        </w:tc>
        <w:tc>
          <w:tcPr>
            <w:tcW w:w="1417" w:type="dxa"/>
            <w:tcBorders>
              <w:bottom w:val="single" w:sz="4" w:space="0" w:color="auto"/>
            </w:tcBorders>
          </w:tcPr>
          <w:p w14:paraId="7C3749F5"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$31.76</w:t>
            </w:r>
          </w:p>
        </w:tc>
        <w:tc>
          <w:tcPr>
            <w:tcW w:w="5052" w:type="dxa"/>
            <w:tcBorders>
              <w:bottom w:val="single" w:sz="4" w:space="0" w:color="auto"/>
            </w:tcBorders>
            <w:vAlign w:val="bottom"/>
          </w:tcPr>
          <w:p w14:paraId="701D4652" w14:textId="2DB29453"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Average patient contribution per stress Echo service, 2014</w:t>
            </w:r>
            <w:r w:rsidR="00A42E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4024E562" w14:textId="77777777" w:rsidTr="00723891">
        <w:tc>
          <w:tcPr>
            <w:tcW w:w="2547" w:type="dxa"/>
            <w:tcBorders>
              <w:bottom w:val="single" w:sz="4" w:space="0" w:color="auto"/>
            </w:tcBorders>
            <w:vAlign w:val="bottom"/>
          </w:tcPr>
          <w:p w14:paraId="0DEE8A8C" w14:textId="77777777"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Exercise ECG</w:t>
            </w:r>
          </w:p>
        </w:tc>
        <w:tc>
          <w:tcPr>
            <w:tcW w:w="1417" w:type="dxa"/>
            <w:tcBorders>
              <w:bottom w:val="single" w:sz="4" w:space="0" w:color="auto"/>
            </w:tcBorders>
          </w:tcPr>
          <w:p w14:paraId="1345CFAA"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$130.78</w:t>
            </w:r>
          </w:p>
        </w:tc>
        <w:tc>
          <w:tcPr>
            <w:tcW w:w="5052" w:type="dxa"/>
            <w:tcBorders>
              <w:bottom w:val="single" w:sz="4" w:space="0" w:color="auto"/>
            </w:tcBorders>
            <w:vAlign w:val="bottom"/>
          </w:tcPr>
          <w:p w14:paraId="783C6613" w14:textId="36F11110"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MBS benefit for outpatient service for item 11712, 2014</w:t>
            </w:r>
            <w:r w:rsidR="00A42E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37DD7F54" w14:textId="77777777" w:rsidTr="00723891">
        <w:tc>
          <w:tcPr>
            <w:tcW w:w="2547" w:type="dxa"/>
            <w:tcBorders>
              <w:bottom w:val="single" w:sz="4" w:space="0" w:color="auto"/>
            </w:tcBorders>
            <w:vAlign w:val="bottom"/>
          </w:tcPr>
          <w:p w14:paraId="6280AB74" w14:textId="77777777"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Patient co-payment</w:t>
            </w:r>
          </w:p>
        </w:tc>
        <w:tc>
          <w:tcPr>
            <w:tcW w:w="1417" w:type="dxa"/>
            <w:tcBorders>
              <w:bottom w:val="single" w:sz="4" w:space="0" w:color="auto"/>
            </w:tcBorders>
          </w:tcPr>
          <w:p w14:paraId="7D3E6C96"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$26.63</w:t>
            </w:r>
          </w:p>
        </w:tc>
        <w:tc>
          <w:tcPr>
            <w:tcW w:w="5052" w:type="dxa"/>
            <w:tcBorders>
              <w:bottom w:val="single" w:sz="4" w:space="0" w:color="auto"/>
            </w:tcBorders>
            <w:vAlign w:val="bottom"/>
          </w:tcPr>
          <w:p w14:paraId="5ED8A276" w14:textId="592875A4" w:rsidR="000E482F" w:rsidRPr="00FA43C7" w:rsidRDefault="000E482F" w:rsidP="004C79C1">
            <w:pPr>
              <w:spacing w:after="120" w:line="240" w:lineRule="auto"/>
              <w:rPr>
                <w:rFonts w:ascii="Arial Narrow" w:hAnsi="Arial Narrow"/>
                <w:color w:val="000000"/>
                <w:sz w:val="20"/>
                <w:szCs w:val="20"/>
              </w:rPr>
            </w:pPr>
            <w:r w:rsidRPr="00FA43C7">
              <w:rPr>
                <w:rFonts w:ascii="Arial Narrow" w:hAnsi="Arial Narrow"/>
                <w:color w:val="000000"/>
                <w:sz w:val="20"/>
                <w:szCs w:val="20"/>
              </w:rPr>
              <w:t>Average patient contribution per exercise ECG service, 2014</w:t>
            </w:r>
            <w:r w:rsidR="00A42EF7">
              <w:rPr>
                <w:rFonts w:ascii="Arial Narrow" w:hAnsi="Arial Narrow"/>
                <w:color w:val="000000"/>
                <w:sz w:val="20"/>
                <w:szCs w:val="20"/>
              </w:rPr>
              <w:t>–</w:t>
            </w:r>
            <w:r w:rsidRPr="00FA43C7">
              <w:rPr>
                <w:rFonts w:ascii="Arial Narrow" w:hAnsi="Arial Narrow"/>
                <w:color w:val="000000"/>
                <w:sz w:val="20"/>
                <w:szCs w:val="20"/>
              </w:rPr>
              <w:t>15</w:t>
            </w:r>
          </w:p>
        </w:tc>
      </w:tr>
      <w:tr w:rsidR="000E482F" w:rsidRPr="00FA43C7" w14:paraId="5BEA166C" w14:textId="77777777" w:rsidTr="00723891">
        <w:tc>
          <w:tcPr>
            <w:tcW w:w="2547" w:type="dxa"/>
          </w:tcPr>
          <w:p w14:paraId="476A9A06" w14:textId="77777777"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Cost of treating AE due to stressors and microsphere</w:t>
            </w:r>
            <w:r>
              <w:rPr>
                <w:rFonts w:ascii="Arial Narrow" w:hAnsi="Arial Narrow"/>
                <w:sz w:val="20"/>
                <w:szCs w:val="20"/>
              </w:rPr>
              <w:t>s</w:t>
            </w:r>
          </w:p>
        </w:tc>
        <w:tc>
          <w:tcPr>
            <w:tcW w:w="1417" w:type="dxa"/>
          </w:tcPr>
          <w:p w14:paraId="5FA3B038" w14:textId="77777777" w:rsidR="000E482F" w:rsidRPr="00FA43C7" w:rsidRDefault="000E482F" w:rsidP="004C79C1">
            <w:pPr>
              <w:tabs>
                <w:tab w:val="decimal" w:pos="570"/>
              </w:tabs>
              <w:spacing w:after="120" w:line="240" w:lineRule="auto"/>
              <w:jc w:val="center"/>
              <w:rPr>
                <w:rFonts w:ascii="Arial Narrow" w:hAnsi="Arial Narrow"/>
                <w:sz w:val="20"/>
                <w:szCs w:val="20"/>
              </w:rPr>
            </w:pPr>
            <w:r w:rsidRPr="00FA43C7">
              <w:rPr>
                <w:rFonts w:ascii="Arial Narrow" w:hAnsi="Arial Narrow"/>
                <w:sz w:val="20"/>
                <w:szCs w:val="20"/>
              </w:rPr>
              <w:t>$0.98</w:t>
            </w:r>
          </w:p>
        </w:tc>
        <w:tc>
          <w:tcPr>
            <w:tcW w:w="5052" w:type="dxa"/>
          </w:tcPr>
          <w:p w14:paraId="25AC3E98" w14:textId="003604D3" w:rsidR="000E482F" w:rsidRPr="00FA43C7" w:rsidRDefault="000E482F" w:rsidP="004C79C1">
            <w:pPr>
              <w:spacing w:after="120" w:line="240" w:lineRule="auto"/>
              <w:rPr>
                <w:rFonts w:ascii="Arial Narrow" w:hAnsi="Arial Narrow"/>
                <w:sz w:val="20"/>
                <w:szCs w:val="20"/>
              </w:rPr>
            </w:pPr>
            <w:r w:rsidRPr="00FA43C7">
              <w:rPr>
                <w:rFonts w:ascii="Arial Narrow" w:hAnsi="Arial Narrow"/>
                <w:sz w:val="20"/>
                <w:szCs w:val="20"/>
              </w:rPr>
              <w:t xml:space="preserve">Cost of AE per stress Echo </w:t>
            </w:r>
            <w:r w:rsidR="00A42EF7">
              <w:rPr>
                <w:rFonts w:ascii="Arial Narrow" w:hAnsi="Arial Narrow"/>
                <w:sz w:val="20"/>
                <w:szCs w:val="20"/>
              </w:rPr>
              <w:t>(</w:t>
            </w:r>
            <w:r w:rsidR="00EF4D02" w:rsidRPr="00EF4D02">
              <w:rPr>
                <w:rStyle w:val="TabletextChar1"/>
                <w:sz w:val="20"/>
                <w:szCs w:val="20"/>
              </w:rPr>
              <w:fldChar w:fldCharType="begin"/>
            </w:r>
            <w:r w:rsidR="00EF4D02" w:rsidRPr="00EF4D02">
              <w:rPr>
                <w:rStyle w:val="TabletextChar1"/>
                <w:sz w:val="20"/>
                <w:szCs w:val="20"/>
              </w:rPr>
              <w:instrText xml:space="preserve"> REF _Ref449550132 \h  \* MERGEFORMAT </w:instrText>
            </w:r>
            <w:r w:rsidR="00EF4D02" w:rsidRPr="00EF4D02">
              <w:rPr>
                <w:rStyle w:val="TabletextChar1"/>
                <w:sz w:val="20"/>
                <w:szCs w:val="20"/>
              </w:rPr>
            </w:r>
            <w:r w:rsidR="00EF4D02" w:rsidRPr="00EF4D02">
              <w:rPr>
                <w:rStyle w:val="TabletextChar1"/>
                <w:sz w:val="20"/>
                <w:szCs w:val="20"/>
              </w:rPr>
              <w:fldChar w:fldCharType="separate"/>
            </w:r>
            <w:r w:rsidR="00EF4D02" w:rsidRPr="00EF4D02">
              <w:rPr>
                <w:rStyle w:val="TabletextChar1"/>
                <w:sz w:val="20"/>
                <w:szCs w:val="20"/>
              </w:rPr>
              <w:t>Table 50</w:t>
            </w:r>
            <w:r w:rsidR="00EF4D02" w:rsidRPr="00EF4D02">
              <w:rPr>
                <w:rStyle w:val="TabletextChar1"/>
                <w:sz w:val="20"/>
                <w:szCs w:val="20"/>
              </w:rPr>
              <w:fldChar w:fldCharType="end"/>
            </w:r>
            <w:r w:rsidR="00A42EF7">
              <w:rPr>
                <w:rFonts w:ascii="Arial Narrow" w:hAnsi="Arial Narrow"/>
                <w:sz w:val="20"/>
                <w:szCs w:val="20"/>
              </w:rPr>
              <w:t>)</w:t>
            </w:r>
          </w:p>
        </w:tc>
      </w:tr>
      <w:tr w:rsidR="000E482F" w:rsidRPr="00FA43C7" w14:paraId="721A7706" w14:textId="77777777" w:rsidTr="00723891">
        <w:tc>
          <w:tcPr>
            <w:tcW w:w="2547" w:type="dxa"/>
            <w:tcBorders>
              <w:top w:val="double" w:sz="4" w:space="0" w:color="auto"/>
            </w:tcBorders>
          </w:tcPr>
          <w:p w14:paraId="3E6B18D5" w14:textId="77777777" w:rsidR="000E482F" w:rsidRPr="00FA43C7" w:rsidRDefault="000E482F" w:rsidP="004C79C1">
            <w:pPr>
              <w:spacing w:after="120" w:line="240" w:lineRule="auto"/>
              <w:rPr>
                <w:rFonts w:ascii="Arial Narrow" w:hAnsi="Arial Narrow"/>
                <w:b/>
                <w:sz w:val="20"/>
                <w:szCs w:val="20"/>
              </w:rPr>
            </w:pPr>
            <w:r w:rsidRPr="00FA43C7">
              <w:rPr>
                <w:rFonts w:ascii="Arial Narrow" w:hAnsi="Arial Narrow"/>
                <w:b/>
                <w:sz w:val="20"/>
                <w:szCs w:val="20"/>
              </w:rPr>
              <w:t>Total</w:t>
            </w:r>
          </w:p>
        </w:tc>
        <w:tc>
          <w:tcPr>
            <w:tcW w:w="1417" w:type="dxa"/>
            <w:tcBorders>
              <w:top w:val="double" w:sz="4" w:space="0" w:color="auto"/>
            </w:tcBorders>
          </w:tcPr>
          <w:p w14:paraId="2DA476ED" w14:textId="77777777" w:rsidR="000E482F" w:rsidRPr="00FA43C7" w:rsidRDefault="000E482F" w:rsidP="004C79C1">
            <w:pPr>
              <w:tabs>
                <w:tab w:val="decimal" w:pos="570"/>
              </w:tabs>
              <w:spacing w:after="120" w:line="240" w:lineRule="auto"/>
              <w:jc w:val="center"/>
              <w:rPr>
                <w:rFonts w:ascii="Arial Narrow" w:hAnsi="Arial Narrow"/>
                <w:b/>
                <w:bCs/>
                <w:color w:val="000000"/>
                <w:sz w:val="20"/>
                <w:szCs w:val="20"/>
              </w:rPr>
            </w:pPr>
            <w:r w:rsidRPr="00FA43C7">
              <w:rPr>
                <w:rFonts w:ascii="Arial Narrow" w:hAnsi="Arial Narrow"/>
                <w:b/>
                <w:bCs/>
                <w:color w:val="000000"/>
                <w:sz w:val="20"/>
                <w:szCs w:val="20"/>
              </w:rPr>
              <w:t>$422.35</w:t>
            </w:r>
          </w:p>
        </w:tc>
        <w:tc>
          <w:tcPr>
            <w:tcW w:w="5052" w:type="dxa"/>
            <w:tcBorders>
              <w:top w:val="double" w:sz="4" w:space="0" w:color="auto"/>
            </w:tcBorders>
          </w:tcPr>
          <w:p w14:paraId="197329E2" w14:textId="77777777" w:rsidR="000E482F" w:rsidRPr="00FA43C7" w:rsidRDefault="000E482F" w:rsidP="004C79C1">
            <w:pPr>
              <w:spacing w:after="120" w:line="240" w:lineRule="auto"/>
              <w:rPr>
                <w:rFonts w:ascii="Arial Narrow" w:hAnsi="Arial Narrow"/>
                <w:b/>
                <w:sz w:val="20"/>
                <w:szCs w:val="20"/>
              </w:rPr>
            </w:pPr>
          </w:p>
        </w:tc>
      </w:tr>
    </w:tbl>
    <w:p w14:paraId="7C551CA8" w14:textId="3363C9E0" w:rsidR="000E482F" w:rsidRPr="00FA43C7" w:rsidRDefault="000E482F"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AE</w:t>
      </w:r>
      <w:r w:rsidR="00A93E57">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w:t>
      </w:r>
      <w:r w:rsidR="00A93E57">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adverse event; CAD = coronary artery disease; Echo = echocardiography; ECG = electrocardiography; MBS = Medicare Benefits Schedule</w:t>
      </w:r>
    </w:p>
    <w:p w14:paraId="6839666B" w14:textId="440B5BD3" w:rsidR="000E482F" w:rsidRPr="00FA43C7" w:rsidRDefault="000E482F" w:rsidP="00161B88">
      <w:pPr>
        <w:pStyle w:val="Heading3"/>
      </w:pPr>
      <w:bookmarkStart w:id="644" w:name="_Toc449428920"/>
      <w:bookmarkStart w:id="645" w:name="_Toc451501390"/>
      <w:r w:rsidRPr="00FA43C7">
        <w:t>D5</w:t>
      </w:r>
      <w:proofErr w:type="gramStart"/>
      <w:r w:rsidRPr="00FA43C7">
        <w:t>.(</w:t>
      </w:r>
      <w:proofErr w:type="gramEnd"/>
      <w:r w:rsidRPr="00FA43C7">
        <w:t>iiB)</w:t>
      </w:r>
      <w:r>
        <w:t xml:space="preserve"> CA</w:t>
      </w:r>
      <w:r>
        <w:tab/>
      </w:r>
      <w:r>
        <w:tab/>
      </w:r>
      <w:r w:rsidRPr="00FA43C7">
        <w:t>Results of the cost</w:t>
      </w:r>
      <w:r w:rsidR="00826557">
        <w:t xml:space="preserve"> </w:t>
      </w:r>
      <w:r w:rsidRPr="00FA43C7">
        <w:t xml:space="preserve">analyses: CMR vs SPECT or CTCA or stress </w:t>
      </w:r>
      <w:r w:rsidR="004F632C">
        <w:t>echocardiography</w:t>
      </w:r>
      <w:bookmarkEnd w:id="644"/>
      <w:bookmarkEnd w:id="645"/>
    </w:p>
    <w:p w14:paraId="7D1B0DC7" w14:textId="5C03E81A" w:rsidR="000E482F" w:rsidRPr="00FA43C7" w:rsidRDefault="000E482F" w:rsidP="004C79C1">
      <w:pPr>
        <w:spacing w:after="120" w:line="240" w:lineRule="auto"/>
        <w:jc w:val="both"/>
      </w:pPr>
      <w:r w:rsidRPr="00FA43C7">
        <w:t>The cost analysis for comparison</w:t>
      </w:r>
      <w:r>
        <w:t>s</w:t>
      </w:r>
      <w:r w:rsidRPr="00FA43C7">
        <w:t xml:space="preserve"> of CMR with SPECT</w:t>
      </w:r>
      <w:r>
        <w:t xml:space="preserve">, CTCA and stress </w:t>
      </w:r>
      <w:r w:rsidR="004F632C">
        <w:t>echocardiography</w:t>
      </w:r>
      <w:r w:rsidRPr="00FA43C7">
        <w:t xml:space="preserve"> is presented in </w:t>
      </w:r>
      <w:r w:rsidR="00EF4D02">
        <w:fldChar w:fldCharType="begin"/>
      </w:r>
      <w:r w:rsidR="00EF4D02">
        <w:instrText xml:space="preserve"> REF _Ref451267406 \h </w:instrText>
      </w:r>
      <w:r w:rsidR="00EF4D02">
        <w:fldChar w:fldCharType="separate"/>
      </w:r>
      <w:r w:rsidR="00EF4D02">
        <w:t xml:space="preserve">Table </w:t>
      </w:r>
      <w:r w:rsidR="00EF4D02">
        <w:rPr>
          <w:noProof/>
        </w:rPr>
        <w:t>54</w:t>
      </w:r>
      <w:r w:rsidR="00EF4D02">
        <w:fldChar w:fldCharType="end"/>
      </w:r>
      <w:r w:rsidRPr="005A6F72">
        <w:t>.</w:t>
      </w:r>
      <w:r w:rsidRPr="00FA43C7">
        <w:t xml:space="preserve"> CMR testing is associated with an incremental cost of $388.46 compared with SPECT</w:t>
      </w:r>
      <w:r>
        <w:t xml:space="preserve">, </w:t>
      </w:r>
      <w:r w:rsidRPr="00FA43C7">
        <w:t>$230.87 compared with CTCA</w:t>
      </w:r>
      <w:r w:rsidR="00294A5D">
        <w:t>,</w:t>
      </w:r>
      <w:r>
        <w:t xml:space="preserve"> and </w:t>
      </w:r>
      <w:r w:rsidRPr="00FA43C7">
        <w:t xml:space="preserve">$504.43 compared with stress </w:t>
      </w:r>
      <w:r w:rsidR="004F632C">
        <w:t>echocardiography</w:t>
      </w:r>
      <w:r w:rsidRPr="00FA43C7">
        <w:t>.</w:t>
      </w:r>
    </w:p>
    <w:p w14:paraId="11EC959D" w14:textId="0674A7F2" w:rsidR="000E482F" w:rsidRPr="00FA43C7" w:rsidRDefault="000E66CD" w:rsidP="004C79C1">
      <w:pPr>
        <w:pStyle w:val="Caption"/>
      </w:pPr>
      <w:bookmarkStart w:id="646" w:name="_Ref451267406"/>
      <w:bookmarkStart w:id="647" w:name="_Toc451435381"/>
      <w:r>
        <w:t xml:space="preserve">Table </w:t>
      </w:r>
      <w:fldSimple w:instr=" SEQ Table \* ARABIC ">
        <w:r w:rsidR="00050936">
          <w:rPr>
            <w:noProof/>
          </w:rPr>
          <w:t>54</w:t>
        </w:r>
      </w:fldSimple>
      <w:bookmarkEnd w:id="646"/>
      <w:r>
        <w:t xml:space="preserve"> </w:t>
      </w:r>
      <w:r>
        <w:tab/>
      </w:r>
      <w:r w:rsidRPr="001E1157">
        <w:t xml:space="preserve">Incremental cost of CMR vs non-invasive comparators: SPECT, CTCA and stress </w:t>
      </w:r>
      <w:r w:rsidR="00A21115">
        <w:t>echocardiography</w:t>
      </w:r>
      <w:bookmarkEnd w:id="647"/>
    </w:p>
    <w:tbl>
      <w:tblPr>
        <w:tblStyle w:val="TableGrid"/>
        <w:tblW w:w="0" w:type="auto"/>
        <w:tblLook w:val="04A0" w:firstRow="1" w:lastRow="0" w:firstColumn="1" w:lastColumn="0" w:noHBand="0" w:noVBand="1"/>
        <w:tblCaption w:val="Incremental cost of CMR vs non-invasive comparators; SPECT, CTCA and stress Echo."/>
      </w:tblPr>
      <w:tblGrid>
        <w:gridCol w:w="3937"/>
        <w:gridCol w:w="1624"/>
        <w:gridCol w:w="1665"/>
        <w:gridCol w:w="1790"/>
      </w:tblGrid>
      <w:tr w:rsidR="000E482F" w:rsidRPr="00FA43C7" w14:paraId="764B54AF" w14:textId="77777777" w:rsidTr="00723891">
        <w:trPr>
          <w:tblHeader/>
        </w:trPr>
        <w:tc>
          <w:tcPr>
            <w:tcW w:w="3937" w:type="dxa"/>
            <w:tcBorders>
              <w:bottom w:val="single" w:sz="4" w:space="0" w:color="auto"/>
            </w:tcBorders>
          </w:tcPr>
          <w:p w14:paraId="3C346780" w14:textId="77777777" w:rsidR="000E482F" w:rsidRPr="00FA43C7" w:rsidRDefault="000E482F" w:rsidP="004C79C1">
            <w:pPr>
              <w:spacing w:after="120" w:line="240" w:lineRule="auto"/>
              <w:rPr>
                <w:rFonts w:ascii="Arial Narrow" w:hAnsi="Arial Narrow"/>
                <w:sz w:val="20"/>
                <w:szCs w:val="20"/>
              </w:rPr>
            </w:pPr>
          </w:p>
        </w:tc>
        <w:tc>
          <w:tcPr>
            <w:tcW w:w="1624" w:type="dxa"/>
            <w:tcBorders>
              <w:bottom w:val="single" w:sz="4" w:space="0" w:color="auto"/>
            </w:tcBorders>
          </w:tcPr>
          <w:p w14:paraId="41736D92"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Cost of CMR</w:t>
            </w:r>
          </w:p>
        </w:tc>
        <w:tc>
          <w:tcPr>
            <w:tcW w:w="1665" w:type="dxa"/>
            <w:tcBorders>
              <w:bottom w:val="single" w:sz="4" w:space="0" w:color="auto"/>
            </w:tcBorders>
          </w:tcPr>
          <w:p w14:paraId="043F4C3D"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 xml:space="preserve">Cost of </w:t>
            </w:r>
            <w:r>
              <w:rPr>
                <w:rFonts w:ascii="Arial Narrow" w:hAnsi="Arial Narrow"/>
                <w:b/>
                <w:sz w:val="20"/>
                <w:szCs w:val="20"/>
              </w:rPr>
              <w:t>comparator</w:t>
            </w:r>
          </w:p>
        </w:tc>
        <w:tc>
          <w:tcPr>
            <w:tcW w:w="1790" w:type="dxa"/>
            <w:tcBorders>
              <w:bottom w:val="single" w:sz="4" w:space="0" w:color="auto"/>
            </w:tcBorders>
          </w:tcPr>
          <w:p w14:paraId="0B5C7D9B" w14:textId="77777777" w:rsidR="000E482F" w:rsidRPr="00FA43C7" w:rsidRDefault="000E482F" w:rsidP="004C79C1">
            <w:pPr>
              <w:spacing w:after="120" w:line="240" w:lineRule="auto"/>
              <w:jc w:val="center"/>
              <w:rPr>
                <w:rFonts w:ascii="Arial Narrow" w:hAnsi="Arial Narrow"/>
                <w:b/>
                <w:sz w:val="20"/>
                <w:szCs w:val="20"/>
              </w:rPr>
            </w:pPr>
            <w:r w:rsidRPr="00FA43C7">
              <w:rPr>
                <w:rFonts w:ascii="Arial Narrow" w:hAnsi="Arial Narrow"/>
                <w:b/>
                <w:sz w:val="20"/>
                <w:szCs w:val="20"/>
              </w:rPr>
              <w:t>Incremental cost</w:t>
            </w:r>
          </w:p>
        </w:tc>
      </w:tr>
      <w:tr w:rsidR="00EF4D02" w:rsidRPr="00FA43C7" w14:paraId="55E3F7DA" w14:textId="77777777" w:rsidTr="00723891">
        <w:trPr>
          <w:trHeight w:val="115"/>
        </w:trPr>
        <w:tc>
          <w:tcPr>
            <w:tcW w:w="3937" w:type="dxa"/>
            <w:tcBorders>
              <w:bottom w:val="single" w:sz="4" w:space="0" w:color="auto"/>
            </w:tcBorders>
          </w:tcPr>
          <w:p w14:paraId="42FCB250" w14:textId="04D717CC" w:rsidR="00EF4D02" w:rsidRPr="00FA43C7" w:rsidRDefault="00EF4D02" w:rsidP="004C79C1">
            <w:pPr>
              <w:spacing w:after="120" w:line="240" w:lineRule="auto"/>
              <w:rPr>
                <w:rFonts w:ascii="Arial Narrow" w:hAnsi="Arial Narrow"/>
                <w:sz w:val="20"/>
                <w:szCs w:val="20"/>
              </w:rPr>
            </w:pPr>
            <w:r w:rsidRPr="00FA43C7">
              <w:rPr>
                <w:rFonts w:ascii="Arial Narrow" w:hAnsi="Arial Narrow"/>
                <w:sz w:val="20"/>
                <w:szCs w:val="20"/>
              </w:rPr>
              <w:t>Base</w:t>
            </w:r>
            <w:r>
              <w:rPr>
                <w:rFonts w:ascii="Arial Narrow" w:hAnsi="Arial Narrow"/>
                <w:sz w:val="20"/>
                <w:szCs w:val="20"/>
              </w:rPr>
              <w:t>-</w:t>
            </w:r>
            <w:r w:rsidRPr="00FA43C7">
              <w:rPr>
                <w:rFonts w:ascii="Arial Narrow" w:hAnsi="Arial Narrow"/>
                <w:sz w:val="20"/>
                <w:szCs w:val="20"/>
              </w:rPr>
              <w:t>case</w:t>
            </w:r>
            <w:r>
              <w:rPr>
                <w:rFonts w:ascii="Arial Narrow" w:hAnsi="Arial Narrow"/>
                <w:sz w:val="20"/>
                <w:szCs w:val="20"/>
              </w:rPr>
              <w:t xml:space="preserve"> CMR vs SPECT</w:t>
            </w:r>
          </w:p>
        </w:tc>
        <w:tc>
          <w:tcPr>
            <w:tcW w:w="1624" w:type="dxa"/>
            <w:tcBorders>
              <w:bottom w:val="single" w:sz="4" w:space="0" w:color="auto"/>
            </w:tcBorders>
          </w:tcPr>
          <w:p w14:paraId="735180E6" w14:textId="217184CF" w:rsidR="00EF4D02" w:rsidRPr="00FA43C7" w:rsidRDefault="00EF4D02" w:rsidP="004C79C1">
            <w:pPr>
              <w:spacing w:after="120" w:line="240" w:lineRule="auto"/>
              <w:jc w:val="center"/>
              <w:rPr>
                <w:rFonts w:ascii="Arial Narrow" w:hAnsi="Arial Narrow"/>
                <w:sz w:val="20"/>
                <w:szCs w:val="20"/>
              </w:rPr>
            </w:pPr>
            <w:r w:rsidRPr="00FA43C7">
              <w:rPr>
                <w:rFonts w:ascii="Arial Narrow" w:hAnsi="Arial Narrow"/>
                <w:sz w:val="20"/>
                <w:szCs w:val="20"/>
              </w:rPr>
              <w:t>$92</w:t>
            </w:r>
            <w:r>
              <w:rPr>
                <w:rFonts w:ascii="Arial Narrow" w:hAnsi="Arial Narrow"/>
                <w:sz w:val="20"/>
                <w:szCs w:val="20"/>
              </w:rPr>
              <w:t>7</w:t>
            </w:r>
          </w:p>
        </w:tc>
        <w:tc>
          <w:tcPr>
            <w:tcW w:w="1665" w:type="dxa"/>
            <w:tcBorders>
              <w:bottom w:val="single" w:sz="4" w:space="0" w:color="auto"/>
            </w:tcBorders>
          </w:tcPr>
          <w:p w14:paraId="18CAEF98" w14:textId="070696D4" w:rsidR="00EF4D02" w:rsidRPr="00FA43C7" w:rsidRDefault="00EF4D02" w:rsidP="004C79C1">
            <w:pPr>
              <w:spacing w:after="120" w:line="240" w:lineRule="auto"/>
              <w:jc w:val="center"/>
              <w:rPr>
                <w:bCs/>
                <w:color w:val="000000"/>
                <w:sz w:val="20"/>
                <w:szCs w:val="20"/>
              </w:rPr>
            </w:pPr>
            <w:r w:rsidRPr="00FA43C7">
              <w:rPr>
                <w:rFonts w:ascii="Arial Narrow" w:hAnsi="Arial Narrow"/>
                <w:sz w:val="20"/>
                <w:szCs w:val="20"/>
              </w:rPr>
              <w:t>$538</w:t>
            </w:r>
          </w:p>
        </w:tc>
        <w:tc>
          <w:tcPr>
            <w:tcW w:w="1790" w:type="dxa"/>
            <w:tcBorders>
              <w:bottom w:val="single" w:sz="4" w:space="0" w:color="auto"/>
            </w:tcBorders>
          </w:tcPr>
          <w:p w14:paraId="3C564D65" w14:textId="60F53AF1" w:rsidR="00EF4D02" w:rsidRPr="003F3C49" w:rsidRDefault="00EF4D02" w:rsidP="004C79C1">
            <w:pPr>
              <w:spacing w:after="120" w:line="240" w:lineRule="auto"/>
              <w:jc w:val="center"/>
              <w:rPr>
                <w:b/>
                <w:bCs/>
                <w:color w:val="000000"/>
                <w:sz w:val="20"/>
                <w:szCs w:val="20"/>
              </w:rPr>
            </w:pPr>
            <w:r w:rsidRPr="003F3C49">
              <w:rPr>
                <w:rFonts w:ascii="Arial Narrow" w:hAnsi="Arial Narrow"/>
                <w:b/>
                <w:sz w:val="20"/>
                <w:szCs w:val="20"/>
              </w:rPr>
              <w:t>$388</w:t>
            </w:r>
          </w:p>
        </w:tc>
      </w:tr>
      <w:tr w:rsidR="00EF4D02" w:rsidRPr="00FA43C7" w14:paraId="78883E02" w14:textId="77777777" w:rsidTr="00723891">
        <w:trPr>
          <w:trHeight w:val="115"/>
        </w:trPr>
        <w:tc>
          <w:tcPr>
            <w:tcW w:w="3937" w:type="dxa"/>
          </w:tcPr>
          <w:p w14:paraId="25A85012" w14:textId="4AB8A0BC" w:rsidR="00EF4D02" w:rsidRPr="00FA43C7" w:rsidRDefault="00EF4D02" w:rsidP="004C79C1">
            <w:pPr>
              <w:spacing w:after="120" w:line="240" w:lineRule="auto"/>
              <w:rPr>
                <w:rFonts w:ascii="Arial Narrow" w:hAnsi="Arial Narrow"/>
                <w:sz w:val="20"/>
                <w:szCs w:val="20"/>
              </w:rPr>
            </w:pPr>
            <w:r w:rsidRPr="00FA43C7">
              <w:rPr>
                <w:rFonts w:ascii="Arial Narrow" w:hAnsi="Arial Narrow"/>
                <w:sz w:val="20"/>
                <w:szCs w:val="20"/>
              </w:rPr>
              <w:t>Base</w:t>
            </w:r>
            <w:r>
              <w:rPr>
                <w:rFonts w:ascii="Arial Narrow" w:hAnsi="Arial Narrow"/>
                <w:sz w:val="20"/>
                <w:szCs w:val="20"/>
              </w:rPr>
              <w:t>-</w:t>
            </w:r>
            <w:r w:rsidRPr="00FA43C7">
              <w:rPr>
                <w:rFonts w:ascii="Arial Narrow" w:hAnsi="Arial Narrow"/>
                <w:sz w:val="20"/>
                <w:szCs w:val="20"/>
              </w:rPr>
              <w:t>case</w:t>
            </w:r>
            <w:r>
              <w:rPr>
                <w:rFonts w:ascii="Arial Narrow" w:hAnsi="Arial Narrow"/>
                <w:sz w:val="20"/>
                <w:szCs w:val="20"/>
              </w:rPr>
              <w:t xml:space="preserve"> CMR vs CTCA</w:t>
            </w:r>
          </w:p>
        </w:tc>
        <w:tc>
          <w:tcPr>
            <w:tcW w:w="1624" w:type="dxa"/>
          </w:tcPr>
          <w:p w14:paraId="45148F44" w14:textId="34A0FF58" w:rsidR="00EF4D02" w:rsidRPr="00FA43C7" w:rsidRDefault="00EF4D02" w:rsidP="004C79C1">
            <w:pPr>
              <w:spacing w:after="120" w:line="240" w:lineRule="auto"/>
              <w:jc w:val="center"/>
              <w:rPr>
                <w:rFonts w:ascii="Arial Narrow" w:hAnsi="Arial Narrow"/>
                <w:sz w:val="20"/>
                <w:szCs w:val="20"/>
              </w:rPr>
            </w:pPr>
            <w:r w:rsidRPr="00FA43C7">
              <w:rPr>
                <w:rFonts w:ascii="Arial Narrow" w:hAnsi="Arial Narrow"/>
                <w:sz w:val="20"/>
                <w:szCs w:val="20"/>
              </w:rPr>
              <w:t>$92</w:t>
            </w:r>
            <w:r>
              <w:rPr>
                <w:rFonts w:ascii="Arial Narrow" w:hAnsi="Arial Narrow"/>
                <w:sz w:val="20"/>
                <w:szCs w:val="20"/>
              </w:rPr>
              <w:t>7</w:t>
            </w:r>
          </w:p>
        </w:tc>
        <w:tc>
          <w:tcPr>
            <w:tcW w:w="1665" w:type="dxa"/>
          </w:tcPr>
          <w:p w14:paraId="40C8FD8B" w14:textId="3EAE2960" w:rsidR="00EF4D02" w:rsidRPr="00FA43C7" w:rsidRDefault="00EF4D02" w:rsidP="004C79C1">
            <w:pPr>
              <w:spacing w:after="120" w:line="240" w:lineRule="auto"/>
              <w:jc w:val="center"/>
              <w:rPr>
                <w:bCs/>
                <w:color w:val="000000"/>
                <w:sz w:val="20"/>
                <w:szCs w:val="20"/>
              </w:rPr>
            </w:pPr>
            <w:r w:rsidRPr="00FA43C7">
              <w:rPr>
                <w:rFonts w:ascii="Arial Narrow" w:hAnsi="Arial Narrow"/>
                <w:sz w:val="20"/>
                <w:szCs w:val="20"/>
              </w:rPr>
              <w:t>$69</w:t>
            </w:r>
            <w:r>
              <w:rPr>
                <w:rFonts w:ascii="Arial Narrow" w:hAnsi="Arial Narrow"/>
                <w:sz w:val="20"/>
                <w:szCs w:val="20"/>
              </w:rPr>
              <w:t>6</w:t>
            </w:r>
          </w:p>
        </w:tc>
        <w:tc>
          <w:tcPr>
            <w:tcW w:w="1790" w:type="dxa"/>
          </w:tcPr>
          <w:p w14:paraId="79B38F2A" w14:textId="5F20D05C" w:rsidR="00EF4D02" w:rsidRPr="003F3C49" w:rsidRDefault="00EF4D02" w:rsidP="004C79C1">
            <w:pPr>
              <w:spacing w:after="120" w:line="240" w:lineRule="auto"/>
              <w:jc w:val="center"/>
              <w:rPr>
                <w:b/>
                <w:bCs/>
                <w:color w:val="000000"/>
                <w:sz w:val="20"/>
                <w:szCs w:val="20"/>
              </w:rPr>
            </w:pPr>
            <w:r w:rsidRPr="003F3C49">
              <w:rPr>
                <w:rFonts w:ascii="Arial Narrow" w:hAnsi="Arial Narrow"/>
                <w:b/>
                <w:sz w:val="20"/>
                <w:szCs w:val="20"/>
              </w:rPr>
              <w:t>$23</w:t>
            </w:r>
            <w:r>
              <w:rPr>
                <w:rFonts w:ascii="Arial Narrow" w:hAnsi="Arial Narrow"/>
                <w:b/>
                <w:sz w:val="20"/>
                <w:szCs w:val="20"/>
              </w:rPr>
              <w:t>1</w:t>
            </w:r>
          </w:p>
        </w:tc>
      </w:tr>
      <w:tr w:rsidR="00EF4D02" w:rsidRPr="00FA43C7" w14:paraId="43180674" w14:textId="77777777" w:rsidTr="00723891">
        <w:trPr>
          <w:trHeight w:val="115"/>
        </w:trPr>
        <w:tc>
          <w:tcPr>
            <w:tcW w:w="3937" w:type="dxa"/>
            <w:tcBorders>
              <w:bottom w:val="single" w:sz="4" w:space="0" w:color="auto"/>
            </w:tcBorders>
          </w:tcPr>
          <w:p w14:paraId="1DBFC764" w14:textId="27FB2BE8" w:rsidR="00EF4D02" w:rsidRPr="00FA43C7" w:rsidRDefault="00EF4D02" w:rsidP="004C79C1">
            <w:pPr>
              <w:spacing w:after="120" w:line="240" w:lineRule="auto"/>
              <w:rPr>
                <w:rFonts w:ascii="Arial Narrow" w:hAnsi="Arial Narrow"/>
                <w:sz w:val="20"/>
                <w:szCs w:val="20"/>
              </w:rPr>
            </w:pPr>
            <w:r w:rsidRPr="00FA43C7">
              <w:rPr>
                <w:rFonts w:ascii="Arial Narrow" w:hAnsi="Arial Narrow"/>
                <w:sz w:val="20"/>
                <w:szCs w:val="20"/>
              </w:rPr>
              <w:t>Base</w:t>
            </w:r>
            <w:r>
              <w:rPr>
                <w:rFonts w:ascii="Arial Narrow" w:hAnsi="Arial Narrow"/>
                <w:sz w:val="20"/>
                <w:szCs w:val="20"/>
              </w:rPr>
              <w:t>-</w:t>
            </w:r>
            <w:r w:rsidRPr="00FA43C7">
              <w:rPr>
                <w:rFonts w:ascii="Arial Narrow" w:hAnsi="Arial Narrow"/>
                <w:sz w:val="20"/>
                <w:szCs w:val="20"/>
              </w:rPr>
              <w:t>case</w:t>
            </w:r>
            <w:r>
              <w:rPr>
                <w:rFonts w:ascii="Arial Narrow" w:hAnsi="Arial Narrow"/>
                <w:sz w:val="20"/>
                <w:szCs w:val="20"/>
              </w:rPr>
              <w:t xml:space="preserve"> CMR vs stress Echo</w:t>
            </w:r>
          </w:p>
        </w:tc>
        <w:tc>
          <w:tcPr>
            <w:tcW w:w="1624" w:type="dxa"/>
            <w:tcBorders>
              <w:bottom w:val="single" w:sz="4" w:space="0" w:color="auto"/>
            </w:tcBorders>
          </w:tcPr>
          <w:p w14:paraId="61511A1F" w14:textId="05C47AED" w:rsidR="00EF4D02" w:rsidRPr="00FA43C7" w:rsidRDefault="00EF4D02" w:rsidP="004C79C1">
            <w:pPr>
              <w:spacing w:after="120" w:line="240" w:lineRule="auto"/>
              <w:jc w:val="center"/>
              <w:rPr>
                <w:rFonts w:ascii="Arial Narrow" w:hAnsi="Arial Narrow"/>
                <w:sz w:val="20"/>
                <w:szCs w:val="20"/>
              </w:rPr>
            </w:pPr>
            <w:r w:rsidRPr="00FA43C7">
              <w:rPr>
                <w:rFonts w:ascii="Arial Narrow" w:hAnsi="Arial Narrow"/>
                <w:sz w:val="20"/>
                <w:szCs w:val="20"/>
              </w:rPr>
              <w:t>$92</w:t>
            </w:r>
            <w:r>
              <w:rPr>
                <w:rFonts w:ascii="Arial Narrow" w:hAnsi="Arial Narrow"/>
                <w:sz w:val="20"/>
                <w:szCs w:val="20"/>
              </w:rPr>
              <w:t>7</w:t>
            </w:r>
          </w:p>
        </w:tc>
        <w:tc>
          <w:tcPr>
            <w:tcW w:w="1665" w:type="dxa"/>
            <w:tcBorders>
              <w:bottom w:val="single" w:sz="4" w:space="0" w:color="auto"/>
            </w:tcBorders>
          </w:tcPr>
          <w:p w14:paraId="7F640C72" w14:textId="3D5AB2C4" w:rsidR="00EF4D02" w:rsidRPr="00FA43C7" w:rsidRDefault="00EF4D02" w:rsidP="004C79C1">
            <w:pPr>
              <w:spacing w:after="120" w:line="240" w:lineRule="auto"/>
              <w:jc w:val="center"/>
              <w:rPr>
                <w:bCs/>
                <w:color w:val="000000"/>
                <w:sz w:val="20"/>
                <w:szCs w:val="20"/>
              </w:rPr>
            </w:pPr>
            <w:r w:rsidRPr="00FA43C7">
              <w:rPr>
                <w:rFonts w:ascii="Arial Narrow" w:hAnsi="Arial Narrow"/>
                <w:sz w:val="20"/>
                <w:szCs w:val="20"/>
              </w:rPr>
              <w:t>$422</w:t>
            </w:r>
          </w:p>
        </w:tc>
        <w:tc>
          <w:tcPr>
            <w:tcW w:w="1790" w:type="dxa"/>
            <w:tcBorders>
              <w:bottom w:val="single" w:sz="4" w:space="0" w:color="auto"/>
            </w:tcBorders>
          </w:tcPr>
          <w:p w14:paraId="3C3E74EA" w14:textId="2E7DA308" w:rsidR="00EF4D02" w:rsidRPr="003F3C49" w:rsidRDefault="00EF4D02" w:rsidP="004C79C1">
            <w:pPr>
              <w:spacing w:after="120" w:line="240" w:lineRule="auto"/>
              <w:jc w:val="center"/>
              <w:rPr>
                <w:b/>
                <w:bCs/>
                <w:color w:val="000000"/>
                <w:sz w:val="20"/>
                <w:szCs w:val="20"/>
              </w:rPr>
            </w:pPr>
            <w:r w:rsidRPr="003F3C49">
              <w:rPr>
                <w:rFonts w:ascii="Arial Narrow" w:hAnsi="Arial Narrow"/>
                <w:b/>
                <w:sz w:val="20"/>
                <w:szCs w:val="20"/>
              </w:rPr>
              <w:t>$504</w:t>
            </w:r>
          </w:p>
        </w:tc>
      </w:tr>
    </w:tbl>
    <w:p w14:paraId="0BBC7AFE" w14:textId="64AD71E5" w:rsidR="000E482F" w:rsidRPr="00FA43C7" w:rsidRDefault="000E482F" w:rsidP="004C79C1">
      <w:pPr>
        <w:widowControl w:val="0"/>
        <w:spacing w:after="120" w:line="240" w:lineRule="auto"/>
        <w:jc w:val="both"/>
        <w:rPr>
          <w:rFonts w:ascii="Arial Narrow" w:hAnsi="Arial Narrow" w:cs="Arial"/>
          <w:snapToGrid w:val="0"/>
          <w:sz w:val="20"/>
          <w:szCs w:val="20"/>
          <w:lang w:eastAsia="en-US"/>
        </w:rPr>
      </w:pPr>
      <w:r w:rsidRPr="00FA43C7">
        <w:rPr>
          <w:rFonts w:ascii="Arial Narrow" w:hAnsi="Arial Narrow" w:cs="Arial"/>
          <w:snapToGrid w:val="0"/>
          <w:sz w:val="20"/>
          <w:szCs w:val="20"/>
          <w:lang w:eastAsia="en-US"/>
        </w:rPr>
        <w:t>CMR</w:t>
      </w:r>
      <w:r w:rsidR="00B36A23">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w:t>
      </w:r>
      <w:r w:rsidR="00B36A23">
        <w:rPr>
          <w:rFonts w:ascii="Arial Narrow" w:hAnsi="Arial Narrow" w:cs="Arial"/>
          <w:snapToGrid w:val="0"/>
          <w:sz w:val="20"/>
          <w:szCs w:val="20"/>
          <w:lang w:eastAsia="en-US"/>
        </w:rPr>
        <w:t xml:space="preserve"> </w:t>
      </w:r>
      <w:r w:rsidRPr="00FA43C7">
        <w:rPr>
          <w:rFonts w:ascii="Arial Narrow" w:hAnsi="Arial Narrow" w:cs="Arial"/>
          <w:snapToGrid w:val="0"/>
          <w:sz w:val="20"/>
          <w:szCs w:val="20"/>
          <w:lang w:eastAsia="en-US"/>
        </w:rPr>
        <w:t xml:space="preserve">cardiac magnetic resonance </w:t>
      </w:r>
      <w:r w:rsidR="00937268">
        <w:rPr>
          <w:rFonts w:ascii="Arial Narrow" w:hAnsi="Arial Narrow" w:cs="Arial"/>
          <w:snapToGrid w:val="0"/>
          <w:sz w:val="20"/>
          <w:szCs w:val="20"/>
          <w:lang w:eastAsia="en-US"/>
        </w:rPr>
        <w:t>(</w:t>
      </w:r>
      <w:r w:rsidRPr="00FA43C7">
        <w:rPr>
          <w:rFonts w:ascii="Arial Narrow" w:hAnsi="Arial Narrow" w:cs="Arial"/>
          <w:snapToGrid w:val="0"/>
          <w:sz w:val="20"/>
          <w:szCs w:val="20"/>
          <w:lang w:eastAsia="en-US"/>
        </w:rPr>
        <w:t>imaging</w:t>
      </w:r>
      <w:r w:rsidR="00937268">
        <w:rPr>
          <w:rFonts w:ascii="Arial Narrow" w:hAnsi="Arial Narrow" w:cs="Arial"/>
          <w:snapToGrid w:val="0"/>
          <w:sz w:val="20"/>
          <w:szCs w:val="20"/>
          <w:lang w:eastAsia="en-US"/>
        </w:rPr>
        <w:t>)</w:t>
      </w:r>
      <w:r w:rsidRPr="00FA43C7">
        <w:rPr>
          <w:rFonts w:ascii="Arial Narrow" w:hAnsi="Arial Narrow" w:cs="Arial"/>
          <w:snapToGrid w:val="0"/>
          <w:sz w:val="20"/>
          <w:szCs w:val="20"/>
          <w:lang w:eastAsia="en-US"/>
        </w:rPr>
        <w:t>; CTCA = computed tomography coronary angiography</w:t>
      </w:r>
      <w:r>
        <w:rPr>
          <w:rFonts w:ascii="Arial Narrow" w:hAnsi="Arial Narrow" w:cs="Arial"/>
          <w:snapToGrid w:val="0"/>
          <w:sz w:val="20"/>
          <w:szCs w:val="20"/>
          <w:lang w:eastAsia="en-US"/>
        </w:rPr>
        <w:t>;</w:t>
      </w:r>
      <w:r w:rsidRPr="00AE2575">
        <w:t xml:space="preserve"> </w:t>
      </w:r>
      <w:r w:rsidRPr="00AE2575">
        <w:rPr>
          <w:rFonts w:ascii="Arial Narrow" w:hAnsi="Arial Narrow" w:cs="Arial"/>
          <w:snapToGrid w:val="0"/>
          <w:sz w:val="20"/>
          <w:szCs w:val="20"/>
          <w:lang w:eastAsia="en-US"/>
        </w:rPr>
        <w:t>Echo = echocardiography</w:t>
      </w:r>
      <w:r w:rsidR="00B36A23">
        <w:rPr>
          <w:rFonts w:ascii="Arial Narrow" w:hAnsi="Arial Narrow" w:cs="Arial"/>
          <w:snapToGrid w:val="0"/>
          <w:sz w:val="20"/>
          <w:szCs w:val="20"/>
          <w:lang w:eastAsia="en-US"/>
        </w:rPr>
        <w:t xml:space="preserve">; </w:t>
      </w:r>
      <w:r w:rsidR="00B36A23" w:rsidRPr="00FA43C7">
        <w:rPr>
          <w:rFonts w:ascii="Arial Narrow" w:hAnsi="Arial Narrow" w:cs="Arial"/>
          <w:snapToGrid w:val="0"/>
          <w:sz w:val="20"/>
          <w:szCs w:val="20"/>
          <w:lang w:eastAsia="en-US"/>
        </w:rPr>
        <w:t>SPECT = single-photon emission computed tomography</w:t>
      </w:r>
      <w:r>
        <w:rPr>
          <w:rFonts w:ascii="Arial Narrow" w:hAnsi="Arial Narrow" w:cs="Arial"/>
          <w:snapToGrid w:val="0"/>
          <w:sz w:val="20"/>
          <w:szCs w:val="20"/>
          <w:lang w:eastAsia="en-US"/>
        </w:rPr>
        <w:t xml:space="preserve"> </w:t>
      </w:r>
    </w:p>
    <w:p w14:paraId="58C7167F" w14:textId="65D26E8F" w:rsidR="000E482F" w:rsidRPr="00FA43C7" w:rsidRDefault="000E482F" w:rsidP="004C79C1">
      <w:pPr>
        <w:spacing w:after="120" w:line="240" w:lineRule="auto"/>
        <w:jc w:val="both"/>
      </w:pPr>
      <w:r>
        <w:t>D</w:t>
      </w:r>
      <w:r w:rsidRPr="00FA43C7">
        <w:t xml:space="preserve">ifferences </w:t>
      </w:r>
      <w:r w:rsidR="00D72797">
        <w:t>that</w:t>
      </w:r>
      <w:r w:rsidR="00D72797" w:rsidRPr="00FA43C7">
        <w:t xml:space="preserve"> </w:t>
      </w:r>
      <w:r w:rsidRPr="00FA43C7">
        <w:t>should be considered concurrently with the cost analysis of CMR v</w:t>
      </w:r>
      <w:r w:rsidR="00D72797">
        <w:t>ersu</w:t>
      </w:r>
      <w:r w:rsidRPr="00FA43C7">
        <w:t xml:space="preserve">s </w:t>
      </w:r>
      <w:r>
        <w:t>the alternatives include</w:t>
      </w:r>
      <w:r w:rsidR="00D72797">
        <w:t xml:space="preserve"> the following:</w:t>
      </w:r>
    </w:p>
    <w:p w14:paraId="68B6F720" w14:textId="2542344E" w:rsidR="000E482F" w:rsidRDefault="000E482F" w:rsidP="004C79C1">
      <w:pPr>
        <w:pStyle w:val="ListParagraph"/>
        <w:numPr>
          <w:ilvl w:val="0"/>
          <w:numId w:val="61"/>
        </w:numPr>
        <w:spacing w:after="120" w:line="240" w:lineRule="auto"/>
        <w:jc w:val="both"/>
      </w:pPr>
      <w:r w:rsidRPr="00FA43C7">
        <w:t>Patient acceptability</w:t>
      </w:r>
      <w:r w:rsidR="0078609C">
        <w:t>—d</w:t>
      </w:r>
      <w:r w:rsidRPr="00FA43C7">
        <w:t xml:space="preserve">ue to the confined space within a MRI scanner and the duration of the time required </w:t>
      </w:r>
      <w:proofErr w:type="gramStart"/>
      <w:r w:rsidRPr="00FA43C7">
        <w:t>to be</w:t>
      </w:r>
      <w:proofErr w:type="gramEnd"/>
      <w:r w:rsidRPr="00FA43C7">
        <w:t xml:space="preserve"> in the scanner (60</w:t>
      </w:r>
      <w:r w:rsidR="00FD7555">
        <w:t> </w:t>
      </w:r>
      <w:r w:rsidRPr="00FA43C7">
        <w:t>minutes), CMR may not be as acceptable to patients as SPECT</w:t>
      </w:r>
      <w:r>
        <w:t xml:space="preserve">, CTCA or stress </w:t>
      </w:r>
      <w:r w:rsidR="004F632C">
        <w:t>echocardiography</w:t>
      </w:r>
      <w:r w:rsidRPr="00FA43C7">
        <w:t>. In contrast</w:t>
      </w:r>
      <w:r w:rsidR="00FD7555">
        <w:t>,</w:t>
      </w:r>
      <w:r w:rsidRPr="00FA43C7">
        <w:t xml:space="preserve"> scanning with SPECT </w:t>
      </w:r>
      <w:r>
        <w:t xml:space="preserve">and CTCA </w:t>
      </w:r>
      <w:r w:rsidRPr="00FA43C7">
        <w:t>involve</w:t>
      </w:r>
      <w:r w:rsidR="00FD7555">
        <w:t>s</w:t>
      </w:r>
      <w:r w:rsidRPr="00FA43C7">
        <w:t xml:space="preserve"> use of radiation </w:t>
      </w:r>
      <w:r w:rsidR="00FD7555">
        <w:t>that</w:t>
      </w:r>
      <w:r w:rsidR="00FD7555" w:rsidRPr="00FA43C7">
        <w:t xml:space="preserve"> </w:t>
      </w:r>
      <w:r w:rsidRPr="00FA43C7">
        <w:t>may be unacceptable to some patients</w:t>
      </w:r>
      <w:r w:rsidR="00FD7555">
        <w:t>.</w:t>
      </w:r>
    </w:p>
    <w:p w14:paraId="4E338388" w14:textId="67E0CF9A" w:rsidR="000E482F" w:rsidRPr="00FA43C7" w:rsidRDefault="000E482F" w:rsidP="004C79C1">
      <w:pPr>
        <w:pStyle w:val="ListParagraph"/>
        <w:numPr>
          <w:ilvl w:val="0"/>
          <w:numId w:val="61"/>
        </w:numPr>
        <w:spacing w:after="120" w:line="240" w:lineRule="auto"/>
        <w:jc w:val="both"/>
      </w:pPr>
      <w:r w:rsidRPr="00FA43C7">
        <w:t>Relative accessibility/timeliness</w:t>
      </w:r>
      <w:r w:rsidR="00EB757A">
        <w:t>—</w:t>
      </w:r>
      <w:r w:rsidRPr="00FA43C7">
        <w:t>CMR</w:t>
      </w:r>
      <w:r>
        <w:t xml:space="preserve">, </w:t>
      </w:r>
      <w:r w:rsidRPr="00FA43C7">
        <w:t>SPECT</w:t>
      </w:r>
      <w:r>
        <w:t xml:space="preserve">, CTCA and stress </w:t>
      </w:r>
      <w:r w:rsidR="004F632C">
        <w:t>echocardiography</w:t>
      </w:r>
      <w:r>
        <w:t xml:space="preserve"> all </w:t>
      </w:r>
      <w:r w:rsidRPr="00FA43C7">
        <w:t>require a referral</w:t>
      </w:r>
      <w:r w:rsidR="00EB757A">
        <w:t>;</w:t>
      </w:r>
      <w:r w:rsidRPr="00FA43C7">
        <w:t xml:space="preserve"> </w:t>
      </w:r>
      <w:r>
        <w:t>however</w:t>
      </w:r>
      <w:r w:rsidR="00EB757A">
        <w:t>,</w:t>
      </w:r>
      <w:r>
        <w:t xml:space="preserve"> </w:t>
      </w:r>
      <w:r w:rsidRPr="00FA43C7">
        <w:t xml:space="preserve">CMR </w:t>
      </w:r>
      <w:r w:rsidR="00447A22">
        <w:t xml:space="preserve">and </w:t>
      </w:r>
      <w:r>
        <w:t>CTCA are</w:t>
      </w:r>
      <w:r w:rsidRPr="00FA43C7">
        <w:t xml:space="preserve"> by specialist referral only, whereas referral </w:t>
      </w:r>
      <w:r>
        <w:t>f</w:t>
      </w:r>
      <w:r w:rsidRPr="00FA43C7">
        <w:t>o</w:t>
      </w:r>
      <w:r>
        <w:t>r</w:t>
      </w:r>
      <w:r w:rsidRPr="00FA43C7">
        <w:t xml:space="preserve"> SPECT</w:t>
      </w:r>
      <w:r>
        <w:t xml:space="preserve"> or stress </w:t>
      </w:r>
      <w:r w:rsidR="004F632C">
        <w:t>echocardiography</w:t>
      </w:r>
      <w:r w:rsidRPr="00FA43C7">
        <w:t xml:space="preserve"> can </w:t>
      </w:r>
      <w:r>
        <w:t xml:space="preserve">also </w:t>
      </w:r>
      <w:r w:rsidRPr="00FA43C7">
        <w:t xml:space="preserve">be made by </w:t>
      </w:r>
      <w:r w:rsidR="00447A22">
        <w:t xml:space="preserve">a </w:t>
      </w:r>
      <w:r w:rsidRPr="00FA43C7">
        <w:t xml:space="preserve">GP. Access to CMR may also be limited, due to the duration required for CMR and </w:t>
      </w:r>
      <w:r w:rsidR="00447A22">
        <w:t xml:space="preserve">the </w:t>
      </w:r>
      <w:r w:rsidRPr="00FA43C7">
        <w:t>demand in other specialties.</w:t>
      </w:r>
    </w:p>
    <w:p w14:paraId="2949CA61" w14:textId="47FA76D3" w:rsidR="000E482F" w:rsidRPr="00FA43C7" w:rsidRDefault="000E482F" w:rsidP="004C79C1">
      <w:pPr>
        <w:pStyle w:val="ListParagraph"/>
        <w:numPr>
          <w:ilvl w:val="0"/>
          <w:numId w:val="61"/>
        </w:numPr>
        <w:spacing w:after="120" w:line="240" w:lineRule="auto"/>
        <w:jc w:val="both"/>
      </w:pPr>
      <w:r>
        <w:t>Provision of a</w:t>
      </w:r>
      <w:r w:rsidRPr="00FA43C7">
        <w:t>dditional clinical information</w:t>
      </w:r>
      <w:r w:rsidR="00447A22">
        <w:t>—</w:t>
      </w:r>
      <w:r w:rsidRPr="00FA43C7">
        <w:t>CMR can identify causes of DCM other than ischaemia</w:t>
      </w:r>
      <w:r w:rsidR="00447A22">
        <w:t>,</w:t>
      </w:r>
      <w:r w:rsidRPr="00FA43C7">
        <w:t xml:space="preserve"> and thus reduc</w:t>
      </w:r>
      <w:r w:rsidR="00447A22">
        <w:t>es</w:t>
      </w:r>
      <w:r w:rsidRPr="00FA43C7">
        <w:t xml:space="preserve"> further downstream testing costs in some cases. It is unknown whether SPECT</w:t>
      </w:r>
      <w:r>
        <w:t xml:space="preserve">, CTCA or stress </w:t>
      </w:r>
      <w:r w:rsidR="004F632C">
        <w:t>echocardiography</w:t>
      </w:r>
      <w:r w:rsidRPr="00FA43C7">
        <w:t xml:space="preserve"> can distinguish between the aetiologies of DCM other than ruling out likely ischaemic causes. </w:t>
      </w:r>
      <w:r>
        <w:t xml:space="preserve">Insufficient </w:t>
      </w:r>
      <w:r w:rsidRPr="00FA43C7">
        <w:t xml:space="preserve">evidence was found during </w:t>
      </w:r>
      <w:r w:rsidRPr="00FA43C7">
        <w:lastRenderedPageBreak/>
        <w:t>the clinical assessment to support the comparison of diagnostic accuracy and effectiveness of CMR v</w:t>
      </w:r>
      <w:r w:rsidR="008F5C37">
        <w:t>ersu</w:t>
      </w:r>
      <w:r w:rsidRPr="00FA43C7">
        <w:t xml:space="preserve">s </w:t>
      </w:r>
      <w:r>
        <w:t>any of these comparators</w:t>
      </w:r>
      <w:r w:rsidRPr="00FA43C7">
        <w:t>.</w:t>
      </w:r>
    </w:p>
    <w:p w14:paraId="0EE5BA24" w14:textId="3C18207E" w:rsidR="000E482F" w:rsidRDefault="000E482F" w:rsidP="004C79C1">
      <w:pPr>
        <w:spacing w:after="120" w:line="240" w:lineRule="auto"/>
        <w:contextualSpacing/>
        <w:jc w:val="both"/>
      </w:pPr>
      <w:r>
        <w:t>And the nature and i</w:t>
      </w:r>
      <w:r w:rsidRPr="00FA43C7">
        <w:t>ncidence of side effects</w:t>
      </w:r>
      <w:r>
        <w:t xml:space="preserve"> varies between testing strategies</w:t>
      </w:r>
      <w:r w:rsidR="008F5C37">
        <w:t>:</w:t>
      </w:r>
    </w:p>
    <w:p w14:paraId="1E22B4D2" w14:textId="20BCE8D2" w:rsidR="000E482F" w:rsidRDefault="008F5C37" w:rsidP="004C79C1">
      <w:pPr>
        <w:pStyle w:val="ListParagraph"/>
        <w:numPr>
          <w:ilvl w:val="0"/>
          <w:numId w:val="62"/>
        </w:numPr>
        <w:spacing w:after="120" w:line="240" w:lineRule="auto"/>
        <w:jc w:val="both"/>
      </w:pPr>
      <w:r>
        <w:t xml:space="preserve">The </w:t>
      </w:r>
      <w:r w:rsidR="000E482F" w:rsidRPr="00FA43C7">
        <w:t>G</w:t>
      </w:r>
      <w:r>
        <w:t>d</w:t>
      </w:r>
      <w:r w:rsidR="000E482F" w:rsidRPr="00FA43C7">
        <w:t xml:space="preserve"> agent used in CMR testing may be associated with mortality due to long-term nephrotic toxicity, in addition to acute allergic reactions (approximately 6.6 per 10,000 doses) (</w:t>
      </w:r>
      <w:r w:rsidR="008206EC">
        <w:t xml:space="preserve">see </w:t>
      </w:r>
      <w:r w:rsidR="000D72EA">
        <w:t>s</w:t>
      </w:r>
      <w:r w:rsidR="000E482F" w:rsidRPr="00FA43C7">
        <w:t>ection B.7.1).</w:t>
      </w:r>
    </w:p>
    <w:p w14:paraId="347FA98B" w14:textId="003CD314" w:rsidR="000E482F" w:rsidRPr="00FA43C7" w:rsidRDefault="000E482F" w:rsidP="004C79C1">
      <w:pPr>
        <w:pStyle w:val="ListParagraph"/>
        <w:numPr>
          <w:ilvl w:val="0"/>
          <w:numId w:val="62"/>
        </w:numPr>
        <w:spacing w:after="120" w:line="240" w:lineRule="auto"/>
        <w:jc w:val="both"/>
      </w:pPr>
      <w:r>
        <w:t>A</w:t>
      </w:r>
      <w:r w:rsidRPr="00FA43C7">
        <w:t xml:space="preserve">cute AEs related to </w:t>
      </w:r>
      <w:r w:rsidR="008206EC">
        <w:t xml:space="preserve">the </w:t>
      </w:r>
      <w:r w:rsidRPr="00FA43C7">
        <w:t>use of radiotracers in SPECT are very rare (0.06</w:t>
      </w:r>
      <w:r w:rsidR="00662F02">
        <w:t xml:space="preserve"> per </w:t>
      </w:r>
      <w:r w:rsidRPr="00FA43C7">
        <w:t>10,000 scans)</w:t>
      </w:r>
      <w:r>
        <w:t xml:space="preserve"> but</w:t>
      </w:r>
      <w:r w:rsidRPr="00FA43C7">
        <w:t xml:space="preserve"> there is a long-term fatal cancer risk of approx</w:t>
      </w:r>
      <w:r w:rsidR="008206EC">
        <w:t>imately</w:t>
      </w:r>
      <w:r w:rsidRPr="00FA43C7">
        <w:t xml:space="preserve"> 7.8 per 10,000 patients (</w:t>
      </w:r>
      <w:r w:rsidR="008206EC">
        <w:t xml:space="preserve">see </w:t>
      </w:r>
      <w:r w:rsidR="000D72EA">
        <w:t>s</w:t>
      </w:r>
      <w:r w:rsidRPr="00FA43C7">
        <w:t>ection B.7.1). LGE-CMR appears to have similar safety, with respect to mortality rate, to SPECT</w:t>
      </w:r>
      <w:r w:rsidR="008206EC">
        <w:t>.</w:t>
      </w:r>
    </w:p>
    <w:p w14:paraId="2097F764" w14:textId="469E390B" w:rsidR="000E482F" w:rsidRPr="00FA43C7" w:rsidRDefault="000E482F" w:rsidP="004C79C1">
      <w:pPr>
        <w:pStyle w:val="ListParagraph"/>
        <w:numPr>
          <w:ilvl w:val="0"/>
          <w:numId w:val="62"/>
        </w:numPr>
        <w:spacing w:after="120" w:line="240" w:lineRule="auto"/>
        <w:jc w:val="both"/>
      </w:pPr>
      <w:r w:rsidRPr="00FA43C7">
        <w:t>CTCA</w:t>
      </w:r>
      <w:r>
        <w:t xml:space="preserve"> has,</w:t>
      </w:r>
      <w:r w:rsidRPr="00FA43C7">
        <w:t xml:space="preserve"> in addition to AE</w:t>
      </w:r>
      <w:r w:rsidR="008206EC">
        <w:t>s</w:t>
      </w:r>
      <w:r w:rsidRPr="00FA43C7">
        <w:t xml:space="preserve"> related to </w:t>
      </w:r>
      <w:r w:rsidR="00BE750B">
        <w:t xml:space="preserve">the </w:t>
      </w:r>
      <w:r w:rsidRPr="00FA43C7">
        <w:t>iodinated contrast agent, a long-term fatal cancer risk of 1.5–7 per 10,000 patients related to the use of radiation doses</w:t>
      </w:r>
      <w:r w:rsidR="00BE750B">
        <w:t>,</w:t>
      </w:r>
      <w:r w:rsidRPr="00FA43C7">
        <w:t xml:space="preserve"> and a mortality risk of 8–14 per 10,000 patients (</w:t>
      </w:r>
      <w:r w:rsidR="000D72EA">
        <w:t>s</w:t>
      </w:r>
      <w:r w:rsidRPr="00FA43C7">
        <w:t>ection B.7.1).</w:t>
      </w:r>
    </w:p>
    <w:p w14:paraId="00FA6C28" w14:textId="6FE5305F" w:rsidR="000E482F" w:rsidRDefault="00BE750B" w:rsidP="004C79C1">
      <w:pPr>
        <w:pStyle w:val="ListParagraph"/>
        <w:numPr>
          <w:ilvl w:val="0"/>
          <w:numId w:val="62"/>
        </w:numPr>
        <w:spacing w:after="120" w:line="240" w:lineRule="auto"/>
        <w:jc w:val="both"/>
      </w:pPr>
      <w:r>
        <w:t>S</w:t>
      </w:r>
      <w:r w:rsidR="000E482F" w:rsidRPr="00FA43C7">
        <w:t xml:space="preserve">tress </w:t>
      </w:r>
      <w:r w:rsidR="004F632C">
        <w:t>echocardiography</w:t>
      </w:r>
      <w:r w:rsidR="000E482F" w:rsidRPr="00FA43C7">
        <w:t xml:space="preserve"> </w:t>
      </w:r>
      <w:r w:rsidR="000E482F">
        <w:t xml:space="preserve">patients </w:t>
      </w:r>
      <w:r w:rsidR="000E482F" w:rsidRPr="00FA43C7">
        <w:t xml:space="preserve">may suffer an acute event resulting in death (approximately 1.4 per 10,000 patients) due to the use of a </w:t>
      </w:r>
      <w:proofErr w:type="gramStart"/>
      <w:r w:rsidR="000E482F" w:rsidRPr="00FA43C7">
        <w:t>stressor</w:t>
      </w:r>
      <w:r w:rsidR="00662F02">
        <w:t>,</w:t>
      </w:r>
      <w:proofErr w:type="gramEnd"/>
      <w:r w:rsidR="000E482F" w:rsidRPr="00FA43C7">
        <w:t xml:space="preserve"> in addition to AEs related to stressors and microspheres (</w:t>
      </w:r>
      <w:r w:rsidR="00662F02">
        <w:t xml:space="preserve">see </w:t>
      </w:r>
      <w:r w:rsidR="000D72EA">
        <w:t>s</w:t>
      </w:r>
      <w:r w:rsidR="000E482F" w:rsidRPr="00FA43C7">
        <w:t xml:space="preserve">ection B.7.1). The </w:t>
      </w:r>
      <w:proofErr w:type="gramStart"/>
      <w:r w:rsidR="000E482F" w:rsidRPr="00FA43C7">
        <w:t xml:space="preserve">number of serious AEs experienced by patients during stress </w:t>
      </w:r>
      <w:r w:rsidR="004F632C">
        <w:t>echocardiography</w:t>
      </w:r>
      <w:r w:rsidR="000E482F" w:rsidRPr="00FA43C7">
        <w:t xml:space="preserve"> outnumber</w:t>
      </w:r>
      <w:proofErr w:type="gramEnd"/>
      <w:r w:rsidR="000E482F" w:rsidRPr="00FA43C7">
        <w:t xml:space="preserve"> those resulting from CMR due to the use of a stressor (</w:t>
      </w:r>
      <w:r w:rsidR="00EF4D02">
        <w:fldChar w:fldCharType="begin"/>
      </w:r>
      <w:r w:rsidR="00EF4D02">
        <w:instrText xml:space="preserve"> REF _Ref448757037 \h </w:instrText>
      </w:r>
      <w:r w:rsidR="00EF4D02">
        <w:fldChar w:fldCharType="separate"/>
      </w:r>
      <w:r w:rsidR="00EF4D02" w:rsidRPr="0032214A">
        <w:t xml:space="preserve">Table </w:t>
      </w:r>
      <w:r w:rsidR="00EF4D02">
        <w:rPr>
          <w:noProof/>
        </w:rPr>
        <w:t>99</w:t>
      </w:r>
      <w:r w:rsidR="00EF4D02">
        <w:fldChar w:fldCharType="end"/>
      </w:r>
      <w:r w:rsidR="000E482F">
        <w:t xml:space="preserve">, </w:t>
      </w:r>
      <w:r w:rsidR="00692452">
        <w:t>A</w:t>
      </w:r>
      <w:r w:rsidR="000E482F">
        <w:t>ppendix J</w:t>
      </w:r>
      <w:r w:rsidR="000E482F" w:rsidRPr="00FA43C7">
        <w:t xml:space="preserve">). </w:t>
      </w:r>
    </w:p>
    <w:p w14:paraId="2213F02F" w14:textId="4E24C868" w:rsidR="000E482F" w:rsidRPr="00FA43C7" w:rsidRDefault="000E482F" w:rsidP="00161B88">
      <w:pPr>
        <w:pStyle w:val="Heading3"/>
      </w:pPr>
      <w:bookmarkStart w:id="648" w:name="_Toc449428921"/>
      <w:bookmarkStart w:id="649" w:name="_Toc451501391"/>
      <w:r w:rsidRPr="00FA43C7">
        <w:t>D6</w:t>
      </w:r>
      <w:proofErr w:type="gramStart"/>
      <w:r w:rsidRPr="00FA43C7">
        <w:t>.(</w:t>
      </w:r>
      <w:proofErr w:type="gramEnd"/>
      <w:r w:rsidRPr="00FA43C7">
        <w:t>iiB)</w:t>
      </w:r>
      <w:r>
        <w:t xml:space="preserve"> CA</w:t>
      </w:r>
      <w:r>
        <w:tab/>
      </w:r>
      <w:r w:rsidRPr="00FA43C7">
        <w:t>Sensitivity analyses</w:t>
      </w:r>
      <w:bookmarkEnd w:id="648"/>
      <w:bookmarkEnd w:id="649"/>
    </w:p>
    <w:p w14:paraId="71F1F0A5" w14:textId="117D3E97" w:rsidR="000E482F" w:rsidRPr="00FA43C7" w:rsidRDefault="000E482F" w:rsidP="004C79C1">
      <w:pPr>
        <w:spacing w:after="120" w:line="240" w:lineRule="auto"/>
        <w:jc w:val="both"/>
      </w:pPr>
      <w:r w:rsidRPr="00FA43C7">
        <w:t>Sensitivity analys</w:t>
      </w:r>
      <w:r w:rsidR="008F19DC">
        <w:t>e</w:t>
      </w:r>
      <w:r w:rsidRPr="00FA43C7">
        <w:t>s were conducted around</w:t>
      </w:r>
      <w:r>
        <w:t xml:space="preserve"> some of the assumptions made in the analysis </w:t>
      </w:r>
      <w:r w:rsidR="008F19DC">
        <w:t xml:space="preserve">to </w:t>
      </w:r>
      <w:r>
        <w:t>determin</w:t>
      </w:r>
      <w:r w:rsidR="008F19DC">
        <w:t>e</w:t>
      </w:r>
      <w:r w:rsidRPr="00FA43C7">
        <w:t xml:space="preserve"> the incremental cost</w:t>
      </w:r>
      <w:r>
        <w:t>s</w:t>
      </w:r>
      <w:r w:rsidRPr="00FA43C7">
        <w:t xml:space="preserve"> of CMR compared </w:t>
      </w:r>
      <w:r w:rsidR="008F19DC">
        <w:t>with</w:t>
      </w:r>
      <w:r w:rsidR="008F19DC" w:rsidRPr="00FA43C7">
        <w:t xml:space="preserve"> </w:t>
      </w:r>
      <w:r w:rsidRPr="00FA43C7">
        <w:t>SPECT</w:t>
      </w:r>
      <w:r w:rsidR="008F19DC">
        <w:t>,</w:t>
      </w:r>
      <w:r>
        <w:t xml:space="preserve"> CTCA and stress </w:t>
      </w:r>
      <w:r w:rsidR="00EF4D02">
        <w:t>echocardiography</w:t>
      </w:r>
      <w:r>
        <w:t xml:space="preserve">. </w:t>
      </w:r>
      <w:r w:rsidRPr="00FA43C7">
        <w:t>These included removing the assumption of the bulk-billing incentive for CMR for CM services</w:t>
      </w:r>
      <w:r w:rsidR="00373F14">
        <w:t>,</w:t>
      </w:r>
      <w:r w:rsidRPr="00FA43C7">
        <w:t xml:space="preserve"> and modifications to the CMR patient contribution</w:t>
      </w:r>
      <w:r>
        <w:t xml:space="preserve"> and the proportion of patients who are bulk-billed</w:t>
      </w:r>
      <w:r w:rsidRPr="00FA43C7">
        <w:t>. The a</w:t>
      </w:r>
      <w:r>
        <w:t>djusted assumptions</w:t>
      </w:r>
      <w:r w:rsidRPr="00FA43C7">
        <w:t xml:space="preserve"> </w:t>
      </w:r>
      <w:r>
        <w:t>are</w:t>
      </w:r>
      <w:r w:rsidRPr="00FA43C7">
        <w:t xml:space="preserve"> presented in</w:t>
      </w:r>
      <w:r w:rsidR="00373F14">
        <w:t xml:space="preserve"> </w:t>
      </w:r>
      <w:r w:rsidR="00EF4D02">
        <w:fldChar w:fldCharType="begin"/>
      </w:r>
      <w:r w:rsidR="00EF4D02">
        <w:instrText xml:space="preserve"> REF _Ref451267618 \h </w:instrText>
      </w:r>
      <w:r w:rsidR="00EF4D02">
        <w:fldChar w:fldCharType="separate"/>
      </w:r>
      <w:r w:rsidR="00EF4D02">
        <w:t xml:space="preserve">Table </w:t>
      </w:r>
      <w:r w:rsidR="00EF4D02">
        <w:rPr>
          <w:noProof/>
        </w:rPr>
        <w:t>55</w:t>
      </w:r>
      <w:r w:rsidR="00EF4D02">
        <w:fldChar w:fldCharType="end"/>
      </w:r>
      <w:r w:rsidR="00EF4D02">
        <w:t xml:space="preserve"> </w:t>
      </w:r>
      <w:r>
        <w:t>(with adjustments making less than a 10% difference shaded out)</w:t>
      </w:r>
      <w:r w:rsidR="00373F14">
        <w:t>.</w:t>
      </w:r>
    </w:p>
    <w:p w14:paraId="69A9F0C6" w14:textId="0BB6F9FF" w:rsidR="000E482F" w:rsidRPr="00FA43C7" w:rsidRDefault="000E66CD" w:rsidP="004C79C1">
      <w:pPr>
        <w:pStyle w:val="Caption"/>
      </w:pPr>
      <w:bookmarkStart w:id="650" w:name="_Ref451267618"/>
      <w:bookmarkStart w:id="651" w:name="_Toc449555015"/>
      <w:bookmarkStart w:id="652" w:name="_Toc324410226"/>
      <w:bookmarkStart w:id="653" w:name="_Toc451435382"/>
      <w:r>
        <w:t xml:space="preserve">Table </w:t>
      </w:r>
      <w:fldSimple w:instr=" SEQ Table \* ARABIC ">
        <w:r w:rsidR="0034788F">
          <w:rPr>
            <w:noProof/>
          </w:rPr>
          <w:t>55</w:t>
        </w:r>
      </w:fldSimple>
      <w:bookmarkEnd w:id="650"/>
      <w:r>
        <w:t xml:space="preserve"> </w:t>
      </w:r>
      <w:r w:rsidRPr="00F54199">
        <w:t xml:space="preserve">Key sensitivity analyses, comparisons of CMR with SPECT, CTCA and stress </w:t>
      </w:r>
      <w:r w:rsidR="00A21115">
        <w:t>echocardiography</w:t>
      </w:r>
      <w:bookmarkEnd w:id="651"/>
      <w:bookmarkEnd w:id="652"/>
      <w:bookmarkEnd w:id="653"/>
    </w:p>
    <w:tbl>
      <w:tblPr>
        <w:tblStyle w:val="TableGrid"/>
        <w:tblW w:w="0" w:type="auto"/>
        <w:tblLook w:val="04A0" w:firstRow="1" w:lastRow="0" w:firstColumn="1" w:lastColumn="0" w:noHBand="0" w:noVBand="1"/>
        <w:tblDescription w:val="Key sensitivity analyses, comparisons of CMR to SPECT, CTCA and stress Echo"/>
      </w:tblPr>
      <w:tblGrid>
        <w:gridCol w:w="3824"/>
        <w:gridCol w:w="1760"/>
        <w:gridCol w:w="1716"/>
        <w:gridCol w:w="1716"/>
      </w:tblGrid>
      <w:tr w:rsidR="000E482F" w:rsidRPr="00C34CD0" w14:paraId="0C6D7251" w14:textId="77777777" w:rsidTr="00723891">
        <w:trPr>
          <w:tblHeader/>
        </w:trPr>
        <w:tc>
          <w:tcPr>
            <w:tcW w:w="3824" w:type="dxa"/>
            <w:tcBorders>
              <w:bottom w:val="single" w:sz="4" w:space="0" w:color="auto"/>
            </w:tcBorders>
          </w:tcPr>
          <w:p w14:paraId="3786C3B5" w14:textId="77777777" w:rsidR="000E482F" w:rsidRPr="00C34CD0" w:rsidRDefault="000E482F" w:rsidP="004C79C1">
            <w:pPr>
              <w:spacing w:after="120" w:line="240" w:lineRule="auto"/>
              <w:rPr>
                <w:rFonts w:ascii="Arial Narrow" w:hAnsi="Arial Narrow"/>
                <w:sz w:val="20"/>
                <w:szCs w:val="20"/>
              </w:rPr>
            </w:pPr>
          </w:p>
        </w:tc>
        <w:tc>
          <w:tcPr>
            <w:tcW w:w="1760" w:type="dxa"/>
            <w:tcBorders>
              <w:bottom w:val="single" w:sz="4" w:space="0" w:color="auto"/>
            </w:tcBorders>
          </w:tcPr>
          <w:p w14:paraId="480EC02F" w14:textId="77777777" w:rsidR="000E482F" w:rsidRPr="00C34CD0" w:rsidRDefault="000E482F" w:rsidP="004C79C1">
            <w:pPr>
              <w:spacing w:after="120" w:line="240" w:lineRule="auto"/>
              <w:jc w:val="center"/>
              <w:rPr>
                <w:rFonts w:ascii="Arial Narrow" w:hAnsi="Arial Narrow"/>
                <w:b/>
                <w:sz w:val="20"/>
                <w:szCs w:val="20"/>
              </w:rPr>
            </w:pPr>
            <w:r w:rsidRPr="00C34CD0">
              <w:rPr>
                <w:rFonts w:ascii="Arial Narrow" w:hAnsi="Arial Narrow"/>
                <w:b/>
                <w:sz w:val="20"/>
                <w:szCs w:val="20"/>
              </w:rPr>
              <w:t>Incremental costs vs SPECT</w:t>
            </w:r>
          </w:p>
        </w:tc>
        <w:tc>
          <w:tcPr>
            <w:tcW w:w="1716" w:type="dxa"/>
            <w:tcBorders>
              <w:bottom w:val="single" w:sz="4" w:space="0" w:color="auto"/>
            </w:tcBorders>
          </w:tcPr>
          <w:p w14:paraId="78EFA536" w14:textId="4D46DEB3" w:rsidR="000E482F" w:rsidRPr="00C34CD0" w:rsidRDefault="000E482F" w:rsidP="004C79C1">
            <w:pPr>
              <w:spacing w:after="120" w:line="240" w:lineRule="auto"/>
              <w:jc w:val="center"/>
              <w:rPr>
                <w:rFonts w:ascii="Arial Narrow" w:hAnsi="Arial Narrow"/>
                <w:b/>
                <w:sz w:val="20"/>
                <w:szCs w:val="20"/>
              </w:rPr>
            </w:pPr>
            <w:r w:rsidRPr="00C34CD0">
              <w:rPr>
                <w:rFonts w:ascii="Arial Narrow" w:hAnsi="Arial Narrow"/>
                <w:b/>
                <w:sz w:val="20"/>
                <w:szCs w:val="20"/>
              </w:rPr>
              <w:t>Incremental cost</w:t>
            </w:r>
            <w:r w:rsidR="00373F14">
              <w:rPr>
                <w:rFonts w:ascii="Arial Narrow" w:hAnsi="Arial Narrow"/>
                <w:b/>
                <w:sz w:val="20"/>
                <w:szCs w:val="20"/>
              </w:rPr>
              <w:t>s</w:t>
            </w:r>
            <w:r w:rsidRPr="00C34CD0">
              <w:rPr>
                <w:rFonts w:ascii="Arial Narrow" w:hAnsi="Arial Narrow"/>
                <w:b/>
                <w:sz w:val="20"/>
                <w:szCs w:val="20"/>
              </w:rPr>
              <w:t xml:space="preserve"> vs CTCA</w:t>
            </w:r>
          </w:p>
        </w:tc>
        <w:tc>
          <w:tcPr>
            <w:tcW w:w="1716" w:type="dxa"/>
            <w:tcBorders>
              <w:bottom w:val="single" w:sz="4" w:space="0" w:color="auto"/>
            </w:tcBorders>
          </w:tcPr>
          <w:p w14:paraId="1CA1F62A" w14:textId="08BAAB3C" w:rsidR="000E482F" w:rsidRPr="00C34CD0" w:rsidRDefault="000E482F" w:rsidP="004C79C1">
            <w:pPr>
              <w:spacing w:after="120" w:line="240" w:lineRule="auto"/>
              <w:jc w:val="center"/>
              <w:rPr>
                <w:rFonts w:ascii="Arial Narrow" w:hAnsi="Arial Narrow"/>
                <w:b/>
                <w:sz w:val="20"/>
                <w:szCs w:val="20"/>
              </w:rPr>
            </w:pPr>
            <w:r w:rsidRPr="00C34CD0">
              <w:rPr>
                <w:rFonts w:ascii="Arial Narrow" w:hAnsi="Arial Narrow"/>
                <w:b/>
                <w:sz w:val="20"/>
                <w:lang w:eastAsia="en-US"/>
              </w:rPr>
              <w:t>Incremental cost</w:t>
            </w:r>
            <w:r w:rsidR="00373F14">
              <w:rPr>
                <w:rFonts w:ascii="Arial Narrow" w:hAnsi="Arial Narrow"/>
                <w:b/>
                <w:sz w:val="20"/>
                <w:lang w:eastAsia="en-US"/>
              </w:rPr>
              <w:t>s</w:t>
            </w:r>
            <w:r w:rsidRPr="00C34CD0">
              <w:rPr>
                <w:rFonts w:ascii="Arial Narrow" w:hAnsi="Arial Narrow"/>
                <w:b/>
                <w:sz w:val="20"/>
                <w:lang w:eastAsia="en-US"/>
              </w:rPr>
              <w:t xml:space="preserve"> vs stress Echo</w:t>
            </w:r>
          </w:p>
        </w:tc>
      </w:tr>
      <w:tr w:rsidR="000E482F" w:rsidRPr="00C34CD0" w14:paraId="6588242E" w14:textId="77777777" w:rsidTr="00723891">
        <w:tc>
          <w:tcPr>
            <w:tcW w:w="3824" w:type="dxa"/>
            <w:tcBorders>
              <w:bottom w:val="single" w:sz="4" w:space="0" w:color="auto"/>
            </w:tcBorders>
          </w:tcPr>
          <w:p w14:paraId="5DC744B9" w14:textId="1748228F" w:rsidR="000E482F" w:rsidRPr="00C34CD0" w:rsidRDefault="000E482F" w:rsidP="004C79C1">
            <w:pPr>
              <w:spacing w:after="120" w:line="240" w:lineRule="auto"/>
              <w:rPr>
                <w:rFonts w:ascii="Arial Narrow" w:hAnsi="Arial Narrow"/>
                <w:b/>
                <w:sz w:val="20"/>
                <w:szCs w:val="20"/>
              </w:rPr>
            </w:pPr>
            <w:r w:rsidRPr="00C34CD0">
              <w:rPr>
                <w:rFonts w:ascii="Arial Narrow" w:hAnsi="Arial Narrow"/>
                <w:b/>
                <w:sz w:val="20"/>
                <w:szCs w:val="20"/>
              </w:rPr>
              <w:t>Base</w:t>
            </w:r>
            <w:r w:rsidR="00480AA8">
              <w:rPr>
                <w:rFonts w:ascii="Arial Narrow" w:hAnsi="Arial Narrow"/>
                <w:b/>
                <w:sz w:val="20"/>
                <w:szCs w:val="20"/>
              </w:rPr>
              <w:t>-</w:t>
            </w:r>
            <w:r w:rsidRPr="00C34CD0">
              <w:rPr>
                <w:rFonts w:ascii="Arial Narrow" w:hAnsi="Arial Narrow"/>
                <w:b/>
                <w:sz w:val="20"/>
                <w:szCs w:val="20"/>
              </w:rPr>
              <w:t>case</w:t>
            </w:r>
          </w:p>
        </w:tc>
        <w:tc>
          <w:tcPr>
            <w:tcW w:w="1760" w:type="dxa"/>
            <w:tcBorders>
              <w:bottom w:val="single" w:sz="4" w:space="0" w:color="auto"/>
            </w:tcBorders>
          </w:tcPr>
          <w:p w14:paraId="40A448FF" w14:textId="5615C22F" w:rsidR="000E482F" w:rsidRPr="00C34CD0" w:rsidRDefault="000E482F" w:rsidP="004C79C1">
            <w:pPr>
              <w:tabs>
                <w:tab w:val="decimal" w:pos="712"/>
              </w:tabs>
              <w:spacing w:after="120" w:line="240" w:lineRule="auto"/>
              <w:jc w:val="center"/>
              <w:rPr>
                <w:rFonts w:ascii="Arial Narrow" w:hAnsi="Arial Narrow"/>
                <w:b/>
                <w:sz w:val="20"/>
                <w:szCs w:val="20"/>
              </w:rPr>
            </w:pPr>
            <w:r w:rsidRPr="00C34CD0">
              <w:rPr>
                <w:rFonts w:ascii="Arial Narrow" w:hAnsi="Arial Narrow"/>
                <w:sz w:val="20"/>
                <w:szCs w:val="20"/>
              </w:rPr>
              <w:t>$388</w:t>
            </w:r>
          </w:p>
        </w:tc>
        <w:tc>
          <w:tcPr>
            <w:tcW w:w="1716" w:type="dxa"/>
            <w:tcBorders>
              <w:bottom w:val="single" w:sz="4" w:space="0" w:color="auto"/>
            </w:tcBorders>
          </w:tcPr>
          <w:p w14:paraId="799125AA" w14:textId="20A70082"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$23</w:t>
            </w:r>
            <w:r w:rsidR="00EF4D02">
              <w:rPr>
                <w:rFonts w:ascii="Arial Narrow" w:hAnsi="Arial Narrow"/>
                <w:sz w:val="20"/>
                <w:szCs w:val="20"/>
              </w:rPr>
              <w:t>1</w:t>
            </w:r>
          </w:p>
        </w:tc>
        <w:tc>
          <w:tcPr>
            <w:tcW w:w="1716" w:type="dxa"/>
            <w:tcBorders>
              <w:bottom w:val="single" w:sz="4" w:space="0" w:color="auto"/>
            </w:tcBorders>
          </w:tcPr>
          <w:p w14:paraId="505EF274" w14:textId="0499654B"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b/>
                <w:sz w:val="20"/>
                <w:lang w:eastAsia="en-US"/>
              </w:rPr>
              <w:t>$504</w:t>
            </w:r>
          </w:p>
        </w:tc>
      </w:tr>
      <w:tr w:rsidR="000E482F" w:rsidRPr="00C34CD0" w14:paraId="6A7289FE" w14:textId="77777777" w:rsidTr="00723891">
        <w:tc>
          <w:tcPr>
            <w:tcW w:w="3824" w:type="dxa"/>
            <w:tcBorders>
              <w:top w:val="single" w:sz="4" w:space="0" w:color="auto"/>
            </w:tcBorders>
          </w:tcPr>
          <w:p w14:paraId="32E0E2F6" w14:textId="77777777" w:rsidR="000E482F" w:rsidRPr="00C34CD0" w:rsidRDefault="000E482F" w:rsidP="004C79C1">
            <w:pPr>
              <w:spacing w:after="120" w:line="240" w:lineRule="auto"/>
              <w:rPr>
                <w:rFonts w:ascii="Arial Narrow" w:hAnsi="Arial Narrow"/>
                <w:sz w:val="20"/>
                <w:szCs w:val="20"/>
              </w:rPr>
            </w:pPr>
            <w:r w:rsidRPr="00C34CD0">
              <w:rPr>
                <w:rFonts w:ascii="Arial Narrow" w:hAnsi="Arial Narrow"/>
                <w:sz w:val="20"/>
                <w:szCs w:val="20"/>
              </w:rPr>
              <w:t>Assuming no bulk-billing incentive</w:t>
            </w:r>
          </w:p>
          <w:p w14:paraId="786FC092" w14:textId="79324CEB" w:rsidR="000E482F" w:rsidRPr="00C34CD0" w:rsidRDefault="000E482F" w:rsidP="004C79C1">
            <w:pPr>
              <w:spacing w:after="120" w:line="240" w:lineRule="auto"/>
              <w:rPr>
                <w:rFonts w:ascii="Arial Narrow" w:hAnsi="Arial Narrow"/>
                <w:sz w:val="20"/>
                <w:szCs w:val="20"/>
              </w:rPr>
            </w:pPr>
            <w:r w:rsidRPr="00C34CD0">
              <w:rPr>
                <w:rFonts w:ascii="Arial Narrow" w:hAnsi="Arial Narrow"/>
                <w:color w:val="000000"/>
                <w:sz w:val="20"/>
                <w:szCs w:val="20"/>
              </w:rPr>
              <w:t>(</w:t>
            </w:r>
            <w:r w:rsidR="001854F1">
              <w:rPr>
                <w:rFonts w:ascii="Arial Narrow" w:hAnsi="Arial Narrow"/>
                <w:color w:val="000000"/>
                <w:sz w:val="20"/>
                <w:szCs w:val="20"/>
              </w:rPr>
              <w:t>b</w:t>
            </w:r>
            <w:r w:rsidRPr="00C34CD0">
              <w:rPr>
                <w:rFonts w:ascii="Arial Narrow" w:hAnsi="Arial Narrow"/>
                <w:color w:val="000000"/>
                <w:sz w:val="20"/>
                <w:szCs w:val="20"/>
              </w:rPr>
              <w:t>ase</w:t>
            </w:r>
            <w:r w:rsidR="00616F1D">
              <w:rPr>
                <w:rFonts w:ascii="Arial Narrow" w:hAnsi="Arial Narrow"/>
                <w:color w:val="000000"/>
                <w:sz w:val="20"/>
                <w:szCs w:val="20"/>
              </w:rPr>
              <w:t>-</w:t>
            </w:r>
            <w:r w:rsidRPr="00C34CD0">
              <w:rPr>
                <w:rFonts w:ascii="Arial Narrow" w:hAnsi="Arial Narrow"/>
                <w:color w:val="000000"/>
                <w:sz w:val="20"/>
                <w:szCs w:val="20"/>
              </w:rPr>
              <w:t>case: assumes bulk-billing incentive)</w:t>
            </w:r>
          </w:p>
        </w:tc>
        <w:tc>
          <w:tcPr>
            <w:tcW w:w="1760" w:type="dxa"/>
            <w:tcBorders>
              <w:top w:val="single" w:sz="4" w:space="0" w:color="auto"/>
            </w:tcBorders>
          </w:tcPr>
          <w:p w14:paraId="723B8CA2" w14:textId="375165AA" w:rsidR="000E482F" w:rsidRPr="00C34CD0" w:rsidRDefault="000E482F" w:rsidP="004C79C1">
            <w:pPr>
              <w:tabs>
                <w:tab w:val="decimal" w:pos="712"/>
              </w:tabs>
              <w:spacing w:after="120" w:line="240" w:lineRule="auto"/>
              <w:jc w:val="center"/>
              <w:rPr>
                <w:rFonts w:ascii="Arial Narrow" w:hAnsi="Arial Narrow"/>
                <w:color w:val="000000"/>
                <w:sz w:val="20"/>
                <w:szCs w:val="20"/>
              </w:rPr>
            </w:pPr>
            <w:r w:rsidRPr="00C34CD0">
              <w:rPr>
                <w:rFonts w:ascii="Arial Narrow" w:hAnsi="Arial Narrow"/>
                <w:sz w:val="20"/>
                <w:szCs w:val="20"/>
              </w:rPr>
              <w:t>$295</w:t>
            </w:r>
          </w:p>
        </w:tc>
        <w:tc>
          <w:tcPr>
            <w:tcW w:w="1716" w:type="dxa"/>
            <w:tcBorders>
              <w:top w:val="single" w:sz="4" w:space="0" w:color="auto"/>
            </w:tcBorders>
          </w:tcPr>
          <w:p w14:paraId="718F1CC2" w14:textId="34C9706D"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$13</w:t>
            </w:r>
            <w:r w:rsidR="00EF4D02">
              <w:rPr>
                <w:rFonts w:ascii="Arial Narrow" w:hAnsi="Arial Narrow"/>
                <w:sz w:val="20"/>
                <w:szCs w:val="20"/>
              </w:rPr>
              <w:t>8</w:t>
            </w:r>
          </w:p>
        </w:tc>
        <w:tc>
          <w:tcPr>
            <w:tcW w:w="1716" w:type="dxa"/>
          </w:tcPr>
          <w:p w14:paraId="1A4F2CB3" w14:textId="7E1D31D9"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lang w:eastAsia="en-US"/>
              </w:rPr>
              <w:t>$295</w:t>
            </w:r>
          </w:p>
        </w:tc>
      </w:tr>
      <w:tr w:rsidR="000E482F" w:rsidRPr="00C34CD0" w14:paraId="482AA64A" w14:textId="77777777" w:rsidTr="00D97A55">
        <w:tc>
          <w:tcPr>
            <w:tcW w:w="3824" w:type="dxa"/>
          </w:tcPr>
          <w:p w14:paraId="4724D39A" w14:textId="08F5BA82" w:rsidR="000E482F" w:rsidRPr="00C34CD0" w:rsidRDefault="000E482F" w:rsidP="004C79C1">
            <w:pPr>
              <w:keepNext/>
              <w:spacing w:after="120" w:line="240" w:lineRule="auto"/>
              <w:rPr>
                <w:rFonts w:ascii="Arial Narrow" w:hAnsi="Arial Narrow"/>
                <w:color w:val="000000"/>
                <w:sz w:val="20"/>
                <w:lang w:eastAsia="en-US"/>
              </w:rPr>
            </w:pPr>
            <w:r w:rsidRPr="00C34CD0">
              <w:rPr>
                <w:rFonts w:ascii="Arial Narrow" w:hAnsi="Arial Narrow"/>
                <w:color w:val="000000"/>
                <w:sz w:val="20"/>
                <w:lang w:eastAsia="en-US"/>
              </w:rPr>
              <w:t xml:space="preserve">CMR patient contribution 15% of </w:t>
            </w:r>
            <w:r w:rsidR="005C5F31">
              <w:rPr>
                <w:rFonts w:ascii="Arial Narrow" w:hAnsi="Arial Narrow"/>
                <w:color w:val="000000"/>
                <w:sz w:val="20"/>
                <w:lang w:eastAsia="en-US"/>
              </w:rPr>
              <w:t>S</w:t>
            </w:r>
            <w:r w:rsidRPr="00C34CD0">
              <w:rPr>
                <w:rFonts w:ascii="Arial Narrow" w:hAnsi="Arial Narrow"/>
                <w:color w:val="000000"/>
                <w:sz w:val="20"/>
                <w:lang w:eastAsia="en-US"/>
              </w:rPr>
              <w:t xml:space="preserve">chedule </w:t>
            </w:r>
            <w:r w:rsidR="005C5F31">
              <w:rPr>
                <w:rFonts w:ascii="Arial Narrow" w:hAnsi="Arial Narrow"/>
                <w:color w:val="000000"/>
                <w:sz w:val="20"/>
                <w:lang w:eastAsia="en-US"/>
              </w:rPr>
              <w:t>F</w:t>
            </w:r>
            <w:r w:rsidRPr="00C34CD0">
              <w:rPr>
                <w:rFonts w:ascii="Arial Narrow" w:hAnsi="Arial Narrow"/>
                <w:color w:val="000000"/>
                <w:sz w:val="20"/>
                <w:lang w:eastAsia="en-US"/>
              </w:rPr>
              <w:t>ee, $128.30</w:t>
            </w:r>
          </w:p>
          <w:p w14:paraId="6AD69E39" w14:textId="7646A70D" w:rsidR="000E482F" w:rsidRPr="00C34CD0" w:rsidRDefault="000E482F" w:rsidP="004C79C1">
            <w:pPr>
              <w:spacing w:after="120" w:line="240" w:lineRule="auto"/>
              <w:rPr>
                <w:rFonts w:ascii="Arial Narrow" w:hAnsi="Arial Narrow"/>
                <w:sz w:val="20"/>
                <w:szCs w:val="20"/>
              </w:rPr>
            </w:pPr>
            <w:r w:rsidRPr="00C34CD0">
              <w:rPr>
                <w:rFonts w:ascii="Arial Narrow" w:hAnsi="Arial Narrow"/>
                <w:color w:val="000000"/>
                <w:sz w:val="20"/>
                <w:szCs w:val="20"/>
              </w:rPr>
              <w:t>(</w:t>
            </w:r>
            <w:r w:rsidR="001854F1">
              <w:rPr>
                <w:rFonts w:ascii="Arial Narrow" w:hAnsi="Arial Narrow"/>
                <w:color w:val="000000"/>
                <w:sz w:val="20"/>
                <w:szCs w:val="20"/>
              </w:rPr>
              <w:t>b</w:t>
            </w:r>
            <w:r w:rsidRPr="00C34CD0">
              <w:rPr>
                <w:rFonts w:ascii="Arial Narrow" w:hAnsi="Arial Narrow"/>
                <w:color w:val="000000"/>
                <w:sz w:val="20"/>
                <w:szCs w:val="20"/>
              </w:rPr>
              <w:t>ase</w:t>
            </w:r>
            <w:r w:rsidR="00616F1D">
              <w:rPr>
                <w:rFonts w:ascii="Arial Narrow" w:hAnsi="Arial Narrow"/>
                <w:color w:val="000000"/>
                <w:sz w:val="20"/>
                <w:szCs w:val="20"/>
              </w:rPr>
              <w:t>-</w:t>
            </w:r>
            <w:r w:rsidRPr="00C34CD0">
              <w:rPr>
                <w:rFonts w:ascii="Arial Narrow" w:hAnsi="Arial Narrow"/>
                <w:color w:val="000000"/>
                <w:sz w:val="20"/>
                <w:szCs w:val="20"/>
              </w:rPr>
              <w:t>case: $244.36)</w:t>
            </w:r>
          </w:p>
        </w:tc>
        <w:tc>
          <w:tcPr>
            <w:tcW w:w="1760" w:type="dxa"/>
            <w:shd w:val="clear" w:color="auto" w:fill="EEECE1" w:themeFill="background2"/>
          </w:tcPr>
          <w:p w14:paraId="4680E465" w14:textId="674AA8CF"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$35</w:t>
            </w:r>
            <w:r w:rsidR="00EF4D02">
              <w:rPr>
                <w:rFonts w:ascii="Arial Narrow" w:hAnsi="Arial Narrow"/>
                <w:sz w:val="20"/>
                <w:szCs w:val="20"/>
              </w:rPr>
              <w:t>7</w:t>
            </w:r>
            <w:r w:rsidR="00616F1D">
              <w:rPr>
                <w:rFonts w:ascii="Arial Narrow" w:hAnsi="Arial Narrow"/>
                <w:sz w:val="20"/>
                <w:szCs w:val="20"/>
              </w:rPr>
              <w:t xml:space="preserve"> </w:t>
            </w:r>
            <w:r w:rsidR="00616F1D" w:rsidRPr="00EF4D02">
              <w:rPr>
                <w:rFonts w:ascii="Arial Narrow" w:hAnsi="Arial Narrow"/>
                <w:sz w:val="20"/>
                <w:szCs w:val="20"/>
                <w:vertAlign w:val="superscript"/>
              </w:rPr>
              <w:t>a</w:t>
            </w:r>
          </w:p>
        </w:tc>
        <w:tc>
          <w:tcPr>
            <w:tcW w:w="1716" w:type="dxa"/>
          </w:tcPr>
          <w:p w14:paraId="59C6E1EA" w14:textId="331CC371"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$199</w:t>
            </w:r>
          </w:p>
        </w:tc>
        <w:tc>
          <w:tcPr>
            <w:tcW w:w="1716" w:type="dxa"/>
          </w:tcPr>
          <w:p w14:paraId="3DD5A513" w14:textId="4533F0C6"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lang w:eastAsia="en-US"/>
              </w:rPr>
              <w:t>$35</w:t>
            </w:r>
            <w:r w:rsidR="00EF4D02">
              <w:rPr>
                <w:rFonts w:ascii="Arial Narrow" w:hAnsi="Arial Narrow"/>
                <w:sz w:val="20"/>
                <w:lang w:eastAsia="en-US"/>
              </w:rPr>
              <w:t>7</w:t>
            </w:r>
          </w:p>
        </w:tc>
      </w:tr>
      <w:tr w:rsidR="000E482F" w:rsidRPr="00C34CD0" w14:paraId="31A6D239" w14:textId="77777777" w:rsidTr="00D97A55">
        <w:tc>
          <w:tcPr>
            <w:tcW w:w="3824" w:type="dxa"/>
            <w:vAlign w:val="bottom"/>
          </w:tcPr>
          <w:p w14:paraId="273A3D4D" w14:textId="77777777" w:rsidR="000E482F" w:rsidRPr="00C34CD0" w:rsidRDefault="000E482F" w:rsidP="004C79C1">
            <w:pPr>
              <w:keepNext/>
              <w:spacing w:after="120" w:line="240" w:lineRule="auto"/>
              <w:rPr>
                <w:rFonts w:ascii="Arial Narrow" w:hAnsi="Arial Narrow"/>
                <w:color w:val="000000"/>
                <w:sz w:val="20"/>
                <w:lang w:eastAsia="en-US"/>
              </w:rPr>
            </w:pPr>
            <w:r w:rsidRPr="00C34CD0">
              <w:rPr>
                <w:rFonts w:ascii="Arial Narrow" w:hAnsi="Arial Narrow"/>
                <w:color w:val="000000"/>
                <w:sz w:val="20"/>
                <w:lang w:eastAsia="en-US"/>
              </w:rPr>
              <w:t>Proportion CMR bulk-billed, 60%</w:t>
            </w:r>
          </w:p>
          <w:p w14:paraId="004E7357" w14:textId="685D78C9" w:rsidR="000E482F" w:rsidRPr="00C34CD0" w:rsidRDefault="000E482F" w:rsidP="004C79C1">
            <w:pPr>
              <w:keepNext/>
              <w:spacing w:after="120" w:line="240" w:lineRule="auto"/>
              <w:rPr>
                <w:rFonts w:ascii="Arial Narrow" w:hAnsi="Arial Narrow"/>
                <w:color w:val="000000"/>
                <w:sz w:val="20"/>
                <w:lang w:eastAsia="en-US"/>
              </w:rPr>
            </w:pPr>
            <w:r w:rsidRPr="00C34CD0">
              <w:rPr>
                <w:rFonts w:ascii="Arial Narrow" w:hAnsi="Arial Narrow"/>
                <w:color w:val="000000"/>
                <w:sz w:val="20"/>
                <w:lang w:eastAsia="en-US"/>
              </w:rPr>
              <w:t>(</w:t>
            </w:r>
            <w:proofErr w:type="gramStart"/>
            <w:r w:rsidR="001854F1">
              <w:rPr>
                <w:rFonts w:ascii="Arial Narrow" w:hAnsi="Arial Narrow"/>
                <w:color w:val="000000"/>
                <w:sz w:val="20"/>
                <w:lang w:eastAsia="en-US"/>
              </w:rPr>
              <w:t>b</w:t>
            </w:r>
            <w:r w:rsidRPr="00C34CD0">
              <w:rPr>
                <w:rFonts w:ascii="Arial Narrow" w:hAnsi="Arial Narrow"/>
                <w:color w:val="000000"/>
                <w:sz w:val="20"/>
                <w:lang w:eastAsia="en-US"/>
              </w:rPr>
              <w:t>ase</w:t>
            </w:r>
            <w:r w:rsidR="00616F1D">
              <w:rPr>
                <w:rFonts w:ascii="Arial Narrow" w:hAnsi="Arial Narrow"/>
                <w:color w:val="000000"/>
                <w:sz w:val="20"/>
                <w:lang w:eastAsia="en-US"/>
              </w:rPr>
              <w:t>-</w:t>
            </w:r>
            <w:r w:rsidRPr="00C34CD0">
              <w:rPr>
                <w:rFonts w:ascii="Arial Narrow" w:hAnsi="Arial Narrow"/>
                <w:color w:val="000000"/>
                <w:sz w:val="20"/>
                <w:lang w:eastAsia="en-US"/>
              </w:rPr>
              <w:t>case</w:t>
            </w:r>
            <w:proofErr w:type="gramEnd"/>
            <w:r w:rsidRPr="00C34CD0">
              <w:rPr>
                <w:rFonts w:ascii="Arial Narrow" w:hAnsi="Arial Narrow"/>
                <w:color w:val="000000"/>
                <w:sz w:val="20"/>
                <w:lang w:eastAsia="en-US"/>
              </w:rPr>
              <w:t>: 72.8%)</w:t>
            </w:r>
          </w:p>
        </w:tc>
        <w:tc>
          <w:tcPr>
            <w:tcW w:w="1760" w:type="dxa"/>
            <w:shd w:val="clear" w:color="auto" w:fill="EEECE1" w:themeFill="background2"/>
          </w:tcPr>
          <w:p w14:paraId="5CAB8534" w14:textId="79D307A3" w:rsidR="000E482F" w:rsidRPr="00C34CD0" w:rsidRDefault="000E482F" w:rsidP="004C79C1">
            <w:pPr>
              <w:pStyle w:val="Tabletext1"/>
              <w:tabs>
                <w:tab w:val="decimal" w:pos="712"/>
              </w:tabs>
              <w:spacing w:before="0" w:after="120"/>
              <w:jc w:val="center"/>
            </w:pPr>
            <w:r w:rsidRPr="00C34CD0">
              <w:t>$403</w:t>
            </w:r>
            <w:r w:rsidR="00616F1D" w:rsidRPr="002D70BE">
              <w:rPr>
                <w:vertAlign w:val="superscript"/>
              </w:rPr>
              <w:t xml:space="preserve"> a</w:t>
            </w:r>
            <w:r w:rsidR="00616F1D" w:rsidRPr="00C34CD0" w:rsidDel="00616F1D">
              <w:t xml:space="preserve"> </w:t>
            </w:r>
          </w:p>
        </w:tc>
        <w:tc>
          <w:tcPr>
            <w:tcW w:w="1716" w:type="dxa"/>
            <w:shd w:val="clear" w:color="auto" w:fill="EEECE1" w:themeFill="background2"/>
          </w:tcPr>
          <w:p w14:paraId="3B22095D" w14:textId="4168FB87"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$246</w:t>
            </w:r>
            <w:r w:rsidR="00616F1D" w:rsidRPr="002D70BE">
              <w:rPr>
                <w:rFonts w:ascii="Arial Narrow" w:hAnsi="Arial Narrow"/>
                <w:sz w:val="20"/>
                <w:szCs w:val="20"/>
                <w:vertAlign w:val="superscript"/>
              </w:rPr>
              <w:t xml:space="preserve"> a</w:t>
            </w:r>
            <w:r w:rsidR="00616F1D" w:rsidRPr="00C34CD0" w:rsidDel="00616F1D">
              <w:rPr>
                <w:rFonts w:ascii="Arial Narrow" w:hAnsi="Arial Narrow"/>
                <w:sz w:val="20"/>
                <w:szCs w:val="20"/>
              </w:rPr>
              <w:t xml:space="preserve"> </w:t>
            </w:r>
          </w:p>
        </w:tc>
        <w:tc>
          <w:tcPr>
            <w:tcW w:w="1716" w:type="dxa"/>
          </w:tcPr>
          <w:p w14:paraId="23CE051C" w14:textId="0DCEBF2F" w:rsidR="000E482F" w:rsidRPr="00C34CD0" w:rsidRDefault="000E482F" w:rsidP="004C79C1">
            <w:pPr>
              <w:tabs>
                <w:tab w:val="decimal" w:pos="712"/>
              </w:tabs>
              <w:spacing w:after="120" w:line="240" w:lineRule="auto"/>
              <w:jc w:val="center"/>
              <w:rPr>
                <w:rFonts w:ascii="Arial Narrow" w:hAnsi="Arial Narrow"/>
                <w:sz w:val="20"/>
                <w:lang w:eastAsia="en-US"/>
              </w:rPr>
            </w:pPr>
            <w:r w:rsidRPr="00C34CD0">
              <w:rPr>
                <w:rFonts w:ascii="Arial Narrow" w:hAnsi="Arial Narrow"/>
                <w:sz w:val="20"/>
                <w:lang w:eastAsia="en-US"/>
              </w:rPr>
              <w:t>$403</w:t>
            </w:r>
          </w:p>
        </w:tc>
      </w:tr>
      <w:tr w:rsidR="000E482F" w:rsidRPr="00C34CD0" w14:paraId="1393F773" w14:textId="77777777" w:rsidTr="00D97A55">
        <w:tc>
          <w:tcPr>
            <w:tcW w:w="3824" w:type="dxa"/>
            <w:vAlign w:val="bottom"/>
          </w:tcPr>
          <w:p w14:paraId="67DBA062" w14:textId="77777777" w:rsidR="000E482F" w:rsidRPr="00C34CD0" w:rsidRDefault="000E482F" w:rsidP="004C79C1">
            <w:pPr>
              <w:keepNext/>
              <w:spacing w:after="120" w:line="240" w:lineRule="auto"/>
              <w:rPr>
                <w:rFonts w:ascii="Arial Narrow" w:hAnsi="Arial Narrow"/>
                <w:color w:val="000000"/>
                <w:sz w:val="20"/>
                <w:lang w:eastAsia="en-US"/>
              </w:rPr>
            </w:pPr>
            <w:r w:rsidRPr="00C34CD0">
              <w:rPr>
                <w:rFonts w:ascii="Arial Narrow" w:hAnsi="Arial Narrow"/>
                <w:color w:val="000000"/>
                <w:sz w:val="20"/>
                <w:lang w:eastAsia="en-US"/>
              </w:rPr>
              <w:t>CMR patient contribution, $300</w:t>
            </w:r>
          </w:p>
          <w:p w14:paraId="6FA4BAF9" w14:textId="76B8603C" w:rsidR="000E482F" w:rsidRPr="00C34CD0" w:rsidRDefault="000E482F" w:rsidP="004C79C1">
            <w:pPr>
              <w:keepNext/>
              <w:spacing w:after="120" w:line="240" w:lineRule="auto"/>
              <w:rPr>
                <w:rFonts w:ascii="Arial Narrow" w:hAnsi="Arial Narrow"/>
                <w:color w:val="000000"/>
                <w:sz w:val="20"/>
                <w:lang w:eastAsia="en-US"/>
              </w:rPr>
            </w:pPr>
            <w:r w:rsidRPr="00C34CD0">
              <w:rPr>
                <w:rFonts w:ascii="Arial Narrow" w:hAnsi="Arial Narrow"/>
                <w:color w:val="000000"/>
                <w:sz w:val="20"/>
                <w:lang w:eastAsia="en-US"/>
              </w:rPr>
              <w:t>(</w:t>
            </w:r>
            <w:r w:rsidR="001854F1">
              <w:rPr>
                <w:rFonts w:ascii="Arial Narrow" w:hAnsi="Arial Narrow"/>
                <w:color w:val="000000"/>
                <w:sz w:val="20"/>
                <w:lang w:eastAsia="en-US"/>
              </w:rPr>
              <w:t>b</w:t>
            </w:r>
            <w:r w:rsidRPr="00C34CD0">
              <w:rPr>
                <w:rFonts w:ascii="Arial Narrow" w:hAnsi="Arial Narrow"/>
                <w:color w:val="000000"/>
                <w:sz w:val="20"/>
                <w:lang w:eastAsia="en-US"/>
              </w:rPr>
              <w:t>ase</w:t>
            </w:r>
            <w:r w:rsidR="00616F1D">
              <w:rPr>
                <w:rFonts w:ascii="Arial Narrow" w:hAnsi="Arial Narrow"/>
                <w:color w:val="000000"/>
                <w:sz w:val="20"/>
                <w:lang w:eastAsia="en-US"/>
              </w:rPr>
              <w:t>-</w:t>
            </w:r>
            <w:r w:rsidRPr="00C34CD0">
              <w:rPr>
                <w:rFonts w:ascii="Arial Narrow" w:hAnsi="Arial Narrow"/>
                <w:color w:val="000000"/>
                <w:sz w:val="20"/>
                <w:lang w:eastAsia="en-US"/>
              </w:rPr>
              <w:t>case: $244.36)</w:t>
            </w:r>
          </w:p>
        </w:tc>
        <w:tc>
          <w:tcPr>
            <w:tcW w:w="1760" w:type="dxa"/>
            <w:shd w:val="clear" w:color="auto" w:fill="EEECE1" w:themeFill="background2"/>
          </w:tcPr>
          <w:p w14:paraId="1DA5C776" w14:textId="529BC621"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$40</w:t>
            </w:r>
            <w:r w:rsidR="00EF4D02">
              <w:rPr>
                <w:rFonts w:ascii="Arial Narrow" w:hAnsi="Arial Narrow"/>
                <w:sz w:val="20"/>
                <w:szCs w:val="20"/>
              </w:rPr>
              <w:t>4</w:t>
            </w:r>
            <w:r w:rsidR="00616F1D" w:rsidRPr="002D70BE">
              <w:rPr>
                <w:rFonts w:ascii="Arial Narrow" w:hAnsi="Arial Narrow"/>
                <w:sz w:val="20"/>
                <w:szCs w:val="20"/>
                <w:vertAlign w:val="superscript"/>
              </w:rPr>
              <w:t xml:space="preserve"> a</w:t>
            </w:r>
            <w:r w:rsidR="00616F1D" w:rsidRPr="00C34CD0" w:rsidDel="00616F1D">
              <w:rPr>
                <w:rFonts w:ascii="Arial Narrow" w:hAnsi="Arial Narrow"/>
                <w:sz w:val="20"/>
                <w:szCs w:val="20"/>
              </w:rPr>
              <w:t xml:space="preserve"> </w:t>
            </w:r>
          </w:p>
        </w:tc>
        <w:tc>
          <w:tcPr>
            <w:tcW w:w="1716" w:type="dxa"/>
            <w:shd w:val="clear" w:color="auto" w:fill="EEECE1" w:themeFill="background2"/>
          </w:tcPr>
          <w:p w14:paraId="7BE1CE02" w14:textId="0E46C0E2" w:rsidR="000E482F" w:rsidRPr="00C34CD0" w:rsidRDefault="000E482F" w:rsidP="004C79C1">
            <w:pPr>
              <w:tabs>
                <w:tab w:val="decimal" w:pos="712"/>
              </w:tabs>
              <w:spacing w:after="120" w:line="240" w:lineRule="auto"/>
              <w:jc w:val="center"/>
              <w:rPr>
                <w:rFonts w:ascii="Arial Narrow" w:hAnsi="Arial Narrow"/>
                <w:sz w:val="20"/>
                <w:szCs w:val="20"/>
              </w:rPr>
            </w:pPr>
            <w:r w:rsidRPr="00C34CD0">
              <w:rPr>
                <w:rFonts w:ascii="Arial Narrow" w:hAnsi="Arial Narrow"/>
                <w:sz w:val="20"/>
                <w:szCs w:val="20"/>
              </w:rPr>
              <w:t>$246</w:t>
            </w:r>
            <w:r w:rsidR="00616F1D" w:rsidRPr="002D70BE">
              <w:rPr>
                <w:rFonts w:ascii="Arial Narrow" w:hAnsi="Arial Narrow"/>
                <w:sz w:val="20"/>
                <w:szCs w:val="20"/>
                <w:vertAlign w:val="superscript"/>
              </w:rPr>
              <w:t xml:space="preserve"> a</w:t>
            </w:r>
            <w:r w:rsidR="00616F1D" w:rsidRPr="00C34CD0" w:rsidDel="00616F1D">
              <w:rPr>
                <w:rFonts w:ascii="Arial Narrow" w:hAnsi="Arial Narrow"/>
                <w:sz w:val="20"/>
                <w:szCs w:val="20"/>
              </w:rPr>
              <w:t xml:space="preserve"> </w:t>
            </w:r>
          </w:p>
        </w:tc>
        <w:tc>
          <w:tcPr>
            <w:tcW w:w="1716" w:type="dxa"/>
          </w:tcPr>
          <w:p w14:paraId="20A92242" w14:textId="0443C43E" w:rsidR="000E482F" w:rsidRPr="00C34CD0" w:rsidRDefault="000E482F" w:rsidP="004C79C1">
            <w:pPr>
              <w:tabs>
                <w:tab w:val="decimal" w:pos="712"/>
              </w:tabs>
              <w:spacing w:after="120" w:line="240" w:lineRule="auto"/>
              <w:jc w:val="center"/>
              <w:rPr>
                <w:rFonts w:ascii="Arial Narrow" w:hAnsi="Arial Narrow"/>
                <w:sz w:val="20"/>
                <w:lang w:eastAsia="en-US"/>
              </w:rPr>
            </w:pPr>
            <w:r w:rsidRPr="00C34CD0">
              <w:rPr>
                <w:rFonts w:ascii="Arial Narrow" w:hAnsi="Arial Narrow"/>
                <w:sz w:val="20"/>
                <w:lang w:eastAsia="en-US"/>
              </w:rPr>
              <w:t>$40</w:t>
            </w:r>
            <w:r w:rsidR="00EF4D02">
              <w:rPr>
                <w:rFonts w:ascii="Arial Narrow" w:hAnsi="Arial Narrow"/>
                <w:sz w:val="20"/>
                <w:lang w:eastAsia="en-US"/>
              </w:rPr>
              <w:t>4</w:t>
            </w:r>
          </w:p>
        </w:tc>
      </w:tr>
    </w:tbl>
    <w:p w14:paraId="21DA6E7E" w14:textId="1B1FD09A" w:rsidR="00895E70" w:rsidRPr="00EF4D02" w:rsidRDefault="00895E70" w:rsidP="004C79C1">
      <w:pPr>
        <w:widowControl w:val="0"/>
        <w:spacing w:after="120" w:line="240" w:lineRule="auto"/>
        <w:jc w:val="both"/>
        <w:rPr>
          <w:rFonts w:ascii="Arial Narrow" w:hAnsi="Arial Narrow" w:cs="Arial"/>
          <w:snapToGrid w:val="0"/>
          <w:sz w:val="20"/>
          <w:szCs w:val="20"/>
          <w:lang w:eastAsia="en-US"/>
        </w:rPr>
      </w:pPr>
      <w:proofErr w:type="gramStart"/>
      <w:r w:rsidRPr="002D70BE">
        <w:rPr>
          <w:rFonts w:ascii="Arial Narrow" w:hAnsi="Arial Narrow"/>
          <w:sz w:val="20"/>
          <w:szCs w:val="20"/>
          <w:vertAlign w:val="superscript"/>
        </w:rPr>
        <w:t>a</w:t>
      </w:r>
      <w:proofErr w:type="gramEnd"/>
      <w:r w:rsidRPr="00616F1D" w:rsidDel="00616F1D">
        <w:rPr>
          <w:rFonts w:ascii="Arial Narrow" w:hAnsi="Arial Narrow" w:cs="Arial"/>
          <w:snapToGrid w:val="0"/>
          <w:sz w:val="20"/>
          <w:szCs w:val="20"/>
          <w:lang w:eastAsia="en-US"/>
        </w:rPr>
        <w:t xml:space="preserve"> </w:t>
      </w:r>
      <w:r>
        <w:rPr>
          <w:rFonts w:ascii="Arial Narrow" w:hAnsi="Arial Narrow" w:cs="Arial"/>
          <w:snapToGrid w:val="0"/>
          <w:sz w:val="20"/>
          <w:szCs w:val="20"/>
          <w:lang w:eastAsia="en-US"/>
        </w:rPr>
        <w:t>S</w:t>
      </w:r>
      <w:r w:rsidRPr="00EF4D02">
        <w:rPr>
          <w:rFonts w:ascii="Arial Narrow" w:hAnsi="Arial Narrow" w:cs="Arial"/>
          <w:snapToGrid w:val="0"/>
          <w:sz w:val="20"/>
          <w:szCs w:val="20"/>
          <w:lang w:eastAsia="en-US"/>
        </w:rPr>
        <w:t>haded cells represent no significant change</w:t>
      </w:r>
      <w:r>
        <w:rPr>
          <w:rFonts w:ascii="Arial Narrow" w:hAnsi="Arial Narrow" w:cs="Arial"/>
          <w:snapToGrid w:val="0"/>
          <w:sz w:val="20"/>
          <w:szCs w:val="20"/>
          <w:lang w:eastAsia="en-US"/>
        </w:rPr>
        <w:t>,</w:t>
      </w:r>
      <w:r w:rsidRPr="00EF4D02">
        <w:rPr>
          <w:rFonts w:ascii="Arial Narrow" w:hAnsi="Arial Narrow" w:cs="Arial"/>
          <w:snapToGrid w:val="0"/>
          <w:sz w:val="20"/>
          <w:szCs w:val="20"/>
          <w:lang w:eastAsia="en-US"/>
        </w:rPr>
        <w:t xml:space="preserve"> i.e. less than a 10% difference from the base</w:t>
      </w:r>
      <w:r>
        <w:rPr>
          <w:rFonts w:ascii="Arial Narrow" w:hAnsi="Arial Narrow" w:cs="Arial"/>
          <w:snapToGrid w:val="0"/>
          <w:sz w:val="20"/>
          <w:szCs w:val="20"/>
          <w:lang w:eastAsia="en-US"/>
        </w:rPr>
        <w:t>-</w:t>
      </w:r>
      <w:r w:rsidRPr="00EF4D02">
        <w:rPr>
          <w:rFonts w:ascii="Arial Narrow" w:hAnsi="Arial Narrow" w:cs="Arial"/>
          <w:snapToGrid w:val="0"/>
          <w:sz w:val="20"/>
          <w:szCs w:val="20"/>
          <w:lang w:eastAsia="en-US"/>
        </w:rPr>
        <w:t>case incremental cost.</w:t>
      </w:r>
    </w:p>
    <w:p w14:paraId="2E88B678" w14:textId="2E9269B4" w:rsidR="000E482F" w:rsidRDefault="000E482F" w:rsidP="004C79C1">
      <w:pPr>
        <w:widowControl w:val="0"/>
        <w:spacing w:after="120" w:line="240" w:lineRule="auto"/>
        <w:jc w:val="both"/>
        <w:rPr>
          <w:rFonts w:ascii="Arial Narrow" w:hAnsi="Arial Narrow" w:cs="Arial"/>
          <w:snapToGrid w:val="0"/>
          <w:sz w:val="20"/>
          <w:szCs w:val="20"/>
          <w:lang w:eastAsia="en-US"/>
        </w:rPr>
      </w:pPr>
      <w:r w:rsidRPr="00EF4D02">
        <w:rPr>
          <w:rFonts w:ascii="Arial Narrow" w:hAnsi="Arial Narrow" w:cs="Arial"/>
          <w:snapToGrid w:val="0"/>
          <w:sz w:val="20"/>
          <w:szCs w:val="20"/>
          <w:lang w:eastAsia="en-US"/>
        </w:rPr>
        <w:t xml:space="preserve">CMR = cardiac magnetic resonance </w:t>
      </w:r>
      <w:r w:rsidR="00937268">
        <w:rPr>
          <w:rFonts w:ascii="Arial Narrow" w:hAnsi="Arial Narrow" w:cs="Arial"/>
          <w:snapToGrid w:val="0"/>
          <w:sz w:val="20"/>
          <w:szCs w:val="20"/>
          <w:lang w:eastAsia="en-US"/>
        </w:rPr>
        <w:t>(</w:t>
      </w:r>
      <w:r w:rsidRPr="00EF4D02">
        <w:rPr>
          <w:rFonts w:ascii="Arial Narrow" w:hAnsi="Arial Narrow" w:cs="Arial"/>
          <w:snapToGrid w:val="0"/>
          <w:sz w:val="20"/>
          <w:szCs w:val="20"/>
          <w:lang w:eastAsia="en-US"/>
        </w:rPr>
        <w:t>imaging</w:t>
      </w:r>
      <w:r w:rsidR="00937268">
        <w:rPr>
          <w:rFonts w:ascii="Arial Narrow" w:hAnsi="Arial Narrow" w:cs="Arial"/>
          <w:snapToGrid w:val="0"/>
          <w:sz w:val="20"/>
          <w:szCs w:val="20"/>
          <w:lang w:eastAsia="en-US"/>
        </w:rPr>
        <w:t>)</w:t>
      </w:r>
      <w:r w:rsidRPr="00EF4D02">
        <w:rPr>
          <w:rFonts w:ascii="Arial Narrow" w:hAnsi="Arial Narrow" w:cs="Arial"/>
          <w:snapToGrid w:val="0"/>
          <w:sz w:val="20"/>
          <w:szCs w:val="20"/>
          <w:lang w:eastAsia="en-US"/>
        </w:rPr>
        <w:t>; CTCA = computed tomography coronary angiography; Echo = echocardiography</w:t>
      </w:r>
      <w:r w:rsidR="00616F1D">
        <w:rPr>
          <w:rFonts w:ascii="Arial Narrow" w:hAnsi="Arial Narrow" w:cs="Arial"/>
          <w:snapToGrid w:val="0"/>
          <w:sz w:val="20"/>
          <w:szCs w:val="20"/>
          <w:lang w:eastAsia="en-US"/>
        </w:rPr>
        <w:t xml:space="preserve">; </w:t>
      </w:r>
      <w:r w:rsidR="00616F1D" w:rsidRPr="002D70BE">
        <w:rPr>
          <w:rFonts w:ascii="Arial Narrow" w:hAnsi="Arial Narrow" w:cs="Arial"/>
          <w:snapToGrid w:val="0"/>
          <w:sz w:val="20"/>
          <w:szCs w:val="20"/>
          <w:lang w:eastAsia="en-US"/>
        </w:rPr>
        <w:t>SPECT = single-photon emission computed tomography</w:t>
      </w:r>
    </w:p>
    <w:p w14:paraId="4728A316" w14:textId="61F6D9FE" w:rsidR="000E482F" w:rsidRDefault="000E482F" w:rsidP="004C79C1">
      <w:pPr>
        <w:spacing w:after="120" w:line="240" w:lineRule="auto"/>
        <w:jc w:val="both"/>
      </w:pPr>
      <w:r>
        <w:lastRenderedPageBreak/>
        <w:t>With respect to the comparison v</w:t>
      </w:r>
      <w:r w:rsidR="000922A3">
        <w:t>ersu</w:t>
      </w:r>
      <w:r>
        <w:t>s CMR, r</w:t>
      </w:r>
      <w:r w:rsidRPr="00FA43C7">
        <w:t>emoving the bulk-billing incentive reduce</w:t>
      </w:r>
      <w:r w:rsidR="0025016C">
        <w:t>s</w:t>
      </w:r>
      <w:r w:rsidRPr="00FA43C7">
        <w:t xml:space="preserve"> the incremental cost of CMR by approx</w:t>
      </w:r>
      <w:r w:rsidR="000922A3">
        <w:t>imately</w:t>
      </w:r>
      <w:r w:rsidRPr="00FA43C7">
        <w:t xml:space="preserve"> 24%.</w:t>
      </w:r>
    </w:p>
    <w:p w14:paraId="7D0567EB" w14:textId="4B81DA04" w:rsidR="000E482F" w:rsidRPr="00FA43C7" w:rsidRDefault="000E482F" w:rsidP="004C79C1">
      <w:pPr>
        <w:spacing w:after="120" w:line="240" w:lineRule="auto"/>
        <w:jc w:val="both"/>
      </w:pPr>
      <w:r>
        <w:t>With respect to the cost comparison of CMR v</w:t>
      </w:r>
      <w:r w:rsidR="00CD69BA">
        <w:t>ersu</w:t>
      </w:r>
      <w:r>
        <w:t xml:space="preserve">s CTCA, the incremental difference </w:t>
      </w:r>
      <w:r w:rsidRPr="00FA43C7">
        <w:t xml:space="preserve">was most sensitive to removing the assumption of the bulk-billing incentive for CMR for CM services, reducing the incremental cost of CMR by approximately 40%. The analysis was also moderately sensitive to the assumption of </w:t>
      </w:r>
      <w:r w:rsidR="00400AD7">
        <w:t xml:space="preserve">the </w:t>
      </w:r>
      <w:r w:rsidRPr="00FA43C7">
        <w:t>CMR patient contribution be</w:t>
      </w:r>
      <w:r w:rsidR="00400AD7">
        <w:t>ing</w:t>
      </w:r>
      <w:r w:rsidRPr="00FA43C7">
        <w:t xml:space="preserve"> 15% of the </w:t>
      </w:r>
      <w:r w:rsidR="00E5287F">
        <w:t>S</w:t>
      </w:r>
      <w:r w:rsidRPr="00FA43C7">
        <w:t xml:space="preserve">chedule </w:t>
      </w:r>
      <w:r w:rsidR="00E5287F">
        <w:t>F</w:t>
      </w:r>
      <w:r w:rsidRPr="00FA43C7">
        <w:t xml:space="preserve">ee, reducing the incremental cost of CMR by approximately 14%. </w:t>
      </w:r>
    </w:p>
    <w:p w14:paraId="537095E9" w14:textId="5E0CFD97" w:rsidR="000E482F" w:rsidRPr="00FA43C7" w:rsidRDefault="000E482F" w:rsidP="004C79C1">
      <w:pPr>
        <w:spacing w:after="120" w:line="240" w:lineRule="auto"/>
        <w:jc w:val="both"/>
      </w:pPr>
      <w:r w:rsidRPr="00FA43C7">
        <w:t xml:space="preserve">The incremental cost of CMR compared with stress </w:t>
      </w:r>
      <w:r w:rsidR="004F632C">
        <w:t>echocardiography</w:t>
      </w:r>
      <w:r w:rsidRPr="00FA43C7">
        <w:t xml:space="preserve"> w</w:t>
      </w:r>
      <w:r>
        <w:t>as</w:t>
      </w:r>
      <w:r w:rsidRPr="00FA43C7">
        <w:t xml:space="preserve"> found </w:t>
      </w:r>
      <w:r w:rsidR="00926F2D">
        <w:t xml:space="preserve">to be </w:t>
      </w:r>
      <w:r w:rsidRPr="00FA43C7">
        <w:t xml:space="preserve">sensitive to the assumption of </w:t>
      </w:r>
      <w:r w:rsidR="0025016C">
        <w:t xml:space="preserve">the </w:t>
      </w:r>
      <w:r w:rsidRPr="00FA43C7">
        <w:t xml:space="preserve">bulk-billing incentive for CMR and modifications to the CMR patient contribution, reducing the incremental cost of CMR </w:t>
      </w:r>
      <w:r w:rsidR="00926F2D">
        <w:t>in the range</w:t>
      </w:r>
      <w:r w:rsidR="00926F2D" w:rsidRPr="00FA43C7">
        <w:t xml:space="preserve"> </w:t>
      </w:r>
      <w:r w:rsidR="00532C99">
        <w:t>20</w:t>
      </w:r>
      <w:r w:rsidRPr="00FA43C7">
        <w:t>–42%.</w:t>
      </w:r>
    </w:p>
    <w:p w14:paraId="2133E915" w14:textId="69F39D56" w:rsidR="000E482F" w:rsidRDefault="000E482F" w:rsidP="004C79C1">
      <w:pPr>
        <w:spacing w:after="120" w:line="240" w:lineRule="auto"/>
        <w:jc w:val="both"/>
      </w:pPr>
      <w:r>
        <w:t xml:space="preserve">In summary, </w:t>
      </w:r>
      <w:r w:rsidRPr="00FA43C7">
        <w:t xml:space="preserve">CMR is consistently more expensive than other comparators (SPECT, CTCA and stress </w:t>
      </w:r>
      <w:r w:rsidR="0016697B">
        <w:t>echocardiography</w:t>
      </w:r>
      <w:r w:rsidRPr="00FA43C7">
        <w:t>) in the population with intermediate risk of CAD across all analyses tested</w:t>
      </w:r>
      <w:r w:rsidR="00CE5F3B">
        <w:t>;</w:t>
      </w:r>
      <w:r>
        <w:t xml:space="preserve"> however</w:t>
      </w:r>
      <w:r w:rsidR="00CE5F3B">
        <w:t>,</w:t>
      </w:r>
      <w:r>
        <w:t xml:space="preserve"> </w:t>
      </w:r>
      <w:r w:rsidR="00CE5F3B">
        <w:t xml:space="preserve">one </w:t>
      </w:r>
      <w:r w:rsidRPr="00FA43C7">
        <w:t>benefit of CMR that ha</w:t>
      </w:r>
      <w:r w:rsidR="00CE5F3B">
        <w:t>s</w:t>
      </w:r>
      <w:r w:rsidRPr="00FA43C7">
        <w:t xml:space="preserve"> not been </w:t>
      </w:r>
      <w:r>
        <w:t xml:space="preserve">incorporated into this cost analysis </w:t>
      </w:r>
      <w:r w:rsidR="00CE5F3B">
        <w:t>is</w:t>
      </w:r>
      <w:r w:rsidR="00CE5F3B" w:rsidRPr="00FA43C7">
        <w:t xml:space="preserve"> </w:t>
      </w:r>
      <w:r w:rsidR="00CE5F3B">
        <w:t>its</w:t>
      </w:r>
      <w:r w:rsidR="00CE5F3B" w:rsidRPr="00FA43C7">
        <w:t xml:space="preserve"> </w:t>
      </w:r>
      <w:r w:rsidRPr="00FA43C7">
        <w:t>ability</w:t>
      </w:r>
      <w:r w:rsidRPr="00FA43C7">
        <w:rPr>
          <w:szCs w:val="23"/>
        </w:rPr>
        <w:t xml:space="preserve"> </w:t>
      </w:r>
      <w:r>
        <w:rPr>
          <w:szCs w:val="23"/>
        </w:rPr>
        <w:t xml:space="preserve">to </w:t>
      </w:r>
      <w:r w:rsidRPr="00FA43C7">
        <w:rPr>
          <w:szCs w:val="23"/>
        </w:rPr>
        <w:t>assess the aetiology of DCM at the same time as determining whether the patient has NIDCM</w:t>
      </w:r>
      <w:r>
        <w:rPr>
          <w:szCs w:val="23"/>
        </w:rPr>
        <w:t>, w</w:t>
      </w:r>
      <w:r w:rsidRPr="00FA43C7">
        <w:t>hereas with other comparators further testing would be required in those who are identified as non-ischaemic. However</w:t>
      </w:r>
      <w:r w:rsidR="00D976C5">
        <w:t>,</w:t>
      </w:r>
      <w:r w:rsidRPr="005F1700">
        <w:t xml:space="preserve"> </w:t>
      </w:r>
      <w:r w:rsidRPr="00FA43C7">
        <w:t xml:space="preserve">the relative accuracy of CMR compared </w:t>
      </w:r>
      <w:r w:rsidR="00D976C5">
        <w:t>with</w:t>
      </w:r>
      <w:r w:rsidR="00D976C5" w:rsidRPr="00FA43C7">
        <w:t xml:space="preserve"> </w:t>
      </w:r>
      <w:r w:rsidRPr="00FA43C7">
        <w:t xml:space="preserve">SPECT, CTCA and stress </w:t>
      </w:r>
      <w:r w:rsidR="0016697B">
        <w:t>echocardiography</w:t>
      </w:r>
      <w:r w:rsidRPr="00FA43C7">
        <w:t xml:space="preserve"> is unknown</w:t>
      </w:r>
      <w:r>
        <w:t xml:space="preserve">, and </w:t>
      </w:r>
      <w:r w:rsidRPr="00FA43C7">
        <w:t xml:space="preserve">CMR may </w:t>
      </w:r>
      <w:r w:rsidR="00D976C5">
        <w:t xml:space="preserve">also </w:t>
      </w:r>
      <w:r w:rsidRPr="00FA43C7">
        <w:t xml:space="preserve">be associated with lower patient acceptability and accessibility issues. </w:t>
      </w:r>
    </w:p>
    <w:p w14:paraId="5F819182" w14:textId="77777777" w:rsidR="000E482F" w:rsidRPr="00183E4D" w:rsidRDefault="000E482F" w:rsidP="004C79C1">
      <w:pPr>
        <w:spacing w:after="120" w:line="240" w:lineRule="auto"/>
        <w:jc w:val="both"/>
      </w:pPr>
      <w:r w:rsidRPr="00183E4D">
        <w:br w:type="page"/>
      </w:r>
    </w:p>
    <w:p w14:paraId="4B921B52" w14:textId="77777777" w:rsidR="00C82412" w:rsidRPr="00183E4D" w:rsidRDefault="00C82412" w:rsidP="004C79C1">
      <w:pPr>
        <w:pStyle w:val="Heading1"/>
        <w:spacing w:after="120" w:line="240" w:lineRule="auto"/>
        <w:jc w:val="both"/>
      </w:pPr>
      <w:bookmarkStart w:id="654" w:name="_Toc451501392"/>
      <w:bookmarkEnd w:id="520"/>
      <w:r w:rsidRPr="00183E4D">
        <w:lastRenderedPageBreak/>
        <w:t xml:space="preserve">Section </w:t>
      </w:r>
      <w:r>
        <w:t>E</w:t>
      </w:r>
      <w:r w:rsidRPr="00183E4D">
        <w:tab/>
      </w:r>
      <w:r>
        <w:t>Financial Implications</w:t>
      </w:r>
      <w:bookmarkEnd w:id="518"/>
      <w:bookmarkEnd w:id="654"/>
    </w:p>
    <w:p w14:paraId="34E8CDF6" w14:textId="3A8E9F87" w:rsidR="000E482F" w:rsidRDefault="000E482F" w:rsidP="004C79C1">
      <w:pPr>
        <w:spacing w:after="120" w:line="240" w:lineRule="auto"/>
        <w:jc w:val="both"/>
      </w:pPr>
      <w:bookmarkStart w:id="655" w:name="_Toc379118085"/>
      <w:bookmarkStart w:id="656" w:name="_Toc381796472"/>
      <w:bookmarkStart w:id="657" w:name="_Toc381796487"/>
      <w:bookmarkEnd w:id="519"/>
      <w:r>
        <w:t xml:space="preserve">Estimating the expected extent of usage and </w:t>
      </w:r>
      <w:r w:rsidR="00B918BC">
        <w:t xml:space="preserve">the </w:t>
      </w:r>
      <w:r>
        <w:t>financial implications of the proposed MBS listing for CMR is not straightforward. There is inadequate epidemiological data for a routine step-down approach to identify eligible patients, and a market-based approach is difficult as the suggested comparator items are not restricted to the population in the proposed listing.</w:t>
      </w:r>
    </w:p>
    <w:p w14:paraId="623213A8" w14:textId="0C8AD0EB" w:rsidR="000E482F" w:rsidRDefault="000E482F" w:rsidP="004C79C1">
      <w:pPr>
        <w:spacing w:after="120" w:line="240" w:lineRule="auto"/>
        <w:jc w:val="both"/>
      </w:pPr>
      <w:r>
        <w:t xml:space="preserve">To enable estimates to be made for this report, an epidemiological approach has been used, based on available data on newly diagnosed cases of DCM in Australia each year, and back-calculating to estimate the number of CMR tests </w:t>
      </w:r>
      <w:r w:rsidR="009A6B45">
        <w:t xml:space="preserve">that </w:t>
      </w:r>
      <w:r>
        <w:t>would be undertaken to identify these patients among all patients potentially suspected of this condition. Given that the characteristics of patients with suspected DCM are not easily defined, and CMR uptake rates are unknown, there is considerable uncertainty around the estimates presented.</w:t>
      </w:r>
    </w:p>
    <w:p w14:paraId="36290433" w14:textId="7F3CB914" w:rsidR="000E482F" w:rsidRDefault="000E482F" w:rsidP="004C79C1">
      <w:pPr>
        <w:spacing w:after="120" w:line="240" w:lineRule="auto"/>
        <w:jc w:val="both"/>
      </w:pPr>
      <w:r>
        <w:t xml:space="preserve">The sources of data used in the financial analysis are presented in </w:t>
      </w:r>
      <w:r w:rsidR="0034788F">
        <w:fldChar w:fldCharType="begin"/>
      </w:r>
      <w:r w:rsidR="0034788F">
        <w:instrText xml:space="preserve"> REF _Ref451413097 \h </w:instrText>
      </w:r>
      <w:r w:rsidR="0034788F">
        <w:fldChar w:fldCharType="separate"/>
      </w:r>
      <w:r w:rsidR="0034788F">
        <w:t xml:space="preserve">Table </w:t>
      </w:r>
      <w:r w:rsidR="0034788F">
        <w:rPr>
          <w:noProof/>
        </w:rPr>
        <w:t>56</w:t>
      </w:r>
      <w:r w:rsidR="0034788F">
        <w:fldChar w:fldCharType="end"/>
      </w:r>
      <w:r>
        <w:t>.</w:t>
      </w:r>
    </w:p>
    <w:p w14:paraId="5E92EF25" w14:textId="04C40A4C" w:rsidR="000E482F" w:rsidRDefault="000E66CD" w:rsidP="004C79C1">
      <w:pPr>
        <w:pStyle w:val="Caption"/>
      </w:pPr>
      <w:bookmarkStart w:id="658" w:name="_Ref451413097"/>
      <w:bookmarkStart w:id="659" w:name="_Toc451435383"/>
      <w:r>
        <w:t xml:space="preserve">Table </w:t>
      </w:r>
      <w:fldSimple w:instr=" SEQ Table \* ARABIC ">
        <w:r w:rsidR="0034788F">
          <w:rPr>
            <w:noProof/>
          </w:rPr>
          <w:t>56</w:t>
        </w:r>
      </w:fldSimple>
      <w:bookmarkEnd w:id="658"/>
      <w:r>
        <w:t xml:space="preserve"> </w:t>
      </w:r>
      <w:r>
        <w:tab/>
      </w:r>
      <w:r w:rsidRPr="001D3987">
        <w:t>Parameters and data sources used in the financial analysis</w:t>
      </w:r>
      <w:bookmarkEnd w:id="659"/>
      <w:r w:rsidR="000E482F">
        <w:t xml:space="preserve"> </w:t>
      </w:r>
    </w:p>
    <w:tbl>
      <w:tblPr>
        <w:tblStyle w:val="TableGrid"/>
        <w:tblW w:w="5000" w:type="pct"/>
        <w:tblLook w:val="04A0" w:firstRow="1" w:lastRow="0" w:firstColumn="1" w:lastColumn="0" w:noHBand="0" w:noVBand="1"/>
        <w:tblCaption w:val="Data sources used in the financial analysis"/>
        <w:tblDescription w:val="Data sources used in the financial analysis"/>
      </w:tblPr>
      <w:tblGrid>
        <w:gridCol w:w="3272"/>
        <w:gridCol w:w="5970"/>
      </w:tblGrid>
      <w:tr w:rsidR="000E482F" w:rsidRPr="00DD7A9A" w14:paraId="1A0DEEB8" w14:textId="77777777" w:rsidTr="00723891">
        <w:trPr>
          <w:tblHeader/>
        </w:trPr>
        <w:tc>
          <w:tcPr>
            <w:tcW w:w="2443" w:type="pct"/>
          </w:tcPr>
          <w:p w14:paraId="45ED3762" w14:textId="77777777" w:rsidR="000E482F" w:rsidRPr="0034788F" w:rsidRDefault="000E482F" w:rsidP="004C79C1">
            <w:pPr>
              <w:pStyle w:val="Tabletext1"/>
              <w:spacing w:before="0" w:after="120"/>
              <w:rPr>
                <w:b/>
              </w:rPr>
            </w:pPr>
            <w:r w:rsidRPr="0034788F">
              <w:rPr>
                <w:b/>
              </w:rPr>
              <w:t>Data</w:t>
            </w:r>
          </w:p>
        </w:tc>
        <w:tc>
          <w:tcPr>
            <w:tcW w:w="2557" w:type="pct"/>
          </w:tcPr>
          <w:p w14:paraId="38727561" w14:textId="77777777" w:rsidR="000E482F" w:rsidRPr="0034788F" w:rsidRDefault="000E482F" w:rsidP="004C79C1">
            <w:pPr>
              <w:pStyle w:val="Tabletext1"/>
              <w:spacing w:before="0" w:after="120"/>
              <w:rPr>
                <w:b/>
              </w:rPr>
            </w:pPr>
            <w:r w:rsidRPr="0034788F">
              <w:rPr>
                <w:b/>
              </w:rPr>
              <w:t>Source</w:t>
            </w:r>
          </w:p>
        </w:tc>
      </w:tr>
      <w:tr w:rsidR="000E482F" w:rsidRPr="00F7476B" w14:paraId="7207E84F" w14:textId="77777777" w:rsidTr="00723891">
        <w:tc>
          <w:tcPr>
            <w:tcW w:w="2443" w:type="pct"/>
          </w:tcPr>
          <w:p w14:paraId="238BD293" w14:textId="77777777" w:rsidR="000E482F" w:rsidRPr="00F7476B" w:rsidRDefault="000E482F" w:rsidP="004C79C1">
            <w:pPr>
              <w:pStyle w:val="Tabletext1"/>
              <w:spacing w:before="0" w:after="120"/>
            </w:pPr>
            <w:r>
              <w:t>Proportion of indeterminate results with Echo</w:t>
            </w:r>
          </w:p>
        </w:tc>
        <w:tc>
          <w:tcPr>
            <w:tcW w:w="2557" w:type="pct"/>
          </w:tcPr>
          <w:p w14:paraId="461A210D" w14:textId="39159ACB" w:rsidR="000E482F" w:rsidRDefault="000E482F" w:rsidP="004C79C1">
            <w:pPr>
              <w:pStyle w:val="Tabletext1"/>
              <w:spacing w:before="0" w:after="120"/>
            </w:pPr>
            <w:r>
              <w:t>Base</w:t>
            </w:r>
            <w:r w:rsidR="00DD7A9A">
              <w:t>-</w:t>
            </w:r>
            <w:r>
              <w:t xml:space="preserve">case: assumed 5%, with consideration </w:t>
            </w:r>
            <w:r w:rsidR="00DD7A9A">
              <w:t xml:space="preserve">of </w:t>
            </w:r>
            <w:r>
              <w:t>clinical expert opinion suggesting that</w:t>
            </w:r>
            <w:r w:rsidR="0008529C">
              <w:t>,</w:t>
            </w:r>
            <w:r>
              <w:t xml:space="preserve"> with </w:t>
            </w:r>
            <w:r w:rsidR="0034788F">
              <w:t>technical advancements in e</w:t>
            </w:r>
            <w:r>
              <w:t xml:space="preserve">chocardiography imaging, indeterminate results are less than 5% </w:t>
            </w:r>
          </w:p>
          <w:p w14:paraId="7372CCC8" w14:textId="11C9BB45" w:rsidR="000E482F" w:rsidRDefault="000E482F" w:rsidP="004C79C1">
            <w:pPr>
              <w:pStyle w:val="Tabletext1"/>
              <w:spacing w:before="0" w:after="120"/>
            </w:pPr>
            <w:r>
              <w:t xml:space="preserve">Sensitivity analyses: 10–20%, </w:t>
            </w:r>
            <w:r w:rsidR="0008529C">
              <w:t>(</w:t>
            </w:r>
            <w:r>
              <w:t xml:space="preserve">Afridi </w:t>
            </w:r>
            <w:r>
              <w:fldChar w:fldCharType="begin"/>
            </w:r>
            <w:r>
              <w:instrText xml:space="preserve"> ADDIN EN.CITE &lt;EndNote&gt;&lt;Cite ExcludeAuth="1"&gt;&lt;Author&gt;Afridi&lt;/Author&gt;&lt;Year&gt;2015&lt;/Year&gt;&lt;RecNum&gt;172&lt;/RecNum&gt;&lt;DisplayText&gt;(2015)&lt;/DisplayText&gt;&lt;record&gt;&lt;rec-number&gt;172&lt;/rec-number&gt;&lt;foreign-keys&gt;&lt;key app="EN" db-id="pfxxvref0t0a5de2vwnv2fwkz0p9v0r2fw0t" timestamp="1461134309"&gt;172&lt;/key&gt;&lt;/foreign-keys&gt;&lt;ref-type name="Online Database"&gt;45&lt;/ref-type&gt;&lt;contributors&gt;&lt;authors&gt;&lt;author&gt; Haroon R Afridi&lt;/author&gt;&lt;/authors&gt;&lt;/contributors&gt;&lt;auth-address&gt;Interventional Radiologist, RCI Iowa Plc, Cedar Rapids, Iowa&lt;/auth-address&gt;&lt;titles&gt;&lt;title&gt;Imaging in Dilated Cardiomyopathy&lt;/title&gt;&lt;/titles&gt;&lt;dates&gt;&lt;year&gt;2015&lt;/year&gt;&lt;pub-dates&gt;&lt;date&gt;18 January 2016&lt;/date&gt;&lt;/pub-dates&gt;&lt;/dates&gt;&lt;publisher&gt;Medscape&lt;/publisher&gt;&lt;call-num&gt;20194233&lt;/call-num&gt;&lt;urls&gt;&lt;related-urls&gt;&lt;url&gt;http://emedicine.medscape.com/article/348284-overview#showall&lt;/url&gt;&lt;/related-urls&gt;&lt;/urls&gt;&lt;/record&gt;&lt;/Cite&gt;&lt;/EndNote&gt;</w:instrText>
            </w:r>
            <w:r>
              <w:fldChar w:fldCharType="separate"/>
            </w:r>
            <w:hyperlink w:anchor="_ENREF_4" w:tooltip="Afridi, 2015 #172" w:history="1">
              <w:r>
                <w:rPr>
                  <w:noProof/>
                </w:rPr>
                <w:t>2015</w:t>
              </w:r>
            </w:hyperlink>
            <w:r>
              <w:rPr>
                <w:noProof/>
              </w:rPr>
              <w:t>)</w:t>
            </w:r>
            <w:r>
              <w:fldChar w:fldCharType="end"/>
            </w:r>
          </w:p>
          <w:p w14:paraId="1627056D" w14:textId="77777777" w:rsidR="000E482F" w:rsidRPr="00F7476B" w:rsidRDefault="000E482F" w:rsidP="004C79C1">
            <w:pPr>
              <w:pStyle w:val="Tabletext1"/>
              <w:spacing w:before="0" w:after="120"/>
            </w:pPr>
          </w:p>
        </w:tc>
      </w:tr>
      <w:tr w:rsidR="000E482F" w:rsidRPr="00F7476B" w14:paraId="60BAD551" w14:textId="77777777" w:rsidTr="00723891">
        <w:tc>
          <w:tcPr>
            <w:tcW w:w="2443" w:type="pct"/>
          </w:tcPr>
          <w:p w14:paraId="34680401" w14:textId="77777777" w:rsidR="000E482F" w:rsidRDefault="000E482F" w:rsidP="004C79C1">
            <w:pPr>
              <w:pStyle w:val="Tabletext1"/>
              <w:spacing w:before="0" w:after="120"/>
            </w:pPr>
            <w:r>
              <w:t xml:space="preserve">Annual incidence of </w:t>
            </w:r>
            <w:r w:rsidRPr="00E705A5">
              <w:rPr>
                <w:i/>
              </w:rPr>
              <w:t>primary</w:t>
            </w:r>
            <w:r>
              <w:t xml:space="preserve"> DCM</w:t>
            </w:r>
          </w:p>
        </w:tc>
        <w:tc>
          <w:tcPr>
            <w:tcW w:w="2557" w:type="pct"/>
          </w:tcPr>
          <w:p w14:paraId="156E6405" w14:textId="094C701D" w:rsidR="000E482F" w:rsidRDefault="000E482F" w:rsidP="004C79C1">
            <w:pPr>
              <w:pStyle w:val="Tabletext1"/>
              <w:spacing w:before="0" w:after="120"/>
            </w:pPr>
            <w:r>
              <w:t xml:space="preserve">Base-case: 7 per 100,000 </w:t>
            </w:r>
            <w:r w:rsidR="00BA50BA">
              <w:t>(</w:t>
            </w:r>
            <w:r>
              <w:t>Taylor</w:t>
            </w:r>
            <w:r w:rsidR="0057495F">
              <w:t>, MR</w:t>
            </w:r>
            <w:r w:rsidR="00DB0BF7">
              <w:t>, Carniel &amp; Mestroni</w:t>
            </w:r>
            <w:r>
              <w:t xml:space="preserve"> </w:t>
            </w:r>
            <w:r>
              <w:fldChar w:fldCharType="begin"/>
            </w:r>
            <w:r>
              <w:instrText xml:space="preserve"> ADDIN EN.CITE &lt;EndNote&gt;&lt;Cite ExcludeAuth="1"&gt;&lt;Author&gt;Taylor&lt;/Author&gt;&lt;Year&gt;2006&lt;/Year&gt;&lt;RecNum&gt;168&lt;/RecNum&gt;&lt;DisplayText&gt;(2006)&lt;/DisplayText&gt;&lt;record&gt;&lt;rec-number&gt;168&lt;/rec-number&gt;&lt;foreign-keys&gt;&lt;key app="EN" db-id="pfxxvref0t0a5de2vwnv2fwkz0p9v0r2fw0t" timestamp="1461029242"&gt;168&lt;/key&gt;&lt;key app="ENWeb" db-id=""&gt;0&lt;/key&gt;&lt;/foreign-keys&gt;&lt;ref-type name="Journal Article"&gt;17&lt;/ref-type&gt;&lt;contributors&gt;&lt;authors&gt;&lt;author&gt;Taylor, M. R.&lt;/author&gt;&lt;author&gt;Carniel, E.&lt;/author&gt;&lt;author&gt;Mestroni, L.&lt;/author&gt;&lt;/authors&gt;&lt;/contributors&gt;&lt;auth-address&gt;University of Colorado Cardiovascular Institute and Adult Medical Genetics Program, Department of Internal Medicine, University of Colorado Health Sciences Center, Denver, Colorado, USA. Matthew.Taylor@UCHSC.edu&lt;/auth-address&gt;&lt;titles&gt;&lt;title&gt;Cardiomyopathy, familial dilated&lt;/title&gt;&lt;secondary-title&gt;Orphanet J Rare Dis&lt;/secondary-title&gt;&lt;/titles&gt;&lt;periodical&gt;&lt;full-title&gt;Orphanet J Rare Dis&lt;/full-title&gt;&lt;/periodical&gt;&lt;pages&gt;27&lt;/pages&gt;&lt;volume&gt;1&lt;/volume&gt;&lt;keywords&gt;&lt;keyword&gt;Cardiomyopathy, Dilated/*diagnosis/epidemiology/*genetics/therapy&lt;/keyword&gt;&lt;keyword&gt;Female&lt;/keyword&gt;&lt;keyword&gt;Genetic Counseling&lt;/keyword&gt;&lt;keyword&gt;Global Health&lt;/keyword&gt;&lt;keyword&gt;Humans&lt;/keyword&gt;&lt;keyword&gt;Pregnancy&lt;/keyword&gt;&lt;keyword&gt;Prenatal Diagnosis/methods&lt;/keyword&gt;&lt;keyword&gt;Prevalence&lt;/keyword&gt;&lt;keyword&gt;Prognosis&lt;/keyword&gt;&lt;/keywords&gt;&lt;dates&gt;&lt;year&gt;2006&lt;/year&gt;&lt;/dates&gt;&lt;isbn&gt;1750-1172 (Electronic)&amp;#xD;1750-1172 (Linking)&lt;/isbn&gt;&lt;accession-num&gt;16839424&lt;/accession-num&gt;&lt;urls&gt;&lt;related-urls&gt;&lt;url&gt;http://www.ncbi.nlm.nih.gov/pubmed/16839424&lt;/url&gt;&lt;/related-urls&gt;&lt;/urls&gt;&lt;custom2&gt;1559590&lt;/custom2&gt;&lt;electronic-resource-num&gt;10.1186/1750-1172-1-27&lt;/electronic-resource-num&gt;&lt;/record&gt;&lt;/Cite&gt;&lt;/EndNote&gt;</w:instrText>
            </w:r>
            <w:r>
              <w:fldChar w:fldCharType="separate"/>
            </w:r>
            <w:hyperlink w:anchor="_ENREF_137" w:tooltip="Taylor, 2006 #168" w:history="1">
              <w:r>
                <w:rPr>
                  <w:noProof/>
                </w:rPr>
                <w:t>2006</w:t>
              </w:r>
            </w:hyperlink>
            <w:r>
              <w:rPr>
                <w:noProof/>
              </w:rPr>
              <w:t>)</w:t>
            </w:r>
            <w:r>
              <w:fldChar w:fldCharType="end"/>
            </w:r>
          </w:p>
          <w:p w14:paraId="46FFDC7F" w14:textId="77777777" w:rsidR="000E482F" w:rsidRPr="007A5C60" w:rsidRDefault="000E482F" w:rsidP="004C79C1">
            <w:pPr>
              <w:pStyle w:val="Tabletext1"/>
              <w:spacing w:before="0" w:after="120"/>
              <w:rPr>
                <w:highlight w:val="yellow"/>
              </w:rPr>
            </w:pPr>
            <w:r>
              <w:t>Sensitivity analyses: 10 and 20 per 100,000</w:t>
            </w:r>
          </w:p>
        </w:tc>
      </w:tr>
      <w:tr w:rsidR="000E482F" w:rsidRPr="00F7476B" w14:paraId="6B03456D" w14:textId="77777777" w:rsidTr="00723891">
        <w:tc>
          <w:tcPr>
            <w:tcW w:w="2443" w:type="pct"/>
          </w:tcPr>
          <w:p w14:paraId="7A9674D1" w14:textId="1D83B234" w:rsidR="000E482F" w:rsidRDefault="000E482F" w:rsidP="004C79C1">
            <w:pPr>
              <w:pStyle w:val="Tabletext1"/>
              <w:spacing w:before="0" w:after="120"/>
            </w:pPr>
            <w:r>
              <w:t xml:space="preserve">Projection of Australian population </w:t>
            </w:r>
            <w:r w:rsidR="009A6B45">
              <w:t xml:space="preserve">aged </w:t>
            </w:r>
            <w:r>
              <w:t>18</w:t>
            </w:r>
            <w:r w:rsidR="009A6B45">
              <w:t> </w:t>
            </w:r>
            <w:r>
              <w:t xml:space="preserve">years and </w:t>
            </w:r>
            <w:r w:rsidR="009A6B45">
              <w:t xml:space="preserve">older in </w:t>
            </w:r>
            <w:r>
              <w:t>2016</w:t>
            </w:r>
            <w:r w:rsidR="009A6B45">
              <w:t>–</w:t>
            </w:r>
            <w:r>
              <w:t xml:space="preserve">21 </w:t>
            </w:r>
          </w:p>
        </w:tc>
        <w:tc>
          <w:tcPr>
            <w:tcW w:w="2557" w:type="pct"/>
          </w:tcPr>
          <w:p w14:paraId="790C6172" w14:textId="605846A3" w:rsidR="000E482F" w:rsidRDefault="000E482F" w:rsidP="004C79C1">
            <w:pPr>
              <w:pStyle w:val="Tabletext1"/>
              <w:spacing w:before="0" w:after="120"/>
              <w:rPr>
                <w:highlight w:val="yellow"/>
              </w:rPr>
            </w:pPr>
            <w:r w:rsidRPr="00C608DD">
              <w:t xml:space="preserve">(See </w:t>
            </w:r>
            <w:r w:rsidR="0034788F">
              <w:fldChar w:fldCharType="begin"/>
            </w:r>
            <w:r w:rsidR="0034788F">
              <w:instrText xml:space="preserve"> REF _Ref451413123 \h </w:instrText>
            </w:r>
            <w:r w:rsidR="0034788F">
              <w:fldChar w:fldCharType="separate"/>
            </w:r>
            <w:r w:rsidR="0034788F">
              <w:t xml:space="preserve">Table </w:t>
            </w:r>
            <w:r w:rsidR="0034788F">
              <w:rPr>
                <w:noProof/>
              </w:rPr>
              <w:t>57</w:t>
            </w:r>
            <w:r w:rsidR="0034788F">
              <w:fldChar w:fldCharType="end"/>
            </w:r>
            <w:r w:rsidRPr="00C608DD">
              <w:t>)</w:t>
            </w:r>
            <w:r w:rsidRPr="00C608DD" w:rsidDel="00BD5A55">
              <w:t xml:space="preserve"> </w:t>
            </w:r>
            <w:r w:rsidRPr="00C608DD">
              <w:t>ABS data catalogue no</w:t>
            </w:r>
            <w:r w:rsidR="009C1138">
              <w:t>.</w:t>
            </w:r>
            <w:r w:rsidRPr="00C608DD">
              <w:t xml:space="preserve"> 3222, series B</w:t>
            </w:r>
            <w:r w:rsidR="009C1138">
              <w:t xml:space="preserve"> </w:t>
            </w:r>
            <w:r>
              <w:fldChar w:fldCharType="begin"/>
            </w:r>
            <w:r>
              <w:instrText xml:space="preserve"> ADDIN EN.CITE &lt;EndNote&gt;&lt;Cite ExcludeAuth="1"&gt;&lt;Author&gt;Australian Bureau of Statistics&lt;/Author&gt;&lt;Year&gt;2013&lt;/Year&gt;&lt;RecNum&gt;170&lt;/RecNum&gt;&lt;DisplayText&gt;(2013)&lt;/DisplayText&gt;&lt;record&gt;&lt;rec-number&gt;170&lt;/rec-number&gt;&lt;foreign-keys&gt;&lt;key app="EN" db-id="pfxxvref0t0a5de2vwnv2fwkz0p9v0r2fw0t" timestamp="1461128818"&gt;170&lt;/key&gt;&lt;/foreign-keys&gt;&lt;ref-type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fldChar w:fldCharType="separate"/>
            </w:r>
            <w:r>
              <w:rPr>
                <w:noProof/>
              </w:rPr>
              <w:t>(</w:t>
            </w:r>
            <w:hyperlink w:anchor="_ENREF_10" w:tooltip="Australian Bureau of Statistics, 2013 #170" w:history="1">
              <w:r>
                <w:rPr>
                  <w:noProof/>
                </w:rPr>
                <w:t>2013</w:t>
              </w:r>
            </w:hyperlink>
            <w:r>
              <w:rPr>
                <w:noProof/>
              </w:rPr>
              <w:t>)</w:t>
            </w:r>
            <w:r>
              <w:fldChar w:fldCharType="end"/>
            </w:r>
            <w:r w:rsidRPr="00C608DD">
              <w:t xml:space="preserve"> </w:t>
            </w:r>
          </w:p>
        </w:tc>
      </w:tr>
      <w:tr w:rsidR="000E482F" w:rsidRPr="00F7476B" w14:paraId="2FD56ED6" w14:textId="77777777" w:rsidTr="00723891">
        <w:tc>
          <w:tcPr>
            <w:tcW w:w="2443" w:type="pct"/>
          </w:tcPr>
          <w:p w14:paraId="778B5FE7" w14:textId="77777777" w:rsidR="000E482F" w:rsidRDefault="000E482F" w:rsidP="004C79C1">
            <w:pPr>
              <w:pStyle w:val="Tabletext1"/>
              <w:spacing w:before="0" w:after="120"/>
            </w:pPr>
            <w:r>
              <w:t>Proportion of patients and family members requiring diagnostic clarification using CMR</w:t>
            </w:r>
          </w:p>
        </w:tc>
        <w:tc>
          <w:tcPr>
            <w:tcW w:w="2557" w:type="pct"/>
          </w:tcPr>
          <w:p w14:paraId="38EB241E" w14:textId="77777777" w:rsidR="000E482F" w:rsidRDefault="000E482F" w:rsidP="004C79C1">
            <w:pPr>
              <w:pStyle w:val="Tabletext1"/>
              <w:spacing w:before="0" w:after="120"/>
              <w:rPr>
                <w:highlight w:val="yellow"/>
              </w:rPr>
            </w:pPr>
            <w:r>
              <w:t xml:space="preserve">Assumed, with consideration of feedback provided by clinical experts </w:t>
            </w:r>
          </w:p>
        </w:tc>
      </w:tr>
      <w:tr w:rsidR="000E482F" w:rsidRPr="00336700" w14:paraId="7409AE54" w14:textId="77777777" w:rsidTr="00723891">
        <w:tc>
          <w:tcPr>
            <w:tcW w:w="2443" w:type="pct"/>
            <w:hideMark/>
          </w:tcPr>
          <w:p w14:paraId="2A09DCB6" w14:textId="77777777" w:rsidR="000E482F" w:rsidRDefault="000E482F" w:rsidP="004C79C1">
            <w:pPr>
              <w:pStyle w:val="Tabletext1"/>
              <w:spacing w:before="0" w:after="120"/>
            </w:pPr>
            <w:r>
              <w:t>CMR uptake rate</w:t>
            </w:r>
          </w:p>
        </w:tc>
        <w:tc>
          <w:tcPr>
            <w:tcW w:w="2557" w:type="pct"/>
            <w:hideMark/>
          </w:tcPr>
          <w:p w14:paraId="57650B35" w14:textId="359ABB93" w:rsidR="000E482F" w:rsidRPr="001D0D03" w:rsidRDefault="000E482F" w:rsidP="004C79C1">
            <w:pPr>
              <w:pStyle w:val="Tabletext1"/>
              <w:spacing w:before="0" w:after="120"/>
            </w:pPr>
            <w:r w:rsidRPr="001D0D03">
              <w:t>Base</w:t>
            </w:r>
            <w:r w:rsidR="007336F0">
              <w:t>-</w:t>
            </w:r>
            <w:r w:rsidRPr="001D0D03">
              <w:t>case: 100%</w:t>
            </w:r>
          </w:p>
          <w:p w14:paraId="5A6BC8F8" w14:textId="0C1AC083" w:rsidR="000E482F" w:rsidRDefault="000E482F" w:rsidP="004C79C1">
            <w:pPr>
              <w:pStyle w:val="Tabletext1"/>
              <w:spacing w:before="0" w:after="120"/>
            </w:pPr>
            <w:r w:rsidRPr="001D0D03">
              <w:t>Scenario analyses:</w:t>
            </w:r>
            <w:r>
              <w:t xml:space="preserve"> 50%</w:t>
            </w:r>
            <w:r w:rsidRPr="001D0D03">
              <w:t xml:space="preserve"> assumed, with consideration of feedback to the </w:t>
            </w:r>
            <w:r w:rsidR="007336F0">
              <w:t>P</w:t>
            </w:r>
            <w:r w:rsidRPr="001D0D03">
              <w:t>rotocol suggesting that CMR for diagnosis of CM has very limited access</w:t>
            </w:r>
            <w:r w:rsidR="007336F0">
              <w:t>,</w:t>
            </w:r>
            <w:r w:rsidRPr="001D0D03">
              <w:t xml:space="preserve"> due to high demand for MRI in other indications and the time required to undertake each CMR</w:t>
            </w:r>
          </w:p>
        </w:tc>
      </w:tr>
      <w:tr w:rsidR="000E482F" w:rsidRPr="00336700" w14:paraId="4E6E9568" w14:textId="77777777" w:rsidTr="00723891">
        <w:tc>
          <w:tcPr>
            <w:tcW w:w="2443" w:type="pct"/>
            <w:hideMark/>
          </w:tcPr>
          <w:p w14:paraId="3271BD5C" w14:textId="77777777" w:rsidR="000E482F" w:rsidRDefault="000E482F" w:rsidP="004C79C1">
            <w:pPr>
              <w:pStyle w:val="Tabletext1"/>
              <w:spacing w:before="0" w:after="120"/>
            </w:pPr>
            <w:r>
              <w:t>Market share of current testing</w:t>
            </w:r>
          </w:p>
        </w:tc>
        <w:tc>
          <w:tcPr>
            <w:tcW w:w="2557" w:type="pct"/>
            <w:hideMark/>
          </w:tcPr>
          <w:p w14:paraId="507A3B2D" w14:textId="411EF684" w:rsidR="000E482F" w:rsidRDefault="000E482F" w:rsidP="004C79C1">
            <w:pPr>
              <w:pStyle w:val="Tabletext1"/>
              <w:spacing w:before="0" w:after="120"/>
            </w:pPr>
            <w:r>
              <w:t xml:space="preserve">For </w:t>
            </w:r>
            <w:r w:rsidR="00E623A6">
              <w:t>p</w:t>
            </w:r>
            <w:r>
              <w:t>opulation i (inconclusive Echo): b</w:t>
            </w:r>
            <w:r w:rsidRPr="00B76370">
              <w:t>ased on study by Taylor</w:t>
            </w:r>
            <w:r w:rsidR="00844EB4">
              <w:t>, AJ</w:t>
            </w:r>
            <w:r w:rsidRPr="00B76370">
              <w:t xml:space="preserve"> </w:t>
            </w:r>
            <w:r>
              <w:fldChar w:fldCharType="begin">
                <w:fldData xml:space="preserve">PEVuZE5vdGU+PENpdGUgRXhjbHVkZUF1dGg9IjEiPjxBdXRob3I+VGF5bG9yPC9BdXRob3I+PFll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=
</w:fldData>
              </w:fldChar>
            </w:r>
            <w:r>
              <w:instrText xml:space="preserve"> ADDIN EN.CITE </w:instrText>
            </w:r>
            <w:r>
              <w:fldChar w:fldCharType="begin">
                <w:fldData xml:space="preserve">PEVuZE5vdGU+PENpdGUgRXhjbHVkZUF1dGg9IjEiPjxBdXRob3I+VGF5bG9yPC9BdXRob3I+PFll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=
</w:fldData>
              </w:fldChar>
            </w:r>
            <w:r>
              <w:instrText xml:space="preserve"> ADDIN EN.CITE.DATA </w:instrText>
            </w:r>
            <w:r>
              <w:fldChar w:fldCharType="end"/>
            </w:r>
            <w:r>
              <w:fldChar w:fldCharType="separate"/>
            </w:r>
            <w:r>
              <w:rPr>
                <w:noProof/>
              </w:rPr>
              <w:t>(</w:t>
            </w:r>
            <w:hyperlink w:anchor="_ENREF_136" w:tooltip="Taylor, 2013 #119" w:history="1">
              <w:r>
                <w:rPr>
                  <w:noProof/>
                </w:rPr>
                <w:t>2013</w:t>
              </w:r>
            </w:hyperlink>
            <w:r>
              <w:rPr>
                <w:noProof/>
              </w:rPr>
              <w:t>)</w:t>
            </w:r>
            <w:r>
              <w:fldChar w:fldCharType="end"/>
            </w:r>
          </w:p>
          <w:p w14:paraId="7C3D157F" w14:textId="02CBD746" w:rsidR="000E482F" w:rsidRDefault="000E482F" w:rsidP="004C79C1">
            <w:pPr>
              <w:pStyle w:val="Tabletext1"/>
              <w:spacing w:before="0" w:after="120"/>
            </w:pPr>
            <w:r>
              <w:t xml:space="preserve">For </w:t>
            </w:r>
            <w:r w:rsidR="00E623A6">
              <w:t>p</w:t>
            </w:r>
            <w:r>
              <w:t xml:space="preserve">opulation iiB </w:t>
            </w:r>
            <w:r w:rsidR="00B25B8C">
              <w:t>(</w:t>
            </w:r>
            <w:r>
              <w:t>intermediate risk of CAD</w:t>
            </w:r>
            <w:r w:rsidR="00B25B8C">
              <w:t>)</w:t>
            </w:r>
            <w:r>
              <w:t>: based on Medicare services provided in 2014</w:t>
            </w:r>
            <w:r w:rsidR="00B25B8C">
              <w:t>–</w:t>
            </w:r>
            <w:r>
              <w:t>15 for MBS items 38218, 59925, 55117, 57360 and 61303</w:t>
            </w:r>
          </w:p>
        </w:tc>
      </w:tr>
      <w:tr w:rsidR="000E482F" w:rsidRPr="00336700" w14:paraId="7A529640" w14:textId="77777777" w:rsidTr="00723891">
        <w:tc>
          <w:tcPr>
            <w:tcW w:w="2443" w:type="pct"/>
            <w:hideMark/>
          </w:tcPr>
          <w:p w14:paraId="0366A2C2" w14:textId="77777777" w:rsidR="000E482F" w:rsidRDefault="000E482F" w:rsidP="004C79C1">
            <w:pPr>
              <w:pStyle w:val="Tabletext1"/>
              <w:spacing w:before="0" w:after="120"/>
            </w:pPr>
            <w:r>
              <w:t>Cost of CMR to the MBS</w:t>
            </w:r>
          </w:p>
        </w:tc>
        <w:tc>
          <w:tcPr>
            <w:tcW w:w="2557" w:type="pct"/>
            <w:hideMark/>
          </w:tcPr>
          <w:p w14:paraId="137E9624" w14:textId="3EC0143A" w:rsidR="000E482F" w:rsidRDefault="000E482F" w:rsidP="004C79C1">
            <w:pPr>
              <w:pStyle w:val="Tabletext1"/>
              <w:spacing w:before="0" w:after="120"/>
            </w:pPr>
            <w:r>
              <w:t xml:space="preserve">85% of the proposed </w:t>
            </w:r>
            <w:r w:rsidR="00F032E5">
              <w:t>s</w:t>
            </w:r>
            <w:r>
              <w:t xml:space="preserve">chedule fee, assuming that tests are performed in an outpatient setting, consistent with the setting for the majority of comparator tests and for current CMR services (MBS data for items 11712, 55113, 55117, 57360, 61303, 61313, 63385, 63388, 63391, 63401 and 63404 </w:t>
            </w:r>
            <w:r w:rsidR="005A0E61">
              <w:t xml:space="preserve">in </w:t>
            </w:r>
            <w:r>
              <w:t>2014–15)</w:t>
            </w:r>
          </w:p>
        </w:tc>
      </w:tr>
      <w:tr w:rsidR="000E482F" w:rsidRPr="00336700" w14:paraId="71479B4D" w14:textId="77777777" w:rsidTr="00723891">
        <w:tc>
          <w:tcPr>
            <w:tcW w:w="2443" w:type="pct"/>
            <w:hideMark/>
          </w:tcPr>
          <w:p w14:paraId="4D5B17C6" w14:textId="77777777" w:rsidR="000E482F" w:rsidRDefault="000E482F" w:rsidP="004C79C1">
            <w:pPr>
              <w:pStyle w:val="Tabletext1"/>
              <w:spacing w:before="0" w:after="120"/>
            </w:pPr>
            <w:r>
              <w:t>Patient co-payment for CMR service</w:t>
            </w:r>
          </w:p>
        </w:tc>
        <w:tc>
          <w:tcPr>
            <w:tcW w:w="2557" w:type="pct"/>
            <w:hideMark/>
          </w:tcPr>
          <w:p w14:paraId="3AABF0F4" w14:textId="233DDBE3" w:rsidR="000E482F" w:rsidRDefault="000E482F" w:rsidP="004C79C1">
            <w:pPr>
              <w:pStyle w:val="Tabletext1"/>
              <w:spacing w:before="0" w:after="120"/>
            </w:pPr>
            <w:r>
              <w:t>MBS data for current CMR services (MBS items 63385, 63388, 63391, 63401, and 63404) for the weighted average contribution per service for out</w:t>
            </w:r>
            <w:r w:rsidR="005A0E61">
              <w:t>-</w:t>
            </w:r>
            <w:r>
              <w:t>of</w:t>
            </w:r>
            <w:r w:rsidR="005A0E61">
              <w:t>-</w:t>
            </w:r>
            <w:r>
              <w:t>hospital billed patients, 2014–15</w:t>
            </w:r>
          </w:p>
        </w:tc>
      </w:tr>
      <w:tr w:rsidR="000E482F" w:rsidRPr="00336700" w14:paraId="38EEAA1B" w14:textId="77777777" w:rsidTr="00723891">
        <w:tc>
          <w:tcPr>
            <w:tcW w:w="2443" w:type="pct"/>
            <w:hideMark/>
          </w:tcPr>
          <w:p w14:paraId="631DD0EE" w14:textId="77777777" w:rsidR="000E482F" w:rsidRDefault="000E482F" w:rsidP="004C79C1">
            <w:pPr>
              <w:pStyle w:val="Tabletext1"/>
              <w:spacing w:before="0" w:after="120"/>
            </w:pPr>
            <w:r>
              <w:t>Bulk-billing rate for CMR service</w:t>
            </w:r>
          </w:p>
        </w:tc>
        <w:tc>
          <w:tcPr>
            <w:tcW w:w="2557" w:type="pct"/>
            <w:hideMark/>
          </w:tcPr>
          <w:p w14:paraId="09E53353" w14:textId="77777777" w:rsidR="000E482F" w:rsidRDefault="000E482F" w:rsidP="004C79C1">
            <w:pPr>
              <w:pStyle w:val="Tabletext1"/>
              <w:spacing w:before="0" w:after="120"/>
            </w:pPr>
            <w:r>
              <w:t>MBS data for current CMR services (MBS items 63385, 63388, 63391, 63401, and 63404) for the weighted average bulk-billing rate, 2014–15</w:t>
            </w:r>
          </w:p>
        </w:tc>
      </w:tr>
      <w:tr w:rsidR="000E482F" w:rsidRPr="00F7476B" w14:paraId="7FC12752" w14:textId="77777777" w:rsidTr="00723891">
        <w:tc>
          <w:tcPr>
            <w:tcW w:w="2443" w:type="pct"/>
          </w:tcPr>
          <w:p w14:paraId="37009511" w14:textId="77777777" w:rsidR="000E482F" w:rsidRPr="00F7476B" w:rsidRDefault="000E482F" w:rsidP="004C79C1">
            <w:pPr>
              <w:pStyle w:val="Tabletext1"/>
              <w:spacing w:before="0" w:after="120"/>
            </w:pPr>
            <w:r>
              <w:lastRenderedPageBreak/>
              <w:t>Cost of current tests to the MBS</w:t>
            </w:r>
          </w:p>
        </w:tc>
        <w:tc>
          <w:tcPr>
            <w:tcW w:w="2557" w:type="pct"/>
          </w:tcPr>
          <w:p w14:paraId="2C637D0D" w14:textId="77777777" w:rsidR="000E482F" w:rsidRPr="00F7476B" w:rsidRDefault="000E482F" w:rsidP="004C79C1">
            <w:pPr>
              <w:pStyle w:val="Tabletext1"/>
              <w:spacing w:before="0" w:after="120"/>
            </w:pPr>
            <w:r>
              <w:t xml:space="preserve">MBS data for items </w:t>
            </w:r>
            <w:r w:rsidRPr="00AE1DA1">
              <w:t>11712, 55113, 55117, 57360, 61303</w:t>
            </w:r>
            <w:r>
              <w:t xml:space="preserve"> and</w:t>
            </w:r>
            <w:r w:rsidRPr="00AE1DA1">
              <w:t xml:space="preserve"> 61313</w:t>
            </w:r>
            <w:r>
              <w:t xml:space="preserve"> for the weighted average MBS benefit paid per service, 2014–15 </w:t>
            </w:r>
          </w:p>
        </w:tc>
      </w:tr>
      <w:tr w:rsidR="000E482F" w:rsidRPr="00B76370" w14:paraId="39D840E3" w14:textId="77777777" w:rsidTr="00723891">
        <w:tc>
          <w:tcPr>
            <w:tcW w:w="2443" w:type="pct"/>
          </w:tcPr>
          <w:p w14:paraId="300E7F8F" w14:textId="77777777" w:rsidR="000E482F" w:rsidRPr="00F7476B" w:rsidRDefault="000E482F" w:rsidP="004C79C1">
            <w:pPr>
              <w:pStyle w:val="Tabletext1"/>
              <w:spacing w:before="0" w:after="120"/>
            </w:pPr>
            <w:r>
              <w:t>Patient co-payment for current tests</w:t>
            </w:r>
          </w:p>
        </w:tc>
        <w:tc>
          <w:tcPr>
            <w:tcW w:w="2557" w:type="pct"/>
          </w:tcPr>
          <w:p w14:paraId="374053B6" w14:textId="17296AE9" w:rsidR="000E482F" w:rsidRPr="00F7476B" w:rsidRDefault="000E482F" w:rsidP="004C79C1">
            <w:pPr>
              <w:pStyle w:val="Tabletext1"/>
              <w:spacing w:before="0" w:after="120"/>
            </w:pPr>
            <w:r>
              <w:t xml:space="preserve">MBS data for items </w:t>
            </w:r>
            <w:r w:rsidRPr="00AE1DA1">
              <w:t>11</w:t>
            </w:r>
            <w:r>
              <w:t>712, 55113, 55117, 57360, 61303 and</w:t>
            </w:r>
            <w:r w:rsidRPr="00AE1DA1">
              <w:t xml:space="preserve"> 61313</w:t>
            </w:r>
            <w:r>
              <w:t xml:space="preserve"> for the weighted average patient contribution per service (across all patients, and so intrinsic in this data are the bulk-billing rates for the tests), 2014–15</w:t>
            </w:r>
          </w:p>
        </w:tc>
      </w:tr>
      <w:tr w:rsidR="000E482F" w:rsidRPr="00B76370" w14:paraId="5B9FA5F6" w14:textId="77777777" w:rsidTr="00723891">
        <w:tc>
          <w:tcPr>
            <w:tcW w:w="2443" w:type="pct"/>
          </w:tcPr>
          <w:p w14:paraId="383E2127" w14:textId="6572B89D" w:rsidR="000E482F" w:rsidRDefault="000E482F" w:rsidP="004C79C1">
            <w:pPr>
              <w:pStyle w:val="Tabletext1"/>
              <w:spacing w:before="0" w:after="120"/>
            </w:pPr>
            <w:r>
              <w:t xml:space="preserve">Cost per service of ICA in </w:t>
            </w:r>
            <w:r w:rsidR="009A6B45">
              <w:t>p</w:t>
            </w:r>
            <w:r>
              <w:t xml:space="preserve">ublic </w:t>
            </w:r>
            <w:r w:rsidR="009A6B45">
              <w:t>s</w:t>
            </w:r>
            <w:r>
              <w:t>ector</w:t>
            </w:r>
          </w:p>
        </w:tc>
        <w:tc>
          <w:tcPr>
            <w:tcW w:w="2557" w:type="pct"/>
          </w:tcPr>
          <w:p w14:paraId="428AA318" w14:textId="77777777" w:rsidR="000E482F" w:rsidRDefault="000E482F" w:rsidP="004C79C1">
            <w:pPr>
              <w:pStyle w:val="Tabletext1"/>
              <w:spacing w:before="0" w:after="120"/>
            </w:pPr>
            <w:r>
              <w:t xml:space="preserve">NEP for </w:t>
            </w:r>
            <w:r w:rsidRPr="00941B64">
              <w:t>AR-DRG</w:t>
            </w:r>
            <w:r>
              <w:t xml:space="preserve"> F42C </w:t>
            </w:r>
            <w:r>
              <w:fldChar w:fldCharType="begin"/>
            </w:r>
            <w: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8" w:tooltip="Independent Hospital Pricing Authority (IHPA), 2015 #160" w:history="1">
              <w:r>
                <w:rPr>
                  <w:noProof/>
                </w:rPr>
                <w:t>Independent Hospital Pricing Authority (IHPA) 2015a</w:t>
              </w:r>
            </w:hyperlink>
            <w:r>
              <w:rPr>
                <w:noProof/>
              </w:rPr>
              <w:t>)</w:t>
            </w:r>
            <w:r>
              <w:fldChar w:fldCharType="end"/>
            </w:r>
          </w:p>
        </w:tc>
      </w:tr>
      <w:tr w:rsidR="000E482F" w:rsidRPr="00B76370" w14:paraId="335139A9" w14:textId="77777777" w:rsidTr="00723891">
        <w:tc>
          <w:tcPr>
            <w:tcW w:w="2443" w:type="pct"/>
          </w:tcPr>
          <w:p w14:paraId="16AEAAD5" w14:textId="00C60193" w:rsidR="000E482F" w:rsidRDefault="000E482F" w:rsidP="004C79C1">
            <w:pPr>
              <w:pStyle w:val="Tabletext1"/>
              <w:spacing w:before="0" w:after="120"/>
            </w:pPr>
            <w:r>
              <w:t xml:space="preserve">Cost per service of ICA in </w:t>
            </w:r>
            <w:r w:rsidR="009A6B45">
              <w:t>p</w:t>
            </w:r>
            <w:r>
              <w:t xml:space="preserve">rivate </w:t>
            </w:r>
            <w:r w:rsidR="009A6B45">
              <w:t>s</w:t>
            </w:r>
            <w:r>
              <w:t>ector</w:t>
            </w:r>
          </w:p>
        </w:tc>
        <w:tc>
          <w:tcPr>
            <w:tcW w:w="2557" w:type="pct"/>
          </w:tcPr>
          <w:p w14:paraId="45DC6666" w14:textId="39C22D15" w:rsidR="000E482F" w:rsidRDefault="00CD4AC5" w:rsidP="004C79C1">
            <w:pPr>
              <w:pStyle w:val="Tabletext1"/>
              <w:spacing w:before="0" w:after="120"/>
            </w:pPr>
            <w:hyperlink r:id="rId71" w:tooltip="http://healthtopics.hcf.com.au/CoronaryAngiographyAngioplastyandStents.aspx" w:history="1">
              <w:r w:rsidR="000E482F" w:rsidRPr="00B6125A">
                <w:rPr>
                  <w:rStyle w:val="Hyperlink"/>
                </w:rPr>
                <w:t>http://healthtopics.hcf.com.au/CoronaryAngiographyAngioplastyandStents.aspx</w:t>
              </w:r>
            </w:hyperlink>
            <w:r w:rsidR="000E482F">
              <w:t xml:space="preserve"> </w:t>
            </w:r>
          </w:p>
        </w:tc>
      </w:tr>
      <w:tr w:rsidR="000E482F" w:rsidRPr="00B76370" w14:paraId="4F95BFCC" w14:textId="77777777" w:rsidTr="00723891">
        <w:tc>
          <w:tcPr>
            <w:tcW w:w="2443" w:type="pct"/>
          </w:tcPr>
          <w:p w14:paraId="4E1DE3BB" w14:textId="32493B90" w:rsidR="000E482F" w:rsidRDefault="009A6B45" w:rsidP="004C79C1">
            <w:pPr>
              <w:pStyle w:val="Tabletext1"/>
              <w:spacing w:before="0" w:after="120"/>
            </w:pPr>
            <w:r>
              <w:t xml:space="preserve">Respective number of ICA </w:t>
            </w:r>
            <w:r w:rsidR="000E482F">
              <w:t xml:space="preserve">services  performed in </w:t>
            </w:r>
            <w:r>
              <w:t>p</w:t>
            </w:r>
            <w:r w:rsidR="000E482F">
              <w:t xml:space="preserve">rivate and </w:t>
            </w:r>
            <w:r>
              <w:t>p</w:t>
            </w:r>
            <w:r w:rsidR="000E482F">
              <w:t xml:space="preserve">ublic </w:t>
            </w:r>
            <w:r>
              <w:t>s</w:t>
            </w:r>
            <w:r w:rsidR="000E482F">
              <w:t>ector</w:t>
            </w:r>
            <w:r>
              <w:t>s</w:t>
            </w:r>
          </w:p>
        </w:tc>
        <w:tc>
          <w:tcPr>
            <w:tcW w:w="2557" w:type="pct"/>
          </w:tcPr>
          <w:p w14:paraId="6BB666E1" w14:textId="6F877A59" w:rsidR="000E482F" w:rsidRDefault="000E482F" w:rsidP="004C79C1">
            <w:pPr>
              <w:pStyle w:val="Tabletext1"/>
              <w:spacing w:before="0" w:after="120"/>
            </w:pPr>
            <w:r>
              <w:t xml:space="preserve">Based on </w:t>
            </w:r>
            <w:r w:rsidR="0019669B">
              <w:t xml:space="preserve">respective </w:t>
            </w:r>
            <w:r>
              <w:t xml:space="preserve">number of separations for AR-DRG F42A, F42B and F42C in </w:t>
            </w:r>
            <w:r w:rsidR="0019669B">
              <w:t>p</w:t>
            </w:r>
            <w:r>
              <w:t xml:space="preserve">ublic </w:t>
            </w:r>
            <w:r>
              <w:fldChar w:fldCharType="begin"/>
            </w:r>
            <w:r>
              <w:instrText xml:space="preserve"> ADDIN EN.CITE &lt;EndNote&gt;&lt;Cite&gt;&lt;Author&gt;Independent Hospital Pricing Authority (IHPA)&lt;/Author&gt;&lt;Year&gt;2015&lt;/Year&gt;&lt;RecNum&gt;161&lt;/RecNum&gt;&lt;DisplayText&gt;(Independent Hospital Pricing Authority (IHPA) 2015c)&lt;/DisplayText&gt;&lt;record&gt;&lt;rec-number&gt;161&lt;/rec-number&gt;&lt;foreign-keys&gt;&lt;key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EndNote&gt;</w:instrText>
            </w:r>
            <w:r>
              <w:fldChar w:fldCharType="separate"/>
            </w:r>
            <w:r>
              <w:rPr>
                <w:noProof/>
              </w:rPr>
              <w:t>(</w:t>
            </w:r>
            <w:hyperlink w:anchor="_ENREF_60" w:tooltip="Independent Hospital Pricing Authority (IHPA), 2015 #161" w:history="1">
              <w:r>
                <w:rPr>
                  <w:noProof/>
                </w:rPr>
                <w:t>Independent Hospital Pricing Authority (IHPA) 2015c</w:t>
              </w:r>
            </w:hyperlink>
            <w:r>
              <w:rPr>
                <w:noProof/>
              </w:rPr>
              <w:t>)</w:t>
            </w:r>
            <w:r>
              <w:fldChar w:fldCharType="end"/>
            </w:r>
            <w:r>
              <w:t xml:space="preserve"> and </w:t>
            </w:r>
            <w:r w:rsidR="0019669B">
              <w:t>p</w:t>
            </w:r>
            <w:r>
              <w:t xml:space="preserve">rivate hospitals </w:t>
            </w:r>
            <w:r>
              <w:fldChar w:fldCharType="begin"/>
            </w:r>
            <w:r>
              <w:instrText xml:space="preserve"> ADDIN EN.CITE &lt;EndNote&gt;&lt;Cite&gt;&lt;Author&gt;Independent Hospital Pricing Authority (IHPA)&lt;/Author&gt;&lt;Year&gt;2015&lt;/Year&gt;&lt;RecNum&gt;174&lt;/RecNum&gt;&lt;DisplayText&gt;(Independent Hospital Pricing Authority (IHPA) 2015b)&lt;/DisplayText&gt;&lt;record&gt;&lt;rec-number&gt;174&lt;/rec-number&gt;&lt;foreign-keys&gt;&lt;key app="EN" db-id="pfxxvref0t0a5de2vwnv2fwkz0p9v0r2fw0t" timestamp="1461638137"&gt;174&lt;/key&gt;&lt;/foreign-keys&gt;&lt;ref-type name="Web Page"&gt;12&lt;/ref-type&gt;&lt;contributors&gt;&lt;authors&gt;&lt;author&gt;Independent Hospital Pricing Authority (IHPA),&lt;/author&gt;&lt;/authors&gt;&lt;/contributors&gt;&lt;titles&gt;&lt;title&gt;National Hospital Cost Data Collection (NHCDC), Round 18 Private Sector Overnight (2013-14), Appendix E-National Consolidation Cost Weight tables- AR-DRG V6.0X&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fldChar w:fldCharType="separate"/>
            </w:r>
            <w:r>
              <w:rPr>
                <w:noProof/>
              </w:rPr>
              <w:t>(</w:t>
            </w:r>
            <w:hyperlink w:anchor="_ENREF_59" w:tooltip="Independent Hospital Pricing Authority (IHPA), 2015 #174" w:history="1">
              <w:r>
                <w:rPr>
                  <w:noProof/>
                </w:rPr>
                <w:t>Independent Hospital Pricing Authority (IHPA) 2015b</w:t>
              </w:r>
            </w:hyperlink>
            <w:r>
              <w:rPr>
                <w:noProof/>
              </w:rPr>
              <w:t>)</w:t>
            </w:r>
            <w:r>
              <w:fldChar w:fldCharType="end"/>
            </w:r>
          </w:p>
        </w:tc>
      </w:tr>
    </w:tbl>
    <w:p w14:paraId="3EEBCAE7" w14:textId="32610A8F" w:rsidR="000E482F" w:rsidRDefault="000E482F" w:rsidP="004C79C1">
      <w:pPr>
        <w:pStyle w:val="Tablenotes0"/>
        <w:spacing w:before="0" w:after="120"/>
      </w:pPr>
      <w:r w:rsidRPr="005A59D3">
        <w:t xml:space="preserve">AR-DRG = Australian Refined Diagnosis Related Groups; ABS = Australian Bureau of Statistics; CAD = coronary artery disease; </w:t>
      </w:r>
      <w:r w:rsidR="00421E35" w:rsidRPr="005A59D3">
        <w:t xml:space="preserve">CM = cardiomyopathy; </w:t>
      </w:r>
      <w:r w:rsidRPr="005A59D3">
        <w:t xml:space="preserve">CMR = cardiac magnetic resonance </w:t>
      </w:r>
      <w:r w:rsidR="00937268">
        <w:t>(</w:t>
      </w:r>
      <w:r w:rsidRPr="005A59D3">
        <w:t>imaging</w:t>
      </w:r>
      <w:r w:rsidR="00937268">
        <w:t>)</w:t>
      </w:r>
      <w:r w:rsidRPr="005A59D3">
        <w:t xml:space="preserve">; DCM = dilated cardiomyopathy; Echo = echocardiography; ICA = invasive coronary angiography; MBS = Medicare Benefits Schedule; </w:t>
      </w:r>
      <w:r w:rsidR="00421E35" w:rsidRPr="005A59D3">
        <w:t xml:space="preserve">MRI = </w:t>
      </w:r>
      <w:r w:rsidR="001F1F22" w:rsidRPr="0034788F">
        <w:t>magnetic resonance imaging</w:t>
      </w:r>
      <w:r w:rsidR="00421E35" w:rsidRPr="005A59D3">
        <w:t xml:space="preserve">; </w:t>
      </w:r>
      <w:r w:rsidRPr="005A59D3">
        <w:t>NEP = National Efficient Price</w:t>
      </w:r>
    </w:p>
    <w:p w14:paraId="76D3D8EE" w14:textId="4FDEEE95" w:rsidR="000E482F" w:rsidRPr="00183E4D" w:rsidRDefault="000E482F" w:rsidP="004C79C1">
      <w:pPr>
        <w:spacing w:after="120" w:line="240" w:lineRule="auto"/>
        <w:rPr>
          <w:u w:val="single"/>
        </w:rPr>
      </w:pPr>
      <w:r>
        <w:rPr>
          <w:i/>
        </w:rPr>
        <w:t xml:space="preserve">To aid the ability to follow calculations, tables used for epidemiological calculations will be allocated row numbers </w:t>
      </w:r>
      <w:r w:rsidR="004B4CCE">
        <w:rPr>
          <w:i/>
        </w:rPr>
        <w:t xml:space="preserve">that </w:t>
      </w:r>
      <w:r>
        <w:rPr>
          <w:i/>
        </w:rPr>
        <w:t>are consistent and continue consecutively throughout the sections.</w:t>
      </w:r>
    </w:p>
    <w:p w14:paraId="38361A92" w14:textId="77777777" w:rsidR="000E482F" w:rsidRDefault="000E482F" w:rsidP="004C79C1">
      <w:pPr>
        <w:pStyle w:val="Heading2"/>
        <w:numPr>
          <w:ilvl w:val="4"/>
          <w:numId w:val="101"/>
        </w:numPr>
        <w:spacing w:before="0" w:after="120" w:line="240" w:lineRule="auto"/>
        <w:jc w:val="both"/>
      </w:pPr>
      <w:bookmarkStart w:id="660" w:name="_Toc214091270"/>
      <w:bookmarkStart w:id="661" w:name="_Toc341796094"/>
      <w:bookmarkStart w:id="662" w:name="_Toc432677420"/>
      <w:bookmarkStart w:id="663" w:name="_Toc449609023"/>
      <w:bookmarkStart w:id="664" w:name="_Toc451501393"/>
      <w:bookmarkStart w:id="665" w:name="_Toc379118300"/>
      <w:bookmarkStart w:id="666" w:name="_Toc381796483"/>
      <w:r>
        <w:t xml:space="preserve">Use and Costs of </w:t>
      </w:r>
      <w:bookmarkEnd w:id="660"/>
      <w:bookmarkEnd w:id="661"/>
      <w:bookmarkEnd w:id="662"/>
      <w:r>
        <w:t>CMR for Diagnosis of DCM</w:t>
      </w:r>
      <w:bookmarkEnd w:id="663"/>
      <w:bookmarkEnd w:id="664"/>
    </w:p>
    <w:p w14:paraId="0EA6337A" w14:textId="6CEBD7CA" w:rsidR="000E482F" w:rsidRDefault="000E482F" w:rsidP="004C79C1">
      <w:pPr>
        <w:spacing w:after="120" w:line="240" w:lineRule="auto"/>
        <w:jc w:val="both"/>
      </w:pPr>
      <w:r w:rsidRPr="005856D7">
        <w:t xml:space="preserve">CMR is proposed as an additional test in suspected </w:t>
      </w:r>
      <w:r w:rsidR="00AF1202">
        <w:t>HF</w:t>
      </w:r>
      <w:r w:rsidRPr="005856D7">
        <w:t xml:space="preserve"> patients who have undergone standard clinical evaluations, including clinical examinations, ECG and </w:t>
      </w:r>
      <w:r w:rsidR="004F632C">
        <w:t>echocardiography</w:t>
      </w:r>
      <w:r w:rsidRPr="005856D7">
        <w:t>, and require further diagnostic clarification.</w:t>
      </w:r>
      <w:r>
        <w:t xml:space="preserve"> There is no specific data on the number of patients in Australia investigated for all forms of DCM each year</w:t>
      </w:r>
      <w:r>
        <w:rPr>
          <w:rStyle w:val="FootnoteReference"/>
        </w:rPr>
        <w:footnoteReference w:id="17"/>
      </w:r>
      <w:r w:rsidR="00AF1202">
        <w:t>;</w:t>
      </w:r>
      <w:r>
        <w:t xml:space="preserve"> however</w:t>
      </w:r>
      <w:r w:rsidR="00AF1202">
        <w:t>,</w:t>
      </w:r>
      <w:r>
        <w:t xml:space="preserve"> the number of patients in Australia expected to have a positive diagnosis of </w:t>
      </w:r>
      <w:r w:rsidRPr="008E4D23">
        <w:rPr>
          <w:i/>
        </w:rPr>
        <w:t xml:space="preserve">primary </w:t>
      </w:r>
      <w:r w:rsidRPr="008E4D23">
        <w:t>DCM can</w:t>
      </w:r>
      <w:r>
        <w:t xml:space="preserve"> be estimated based on incidence and prevalence estimates. </w:t>
      </w:r>
    </w:p>
    <w:p w14:paraId="19117A08" w14:textId="77777777" w:rsidR="000E482F" w:rsidRDefault="000E482F" w:rsidP="004C79C1">
      <w:pPr>
        <w:spacing w:after="120" w:line="240" w:lineRule="auto"/>
        <w:jc w:val="both"/>
      </w:pPr>
      <w:r>
        <w:t xml:space="preserve">The following steps have been taken to estimate the broader number of patients with </w:t>
      </w:r>
      <w:r w:rsidRPr="00C939B9">
        <w:rPr>
          <w:i/>
        </w:rPr>
        <w:t xml:space="preserve">any suspected </w:t>
      </w:r>
      <w:r>
        <w:rPr>
          <w:i/>
        </w:rPr>
        <w:t>DCM</w:t>
      </w:r>
      <w:r>
        <w:t xml:space="preserve"> for whom it would be appropriate to use CMR.</w:t>
      </w:r>
    </w:p>
    <w:p w14:paraId="4E834CE9" w14:textId="1BE8FCB5" w:rsidR="000E482F" w:rsidRDefault="000E482F" w:rsidP="004C79C1">
      <w:pPr>
        <w:pStyle w:val="ListParagraph"/>
        <w:numPr>
          <w:ilvl w:val="0"/>
          <w:numId w:val="67"/>
        </w:numPr>
        <w:spacing w:after="120" w:line="240" w:lineRule="auto"/>
        <w:jc w:val="both"/>
      </w:pPr>
      <w:r>
        <w:t xml:space="preserve">Estimation of the number of incident cases of </w:t>
      </w:r>
      <w:r w:rsidRPr="008E4D23">
        <w:rPr>
          <w:i/>
        </w:rPr>
        <w:t>primary</w:t>
      </w:r>
      <w:r>
        <w:t xml:space="preserve"> DCM (i.e. idiopathic and familial, but excluding secondary causes such as ischaemia, myocarditis etc</w:t>
      </w:r>
      <w:r w:rsidR="00A94A5E">
        <w:t>.</w:t>
      </w:r>
      <w:r>
        <w:t>) in Australia for each year of analysis, using population projections and reported incidence rates.</w:t>
      </w:r>
    </w:p>
    <w:p w14:paraId="1E2A75D7" w14:textId="04BBFB56" w:rsidR="000E482F" w:rsidRDefault="000E482F" w:rsidP="004C79C1">
      <w:pPr>
        <w:pStyle w:val="ListParagraph"/>
        <w:numPr>
          <w:ilvl w:val="0"/>
          <w:numId w:val="67"/>
        </w:numPr>
        <w:spacing w:after="120" w:line="240" w:lineRule="auto"/>
        <w:jc w:val="both"/>
      </w:pPr>
      <w:r>
        <w:t>Estimation of t</w:t>
      </w:r>
      <w:r w:rsidRPr="00D65455">
        <w:t xml:space="preserve">he </w:t>
      </w:r>
      <w:r>
        <w:t xml:space="preserve">total </w:t>
      </w:r>
      <w:r w:rsidRPr="00D65455">
        <w:t xml:space="preserve">number of suspected </w:t>
      </w:r>
      <w:r w:rsidR="00FB1F45">
        <w:t>HF</w:t>
      </w:r>
      <w:r w:rsidRPr="00D65455">
        <w:t xml:space="preserve"> patients </w:t>
      </w:r>
      <w:r>
        <w:t xml:space="preserve">(with a </w:t>
      </w:r>
      <w:r w:rsidRPr="00D65455">
        <w:t xml:space="preserve">diagnosis of </w:t>
      </w:r>
      <w:r w:rsidR="00FB1F45">
        <w:t xml:space="preserve">a </w:t>
      </w:r>
      <w:r w:rsidRPr="00D65455">
        <w:t>dilated LV</w:t>
      </w:r>
      <w:r>
        <w:t>, from any cause, identified by echocardiogram, examination etc</w:t>
      </w:r>
      <w:r w:rsidR="00FD34F7">
        <w:t>.</w:t>
      </w:r>
      <w:r>
        <w:t>), based on a reported ratio of primary</w:t>
      </w:r>
      <w:proofErr w:type="gramStart"/>
      <w:r>
        <w:t>:secondary</w:t>
      </w:r>
      <w:proofErr w:type="gramEnd"/>
      <w:r>
        <w:t xml:space="preserve"> </w:t>
      </w:r>
      <w:r w:rsidR="00FB1F45">
        <w:t>CMs</w:t>
      </w:r>
      <w:r>
        <w:t>.</w:t>
      </w:r>
    </w:p>
    <w:p w14:paraId="5DF781DC" w14:textId="3AA5CABD" w:rsidR="000E482F" w:rsidRDefault="000E482F" w:rsidP="004C79C1">
      <w:pPr>
        <w:pStyle w:val="ListParagraph"/>
        <w:numPr>
          <w:ilvl w:val="0"/>
          <w:numId w:val="67"/>
        </w:numPr>
        <w:spacing w:after="120" w:line="240" w:lineRule="auto"/>
        <w:jc w:val="both"/>
      </w:pPr>
      <w:r>
        <w:t>An estimate of t</w:t>
      </w:r>
      <w:r w:rsidRPr="00271081">
        <w:t xml:space="preserve">he </w:t>
      </w:r>
      <w:r>
        <w:t xml:space="preserve">number of patients </w:t>
      </w:r>
      <w:r w:rsidRPr="00C939B9">
        <w:t>suspected or diagnosed with DCM</w:t>
      </w:r>
      <w:r>
        <w:t xml:space="preserve"> who will have </w:t>
      </w:r>
      <w:r w:rsidRPr="00271081">
        <w:t xml:space="preserve">indeterminate or equivocal </w:t>
      </w:r>
      <w:r>
        <w:t xml:space="preserve">echocardiograms (based on the estimated rate of indeterminate echocardiograms); </w:t>
      </w:r>
      <w:r w:rsidRPr="00C939B9">
        <w:rPr>
          <w:i/>
        </w:rPr>
        <w:t xml:space="preserve">eligible patient group </w:t>
      </w:r>
      <w:r>
        <w:rPr>
          <w:i/>
        </w:rPr>
        <w:t xml:space="preserve">i, as per </w:t>
      </w:r>
      <w:r w:rsidR="000D72EA">
        <w:rPr>
          <w:i/>
        </w:rPr>
        <w:t>s</w:t>
      </w:r>
      <w:r>
        <w:rPr>
          <w:i/>
        </w:rPr>
        <w:t>ection A4</w:t>
      </w:r>
      <w:r>
        <w:t>.</w:t>
      </w:r>
    </w:p>
    <w:p w14:paraId="7B3DBD12" w14:textId="055F8CDB" w:rsidR="000E482F" w:rsidRDefault="000E482F" w:rsidP="004C79C1">
      <w:pPr>
        <w:pStyle w:val="ListParagraph"/>
        <w:numPr>
          <w:ilvl w:val="0"/>
          <w:numId w:val="67"/>
        </w:numPr>
        <w:spacing w:after="120" w:line="240" w:lineRule="auto"/>
        <w:jc w:val="both"/>
      </w:pPr>
      <w:r>
        <w:t xml:space="preserve">The number of cases that are suspected or diagnosed with DCM following other clinical evaluation (including echocardiogram), and with </w:t>
      </w:r>
      <w:r w:rsidR="00E03D74">
        <w:t xml:space="preserve">a </w:t>
      </w:r>
      <w:r>
        <w:t xml:space="preserve">low or intermediate risk of CAD, where </w:t>
      </w:r>
      <w:r>
        <w:lastRenderedPageBreak/>
        <w:t>further diagnostic clarification is required (e</w:t>
      </w:r>
      <w:r w:rsidR="00E03D74">
        <w:t>.</w:t>
      </w:r>
      <w:r>
        <w:t>g</w:t>
      </w:r>
      <w:r w:rsidR="00E03D74">
        <w:t>.</w:t>
      </w:r>
      <w:r>
        <w:t xml:space="preserve"> to identify specific aetiology/secondary causes); </w:t>
      </w:r>
      <w:r w:rsidRPr="008E4D23">
        <w:rPr>
          <w:i/>
        </w:rPr>
        <w:t xml:space="preserve">eligible patient group </w:t>
      </w:r>
      <w:r>
        <w:rPr>
          <w:i/>
        </w:rPr>
        <w:t>ii, as per</w:t>
      </w:r>
      <w:r w:rsidRPr="008E4D23">
        <w:rPr>
          <w:i/>
        </w:rPr>
        <w:t xml:space="preserve"> </w:t>
      </w:r>
      <w:r w:rsidR="000D72EA">
        <w:rPr>
          <w:i/>
        </w:rPr>
        <w:t>s</w:t>
      </w:r>
      <w:r>
        <w:rPr>
          <w:i/>
        </w:rPr>
        <w:t>ection A4</w:t>
      </w:r>
      <w:r>
        <w:t>.</w:t>
      </w:r>
    </w:p>
    <w:p w14:paraId="0A8B47D0" w14:textId="43501FA4" w:rsidR="000E482F" w:rsidRDefault="008842A3" w:rsidP="004C79C1">
      <w:pPr>
        <w:pStyle w:val="ListParagraph"/>
        <w:numPr>
          <w:ilvl w:val="0"/>
          <w:numId w:val="67"/>
        </w:numPr>
        <w:spacing w:after="120" w:line="240" w:lineRule="auto"/>
        <w:jc w:val="both"/>
      </w:pPr>
      <w:r>
        <w:t>An estimate of t</w:t>
      </w:r>
      <w:r w:rsidR="000E482F">
        <w:t>he</w:t>
      </w:r>
      <w:r w:rsidR="000E482F" w:rsidRPr="00292372">
        <w:t xml:space="preserve"> </w:t>
      </w:r>
      <w:r w:rsidR="000E482F">
        <w:t xml:space="preserve">expected number of apparent </w:t>
      </w:r>
      <w:r w:rsidR="000E482F" w:rsidRPr="00292372">
        <w:t xml:space="preserve">familial cases </w:t>
      </w:r>
      <w:r w:rsidR="000E482F">
        <w:t xml:space="preserve">of DCM </w:t>
      </w:r>
      <w:r w:rsidR="000E482F" w:rsidRPr="00292372">
        <w:t xml:space="preserve">eligible for </w:t>
      </w:r>
      <w:r w:rsidR="000E482F">
        <w:t xml:space="preserve">further diagnostic clarification by </w:t>
      </w:r>
      <w:r w:rsidR="000E482F" w:rsidRPr="00292372">
        <w:t>CMR test</w:t>
      </w:r>
      <w:r w:rsidR="000E482F">
        <w:t xml:space="preserve">; </w:t>
      </w:r>
      <w:r w:rsidR="000E482F" w:rsidRPr="00B615FC">
        <w:rPr>
          <w:i/>
        </w:rPr>
        <w:t>eligible patient group</w:t>
      </w:r>
      <w:r w:rsidR="000E482F">
        <w:rPr>
          <w:i/>
        </w:rPr>
        <w:t xml:space="preserve">s iii/iv, as per </w:t>
      </w:r>
      <w:r w:rsidR="000D72EA">
        <w:rPr>
          <w:i/>
        </w:rPr>
        <w:t>s</w:t>
      </w:r>
      <w:r w:rsidR="000E482F">
        <w:rPr>
          <w:i/>
        </w:rPr>
        <w:t>ection A4</w:t>
      </w:r>
      <w:r w:rsidR="000E482F" w:rsidRPr="00B615FC">
        <w:rPr>
          <w:i/>
        </w:rPr>
        <w:t>.</w:t>
      </w:r>
    </w:p>
    <w:p w14:paraId="1C4EBC2C" w14:textId="77777777" w:rsidR="000E482F" w:rsidRPr="00A75D15" w:rsidRDefault="000E482F" w:rsidP="00161B88">
      <w:pPr>
        <w:pStyle w:val="Heading3"/>
      </w:pPr>
      <w:bookmarkStart w:id="667" w:name="_Toc451501394"/>
      <w:r w:rsidRPr="00A75D15">
        <w:t>Uptake of CMR</w:t>
      </w:r>
      <w:bookmarkEnd w:id="667"/>
    </w:p>
    <w:p w14:paraId="1395B403" w14:textId="0619C641" w:rsidR="000E482F" w:rsidRPr="00271081" w:rsidRDefault="000E482F" w:rsidP="004C79C1">
      <w:pPr>
        <w:spacing w:after="120" w:line="240" w:lineRule="auto"/>
        <w:jc w:val="both"/>
      </w:pPr>
      <w:r>
        <w:t xml:space="preserve">Feedback to the </w:t>
      </w:r>
      <w:r w:rsidR="00A76FC9">
        <w:t>P</w:t>
      </w:r>
      <w:r>
        <w:t>rotocol suggested that there may be limited access to CMR for diagnosis of CAD due to the generally high demand for MR</w:t>
      </w:r>
      <w:r w:rsidR="00A76FC9">
        <w:t>I</w:t>
      </w:r>
      <w:r>
        <w:t xml:space="preserve"> in other specialties and indications. Furthermore, patient acceptability may not be high due to </w:t>
      </w:r>
      <w:r w:rsidR="00A76FC9">
        <w:t xml:space="preserve">CMR </w:t>
      </w:r>
      <w:r>
        <w:t xml:space="preserve">requiring </w:t>
      </w:r>
      <w:r w:rsidR="00A76FC9">
        <w:t xml:space="preserve">spending </w:t>
      </w:r>
      <w:r>
        <w:t>an extended time in a confined space. Therefore, it was proposed</w:t>
      </w:r>
      <w:r w:rsidR="008E15FC">
        <w:t>,</w:t>
      </w:r>
      <w:r>
        <w:t xml:space="preserve"> prior to consideration of the clinical evidence, that the uptake of CMR may be small. However, during preparation of this report, clinical experts advised that</w:t>
      </w:r>
      <w:r w:rsidR="008E15FC">
        <w:t>,</w:t>
      </w:r>
      <w:r>
        <w:t xml:space="preserve"> due to the additional clinical value of CMR in providing diagnosis and diagnostic clarification in this population, if available, the uptake rates may be high. T</w:t>
      </w:r>
      <w:r w:rsidRPr="00271081">
        <w:t>he uptake</w:t>
      </w:r>
      <w:r>
        <w:t xml:space="preserve"> rate</w:t>
      </w:r>
      <w:r w:rsidRPr="00271081">
        <w:t xml:space="preserve"> of CMR</w:t>
      </w:r>
      <w:r>
        <w:t xml:space="preserve"> is estimated for each eligible patient group.</w:t>
      </w:r>
    </w:p>
    <w:p w14:paraId="71278A43" w14:textId="77777777" w:rsidR="000E482F" w:rsidRDefault="000E482F" w:rsidP="00161B88">
      <w:pPr>
        <w:pStyle w:val="Heading4"/>
        <w:numPr>
          <w:ilvl w:val="0"/>
          <w:numId w:val="69"/>
        </w:numPr>
      </w:pPr>
      <w:r>
        <w:t>Incidence of primary DCM in Australia</w:t>
      </w:r>
    </w:p>
    <w:p w14:paraId="14F02EDE" w14:textId="25D74E88" w:rsidR="000E482F" w:rsidRDefault="000E482F" w:rsidP="004C79C1">
      <w:pPr>
        <w:spacing w:after="120" w:line="240" w:lineRule="auto"/>
        <w:jc w:val="both"/>
      </w:pPr>
      <w:r>
        <w:t xml:space="preserve">The true prevalence and incidence of DCM in Australia are unknown. Most studies in </w:t>
      </w:r>
      <w:r w:rsidR="000238DA">
        <w:t xml:space="preserve">the </w:t>
      </w:r>
      <w:r>
        <w:t xml:space="preserve">literature suggest a prevalence of 1 in 2,500 and an incidence of 7 per 100,000 for primary DCM </w:t>
      </w:r>
      <w:r>
        <w:fldChar w:fldCharType="begin">
          <w:fldData xml:space="preserve">PEVuZE5vdGU+PENpdGU+PEF1dGhvcj5SYWthcjwvQXV0aG9yPjxZZWFyPjE5OTc8L1llYXI+PFJl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</w:fldData>
        </w:fldChar>
      </w:r>
      <w:r>
        <w:instrText xml:space="preserve"> ADDIN EN.CITE </w:instrText>
      </w:r>
      <w:r>
        <w:fldChar w:fldCharType="begin">
          <w:fldData xml:space="preserve">PEVuZE5vdGU+PENpdGU+PEF1dGhvcj5SYWthcjwvQXV0aG9yPjxZZWFyPjE5OTc8L1llYXI+PFJl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</w:fldData>
        </w:fldChar>
      </w:r>
      <w:r>
        <w:instrText xml:space="preserve"> ADDIN EN.CITE.DATA </w:instrText>
      </w:r>
      <w:r>
        <w:fldChar w:fldCharType="end"/>
      </w:r>
      <w:r>
        <w:fldChar w:fldCharType="separate"/>
      </w:r>
      <w:r>
        <w:rPr>
          <w:noProof/>
        </w:rPr>
        <w:t>(</w:t>
      </w:r>
      <w:hyperlink w:anchor="_ENREF_116" w:tooltip="Rakar, 1997 #169" w:history="1">
        <w:r>
          <w:rPr>
            <w:noProof/>
          </w:rPr>
          <w:t>Rakar et al. 1997</w:t>
        </w:r>
      </w:hyperlink>
      <w:r>
        <w:rPr>
          <w:noProof/>
        </w:rPr>
        <w:t xml:space="preserve">; </w:t>
      </w:r>
      <w:hyperlink w:anchor="_ENREF_137" w:tooltip="Taylor, 2006 #168" w:history="1">
        <w:r>
          <w:rPr>
            <w:noProof/>
          </w:rPr>
          <w:t>Taylor, MR, Carniel &amp; Mestroni 2006</w:t>
        </w:r>
      </w:hyperlink>
      <w:r>
        <w:rPr>
          <w:noProof/>
        </w:rPr>
        <w:t>)</w:t>
      </w:r>
      <w:r>
        <w:fldChar w:fldCharType="end"/>
      </w:r>
      <w:r>
        <w:t>. However, these figures may underestimate the actual extent of DCM as some patients are asymptomatic until reaching advanced stages of the disease. In the base</w:t>
      </w:r>
      <w:r w:rsidR="008E15FC">
        <w:t>-</w:t>
      </w:r>
      <w:r>
        <w:t>case</w:t>
      </w:r>
      <w:r w:rsidR="000238DA">
        <w:t>,</w:t>
      </w:r>
      <w:r>
        <w:t xml:space="preserve"> an incidence of 7/100,000 is used, but the implications of higher incidence rates of 10 and 20 per 100,000 are assessed in sensitivity analyses. Incidence rates are applied to the projected adult population of Australia </w:t>
      </w:r>
      <w:r w:rsidRPr="00167B64">
        <w:fldChar w:fldCharType="begin"/>
      </w:r>
      <w:r w:rsidRPr="00167B64">
        <w:instrText xml:space="preserve"> ADDIN EN.CITE &lt;EndNote&gt;&lt;Cite&gt;&lt;Author&gt;Australian Bureau of Statistics&lt;/Author&gt;&lt;Year&gt;2013&lt;/Year&gt;&lt;RecNum&gt;170&lt;/RecNum&gt;&lt;DisplayText&gt;(Australian Bureau of Statistics 2013)&lt;/DisplayText&gt;&lt;record&gt;&lt;rec-number&gt;170&lt;/rec-number&gt;&lt;foreign-keys&gt;&lt;key app="EN" db-id="pfxxvref0t0a5de2vwnv2fwkz0p9v0r2fw0t" timestamp="1461128818"&gt;170&lt;/key&gt;&lt;/foreign-keys&gt;&lt;ref-type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rsidRPr="00167B64">
        <w:fldChar w:fldCharType="separate"/>
      </w:r>
      <w:r w:rsidRPr="00167B64">
        <w:rPr>
          <w:noProof/>
        </w:rPr>
        <w:t>(</w:t>
      </w:r>
      <w:hyperlink w:anchor="_ENREF_10" w:tooltip="Australian Bureau of Statistics, 2013 #170" w:history="1">
        <w:r w:rsidRPr="00EE0A0D">
          <w:rPr>
            <w:noProof/>
          </w:rPr>
          <w:t>Australian Bureau of Statistics 2013</w:t>
        </w:r>
      </w:hyperlink>
      <w:r w:rsidRPr="00167B64">
        <w:rPr>
          <w:noProof/>
        </w:rPr>
        <w:t>)</w:t>
      </w:r>
      <w:r w:rsidRPr="00167B64">
        <w:fldChar w:fldCharType="end"/>
      </w:r>
      <w:r w:rsidRPr="00167B64">
        <w:t xml:space="preserve"> to</w:t>
      </w:r>
      <w:r>
        <w:t xml:space="preserve"> calculate the number of incident cases in each given year. </w:t>
      </w:r>
    </w:p>
    <w:p w14:paraId="5D42BE4F" w14:textId="10F0A084" w:rsidR="000E482F" w:rsidRDefault="0034788F" w:rsidP="004C79C1">
      <w:pPr>
        <w:spacing w:after="120" w:line="240" w:lineRule="auto"/>
        <w:jc w:val="both"/>
      </w:pPr>
      <w:r>
        <w:fldChar w:fldCharType="begin"/>
      </w:r>
      <w:r>
        <w:instrText xml:space="preserve"> REF _Ref451413123 \h </w:instrText>
      </w:r>
      <w:r>
        <w:fldChar w:fldCharType="separate"/>
      </w:r>
      <w:r>
        <w:t xml:space="preserve">Table </w:t>
      </w:r>
      <w:r>
        <w:rPr>
          <w:noProof/>
        </w:rPr>
        <w:t>57</w:t>
      </w:r>
      <w:r>
        <w:fldChar w:fldCharType="end"/>
      </w:r>
      <w:r w:rsidR="00A951FC">
        <w:t xml:space="preserve"> </w:t>
      </w:r>
      <w:r w:rsidR="000E482F">
        <w:t>presents the projected number of incident cases of primary DCM for the financial years 2016</w:t>
      </w:r>
      <w:r w:rsidR="002E5E34">
        <w:t>–</w:t>
      </w:r>
      <w:r w:rsidR="000E482F">
        <w:t>17 to 2020</w:t>
      </w:r>
      <w:r w:rsidR="002E5E34">
        <w:t>–</w:t>
      </w:r>
      <w:r w:rsidR="000E482F">
        <w:t>21.</w:t>
      </w:r>
    </w:p>
    <w:p w14:paraId="648BB75C" w14:textId="7D01E294" w:rsidR="000E482F" w:rsidRDefault="006038D5" w:rsidP="004C79C1">
      <w:pPr>
        <w:pStyle w:val="Caption"/>
      </w:pPr>
      <w:bookmarkStart w:id="668" w:name="_Ref451413123"/>
      <w:bookmarkStart w:id="669" w:name="_Toc451435384"/>
      <w:r>
        <w:t xml:space="preserve">Table </w:t>
      </w:r>
      <w:fldSimple w:instr=" SEQ Table \* ARABIC ">
        <w:r w:rsidR="00050936">
          <w:rPr>
            <w:noProof/>
          </w:rPr>
          <w:t>57</w:t>
        </w:r>
      </w:fldSimple>
      <w:bookmarkEnd w:id="668"/>
      <w:r>
        <w:t xml:space="preserve"> </w:t>
      </w:r>
      <w:r>
        <w:tab/>
      </w:r>
      <w:r w:rsidRPr="00E61845">
        <w:t>Projected incident cases of primary DCM</w:t>
      </w:r>
      <w:bookmarkEnd w:id="669"/>
    </w:p>
    <w:tbl>
      <w:tblPr>
        <w:tblStyle w:val="TableGrid"/>
        <w:tblW w:w="5000" w:type="pct"/>
        <w:tblLook w:val="04A0" w:firstRow="1" w:lastRow="0" w:firstColumn="1" w:lastColumn="0" w:noHBand="0" w:noVBand="1"/>
        <w:tblCaption w:val="Projected incident cases of primary DCM "/>
      </w:tblPr>
      <w:tblGrid>
        <w:gridCol w:w="624"/>
        <w:gridCol w:w="3303"/>
        <w:gridCol w:w="1063"/>
        <w:gridCol w:w="1063"/>
        <w:gridCol w:w="1063"/>
        <w:gridCol w:w="1063"/>
        <w:gridCol w:w="1063"/>
      </w:tblGrid>
      <w:tr w:rsidR="000E482F" w14:paraId="43E4E0FD" w14:textId="77777777" w:rsidTr="00723891">
        <w:trPr>
          <w:tblHeader/>
        </w:trPr>
        <w:tc>
          <w:tcPr>
            <w:tcW w:w="337" w:type="pct"/>
          </w:tcPr>
          <w:p w14:paraId="5F063C61" w14:textId="77777777" w:rsidR="000E482F" w:rsidRDefault="000E482F" w:rsidP="004C79C1">
            <w:pPr>
              <w:pStyle w:val="TableHeading"/>
              <w:spacing w:before="0" w:after="120"/>
              <w:ind w:left="0" w:firstLine="0"/>
            </w:pPr>
            <w:r>
              <w:t>Row</w:t>
            </w:r>
          </w:p>
        </w:tc>
        <w:tc>
          <w:tcPr>
            <w:tcW w:w="1787" w:type="pct"/>
          </w:tcPr>
          <w:p w14:paraId="0D474E07" w14:textId="77777777" w:rsidR="000E482F" w:rsidRDefault="000E482F" w:rsidP="004C79C1">
            <w:pPr>
              <w:pStyle w:val="TableHeading"/>
              <w:spacing w:before="0" w:after="120"/>
              <w:ind w:left="0" w:firstLine="0"/>
            </w:pPr>
          </w:p>
        </w:tc>
        <w:tc>
          <w:tcPr>
            <w:tcW w:w="575" w:type="pct"/>
          </w:tcPr>
          <w:p w14:paraId="03890E88" w14:textId="7A4A931C" w:rsidR="000E482F" w:rsidRDefault="000E482F" w:rsidP="004C79C1">
            <w:pPr>
              <w:pStyle w:val="TableHeading"/>
              <w:spacing w:before="0" w:after="120"/>
              <w:ind w:left="0" w:firstLine="0"/>
              <w:jc w:val="center"/>
            </w:pPr>
            <w:r>
              <w:t>2016</w:t>
            </w:r>
            <w:r w:rsidR="002E5E34">
              <w:t>–</w:t>
            </w:r>
            <w:r>
              <w:t>17</w:t>
            </w:r>
          </w:p>
        </w:tc>
        <w:tc>
          <w:tcPr>
            <w:tcW w:w="575" w:type="pct"/>
          </w:tcPr>
          <w:p w14:paraId="3BFF1C6C" w14:textId="19FA8AFE" w:rsidR="000E482F" w:rsidRDefault="000E482F" w:rsidP="004C79C1">
            <w:pPr>
              <w:pStyle w:val="TableHeading"/>
              <w:spacing w:before="0" w:after="120"/>
              <w:ind w:left="0" w:firstLine="0"/>
              <w:jc w:val="center"/>
            </w:pPr>
            <w:r>
              <w:t>2017</w:t>
            </w:r>
            <w:r w:rsidR="002E5E34">
              <w:t>–</w:t>
            </w:r>
            <w:r>
              <w:t>18</w:t>
            </w:r>
          </w:p>
        </w:tc>
        <w:tc>
          <w:tcPr>
            <w:tcW w:w="575" w:type="pct"/>
          </w:tcPr>
          <w:p w14:paraId="44F22ABC" w14:textId="3BB2E274" w:rsidR="000E482F" w:rsidRDefault="000E482F" w:rsidP="004C79C1">
            <w:pPr>
              <w:pStyle w:val="TableHeading"/>
              <w:spacing w:before="0" w:after="120"/>
              <w:ind w:left="0" w:firstLine="0"/>
              <w:jc w:val="center"/>
            </w:pPr>
            <w:r>
              <w:t>2018</w:t>
            </w:r>
            <w:r w:rsidR="002E5E34">
              <w:t>–</w:t>
            </w:r>
            <w:r>
              <w:t>19</w:t>
            </w:r>
          </w:p>
        </w:tc>
        <w:tc>
          <w:tcPr>
            <w:tcW w:w="575" w:type="pct"/>
          </w:tcPr>
          <w:p w14:paraId="195E3D6D" w14:textId="58A64E1C" w:rsidR="000E482F" w:rsidRDefault="000E482F" w:rsidP="004C79C1">
            <w:pPr>
              <w:pStyle w:val="TableHeading"/>
              <w:spacing w:before="0" w:after="120"/>
              <w:ind w:left="0" w:firstLine="0"/>
              <w:jc w:val="center"/>
            </w:pPr>
            <w:r>
              <w:t>2019</w:t>
            </w:r>
            <w:r w:rsidR="002E5E34">
              <w:t>–</w:t>
            </w:r>
            <w:r>
              <w:t>20</w:t>
            </w:r>
          </w:p>
        </w:tc>
        <w:tc>
          <w:tcPr>
            <w:tcW w:w="575" w:type="pct"/>
          </w:tcPr>
          <w:p w14:paraId="4F672AE1" w14:textId="7F0F7D6E" w:rsidR="000E482F" w:rsidRDefault="000E482F" w:rsidP="004C79C1">
            <w:pPr>
              <w:pStyle w:val="TableHeading"/>
              <w:spacing w:before="0" w:after="120"/>
              <w:ind w:left="0" w:firstLine="0"/>
              <w:jc w:val="center"/>
            </w:pPr>
            <w:r>
              <w:t>2020</w:t>
            </w:r>
            <w:r w:rsidR="002E5E34">
              <w:t>–</w:t>
            </w:r>
            <w:r>
              <w:t>21</w:t>
            </w:r>
          </w:p>
        </w:tc>
      </w:tr>
      <w:tr w:rsidR="000E482F" w14:paraId="3D8239AF" w14:textId="77777777" w:rsidTr="00723891">
        <w:tc>
          <w:tcPr>
            <w:tcW w:w="337" w:type="pct"/>
          </w:tcPr>
          <w:p w14:paraId="3E982F4A" w14:textId="77777777" w:rsidR="000E482F" w:rsidRDefault="000E482F" w:rsidP="004C79C1">
            <w:pPr>
              <w:pStyle w:val="Tabletext1"/>
              <w:spacing w:before="0" w:after="120"/>
            </w:pPr>
            <w:r>
              <w:t>A</w:t>
            </w:r>
          </w:p>
        </w:tc>
        <w:tc>
          <w:tcPr>
            <w:tcW w:w="1787" w:type="pct"/>
          </w:tcPr>
          <w:p w14:paraId="6F5AFA81" w14:textId="5B32A2F0" w:rsidR="000E482F" w:rsidRDefault="000E482F" w:rsidP="004C79C1">
            <w:pPr>
              <w:pStyle w:val="Tabletext1"/>
              <w:spacing w:before="0" w:after="120"/>
            </w:pPr>
            <w:r>
              <w:t>Projected number of Australians 18</w:t>
            </w:r>
            <w:r w:rsidR="002843A1">
              <w:t> </w:t>
            </w:r>
            <w:r>
              <w:t xml:space="preserve">years and </w:t>
            </w:r>
            <w:r w:rsidR="002843A1">
              <w:t xml:space="preserve">older </w:t>
            </w:r>
            <w:r>
              <w:fldChar w:fldCharType="begin"/>
            </w:r>
            <w:r>
              <w:instrText xml:space="preserve"> ADDIN EN.CITE &lt;EndNote&gt;&lt;Cite&gt;&lt;Author&gt;Australian Bureau of Statistics&lt;/Author&gt;&lt;Year&gt;2013&lt;/Year&gt;&lt;RecNum&gt;170&lt;/RecNum&gt;&lt;DisplayText&gt;(Australian Bureau of Statistics 2013)&lt;/DisplayText&gt;&lt;record&gt;&lt;rec-number&gt;170&lt;/rec-number&gt;&lt;foreign-keys&gt;&lt;key app="EN" db-id="pfxxvref0t0a5de2vwnv2fwkz0p9v0r2fw0t" timestamp="1461128818"&gt;170&lt;/key&gt;&lt;/foreign-keys&gt;&lt;ref-type name="Catalog"&gt;8&lt;/ref-type&gt;&lt;contributors&gt;&lt;authors&gt;&lt;author&gt;Australian Bureau of Statistics, &lt;/author&gt;&lt;/authors&gt;&lt;/contributors&gt;&lt;titles&gt;&lt;title&gt;3222.0 - Population Projections, Australia, 2012 (base) to 2101, Series B&lt;/title&gt;&lt;/titles&gt;&lt;num-vols&gt;3222.0, Series B&lt;/num-vols&gt;&lt;dates&gt;&lt;year&gt;2013&lt;/year&gt;&lt;/dates&gt;&lt;pub-location&gt;Canberra&lt;/pub-location&gt;&lt;publisher&gt;Commonwealth of Australia&lt;/publisher&gt;&lt;urls&gt;&lt;related-urls&gt;&lt;url&gt;http://abs.gov.au/AUSSTATS/abs@.nsf/DetailsPage/3222.02012%20%28base%29%20to%202101?OpenDocument&lt;/url&gt;&lt;/related-urls&gt;&lt;/urls&gt;&lt;access-date&gt;17 December 2015&lt;/access-date&gt;&lt;/record&gt;&lt;/Cite&gt;&lt;/EndNote&gt;</w:instrText>
            </w:r>
            <w:r>
              <w:fldChar w:fldCharType="separate"/>
            </w:r>
            <w:r>
              <w:rPr>
                <w:noProof/>
              </w:rPr>
              <w:t>(</w:t>
            </w:r>
            <w:hyperlink w:anchor="_ENREF_10" w:tooltip="Australian Bureau of Statistics, 2013 #170" w:history="1">
              <w:r>
                <w:rPr>
                  <w:noProof/>
                </w:rPr>
                <w:t>Australian Bureau of Statistics 2013</w:t>
              </w:r>
            </w:hyperlink>
            <w:r>
              <w:rPr>
                <w:noProof/>
              </w:rPr>
              <w:t>)</w:t>
            </w:r>
            <w:r>
              <w:fldChar w:fldCharType="end"/>
            </w:r>
            <w:r>
              <w:t xml:space="preserve"> </w:t>
            </w:r>
          </w:p>
        </w:tc>
        <w:tc>
          <w:tcPr>
            <w:tcW w:w="575" w:type="pct"/>
          </w:tcPr>
          <w:p w14:paraId="104911CA" w14:textId="77777777" w:rsidR="000E482F" w:rsidRDefault="000E482F" w:rsidP="004C79C1">
            <w:pPr>
              <w:pStyle w:val="Tabletext1"/>
              <w:spacing w:before="0" w:after="120"/>
              <w:jc w:val="right"/>
            </w:pPr>
            <w:r w:rsidRPr="009346FF">
              <w:t>19,201,809</w:t>
            </w:r>
          </w:p>
        </w:tc>
        <w:tc>
          <w:tcPr>
            <w:tcW w:w="575" w:type="pct"/>
          </w:tcPr>
          <w:p w14:paraId="5E3C2DA6" w14:textId="77777777" w:rsidR="000E482F" w:rsidRDefault="000E482F" w:rsidP="004C79C1">
            <w:pPr>
              <w:pStyle w:val="Tabletext1"/>
              <w:spacing w:before="0" w:after="120"/>
              <w:jc w:val="right"/>
            </w:pPr>
            <w:r w:rsidRPr="009346FF">
              <w:t>19,529,153</w:t>
            </w:r>
          </w:p>
        </w:tc>
        <w:tc>
          <w:tcPr>
            <w:tcW w:w="575" w:type="pct"/>
          </w:tcPr>
          <w:p w14:paraId="45B02D25" w14:textId="77777777" w:rsidR="000E482F" w:rsidRDefault="000E482F" w:rsidP="004C79C1">
            <w:pPr>
              <w:pStyle w:val="Tabletext1"/>
              <w:spacing w:before="0" w:after="120"/>
              <w:jc w:val="right"/>
            </w:pPr>
            <w:r w:rsidRPr="009346FF">
              <w:t>19,853,831</w:t>
            </w:r>
          </w:p>
        </w:tc>
        <w:tc>
          <w:tcPr>
            <w:tcW w:w="575" w:type="pct"/>
          </w:tcPr>
          <w:p w14:paraId="12C0B73E" w14:textId="77777777" w:rsidR="000E482F" w:rsidRDefault="000E482F" w:rsidP="004C79C1">
            <w:pPr>
              <w:pStyle w:val="Tabletext1"/>
              <w:spacing w:before="0" w:after="120"/>
              <w:jc w:val="right"/>
            </w:pPr>
            <w:r w:rsidRPr="009346FF">
              <w:t>20,173,593</w:t>
            </w:r>
          </w:p>
        </w:tc>
        <w:tc>
          <w:tcPr>
            <w:tcW w:w="575" w:type="pct"/>
          </w:tcPr>
          <w:p w14:paraId="06426DFD" w14:textId="77777777" w:rsidR="000E482F" w:rsidRDefault="000E482F" w:rsidP="004C79C1">
            <w:pPr>
              <w:pStyle w:val="Tabletext1"/>
              <w:spacing w:before="0" w:after="120"/>
              <w:jc w:val="right"/>
            </w:pPr>
            <w:r w:rsidRPr="009346FF">
              <w:t>20,492,073</w:t>
            </w:r>
          </w:p>
        </w:tc>
      </w:tr>
      <w:tr w:rsidR="000E482F" w14:paraId="1037DFAA" w14:textId="77777777" w:rsidTr="00723891">
        <w:tc>
          <w:tcPr>
            <w:tcW w:w="337" w:type="pct"/>
          </w:tcPr>
          <w:p w14:paraId="47EBBFF2" w14:textId="77777777" w:rsidR="000E482F" w:rsidRDefault="000E482F" w:rsidP="004C79C1">
            <w:pPr>
              <w:pStyle w:val="Tabletext1"/>
              <w:spacing w:before="0" w:after="120"/>
            </w:pPr>
            <w:r>
              <w:t>B</w:t>
            </w:r>
          </w:p>
        </w:tc>
        <w:tc>
          <w:tcPr>
            <w:tcW w:w="1787" w:type="pct"/>
          </w:tcPr>
          <w:p w14:paraId="3A2F8ACB" w14:textId="77777777" w:rsidR="000E482F" w:rsidRDefault="000E482F" w:rsidP="004C79C1">
            <w:pPr>
              <w:pStyle w:val="Tabletext1"/>
              <w:spacing w:before="0" w:after="120"/>
            </w:pPr>
            <w:r>
              <w:t>Incident rate per 100,000</w:t>
            </w:r>
          </w:p>
        </w:tc>
        <w:tc>
          <w:tcPr>
            <w:tcW w:w="575" w:type="pct"/>
            <w:vAlign w:val="bottom"/>
          </w:tcPr>
          <w:p w14:paraId="4CEC6C74" w14:textId="77777777" w:rsidR="000E482F" w:rsidRDefault="000E482F" w:rsidP="004C79C1">
            <w:pPr>
              <w:pStyle w:val="Tabletext1"/>
              <w:spacing w:before="0" w:after="120"/>
              <w:jc w:val="right"/>
            </w:pPr>
            <w:r>
              <w:t>7</w:t>
            </w:r>
          </w:p>
        </w:tc>
        <w:tc>
          <w:tcPr>
            <w:tcW w:w="575" w:type="pct"/>
            <w:vAlign w:val="bottom"/>
          </w:tcPr>
          <w:p w14:paraId="25098EC3" w14:textId="77777777" w:rsidR="000E482F" w:rsidRDefault="000E482F" w:rsidP="004C79C1">
            <w:pPr>
              <w:pStyle w:val="Tabletext1"/>
              <w:spacing w:before="0" w:after="120"/>
              <w:jc w:val="right"/>
            </w:pPr>
            <w:r>
              <w:t>7</w:t>
            </w:r>
          </w:p>
        </w:tc>
        <w:tc>
          <w:tcPr>
            <w:tcW w:w="575" w:type="pct"/>
            <w:vAlign w:val="bottom"/>
          </w:tcPr>
          <w:p w14:paraId="7AB6828A" w14:textId="77777777" w:rsidR="000E482F" w:rsidRDefault="000E482F" w:rsidP="004C79C1">
            <w:pPr>
              <w:pStyle w:val="Tabletext1"/>
              <w:spacing w:before="0" w:after="120"/>
              <w:jc w:val="right"/>
            </w:pPr>
            <w:r>
              <w:t>7</w:t>
            </w:r>
          </w:p>
        </w:tc>
        <w:tc>
          <w:tcPr>
            <w:tcW w:w="575" w:type="pct"/>
            <w:vAlign w:val="bottom"/>
          </w:tcPr>
          <w:p w14:paraId="46BACEB6" w14:textId="77777777" w:rsidR="000E482F" w:rsidRDefault="000E482F" w:rsidP="004C79C1">
            <w:pPr>
              <w:pStyle w:val="Tabletext1"/>
              <w:spacing w:before="0" w:after="120"/>
              <w:jc w:val="right"/>
            </w:pPr>
            <w:r>
              <w:t>7</w:t>
            </w:r>
          </w:p>
        </w:tc>
        <w:tc>
          <w:tcPr>
            <w:tcW w:w="575" w:type="pct"/>
            <w:vAlign w:val="bottom"/>
          </w:tcPr>
          <w:p w14:paraId="0798E939" w14:textId="77777777" w:rsidR="000E482F" w:rsidRDefault="000E482F" w:rsidP="004C79C1">
            <w:pPr>
              <w:pStyle w:val="Tabletext1"/>
              <w:spacing w:before="0" w:after="120"/>
              <w:jc w:val="right"/>
            </w:pPr>
            <w:r>
              <w:t>7</w:t>
            </w:r>
          </w:p>
        </w:tc>
      </w:tr>
      <w:tr w:rsidR="000E482F" w:rsidRPr="00F83DF9" w14:paraId="366CA38C" w14:textId="77777777" w:rsidTr="00723891">
        <w:tc>
          <w:tcPr>
            <w:tcW w:w="337" w:type="pct"/>
          </w:tcPr>
          <w:p w14:paraId="4A8C39D3" w14:textId="77777777" w:rsidR="000E482F" w:rsidRPr="0034788F" w:rsidRDefault="000E482F" w:rsidP="004C79C1">
            <w:pPr>
              <w:pStyle w:val="Tabletext1"/>
              <w:spacing w:before="0" w:after="120"/>
              <w:rPr>
                <w:b/>
              </w:rPr>
            </w:pPr>
            <w:r w:rsidRPr="0034788F">
              <w:rPr>
                <w:b/>
              </w:rPr>
              <w:t>C</w:t>
            </w:r>
          </w:p>
        </w:tc>
        <w:tc>
          <w:tcPr>
            <w:tcW w:w="1787" w:type="pct"/>
          </w:tcPr>
          <w:p w14:paraId="00932EEB" w14:textId="35779F12" w:rsidR="000E482F" w:rsidRPr="0034788F" w:rsidRDefault="000E482F" w:rsidP="004C79C1">
            <w:pPr>
              <w:pStyle w:val="Tabletext1"/>
              <w:spacing w:before="0" w:after="120"/>
              <w:rPr>
                <w:b/>
              </w:rPr>
            </w:pPr>
            <w:r w:rsidRPr="0034788F">
              <w:rPr>
                <w:b/>
              </w:rPr>
              <w:t xml:space="preserve">Number of incident cases </w:t>
            </w:r>
            <w:r w:rsidR="002D4EEC">
              <w:rPr>
                <w:b/>
              </w:rPr>
              <w:br/>
            </w:r>
            <w:r w:rsidRPr="0034788F">
              <w:rPr>
                <w:b/>
              </w:rPr>
              <w:t>(= A*B)</w:t>
            </w:r>
          </w:p>
        </w:tc>
        <w:tc>
          <w:tcPr>
            <w:tcW w:w="575" w:type="pct"/>
          </w:tcPr>
          <w:p w14:paraId="297BA9FD" w14:textId="77777777" w:rsidR="000E482F" w:rsidRPr="0034788F" w:rsidRDefault="000E482F" w:rsidP="004C79C1">
            <w:pPr>
              <w:pStyle w:val="Tabletext1"/>
              <w:spacing w:before="0" w:after="120"/>
              <w:jc w:val="right"/>
              <w:rPr>
                <w:b/>
              </w:rPr>
            </w:pPr>
            <w:r w:rsidRPr="0034788F">
              <w:rPr>
                <w:b/>
              </w:rPr>
              <w:t>1,344</w:t>
            </w:r>
          </w:p>
        </w:tc>
        <w:tc>
          <w:tcPr>
            <w:tcW w:w="575" w:type="pct"/>
          </w:tcPr>
          <w:p w14:paraId="083526BB" w14:textId="77777777" w:rsidR="000E482F" w:rsidRPr="0034788F" w:rsidRDefault="000E482F" w:rsidP="004C79C1">
            <w:pPr>
              <w:pStyle w:val="Tabletext1"/>
              <w:spacing w:before="0" w:after="120"/>
              <w:jc w:val="right"/>
              <w:rPr>
                <w:b/>
              </w:rPr>
            </w:pPr>
            <w:r w:rsidRPr="0034788F">
              <w:rPr>
                <w:b/>
              </w:rPr>
              <w:t>1,367</w:t>
            </w:r>
          </w:p>
        </w:tc>
        <w:tc>
          <w:tcPr>
            <w:tcW w:w="575" w:type="pct"/>
          </w:tcPr>
          <w:p w14:paraId="7A1B8E69" w14:textId="77777777" w:rsidR="000E482F" w:rsidRPr="0034788F" w:rsidRDefault="000E482F" w:rsidP="004C79C1">
            <w:pPr>
              <w:pStyle w:val="Tabletext1"/>
              <w:spacing w:before="0" w:after="120"/>
              <w:jc w:val="right"/>
              <w:rPr>
                <w:b/>
              </w:rPr>
            </w:pPr>
            <w:r w:rsidRPr="0034788F">
              <w:rPr>
                <w:b/>
              </w:rPr>
              <w:t>1,390</w:t>
            </w:r>
          </w:p>
        </w:tc>
        <w:tc>
          <w:tcPr>
            <w:tcW w:w="575" w:type="pct"/>
          </w:tcPr>
          <w:p w14:paraId="0E335CBA" w14:textId="77777777" w:rsidR="000E482F" w:rsidRPr="0034788F" w:rsidRDefault="000E482F" w:rsidP="004C79C1">
            <w:pPr>
              <w:pStyle w:val="Tabletext1"/>
              <w:spacing w:before="0" w:after="120"/>
              <w:jc w:val="right"/>
              <w:rPr>
                <w:b/>
              </w:rPr>
            </w:pPr>
            <w:r w:rsidRPr="0034788F">
              <w:rPr>
                <w:b/>
              </w:rPr>
              <w:t>1,412</w:t>
            </w:r>
          </w:p>
        </w:tc>
        <w:tc>
          <w:tcPr>
            <w:tcW w:w="575" w:type="pct"/>
          </w:tcPr>
          <w:p w14:paraId="63791021" w14:textId="77777777" w:rsidR="000E482F" w:rsidRPr="0034788F" w:rsidRDefault="000E482F" w:rsidP="004C79C1">
            <w:pPr>
              <w:pStyle w:val="Tabletext1"/>
              <w:spacing w:before="0" w:after="120"/>
              <w:jc w:val="right"/>
              <w:rPr>
                <w:b/>
              </w:rPr>
            </w:pPr>
            <w:r w:rsidRPr="0034788F">
              <w:rPr>
                <w:b/>
              </w:rPr>
              <w:t>1,434</w:t>
            </w:r>
          </w:p>
        </w:tc>
      </w:tr>
    </w:tbl>
    <w:p w14:paraId="00CAF85F" w14:textId="50B91974" w:rsidR="000E482F" w:rsidRDefault="000E482F" w:rsidP="004C79C1">
      <w:pPr>
        <w:pStyle w:val="Tablenotes0"/>
        <w:spacing w:before="0" w:after="120"/>
      </w:pPr>
      <w:r>
        <w:t>DCM = dilated cardiomyopathy</w:t>
      </w:r>
    </w:p>
    <w:p w14:paraId="05A70512" w14:textId="6812601D" w:rsidR="000E482F" w:rsidRDefault="000E482F" w:rsidP="00161B88">
      <w:pPr>
        <w:pStyle w:val="Heading4"/>
        <w:numPr>
          <w:ilvl w:val="0"/>
          <w:numId w:val="69"/>
        </w:numPr>
      </w:pPr>
      <w:r>
        <w:t xml:space="preserve">Estimated number of suspected </w:t>
      </w:r>
      <w:r w:rsidR="00CF3DA2">
        <w:t>HF</w:t>
      </w:r>
      <w:r>
        <w:t xml:space="preserve"> patients with diagnosis of </w:t>
      </w:r>
      <w:r w:rsidR="00CF3DA2">
        <w:t xml:space="preserve">a </w:t>
      </w:r>
      <w:r>
        <w:t>dilated LV</w:t>
      </w:r>
    </w:p>
    <w:p w14:paraId="737A2BA0" w14:textId="722B4A5F" w:rsidR="000E482F" w:rsidRPr="00C608DD" w:rsidRDefault="000E482F" w:rsidP="004C79C1">
      <w:pPr>
        <w:spacing w:after="120" w:line="240" w:lineRule="auto"/>
        <w:jc w:val="both"/>
      </w:pPr>
      <w:r w:rsidRPr="00C608DD">
        <w:t xml:space="preserve">No direct evidence was found to estimate the number of suspected </w:t>
      </w:r>
      <w:r w:rsidR="00CF3DA2">
        <w:t>HF</w:t>
      </w:r>
      <w:r w:rsidRPr="00C608DD">
        <w:t xml:space="preserve"> patients diagnosed with </w:t>
      </w:r>
      <w:r w:rsidR="00CF3DA2">
        <w:t xml:space="preserve">an </w:t>
      </w:r>
      <w:r w:rsidRPr="00C608DD">
        <w:t xml:space="preserve">impaired LV after </w:t>
      </w:r>
      <w:r w:rsidR="004F632C">
        <w:t>echocardiography</w:t>
      </w:r>
      <w:r w:rsidRPr="00C608DD">
        <w:t xml:space="preserve"> and other clinical examinations. </w:t>
      </w:r>
    </w:p>
    <w:p w14:paraId="30E88548" w14:textId="44A2FF15" w:rsidR="000E482F" w:rsidRPr="00C608DD" w:rsidRDefault="000E482F" w:rsidP="004C79C1">
      <w:pPr>
        <w:spacing w:after="120" w:line="240" w:lineRule="auto"/>
        <w:jc w:val="both"/>
      </w:pPr>
      <w:r w:rsidRPr="00C608DD">
        <w:t xml:space="preserve">Following identification of </w:t>
      </w:r>
      <w:r w:rsidR="00CF3DA2">
        <w:t xml:space="preserve">an </w:t>
      </w:r>
      <w:r w:rsidRPr="00C608DD">
        <w:t>impaired LV</w:t>
      </w:r>
      <w:r w:rsidR="00CF3DA2">
        <w:t>,</w:t>
      </w:r>
      <w:r w:rsidRPr="00C608DD">
        <w:t xml:space="preserve"> various alternative diagnoses are possible, including primary DCM, ICM and CM secondary to valvular diseases or other causes</w:t>
      </w:r>
      <w:r w:rsidR="00F67F79">
        <w:t>—</w:t>
      </w:r>
      <w:r w:rsidRPr="00C608DD">
        <w:t xml:space="preserve">which may or may not need CMR for differentiation. Use of CMR for differentiation of </w:t>
      </w:r>
      <w:r w:rsidR="0005085E">
        <w:t>ICM</w:t>
      </w:r>
      <w:r w:rsidR="00F67F79">
        <w:t>,</w:t>
      </w:r>
      <w:r w:rsidRPr="00C608DD">
        <w:t xml:space="preserve"> however</w:t>
      </w:r>
      <w:r w:rsidR="00F67F79">
        <w:t>,</w:t>
      </w:r>
      <w:r w:rsidRPr="00C608DD">
        <w:t xml:space="preserve"> is a major function of CMR testing, and ICM patients represent the majority of </w:t>
      </w:r>
      <w:r w:rsidR="0005085E">
        <w:t>those</w:t>
      </w:r>
      <w:r w:rsidR="0005085E" w:rsidRPr="00C608DD">
        <w:t xml:space="preserve"> </w:t>
      </w:r>
      <w:r w:rsidRPr="00C608DD">
        <w:t>with secondary CM</w:t>
      </w:r>
      <w:r>
        <w:t xml:space="preserve"> </w:t>
      </w:r>
      <w:r>
        <w:fldChar w:fldCharType="begin"/>
      </w:r>
      <w:r>
        <w:instrText xml:space="preserve"> ADDIN EN.CITE &lt;EndNote&gt;&lt;Cite&gt;&lt;Author&gt;Taylor&lt;/Author&gt;&lt;Year&gt;2006&lt;/Year&gt;&lt;RecNum&gt;168&lt;/RecNum&gt;&lt;DisplayText&gt;(Taylor, MR, Carniel &amp;amp; Mestroni 2006)&lt;/DisplayText&gt;&lt;record&gt;&lt;rec-number&gt;168&lt;/rec-number&gt;&lt;foreign-keys&gt;&lt;key app="EN" db-id="pfxxvref0t0a5de2vwnv2fwkz0p9v0r2fw0t" timestamp="1461029242"&gt;168&lt;/key&gt;&lt;key app="ENWeb" db-id=""&gt;0&lt;/key&gt;&lt;/foreign-keys&gt;&lt;ref-type name="Journal Article"&gt;17&lt;/ref-type&gt;&lt;contributors&gt;&lt;authors&gt;&lt;author&gt;Taylor, M. R.&lt;/author&gt;&lt;author&gt;Carniel, E.&lt;/author&gt;&lt;author&gt;Mestroni, L.&lt;/author&gt;&lt;/authors&gt;&lt;/contributors&gt;&lt;auth-address&gt;University of Colorado Cardiovascular Institute and Adult Medical Genetics Program, Department of Internal Medicine, University of Colorado Health Sciences Center, Denver, Colorado, USA. Matthew.Taylor@UCHSC.edu&lt;/auth-address&gt;&lt;titles&gt;&lt;title&gt;Cardiomyopathy, familial dilated&lt;/title&gt;&lt;secondary-title&gt;Orphanet J Rare Dis&lt;/secondary-title&gt;&lt;/titles&gt;&lt;periodical&gt;&lt;full-title&gt;Orphanet J Rare Dis&lt;/full-title&gt;&lt;/periodical&gt;&lt;pages&gt;27&lt;/pages&gt;&lt;volume&gt;1&lt;/volume&gt;&lt;keywords&gt;&lt;keyword&gt;Cardiomyopathy, Dilated/*diagnosis/epidemiology/*genetics/therapy&lt;/keyword&gt;&lt;keyword&gt;Female&lt;/keyword&gt;&lt;keyword&gt;Genetic Counseling&lt;/keyword&gt;&lt;keyword&gt;Global Health&lt;/keyword&gt;&lt;keyword&gt;Humans&lt;/keyword&gt;&lt;keyword&gt;Pregnancy&lt;/keyword&gt;&lt;keyword&gt;Prenatal Diagnosis/methods&lt;/keyword&gt;&lt;keyword&gt;Prevalence&lt;/keyword&gt;&lt;keyword&gt;Prognosis&lt;/keyword&gt;&lt;/keywords&gt;&lt;dates&gt;&lt;year&gt;2006&lt;/year&gt;&lt;/dates&gt;&lt;isbn&gt;1750-1172 (Electronic)&amp;#xD;1750-1172 (Linking)&lt;/isbn&gt;&lt;accession-num&gt;16839424&lt;/accession-num&gt;&lt;urls&gt;&lt;related-urls&gt;&lt;url&gt;http://www.ncbi.nlm.nih.gov/pubmed/16839424&lt;/url&gt;&lt;/related-urls&gt;&lt;/urls&gt;&lt;custom2&gt;1559590&lt;/custom2&gt;&lt;electronic-resource-num&gt;10.1186/1750-1172-1-27&lt;/electronic-resource-num&gt;&lt;/record&gt;&lt;/Cite&gt;&lt;/EndNote&gt;</w:instrText>
      </w:r>
      <w:r>
        <w:fldChar w:fldCharType="separate"/>
      </w:r>
      <w:r>
        <w:rPr>
          <w:noProof/>
        </w:rPr>
        <w:t>(</w:t>
      </w:r>
      <w:hyperlink w:anchor="_ENREF_137" w:tooltip="Taylor, 2006 #168" w:history="1">
        <w:r>
          <w:rPr>
            <w:noProof/>
          </w:rPr>
          <w:t>Taylor, MR, Carniel &amp; Mestroni 2006</w:t>
        </w:r>
      </w:hyperlink>
      <w:r>
        <w:rPr>
          <w:noProof/>
        </w:rPr>
        <w:t>)</w:t>
      </w:r>
      <w:r>
        <w:fldChar w:fldCharType="end"/>
      </w:r>
      <w:r w:rsidRPr="00C608DD">
        <w:t xml:space="preserve">. To estimate the total number of patients suspected of </w:t>
      </w:r>
      <w:r w:rsidR="0005085E">
        <w:t>HF</w:t>
      </w:r>
      <w:r w:rsidRPr="00C608DD">
        <w:t>, either primary or secondary, the number expected to be identified with an ischaemic diagnosis are added to the previously identified incident cases of primary DCM (</w:t>
      </w:r>
      <w:r w:rsidR="0034788F">
        <w:fldChar w:fldCharType="begin"/>
      </w:r>
      <w:r w:rsidR="0034788F">
        <w:instrText xml:space="preserve"> REF _Ref451413648 \h </w:instrText>
      </w:r>
      <w:r w:rsidR="0034788F">
        <w:fldChar w:fldCharType="separate"/>
      </w:r>
      <w:r w:rsidR="0034788F">
        <w:t xml:space="preserve">Table </w:t>
      </w:r>
      <w:r w:rsidR="0034788F">
        <w:rPr>
          <w:noProof/>
        </w:rPr>
        <w:t>58</w:t>
      </w:r>
      <w:r w:rsidR="0034788F">
        <w:fldChar w:fldCharType="end"/>
      </w:r>
      <w:r w:rsidRPr="00C608DD">
        <w:t xml:space="preserve">). As non-ischaemic secondary causes </w:t>
      </w:r>
      <w:r w:rsidRPr="00C608DD">
        <w:lastRenderedPageBreak/>
        <w:t xml:space="preserve">represent only a small proportion of secondary </w:t>
      </w:r>
      <w:r w:rsidR="006C6598">
        <w:t>HF</w:t>
      </w:r>
      <w:r w:rsidRPr="00C608DD">
        <w:t xml:space="preserve"> patients, these have not been separately identified. </w:t>
      </w:r>
    </w:p>
    <w:p w14:paraId="634DE1D0" w14:textId="1D086ADB" w:rsidR="000E482F" w:rsidRDefault="000E482F" w:rsidP="004C79C1">
      <w:pPr>
        <w:spacing w:after="120" w:line="240" w:lineRule="auto"/>
        <w:jc w:val="both"/>
      </w:pPr>
      <w:r w:rsidRPr="00C608DD">
        <w:t xml:space="preserve">The estimated proportion of </w:t>
      </w:r>
      <w:r w:rsidR="006C6598">
        <w:t>CM</w:t>
      </w:r>
      <w:r w:rsidR="006C6598" w:rsidRPr="00C608DD">
        <w:t xml:space="preserve"> </w:t>
      </w:r>
      <w:r w:rsidRPr="00C608DD">
        <w:t>patients with ischaemia varies in the literature</w:t>
      </w:r>
      <w:r w:rsidR="006C6598">
        <w:t>,</w:t>
      </w:r>
      <w:r w:rsidRPr="00C608DD">
        <w:t xml:space="preserve"> with </w:t>
      </w:r>
      <w:r w:rsidR="006C6598">
        <w:t>1</w:t>
      </w:r>
      <w:r w:rsidR="006C6598" w:rsidRPr="00C608DD">
        <w:t xml:space="preserve"> </w:t>
      </w:r>
      <w:r w:rsidRPr="00C608DD">
        <w:t xml:space="preserve">study providing </w:t>
      </w:r>
      <w:r w:rsidR="006C6598">
        <w:t>a</w:t>
      </w:r>
      <w:r w:rsidR="006C6598" w:rsidRPr="00C608DD">
        <w:t xml:space="preserve"> </w:t>
      </w:r>
      <w:r w:rsidRPr="00C608DD">
        <w:t xml:space="preserve">range of 50–70% </w:t>
      </w:r>
      <w:r>
        <w:fldChar w:fldCharType="begin"/>
      </w:r>
      <w:r>
        <w:instrText xml:space="preserve"> ADDIN EN.CITE &lt;EndNote&gt;&lt;Cite&gt;&lt;Author&gt;Taylor&lt;/Author&gt;&lt;Year&gt;2006&lt;/Year&gt;&lt;RecNum&gt;168&lt;/RecNum&gt;&lt;DisplayText&gt;(Taylor, MR, Carniel &amp;amp; Mestroni 2006)&lt;/DisplayText&gt;&lt;record&gt;&lt;rec-number&gt;168&lt;/rec-number&gt;&lt;foreign-keys&gt;&lt;key app="EN" db-id="pfxxvref0t0a5de2vwnv2fwkz0p9v0r2fw0t" timestamp="1461029242"&gt;168&lt;/key&gt;&lt;key app="ENWeb" db-id=""&gt;0&lt;/key&gt;&lt;/foreign-keys&gt;&lt;ref-type name="Journal Article"&gt;17&lt;/ref-type&gt;&lt;contributors&gt;&lt;authors&gt;&lt;author&gt;Taylor, M. R.&lt;/author&gt;&lt;author&gt;Carniel, E.&lt;/author&gt;&lt;author&gt;Mestroni, L.&lt;/author&gt;&lt;/authors&gt;&lt;/contributors&gt;&lt;auth-address&gt;University of Colorado Cardiovascular Institute and Adult Medical Genetics Program, Department of Internal Medicine, University of Colorado Health Sciences Center, Denver, Colorado, USA. Matthew.Taylor@UCHSC.edu&lt;/auth-address&gt;&lt;titles&gt;&lt;title&gt;Cardiomyopathy, familial dilated&lt;/title&gt;&lt;secondary-title&gt;Orphanet J Rare Dis&lt;/secondary-title&gt;&lt;/titles&gt;&lt;periodical&gt;&lt;full-title&gt;Orphanet J Rare Dis&lt;/full-title&gt;&lt;/periodical&gt;&lt;pages&gt;27&lt;/pages&gt;&lt;volume&gt;1&lt;/volume&gt;&lt;keywords&gt;&lt;keyword&gt;Cardiomyopathy, Dilated/*diagnosis/epidemiology/*genetics/therapy&lt;/keyword&gt;&lt;keyword&gt;Female&lt;/keyword&gt;&lt;keyword&gt;Genetic Counseling&lt;/keyword&gt;&lt;keyword&gt;Global Health&lt;/keyword&gt;&lt;keyword&gt;Humans&lt;/keyword&gt;&lt;keyword&gt;Pregnancy&lt;/keyword&gt;&lt;keyword&gt;Prenatal Diagnosis/methods&lt;/keyword&gt;&lt;keyword&gt;Prevalence&lt;/keyword&gt;&lt;keyword&gt;Prognosis&lt;/keyword&gt;&lt;/keywords&gt;&lt;dates&gt;&lt;year&gt;2006&lt;/year&gt;&lt;/dates&gt;&lt;isbn&gt;1750-1172 (Electronic)&amp;#xD;1750-1172 (Linking)&lt;/isbn&gt;&lt;accession-num&gt;16839424&lt;/accession-num&gt;&lt;urls&gt;&lt;related-urls&gt;&lt;url&gt;http://www.ncbi.nlm.nih.gov/pubmed/16839424&lt;/url&gt;&lt;/related-urls&gt;&lt;/urls&gt;&lt;custom2&gt;1559590&lt;/custom2&gt;&lt;electronic-resource-num&gt;10.1186/1750-1172-1-27&lt;/electronic-resource-num&gt;&lt;/record&gt;&lt;/Cite&gt;&lt;/EndNote&gt;</w:instrText>
      </w:r>
      <w:r>
        <w:fldChar w:fldCharType="separate"/>
      </w:r>
      <w:r>
        <w:rPr>
          <w:noProof/>
        </w:rPr>
        <w:t>(</w:t>
      </w:r>
      <w:hyperlink w:anchor="_ENREF_137" w:tooltip="Taylor, 2006 #168" w:history="1">
        <w:r>
          <w:rPr>
            <w:noProof/>
          </w:rPr>
          <w:t>Taylor, MR, Carniel &amp; Mestroni 2006</w:t>
        </w:r>
      </w:hyperlink>
      <w:r>
        <w:rPr>
          <w:noProof/>
        </w:rPr>
        <w:t>)</w:t>
      </w:r>
      <w:r>
        <w:fldChar w:fldCharType="end"/>
      </w:r>
      <w:r>
        <w:t xml:space="preserve"> </w:t>
      </w:r>
      <w:r w:rsidRPr="00C608DD">
        <w:t xml:space="preserve">and others reporting between 41% and 75% </w:t>
      </w:r>
      <w:r>
        <w:fldChar w:fldCharType="begin">
          <w:fldData xml:space="preserve">PEVuZE5vdGU+PENpdGU+PEF1dGhvcj5DaGVvbmc8L0F1dGhvcj48WWVhcj4yMDA5PC9ZZWFyPjxS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</w:fldData>
        </w:fldChar>
      </w:r>
      <w:r>
        <w:instrText xml:space="preserve"> ADDIN EN.CITE </w:instrText>
      </w:r>
      <w:r>
        <w:fldChar w:fldCharType="begin">
          <w:fldData xml:space="preserve">PEVuZE5vdGU+PENpdGU+PEF1dGhvcj5DaGVvbmc8L0F1dGhvcj48WWVhcj4yMDA5PC9ZZWFyPjxS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</w:fldData>
        </w:fldChar>
      </w:r>
      <w:r>
        <w:instrText xml:space="preserve"> ADDIN EN.CITE.DATA </w:instrText>
      </w:r>
      <w:r>
        <w:fldChar w:fldCharType="end"/>
      </w:r>
      <w:r>
        <w:fldChar w:fldCharType="separate"/>
      </w:r>
      <w:r>
        <w:rPr>
          <w:noProof/>
        </w:rPr>
        <w:t>(</w:t>
      </w:r>
      <w:hyperlink w:anchor="_ENREF_25" w:tooltip="Cheong, 2009 #37" w:history="1">
        <w:r>
          <w:rPr>
            <w:noProof/>
          </w:rPr>
          <w:t>Cheong et al. 2009</w:t>
        </w:r>
      </w:hyperlink>
      <w:r>
        <w:rPr>
          <w:noProof/>
        </w:rPr>
        <w:t xml:space="preserve">; </w:t>
      </w:r>
      <w:hyperlink w:anchor="_ENREF_46" w:tooltip="Gao, 2012 #41" w:history="1">
        <w:r>
          <w:rPr>
            <w:noProof/>
          </w:rPr>
          <w:t>Gao et al. 2012</w:t>
        </w:r>
      </w:hyperlink>
      <w:r>
        <w:rPr>
          <w:noProof/>
        </w:rPr>
        <w:t xml:space="preserve">; </w:t>
      </w:r>
      <w:hyperlink w:anchor="_ENREF_57" w:tooltip="Iles, 2011 #44" w:history="1">
        <w:r>
          <w:rPr>
            <w:noProof/>
          </w:rPr>
          <w:t>Iles et al. 2011</w:t>
        </w:r>
      </w:hyperlink>
      <w:r>
        <w:rPr>
          <w:noProof/>
        </w:rPr>
        <w:t xml:space="preserve">; </w:t>
      </w:r>
      <w:hyperlink w:anchor="_ENREF_68" w:tooltip="Klem, 2012 #45" w:history="1">
        <w:r>
          <w:rPr>
            <w:noProof/>
          </w:rPr>
          <w:t>Klem et al. 2012</w:t>
        </w:r>
      </w:hyperlink>
      <w:r>
        <w:rPr>
          <w:noProof/>
        </w:rPr>
        <w:t xml:space="preserve">; </w:t>
      </w:r>
      <w:hyperlink w:anchor="_ENREF_152" w:tooltip="Wu, 2008 #62" w:history="1">
        <w:r>
          <w:rPr>
            <w:noProof/>
          </w:rPr>
          <w:t>Wu, KC et al. 2008</w:t>
        </w:r>
      </w:hyperlink>
      <w:r>
        <w:rPr>
          <w:noProof/>
        </w:rPr>
        <w:t>)</w:t>
      </w:r>
      <w:r>
        <w:fldChar w:fldCharType="end"/>
      </w:r>
      <w:r w:rsidRPr="00C608DD">
        <w:t>. For this analysis, the base</w:t>
      </w:r>
      <w:r w:rsidR="00023337">
        <w:t>-</w:t>
      </w:r>
      <w:r w:rsidRPr="00C608DD">
        <w:t xml:space="preserve">case estimates the proportion of </w:t>
      </w:r>
      <w:r w:rsidR="00023337">
        <w:t>HF</w:t>
      </w:r>
      <w:r w:rsidRPr="00C608DD">
        <w:t xml:space="preserve"> patients with ischaemia as 70%. </w:t>
      </w:r>
      <w:r w:rsidR="0034788F">
        <w:fldChar w:fldCharType="begin"/>
      </w:r>
      <w:r w:rsidR="0034788F">
        <w:instrText xml:space="preserve"> REF _Ref451413648 \h </w:instrText>
      </w:r>
      <w:r w:rsidR="0034788F">
        <w:fldChar w:fldCharType="separate"/>
      </w:r>
      <w:r w:rsidR="0034788F">
        <w:t xml:space="preserve">Table </w:t>
      </w:r>
      <w:r w:rsidR="0034788F">
        <w:rPr>
          <w:noProof/>
        </w:rPr>
        <w:t>58</w:t>
      </w:r>
      <w:r w:rsidR="0034788F">
        <w:fldChar w:fldCharType="end"/>
      </w:r>
      <w:r w:rsidR="0034788F">
        <w:t xml:space="preserve"> </w:t>
      </w:r>
      <w:r w:rsidRPr="00C608DD">
        <w:t xml:space="preserve">presents the estimated number of suspected </w:t>
      </w:r>
      <w:r w:rsidR="00023337">
        <w:t>HF</w:t>
      </w:r>
      <w:r w:rsidRPr="00C608DD">
        <w:t xml:space="preserve"> patients with diagnosis of </w:t>
      </w:r>
      <w:r w:rsidR="00023337">
        <w:t xml:space="preserve">a </w:t>
      </w:r>
      <w:r w:rsidRPr="00C608DD">
        <w:t>dilated LV.</w:t>
      </w:r>
    </w:p>
    <w:p w14:paraId="3DDCCD6B" w14:textId="76D0C63A" w:rsidR="000E482F" w:rsidRDefault="002378CF" w:rsidP="004C79C1">
      <w:pPr>
        <w:pStyle w:val="Caption"/>
      </w:pPr>
      <w:bookmarkStart w:id="670" w:name="_Ref451413648"/>
      <w:bookmarkStart w:id="671" w:name="_Toc451435385"/>
      <w:r>
        <w:t xml:space="preserve">Table </w:t>
      </w:r>
      <w:fldSimple w:instr=" SEQ Table \* ARABIC ">
        <w:r w:rsidR="00050936">
          <w:rPr>
            <w:noProof/>
          </w:rPr>
          <w:t>58</w:t>
        </w:r>
      </w:fldSimple>
      <w:bookmarkEnd w:id="670"/>
      <w:r>
        <w:t xml:space="preserve"> </w:t>
      </w:r>
      <w:r>
        <w:tab/>
      </w:r>
      <w:r w:rsidRPr="00F25363">
        <w:t>Estimated number of suspected HF patients with a dilated LV</w:t>
      </w:r>
      <w:bookmarkEnd w:id="671"/>
      <w:r w:rsidR="000E482F">
        <w:t xml:space="preserve"> </w:t>
      </w:r>
    </w:p>
    <w:tbl>
      <w:tblPr>
        <w:tblStyle w:val="TableGrid"/>
        <w:tblW w:w="0" w:type="auto"/>
        <w:tblLook w:val="04A0" w:firstRow="1" w:lastRow="0" w:firstColumn="1" w:lastColumn="0" w:noHBand="0" w:noVBand="1"/>
        <w:tblDescription w:val="Estimated number of suspected heart failure patients with dilated LV "/>
      </w:tblPr>
      <w:tblGrid>
        <w:gridCol w:w="578"/>
        <w:gridCol w:w="3641"/>
        <w:gridCol w:w="992"/>
        <w:gridCol w:w="993"/>
        <w:gridCol w:w="992"/>
        <w:gridCol w:w="992"/>
        <w:gridCol w:w="992"/>
      </w:tblGrid>
      <w:tr w:rsidR="004F3AD7" w14:paraId="2CA783E4" w14:textId="77777777" w:rsidTr="0034788F">
        <w:trPr>
          <w:tblHeader/>
        </w:trPr>
        <w:tc>
          <w:tcPr>
            <w:tcW w:w="578" w:type="dxa"/>
          </w:tcPr>
          <w:p w14:paraId="5AC14814" w14:textId="77777777" w:rsidR="000E482F" w:rsidRDefault="000E482F" w:rsidP="004C79C1">
            <w:pPr>
              <w:pStyle w:val="TableHeading"/>
              <w:spacing w:before="0" w:after="120"/>
              <w:ind w:left="0" w:firstLine="0"/>
            </w:pPr>
            <w:r>
              <w:t>Row</w:t>
            </w:r>
          </w:p>
        </w:tc>
        <w:tc>
          <w:tcPr>
            <w:tcW w:w="3641" w:type="dxa"/>
          </w:tcPr>
          <w:p w14:paraId="43F708AC" w14:textId="77777777" w:rsidR="000E482F" w:rsidRDefault="000E482F" w:rsidP="004C79C1">
            <w:pPr>
              <w:pStyle w:val="TableHeading"/>
              <w:spacing w:before="0" w:after="120"/>
              <w:ind w:left="0" w:firstLine="0"/>
            </w:pPr>
          </w:p>
        </w:tc>
        <w:tc>
          <w:tcPr>
            <w:tcW w:w="992" w:type="dxa"/>
          </w:tcPr>
          <w:p w14:paraId="77148D6A" w14:textId="66F80DC7" w:rsidR="000E482F" w:rsidRDefault="000E482F" w:rsidP="004C79C1">
            <w:pPr>
              <w:pStyle w:val="TableHeading"/>
              <w:spacing w:before="0" w:after="120"/>
              <w:ind w:left="0" w:firstLine="0"/>
              <w:jc w:val="center"/>
            </w:pPr>
            <w:r>
              <w:t>2016</w:t>
            </w:r>
            <w:r w:rsidR="008F10EF">
              <w:t>–</w:t>
            </w:r>
            <w:r>
              <w:t>17</w:t>
            </w:r>
          </w:p>
        </w:tc>
        <w:tc>
          <w:tcPr>
            <w:tcW w:w="993" w:type="dxa"/>
          </w:tcPr>
          <w:p w14:paraId="6A822107" w14:textId="55356A4D" w:rsidR="000E482F" w:rsidRDefault="000E482F" w:rsidP="004C79C1">
            <w:pPr>
              <w:pStyle w:val="TableHeading"/>
              <w:spacing w:before="0" w:after="120"/>
              <w:ind w:left="0" w:firstLine="0"/>
              <w:jc w:val="center"/>
            </w:pPr>
            <w:r>
              <w:t>2017</w:t>
            </w:r>
            <w:r w:rsidR="008F10EF">
              <w:t>–</w:t>
            </w:r>
            <w:r>
              <w:t>18</w:t>
            </w:r>
          </w:p>
        </w:tc>
        <w:tc>
          <w:tcPr>
            <w:tcW w:w="992" w:type="dxa"/>
          </w:tcPr>
          <w:p w14:paraId="1D39FDC2" w14:textId="7D3BF219" w:rsidR="000E482F" w:rsidRDefault="000E482F" w:rsidP="004C79C1">
            <w:pPr>
              <w:pStyle w:val="TableHeading"/>
              <w:spacing w:before="0" w:after="120"/>
              <w:ind w:left="0" w:firstLine="0"/>
              <w:jc w:val="center"/>
            </w:pPr>
            <w:r>
              <w:t>2018</w:t>
            </w:r>
            <w:r w:rsidR="008F10EF">
              <w:t>–</w:t>
            </w:r>
            <w:r>
              <w:t>19</w:t>
            </w:r>
          </w:p>
        </w:tc>
        <w:tc>
          <w:tcPr>
            <w:tcW w:w="992" w:type="dxa"/>
          </w:tcPr>
          <w:p w14:paraId="54C8CAC0" w14:textId="7FC39905" w:rsidR="000E482F" w:rsidRDefault="000E482F" w:rsidP="004C79C1">
            <w:pPr>
              <w:pStyle w:val="TableHeading"/>
              <w:spacing w:before="0" w:after="120"/>
              <w:ind w:left="0" w:firstLine="0"/>
              <w:jc w:val="center"/>
            </w:pPr>
            <w:r>
              <w:t>2019</w:t>
            </w:r>
            <w:r w:rsidR="008F10EF">
              <w:t>–</w:t>
            </w:r>
            <w:r>
              <w:t>20</w:t>
            </w:r>
          </w:p>
        </w:tc>
        <w:tc>
          <w:tcPr>
            <w:tcW w:w="992" w:type="dxa"/>
          </w:tcPr>
          <w:p w14:paraId="36170855" w14:textId="0DD26369" w:rsidR="000E482F" w:rsidRDefault="000E482F" w:rsidP="004C79C1">
            <w:pPr>
              <w:pStyle w:val="TableHeading"/>
              <w:spacing w:before="0" w:after="120"/>
              <w:ind w:left="0" w:firstLine="0"/>
              <w:jc w:val="center"/>
            </w:pPr>
            <w:r>
              <w:t>2020</w:t>
            </w:r>
            <w:r w:rsidR="008F10EF">
              <w:t>–</w:t>
            </w:r>
            <w:r>
              <w:t>21</w:t>
            </w:r>
          </w:p>
        </w:tc>
      </w:tr>
      <w:tr w:rsidR="004F3AD7" w14:paraId="3D4EA632" w14:textId="77777777" w:rsidTr="0034788F">
        <w:tc>
          <w:tcPr>
            <w:tcW w:w="578" w:type="dxa"/>
          </w:tcPr>
          <w:p w14:paraId="317B8198" w14:textId="77777777" w:rsidR="000E482F" w:rsidRDefault="000E482F" w:rsidP="004C79C1">
            <w:pPr>
              <w:pStyle w:val="Tabletext1"/>
              <w:spacing w:before="0" w:after="120"/>
            </w:pPr>
            <w:r>
              <w:t>C</w:t>
            </w:r>
          </w:p>
        </w:tc>
        <w:tc>
          <w:tcPr>
            <w:tcW w:w="3641" w:type="dxa"/>
          </w:tcPr>
          <w:p w14:paraId="6A276DCC" w14:textId="77777777" w:rsidR="000E482F" w:rsidRDefault="000E482F" w:rsidP="004C79C1">
            <w:pPr>
              <w:pStyle w:val="Tabletext1"/>
              <w:spacing w:before="0" w:after="120"/>
            </w:pPr>
            <w:r>
              <w:t xml:space="preserve">Number of incident cases of </w:t>
            </w:r>
            <w:r w:rsidRPr="00E35296">
              <w:rPr>
                <w:i/>
              </w:rPr>
              <w:t>primary</w:t>
            </w:r>
            <w:r>
              <w:t xml:space="preserve"> DCM </w:t>
            </w:r>
          </w:p>
        </w:tc>
        <w:tc>
          <w:tcPr>
            <w:tcW w:w="992" w:type="dxa"/>
          </w:tcPr>
          <w:p w14:paraId="05AC1330" w14:textId="77777777" w:rsidR="000E482F" w:rsidRDefault="000E482F" w:rsidP="004C79C1">
            <w:pPr>
              <w:pStyle w:val="Tabletext1"/>
              <w:spacing w:before="0" w:after="120"/>
              <w:jc w:val="center"/>
            </w:pPr>
            <w:r w:rsidRPr="006B2718">
              <w:t>1</w:t>
            </w:r>
            <w:r>
              <w:t>,</w:t>
            </w:r>
            <w:r w:rsidRPr="006B2718">
              <w:t>344</w:t>
            </w:r>
          </w:p>
        </w:tc>
        <w:tc>
          <w:tcPr>
            <w:tcW w:w="993" w:type="dxa"/>
          </w:tcPr>
          <w:p w14:paraId="3568D761" w14:textId="77777777" w:rsidR="000E482F" w:rsidRDefault="000E482F" w:rsidP="004C79C1">
            <w:pPr>
              <w:pStyle w:val="Tabletext1"/>
              <w:spacing w:before="0" w:after="120"/>
              <w:jc w:val="center"/>
            </w:pPr>
            <w:r w:rsidRPr="006B2718">
              <w:t>1</w:t>
            </w:r>
            <w:r>
              <w:t>,</w:t>
            </w:r>
            <w:r w:rsidRPr="006B2718">
              <w:t>367</w:t>
            </w:r>
          </w:p>
        </w:tc>
        <w:tc>
          <w:tcPr>
            <w:tcW w:w="992" w:type="dxa"/>
          </w:tcPr>
          <w:p w14:paraId="121B6DE5" w14:textId="77777777" w:rsidR="000E482F" w:rsidRDefault="000E482F" w:rsidP="004C79C1">
            <w:pPr>
              <w:pStyle w:val="Tabletext1"/>
              <w:spacing w:before="0" w:after="120"/>
              <w:jc w:val="center"/>
            </w:pPr>
            <w:r w:rsidRPr="006B2718">
              <w:t>1</w:t>
            </w:r>
            <w:r>
              <w:t>,</w:t>
            </w:r>
            <w:r w:rsidRPr="006B2718">
              <w:t>390</w:t>
            </w:r>
          </w:p>
        </w:tc>
        <w:tc>
          <w:tcPr>
            <w:tcW w:w="992" w:type="dxa"/>
          </w:tcPr>
          <w:p w14:paraId="4153B2DF" w14:textId="77777777" w:rsidR="000E482F" w:rsidRDefault="000E482F" w:rsidP="004C79C1">
            <w:pPr>
              <w:pStyle w:val="Tabletext1"/>
              <w:spacing w:before="0" w:after="120"/>
              <w:jc w:val="center"/>
            </w:pPr>
            <w:r w:rsidRPr="006B2718">
              <w:t>1</w:t>
            </w:r>
            <w:r>
              <w:t>,</w:t>
            </w:r>
            <w:r w:rsidRPr="006B2718">
              <w:t>412</w:t>
            </w:r>
          </w:p>
        </w:tc>
        <w:tc>
          <w:tcPr>
            <w:tcW w:w="992" w:type="dxa"/>
          </w:tcPr>
          <w:p w14:paraId="4301F632" w14:textId="77777777" w:rsidR="000E482F" w:rsidRDefault="000E482F" w:rsidP="004C79C1">
            <w:pPr>
              <w:pStyle w:val="Tabletext1"/>
              <w:spacing w:before="0" w:after="120"/>
              <w:jc w:val="center"/>
            </w:pPr>
            <w:r w:rsidRPr="006B2718">
              <w:t>1</w:t>
            </w:r>
            <w:r>
              <w:t>,</w:t>
            </w:r>
            <w:r w:rsidRPr="006B2718">
              <w:t>434</w:t>
            </w:r>
          </w:p>
        </w:tc>
      </w:tr>
      <w:tr w:rsidR="004F3AD7" w14:paraId="2F7F9ABC" w14:textId="77777777" w:rsidTr="0034788F">
        <w:tc>
          <w:tcPr>
            <w:tcW w:w="578" w:type="dxa"/>
          </w:tcPr>
          <w:p w14:paraId="0D4A9154" w14:textId="77777777" w:rsidR="000E482F" w:rsidRDefault="000E482F" w:rsidP="004C79C1">
            <w:pPr>
              <w:pStyle w:val="Tabletext1"/>
              <w:spacing w:before="0" w:after="120"/>
            </w:pPr>
            <w:r>
              <w:t>D</w:t>
            </w:r>
          </w:p>
        </w:tc>
        <w:tc>
          <w:tcPr>
            <w:tcW w:w="3641" w:type="dxa"/>
          </w:tcPr>
          <w:p w14:paraId="00B5E9BC" w14:textId="7AC42334" w:rsidR="000E482F" w:rsidRDefault="000E482F" w:rsidP="004C79C1">
            <w:pPr>
              <w:pStyle w:val="Tabletext1"/>
              <w:spacing w:before="0" w:after="120"/>
            </w:pPr>
            <w:r>
              <w:t>Number of patients with ICM (C*2.33)</w:t>
            </w:r>
            <w:r w:rsidR="005D521E">
              <w:t xml:space="preserve"> </w:t>
            </w:r>
            <w:r w:rsidR="005D521E" w:rsidRPr="0024699B">
              <w:rPr>
                <w:vertAlign w:val="superscript"/>
              </w:rPr>
              <w:t>a</w:t>
            </w:r>
          </w:p>
        </w:tc>
        <w:tc>
          <w:tcPr>
            <w:tcW w:w="992" w:type="dxa"/>
          </w:tcPr>
          <w:p w14:paraId="5DD476D6" w14:textId="77777777" w:rsidR="000E482F" w:rsidRDefault="000E482F" w:rsidP="004C79C1">
            <w:pPr>
              <w:pStyle w:val="Tabletext1"/>
              <w:spacing w:before="0" w:after="120"/>
              <w:jc w:val="center"/>
            </w:pPr>
            <w:r w:rsidRPr="0065789F">
              <w:t>3</w:t>
            </w:r>
            <w:r>
              <w:t>,</w:t>
            </w:r>
            <w:r w:rsidRPr="0065789F">
              <w:t>136</w:t>
            </w:r>
          </w:p>
        </w:tc>
        <w:tc>
          <w:tcPr>
            <w:tcW w:w="993" w:type="dxa"/>
          </w:tcPr>
          <w:p w14:paraId="3ADFC9A8" w14:textId="77777777" w:rsidR="000E482F" w:rsidRDefault="000E482F" w:rsidP="004C79C1">
            <w:pPr>
              <w:pStyle w:val="Tabletext1"/>
              <w:spacing w:before="0" w:after="120"/>
              <w:jc w:val="center"/>
            </w:pPr>
            <w:r w:rsidRPr="0065789F">
              <w:t>3</w:t>
            </w:r>
            <w:r>
              <w:t>,</w:t>
            </w:r>
            <w:r w:rsidRPr="0065789F">
              <w:t>190</w:t>
            </w:r>
          </w:p>
        </w:tc>
        <w:tc>
          <w:tcPr>
            <w:tcW w:w="992" w:type="dxa"/>
          </w:tcPr>
          <w:p w14:paraId="36481623" w14:textId="77777777" w:rsidR="000E482F" w:rsidRDefault="000E482F" w:rsidP="004C79C1">
            <w:pPr>
              <w:pStyle w:val="Tabletext1"/>
              <w:spacing w:before="0" w:after="120"/>
              <w:jc w:val="center"/>
            </w:pPr>
            <w:r w:rsidRPr="0065789F">
              <w:t>3</w:t>
            </w:r>
            <w:r>
              <w:t>,</w:t>
            </w:r>
            <w:r w:rsidRPr="0065789F">
              <w:t>243</w:t>
            </w:r>
          </w:p>
        </w:tc>
        <w:tc>
          <w:tcPr>
            <w:tcW w:w="992" w:type="dxa"/>
          </w:tcPr>
          <w:p w14:paraId="068609F8" w14:textId="77777777" w:rsidR="000E482F" w:rsidRDefault="000E482F" w:rsidP="004C79C1">
            <w:pPr>
              <w:pStyle w:val="Tabletext1"/>
              <w:spacing w:before="0" w:after="120"/>
              <w:jc w:val="center"/>
            </w:pPr>
            <w:r w:rsidRPr="0065789F">
              <w:t>3</w:t>
            </w:r>
            <w:r>
              <w:t>,</w:t>
            </w:r>
            <w:r w:rsidRPr="0065789F">
              <w:t>295</w:t>
            </w:r>
          </w:p>
        </w:tc>
        <w:tc>
          <w:tcPr>
            <w:tcW w:w="992" w:type="dxa"/>
          </w:tcPr>
          <w:p w14:paraId="5F392CFC" w14:textId="77777777" w:rsidR="000E482F" w:rsidRDefault="000E482F" w:rsidP="004C79C1">
            <w:pPr>
              <w:pStyle w:val="Tabletext1"/>
              <w:spacing w:before="0" w:after="120"/>
              <w:jc w:val="center"/>
            </w:pPr>
            <w:r w:rsidRPr="0065789F">
              <w:t>3</w:t>
            </w:r>
            <w:r>
              <w:t>,</w:t>
            </w:r>
            <w:r w:rsidRPr="0065789F">
              <w:t>347</w:t>
            </w:r>
          </w:p>
        </w:tc>
      </w:tr>
      <w:tr w:rsidR="004F3AD7" w:rsidRPr="00F83DF9" w14:paraId="0AEA9ACA" w14:textId="77777777" w:rsidTr="0034788F">
        <w:tc>
          <w:tcPr>
            <w:tcW w:w="578" w:type="dxa"/>
          </w:tcPr>
          <w:p w14:paraId="4D5FFA4F" w14:textId="77777777" w:rsidR="000E482F" w:rsidRPr="0034788F" w:rsidRDefault="000E482F" w:rsidP="004C79C1">
            <w:pPr>
              <w:pStyle w:val="Tabletext1"/>
              <w:spacing w:before="0" w:after="120"/>
              <w:rPr>
                <w:b/>
              </w:rPr>
            </w:pPr>
            <w:r w:rsidRPr="0034788F">
              <w:rPr>
                <w:b/>
              </w:rPr>
              <w:t>E</w:t>
            </w:r>
          </w:p>
        </w:tc>
        <w:tc>
          <w:tcPr>
            <w:tcW w:w="3641" w:type="dxa"/>
          </w:tcPr>
          <w:p w14:paraId="761284A2" w14:textId="501FCE10" w:rsidR="000E482F" w:rsidRPr="0034788F" w:rsidRDefault="000E482F" w:rsidP="004C79C1">
            <w:pPr>
              <w:pStyle w:val="Tabletext1"/>
              <w:spacing w:before="0" w:after="120"/>
              <w:rPr>
                <w:b/>
              </w:rPr>
            </w:pPr>
            <w:r w:rsidRPr="0034788F">
              <w:rPr>
                <w:b/>
              </w:rPr>
              <w:t xml:space="preserve">Number of suspected </w:t>
            </w:r>
            <w:r w:rsidR="005D521E" w:rsidRPr="0034788F">
              <w:rPr>
                <w:b/>
              </w:rPr>
              <w:t>HF</w:t>
            </w:r>
            <w:r w:rsidRPr="0034788F">
              <w:rPr>
                <w:b/>
              </w:rPr>
              <w:t xml:space="preserve"> patients with diagnosis of </w:t>
            </w:r>
            <w:r w:rsidR="005D521E" w:rsidRPr="0034788F">
              <w:rPr>
                <w:b/>
              </w:rPr>
              <w:t xml:space="preserve">a </w:t>
            </w:r>
            <w:r w:rsidRPr="0034788F">
              <w:rPr>
                <w:b/>
              </w:rPr>
              <w:t>dilated LV (= C+D)</w:t>
            </w:r>
          </w:p>
        </w:tc>
        <w:tc>
          <w:tcPr>
            <w:tcW w:w="992" w:type="dxa"/>
          </w:tcPr>
          <w:p w14:paraId="3F77362F" w14:textId="77777777" w:rsidR="000E482F" w:rsidRPr="0034788F" w:rsidRDefault="000E482F" w:rsidP="004C79C1">
            <w:pPr>
              <w:pStyle w:val="Tabletext1"/>
              <w:spacing w:before="0" w:after="120"/>
              <w:jc w:val="center"/>
              <w:rPr>
                <w:b/>
              </w:rPr>
            </w:pPr>
            <w:r w:rsidRPr="0034788F">
              <w:rPr>
                <w:b/>
              </w:rPr>
              <w:t>4,480</w:t>
            </w:r>
          </w:p>
        </w:tc>
        <w:tc>
          <w:tcPr>
            <w:tcW w:w="993" w:type="dxa"/>
          </w:tcPr>
          <w:p w14:paraId="5B668250" w14:textId="77777777" w:rsidR="000E482F" w:rsidRPr="0034788F" w:rsidRDefault="000E482F" w:rsidP="004C79C1">
            <w:pPr>
              <w:pStyle w:val="Tabletext1"/>
              <w:spacing w:before="0" w:after="120"/>
              <w:jc w:val="center"/>
              <w:rPr>
                <w:b/>
              </w:rPr>
            </w:pPr>
            <w:r w:rsidRPr="0034788F">
              <w:rPr>
                <w:b/>
              </w:rPr>
              <w:t>4,557</w:t>
            </w:r>
          </w:p>
        </w:tc>
        <w:tc>
          <w:tcPr>
            <w:tcW w:w="992" w:type="dxa"/>
          </w:tcPr>
          <w:p w14:paraId="06A21DB8" w14:textId="77777777" w:rsidR="000E482F" w:rsidRPr="0034788F" w:rsidRDefault="000E482F" w:rsidP="004C79C1">
            <w:pPr>
              <w:pStyle w:val="Tabletext1"/>
              <w:spacing w:before="0" w:after="120"/>
              <w:jc w:val="center"/>
              <w:rPr>
                <w:b/>
              </w:rPr>
            </w:pPr>
            <w:r w:rsidRPr="0034788F">
              <w:rPr>
                <w:b/>
              </w:rPr>
              <w:t>4,633</w:t>
            </w:r>
          </w:p>
        </w:tc>
        <w:tc>
          <w:tcPr>
            <w:tcW w:w="992" w:type="dxa"/>
          </w:tcPr>
          <w:p w14:paraId="145AC97A" w14:textId="77777777" w:rsidR="000E482F" w:rsidRPr="0034788F" w:rsidRDefault="000E482F" w:rsidP="004C79C1">
            <w:pPr>
              <w:pStyle w:val="Tabletext1"/>
              <w:spacing w:before="0" w:after="120"/>
              <w:jc w:val="center"/>
              <w:rPr>
                <w:b/>
              </w:rPr>
            </w:pPr>
            <w:r w:rsidRPr="0034788F">
              <w:rPr>
                <w:b/>
              </w:rPr>
              <w:t>4,707</w:t>
            </w:r>
          </w:p>
        </w:tc>
        <w:tc>
          <w:tcPr>
            <w:tcW w:w="992" w:type="dxa"/>
          </w:tcPr>
          <w:p w14:paraId="79F0188C" w14:textId="77777777" w:rsidR="000E482F" w:rsidRPr="0034788F" w:rsidRDefault="000E482F" w:rsidP="004C79C1">
            <w:pPr>
              <w:pStyle w:val="Tabletext1"/>
              <w:spacing w:before="0" w:after="120"/>
              <w:jc w:val="center"/>
              <w:rPr>
                <w:b/>
              </w:rPr>
            </w:pPr>
            <w:r w:rsidRPr="0034788F">
              <w:rPr>
                <w:b/>
              </w:rPr>
              <w:t>4,781</w:t>
            </w:r>
          </w:p>
        </w:tc>
      </w:tr>
    </w:tbl>
    <w:p w14:paraId="6540E875" w14:textId="44724805" w:rsidR="000E482F" w:rsidRDefault="005D521E" w:rsidP="004C79C1">
      <w:pPr>
        <w:pStyle w:val="Tablenotes0"/>
        <w:spacing w:before="0" w:after="120"/>
      </w:pPr>
      <w:proofErr w:type="gramStart"/>
      <w:r w:rsidRPr="0034788F">
        <w:rPr>
          <w:vertAlign w:val="superscript"/>
        </w:rPr>
        <w:t>a</w:t>
      </w:r>
      <w:proofErr w:type="gramEnd"/>
      <w:r w:rsidR="000E482F">
        <w:t xml:space="preserve"> Calculated by multiplying </w:t>
      </w:r>
      <w:r w:rsidR="00C050D5">
        <w:t xml:space="preserve">the </w:t>
      </w:r>
      <w:r w:rsidR="000E482F">
        <w:t xml:space="preserve">number of incident cases (A) </w:t>
      </w:r>
      <w:r>
        <w:t xml:space="preserve">by </w:t>
      </w:r>
      <w:r w:rsidR="000E482F">
        <w:t>2.33 (proportion of isch</w:t>
      </w:r>
      <w:r>
        <w:t>a</w:t>
      </w:r>
      <w:r w:rsidR="000E482F">
        <w:t>emic/non-isch</w:t>
      </w:r>
      <w:r>
        <w:t>a</w:t>
      </w:r>
      <w:r w:rsidR="000E482F">
        <w:t>emic:</w:t>
      </w:r>
      <w:r>
        <w:t xml:space="preserve"> </w:t>
      </w:r>
      <w:r w:rsidR="000E482F">
        <w:t>70</w:t>
      </w:r>
      <w:r w:rsidR="007A2F4D">
        <w:t>%</w:t>
      </w:r>
      <w:r w:rsidR="000E482F">
        <w:t>/30%)</w:t>
      </w:r>
    </w:p>
    <w:p w14:paraId="0622CFBC" w14:textId="60A5D2FA" w:rsidR="000E482F" w:rsidRDefault="000E482F" w:rsidP="004C79C1">
      <w:pPr>
        <w:pStyle w:val="Tablenotes0"/>
        <w:spacing w:before="0" w:after="120"/>
      </w:pPr>
      <w:r>
        <w:t xml:space="preserve">DCM = dilated cardiomyopathy; </w:t>
      </w:r>
      <w:r w:rsidR="00FD559E">
        <w:t xml:space="preserve">HF = heart failure; </w:t>
      </w:r>
      <w:r>
        <w:t>ICM = isch</w:t>
      </w:r>
      <w:r w:rsidR="00C050D5">
        <w:t>a</w:t>
      </w:r>
      <w:r>
        <w:t>emic cardiomyopathy; LV = left ventricular</w:t>
      </w:r>
    </w:p>
    <w:p w14:paraId="0088231C" w14:textId="4D15D581" w:rsidR="000E482F" w:rsidRDefault="000E482F" w:rsidP="00161B88">
      <w:pPr>
        <w:pStyle w:val="Heading4"/>
        <w:numPr>
          <w:ilvl w:val="0"/>
          <w:numId w:val="69"/>
        </w:numPr>
      </w:pPr>
      <w:r>
        <w:t xml:space="preserve">Number of patients with </w:t>
      </w:r>
      <w:r w:rsidRPr="00271081">
        <w:t>indeterminate</w:t>
      </w:r>
      <w:r>
        <w:t xml:space="preserve"> results with </w:t>
      </w:r>
      <w:r w:rsidR="004F632C">
        <w:t>echocardiography</w:t>
      </w:r>
      <w:r>
        <w:t xml:space="preserve"> (</w:t>
      </w:r>
      <w:r w:rsidR="00C050D5">
        <w:t>p</w:t>
      </w:r>
      <w:r>
        <w:t>opulation i)</w:t>
      </w:r>
    </w:p>
    <w:p w14:paraId="01B7AB6A" w14:textId="2477B10A" w:rsidR="000E482F" w:rsidRDefault="000E482F" w:rsidP="004C79C1">
      <w:pPr>
        <w:spacing w:after="120" w:line="240" w:lineRule="auto"/>
        <w:jc w:val="both"/>
      </w:pPr>
      <w:r>
        <w:t xml:space="preserve">The estimated proportion of patients who have indeterminate results obtained from </w:t>
      </w:r>
      <w:r w:rsidR="00E42871">
        <w:t>echocardiography</w:t>
      </w:r>
      <w:r>
        <w:t xml:space="preserve"> is uncertain. The accuracy of transthoracic </w:t>
      </w:r>
      <w:r w:rsidR="00E42871">
        <w:t>echocardiograms</w:t>
      </w:r>
      <w:r>
        <w:t xml:space="preserve"> can be reduced by factors that cause suboptimal acoustic windows, such as chest wall or rib deformities, obesity and obstructive lung disease </w:t>
      </w:r>
      <w:r>
        <w:fldChar w:fldCharType="begin"/>
      </w:r>
      <w:r>
        <w:instrText xml:space="preserve"> ADDIN EN.CITE &lt;EndNote&gt;&lt;Cite&gt;&lt;Author&gt;O&amp;apos;Donnell&lt;/Author&gt;&lt;Year&gt;2012&lt;/Year&gt;&lt;RecNum&gt;171&lt;/RecNum&gt;&lt;DisplayText&gt;(O&amp;apos;Donnell et al. 2012)&lt;/DisplayText&gt;&lt;record&gt;&lt;rec-number&gt;171&lt;/rec-number&gt;&lt;foreign-keys&gt;&lt;key app="EN" db-id="pfxxvref0t0a5de2vwnv2fwkz0p9v0r2fw0t" timestamp="1461134185"&gt;171&lt;/key&gt;&lt;/foreign-keys&gt;&lt;ref-type name="Journal Article"&gt;17&lt;/ref-type&gt;&lt;contributors&gt;&lt;authors&gt;&lt;author&gt;O&amp;apos;Donnell, D. H.&lt;/author&gt;&lt;author&gt;Abbara, S.&lt;/author&gt;&lt;author&gt;Chaithiraphan, V.&lt;/author&gt;&lt;author&gt;Yared, K.&lt;/author&gt;&lt;author&gt;Killeen, R. P.&lt;/author&gt;&lt;author&gt;Martos, R.&lt;/author&gt;&lt;author&gt;Keane, D.&lt;/author&gt;&lt;author&gt;Cury, R. C.&lt;/author&gt;&lt;author&gt;Dodd, J. D.&lt;/author&gt;&lt;/authors&gt;&lt;/contributors&gt;&lt;auth-address&gt;Department of Radiology, Beth Israel Deaconess Medical Center, 330 Brookline Ave, Boston, MA 02215, USA.&lt;/auth-address&gt;&lt;titles&gt;&lt;title&gt;Cardiac MR imaging of nonischemic cardiomyopathies: imaging protocols and spectra of appearances&lt;/title&gt;&lt;secondary-title&gt;Radiology&lt;/secondary-title&gt;&lt;/titles&gt;&lt;periodical&gt;&lt;full-title&gt;Radiology&lt;/full-title&gt;&lt;/periodical&gt;&lt;pages&gt;403-22&lt;/pages&gt;&lt;volume&gt;262&lt;/volume&gt;&lt;number&gt;2&lt;/number&gt;&lt;keywords&gt;&lt;keyword&gt;Adult&lt;/keyword&gt;&lt;keyword&gt;Aged&lt;/keyword&gt;&lt;keyword&gt;Cardiomyopathies/*diagnosis&lt;/keyword&gt;&lt;keyword&gt;Female&lt;/keyword&gt;&lt;keyword&gt;Humans&lt;/keyword&gt;&lt;keyword&gt;Image Enhancement/*methods&lt;/keyword&gt;&lt;keyword&gt;Magnetic Resonance Angiography/*methods&lt;/keyword&gt;&lt;keyword&gt;Magnetic Resonance Imaging, Cine/*methods&lt;/keyword&gt;&lt;keyword&gt;Male&lt;/keyword&gt;&lt;keyword&gt;Middle Aged&lt;/keyword&gt;&lt;keyword&gt;Myocardial Ischemia/diagnosis&lt;/keyword&gt;&lt;keyword&gt;Myocardial Perfusion Imaging/*methods&lt;/keyword&gt;&lt;/keywords&gt;&lt;dates&gt;&lt;year&gt;2012&lt;/year&gt;&lt;pub-dates&gt;&lt;date&gt;Feb&lt;/date&gt;&lt;/pub-dates&gt;&lt;/dates&gt;&lt;isbn&gt;1527-1315 (Electronic)&amp;#xD;0033-8419 (Linking)&lt;/isbn&gt;&lt;accession-num&gt;22282181&lt;/accession-num&gt;&lt;urls&gt;&lt;related-urls&gt;&lt;url&gt;http://www.ncbi.nlm.nih.gov/pubmed/22282181&lt;/url&gt;&lt;/related-urls&gt;&lt;/urls&gt;&lt;electronic-resource-num&gt;10.1148/radiol.11100284&lt;/electronic-resource-num&gt;&lt;/record&gt;&lt;/Cite&gt;&lt;/EndNote&gt;</w:instrText>
      </w:r>
      <w:r>
        <w:fldChar w:fldCharType="separate"/>
      </w:r>
      <w:r>
        <w:rPr>
          <w:noProof/>
        </w:rPr>
        <w:t>(</w:t>
      </w:r>
      <w:hyperlink w:anchor="_ENREF_106" w:tooltip="O'Donnell, 2012 #171" w:history="1">
        <w:r>
          <w:rPr>
            <w:noProof/>
          </w:rPr>
          <w:t>O'Donnell et al. 2012</w:t>
        </w:r>
      </w:hyperlink>
      <w:r>
        <w:rPr>
          <w:noProof/>
        </w:rPr>
        <w:t>)</w:t>
      </w:r>
      <w:r>
        <w:fldChar w:fldCharType="end"/>
      </w:r>
      <w:r>
        <w:t>. Afridi et al</w:t>
      </w:r>
      <w:r w:rsidR="00E41A24">
        <w:t>. (2015)</w:t>
      </w:r>
      <w:r>
        <w:t xml:space="preserve"> suggested that </w:t>
      </w:r>
      <w:r w:rsidR="00E42871">
        <w:t xml:space="preserve">echocardiography </w:t>
      </w:r>
      <w:r>
        <w:t xml:space="preserve">may be limited in 10–20% of patients due to the aforementioned reasons. This is in concordance with the 15% estimate advised by the Advisory Panel in MSAC </w:t>
      </w:r>
      <w:r w:rsidR="00CE5A01">
        <w:t>A</w:t>
      </w:r>
      <w:r>
        <w:t xml:space="preserve">pplication </w:t>
      </w:r>
      <w:r w:rsidR="00E41A24">
        <w:t xml:space="preserve">no. </w:t>
      </w:r>
      <w:r>
        <w:t xml:space="preserve">1129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r>
        <w:t>. However, clinical experts suggested that</w:t>
      </w:r>
      <w:r w:rsidR="00E41A24">
        <w:t>,</w:t>
      </w:r>
      <w:r>
        <w:t xml:space="preserve"> with ongoing technological advancements in imaging, </w:t>
      </w:r>
      <w:r w:rsidR="00E41A24">
        <w:t xml:space="preserve">currently </w:t>
      </w:r>
      <w:r>
        <w:t xml:space="preserve">very few (less than 5%) of </w:t>
      </w:r>
      <w:r w:rsidR="004F632C">
        <w:t>echocardiography</w:t>
      </w:r>
      <w:r>
        <w:t xml:space="preserve"> results are indeterminate. As such, the base</w:t>
      </w:r>
      <w:r w:rsidR="00E41A24">
        <w:t>-</w:t>
      </w:r>
      <w:r>
        <w:t xml:space="preserve">case assumes </w:t>
      </w:r>
      <w:r w:rsidR="00E41A24">
        <w:t xml:space="preserve">that </w:t>
      </w:r>
      <w:r>
        <w:t xml:space="preserve">5% of </w:t>
      </w:r>
      <w:r w:rsidR="004F632C">
        <w:t>echocardiography</w:t>
      </w:r>
      <w:r>
        <w:t xml:space="preserve"> </w:t>
      </w:r>
      <w:r w:rsidR="00CC2FAC">
        <w:t xml:space="preserve">results are </w:t>
      </w:r>
      <w:r>
        <w:t>indeterminate, but higher estimates of 10% and 20% are tested in sensitivity analyses.</w:t>
      </w:r>
      <w:r w:rsidRPr="009B3B6A">
        <w:t xml:space="preserve"> </w:t>
      </w:r>
    </w:p>
    <w:p w14:paraId="7E37A47F" w14:textId="1CF91B3D" w:rsidR="000E482F" w:rsidRDefault="000E482F" w:rsidP="004C79C1">
      <w:pPr>
        <w:spacing w:after="120" w:line="240" w:lineRule="auto"/>
        <w:jc w:val="both"/>
      </w:pPr>
      <w:r>
        <w:t xml:space="preserve">As discussed above, in suspected </w:t>
      </w:r>
      <w:r w:rsidR="00CC2FAC">
        <w:t>HF</w:t>
      </w:r>
      <w:r>
        <w:t xml:space="preserve"> patients, 60% of the </w:t>
      </w:r>
      <w:r w:rsidR="004F632C">
        <w:t>echocardiography</w:t>
      </w:r>
      <w:r>
        <w:t xml:space="preserve"> results are normal. The remaining results are estimated to approximately comprise indeterminate findings (5%) and suspected/diagnosed cases (35%). Therefore, the estimated number of indeterminate </w:t>
      </w:r>
      <w:r w:rsidR="00E42871">
        <w:t xml:space="preserve">echocardiography </w:t>
      </w:r>
      <w:r>
        <w:t xml:space="preserve">results can be back-calculated as a ratio of the number of patients with identifiable DCM (equivalent to approximately 5/35 or 14.3% of the suspected/diagnosed cases). </w:t>
      </w:r>
      <w:r w:rsidR="00E42871">
        <w:fldChar w:fldCharType="begin"/>
      </w:r>
      <w:r w:rsidR="00E42871">
        <w:instrText xml:space="preserve"> REF _Ref444693474 \h </w:instrText>
      </w:r>
      <w:r w:rsidR="00E42871">
        <w:fldChar w:fldCharType="separate"/>
      </w:r>
      <w:r w:rsidR="00E42871">
        <w:t xml:space="preserve">Table </w:t>
      </w:r>
      <w:r w:rsidR="00E42871">
        <w:rPr>
          <w:noProof/>
        </w:rPr>
        <w:t>59</w:t>
      </w:r>
      <w:r w:rsidR="00E42871">
        <w:fldChar w:fldCharType="end"/>
      </w:r>
      <w:r w:rsidR="006151CB">
        <w:t xml:space="preserve"> </w:t>
      </w:r>
      <w:r>
        <w:t xml:space="preserve">presents the estimated number of indeterminate results that are eligible for CMR testing. </w:t>
      </w:r>
    </w:p>
    <w:p w14:paraId="37AEA12C" w14:textId="1036E6D8" w:rsidR="000E482F" w:rsidRDefault="000E482F" w:rsidP="004C79C1">
      <w:pPr>
        <w:spacing w:after="120" w:line="240" w:lineRule="auto"/>
        <w:jc w:val="both"/>
      </w:pPr>
      <w:r w:rsidRPr="00A24EF9">
        <w:t>It is assumed that CMR will be performed in all the cases with indeterminate results. Thus</w:t>
      </w:r>
      <w:r w:rsidR="00295EFF">
        <w:t>,</w:t>
      </w:r>
      <w:r w:rsidRPr="00A24EF9">
        <w:t xml:space="preserve"> uptake of CMR will be 100% in this subgroup.</w:t>
      </w:r>
    </w:p>
    <w:p w14:paraId="4169D80C" w14:textId="2542B91F" w:rsidR="000E482F" w:rsidRDefault="000E482F" w:rsidP="004C79C1">
      <w:pPr>
        <w:pStyle w:val="Caption"/>
        <w:keepNext/>
      </w:pPr>
      <w:bookmarkStart w:id="672" w:name="_Ref444693474"/>
      <w:bookmarkStart w:id="673" w:name="_Toc449555019"/>
      <w:bookmarkStart w:id="674" w:name="_Toc324410230"/>
      <w:bookmarkStart w:id="675" w:name="_Toc451435386"/>
      <w:r>
        <w:t xml:space="preserve">Table </w:t>
      </w:r>
      <w:fldSimple w:instr=" SEQ Table \* ARABIC ">
        <w:r w:rsidR="00E42871">
          <w:rPr>
            <w:noProof/>
          </w:rPr>
          <w:t>59</w:t>
        </w:r>
      </w:fldSimple>
      <w:bookmarkEnd w:id="672"/>
      <w:r>
        <w:tab/>
        <w:t xml:space="preserve">Projected </w:t>
      </w:r>
      <w:r w:rsidRPr="00135344">
        <w:t>number of indeterminate</w:t>
      </w:r>
      <w:r>
        <w:t xml:space="preserve"> echocardiogram</w:t>
      </w:r>
      <w:r w:rsidRPr="00135344">
        <w:t xml:space="preserve"> results eligible for CMR test</w:t>
      </w:r>
      <w:r>
        <w:t>ing (</w:t>
      </w:r>
      <w:r w:rsidR="006C3234">
        <w:t>p</w:t>
      </w:r>
      <w:r>
        <w:t>opulation i)</w:t>
      </w:r>
      <w:bookmarkEnd w:id="673"/>
      <w:bookmarkEnd w:id="674"/>
      <w:bookmarkEnd w:id="675"/>
    </w:p>
    <w:tbl>
      <w:tblPr>
        <w:tblStyle w:val="TableGrid"/>
        <w:tblW w:w="5000" w:type="pct"/>
        <w:tblLayout w:type="fixed"/>
        <w:tblLook w:val="04A0" w:firstRow="1" w:lastRow="0" w:firstColumn="1" w:lastColumn="0" w:noHBand="0" w:noVBand="1"/>
        <w:tblDescription w:val="Projected number of indeterminate echocardiogram results eligible for CMR testing (Population i)"/>
      </w:tblPr>
      <w:tblGrid>
        <w:gridCol w:w="677"/>
        <w:gridCol w:w="3654"/>
        <w:gridCol w:w="983"/>
        <w:gridCol w:w="980"/>
        <w:gridCol w:w="983"/>
        <w:gridCol w:w="983"/>
        <w:gridCol w:w="982"/>
      </w:tblGrid>
      <w:tr w:rsidR="00F83DF9" w14:paraId="19361C96" w14:textId="77777777" w:rsidTr="00F83DF9">
        <w:trPr>
          <w:tblHeader/>
        </w:trPr>
        <w:tc>
          <w:tcPr>
            <w:tcW w:w="366" w:type="pct"/>
          </w:tcPr>
          <w:p w14:paraId="14920DA4" w14:textId="6D3F7AC6" w:rsidR="000E482F" w:rsidRDefault="000E482F" w:rsidP="004C79C1">
            <w:pPr>
              <w:pStyle w:val="TableHeading"/>
              <w:spacing w:before="0" w:after="120"/>
              <w:ind w:left="0" w:right="-104" w:firstLine="0"/>
            </w:pPr>
            <w:r>
              <w:t>Row</w:t>
            </w:r>
          </w:p>
        </w:tc>
        <w:tc>
          <w:tcPr>
            <w:tcW w:w="1977" w:type="pct"/>
          </w:tcPr>
          <w:p w14:paraId="422218C8" w14:textId="77777777" w:rsidR="000E482F" w:rsidRDefault="000E482F" w:rsidP="004C79C1">
            <w:pPr>
              <w:pStyle w:val="TableHeading"/>
              <w:spacing w:before="0" w:after="120"/>
            </w:pPr>
          </w:p>
        </w:tc>
        <w:tc>
          <w:tcPr>
            <w:tcW w:w="532" w:type="pct"/>
          </w:tcPr>
          <w:p w14:paraId="311D8015" w14:textId="3755F07F" w:rsidR="000E482F" w:rsidRDefault="000E482F" w:rsidP="004C79C1">
            <w:pPr>
              <w:pStyle w:val="TableHeading"/>
              <w:spacing w:before="0" w:after="120"/>
              <w:ind w:left="0" w:firstLine="0"/>
              <w:jc w:val="center"/>
            </w:pPr>
            <w:r>
              <w:t>2016</w:t>
            </w:r>
            <w:r w:rsidR="00F50C4B">
              <w:t>–</w:t>
            </w:r>
            <w:r>
              <w:t>17</w:t>
            </w:r>
          </w:p>
        </w:tc>
        <w:tc>
          <w:tcPr>
            <w:tcW w:w="530" w:type="pct"/>
          </w:tcPr>
          <w:p w14:paraId="53C76DC9" w14:textId="76F807A2" w:rsidR="000E482F" w:rsidRDefault="000E482F" w:rsidP="004C79C1">
            <w:pPr>
              <w:pStyle w:val="TableHeading"/>
              <w:spacing w:before="0" w:after="120"/>
              <w:ind w:left="0" w:firstLine="0"/>
              <w:jc w:val="center"/>
            </w:pPr>
            <w:r>
              <w:t>2017</w:t>
            </w:r>
            <w:r w:rsidR="00F50C4B">
              <w:t>–</w:t>
            </w:r>
            <w:r>
              <w:t>18</w:t>
            </w:r>
          </w:p>
        </w:tc>
        <w:tc>
          <w:tcPr>
            <w:tcW w:w="532" w:type="pct"/>
          </w:tcPr>
          <w:p w14:paraId="24CB8ECA" w14:textId="2449C757" w:rsidR="000E482F" w:rsidRDefault="000E482F" w:rsidP="004C79C1">
            <w:pPr>
              <w:pStyle w:val="TableHeading"/>
              <w:spacing w:before="0" w:after="120"/>
              <w:ind w:left="0" w:firstLine="0"/>
              <w:jc w:val="center"/>
            </w:pPr>
            <w:r>
              <w:t>2018</w:t>
            </w:r>
            <w:r w:rsidR="00F50C4B">
              <w:t>–</w:t>
            </w:r>
            <w:r>
              <w:t>19</w:t>
            </w:r>
          </w:p>
        </w:tc>
        <w:tc>
          <w:tcPr>
            <w:tcW w:w="532" w:type="pct"/>
          </w:tcPr>
          <w:p w14:paraId="30319BE6" w14:textId="3D712740" w:rsidR="000E482F" w:rsidRDefault="000E482F" w:rsidP="004C79C1">
            <w:pPr>
              <w:pStyle w:val="TableHeading"/>
              <w:spacing w:before="0" w:after="120"/>
              <w:ind w:left="0" w:firstLine="0"/>
              <w:jc w:val="center"/>
            </w:pPr>
            <w:r>
              <w:t>2019</w:t>
            </w:r>
            <w:r w:rsidR="00F50C4B">
              <w:t>–</w:t>
            </w:r>
            <w:r>
              <w:t>20</w:t>
            </w:r>
          </w:p>
        </w:tc>
        <w:tc>
          <w:tcPr>
            <w:tcW w:w="533" w:type="pct"/>
          </w:tcPr>
          <w:p w14:paraId="7A368916" w14:textId="38FBA980" w:rsidR="000E482F" w:rsidRDefault="000E482F" w:rsidP="004C79C1">
            <w:pPr>
              <w:pStyle w:val="TableHeading"/>
              <w:spacing w:before="0" w:after="120"/>
              <w:ind w:left="0" w:firstLine="0"/>
              <w:jc w:val="center"/>
            </w:pPr>
            <w:r>
              <w:t>2020</w:t>
            </w:r>
            <w:r w:rsidR="00F50C4B">
              <w:t>–</w:t>
            </w:r>
            <w:r>
              <w:t>21</w:t>
            </w:r>
          </w:p>
        </w:tc>
      </w:tr>
      <w:tr w:rsidR="00F83DF9" w:rsidRPr="001F6513" w14:paraId="3227E310" w14:textId="77777777" w:rsidTr="00F83DF9">
        <w:tc>
          <w:tcPr>
            <w:tcW w:w="366" w:type="pct"/>
          </w:tcPr>
          <w:p w14:paraId="4BF36941" w14:textId="77777777" w:rsidR="000E482F" w:rsidRDefault="000E482F" w:rsidP="004C79C1">
            <w:pPr>
              <w:pStyle w:val="Tabletext1"/>
              <w:spacing w:before="0" w:after="120"/>
            </w:pPr>
            <w:r>
              <w:t>E</w:t>
            </w:r>
          </w:p>
        </w:tc>
        <w:tc>
          <w:tcPr>
            <w:tcW w:w="1977" w:type="pct"/>
          </w:tcPr>
          <w:p w14:paraId="5419B662" w14:textId="77777777" w:rsidR="000E482F" w:rsidRDefault="000E482F" w:rsidP="004C79C1">
            <w:pPr>
              <w:pStyle w:val="Tabletext1"/>
              <w:spacing w:before="0" w:after="120"/>
            </w:pPr>
            <w:r w:rsidRPr="00BA55BC">
              <w:t xml:space="preserve">Number of suspected/diagnosed cases of DCM </w:t>
            </w:r>
          </w:p>
        </w:tc>
        <w:tc>
          <w:tcPr>
            <w:tcW w:w="532" w:type="pct"/>
          </w:tcPr>
          <w:p w14:paraId="7976AA49" w14:textId="77777777" w:rsidR="000E482F" w:rsidRPr="001F6513" w:rsidRDefault="000E482F" w:rsidP="004C79C1">
            <w:pPr>
              <w:pStyle w:val="Tabletext1"/>
              <w:spacing w:before="0" w:after="120"/>
              <w:jc w:val="right"/>
            </w:pPr>
            <w:r w:rsidRPr="0065789F">
              <w:t>4</w:t>
            </w:r>
            <w:r>
              <w:t>,</w:t>
            </w:r>
            <w:r w:rsidRPr="0065789F">
              <w:t>480</w:t>
            </w:r>
          </w:p>
        </w:tc>
        <w:tc>
          <w:tcPr>
            <w:tcW w:w="530" w:type="pct"/>
          </w:tcPr>
          <w:p w14:paraId="586FA6CF" w14:textId="77777777" w:rsidR="000E482F" w:rsidRPr="001F6513" w:rsidRDefault="000E482F" w:rsidP="004C79C1">
            <w:pPr>
              <w:pStyle w:val="Tabletext1"/>
              <w:spacing w:before="0" w:after="120"/>
              <w:jc w:val="right"/>
            </w:pPr>
            <w:r w:rsidRPr="0065789F">
              <w:t>4</w:t>
            </w:r>
            <w:r>
              <w:t>,</w:t>
            </w:r>
            <w:r w:rsidRPr="0065789F">
              <w:t>557</w:t>
            </w:r>
          </w:p>
        </w:tc>
        <w:tc>
          <w:tcPr>
            <w:tcW w:w="532" w:type="pct"/>
          </w:tcPr>
          <w:p w14:paraId="4E5F2971" w14:textId="77777777" w:rsidR="000E482F" w:rsidRPr="001F6513" w:rsidRDefault="000E482F" w:rsidP="004C79C1">
            <w:pPr>
              <w:pStyle w:val="Tabletext1"/>
              <w:spacing w:before="0" w:after="120"/>
              <w:jc w:val="right"/>
            </w:pPr>
            <w:r w:rsidRPr="0065789F">
              <w:t>4</w:t>
            </w:r>
            <w:r>
              <w:t>,</w:t>
            </w:r>
            <w:r w:rsidRPr="0065789F">
              <w:t>633</w:t>
            </w:r>
          </w:p>
        </w:tc>
        <w:tc>
          <w:tcPr>
            <w:tcW w:w="532" w:type="pct"/>
          </w:tcPr>
          <w:p w14:paraId="33C5B083" w14:textId="77777777" w:rsidR="000E482F" w:rsidRPr="001F6513" w:rsidRDefault="000E482F" w:rsidP="004C79C1">
            <w:pPr>
              <w:pStyle w:val="Tabletext1"/>
              <w:spacing w:before="0" w:after="120"/>
              <w:jc w:val="right"/>
            </w:pPr>
            <w:r w:rsidRPr="0065789F">
              <w:t>4</w:t>
            </w:r>
            <w:r>
              <w:t>,</w:t>
            </w:r>
            <w:r w:rsidRPr="0065789F">
              <w:t>707</w:t>
            </w:r>
          </w:p>
        </w:tc>
        <w:tc>
          <w:tcPr>
            <w:tcW w:w="533" w:type="pct"/>
          </w:tcPr>
          <w:p w14:paraId="421170F9" w14:textId="77777777" w:rsidR="000E482F" w:rsidRPr="001F6513" w:rsidRDefault="000E482F" w:rsidP="004C79C1">
            <w:pPr>
              <w:pStyle w:val="Tabletext1"/>
              <w:spacing w:before="0" w:after="120"/>
              <w:jc w:val="right"/>
            </w:pPr>
            <w:r w:rsidRPr="0065789F">
              <w:t>4</w:t>
            </w:r>
            <w:r>
              <w:t>,</w:t>
            </w:r>
            <w:r w:rsidRPr="0065789F">
              <w:t>781</w:t>
            </w:r>
          </w:p>
        </w:tc>
      </w:tr>
      <w:tr w:rsidR="00F83DF9" w:rsidRPr="007D7665" w14:paraId="542C3491" w14:textId="77777777" w:rsidTr="00E42871">
        <w:tc>
          <w:tcPr>
            <w:tcW w:w="366" w:type="pct"/>
          </w:tcPr>
          <w:p w14:paraId="3F3EB827" w14:textId="77777777" w:rsidR="000E482F" w:rsidRPr="00F83DF9" w:rsidRDefault="000E482F" w:rsidP="004C79C1">
            <w:pPr>
              <w:pStyle w:val="Tabletext1"/>
              <w:spacing w:before="0" w:after="120"/>
              <w:rPr>
                <w:b/>
              </w:rPr>
            </w:pPr>
            <w:r w:rsidRPr="00F83DF9">
              <w:rPr>
                <w:b/>
              </w:rPr>
              <w:t>F</w:t>
            </w:r>
          </w:p>
        </w:tc>
        <w:tc>
          <w:tcPr>
            <w:tcW w:w="1977" w:type="pct"/>
          </w:tcPr>
          <w:p w14:paraId="642B73C0" w14:textId="25EF04B4" w:rsidR="000E482F" w:rsidRPr="00F83DF9" w:rsidRDefault="000E482F" w:rsidP="004C79C1">
            <w:pPr>
              <w:pStyle w:val="Tabletext1"/>
              <w:spacing w:before="0" w:after="120"/>
              <w:rPr>
                <w:b/>
              </w:rPr>
            </w:pPr>
            <w:r w:rsidRPr="00F83DF9">
              <w:rPr>
                <w:b/>
              </w:rPr>
              <w:t xml:space="preserve">Estimated additional patients who may be eligible for CMR following indeterminate </w:t>
            </w:r>
            <w:r w:rsidR="006C3234" w:rsidRPr="00F83DF9">
              <w:rPr>
                <w:b/>
              </w:rPr>
              <w:t>E</w:t>
            </w:r>
            <w:r w:rsidRPr="00F83DF9">
              <w:rPr>
                <w:b/>
              </w:rPr>
              <w:t xml:space="preserve">cho results </w:t>
            </w:r>
            <w:r w:rsidRPr="00E42871">
              <w:rPr>
                <w:b/>
              </w:rPr>
              <w:t>(14.3%*E)</w:t>
            </w:r>
          </w:p>
        </w:tc>
        <w:tc>
          <w:tcPr>
            <w:tcW w:w="532" w:type="pct"/>
          </w:tcPr>
          <w:p w14:paraId="720486CE" w14:textId="77777777" w:rsidR="000E482F" w:rsidRPr="00F83DF9" w:rsidRDefault="000E482F" w:rsidP="004C79C1">
            <w:pPr>
              <w:pStyle w:val="Tabletext1"/>
              <w:spacing w:before="0" w:after="120"/>
              <w:jc w:val="right"/>
              <w:rPr>
                <w:b/>
              </w:rPr>
            </w:pPr>
            <w:r w:rsidRPr="00F83DF9">
              <w:rPr>
                <w:b/>
              </w:rPr>
              <w:t>640</w:t>
            </w:r>
          </w:p>
        </w:tc>
        <w:tc>
          <w:tcPr>
            <w:tcW w:w="530" w:type="pct"/>
          </w:tcPr>
          <w:p w14:paraId="32B488EB" w14:textId="77777777" w:rsidR="000E482F" w:rsidRPr="00F83DF9" w:rsidRDefault="000E482F" w:rsidP="004C79C1">
            <w:pPr>
              <w:pStyle w:val="Tabletext1"/>
              <w:spacing w:before="0" w:after="120"/>
              <w:jc w:val="right"/>
              <w:rPr>
                <w:b/>
              </w:rPr>
            </w:pPr>
            <w:r w:rsidRPr="00F83DF9">
              <w:rPr>
                <w:b/>
              </w:rPr>
              <w:t>651</w:t>
            </w:r>
          </w:p>
        </w:tc>
        <w:tc>
          <w:tcPr>
            <w:tcW w:w="532" w:type="pct"/>
          </w:tcPr>
          <w:p w14:paraId="52F5716B" w14:textId="77777777" w:rsidR="000E482F" w:rsidRPr="00F83DF9" w:rsidRDefault="000E482F" w:rsidP="004C79C1">
            <w:pPr>
              <w:pStyle w:val="Tabletext1"/>
              <w:spacing w:before="0" w:after="120"/>
              <w:jc w:val="right"/>
              <w:rPr>
                <w:b/>
              </w:rPr>
            </w:pPr>
            <w:r w:rsidRPr="00F83DF9">
              <w:rPr>
                <w:b/>
              </w:rPr>
              <w:t>662</w:t>
            </w:r>
          </w:p>
        </w:tc>
        <w:tc>
          <w:tcPr>
            <w:tcW w:w="532" w:type="pct"/>
          </w:tcPr>
          <w:p w14:paraId="2D0CEBBE" w14:textId="77777777" w:rsidR="000E482F" w:rsidRPr="00F83DF9" w:rsidRDefault="000E482F" w:rsidP="004C79C1">
            <w:pPr>
              <w:pStyle w:val="Tabletext1"/>
              <w:spacing w:before="0" w:after="120"/>
              <w:jc w:val="right"/>
              <w:rPr>
                <w:b/>
              </w:rPr>
            </w:pPr>
            <w:r w:rsidRPr="00F83DF9">
              <w:rPr>
                <w:b/>
              </w:rPr>
              <w:t>672</w:t>
            </w:r>
          </w:p>
        </w:tc>
        <w:tc>
          <w:tcPr>
            <w:tcW w:w="533" w:type="pct"/>
          </w:tcPr>
          <w:p w14:paraId="63BC91A4" w14:textId="77777777" w:rsidR="000E482F" w:rsidRPr="00F83DF9" w:rsidRDefault="000E482F" w:rsidP="004C79C1">
            <w:pPr>
              <w:pStyle w:val="Tabletext1"/>
              <w:spacing w:before="0" w:after="120"/>
              <w:jc w:val="right"/>
              <w:rPr>
                <w:b/>
              </w:rPr>
            </w:pPr>
            <w:r w:rsidRPr="00F83DF9">
              <w:rPr>
                <w:b/>
              </w:rPr>
              <w:t>683</w:t>
            </w:r>
          </w:p>
        </w:tc>
      </w:tr>
    </w:tbl>
    <w:p w14:paraId="3EE97F69" w14:textId="6F3C7C98" w:rsidR="000E482F" w:rsidRDefault="000E482F" w:rsidP="004C79C1">
      <w:pPr>
        <w:pStyle w:val="Tablenotes0"/>
        <w:spacing w:before="0" w:after="120"/>
      </w:pPr>
      <w:r>
        <w:t xml:space="preserve">CMR = cardiac magnetic resonance </w:t>
      </w:r>
      <w:r w:rsidR="00A24213">
        <w:t>(</w:t>
      </w:r>
      <w:r>
        <w:t>imaging</w:t>
      </w:r>
      <w:r w:rsidR="00A24213">
        <w:t>)</w:t>
      </w:r>
      <w:r>
        <w:t>; DCM = dilated cardiomyopathy</w:t>
      </w:r>
      <w:r w:rsidR="006C3234">
        <w:t>; Echo = echocardiography</w:t>
      </w:r>
    </w:p>
    <w:p w14:paraId="1EC9A5BB" w14:textId="5CD67CF4" w:rsidR="000E482F" w:rsidRDefault="000E482F" w:rsidP="00161B88">
      <w:pPr>
        <w:pStyle w:val="Heading4"/>
        <w:numPr>
          <w:ilvl w:val="0"/>
          <w:numId w:val="69"/>
        </w:numPr>
      </w:pPr>
      <w:r>
        <w:lastRenderedPageBreak/>
        <w:t xml:space="preserve">Number of patients with DCM identified on </w:t>
      </w:r>
      <w:r w:rsidR="004F632C">
        <w:t>e</w:t>
      </w:r>
      <w:r>
        <w:t>cho</w:t>
      </w:r>
      <w:r w:rsidR="004F632C">
        <w:t>cardiogram</w:t>
      </w:r>
      <w:r>
        <w:t xml:space="preserve"> requiring further diagnostic clarification (patient group ii)</w:t>
      </w:r>
    </w:p>
    <w:p w14:paraId="2E60E44E" w14:textId="4CC654F6" w:rsidR="003E4A52" w:rsidRPr="00CC55F9" w:rsidRDefault="000E482F" w:rsidP="00CC55F9">
      <w:pPr>
        <w:spacing w:after="120" w:line="240" w:lineRule="auto"/>
        <w:jc w:val="both"/>
      </w:pPr>
      <w:r w:rsidRPr="004C69C7">
        <w:t xml:space="preserve">CMR will not be necessary for every case of </w:t>
      </w:r>
      <w:r>
        <w:t xml:space="preserve">suspected </w:t>
      </w:r>
      <w:r w:rsidRPr="004C69C7">
        <w:t xml:space="preserve">DCM </w:t>
      </w:r>
      <w:r>
        <w:t>identified by prior clinical examinations, tests and echocardiogram</w:t>
      </w:r>
      <w:r w:rsidR="00CA08BA">
        <w:t>s</w:t>
      </w:r>
      <w:r>
        <w:t xml:space="preserve">, </w:t>
      </w:r>
      <w:r w:rsidRPr="004C69C7">
        <w:t xml:space="preserve">as the diagnosis and aetiology may be clear from prior testing. According to clinical expert advice, CMR will be conducted in around 75% of patients with </w:t>
      </w:r>
      <w:r w:rsidR="00CA08BA">
        <w:t xml:space="preserve">an </w:t>
      </w:r>
      <w:r w:rsidRPr="004C69C7">
        <w:t>impaired LV and suspected DCM.</w:t>
      </w:r>
      <w:r w:rsidRPr="00A24EF9">
        <w:t xml:space="preserve"> </w:t>
      </w:r>
      <w:r w:rsidR="00E42871">
        <w:fldChar w:fldCharType="begin"/>
      </w:r>
      <w:r w:rsidR="00E42871">
        <w:instrText xml:space="preserve"> REF _Ref448996632 \h </w:instrText>
      </w:r>
      <w:r w:rsidR="00E42871">
        <w:fldChar w:fldCharType="separate"/>
      </w:r>
      <w:r w:rsidR="00E42871" w:rsidRPr="00C608DD">
        <w:t xml:space="preserve">Table </w:t>
      </w:r>
      <w:r w:rsidR="00E42871">
        <w:rPr>
          <w:noProof/>
        </w:rPr>
        <w:t>60</w:t>
      </w:r>
      <w:r w:rsidR="00E42871">
        <w:fldChar w:fldCharType="end"/>
      </w:r>
      <w:r w:rsidRPr="00A24EF9">
        <w:t xml:space="preserve"> presents the number of patients eligible for CMR test</w:t>
      </w:r>
      <w:r w:rsidR="00CA08BA">
        <w:t>ing</w:t>
      </w:r>
      <w:r w:rsidRPr="00A24EF9">
        <w:t xml:space="preserve"> for d</w:t>
      </w:r>
      <w:bookmarkStart w:id="676" w:name="_Ref448996632"/>
      <w:bookmarkStart w:id="677" w:name="_Toc449555020"/>
      <w:bookmarkStart w:id="678" w:name="_Toc324410231"/>
      <w:bookmarkStart w:id="679" w:name="_Toc451435387"/>
      <w:r w:rsidR="00CC55F9">
        <w:t>iagnostic clarification of DCM.</w:t>
      </w:r>
    </w:p>
    <w:p w14:paraId="2B1C88D6" w14:textId="7EC897C1" w:rsidR="000E482F" w:rsidRPr="00A24EF9" w:rsidRDefault="000E482F" w:rsidP="004C79C1">
      <w:pPr>
        <w:pStyle w:val="Caption"/>
      </w:pPr>
      <w:r w:rsidRPr="00C608DD">
        <w:t xml:space="preserve">Table </w:t>
      </w:r>
      <w:fldSimple w:instr=" SEQ Table \* ARABIC ">
        <w:r w:rsidR="00E42871">
          <w:rPr>
            <w:noProof/>
          </w:rPr>
          <w:t>60</w:t>
        </w:r>
      </w:fldSimple>
      <w:bookmarkEnd w:id="676"/>
      <w:r w:rsidRPr="00A24EF9">
        <w:rPr>
          <w:noProof/>
        </w:rPr>
        <w:tab/>
      </w:r>
      <w:r w:rsidRPr="00A24EF9">
        <w:t>Estimated uptake of CMR in DCM for diagnostic clarification</w:t>
      </w:r>
      <w:r>
        <w:t xml:space="preserve"> (</w:t>
      </w:r>
      <w:r w:rsidR="00D63D8B">
        <w:t>p</w:t>
      </w:r>
      <w:r>
        <w:t>opulation ii)</w:t>
      </w:r>
      <w:bookmarkEnd w:id="677"/>
      <w:bookmarkEnd w:id="678"/>
      <w:bookmarkEnd w:id="679"/>
    </w:p>
    <w:tbl>
      <w:tblPr>
        <w:tblStyle w:val="TableGrid"/>
        <w:tblW w:w="4909" w:type="pct"/>
        <w:tblLook w:val="04A0" w:firstRow="1" w:lastRow="0" w:firstColumn="1" w:lastColumn="0" w:noHBand="0" w:noVBand="1"/>
        <w:tblDescription w:val="Estimated uptake of CMR in DCM for diagnostic clarification (Population ii)"/>
      </w:tblPr>
      <w:tblGrid>
        <w:gridCol w:w="587"/>
        <w:gridCol w:w="3634"/>
        <w:gridCol w:w="982"/>
        <w:gridCol w:w="982"/>
        <w:gridCol w:w="985"/>
        <w:gridCol w:w="984"/>
        <w:gridCol w:w="920"/>
      </w:tblGrid>
      <w:tr w:rsidR="00FE5E44" w:rsidRPr="00A24EF9" w14:paraId="4CDF1F30" w14:textId="77777777" w:rsidTr="00E42871">
        <w:trPr>
          <w:tblHeader/>
        </w:trPr>
        <w:tc>
          <w:tcPr>
            <w:tcW w:w="323" w:type="pct"/>
          </w:tcPr>
          <w:p w14:paraId="00BA346A" w14:textId="77777777" w:rsidR="000E482F" w:rsidRPr="00A24EF9" w:rsidRDefault="000E482F" w:rsidP="004C79C1">
            <w:pPr>
              <w:keepNext/>
              <w:spacing w:after="120" w:line="240" w:lineRule="auto"/>
              <w:rPr>
                <w:rFonts w:ascii="Arial Narrow" w:hAnsi="Arial Narrow"/>
                <w:b/>
                <w:sz w:val="20"/>
                <w:szCs w:val="20"/>
              </w:rPr>
            </w:pPr>
            <w:r>
              <w:rPr>
                <w:rFonts w:ascii="Arial Narrow" w:hAnsi="Arial Narrow"/>
                <w:b/>
                <w:sz w:val="20"/>
                <w:szCs w:val="20"/>
              </w:rPr>
              <w:t>Row</w:t>
            </w:r>
          </w:p>
        </w:tc>
        <w:tc>
          <w:tcPr>
            <w:tcW w:w="2002" w:type="pct"/>
          </w:tcPr>
          <w:p w14:paraId="0279829B" w14:textId="77777777" w:rsidR="000E482F" w:rsidRPr="00A24EF9" w:rsidRDefault="000E482F" w:rsidP="004C79C1">
            <w:pPr>
              <w:keepNext/>
              <w:spacing w:after="120" w:line="240" w:lineRule="auto"/>
              <w:rPr>
                <w:rFonts w:ascii="Arial Narrow" w:hAnsi="Arial Narrow"/>
                <w:b/>
                <w:sz w:val="20"/>
                <w:szCs w:val="20"/>
              </w:rPr>
            </w:pPr>
          </w:p>
        </w:tc>
        <w:tc>
          <w:tcPr>
            <w:tcW w:w="541" w:type="pct"/>
          </w:tcPr>
          <w:p w14:paraId="0A941B5A" w14:textId="264C15CC" w:rsidR="000E482F" w:rsidRPr="00A24EF9" w:rsidRDefault="000E482F" w:rsidP="004C79C1">
            <w:pPr>
              <w:keepNext/>
              <w:spacing w:after="120" w:line="240" w:lineRule="auto"/>
              <w:jc w:val="center"/>
              <w:rPr>
                <w:rFonts w:ascii="Arial Narrow" w:hAnsi="Arial Narrow"/>
                <w:b/>
                <w:sz w:val="20"/>
                <w:szCs w:val="20"/>
              </w:rPr>
            </w:pPr>
            <w:r w:rsidRPr="00A24EF9">
              <w:rPr>
                <w:rFonts w:ascii="Arial Narrow" w:hAnsi="Arial Narrow"/>
                <w:b/>
                <w:sz w:val="20"/>
                <w:szCs w:val="20"/>
              </w:rPr>
              <w:t>2016</w:t>
            </w:r>
            <w:r w:rsidR="00912D3E">
              <w:rPr>
                <w:rFonts w:ascii="Arial Narrow" w:hAnsi="Arial Narrow"/>
                <w:b/>
                <w:sz w:val="20"/>
                <w:szCs w:val="20"/>
              </w:rPr>
              <w:t>–</w:t>
            </w:r>
            <w:r w:rsidRPr="00A24EF9">
              <w:rPr>
                <w:rFonts w:ascii="Arial Narrow" w:hAnsi="Arial Narrow"/>
                <w:b/>
                <w:sz w:val="20"/>
                <w:szCs w:val="20"/>
              </w:rPr>
              <w:t>17</w:t>
            </w:r>
          </w:p>
        </w:tc>
        <w:tc>
          <w:tcPr>
            <w:tcW w:w="541" w:type="pct"/>
          </w:tcPr>
          <w:p w14:paraId="6EE9FCA8" w14:textId="4FECEE7D" w:rsidR="000E482F" w:rsidRPr="00A24EF9" w:rsidRDefault="000E482F" w:rsidP="004C79C1">
            <w:pPr>
              <w:keepNext/>
              <w:spacing w:after="120" w:line="240" w:lineRule="auto"/>
              <w:jc w:val="center"/>
              <w:rPr>
                <w:rFonts w:ascii="Arial Narrow" w:hAnsi="Arial Narrow"/>
                <w:b/>
                <w:sz w:val="20"/>
                <w:szCs w:val="20"/>
              </w:rPr>
            </w:pPr>
            <w:r w:rsidRPr="00A24EF9">
              <w:rPr>
                <w:rFonts w:ascii="Arial Narrow" w:hAnsi="Arial Narrow"/>
                <w:b/>
                <w:sz w:val="20"/>
                <w:szCs w:val="20"/>
              </w:rPr>
              <w:t>2017</w:t>
            </w:r>
            <w:r w:rsidR="00912D3E">
              <w:rPr>
                <w:rFonts w:ascii="Arial Narrow" w:hAnsi="Arial Narrow"/>
                <w:b/>
                <w:sz w:val="20"/>
                <w:szCs w:val="20"/>
              </w:rPr>
              <w:t>–</w:t>
            </w:r>
            <w:r w:rsidRPr="00A24EF9">
              <w:rPr>
                <w:rFonts w:ascii="Arial Narrow" w:hAnsi="Arial Narrow"/>
                <w:b/>
                <w:sz w:val="20"/>
                <w:szCs w:val="20"/>
              </w:rPr>
              <w:t>18</w:t>
            </w:r>
          </w:p>
        </w:tc>
        <w:tc>
          <w:tcPr>
            <w:tcW w:w="543" w:type="pct"/>
          </w:tcPr>
          <w:p w14:paraId="218EA9FF" w14:textId="4F861C85" w:rsidR="000E482F" w:rsidRPr="00A24EF9" w:rsidRDefault="000E482F" w:rsidP="004C79C1">
            <w:pPr>
              <w:keepNext/>
              <w:spacing w:after="120" w:line="240" w:lineRule="auto"/>
              <w:jc w:val="center"/>
              <w:rPr>
                <w:rFonts w:ascii="Arial Narrow" w:hAnsi="Arial Narrow"/>
                <w:b/>
                <w:sz w:val="20"/>
                <w:szCs w:val="20"/>
              </w:rPr>
            </w:pPr>
            <w:r w:rsidRPr="00A24EF9">
              <w:rPr>
                <w:rFonts w:ascii="Arial Narrow" w:hAnsi="Arial Narrow"/>
                <w:b/>
                <w:sz w:val="20"/>
                <w:szCs w:val="20"/>
              </w:rPr>
              <w:t>2018</w:t>
            </w:r>
            <w:r w:rsidR="00912D3E">
              <w:rPr>
                <w:rFonts w:ascii="Arial Narrow" w:hAnsi="Arial Narrow"/>
                <w:b/>
                <w:sz w:val="20"/>
                <w:szCs w:val="20"/>
              </w:rPr>
              <w:t>–</w:t>
            </w:r>
            <w:r w:rsidRPr="00A24EF9">
              <w:rPr>
                <w:rFonts w:ascii="Arial Narrow" w:hAnsi="Arial Narrow"/>
                <w:b/>
                <w:sz w:val="20"/>
                <w:szCs w:val="20"/>
              </w:rPr>
              <w:t>19</w:t>
            </w:r>
          </w:p>
        </w:tc>
        <w:tc>
          <w:tcPr>
            <w:tcW w:w="542" w:type="pct"/>
          </w:tcPr>
          <w:p w14:paraId="791C6AD5" w14:textId="6700FA13" w:rsidR="000E482F" w:rsidRPr="00A24EF9" w:rsidRDefault="000E482F" w:rsidP="004C79C1">
            <w:pPr>
              <w:keepNext/>
              <w:spacing w:after="120" w:line="240" w:lineRule="auto"/>
              <w:jc w:val="center"/>
              <w:rPr>
                <w:rFonts w:ascii="Arial Narrow" w:hAnsi="Arial Narrow"/>
                <w:b/>
                <w:sz w:val="20"/>
                <w:szCs w:val="20"/>
              </w:rPr>
            </w:pPr>
            <w:r w:rsidRPr="00A24EF9">
              <w:rPr>
                <w:rFonts w:ascii="Arial Narrow" w:hAnsi="Arial Narrow"/>
                <w:b/>
                <w:sz w:val="20"/>
                <w:szCs w:val="20"/>
              </w:rPr>
              <w:t>2019</w:t>
            </w:r>
            <w:r w:rsidR="00912D3E">
              <w:rPr>
                <w:rFonts w:ascii="Arial Narrow" w:hAnsi="Arial Narrow"/>
                <w:b/>
                <w:sz w:val="20"/>
                <w:szCs w:val="20"/>
              </w:rPr>
              <w:t>–</w:t>
            </w:r>
            <w:r w:rsidRPr="00A24EF9">
              <w:rPr>
                <w:rFonts w:ascii="Arial Narrow" w:hAnsi="Arial Narrow"/>
                <w:b/>
                <w:sz w:val="20"/>
                <w:szCs w:val="20"/>
              </w:rPr>
              <w:t>20</w:t>
            </w:r>
          </w:p>
        </w:tc>
        <w:tc>
          <w:tcPr>
            <w:tcW w:w="507" w:type="pct"/>
          </w:tcPr>
          <w:p w14:paraId="523B6D5B" w14:textId="2B8689FD" w:rsidR="000E482F" w:rsidRPr="00A24EF9" w:rsidRDefault="000E482F" w:rsidP="004C79C1">
            <w:pPr>
              <w:keepNext/>
              <w:spacing w:after="120" w:line="240" w:lineRule="auto"/>
              <w:jc w:val="center"/>
              <w:rPr>
                <w:rFonts w:ascii="Arial Narrow" w:hAnsi="Arial Narrow"/>
                <w:b/>
                <w:sz w:val="20"/>
                <w:szCs w:val="20"/>
              </w:rPr>
            </w:pPr>
            <w:r w:rsidRPr="00A24EF9">
              <w:rPr>
                <w:rFonts w:ascii="Arial Narrow" w:hAnsi="Arial Narrow"/>
                <w:b/>
                <w:sz w:val="20"/>
                <w:szCs w:val="20"/>
              </w:rPr>
              <w:t>2020</w:t>
            </w:r>
            <w:r w:rsidR="00912D3E">
              <w:rPr>
                <w:rFonts w:ascii="Arial Narrow" w:hAnsi="Arial Narrow"/>
                <w:b/>
                <w:sz w:val="20"/>
                <w:szCs w:val="20"/>
              </w:rPr>
              <w:t>–</w:t>
            </w:r>
            <w:r w:rsidRPr="00A24EF9">
              <w:rPr>
                <w:rFonts w:ascii="Arial Narrow" w:hAnsi="Arial Narrow"/>
                <w:b/>
                <w:sz w:val="20"/>
                <w:szCs w:val="20"/>
              </w:rPr>
              <w:t>21</w:t>
            </w:r>
          </w:p>
        </w:tc>
      </w:tr>
      <w:tr w:rsidR="00FE5E44" w:rsidRPr="00A24EF9" w14:paraId="44C6E901" w14:textId="77777777" w:rsidTr="00E42871">
        <w:tc>
          <w:tcPr>
            <w:tcW w:w="323" w:type="pct"/>
          </w:tcPr>
          <w:p w14:paraId="26BC5A31" w14:textId="77777777" w:rsidR="000E482F" w:rsidRPr="00A24EF9" w:rsidRDefault="000E482F" w:rsidP="004C79C1">
            <w:pPr>
              <w:spacing w:after="120" w:line="240" w:lineRule="auto"/>
              <w:rPr>
                <w:rFonts w:ascii="Arial Narrow" w:hAnsi="Arial Narrow"/>
                <w:sz w:val="20"/>
                <w:szCs w:val="20"/>
              </w:rPr>
            </w:pPr>
            <w:r>
              <w:rPr>
                <w:rFonts w:ascii="Arial Narrow" w:hAnsi="Arial Narrow"/>
                <w:sz w:val="20"/>
                <w:szCs w:val="20"/>
              </w:rPr>
              <w:t>E</w:t>
            </w:r>
          </w:p>
        </w:tc>
        <w:tc>
          <w:tcPr>
            <w:tcW w:w="2002" w:type="pct"/>
          </w:tcPr>
          <w:p w14:paraId="22DCD6E7" w14:textId="77777777" w:rsidR="000E482F" w:rsidRPr="00A24EF9" w:rsidRDefault="000E482F" w:rsidP="004C79C1">
            <w:pPr>
              <w:spacing w:after="120" w:line="240" w:lineRule="auto"/>
              <w:rPr>
                <w:rFonts w:ascii="Arial Narrow" w:hAnsi="Arial Narrow"/>
                <w:sz w:val="20"/>
                <w:szCs w:val="20"/>
              </w:rPr>
            </w:pPr>
            <w:r w:rsidRPr="00A24EF9">
              <w:rPr>
                <w:rFonts w:ascii="Arial Narrow" w:hAnsi="Arial Narrow"/>
                <w:sz w:val="20"/>
                <w:szCs w:val="20"/>
              </w:rPr>
              <w:t xml:space="preserve">Number of suspected/diagnosed cases of DCM </w:t>
            </w:r>
          </w:p>
        </w:tc>
        <w:tc>
          <w:tcPr>
            <w:tcW w:w="541" w:type="pct"/>
          </w:tcPr>
          <w:p w14:paraId="0D2D323D" w14:textId="77777777" w:rsidR="000E482F" w:rsidRPr="00A24EF9" w:rsidRDefault="000E482F" w:rsidP="004C79C1">
            <w:pPr>
              <w:spacing w:after="120" w:line="240" w:lineRule="auto"/>
              <w:jc w:val="right"/>
              <w:rPr>
                <w:rFonts w:ascii="Arial Narrow" w:hAnsi="Arial Narrow"/>
                <w:sz w:val="20"/>
                <w:szCs w:val="20"/>
              </w:rPr>
            </w:pPr>
            <w:r w:rsidRPr="00A24EF9">
              <w:rPr>
                <w:rFonts w:ascii="Arial Narrow" w:hAnsi="Arial Narrow"/>
                <w:sz w:val="20"/>
                <w:szCs w:val="20"/>
              </w:rPr>
              <w:t>4,480</w:t>
            </w:r>
          </w:p>
        </w:tc>
        <w:tc>
          <w:tcPr>
            <w:tcW w:w="541" w:type="pct"/>
          </w:tcPr>
          <w:p w14:paraId="19ED0B3B" w14:textId="77777777" w:rsidR="000E482F" w:rsidRPr="00A24EF9" w:rsidRDefault="000E482F" w:rsidP="004C79C1">
            <w:pPr>
              <w:spacing w:after="120" w:line="240" w:lineRule="auto"/>
              <w:jc w:val="right"/>
              <w:rPr>
                <w:rFonts w:ascii="Arial Narrow" w:hAnsi="Arial Narrow"/>
                <w:sz w:val="20"/>
                <w:szCs w:val="20"/>
              </w:rPr>
            </w:pPr>
            <w:r w:rsidRPr="00A24EF9">
              <w:rPr>
                <w:rFonts w:ascii="Arial Narrow" w:hAnsi="Arial Narrow"/>
                <w:sz w:val="20"/>
                <w:szCs w:val="20"/>
              </w:rPr>
              <w:t>4,557</w:t>
            </w:r>
          </w:p>
        </w:tc>
        <w:tc>
          <w:tcPr>
            <w:tcW w:w="543" w:type="pct"/>
          </w:tcPr>
          <w:p w14:paraId="35D48B55" w14:textId="77777777" w:rsidR="000E482F" w:rsidRPr="00A24EF9" w:rsidRDefault="000E482F" w:rsidP="004C79C1">
            <w:pPr>
              <w:spacing w:after="120" w:line="240" w:lineRule="auto"/>
              <w:jc w:val="right"/>
              <w:rPr>
                <w:rFonts w:ascii="Arial Narrow" w:hAnsi="Arial Narrow"/>
                <w:sz w:val="20"/>
                <w:szCs w:val="20"/>
              </w:rPr>
            </w:pPr>
            <w:r w:rsidRPr="00A24EF9">
              <w:rPr>
                <w:rFonts w:ascii="Arial Narrow" w:hAnsi="Arial Narrow"/>
                <w:sz w:val="20"/>
                <w:szCs w:val="20"/>
              </w:rPr>
              <w:t>4,633</w:t>
            </w:r>
          </w:p>
        </w:tc>
        <w:tc>
          <w:tcPr>
            <w:tcW w:w="542" w:type="pct"/>
          </w:tcPr>
          <w:p w14:paraId="35F21EDC" w14:textId="77777777" w:rsidR="000E482F" w:rsidRPr="00A24EF9" w:rsidRDefault="000E482F" w:rsidP="004C79C1">
            <w:pPr>
              <w:spacing w:after="120" w:line="240" w:lineRule="auto"/>
              <w:jc w:val="right"/>
              <w:rPr>
                <w:rFonts w:ascii="Arial Narrow" w:hAnsi="Arial Narrow"/>
                <w:sz w:val="20"/>
                <w:szCs w:val="20"/>
              </w:rPr>
            </w:pPr>
            <w:r w:rsidRPr="00A24EF9">
              <w:rPr>
                <w:rFonts w:ascii="Arial Narrow" w:hAnsi="Arial Narrow"/>
                <w:sz w:val="20"/>
                <w:szCs w:val="20"/>
              </w:rPr>
              <w:t>4,707</w:t>
            </w:r>
          </w:p>
        </w:tc>
        <w:tc>
          <w:tcPr>
            <w:tcW w:w="507" w:type="pct"/>
          </w:tcPr>
          <w:p w14:paraId="2496B5BD" w14:textId="77777777" w:rsidR="000E482F" w:rsidRPr="00A24EF9" w:rsidRDefault="000E482F" w:rsidP="004C79C1">
            <w:pPr>
              <w:spacing w:after="120" w:line="240" w:lineRule="auto"/>
              <w:jc w:val="right"/>
              <w:rPr>
                <w:rFonts w:ascii="Arial Narrow" w:hAnsi="Arial Narrow"/>
                <w:sz w:val="20"/>
                <w:szCs w:val="20"/>
              </w:rPr>
            </w:pPr>
            <w:r w:rsidRPr="00A24EF9">
              <w:rPr>
                <w:rFonts w:ascii="Arial Narrow" w:hAnsi="Arial Narrow"/>
                <w:sz w:val="20"/>
                <w:szCs w:val="20"/>
              </w:rPr>
              <w:t>4,781</w:t>
            </w:r>
          </w:p>
        </w:tc>
      </w:tr>
      <w:tr w:rsidR="00FE5E44" w:rsidRPr="00F83DF9" w14:paraId="6344460E" w14:textId="77777777" w:rsidTr="00E42871">
        <w:tc>
          <w:tcPr>
            <w:tcW w:w="323" w:type="pct"/>
          </w:tcPr>
          <w:p w14:paraId="1DE5A0EF" w14:textId="77777777" w:rsidR="000E482F" w:rsidRPr="00F83DF9" w:rsidRDefault="000E482F" w:rsidP="004C79C1">
            <w:pPr>
              <w:spacing w:after="120" w:line="240" w:lineRule="auto"/>
              <w:rPr>
                <w:rFonts w:ascii="Arial Narrow" w:hAnsi="Arial Narrow"/>
                <w:b/>
                <w:sz w:val="20"/>
                <w:szCs w:val="20"/>
              </w:rPr>
            </w:pPr>
            <w:r w:rsidRPr="00F83DF9">
              <w:rPr>
                <w:rFonts w:ascii="Arial Narrow" w:hAnsi="Arial Narrow"/>
                <w:b/>
                <w:sz w:val="20"/>
                <w:szCs w:val="20"/>
              </w:rPr>
              <w:t>G</w:t>
            </w:r>
          </w:p>
        </w:tc>
        <w:tc>
          <w:tcPr>
            <w:tcW w:w="2002" w:type="pct"/>
          </w:tcPr>
          <w:p w14:paraId="0D5BB4F0" w14:textId="77777777" w:rsidR="000E482F" w:rsidRPr="00F83DF9" w:rsidRDefault="000E482F" w:rsidP="004C79C1">
            <w:pPr>
              <w:spacing w:after="120" w:line="240" w:lineRule="auto"/>
              <w:rPr>
                <w:rFonts w:ascii="Arial Narrow" w:hAnsi="Arial Narrow"/>
                <w:b/>
                <w:sz w:val="20"/>
                <w:szCs w:val="20"/>
              </w:rPr>
            </w:pPr>
            <w:r w:rsidRPr="00F83DF9">
              <w:rPr>
                <w:rFonts w:ascii="Arial Narrow" w:hAnsi="Arial Narrow"/>
                <w:b/>
                <w:sz w:val="20"/>
                <w:szCs w:val="20"/>
              </w:rPr>
              <w:t>Total number of tests eligible for diagnostic clarification</w:t>
            </w:r>
            <w:r w:rsidRPr="00E42871">
              <w:rPr>
                <w:rFonts w:ascii="Arial Narrow" w:hAnsi="Arial Narrow"/>
                <w:b/>
                <w:sz w:val="20"/>
                <w:szCs w:val="20"/>
              </w:rPr>
              <w:t xml:space="preserve"> (75%*E)</w:t>
            </w:r>
          </w:p>
        </w:tc>
        <w:tc>
          <w:tcPr>
            <w:tcW w:w="541" w:type="pct"/>
          </w:tcPr>
          <w:p w14:paraId="123912F0" w14:textId="77777777" w:rsidR="000E482F" w:rsidRPr="00F83DF9" w:rsidRDefault="000E482F" w:rsidP="004C79C1">
            <w:pPr>
              <w:spacing w:after="120" w:line="240" w:lineRule="auto"/>
              <w:jc w:val="right"/>
              <w:rPr>
                <w:rFonts w:ascii="Arial Narrow" w:hAnsi="Arial Narrow"/>
                <w:b/>
                <w:sz w:val="20"/>
                <w:szCs w:val="20"/>
              </w:rPr>
            </w:pPr>
            <w:r w:rsidRPr="00F83DF9">
              <w:rPr>
                <w:rFonts w:ascii="Arial Narrow" w:hAnsi="Arial Narrow"/>
                <w:b/>
                <w:sz w:val="20"/>
                <w:szCs w:val="20"/>
              </w:rPr>
              <w:t>3,338</w:t>
            </w:r>
          </w:p>
        </w:tc>
        <w:tc>
          <w:tcPr>
            <w:tcW w:w="541" w:type="pct"/>
          </w:tcPr>
          <w:p w14:paraId="32983A0F" w14:textId="77777777" w:rsidR="000E482F" w:rsidRPr="00F83DF9" w:rsidRDefault="000E482F" w:rsidP="004C79C1">
            <w:pPr>
              <w:spacing w:after="120" w:line="240" w:lineRule="auto"/>
              <w:jc w:val="right"/>
              <w:rPr>
                <w:rFonts w:ascii="Arial Narrow" w:hAnsi="Arial Narrow"/>
                <w:b/>
                <w:sz w:val="20"/>
                <w:szCs w:val="20"/>
              </w:rPr>
            </w:pPr>
            <w:r w:rsidRPr="00F83DF9">
              <w:rPr>
                <w:rFonts w:ascii="Arial Narrow" w:hAnsi="Arial Narrow"/>
                <w:b/>
                <w:sz w:val="20"/>
                <w:szCs w:val="20"/>
              </w:rPr>
              <w:t>3,395</w:t>
            </w:r>
          </w:p>
        </w:tc>
        <w:tc>
          <w:tcPr>
            <w:tcW w:w="543" w:type="pct"/>
          </w:tcPr>
          <w:p w14:paraId="14F8261F" w14:textId="77777777" w:rsidR="000E482F" w:rsidRPr="00F83DF9" w:rsidRDefault="000E482F" w:rsidP="004C79C1">
            <w:pPr>
              <w:spacing w:after="120" w:line="240" w:lineRule="auto"/>
              <w:jc w:val="right"/>
              <w:rPr>
                <w:rFonts w:ascii="Arial Narrow" w:hAnsi="Arial Narrow"/>
                <w:b/>
                <w:sz w:val="20"/>
                <w:szCs w:val="20"/>
              </w:rPr>
            </w:pPr>
            <w:r w:rsidRPr="00F83DF9">
              <w:rPr>
                <w:rFonts w:ascii="Arial Narrow" w:hAnsi="Arial Narrow"/>
                <w:b/>
                <w:sz w:val="20"/>
                <w:szCs w:val="20"/>
              </w:rPr>
              <w:t>3,451</w:t>
            </w:r>
          </w:p>
        </w:tc>
        <w:tc>
          <w:tcPr>
            <w:tcW w:w="542" w:type="pct"/>
          </w:tcPr>
          <w:p w14:paraId="0EDB307B" w14:textId="77777777" w:rsidR="000E482F" w:rsidRPr="00F83DF9" w:rsidRDefault="000E482F" w:rsidP="004C79C1">
            <w:pPr>
              <w:spacing w:after="120" w:line="240" w:lineRule="auto"/>
              <w:jc w:val="right"/>
              <w:rPr>
                <w:rFonts w:ascii="Arial Narrow" w:hAnsi="Arial Narrow"/>
                <w:b/>
                <w:sz w:val="20"/>
                <w:szCs w:val="20"/>
              </w:rPr>
            </w:pPr>
            <w:r w:rsidRPr="00F83DF9">
              <w:rPr>
                <w:rFonts w:ascii="Arial Narrow" w:hAnsi="Arial Narrow"/>
                <w:b/>
                <w:sz w:val="20"/>
                <w:szCs w:val="20"/>
              </w:rPr>
              <w:t>3,507</w:t>
            </w:r>
          </w:p>
        </w:tc>
        <w:tc>
          <w:tcPr>
            <w:tcW w:w="507" w:type="pct"/>
          </w:tcPr>
          <w:p w14:paraId="09DFA186" w14:textId="77777777" w:rsidR="000E482F" w:rsidRPr="00F83DF9" w:rsidRDefault="000E482F" w:rsidP="004C79C1">
            <w:pPr>
              <w:spacing w:after="120" w:line="240" w:lineRule="auto"/>
              <w:jc w:val="right"/>
              <w:rPr>
                <w:rFonts w:ascii="Arial Narrow" w:hAnsi="Arial Narrow"/>
                <w:b/>
                <w:sz w:val="20"/>
                <w:szCs w:val="20"/>
              </w:rPr>
            </w:pPr>
            <w:r w:rsidRPr="00F83DF9">
              <w:rPr>
                <w:rFonts w:ascii="Arial Narrow" w:hAnsi="Arial Narrow"/>
                <w:b/>
                <w:sz w:val="20"/>
                <w:szCs w:val="20"/>
              </w:rPr>
              <w:t>3,562</w:t>
            </w:r>
          </w:p>
        </w:tc>
      </w:tr>
    </w:tbl>
    <w:p w14:paraId="4D405FA7" w14:textId="44265C3B" w:rsidR="000E482F" w:rsidRPr="00E42871" w:rsidRDefault="000E482F" w:rsidP="004C79C1">
      <w:pPr>
        <w:widowControl w:val="0"/>
        <w:spacing w:after="120" w:line="240" w:lineRule="auto"/>
        <w:jc w:val="both"/>
        <w:rPr>
          <w:rFonts w:ascii="Arial Narrow" w:hAnsi="Arial Narrow" w:cs="Arial"/>
          <w:snapToGrid w:val="0"/>
          <w:sz w:val="20"/>
          <w:szCs w:val="20"/>
          <w:lang w:eastAsia="en-US"/>
        </w:rPr>
      </w:pPr>
      <w:r w:rsidRPr="00E42871">
        <w:rPr>
          <w:rFonts w:ascii="Arial Narrow" w:hAnsi="Arial Narrow" w:cs="Arial"/>
          <w:snapToGrid w:val="0"/>
          <w:sz w:val="20"/>
          <w:szCs w:val="20"/>
          <w:lang w:eastAsia="en-US"/>
        </w:rPr>
        <w:t xml:space="preserve">CMR = cardiac magnetic resonance </w:t>
      </w:r>
      <w:r w:rsidR="00A24213">
        <w:rPr>
          <w:rFonts w:ascii="Arial Narrow" w:hAnsi="Arial Narrow" w:cs="Arial"/>
          <w:snapToGrid w:val="0"/>
          <w:sz w:val="20"/>
          <w:szCs w:val="20"/>
          <w:lang w:eastAsia="en-US"/>
        </w:rPr>
        <w:t>(</w:t>
      </w:r>
      <w:r w:rsidRPr="00E42871">
        <w:rPr>
          <w:rFonts w:ascii="Arial Narrow" w:hAnsi="Arial Narrow" w:cs="Arial"/>
          <w:snapToGrid w:val="0"/>
          <w:sz w:val="20"/>
          <w:szCs w:val="20"/>
          <w:lang w:eastAsia="en-US"/>
        </w:rPr>
        <w:t>imaging</w:t>
      </w:r>
      <w:r w:rsidR="00A24213">
        <w:rPr>
          <w:rFonts w:ascii="Arial Narrow" w:hAnsi="Arial Narrow" w:cs="Arial"/>
          <w:snapToGrid w:val="0"/>
          <w:sz w:val="20"/>
          <w:szCs w:val="20"/>
          <w:lang w:eastAsia="en-US"/>
        </w:rPr>
        <w:t>)</w:t>
      </w:r>
      <w:r w:rsidRPr="00E42871">
        <w:rPr>
          <w:rFonts w:ascii="Arial Narrow" w:hAnsi="Arial Narrow" w:cs="Arial"/>
          <w:snapToGrid w:val="0"/>
          <w:sz w:val="20"/>
          <w:szCs w:val="20"/>
          <w:lang w:eastAsia="en-US"/>
        </w:rPr>
        <w:t>; DCM = dilated cardiomyopathy</w:t>
      </w:r>
    </w:p>
    <w:p w14:paraId="39A257F8" w14:textId="1592DA87" w:rsidR="000E482F" w:rsidRDefault="000E482F" w:rsidP="00161B88">
      <w:pPr>
        <w:pStyle w:val="Heading4"/>
        <w:numPr>
          <w:ilvl w:val="0"/>
          <w:numId w:val="69"/>
        </w:numPr>
      </w:pPr>
      <w:r>
        <w:t>Estimation of additional familial cases eligible for CMR test (</w:t>
      </w:r>
      <w:r w:rsidR="005563F2">
        <w:t>p</w:t>
      </w:r>
      <w:r>
        <w:t>opulation iii)</w:t>
      </w:r>
    </w:p>
    <w:p w14:paraId="241597D1" w14:textId="02B7E822" w:rsidR="000E482F" w:rsidRDefault="000E482F" w:rsidP="004C79C1">
      <w:pPr>
        <w:spacing w:after="120" w:line="240" w:lineRule="auto"/>
        <w:jc w:val="both"/>
      </w:pPr>
      <w:r>
        <w:t>Feedback from clinical expert</w:t>
      </w:r>
      <w:r w:rsidR="001879E3">
        <w:t>s</w:t>
      </w:r>
      <w:r>
        <w:t xml:space="preserve"> suggested that</w:t>
      </w:r>
      <w:r w:rsidR="001879E3">
        <w:t>,</w:t>
      </w:r>
      <w:r>
        <w:t xml:space="preserve"> for every index case of DCM, approximately </w:t>
      </w:r>
      <w:r w:rsidR="00B66947">
        <w:t>four or five</w:t>
      </w:r>
      <w:r>
        <w:t xml:space="preserve"> family members undergo DCM screening. The annual incidence rate of DCM in the screened members is around 5%, out of which approximately 40</w:t>
      </w:r>
      <w:r w:rsidR="001879E3">
        <w:t>–</w:t>
      </w:r>
      <w:r>
        <w:t>50% will require diagnostic clarification using CMR, due to indeterminate results on other clinical tests</w:t>
      </w:r>
      <w:r>
        <w:rPr>
          <w:rStyle w:val="FootnoteReference"/>
        </w:rPr>
        <w:footnoteReference w:id="18"/>
      </w:r>
      <w:r w:rsidR="001879E3">
        <w:t>.</w:t>
      </w:r>
      <w:r w:rsidRPr="000F5CBD">
        <w:t xml:space="preserve"> </w:t>
      </w:r>
      <w:r w:rsidR="00E42871">
        <w:fldChar w:fldCharType="begin"/>
      </w:r>
      <w:r w:rsidR="00E42871">
        <w:instrText xml:space="preserve"> REF _Ref445111628 \h </w:instrText>
      </w:r>
      <w:r w:rsidR="00E42871">
        <w:fldChar w:fldCharType="separate"/>
      </w:r>
      <w:r w:rsidR="00E42871" w:rsidRPr="00F811A1">
        <w:t xml:space="preserve">Table </w:t>
      </w:r>
      <w:r w:rsidR="00E42871">
        <w:rPr>
          <w:noProof/>
        </w:rPr>
        <w:t>61</w:t>
      </w:r>
      <w:r w:rsidR="00E42871">
        <w:fldChar w:fldCharType="end"/>
      </w:r>
      <w:r w:rsidR="00181B08">
        <w:t xml:space="preserve"> </w:t>
      </w:r>
      <w:r>
        <w:t xml:space="preserve">estimates the small additional number of patients identified through screening of family members that would become candidates for CMR. </w:t>
      </w:r>
      <w:r w:rsidRPr="00655815">
        <w:t>Due to family history</w:t>
      </w:r>
      <w:r w:rsidR="001879E3">
        <w:t>,</w:t>
      </w:r>
      <w:r w:rsidRPr="00655815">
        <w:t xml:space="preserve"> </w:t>
      </w:r>
      <w:r>
        <w:t xml:space="preserve">it is assumed </w:t>
      </w:r>
      <w:r w:rsidR="001879E3">
        <w:t xml:space="preserve">that </w:t>
      </w:r>
      <w:r w:rsidRPr="00655815">
        <w:t xml:space="preserve">uptake of CMR </w:t>
      </w:r>
      <w:r>
        <w:t xml:space="preserve">would </w:t>
      </w:r>
      <w:r w:rsidRPr="00655815">
        <w:t>be 100% in this group of patients.</w:t>
      </w:r>
    </w:p>
    <w:p w14:paraId="6B6DF4C8" w14:textId="52EB25E3" w:rsidR="000E482F" w:rsidRDefault="000E482F" w:rsidP="004C79C1">
      <w:pPr>
        <w:pStyle w:val="Caption"/>
        <w:keepNext/>
      </w:pPr>
      <w:bookmarkStart w:id="680" w:name="_Ref445111628"/>
      <w:bookmarkStart w:id="681" w:name="_Toc449555021"/>
      <w:bookmarkStart w:id="682" w:name="_Toc324410232"/>
      <w:bookmarkStart w:id="683" w:name="_Toc451435388"/>
      <w:r w:rsidRPr="00F811A1">
        <w:t xml:space="preserve">Table </w:t>
      </w:r>
      <w:fldSimple w:instr=" SEQ Table \* ARABIC ">
        <w:r w:rsidR="00E42871">
          <w:rPr>
            <w:noProof/>
          </w:rPr>
          <w:t>61</w:t>
        </w:r>
      </w:fldSimple>
      <w:bookmarkEnd w:id="680"/>
      <w:r>
        <w:tab/>
        <w:t xml:space="preserve">Projected number </w:t>
      </w:r>
      <w:r w:rsidRPr="0063349B">
        <w:t>of</w:t>
      </w:r>
      <w:r>
        <w:t xml:space="preserve"> incident</w:t>
      </w:r>
      <w:r w:rsidRPr="0063349B">
        <w:t xml:space="preserve"> familial</w:t>
      </w:r>
      <w:r>
        <w:t xml:space="preserve"> DCM</w:t>
      </w:r>
      <w:r w:rsidRPr="0063349B">
        <w:t xml:space="preserve"> cases eligible for </w:t>
      </w:r>
      <w:r>
        <w:t xml:space="preserve">CMR </w:t>
      </w:r>
      <w:r w:rsidRPr="0063349B">
        <w:t>test</w:t>
      </w:r>
      <w:r>
        <w:t>ing</w:t>
      </w:r>
      <w:bookmarkEnd w:id="681"/>
      <w:bookmarkEnd w:id="682"/>
      <w:bookmarkEnd w:id="683"/>
    </w:p>
    <w:tbl>
      <w:tblPr>
        <w:tblStyle w:val="TableGrid"/>
        <w:tblW w:w="4945" w:type="pct"/>
        <w:tblLayout w:type="fixed"/>
        <w:tblLook w:val="04A0" w:firstRow="1" w:lastRow="0" w:firstColumn="1" w:lastColumn="0" w:noHBand="0" w:noVBand="1"/>
        <w:tblDescription w:val="Projected number of incident familial DCM cases eligible for CMR testing"/>
      </w:tblPr>
      <w:tblGrid>
        <w:gridCol w:w="578"/>
        <w:gridCol w:w="4047"/>
        <w:gridCol w:w="870"/>
        <w:gridCol w:w="901"/>
        <w:gridCol w:w="941"/>
        <w:gridCol w:w="951"/>
        <w:gridCol w:w="852"/>
      </w:tblGrid>
      <w:tr w:rsidR="00FE5E44" w14:paraId="518EB980" w14:textId="77777777" w:rsidTr="00E42871">
        <w:trPr>
          <w:tblHeader/>
        </w:trPr>
        <w:tc>
          <w:tcPr>
            <w:tcW w:w="316" w:type="pct"/>
          </w:tcPr>
          <w:p w14:paraId="74547DE9" w14:textId="77777777" w:rsidR="000E482F" w:rsidRDefault="000E482F" w:rsidP="004C79C1">
            <w:pPr>
              <w:pStyle w:val="TableHeading"/>
              <w:spacing w:before="0" w:after="120"/>
              <w:ind w:left="0" w:firstLine="0"/>
            </w:pPr>
            <w:r>
              <w:t>Row</w:t>
            </w:r>
          </w:p>
        </w:tc>
        <w:tc>
          <w:tcPr>
            <w:tcW w:w="2214" w:type="pct"/>
          </w:tcPr>
          <w:p w14:paraId="686F4B27" w14:textId="77777777" w:rsidR="000E482F" w:rsidRDefault="000E482F" w:rsidP="004C79C1">
            <w:pPr>
              <w:pStyle w:val="TableHeading"/>
              <w:spacing w:before="0" w:after="120"/>
              <w:ind w:left="0" w:right="-126" w:firstLine="0"/>
            </w:pPr>
          </w:p>
        </w:tc>
        <w:tc>
          <w:tcPr>
            <w:tcW w:w="476" w:type="pct"/>
          </w:tcPr>
          <w:p w14:paraId="10A30C95" w14:textId="64511686" w:rsidR="000E482F" w:rsidRDefault="000E482F" w:rsidP="004C79C1">
            <w:pPr>
              <w:pStyle w:val="TableHeading"/>
              <w:spacing w:before="0" w:after="120"/>
              <w:ind w:left="0" w:right="-126" w:firstLine="0"/>
            </w:pPr>
            <w:r>
              <w:t>2016</w:t>
            </w:r>
            <w:r w:rsidR="00912D3E">
              <w:t>–</w:t>
            </w:r>
            <w:r>
              <w:t>17</w:t>
            </w:r>
          </w:p>
        </w:tc>
        <w:tc>
          <w:tcPr>
            <w:tcW w:w="493" w:type="pct"/>
          </w:tcPr>
          <w:p w14:paraId="5A267BCE" w14:textId="15D9F909" w:rsidR="000E482F" w:rsidRDefault="000E482F" w:rsidP="004C79C1">
            <w:pPr>
              <w:pStyle w:val="TableHeading"/>
              <w:spacing w:before="0" w:after="120"/>
              <w:ind w:left="0" w:right="-126" w:firstLine="0"/>
            </w:pPr>
            <w:r>
              <w:t>2017</w:t>
            </w:r>
            <w:r w:rsidR="00912D3E">
              <w:t>–</w:t>
            </w:r>
            <w:r>
              <w:t>18</w:t>
            </w:r>
          </w:p>
        </w:tc>
        <w:tc>
          <w:tcPr>
            <w:tcW w:w="515" w:type="pct"/>
          </w:tcPr>
          <w:p w14:paraId="11687936" w14:textId="66339D64" w:rsidR="000E482F" w:rsidRDefault="000E482F" w:rsidP="004C79C1">
            <w:pPr>
              <w:pStyle w:val="TableHeading"/>
              <w:spacing w:before="0" w:after="120"/>
              <w:ind w:left="0" w:right="-126" w:firstLine="0"/>
            </w:pPr>
            <w:r>
              <w:t>2018</w:t>
            </w:r>
            <w:r w:rsidR="00912D3E">
              <w:t>–</w:t>
            </w:r>
            <w:r>
              <w:t>19</w:t>
            </w:r>
          </w:p>
        </w:tc>
        <w:tc>
          <w:tcPr>
            <w:tcW w:w="520" w:type="pct"/>
          </w:tcPr>
          <w:p w14:paraId="6FFECB41" w14:textId="6529FE56" w:rsidR="000E482F" w:rsidRDefault="000E482F" w:rsidP="004C79C1">
            <w:pPr>
              <w:pStyle w:val="TableHeading"/>
              <w:spacing w:before="0" w:after="120"/>
              <w:ind w:left="0" w:right="-126" w:firstLine="0"/>
            </w:pPr>
            <w:r>
              <w:t>2019</w:t>
            </w:r>
            <w:r w:rsidR="00912D3E">
              <w:t>–</w:t>
            </w:r>
            <w:r>
              <w:t>20</w:t>
            </w:r>
          </w:p>
        </w:tc>
        <w:tc>
          <w:tcPr>
            <w:tcW w:w="466" w:type="pct"/>
          </w:tcPr>
          <w:p w14:paraId="1CC87720" w14:textId="170F107F" w:rsidR="000E482F" w:rsidRDefault="000E482F" w:rsidP="004C79C1">
            <w:pPr>
              <w:pStyle w:val="TableHeading"/>
              <w:spacing w:before="0" w:after="120"/>
              <w:ind w:left="0" w:right="-126" w:firstLine="0"/>
            </w:pPr>
            <w:r>
              <w:t>2020</w:t>
            </w:r>
            <w:r w:rsidR="00912D3E">
              <w:t>–</w:t>
            </w:r>
            <w:r>
              <w:t>21</w:t>
            </w:r>
          </w:p>
        </w:tc>
      </w:tr>
      <w:tr w:rsidR="00FE5E44" w14:paraId="0462930C" w14:textId="77777777" w:rsidTr="00E42871">
        <w:tc>
          <w:tcPr>
            <w:tcW w:w="316" w:type="pct"/>
          </w:tcPr>
          <w:p w14:paraId="6B6F4A26" w14:textId="77777777" w:rsidR="000E482F" w:rsidRDefault="000E482F" w:rsidP="004C79C1">
            <w:pPr>
              <w:pStyle w:val="Tabletext1"/>
              <w:spacing w:before="0" w:after="120"/>
            </w:pPr>
            <w:r>
              <w:t>C</w:t>
            </w:r>
          </w:p>
        </w:tc>
        <w:tc>
          <w:tcPr>
            <w:tcW w:w="2214" w:type="pct"/>
          </w:tcPr>
          <w:p w14:paraId="277C8E2A" w14:textId="77777777" w:rsidR="000E482F" w:rsidRDefault="000E482F" w:rsidP="004C79C1">
            <w:pPr>
              <w:pStyle w:val="Tabletext1"/>
              <w:spacing w:before="0" w:after="120"/>
              <w:ind w:right="-126"/>
            </w:pPr>
            <w:r>
              <w:t xml:space="preserve">Number of incident cases of </w:t>
            </w:r>
            <w:r w:rsidRPr="00E35296">
              <w:rPr>
                <w:i/>
              </w:rPr>
              <w:t>primary</w:t>
            </w:r>
            <w:r>
              <w:t xml:space="preserve"> DCM </w:t>
            </w:r>
          </w:p>
        </w:tc>
        <w:tc>
          <w:tcPr>
            <w:tcW w:w="476" w:type="pct"/>
          </w:tcPr>
          <w:p w14:paraId="7066AC8F" w14:textId="77777777" w:rsidR="000E482F" w:rsidRDefault="000E482F" w:rsidP="004C79C1">
            <w:pPr>
              <w:pStyle w:val="Tabletext1"/>
              <w:spacing w:before="0" w:after="120"/>
              <w:jc w:val="right"/>
            </w:pPr>
            <w:r w:rsidRPr="006B2718">
              <w:t>1</w:t>
            </w:r>
            <w:r>
              <w:t>,</w:t>
            </w:r>
            <w:r w:rsidRPr="006B2718">
              <w:t>344</w:t>
            </w:r>
          </w:p>
        </w:tc>
        <w:tc>
          <w:tcPr>
            <w:tcW w:w="493" w:type="pct"/>
          </w:tcPr>
          <w:p w14:paraId="2DF6D8D8" w14:textId="77777777" w:rsidR="000E482F" w:rsidRDefault="000E482F" w:rsidP="004C79C1">
            <w:pPr>
              <w:pStyle w:val="Tabletext1"/>
              <w:spacing w:before="0" w:after="120"/>
              <w:jc w:val="right"/>
            </w:pPr>
            <w:r w:rsidRPr="006B2718">
              <w:t>1</w:t>
            </w:r>
            <w:r>
              <w:t>,</w:t>
            </w:r>
            <w:r w:rsidRPr="006B2718">
              <w:t>367</w:t>
            </w:r>
          </w:p>
        </w:tc>
        <w:tc>
          <w:tcPr>
            <w:tcW w:w="515" w:type="pct"/>
          </w:tcPr>
          <w:p w14:paraId="71E9A9B6" w14:textId="77777777" w:rsidR="000E482F" w:rsidRDefault="000E482F" w:rsidP="004C79C1">
            <w:pPr>
              <w:pStyle w:val="Tabletext1"/>
              <w:spacing w:before="0" w:after="120"/>
              <w:jc w:val="right"/>
            </w:pPr>
            <w:r w:rsidRPr="006B2718">
              <w:t>1</w:t>
            </w:r>
            <w:r>
              <w:t>,</w:t>
            </w:r>
            <w:r w:rsidRPr="006B2718">
              <w:t>390</w:t>
            </w:r>
          </w:p>
        </w:tc>
        <w:tc>
          <w:tcPr>
            <w:tcW w:w="520" w:type="pct"/>
          </w:tcPr>
          <w:p w14:paraId="2C20A3C1" w14:textId="77777777" w:rsidR="000E482F" w:rsidRDefault="000E482F" w:rsidP="004C79C1">
            <w:pPr>
              <w:pStyle w:val="Tabletext1"/>
              <w:spacing w:before="0" w:after="120"/>
              <w:jc w:val="right"/>
            </w:pPr>
            <w:r w:rsidRPr="006B2718">
              <w:t>1</w:t>
            </w:r>
            <w:r>
              <w:t>,</w:t>
            </w:r>
            <w:r w:rsidRPr="006B2718">
              <w:t>412</w:t>
            </w:r>
          </w:p>
        </w:tc>
        <w:tc>
          <w:tcPr>
            <w:tcW w:w="466" w:type="pct"/>
          </w:tcPr>
          <w:p w14:paraId="7B36E7AB" w14:textId="77777777" w:rsidR="000E482F" w:rsidRDefault="000E482F" w:rsidP="004C79C1">
            <w:pPr>
              <w:pStyle w:val="Tabletext1"/>
              <w:spacing w:before="0" w:after="120"/>
              <w:jc w:val="right"/>
            </w:pPr>
            <w:r w:rsidRPr="006B2718">
              <w:t>1</w:t>
            </w:r>
            <w:r>
              <w:t>,</w:t>
            </w:r>
            <w:r w:rsidRPr="006B2718">
              <w:t>434</w:t>
            </w:r>
          </w:p>
        </w:tc>
      </w:tr>
      <w:tr w:rsidR="00FE5E44" w14:paraId="3C8E1204" w14:textId="77777777" w:rsidTr="00E42871">
        <w:tc>
          <w:tcPr>
            <w:tcW w:w="316" w:type="pct"/>
          </w:tcPr>
          <w:p w14:paraId="54AFD3A7" w14:textId="77777777" w:rsidR="000E482F" w:rsidRDefault="000E482F" w:rsidP="004C79C1">
            <w:pPr>
              <w:pStyle w:val="Tabletext1"/>
              <w:spacing w:before="0" w:after="120"/>
            </w:pPr>
            <w:r>
              <w:t>H</w:t>
            </w:r>
          </w:p>
        </w:tc>
        <w:tc>
          <w:tcPr>
            <w:tcW w:w="2214" w:type="pct"/>
          </w:tcPr>
          <w:p w14:paraId="78579285" w14:textId="77777777" w:rsidR="000E482F" w:rsidRDefault="000E482F" w:rsidP="004C79C1">
            <w:pPr>
              <w:pStyle w:val="Tabletext1"/>
              <w:spacing w:before="0" w:after="120"/>
              <w:ind w:right="-126"/>
            </w:pPr>
            <w:r>
              <w:t>Number of family members screened (without using CMR) = C*4</w:t>
            </w:r>
          </w:p>
        </w:tc>
        <w:tc>
          <w:tcPr>
            <w:tcW w:w="476" w:type="pct"/>
          </w:tcPr>
          <w:p w14:paraId="529CE4E3" w14:textId="77777777" w:rsidR="000E482F" w:rsidRDefault="000E482F" w:rsidP="004C79C1">
            <w:pPr>
              <w:pStyle w:val="Tabletext1"/>
              <w:spacing w:before="0" w:after="120"/>
              <w:jc w:val="right"/>
            </w:pPr>
            <w:r w:rsidRPr="0017502F">
              <w:t>5</w:t>
            </w:r>
            <w:r>
              <w:t>,</w:t>
            </w:r>
            <w:r w:rsidRPr="0017502F">
              <w:t>377</w:t>
            </w:r>
          </w:p>
        </w:tc>
        <w:tc>
          <w:tcPr>
            <w:tcW w:w="493" w:type="pct"/>
          </w:tcPr>
          <w:p w14:paraId="6805B9F2" w14:textId="77777777" w:rsidR="000E482F" w:rsidRDefault="000E482F" w:rsidP="004C79C1">
            <w:pPr>
              <w:pStyle w:val="Tabletext1"/>
              <w:spacing w:before="0" w:after="120"/>
              <w:jc w:val="right"/>
            </w:pPr>
            <w:r w:rsidRPr="0017502F">
              <w:t>5</w:t>
            </w:r>
            <w:r>
              <w:t>,</w:t>
            </w:r>
            <w:r w:rsidRPr="0017502F">
              <w:t>468</w:t>
            </w:r>
          </w:p>
        </w:tc>
        <w:tc>
          <w:tcPr>
            <w:tcW w:w="515" w:type="pct"/>
          </w:tcPr>
          <w:p w14:paraId="3EBB5ED1" w14:textId="77777777" w:rsidR="000E482F" w:rsidRDefault="000E482F" w:rsidP="004C79C1">
            <w:pPr>
              <w:pStyle w:val="Tabletext1"/>
              <w:spacing w:before="0" w:after="120"/>
              <w:jc w:val="right"/>
            </w:pPr>
            <w:r w:rsidRPr="0017502F">
              <w:t>5</w:t>
            </w:r>
            <w:r>
              <w:t>,</w:t>
            </w:r>
            <w:r w:rsidRPr="0017502F">
              <w:t>559</w:t>
            </w:r>
          </w:p>
        </w:tc>
        <w:tc>
          <w:tcPr>
            <w:tcW w:w="520" w:type="pct"/>
          </w:tcPr>
          <w:p w14:paraId="353152F7" w14:textId="77777777" w:rsidR="000E482F" w:rsidRDefault="000E482F" w:rsidP="004C79C1">
            <w:pPr>
              <w:pStyle w:val="Tabletext1"/>
              <w:spacing w:before="0" w:after="120"/>
              <w:jc w:val="right"/>
            </w:pPr>
            <w:r w:rsidRPr="0017502F">
              <w:t>5</w:t>
            </w:r>
            <w:r>
              <w:t>,</w:t>
            </w:r>
            <w:r w:rsidRPr="0017502F">
              <w:t>649</w:t>
            </w:r>
          </w:p>
        </w:tc>
        <w:tc>
          <w:tcPr>
            <w:tcW w:w="466" w:type="pct"/>
          </w:tcPr>
          <w:p w14:paraId="40489BCE" w14:textId="77777777" w:rsidR="000E482F" w:rsidRDefault="000E482F" w:rsidP="004C79C1">
            <w:pPr>
              <w:pStyle w:val="Tabletext1"/>
              <w:spacing w:before="0" w:after="120"/>
              <w:jc w:val="right"/>
            </w:pPr>
            <w:r w:rsidRPr="0017502F">
              <w:t>5</w:t>
            </w:r>
            <w:r>
              <w:t>,</w:t>
            </w:r>
            <w:r w:rsidRPr="0017502F">
              <w:t>738</w:t>
            </w:r>
          </w:p>
        </w:tc>
      </w:tr>
      <w:tr w:rsidR="00FE5E44" w:rsidRPr="0024769A" w14:paraId="1A107054" w14:textId="77777777" w:rsidTr="00E42871">
        <w:tc>
          <w:tcPr>
            <w:tcW w:w="316" w:type="pct"/>
          </w:tcPr>
          <w:p w14:paraId="3155F7AC" w14:textId="77777777" w:rsidR="000E482F" w:rsidRDefault="000E482F" w:rsidP="004C79C1">
            <w:pPr>
              <w:pStyle w:val="Tabletext1"/>
              <w:spacing w:before="0" w:after="120"/>
            </w:pPr>
            <w:r>
              <w:t>I</w:t>
            </w:r>
          </w:p>
        </w:tc>
        <w:tc>
          <w:tcPr>
            <w:tcW w:w="2214" w:type="pct"/>
          </w:tcPr>
          <w:p w14:paraId="4A0B619E" w14:textId="77777777" w:rsidR="000E482F" w:rsidRDefault="000E482F" w:rsidP="004C79C1">
            <w:pPr>
              <w:pStyle w:val="Tabletext1"/>
              <w:spacing w:before="0" w:after="120"/>
              <w:ind w:right="-126"/>
            </w:pPr>
            <w:r>
              <w:t>Number of incident cases of familial DCM identified by screening (= H*5%)</w:t>
            </w:r>
          </w:p>
        </w:tc>
        <w:tc>
          <w:tcPr>
            <w:tcW w:w="476" w:type="pct"/>
          </w:tcPr>
          <w:p w14:paraId="31ACC5F6" w14:textId="77777777" w:rsidR="000E482F" w:rsidRPr="002F3FDD" w:rsidRDefault="000E482F" w:rsidP="004C79C1">
            <w:pPr>
              <w:pStyle w:val="Tabletext1"/>
              <w:spacing w:before="0" w:after="120"/>
              <w:jc w:val="right"/>
            </w:pPr>
            <w:r w:rsidRPr="0017502F">
              <w:t>269</w:t>
            </w:r>
          </w:p>
        </w:tc>
        <w:tc>
          <w:tcPr>
            <w:tcW w:w="493" w:type="pct"/>
          </w:tcPr>
          <w:p w14:paraId="4C3346DB" w14:textId="77777777" w:rsidR="000E482F" w:rsidRPr="002F3FDD" w:rsidRDefault="000E482F" w:rsidP="004C79C1">
            <w:pPr>
              <w:pStyle w:val="Tabletext1"/>
              <w:spacing w:before="0" w:after="120"/>
              <w:jc w:val="right"/>
            </w:pPr>
            <w:r w:rsidRPr="0017502F">
              <w:t>273</w:t>
            </w:r>
          </w:p>
        </w:tc>
        <w:tc>
          <w:tcPr>
            <w:tcW w:w="515" w:type="pct"/>
          </w:tcPr>
          <w:p w14:paraId="66322D40" w14:textId="77777777" w:rsidR="000E482F" w:rsidRPr="002F3FDD" w:rsidRDefault="000E482F" w:rsidP="004C79C1">
            <w:pPr>
              <w:pStyle w:val="Tabletext1"/>
              <w:spacing w:before="0" w:after="120"/>
              <w:jc w:val="right"/>
            </w:pPr>
            <w:r w:rsidRPr="0017502F">
              <w:t>278</w:t>
            </w:r>
          </w:p>
        </w:tc>
        <w:tc>
          <w:tcPr>
            <w:tcW w:w="520" w:type="pct"/>
          </w:tcPr>
          <w:p w14:paraId="2DFEED75" w14:textId="77777777" w:rsidR="000E482F" w:rsidRPr="002F3FDD" w:rsidRDefault="000E482F" w:rsidP="004C79C1">
            <w:pPr>
              <w:pStyle w:val="Tabletext1"/>
              <w:spacing w:before="0" w:after="120"/>
              <w:jc w:val="right"/>
            </w:pPr>
            <w:r w:rsidRPr="0017502F">
              <w:t>282</w:t>
            </w:r>
          </w:p>
        </w:tc>
        <w:tc>
          <w:tcPr>
            <w:tcW w:w="466" w:type="pct"/>
          </w:tcPr>
          <w:p w14:paraId="27E868FD" w14:textId="77777777" w:rsidR="000E482F" w:rsidRPr="002F3FDD" w:rsidRDefault="000E482F" w:rsidP="004C79C1">
            <w:pPr>
              <w:pStyle w:val="Tabletext1"/>
              <w:spacing w:before="0" w:after="120"/>
              <w:jc w:val="right"/>
            </w:pPr>
            <w:r w:rsidRPr="0017502F">
              <w:t>287</w:t>
            </w:r>
          </w:p>
        </w:tc>
      </w:tr>
      <w:tr w:rsidR="00FE5E44" w:rsidRPr="0024769A" w14:paraId="494C1E2B" w14:textId="77777777" w:rsidTr="00E42871">
        <w:tc>
          <w:tcPr>
            <w:tcW w:w="316" w:type="pct"/>
          </w:tcPr>
          <w:p w14:paraId="03B205C2" w14:textId="77777777" w:rsidR="000E482F" w:rsidRDefault="000E482F" w:rsidP="004C79C1">
            <w:pPr>
              <w:pStyle w:val="Tabletext1"/>
              <w:spacing w:before="0" w:after="120"/>
            </w:pPr>
            <w:r>
              <w:t>J</w:t>
            </w:r>
          </w:p>
        </w:tc>
        <w:tc>
          <w:tcPr>
            <w:tcW w:w="2214" w:type="pct"/>
          </w:tcPr>
          <w:p w14:paraId="5F93A2A4" w14:textId="77777777" w:rsidR="000E482F" w:rsidRDefault="000E482F" w:rsidP="004C79C1">
            <w:pPr>
              <w:pStyle w:val="Tabletext1"/>
              <w:spacing w:before="0" w:after="120"/>
              <w:ind w:right="-126"/>
            </w:pPr>
            <w:r w:rsidRPr="00E36C53">
              <w:rPr>
                <w:b/>
              </w:rPr>
              <w:t>Number of eligible tests in familial cases</w:t>
            </w:r>
            <w:r>
              <w:t xml:space="preserve"> (I*40%)</w:t>
            </w:r>
          </w:p>
        </w:tc>
        <w:tc>
          <w:tcPr>
            <w:tcW w:w="476" w:type="pct"/>
          </w:tcPr>
          <w:p w14:paraId="3DD34C23" w14:textId="77777777" w:rsidR="000E482F" w:rsidRPr="00E36C53" w:rsidRDefault="000E482F" w:rsidP="004C79C1">
            <w:pPr>
              <w:pStyle w:val="Tabletext1"/>
              <w:spacing w:before="0" w:after="120"/>
              <w:jc w:val="right"/>
              <w:rPr>
                <w:b/>
              </w:rPr>
            </w:pPr>
            <w:r w:rsidRPr="00E36C53">
              <w:rPr>
                <w:b/>
              </w:rPr>
              <w:t>108</w:t>
            </w:r>
          </w:p>
        </w:tc>
        <w:tc>
          <w:tcPr>
            <w:tcW w:w="493" w:type="pct"/>
          </w:tcPr>
          <w:p w14:paraId="6E1CBD65" w14:textId="77777777" w:rsidR="000E482F" w:rsidRPr="00E36C53" w:rsidRDefault="000E482F" w:rsidP="004C79C1">
            <w:pPr>
              <w:pStyle w:val="Tabletext1"/>
              <w:spacing w:before="0" w:after="120"/>
              <w:jc w:val="right"/>
              <w:rPr>
                <w:b/>
              </w:rPr>
            </w:pPr>
            <w:r w:rsidRPr="00E36C53">
              <w:rPr>
                <w:b/>
              </w:rPr>
              <w:t>109</w:t>
            </w:r>
          </w:p>
        </w:tc>
        <w:tc>
          <w:tcPr>
            <w:tcW w:w="515" w:type="pct"/>
          </w:tcPr>
          <w:p w14:paraId="5F9AADFF" w14:textId="77777777" w:rsidR="000E482F" w:rsidRPr="00E36C53" w:rsidRDefault="000E482F" w:rsidP="004C79C1">
            <w:pPr>
              <w:pStyle w:val="Tabletext1"/>
              <w:spacing w:before="0" w:after="120"/>
              <w:jc w:val="right"/>
              <w:rPr>
                <w:b/>
              </w:rPr>
            </w:pPr>
            <w:r w:rsidRPr="00E36C53">
              <w:rPr>
                <w:b/>
              </w:rPr>
              <w:t>111</w:t>
            </w:r>
          </w:p>
        </w:tc>
        <w:tc>
          <w:tcPr>
            <w:tcW w:w="520" w:type="pct"/>
          </w:tcPr>
          <w:p w14:paraId="4C11F577" w14:textId="77777777" w:rsidR="000E482F" w:rsidRPr="00E36C53" w:rsidRDefault="000E482F" w:rsidP="004C79C1">
            <w:pPr>
              <w:pStyle w:val="Tabletext1"/>
              <w:spacing w:before="0" w:after="120"/>
              <w:jc w:val="right"/>
              <w:rPr>
                <w:b/>
              </w:rPr>
            </w:pPr>
            <w:r w:rsidRPr="00E36C53">
              <w:rPr>
                <w:b/>
              </w:rPr>
              <w:t>113</w:t>
            </w:r>
          </w:p>
        </w:tc>
        <w:tc>
          <w:tcPr>
            <w:tcW w:w="466" w:type="pct"/>
          </w:tcPr>
          <w:p w14:paraId="6802AA4C" w14:textId="77777777" w:rsidR="000E482F" w:rsidRPr="00E36C53" w:rsidRDefault="000E482F" w:rsidP="004C79C1">
            <w:pPr>
              <w:pStyle w:val="Tabletext1"/>
              <w:spacing w:before="0" w:after="120"/>
              <w:jc w:val="right"/>
              <w:rPr>
                <w:b/>
              </w:rPr>
            </w:pPr>
            <w:r w:rsidRPr="00E36C53">
              <w:rPr>
                <w:b/>
              </w:rPr>
              <w:t>115</w:t>
            </w:r>
          </w:p>
        </w:tc>
      </w:tr>
    </w:tbl>
    <w:p w14:paraId="082E3B6E" w14:textId="1FD0748E" w:rsidR="000E482F" w:rsidRDefault="000E482F" w:rsidP="004C79C1">
      <w:pPr>
        <w:pStyle w:val="Tablenotes0"/>
        <w:spacing w:before="0" w:after="120"/>
      </w:pPr>
      <w:r>
        <w:t xml:space="preserve">CMR = cardiac magnetic resonance </w:t>
      </w:r>
      <w:r w:rsidR="00A24213">
        <w:t>(</w:t>
      </w:r>
      <w:r>
        <w:t>imaging</w:t>
      </w:r>
      <w:r w:rsidR="00A24213">
        <w:t>)</w:t>
      </w:r>
      <w:r>
        <w:t>; DCM = dilated cardiomyopathy</w:t>
      </w:r>
    </w:p>
    <w:p w14:paraId="70AA9C56" w14:textId="77777777" w:rsidR="000E482F" w:rsidRDefault="000E482F" w:rsidP="00161B88">
      <w:pPr>
        <w:pStyle w:val="Heading3"/>
      </w:pPr>
      <w:bookmarkStart w:id="684" w:name="_Toc451501395"/>
      <w:r>
        <w:t>Total estimated usage of CMR</w:t>
      </w:r>
      <w:bookmarkEnd w:id="684"/>
    </w:p>
    <w:p w14:paraId="5C3C83FB" w14:textId="24DA6C77" w:rsidR="000E482F" w:rsidRDefault="000E482F" w:rsidP="004C79C1">
      <w:pPr>
        <w:spacing w:after="120" w:line="240" w:lineRule="auto"/>
        <w:jc w:val="both"/>
      </w:pPr>
      <w:r>
        <w:t xml:space="preserve">Based on the sum of </w:t>
      </w:r>
      <w:r w:rsidR="004D3DAE">
        <w:t xml:space="preserve">the </w:t>
      </w:r>
      <w:r>
        <w:t>three patient groups identified above, t</w:t>
      </w:r>
      <w:r w:rsidRPr="002E7BC8">
        <w:t xml:space="preserve">he </w:t>
      </w:r>
      <w:r>
        <w:t xml:space="preserve">total </w:t>
      </w:r>
      <w:r w:rsidRPr="002E7BC8">
        <w:t xml:space="preserve">estimated number of services eligible and utilised with the introduction of CMR for </w:t>
      </w:r>
      <w:r>
        <w:t>DCM</w:t>
      </w:r>
      <w:r w:rsidRPr="002E7BC8">
        <w:t xml:space="preserve"> is presented in</w:t>
      </w:r>
      <w:r>
        <w:t xml:space="preserve"> </w:t>
      </w:r>
      <w:r w:rsidR="00E42871">
        <w:rPr>
          <w:lang w:eastAsia="en-US"/>
        </w:rPr>
        <w:fldChar w:fldCharType="begin"/>
      </w:r>
      <w:r w:rsidR="00E42871">
        <w:rPr>
          <w:lang w:eastAsia="en-US"/>
        </w:rPr>
        <w:instrText xml:space="preserve"> REF _Ref444694364 \h </w:instrText>
      </w:r>
      <w:r w:rsidR="00E42871">
        <w:rPr>
          <w:lang w:eastAsia="en-US"/>
        </w:rPr>
      </w:r>
      <w:r w:rsidR="00E42871">
        <w:rPr>
          <w:lang w:eastAsia="en-US"/>
        </w:rPr>
        <w:fldChar w:fldCharType="separate"/>
      </w:r>
      <w:r w:rsidR="00E42871">
        <w:t xml:space="preserve">Table </w:t>
      </w:r>
      <w:r w:rsidR="00E42871">
        <w:rPr>
          <w:noProof/>
        </w:rPr>
        <w:t>62</w:t>
      </w:r>
      <w:r w:rsidR="00E42871">
        <w:rPr>
          <w:lang w:eastAsia="en-US"/>
        </w:rPr>
        <w:fldChar w:fldCharType="end"/>
      </w:r>
      <w:r>
        <w:rPr>
          <w:lang w:eastAsia="en-US"/>
        </w:rPr>
        <w:t>.</w:t>
      </w:r>
    </w:p>
    <w:p w14:paraId="18A00E06" w14:textId="7B74C4B3" w:rsidR="000E482F" w:rsidRDefault="000E482F" w:rsidP="004C79C1">
      <w:pPr>
        <w:pStyle w:val="Caption"/>
        <w:keepNext/>
      </w:pPr>
      <w:bookmarkStart w:id="685" w:name="_Ref444694364"/>
      <w:bookmarkStart w:id="686" w:name="_Toc449555022"/>
      <w:bookmarkStart w:id="687" w:name="_Toc324410233"/>
      <w:bookmarkStart w:id="688" w:name="_Toc451435389"/>
      <w:r>
        <w:lastRenderedPageBreak/>
        <w:t xml:space="preserve">Table </w:t>
      </w:r>
      <w:fldSimple w:instr=" SEQ Table \* ARABIC ">
        <w:r w:rsidR="00050936">
          <w:rPr>
            <w:noProof/>
          </w:rPr>
          <w:t>62</w:t>
        </w:r>
      </w:fldSimple>
      <w:bookmarkEnd w:id="685"/>
      <w:r>
        <w:rPr>
          <w:noProof/>
        </w:rPr>
        <w:tab/>
      </w:r>
      <w:r>
        <w:t>Estimation of the number of total CMR tests performed in DCM</w:t>
      </w:r>
      <w:bookmarkEnd w:id="686"/>
      <w:bookmarkEnd w:id="687"/>
      <w:bookmarkEnd w:id="688"/>
    </w:p>
    <w:tbl>
      <w:tblPr>
        <w:tblStyle w:val="TableGrid"/>
        <w:tblW w:w="5157" w:type="pct"/>
        <w:tblLook w:val="04A0" w:firstRow="1" w:lastRow="0" w:firstColumn="1" w:lastColumn="0" w:noHBand="0" w:noVBand="1"/>
        <w:tblCaption w:val="Estimation of the number of total CMR tests performed in DCM"/>
      </w:tblPr>
      <w:tblGrid>
        <w:gridCol w:w="582"/>
        <w:gridCol w:w="4065"/>
        <w:gridCol w:w="989"/>
        <w:gridCol w:w="989"/>
        <w:gridCol w:w="995"/>
        <w:gridCol w:w="989"/>
        <w:gridCol w:w="923"/>
      </w:tblGrid>
      <w:tr w:rsidR="00DD49AC" w14:paraId="6D2B79FA" w14:textId="77777777" w:rsidTr="00E42871">
        <w:trPr>
          <w:tblHeader/>
        </w:trPr>
        <w:tc>
          <w:tcPr>
            <w:tcW w:w="305" w:type="pct"/>
          </w:tcPr>
          <w:p w14:paraId="4F46CDDA" w14:textId="77777777" w:rsidR="000E482F" w:rsidRDefault="000E482F" w:rsidP="004C79C1">
            <w:pPr>
              <w:pStyle w:val="TableHeading"/>
              <w:spacing w:before="0" w:after="120"/>
            </w:pPr>
            <w:r>
              <w:t>Row</w:t>
            </w:r>
          </w:p>
        </w:tc>
        <w:tc>
          <w:tcPr>
            <w:tcW w:w="2132" w:type="pct"/>
          </w:tcPr>
          <w:p w14:paraId="6A53FD95" w14:textId="77777777" w:rsidR="000E482F" w:rsidRDefault="000E482F" w:rsidP="004C79C1">
            <w:pPr>
              <w:pStyle w:val="TableHeading"/>
              <w:spacing w:before="0" w:after="120"/>
            </w:pPr>
          </w:p>
        </w:tc>
        <w:tc>
          <w:tcPr>
            <w:tcW w:w="519" w:type="pct"/>
          </w:tcPr>
          <w:p w14:paraId="333431B8" w14:textId="6A7FC83A" w:rsidR="000E482F" w:rsidRDefault="000E482F" w:rsidP="004C79C1">
            <w:pPr>
              <w:pStyle w:val="TableHeading"/>
              <w:spacing w:before="0" w:after="120"/>
              <w:jc w:val="center"/>
            </w:pPr>
            <w:r>
              <w:t>2016</w:t>
            </w:r>
            <w:r w:rsidR="00DD49AC">
              <w:t>–</w:t>
            </w:r>
            <w:r>
              <w:t>17</w:t>
            </w:r>
          </w:p>
        </w:tc>
        <w:tc>
          <w:tcPr>
            <w:tcW w:w="519" w:type="pct"/>
          </w:tcPr>
          <w:p w14:paraId="74642B98" w14:textId="43313F59" w:rsidR="000E482F" w:rsidRDefault="000E482F" w:rsidP="004C79C1">
            <w:pPr>
              <w:pStyle w:val="TableHeading"/>
              <w:spacing w:before="0" w:after="120"/>
              <w:jc w:val="center"/>
            </w:pPr>
            <w:r>
              <w:t>2017</w:t>
            </w:r>
            <w:r w:rsidR="00DD49AC">
              <w:t>–</w:t>
            </w:r>
            <w:r>
              <w:t>18</w:t>
            </w:r>
          </w:p>
        </w:tc>
        <w:tc>
          <w:tcPr>
            <w:tcW w:w="522" w:type="pct"/>
          </w:tcPr>
          <w:p w14:paraId="41E9588F" w14:textId="535810D9" w:rsidR="000E482F" w:rsidRDefault="000E482F" w:rsidP="004C79C1">
            <w:pPr>
              <w:pStyle w:val="TableHeading"/>
              <w:spacing w:before="0" w:after="120"/>
              <w:jc w:val="center"/>
            </w:pPr>
            <w:r>
              <w:t>2018</w:t>
            </w:r>
            <w:r w:rsidR="00DD49AC">
              <w:t>–</w:t>
            </w:r>
            <w:r>
              <w:t>19</w:t>
            </w:r>
          </w:p>
        </w:tc>
        <w:tc>
          <w:tcPr>
            <w:tcW w:w="519" w:type="pct"/>
          </w:tcPr>
          <w:p w14:paraId="2FF746FC" w14:textId="748B34AA" w:rsidR="000E482F" w:rsidRDefault="000E482F" w:rsidP="004C79C1">
            <w:pPr>
              <w:pStyle w:val="TableHeading"/>
              <w:spacing w:before="0" w:after="120"/>
              <w:jc w:val="center"/>
            </w:pPr>
            <w:r>
              <w:t>2019</w:t>
            </w:r>
            <w:r w:rsidR="00DD49AC">
              <w:t>–</w:t>
            </w:r>
            <w:r>
              <w:t>20</w:t>
            </w:r>
          </w:p>
        </w:tc>
        <w:tc>
          <w:tcPr>
            <w:tcW w:w="484" w:type="pct"/>
          </w:tcPr>
          <w:p w14:paraId="3C6AEDA4" w14:textId="1B7043D0" w:rsidR="000E482F" w:rsidRDefault="000E482F" w:rsidP="004C79C1">
            <w:pPr>
              <w:pStyle w:val="TableHeading"/>
              <w:spacing w:before="0" w:after="120"/>
              <w:jc w:val="center"/>
            </w:pPr>
            <w:r>
              <w:t>2020</w:t>
            </w:r>
            <w:r w:rsidR="00DD49AC">
              <w:t>–</w:t>
            </w:r>
            <w:r>
              <w:t>21</w:t>
            </w:r>
          </w:p>
        </w:tc>
      </w:tr>
      <w:tr w:rsidR="00DD49AC" w:rsidRPr="007D7665" w14:paraId="373D0BA7" w14:textId="77777777" w:rsidTr="00E42871">
        <w:tc>
          <w:tcPr>
            <w:tcW w:w="305" w:type="pct"/>
          </w:tcPr>
          <w:p w14:paraId="37F35E03" w14:textId="77777777" w:rsidR="000E482F" w:rsidRPr="007D7665" w:rsidRDefault="000E482F" w:rsidP="004C79C1">
            <w:pPr>
              <w:pStyle w:val="Tabletext1"/>
              <w:spacing w:before="0" w:after="120"/>
            </w:pPr>
            <w:r w:rsidRPr="007D7665">
              <w:t>F</w:t>
            </w:r>
          </w:p>
        </w:tc>
        <w:tc>
          <w:tcPr>
            <w:tcW w:w="2132" w:type="pct"/>
          </w:tcPr>
          <w:p w14:paraId="0E6A6C0A" w14:textId="344D2BFA" w:rsidR="000E482F" w:rsidRPr="007D7665" w:rsidRDefault="000E482F" w:rsidP="004C79C1">
            <w:pPr>
              <w:pStyle w:val="Tabletext1"/>
              <w:spacing w:before="0" w:after="120"/>
            </w:pPr>
            <w:r w:rsidRPr="007D7665">
              <w:t>Number of symptomatic patients with indeterminate echocardiogram results requiring CMR (</w:t>
            </w:r>
            <w:r w:rsidR="00DD49AC">
              <w:t>p</w:t>
            </w:r>
            <w:r w:rsidRPr="007D7665">
              <w:t>opulation i)</w:t>
            </w:r>
          </w:p>
        </w:tc>
        <w:tc>
          <w:tcPr>
            <w:tcW w:w="519" w:type="pct"/>
          </w:tcPr>
          <w:p w14:paraId="23BF7208" w14:textId="77777777" w:rsidR="000E482F" w:rsidRPr="007D7665" w:rsidRDefault="000E482F" w:rsidP="004C79C1">
            <w:pPr>
              <w:pStyle w:val="Tabletext1"/>
              <w:spacing w:before="0" w:after="120"/>
              <w:jc w:val="right"/>
            </w:pPr>
            <w:r w:rsidRPr="007D7665">
              <w:t>640</w:t>
            </w:r>
          </w:p>
        </w:tc>
        <w:tc>
          <w:tcPr>
            <w:tcW w:w="519" w:type="pct"/>
          </w:tcPr>
          <w:p w14:paraId="028671CE" w14:textId="77777777" w:rsidR="000E482F" w:rsidRPr="007D7665" w:rsidRDefault="000E482F" w:rsidP="004C79C1">
            <w:pPr>
              <w:pStyle w:val="Tabletext1"/>
              <w:spacing w:before="0" w:after="120"/>
              <w:jc w:val="right"/>
            </w:pPr>
            <w:r w:rsidRPr="007D7665">
              <w:t>651</w:t>
            </w:r>
          </w:p>
        </w:tc>
        <w:tc>
          <w:tcPr>
            <w:tcW w:w="522" w:type="pct"/>
          </w:tcPr>
          <w:p w14:paraId="7AC89797" w14:textId="77777777" w:rsidR="000E482F" w:rsidRPr="007D7665" w:rsidRDefault="000E482F" w:rsidP="004C79C1">
            <w:pPr>
              <w:pStyle w:val="Tabletext1"/>
              <w:spacing w:before="0" w:after="120"/>
              <w:jc w:val="right"/>
            </w:pPr>
            <w:r w:rsidRPr="007D7665">
              <w:t>662</w:t>
            </w:r>
          </w:p>
        </w:tc>
        <w:tc>
          <w:tcPr>
            <w:tcW w:w="519" w:type="pct"/>
          </w:tcPr>
          <w:p w14:paraId="7C6C7F0E" w14:textId="77777777" w:rsidR="000E482F" w:rsidRPr="007D7665" w:rsidRDefault="000E482F" w:rsidP="004C79C1">
            <w:pPr>
              <w:pStyle w:val="Tabletext1"/>
              <w:spacing w:before="0" w:after="120"/>
              <w:jc w:val="right"/>
            </w:pPr>
            <w:r w:rsidRPr="007D7665">
              <w:t>672</w:t>
            </w:r>
          </w:p>
        </w:tc>
        <w:tc>
          <w:tcPr>
            <w:tcW w:w="484" w:type="pct"/>
          </w:tcPr>
          <w:p w14:paraId="69532EF3" w14:textId="77777777" w:rsidR="000E482F" w:rsidRPr="007D7665" w:rsidRDefault="000E482F" w:rsidP="004C79C1">
            <w:pPr>
              <w:pStyle w:val="Tabletext1"/>
              <w:spacing w:before="0" w:after="120"/>
              <w:jc w:val="right"/>
            </w:pPr>
            <w:r w:rsidRPr="007D7665">
              <w:t>683</w:t>
            </w:r>
          </w:p>
        </w:tc>
      </w:tr>
      <w:tr w:rsidR="00DD49AC" w14:paraId="79C56E21" w14:textId="77777777" w:rsidTr="00E42871">
        <w:tc>
          <w:tcPr>
            <w:tcW w:w="305" w:type="pct"/>
          </w:tcPr>
          <w:p w14:paraId="3BF4C44F" w14:textId="77777777" w:rsidR="000E482F" w:rsidRDefault="000E482F" w:rsidP="004C79C1">
            <w:pPr>
              <w:pStyle w:val="Tabletext1"/>
              <w:spacing w:before="0" w:after="120"/>
            </w:pPr>
            <w:r>
              <w:t>G</w:t>
            </w:r>
          </w:p>
        </w:tc>
        <w:tc>
          <w:tcPr>
            <w:tcW w:w="2132" w:type="pct"/>
          </w:tcPr>
          <w:p w14:paraId="381BDED8" w14:textId="5E8F1F3F" w:rsidR="000E482F" w:rsidRDefault="000E482F" w:rsidP="004C79C1">
            <w:pPr>
              <w:pStyle w:val="Tabletext1"/>
              <w:spacing w:before="0" w:after="120"/>
            </w:pPr>
            <w:r>
              <w:t>Number of CMRs taken up for further diagnostic clarification of DCM (</w:t>
            </w:r>
            <w:r w:rsidR="00DD49AC">
              <w:t>p</w:t>
            </w:r>
            <w:r>
              <w:t>opulation ii)</w:t>
            </w:r>
          </w:p>
        </w:tc>
        <w:tc>
          <w:tcPr>
            <w:tcW w:w="519" w:type="pct"/>
          </w:tcPr>
          <w:p w14:paraId="2040DDA3" w14:textId="77777777" w:rsidR="000E482F" w:rsidRPr="00B907B6" w:rsidRDefault="000E482F" w:rsidP="004C79C1">
            <w:pPr>
              <w:pStyle w:val="Tabletext1"/>
              <w:spacing w:before="0" w:after="120"/>
              <w:jc w:val="right"/>
              <w:rPr>
                <w:bCs/>
                <w:color w:val="000000"/>
              </w:rPr>
            </w:pPr>
            <w:r w:rsidRPr="00B907B6">
              <w:t>3,338</w:t>
            </w:r>
          </w:p>
        </w:tc>
        <w:tc>
          <w:tcPr>
            <w:tcW w:w="519" w:type="pct"/>
          </w:tcPr>
          <w:p w14:paraId="73836F88" w14:textId="77777777" w:rsidR="000E482F" w:rsidRPr="00B907B6" w:rsidRDefault="000E482F" w:rsidP="004C79C1">
            <w:pPr>
              <w:pStyle w:val="Tabletext1"/>
              <w:spacing w:before="0" w:after="120"/>
              <w:jc w:val="right"/>
              <w:rPr>
                <w:bCs/>
                <w:color w:val="000000"/>
              </w:rPr>
            </w:pPr>
            <w:r w:rsidRPr="00B907B6">
              <w:t>3,395</w:t>
            </w:r>
          </w:p>
        </w:tc>
        <w:tc>
          <w:tcPr>
            <w:tcW w:w="522" w:type="pct"/>
          </w:tcPr>
          <w:p w14:paraId="145AB2E3" w14:textId="77777777" w:rsidR="000E482F" w:rsidRPr="00B907B6" w:rsidRDefault="000E482F" w:rsidP="004C79C1">
            <w:pPr>
              <w:pStyle w:val="Tabletext1"/>
              <w:spacing w:before="0" w:after="120"/>
              <w:jc w:val="right"/>
              <w:rPr>
                <w:bCs/>
                <w:color w:val="000000"/>
              </w:rPr>
            </w:pPr>
            <w:r w:rsidRPr="00B907B6">
              <w:t>3,451</w:t>
            </w:r>
          </w:p>
        </w:tc>
        <w:tc>
          <w:tcPr>
            <w:tcW w:w="519" w:type="pct"/>
          </w:tcPr>
          <w:p w14:paraId="768D7951" w14:textId="77777777" w:rsidR="000E482F" w:rsidRPr="00B907B6" w:rsidRDefault="000E482F" w:rsidP="004C79C1">
            <w:pPr>
              <w:pStyle w:val="Tabletext1"/>
              <w:spacing w:before="0" w:after="120"/>
              <w:jc w:val="right"/>
              <w:rPr>
                <w:bCs/>
                <w:color w:val="000000"/>
              </w:rPr>
            </w:pPr>
            <w:r w:rsidRPr="00B907B6">
              <w:t>3,507</w:t>
            </w:r>
          </w:p>
        </w:tc>
        <w:tc>
          <w:tcPr>
            <w:tcW w:w="484" w:type="pct"/>
          </w:tcPr>
          <w:p w14:paraId="2C7403E0" w14:textId="77777777" w:rsidR="000E482F" w:rsidRPr="00B907B6" w:rsidRDefault="000E482F" w:rsidP="004C79C1">
            <w:pPr>
              <w:pStyle w:val="Tabletext1"/>
              <w:spacing w:before="0" w:after="120"/>
              <w:jc w:val="right"/>
              <w:rPr>
                <w:bCs/>
                <w:color w:val="000000"/>
              </w:rPr>
            </w:pPr>
            <w:r w:rsidRPr="00B907B6">
              <w:t>3,562</w:t>
            </w:r>
          </w:p>
        </w:tc>
      </w:tr>
      <w:tr w:rsidR="00DD49AC" w:rsidRPr="0024769A" w14:paraId="7DBAB998" w14:textId="77777777" w:rsidTr="00E42871">
        <w:tc>
          <w:tcPr>
            <w:tcW w:w="305" w:type="pct"/>
          </w:tcPr>
          <w:p w14:paraId="261EEC50" w14:textId="77777777" w:rsidR="000E482F" w:rsidRDefault="000E482F" w:rsidP="004C79C1">
            <w:pPr>
              <w:pStyle w:val="Tabletext1"/>
              <w:spacing w:before="0" w:after="120"/>
            </w:pPr>
            <w:r>
              <w:t>J</w:t>
            </w:r>
          </w:p>
        </w:tc>
        <w:tc>
          <w:tcPr>
            <w:tcW w:w="2132" w:type="pct"/>
          </w:tcPr>
          <w:p w14:paraId="0B5C8A83" w14:textId="587460D2" w:rsidR="000E482F" w:rsidRDefault="000E482F" w:rsidP="004C79C1">
            <w:pPr>
              <w:pStyle w:val="Tabletext1"/>
              <w:spacing w:before="0" w:after="120"/>
            </w:pPr>
            <w:r>
              <w:t>Number of clarifying CMRs in familial cases (</w:t>
            </w:r>
            <w:r w:rsidR="00DD49AC">
              <w:t>p</w:t>
            </w:r>
            <w:r>
              <w:t>opulation iii)</w:t>
            </w:r>
          </w:p>
        </w:tc>
        <w:tc>
          <w:tcPr>
            <w:tcW w:w="519" w:type="pct"/>
          </w:tcPr>
          <w:p w14:paraId="783A8812" w14:textId="77777777" w:rsidR="000E482F" w:rsidRPr="002F3FDD" w:rsidRDefault="000E482F" w:rsidP="004C79C1">
            <w:pPr>
              <w:pStyle w:val="Tabletext1"/>
              <w:spacing w:before="0" w:after="120"/>
              <w:jc w:val="right"/>
            </w:pPr>
            <w:r w:rsidRPr="0017502F">
              <w:t>108</w:t>
            </w:r>
          </w:p>
        </w:tc>
        <w:tc>
          <w:tcPr>
            <w:tcW w:w="519" w:type="pct"/>
          </w:tcPr>
          <w:p w14:paraId="78831B7D" w14:textId="77777777" w:rsidR="000E482F" w:rsidRPr="002F3FDD" w:rsidRDefault="000E482F" w:rsidP="004C79C1">
            <w:pPr>
              <w:pStyle w:val="Tabletext1"/>
              <w:spacing w:before="0" w:after="120"/>
              <w:jc w:val="right"/>
            </w:pPr>
            <w:r w:rsidRPr="0017502F">
              <w:t>109</w:t>
            </w:r>
          </w:p>
        </w:tc>
        <w:tc>
          <w:tcPr>
            <w:tcW w:w="522" w:type="pct"/>
          </w:tcPr>
          <w:p w14:paraId="58C27B7A" w14:textId="77777777" w:rsidR="000E482F" w:rsidRPr="002F3FDD" w:rsidRDefault="000E482F" w:rsidP="004C79C1">
            <w:pPr>
              <w:pStyle w:val="Tabletext1"/>
              <w:spacing w:before="0" w:after="120"/>
              <w:jc w:val="right"/>
            </w:pPr>
            <w:r w:rsidRPr="0017502F">
              <w:t>111</w:t>
            </w:r>
          </w:p>
        </w:tc>
        <w:tc>
          <w:tcPr>
            <w:tcW w:w="519" w:type="pct"/>
          </w:tcPr>
          <w:p w14:paraId="3807D4E8" w14:textId="77777777" w:rsidR="000E482F" w:rsidRPr="002F3FDD" w:rsidRDefault="000E482F" w:rsidP="004C79C1">
            <w:pPr>
              <w:pStyle w:val="Tabletext1"/>
              <w:spacing w:before="0" w:after="120"/>
              <w:jc w:val="right"/>
            </w:pPr>
            <w:r w:rsidRPr="0017502F">
              <w:t>113</w:t>
            </w:r>
          </w:p>
        </w:tc>
        <w:tc>
          <w:tcPr>
            <w:tcW w:w="484" w:type="pct"/>
          </w:tcPr>
          <w:p w14:paraId="1F7F9D1A" w14:textId="77777777" w:rsidR="000E482F" w:rsidRPr="002F3FDD" w:rsidRDefault="000E482F" w:rsidP="004C79C1">
            <w:pPr>
              <w:pStyle w:val="Tabletext1"/>
              <w:spacing w:before="0" w:after="120"/>
              <w:jc w:val="right"/>
            </w:pPr>
            <w:r w:rsidRPr="0017502F">
              <w:t>115</w:t>
            </w:r>
          </w:p>
        </w:tc>
      </w:tr>
      <w:tr w:rsidR="00DD49AC" w:rsidRPr="0024769A" w14:paraId="2951252D" w14:textId="77777777" w:rsidTr="00E42871">
        <w:tc>
          <w:tcPr>
            <w:tcW w:w="305" w:type="pct"/>
          </w:tcPr>
          <w:p w14:paraId="7F6F0389" w14:textId="77777777" w:rsidR="000E482F" w:rsidRPr="00E35296" w:rsidRDefault="000E482F" w:rsidP="004C79C1">
            <w:pPr>
              <w:pStyle w:val="Tabletext1"/>
              <w:spacing w:before="0" w:after="120"/>
            </w:pPr>
            <w:r w:rsidRPr="00E35296">
              <w:t>K</w:t>
            </w:r>
          </w:p>
        </w:tc>
        <w:tc>
          <w:tcPr>
            <w:tcW w:w="2132" w:type="pct"/>
            <w:vAlign w:val="center"/>
          </w:tcPr>
          <w:p w14:paraId="60E7A0C5" w14:textId="77777777" w:rsidR="000E482F" w:rsidRPr="00FA5B21" w:rsidRDefault="000E482F" w:rsidP="004C79C1">
            <w:pPr>
              <w:pStyle w:val="Tabletext1"/>
              <w:spacing w:before="0" w:after="120"/>
              <w:rPr>
                <w:b/>
              </w:rPr>
            </w:pPr>
            <w:r w:rsidRPr="00FA5B21">
              <w:rPr>
                <w:b/>
              </w:rPr>
              <w:t xml:space="preserve">Total </w:t>
            </w:r>
            <w:r>
              <w:rPr>
                <w:b/>
              </w:rPr>
              <w:t>uptake</w:t>
            </w:r>
            <w:r w:rsidRPr="00FA5B21">
              <w:rPr>
                <w:b/>
              </w:rPr>
              <w:t xml:space="preserve"> of CMR </w:t>
            </w:r>
            <w:r w:rsidRPr="00E42871">
              <w:rPr>
                <w:b/>
              </w:rPr>
              <w:t>(F+G+J)</w:t>
            </w:r>
          </w:p>
        </w:tc>
        <w:tc>
          <w:tcPr>
            <w:tcW w:w="519" w:type="pct"/>
            <w:vAlign w:val="center"/>
          </w:tcPr>
          <w:p w14:paraId="310F851A" w14:textId="77777777" w:rsidR="000E482F" w:rsidRPr="00FA5B21" w:rsidRDefault="000E482F" w:rsidP="004C79C1">
            <w:pPr>
              <w:pStyle w:val="Tabletext1"/>
              <w:spacing w:before="0" w:after="120"/>
              <w:jc w:val="right"/>
              <w:rPr>
                <w:b/>
              </w:rPr>
            </w:pPr>
            <w:r>
              <w:rPr>
                <w:b/>
                <w:bCs/>
                <w:color w:val="000000"/>
              </w:rPr>
              <w:t>4,086</w:t>
            </w:r>
          </w:p>
        </w:tc>
        <w:tc>
          <w:tcPr>
            <w:tcW w:w="519" w:type="pct"/>
            <w:vAlign w:val="center"/>
          </w:tcPr>
          <w:p w14:paraId="3B7200A0" w14:textId="77777777" w:rsidR="000E482F" w:rsidRPr="00FA5B21" w:rsidRDefault="000E482F" w:rsidP="004C79C1">
            <w:pPr>
              <w:pStyle w:val="Tabletext1"/>
              <w:spacing w:before="0" w:after="120"/>
              <w:jc w:val="right"/>
              <w:rPr>
                <w:b/>
              </w:rPr>
            </w:pPr>
            <w:r>
              <w:rPr>
                <w:b/>
                <w:bCs/>
                <w:color w:val="000000"/>
              </w:rPr>
              <w:t>4,155</w:t>
            </w:r>
          </w:p>
        </w:tc>
        <w:tc>
          <w:tcPr>
            <w:tcW w:w="522" w:type="pct"/>
            <w:vAlign w:val="center"/>
          </w:tcPr>
          <w:p w14:paraId="1F8ECD39" w14:textId="77777777" w:rsidR="000E482F" w:rsidRPr="00FA5B21" w:rsidRDefault="000E482F" w:rsidP="004C79C1">
            <w:pPr>
              <w:pStyle w:val="Tabletext1"/>
              <w:spacing w:before="0" w:after="120"/>
              <w:jc w:val="right"/>
              <w:rPr>
                <w:b/>
              </w:rPr>
            </w:pPr>
            <w:r>
              <w:rPr>
                <w:b/>
                <w:bCs/>
                <w:color w:val="000000"/>
              </w:rPr>
              <w:t>4,224</w:t>
            </w:r>
          </w:p>
        </w:tc>
        <w:tc>
          <w:tcPr>
            <w:tcW w:w="519" w:type="pct"/>
            <w:vAlign w:val="center"/>
          </w:tcPr>
          <w:p w14:paraId="4463C80B" w14:textId="77777777" w:rsidR="000E482F" w:rsidRPr="00FA5B21" w:rsidRDefault="000E482F" w:rsidP="004C79C1">
            <w:pPr>
              <w:pStyle w:val="Tabletext1"/>
              <w:spacing w:before="0" w:after="120"/>
              <w:jc w:val="right"/>
              <w:rPr>
                <w:b/>
              </w:rPr>
            </w:pPr>
            <w:r>
              <w:rPr>
                <w:b/>
                <w:bCs/>
                <w:color w:val="000000"/>
              </w:rPr>
              <w:t>4,292</w:t>
            </w:r>
          </w:p>
        </w:tc>
        <w:tc>
          <w:tcPr>
            <w:tcW w:w="484" w:type="pct"/>
            <w:vAlign w:val="center"/>
          </w:tcPr>
          <w:p w14:paraId="42FE1AA6" w14:textId="77777777" w:rsidR="000E482F" w:rsidRPr="00FA5B21" w:rsidRDefault="000E482F" w:rsidP="004C79C1">
            <w:pPr>
              <w:pStyle w:val="Tabletext1"/>
              <w:spacing w:before="0" w:after="120"/>
              <w:jc w:val="right"/>
              <w:rPr>
                <w:b/>
              </w:rPr>
            </w:pPr>
            <w:r>
              <w:rPr>
                <w:b/>
                <w:bCs/>
                <w:color w:val="000000"/>
              </w:rPr>
              <w:t>4,360</w:t>
            </w:r>
          </w:p>
        </w:tc>
      </w:tr>
    </w:tbl>
    <w:p w14:paraId="290C0524" w14:textId="3FFCDCD4" w:rsidR="000E482F" w:rsidRDefault="000E482F" w:rsidP="004C79C1">
      <w:pPr>
        <w:pStyle w:val="Tablenotes0"/>
        <w:spacing w:before="0" w:after="120"/>
      </w:pPr>
      <w:r>
        <w:t xml:space="preserve">CMR = cardiac magnetic resonance </w:t>
      </w:r>
      <w:r w:rsidR="00F608D1">
        <w:t>(</w:t>
      </w:r>
      <w:r>
        <w:t>imaging</w:t>
      </w:r>
      <w:r w:rsidR="00F608D1">
        <w:t>)</w:t>
      </w:r>
      <w:r>
        <w:t>; DCM = dilated cardiomyopathy</w:t>
      </w:r>
    </w:p>
    <w:p w14:paraId="4D2E0F18" w14:textId="7159F96F" w:rsidR="000E482F" w:rsidRDefault="000E482F" w:rsidP="004C79C1">
      <w:pPr>
        <w:spacing w:after="120" w:line="240" w:lineRule="auto"/>
        <w:jc w:val="both"/>
      </w:pPr>
      <w:r>
        <w:t xml:space="preserve">These estimates are uncertain. In the Protocol </w:t>
      </w:r>
      <w:r w:rsidR="00B26F76">
        <w:t xml:space="preserve">for </w:t>
      </w:r>
      <w:r w:rsidR="00CE5A01">
        <w:t>MSAC A</w:t>
      </w:r>
      <w:r w:rsidR="00FE2546">
        <w:t xml:space="preserve">pplication no. </w:t>
      </w:r>
      <w:r>
        <w:t xml:space="preserve">1393, PASC suggested that the hospital separations provided by </w:t>
      </w:r>
      <w:r w:rsidR="00EE1A69">
        <w:t xml:space="preserve">the </w:t>
      </w:r>
      <w:r>
        <w:t>Australian Institute of Health and Welfare (AIHW) principal diagnosis data cubes may provide an estimate for the likely utilisation of CMR for investigating DCM (2,118 diagnoses in 2013</w:t>
      </w:r>
      <w:r w:rsidR="00EE1A69">
        <w:t>–</w:t>
      </w:r>
      <w:r>
        <w:t>14)</w:t>
      </w:r>
      <w:r>
        <w:rPr>
          <w:rStyle w:val="FootnoteReference"/>
        </w:rPr>
        <w:footnoteReference w:id="19"/>
      </w:r>
      <w:r w:rsidR="00EE1A69">
        <w:t>.</w:t>
      </w:r>
      <w:r>
        <w:t xml:space="preserve"> However, in further discussion with clinical experts it was suggested </w:t>
      </w:r>
      <w:r w:rsidR="00EE1A69">
        <w:t xml:space="preserve">that </w:t>
      </w:r>
      <w:r>
        <w:t xml:space="preserve">this number may present an underestimate and that the number of CMR tests in the proposed population would likely be higher, around 4,000 per year. This ballpark estimate is consistent with the calculations presented. </w:t>
      </w:r>
    </w:p>
    <w:p w14:paraId="7B05DD76" w14:textId="77777777" w:rsidR="000E482F" w:rsidRPr="00C609C0" w:rsidRDefault="000E482F" w:rsidP="00161B88">
      <w:pPr>
        <w:pStyle w:val="Heading4"/>
      </w:pPr>
      <w:r w:rsidRPr="00C609C0">
        <w:t>Estimated cost of CMR testing</w:t>
      </w:r>
    </w:p>
    <w:p w14:paraId="2B0DFE97" w14:textId="48F996FF" w:rsidR="000E482F" w:rsidRDefault="000E482F" w:rsidP="004C79C1">
      <w:pPr>
        <w:spacing w:after="120" w:line="240" w:lineRule="auto"/>
        <w:jc w:val="both"/>
        <w:rPr>
          <w:lang w:eastAsia="en-US"/>
        </w:rPr>
      </w:pPr>
      <w:r>
        <w:rPr>
          <w:lang w:eastAsia="en-US"/>
        </w:rPr>
        <w:t xml:space="preserve">The proposed MBS item </w:t>
      </w:r>
      <w:r w:rsidR="00926F2D">
        <w:rPr>
          <w:lang w:eastAsia="en-US"/>
        </w:rPr>
        <w:t>s</w:t>
      </w:r>
      <w:r>
        <w:rPr>
          <w:lang w:eastAsia="en-US"/>
        </w:rPr>
        <w:t xml:space="preserve">chedule fee for CMR is $855.20. It is intended </w:t>
      </w:r>
      <w:r w:rsidR="007D7665">
        <w:rPr>
          <w:lang w:eastAsia="en-US"/>
        </w:rPr>
        <w:t xml:space="preserve">that </w:t>
      </w:r>
      <w:r>
        <w:rPr>
          <w:lang w:eastAsia="en-US"/>
        </w:rPr>
        <w:t xml:space="preserve">the proposed item be co-claimed with </w:t>
      </w:r>
      <w:r w:rsidRPr="009258FD">
        <w:t>MBS item 63491</w:t>
      </w:r>
      <w:r w:rsidR="007D7665">
        <w:t>,</w:t>
      </w:r>
      <w:r>
        <w:t xml:space="preserve"> for which the fee is</w:t>
      </w:r>
      <w:r w:rsidRPr="009258FD">
        <w:t xml:space="preserve"> $44.90</w:t>
      </w:r>
      <w:r>
        <w:t xml:space="preserve"> (which covers the cost of administering </w:t>
      </w:r>
      <w:r w:rsidR="007D7665">
        <w:t>the Gd</w:t>
      </w:r>
      <w:r w:rsidR="007D7665" w:rsidRPr="009258FD">
        <w:t xml:space="preserve"> </w:t>
      </w:r>
      <w:r w:rsidRPr="009258FD">
        <w:t>contrast agent)</w:t>
      </w:r>
      <w:r w:rsidR="007D7665">
        <w:t>,</w:t>
      </w:r>
      <w:r>
        <w:t xml:space="preserve"> which is not included in the proposed CMR item fee</w:t>
      </w:r>
      <w:r>
        <w:rPr>
          <w:lang w:eastAsia="en-US"/>
        </w:rPr>
        <w:t>.</w:t>
      </w:r>
    </w:p>
    <w:p w14:paraId="52ECB11C" w14:textId="7871FD84" w:rsidR="000E482F" w:rsidRDefault="000E482F" w:rsidP="004C79C1">
      <w:pPr>
        <w:spacing w:after="120" w:line="240" w:lineRule="auto"/>
        <w:jc w:val="both"/>
      </w:pPr>
      <w:r>
        <w:rPr>
          <w:lang w:eastAsia="en-US"/>
        </w:rPr>
        <w:t xml:space="preserve">The </w:t>
      </w:r>
      <w:r>
        <w:t>majority of comparator tests and current CMR services are assumed to be conducted in an out-of-hospital setting</w:t>
      </w:r>
      <w:r>
        <w:rPr>
          <w:rStyle w:val="FootnoteReference"/>
        </w:rPr>
        <w:footnoteReference w:id="20"/>
      </w:r>
      <w:r w:rsidR="003D1F1E">
        <w:t>,</w:t>
      </w:r>
      <w:r>
        <w:t xml:space="preserve"> where the benefit paid by the MBS is 85%. The total cost to the MBS per service is $765, derived from the cost of the proposed CMR (85% benefit; $726.90) and the associated use of contrast (MBS item 63491, 85% benefit; $38.10).</w:t>
      </w:r>
    </w:p>
    <w:p w14:paraId="5D53593C" w14:textId="53B42250" w:rsidR="000E482F" w:rsidRDefault="000E482F" w:rsidP="004C79C1">
      <w:pPr>
        <w:spacing w:after="120" w:line="240" w:lineRule="auto"/>
        <w:jc w:val="both"/>
      </w:pPr>
      <w:r>
        <w:rPr>
          <w:lang w:eastAsia="en-US"/>
        </w:rPr>
        <w:t xml:space="preserve">The proportion of patients </w:t>
      </w:r>
      <w:r w:rsidR="005F0642">
        <w:rPr>
          <w:lang w:eastAsia="en-US"/>
        </w:rPr>
        <w:t xml:space="preserve">that are </w:t>
      </w:r>
      <w:r>
        <w:rPr>
          <w:lang w:eastAsia="en-US"/>
        </w:rPr>
        <w:t xml:space="preserve">bulk-billed (72.8%) and the patient contribution ($244.36) (including the gap and out-of-pocket costs) for LGE-CMR are </w:t>
      </w:r>
      <w:r w:rsidR="005F0642">
        <w:rPr>
          <w:lang w:eastAsia="en-US"/>
        </w:rPr>
        <w:t xml:space="preserve">estimated </w:t>
      </w:r>
      <w:r>
        <w:rPr>
          <w:lang w:eastAsia="en-US"/>
        </w:rPr>
        <w:t xml:space="preserve">based on data for current MBS services (items </w:t>
      </w:r>
      <w:r w:rsidRPr="00FE3040">
        <w:t>63385, 63388, 63391, 63401 and 63404</w:t>
      </w:r>
      <w:r>
        <w:t xml:space="preserve">) </w:t>
      </w:r>
      <w:r w:rsidR="003D1F1E">
        <w:t xml:space="preserve">for </w:t>
      </w:r>
      <w:r w:rsidR="003D1F1E">
        <w:rPr>
          <w:lang w:eastAsia="en-US"/>
        </w:rPr>
        <w:t xml:space="preserve">CMR </w:t>
      </w:r>
      <w:r w:rsidR="005F0642">
        <w:t xml:space="preserve">in </w:t>
      </w:r>
      <w:r>
        <w:t>2014</w:t>
      </w:r>
      <w:r w:rsidR="005F0642">
        <w:t>–</w:t>
      </w:r>
      <w:r>
        <w:t>15. Therefore, the estimated patient contribution per LGE-CMR test is $66.54</w:t>
      </w:r>
      <w:r>
        <w:rPr>
          <w:rStyle w:val="FootnoteReference"/>
        </w:rPr>
        <w:footnoteReference w:id="21"/>
      </w:r>
      <w:r w:rsidR="005B5465">
        <w:t>,</w:t>
      </w:r>
      <w:r>
        <w:t xml:space="preserve"> and for the </w:t>
      </w:r>
      <w:r w:rsidR="005B5465">
        <w:t xml:space="preserve">Gd </w:t>
      </w:r>
      <w:r>
        <w:t xml:space="preserve">contrast agent is $6.72. The total patient contribution associated with each CMR service is </w:t>
      </w:r>
      <w:r w:rsidR="005B5465">
        <w:t xml:space="preserve">thus </w:t>
      </w:r>
      <w:r>
        <w:t xml:space="preserve">$73.26 ($66.54 + $6.72). The total cost of CMR testing is reported in </w:t>
      </w:r>
      <w:r w:rsidR="00763E07">
        <w:fldChar w:fldCharType="begin"/>
      </w:r>
      <w:r w:rsidR="00763E07">
        <w:instrText xml:space="preserve"> REF _Ref444695499 \h  \* MERGEFORMAT </w:instrText>
      </w:r>
      <w:r w:rsidR="00763E07">
        <w:fldChar w:fldCharType="separate"/>
      </w:r>
      <w:r w:rsidR="00460601">
        <w:t xml:space="preserve">Table </w:t>
      </w:r>
      <w:r w:rsidR="00763E07">
        <w:fldChar w:fldCharType="end"/>
      </w:r>
      <w:r w:rsidR="009806D1">
        <w:t>63</w:t>
      </w:r>
      <w:r w:rsidR="005B5465">
        <w:t>,</w:t>
      </w:r>
      <w:r>
        <w:t xml:space="preserve"> disaggregated by payer (the MBS and the patient). </w:t>
      </w:r>
      <w:r w:rsidRPr="000C254C">
        <w:t>The average total cost of CMR testing per year is estimated to be $3.</w:t>
      </w:r>
      <w:r>
        <w:t>6</w:t>
      </w:r>
      <w:r w:rsidR="005B5465">
        <w:t> </w:t>
      </w:r>
      <w:r w:rsidRPr="000C254C">
        <w:t>million</w:t>
      </w:r>
      <w:r>
        <w:t>.</w:t>
      </w:r>
    </w:p>
    <w:p w14:paraId="6193395F" w14:textId="7A617B29" w:rsidR="000E482F" w:rsidRDefault="000E482F" w:rsidP="004C79C1">
      <w:pPr>
        <w:pStyle w:val="Caption"/>
        <w:keepNext/>
      </w:pPr>
      <w:bookmarkStart w:id="689" w:name="_Ref444695499"/>
      <w:bookmarkStart w:id="690" w:name="_Toc449555023"/>
      <w:bookmarkStart w:id="691" w:name="_Toc324410234"/>
      <w:bookmarkStart w:id="692" w:name="_Toc451435390"/>
      <w:r>
        <w:lastRenderedPageBreak/>
        <w:t xml:space="preserve">Table </w:t>
      </w:r>
      <w:fldSimple w:instr=" SEQ Table \* ARABIC ">
        <w:r w:rsidR="00050936">
          <w:rPr>
            <w:noProof/>
          </w:rPr>
          <w:t>63</w:t>
        </w:r>
      </w:fldSimple>
      <w:bookmarkEnd w:id="689"/>
      <w:r>
        <w:tab/>
      </w:r>
      <w:r w:rsidRPr="00670110">
        <w:t>To</w:t>
      </w:r>
      <w:r>
        <w:t>tal cost of CMR testing for DCM</w:t>
      </w:r>
      <w:bookmarkEnd w:id="690"/>
      <w:bookmarkEnd w:id="691"/>
      <w:bookmarkEnd w:id="692"/>
    </w:p>
    <w:tbl>
      <w:tblPr>
        <w:tblStyle w:val="TableGrid"/>
        <w:tblW w:w="5000" w:type="pct"/>
        <w:tblLook w:val="04A0" w:firstRow="1" w:lastRow="0" w:firstColumn="1" w:lastColumn="0" w:noHBand="0" w:noVBand="1"/>
        <w:tblDescription w:val="Total cost of CMR testing for DCM"/>
      </w:tblPr>
      <w:tblGrid>
        <w:gridCol w:w="3905"/>
        <w:gridCol w:w="1068"/>
        <w:gridCol w:w="1068"/>
        <w:gridCol w:w="1068"/>
        <w:gridCol w:w="1068"/>
        <w:gridCol w:w="1065"/>
      </w:tblGrid>
      <w:tr w:rsidR="000E482F" w14:paraId="0AB1F8B5" w14:textId="77777777" w:rsidTr="00723891">
        <w:trPr>
          <w:tblHeader/>
        </w:trPr>
        <w:tc>
          <w:tcPr>
            <w:tcW w:w="2112" w:type="pct"/>
          </w:tcPr>
          <w:p w14:paraId="680CE4E6" w14:textId="77777777" w:rsidR="000E482F" w:rsidRDefault="000E482F" w:rsidP="004C79C1">
            <w:pPr>
              <w:pStyle w:val="TableHeading"/>
              <w:spacing w:before="0" w:after="120"/>
            </w:pPr>
          </w:p>
        </w:tc>
        <w:tc>
          <w:tcPr>
            <w:tcW w:w="578" w:type="pct"/>
          </w:tcPr>
          <w:p w14:paraId="51B64144" w14:textId="409529DC" w:rsidR="000E482F" w:rsidRDefault="000E482F" w:rsidP="004C79C1">
            <w:pPr>
              <w:pStyle w:val="TableHeading"/>
              <w:spacing w:before="0" w:after="120"/>
              <w:jc w:val="center"/>
            </w:pPr>
            <w:r>
              <w:t>2016</w:t>
            </w:r>
            <w:r w:rsidR="00BC1203">
              <w:t>–</w:t>
            </w:r>
            <w:r>
              <w:t>17</w:t>
            </w:r>
          </w:p>
        </w:tc>
        <w:tc>
          <w:tcPr>
            <w:tcW w:w="578" w:type="pct"/>
          </w:tcPr>
          <w:p w14:paraId="57F2B541" w14:textId="3573ABBF" w:rsidR="000E482F" w:rsidRDefault="000E482F" w:rsidP="004C79C1">
            <w:pPr>
              <w:pStyle w:val="TableHeading"/>
              <w:spacing w:before="0" w:after="120"/>
              <w:jc w:val="center"/>
            </w:pPr>
            <w:r>
              <w:t>2017</w:t>
            </w:r>
            <w:r w:rsidR="00BC1203">
              <w:t>–</w:t>
            </w:r>
            <w:r>
              <w:t>18</w:t>
            </w:r>
          </w:p>
        </w:tc>
        <w:tc>
          <w:tcPr>
            <w:tcW w:w="578" w:type="pct"/>
          </w:tcPr>
          <w:p w14:paraId="15205981" w14:textId="31909B86" w:rsidR="000E482F" w:rsidRDefault="000E482F" w:rsidP="004C79C1">
            <w:pPr>
              <w:pStyle w:val="TableHeading"/>
              <w:spacing w:before="0" w:after="120"/>
              <w:jc w:val="center"/>
            </w:pPr>
            <w:r>
              <w:t>2018</w:t>
            </w:r>
            <w:r w:rsidR="00BC1203">
              <w:t>–</w:t>
            </w:r>
            <w:r>
              <w:t>19</w:t>
            </w:r>
          </w:p>
        </w:tc>
        <w:tc>
          <w:tcPr>
            <w:tcW w:w="578" w:type="pct"/>
          </w:tcPr>
          <w:p w14:paraId="15166A01" w14:textId="13AB350E" w:rsidR="000E482F" w:rsidRDefault="000E482F" w:rsidP="004C79C1">
            <w:pPr>
              <w:pStyle w:val="TableHeading"/>
              <w:spacing w:before="0" w:after="120"/>
              <w:jc w:val="center"/>
            </w:pPr>
            <w:r>
              <w:t>2019</w:t>
            </w:r>
            <w:r w:rsidR="00BC1203">
              <w:t>–</w:t>
            </w:r>
            <w:r>
              <w:t>20</w:t>
            </w:r>
          </w:p>
        </w:tc>
        <w:tc>
          <w:tcPr>
            <w:tcW w:w="576" w:type="pct"/>
          </w:tcPr>
          <w:p w14:paraId="17ED6E6D" w14:textId="2A1F179B" w:rsidR="000E482F" w:rsidRDefault="000E482F" w:rsidP="004C79C1">
            <w:pPr>
              <w:pStyle w:val="TableHeading"/>
              <w:spacing w:before="0" w:after="120"/>
              <w:jc w:val="center"/>
            </w:pPr>
            <w:r>
              <w:t>2020</w:t>
            </w:r>
            <w:r w:rsidR="00BC1203">
              <w:t>–</w:t>
            </w:r>
            <w:r>
              <w:t>21</w:t>
            </w:r>
          </w:p>
        </w:tc>
      </w:tr>
      <w:tr w:rsidR="000E482F" w14:paraId="508F6C5F" w14:textId="77777777" w:rsidTr="00723891">
        <w:tc>
          <w:tcPr>
            <w:tcW w:w="2112" w:type="pct"/>
          </w:tcPr>
          <w:p w14:paraId="689EF891" w14:textId="1302FA96" w:rsidR="000E482F" w:rsidRDefault="000E482F" w:rsidP="004C79C1">
            <w:pPr>
              <w:pStyle w:val="Tabletext1"/>
              <w:spacing w:before="0" w:after="120"/>
            </w:pPr>
            <w:r>
              <w:rPr>
                <w:lang w:eastAsia="en-US"/>
              </w:rPr>
              <w:t>Projected number of CMR tests for DCM (</w:t>
            </w:r>
            <w:r w:rsidR="00BC1203">
              <w:rPr>
                <w:lang w:eastAsia="en-US"/>
              </w:rPr>
              <w:t>r</w:t>
            </w:r>
            <w:r>
              <w:rPr>
                <w:lang w:eastAsia="en-US"/>
              </w:rPr>
              <w:t>ow K)</w:t>
            </w:r>
          </w:p>
        </w:tc>
        <w:tc>
          <w:tcPr>
            <w:tcW w:w="578" w:type="pct"/>
            <w:vAlign w:val="center"/>
          </w:tcPr>
          <w:p w14:paraId="35B2B116" w14:textId="77777777" w:rsidR="000E482F" w:rsidRPr="00CB6719" w:rsidRDefault="000E482F" w:rsidP="004C79C1">
            <w:pPr>
              <w:pStyle w:val="Tabletext1"/>
              <w:spacing w:before="0" w:after="120"/>
              <w:jc w:val="center"/>
            </w:pPr>
            <w:r w:rsidRPr="00CB6719">
              <w:rPr>
                <w:bCs/>
                <w:color w:val="000000"/>
              </w:rPr>
              <w:t>4,086</w:t>
            </w:r>
          </w:p>
        </w:tc>
        <w:tc>
          <w:tcPr>
            <w:tcW w:w="578" w:type="pct"/>
            <w:vAlign w:val="center"/>
          </w:tcPr>
          <w:p w14:paraId="23406DBD" w14:textId="77777777" w:rsidR="000E482F" w:rsidRPr="00CB6719" w:rsidRDefault="000E482F" w:rsidP="004C79C1">
            <w:pPr>
              <w:pStyle w:val="Tabletext1"/>
              <w:spacing w:before="0" w:after="120"/>
              <w:jc w:val="center"/>
            </w:pPr>
            <w:r w:rsidRPr="00CB6719">
              <w:rPr>
                <w:bCs/>
                <w:color w:val="000000"/>
              </w:rPr>
              <w:t>4,155</w:t>
            </w:r>
          </w:p>
        </w:tc>
        <w:tc>
          <w:tcPr>
            <w:tcW w:w="578" w:type="pct"/>
            <w:vAlign w:val="center"/>
          </w:tcPr>
          <w:p w14:paraId="79BEAFD7" w14:textId="77777777" w:rsidR="000E482F" w:rsidRPr="00CB6719" w:rsidRDefault="000E482F" w:rsidP="004C79C1">
            <w:pPr>
              <w:pStyle w:val="Tabletext1"/>
              <w:spacing w:before="0" w:after="120"/>
              <w:jc w:val="center"/>
            </w:pPr>
            <w:r w:rsidRPr="00CB6719">
              <w:rPr>
                <w:bCs/>
                <w:color w:val="000000"/>
              </w:rPr>
              <w:t>4,224</w:t>
            </w:r>
          </w:p>
        </w:tc>
        <w:tc>
          <w:tcPr>
            <w:tcW w:w="578" w:type="pct"/>
            <w:vAlign w:val="center"/>
          </w:tcPr>
          <w:p w14:paraId="236CD68D" w14:textId="77777777" w:rsidR="000E482F" w:rsidRPr="00CB6719" w:rsidRDefault="000E482F" w:rsidP="004C79C1">
            <w:pPr>
              <w:pStyle w:val="Tabletext1"/>
              <w:spacing w:before="0" w:after="120"/>
              <w:jc w:val="center"/>
            </w:pPr>
            <w:r w:rsidRPr="00CB6719">
              <w:rPr>
                <w:bCs/>
                <w:color w:val="000000"/>
              </w:rPr>
              <w:t>4,292</w:t>
            </w:r>
          </w:p>
        </w:tc>
        <w:tc>
          <w:tcPr>
            <w:tcW w:w="576" w:type="pct"/>
            <w:vAlign w:val="center"/>
          </w:tcPr>
          <w:p w14:paraId="216F940D" w14:textId="77777777" w:rsidR="000E482F" w:rsidRPr="00CB6719" w:rsidRDefault="000E482F" w:rsidP="004C79C1">
            <w:pPr>
              <w:pStyle w:val="Tabletext1"/>
              <w:spacing w:before="0" w:after="120"/>
              <w:jc w:val="center"/>
            </w:pPr>
            <w:r w:rsidRPr="00CB6719">
              <w:rPr>
                <w:bCs/>
                <w:color w:val="000000"/>
              </w:rPr>
              <w:t>4,360</w:t>
            </w:r>
          </w:p>
        </w:tc>
      </w:tr>
      <w:tr w:rsidR="000E482F" w:rsidRPr="0024769A" w14:paraId="7CC042DC" w14:textId="77777777" w:rsidTr="00723891">
        <w:tc>
          <w:tcPr>
            <w:tcW w:w="2112" w:type="pct"/>
          </w:tcPr>
          <w:p w14:paraId="293D5473" w14:textId="06B83BE8" w:rsidR="000E482F" w:rsidRDefault="000E482F" w:rsidP="004C79C1">
            <w:pPr>
              <w:pStyle w:val="Tabletext1"/>
              <w:spacing w:before="0" w:after="120"/>
            </w:pPr>
            <w:r>
              <w:rPr>
                <w:lang w:eastAsia="en-US"/>
              </w:rPr>
              <w:t>Cost of CMR and associated items to the MBS ($765 per service)</w:t>
            </w:r>
            <w:r w:rsidR="00F14E0F">
              <w:rPr>
                <w:lang w:eastAsia="en-US"/>
              </w:rPr>
              <w:t xml:space="preserve"> </w:t>
            </w:r>
            <w:r w:rsidRPr="00A50B62">
              <w:rPr>
                <w:vertAlign w:val="superscript"/>
                <w:lang w:eastAsia="en-US"/>
              </w:rPr>
              <w:t>a</w:t>
            </w:r>
          </w:p>
        </w:tc>
        <w:tc>
          <w:tcPr>
            <w:tcW w:w="578" w:type="pct"/>
            <w:vAlign w:val="bottom"/>
          </w:tcPr>
          <w:p w14:paraId="30DD94BF" w14:textId="77777777" w:rsidR="000E482F" w:rsidRPr="00CB6719" w:rsidRDefault="000E482F" w:rsidP="004C79C1">
            <w:pPr>
              <w:pStyle w:val="Tabletext1"/>
              <w:spacing w:before="0" w:after="120"/>
              <w:jc w:val="right"/>
            </w:pPr>
            <w:r w:rsidRPr="00CB6719">
              <w:rPr>
                <w:bCs/>
                <w:color w:val="000000"/>
              </w:rPr>
              <w:t>$3,125,411</w:t>
            </w:r>
          </w:p>
        </w:tc>
        <w:tc>
          <w:tcPr>
            <w:tcW w:w="578" w:type="pct"/>
            <w:vAlign w:val="bottom"/>
          </w:tcPr>
          <w:p w14:paraId="3FA03C7A" w14:textId="77777777" w:rsidR="000E482F" w:rsidRPr="00CB6719" w:rsidRDefault="000E482F" w:rsidP="004C79C1">
            <w:pPr>
              <w:pStyle w:val="Tabletext1"/>
              <w:spacing w:before="0" w:after="120"/>
              <w:jc w:val="right"/>
            </w:pPr>
            <w:r w:rsidRPr="00CB6719">
              <w:rPr>
                <w:bCs/>
                <w:color w:val="000000"/>
              </w:rPr>
              <w:t>$3,178,692</w:t>
            </w:r>
          </w:p>
        </w:tc>
        <w:tc>
          <w:tcPr>
            <w:tcW w:w="578" w:type="pct"/>
            <w:vAlign w:val="bottom"/>
          </w:tcPr>
          <w:p w14:paraId="013CED0A" w14:textId="77777777" w:rsidR="000E482F" w:rsidRPr="00CB6719" w:rsidRDefault="000E482F" w:rsidP="004C79C1">
            <w:pPr>
              <w:pStyle w:val="Tabletext1"/>
              <w:spacing w:before="0" w:after="120"/>
              <w:jc w:val="right"/>
            </w:pPr>
            <w:r w:rsidRPr="00CB6719">
              <w:rPr>
                <w:bCs/>
                <w:color w:val="000000"/>
              </w:rPr>
              <w:t>$3,231,539</w:t>
            </w:r>
          </w:p>
        </w:tc>
        <w:tc>
          <w:tcPr>
            <w:tcW w:w="578" w:type="pct"/>
            <w:vAlign w:val="bottom"/>
          </w:tcPr>
          <w:p w14:paraId="195E4E82" w14:textId="77777777" w:rsidR="000E482F" w:rsidRPr="00CB6719" w:rsidRDefault="000E482F" w:rsidP="004C79C1">
            <w:pPr>
              <w:pStyle w:val="Tabletext1"/>
              <w:spacing w:before="0" w:after="120"/>
              <w:jc w:val="right"/>
            </w:pPr>
            <w:r w:rsidRPr="00CB6719">
              <w:rPr>
                <w:bCs/>
                <w:color w:val="000000"/>
              </w:rPr>
              <w:t>$3,283,585</w:t>
            </w:r>
          </w:p>
        </w:tc>
        <w:tc>
          <w:tcPr>
            <w:tcW w:w="576" w:type="pct"/>
            <w:vAlign w:val="bottom"/>
          </w:tcPr>
          <w:p w14:paraId="51F69BB5" w14:textId="77777777" w:rsidR="000E482F" w:rsidRPr="00CB6719" w:rsidRDefault="000E482F" w:rsidP="004C79C1">
            <w:pPr>
              <w:pStyle w:val="Tabletext1"/>
              <w:spacing w:before="0" w:after="120"/>
              <w:jc w:val="right"/>
            </w:pPr>
            <w:r w:rsidRPr="00CB6719">
              <w:rPr>
                <w:bCs/>
                <w:color w:val="000000"/>
              </w:rPr>
              <w:t>$3,335,423</w:t>
            </w:r>
          </w:p>
        </w:tc>
      </w:tr>
      <w:tr w:rsidR="000E482F" w:rsidRPr="0024769A" w14:paraId="3529416D" w14:textId="77777777" w:rsidTr="00723891">
        <w:tc>
          <w:tcPr>
            <w:tcW w:w="2112" w:type="pct"/>
          </w:tcPr>
          <w:p w14:paraId="76D1DAD2" w14:textId="77777777" w:rsidR="000E482F" w:rsidRDefault="000E482F" w:rsidP="004C79C1">
            <w:pPr>
              <w:pStyle w:val="Tabletext1"/>
              <w:spacing w:before="0" w:after="120"/>
              <w:rPr>
                <w:lang w:eastAsia="en-US"/>
              </w:rPr>
            </w:pPr>
            <w:r>
              <w:rPr>
                <w:lang w:eastAsia="en-US"/>
              </w:rPr>
              <w:t>Cost of CMR and associated items to patients</w:t>
            </w:r>
          </w:p>
          <w:p w14:paraId="6BC48F84" w14:textId="64DEDBD1" w:rsidR="000E482F" w:rsidRPr="00E705A5" w:rsidRDefault="000E482F" w:rsidP="004C79C1">
            <w:pPr>
              <w:pStyle w:val="Tabletext1"/>
              <w:spacing w:before="0" w:after="120"/>
              <w:rPr>
                <w:vertAlign w:val="superscript"/>
              </w:rPr>
            </w:pPr>
            <w:r>
              <w:rPr>
                <w:lang w:eastAsia="en-US"/>
              </w:rPr>
              <w:t>($73.26 per service)</w:t>
            </w:r>
            <w:r w:rsidR="00F14E0F">
              <w:rPr>
                <w:lang w:eastAsia="en-US"/>
              </w:rPr>
              <w:t xml:space="preserve"> </w:t>
            </w:r>
            <w:r>
              <w:rPr>
                <w:vertAlign w:val="superscript"/>
                <w:lang w:eastAsia="en-US"/>
              </w:rPr>
              <w:t>b</w:t>
            </w:r>
          </w:p>
        </w:tc>
        <w:tc>
          <w:tcPr>
            <w:tcW w:w="578" w:type="pct"/>
            <w:vAlign w:val="bottom"/>
          </w:tcPr>
          <w:p w14:paraId="6EC2A413" w14:textId="77777777" w:rsidR="000E482F" w:rsidRPr="00CB6719" w:rsidRDefault="000E482F" w:rsidP="004C79C1">
            <w:pPr>
              <w:pStyle w:val="Tabletext1"/>
              <w:spacing w:before="0" w:after="120"/>
              <w:jc w:val="right"/>
            </w:pPr>
            <w:r w:rsidRPr="00CB6719">
              <w:rPr>
                <w:bCs/>
                <w:color w:val="000000"/>
              </w:rPr>
              <w:t>$299,310</w:t>
            </w:r>
          </w:p>
        </w:tc>
        <w:tc>
          <w:tcPr>
            <w:tcW w:w="578" w:type="pct"/>
            <w:vAlign w:val="bottom"/>
          </w:tcPr>
          <w:p w14:paraId="3C1D671C" w14:textId="77777777" w:rsidR="000E482F" w:rsidRPr="00CB6719" w:rsidRDefault="000E482F" w:rsidP="004C79C1">
            <w:pPr>
              <w:pStyle w:val="Tabletext1"/>
              <w:spacing w:before="0" w:after="120"/>
              <w:jc w:val="right"/>
            </w:pPr>
            <w:r w:rsidRPr="00CB6719">
              <w:rPr>
                <w:bCs/>
                <w:color w:val="000000"/>
              </w:rPr>
              <w:t>$304,412</w:t>
            </w:r>
          </w:p>
        </w:tc>
        <w:tc>
          <w:tcPr>
            <w:tcW w:w="578" w:type="pct"/>
            <w:vAlign w:val="bottom"/>
          </w:tcPr>
          <w:p w14:paraId="4F0980E7" w14:textId="77777777" w:rsidR="000E482F" w:rsidRPr="00CB6719" w:rsidRDefault="000E482F" w:rsidP="004C79C1">
            <w:pPr>
              <w:pStyle w:val="Tabletext1"/>
              <w:spacing w:before="0" w:after="120"/>
              <w:jc w:val="right"/>
            </w:pPr>
            <w:r w:rsidRPr="00CB6719">
              <w:rPr>
                <w:bCs/>
                <w:color w:val="000000"/>
              </w:rPr>
              <w:t>$309,473</w:t>
            </w:r>
          </w:p>
        </w:tc>
        <w:tc>
          <w:tcPr>
            <w:tcW w:w="578" w:type="pct"/>
            <w:vAlign w:val="bottom"/>
          </w:tcPr>
          <w:p w14:paraId="3AA2EEB1" w14:textId="77777777" w:rsidR="000E482F" w:rsidRPr="00CB6719" w:rsidRDefault="000E482F" w:rsidP="004C79C1">
            <w:pPr>
              <w:pStyle w:val="Tabletext1"/>
              <w:spacing w:before="0" w:after="120"/>
              <w:jc w:val="right"/>
            </w:pPr>
            <w:r w:rsidRPr="00CB6719">
              <w:rPr>
                <w:bCs/>
                <w:color w:val="000000"/>
              </w:rPr>
              <w:t>$314,458</w:t>
            </w:r>
          </w:p>
        </w:tc>
        <w:tc>
          <w:tcPr>
            <w:tcW w:w="576" w:type="pct"/>
            <w:vAlign w:val="bottom"/>
          </w:tcPr>
          <w:p w14:paraId="17ABCECD" w14:textId="77777777" w:rsidR="000E482F" w:rsidRPr="00CB6719" w:rsidRDefault="000E482F" w:rsidP="004C79C1">
            <w:pPr>
              <w:pStyle w:val="Tabletext1"/>
              <w:spacing w:before="0" w:after="120"/>
              <w:jc w:val="right"/>
            </w:pPr>
            <w:r w:rsidRPr="00CB6719">
              <w:rPr>
                <w:bCs/>
                <w:color w:val="000000"/>
              </w:rPr>
              <w:t>$319,422</w:t>
            </w:r>
          </w:p>
        </w:tc>
      </w:tr>
      <w:tr w:rsidR="000E482F" w:rsidRPr="00C609C0" w14:paraId="4C0B2928" w14:textId="77777777" w:rsidTr="00723891">
        <w:tc>
          <w:tcPr>
            <w:tcW w:w="2112" w:type="pct"/>
          </w:tcPr>
          <w:p w14:paraId="0ABFB9DC" w14:textId="77777777" w:rsidR="000E482F" w:rsidRDefault="000E482F" w:rsidP="004C79C1">
            <w:pPr>
              <w:pStyle w:val="Tabletext1"/>
              <w:spacing w:before="0" w:after="120"/>
            </w:pPr>
            <w:r w:rsidRPr="000263B3">
              <w:rPr>
                <w:b/>
                <w:lang w:eastAsia="en-US"/>
              </w:rPr>
              <w:t>Total cost of CMR</w:t>
            </w:r>
          </w:p>
        </w:tc>
        <w:tc>
          <w:tcPr>
            <w:tcW w:w="578" w:type="pct"/>
            <w:vAlign w:val="bottom"/>
          </w:tcPr>
          <w:p w14:paraId="7849D66E" w14:textId="77777777" w:rsidR="000E482F" w:rsidRPr="00CB6719" w:rsidRDefault="000E482F" w:rsidP="004C79C1">
            <w:pPr>
              <w:pStyle w:val="Tabletext1"/>
              <w:spacing w:before="0" w:after="120"/>
              <w:jc w:val="right"/>
              <w:rPr>
                <w:b/>
              </w:rPr>
            </w:pPr>
            <w:r w:rsidRPr="00CB6719">
              <w:rPr>
                <w:b/>
                <w:bCs/>
                <w:color w:val="000000"/>
              </w:rPr>
              <w:t>$3,424,721</w:t>
            </w:r>
          </w:p>
        </w:tc>
        <w:tc>
          <w:tcPr>
            <w:tcW w:w="578" w:type="pct"/>
            <w:vAlign w:val="bottom"/>
          </w:tcPr>
          <w:p w14:paraId="43B42BED" w14:textId="77777777" w:rsidR="000E482F" w:rsidRPr="00CB6719" w:rsidRDefault="000E482F" w:rsidP="004C79C1">
            <w:pPr>
              <w:pStyle w:val="Tabletext1"/>
              <w:spacing w:before="0" w:after="120"/>
              <w:jc w:val="right"/>
              <w:rPr>
                <w:b/>
              </w:rPr>
            </w:pPr>
            <w:r w:rsidRPr="00CB6719">
              <w:rPr>
                <w:b/>
                <w:bCs/>
                <w:color w:val="000000"/>
              </w:rPr>
              <w:t>$3,483,104</w:t>
            </w:r>
          </w:p>
        </w:tc>
        <w:tc>
          <w:tcPr>
            <w:tcW w:w="578" w:type="pct"/>
            <w:vAlign w:val="bottom"/>
          </w:tcPr>
          <w:p w14:paraId="72060793" w14:textId="77777777" w:rsidR="000E482F" w:rsidRPr="00CB6719" w:rsidRDefault="000E482F" w:rsidP="004C79C1">
            <w:pPr>
              <w:pStyle w:val="Tabletext1"/>
              <w:spacing w:before="0" w:after="120"/>
              <w:jc w:val="right"/>
              <w:rPr>
                <w:b/>
              </w:rPr>
            </w:pPr>
            <w:r w:rsidRPr="00CB6719">
              <w:rPr>
                <w:b/>
                <w:bCs/>
                <w:color w:val="000000"/>
              </w:rPr>
              <w:t>$3,541,012</w:t>
            </w:r>
          </w:p>
        </w:tc>
        <w:tc>
          <w:tcPr>
            <w:tcW w:w="578" w:type="pct"/>
            <w:vAlign w:val="bottom"/>
          </w:tcPr>
          <w:p w14:paraId="6C5D827E" w14:textId="77777777" w:rsidR="000E482F" w:rsidRPr="00CB6719" w:rsidRDefault="000E482F" w:rsidP="004C79C1">
            <w:pPr>
              <w:pStyle w:val="Tabletext1"/>
              <w:spacing w:before="0" w:after="120"/>
              <w:jc w:val="right"/>
              <w:rPr>
                <w:b/>
              </w:rPr>
            </w:pPr>
            <w:r w:rsidRPr="00CB6719">
              <w:rPr>
                <w:b/>
                <w:bCs/>
                <w:color w:val="000000"/>
              </w:rPr>
              <w:t>$3,598,043</w:t>
            </w:r>
          </w:p>
        </w:tc>
        <w:tc>
          <w:tcPr>
            <w:tcW w:w="576" w:type="pct"/>
            <w:vAlign w:val="bottom"/>
          </w:tcPr>
          <w:p w14:paraId="5A6411C9" w14:textId="77777777" w:rsidR="000E482F" w:rsidRPr="00CB6719" w:rsidRDefault="000E482F" w:rsidP="004C79C1">
            <w:pPr>
              <w:pStyle w:val="Tabletext1"/>
              <w:spacing w:before="0" w:after="120"/>
              <w:jc w:val="right"/>
              <w:rPr>
                <w:b/>
              </w:rPr>
            </w:pPr>
            <w:r w:rsidRPr="00CB6719">
              <w:rPr>
                <w:b/>
                <w:bCs/>
                <w:color w:val="000000"/>
              </w:rPr>
              <w:t>$3,654,845</w:t>
            </w:r>
          </w:p>
        </w:tc>
      </w:tr>
    </w:tbl>
    <w:p w14:paraId="44C6E5CC" w14:textId="230B50C5" w:rsidR="000E482F" w:rsidRDefault="000E482F" w:rsidP="004C79C1">
      <w:pPr>
        <w:pStyle w:val="Tablenotes0"/>
        <w:spacing w:before="0" w:after="120"/>
        <w:contextualSpacing/>
      </w:pPr>
      <w:proofErr w:type="gramStart"/>
      <w:r w:rsidRPr="00E705A5">
        <w:rPr>
          <w:vertAlign w:val="superscript"/>
        </w:rPr>
        <w:t>a</w:t>
      </w:r>
      <w:proofErr w:type="gramEnd"/>
      <w:r w:rsidR="00F14E0F">
        <w:t xml:space="preserve"> T</w:t>
      </w:r>
      <w:r>
        <w:t>he</w:t>
      </w:r>
      <w:r w:rsidRPr="004833CA">
        <w:t xml:space="preserve"> cost to the MBS per service is $765, derived from the cost of the </w:t>
      </w:r>
      <w:r>
        <w:t xml:space="preserve">proposed </w:t>
      </w:r>
      <w:r w:rsidRPr="004833CA">
        <w:t xml:space="preserve">CMR </w:t>
      </w:r>
      <w:r>
        <w:t xml:space="preserve">(85% </w:t>
      </w:r>
      <w:r w:rsidRPr="004833CA">
        <w:t>benefi</w:t>
      </w:r>
      <w:r>
        <w:t>t</w:t>
      </w:r>
      <w:r w:rsidR="00583F55">
        <w:t>;</w:t>
      </w:r>
      <w:r w:rsidRPr="004833CA">
        <w:t xml:space="preserve"> $726.90) and </w:t>
      </w:r>
      <w:r>
        <w:t xml:space="preserve">Item 63491 </w:t>
      </w:r>
      <w:r w:rsidRPr="004833CA">
        <w:t>(</w:t>
      </w:r>
      <w:r>
        <w:t>85%</w:t>
      </w:r>
      <w:r w:rsidRPr="004833CA">
        <w:t xml:space="preserve"> benefit</w:t>
      </w:r>
      <w:r>
        <w:t xml:space="preserve">, </w:t>
      </w:r>
      <w:r w:rsidRPr="004833CA">
        <w:t>$38.10).</w:t>
      </w:r>
      <w:r>
        <w:t xml:space="preserve"> </w:t>
      </w:r>
    </w:p>
    <w:p w14:paraId="1D6AA1D2" w14:textId="60D3F9BF" w:rsidR="000E482F" w:rsidRDefault="000E482F" w:rsidP="004C79C1">
      <w:pPr>
        <w:pStyle w:val="Tablenotes0"/>
        <w:spacing w:before="0" w:after="120"/>
      </w:pPr>
      <w:proofErr w:type="gramStart"/>
      <w:r w:rsidRPr="004A25F8">
        <w:rPr>
          <w:vertAlign w:val="superscript"/>
        </w:rPr>
        <w:t>b</w:t>
      </w:r>
      <w:proofErr w:type="gramEnd"/>
      <w:r w:rsidR="00F14E0F">
        <w:t xml:space="preserve"> T</w:t>
      </w:r>
      <w:r>
        <w:t>h</w:t>
      </w:r>
      <w:r w:rsidRPr="004833CA">
        <w:t xml:space="preserve">e cost to </w:t>
      </w:r>
      <w:r>
        <w:t xml:space="preserve">a patient </w:t>
      </w:r>
      <w:r w:rsidRPr="004833CA">
        <w:t xml:space="preserve">per service is </w:t>
      </w:r>
      <w:r w:rsidRPr="00BD0233">
        <w:t xml:space="preserve">$73.26, derived from the </w:t>
      </w:r>
      <w:r>
        <w:t>estimated patient co-payment for proposed</w:t>
      </w:r>
      <w:r w:rsidRPr="00BD0233">
        <w:t xml:space="preserve"> CMR</w:t>
      </w:r>
      <w:r>
        <w:t xml:space="preserve"> service</w:t>
      </w:r>
      <w:r w:rsidRPr="00BD0233">
        <w:t xml:space="preserve"> (</w:t>
      </w:r>
      <w:r>
        <w:t>$</w:t>
      </w:r>
      <w:r w:rsidRPr="00BD0233">
        <w:t>66.54) and patient co-payment for Item 63491 ($6.72).</w:t>
      </w:r>
    </w:p>
    <w:p w14:paraId="46E8FE1E" w14:textId="314DD41A" w:rsidR="00F14E0F" w:rsidRPr="00F7476B" w:rsidRDefault="00F14E0F" w:rsidP="004C79C1">
      <w:pPr>
        <w:pStyle w:val="Tablenotes0"/>
        <w:spacing w:before="0" w:after="120"/>
        <w:contextualSpacing/>
      </w:pPr>
      <w:r>
        <w:t xml:space="preserve">CMR = cardiac magnetic resonance </w:t>
      </w:r>
      <w:r w:rsidR="00F608D1">
        <w:t>(</w:t>
      </w:r>
      <w:r>
        <w:t>imaging</w:t>
      </w:r>
      <w:r w:rsidR="00F608D1">
        <w:t>)</w:t>
      </w:r>
      <w:r>
        <w:t>; DCM = dilated cardiomyopathy; MBS = Medicare Benefits Schedule</w:t>
      </w:r>
    </w:p>
    <w:p w14:paraId="1ECEBF8C" w14:textId="77777777" w:rsidR="000E482F" w:rsidRDefault="000E482F" w:rsidP="004C79C1">
      <w:pPr>
        <w:pStyle w:val="Heading2"/>
        <w:numPr>
          <w:ilvl w:val="4"/>
          <w:numId w:val="101"/>
        </w:numPr>
        <w:spacing w:before="0" w:after="120" w:line="240" w:lineRule="auto"/>
        <w:jc w:val="both"/>
      </w:pPr>
      <w:bookmarkStart w:id="693" w:name="_Toc379118301"/>
      <w:bookmarkStart w:id="694" w:name="_Toc381796484"/>
      <w:bookmarkStart w:id="695" w:name="_Toc432677421"/>
      <w:bookmarkStart w:id="696" w:name="_Toc449609024"/>
      <w:bookmarkStart w:id="697" w:name="_Toc451501396"/>
      <w:bookmarkEnd w:id="665"/>
      <w:bookmarkEnd w:id="666"/>
      <w:r>
        <w:t>Changes in Use and C</w:t>
      </w:r>
      <w:r w:rsidRPr="00183E4D">
        <w:t>ost of</w:t>
      </w:r>
      <w:bookmarkEnd w:id="693"/>
      <w:bookmarkEnd w:id="694"/>
      <w:r>
        <w:t xml:space="preserve"> Other Medical Services</w:t>
      </w:r>
      <w:bookmarkEnd w:id="695"/>
      <w:bookmarkEnd w:id="696"/>
      <w:bookmarkEnd w:id="697"/>
      <w:r>
        <w:t xml:space="preserve"> </w:t>
      </w:r>
    </w:p>
    <w:p w14:paraId="52A99D48" w14:textId="1EC9EA73" w:rsidR="00CC55F9" w:rsidRPr="00CC55F9" w:rsidRDefault="00CC55F9" w:rsidP="00161B88">
      <w:pPr>
        <w:pStyle w:val="Heading3"/>
      </w:pPr>
      <w:r w:rsidRPr="00CC55F9">
        <w:t>Estimated market share of current testing</w:t>
      </w:r>
    </w:p>
    <w:p w14:paraId="4A898187" w14:textId="024A48F0" w:rsidR="000E482F" w:rsidRPr="001F35F6" w:rsidRDefault="000E482F" w:rsidP="004C79C1">
      <w:pPr>
        <w:spacing w:after="120" w:line="240" w:lineRule="auto"/>
        <w:jc w:val="both"/>
      </w:pPr>
      <w:r>
        <w:t xml:space="preserve">The extent to which utilisation of each of the comparator tests also used in the diagnosis of DCM will change is unknown. The market share </w:t>
      </w:r>
      <w:proofErr w:type="gramStart"/>
      <w:r>
        <w:t>estimates of the various currently listed tests is</w:t>
      </w:r>
      <w:proofErr w:type="gramEnd"/>
      <w:r>
        <w:t xml:space="preserve"> based </w:t>
      </w:r>
      <w:r w:rsidR="00720956">
        <w:t xml:space="preserve">either </w:t>
      </w:r>
      <w:r>
        <w:t xml:space="preserve">on clinical opinion or the </w:t>
      </w:r>
      <w:r w:rsidR="00720956">
        <w:t xml:space="preserve">respective </w:t>
      </w:r>
      <w:r>
        <w:t>quantit</w:t>
      </w:r>
      <w:r w:rsidR="00720956">
        <w:t>ies</w:t>
      </w:r>
      <w:r>
        <w:t xml:space="preserve"> of MBS services used. Changes in use and cost of comparator services are first calculated separately for each patient group and then combined to estimate the total change in use and cost due to the introduction of CMR.</w:t>
      </w:r>
    </w:p>
    <w:p w14:paraId="183AE526" w14:textId="17685454" w:rsidR="000E482F" w:rsidRDefault="000E482F" w:rsidP="00161B88">
      <w:pPr>
        <w:pStyle w:val="Heading3"/>
      </w:pPr>
      <w:r>
        <w:t xml:space="preserve">Population i: Indeterminate </w:t>
      </w:r>
      <w:r w:rsidR="004F632C">
        <w:t>echocardiography</w:t>
      </w:r>
      <w:r>
        <w:t xml:space="preserve"> tests</w:t>
      </w:r>
    </w:p>
    <w:p w14:paraId="267592C3" w14:textId="5F457C87" w:rsidR="000E482F" w:rsidRPr="00784480" w:rsidRDefault="000E482F" w:rsidP="004C79C1">
      <w:pPr>
        <w:spacing w:after="120" w:line="240" w:lineRule="auto"/>
        <w:jc w:val="both"/>
        <w:rPr>
          <w:color w:val="000000" w:themeColor="text1"/>
        </w:rPr>
      </w:pPr>
      <w:r>
        <w:t xml:space="preserve">In the absence of CMR, the majority of </w:t>
      </w:r>
      <w:r w:rsidR="004F632C">
        <w:t>patients with an indeterminate e</w:t>
      </w:r>
      <w:r>
        <w:t>cho</w:t>
      </w:r>
      <w:r w:rsidR="004F632C">
        <w:t>cardiogram</w:t>
      </w:r>
      <w:r>
        <w:t xml:space="preserve"> would either undergo a GHPS (MBS item 61313) or a </w:t>
      </w:r>
      <w:r w:rsidR="00E42871">
        <w:t>contrast echocardiography</w:t>
      </w:r>
      <w:r>
        <w:t xml:space="preserve"> </w:t>
      </w:r>
      <w:r w:rsidR="00D615A0">
        <w:t>(</w:t>
      </w:r>
      <w:r>
        <w:t xml:space="preserve">the stress or rest </w:t>
      </w:r>
      <w:r w:rsidR="004F632C">
        <w:t>echocardiography</w:t>
      </w:r>
      <w:r>
        <w:t xml:space="preserve"> performed with injection of </w:t>
      </w:r>
      <w:r w:rsidR="00711E1F">
        <w:t xml:space="preserve">a </w:t>
      </w:r>
      <w:r>
        <w:t>contrast agent</w:t>
      </w:r>
      <w:r w:rsidR="00D615A0">
        <w:t>)</w:t>
      </w:r>
      <w:r>
        <w:t xml:space="preserve">. </w:t>
      </w:r>
      <w:r w:rsidRPr="00D44B44">
        <w:t xml:space="preserve">As per MSAC </w:t>
      </w:r>
      <w:r w:rsidR="00CE5A01">
        <w:t>A</w:t>
      </w:r>
      <w:r w:rsidRPr="00D44B44">
        <w:t xml:space="preserve">pplication </w:t>
      </w:r>
      <w:r w:rsidR="00711E1F">
        <w:t xml:space="preserve">no. </w:t>
      </w:r>
      <w:r w:rsidRPr="00D44B44">
        <w:t>1129</w:t>
      </w:r>
      <w:r>
        <w:t xml:space="preserve"> </w:t>
      </w:r>
      <w:r>
        <w:fldChar w:fldCharType="begin"/>
      </w:r>
      <w:r>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fldChar w:fldCharType="separate"/>
      </w:r>
      <w:r>
        <w:rPr>
          <w:noProof/>
        </w:rPr>
        <w:t>(</w:t>
      </w:r>
      <w:hyperlink w:anchor="_ENREF_139" w:tooltip="Thavaneswaran, 2010 #173" w:history="1">
        <w:r>
          <w:rPr>
            <w:noProof/>
          </w:rPr>
          <w:t>Thavaneswaran et al. 2010</w:t>
        </w:r>
      </w:hyperlink>
      <w:r>
        <w:rPr>
          <w:noProof/>
        </w:rPr>
        <w:t>)</w:t>
      </w:r>
      <w:r>
        <w:fldChar w:fldCharType="end"/>
      </w:r>
      <w:r w:rsidRPr="00D44B44">
        <w:t xml:space="preserve">, </w:t>
      </w:r>
      <w:r w:rsidR="00E42871">
        <w:t>contrast echocardiography</w:t>
      </w:r>
      <w:r>
        <w:t xml:space="preserve"> </w:t>
      </w:r>
      <w:r w:rsidRPr="00D44B44">
        <w:t xml:space="preserve">is assumed to be administered during the same </w:t>
      </w:r>
      <w:r>
        <w:t>service consultation</w:t>
      </w:r>
      <w:r w:rsidRPr="00D44B44">
        <w:t xml:space="preserve"> as the original suboptimal </w:t>
      </w:r>
      <w:r w:rsidR="00E42871">
        <w:t>echocardiography</w:t>
      </w:r>
      <w:r w:rsidR="00E42871" w:rsidRPr="00D44B44">
        <w:t xml:space="preserve"> </w:t>
      </w:r>
      <w:r w:rsidRPr="00D44B44">
        <w:t>(Advisory Panel advice)</w:t>
      </w:r>
      <w:r w:rsidR="00711E1F">
        <w:t>,</w:t>
      </w:r>
      <w:r>
        <w:t xml:space="preserve"> with no additional MBS item number for the </w:t>
      </w:r>
      <w:r w:rsidR="00E42871">
        <w:t>contrast echocardiography</w:t>
      </w:r>
      <w:r>
        <w:t xml:space="preserve"> procedure or use of the contrast agent</w:t>
      </w:r>
      <w:r w:rsidR="00CF0FBA">
        <w:t>;</w:t>
      </w:r>
      <w:r w:rsidR="00711E1F">
        <w:t xml:space="preserve"> </w:t>
      </w:r>
      <w:r>
        <w:t xml:space="preserve">the additional cost of a contrast agent, consumables and additional time are borne by the patients. Following </w:t>
      </w:r>
      <w:r w:rsidR="00AD223F">
        <w:t xml:space="preserve">an </w:t>
      </w:r>
      <w:r>
        <w:t xml:space="preserve">indeterminate </w:t>
      </w:r>
      <w:r w:rsidR="00E42871">
        <w:t>echocardiography</w:t>
      </w:r>
      <w:r w:rsidR="00AD223F">
        <w:t>,</w:t>
      </w:r>
      <w:r>
        <w:t xml:space="preserve"> it is assumed that around 80% of patients would have a G</w:t>
      </w:r>
      <w:r w:rsidR="00315918">
        <w:t>H</w:t>
      </w:r>
      <w:r>
        <w:t xml:space="preserve">PS </w:t>
      </w:r>
      <w:r w:rsidR="00315918">
        <w:t xml:space="preserve">and </w:t>
      </w:r>
      <w:r>
        <w:t>the remaining 20% may have c</w:t>
      </w:r>
      <w:r w:rsidR="00E42871">
        <w:t>ontrast echocardiography</w:t>
      </w:r>
      <w:r>
        <w:t>.</w:t>
      </w:r>
      <w:r w:rsidR="00132C5C">
        <w:t xml:space="preserve"> </w:t>
      </w:r>
      <w:r w:rsidR="00E42871">
        <w:rPr>
          <w:color w:val="000000" w:themeColor="text1"/>
        </w:rPr>
        <w:fldChar w:fldCharType="begin"/>
      </w:r>
      <w:r w:rsidR="00E42871">
        <w:instrText xml:space="preserve"> REF _Ref451414081 \h </w:instrText>
      </w:r>
      <w:r w:rsidR="00E42871">
        <w:rPr>
          <w:color w:val="000000" w:themeColor="text1"/>
        </w:rPr>
      </w:r>
      <w:r w:rsidR="00E42871">
        <w:rPr>
          <w:color w:val="000000" w:themeColor="text1"/>
        </w:rPr>
        <w:fldChar w:fldCharType="separate"/>
      </w:r>
      <w:r w:rsidR="00E42871">
        <w:t xml:space="preserve">Table </w:t>
      </w:r>
      <w:r w:rsidR="00E42871">
        <w:rPr>
          <w:noProof/>
        </w:rPr>
        <w:t>64</w:t>
      </w:r>
      <w:r w:rsidR="00E42871">
        <w:rPr>
          <w:color w:val="000000" w:themeColor="text1"/>
        </w:rPr>
        <w:fldChar w:fldCharType="end"/>
      </w:r>
      <w:r w:rsidR="00132C5C" w:rsidRPr="00784480">
        <w:rPr>
          <w:color w:val="000000" w:themeColor="text1"/>
        </w:rPr>
        <w:t xml:space="preserve"> summarises the estimated number of comparator tests offset for indeterminate tests.</w:t>
      </w:r>
    </w:p>
    <w:p w14:paraId="078BFFE9" w14:textId="2F9EAF3C" w:rsidR="000E482F" w:rsidRDefault="000E482F" w:rsidP="004C79C1">
      <w:pPr>
        <w:pStyle w:val="Caption"/>
        <w:keepNext/>
      </w:pPr>
      <w:bookmarkStart w:id="698" w:name="_Ref451414081"/>
      <w:bookmarkStart w:id="699" w:name="_Toc449555024"/>
      <w:bookmarkStart w:id="700" w:name="_Toc324410235"/>
      <w:bookmarkStart w:id="701" w:name="_Toc451435391"/>
      <w:r>
        <w:t xml:space="preserve">Table </w:t>
      </w:r>
      <w:fldSimple w:instr=" SEQ Table \* ARABIC ">
        <w:r w:rsidR="00050936">
          <w:rPr>
            <w:noProof/>
          </w:rPr>
          <w:t>64</w:t>
        </w:r>
      </w:fldSimple>
      <w:bookmarkEnd w:id="698"/>
      <w:r>
        <w:tab/>
        <w:t>Estimation of the number of comparator tests offset for indeterminate tests</w:t>
      </w:r>
      <w:bookmarkEnd w:id="699"/>
      <w:bookmarkEnd w:id="700"/>
      <w:bookmarkEnd w:id="701"/>
    </w:p>
    <w:tbl>
      <w:tblPr>
        <w:tblStyle w:val="TableGrid"/>
        <w:tblW w:w="5000" w:type="pct"/>
        <w:tblLook w:val="04A0" w:firstRow="1" w:lastRow="0" w:firstColumn="1" w:lastColumn="0" w:noHBand="0" w:noVBand="1"/>
        <w:tblDescription w:val="Estimation of the number of comparator tests offset for indeterminate tests"/>
      </w:tblPr>
      <w:tblGrid>
        <w:gridCol w:w="576"/>
        <w:gridCol w:w="3766"/>
        <w:gridCol w:w="982"/>
        <w:gridCol w:w="982"/>
        <w:gridCol w:w="978"/>
        <w:gridCol w:w="980"/>
        <w:gridCol w:w="978"/>
      </w:tblGrid>
      <w:tr w:rsidR="00315918" w14:paraId="410DBF45" w14:textId="77777777" w:rsidTr="00784480">
        <w:trPr>
          <w:tblHeader/>
        </w:trPr>
        <w:tc>
          <w:tcPr>
            <w:tcW w:w="312" w:type="pct"/>
          </w:tcPr>
          <w:p w14:paraId="20E5428C" w14:textId="77777777" w:rsidR="000E482F" w:rsidRDefault="000E482F" w:rsidP="004C79C1">
            <w:pPr>
              <w:pStyle w:val="TableHeading"/>
              <w:spacing w:before="0" w:after="120"/>
              <w:ind w:left="0" w:firstLine="0"/>
            </w:pPr>
            <w:r>
              <w:t>Row</w:t>
            </w:r>
          </w:p>
        </w:tc>
        <w:tc>
          <w:tcPr>
            <w:tcW w:w="2038" w:type="pct"/>
          </w:tcPr>
          <w:p w14:paraId="1636B17B" w14:textId="77777777" w:rsidR="000E482F" w:rsidRDefault="000E482F" w:rsidP="004C79C1">
            <w:pPr>
              <w:pStyle w:val="TableHeading"/>
              <w:spacing w:before="0" w:after="120"/>
              <w:ind w:left="0" w:firstLine="0"/>
            </w:pPr>
          </w:p>
        </w:tc>
        <w:tc>
          <w:tcPr>
            <w:tcW w:w="531" w:type="pct"/>
          </w:tcPr>
          <w:p w14:paraId="4B436D23" w14:textId="66D791EF" w:rsidR="000E482F" w:rsidRDefault="000E482F" w:rsidP="004C79C1">
            <w:pPr>
              <w:pStyle w:val="TableHeading"/>
              <w:spacing w:before="0" w:after="120"/>
              <w:ind w:left="0" w:firstLine="0"/>
              <w:jc w:val="center"/>
            </w:pPr>
            <w:r>
              <w:t>2016</w:t>
            </w:r>
            <w:r w:rsidR="00315918">
              <w:t>–</w:t>
            </w:r>
            <w:r>
              <w:t>17</w:t>
            </w:r>
          </w:p>
        </w:tc>
        <w:tc>
          <w:tcPr>
            <w:tcW w:w="531" w:type="pct"/>
          </w:tcPr>
          <w:p w14:paraId="74BEAD0E" w14:textId="77066F7D" w:rsidR="000E482F" w:rsidRDefault="000E482F" w:rsidP="004C79C1">
            <w:pPr>
              <w:pStyle w:val="TableHeading"/>
              <w:spacing w:before="0" w:after="120"/>
              <w:ind w:left="0" w:firstLine="0"/>
              <w:jc w:val="center"/>
            </w:pPr>
            <w:r>
              <w:t>2017</w:t>
            </w:r>
            <w:r w:rsidR="00315918">
              <w:t>–</w:t>
            </w:r>
            <w:r>
              <w:t>18</w:t>
            </w:r>
          </w:p>
        </w:tc>
        <w:tc>
          <w:tcPr>
            <w:tcW w:w="529" w:type="pct"/>
          </w:tcPr>
          <w:p w14:paraId="5201EE04" w14:textId="4CEFFD4E" w:rsidR="000E482F" w:rsidRDefault="000E482F" w:rsidP="004C79C1">
            <w:pPr>
              <w:pStyle w:val="TableHeading"/>
              <w:spacing w:before="0" w:after="120"/>
              <w:ind w:left="0" w:firstLine="0"/>
              <w:jc w:val="center"/>
            </w:pPr>
            <w:r>
              <w:t>2018</w:t>
            </w:r>
            <w:r w:rsidR="00315918">
              <w:t>–</w:t>
            </w:r>
            <w:r>
              <w:t>19</w:t>
            </w:r>
          </w:p>
        </w:tc>
        <w:tc>
          <w:tcPr>
            <w:tcW w:w="530" w:type="pct"/>
          </w:tcPr>
          <w:p w14:paraId="2F14FA14" w14:textId="2DD56C95" w:rsidR="000E482F" w:rsidRDefault="000E482F" w:rsidP="004C79C1">
            <w:pPr>
              <w:pStyle w:val="TableHeading"/>
              <w:spacing w:before="0" w:after="120"/>
              <w:ind w:left="0" w:firstLine="0"/>
              <w:jc w:val="center"/>
            </w:pPr>
            <w:r>
              <w:t>2019</w:t>
            </w:r>
            <w:r w:rsidR="00315918">
              <w:t>–</w:t>
            </w:r>
            <w:r>
              <w:t>20</w:t>
            </w:r>
          </w:p>
        </w:tc>
        <w:tc>
          <w:tcPr>
            <w:tcW w:w="530" w:type="pct"/>
          </w:tcPr>
          <w:p w14:paraId="52CA96F3" w14:textId="6FB36266" w:rsidR="000E482F" w:rsidRDefault="000E482F" w:rsidP="004C79C1">
            <w:pPr>
              <w:pStyle w:val="TableHeading"/>
              <w:spacing w:before="0" w:after="120"/>
              <w:ind w:left="0" w:firstLine="0"/>
              <w:jc w:val="center"/>
            </w:pPr>
            <w:r>
              <w:t>2020</w:t>
            </w:r>
            <w:r w:rsidR="00315918">
              <w:t>–</w:t>
            </w:r>
            <w:r>
              <w:t>21</w:t>
            </w:r>
          </w:p>
        </w:tc>
      </w:tr>
      <w:tr w:rsidR="00315918" w14:paraId="741F1879" w14:textId="77777777" w:rsidTr="00784480">
        <w:tc>
          <w:tcPr>
            <w:tcW w:w="312" w:type="pct"/>
            <w:tcBorders>
              <w:bottom w:val="single" w:sz="4" w:space="0" w:color="auto"/>
            </w:tcBorders>
          </w:tcPr>
          <w:p w14:paraId="476F8F7C" w14:textId="77777777" w:rsidR="000E482F" w:rsidRDefault="000E482F" w:rsidP="004C79C1">
            <w:pPr>
              <w:pStyle w:val="Tabletext1"/>
              <w:spacing w:before="0" w:after="120"/>
              <w:rPr>
                <w:lang w:eastAsia="en-US"/>
              </w:rPr>
            </w:pPr>
            <w:r>
              <w:rPr>
                <w:lang w:eastAsia="en-US"/>
              </w:rPr>
              <w:t>F</w:t>
            </w:r>
          </w:p>
        </w:tc>
        <w:tc>
          <w:tcPr>
            <w:tcW w:w="2038" w:type="pct"/>
            <w:tcBorders>
              <w:bottom w:val="single" w:sz="4" w:space="0" w:color="auto"/>
            </w:tcBorders>
          </w:tcPr>
          <w:p w14:paraId="1DE06496" w14:textId="77777777" w:rsidR="000E482F" w:rsidRDefault="000E482F" w:rsidP="004C79C1">
            <w:pPr>
              <w:pStyle w:val="Tabletext1"/>
              <w:spacing w:before="0" w:after="120"/>
              <w:rPr>
                <w:lang w:eastAsia="en-US"/>
              </w:rPr>
            </w:pPr>
            <w:r>
              <w:rPr>
                <w:lang w:eastAsia="en-US"/>
              </w:rPr>
              <w:t xml:space="preserve">Number of CMR tests for indeterminate Echo </w:t>
            </w:r>
          </w:p>
        </w:tc>
        <w:tc>
          <w:tcPr>
            <w:tcW w:w="531" w:type="pct"/>
            <w:tcBorders>
              <w:bottom w:val="single" w:sz="4" w:space="0" w:color="auto"/>
            </w:tcBorders>
            <w:vAlign w:val="bottom"/>
          </w:tcPr>
          <w:p w14:paraId="447F8E7B" w14:textId="77777777" w:rsidR="000E482F" w:rsidRPr="001A1EFE" w:rsidRDefault="000E482F" w:rsidP="004C79C1">
            <w:pPr>
              <w:pStyle w:val="Tabletext1"/>
              <w:spacing w:before="0" w:after="120"/>
              <w:jc w:val="center"/>
              <w:rPr>
                <w:lang w:eastAsia="en-US"/>
              </w:rPr>
            </w:pPr>
            <w:r>
              <w:rPr>
                <w:color w:val="000000"/>
              </w:rPr>
              <w:t>640</w:t>
            </w:r>
          </w:p>
        </w:tc>
        <w:tc>
          <w:tcPr>
            <w:tcW w:w="531" w:type="pct"/>
            <w:tcBorders>
              <w:bottom w:val="single" w:sz="4" w:space="0" w:color="auto"/>
            </w:tcBorders>
            <w:vAlign w:val="bottom"/>
          </w:tcPr>
          <w:p w14:paraId="6C89E32A" w14:textId="77777777" w:rsidR="000E482F" w:rsidRPr="001A1EFE" w:rsidRDefault="000E482F" w:rsidP="004C79C1">
            <w:pPr>
              <w:pStyle w:val="Tabletext1"/>
              <w:spacing w:before="0" w:after="120"/>
              <w:jc w:val="center"/>
              <w:rPr>
                <w:lang w:eastAsia="en-US"/>
              </w:rPr>
            </w:pPr>
            <w:r>
              <w:rPr>
                <w:color w:val="000000"/>
              </w:rPr>
              <w:t>651</w:t>
            </w:r>
          </w:p>
        </w:tc>
        <w:tc>
          <w:tcPr>
            <w:tcW w:w="529" w:type="pct"/>
            <w:tcBorders>
              <w:bottom w:val="single" w:sz="4" w:space="0" w:color="auto"/>
            </w:tcBorders>
            <w:vAlign w:val="bottom"/>
          </w:tcPr>
          <w:p w14:paraId="00DCC456" w14:textId="77777777" w:rsidR="000E482F" w:rsidRPr="001A1EFE" w:rsidRDefault="000E482F" w:rsidP="004C79C1">
            <w:pPr>
              <w:pStyle w:val="Tabletext1"/>
              <w:spacing w:before="0" w:after="120"/>
              <w:jc w:val="center"/>
              <w:rPr>
                <w:lang w:eastAsia="en-US"/>
              </w:rPr>
            </w:pPr>
            <w:r>
              <w:rPr>
                <w:color w:val="000000"/>
              </w:rPr>
              <w:t>662</w:t>
            </w:r>
          </w:p>
        </w:tc>
        <w:tc>
          <w:tcPr>
            <w:tcW w:w="530" w:type="pct"/>
            <w:tcBorders>
              <w:bottom w:val="single" w:sz="4" w:space="0" w:color="auto"/>
            </w:tcBorders>
            <w:vAlign w:val="bottom"/>
          </w:tcPr>
          <w:p w14:paraId="3064D74F" w14:textId="77777777" w:rsidR="000E482F" w:rsidRPr="001A1EFE" w:rsidRDefault="000E482F" w:rsidP="004C79C1">
            <w:pPr>
              <w:pStyle w:val="Tabletext1"/>
              <w:spacing w:before="0" w:after="120"/>
              <w:jc w:val="center"/>
              <w:rPr>
                <w:lang w:eastAsia="en-US"/>
              </w:rPr>
            </w:pPr>
            <w:r>
              <w:rPr>
                <w:color w:val="000000"/>
              </w:rPr>
              <w:t>672</w:t>
            </w:r>
          </w:p>
        </w:tc>
        <w:tc>
          <w:tcPr>
            <w:tcW w:w="530" w:type="pct"/>
            <w:tcBorders>
              <w:bottom w:val="single" w:sz="4" w:space="0" w:color="auto"/>
            </w:tcBorders>
            <w:vAlign w:val="bottom"/>
          </w:tcPr>
          <w:p w14:paraId="27A4B0CB" w14:textId="77777777" w:rsidR="000E482F" w:rsidRPr="001A1EFE" w:rsidRDefault="000E482F" w:rsidP="004C79C1">
            <w:pPr>
              <w:pStyle w:val="Tabletext1"/>
              <w:spacing w:before="0" w:after="120"/>
              <w:jc w:val="center"/>
              <w:rPr>
                <w:lang w:eastAsia="en-US"/>
              </w:rPr>
            </w:pPr>
            <w:r>
              <w:rPr>
                <w:color w:val="000000"/>
              </w:rPr>
              <w:t>683</w:t>
            </w:r>
          </w:p>
        </w:tc>
      </w:tr>
      <w:tr w:rsidR="00315918" w14:paraId="5DE3FBA8" w14:textId="77777777" w:rsidTr="00784480">
        <w:tc>
          <w:tcPr>
            <w:tcW w:w="312" w:type="pct"/>
            <w:tcBorders>
              <w:right w:val="nil"/>
            </w:tcBorders>
          </w:tcPr>
          <w:p w14:paraId="67FACF68" w14:textId="77777777" w:rsidR="000E482F" w:rsidRDefault="000E482F" w:rsidP="004C79C1">
            <w:pPr>
              <w:pStyle w:val="Tabletext1"/>
              <w:spacing w:before="0" w:after="120"/>
              <w:rPr>
                <w:b/>
                <w:lang w:eastAsia="en-US"/>
              </w:rPr>
            </w:pPr>
          </w:p>
        </w:tc>
        <w:tc>
          <w:tcPr>
            <w:tcW w:w="2038" w:type="pct"/>
            <w:tcBorders>
              <w:right w:val="nil"/>
            </w:tcBorders>
            <w:vAlign w:val="bottom"/>
          </w:tcPr>
          <w:p w14:paraId="1BF3AB2A" w14:textId="77777777" w:rsidR="000E482F" w:rsidRDefault="000E482F" w:rsidP="004C79C1">
            <w:pPr>
              <w:pStyle w:val="Tabletext1"/>
              <w:spacing w:before="0" w:after="120"/>
            </w:pPr>
            <w:r>
              <w:rPr>
                <w:b/>
                <w:lang w:eastAsia="en-US"/>
              </w:rPr>
              <w:t>Estimated n</w:t>
            </w:r>
            <w:r w:rsidRPr="00AF6AE9">
              <w:rPr>
                <w:b/>
                <w:lang w:eastAsia="en-US"/>
              </w:rPr>
              <w:t xml:space="preserve">umber of </w:t>
            </w:r>
            <w:r>
              <w:rPr>
                <w:b/>
                <w:lang w:eastAsia="en-US"/>
              </w:rPr>
              <w:t xml:space="preserve">subsequent </w:t>
            </w:r>
            <w:r w:rsidRPr="00AF6AE9">
              <w:rPr>
                <w:b/>
                <w:lang w:eastAsia="en-US"/>
              </w:rPr>
              <w:t>test</w:t>
            </w:r>
            <w:r>
              <w:rPr>
                <w:b/>
                <w:lang w:eastAsia="en-US"/>
              </w:rPr>
              <w:t>s</w:t>
            </w:r>
            <w:r w:rsidRPr="00AF6AE9">
              <w:rPr>
                <w:b/>
                <w:lang w:eastAsia="en-US"/>
              </w:rPr>
              <w:t xml:space="preserve"> </w:t>
            </w:r>
            <w:r>
              <w:rPr>
                <w:b/>
                <w:lang w:eastAsia="en-US"/>
              </w:rPr>
              <w:t xml:space="preserve">potentially </w:t>
            </w:r>
            <w:r w:rsidRPr="00AF6AE9">
              <w:rPr>
                <w:b/>
                <w:lang w:eastAsia="en-US"/>
              </w:rPr>
              <w:t>offset</w:t>
            </w:r>
            <w:r>
              <w:rPr>
                <w:b/>
                <w:lang w:eastAsia="en-US"/>
              </w:rPr>
              <w:t xml:space="preserve"> by proposed CMR</w:t>
            </w:r>
          </w:p>
        </w:tc>
        <w:tc>
          <w:tcPr>
            <w:tcW w:w="531" w:type="pct"/>
            <w:tcBorders>
              <w:left w:val="nil"/>
              <w:right w:val="nil"/>
            </w:tcBorders>
          </w:tcPr>
          <w:p w14:paraId="6DFA30B0" w14:textId="77777777" w:rsidR="000E482F" w:rsidRPr="00C609C0" w:rsidRDefault="000E482F" w:rsidP="004C79C1">
            <w:pPr>
              <w:pStyle w:val="Tabletext1"/>
              <w:spacing w:before="0" w:after="120"/>
              <w:jc w:val="center"/>
            </w:pPr>
            <w:r w:rsidRPr="00AF6AE9">
              <w:rPr>
                <w:color w:val="FFFFFF" w:themeColor="background1"/>
                <w:lang w:eastAsia="en-US"/>
              </w:rPr>
              <w:t>-</w:t>
            </w:r>
          </w:p>
        </w:tc>
        <w:tc>
          <w:tcPr>
            <w:tcW w:w="531" w:type="pct"/>
            <w:tcBorders>
              <w:left w:val="nil"/>
              <w:right w:val="nil"/>
            </w:tcBorders>
          </w:tcPr>
          <w:p w14:paraId="322AC640" w14:textId="77777777" w:rsidR="000E482F" w:rsidRDefault="000E482F" w:rsidP="004C79C1">
            <w:pPr>
              <w:pStyle w:val="Tabletext1"/>
              <w:spacing w:before="0" w:after="120"/>
              <w:jc w:val="center"/>
            </w:pPr>
            <w:r w:rsidRPr="00AF6AE9">
              <w:rPr>
                <w:color w:val="FFFFFF" w:themeColor="background1"/>
                <w:lang w:eastAsia="en-US"/>
              </w:rPr>
              <w:t>-</w:t>
            </w:r>
          </w:p>
        </w:tc>
        <w:tc>
          <w:tcPr>
            <w:tcW w:w="529" w:type="pct"/>
            <w:tcBorders>
              <w:left w:val="nil"/>
              <w:right w:val="nil"/>
            </w:tcBorders>
          </w:tcPr>
          <w:p w14:paraId="2E0457E6" w14:textId="77777777" w:rsidR="000E482F" w:rsidRDefault="000E482F" w:rsidP="004C79C1">
            <w:pPr>
              <w:pStyle w:val="Tabletext1"/>
              <w:spacing w:before="0" w:after="120"/>
              <w:jc w:val="center"/>
            </w:pPr>
            <w:r w:rsidRPr="00AF6AE9">
              <w:rPr>
                <w:color w:val="FFFFFF" w:themeColor="background1"/>
                <w:lang w:eastAsia="en-US"/>
              </w:rPr>
              <w:t>-</w:t>
            </w:r>
          </w:p>
        </w:tc>
        <w:tc>
          <w:tcPr>
            <w:tcW w:w="530" w:type="pct"/>
            <w:tcBorders>
              <w:left w:val="nil"/>
              <w:right w:val="nil"/>
            </w:tcBorders>
          </w:tcPr>
          <w:p w14:paraId="77ACD371" w14:textId="77777777" w:rsidR="000E482F" w:rsidRDefault="000E482F" w:rsidP="004C79C1">
            <w:pPr>
              <w:pStyle w:val="Tabletext1"/>
              <w:spacing w:before="0" w:after="120"/>
              <w:jc w:val="center"/>
            </w:pPr>
            <w:r w:rsidRPr="00AF6AE9">
              <w:rPr>
                <w:color w:val="FFFFFF" w:themeColor="background1"/>
                <w:lang w:eastAsia="en-US"/>
              </w:rPr>
              <w:t>-</w:t>
            </w:r>
          </w:p>
        </w:tc>
        <w:tc>
          <w:tcPr>
            <w:tcW w:w="530" w:type="pct"/>
            <w:tcBorders>
              <w:left w:val="nil"/>
            </w:tcBorders>
          </w:tcPr>
          <w:p w14:paraId="3C387B6E" w14:textId="77777777" w:rsidR="000E482F" w:rsidRDefault="000E482F" w:rsidP="004C79C1">
            <w:pPr>
              <w:pStyle w:val="Tabletext1"/>
              <w:spacing w:before="0" w:after="120"/>
              <w:jc w:val="center"/>
            </w:pPr>
            <w:r w:rsidRPr="00AF6AE9">
              <w:rPr>
                <w:color w:val="FFFFFF" w:themeColor="background1"/>
                <w:lang w:eastAsia="en-US"/>
              </w:rPr>
              <w:t>-</w:t>
            </w:r>
          </w:p>
        </w:tc>
      </w:tr>
      <w:tr w:rsidR="00315918" w:rsidRPr="0024769A" w14:paraId="4DBFECC1" w14:textId="77777777" w:rsidTr="00784480">
        <w:tc>
          <w:tcPr>
            <w:tcW w:w="312" w:type="pct"/>
          </w:tcPr>
          <w:p w14:paraId="0E3A4DED" w14:textId="77777777" w:rsidR="000E482F" w:rsidRDefault="000E482F" w:rsidP="004C79C1">
            <w:pPr>
              <w:pStyle w:val="Tabletext1"/>
              <w:spacing w:before="0" w:after="120"/>
              <w:rPr>
                <w:bCs/>
                <w:color w:val="000000"/>
              </w:rPr>
            </w:pPr>
            <w:r>
              <w:rPr>
                <w:bCs/>
                <w:color w:val="000000"/>
              </w:rPr>
              <w:t>L</w:t>
            </w:r>
          </w:p>
        </w:tc>
        <w:tc>
          <w:tcPr>
            <w:tcW w:w="2038" w:type="pct"/>
            <w:vAlign w:val="bottom"/>
          </w:tcPr>
          <w:p w14:paraId="6DCC342B" w14:textId="77777777" w:rsidR="000E482F" w:rsidRPr="00AF6E8D" w:rsidRDefault="000E482F" w:rsidP="004C79C1">
            <w:pPr>
              <w:pStyle w:val="Tabletext1"/>
              <w:spacing w:before="0" w:after="120"/>
            </w:pPr>
            <w:r>
              <w:rPr>
                <w:bCs/>
                <w:color w:val="000000"/>
              </w:rPr>
              <w:t>GHPS</w:t>
            </w:r>
            <w:r w:rsidRPr="00AF6E8D">
              <w:rPr>
                <w:bCs/>
                <w:color w:val="000000"/>
              </w:rPr>
              <w:t xml:space="preserve"> </w:t>
            </w:r>
            <w:r>
              <w:rPr>
                <w:bCs/>
                <w:color w:val="000000"/>
              </w:rPr>
              <w:t>(= F*80%)</w:t>
            </w:r>
          </w:p>
        </w:tc>
        <w:tc>
          <w:tcPr>
            <w:tcW w:w="531" w:type="pct"/>
            <w:vAlign w:val="bottom"/>
          </w:tcPr>
          <w:p w14:paraId="4DFA42DE" w14:textId="77777777" w:rsidR="000E482F" w:rsidRPr="002F3FDD" w:rsidRDefault="000E482F" w:rsidP="004C79C1">
            <w:pPr>
              <w:pStyle w:val="Tabletext1"/>
              <w:spacing w:before="0" w:after="120"/>
              <w:jc w:val="center"/>
            </w:pPr>
            <w:r>
              <w:rPr>
                <w:color w:val="000000"/>
              </w:rPr>
              <w:t>512</w:t>
            </w:r>
          </w:p>
        </w:tc>
        <w:tc>
          <w:tcPr>
            <w:tcW w:w="531" w:type="pct"/>
            <w:vAlign w:val="bottom"/>
          </w:tcPr>
          <w:p w14:paraId="14E41232" w14:textId="77777777" w:rsidR="000E482F" w:rsidRPr="002F3FDD" w:rsidRDefault="000E482F" w:rsidP="004C79C1">
            <w:pPr>
              <w:pStyle w:val="Tabletext1"/>
              <w:spacing w:before="0" w:after="120"/>
              <w:jc w:val="center"/>
            </w:pPr>
            <w:r>
              <w:rPr>
                <w:color w:val="000000"/>
              </w:rPr>
              <w:t>521</w:t>
            </w:r>
          </w:p>
        </w:tc>
        <w:tc>
          <w:tcPr>
            <w:tcW w:w="529" w:type="pct"/>
            <w:vAlign w:val="bottom"/>
          </w:tcPr>
          <w:p w14:paraId="0C9ACFF3" w14:textId="77777777" w:rsidR="000E482F" w:rsidRPr="002F3FDD" w:rsidRDefault="000E482F" w:rsidP="004C79C1">
            <w:pPr>
              <w:pStyle w:val="Tabletext1"/>
              <w:spacing w:before="0" w:after="120"/>
              <w:jc w:val="center"/>
            </w:pPr>
            <w:r>
              <w:rPr>
                <w:color w:val="000000"/>
              </w:rPr>
              <w:t>529</w:t>
            </w:r>
          </w:p>
        </w:tc>
        <w:tc>
          <w:tcPr>
            <w:tcW w:w="530" w:type="pct"/>
            <w:vAlign w:val="bottom"/>
          </w:tcPr>
          <w:p w14:paraId="2A285134" w14:textId="77777777" w:rsidR="000E482F" w:rsidRPr="002F3FDD" w:rsidRDefault="000E482F" w:rsidP="004C79C1">
            <w:pPr>
              <w:pStyle w:val="Tabletext1"/>
              <w:spacing w:before="0" w:after="120"/>
              <w:jc w:val="center"/>
            </w:pPr>
            <w:r>
              <w:rPr>
                <w:color w:val="000000"/>
              </w:rPr>
              <w:t>538</w:t>
            </w:r>
          </w:p>
        </w:tc>
        <w:tc>
          <w:tcPr>
            <w:tcW w:w="530" w:type="pct"/>
            <w:vAlign w:val="bottom"/>
          </w:tcPr>
          <w:p w14:paraId="67C00D02" w14:textId="77777777" w:rsidR="000E482F" w:rsidRPr="002F3FDD" w:rsidRDefault="000E482F" w:rsidP="004C79C1">
            <w:pPr>
              <w:pStyle w:val="Tabletext1"/>
              <w:spacing w:before="0" w:after="120"/>
              <w:jc w:val="center"/>
            </w:pPr>
            <w:r>
              <w:rPr>
                <w:color w:val="000000"/>
              </w:rPr>
              <w:t>546</w:t>
            </w:r>
          </w:p>
        </w:tc>
      </w:tr>
      <w:tr w:rsidR="00315918" w:rsidRPr="0024769A" w14:paraId="409FB309" w14:textId="77777777" w:rsidTr="00784480">
        <w:tc>
          <w:tcPr>
            <w:tcW w:w="312" w:type="pct"/>
          </w:tcPr>
          <w:p w14:paraId="56EA7896" w14:textId="77777777" w:rsidR="000E482F" w:rsidRDefault="000E482F" w:rsidP="004C79C1">
            <w:pPr>
              <w:pStyle w:val="Tabletext1"/>
              <w:spacing w:before="0" w:after="120"/>
              <w:rPr>
                <w:bCs/>
                <w:color w:val="000000"/>
              </w:rPr>
            </w:pPr>
            <w:r>
              <w:rPr>
                <w:bCs/>
                <w:color w:val="000000"/>
              </w:rPr>
              <w:t>M</w:t>
            </w:r>
          </w:p>
        </w:tc>
        <w:tc>
          <w:tcPr>
            <w:tcW w:w="2038" w:type="pct"/>
            <w:vAlign w:val="bottom"/>
          </w:tcPr>
          <w:p w14:paraId="7C20EF7A" w14:textId="12ED9D71" w:rsidR="000E482F" w:rsidRPr="00AF6E8D" w:rsidRDefault="009A57D5" w:rsidP="004C79C1">
            <w:pPr>
              <w:pStyle w:val="Tabletext1"/>
              <w:spacing w:before="0" w:after="120"/>
            </w:pPr>
            <w:proofErr w:type="gramStart"/>
            <w:r>
              <w:rPr>
                <w:bCs/>
                <w:color w:val="000000"/>
              </w:rPr>
              <w:t>c</w:t>
            </w:r>
            <w:r w:rsidR="000E482F">
              <w:rPr>
                <w:bCs/>
                <w:color w:val="000000"/>
              </w:rPr>
              <w:t>Echo</w:t>
            </w:r>
            <w:proofErr w:type="gramEnd"/>
            <w:r w:rsidR="000E482F">
              <w:rPr>
                <w:bCs/>
                <w:color w:val="000000"/>
              </w:rPr>
              <w:t xml:space="preserve"> (= F*20%)</w:t>
            </w:r>
          </w:p>
        </w:tc>
        <w:tc>
          <w:tcPr>
            <w:tcW w:w="531" w:type="pct"/>
            <w:vAlign w:val="bottom"/>
          </w:tcPr>
          <w:p w14:paraId="1690051F" w14:textId="77777777" w:rsidR="000E482F" w:rsidRPr="002520C6" w:rsidRDefault="000E482F" w:rsidP="004C79C1">
            <w:pPr>
              <w:pStyle w:val="Tabletext1"/>
              <w:spacing w:before="0" w:after="120"/>
              <w:jc w:val="center"/>
            </w:pPr>
            <w:r>
              <w:rPr>
                <w:color w:val="000000"/>
              </w:rPr>
              <w:t>128</w:t>
            </w:r>
          </w:p>
        </w:tc>
        <w:tc>
          <w:tcPr>
            <w:tcW w:w="531" w:type="pct"/>
            <w:vAlign w:val="bottom"/>
          </w:tcPr>
          <w:p w14:paraId="2E213C05" w14:textId="77777777" w:rsidR="000E482F" w:rsidRPr="002520C6" w:rsidRDefault="000E482F" w:rsidP="004C79C1">
            <w:pPr>
              <w:pStyle w:val="Tabletext1"/>
              <w:spacing w:before="0" w:after="120"/>
              <w:jc w:val="center"/>
            </w:pPr>
            <w:r>
              <w:rPr>
                <w:color w:val="000000"/>
              </w:rPr>
              <w:t>130</w:t>
            </w:r>
          </w:p>
        </w:tc>
        <w:tc>
          <w:tcPr>
            <w:tcW w:w="529" w:type="pct"/>
            <w:vAlign w:val="bottom"/>
          </w:tcPr>
          <w:p w14:paraId="4C0869C7" w14:textId="77777777" w:rsidR="000E482F" w:rsidRPr="002520C6" w:rsidRDefault="000E482F" w:rsidP="004C79C1">
            <w:pPr>
              <w:pStyle w:val="Tabletext1"/>
              <w:spacing w:before="0" w:after="120"/>
              <w:jc w:val="center"/>
            </w:pPr>
            <w:r>
              <w:rPr>
                <w:color w:val="000000"/>
              </w:rPr>
              <w:t>132</w:t>
            </w:r>
          </w:p>
        </w:tc>
        <w:tc>
          <w:tcPr>
            <w:tcW w:w="530" w:type="pct"/>
            <w:vAlign w:val="bottom"/>
          </w:tcPr>
          <w:p w14:paraId="79CEC896" w14:textId="77777777" w:rsidR="000E482F" w:rsidRPr="002520C6" w:rsidRDefault="000E482F" w:rsidP="004C79C1">
            <w:pPr>
              <w:pStyle w:val="Tabletext1"/>
              <w:spacing w:before="0" w:after="120"/>
              <w:jc w:val="center"/>
            </w:pPr>
            <w:r>
              <w:rPr>
                <w:color w:val="000000"/>
              </w:rPr>
              <w:t>134</w:t>
            </w:r>
          </w:p>
        </w:tc>
        <w:tc>
          <w:tcPr>
            <w:tcW w:w="530" w:type="pct"/>
            <w:vAlign w:val="bottom"/>
          </w:tcPr>
          <w:p w14:paraId="0CF225C5" w14:textId="77777777" w:rsidR="000E482F" w:rsidRPr="002520C6" w:rsidRDefault="000E482F" w:rsidP="004C79C1">
            <w:pPr>
              <w:pStyle w:val="Tabletext1"/>
              <w:spacing w:before="0" w:after="120"/>
              <w:jc w:val="center"/>
            </w:pPr>
            <w:r>
              <w:rPr>
                <w:color w:val="000000"/>
              </w:rPr>
              <w:t>137</w:t>
            </w:r>
          </w:p>
        </w:tc>
      </w:tr>
    </w:tbl>
    <w:p w14:paraId="20AC5D37" w14:textId="67B8E2AF" w:rsidR="0086607E" w:rsidRDefault="000E482F" w:rsidP="004C79C1">
      <w:pPr>
        <w:pStyle w:val="Tablenotes0"/>
        <w:spacing w:before="0" w:after="120"/>
      </w:pPr>
      <w:r w:rsidRPr="000B3E74">
        <w:t xml:space="preserve">CMR = cardiac magnetic resonance </w:t>
      </w:r>
      <w:r w:rsidR="00F608D1">
        <w:t>(</w:t>
      </w:r>
      <w:r w:rsidRPr="000B3E74">
        <w:t>imaging</w:t>
      </w:r>
      <w:r w:rsidR="00F608D1">
        <w:t>)</w:t>
      </w:r>
      <w:r w:rsidRPr="000B3E74">
        <w:t xml:space="preserve">; </w:t>
      </w:r>
      <w:r>
        <w:t xml:space="preserve">GHPS = </w:t>
      </w:r>
      <w:r w:rsidRPr="00AF6E8D">
        <w:rPr>
          <w:bCs/>
          <w:color w:val="000000"/>
        </w:rPr>
        <w:t xml:space="preserve">gated </w:t>
      </w:r>
      <w:r>
        <w:rPr>
          <w:bCs/>
          <w:color w:val="000000"/>
        </w:rPr>
        <w:t>heart</w:t>
      </w:r>
      <w:r w:rsidRPr="00AF6E8D">
        <w:rPr>
          <w:bCs/>
          <w:color w:val="000000"/>
        </w:rPr>
        <w:t xml:space="preserve"> pool scan</w:t>
      </w:r>
      <w:r>
        <w:rPr>
          <w:bCs/>
          <w:color w:val="000000"/>
        </w:rPr>
        <w:t xml:space="preserve">; </w:t>
      </w:r>
      <w:r w:rsidR="00784480">
        <w:rPr>
          <w:bCs/>
          <w:color w:val="000000"/>
        </w:rPr>
        <w:t>c</w:t>
      </w:r>
      <w:r w:rsidRPr="000B3E74">
        <w:t>E</w:t>
      </w:r>
      <w:r>
        <w:t xml:space="preserve">cho </w:t>
      </w:r>
      <w:r w:rsidRPr="000B3E74">
        <w:t>=</w:t>
      </w:r>
      <w:r>
        <w:t xml:space="preserve"> </w:t>
      </w:r>
      <w:r w:rsidR="00784480">
        <w:t xml:space="preserve">contrast </w:t>
      </w:r>
      <w:r w:rsidR="00A21115">
        <w:t xml:space="preserve">echocardiography; </w:t>
      </w:r>
      <w:r w:rsidR="00A21115" w:rsidRPr="000B3E74">
        <w:t>E</w:t>
      </w:r>
      <w:r w:rsidR="00A21115">
        <w:t xml:space="preserve">cho </w:t>
      </w:r>
      <w:r w:rsidR="00A21115" w:rsidRPr="000B3E74">
        <w:t>=</w:t>
      </w:r>
      <w:r w:rsidR="00A21115">
        <w:t xml:space="preserve"> </w:t>
      </w:r>
      <w:r w:rsidR="00A21115" w:rsidRPr="000B3E74">
        <w:t>echocardiography</w:t>
      </w:r>
      <w:r w:rsidR="0086607E">
        <w:t xml:space="preserve"> </w:t>
      </w:r>
    </w:p>
    <w:p w14:paraId="39F1D164" w14:textId="77777777" w:rsidR="000E482F" w:rsidRPr="00161B88" w:rsidRDefault="000E482F" w:rsidP="00161B88">
      <w:pPr>
        <w:pStyle w:val="Heading3"/>
      </w:pPr>
      <w:r w:rsidRPr="00161B88">
        <w:lastRenderedPageBreak/>
        <w:t>Population ii: Diagnostic clarification</w:t>
      </w:r>
    </w:p>
    <w:p w14:paraId="0CFABE27" w14:textId="3E753BD9" w:rsidR="000E482F" w:rsidRDefault="000E482F" w:rsidP="004C79C1">
      <w:pPr>
        <w:spacing w:after="120" w:line="240" w:lineRule="auto"/>
        <w:jc w:val="both"/>
        <w:rPr>
          <w:lang w:eastAsia="en-US"/>
        </w:rPr>
      </w:pPr>
      <w:r>
        <w:rPr>
          <w:lang w:eastAsia="en-US"/>
        </w:rPr>
        <w:t xml:space="preserve">To allocate appropriate comparator tests for substitution, the patients expected to utilise CMR for further diagnostic clarification can be classified among three groups based on the pre-test probability (PTP) of CAD and patient characteristics (see </w:t>
      </w:r>
      <w:r w:rsidR="00784480" w:rsidRPr="00784480">
        <w:rPr>
          <w:lang w:eastAsia="en-US"/>
        </w:rPr>
        <w:fldChar w:fldCharType="begin"/>
      </w:r>
      <w:r w:rsidR="00784480" w:rsidRPr="00784480">
        <w:rPr>
          <w:lang w:eastAsia="en-US"/>
        </w:rPr>
        <w:instrText xml:space="preserve"> REF _Ref447807237 \h </w:instrText>
      </w:r>
      <w:r w:rsidR="00784480">
        <w:rPr>
          <w:lang w:eastAsia="en-US"/>
        </w:rPr>
        <w:instrText xml:space="preserve"> \* MERGEFORMAT </w:instrText>
      </w:r>
      <w:r w:rsidR="00784480" w:rsidRPr="00784480">
        <w:rPr>
          <w:lang w:eastAsia="en-US"/>
        </w:rPr>
      </w:r>
      <w:r w:rsidR="00784480" w:rsidRPr="00784480">
        <w:rPr>
          <w:lang w:eastAsia="en-US"/>
        </w:rPr>
        <w:fldChar w:fldCharType="separate"/>
      </w:r>
      <w:r w:rsidR="00784480" w:rsidRPr="00784480">
        <w:t xml:space="preserve">Figure </w:t>
      </w:r>
      <w:r w:rsidR="00784480" w:rsidRPr="00784480">
        <w:rPr>
          <w:noProof/>
        </w:rPr>
        <w:t>4</w:t>
      </w:r>
      <w:r w:rsidR="00784480" w:rsidRPr="00784480">
        <w:rPr>
          <w:lang w:eastAsia="en-US"/>
        </w:rPr>
        <w:fldChar w:fldCharType="end"/>
      </w:r>
      <w:r w:rsidRPr="00784480">
        <w:rPr>
          <w:lang w:eastAsia="en-US"/>
        </w:rPr>
        <w:t>)</w:t>
      </w:r>
      <w:r>
        <w:rPr>
          <w:lang w:eastAsia="en-US"/>
        </w:rPr>
        <w:t>, with the overall uptake rate of 75% allocated as follows</w:t>
      </w:r>
      <w:r w:rsidR="00EF264F">
        <w:rPr>
          <w:lang w:eastAsia="en-US"/>
        </w:rPr>
        <w:t>:</w:t>
      </w:r>
      <w:r>
        <w:rPr>
          <w:lang w:eastAsia="en-US"/>
        </w:rPr>
        <w:t xml:space="preserve"> </w:t>
      </w:r>
    </w:p>
    <w:p w14:paraId="0A5D82F6" w14:textId="1C13D95D" w:rsidR="000E482F" w:rsidRDefault="000E482F" w:rsidP="004C79C1">
      <w:pPr>
        <w:pStyle w:val="ListParagraph"/>
        <w:numPr>
          <w:ilvl w:val="0"/>
          <w:numId w:val="55"/>
        </w:numPr>
        <w:spacing w:after="120" w:line="240" w:lineRule="auto"/>
        <w:jc w:val="both"/>
        <w:rPr>
          <w:lang w:eastAsia="en-US"/>
        </w:rPr>
      </w:pPr>
      <w:r>
        <w:rPr>
          <w:lang w:eastAsia="en-US"/>
        </w:rPr>
        <w:t>Low PTP (0–15%) of CAD (approximately 15% of patients)</w:t>
      </w:r>
      <w:r w:rsidR="00422C9B">
        <w:rPr>
          <w:lang w:eastAsia="en-US"/>
        </w:rPr>
        <w:t>—p</w:t>
      </w:r>
      <w:r>
        <w:rPr>
          <w:lang w:eastAsia="en-US"/>
        </w:rPr>
        <w:t xml:space="preserve">opulation iiA: All would undergo CMR as these patients will have </w:t>
      </w:r>
      <w:r w:rsidR="00422C9B">
        <w:rPr>
          <w:lang w:eastAsia="en-US"/>
        </w:rPr>
        <w:t xml:space="preserve">a </w:t>
      </w:r>
      <w:r>
        <w:rPr>
          <w:lang w:eastAsia="en-US"/>
        </w:rPr>
        <w:t xml:space="preserve">higher probability of having </w:t>
      </w:r>
      <w:r w:rsidR="00422C9B">
        <w:rPr>
          <w:lang w:eastAsia="en-US"/>
        </w:rPr>
        <w:t>NI</w:t>
      </w:r>
      <w:r>
        <w:rPr>
          <w:lang w:eastAsia="en-US"/>
        </w:rPr>
        <w:t>DCM</w:t>
      </w:r>
      <w:r w:rsidR="00422C9B">
        <w:rPr>
          <w:lang w:eastAsia="en-US"/>
        </w:rPr>
        <w:t>,</w:t>
      </w:r>
      <w:r>
        <w:rPr>
          <w:lang w:eastAsia="en-US"/>
        </w:rPr>
        <w:t xml:space="preserve"> and CMR would be expected to provide valuable diagnostic clarification for treatable and non-treatable causes</w:t>
      </w:r>
      <w:r w:rsidR="007C1C3A">
        <w:rPr>
          <w:lang w:eastAsia="en-US"/>
        </w:rPr>
        <w:t>.</w:t>
      </w:r>
    </w:p>
    <w:p w14:paraId="4075D1F6" w14:textId="0CD6B6AA" w:rsidR="000E482F" w:rsidRDefault="000E482F" w:rsidP="004C79C1">
      <w:pPr>
        <w:pStyle w:val="ListParagraph"/>
        <w:numPr>
          <w:ilvl w:val="0"/>
          <w:numId w:val="55"/>
        </w:numPr>
        <w:spacing w:after="120" w:line="240" w:lineRule="auto"/>
        <w:jc w:val="both"/>
        <w:rPr>
          <w:lang w:eastAsia="en-US"/>
        </w:rPr>
      </w:pPr>
      <w:r>
        <w:rPr>
          <w:lang w:eastAsia="en-US"/>
        </w:rPr>
        <w:t>Intermediate PTP (15–85%) of CAD (approximately 70% of patients</w:t>
      </w:r>
      <w:r w:rsidR="00422C9B">
        <w:rPr>
          <w:lang w:eastAsia="en-US"/>
        </w:rPr>
        <w:t>)—p</w:t>
      </w:r>
      <w:r>
        <w:rPr>
          <w:lang w:eastAsia="en-US"/>
        </w:rPr>
        <w:t>opulation iiB: Investigation for isch</w:t>
      </w:r>
      <w:r w:rsidR="001277D7">
        <w:rPr>
          <w:lang w:eastAsia="en-US"/>
        </w:rPr>
        <w:t>a</w:t>
      </w:r>
      <w:r>
        <w:rPr>
          <w:lang w:eastAsia="en-US"/>
        </w:rPr>
        <w:t xml:space="preserve">emia and other causes is required. It is expected </w:t>
      </w:r>
      <w:r w:rsidR="007C1C3A">
        <w:rPr>
          <w:lang w:eastAsia="en-US"/>
        </w:rPr>
        <w:t xml:space="preserve">that </w:t>
      </w:r>
      <w:r>
        <w:rPr>
          <w:lang w:eastAsia="en-US"/>
        </w:rPr>
        <w:t xml:space="preserve">most of these patients (85% of this group, or 60% of </w:t>
      </w:r>
      <w:r w:rsidR="007C1C3A">
        <w:rPr>
          <w:lang w:eastAsia="en-US"/>
        </w:rPr>
        <w:t xml:space="preserve">the </w:t>
      </w:r>
      <w:r>
        <w:rPr>
          <w:lang w:eastAsia="en-US"/>
        </w:rPr>
        <w:t xml:space="preserve">broader ‘diagnostic clarification’ group) would undergo CMR. </w:t>
      </w:r>
    </w:p>
    <w:p w14:paraId="0304A5DC" w14:textId="61768158" w:rsidR="000E482F" w:rsidRDefault="000E482F" w:rsidP="004C79C1">
      <w:pPr>
        <w:pStyle w:val="ListParagraph"/>
        <w:numPr>
          <w:ilvl w:val="0"/>
          <w:numId w:val="55"/>
        </w:numPr>
        <w:spacing w:after="120" w:line="240" w:lineRule="auto"/>
        <w:jc w:val="both"/>
        <w:rPr>
          <w:lang w:eastAsia="en-US"/>
        </w:rPr>
      </w:pPr>
      <w:r>
        <w:rPr>
          <w:lang w:eastAsia="en-US"/>
        </w:rPr>
        <w:t>High PTP (&gt;85%) of CAD (approximately 15% of patients): These patients are assumed to directly underg</w:t>
      </w:r>
      <w:r w:rsidRPr="00641CFA">
        <w:rPr>
          <w:lang w:eastAsia="en-US"/>
        </w:rPr>
        <w:t xml:space="preserve">o </w:t>
      </w:r>
      <w:r w:rsidR="00924766" w:rsidRPr="00641CFA">
        <w:rPr>
          <w:lang w:eastAsia="en-US"/>
        </w:rPr>
        <w:t>cor</w:t>
      </w:r>
      <w:r w:rsidR="00924766">
        <w:rPr>
          <w:lang w:eastAsia="en-US"/>
        </w:rPr>
        <w:t>onary angiogra</w:t>
      </w:r>
      <w:r w:rsidR="00F370D3">
        <w:rPr>
          <w:lang w:eastAsia="en-US"/>
        </w:rPr>
        <w:t>p</w:t>
      </w:r>
      <w:r w:rsidR="00924766">
        <w:rPr>
          <w:lang w:eastAsia="en-US"/>
        </w:rPr>
        <w:t>hy</w:t>
      </w:r>
      <w:r w:rsidR="00A70B6A">
        <w:rPr>
          <w:lang w:eastAsia="en-US"/>
        </w:rPr>
        <w:t>,</w:t>
      </w:r>
      <w:r>
        <w:rPr>
          <w:lang w:eastAsia="en-US"/>
        </w:rPr>
        <w:t xml:space="preserve"> generally foregoing interim CMR or other tests</w:t>
      </w:r>
      <w:r w:rsidR="00A13826">
        <w:rPr>
          <w:lang w:eastAsia="en-US"/>
        </w:rPr>
        <w:t>,</w:t>
      </w:r>
      <w:r>
        <w:rPr>
          <w:lang w:eastAsia="en-US"/>
        </w:rPr>
        <w:t xml:space="preserve"> and are not considered further in this financial analysis.</w:t>
      </w:r>
    </w:p>
    <w:p w14:paraId="645B9414" w14:textId="2B5800CD" w:rsidR="000E482F" w:rsidRDefault="000E482F" w:rsidP="004C79C1">
      <w:pPr>
        <w:spacing w:after="120" w:line="240" w:lineRule="auto"/>
        <w:jc w:val="both"/>
        <w:rPr>
          <w:lang w:eastAsia="en-US"/>
        </w:rPr>
      </w:pPr>
      <w:r>
        <w:rPr>
          <w:lang w:eastAsia="en-US"/>
        </w:rPr>
        <w:t xml:space="preserve">Patients with a low PTP </w:t>
      </w:r>
      <w:r w:rsidR="0081134D">
        <w:rPr>
          <w:lang w:eastAsia="en-US"/>
        </w:rPr>
        <w:t xml:space="preserve">of </w:t>
      </w:r>
      <w:r>
        <w:rPr>
          <w:lang w:eastAsia="en-US"/>
        </w:rPr>
        <w:t>CAD (</w:t>
      </w:r>
      <w:r w:rsidR="0081134D">
        <w:rPr>
          <w:lang w:eastAsia="en-US"/>
        </w:rPr>
        <w:t>i.e. p</w:t>
      </w:r>
      <w:r>
        <w:rPr>
          <w:lang w:eastAsia="en-US"/>
        </w:rPr>
        <w:t xml:space="preserve">opulation iiA) generally undergo a battery of further tests, including serological tests through to, potentially, </w:t>
      </w:r>
      <w:r w:rsidR="0081134D">
        <w:rPr>
          <w:lang w:eastAsia="en-US"/>
        </w:rPr>
        <w:t>EMB</w:t>
      </w:r>
      <w:r>
        <w:rPr>
          <w:lang w:eastAsia="en-US"/>
        </w:rPr>
        <w:t>, to diagnose the suspected cause of DCM (myocarditis, sarcoidosis, alcohol ablation etc</w:t>
      </w:r>
      <w:r w:rsidR="00A13826">
        <w:rPr>
          <w:lang w:eastAsia="en-US"/>
        </w:rPr>
        <w:t>.</w:t>
      </w:r>
      <w:r>
        <w:rPr>
          <w:lang w:eastAsia="en-US"/>
        </w:rPr>
        <w:t xml:space="preserve">). As </w:t>
      </w:r>
      <w:r w:rsidR="00D42C54">
        <w:rPr>
          <w:lang w:eastAsia="en-US"/>
        </w:rPr>
        <w:t xml:space="preserve">a </w:t>
      </w:r>
      <w:r>
        <w:rPr>
          <w:lang w:eastAsia="en-US"/>
        </w:rPr>
        <w:t xml:space="preserve">wide array of tests are performed for the diagnostic work-up in this group of patients, and many </w:t>
      </w:r>
      <w:r w:rsidR="00D42C54">
        <w:rPr>
          <w:lang w:eastAsia="en-US"/>
        </w:rPr>
        <w:t xml:space="preserve">tests </w:t>
      </w:r>
      <w:r>
        <w:rPr>
          <w:lang w:eastAsia="en-US"/>
        </w:rPr>
        <w:t>may still be performed post-CMR, it is not possible to accurately quantify the usage and costs of these potential comparator tests, much less the extent to which they may be offset. A conservative approach assuming no offsets is taken for the purposes of this review, which is likely to overestimate the net usage and costs of CMR in this group.</w:t>
      </w:r>
    </w:p>
    <w:p w14:paraId="284CB516" w14:textId="024A35F8" w:rsidR="000E482F" w:rsidRDefault="000E482F" w:rsidP="004C79C1">
      <w:pPr>
        <w:spacing w:after="120" w:line="240" w:lineRule="auto"/>
        <w:jc w:val="both"/>
      </w:pPr>
      <w:r w:rsidRPr="00E35296">
        <w:rPr>
          <w:lang w:eastAsia="en-US"/>
        </w:rPr>
        <w:t>In the patients with an intermediate risk of CAD (</w:t>
      </w:r>
      <w:r w:rsidR="00EE1077">
        <w:rPr>
          <w:lang w:eastAsia="en-US"/>
        </w:rPr>
        <w:t>i.e. p</w:t>
      </w:r>
      <w:r>
        <w:rPr>
          <w:lang w:eastAsia="en-US"/>
        </w:rPr>
        <w:t>opulation iiB</w:t>
      </w:r>
      <w:r w:rsidRPr="00E35296">
        <w:rPr>
          <w:lang w:eastAsia="en-US"/>
        </w:rPr>
        <w:t xml:space="preserve">), SPECT, stress </w:t>
      </w:r>
      <w:r w:rsidR="004F632C">
        <w:rPr>
          <w:lang w:eastAsia="en-US"/>
        </w:rPr>
        <w:t>echocardiography</w:t>
      </w:r>
      <w:r w:rsidRPr="00E35296">
        <w:rPr>
          <w:lang w:eastAsia="en-US"/>
        </w:rPr>
        <w:t xml:space="preserve">, CTCA and ICA are </w:t>
      </w:r>
      <w:r>
        <w:rPr>
          <w:lang w:eastAsia="en-US"/>
        </w:rPr>
        <w:t xml:space="preserve">potential </w:t>
      </w:r>
      <w:r w:rsidRPr="00E35296">
        <w:rPr>
          <w:lang w:eastAsia="en-US"/>
        </w:rPr>
        <w:t>comparators used to rule out isch</w:t>
      </w:r>
      <w:r w:rsidR="00EE1077">
        <w:rPr>
          <w:lang w:eastAsia="en-US"/>
        </w:rPr>
        <w:t>a</w:t>
      </w:r>
      <w:r w:rsidRPr="00E35296">
        <w:rPr>
          <w:lang w:eastAsia="en-US"/>
        </w:rPr>
        <w:t xml:space="preserve">emia. The </w:t>
      </w:r>
      <w:r w:rsidR="007326D3" w:rsidRPr="00E35296">
        <w:rPr>
          <w:lang w:eastAsia="en-US"/>
        </w:rPr>
        <w:t>re</w:t>
      </w:r>
      <w:r w:rsidR="007326D3">
        <w:rPr>
          <w:lang w:eastAsia="en-US"/>
        </w:rPr>
        <w:t>spective</w:t>
      </w:r>
      <w:r w:rsidR="007326D3" w:rsidRPr="00E35296">
        <w:rPr>
          <w:lang w:eastAsia="en-US"/>
        </w:rPr>
        <w:t xml:space="preserve"> </w:t>
      </w:r>
      <w:r w:rsidRPr="00E35296">
        <w:rPr>
          <w:lang w:eastAsia="en-US"/>
        </w:rPr>
        <w:t>usage of these tests is based on their statistics, as more</w:t>
      </w:r>
      <w:r w:rsidR="009C6CF4">
        <w:rPr>
          <w:lang w:eastAsia="en-US"/>
        </w:rPr>
        <w:t>-</w:t>
      </w:r>
      <w:r w:rsidRPr="00E35296">
        <w:rPr>
          <w:lang w:eastAsia="en-US"/>
        </w:rPr>
        <w:t>broadly used MBS items</w:t>
      </w:r>
      <w:r w:rsidR="00EE1077">
        <w:rPr>
          <w:lang w:eastAsia="en-US"/>
        </w:rPr>
        <w:t>,</w:t>
      </w:r>
      <w:r w:rsidRPr="00E35296">
        <w:rPr>
          <w:lang w:eastAsia="en-US"/>
        </w:rPr>
        <w:t xml:space="preserve"> in the financial year 2014</w:t>
      </w:r>
      <w:r w:rsidR="00EE1077">
        <w:rPr>
          <w:lang w:eastAsia="en-US"/>
        </w:rPr>
        <w:t>–</w:t>
      </w:r>
      <w:r w:rsidRPr="00E35296">
        <w:rPr>
          <w:lang w:eastAsia="en-US"/>
        </w:rPr>
        <w:t xml:space="preserve">15. </w:t>
      </w:r>
      <w:r w:rsidRPr="00E35296">
        <w:t>T</w:t>
      </w:r>
      <w:r w:rsidRPr="00D37EAC">
        <w:t xml:space="preserve">he numbers of services for each of the tests reported in 2014–15, and their </w:t>
      </w:r>
      <w:r w:rsidR="007326D3" w:rsidRPr="00D37EAC">
        <w:t>re</w:t>
      </w:r>
      <w:r w:rsidR="007326D3">
        <w:t>spect</w:t>
      </w:r>
      <w:r w:rsidR="007326D3" w:rsidRPr="00D37EAC">
        <w:t xml:space="preserve">ive </w:t>
      </w:r>
      <w:r w:rsidRPr="00D37EAC">
        <w:t xml:space="preserve">weights, are presented in </w:t>
      </w:r>
      <w:r w:rsidR="00784480">
        <w:fldChar w:fldCharType="begin"/>
      </w:r>
      <w:r w:rsidR="00784480">
        <w:instrText xml:space="preserve"> REF _Ref436995546 \h </w:instrText>
      </w:r>
      <w:r w:rsidR="00784480">
        <w:fldChar w:fldCharType="separate"/>
      </w:r>
      <w:r w:rsidR="00784480">
        <w:t xml:space="preserve">Table </w:t>
      </w:r>
      <w:r w:rsidR="00784480">
        <w:rPr>
          <w:noProof/>
        </w:rPr>
        <w:t>65</w:t>
      </w:r>
      <w:r w:rsidR="00784480">
        <w:fldChar w:fldCharType="end"/>
      </w:r>
      <w:r>
        <w:t>.</w:t>
      </w:r>
    </w:p>
    <w:p w14:paraId="21CBD41A" w14:textId="700B1100" w:rsidR="000E482F" w:rsidRDefault="000E482F" w:rsidP="004C79C1">
      <w:pPr>
        <w:pStyle w:val="TableHeading"/>
        <w:spacing w:before="0" w:after="120"/>
      </w:pPr>
      <w:bookmarkStart w:id="702" w:name="_Ref436995546"/>
      <w:bookmarkStart w:id="703" w:name="_Toc437435449"/>
      <w:bookmarkStart w:id="704" w:name="_Toc439954608"/>
      <w:bookmarkStart w:id="705" w:name="_Toc449555025"/>
      <w:bookmarkStart w:id="706" w:name="_Toc324410236"/>
      <w:bookmarkStart w:id="707" w:name="_Toc451435392"/>
      <w:r>
        <w:t xml:space="preserve">Table </w:t>
      </w:r>
      <w:fldSimple w:instr=" SEQ Table \* ARABIC ">
        <w:r w:rsidR="00784480">
          <w:rPr>
            <w:noProof/>
          </w:rPr>
          <w:t>65</w:t>
        </w:r>
      </w:fldSimple>
      <w:bookmarkEnd w:id="702"/>
      <w:r>
        <w:tab/>
      </w:r>
      <w:bookmarkEnd w:id="703"/>
      <w:r w:rsidRPr="00D37EAC">
        <w:t>Comparator services, 2014–15</w:t>
      </w:r>
      <w:bookmarkEnd w:id="704"/>
      <w:bookmarkEnd w:id="705"/>
      <w:bookmarkEnd w:id="706"/>
      <w:bookmarkEnd w:id="707"/>
    </w:p>
    <w:tbl>
      <w:tblPr>
        <w:tblStyle w:val="TableGrid"/>
        <w:tblW w:w="9185" w:type="dxa"/>
        <w:tblInd w:w="-5" w:type="dxa"/>
        <w:tblLayout w:type="fixed"/>
        <w:tblLook w:val="04A0" w:firstRow="1" w:lastRow="0" w:firstColumn="1" w:lastColumn="0" w:noHBand="0" w:noVBand="1"/>
        <w:tblDescription w:val="The numbers of services for each of the comparator tests reported in 2014–15, and their relative weights"/>
      </w:tblPr>
      <w:tblGrid>
        <w:gridCol w:w="1560"/>
        <w:gridCol w:w="4223"/>
        <w:gridCol w:w="1701"/>
        <w:gridCol w:w="1701"/>
      </w:tblGrid>
      <w:tr w:rsidR="000E482F" w14:paraId="2A8DBD96" w14:textId="77777777" w:rsidTr="00723891">
        <w:trPr>
          <w:tblHeader/>
        </w:trPr>
        <w:tc>
          <w:tcPr>
            <w:tcW w:w="1560" w:type="dxa"/>
          </w:tcPr>
          <w:p w14:paraId="2394AB62" w14:textId="77777777" w:rsidR="000E482F" w:rsidRDefault="000E482F" w:rsidP="004C79C1">
            <w:pPr>
              <w:pStyle w:val="TableHeading"/>
              <w:spacing w:before="0" w:after="120"/>
            </w:pPr>
            <w:r>
              <w:t>Test</w:t>
            </w:r>
          </w:p>
        </w:tc>
        <w:tc>
          <w:tcPr>
            <w:tcW w:w="4223" w:type="dxa"/>
          </w:tcPr>
          <w:p w14:paraId="197FA273" w14:textId="77777777" w:rsidR="000E482F" w:rsidRDefault="000E482F" w:rsidP="004C79C1">
            <w:pPr>
              <w:pStyle w:val="TableHeading"/>
              <w:spacing w:before="0" w:after="120"/>
            </w:pPr>
            <w:r>
              <w:t>Source</w:t>
            </w:r>
          </w:p>
        </w:tc>
        <w:tc>
          <w:tcPr>
            <w:tcW w:w="1701" w:type="dxa"/>
          </w:tcPr>
          <w:p w14:paraId="5087D311" w14:textId="77777777" w:rsidR="000E482F" w:rsidRDefault="000E482F" w:rsidP="004C79C1">
            <w:pPr>
              <w:pStyle w:val="TableHeading"/>
              <w:spacing w:before="0" w:after="120"/>
              <w:jc w:val="center"/>
            </w:pPr>
            <w:r>
              <w:t>Services</w:t>
            </w:r>
          </w:p>
        </w:tc>
        <w:tc>
          <w:tcPr>
            <w:tcW w:w="1701" w:type="dxa"/>
          </w:tcPr>
          <w:p w14:paraId="05B92359" w14:textId="77777777" w:rsidR="000E482F" w:rsidRDefault="000E482F" w:rsidP="004C79C1">
            <w:pPr>
              <w:pStyle w:val="TableHeading"/>
              <w:spacing w:before="0" w:after="120"/>
              <w:jc w:val="center"/>
            </w:pPr>
            <w:r>
              <w:t>Weight</w:t>
            </w:r>
          </w:p>
        </w:tc>
      </w:tr>
      <w:tr w:rsidR="000E482F" w14:paraId="4EB43BAA" w14:textId="77777777" w:rsidTr="00723891">
        <w:tc>
          <w:tcPr>
            <w:tcW w:w="1560" w:type="dxa"/>
            <w:vAlign w:val="center"/>
          </w:tcPr>
          <w:p w14:paraId="1AAEFC6F" w14:textId="77777777" w:rsidR="000E482F" w:rsidRDefault="000E482F" w:rsidP="004C79C1">
            <w:pPr>
              <w:pStyle w:val="Tabletext1"/>
              <w:spacing w:before="0" w:after="120"/>
            </w:pPr>
            <w:r>
              <w:t>ICA</w:t>
            </w:r>
          </w:p>
        </w:tc>
        <w:tc>
          <w:tcPr>
            <w:tcW w:w="4223" w:type="dxa"/>
            <w:vAlign w:val="center"/>
          </w:tcPr>
          <w:p w14:paraId="4616F91A" w14:textId="77777777" w:rsidR="000E482F" w:rsidRPr="003111F8" w:rsidRDefault="000E482F" w:rsidP="004C79C1">
            <w:pPr>
              <w:pStyle w:val="Tabletext1"/>
              <w:spacing w:before="0" w:after="120"/>
            </w:pPr>
            <w:r>
              <w:t>MBS item 59925, 2014–15 services</w:t>
            </w:r>
          </w:p>
        </w:tc>
        <w:tc>
          <w:tcPr>
            <w:tcW w:w="1701" w:type="dxa"/>
            <w:vAlign w:val="center"/>
          </w:tcPr>
          <w:p w14:paraId="7A5F3EEC" w14:textId="77777777" w:rsidR="000E482F" w:rsidRDefault="000E482F" w:rsidP="004C79C1">
            <w:pPr>
              <w:pStyle w:val="Tabletext1"/>
              <w:spacing w:before="0" w:after="120"/>
              <w:jc w:val="center"/>
            </w:pPr>
            <w:r>
              <w:t>69,508</w:t>
            </w:r>
          </w:p>
        </w:tc>
        <w:tc>
          <w:tcPr>
            <w:tcW w:w="1701" w:type="dxa"/>
          </w:tcPr>
          <w:p w14:paraId="32FDD3D4" w14:textId="77777777" w:rsidR="000E482F" w:rsidRDefault="000E482F" w:rsidP="004C79C1">
            <w:pPr>
              <w:pStyle w:val="Tabletext1"/>
              <w:tabs>
                <w:tab w:val="decimal" w:pos="673"/>
                <w:tab w:val="decimal" w:pos="853"/>
              </w:tabs>
              <w:spacing w:before="0" w:after="120"/>
              <w:jc w:val="center"/>
            </w:pPr>
            <w:r w:rsidRPr="00957C54">
              <w:t>53.5%</w:t>
            </w:r>
          </w:p>
        </w:tc>
      </w:tr>
      <w:tr w:rsidR="000E482F" w14:paraId="2B5A535E" w14:textId="77777777" w:rsidTr="00723891">
        <w:tc>
          <w:tcPr>
            <w:tcW w:w="1560" w:type="dxa"/>
            <w:vAlign w:val="center"/>
          </w:tcPr>
          <w:p w14:paraId="7361C5D1" w14:textId="77777777" w:rsidR="000E482F" w:rsidRDefault="000E482F" w:rsidP="004C79C1">
            <w:pPr>
              <w:pStyle w:val="Tabletext1"/>
              <w:spacing w:before="0" w:after="120"/>
            </w:pPr>
            <w:r>
              <w:t>CTCA</w:t>
            </w:r>
          </w:p>
        </w:tc>
        <w:tc>
          <w:tcPr>
            <w:tcW w:w="4223" w:type="dxa"/>
            <w:vAlign w:val="center"/>
          </w:tcPr>
          <w:p w14:paraId="08EED3B2" w14:textId="77777777" w:rsidR="000E482F" w:rsidRDefault="000E482F" w:rsidP="004C79C1">
            <w:pPr>
              <w:pStyle w:val="Tabletext1"/>
              <w:spacing w:before="0" w:after="120"/>
            </w:pPr>
            <w:r>
              <w:t>MBS item 57360, 2014–15 services</w:t>
            </w:r>
          </w:p>
        </w:tc>
        <w:tc>
          <w:tcPr>
            <w:tcW w:w="1701" w:type="dxa"/>
            <w:vAlign w:val="center"/>
          </w:tcPr>
          <w:p w14:paraId="4D3C1560" w14:textId="77777777" w:rsidR="000E482F" w:rsidRDefault="000E482F" w:rsidP="004C79C1">
            <w:pPr>
              <w:pStyle w:val="Tabletext1"/>
              <w:spacing w:before="0" w:after="120"/>
              <w:jc w:val="center"/>
            </w:pPr>
            <w:r w:rsidRPr="008C0B7F">
              <w:t>44,974</w:t>
            </w:r>
          </w:p>
        </w:tc>
        <w:tc>
          <w:tcPr>
            <w:tcW w:w="1701" w:type="dxa"/>
          </w:tcPr>
          <w:p w14:paraId="150CE92E" w14:textId="77777777" w:rsidR="000E482F" w:rsidRDefault="000E482F" w:rsidP="004C79C1">
            <w:pPr>
              <w:pStyle w:val="Tabletext1"/>
              <w:tabs>
                <w:tab w:val="decimal" w:pos="673"/>
                <w:tab w:val="decimal" w:pos="853"/>
              </w:tabs>
              <w:spacing w:before="0" w:after="120"/>
              <w:jc w:val="center"/>
            </w:pPr>
            <w:r w:rsidRPr="00957C54">
              <w:t>34.6%</w:t>
            </w:r>
          </w:p>
        </w:tc>
      </w:tr>
      <w:tr w:rsidR="000E482F" w14:paraId="41B336C0" w14:textId="77777777" w:rsidTr="00723891">
        <w:tc>
          <w:tcPr>
            <w:tcW w:w="1560" w:type="dxa"/>
            <w:vAlign w:val="center"/>
          </w:tcPr>
          <w:p w14:paraId="433D05D4" w14:textId="77777777" w:rsidR="000E482F" w:rsidRDefault="000E482F" w:rsidP="004C79C1">
            <w:pPr>
              <w:pStyle w:val="Tabletext1"/>
              <w:spacing w:before="0" w:after="120"/>
            </w:pPr>
            <w:r>
              <w:t>Stress Echo</w:t>
            </w:r>
          </w:p>
        </w:tc>
        <w:tc>
          <w:tcPr>
            <w:tcW w:w="4223" w:type="dxa"/>
            <w:vAlign w:val="center"/>
          </w:tcPr>
          <w:p w14:paraId="17157733" w14:textId="77777777" w:rsidR="000E482F" w:rsidRDefault="000E482F" w:rsidP="004C79C1">
            <w:pPr>
              <w:pStyle w:val="Tabletext1"/>
              <w:spacing w:before="0" w:after="120"/>
            </w:pPr>
            <w:r>
              <w:t>MBS item 55117, 2014–15 services</w:t>
            </w:r>
          </w:p>
        </w:tc>
        <w:tc>
          <w:tcPr>
            <w:tcW w:w="1701" w:type="dxa"/>
            <w:vAlign w:val="center"/>
          </w:tcPr>
          <w:p w14:paraId="2D8AA98F" w14:textId="77777777" w:rsidR="000E482F" w:rsidRDefault="000E482F" w:rsidP="004C79C1">
            <w:pPr>
              <w:pStyle w:val="Tabletext1"/>
              <w:spacing w:before="0" w:after="120"/>
              <w:jc w:val="center"/>
            </w:pPr>
            <w:r w:rsidRPr="008C0B7F">
              <w:t>8,793</w:t>
            </w:r>
          </w:p>
        </w:tc>
        <w:tc>
          <w:tcPr>
            <w:tcW w:w="1701" w:type="dxa"/>
          </w:tcPr>
          <w:p w14:paraId="3B97981C" w14:textId="77777777" w:rsidR="000E482F" w:rsidRDefault="000E482F" w:rsidP="004C79C1">
            <w:pPr>
              <w:pStyle w:val="Tabletext1"/>
              <w:tabs>
                <w:tab w:val="decimal" w:pos="673"/>
                <w:tab w:val="decimal" w:pos="853"/>
              </w:tabs>
              <w:spacing w:before="0" w:after="120"/>
              <w:jc w:val="center"/>
            </w:pPr>
            <w:r w:rsidRPr="00957C54">
              <w:t>6.8%</w:t>
            </w:r>
          </w:p>
        </w:tc>
      </w:tr>
      <w:tr w:rsidR="000E482F" w14:paraId="4499DD58" w14:textId="77777777" w:rsidTr="00723891">
        <w:tc>
          <w:tcPr>
            <w:tcW w:w="1560" w:type="dxa"/>
            <w:vAlign w:val="center"/>
          </w:tcPr>
          <w:p w14:paraId="13482FA8" w14:textId="77777777" w:rsidR="000E482F" w:rsidRDefault="000E482F" w:rsidP="004C79C1">
            <w:pPr>
              <w:pStyle w:val="Tabletext1"/>
              <w:spacing w:before="0" w:after="120"/>
            </w:pPr>
            <w:r>
              <w:t>SPECT</w:t>
            </w:r>
          </w:p>
        </w:tc>
        <w:tc>
          <w:tcPr>
            <w:tcW w:w="4223" w:type="dxa"/>
            <w:vAlign w:val="center"/>
          </w:tcPr>
          <w:p w14:paraId="5358F395" w14:textId="77777777" w:rsidR="000E482F" w:rsidRDefault="000E482F" w:rsidP="004C79C1">
            <w:pPr>
              <w:pStyle w:val="Tabletext1"/>
              <w:spacing w:before="0" w:after="120"/>
            </w:pPr>
            <w:r>
              <w:t>MBS item 61303, 2014–15 services</w:t>
            </w:r>
          </w:p>
        </w:tc>
        <w:tc>
          <w:tcPr>
            <w:tcW w:w="1701" w:type="dxa"/>
            <w:vAlign w:val="center"/>
          </w:tcPr>
          <w:p w14:paraId="168573C6" w14:textId="77777777" w:rsidR="000E482F" w:rsidRDefault="000E482F" w:rsidP="004C79C1">
            <w:pPr>
              <w:pStyle w:val="Tabletext1"/>
              <w:spacing w:before="0" w:after="120"/>
              <w:jc w:val="center"/>
            </w:pPr>
            <w:r w:rsidRPr="008C0B7F">
              <w:t>6,630</w:t>
            </w:r>
          </w:p>
        </w:tc>
        <w:tc>
          <w:tcPr>
            <w:tcW w:w="1701" w:type="dxa"/>
          </w:tcPr>
          <w:p w14:paraId="18B721D6" w14:textId="77777777" w:rsidR="000E482F" w:rsidRDefault="000E482F" w:rsidP="004C79C1">
            <w:pPr>
              <w:pStyle w:val="Tabletext1"/>
              <w:tabs>
                <w:tab w:val="decimal" w:pos="673"/>
                <w:tab w:val="decimal" w:pos="853"/>
              </w:tabs>
              <w:spacing w:before="0" w:after="120"/>
              <w:jc w:val="center"/>
            </w:pPr>
            <w:r w:rsidRPr="00957C54">
              <w:t>5.1%</w:t>
            </w:r>
          </w:p>
        </w:tc>
      </w:tr>
    </w:tbl>
    <w:p w14:paraId="5DCD4133" w14:textId="77777777" w:rsidR="000E482F" w:rsidRPr="003111F8" w:rsidRDefault="000E482F" w:rsidP="004C79C1">
      <w:pPr>
        <w:pStyle w:val="Tablenotes0"/>
        <w:spacing w:before="0" w:after="120"/>
      </w:pPr>
      <w:r>
        <w:t>CTCA = c</w:t>
      </w:r>
      <w:r w:rsidRPr="00CB69D1">
        <w:t>omputed tomography coronary angiography</w:t>
      </w:r>
      <w:r>
        <w:t xml:space="preserve">; Echo = echocardiography; </w:t>
      </w:r>
      <w:r w:rsidRPr="004D49EE">
        <w:t>ICA = invasive coronary angiogram;</w:t>
      </w:r>
      <w:r>
        <w:t xml:space="preserve"> MBS = Medicare Benefits Schedule; SPECT = single-photon emission computed tomography</w:t>
      </w:r>
    </w:p>
    <w:p w14:paraId="264B1F44" w14:textId="21E6796C" w:rsidR="000E482F" w:rsidRDefault="000E482F" w:rsidP="004C79C1">
      <w:pPr>
        <w:spacing w:after="120" w:line="240" w:lineRule="auto"/>
        <w:jc w:val="both"/>
      </w:pPr>
      <w:r>
        <w:rPr>
          <w:lang w:eastAsia="en-US"/>
        </w:rPr>
        <w:t xml:space="preserve">The estimated number of comparator tests performed for diagnostic clarification of DCM is presented in </w:t>
      </w:r>
      <w:r w:rsidR="00784480">
        <w:rPr>
          <w:lang w:eastAsia="en-US"/>
        </w:rPr>
        <w:fldChar w:fldCharType="begin"/>
      </w:r>
      <w:r w:rsidR="00784480">
        <w:rPr>
          <w:lang w:eastAsia="en-US"/>
        </w:rPr>
        <w:instrText xml:space="preserve"> REF _Ref444762123 \h </w:instrText>
      </w:r>
      <w:r w:rsidR="00784480">
        <w:rPr>
          <w:lang w:eastAsia="en-US"/>
        </w:rPr>
      </w:r>
      <w:r w:rsidR="00784480">
        <w:rPr>
          <w:lang w:eastAsia="en-US"/>
        </w:rPr>
        <w:fldChar w:fldCharType="separate"/>
      </w:r>
      <w:r w:rsidR="00784480">
        <w:t xml:space="preserve">Table </w:t>
      </w:r>
      <w:r w:rsidR="00784480">
        <w:rPr>
          <w:noProof/>
        </w:rPr>
        <w:t>66</w:t>
      </w:r>
      <w:r w:rsidR="00784480">
        <w:rPr>
          <w:lang w:eastAsia="en-US"/>
        </w:rPr>
        <w:fldChar w:fldCharType="end"/>
      </w:r>
      <w:r>
        <w:rPr>
          <w:lang w:eastAsia="en-US"/>
        </w:rPr>
        <w:t>.</w:t>
      </w:r>
    </w:p>
    <w:p w14:paraId="2AFB3019" w14:textId="2E3AEEF5" w:rsidR="000E482F" w:rsidRDefault="000E482F" w:rsidP="004C79C1">
      <w:pPr>
        <w:pStyle w:val="Caption"/>
        <w:keepNext/>
      </w:pPr>
      <w:bookmarkStart w:id="708" w:name="_Ref444762123"/>
      <w:bookmarkStart w:id="709" w:name="_Toc449555026"/>
      <w:bookmarkStart w:id="710" w:name="_Toc324410237"/>
      <w:bookmarkStart w:id="711" w:name="_Toc451435393"/>
      <w:r>
        <w:t xml:space="preserve">Table </w:t>
      </w:r>
      <w:fldSimple w:instr=" SEQ Table \* ARABIC ">
        <w:r w:rsidR="00050936">
          <w:rPr>
            <w:noProof/>
          </w:rPr>
          <w:t>66</w:t>
        </w:r>
      </w:fldSimple>
      <w:bookmarkEnd w:id="708"/>
      <w:r>
        <w:tab/>
        <w:t>Estimation of the number of comparator tests offset for diagnostic clarification</w:t>
      </w:r>
      <w:bookmarkEnd w:id="709"/>
      <w:bookmarkEnd w:id="710"/>
      <w:bookmarkEnd w:id="711"/>
    </w:p>
    <w:tbl>
      <w:tblPr>
        <w:tblStyle w:val="TableGrid"/>
        <w:tblW w:w="0" w:type="auto"/>
        <w:tblLayout w:type="fixed"/>
        <w:tblLook w:val="04A0" w:firstRow="1" w:lastRow="0" w:firstColumn="1" w:lastColumn="0" w:noHBand="0" w:noVBand="1"/>
        <w:tblDescription w:val="Estimation of the number of comparator tests offset for diagnostic clarification"/>
      </w:tblPr>
      <w:tblGrid>
        <w:gridCol w:w="704"/>
        <w:gridCol w:w="2835"/>
        <w:gridCol w:w="992"/>
        <w:gridCol w:w="1134"/>
        <w:gridCol w:w="1134"/>
        <w:gridCol w:w="1134"/>
        <w:gridCol w:w="1083"/>
      </w:tblGrid>
      <w:tr w:rsidR="000E482F" w:rsidRPr="004E3AA5" w14:paraId="595AC1C0" w14:textId="77777777" w:rsidTr="00723891">
        <w:trPr>
          <w:tblHeader/>
        </w:trPr>
        <w:tc>
          <w:tcPr>
            <w:tcW w:w="704" w:type="dxa"/>
            <w:tcBorders>
              <w:bottom w:val="single" w:sz="4" w:space="0" w:color="auto"/>
            </w:tcBorders>
          </w:tcPr>
          <w:p w14:paraId="0170F1FF" w14:textId="77777777" w:rsidR="000E482F" w:rsidRPr="004E3AA5" w:rsidRDefault="000E482F" w:rsidP="004C79C1">
            <w:pPr>
              <w:pStyle w:val="TableHeading"/>
              <w:spacing w:before="0" w:after="120"/>
            </w:pPr>
            <w:r>
              <w:t>Row</w:t>
            </w:r>
          </w:p>
        </w:tc>
        <w:tc>
          <w:tcPr>
            <w:tcW w:w="2835" w:type="dxa"/>
            <w:tcBorders>
              <w:bottom w:val="single" w:sz="4" w:space="0" w:color="auto"/>
            </w:tcBorders>
          </w:tcPr>
          <w:p w14:paraId="65007EFA" w14:textId="77777777" w:rsidR="000E482F" w:rsidRPr="004E3AA5" w:rsidRDefault="000E482F" w:rsidP="004C79C1">
            <w:pPr>
              <w:pStyle w:val="TableHeading"/>
              <w:spacing w:before="0" w:after="120"/>
            </w:pPr>
          </w:p>
        </w:tc>
        <w:tc>
          <w:tcPr>
            <w:tcW w:w="992" w:type="dxa"/>
            <w:tcBorders>
              <w:bottom w:val="single" w:sz="4" w:space="0" w:color="auto"/>
            </w:tcBorders>
          </w:tcPr>
          <w:p w14:paraId="5F1437A1" w14:textId="21CCE713" w:rsidR="000E482F" w:rsidRPr="004E3AA5" w:rsidRDefault="000E482F" w:rsidP="004C79C1">
            <w:pPr>
              <w:pStyle w:val="TableHeading"/>
              <w:spacing w:before="0" w:after="120"/>
              <w:jc w:val="center"/>
            </w:pPr>
            <w:r w:rsidRPr="004E3AA5">
              <w:t>2016</w:t>
            </w:r>
            <w:r w:rsidR="00F10E12">
              <w:t>–</w:t>
            </w:r>
            <w:r w:rsidRPr="004E3AA5">
              <w:t>17</w:t>
            </w:r>
          </w:p>
        </w:tc>
        <w:tc>
          <w:tcPr>
            <w:tcW w:w="1134" w:type="dxa"/>
            <w:tcBorders>
              <w:bottom w:val="single" w:sz="4" w:space="0" w:color="auto"/>
            </w:tcBorders>
          </w:tcPr>
          <w:p w14:paraId="25A6F5A1" w14:textId="4CC97847" w:rsidR="000E482F" w:rsidRPr="004E3AA5" w:rsidRDefault="000E482F" w:rsidP="004C79C1">
            <w:pPr>
              <w:pStyle w:val="TableHeading"/>
              <w:spacing w:before="0" w:after="120"/>
              <w:jc w:val="center"/>
            </w:pPr>
            <w:r w:rsidRPr="004E3AA5">
              <w:t>2017</w:t>
            </w:r>
            <w:r w:rsidR="00F10E12">
              <w:t>–</w:t>
            </w:r>
            <w:r w:rsidRPr="004E3AA5">
              <w:t>18</w:t>
            </w:r>
          </w:p>
        </w:tc>
        <w:tc>
          <w:tcPr>
            <w:tcW w:w="1134" w:type="dxa"/>
            <w:tcBorders>
              <w:bottom w:val="single" w:sz="4" w:space="0" w:color="auto"/>
            </w:tcBorders>
          </w:tcPr>
          <w:p w14:paraId="1129E8AC" w14:textId="6818145B" w:rsidR="000E482F" w:rsidRPr="004E3AA5" w:rsidRDefault="000E482F" w:rsidP="004C79C1">
            <w:pPr>
              <w:pStyle w:val="TableHeading"/>
              <w:spacing w:before="0" w:after="120"/>
              <w:jc w:val="center"/>
            </w:pPr>
            <w:r w:rsidRPr="004E3AA5">
              <w:t>2018</w:t>
            </w:r>
            <w:r w:rsidR="00F10E12">
              <w:t>–</w:t>
            </w:r>
            <w:r w:rsidRPr="004E3AA5">
              <w:t>19</w:t>
            </w:r>
          </w:p>
        </w:tc>
        <w:tc>
          <w:tcPr>
            <w:tcW w:w="1134" w:type="dxa"/>
            <w:tcBorders>
              <w:bottom w:val="single" w:sz="4" w:space="0" w:color="auto"/>
            </w:tcBorders>
          </w:tcPr>
          <w:p w14:paraId="0FCFD765" w14:textId="7ED1DBB8" w:rsidR="000E482F" w:rsidRPr="004E3AA5" w:rsidRDefault="000E482F" w:rsidP="004C79C1">
            <w:pPr>
              <w:pStyle w:val="TableHeading"/>
              <w:spacing w:before="0" w:after="120"/>
              <w:jc w:val="center"/>
            </w:pPr>
            <w:r w:rsidRPr="004E3AA5">
              <w:t>2019</w:t>
            </w:r>
            <w:r w:rsidR="00F10E12">
              <w:t>–</w:t>
            </w:r>
            <w:r w:rsidRPr="004E3AA5">
              <w:t>20</w:t>
            </w:r>
          </w:p>
        </w:tc>
        <w:tc>
          <w:tcPr>
            <w:tcW w:w="1083" w:type="dxa"/>
            <w:tcBorders>
              <w:bottom w:val="single" w:sz="4" w:space="0" w:color="auto"/>
            </w:tcBorders>
          </w:tcPr>
          <w:p w14:paraId="3386E70E" w14:textId="53E71AED" w:rsidR="000E482F" w:rsidRPr="004E3AA5" w:rsidRDefault="000E482F" w:rsidP="004C79C1">
            <w:pPr>
              <w:pStyle w:val="TableHeading"/>
              <w:spacing w:before="0" w:after="120"/>
              <w:jc w:val="center"/>
            </w:pPr>
            <w:r w:rsidRPr="004E3AA5">
              <w:t>2020</w:t>
            </w:r>
            <w:r w:rsidR="00F10E12">
              <w:t>–</w:t>
            </w:r>
            <w:r w:rsidRPr="004E3AA5">
              <w:t>21</w:t>
            </w:r>
          </w:p>
        </w:tc>
      </w:tr>
      <w:tr w:rsidR="000E482F" w14:paraId="594C08E9" w14:textId="77777777" w:rsidTr="00723891">
        <w:tc>
          <w:tcPr>
            <w:tcW w:w="704" w:type="dxa"/>
          </w:tcPr>
          <w:p w14:paraId="46A28089" w14:textId="77777777" w:rsidR="000E482F" w:rsidRDefault="000E482F" w:rsidP="004C79C1">
            <w:pPr>
              <w:pStyle w:val="Tabletext1"/>
              <w:spacing w:before="0" w:after="120"/>
            </w:pPr>
            <w:r>
              <w:t>E</w:t>
            </w:r>
          </w:p>
        </w:tc>
        <w:tc>
          <w:tcPr>
            <w:tcW w:w="2835" w:type="dxa"/>
          </w:tcPr>
          <w:p w14:paraId="6329DDEF" w14:textId="77777777" w:rsidR="000E482F" w:rsidRDefault="000E482F" w:rsidP="004C79C1">
            <w:pPr>
              <w:pStyle w:val="Tabletext1"/>
              <w:spacing w:before="0" w:after="120"/>
              <w:rPr>
                <w:lang w:eastAsia="en-US"/>
              </w:rPr>
            </w:pPr>
            <w:r>
              <w:t>Number of suspected/diagnosed cases of DCM</w:t>
            </w:r>
          </w:p>
        </w:tc>
        <w:tc>
          <w:tcPr>
            <w:tcW w:w="992" w:type="dxa"/>
          </w:tcPr>
          <w:p w14:paraId="583415AE" w14:textId="77777777" w:rsidR="000E482F" w:rsidRDefault="000E482F" w:rsidP="004C79C1">
            <w:pPr>
              <w:pStyle w:val="Tabletext1"/>
              <w:spacing w:before="0" w:after="120"/>
              <w:jc w:val="right"/>
              <w:rPr>
                <w:color w:val="000000"/>
              </w:rPr>
            </w:pPr>
            <w:r w:rsidRPr="0065789F">
              <w:t>4</w:t>
            </w:r>
            <w:r>
              <w:t>,</w:t>
            </w:r>
            <w:r w:rsidRPr="0065789F">
              <w:t>480</w:t>
            </w:r>
          </w:p>
        </w:tc>
        <w:tc>
          <w:tcPr>
            <w:tcW w:w="1134" w:type="dxa"/>
          </w:tcPr>
          <w:p w14:paraId="613097B7" w14:textId="77777777" w:rsidR="000E482F" w:rsidRDefault="000E482F" w:rsidP="004C79C1">
            <w:pPr>
              <w:pStyle w:val="Tabletext1"/>
              <w:spacing w:before="0" w:after="120"/>
              <w:jc w:val="right"/>
              <w:rPr>
                <w:color w:val="000000"/>
              </w:rPr>
            </w:pPr>
            <w:r w:rsidRPr="0065789F">
              <w:t>4</w:t>
            </w:r>
            <w:r>
              <w:t>,</w:t>
            </w:r>
            <w:r w:rsidRPr="0065789F">
              <w:t>557</w:t>
            </w:r>
          </w:p>
        </w:tc>
        <w:tc>
          <w:tcPr>
            <w:tcW w:w="1134" w:type="dxa"/>
          </w:tcPr>
          <w:p w14:paraId="203929B7" w14:textId="77777777" w:rsidR="000E482F" w:rsidRDefault="000E482F" w:rsidP="004C79C1">
            <w:pPr>
              <w:pStyle w:val="Tabletext1"/>
              <w:spacing w:before="0" w:after="120"/>
              <w:jc w:val="right"/>
              <w:rPr>
                <w:color w:val="000000"/>
              </w:rPr>
            </w:pPr>
            <w:r w:rsidRPr="0065789F">
              <w:t>4</w:t>
            </w:r>
            <w:r>
              <w:t>,</w:t>
            </w:r>
            <w:r w:rsidRPr="0065789F">
              <w:t>633</w:t>
            </w:r>
          </w:p>
        </w:tc>
        <w:tc>
          <w:tcPr>
            <w:tcW w:w="1134" w:type="dxa"/>
          </w:tcPr>
          <w:p w14:paraId="4C0209FA" w14:textId="77777777" w:rsidR="000E482F" w:rsidRDefault="000E482F" w:rsidP="004C79C1">
            <w:pPr>
              <w:pStyle w:val="Tabletext1"/>
              <w:spacing w:before="0" w:after="120"/>
              <w:jc w:val="right"/>
              <w:rPr>
                <w:color w:val="000000"/>
              </w:rPr>
            </w:pPr>
            <w:r w:rsidRPr="0065789F">
              <w:t>4</w:t>
            </w:r>
            <w:r>
              <w:t>,</w:t>
            </w:r>
            <w:r w:rsidRPr="0065789F">
              <w:t>707</w:t>
            </w:r>
          </w:p>
        </w:tc>
        <w:tc>
          <w:tcPr>
            <w:tcW w:w="1083" w:type="dxa"/>
          </w:tcPr>
          <w:p w14:paraId="05459404" w14:textId="77777777" w:rsidR="000E482F" w:rsidRDefault="000E482F" w:rsidP="004C79C1">
            <w:pPr>
              <w:pStyle w:val="Tabletext1"/>
              <w:spacing w:before="0" w:after="120"/>
              <w:jc w:val="right"/>
              <w:rPr>
                <w:color w:val="000000"/>
              </w:rPr>
            </w:pPr>
            <w:r w:rsidRPr="0065789F">
              <w:t>4</w:t>
            </w:r>
            <w:r>
              <w:t>,</w:t>
            </w:r>
            <w:r w:rsidRPr="0065789F">
              <w:t>781</w:t>
            </w:r>
          </w:p>
        </w:tc>
      </w:tr>
      <w:tr w:rsidR="000E482F" w:rsidRPr="008E5371" w14:paraId="4B142DBC" w14:textId="77777777" w:rsidTr="00784480">
        <w:tc>
          <w:tcPr>
            <w:tcW w:w="704" w:type="dxa"/>
            <w:tcBorders>
              <w:right w:val="nil"/>
            </w:tcBorders>
          </w:tcPr>
          <w:p w14:paraId="54FEB9F8" w14:textId="77777777" w:rsidR="000E482F" w:rsidRPr="008E5371" w:rsidRDefault="000E482F" w:rsidP="004C79C1">
            <w:pPr>
              <w:pStyle w:val="Tabletext1"/>
              <w:spacing w:before="0" w:after="120"/>
              <w:rPr>
                <w:b/>
              </w:rPr>
            </w:pPr>
          </w:p>
        </w:tc>
        <w:tc>
          <w:tcPr>
            <w:tcW w:w="2835" w:type="dxa"/>
            <w:tcBorders>
              <w:right w:val="nil"/>
            </w:tcBorders>
          </w:tcPr>
          <w:p w14:paraId="4B314B71" w14:textId="3F24335F" w:rsidR="000E482F" w:rsidRPr="008E5371" w:rsidRDefault="000E482F" w:rsidP="004C79C1">
            <w:pPr>
              <w:pStyle w:val="TableText0"/>
              <w:spacing w:before="0" w:after="120"/>
              <w:rPr>
                <w:b/>
              </w:rPr>
            </w:pPr>
            <w:r>
              <w:rPr>
                <w:b/>
              </w:rPr>
              <w:t>Population iiA:</w:t>
            </w:r>
            <w:r w:rsidRPr="008E5371">
              <w:rPr>
                <w:b/>
              </w:rPr>
              <w:t xml:space="preserve"> </w:t>
            </w:r>
            <w:r w:rsidR="00BE5AF2">
              <w:rPr>
                <w:b/>
              </w:rPr>
              <w:t>l</w:t>
            </w:r>
            <w:r w:rsidRPr="008E5371">
              <w:rPr>
                <w:b/>
              </w:rPr>
              <w:t>ow-risk of CAD</w:t>
            </w:r>
            <w:r>
              <w:rPr>
                <w:b/>
              </w:rPr>
              <w:t xml:space="preserve"> (15%)</w:t>
            </w:r>
          </w:p>
        </w:tc>
        <w:tc>
          <w:tcPr>
            <w:tcW w:w="992" w:type="dxa"/>
            <w:tcBorders>
              <w:left w:val="nil"/>
              <w:right w:val="nil"/>
            </w:tcBorders>
          </w:tcPr>
          <w:p w14:paraId="3D27FA8E" w14:textId="77777777" w:rsidR="000E482F" w:rsidRPr="008E5371" w:rsidRDefault="000E482F" w:rsidP="004C79C1">
            <w:pPr>
              <w:pStyle w:val="TableText0"/>
              <w:spacing w:before="0" w:after="120"/>
              <w:jc w:val="right"/>
            </w:pPr>
          </w:p>
        </w:tc>
        <w:tc>
          <w:tcPr>
            <w:tcW w:w="1134" w:type="dxa"/>
            <w:tcBorders>
              <w:left w:val="nil"/>
              <w:right w:val="nil"/>
            </w:tcBorders>
          </w:tcPr>
          <w:p w14:paraId="41C3DE85" w14:textId="77777777" w:rsidR="000E482F" w:rsidRPr="008E5371" w:rsidRDefault="000E482F" w:rsidP="004C79C1">
            <w:pPr>
              <w:pStyle w:val="TableText0"/>
              <w:spacing w:before="0" w:after="120"/>
              <w:jc w:val="right"/>
            </w:pPr>
          </w:p>
        </w:tc>
        <w:tc>
          <w:tcPr>
            <w:tcW w:w="1134" w:type="dxa"/>
            <w:tcBorders>
              <w:left w:val="nil"/>
              <w:right w:val="nil"/>
            </w:tcBorders>
          </w:tcPr>
          <w:p w14:paraId="123C725B" w14:textId="77777777" w:rsidR="000E482F" w:rsidRPr="008E5371" w:rsidRDefault="000E482F" w:rsidP="004C79C1">
            <w:pPr>
              <w:pStyle w:val="TableText0"/>
              <w:spacing w:before="0" w:after="120"/>
              <w:jc w:val="right"/>
            </w:pPr>
          </w:p>
        </w:tc>
        <w:tc>
          <w:tcPr>
            <w:tcW w:w="1134" w:type="dxa"/>
            <w:tcBorders>
              <w:left w:val="nil"/>
              <w:right w:val="nil"/>
            </w:tcBorders>
          </w:tcPr>
          <w:p w14:paraId="33FBBEF6" w14:textId="77777777" w:rsidR="000E482F" w:rsidRPr="008E5371" w:rsidRDefault="000E482F" w:rsidP="004C79C1">
            <w:pPr>
              <w:pStyle w:val="TableText0"/>
              <w:spacing w:before="0" w:after="120"/>
              <w:jc w:val="right"/>
            </w:pPr>
          </w:p>
        </w:tc>
        <w:tc>
          <w:tcPr>
            <w:tcW w:w="1083" w:type="dxa"/>
            <w:tcBorders>
              <w:left w:val="nil"/>
            </w:tcBorders>
          </w:tcPr>
          <w:p w14:paraId="5BD9BC28" w14:textId="77777777" w:rsidR="000E482F" w:rsidRPr="008E5371" w:rsidRDefault="000E482F" w:rsidP="004C79C1">
            <w:pPr>
              <w:pStyle w:val="TableText0"/>
              <w:spacing w:before="0" w:after="120"/>
              <w:jc w:val="right"/>
            </w:pPr>
          </w:p>
        </w:tc>
      </w:tr>
      <w:tr w:rsidR="000E482F" w14:paraId="3669D86B" w14:textId="77777777" w:rsidTr="00723891">
        <w:tc>
          <w:tcPr>
            <w:tcW w:w="704" w:type="dxa"/>
            <w:tcBorders>
              <w:bottom w:val="single" w:sz="4" w:space="0" w:color="auto"/>
            </w:tcBorders>
          </w:tcPr>
          <w:p w14:paraId="602B7204" w14:textId="77777777" w:rsidR="000E482F" w:rsidRDefault="000E482F" w:rsidP="004C79C1">
            <w:pPr>
              <w:pStyle w:val="Tabletext1"/>
              <w:spacing w:before="0" w:after="120"/>
              <w:rPr>
                <w:lang w:eastAsia="en-US"/>
              </w:rPr>
            </w:pPr>
            <w:r>
              <w:rPr>
                <w:lang w:eastAsia="en-US"/>
              </w:rPr>
              <w:t>N</w:t>
            </w:r>
          </w:p>
        </w:tc>
        <w:tc>
          <w:tcPr>
            <w:tcW w:w="2835" w:type="dxa"/>
            <w:tcBorders>
              <w:bottom w:val="single" w:sz="4" w:space="0" w:color="auto"/>
            </w:tcBorders>
          </w:tcPr>
          <w:p w14:paraId="7DC1F2CB" w14:textId="6FBDE762" w:rsidR="000E482F" w:rsidRDefault="000E482F" w:rsidP="004C79C1">
            <w:pPr>
              <w:pStyle w:val="Tabletext1"/>
              <w:spacing w:before="0" w:after="120"/>
              <w:rPr>
                <w:lang w:eastAsia="en-US"/>
              </w:rPr>
            </w:pPr>
            <w:r>
              <w:rPr>
                <w:lang w:eastAsia="en-US"/>
              </w:rPr>
              <w:t xml:space="preserve">Number of eligible CMR tests </w:t>
            </w:r>
            <w:r w:rsidR="00BE5AF2">
              <w:rPr>
                <w:lang w:eastAsia="en-US"/>
              </w:rPr>
              <w:br/>
            </w:r>
            <w:r>
              <w:rPr>
                <w:lang w:eastAsia="en-US"/>
              </w:rPr>
              <w:t>(= E*15%)</w:t>
            </w:r>
            <w:r w:rsidR="00BE5AF2">
              <w:rPr>
                <w:lang w:eastAsia="en-US"/>
              </w:rPr>
              <w:t xml:space="preserve"> </w:t>
            </w:r>
            <w:r w:rsidR="00BE5AF2" w:rsidRPr="00784480">
              <w:rPr>
                <w:vertAlign w:val="superscript"/>
                <w:lang w:eastAsia="en-US"/>
              </w:rPr>
              <w:t>a</w:t>
            </w:r>
          </w:p>
        </w:tc>
        <w:tc>
          <w:tcPr>
            <w:tcW w:w="992" w:type="dxa"/>
            <w:tcBorders>
              <w:bottom w:val="single" w:sz="4" w:space="0" w:color="auto"/>
            </w:tcBorders>
            <w:vAlign w:val="bottom"/>
          </w:tcPr>
          <w:p w14:paraId="148C52CE" w14:textId="77777777" w:rsidR="000E482F" w:rsidRPr="001A1EFE" w:rsidRDefault="000E482F" w:rsidP="004C79C1">
            <w:pPr>
              <w:pStyle w:val="Tabletext1"/>
              <w:spacing w:before="0" w:after="120"/>
              <w:jc w:val="right"/>
              <w:rPr>
                <w:lang w:eastAsia="en-US"/>
              </w:rPr>
            </w:pPr>
            <w:r>
              <w:rPr>
                <w:color w:val="000000"/>
              </w:rPr>
              <w:t>672</w:t>
            </w:r>
          </w:p>
        </w:tc>
        <w:tc>
          <w:tcPr>
            <w:tcW w:w="1134" w:type="dxa"/>
            <w:tcBorders>
              <w:bottom w:val="single" w:sz="4" w:space="0" w:color="auto"/>
            </w:tcBorders>
            <w:vAlign w:val="bottom"/>
          </w:tcPr>
          <w:p w14:paraId="66516274" w14:textId="77777777" w:rsidR="000E482F" w:rsidRPr="001A1EFE" w:rsidRDefault="000E482F" w:rsidP="004C79C1">
            <w:pPr>
              <w:pStyle w:val="Tabletext1"/>
              <w:spacing w:before="0" w:after="120"/>
              <w:jc w:val="right"/>
              <w:rPr>
                <w:lang w:eastAsia="en-US"/>
              </w:rPr>
            </w:pPr>
            <w:r>
              <w:rPr>
                <w:color w:val="000000"/>
              </w:rPr>
              <w:t>684</w:t>
            </w:r>
          </w:p>
        </w:tc>
        <w:tc>
          <w:tcPr>
            <w:tcW w:w="1134" w:type="dxa"/>
            <w:tcBorders>
              <w:bottom w:val="single" w:sz="4" w:space="0" w:color="auto"/>
            </w:tcBorders>
            <w:vAlign w:val="bottom"/>
          </w:tcPr>
          <w:p w14:paraId="5B3AF021" w14:textId="77777777" w:rsidR="000E482F" w:rsidRPr="001A1EFE" w:rsidRDefault="000E482F" w:rsidP="004C79C1">
            <w:pPr>
              <w:pStyle w:val="Tabletext1"/>
              <w:spacing w:before="0" w:after="120"/>
              <w:jc w:val="right"/>
              <w:rPr>
                <w:lang w:eastAsia="en-US"/>
              </w:rPr>
            </w:pPr>
            <w:r>
              <w:rPr>
                <w:color w:val="000000"/>
              </w:rPr>
              <w:t>695</w:t>
            </w:r>
          </w:p>
        </w:tc>
        <w:tc>
          <w:tcPr>
            <w:tcW w:w="1134" w:type="dxa"/>
            <w:tcBorders>
              <w:bottom w:val="single" w:sz="4" w:space="0" w:color="auto"/>
            </w:tcBorders>
            <w:vAlign w:val="bottom"/>
          </w:tcPr>
          <w:p w14:paraId="7F1B02B8" w14:textId="77777777" w:rsidR="000E482F" w:rsidRPr="001A1EFE" w:rsidRDefault="000E482F" w:rsidP="004C79C1">
            <w:pPr>
              <w:pStyle w:val="Tabletext1"/>
              <w:spacing w:before="0" w:after="120"/>
              <w:jc w:val="right"/>
              <w:rPr>
                <w:lang w:eastAsia="en-US"/>
              </w:rPr>
            </w:pPr>
            <w:r>
              <w:rPr>
                <w:color w:val="000000"/>
              </w:rPr>
              <w:t>706</w:t>
            </w:r>
          </w:p>
        </w:tc>
        <w:tc>
          <w:tcPr>
            <w:tcW w:w="1083" w:type="dxa"/>
            <w:tcBorders>
              <w:bottom w:val="single" w:sz="4" w:space="0" w:color="auto"/>
            </w:tcBorders>
            <w:vAlign w:val="bottom"/>
          </w:tcPr>
          <w:p w14:paraId="4A4439CA" w14:textId="77777777" w:rsidR="000E482F" w:rsidRPr="001A1EFE" w:rsidRDefault="000E482F" w:rsidP="004C79C1">
            <w:pPr>
              <w:pStyle w:val="Tabletext1"/>
              <w:spacing w:before="0" w:after="120"/>
              <w:jc w:val="right"/>
              <w:rPr>
                <w:lang w:eastAsia="en-US"/>
              </w:rPr>
            </w:pPr>
            <w:r>
              <w:rPr>
                <w:color w:val="000000"/>
              </w:rPr>
              <w:t>717</w:t>
            </w:r>
          </w:p>
        </w:tc>
      </w:tr>
      <w:tr w:rsidR="000E482F" w:rsidRPr="0024769A" w14:paraId="74CCAFF3" w14:textId="77777777" w:rsidTr="00723891">
        <w:tc>
          <w:tcPr>
            <w:tcW w:w="704" w:type="dxa"/>
          </w:tcPr>
          <w:p w14:paraId="15A05924" w14:textId="77777777" w:rsidR="000E482F" w:rsidRPr="008E5371" w:rsidRDefault="000E482F" w:rsidP="004C79C1">
            <w:pPr>
              <w:pStyle w:val="Tabletext1"/>
              <w:spacing w:before="0" w:after="120"/>
              <w:rPr>
                <w:lang w:eastAsia="en-US"/>
              </w:rPr>
            </w:pPr>
            <w:r>
              <w:rPr>
                <w:lang w:eastAsia="en-US"/>
              </w:rPr>
              <w:t>O</w:t>
            </w:r>
          </w:p>
        </w:tc>
        <w:tc>
          <w:tcPr>
            <w:tcW w:w="2835" w:type="dxa"/>
            <w:vAlign w:val="bottom"/>
          </w:tcPr>
          <w:p w14:paraId="43886C81" w14:textId="77777777" w:rsidR="000E482F" w:rsidRPr="008E5371" w:rsidRDefault="000E482F" w:rsidP="004C79C1">
            <w:pPr>
              <w:pStyle w:val="Tabletext1"/>
              <w:spacing w:before="0" w:after="120"/>
            </w:pPr>
            <w:r w:rsidRPr="008E5371">
              <w:rPr>
                <w:lang w:eastAsia="en-US"/>
              </w:rPr>
              <w:t>Number of test offset</w:t>
            </w:r>
            <w:r>
              <w:rPr>
                <w:lang w:eastAsia="en-US"/>
              </w:rPr>
              <w:t>s</w:t>
            </w:r>
          </w:p>
        </w:tc>
        <w:tc>
          <w:tcPr>
            <w:tcW w:w="992" w:type="dxa"/>
            <w:vAlign w:val="bottom"/>
          </w:tcPr>
          <w:p w14:paraId="63B77411" w14:textId="77777777" w:rsidR="000E482F" w:rsidRPr="002F3FDD" w:rsidRDefault="000E482F" w:rsidP="004C79C1">
            <w:pPr>
              <w:pStyle w:val="Tabletext1"/>
              <w:spacing w:before="0" w:after="120"/>
              <w:jc w:val="right"/>
            </w:pPr>
            <w:r>
              <w:rPr>
                <w:color w:val="000000"/>
              </w:rPr>
              <w:t>0</w:t>
            </w:r>
          </w:p>
        </w:tc>
        <w:tc>
          <w:tcPr>
            <w:tcW w:w="1134" w:type="dxa"/>
            <w:vAlign w:val="bottom"/>
          </w:tcPr>
          <w:p w14:paraId="0FEC9CE6" w14:textId="77777777" w:rsidR="000E482F" w:rsidRPr="002F3FDD" w:rsidRDefault="000E482F" w:rsidP="004C79C1">
            <w:pPr>
              <w:pStyle w:val="Tabletext1"/>
              <w:spacing w:before="0" w:after="120"/>
              <w:jc w:val="right"/>
            </w:pPr>
            <w:r>
              <w:rPr>
                <w:color w:val="000000"/>
              </w:rPr>
              <w:t>0</w:t>
            </w:r>
          </w:p>
        </w:tc>
        <w:tc>
          <w:tcPr>
            <w:tcW w:w="1134" w:type="dxa"/>
            <w:vAlign w:val="bottom"/>
          </w:tcPr>
          <w:p w14:paraId="034BEC8A" w14:textId="77777777" w:rsidR="000E482F" w:rsidRPr="002F3FDD" w:rsidRDefault="000E482F" w:rsidP="004C79C1">
            <w:pPr>
              <w:pStyle w:val="Tabletext1"/>
              <w:spacing w:before="0" w:after="120"/>
              <w:jc w:val="right"/>
            </w:pPr>
            <w:r>
              <w:rPr>
                <w:color w:val="000000"/>
              </w:rPr>
              <w:t>0</w:t>
            </w:r>
          </w:p>
        </w:tc>
        <w:tc>
          <w:tcPr>
            <w:tcW w:w="1134" w:type="dxa"/>
            <w:vAlign w:val="bottom"/>
          </w:tcPr>
          <w:p w14:paraId="12BE1A77" w14:textId="77777777" w:rsidR="000E482F" w:rsidRPr="002F3FDD" w:rsidRDefault="000E482F" w:rsidP="004C79C1">
            <w:pPr>
              <w:pStyle w:val="Tabletext1"/>
              <w:spacing w:before="0" w:after="120"/>
              <w:jc w:val="right"/>
            </w:pPr>
            <w:r>
              <w:rPr>
                <w:color w:val="000000"/>
              </w:rPr>
              <w:t>0</w:t>
            </w:r>
          </w:p>
        </w:tc>
        <w:tc>
          <w:tcPr>
            <w:tcW w:w="1083" w:type="dxa"/>
            <w:vAlign w:val="bottom"/>
          </w:tcPr>
          <w:p w14:paraId="220A00C8" w14:textId="77777777" w:rsidR="000E482F" w:rsidRPr="002F3FDD" w:rsidRDefault="000E482F" w:rsidP="004C79C1">
            <w:pPr>
              <w:pStyle w:val="Tabletext1"/>
              <w:spacing w:before="0" w:after="120"/>
              <w:jc w:val="right"/>
            </w:pPr>
            <w:r>
              <w:rPr>
                <w:color w:val="000000"/>
              </w:rPr>
              <w:t>0</w:t>
            </w:r>
          </w:p>
        </w:tc>
      </w:tr>
      <w:tr w:rsidR="000E482F" w:rsidRPr="008E5371" w14:paraId="27CE80A2" w14:textId="77777777" w:rsidTr="00784480">
        <w:trPr>
          <w:tblHeader/>
        </w:trPr>
        <w:tc>
          <w:tcPr>
            <w:tcW w:w="704" w:type="dxa"/>
            <w:tcBorders>
              <w:bottom w:val="single" w:sz="4" w:space="0" w:color="auto"/>
              <w:right w:val="nil"/>
            </w:tcBorders>
          </w:tcPr>
          <w:p w14:paraId="6B86FF6D" w14:textId="77777777" w:rsidR="000E482F" w:rsidRPr="008E5371" w:rsidRDefault="000E482F" w:rsidP="004C79C1">
            <w:pPr>
              <w:pStyle w:val="Tabletext1"/>
              <w:spacing w:before="0" w:after="120"/>
              <w:rPr>
                <w:b/>
              </w:rPr>
            </w:pPr>
          </w:p>
        </w:tc>
        <w:tc>
          <w:tcPr>
            <w:tcW w:w="2835" w:type="dxa"/>
            <w:tcBorders>
              <w:bottom w:val="single" w:sz="4" w:space="0" w:color="auto"/>
              <w:right w:val="nil"/>
            </w:tcBorders>
          </w:tcPr>
          <w:p w14:paraId="3501E612" w14:textId="0B0C2F75" w:rsidR="000E482F" w:rsidRPr="008E5371" w:rsidRDefault="000E482F" w:rsidP="004C79C1">
            <w:pPr>
              <w:pStyle w:val="TableText0"/>
              <w:spacing w:before="0" w:after="120"/>
              <w:rPr>
                <w:b/>
              </w:rPr>
            </w:pPr>
            <w:r>
              <w:rPr>
                <w:b/>
              </w:rPr>
              <w:t>Population iiB</w:t>
            </w:r>
            <w:r w:rsidRPr="008E5371">
              <w:rPr>
                <w:b/>
              </w:rPr>
              <w:t xml:space="preserve">: </w:t>
            </w:r>
            <w:r w:rsidR="00BE5AF2">
              <w:rPr>
                <w:b/>
              </w:rPr>
              <w:t>i</w:t>
            </w:r>
            <w:r>
              <w:rPr>
                <w:b/>
              </w:rPr>
              <w:t xml:space="preserve">ntermediate </w:t>
            </w:r>
            <w:r w:rsidRPr="008E5371">
              <w:rPr>
                <w:b/>
              </w:rPr>
              <w:t>risk of CAD</w:t>
            </w:r>
            <w:r>
              <w:rPr>
                <w:b/>
              </w:rPr>
              <w:t xml:space="preserve"> expected to uptake CMR (60%)</w:t>
            </w:r>
          </w:p>
        </w:tc>
        <w:tc>
          <w:tcPr>
            <w:tcW w:w="992" w:type="dxa"/>
            <w:tcBorders>
              <w:left w:val="nil"/>
              <w:bottom w:val="single" w:sz="4" w:space="0" w:color="auto"/>
              <w:right w:val="nil"/>
            </w:tcBorders>
          </w:tcPr>
          <w:p w14:paraId="24E4028E" w14:textId="77777777" w:rsidR="000E482F" w:rsidRPr="008E5371" w:rsidRDefault="000E482F" w:rsidP="004C79C1">
            <w:pPr>
              <w:pStyle w:val="TableText0"/>
              <w:spacing w:before="0" w:after="120"/>
              <w:jc w:val="right"/>
            </w:pPr>
          </w:p>
        </w:tc>
        <w:tc>
          <w:tcPr>
            <w:tcW w:w="1134" w:type="dxa"/>
            <w:tcBorders>
              <w:left w:val="nil"/>
              <w:bottom w:val="single" w:sz="4" w:space="0" w:color="auto"/>
              <w:right w:val="nil"/>
            </w:tcBorders>
          </w:tcPr>
          <w:p w14:paraId="5A42B609" w14:textId="77777777" w:rsidR="000E482F" w:rsidRPr="008E5371" w:rsidRDefault="000E482F" w:rsidP="004C79C1">
            <w:pPr>
              <w:pStyle w:val="TableText0"/>
              <w:spacing w:before="0" w:after="120"/>
              <w:jc w:val="right"/>
            </w:pPr>
          </w:p>
        </w:tc>
        <w:tc>
          <w:tcPr>
            <w:tcW w:w="1134" w:type="dxa"/>
            <w:tcBorders>
              <w:left w:val="nil"/>
              <w:bottom w:val="single" w:sz="4" w:space="0" w:color="auto"/>
              <w:right w:val="nil"/>
            </w:tcBorders>
          </w:tcPr>
          <w:p w14:paraId="4C4E56CD" w14:textId="77777777" w:rsidR="000E482F" w:rsidRPr="008E5371" w:rsidRDefault="000E482F" w:rsidP="004C79C1">
            <w:pPr>
              <w:pStyle w:val="TableText0"/>
              <w:spacing w:before="0" w:after="120"/>
              <w:jc w:val="right"/>
            </w:pPr>
          </w:p>
        </w:tc>
        <w:tc>
          <w:tcPr>
            <w:tcW w:w="1134" w:type="dxa"/>
            <w:tcBorders>
              <w:left w:val="nil"/>
              <w:bottom w:val="single" w:sz="4" w:space="0" w:color="auto"/>
              <w:right w:val="nil"/>
            </w:tcBorders>
          </w:tcPr>
          <w:p w14:paraId="7464E703" w14:textId="77777777" w:rsidR="000E482F" w:rsidRPr="008E5371" w:rsidRDefault="000E482F" w:rsidP="004C79C1">
            <w:pPr>
              <w:pStyle w:val="TableText0"/>
              <w:spacing w:before="0" w:after="120"/>
              <w:jc w:val="right"/>
            </w:pPr>
          </w:p>
        </w:tc>
        <w:tc>
          <w:tcPr>
            <w:tcW w:w="1083" w:type="dxa"/>
            <w:tcBorders>
              <w:left w:val="nil"/>
              <w:bottom w:val="single" w:sz="4" w:space="0" w:color="auto"/>
            </w:tcBorders>
          </w:tcPr>
          <w:p w14:paraId="5DFF578C" w14:textId="77777777" w:rsidR="000E482F" w:rsidRPr="008E5371" w:rsidRDefault="000E482F" w:rsidP="004C79C1">
            <w:pPr>
              <w:pStyle w:val="TableText0"/>
              <w:spacing w:before="0" w:after="120"/>
              <w:jc w:val="right"/>
            </w:pPr>
          </w:p>
        </w:tc>
      </w:tr>
      <w:tr w:rsidR="000E482F" w:rsidRPr="008E5371" w14:paraId="295BEA4F" w14:textId="77777777" w:rsidTr="00723891">
        <w:trPr>
          <w:tblHeader/>
        </w:trPr>
        <w:tc>
          <w:tcPr>
            <w:tcW w:w="704" w:type="dxa"/>
            <w:tcBorders>
              <w:right w:val="single" w:sz="4" w:space="0" w:color="auto"/>
            </w:tcBorders>
          </w:tcPr>
          <w:p w14:paraId="38299A79" w14:textId="77777777" w:rsidR="000E482F" w:rsidRDefault="000E482F" w:rsidP="004C79C1">
            <w:pPr>
              <w:pStyle w:val="Tabletext1"/>
              <w:spacing w:before="0" w:after="120"/>
            </w:pPr>
            <w:r>
              <w:t>P</w:t>
            </w:r>
          </w:p>
        </w:tc>
        <w:tc>
          <w:tcPr>
            <w:tcW w:w="2835" w:type="dxa"/>
            <w:tcBorders>
              <w:right w:val="single" w:sz="4" w:space="0" w:color="auto"/>
            </w:tcBorders>
          </w:tcPr>
          <w:p w14:paraId="2F17E2B5" w14:textId="7AF6F5C3" w:rsidR="000E482F" w:rsidRPr="008E5371" w:rsidRDefault="000E482F" w:rsidP="004C79C1">
            <w:pPr>
              <w:pStyle w:val="TableText0"/>
              <w:spacing w:before="0" w:after="120"/>
              <w:rPr>
                <w:b/>
              </w:rPr>
            </w:pPr>
            <w:r>
              <w:t>Number of eligible CMR tests (E*60%)</w:t>
            </w:r>
            <w:r w:rsidR="00BE5AF2">
              <w:rPr>
                <w:vertAlign w:val="superscript"/>
              </w:rPr>
              <w:t xml:space="preserve"> b</w:t>
            </w:r>
          </w:p>
        </w:tc>
        <w:tc>
          <w:tcPr>
            <w:tcW w:w="992" w:type="dxa"/>
            <w:tcBorders>
              <w:left w:val="single" w:sz="4" w:space="0" w:color="auto"/>
              <w:right w:val="single" w:sz="4" w:space="0" w:color="auto"/>
            </w:tcBorders>
            <w:vAlign w:val="bottom"/>
          </w:tcPr>
          <w:p w14:paraId="42610FEC" w14:textId="77777777" w:rsidR="000E482F" w:rsidRPr="008E5371" w:rsidRDefault="000E482F" w:rsidP="004C79C1">
            <w:pPr>
              <w:pStyle w:val="TableText0"/>
              <w:spacing w:before="0" w:after="120"/>
              <w:jc w:val="right"/>
            </w:pPr>
            <w:r>
              <w:rPr>
                <w:color w:val="000000"/>
                <w:szCs w:val="20"/>
              </w:rPr>
              <w:t>2,666</w:t>
            </w:r>
          </w:p>
        </w:tc>
        <w:tc>
          <w:tcPr>
            <w:tcW w:w="1134" w:type="dxa"/>
            <w:tcBorders>
              <w:left w:val="single" w:sz="4" w:space="0" w:color="auto"/>
              <w:right w:val="single" w:sz="4" w:space="0" w:color="auto"/>
            </w:tcBorders>
            <w:vAlign w:val="bottom"/>
          </w:tcPr>
          <w:p w14:paraId="20ACA63B" w14:textId="77777777" w:rsidR="000E482F" w:rsidRPr="008E5371" w:rsidRDefault="000E482F" w:rsidP="004C79C1">
            <w:pPr>
              <w:pStyle w:val="TableText0"/>
              <w:spacing w:before="0" w:after="120"/>
              <w:jc w:val="right"/>
            </w:pPr>
            <w:r>
              <w:rPr>
                <w:color w:val="000000"/>
                <w:szCs w:val="20"/>
              </w:rPr>
              <w:t>2,711</w:t>
            </w:r>
          </w:p>
        </w:tc>
        <w:tc>
          <w:tcPr>
            <w:tcW w:w="1134" w:type="dxa"/>
            <w:tcBorders>
              <w:left w:val="single" w:sz="4" w:space="0" w:color="auto"/>
              <w:right w:val="single" w:sz="4" w:space="0" w:color="auto"/>
            </w:tcBorders>
            <w:vAlign w:val="bottom"/>
          </w:tcPr>
          <w:p w14:paraId="1A71E294" w14:textId="77777777" w:rsidR="000E482F" w:rsidRPr="008E5371" w:rsidRDefault="000E482F" w:rsidP="004C79C1">
            <w:pPr>
              <w:pStyle w:val="TableText0"/>
              <w:spacing w:before="0" w:after="120"/>
              <w:jc w:val="right"/>
            </w:pPr>
            <w:r>
              <w:rPr>
                <w:color w:val="000000"/>
                <w:szCs w:val="20"/>
              </w:rPr>
              <w:t>2,756</w:t>
            </w:r>
          </w:p>
        </w:tc>
        <w:tc>
          <w:tcPr>
            <w:tcW w:w="1134" w:type="dxa"/>
            <w:tcBorders>
              <w:left w:val="single" w:sz="4" w:space="0" w:color="auto"/>
              <w:right w:val="single" w:sz="4" w:space="0" w:color="auto"/>
            </w:tcBorders>
            <w:vAlign w:val="bottom"/>
          </w:tcPr>
          <w:p w14:paraId="1E0E03A3" w14:textId="77777777" w:rsidR="000E482F" w:rsidRPr="008E5371" w:rsidRDefault="000E482F" w:rsidP="004C79C1">
            <w:pPr>
              <w:pStyle w:val="TableText0"/>
              <w:spacing w:before="0" w:after="120"/>
              <w:jc w:val="right"/>
            </w:pPr>
            <w:r>
              <w:rPr>
                <w:color w:val="000000"/>
                <w:szCs w:val="20"/>
              </w:rPr>
              <w:t>2,801</w:t>
            </w:r>
          </w:p>
        </w:tc>
        <w:tc>
          <w:tcPr>
            <w:tcW w:w="1083" w:type="dxa"/>
            <w:tcBorders>
              <w:left w:val="single" w:sz="4" w:space="0" w:color="auto"/>
            </w:tcBorders>
            <w:vAlign w:val="bottom"/>
          </w:tcPr>
          <w:p w14:paraId="1AAE3CB7" w14:textId="77777777" w:rsidR="000E482F" w:rsidRPr="008E5371" w:rsidRDefault="000E482F" w:rsidP="004C79C1">
            <w:pPr>
              <w:pStyle w:val="TableText0"/>
              <w:spacing w:before="0" w:after="120"/>
              <w:jc w:val="right"/>
            </w:pPr>
            <w:r>
              <w:rPr>
                <w:color w:val="000000"/>
                <w:szCs w:val="20"/>
              </w:rPr>
              <w:t>2,845</w:t>
            </w:r>
          </w:p>
        </w:tc>
      </w:tr>
      <w:tr w:rsidR="000E482F" w:rsidRPr="0024769A" w14:paraId="1B2221F5" w14:textId="77777777" w:rsidTr="00723891">
        <w:tc>
          <w:tcPr>
            <w:tcW w:w="704" w:type="dxa"/>
          </w:tcPr>
          <w:p w14:paraId="4638AA85" w14:textId="77777777" w:rsidR="000E482F" w:rsidRDefault="000E482F" w:rsidP="004C79C1">
            <w:pPr>
              <w:pStyle w:val="Tabletext1"/>
              <w:spacing w:before="0" w:after="120"/>
              <w:rPr>
                <w:bCs/>
                <w:color w:val="000000"/>
              </w:rPr>
            </w:pPr>
            <w:r>
              <w:rPr>
                <w:bCs/>
                <w:color w:val="000000"/>
              </w:rPr>
              <w:t>Q</w:t>
            </w:r>
          </w:p>
        </w:tc>
        <w:tc>
          <w:tcPr>
            <w:tcW w:w="2835" w:type="dxa"/>
            <w:vAlign w:val="bottom"/>
          </w:tcPr>
          <w:p w14:paraId="06F297A5" w14:textId="77777777" w:rsidR="000E482F" w:rsidRDefault="000E482F" w:rsidP="004C79C1">
            <w:pPr>
              <w:pStyle w:val="Tabletext1"/>
              <w:spacing w:before="0" w:after="120"/>
              <w:rPr>
                <w:bCs/>
                <w:color w:val="000000"/>
              </w:rPr>
            </w:pPr>
            <w:r>
              <w:rPr>
                <w:bCs/>
                <w:color w:val="000000"/>
              </w:rPr>
              <w:t>Offset test: ICA (P*54%)</w:t>
            </w:r>
          </w:p>
        </w:tc>
        <w:tc>
          <w:tcPr>
            <w:tcW w:w="992" w:type="dxa"/>
          </w:tcPr>
          <w:p w14:paraId="23B05AED" w14:textId="77777777" w:rsidR="000E482F" w:rsidRDefault="000E482F" w:rsidP="004C79C1">
            <w:pPr>
              <w:pStyle w:val="Tabletext1"/>
              <w:spacing w:before="0" w:after="120"/>
              <w:jc w:val="right"/>
              <w:rPr>
                <w:color w:val="000000"/>
              </w:rPr>
            </w:pPr>
            <w:r w:rsidRPr="00365C1E">
              <w:t>1,426</w:t>
            </w:r>
          </w:p>
        </w:tc>
        <w:tc>
          <w:tcPr>
            <w:tcW w:w="1134" w:type="dxa"/>
          </w:tcPr>
          <w:p w14:paraId="3F9D029A" w14:textId="77777777" w:rsidR="000E482F" w:rsidRDefault="000E482F" w:rsidP="004C79C1">
            <w:pPr>
              <w:pStyle w:val="Tabletext1"/>
              <w:spacing w:before="0" w:after="120"/>
              <w:jc w:val="right"/>
              <w:rPr>
                <w:color w:val="000000"/>
              </w:rPr>
            </w:pPr>
            <w:r w:rsidRPr="00365C1E">
              <w:t>1,451</w:t>
            </w:r>
          </w:p>
        </w:tc>
        <w:tc>
          <w:tcPr>
            <w:tcW w:w="1134" w:type="dxa"/>
          </w:tcPr>
          <w:p w14:paraId="057992E2" w14:textId="77777777" w:rsidR="000E482F" w:rsidRDefault="000E482F" w:rsidP="004C79C1">
            <w:pPr>
              <w:pStyle w:val="Tabletext1"/>
              <w:spacing w:before="0" w:after="120"/>
              <w:jc w:val="right"/>
              <w:rPr>
                <w:color w:val="000000"/>
              </w:rPr>
            </w:pPr>
            <w:r w:rsidRPr="00365C1E">
              <w:t>1,475</w:t>
            </w:r>
          </w:p>
        </w:tc>
        <w:tc>
          <w:tcPr>
            <w:tcW w:w="1134" w:type="dxa"/>
          </w:tcPr>
          <w:p w14:paraId="24049FC6" w14:textId="77777777" w:rsidR="000E482F" w:rsidRDefault="000E482F" w:rsidP="004C79C1">
            <w:pPr>
              <w:pStyle w:val="Tabletext1"/>
              <w:spacing w:before="0" w:after="120"/>
              <w:jc w:val="right"/>
              <w:rPr>
                <w:color w:val="000000"/>
              </w:rPr>
            </w:pPr>
            <w:r w:rsidRPr="00365C1E">
              <w:t>1,499</w:t>
            </w:r>
          </w:p>
        </w:tc>
        <w:tc>
          <w:tcPr>
            <w:tcW w:w="1083" w:type="dxa"/>
          </w:tcPr>
          <w:p w14:paraId="60724732" w14:textId="77777777" w:rsidR="000E482F" w:rsidRDefault="000E482F" w:rsidP="004C79C1">
            <w:pPr>
              <w:pStyle w:val="Tabletext1"/>
              <w:spacing w:before="0" w:after="120"/>
              <w:jc w:val="right"/>
              <w:rPr>
                <w:color w:val="000000"/>
              </w:rPr>
            </w:pPr>
            <w:r w:rsidRPr="00365C1E">
              <w:t>1,522</w:t>
            </w:r>
          </w:p>
        </w:tc>
      </w:tr>
      <w:tr w:rsidR="000E482F" w:rsidRPr="0024769A" w14:paraId="4E91BD9F" w14:textId="77777777" w:rsidTr="00723891">
        <w:tc>
          <w:tcPr>
            <w:tcW w:w="704" w:type="dxa"/>
          </w:tcPr>
          <w:p w14:paraId="077D70D9" w14:textId="77777777" w:rsidR="000E482F" w:rsidRDefault="000E482F" w:rsidP="004C79C1">
            <w:pPr>
              <w:pStyle w:val="Tabletext1"/>
              <w:spacing w:before="0" w:after="120"/>
              <w:rPr>
                <w:bCs/>
                <w:color w:val="000000"/>
              </w:rPr>
            </w:pPr>
            <w:r>
              <w:rPr>
                <w:bCs/>
                <w:color w:val="000000"/>
              </w:rPr>
              <w:t>R</w:t>
            </w:r>
          </w:p>
        </w:tc>
        <w:tc>
          <w:tcPr>
            <w:tcW w:w="2835" w:type="dxa"/>
            <w:vAlign w:val="bottom"/>
          </w:tcPr>
          <w:p w14:paraId="725EFB30" w14:textId="77777777" w:rsidR="000E482F" w:rsidRPr="00AD2CA5" w:rsidRDefault="000E482F" w:rsidP="004C79C1">
            <w:pPr>
              <w:pStyle w:val="Tabletext1"/>
              <w:spacing w:before="0" w:after="120"/>
            </w:pPr>
            <w:r>
              <w:rPr>
                <w:bCs/>
                <w:color w:val="000000"/>
              </w:rPr>
              <w:t xml:space="preserve">Offset test: </w:t>
            </w:r>
            <w:r w:rsidRPr="00AD2CA5">
              <w:rPr>
                <w:bCs/>
                <w:color w:val="000000"/>
              </w:rPr>
              <w:t>CTCA</w:t>
            </w:r>
            <w:r>
              <w:rPr>
                <w:bCs/>
                <w:color w:val="000000"/>
              </w:rPr>
              <w:t xml:space="preserve"> (P*35%)</w:t>
            </w:r>
          </w:p>
        </w:tc>
        <w:tc>
          <w:tcPr>
            <w:tcW w:w="992" w:type="dxa"/>
          </w:tcPr>
          <w:p w14:paraId="40D74FC8" w14:textId="77777777" w:rsidR="000E482F" w:rsidRPr="002520C6" w:rsidRDefault="000E482F" w:rsidP="004C79C1">
            <w:pPr>
              <w:pStyle w:val="Tabletext1"/>
              <w:spacing w:before="0" w:after="120"/>
              <w:jc w:val="right"/>
            </w:pPr>
            <w:r w:rsidRPr="0071318A">
              <w:t>923</w:t>
            </w:r>
          </w:p>
        </w:tc>
        <w:tc>
          <w:tcPr>
            <w:tcW w:w="1134" w:type="dxa"/>
          </w:tcPr>
          <w:p w14:paraId="1F1C8280" w14:textId="77777777" w:rsidR="000E482F" w:rsidRPr="002520C6" w:rsidRDefault="000E482F" w:rsidP="004C79C1">
            <w:pPr>
              <w:pStyle w:val="Tabletext1"/>
              <w:spacing w:before="0" w:after="120"/>
              <w:jc w:val="right"/>
            </w:pPr>
            <w:r w:rsidRPr="0071318A">
              <w:t>939</w:t>
            </w:r>
          </w:p>
        </w:tc>
        <w:tc>
          <w:tcPr>
            <w:tcW w:w="1134" w:type="dxa"/>
          </w:tcPr>
          <w:p w14:paraId="23C72FFC" w14:textId="77777777" w:rsidR="000E482F" w:rsidRPr="002520C6" w:rsidRDefault="000E482F" w:rsidP="004C79C1">
            <w:pPr>
              <w:pStyle w:val="Tabletext1"/>
              <w:spacing w:before="0" w:after="120"/>
              <w:jc w:val="right"/>
            </w:pPr>
            <w:r w:rsidRPr="0071318A">
              <w:t>954</w:t>
            </w:r>
          </w:p>
        </w:tc>
        <w:tc>
          <w:tcPr>
            <w:tcW w:w="1134" w:type="dxa"/>
          </w:tcPr>
          <w:p w14:paraId="2B8894F7" w14:textId="77777777" w:rsidR="000E482F" w:rsidRPr="002520C6" w:rsidRDefault="000E482F" w:rsidP="004C79C1">
            <w:pPr>
              <w:pStyle w:val="Tabletext1"/>
              <w:spacing w:before="0" w:after="120"/>
              <w:jc w:val="right"/>
            </w:pPr>
            <w:r w:rsidRPr="0071318A">
              <w:t>970</w:t>
            </w:r>
          </w:p>
        </w:tc>
        <w:tc>
          <w:tcPr>
            <w:tcW w:w="1083" w:type="dxa"/>
          </w:tcPr>
          <w:p w14:paraId="31C786F9" w14:textId="77777777" w:rsidR="000E482F" w:rsidRPr="002520C6" w:rsidRDefault="000E482F" w:rsidP="004C79C1">
            <w:pPr>
              <w:pStyle w:val="Tabletext1"/>
              <w:spacing w:before="0" w:after="120"/>
              <w:jc w:val="right"/>
            </w:pPr>
            <w:r w:rsidRPr="0071318A">
              <w:t>985</w:t>
            </w:r>
          </w:p>
        </w:tc>
      </w:tr>
      <w:tr w:rsidR="000E482F" w:rsidRPr="0024769A" w14:paraId="6B805C31" w14:textId="77777777" w:rsidTr="00723891">
        <w:tc>
          <w:tcPr>
            <w:tcW w:w="704" w:type="dxa"/>
          </w:tcPr>
          <w:p w14:paraId="48245B52" w14:textId="77777777" w:rsidR="000E482F" w:rsidRDefault="000E482F" w:rsidP="004C79C1">
            <w:pPr>
              <w:pStyle w:val="Tabletext1"/>
              <w:spacing w:before="0" w:after="120"/>
              <w:rPr>
                <w:bCs/>
                <w:color w:val="000000"/>
              </w:rPr>
            </w:pPr>
            <w:r>
              <w:rPr>
                <w:bCs/>
                <w:color w:val="000000"/>
              </w:rPr>
              <w:t>S</w:t>
            </w:r>
          </w:p>
        </w:tc>
        <w:tc>
          <w:tcPr>
            <w:tcW w:w="2835" w:type="dxa"/>
            <w:vAlign w:val="bottom"/>
          </w:tcPr>
          <w:p w14:paraId="35D03B78" w14:textId="77777777" w:rsidR="000E482F" w:rsidRDefault="000E482F" w:rsidP="004C79C1">
            <w:pPr>
              <w:pStyle w:val="Tabletext1"/>
              <w:spacing w:before="0" w:after="120"/>
              <w:rPr>
                <w:bCs/>
                <w:color w:val="000000"/>
              </w:rPr>
            </w:pPr>
            <w:r>
              <w:rPr>
                <w:bCs/>
                <w:color w:val="000000"/>
              </w:rPr>
              <w:t>Offset test: stress Echo (P*7%)</w:t>
            </w:r>
          </w:p>
        </w:tc>
        <w:tc>
          <w:tcPr>
            <w:tcW w:w="992" w:type="dxa"/>
          </w:tcPr>
          <w:p w14:paraId="10864CE7" w14:textId="77777777" w:rsidR="000E482F" w:rsidRDefault="000E482F" w:rsidP="004C79C1">
            <w:pPr>
              <w:pStyle w:val="Tabletext1"/>
              <w:spacing w:before="0" w:after="120"/>
              <w:jc w:val="right"/>
              <w:rPr>
                <w:color w:val="000000"/>
              </w:rPr>
            </w:pPr>
            <w:r w:rsidRPr="00973D05">
              <w:t>180</w:t>
            </w:r>
          </w:p>
        </w:tc>
        <w:tc>
          <w:tcPr>
            <w:tcW w:w="1134" w:type="dxa"/>
          </w:tcPr>
          <w:p w14:paraId="0B40F963" w14:textId="77777777" w:rsidR="000E482F" w:rsidRDefault="000E482F" w:rsidP="004C79C1">
            <w:pPr>
              <w:pStyle w:val="Tabletext1"/>
              <w:spacing w:before="0" w:after="120"/>
              <w:jc w:val="right"/>
              <w:rPr>
                <w:color w:val="000000"/>
              </w:rPr>
            </w:pPr>
            <w:r w:rsidRPr="00973D05">
              <w:t>184</w:t>
            </w:r>
          </w:p>
        </w:tc>
        <w:tc>
          <w:tcPr>
            <w:tcW w:w="1134" w:type="dxa"/>
          </w:tcPr>
          <w:p w14:paraId="56ABF8AC" w14:textId="77777777" w:rsidR="000E482F" w:rsidRDefault="000E482F" w:rsidP="004C79C1">
            <w:pPr>
              <w:pStyle w:val="Tabletext1"/>
              <w:spacing w:before="0" w:after="120"/>
              <w:jc w:val="right"/>
              <w:rPr>
                <w:color w:val="000000"/>
              </w:rPr>
            </w:pPr>
            <w:r w:rsidRPr="00973D05">
              <w:t>187</w:t>
            </w:r>
          </w:p>
        </w:tc>
        <w:tc>
          <w:tcPr>
            <w:tcW w:w="1134" w:type="dxa"/>
          </w:tcPr>
          <w:p w14:paraId="1E6FB0AF" w14:textId="77777777" w:rsidR="000E482F" w:rsidRDefault="000E482F" w:rsidP="004C79C1">
            <w:pPr>
              <w:pStyle w:val="Tabletext1"/>
              <w:spacing w:before="0" w:after="120"/>
              <w:jc w:val="right"/>
              <w:rPr>
                <w:color w:val="000000"/>
              </w:rPr>
            </w:pPr>
            <w:r w:rsidRPr="00973D05">
              <w:t>190</w:t>
            </w:r>
          </w:p>
        </w:tc>
        <w:tc>
          <w:tcPr>
            <w:tcW w:w="1083" w:type="dxa"/>
          </w:tcPr>
          <w:p w14:paraId="3DD9E704" w14:textId="77777777" w:rsidR="000E482F" w:rsidRDefault="000E482F" w:rsidP="004C79C1">
            <w:pPr>
              <w:pStyle w:val="Tabletext1"/>
              <w:spacing w:before="0" w:after="120"/>
              <w:jc w:val="right"/>
              <w:rPr>
                <w:color w:val="000000"/>
              </w:rPr>
            </w:pPr>
            <w:r w:rsidRPr="00973D05">
              <w:t>193</w:t>
            </w:r>
          </w:p>
        </w:tc>
      </w:tr>
      <w:tr w:rsidR="000E482F" w:rsidRPr="0024769A" w14:paraId="0268B791" w14:textId="77777777" w:rsidTr="00723891">
        <w:tc>
          <w:tcPr>
            <w:tcW w:w="704" w:type="dxa"/>
          </w:tcPr>
          <w:p w14:paraId="365DB88A" w14:textId="77777777" w:rsidR="000E482F" w:rsidRDefault="000E482F" w:rsidP="004C79C1">
            <w:pPr>
              <w:pStyle w:val="Tabletext1"/>
              <w:spacing w:before="0" w:after="120"/>
              <w:rPr>
                <w:bCs/>
                <w:color w:val="000000"/>
              </w:rPr>
            </w:pPr>
            <w:r>
              <w:rPr>
                <w:bCs/>
                <w:color w:val="000000"/>
              </w:rPr>
              <w:t>T</w:t>
            </w:r>
          </w:p>
        </w:tc>
        <w:tc>
          <w:tcPr>
            <w:tcW w:w="2835" w:type="dxa"/>
            <w:vAlign w:val="bottom"/>
          </w:tcPr>
          <w:p w14:paraId="447D5FF9" w14:textId="198CD1AA" w:rsidR="000E482F" w:rsidRPr="00AD2CA5" w:rsidRDefault="000E482F" w:rsidP="004C79C1">
            <w:pPr>
              <w:pStyle w:val="Tabletext1"/>
              <w:spacing w:before="0" w:after="120"/>
            </w:pPr>
            <w:r>
              <w:rPr>
                <w:bCs/>
                <w:color w:val="000000"/>
              </w:rPr>
              <w:t xml:space="preserve">Offset test: </w:t>
            </w:r>
            <w:r w:rsidRPr="00AD2CA5">
              <w:rPr>
                <w:bCs/>
                <w:color w:val="000000"/>
              </w:rPr>
              <w:t>SPECT</w:t>
            </w:r>
            <w:r>
              <w:rPr>
                <w:bCs/>
                <w:color w:val="000000"/>
              </w:rPr>
              <w:t xml:space="preserve"> (=</w:t>
            </w:r>
            <w:r w:rsidR="007906D7">
              <w:rPr>
                <w:bCs/>
                <w:color w:val="000000"/>
              </w:rPr>
              <w:t xml:space="preserve"> </w:t>
            </w:r>
            <w:r>
              <w:rPr>
                <w:bCs/>
                <w:color w:val="000000"/>
              </w:rPr>
              <w:t>P*5%)</w:t>
            </w:r>
          </w:p>
        </w:tc>
        <w:tc>
          <w:tcPr>
            <w:tcW w:w="992" w:type="dxa"/>
          </w:tcPr>
          <w:p w14:paraId="18D7A522" w14:textId="77777777" w:rsidR="000E482F" w:rsidRPr="002520C6" w:rsidRDefault="000E482F" w:rsidP="004C79C1">
            <w:pPr>
              <w:pStyle w:val="Tabletext1"/>
              <w:spacing w:before="0" w:after="120"/>
              <w:jc w:val="right"/>
            </w:pPr>
            <w:r w:rsidRPr="00DE612F">
              <w:t>136</w:t>
            </w:r>
          </w:p>
        </w:tc>
        <w:tc>
          <w:tcPr>
            <w:tcW w:w="1134" w:type="dxa"/>
          </w:tcPr>
          <w:p w14:paraId="23E6BC61" w14:textId="77777777" w:rsidR="000E482F" w:rsidRPr="002520C6" w:rsidRDefault="000E482F" w:rsidP="004C79C1">
            <w:pPr>
              <w:pStyle w:val="Tabletext1"/>
              <w:spacing w:before="0" w:after="120"/>
              <w:jc w:val="right"/>
            </w:pPr>
            <w:r w:rsidRPr="00DE612F">
              <w:t>138</w:t>
            </w:r>
          </w:p>
        </w:tc>
        <w:tc>
          <w:tcPr>
            <w:tcW w:w="1134" w:type="dxa"/>
          </w:tcPr>
          <w:p w14:paraId="65D5A376" w14:textId="77777777" w:rsidR="000E482F" w:rsidRPr="002520C6" w:rsidRDefault="000E482F" w:rsidP="004C79C1">
            <w:pPr>
              <w:pStyle w:val="Tabletext1"/>
              <w:spacing w:before="0" w:after="120"/>
              <w:jc w:val="right"/>
            </w:pPr>
            <w:r w:rsidRPr="00DE612F">
              <w:t>141</w:t>
            </w:r>
          </w:p>
        </w:tc>
        <w:tc>
          <w:tcPr>
            <w:tcW w:w="1134" w:type="dxa"/>
          </w:tcPr>
          <w:p w14:paraId="4FECD7FB" w14:textId="77777777" w:rsidR="000E482F" w:rsidRPr="002520C6" w:rsidRDefault="000E482F" w:rsidP="004C79C1">
            <w:pPr>
              <w:pStyle w:val="Tabletext1"/>
              <w:spacing w:before="0" w:after="120"/>
              <w:jc w:val="right"/>
            </w:pPr>
            <w:r w:rsidRPr="00DE612F">
              <w:t>143</w:t>
            </w:r>
          </w:p>
        </w:tc>
        <w:tc>
          <w:tcPr>
            <w:tcW w:w="1083" w:type="dxa"/>
          </w:tcPr>
          <w:p w14:paraId="4C26AA86" w14:textId="77777777" w:rsidR="000E482F" w:rsidRPr="002520C6" w:rsidRDefault="000E482F" w:rsidP="004C79C1">
            <w:pPr>
              <w:pStyle w:val="Tabletext1"/>
              <w:spacing w:before="0" w:after="120"/>
              <w:jc w:val="right"/>
            </w:pPr>
            <w:r w:rsidRPr="00DE612F">
              <w:t>145</w:t>
            </w:r>
          </w:p>
        </w:tc>
      </w:tr>
      <w:tr w:rsidR="000E482F" w:rsidRPr="008E5371" w14:paraId="278DCDFA" w14:textId="77777777" w:rsidTr="00723891">
        <w:trPr>
          <w:tblHeader/>
        </w:trPr>
        <w:tc>
          <w:tcPr>
            <w:tcW w:w="704" w:type="dxa"/>
            <w:tcBorders>
              <w:right w:val="single" w:sz="4" w:space="0" w:color="auto"/>
            </w:tcBorders>
          </w:tcPr>
          <w:p w14:paraId="0656E3D6" w14:textId="77777777" w:rsidR="000E482F" w:rsidRPr="00F54845" w:rsidRDefault="000E482F" w:rsidP="004C79C1">
            <w:pPr>
              <w:pStyle w:val="Tabletext1"/>
              <w:spacing w:before="0" w:after="120"/>
              <w:rPr>
                <w:b/>
              </w:rPr>
            </w:pPr>
            <w:r>
              <w:rPr>
                <w:b/>
              </w:rPr>
              <w:t>G</w:t>
            </w:r>
          </w:p>
        </w:tc>
        <w:tc>
          <w:tcPr>
            <w:tcW w:w="2835" w:type="dxa"/>
            <w:tcBorders>
              <w:right w:val="single" w:sz="4" w:space="0" w:color="auto"/>
            </w:tcBorders>
          </w:tcPr>
          <w:p w14:paraId="4E6F3806" w14:textId="77777777" w:rsidR="000E482F" w:rsidRPr="00F54845" w:rsidRDefault="000E482F" w:rsidP="004C79C1">
            <w:pPr>
              <w:pStyle w:val="TableText0"/>
              <w:spacing w:before="0" w:after="120"/>
              <w:rPr>
                <w:b/>
              </w:rPr>
            </w:pPr>
            <w:r w:rsidRPr="00F54845">
              <w:rPr>
                <w:b/>
              </w:rPr>
              <w:t>Total number of eligible CMR tests</w:t>
            </w:r>
            <w:r>
              <w:rPr>
                <w:b/>
              </w:rPr>
              <w:t xml:space="preserve"> in population ii</w:t>
            </w:r>
          </w:p>
        </w:tc>
        <w:tc>
          <w:tcPr>
            <w:tcW w:w="992" w:type="dxa"/>
            <w:tcBorders>
              <w:left w:val="single" w:sz="4" w:space="0" w:color="auto"/>
              <w:right w:val="single" w:sz="4" w:space="0" w:color="auto"/>
            </w:tcBorders>
            <w:vAlign w:val="bottom"/>
          </w:tcPr>
          <w:p w14:paraId="1BC52041" w14:textId="77777777" w:rsidR="000E482F" w:rsidRDefault="000E482F" w:rsidP="004C79C1">
            <w:pPr>
              <w:pStyle w:val="TableText0"/>
              <w:spacing w:before="0" w:after="120"/>
              <w:jc w:val="right"/>
              <w:rPr>
                <w:color w:val="000000"/>
                <w:szCs w:val="20"/>
              </w:rPr>
            </w:pPr>
            <w:r w:rsidRPr="00AD2CA5">
              <w:rPr>
                <w:b/>
                <w:color w:val="000000"/>
                <w:szCs w:val="20"/>
              </w:rPr>
              <w:t>3,338</w:t>
            </w:r>
          </w:p>
        </w:tc>
        <w:tc>
          <w:tcPr>
            <w:tcW w:w="1134" w:type="dxa"/>
            <w:tcBorders>
              <w:left w:val="single" w:sz="4" w:space="0" w:color="auto"/>
              <w:right w:val="single" w:sz="4" w:space="0" w:color="auto"/>
            </w:tcBorders>
            <w:vAlign w:val="bottom"/>
          </w:tcPr>
          <w:p w14:paraId="74731F3F" w14:textId="77777777" w:rsidR="000E482F" w:rsidRDefault="000E482F" w:rsidP="004C79C1">
            <w:pPr>
              <w:pStyle w:val="TableText0"/>
              <w:spacing w:before="0" w:after="120"/>
              <w:jc w:val="right"/>
              <w:rPr>
                <w:color w:val="000000"/>
                <w:szCs w:val="20"/>
              </w:rPr>
            </w:pPr>
            <w:r w:rsidRPr="00AD2CA5">
              <w:rPr>
                <w:b/>
                <w:color w:val="000000"/>
                <w:szCs w:val="20"/>
              </w:rPr>
              <w:t>3,395</w:t>
            </w:r>
          </w:p>
        </w:tc>
        <w:tc>
          <w:tcPr>
            <w:tcW w:w="1134" w:type="dxa"/>
            <w:tcBorders>
              <w:left w:val="single" w:sz="4" w:space="0" w:color="auto"/>
              <w:right w:val="single" w:sz="4" w:space="0" w:color="auto"/>
            </w:tcBorders>
            <w:vAlign w:val="bottom"/>
          </w:tcPr>
          <w:p w14:paraId="7F82B895" w14:textId="77777777" w:rsidR="000E482F" w:rsidRDefault="000E482F" w:rsidP="004C79C1">
            <w:pPr>
              <w:pStyle w:val="TableText0"/>
              <w:spacing w:before="0" w:after="120"/>
              <w:jc w:val="right"/>
              <w:rPr>
                <w:color w:val="000000"/>
                <w:szCs w:val="20"/>
              </w:rPr>
            </w:pPr>
            <w:r w:rsidRPr="00AD2CA5">
              <w:rPr>
                <w:b/>
                <w:color w:val="000000"/>
                <w:szCs w:val="20"/>
              </w:rPr>
              <w:t>3,451</w:t>
            </w:r>
          </w:p>
        </w:tc>
        <w:tc>
          <w:tcPr>
            <w:tcW w:w="1134" w:type="dxa"/>
            <w:tcBorders>
              <w:left w:val="single" w:sz="4" w:space="0" w:color="auto"/>
              <w:right w:val="single" w:sz="4" w:space="0" w:color="auto"/>
            </w:tcBorders>
            <w:vAlign w:val="bottom"/>
          </w:tcPr>
          <w:p w14:paraId="54F02057" w14:textId="77777777" w:rsidR="000E482F" w:rsidRDefault="000E482F" w:rsidP="004C79C1">
            <w:pPr>
              <w:pStyle w:val="TableText0"/>
              <w:spacing w:before="0" w:after="120"/>
              <w:jc w:val="right"/>
              <w:rPr>
                <w:color w:val="000000"/>
                <w:szCs w:val="20"/>
              </w:rPr>
            </w:pPr>
            <w:r w:rsidRPr="00AD2CA5">
              <w:rPr>
                <w:b/>
                <w:color w:val="000000"/>
                <w:szCs w:val="20"/>
              </w:rPr>
              <w:t>3,507</w:t>
            </w:r>
          </w:p>
        </w:tc>
        <w:tc>
          <w:tcPr>
            <w:tcW w:w="1083" w:type="dxa"/>
            <w:tcBorders>
              <w:left w:val="single" w:sz="4" w:space="0" w:color="auto"/>
            </w:tcBorders>
            <w:vAlign w:val="bottom"/>
          </w:tcPr>
          <w:p w14:paraId="1B159F52" w14:textId="77777777" w:rsidR="000E482F" w:rsidRDefault="000E482F" w:rsidP="004C79C1">
            <w:pPr>
              <w:pStyle w:val="TableText0"/>
              <w:spacing w:before="0" w:after="120"/>
              <w:jc w:val="right"/>
              <w:rPr>
                <w:color w:val="000000"/>
                <w:szCs w:val="20"/>
              </w:rPr>
            </w:pPr>
            <w:r w:rsidRPr="00AD2CA5">
              <w:rPr>
                <w:b/>
                <w:color w:val="000000"/>
                <w:szCs w:val="20"/>
              </w:rPr>
              <w:t>3,562</w:t>
            </w:r>
          </w:p>
        </w:tc>
      </w:tr>
      <w:tr w:rsidR="000E482F" w14:paraId="66765431" w14:textId="77777777" w:rsidTr="00723891">
        <w:tc>
          <w:tcPr>
            <w:tcW w:w="704" w:type="dxa"/>
            <w:tcBorders>
              <w:bottom w:val="single" w:sz="4" w:space="0" w:color="auto"/>
            </w:tcBorders>
          </w:tcPr>
          <w:p w14:paraId="0623CAB6" w14:textId="77777777" w:rsidR="000E482F" w:rsidRPr="001A1EFE" w:rsidRDefault="000E482F" w:rsidP="004C79C1">
            <w:pPr>
              <w:pStyle w:val="Tabletext1"/>
              <w:spacing w:before="0" w:after="120"/>
              <w:rPr>
                <w:b/>
                <w:lang w:eastAsia="en-US"/>
              </w:rPr>
            </w:pPr>
          </w:p>
        </w:tc>
        <w:tc>
          <w:tcPr>
            <w:tcW w:w="2835" w:type="dxa"/>
            <w:tcBorders>
              <w:bottom w:val="single" w:sz="4" w:space="0" w:color="auto"/>
            </w:tcBorders>
          </w:tcPr>
          <w:p w14:paraId="26246842" w14:textId="2A3A1EA6" w:rsidR="000E482F" w:rsidRPr="001A1EFE" w:rsidRDefault="000E482F" w:rsidP="004C79C1">
            <w:pPr>
              <w:pStyle w:val="Tabletext1"/>
              <w:spacing w:before="0" w:after="120"/>
              <w:rPr>
                <w:b/>
              </w:rPr>
            </w:pPr>
            <w:r w:rsidRPr="001A1EFE">
              <w:rPr>
                <w:b/>
                <w:lang w:eastAsia="en-US"/>
              </w:rPr>
              <w:t>Total number of test offset</w:t>
            </w:r>
            <w:r>
              <w:rPr>
                <w:b/>
                <w:lang w:eastAsia="en-US"/>
              </w:rPr>
              <w:t>s</w:t>
            </w:r>
            <w:r w:rsidRPr="001A1EFE">
              <w:rPr>
                <w:b/>
                <w:lang w:eastAsia="en-US"/>
              </w:rPr>
              <w:t xml:space="preserve"> </w:t>
            </w:r>
            <w:r w:rsidR="00BE5AF2">
              <w:rPr>
                <w:b/>
                <w:lang w:eastAsia="en-US"/>
              </w:rPr>
              <w:br/>
            </w:r>
            <w:r>
              <w:rPr>
                <w:b/>
                <w:lang w:eastAsia="en-US"/>
              </w:rPr>
              <w:t>(= O+Q+R+S+T = P)</w:t>
            </w:r>
          </w:p>
        </w:tc>
        <w:tc>
          <w:tcPr>
            <w:tcW w:w="992" w:type="dxa"/>
            <w:tcBorders>
              <w:bottom w:val="single" w:sz="4" w:space="0" w:color="auto"/>
            </w:tcBorders>
            <w:vAlign w:val="bottom"/>
          </w:tcPr>
          <w:p w14:paraId="5DC07208" w14:textId="77777777" w:rsidR="000E482F" w:rsidRPr="00F54845" w:rsidRDefault="000E482F" w:rsidP="004C79C1">
            <w:pPr>
              <w:pStyle w:val="Tabletext1"/>
              <w:spacing w:before="0" w:after="120"/>
              <w:jc w:val="right"/>
              <w:rPr>
                <w:b/>
              </w:rPr>
            </w:pPr>
            <w:r w:rsidRPr="00F54845">
              <w:rPr>
                <w:b/>
                <w:color w:val="000000"/>
              </w:rPr>
              <w:t>2,666</w:t>
            </w:r>
          </w:p>
        </w:tc>
        <w:tc>
          <w:tcPr>
            <w:tcW w:w="1134" w:type="dxa"/>
            <w:tcBorders>
              <w:bottom w:val="single" w:sz="4" w:space="0" w:color="auto"/>
            </w:tcBorders>
            <w:vAlign w:val="bottom"/>
          </w:tcPr>
          <w:p w14:paraId="3AE396BE" w14:textId="77777777" w:rsidR="000E482F" w:rsidRPr="00F54845" w:rsidRDefault="000E482F" w:rsidP="004C79C1">
            <w:pPr>
              <w:pStyle w:val="Tabletext1"/>
              <w:spacing w:before="0" w:after="120"/>
              <w:jc w:val="right"/>
              <w:rPr>
                <w:b/>
              </w:rPr>
            </w:pPr>
            <w:r w:rsidRPr="00F54845">
              <w:rPr>
                <w:b/>
                <w:color w:val="000000"/>
              </w:rPr>
              <w:t>2,711</w:t>
            </w:r>
          </w:p>
        </w:tc>
        <w:tc>
          <w:tcPr>
            <w:tcW w:w="1134" w:type="dxa"/>
            <w:tcBorders>
              <w:bottom w:val="single" w:sz="4" w:space="0" w:color="auto"/>
            </w:tcBorders>
            <w:vAlign w:val="bottom"/>
          </w:tcPr>
          <w:p w14:paraId="481AB7D6" w14:textId="77777777" w:rsidR="000E482F" w:rsidRPr="00F54845" w:rsidRDefault="000E482F" w:rsidP="004C79C1">
            <w:pPr>
              <w:pStyle w:val="Tabletext1"/>
              <w:spacing w:before="0" w:after="120"/>
              <w:jc w:val="right"/>
              <w:rPr>
                <w:b/>
              </w:rPr>
            </w:pPr>
            <w:r w:rsidRPr="00F54845">
              <w:rPr>
                <w:b/>
                <w:color w:val="000000"/>
              </w:rPr>
              <w:t>2,756</w:t>
            </w:r>
          </w:p>
        </w:tc>
        <w:tc>
          <w:tcPr>
            <w:tcW w:w="1134" w:type="dxa"/>
            <w:tcBorders>
              <w:bottom w:val="single" w:sz="4" w:space="0" w:color="auto"/>
            </w:tcBorders>
            <w:vAlign w:val="bottom"/>
          </w:tcPr>
          <w:p w14:paraId="440B6B27" w14:textId="77777777" w:rsidR="000E482F" w:rsidRPr="00F54845" w:rsidRDefault="000E482F" w:rsidP="004C79C1">
            <w:pPr>
              <w:pStyle w:val="Tabletext1"/>
              <w:spacing w:before="0" w:after="120"/>
              <w:jc w:val="right"/>
              <w:rPr>
                <w:b/>
              </w:rPr>
            </w:pPr>
            <w:r w:rsidRPr="00F54845">
              <w:rPr>
                <w:b/>
                <w:color w:val="000000"/>
              </w:rPr>
              <w:t>2,801</w:t>
            </w:r>
          </w:p>
        </w:tc>
        <w:tc>
          <w:tcPr>
            <w:tcW w:w="1083" w:type="dxa"/>
            <w:tcBorders>
              <w:bottom w:val="single" w:sz="4" w:space="0" w:color="auto"/>
            </w:tcBorders>
            <w:vAlign w:val="bottom"/>
          </w:tcPr>
          <w:p w14:paraId="051A8BEA" w14:textId="77777777" w:rsidR="000E482F" w:rsidRPr="00F54845" w:rsidRDefault="000E482F" w:rsidP="004C79C1">
            <w:pPr>
              <w:pStyle w:val="Tabletext1"/>
              <w:spacing w:before="0" w:after="120"/>
              <w:jc w:val="right"/>
              <w:rPr>
                <w:b/>
              </w:rPr>
            </w:pPr>
            <w:r w:rsidRPr="00F54845">
              <w:rPr>
                <w:b/>
                <w:color w:val="000000"/>
              </w:rPr>
              <w:t>2,845</w:t>
            </w:r>
          </w:p>
        </w:tc>
      </w:tr>
    </w:tbl>
    <w:p w14:paraId="6488C0E1" w14:textId="38EE7941" w:rsidR="000E482F" w:rsidRDefault="00BE5AF2" w:rsidP="004C79C1">
      <w:pPr>
        <w:pStyle w:val="Tablenotes0"/>
        <w:spacing w:before="0" w:after="120"/>
      </w:pPr>
      <w:proofErr w:type="gramStart"/>
      <w:r w:rsidRPr="0024699B">
        <w:rPr>
          <w:vertAlign w:val="superscript"/>
        </w:rPr>
        <w:t>a</w:t>
      </w:r>
      <w:proofErr w:type="gramEnd"/>
      <w:r w:rsidDel="00BE5AF2">
        <w:t xml:space="preserve"> </w:t>
      </w:r>
      <w:r w:rsidR="000E482F">
        <w:t xml:space="preserve">Approximately 15% of patients in </w:t>
      </w:r>
      <w:r w:rsidR="007906D7">
        <w:t>p</w:t>
      </w:r>
      <w:r w:rsidR="000E482F">
        <w:t xml:space="preserve">opulation ii are likely to have </w:t>
      </w:r>
      <w:r w:rsidR="007906D7">
        <w:t xml:space="preserve">a </w:t>
      </w:r>
      <w:r w:rsidR="000E482F">
        <w:t>low</w:t>
      </w:r>
      <w:r w:rsidR="007906D7">
        <w:t xml:space="preserve"> </w:t>
      </w:r>
      <w:r w:rsidR="000E482F">
        <w:t>risk of CAD and all are expected to undergo CMR for diagnostic clarification.</w:t>
      </w:r>
    </w:p>
    <w:p w14:paraId="6D5C52D9" w14:textId="577A025D" w:rsidR="000E482F" w:rsidRDefault="00BE5AF2" w:rsidP="004C79C1">
      <w:pPr>
        <w:pStyle w:val="Tablenotes0"/>
        <w:spacing w:before="0" w:after="120"/>
      </w:pPr>
      <w:proofErr w:type="gramStart"/>
      <w:r>
        <w:rPr>
          <w:vertAlign w:val="superscript"/>
        </w:rPr>
        <w:t>b</w:t>
      </w:r>
      <w:proofErr w:type="gramEnd"/>
      <w:r w:rsidR="000E482F">
        <w:t xml:space="preserve"> Approximately 60% of the suspected/diagnosed cases of DCM (</w:t>
      </w:r>
      <w:r w:rsidR="007906D7">
        <w:t>p</w:t>
      </w:r>
      <w:r w:rsidR="000E482F">
        <w:t xml:space="preserve">opulation ii) patients (or 85% of the 70% of patients with </w:t>
      </w:r>
      <w:r w:rsidR="007906D7">
        <w:t xml:space="preserve">an </w:t>
      </w:r>
      <w:r w:rsidR="000E482F">
        <w:t>intermediate risk of CAD</w:t>
      </w:r>
      <w:r w:rsidR="002D2614">
        <w:t>)</w:t>
      </w:r>
      <w:r w:rsidR="000E482F">
        <w:t xml:space="preserve"> are expected to undergo CMR. For further clarification see text.</w:t>
      </w:r>
    </w:p>
    <w:p w14:paraId="09E34A3E" w14:textId="222F23C7" w:rsidR="000E482F" w:rsidRPr="00A96752" w:rsidRDefault="000E482F" w:rsidP="004C79C1">
      <w:pPr>
        <w:pStyle w:val="Tablenotes0"/>
        <w:spacing w:before="0" w:after="120"/>
      </w:pPr>
      <w:r w:rsidRPr="00A96752">
        <w:t xml:space="preserve">CAD = coronary artery disease; CMR = cardiac magnetic resonance </w:t>
      </w:r>
      <w:r w:rsidR="00F608D1">
        <w:t>(</w:t>
      </w:r>
      <w:r w:rsidRPr="00A96752">
        <w:t>imaging</w:t>
      </w:r>
      <w:r w:rsidR="00F608D1">
        <w:t>)</w:t>
      </w:r>
      <w:r w:rsidRPr="00A96752">
        <w:t>; CTCA</w:t>
      </w:r>
      <w:r w:rsidR="007906D7">
        <w:t xml:space="preserve"> </w:t>
      </w:r>
      <w:r w:rsidRPr="00A96752">
        <w:t>=</w:t>
      </w:r>
      <w:r w:rsidR="007906D7">
        <w:t xml:space="preserve"> </w:t>
      </w:r>
      <w:r w:rsidRPr="00A96752">
        <w:t xml:space="preserve">computed tomography coronary angiography; </w:t>
      </w:r>
      <w:r w:rsidR="003108B3">
        <w:t xml:space="preserve">DCM = dilated cardiomyopathy; </w:t>
      </w:r>
      <w:r w:rsidRPr="00A96752">
        <w:t>Echo = echocardiography; SPECT</w:t>
      </w:r>
      <w:r w:rsidR="007906D7">
        <w:t xml:space="preserve"> </w:t>
      </w:r>
      <w:r w:rsidRPr="00A96752">
        <w:t>=</w:t>
      </w:r>
      <w:r w:rsidR="007906D7">
        <w:t xml:space="preserve"> </w:t>
      </w:r>
      <w:r w:rsidRPr="00A96752">
        <w:t>single</w:t>
      </w:r>
      <w:r w:rsidR="007F1E74">
        <w:t>-</w:t>
      </w:r>
      <w:r w:rsidRPr="00A96752">
        <w:t>photon emission computed tomography</w:t>
      </w:r>
    </w:p>
    <w:p w14:paraId="6FA3E64A" w14:textId="77777777" w:rsidR="000E482F" w:rsidRDefault="000E482F" w:rsidP="00161B88">
      <w:pPr>
        <w:pStyle w:val="Heading3"/>
        <w:rPr>
          <w:snapToGrid w:val="0"/>
        </w:rPr>
      </w:pPr>
      <w:r>
        <w:rPr>
          <w:snapToGrid w:val="0"/>
        </w:rPr>
        <w:t>Familial DCM</w:t>
      </w:r>
    </w:p>
    <w:p w14:paraId="7DC6A6CE" w14:textId="6985BCCA" w:rsidR="000E482F" w:rsidRDefault="000E482F" w:rsidP="004C79C1">
      <w:pPr>
        <w:spacing w:after="120" w:line="240" w:lineRule="auto"/>
        <w:jc w:val="both"/>
        <w:rPr>
          <w:lang w:eastAsia="en-US"/>
        </w:rPr>
      </w:pPr>
      <w:r>
        <w:rPr>
          <w:lang w:eastAsia="en-US"/>
        </w:rPr>
        <w:t xml:space="preserve">According to the clinical practice algorithm, asymptomatic patients with </w:t>
      </w:r>
      <w:r w:rsidR="00DC7F61">
        <w:rPr>
          <w:lang w:eastAsia="en-US"/>
        </w:rPr>
        <w:t xml:space="preserve">a </w:t>
      </w:r>
      <w:r>
        <w:rPr>
          <w:lang w:eastAsia="en-US"/>
        </w:rPr>
        <w:t xml:space="preserve">family history of DCM and indeterminate </w:t>
      </w:r>
      <w:r w:rsidR="004F632C">
        <w:rPr>
          <w:lang w:eastAsia="en-US"/>
        </w:rPr>
        <w:t>echocardiography</w:t>
      </w:r>
      <w:r>
        <w:rPr>
          <w:lang w:eastAsia="en-US"/>
        </w:rPr>
        <w:t xml:space="preserve"> results undergo GHPS, and patients with </w:t>
      </w:r>
      <w:r w:rsidR="00DC7F61">
        <w:rPr>
          <w:lang w:eastAsia="en-US"/>
        </w:rPr>
        <w:t xml:space="preserve">a </w:t>
      </w:r>
      <w:r>
        <w:rPr>
          <w:lang w:eastAsia="en-US"/>
        </w:rPr>
        <w:t xml:space="preserve">dilated LV and </w:t>
      </w:r>
      <w:r w:rsidR="00DC7F61">
        <w:rPr>
          <w:lang w:eastAsia="en-US"/>
        </w:rPr>
        <w:t xml:space="preserve">an </w:t>
      </w:r>
      <w:r>
        <w:rPr>
          <w:lang w:eastAsia="en-US"/>
        </w:rPr>
        <w:t xml:space="preserve">intermediate risk of CAD undergo either SPECT, stress </w:t>
      </w:r>
      <w:r w:rsidR="004F632C">
        <w:rPr>
          <w:lang w:eastAsia="en-US"/>
        </w:rPr>
        <w:t>echocardiography</w:t>
      </w:r>
      <w:r>
        <w:rPr>
          <w:lang w:eastAsia="en-US"/>
        </w:rPr>
        <w:t>, CTCA or ICA. It is assumed that 5% of these cases</w:t>
      </w:r>
      <w:r w:rsidR="004F632C">
        <w:rPr>
          <w:lang w:eastAsia="en-US"/>
        </w:rPr>
        <w:t xml:space="preserve"> will have prior indeterminate e</w:t>
      </w:r>
      <w:r>
        <w:rPr>
          <w:lang w:eastAsia="en-US"/>
        </w:rPr>
        <w:t>cho</w:t>
      </w:r>
      <w:r w:rsidR="004F632C">
        <w:rPr>
          <w:lang w:eastAsia="en-US"/>
        </w:rPr>
        <w:t>cardiogram</w:t>
      </w:r>
      <w:r>
        <w:rPr>
          <w:lang w:eastAsia="en-US"/>
        </w:rPr>
        <w:t xml:space="preserve"> and w</w:t>
      </w:r>
      <w:r w:rsidR="00A35F74">
        <w:rPr>
          <w:lang w:eastAsia="en-US"/>
        </w:rPr>
        <w:t>ould undergo</w:t>
      </w:r>
      <w:r>
        <w:rPr>
          <w:lang w:eastAsia="en-US"/>
        </w:rPr>
        <w:t xml:space="preserve"> GHPS in the absence of CMR. The remaining 95% of the cases will have </w:t>
      </w:r>
      <w:r w:rsidR="00A35F74">
        <w:rPr>
          <w:lang w:eastAsia="en-US"/>
        </w:rPr>
        <w:t xml:space="preserve">a </w:t>
      </w:r>
      <w:r>
        <w:rPr>
          <w:lang w:eastAsia="en-US"/>
        </w:rPr>
        <w:t xml:space="preserve">diagnosis of </w:t>
      </w:r>
      <w:r w:rsidR="00A35F74">
        <w:rPr>
          <w:lang w:eastAsia="en-US"/>
        </w:rPr>
        <w:t xml:space="preserve">a </w:t>
      </w:r>
      <w:r>
        <w:rPr>
          <w:lang w:eastAsia="en-US"/>
        </w:rPr>
        <w:t xml:space="preserve">dilated LV and will undergo stress </w:t>
      </w:r>
      <w:r w:rsidR="004F632C">
        <w:rPr>
          <w:lang w:eastAsia="en-US"/>
        </w:rPr>
        <w:t>echocardiography</w:t>
      </w:r>
      <w:r>
        <w:rPr>
          <w:lang w:eastAsia="en-US"/>
        </w:rPr>
        <w:t>, SPECT, CTCA</w:t>
      </w:r>
      <w:r w:rsidRPr="000621A1">
        <w:rPr>
          <w:lang w:eastAsia="en-US"/>
        </w:rPr>
        <w:t xml:space="preserve"> </w:t>
      </w:r>
      <w:r>
        <w:rPr>
          <w:lang w:eastAsia="en-US"/>
        </w:rPr>
        <w:t xml:space="preserve">or ICA. The relative usage of stress </w:t>
      </w:r>
      <w:r w:rsidR="004F632C">
        <w:rPr>
          <w:lang w:eastAsia="en-US"/>
        </w:rPr>
        <w:t>echocardiography</w:t>
      </w:r>
      <w:r>
        <w:rPr>
          <w:lang w:eastAsia="en-US"/>
        </w:rPr>
        <w:t>, SPECT, CTCA</w:t>
      </w:r>
      <w:r w:rsidRPr="000621A1">
        <w:rPr>
          <w:lang w:eastAsia="en-US"/>
        </w:rPr>
        <w:t xml:space="preserve"> </w:t>
      </w:r>
      <w:r>
        <w:rPr>
          <w:lang w:eastAsia="en-US"/>
        </w:rPr>
        <w:t>and ICA is assumed to be same as in the patients with diagnostic clarification</w:t>
      </w:r>
      <w:r w:rsidR="00B548D8">
        <w:rPr>
          <w:lang w:eastAsia="en-US"/>
        </w:rPr>
        <w:t>,</w:t>
      </w:r>
      <w:r>
        <w:rPr>
          <w:lang w:eastAsia="en-US"/>
        </w:rPr>
        <w:t xml:space="preserve"> as estimated in </w:t>
      </w:r>
      <w:r w:rsidR="00784480">
        <w:rPr>
          <w:lang w:eastAsia="en-US"/>
        </w:rPr>
        <w:fldChar w:fldCharType="begin"/>
      </w:r>
      <w:r w:rsidR="00784480">
        <w:rPr>
          <w:lang w:eastAsia="en-US"/>
        </w:rPr>
        <w:instrText xml:space="preserve"> REF _Ref449554158 \h </w:instrText>
      </w:r>
      <w:r w:rsidR="00784480">
        <w:rPr>
          <w:lang w:eastAsia="en-US"/>
        </w:rPr>
      </w:r>
      <w:r w:rsidR="00784480">
        <w:rPr>
          <w:lang w:eastAsia="en-US"/>
        </w:rPr>
        <w:fldChar w:fldCharType="separate"/>
      </w:r>
      <w:r w:rsidR="00784480">
        <w:t xml:space="preserve">Table </w:t>
      </w:r>
      <w:r w:rsidR="00784480">
        <w:rPr>
          <w:noProof/>
        </w:rPr>
        <w:t>67</w:t>
      </w:r>
      <w:r w:rsidR="00784480">
        <w:rPr>
          <w:lang w:eastAsia="en-US"/>
        </w:rPr>
        <w:fldChar w:fldCharType="end"/>
      </w:r>
      <w:r>
        <w:rPr>
          <w:lang w:eastAsia="en-US"/>
        </w:rPr>
        <w:t>.</w:t>
      </w:r>
    </w:p>
    <w:p w14:paraId="48FA2BD7" w14:textId="5BE65EDE" w:rsidR="000E482F" w:rsidRDefault="000E482F" w:rsidP="004C79C1">
      <w:pPr>
        <w:pStyle w:val="Caption"/>
        <w:keepNext/>
      </w:pPr>
      <w:bookmarkStart w:id="712" w:name="_Ref449554158"/>
      <w:bookmarkStart w:id="713" w:name="_Toc449555027"/>
      <w:bookmarkStart w:id="714" w:name="_Toc324410238"/>
      <w:bookmarkStart w:id="715" w:name="_Toc451435394"/>
      <w:r>
        <w:t xml:space="preserve">Table </w:t>
      </w:r>
      <w:fldSimple w:instr=" SEQ Table \* ARABIC ">
        <w:r w:rsidR="00050936">
          <w:rPr>
            <w:noProof/>
          </w:rPr>
          <w:t>67</w:t>
        </w:r>
      </w:fldSimple>
      <w:bookmarkEnd w:id="712"/>
      <w:r>
        <w:tab/>
      </w:r>
      <w:r w:rsidRPr="00780ED4">
        <w:t xml:space="preserve">Estimation of the number of comparator tests offset </w:t>
      </w:r>
      <w:r>
        <w:t>in familial cases</w:t>
      </w:r>
      <w:bookmarkEnd w:id="713"/>
      <w:bookmarkEnd w:id="714"/>
      <w:bookmarkEnd w:id="715"/>
    </w:p>
    <w:tbl>
      <w:tblPr>
        <w:tblStyle w:val="TableGrid"/>
        <w:tblW w:w="4963" w:type="pct"/>
        <w:tblLook w:val="04A0" w:firstRow="1" w:lastRow="0" w:firstColumn="1" w:lastColumn="0" w:noHBand="0" w:noVBand="1"/>
        <w:tblDescription w:val="Estimation of the number of comparator tests offset in familial cases"/>
      </w:tblPr>
      <w:tblGrid>
        <w:gridCol w:w="576"/>
        <w:gridCol w:w="3501"/>
        <w:gridCol w:w="985"/>
        <w:gridCol w:w="982"/>
        <w:gridCol w:w="1011"/>
        <w:gridCol w:w="996"/>
        <w:gridCol w:w="1123"/>
      </w:tblGrid>
      <w:tr w:rsidR="00A321F7" w:rsidRPr="008E5371" w14:paraId="0D1CD7E0" w14:textId="77777777" w:rsidTr="00784480">
        <w:trPr>
          <w:tblHeader/>
        </w:trPr>
        <w:tc>
          <w:tcPr>
            <w:tcW w:w="314" w:type="pct"/>
            <w:tcBorders>
              <w:bottom w:val="single" w:sz="4" w:space="0" w:color="auto"/>
            </w:tcBorders>
          </w:tcPr>
          <w:p w14:paraId="4070AC73" w14:textId="77777777" w:rsidR="000E482F" w:rsidRPr="008E5371" w:rsidRDefault="000E482F" w:rsidP="004C79C1">
            <w:pPr>
              <w:pStyle w:val="TableHeading"/>
              <w:spacing w:before="0" w:after="120"/>
            </w:pPr>
            <w:r>
              <w:t>Row</w:t>
            </w:r>
          </w:p>
        </w:tc>
        <w:tc>
          <w:tcPr>
            <w:tcW w:w="1908" w:type="pct"/>
            <w:tcBorders>
              <w:bottom w:val="single" w:sz="4" w:space="0" w:color="auto"/>
            </w:tcBorders>
          </w:tcPr>
          <w:p w14:paraId="3D948D59" w14:textId="77777777" w:rsidR="000E482F" w:rsidRPr="008E5371" w:rsidRDefault="000E482F" w:rsidP="004C79C1">
            <w:pPr>
              <w:pStyle w:val="TableHeading"/>
              <w:spacing w:before="0" w:after="120"/>
            </w:pPr>
          </w:p>
        </w:tc>
        <w:tc>
          <w:tcPr>
            <w:tcW w:w="537" w:type="pct"/>
            <w:tcBorders>
              <w:bottom w:val="single" w:sz="4" w:space="0" w:color="auto"/>
            </w:tcBorders>
          </w:tcPr>
          <w:p w14:paraId="06FF5372" w14:textId="584C0AFF" w:rsidR="000E482F" w:rsidRPr="008E5371" w:rsidRDefault="000E482F" w:rsidP="004C79C1">
            <w:pPr>
              <w:pStyle w:val="TableHeading"/>
              <w:spacing w:before="0" w:after="120"/>
              <w:jc w:val="center"/>
            </w:pPr>
            <w:r w:rsidRPr="008E5371">
              <w:t>2016</w:t>
            </w:r>
            <w:r w:rsidR="00A321F7">
              <w:t>–</w:t>
            </w:r>
            <w:r w:rsidRPr="008E5371">
              <w:t>17</w:t>
            </w:r>
          </w:p>
        </w:tc>
        <w:tc>
          <w:tcPr>
            <w:tcW w:w="535" w:type="pct"/>
            <w:tcBorders>
              <w:bottom w:val="single" w:sz="4" w:space="0" w:color="auto"/>
            </w:tcBorders>
          </w:tcPr>
          <w:p w14:paraId="0C30F42A" w14:textId="784ECEDF" w:rsidR="000E482F" w:rsidRPr="008E5371" w:rsidRDefault="000E482F" w:rsidP="004C79C1">
            <w:pPr>
              <w:pStyle w:val="TableHeading"/>
              <w:spacing w:before="0" w:after="120"/>
              <w:jc w:val="center"/>
            </w:pPr>
            <w:r w:rsidRPr="008E5371">
              <w:t>2017</w:t>
            </w:r>
            <w:r w:rsidR="00A321F7">
              <w:t>–</w:t>
            </w:r>
            <w:r w:rsidRPr="008E5371">
              <w:t>18</w:t>
            </w:r>
          </w:p>
        </w:tc>
        <w:tc>
          <w:tcPr>
            <w:tcW w:w="551" w:type="pct"/>
            <w:tcBorders>
              <w:bottom w:val="single" w:sz="4" w:space="0" w:color="auto"/>
            </w:tcBorders>
          </w:tcPr>
          <w:p w14:paraId="4D13A821" w14:textId="026332FB" w:rsidR="000E482F" w:rsidRPr="008E5371" w:rsidRDefault="000E482F" w:rsidP="004C79C1">
            <w:pPr>
              <w:pStyle w:val="TableHeading"/>
              <w:spacing w:before="0" w:after="120"/>
              <w:jc w:val="center"/>
            </w:pPr>
            <w:r w:rsidRPr="008E5371">
              <w:t>2018</w:t>
            </w:r>
            <w:r w:rsidR="00A321F7">
              <w:t>–</w:t>
            </w:r>
            <w:r w:rsidRPr="008E5371">
              <w:t>19</w:t>
            </w:r>
          </w:p>
        </w:tc>
        <w:tc>
          <w:tcPr>
            <w:tcW w:w="543" w:type="pct"/>
            <w:tcBorders>
              <w:bottom w:val="single" w:sz="4" w:space="0" w:color="auto"/>
            </w:tcBorders>
          </w:tcPr>
          <w:p w14:paraId="0625CEA9" w14:textId="32A7854D" w:rsidR="000E482F" w:rsidRPr="008E5371" w:rsidRDefault="000E482F" w:rsidP="004C79C1">
            <w:pPr>
              <w:pStyle w:val="TableHeading"/>
              <w:spacing w:before="0" w:after="120"/>
              <w:jc w:val="center"/>
            </w:pPr>
            <w:r w:rsidRPr="008E5371">
              <w:t>2019</w:t>
            </w:r>
            <w:r w:rsidR="00A321F7">
              <w:t>–</w:t>
            </w:r>
            <w:r w:rsidRPr="008E5371">
              <w:t>20</w:t>
            </w:r>
          </w:p>
        </w:tc>
        <w:tc>
          <w:tcPr>
            <w:tcW w:w="612" w:type="pct"/>
            <w:tcBorders>
              <w:bottom w:val="single" w:sz="4" w:space="0" w:color="auto"/>
            </w:tcBorders>
          </w:tcPr>
          <w:p w14:paraId="7375E69C" w14:textId="5FB1A4B4" w:rsidR="000E482F" w:rsidRPr="008E5371" w:rsidRDefault="000E482F" w:rsidP="004C79C1">
            <w:pPr>
              <w:pStyle w:val="TableHeading"/>
              <w:spacing w:before="0" w:after="120"/>
              <w:jc w:val="center"/>
            </w:pPr>
            <w:r w:rsidRPr="008E5371">
              <w:t>2020</w:t>
            </w:r>
            <w:r w:rsidR="00A321F7">
              <w:t>–</w:t>
            </w:r>
            <w:r w:rsidRPr="008E5371">
              <w:t>21</w:t>
            </w:r>
          </w:p>
        </w:tc>
      </w:tr>
      <w:tr w:rsidR="00A321F7" w14:paraId="0B426B72" w14:textId="77777777" w:rsidTr="00784480">
        <w:tc>
          <w:tcPr>
            <w:tcW w:w="314" w:type="pct"/>
            <w:tcBorders>
              <w:bottom w:val="single" w:sz="4" w:space="0" w:color="auto"/>
            </w:tcBorders>
          </w:tcPr>
          <w:p w14:paraId="269260C0" w14:textId="77777777" w:rsidR="000E482F" w:rsidRDefault="000E482F" w:rsidP="004C79C1">
            <w:pPr>
              <w:pStyle w:val="Tabletext1"/>
              <w:spacing w:before="0" w:after="120"/>
              <w:rPr>
                <w:lang w:eastAsia="en-US"/>
              </w:rPr>
            </w:pPr>
            <w:r>
              <w:rPr>
                <w:lang w:eastAsia="en-US"/>
              </w:rPr>
              <w:t>J</w:t>
            </w:r>
          </w:p>
        </w:tc>
        <w:tc>
          <w:tcPr>
            <w:tcW w:w="1908" w:type="pct"/>
            <w:tcBorders>
              <w:bottom w:val="single" w:sz="4" w:space="0" w:color="auto"/>
            </w:tcBorders>
          </w:tcPr>
          <w:p w14:paraId="58967E50" w14:textId="77777777" w:rsidR="000E482F" w:rsidRDefault="000E482F" w:rsidP="004C79C1">
            <w:pPr>
              <w:pStyle w:val="Tabletext1"/>
              <w:spacing w:before="0" w:after="120"/>
              <w:rPr>
                <w:lang w:eastAsia="en-US"/>
              </w:rPr>
            </w:pPr>
            <w:r>
              <w:rPr>
                <w:lang w:eastAsia="en-US"/>
              </w:rPr>
              <w:t xml:space="preserve">Number of eligible CMR tests </w:t>
            </w:r>
          </w:p>
        </w:tc>
        <w:tc>
          <w:tcPr>
            <w:tcW w:w="537" w:type="pct"/>
            <w:tcBorders>
              <w:bottom w:val="single" w:sz="4" w:space="0" w:color="auto"/>
            </w:tcBorders>
            <w:vAlign w:val="bottom"/>
          </w:tcPr>
          <w:p w14:paraId="2078B7BA" w14:textId="77777777" w:rsidR="000E482F" w:rsidRPr="001A1EFE" w:rsidRDefault="000E482F" w:rsidP="004C79C1">
            <w:pPr>
              <w:pStyle w:val="Tabletext1"/>
              <w:spacing w:before="0" w:after="120"/>
              <w:ind w:right="284"/>
              <w:jc w:val="right"/>
              <w:rPr>
                <w:lang w:eastAsia="en-US"/>
              </w:rPr>
            </w:pPr>
            <w:r>
              <w:rPr>
                <w:color w:val="000000"/>
              </w:rPr>
              <w:t>108</w:t>
            </w:r>
          </w:p>
        </w:tc>
        <w:tc>
          <w:tcPr>
            <w:tcW w:w="535" w:type="pct"/>
            <w:tcBorders>
              <w:bottom w:val="single" w:sz="4" w:space="0" w:color="auto"/>
            </w:tcBorders>
            <w:vAlign w:val="bottom"/>
          </w:tcPr>
          <w:p w14:paraId="522D2D4A" w14:textId="77777777" w:rsidR="000E482F" w:rsidRPr="001A1EFE" w:rsidRDefault="000E482F" w:rsidP="004C79C1">
            <w:pPr>
              <w:pStyle w:val="Tabletext1"/>
              <w:spacing w:before="0" w:after="120"/>
              <w:ind w:right="284"/>
              <w:jc w:val="right"/>
              <w:rPr>
                <w:lang w:eastAsia="en-US"/>
              </w:rPr>
            </w:pPr>
            <w:r>
              <w:rPr>
                <w:color w:val="000000"/>
              </w:rPr>
              <w:t>109</w:t>
            </w:r>
          </w:p>
        </w:tc>
        <w:tc>
          <w:tcPr>
            <w:tcW w:w="551" w:type="pct"/>
            <w:tcBorders>
              <w:bottom w:val="single" w:sz="4" w:space="0" w:color="auto"/>
            </w:tcBorders>
            <w:vAlign w:val="bottom"/>
          </w:tcPr>
          <w:p w14:paraId="2A2F5E1B" w14:textId="77777777" w:rsidR="000E482F" w:rsidRPr="001A1EFE" w:rsidRDefault="000E482F" w:rsidP="004C79C1">
            <w:pPr>
              <w:pStyle w:val="Tabletext1"/>
              <w:spacing w:before="0" w:after="120"/>
              <w:ind w:right="284"/>
              <w:jc w:val="right"/>
              <w:rPr>
                <w:lang w:eastAsia="en-US"/>
              </w:rPr>
            </w:pPr>
            <w:r>
              <w:rPr>
                <w:color w:val="000000"/>
              </w:rPr>
              <w:t>111</w:t>
            </w:r>
          </w:p>
        </w:tc>
        <w:tc>
          <w:tcPr>
            <w:tcW w:w="543" w:type="pct"/>
            <w:tcBorders>
              <w:bottom w:val="single" w:sz="4" w:space="0" w:color="auto"/>
            </w:tcBorders>
            <w:vAlign w:val="bottom"/>
          </w:tcPr>
          <w:p w14:paraId="7639ECB3" w14:textId="77777777" w:rsidR="000E482F" w:rsidRPr="001A1EFE" w:rsidRDefault="000E482F" w:rsidP="004C79C1">
            <w:pPr>
              <w:pStyle w:val="Tabletext1"/>
              <w:spacing w:before="0" w:after="120"/>
              <w:ind w:right="284"/>
              <w:jc w:val="right"/>
              <w:rPr>
                <w:lang w:eastAsia="en-US"/>
              </w:rPr>
            </w:pPr>
            <w:r>
              <w:rPr>
                <w:color w:val="000000"/>
              </w:rPr>
              <w:t>113</w:t>
            </w:r>
          </w:p>
        </w:tc>
        <w:tc>
          <w:tcPr>
            <w:tcW w:w="612" w:type="pct"/>
            <w:tcBorders>
              <w:bottom w:val="single" w:sz="4" w:space="0" w:color="auto"/>
            </w:tcBorders>
            <w:vAlign w:val="bottom"/>
          </w:tcPr>
          <w:p w14:paraId="273A8664" w14:textId="77777777" w:rsidR="000E482F" w:rsidRPr="001A1EFE" w:rsidRDefault="000E482F" w:rsidP="004C79C1">
            <w:pPr>
              <w:pStyle w:val="Tabletext1"/>
              <w:spacing w:before="0" w:after="120"/>
              <w:ind w:right="284"/>
              <w:jc w:val="right"/>
              <w:rPr>
                <w:lang w:eastAsia="en-US"/>
              </w:rPr>
            </w:pPr>
            <w:r>
              <w:rPr>
                <w:color w:val="000000"/>
              </w:rPr>
              <w:t>115</w:t>
            </w:r>
          </w:p>
        </w:tc>
      </w:tr>
      <w:tr w:rsidR="00A321F7" w:rsidRPr="00966AEA" w14:paraId="6296F22F" w14:textId="77777777" w:rsidTr="00784480">
        <w:tc>
          <w:tcPr>
            <w:tcW w:w="314" w:type="pct"/>
            <w:tcBorders>
              <w:right w:val="nil"/>
            </w:tcBorders>
          </w:tcPr>
          <w:p w14:paraId="0E20A1F9" w14:textId="77777777" w:rsidR="000E482F" w:rsidRPr="00784480" w:rsidRDefault="000E482F" w:rsidP="004C79C1">
            <w:pPr>
              <w:pStyle w:val="Tabletext1"/>
              <w:spacing w:before="0" w:after="120"/>
              <w:rPr>
                <w:b/>
                <w:lang w:eastAsia="en-US"/>
              </w:rPr>
            </w:pPr>
          </w:p>
        </w:tc>
        <w:tc>
          <w:tcPr>
            <w:tcW w:w="1908" w:type="pct"/>
            <w:tcBorders>
              <w:right w:val="nil"/>
            </w:tcBorders>
            <w:vAlign w:val="bottom"/>
          </w:tcPr>
          <w:p w14:paraId="14F291B8" w14:textId="77777777" w:rsidR="000E482F" w:rsidRPr="00784480" w:rsidRDefault="000E482F" w:rsidP="004C79C1">
            <w:pPr>
              <w:pStyle w:val="Tabletext1"/>
              <w:spacing w:before="0" w:after="120"/>
              <w:rPr>
                <w:b/>
              </w:rPr>
            </w:pPr>
            <w:r w:rsidRPr="00784480">
              <w:rPr>
                <w:b/>
                <w:lang w:eastAsia="en-US"/>
              </w:rPr>
              <w:t>Number of test offsets</w:t>
            </w:r>
          </w:p>
        </w:tc>
        <w:tc>
          <w:tcPr>
            <w:tcW w:w="537" w:type="pct"/>
            <w:tcBorders>
              <w:left w:val="nil"/>
              <w:right w:val="nil"/>
            </w:tcBorders>
            <w:vAlign w:val="bottom"/>
          </w:tcPr>
          <w:p w14:paraId="38CD0587" w14:textId="77777777" w:rsidR="000E482F" w:rsidRPr="00784480" w:rsidRDefault="000E482F" w:rsidP="004C79C1">
            <w:pPr>
              <w:pStyle w:val="Tabletext1"/>
              <w:spacing w:before="0" w:after="120"/>
              <w:ind w:right="284"/>
              <w:jc w:val="right"/>
              <w:rPr>
                <w:b/>
              </w:rPr>
            </w:pPr>
          </w:p>
        </w:tc>
        <w:tc>
          <w:tcPr>
            <w:tcW w:w="535" w:type="pct"/>
            <w:tcBorders>
              <w:left w:val="nil"/>
              <w:right w:val="nil"/>
            </w:tcBorders>
            <w:vAlign w:val="bottom"/>
          </w:tcPr>
          <w:p w14:paraId="2C59E309" w14:textId="77777777" w:rsidR="000E482F" w:rsidRPr="00784480" w:rsidRDefault="000E482F" w:rsidP="004C79C1">
            <w:pPr>
              <w:pStyle w:val="Tabletext1"/>
              <w:spacing w:before="0" w:after="120"/>
              <w:ind w:right="284"/>
              <w:jc w:val="right"/>
              <w:rPr>
                <w:b/>
              </w:rPr>
            </w:pPr>
          </w:p>
        </w:tc>
        <w:tc>
          <w:tcPr>
            <w:tcW w:w="551" w:type="pct"/>
            <w:tcBorders>
              <w:left w:val="nil"/>
              <w:right w:val="nil"/>
            </w:tcBorders>
            <w:vAlign w:val="bottom"/>
          </w:tcPr>
          <w:p w14:paraId="0F67A5B1" w14:textId="77777777" w:rsidR="000E482F" w:rsidRPr="00784480" w:rsidRDefault="000E482F" w:rsidP="004C79C1">
            <w:pPr>
              <w:pStyle w:val="Tabletext1"/>
              <w:spacing w:before="0" w:after="120"/>
              <w:ind w:right="284"/>
              <w:jc w:val="right"/>
              <w:rPr>
                <w:b/>
              </w:rPr>
            </w:pPr>
          </w:p>
        </w:tc>
        <w:tc>
          <w:tcPr>
            <w:tcW w:w="543" w:type="pct"/>
            <w:tcBorders>
              <w:left w:val="nil"/>
              <w:right w:val="nil"/>
            </w:tcBorders>
            <w:vAlign w:val="bottom"/>
          </w:tcPr>
          <w:p w14:paraId="164C2D7A" w14:textId="77777777" w:rsidR="000E482F" w:rsidRPr="00784480" w:rsidRDefault="000E482F" w:rsidP="004C79C1">
            <w:pPr>
              <w:pStyle w:val="Tabletext1"/>
              <w:spacing w:before="0" w:after="120"/>
              <w:ind w:right="284"/>
              <w:jc w:val="right"/>
              <w:rPr>
                <w:b/>
              </w:rPr>
            </w:pPr>
          </w:p>
        </w:tc>
        <w:tc>
          <w:tcPr>
            <w:tcW w:w="612" w:type="pct"/>
            <w:tcBorders>
              <w:left w:val="nil"/>
            </w:tcBorders>
            <w:vAlign w:val="bottom"/>
          </w:tcPr>
          <w:p w14:paraId="03796150" w14:textId="77777777" w:rsidR="000E482F" w:rsidRPr="00784480" w:rsidRDefault="000E482F" w:rsidP="004C79C1">
            <w:pPr>
              <w:pStyle w:val="Tabletext1"/>
              <w:spacing w:before="0" w:after="120"/>
              <w:ind w:right="284"/>
              <w:jc w:val="right"/>
              <w:rPr>
                <w:b/>
              </w:rPr>
            </w:pPr>
          </w:p>
        </w:tc>
      </w:tr>
      <w:tr w:rsidR="00A321F7" w:rsidRPr="0024769A" w14:paraId="78DC4D50" w14:textId="77777777" w:rsidTr="00784480">
        <w:tc>
          <w:tcPr>
            <w:tcW w:w="314" w:type="pct"/>
          </w:tcPr>
          <w:p w14:paraId="53D5D0C9" w14:textId="77777777" w:rsidR="000E482F" w:rsidRDefault="000E482F" w:rsidP="004C79C1">
            <w:pPr>
              <w:pStyle w:val="Tabletext1"/>
              <w:spacing w:before="0" w:after="120"/>
              <w:rPr>
                <w:lang w:eastAsia="en-US"/>
              </w:rPr>
            </w:pPr>
            <w:r>
              <w:rPr>
                <w:lang w:eastAsia="en-US"/>
              </w:rPr>
              <w:t>U</w:t>
            </w:r>
          </w:p>
        </w:tc>
        <w:tc>
          <w:tcPr>
            <w:tcW w:w="1908" w:type="pct"/>
            <w:vAlign w:val="bottom"/>
          </w:tcPr>
          <w:p w14:paraId="4CB79572" w14:textId="77777777" w:rsidR="000E482F" w:rsidRPr="008E5371" w:rsidRDefault="000E482F" w:rsidP="004C79C1">
            <w:pPr>
              <w:pStyle w:val="Tabletext1"/>
              <w:spacing w:before="0" w:after="120"/>
              <w:rPr>
                <w:lang w:eastAsia="en-US"/>
              </w:rPr>
            </w:pPr>
            <w:r>
              <w:rPr>
                <w:lang w:eastAsia="en-US"/>
              </w:rPr>
              <w:t>GHPS (= J*5%)</w:t>
            </w:r>
          </w:p>
        </w:tc>
        <w:tc>
          <w:tcPr>
            <w:tcW w:w="537" w:type="pct"/>
            <w:vAlign w:val="bottom"/>
          </w:tcPr>
          <w:p w14:paraId="39ED1BDE" w14:textId="77777777" w:rsidR="000E482F" w:rsidRDefault="000E482F" w:rsidP="004C79C1">
            <w:pPr>
              <w:pStyle w:val="Tabletext1"/>
              <w:spacing w:before="0" w:after="120"/>
              <w:ind w:right="284"/>
              <w:jc w:val="right"/>
              <w:rPr>
                <w:color w:val="000000"/>
              </w:rPr>
            </w:pPr>
            <w:r>
              <w:rPr>
                <w:color w:val="000000"/>
              </w:rPr>
              <w:t>5</w:t>
            </w:r>
          </w:p>
        </w:tc>
        <w:tc>
          <w:tcPr>
            <w:tcW w:w="535" w:type="pct"/>
            <w:vAlign w:val="bottom"/>
          </w:tcPr>
          <w:p w14:paraId="5852EB3D" w14:textId="77777777" w:rsidR="000E482F" w:rsidRDefault="000E482F" w:rsidP="004C79C1">
            <w:pPr>
              <w:pStyle w:val="Tabletext1"/>
              <w:spacing w:before="0" w:after="120"/>
              <w:ind w:right="284"/>
              <w:jc w:val="right"/>
              <w:rPr>
                <w:color w:val="000000"/>
              </w:rPr>
            </w:pPr>
            <w:r>
              <w:rPr>
                <w:color w:val="000000"/>
              </w:rPr>
              <w:t>5</w:t>
            </w:r>
          </w:p>
        </w:tc>
        <w:tc>
          <w:tcPr>
            <w:tcW w:w="551" w:type="pct"/>
            <w:vAlign w:val="bottom"/>
          </w:tcPr>
          <w:p w14:paraId="001769F7" w14:textId="77777777" w:rsidR="000E482F" w:rsidRDefault="000E482F" w:rsidP="004C79C1">
            <w:pPr>
              <w:pStyle w:val="Tabletext1"/>
              <w:spacing w:before="0" w:after="120"/>
              <w:ind w:right="284"/>
              <w:jc w:val="right"/>
              <w:rPr>
                <w:color w:val="000000"/>
              </w:rPr>
            </w:pPr>
            <w:r>
              <w:rPr>
                <w:color w:val="000000"/>
              </w:rPr>
              <w:t>6</w:t>
            </w:r>
          </w:p>
        </w:tc>
        <w:tc>
          <w:tcPr>
            <w:tcW w:w="543" w:type="pct"/>
            <w:vAlign w:val="bottom"/>
          </w:tcPr>
          <w:p w14:paraId="1D48E44D" w14:textId="77777777" w:rsidR="000E482F" w:rsidRDefault="000E482F" w:rsidP="004C79C1">
            <w:pPr>
              <w:pStyle w:val="Tabletext1"/>
              <w:spacing w:before="0" w:after="120"/>
              <w:ind w:right="284"/>
              <w:jc w:val="right"/>
              <w:rPr>
                <w:color w:val="000000"/>
              </w:rPr>
            </w:pPr>
            <w:r>
              <w:rPr>
                <w:color w:val="000000"/>
              </w:rPr>
              <w:t>6</w:t>
            </w:r>
          </w:p>
        </w:tc>
        <w:tc>
          <w:tcPr>
            <w:tcW w:w="612" w:type="pct"/>
            <w:vAlign w:val="bottom"/>
          </w:tcPr>
          <w:p w14:paraId="106B20F7" w14:textId="77777777" w:rsidR="000E482F" w:rsidRDefault="000E482F" w:rsidP="004C79C1">
            <w:pPr>
              <w:pStyle w:val="Tabletext1"/>
              <w:spacing w:before="0" w:after="120"/>
              <w:ind w:right="284"/>
              <w:jc w:val="right"/>
              <w:rPr>
                <w:color w:val="000000"/>
              </w:rPr>
            </w:pPr>
            <w:r>
              <w:rPr>
                <w:color w:val="000000"/>
              </w:rPr>
              <w:t>6</w:t>
            </w:r>
          </w:p>
        </w:tc>
      </w:tr>
      <w:tr w:rsidR="00A321F7" w:rsidRPr="0024769A" w14:paraId="002EA7F5" w14:textId="77777777" w:rsidTr="00784480">
        <w:tc>
          <w:tcPr>
            <w:tcW w:w="314" w:type="pct"/>
          </w:tcPr>
          <w:p w14:paraId="368EEEFF" w14:textId="77777777" w:rsidR="000E482F" w:rsidRPr="00FE4379" w:rsidRDefault="000E482F" w:rsidP="004C79C1">
            <w:pPr>
              <w:pStyle w:val="Tabletext1"/>
              <w:spacing w:before="0" w:after="120"/>
            </w:pPr>
            <w:r>
              <w:t>V</w:t>
            </w:r>
          </w:p>
        </w:tc>
        <w:tc>
          <w:tcPr>
            <w:tcW w:w="1908" w:type="pct"/>
          </w:tcPr>
          <w:p w14:paraId="24738D12" w14:textId="77777777" w:rsidR="000E482F" w:rsidRDefault="000E482F" w:rsidP="004C79C1">
            <w:pPr>
              <w:pStyle w:val="Tabletext1"/>
              <w:spacing w:before="0" w:after="120"/>
              <w:rPr>
                <w:lang w:eastAsia="en-US"/>
              </w:rPr>
            </w:pPr>
            <w:r w:rsidRPr="00FE4379">
              <w:t>ICA</w:t>
            </w:r>
            <w:r>
              <w:t xml:space="preserve"> (= J*51%)</w:t>
            </w:r>
          </w:p>
        </w:tc>
        <w:tc>
          <w:tcPr>
            <w:tcW w:w="537" w:type="pct"/>
          </w:tcPr>
          <w:p w14:paraId="7FF7BC9C" w14:textId="77777777" w:rsidR="000E482F" w:rsidRDefault="000E482F" w:rsidP="004C79C1">
            <w:pPr>
              <w:pStyle w:val="Tabletext1"/>
              <w:spacing w:before="0" w:after="120"/>
              <w:ind w:right="284"/>
              <w:jc w:val="right"/>
              <w:rPr>
                <w:color w:val="000000"/>
              </w:rPr>
            </w:pPr>
            <w:r w:rsidRPr="00983DDB">
              <w:t>55</w:t>
            </w:r>
          </w:p>
        </w:tc>
        <w:tc>
          <w:tcPr>
            <w:tcW w:w="535" w:type="pct"/>
          </w:tcPr>
          <w:p w14:paraId="5E0B9B0A" w14:textId="77777777" w:rsidR="000E482F" w:rsidRDefault="000E482F" w:rsidP="004C79C1">
            <w:pPr>
              <w:pStyle w:val="Tabletext1"/>
              <w:spacing w:before="0" w:after="120"/>
              <w:ind w:right="284"/>
              <w:jc w:val="right"/>
              <w:rPr>
                <w:color w:val="000000"/>
              </w:rPr>
            </w:pPr>
            <w:r w:rsidRPr="00983DDB">
              <w:t>56</w:t>
            </w:r>
          </w:p>
        </w:tc>
        <w:tc>
          <w:tcPr>
            <w:tcW w:w="551" w:type="pct"/>
          </w:tcPr>
          <w:p w14:paraId="7E47BDE6" w14:textId="77777777" w:rsidR="000E482F" w:rsidRDefault="000E482F" w:rsidP="004C79C1">
            <w:pPr>
              <w:pStyle w:val="Tabletext1"/>
              <w:spacing w:before="0" w:after="120"/>
              <w:ind w:right="284"/>
              <w:jc w:val="right"/>
              <w:rPr>
                <w:color w:val="000000"/>
              </w:rPr>
            </w:pPr>
            <w:r w:rsidRPr="00983DDB">
              <w:t>57</w:t>
            </w:r>
          </w:p>
        </w:tc>
        <w:tc>
          <w:tcPr>
            <w:tcW w:w="543" w:type="pct"/>
          </w:tcPr>
          <w:p w14:paraId="214D16A5" w14:textId="77777777" w:rsidR="000E482F" w:rsidRDefault="000E482F" w:rsidP="004C79C1">
            <w:pPr>
              <w:pStyle w:val="Tabletext1"/>
              <w:spacing w:before="0" w:after="120"/>
              <w:ind w:right="284"/>
              <w:jc w:val="right"/>
              <w:rPr>
                <w:color w:val="000000"/>
              </w:rPr>
            </w:pPr>
            <w:r w:rsidRPr="00983DDB">
              <w:t>57</w:t>
            </w:r>
          </w:p>
        </w:tc>
        <w:tc>
          <w:tcPr>
            <w:tcW w:w="612" w:type="pct"/>
          </w:tcPr>
          <w:p w14:paraId="256A759C" w14:textId="77777777" w:rsidR="000E482F" w:rsidRDefault="000E482F" w:rsidP="004C79C1">
            <w:pPr>
              <w:pStyle w:val="Tabletext1"/>
              <w:spacing w:before="0" w:after="120"/>
              <w:ind w:right="284"/>
              <w:jc w:val="right"/>
              <w:rPr>
                <w:color w:val="000000"/>
              </w:rPr>
            </w:pPr>
            <w:r w:rsidRPr="00983DDB">
              <w:t>58</w:t>
            </w:r>
          </w:p>
        </w:tc>
      </w:tr>
      <w:tr w:rsidR="00A321F7" w:rsidRPr="0024769A" w14:paraId="47A07324" w14:textId="77777777" w:rsidTr="00784480">
        <w:tc>
          <w:tcPr>
            <w:tcW w:w="314" w:type="pct"/>
          </w:tcPr>
          <w:p w14:paraId="18EE2405" w14:textId="77777777" w:rsidR="000E482F" w:rsidRPr="00FE4379" w:rsidRDefault="000E482F" w:rsidP="004C79C1">
            <w:pPr>
              <w:pStyle w:val="Tabletext1"/>
              <w:spacing w:before="0" w:after="120"/>
            </w:pPr>
            <w:r>
              <w:t>W</w:t>
            </w:r>
          </w:p>
        </w:tc>
        <w:tc>
          <w:tcPr>
            <w:tcW w:w="1908" w:type="pct"/>
          </w:tcPr>
          <w:p w14:paraId="02E88846" w14:textId="77777777" w:rsidR="000E482F" w:rsidRPr="008E5371" w:rsidRDefault="000E482F" w:rsidP="004C79C1">
            <w:pPr>
              <w:pStyle w:val="Tabletext1"/>
              <w:spacing w:before="0" w:after="120"/>
              <w:rPr>
                <w:lang w:eastAsia="en-US"/>
              </w:rPr>
            </w:pPr>
            <w:r w:rsidRPr="00FE4379">
              <w:t>CTCA</w:t>
            </w:r>
            <w:r>
              <w:rPr>
                <w:lang w:eastAsia="en-US"/>
              </w:rPr>
              <w:t xml:space="preserve"> (= J*33%)</w:t>
            </w:r>
          </w:p>
        </w:tc>
        <w:tc>
          <w:tcPr>
            <w:tcW w:w="537" w:type="pct"/>
          </w:tcPr>
          <w:p w14:paraId="2DC0869B" w14:textId="0B170494" w:rsidR="000E482F" w:rsidRDefault="000E482F" w:rsidP="004C79C1">
            <w:pPr>
              <w:pStyle w:val="Tabletext1"/>
              <w:spacing w:before="0" w:after="120"/>
              <w:ind w:right="284"/>
              <w:jc w:val="right"/>
              <w:rPr>
                <w:color w:val="000000"/>
              </w:rPr>
            </w:pPr>
            <w:r w:rsidRPr="00983DDB">
              <w:t>3</w:t>
            </w:r>
            <w:r w:rsidR="00966AEA">
              <w:t>,</w:t>
            </w:r>
            <w:r w:rsidRPr="00983DDB">
              <w:t>5</w:t>
            </w:r>
            <w:r w:rsidDel="004C1818">
              <w:rPr>
                <w:color w:val="000000"/>
              </w:rPr>
              <w:t>23</w:t>
            </w:r>
          </w:p>
        </w:tc>
        <w:tc>
          <w:tcPr>
            <w:tcW w:w="535" w:type="pct"/>
          </w:tcPr>
          <w:p w14:paraId="4DF8B58B" w14:textId="0D175ED6" w:rsidR="000E482F" w:rsidRDefault="000E482F" w:rsidP="004C79C1">
            <w:pPr>
              <w:pStyle w:val="Tabletext1"/>
              <w:spacing w:before="0" w:after="120"/>
              <w:ind w:right="284"/>
              <w:jc w:val="right"/>
              <w:rPr>
                <w:color w:val="000000"/>
              </w:rPr>
            </w:pPr>
            <w:r w:rsidRPr="00983DDB">
              <w:t>3</w:t>
            </w:r>
            <w:r w:rsidR="00966AEA">
              <w:t>,</w:t>
            </w:r>
            <w:r w:rsidRPr="00983DDB">
              <w:t>6</w:t>
            </w:r>
            <w:r w:rsidDel="004C1818">
              <w:rPr>
                <w:color w:val="000000"/>
              </w:rPr>
              <w:t>24</w:t>
            </w:r>
          </w:p>
        </w:tc>
        <w:tc>
          <w:tcPr>
            <w:tcW w:w="551" w:type="pct"/>
          </w:tcPr>
          <w:p w14:paraId="59597238" w14:textId="549DECA4" w:rsidR="000E482F" w:rsidRDefault="000E482F" w:rsidP="004C79C1">
            <w:pPr>
              <w:pStyle w:val="Tabletext1"/>
              <w:spacing w:before="0" w:after="120"/>
              <w:ind w:right="284"/>
              <w:jc w:val="right"/>
              <w:rPr>
                <w:color w:val="000000"/>
              </w:rPr>
            </w:pPr>
            <w:r w:rsidRPr="00983DDB">
              <w:t>3</w:t>
            </w:r>
            <w:r w:rsidR="00966AEA">
              <w:t>,</w:t>
            </w:r>
            <w:r w:rsidRPr="00983DDB">
              <w:t>7</w:t>
            </w:r>
            <w:r w:rsidDel="004C1818">
              <w:rPr>
                <w:color w:val="000000"/>
              </w:rPr>
              <w:t>24</w:t>
            </w:r>
          </w:p>
        </w:tc>
        <w:tc>
          <w:tcPr>
            <w:tcW w:w="543" w:type="pct"/>
          </w:tcPr>
          <w:p w14:paraId="577FB2E5" w14:textId="498C328F" w:rsidR="000E482F" w:rsidRDefault="000E482F" w:rsidP="004C79C1">
            <w:pPr>
              <w:pStyle w:val="Tabletext1"/>
              <w:spacing w:before="0" w:after="120"/>
              <w:ind w:right="284"/>
              <w:jc w:val="right"/>
              <w:rPr>
                <w:color w:val="000000"/>
              </w:rPr>
            </w:pPr>
            <w:r w:rsidRPr="00983DDB">
              <w:t>3</w:t>
            </w:r>
            <w:r w:rsidR="00966AEA">
              <w:t>,</w:t>
            </w:r>
            <w:r w:rsidRPr="00983DDB">
              <w:t>7</w:t>
            </w:r>
            <w:r w:rsidDel="004C1818">
              <w:rPr>
                <w:color w:val="000000"/>
              </w:rPr>
              <w:t>24</w:t>
            </w:r>
          </w:p>
        </w:tc>
        <w:tc>
          <w:tcPr>
            <w:tcW w:w="612" w:type="pct"/>
          </w:tcPr>
          <w:p w14:paraId="58FEF240" w14:textId="540C3E26" w:rsidR="000E482F" w:rsidRDefault="000E482F" w:rsidP="004C79C1">
            <w:pPr>
              <w:pStyle w:val="Tabletext1"/>
              <w:spacing w:before="0" w:after="120"/>
              <w:ind w:right="284"/>
              <w:jc w:val="right"/>
              <w:rPr>
                <w:color w:val="000000"/>
              </w:rPr>
            </w:pPr>
            <w:r w:rsidRPr="00983DDB">
              <w:t>3</w:t>
            </w:r>
            <w:r w:rsidR="00966AEA">
              <w:t>,</w:t>
            </w:r>
            <w:r w:rsidRPr="00983DDB">
              <w:t>8</w:t>
            </w:r>
            <w:r w:rsidDel="004C1818">
              <w:rPr>
                <w:color w:val="000000"/>
              </w:rPr>
              <w:t>25</w:t>
            </w:r>
          </w:p>
        </w:tc>
      </w:tr>
      <w:tr w:rsidR="00A321F7" w:rsidRPr="0024769A" w14:paraId="580720E1" w14:textId="77777777" w:rsidTr="00784480">
        <w:tc>
          <w:tcPr>
            <w:tcW w:w="314" w:type="pct"/>
          </w:tcPr>
          <w:p w14:paraId="716E0983" w14:textId="77777777" w:rsidR="000E482F" w:rsidRPr="00FE4379" w:rsidRDefault="000E482F" w:rsidP="004C79C1">
            <w:pPr>
              <w:pStyle w:val="Tabletext1"/>
              <w:spacing w:before="0" w:after="120"/>
            </w:pPr>
            <w:r>
              <w:lastRenderedPageBreak/>
              <w:t>X</w:t>
            </w:r>
          </w:p>
        </w:tc>
        <w:tc>
          <w:tcPr>
            <w:tcW w:w="1908" w:type="pct"/>
          </w:tcPr>
          <w:p w14:paraId="256FD3D6" w14:textId="77777777" w:rsidR="000E482F" w:rsidRDefault="000E482F" w:rsidP="004C79C1">
            <w:pPr>
              <w:pStyle w:val="Tabletext1"/>
              <w:spacing w:before="0" w:after="120"/>
              <w:rPr>
                <w:lang w:eastAsia="en-US"/>
              </w:rPr>
            </w:pPr>
            <w:r w:rsidRPr="00FE4379">
              <w:t>Stress Echo</w:t>
            </w:r>
            <w:r>
              <w:t xml:space="preserve"> (= J*6%)</w:t>
            </w:r>
          </w:p>
        </w:tc>
        <w:tc>
          <w:tcPr>
            <w:tcW w:w="537" w:type="pct"/>
          </w:tcPr>
          <w:p w14:paraId="4E1E8C49" w14:textId="77777777" w:rsidR="000E482F" w:rsidRDefault="000E482F" w:rsidP="004C79C1">
            <w:pPr>
              <w:pStyle w:val="Tabletext1"/>
              <w:spacing w:before="0" w:after="120"/>
              <w:ind w:right="284"/>
              <w:jc w:val="right"/>
              <w:rPr>
                <w:color w:val="000000"/>
              </w:rPr>
            </w:pPr>
            <w:r w:rsidRPr="00983DDB">
              <w:t>7</w:t>
            </w:r>
          </w:p>
        </w:tc>
        <w:tc>
          <w:tcPr>
            <w:tcW w:w="535" w:type="pct"/>
          </w:tcPr>
          <w:p w14:paraId="04F8BAAB" w14:textId="77777777" w:rsidR="000E482F" w:rsidRDefault="000E482F" w:rsidP="004C79C1">
            <w:pPr>
              <w:pStyle w:val="Tabletext1"/>
              <w:spacing w:before="0" w:after="120"/>
              <w:ind w:right="284"/>
              <w:jc w:val="right"/>
              <w:rPr>
                <w:color w:val="000000"/>
              </w:rPr>
            </w:pPr>
            <w:r w:rsidRPr="00983DDB">
              <w:t>7</w:t>
            </w:r>
          </w:p>
        </w:tc>
        <w:tc>
          <w:tcPr>
            <w:tcW w:w="551" w:type="pct"/>
          </w:tcPr>
          <w:p w14:paraId="551DE60C" w14:textId="77777777" w:rsidR="000E482F" w:rsidRDefault="000E482F" w:rsidP="004C79C1">
            <w:pPr>
              <w:pStyle w:val="Tabletext1"/>
              <w:spacing w:before="0" w:after="120"/>
              <w:ind w:right="284"/>
              <w:jc w:val="right"/>
              <w:rPr>
                <w:color w:val="000000"/>
              </w:rPr>
            </w:pPr>
            <w:r w:rsidRPr="00983DDB">
              <w:t>7</w:t>
            </w:r>
          </w:p>
        </w:tc>
        <w:tc>
          <w:tcPr>
            <w:tcW w:w="543" w:type="pct"/>
          </w:tcPr>
          <w:p w14:paraId="770F2F7A" w14:textId="77777777" w:rsidR="000E482F" w:rsidRDefault="000E482F" w:rsidP="004C79C1">
            <w:pPr>
              <w:pStyle w:val="Tabletext1"/>
              <w:spacing w:before="0" w:after="120"/>
              <w:ind w:right="284"/>
              <w:jc w:val="right"/>
              <w:rPr>
                <w:color w:val="000000"/>
              </w:rPr>
            </w:pPr>
            <w:r w:rsidRPr="00983DDB">
              <w:t>7</w:t>
            </w:r>
          </w:p>
        </w:tc>
        <w:tc>
          <w:tcPr>
            <w:tcW w:w="612" w:type="pct"/>
          </w:tcPr>
          <w:p w14:paraId="1C9D4259" w14:textId="77777777" w:rsidR="000E482F" w:rsidRDefault="000E482F" w:rsidP="004C79C1">
            <w:pPr>
              <w:pStyle w:val="Tabletext1"/>
              <w:spacing w:before="0" w:after="120"/>
              <w:ind w:right="284"/>
              <w:jc w:val="right"/>
              <w:rPr>
                <w:color w:val="000000"/>
              </w:rPr>
            </w:pPr>
            <w:r w:rsidRPr="00983DDB">
              <w:t>7</w:t>
            </w:r>
          </w:p>
        </w:tc>
      </w:tr>
      <w:tr w:rsidR="00A321F7" w:rsidRPr="0024769A" w14:paraId="066E1B2B" w14:textId="77777777" w:rsidTr="00784480">
        <w:tc>
          <w:tcPr>
            <w:tcW w:w="314" w:type="pct"/>
          </w:tcPr>
          <w:p w14:paraId="24853BB2" w14:textId="77777777" w:rsidR="000E482F" w:rsidRPr="00FE4379" w:rsidRDefault="000E482F" w:rsidP="004C79C1">
            <w:pPr>
              <w:pStyle w:val="Tabletext1"/>
              <w:spacing w:before="0" w:after="120"/>
            </w:pPr>
            <w:r>
              <w:t>Y</w:t>
            </w:r>
          </w:p>
        </w:tc>
        <w:tc>
          <w:tcPr>
            <w:tcW w:w="1908" w:type="pct"/>
          </w:tcPr>
          <w:p w14:paraId="264FDAFB" w14:textId="77777777" w:rsidR="000E482F" w:rsidRPr="008E5371" w:rsidRDefault="000E482F" w:rsidP="004C79C1">
            <w:pPr>
              <w:pStyle w:val="Tabletext1"/>
              <w:spacing w:before="0" w:after="120"/>
              <w:rPr>
                <w:lang w:eastAsia="en-US"/>
              </w:rPr>
            </w:pPr>
            <w:r w:rsidRPr="00FE4379">
              <w:t>SPECT</w:t>
            </w:r>
            <w:r>
              <w:rPr>
                <w:lang w:eastAsia="en-US"/>
              </w:rPr>
              <w:t xml:space="preserve"> (= J*5%)</w:t>
            </w:r>
          </w:p>
        </w:tc>
        <w:tc>
          <w:tcPr>
            <w:tcW w:w="537" w:type="pct"/>
          </w:tcPr>
          <w:p w14:paraId="60909551" w14:textId="77777777" w:rsidR="000E482F" w:rsidRDefault="000E482F" w:rsidP="004C79C1">
            <w:pPr>
              <w:pStyle w:val="Tabletext1"/>
              <w:spacing w:before="0" w:after="120"/>
              <w:ind w:right="284"/>
              <w:jc w:val="right"/>
              <w:rPr>
                <w:color w:val="000000"/>
              </w:rPr>
            </w:pPr>
            <w:r w:rsidRPr="00983DDB">
              <w:t>5</w:t>
            </w:r>
          </w:p>
        </w:tc>
        <w:tc>
          <w:tcPr>
            <w:tcW w:w="535" w:type="pct"/>
          </w:tcPr>
          <w:p w14:paraId="25BD1EDE" w14:textId="77777777" w:rsidR="000E482F" w:rsidRDefault="000E482F" w:rsidP="004C79C1">
            <w:pPr>
              <w:pStyle w:val="Tabletext1"/>
              <w:spacing w:before="0" w:after="120"/>
              <w:ind w:right="284"/>
              <w:jc w:val="right"/>
              <w:rPr>
                <w:color w:val="000000"/>
              </w:rPr>
            </w:pPr>
            <w:r w:rsidRPr="00983DDB">
              <w:t>5</w:t>
            </w:r>
          </w:p>
        </w:tc>
        <w:tc>
          <w:tcPr>
            <w:tcW w:w="551" w:type="pct"/>
          </w:tcPr>
          <w:p w14:paraId="6355E757" w14:textId="77777777" w:rsidR="000E482F" w:rsidRDefault="000E482F" w:rsidP="004C79C1">
            <w:pPr>
              <w:pStyle w:val="Tabletext1"/>
              <w:spacing w:before="0" w:after="120"/>
              <w:ind w:right="284"/>
              <w:jc w:val="right"/>
              <w:rPr>
                <w:color w:val="000000"/>
              </w:rPr>
            </w:pPr>
            <w:r w:rsidRPr="00983DDB">
              <w:t>5</w:t>
            </w:r>
          </w:p>
        </w:tc>
        <w:tc>
          <w:tcPr>
            <w:tcW w:w="543" w:type="pct"/>
          </w:tcPr>
          <w:p w14:paraId="7198D363" w14:textId="77777777" w:rsidR="000E482F" w:rsidRDefault="000E482F" w:rsidP="004C79C1">
            <w:pPr>
              <w:pStyle w:val="Tabletext1"/>
              <w:spacing w:before="0" w:after="120"/>
              <w:ind w:right="284"/>
              <w:jc w:val="right"/>
              <w:rPr>
                <w:color w:val="000000"/>
              </w:rPr>
            </w:pPr>
            <w:r w:rsidRPr="00983DDB">
              <w:t>5</w:t>
            </w:r>
          </w:p>
        </w:tc>
        <w:tc>
          <w:tcPr>
            <w:tcW w:w="612" w:type="pct"/>
          </w:tcPr>
          <w:p w14:paraId="0EF2748E" w14:textId="77777777" w:rsidR="000E482F" w:rsidRDefault="000E482F" w:rsidP="004C79C1">
            <w:pPr>
              <w:pStyle w:val="Tabletext1"/>
              <w:spacing w:before="0" w:after="120"/>
              <w:ind w:right="284"/>
              <w:jc w:val="right"/>
              <w:rPr>
                <w:color w:val="000000"/>
              </w:rPr>
            </w:pPr>
            <w:r w:rsidRPr="00983DDB">
              <w:t>6</w:t>
            </w:r>
          </w:p>
        </w:tc>
      </w:tr>
      <w:tr w:rsidR="00A321F7" w:rsidRPr="002A07D0" w14:paraId="2D332000" w14:textId="77777777" w:rsidTr="00784480">
        <w:tc>
          <w:tcPr>
            <w:tcW w:w="314" w:type="pct"/>
          </w:tcPr>
          <w:p w14:paraId="49150136" w14:textId="77777777" w:rsidR="000E482F" w:rsidRPr="002A07D0" w:rsidRDefault="000E482F" w:rsidP="004C79C1">
            <w:pPr>
              <w:pStyle w:val="Tabletext1"/>
              <w:spacing w:before="0" w:after="120"/>
              <w:rPr>
                <w:b/>
                <w:lang w:eastAsia="en-US"/>
              </w:rPr>
            </w:pPr>
          </w:p>
        </w:tc>
        <w:tc>
          <w:tcPr>
            <w:tcW w:w="1908" w:type="pct"/>
            <w:vAlign w:val="bottom"/>
          </w:tcPr>
          <w:p w14:paraId="45DC3E1F" w14:textId="148D7FC0" w:rsidR="000E482F" w:rsidRPr="002A07D0" w:rsidRDefault="000E482F" w:rsidP="004C79C1">
            <w:pPr>
              <w:pStyle w:val="Tabletext1"/>
              <w:spacing w:before="0" w:after="120"/>
              <w:rPr>
                <w:b/>
                <w:lang w:eastAsia="en-US"/>
              </w:rPr>
            </w:pPr>
            <w:r w:rsidRPr="002A07D0">
              <w:rPr>
                <w:b/>
                <w:lang w:eastAsia="en-US"/>
              </w:rPr>
              <w:t>Total number of test offsets</w:t>
            </w:r>
            <w:r w:rsidRPr="00966AEA">
              <w:rPr>
                <w:b/>
                <w:lang w:eastAsia="en-US"/>
              </w:rPr>
              <w:t xml:space="preserve"> </w:t>
            </w:r>
            <w:r w:rsidR="00A321F7">
              <w:rPr>
                <w:b/>
                <w:lang w:eastAsia="en-US"/>
              </w:rPr>
              <w:br/>
            </w:r>
            <w:r w:rsidRPr="00784480">
              <w:rPr>
                <w:b/>
                <w:lang w:eastAsia="en-US"/>
              </w:rPr>
              <w:t>(= U+V+W+X+Y = J)</w:t>
            </w:r>
          </w:p>
        </w:tc>
        <w:tc>
          <w:tcPr>
            <w:tcW w:w="537" w:type="pct"/>
            <w:vAlign w:val="bottom"/>
          </w:tcPr>
          <w:p w14:paraId="2D480C5F" w14:textId="77777777" w:rsidR="000E482F" w:rsidRPr="002A07D0" w:rsidRDefault="000E482F" w:rsidP="004C79C1">
            <w:pPr>
              <w:pStyle w:val="Tabletext1"/>
              <w:spacing w:before="0" w:after="120"/>
              <w:ind w:right="284"/>
              <w:jc w:val="right"/>
              <w:rPr>
                <w:b/>
                <w:color w:val="000000"/>
              </w:rPr>
            </w:pPr>
            <w:r w:rsidRPr="002A07D0">
              <w:rPr>
                <w:b/>
                <w:color w:val="000000"/>
              </w:rPr>
              <w:t>108</w:t>
            </w:r>
          </w:p>
        </w:tc>
        <w:tc>
          <w:tcPr>
            <w:tcW w:w="535" w:type="pct"/>
            <w:vAlign w:val="bottom"/>
          </w:tcPr>
          <w:p w14:paraId="400F5B93" w14:textId="77777777" w:rsidR="000E482F" w:rsidRPr="002A07D0" w:rsidRDefault="000E482F" w:rsidP="004C79C1">
            <w:pPr>
              <w:pStyle w:val="Tabletext1"/>
              <w:spacing w:before="0" w:after="120"/>
              <w:ind w:right="284"/>
              <w:jc w:val="right"/>
              <w:rPr>
                <w:b/>
                <w:color w:val="000000"/>
              </w:rPr>
            </w:pPr>
            <w:r w:rsidRPr="002A07D0">
              <w:rPr>
                <w:b/>
                <w:color w:val="000000"/>
              </w:rPr>
              <w:t>109</w:t>
            </w:r>
          </w:p>
        </w:tc>
        <w:tc>
          <w:tcPr>
            <w:tcW w:w="551" w:type="pct"/>
            <w:vAlign w:val="bottom"/>
          </w:tcPr>
          <w:p w14:paraId="2838DFAF" w14:textId="77777777" w:rsidR="000E482F" w:rsidRPr="002A07D0" w:rsidRDefault="000E482F" w:rsidP="004C79C1">
            <w:pPr>
              <w:pStyle w:val="Tabletext1"/>
              <w:spacing w:before="0" w:after="120"/>
              <w:ind w:right="284"/>
              <w:jc w:val="right"/>
              <w:rPr>
                <w:b/>
                <w:color w:val="000000"/>
              </w:rPr>
            </w:pPr>
            <w:r w:rsidRPr="002A07D0">
              <w:rPr>
                <w:b/>
                <w:color w:val="000000"/>
              </w:rPr>
              <w:t>111</w:t>
            </w:r>
          </w:p>
        </w:tc>
        <w:tc>
          <w:tcPr>
            <w:tcW w:w="543" w:type="pct"/>
            <w:vAlign w:val="bottom"/>
          </w:tcPr>
          <w:p w14:paraId="28EA08C7" w14:textId="77777777" w:rsidR="000E482F" w:rsidRPr="002A07D0" w:rsidRDefault="000E482F" w:rsidP="004C79C1">
            <w:pPr>
              <w:pStyle w:val="Tabletext1"/>
              <w:spacing w:before="0" w:after="120"/>
              <w:ind w:right="284"/>
              <w:jc w:val="right"/>
              <w:rPr>
                <w:b/>
                <w:color w:val="000000"/>
              </w:rPr>
            </w:pPr>
            <w:r w:rsidRPr="002A07D0">
              <w:rPr>
                <w:b/>
                <w:color w:val="000000"/>
              </w:rPr>
              <w:t>113</w:t>
            </w:r>
          </w:p>
        </w:tc>
        <w:tc>
          <w:tcPr>
            <w:tcW w:w="612" w:type="pct"/>
            <w:vAlign w:val="bottom"/>
          </w:tcPr>
          <w:p w14:paraId="355F89B8" w14:textId="77777777" w:rsidR="000E482F" w:rsidRPr="002A07D0" w:rsidRDefault="000E482F" w:rsidP="004C79C1">
            <w:pPr>
              <w:pStyle w:val="Tabletext1"/>
              <w:spacing w:before="0" w:after="120"/>
              <w:ind w:right="284"/>
              <w:jc w:val="right"/>
              <w:rPr>
                <w:b/>
                <w:color w:val="000000"/>
              </w:rPr>
            </w:pPr>
            <w:r w:rsidRPr="002A07D0">
              <w:rPr>
                <w:b/>
                <w:color w:val="000000"/>
              </w:rPr>
              <w:t>115</w:t>
            </w:r>
          </w:p>
        </w:tc>
      </w:tr>
    </w:tbl>
    <w:p w14:paraId="1D5F76C5" w14:textId="59B01968" w:rsidR="000E482F" w:rsidRDefault="000E482F" w:rsidP="004C79C1">
      <w:pPr>
        <w:pStyle w:val="Tablenotes0"/>
        <w:spacing w:before="0" w:after="120"/>
      </w:pPr>
      <w:r w:rsidRPr="000B3E74">
        <w:t xml:space="preserve">CMR = cardiac magnetic resonance </w:t>
      </w:r>
      <w:r w:rsidR="009A0742">
        <w:t>(</w:t>
      </w:r>
      <w:r w:rsidRPr="000B3E74">
        <w:t>imaging</w:t>
      </w:r>
      <w:r w:rsidR="009A0742">
        <w:t>)</w:t>
      </w:r>
      <w:r w:rsidRPr="000B3E74">
        <w:t>; CTCA</w:t>
      </w:r>
      <w:r w:rsidR="0030629A">
        <w:t xml:space="preserve"> </w:t>
      </w:r>
      <w:r w:rsidRPr="000B3E74">
        <w:t>=</w:t>
      </w:r>
      <w:r w:rsidR="0030629A">
        <w:t xml:space="preserve"> </w:t>
      </w:r>
      <w:r w:rsidRPr="000B3E74">
        <w:t>computed tomography coronary angiography;</w:t>
      </w:r>
      <w:r>
        <w:t xml:space="preserve"> GHPS = </w:t>
      </w:r>
      <w:r w:rsidRPr="00AF6E8D">
        <w:rPr>
          <w:bCs/>
          <w:color w:val="000000"/>
        </w:rPr>
        <w:t xml:space="preserve">gated </w:t>
      </w:r>
      <w:r>
        <w:rPr>
          <w:bCs/>
          <w:color w:val="000000"/>
        </w:rPr>
        <w:t>heart</w:t>
      </w:r>
      <w:r w:rsidRPr="00AF6E8D">
        <w:rPr>
          <w:bCs/>
          <w:color w:val="000000"/>
        </w:rPr>
        <w:t xml:space="preserve"> pool scan</w:t>
      </w:r>
      <w:r>
        <w:rPr>
          <w:bCs/>
          <w:color w:val="000000"/>
        </w:rPr>
        <w:t xml:space="preserve">; </w:t>
      </w:r>
      <w:r w:rsidRPr="000B3E74">
        <w:t>E</w:t>
      </w:r>
      <w:r>
        <w:t>cho</w:t>
      </w:r>
      <w:r w:rsidR="0030629A">
        <w:t xml:space="preserve"> </w:t>
      </w:r>
      <w:r w:rsidRPr="000B3E74">
        <w:t>=</w:t>
      </w:r>
      <w:r w:rsidR="0030629A">
        <w:t xml:space="preserve"> </w:t>
      </w:r>
      <w:r w:rsidRPr="000B3E74">
        <w:t>echocardiography;</w:t>
      </w:r>
      <w:r>
        <w:t xml:space="preserve"> ICA = invasive coronary angiography;</w:t>
      </w:r>
      <w:r w:rsidRPr="000B3E74">
        <w:t xml:space="preserve"> SPECT=</w:t>
      </w:r>
      <w:r>
        <w:t xml:space="preserve"> </w:t>
      </w:r>
      <w:r w:rsidRPr="000B3E74">
        <w:t>single</w:t>
      </w:r>
      <w:r w:rsidR="0030629A">
        <w:t>-</w:t>
      </w:r>
      <w:r w:rsidRPr="000B3E74">
        <w:t>photon emission computed tomography</w:t>
      </w:r>
    </w:p>
    <w:p w14:paraId="725C2414" w14:textId="555875EC" w:rsidR="000E482F" w:rsidRDefault="00784480" w:rsidP="004C79C1">
      <w:pPr>
        <w:spacing w:after="120" w:line="240" w:lineRule="auto"/>
        <w:jc w:val="both"/>
      </w:pPr>
      <w:r>
        <w:fldChar w:fldCharType="begin"/>
      </w:r>
      <w:r>
        <w:instrText xml:space="preserve"> REF _Ref445285020 \h </w:instrText>
      </w:r>
      <w:r>
        <w:fldChar w:fldCharType="separate"/>
      </w:r>
      <w:r>
        <w:t xml:space="preserve">Table </w:t>
      </w:r>
      <w:r>
        <w:rPr>
          <w:noProof/>
        </w:rPr>
        <w:t>68</w:t>
      </w:r>
      <w:r>
        <w:fldChar w:fldCharType="end"/>
      </w:r>
      <w:r w:rsidR="00BC1A2E">
        <w:t xml:space="preserve"> </w:t>
      </w:r>
      <w:r w:rsidR="000E482F">
        <w:t xml:space="preserve">presents </w:t>
      </w:r>
      <w:r w:rsidR="00966AEA">
        <w:t xml:space="preserve">a </w:t>
      </w:r>
      <w:r w:rsidR="000E482F">
        <w:t xml:space="preserve">summary </w:t>
      </w:r>
      <w:r w:rsidR="00966AEA">
        <w:t xml:space="preserve">of </w:t>
      </w:r>
      <w:r w:rsidR="000E482F">
        <w:t>estimates of the comparator tests and CMR tests for all groups of patients in the proposed populations.</w:t>
      </w:r>
    </w:p>
    <w:p w14:paraId="53E0FC2A" w14:textId="3DB0B26E" w:rsidR="000E482F" w:rsidRDefault="000E482F" w:rsidP="004C79C1">
      <w:pPr>
        <w:pStyle w:val="Caption"/>
        <w:keepNext/>
      </w:pPr>
      <w:bookmarkStart w:id="716" w:name="_Ref445285020"/>
      <w:bookmarkStart w:id="717" w:name="_Toc449555028"/>
      <w:bookmarkStart w:id="718" w:name="_Toc324410239"/>
      <w:bookmarkStart w:id="719" w:name="_Toc451435395"/>
      <w:r>
        <w:t xml:space="preserve">Table </w:t>
      </w:r>
      <w:fldSimple w:instr=" SEQ Table \* ARABIC ">
        <w:r w:rsidR="00050936">
          <w:rPr>
            <w:noProof/>
          </w:rPr>
          <w:t>68</w:t>
        </w:r>
      </w:fldSimple>
      <w:bookmarkEnd w:id="716"/>
      <w:r>
        <w:tab/>
      </w:r>
      <w:r w:rsidRPr="00C56D98">
        <w:t>Estimation of the number of comparator tests</w:t>
      </w:r>
      <w:r>
        <w:t xml:space="preserve"> aggregated across all the proposed populations</w:t>
      </w:r>
      <w:bookmarkEnd w:id="717"/>
      <w:bookmarkEnd w:id="718"/>
      <w:bookmarkEnd w:id="719"/>
    </w:p>
    <w:tbl>
      <w:tblPr>
        <w:tblStyle w:val="TableGrid"/>
        <w:tblW w:w="4890" w:type="pct"/>
        <w:tblLook w:val="04A0" w:firstRow="1" w:lastRow="0" w:firstColumn="1" w:lastColumn="0" w:noHBand="0" w:noVBand="1"/>
        <w:tblDescription w:val="Estimation of the number of comparator tests aggregated across all of the proposed populations"/>
      </w:tblPr>
      <w:tblGrid>
        <w:gridCol w:w="587"/>
        <w:gridCol w:w="3495"/>
        <w:gridCol w:w="992"/>
        <w:gridCol w:w="991"/>
        <w:gridCol w:w="989"/>
        <w:gridCol w:w="1034"/>
        <w:gridCol w:w="951"/>
      </w:tblGrid>
      <w:tr w:rsidR="00EA3791" w:rsidRPr="008E5371" w14:paraId="624CFDCD" w14:textId="77777777" w:rsidTr="00784480">
        <w:trPr>
          <w:tblHeader/>
        </w:trPr>
        <w:tc>
          <w:tcPr>
            <w:tcW w:w="324" w:type="pct"/>
            <w:tcBorders>
              <w:bottom w:val="single" w:sz="4" w:space="0" w:color="auto"/>
            </w:tcBorders>
          </w:tcPr>
          <w:p w14:paraId="7936BC7C" w14:textId="77777777" w:rsidR="000E482F" w:rsidRPr="008E5371" w:rsidRDefault="000E482F" w:rsidP="004C79C1">
            <w:pPr>
              <w:pStyle w:val="TableHeading"/>
              <w:spacing w:before="0" w:after="120"/>
              <w:ind w:left="0" w:firstLine="0"/>
            </w:pPr>
            <w:r>
              <w:t>Row</w:t>
            </w:r>
          </w:p>
        </w:tc>
        <w:tc>
          <w:tcPr>
            <w:tcW w:w="1933" w:type="pct"/>
            <w:tcBorders>
              <w:bottom w:val="single" w:sz="4" w:space="0" w:color="auto"/>
            </w:tcBorders>
          </w:tcPr>
          <w:p w14:paraId="43E9CA19" w14:textId="77777777" w:rsidR="000E482F" w:rsidRPr="008E5371" w:rsidRDefault="000E482F" w:rsidP="004C79C1">
            <w:pPr>
              <w:pStyle w:val="TableHeading"/>
              <w:spacing w:before="0" w:after="120"/>
              <w:ind w:left="0" w:firstLine="0"/>
            </w:pPr>
          </w:p>
        </w:tc>
        <w:tc>
          <w:tcPr>
            <w:tcW w:w="549" w:type="pct"/>
            <w:tcBorders>
              <w:bottom w:val="single" w:sz="4" w:space="0" w:color="auto"/>
            </w:tcBorders>
          </w:tcPr>
          <w:p w14:paraId="7AFAEE08" w14:textId="1C39279B" w:rsidR="000E482F" w:rsidRPr="008E5371" w:rsidRDefault="000E482F" w:rsidP="004C79C1">
            <w:pPr>
              <w:pStyle w:val="TableHeading"/>
              <w:spacing w:before="0" w:after="120"/>
              <w:ind w:left="0" w:firstLine="0"/>
              <w:jc w:val="center"/>
            </w:pPr>
            <w:r w:rsidRPr="008E5371">
              <w:t>2016</w:t>
            </w:r>
            <w:r w:rsidR="00EA3791">
              <w:t>–</w:t>
            </w:r>
            <w:r w:rsidRPr="008E5371">
              <w:t>17</w:t>
            </w:r>
          </w:p>
        </w:tc>
        <w:tc>
          <w:tcPr>
            <w:tcW w:w="548" w:type="pct"/>
            <w:tcBorders>
              <w:bottom w:val="single" w:sz="4" w:space="0" w:color="auto"/>
            </w:tcBorders>
          </w:tcPr>
          <w:p w14:paraId="078A97A7" w14:textId="57B11A82" w:rsidR="000E482F" w:rsidRPr="008E5371" w:rsidRDefault="000E482F" w:rsidP="004C79C1">
            <w:pPr>
              <w:pStyle w:val="TableHeading"/>
              <w:spacing w:before="0" w:after="120"/>
              <w:ind w:left="0" w:firstLine="0"/>
              <w:jc w:val="center"/>
            </w:pPr>
            <w:r w:rsidRPr="008E5371">
              <w:t>2017</w:t>
            </w:r>
            <w:r w:rsidR="00EA3791">
              <w:t>–</w:t>
            </w:r>
            <w:r w:rsidRPr="008E5371">
              <w:t>18</w:t>
            </w:r>
          </w:p>
        </w:tc>
        <w:tc>
          <w:tcPr>
            <w:tcW w:w="547" w:type="pct"/>
            <w:tcBorders>
              <w:bottom w:val="single" w:sz="4" w:space="0" w:color="auto"/>
            </w:tcBorders>
          </w:tcPr>
          <w:p w14:paraId="6AE8A720" w14:textId="4052C5B8" w:rsidR="000E482F" w:rsidRPr="008E5371" w:rsidRDefault="000E482F" w:rsidP="004C79C1">
            <w:pPr>
              <w:pStyle w:val="TableHeading"/>
              <w:spacing w:before="0" w:after="120"/>
              <w:ind w:left="0" w:firstLine="0"/>
              <w:jc w:val="center"/>
            </w:pPr>
            <w:r w:rsidRPr="008E5371">
              <w:t>2018</w:t>
            </w:r>
            <w:r w:rsidR="00EA3791">
              <w:t>–</w:t>
            </w:r>
            <w:r w:rsidRPr="008E5371">
              <w:t>19</w:t>
            </w:r>
          </w:p>
        </w:tc>
        <w:tc>
          <w:tcPr>
            <w:tcW w:w="572" w:type="pct"/>
            <w:tcBorders>
              <w:bottom w:val="single" w:sz="4" w:space="0" w:color="auto"/>
            </w:tcBorders>
          </w:tcPr>
          <w:p w14:paraId="7A605F12" w14:textId="4277EB2D" w:rsidR="000E482F" w:rsidRPr="008E5371" w:rsidRDefault="000E482F" w:rsidP="004C79C1">
            <w:pPr>
              <w:pStyle w:val="TableHeading"/>
              <w:spacing w:before="0" w:after="120"/>
              <w:ind w:left="0" w:firstLine="0"/>
              <w:jc w:val="center"/>
            </w:pPr>
            <w:r w:rsidRPr="008E5371">
              <w:t>2019</w:t>
            </w:r>
            <w:r w:rsidR="00EA3791">
              <w:t>–</w:t>
            </w:r>
            <w:r w:rsidRPr="008E5371">
              <w:t>20</w:t>
            </w:r>
          </w:p>
        </w:tc>
        <w:tc>
          <w:tcPr>
            <w:tcW w:w="526" w:type="pct"/>
            <w:tcBorders>
              <w:bottom w:val="single" w:sz="4" w:space="0" w:color="auto"/>
            </w:tcBorders>
          </w:tcPr>
          <w:p w14:paraId="5E2C3DD5" w14:textId="0D85F431" w:rsidR="000E482F" w:rsidRPr="008E5371" w:rsidRDefault="000E482F" w:rsidP="004C79C1">
            <w:pPr>
              <w:pStyle w:val="TableHeading"/>
              <w:spacing w:before="0" w:after="120"/>
              <w:ind w:left="0" w:firstLine="0"/>
              <w:jc w:val="center"/>
            </w:pPr>
            <w:r w:rsidRPr="008E5371">
              <w:t>2020</w:t>
            </w:r>
            <w:r w:rsidR="00EA3791">
              <w:t>–</w:t>
            </w:r>
            <w:r w:rsidRPr="008E5371">
              <w:t>21</w:t>
            </w:r>
          </w:p>
        </w:tc>
      </w:tr>
      <w:tr w:rsidR="00EA3791" w14:paraId="4CCF8806" w14:textId="77777777" w:rsidTr="00784480">
        <w:tc>
          <w:tcPr>
            <w:tcW w:w="324" w:type="pct"/>
            <w:tcBorders>
              <w:bottom w:val="single" w:sz="4" w:space="0" w:color="auto"/>
            </w:tcBorders>
          </w:tcPr>
          <w:p w14:paraId="3EB1911E" w14:textId="77777777" w:rsidR="000E482F" w:rsidRPr="00A2632A" w:rsidRDefault="000E482F" w:rsidP="004C79C1">
            <w:pPr>
              <w:pStyle w:val="Tabletext1"/>
              <w:spacing w:before="0" w:after="120"/>
              <w:rPr>
                <w:b/>
                <w:lang w:eastAsia="en-US"/>
              </w:rPr>
            </w:pPr>
            <w:r>
              <w:rPr>
                <w:b/>
                <w:lang w:eastAsia="en-US"/>
              </w:rPr>
              <w:t>K</w:t>
            </w:r>
          </w:p>
        </w:tc>
        <w:tc>
          <w:tcPr>
            <w:tcW w:w="1933" w:type="pct"/>
            <w:tcBorders>
              <w:bottom w:val="single" w:sz="4" w:space="0" w:color="auto"/>
            </w:tcBorders>
          </w:tcPr>
          <w:p w14:paraId="3D18F81A" w14:textId="77777777" w:rsidR="000E482F" w:rsidRPr="00A2632A" w:rsidRDefault="000E482F" w:rsidP="004C79C1">
            <w:pPr>
              <w:pStyle w:val="Tabletext1"/>
              <w:spacing w:before="0" w:after="120"/>
              <w:rPr>
                <w:b/>
                <w:lang w:eastAsia="en-US"/>
              </w:rPr>
            </w:pPr>
            <w:r w:rsidRPr="00A2632A">
              <w:rPr>
                <w:b/>
                <w:lang w:eastAsia="en-US"/>
              </w:rPr>
              <w:t>Number of eligible CMR tests</w:t>
            </w:r>
          </w:p>
        </w:tc>
        <w:tc>
          <w:tcPr>
            <w:tcW w:w="549" w:type="pct"/>
            <w:tcBorders>
              <w:bottom w:val="single" w:sz="4" w:space="0" w:color="auto"/>
            </w:tcBorders>
            <w:vAlign w:val="bottom"/>
          </w:tcPr>
          <w:p w14:paraId="01F2CCE0" w14:textId="77777777" w:rsidR="000E482F" w:rsidRPr="00A2632A" w:rsidRDefault="000E482F" w:rsidP="004C79C1">
            <w:pPr>
              <w:pStyle w:val="Tabletext1"/>
              <w:spacing w:before="0" w:after="120"/>
              <w:ind w:right="284"/>
              <w:jc w:val="right"/>
              <w:rPr>
                <w:b/>
                <w:lang w:eastAsia="en-US"/>
              </w:rPr>
            </w:pPr>
            <w:r w:rsidRPr="00A2632A">
              <w:rPr>
                <w:b/>
                <w:color w:val="000000"/>
              </w:rPr>
              <w:t>4,086</w:t>
            </w:r>
          </w:p>
        </w:tc>
        <w:tc>
          <w:tcPr>
            <w:tcW w:w="548" w:type="pct"/>
            <w:tcBorders>
              <w:bottom w:val="single" w:sz="4" w:space="0" w:color="auto"/>
            </w:tcBorders>
            <w:vAlign w:val="bottom"/>
          </w:tcPr>
          <w:p w14:paraId="5AAA4F2B" w14:textId="77777777" w:rsidR="000E482F" w:rsidRPr="00A2632A" w:rsidRDefault="000E482F" w:rsidP="004C79C1">
            <w:pPr>
              <w:pStyle w:val="Tabletext1"/>
              <w:spacing w:before="0" w:after="120"/>
              <w:ind w:right="284"/>
              <w:jc w:val="right"/>
              <w:rPr>
                <w:b/>
                <w:lang w:eastAsia="en-US"/>
              </w:rPr>
            </w:pPr>
            <w:r w:rsidRPr="00A2632A">
              <w:rPr>
                <w:b/>
                <w:color w:val="000000"/>
              </w:rPr>
              <w:t>4,155</w:t>
            </w:r>
          </w:p>
        </w:tc>
        <w:tc>
          <w:tcPr>
            <w:tcW w:w="547" w:type="pct"/>
            <w:tcBorders>
              <w:bottom w:val="single" w:sz="4" w:space="0" w:color="auto"/>
            </w:tcBorders>
            <w:vAlign w:val="bottom"/>
          </w:tcPr>
          <w:p w14:paraId="52ABFB64" w14:textId="77777777" w:rsidR="000E482F" w:rsidRPr="00A2632A" w:rsidRDefault="000E482F" w:rsidP="004C79C1">
            <w:pPr>
              <w:pStyle w:val="Tabletext1"/>
              <w:spacing w:before="0" w:after="120"/>
              <w:ind w:right="284"/>
              <w:jc w:val="right"/>
              <w:rPr>
                <w:b/>
                <w:lang w:eastAsia="en-US"/>
              </w:rPr>
            </w:pPr>
            <w:r w:rsidRPr="00A2632A">
              <w:rPr>
                <w:b/>
                <w:color w:val="000000"/>
              </w:rPr>
              <w:t>4,224</w:t>
            </w:r>
          </w:p>
        </w:tc>
        <w:tc>
          <w:tcPr>
            <w:tcW w:w="572" w:type="pct"/>
            <w:tcBorders>
              <w:bottom w:val="single" w:sz="4" w:space="0" w:color="auto"/>
            </w:tcBorders>
            <w:vAlign w:val="bottom"/>
          </w:tcPr>
          <w:p w14:paraId="2AD802D9" w14:textId="77777777" w:rsidR="000E482F" w:rsidRPr="00A2632A" w:rsidRDefault="000E482F" w:rsidP="004C79C1">
            <w:pPr>
              <w:pStyle w:val="Tabletext1"/>
              <w:spacing w:before="0" w:after="120"/>
              <w:ind w:right="284"/>
              <w:jc w:val="right"/>
              <w:rPr>
                <w:b/>
                <w:lang w:eastAsia="en-US"/>
              </w:rPr>
            </w:pPr>
            <w:r w:rsidRPr="00A2632A">
              <w:rPr>
                <w:b/>
                <w:color w:val="000000"/>
              </w:rPr>
              <w:t>4,292</w:t>
            </w:r>
          </w:p>
        </w:tc>
        <w:tc>
          <w:tcPr>
            <w:tcW w:w="526" w:type="pct"/>
            <w:tcBorders>
              <w:bottom w:val="single" w:sz="4" w:space="0" w:color="auto"/>
            </w:tcBorders>
            <w:vAlign w:val="bottom"/>
          </w:tcPr>
          <w:p w14:paraId="3BF1F84D" w14:textId="77777777" w:rsidR="000E482F" w:rsidRPr="00A2632A" w:rsidRDefault="000E482F" w:rsidP="004C79C1">
            <w:pPr>
              <w:pStyle w:val="Tabletext1"/>
              <w:spacing w:before="0" w:after="120"/>
              <w:ind w:right="284"/>
              <w:jc w:val="right"/>
              <w:rPr>
                <w:b/>
                <w:lang w:eastAsia="en-US"/>
              </w:rPr>
            </w:pPr>
            <w:r w:rsidRPr="00A2632A">
              <w:rPr>
                <w:b/>
                <w:color w:val="000000"/>
              </w:rPr>
              <w:t>4,360</w:t>
            </w:r>
          </w:p>
        </w:tc>
      </w:tr>
      <w:tr w:rsidR="00EA3791" w:rsidRPr="0024769A" w14:paraId="6EA31E6E" w14:textId="77777777" w:rsidTr="00784480">
        <w:tc>
          <w:tcPr>
            <w:tcW w:w="324" w:type="pct"/>
            <w:tcBorders>
              <w:right w:val="nil"/>
            </w:tcBorders>
          </w:tcPr>
          <w:p w14:paraId="50A23727" w14:textId="77777777" w:rsidR="000E482F" w:rsidRPr="008E5371" w:rsidRDefault="000E482F" w:rsidP="004C79C1">
            <w:pPr>
              <w:pStyle w:val="Tabletext1"/>
              <w:spacing w:before="0" w:after="120"/>
              <w:rPr>
                <w:lang w:eastAsia="en-US"/>
              </w:rPr>
            </w:pPr>
          </w:p>
        </w:tc>
        <w:tc>
          <w:tcPr>
            <w:tcW w:w="1933" w:type="pct"/>
            <w:tcBorders>
              <w:right w:val="nil"/>
            </w:tcBorders>
            <w:vAlign w:val="bottom"/>
          </w:tcPr>
          <w:p w14:paraId="7A2ABF5C" w14:textId="77777777" w:rsidR="000E482F" w:rsidRPr="008E5371" w:rsidRDefault="000E482F" w:rsidP="004C79C1">
            <w:pPr>
              <w:pStyle w:val="Tabletext1"/>
              <w:spacing w:before="0" w:after="120"/>
            </w:pPr>
            <w:r w:rsidRPr="008E5371">
              <w:rPr>
                <w:lang w:eastAsia="en-US"/>
              </w:rPr>
              <w:t xml:space="preserve">Number of </w:t>
            </w:r>
            <w:r>
              <w:rPr>
                <w:lang w:eastAsia="en-US"/>
              </w:rPr>
              <w:t xml:space="preserve">each comparator </w:t>
            </w:r>
            <w:r w:rsidRPr="008E5371">
              <w:rPr>
                <w:lang w:eastAsia="en-US"/>
              </w:rPr>
              <w:t>test offset</w:t>
            </w:r>
          </w:p>
        </w:tc>
        <w:tc>
          <w:tcPr>
            <w:tcW w:w="549" w:type="pct"/>
            <w:tcBorders>
              <w:left w:val="nil"/>
              <w:right w:val="nil"/>
            </w:tcBorders>
            <w:vAlign w:val="bottom"/>
          </w:tcPr>
          <w:p w14:paraId="54FC37B6" w14:textId="77777777" w:rsidR="000E482F" w:rsidRPr="002F3FDD" w:rsidRDefault="000E482F" w:rsidP="004C79C1">
            <w:pPr>
              <w:pStyle w:val="Tabletext1"/>
              <w:spacing w:before="0" w:after="120"/>
              <w:ind w:right="284"/>
              <w:jc w:val="right"/>
            </w:pPr>
          </w:p>
        </w:tc>
        <w:tc>
          <w:tcPr>
            <w:tcW w:w="548" w:type="pct"/>
            <w:tcBorders>
              <w:left w:val="nil"/>
              <w:right w:val="nil"/>
            </w:tcBorders>
            <w:vAlign w:val="bottom"/>
          </w:tcPr>
          <w:p w14:paraId="6AF234BB" w14:textId="77777777" w:rsidR="000E482F" w:rsidRPr="002F3FDD" w:rsidRDefault="000E482F" w:rsidP="004C79C1">
            <w:pPr>
              <w:pStyle w:val="Tabletext1"/>
              <w:spacing w:before="0" w:after="120"/>
              <w:ind w:right="284"/>
              <w:jc w:val="right"/>
            </w:pPr>
          </w:p>
        </w:tc>
        <w:tc>
          <w:tcPr>
            <w:tcW w:w="547" w:type="pct"/>
            <w:tcBorders>
              <w:left w:val="nil"/>
              <w:right w:val="nil"/>
            </w:tcBorders>
            <w:vAlign w:val="bottom"/>
          </w:tcPr>
          <w:p w14:paraId="68DDCE2F" w14:textId="77777777" w:rsidR="000E482F" w:rsidRPr="002F3FDD" w:rsidRDefault="000E482F" w:rsidP="004C79C1">
            <w:pPr>
              <w:pStyle w:val="Tabletext1"/>
              <w:spacing w:before="0" w:after="120"/>
              <w:ind w:right="284"/>
              <w:jc w:val="right"/>
            </w:pPr>
          </w:p>
        </w:tc>
        <w:tc>
          <w:tcPr>
            <w:tcW w:w="572" w:type="pct"/>
            <w:tcBorders>
              <w:left w:val="nil"/>
              <w:right w:val="nil"/>
            </w:tcBorders>
            <w:vAlign w:val="bottom"/>
          </w:tcPr>
          <w:p w14:paraId="203BE2C7" w14:textId="77777777" w:rsidR="000E482F" w:rsidRPr="002F3FDD" w:rsidRDefault="000E482F" w:rsidP="004C79C1">
            <w:pPr>
              <w:pStyle w:val="Tabletext1"/>
              <w:spacing w:before="0" w:after="120"/>
              <w:ind w:right="284"/>
              <w:jc w:val="right"/>
            </w:pPr>
          </w:p>
        </w:tc>
        <w:tc>
          <w:tcPr>
            <w:tcW w:w="526" w:type="pct"/>
            <w:tcBorders>
              <w:left w:val="nil"/>
            </w:tcBorders>
            <w:vAlign w:val="bottom"/>
          </w:tcPr>
          <w:p w14:paraId="3477AFE1" w14:textId="77777777" w:rsidR="000E482F" w:rsidRPr="002F3FDD" w:rsidRDefault="000E482F" w:rsidP="004C79C1">
            <w:pPr>
              <w:pStyle w:val="Tabletext1"/>
              <w:spacing w:before="0" w:after="120"/>
              <w:ind w:right="284"/>
              <w:jc w:val="right"/>
            </w:pPr>
          </w:p>
        </w:tc>
      </w:tr>
      <w:tr w:rsidR="00EA3791" w:rsidRPr="0024769A" w14:paraId="0FA69446" w14:textId="77777777" w:rsidTr="00784480">
        <w:tc>
          <w:tcPr>
            <w:tcW w:w="324" w:type="pct"/>
          </w:tcPr>
          <w:p w14:paraId="02D35E0C" w14:textId="77777777" w:rsidR="000E482F" w:rsidRDefault="000E482F" w:rsidP="004C79C1">
            <w:pPr>
              <w:pStyle w:val="Tabletext1"/>
              <w:spacing w:before="0" w:after="120"/>
              <w:rPr>
                <w:lang w:eastAsia="en-US"/>
              </w:rPr>
            </w:pPr>
          </w:p>
        </w:tc>
        <w:tc>
          <w:tcPr>
            <w:tcW w:w="1933" w:type="pct"/>
            <w:vAlign w:val="bottom"/>
          </w:tcPr>
          <w:p w14:paraId="01CB9E0C" w14:textId="77777777" w:rsidR="000E482F" w:rsidRPr="008E5371" w:rsidRDefault="000E482F" w:rsidP="004C79C1">
            <w:pPr>
              <w:pStyle w:val="Tabletext1"/>
              <w:spacing w:before="0" w:after="120"/>
              <w:rPr>
                <w:lang w:eastAsia="en-US"/>
              </w:rPr>
            </w:pPr>
            <w:r>
              <w:rPr>
                <w:lang w:eastAsia="en-US"/>
              </w:rPr>
              <w:t>GHPS (= L+U)</w:t>
            </w:r>
          </w:p>
        </w:tc>
        <w:tc>
          <w:tcPr>
            <w:tcW w:w="549" w:type="pct"/>
            <w:vAlign w:val="bottom"/>
          </w:tcPr>
          <w:p w14:paraId="7B7AE1DD" w14:textId="77777777" w:rsidR="000E482F" w:rsidRDefault="000E482F" w:rsidP="004C79C1">
            <w:pPr>
              <w:pStyle w:val="Tabletext1"/>
              <w:spacing w:before="0" w:after="120"/>
              <w:ind w:right="284"/>
              <w:jc w:val="right"/>
              <w:rPr>
                <w:color w:val="000000"/>
              </w:rPr>
            </w:pPr>
            <w:r>
              <w:rPr>
                <w:color w:val="000000"/>
              </w:rPr>
              <w:t>517</w:t>
            </w:r>
          </w:p>
        </w:tc>
        <w:tc>
          <w:tcPr>
            <w:tcW w:w="548" w:type="pct"/>
            <w:vAlign w:val="bottom"/>
          </w:tcPr>
          <w:p w14:paraId="3437D245" w14:textId="77777777" w:rsidR="000E482F" w:rsidRDefault="000E482F" w:rsidP="004C79C1">
            <w:pPr>
              <w:pStyle w:val="Tabletext1"/>
              <w:spacing w:before="0" w:after="120"/>
              <w:ind w:right="284"/>
              <w:jc w:val="right"/>
              <w:rPr>
                <w:color w:val="000000"/>
              </w:rPr>
            </w:pPr>
            <w:r>
              <w:rPr>
                <w:color w:val="000000"/>
              </w:rPr>
              <w:t>526</w:t>
            </w:r>
          </w:p>
        </w:tc>
        <w:tc>
          <w:tcPr>
            <w:tcW w:w="547" w:type="pct"/>
            <w:vAlign w:val="bottom"/>
          </w:tcPr>
          <w:p w14:paraId="5C8A5E22" w14:textId="77777777" w:rsidR="000E482F" w:rsidRDefault="000E482F" w:rsidP="004C79C1">
            <w:pPr>
              <w:pStyle w:val="Tabletext1"/>
              <w:spacing w:before="0" w:after="120"/>
              <w:ind w:right="284"/>
              <w:jc w:val="right"/>
              <w:rPr>
                <w:color w:val="000000"/>
              </w:rPr>
            </w:pPr>
            <w:r>
              <w:rPr>
                <w:color w:val="000000"/>
              </w:rPr>
              <w:t>535</w:t>
            </w:r>
          </w:p>
        </w:tc>
        <w:tc>
          <w:tcPr>
            <w:tcW w:w="572" w:type="pct"/>
            <w:vAlign w:val="bottom"/>
          </w:tcPr>
          <w:p w14:paraId="434A199D" w14:textId="77777777" w:rsidR="000E482F" w:rsidRDefault="000E482F" w:rsidP="004C79C1">
            <w:pPr>
              <w:pStyle w:val="Tabletext1"/>
              <w:spacing w:before="0" w:after="120"/>
              <w:ind w:right="284"/>
              <w:jc w:val="right"/>
              <w:rPr>
                <w:color w:val="000000"/>
              </w:rPr>
            </w:pPr>
            <w:r>
              <w:rPr>
                <w:color w:val="000000"/>
              </w:rPr>
              <w:t>544</w:t>
            </w:r>
          </w:p>
        </w:tc>
        <w:tc>
          <w:tcPr>
            <w:tcW w:w="526" w:type="pct"/>
            <w:vAlign w:val="bottom"/>
          </w:tcPr>
          <w:p w14:paraId="0CC57F05" w14:textId="77777777" w:rsidR="000E482F" w:rsidRDefault="000E482F" w:rsidP="004C79C1">
            <w:pPr>
              <w:pStyle w:val="Tabletext1"/>
              <w:spacing w:before="0" w:after="120"/>
              <w:ind w:right="284"/>
              <w:jc w:val="right"/>
              <w:rPr>
                <w:color w:val="000000"/>
              </w:rPr>
            </w:pPr>
            <w:r>
              <w:rPr>
                <w:color w:val="000000"/>
              </w:rPr>
              <w:t>552</w:t>
            </w:r>
          </w:p>
        </w:tc>
      </w:tr>
      <w:tr w:rsidR="00EA3791" w:rsidRPr="0024769A" w14:paraId="17E55521" w14:textId="77777777" w:rsidTr="00784480">
        <w:tc>
          <w:tcPr>
            <w:tcW w:w="324" w:type="pct"/>
          </w:tcPr>
          <w:p w14:paraId="0492F06A" w14:textId="77777777" w:rsidR="000E482F" w:rsidRDefault="000E482F" w:rsidP="004C79C1">
            <w:pPr>
              <w:pStyle w:val="Tabletext1"/>
              <w:spacing w:before="0" w:after="120"/>
              <w:rPr>
                <w:lang w:eastAsia="en-US"/>
              </w:rPr>
            </w:pPr>
          </w:p>
        </w:tc>
        <w:tc>
          <w:tcPr>
            <w:tcW w:w="1933" w:type="pct"/>
            <w:vAlign w:val="bottom"/>
          </w:tcPr>
          <w:p w14:paraId="141DC1B7" w14:textId="12428627" w:rsidR="000E482F" w:rsidRDefault="004F632C" w:rsidP="004C79C1">
            <w:pPr>
              <w:pStyle w:val="Tabletext1"/>
              <w:spacing w:before="0" w:after="120"/>
              <w:rPr>
                <w:lang w:eastAsia="en-US"/>
              </w:rPr>
            </w:pPr>
            <w:r>
              <w:rPr>
                <w:lang w:eastAsia="en-US"/>
              </w:rPr>
              <w:t xml:space="preserve">Contrast </w:t>
            </w:r>
            <w:r w:rsidR="000E482F">
              <w:rPr>
                <w:lang w:eastAsia="en-US"/>
              </w:rPr>
              <w:t>Echo (= M)</w:t>
            </w:r>
          </w:p>
        </w:tc>
        <w:tc>
          <w:tcPr>
            <w:tcW w:w="549" w:type="pct"/>
            <w:vAlign w:val="bottom"/>
          </w:tcPr>
          <w:p w14:paraId="549D4D97" w14:textId="77777777" w:rsidR="000E482F" w:rsidRDefault="000E482F" w:rsidP="004C79C1">
            <w:pPr>
              <w:pStyle w:val="Tabletext1"/>
              <w:spacing w:before="0" w:after="120"/>
              <w:ind w:right="284"/>
              <w:jc w:val="right"/>
              <w:rPr>
                <w:color w:val="000000"/>
              </w:rPr>
            </w:pPr>
            <w:r>
              <w:rPr>
                <w:color w:val="000000"/>
              </w:rPr>
              <w:t>128</w:t>
            </w:r>
          </w:p>
        </w:tc>
        <w:tc>
          <w:tcPr>
            <w:tcW w:w="548" w:type="pct"/>
            <w:vAlign w:val="bottom"/>
          </w:tcPr>
          <w:p w14:paraId="31B677F7" w14:textId="77777777" w:rsidR="000E482F" w:rsidRDefault="000E482F" w:rsidP="004C79C1">
            <w:pPr>
              <w:pStyle w:val="Tabletext1"/>
              <w:spacing w:before="0" w:after="120"/>
              <w:ind w:right="284"/>
              <w:jc w:val="right"/>
              <w:rPr>
                <w:color w:val="000000"/>
              </w:rPr>
            </w:pPr>
            <w:r>
              <w:rPr>
                <w:color w:val="000000"/>
              </w:rPr>
              <w:t>130</w:t>
            </w:r>
          </w:p>
        </w:tc>
        <w:tc>
          <w:tcPr>
            <w:tcW w:w="547" w:type="pct"/>
            <w:vAlign w:val="bottom"/>
          </w:tcPr>
          <w:p w14:paraId="40251DF7" w14:textId="77777777" w:rsidR="000E482F" w:rsidRDefault="000E482F" w:rsidP="004C79C1">
            <w:pPr>
              <w:pStyle w:val="Tabletext1"/>
              <w:spacing w:before="0" w:after="120"/>
              <w:ind w:right="284"/>
              <w:jc w:val="right"/>
              <w:rPr>
                <w:color w:val="000000"/>
              </w:rPr>
            </w:pPr>
            <w:r>
              <w:rPr>
                <w:color w:val="000000"/>
              </w:rPr>
              <w:t>132</w:t>
            </w:r>
          </w:p>
        </w:tc>
        <w:tc>
          <w:tcPr>
            <w:tcW w:w="572" w:type="pct"/>
            <w:vAlign w:val="bottom"/>
          </w:tcPr>
          <w:p w14:paraId="6AFB6166" w14:textId="77777777" w:rsidR="000E482F" w:rsidRDefault="000E482F" w:rsidP="004C79C1">
            <w:pPr>
              <w:pStyle w:val="Tabletext1"/>
              <w:spacing w:before="0" w:after="120"/>
              <w:ind w:right="284"/>
              <w:jc w:val="right"/>
              <w:rPr>
                <w:color w:val="000000"/>
              </w:rPr>
            </w:pPr>
            <w:r>
              <w:rPr>
                <w:color w:val="000000"/>
              </w:rPr>
              <w:t>134</w:t>
            </w:r>
          </w:p>
        </w:tc>
        <w:tc>
          <w:tcPr>
            <w:tcW w:w="526" w:type="pct"/>
            <w:vAlign w:val="bottom"/>
          </w:tcPr>
          <w:p w14:paraId="48D469A2" w14:textId="77777777" w:rsidR="000E482F" w:rsidRDefault="000E482F" w:rsidP="004C79C1">
            <w:pPr>
              <w:pStyle w:val="Tabletext1"/>
              <w:spacing w:before="0" w:after="120"/>
              <w:ind w:right="284"/>
              <w:jc w:val="right"/>
              <w:rPr>
                <w:color w:val="000000"/>
              </w:rPr>
            </w:pPr>
            <w:r>
              <w:rPr>
                <w:color w:val="000000"/>
              </w:rPr>
              <w:t>137</w:t>
            </w:r>
          </w:p>
        </w:tc>
      </w:tr>
      <w:tr w:rsidR="00EA3791" w:rsidRPr="0024769A" w14:paraId="2C55BAF7" w14:textId="77777777" w:rsidTr="00784480">
        <w:tc>
          <w:tcPr>
            <w:tcW w:w="324" w:type="pct"/>
          </w:tcPr>
          <w:p w14:paraId="53FF8E55" w14:textId="77777777" w:rsidR="000E482F" w:rsidRPr="00060B52" w:rsidRDefault="000E482F" w:rsidP="004C79C1">
            <w:pPr>
              <w:pStyle w:val="Tabletext1"/>
              <w:spacing w:before="0" w:after="120"/>
            </w:pPr>
          </w:p>
        </w:tc>
        <w:tc>
          <w:tcPr>
            <w:tcW w:w="1933" w:type="pct"/>
          </w:tcPr>
          <w:p w14:paraId="0E042754" w14:textId="46BC11CC" w:rsidR="000E482F" w:rsidRPr="008E5371" w:rsidRDefault="000E482F" w:rsidP="004C79C1">
            <w:pPr>
              <w:pStyle w:val="Tabletext1"/>
              <w:spacing w:before="0" w:after="120"/>
              <w:rPr>
                <w:lang w:eastAsia="en-US"/>
              </w:rPr>
            </w:pPr>
            <w:r w:rsidRPr="00060B52">
              <w:t>ICA</w:t>
            </w:r>
            <w:r w:rsidR="00BC0107">
              <w:t xml:space="preserve"> </w:t>
            </w:r>
            <w:r>
              <w:t>( = Q+V)</w:t>
            </w:r>
          </w:p>
        </w:tc>
        <w:tc>
          <w:tcPr>
            <w:tcW w:w="549" w:type="pct"/>
          </w:tcPr>
          <w:p w14:paraId="506569D4" w14:textId="77777777" w:rsidR="000E482F" w:rsidRDefault="000E482F" w:rsidP="004C79C1">
            <w:pPr>
              <w:pStyle w:val="Tabletext1"/>
              <w:spacing w:before="0" w:after="120"/>
              <w:ind w:right="284"/>
              <w:jc w:val="right"/>
              <w:rPr>
                <w:color w:val="000000"/>
              </w:rPr>
            </w:pPr>
            <w:r w:rsidRPr="00060B52">
              <w:t>1,481</w:t>
            </w:r>
          </w:p>
        </w:tc>
        <w:tc>
          <w:tcPr>
            <w:tcW w:w="548" w:type="pct"/>
          </w:tcPr>
          <w:p w14:paraId="5D99B937" w14:textId="77777777" w:rsidR="000E482F" w:rsidRDefault="000E482F" w:rsidP="004C79C1">
            <w:pPr>
              <w:pStyle w:val="Tabletext1"/>
              <w:spacing w:before="0" w:after="120"/>
              <w:ind w:right="284"/>
              <w:jc w:val="right"/>
              <w:rPr>
                <w:color w:val="000000"/>
              </w:rPr>
            </w:pPr>
            <w:r w:rsidRPr="00060B52">
              <w:t>1,506</w:t>
            </w:r>
          </w:p>
        </w:tc>
        <w:tc>
          <w:tcPr>
            <w:tcW w:w="547" w:type="pct"/>
          </w:tcPr>
          <w:p w14:paraId="6D634C98" w14:textId="77777777" w:rsidR="000E482F" w:rsidRDefault="000E482F" w:rsidP="004C79C1">
            <w:pPr>
              <w:pStyle w:val="Tabletext1"/>
              <w:spacing w:before="0" w:after="120"/>
              <w:ind w:right="284"/>
              <w:jc w:val="right"/>
              <w:rPr>
                <w:color w:val="000000"/>
              </w:rPr>
            </w:pPr>
            <w:r w:rsidRPr="00060B52">
              <w:t>1,531</w:t>
            </w:r>
          </w:p>
        </w:tc>
        <w:tc>
          <w:tcPr>
            <w:tcW w:w="572" w:type="pct"/>
          </w:tcPr>
          <w:p w14:paraId="157E465A" w14:textId="77777777" w:rsidR="000E482F" w:rsidRDefault="000E482F" w:rsidP="004C79C1">
            <w:pPr>
              <w:pStyle w:val="Tabletext1"/>
              <w:spacing w:before="0" w:after="120"/>
              <w:ind w:right="284"/>
              <w:jc w:val="right"/>
              <w:rPr>
                <w:color w:val="000000"/>
              </w:rPr>
            </w:pPr>
            <w:r w:rsidRPr="00060B52">
              <w:t>1,556</w:t>
            </w:r>
          </w:p>
        </w:tc>
        <w:tc>
          <w:tcPr>
            <w:tcW w:w="526" w:type="pct"/>
          </w:tcPr>
          <w:p w14:paraId="285DAA29" w14:textId="77777777" w:rsidR="000E482F" w:rsidRDefault="000E482F" w:rsidP="004C79C1">
            <w:pPr>
              <w:pStyle w:val="Tabletext1"/>
              <w:spacing w:before="0" w:after="120"/>
              <w:ind w:right="284"/>
              <w:jc w:val="right"/>
              <w:rPr>
                <w:color w:val="000000"/>
              </w:rPr>
            </w:pPr>
            <w:r w:rsidRPr="00060B52">
              <w:t>1,581</w:t>
            </w:r>
          </w:p>
        </w:tc>
      </w:tr>
      <w:tr w:rsidR="00EA3791" w:rsidRPr="0024769A" w14:paraId="1C027C3A" w14:textId="77777777" w:rsidTr="00784480">
        <w:tc>
          <w:tcPr>
            <w:tcW w:w="324" w:type="pct"/>
          </w:tcPr>
          <w:p w14:paraId="6FF267ED" w14:textId="77777777" w:rsidR="000E482F" w:rsidRPr="00060B52" w:rsidRDefault="000E482F" w:rsidP="004C79C1">
            <w:pPr>
              <w:pStyle w:val="Tabletext1"/>
              <w:spacing w:before="0" w:after="120"/>
            </w:pPr>
          </w:p>
        </w:tc>
        <w:tc>
          <w:tcPr>
            <w:tcW w:w="1933" w:type="pct"/>
          </w:tcPr>
          <w:p w14:paraId="4189D2E7" w14:textId="77777777" w:rsidR="000E482F" w:rsidRDefault="000E482F" w:rsidP="004C79C1">
            <w:pPr>
              <w:pStyle w:val="Tabletext1"/>
              <w:spacing w:before="0" w:after="120"/>
              <w:rPr>
                <w:lang w:eastAsia="en-US"/>
              </w:rPr>
            </w:pPr>
            <w:r w:rsidRPr="00060B52">
              <w:t>CTCA</w:t>
            </w:r>
            <w:r>
              <w:t xml:space="preserve"> (= R+W)</w:t>
            </w:r>
          </w:p>
        </w:tc>
        <w:tc>
          <w:tcPr>
            <w:tcW w:w="549" w:type="pct"/>
          </w:tcPr>
          <w:p w14:paraId="5F6CBFA8" w14:textId="77777777" w:rsidR="000E482F" w:rsidRDefault="000E482F" w:rsidP="004C79C1">
            <w:pPr>
              <w:pStyle w:val="Tabletext1"/>
              <w:spacing w:before="0" w:after="120"/>
              <w:ind w:right="284"/>
              <w:jc w:val="right"/>
              <w:rPr>
                <w:color w:val="000000"/>
              </w:rPr>
            </w:pPr>
            <w:r w:rsidRPr="00060B52">
              <w:t>958</w:t>
            </w:r>
          </w:p>
        </w:tc>
        <w:tc>
          <w:tcPr>
            <w:tcW w:w="548" w:type="pct"/>
          </w:tcPr>
          <w:p w14:paraId="6A0184C4" w14:textId="77777777" w:rsidR="000E482F" w:rsidRDefault="000E482F" w:rsidP="004C79C1">
            <w:pPr>
              <w:pStyle w:val="Tabletext1"/>
              <w:spacing w:before="0" w:after="120"/>
              <w:ind w:right="284"/>
              <w:jc w:val="right"/>
              <w:rPr>
                <w:color w:val="000000"/>
              </w:rPr>
            </w:pPr>
            <w:r w:rsidRPr="00060B52">
              <w:t>975</w:t>
            </w:r>
          </w:p>
        </w:tc>
        <w:tc>
          <w:tcPr>
            <w:tcW w:w="547" w:type="pct"/>
          </w:tcPr>
          <w:p w14:paraId="574F5341" w14:textId="77777777" w:rsidR="000E482F" w:rsidRDefault="000E482F" w:rsidP="004C79C1">
            <w:pPr>
              <w:pStyle w:val="Tabletext1"/>
              <w:spacing w:before="0" w:after="120"/>
              <w:ind w:right="284"/>
              <w:jc w:val="right"/>
              <w:rPr>
                <w:color w:val="000000"/>
              </w:rPr>
            </w:pPr>
            <w:r w:rsidRPr="00060B52">
              <w:t>991</w:t>
            </w:r>
          </w:p>
        </w:tc>
        <w:tc>
          <w:tcPr>
            <w:tcW w:w="572" w:type="pct"/>
          </w:tcPr>
          <w:p w14:paraId="1939CEB7" w14:textId="77777777" w:rsidR="000E482F" w:rsidRDefault="000E482F" w:rsidP="004C79C1">
            <w:pPr>
              <w:pStyle w:val="Tabletext1"/>
              <w:spacing w:before="0" w:after="120"/>
              <w:ind w:right="284"/>
              <w:jc w:val="right"/>
              <w:rPr>
                <w:color w:val="000000"/>
              </w:rPr>
            </w:pPr>
            <w:r w:rsidRPr="00060B52">
              <w:t>1,007</w:t>
            </w:r>
          </w:p>
        </w:tc>
        <w:tc>
          <w:tcPr>
            <w:tcW w:w="526" w:type="pct"/>
          </w:tcPr>
          <w:p w14:paraId="59BBFDBF" w14:textId="77777777" w:rsidR="000E482F" w:rsidRDefault="000E482F" w:rsidP="004C79C1">
            <w:pPr>
              <w:pStyle w:val="Tabletext1"/>
              <w:spacing w:before="0" w:after="120"/>
              <w:ind w:right="284"/>
              <w:jc w:val="right"/>
              <w:rPr>
                <w:color w:val="000000"/>
              </w:rPr>
            </w:pPr>
            <w:r w:rsidRPr="00060B52">
              <w:t>1,023</w:t>
            </w:r>
          </w:p>
        </w:tc>
      </w:tr>
      <w:tr w:rsidR="00EA3791" w:rsidRPr="0024769A" w14:paraId="4721CE1E" w14:textId="77777777" w:rsidTr="00784480">
        <w:tc>
          <w:tcPr>
            <w:tcW w:w="324" w:type="pct"/>
          </w:tcPr>
          <w:p w14:paraId="26648FDE" w14:textId="77777777" w:rsidR="000E482F" w:rsidRPr="00060B52" w:rsidRDefault="000E482F" w:rsidP="004C79C1">
            <w:pPr>
              <w:pStyle w:val="Tabletext1"/>
              <w:spacing w:before="0" w:after="120"/>
            </w:pPr>
          </w:p>
        </w:tc>
        <w:tc>
          <w:tcPr>
            <w:tcW w:w="1933" w:type="pct"/>
          </w:tcPr>
          <w:p w14:paraId="7AF00678" w14:textId="77777777" w:rsidR="000E482F" w:rsidRDefault="000E482F" w:rsidP="004C79C1">
            <w:pPr>
              <w:pStyle w:val="Tabletext1"/>
              <w:spacing w:before="0" w:after="120"/>
              <w:rPr>
                <w:lang w:eastAsia="en-US"/>
              </w:rPr>
            </w:pPr>
            <w:r w:rsidRPr="00060B52">
              <w:t>Stress Echo</w:t>
            </w:r>
            <w:r>
              <w:t xml:space="preserve"> (= S+X)</w:t>
            </w:r>
          </w:p>
        </w:tc>
        <w:tc>
          <w:tcPr>
            <w:tcW w:w="549" w:type="pct"/>
          </w:tcPr>
          <w:p w14:paraId="65352D17" w14:textId="77777777" w:rsidR="000E482F" w:rsidRDefault="000E482F" w:rsidP="004C79C1">
            <w:pPr>
              <w:pStyle w:val="Tabletext1"/>
              <w:spacing w:before="0" w:after="120"/>
              <w:ind w:right="284"/>
              <w:jc w:val="right"/>
              <w:rPr>
                <w:color w:val="000000"/>
              </w:rPr>
            </w:pPr>
            <w:r w:rsidRPr="00060B52">
              <w:t>187</w:t>
            </w:r>
          </w:p>
        </w:tc>
        <w:tc>
          <w:tcPr>
            <w:tcW w:w="548" w:type="pct"/>
          </w:tcPr>
          <w:p w14:paraId="440FC32A" w14:textId="77777777" w:rsidR="000E482F" w:rsidRDefault="000E482F" w:rsidP="004C79C1">
            <w:pPr>
              <w:pStyle w:val="Tabletext1"/>
              <w:spacing w:before="0" w:after="120"/>
              <w:ind w:right="284"/>
              <w:jc w:val="right"/>
              <w:rPr>
                <w:color w:val="000000"/>
              </w:rPr>
            </w:pPr>
            <w:r w:rsidRPr="00060B52">
              <w:t>191</w:t>
            </w:r>
          </w:p>
        </w:tc>
        <w:tc>
          <w:tcPr>
            <w:tcW w:w="547" w:type="pct"/>
          </w:tcPr>
          <w:p w14:paraId="2BBF0D1B" w14:textId="77777777" w:rsidR="000E482F" w:rsidRDefault="000E482F" w:rsidP="004C79C1">
            <w:pPr>
              <w:pStyle w:val="Tabletext1"/>
              <w:spacing w:before="0" w:after="120"/>
              <w:ind w:right="284"/>
              <w:jc w:val="right"/>
              <w:rPr>
                <w:color w:val="000000"/>
              </w:rPr>
            </w:pPr>
            <w:r w:rsidRPr="00060B52">
              <w:t>194</w:t>
            </w:r>
          </w:p>
        </w:tc>
        <w:tc>
          <w:tcPr>
            <w:tcW w:w="572" w:type="pct"/>
          </w:tcPr>
          <w:p w14:paraId="5B669F65" w14:textId="77777777" w:rsidR="000E482F" w:rsidRDefault="000E482F" w:rsidP="004C79C1">
            <w:pPr>
              <w:pStyle w:val="Tabletext1"/>
              <w:spacing w:before="0" w:after="120"/>
              <w:ind w:right="284"/>
              <w:jc w:val="right"/>
              <w:rPr>
                <w:color w:val="000000"/>
              </w:rPr>
            </w:pPr>
            <w:r w:rsidRPr="00060B52">
              <w:t>197</w:t>
            </w:r>
          </w:p>
        </w:tc>
        <w:tc>
          <w:tcPr>
            <w:tcW w:w="526" w:type="pct"/>
          </w:tcPr>
          <w:p w14:paraId="0AFDD6B0" w14:textId="77777777" w:rsidR="000E482F" w:rsidRDefault="000E482F" w:rsidP="004C79C1">
            <w:pPr>
              <w:pStyle w:val="Tabletext1"/>
              <w:spacing w:before="0" w:after="120"/>
              <w:ind w:right="284"/>
              <w:jc w:val="right"/>
              <w:rPr>
                <w:color w:val="000000"/>
              </w:rPr>
            </w:pPr>
            <w:r w:rsidRPr="00060B52">
              <w:t>200</w:t>
            </w:r>
          </w:p>
        </w:tc>
      </w:tr>
      <w:tr w:rsidR="00EA3791" w:rsidRPr="0024769A" w14:paraId="405AADEC" w14:textId="77777777" w:rsidTr="00784480">
        <w:tc>
          <w:tcPr>
            <w:tcW w:w="324" w:type="pct"/>
          </w:tcPr>
          <w:p w14:paraId="76ED26DE" w14:textId="77777777" w:rsidR="000E482F" w:rsidRPr="00060B52" w:rsidRDefault="000E482F" w:rsidP="004C79C1">
            <w:pPr>
              <w:pStyle w:val="Tabletext1"/>
              <w:spacing w:before="0" w:after="120"/>
            </w:pPr>
          </w:p>
        </w:tc>
        <w:tc>
          <w:tcPr>
            <w:tcW w:w="1933" w:type="pct"/>
          </w:tcPr>
          <w:p w14:paraId="02F907EA" w14:textId="77777777" w:rsidR="000E482F" w:rsidRPr="008E5371" w:rsidRDefault="000E482F" w:rsidP="004C79C1">
            <w:pPr>
              <w:pStyle w:val="Tabletext1"/>
              <w:spacing w:before="0" w:after="120"/>
              <w:rPr>
                <w:lang w:eastAsia="en-US"/>
              </w:rPr>
            </w:pPr>
            <w:r w:rsidRPr="00060B52">
              <w:t>SPECT</w:t>
            </w:r>
            <w:r>
              <w:t xml:space="preserve"> (= T+Y)</w:t>
            </w:r>
          </w:p>
        </w:tc>
        <w:tc>
          <w:tcPr>
            <w:tcW w:w="549" w:type="pct"/>
          </w:tcPr>
          <w:p w14:paraId="26B159D3" w14:textId="77777777" w:rsidR="000E482F" w:rsidRDefault="000E482F" w:rsidP="004C79C1">
            <w:pPr>
              <w:pStyle w:val="Tabletext1"/>
              <w:spacing w:before="0" w:after="120"/>
              <w:ind w:right="284"/>
              <w:jc w:val="right"/>
              <w:rPr>
                <w:color w:val="000000"/>
              </w:rPr>
            </w:pPr>
            <w:r w:rsidRPr="00060B52">
              <w:t>141</w:t>
            </w:r>
          </w:p>
        </w:tc>
        <w:tc>
          <w:tcPr>
            <w:tcW w:w="548" w:type="pct"/>
          </w:tcPr>
          <w:p w14:paraId="7CCFC7DF" w14:textId="77777777" w:rsidR="000E482F" w:rsidRDefault="000E482F" w:rsidP="004C79C1">
            <w:pPr>
              <w:pStyle w:val="Tabletext1"/>
              <w:spacing w:before="0" w:after="120"/>
              <w:ind w:right="284"/>
              <w:jc w:val="right"/>
              <w:rPr>
                <w:color w:val="000000"/>
              </w:rPr>
            </w:pPr>
            <w:r w:rsidRPr="00060B52">
              <w:t>144</w:t>
            </w:r>
          </w:p>
        </w:tc>
        <w:tc>
          <w:tcPr>
            <w:tcW w:w="547" w:type="pct"/>
          </w:tcPr>
          <w:p w14:paraId="4A33AD26" w14:textId="77777777" w:rsidR="000E482F" w:rsidRDefault="000E482F" w:rsidP="004C79C1">
            <w:pPr>
              <w:pStyle w:val="Tabletext1"/>
              <w:spacing w:before="0" w:after="120"/>
              <w:ind w:right="284"/>
              <w:jc w:val="right"/>
              <w:rPr>
                <w:color w:val="000000"/>
              </w:rPr>
            </w:pPr>
            <w:r w:rsidRPr="00060B52">
              <w:t>146</w:t>
            </w:r>
          </w:p>
        </w:tc>
        <w:tc>
          <w:tcPr>
            <w:tcW w:w="572" w:type="pct"/>
          </w:tcPr>
          <w:p w14:paraId="3B865D74" w14:textId="77777777" w:rsidR="000E482F" w:rsidRDefault="000E482F" w:rsidP="004C79C1">
            <w:pPr>
              <w:pStyle w:val="Tabletext1"/>
              <w:spacing w:before="0" w:after="120"/>
              <w:ind w:right="284"/>
              <w:jc w:val="right"/>
              <w:rPr>
                <w:color w:val="000000"/>
              </w:rPr>
            </w:pPr>
            <w:r w:rsidRPr="00060B52">
              <w:t>148</w:t>
            </w:r>
          </w:p>
        </w:tc>
        <w:tc>
          <w:tcPr>
            <w:tcW w:w="526" w:type="pct"/>
          </w:tcPr>
          <w:p w14:paraId="2CBBEC08" w14:textId="77777777" w:rsidR="000E482F" w:rsidRDefault="000E482F" w:rsidP="004C79C1">
            <w:pPr>
              <w:pStyle w:val="Tabletext1"/>
              <w:spacing w:before="0" w:after="120"/>
              <w:ind w:right="284"/>
              <w:jc w:val="right"/>
              <w:rPr>
                <w:color w:val="000000"/>
              </w:rPr>
            </w:pPr>
            <w:r w:rsidRPr="00060B52">
              <w:t>151</w:t>
            </w:r>
          </w:p>
        </w:tc>
      </w:tr>
      <w:tr w:rsidR="00EA3791" w:rsidRPr="002A07D0" w14:paraId="226813D5" w14:textId="77777777" w:rsidTr="00784480">
        <w:tc>
          <w:tcPr>
            <w:tcW w:w="324" w:type="pct"/>
          </w:tcPr>
          <w:p w14:paraId="71CF075B" w14:textId="77777777" w:rsidR="000E482F" w:rsidRPr="002A07D0" w:rsidRDefault="000E482F" w:rsidP="004C79C1">
            <w:pPr>
              <w:pStyle w:val="Tabletext1"/>
              <w:spacing w:before="0" w:after="120"/>
              <w:rPr>
                <w:b/>
                <w:lang w:eastAsia="en-US"/>
              </w:rPr>
            </w:pPr>
          </w:p>
        </w:tc>
        <w:tc>
          <w:tcPr>
            <w:tcW w:w="1933" w:type="pct"/>
            <w:vAlign w:val="bottom"/>
          </w:tcPr>
          <w:p w14:paraId="2E5A18FC" w14:textId="77777777" w:rsidR="000E482F" w:rsidRPr="002A07D0" w:rsidRDefault="000E482F" w:rsidP="004C79C1">
            <w:pPr>
              <w:pStyle w:val="Tabletext1"/>
              <w:spacing w:before="0" w:after="120"/>
              <w:rPr>
                <w:b/>
                <w:lang w:eastAsia="en-US"/>
              </w:rPr>
            </w:pPr>
            <w:r w:rsidRPr="002A07D0">
              <w:rPr>
                <w:b/>
                <w:lang w:eastAsia="en-US"/>
              </w:rPr>
              <w:t>Total number of test offsets</w:t>
            </w:r>
          </w:p>
        </w:tc>
        <w:tc>
          <w:tcPr>
            <w:tcW w:w="549" w:type="pct"/>
            <w:vAlign w:val="bottom"/>
          </w:tcPr>
          <w:p w14:paraId="517D36D0" w14:textId="77777777" w:rsidR="000E482F" w:rsidRPr="00A2632A" w:rsidRDefault="000E482F" w:rsidP="004C79C1">
            <w:pPr>
              <w:pStyle w:val="Tabletext1"/>
              <w:spacing w:before="0" w:after="120"/>
              <w:ind w:right="284"/>
              <w:jc w:val="right"/>
              <w:rPr>
                <w:b/>
                <w:color w:val="000000"/>
              </w:rPr>
            </w:pPr>
            <w:r w:rsidRPr="00A2632A">
              <w:rPr>
                <w:b/>
                <w:color w:val="000000"/>
              </w:rPr>
              <w:t>3,413</w:t>
            </w:r>
          </w:p>
        </w:tc>
        <w:tc>
          <w:tcPr>
            <w:tcW w:w="548" w:type="pct"/>
            <w:vAlign w:val="bottom"/>
          </w:tcPr>
          <w:p w14:paraId="4BACBD67" w14:textId="77777777" w:rsidR="000E482F" w:rsidRPr="00A2632A" w:rsidRDefault="000E482F" w:rsidP="004C79C1">
            <w:pPr>
              <w:pStyle w:val="Tabletext1"/>
              <w:spacing w:before="0" w:after="120"/>
              <w:ind w:right="284"/>
              <w:jc w:val="right"/>
              <w:rPr>
                <w:b/>
                <w:color w:val="000000"/>
              </w:rPr>
            </w:pPr>
            <w:r w:rsidRPr="00A2632A">
              <w:rPr>
                <w:b/>
                <w:color w:val="000000"/>
              </w:rPr>
              <w:t>3,472</w:t>
            </w:r>
          </w:p>
        </w:tc>
        <w:tc>
          <w:tcPr>
            <w:tcW w:w="547" w:type="pct"/>
            <w:vAlign w:val="bottom"/>
          </w:tcPr>
          <w:p w14:paraId="3CEAEB37" w14:textId="77777777" w:rsidR="000E482F" w:rsidRPr="00A2632A" w:rsidRDefault="000E482F" w:rsidP="004C79C1">
            <w:pPr>
              <w:pStyle w:val="Tabletext1"/>
              <w:spacing w:before="0" w:after="120"/>
              <w:ind w:right="284"/>
              <w:jc w:val="right"/>
              <w:rPr>
                <w:b/>
                <w:color w:val="000000"/>
              </w:rPr>
            </w:pPr>
            <w:r w:rsidRPr="00A2632A">
              <w:rPr>
                <w:b/>
                <w:color w:val="000000"/>
              </w:rPr>
              <w:t>3,529</w:t>
            </w:r>
          </w:p>
        </w:tc>
        <w:tc>
          <w:tcPr>
            <w:tcW w:w="572" w:type="pct"/>
            <w:vAlign w:val="bottom"/>
          </w:tcPr>
          <w:p w14:paraId="1B4E6BCF" w14:textId="77777777" w:rsidR="000E482F" w:rsidRPr="00A2632A" w:rsidRDefault="000E482F" w:rsidP="004C79C1">
            <w:pPr>
              <w:pStyle w:val="Tabletext1"/>
              <w:spacing w:before="0" w:after="120"/>
              <w:ind w:right="284"/>
              <w:jc w:val="right"/>
              <w:rPr>
                <w:b/>
                <w:color w:val="000000"/>
              </w:rPr>
            </w:pPr>
            <w:r w:rsidRPr="00A2632A">
              <w:rPr>
                <w:b/>
                <w:color w:val="000000"/>
              </w:rPr>
              <w:t>3,586</w:t>
            </w:r>
          </w:p>
        </w:tc>
        <w:tc>
          <w:tcPr>
            <w:tcW w:w="526" w:type="pct"/>
            <w:vAlign w:val="bottom"/>
          </w:tcPr>
          <w:p w14:paraId="2A8A9AF9" w14:textId="77777777" w:rsidR="000E482F" w:rsidRPr="00A2632A" w:rsidRDefault="000E482F" w:rsidP="004C79C1">
            <w:pPr>
              <w:pStyle w:val="Tabletext1"/>
              <w:spacing w:before="0" w:after="120"/>
              <w:ind w:right="284"/>
              <w:jc w:val="right"/>
              <w:rPr>
                <w:b/>
                <w:color w:val="000000"/>
              </w:rPr>
            </w:pPr>
            <w:r w:rsidRPr="00A2632A">
              <w:rPr>
                <w:b/>
                <w:color w:val="000000"/>
              </w:rPr>
              <w:t>3,643</w:t>
            </w:r>
          </w:p>
        </w:tc>
      </w:tr>
    </w:tbl>
    <w:p w14:paraId="0DCD8FE6" w14:textId="57A00C95" w:rsidR="000E482F" w:rsidRDefault="000E482F" w:rsidP="004C79C1">
      <w:pPr>
        <w:pStyle w:val="Tablenotes0"/>
        <w:spacing w:before="0" w:after="120"/>
      </w:pPr>
      <w:r w:rsidRPr="000B3E74">
        <w:t xml:space="preserve">CMR = cardiac magnetic resonance </w:t>
      </w:r>
      <w:r w:rsidR="00381F2E">
        <w:t>(</w:t>
      </w:r>
      <w:r w:rsidRPr="000B3E74">
        <w:t>imaging</w:t>
      </w:r>
      <w:r w:rsidR="00381F2E">
        <w:t>)</w:t>
      </w:r>
      <w:r w:rsidRPr="000B3E74">
        <w:t>; CTCA</w:t>
      </w:r>
      <w:r w:rsidR="00BC0107">
        <w:t xml:space="preserve"> </w:t>
      </w:r>
      <w:r w:rsidRPr="000B3E74">
        <w:t>=</w:t>
      </w:r>
      <w:r w:rsidR="00BC0107">
        <w:t xml:space="preserve"> </w:t>
      </w:r>
      <w:r w:rsidRPr="000B3E74">
        <w:t xml:space="preserve">computed tomography coronary angiography; </w:t>
      </w:r>
      <w:r w:rsidR="00BC0107" w:rsidRPr="000B3E74">
        <w:t>E</w:t>
      </w:r>
      <w:r w:rsidR="00BC0107">
        <w:t xml:space="preserve">cho </w:t>
      </w:r>
      <w:r w:rsidR="00BC0107" w:rsidRPr="000B3E74">
        <w:t>=</w:t>
      </w:r>
      <w:r w:rsidR="00BC0107">
        <w:t xml:space="preserve"> </w:t>
      </w:r>
      <w:r w:rsidR="00BC0107" w:rsidRPr="000B3E74">
        <w:t xml:space="preserve">echocardiography; </w:t>
      </w:r>
      <w:r>
        <w:t xml:space="preserve">GHPS = </w:t>
      </w:r>
      <w:r w:rsidRPr="00AF6E8D">
        <w:rPr>
          <w:bCs/>
          <w:color w:val="000000"/>
        </w:rPr>
        <w:t xml:space="preserve">gated </w:t>
      </w:r>
      <w:r>
        <w:rPr>
          <w:bCs/>
          <w:color w:val="000000"/>
        </w:rPr>
        <w:t>heart</w:t>
      </w:r>
      <w:r w:rsidRPr="00AF6E8D">
        <w:rPr>
          <w:bCs/>
          <w:color w:val="000000"/>
        </w:rPr>
        <w:t xml:space="preserve"> pool scan</w:t>
      </w:r>
      <w:r>
        <w:rPr>
          <w:bCs/>
          <w:color w:val="000000"/>
        </w:rPr>
        <w:t xml:space="preserve">; </w:t>
      </w:r>
      <w:r>
        <w:t>ICA = invasive coronary angiography;</w:t>
      </w:r>
      <w:r w:rsidRPr="000B3E74">
        <w:t xml:space="preserve"> SPECT</w:t>
      </w:r>
      <w:r w:rsidR="00EA3791">
        <w:t xml:space="preserve"> </w:t>
      </w:r>
      <w:r w:rsidRPr="000B3E74">
        <w:t>=</w:t>
      </w:r>
      <w:r>
        <w:t xml:space="preserve"> </w:t>
      </w:r>
      <w:r w:rsidRPr="000B3E74">
        <w:t>single</w:t>
      </w:r>
      <w:r w:rsidR="00BC0107">
        <w:t>-</w:t>
      </w:r>
      <w:r w:rsidRPr="000B3E74">
        <w:t>photon emission computed tomography</w:t>
      </w:r>
    </w:p>
    <w:p w14:paraId="221622E7" w14:textId="77777777" w:rsidR="000E482F" w:rsidRDefault="000E482F" w:rsidP="00161B88">
      <w:pPr>
        <w:pStyle w:val="Heading4"/>
      </w:pPr>
      <w:r>
        <w:t>Estimated costs offset</w:t>
      </w:r>
    </w:p>
    <w:p w14:paraId="4645C22C" w14:textId="74093974" w:rsidR="000E482F" w:rsidRDefault="000E482F" w:rsidP="004C79C1">
      <w:pPr>
        <w:spacing w:after="120" w:line="240" w:lineRule="auto"/>
        <w:jc w:val="both"/>
        <w:rPr>
          <w:lang w:eastAsia="en-US"/>
        </w:rPr>
      </w:pPr>
      <w:r>
        <w:rPr>
          <w:lang w:eastAsia="en-US"/>
        </w:rPr>
        <w:t xml:space="preserve">The estimated costs per service to the MBS and to the patient used in the financial model are presented in </w:t>
      </w:r>
      <w:r w:rsidR="00784480">
        <w:rPr>
          <w:lang w:eastAsia="en-US"/>
        </w:rPr>
        <w:fldChar w:fldCharType="begin"/>
      </w:r>
      <w:r w:rsidR="00784480">
        <w:rPr>
          <w:lang w:eastAsia="en-US"/>
        </w:rPr>
        <w:instrText xml:space="preserve"> REF _Ref436995572 \h </w:instrText>
      </w:r>
      <w:r w:rsidR="00784480">
        <w:rPr>
          <w:lang w:eastAsia="en-US"/>
        </w:rPr>
      </w:r>
      <w:r w:rsidR="00784480">
        <w:rPr>
          <w:lang w:eastAsia="en-US"/>
        </w:rPr>
        <w:fldChar w:fldCharType="separate"/>
      </w:r>
      <w:r w:rsidR="00784480">
        <w:t xml:space="preserve">Table </w:t>
      </w:r>
      <w:r w:rsidR="00784480">
        <w:rPr>
          <w:noProof/>
        </w:rPr>
        <w:t>69</w:t>
      </w:r>
      <w:r w:rsidR="00784480">
        <w:rPr>
          <w:lang w:eastAsia="en-US"/>
        </w:rPr>
        <w:fldChar w:fldCharType="end"/>
      </w:r>
      <w:r w:rsidR="009639DF">
        <w:rPr>
          <w:lang w:eastAsia="en-US"/>
        </w:rPr>
        <w:t>,</w:t>
      </w:r>
      <w:r>
        <w:rPr>
          <w:lang w:eastAsia="en-US"/>
        </w:rPr>
        <w:t xml:space="preserve"> based on the average MBS benefit and patient contribution paid per service</w:t>
      </w:r>
      <w:r w:rsidR="005204DE">
        <w:rPr>
          <w:lang w:eastAsia="en-US"/>
        </w:rPr>
        <w:t xml:space="preserve"> in</w:t>
      </w:r>
      <w:r>
        <w:rPr>
          <w:lang w:eastAsia="en-US"/>
        </w:rPr>
        <w:t xml:space="preserve"> 2014</w:t>
      </w:r>
      <w:r w:rsidR="005204DE">
        <w:rPr>
          <w:lang w:eastAsia="en-US"/>
        </w:rPr>
        <w:t>–</w:t>
      </w:r>
      <w:r>
        <w:rPr>
          <w:lang w:eastAsia="en-US"/>
        </w:rPr>
        <w:t xml:space="preserve">15 for each of the comparator tests (MSAC </w:t>
      </w:r>
      <w:r w:rsidR="00CE5A01">
        <w:rPr>
          <w:lang w:eastAsia="en-US"/>
        </w:rPr>
        <w:t>A</w:t>
      </w:r>
      <w:r>
        <w:rPr>
          <w:lang w:eastAsia="en-US"/>
        </w:rPr>
        <w:t xml:space="preserve">pplication </w:t>
      </w:r>
      <w:r w:rsidR="005204DE">
        <w:rPr>
          <w:lang w:eastAsia="en-US"/>
        </w:rPr>
        <w:t xml:space="preserve">no. </w:t>
      </w:r>
      <w:r>
        <w:rPr>
          <w:lang w:eastAsia="en-US"/>
        </w:rPr>
        <w:t>1129 for c</w:t>
      </w:r>
      <w:r w:rsidR="004F632C">
        <w:rPr>
          <w:lang w:eastAsia="en-US"/>
        </w:rPr>
        <w:t>ontrast echocardiography</w:t>
      </w:r>
      <w:r>
        <w:rPr>
          <w:lang w:eastAsia="en-US"/>
        </w:rPr>
        <w:t xml:space="preserve">, 57360 for CTCA, 61303 for SPECT, 55117 (in conjunction with 11712 Exercise ECG) for stress </w:t>
      </w:r>
      <w:r w:rsidR="004F632C">
        <w:rPr>
          <w:lang w:eastAsia="en-US"/>
        </w:rPr>
        <w:t>echocardiography</w:t>
      </w:r>
      <w:r w:rsidR="008D15C2">
        <w:rPr>
          <w:lang w:eastAsia="en-US"/>
        </w:rPr>
        <w:t>,</w:t>
      </w:r>
      <w:r>
        <w:rPr>
          <w:lang w:eastAsia="en-US"/>
        </w:rPr>
        <w:t xml:space="preserve"> and </w:t>
      </w:r>
      <w:r>
        <w:t xml:space="preserve">61313 for </w:t>
      </w:r>
      <w:r w:rsidR="005204DE">
        <w:t>GHPS</w:t>
      </w:r>
      <w:r>
        <w:rPr>
          <w:lang w:eastAsia="en-US"/>
        </w:rPr>
        <w:t xml:space="preserve">). </w:t>
      </w:r>
    </w:p>
    <w:p w14:paraId="7D36EC0B" w14:textId="6B8304C4" w:rsidR="000E482F" w:rsidRDefault="000E482F" w:rsidP="004C79C1">
      <w:pPr>
        <w:spacing w:after="120" w:line="240" w:lineRule="auto"/>
        <w:jc w:val="both"/>
        <w:rPr>
          <w:lang w:eastAsia="en-US"/>
        </w:rPr>
      </w:pPr>
      <w:r>
        <w:rPr>
          <w:lang w:eastAsia="en-US"/>
        </w:rPr>
        <w:t xml:space="preserve">ICAs are performed as inpatient services. ICAs performed in </w:t>
      </w:r>
      <w:r w:rsidR="005204DE">
        <w:rPr>
          <w:lang w:eastAsia="en-US"/>
        </w:rPr>
        <w:t>p</w:t>
      </w:r>
      <w:r>
        <w:rPr>
          <w:lang w:eastAsia="en-US"/>
        </w:rPr>
        <w:t xml:space="preserve">ublic hospitals </w:t>
      </w:r>
      <w:r w:rsidR="000443B5" w:rsidRPr="006F036E">
        <w:rPr>
          <w:color w:val="000000" w:themeColor="text1"/>
        </w:rPr>
        <w:t>have no associated MBS services</w:t>
      </w:r>
      <w:r w:rsidR="00896FCB">
        <w:rPr>
          <w:color w:val="000000" w:themeColor="text1"/>
        </w:rPr>
        <w:t>,</w:t>
      </w:r>
      <w:r w:rsidR="000443B5" w:rsidRPr="006F036E">
        <w:rPr>
          <w:color w:val="000000" w:themeColor="text1"/>
        </w:rPr>
        <w:t xml:space="preserve"> and the costs of the procedure </w:t>
      </w:r>
      <w:r w:rsidR="0066335F">
        <w:rPr>
          <w:color w:val="000000" w:themeColor="text1"/>
        </w:rPr>
        <w:t>are</w:t>
      </w:r>
      <w:r w:rsidR="000443B5" w:rsidRPr="006F036E">
        <w:rPr>
          <w:color w:val="000000" w:themeColor="text1"/>
        </w:rPr>
        <w:t xml:space="preserve"> incurred by state health budgets</w:t>
      </w:r>
      <w:r w:rsidR="0066335F">
        <w:rPr>
          <w:color w:val="000000" w:themeColor="text1"/>
          <w:lang w:eastAsia="en-US"/>
        </w:rPr>
        <w:t>;</w:t>
      </w:r>
      <w:r w:rsidRPr="006F036E">
        <w:rPr>
          <w:color w:val="000000" w:themeColor="text1"/>
          <w:lang w:eastAsia="en-US"/>
        </w:rPr>
        <w:t xml:space="preserve"> </w:t>
      </w:r>
      <w:r w:rsidR="00CD35F0">
        <w:rPr>
          <w:lang w:eastAsia="en-US"/>
        </w:rPr>
        <w:t>whereas</w:t>
      </w:r>
      <w:r>
        <w:rPr>
          <w:lang w:eastAsia="en-US"/>
        </w:rPr>
        <w:t xml:space="preserve"> ICAs performed in </w:t>
      </w:r>
      <w:r w:rsidR="00CD35F0">
        <w:rPr>
          <w:lang w:eastAsia="en-US"/>
        </w:rPr>
        <w:t>p</w:t>
      </w:r>
      <w:r>
        <w:rPr>
          <w:lang w:eastAsia="en-US"/>
        </w:rPr>
        <w:t>rivate hospitals have charges associated with Medicare services and hospital components</w:t>
      </w:r>
      <w:r w:rsidR="0059202C">
        <w:rPr>
          <w:lang w:eastAsia="en-US"/>
        </w:rPr>
        <w:t>,</w:t>
      </w:r>
      <w:r>
        <w:rPr>
          <w:lang w:eastAsia="en-US"/>
        </w:rPr>
        <w:t xml:space="preserve"> and the costs are incurred by Medicare, patients and </w:t>
      </w:r>
      <w:r w:rsidR="00CD35F0">
        <w:rPr>
          <w:lang w:eastAsia="en-US"/>
        </w:rPr>
        <w:t>p</w:t>
      </w:r>
      <w:r>
        <w:rPr>
          <w:lang w:eastAsia="en-US"/>
        </w:rPr>
        <w:t xml:space="preserve">rivate </w:t>
      </w:r>
      <w:r w:rsidR="00CD35F0">
        <w:rPr>
          <w:lang w:eastAsia="en-US"/>
        </w:rPr>
        <w:t>h</w:t>
      </w:r>
      <w:r>
        <w:rPr>
          <w:lang w:eastAsia="en-US"/>
        </w:rPr>
        <w:t xml:space="preserve">ealth </w:t>
      </w:r>
      <w:r w:rsidR="00CD35F0">
        <w:rPr>
          <w:lang w:eastAsia="en-US"/>
        </w:rPr>
        <w:t>i</w:t>
      </w:r>
      <w:r>
        <w:rPr>
          <w:lang w:eastAsia="en-US"/>
        </w:rPr>
        <w:t>nsurer</w:t>
      </w:r>
      <w:r w:rsidR="00CD35F0">
        <w:rPr>
          <w:lang w:eastAsia="en-US"/>
        </w:rPr>
        <w:t>s</w:t>
      </w:r>
      <w:r>
        <w:rPr>
          <w:lang w:eastAsia="en-US"/>
        </w:rPr>
        <w:t xml:space="preserve"> (PHI</w:t>
      </w:r>
      <w:r w:rsidR="00CD35F0">
        <w:rPr>
          <w:lang w:eastAsia="en-US"/>
        </w:rPr>
        <w:t>s</w:t>
      </w:r>
      <w:r>
        <w:rPr>
          <w:lang w:eastAsia="en-US"/>
        </w:rPr>
        <w:t>). Based on the number of separations for AR-DRG F42 A, B and C in private and public hospital</w:t>
      </w:r>
      <w:r w:rsidR="00FD6A3D">
        <w:rPr>
          <w:lang w:eastAsia="en-US"/>
        </w:rPr>
        <w:t>s</w:t>
      </w:r>
      <w:r>
        <w:rPr>
          <w:lang w:eastAsia="en-US"/>
        </w:rPr>
        <w:t xml:space="preserve"> </w:t>
      </w:r>
      <w:r>
        <w:rPr>
          <w:lang w:eastAsia="en-US"/>
        </w:rPr>
        <w:fldChar w:fldCharType="begin"/>
      </w:r>
      <w:r>
        <w:rPr>
          <w:lang w:eastAsia="en-US"/>
        </w:rPr>
        <w:instrText xml:space="preserve"> ADDIN EN.CITE &lt;EndNote&gt;&lt;Cite&gt;&lt;Author&gt;Independent Hospital Pricing Authority (IHPA)&lt;/Author&gt;&lt;Year&gt;2015&lt;/Year&gt;&lt;RecNum&gt;161&lt;/RecNum&gt;&lt;DisplayText&gt;(Independent Hospital Pricing Authority (IHPA) 2015b, 2015c)&lt;/DisplayText&gt;&lt;record&gt;&lt;rec-number&gt;161&lt;/rec-number&gt;&lt;foreign-keys&gt;&lt;key app="EN" db-id="pfxxvref0t0a5de2vwnv2fwkz0p9v0r2fw0t" timestamp="1460598698"&gt;161&lt;/key&gt;&lt;/foreign-keys&gt;&lt;ref-type name="Web Page"&gt;12&lt;/ref-type&gt;&lt;contributors&gt;&lt;authors&gt;&lt;author&gt;Independent Hospital Pricing Authority (IHPA),&lt;/author&gt;&lt;/authors&gt;&lt;/contributors&gt;&lt;titles&gt;&lt;title&gt;National Hospital Cost Data Collection Australian Public Hospitals Cost Report 2013-2014, Round 18 Appendix B: Cost Weights (actual) for AR-DRG version 7.0x&lt;/title&gt;&lt;/titles&gt;&lt;volume&gt;2016&lt;/volume&gt;&lt;number&gt;March&lt;/number&gt;&lt;dates&gt;&lt;year&gt;2015&lt;/year&gt;&lt;/dates&gt;&lt;urls&gt;&lt;related-urls&gt;&lt;url&gt;https://www.ihpa.gov.au/publications/australian-public-hospitals-cost-report-2013-2014-round-18&lt;/url&gt;&lt;/related-urls&gt;&lt;/urls&gt;&lt;/record&gt;&lt;/Cite&gt;&lt;Cite&gt;&lt;Author&gt;Independent Hospital Pricing Authority (IHPA)&lt;/Author&gt;&lt;Year&gt;2015&lt;/Year&gt;&lt;RecNum&gt;174&lt;/RecNum&gt;&lt;record&gt;&lt;rec-number&gt;174&lt;/rec-number&gt;&lt;foreign-keys&gt;&lt;key app="EN" db-id="pfxxvref0t0a5de2vwnv2fwkz0p9v0r2fw0t" timestamp="1461638137"&gt;174&lt;/key&gt;&lt;/foreign-keys&gt;&lt;ref-type name="Web Page"&gt;12&lt;/ref-type&gt;&lt;contributors&gt;&lt;authors&gt;&lt;author&gt;Independent Hospital Pricing Authority (IHPA),&lt;/author&gt;&lt;/authors&gt;&lt;/contributors&gt;&lt;titles&gt;&lt;title&gt;National Hospital Cost Data Collection (NHCDC), Round 18 Private Sector Overnight (2013-14), Appendix E-National Consolidation Cost Weight tables- AR-DRG V6.0X&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Pr>
          <w:lang w:eastAsia="en-US"/>
        </w:rPr>
        <w:fldChar w:fldCharType="separate"/>
      </w:r>
      <w:r>
        <w:rPr>
          <w:noProof/>
          <w:lang w:eastAsia="en-US"/>
        </w:rPr>
        <w:t>(</w:t>
      </w:r>
      <w:hyperlink w:anchor="_ENREF_59" w:tooltip="Independent Hospital Pricing Authority (IHPA), 2015 #174" w:history="1">
        <w:r>
          <w:rPr>
            <w:noProof/>
            <w:lang w:eastAsia="en-US"/>
          </w:rPr>
          <w:t>Independent Hospital Pricing Authority (IHPA) 2015b</w:t>
        </w:r>
      </w:hyperlink>
      <w:r>
        <w:rPr>
          <w:noProof/>
          <w:lang w:eastAsia="en-US"/>
        </w:rPr>
        <w:t xml:space="preserve">, </w:t>
      </w:r>
      <w:hyperlink w:anchor="_ENREF_60" w:tooltip="Independent Hospital Pricing Authority (IHPA), 2015 #161" w:history="1">
        <w:r>
          <w:rPr>
            <w:noProof/>
            <w:lang w:eastAsia="en-US"/>
          </w:rPr>
          <w:t>2015c</w:t>
        </w:r>
      </w:hyperlink>
      <w:r>
        <w:rPr>
          <w:noProof/>
          <w:lang w:eastAsia="en-US"/>
        </w:rPr>
        <w:t>)</w:t>
      </w:r>
      <w:r>
        <w:rPr>
          <w:lang w:eastAsia="en-US"/>
        </w:rPr>
        <w:fldChar w:fldCharType="end"/>
      </w:r>
      <w:r w:rsidRPr="00F2340C">
        <w:rPr>
          <w:lang w:eastAsia="en-US"/>
        </w:rPr>
        <w:t>,</w:t>
      </w:r>
      <w:r>
        <w:rPr>
          <w:lang w:eastAsia="en-US"/>
        </w:rPr>
        <w:t xml:space="preserve"> approximately 60% </w:t>
      </w:r>
      <w:r w:rsidR="00FD6A3D">
        <w:rPr>
          <w:lang w:eastAsia="en-US"/>
        </w:rPr>
        <w:t xml:space="preserve">of </w:t>
      </w:r>
      <w:r>
        <w:rPr>
          <w:lang w:eastAsia="en-US"/>
        </w:rPr>
        <w:t xml:space="preserve">ICAs are performed in </w:t>
      </w:r>
      <w:r w:rsidR="00FD6A3D">
        <w:rPr>
          <w:lang w:eastAsia="en-US"/>
        </w:rPr>
        <w:t>p</w:t>
      </w:r>
      <w:r>
        <w:rPr>
          <w:lang w:eastAsia="en-US"/>
        </w:rPr>
        <w:t xml:space="preserve">rivate hospitals and 40% in </w:t>
      </w:r>
      <w:r w:rsidR="00FD6A3D">
        <w:rPr>
          <w:lang w:eastAsia="en-US"/>
        </w:rPr>
        <w:t>p</w:t>
      </w:r>
      <w:r>
        <w:rPr>
          <w:lang w:eastAsia="en-US"/>
        </w:rPr>
        <w:t xml:space="preserve">ublic hospitals. The cost of ICA in </w:t>
      </w:r>
      <w:r w:rsidR="001D445E">
        <w:rPr>
          <w:lang w:eastAsia="en-US"/>
        </w:rPr>
        <w:t>a p</w:t>
      </w:r>
      <w:r>
        <w:rPr>
          <w:lang w:eastAsia="en-US"/>
        </w:rPr>
        <w:t xml:space="preserve">ublic </w:t>
      </w:r>
      <w:r w:rsidR="001D445E">
        <w:rPr>
          <w:lang w:eastAsia="en-US"/>
        </w:rPr>
        <w:t>h</w:t>
      </w:r>
      <w:r>
        <w:rPr>
          <w:lang w:eastAsia="en-US"/>
        </w:rPr>
        <w:t xml:space="preserve">ospital is based on the </w:t>
      </w:r>
      <w:r w:rsidRPr="00F2340C">
        <w:rPr>
          <w:lang w:eastAsia="en-US"/>
        </w:rPr>
        <w:t>NEP</w:t>
      </w:r>
      <w:r>
        <w:rPr>
          <w:lang w:eastAsia="en-US"/>
        </w:rPr>
        <w:t xml:space="preserve"> for AR-DRG F42C (Circulatory </w:t>
      </w:r>
      <w:r w:rsidR="005A37D0">
        <w:rPr>
          <w:lang w:eastAsia="en-US"/>
        </w:rPr>
        <w:t>D</w:t>
      </w:r>
      <w:r>
        <w:rPr>
          <w:lang w:eastAsia="en-US"/>
        </w:rPr>
        <w:t>isorders</w:t>
      </w:r>
      <w:r w:rsidRPr="00F2340C">
        <w:rPr>
          <w:lang w:eastAsia="en-US"/>
        </w:rPr>
        <w:t>,</w:t>
      </w:r>
      <w:r>
        <w:rPr>
          <w:lang w:eastAsia="en-US"/>
        </w:rPr>
        <w:t xml:space="preserve"> </w:t>
      </w:r>
      <w:r w:rsidR="005A37D0">
        <w:rPr>
          <w:lang w:eastAsia="en-US"/>
        </w:rPr>
        <w:t>N</w:t>
      </w:r>
      <w:r w:rsidRPr="00F2340C">
        <w:rPr>
          <w:lang w:eastAsia="en-US"/>
        </w:rPr>
        <w:t xml:space="preserve">ot </w:t>
      </w:r>
      <w:r w:rsidR="005A37D0">
        <w:rPr>
          <w:lang w:eastAsia="en-US"/>
        </w:rPr>
        <w:t>A</w:t>
      </w:r>
      <w:r>
        <w:rPr>
          <w:lang w:eastAsia="en-US"/>
        </w:rPr>
        <w:t>dmitted for AMI</w:t>
      </w:r>
      <w:r w:rsidR="005A37D0">
        <w:rPr>
          <w:lang w:eastAsia="en-US"/>
        </w:rPr>
        <w:t>,</w:t>
      </w:r>
      <w:r>
        <w:rPr>
          <w:lang w:eastAsia="en-US"/>
        </w:rPr>
        <w:t xml:space="preserve"> with</w:t>
      </w:r>
      <w:r w:rsidRPr="00F2340C">
        <w:rPr>
          <w:lang w:eastAsia="en-US"/>
        </w:rPr>
        <w:t xml:space="preserve"> </w:t>
      </w:r>
      <w:r w:rsidR="005A37D0">
        <w:rPr>
          <w:lang w:eastAsia="en-US"/>
        </w:rPr>
        <w:t>I</w:t>
      </w:r>
      <w:r>
        <w:rPr>
          <w:lang w:eastAsia="en-US"/>
        </w:rPr>
        <w:t xml:space="preserve">nvasive </w:t>
      </w:r>
      <w:r w:rsidR="005A37D0">
        <w:rPr>
          <w:lang w:eastAsia="en-US"/>
        </w:rPr>
        <w:t>C</w:t>
      </w:r>
      <w:r>
        <w:rPr>
          <w:lang w:eastAsia="en-US"/>
        </w:rPr>
        <w:t xml:space="preserve">ardiac </w:t>
      </w:r>
      <w:r w:rsidR="00674EDB">
        <w:rPr>
          <w:lang w:eastAsia="en-US"/>
        </w:rPr>
        <w:t>I</w:t>
      </w:r>
      <w:r w:rsidRPr="00F2340C">
        <w:rPr>
          <w:lang w:eastAsia="en-US"/>
        </w:rPr>
        <w:t>nves</w:t>
      </w:r>
      <w:r>
        <w:rPr>
          <w:lang w:eastAsia="en-US"/>
        </w:rPr>
        <w:t>tigative</w:t>
      </w:r>
      <w:r w:rsidRPr="00F2340C">
        <w:rPr>
          <w:lang w:eastAsia="en-US"/>
        </w:rPr>
        <w:t xml:space="preserve"> </w:t>
      </w:r>
      <w:r w:rsidR="00674EDB">
        <w:rPr>
          <w:lang w:eastAsia="en-US"/>
        </w:rPr>
        <w:t>P</w:t>
      </w:r>
      <w:r w:rsidRPr="00F2340C">
        <w:rPr>
          <w:lang w:eastAsia="en-US"/>
        </w:rPr>
        <w:t>roc</w:t>
      </w:r>
      <w:r>
        <w:rPr>
          <w:lang w:eastAsia="en-US"/>
        </w:rPr>
        <w:t xml:space="preserve">edures, </w:t>
      </w:r>
      <w:r w:rsidR="00674EDB">
        <w:rPr>
          <w:lang w:eastAsia="en-US"/>
        </w:rPr>
        <w:t>N</w:t>
      </w:r>
      <w:r>
        <w:rPr>
          <w:lang w:eastAsia="en-US"/>
        </w:rPr>
        <w:t xml:space="preserve">o </w:t>
      </w:r>
      <w:r w:rsidR="00674EDB">
        <w:rPr>
          <w:lang w:eastAsia="en-US"/>
        </w:rPr>
        <w:t>C</w:t>
      </w:r>
      <w:r>
        <w:rPr>
          <w:lang w:eastAsia="en-US"/>
        </w:rPr>
        <w:t xml:space="preserve">omplications, </w:t>
      </w:r>
      <w:r w:rsidR="00674EDB">
        <w:rPr>
          <w:lang w:eastAsia="en-US"/>
        </w:rPr>
        <w:t>S</w:t>
      </w:r>
      <w:r>
        <w:rPr>
          <w:lang w:eastAsia="en-US"/>
        </w:rPr>
        <w:t xml:space="preserve">ame </w:t>
      </w:r>
      <w:r w:rsidR="00674EDB">
        <w:rPr>
          <w:lang w:eastAsia="en-US"/>
        </w:rPr>
        <w:t>D</w:t>
      </w:r>
      <w:r>
        <w:rPr>
          <w:lang w:eastAsia="en-US"/>
        </w:rPr>
        <w:t xml:space="preserve">ay </w:t>
      </w:r>
      <w:r w:rsidR="00674EDB">
        <w:rPr>
          <w:lang w:eastAsia="en-US"/>
        </w:rPr>
        <w:t>D</w:t>
      </w:r>
      <w:r>
        <w:rPr>
          <w:lang w:eastAsia="en-US"/>
        </w:rPr>
        <w:t>ischarge</w:t>
      </w:r>
      <w:r w:rsidR="00674EDB">
        <w:rPr>
          <w:lang w:eastAsia="en-US"/>
        </w:rPr>
        <w:t xml:space="preserve"> </w:t>
      </w:r>
      <w:r>
        <w:rPr>
          <w:lang w:eastAsia="en-US"/>
        </w:rPr>
        <w:fldChar w:fldCharType="begin"/>
      </w:r>
      <w:r>
        <w:rPr>
          <w:lang w:eastAsia="en-US"/>
        </w:rPr>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Pr>
          <w:lang w:eastAsia="en-US"/>
        </w:rPr>
        <w:fldChar w:fldCharType="separate"/>
      </w:r>
      <w:r>
        <w:rPr>
          <w:noProof/>
          <w:lang w:eastAsia="en-US"/>
        </w:rPr>
        <w:t>(</w:t>
      </w:r>
      <w:hyperlink w:anchor="_ENREF_58" w:tooltip="Independent Hospital Pricing Authority (IHPA), 2015 #160" w:history="1">
        <w:r>
          <w:rPr>
            <w:noProof/>
            <w:lang w:eastAsia="en-US"/>
          </w:rPr>
          <w:t>Independent Hospital Pricing Authority (IHPA) 2015a</w:t>
        </w:r>
      </w:hyperlink>
      <w:r>
        <w:rPr>
          <w:noProof/>
          <w:lang w:eastAsia="en-US"/>
        </w:rPr>
        <w:t>)</w:t>
      </w:r>
      <w:r>
        <w:rPr>
          <w:lang w:eastAsia="en-US"/>
        </w:rPr>
        <w:fldChar w:fldCharType="end"/>
      </w:r>
      <w:r>
        <w:rPr>
          <w:lang w:eastAsia="en-US"/>
        </w:rPr>
        <w:t xml:space="preserve">. This cost is incurred by </w:t>
      </w:r>
      <w:r w:rsidR="008B533B">
        <w:rPr>
          <w:lang w:eastAsia="en-US"/>
        </w:rPr>
        <w:t>s</w:t>
      </w:r>
      <w:r>
        <w:rPr>
          <w:lang w:eastAsia="en-US"/>
        </w:rPr>
        <w:t xml:space="preserve">tate health budgets. The cost of ICAs in </w:t>
      </w:r>
      <w:r w:rsidR="008B533B">
        <w:rPr>
          <w:lang w:eastAsia="en-US"/>
        </w:rPr>
        <w:t>p</w:t>
      </w:r>
      <w:r>
        <w:rPr>
          <w:lang w:eastAsia="en-US"/>
        </w:rPr>
        <w:t xml:space="preserve">rivate </w:t>
      </w:r>
      <w:r w:rsidR="008B533B">
        <w:rPr>
          <w:lang w:eastAsia="en-US"/>
        </w:rPr>
        <w:t>h</w:t>
      </w:r>
      <w:r>
        <w:rPr>
          <w:lang w:eastAsia="en-US"/>
        </w:rPr>
        <w:t>ospitals</w:t>
      </w:r>
      <w:r w:rsidR="008B533B">
        <w:rPr>
          <w:lang w:eastAsia="en-US"/>
        </w:rPr>
        <w:t>,</w:t>
      </w:r>
      <w:r>
        <w:rPr>
          <w:lang w:eastAsia="en-US"/>
        </w:rPr>
        <w:t xml:space="preserve"> stratified according to the MBS cost, patient contribution and PHI</w:t>
      </w:r>
      <w:r w:rsidR="008B533B">
        <w:rPr>
          <w:lang w:eastAsia="en-US"/>
        </w:rPr>
        <w:t>,</w:t>
      </w:r>
      <w:r>
        <w:rPr>
          <w:lang w:eastAsia="en-US"/>
        </w:rPr>
        <w:t xml:space="preserve"> was accessed </w:t>
      </w:r>
      <w:r>
        <w:rPr>
          <w:lang w:eastAsia="en-US"/>
        </w:rPr>
        <w:lastRenderedPageBreak/>
        <w:t xml:space="preserve">from a </w:t>
      </w:r>
      <w:r w:rsidR="008B533B">
        <w:rPr>
          <w:lang w:eastAsia="en-US"/>
        </w:rPr>
        <w:t>p</w:t>
      </w:r>
      <w:r>
        <w:rPr>
          <w:lang w:eastAsia="en-US"/>
        </w:rPr>
        <w:t xml:space="preserve">rivate </w:t>
      </w:r>
      <w:r w:rsidR="008B533B">
        <w:rPr>
          <w:lang w:eastAsia="en-US"/>
        </w:rPr>
        <w:t>i</w:t>
      </w:r>
      <w:r>
        <w:rPr>
          <w:lang w:eastAsia="en-US"/>
        </w:rPr>
        <w:t>nsurer’s webpage</w:t>
      </w:r>
      <w:r>
        <w:rPr>
          <w:rStyle w:val="FootnoteReference"/>
          <w:lang w:eastAsia="en-US"/>
        </w:rPr>
        <w:footnoteReference w:id="22"/>
      </w:r>
      <w:r w:rsidR="008B533B">
        <w:rPr>
          <w:lang w:eastAsia="en-US"/>
        </w:rPr>
        <w:t>,</w:t>
      </w:r>
      <w:r>
        <w:rPr>
          <w:lang w:eastAsia="en-US"/>
        </w:rPr>
        <w:t xml:space="preserve"> and was converted to 2015 AUD using </w:t>
      </w:r>
      <w:r w:rsidR="008B533B">
        <w:rPr>
          <w:lang w:eastAsia="en-US"/>
        </w:rPr>
        <w:t xml:space="preserve">an </w:t>
      </w:r>
      <w:r>
        <w:rPr>
          <w:lang w:eastAsia="en-US"/>
        </w:rPr>
        <w:t>inflation calculator</w:t>
      </w:r>
      <w:r>
        <w:rPr>
          <w:rStyle w:val="FootnoteReference"/>
          <w:lang w:eastAsia="en-US"/>
        </w:rPr>
        <w:footnoteReference w:id="23"/>
      </w:r>
      <w:r>
        <w:rPr>
          <w:lang w:eastAsia="en-US"/>
        </w:rPr>
        <w:t xml:space="preserve">. According to this data, ICAs performed in </w:t>
      </w:r>
      <w:r w:rsidR="008B533B">
        <w:rPr>
          <w:lang w:eastAsia="en-US"/>
        </w:rPr>
        <w:t>p</w:t>
      </w:r>
      <w:r>
        <w:rPr>
          <w:lang w:eastAsia="en-US"/>
        </w:rPr>
        <w:t>rivate hospitals are associated with cost</w:t>
      </w:r>
      <w:r w:rsidR="00D216ED">
        <w:rPr>
          <w:lang w:eastAsia="en-US"/>
        </w:rPr>
        <w:t>s</w:t>
      </w:r>
      <w:r>
        <w:rPr>
          <w:lang w:eastAsia="en-US"/>
        </w:rPr>
        <w:t xml:space="preserve"> of $745 to MBS, $207 to patients and $4,426 to the PHI</w:t>
      </w:r>
      <w:r w:rsidR="00D216ED">
        <w:rPr>
          <w:lang w:eastAsia="en-US"/>
        </w:rPr>
        <w:t>;</w:t>
      </w:r>
      <w:r>
        <w:rPr>
          <w:lang w:eastAsia="en-US"/>
        </w:rPr>
        <w:t xml:space="preserve"> </w:t>
      </w:r>
      <w:r w:rsidR="00D216ED">
        <w:rPr>
          <w:lang w:eastAsia="en-US"/>
        </w:rPr>
        <w:t xml:space="preserve">the </w:t>
      </w:r>
      <w:r>
        <w:rPr>
          <w:lang w:eastAsia="en-US"/>
        </w:rPr>
        <w:t xml:space="preserve">total cost of ICA </w:t>
      </w:r>
      <w:r w:rsidR="00D216ED">
        <w:rPr>
          <w:lang w:eastAsia="en-US"/>
        </w:rPr>
        <w:t>is thus</w:t>
      </w:r>
      <w:r>
        <w:rPr>
          <w:lang w:eastAsia="en-US"/>
        </w:rPr>
        <w:t xml:space="preserve"> estimated as $5,378 in </w:t>
      </w:r>
      <w:r w:rsidR="00D216ED">
        <w:rPr>
          <w:lang w:eastAsia="en-US"/>
        </w:rPr>
        <w:t>p</w:t>
      </w:r>
      <w:r>
        <w:rPr>
          <w:lang w:eastAsia="en-US"/>
        </w:rPr>
        <w:t xml:space="preserve">rivate </w:t>
      </w:r>
      <w:r w:rsidR="00D216ED">
        <w:rPr>
          <w:lang w:eastAsia="en-US"/>
        </w:rPr>
        <w:t>h</w:t>
      </w:r>
      <w:r>
        <w:rPr>
          <w:lang w:eastAsia="en-US"/>
        </w:rPr>
        <w:t>ospitals</w:t>
      </w:r>
      <w:r w:rsidR="00D216ED">
        <w:rPr>
          <w:lang w:eastAsia="en-US"/>
        </w:rPr>
        <w:t>.</w:t>
      </w:r>
    </w:p>
    <w:p w14:paraId="3F0A6EF0" w14:textId="79C97AA9" w:rsidR="000E482F" w:rsidRDefault="000E482F" w:rsidP="004C79C1">
      <w:pPr>
        <w:pStyle w:val="Caption"/>
        <w:keepNext/>
      </w:pPr>
      <w:bookmarkStart w:id="720" w:name="_Ref436995572"/>
      <w:bookmarkStart w:id="721" w:name="_Toc437435451"/>
      <w:bookmarkStart w:id="722" w:name="_Toc449555029"/>
      <w:bookmarkStart w:id="723" w:name="_Toc324410240"/>
      <w:bookmarkStart w:id="724" w:name="_Toc451435396"/>
      <w:r>
        <w:t xml:space="preserve">Table </w:t>
      </w:r>
      <w:fldSimple w:instr=" SEQ Table \* ARABIC ">
        <w:r w:rsidR="00050936">
          <w:rPr>
            <w:noProof/>
          </w:rPr>
          <w:t>69</w:t>
        </w:r>
      </w:fldSimple>
      <w:bookmarkEnd w:id="720"/>
      <w:r>
        <w:tab/>
        <w:t>Estimated disaggregated costs per comparator service</w:t>
      </w:r>
      <w:bookmarkEnd w:id="721"/>
      <w:bookmarkEnd w:id="722"/>
      <w:bookmarkEnd w:id="723"/>
      <w:bookmarkEnd w:id="724"/>
    </w:p>
    <w:tbl>
      <w:tblPr>
        <w:tblStyle w:val="TableGrid"/>
        <w:tblW w:w="5000" w:type="pct"/>
        <w:tblLook w:val="04A0" w:firstRow="1" w:lastRow="0" w:firstColumn="1" w:lastColumn="0" w:noHBand="0" w:noVBand="1"/>
        <w:tblCaption w:val="Estimated cost per comparator service"/>
        <w:tblDescription w:val="Estimated disaggregated costs per comparator service"/>
      </w:tblPr>
      <w:tblGrid>
        <w:gridCol w:w="3159"/>
        <w:gridCol w:w="1488"/>
        <w:gridCol w:w="1621"/>
        <w:gridCol w:w="1488"/>
        <w:gridCol w:w="1486"/>
      </w:tblGrid>
      <w:tr w:rsidR="000E482F" w:rsidRPr="00C5468A" w14:paraId="5E935648" w14:textId="77777777" w:rsidTr="00723891">
        <w:trPr>
          <w:tblHeader/>
        </w:trPr>
        <w:tc>
          <w:tcPr>
            <w:tcW w:w="1709" w:type="pct"/>
            <w:vAlign w:val="center"/>
          </w:tcPr>
          <w:p w14:paraId="0E4EBA4B" w14:textId="77777777" w:rsidR="000E482F" w:rsidRPr="007F5194" w:rsidRDefault="000E482F" w:rsidP="004C79C1">
            <w:pPr>
              <w:pStyle w:val="TableHeading"/>
              <w:spacing w:before="0" w:after="120"/>
              <w:ind w:left="0" w:firstLine="0"/>
            </w:pPr>
            <w:r w:rsidRPr="007F5194">
              <w:t>Comparator</w:t>
            </w:r>
          </w:p>
        </w:tc>
        <w:tc>
          <w:tcPr>
            <w:tcW w:w="805" w:type="pct"/>
            <w:vAlign w:val="center"/>
          </w:tcPr>
          <w:p w14:paraId="7D4D7F32" w14:textId="77777777" w:rsidR="000E482F" w:rsidRPr="00C5468A" w:rsidRDefault="000E482F" w:rsidP="004C79C1">
            <w:pPr>
              <w:pStyle w:val="TableHeading"/>
              <w:spacing w:before="0" w:after="120"/>
              <w:ind w:left="0" w:firstLine="0"/>
              <w:jc w:val="center"/>
            </w:pPr>
            <w:r>
              <w:t>MBS cost</w:t>
            </w:r>
          </w:p>
        </w:tc>
        <w:tc>
          <w:tcPr>
            <w:tcW w:w="877" w:type="pct"/>
            <w:vAlign w:val="center"/>
          </w:tcPr>
          <w:p w14:paraId="2115AAF6" w14:textId="77777777" w:rsidR="000E482F" w:rsidRPr="00C5468A" w:rsidRDefault="000E482F" w:rsidP="004C79C1">
            <w:pPr>
              <w:pStyle w:val="TableHeading"/>
              <w:spacing w:before="0" w:after="120"/>
              <w:ind w:left="0" w:firstLine="0"/>
              <w:jc w:val="center"/>
            </w:pPr>
            <w:r>
              <w:t>Patient cost</w:t>
            </w:r>
          </w:p>
        </w:tc>
        <w:tc>
          <w:tcPr>
            <w:tcW w:w="805" w:type="pct"/>
            <w:vAlign w:val="center"/>
          </w:tcPr>
          <w:p w14:paraId="574C5457" w14:textId="77777777" w:rsidR="000E482F" w:rsidRPr="00C5468A" w:rsidRDefault="000E482F" w:rsidP="004C79C1">
            <w:pPr>
              <w:pStyle w:val="TableHeading"/>
              <w:spacing w:before="0" w:after="120"/>
              <w:ind w:left="0" w:firstLine="0"/>
              <w:jc w:val="center"/>
            </w:pPr>
            <w:r>
              <w:t>PHI cost</w:t>
            </w:r>
          </w:p>
        </w:tc>
        <w:tc>
          <w:tcPr>
            <w:tcW w:w="804" w:type="pct"/>
            <w:vAlign w:val="center"/>
          </w:tcPr>
          <w:p w14:paraId="264C778E" w14:textId="77777777" w:rsidR="000E482F" w:rsidRPr="00C5468A" w:rsidRDefault="000E482F" w:rsidP="004C79C1">
            <w:pPr>
              <w:pStyle w:val="TableHeading"/>
              <w:spacing w:before="0" w:after="120"/>
              <w:ind w:left="0" w:firstLine="0"/>
              <w:jc w:val="center"/>
            </w:pPr>
            <w:r>
              <w:t>State health budget cost</w:t>
            </w:r>
          </w:p>
        </w:tc>
      </w:tr>
      <w:tr w:rsidR="000E482F" w:rsidRPr="00407A2E" w14:paraId="174B123A" w14:textId="77777777" w:rsidTr="00723891">
        <w:tc>
          <w:tcPr>
            <w:tcW w:w="1709" w:type="pct"/>
          </w:tcPr>
          <w:p w14:paraId="5561DDE0" w14:textId="77777777" w:rsidR="000E482F" w:rsidRPr="007F5194" w:rsidRDefault="000E482F" w:rsidP="004C79C1">
            <w:pPr>
              <w:pStyle w:val="TableHeading"/>
              <w:spacing w:before="0" w:after="120"/>
              <w:rPr>
                <w:b w:val="0"/>
              </w:rPr>
            </w:pPr>
            <w:r w:rsidRPr="007F5194">
              <w:rPr>
                <w:b w:val="0"/>
              </w:rPr>
              <w:t>GHPS</w:t>
            </w:r>
          </w:p>
        </w:tc>
        <w:tc>
          <w:tcPr>
            <w:tcW w:w="805" w:type="pct"/>
          </w:tcPr>
          <w:p w14:paraId="2689AC6C" w14:textId="0215C983" w:rsidR="000E482F" w:rsidRPr="007F5194" w:rsidRDefault="00784480" w:rsidP="004C79C1">
            <w:pPr>
              <w:pStyle w:val="TableHeading"/>
              <w:tabs>
                <w:tab w:val="decimal" w:pos="527"/>
              </w:tabs>
              <w:spacing w:before="0" w:after="120"/>
              <w:jc w:val="center"/>
              <w:rPr>
                <w:b w:val="0"/>
              </w:rPr>
            </w:pPr>
            <w:r>
              <w:rPr>
                <w:b w:val="0"/>
              </w:rPr>
              <w:t>$283</w:t>
            </w:r>
          </w:p>
        </w:tc>
        <w:tc>
          <w:tcPr>
            <w:tcW w:w="877" w:type="pct"/>
          </w:tcPr>
          <w:p w14:paraId="0AA8811B" w14:textId="345E9680" w:rsidR="000E482F" w:rsidRPr="007F5194" w:rsidRDefault="000E482F" w:rsidP="004C79C1">
            <w:pPr>
              <w:pStyle w:val="TableHeading"/>
              <w:tabs>
                <w:tab w:val="decimal" w:pos="527"/>
              </w:tabs>
              <w:spacing w:before="0" w:after="120"/>
              <w:jc w:val="center"/>
              <w:rPr>
                <w:b w:val="0"/>
                <w:vertAlign w:val="superscript"/>
              </w:rPr>
            </w:pPr>
            <w:r w:rsidRPr="007F5194">
              <w:rPr>
                <w:b w:val="0"/>
              </w:rPr>
              <w:t>$2</w:t>
            </w:r>
            <w:r w:rsidR="00784480">
              <w:rPr>
                <w:b w:val="0"/>
              </w:rPr>
              <w:t>3</w:t>
            </w:r>
          </w:p>
        </w:tc>
        <w:tc>
          <w:tcPr>
            <w:tcW w:w="805" w:type="pct"/>
          </w:tcPr>
          <w:p w14:paraId="7D6DA26D" w14:textId="77777777" w:rsidR="000E482F" w:rsidRPr="00407A2E" w:rsidRDefault="000E482F" w:rsidP="004C79C1">
            <w:pPr>
              <w:pStyle w:val="TableHeading"/>
              <w:tabs>
                <w:tab w:val="decimal" w:pos="527"/>
              </w:tabs>
              <w:spacing w:before="0" w:after="120"/>
              <w:jc w:val="center"/>
              <w:rPr>
                <w:b w:val="0"/>
              </w:rPr>
            </w:pPr>
            <w:r>
              <w:rPr>
                <w:b w:val="0"/>
              </w:rPr>
              <w:t>-</w:t>
            </w:r>
          </w:p>
        </w:tc>
        <w:tc>
          <w:tcPr>
            <w:tcW w:w="804" w:type="pct"/>
          </w:tcPr>
          <w:p w14:paraId="71FD2395" w14:textId="77777777" w:rsidR="000E482F" w:rsidRPr="00407A2E" w:rsidRDefault="000E482F" w:rsidP="004C79C1">
            <w:pPr>
              <w:pStyle w:val="TableHeading"/>
              <w:tabs>
                <w:tab w:val="decimal" w:pos="527"/>
              </w:tabs>
              <w:spacing w:before="0" w:after="120"/>
              <w:jc w:val="center"/>
              <w:rPr>
                <w:b w:val="0"/>
              </w:rPr>
            </w:pPr>
            <w:r>
              <w:rPr>
                <w:b w:val="0"/>
              </w:rPr>
              <w:t>-</w:t>
            </w:r>
          </w:p>
        </w:tc>
      </w:tr>
      <w:tr w:rsidR="000E482F" w:rsidRPr="00407A2E" w14:paraId="0E6084AB" w14:textId="77777777" w:rsidTr="00723891">
        <w:tc>
          <w:tcPr>
            <w:tcW w:w="1709" w:type="pct"/>
          </w:tcPr>
          <w:p w14:paraId="360701BB" w14:textId="5184BF53" w:rsidR="000E482F" w:rsidRPr="007F5194" w:rsidRDefault="009A57D5" w:rsidP="004C79C1">
            <w:pPr>
              <w:pStyle w:val="TableHeading"/>
              <w:spacing w:before="0" w:after="120"/>
              <w:rPr>
                <w:b w:val="0"/>
              </w:rPr>
            </w:pPr>
            <w:r>
              <w:rPr>
                <w:b w:val="0"/>
              </w:rPr>
              <w:t>c</w:t>
            </w:r>
            <w:r w:rsidR="000E482F" w:rsidRPr="007F5194">
              <w:rPr>
                <w:b w:val="0"/>
              </w:rPr>
              <w:t>Echo</w:t>
            </w:r>
          </w:p>
        </w:tc>
        <w:tc>
          <w:tcPr>
            <w:tcW w:w="805" w:type="pct"/>
          </w:tcPr>
          <w:p w14:paraId="45DA216C" w14:textId="3E34C988" w:rsidR="000E482F" w:rsidRPr="007F5194" w:rsidRDefault="00784480" w:rsidP="004C79C1">
            <w:pPr>
              <w:pStyle w:val="TableHeading"/>
              <w:tabs>
                <w:tab w:val="decimal" w:pos="527"/>
              </w:tabs>
              <w:spacing w:before="0" w:after="120"/>
              <w:jc w:val="center"/>
              <w:rPr>
                <w:b w:val="0"/>
              </w:rPr>
            </w:pPr>
            <w:r>
              <w:rPr>
                <w:b w:val="0"/>
              </w:rPr>
              <w:t>$0</w:t>
            </w:r>
            <w:r w:rsidR="00D408DD">
              <w:rPr>
                <w:b w:val="0"/>
              </w:rPr>
              <w:t xml:space="preserve"> </w:t>
            </w:r>
            <w:r w:rsidR="00D408DD" w:rsidRPr="00784480">
              <w:rPr>
                <w:b w:val="0"/>
                <w:vertAlign w:val="superscript"/>
              </w:rPr>
              <w:t>a</w:t>
            </w:r>
          </w:p>
        </w:tc>
        <w:tc>
          <w:tcPr>
            <w:tcW w:w="877" w:type="pct"/>
          </w:tcPr>
          <w:p w14:paraId="5C4118CE" w14:textId="20448EFB" w:rsidR="000E482F" w:rsidRPr="007F5194" w:rsidRDefault="000E482F" w:rsidP="004C79C1">
            <w:pPr>
              <w:pStyle w:val="TableHeading"/>
              <w:tabs>
                <w:tab w:val="decimal" w:pos="527"/>
              </w:tabs>
              <w:spacing w:before="0" w:after="120"/>
              <w:jc w:val="center"/>
              <w:rPr>
                <w:b w:val="0"/>
              </w:rPr>
            </w:pPr>
            <w:r w:rsidRPr="007F5194">
              <w:rPr>
                <w:b w:val="0"/>
              </w:rPr>
              <w:t>$13</w:t>
            </w:r>
            <w:r w:rsidR="00784480">
              <w:rPr>
                <w:b w:val="0"/>
              </w:rPr>
              <w:t>1</w:t>
            </w:r>
          </w:p>
        </w:tc>
        <w:tc>
          <w:tcPr>
            <w:tcW w:w="805" w:type="pct"/>
          </w:tcPr>
          <w:p w14:paraId="4861783E" w14:textId="77777777" w:rsidR="000E482F" w:rsidRPr="00407A2E" w:rsidRDefault="000E482F" w:rsidP="004C79C1">
            <w:pPr>
              <w:pStyle w:val="TableHeading"/>
              <w:tabs>
                <w:tab w:val="decimal" w:pos="527"/>
              </w:tabs>
              <w:spacing w:before="0" w:after="120"/>
              <w:jc w:val="center"/>
              <w:rPr>
                <w:b w:val="0"/>
              </w:rPr>
            </w:pPr>
            <w:r>
              <w:rPr>
                <w:b w:val="0"/>
              </w:rPr>
              <w:t>-</w:t>
            </w:r>
          </w:p>
        </w:tc>
        <w:tc>
          <w:tcPr>
            <w:tcW w:w="804" w:type="pct"/>
          </w:tcPr>
          <w:p w14:paraId="5E4EC175" w14:textId="77777777" w:rsidR="000E482F" w:rsidRPr="00407A2E" w:rsidRDefault="000E482F" w:rsidP="004C79C1">
            <w:pPr>
              <w:pStyle w:val="TableHeading"/>
              <w:tabs>
                <w:tab w:val="decimal" w:pos="527"/>
              </w:tabs>
              <w:spacing w:before="0" w:after="120"/>
              <w:jc w:val="center"/>
              <w:rPr>
                <w:b w:val="0"/>
              </w:rPr>
            </w:pPr>
            <w:r>
              <w:rPr>
                <w:b w:val="0"/>
              </w:rPr>
              <w:t>-</w:t>
            </w:r>
          </w:p>
        </w:tc>
      </w:tr>
      <w:tr w:rsidR="000E482F" w:rsidRPr="00407A2E" w14:paraId="66304E45" w14:textId="77777777" w:rsidTr="00723891">
        <w:tc>
          <w:tcPr>
            <w:tcW w:w="1709" w:type="pct"/>
          </w:tcPr>
          <w:p w14:paraId="27CE3B76" w14:textId="77777777" w:rsidR="000E482F" w:rsidRPr="007F5194" w:rsidRDefault="000E482F" w:rsidP="004C79C1">
            <w:pPr>
              <w:pStyle w:val="TableHeading"/>
              <w:spacing w:before="0" w:after="120"/>
              <w:rPr>
                <w:b w:val="0"/>
              </w:rPr>
            </w:pPr>
            <w:r w:rsidRPr="007F5194">
              <w:rPr>
                <w:b w:val="0"/>
              </w:rPr>
              <w:t>ICA</w:t>
            </w:r>
          </w:p>
        </w:tc>
        <w:tc>
          <w:tcPr>
            <w:tcW w:w="805" w:type="pct"/>
          </w:tcPr>
          <w:p w14:paraId="2DCBDF35" w14:textId="464C44CD" w:rsidR="000E482F" w:rsidRPr="007F5194" w:rsidRDefault="00784480" w:rsidP="004C79C1">
            <w:pPr>
              <w:pStyle w:val="TableHeading"/>
              <w:tabs>
                <w:tab w:val="decimal" w:pos="527"/>
              </w:tabs>
              <w:spacing w:before="0" w:after="120"/>
              <w:jc w:val="center"/>
              <w:rPr>
                <w:b w:val="0"/>
              </w:rPr>
            </w:pPr>
            <w:r>
              <w:rPr>
                <w:b w:val="0"/>
              </w:rPr>
              <w:t>$745</w:t>
            </w:r>
          </w:p>
        </w:tc>
        <w:tc>
          <w:tcPr>
            <w:tcW w:w="877" w:type="pct"/>
          </w:tcPr>
          <w:p w14:paraId="013EB6B8" w14:textId="4D09E674" w:rsidR="000E482F" w:rsidRPr="007F5194" w:rsidRDefault="000E482F" w:rsidP="004C79C1">
            <w:pPr>
              <w:pStyle w:val="TableHeading"/>
              <w:tabs>
                <w:tab w:val="decimal" w:pos="527"/>
              </w:tabs>
              <w:spacing w:before="0" w:after="120"/>
              <w:jc w:val="center"/>
              <w:rPr>
                <w:b w:val="0"/>
              </w:rPr>
            </w:pPr>
            <w:r w:rsidRPr="007F5194">
              <w:rPr>
                <w:b w:val="0"/>
              </w:rPr>
              <w:t>$207</w:t>
            </w:r>
          </w:p>
        </w:tc>
        <w:tc>
          <w:tcPr>
            <w:tcW w:w="805" w:type="pct"/>
          </w:tcPr>
          <w:p w14:paraId="5DF468BD" w14:textId="2BF13EDA" w:rsidR="000E482F" w:rsidRPr="00407A2E" w:rsidRDefault="000E482F" w:rsidP="004C79C1">
            <w:pPr>
              <w:pStyle w:val="TableHeading"/>
              <w:tabs>
                <w:tab w:val="decimal" w:pos="527"/>
              </w:tabs>
              <w:spacing w:before="0" w:after="120"/>
              <w:jc w:val="center"/>
              <w:rPr>
                <w:b w:val="0"/>
              </w:rPr>
            </w:pPr>
            <w:r w:rsidRPr="00592AC1">
              <w:rPr>
                <w:b w:val="0"/>
              </w:rPr>
              <w:t>$4,426</w:t>
            </w:r>
          </w:p>
        </w:tc>
        <w:tc>
          <w:tcPr>
            <w:tcW w:w="804" w:type="pct"/>
          </w:tcPr>
          <w:p w14:paraId="046307D6" w14:textId="67A40B5B" w:rsidR="000E482F" w:rsidRPr="00407A2E" w:rsidRDefault="000E482F" w:rsidP="004C79C1">
            <w:pPr>
              <w:pStyle w:val="TableHeading"/>
              <w:tabs>
                <w:tab w:val="decimal" w:pos="527"/>
              </w:tabs>
              <w:spacing w:before="0" w:after="120"/>
              <w:jc w:val="center"/>
              <w:rPr>
                <w:b w:val="0"/>
              </w:rPr>
            </w:pPr>
            <w:r w:rsidRPr="00592AC1">
              <w:rPr>
                <w:b w:val="0"/>
              </w:rPr>
              <w:t>$2,837</w:t>
            </w:r>
          </w:p>
        </w:tc>
      </w:tr>
      <w:tr w:rsidR="000E482F" w:rsidRPr="00407A2E" w14:paraId="11448D5B" w14:textId="77777777" w:rsidTr="00723891">
        <w:tc>
          <w:tcPr>
            <w:tcW w:w="1709" w:type="pct"/>
          </w:tcPr>
          <w:p w14:paraId="66378960" w14:textId="77777777" w:rsidR="000E482F" w:rsidRPr="007F5194" w:rsidRDefault="000E482F" w:rsidP="004C79C1">
            <w:pPr>
              <w:pStyle w:val="TableHeading"/>
              <w:spacing w:before="0" w:after="120"/>
              <w:rPr>
                <w:b w:val="0"/>
              </w:rPr>
            </w:pPr>
            <w:r w:rsidRPr="007F5194">
              <w:rPr>
                <w:b w:val="0"/>
              </w:rPr>
              <w:t>Stress Echo</w:t>
            </w:r>
          </w:p>
        </w:tc>
        <w:tc>
          <w:tcPr>
            <w:tcW w:w="805" w:type="pct"/>
          </w:tcPr>
          <w:p w14:paraId="7B9E1FAF" w14:textId="66CD5E90" w:rsidR="000E482F" w:rsidRPr="007F5194" w:rsidRDefault="00784480" w:rsidP="004C79C1">
            <w:pPr>
              <w:pStyle w:val="TableHeading"/>
              <w:tabs>
                <w:tab w:val="decimal" w:pos="527"/>
              </w:tabs>
              <w:spacing w:before="0" w:after="120"/>
              <w:jc w:val="center"/>
              <w:rPr>
                <w:b w:val="0"/>
              </w:rPr>
            </w:pPr>
            <w:r>
              <w:rPr>
                <w:b w:val="0"/>
              </w:rPr>
              <w:t>$365</w:t>
            </w:r>
          </w:p>
        </w:tc>
        <w:tc>
          <w:tcPr>
            <w:tcW w:w="877" w:type="pct"/>
          </w:tcPr>
          <w:p w14:paraId="7C32676B" w14:textId="3F853634" w:rsidR="000E482F" w:rsidRPr="007F5194" w:rsidRDefault="000E482F" w:rsidP="004C79C1">
            <w:pPr>
              <w:pStyle w:val="TableHeading"/>
              <w:tabs>
                <w:tab w:val="decimal" w:pos="527"/>
              </w:tabs>
              <w:spacing w:before="0" w:after="120"/>
              <w:jc w:val="center"/>
              <w:rPr>
                <w:b w:val="0"/>
              </w:rPr>
            </w:pPr>
            <w:r w:rsidRPr="007F5194">
              <w:rPr>
                <w:b w:val="0"/>
              </w:rPr>
              <w:t>$</w:t>
            </w:r>
            <w:r w:rsidR="00784480">
              <w:rPr>
                <w:b w:val="0"/>
              </w:rPr>
              <w:t>60</w:t>
            </w:r>
          </w:p>
        </w:tc>
        <w:tc>
          <w:tcPr>
            <w:tcW w:w="805" w:type="pct"/>
          </w:tcPr>
          <w:p w14:paraId="34B674F9" w14:textId="77777777" w:rsidR="000E482F" w:rsidRPr="00407A2E" w:rsidRDefault="000E482F" w:rsidP="004C79C1">
            <w:pPr>
              <w:pStyle w:val="TableHeading"/>
              <w:tabs>
                <w:tab w:val="decimal" w:pos="527"/>
              </w:tabs>
              <w:spacing w:before="0" w:after="120"/>
              <w:jc w:val="center"/>
              <w:rPr>
                <w:b w:val="0"/>
              </w:rPr>
            </w:pPr>
            <w:r>
              <w:rPr>
                <w:b w:val="0"/>
              </w:rPr>
              <w:t>-</w:t>
            </w:r>
          </w:p>
        </w:tc>
        <w:tc>
          <w:tcPr>
            <w:tcW w:w="804" w:type="pct"/>
          </w:tcPr>
          <w:p w14:paraId="56B24D19" w14:textId="77777777" w:rsidR="000E482F" w:rsidRPr="00407A2E" w:rsidRDefault="000E482F" w:rsidP="004C79C1">
            <w:pPr>
              <w:pStyle w:val="TableHeading"/>
              <w:tabs>
                <w:tab w:val="decimal" w:pos="527"/>
              </w:tabs>
              <w:spacing w:before="0" w:after="120"/>
              <w:jc w:val="center"/>
              <w:rPr>
                <w:b w:val="0"/>
              </w:rPr>
            </w:pPr>
            <w:r>
              <w:rPr>
                <w:b w:val="0"/>
              </w:rPr>
              <w:t>-</w:t>
            </w:r>
          </w:p>
        </w:tc>
      </w:tr>
      <w:tr w:rsidR="000E482F" w:rsidRPr="00407A2E" w14:paraId="1DBF3EDF" w14:textId="77777777" w:rsidTr="00723891">
        <w:tc>
          <w:tcPr>
            <w:tcW w:w="1709" w:type="pct"/>
          </w:tcPr>
          <w:p w14:paraId="0DEF844C" w14:textId="77777777" w:rsidR="000E482F" w:rsidRPr="007F5194" w:rsidRDefault="000E482F" w:rsidP="004C79C1">
            <w:pPr>
              <w:pStyle w:val="TableHeading"/>
              <w:spacing w:before="0" w:after="120"/>
              <w:rPr>
                <w:b w:val="0"/>
              </w:rPr>
            </w:pPr>
            <w:r w:rsidRPr="007F5194">
              <w:rPr>
                <w:b w:val="0"/>
              </w:rPr>
              <w:t>CTCA</w:t>
            </w:r>
          </w:p>
        </w:tc>
        <w:tc>
          <w:tcPr>
            <w:tcW w:w="805" w:type="pct"/>
          </w:tcPr>
          <w:p w14:paraId="38B31FD7" w14:textId="1A7E6D8A" w:rsidR="000E482F" w:rsidRPr="007F5194" w:rsidRDefault="000E482F" w:rsidP="004C79C1">
            <w:pPr>
              <w:pStyle w:val="TableHeading"/>
              <w:tabs>
                <w:tab w:val="decimal" w:pos="527"/>
              </w:tabs>
              <w:spacing w:before="0" w:after="120"/>
              <w:jc w:val="center"/>
              <w:rPr>
                <w:b w:val="0"/>
              </w:rPr>
            </w:pPr>
            <w:r w:rsidRPr="007F5194">
              <w:rPr>
                <w:b w:val="0"/>
              </w:rPr>
              <w:t>$</w:t>
            </w:r>
            <w:r w:rsidR="00784480">
              <w:rPr>
                <w:b w:val="0"/>
              </w:rPr>
              <w:t>650</w:t>
            </w:r>
          </w:p>
        </w:tc>
        <w:tc>
          <w:tcPr>
            <w:tcW w:w="877" w:type="pct"/>
          </w:tcPr>
          <w:p w14:paraId="4AD958D7" w14:textId="77242F0D" w:rsidR="000E482F" w:rsidRPr="007F5194" w:rsidRDefault="000E482F" w:rsidP="004C79C1">
            <w:pPr>
              <w:pStyle w:val="TableHeading"/>
              <w:tabs>
                <w:tab w:val="decimal" w:pos="527"/>
              </w:tabs>
              <w:spacing w:before="0" w:after="120"/>
              <w:jc w:val="center"/>
              <w:rPr>
                <w:b w:val="0"/>
              </w:rPr>
            </w:pPr>
            <w:r w:rsidRPr="007F5194">
              <w:rPr>
                <w:b w:val="0"/>
              </w:rPr>
              <w:t>$4</w:t>
            </w:r>
            <w:r w:rsidR="00784480">
              <w:rPr>
                <w:b w:val="0"/>
              </w:rPr>
              <w:t>3</w:t>
            </w:r>
          </w:p>
        </w:tc>
        <w:tc>
          <w:tcPr>
            <w:tcW w:w="805" w:type="pct"/>
          </w:tcPr>
          <w:p w14:paraId="0F3212DD" w14:textId="77777777" w:rsidR="000E482F" w:rsidRPr="00407A2E" w:rsidRDefault="000E482F" w:rsidP="004C79C1">
            <w:pPr>
              <w:pStyle w:val="TableHeading"/>
              <w:tabs>
                <w:tab w:val="decimal" w:pos="527"/>
              </w:tabs>
              <w:spacing w:before="0" w:after="120"/>
              <w:jc w:val="center"/>
              <w:rPr>
                <w:b w:val="0"/>
              </w:rPr>
            </w:pPr>
            <w:r>
              <w:rPr>
                <w:b w:val="0"/>
              </w:rPr>
              <w:t>-</w:t>
            </w:r>
          </w:p>
        </w:tc>
        <w:tc>
          <w:tcPr>
            <w:tcW w:w="804" w:type="pct"/>
          </w:tcPr>
          <w:p w14:paraId="0F0A6B33" w14:textId="77777777" w:rsidR="000E482F" w:rsidRPr="00407A2E" w:rsidRDefault="000E482F" w:rsidP="004C79C1">
            <w:pPr>
              <w:pStyle w:val="TableHeading"/>
              <w:tabs>
                <w:tab w:val="decimal" w:pos="527"/>
              </w:tabs>
              <w:spacing w:before="0" w:after="120"/>
              <w:jc w:val="center"/>
              <w:rPr>
                <w:b w:val="0"/>
              </w:rPr>
            </w:pPr>
            <w:r>
              <w:rPr>
                <w:b w:val="0"/>
              </w:rPr>
              <w:t>-</w:t>
            </w:r>
          </w:p>
        </w:tc>
      </w:tr>
      <w:tr w:rsidR="000E482F" w:rsidRPr="00407A2E" w14:paraId="4B380790" w14:textId="77777777" w:rsidTr="00723891">
        <w:tc>
          <w:tcPr>
            <w:tcW w:w="1709" w:type="pct"/>
          </w:tcPr>
          <w:p w14:paraId="4CDBC575" w14:textId="77777777" w:rsidR="000E482F" w:rsidRPr="007F5194" w:rsidRDefault="000E482F" w:rsidP="004C79C1">
            <w:pPr>
              <w:pStyle w:val="TableHeading"/>
              <w:spacing w:before="0" w:after="120"/>
              <w:rPr>
                <w:b w:val="0"/>
              </w:rPr>
            </w:pPr>
            <w:r w:rsidRPr="007F5194">
              <w:rPr>
                <w:b w:val="0"/>
              </w:rPr>
              <w:t>SPECT</w:t>
            </w:r>
          </w:p>
        </w:tc>
        <w:tc>
          <w:tcPr>
            <w:tcW w:w="805" w:type="pct"/>
          </w:tcPr>
          <w:p w14:paraId="2632E82E" w14:textId="3C38E557" w:rsidR="000E482F" w:rsidRPr="007F5194" w:rsidRDefault="000E482F" w:rsidP="004C79C1">
            <w:pPr>
              <w:pStyle w:val="TableHeading"/>
              <w:tabs>
                <w:tab w:val="decimal" w:pos="527"/>
              </w:tabs>
              <w:spacing w:before="0" w:after="120"/>
              <w:jc w:val="center"/>
              <w:rPr>
                <w:b w:val="0"/>
              </w:rPr>
            </w:pPr>
            <w:r w:rsidRPr="007F5194">
              <w:rPr>
                <w:b w:val="0"/>
              </w:rPr>
              <w:t>$52</w:t>
            </w:r>
            <w:r w:rsidR="00784480">
              <w:rPr>
                <w:b w:val="0"/>
              </w:rPr>
              <w:t>6</w:t>
            </w:r>
          </w:p>
        </w:tc>
        <w:tc>
          <w:tcPr>
            <w:tcW w:w="877" w:type="pct"/>
          </w:tcPr>
          <w:p w14:paraId="0A01FBEA" w14:textId="1419ED1B" w:rsidR="000E482F" w:rsidRPr="007F5194" w:rsidRDefault="000E482F" w:rsidP="004C79C1">
            <w:pPr>
              <w:pStyle w:val="TableHeading"/>
              <w:tabs>
                <w:tab w:val="decimal" w:pos="527"/>
              </w:tabs>
              <w:spacing w:before="0" w:after="120"/>
              <w:jc w:val="center"/>
              <w:rPr>
                <w:b w:val="0"/>
              </w:rPr>
            </w:pPr>
            <w:r w:rsidRPr="007F5194">
              <w:rPr>
                <w:b w:val="0"/>
              </w:rPr>
              <w:t>$1</w:t>
            </w:r>
            <w:r w:rsidR="00784480">
              <w:rPr>
                <w:b w:val="0"/>
              </w:rPr>
              <w:t>3</w:t>
            </w:r>
          </w:p>
        </w:tc>
        <w:tc>
          <w:tcPr>
            <w:tcW w:w="805" w:type="pct"/>
          </w:tcPr>
          <w:p w14:paraId="0929F343" w14:textId="77777777" w:rsidR="000E482F" w:rsidRPr="00407A2E" w:rsidRDefault="000E482F" w:rsidP="004C79C1">
            <w:pPr>
              <w:pStyle w:val="TableHeading"/>
              <w:tabs>
                <w:tab w:val="decimal" w:pos="527"/>
              </w:tabs>
              <w:spacing w:before="0" w:after="120"/>
              <w:jc w:val="center"/>
              <w:rPr>
                <w:b w:val="0"/>
              </w:rPr>
            </w:pPr>
            <w:r>
              <w:rPr>
                <w:b w:val="0"/>
              </w:rPr>
              <w:t>-</w:t>
            </w:r>
          </w:p>
        </w:tc>
        <w:tc>
          <w:tcPr>
            <w:tcW w:w="804" w:type="pct"/>
          </w:tcPr>
          <w:p w14:paraId="29660E1C" w14:textId="77777777" w:rsidR="000E482F" w:rsidRPr="00407A2E" w:rsidRDefault="000E482F" w:rsidP="004C79C1">
            <w:pPr>
              <w:pStyle w:val="TableHeading"/>
              <w:tabs>
                <w:tab w:val="decimal" w:pos="527"/>
              </w:tabs>
              <w:spacing w:before="0" w:after="120"/>
              <w:jc w:val="center"/>
              <w:rPr>
                <w:b w:val="0"/>
              </w:rPr>
            </w:pPr>
            <w:r>
              <w:rPr>
                <w:b w:val="0"/>
              </w:rPr>
              <w:t>-</w:t>
            </w:r>
          </w:p>
        </w:tc>
      </w:tr>
    </w:tbl>
    <w:p w14:paraId="3F86EC6A" w14:textId="357C99F3" w:rsidR="000E482F" w:rsidRDefault="00D408DD" w:rsidP="004C79C1">
      <w:pPr>
        <w:pStyle w:val="Tablenotes0"/>
        <w:spacing w:before="0" w:after="120"/>
      </w:pPr>
      <w:proofErr w:type="gramStart"/>
      <w:r w:rsidRPr="0024699B">
        <w:rPr>
          <w:b/>
          <w:vertAlign w:val="superscript"/>
        </w:rPr>
        <w:t>a</w:t>
      </w:r>
      <w:proofErr w:type="gramEnd"/>
      <w:r w:rsidRPr="00784480" w:rsidDel="00D408DD">
        <w:t xml:space="preserve"> </w:t>
      </w:r>
      <w:r w:rsidR="000E482F">
        <w:t>There is no MBS item for c</w:t>
      </w:r>
      <w:r w:rsidR="00A21115">
        <w:t>ontrast echocardiography</w:t>
      </w:r>
      <w:r w:rsidR="000E482F">
        <w:t xml:space="preserve">. </w:t>
      </w:r>
      <w:r w:rsidR="000E482F" w:rsidRPr="00C5468A">
        <w:t xml:space="preserve">As per MSAC </w:t>
      </w:r>
      <w:r w:rsidR="00CE5A01">
        <w:t>A</w:t>
      </w:r>
      <w:r w:rsidR="000E482F" w:rsidRPr="00C5468A">
        <w:t xml:space="preserve">pplication </w:t>
      </w:r>
      <w:r>
        <w:t xml:space="preserve">no. </w:t>
      </w:r>
      <w:r w:rsidR="000E482F" w:rsidRPr="00C5468A">
        <w:t>1129</w:t>
      </w:r>
      <w:r w:rsidR="000E482F">
        <w:t xml:space="preserve"> </w:t>
      </w:r>
      <w:r w:rsidR="000E482F">
        <w:fldChar w:fldCharType="begin"/>
      </w:r>
      <w:r w:rsidR="000E482F">
        <w:instrText xml:space="preserve"> ADDIN EN.CITE &lt;EndNote&gt;&lt;Cite&gt;&lt;Author&gt;Thavaneswaran&lt;/Author&gt;&lt;Year&gt;2010&lt;/Year&gt;&lt;RecNum&gt;173&lt;/RecNum&gt;&lt;DisplayText&gt;(Thavaneswaran et al. 2010)&lt;/DisplayText&gt;&lt;record&gt;&lt;rec-number&gt;173&lt;/rec-number&gt;&lt;foreign-keys&gt;&lt;key app="EN" db-id="pfxxvref0t0a5de2vwnv2fwkz0p9v0r2fw0t" timestamp="1461134371"&gt;173&lt;/key&gt;&lt;/foreign-keys&gt;&lt;ref-type name="Report"&gt;27&lt;/ref-type&gt;&lt;contributors&gt;&lt;authors&gt;&lt;author&gt;Prema Thavaneswaran&lt;/author&gt;&lt;author&gt;Alun Cameron&lt;/author&gt;&lt;author&gt;Meegan Vandepeer&lt;/author&gt;&lt;author&gt;Richard Norman&lt;/author&gt;&lt;/authors&gt;&lt;secondary-authors&gt;&lt;author&gt;Meg Heaslop&lt;/author&gt;&lt;/secondary-authors&gt;&lt;subsidiary-authors&gt;&lt;author&gt;Department of Health and Ageing&lt;/author&gt;&lt;/subsidiary-authors&gt;&lt;/contributors&gt;&lt;titles&gt;&lt;title&gt;Second-generation contrast agents for use in patients with suboptimal echocardiograms&lt;/title&gt;&lt;/titles&gt;&lt;number&gt;MSAC Application 1129&lt;/number&gt;&lt;dates&gt;&lt;year&gt;2010&lt;/year&gt;&lt;pub-dates&gt;&lt;date&gt;March 2010&lt;/date&gt;&lt;/pub-dates&gt;&lt;/dates&gt;&lt;pub-location&gt;Canberra&lt;/pub-location&gt;&lt;publisher&gt;Medical Services Advisory Committee&lt;/publisher&gt;&lt;isbn&gt;MSAC Application 1129&lt;/isbn&gt;&lt;urls&gt;&lt;/urls&gt;&lt;/record&gt;&lt;/Cite&gt;&lt;/EndNote&gt;</w:instrText>
      </w:r>
      <w:r w:rsidR="000E482F">
        <w:fldChar w:fldCharType="separate"/>
      </w:r>
      <w:r w:rsidR="000E482F">
        <w:rPr>
          <w:noProof/>
        </w:rPr>
        <w:t>(</w:t>
      </w:r>
      <w:hyperlink w:anchor="_ENREF_139" w:tooltip="Thavaneswaran, 2010 #173" w:history="1">
        <w:r w:rsidR="000E482F">
          <w:rPr>
            <w:noProof/>
          </w:rPr>
          <w:t>Thavaneswaran et al. 2010</w:t>
        </w:r>
      </w:hyperlink>
      <w:r w:rsidR="000E482F">
        <w:rPr>
          <w:noProof/>
        </w:rPr>
        <w:t>)</w:t>
      </w:r>
      <w:r w:rsidR="000E482F">
        <w:fldChar w:fldCharType="end"/>
      </w:r>
      <w:r w:rsidR="000E482F" w:rsidRPr="00C5468A">
        <w:t>, c</w:t>
      </w:r>
      <w:r w:rsidR="00A21115">
        <w:t>ontrast echocardiography</w:t>
      </w:r>
      <w:r w:rsidR="000E482F" w:rsidRPr="00C5468A">
        <w:t xml:space="preserve"> is assumed to be administered during the same </w:t>
      </w:r>
      <w:r>
        <w:t>procedure</w:t>
      </w:r>
      <w:r w:rsidRPr="00C5468A">
        <w:t xml:space="preserve"> </w:t>
      </w:r>
      <w:r w:rsidR="000E482F" w:rsidRPr="00C5468A">
        <w:t xml:space="preserve">as the original suboptimal </w:t>
      </w:r>
      <w:r w:rsidR="00A21115">
        <w:t>echocardiography</w:t>
      </w:r>
      <w:r w:rsidR="000E482F" w:rsidRPr="00C5468A">
        <w:t xml:space="preserve"> (Advisory Panel advice)</w:t>
      </w:r>
      <w:r w:rsidR="000E482F">
        <w:t xml:space="preserve">. There are additional costs for contrast, other consumables and extra time </w:t>
      </w:r>
      <w:r w:rsidR="003D59A3">
        <w:t xml:space="preserve">that </w:t>
      </w:r>
      <w:r w:rsidR="000E482F">
        <w:t>are not paid by MBS and are added to the patient contribution. Therefore,</w:t>
      </w:r>
      <w:r w:rsidR="007C27F0">
        <w:t xml:space="preserve"> </w:t>
      </w:r>
      <w:r w:rsidR="003D59A3">
        <w:t xml:space="preserve">the </w:t>
      </w:r>
      <w:r w:rsidR="000E482F">
        <w:t xml:space="preserve">average cost per service of </w:t>
      </w:r>
      <w:r w:rsidR="00A21115">
        <w:t xml:space="preserve">contrast echocardiography </w:t>
      </w:r>
      <w:r w:rsidR="000E482F">
        <w:t xml:space="preserve">is assumed to be </w:t>
      </w:r>
      <w:r w:rsidR="003D59A3">
        <w:t>$</w:t>
      </w:r>
      <w:r w:rsidR="000E482F">
        <w:t xml:space="preserve">0 for the MBS and only </w:t>
      </w:r>
      <w:r w:rsidR="003D59A3">
        <w:t xml:space="preserve">the </w:t>
      </w:r>
      <w:r w:rsidR="000E482F">
        <w:t>patient contribution is considered for this service.</w:t>
      </w:r>
    </w:p>
    <w:p w14:paraId="362874D3" w14:textId="02C8D7D2" w:rsidR="000E482F" w:rsidRDefault="00784480" w:rsidP="004C79C1">
      <w:pPr>
        <w:pStyle w:val="Tablenotes0"/>
        <w:spacing w:before="0" w:after="120"/>
      </w:pPr>
      <w:proofErr w:type="gramStart"/>
      <w:r>
        <w:t>cEcho</w:t>
      </w:r>
      <w:proofErr w:type="gramEnd"/>
      <w:r>
        <w:t xml:space="preserve"> = contrast echocardiography; </w:t>
      </w:r>
      <w:r w:rsidR="000E482F" w:rsidRPr="000B3E74">
        <w:t>CTCA</w:t>
      </w:r>
      <w:r w:rsidR="003D59A3">
        <w:t xml:space="preserve"> </w:t>
      </w:r>
      <w:r w:rsidR="000E482F" w:rsidRPr="000B3E74">
        <w:t>=</w:t>
      </w:r>
      <w:r w:rsidR="003D59A3">
        <w:t xml:space="preserve"> </w:t>
      </w:r>
      <w:r w:rsidR="000E482F" w:rsidRPr="000B3E74">
        <w:t xml:space="preserve">computed tomography coronary angiography; </w:t>
      </w:r>
      <w:r w:rsidR="000E482F">
        <w:t xml:space="preserve">GHPS = </w:t>
      </w:r>
      <w:r w:rsidR="000E482F" w:rsidRPr="00AF6E8D">
        <w:rPr>
          <w:bCs/>
          <w:color w:val="000000"/>
        </w:rPr>
        <w:t xml:space="preserve">gated </w:t>
      </w:r>
      <w:r w:rsidR="000E482F">
        <w:rPr>
          <w:bCs/>
          <w:color w:val="000000"/>
        </w:rPr>
        <w:t>heart</w:t>
      </w:r>
      <w:r w:rsidR="000E482F" w:rsidRPr="00AF6E8D">
        <w:rPr>
          <w:bCs/>
          <w:color w:val="000000"/>
        </w:rPr>
        <w:t xml:space="preserve"> pool scan</w:t>
      </w:r>
      <w:r w:rsidR="000E482F">
        <w:rPr>
          <w:bCs/>
          <w:color w:val="000000"/>
        </w:rPr>
        <w:t xml:space="preserve">; </w:t>
      </w:r>
      <w:r w:rsidR="000E482F" w:rsidRPr="000B3E74">
        <w:t>E</w:t>
      </w:r>
      <w:r w:rsidR="000E482F">
        <w:t xml:space="preserve">cho </w:t>
      </w:r>
      <w:r w:rsidR="000E482F" w:rsidRPr="000B3E74">
        <w:t>=</w:t>
      </w:r>
      <w:r w:rsidR="000E482F">
        <w:t xml:space="preserve"> </w:t>
      </w:r>
      <w:r w:rsidR="000E482F" w:rsidRPr="000B3E74">
        <w:t>echocardiography;</w:t>
      </w:r>
      <w:r w:rsidR="000E482F">
        <w:t xml:space="preserve"> ICA = invasive coronary angiography;</w:t>
      </w:r>
      <w:r w:rsidR="000E482F" w:rsidRPr="000B3E74">
        <w:t xml:space="preserve"> </w:t>
      </w:r>
      <w:r w:rsidR="000E482F">
        <w:t>MBS</w:t>
      </w:r>
      <w:r w:rsidR="003D59A3">
        <w:t xml:space="preserve"> </w:t>
      </w:r>
      <w:r w:rsidR="000E482F">
        <w:t>=</w:t>
      </w:r>
      <w:r w:rsidR="003D59A3">
        <w:t xml:space="preserve"> </w:t>
      </w:r>
      <w:r w:rsidR="000E482F">
        <w:t xml:space="preserve">Medicare Benefits Schedule; </w:t>
      </w:r>
      <w:r w:rsidR="000E482F" w:rsidRPr="000B3E74">
        <w:t>SPECT</w:t>
      </w:r>
      <w:r w:rsidR="003D59A3">
        <w:t xml:space="preserve"> </w:t>
      </w:r>
      <w:r w:rsidR="000E482F" w:rsidRPr="000B3E74">
        <w:t>=</w:t>
      </w:r>
      <w:r w:rsidR="000E482F">
        <w:t xml:space="preserve"> </w:t>
      </w:r>
      <w:r w:rsidR="000E482F" w:rsidRPr="000B3E74">
        <w:t>single</w:t>
      </w:r>
      <w:r w:rsidR="003D59A3">
        <w:t>-</w:t>
      </w:r>
      <w:r w:rsidR="000E482F" w:rsidRPr="000B3E74">
        <w:t>photon emission computed tomography</w:t>
      </w:r>
      <w:r w:rsidR="000E482F">
        <w:t>; PHI = private health insur</w:t>
      </w:r>
      <w:r w:rsidR="003D59A3">
        <w:t>er</w:t>
      </w:r>
    </w:p>
    <w:p w14:paraId="4916A615" w14:textId="795C4039" w:rsidR="000E482F" w:rsidRDefault="000E482F" w:rsidP="004C79C1">
      <w:pPr>
        <w:spacing w:after="120" w:line="240" w:lineRule="auto"/>
        <w:jc w:val="both"/>
        <w:rPr>
          <w:lang w:eastAsia="en-US"/>
        </w:rPr>
      </w:pPr>
      <w:r>
        <w:rPr>
          <w:lang w:eastAsia="en-US"/>
        </w:rPr>
        <w:t xml:space="preserve">The cost offset with the introduction of CMR for diagnosis or diagnostic </w:t>
      </w:r>
      <w:proofErr w:type="gramStart"/>
      <w:r>
        <w:rPr>
          <w:lang w:eastAsia="en-US"/>
        </w:rPr>
        <w:t xml:space="preserve">clarification of DCM in the proposed populations </w:t>
      </w:r>
      <w:r w:rsidR="00D434DD">
        <w:rPr>
          <w:lang w:eastAsia="en-US"/>
        </w:rPr>
        <w:t>are</w:t>
      </w:r>
      <w:proofErr w:type="gramEnd"/>
      <w:r w:rsidR="00D434DD">
        <w:rPr>
          <w:lang w:eastAsia="en-US"/>
        </w:rPr>
        <w:t xml:space="preserve"> </w:t>
      </w:r>
      <w:r>
        <w:rPr>
          <w:lang w:eastAsia="en-US"/>
        </w:rPr>
        <w:t xml:space="preserve">presented in </w:t>
      </w:r>
      <w:r w:rsidR="00784480">
        <w:rPr>
          <w:lang w:eastAsia="en-US"/>
        </w:rPr>
        <w:fldChar w:fldCharType="begin"/>
      </w:r>
      <w:r w:rsidR="00784480">
        <w:rPr>
          <w:lang w:eastAsia="en-US"/>
        </w:rPr>
        <w:instrText xml:space="preserve"> REF _Ref436995581 \h </w:instrText>
      </w:r>
      <w:r w:rsidR="00784480">
        <w:rPr>
          <w:lang w:eastAsia="en-US"/>
        </w:rPr>
      </w:r>
      <w:r w:rsidR="00784480">
        <w:rPr>
          <w:lang w:eastAsia="en-US"/>
        </w:rPr>
        <w:fldChar w:fldCharType="separate"/>
      </w:r>
      <w:r w:rsidR="00784480">
        <w:t xml:space="preserve">Table </w:t>
      </w:r>
      <w:r w:rsidR="00784480">
        <w:rPr>
          <w:noProof/>
        </w:rPr>
        <w:t>70</w:t>
      </w:r>
      <w:r w:rsidR="00784480">
        <w:rPr>
          <w:lang w:eastAsia="en-US"/>
        </w:rPr>
        <w:fldChar w:fldCharType="end"/>
      </w:r>
      <w:r>
        <w:rPr>
          <w:lang w:eastAsia="en-US"/>
        </w:rPr>
        <w:t>.</w:t>
      </w:r>
    </w:p>
    <w:p w14:paraId="04EE4EE5" w14:textId="325FD07E" w:rsidR="000E482F" w:rsidRDefault="000E482F" w:rsidP="004C79C1">
      <w:pPr>
        <w:pStyle w:val="Caption"/>
        <w:keepNext/>
      </w:pPr>
      <w:bookmarkStart w:id="725" w:name="_Ref436995581"/>
      <w:bookmarkStart w:id="726" w:name="_Toc437435452"/>
      <w:bookmarkStart w:id="727" w:name="_Toc449555030"/>
      <w:bookmarkStart w:id="728" w:name="_Toc324410241"/>
      <w:bookmarkStart w:id="729" w:name="_Toc451435397"/>
      <w:r>
        <w:t xml:space="preserve">Table </w:t>
      </w:r>
      <w:fldSimple w:instr=" SEQ Table \* ARABIC ">
        <w:r w:rsidR="00050936">
          <w:rPr>
            <w:noProof/>
          </w:rPr>
          <w:t>70</w:t>
        </w:r>
      </w:fldSimple>
      <w:bookmarkEnd w:id="725"/>
      <w:r>
        <w:tab/>
        <w:t xml:space="preserve">Total cost offsets by CMR testing for </w:t>
      </w:r>
      <w:bookmarkEnd w:id="726"/>
      <w:r>
        <w:t>DCM</w:t>
      </w:r>
      <w:bookmarkEnd w:id="727"/>
      <w:bookmarkEnd w:id="728"/>
      <w:bookmarkEnd w:id="729"/>
    </w:p>
    <w:tbl>
      <w:tblPr>
        <w:tblStyle w:val="TableGrid"/>
        <w:tblW w:w="5000" w:type="pct"/>
        <w:tblLayout w:type="fixed"/>
        <w:tblLook w:val="04A0" w:firstRow="1" w:lastRow="0" w:firstColumn="1" w:lastColumn="0" w:noHBand="0" w:noVBand="1"/>
        <w:tblCaption w:val="Total cost offsets by CMR testing for DCM"/>
        <w:tblDescription w:val="Total cost offsets by CMR testing for DCM"/>
      </w:tblPr>
      <w:tblGrid>
        <w:gridCol w:w="2029"/>
        <w:gridCol w:w="1453"/>
        <w:gridCol w:w="1453"/>
        <w:gridCol w:w="1453"/>
        <w:gridCol w:w="1455"/>
        <w:gridCol w:w="1399"/>
      </w:tblGrid>
      <w:tr w:rsidR="00784480" w:rsidRPr="00795E7B" w14:paraId="54DAB611" w14:textId="77777777" w:rsidTr="00784480">
        <w:trPr>
          <w:tblHeader/>
        </w:trPr>
        <w:tc>
          <w:tcPr>
            <w:tcW w:w="1098" w:type="pct"/>
          </w:tcPr>
          <w:p w14:paraId="455563CF" w14:textId="77777777" w:rsidR="000E482F" w:rsidRPr="00795E7B" w:rsidRDefault="000E482F" w:rsidP="004C79C1">
            <w:pPr>
              <w:pStyle w:val="TableHeading"/>
              <w:spacing w:before="0" w:after="120"/>
            </w:pPr>
          </w:p>
        </w:tc>
        <w:tc>
          <w:tcPr>
            <w:tcW w:w="786" w:type="pct"/>
            <w:vAlign w:val="center"/>
          </w:tcPr>
          <w:p w14:paraId="77E2D403" w14:textId="4ED1A8D4" w:rsidR="000E482F" w:rsidRPr="00795E7B" w:rsidRDefault="000E482F" w:rsidP="004C79C1">
            <w:pPr>
              <w:pStyle w:val="TableHeading"/>
              <w:spacing w:before="0" w:after="120"/>
              <w:jc w:val="center"/>
            </w:pPr>
            <w:r w:rsidRPr="00795E7B">
              <w:t>2016</w:t>
            </w:r>
            <w:r w:rsidR="00057B52">
              <w:t>–</w:t>
            </w:r>
            <w:r w:rsidRPr="00795E7B">
              <w:t>17</w:t>
            </w:r>
          </w:p>
        </w:tc>
        <w:tc>
          <w:tcPr>
            <w:tcW w:w="786" w:type="pct"/>
            <w:vAlign w:val="center"/>
          </w:tcPr>
          <w:p w14:paraId="53EC72CC" w14:textId="5C46B1B8" w:rsidR="000E482F" w:rsidRPr="00795E7B" w:rsidRDefault="000E482F" w:rsidP="004C79C1">
            <w:pPr>
              <w:pStyle w:val="TableHeading"/>
              <w:spacing w:before="0" w:after="120"/>
              <w:jc w:val="center"/>
            </w:pPr>
            <w:r w:rsidRPr="00795E7B">
              <w:t>2017</w:t>
            </w:r>
            <w:r w:rsidR="00057B52">
              <w:t>–</w:t>
            </w:r>
            <w:r w:rsidRPr="00795E7B">
              <w:t>18</w:t>
            </w:r>
          </w:p>
        </w:tc>
        <w:tc>
          <w:tcPr>
            <w:tcW w:w="786" w:type="pct"/>
            <w:vAlign w:val="center"/>
          </w:tcPr>
          <w:p w14:paraId="30FCD1C1" w14:textId="1F1CBE7B" w:rsidR="000E482F" w:rsidRPr="00795E7B" w:rsidRDefault="000E482F" w:rsidP="004C79C1">
            <w:pPr>
              <w:pStyle w:val="TableHeading"/>
              <w:spacing w:before="0" w:after="120"/>
              <w:jc w:val="center"/>
            </w:pPr>
            <w:r w:rsidRPr="00795E7B">
              <w:t>2018</w:t>
            </w:r>
            <w:r w:rsidR="00057B52">
              <w:t>–</w:t>
            </w:r>
            <w:r w:rsidRPr="00795E7B">
              <w:t>19</w:t>
            </w:r>
          </w:p>
        </w:tc>
        <w:tc>
          <w:tcPr>
            <w:tcW w:w="787" w:type="pct"/>
            <w:vAlign w:val="center"/>
          </w:tcPr>
          <w:p w14:paraId="6E07A430" w14:textId="2CC437F8" w:rsidR="000E482F" w:rsidRPr="00795E7B" w:rsidRDefault="000E482F" w:rsidP="004C79C1">
            <w:pPr>
              <w:pStyle w:val="TableHeading"/>
              <w:spacing w:before="0" w:after="120"/>
              <w:jc w:val="center"/>
            </w:pPr>
            <w:r w:rsidRPr="00795E7B">
              <w:t>2019</w:t>
            </w:r>
            <w:r w:rsidR="00057B52">
              <w:t>–</w:t>
            </w:r>
            <w:r w:rsidRPr="00795E7B">
              <w:t>20</w:t>
            </w:r>
          </w:p>
        </w:tc>
        <w:tc>
          <w:tcPr>
            <w:tcW w:w="757" w:type="pct"/>
            <w:vAlign w:val="center"/>
          </w:tcPr>
          <w:p w14:paraId="3632C5CA" w14:textId="7EA40346" w:rsidR="000E482F" w:rsidRPr="00795E7B" w:rsidRDefault="000E482F" w:rsidP="004C79C1">
            <w:pPr>
              <w:pStyle w:val="TableHeading"/>
              <w:spacing w:before="0" w:after="120"/>
              <w:jc w:val="center"/>
            </w:pPr>
            <w:r w:rsidRPr="00795E7B">
              <w:t>2020</w:t>
            </w:r>
            <w:r w:rsidR="00057B52">
              <w:t>–</w:t>
            </w:r>
            <w:r w:rsidRPr="00795E7B">
              <w:t>21</w:t>
            </w:r>
          </w:p>
        </w:tc>
      </w:tr>
      <w:tr w:rsidR="00784480" w:rsidRPr="004120EB" w14:paraId="6888E915" w14:textId="77777777" w:rsidTr="00784480">
        <w:tc>
          <w:tcPr>
            <w:tcW w:w="1098" w:type="pct"/>
            <w:tcBorders>
              <w:right w:val="nil"/>
            </w:tcBorders>
            <w:vAlign w:val="center"/>
          </w:tcPr>
          <w:p w14:paraId="6587824A" w14:textId="7D642DCE" w:rsidR="000E482F" w:rsidRPr="004120EB" w:rsidRDefault="000E482F" w:rsidP="004C79C1">
            <w:pPr>
              <w:pStyle w:val="Tabletext1"/>
              <w:spacing w:before="0" w:after="120"/>
              <w:rPr>
                <w:b/>
                <w:i/>
              </w:rPr>
            </w:pPr>
            <w:r w:rsidRPr="004120EB">
              <w:rPr>
                <w:b/>
                <w:i/>
              </w:rPr>
              <w:t>Number</w:t>
            </w:r>
            <w:r w:rsidR="00057B52">
              <w:rPr>
                <w:b/>
                <w:i/>
              </w:rPr>
              <w:t xml:space="preserve"> of</w:t>
            </w:r>
            <w:r w:rsidRPr="004120EB">
              <w:rPr>
                <w:b/>
                <w:i/>
              </w:rPr>
              <w:t xml:space="preserve"> tests offset</w:t>
            </w:r>
          </w:p>
        </w:tc>
        <w:tc>
          <w:tcPr>
            <w:tcW w:w="786" w:type="pct"/>
            <w:tcBorders>
              <w:left w:val="nil"/>
              <w:right w:val="nil"/>
            </w:tcBorders>
            <w:vAlign w:val="center"/>
          </w:tcPr>
          <w:p w14:paraId="1A9E421A"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445AA487"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6466BB03" w14:textId="77777777" w:rsidR="000E482F" w:rsidRPr="004120EB" w:rsidRDefault="000E482F" w:rsidP="004C79C1">
            <w:pPr>
              <w:pStyle w:val="Tabletext1"/>
              <w:spacing w:before="0" w:after="120"/>
              <w:jc w:val="center"/>
              <w:rPr>
                <w:b/>
                <w:i/>
              </w:rPr>
            </w:pPr>
            <w:r w:rsidRPr="004120EB">
              <w:rPr>
                <w:b/>
                <w:i/>
              </w:rPr>
              <w:t>-</w:t>
            </w:r>
          </w:p>
        </w:tc>
        <w:tc>
          <w:tcPr>
            <w:tcW w:w="787" w:type="pct"/>
            <w:tcBorders>
              <w:left w:val="nil"/>
              <w:right w:val="nil"/>
            </w:tcBorders>
            <w:vAlign w:val="center"/>
          </w:tcPr>
          <w:p w14:paraId="5421587A" w14:textId="77777777" w:rsidR="000E482F" w:rsidRPr="004120EB" w:rsidRDefault="000E482F" w:rsidP="004C79C1">
            <w:pPr>
              <w:pStyle w:val="Tabletext1"/>
              <w:spacing w:before="0" w:after="120"/>
              <w:jc w:val="center"/>
              <w:rPr>
                <w:b/>
                <w:i/>
              </w:rPr>
            </w:pPr>
            <w:r w:rsidRPr="004120EB">
              <w:rPr>
                <w:b/>
                <w:i/>
              </w:rPr>
              <w:t>-</w:t>
            </w:r>
          </w:p>
        </w:tc>
        <w:tc>
          <w:tcPr>
            <w:tcW w:w="757" w:type="pct"/>
            <w:tcBorders>
              <w:left w:val="nil"/>
            </w:tcBorders>
            <w:vAlign w:val="center"/>
          </w:tcPr>
          <w:p w14:paraId="1E4C19DD" w14:textId="77777777" w:rsidR="000E482F" w:rsidRPr="004120EB" w:rsidRDefault="000E482F" w:rsidP="004C79C1">
            <w:pPr>
              <w:pStyle w:val="Tabletext1"/>
              <w:spacing w:before="0" w:after="120"/>
              <w:jc w:val="center"/>
              <w:rPr>
                <w:b/>
                <w:i/>
              </w:rPr>
            </w:pPr>
            <w:r w:rsidRPr="004120EB">
              <w:rPr>
                <w:b/>
                <w:i/>
              </w:rPr>
              <w:t>-</w:t>
            </w:r>
          </w:p>
        </w:tc>
      </w:tr>
      <w:tr w:rsidR="00784480" w:rsidRPr="004120EB" w14:paraId="5FC73904" w14:textId="77777777" w:rsidTr="00784480">
        <w:tc>
          <w:tcPr>
            <w:tcW w:w="1098" w:type="pct"/>
            <w:vAlign w:val="bottom"/>
          </w:tcPr>
          <w:p w14:paraId="6762B480" w14:textId="77777777" w:rsidR="000E482F" w:rsidRPr="002C12E9" w:rsidRDefault="000E482F" w:rsidP="004C79C1">
            <w:pPr>
              <w:pStyle w:val="Tabletext1"/>
              <w:spacing w:before="0" w:after="120"/>
            </w:pPr>
            <w:r w:rsidRPr="002C12E9">
              <w:t>G</w:t>
            </w:r>
            <w:r>
              <w:t>H</w:t>
            </w:r>
            <w:r w:rsidRPr="002C12E9">
              <w:t>PS</w:t>
            </w:r>
          </w:p>
        </w:tc>
        <w:tc>
          <w:tcPr>
            <w:tcW w:w="786" w:type="pct"/>
            <w:vAlign w:val="center"/>
          </w:tcPr>
          <w:p w14:paraId="50B38597" w14:textId="77777777" w:rsidR="000E482F" w:rsidRPr="002C12E9" w:rsidRDefault="000E482F" w:rsidP="004C79C1">
            <w:pPr>
              <w:pStyle w:val="Tabletext1"/>
              <w:spacing w:before="0" w:after="120"/>
              <w:ind w:right="418"/>
              <w:jc w:val="right"/>
            </w:pPr>
            <w:r w:rsidRPr="002C12E9">
              <w:rPr>
                <w:color w:val="000000"/>
              </w:rPr>
              <w:t>517</w:t>
            </w:r>
          </w:p>
        </w:tc>
        <w:tc>
          <w:tcPr>
            <w:tcW w:w="786" w:type="pct"/>
            <w:vAlign w:val="center"/>
          </w:tcPr>
          <w:p w14:paraId="1218CBB3" w14:textId="77777777" w:rsidR="000E482F" w:rsidRPr="002C12E9" w:rsidRDefault="000E482F" w:rsidP="004C79C1">
            <w:pPr>
              <w:pStyle w:val="Tabletext1"/>
              <w:spacing w:before="0" w:after="120"/>
              <w:ind w:right="418"/>
              <w:jc w:val="right"/>
            </w:pPr>
            <w:r w:rsidRPr="002C12E9">
              <w:rPr>
                <w:color w:val="000000"/>
              </w:rPr>
              <w:t>526</w:t>
            </w:r>
          </w:p>
        </w:tc>
        <w:tc>
          <w:tcPr>
            <w:tcW w:w="786" w:type="pct"/>
            <w:vAlign w:val="center"/>
          </w:tcPr>
          <w:p w14:paraId="5C4B3D56" w14:textId="77777777" w:rsidR="000E482F" w:rsidRPr="002C12E9" w:rsidRDefault="000E482F" w:rsidP="004C79C1">
            <w:pPr>
              <w:pStyle w:val="Tabletext1"/>
              <w:spacing w:before="0" w:after="120"/>
              <w:ind w:right="418"/>
              <w:jc w:val="right"/>
            </w:pPr>
            <w:r w:rsidRPr="002C12E9">
              <w:rPr>
                <w:color w:val="000000"/>
              </w:rPr>
              <w:t>535</w:t>
            </w:r>
          </w:p>
        </w:tc>
        <w:tc>
          <w:tcPr>
            <w:tcW w:w="787" w:type="pct"/>
            <w:vAlign w:val="center"/>
          </w:tcPr>
          <w:p w14:paraId="4D7CE5A2" w14:textId="77777777" w:rsidR="000E482F" w:rsidRPr="002C12E9" w:rsidRDefault="000E482F" w:rsidP="004C79C1">
            <w:pPr>
              <w:pStyle w:val="Tabletext1"/>
              <w:spacing w:before="0" w:after="120"/>
              <w:ind w:right="418"/>
              <w:jc w:val="right"/>
            </w:pPr>
            <w:r w:rsidRPr="002C12E9">
              <w:rPr>
                <w:color w:val="000000"/>
              </w:rPr>
              <w:t>544</w:t>
            </w:r>
          </w:p>
        </w:tc>
        <w:tc>
          <w:tcPr>
            <w:tcW w:w="757" w:type="pct"/>
            <w:vAlign w:val="center"/>
          </w:tcPr>
          <w:p w14:paraId="4B824614" w14:textId="77777777" w:rsidR="000E482F" w:rsidRPr="002C12E9" w:rsidRDefault="000E482F" w:rsidP="004C79C1">
            <w:pPr>
              <w:pStyle w:val="Tabletext1"/>
              <w:spacing w:before="0" w:after="120"/>
              <w:ind w:right="418"/>
              <w:jc w:val="right"/>
            </w:pPr>
            <w:r w:rsidRPr="002C12E9">
              <w:rPr>
                <w:color w:val="000000"/>
              </w:rPr>
              <w:t>552</w:t>
            </w:r>
          </w:p>
        </w:tc>
      </w:tr>
      <w:tr w:rsidR="00784480" w:rsidRPr="004120EB" w14:paraId="7BD83171" w14:textId="77777777" w:rsidTr="00784480">
        <w:tc>
          <w:tcPr>
            <w:tcW w:w="1098" w:type="pct"/>
            <w:vAlign w:val="bottom"/>
          </w:tcPr>
          <w:p w14:paraId="78E340CA" w14:textId="75256141" w:rsidR="000E482F" w:rsidRPr="002C12E9" w:rsidRDefault="00784480" w:rsidP="004C79C1">
            <w:pPr>
              <w:pStyle w:val="Tabletext1"/>
              <w:spacing w:before="0" w:after="120"/>
            </w:pPr>
            <w:r>
              <w:t xml:space="preserve">Contrast </w:t>
            </w:r>
            <w:r w:rsidR="000E482F" w:rsidRPr="002C12E9">
              <w:t>Echo</w:t>
            </w:r>
          </w:p>
        </w:tc>
        <w:tc>
          <w:tcPr>
            <w:tcW w:w="786" w:type="pct"/>
            <w:vAlign w:val="center"/>
          </w:tcPr>
          <w:p w14:paraId="41398CA1" w14:textId="77777777" w:rsidR="000E482F" w:rsidRPr="002C12E9" w:rsidRDefault="000E482F" w:rsidP="004C79C1">
            <w:pPr>
              <w:pStyle w:val="Tabletext1"/>
              <w:spacing w:before="0" w:after="120"/>
              <w:ind w:right="418"/>
              <w:jc w:val="right"/>
            </w:pPr>
            <w:r w:rsidRPr="002C12E9">
              <w:rPr>
                <w:color w:val="000000"/>
              </w:rPr>
              <w:t>128</w:t>
            </w:r>
          </w:p>
        </w:tc>
        <w:tc>
          <w:tcPr>
            <w:tcW w:w="786" w:type="pct"/>
            <w:vAlign w:val="center"/>
          </w:tcPr>
          <w:p w14:paraId="57D4D115" w14:textId="77777777" w:rsidR="000E482F" w:rsidRPr="002C12E9" w:rsidRDefault="000E482F" w:rsidP="004C79C1">
            <w:pPr>
              <w:pStyle w:val="Tabletext1"/>
              <w:spacing w:before="0" w:after="120"/>
              <w:ind w:right="418"/>
              <w:jc w:val="right"/>
            </w:pPr>
            <w:r w:rsidRPr="002C12E9">
              <w:rPr>
                <w:color w:val="000000"/>
              </w:rPr>
              <w:t>130</w:t>
            </w:r>
          </w:p>
        </w:tc>
        <w:tc>
          <w:tcPr>
            <w:tcW w:w="786" w:type="pct"/>
            <w:vAlign w:val="center"/>
          </w:tcPr>
          <w:p w14:paraId="1A65EF3E" w14:textId="77777777" w:rsidR="000E482F" w:rsidRPr="002C12E9" w:rsidRDefault="000E482F" w:rsidP="004C79C1">
            <w:pPr>
              <w:pStyle w:val="Tabletext1"/>
              <w:spacing w:before="0" w:after="120"/>
              <w:ind w:right="418"/>
              <w:jc w:val="right"/>
            </w:pPr>
            <w:r w:rsidRPr="002C12E9">
              <w:rPr>
                <w:color w:val="000000"/>
              </w:rPr>
              <w:t>132</w:t>
            </w:r>
          </w:p>
        </w:tc>
        <w:tc>
          <w:tcPr>
            <w:tcW w:w="787" w:type="pct"/>
            <w:vAlign w:val="center"/>
          </w:tcPr>
          <w:p w14:paraId="5397E47B" w14:textId="77777777" w:rsidR="000E482F" w:rsidRPr="002C12E9" w:rsidRDefault="000E482F" w:rsidP="004C79C1">
            <w:pPr>
              <w:pStyle w:val="Tabletext1"/>
              <w:spacing w:before="0" w:after="120"/>
              <w:ind w:right="418"/>
              <w:jc w:val="right"/>
            </w:pPr>
            <w:r w:rsidRPr="002C12E9">
              <w:rPr>
                <w:color w:val="000000"/>
              </w:rPr>
              <w:t>134</w:t>
            </w:r>
          </w:p>
        </w:tc>
        <w:tc>
          <w:tcPr>
            <w:tcW w:w="757" w:type="pct"/>
            <w:vAlign w:val="center"/>
          </w:tcPr>
          <w:p w14:paraId="05251D0D" w14:textId="77777777" w:rsidR="000E482F" w:rsidRPr="002C12E9" w:rsidRDefault="000E482F" w:rsidP="004C79C1">
            <w:pPr>
              <w:pStyle w:val="Tabletext1"/>
              <w:spacing w:before="0" w:after="120"/>
              <w:ind w:right="418"/>
              <w:jc w:val="right"/>
            </w:pPr>
            <w:r w:rsidRPr="002C12E9">
              <w:rPr>
                <w:color w:val="000000"/>
              </w:rPr>
              <w:t>137</w:t>
            </w:r>
          </w:p>
        </w:tc>
      </w:tr>
      <w:tr w:rsidR="00784480" w:rsidRPr="004120EB" w14:paraId="49930D48" w14:textId="77777777" w:rsidTr="00784480">
        <w:tc>
          <w:tcPr>
            <w:tcW w:w="1098" w:type="pct"/>
          </w:tcPr>
          <w:p w14:paraId="2FEDC552" w14:textId="77777777" w:rsidR="000E482F" w:rsidRPr="002C12E9" w:rsidRDefault="000E482F" w:rsidP="004C79C1">
            <w:pPr>
              <w:pStyle w:val="Tabletext1"/>
              <w:spacing w:before="0" w:after="120"/>
            </w:pPr>
            <w:r w:rsidRPr="00C7004C">
              <w:t>ICA</w:t>
            </w:r>
          </w:p>
        </w:tc>
        <w:tc>
          <w:tcPr>
            <w:tcW w:w="786" w:type="pct"/>
            <w:vAlign w:val="center"/>
          </w:tcPr>
          <w:p w14:paraId="4FB7ABA3" w14:textId="77777777" w:rsidR="000E482F" w:rsidRPr="002C12E9" w:rsidRDefault="000E482F" w:rsidP="004C79C1">
            <w:pPr>
              <w:pStyle w:val="Tabletext1"/>
              <w:spacing w:before="0" w:after="120"/>
              <w:ind w:right="418"/>
              <w:jc w:val="right"/>
              <w:rPr>
                <w:color w:val="000000"/>
              </w:rPr>
            </w:pPr>
            <w:r w:rsidRPr="00C7004C">
              <w:t>1,481</w:t>
            </w:r>
          </w:p>
        </w:tc>
        <w:tc>
          <w:tcPr>
            <w:tcW w:w="786" w:type="pct"/>
            <w:vAlign w:val="center"/>
          </w:tcPr>
          <w:p w14:paraId="544065AE" w14:textId="77777777" w:rsidR="000E482F" w:rsidRPr="002C12E9" w:rsidRDefault="000E482F" w:rsidP="004C79C1">
            <w:pPr>
              <w:pStyle w:val="Tabletext1"/>
              <w:spacing w:before="0" w:after="120"/>
              <w:ind w:right="418"/>
              <w:jc w:val="right"/>
              <w:rPr>
                <w:color w:val="000000"/>
              </w:rPr>
            </w:pPr>
            <w:r w:rsidRPr="00C7004C">
              <w:t>1,506</w:t>
            </w:r>
          </w:p>
        </w:tc>
        <w:tc>
          <w:tcPr>
            <w:tcW w:w="786" w:type="pct"/>
            <w:vAlign w:val="center"/>
          </w:tcPr>
          <w:p w14:paraId="45899968" w14:textId="77777777" w:rsidR="000E482F" w:rsidRPr="002C12E9" w:rsidRDefault="000E482F" w:rsidP="004C79C1">
            <w:pPr>
              <w:pStyle w:val="Tabletext1"/>
              <w:spacing w:before="0" w:after="120"/>
              <w:ind w:right="418"/>
              <w:jc w:val="right"/>
              <w:rPr>
                <w:color w:val="000000"/>
              </w:rPr>
            </w:pPr>
            <w:r w:rsidRPr="00C7004C">
              <w:t>1,531</w:t>
            </w:r>
          </w:p>
        </w:tc>
        <w:tc>
          <w:tcPr>
            <w:tcW w:w="787" w:type="pct"/>
            <w:vAlign w:val="center"/>
          </w:tcPr>
          <w:p w14:paraId="4ACEF26A" w14:textId="77777777" w:rsidR="000E482F" w:rsidRPr="002C12E9" w:rsidRDefault="000E482F" w:rsidP="004C79C1">
            <w:pPr>
              <w:pStyle w:val="Tabletext1"/>
              <w:spacing w:before="0" w:after="120"/>
              <w:ind w:right="418"/>
              <w:jc w:val="right"/>
              <w:rPr>
                <w:color w:val="000000"/>
              </w:rPr>
            </w:pPr>
            <w:r w:rsidRPr="00C7004C">
              <w:t>1,556</w:t>
            </w:r>
          </w:p>
        </w:tc>
        <w:tc>
          <w:tcPr>
            <w:tcW w:w="757" w:type="pct"/>
            <w:vAlign w:val="center"/>
          </w:tcPr>
          <w:p w14:paraId="003698DD" w14:textId="77777777" w:rsidR="000E482F" w:rsidRPr="002C12E9" w:rsidRDefault="000E482F" w:rsidP="004C79C1">
            <w:pPr>
              <w:pStyle w:val="Tabletext1"/>
              <w:spacing w:before="0" w:after="120"/>
              <w:ind w:right="418"/>
              <w:jc w:val="right"/>
              <w:rPr>
                <w:color w:val="000000"/>
              </w:rPr>
            </w:pPr>
            <w:r w:rsidRPr="00C7004C">
              <w:t>1,581</w:t>
            </w:r>
          </w:p>
        </w:tc>
      </w:tr>
      <w:tr w:rsidR="00784480" w:rsidRPr="004120EB" w14:paraId="65A8CEEA" w14:textId="77777777" w:rsidTr="00784480">
        <w:tc>
          <w:tcPr>
            <w:tcW w:w="1098" w:type="pct"/>
          </w:tcPr>
          <w:p w14:paraId="29716970" w14:textId="77777777" w:rsidR="000E482F" w:rsidRPr="002C12E9" w:rsidRDefault="000E482F" w:rsidP="004C79C1">
            <w:pPr>
              <w:pStyle w:val="Tabletext1"/>
              <w:spacing w:before="0" w:after="120"/>
            </w:pPr>
            <w:r w:rsidRPr="00C7004C">
              <w:t>Stress Echo</w:t>
            </w:r>
          </w:p>
        </w:tc>
        <w:tc>
          <w:tcPr>
            <w:tcW w:w="786" w:type="pct"/>
            <w:vAlign w:val="center"/>
          </w:tcPr>
          <w:p w14:paraId="7EE6AD39" w14:textId="77777777" w:rsidR="000E482F" w:rsidRPr="002C12E9" w:rsidRDefault="000E482F" w:rsidP="004C79C1">
            <w:pPr>
              <w:pStyle w:val="Tabletext1"/>
              <w:spacing w:before="0" w:after="120"/>
              <w:ind w:right="418"/>
              <w:jc w:val="right"/>
              <w:rPr>
                <w:color w:val="000000"/>
              </w:rPr>
            </w:pPr>
            <w:r w:rsidRPr="00C7004C">
              <w:t>187</w:t>
            </w:r>
          </w:p>
        </w:tc>
        <w:tc>
          <w:tcPr>
            <w:tcW w:w="786" w:type="pct"/>
            <w:vAlign w:val="center"/>
          </w:tcPr>
          <w:p w14:paraId="7290651B" w14:textId="77777777" w:rsidR="000E482F" w:rsidRPr="002C12E9" w:rsidRDefault="000E482F" w:rsidP="004C79C1">
            <w:pPr>
              <w:pStyle w:val="Tabletext1"/>
              <w:spacing w:before="0" w:after="120"/>
              <w:ind w:right="418"/>
              <w:jc w:val="right"/>
              <w:rPr>
                <w:color w:val="000000"/>
              </w:rPr>
            </w:pPr>
            <w:r w:rsidRPr="00C7004C">
              <w:t>191</w:t>
            </w:r>
          </w:p>
        </w:tc>
        <w:tc>
          <w:tcPr>
            <w:tcW w:w="786" w:type="pct"/>
            <w:vAlign w:val="center"/>
          </w:tcPr>
          <w:p w14:paraId="2883B153" w14:textId="77777777" w:rsidR="000E482F" w:rsidRPr="002C12E9" w:rsidRDefault="000E482F" w:rsidP="004C79C1">
            <w:pPr>
              <w:pStyle w:val="Tabletext1"/>
              <w:spacing w:before="0" w:after="120"/>
              <w:ind w:right="418"/>
              <w:jc w:val="right"/>
              <w:rPr>
                <w:color w:val="000000"/>
              </w:rPr>
            </w:pPr>
            <w:r w:rsidRPr="00C7004C">
              <w:t>194</w:t>
            </w:r>
          </w:p>
        </w:tc>
        <w:tc>
          <w:tcPr>
            <w:tcW w:w="787" w:type="pct"/>
            <w:vAlign w:val="center"/>
          </w:tcPr>
          <w:p w14:paraId="5F368203" w14:textId="77777777" w:rsidR="000E482F" w:rsidRPr="002C12E9" w:rsidRDefault="000E482F" w:rsidP="004C79C1">
            <w:pPr>
              <w:pStyle w:val="Tabletext1"/>
              <w:spacing w:before="0" w:after="120"/>
              <w:ind w:right="418"/>
              <w:jc w:val="right"/>
              <w:rPr>
                <w:color w:val="000000"/>
              </w:rPr>
            </w:pPr>
            <w:r w:rsidRPr="00C7004C">
              <w:t>197</w:t>
            </w:r>
          </w:p>
        </w:tc>
        <w:tc>
          <w:tcPr>
            <w:tcW w:w="757" w:type="pct"/>
            <w:vAlign w:val="center"/>
          </w:tcPr>
          <w:p w14:paraId="49268428" w14:textId="77777777" w:rsidR="000E482F" w:rsidRPr="002C12E9" w:rsidRDefault="000E482F" w:rsidP="004C79C1">
            <w:pPr>
              <w:pStyle w:val="Tabletext1"/>
              <w:spacing w:before="0" w:after="120"/>
              <w:ind w:right="418"/>
              <w:jc w:val="right"/>
              <w:rPr>
                <w:color w:val="000000"/>
              </w:rPr>
            </w:pPr>
            <w:r w:rsidRPr="00C7004C">
              <w:t>200</w:t>
            </w:r>
          </w:p>
        </w:tc>
      </w:tr>
      <w:tr w:rsidR="00784480" w:rsidRPr="004120EB" w14:paraId="266F3996" w14:textId="77777777" w:rsidTr="00784480">
        <w:tc>
          <w:tcPr>
            <w:tcW w:w="1098" w:type="pct"/>
          </w:tcPr>
          <w:p w14:paraId="1816E5CA" w14:textId="77777777" w:rsidR="000E482F" w:rsidRPr="002C12E9" w:rsidRDefault="000E482F" w:rsidP="004C79C1">
            <w:pPr>
              <w:pStyle w:val="Tabletext1"/>
              <w:spacing w:before="0" w:after="120"/>
            </w:pPr>
            <w:r w:rsidRPr="00C7004C">
              <w:t>CTCA</w:t>
            </w:r>
          </w:p>
        </w:tc>
        <w:tc>
          <w:tcPr>
            <w:tcW w:w="786" w:type="pct"/>
            <w:vAlign w:val="center"/>
          </w:tcPr>
          <w:p w14:paraId="417A36BF" w14:textId="77777777" w:rsidR="000E482F" w:rsidRPr="002C12E9" w:rsidRDefault="000E482F" w:rsidP="004C79C1">
            <w:pPr>
              <w:pStyle w:val="Tabletext1"/>
              <w:spacing w:before="0" w:after="120"/>
              <w:ind w:right="418"/>
              <w:jc w:val="right"/>
            </w:pPr>
            <w:r w:rsidRPr="00C7004C">
              <w:t>958</w:t>
            </w:r>
          </w:p>
        </w:tc>
        <w:tc>
          <w:tcPr>
            <w:tcW w:w="786" w:type="pct"/>
            <w:vAlign w:val="center"/>
          </w:tcPr>
          <w:p w14:paraId="0893185A" w14:textId="77777777" w:rsidR="000E482F" w:rsidRPr="002C12E9" w:rsidRDefault="000E482F" w:rsidP="004C79C1">
            <w:pPr>
              <w:pStyle w:val="Tabletext1"/>
              <w:spacing w:before="0" w:after="120"/>
              <w:ind w:right="418"/>
              <w:jc w:val="right"/>
            </w:pPr>
            <w:r w:rsidRPr="00C7004C">
              <w:t>975</w:t>
            </w:r>
          </w:p>
        </w:tc>
        <w:tc>
          <w:tcPr>
            <w:tcW w:w="786" w:type="pct"/>
            <w:vAlign w:val="center"/>
          </w:tcPr>
          <w:p w14:paraId="0E19FBCE" w14:textId="77777777" w:rsidR="000E482F" w:rsidRPr="002C12E9" w:rsidRDefault="000E482F" w:rsidP="004C79C1">
            <w:pPr>
              <w:pStyle w:val="Tabletext1"/>
              <w:spacing w:before="0" w:after="120"/>
              <w:ind w:right="418"/>
              <w:jc w:val="right"/>
            </w:pPr>
            <w:r w:rsidRPr="00C7004C">
              <w:t>991</w:t>
            </w:r>
          </w:p>
        </w:tc>
        <w:tc>
          <w:tcPr>
            <w:tcW w:w="787" w:type="pct"/>
            <w:vAlign w:val="center"/>
          </w:tcPr>
          <w:p w14:paraId="15DDCFC7" w14:textId="77777777" w:rsidR="000E482F" w:rsidRPr="002C12E9" w:rsidRDefault="000E482F" w:rsidP="004C79C1">
            <w:pPr>
              <w:pStyle w:val="Tabletext1"/>
              <w:spacing w:before="0" w:after="120"/>
              <w:ind w:right="418"/>
              <w:jc w:val="right"/>
            </w:pPr>
            <w:r w:rsidRPr="00C7004C">
              <w:t>1,007</w:t>
            </w:r>
          </w:p>
        </w:tc>
        <w:tc>
          <w:tcPr>
            <w:tcW w:w="757" w:type="pct"/>
            <w:vAlign w:val="center"/>
          </w:tcPr>
          <w:p w14:paraId="7978B2C5" w14:textId="77777777" w:rsidR="000E482F" w:rsidRPr="002C12E9" w:rsidRDefault="000E482F" w:rsidP="004C79C1">
            <w:pPr>
              <w:pStyle w:val="Tabletext1"/>
              <w:spacing w:before="0" w:after="120"/>
              <w:ind w:right="418"/>
              <w:jc w:val="right"/>
            </w:pPr>
            <w:r w:rsidRPr="00C7004C">
              <w:t>1,023</w:t>
            </w:r>
          </w:p>
        </w:tc>
      </w:tr>
      <w:tr w:rsidR="00784480" w:rsidRPr="004120EB" w14:paraId="1F7EC0AD" w14:textId="77777777" w:rsidTr="00784480">
        <w:tc>
          <w:tcPr>
            <w:tcW w:w="1098" w:type="pct"/>
            <w:tcBorders>
              <w:bottom w:val="single" w:sz="4" w:space="0" w:color="auto"/>
            </w:tcBorders>
          </w:tcPr>
          <w:p w14:paraId="1400F973" w14:textId="77777777" w:rsidR="000E482F" w:rsidRPr="002C12E9" w:rsidRDefault="000E482F" w:rsidP="004C79C1">
            <w:pPr>
              <w:pStyle w:val="Tabletext1"/>
              <w:spacing w:before="0" w:after="120"/>
            </w:pPr>
            <w:r w:rsidRPr="00C7004C">
              <w:t>SPECT</w:t>
            </w:r>
          </w:p>
        </w:tc>
        <w:tc>
          <w:tcPr>
            <w:tcW w:w="786" w:type="pct"/>
            <w:tcBorders>
              <w:bottom w:val="single" w:sz="4" w:space="0" w:color="auto"/>
            </w:tcBorders>
            <w:vAlign w:val="center"/>
          </w:tcPr>
          <w:p w14:paraId="046E6EF9" w14:textId="77777777" w:rsidR="000E482F" w:rsidRPr="002C12E9" w:rsidRDefault="000E482F" w:rsidP="004C79C1">
            <w:pPr>
              <w:pStyle w:val="Tabletext1"/>
              <w:spacing w:before="0" w:after="120"/>
              <w:ind w:right="418"/>
              <w:jc w:val="right"/>
            </w:pPr>
            <w:r w:rsidRPr="00C7004C">
              <w:t>141</w:t>
            </w:r>
          </w:p>
        </w:tc>
        <w:tc>
          <w:tcPr>
            <w:tcW w:w="786" w:type="pct"/>
            <w:tcBorders>
              <w:bottom w:val="single" w:sz="4" w:space="0" w:color="auto"/>
            </w:tcBorders>
            <w:vAlign w:val="center"/>
          </w:tcPr>
          <w:p w14:paraId="1BA3F0CB" w14:textId="77777777" w:rsidR="000E482F" w:rsidRPr="002C12E9" w:rsidRDefault="000E482F" w:rsidP="004C79C1">
            <w:pPr>
              <w:pStyle w:val="Tabletext1"/>
              <w:spacing w:before="0" w:after="120"/>
              <w:ind w:right="418"/>
              <w:jc w:val="right"/>
            </w:pPr>
            <w:r w:rsidRPr="00C7004C">
              <w:t>144</w:t>
            </w:r>
          </w:p>
        </w:tc>
        <w:tc>
          <w:tcPr>
            <w:tcW w:w="786" w:type="pct"/>
            <w:tcBorders>
              <w:bottom w:val="single" w:sz="4" w:space="0" w:color="auto"/>
            </w:tcBorders>
            <w:vAlign w:val="center"/>
          </w:tcPr>
          <w:p w14:paraId="7B596745" w14:textId="77777777" w:rsidR="000E482F" w:rsidRPr="002C12E9" w:rsidRDefault="000E482F" w:rsidP="004C79C1">
            <w:pPr>
              <w:pStyle w:val="Tabletext1"/>
              <w:spacing w:before="0" w:after="120"/>
              <w:ind w:right="418"/>
              <w:jc w:val="right"/>
            </w:pPr>
            <w:r w:rsidRPr="00C7004C">
              <w:t>146</w:t>
            </w:r>
          </w:p>
        </w:tc>
        <w:tc>
          <w:tcPr>
            <w:tcW w:w="787" w:type="pct"/>
            <w:tcBorders>
              <w:bottom w:val="single" w:sz="4" w:space="0" w:color="auto"/>
            </w:tcBorders>
            <w:vAlign w:val="center"/>
          </w:tcPr>
          <w:p w14:paraId="2FDBC5DE" w14:textId="77777777" w:rsidR="000E482F" w:rsidRPr="002C12E9" w:rsidRDefault="000E482F" w:rsidP="004C79C1">
            <w:pPr>
              <w:pStyle w:val="Tabletext1"/>
              <w:spacing w:before="0" w:after="120"/>
              <w:ind w:right="418"/>
              <w:jc w:val="right"/>
            </w:pPr>
            <w:r w:rsidRPr="00C7004C">
              <w:t>148</w:t>
            </w:r>
          </w:p>
        </w:tc>
        <w:tc>
          <w:tcPr>
            <w:tcW w:w="757" w:type="pct"/>
            <w:tcBorders>
              <w:bottom w:val="single" w:sz="4" w:space="0" w:color="auto"/>
            </w:tcBorders>
            <w:vAlign w:val="center"/>
          </w:tcPr>
          <w:p w14:paraId="1D429C9C" w14:textId="77777777" w:rsidR="000E482F" w:rsidRPr="002C12E9" w:rsidRDefault="000E482F" w:rsidP="004C79C1">
            <w:pPr>
              <w:pStyle w:val="Tabletext1"/>
              <w:spacing w:before="0" w:after="120"/>
              <w:ind w:right="418"/>
              <w:jc w:val="right"/>
            </w:pPr>
            <w:r w:rsidRPr="00C7004C">
              <w:t>151</w:t>
            </w:r>
          </w:p>
        </w:tc>
      </w:tr>
      <w:tr w:rsidR="00784480" w:rsidRPr="004120EB" w14:paraId="430F64FC" w14:textId="77777777" w:rsidTr="00784480">
        <w:tc>
          <w:tcPr>
            <w:tcW w:w="1098" w:type="pct"/>
            <w:tcBorders>
              <w:right w:val="nil"/>
            </w:tcBorders>
            <w:vAlign w:val="center"/>
          </w:tcPr>
          <w:p w14:paraId="5CB26292" w14:textId="255F7E81" w:rsidR="000E482F" w:rsidRPr="004120EB" w:rsidRDefault="000E482F" w:rsidP="004C79C1">
            <w:pPr>
              <w:pStyle w:val="Tabletext1"/>
              <w:spacing w:before="0" w:after="120"/>
              <w:rPr>
                <w:b/>
                <w:i/>
              </w:rPr>
            </w:pPr>
            <w:r w:rsidRPr="004120EB">
              <w:rPr>
                <w:b/>
                <w:i/>
              </w:rPr>
              <w:t>MBS cost offset</w:t>
            </w:r>
            <w:r w:rsidR="00D455CF">
              <w:rPr>
                <w:b/>
                <w:i/>
              </w:rPr>
              <w:t>s</w:t>
            </w:r>
          </w:p>
        </w:tc>
        <w:tc>
          <w:tcPr>
            <w:tcW w:w="786" w:type="pct"/>
            <w:tcBorders>
              <w:left w:val="nil"/>
              <w:right w:val="nil"/>
            </w:tcBorders>
            <w:vAlign w:val="center"/>
          </w:tcPr>
          <w:p w14:paraId="427C5DF2"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382CDDC3"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2C445B4E" w14:textId="77777777" w:rsidR="000E482F" w:rsidRPr="004120EB" w:rsidRDefault="000E482F" w:rsidP="004C79C1">
            <w:pPr>
              <w:pStyle w:val="Tabletext1"/>
              <w:spacing w:before="0" w:after="120"/>
              <w:jc w:val="center"/>
              <w:rPr>
                <w:b/>
                <w:i/>
              </w:rPr>
            </w:pPr>
            <w:r w:rsidRPr="004120EB">
              <w:rPr>
                <w:b/>
                <w:i/>
              </w:rPr>
              <w:t>-</w:t>
            </w:r>
          </w:p>
        </w:tc>
        <w:tc>
          <w:tcPr>
            <w:tcW w:w="787" w:type="pct"/>
            <w:tcBorders>
              <w:left w:val="nil"/>
              <w:right w:val="nil"/>
            </w:tcBorders>
            <w:vAlign w:val="center"/>
          </w:tcPr>
          <w:p w14:paraId="556F9487" w14:textId="77777777" w:rsidR="000E482F" w:rsidRPr="004120EB" w:rsidRDefault="000E482F" w:rsidP="004C79C1">
            <w:pPr>
              <w:pStyle w:val="Tabletext1"/>
              <w:spacing w:before="0" w:after="120"/>
              <w:jc w:val="center"/>
              <w:rPr>
                <w:b/>
                <w:i/>
              </w:rPr>
            </w:pPr>
            <w:r w:rsidRPr="004120EB">
              <w:rPr>
                <w:b/>
                <w:i/>
              </w:rPr>
              <w:t>-</w:t>
            </w:r>
          </w:p>
        </w:tc>
        <w:tc>
          <w:tcPr>
            <w:tcW w:w="757" w:type="pct"/>
            <w:tcBorders>
              <w:left w:val="nil"/>
            </w:tcBorders>
            <w:vAlign w:val="center"/>
          </w:tcPr>
          <w:p w14:paraId="34A1ED0A" w14:textId="77777777" w:rsidR="000E482F" w:rsidRPr="004120EB" w:rsidRDefault="000E482F" w:rsidP="004C79C1">
            <w:pPr>
              <w:pStyle w:val="Tabletext1"/>
              <w:spacing w:before="0" w:after="120"/>
              <w:jc w:val="center"/>
              <w:rPr>
                <w:b/>
                <w:i/>
              </w:rPr>
            </w:pPr>
            <w:r w:rsidRPr="004120EB">
              <w:rPr>
                <w:b/>
                <w:i/>
              </w:rPr>
              <w:t>-</w:t>
            </w:r>
          </w:p>
        </w:tc>
      </w:tr>
      <w:tr w:rsidR="00784480" w:rsidRPr="004120EB" w14:paraId="6348BC10" w14:textId="77777777" w:rsidTr="00784480">
        <w:tc>
          <w:tcPr>
            <w:tcW w:w="1098" w:type="pct"/>
            <w:vAlign w:val="bottom"/>
          </w:tcPr>
          <w:p w14:paraId="40A1F4E8" w14:textId="77777777" w:rsidR="000E482F" w:rsidRPr="002C12E9" w:rsidRDefault="000E482F" w:rsidP="004C79C1">
            <w:pPr>
              <w:pStyle w:val="Tabletext1"/>
              <w:spacing w:before="0" w:after="120"/>
            </w:pPr>
            <w:r w:rsidRPr="002C12E9">
              <w:t>G</w:t>
            </w:r>
            <w:r>
              <w:t>H</w:t>
            </w:r>
            <w:r w:rsidRPr="002C12E9">
              <w:t>PS</w:t>
            </w:r>
          </w:p>
        </w:tc>
        <w:tc>
          <w:tcPr>
            <w:tcW w:w="786" w:type="pct"/>
            <w:vAlign w:val="center"/>
          </w:tcPr>
          <w:p w14:paraId="203D4E90" w14:textId="77777777" w:rsidR="000E482F" w:rsidRPr="002C12E9" w:rsidRDefault="000E482F" w:rsidP="004C79C1">
            <w:pPr>
              <w:pStyle w:val="Tabletext1"/>
              <w:spacing w:before="0" w:after="120"/>
              <w:ind w:right="276"/>
              <w:jc w:val="right"/>
            </w:pPr>
            <w:r w:rsidRPr="002C12E9">
              <w:rPr>
                <w:color w:val="000000"/>
              </w:rPr>
              <w:t>$146,511</w:t>
            </w:r>
          </w:p>
        </w:tc>
        <w:tc>
          <w:tcPr>
            <w:tcW w:w="786" w:type="pct"/>
            <w:vAlign w:val="center"/>
          </w:tcPr>
          <w:p w14:paraId="6AFB9B77" w14:textId="77777777" w:rsidR="000E482F" w:rsidRPr="002C12E9" w:rsidRDefault="000E482F" w:rsidP="004C79C1">
            <w:pPr>
              <w:pStyle w:val="Tabletext1"/>
              <w:spacing w:before="0" w:after="120"/>
              <w:ind w:right="276"/>
              <w:jc w:val="right"/>
            </w:pPr>
            <w:r w:rsidRPr="002C12E9">
              <w:rPr>
                <w:color w:val="000000"/>
              </w:rPr>
              <w:t>$149,009</w:t>
            </w:r>
          </w:p>
        </w:tc>
        <w:tc>
          <w:tcPr>
            <w:tcW w:w="786" w:type="pct"/>
            <w:vAlign w:val="center"/>
          </w:tcPr>
          <w:p w14:paraId="51880410" w14:textId="77777777" w:rsidR="000E482F" w:rsidRPr="002C12E9" w:rsidRDefault="000E482F" w:rsidP="004C79C1">
            <w:pPr>
              <w:pStyle w:val="Tabletext1"/>
              <w:spacing w:before="0" w:after="120"/>
              <w:ind w:right="276"/>
              <w:jc w:val="right"/>
            </w:pPr>
            <w:r w:rsidRPr="002C12E9">
              <w:rPr>
                <w:color w:val="000000"/>
              </w:rPr>
              <w:t>$151,486</w:t>
            </w:r>
          </w:p>
        </w:tc>
        <w:tc>
          <w:tcPr>
            <w:tcW w:w="787" w:type="pct"/>
            <w:vAlign w:val="center"/>
          </w:tcPr>
          <w:p w14:paraId="6A10BFF0" w14:textId="77777777" w:rsidR="000E482F" w:rsidRPr="002C12E9" w:rsidRDefault="000E482F" w:rsidP="004C79C1">
            <w:pPr>
              <w:pStyle w:val="Tabletext1"/>
              <w:spacing w:before="0" w:after="120"/>
              <w:ind w:right="276"/>
              <w:jc w:val="right"/>
            </w:pPr>
            <w:r w:rsidRPr="002C12E9">
              <w:rPr>
                <w:color w:val="000000"/>
              </w:rPr>
              <w:t>$153,926</w:t>
            </w:r>
          </w:p>
        </w:tc>
        <w:tc>
          <w:tcPr>
            <w:tcW w:w="757" w:type="pct"/>
            <w:vAlign w:val="center"/>
          </w:tcPr>
          <w:p w14:paraId="1FA04A22" w14:textId="77777777" w:rsidR="000E482F" w:rsidRPr="002C12E9" w:rsidRDefault="000E482F" w:rsidP="004C79C1">
            <w:pPr>
              <w:pStyle w:val="Tabletext1"/>
              <w:spacing w:before="0" w:after="120"/>
              <w:ind w:right="276"/>
              <w:jc w:val="right"/>
            </w:pPr>
            <w:r w:rsidRPr="002C12E9">
              <w:rPr>
                <w:color w:val="000000"/>
              </w:rPr>
              <w:t>$156,356</w:t>
            </w:r>
          </w:p>
        </w:tc>
      </w:tr>
      <w:tr w:rsidR="00784480" w:rsidRPr="004120EB" w14:paraId="06CE0A8F" w14:textId="77777777" w:rsidTr="00784480">
        <w:tc>
          <w:tcPr>
            <w:tcW w:w="1098" w:type="pct"/>
            <w:vAlign w:val="bottom"/>
          </w:tcPr>
          <w:p w14:paraId="7863971D" w14:textId="1E2C7066" w:rsidR="000E482F" w:rsidRPr="002C12E9" w:rsidRDefault="00784480" w:rsidP="004C79C1">
            <w:pPr>
              <w:pStyle w:val="Tabletext1"/>
              <w:spacing w:before="0" w:after="120"/>
            </w:pPr>
            <w:r>
              <w:lastRenderedPageBreak/>
              <w:t xml:space="preserve">Contrast </w:t>
            </w:r>
            <w:r w:rsidR="000E482F" w:rsidRPr="002C12E9">
              <w:t>Echo</w:t>
            </w:r>
          </w:p>
        </w:tc>
        <w:tc>
          <w:tcPr>
            <w:tcW w:w="786" w:type="pct"/>
            <w:vAlign w:val="center"/>
          </w:tcPr>
          <w:p w14:paraId="1FA9238E" w14:textId="77777777" w:rsidR="000E482F" w:rsidRPr="002C12E9" w:rsidRDefault="000E482F" w:rsidP="004C79C1">
            <w:pPr>
              <w:pStyle w:val="Tabletext1"/>
              <w:spacing w:before="0" w:after="120"/>
              <w:ind w:right="276"/>
              <w:jc w:val="right"/>
            </w:pPr>
            <w:r w:rsidRPr="002C12E9">
              <w:rPr>
                <w:color w:val="000000"/>
              </w:rPr>
              <w:t>$0</w:t>
            </w:r>
          </w:p>
        </w:tc>
        <w:tc>
          <w:tcPr>
            <w:tcW w:w="786" w:type="pct"/>
            <w:vAlign w:val="center"/>
          </w:tcPr>
          <w:p w14:paraId="36C5C758" w14:textId="77777777" w:rsidR="000E482F" w:rsidRPr="002C12E9" w:rsidRDefault="000E482F" w:rsidP="004C79C1">
            <w:pPr>
              <w:pStyle w:val="Tabletext1"/>
              <w:spacing w:before="0" w:after="120"/>
              <w:ind w:right="276"/>
              <w:jc w:val="right"/>
            </w:pPr>
            <w:r w:rsidRPr="002C12E9">
              <w:rPr>
                <w:color w:val="000000"/>
              </w:rPr>
              <w:t>$0</w:t>
            </w:r>
          </w:p>
        </w:tc>
        <w:tc>
          <w:tcPr>
            <w:tcW w:w="786" w:type="pct"/>
            <w:vAlign w:val="center"/>
          </w:tcPr>
          <w:p w14:paraId="5C7D3CC1" w14:textId="77777777" w:rsidR="000E482F" w:rsidRPr="002C12E9" w:rsidRDefault="000E482F" w:rsidP="004C79C1">
            <w:pPr>
              <w:pStyle w:val="Tabletext1"/>
              <w:spacing w:before="0" w:after="120"/>
              <w:ind w:right="276"/>
              <w:jc w:val="right"/>
            </w:pPr>
            <w:r w:rsidRPr="002C12E9">
              <w:rPr>
                <w:color w:val="000000"/>
              </w:rPr>
              <w:t>$0</w:t>
            </w:r>
          </w:p>
        </w:tc>
        <w:tc>
          <w:tcPr>
            <w:tcW w:w="787" w:type="pct"/>
            <w:vAlign w:val="center"/>
          </w:tcPr>
          <w:p w14:paraId="4B90A462" w14:textId="77777777" w:rsidR="000E482F" w:rsidRPr="002C12E9" w:rsidRDefault="000E482F" w:rsidP="004C79C1">
            <w:pPr>
              <w:pStyle w:val="Tabletext1"/>
              <w:spacing w:before="0" w:after="120"/>
              <w:ind w:right="276"/>
              <w:jc w:val="right"/>
            </w:pPr>
            <w:r w:rsidRPr="002C12E9">
              <w:rPr>
                <w:color w:val="000000"/>
              </w:rPr>
              <w:t>$0</w:t>
            </w:r>
          </w:p>
        </w:tc>
        <w:tc>
          <w:tcPr>
            <w:tcW w:w="757" w:type="pct"/>
            <w:vAlign w:val="center"/>
          </w:tcPr>
          <w:p w14:paraId="06FF2F81" w14:textId="77777777" w:rsidR="000E482F" w:rsidRPr="002C12E9" w:rsidRDefault="000E482F" w:rsidP="004C79C1">
            <w:pPr>
              <w:pStyle w:val="Tabletext1"/>
              <w:spacing w:before="0" w:after="120"/>
              <w:ind w:right="276"/>
              <w:jc w:val="right"/>
            </w:pPr>
            <w:r w:rsidRPr="002C12E9">
              <w:rPr>
                <w:color w:val="000000"/>
              </w:rPr>
              <w:t>$0</w:t>
            </w:r>
          </w:p>
        </w:tc>
      </w:tr>
      <w:tr w:rsidR="00784480" w:rsidRPr="004120EB" w14:paraId="7010F5C4" w14:textId="77777777" w:rsidTr="00784480">
        <w:tc>
          <w:tcPr>
            <w:tcW w:w="1098" w:type="pct"/>
          </w:tcPr>
          <w:p w14:paraId="2977C73F" w14:textId="77777777" w:rsidR="000E482F" w:rsidRPr="002C12E9" w:rsidRDefault="000E482F" w:rsidP="004C79C1">
            <w:pPr>
              <w:pStyle w:val="Tabletext1"/>
              <w:spacing w:before="0" w:after="120"/>
            </w:pPr>
            <w:r w:rsidRPr="00C7004C">
              <w:t>ICA</w:t>
            </w:r>
          </w:p>
        </w:tc>
        <w:tc>
          <w:tcPr>
            <w:tcW w:w="786" w:type="pct"/>
            <w:vAlign w:val="center"/>
          </w:tcPr>
          <w:p w14:paraId="732397AC" w14:textId="77777777" w:rsidR="000E482F" w:rsidRPr="002C12E9" w:rsidRDefault="000E482F" w:rsidP="004C79C1">
            <w:pPr>
              <w:pStyle w:val="Tabletext1"/>
              <w:spacing w:before="0" w:after="120"/>
              <w:ind w:right="276"/>
              <w:jc w:val="right"/>
            </w:pPr>
            <w:r w:rsidRPr="00984347">
              <w:t>$662,039</w:t>
            </w:r>
          </w:p>
        </w:tc>
        <w:tc>
          <w:tcPr>
            <w:tcW w:w="786" w:type="pct"/>
            <w:vAlign w:val="center"/>
          </w:tcPr>
          <w:p w14:paraId="377E8EE1" w14:textId="77777777" w:rsidR="000E482F" w:rsidRPr="002C12E9" w:rsidRDefault="000E482F" w:rsidP="004C79C1">
            <w:pPr>
              <w:pStyle w:val="Tabletext1"/>
              <w:spacing w:before="0" w:after="120"/>
              <w:ind w:right="276"/>
              <w:jc w:val="right"/>
            </w:pPr>
            <w:r w:rsidRPr="00984347">
              <w:t>$673,325</w:t>
            </w:r>
          </w:p>
        </w:tc>
        <w:tc>
          <w:tcPr>
            <w:tcW w:w="786" w:type="pct"/>
            <w:vAlign w:val="center"/>
          </w:tcPr>
          <w:p w14:paraId="0D3C2F13" w14:textId="77777777" w:rsidR="000E482F" w:rsidRPr="002C12E9" w:rsidRDefault="000E482F" w:rsidP="004C79C1">
            <w:pPr>
              <w:pStyle w:val="Tabletext1"/>
              <w:spacing w:before="0" w:after="120"/>
              <w:ind w:right="276"/>
              <w:jc w:val="right"/>
            </w:pPr>
            <w:r w:rsidRPr="00984347">
              <w:t>$684,519</w:t>
            </w:r>
          </w:p>
        </w:tc>
        <w:tc>
          <w:tcPr>
            <w:tcW w:w="787" w:type="pct"/>
            <w:vAlign w:val="center"/>
          </w:tcPr>
          <w:p w14:paraId="58E69D81" w14:textId="77777777" w:rsidR="000E482F" w:rsidRPr="002C12E9" w:rsidRDefault="000E482F" w:rsidP="004C79C1">
            <w:pPr>
              <w:pStyle w:val="Tabletext1"/>
              <w:spacing w:before="0" w:after="120"/>
              <w:ind w:right="276"/>
              <w:jc w:val="right"/>
            </w:pPr>
            <w:r w:rsidRPr="00984347">
              <w:t>$695,544</w:t>
            </w:r>
          </w:p>
        </w:tc>
        <w:tc>
          <w:tcPr>
            <w:tcW w:w="757" w:type="pct"/>
            <w:vAlign w:val="center"/>
          </w:tcPr>
          <w:p w14:paraId="22354125" w14:textId="77777777" w:rsidR="000E482F" w:rsidRPr="002C12E9" w:rsidRDefault="000E482F" w:rsidP="004C79C1">
            <w:pPr>
              <w:pStyle w:val="Tabletext1"/>
              <w:spacing w:before="0" w:after="120"/>
              <w:ind w:right="276"/>
              <w:jc w:val="right"/>
            </w:pPr>
            <w:r w:rsidRPr="00984347">
              <w:t>$706,524</w:t>
            </w:r>
          </w:p>
        </w:tc>
      </w:tr>
      <w:tr w:rsidR="00784480" w:rsidRPr="004120EB" w14:paraId="367C73F4" w14:textId="77777777" w:rsidTr="00784480">
        <w:tc>
          <w:tcPr>
            <w:tcW w:w="1098" w:type="pct"/>
          </w:tcPr>
          <w:p w14:paraId="55B14B6D" w14:textId="77777777" w:rsidR="000E482F" w:rsidRPr="002C12E9" w:rsidRDefault="000E482F" w:rsidP="004C79C1">
            <w:pPr>
              <w:pStyle w:val="Tabletext1"/>
              <w:spacing w:before="0" w:after="120"/>
            </w:pPr>
            <w:r w:rsidRPr="00C7004C">
              <w:t>Stress Echo</w:t>
            </w:r>
          </w:p>
        </w:tc>
        <w:tc>
          <w:tcPr>
            <w:tcW w:w="786" w:type="pct"/>
            <w:vAlign w:val="center"/>
          </w:tcPr>
          <w:p w14:paraId="0DA76BBE" w14:textId="77777777" w:rsidR="000E482F" w:rsidRPr="002C12E9" w:rsidRDefault="000E482F" w:rsidP="004C79C1">
            <w:pPr>
              <w:pStyle w:val="Tabletext1"/>
              <w:spacing w:before="0" w:after="120"/>
              <w:ind w:right="276"/>
              <w:jc w:val="right"/>
              <w:rPr>
                <w:color w:val="000000"/>
              </w:rPr>
            </w:pPr>
            <w:r w:rsidRPr="00984347">
              <w:t>$68,346</w:t>
            </w:r>
          </w:p>
        </w:tc>
        <w:tc>
          <w:tcPr>
            <w:tcW w:w="786" w:type="pct"/>
            <w:vAlign w:val="center"/>
          </w:tcPr>
          <w:p w14:paraId="6ADD1503" w14:textId="77777777" w:rsidR="000E482F" w:rsidRPr="002C12E9" w:rsidRDefault="000E482F" w:rsidP="004C79C1">
            <w:pPr>
              <w:pStyle w:val="Tabletext1"/>
              <w:spacing w:before="0" w:after="120"/>
              <w:ind w:right="276"/>
              <w:jc w:val="right"/>
              <w:rPr>
                <w:color w:val="000000"/>
              </w:rPr>
            </w:pPr>
            <w:r w:rsidRPr="00984347">
              <w:t>$69,511</w:t>
            </w:r>
          </w:p>
        </w:tc>
        <w:tc>
          <w:tcPr>
            <w:tcW w:w="786" w:type="pct"/>
            <w:vAlign w:val="center"/>
          </w:tcPr>
          <w:p w14:paraId="3E7C0EBF" w14:textId="77777777" w:rsidR="000E482F" w:rsidRPr="002C12E9" w:rsidRDefault="000E482F" w:rsidP="004C79C1">
            <w:pPr>
              <w:pStyle w:val="Tabletext1"/>
              <w:spacing w:before="0" w:after="120"/>
              <w:ind w:right="276"/>
              <w:jc w:val="right"/>
              <w:rPr>
                <w:color w:val="000000"/>
              </w:rPr>
            </w:pPr>
            <w:r w:rsidRPr="00984347">
              <w:t>$70,667</w:t>
            </w:r>
          </w:p>
        </w:tc>
        <w:tc>
          <w:tcPr>
            <w:tcW w:w="787" w:type="pct"/>
            <w:vAlign w:val="center"/>
          </w:tcPr>
          <w:p w14:paraId="384E9C90" w14:textId="77777777" w:rsidR="000E482F" w:rsidRPr="002C12E9" w:rsidRDefault="000E482F" w:rsidP="004C79C1">
            <w:pPr>
              <w:pStyle w:val="Tabletext1"/>
              <w:spacing w:before="0" w:after="120"/>
              <w:ind w:right="276"/>
              <w:jc w:val="right"/>
              <w:rPr>
                <w:color w:val="000000"/>
              </w:rPr>
            </w:pPr>
            <w:r w:rsidRPr="00984347">
              <w:t>$71,805</w:t>
            </w:r>
          </w:p>
        </w:tc>
        <w:tc>
          <w:tcPr>
            <w:tcW w:w="757" w:type="pct"/>
            <w:vAlign w:val="center"/>
          </w:tcPr>
          <w:p w14:paraId="3AD91EB9" w14:textId="77777777" w:rsidR="000E482F" w:rsidRPr="002C12E9" w:rsidRDefault="000E482F" w:rsidP="004C79C1">
            <w:pPr>
              <w:pStyle w:val="Tabletext1"/>
              <w:spacing w:before="0" w:after="120"/>
              <w:ind w:right="276"/>
              <w:jc w:val="right"/>
              <w:rPr>
                <w:color w:val="000000"/>
              </w:rPr>
            </w:pPr>
            <w:r w:rsidRPr="00984347">
              <w:t>$72,939</w:t>
            </w:r>
          </w:p>
        </w:tc>
      </w:tr>
      <w:tr w:rsidR="00784480" w:rsidRPr="004120EB" w14:paraId="3D56E09F" w14:textId="77777777" w:rsidTr="00784480">
        <w:tc>
          <w:tcPr>
            <w:tcW w:w="1098" w:type="pct"/>
          </w:tcPr>
          <w:p w14:paraId="5F791BD3" w14:textId="77777777" w:rsidR="000E482F" w:rsidRPr="002C12E9" w:rsidRDefault="000E482F" w:rsidP="004C79C1">
            <w:pPr>
              <w:pStyle w:val="Tabletext1"/>
              <w:spacing w:before="0" w:after="120"/>
            </w:pPr>
            <w:r w:rsidRPr="00C7004C">
              <w:t>CTCA</w:t>
            </w:r>
          </w:p>
        </w:tc>
        <w:tc>
          <w:tcPr>
            <w:tcW w:w="786" w:type="pct"/>
            <w:vAlign w:val="center"/>
          </w:tcPr>
          <w:p w14:paraId="442D52BB" w14:textId="77777777" w:rsidR="000E482F" w:rsidRPr="002C12E9" w:rsidRDefault="000E482F" w:rsidP="004C79C1">
            <w:pPr>
              <w:pStyle w:val="Tabletext1"/>
              <w:spacing w:before="0" w:after="120"/>
              <w:ind w:right="276"/>
              <w:jc w:val="right"/>
              <w:rPr>
                <w:color w:val="000000"/>
              </w:rPr>
            </w:pPr>
            <w:r w:rsidRPr="00984347">
              <w:t>$622,714</w:t>
            </w:r>
          </w:p>
        </w:tc>
        <w:tc>
          <w:tcPr>
            <w:tcW w:w="786" w:type="pct"/>
            <w:vAlign w:val="center"/>
          </w:tcPr>
          <w:p w14:paraId="19CBAB0D" w14:textId="77777777" w:rsidR="000E482F" w:rsidRPr="002C12E9" w:rsidRDefault="000E482F" w:rsidP="004C79C1">
            <w:pPr>
              <w:pStyle w:val="Tabletext1"/>
              <w:spacing w:before="0" w:after="120"/>
              <w:ind w:right="276"/>
              <w:jc w:val="right"/>
              <w:rPr>
                <w:color w:val="000000"/>
              </w:rPr>
            </w:pPr>
            <w:r w:rsidRPr="00984347">
              <w:t>$633,330</w:t>
            </w:r>
          </w:p>
        </w:tc>
        <w:tc>
          <w:tcPr>
            <w:tcW w:w="786" w:type="pct"/>
            <w:vAlign w:val="center"/>
          </w:tcPr>
          <w:p w14:paraId="356DC067" w14:textId="77777777" w:rsidR="000E482F" w:rsidRPr="002C12E9" w:rsidRDefault="000E482F" w:rsidP="004C79C1">
            <w:pPr>
              <w:pStyle w:val="Tabletext1"/>
              <w:spacing w:before="0" w:after="120"/>
              <w:ind w:right="276"/>
              <w:jc w:val="right"/>
              <w:rPr>
                <w:color w:val="000000"/>
              </w:rPr>
            </w:pPr>
            <w:r w:rsidRPr="00984347">
              <w:t>$643,859</w:t>
            </w:r>
          </w:p>
        </w:tc>
        <w:tc>
          <w:tcPr>
            <w:tcW w:w="787" w:type="pct"/>
            <w:vAlign w:val="center"/>
          </w:tcPr>
          <w:p w14:paraId="4E7B0F7A" w14:textId="77777777" w:rsidR="000E482F" w:rsidRPr="002C12E9" w:rsidRDefault="000E482F" w:rsidP="004C79C1">
            <w:pPr>
              <w:pStyle w:val="Tabletext1"/>
              <w:spacing w:before="0" w:after="120"/>
              <w:ind w:right="276"/>
              <w:jc w:val="right"/>
              <w:rPr>
                <w:color w:val="000000"/>
              </w:rPr>
            </w:pPr>
            <w:r w:rsidRPr="00984347">
              <w:t>$654,229</w:t>
            </w:r>
          </w:p>
        </w:tc>
        <w:tc>
          <w:tcPr>
            <w:tcW w:w="757" w:type="pct"/>
            <w:vAlign w:val="center"/>
          </w:tcPr>
          <w:p w14:paraId="620D8FEA" w14:textId="77777777" w:rsidR="000E482F" w:rsidRPr="002C12E9" w:rsidRDefault="000E482F" w:rsidP="004C79C1">
            <w:pPr>
              <w:pStyle w:val="Tabletext1"/>
              <w:spacing w:before="0" w:after="120"/>
              <w:ind w:right="276"/>
              <w:jc w:val="right"/>
              <w:rPr>
                <w:color w:val="000000"/>
              </w:rPr>
            </w:pPr>
            <w:r w:rsidRPr="00984347">
              <w:t>$664,558</w:t>
            </w:r>
          </w:p>
        </w:tc>
      </w:tr>
      <w:tr w:rsidR="00784480" w:rsidRPr="004120EB" w14:paraId="374A555D" w14:textId="77777777" w:rsidTr="00784480">
        <w:tc>
          <w:tcPr>
            <w:tcW w:w="1098" w:type="pct"/>
            <w:tcBorders>
              <w:bottom w:val="single" w:sz="4" w:space="0" w:color="auto"/>
            </w:tcBorders>
          </w:tcPr>
          <w:p w14:paraId="48F3FAB8" w14:textId="77777777" w:rsidR="000E482F" w:rsidRPr="002C12E9" w:rsidRDefault="000E482F" w:rsidP="004C79C1">
            <w:pPr>
              <w:pStyle w:val="Tabletext1"/>
              <w:spacing w:before="0" w:after="120"/>
            </w:pPr>
            <w:r w:rsidRPr="00C7004C">
              <w:t>SPECT</w:t>
            </w:r>
          </w:p>
        </w:tc>
        <w:tc>
          <w:tcPr>
            <w:tcW w:w="786" w:type="pct"/>
            <w:tcBorders>
              <w:bottom w:val="single" w:sz="4" w:space="0" w:color="auto"/>
            </w:tcBorders>
            <w:vAlign w:val="center"/>
          </w:tcPr>
          <w:p w14:paraId="52E63F35" w14:textId="77777777" w:rsidR="000E482F" w:rsidRPr="002C12E9" w:rsidRDefault="000E482F" w:rsidP="004C79C1">
            <w:pPr>
              <w:pStyle w:val="Tabletext1"/>
              <w:spacing w:before="0" w:after="120"/>
              <w:ind w:right="276"/>
              <w:jc w:val="right"/>
            </w:pPr>
            <w:r w:rsidRPr="00984347">
              <w:t>$74,242</w:t>
            </w:r>
          </w:p>
        </w:tc>
        <w:tc>
          <w:tcPr>
            <w:tcW w:w="786" w:type="pct"/>
            <w:tcBorders>
              <w:bottom w:val="single" w:sz="4" w:space="0" w:color="auto"/>
            </w:tcBorders>
            <w:vAlign w:val="center"/>
          </w:tcPr>
          <w:p w14:paraId="6613B057" w14:textId="77777777" w:rsidR="000E482F" w:rsidRPr="002C12E9" w:rsidRDefault="000E482F" w:rsidP="004C79C1">
            <w:pPr>
              <w:pStyle w:val="Tabletext1"/>
              <w:spacing w:before="0" w:after="120"/>
              <w:ind w:right="276"/>
              <w:jc w:val="right"/>
            </w:pPr>
            <w:r w:rsidRPr="00984347">
              <w:t>$75,508</w:t>
            </w:r>
          </w:p>
        </w:tc>
        <w:tc>
          <w:tcPr>
            <w:tcW w:w="786" w:type="pct"/>
            <w:tcBorders>
              <w:bottom w:val="single" w:sz="4" w:space="0" w:color="auto"/>
            </w:tcBorders>
            <w:vAlign w:val="center"/>
          </w:tcPr>
          <w:p w14:paraId="1C60DC83" w14:textId="77777777" w:rsidR="000E482F" w:rsidRPr="002C12E9" w:rsidRDefault="000E482F" w:rsidP="004C79C1">
            <w:pPr>
              <w:pStyle w:val="Tabletext1"/>
              <w:spacing w:before="0" w:after="120"/>
              <w:ind w:right="276"/>
              <w:jc w:val="right"/>
            </w:pPr>
            <w:r w:rsidRPr="00984347">
              <w:t>$76,763</w:t>
            </w:r>
          </w:p>
        </w:tc>
        <w:tc>
          <w:tcPr>
            <w:tcW w:w="787" w:type="pct"/>
            <w:tcBorders>
              <w:bottom w:val="single" w:sz="4" w:space="0" w:color="auto"/>
            </w:tcBorders>
            <w:vAlign w:val="center"/>
          </w:tcPr>
          <w:p w14:paraId="4AF85E70" w14:textId="77777777" w:rsidR="000E482F" w:rsidRPr="002C12E9" w:rsidRDefault="000E482F" w:rsidP="004C79C1">
            <w:pPr>
              <w:pStyle w:val="Tabletext1"/>
              <w:spacing w:before="0" w:after="120"/>
              <w:ind w:right="276"/>
              <w:jc w:val="right"/>
            </w:pPr>
            <w:r w:rsidRPr="00984347">
              <w:t>$78,000</w:t>
            </w:r>
          </w:p>
        </w:tc>
        <w:tc>
          <w:tcPr>
            <w:tcW w:w="757" w:type="pct"/>
            <w:tcBorders>
              <w:bottom w:val="single" w:sz="4" w:space="0" w:color="auto"/>
            </w:tcBorders>
            <w:vAlign w:val="center"/>
          </w:tcPr>
          <w:p w14:paraId="354BC827" w14:textId="77777777" w:rsidR="000E482F" w:rsidRPr="002C12E9" w:rsidRDefault="000E482F" w:rsidP="004C79C1">
            <w:pPr>
              <w:pStyle w:val="Tabletext1"/>
              <w:spacing w:before="0" w:after="120"/>
              <w:ind w:right="276"/>
              <w:jc w:val="right"/>
            </w:pPr>
            <w:r w:rsidRPr="00984347">
              <w:t>$79,231</w:t>
            </w:r>
          </w:p>
        </w:tc>
      </w:tr>
      <w:tr w:rsidR="00784480" w:rsidRPr="002C12E9" w14:paraId="684AB63A" w14:textId="77777777" w:rsidTr="00784480">
        <w:tc>
          <w:tcPr>
            <w:tcW w:w="1098" w:type="pct"/>
            <w:tcBorders>
              <w:bottom w:val="single" w:sz="4" w:space="0" w:color="auto"/>
            </w:tcBorders>
            <w:vAlign w:val="bottom"/>
          </w:tcPr>
          <w:p w14:paraId="39B9986B" w14:textId="77777777" w:rsidR="000E482F" w:rsidRPr="002C12E9" w:rsidRDefault="000E482F" w:rsidP="004C79C1">
            <w:pPr>
              <w:pStyle w:val="Tabletext1"/>
              <w:spacing w:before="0" w:after="120"/>
              <w:rPr>
                <w:b/>
              </w:rPr>
            </w:pPr>
            <w:r w:rsidRPr="002C12E9">
              <w:rPr>
                <w:b/>
              </w:rPr>
              <w:t>Total offsets to the MBS</w:t>
            </w:r>
          </w:p>
        </w:tc>
        <w:tc>
          <w:tcPr>
            <w:tcW w:w="786" w:type="pct"/>
            <w:tcBorders>
              <w:bottom w:val="single" w:sz="4" w:space="0" w:color="auto"/>
            </w:tcBorders>
            <w:vAlign w:val="center"/>
          </w:tcPr>
          <w:p w14:paraId="20190D3A" w14:textId="77777777" w:rsidR="000E482F" w:rsidRPr="002C12E9" w:rsidRDefault="000E482F" w:rsidP="004C79C1">
            <w:pPr>
              <w:pStyle w:val="Tabletext1"/>
              <w:spacing w:before="0" w:after="120"/>
              <w:ind w:right="276"/>
              <w:jc w:val="right"/>
              <w:rPr>
                <w:b/>
              </w:rPr>
            </w:pPr>
            <w:r w:rsidRPr="00883F82">
              <w:t>$1,573,853</w:t>
            </w:r>
          </w:p>
        </w:tc>
        <w:tc>
          <w:tcPr>
            <w:tcW w:w="786" w:type="pct"/>
            <w:tcBorders>
              <w:bottom w:val="single" w:sz="4" w:space="0" w:color="auto"/>
            </w:tcBorders>
            <w:vAlign w:val="center"/>
          </w:tcPr>
          <w:p w14:paraId="7C1D2110" w14:textId="77777777" w:rsidR="000E482F" w:rsidRPr="002C12E9" w:rsidRDefault="000E482F" w:rsidP="004C79C1">
            <w:pPr>
              <w:pStyle w:val="Tabletext1"/>
              <w:spacing w:before="0" w:after="120"/>
              <w:ind w:right="276"/>
              <w:jc w:val="right"/>
              <w:rPr>
                <w:b/>
              </w:rPr>
            </w:pPr>
            <w:r w:rsidRPr="00883F82">
              <w:t>$1,600,683</w:t>
            </w:r>
          </w:p>
        </w:tc>
        <w:tc>
          <w:tcPr>
            <w:tcW w:w="786" w:type="pct"/>
            <w:tcBorders>
              <w:bottom w:val="single" w:sz="4" w:space="0" w:color="auto"/>
            </w:tcBorders>
            <w:vAlign w:val="center"/>
          </w:tcPr>
          <w:p w14:paraId="048A6F75" w14:textId="77777777" w:rsidR="000E482F" w:rsidRPr="002C12E9" w:rsidRDefault="000E482F" w:rsidP="004C79C1">
            <w:pPr>
              <w:pStyle w:val="Tabletext1"/>
              <w:spacing w:before="0" w:after="120"/>
              <w:ind w:right="276"/>
              <w:jc w:val="right"/>
              <w:rPr>
                <w:b/>
              </w:rPr>
            </w:pPr>
            <w:r w:rsidRPr="00883F82">
              <w:t>$1,627,295</w:t>
            </w:r>
          </w:p>
        </w:tc>
        <w:tc>
          <w:tcPr>
            <w:tcW w:w="787" w:type="pct"/>
            <w:tcBorders>
              <w:bottom w:val="single" w:sz="4" w:space="0" w:color="auto"/>
            </w:tcBorders>
            <w:vAlign w:val="center"/>
          </w:tcPr>
          <w:p w14:paraId="4DE28CBB" w14:textId="77777777" w:rsidR="000E482F" w:rsidRPr="002C12E9" w:rsidRDefault="000E482F" w:rsidP="004C79C1">
            <w:pPr>
              <w:pStyle w:val="Tabletext1"/>
              <w:spacing w:before="0" w:after="120"/>
              <w:ind w:right="276"/>
              <w:jc w:val="right"/>
              <w:rPr>
                <w:b/>
              </w:rPr>
            </w:pPr>
            <w:r w:rsidRPr="00883F82">
              <w:t>$1,653,504</w:t>
            </w:r>
          </w:p>
        </w:tc>
        <w:tc>
          <w:tcPr>
            <w:tcW w:w="757" w:type="pct"/>
            <w:tcBorders>
              <w:bottom w:val="single" w:sz="4" w:space="0" w:color="auto"/>
            </w:tcBorders>
            <w:vAlign w:val="center"/>
          </w:tcPr>
          <w:p w14:paraId="073DC8BD" w14:textId="77777777" w:rsidR="000E482F" w:rsidRPr="002C12E9" w:rsidRDefault="000E482F" w:rsidP="004C79C1">
            <w:pPr>
              <w:pStyle w:val="Tabletext1"/>
              <w:spacing w:before="0" w:after="120"/>
              <w:ind w:right="276"/>
              <w:jc w:val="right"/>
              <w:rPr>
                <w:b/>
              </w:rPr>
            </w:pPr>
            <w:r w:rsidRPr="00883F82">
              <w:t>$1,679,608</w:t>
            </w:r>
          </w:p>
        </w:tc>
      </w:tr>
      <w:tr w:rsidR="00784480" w:rsidRPr="004120EB" w14:paraId="4AEA36F9" w14:textId="77777777" w:rsidTr="00784480">
        <w:tc>
          <w:tcPr>
            <w:tcW w:w="1098" w:type="pct"/>
            <w:tcBorders>
              <w:right w:val="nil"/>
            </w:tcBorders>
            <w:vAlign w:val="center"/>
          </w:tcPr>
          <w:p w14:paraId="153DB86C" w14:textId="5B84DB3A" w:rsidR="000E482F" w:rsidRPr="004120EB" w:rsidRDefault="000E482F" w:rsidP="004C79C1">
            <w:pPr>
              <w:pStyle w:val="Tabletext1"/>
              <w:spacing w:before="0" w:after="120"/>
              <w:rPr>
                <w:b/>
                <w:i/>
              </w:rPr>
            </w:pPr>
            <w:r w:rsidRPr="004120EB">
              <w:rPr>
                <w:b/>
                <w:i/>
              </w:rPr>
              <w:t>Patient cost offset</w:t>
            </w:r>
            <w:r w:rsidR="00D455CF">
              <w:rPr>
                <w:b/>
                <w:i/>
              </w:rPr>
              <w:t>s</w:t>
            </w:r>
          </w:p>
        </w:tc>
        <w:tc>
          <w:tcPr>
            <w:tcW w:w="786" w:type="pct"/>
            <w:tcBorders>
              <w:left w:val="nil"/>
              <w:right w:val="nil"/>
            </w:tcBorders>
            <w:vAlign w:val="center"/>
          </w:tcPr>
          <w:p w14:paraId="7BD8C98B"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46B8D02F" w14:textId="77777777" w:rsidR="000E482F" w:rsidRPr="004120EB" w:rsidRDefault="000E482F" w:rsidP="004C79C1">
            <w:pPr>
              <w:pStyle w:val="Tabletext1"/>
              <w:spacing w:before="0" w:after="120"/>
              <w:jc w:val="center"/>
              <w:rPr>
                <w:b/>
                <w:i/>
              </w:rPr>
            </w:pPr>
            <w:r w:rsidRPr="004120EB">
              <w:rPr>
                <w:b/>
                <w:i/>
              </w:rPr>
              <w:t>-</w:t>
            </w:r>
          </w:p>
        </w:tc>
        <w:tc>
          <w:tcPr>
            <w:tcW w:w="786" w:type="pct"/>
            <w:tcBorders>
              <w:left w:val="nil"/>
              <w:right w:val="nil"/>
            </w:tcBorders>
            <w:vAlign w:val="center"/>
          </w:tcPr>
          <w:p w14:paraId="3B176A20" w14:textId="77777777" w:rsidR="000E482F" w:rsidRPr="004120EB" w:rsidRDefault="000E482F" w:rsidP="004C79C1">
            <w:pPr>
              <w:pStyle w:val="Tabletext1"/>
              <w:spacing w:before="0" w:after="120"/>
              <w:jc w:val="center"/>
              <w:rPr>
                <w:b/>
                <w:i/>
              </w:rPr>
            </w:pPr>
            <w:r w:rsidRPr="004120EB">
              <w:rPr>
                <w:b/>
                <w:i/>
              </w:rPr>
              <w:t>-</w:t>
            </w:r>
          </w:p>
        </w:tc>
        <w:tc>
          <w:tcPr>
            <w:tcW w:w="787" w:type="pct"/>
            <w:tcBorders>
              <w:left w:val="nil"/>
              <w:right w:val="nil"/>
            </w:tcBorders>
            <w:vAlign w:val="center"/>
          </w:tcPr>
          <w:p w14:paraId="0C4F194E" w14:textId="77777777" w:rsidR="000E482F" w:rsidRPr="004120EB" w:rsidRDefault="000E482F" w:rsidP="004C79C1">
            <w:pPr>
              <w:pStyle w:val="Tabletext1"/>
              <w:spacing w:before="0" w:after="120"/>
              <w:jc w:val="center"/>
              <w:rPr>
                <w:b/>
                <w:i/>
              </w:rPr>
            </w:pPr>
            <w:r w:rsidRPr="004120EB">
              <w:rPr>
                <w:b/>
                <w:i/>
              </w:rPr>
              <w:t>-</w:t>
            </w:r>
          </w:p>
        </w:tc>
        <w:tc>
          <w:tcPr>
            <w:tcW w:w="757" w:type="pct"/>
            <w:tcBorders>
              <w:left w:val="nil"/>
            </w:tcBorders>
            <w:vAlign w:val="center"/>
          </w:tcPr>
          <w:p w14:paraId="518A8A58" w14:textId="77777777" w:rsidR="000E482F" w:rsidRPr="004120EB" w:rsidRDefault="000E482F" w:rsidP="004C79C1">
            <w:pPr>
              <w:pStyle w:val="Tabletext1"/>
              <w:spacing w:before="0" w:after="120"/>
              <w:jc w:val="center"/>
              <w:rPr>
                <w:b/>
                <w:i/>
              </w:rPr>
            </w:pPr>
            <w:r w:rsidRPr="004120EB">
              <w:rPr>
                <w:b/>
                <w:i/>
              </w:rPr>
              <w:t>-</w:t>
            </w:r>
          </w:p>
        </w:tc>
      </w:tr>
      <w:tr w:rsidR="00784480" w:rsidRPr="002C12E9" w14:paraId="72DD0605" w14:textId="77777777" w:rsidTr="00784480">
        <w:tc>
          <w:tcPr>
            <w:tcW w:w="1098" w:type="pct"/>
            <w:vAlign w:val="bottom"/>
          </w:tcPr>
          <w:p w14:paraId="164BC29B" w14:textId="77777777" w:rsidR="000E482F" w:rsidRPr="002C12E9" w:rsidRDefault="000E482F" w:rsidP="004C79C1">
            <w:pPr>
              <w:pStyle w:val="Tabletext1"/>
              <w:spacing w:before="0" w:after="120"/>
            </w:pPr>
            <w:r w:rsidRPr="002C12E9">
              <w:t>G</w:t>
            </w:r>
            <w:r>
              <w:t>H</w:t>
            </w:r>
            <w:r w:rsidRPr="002C12E9">
              <w:t>PS</w:t>
            </w:r>
          </w:p>
        </w:tc>
        <w:tc>
          <w:tcPr>
            <w:tcW w:w="786" w:type="pct"/>
            <w:vAlign w:val="center"/>
          </w:tcPr>
          <w:p w14:paraId="7375671B" w14:textId="77777777" w:rsidR="000E482F" w:rsidRPr="002C12E9" w:rsidRDefault="000E482F" w:rsidP="004C79C1">
            <w:pPr>
              <w:pStyle w:val="Tabletext1"/>
              <w:spacing w:before="0" w:after="120"/>
              <w:ind w:right="276"/>
              <w:jc w:val="right"/>
            </w:pPr>
            <w:r w:rsidRPr="002C12E9">
              <w:rPr>
                <w:color w:val="000000"/>
              </w:rPr>
              <w:t>$11,655</w:t>
            </w:r>
          </w:p>
        </w:tc>
        <w:tc>
          <w:tcPr>
            <w:tcW w:w="786" w:type="pct"/>
            <w:vAlign w:val="center"/>
          </w:tcPr>
          <w:p w14:paraId="7A017CDA" w14:textId="77777777" w:rsidR="000E482F" w:rsidRPr="002C12E9" w:rsidRDefault="000E482F" w:rsidP="004C79C1">
            <w:pPr>
              <w:pStyle w:val="Tabletext1"/>
              <w:spacing w:before="0" w:after="120"/>
              <w:ind w:right="276"/>
              <w:jc w:val="right"/>
            </w:pPr>
            <w:r w:rsidRPr="002C12E9">
              <w:rPr>
                <w:color w:val="000000"/>
              </w:rPr>
              <w:t>$11,853</w:t>
            </w:r>
          </w:p>
        </w:tc>
        <w:tc>
          <w:tcPr>
            <w:tcW w:w="786" w:type="pct"/>
            <w:vAlign w:val="center"/>
          </w:tcPr>
          <w:p w14:paraId="261FB5C0" w14:textId="77777777" w:rsidR="000E482F" w:rsidRPr="002C12E9" w:rsidRDefault="000E482F" w:rsidP="004C79C1">
            <w:pPr>
              <w:pStyle w:val="Tabletext1"/>
              <w:spacing w:before="0" w:after="120"/>
              <w:ind w:right="276"/>
              <w:jc w:val="right"/>
            </w:pPr>
            <w:r w:rsidRPr="002C12E9">
              <w:rPr>
                <w:color w:val="000000"/>
              </w:rPr>
              <w:t>$12,050</w:t>
            </w:r>
          </w:p>
        </w:tc>
        <w:tc>
          <w:tcPr>
            <w:tcW w:w="787" w:type="pct"/>
            <w:vAlign w:val="center"/>
          </w:tcPr>
          <w:p w14:paraId="298C58A6" w14:textId="77777777" w:rsidR="000E482F" w:rsidRPr="002C12E9" w:rsidRDefault="000E482F" w:rsidP="004C79C1">
            <w:pPr>
              <w:pStyle w:val="Tabletext1"/>
              <w:spacing w:before="0" w:after="120"/>
              <w:ind w:right="276"/>
              <w:jc w:val="right"/>
            </w:pPr>
            <w:r w:rsidRPr="002C12E9">
              <w:rPr>
                <w:color w:val="000000"/>
              </w:rPr>
              <w:t>$12,245</w:t>
            </w:r>
          </w:p>
        </w:tc>
        <w:tc>
          <w:tcPr>
            <w:tcW w:w="757" w:type="pct"/>
            <w:vAlign w:val="center"/>
          </w:tcPr>
          <w:p w14:paraId="0831A03D" w14:textId="77777777" w:rsidR="000E482F" w:rsidRPr="002C12E9" w:rsidRDefault="000E482F" w:rsidP="004C79C1">
            <w:pPr>
              <w:pStyle w:val="Tabletext1"/>
              <w:spacing w:before="0" w:after="120"/>
              <w:ind w:right="276"/>
              <w:jc w:val="right"/>
            </w:pPr>
            <w:r w:rsidRPr="002C12E9">
              <w:rPr>
                <w:color w:val="000000"/>
              </w:rPr>
              <w:t>$12,438</w:t>
            </w:r>
          </w:p>
        </w:tc>
      </w:tr>
      <w:tr w:rsidR="00784480" w:rsidRPr="002C12E9" w14:paraId="2DD06BB8" w14:textId="77777777" w:rsidTr="00784480">
        <w:tc>
          <w:tcPr>
            <w:tcW w:w="1098" w:type="pct"/>
            <w:vAlign w:val="bottom"/>
          </w:tcPr>
          <w:p w14:paraId="243CE10F" w14:textId="765E5995" w:rsidR="000E482F" w:rsidRPr="002C12E9" w:rsidRDefault="000E482F" w:rsidP="004C79C1">
            <w:pPr>
              <w:pStyle w:val="Tabletext1"/>
              <w:spacing w:before="0" w:after="120"/>
            </w:pPr>
            <w:r w:rsidRPr="002C12E9">
              <w:t>Contrast Echo</w:t>
            </w:r>
          </w:p>
        </w:tc>
        <w:tc>
          <w:tcPr>
            <w:tcW w:w="786" w:type="pct"/>
            <w:vAlign w:val="center"/>
          </w:tcPr>
          <w:p w14:paraId="4E92BE03" w14:textId="77777777" w:rsidR="000E482F" w:rsidRPr="002C12E9" w:rsidRDefault="000E482F" w:rsidP="004C79C1">
            <w:pPr>
              <w:pStyle w:val="Tabletext1"/>
              <w:spacing w:before="0" w:after="120"/>
              <w:ind w:right="276"/>
              <w:jc w:val="right"/>
            </w:pPr>
            <w:r w:rsidRPr="002C12E9">
              <w:rPr>
                <w:color w:val="000000"/>
              </w:rPr>
              <w:t>$16,764</w:t>
            </w:r>
          </w:p>
        </w:tc>
        <w:tc>
          <w:tcPr>
            <w:tcW w:w="786" w:type="pct"/>
            <w:vAlign w:val="center"/>
          </w:tcPr>
          <w:p w14:paraId="6E905074" w14:textId="77777777" w:rsidR="000E482F" w:rsidRPr="002C12E9" w:rsidRDefault="000E482F" w:rsidP="004C79C1">
            <w:pPr>
              <w:pStyle w:val="Tabletext1"/>
              <w:spacing w:before="0" w:after="120"/>
              <w:ind w:right="276"/>
              <w:jc w:val="right"/>
            </w:pPr>
            <w:r w:rsidRPr="002C12E9">
              <w:rPr>
                <w:color w:val="000000"/>
              </w:rPr>
              <w:t>$17,050</w:t>
            </w:r>
          </w:p>
        </w:tc>
        <w:tc>
          <w:tcPr>
            <w:tcW w:w="786" w:type="pct"/>
            <w:vAlign w:val="center"/>
          </w:tcPr>
          <w:p w14:paraId="316B6A67" w14:textId="77777777" w:rsidR="000E482F" w:rsidRPr="002C12E9" w:rsidRDefault="000E482F" w:rsidP="004C79C1">
            <w:pPr>
              <w:pStyle w:val="Tabletext1"/>
              <w:spacing w:before="0" w:after="120"/>
              <w:ind w:right="276"/>
              <w:jc w:val="right"/>
            </w:pPr>
            <w:r w:rsidRPr="002C12E9">
              <w:rPr>
                <w:color w:val="000000"/>
              </w:rPr>
              <w:t>$17,334</w:t>
            </w:r>
          </w:p>
        </w:tc>
        <w:tc>
          <w:tcPr>
            <w:tcW w:w="787" w:type="pct"/>
            <w:vAlign w:val="center"/>
          </w:tcPr>
          <w:p w14:paraId="00DDB96E" w14:textId="77777777" w:rsidR="000E482F" w:rsidRPr="002C12E9" w:rsidRDefault="000E482F" w:rsidP="004C79C1">
            <w:pPr>
              <w:pStyle w:val="Tabletext1"/>
              <w:spacing w:before="0" w:after="120"/>
              <w:ind w:right="276"/>
              <w:jc w:val="right"/>
            </w:pPr>
            <w:r w:rsidRPr="002C12E9">
              <w:rPr>
                <w:color w:val="000000"/>
              </w:rPr>
              <w:t>$17,613</w:t>
            </w:r>
          </w:p>
        </w:tc>
        <w:tc>
          <w:tcPr>
            <w:tcW w:w="757" w:type="pct"/>
            <w:vAlign w:val="center"/>
          </w:tcPr>
          <w:p w14:paraId="551F536D" w14:textId="77777777" w:rsidR="000E482F" w:rsidRPr="002C12E9" w:rsidRDefault="000E482F" w:rsidP="004C79C1">
            <w:pPr>
              <w:pStyle w:val="Tabletext1"/>
              <w:spacing w:before="0" w:after="120"/>
              <w:ind w:right="276"/>
              <w:jc w:val="right"/>
            </w:pPr>
            <w:r w:rsidRPr="002C12E9">
              <w:rPr>
                <w:color w:val="000000"/>
              </w:rPr>
              <w:t>$17,891</w:t>
            </w:r>
          </w:p>
        </w:tc>
      </w:tr>
      <w:tr w:rsidR="00784480" w:rsidRPr="002C12E9" w14:paraId="637E8263" w14:textId="77777777" w:rsidTr="00784480">
        <w:tc>
          <w:tcPr>
            <w:tcW w:w="1098" w:type="pct"/>
          </w:tcPr>
          <w:p w14:paraId="2FC13F19" w14:textId="77777777" w:rsidR="000E482F" w:rsidRPr="002C12E9" w:rsidRDefault="000E482F" w:rsidP="004C79C1">
            <w:pPr>
              <w:pStyle w:val="Tabletext1"/>
              <w:spacing w:before="0" w:after="120"/>
            </w:pPr>
            <w:r w:rsidRPr="00C7004C">
              <w:t>ICA</w:t>
            </w:r>
          </w:p>
        </w:tc>
        <w:tc>
          <w:tcPr>
            <w:tcW w:w="786" w:type="pct"/>
            <w:vAlign w:val="center"/>
          </w:tcPr>
          <w:p w14:paraId="239E5FFA" w14:textId="77777777" w:rsidR="000E482F" w:rsidRPr="002C12E9" w:rsidRDefault="000E482F" w:rsidP="004C79C1">
            <w:pPr>
              <w:pStyle w:val="Tabletext1"/>
              <w:spacing w:before="0" w:after="120"/>
              <w:ind w:right="276"/>
              <w:jc w:val="right"/>
            </w:pPr>
            <w:r w:rsidRPr="00BE4890">
              <w:t>$183,949</w:t>
            </w:r>
          </w:p>
        </w:tc>
        <w:tc>
          <w:tcPr>
            <w:tcW w:w="786" w:type="pct"/>
            <w:vAlign w:val="center"/>
          </w:tcPr>
          <w:p w14:paraId="0DD4AEA6" w14:textId="77777777" w:rsidR="000E482F" w:rsidRPr="002C12E9" w:rsidRDefault="000E482F" w:rsidP="004C79C1">
            <w:pPr>
              <w:pStyle w:val="Tabletext1"/>
              <w:spacing w:before="0" w:after="120"/>
              <w:ind w:right="276"/>
              <w:jc w:val="right"/>
            </w:pPr>
            <w:r w:rsidRPr="00BE4890">
              <w:t>$187,085</w:t>
            </w:r>
          </w:p>
        </w:tc>
        <w:tc>
          <w:tcPr>
            <w:tcW w:w="786" w:type="pct"/>
            <w:vAlign w:val="center"/>
          </w:tcPr>
          <w:p w14:paraId="333CCBF4" w14:textId="77777777" w:rsidR="000E482F" w:rsidRPr="002C12E9" w:rsidRDefault="000E482F" w:rsidP="004C79C1">
            <w:pPr>
              <w:pStyle w:val="Tabletext1"/>
              <w:spacing w:before="0" w:after="120"/>
              <w:ind w:right="276"/>
              <w:jc w:val="right"/>
            </w:pPr>
            <w:r w:rsidRPr="00BE4890">
              <w:t>$190,195</w:t>
            </w:r>
          </w:p>
        </w:tc>
        <w:tc>
          <w:tcPr>
            <w:tcW w:w="787" w:type="pct"/>
            <w:vAlign w:val="center"/>
          </w:tcPr>
          <w:p w14:paraId="3E692B94" w14:textId="77777777" w:rsidR="000E482F" w:rsidRPr="002C12E9" w:rsidRDefault="000E482F" w:rsidP="004C79C1">
            <w:pPr>
              <w:pStyle w:val="Tabletext1"/>
              <w:spacing w:before="0" w:after="120"/>
              <w:ind w:right="276"/>
              <w:jc w:val="right"/>
            </w:pPr>
            <w:r w:rsidRPr="00BE4890">
              <w:t>$193,258</w:t>
            </w:r>
          </w:p>
        </w:tc>
        <w:tc>
          <w:tcPr>
            <w:tcW w:w="757" w:type="pct"/>
            <w:vAlign w:val="center"/>
          </w:tcPr>
          <w:p w14:paraId="63B9A1BC" w14:textId="77777777" w:rsidR="000E482F" w:rsidRPr="002C12E9" w:rsidRDefault="000E482F" w:rsidP="004C79C1">
            <w:pPr>
              <w:pStyle w:val="Tabletext1"/>
              <w:spacing w:before="0" w:after="120"/>
              <w:ind w:right="276"/>
              <w:jc w:val="right"/>
            </w:pPr>
            <w:r w:rsidRPr="00BE4890">
              <w:t>$196,309</w:t>
            </w:r>
          </w:p>
        </w:tc>
      </w:tr>
      <w:tr w:rsidR="00784480" w:rsidRPr="002C12E9" w14:paraId="4BABFB0C" w14:textId="77777777" w:rsidTr="00784480">
        <w:tc>
          <w:tcPr>
            <w:tcW w:w="1098" w:type="pct"/>
          </w:tcPr>
          <w:p w14:paraId="075CE8AF" w14:textId="77777777" w:rsidR="000E482F" w:rsidRPr="002C12E9" w:rsidRDefault="000E482F" w:rsidP="004C79C1">
            <w:pPr>
              <w:pStyle w:val="Tabletext1"/>
              <w:spacing w:before="0" w:after="120"/>
            </w:pPr>
            <w:r w:rsidRPr="00C7004C">
              <w:t>Stress Echo</w:t>
            </w:r>
          </w:p>
        </w:tc>
        <w:tc>
          <w:tcPr>
            <w:tcW w:w="786" w:type="pct"/>
            <w:vAlign w:val="center"/>
          </w:tcPr>
          <w:p w14:paraId="12573773" w14:textId="77777777" w:rsidR="000E482F" w:rsidRPr="002C12E9" w:rsidRDefault="000E482F" w:rsidP="004C79C1">
            <w:pPr>
              <w:pStyle w:val="Tabletext1"/>
              <w:spacing w:before="0" w:after="120"/>
              <w:ind w:right="276"/>
              <w:jc w:val="right"/>
              <w:rPr>
                <w:color w:val="000000"/>
              </w:rPr>
            </w:pPr>
            <w:r w:rsidRPr="00BE4890">
              <w:t>$11,233</w:t>
            </w:r>
          </w:p>
        </w:tc>
        <w:tc>
          <w:tcPr>
            <w:tcW w:w="786" w:type="pct"/>
            <w:vAlign w:val="center"/>
          </w:tcPr>
          <w:p w14:paraId="36F70142" w14:textId="77777777" w:rsidR="000E482F" w:rsidRPr="002C12E9" w:rsidRDefault="000E482F" w:rsidP="004C79C1">
            <w:pPr>
              <w:pStyle w:val="Tabletext1"/>
              <w:spacing w:before="0" w:after="120"/>
              <w:ind w:right="276"/>
              <w:jc w:val="right"/>
              <w:rPr>
                <w:color w:val="000000"/>
              </w:rPr>
            </w:pPr>
            <w:r w:rsidRPr="00BE4890">
              <w:t>$11,425</w:t>
            </w:r>
          </w:p>
        </w:tc>
        <w:tc>
          <w:tcPr>
            <w:tcW w:w="786" w:type="pct"/>
            <w:vAlign w:val="center"/>
          </w:tcPr>
          <w:p w14:paraId="3CF80995" w14:textId="77777777" w:rsidR="000E482F" w:rsidRPr="002C12E9" w:rsidRDefault="000E482F" w:rsidP="004C79C1">
            <w:pPr>
              <w:pStyle w:val="Tabletext1"/>
              <w:spacing w:before="0" w:after="120"/>
              <w:ind w:right="276"/>
              <w:jc w:val="right"/>
              <w:rPr>
                <w:color w:val="000000"/>
              </w:rPr>
            </w:pPr>
            <w:r w:rsidRPr="00BE4890">
              <w:t>$11,615</w:t>
            </w:r>
          </w:p>
        </w:tc>
        <w:tc>
          <w:tcPr>
            <w:tcW w:w="787" w:type="pct"/>
            <w:vAlign w:val="center"/>
          </w:tcPr>
          <w:p w14:paraId="12947358" w14:textId="77777777" w:rsidR="000E482F" w:rsidRPr="002C12E9" w:rsidRDefault="000E482F" w:rsidP="004C79C1">
            <w:pPr>
              <w:pStyle w:val="Tabletext1"/>
              <w:spacing w:before="0" w:after="120"/>
              <w:ind w:right="276"/>
              <w:jc w:val="right"/>
              <w:rPr>
                <w:color w:val="000000"/>
              </w:rPr>
            </w:pPr>
            <w:r w:rsidRPr="00BE4890">
              <w:t>$11,802</w:t>
            </w:r>
          </w:p>
        </w:tc>
        <w:tc>
          <w:tcPr>
            <w:tcW w:w="757" w:type="pct"/>
            <w:vAlign w:val="center"/>
          </w:tcPr>
          <w:p w14:paraId="6419C51E" w14:textId="77777777" w:rsidR="000E482F" w:rsidRPr="002C12E9" w:rsidRDefault="000E482F" w:rsidP="004C79C1">
            <w:pPr>
              <w:pStyle w:val="Tabletext1"/>
              <w:spacing w:before="0" w:after="120"/>
              <w:ind w:right="276"/>
              <w:jc w:val="right"/>
              <w:rPr>
                <w:color w:val="000000"/>
              </w:rPr>
            </w:pPr>
            <w:r w:rsidRPr="00BE4890">
              <w:t>$11,988</w:t>
            </w:r>
          </w:p>
        </w:tc>
      </w:tr>
      <w:tr w:rsidR="00784480" w:rsidRPr="002C12E9" w14:paraId="7AD0B625" w14:textId="77777777" w:rsidTr="00784480">
        <w:tc>
          <w:tcPr>
            <w:tcW w:w="1098" w:type="pct"/>
          </w:tcPr>
          <w:p w14:paraId="1FCACB76" w14:textId="77777777" w:rsidR="000E482F" w:rsidRPr="002C12E9" w:rsidRDefault="000E482F" w:rsidP="004C79C1">
            <w:pPr>
              <w:pStyle w:val="Tabletext1"/>
              <w:spacing w:before="0" w:after="120"/>
            </w:pPr>
            <w:r w:rsidRPr="00C7004C">
              <w:t>CTCA</w:t>
            </w:r>
          </w:p>
        </w:tc>
        <w:tc>
          <w:tcPr>
            <w:tcW w:w="786" w:type="pct"/>
            <w:vAlign w:val="center"/>
          </w:tcPr>
          <w:p w14:paraId="41EC2803" w14:textId="77777777" w:rsidR="000E482F" w:rsidRPr="002C12E9" w:rsidRDefault="000E482F" w:rsidP="004C79C1">
            <w:pPr>
              <w:pStyle w:val="Tabletext1"/>
              <w:spacing w:before="0" w:after="120"/>
              <w:ind w:right="276"/>
              <w:jc w:val="right"/>
              <w:rPr>
                <w:color w:val="000000"/>
              </w:rPr>
            </w:pPr>
            <w:r w:rsidRPr="00BE4890">
              <w:t>$40,843</w:t>
            </w:r>
          </w:p>
        </w:tc>
        <w:tc>
          <w:tcPr>
            <w:tcW w:w="786" w:type="pct"/>
            <w:vAlign w:val="center"/>
          </w:tcPr>
          <w:p w14:paraId="1BC7D322" w14:textId="77777777" w:rsidR="000E482F" w:rsidRPr="002C12E9" w:rsidRDefault="000E482F" w:rsidP="004C79C1">
            <w:pPr>
              <w:pStyle w:val="Tabletext1"/>
              <w:spacing w:before="0" w:after="120"/>
              <w:ind w:right="276"/>
              <w:jc w:val="right"/>
              <w:rPr>
                <w:color w:val="000000"/>
              </w:rPr>
            </w:pPr>
            <w:r w:rsidRPr="00BE4890">
              <w:t>$41,539</w:t>
            </w:r>
          </w:p>
        </w:tc>
        <w:tc>
          <w:tcPr>
            <w:tcW w:w="786" w:type="pct"/>
            <w:vAlign w:val="center"/>
          </w:tcPr>
          <w:p w14:paraId="5BFB833C" w14:textId="77777777" w:rsidR="000E482F" w:rsidRPr="002C12E9" w:rsidRDefault="000E482F" w:rsidP="004C79C1">
            <w:pPr>
              <w:pStyle w:val="Tabletext1"/>
              <w:spacing w:before="0" w:after="120"/>
              <w:ind w:right="276"/>
              <w:jc w:val="right"/>
              <w:rPr>
                <w:color w:val="000000"/>
              </w:rPr>
            </w:pPr>
            <w:r w:rsidRPr="00BE4890">
              <w:t>$42,230</w:t>
            </w:r>
          </w:p>
        </w:tc>
        <w:tc>
          <w:tcPr>
            <w:tcW w:w="787" w:type="pct"/>
            <w:vAlign w:val="center"/>
          </w:tcPr>
          <w:p w14:paraId="5AE6845D" w14:textId="77777777" w:rsidR="000E482F" w:rsidRPr="002C12E9" w:rsidRDefault="000E482F" w:rsidP="004C79C1">
            <w:pPr>
              <w:pStyle w:val="Tabletext1"/>
              <w:spacing w:before="0" w:after="120"/>
              <w:ind w:right="276"/>
              <w:jc w:val="right"/>
              <w:rPr>
                <w:color w:val="000000"/>
              </w:rPr>
            </w:pPr>
            <w:r w:rsidRPr="00BE4890">
              <w:t>$42,910</w:t>
            </w:r>
          </w:p>
        </w:tc>
        <w:tc>
          <w:tcPr>
            <w:tcW w:w="757" w:type="pct"/>
            <w:vAlign w:val="center"/>
          </w:tcPr>
          <w:p w14:paraId="5870CF62" w14:textId="77777777" w:rsidR="000E482F" w:rsidRPr="002C12E9" w:rsidRDefault="000E482F" w:rsidP="004C79C1">
            <w:pPr>
              <w:pStyle w:val="Tabletext1"/>
              <w:spacing w:before="0" w:after="120"/>
              <w:ind w:right="276"/>
              <w:jc w:val="right"/>
              <w:rPr>
                <w:color w:val="000000"/>
              </w:rPr>
            </w:pPr>
            <w:r w:rsidRPr="00BE4890">
              <w:t>$43,587</w:t>
            </w:r>
          </w:p>
        </w:tc>
      </w:tr>
      <w:tr w:rsidR="00784480" w:rsidRPr="002C12E9" w14:paraId="1EFCAA19" w14:textId="77777777" w:rsidTr="00784480">
        <w:tc>
          <w:tcPr>
            <w:tcW w:w="1098" w:type="pct"/>
          </w:tcPr>
          <w:p w14:paraId="33E89796" w14:textId="77777777" w:rsidR="000E482F" w:rsidRPr="002C12E9" w:rsidRDefault="000E482F" w:rsidP="004C79C1">
            <w:pPr>
              <w:pStyle w:val="Tabletext1"/>
              <w:spacing w:before="0" w:after="120"/>
            </w:pPr>
            <w:r w:rsidRPr="00C7004C">
              <w:t>SPECT</w:t>
            </w:r>
          </w:p>
        </w:tc>
        <w:tc>
          <w:tcPr>
            <w:tcW w:w="786" w:type="pct"/>
            <w:vAlign w:val="center"/>
          </w:tcPr>
          <w:p w14:paraId="7D0C2FED" w14:textId="77777777" w:rsidR="000E482F" w:rsidRPr="002C12E9" w:rsidRDefault="000E482F" w:rsidP="004C79C1">
            <w:pPr>
              <w:pStyle w:val="Tabletext1"/>
              <w:spacing w:before="0" w:after="120"/>
              <w:ind w:right="276"/>
              <w:jc w:val="right"/>
            </w:pPr>
            <w:r w:rsidRPr="00BE4890">
              <w:t>$1,805</w:t>
            </w:r>
          </w:p>
        </w:tc>
        <w:tc>
          <w:tcPr>
            <w:tcW w:w="786" w:type="pct"/>
            <w:vAlign w:val="center"/>
          </w:tcPr>
          <w:p w14:paraId="5797A084" w14:textId="77777777" w:rsidR="000E482F" w:rsidRPr="002C12E9" w:rsidRDefault="000E482F" w:rsidP="004C79C1">
            <w:pPr>
              <w:pStyle w:val="Tabletext1"/>
              <w:spacing w:before="0" w:after="120"/>
              <w:ind w:right="276"/>
              <w:jc w:val="right"/>
            </w:pPr>
            <w:r w:rsidRPr="00BE4890">
              <w:t>$1,836</w:t>
            </w:r>
          </w:p>
        </w:tc>
        <w:tc>
          <w:tcPr>
            <w:tcW w:w="786" w:type="pct"/>
            <w:vAlign w:val="center"/>
          </w:tcPr>
          <w:p w14:paraId="6EF5C6E2" w14:textId="77777777" w:rsidR="000E482F" w:rsidRPr="002C12E9" w:rsidRDefault="000E482F" w:rsidP="004C79C1">
            <w:pPr>
              <w:pStyle w:val="Tabletext1"/>
              <w:spacing w:before="0" w:after="120"/>
              <w:ind w:right="276"/>
              <w:jc w:val="right"/>
            </w:pPr>
            <w:r w:rsidRPr="00BE4890">
              <w:t>$1,867</w:t>
            </w:r>
          </w:p>
        </w:tc>
        <w:tc>
          <w:tcPr>
            <w:tcW w:w="787" w:type="pct"/>
            <w:vAlign w:val="center"/>
          </w:tcPr>
          <w:p w14:paraId="65DBD19F" w14:textId="77777777" w:rsidR="000E482F" w:rsidRPr="002C12E9" w:rsidRDefault="000E482F" w:rsidP="004C79C1">
            <w:pPr>
              <w:pStyle w:val="Tabletext1"/>
              <w:spacing w:before="0" w:after="120"/>
              <w:ind w:right="276"/>
              <w:jc w:val="right"/>
            </w:pPr>
            <w:r w:rsidRPr="00BE4890">
              <w:t>$1,897</w:t>
            </w:r>
          </w:p>
        </w:tc>
        <w:tc>
          <w:tcPr>
            <w:tcW w:w="757" w:type="pct"/>
            <w:vAlign w:val="center"/>
          </w:tcPr>
          <w:p w14:paraId="3D05B4FA" w14:textId="77777777" w:rsidR="000E482F" w:rsidRPr="002C12E9" w:rsidRDefault="000E482F" w:rsidP="004C79C1">
            <w:pPr>
              <w:pStyle w:val="Tabletext1"/>
              <w:spacing w:before="0" w:after="120"/>
              <w:ind w:right="276"/>
              <w:jc w:val="right"/>
            </w:pPr>
            <w:r w:rsidRPr="00BE4890">
              <w:t>$1,927</w:t>
            </w:r>
          </w:p>
        </w:tc>
      </w:tr>
      <w:tr w:rsidR="00784480" w:rsidRPr="002C12E9" w14:paraId="6E48E81C" w14:textId="77777777" w:rsidTr="00784480">
        <w:tc>
          <w:tcPr>
            <w:tcW w:w="1098" w:type="pct"/>
            <w:tcBorders>
              <w:bottom w:val="single" w:sz="4" w:space="0" w:color="auto"/>
            </w:tcBorders>
            <w:vAlign w:val="bottom"/>
          </w:tcPr>
          <w:p w14:paraId="5E163B4D" w14:textId="456D5D51" w:rsidR="000E482F" w:rsidRPr="002C12E9" w:rsidRDefault="000E482F" w:rsidP="004C79C1">
            <w:pPr>
              <w:pStyle w:val="Tabletext1"/>
              <w:spacing w:before="0" w:after="120"/>
              <w:rPr>
                <w:b/>
              </w:rPr>
            </w:pPr>
            <w:r w:rsidRPr="002C12E9">
              <w:rPr>
                <w:b/>
              </w:rPr>
              <w:t>Total offsets to patient</w:t>
            </w:r>
            <w:r w:rsidR="001D3865">
              <w:rPr>
                <w:b/>
              </w:rPr>
              <w:t>s</w:t>
            </w:r>
          </w:p>
        </w:tc>
        <w:tc>
          <w:tcPr>
            <w:tcW w:w="786" w:type="pct"/>
            <w:tcBorders>
              <w:bottom w:val="single" w:sz="4" w:space="0" w:color="auto"/>
            </w:tcBorders>
            <w:vAlign w:val="center"/>
          </w:tcPr>
          <w:p w14:paraId="15EDD7FC" w14:textId="77777777" w:rsidR="000E482F" w:rsidRPr="002C12E9" w:rsidRDefault="000E482F" w:rsidP="004C79C1">
            <w:pPr>
              <w:pStyle w:val="Tabletext1"/>
              <w:spacing w:before="0" w:after="120"/>
              <w:ind w:right="276"/>
              <w:jc w:val="right"/>
              <w:rPr>
                <w:b/>
              </w:rPr>
            </w:pPr>
            <w:r w:rsidRPr="00BA3C07">
              <w:t>$266,250</w:t>
            </w:r>
          </w:p>
        </w:tc>
        <w:tc>
          <w:tcPr>
            <w:tcW w:w="786" w:type="pct"/>
            <w:tcBorders>
              <w:bottom w:val="single" w:sz="4" w:space="0" w:color="auto"/>
            </w:tcBorders>
            <w:vAlign w:val="center"/>
          </w:tcPr>
          <w:p w14:paraId="60839E4F" w14:textId="77777777" w:rsidR="000E482F" w:rsidRPr="002C12E9" w:rsidRDefault="000E482F" w:rsidP="004C79C1">
            <w:pPr>
              <w:pStyle w:val="Tabletext1"/>
              <w:spacing w:before="0" w:after="120"/>
              <w:ind w:right="276"/>
              <w:jc w:val="right"/>
              <w:rPr>
                <w:b/>
              </w:rPr>
            </w:pPr>
            <w:r w:rsidRPr="00BA3C07">
              <w:t>$270,788</w:t>
            </w:r>
          </w:p>
        </w:tc>
        <w:tc>
          <w:tcPr>
            <w:tcW w:w="786" w:type="pct"/>
            <w:tcBorders>
              <w:bottom w:val="single" w:sz="4" w:space="0" w:color="auto"/>
            </w:tcBorders>
            <w:vAlign w:val="center"/>
          </w:tcPr>
          <w:p w14:paraId="345D2CA5" w14:textId="77777777" w:rsidR="000E482F" w:rsidRPr="002C12E9" w:rsidRDefault="000E482F" w:rsidP="004C79C1">
            <w:pPr>
              <w:pStyle w:val="Tabletext1"/>
              <w:spacing w:before="0" w:after="120"/>
              <w:ind w:right="276"/>
              <w:jc w:val="right"/>
              <w:rPr>
                <w:b/>
              </w:rPr>
            </w:pPr>
            <w:r w:rsidRPr="00BA3C07">
              <w:t>$275,290</w:t>
            </w:r>
          </w:p>
        </w:tc>
        <w:tc>
          <w:tcPr>
            <w:tcW w:w="787" w:type="pct"/>
            <w:tcBorders>
              <w:bottom w:val="single" w:sz="4" w:space="0" w:color="auto"/>
            </w:tcBorders>
            <w:vAlign w:val="center"/>
          </w:tcPr>
          <w:p w14:paraId="758677A7" w14:textId="77777777" w:rsidR="000E482F" w:rsidRPr="002C12E9" w:rsidRDefault="000E482F" w:rsidP="004C79C1">
            <w:pPr>
              <w:pStyle w:val="Tabletext1"/>
              <w:spacing w:before="0" w:after="120"/>
              <w:ind w:right="276"/>
              <w:jc w:val="right"/>
              <w:rPr>
                <w:b/>
              </w:rPr>
            </w:pPr>
            <w:r w:rsidRPr="00BA3C07">
              <w:t>$279,724</w:t>
            </w:r>
          </w:p>
        </w:tc>
        <w:tc>
          <w:tcPr>
            <w:tcW w:w="757" w:type="pct"/>
            <w:tcBorders>
              <w:bottom w:val="single" w:sz="4" w:space="0" w:color="auto"/>
            </w:tcBorders>
            <w:vAlign w:val="center"/>
          </w:tcPr>
          <w:p w14:paraId="42A926F9" w14:textId="77777777" w:rsidR="000E482F" w:rsidRPr="002C12E9" w:rsidRDefault="000E482F" w:rsidP="004C79C1">
            <w:pPr>
              <w:pStyle w:val="Tabletext1"/>
              <w:spacing w:before="0" w:after="120"/>
              <w:ind w:right="276"/>
              <w:jc w:val="right"/>
              <w:rPr>
                <w:b/>
              </w:rPr>
            </w:pPr>
            <w:r w:rsidRPr="00BA3C07">
              <w:t>$284,140</w:t>
            </w:r>
          </w:p>
        </w:tc>
      </w:tr>
      <w:tr w:rsidR="000E482F" w:rsidRPr="002C12E9" w14:paraId="70522FAC" w14:textId="77777777" w:rsidTr="00784480">
        <w:tc>
          <w:tcPr>
            <w:tcW w:w="1098" w:type="pct"/>
            <w:tcBorders>
              <w:right w:val="nil"/>
            </w:tcBorders>
            <w:vAlign w:val="center"/>
          </w:tcPr>
          <w:p w14:paraId="7DFD6936" w14:textId="18A2BA23" w:rsidR="000E482F" w:rsidRPr="00784480" w:rsidRDefault="000E482F" w:rsidP="004C79C1">
            <w:pPr>
              <w:pStyle w:val="Tabletext1"/>
              <w:spacing w:before="0" w:after="120"/>
              <w:rPr>
                <w:b/>
                <w:i/>
              </w:rPr>
            </w:pPr>
            <w:r w:rsidRPr="00784480">
              <w:rPr>
                <w:b/>
                <w:i/>
              </w:rPr>
              <w:t>PHI cost offset</w:t>
            </w:r>
            <w:r w:rsidR="00D455CF">
              <w:rPr>
                <w:b/>
                <w:i/>
              </w:rPr>
              <w:t>s</w:t>
            </w:r>
          </w:p>
        </w:tc>
        <w:tc>
          <w:tcPr>
            <w:tcW w:w="786" w:type="pct"/>
            <w:tcBorders>
              <w:left w:val="nil"/>
              <w:right w:val="nil"/>
            </w:tcBorders>
            <w:vAlign w:val="center"/>
          </w:tcPr>
          <w:p w14:paraId="7DBA444F" w14:textId="77777777" w:rsidR="000E482F" w:rsidRPr="00BA3C07" w:rsidRDefault="000E482F" w:rsidP="004C79C1">
            <w:pPr>
              <w:pStyle w:val="Tabletext1"/>
              <w:spacing w:before="0" w:after="120"/>
              <w:jc w:val="center"/>
            </w:pPr>
          </w:p>
        </w:tc>
        <w:tc>
          <w:tcPr>
            <w:tcW w:w="786" w:type="pct"/>
            <w:tcBorders>
              <w:left w:val="nil"/>
              <w:right w:val="nil"/>
            </w:tcBorders>
            <w:vAlign w:val="center"/>
          </w:tcPr>
          <w:p w14:paraId="6DDB891A" w14:textId="77777777" w:rsidR="000E482F" w:rsidRPr="00BA3C07" w:rsidRDefault="000E482F" w:rsidP="004C79C1">
            <w:pPr>
              <w:pStyle w:val="Tabletext1"/>
              <w:spacing w:before="0" w:after="120"/>
              <w:jc w:val="center"/>
            </w:pPr>
          </w:p>
        </w:tc>
        <w:tc>
          <w:tcPr>
            <w:tcW w:w="786" w:type="pct"/>
            <w:tcBorders>
              <w:left w:val="nil"/>
              <w:right w:val="nil"/>
            </w:tcBorders>
            <w:vAlign w:val="center"/>
          </w:tcPr>
          <w:p w14:paraId="1A2794C5" w14:textId="77777777" w:rsidR="000E482F" w:rsidRPr="00BA3C07" w:rsidRDefault="000E482F" w:rsidP="004C79C1">
            <w:pPr>
              <w:pStyle w:val="Tabletext1"/>
              <w:spacing w:before="0" w:after="120"/>
              <w:jc w:val="center"/>
            </w:pPr>
          </w:p>
        </w:tc>
        <w:tc>
          <w:tcPr>
            <w:tcW w:w="787" w:type="pct"/>
            <w:tcBorders>
              <w:left w:val="nil"/>
              <w:right w:val="nil"/>
            </w:tcBorders>
            <w:vAlign w:val="center"/>
          </w:tcPr>
          <w:p w14:paraId="7B8319D0" w14:textId="77777777" w:rsidR="000E482F" w:rsidRPr="00BA3C07" w:rsidRDefault="000E482F" w:rsidP="004C79C1">
            <w:pPr>
              <w:pStyle w:val="Tabletext1"/>
              <w:spacing w:before="0" w:after="120"/>
              <w:jc w:val="center"/>
            </w:pPr>
          </w:p>
        </w:tc>
        <w:tc>
          <w:tcPr>
            <w:tcW w:w="757" w:type="pct"/>
            <w:tcBorders>
              <w:left w:val="nil"/>
            </w:tcBorders>
            <w:vAlign w:val="center"/>
          </w:tcPr>
          <w:p w14:paraId="6F822F01" w14:textId="77777777" w:rsidR="000E482F" w:rsidRPr="00BA3C07" w:rsidRDefault="000E482F" w:rsidP="004C79C1">
            <w:pPr>
              <w:pStyle w:val="Tabletext1"/>
              <w:spacing w:before="0" w:after="120"/>
              <w:jc w:val="center"/>
            </w:pPr>
          </w:p>
        </w:tc>
      </w:tr>
      <w:tr w:rsidR="00784480" w:rsidRPr="002C12E9" w14:paraId="01589585" w14:textId="77777777" w:rsidTr="00784480">
        <w:tc>
          <w:tcPr>
            <w:tcW w:w="1098" w:type="pct"/>
            <w:tcBorders>
              <w:bottom w:val="single" w:sz="4" w:space="0" w:color="auto"/>
            </w:tcBorders>
            <w:vAlign w:val="bottom"/>
          </w:tcPr>
          <w:p w14:paraId="1BFBD27F" w14:textId="77777777" w:rsidR="000E482F" w:rsidRPr="00E35296" w:rsidRDefault="000E482F" w:rsidP="004C79C1">
            <w:pPr>
              <w:pStyle w:val="Tabletext1"/>
              <w:spacing w:before="0" w:after="120"/>
            </w:pPr>
            <w:r w:rsidRPr="00E35296">
              <w:t>ICA</w:t>
            </w:r>
          </w:p>
        </w:tc>
        <w:tc>
          <w:tcPr>
            <w:tcW w:w="786" w:type="pct"/>
            <w:tcBorders>
              <w:bottom w:val="single" w:sz="4" w:space="0" w:color="auto"/>
            </w:tcBorders>
            <w:vAlign w:val="center"/>
          </w:tcPr>
          <w:p w14:paraId="26C7131A" w14:textId="77777777" w:rsidR="000E482F" w:rsidRPr="00BA3C07" w:rsidRDefault="000E482F" w:rsidP="004C79C1">
            <w:pPr>
              <w:pStyle w:val="Tabletext1"/>
              <w:spacing w:before="0" w:after="120"/>
              <w:jc w:val="center"/>
            </w:pPr>
            <w:r w:rsidRPr="006972AD">
              <w:t>$3,933,522</w:t>
            </w:r>
          </w:p>
        </w:tc>
        <w:tc>
          <w:tcPr>
            <w:tcW w:w="786" w:type="pct"/>
            <w:tcBorders>
              <w:bottom w:val="single" w:sz="4" w:space="0" w:color="auto"/>
            </w:tcBorders>
            <w:vAlign w:val="center"/>
          </w:tcPr>
          <w:p w14:paraId="3E34926E" w14:textId="77777777" w:rsidR="000E482F" w:rsidRPr="00BA3C07" w:rsidRDefault="000E482F" w:rsidP="004C79C1">
            <w:pPr>
              <w:pStyle w:val="Tabletext1"/>
              <w:spacing w:before="0" w:after="120"/>
              <w:jc w:val="center"/>
            </w:pPr>
            <w:r w:rsidRPr="006972AD">
              <w:t>$4,000,579</w:t>
            </w:r>
          </w:p>
        </w:tc>
        <w:tc>
          <w:tcPr>
            <w:tcW w:w="786" w:type="pct"/>
            <w:tcBorders>
              <w:bottom w:val="single" w:sz="4" w:space="0" w:color="auto"/>
            </w:tcBorders>
            <w:vAlign w:val="center"/>
          </w:tcPr>
          <w:p w14:paraId="01E25278" w14:textId="77777777" w:rsidR="000E482F" w:rsidRPr="00BA3C07" w:rsidRDefault="000E482F" w:rsidP="004C79C1">
            <w:pPr>
              <w:pStyle w:val="Tabletext1"/>
              <w:spacing w:before="0" w:after="120"/>
              <w:jc w:val="center"/>
            </w:pPr>
            <w:r w:rsidRPr="006972AD">
              <w:t>$4,067,090</w:t>
            </w:r>
          </w:p>
        </w:tc>
        <w:tc>
          <w:tcPr>
            <w:tcW w:w="787" w:type="pct"/>
            <w:tcBorders>
              <w:bottom w:val="single" w:sz="4" w:space="0" w:color="auto"/>
            </w:tcBorders>
            <w:vAlign w:val="center"/>
          </w:tcPr>
          <w:p w14:paraId="6282642A" w14:textId="77777777" w:rsidR="000E482F" w:rsidRPr="00BA3C07" w:rsidRDefault="000E482F" w:rsidP="004C79C1">
            <w:pPr>
              <w:pStyle w:val="Tabletext1"/>
              <w:spacing w:before="0" w:after="120"/>
              <w:jc w:val="center"/>
            </w:pPr>
            <w:r w:rsidRPr="006972AD">
              <w:t>$4,132,594</w:t>
            </w:r>
          </w:p>
        </w:tc>
        <w:tc>
          <w:tcPr>
            <w:tcW w:w="757" w:type="pct"/>
            <w:tcBorders>
              <w:bottom w:val="single" w:sz="4" w:space="0" w:color="auto"/>
            </w:tcBorders>
            <w:vAlign w:val="center"/>
          </w:tcPr>
          <w:p w14:paraId="3F497D4C" w14:textId="77777777" w:rsidR="000E482F" w:rsidRPr="00BA3C07" w:rsidRDefault="000E482F" w:rsidP="004C79C1">
            <w:pPr>
              <w:pStyle w:val="Tabletext1"/>
              <w:spacing w:before="0" w:after="120"/>
              <w:jc w:val="center"/>
            </w:pPr>
            <w:r w:rsidRPr="006972AD">
              <w:t>$4,197,835</w:t>
            </w:r>
          </w:p>
        </w:tc>
      </w:tr>
      <w:tr w:rsidR="000E482F" w:rsidRPr="002C12E9" w14:paraId="2BA9B0E1" w14:textId="77777777" w:rsidTr="00784480">
        <w:tc>
          <w:tcPr>
            <w:tcW w:w="1098" w:type="pct"/>
            <w:tcBorders>
              <w:right w:val="nil"/>
            </w:tcBorders>
            <w:vAlign w:val="center"/>
          </w:tcPr>
          <w:p w14:paraId="3E6CB8AD" w14:textId="5FE80BF0" w:rsidR="000E482F" w:rsidRPr="00784480" w:rsidRDefault="000E482F" w:rsidP="004C79C1">
            <w:pPr>
              <w:pStyle w:val="Tabletext1"/>
              <w:spacing w:before="0" w:after="120"/>
              <w:rPr>
                <w:b/>
                <w:i/>
              </w:rPr>
            </w:pPr>
            <w:r w:rsidRPr="00784480">
              <w:rPr>
                <w:b/>
                <w:i/>
              </w:rPr>
              <w:t xml:space="preserve">State </w:t>
            </w:r>
            <w:r w:rsidR="00A935E7" w:rsidRPr="00784480">
              <w:rPr>
                <w:b/>
                <w:i/>
              </w:rPr>
              <w:t>h</w:t>
            </w:r>
            <w:r w:rsidRPr="00784480">
              <w:rPr>
                <w:b/>
                <w:i/>
              </w:rPr>
              <w:t xml:space="preserve">ealth </w:t>
            </w:r>
            <w:r w:rsidR="00A935E7" w:rsidRPr="00784480">
              <w:rPr>
                <w:b/>
                <w:i/>
              </w:rPr>
              <w:t>b</w:t>
            </w:r>
            <w:r w:rsidRPr="00784480">
              <w:rPr>
                <w:b/>
                <w:i/>
              </w:rPr>
              <w:t>udget</w:t>
            </w:r>
            <w:r w:rsidR="00A935E7" w:rsidRPr="00784480">
              <w:rPr>
                <w:b/>
                <w:i/>
              </w:rPr>
              <w:t>s</w:t>
            </w:r>
          </w:p>
        </w:tc>
        <w:tc>
          <w:tcPr>
            <w:tcW w:w="786" w:type="pct"/>
            <w:tcBorders>
              <w:left w:val="nil"/>
              <w:right w:val="nil"/>
            </w:tcBorders>
            <w:vAlign w:val="center"/>
          </w:tcPr>
          <w:p w14:paraId="6BF5A8E0" w14:textId="77777777" w:rsidR="000E482F" w:rsidRPr="00BA3C07" w:rsidRDefault="000E482F" w:rsidP="004C79C1">
            <w:pPr>
              <w:pStyle w:val="Tabletext1"/>
              <w:spacing w:before="0" w:after="120"/>
              <w:jc w:val="center"/>
            </w:pPr>
          </w:p>
        </w:tc>
        <w:tc>
          <w:tcPr>
            <w:tcW w:w="786" w:type="pct"/>
            <w:tcBorders>
              <w:left w:val="nil"/>
              <w:right w:val="nil"/>
            </w:tcBorders>
            <w:vAlign w:val="center"/>
          </w:tcPr>
          <w:p w14:paraId="4A5C917C" w14:textId="77777777" w:rsidR="000E482F" w:rsidRPr="00BA3C07" w:rsidRDefault="000E482F" w:rsidP="004C79C1">
            <w:pPr>
              <w:pStyle w:val="Tabletext1"/>
              <w:spacing w:before="0" w:after="120"/>
              <w:jc w:val="center"/>
            </w:pPr>
          </w:p>
        </w:tc>
        <w:tc>
          <w:tcPr>
            <w:tcW w:w="786" w:type="pct"/>
            <w:tcBorders>
              <w:left w:val="nil"/>
              <w:right w:val="nil"/>
            </w:tcBorders>
            <w:vAlign w:val="center"/>
          </w:tcPr>
          <w:p w14:paraId="5C46227A" w14:textId="77777777" w:rsidR="000E482F" w:rsidRPr="00BA3C07" w:rsidRDefault="000E482F" w:rsidP="004C79C1">
            <w:pPr>
              <w:pStyle w:val="Tabletext1"/>
              <w:spacing w:before="0" w:after="120"/>
              <w:jc w:val="center"/>
            </w:pPr>
          </w:p>
        </w:tc>
        <w:tc>
          <w:tcPr>
            <w:tcW w:w="787" w:type="pct"/>
            <w:tcBorders>
              <w:left w:val="nil"/>
              <w:right w:val="nil"/>
            </w:tcBorders>
            <w:vAlign w:val="center"/>
          </w:tcPr>
          <w:p w14:paraId="09A599C2" w14:textId="77777777" w:rsidR="000E482F" w:rsidRPr="00BA3C07" w:rsidRDefault="000E482F" w:rsidP="004C79C1">
            <w:pPr>
              <w:pStyle w:val="Tabletext1"/>
              <w:spacing w:before="0" w:after="120"/>
              <w:jc w:val="center"/>
            </w:pPr>
          </w:p>
        </w:tc>
        <w:tc>
          <w:tcPr>
            <w:tcW w:w="757" w:type="pct"/>
            <w:tcBorders>
              <w:left w:val="nil"/>
            </w:tcBorders>
            <w:vAlign w:val="center"/>
          </w:tcPr>
          <w:p w14:paraId="31086F7C" w14:textId="77777777" w:rsidR="000E482F" w:rsidRPr="00BA3C07" w:rsidRDefault="000E482F" w:rsidP="004C79C1">
            <w:pPr>
              <w:pStyle w:val="Tabletext1"/>
              <w:spacing w:before="0" w:after="120"/>
              <w:jc w:val="center"/>
            </w:pPr>
          </w:p>
        </w:tc>
      </w:tr>
      <w:tr w:rsidR="00784480" w:rsidRPr="002C12E9" w14:paraId="0F4BCC7C" w14:textId="77777777" w:rsidTr="00784480">
        <w:tc>
          <w:tcPr>
            <w:tcW w:w="1098" w:type="pct"/>
            <w:vAlign w:val="bottom"/>
          </w:tcPr>
          <w:p w14:paraId="27F3707F" w14:textId="77777777" w:rsidR="000E482F" w:rsidRPr="00E35296" w:rsidRDefault="000E482F" w:rsidP="004C79C1">
            <w:pPr>
              <w:pStyle w:val="Tabletext1"/>
              <w:spacing w:before="0" w:after="120"/>
            </w:pPr>
            <w:r w:rsidRPr="00E35296">
              <w:t>ICA</w:t>
            </w:r>
          </w:p>
        </w:tc>
        <w:tc>
          <w:tcPr>
            <w:tcW w:w="786" w:type="pct"/>
            <w:vAlign w:val="center"/>
          </w:tcPr>
          <w:p w14:paraId="412F79ED" w14:textId="77777777" w:rsidR="000E482F" w:rsidRPr="00BA3C07" w:rsidRDefault="000E482F" w:rsidP="004C79C1">
            <w:pPr>
              <w:pStyle w:val="Tabletext1"/>
              <w:spacing w:before="0" w:after="120"/>
              <w:jc w:val="center"/>
            </w:pPr>
            <w:r w:rsidRPr="00072ED7">
              <w:t>$1,680,733</w:t>
            </w:r>
          </w:p>
        </w:tc>
        <w:tc>
          <w:tcPr>
            <w:tcW w:w="786" w:type="pct"/>
            <w:vAlign w:val="center"/>
          </w:tcPr>
          <w:p w14:paraId="55653F01" w14:textId="77777777" w:rsidR="000E482F" w:rsidRPr="00BA3C07" w:rsidRDefault="000E482F" w:rsidP="004C79C1">
            <w:pPr>
              <w:pStyle w:val="Tabletext1"/>
              <w:spacing w:before="0" w:after="120"/>
              <w:jc w:val="center"/>
            </w:pPr>
            <w:r w:rsidRPr="00072ED7">
              <w:t>$1,709,385</w:t>
            </w:r>
          </w:p>
        </w:tc>
        <w:tc>
          <w:tcPr>
            <w:tcW w:w="786" w:type="pct"/>
            <w:vAlign w:val="center"/>
          </w:tcPr>
          <w:p w14:paraId="282EF543" w14:textId="77777777" w:rsidR="000E482F" w:rsidRPr="00BA3C07" w:rsidRDefault="000E482F" w:rsidP="004C79C1">
            <w:pPr>
              <w:pStyle w:val="Tabletext1"/>
              <w:spacing w:before="0" w:after="120"/>
              <w:jc w:val="center"/>
            </w:pPr>
            <w:r w:rsidRPr="00072ED7">
              <w:t>$1,737,804</w:t>
            </w:r>
          </w:p>
        </w:tc>
        <w:tc>
          <w:tcPr>
            <w:tcW w:w="787" w:type="pct"/>
            <w:vAlign w:val="center"/>
          </w:tcPr>
          <w:p w14:paraId="2C83D465" w14:textId="77777777" w:rsidR="000E482F" w:rsidRPr="00BA3C07" w:rsidRDefault="000E482F" w:rsidP="004C79C1">
            <w:pPr>
              <w:pStyle w:val="Tabletext1"/>
              <w:spacing w:before="0" w:after="120"/>
              <w:jc w:val="center"/>
            </w:pPr>
            <w:r w:rsidRPr="00072ED7">
              <w:t>$1,765,793</w:t>
            </w:r>
          </w:p>
        </w:tc>
        <w:tc>
          <w:tcPr>
            <w:tcW w:w="757" w:type="pct"/>
            <w:vAlign w:val="center"/>
          </w:tcPr>
          <w:p w14:paraId="5878045A" w14:textId="77777777" w:rsidR="000E482F" w:rsidRPr="00BA3C07" w:rsidRDefault="000E482F" w:rsidP="004C79C1">
            <w:pPr>
              <w:pStyle w:val="Tabletext1"/>
              <w:spacing w:before="0" w:after="120"/>
              <w:jc w:val="center"/>
            </w:pPr>
            <w:r w:rsidRPr="00072ED7">
              <w:t>$1,793,669</w:t>
            </w:r>
          </w:p>
        </w:tc>
      </w:tr>
      <w:tr w:rsidR="00784480" w:rsidRPr="002C12E9" w14:paraId="53BFA1B8" w14:textId="77777777" w:rsidTr="00784480">
        <w:tc>
          <w:tcPr>
            <w:tcW w:w="1098" w:type="pct"/>
          </w:tcPr>
          <w:p w14:paraId="69F07814" w14:textId="77777777" w:rsidR="000E482F" w:rsidRPr="002C12E9" w:rsidRDefault="000E482F" w:rsidP="004C79C1">
            <w:pPr>
              <w:pStyle w:val="Tabletext1"/>
              <w:spacing w:before="0" w:after="120"/>
              <w:rPr>
                <w:b/>
              </w:rPr>
            </w:pPr>
            <w:r w:rsidRPr="002C12E9">
              <w:rPr>
                <w:b/>
              </w:rPr>
              <w:t>Total costs offset</w:t>
            </w:r>
          </w:p>
        </w:tc>
        <w:tc>
          <w:tcPr>
            <w:tcW w:w="786" w:type="pct"/>
            <w:vAlign w:val="center"/>
          </w:tcPr>
          <w:p w14:paraId="493B7899" w14:textId="77777777" w:rsidR="000E482F" w:rsidRPr="002C12E9" w:rsidRDefault="000E482F" w:rsidP="004C79C1">
            <w:pPr>
              <w:pStyle w:val="Tabletext1"/>
              <w:spacing w:before="0" w:after="120"/>
              <w:jc w:val="center"/>
              <w:rPr>
                <w:b/>
              </w:rPr>
            </w:pPr>
            <w:r w:rsidRPr="00702984">
              <w:t>$7,454,357</w:t>
            </w:r>
          </w:p>
        </w:tc>
        <w:tc>
          <w:tcPr>
            <w:tcW w:w="786" w:type="pct"/>
            <w:vAlign w:val="center"/>
          </w:tcPr>
          <w:p w14:paraId="098E5D8D" w14:textId="77777777" w:rsidR="000E482F" w:rsidRPr="002C12E9" w:rsidRDefault="000E482F" w:rsidP="004C79C1">
            <w:pPr>
              <w:pStyle w:val="Tabletext1"/>
              <w:spacing w:before="0" w:after="120"/>
              <w:jc w:val="center"/>
              <w:rPr>
                <w:b/>
              </w:rPr>
            </w:pPr>
            <w:r w:rsidRPr="00702984">
              <w:t>$7,581,436</w:t>
            </w:r>
          </w:p>
        </w:tc>
        <w:tc>
          <w:tcPr>
            <w:tcW w:w="786" w:type="pct"/>
            <w:vAlign w:val="center"/>
          </w:tcPr>
          <w:p w14:paraId="35A7A724" w14:textId="77777777" w:rsidR="000E482F" w:rsidRPr="002C12E9" w:rsidRDefault="000E482F" w:rsidP="004C79C1">
            <w:pPr>
              <w:pStyle w:val="Tabletext1"/>
              <w:spacing w:before="0" w:after="120"/>
              <w:jc w:val="center"/>
              <w:rPr>
                <w:b/>
              </w:rPr>
            </w:pPr>
            <w:r w:rsidRPr="00702984">
              <w:t>$7,707,480</w:t>
            </w:r>
          </w:p>
        </w:tc>
        <w:tc>
          <w:tcPr>
            <w:tcW w:w="787" w:type="pct"/>
            <w:vAlign w:val="center"/>
          </w:tcPr>
          <w:p w14:paraId="7BC3DD67" w14:textId="77777777" w:rsidR="000E482F" w:rsidRPr="002C12E9" w:rsidRDefault="000E482F" w:rsidP="004C79C1">
            <w:pPr>
              <w:pStyle w:val="Tabletext1"/>
              <w:spacing w:before="0" w:after="120"/>
              <w:jc w:val="center"/>
              <w:rPr>
                <w:b/>
              </w:rPr>
            </w:pPr>
            <w:r w:rsidRPr="00702984">
              <w:t>$7,831,615</w:t>
            </w:r>
          </w:p>
        </w:tc>
        <w:tc>
          <w:tcPr>
            <w:tcW w:w="757" w:type="pct"/>
            <w:vAlign w:val="center"/>
          </w:tcPr>
          <w:p w14:paraId="2411A3A4" w14:textId="77777777" w:rsidR="000E482F" w:rsidRPr="002C12E9" w:rsidRDefault="000E482F" w:rsidP="004C79C1">
            <w:pPr>
              <w:pStyle w:val="Tabletext1"/>
              <w:spacing w:before="0" w:after="120"/>
              <w:jc w:val="center"/>
              <w:rPr>
                <w:b/>
              </w:rPr>
            </w:pPr>
            <w:r w:rsidRPr="00702984">
              <w:t>$7,955,252</w:t>
            </w:r>
          </w:p>
        </w:tc>
      </w:tr>
    </w:tbl>
    <w:p w14:paraId="79ABF332" w14:textId="63DC58E8" w:rsidR="000E482F" w:rsidRDefault="000E482F" w:rsidP="004C79C1">
      <w:pPr>
        <w:pStyle w:val="Tablenotes0"/>
        <w:spacing w:before="0" w:after="120"/>
      </w:pPr>
      <w:r>
        <w:t>CMR</w:t>
      </w:r>
      <w:r w:rsidR="001D3865">
        <w:t xml:space="preserve"> </w:t>
      </w:r>
      <w:r>
        <w:t>=</w:t>
      </w:r>
      <w:r w:rsidR="001D3865">
        <w:t xml:space="preserve"> </w:t>
      </w:r>
      <w:r>
        <w:t xml:space="preserve">cardiac magnetic resonance </w:t>
      </w:r>
      <w:r w:rsidR="00381F2E">
        <w:t>(</w:t>
      </w:r>
      <w:r>
        <w:t>imaging</w:t>
      </w:r>
      <w:r w:rsidR="00381F2E">
        <w:t>)</w:t>
      </w:r>
      <w:r>
        <w:t>; CTCA</w:t>
      </w:r>
      <w:r w:rsidR="001D3865">
        <w:t xml:space="preserve"> </w:t>
      </w:r>
      <w:r>
        <w:t>=</w:t>
      </w:r>
      <w:r w:rsidR="001D3865">
        <w:t xml:space="preserve"> </w:t>
      </w:r>
      <w:r>
        <w:t>c</w:t>
      </w:r>
      <w:r w:rsidRPr="00CB69D1">
        <w:t>omputed tomography coronary angiography</w:t>
      </w:r>
      <w:r>
        <w:t>; DCM = dilated cardiomyopathy</w:t>
      </w:r>
      <w:r w:rsidR="00784480">
        <w:t>;</w:t>
      </w:r>
      <w:r>
        <w:t xml:space="preserve"> E</w:t>
      </w:r>
      <w:r w:rsidR="001D3865">
        <w:t xml:space="preserve">cho </w:t>
      </w:r>
      <w:r>
        <w:t>=</w:t>
      </w:r>
      <w:r w:rsidR="001D3865">
        <w:t xml:space="preserve"> </w:t>
      </w:r>
      <w:r>
        <w:t>echocardiography; G</w:t>
      </w:r>
      <w:r w:rsidR="00884FAA">
        <w:t>H</w:t>
      </w:r>
      <w:r>
        <w:t xml:space="preserve">PS = gated </w:t>
      </w:r>
      <w:r w:rsidR="00884FAA">
        <w:t xml:space="preserve">heart pool </w:t>
      </w:r>
      <w:r>
        <w:t>scan; MBS</w:t>
      </w:r>
      <w:r w:rsidR="001D3865">
        <w:t xml:space="preserve"> </w:t>
      </w:r>
      <w:r>
        <w:t>=</w:t>
      </w:r>
      <w:r w:rsidR="001D3865">
        <w:t xml:space="preserve"> </w:t>
      </w:r>
      <w:r>
        <w:t>Medicare Benefits Schedule; SPECT</w:t>
      </w:r>
      <w:r w:rsidR="001D3865">
        <w:t xml:space="preserve"> </w:t>
      </w:r>
      <w:r>
        <w:t>=</w:t>
      </w:r>
      <w:r w:rsidR="001D3865">
        <w:t xml:space="preserve"> </w:t>
      </w:r>
      <w:r>
        <w:t>single</w:t>
      </w:r>
      <w:r w:rsidR="001D3865">
        <w:t>-</w:t>
      </w:r>
      <w:r>
        <w:t>photon emission computed tomography</w:t>
      </w:r>
      <w:r w:rsidRPr="00CB3EA8">
        <w:t xml:space="preserve"> </w:t>
      </w:r>
    </w:p>
    <w:p w14:paraId="549DBFD2" w14:textId="77777777" w:rsidR="000E482F" w:rsidRPr="00183E4D" w:rsidRDefault="000E482F" w:rsidP="004C79C1">
      <w:pPr>
        <w:pStyle w:val="Heading2"/>
        <w:numPr>
          <w:ilvl w:val="4"/>
          <w:numId w:val="101"/>
        </w:numPr>
        <w:spacing w:before="0" w:after="120" w:line="240" w:lineRule="auto"/>
        <w:jc w:val="both"/>
      </w:pPr>
      <w:bookmarkStart w:id="730" w:name="_Toc379118302"/>
      <w:bookmarkStart w:id="731" w:name="_Toc381796485"/>
      <w:bookmarkStart w:id="732" w:name="_Toc432677422"/>
      <w:bookmarkStart w:id="733" w:name="_Toc449609025"/>
      <w:bookmarkStart w:id="734" w:name="_Toc451501397"/>
      <w:r>
        <w:t>Financial I</w:t>
      </w:r>
      <w:r w:rsidRPr="00183E4D">
        <w:t>mplications</w:t>
      </w:r>
      <w:r>
        <w:t xml:space="preserve"> for</w:t>
      </w:r>
      <w:r w:rsidRPr="00183E4D">
        <w:t xml:space="preserve"> the MBS</w:t>
      </w:r>
      <w:bookmarkEnd w:id="730"/>
      <w:bookmarkEnd w:id="731"/>
      <w:bookmarkEnd w:id="732"/>
      <w:bookmarkEnd w:id="733"/>
      <w:bookmarkEnd w:id="734"/>
      <w:r w:rsidRPr="00183E4D">
        <w:t xml:space="preserve"> </w:t>
      </w:r>
    </w:p>
    <w:p w14:paraId="42D4C277" w14:textId="174B9D9E" w:rsidR="000E482F" w:rsidRDefault="000E482F" w:rsidP="004C79C1">
      <w:pPr>
        <w:spacing w:after="120" w:line="240" w:lineRule="auto"/>
        <w:jc w:val="both"/>
      </w:pPr>
      <w:r w:rsidRPr="00183E4D">
        <w:t xml:space="preserve">The financial implications to the MBS resulting from the proposed listing of </w:t>
      </w:r>
      <w:r>
        <w:t xml:space="preserve">CMR over the next </w:t>
      </w:r>
      <w:r w:rsidR="007F7921">
        <w:t>5 </w:t>
      </w:r>
      <w:r>
        <w:t xml:space="preserve">years </w:t>
      </w:r>
      <w:r w:rsidRPr="00183E4D">
        <w:t>are summarised in</w:t>
      </w:r>
      <w:r>
        <w:t xml:space="preserve"> </w:t>
      </w:r>
      <w:r w:rsidR="00784480">
        <w:fldChar w:fldCharType="begin"/>
      </w:r>
      <w:r w:rsidR="00784480">
        <w:instrText xml:space="preserve"> REF _Ref395200179 \h </w:instrText>
      </w:r>
      <w:r w:rsidR="00784480">
        <w:fldChar w:fldCharType="separate"/>
      </w:r>
      <w:r w:rsidR="00784480" w:rsidRPr="000B57EB">
        <w:t xml:space="preserve">Table </w:t>
      </w:r>
      <w:r w:rsidR="00784480">
        <w:rPr>
          <w:noProof/>
        </w:rPr>
        <w:t>71</w:t>
      </w:r>
      <w:r w:rsidR="00784480">
        <w:fldChar w:fldCharType="end"/>
      </w:r>
      <w:r>
        <w:t>.</w:t>
      </w:r>
    </w:p>
    <w:p w14:paraId="77352DA3" w14:textId="0F314912" w:rsidR="000E482F" w:rsidRDefault="000E482F" w:rsidP="004C79C1">
      <w:pPr>
        <w:pStyle w:val="Caption"/>
        <w:tabs>
          <w:tab w:val="left" w:pos="1134"/>
        </w:tabs>
      </w:pPr>
      <w:bookmarkStart w:id="735" w:name="_Ref395200179"/>
      <w:bookmarkStart w:id="736" w:name="_Toc432677306"/>
      <w:bookmarkStart w:id="737" w:name="_Toc449555031"/>
      <w:bookmarkStart w:id="738" w:name="_Toc324410242"/>
      <w:bookmarkStart w:id="739" w:name="_Toc451435398"/>
      <w:r w:rsidRPr="000B57EB">
        <w:t xml:space="preserve">Table </w:t>
      </w:r>
      <w:fldSimple w:instr=" SEQ Table \* ARABIC ">
        <w:r w:rsidR="00050936">
          <w:rPr>
            <w:noProof/>
          </w:rPr>
          <w:t>71</w:t>
        </w:r>
      </w:fldSimple>
      <w:bookmarkEnd w:id="735"/>
      <w:r w:rsidRPr="000B57EB">
        <w:tab/>
        <w:t xml:space="preserve">Total costs to the MBS associated with </w:t>
      </w:r>
      <w:bookmarkEnd w:id="736"/>
      <w:r>
        <w:t>CMR for DCM</w:t>
      </w:r>
      <w:bookmarkEnd w:id="737"/>
      <w:bookmarkEnd w:id="738"/>
      <w:bookmarkEnd w:id="7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costs to the MBS associated with CMR"/>
        <w:tblDescription w:val="This table provides a summary of the financial impact of the proposed CMR service over the next five years."/>
      </w:tblPr>
      <w:tblGrid>
        <w:gridCol w:w="2642"/>
        <w:gridCol w:w="1320"/>
        <w:gridCol w:w="1320"/>
        <w:gridCol w:w="1320"/>
        <w:gridCol w:w="1320"/>
        <w:gridCol w:w="1320"/>
      </w:tblGrid>
      <w:tr w:rsidR="000E482F" w:rsidRPr="00153C8A" w14:paraId="25B43181" w14:textId="77777777" w:rsidTr="00723891">
        <w:trPr>
          <w:trHeight w:val="300"/>
          <w:tblHeader/>
        </w:trPr>
        <w:tc>
          <w:tcPr>
            <w:tcW w:w="1430" w:type="pct"/>
            <w:tcBorders>
              <w:bottom w:val="single" w:sz="4" w:space="0" w:color="auto"/>
            </w:tcBorders>
            <w:shd w:val="clear" w:color="auto" w:fill="auto"/>
            <w:vAlign w:val="center"/>
          </w:tcPr>
          <w:p w14:paraId="4E24C152" w14:textId="77777777" w:rsidR="000E482F" w:rsidRPr="00153C8A" w:rsidRDefault="000E482F" w:rsidP="004C79C1">
            <w:pPr>
              <w:pStyle w:val="TableHeading"/>
              <w:spacing w:before="0" w:after="120"/>
            </w:pPr>
            <w:r w:rsidRPr="00153C8A">
              <w:t>-</w:t>
            </w:r>
          </w:p>
        </w:tc>
        <w:tc>
          <w:tcPr>
            <w:tcW w:w="714" w:type="pct"/>
            <w:tcBorders>
              <w:bottom w:val="single" w:sz="4" w:space="0" w:color="auto"/>
            </w:tcBorders>
          </w:tcPr>
          <w:p w14:paraId="73195169" w14:textId="2263F0B9" w:rsidR="000E482F" w:rsidRPr="00153C8A" w:rsidRDefault="000E482F" w:rsidP="004C79C1">
            <w:pPr>
              <w:pStyle w:val="TableHeading"/>
              <w:spacing w:before="0" w:after="120"/>
              <w:jc w:val="center"/>
            </w:pPr>
            <w:r w:rsidRPr="00EB389E">
              <w:t>2016</w:t>
            </w:r>
            <w:r w:rsidR="007F7921">
              <w:t>–</w:t>
            </w:r>
            <w:r w:rsidRPr="00EB389E">
              <w:t>17</w:t>
            </w:r>
          </w:p>
        </w:tc>
        <w:tc>
          <w:tcPr>
            <w:tcW w:w="714" w:type="pct"/>
            <w:tcBorders>
              <w:bottom w:val="single" w:sz="4" w:space="0" w:color="auto"/>
            </w:tcBorders>
            <w:shd w:val="clear" w:color="auto" w:fill="auto"/>
          </w:tcPr>
          <w:p w14:paraId="2D551531" w14:textId="6F169B42" w:rsidR="000E482F" w:rsidRPr="00153C8A" w:rsidRDefault="000E482F" w:rsidP="004C79C1">
            <w:pPr>
              <w:pStyle w:val="TableHeading"/>
              <w:spacing w:before="0" w:after="120"/>
              <w:jc w:val="center"/>
            </w:pPr>
            <w:r w:rsidRPr="00EB389E">
              <w:t>2017</w:t>
            </w:r>
            <w:r w:rsidR="007F7921">
              <w:t>–</w:t>
            </w:r>
            <w:r w:rsidRPr="00EB389E">
              <w:t>18</w:t>
            </w:r>
          </w:p>
        </w:tc>
        <w:tc>
          <w:tcPr>
            <w:tcW w:w="714" w:type="pct"/>
            <w:tcBorders>
              <w:bottom w:val="single" w:sz="4" w:space="0" w:color="auto"/>
            </w:tcBorders>
            <w:shd w:val="clear" w:color="auto" w:fill="auto"/>
          </w:tcPr>
          <w:p w14:paraId="341ACFF2" w14:textId="514F19B4" w:rsidR="000E482F" w:rsidRPr="00153C8A" w:rsidRDefault="000E482F" w:rsidP="004C79C1">
            <w:pPr>
              <w:pStyle w:val="TableHeading"/>
              <w:spacing w:before="0" w:after="120"/>
              <w:jc w:val="center"/>
            </w:pPr>
            <w:r w:rsidRPr="00EB389E">
              <w:t>2018</w:t>
            </w:r>
            <w:r w:rsidR="007F7921">
              <w:t>–</w:t>
            </w:r>
            <w:r w:rsidRPr="00EB389E">
              <w:t>19</w:t>
            </w:r>
          </w:p>
        </w:tc>
        <w:tc>
          <w:tcPr>
            <w:tcW w:w="714" w:type="pct"/>
            <w:tcBorders>
              <w:bottom w:val="single" w:sz="4" w:space="0" w:color="auto"/>
            </w:tcBorders>
            <w:shd w:val="clear" w:color="auto" w:fill="auto"/>
          </w:tcPr>
          <w:p w14:paraId="03A833E9" w14:textId="6299E96D" w:rsidR="000E482F" w:rsidRPr="00153C8A" w:rsidRDefault="000E482F" w:rsidP="004C79C1">
            <w:pPr>
              <w:pStyle w:val="TableHeading"/>
              <w:spacing w:before="0" w:after="120"/>
              <w:jc w:val="center"/>
            </w:pPr>
            <w:r w:rsidRPr="00EB389E">
              <w:t>2019</w:t>
            </w:r>
            <w:r w:rsidR="007F7921">
              <w:t>–</w:t>
            </w:r>
            <w:r w:rsidRPr="00EB389E">
              <w:t>20</w:t>
            </w:r>
          </w:p>
        </w:tc>
        <w:tc>
          <w:tcPr>
            <w:tcW w:w="714" w:type="pct"/>
            <w:tcBorders>
              <w:bottom w:val="single" w:sz="4" w:space="0" w:color="auto"/>
            </w:tcBorders>
            <w:shd w:val="clear" w:color="auto" w:fill="auto"/>
          </w:tcPr>
          <w:p w14:paraId="66DC1F93" w14:textId="459CEF09" w:rsidR="000E482F" w:rsidRPr="00153C8A" w:rsidRDefault="000E482F" w:rsidP="004C79C1">
            <w:pPr>
              <w:pStyle w:val="TableHeading"/>
              <w:spacing w:before="0" w:after="120"/>
              <w:jc w:val="center"/>
            </w:pPr>
            <w:r w:rsidRPr="00EB389E">
              <w:t>2020</w:t>
            </w:r>
            <w:r w:rsidR="007F7921">
              <w:t>–</w:t>
            </w:r>
            <w:r w:rsidRPr="00EB389E">
              <w:t>21</w:t>
            </w:r>
          </w:p>
        </w:tc>
      </w:tr>
      <w:tr w:rsidR="000E482F" w:rsidRPr="00153C8A" w14:paraId="7F092828" w14:textId="77777777" w:rsidTr="00723891">
        <w:trPr>
          <w:trHeight w:val="300"/>
        </w:trPr>
        <w:tc>
          <w:tcPr>
            <w:tcW w:w="1430" w:type="pct"/>
            <w:tcBorders>
              <w:right w:val="nil"/>
            </w:tcBorders>
            <w:shd w:val="clear" w:color="auto" w:fill="auto"/>
          </w:tcPr>
          <w:p w14:paraId="0CDBF94F" w14:textId="77777777" w:rsidR="000E482F" w:rsidRPr="00784480" w:rsidRDefault="000E482F" w:rsidP="004C79C1">
            <w:pPr>
              <w:pStyle w:val="Tabletext1"/>
              <w:spacing w:before="0" w:after="120"/>
              <w:rPr>
                <w:b/>
                <w:highlight w:val="cyan"/>
              </w:rPr>
            </w:pPr>
            <w:r w:rsidRPr="00784480">
              <w:rPr>
                <w:b/>
              </w:rPr>
              <w:t>CMR</w:t>
            </w:r>
          </w:p>
        </w:tc>
        <w:tc>
          <w:tcPr>
            <w:tcW w:w="714" w:type="pct"/>
            <w:tcBorders>
              <w:left w:val="nil"/>
              <w:right w:val="nil"/>
            </w:tcBorders>
          </w:tcPr>
          <w:p w14:paraId="6DF7FE33" w14:textId="77777777" w:rsidR="000E482F" w:rsidRPr="00153C8A" w:rsidRDefault="000E482F" w:rsidP="004C79C1">
            <w:pPr>
              <w:pStyle w:val="Tabletext1"/>
              <w:spacing w:before="0" w:after="120"/>
            </w:pPr>
          </w:p>
        </w:tc>
        <w:tc>
          <w:tcPr>
            <w:tcW w:w="714" w:type="pct"/>
            <w:tcBorders>
              <w:left w:val="nil"/>
              <w:right w:val="nil"/>
            </w:tcBorders>
            <w:shd w:val="clear" w:color="auto" w:fill="auto"/>
          </w:tcPr>
          <w:p w14:paraId="5DDFD4B3" w14:textId="77777777" w:rsidR="000E482F" w:rsidRPr="00153C8A" w:rsidRDefault="000E482F" w:rsidP="004C79C1">
            <w:pPr>
              <w:pStyle w:val="Tabletext1"/>
              <w:spacing w:before="0" w:after="120"/>
            </w:pPr>
          </w:p>
        </w:tc>
        <w:tc>
          <w:tcPr>
            <w:tcW w:w="714" w:type="pct"/>
            <w:tcBorders>
              <w:left w:val="nil"/>
              <w:right w:val="nil"/>
            </w:tcBorders>
            <w:shd w:val="clear" w:color="auto" w:fill="auto"/>
          </w:tcPr>
          <w:p w14:paraId="6EEFBFB3" w14:textId="77777777" w:rsidR="000E482F" w:rsidRPr="00153C8A" w:rsidRDefault="000E482F" w:rsidP="004C79C1">
            <w:pPr>
              <w:pStyle w:val="Tabletext1"/>
              <w:spacing w:before="0" w:after="120"/>
            </w:pPr>
          </w:p>
        </w:tc>
        <w:tc>
          <w:tcPr>
            <w:tcW w:w="714" w:type="pct"/>
            <w:tcBorders>
              <w:left w:val="nil"/>
              <w:right w:val="nil"/>
            </w:tcBorders>
            <w:shd w:val="clear" w:color="auto" w:fill="auto"/>
          </w:tcPr>
          <w:p w14:paraId="7E9A2CB6" w14:textId="77777777" w:rsidR="000E482F" w:rsidRPr="00153C8A" w:rsidRDefault="000E482F" w:rsidP="004C79C1">
            <w:pPr>
              <w:pStyle w:val="Tabletext1"/>
              <w:spacing w:before="0" w:after="120"/>
            </w:pPr>
          </w:p>
        </w:tc>
        <w:tc>
          <w:tcPr>
            <w:tcW w:w="714" w:type="pct"/>
            <w:tcBorders>
              <w:left w:val="nil"/>
              <w:right w:val="nil"/>
            </w:tcBorders>
            <w:shd w:val="clear" w:color="auto" w:fill="auto"/>
          </w:tcPr>
          <w:p w14:paraId="7BB23787" w14:textId="77777777" w:rsidR="000E482F" w:rsidRPr="00153C8A" w:rsidRDefault="000E482F" w:rsidP="004C79C1">
            <w:pPr>
              <w:pStyle w:val="Tabletext1"/>
              <w:spacing w:before="0" w:after="120"/>
            </w:pPr>
          </w:p>
        </w:tc>
      </w:tr>
      <w:tr w:rsidR="000E482F" w:rsidRPr="00153C8A" w14:paraId="77E7172A" w14:textId="77777777" w:rsidTr="00723891">
        <w:trPr>
          <w:trHeight w:val="300"/>
        </w:trPr>
        <w:tc>
          <w:tcPr>
            <w:tcW w:w="1430" w:type="pct"/>
            <w:shd w:val="clear" w:color="auto" w:fill="auto"/>
          </w:tcPr>
          <w:p w14:paraId="1D5678F3" w14:textId="77777777" w:rsidR="000E482F" w:rsidRPr="00153C8A" w:rsidRDefault="000E482F" w:rsidP="004C79C1">
            <w:pPr>
              <w:pStyle w:val="Tabletext1"/>
              <w:spacing w:before="0" w:after="120"/>
            </w:pPr>
            <w:r w:rsidRPr="00153C8A">
              <w:t>Number of services</w:t>
            </w:r>
          </w:p>
        </w:tc>
        <w:tc>
          <w:tcPr>
            <w:tcW w:w="714" w:type="pct"/>
            <w:vAlign w:val="bottom"/>
          </w:tcPr>
          <w:p w14:paraId="196AC3D8" w14:textId="77777777" w:rsidR="000E482F" w:rsidRPr="00153C8A" w:rsidRDefault="000E482F" w:rsidP="004C79C1">
            <w:pPr>
              <w:pStyle w:val="Tabletext1"/>
              <w:spacing w:before="0" w:after="120"/>
              <w:jc w:val="right"/>
            </w:pPr>
            <w:r w:rsidRPr="00153C8A">
              <w:rPr>
                <w:color w:val="000000"/>
              </w:rPr>
              <w:t>4,086</w:t>
            </w:r>
          </w:p>
        </w:tc>
        <w:tc>
          <w:tcPr>
            <w:tcW w:w="714" w:type="pct"/>
            <w:shd w:val="clear" w:color="auto" w:fill="auto"/>
            <w:vAlign w:val="bottom"/>
          </w:tcPr>
          <w:p w14:paraId="2FE7E679" w14:textId="77777777" w:rsidR="000E482F" w:rsidRPr="00153C8A" w:rsidRDefault="000E482F" w:rsidP="004C79C1">
            <w:pPr>
              <w:pStyle w:val="Tabletext1"/>
              <w:spacing w:before="0" w:after="120"/>
              <w:jc w:val="right"/>
            </w:pPr>
            <w:r w:rsidRPr="00153C8A">
              <w:rPr>
                <w:color w:val="000000"/>
              </w:rPr>
              <w:t>4,155</w:t>
            </w:r>
          </w:p>
        </w:tc>
        <w:tc>
          <w:tcPr>
            <w:tcW w:w="714" w:type="pct"/>
            <w:shd w:val="clear" w:color="auto" w:fill="auto"/>
            <w:vAlign w:val="bottom"/>
          </w:tcPr>
          <w:p w14:paraId="6E8181DA" w14:textId="77777777" w:rsidR="000E482F" w:rsidRPr="00153C8A" w:rsidRDefault="000E482F" w:rsidP="004C79C1">
            <w:pPr>
              <w:pStyle w:val="Tabletext1"/>
              <w:spacing w:before="0" w:after="120"/>
              <w:jc w:val="right"/>
            </w:pPr>
            <w:r w:rsidRPr="00153C8A">
              <w:rPr>
                <w:color w:val="000000"/>
              </w:rPr>
              <w:t>4,224</w:t>
            </w:r>
          </w:p>
        </w:tc>
        <w:tc>
          <w:tcPr>
            <w:tcW w:w="714" w:type="pct"/>
            <w:shd w:val="clear" w:color="auto" w:fill="auto"/>
            <w:vAlign w:val="bottom"/>
          </w:tcPr>
          <w:p w14:paraId="795F767D" w14:textId="77777777" w:rsidR="000E482F" w:rsidRPr="00153C8A" w:rsidRDefault="000E482F" w:rsidP="004C79C1">
            <w:pPr>
              <w:pStyle w:val="Tabletext1"/>
              <w:spacing w:before="0" w:after="120"/>
              <w:jc w:val="right"/>
            </w:pPr>
            <w:r w:rsidRPr="00153C8A">
              <w:rPr>
                <w:color w:val="000000"/>
              </w:rPr>
              <w:t>4,292</w:t>
            </w:r>
          </w:p>
        </w:tc>
        <w:tc>
          <w:tcPr>
            <w:tcW w:w="714" w:type="pct"/>
            <w:shd w:val="clear" w:color="auto" w:fill="auto"/>
            <w:vAlign w:val="bottom"/>
          </w:tcPr>
          <w:p w14:paraId="5E5181A2" w14:textId="77777777" w:rsidR="000E482F" w:rsidRPr="00153C8A" w:rsidRDefault="000E482F" w:rsidP="004C79C1">
            <w:pPr>
              <w:pStyle w:val="Tabletext1"/>
              <w:spacing w:before="0" w:after="120"/>
              <w:jc w:val="right"/>
            </w:pPr>
            <w:r w:rsidRPr="00153C8A">
              <w:rPr>
                <w:color w:val="000000"/>
              </w:rPr>
              <w:t>4,360</w:t>
            </w:r>
          </w:p>
        </w:tc>
      </w:tr>
      <w:tr w:rsidR="000E482F" w:rsidRPr="00153C8A" w14:paraId="71EBA2F6" w14:textId="77777777" w:rsidTr="00723891">
        <w:trPr>
          <w:trHeight w:val="315"/>
        </w:trPr>
        <w:tc>
          <w:tcPr>
            <w:tcW w:w="1430" w:type="pct"/>
            <w:tcBorders>
              <w:bottom w:val="single" w:sz="4" w:space="0" w:color="auto"/>
            </w:tcBorders>
            <w:shd w:val="clear" w:color="auto" w:fill="auto"/>
          </w:tcPr>
          <w:p w14:paraId="77709500" w14:textId="77777777" w:rsidR="000E482F" w:rsidRPr="00153C8A" w:rsidRDefault="000E482F" w:rsidP="004C79C1">
            <w:pPr>
              <w:pStyle w:val="Tabletext1"/>
              <w:spacing w:before="0" w:after="120"/>
            </w:pPr>
            <w:r w:rsidRPr="00153C8A">
              <w:t>Cost to the MBS</w:t>
            </w:r>
          </w:p>
        </w:tc>
        <w:tc>
          <w:tcPr>
            <w:tcW w:w="714" w:type="pct"/>
            <w:tcBorders>
              <w:bottom w:val="single" w:sz="4" w:space="0" w:color="auto"/>
            </w:tcBorders>
            <w:vAlign w:val="bottom"/>
          </w:tcPr>
          <w:p w14:paraId="35110CD3" w14:textId="77777777" w:rsidR="000E482F" w:rsidRPr="00153C8A" w:rsidRDefault="000E482F" w:rsidP="004C79C1">
            <w:pPr>
              <w:pStyle w:val="Tabletext1"/>
              <w:spacing w:before="0" w:after="120"/>
              <w:jc w:val="right"/>
            </w:pPr>
            <w:r w:rsidRPr="00153C8A">
              <w:rPr>
                <w:color w:val="000000"/>
              </w:rPr>
              <w:t>$3,125,411</w:t>
            </w:r>
          </w:p>
        </w:tc>
        <w:tc>
          <w:tcPr>
            <w:tcW w:w="714" w:type="pct"/>
            <w:tcBorders>
              <w:bottom w:val="single" w:sz="4" w:space="0" w:color="auto"/>
            </w:tcBorders>
            <w:shd w:val="clear" w:color="auto" w:fill="auto"/>
            <w:vAlign w:val="bottom"/>
          </w:tcPr>
          <w:p w14:paraId="6A25BCD0" w14:textId="77777777" w:rsidR="000E482F" w:rsidRPr="00153C8A" w:rsidRDefault="000E482F" w:rsidP="004C79C1">
            <w:pPr>
              <w:pStyle w:val="Tabletext1"/>
              <w:spacing w:before="0" w:after="120"/>
              <w:jc w:val="right"/>
            </w:pPr>
            <w:r w:rsidRPr="00153C8A">
              <w:rPr>
                <w:color w:val="000000"/>
              </w:rPr>
              <w:t>$3,178,692</w:t>
            </w:r>
          </w:p>
        </w:tc>
        <w:tc>
          <w:tcPr>
            <w:tcW w:w="714" w:type="pct"/>
            <w:tcBorders>
              <w:bottom w:val="single" w:sz="4" w:space="0" w:color="auto"/>
            </w:tcBorders>
            <w:shd w:val="clear" w:color="auto" w:fill="auto"/>
            <w:vAlign w:val="bottom"/>
          </w:tcPr>
          <w:p w14:paraId="44C96050" w14:textId="77777777" w:rsidR="000E482F" w:rsidRPr="00153C8A" w:rsidRDefault="000E482F" w:rsidP="004C79C1">
            <w:pPr>
              <w:pStyle w:val="Tabletext1"/>
              <w:spacing w:before="0" w:after="120"/>
              <w:jc w:val="right"/>
            </w:pPr>
            <w:r w:rsidRPr="00153C8A">
              <w:rPr>
                <w:color w:val="000000"/>
              </w:rPr>
              <w:t>$3,231,539</w:t>
            </w:r>
          </w:p>
        </w:tc>
        <w:tc>
          <w:tcPr>
            <w:tcW w:w="714" w:type="pct"/>
            <w:tcBorders>
              <w:bottom w:val="single" w:sz="4" w:space="0" w:color="auto"/>
            </w:tcBorders>
            <w:shd w:val="clear" w:color="auto" w:fill="auto"/>
            <w:vAlign w:val="bottom"/>
          </w:tcPr>
          <w:p w14:paraId="7C80B45A" w14:textId="77777777" w:rsidR="000E482F" w:rsidRPr="00153C8A" w:rsidRDefault="000E482F" w:rsidP="004C79C1">
            <w:pPr>
              <w:pStyle w:val="Tabletext1"/>
              <w:spacing w:before="0" w:after="120"/>
              <w:jc w:val="right"/>
            </w:pPr>
            <w:r w:rsidRPr="00153C8A">
              <w:rPr>
                <w:color w:val="000000"/>
              </w:rPr>
              <w:t>$3,283,585</w:t>
            </w:r>
          </w:p>
        </w:tc>
        <w:tc>
          <w:tcPr>
            <w:tcW w:w="714" w:type="pct"/>
            <w:tcBorders>
              <w:bottom w:val="single" w:sz="4" w:space="0" w:color="auto"/>
            </w:tcBorders>
            <w:shd w:val="clear" w:color="auto" w:fill="auto"/>
            <w:vAlign w:val="bottom"/>
          </w:tcPr>
          <w:p w14:paraId="7093D1FC" w14:textId="77777777" w:rsidR="000E482F" w:rsidRPr="00153C8A" w:rsidRDefault="000E482F" w:rsidP="004C79C1">
            <w:pPr>
              <w:pStyle w:val="Tabletext1"/>
              <w:spacing w:before="0" w:after="120"/>
              <w:jc w:val="right"/>
            </w:pPr>
            <w:r w:rsidRPr="00153C8A">
              <w:rPr>
                <w:color w:val="000000"/>
              </w:rPr>
              <w:t>$3,335,423</w:t>
            </w:r>
          </w:p>
        </w:tc>
      </w:tr>
      <w:tr w:rsidR="000E482F" w:rsidRPr="00153C8A" w14:paraId="41355184" w14:textId="77777777" w:rsidTr="00723891">
        <w:trPr>
          <w:trHeight w:val="300"/>
        </w:trPr>
        <w:tc>
          <w:tcPr>
            <w:tcW w:w="1430" w:type="pct"/>
            <w:tcBorders>
              <w:right w:val="nil"/>
            </w:tcBorders>
            <w:shd w:val="clear" w:color="auto" w:fill="auto"/>
          </w:tcPr>
          <w:p w14:paraId="77D79F4A" w14:textId="77777777" w:rsidR="000E482F" w:rsidRPr="00784480" w:rsidRDefault="000E482F" w:rsidP="004C79C1">
            <w:pPr>
              <w:pStyle w:val="Tabletext1"/>
              <w:spacing w:before="0" w:after="120"/>
              <w:rPr>
                <w:b/>
                <w:highlight w:val="cyan"/>
              </w:rPr>
            </w:pPr>
            <w:r w:rsidRPr="00784480">
              <w:rPr>
                <w:b/>
              </w:rPr>
              <w:t>Tests offset</w:t>
            </w:r>
          </w:p>
        </w:tc>
        <w:tc>
          <w:tcPr>
            <w:tcW w:w="714" w:type="pct"/>
            <w:tcBorders>
              <w:left w:val="nil"/>
              <w:right w:val="nil"/>
            </w:tcBorders>
          </w:tcPr>
          <w:p w14:paraId="2606D7B0" w14:textId="77777777" w:rsidR="000E482F" w:rsidRPr="00153C8A" w:rsidRDefault="000E482F" w:rsidP="004C79C1">
            <w:pPr>
              <w:pStyle w:val="Tabletext1"/>
              <w:spacing w:before="0" w:after="120"/>
              <w:jc w:val="right"/>
            </w:pPr>
          </w:p>
        </w:tc>
        <w:tc>
          <w:tcPr>
            <w:tcW w:w="714" w:type="pct"/>
            <w:tcBorders>
              <w:left w:val="nil"/>
              <w:right w:val="nil"/>
            </w:tcBorders>
            <w:shd w:val="clear" w:color="auto" w:fill="auto"/>
          </w:tcPr>
          <w:p w14:paraId="6F8D53E0" w14:textId="77777777" w:rsidR="000E482F" w:rsidRPr="00153C8A" w:rsidRDefault="000E482F" w:rsidP="004C79C1">
            <w:pPr>
              <w:pStyle w:val="Tabletext1"/>
              <w:spacing w:before="0" w:after="120"/>
              <w:jc w:val="right"/>
            </w:pPr>
          </w:p>
        </w:tc>
        <w:tc>
          <w:tcPr>
            <w:tcW w:w="714" w:type="pct"/>
            <w:tcBorders>
              <w:left w:val="nil"/>
              <w:right w:val="nil"/>
            </w:tcBorders>
            <w:shd w:val="clear" w:color="auto" w:fill="auto"/>
          </w:tcPr>
          <w:p w14:paraId="1BD7A985" w14:textId="77777777" w:rsidR="000E482F" w:rsidRPr="00153C8A" w:rsidRDefault="000E482F" w:rsidP="004C79C1">
            <w:pPr>
              <w:pStyle w:val="Tabletext1"/>
              <w:spacing w:before="0" w:after="120"/>
              <w:jc w:val="right"/>
            </w:pPr>
          </w:p>
        </w:tc>
        <w:tc>
          <w:tcPr>
            <w:tcW w:w="714" w:type="pct"/>
            <w:tcBorders>
              <w:left w:val="nil"/>
              <w:right w:val="nil"/>
            </w:tcBorders>
            <w:shd w:val="clear" w:color="auto" w:fill="auto"/>
          </w:tcPr>
          <w:p w14:paraId="3B8F1195" w14:textId="77777777" w:rsidR="000E482F" w:rsidRPr="00153C8A" w:rsidRDefault="000E482F" w:rsidP="004C79C1">
            <w:pPr>
              <w:pStyle w:val="Tabletext1"/>
              <w:spacing w:before="0" w:after="120"/>
              <w:jc w:val="right"/>
            </w:pPr>
          </w:p>
        </w:tc>
        <w:tc>
          <w:tcPr>
            <w:tcW w:w="714" w:type="pct"/>
            <w:tcBorders>
              <w:left w:val="nil"/>
              <w:right w:val="nil"/>
            </w:tcBorders>
            <w:shd w:val="clear" w:color="auto" w:fill="auto"/>
          </w:tcPr>
          <w:p w14:paraId="7AA258CB" w14:textId="77777777" w:rsidR="000E482F" w:rsidRPr="00153C8A" w:rsidRDefault="000E482F" w:rsidP="004C79C1">
            <w:pPr>
              <w:pStyle w:val="Tabletext1"/>
              <w:spacing w:before="0" w:after="120"/>
              <w:jc w:val="right"/>
            </w:pPr>
          </w:p>
        </w:tc>
      </w:tr>
      <w:tr w:rsidR="000E482F" w:rsidRPr="00153C8A" w14:paraId="6BADF268" w14:textId="77777777" w:rsidTr="00723891">
        <w:trPr>
          <w:trHeight w:val="300"/>
        </w:trPr>
        <w:tc>
          <w:tcPr>
            <w:tcW w:w="1430" w:type="pct"/>
            <w:shd w:val="clear" w:color="auto" w:fill="auto"/>
          </w:tcPr>
          <w:p w14:paraId="358512D7" w14:textId="77777777" w:rsidR="000E482F" w:rsidRPr="00153C8A" w:rsidRDefault="000E482F" w:rsidP="004C79C1">
            <w:pPr>
              <w:pStyle w:val="Tabletext1"/>
              <w:spacing w:before="0" w:after="120"/>
            </w:pPr>
            <w:r w:rsidRPr="00153C8A">
              <w:t xml:space="preserve">Number of services offset </w:t>
            </w:r>
          </w:p>
        </w:tc>
        <w:tc>
          <w:tcPr>
            <w:tcW w:w="714" w:type="pct"/>
            <w:vAlign w:val="bottom"/>
          </w:tcPr>
          <w:p w14:paraId="4D308C6F" w14:textId="77777777" w:rsidR="000E482F" w:rsidRPr="00153C8A" w:rsidRDefault="000E482F" w:rsidP="004C79C1">
            <w:pPr>
              <w:pStyle w:val="Tabletext1"/>
              <w:spacing w:before="0" w:after="120"/>
              <w:jc w:val="right"/>
              <w:rPr>
                <w:bCs/>
                <w:color w:val="000000"/>
              </w:rPr>
            </w:pPr>
            <w:r w:rsidRPr="00153C8A">
              <w:rPr>
                <w:color w:val="000000"/>
              </w:rPr>
              <w:t>3,413</w:t>
            </w:r>
          </w:p>
        </w:tc>
        <w:tc>
          <w:tcPr>
            <w:tcW w:w="714" w:type="pct"/>
            <w:shd w:val="clear" w:color="auto" w:fill="auto"/>
            <w:vAlign w:val="bottom"/>
          </w:tcPr>
          <w:p w14:paraId="5A885F5B" w14:textId="77777777" w:rsidR="000E482F" w:rsidRPr="00153C8A" w:rsidRDefault="000E482F" w:rsidP="004C79C1">
            <w:pPr>
              <w:pStyle w:val="Tabletext1"/>
              <w:spacing w:before="0" w:after="120"/>
              <w:jc w:val="right"/>
              <w:rPr>
                <w:bCs/>
                <w:color w:val="000000"/>
              </w:rPr>
            </w:pPr>
            <w:r w:rsidRPr="00153C8A">
              <w:rPr>
                <w:color w:val="000000"/>
              </w:rPr>
              <w:t>3,472</w:t>
            </w:r>
          </w:p>
        </w:tc>
        <w:tc>
          <w:tcPr>
            <w:tcW w:w="714" w:type="pct"/>
            <w:shd w:val="clear" w:color="auto" w:fill="auto"/>
            <w:vAlign w:val="bottom"/>
          </w:tcPr>
          <w:p w14:paraId="3CBF0884" w14:textId="77777777" w:rsidR="000E482F" w:rsidRPr="00153C8A" w:rsidRDefault="000E482F" w:rsidP="004C79C1">
            <w:pPr>
              <w:pStyle w:val="Tabletext1"/>
              <w:spacing w:before="0" w:after="120"/>
              <w:jc w:val="right"/>
              <w:rPr>
                <w:bCs/>
                <w:color w:val="000000"/>
              </w:rPr>
            </w:pPr>
            <w:r w:rsidRPr="00153C8A">
              <w:rPr>
                <w:color w:val="000000"/>
              </w:rPr>
              <w:t>3,529</w:t>
            </w:r>
          </w:p>
        </w:tc>
        <w:tc>
          <w:tcPr>
            <w:tcW w:w="714" w:type="pct"/>
            <w:shd w:val="clear" w:color="auto" w:fill="auto"/>
            <w:vAlign w:val="bottom"/>
          </w:tcPr>
          <w:p w14:paraId="07B67D5C" w14:textId="77777777" w:rsidR="000E482F" w:rsidRPr="00153C8A" w:rsidRDefault="000E482F" w:rsidP="004C79C1">
            <w:pPr>
              <w:pStyle w:val="Tabletext1"/>
              <w:spacing w:before="0" w:after="120"/>
              <w:jc w:val="right"/>
              <w:rPr>
                <w:bCs/>
                <w:color w:val="000000"/>
              </w:rPr>
            </w:pPr>
            <w:r w:rsidRPr="00153C8A">
              <w:rPr>
                <w:color w:val="000000"/>
              </w:rPr>
              <w:t>3,586</w:t>
            </w:r>
          </w:p>
        </w:tc>
        <w:tc>
          <w:tcPr>
            <w:tcW w:w="714" w:type="pct"/>
            <w:shd w:val="clear" w:color="auto" w:fill="auto"/>
            <w:vAlign w:val="bottom"/>
          </w:tcPr>
          <w:p w14:paraId="7EF3D7E2" w14:textId="77777777" w:rsidR="000E482F" w:rsidRPr="00153C8A" w:rsidRDefault="000E482F" w:rsidP="004C79C1">
            <w:pPr>
              <w:pStyle w:val="Tabletext1"/>
              <w:spacing w:before="0" w:after="120"/>
              <w:jc w:val="right"/>
              <w:rPr>
                <w:bCs/>
                <w:color w:val="000000"/>
              </w:rPr>
            </w:pPr>
            <w:r w:rsidRPr="00153C8A">
              <w:rPr>
                <w:color w:val="000000"/>
              </w:rPr>
              <w:t>3,643</w:t>
            </w:r>
          </w:p>
        </w:tc>
      </w:tr>
      <w:tr w:rsidR="000E482F" w:rsidRPr="00153C8A" w14:paraId="4DFD90F0" w14:textId="77777777" w:rsidTr="00723891">
        <w:trPr>
          <w:trHeight w:val="300"/>
        </w:trPr>
        <w:tc>
          <w:tcPr>
            <w:tcW w:w="1430" w:type="pct"/>
            <w:tcBorders>
              <w:bottom w:val="single" w:sz="4" w:space="0" w:color="auto"/>
            </w:tcBorders>
            <w:shd w:val="clear" w:color="auto" w:fill="auto"/>
          </w:tcPr>
          <w:p w14:paraId="0B3982FC" w14:textId="77777777" w:rsidR="000E482F" w:rsidRPr="00153C8A" w:rsidRDefault="000E482F" w:rsidP="004C79C1">
            <w:pPr>
              <w:pStyle w:val="Tabletext1"/>
              <w:spacing w:before="0" w:after="120"/>
            </w:pPr>
            <w:r w:rsidRPr="00153C8A">
              <w:t>Costs offset</w:t>
            </w:r>
          </w:p>
        </w:tc>
        <w:tc>
          <w:tcPr>
            <w:tcW w:w="714" w:type="pct"/>
            <w:tcBorders>
              <w:bottom w:val="single" w:sz="4" w:space="0" w:color="auto"/>
            </w:tcBorders>
          </w:tcPr>
          <w:p w14:paraId="3862B31F" w14:textId="77777777" w:rsidR="000E482F" w:rsidRPr="00153C8A" w:rsidRDefault="000E482F" w:rsidP="004C79C1">
            <w:pPr>
              <w:pStyle w:val="Tabletext1"/>
              <w:spacing w:before="0" w:after="120"/>
              <w:jc w:val="right"/>
              <w:rPr>
                <w:bCs/>
                <w:color w:val="000000"/>
              </w:rPr>
            </w:pPr>
            <w:r w:rsidRPr="00CF1DFD">
              <w:t>$1,573,853</w:t>
            </w:r>
          </w:p>
        </w:tc>
        <w:tc>
          <w:tcPr>
            <w:tcW w:w="714" w:type="pct"/>
            <w:tcBorders>
              <w:bottom w:val="single" w:sz="4" w:space="0" w:color="auto"/>
            </w:tcBorders>
            <w:shd w:val="clear" w:color="auto" w:fill="auto"/>
          </w:tcPr>
          <w:p w14:paraId="3D7E813B" w14:textId="77777777" w:rsidR="000E482F" w:rsidRPr="00153C8A" w:rsidRDefault="000E482F" w:rsidP="004C79C1">
            <w:pPr>
              <w:pStyle w:val="Tabletext1"/>
              <w:spacing w:before="0" w:after="120"/>
              <w:jc w:val="right"/>
              <w:rPr>
                <w:bCs/>
                <w:color w:val="000000"/>
              </w:rPr>
            </w:pPr>
            <w:r w:rsidRPr="00CF1DFD">
              <w:t>$1,600,683</w:t>
            </w:r>
          </w:p>
        </w:tc>
        <w:tc>
          <w:tcPr>
            <w:tcW w:w="714" w:type="pct"/>
            <w:tcBorders>
              <w:bottom w:val="single" w:sz="4" w:space="0" w:color="auto"/>
            </w:tcBorders>
            <w:shd w:val="clear" w:color="auto" w:fill="auto"/>
          </w:tcPr>
          <w:p w14:paraId="39308D86" w14:textId="77777777" w:rsidR="000E482F" w:rsidRPr="00153C8A" w:rsidRDefault="000E482F" w:rsidP="004C79C1">
            <w:pPr>
              <w:pStyle w:val="Tabletext1"/>
              <w:spacing w:before="0" w:after="120"/>
              <w:jc w:val="right"/>
              <w:rPr>
                <w:bCs/>
                <w:color w:val="000000"/>
              </w:rPr>
            </w:pPr>
            <w:r w:rsidRPr="00CF1DFD">
              <w:t>$1,627,295</w:t>
            </w:r>
          </w:p>
        </w:tc>
        <w:tc>
          <w:tcPr>
            <w:tcW w:w="714" w:type="pct"/>
            <w:tcBorders>
              <w:bottom w:val="single" w:sz="4" w:space="0" w:color="auto"/>
            </w:tcBorders>
            <w:shd w:val="clear" w:color="auto" w:fill="auto"/>
          </w:tcPr>
          <w:p w14:paraId="16B22666" w14:textId="77777777" w:rsidR="000E482F" w:rsidRPr="00153C8A" w:rsidRDefault="000E482F" w:rsidP="004C79C1">
            <w:pPr>
              <w:pStyle w:val="Tabletext1"/>
              <w:spacing w:before="0" w:after="120"/>
              <w:jc w:val="right"/>
              <w:rPr>
                <w:bCs/>
                <w:color w:val="000000"/>
              </w:rPr>
            </w:pPr>
            <w:r w:rsidRPr="00CF1DFD">
              <w:t>$1,653,504</w:t>
            </w:r>
          </w:p>
        </w:tc>
        <w:tc>
          <w:tcPr>
            <w:tcW w:w="714" w:type="pct"/>
            <w:tcBorders>
              <w:bottom w:val="single" w:sz="4" w:space="0" w:color="auto"/>
            </w:tcBorders>
            <w:shd w:val="clear" w:color="auto" w:fill="auto"/>
          </w:tcPr>
          <w:p w14:paraId="4B77CCEE" w14:textId="77777777" w:rsidR="000E482F" w:rsidRPr="00153C8A" w:rsidRDefault="000E482F" w:rsidP="004C79C1">
            <w:pPr>
              <w:pStyle w:val="Tabletext1"/>
              <w:spacing w:before="0" w:after="120"/>
              <w:jc w:val="right"/>
              <w:rPr>
                <w:bCs/>
                <w:color w:val="000000"/>
              </w:rPr>
            </w:pPr>
            <w:r w:rsidRPr="00CF1DFD">
              <w:t>$1,679,608</w:t>
            </w:r>
          </w:p>
        </w:tc>
      </w:tr>
      <w:tr w:rsidR="000E482F" w:rsidRPr="00897C49" w14:paraId="642B7D5B" w14:textId="77777777" w:rsidTr="00723891">
        <w:trPr>
          <w:trHeight w:val="315"/>
        </w:trPr>
        <w:tc>
          <w:tcPr>
            <w:tcW w:w="1430" w:type="pct"/>
            <w:shd w:val="clear" w:color="auto" w:fill="auto"/>
          </w:tcPr>
          <w:p w14:paraId="13AE3629" w14:textId="77777777" w:rsidR="000E482F" w:rsidRPr="00784480" w:rsidRDefault="000E482F" w:rsidP="004C79C1">
            <w:pPr>
              <w:pStyle w:val="Tabletext1"/>
              <w:spacing w:before="0" w:after="120"/>
              <w:rPr>
                <w:b/>
              </w:rPr>
            </w:pPr>
            <w:r w:rsidRPr="00784480">
              <w:rPr>
                <w:b/>
              </w:rPr>
              <w:t>Net cost to the MBS</w:t>
            </w:r>
          </w:p>
        </w:tc>
        <w:tc>
          <w:tcPr>
            <w:tcW w:w="714" w:type="pct"/>
          </w:tcPr>
          <w:p w14:paraId="1D6076BF" w14:textId="77777777" w:rsidR="000E482F" w:rsidRPr="00784480" w:rsidRDefault="000E482F" w:rsidP="004C79C1">
            <w:pPr>
              <w:pStyle w:val="Tabletext1"/>
              <w:spacing w:before="0" w:after="120"/>
              <w:jc w:val="right"/>
              <w:rPr>
                <w:b/>
                <w:bCs/>
                <w:color w:val="000000"/>
              </w:rPr>
            </w:pPr>
            <w:r w:rsidRPr="00784480">
              <w:rPr>
                <w:b/>
              </w:rPr>
              <w:t>$1,551,558</w:t>
            </w:r>
          </w:p>
        </w:tc>
        <w:tc>
          <w:tcPr>
            <w:tcW w:w="714" w:type="pct"/>
            <w:shd w:val="clear" w:color="auto" w:fill="auto"/>
          </w:tcPr>
          <w:p w14:paraId="18B84B8A" w14:textId="77777777" w:rsidR="000E482F" w:rsidRPr="00784480" w:rsidRDefault="000E482F" w:rsidP="004C79C1">
            <w:pPr>
              <w:pStyle w:val="Tabletext1"/>
              <w:spacing w:before="0" w:after="120"/>
              <w:jc w:val="right"/>
              <w:rPr>
                <w:b/>
                <w:bCs/>
                <w:color w:val="000000"/>
              </w:rPr>
            </w:pPr>
            <w:r w:rsidRPr="00784480">
              <w:rPr>
                <w:b/>
              </w:rPr>
              <w:t>$1,578,008</w:t>
            </w:r>
          </w:p>
        </w:tc>
        <w:tc>
          <w:tcPr>
            <w:tcW w:w="714" w:type="pct"/>
            <w:shd w:val="clear" w:color="auto" w:fill="auto"/>
          </w:tcPr>
          <w:p w14:paraId="7136B1EA" w14:textId="77777777" w:rsidR="000E482F" w:rsidRPr="00784480" w:rsidRDefault="000E482F" w:rsidP="004C79C1">
            <w:pPr>
              <w:pStyle w:val="Tabletext1"/>
              <w:spacing w:before="0" w:after="120"/>
              <w:jc w:val="right"/>
              <w:rPr>
                <w:b/>
                <w:bCs/>
                <w:color w:val="000000"/>
              </w:rPr>
            </w:pPr>
            <w:r w:rsidRPr="00784480">
              <w:rPr>
                <w:b/>
              </w:rPr>
              <w:t>$1,604,243</w:t>
            </w:r>
          </w:p>
        </w:tc>
        <w:tc>
          <w:tcPr>
            <w:tcW w:w="714" w:type="pct"/>
            <w:shd w:val="clear" w:color="auto" w:fill="auto"/>
          </w:tcPr>
          <w:p w14:paraId="5A545478" w14:textId="77777777" w:rsidR="000E482F" w:rsidRPr="00784480" w:rsidRDefault="000E482F" w:rsidP="004C79C1">
            <w:pPr>
              <w:pStyle w:val="Tabletext1"/>
              <w:spacing w:before="0" w:after="120"/>
              <w:jc w:val="right"/>
              <w:rPr>
                <w:b/>
                <w:bCs/>
                <w:color w:val="000000"/>
              </w:rPr>
            </w:pPr>
            <w:r w:rsidRPr="00784480">
              <w:rPr>
                <w:b/>
              </w:rPr>
              <w:t>$1,630,081</w:t>
            </w:r>
          </w:p>
        </w:tc>
        <w:tc>
          <w:tcPr>
            <w:tcW w:w="714" w:type="pct"/>
            <w:shd w:val="clear" w:color="auto" w:fill="auto"/>
          </w:tcPr>
          <w:p w14:paraId="7039602C" w14:textId="77777777" w:rsidR="000E482F" w:rsidRPr="00784480" w:rsidRDefault="000E482F" w:rsidP="004C79C1">
            <w:pPr>
              <w:pStyle w:val="Tabletext1"/>
              <w:spacing w:before="0" w:after="120"/>
              <w:jc w:val="right"/>
              <w:rPr>
                <w:b/>
                <w:bCs/>
                <w:color w:val="000000"/>
              </w:rPr>
            </w:pPr>
            <w:r w:rsidRPr="00784480">
              <w:rPr>
                <w:b/>
              </w:rPr>
              <w:t>$1,655,815</w:t>
            </w:r>
          </w:p>
        </w:tc>
      </w:tr>
    </w:tbl>
    <w:p w14:paraId="7374F22F" w14:textId="6C079861" w:rsidR="000E482F" w:rsidRDefault="000E482F" w:rsidP="004C79C1">
      <w:pPr>
        <w:pStyle w:val="Tablenotes0"/>
        <w:spacing w:before="0" w:after="120"/>
      </w:pPr>
      <w:r>
        <w:t>CMR</w:t>
      </w:r>
      <w:r w:rsidR="00897C49">
        <w:t xml:space="preserve"> </w:t>
      </w:r>
      <w:r>
        <w:t>=</w:t>
      </w:r>
      <w:r w:rsidR="00897C49">
        <w:t xml:space="preserve"> </w:t>
      </w:r>
      <w:r>
        <w:t xml:space="preserve">cardiac magnetic resonance </w:t>
      </w:r>
      <w:r w:rsidR="00381F2E">
        <w:t>(</w:t>
      </w:r>
      <w:r>
        <w:t>imaging</w:t>
      </w:r>
      <w:r w:rsidR="00381F2E">
        <w:t>)</w:t>
      </w:r>
      <w:r>
        <w:t>; DCM = dilated cardiomyopathy; MBS = Medicare Benefits Schedule</w:t>
      </w:r>
    </w:p>
    <w:p w14:paraId="740DB2AD" w14:textId="77777777" w:rsidR="000E482F" w:rsidRDefault="000E482F" w:rsidP="004C79C1">
      <w:pPr>
        <w:pStyle w:val="Heading2"/>
        <w:numPr>
          <w:ilvl w:val="4"/>
          <w:numId w:val="101"/>
        </w:numPr>
        <w:spacing w:before="0" w:after="120" w:line="240" w:lineRule="auto"/>
        <w:jc w:val="both"/>
      </w:pPr>
      <w:bookmarkStart w:id="740" w:name="_Toc432677423"/>
      <w:bookmarkStart w:id="741" w:name="_Toc449609026"/>
      <w:bookmarkStart w:id="742" w:name="_Toc451501398"/>
      <w:r>
        <w:lastRenderedPageBreak/>
        <w:t>Financial I</w:t>
      </w:r>
      <w:r w:rsidRPr="00183E4D">
        <w:t>mplications</w:t>
      </w:r>
      <w:r>
        <w:t xml:space="preserve"> for</w:t>
      </w:r>
      <w:r w:rsidRPr="00183E4D">
        <w:t xml:space="preserve"> </w:t>
      </w:r>
      <w:r>
        <w:t>Government and other Health Budgets</w:t>
      </w:r>
      <w:bookmarkEnd w:id="740"/>
      <w:bookmarkEnd w:id="741"/>
      <w:bookmarkEnd w:id="742"/>
      <w:r w:rsidRPr="00183E4D">
        <w:t xml:space="preserve"> </w:t>
      </w:r>
    </w:p>
    <w:p w14:paraId="4C8C8A16" w14:textId="16218A66" w:rsidR="000E482F" w:rsidRDefault="000E482F" w:rsidP="004C79C1">
      <w:pPr>
        <w:spacing w:after="120" w:line="240" w:lineRule="auto"/>
        <w:jc w:val="both"/>
      </w:pPr>
      <w:r>
        <w:t>The financial implications of listing CMR for DCM are tentative. CMR may potentially substitute for all non-invasive comparator tests (</w:t>
      </w:r>
      <w:r w:rsidR="00897C49">
        <w:t xml:space="preserve">i.e. </w:t>
      </w:r>
      <w:r>
        <w:t xml:space="preserve">CTCA, SPECT and stress </w:t>
      </w:r>
      <w:r w:rsidR="00A21115">
        <w:t>echocardiography</w:t>
      </w:r>
      <w:r>
        <w:t>), but may not avoid the ICAs performed in th</w:t>
      </w:r>
      <w:r w:rsidR="00897C49">
        <w:t>os</w:t>
      </w:r>
      <w:r>
        <w:t>e patients identified with or highly suspected of CAD. These patients are likely to undergo both ICA and CMR. Thus</w:t>
      </w:r>
      <w:r w:rsidR="005B42C9">
        <w:t>,</w:t>
      </w:r>
      <w:r>
        <w:t xml:space="preserve"> CMR will be an additional test in the clinical pathway to provide diagnostic information. As such, the projected financial implications of substituted ICAs are highly uncertain. Assuming </w:t>
      </w:r>
      <w:r w:rsidR="005B42C9">
        <w:t xml:space="preserve">that </w:t>
      </w:r>
      <w:r>
        <w:t xml:space="preserve">all ICAs are substituted by CMR, </w:t>
      </w:r>
      <w:r w:rsidR="005B42C9">
        <w:t xml:space="preserve">the </w:t>
      </w:r>
      <w:r>
        <w:t>financial implications to other healthcare budgets are presented below.</w:t>
      </w:r>
    </w:p>
    <w:p w14:paraId="469A55EB" w14:textId="236F778E" w:rsidR="000E482F" w:rsidRDefault="000E482F" w:rsidP="004C79C1">
      <w:pPr>
        <w:spacing w:after="120" w:line="240" w:lineRule="auto"/>
        <w:jc w:val="both"/>
      </w:pPr>
      <w:r>
        <w:t xml:space="preserve">Patients receiving ICA through the MBS are private patients. Therefore, hospital costs for these patients would be covered privately by </w:t>
      </w:r>
      <w:r w:rsidR="005B42C9">
        <w:t>PHI</w:t>
      </w:r>
      <w:r>
        <w:t xml:space="preserve"> companies and not by any </w:t>
      </w:r>
      <w:r w:rsidR="005B42C9">
        <w:t>s</w:t>
      </w:r>
      <w:r>
        <w:t xml:space="preserve">tate or </w:t>
      </w:r>
      <w:r w:rsidR="005B42C9">
        <w:t>f</w:t>
      </w:r>
      <w:r>
        <w:t xml:space="preserve">ederal government health budget. The medical services cost of these private patients will have </w:t>
      </w:r>
      <w:r w:rsidR="005B42C9">
        <w:t xml:space="preserve">a </w:t>
      </w:r>
      <w:r>
        <w:t>Medicare cost, patient</w:t>
      </w:r>
      <w:r w:rsidR="005B42C9">
        <w:t xml:space="preserve"> </w:t>
      </w:r>
      <w:r>
        <w:t>contribution</w:t>
      </w:r>
      <w:r w:rsidRPr="00DD55C1">
        <w:t xml:space="preserve"> </w:t>
      </w:r>
      <w:r>
        <w:t xml:space="preserve">and </w:t>
      </w:r>
      <w:r w:rsidR="005B42C9">
        <w:t xml:space="preserve">a </w:t>
      </w:r>
      <w:r>
        <w:t xml:space="preserve">cost covered by </w:t>
      </w:r>
      <w:r w:rsidR="005B42C9">
        <w:t>a</w:t>
      </w:r>
      <w:r w:rsidR="00E4347F">
        <w:t xml:space="preserve"> </w:t>
      </w:r>
      <w:r w:rsidR="005B42C9">
        <w:t>PHI</w:t>
      </w:r>
      <w:r>
        <w:t xml:space="preserve">. However, the ICAs performed in public hospitals will have implications to </w:t>
      </w:r>
      <w:r w:rsidR="00E4347F">
        <w:t>s</w:t>
      </w:r>
      <w:r>
        <w:t xml:space="preserve">tate </w:t>
      </w:r>
      <w:r w:rsidR="00E4347F">
        <w:t>g</w:t>
      </w:r>
      <w:r>
        <w:t xml:space="preserve">overnment </w:t>
      </w:r>
      <w:r w:rsidR="00E4347F">
        <w:t>h</w:t>
      </w:r>
      <w:r>
        <w:t xml:space="preserve">ealthcare </w:t>
      </w:r>
      <w:r w:rsidR="00E4347F">
        <w:t>b</w:t>
      </w:r>
      <w:r>
        <w:t xml:space="preserve">udgets (see </w:t>
      </w:r>
      <w:r w:rsidR="00784480">
        <w:fldChar w:fldCharType="begin"/>
      </w:r>
      <w:r w:rsidR="00784480">
        <w:instrText xml:space="preserve"> REF _Ref436995572 \h </w:instrText>
      </w:r>
      <w:r w:rsidR="00784480">
        <w:fldChar w:fldCharType="separate"/>
      </w:r>
      <w:r w:rsidR="00784480">
        <w:t xml:space="preserve">Table </w:t>
      </w:r>
      <w:r w:rsidR="00784480">
        <w:rPr>
          <w:noProof/>
        </w:rPr>
        <w:t>69</w:t>
      </w:r>
      <w:r w:rsidR="00784480">
        <w:fldChar w:fldCharType="end"/>
      </w:r>
      <w:r w:rsidR="00BC1A2E">
        <w:t xml:space="preserve"> </w:t>
      </w:r>
      <w:r>
        <w:t>for more details).</w:t>
      </w:r>
    </w:p>
    <w:p w14:paraId="29DEEFBD" w14:textId="6BE2C920" w:rsidR="000E482F" w:rsidRDefault="00784480" w:rsidP="004C79C1">
      <w:pPr>
        <w:spacing w:after="120" w:line="240" w:lineRule="auto"/>
        <w:jc w:val="both"/>
      </w:pPr>
      <w:r>
        <w:fldChar w:fldCharType="begin"/>
      </w:r>
      <w:r>
        <w:instrText xml:space="preserve"> REF _Ref449433413 \h </w:instrText>
      </w:r>
      <w:r>
        <w:fldChar w:fldCharType="separate"/>
      </w:r>
      <w:r>
        <w:t xml:space="preserve">Table </w:t>
      </w:r>
      <w:r>
        <w:rPr>
          <w:noProof/>
        </w:rPr>
        <w:t>72</w:t>
      </w:r>
      <w:r>
        <w:fldChar w:fldCharType="end"/>
      </w:r>
      <w:r w:rsidR="00BC1A2E">
        <w:t xml:space="preserve"> </w:t>
      </w:r>
      <w:r w:rsidR="000E482F">
        <w:t xml:space="preserve">presents the estimated financial implications of proposed CMR testing (assuming </w:t>
      </w:r>
      <w:r w:rsidR="00E55BBF">
        <w:t xml:space="preserve">that </w:t>
      </w:r>
      <w:r w:rsidR="000E482F">
        <w:t>all ICAs are offset) on other healthcare budgets. These estimates should be interpreted with caution as not all ICAs would be avoided in clinical practice, in which case the estimates presented will overestimate the financial savings due to CMR listing.</w:t>
      </w:r>
    </w:p>
    <w:p w14:paraId="689FF78E" w14:textId="2A4C3F77" w:rsidR="000E482F" w:rsidRDefault="000E482F" w:rsidP="004C79C1">
      <w:pPr>
        <w:pStyle w:val="Caption"/>
        <w:keepNext/>
      </w:pPr>
      <w:bookmarkStart w:id="743" w:name="_Ref449433413"/>
      <w:bookmarkStart w:id="744" w:name="_Toc449555032"/>
      <w:bookmarkStart w:id="745" w:name="_Toc324410243"/>
      <w:bookmarkStart w:id="746" w:name="_Toc451435399"/>
      <w:r>
        <w:t xml:space="preserve">Table </w:t>
      </w:r>
      <w:fldSimple w:instr=" SEQ Table \* ARABIC ">
        <w:r w:rsidR="00784480">
          <w:rPr>
            <w:noProof/>
          </w:rPr>
          <w:t>72</w:t>
        </w:r>
      </w:fldSimple>
      <w:bookmarkEnd w:id="743"/>
      <w:r>
        <w:tab/>
        <w:t xml:space="preserve">Cost implications for other healthcare budgets (maximum, assuming </w:t>
      </w:r>
      <w:r w:rsidR="00E55BBF">
        <w:t xml:space="preserve">that </w:t>
      </w:r>
      <w:r>
        <w:t xml:space="preserve">all ICAs are substituted </w:t>
      </w:r>
      <w:r w:rsidR="006433E7">
        <w:t>by</w:t>
      </w:r>
      <w:r>
        <w:t xml:space="preserve"> CMR)</w:t>
      </w:r>
      <w:bookmarkEnd w:id="744"/>
      <w:bookmarkEnd w:id="745"/>
      <w:bookmarkEnd w:id="7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 implications for other healthcare budgets (maximum, assuming all ICAs are substituted fro CMR)"/>
        <w:tblDescription w:val="Cost implications for other healthcare budgets (maximum, assuming all ICAs are substituted fro CMR)"/>
      </w:tblPr>
      <w:tblGrid>
        <w:gridCol w:w="2467"/>
        <w:gridCol w:w="1355"/>
        <w:gridCol w:w="1355"/>
        <w:gridCol w:w="1355"/>
        <w:gridCol w:w="1355"/>
        <w:gridCol w:w="1355"/>
      </w:tblGrid>
      <w:tr w:rsidR="000E482F" w:rsidRPr="00363837" w14:paraId="7A6B090E" w14:textId="77777777" w:rsidTr="00723891">
        <w:trPr>
          <w:trHeight w:val="300"/>
          <w:tblHeader/>
        </w:trPr>
        <w:tc>
          <w:tcPr>
            <w:tcW w:w="1334" w:type="pct"/>
            <w:tcBorders>
              <w:bottom w:val="single" w:sz="4" w:space="0" w:color="auto"/>
            </w:tcBorders>
            <w:shd w:val="clear" w:color="auto" w:fill="auto"/>
            <w:vAlign w:val="center"/>
          </w:tcPr>
          <w:p w14:paraId="5BE8F0E1" w14:textId="77777777" w:rsidR="000E482F" w:rsidRPr="00363837" w:rsidRDefault="000E482F" w:rsidP="004C79C1">
            <w:pPr>
              <w:pStyle w:val="TableHeading"/>
              <w:spacing w:before="0" w:after="120"/>
            </w:pPr>
            <w:r w:rsidRPr="003E4A52">
              <w:rPr>
                <w:color w:val="FFFFFF" w:themeColor="background1"/>
              </w:rPr>
              <w:t>-</w:t>
            </w:r>
          </w:p>
        </w:tc>
        <w:tc>
          <w:tcPr>
            <w:tcW w:w="733" w:type="pct"/>
            <w:tcBorders>
              <w:bottom w:val="single" w:sz="4" w:space="0" w:color="auto"/>
            </w:tcBorders>
          </w:tcPr>
          <w:p w14:paraId="126DCFF7" w14:textId="014FDE5B" w:rsidR="000E482F" w:rsidRPr="00363837" w:rsidRDefault="000E482F" w:rsidP="004C79C1">
            <w:pPr>
              <w:pStyle w:val="TableHeading"/>
              <w:spacing w:before="0" w:after="120"/>
              <w:jc w:val="center"/>
            </w:pPr>
            <w:r w:rsidRPr="00EB389E">
              <w:t>2016</w:t>
            </w:r>
            <w:r w:rsidR="006433E7">
              <w:t>–</w:t>
            </w:r>
            <w:r w:rsidRPr="00EB389E">
              <w:t>17</w:t>
            </w:r>
          </w:p>
        </w:tc>
        <w:tc>
          <w:tcPr>
            <w:tcW w:w="733" w:type="pct"/>
            <w:tcBorders>
              <w:bottom w:val="single" w:sz="4" w:space="0" w:color="auto"/>
            </w:tcBorders>
            <w:shd w:val="clear" w:color="auto" w:fill="auto"/>
          </w:tcPr>
          <w:p w14:paraId="19D0039C" w14:textId="7011F8DC" w:rsidR="000E482F" w:rsidRPr="00363837" w:rsidRDefault="000E482F" w:rsidP="004C79C1">
            <w:pPr>
              <w:pStyle w:val="TableHeading"/>
              <w:spacing w:before="0" w:after="120"/>
              <w:jc w:val="center"/>
            </w:pPr>
            <w:r w:rsidRPr="00EB389E">
              <w:t>2017</w:t>
            </w:r>
            <w:r w:rsidR="006433E7">
              <w:t>–</w:t>
            </w:r>
            <w:r w:rsidRPr="00EB389E">
              <w:t>18</w:t>
            </w:r>
          </w:p>
        </w:tc>
        <w:tc>
          <w:tcPr>
            <w:tcW w:w="733" w:type="pct"/>
            <w:tcBorders>
              <w:bottom w:val="single" w:sz="4" w:space="0" w:color="auto"/>
            </w:tcBorders>
            <w:shd w:val="clear" w:color="auto" w:fill="auto"/>
          </w:tcPr>
          <w:p w14:paraId="5C273915" w14:textId="7C850BC7" w:rsidR="000E482F" w:rsidRPr="00363837" w:rsidRDefault="000E482F" w:rsidP="004C79C1">
            <w:pPr>
              <w:pStyle w:val="TableHeading"/>
              <w:spacing w:before="0" w:after="120"/>
              <w:jc w:val="center"/>
            </w:pPr>
            <w:r w:rsidRPr="00EB389E">
              <w:t>2018</w:t>
            </w:r>
            <w:r w:rsidR="006433E7">
              <w:t>–</w:t>
            </w:r>
            <w:r w:rsidRPr="00EB389E">
              <w:t>19</w:t>
            </w:r>
          </w:p>
        </w:tc>
        <w:tc>
          <w:tcPr>
            <w:tcW w:w="733" w:type="pct"/>
            <w:tcBorders>
              <w:bottom w:val="single" w:sz="4" w:space="0" w:color="auto"/>
            </w:tcBorders>
            <w:shd w:val="clear" w:color="auto" w:fill="auto"/>
          </w:tcPr>
          <w:p w14:paraId="67C5CA6B" w14:textId="1721C06A" w:rsidR="000E482F" w:rsidRPr="00363837" w:rsidRDefault="000E482F" w:rsidP="004C79C1">
            <w:pPr>
              <w:pStyle w:val="TableHeading"/>
              <w:spacing w:before="0" w:after="120"/>
              <w:jc w:val="center"/>
            </w:pPr>
            <w:r w:rsidRPr="00EB389E">
              <w:t>2019</w:t>
            </w:r>
            <w:r w:rsidR="006433E7">
              <w:t>–</w:t>
            </w:r>
            <w:r w:rsidRPr="00EB389E">
              <w:t>20</w:t>
            </w:r>
          </w:p>
        </w:tc>
        <w:tc>
          <w:tcPr>
            <w:tcW w:w="733" w:type="pct"/>
            <w:tcBorders>
              <w:bottom w:val="single" w:sz="4" w:space="0" w:color="auto"/>
            </w:tcBorders>
            <w:shd w:val="clear" w:color="auto" w:fill="auto"/>
          </w:tcPr>
          <w:p w14:paraId="29F36B60" w14:textId="04DF6460" w:rsidR="000E482F" w:rsidRPr="00363837" w:rsidRDefault="000E482F" w:rsidP="004C79C1">
            <w:pPr>
              <w:pStyle w:val="TableHeading"/>
              <w:spacing w:before="0" w:after="120"/>
              <w:jc w:val="center"/>
            </w:pPr>
            <w:r w:rsidRPr="00EB389E">
              <w:t>2020</w:t>
            </w:r>
            <w:r w:rsidR="006433E7">
              <w:t>–</w:t>
            </w:r>
            <w:r w:rsidRPr="00EB389E">
              <w:t>21</w:t>
            </w:r>
          </w:p>
        </w:tc>
      </w:tr>
      <w:tr w:rsidR="000E482F" w:rsidRPr="00363837" w14:paraId="698ED4D7" w14:textId="77777777" w:rsidTr="00723891">
        <w:trPr>
          <w:trHeight w:val="300"/>
        </w:trPr>
        <w:tc>
          <w:tcPr>
            <w:tcW w:w="1334" w:type="pct"/>
            <w:shd w:val="clear" w:color="auto" w:fill="auto"/>
          </w:tcPr>
          <w:p w14:paraId="77474D5A" w14:textId="4C636C47" w:rsidR="000E482F" w:rsidRPr="00363837" w:rsidRDefault="000E482F" w:rsidP="004C79C1">
            <w:pPr>
              <w:pStyle w:val="Tabletext1"/>
              <w:spacing w:before="0" w:after="120"/>
            </w:pPr>
            <w:r>
              <w:t>S</w:t>
            </w:r>
            <w:r w:rsidRPr="00BD7FEF">
              <w:t>tate government</w:t>
            </w:r>
            <w:r>
              <w:t>s:</w:t>
            </w:r>
            <w:r w:rsidRPr="00BD7FEF">
              <w:t xml:space="preserve"> </w:t>
            </w:r>
            <w:r w:rsidR="006433E7">
              <w:t>n</w:t>
            </w:r>
            <w:r w:rsidRPr="00363837">
              <w:t>umber of</w:t>
            </w:r>
            <w:r>
              <w:t xml:space="preserve"> ICA</w:t>
            </w:r>
            <w:r w:rsidRPr="00363837">
              <w:t xml:space="preserve"> services</w:t>
            </w:r>
            <w:r>
              <w:t xml:space="preserve"> offset</w:t>
            </w:r>
          </w:p>
        </w:tc>
        <w:tc>
          <w:tcPr>
            <w:tcW w:w="733" w:type="pct"/>
          </w:tcPr>
          <w:p w14:paraId="056F6BDC" w14:textId="77777777" w:rsidR="000E482F" w:rsidRPr="00363837" w:rsidRDefault="000E482F" w:rsidP="004C79C1">
            <w:pPr>
              <w:pStyle w:val="Tabletext1"/>
              <w:spacing w:before="0" w:after="120"/>
              <w:jc w:val="right"/>
            </w:pPr>
            <w:r w:rsidRPr="0023478C">
              <w:t>592</w:t>
            </w:r>
          </w:p>
        </w:tc>
        <w:tc>
          <w:tcPr>
            <w:tcW w:w="733" w:type="pct"/>
            <w:shd w:val="clear" w:color="auto" w:fill="auto"/>
          </w:tcPr>
          <w:p w14:paraId="1E899BA2" w14:textId="77777777" w:rsidR="000E482F" w:rsidRPr="00363837" w:rsidRDefault="000E482F" w:rsidP="004C79C1">
            <w:pPr>
              <w:pStyle w:val="Tabletext1"/>
              <w:spacing w:before="0" w:after="120"/>
              <w:jc w:val="right"/>
            </w:pPr>
            <w:r w:rsidRPr="0023478C">
              <w:t>603</w:t>
            </w:r>
          </w:p>
        </w:tc>
        <w:tc>
          <w:tcPr>
            <w:tcW w:w="733" w:type="pct"/>
            <w:shd w:val="clear" w:color="auto" w:fill="auto"/>
          </w:tcPr>
          <w:p w14:paraId="20245EFC" w14:textId="77777777" w:rsidR="000E482F" w:rsidRPr="00363837" w:rsidRDefault="000E482F" w:rsidP="004C79C1">
            <w:pPr>
              <w:pStyle w:val="Tabletext1"/>
              <w:spacing w:before="0" w:after="120"/>
              <w:jc w:val="right"/>
            </w:pPr>
            <w:r w:rsidRPr="0023478C">
              <w:t>613</w:t>
            </w:r>
          </w:p>
        </w:tc>
        <w:tc>
          <w:tcPr>
            <w:tcW w:w="733" w:type="pct"/>
            <w:shd w:val="clear" w:color="auto" w:fill="auto"/>
          </w:tcPr>
          <w:p w14:paraId="2E5CA7D0" w14:textId="77777777" w:rsidR="000E482F" w:rsidRPr="00363837" w:rsidRDefault="000E482F" w:rsidP="004C79C1">
            <w:pPr>
              <w:pStyle w:val="Tabletext1"/>
              <w:spacing w:before="0" w:after="120"/>
              <w:jc w:val="right"/>
            </w:pPr>
            <w:r w:rsidRPr="0023478C">
              <w:t>622</w:t>
            </w:r>
          </w:p>
        </w:tc>
        <w:tc>
          <w:tcPr>
            <w:tcW w:w="733" w:type="pct"/>
            <w:shd w:val="clear" w:color="auto" w:fill="auto"/>
          </w:tcPr>
          <w:p w14:paraId="339EAE3B" w14:textId="77777777" w:rsidR="000E482F" w:rsidRPr="00363837" w:rsidRDefault="000E482F" w:rsidP="004C79C1">
            <w:pPr>
              <w:pStyle w:val="Tabletext1"/>
              <w:spacing w:before="0" w:after="120"/>
              <w:jc w:val="right"/>
            </w:pPr>
            <w:r w:rsidRPr="0023478C">
              <w:t>632</w:t>
            </w:r>
          </w:p>
        </w:tc>
      </w:tr>
      <w:tr w:rsidR="000E482F" w:rsidRPr="00363837" w14:paraId="53F79523" w14:textId="77777777" w:rsidTr="00723891">
        <w:trPr>
          <w:trHeight w:val="315"/>
        </w:trPr>
        <w:tc>
          <w:tcPr>
            <w:tcW w:w="1334" w:type="pct"/>
            <w:tcBorders>
              <w:bottom w:val="single" w:sz="4" w:space="0" w:color="auto"/>
            </w:tcBorders>
            <w:shd w:val="clear" w:color="auto" w:fill="auto"/>
          </w:tcPr>
          <w:p w14:paraId="278819EB" w14:textId="72FE845F" w:rsidR="000E482F" w:rsidRPr="00363837" w:rsidRDefault="000E482F" w:rsidP="004C79C1">
            <w:pPr>
              <w:pStyle w:val="Tabletext1"/>
              <w:spacing w:before="0" w:after="120"/>
            </w:pPr>
            <w:r w:rsidRPr="00363837">
              <w:t>Cost</w:t>
            </w:r>
            <w:r>
              <w:t xml:space="preserve"> offsets</w:t>
            </w:r>
            <w:r w:rsidRPr="00363837">
              <w:t xml:space="preserve"> to </w:t>
            </w:r>
            <w:r w:rsidR="006433E7">
              <w:t>s</w:t>
            </w:r>
            <w:r>
              <w:t xml:space="preserve">tate </w:t>
            </w:r>
            <w:r w:rsidR="006433E7">
              <w:t>g</w:t>
            </w:r>
            <w:r>
              <w:t>overnment</w:t>
            </w:r>
            <w:r w:rsidR="006433E7">
              <w:t>s</w:t>
            </w:r>
          </w:p>
        </w:tc>
        <w:tc>
          <w:tcPr>
            <w:tcW w:w="733" w:type="pct"/>
            <w:tcBorders>
              <w:bottom w:val="single" w:sz="4" w:space="0" w:color="auto"/>
            </w:tcBorders>
          </w:tcPr>
          <w:p w14:paraId="2B570FBC" w14:textId="77777777" w:rsidR="000E482F" w:rsidRPr="00363837" w:rsidRDefault="000E482F" w:rsidP="004C79C1">
            <w:pPr>
              <w:pStyle w:val="Tabletext1"/>
              <w:spacing w:before="0" w:after="120"/>
              <w:jc w:val="right"/>
            </w:pPr>
            <w:r w:rsidRPr="0099200C">
              <w:t>$1,680,733</w:t>
            </w:r>
          </w:p>
        </w:tc>
        <w:tc>
          <w:tcPr>
            <w:tcW w:w="733" w:type="pct"/>
            <w:tcBorders>
              <w:bottom w:val="single" w:sz="4" w:space="0" w:color="auto"/>
            </w:tcBorders>
            <w:shd w:val="clear" w:color="auto" w:fill="auto"/>
          </w:tcPr>
          <w:p w14:paraId="46035E16" w14:textId="77777777" w:rsidR="000E482F" w:rsidRPr="00363837" w:rsidRDefault="000E482F" w:rsidP="004C79C1">
            <w:pPr>
              <w:pStyle w:val="Tabletext1"/>
              <w:spacing w:before="0" w:after="120"/>
              <w:jc w:val="right"/>
            </w:pPr>
            <w:r w:rsidRPr="0099200C">
              <w:t>$1,709,385</w:t>
            </w:r>
          </w:p>
        </w:tc>
        <w:tc>
          <w:tcPr>
            <w:tcW w:w="733" w:type="pct"/>
            <w:tcBorders>
              <w:bottom w:val="single" w:sz="4" w:space="0" w:color="auto"/>
            </w:tcBorders>
            <w:shd w:val="clear" w:color="auto" w:fill="auto"/>
          </w:tcPr>
          <w:p w14:paraId="0A3D5414" w14:textId="77777777" w:rsidR="000E482F" w:rsidRPr="00363837" w:rsidRDefault="000E482F" w:rsidP="004C79C1">
            <w:pPr>
              <w:pStyle w:val="Tabletext1"/>
              <w:spacing w:before="0" w:after="120"/>
              <w:jc w:val="right"/>
            </w:pPr>
            <w:r w:rsidRPr="0099200C">
              <w:t>$1,737,804</w:t>
            </w:r>
          </w:p>
        </w:tc>
        <w:tc>
          <w:tcPr>
            <w:tcW w:w="733" w:type="pct"/>
            <w:tcBorders>
              <w:bottom w:val="single" w:sz="4" w:space="0" w:color="auto"/>
            </w:tcBorders>
            <w:shd w:val="clear" w:color="auto" w:fill="auto"/>
          </w:tcPr>
          <w:p w14:paraId="6DCF2DD3" w14:textId="77777777" w:rsidR="000E482F" w:rsidRPr="00363837" w:rsidRDefault="000E482F" w:rsidP="004C79C1">
            <w:pPr>
              <w:pStyle w:val="Tabletext1"/>
              <w:spacing w:before="0" w:after="120"/>
              <w:jc w:val="right"/>
            </w:pPr>
            <w:r w:rsidRPr="0099200C">
              <w:t>$1,765,793</w:t>
            </w:r>
          </w:p>
        </w:tc>
        <w:tc>
          <w:tcPr>
            <w:tcW w:w="733" w:type="pct"/>
            <w:tcBorders>
              <w:bottom w:val="single" w:sz="4" w:space="0" w:color="auto"/>
            </w:tcBorders>
            <w:shd w:val="clear" w:color="auto" w:fill="auto"/>
          </w:tcPr>
          <w:p w14:paraId="401DD816" w14:textId="77777777" w:rsidR="000E482F" w:rsidRPr="00363837" w:rsidRDefault="000E482F" w:rsidP="004C79C1">
            <w:pPr>
              <w:pStyle w:val="Tabletext1"/>
              <w:spacing w:before="0" w:after="120"/>
              <w:jc w:val="right"/>
            </w:pPr>
            <w:r w:rsidRPr="0099200C">
              <w:t>$1,793,669</w:t>
            </w:r>
          </w:p>
        </w:tc>
      </w:tr>
      <w:tr w:rsidR="000E482F" w:rsidRPr="00363837" w14:paraId="2D124C2A" w14:textId="77777777" w:rsidTr="00723891">
        <w:trPr>
          <w:trHeight w:val="300"/>
        </w:trPr>
        <w:tc>
          <w:tcPr>
            <w:tcW w:w="1334" w:type="pct"/>
            <w:shd w:val="clear" w:color="auto" w:fill="auto"/>
          </w:tcPr>
          <w:p w14:paraId="5C21550D" w14:textId="37BF39D0" w:rsidR="000E482F" w:rsidRPr="00363837" w:rsidRDefault="000E482F" w:rsidP="004C79C1">
            <w:pPr>
              <w:pStyle w:val="Tabletext1"/>
              <w:spacing w:before="0" w:after="120"/>
            </w:pPr>
            <w:r>
              <w:t>PHI</w:t>
            </w:r>
            <w:r w:rsidR="00543757">
              <w:t>s</w:t>
            </w:r>
            <w:r>
              <w:t>:</w:t>
            </w:r>
            <w:r w:rsidRPr="00363837">
              <w:t xml:space="preserve"> </w:t>
            </w:r>
            <w:r w:rsidR="006433E7">
              <w:t>n</w:t>
            </w:r>
            <w:r w:rsidRPr="00363837">
              <w:t xml:space="preserve">umber of </w:t>
            </w:r>
            <w:r>
              <w:t xml:space="preserve">ICA </w:t>
            </w:r>
            <w:r w:rsidRPr="00363837">
              <w:t xml:space="preserve">services offset </w:t>
            </w:r>
          </w:p>
        </w:tc>
        <w:tc>
          <w:tcPr>
            <w:tcW w:w="733" w:type="pct"/>
          </w:tcPr>
          <w:p w14:paraId="05C8BECD" w14:textId="77777777" w:rsidR="000E482F" w:rsidRPr="00363837" w:rsidRDefault="000E482F" w:rsidP="004C79C1">
            <w:pPr>
              <w:pStyle w:val="Tabletext1"/>
              <w:spacing w:before="0" w:after="120"/>
              <w:jc w:val="right"/>
              <w:rPr>
                <w:bCs/>
                <w:color w:val="000000"/>
              </w:rPr>
            </w:pPr>
            <w:r w:rsidRPr="00FF75CF">
              <w:t>889</w:t>
            </w:r>
          </w:p>
        </w:tc>
        <w:tc>
          <w:tcPr>
            <w:tcW w:w="733" w:type="pct"/>
            <w:shd w:val="clear" w:color="auto" w:fill="auto"/>
          </w:tcPr>
          <w:p w14:paraId="014C613E" w14:textId="77777777" w:rsidR="000E482F" w:rsidRPr="00363837" w:rsidRDefault="000E482F" w:rsidP="004C79C1">
            <w:pPr>
              <w:pStyle w:val="Tabletext1"/>
              <w:spacing w:before="0" w:after="120"/>
              <w:jc w:val="right"/>
              <w:rPr>
                <w:bCs/>
                <w:color w:val="000000"/>
              </w:rPr>
            </w:pPr>
            <w:r w:rsidRPr="00FF75CF">
              <w:t>904</w:t>
            </w:r>
          </w:p>
        </w:tc>
        <w:tc>
          <w:tcPr>
            <w:tcW w:w="733" w:type="pct"/>
            <w:shd w:val="clear" w:color="auto" w:fill="auto"/>
          </w:tcPr>
          <w:p w14:paraId="6A3B45C9" w14:textId="77777777" w:rsidR="000E482F" w:rsidRPr="00363837" w:rsidRDefault="000E482F" w:rsidP="004C79C1">
            <w:pPr>
              <w:pStyle w:val="Tabletext1"/>
              <w:spacing w:before="0" w:after="120"/>
              <w:jc w:val="right"/>
              <w:rPr>
                <w:bCs/>
                <w:color w:val="000000"/>
              </w:rPr>
            </w:pPr>
            <w:r w:rsidRPr="00FF75CF">
              <w:t>919</w:t>
            </w:r>
          </w:p>
        </w:tc>
        <w:tc>
          <w:tcPr>
            <w:tcW w:w="733" w:type="pct"/>
            <w:shd w:val="clear" w:color="auto" w:fill="auto"/>
          </w:tcPr>
          <w:p w14:paraId="7EF12E0C" w14:textId="77777777" w:rsidR="000E482F" w:rsidRPr="00363837" w:rsidRDefault="000E482F" w:rsidP="004C79C1">
            <w:pPr>
              <w:pStyle w:val="Tabletext1"/>
              <w:spacing w:before="0" w:after="120"/>
              <w:jc w:val="right"/>
              <w:rPr>
                <w:bCs/>
                <w:color w:val="000000"/>
              </w:rPr>
            </w:pPr>
            <w:r w:rsidRPr="00FF75CF">
              <w:t>934</w:t>
            </w:r>
          </w:p>
        </w:tc>
        <w:tc>
          <w:tcPr>
            <w:tcW w:w="733" w:type="pct"/>
            <w:shd w:val="clear" w:color="auto" w:fill="auto"/>
          </w:tcPr>
          <w:p w14:paraId="05807B99" w14:textId="77777777" w:rsidR="000E482F" w:rsidRPr="00363837" w:rsidRDefault="000E482F" w:rsidP="004C79C1">
            <w:pPr>
              <w:pStyle w:val="Tabletext1"/>
              <w:spacing w:before="0" w:after="120"/>
              <w:jc w:val="right"/>
              <w:rPr>
                <w:bCs/>
                <w:color w:val="000000"/>
              </w:rPr>
            </w:pPr>
            <w:r w:rsidRPr="00FF75CF">
              <w:t>948</w:t>
            </w:r>
          </w:p>
        </w:tc>
      </w:tr>
      <w:tr w:rsidR="000E482F" w:rsidRPr="00363837" w14:paraId="62763FA2" w14:textId="77777777" w:rsidTr="00723891">
        <w:trPr>
          <w:trHeight w:val="300"/>
        </w:trPr>
        <w:tc>
          <w:tcPr>
            <w:tcW w:w="1334" w:type="pct"/>
            <w:tcBorders>
              <w:bottom w:val="single" w:sz="4" w:space="0" w:color="auto"/>
            </w:tcBorders>
            <w:shd w:val="clear" w:color="auto" w:fill="auto"/>
          </w:tcPr>
          <w:p w14:paraId="3200A7D9" w14:textId="6AA56D91" w:rsidR="000E482F" w:rsidRPr="00363837" w:rsidRDefault="000E482F" w:rsidP="004C79C1">
            <w:pPr>
              <w:pStyle w:val="Tabletext1"/>
              <w:spacing w:before="0" w:after="120"/>
            </w:pPr>
            <w:r w:rsidRPr="00363837">
              <w:t>Cost offset</w:t>
            </w:r>
            <w:r>
              <w:t>s to PHIs</w:t>
            </w:r>
          </w:p>
        </w:tc>
        <w:tc>
          <w:tcPr>
            <w:tcW w:w="733" w:type="pct"/>
            <w:tcBorders>
              <w:bottom w:val="single" w:sz="4" w:space="0" w:color="auto"/>
            </w:tcBorders>
          </w:tcPr>
          <w:p w14:paraId="5E33F956" w14:textId="77777777" w:rsidR="000E482F" w:rsidRPr="00363837" w:rsidRDefault="000E482F" w:rsidP="004C79C1">
            <w:pPr>
              <w:pStyle w:val="Tabletext1"/>
              <w:spacing w:before="0" w:after="120"/>
              <w:jc w:val="right"/>
              <w:rPr>
                <w:bCs/>
                <w:color w:val="000000"/>
              </w:rPr>
            </w:pPr>
            <w:r w:rsidRPr="00FE0244">
              <w:t>$3,933,522</w:t>
            </w:r>
          </w:p>
        </w:tc>
        <w:tc>
          <w:tcPr>
            <w:tcW w:w="733" w:type="pct"/>
            <w:tcBorders>
              <w:bottom w:val="single" w:sz="4" w:space="0" w:color="auto"/>
            </w:tcBorders>
            <w:shd w:val="clear" w:color="auto" w:fill="auto"/>
          </w:tcPr>
          <w:p w14:paraId="0AF1395A" w14:textId="77777777" w:rsidR="000E482F" w:rsidRPr="00363837" w:rsidRDefault="000E482F" w:rsidP="004C79C1">
            <w:pPr>
              <w:pStyle w:val="Tabletext1"/>
              <w:spacing w:before="0" w:after="120"/>
              <w:jc w:val="right"/>
              <w:rPr>
                <w:bCs/>
                <w:color w:val="000000"/>
              </w:rPr>
            </w:pPr>
            <w:r w:rsidRPr="00FE0244">
              <w:t>$4,000,579</w:t>
            </w:r>
          </w:p>
        </w:tc>
        <w:tc>
          <w:tcPr>
            <w:tcW w:w="733" w:type="pct"/>
            <w:tcBorders>
              <w:bottom w:val="single" w:sz="4" w:space="0" w:color="auto"/>
            </w:tcBorders>
            <w:shd w:val="clear" w:color="auto" w:fill="auto"/>
          </w:tcPr>
          <w:p w14:paraId="6331F4C1" w14:textId="77777777" w:rsidR="000E482F" w:rsidRPr="00363837" w:rsidRDefault="000E482F" w:rsidP="004C79C1">
            <w:pPr>
              <w:pStyle w:val="Tabletext1"/>
              <w:spacing w:before="0" w:after="120"/>
              <w:jc w:val="right"/>
              <w:rPr>
                <w:bCs/>
                <w:color w:val="000000"/>
              </w:rPr>
            </w:pPr>
            <w:r w:rsidRPr="00FE0244">
              <w:t>$4,067,090</w:t>
            </w:r>
          </w:p>
        </w:tc>
        <w:tc>
          <w:tcPr>
            <w:tcW w:w="733" w:type="pct"/>
            <w:tcBorders>
              <w:bottom w:val="single" w:sz="4" w:space="0" w:color="auto"/>
            </w:tcBorders>
            <w:shd w:val="clear" w:color="auto" w:fill="auto"/>
          </w:tcPr>
          <w:p w14:paraId="0E877FC3" w14:textId="77777777" w:rsidR="000E482F" w:rsidRPr="00363837" w:rsidRDefault="000E482F" w:rsidP="004C79C1">
            <w:pPr>
              <w:pStyle w:val="Tabletext1"/>
              <w:spacing w:before="0" w:after="120"/>
              <w:jc w:val="right"/>
              <w:rPr>
                <w:bCs/>
                <w:color w:val="000000"/>
              </w:rPr>
            </w:pPr>
            <w:r w:rsidRPr="00FE0244">
              <w:t>$4,132,594</w:t>
            </w:r>
          </w:p>
        </w:tc>
        <w:tc>
          <w:tcPr>
            <w:tcW w:w="733" w:type="pct"/>
            <w:tcBorders>
              <w:bottom w:val="single" w:sz="4" w:space="0" w:color="auto"/>
            </w:tcBorders>
            <w:shd w:val="clear" w:color="auto" w:fill="auto"/>
          </w:tcPr>
          <w:p w14:paraId="7F3D01AD" w14:textId="77777777" w:rsidR="000E482F" w:rsidRPr="00363837" w:rsidRDefault="000E482F" w:rsidP="004C79C1">
            <w:pPr>
              <w:pStyle w:val="Tabletext1"/>
              <w:spacing w:before="0" w:after="120"/>
              <w:jc w:val="right"/>
              <w:rPr>
                <w:bCs/>
                <w:color w:val="000000"/>
              </w:rPr>
            </w:pPr>
            <w:r w:rsidRPr="00FE0244">
              <w:t>$4,197,835</w:t>
            </w:r>
          </w:p>
        </w:tc>
      </w:tr>
      <w:tr w:rsidR="000E482F" w:rsidRPr="00363837" w14:paraId="55BD1966" w14:textId="77777777" w:rsidTr="00723891">
        <w:trPr>
          <w:trHeight w:val="315"/>
        </w:trPr>
        <w:tc>
          <w:tcPr>
            <w:tcW w:w="1334" w:type="pct"/>
            <w:shd w:val="clear" w:color="auto" w:fill="auto"/>
          </w:tcPr>
          <w:p w14:paraId="6D74185E" w14:textId="38F5CD0A" w:rsidR="000E482F" w:rsidRPr="007F5194" w:rsidRDefault="000E482F" w:rsidP="004C79C1">
            <w:pPr>
              <w:pStyle w:val="Tabletext1"/>
              <w:spacing w:before="0" w:after="120"/>
              <w:rPr>
                <w:b/>
              </w:rPr>
            </w:pPr>
            <w:r w:rsidRPr="007F5194">
              <w:rPr>
                <w:b/>
              </w:rPr>
              <w:t xml:space="preserve">Net offsets to other </w:t>
            </w:r>
            <w:r w:rsidR="00543757">
              <w:rPr>
                <w:b/>
              </w:rPr>
              <w:t>h</w:t>
            </w:r>
            <w:r w:rsidRPr="007F5194">
              <w:rPr>
                <w:b/>
              </w:rPr>
              <w:t>ealth</w:t>
            </w:r>
            <w:r w:rsidR="00543757">
              <w:rPr>
                <w:b/>
              </w:rPr>
              <w:t>care</w:t>
            </w:r>
            <w:r w:rsidRPr="007F5194">
              <w:rPr>
                <w:b/>
              </w:rPr>
              <w:t xml:space="preserve"> </w:t>
            </w:r>
            <w:r w:rsidR="00543757">
              <w:rPr>
                <w:b/>
              </w:rPr>
              <w:t>b</w:t>
            </w:r>
            <w:r w:rsidRPr="007F5194">
              <w:rPr>
                <w:b/>
              </w:rPr>
              <w:t>udgets</w:t>
            </w:r>
          </w:p>
        </w:tc>
        <w:tc>
          <w:tcPr>
            <w:tcW w:w="733" w:type="pct"/>
          </w:tcPr>
          <w:p w14:paraId="19D7CB48" w14:textId="77777777" w:rsidR="000E482F" w:rsidRPr="007F5194" w:rsidRDefault="000E482F" w:rsidP="004C79C1">
            <w:pPr>
              <w:pStyle w:val="Tabletext1"/>
              <w:spacing w:before="0" w:after="120"/>
              <w:jc w:val="right"/>
              <w:rPr>
                <w:b/>
                <w:bCs/>
                <w:color w:val="000000"/>
              </w:rPr>
            </w:pPr>
            <w:r w:rsidRPr="007F5194">
              <w:rPr>
                <w:b/>
              </w:rPr>
              <w:t>$5,614,255</w:t>
            </w:r>
          </w:p>
        </w:tc>
        <w:tc>
          <w:tcPr>
            <w:tcW w:w="733" w:type="pct"/>
            <w:shd w:val="clear" w:color="auto" w:fill="auto"/>
          </w:tcPr>
          <w:p w14:paraId="069E49D3" w14:textId="77777777" w:rsidR="000E482F" w:rsidRPr="007F5194" w:rsidRDefault="000E482F" w:rsidP="004C79C1">
            <w:pPr>
              <w:pStyle w:val="Tabletext1"/>
              <w:spacing w:before="0" w:after="120"/>
              <w:jc w:val="right"/>
              <w:rPr>
                <w:b/>
                <w:bCs/>
                <w:color w:val="000000"/>
              </w:rPr>
            </w:pPr>
            <w:r w:rsidRPr="007F5194">
              <w:rPr>
                <w:b/>
              </w:rPr>
              <w:t>$5,709,964</w:t>
            </w:r>
          </w:p>
        </w:tc>
        <w:tc>
          <w:tcPr>
            <w:tcW w:w="733" w:type="pct"/>
            <w:shd w:val="clear" w:color="auto" w:fill="auto"/>
          </w:tcPr>
          <w:p w14:paraId="0182CDC4" w14:textId="77777777" w:rsidR="000E482F" w:rsidRPr="007F5194" w:rsidRDefault="000E482F" w:rsidP="004C79C1">
            <w:pPr>
              <w:pStyle w:val="Tabletext1"/>
              <w:spacing w:before="0" w:after="120"/>
              <w:jc w:val="right"/>
              <w:rPr>
                <w:b/>
                <w:bCs/>
                <w:color w:val="000000"/>
              </w:rPr>
            </w:pPr>
            <w:r w:rsidRPr="007F5194">
              <w:rPr>
                <w:b/>
              </w:rPr>
              <w:t>$5,804,894</w:t>
            </w:r>
          </w:p>
        </w:tc>
        <w:tc>
          <w:tcPr>
            <w:tcW w:w="733" w:type="pct"/>
            <w:shd w:val="clear" w:color="auto" w:fill="auto"/>
          </w:tcPr>
          <w:p w14:paraId="121C8ED4" w14:textId="77777777" w:rsidR="000E482F" w:rsidRPr="007F5194" w:rsidRDefault="000E482F" w:rsidP="004C79C1">
            <w:pPr>
              <w:pStyle w:val="Tabletext1"/>
              <w:spacing w:before="0" w:after="120"/>
              <w:jc w:val="right"/>
              <w:rPr>
                <w:b/>
                <w:bCs/>
                <w:color w:val="000000"/>
              </w:rPr>
            </w:pPr>
            <w:r w:rsidRPr="007F5194">
              <w:rPr>
                <w:b/>
              </w:rPr>
              <w:t>$5,898,386</w:t>
            </w:r>
          </w:p>
        </w:tc>
        <w:tc>
          <w:tcPr>
            <w:tcW w:w="733" w:type="pct"/>
            <w:shd w:val="clear" w:color="auto" w:fill="auto"/>
          </w:tcPr>
          <w:p w14:paraId="6CA01E73" w14:textId="77777777" w:rsidR="000E482F" w:rsidRPr="007F5194" w:rsidRDefault="000E482F" w:rsidP="004C79C1">
            <w:pPr>
              <w:pStyle w:val="Tabletext1"/>
              <w:spacing w:before="0" w:after="120"/>
              <w:jc w:val="right"/>
              <w:rPr>
                <w:b/>
                <w:bCs/>
                <w:color w:val="000000"/>
              </w:rPr>
            </w:pPr>
            <w:r w:rsidRPr="007F5194">
              <w:rPr>
                <w:b/>
              </w:rPr>
              <w:t>$5,991,504</w:t>
            </w:r>
          </w:p>
        </w:tc>
      </w:tr>
    </w:tbl>
    <w:p w14:paraId="52844AC6" w14:textId="32957B77" w:rsidR="000E482F" w:rsidRPr="00784480" w:rsidRDefault="000E482F" w:rsidP="004C79C1">
      <w:pPr>
        <w:pStyle w:val="Tablenotes0"/>
        <w:spacing w:before="0" w:after="120"/>
      </w:pPr>
      <w:r w:rsidRPr="00784480">
        <w:t>ICA = invasive coronary angiography; PHI = private health insurer</w:t>
      </w:r>
    </w:p>
    <w:p w14:paraId="38357D46" w14:textId="4DF1E3CB" w:rsidR="000E482F" w:rsidRDefault="000E482F" w:rsidP="004C79C1">
      <w:pPr>
        <w:spacing w:after="120" w:line="240" w:lineRule="auto"/>
      </w:pPr>
      <w:r>
        <w:t xml:space="preserve">The implications of listing CMR for DCM to patients are reported in </w:t>
      </w:r>
      <w:r w:rsidR="009E52C1">
        <w:fldChar w:fldCharType="begin"/>
      </w:r>
      <w:r w:rsidR="009E52C1">
        <w:instrText xml:space="preserve"> REF _Ref444768301 \h </w:instrText>
      </w:r>
      <w:r w:rsidR="009E52C1">
        <w:fldChar w:fldCharType="separate"/>
      </w:r>
      <w:r w:rsidR="009E52C1" w:rsidRPr="000B57EB">
        <w:t xml:space="preserve">Table </w:t>
      </w:r>
      <w:r w:rsidR="009E52C1">
        <w:rPr>
          <w:noProof/>
        </w:rPr>
        <w:t>73</w:t>
      </w:r>
      <w:r w:rsidR="009E52C1">
        <w:fldChar w:fldCharType="end"/>
      </w:r>
      <w:r>
        <w:t>.</w:t>
      </w:r>
    </w:p>
    <w:p w14:paraId="7713BD1E" w14:textId="7C9DCC64" w:rsidR="000E482F" w:rsidRDefault="000E482F" w:rsidP="004C79C1">
      <w:pPr>
        <w:pStyle w:val="Caption"/>
        <w:tabs>
          <w:tab w:val="left" w:pos="1134"/>
        </w:tabs>
      </w:pPr>
      <w:bookmarkStart w:id="747" w:name="_Ref444768301"/>
      <w:bookmarkStart w:id="748" w:name="_Toc449555033"/>
      <w:bookmarkStart w:id="749" w:name="_Toc324410244"/>
      <w:bookmarkStart w:id="750" w:name="_Toc451435400"/>
      <w:r w:rsidRPr="000B57EB">
        <w:t xml:space="preserve">Table </w:t>
      </w:r>
      <w:fldSimple w:instr=" SEQ Table \* ARABIC ">
        <w:r w:rsidR="00050936">
          <w:rPr>
            <w:noProof/>
          </w:rPr>
          <w:t>73</w:t>
        </w:r>
      </w:fldSimple>
      <w:bookmarkEnd w:id="747"/>
      <w:r w:rsidRPr="000B57EB">
        <w:tab/>
      </w:r>
      <w:r w:rsidRPr="00183E4D">
        <w:t xml:space="preserve">Total costs to </w:t>
      </w:r>
      <w:r>
        <w:t>patients</w:t>
      </w:r>
      <w:r w:rsidRPr="00183E4D">
        <w:t xml:space="preserve"> associated with </w:t>
      </w:r>
      <w:r>
        <w:t>CMR for DCM</w:t>
      </w:r>
      <w:bookmarkEnd w:id="748"/>
      <w:bookmarkEnd w:id="749"/>
      <w:bookmarkEnd w:id="7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otal costs to patients associated with CMR for DCM"/>
        <w:tblDescription w:val="Total costs to patients associated with CMR for DCM"/>
      </w:tblPr>
      <w:tblGrid>
        <w:gridCol w:w="1883"/>
        <w:gridCol w:w="1599"/>
        <w:gridCol w:w="1453"/>
        <w:gridCol w:w="1455"/>
        <w:gridCol w:w="1455"/>
        <w:gridCol w:w="1397"/>
      </w:tblGrid>
      <w:tr w:rsidR="000E482F" w:rsidRPr="00795E7B" w14:paraId="15D1DF60" w14:textId="77777777" w:rsidTr="00723891">
        <w:trPr>
          <w:trHeight w:val="300"/>
          <w:tblHeader/>
        </w:trPr>
        <w:tc>
          <w:tcPr>
            <w:tcW w:w="1019" w:type="pct"/>
            <w:tcBorders>
              <w:bottom w:val="single" w:sz="4" w:space="0" w:color="auto"/>
            </w:tcBorders>
            <w:shd w:val="clear" w:color="auto" w:fill="auto"/>
            <w:vAlign w:val="center"/>
          </w:tcPr>
          <w:p w14:paraId="4B4B2E2B" w14:textId="77777777" w:rsidR="000E482F" w:rsidRPr="00795E7B" w:rsidRDefault="000E482F" w:rsidP="004C79C1">
            <w:pPr>
              <w:pStyle w:val="TableHeading"/>
              <w:spacing w:before="0" w:after="120"/>
            </w:pPr>
            <w:r w:rsidRPr="003E4A52">
              <w:rPr>
                <w:color w:val="FFFFFF" w:themeColor="background1"/>
              </w:rPr>
              <w:t>-</w:t>
            </w:r>
          </w:p>
        </w:tc>
        <w:tc>
          <w:tcPr>
            <w:tcW w:w="865" w:type="pct"/>
            <w:tcBorders>
              <w:bottom w:val="single" w:sz="4" w:space="0" w:color="auto"/>
            </w:tcBorders>
            <w:vAlign w:val="center"/>
          </w:tcPr>
          <w:p w14:paraId="1E3714A5" w14:textId="613825A8" w:rsidR="000E482F" w:rsidRPr="00795E7B" w:rsidRDefault="000E482F" w:rsidP="004C79C1">
            <w:pPr>
              <w:pStyle w:val="TableHeading"/>
              <w:spacing w:before="0" w:after="120"/>
              <w:jc w:val="center"/>
            </w:pPr>
            <w:r w:rsidRPr="00795E7B">
              <w:t>2015</w:t>
            </w:r>
            <w:r w:rsidR="00543757">
              <w:t>–</w:t>
            </w:r>
            <w:r w:rsidRPr="00795E7B">
              <w:t>16</w:t>
            </w:r>
          </w:p>
        </w:tc>
        <w:tc>
          <w:tcPr>
            <w:tcW w:w="786" w:type="pct"/>
            <w:tcBorders>
              <w:bottom w:val="single" w:sz="4" w:space="0" w:color="auto"/>
            </w:tcBorders>
            <w:shd w:val="clear" w:color="auto" w:fill="auto"/>
            <w:vAlign w:val="center"/>
          </w:tcPr>
          <w:p w14:paraId="421FBC6F" w14:textId="42098B5A" w:rsidR="000E482F" w:rsidRPr="00795E7B" w:rsidRDefault="000E482F" w:rsidP="004C79C1">
            <w:pPr>
              <w:pStyle w:val="TableHeading"/>
              <w:spacing w:before="0" w:after="120"/>
              <w:jc w:val="center"/>
            </w:pPr>
            <w:r w:rsidRPr="00795E7B">
              <w:t>2016</w:t>
            </w:r>
            <w:r w:rsidR="00543757">
              <w:t>–</w:t>
            </w:r>
            <w:r w:rsidRPr="00795E7B">
              <w:t>17</w:t>
            </w:r>
          </w:p>
        </w:tc>
        <w:tc>
          <w:tcPr>
            <w:tcW w:w="787" w:type="pct"/>
            <w:tcBorders>
              <w:bottom w:val="single" w:sz="4" w:space="0" w:color="auto"/>
            </w:tcBorders>
            <w:shd w:val="clear" w:color="auto" w:fill="auto"/>
            <w:vAlign w:val="center"/>
          </w:tcPr>
          <w:p w14:paraId="568CB488" w14:textId="0333D610" w:rsidR="000E482F" w:rsidRPr="00795E7B" w:rsidRDefault="000E482F" w:rsidP="004C79C1">
            <w:pPr>
              <w:pStyle w:val="TableHeading"/>
              <w:spacing w:before="0" w:after="120"/>
              <w:jc w:val="center"/>
            </w:pPr>
            <w:r w:rsidRPr="00795E7B">
              <w:t>2017</w:t>
            </w:r>
            <w:r w:rsidR="00543757">
              <w:t>–</w:t>
            </w:r>
            <w:r w:rsidRPr="00795E7B">
              <w:t>18</w:t>
            </w:r>
          </w:p>
        </w:tc>
        <w:tc>
          <w:tcPr>
            <w:tcW w:w="787" w:type="pct"/>
            <w:tcBorders>
              <w:bottom w:val="single" w:sz="4" w:space="0" w:color="auto"/>
            </w:tcBorders>
            <w:shd w:val="clear" w:color="auto" w:fill="auto"/>
            <w:vAlign w:val="center"/>
          </w:tcPr>
          <w:p w14:paraId="6EF6A6CF" w14:textId="76A7D988" w:rsidR="000E482F" w:rsidRPr="00795E7B" w:rsidRDefault="000E482F" w:rsidP="004C79C1">
            <w:pPr>
              <w:pStyle w:val="TableHeading"/>
              <w:spacing w:before="0" w:after="120"/>
              <w:jc w:val="center"/>
            </w:pPr>
            <w:r w:rsidRPr="00795E7B">
              <w:t>2018</w:t>
            </w:r>
            <w:r w:rsidR="00543757">
              <w:t>–</w:t>
            </w:r>
            <w:r w:rsidRPr="00795E7B">
              <w:t>19</w:t>
            </w:r>
          </w:p>
        </w:tc>
        <w:tc>
          <w:tcPr>
            <w:tcW w:w="756" w:type="pct"/>
            <w:tcBorders>
              <w:bottom w:val="single" w:sz="4" w:space="0" w:color="auto"/>
            </w:tcBorders>
            <w:shd w:val="clear" w:color="auto" w:fill="auto"/>
            <w:vAlign w:val="center"/>
          </w:tcPr>
          <w:p w14:paraId="076A5880" w14:textId="20513FAE" w:rsidR="000E482F" w:rsidRPr="00795E7B" w:rsidRDefault="000E482F" w:rsidP="004C79C1">
            <w:pPr>
              <w:pStyle w:val="TableHeading"/>
              <w:spacing w:before="0" w:after="120"/>
              <w:jc w:val="center"/>
            </w:pPr>
            <w:r w:rsidRPr="00795E7B">
              <w:t>2019</w:t>
            </w:r>
            <w:r w:rsidR="00543757">
              <w:t>–</w:t>
            </w:r>
            <w:r w:rsidRPr="00795E7B">
              <w:t>20</w:t>
            </w:r>
          </w:p>
        </w:tc>
      </w:tr>
      <w:tr w:rsidR="000E482F" w:rsidRPr="00A31C87" w14:paraId="09D3D761" w14:textId="77777777" w:rsidTr="00723891">
        <w:trPr>
          <w:trHeight w:val="300"/>
        </w:trPr>
        <w:tc>
          <w:tcPr>
            <w:tcW w:w="1019" w:type="pct"/>
            <w:tcBorders>
              <w:right w:val="nil"/>
            </w:tcBorders>
            <w:shd w:val="clear" w:color="auto" w:fill="auto"/>
          </w:tcPr>
          <w:p w14:paraId="2F73142F" w14:textId="77777777" w:rsidR="000E482F" w:rsidRPr="00E35296" w:rsidRDefault="000E482F" w:rsidP="004C79C1">
            <w:pPr>
              <w:pStyle w:val="Tabletext1"/>
              <w:spacing w:before="0" w:after="120"/>
              <w:rPr>
                <w:b/>
                <w:highlight w:val="cyan"/>
              </w:rPr>
            </w:pPr>
            <w:r w:rsidRPr="00E35296">
              <w:rPr>
                <w:b/>
              </w:rPr>
              <w:t>CMR</w:t>
            </w:r>
          </w:p>
        </w:tc>
        <w:tc>
          <w:tcPr>
            <w:tcW w:w="865" w:type="pct"/>
            <w:tcBorders>
              <w:left w:val="nil"/>
              <w:right w:val="nil"/>
            </w:tcBorders>
          </w:tcPr>
          <w:p w14:paraId="6CDA0C4A" w14:textId="77777777" w:rsidR="000E482F" w:rsidRPr="00E35296" w:rsidRDefault="000E482F" w:rsidP="004C79C1">
            <w:pPr>
              <w:pStyle w:val="Tabletext1"/>
              <w:spacing w:before="0" w:after="120"/>
              <w:rPr>
                <w:b/>
              </w:rPr>
            </w:pPr>
          </w:p>
        </w:tc>
        <w:tc>
          <w:tcPr>
            <w:tcW w:w="786" w:type="pct"/>
            <w:tcBorders>
              <w:left w:val="nil"/>
              <w:right w:val="nil"/>
            </w:tcBorders>
            <w:shd w:val="clear" w:color="auto" w:fill="auto"/>
          </w:tcPr>
          <w:p w14:paraId="04165C16" w14:textId="77777777" w:rsidR="000E482F" w:rsidRPr="00E35296" w:rsidRDefault="000E482F" w:rsidP="004C79C1">
            <w:pPr>
              <w:pStyle w:val="Tabletext1"/>
              <w:spacing w:before="0" w:after="120"/>
              <w:rPr>
                <w:b/>
              </w:rPr>
            </w:pPr>
          </w:p>
        </w:tc>
        <w:tc>
          <w:tcPr>
            <w:tcW w:w="787" w:type="pct"/>
            <w:tcBorders>
              <w:left w:val="nil"/>
              <w:right w:val="nil"/>
            </w:tcBorders>
            <w:shd w:val="clear" w:color="auto" w:fill="auto"/>
          </w:tcPr>
          <w:p w14:paraId="68D76C5D" w14:textId="77777777" w:rsidR="000E482F" w:rsidRPr="00E35296" w:rsidRDefault="000E482F" w:rsidP="004C79C1">
            <w:pPr>
              <w:pStyle w:val="Tabletext1"/>
              <w:spacing w:before="0" w:after="120"/>
              <w:rPr>
                <w:b/>
              </w:rPr>
            </w:pPr>
          </w:p>
        </w:tc>
        <w:tc>
          <w:tcPr>
            <w:tcW w:w="787" w:type="pct"/>
            <w:tcBorders>
              <w:left w:val="nil"/>
              <w:right w:val="nil"/>
            </w:tcBorders>
            <w:shd w:val="clear" w:color="auto" w:fill="auto"/>
          </w:tcPr>
          <w:p w14:paraId="2B652AB7" w14:textId="77777777" w:rsidR="000E482F" w:rsidRPr="00E35296" w:rsidRDefault="000E482F" w:rsidP="004C79C1">
            <w:pPr>
              <w:pStyle w:val="Tabletext1"/>
              <w:spacing w:before="0" w:after="120"/>
              <w:rPr>
                <w:b/>
              </w:rPr>
            </w:pPr>
          </w:p>
        </w:tc>
        <w:tc>
          <w:tcPr>
            <w:tcW w:w="756" w:type="pct"/>
            <w:tcBorders>
              <w:left w:val="nil"/>
              <w:right w:val="single" w:sz="4" w:space="0" w:color="auto"/>
            </w:tcBorders>
            <w:shd w:val="clear" w:color="auto" w:fill="auto"/>
          </w:tcPr>
          <w:p w14:paraId="63247CC7" w14:textId="77777777" w:rsidR="000E482F" w:rsidRPr="00E35296" w:rsidRDefault="000E482F" w:rsidP="004C79C1">
            <w:pPr>
              <w:pStyle w:val="Tabletext1"/>
              <w:spacing w:before="0" w:after="120"/>
              <w:rPr>
                <w:b/>
              </w:rPr>
            </w:pPr>
          </w:p>
        </w:tc>
      </w:tr>
      <w:tr w:rsidR="000E482F" w:rsidRPr="00795E7B" w14:paraId="45A97321" w14:textId="77777777" w:rsidTr="00723891">
        <w:trPr>
          <w:trHeight w:val="300"/>
        </w:trPr>
        <w:tc>
          <w:tcPr>
            <w:tcW w:w="1019" w:type="pct"/>
            <w:shd w:val="clear" w:color="auto" w:fill="auto"/>
          </w:tcPr>
          <w:p w14:paraId="1EFA6C19" w14:textId="77777777" w:rsidR="000E482F" w:rsidRPr="00795E7B" w:rsidRDefault="000E482F" w:rsidP="004C79C1">
            <w:pPr>
              <w:pStyle w:val="Tabletext1"/>
              <w:spacing w:before="0" w:after="120"/>
            </w:pPr>
            <w:r w:rsidRPr="00795E7B">
              <w:t>Number of services</w:t>
            </w:r>
          </w:p>
        </w:tc>
        <w:tc>
          <w:tcPr>
            <w:tcW w:w="865" w:type="pct"/>
            <w:vAlign w:val="bottom"/>
          </w:tcPr>
          <w:p w14:paraId="0811B5FB" w14:textId="77777777" w:rsidR="000E482F" w:rsidRPr="00795E7B" w:rsidRDefault="000E482F" w:rsidP="004C79C1">
            <w:pPr>
              <w:pStyle w:val="Tabletext1"/>
              <w:spacing w:before="0" w:after="120"/>
              <w:jc w:val="right"/>
            </w:pPr>
            <w:r w:rsidRPr="00795E7B">
              <w:rPr>
                <w:color w:val="000000"/>
              </w:rPr>
              <w:t>4,086</w:t>
            </w:r>
          </w:p>
        </w:tc>
        <w:tc>
          <w:tcPr>
            <w:tcW w:w="786" w:type="pct"/>
            <w:shd w:val="clear" w:color="auto" w:fill="auto"/>
            <w:vAlign w:val="bottom"/>
          </w:tcPr>
          <w:p w14:paraId="2A7F08D2" w14:textId="77777777" w:rsidR="000E482F" w:rsidRPr="00795E7B" w:rsidRDefault="000E482F" w:rsidP="004C79C1">
            <w:pPr>
              <w:pStyle w:val="Tabletext1"/>
              <w:spacing w:before="0" w:after="120"/>
              <w:jc w:val="right"/>
            </w:pPr>
            <w:r w:rsidRPr="00795E7B">
              <w:rPr>
                <w:color w:val="000000"/>
              </w:rPr>
              <w:t>4,155</w:t>
            </w:r>
          </w:p>
        </w:tc>
        <w:tc>
          <w:tcPr>
            <w:tcW w:w="787" w:type="pct"/>
            <w:shd w:val="clear" w:color="auto" w:fill="auto"/>
            <w:vAlign w:val="bottom"/>
          </w:tcPr>
          <w:p w14:paraId="66822153" w14:textId="77777777" w:rsidR="000E482F" w:rsidRPr="00795E7B" w:rsidRDefault="000E482F" w:rsidP="004C79C1">
            <w:pPr>
              <w:pStyle w:val="Tabletext1"/>
              <w:spacing w:before="0" w:after="120"/>
              <w:jc w:val="right"/>
            </w:pPr>
            <w:r w:rsidRPr="00795E7B">
              <w:rPr>
                <w:color w:val="000000"/>
              </w:rPr>
              <w:t>4,224</w:t>
            </w:r>
          </w:p>
        </w:tc>
        <w:tc>
          <w:tcPr>
            <w:tcW w:w="787" w:type="pct"/>
            <w:shd w:val="clear" w:color="auto" w:fill="auto"/>
            <w:vAlign w:val="bottom"/>
          </w:tcPr>
          <w:p w14:paraId="29456078" w14:textId="77777777" w:rsidR="000E482F" w:rsidRPr="00795E7B" w:rsidRDefault="000E482F" w:rsidP="004C79C1">
            <w:pPr>
              <w:pStyle w:val="Tabletext1"/>
              <w:spacing w:before="0" w:after="120"/>
              <w:jc w:val="right"/>
            </w:pPr>
            <w:r w:rsidRPr="00795E7B">
              <w:rPr>
                <w:color w:val="000000"/>
              </w:rPr>
              <w:t>4,292</w:t>
            </w:r>
          </w:p>
        </w:tc>
        <w:tc>
          <w:tcPr>
            <w:tcW w:w="756" w:type="pct"/>
            <w:shd w:val="clear" w:color="auto" w:fill="auto"/>
            <w:vAlign w:val="bottom"/>
          </w:tcPr>
          <w:p w14:paraId="6592A3F9" w14:textId="77777777" w:rsidR="000E482F" w:rsidRPr="00795E7B" w:rsidRDefault="000E482F" w:rsidP="004C79C1">
            <w:pPr>
              <w:pStyle w:val="Tabletext1"/>
              <w:spacing w:before="0" w:after="120"/>
              <w:jc w:val="right"/>
            </w:pPr>
            <w:r w:rsidRPr="00795E7B">
              <w:rPr>
                <w:color w:val="000000"/>
              </w:rPr>
              <w:t>4,360</w:t>
            </w:r>
          </w:p>
        </w:tc>
      </w:tr>
      <w:tr w:rsidR="000E482F" w:rsidRPr="00795E7B" w14:paraId="706E6069" w14:textId="77777777" w:rsidTr="00723891">
        <w:trPr>
          <w:trHeight w:val="315"/>
        </w:trPr>
        <w:tc>
          <w:tcPr>
            <w:tcW w:w="1019" w:type="pct"/>
            <w:tcBorders>
              <w:bottom w:val="single" w:sz="4" w:space="0" w:color="auto"/>
            </w:tcBorders>
            <w:shd w:val="clear" w:color="auto" w:fill="auto"/>
          </w:tcPr>
          <w:p w14:paraId="10B29381" w14:textId="77777777" w:rsidR="000E482F" w:rsidRPr="00795E7B" w:rsidRDefault="000E482F" w:rsidP="004C79C1">
            <w:pPr>
              <w:pStyle w:val="Tabletext1"/>
              <w:spacing w:before="0" w:after="120"/>
            </w:pPr>
            <w:r w:rsidRPr="00795E7B">
              <w:t>Cost to patients</w:t>
            </w:r>
          </w:p>
        </w:tc>
        <w:tc>
          <w:tcPr>
            <w:tcW w:w="865" w:type="pct"/>
            <w:tcBorders>
              <w:bottom w:val="single" w:sz="4" w:space="0" w:color="auto"/>
            </w:tcBorders>
            <w:vAlign w:val="bottom"/>
          </w:tcPr>
          <w:p w14:paraId="2DD17F86" w14:textId="77777777" w:rsidR="000E482F" w:rsidRPr="00795E7B" w:rsidRDefault="000E482F" w:rsidP="004C79C1">
            <w:pPr>
              <w:pStyle w:val="Tabletext1"/>
              <w:spacing w:before="0" w:after="120"/>
              <w:jc w:val="right"/>
            </w:pPr>
            <w:r w:rsidRPr="00795E7B">
              <w:rPr>
                <w:color w:val="000000"/>
              </w:rPr>
              <w:t>$299,310</w:t>
            </w:r>
          </w:p>
        </w:tc>
        <w:tc>
          <w:tcPr>
            <w:tcW w:w="786" w:type="pct"/>
            <w:tcBorders>
              <w:bottom w:val="single" w:sz="4" w:space="0" w:color="auto"/>
            </w:tcBorders>
            <w:shd w:val="clear" w:color="auto" w:fill="auto"/>
            <w:vAlign w:val="bottom"/>
          </w:tcPr>
          <w:p w14:paraId="59161257" w14:textId="77777777" w:rsidR="000E482F" w:rsidRPr="00795E7B" w:rsidRDefault="000E482F" w:rsidP="004C79C1">
            <w:pPr>
              <w:pStyle w:val="Tabletext1"/>
              <w:spacing w:before="0" w:after="120"/>
              <w:jc w:val="right"/>
            </w:pPr>
            <w:r w:rsidRPr="00795E7B">
              <w:rPr>
                <w:color w:val="000000"/>
              </w:rPr>
              <w:t>$304,412</w:t>
            </w:r>
          </w:p>
        </w:tc>
        <w:tc>
          <w:tcPr>
            <w:tcW w:w="787" w:type="pct"/>
            <w:tcBorders>
              <w:bottom w:val="single" w:sz="4" w:space="0" w:color="auto"/>
            </w:tcBorders>
            <w:shd w:val="clear" w:color="auto" w:fill="auto"/>
            <w:vAlign w:val="bottom"/>
          </w:tcPr>
          <w:p w14:paraId="3ECA8B91" w14:textId="77777777" w:rsidR="000E482F" w:rsidRPr="00795E7B" w:rsidRDefault="000E482F" w:rsidP="004C79C1">
            <w:pPr>
              <w:pStyle w:val="Tabletext1"/>
              <w:spacing w:before="0" w:after="120"/>
              <w:jc w:val="right"/>
            </w:pPr>
            <w:r w:rsidRPr="00795E7B">
              <w:rPr>
                <w:color w:val="000000"/>
              </w:rPr>
              <w:t>$309,473</w:t>
            </w:r>
          </w:p>
        </w:tc>
        <w:tc>
          <w:tcPr>
            <w:tcW w:w="787" w:type="pct"/>
            <w:tcBorders>
              <w:bottom w:val="single" w:sz="4" w:space="0" w:color="auto"/>
            </w:tcBorders>
            <w:shd w:val="clear" w:color="auto" w:fill="auto"/>
            <w:vAlign w:val="bottom"/>
          </w:tcPr>
          <w:p w14:paraId="7B590C18" w14:textId="77777777" w:rsidR="000E482F" w:rsidRPr="00795E7B" w:rsidRDefault="000E482F" w:rsidP="004C79C1">
            <w:pPr>
              <w:pStyle w:val="Tabletext1"/>
              <w:spacing w:before="0" w:after="120"/>
              <w:jc w:val="right"/>
            </w:pPr>
            <w:r w:rsidRPr="00795E7B">
              <w:rPr>
                <w:color w:val="000000"/>
              </w:rPr>
              <w:t>$314,458</w:t>
            </w:r>
          </w:p>
        </w:tc>
        <w:tc>
          <w:tcPr>
            <w:tcW w:w="756" w:type="pct"/>
            <w:tcBorders>
              <w:bottom w:val="single" w:sz="4" w:space="0" w:color="auto"/>
            </w:tcBorders>
            <w:shd w:val="clear" w:color="auto" w:fill="auto"/>
            <w:vAlign w:val="bottom"/>
          </w:tcPr>
          <w:p w14:paraId="2231ED6E" w14:textId="77777777" w:rsidR="000E482F" w:rsidRPr="00795E7B" w:rsidRDefault="000E482F" w:rsidP="004C79C1">
            <w:pPr>
              <w:pStyle w:val="Tabletext1"/>
              <w:spacing w:before="0" w:after="120"/>
              <w:jc w:val="right"/>
            </w:pPr>
            <w:r w:rsidRPr="00795E7B">
              <w:rPr>
                <w:color w:val="000000"/>
              </w:rPr>
              <w:t>$319,422</w:t>
            </w:r>
          </w:p>
        </w:tc>
      </w:tr>
      <w:tr w:rsidR="000E482F" w:rsidRPr="00A31C87" w14:paraId="27BB5BCD" w14:textId="77777777" w:rsidTr="00723891">
        <w:trPr>
          <w:trHeight w:val="300"/>
        </w:trPr>
        <w:tc>
          <w:tcPr>
            <w:tcW w:w="1019" w:type="pct"/>
            <w:tcBorders>
              <w:right w:val="nil"/>
            </w:tcBorders>
            <w:shd w:val="clear" w:color="auto" w:fill="auto"/>
          </w:tcPr>
          <w:p w14:paraId="557598F9" w14:textId="77777777" w:rsidR="000E482F" w:rsidRPr="00E35296" w:rsidRDefault="000E482F" w:rsidP="004C79C1">
            <w:pPr>
              <w:pStyle w:val="Tabletext1"/>
              <w:spacing w:before="0" w:after="120"/>
              <w:rPr>
                <w:b/>
                <w:highlight w:val="cyan"/>
              </w:rPr>
            </w:pPr>
            <w:r w:rsidRPr="00E35296">
              <w:rPr>
                <w:b/>
              </w:rPr>
              <w:t>Tests offset</w:t>
            </w:r>
          </w:p>
        </w:tc>
        <w:tc>
          <w:tcPr>
            <w:tcW w:w="865" w:type="pct"/>
            <w:tcBorders>
              <w:left w:val="nil"/>
              <w:right w:val="nil"/>
            </w:tcBorders>
          </w:tcPr>
          <w:p w14:paraId="1B7A79FA" w14:textId="77777777" w:rsidR="000E482F" w:rsidRPr="00E35296" w:rsidRDefault="000E482F" w:rsidP="004C79C1">
            <w:pPr>
              <w:pStyle w:val="Tabletext1"/>
              <w:spacing w:before="0" w:after="120"/>
              <w:jc w:val="right"/>
              <w:rPr>
                <w:b/>
              </w:rPr>
            </w:pPr>
          </w:p>
        </w:tc>
        <w:tc>
          <w:tcPr>
            <w:tcW w:w="786" w:type="pct"/>
            <w:tcBorders>
              <w:left w:val="nil"/>
              <w:right w:val="nil"/>
            </w:tcBorders>
            <w:shd w:val="clear" w:color="auto" w:fill="auto"/>
          </w:tcPr>
          <w:p w14:paraId="44A6266A" w14:textId="77777777" w:rsidR="000E482F" w:rsidRPr="00E35296" w:rsidRDefault="000E482F" w:rsidP="004C79C1">
            <w:pPr>
              <w:pStyle w:val="Tabletext1"/>
              <w:spacing w:before="0" w:after="120"/>
              <w:jc w:val="right"/>
              <w:rPr>
                <w:b/>
              </w:rPr>
            </w:pPr>
          </w:p>
        </w:tc>
        <w:tc>
          <w:tcPr>
            <w:tcW w:w="787" w:type="pct"/>
            <w:tcBorders>
              <w:left w:val="nil"/>
              <w:right w:val="nil"/>
            </w:tcBorders>
            <w:shd w:val="clear" w:color="auto" w:fill="auto"/>
          </w:tcPr>
          <w:p w14:paraId="351C8BFF" w14:textId="77777777" w:rsidR="000E482F" w:rsidRPr="00E35296" w:rsidRDefault="000E482F" w:rsidP="004C79C1">
            <w:pPr>
              <w:pStyle w:val="Tabletext1"/>
              <w:spacing w:before="0" w:after="120"/>
              <w:jc w:val="right"/>
              <w:rPr>
                <w:b/>
              </w:rPr>
            </w:pPr>
          </w:p>
        </w:tc>
        <w:tc>
          <w:tcPr>
            <w:tcW w:w="787" w:type="pct"/>
            <w:tcBorders>
              <w:left w:val="nil"/>
              <w:right w:val="nil"/>
            </w:tcBorders>
            <w:shd w:val="clear" w:color="auto" w:fill="auto"/>
          </w:tcPr>
          <w:p w14:paraId="23338729" w14:textId="77777777" w:rsidR="000E482F" w:rsidRPr="00E35296" w:rsidRDefault="000E482F" w:rsidP="004C79C1">
            <w:pPr>
              <w:pStyle w:val="Tabletext1"/>
              <w:spacing w:before="0" w:after="120"/>
              <w:jc w:val="right"/>
              <w:rPr>
                <w:b/>
              </w:rPr>
            </w:pPr>
          </w:p>
        </w:tc>
        <w:tc>
          <w:tcPr>
            <w:tcW w:w="756" w:type="pct"/>
            <w:tcBorders>
              <w:left w:val="nil"/>
              <w:right w:val="single" w:sz="4" w:space="0" w:color="auto"/>
            </w:tcBorders>
            <w:shd w:val="clear" w:color="auto" w:fill="auto"/>
          </w:tcPr>
          <w:p w14:paraId="0AD4FB5A" w14:textId="77777777" w:rsidR="000E482F" w:rsidRPr="00E35296" w:rsidRDefault="000E482F" w:rsidP="004C79C1">
            <w:pPr>
              <w:pStyle w:val="Tabletext1"/>
              <w:spacing w:before="0" w:after="120"/>
              <w:jc w:val="right"/>
              <w:rPr>
                <w:b/>
              </w:rPr>
            </w:pPr>
          </w:p>
        </w:tc>
      </w:tr>
      <w:tr w:rsidR="000E482F" w:rsidRPr="00795E7B" w14:paraId="3B78FE42" w14:textId="77777777" w:rsidTr="00723891">
        <w:trPr>
          <w:trHeight w:val="300"/>
        </w:trPr>
        <w:tc>
          <w:tcPr>
            <w:tcW w:w="1019" w:type="pct"/>
            <w:shd w:val="clear" w:color="auto" w:fill="auto"/>
          </w:tcPr>
          <w:p w14:paraId="59BD927A" w14:textId="77777777" w:rsidR="000E482F" w:rsidRPr="00795E7B" w:rsidRDefault="000E482F" w:rsidP="004C79C1">
            <w:pPr>
              <w:pStyle w:val="Tabletext1"/>
              <w:spacing w:before="0" w:after="120"/>
            </w:pPr>
            <w:r w:rsidRPr="00795E7B">
              <w:t xml:space="preserve">Number of services offset </w:t>
            </w:r>
          </w:p>
        </w:tc>
        <w:tc>
          <w:tcPr>
            <w:tcW w:w="865" w:type="pct"/>
            <w:vAlign w:val="bottom"/>
          </w:tcPr>
          <w:p w14:paraId="58A92557" w14:textId="77777777" w:rsidR="000E482F" w:rsidRPr="00795E7B" w:rsidRDefault="000E482F" w:rsidP="004C79C1">
            <w:pPr>
              <w:pStyle w:val="Tabletext1"/>
              <w:spacing w:before="0" w:after="120"/>
              <w:jc w:val="right"/>
              <w:rPr>
                <w:bCs/>
                <w:color w:val="000000"/>
              </w:rPr>
            </w:pPr>
            <w:r w:rsidRPr="00795E7B">
              <w:rPr>
                <w:color w:val="000000"/>
              </w:rPr>
              <w:t>3,413</w:t>
            </w:r>
          </w:p>
        </w:tc>
        <w:tc>
          <w:tcPr>
            <w:tcW w:w="786" w:type="pct"/>
            <w:shd w:val="clear" w:color="auto" w:fill="auto"/>
            <w:vAlign w:val="bottom"/>
          </w:tcPr>
          <w:p w14:paraId="6C0A5E55" w14:textId="77777777" w:rsidR="000E482F" w:rsidRPr="00795E7B" w:rsidRDefault="000E482F" w:rsidP="004C79C1">
            <w:pPr>
              <w:pStyle w:val="Tabletext1"/>
              <w:spacing w:before="0" w:after="120"/>
              <w:jc w:val="right"/>
              <w:rPr>
                <w:bCs/>
                <w:color w:val="000000"/>
              </w:rPr>
            </w:pPr>
            <w:r w:rsidRPr="00795E7B">
              <w:rPr>
                <w:color w:val="000000"/>
              </w:rPr>
              <w:t>3,472</w:t>
            </w:r>
          </w:p>
        </w:tc>
        <w:tc>
          <w:tcPr>
            <w:tcW w:w="787" w:type="pct"/>
            <w:shd w:val="clear" w:color="auto" w:fill="auto"/>
            <w:vAlign w:val="bottom"/>
          </w:tcPr>
          <w:p w14:paraId="64D1DA03" w14:textId="77777777" w:rsidR="000E482F" w:rsidRPr="00795E7B" w:rsidRDefault="000E482F" w:rsidP="004C79C1">
            <w:pPr>
              <w:pStyle w:val="Tabletext1"/>
              <w:spacing w:before="0" w:after="120"/>
              <w:jc w:val="right"/>
              <w:rPr>
                <w:bCs/>
                <w:color w:val="000000"/>
              </w:rPr>
            </w:pPr>
            <w:r w:rsidRPr="00795E7B">
              <w:rPr>
                <w:color w:val="000000"/>
              </w:rPr>
              <w:t>3,529</w:t>
            </w:r>
          </w:p>
        </w:tc>
        <w:tc>
          <w:tcPr>
            <w:tcW w:w="787" w:type="pct"/>
            <w:shd w:val="clear" w:color="auto" w:fill="auto"/>
            <w:vAlign w:val="bottom"/>
          </w:tcPr>
          <w:p w14:paraId="61A59E19" w14:textId="77777777" w:rsidR="000E482F" w:rsidRPr="00795E7B" w:rsidRDefault="000E482F" w:rsidP="004C79C1">
            <w:pPr>
              <w:pStyle w:val="Tabletext1"/>
              <w:spacing w:before="0" w:after="120"/>
              <w:jc w:val="right"/>
              <w:rPr>
                <w:bCs/>
                <w:color w:val="000000"/>
              </w:rPr>
            </w:pPr>
            <w:r w:rsidRPr="00795E7B">
              <w:rPr>
                <w:color w:val="000000"/>
              </w:rPr>
              <w:t>3,586</w:t>
            </w:r>
          </w:p>
        </w:tc>
        <w:tc>
          <w:tcPr>
            <w:tcW w:w="756" w:type="pct"/>
            <w:shd w:val="clear" w:color="auto" w:fill="auto"/>
            <w:vAlign w:val="bottom"/>
          </w:tcPr>
          <w:p w14:paraId="29AF0C56" w14:textId="77777777" w:rsidR="000E482F" w:rsidRPr="00795E7B" w:rsidRDefault="000E482F" w:rsidP="004C79C1">
            <w:pPr>
              <w:pStyle w:val="Tabletext1"/>
              <w:spacing w:before="0" w:after="120"/>
              <w:jc w:val="right"/>
              <w:rPr>
                <w:bCs/>
                <w:color w:val="000000"/>
              </w:rPr>
            </w:pPr>
            <w:r w:rsidRPr="00795E7B">
              <w:rPr>
                <w:color w:val="000000"/>
              </w:rPr>
              <w:t>3,643</w:t>
            </w:r>
          </w:p>
        </w:tc>
      </w:tr>
      <w:tr w:rsidR="000E482F" w:rsidRPr="00795E7B" w14:paraId="0930E4BC" w14:textId="77777777" w:rsidTr="00723891">
        <w:trPr>
          <w:trHeight w:val="300"/>
        </w:trPr>
        <w:tc>
          <w:tcPr>
            <w:tcW w:w="1019" w:type="pct"/>
            <w:tcBorders>
              <w:bottom w:val="single" w:sz="4" w:space="0" w:color="auto"/>
            </w:tcBorders>
            <w:shd w:val="clear" w:color="auto" w:fill="auto"/>
          </w:tcPr>
          <w:p w14:paraId="2BBEFA9A" w14:textId="77777777" w:rsidR="000E482F" w:rsidRPr="00795E7B" w:rsidRDefault="000E482F" w:rsidP="004C79C1">
            <w:pPr>
              <w:pStyle w:val="Tabletext1"/>
              <w:spacing w:before="0" w:after="120"/>
            </w:pPr>
            <w:r w:rsidRPr="00795E7B">
              <w:t>Costs offset</w:t>
            </w:r>
          </w:p>
        </w:tc>
        <w:tc>
          <w:tcPr>
            <w:tcW w:w="865" w:type="pct"/>
            <w:tcBorders>
              <w:bottom w:val="single" w:sz="4" w:space="0" w:color="auto"/>
            </w:tcBorders>
          </w:tcPr>
          <w:p w14:paraId="58A0AA81" w14:textId="77777777" w:rsidR="000E482F" w:rsidRPr="00795E7B" w:rsidRDefault="000E482F" w:rsidP="004C79C1">
            <w:pPr>
              <w:pStyle w:val="Tabletext1"/>
              <w:spacing w:before="0" w:after="120"/>
              <w:jc w:val="right"/>
              <w:rPr>
                <w:bCs/>
                <w:color w:val="000000"/>
              </w:rPr>
            </w:pPr>
            <w:r w:rsidRPr="0086184A">
              <w:t>$266,250</w:t>
            </w:r>
          </w:p>
        </w:tc>
        <w:tc>
          <w:tcPr>
            <w:tcW w:w="786" w:type="pct"/>
            <w:tcBorders>
              <w:bottom w:val="single" w:sz="4" w:space="0" w:color="auto"/>
            </w:tcBorders>
            <w:shd w:val="clear" w:color="auto" w:fill="auto"/>
          </w:tcPr>
          <w:p w14:paraId="26B9F86C" w14:textId="77777777" w:rsidR="000E482F" w:rsidRPr="00795E7B" w:rsidRDefault="000E482F" w:rsidP="004C79C1">
            <w:pPr>
              <w:pStyle w:val="Tabletext1"/>
              <w:spacing w:before="0" w:after="120"/>
              <w:jc w:val="right"/>
              <w:rPr>
                <w:bCs/>
                <w:color w:val="000000"/>
              </w:rPr>
            </w:pPr>
            <w:r w:rsidRPr="0086184A">
              <w:t>$270,788</w:t>
            </w:r>
          </w:p>
        </w:tc>
        <w:tc>
          <w:tcPr>
            <w:tcW w:w="787" w:type="pct"/>
            <w:tcBorders>
              <w:bottom w:val="single" w:sz="4" w:space="0" w:color="auto"/>
            </w:tcBorders>
            <w:shd w:val="clear" w:color="auto" w:fill="auto"/>
          </w:tcPr>
          <w:p w14:paraId="477C0DBE" w14:textId="77777777" w:rsidR="000E482F" w:rsidRPr="00795E7B" w:rsidRDefault="000E482F" w:rsidP="004C79C1">
            <w:pPr>
              <w:pStyle w:val="Tabletext1"/>
              <w:spacing w:before="0" w:after="120"/>
              <w:jc w:val="right"/>
              <w:rPr>
                <w:bCs/>
                <w:color w:val="000000"/>
              </w:rPr>
            </w:pPr>
            <w:r w:rsidRPr="0086184A">
              <w:t>$275,290</w:t>
            </w:r>
          </w:p>
        </w:tc>
        <w:tc>
          <w:tcPr>
            <w:tcW w:w="787" w:type="pct"/>
            <w:tcBorders>
              <w:bottom w:val="single" w:sz="4" w:space="0" w:color="auto"/>
            </w:tcBorders>
            <w:shd w:val="clear" w:color="auto" w:fill="auto"/>
          </w:tcPr>
          <w:p w14:paraId="7D2808F0" w14:textId="77777777" w:rsidR="000E482F" w:rsidRPr="00795E7B" w:rsidRDefault="000E482F" w:rsidP="004C79C1">
            <w:pPr>
              <w:pStyle w:val="Tabletext1"/>
              <w:spacing w:before="0" w:after="120"/>
              <w:jc w:val="right"/>
              <w:rPr>
                <w:bCs/>
                <w:color w:val="000000"/>
              </w:rPr>
            </w:pPr>
            <w:r w:rsidRPr="0086184A">
              <w:t>$279,724</w:t>
            </w:r>
          </w:p>
        </w:tc>
        <w:tc>
          <w:tcPr>
            <w:tcW w:w="756" w:type="pct"/>
            <w:tcBorders>
              <w:bottom w:val="single" w:sz="4" w:space="0" w:color="auto"/>
            </w:tcBorders>
            <w:shd w:val="clear" w:color="auto" w:fill="auto"/>
          </w:tcPr>
          <w:p w14:paraId="03EBD401" w14:textId="77777777" w:rsidR="000E482F" w:rsidRPr="00795E7B" w:rsidRDefault="000E482F" w:rsidP="004C79C1">
            <w:pPr>
              <w:pStyle w:val="Tabletext1"/>
              <w:spacing w:before="0" w:after="120"/>
              <w:jc w:val="right"/>
              <w:rPr>
                <w:bCs/>
                <w:color w:val="000000"/>
              </w:rPr>
            </w:pPr>
            <w:r w:rsidRPr="0086184A">
              <w:t>$284,140</w:t>
            </w:r>
          </w:p>
        </w:tc>
      </w:tr>
      <w:tr w:rsidR="000E482F" w:rsidRPr="00A31C87" w14:paraId="038F9DB7" w14:textId="77777777" w:rsidTr="00723891">
        <w:trPr>
          <w:trHeight w:val="315"/>
        </w:trPr>
        <w:tc>
          <w:tcPr>
            <w:tcW w:w="1019" w:type="pct"/>
            <w:shd w:val="clear" w:color="auto" w:fill="auto"/>
          </w:tcPr>
          <w:p w14:paraId="33C3C6E1" w14:textId="2E1716E0" w:rsidR="000E482F" w:rsidRPr="00E35296" w:rsidRDefault="000E482F" w:rsidP="004C79C1">
            <w:pPr>
              <w:pStyle w:val="Tabletext1"/>
              <w:spacing w:before="0" w:after="120"/>
              <w:rPr>
                <w:b/>
              </w:rPr>
            </w:pPr>
            <w:r w:rsidRPr="00E35296">
              <w:rPr>
                <w:b/>
              </w:rPr>
              <w:t>Net cost to patients</w:t>
            </w:r>
          </w:p>
        </w:tc>
        <w:tc>
          <w:tcPr>
            <w:tcW w:w="865" w:type="pct"/>
          </w:tcPr>
          <w:p w14:paraId="78B1839F" w14:textId="77777777" w:rsidR="000E482F" w:rsidRPr="00E35296" w:rsidRDefault="000E482F" w:rsidP="004C79C1">
            <w:pPr>
              <w:pStyle w:val="Tabletext1"/>
              <w:spacing w:before="0" w:after="120"/>
              <w:jc w:val="right"/>
              <w:rPr>
                <w:b/>
                <w:bCs/>
                <w:color w:val="000000"/>
              </w:rPr>
            </w:pPr>
            <w:r w:rsidRPr="00E35296">
              <w:rPr>
                <w:b/>
              </w:rPr>
              <w:t>$33,060</w:t>
            </w:r>
          </w:p>
        </w:tc>
        <w:tc>
          <w:tcPr>
            <w:tcW w:w="786" w:type="pct"/>
            <w:shd w:val="clear" w:color="auto" w:fill="auto"/>
          </w:tcPr>
          <w:p w14:paraId="4D135B74" w14:textId="77777777" w:rsidR="000E482F" w:rsidRPr="00E35296" w:rsidRDefault="000E482F" w:rsidP="004C79C1">
            <w:pPr>
              <w:pStyle w:val="Tabletext1"/>
              <w:spacing w:before="0" w:after="120"/>
              <w:jc w:val="right"/>
              <w:rPr>
                <w:b/>
                <w:bCs/>
                <w:color w:val="000000"/>
              </w:rPr>
            </w:pPr>
            <w:r w:rsidRPr="00E35296">
              <w:rPr>
                <w:b/>
              </w:rPr>
              <w:t>$33,624</w:t>
            </w:r>
          </w:p>
        </w:tc>
        <w:tc>
          <w:tcPr>
            <w:tcW w:w="787" w:type="pct"/>
            <w:shd w:val="clear" w:color="auto" w:fill="auto"/>
          </w:tcPr>
          <w:p w14:paraId="7AA8522B" w14:textId="77777777" w:rsidR="000E482F" w:rsidRPr="00E35296" w:rsidRDefault="000E482F" w:rsidP="004C79C1">
            <w:pPr>
              <w:pStyle w:val="Tabletext1"/>
              <w:spacing w:before="0" w:after="120"/>
              <w:jc w:val="right"/>
              <w:rPr>
                <w:b/>
                <w:bCs/>
                <w:color w:val="000000"/>
              </w:rPr>
            </w:pPr>
            <w:r w:rsidRPr="00E35296">
              <w:rPr>
                <w:b/>
              </w:rPr>
              <w:t>$34,183</w:t>
            </w:r>
          </w:p>
        </w:tc>
        <w:tc>
          <w:tcPr>
            <w:tcW w:w="787" w:type="pct"/>
            <w:shd w:val="clear" w:color="auto" w:fill="auto"/>
          </w:tcPr>
          <w:p w14:paraId="26654471" w14:textId="77777777" w:rsidR="000E482F" w:rsidRPr="00E35296" w:rsidRDefault="000E482F" w:rsidP="004C79C1">
            <w:pPr>
              <w:pStyle w:val="Tabletext1"/>
              <w:spacing w:before="0" w:after="120"/>
              <w:jc w:val="right"/>
              <w:rPr>
                <w:b/>
                <w:bCs/>
                <w:color w:val="000000"/>
              </w:rPr>
            </w:pPr>
            <w:r w:rsidRPr="00E35296">
              <w:rPr>
                <w:b/>
              </w:rPr>
              <w:t>$34,734</w:t>
            </w:r>
          </w:p>
        </w:tc>
        <w:tc>
          <w:tcPr>
            <w:tcW w:w="756" w:type="pct"/>
            <w:shd w:val="clear" w:color="auto" w:fill="auto"/>
          </w:tcPr>
          <w:p w14:paraId="15FF709B" w14:textId="77777777" w:rsidR="000E482F" w:rsidRPr="00E35296" w:rsidRDefault="000E482F" w:rsidP="004C79C1">
            <w:pPr>
              <w:pStyle w:val="Tabletext1"/>
              <w:spacing w:before="0" w:after="120"/>
              <w:jc w:val="right"/>
              <w:rPr>
                <w:b/>
                <w:bCs/>
                <w:color w:val="000000"/>
              </w:rPr>
            </w:pPr>
            <w:r w:rsidRPr="00E35296">
              <w:rPr>
                <w:b/>
              </w:rPr>
              <w:t>$35,282</w:t>
            </w:r>
          </w:p>
        </w:tc>
      </w:tr>
    </w:tbl>
    <w:p w14:paraId="37A219D2" w14:textId="55563B2F" w:rsidR="000E482F" w:rsidRPr="009E52C1" w:rsidRDefault="000E482F" w:rsidP="004C79C1">
      <w:pPr>
        <w:pStyle w:val="Tablenotes0"/>
        <w:spacing w:before="0" w:after="120"/>
      </w:pPr>
      <w:r w:rsidRPr="009E52C1">
        <w:t>CMR</w:t>
      </w:r>
      <w:r w:rsidR="00547B24">
        <w:t xml:space="preserve"> </w:t>
      </w:r>
      <w:r w:rsidRPr="009E52C1">
        <w:t>=</w:t>
      </w:r>
      <w:r w:rsidR="00547B24">
        <w:t xml:space="preserve"> </w:t>
      </w:r>
      <w:r w:rsidRPr="009E52C1">
        <w:t xml:space="preserve">cardiac magnetic resonance </w:t>
      </w:r>
      <w:r w:rsidR="00381F2E">
        <w:t>(</w:t>
      </w:r>
      <w:r w:rsidRPr="009E52C1">
        <w:t>imaging</w:t>
      </w:r>
      <w:r w:rsidR="00381F2E">
        <w:t>)</w:t>
      </w:r>
      <w:r w:rsidRPr="009E52C1">
        <w:t>; DCM = dilated cardiomyopathy</w:t>
      </w:r>
    </w:p>
    <w:p w14:paraId="109F0854" w14:textId="77777777" w:rsidR="000E482F" w:rsidRDefault="000E482F" w:rsidP="004C79C1">
      <w:pPr>
        <w:pStyle w:val="Heading2"/>
        <w:numPr>
          <w:ilvl w:val="4"/>
          <w:numId w:val="101"/>
        </w:numPr>
        <w:spacing w:before="0" w:after="120" w:line="240" w:lineRule="auto"/>
        <w:jc w:val="both"/>
      </w:pPr>
      <w:bookmarkStart w:id="751" w:name="_Toc432677424"/>
      <w:bookmarkStart w:id="752" w:name="_Toc449609027"/>
      <w:bookmarkStart w:id="753" w:name="_Toc451501399"/>
      <w:r>
        <w:lastRenderedPageBreak/>
        <w:t>Identification, Estimation and Reduction of Uncertainty</w:t>
      </w:r>
      <w:bookmarkEnd w:id="751"/>
      <w:bookmarkEnd w:id="752"/>
      <w:bookmarkEnd w:id="753"/>
    </w:p>
    <w:p w14:paraId="400F276D" w14:textId="682969CA" w:rsidR="000E482F" w:rsidRDefault="000E482F" w:rsidP="004C79C1">
      <w:pPr>
        <w:spacing w:after="120" w:line="240" w:lineRule="auto"/>
      </w:pPr>
      <w:r w:rsidRPr="00B25097">
        <w:t xml:space="preserve">Sensitivity analyses </w:t>
      </w:r>
      <w:r>
        <w:t xml:space="preserve">around inputs to the financial model are presented in </w:t>
      </w:r>
      <w:r w:rsidR="009E52C1">
        <w:fldChar w:fldCharType="begin"/>
      </w:r>
      <w:r w:rsidR="009E52C1">
        <w:instrText xml:space="preserve"> REF _Ref444768713 \h </w:instrText>
      </w:r>
      <w:r w:rsidR="009E52C1">
        <w:fldChar w:fldCharType="separate"/>
      </w:r>
      <w:r w:rsidR="009E52C1">
        <w:t xml:space="preserve">Table </w:t>
      </w:r>
      <w:r w:rsidR="009E52C1">
        <w:rPr>
          <w:noProof/>
        </w:rPr>
        <w:t>74</w:t>
      </w:r>
      <w:r w:rsidR="009E52C1">
        <w:fldChar w:fldCharType="end"/>
      </w:r>
      <w:r>
        <w:t>.</w:t>
      </w:r>
    </w:p>
    <w:p w14:paraId="2068612F" w14:textId="74D4F36D" w:rsidR="000E482F" w:rsidRDefault="000E482F" w:rsidP="004C79C1">
      <w:pPr>
        <w:pStyle w:val="Caption"/>
        <w:keepNext/>
      </w:pPr>
      <w:bookmarkStart w:id="754" w:name="_Ref444768713"/>
      <w:bookmarkStart w:id="755" w:name="_Toc449555034"/>
      <w:bookmarkStart w:id="756" w:name="_Toc324410245"/>
      <w:bookmarkStart w:id="757" w:name="_Toc451435401"/>
      <w:r>
        <w:t xml:space="preserve">Table </w:t>
      </w:r>
      <w:fldSimple w:instr=" SEQ Table \* ARABIC ">
        <w:r w:rsidR="00050936">
          <w:rPr>
            <w:noProof/>
          </w:rPr>
          <w:t>74</w:t>
        </w:r>
      </w:fldSimple>
      <w:bookmarkEnd w:id="754"/>
      <w:r>
        <w:tab/>
      </w:r>
      <w:r w:rsidRPr="00094964">
        <w:t xml:space="preserve">Sensitivity analysis of financial implications of listing CMR for </w:t>
      </w:r>
      <w:r>
        <w:t>DCM</w:t>
      </w:r>
      <w:bookmarkEnd w:id="755"/>
      <w:bookmarkEnd w:id="756"/>
      <w:bookmarkEnd w:id="757"/>
    </w:p>
    <w:tbl>
      <w:tblPr>
        <w:tblStyle w:val="TableGrid2"/>
        <w:tblW w:w="5000" w:type="pct"/>
        <w:tblLayout w:type="fixed"/>
        <w:tblLook w:val="04A0" w:firstRow="1" w:lastRow="0" w:firstColumn="1" w:lastColumn="0" w:noHBand="0" w:noVBand="1"/>
        <w:tblCaption w:val="Sensitivity analysis of financial implications"/>
        <w:tblDescription w:val="Sensitivity analysis of financial implications"/>
      </w:tblPr>
      <w:tblGrid>
        <w:gridCol w:w="3191"/>
        <w:gridCol w:w="1163"/>
        <w:gridCol w:w="1309"/>
        <w:gridCol w:w="1161"/>
        <w:gridCol w:w="1163"/>
        <w:gridCol w:w="1255"/>
      </w:tblGrid>
      <w:tr w:rsidR="009E52C1" w:rsidRPr="00880860" w14:paraId="30343D6F" w14:textId="77777777" w:rsidTr="009E52C1">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hideMark/>
          </w:tcPr>
          <w:p w14:paraId="5F6500B8" w14:textId="77777777" w:rsidR="000E482F" w:rsidRPr="00880860" w:rsidRDefault="000E482F" w:rsidP="004C79C1">
            <w:pPr>
              <w:pStyle w:val="TableHeading"/>
              <w:keepNext w:val="0"/>
              <w:widowControl w:val="0"/>
              <w:spacing w:before="0" w:after="120"/>
            </w:pPr>
          </w:p>
        </w:tc>
        <w:tc>
          <w:tcPr>
            <w:tcW w:w="629" w:type="pct"/>
            <w:noWrap/>
            <w:hideMark/>
          </w:tcPr>
          <w:p w14:paraId="40D978F9" w14:textId="17CC63EB" w:rsidR="000E482F" w:rsidRPr="00880860" w:rsidRDefault="000E482F" w:rsidP="004C79C1">
            <w:pPr>
              <w:pStyle w:val="TableHeading"/>
              <w:keepNext w:val="0"/>
              <w:widowControl w:val="0"/>
              <w:spacing w:before="0" w:after="120"/>
              <w:jc w:val="center"/>
            </w:pPr>
            <w:r w:rsidRPr="00880860">
              <w:t>2016</w:t>
            </w:r>
            <w:r w:rsidR="00924BD3">
              <w:t>–</w:t>
            </w:r>
            <w:r w:rsidRPr="00880860">
              <w:t>17</w:t>
            </w:r>
          </w:p>
        </w:tc>
        <w:tc>
          <w:tcPr>
            <w:tcW w:w="708" w:type="pct"/>
            <w:noWrap/>
            <w:hideMark/>
          </w:tcPr>
          <w:p w14:paraId="7202B209" w14:textId="1721F9AD" w:rsidR="000E482F" w:rsidRPr="00880860" w:rsidRDefault="000E482F" w:rsidP="004C79C1">
            <w:pPr>
              <w:pStyle w:val="TableHeading"/>
              <w:keepNext w:val="0"/>
              <w:widowControl w:val="0"/>
              <w:spacing w:before="0" w:after="120"/>
              <w:jc w:val="center"/>
            </w:pPr>
            <w:r w:rsidRPr="00880860">
              <w:t>2017</w:t>
            </w:r>
            <w:r w:rsidR="00924BD3">
              <w:t>–</w:t>
            </w:r>
            <w:r w:rsidRPr="00880860">
              <w:t>18</w:t>
            </w:r>
          </w:p>
        </w:tc>
        <w:tc>
          <w:tcPr>
            <w:tcW w:w="628" w:type="pct"/>
            <w:noWrap/>
            <w:hideMark/>
          </w:tcPr>
          <w:p w14:paraId="6C74EB58" w14:textId="0D742A62" w:rsidR="000E482F" w:rsidRPr="00880860" w:rsidRDefault="000E482F" w:rsidP="004C79C1">
            <w:pPr>
              <w:pStyle w:val="TableHeading"/>
              <w:keepNext w:val="0"/>
              <w:widowControl w:val="0"/>
              <w:spacing w:before="0" w:after="120"/>
              <w:jc w:val="center"/>
            </w:pPr>
            <w:r w:rsidRPr="00880860">
              <w:t>2018</w:t>
            </w:r>
            <w:r w:rsidR="00924BD3">
              <w:t>–</w:t>
            </w:r>
            <w:r w:rsidRPr="00880860">
              <w:t>19</w:t>
            </w:r>
          </w:p>
        </w:tc>
        <w:tc>
          <w:tcPr>
            <w:tcW w:w="629" w:type="pct"/>
            <w:noWrap/>
            <w:hideMark/>
          </w:tcPr>
          <w:p w14:paraId="5C757458" w14:textId="3C8A9E7C" w:rsidR="000E482F" w:rsidRPr="00880860" w:rsidRDefault="000E482F" w:rsidP="004C79C1">
            <w:pPr>
              <w:pStyle w:val="TableHeading"/>
              <w:keepNext w:val="0"/>
              <w:widowControl w:val="0"/>
              <w:spacing w:before="0" w:after="120"/>
              <w:jc w:val="center"/>
            </w:pPr>
            <w:r w:rsidRPr="00880860">
              <w:t>2019</w:t>
            </w:r>
            <w:r w:rsidR="00924BD3">
              <w:t>–</w:t>
            </w:r>
            <w:r w:rsidRPr="00880860">
              <w:t>20</w:t>
            </w:r>
          </w:p>
        </w:tc>
        <w:tc>
          <w:tcPr>
            <w:tcW w:w="679" w:type="pct"/>
            <w:noWrap/>
            <w:hideMark/>
          </w:tcPr>
          <w:p w14:paraId="20FD4B08" w14:textId="2CEECD52" w:rsidR="000E482F" w:rsidRPr="00880860" w:rsidRDefault="000E482F" w:rsidP="004C79C1">
            <w:pPr>
              <w:pStyle w:val="TableHeading"/>
              <w:keepNext w:val="0"/>
              <w:widowControl w:val="0"/>
              <w:spacing w:before="0" w:after="120"/>
              <w:jc w:val="center"/>
            </w:pPr>
            <w:r w:rsidRPr="00880860">
              <w:t>2020</w:t>
            </w:r>
            <w:r w:rsidR="00924BD3">
              <w:t>–</w:t>
            </w:r>
            <w:r w:rsidRPr="00880860">
              <w:t>21</w:t>
            </w:r>
          </w:p>
        </w:tc>
      </w:tr>
      <w:tr w:rsidR="009E52C1" w:rsidRPr="00880860" w14:paraId="676850C2" w14:textId="77777777" w:rsidTr="009E52C1">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tcPr>
          <w:p w14:paraId="5F25A8C2" w14:textId="60478732" w:rsidR="000E482F" w:rsidRPr="00880860" w:rsidRDefault="000E482F" w:rsidP="004C79C1">
            <w:pPr>
              <w:pStyle w:val="TableHeading"/>
              <w:keepNext w:val="0"/>
              <w:widowControl w:val="0"/>
              <w:spacing w:before="0" w:after="120"/>
            </w:pPr>
            <w:r w:rsidRPr="00880860">
              <w:t>Base</w:t>
            </w:r>
            <w:r w:rsidR="00924BD3">
              <w:t>-</w:t>
            </w:r>
            <w:r w:rsidRPr="00880860">
              <w:t>case</w:t>
            </w:r>
          </w:p>
        </w:tc>
        <w:tc>
          <w:tcPr>
            <w:tcW w:w="629" w:type="pct"/>
            <w:noWrap/>
          </w:tcPr>
          <w:p w14:paraId="42C807B9" w14:textId="77777777" w:rsidR="000E482F" w:rsidRPr="00880860" w:rsidRDefault="000E482F" w:rsidP="004C79C1">
            <w:pPr>
              <w:pStyle w:val="TableHeading"/>
              <w:keepNext w:val="0"/>
              <w:widowControl w:val="0"/>
              <w:spacing w:before="0" w:after="120"/>
              <w:jc w:val="center"/>
            </w:pPr>
          </w:p>
        </w:tc>
        <w:tc>
          <w:tcPr>
            <w:tcW w:w="708" w:type="pct"/>
            <w:noWrap/>
          </w:tcPr>
          <w:p w14:paraId="0EDD179B" w14:textId="77777777" w:rsidR="000E482F" w:rsidRPr="00880860" w:rsidRDefault="000E482F" w:rsidP="004C79C1">
            <w:pPr>
              <w:pStyle w:val="TableHeading"/>
              <w:keepNext w:val="0"/>
              <w:widowControl w:val="0"/>
              <w:spacing w:before="0" w:after="120"/>
              <w:jc w:val="center"/>
            </w:pPr>
          </w:p>
        </w:tc>
        <w:tc>
          <w:tcPr>
            <w:tcW w:w="628" w:type="pct"/>
            <w:noWrap/>
          </w:tcPr>
          <w:p w14:paraId="52DF4F27" w14:textId="77777777" w:rsidR="000E482F" w:rsidRPr="00880860" w:rsidRDefault="000E482F" w:rsidP="004C79C1">
            <w:pPr>
              <w:pStyle w:val="TableHeading"/>
              <w:keepNext w:val="0"/>
              <w:widowControl w:val="0"/>
              <w:spacing w:before="0" w:after="120"/>
              <w:jc w:val="center"/>
            </w:pPr>
          </w:p>
        </w:tc>
        <w:tc>
          <w:tcPr>
            <w:tcW w:w="629" w:type="pct"/>
            <w:noWrap/>
          </w:tcPr>
          <w:p w14:paraId="5BEC6DB3" w14:textId="77777777" w:rsidR="000E482F" w:rsidRPr="00880860" w:rsidRDefault="000E482F" w:rsidP="004C79C1">
            <w:pPr>
              <w:pStyle w:val="TableHeading"/>
              <w:keepNext w:val="0"/>
              <w:widowControl w:val="0"/>
              <w:spacing w:before="0" w:after="120"/>
              <w:jc w:val="center"/>
            </w:pPr>
          </w:p>
        </w:tc>
        <w:tc>
          <w:tcPr>
            <w:tcW w:w="679" w:type="pct"/>
            <w:noWrap/>
          </w:tcPr>
          <w:p w14:paraId="18394066" w14:textId="77777777" w:rsidR="000E482F" w:rsidRPr="00880860" w:rsidRDefault="000E482F" w:rsidP="004C79C1">
            <w:pPr>
              <w:pStyle w:val="TableHeading"/>
              <w:keepNext w:val="0"/>
              <w:widowControl w:val="0"/>
              <w:spacing w:before="0" w:after="120"/>
              <w:jc w:val="center"/>
            </w:pPr>
          </w:p>
        </w:tc>
      </w:tr>
      <w:tr w:rsidR="009E52C1" w:rsidRPr="00880860" w14:paraId="36B37DCD" w14:textId="77777777" w:rsidTr="009E52C1">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tcPr>
          <w:p w14:paraId="27EF1C29" w14:textId="77777777" w:rsidR="000E482F" w:rsidRPr="00880860" w:rsidRDefault="000E482F" w:rsidP="004C79C1">
            <w:pPr>
              <w:pStyle w:val="TableHeading"/>
              <w:keepNext w:val="0"/>
              <w:widowControl w:val="0"/>
              <w:spacing w:before="0" w:after="120"/>
            </w:pPr>
            <w:r w:rsidRPr="00880860">
              <w:t>Net cost of CMR to the MBS</w:t>
            </w:r>
          </w:p>
        </w:tc>
        <w:tc>
          <w:tcPr>
            <w:tcW w:w="629" w:type="pct"/>
            <w:noWrap/>
            <w:vAlign w:val="bottom"/>
          </w:tcPr>
          <w:p w14:paraId="1B182A23" w14:textId="77777777" w:rsidR="000E482F" w:rsidRPr="00880860" w:rsidRDefault="000E482F" w:rsidP="004C79C1">
            <w:pPr>
              <w:pStyle w:val="TableHeading"/>
              <w:keepNext w:val="0"/>
              <w:widowControl w:val="0"/>
              <w:spacing w:before="0" w:after="120"/>
              <w:ind w:left="65" w:firstLine="0"/>
              <w:jc w:val="right"/>
            </w:pPr>
            <w:r>
              <w:rPr>
                <w:color w:val="000000"/>
              </w:rPr>
              <w:t>$1,551,558</w:t>
            </w:r>
          </w:p>
        </w:tc>
        <w:tc>
          <w:tcPr>
            <w:tcW w:w="708" w:type="pct"/>
            <w:noWrap/>
            <w:vAlign w:val="bottom"/>
          </w:tcPr>
          <w:p w14:paraId="09154102" w14:textId="77777777" w:rsidR="000E482F" w:rsidRPr="00880860" w:rsidRDefault="000E482F" w:rsidP="004C79C1">
            <w:pPr>
              <w:pStyle w:val="TableHeading"/>
              <w:keepNext w:val="0"/>
              <w:widowControl w:val="0"/>
              <w:spacing w:before="0" w:after="120"/>
              <w:ind w:left="65" w:firstLine="0"/>
              <w:jc w:val="right"/>
            </w:pPr>
            <w:r>
              <w:rPr>
                <w:color w:val="000000"/>
              </w:rPr>
              <w:t>$1,578,008</w:t>
            </w:r>
          </w:p>
        </w:tc>
        <w:tc>
          <w:tcPr>
            <w:tcW w:w="628" w:type="pct"/>
            <w:noWrap/>
            <w:vAlign w:val="bottom"/>
          </w:tcPr>
          <w:p w14:paraId="0F6B975C" w14:textId="77777777" w:rsidR="000E482F" w:rsidRPr="00880860" w:rsidRDefault="000E482F" w:rsidP="004C79C1">
            <w:pPr>
              <w:pStyle w:val="TableHeading"/>
              <w:keepNext w:val="0"/>
              <w:widowControl w:val="0"/>
              <w:spacing w:before="0" w:after="120"/>
              <w:ind w:left="65" w:firstLine="0"/>
              <w:jc w:val="right"/>
            </w:pPr>
            <w:r>
              <w:rPr>
                <w:color w:val="000000"/>
              </w:rPr>
              <w:t>$1,604,243</w:t>
            </w:r>
          </w:p>
        </w:tc>
        <w:tc>
          <w:tcPr>
            <w:tcW w:w="629" w:type="pct"/>
            <w:noWrap/>
            <w:vAlign w:val="bottom"/>
          </w:tcPr>
          <w:p w14:paraId="2D9A6FA7" w14:textId="77777777" w:rsidR="000E482F" w:rsidRPr="00880860" w:rsidRDefault="000E482F" w:rsidP="004C79C1">
            <w:pPr>
              <w:pStyle w:val="TableHeading"/>
              <w:keepNext w:val="0"/>
              <w:widowControl w:val="0"/>
              <w:spacing w:before="0" w:after="120"/>
              <w:ind w:left="65" w:firstLine="0"/>
              <w:jc w:val="right"/>
            </w:pPr>
            <w:r>
              <w:rPr>
                <w:color w:val="000000"/>
              </w:rPr>
              <w:t>$1,630,081</w:t>
            </w:r>
          </w:p>
        </w:tc>
        <w:tc>
          <w:tcPr>
            <w:tcW w:w="679" w:type="pct"/>
            <w:noWrap/>
            <w:vAlign w:val="bottom"/>
          </w:tcPr>
          <w:p w14:paraId="18BA1B3C" w14:textId="77777777" w:rsidR="000E482F" w:rsidRPr="00880860" w:rsidRDefault="000E482F" w:rsidP="004C79C1">
            <w:pPr>
              <w:pStyle w:val="TableHeading"/>
              <w:keepNext w:val="0"/>
              <w:widowControl w:val="0"/>
              <w:spacing w:before="0" w:after="120"/>
              <w:ind w:left="65" w:firstLine="0"/>
              <w:jc w:val="right"/>
            </w:pPr>
            <w:r>
              <w:rPr>
                <w:color w:val="000000"/>
              </w:rPr>
              <w:t>$1,655,815</w:t>
            </w:r>
          </w:p>
        </w:tc>
      </w:tr>
      <w:tr w:rsidR="009E52C1" w:rsidRPr="00880860" w14:paraId="673A02AF" w14:textId="77777777" w:rsidTr="009E52C1">
        <w:trPr>
          <w:cnfStyle w:val="100000000000" w:firstRow="1" w:lastRow="0" w:firstColumn="0" w:lastColumn="0" w:oddVBand="0" w:evenVBand="0" w:oddHBand="0" w:evenHBand="0" w:firstRowFirstColumn="0" w:firstRowLastColumn="0" w:lastRowFirstColumn="0" w:lastRowLastColumn="0"/>
          <w:trHeight w:val="255"/>
          <w:tblHeader/>
        </w:trPr>
        <w:tc>
          <w:tcPr>
            <w:tcW w:w="1727" w:type="pct"/>
            <w:tcBorders>
              <w:bottom w:val="single" w:sz="4" w:space="0" w:color="auto"/>
            </w:tcBorders>
            <w:noWrap/>
            <w:hideMark/>
          </w:tcPr>
          <w:p w14:paraId="1EEDF35F" w14:textId="1FBF599C" w:rsidR="000E482F" w:rsidRPr="00880860" w:rsidRDefault="000E482F" w:rsidP="004C79C1">
            <w:pPr>
              <w:pStyle w:val="TableHeading"/>
              <w:keepNext w:val="0"/>
              <w:widowControl w:val="0"/>
              <w:spacing w:before="0" w:after="120"/>
            </w:pPr>
            <w:r w:rsidRPr="00880860">
              <w:t>Net cost of CMR to patient</w:t>
            </w:r>
            <w:r w:rsidR="00924BD3">
              <w:t>s</w:t>
            </w:r>
          </w:p>
        </w:tc>
        <w:tc>
          <w:tcPr>
            <w:tcW w:w="629" w:type="pct"/>
            <w:tcBorders>
              <w:bottom w:val="single" w:sz="4" w:space="0" w:color="auto"/>
            </w:tcBorders>
            <w:noWrap/>
            <w:vAlign w:val="bottom"/>
            <w:hideMark/>
          </w:tcPr>
          <w:p w14:paraId="299E4B72" w14:textId="77777777" w:rsidR="000E482F" w:rsidRPr="00880860" w:rsidRDefault="000E482F" w:rsidP="004C79C1">
            <w:pPr>
              <w:pStyle w:val="TableHeading"/>
              <w:keepNext w:val="0"/>
              <w:widowControl w:val="0"/>
              <w:spacing w:before="0" w:after="120"/>
              <w:ind w:left="65" w:firstLine="0"/>
              <w:jc w:val="right"/>
            </w:pPr>
            <w:r>
              <w:rPr>
                <w:color w:val="000000"/>
              </w:rPr>
              <w:t>$33,060</w:t>
            </w:r>
          </w:p>
        </w:tc>
        <w:tc>
          <w:tcPr>
            <w:tcW w:w="708" w:type="pct"/>
            <w:tcBorders>
              <w:bottom w:val="single" w:sz="4" w:space="0" w:color="auto"/>
            </w:tcBorders>
            <w:noWrap/>
            <w:vAlign w:val="bottom"/>
            <w:hideMark/>
          </w:tcPr>
          <w:p w14:paraId="38C11647" w14:textId="77777777" w:rsidR="000E482F" w:rsidRPr="00880860" w:rsidRDefault="000E482F" w:rsidP="004C79C1">
            <w:pPr>
              <w:pStyle w:val="TableHeading"/>
              <w:keepNext w:val="0"/>
              <w:widowControl w:val="0"/>
              <w:spacing w:before="0" w:after="120"/>
              <w:ind w:left="65" w:firstLine="0"/>
              <w:jc w:val="right"/>
            </w:pPr>
            <w:r>
              <w:rPr>
                <w:color w:val="000000"/>
              </w:rPr>
              <w:t>$33,624</w:t>
            </w:r>
          </w:p>
        </w:tc>
        <w:tc>
          <w:tcPr>
            <w:tcW w:w="628" w:type="pct"/>
            <w:tcBorders>
              <w:bottom w:val="single" w:sz="4" w:space="0" w:color="auto"/>
            </w:tcBorders>
            <w:noWrap/>
            <w:vAlign w:val="bottom"/>
            <w:hideMark/>
          </w:tcPr>
          <w:p w14:paraId="62806EAB" w14:textId="77777777" w:rsidR="000E482F" w:rsidRPr="00880860" w:rsidRDefault="000E482F" w:rsidP="004C79C1">
            <w:pPr>
              <w:pStyle w:val="TableHeading"/>
              <w:keepNext w:val="0"/>
              <w:widowControl w:val="0"/>
              <w:spacing w:before="0" w:after="120"/>
              <w:ind w:left="65" w:firstLine="0"/>
              <w:jc w:val="right"/>
            </w:pPr>
            <w:r>
              <w:rPr>
                <w:color w:val="000000"/>
              </w:rPr>
              <w:t>$34,183</w:t>
            </w:r>
          </w:p>
        </w:tc>
        <w:tc>
          <w:tcPr>
            <w:tcW w:w="629" w:type="pct"/>
            <w:tcBorders>
              <w:bottom w:val="single" w:sz="4" w:space="0" w:color="auto"/>
            </w:tcBorders>
            <w:noWrap/>
            <w:vAlign w:val="bottom"/>
            <w:hideMark/>
          </w:tcPr>
          <w:p w14:paraId="74227DE5" w14:textId="77777777" w:rsidR="000E482F" w:rsidRPr="00880860" w:rsidRDefault="000E482F" w:rsidP="004C79C1">
            <w:pPr>
              <w:pStyle w:val="TableHeading"/>
              <w:keepNext w:val="0"/>
              <w:widowControl w:val="0"/>
              <w:spacing w:before="0" w:after="120"/>
              <w:ind w:left="65" w:firstLine="0"/>
              <w:jc w:val="right"/>
            </w:pPr>
            <w:r>
              <w:rPr>
                <w:color w:val="000000"/>
              </w:rPr>
              <w:t>$34,734</w:t>
            </w:r>
          </w:p>
        </w:tc>
        <w:tc>
          <w:tcPr>
            <w:tcW w:w="679" w:type="pct"/>
            <w:tcBorders>
              <w:bottom w:val="single" w:sz="4" w:space="0" w:color="auto"/>
            </w:tcBorders>
            <w:noWrap/>
            <w:vAlign w:val="bottom"/>
            <w:hideMark/>
          </w:tcPr>
          <w:p w14:paraId="6A44A9FB" w14:textId="77777777" w:rsidR="000E482F" w:rsidRPr="00880860" w:rsidRDefault="000E482F" w:rsidP="004C79C1">
            <w:pPr>
              <w:pStyle w:val="TableHeading"/>
              <w:keepNext w:val="0"/>
              <w:widowControl w:val="0"/>
              <w:spacing w:before="0" w:after="120"/>
              <w:ind w:left="65" w:firstLine="0"/>
              <w:jc w:val="right"/>
            </w:pPr>
            <w:r>
              <w:rPr>
                <w:color w:val="000000"/>
              </w:rPr>
              <w:t>$35,282</w:t>
            </w:r>
          </w:p>
        </w:tc>
      </w:tr>
      <w:tr w:rsidR="009E52C1" w:rsidRPr="00880860" w14:paraId="712DA04B" w14:textId="77777777" w:rsidTr="009E52C1">
        <w:trPr>
          <w:trHeight w:val="255"/>
        </w:trPr>
        <w:tc>
          <w:tcPr>
            <w:tcW w:w="1727" w:type="pct"/>
            <w:tcBorders>
              <w:right w:val="nil"/>
            </w:tcBorders>
            <w:noWrap/>
            <w:hideMark/>
          </w:tcPr>
          <w:p w14:paraId="3785E11F" w14:textId="3337B710" w:rsidR="000E482F" w:rsidRPr="00880860" w:rsidRDefault="000E482F" w:rsidP="004C79C1">
            <w:pPr>
              <w:pStyle w:val="TableText0"/>
              <w:keepNext w:val="0"/>
              <w:widowControl w:val="0"/>
              <w:spacing w:before="0" w:after="120"/>
              <w:ind w:left="65"/>
              <w:rPr>
                <w:i/>
                <w:iCs/>
                <w:szCs w:val="20"/>
              </w:rPr>
            </w:pPr>
            <w:r w:rsidRPr="00880860">
              <w:rPr>
                <w:i/>
                <w:iCs/>
                <w:szCs w:val="20"/>
              </w:rPr>
              <w:t>Incidence of DCM in Australia: 10 per 100,000 (</w:t>
            </w:r>
            <w:r w:rsidR="00924BD3">
              <w:rPr>
                <w:i/>
                <w:iCs/>
                <w:szCs w:val="20"/>
              </w:rPr>
              <w:t>b</w:t>
            </w:r>
            <w:r w:rsidRPr="00880860">
              <w:rPr>
                <w:i/>
                <w:iCs/>
                <w:szCs w:val="20"/>
              </w:rPr>
              <w:t>ase</w:t>
            </w:r>
            <w:r w:rsidR="00924BD3">
              <w:rPr>
                <w:i/>
                <w:iCs/>
                <w:szCs w:val="20"/>
              </w:rPr>
              <w:t>-</w:t>
            </w:r>
            <w:r w:rsidRPr="00880860">
              <w:rPr>
                <w:i/>
                <w:iCs/>
                <w:szCs w:val="20"/>
              </w:rPr>
              <w:t>case: 7 per 100,000)</w:t>
            </w:r>
          </w:p>
        </w:tc>
        <w:tc>
          <w:tcPr>
            <w:tcW w:w="629" w:type="pct"/>
            <w:tcBorders>
              <w:left w:val="nil"/>
              <w:right w:val="nil"/>
            </w:tcBorders>
            <w:noWrap/>
            <w:hideMark/>
          </w:tcPr>
          <w:p w14:paraId="261A2B2B" w14:textId="77777777" w:rsidR="000E482F" w:rsidRPr="00880860" w:rsidRDefault="000E482F" w:rsidP="004C79C1">
            <w:pPr>
              <w:pStyle w:val="TableText0"/>
              <w:keepNext w:val="0"/>
              <w:widowControl w:val="0"/>
              <w:spacing w:before="0" w:after="120"/>
              <w:ind w:left="65"/>
              <w:jc w:val="right"/>
              <w:rPr>
                <w:i/>
                <w:iCs/>
                <w:szCs w:val="20"/>
              </w:rPr>
            </w:pPr>
          </w:p>
        </w:tc>
        <w:tc>
          <w:tcPr>
            <w:tcW w:w="708" w:type="pct"/>
            <w:tcBorders>
              <w:left w:val="nil"/>
              <w:right w:val="nil"/>
            </w:tcBorders>
            <w:noWrap/>
            <w:hideMark/>
          </w:tcPr>
          <w:p w14:paraId="54F6E058" w14:textId="77777777" w:rsidR="000E482F" w:rsidRPr="00880860" w:rsidRDefault="000E482F" w:rsidP="004C79C1">
            <w:pPr>
              <w:pStyle w:val="TableText0"/>
              <w:keepNext w:val="0"/>
              <w:widowControl w:val="0"/>
              <w:spacing w:before="0" w:after="120"/>
              <w:ind w:left="65"/>
              <w:jc w:val="right"/>
              <w:rPr>
                <w:i/>
                <w:iCs/>
                <w:szCs w:val="20"/>
              </w:rPr>
            </w:pPr>
          </w:p>
        </w:tc>
        <w:tc>
          <w:tcPr>
            <w:tcW w:w="628" w:type="pct"/>
            <w:tcBorders>
              <w:left w:val="nil"/>
              <w:right w:val="nil"/>
            </w:tcBorders>
            <w:noWrap/>
            <w:hideMark/>
          </w:tcPr>
          <w:p w14:paraId="1E097400" w14:textId="77777777" w:rsidR="000E482F" w:rsidRPr="00880860" w:rsidRDefault="000E482F" w:rsidP="004C79C1">
            <w:pPr>
              <w:pStyle w:val="TableText0"/>
              <w:keepNext w:val="0"/>
              <w:widowControl w:val="0"/>
              <w:spacing w:before="0" w:after="120"/>
              <w:ind w:left="65"/>
              <w:jc w:val="right"/>
              <w:rPr>
                <w:i/>
                <w:iCs/>
                <w:szCs w:val="20"/>
              </w:rPr>
            </w:pPr>
          </w:p>
        </w:tc>
        <w:tc>
          <w:tcPr>
            <w:tcW w:w="629" w:type="pct"/>
            <w:tcBorders>
              <w:left w:val="nil"/>
              <w:right w:val="nil"/>
            </w:tcBorders>
            <w:noWrap/>
            <w:hideMark/>
          </w:tcPr>
          <w:p w14:paraId="6BB3EA48" w14:textId="77777777" w:rsidR="000E482F" w:rsidRPr="00880860" w:rsidRDefault="000E482F" w:rsidP="004C79C1">
            <w:pPr>
              <w:pStyle w:val="TableText0"/>
              <w:keepNext w:val="0"/>
              <w:widowControl w:val="0"/>
              <w:spacing w:before="0" w:after="120"/>
              <w:ind w:left="65"/>
              <w:jc w:val="right"/>
              <w:rPr>
                <w:i/>
                <w:iCs/>
                <w:szCs w:val="20"/>
              </w:rPr>
            </w:pPr>
          </w:p>
        </w:tc>
        <w:tc>
          <w:tcPr>
            <w:tcW w:w="679" w:type="pct"/>
            <w:tcBorders>
              <w:left w:val="nil"/>
            </w:tcBorders>
            <w:noWrap/>
            <w:hideMark/>
          </w:tcPr>
          <w:p w14:paraId="702FB487" w14:textId="77777777" w:rsidR="000E482F" w:rsidRPr="00880860" w:rsidRDefault="000E482F" w:rsidP="004C79C1">
            <w:pPr>
              <w:pStyle w:val="TableText0"/>
              <w:keepNext w:val="0"/>
              <w:widowControl w:val="0"/>
              <w:spacing w:before="0" w:after="120"/>
              <w:ind w:left="65"/>
              <w:jc w:val="right"/>
              <w:rPr>
                <w:i/>
                <w:iCs/>
                <w:szCs w:val="20"/>
              </w:rPr>
            </w:pPr>
          </w:p>
        </w:tc>
      </w:tr>
      <w:tr w:rsidR="009E52C1" w:rsidRPr="00880860" w14:paraId="5908C66D" w14:textId="77777777" w:rsidTr="009E52C1">
        <w:trPr>
          <w:trHeight w:val="255"/>
        </w:trPr>
        <w:tc>
          <w:tcPr>
            <w:tcW w:w="1727" w:type="pct"/>
            <w:noWrap/>
            <w:hideMark/>
          </w:tcPr>
          <w:p w14:paraId="7E6B43D2"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hideMark/>
          </w:tcPr>
          <w:p w14:paraId="7415C2C0"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$2,216,512</w:t>
            </w:r>
          </w:p>
        </w:tc>
        <w:tc>
          <w:tcPr>
            <w:tcW w:w="708" w:type="pct"/>
            <w:noWrap/>
            <w:vAlign w:val="bottom"/>
            <w:hideMark/>
          </w:tcPr>
          <w:p w14:paraId="01DD3C8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$2,254,298</w:t>
            </w:r>
          </w:p>
        </w:tc>
        <w:tc>
          <w:tcPr>
            <w:tcW w:w="628" w:type="pct"/>
            <w:noWrap/>
            <w:vAlign w:val="bottom"/>
            <w:hideMark/>
          </w:tcPr>
          <w:p w14:paraId="1F670B57"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$2,291,776</w:t>
            </w:r>
          </w:p>
        </w:tc>
        <w:tc>
          <w:tcPr>
            <w:tcW w:w="629" w:type="pct"/>
            <w:noWrap/>
            <w:vAlign w:val="bottom"/>
            <w:hideMark/>
          </w:tcPr>
          <w:p w14:paraId="4F2AC05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$2,328,687</w:t>
            </w:r>
          </w:p>
        </w:tc>
        <w:tc>
          <w:tcPr>
            <w:tcW w:w="679" w:type="pct"/>
            <w:noWrap/>
            <w:vAlign w:val="bottom"/>
            <w:hideMark/>
          </w:tcPr>
          <w:p w14:paraId="362232EF"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$2,365,450</w:t>
            </w:r>
          </w:p>
        </w:tc>
      </w:tr>
      <w:tr w:rsidR="009E52C1" w:rsidRPr="00880860" w14:paraId="3AA7BDF6" w14:textId="77777777" w:rsidTr="009E52C1">
        <w:trPr>
          <w:trHeight w:val="255"/>
        </w:trPr>
        <w:tc>
          <w:tcPr>
            <w:tcW w:w="1727" w:type="pct"/>
            <w:noWrap/>
            <w:hideMark/>
          </w:tcPr>
          <w:p w14:paraId="40B12800" w14:textId="66827D5D" w:rsidR="000E482F" w:rsidRPr="00880860" w:rsidRDefault="000E482F" w:rsidP="004C79C1">
            <w:pPr>
              <w:pStyle w:val="TableText0"/>
              <w:keepNext w:val="0"/>
              <w:widowControl w:val="0"/>
              <w:spacing w:before="0" w:after="120"/>
              <w:rPr>
                <w:szCs w:val="20"/>
              </w:rPr>
            </w:pPr>
            <w:r w:rsidRPr="00880860">
              <w:rPr>
                <w:szCs w:val="20"/>
              </w:rPr>
              <w:t>Net cost of CMR to patient</w:t>
            </w:r>
            <w:r w:rsidR="00924BD3">
              <w:rPr>
                <w:szCs w:val="20"/>
              </w:rPr>
              <w:t>s</w:t>
            </w:r>
          </w:p>
        </w:tc>
        <w:tc>
          <w:tcPr>
            <w:tcW w:w="629" w:type="pct"/>
            <w:noWrap/>
            <w:vAlign w:val="bottom"/>
            <w:hideMark/>
          </w:tcPr>
          <w:p w14:paraId="6758711F"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$47,229</w:t>
            </w:r>
          </w:p>
        </w:tc>
        <w:tc>
          <w:tcPr>
            <w:tcW w:w="708" w:type="pct"/>
            <w:noWrap/>
            <w:vAlign w:val="bottom"/>
            <w:hideMark/>
          </w:tcPr>
          <w:p w14:paraId="46F8AC6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$48,034</w:t>
            </w:r>
          </w:p>
        </w:tc>
        <w:tc>
          <w:tcPr>
            <w:tcW w:w="628" w:type="pct"/>
            <w:noWrap/>
            <w:vAlign w:val="bottom"/>
            <w:hideMark/>
          </w:tcPr>
          <w:p w14:paraId="4CFA7B61"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$48,833</w:t>
            </w:r>
          </w:p>
        </w:tc>
        <w:tc>
          <w:tcPr>
            <w:tcW w:w="629" w:type="pct"/>
            <w:noWrap/>
            <w:vAlign w:val="bottom"/>
            <w:hideMark/>
          </w:tcPr>
          <w:p w14:paraId="405C062A"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$49,619</w:t>
            </w:r>
          </w:p>
        </w:tc>
        <w:tc>
          <w:tcPr>
            <w:tcW w:w="679" w:type="pct"/>
            <w:noWrap/>
            <w:vAlign w:val="bottom"/>
            <w:hideMark/>
          </w:tcPr>
          <w:p w14:paraId="25654F81"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$50,403</w:t>
            </w:r>
          </w:p>
        </w:tc>
      </w:tr>
      <w:tr w:rsidR="009E52C1" w:rsidRPr="00880860" w14:paraId="26B3DCA2" w14:textId="77777777" w:rsidTr="009E52C1">
        <w:trPr>
          <w:trHeight w:val="255"/>
        </w:trPr>
        <w:tc>
          <w:tcPr>
            <w:tcW w:w="1727" w:type="pct"/>
            <w:tcBorders>
              <w:right w:val="nil"/>
            </w:tcBorders>
            <w:noWrap/>
            <w:hideMark/>
          </w:tcPr>
          <w:p w14:paraId="502F65C0" w14:textId="230104F8" w:rsidR="000E482F" w:rsidRPr="00880860" w:rsidRDefault="000E482F" w:rsidP="004C79C1">
            <w:pPr>
              <w:pStyle w:val="TableText0"/>
              <w:keepNext w:val="0"/>
              <w:widowControl w:val="0"/>
              <w:spacing w:before="0" w:after="120"/>
              <w:ind w:left="65"/>
              <w:rPr>
                <w:i/>
                <w:iCs/>
                <w:szCs w:val="20"/>
              </w:rPr>
            </w:pPr>
            <w:r w:rsidRPr="00880860">
              <w:rPr>
                <w:i/>
                <w:iCs/>
                <w:szCs w:val="20"/>
              </w:rPr>
              <w:t>Incidence of DCM in Australia: 20 per 100,000 (</w:t>
            </w:r>
            <w:r w:rsidR="004E2670">
              <w:rPr>
                <w:i/>
                <w:iCs/>
                <w:szCs w:val="20"/>
              </w:rPr>
              <w:t>b</w:t>
            </w:r>
            <w:r w:rsidRPr="00880860">
              <w:rPr>
                <w:i/>
                <w:iCs/>
                <w:szCs w:val="20"/>
              </w:rPr>
              <w:t>ase case: 7 per 100,000)</w:t>
            </w:r>
          </w:p>
        </w:tc>
        <w:tc>
          <w:tcPr>
            <w:tcW w:w="629" w:type="pct"/>
            <w:tcBorders>
              <w:left w:val="nil"/>
              <w:right w:val="nil"/>
            </w:tcBorders>
            <w:noWrap/>
            <w:hideMark/>
          </w:tcPr>
          <w:p w14:paraId="455F595B" w14:textId="77777777" w:rsidR="000E482F" w:rsidRPr="00880860" w:rsidRDefault="000E482F" w:rsidP="004C79C1">
            <w:pPr>
              <w:pStyle w:val="TableText0"/>
              <w:keepNext w:val="0"/>
              <w:widowControl w:val="0"/>
              <w:spacing w:before="0" w:after="120"/>
              <w:ind w:left="65"/>
              <w:jc w:val="right"/>
              <w:rPr>
                <w:i/>
                <w:iCs/>
                <w:szCs w:val="20"/>
              </w:rPr>
            </w:pPr>
          </w:p>
        </w:tc>
        <w:tc>
          <w:tcPr>
            <w:tcW w:w="708" w:type="pct"/>
            <w:tcBorders>
              <w:left w:val="nil"/>
              <w:right w:val="nil"/>
            </w:tcBorders>
            <w:noWrap/>
            <w:hideMark/>
          </w:tcPr>
          <w:p w14:paraId="75F3D365"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right w:val="nil"/>
            </w:tcBorders>
            <w:noWrap/>
            <w:hideMark/>
          </w:tcPr>
          <w:p w14:paraId="2601B3A4"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right w:val="nil"/>
            </w:tcBorders>
            <w:noWrap/>
            <w:hideMark/>
          </w:tcPr>
          <w:p w14:paraId="2A556E6D"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tcBorders>
            <w:noWrap/>
            <w:hideMark/>
          </w:tcPr>
          <w:p w14:paraId="2A7A08E4"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746738C7" w14:textId="77777777" w:rsidTr="009E52C1">
        <w:trPr>
          <w:trHeight w:val="255"/>
        </w:trPr>
        <w:tc>
          <w:tcPr>
            <w:tcW w:w="1727" w:type="pct"/>
            <w:noWrap/>
            <w:hideMark/>
          </w:tcPr>
          <w:p w14:paraId="5D240978"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hideMark/>
          </w:tcPr>
          <w:p w14:paraId="4A8C1989"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$4,433,023</w:t>
            </w:r>
          </w:p>
        </w:tc>
        <w:tc>
          <w:tcPr>
            <w:tcW w:w="708" w:type="pct"/>
            <w:noWrap/>
            <w:vAlign w:val="bottom"/>
            <w:hideMark/>
          </w:tcPr>
          <w:p w14:paraId="7BBC678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$4,508,595</w:t>
            </w:r>
          </w:p>
        </w:tc>
        <w:tc>
          <w:tcPr>
            <w:tcW w:w="628" w:type="pct"/>
            <w:noWrap/>
            <w:vAlign w:val="bottom"/>
            <w:hideMark/>
          </w:tcPr>
          <w:p w14:paraId="05DD4A58"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$4,583,552</w:t>
            </w:r>
          </w:p>
        </w:tc>
        <w:tc>
          <w:tcPr>
            <w:tcW w:w="629" w:type="pct"/>
            <w:noWrap/>
            <w:vAlign w:val="bottom"/>
            <w:hideMark/>
          </w:tcPr>
          <w:p w14:paraId="1579B56A"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$4,657,374</w:t>
            </w:r>
          </w:p>
        </w:tc>
        <w:tc>
          <w:tcPr>
            <w:tcW w:w="679" w:type="pct"/>
            <w:noWrap/>
            <w:vAlign w:val="bottom"/>
            <w:hideMark/>
          </w:tcPr>
          <w:p w14:paraId="793153C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$4,730,900</w:t>
            </w:r>
          </w:p>
        </w:tc>
      </w:tr>
      <w:tr w:rsidR="009E52C1" w:rsidRPr="00880860" w14:paraId="34F382BD" w14:textId="77777777" w:rsidTr="009E52C1">
        <w:trPr>
          <w:trHeight w:val="255"/>
        </w:trPr>
        <w:tc>
          <w:tcPr>
            <w:tcW w:w="1727" w:type="pct"/>
            <w:tcBorders>
              <w:bottom w:val="single" w:sz="4" w:space="0" w:color="auto"/>
            </w:tcBorders>
            <w:noWrap/>
            <w:hideMark/>
          </w:tcPr>
          <w:p w14:paraId="36FA1B83" w14:textId="62025782"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tcBorders>
              <w:bottom w:val="single" w:sz="4" w:space="0" w:color="auto"/>
            </w:tcBorders>
            <w:noWrap/>
            <w:vAlign w:val="bottom"/>
            <w:hideMark/>
          </w:tcPr>
          <w:p w14:paraId="33FE35C0"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$94,458</w:t>
            </w:r>
          </w:p>
        </w:tc>
        <w:tc>
          <w:tcPr>
            <w:tcW w:w="708" w:type="pct"/>
            <w:tcBorders>
              <w:bottom w:val="single" w:sz="4" w:space="0" w:color="auto"/>
            </w:tcBorders>
            <w:noWrap/>
            <w:vAlign w:val="bottom"/>
            <w:hideMark/>
          </w:tcPr>
          <w:p w14:paraId="3A60D354"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$96,069</w:t>
            </w:r>
          </w:p>
        </w:tc>
        <w:tc>
          <w:tcPr>
            <w:tcW w:w="628" w:type="pct"/>
            <w:tcBorders>
              <w:bottom w:val="single" w:sz="4" w:space="0" w:color="auto"/>
            </w:tcBorders>
            <w:noWrap/>
            <w:vAlign w:val="bottom"/>
            <w:hideMark/>
          </w:tcPr>
          <w:p w14:paraId="2F98096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$97,666</w:t>
            </w:r>
          </w:p>
        </w:tc>
        <w:tc>
          <w:tcPr>
            <w:tcW w:w="629" w:type="pct"/>
            <w:tcBorders>
              <w:bottom w:val="single" w:sz="4" w:space="0" w:color="auto"/>
            </w:tcBorders>
            <w:noWrap/>
            <w:vAlign w:val="bottom"/>
            <w:hideMark/>
          </w:tcPr>
          <w:p w14:paraId="76AE27C8"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$99,239</w:t>
            </w:r>
          </w:p>
        </w:tc>
        <w:tc>
          <w:tcPr>
            <w:tcW w:w="679" w:type="pct"/>
            <w:tcBorders>
              <w:bottom w:val="single" w:sz="4" w:space="0" w:color="auto"/>
            </w:tcBorders>
            <w:noWrap/>
            <w:vAlign w:val="bottom"/>
            <w:hideMark/>
          </w:tcPr>
          <w:p w14:paraId="123922AA"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$100,805</w:t>
            </w:r>
          </w:p>
        </w:tc>
      </w:tr>
      <w:tr w:rsidR="009E52C1" w:rsidRPr="00880860" w14:paraId="04E66984" w14:textId="77777777" w:rsidTr="009E52C1">
        <w:trPr>
          <w:trHeight w:val="255"/>
        </w:trPr>
        <w:tc>
          <w:tcPr>
            <w:tcW w:w="1727" w:type="pct"/>
            <w:tcBorders>
              <w:right w:val="nil"/>
            </w:tcBorders>
            <w:noWrap/>
            <w:hideMark/>
          </w:tcPr>
          <w:p w14:paraId="7CEB623A" w14:textId="71F9C1BB" w:rsidR="000E482F" w:rsidRPr="00880860" w:rsidRDefault="000E482F" w:rsidP="004C79C1">
            <w:pPr>
              <w:pStyle w:val="TableText0"/>
              <w:keepNext w:val="0"/>
              <w:widowControl w:val="0"/>
              <w:spacing w:before="0" w:after="120"/>
              <w:ind w:left="65"/>
              <w:rPr>
                <w:i/>
                <w:iCs/>
                <w:szCs w:val="20"/>
              </w:rPr>
            </w:pPr>
            <w:r w:rsidRPr="00880860">
              <w:rPr>
                <w:i/>
                <w:iCs/>
                <w:szCs w:val="20"/>
              </w:rPr>
              <w:t>Proportion of indeterminate results with Echo: 10% (</w:t>
            </w:r>
            <w:r w:rsidR="00CD2385">
              <w:rPr>
                <w:i/>
                <w:iCs/>
                <w:szCs w:val="20"/>
              </w:rPr>
              <w:t>b</w:t>
            </w:r>
            <w:r w:rsidRPr="00880860">
              <w:rPr>
                <w:i/>
                <w:iCs/>
                <w:szCs w:val="20"/>
              </w:rPr>
              <w:t>as</w:t>
            </w:r>
            <w:r w:rsidR="00702406">
              <w:rPr>
                <w:i/>
                <w:iCs/>
                <w:szCs w:val="20"/>
              </w:rPr>
              <w:t>e</w:t>
            </w:r>
            <w:r w:rsidR="00CD2385">
              <w:rPr>
                <w:i/>
                <w:iCs/>
                <w:szCs w:val="20"/>
              </w:rPr>
              <w:t>-</w:t>
            </w:r>
            <w:r w:rsidRPr="00880860">
              <w:rPr>
                <w:i/>
                <w:iCs/>
                <w:szCs w:val="20"/>
              </w:rPr>
              <w:t>case: 5%)</w:t>
            </w:r>
          </w:p>
        </w:tc>
        <w:tc>
          <w:tcPr>
            <w:tcW w:w="629" w:type="pct"/>
            <w:tcBorders>
              <w:left w:val="nil"/>
              <w:right w:val="nil"/>
            </w:tcBorders>
            <w:noWrap/>
            <w:hideMark/>
          </w:tcPr>
          <w:p w14:paraId="6D24358A" w14:textId="77777777" w:rsidR="000E482F" w:rsidRPr="00880860" w:rsidRDefault="000E482F" w:rsidP="004C79C1">
            <w:pPr>
              <w:pStyle w:val="TableText0"/>
              <w:keepNext w:val="0"/>
              <w:widowControl w:val="0"/>
              <w:spacing w:before="0" w:after="120"/>
              <w:ind w:left="65"/>
              <w:jc w:val="right"/>
              <w:rPr>
                <w:i/>
                <w:iCs/>
                <w:szCs w:val="20"/>
              </w:rPr>
            </w:pPr>
          </w:p>
        </w:tc>
        <w:tc>
          <w:tcPr>
            <w:tcW w:w="708" w:type="pct"/>
            <w:tcBorders>
              <w:left w:val="nil"/>
              <w:right w:val="nil"/>
            </w:tcBorders>
            <w:noWrap/>
            <w:hideMark/>
          </w:tcPr>
          <w:p w14:paraId="2126F3AF"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right w:val="nil"/>
            </w:tcBorders>
            <w:noWrap/>
            <w:hideMark/>
          </w:tcPr>
          <w:p w14:paraId="6E5F407C"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right w:val="nil"/>
            </w:tcBorders>
            <w:noWrap/>
            <w:hideMark/>
          </w:tcPr>
          <w:p w14:paraId="5739D2ED"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tcBorders>
            <w:noWrap/>
            <w:hideMark/>
          </w:tcPr>
          <w:p w14:paraId="605DADEE"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1E1BB231" w14:textId="77777777" w:rsidTr="009E52C1">
        <w:trPr>
          <w:trHeight w:val="255"/>
        </w:trPr>
        <w:tc>
          <w:tcPr>
            <w:tcW w:w="1727" w:type="pct"/>
            <w:noWrap/>
            <w:hideMark/>
          </w:tcPr>
          <w:p w14:paraId="166AAF91"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hideMark/>
          </w:tcPr>
          <w:p w14:paraId="15DE1383"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$1,552,808</w:t>
            </w:r>
          </w:p>
        </w:tc>
        <w:tc>
          <w:tcPr>
            <w:tcW w:w="708" w:type="pct"/>
            <w:noWrap/>
            <w:vAlign w:val="bottom"/>
            <w:hideMark/>
          </w:tcPr>
          <w:p w14:paraId="039F4729"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$1,579,280</w:t>
            </w:r>
          </w:p>
        </w:tc>
        <w:tc>
          <w:tcPr>
            <w:tcW w:w="628" w:type="pct"/>
            <w:noWrap/>
            <w:vAlign w:val="bottom"/>
            <w:hideMark/>
          </w:tcPr>
          <w:p w14:paraId="107996B6"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$1,605,536</w:t>
            </w:r>
          </w:p>
        </w:tc>
        <w:tc>
          <w:tcPr>
            <w:tcW w:w="629" w:type="pct"/>
            <w:noWrap/>
            <w:vAlign w:val="bottom"/>
            <w:hideMark/>
          </w:tcPr>
          <w:p w14:paraId="23977B0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$1,631,394</w:t>
            </w:r>
          </w:p>
        </w:tc>
        <w:tc>
          <w:tcPr>
            <w:tcW w:w="679" w:type="pct"/>
            <w:noWrap/>
            <w:vAlign w:val="bottom"/>
            <w:hideMark/>
          </w:tcPr>
          <w:p w14:paraId="05580DF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$1,657,149</w:t>
            </w:r>
          </w:p>
        </w:tc>
      </w:tr>
      <w:tr w:rsidR="009E52C1" w:rsidRPr="00880860" w14:paraId="0B6321A8" w14:textId="77777777" w:rsidTr="009E52C1">
        <w:trPr>
          <w:trHeight w:val="255"/>
        </w:trPr>
        <w:tc>
          <w:tcPr>
            <w:tcW w:w="1727" w:type="pct"/>
            <w:tcBorders>
              <w:bottom w:val="single" w:sz="4" w:space="0" w:color="auto"/>
            </w:tcBorders>
            <w:noWrap/>
            <w:hideMark/>
          </w:tcPr>
          <w:p w14:paraId="278FBAE6" w14:textId="6ADA2B70"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tcBorders>
              <w:bottom w:val="single" w:sz="4" w:space="0" w:color="auto"/>
            </w:tcBorders>
            <w:noWrap/>
            <w:vAlign w:val="bottom"/>
            <w:hideMark/>
          </w:tcPr>
          <w:p w14:paraId="5001CCC4"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$33,401</w:t>
            </w:r>
          </w:p>
        </w:tc>
        <w:tc>
          <w:tcPr>
            <w:tcW w:w="708" w:type="pct"/>
            <w:tcBorders>
              <w:bottom w:val="single" w:sz="4" w:space="0" w:color="auto"/>
            </w:tcBorders>
            <w:noWrap/>
            <w:vAlign w:val="bottom"/>
            <w:hideMark/>
          </w:tcPr>
          <w:p w14:paraId="7019526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$33,971</w:t>
            </w:r>
          </w:p>
        </w:tc>
        <w:tc>
          <w:tcPr>
            <w:tcW w:w="628" w:type="pct"/>
            <w:tcBorders>
              <w:bottom w:val="single" w:sz="4" w:space="0" w:color="auto"/>
            </w:tcBorders>
            <w:noWrap/>
            <w:vAlign w:val="bottom"/>
            <w:hideMark/>
          </w:tcPr>
          <w:p w14:paraId="167BBD3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$34,535</w:t>
            </w:r>
          </w:p>
        </w:tc>
        <w:tc>
          <w:tcPr>
            <w:tcW w:w="629" w:type="pct"/>
            <w:tcBorders>
              <w:bottom w:val="single" w:sz="4" w:space="0" w:color="auto"/>
            </w:tcBorders>
            <w:noWrap/>
            <w:vAlign w:val="bottom"/>
            <w:hideMark/>
          </w:tcPr>
          <w:p w14:paraId="2415F76A"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$35,092</w:t>
            </w:r>
          </w:p>
        </w:tc>
        <w:tc>
          <w:tcPr>
            <w:tcW w:w="679" w:type="pct"/>
            <w:tcBorders>
              <w:bottom w:val="single" w:sz="4" w:space="0" w:color="auto"/>
            </w:tcBorders>
            <w:noWrap/>
            <w:vAlign w:val="bottom"/>
            <w:hideMark/>
          </w:tcPr>
          <w:p w14:paraId="79C16596"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$35,646</w:t>
            </w:r>
          </w:p>
        </w:tc>
      </w:tr>
      <w:tr w:rsidR="009E52C1" w:rsidRPr="00880860" w14:paraId="6F6EED77" w14:textId="77777777" w:rsidTr="009E52C1">
        <w:trPr>
          <w:trHeight w:val="255"/>
        </w:trPr>
        <w:tc>
          <w:tcPr>
            <w:tcW w:w="1727" w:type="pct"/>
            <w:tcBorders>
              <w:right w:val="nil"/>
            </w:tcBorders>
            <w:noWrap/>
            <w:hideMark/>
          </w:tcPr>
          <w:p w14:paraId="750EEEBD" w14:textId="2AE7E314" w:rsidR="000E482F" w:rsidRPr="00880860" w:rsidRDefault="000E482F" w:rsidP="004C79C1">
            <w:pPr>
              <w:pStyle w:val="TableText0"/>
              <w:keepNext w:val="0"/>
              <w:widowControl w:val="0"/>
              <w:spacing w:before="0" w:after="120"/>
              <w:ind w:left="65"/>
              <w:rPr>
                <w:i/>
                <w:iCs/>
                <w:szCs w:val="20"/>
              </w:rPr>
            </w:pPr>
            <w:r w:rsidRPr="00880860">
              <w:rPr>
                <w:i/>
                <w:iCs/>
                <w:szCs w:val="20"/>
              </w:rPr>
              <w:t>Proportion of indeterminate results with Echo: 20% (</w:t>
            </w:r>
            <w:r w:rsidR="00CD2385">
              <w:rPr>
                <w:i/>
                <w:iCs/>
                <w:szCs w:val="20"/>
              </w:rPr>
              <w:t>b</w:t>
            </w:r>
            <w:r w:rsidRPr="00880860">
              <w:rPr>
                <w:i/>
                <w:iCs/>
                <w:szCs w:val="20"/>
              </w:rPr>
              <w:t>ase</w:t>
            </w:r>
            <w:r w:rsidR="00CD2385">
              <w:rPr>
                <w:i/>
                <w:iCs/>
                <w:szCs w:val="20"/>
              </w:rPr>
              <w:t>-</w:t>
            </w:r>
            <w:r w:rsidRPr="00880860">
              <w:rPr>
                <w:i/>
                <w:iCs/>
                <w:szCs w:val="20"/>
              </w:rPr>
              <w:t>case: 5%)</w:t>
            </w:r>
          </w:p>
        </w:tc>
        <w:tc>
          <w:tcPr>
            <w:tcW w:w="629" w:type="pct"/>
            <w:tcBorders>
              <w:left w:val="nil"/>
              <w:right w:val="nil"/>
            </w:tcBorders>
            <w:noWrap/>
            <w:hideMark/>
          </w:tcPr>
          <w:p w14:paraId="58E9B827" w14:textId="77777777" w:rsidR="000E482F" w:rsidRPr="00880860" w:rsidRDefault="000E482F" w:rsidP="004C79C1">
            <w:pPr>
              <w:pStyle w:val="TableText0"/>
              <w:keepNext w:val="0"/>
              <w:widowControl w:val="0"/>
              <w:spacing w:before="0" w:after="120"/>
              <w:ind w:left="65"/>
              <w:jc w:val="right"/>
              <w:rPr>
                <w:i/>
                <w:iCs/>
                <w:szCs w:val="20"/>
              </w:rPr>
            </w:pPr>
          </w:p>
        </w:tc>
        <w:tc>
          <w:tcPr>
            <w:tcW w:w="708" w:type="pct"/>
            <w:tcBorders>
              <w:left w:val="nil"/>
              <w:right w:val="nil"/>
            </w:tcBorders>
            <w:noWrap/>
            <w:hideMark/>
          </w:tcPr>
          <w:p w14:paraId="194A94CD"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right w:val="nil"/>
            </w:tcBorders>
            <w:noWrap/>
            <w:hideMark/>
          </w:tcPr>
          <w:p w14:paraId="5D3B2DC6"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right w:val="nil"/>
            </w:tcBorders>
            <w:noWrap/>
            <w:hideMark/>
          </w:tcPr>
          <w:p w14:paraId="4257F2B3"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tcBorders>
            <w:noWrap/>
            <w:hideMark/>
          </w:tcPr>
          <w:p w14:paraId="43069AD6"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03F77909" w14:textId="77777777" w:rsidTr="009E52C1">
        <w:trPr>
          <w:trHeight w:val="255"/>
        </w:trPr>
        <w:tc>
          <w:tcPr>
            <w:tcW w:w="1727" w:type="pct"/>
            <w:noWrap/>
            <w:hideMark/>
          </w:tcPr>
          <w:p w14:paraId="0D98D363"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hideMark/>
          </w:tcPr>
          <w:p w14:paraId="3AF238D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$1,555,308</w:t>
            </w:r>
          </w:p>
        </w:tc>
        <w:tc>
          <w:tcPr>
            <w:tcW w:w="708" w:type="pct"/>
            <w:noWrap/>
            <w:vAlign w:val="bottom"/>
            <w:hideMark/>
          </w:tcPr>
          <w:p w14:paraId="797B223C"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$1,581,822</w:t>
            </w:r>
          </w:p>
        </w:tc>
        <w:tc>
          <w:tcPr>
            <w:tcW w:w="628" w:type="pct"/>
            <w:noWrap/>
            <w:vAlign w:val="bottom"/>
            <w:hideMark/>
          </w:tcPr>
          <w:p w14:paraId="03DD565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$1,608,121</w:t>
            </w:r>
          </w:p>
        </w:tc>
        <w:tc>
          <w:tcPr>
            <w:tcW w:w="629" w:type="pct"/>
            <w:noWrap/>
            <w:vAlign w:val="bottom"/>
            <w:hideMark/>
          </w:tcPr>
          <w:p w14:paraId="5D468C97"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$1,634,021</w:t>
            </w:r>
          </w:p>
        </w:tc>
        <w:tc>
          <w:tcPr>
            <w:tcW w:w="679" w:type="pct"/>
            <w:noWrap/>
            <w:vAlign w:val="bottom"/>
            <w:hideMark/>
          </w:tcPr>
          <w:p w14:paraId="768C6B26"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$1,659,817</w:t>
            </w:r>
          </w:p>
        </w:tc>
      </w:tr>
      <w:tr w:rsidR="009E52C1" w:rsidRPr="00880860" w14:paraId="0D7B497C" w14:textId="77777777" w:rsidTr="009E52C1">
        <w:trPr>
          <w:trHeight w:val="255"/>
        </w:trPr>
        <w:tc>
          <w:tcPr>
            <w:tcW w:w="1727" w:type="pct"/>
            <w:tcBorders>
              <w:bottom w:val="single" w:sz="4" w:space="0" w:color="auto"/>
            </w:tcBorders>
            <w:noWrap/>
            <w:hideMark/>
          </w:tcPr>
          <w:p w14:paraId="47EAF4DC" w14:textId="61B6A848"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tcBorders>
              <w:bottom w:val="single" w:sz="4" w:space="0" w:color="auto"/>
            </w:tcBorders>
            <w:noWrap/>
            <w:vAlign w:val="bottom"/>
            <w:hideMark/>
          </w:tcPr>
          <w:p w14:paraId="1BC0644E"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$34,083</w:t>
            </w:r>
          </w:p>
        </w:tc>
        <w:tc>
          <w:tcPr>
            <w:tcW w:w="708" w:type="pct"/>
            <w:tcBorders>
              <w:bottom w:val="single" w:sz="4" w:space="0" w:color="auto"/>
            </w:tcBorders>
            <w:noWrap/>
            <w:vAlign w:val="bottom"/>
            <w:hideMark/>
          </w:tcPr>
          <w:p w14:paraId="3ED4C9A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$34,664</w:t>
            </w:r>
          </w:p>
        </w:tc>
        <w:tc>
          <w:tcPr>
            <w:tcW w:w="628" w:type="pct"/>
            <w:tcBorders>
              <w:bottom w:val="single" w:sz="4" w:space="0" w:color="auto"/>
            </w:tcBorders>
            <w:noWrap/>
            <w:vAlign w:val="bottom"/>
            <w:hideMark/>
          </w:tcPr>
          <w:p w14:paraId="0448997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$35,240</w:t>
            </w:r>
          </w:p>
        </w:tc>
        <w:tc>
          <w:tcPr>
            <w:tcW w:w="629" w:type="pct"/>
            <w:tcBorders>
              <w:bottom w:val="single" w:sz="4" w:space="0" w:color="auto"/>
            </w:tcBorders>
            <w:noWrap/>
            <w:vAlign w:val="bottom"/>
            <w:hideMark/>
          </w:tcPr>
          <w:p w14:paraId="7033E129"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$35,808</w:t>
            </w:r>
          </w:p>
        </w:tc>
        <w:tc>
          <w:tcPr>
            <w:tcW w:w="679" w:type="pct"/>
            <w:tcBorders>
              <w:bottom w:val="single" w:sz="4" w:space="0" w:color="auto"/>
            </w:tcBorders>
            <w:noWrap/>
            <w:vAlign w:val="bottom"/>
            <w:hideMark/>
          </w:tcPr>
          <w:p w14:paraId="1151E2ED"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$36,373</w:t>
            </w:r>
          </w:p>
        </w:tc>
      </w:tr>
      <w:tr w:rsidR="009E52C1" w:rsidRPr="00880860" w14:paraId="2D1D47C5" w14:textId="77777777" w:rsidTr="009E52C1">
        <w:trPr>
          <w:trHeight w:val="255"/>
        </w:trPr>
        <w:tc>
          <w:tcPr>
            <w:tcW w:w="1727" w:type="pct"/>
            <w:tcBorders>
              <w:bottom w:val="single" w:sz="4" w:space="0" w:color="auto"/>
              <w:right w:val="nil"/>
            </w:tcBorders>
            <w:noWrap/>
          </w:tcPr>
          <w:p w14:paraId="4DBED40A" w14:textId="6138912F" w:rsidR="000E482F" w:rsidRPr="00880860" w:rsidRDefault="000E482F" w:rsidP="004C79C1">
            <w:pPr>
              <w:pStyle w:val="TableText0"/>
              <w:keepNext w:val="0"/>
              <w:widowControl w:val="0"/>
              <w:spacing w:before="0" w:after="120"/>
              <w:ind w:left="65"/>
              <w:rPr>
                <w:szCs w:val="20"/>
              </w:rPr>
            </w:pPr>
            <w:r w:rsidRPr="00880860">
              <w:rPr>
                <w:i/>
                <w:iCs/>
                <w:szCs w:val="20"/>
              </w:rPr>
              <w:t>CMR accessibility and uptake: 50% (</w:t>
            </w:r>
            <w:r w:rsidR="00CD2385">
              <w:rPr>
                <w:i/>
                <w:iCs/>
                <w:szCs w:val="20"/>
              </w:rPr>
              <w:t>b</w:t>
            </w:r>
            <w:r w:rsidRPr="00880860">
              <w:rPr>
                <w:i/>
                <w:iCs/>
                <w:szCs w:val="20"/>
              </w:rPr>
              <w:t>ase</w:t>
            </w:r>
            <w:r w:rsidR="00CD2385">
              <w:rPr>
                <w:i/>
                <w:iCs/>
                <w:szCs w:val="20"/>
              </w:rPr>
              <w:t>-</w:t>
            </w:r>
            <w:r w:rsidRPr="00880860">
              <w:rPr>
                <w:i/>
                <w:iCs/>
                <w:szCs w:val="20"/>
              </w:rPr>
              <w:t>case: 100%)</w:t>
            </w:r>
          </w:p>
        </w:tc>
        <w:tc>
          <w:tcPr>
            <w:tcW w:w="629" w:type="pct"/>
            <w:tcBorders>
              <w:left w:val="nil"/>
              <w:bottom w:val="single" w:sz="4" w:space="0" w:color="auto"/>
              <w:right w:val="nil"/>
            </w:tcBorders>
            <w:noWrap/>
          </w:tcPr>
          <w:p w14:paraId="2CD9741A" w14:textId="77777777" w:rsidR="000E482F" w:rsidRPr="00880860" w:rsidRDefault="000E482F" w:rsidP="004C79C1">
            <w:pPr>
              <w:pStyle w:val="TableText0"/>
              <w:keepNext w:val="0"/>
              <w:widowControl w:val="0"/>
              <w:spacing w:before="0" w:after="120"/>
              <w:ind w:left="65"/>
              <w:jc w:val="right"/>
              <w:rPr>
                <w:szCs w:val="20"/>
              </w:rPr>
            </w:pPr>
          </w:p>
        </w:tc>
        <w:tc>
          <w:tcPr>
            <w:tcW w:w="708" w:type="pct"/>
            <w:tcBorders>
              <w:left w:val="nil"/>
              <w:bottom w:val="single" w:sz="4" w:space="0" w:color="auto"/>
              <w:right w:val="nil"/>
            </w:tcBorders>
            <w:noWrap/>
          </w:tcPr>
          <w:p w14:paraId="2D47D593"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bottom w:val="single" w:sz="4" w:space="0" w:color="auto"/>
              <w:right w:val="nil"/>
            </w:tcBorders>
            <w:noWrap/>
          </w:tcPr>
          <w:p w14:paraId="37D930DC"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bottom w:val="single" w:sz="4" w:space="0" w:color="auto"/>
              <w:right w:val="nil"/>
            </w:tcBorders>
            <w:noWrap/>
          </w:tcPr>
          <w:p w14:paraId="22343433"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bottom w:val="single" w:sz="4" w:space="0" w:color="auto"/>
            </w:tcBorders>
            <w:noWrap/>
          </w:tcPr>
          <w:p w14:paraId="47C35EEB"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1EE7B24F" w14:textId="77777777" w:rsidTr="009E52C1">
        <w:trPr>
          <w:trHeight w:val="255"/>
        </w:trPr>
        <w:tc>
          <w:tcPr>
            <w:tcW w:w="1727" w:type="pct"/>
            <w:noWrap/>
            <w:hideMark/>
          </w:tcPr>
          <w:p w14:paraId="575727B5"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tcPr>
          <w:p w14:paraId="459B2E1C"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$775,779</w:t>
            </w:r>
          </w:p>
        </w:tc>
        <w:tc>
          <w:tcPr>
            <w:tcW w:w="708" w:type="pct"/>
            <w:noWrap/>
            <w:vAlign w:val="bottom"/>
          </w:tcPr>
          <w:p w14:paraId="6D44BC77"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$789,004</w:t>
            </w:r>
          </w:p>
        </w:tc>
        <w:tc>
          <w:tcPr>
            <w:tcW w:w="628" w:type="pct"/>
            <w:noWrap/>
            <w:vAlign w:val="bottom"/>
          </w:tcPr>
          <w:p w14:paraId="00FF0856"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$802,122</w:t>
            </w:r>
          </w:p>
        </w:tc>
        <w:tc>
          <w:tcPr>
            <w:tcW w:w="629" w:type="pct"/>
            <w:noWrap/>
            <w:vAlign w:val="bottom"/>
          </w:tcPr>
          <w:p w14:paraId="52EF7C5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$815,040</w:t>
            </w:r>
          </w:p>
        </w:tc>
        <w:tc>
          <w:tcPr>
            <w:tcW w:w="679" w:type="pct"/>
            <w:noWrap/>
            <w:vAlign w:val="bottom"/>
          </w:tcPr>
          <w:p w14:paraId="48812EA8"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$827,907</w:t>
            </w:r>
          </w:p>
        </w:tc>
      </w:tr>
      <w:tr w:rsidR="009E52C1" w:rsidRPr="00880860" w14:paraId="35193E8B" w14:textId="77777777" w:rsidTr="009E52C1">
        <w:trPr>
          <w:trHeight w:val="255"/>
        </w:trPr>
        <w:tc>
          <w:tcPr>
            <w:tcW w:w="1727" w:type="pct"/>
            <w:tcBorders>
              <w:bottom w:val="single" w:sz="4" w:space="0" w:color="auto"/>
            </w:tcBorders>
            <w:noWrap/>
            <w:hideMark/>
          </w:tcPr>
          <w:p w14:paraId="39B03AEB" w14:textId="00A882AB"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tcBorders>
              <w:bottom w:val="single" w:sz="4" w:space="0" w:color="auto"/>
            </w:tcBorders>
            <w:noWrap/>
            <w:vAlign w:val="bottom"/>
          </w:tcPr>
          <w:p w14:paraId="38D12862"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$16,530</w:t>
            </w:r>
          </w:p>
        </w:tc>
        <w:tc>
          <w:tcPr>
            <w:tcW w:w="708" w:type="pct"/>
            <w:tcBorders>
              <w:bottom w:val="single" w:sz="4" w:space="0" w:color="auto"/>
            </w:tcBorders>
            <w:noWrap/>
            <w:vAlign w:val="bottom"/>
          </w:tcPr>
          <w:p w14:paraId="4B06F75D"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$16,812</w:t>
            </w:r>
          </w:p>
        </w:tc>
        <w:tc>
          <w:tcPr>
            <w:tcW w:w="628" w:type="pct"/>
            <w:tcBorders>
              <w:bottom w:val="single" w:sz="4" w:space="0" w:color="auto"/>
            </w:tcBorders>
            <w:noWrap/>
            <w:vAlign w:val="bottom"/>
          </w:tcPr>
          <w:p w14:paraId="654C9ABA"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$17,092</w:t>
            </w:r>
          </w:p>
        </w:tc>
        <w:tc>
          <w:tcPr>
            <w:tcW w:w="629" w:type="pct"/>
            <w:tcBorders>
              <w:bottom w:val="single" w:sz="4" w:space="0" w:color="auto"/>
            </w:tcBorders>
            <w:noWrap/>
            <w:vAlign w:val="bottom"/>
          </w:tcPr>
          <w:p w14:paraId="46D8B9A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$17,367</w:t>
            </w:r>
          </w:p>
        </w:tc>
        <w:tc>
          <w:tcPr>
            <w:tcW w:w="679" w:type="pct"/>
            <w:tcBorders>
              <w:bottom w:val="single" w:sz="4" w:space="0" w:color="auto"/>
            </w:tcBorders>
            <w:noWrap/>
            <w:vAlign w:val="bottom"/>
          </w:tcPr>
          <w:p w14:paraId="0356D440"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$17,641</w:t>
            </w:r>
          </w:p>
        </w:tc>
      </w:tr>
      <w:tr w:rsidR="009E52C1" w:rsidRPr="00880860" w14:paraId="445B8B2A" w14:textId="77777777" w:rsidTr="009E52C1">
        <w:trPr>
          <w:trHeight w:val="255"/>
        </w:trPr>
        <w:tc>
          <w:tcPr>
            <w:tcW w:w="1727" w:type="pct"/>
            <w:tcBorders>
              <w:right w:val="nil"/>
            </w:tcBorders>
            <w:noWrap/>
            <w:hideMark/>
          </w:tcPr>
          <w:p w14:paraId="2481232E" w14:textId="570B6B61" w:rsidR="000E482F" w:rsidRPr="00880860" w:rsidRDefault="000E482F" w:rsidP="004C79C1">
            <w:pPr>
              <w:pStyle w:val="TableText0"/>
              <w:keepNext w:val="0"/>
              <w:widowControl w:val="0"/>
              <w:spacing w:before="0" w:after="120"/>
              <w:ind w:left="65"/>
              <w:rPr>
                <w:szCs w:val="20"/>
              </w:rPr>
            </w:pPr>
            <w:r w:rsidRPr="00880860">
              <w:rPr>
                <w:i/>
                <w:iCs/>
                <w:szCs w:val="20"/>
              </w:rPr>
              <w:t>Number of family members screened per index case of DCM: 5 (</w:t>
            </w:r>
            <w:r w:rsidR="00CD2385">
              <w:rPr>
                <w:i/>
                <w:iCs/>
                <w:szCs w:val="20"/>
              </w:rPr>
              <w:t>b</w:t>
            </w:r>
            <w:r w:rsidRPr="00880860">
              <w:rPr>
                <w:i/>
                <w:iCs/>
                <w:szCs w:val="20"/>
              </w:rPr>
              <w:t>ase</w:t>
            </w:r>
            <w:r w:rsidR="00CD2385">
              <w:rPr>
                <w:i/>
                <w:iCs/>
                <w:szCs w:val="20"/>
              </w:rPr>
              <w:t>-</w:t>
            </w:r>
            <w:r w:rsidRPr="00880860">
              <w:rPr>
                <w:i/>
                <w:iCs/>
                <w:szCs w:val="20"/>
              </w:rPr>
              <w:t>case: 4)</w:t>
            </w:r>
          </w:p>
        </w:tc>
        <w:tc>
          <w:tcPr>
            <w:tcW w:w="629" w:type="pct"/>
            <w:tcBorders>
              <w:left w:val="nil"/>
              <w:right w:val="nil"/>
            </w:tcBorders>
            <w:noWrap/>
            <w:hideMark/>
          </w:tcPr>
          <w:p w14:paraId="092F5689" w14:textId="77777777" w:rsidR="000E482F" w:rsidRPr="00880860" w:rsidRDefault="000E482F" w:rsidP="004C79C1">
            <w:pPr>
              <w:pStyle w:val="TableText0"/>
              <w:keepNext w:val="0"/>
              <w:widowControl w:val="0"/>
              <w:spacing w:before="0" w:after="120"/>
              <w:ind w:left="65"/>
              <w:jc w:val="right"/>
              <w:rPr>
                <w:szCs w:val="20"/>
              </w:rPr>
            </w:pPr>
          </w:p>
        </w:tc>
        <w:tc>
          <w:tcPr>
            <w:tcW w:w="708" w:type="pct"/>
            <w:tcBorders>
              <w:left w:val="nil"/>
              <w:right w:val="nil"/>
            </w:tcBorders>
            <w:noWrap/>
            <w:hideMark/>
          </w:tcPr>
          <w:p w14:paraId="7817696F"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right w:val="nil"/>
            </w:tcBorders>
            <w:noWrap/>
            <w:hideMark/>
          </w:tcPr>
          <w:p w14:paraId="3534B2D9"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right w:val="nil"/>
            </w:tcBorders>
            <w:noWrap/>
            <w:hideMark/>
          </w:tcPr>
          <w:p w14:paraId="41BDFB7C"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tcBorders>
            <w:noWrap/>
            <w:hideMark/>
          </w:tcPr>
          <w:p w14:paraId="306596EB"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22561CFD" w14:textId="77777777" w:rsidTr="009E52C1">
        <w:trPr>
          <w:trHeight w:val="255"/>
        </w:trPr>
        <w:tc>
          <w:tcPr>
            <w:tcW w:w="1727" w:type="pct"/>
            <w:noWrap/>
            <w:hideMark/>
          </w:tcPr>
          <w:p w14:paraId="06F6A347"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vAlign w:val="bottom"/>
            <w:hideMark/>
          </w:tcPr>
          <w:p w14:paraId="3EE2862D"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$1,558,574</w:t>
            </w:r>
          </w:p>
        </w:tc>
        <w:tc>
          <w:tcPr>
            <w:tcW w:w="708" w:type="pct"/>
            <w:noWrap/>
            <w:vAlign w:val="bottom"/>
            <w:hideMark/>
          </w:tcPr>
          <w:p w14:paraId="13424CB5"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$1,585,143</w:t>
            </w:r>
          </w:p>
        </w:tc>
        <w:tc>
          <w:tcPr>
            <w:tcW w:w="628" w:type="pct"/>
            <w:noWrap/>
            <w:vAlign w:val="bottom"/>
            <w:hideMark/>
          </w:tcPr>
          <w:p w14:paraId="718585DB"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$1,611,497</w:t>
            </w:r>
          </w:p>
        </w:tc>
        <w:tc>
          <w:tcPr>
            <w:tcW w:w="629" w:type="pct"/>
            <w:noWrap/>
            <w:vAlign w:val="bottom"/>
            <w:hideMark/>
          </w:tcPr>
          <w:p w14:paraId="2A6D150D"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$1,637,451</w:t>
            </w:r>
          </w:p>
        </w:tc>
        <w:tc>
          <w:tcPr>
            <w:tcW w:w="679" w:type="pct"/>
            <w:noWrap/>
            <w:vAlign w:val="bottom"/>
            <w:hideMark/>
          </w:tcPr>
          <w:p w14:paraId="35CD5C2E"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$1,663,302</w:t>
            </w:r>
          </w:p>
        </w:tc>
      </w:tr>
      <w:tr w:rsidR="009E52C1" w:rsidRPr="00880860" w14:paraId="0EDFFAEA" w14:textId="77777777" w:rsidTr="009E52C1">
        <w:trPr>
          <w:trHeight w:val="255"/>
        </w:trPr>
        <w:tc>
          <w:tcPr>
            <w:tcW w:w="1727" w:type="pct"/>
            <w:tcBorders>
              <w:bottom w:val="single" w:sz="4" w:space="0" w:color="auto"/>
            </w:tcBorders>
            <w:noWrap/>
            <w:hideMark/>
          </w:tcPr>
          <w:p w14:paraId="5CA2EC4D" w14:textId="5B7881CB"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tcBorders>
              <w:bottom w:val="single" w:sz="4" w:space="0" w:color="auto"/>
            </w:tcBorders>
            <w:noWrap/>
            <w:vAlign w:val="bottom"/>
            <w:hideMark/>
          </w:tcPr>
          <w:p w14:paraId="7150305E"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$32,805</w:t>
            </w:r>
          </w:p>
        </w:tc>
        <w:tc>
          <w:tcPr>
            <w:tcW w:w="708" w:type="pct"/>
            <w:tcBorders>
              <w:bottom w:val="single" w:sz="4" w:space="0" w:color="auto"/>
            </w:tcBorders>
            <w:noWrap/>
            <w:vAlign w:val="bottom"/>
            <w:hideMark/>
          </w:tcPr>
          <w:p w14:paraId="2C5C83A8"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$33,365</w:t>
            </w:r>
          </w:p>
        </w:tc>
        <w:tc>
          <w:tcPr>
            <w:tcW w:w="628" w:type="pct"/>
            <w:tcBorders>
              <w:bottom w:val="single" w:sz="4" w:space="0" w:color="auto"/>
            </w:tcBorders>
            <w:noWrap/>
            <w:vAlign w:val="bottom"/>
            <w:hideMark/>
          </w:tcPr>
          <w:p w14:paraId="74338118"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$33,919</w:t>
            </w:r>
          </w:p>
        </w:tc>
        <w:tc>
          <w:tcPr>
            <w:tcW w:w="629" w:type="pct"/>
            <w:tcBorders>
              <w:bottom w:val="single" w:sz="4" w:space="0" w:color="auto"/>
            </w:tcBorders>
            <w:noWrap/>
            <w:vAlign w:val="bottom"/>
            <w:hideMark/>
          </w:tcPr>
          <w:p w14:paraId="76EC7757"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$34,466</w:t>
            </w:r>
          </w:p>
        </w:tc>
        <w:tc>
          <w:tcPr>
            <w:tcW w:w="679" w:type="pct"/>
            <w:tcBorders>
              <w:bottom w:val="single" w:sz="4" w:space="0" w:color="auto"/>
            </w:tcBorders>
            <w:noWrap/>
            <w:vAlign w:val="bottom"/>
            <w:hideMark/>
          </w:tcPr>
          <w:p w14:paraId="68AB4E19" w14:textId="77777777" w:rsidR="000E482F" w:rsidRPr="00880860" w:rsidRDefault="000E482F" w:rsidP="004C79C1">
            <w:pPr>
              <w:pStyle w:val="TableText0"/>
              <w:keepNext w:val="0"/>
              <w:widowControl w:val="0"/>
              <w:spacing w:before="0" w:after="120"/>
              <w:ind w:left="65"/>
              <w:jc w:val="right"/>
              <w:rPr>
                <w:szCs w:val="20"/>
              </w:rPr>
            </w:pPr>
            <w:r>
              <w:rPr>
                <w:color w:val="000000"/>
                <w:szCs w:val="20"/>
              </w:rPr>
              <w:t>$35,010</w:t>
            </w:r>
          </w:p>
        </w:tc>
      </w:tr>
      <w:tr w:rsidR="009E52C1" w:rsidRPr="00880860" w14:paraId="58DB6E34" w14:textId="77777777" w:rsidTr="009E52C1">
        <w:trPr>
          <w:trHeight w:val="255"/>
        </w:trPr>
        <w:tc>
          <w:tcPr>
            <w:tcW w:w="1727" w:type="pct"/>
            <w:tcBorders>
              <w:right w:val="nil"/>
            </w:tcBorders>
            <w:noWrap/>
            <w:hideMark/>
          </w:tcPr>
          <w:p w14:paraId="41A990B7" w14:textId="5B2EEA2A" w:rsidR="000E482F" w:rsidRPr="00880860" w:rsidRDefault="000E482F" w:rsidP="004C79C1">
            <w:pPr>
              <w:pStyle w:val="TableText0"/>
              <w:keepNext w:val="0"/>
              <w:widowControl w:val="0"/>
              <w:spacing w:before="0" w:after="120"/>
              <w:ind w:left="65"/>
              <w:rPr>
                <w:i/>
                <w:iCs/>
                <w:szCs w:val="20"/>
              </w:rPr>
            </w:pPr>
            <w:r w:rsidRPr="00880860">
              <w:rPr>
                <w:i/>
                <w:iCs/>
                <w:szCs w:val="20"/>
              </w:rPr>
              <w:t>Proportion of family members requiring</w:t>
            </w:r>
            <w:r>
              <w:rPr>
                <w:i/>
                <w:iCs/>
                <w:szCs w:val="20"/>
              </w:rPr>
              <w:t xml:space="preserve"> CMR test: 4</w:t>
            </w:r>
            <w:r w:rsidRPr="00880860">
              <w:rPr>
                <w:i/>
                <w:iCs/>
                <w:szCs w:val="20"/>
              </w:rPr>
              <w:t>0% (</w:t>
            </w:r>
            <w:r w:rsidR="00CD2385">
              <w:rPr>
                <w:i/>
                <w:iCs/>
                <w:szCs w:val="20"/>
              </w:rPr>
              <w:t>b</w:t>
            </w:r>
            <w:r w:rsidRPr="00880860">
              <w:rPr>
                <w:i/>
                <w:iCs/>
                <w:szCs w:val="20"/>
              </w:rPr>
              <w:t>ase</w:t>
            </w:r>
            <w:r w:rsidR="00CD2385">
              <w:rPr>
                <w:i/>
                <w:iCs/>
                <w:szCs w:val="20"/>
              </w:rPr>
              <w:t>-</w:t>
            </w:r>
            <w:r w:rsidRPr="00880860">
              <w:rPr>
                <w:i/>
                <w:iCs/>
                <w:szCs w:val="20"/>
              </w:rPr>
              <w:t>case: 50%)</w:t>
            </w:r>
          </w:p>
        </w:tc>
        <w:tc>
          <w:tcPr>
            <w:tcW w:w="629" w:type="pct"/>
            <w:tcBorders>
              <w:left w:val="nil"/>
              <w:right w:val="nil"/>
            </w:tcBorders>
            <w:noWrap/>
            <w:hideMark/>
          </w:tcPr>
          <w:p w14:paraId="21218EAE" w14:textId="77777777" w:rsidR="000E482F" w:rsidRPr="00880860" w:rsidRDefault="000E482F" w:rsidP="004C79C1">
            <w:pPr>
              <w:pStyle w:val="TableText0"/>
              <w:keepNext w:val="0"/>
              <w:widowControl w:val="0"/>
              <w:spacing w:before="0" w:after="120"/>
              <w:ind w:left="65"/>
              <w:jc w:val="right"/>
              <w:rPr>
                <w:i/>
                <w:iCs/>
                <w:szCs w:val="20"/>
              </w:rPr>
            </w:pPr>
          </w:p>
        </w:tc>
        <w:tc>
          <w:tcPr>
            <w:tcW w:w="708" w:type="pct"/>
            <w:tcBorders>
              <w:left w:val="nil"/>
              <w:right w:val="nil"/>
            </w:tcBorders>
            <w:noWrap/>
            <w:hideMark/>
          </w:tcPr>
          <w:p w14:paraId="1F6B66A8" w14:textId="77777777" w:rsidR="000E482F" w:rsidRPr="00880860" w:rsidRDefault="000E482F" w:rsidP="004C79C1">
            <w:pPr>
              <w:pStyle w:val="TableText0"/>
              <w:keepNext w:val="0"/>
              <w:widowControl w:val="0"/>
              <w:spacing w:before="0" w:after="120"/>
              <w:ind w:left="65"/>
              <w:jc w:val="right"/>
              <w:rPr>
                <w:szCs w:val="20"/>
              </w:rPr>
            </w:pPr>
          </w:p>
        </w:tc>
        <w:tc>
          <w:tcPr>
            <w:tcW w:w="628" w:type="pct"/>
            <w:tcBorders>
              <w:left w:val="nil"/>
              <w:right w:val="nil"/>
            </w:tcBorders>
            <w:noWrap/>
            <w:hideMark/>
          </w:tcPr>
          <w:p w14:paraId="764DEC68" w14:textId="77777777" w:rsidR="000E482F" w:rsidRPr="00880860" w:rsidRDefault="000E482F" w:rsidP="004C79C1">
            <w:pPr>
              <w:pStyle w:val="TableText0"/>
              <w:keepNext w:val="0"/>
              <w:widowControl w:val="0"/>
              <w:spacing w:before="0" w:after="120"/>
              <w:ind w:left="65"/>
              <w:jc w:val="right"/>
              <w:rPr>
                <w:szCs w:val="20"/>
              </w:rPr>
            </w:pPr>
          </w:p>
        </w:tc>
        <w:tc>
          <w:tcPr>
            <w:tcW w:w="629" w:type="pct"/>
            <w:tcBorders>
              <w:left w:val="nil"/>
              <w:right w:val="nil"/>
            </w:tcBorders>
            <w:noWrap/>
            <w:hideMark/>
          </w:tcPr>
          <w:p w14:paraId="26734685" w14:textId="77777777" w:rsidR="000E482F" w:rsidRPr="00880860" w:rsidRDefault="000E482F" w:rsidP="004C79C1">
            <w:pPr>
              <w:pStyle w:val="TableText0"/>
              <w:keepNext w:val="0"/>
              <w:widowControl w:val="0"/>
              <w:spacing w:before="0" w:after="120"/>
              <w:ind w:left="65"/>
              <w:jc w:val="right"/>
              <w:rPr>
                <w:szCs w:val="20"/>
              </w:rPr>
            </w:pPr>
          </w:p>
        </w:tc>
        <w:tc>
          <w:tcPr>
            <w:tcW w:w="679" w:type="pct"/>
            <w:tcBorders>
              <w:left w:val="nil"/>
            </w:tcBorders>
            <w:noWrap/>
            <w:hideMark/>
          </w:tcPr>
          <w:p w14:paraId="2F653628" w14:textId="77777777" w:rsidR="000E482F" w:rsidRPr="00880860" w:rsidRDefault="000E482F" w:rsidP="004C79C1">
            <w:pPr>
              <w:pStyle w:val="TableText0"/>
              <w:keepNext w:val="0"/>
              <w:widowControl w:val="0"/>
              <w:spacing w:before="0" w:after="120"/>
              <w:ind w:left="65"/>
              <w:jc w:val="right"/>
              <w:rPr>
                <w:szCs w:val="20"/>
              </w:rPr>
            </w:pPr>
          </w:p>
        </w:tc>
      </w:tr>
      <w:tr w:rsidR="009E52C1" w:rsidRPr="00880860" w14:paraId="4E4B9394" w14:textId="77777777" w:rsidTr="009E52C1">
        <w:trPr>
          <w:trHeight w:val="255"/>
        </w:trPr>
        <w:tc>
          <w:tcPr>
            <w:tcW w:w="1727" w:type="pct"/>
            <w:noWrap/>
            <w:hideMark/>
          </w:tcPr>
          <w:p w14:paraId="751F9A47" w14:textId="77777777" w:rsidR="000E482F" w:rsidRPr="00880860" w:rsidRDefault="000E482F" w:rsidP="004C79C1">
            <w:pPr>
              <w:pStyle w:val="TableText0"/>
              <w:keepNext w:val="0"/>
              <w:widowControl w:val="0"/>
              <w:spacing w:before="0" w:after="120"/>
              <w:rPr>
                <w:szCs w:val="20"/>
              </w:rPr>
            </w:pPr>
            <w:r w:rsidRPr="00880860">
              <w:rPr>
                <w:szCs w:val="20"/>
              </w:rPr>
              <w:t>Net cost of CMR to the MBS</w:t>
            </w:r>
          </w:p>
        </w:tc>
        <w:tc>
          <w:tcPr>
            <w:tcW w:w="629" w:type="pct"/>
            <w:noWrap/>
            <w:hideMark/>
          </w:tcPr>
          <w:p w14:paraId="586E8A61" w14:textId="77777777" w:rsidR="000E482F" w:rsidRPr="00880860" w:rsidRDefault="000E482F" w:rsidP="004C79C1">
            <w:pPr>
              <w:pStyle w:val="TableText0"/>
              <w:keepNext w:val="0"/>
              <w:widowControl w:val="0"/>
              <w:spacing w:before="0" w:after="120"/>
              <w:ind w:left="65"/>
              <w:jc w:val="right"/>
              <w:rPr>
                <w:szCs w:val="20"/>
              </w:rPr>
            </w:pPr>
            <w:r w:rsidRPr="002C1068">
              <w:t>$1,558,574</w:t>
            </w:r>
          </w:p>
        </w:tc>
        <w:tc>
          <w:tcPr>
            <w:tcW w:w="708" w:type="pct"/>
            <w:noWrap/>
            <w:hideMark/>
          </w:tcPr>
          <w:p w14:paraId="23BF9D5B" w14:textId="77777777" w:rsidR="000E482F" w:rsidRPr="00880860" w:rsidRDefault="000E482F" w:rsidP="004C79C1">
            <w:pPr>
              <w:pStyle w:val="TableText0"/>
              <w:keepNext w:val="0"/>
              <w:widowControl w:val="0"/>
              <w:spacing w:before="0" w:after="120"/>
              <w:ind w:left="65"/>
              <w:jc w:val="right"/>
              <w:rPr>
                <w:szCs w:val="20"/>
              </w:rPr>
            </w:pPr>
            <w:r w:rsidRPr="002C1068">
              <w:t>$1,585,143</w:t>
            </w:r>
          </w:p>
        </w:tc>
        <w:tc>
          <w:tcPr>
            <w:tcW w:w="628" w:type="pct"/>
            <w:noWrap/>
            <w:hideMark/>
          </w:tcPr>
          <w:p w14:paraId="0904780A" w14:textId="77777777" w:rsidR="000E482F" w:rsidRPr="00880860" w:rsidRDefault="000E482F" w:rsidP="004C79C1">
            <w:pPr>
              <w:pStyle w:val="TableText0"/>
              <w:keepNext w:val="0"/>
              <w:widowControl w:val="0"/>
              <w:spacing w:before="0" w:after="120"/>
              <w:ind w:left="65"/>
              <w:jc w:val="right"/>
              <w:rPr>
                <w:szCs w:val="20"/>
              </w:rPr>
            </w:pPr>
            <w:r w:rsidRPr="002C1068">
              <w:t>$1,611,497</w:t>
            </w:r>
          </w:p>
        </w:tc>
        <w:tc>
          <w:tcPr>
            <w:tcW w:w="629" w:type="pct"/>
            <w:noWrap/>
            <w:hideMark/>
          </w:tcPr>
          <w:p w14:paraId="0B7DD228" w14:textId="77777777" w:rsidR="000E482F" w:rsidRPr="00880860" w:rsidRDefault="000E482F" w:rsidP="004C79C1">
            <w:pPr>
              <w:pStyle w:val="TableText0"/>
              <w:keepNext w:val="0"/>
              <w:widowControl w:val="0"/>
              <w:spacing w:before="0" w:after="120"/>
              <w:ind w:left="65"/>
              <w:jc w:val="right"/>
              <w:rPr>
                <w:szCs w:val="20"/>
              </w:rPr>
            </w:pPr>
            <w:r w:rsidRPr="002C1068">
              <w:t>$1,637,451</w:t>
            </w:r>
          </w:p>
        </w:tc>
        <w:tc>
          <w:tcPr>
            <w:tcW w:w="679" w:type="pct"/>
            <w:noWrap/>
            <w:hideMark/>
          </w:tcPr>
          <w:p w14:paraId="74F3F6AF" w14:textId="77777777" w:rsidR="000E482F" w:rsidRPr="00880860" w:rsidRDefault="000E482F" w:rsidP="004C79C1">
            <w:pPr>
              <w:pStyle w:val="TableText0"/>
              <w:keepNext w:val="0"/>
              <w:widowControl w:val="0"/>
              <w:spacing w:before="0" w:after="120"/>
              <w:ind w:left="65"/>
              <w:jc w:val="right"/>
              <w:rPr>
                <w:szCs w:val="20"/>
              </w:rPr>
            </w:pPr>
            <w:r w:rsidRPr="002C1068">
              <w:t>$1,663,302</w:t>
            </w:r>
          </w:p>
        </w:tc>
      </w:tr>
      <w:tr w:rsidR="009E52C1" w:rsidRPr="00880860" w14:paraId="6C20F630" w14:textId="77777777" w:rsidTr="009E52C1">
        <w:trPr>
          <w:trHeight w:val="255"/>
        </w:trPr>
        <w:tc>
          <w:tcPr>
            <w:tcW w:w="1727" w:type="pct"/>
            <w:noWrap/>
            <w:hideMark/>
          </w:tcPr>
          <w:p w14:paraId="44698648" w14:textId="2DAA3884" w:rsidR="000E482F" w:rsidRPr="00880860" w:rsidRDefault="000E482F" w:rsidP="004C79C1">
            <w:pPr>
              <w:pStyle w:val="TableText0"/>
              <w:keepNext w:val="0"/>
              <w:widowControl w:val="0"/>
              <w:spacing w:before="0" w:after="120"/>
              <w:rPr>
                <w:szCs w:val="20"/>
              </w:rPr>
            </w:pPr>
            <w:r w:rsidRPr="00880860">
              <w:rPr>
                <w:szCs w:val="20"/>
              </w:rPr>
              <w:t>Net cost of CMR to patient</w:t>
            </w:r>
            <w:r w:rsidR="00CD2385">
              <w:rPr>
                <w:szCs w:val="20"/>
              </w:rPr>
              <w:t>s</w:t>
            </w:r>
          </w:p>
        </w:tc>
        <w:tc>
          <w:tcPr>
            <w:tcW w:w="629" w:type="pct"/>
            <w:noWrap/>
            <w:hideMark/>
          </w:tcPr>
          <w:p w14:paraId="1F51591E" w14:textId="77777777" w:rsidR="000E482F" w:rsidRPr="00880860" w:rsidRDefault="000E482F" w:rsidP="004C79C1">
            <w:pPr>
              <w:pStyle w:val="TableText0"/>
              <w:keepNext w:val="0"/>
              <w:widowControl w:val="0"/>
              <w:spacing w:before="0" w:after="120"/>
              <w:ind w:left="65"/>
              <w:jc w:val="right"/>
              <w:rPr>
                <w:szCs w:val="20"/>
              </w:rPr>
            </w:pPr>
            <w:r w:rsidRPr="002C1068">
              <w:t>$32,805</w:t>
            </w:r>
          </w:p>
        </w:tc>
        <w:tc>
          <w:tcPr>
            <w:tcW w:w="708" w:type="pct"/>
            <w:noWrap/>
            <w:hideMark/>
          </w:tcPr>
          <w:p w14:paraId="0ED48907" w14:textId="77777777" w:rsidR="000E482F" w:rsidRPr="00880860" w:rsidRDefault="000E482F" w:rsidP="004C79C1">
            <w:pPr>
              <w:pStyle w:val="TableText0"/>
              <w:keepNext w:val="0"/>
              <w:widowControl w:val="0"/>
              <w:spacing w:before="0" w:after="120"/>
              <w:ind w:left="65"/>
              <w:jc w:val="right"/>
              <w:rPr>
                <w:szCs w:val="20"/>
              </w:rPr>
            </w:pPr>
            <w:r w:rsidRPr="002C1068">
              <w:t>$33,365</w:t>
            </w:r>
          </w:p>
        </w:tc>
        <w:tc>
          <w:tcPr>
            <w:tcW w:w="628" w:type="pct"/>
            <w:noWrap/>
            <w:hideMark/>
          </w:tcPr>
          <w:p w14:paraId="0A997CB5" w14:textId="77777777" w:rsidR="000E482F" w:rsidRPr="00880860" w:rsidRDefault="000E482F" w:rsidP="004C79C1">
            <w:pPr>
              <w:pStyle w:val="TableText0"/>
              <w:keepNext w:val="0"/>
              <w:widowControl w:val="0"/>
              <w:spacing w:before="0" w:after="120"/>
              <w:ind w:left="65"/>
              <w:jc w:val="right"/>
              <w:rPr>
                <w:szCs w:val="20"/>
              </w:rPr>
            </w:pPr>
            <w:r w:rsidRPr="002C1068">
              <w:t>$33,919</w:t>
            </w:r>
          </w:p>
        </w:tc>
        <w:tc>
          <w:tcPr>
            <w:tcW w:w="629" w:type="pct"/>
            <w:noWrap/>
            <w:hideMark/>
          </w:tcPr>
          <w:p w14:paraId="3D51D0D8" w14:textId="77777777" w:rsidR="000E482F" w:rsidRPr="00880860" w:rsidRDefault="000E482F" w:rsidP="004C79C1">
            <w:pPr>
              <w:pStyle w:val="TableText0"/>
              <w:keepNext w:val="0"/>
              <w:widowControl w:val="0"/>
              <w:spacing w:before="0" w:after="120"/>
              <w:ind w:left="65"/>
              <w:jc w:val="right"/>
              <w:rPr>
                <w:szCs w:val="20"/>
              </w:rPr>
            </w:pPr>
            <w:r w:rsidRPr="002C1068">
              <w:t>$34,466</w:t>
            </w:r>
          </w:p>
        </w:tc>
        <w:tc>
          <w:tcPr>
            <w:tcW w:w="679" w:type="pct"/>
            <w:noWrap/>
            <w:hideMark/>
          </w:tcPr>
          <w:p w14:paraId="06C5C4F1" w14:textId="77777777" w:rsidR="000E482F" w:rsidRPr="00880860" w:rsidRDefault="000E482F" w:rsidP="004C79C1">
            <w:pPr>
              <w:pStyle w:val="TableText0"/>
              <w:keepNext w:val="0"/>
              <w:widowControl w:val="0"/>
              <w:spacing w:before="0" w:after="120"/>
              <w:ind w:left="65"/>
              <w:jc w:val="right"/>
              <w:rPr>
                <w:szCs w:val="20"/>
              </w:rPr>
            </w:pPr>
            <w:r w:rsidRPr="002C1068">
              <w:t>$35,010</w:t>
            </w:r>
          </w:p>
        </w:tc>
      </w:tr>
    </w:tbl>
    <w:p w14:paraId="479188D2" w14:textId="4DB87038" w:rsidR="000E482F" w:rsidRPr="009E52C1" w:rsidRDefault="000E482F" w:rsidP="004C79C1">
      <w:pPr>
        <w:pStyle w:val="Tablenotes0"/>
        <w:spacing w:before="0" w:after="120"/>
      </w:pPr>
      <w:r w:rsidRPr="009E52C1">
        <w:t>CMR</w:t>
      </w:r>
      <w:r w:rsidR="00CD2385">
        <w:t xml:space="preserve"> </w:t>
      </w:r>
      <w:r w:rsidRPr="009E52C1">
        <w:t>=</w:t>
      </w:r>
      <w:r w:rsidR="00CD2385">
        <w:t xml:space="preserve"> </w:t>
      </w:r>
      <w:r w:rsidRPr="009E52C1">
        <w:t xml:space="preserve">cardiac magnetic resonance </w:t>
      </w:r>
      <w:r w:rsidR="00381F2E">
        <w:t>(</w:t>
      </w:r>
      <w:r w:rsidRPr="009E52C1">
        <w:t>imaging</w:t>
      </w:r>
      <w:r w:rsidR="00381F2E">
        <w:t>)</w:t>
      </w:r>
      <w:r w:rsidRPr="009E52C1">
        <w:t>; CTCA</w:t>
      </w:r>
      <w:r w:rsidR="00CD2385">
        <w:t xml:space="preserve"> </w:t>
      </w:r>
      <w:r w:rsidRPr="009E52C1">
        <w:t>=</w:t>
      </w:r>
      <w:r w:rsidR="00CD2385">
        <w:t xml:space="preserve"> </w:t>
      </w:r>
      <w:r w:rsidRPr="009E52C1">
        <w:t>computed tomography coronary angiography; DCM = dilated cardiomyopathy</w:t>
      </w:r>
      <w:r w:rsidR="009964C9">
        <w:t>;</w:t>
      </w:r>
      <w:r w:rsidRPr="009E52C1">
        <w:t xml:space="preserve"> E</w:t>
      </w:r>
      <w:r w:rsidR="00CD2385" w:rsidRPr="00CD2385">
        <w:t>cho</w:t>
      </w:r>
      <w:r w:rsidR="00CD2385">
        <w:t xml:space="preserve"> </w:t>
      </w:r>
      <w:r w:rsidRPr="009E52C1">
        <w:t>=</w:t>
      </w:r>
      <w:r w:rsidR="00CD2385">
        <w:t xml:space="preserve"> </w:t>
      </w:r>
      <w:r w:rsidRPr="009E52C1">
        <w:t>echocardiography; MBS</w:t>
      </w:r>
      <w:r w:rsidR="00CD2385">
        <w:t xml:space="preserve"> </w:t>
      </w:r>
      <w:r w:rsidRPr="009E52C1">
        <w:t>=</w:t>
      </w:r>
      <w:r w:rsidR="00CD2385">
        <w:t xml:space="preserve"> </w:t>
      </w:r>
      <w:r w:rsidRPr="009E52C1">
        <w:t>Medicare Benefits Schedule; SPECT</w:t>
      </w:r>
      <w:r w:rsidR="00CD2385">
        <w:t xml:space="preserve"> </w:t>
      </w:r>
      <w:r w:rsidRPr="009E52C1">
        <w:t>=</w:t>
      </w:r>
      <w:r w:rsidR="00CD2385">
        <w:t xml:space="preserve"> </w:t>
      </w:r>
      <w:r w:rsidRPr="009E52C1">
        <w:t>single</w:t>
      </w:r>
      <w:r w:rsidR="00CD2385">
        <w:t>-</w:t>
      </w:r>
      <w:r w:rsidRPr="009E52C1">
        <w:t xml:space="preserve">photon emission computed tomography; </w:t>
      </w:r>
      <w:r w:rsidR="00CD2385">
        <w:t xml:space="preserve">GHPS = </w:t>
      </w:r>
      <w:r w:rsidRPr="009E52C1">
        <w:rPr>
          <w:bCs/>
        </w:rPr>
        <w:t xml:space="preserve">gated </w:t>
      </w:r>
      <w:r w:rsidR="00CD2385">
        <w:rPr>
          <w:bCs/>
        </w:rPr>
        <w:t>heart</w:t>
      </w:r>
      <w:r w:rsidR="00CD2385" w:rsidRPr="009E52C1">
        <w:rPr>
          <w:bCs/>
        </w:rPr>
        <w:t xml:space="preserve"> </w:t>
      </w:r>
      <w:r w:rsidRPr="009E52C1">
        <w:rPr>
          <w:bCs/>
        </w:rPr>
        <w:t>pool scan</w:t>
      </w:r>
    </w:p>
    <w:p w14:paraId="20FAF2A7" w14:textId="77777777" w:rsidR="0077418B" w:rsidRPr="00183E4D" w:rsidRDefault="0077418B" w:rsidP="004C79C1">
      <w:pPr>
        <w:pStyle w:val="Heading1"/>
        <w:spacing w:after="120" w:line="240" w:lineRule="auto"/>
        <w:jc w:val="both"/>
      </w:pPr>
      <w:bookmarkStart w:id="758" w:name="_Toc451501400"/>
      <w:r w:rsidRPr="00183E4D">
        <w:lastRenderedPageBreak/>
        <w:t>Section F</w:t>
      </w:r>
      <w:r w:rsidRPr="00183E4D">
        <w:tab/>
        <w:t>Other relevant considerations</w:t>
      </w:r>
      <w:bookmarkEnd w:id="655"/>
      <w:bookmarkEnd w:id="656"/>
      <w:bookmarkEnd w:id="758"/>
    </w:p>
    <w:p w14:paraId="35E7B9A1" w14:textId="350F0FBA" w:rsidR="00294EF5" w:rsidRDefault="00294EF5" w:rsidP="004C79C1">
      <w:pPr>
        <w:pStyle w:val="Heading2"/>
        <w:spacing w:before="0" w:after="120" w:line="240" w:lineRule="auto"/>
      </w:pPr>
      <w:bookmarkStart w:id="759" w:name="_Toc451501401"/>
      <w:r>
        <w:t xml:space="preserve">F1 </w:t>
      </w:r>
      <w:r w:rsidR="00511824">
        <w:tab/>
      </w:r>
      <w:r>
        <w:t>Ethical considerations</w:t>
      </w:r>
      <w:bookmarkEnd w:id="759"/>
    </w:p>
    <w:p w14:paraId="250D4A02" w14:textId="1D63E73B" w:rsidR="00294EF5" w:rsidRDefault="00294EF5" w:rsidP="004C79C1">
      <w:pPr>
        <w:spacing w:after="120" w:line="240" w:lineRule="auto"/>
        <w:jc w:val="both"/>
      </w:pPr>
      <w:r>
        <w:t xml:space="preserve">Implantable </w:t>
      </w:r>
      <w:r w:rsidR="0026063B">
        <w:t>cardioverter defibrillator</w:t>
      </w:r>
      <w:r>
        <w:t xml:space="preserve">s (ICDs) are unable to prevent death as a result of progressive </w:t>
      </w:r>
      <w:r w:rsidR="004D4AE4">
        <w:t>HF</w:t>
      </w:r>
      <w:r>
        <w:t xml:space="preserve"> or comorbid disease </w:t>
      </w:r>
      <w:r w:rsidR="00187A29">
        <w:fldChar w:fldCharType="begin"/>
      </w:r>
      <w:r w:rsidR="00187A29">
        <w:instrText xml:space="preserve"> ADDIN EN.CITE &lt;EndNote&gt;&lt;Cite&gt;&lt;Author&gt;Carlsson&lt;/Author&gt;&lt;Year&gt;2012&lt;/Year&gt;&lt;RecNum&gt;145&lt;/RecNum&gt;&lt;IDText&gt;535-41&lt;/IDText&gt;&lt;DisplayText&gt;(Carlsson et al. 2012)&lt;/DisplayText&gt;&lt;record&gt;&lt;rec-number&gt;145&lt;/rec-number&gt;&lt;foreign-keys&gt;&lt;key app="EN" db-id="pfxxvref0t0a5de2vwnv2fwkz0p9v0r2fw0t" timestamp="1458782882"&gt;145&lt;/key&gt;&lt;/foreign-keys&gt;&lt;ref-type name="Journal Article"&gt;17&lt;/ref-type&gt;&lt;contributors&gt;&lt;authors&gt;&lt;author&gt;Carlsson, J.&lt;/author&gt;&lt;author&gt;Paul, N. W.&lt;/author&gt;&lt;author&gt;Dann, M.&lt;/author&gt;&lt;author&gt;Neuzner, J.&lt;/author&gt;&lt;author&gt;Pfeiffer, D.&lt;/author&gt;&lt;/authors&gt;&lt;/contributors&gt;&lt;auth-address&gt;Department of Internal Medicine, Section of Cardiology, Kalmar County Hospital, Kalmar, Sweden. jorg.carlsson@ltkalmar.se&lt;/auth-address&gt;&lt;titles&gt;&lt;title&gt;The deactivation of implantable cardioverter-defibrillators: medical, ethical, practical, and legal considerations&lt;/title&gt;&lt;secondary-title&gt;Dtsch Arztebl Int&lt;/secondary-title&gt;&lt;/titles&gt;&lt;periodical&gt;&lt;full-title&gt;Dtsch Arztebl Int&lt;/full-title&gt;&lt;/periodical&gt;&lt;pages&gt;535-41&lt;/pages&gt;&lt;volume&gt;109&lt;/volume&gt;&lt;number&gt;33-34&lt;/number&gt;&lt;keywords&gt;&lt;keyword&gt;Aged&lt;/keyword&gt;&lt;keyword&gt;*Attitude of Health Personnel&lt;/keyword&gt;&lt;keyword&gt;Defibrillators, Implantable/*ethics&lt;/keyword&gt;&lt;keyword&gt;Fatal Outcome&lt;/keyword&gt;&lt;keyword&gt;Germany&lt;/keyword&gt;&lt;keyword&gt;Heart Failure/prevention &amp;amp; control&lt;/keyword&gt;&lt;keyword&gt;Humans&lt;/keyword&gt;&lt;keyword&gt;Male&lt;/keyword&gt;&lt;keyword&gt;Terminal Care/*ethics/*legislation &amp;amp; jurisprudence&lt;/keyword&gt;&lt;keyword&gt;Terminally Ill/*legislation &amp;amp; jurisprudence&lt;/keyword&gt;&lt;keyword&gt;Withholding Treatment/*ethics/*legislation &amp;amp; jurisprudence&lt;/keyword&gt;&lt;/keywords&gt;&lt;dates&gt;&lt;year&gt;2012&lt;/year&gt;&lt;pub-dates&gt;&lt;date&gt;Aug&lt;/date&gt;&lt;/pub-dates&gt;&lt;/dates&gt;&lt;isbn&gt;1866-0452 (Electronic)&amp;#xD;1866-0452 (Linking)&lt;/isbn&gt;&lt;accession-num&gt;23152737&lt;/accession-num&gt;&lt;urls&gt;&lt;related-urls&gt;&lt;url&gt;http://www.ncbi.nlm.nih.gov/pubmed/23152737&lt;/url&gt;&lt;url&gt;http://www.ncbi.nlm.nih.gov/pmc/articles/PMC3444849/pdf/Dtsch_Arztebl_Int-109-0535.pdf&lt;/url&gt;&lt;/related-urls&gt;&lt;/urls&gt;&lt;custom2&gt;3444849&lt;/custom2&gt;&lt;electronic-resource-num&gt;10.3238/arztebl.2012.0535&lt;/electronic-resource-num&gt;&lt;/record&gt;&lt;/Cite&gt;&lt;/EndNote&gt;</w:instrText>
      </w:r>
      <w:r w:rsidR="00187A29">
        <w:fldChar w:fldCharType="separate"/>
      </w:r>
      <w:r w:rsidR="00187A29">
        <w:rPr>
          <w:noProof/>
        </w:rPr>
        <w:t>(</w:t>
      </w:r>
      <w:hyperlink w:anchor="_ENREF_20" w:tooltip="Carlsson, 2012 #145" w:history="1">
        <w:r w:rsidR="00B906E9">
          <w:rPr>
            <w:noProof/>
          </w:rPr>
          <w:t>Carlsson et al. 2012</w:t>
        </w:r>
      </w:hyperlink>
      <w:r w:rsidR="00187A29">
        <w:rPr>
          <w:noProof/>
        </w:rPr>
        <w:t>)</w:t>
      </w:r>
      <w:r w:rsidR="00187A29">
        <w:fldChar w:fldCharType="end"/>
      </w:r>
      <w:r>
        <w:t xml:space="preserve">. Patients implanted with ICDs often have comorbid conditions and frequently experience a worsening of their condition unrelated to cardiac arrhythmias. At the end-of-life period when preventing </w:t>
      </w:r>
      <w:r w:rsidR="0056716C">
        <w:t>SCD</w:t>
      </w:r>
      <w:r>
        <w:t xml:space="preserve"> is no longer in the best interest of the patient, the issue of ICD deactivation is unavoidable </w:t>
      </w:r>
      <w:r w:rsidR="00187A29">
        <w:fldChar w:fldCharType="begin"/>
      </w:r>
      <w:r w:rsidR="00187A29">
        <w:instrText xml:space="preserve"> ADDIN EN.CITE &lt;EndNote&gt;&lt;Cite&gt;&lt;Author&gt;MacKenzie&lt;/Author&gt;&lt;Year&gt;2016&lt;/Year&gt;&lt;RecNum&gt;144&lt;/RecNum&gt;&lt;IDText&gt;8-9&lt;/IDText&gt;&lt;DisplayText&gt;(MacKenzie 2016)&lt;/DisplayText&gt;&lt;record&gt;&lt;rec-number&gt;144&lt;/rec-number&gt;&lt;foreign-keys&gt;&lt;key app="EN" db-id="pfxxvref0t0a5de2vwnv2fwkz0p9v0r2fw0t" timestamp="1458782867"&gt;144&lt;/key&gt;&lt;/foreign-keys&gt;&lt;ref-type name="Journal Article"&gt;17&lt;/ref-type&gt;&lt;contributors&gt;&lt;authors&gt;&lt;author&gt;MacKenzie, M. A.&lt;/author&gt;&lt;/authors&gt;&lt;/contributors&gt;&lt;auth-address&gt;Villanova University College of Nursing, USA Meredith.mackenzie@villanova.edu.&lt;/auth-address&gt;&lt;titles&gt;&lt;title&gt;Magical thinking around end of life: An editorial on &amp;apos;Implantable Cardioverter Defibrillator deactivation discussions: Reality vs. recommendations&amp;apos;&lt;/title&gt;&lt;secondary-title&gt;Eur J Cardiovasc Nurs&lt;/secondary-title&gt;&lt;/titles&gt;&lt;periodical&gt;&lt;full-title&gt;Eur J Cardiovasc Nurs&lt;/full-title&gt;&lt;/periodical&gt;&lt;pages&gt;8-9&lt;/pages&gt;&lt;volume&gt;15&lt;/volume&gt;&lt;number&gt;1&lt;/number&gt;&lt;dates&gt;&lt;year&gt;2016&lt;/year&gt;&lt;pub-dates&gt;&lt;date&gt;Feb&lt;/date&gt;&lt;/pub-dates&gt;&lt;/dates&gt;&lt;isbn&gt;1873-1953 (Electronic)&amp;#xD;1474-5151 (Linking)&lt;/isbn&gt;&lt;accession-num&gt;26791007&lt;/accession-num&gt;&lt;urls&gt;&lt;related-urls&gt;&lt;url&gt;http://www.ncbi.nlm.nih.gov/pubmed/26791007&lt;/url&gt;&lt;url&gt;http://cnu.sagepub.com/content/15/1/8.full.pdf&lt;/url&gt;&lt;/related-urls&gt;&lt;/urls&gt;&lt;electronic-resource-num&gt;10.1177/1474515115596097&lt;/electronic-resource-num&gt;&lt;/record&gt;&lt;/Cite&gt;&lt;/EndNote&gt;</w:instrText>
      </w:r>
      <w:r w:rsidR="00187A29">
        <w:fldChar w:fldCharType="separate"/>
      </w:r>
      <w:r w:rsidR="00187A29">
        <w:rPr>
          <w:noProof/>
        </w:rPr>
        <w:t>(</w:t>
      </w:r>
      <w:hyperlink w:anchor="_ENREF_74" w:tooltip="MacKenzie, 2016 #144" w:history="1">
        <w:r w:rsidR="00B906E9">
          <w:rPr>
            <w:noProof/>
          </w:rPr>
          <w:t>MacKenzie 2016</w:t>
        </w:r>
      </w:hyperlink>
      <w:r w:rsidR="00187A29">
        <w:rPr>
          <w:noProof/>
        </w:rPr>
        <w:t>)</w:t>
      </w:r>
      <w:r w:rsidR="00187A29">
        <w:fldChar w:fldCharType="end"/>
      </w:r>
      <w:r>
        <w:t>. In the final days leading to a patient’s death, the choice to allow the ICD to remain active or to deactivate the defibrillation function presents an ethical dilemma, not least because defibrillations may occur when they are not in accordance with palliative treatment goals at the end-phase of life. Indeed, automatic defibrillation when death is imminent is painful and distressing to the patient, and likely to be emotionally disturbing to relatives and carers. The ethical dilemma is complicated by differing beliefs about the nature of ICDs: should an ICD be considered as a treatment (similar to other mechanical medical devices such dialysis machines, ventilators etc</w:t>
      </w:r>
      <w:r w:rsidR="00AD54A8">
        <w:t>.</w:t>
      </w:r>
      <w:r>
        <w:t xml:space="preserve">) or, given the inherent nature of implanted devices, should the ICD be considered as a transplant, or more frankly as part of the patient’s body </w:t>
      </w:r>
      <w:r w:rsidR="00187A29">
        <w:fldChar w:fldCharType="begin">
          <w:fldData xml:space="preserve">PEVuZE5vdGU+PENpdGU+PEF1dGhvcj5DYXJsc3NvbjwvQXV0aG9yPjxZZWFyPjIwMTI8L1llYXI+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</w:fldData>
        </w:fldChar>
      </w:r>
      <w:r w:rsidR="00187A29">
        <w:instrText xml:space="preserve"> ADDIN EN.CITE </w:instrText>
      </w:r>
      <w:r w:rsidR="00187A29">
        <w:fldChar w:fldCharType="begin">
          <w:fldData xml:space="preserve">PEVuZE5vdGU+PENpdGU+PEF1dGhvcj5DYXJsc3NvbjwvQXV0aG9yPjxZZWFyPjIwMTI8L1llYXI+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</w:fldData>
        </w:fldChar>
      </w:r>
      <w:r w:rsidR="00187A29">
        <w:instrText xml:space="preserve"> ADDIN EN.CITE.DATA </w:instrText>
      </w:r>
      <w:r w:rsidR="00187A29">
        <w:fldChar w:fldCharType="end"/>
      </w:r>
      <w:r w:rsidR="00187A29">
        <w:fldChar w:fldCharType="separate"/>
      </w:r>
      <w:r w:rsidR="00187A29">
        <w:rPr>
          <w:noProof/>
        </w:rPr>
        <w:t>(</w:t>
      </w:r>
      <w:hyperlink w:anchor="_ENREF_20" w:tooltip="Carlsson, 2012 #145" w:history="1">
        <w:r w:rsidR="00B906E9">
          <w:rPr>
            <w:noProof/>
          </w:rPr>
          <w:t>Carlsson et al. 2012</w:t>
        </w:r>
      </w:hyperlink>
      <w:r w:rsidR="00187A29">
        <w:rPr>
          <w:noProof/>
        </w:rPr>
        <w:t xml:space="preserve">; </w:t>
      </w:r>
      <w:hyperlink w:anchor="_ENREF_37" w:tooltip="England, 2007 #146" w:history="1">
        <w:r w:rsidR="00B906E9">
          <w:rPr>
            <w:noProof/>
          </w:rPr>
          <w:t>England, England &amp; Coggon 2007</w:t>
        </w:r>
      </w:hyperlink>
      <w:r w:rsidR="00187A29">
        <w:rPr>
          <w:noProof/>
        </w:rPr>
        <w:t>)</w:t>
      </w:r>
      <w:r w:rsidR="00187A29">
        <w:fldChar w:fldCharType="end"/>
      </w:r>
      <w:r>
        <w:t>?</w:t>
      </w:r>
    </w:p>
    <w:p w14:paraId="09DCF490" w14:textId="18B206A2" w:rsidR="00294EF5" w:rsidRDefault="00294EF5" w:rsidP="004C79C1">
      <w:pPr>
        <w:spacing w:after="120" w:line="240" w:lineRule="auto"/>
        <w:jc w:val="both"/>
      </w:pPr>
      <w:r>
        <w:t xml:space="preserve">In the past, commentators on bioethical and medico-legal issues such as England and colleagues </w:t>
      </w:r>
      <w:r w:rsidR="00187A29">
        <w:fldChar w:fldCharType="begin"/>
      </w:r>
      <w:r w:rsidR="00187A29">
        <w:instrText xml:space="preserve"> ADDIN EN.CITE &lt;EndNote&gt;&lt;Cite&gt;&lt;Author&gt;England&lt;/Author&gt;&lt;Year&gt;2007&lt;/Year&gt;&lt;RecNum&gt;146&lt;/RecNum&gt;&lt;IDText&gt;538-40&lt;/IDText&gt;&lt;DisplayText&gt;(England, England &amp;amp; Coggon 2007)&lt;/DisplayText&gt;&lt;record&gt;&lt;rec-number&gt;146&lt;/rec-number&gt;&lt;foreign-keys&gt;&lt;key app="EN" db-id="pfxxvref0t0a5de2vwnv2fwkz0p9v0r2fw0t" timestamp="1458782908"&gt;146&lt;/key&gt;&lt;/foreign-keys&gt;&lt;ref-type name="Journal Article"&gt;17&lt;/ref-type&gt;&lt;contributors&gt;&lt;authors&gt;&lt;author&gt;England, R.&lt;/author&gt;&lt;author&gt;England, T.&lt;/author&gt;&lt;author&gt;Coggon, J.&lt;/author&gt;&lt;/authors&gt;&lt;/contributors&gt;&lt;auth-address&gt;John Eastwood Hospice, Sutton-in-Ashfield, Nottinghamshire, UK.&lt;/auth-address&gt;&lt;titles&gt;&lt;title&gt;The ethical and legal implications of deactivating an implantable cardioverter-defibrillator in a patient with terminal cancer&lt;/title&gt;&lt;secondary-title&gt;J Med Ethics&lt;/secondary-title&gt;&lt;/titles&gt;&lt;periodical&gt;&lt;full-title&gt;J Med Ethics&lt;/full-title&gt;&lt;/periodical&gt;&lt;pages&gt;538-40&lt;/pages&gt;&lt;volume&gt;33&lt;/volume&gt;&lt;number&gt;9&lt;/number&gt;&lt;keywords&gt;&lt;keyword&gt;Defibrillators, Implantable/*ethics&lt;/keyword&gt;&lt;keyword&gt;Ethics, Clinical&lt;/keyword&gt;&lt;keyword&gt;Humans&lt;/keyword&gt;&lt;keyword&gt;*Neoplasms&lt;/keyword&gt;&lt;keyword&gt;Terminal Care/*ethics/legislation &amp;amp; jurisprudence&lt;/keyword&gt;&lt;keyword&gt;Terminally Ill/legislation &amp;amp; jurisprudence&lt;/keyword&gt;&lt;keyword&gt;Withholding Treatment/*ethics&lt;/keyword&gt;&lt;/keywords&gt;&lt;dates&gt;&lt;year&gt;2007&lt;/year&gt;&lt;pub-dates&gt;&lt;date&gt;Sep&lt;/date&gt;&lt;/pub-dates&gt;&lt;/dates&gt;&lt;isbn&gt;0306-6800 (Print)&amp;#xD;0306-6800 (Linking)&lt;/isbn&gt;&lt;accession-num&gt;17761824&lt;/accession-num&gt;&lt;urls&gt;&lt;related-urls&gt;&lt;url&gt;http://www.ncbi.nlm.nih.gov/pubmed/17761824&lt;/url&gt;&lt;url&gt;http://www.ncbi.nlm.nih.gov/pmc/articles/PMC2598190/pdf/538.pdf&lt;/url&gt;&lt;/related-urls&gt;&lt;/urls&gt;&lt;custom2&gt;2598190&lt;/custom2&gt;&lt;electronic-resource-num&gt;10.1136/jme.2006.017657&lt;/electronic-resource-num&gt;&lt;/record&gt;&lt;/Cite&gt;&lt;/EndNote&gt;</w:instrText>
      </w:r>
      <w:r w:rsidR="00187A29">
        <w:fldChar w:fldCharType="separate"/>
      </w:r>
      <w:r w:rsidR="00187A29">
        <w:rPr>
          <w:noProof/>
        </w:rPr>
        <w:t>(</w:t>
      </w:r>
      <w:hyperlink w:anchor="_ENREF_37" w:tooltip="England, 2007 #146" w:history="1">
        <w:r w:rsidR="00B906E9">
          <w:rPr>
            <w:noProof/>
          </w:rPr>
          <w:t>England, England &amp; Coggon 2007</w:t>
        </w:r>
      </w:hyperlink>
      <w:r w:rsidR="00187A29">
        <w:rPr>
          <w:noProof/>
        </w:rPr>
        <w:t>)</w:t>
      </w:r>
      <w:r w:rsidR="00187A29">
        <w:fldChar w:fldCharType="end"/>
      </w:r>
      <w:r>
        <w:t xml:space="preserve"> have argued for the middle ground, considering ICDs as </w:t>
      </w:r>
      <w:r w:rsidR="006F687B">
        <w:t>‘</w:t>
      </w:r>
      <w:r>
        <w:t>integral devices</w:t>
      </w:r>
      <w:r w:rsidR="006F687B">
        <w:t>’</w:t>
      </w:r>
      <w:r>
        <w:t>. It is proposed that this avoids the problematic treatment/non-treatment dichotomy. To illustrate simplistically, take as a general example the doctor who decides to discontinue treating a patient with an intravenous drug on the grounds of futility</w:t>
      </w:r>
      <w:r w:rsidR="00BA28D1">
        <w:t>;</w:t>
      </w:r>
      <w:r>
        <w:t xml:space="preserve"> </w:t>
      </w:r>
      <w:r w:rsidR="006F687B">
        <w:t>that is</w:t>
      </w:r>
      <w:r w:rsidR="00BA28D1">
        <w:t>,</w:t>
      </w:r>
      <w:r>
        <w:t xml:space="preserve"> the drug no longer offers any medical benefit to the patient. This is both a legally and ethically defensible course of medical action, as no patient has the right to demand treatment that is clearly without medical benefit and</w:t>
      </w:r>
      <w:r w:rsidR="00B65B53">
        <w:t>,</w:t>
      </w:r>
      <w:r>
        <w:t xml:space="preserve"> indeed, a doctor who provides continued treatment under conditions of futility would be practising outside the scope of care. On the other hand</w:t>
      </w:r>
      <w:r w:rsidR="00B65B53">
        <w:t>,</w:t>
      </w:r>
      <w:r>
        <w:t xml:space="preserve"> pragmatic, common-sense considerations aside</w:t>
      </w:r>
      <w:r w:rsidR="00B65B53">
        <w:t>,</w:t>
      </w:r>
      <w:r>
        <w:t xml:space="preserve"> it would be both legally and ethically indefensible for a doctor to remove an implanted kidney, hip replacement or arterial stent from a patient under any circumstances.</w:t>
      </w:r>
    </w:p>
    <w:p w14:paraId="7C9EF6E0" w14:textId="4969D53F" w:rsidR="00294EF5" w:rsidRDefault="00294EF5" w:rsidP="004C79C1">
      <w:pPr>
        <w:spacing w:after="120" w:line="240" w:lineRule="auto"/>
        <w:jc w:val="both"/>
      </w:pPr>
      <w:r>
        <w:t xml:space="preserve">The problem with the treatment/non-treatment dichotomy as applied to ICD deactivation is essentially two-fold. If an ICD is considered to be a continuing medical intervention/treatment, this permits </w:t>
      </w:r>
      <w:r w:rsidR="00D655B3">
        <w:t>‘</w:t>
      </w:r>
      <w:r>
        <w:t>a unilateral decision by a doctor to deactivate the device, even if this is contrary to the patient’s wish (on grounds of futility). It also requires deactivation at the patient’s insistence (on grounds of autonomy), even if the doctor disagrees with the wisdom of the decision</w:t>
      </w:r>
      <w:r w:rsidR="00D655B3">
        <w:t>’</w:t>
      </w:r>
      <w:r>
        <w:t xml:space="preserve">. Conversely, if an ICD </w:t>
      </w:r>
      <w:r w:rsidR="00D655B3">
        <w:t>‘</w:t>
      </w:r>
      <w:r>
        <w:t>is deemed to be equivalent to a part of the patient’s body, there will be circumstances in which a doctor will not lawfully be able to deactivate the device, even if it has a negative effect on the patient’s quality of life and the patient consents</w:t>
      </w:r>
      <w:r w:rsidR="00D655B3">
        <w:t>’</w:t>
      </w:r>
      <w:r>
        <w:t xml:space="preserve"> </w:t>
      </w:r>
      <w:r w:rsidR="00187A29">
        <w:fldChar w:fldCharType="begin"/>
      </w:r>
      <w:r w:rsidR="00187A29">
        <w:instrText xml:space="preserve"> ADDIN EN.CITE &lt;EndNote&gt;&lt;Cite&gt;&lt;Author&gt;England&lt;/Author&gt;&lt;Year&gt;2007&lt;/Year&gt;&lt;RecNum&gt;146&lt;/RecNum&gt;&lt;IDText&gt;538-40&lt;/IDText&gt;&lt;DisplayText&gt;(England, England &amp;amp; Coggon 2007)&lt;/DisplayText&gt;&lt;record&gt;&lt;rec-number&gt;146&lt;/rec-number&gt;&lt;foreign-keys&gt;&lt;key app="EN" db-id="pfxxvref0t0a5de2vwnv2fwkz0p9v0r2fw0t" timestamp="1458782908"&gt;146&lt;/key&gt;&lt;/foreign-keys&gt;&lt;ref-type name="Journal Article"&gt;17&lt;/ref-type&gt;&lt;contributors&gt;&lt;authors&gt;&lt;author&gt;England, R.&lt;/author&gt;&lt;author&gt;England, T.&lt;/author&gt;&lt;author&gt;Coggon, J.&lt;/author&gt;&lt;/authors&gt;&lt;/contributors&gt;&lt;auth-address&gt;John Eastwood Hospice, Sutton-in-Ashfield, Nottinghamshire, UK.&lt;/auth-address&gt;&lt;titles&gt;&lt;title&gt;The ethical and legal implications of deactivating an implantable cardioverter-defibrillator in a patient with terminal cancer&lt;/title&gt;&lt;secondary-title&gt;J Med Ethics&lt;/secondary-title&gt;&lt;/titles&gt;&lt;periodical&gt;&lt;full-title&gt;J Med Ethics&lt;/full-title&gt;&lt;/periodical&gt;&lt;pages&gt;538-40&lt;/pages&gt;&lt;volume&gt;33&lt;/volume&gt;&lt;number&gt;9&lt;/number&gt;&lt;keywords&gt;&lt;keyword&gt;Defibrillators, Implantable/*ethics&lt;/keyword&gt;&lt;keyword&gt;Ethics, Clinical&lt;/keyword&gt;&lt;keyword&gt;Humans&lt;/keyword&gt;&lt;keyword&gt;*Neoplasms&lt;/keyword&gt;&lt;keyword&gt;Terminal Care/*ethics/legislation &amp;amp; jurisprudence&lt;/keyword&gt;&lt;keyword&gt;Terminally Ill/legislation &amp;amp; jurisprudence&lt;/keyword&gt;&lt;keyword&gt;Withholding Treatment/*ethics&lt;/keyword&gt;&lt;/keywords&gt;&lt;dates&gt;&lt;year&gt;2007&lt;/year&gt;&lt;pub-dates&gt;&lt;date&gt;Sep&lt;/date&gt;&lt;/pub-dates&gt;&lt;/dates&gt;&lt;isbn&gt;0306-6800 (Print)&amp;#xD;0306-6800 (Linking)&lt;/isbn&gt;&lt;accession-num&gt;17761824&lt;/accession-num&gt;&lt;urls&gt;&lt;related-urls&gt;&lt;url&gt;http://www.ncbi.nlm.nih.gov/pubmed/17761824&lt;/url&gt;&lt;url&gt;http://www.ncbi.nlm.nih.gov/pmc/articles/PMC2598190/pdf/538.pdf&lt;/url&gt;&lt;/related-urls&gt;&lt;/urls&gt;&lt;custom2&gt;2598190&lt;/custom2&gt;&lt;electronic-resource-num&gt;10.1136/jme.2006.017657&lt;/electronic-resource-num&gt;&lt;/record&gt;&lt;/Cite&gt;&lt;/EndNote&gt;</w:instrText>
      </w:r>
      <w:r w:rsidR="00187A29">
        <w:fldChar w:fldCharType="separate"/>
      </w:r>
      <w:r w:rsidR="00187A29">
        <w:rPr>
          <w:noProof/>
        </w:rPr>
        <w:t>(</w:t>
      </w:r>
      <w:hyperlink w:anchor="_ENREF_37" w:tooltip="England, 2007 #146" w:history="1">
        <w:r w:rsidR="00B906E9">
          <w:rPr>
            <w:noProof/>
          </w:rPr>
          <w:t>England, England &amp; Coggon 2007</w:t>
        </w:r>
      </w:hyperlink>
      <w:r w:rsidR="00187A29">
        <w:rPr>
          <w:noProof/>
        </w:rPr>
        <w:t>)</w:t>
      </w:r>
      <w:r w:rsidR="00187A29">
        <w:fldChar w:fldCharType="end"/>
      </w:r>
      <w:r>
        <w:t xml:space="preserve">. Clearly, </w:t>
      </w:r>
      <w:r w:rsidR="00D655B3">
        <w:t xml:space="preserve">the </w:t>
      </w:r>
      <w:r>
        <w:t>dichotomous concepts of an ICD as simply a treatment or</w:t>
      </w:r>
      <w:r w:rsidR="00A21725">
        <w:t>,</w:t>
      </w:r>
      <w:r>
        <w:t xml:space="preserve"> alternatively</w:t>
      </w:r>
      <w:r w:rsidR="00A21725">
        <w:t>,</w:t>
      </w:r>
      <w:r>
        <w:t xml:space="preserve"> assuming a status equivalent to a biological transplant (i.e. part of the patient’s body) are of limited utility in the decision on whether and when to deactivate a patient’s ICD. By defining an ICD as an integral device, England et al</w:t>
      </w:r>
      <w:r w:rsidR="00D912A5">
        <w:t>.</w:t>
      </w:r>
      <w:r>
        <w:t xml:space="preserve"> suggest that the patient maintains a stronger autonomy than </w:t>
      </w:r>
      <w:r w:rsidR="00A21725">
        <w:t>they</w:t>
      </w:r>
      <w:r>
        <w:t xml:space="preserve"> would with external mechanical devices, thus protecting the patient from unilateral, physician-led deactivation on the grounds of benevolent paternalism. At the same time, because an integral device is not actually part of the body, this affords the patient the right to mandate ICD deactivation, even against medical advice, similar to an advance refusal of external defibrillation or resuscitation </w:t>
      </w:r>
      <w:r w:rsidR="00187A29">
        <w:fldChar w:fldCharType="begin"/>
      </w:r>
      <w:r w:rsidR="00187A29">
        <w:instrText xml:space="preserve"> ADDIN EN.CITE &lt;EndNote&gt;&lt;Cite&gt;&lt;Author&gt;England&lt;/Author&gt;&lt;Year&gt;2007&lt;/Year&gt;&lt;RecNum&gt;146&lt;/RecNum&gt;&lt;IDText&gt;538-40&lt;/IDText&gt;&lt;DisplayText&gt;(England, England &amp;amp; Coggon 2007)&lt;/DisplayText&gt;&lt;record&gt;&lt;rec-number&gt;146&lt;/rec-number&gt;&lt;foreign-keys&gt;&lt;key app="EN" db-id="pfxxvref0t0a5de2vwnv2fwkz0p9v0r2fw0t" timestamp="1458782908"&gt;146&lt;/key&gt;&lt;/foreign-keys&gt;&lt;ref-type name="Journal Article"&gt;17&lt;/ref-type&gt;&lt;contributors&gt;&lt;authors&gt;&lt;author&gt;England, R.&lt;/author&gt;&lt;author&gt;England, T.&lt;/author&gt;&lt;author&gt;Coggon, J.&lt;/author&gt;&lt;/authors&gt;&lt;/contributors&gt;&lt;auth-address&gt;John Eastwood Hospice, Sutton-in-Ashfield, Nottinghamshire, UK.&lt;/auth-address&gt;&lt;titles&gt;&lt;title&gt;The ethical and legal implications of deactivating an implantable cardioverter-defibrillator in a patient with terminal cancer&lt;/title&gt;&lt;secondary-title&gt;J Med Ethics&lt;/secondary-title&gt;&lt;/titles&gt;&lt;periodical&gt;&lt;full-title&gt;J Med Ethics&lt;/full-title&gt;&lt;/periodical&gt;&lt;pages&gt;538-40&lt;/pages&gt;&lt;volume&gt;33&lt;/volume&gt;&lt;number&gt;9&lt;/number&gt;&lt;keywords&gt;&lt;keyword&gt;Defibrillators, Implantable/*ethics&lt;/keyword&gt;&lt;keyword&gt;Ethics, Clinical&lt;/keyword&gt;&lt;keyword&gt;Humans&lt;/keyword&gt;&lt;keyword&gt;*Neoplasms&lt;/keyword&gt;&lt;keyword&gt;Terminal Care/*ethics/legislation &amp;amp; jurisprudence&lt;/keyword&gt;&lt;keyword&gt;Terminally Ill/legislation &amp;amp; jurisprudence&lt;/keyword&gt;&lt;keyword&gt;Withholding Treatment/*ethics&lt;/keyword&gt;&lt;/keywords&gt;&lt;dates&gt;&lt;year&gt;2007&lt;/year&gt;&lt;pub-dates&gt;&lt;date&gt;Sep&lt;/date&gt;&lt;/pub-dates&gt;&lt;/dates&gt;&lt;isbn&gt;0306-6800 (Print)&amp;#xD;0306-6800 (Linking)&lt;/isbn&gt;&lt;accession-num&gt;17761824&lt;/accession-num&gt;&lt;urls&gt;&lt;related-urls&gt;&lt;url&gt;http://www.ncbi.nlm.nih.gov/pubmed/17761824&lt;/url&gt;&lt;url&gt;http://www.ncbi.nlm.nih.gov/pmc/articles/PMC2598190/pdf/538.pdf&lt;/url&gt;&lt;/related-urls&gt;&lt;/urls&gt;&lt;custom2&gt;2598190&lt;/custom2&gt;&lt;electronic-resource-num&gt;10.1136/jme.2006.017657&lt;/electronic-resource-num&gt;&lt;/record&gt;&lt;/Cite&gt;&lt;/EndNote&gt;</w:instrText>
      </w:r>
      <w:r w:rsidR="00187A29">
        <w:fldChar w:fldCharType="separate"/>
      </w:r>
      <w:r w:rsidR="00187A29">
        <w:rPr>
          <w:noProof/>
        </w:rPr>
        <w:t>(</w:t>
      </w:r>
      <w:hyperlink w:anchor="_ENREF_37" w:tooltip="England, 2007 #146" w:history="1">
        <w:r w:rsidR="00B906E9">
          <w:rPr>
            <w:noProof/>
          </w:rPr>
          <w:t>England, England &amp; Coggon 2007</w:t>
        </w:r>
      </w:hyperlink>
      <w:r w:rsidR="00187A29">
        <w:rPr>
          <w:noProof/>
        </w:rPr>
        <w:t>)</w:t>
      </w:r>
      <w:r w:rsidR="00187A29">
        <w:fldChar w:fldCharType="end"/>
      </w:r>
      <w:r>
        <w:t>.</w:t>
      </w:r>
    </w:p>
    <w:p w14:paraId="7971E2E9" w14:textId="22260792" w:rsidR="00294EF5" w:rsidRDefault="00294EF5" w:rsidP="004C79C1">
      <w:pPr>
        <w:spacing w:after="120" w:line="240" w:lineRule="auto"/>
        <w:jc w:val="both"/>
      </w:pPr>
      <w:r>
        <w:t xml:space="preserve">The discussion provided by Carlsson and colleagues highlights that introduction of the </w:t>
      </w:r>
      <w:r w:rsidR="00527300">
        <w:t>‘</w:t>
      </w:r>
      <w:r>
        <w:t>integral device</w:t>
      </w:r>
      <w:r w:rsidR="00527300">
        <w:t>’</w:t>
      </w:r>
      <w:r>
        <w:t xml:space="preserve"> terminology has not, unfortunately, led to spontaneously improved clarity in ethical decision-</w:t>
      </w:r>
      <w:r>
        <w:lastRenderedPageBreak/>
        <w:t xml:space="preserve">making around the deactivation of ICDs among patients at the end-of-life phase. In turn, the terms </w:t>
      </w:r>
      <w:r w:rsidR="00527300">
        <w:t>‘</w:t>
      </w:r>
      <w:r>
        <w:t>replacement therapy</w:t>
      </w:r>
      <w:r w:rsidR="00527300">
        <w:t>’</w:t>
      </w:r>
      <w:r>
        <w:t xml:space="preserve"> and </w:t>
      </w:r>
      <w:r w:rsidR="00527300">
        <w:t>‘</w:t>
      </w:r>
      <w:r>
        <w:t>substitution therapy</w:t>
      </w:r>
      <w:r w:rsidR="00527300">
        <w:t>’</w:t>
      </w:r>
      <w:r>
        <w:t xml:space="preserve"> have been proposed. Replacement therapy refers to an intervention that functions as part of the body and completely replaces physiological function. An intervention classified as </w:t>
      </w:r>
      <w:r w:rsidR="00527300">
        <w:t>‘</w:t>
      </w:r>
      <w:r>
        <w:t>substitutive</w:t>
      </w:r>
      <w:r w:rsidR="00527300">
        <w:t>’</w:t>
      </w:r>
      <w:r>
        <w:t xml:space="preserve"> is defined as having not become part of the body and technically excludes implanted devices </w:t>
      </w:r>
      <w:r w:rsidR="00A96C13">
        <w:t xml:space="preserve">such as </w:t>
      </w:r>
      <w:r>
        <w:t xml:space="preserve">pacemakers or ICDs. However, discussion of whether ICDs should be classified as substitutive or replacement therapy is still ongoing in the literature. Some medical ethicists contend that only the patient’s wishes should provide the basis for judging whether it is appropriate to deactivate an ICD, not a constructed distinction between forms of therapy </w:t>
      </w:r>
      <w:r w:rsidR="00187A29">
        <w:fldChar w:fldCharType="begin"/>
      </w:r>
      <w:r w:rsidR="00187A29">
        <w:instrText xml:space="preserve"> ADDIN EN.CITE &lt;EndNote&gt;&lt;Cite&gt;&lt;Author&gt;Kay&lt;/Author&gt;&lt;Year&gt;2009&lt;/Year&gt;&lt;RecNum&gt;147&lt;/RecNum&gt;&lt;IDText&gt;336-9; discussion 339&lt;/IDText&gt;&lt;DisplayText&gt;(Kay &amp;amp; Bittner 2009)&lt;/DisplayText&gt;&lt;record&gt;&lt;rec-number&gt;147&lt;/rec-number&gt;&lt;foreign-keys&gt;&lt;key app="EN" db-id="pfxxvref0t0a5de2vwnv2fwkz0p9v0r2fw0t" timestamp="1458782929"&gt;147&lt;/key&gt;&lt;/foreign-keys&gt;&lt;ref-type name="Journal Article"&gt;17&lt;/ref-type&gt;&lt;contributors&gt;&lt;authors&gt;&lt;author&gt;Kay, G. N.&lt;/author&gt;&lt;author&gt;Bittner, G. T.&lt;/author&gt;&lt;/authors&gt;&lt;/contributors&gt;&lt;auth-address&gt;Division of Cardiovascular Disease, Department of Medicine, University of Alabama at Birmingham, Birmingham, AL 35223, USA. Nealkay@UAB.EDU&lt;/auth-address&gt;&lt;titles&gt;&lt;title&gt;Should implantable cardioverter-defibrillators and permanent pacemakers in patients with terminal illness be deactivated? Deactivating implantable cardioverter-defibrillators and permanent pacemakers in patients with terminal illness. An ethical distinction&lt;/title&gt;&lt;secondary-title&gt;Circ Arrhythm Electrophysiol&lt;/secondary-title&gt;&lt;/titles&gt;&lt;periodical&gt;&lt;full-title&gt;Circ Arrhythm Electrophysiol&lt;/full-title&gt;&lt;/periodical&gt;&lt;pages&gt;336-9; discussion 339&lt;/pages&gt;&lt;volume&gt;2&lt;/volume&gt;&lt;number&gt;3&lt;/number&gt;&lt;edition&gt;2009/10/08&lt;/edition&gt;&lt;keywords&gt;&lt;keyword&gt;Defibrillators, Implantable&lt;/keyword&gt;&lt;keyword&gt;Ethics, Medical&lt;/keyword&gt;&lt;keyword&gt;Humans&lt;/keyword&gt;&lt;keyword&gt;Pacemaker, Artificial&lt;/keyword&gt;&lt;keyword&gt;Terminal Care/ ethics/methods&lt;/keyword&gt;&lt;keyword&gt;Withholding Treatment/ ethics&lt;/keyword&gt;&lt;/keywords&gt;&lt;dates&gt;&lt;year&gt;2009&lt;/year&gt;&lt;pub-dates&gt;&lt;date&gt;Jun&lt;/date&gt;&lt;/pub-dates&gt;&lt;/dates&gt;&lt;isbn&gt;1941-3084 (Electronic)&amp;#xD;1941-3084 (Linking)&lt;/isbn&gt;&lt;accession-num&gt;19808484&lt;/accession-num&gt;&lt;urls&gt;&lt;related-urls&gt;&lt;url&gt;http://circep.ahajournals.org/content/2/3/336.full.pdf&lt;/url&gt;&lt;/related-urls&gt;&lt;/urls&gt;&lt;electronic-resource-num&gt;10.1161/circep.108.821975&lt;/electronic-resource-num&gt;&lt;remote-database-provider&gt;NLM&lt;/remote-database-provider&gt;&lt;language&gt;eng&lt;/language&gt;&lt;/record&gt;&lt;/Cite&gt;&lt;/EndNote&gt;</w:instrText>
      </w:r>
      <w:r w:rsidR="00187A29">
        <w:fldChar w:fldCharType="separate"/>
      </w:r>
      <w:r w:rsidR="00187A29">
        <w:rPr>
          <w:noProof/>
        </w:rPr>
        <w:t>(</w:t>
      </w:r>
      <w:hyperlink w:anchor="_ENREF_58" w:tooltip="Kay, 2009 #147" w:history="1">
        <w:r w:rsidR="00B906E9">
          <w:rPr>
            <w:noProof/>
          </w:rPr>
          <w:t>Kay &amp; Bittner 2009</w:t>
        </w:r>
      </w:hyperlink>
      <w:r w:rsidR="00187A29">
        <w:rPr>
          <w:noProof/>
        </w:rPr>
        <w:t>)</w:t>
      </w:r>
      <w:r w:rsidR="00187A29">
        <w:fldChar w:fldCharType="end"/>
      </w:r>
      <w:r>
        <w:t xml:space="preserve">. This is countered by objections to the idealised concept of patient autonomy, which in real life rarely holds true and is supported only from an individualistic viewpoint </w:t>
      </w:r>
      <w:r w:rsidR="00A96C13">
        <w:t xml:space="preserve">that </w:t>
      </w:r>
      <w:r>
        <w:t>does not sufficiently take into account other persons of significance. Further, idealised patient autonomy overlooks the fact that the patient making the decisions is dependent on</w:t>
      </w:r>
      <w:r w:rsidR="001725E9">
        <w:t xml:space="preserve"> </w:t>
      </w:r>
      <w:r w:rsidR="00CB3F09">
        <w:t>their</w:t>
      </w:r>
      <w:r>
        <w:t xml:space="preserve"> body in a specific way (the concept of embodiment)</w:t>
      </w:r>
      <w:r w:rsidR="0033767D">
        <w:t>,</w:t>
      </w:r>
      <w:r>
        <w:t xml:space="preserve"> </w:t>
      </w:r>
      <w:r w:rsidR="0033767D">
        <w:t>g</w:t>
      </w:r>
      <w:r>
        <w:t xml:space="preserve">iven that a patient may arrive at the view that the device is part of </w:t>
      </w:r>
      <w:r w:rsidR="00CB3F09">
        <w:t>their</w:t>
      </w:r>
      <w:r>
        <w:t xml:space="preserve"> body, and by extension part of the self, thereby preventing truly rational decision-making </w:t>
      </w:r>
      <w:r w:rsidR="00187A29">
        <w:fldChar w:fldCharType="begin"/>
      </w:r>
      <w:r w:rsidR="00187A29">
        <w:instrText xml:space="preserve"> ADDIN EN.CITE &lt;EndNote&gt;&lt;Cite&gt;&lt;Author&gt;Carlsson&lt;/Author&gt;&lt;Year&gt;2012&lt;/Year&gt;&lt;RecNum&gt;145&lt;/RecNum&gt;&lt;IDText&gt;535-41&lt;/IDText&gt;&lt;DisplayText&gt;(Carlsson et al. 2012)&lt;/DisplayText&gt;&lt;record&gt;&lt;rec-number&gt;145&lt;/rec-number&gt;&lt;foreign-keys&gt;&lt;key app="EN" db-id="pfxxvref0t0a5de2vwnv2fwkz0p9v0r2fw0t" timestamp="1458782882"&gt;145&lt;/key&gt;&lt;/foreign-keys&gt;&lt;ref-type name="Journal Article"&gt;17&lt;/ref-type&gt;&lt;contributors&gt;&lt;authors&gt;&lt;author&gt;Carlsson, J.&lt;/author&gt;&lt;author&gt;Paul, N. W.&lt;/author&gt;&lt;author&gt;Dann, M.&lt;/author&gt;&lt;author&gt;Neuzner, J.&lt;/author&gt;&lt;author&gt;Pfeiffer, D.&lt;/author&gt;&lt;/authors&gt;&lt;/contributors&gt;&lt;auth-address&gt;Department of Internal Medicine, Section of Cardiology, Kalmar County Hospital, Kalmar, Sweden. jorg.carlsson@ltkalmar.se&lt;/auth-address&gt;&lt;titles&gt;&lt;title&gt;The deactivation of implantable cardioverter-defibrillators: medical, ethical, practical, and legal considerations&lt;/title&gt;&lt;secondary-title&gt;Dtsch Arztebl Int&lt;/secondary-title&gt;&lt;/titles&gt;&lt;periodical&gt;&lt;full-title&gt;Dtsch Arztebl Int&lt;/full-title&gt;&lt;/periodical&gt;&lt;pages&gt;535-41&lt;/pages&gt;&lt;volume&gt;109&lt;/volume&gt;&lt;number&gt;33-34&lt;/number&gt;&lt;keywords&gt;&lt;keyword&gt;Aged&lt;/keyword&gt;&lt;keyword&gt;*Attitude of Health Personnel&lt;/keyword&gt;&lt;keyword&gt;Defibrillators, Implantable/*ethics&lt;/keyword&gt;&lt;keyword&gt;Fatal Outcome&lt;/keyword&gt;&lt;keyword&gt;Germany&lt;/keyword&gt;&lt;keyword&gt;Heart Failure/prevention &amp;amp; control&lt;/keyword&gt;&lt;keyword&gt;Humans&lt;/keyword&gt;&lt;keyword&gt;Male&lt;/keyword&gt;&lt;keyword&gt;Terminal Care/*ethics/*legislation &amp;amp; jurisprudence&lt;/keyword&gt;&lt;keyword&gt;Terminally Ill/*legislation &amp;amp; jurisprudence&lt;/keyword&gt;&lt;keyword&gt;Withholding Treatment/*ethics/*legislation &amp;amp; jurisprudence&lt;/keyword&gt;&lt;/keywords&gt;&lt;dates&gt;&lt;year&gt;2012&lt;/year&gt;&lt;pub-dates&gt;&lt;date&gt;Aug&lt;/date&gt;&lt;/pub-dates&gt;&lt;/dates&gt;&lt;isbn&gt;1866-0452 (Electronic)&amp;#xD;1866-0452 (Linking)&lt;/isbn&gt;&lt;accession-num&gt;23152737&lt;/accession-num&gt;&lt;urls&gt;&lt;related-urls&gt;&lt;url&gt;http://www.ncbi.nlm.nih.gov/pubmed/23152737&lt;/url&gt;&lt;url&gt;http://www.ncbi.nlm.nih.gov/pmc/articles/PMC3444849/pdf/Dtsch_Arztebl_Int-109-0535.pdf&lt;/url&gt;&lt;/related-urls&gt;&lt;/urls&gt;&lt;custom2&gt;3444849&lt;/custom2&gt;&lt;electronic-resource-num&gt;10.3238/arztebl.2012.0535&lt;/electronic-resource-num&gt;&lt;/record&gt;&lt;/Cite&gt;&lt;/EndNote&gt;</w:instrText>
      </w:r>
      <w:r w:rsidR="00187A29">
        <w:fldChar w:fldCharType="separate"/>
      </w:r>
      <w:r w:rsidR="00187A29">
        <w:rPr>
          <w:noProof/>
        </w:rPr>
        <w:t>(</w:t>
      </w:r>
      <w:hyperlink w:anchor="_ENREF_20" w:tooltip="Carlsson, 2012 #145" w:history="1">
        <w:r w:rsidR="00B906E9">
          <w:rPr>
            <w:noProof/>
          </w:rPr>
          <w:t>Carlsson et al. 2012</w:t>
        </w:r>
      </w:hyperlink>
      <w:r w:rsidR="00187A29">
        <w:rPr>
          <w:noProof/>
        </w:rPr>
        <w:t>)</w:t>
      </w:r>
      <w:r w:rsidR="00187A29">
        <w:fldChar w:fldCharType="end"/>
      </w:r>
      <w:r>
        <w:t>.</w:t>
      </w:r>
    </w:p>
    <w:p w14:paraId="211B0872" w14:textId="382434CB" w:rsidR="00294EF5" w:rsidRDefault="00294EF5" w:rsidP="004C79C1">
      <w:pPr>
        <w:spacing w:after="120" w:line="240" w:lineRule="auto"/>
        <w:jc w:val="both"/>
      </w:pPr>
      <w:r>
        <w:t>From this point in the discussion it should be possible to appreciate that the ethical dilemma presented by ICD deactivation at end-of-life is complex. Within the scope of this report, it is neither practical nor necessarily useful to provide an exhaustive exegesis of the volume of literature on the topic. There are many possible individualised answers as to the course of action that could be undertaken in response to the dilemma depending</w:t>
      </w:r>
      <w:r w:rsidR="00B74C49">
        <w:t>,</w:t>
      </w:r>
      <w:r>
        <w:t xml:space="preserve"> in particular, on socially and culturally derived values of patients and healthcare professionals </w:t>
      </w:r>
      <w:r w:rsidR="00187A29">
        <w:fldChar w:fldCharType="begin"/>
      </w:r>
      <w:r w:rsidR="00187A29">
        <w:instrText xml:space="preserve"> ADDIN EN.CITE &lt;EndNote&gt;&lt;Cite&gt;&lt;Author&gt;Carlsson&lt;/Author&gt;&lt;Year&gt;2012&lt;/Year&gt;&lt;RecNum&gt;145&lt;/RecNum&gt;&lt;IDText&gt;535-41&lt;/IDText&gt;&lt;DisplayText&gt;(Carlsson et al. 2012)&lt;/DisplayText&gt;&lt;record&gt;&lt;rec-number&gt;145&lt;/rec-number&gt;&lt;foreign-keys&gt;&lt;key app="EN" db-id="pfxxvref0t0a5de2vwnv2fwkz0p9v0r2fw0t" timestamp="1458782882"&gt;145&lt;/key&gt;&lt;/foreign-keys&gt;&lt;ref-type name="Journal Article"&gt;17&lt;/ref-type&gt;&lt;contributors&gt;&lt;authors&gt;&lt;author&gt;Carlsson, J.&lt;/author&gt;&lt;author&gt;Paul, N. W.&lt;/author&gt;&lt;author&gt;Dann, M.&lt;/author&gt;&lt;author&gt;Neuzner, J.&lt;/author&gt;&lt;author&gt;Pfeiffer, D.&lt;/author&gt;&lt;/authors&gt;&lt;/contributors&gt;&lt;auth-address&gt;Department of Internal Medicine, Section of Cardiology, Kalmar County Hospital, Kalmar, Sweden. jorg.carlsson@ltkalmar.se&lt;/auth-address&gt;&lt;titles&gt;&lt;title&gt;The deactivation of implantable cardioverter-defibrillators: medical, ethical, practical, and legal considerations&lt;/title&gt;&lt;secondary-title&gt;Dtsch Arztebl Int&lt;/secondary-title&gt;&lt;/titles&gt;&lt;periodical&gt;&lt;full-title&gt;Dtsch Arztebl Int&lt;/full-title&gt;&lt;/periodical&gt;&lt;pages&gt;535-41&lt;/pages&gt;&lt;volume&gt;109&lt;/volume&gt;&lt;number&gt;33-34&lt;/number&gt;&lt;keywords&gt;&lt;keyword&gt;Aged&lt;/keyword&gt;&lt;keyword&gt;*Attitude of Health Personnel&lt;/keyword&gt;&lt;keyword&gt;Defibrillators, Implantable/*ethics&lt;/keyword&gt;&lt;keyword&gt;Fatal Outcome&lt;/keyword&gt;&lt;keyword&gt;Germany&lt;/keyword&gt;&lt;keyword&gt;Heart Failure/prevention &amp;amp; control&lt;/keyword&gt;&lt;keyword&gt;Humans&lt;/keyword&gt;&lt;keyword&gt;Male&lt;/keyword&gt;&lt;keyword&gt;Terminal Care/*ethics/*legislation &amp;amp; jurisprudence&lt;/keyword&gt;&lt;keyword&gt;Terminally Ill/*legislation &amp;amp; jurisprudence&lt;/keyword&gt;&lt;keyword&gt;Withholding Treatment/*ethics/*legislation &amp;amp; jurisprudence&lt;/keyword&gt;&lt;/keywords&gt;&lt;dates&gt;&lt;year&gt;2012&lt;/year&gt;&lt;pub-dates&gt;&lt;date&gt;Aug&lt;/date&gt;&lt;/pub-dates&gt;&lt;/dates&gt;&lt;isbn&gt;1866-0452 (Electronic)&amp;#xD;1866-0452 (Linking)&lt;/isbn&gt;&lt;accession-num&gt;23152737&lt;/accession-num&gt;&lt;urls&gt;&lt;related-urls&gt;&lt;url&gt;http://www.ncbi.nlm.nih.gov/pubmed/23152737&lt;/url&gt;&lt;url&gt;http://www.ncbi.nlm.nih.gov/pmc/articles/PMC3444849/pdf/Dtsch_Arztebl_Int-109-0535.pdf&lt;/url&gt;&lt;/related-urls&gt;&lt;/urls&gt;&lt;custom2&gt;3444849&lt;/custom2&gt;&lt;electronic-resource-num&gt;10.3238/arztebl.2012.0535&lt;/electronic-resource-num&gt;&lt;/record&gt;&lt;/Cite&gt;&lt;/EndNote&gt;</w:instrText>
      </w:r>
      <w:r w:rsidR="00187A29">
        <w:fldChar w:fldCharType="separate"/>
      </w:r>
      <w:r w:rsidR="00187A29">
        <w:rPr>
          <w:noProof/>
        </w:rPr>
        <w:t>(</w:t>
      </w:r>
      <w:hyperlink w:anchor="_ENREF_20" w:tooltip="Carlsson, 2012 #145" w:history="1">
        <w:r w:rsidR="00B906E9">
          <w:rPr>
            <w:noProof/>
          </w:rPr>
          <w:t>Carlsson et al. 2012</w:t>
        </w:r>
      </w:hyperlink>
      <w:r w:rsidR="00187A29">
        <w:rPr>
          <w:noProof/>
        </w:rPr>
        <w:t>)</w:t>
      </w:r>
      <w:r w:rsidR="00187A29">
        <w:fldChar w:fldCharType="end"/>
      </w:r>
      <w:r>
        <w:t>. In the context of this report, the answers also depend on norms that have become law in Australia.</w:t>
      </w:r>
    </w:p>
    <w:p w14:paraId="251FC460" w14:textId="600A25D6" w:rsidR="00294EF5" w:rsidRDefault="00294EF5" w:rsidP="004C79C1">
      <w:pPr>
        <w:spacing w:after="120" w:line="240" w:lineRule="auto"/>
        <w:jc w:val="both"/>
      </w:pPr>
      <w:r>
        <w:t>Fortunately, clear directives, based largely on prevailing expert opinion of what constitutes legal and ethical practice among terminally ill patients with ICDs, are readily available in the form of international and Australian</w:t>
      </w:r>
      <w:r w:rsidR="00C00337">
        <w:t>-</w:t>
      </w:r>
      <w:r>
        <w:t xml:space="preserve">produced </w:t>
      </w:r>
      <w:r w:rsidRPr="006360DB">
        <w:t xml:space="preserve">guidelines </w:t>
      </w:r>
      <w:r w:rsidR="00187A29">
        <w:fldChar w:fldCharType="begin">
          <w:fldData xml:space="preserve">PEVuZE5vdGU+PENpdGU+PEF1dGhvcj5FcHN0ZWluPC9BdXRob3I+PFllYXI+MjAxMzwvWWVhcj48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</w:fldData>
        </w:fldChar>
      </w:r>
      <w:r w:rsidR="00187A29">
        <w:instrText xml:space="preserve"> ADDIN EN.CITE </w:instrText>
      </w:r>
      <w:r w:rsidR="00187A29">
        <w:fldChar w:fldCharType="begin">
          <w:fldData xml:space="preserve">PEVuZE5vdGU+PENpdGU+PEF1dGhvcj5FcHN0ZWluPC9BdXRob3I+PFllYXI+MjAxMzwvWWVhcj48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</w:fldData>
        </w:fldChar>
      </w:r>
      <w:r w:rsidR="00187A29">
        <w:instrText xml:space="preserve"> ADDIN EN.CITE.DATA </w:instrText>
      </w:r>
      <w:r w:rsidR="00187A29">
        <w:fldChar w:fldCharType="end"/>
      </w:r>
      <w:r w:rsidR="00187A29">
        <w:fldChar w:fldCharType="separate"/>
      </w:r>
      <w:r w:rsidR="00187A29">
        <w:rPr>
          <w:noProof/>
        </w:rPr>
        <w:t>(</w:t>
      </w:r>
      <w:hyperlink w:anchor="_ENREF_2" w:tooltip="ACI, 2014 #148" w:history="1">
        <w:r w:rsidR="00B906E9">
          <w:rPr>
            <w:noProof/>
          </w:rPr>
          <w:t>ACI 2014</w:t>
        </w:r>
      </w:hyperlink>
      <w:r w:rsidR="00187A29">
        <w:rPr>
          <w:noProof/>
        </w:rPr>
        <w:t xml:space="preserve">; </w:t>
      </w:r>
      <w:hyperlink w:anchor="_ENREF_38" w:tooltip="Epstein, 2013 #149" w:history="1">
        <w:r w:rsidR="00B906E9">
          <w:rPr>
            <w:noProof/>
          </w:rPr>
          <w:t>Epstein et al. 2013</w:t>
        </w:r>
      </w:hyperlink>
      <w:r w:rsidR="00187A29">
        <w:rPr>
          <w:noProof/>
        </w:rPr>
        <w:t xml:space="preserve">; </w:t>
      </w:r>
      <w:hyperlink w:anchor="_ENREF_78" w:tooltip="McMurray, 2012 #150" w:history="1">
        <w:r w:rsidR="00B906E9">
          <w:rPr>
            <w:noProof/>
          </w:rPr>
          <w:t>McMurray et al. 2012</w:t>
        </w:r>
      </w:hyperlink>
      <w:r w:rsidR="00187A29">
        <w:rPr>
          <w:noProof/>
        </w:rPr>
        <w:t xml:space="preserve">; </w:t>
      </w:r>
      <w:hyperlink w:anchor="_ENREF_98" w:tooltip="Padeletti, 2010 #151" w:history="1">
        <w:r w:rsidR="00B906E9">
          <w:rPr>
            <w:noProof/>
          </w:rPr>
          <w:t>Padeletti et al. 2010</w:t>
        </w:r>
      </w:hyperlink>
      <w:r w:rsidR="00187A29">
        <w:rPr>
          <w:noProof/>
        </w:rPr>
        <w:t>)</w:t>
      </w:r>
      <w:r w:rsidR="00187A29">
        <w:fldChar w:fldCharType="end"/>
      </w:r>
      <w:r w:rsidRPr="006360DB">
        <w:t xml:space="preserve">. Such guidelines </w:t>
      </w:r>
      <w:r>
        <w:t>emphasise</w:t>
      </w:r>
      <w:r w:rsidRPr="006360DB">
        <w:t xml:space="preserve"> </w:t>
      </w:r>
      <w:r>
        <w:t>a</w:t>
      </w:r>
      <w:r w:rsidRPr="006360DB">
        <w:t xml:space="preserve"> </w:t>
      </w:r>
      <w:r>
        <w:t>common and key recurring principle,</w:t>
      </w:r>
      <w:r w:rsidRPr="006360DB">
        <w:t xml:space="preserve"> that </w:t>
      </w:r>
      <w:r>
        <w:t>a personalised and detailed</w:t>
      </w:r>
      <w:r w:rsidRPr="006360DB">
        <w:t xml:space="preserve"> discussion with the patient</w:t>
      </w:r>
      <w:r>
        <w:t xml:space="preserve"> and their relatives</w:t>
      </w:r>
      <w:r w:rsidRPr="006360DB">
        <w:t xml:space="preserve"> </w:t>
      </w:r>
      <w:r>
        <w:t>should</w:t>
      </w:r>
      <w:r w:rsidRPr="006360DB">
        <w:t xml:space="preserve"> always take place </w:t>
      </w:r>
      <w:r>
        <w:t xml:space="preserve">when patient health deteriorates and at end-of-life. The discussion and processes surrounding ICD deactivation must be documented. It is also preferable that the patient is informed of the potential for deactivation </w:t>
      </w:r>
      <w:r w:rsidRPr="00F90539">
        <w:rPr>
          <w:i/>
        </w:rPr>
        <w:t>prior to implantation</w:t>
      </w:r>
      <w:r>
        <w:t xml:space="preserve"> of an ICD, despite the many explanations that healthcare professionals cite for avoiding the discussion at that pre-implantation stage (e.g. unnecessarily distressing the patient, uncertainty of prognosis and lack of experience with discussions about deactivation)</w:t>
      </w:r>
      <w:r w:rsidR="009B7ABA">
        <w:t xml:space="preserve"> </w:t>
      </w:r>
      <w:r w:rsidR="00187A29">
        <w:fldChar w:fldCharType="begin">
          <w:fldData xml:space="preserve">PEVuZE5vdGU+PENpdGU+PEF1dGhvcj5GaXR6c2ltb25zPC9BdXRob3I+PFllYXI+MjAxMjwvWWVh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</w:fldData>
        </w:fldChar>
      </w:r>
      <w:r w:rsidR="00187A29">
        <w:instrText xml:space="preserve"> ADDIN EN.CITE </w:instrText>
      </w:r>
      <w:r w:rsidR="00187A29">
        <w:fldChar w:fldCharType="begin">
          <w:fldData xml:space="preserve">PEVuZE5vdGU+PENpdGU+PEF1dGhvcj5GaXR6c2ltb25zPC9BdXRob3I+PFllYXI+MjAxMjwvWWVh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</w:fldData>
        </w:fldChar>
      </w:r>
      <w:r w:rsidR="00187A29">
        <w:instrText xml:space="preserve"> ADDIN EN.CITE.DATA </w:instrText>
      </w:r>
      <w:r w:rsidR="00187A29">
        <w:fldChar w:fldCharType="end"/>
      </w:r>
      <w:r w:rsidR="00187A29">
        <w:fldChar w:fldCharType="separate"/>
      </w:r>
      <w:r w:rsidR="00187A29">
        <w:rPr>
          <w:noProof/>
        </w:rPr>
        <w:t>(</w:t>
      </w:r>
      <w:hyperlink w:anchor="_ENREF_40" w:tooltip="Fitzsimons, 2012 #152" w:history="1">
        <w:r w:rsidR="00B906E9">
          <w:rPr>
            <w:noProof/>
          </w:rPr>
          <w:t>Fitzsimons &amp; Strachan 2012</w:t>
        </w:r>
      </w:hyperlink>
      <w:r w:rsidR="00187A29">
        <w:rPr>
          <w:noProof/>
        </w:rPr>
        <w:t xml:space="preserve">; </w:t>
      </w:r>
      <w:hyperlink w:anchor="_ENREF_51" w:tooltip="Hauptman, 2008 #153" w:history="1">
        <w:r w:rsidR="00B906E9">
          <w:rPr>
            <w:noProof/>
          </w:rPr>
          <w:t>Hauptman et al. 2008</w:t>
        </w:r>
      </w:hyperlink>
      <w:r w:rsidR="00187A29">
        <w:rPr>
          <w:noProof/>
        </w:rPr>
        <w:t>)</w:t>
      </w:r>
      <w:r w:rsidR="00187A29">
        <w:fldChar w:fldCharType="end"/>
      </w:r>
      <w:r>
        <w:t xml:space="preserve">. In instances where the patient is lacking the ability to make an informed choice, it is necessary to engage a legally entitled representative of the patient in deactivation discussions </w:t>
      </w:r>
      <w:r w:rsidR="00187A29">
        <w:fldChar w:fldCharType="begin"/>
      </w:r>
      <w:r w:rsidR="00187A29">
        <w:instrText xml:space="preserve"> ADDIN EN.CITE &lt;EndNote&gt;&lt;Cite&gt;&lt;Author&gt;Carlsson&lt;/Author&gt;&lt;Year&gt;2012&lt;/Year&gt;&lt;RecNum&gt;145&lt;/RecNum&gt;&lt;IDText&gt;535-41&lt;/IDText&gt;&lt;DisplayText&gt;(Carlsson et al. 2012)&lt;/DisplayText&gt;&lt;record&gt;&lt;rec-number&gt;145&lt;/rec-number&gt;&lt;foreign-keys&gt;&lt;key app="EN" db-id="pfxxvref0t0a5de2vwnv2fwkz0p9v0r2fw0t" timestamp="1458782882"&gt;145&lt;/key&gt;&lt;/foreign-keys&gt;&lt;ref-type name="Journal Article"&gt;17&lt;/ref-type&gt;&lt;contributors&gt;&lt;authors&gt;&lt;author&gt;Carlsson, J.&lt;/author&gt;&lt;author&gt;Paul, N. W.&lt;/author&gt;&lt;author&gt;Dann, M.&lt;/author&gt;&lt;author&gt;Neuzner, J.&lt;/author&gt;&lt;author&gt;Pfeiffer, D.&lt;/author&gt;&lt;/authors&gt;&lt;/contributors&gt;&lt;auth-address&gt;Department of Internal Medicine, Section of Cardiology, Kalmar County Hospital, Kalmar, Sweden. jorg.carlsson@ltkalmar.se&lt;/auth-address&gt;&lt;titles&gt;&lt;title&gt;The deactivation of implantable cardioverter-defibrillators: medical, ethical, practical, and legal considerations&lt;/title&gt;&lt;secondary-title&gt;Dtsch Arztebl Int&lt;/secondary-title&gt;&lt;/titles&gt;&lt;periodical&gt;&lt;full-title&gt;Dtsch Arztebl Int&lt;/full-title&gt;&lt;/periodical&gt;&lt;pages&gt;535-41&lt;/pages&gt;&lt;volume&gt;109&lt;/volume&gt;&lt;number&gt;33-34&lt;/number&gt;&lt;keywords&gt;&lt;keyword&gt;Aged&lt;/keyword&gt;&lt;keyword&gt;*Attitude of Health Personnel&lt;/keyword&gt;&lt;keyword&gt;Defibrillators, Implantable/*ethics&lt;/keyword&gt;&lt;keyword&gt;Fatal Outcome&lt;/keyword&gt;&lt;keyword&gt;Germany&lt;/keyword&gt;&lt;keyword&gt;Heart Failure/prevention &amp;amp; control&lt;/keyword&gt;&lt;keyword&gt;Humans&lt;/keyword&gt;&lt;keyword&gt;Male&lt;/keyword&gt;&lt;keyword&gt;Terminal Care/*ethics/*legislation &amp;amp; jurisprudence&lt;/keyword&gt;&lt;keyword&gt;Terminally Ill/*legislation &amp;amp; jurisprudence&lt;/keyword&gt;&lt;keyword&gt;Withholding Treatment/*ethics/*legislation &amp;amp; jurisprudence&lt;/keyword&gt;&lt;/keywords&gt;&lt;dates&gt;&lt;year&gt;2012&lt;/year&gt;&lt;pub-dates&gt;&lt;date&gt;Aug&lt;/date&gt;&lt;/pub-dates&gt;&lt;/dates&gt;&lt;isbn&gt;1866-0452 (Electronic)&amp;#xD;1866-0452 (Linking)&lt;/isbn&gt;&lt;accession-num&gt;23152737&lt;/accession-num&gt;&lt;urls&gt;&lt;related-urls&gt;&lt;url&gt;http://www.ncbi.nlm.nih.gov/pubmed/23152737&lt;/url&gt;&lt;url&gt;http://www.ncbi.nlm.nih.gov/pmc/articles/PMC3444849/pdf/Dtsch_Arztebl_Int-109-0535.pdf&lt;/url&gt;&lt;/related-urls&gt;&lt;/urls&gt;&lt;custom2&gt;3444849&lt;/custom2&gt;&lt;electronic-resource-num&gt;10.3238/arztebl.2012.0535&lt;/electronic-resource-num&gt;&lt;/record&gt;&lt;/Cite&gt;&lt;/EndNote&gt;</w:instrText>
      </w:r>
      <w:r w:rsidR="00187A29">
        <w:fldChar w:fldCharType="separate"/>
      </w:r>
      <w:r w:rsidR="00187A29">
        <w:rPr>
          <w:noProof/>
        </w:rPr>
        <w:t>(</w:t>
      </w:r>
      <w:hyperlink w:anchor="_ENREF_20" w:tooltip="Carlsson, 2012 #145" w:history="1">
        <w:r w:rsidR="00B906E9">
          <w:rPr>
            <w:noProof/>
          </w:rPr>
          <w:t>Carlsson et al. 2012</w:t>
        </w:r>
      </w:hyperlink>
      <w:r w:rsidR="00187A29">
        <w:rPr>
          <w:noProof/>
        </w:rPr>
        <w:t>)</w:t>
      </w:r>
      <w:r w:rsidR="00187A29">
        <w:fldChar w:fldCharType="end"/>
      </w:r>
      <w:r>
        <w:t>.</w:t>
      </w:r>
    </w:p>
    <w:p w14:paraId="4EBD4AE0" w14:textId="005A77A2" w:rsidR="00294EF5" w:rsidRDefault="00294EF5" w:rsidP="004C79C1">
      <w:pPr>
        <w:spacing w:after="120" w:line="240" w:lineRule="auto"/>
        <w:jc w:val="both"/>
      </w:pPr>
      <w:r>
        <w:t>Guidelines produced in N</w:t>
      </w:r>
      <w:r w:rsidR="009B7ABA">
        <w:t xml:space="preserve">ew </w:t>
      </w:r>
      <w:r>
        <w:t>S</w:t>
      </w:r>
      <w:r w:rsidR="009B7ABA">
        <w:t xml:space="preserve">outh </w:t>
      </w:r>
      <w:r>
        <w:t>W</w:t>
      </w:r>
      <w:r w:rsidR="009B7ABA">
        <w:t>ales</w:t>
      </w:r>
      <w:r>
        <w:t xml:space="preserve"> emphasise the benefit of promoting clinician training for communicating treatment limitations, advance care planning and end-of-life care in hospitals and community facilities </w:t>
      </w:r>
      <w:r w:rsidR="00187A29">
        <w:fldChar w:fldCharType="begin"/>
      </w:r>
      <w:r w:rsidR="00187A29">
        <w:instrText xml:space="preserve"> ADDIN EN.CITE &lt;EndNote&gt;&lt;Cite&gt;&lt;Author&gt;ACI&lt;/Author&gt;&lt;Year&gt;2014&lt;/Year&gt;&lt;RecNum&gt;148&lt;/RecNum&gt;&lt;DisplayText&gt;(ACI 2014)&lt;/DisplayText&gt;&lt;record&gt;&lt;rec-number&gt;148&lt;/rec-number&gt;&lt;foreign-keys&gt;&lt;key app="EN" db-id="pfxxvref0t0a5de2vwnv2fwkz0p9v0r2fw0t" timestamp="1458782957"&gt;148&lt;/key&gt;&lt;/foreign-keys&gt;&lt;ref-type name="Web Page"&gt;12&lt;/ref-type&gt;&lt;contributors&gt;&lt;authors&gt;&lt;author&gt;ACI&lt;/author&gt;&lt;/authors&gt;&lt;/contributors&gt;&lt;titles&gt;&lt;title&gt;NSW guidelines on deactivation of ICD at the end of life&lt;/title&gt;&lt;/titles&gt;&lt;number&gt;March 2014&lt;/number&gt;&lt;dates&gt;&lt;year&gt;2014&lt;/year&gt;&lt;/dates&gt;&lt;publisher&gt;NSW Agency for Clinical Innovation&lt;/publisher&gt;&lt;urls&gt;&lt;related-urls&gt;&lt;url&gt;www.aci.health.nsw.gov.au/__data/assets/pdf.../ACI-Deactivate-ICDs.pdf&lt;/url&gt;&lt;/related-urls&gt;&lt;/urls&gt;&lt;/record&gt;&lt;/Cite&gt;&lt;/EndNote&gt;</w:instrText>
      </w:r>
      <w:r w:rsidR="00187A29">
        <w:fldChar w:fldCharType="separate"/>
      </w:r>
      <w:r w:rsidR="00187A29">
        <w:rPr>
          <w:noProof/>
        </w:rPr>
        <w:t>(</w:t>
      </w:r>
      <w:hyperlink w:anchor="_ENREF_2" w:tooltip="ACI, 2014 #148" w:history="1">
        <w:r w:rsidR="00B906E9">
          <w:rPr>
            <w:noProof/>
          </w:rPr>
          <w:t>ACI 2014</w:t>
        </w:r>
      </w:hyperlink>
      <w:r w:rsidR="00187A29">
        <w:rPr>
          <w:noProof/>
        </w:rPr>
        <w:t>)</w:t>
      </w:r>
      <w:r w:rsidR="00187A29">
        <w:fldChar w:fldCharType="end"/>
      </w:r>
      <w:r>
        <w:t>. In centres that provide ICD implantation, specific emphasis on communicating the necessary information to enable informed consent or informed choice against deactivating a patient’s ICD will facilitate healthcare professionals to care for patients with ICD</w:t>
      </w:r>
      <w:r w:rsidR="00EE46A7">
        <w:t>s</w:t>
      </w:r>
      <w:r>
        <w:t xml:space="preserve"> at end-of-life in accordance with legal requirements and best-available ethical principles.</w:t>
      </w:r>
    </w:p>
    <w:p w14:paraId="276B44C6" w14:textId="29AC431E" w:rsidR="00294EF5" w:rsidRPr="00836C11" w:rsidRDefault="00294EF5" w:rsidP="00161B88">
      <w:pPr>
        <w:pStyle w:val="Heading3"/>
      </w:pPr>
      <w:bookmarkStart w:id="760" w:name="_Toc451501402"/>
      <w:r w:rsidRPr="00836C11">
        <w:t>Summary/</w:t>
      </w:r>
      <w:r w:rsidR="00455D1C">
        <w:t>C</w:t>
      </w:r>
      <w:r w:rsidRPr="00836C11">
        <w:t>onclusion</w:t>
      </w:r>
      <w:bookmarkEnd w:id="760"/>
    </w:p>
    <w:p w14:paraId="593A30C7" w14:textId="757172B7" w:rsidR="00294EF5" w:rsidRPr="00483F75" w:rsidRDefault="00294EF5" w:rsidP="004C79C1">
      <w:pPr>
        <w:spacing w:after="120" w:line="240" w:lineRule="auto"/>
        <w:jc w:val="both"/>
      </w:pPr>
      <w:r>
        <w:t xml:space="preserve">Many patients implanted with ICDs suffer comorbidities. For the moribund patient, prevention of </w:t>
      </w:r>
      <w:r w:rsidR="00EE46A7">
        <w:t>SCD</w:t>
      </w:r>
      <w:r>
        <w:t xml:space="preserve"> from ICD shock is at odds with palliative care goals at end-of-life. Indeed, ICD shock at this stage of life is painful and distressing for the patient, which does not facilitate a dignified death. For the patient’s famil</w:t>
      </w:r>
      <w:r w:rsidR="00992FD3">
        <w:t>y</w:t>
      </w:r>
      <w:r>
        <w:t xml:space="preserve">, this is likely to be emotionally distressing. Deactivation of a patient’s ICD at end-of-life therefore presents an ethical dilemma. The dilemma is complex; a key issue centres on how an </w:t>
      </w:r>
      <w:r>
        <w:lastRenderedPageBreak/>
        <w:t>ICD is conceptualised (</w:t>
      </w:r>
      <w:r w:rsidR="00992FD3">
        <w:t xml:space="preserve">i.e. </w:t>
      </w:r>
      <w:r>
        <w:t>just a therapy, part of the body or another distinct definition?), as this has implications for both the patient and healthcare professionals in terms of ethical and legal decision-making. There is no absolute consensus, but sound bioethical and medico-legal considerations are well summarised in formal guidelines on the issue. These guidelines provide clear directives for healthcare professionals involved in the care of patients with ICDs generally, and specifically at the end-of-life. The wide dissemination and use of these guidelines is recommended.</w:t>
      </w:r>
    </w:p>
    <w:p w14:paraId="1D2DCCBC" w14:textId="698976B6" w:rsidR="00CF699B" w:rsidRDefault="00294EF5" w:rsidP="004C79C1">
      <w:pPr>
        <w:pStyle w:val="Heading2"/>
        <w:spacing w:before="0" w:after="120" w:line="240" w:lineRule="auto"/>
      </w:pPr>
      <w:bookmarkStart w:id="761" w:name="_Toc451501403"/>
      <w:r>
        <w:t xml:space="preserve">F2 </w:t>
      </w:r>
      <w:r w:rsidR="00511824">
        <w:tab/>
      </w:r>
      <w:r w:rsidR="00CF699B">
        <w:t xml:space="preserve">Measurement of LVEF by </w:t>
      </w:r>
      <w:r w:rsidR="004F632C">
        <w:t>echocardiography</w:t>
      </w:r>
      <w:r w:rsidR="00CF699B">
        <w:t xml:space="preserve"> </w:t>
      </w:r>
      <w:r w:rsidR="00CB17BA">
        <w:t>C</w:t>
      </w:r>
      <w:r w:rsidR="00CF699B">
        <w:t>ompared with CMR</w:t>
      </w:r>
      <w:bookmarkEnd w:id="761"/>
    </w:p>
    <w:p w14:paraId="011404B1" w14:textId="5227FDA1" w:rsidR="00CF699B" w:rsidRDefault="00CF699B" w:rsidP="004C79C1">
      <w:pPr>
        <w:spacing w:after="120" w:line="240" w:lineRule="auto"/>
        <w:jc w:val="both"/>
      </w:pPr>
      <w:r>
        <w:t xml:space="preserve">LVEF is a critical measurement for identification of </w:t>
      </w:r>
      <w:r w:rsidR="00A45614">
        <w:t xml:space="preserve">a </w:t>
      </w:r>
      <w:r>
        <w:t xml:space="preserve">dilated LV and impaired ventricular function in both the current and proposed clinical pathways for patients presenting with </w:t>
      </w:r>
      <w:r w:rsidR="00086697">
        <w:t>HF</w:t>
      </w:r>
      <w:r>
        <w:t xml:space="preserve"> symptoms. Accordingly, a</w:t>
      </w:r>
      <w:r w:rsidR="00086697">
        <w:t>n</w:t>
      </w:r>
      <w:r>
        <w:t xml:space="preserve"> LVEF of ≤35% is a criterion for reimbursement of the Medicare benefit for implantation of a CRT in patients with mild or moderate to severe </w:t>
      </w:r>
      <w:r w:rsidR="00086697">
        <w:t>HF</w:t>
      </w:r>
      <w:r>
        <w:t>. For Medicare reimbursement of ICD implantation</w:t>
      </w:r>
      <w:r w:rsidR="009F7A05">
        <w:t>,</w:t>
      </w:r>
      <w:r>
        <w:t xml:space="preserve"> a</w:t>
      </w:r>
      <w:r w:rsidR="009F7A05">
        <w:t>n</w:t>
      </w:r>
      <w:r>
        <w:t xml:space="preserve"> LVEF of ≤30% is required for patients </w:t>
      </w:r>
      <w:r w:rsidR="009F7A05">
        <w:t>1 </w:t>
      </w:r>
      <w:r>
        <w:t xml:space="preserve">month after </w:t>
      </w:r>
      <w:proofErr w:type="gramStart"/>
      <w:r>
        <w:t>MI,</w:t>
      </w:r>
      <w:proofErr w:type="gramEnd"/>
      <w:r>
        <w:t xml:space="preserve"> and a</w:t>
      </w:r>
      <w:r w:rsidR="009F7A05">
        <w:t>n</w:t>
      </w:r>
      <w:r>
        <w:t xml:space="preserve"> LVEF ≤35% for patients with chronic </w:t>
      </w:r>
      <w:r w:rsidR="001F4DDE">
        <w:t>HF</w:t>
      </w:r>
      <w:r>
        <w:t xml:space="preserve"> symptoms. Currently</w:t>
      </w:r>
      <w:r w:rsidR="001F4DDE">
        <w:t>,</w:t>
      </w:r>
      <w:r>
        <w:t xml:space="preserve"> LVEF assessment is performed with </w:t>
      </w:r>
      <w:r w:rsidR="004F632C">
        <w:t>echocardiography</w:t>
      </w:r>
      <w:r>
        <w:t xml:space="preserve"> in the clinical work-up for </w:t>
      </w:r>
      <w:r w:rsidR="001F4DDE">
        <w:t xml:space="preserve">these </w:t>
      </w:r>
      <w:r>
        <w:t xml:space="preserve">patients, although the methodology is not specified in the item descriptors. </w:t>
      </w:r>
    </w:p>
    <w:p w14:paraId="7804BD35" w14:textId="40C428D0" w:rsidR="00CF699B" w:rsidRDefault="00CF699B" w:rsidP="004C79C1">
      <w:pPr>
        <w:spacing w:after="120" w:line="240" w:lineRule="auto"/>
        <w:jc w:val="both"/>
      </w:pPr>
      <w:r>
        <w:t xml:space="preserve">Studies identified in this review have brought to light the issue of accuracy of the LVEF measurement assessed by various means. A number of articles refer to CMR as the reference standard in assessment of cardiac structure and function, particularly where the technique is now used in clinical practice </w:t>
      </w:r>
      <w:r w:rsidR="00187A29">
        <w:fldChar w:fldCharType="begin">
          <w:fldData xml:space="preserve">PEVuZE5vdGU+PENpdGU+PEF1dGhvcj5Gb2NhcmRpPC9BdXRob3I+PFllYXI+MjAxNTwvWWVhcj48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</w:fldData>
        </w:fldChar>
      </w:r>
      <w:r w:rsidR="00187A29">
        <w:instrText xml:space="preserve"> ADDIN EN.CITE </w:instrText>
      </w:r>
      <w:r w:rsidR="00187A29">
        <w:fldChar w:fldCharType="begin">
          <w:fldData xml:space="preserve">PEVuZE5vdGU+PENpdGU+PEF1dGhvcj5Gb2NhcmRpPC9BdXRob3I+PFllYXI+MjAxNTwvWWVhcj48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</w:fldData>
        </w:fldChar>
      </w:r>
      <w:r w:rsidR="00187A29">
        <w:instrText xml:space="preserve"> ADDIN EN.CITE.DATA </w:instrText>
      </w:r>
      <w:r w:rsidR="00187A29">
        <w:fldChar w:fldCharType="end"/>
      </w:r>
      <w:r w:rsidR="00187A29">
        <w:fldChar w:fldCharType="separate"/>
      </w:r>
      <w:r w:rsidR="00187A29">
        <w:rPr>
          <w:noProof/>
        </w:rPr>
        <w:t>(</w:t>
      </w:r>
      <w:hyperlink w:anchor="_ENREF_41" w:tooltip="Focardi, 2015 #112" w:history="1">
        <w:r w:rsidR="00B906E9">
          <w:rPr>
            <w:noProof/>
          </w:rPr>
          <w:t>Focardi et al. 2015</w:t>
        </w:r>
      </w:hyperlink>
      <w:r w:rsidR="00187A29">
        <w:rPr>
          <w:noProof/>
        </w:rPr>
        <w:t xml:space="preserve">; </w:t>
      </w:r>
      <w:hyperlink w:anchor="_ENREF_100" w:tooltip="Partington, 2010 #113" w:history="1">
        <w:r w:rsidR="00B906E9">
          <w:rPr>
            <w:noProof/>
          </w:rPr>
          <w:t>Partington, Seabra &amp; Kwong 2010</w:t>
        </w:r>
      </w:hyperlink>
      <w:r w:rsidR="00187A29">
        <w:rPr>
          <w:noProof/>
        </w:rPr>
        <w:t xml:space="preserve">; </w:t>
      </w:r>
      <w:hyperlink w:anchor="_ENREF_141" w:tooltip="Xie, 2012 #17" w:history="1">
        <w:r w:rsidR="00B906E9">
          <w:rPr>
            <w:noProof/>
          </w:rPr>
          <w:t>Xie et al. 2012</w:t>
        </w:r>
      </w:hyperlink>
      <w:r w:rsidR="00187A29">
        <w:rPr>
          <w:noProof/>
        </w:rPr>
        <w:t>)</w:t>
      </w:r>
      <w:r w:rsidR="00187A29">
        <w:fldChar w:fldCharType="end"/>
      </w:r>
      <w:r>
        <w:t xml:space="preserve">. Considering </w:t>
      </w:r>
      <w:r w:rsidR="001F4DDE">
        <w:t xml:space="preserve">that </w:t>
      </w:r>
      <w:r>
        <w:t xml:space="preserve">the accurate measurement of LVEF is a determinant of the number of CRT and ICD implantations reimbursed in Australia, it was thought valuable to include here a comparison of LVEF measurements by </w:t>
      </w:r>
      <w:r w:rsidR="004F632C">
        <w:t>echocardiography</w:t>
      </w:r>
      <w:r>
        <w:t xml:space="preserve"> compared with CMR. </w:t>
      </w:r>
    </w:p>
    <w:p w14:paraId="68DBA253" w14:textId="326E9AFF" w:rsidR="00CF699B" w:rsidRDefault="00CF699B" w:rsidP="004C79C1">
      <w:pPr>
        <w:spacing w:after="120" w:line="240" w:lineRule="auto"/>
        <w:jc w:val="both"/>
        <w:rPr>
          <w:rFonts w:cs="Times New Roman"/>
          <w:szCs w:val="20"/>
        </w:rPr>
      </w:pPr>
      <w:r>
        <w:t xml:space="preserve">Four studies were identified that compared mean LVEF measurements by </w:t>
      </w:r>
      <w:r w:rsidR="004F632C">
        <w:t>echocardiography</w:t>
      </w:r>
      <w:r>
        <w:t xml:space="preserve"> or other non-CMR method</w:t>
      </w:r>
      <w:r w:rsidR="00887A5E">
        <w:t>s</w:t>
      </w:r>
      <w:r>
        <w:t xml:space="preserve"> with CMR </w:t>
      </w:r>
      <w:r w:rsidR="00187A29">
        <w:fldChar w:fldCharType="begin">
          <w:fldData xml:space="preserve">PEVuZE5vdGU+PENpdGU+PEF1dGhvcj5Lb25vPC9BdXRob3I+PFllYXI+MjAxMDwvWWVhcj48UmVj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</w:fldData>
        </w:fldChar>
      </w:r>
      <w:r w:rsidR="00187A29">
        <w:instrText xml:space="preserve"> ADDIN EN.CITE </w:instrText>
      </w:r>
      <w:r w:rsidR="00187A29">
        <w:fldChar w:fldCharType="begin">
          <w:fldData xml:space="preserve">PEVuZE5vdGU+PENpdGU+PEF1dGhvcj5Lb25vPC9BdXRob3I+PFllYXI+MjAxMDwvWWVhcj48UmVj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</w:fldData>
        </w:fldChar>
      </w:r>
      <w:r w:rsidR="00187A29">
        <w:instrText xml:space="preserve"> ADDIN EN.CITE.DATA </w:instrText>
      </w:r>
      <w:r w:rsidR="00187A29">
        <w:fldChar w:fldCharType="end"/>
      </w:r>
      <w:r w:rsidR="00187A29">
        <w:fldChar w:fldCharType="separate"/>
      </w:r>
      <w:r w:rsidR="00187A29">
        <w:rPr>
          <w:noProof/>
        </w:rPr>
        <w:t>(</w:t>
      </w:r>
      <w:hyperlink w:anchor="_ENREF_62" w:tooltip="Kono, 2010 #46" w:history="1">
        <w:r w:rsidR="00B906E9">
          <w:rPr>
            <w:noProof/>
          </w:rPr>
          <w:t>Kono et al. 2010</w:t>
        </w:r>
      </w:hyperlink>
      <w:r w:rsidR="00187A29">
        <w:rPr>
          <w:noProof/>
        </w:rPr>
        <w:t xml:space="preserve">; </w:t>
      </w:r>
      <w:hyperlink w:anchor="_ENREF_67" w:tooltip="Li, 2013 #49" w:history="1">
        <w:r w:rsidR="00B906E9">
          <w:rPr>
            <w:noProof/>
          </w:rPr>
          <w:t>Li et al. 2013</w:t>
        </w:r>
      </w:hyperlink>
      <w:r w:rsidR="00187A29">
        <w:rPr>
          <w:noProof/>
        </w:rPr>
        <w:t xml:space="preserve">; </w:t>
      </w:r>
      <w:hyperlink w:anchor="_ENREF_95" w:tooltip="Neilan, 2013 #55" w:history="1">
        <w:r w:rsidR="00B906E9">
          <w:rPr>
            <w:noProof/>
          </w:rPr>
          <w:t>Neilan et al. 2013</w:t>
        </w:r>
      </w:hyperlink>
      <w:r w:rsidR="00187A29">
        <w:rPr>
          <w:noProof/>
        </w:rPr>
        <w:t xml:space="preserve">; </w:t>
      </w:r>
      <w:hyperlink w:anchor="_ENREF_139" w:tooltip="Wu, 2012 #61" w:history="1">
        <w:r w:rsidR="00B906E9">
          <w:rPr>
            <w:noProof/>
          </w:rPr>
          <w:t>Wu, KC et al. 2012</w:t>
        </w:r>
      </w:hyperlink>
      <w:r w:rsidR="00187A29">
        <w:rPr>
          <w:noProof/>
        </w:rPr>
        <w:t>)</w:t>
      </w:r>
      <w:r w:rsidR="00187A29">
        <w:fldChar w:fldCharType="end"/>
      </w:r>
      <w:r>
        <w:t xml:space="preserve">. The mean LVEF values are compared in </w:t>
      </w:r>
      <w:r w:rsidR="009E52C1">
        <w:fldChar w:fldCharType="begin"/>
      </w:r>
      <w:r w:rsidR="009E52C1">
        <w:instrText xml:space="preserve"> REF _Ref451411335 \h </w:instrText>
      </w:r>
      <w:r w:rsidR="009E52C1">
        <w:fldChar w:fldCharType="separate"/>
      </w:r>
      <w:r w:rsidR="009E52C1">
        <w:t xml:space="preserve">Table </w:t>
      </w:r>
      <w:r w:rsidR="009E52C1">
        <w:rPr>
          <w:noProof/>
        </w:rPr>
        <w:t>75</w:t>
      </w:r>
      <w:r w:rsidR="009E52C1">
        <w:fldChar w:fldCharType="end"/>
      </w:r>
      <w:r w:rsidRPr="005932CB">
        <w:t>. I</w:t>
      </w:r>
      <w:r>
        <w:t xml:space="preserve">n addition, one SR was identified that compared </w:t>
      </w:r>
      <w:r w:rsidRPr="00C053DA">
        <w:rPr>
          <w:rFonts w:cs="Times New Roman"/>
          <w:szCs w:val="20"/>
        </w:rPr>
        <w:t xml:space="preserve">LVEF measured by CMR </w:t>
      </w:r>
      <w:r>
        <w:rPr>
          <w:rFonts w:cs="Times New Roman"/>
          <w:szCs w:val="20"/>
        </w:rPr>
        <w:t xml:space="preserve">with CTCA, and LVEF measured by </w:t>
      </w:r>
      <w:r w:rsidR="004F632C">
        <w:rPr>
          <w:rFonts w:cs="Times New Roman"/>
          <w:szCs w:val="20"/>
        </w:rPr>
        <w:t>echocardiography</w:t>
      </w:r>
      <w:r w:rsidR="007C52F3">
        <w:rPr>
          <w:rFonts w:cs="Times New Roman"/>
          <w:szCs w:val="20"/>
        </w:rPr>
        <w:t>;</w:t>
      </w:r>
      <w:r>
        <w:rPr>
          <w:rFonts w:cs="Times New Roman"/>
          <w:szCs w:val="20"/>
        </w:rPr>
        <w:t xml:space="preserve"> however</w:t>
      </w:r>
      <w:r w:rsidR="007C52F3">
        <w:rPr>
          <w:rFonts w:cs="Times New Roman"/>
          <w:szCs w:val="20"/>
        </w:rPr>
        <w:t>,</w:t>
      </w:r>
      <w:r>
        <w:rPr>
          <w:rFonts w:cs="Times New Roman"/>
          <w:szCs w:val="20"/>
        </w:rPr>
        <w:t xml:space="preserve"> there was only an indirect comparison between CMR and </w:t>
      </w:r>
      <w:r w:rsidR="004F632C">
        <w:rPr>
          <w:rFonts w:cs="Times New Roman"/>
          <w:szCs w:val="20"/>
        </w:rPr>
        <w:t>echocardiography</w:t>
      </w:r>
      <w:r>
        <w:rPr>
          <w:rFonts w:cs="Times New Roman"/>
          <w:szCs w:val="20"/>
        </w:rPr>
        <w:t xml:space="preserve"> </w:t>
      </w:r>
      <w:r w:rsidR="00187A29">
        <w:rPr>
          <w:rFonts w:cs="Times New Roman"/>
          <w:szCs w:val="20"/>
        </w:rPr>
        <w:fldChar w:fldCharType="begin">
          <w:fldData xml:space="preserve">PEVuZE5vdGU+PENpdGU+PEF1dGhvcj5Bc2Zlcmc8L0F1dGhvcj48WWVhcj4yMDEyPC9ZZWFyPjxS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=
</w:fldData>
        </w:fldChar>
      </w:r>
      <w:r w:rsidR="00187A29">
        <w:rPr>
          <w:rFonts w:cs="Times New Roman"/>
          <w:szCs w:val="20"/>
        </w:rPr>
        <w:instrText xml:space="preserve"> ADDIN EN.CITE </w:instrText>
      </w:r>
      <w:r w:rsidR="00187A29">
        <w:rPr>
          <w:rFonts w:cs="Times New Roman"/>
          <w:szCs w:val="20"/>
        </w:rPr>
        <w:fldChar w:fldCharType="begin">
          <w:fldData xml:space="preserve">PEVuZE5vdGU+PENpdGU+PEF1dGhvcj5Bc2Zlcmc8L0F1dGhvcj48WWVhcj4yMDEyPC9ZZWFyPjxS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=
</w:fldData>
        </w:fldChar>
      </w:r>
      <w:r w:rsidR="00187A29">
        <w:rPr>
          <w:rFonts w:cs="Times New Roman"/>
          <w:szCs w:val="20"/>
        </w:rPr>
        <w:instrText xml:space="preserve"> ADDIN EN.CITE.DATA </w:instrText>
      </w:r>
      <w:r w:rsidR="00187A29">
        <w:rPr>
          <w:rFonts w:cs="Times New Roman"/>
          <w:szCs w:val="20"/>
        </w:rPr>
      </w:r>
      <w:r w:rsidR="00187A29">
        <w:rPr>
          <w:rFonts w:cs="Times New Roman"/>
          <w:szCs w:val="20"/>
        </w:rPr>
        <w:fldChar w:fldCharType="end"/>
      </w:r>
      <w:r w:rsidR="00187A29">
        <w:rPr>
          <w:rFonts w:cs="Times New Roman"/>
          <w:szCs w:val="20"/>
        </w:rPr>
      </w:r>
      <w:r w:rsidR="00187A29">
        <w:rPr>
          <w:rFonts w:cs="Times New Roman"/>
          <w:szCs w:val="20"/>
        </w:rPr>
        <w:fldChar w:fldCharType="separate"/>
      </w:r>
      <w:r w:rsidR="00187A29">
        <w:rPr>
          <w:rFonts w:cs="Times New Roman"/>
          <w:noProof/>
          <w:szCs w:val="20"/>
        </w:rPr>
        <w:t>(</w:t>
      </w:r>
      <w:hyperlink w:anchor="_ENREF_5" w:tooltip="Asferg, 2012 #115" w:history="1">
        <w:r w:rsidR="00B906E9">
          <w:rPr>
            <w:rFonts w:cs="Times New Roman"/>
            <w:noProof/>
            <w:szCs w:val="20"/>
          </w:rPr>
          <w:t>Asferg et al. 2012</w:t>
        </w:r>
      </w:hyperlink>
      <w:r w:rsidR="00187A29">
        <w:rPr>
          <w:rFonts w:cs="Times New Roman"/>
          <w:noProof/>
          <w:szCs w:val="20"/>
        </w:rPr>
        <w:t>)</w:t>
      </w:r>
      <w:r w:rsidR="00187A29">
        <w:rPr>
          <w:rFonts w:cs="Times New Roman"/>
          <w:szCs w:val="20"/>
        </w:rPr>
        <w:fldChar w:fldCharType="end"/>
      </w:r>
      <w:r>
        <w:rPr>
          <w:rFonts w:cs="Times New Roman"/>
          <w:szCs w:val="20"/>
        </w:rPr>
        <w:t>.</w:t>
      </w:r>
    </w:p>
    <w:p w14:paraId="4CEF2A23" w14:textId="707A4ED7" w:rsidR="00CF699B" w:rsidRDefault="00321A16" w:rsidP="004C79C1">
      <w:pPr>
        <w:pStyle w:val="Caption"/>
        <w:rPr>
          <w:vanish/>
        </w:rPr>
      </w:pPr>
      <w:bookmarkStart w:id="762" w:name="_Ref451411335"/>
      <w:bookmarkStart w:id="763" w:name="_Toc324410246"/>
      <w:bookmarkStart w:id="764" w:name="_Toc451435402"/>
      <w:r>
        <w:t xml:space="preserve">Table </w:t>
      </w:r>
      <w:fldSimple w:instr=" SEQ Table \* ARABIC ">
        <w:r w:rsidR="00050936">
          <w:rPr>
            <w:noProof/>
          </w:rPr>
          <w:t>75</w:t>
        </w:r>
      </w:fldSimple>
      <w:bookmarkEnd w:id="762"/>
      <w:r w:rsidR="00CF699B">
        <w:tab/>
        <w:t xml:space="preserve">Mean difference in LVEF measured by </w:t>
      </w:r>
      <w:r w:rsidR="00A21115">
        <w:t>echocardiography</w:t>
      </w:r>
      <w:r w:rsidR="00CF699B">
        <w:t xml:space="preserve"> or non-CMR methods compared with CMR in </w:t>
      </w:r>
      <w:r w:rsidR="00A67FC7">
        <w:t>HF</w:t>
      </w:r>
      <w:r w:rsidR="00CF699B">
        <w:t xml:space="preserve"> patients</w:t>
      </w:r>
      <w:bookmarkEnd w:id="763"/>
      <w:bookmarkEnd w:id="764"/>
    </w:p>
    <w:tbl>
      <w:tblPr>
        <w:tblStyle w:val="TableGrid3"/>
        <w:tblW w:w="0" w:type="auto"/>
        <w:tblLook w:val="04A0" w:firstRow="1" w:lastRow="0" w:firstColumn="1" w:lastColumn="0" w:noHBand="0" w:noVBand="1"/>
        <w:tblCaption w:val="Mean difference in LVEF measured by Echo or non-CMR methods compared with CMR in heart failure patients"/>
      </w:tblPr>
      <w:tblGrid>
        <w:gridCol w:w="2263"/>
        <w:gridCol w:w="1985"/>
        <w:gridCol w:w="1134"/>
        <w:gridCol w:w="1276"/>
        <w:gridCol w:w="1275"/>
        <w:gridCol w:w="1083"/>
      </w:tblGrid>
      <w:tr w:rsidR="00CF699B" w:rsidRPr="003C36D7" w14:paraId="5F4F2AD4" w14:textId="77777777" w:rsidTr="003E4A52">
        <w:trPr>
          <w:tblHeader/>
        </w:trPr>
        <w:tc>
          <w:tcPr>
            <w:tcW w:w="2263" w:type="dxa"/>
          </w:tcPr>
          <w:p w14:paraId="0E304E58" w14:textId="77777777" w:rsidR="00CF699B" w:rsidRPr="003C36D7" w:rsidRDefault="00CF699B" w:rsidP="004C79C1">
            <w:pPr>
              <w:tabs>
                <w:tab w:val="left" w:pos="1418"/>
              </w:tabs>
              <w:spacing w:before="0" w:after="120" w:line="240" w:lineRule="auto"/>
              <w:rPr>
                <w:rFonts w:ascii="Arial Narrow" w:hAnsi="Arial Narrow" w:cs="Arial Narrow"/>
                <w:b/>
                <w:bCs/>
                <w:sz w:val="20"/>
                <w:szCs w:val="20"/>
              </w:rPr>
            </w:pPr>
            <w:r w:rsidRPr="003C36D7">
              <w:rPr>
                <w:rFonts w:ascii="Arial Narrow" w:hAnsi="Arial Narrow" w:cs="Arial Narrow"/>
                <w:b/>
                <w:bCs/>
                <w:sz w:val="20"/>
                <w:szCs w:val="20"/>
              </w:rPr>
              <w:t>Author</w:t>
            </w:r>
          </w:p>
          <w:p w14:paraId="6E3A4056" w14:textId="77777777" w:rsidR="00CF699B" w:rsidRDefault="00CF699B" w:rsidP="004C79C1">
            <w:pPr>
              <w:tabs>
                <w:tab w:val="left" w:pos="1418"/>
              </w:tabs>
              <w:spacing w:before="0" w:after="120" w:line="240" w:lineRule="auto"/>
              <w:rPr>
                <w:rFonts w:ascii="Arial Narrow" w:hAnsi="Arial Narrow" w:cs="Arial Narrow"/>
                <w:b/>
                <w:bCs/>
                <w:sz w:val="20"/>
                <w:szCs w:val="20"/>
              </w:rPr>
            </w:pPr>
            <w:r w:rsidRPr="003C36D7">
              <w:rPr>
                <w:rFonts w:ascii="Arial Narrow" w:hAnsi="Arial Narrow" w:cs="Arial Narrow"/>
                <w:b/>
                <w:bCs/>
                <w:sz w:val="20"/>
                <w:szCs w:val="20"/>
              </w:rPr>
              <w:t>Study design</w:t>
            </w:r>
          </w:p>
          <w:p w14:paraId="4BC31030"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
                <w:bCs/>
                <w:sz w:val="20"/>
                <w:szCs w:val="20"/>
              </w:rPr>
              <w:t>R</w:t>
            </w:r>
            <w:r w:rsidRPr="003C36D7">
              <w:rPr>
                <w:rFonts w:ascii="Arial Narrow" w:hAnsi="Arial Narrow" w:cs="Arial Narrow"/>
                <w:b/>
                <w:bCs/>
                <w:sz w:val="20"/>
                <w:szCs w:val="20"/>
              </w:rPr>
              <w:t>isk of bias</w:t>
            </w:r>
          </w:p>
        </w:tc>
        <w:tc>
          <w:tcPr>
            <w:tcW w:w="1985" w:type="dxa"/>
          </w:tcPr>
          <w:p w14:paraId="1550DF7A" w14:textId="77777777" w:rsidR="00CF699B" w:rsidRDefault="00CF699B" w:rsidP="004C79C1">
            <w:pPr>
              <w:tabs>
                <w:tab w:val="left" w:pos="1418"/>
              </w:tabs>
              <w:spacing w:before="0" w:after="120" w:line="240" w:lineRule="auto"/>
              <w:rPr>
                <w:rFonts w:ascii="Arial Narrow" w:hAnsi="Arial Narrow" w:cs="Arial Narrow"/>
                <w:b/>
                <w:bCs/>
                <w:sz w:val="20"/>
                <w:szCs w:val="20"/>
              </w:rPr>
            </w:pPr>
            <w:r>
              <w:rPr>
                <w:rFonts w:ascii="Arial Narrow" w:hAnsi="Arial Narrow" w:cs="Arial Narrow"/>
                <w:b/>
                <w:bCs/>
                <w:sz w:val="20"/>
                <w:szCs w:val="20"/>
              </w:rPr>
              <w:t>Population</w:t>
            </w:r>
          </w:p>
          <w:p w14:paraId="5A99FD39"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134" w:type="dxa"/>
          </w:tcPr>
          <w:p w14:paraId="60944C7F" w14:textId="68176ED7" w:rsidR="00CF699B" w:rsidRPr="003C36D7" w:rsidRDefault="006728A4" w:rsidP="004C79C1">
            <w:pPr>
              <w:tabs>
                <w:tab w:val="left" w:pos="1418"/>
              </w:tabs>
              <w:spacing w:before="0" w:after="120" w:line="240" w:lineRule="auto"/>
              <w:jc w:val="center"/>
              <w:rPr>
                <w:rFonts w:ascii="Arial Narrow" w:hAnsi="Arial Narrow" w:cs="Arial Narrow"/>
                <w:b/>
                <w:bCs/>
                <w:sz w:val="20"/>
                <w:szCs w:val="20"/>
              </w:rPr>
            </w:pPr>
            <w:r>
              <w:rPr>
                <w:rFonts w:ascii="Arial Narrow" w:hAnsi="Arial Narrow" w:cs="Arial Narrow"/>
                <w:b/>
                <w:bCs/>
                <w:sz w:val="20"/>
                <w:szCs w:val="20"/>
              </w:rPr>
              <w:t>%</w:t>
            </w:r>
            <w:r w:rsidR="00CF699B" w:rsidRPr="003C36D7">
              <w:rPr>
                <w:rFonts w:ascii="Arial Narrow" w:hAnsi="Arial Narrow" w:cs="Arial Narrow"/>
                <w:b/>
                <w:bCs/>
                <w:sz w:val="20"/>
                <w:szCs w:val="20"/>
              </w:rPr>
              <w:t>LVEF by Echo</w:t>
            </w:r>
          </w:p>
        </w:tc>
        <w:tc>
          <w:tcPr>
            <w:tcW w:w="1276" w:type="dxa"/>
          </w:tcPr>
          <w:p w14:paraId="34478758" w14:textId="3407DF7E" w:rsidR="00CF699B" w:rsidRPr="003C36D7" w:rsidRDefault="006728A4" w:rsidP="004C79C1">
            <w:pPr>
              <w:tabs>
                <w:tab w:val="left" w:pos="1418"/>
              </w:tabs>
              <w:spacing w:before="0" w:after="120" w:line="240" w:lineRule="auto"/>
              <w:jc w:val="center"/>
              <w:rPr>
                <w:rFonts w:ascii="Arial Narrow" w:hAnsi="Arial Narrow" w:cs="Arial Narrow"/>
                <w:b/>
                <w:bCs/>
                <w:sz w:val="20"/>
                <w:szCs w:val="20"/>
              </w:rPr>
            </w:pPr>
            <w:r>
              <w:rPr>
                <w:rFonts w:ascii="Arial Narrow" w:hAnsi="Arial Narrow" w:cs="Arial Narrow"/>
                <w:b/>
                <w:bCs/>
                <w:sz w:val="20"/>
                <w:szCs w:val="20"/>
              </w:rPr>
              <w:t>%</w:t>
            </w:r>
            <w:r w:rsidR="00CF699B" w:rsidRPr="003C36D7">
              <w:rPr>
                <w:rFonts w:ascii="Arial Narrow" w:hAnsi="Arial Narrow" w:cs="Arial Narrow"/>
                <w:b/>
                <w:bCs/>
                <w:sz w:val="20"/>
                <w:szCs w:val="20"/>
              </w:rPr>
              <w:t>LVEF (non-CMR)</w:t>
            </w:r>
            <w:r w:rsidR="00A67FC7">
              <w:rPr>
                <w:rFonts w:ascii="Arial Narrow" w:hAnsi="Arial Narrow" w:cs="Arial Narrow"/>
                <w:b/>
                <w:bCs/>
                <w:sz w:val="20"/>
                <w:szCs w:val="20"/>
              </w:rPr>
              <w:t xml:space="preserve"> </w:t>
            </w:r>
            <w:r w:rsidR="00CF699B" w:rsidRPr="00292008">
              <w:rPr>
                <w:rFonts w:ascii="Arial Narrow" w:hAnsi="Arial Narrow" w:cs="Arial Narrow"/>
                <w:b/>
                <w:bCs/>
                <w:sz w:val="20"/>
                <w:szCs w:val="20"/>
                <w:vertAlign w:val="superscript"/>
              </w:rPr>
              <w:t>a</w:t>
            </w:r>
          </w:p>
        </w:tc>
        <w:tc>
          <w:tcPr>
            <w:tcW w:w="1275" w:type="dxa"/>
          </w:tcPr>
          <w:p w14:paraId="37200154" w14:textId="237FC354" w:rsidR="00CF699B" w:rsidRPr="003C36D7" w:rsidRDefault="006728A4" w:rsidP="004C79C1">
            <w:pPr>
              <w:tabs>
                <w:tab w:val="left" w:pos="1418"/>
              </w:tabs>
              <w:spacing w:before="0" w:after="120" w:line="240" w:lineRule="auto"/>
              <w:jc w:val="center"/>
              <w:rPr>
                <w:rFonts w:ascii="Arial Narrow" w:hAnsi="Arial Narrow" w:cs="Arial Narrow"/>
                <w:b/>
                <w:bCs/>
                <w:sz w:val="20"/>
                <w:szCs w:val="20"/>
              </w:rPr>
            </w:pPr>
            <w:r>
              <w:rPr>
                <w:rFonts w:ascii="Arial Narrow" w:hAnsi="Arial Narrow" w:cs="Arial Narrow"/>
                <w:b/>
                <w:bCs/>
                <w:sz w:val="20"/>
                <w:szCs w:val="20"/>
              </w:rPr>
              <w:t>%</w:t>
            </w:r>
            <w:r w:rsidR="00CF699B" w:rsidRPr="003C36D7">
              <w:rPr>
                <w:rFonts w:ascii="Arial Narrow" w:hAnsi="Arial Narrow" w:cs="Arial Narrow"/>
                <w:b/>
                <w:bCs/>
                <w:sz w:val="20"/>
                <w:szCs w:val="20"/>
              </w:rPr>
              <w:t xml:space="preserve">LVEF by CMR </w:t>
            </w:r>
          </w:p>
        </w:tc>
        <w:tc>
          <w:tcPr>
            <w:tcW w:w="1083" w:type="dxa"/>
          </w:tcPr>
          <w:p w14:paraId="61DFBC7E"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r w:rsidRPr="003C36D7">
              <w:rPr>
                <w:rFonts w:ascii="Arial Narrow" w:hAnsi="Arial Narrow" w:cs="Arial Narrow"/>
                <w:b/>
                <w:bCs/>
                <w:sz w:val="20"/>
                <w:szCs w:val="20"/>
              </w:rPr>
              <w:t>Difference</w:t>
            </w:r>
          </w:p>
        </w:tc>
      </w:tr>
      <w:tr w:rsidR="00CF699B" w:rsidRPr="003C36D7" w14:paraId="234D74F5" w14:textId="77777777" w:rsidTr="003E4A52">
        <w:tc>
          <w:tcPr>
            <w:tcW w:w="2263" w:type="dxa"/>
          </w:tcPr>
          <w:p w14:paraId="7B2AE6EC"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Kono et al. (2009)</w:t>
            </w:r>
          </w:p>
          <w:p w14:paraId="37E9D8C2"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Japan</w:t>
            </w:r>
          </w:p>
          <w:p w14:paraId="212D490B"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Prospective cohort</w:t>
            </w:r>
          </w:p>
          <w:p w14:paraId="6157F82C"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High risk of bias</w:t>
            </w:r>
          </w:p>
        </w:tc>
        <w:tc>
          <w:tcPr>
            <w:tcW w:w="1985" w:type="dxa"/>
          </w:tcPr>
          <w:p w14:paraId="06D88D46" w14:textId="77777777" w:rsidR="00CF699B"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DCM patients, LVEF &lt;40%</w:t>
            </w:r>
          </w:p>
          <w:p w14:paraId="3CB06F60"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N=32</w:t>
            </w:r>
          </w:p>
        </w:tc>
        <w:tc>
          <w:tcPr>
            <w:tcW w:w="1134" w:type="dxa"/>
          </w:tcPr>
          <w:p w14:paraId="57AD9183"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27.9 ± 7.4%</w:t>
            </w:r>
          </w:p>
        </w:tc>
        <w:tc>
          <w:tcPr>
            <w:tcW w:w="1276" w:type="dxa"/>
          </w:tcPr>
          <w:p w14:paraId="38B42E0D"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p>
        </w:tc>
        <w:tc>
          <w:tcPr>
            <w:tcW w:w="1275" w:type="dxa"/>
          </w:tcPr>
          <w:p w14:paraId="73576BEE"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21.3 ± 12.0%</w:t>
            </w:r>
          </w:p>
        </w:tc>
        <w:tc>
          <w:tcPr>
            <w:tcW w:w="1083" w:type="dxa"/>
          </w:tcPr>
          <w:p w14:paraId="7BD4870A"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–6.6%</w:t>
            </w:r>
          </w:p>
        </w:tc>
      </w:tr>
      <w:tr w:rsidR="00CF699B" w:rsidRPr="003C36D7" w14:paraId="537C4C39" w14:textId="77777777" w:rsidTr="003E4A52">
        <w:tc>
          <w:tcPr>
            <w:tcW w:w="2263" w:type="dxa"/>
          </w:tcPr>
          <w:p w14:paraId="6D8CAB40"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Li et al. (2013)</w:t>
            </w:r>
          </w:p>
          <w:p w14:paraId="4892A4B2"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China</w:t>
            </w:r>
          </w:p>
          <w:p w14:paraId="3CC5109D"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Retrospective cohort</w:t>
            </w:r>
          </w:p>
          <w:p w14:paraId="6F1B299B"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Moderate risk of bias</w:t>
            </w:r>
          </w:p>
        </w:tc>
        <w:tc>
          <w:tcPr>
            <w:tcW w:w="1985" w:type="dxa"/>
          </w:tcPr>
          <w:p w14:paraId="0017FF98" w14:textId="77777777" w:rsidR="00CF699B"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DCM patients</w:t>
            </w:r>
          </w:p>
          <w:p w14:paraId="33B52D6E" w14:textId="0B6ABF01" w:rsidR="00CF699B"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N=145 (LGE+ subgroup)</w:t>
            </w:r>
          </w:p>
          <w:p w14:paraId="489CAC2E"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p>
        </w:tc>
        <w:tc>
          <w:tcPr>
            <w:tcW w:w="1134" w:type="dxa"/>
          </w:tcPr>
          <w:p w14:paraId="3D86324F"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33.3 ± 8.1%</w:t>
            </w:r>
          </w:p>
        </w:tc>
        <w:tc>
          <w:tcPr>
            <w:tcW w:w="1276" w:type="dxa"/>
          </w:tcPr>
          <w:p w14:paraId="6044D31E"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p>
        </w:tc>
        <w:tc>
          <w:tcPr>
            <w:tcW w:w="1275" w:type="dxa"/>
          </w:tcPr>
          <w:p w14:paraId="4B641E9C"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22.6 ± 8.3%</w:t>
            </w:r>
          </w:p>
        </w:tc>
        <w:tc>
          <w:tcPr>
            <w:tcW w:w="1083" w:type="dxa"/>
          </w:tcPr>
          <w:p w14:paraId="5AF7120C"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–10.7%</w:t>
            </w:r>
          </w:p>
        </w:tc>
      </w:tr>
      <w:tr w:rsidR="00CF699B" w:rsidRPr="003C36D7" w14:paraId="013B708A" w14:textId="77777777" w:rsidTr="003E4A52">
        <w:tc>
          <w:tcPr>
            <w:tcW w:w="2263" w:type="dxa"/>
          </w:tcPr>
          <w:p w14:paraId="6284F5D4"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Neilan et al. (2913)</w:t>
            </w:r>
          </w:p>
          <w:p w14:paraId="21D7BF07"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USA</w:t>
            </w:r>
          </w:p>
          <w:p w14:paraId="6CC8306E"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Prospective cohort</w:t>
            </w:r>
          </w:p>
          <w:p w14:paraId="56F6D156"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lastRenderedPageBreak/>
              <w:t>Low risk of bias</w:t>
            </w:r>
          </w:p>
        </w:tc>
        <w:tc>
          <w:tcPr>
            <w:tcW w:w="1985" w:type="dxa"/>
          </w:tcPr>
          <w:p w14:paraId="55C9C74D" w14:textId="77777777" w:rsidR="00CF699B"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lastRenderedPageBreak/>
              <w:t>NIDCM patients for ICD implantation</w:t>
            </w:r>
          </w:p>
          <w:p w14:paraId="38EFC6DD"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N=162</w:t>
            </w:r>
          </w:p>
        </w:tc>
        <w:tc>
          <w:tcPr>
            <w:tcW w:w="1134" w:type="dxa"/>
          </w:tcPr>
          <w:p w14:paraId="61ACE9B8"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26 ± 8%</w:t>
            </w:r>
          </w:p>
        </w:tc>
        <w:tc>
          <w:tcPr>
            <w:tcW w:w="1276" w:type="dxa"/>
          </w:tcPr>
          <w:p w14:paraId="418F2517"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p>
        </w:tc>
        <w:tc>
          <w:tcPr>
            <w:tcW w:w="1275" w:type="dxa"/>
          </w:tcPr>
          <w:p w14:paraId="2B8EB6C1"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28 ± 9%</w:t>
            </w:r>
          </w:p>
        </w:tc>
        <w:tc>
          <w:tcPr>
            <w:tcW w:w="1083" w:type="dxa"/>
          </w:tcPr>
          <w:p w14:paraId="1D05C3F6"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w:t>
            </w:r>
          </w:p>
        </w:tc>
      </w:tr>
      <w:tr w:rsidR="00CF699B" w:rsidRPr="007F2E0E" w14:paraId="46166CA9" w14:textId="77777777" w:rsidTr="003E4A52">
        <w:tc>
          <w:tcPr>
            <w:tcW w:w="2263" w:type="dxa"/>
          </w:tcPr>
          <w:p w14:paraId="60590C23" w14:textId="77777777" w:rsidR="00CF699B" w:rsidRPr="003C36D7" w:rsidRDefault="00CF699B" w:rsidP="004C79C1">
            <w:pPr>
              <w:tabs>
                <w:tab w:val="left" w:pos="1418"/>
              </w:tabs>
              <w:spacing w:before="0" w:after="120" w:line="240" w:lineRule="auto"/>
              <w:rPr>
                <w:rFonts w:ascii="Arial Narrow" w:hAnsi="Arial Narrow" w:cs="Arial Narrow"/>
                <w:b/>
                <w:bCs/>
                <w:sz w:val="20"/>
                <w:szCs w:val="20"/>
              </w:rPr>
            </w:pPr>
            <w:r w:rsidRPr="003C36D7">
              <w:rPr>
                <w:rFonts w:ascii="Arial Narrow" w:hAnsi="Arial Narrow" w:cs="Arial Narrow"/>
                <w:b/>
                <w:bCs/>
                <w:sz w:val="20"/>
                <w:szCs w:val="20"/>
              </w:rPr>
              <w:lastRenderedPageBreak/>
              <w:t>Mean difference</w:t>
            </w:r>
          </w:p>
        </w:tc>
        <w:tc>
          <w:tcPr>
            <w:tcW w:w="1985" w:type="dxa"/>
          </w:tcPr>
          <w:p w14:paraId="533388C9" w14:textId="77777777" w:rsidR="00CF699B" w:rsidRPr="007F2E0E" w:rsidRDefault="00CF699B" w:rsidP="004C79C1">
            <w:pPr>
              <w:tabs>
                <w:tab w:val="left" w:pos="1418"/>
              </w:tabs>
              <w:spacing w:before="0" w:after="120" w:line="240" w:lineRule="auto"/>
              <w:rPr>
                <w:rFonts w:ascii="Arial Narrow" w:hAnsi="Arial Narrow" w:cs="Arial Narrow"/>
                <w:b/>
                <w:bCs/>
                <w:sz w:val="20"/>
                <w:szCs w:val="20"/>
              </w:rPr>
            </w:pPr>
          </w:p>
        </w:tc>
        <w:tc>
          <w:tcPr>
            <w:tcW w:w="1134" w:type="dxa"/>
          </w:tcPr>
          <w:p w14:paraId="7B1365CD"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276" w:type="dxa"/>
          </w:tcPr>
          <w:p w14:paraId="3235610F"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275" w:type="dxa"/>
          </w:tcPr>
          <w:p w14:paraId="44D95264"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083" w:type="dxa"/>
          </w:tcPr>
          <w:p w14:paraId="603AAD47"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r w:rsidRPr="003C36D7">
              <w:rPr>
                <w:rFonts w:ascii="Arial Narrow" w:hAnsi="Arial Narrow" w:cs="Arial Narrow"/>
                <w:b/>
                <w:bCs/>
                <w:sz w:val="20"/>
                <w:szCs w:val="20"/>
              </w:rPr>
              <w:t>–5.1%</w:t>
            </w:r>
          </w:p>
        </w:tc>
      </w:tr>
      <w:tr w:rsidR="00CF699B" w:rsidRPr="003C36D7" w14:paraId="4DE6E232" w14:textId="77777777" w:rsidTr="003E4A52">
        <w:tc>
          <w:tcPr>
            <w:tcW w:w="2263" w:type="dxa"/>
          </w:tcPr>
          <w:p w14:paraId="65537080" w14:textId="3DAC213D"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Wu</w:t>
            </w:r>
            <w:r w:rsidR="003559A7">
              <w:rPr>
                <w:rFonts w:ascii="Arial Narrow" w:hAnsi="Arial Narrow" w:cs="Arial Narrow"/>
                <w:bCs/>
                <w:sz w:val="20"/>
                <w:szCs w:val="20"/>
              </w:rPr>
              <w:t>, KC</w:t>
            </w:r>
            <w:r w:rsidRPr="003C36D7">
              <w:rPr>
                <w:rFonts w:ascii="Arial Narrow" w:hAnsi="Arial Narrow" w:cs="Arial Narrow"/>
                <w:bCs/>
                <w:sz w:val="20"/>
                <w:szCs w:val="20"/>
              </w:rPr>
              <w:t xml:space="preserve"> et al. (2012)</w:t>
            </w:r>
          </w:p>
          <w:p w14:paraId="4D0FC7EC"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USA</w:t>
            </w:r>
          </w:p>
          <w:p w14:paraId="71759860"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 xml:space="preserve">Prospective cohort </w:t>
            </w:r>
          </w:p>
          <w:p w14:paraId="47638D71" w14:textId="77777777" w:rsidR="00CF699B" w:rsidRPr="003C36D7" w:rsidRDefault="00CF699B" w:rsidP="004C79C1">
            <w:pPr>
              <w:tabs>
                <w:tab w:val="left" w:pos="1418"/>
              </w:tabs>
              <w:spacing w:before="0" w:after="120" w:line="240" w:lineRule="auto"/>
              <w:rPr>
                <w:rFonts w:ascii="Arial Narrow" w:hAnsi="Arial Narrow" w:cs="Arial Narrow"/>
                <w:bCs/>
                <w:sz w:val="20"/>
                <w:szCs w:val="20"/>
              </w:rPr>
            </w:pPr>
            <w:r w:rsidRPr="003C36D7">
              <w:rPr>
                <w:rFonts w:ascii="Arial Narrow" w:hAnsi="Arial Narrow" w:cs="Arial Narrow"/>
                <w:bCs/>
                <w:sz w:val="20"/>
                <w:szCs w:val="20"/>
              </w:rPr>
              <w:t>Low risk of bias</w:t>
            </w:r>
          </w:p>
        </w:tc>
        <w:tc>
          <w:tcPr>
            <w:tcW w:w="1985" w:type="dxa"/>
          </w:tcPr>
          <w:p w14:paraId="5135F78D" w14:textId="07D09882" w:rsidR="00CF699B"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Chronic ICM and NICM for ICD implantation, LVEF ≤35%</w:t>
            </w:r>
          </w:p>
          <w:p w14:paraId="1E66AB59" w14:textId="724402C1" w:rsidR="00CF699B" w:rsidRPr="003C36D7" w:rsidRDefault="00CF699B" w:rsidP="004C79C1">
            <w:pPr>
              <w:tabs>
                <w:tab w:val="left" w:pos="1418"/>
              </w:tabs>
              <w:spacing w:before="0" w:after="120" w:line="240" w:lineRule="auto"/>
              <w:rPr>
                <w:rFonts w:ascii="Arial Narrow" w:hAnsi="Arial Narrow" w:cs="Arial Narrow"/>
                <w:bCs/>
                <w:sz w:val="20"/>
                <w:szCs w:val="20"/>
              </w:rPr>
            </w:pPr>
            <w:r>
              <w:rPr>
                <w:rFonts w:ascii="Arial Narrow" w:hAnsi="Arial Narrow" w:cs="Arial Narrow"/>
                <w:bCs/>
                <w:sz w:val="20"/>
                <w:szCs w:val="20"/>
              </w:rPr>
              <w:t>N=98 (NICM subgroup)</w:t>
            </w:r>
          </w:p>
        </w:tc>
        <w:tc>
          <w:tcPr>
            <w:tcW w:w="1134" w:type="dxa"/>
          </w:tcPr>
          <w:p w14:paraId="63C847FA"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p>
        </w:tc>
        <w:tc>
          <w:tcPr>
            <w:tcW w:w="1276" w:type="dxa"/>
          </w:tcPr>
          <w:p w14:paraId="157E2913"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21 ± 7%</w:t>
            </w:r>
          </w:p>
        </w:tc>
        <w:tc>
          <w:tcPr>
            <w:tcW w:w="1275" w:type="dxa"/>
          </w:tcPr>
          <w:p w14:paraId="23FA7CEB"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25 ± 10%</w:t>
            </w:r>
          </w:p>
        </w:tc>
        <w:tc>
          <w:tcPr>
            <w:tcW w:w="1083" w:type="dxa"/>
          </w:tcPr>
          <w:p w14:paraId="5B9713FE" w14:textId="77777777" w:rsidR="00CF699B" w:rsidRPr="003C36D7" w:rsidRDefault="00CF699B" w:rsidP="004C79C1">
            <w:pPr>
              <w:tabs>
                <w:tab w:val="left" w:pos="1418"/>
              </w:tabs>
              <w:spacing w:before="0" w:after="120" w:line="240" w:lineRule="auto"/>
              <w:jc w:val="center"/>
              <w:rPr>
                <w:rFonts w:ascii="Arial Narrow" w:hAnsi="Arial Narrow" w:cs="Arial Narrow"/>
                <w:bCs/>
                <w:sz w:val="20"/>
                <w:szCs w:val="20"/>
              </w:rPr>
            </w:pPr>
            <w:r w:rsidRPr="003C36D7">
              <w:rPr>
                <w:rFonts w:ascii="Arial Narrow" w:hAnsi="Arial Narrow" w:cs="Arial Narrow"/>
                <w:bCs/>
                <w:sz w:val="20"/>
                <w:szCs w:val="20"/>
              </w:rPr>
              <w:t>+4%</w:t>
            </w:r>
          </w:p>
        </w:tc>
      </w:tr>
      <w:tr w:rsidR="00CF699B" w:rsidRPr="007F2E0E" w14:paraId="05DD4A55" w14:textId="77777777" w:rsidTr="003E4A52">
        <w:tc>
          <w:tcPr>
            <w:tcW w:w="2263" w:type="dxa"/>
          </w:tcPr>
          <w:p w14:paraId="2D8079B9" w14:textId="77777777" w:rsidR="00CF699B" w:rsidRPr="003C36D7" w:rsidRDefault="00CF699B" w:rsidP="004C79C1">
            <w:pPr>
              <w:tabs>
                <w:tab w:val="left" w:pos="1418"/>
              </w:tabs>
              <w:spacing w:before="0" w:after="120" w:line="240" w:lineRule="auto"/>
              <w:rPr>
                <w:rFonts w:ascii="Arial Narrow" w:hAnsi="Arial Narrow" w:cs="Arial Narrow"/>
                <w:b/>
                <w:bCs/>
                <w:sz w:val="20"/>
                <w:szCs w:val="20"/>
              </w:rPr>
            </w:pPr>
            <w:r w:rsidRPr="003C36D7">
              <w:rPr>
                <w:rFonts w:ascii="Arial Narrow" w:hAnsi="Arial Narrow" w:cs="Arial Narrow"/>
                <w:b/>
                <w:bCs/>
                <w:sz w:val="20"/>
                <w:szCs w:val="20"/>
              </w:rPr>
              <w:t>Overall mean difference</w:t>
            </w:r>
          </w:p>
        </w:tc>
        <w:tc>
          <w:tcPr>
            <w:tcW w:w="1985" w:type="dxa"/>
          </w:tcPr>
          <w:p w14:paraId="34CA74B7" w14:textId="77777777" w:rsidR="00CF699B" w:rsidRPr="007F2E0E" w:rsidRDefault="00CF699B" w:rsidP="004C79C1">
            <w:pPr>
              <w:tabs>
                <w:tab w:val="left" w:pos="1418"/>
              </w:tabs>
              <w:spacing w:before="0" w:after="120" w:line="240" w:lineRule="auto"/>
              <w:rPr>
                <w:rFonts w:ascii="Arial Narrow" w:hAnsi="Arial Narrow" w:cs="Arial Narrow"/>
                <w:b/>
                <w:bCs/>
                <w:sz w:val="20"/>
                <w:szCs w:val="20"/>
              </w:rPr>
            </w:pPr>
          </w:p>
        </w:tc>
        <w:tc>
          <w:tcPr>
            <w:tcW w:w="1134" w:type="dxa"/>
          </w:tcPr>
          <w:p w14:paraId="55EC6765"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276" w:type="dxa"/>
          </w:tcPr>
          <w:p w14:paraId="69478281"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275" w:type="dxa"/>
          </w:tcPr>
          <w:p w14:paraId="77666F85"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p>
        </w:tc>
        <w:tc>
          <w:tcPr>
            <w:tcW w:w="1083" w:type="dxa"/>
          </w:tcPr>
          <w:p w14:paraId="2FD1274C" w14:textId="77777777" w:rsidR="00CF699B" w:rsidRPr="003C36D7" w:rsidRDefault="00CF699B" w:rsidP="004C79C1">
            <w:pPr>
              <w:tabs>
                <w:tab w:val="left" w:pos="1418"/>
              </w:tabs>
              <w:spacing w:before="0" w:after="120" w:line="240" w:lineRule="auto"/>
              <w:jc w:val="center"/>
              <w:rPr>
                <w:rFonts w:ascii="Arial Narrow" w:hAnsi="Arial Narrow" w:cs="Arial Narrow"/>
                <w:b/>
                <w:bCs/>
                <w:sz w:val="20"/>
                <w:szCs w:val="20"/>
              </w:rPr>
            </w:pPr>
            <w:r w:rsidRPr="003C36D7">
              <w:rPr>
                <w:rFonts w:ascii="Arial Narrow" w:hAnsi="Arial Narrow" w:cs="Arial Narrow"/>
                <w:b/>
                <w:bCs/>
                <w:sz w:val="20"/>
                <w:szCs w:val="20"/>
              </w:rPr>
              <w:t>–2.8%</w:t>
            </w:r>
          </w:p>
        </w:tc>
      </w:tr>
    </w:tbl>
    <w:p w14:paraId="04D47E96" w14:textId="734E7C9F" w:rsidR="00FE676C" w:rsidRDefault="00FE676C" w:rsidP="004C79C1">
      <w:pPr>
        <w:pStyle w:val="Tablenotes0"/>
        <w:spacing w:before="0" w:after="120"/>
      </w:pPr>
      <w:proofErr w:type="gramStart"/>
      <w:r>
        <w:rPr>
          <w:vertAlign w:val="superscript"/>
        </w:rPr>
        <w:t>a</w:t>
      </w:r>
      <w:proofErr w:type="gramEnd"/>
      <w:r>
        <w:rPr>
          <w:vertAlign w:val="superscript"/>
        </w:rPr>
        <w:t xml:space="preserve"> </w:t>
      </w:r>
      <w:r>
        <w:t xml:space="preserve">Non-CMR LVEF was assessed clinically by </w:t>
      </w:r>
      <w:r w:rsidR="00A21115">
        <w:t>echocardiography</w:t>
      </w:r>
      <w:r>
        <w:t>, SPECT or ventriculography.</w:t>
      </w:r>
    </w:p>
    <w:p w14:paraId="15794971" w14:textId="583CF2C7" w:rsidR="00CF699B" w:rsidRDefault="00FE676C" w:rsidP="004C79C1">
      <w:pPr>
        <w:pStyle w:val="Tablenotes0"/>
        <w:spacing w:before="0" w:after="120"/>
      </w:pPr>
      <w:r>
        <w:t xml:space="preserve">CM = </w:t>
      </w:r>
      <w:r w:rsidR="0032148F" w:rsidRPr="0032148F">
        <w:rPr>
          <w:vanish/>
        </w:rPr>
        <w:t xml:space="preserve">CMR = </w:t>
      </w:r>
      <w:r w:rsidR="0032148F" w:rsidRPr="000703F3">
        <w:t>cardiac magneti</w:t>
      </w:r>
      <w:r w:rsidR="00032DB1">
        <w:t>c</w:t>
      </w:r>
      <w:r w:rsidR="0032148F" w:rsidRPr="000703F3">
        <w:t xml:space="preserve"> </w:t>
      </w:r>
      <w:r w:rsidR="00032DB1">
        <w:t>(</w:t>
      </w:r>
      <w:r w:rsidR="0032148F" w:rsidRPr="000703F3">
        <w:t>imaging</w:t>
      </w:r>
      <w:r w:rsidR="00032DB1">
        <w:t>)</w:t>
      </w:r>
      <w:proofErr w:type="gramStart"/>
      <w:r w:rsidR="0032148F" w:rsidRPr="0032148F">
        <w:t>;</w:t>
      </w:r>
      <w:proofErr w:type="gramEnd"/>
      <w:r w:rsidR="0032148F" w:rsidRPr="0032148F">
        <w:rPr>
          <w:vanish/>
        </w:rPr>
        <w:t xml:space="preserve"> </w:t>
      </w:r>
      <w:r w:rsidR="00CF699B" w:rsidRPr="0032148F">
        <w:rPr>
          <w:vanish/>
        </w:rPr>
        <w:t>DCM</w:t>
      </w:r>
      <w:r w:rsidR="000715B7" w:rsidRPr="0032148F">
        <w:rPr>
          <w:vanish/>
        </w:rPr>
        <w:t xml:space="preserve"> </w:t>
      </w:r>
      <w:r w:rsidR="00CF699B" w:rsidRPr="0032148F">
        <w:rPr>
          <w:vanish/>
        </w:rPr>
        <w:t>=</w:t>
      </w:r>
      <w:r w:rsidR="00F92A3B" w:rsidRPr="0032148F">
        <w:rPr>
          <w:vanish/>
        </w:rPr>
        <w:t xml:space="preserve"> </w:t>
      </w:r>
      <w:r w:rsidR="00CF699B" w:rsidRPr="0032148F">
        <w:t>dilated cardiomyopathy;</w:t>
      </w:r>
      <w:r w:rsidR="004F632C">
        <w:t xml:space="preserve"> Echo = echocardiography;</w:t>
      </w:r>
      <w:r w:rsidR="00CF699B" w:rsidRPr="0032148F">
        <w:t xml:space="preserve"> ICD</w:t>
      </w:r>
      <w:r w:rsidR="00F92A3B" w:rsidRPr="0032148F">
        <w:t xml:space="preserve"> </w:t>
      </w:r>
      <w:r w:rsidR="00CF699B" w:rsidRPr="0032148F">
        <w:t>=</w:t>
      </w:r>
      <w:r w:rsidR="00F92A3B" w:rsidRPr="0032148F">
        <w:t xml:space="preserve"> </w:t>
      </w:r>
      <w:r w:rsidR="00CF699B" w:rsidRPr="0032148F">
        <w:t xml:space="preserve">implantable </w:t>
      </w:r>
      <w:r w:rsidR="0026063B">
        <w:t>cardioverter defibrillator</w:t>
      </w:r>
      <w:r w:rsidR="00CF699B" w:rsidRPr="0032148F">
        <w:t>;</w:t>
      </w:r>
      <w:r w:rsidR="00CF699B">
        <w:t xml:space="preserve"> ICM</w:t>
      </w:r>
      <w:r w:rsidR="00F92A3B">
        <w:t xml:space="preserve"> </w:t>
      </w:r>
      <w:r w:rsidR="00CF699B">
        <w:t>=</w:t>
      </w:r>
      <w:r w:rsidR="00F92A3B">
        <w:t xml:space="preserve"> </w:t>
      </w:r>
      <w:r w:rsidR="00CF699B">
        <w:t>isch</w:t>
      </w:r>
      <w:r w:rsidR="00F92A3B">
        <w:t>a</w:t>
      </w:r>
      <w:r w:rsidR="00CF699B">
        <w:t>emic cardiomyopathy; NICM</w:t>
      </w:r>
      <w:r w:rsidR="00F92A3B">
        <w:t xml:space="preserve"> </w:t>
      </w:r>
      <w:r w:rsidR="00CF699B">
        <w:t>=</w:t>
      </w:r>
      <w:r w:rsidR="00F92A3B">
        <w:t xml:space="preserve"> </w:t>
      </w:r>
      <w:r w:rsidR="00CF699B">
        <w:t>non-isch</w:t>
      </w:r>
      <w:r w:rsidR="00E568F7">
        <w:t>a</w:t>
      </w:r>
      <w:r w:rsidR="00CF699B">
        <w:t>emic cardiomyopathy; NIDCM</w:t>
      </w:r>
      <w:r w:rsidR="00F92A3B">
        <w:t xml:space="preserve"> </w:t>
      </w:r>
      <w:r w:rsidR="00CF699B">
        <w:t>=</w:t>
      </w:r>
      <w:r w:rsidR="00F92A3B">
        <w:t xml:space="preserve"> </w:t>
      </w:r>
      <w:r w:rsidR="00CF699B">
        <w:t>non-isch</w:t>
      </w:r>
      <w:r w:rsidR="00F92A3B">
        <w:t>a</w:t>
      </w:r>
      <w:r w:rsidR="00CF699B">
        <w:t xml:space="preserve">emic dilated cardiomyopathy; </w:t>
      </w:r>
      <w:r w:rsidR="00E640F0" w:rsidRPr="00E640F0">
        <w:t xml:space="preserve">LGE = </w:t>
      </w:r>
      <w:r w:rsidR="00E640F0" w:rsidRPr="000703F3">
        <w:t>late gadolinium enhancement</w:t>
      </w:r>
      <w:r w:rsidR="00E640F0" w:rsidRPr="00E640F0">
        <w:t xml:space="preserve">; </w:t>
      </w:r>
      <w:r w:rsidR="00CF699B" w:rsidRPr="00E640F0">
        <w:t>LVEF</w:t>
      </w:r>
      <w:r w:rsidR="00F92A3B" w:rsidRPr="00E640F0">
        <w:t xml:space="preserve"> </w:t>
      </w:r>
      <w:r w:rsidR="00CF699B" w:rsidRPr="00E640F0">
        <w:t>=</w:t>
      </w:r>
      <w:r w:rsidR="00F92A3B" w:rsidRPr="00E640F0">
        <w:t xml:space="preserve"> </w:t>
      </w:r>
      <w:r w:rsidR="00CF699B" w:rsidRPr="00E640F0">
        <w:t xml:space="preserve">left ventricular ejection fraction </w:t>
      </w:r>
    </w:p>
    <w:p w14:paraId="3A0D2C56" w14:textId="23BD105C" w:rsidR="00CF699B" w:rsidRDefault="00CF699B" w:rsidP="004C79C1">
      <w:pPr>
        <w:spacing w:after="120" w:line="240" w:lineRule="auto"/>
        <w:jc w:val="both"/>
      </w:pPr>
      <w:r>
        <w:t xml:space="preserve">The </w:t>
      </w:r>
      <w:r w:rsidR="00EF0759">
        <w:t xml:space="preserve">2 </w:t>
      </w:r>
      <w:r>
        <w:t>studies conducted in US</w:t>
      </w:r>
      <w:r w:rsidR="00F03894">
        <w:t>A</w:t>
      </w:r>
      <w:r>
        <w:t xml:space="preserve"> reported higher CMR LVEF values compared </w:t>
      </w:r>
      <w:r w:rsidR="00F03894">
        <w:t xml:space="preserve">with </w:t>
      </w:r>
      <w:r>
        <w:t xml:space="preserve">those measured by </w:t>
      </w:r>
      <w:r w:rsidR="004F632C">
        <w:t>echocardiography</w:t>
      </w:r>
      <w:r>
        <w:t xml:space="preserve">. In contrast, the </w:t>
      </w:r>
      <w:r w:rsidR="00F03894">
        <w:t xml:space="preserve">2 </w:t>
      </w:r>
      <w:r>
        <w:t xml:space="preserve">Asian studies reported lower CMR LVEF values in comparison </w:t>
      </w:r>
      <w:r w:rsidR="00F03894">
        <w:t xml:space="preserve">with </w:t>
      </w:r>
      <w:r w:rsidR="004F632C">
        <w:t>echocardiography</w:t>
      </w:r>
      <w:r>
        <w:t xml:space="preserve">. This variation may be explained by differences in population or assessment techniques, or may be a random effect. Overall, there was a lower </w:t>
      </w:r>
      <w:r w:rsidR="00F03894">
        <w:t>m</w:t>
      </w:r>
      <w:r>
        <w:t xml:space="preserve">ean LVEF within populations when measured by CMR compared </w:t>
      </w:r>
      <w:r w:rsidR="00F03894">
        <w:t xml:space="preserve">with </w:t>
      </w:r>
      <w:r w:rsidR="004F632C">
        <w:t>echocardiography</w:t>
      </w:r>
      <w:r>
        <w:t>. In the SR by As</w:t>
      </w:r>
      <w:r w:rsidR="00A040C0">
        <w:t>f</w:t>
      </w:r>
      <w:r>
        <w:t>erg et al</w:t>
      </w:r>
      <w:r w:rsidR="008D28CD">
        <w:t>.</w:t>
      </w:r>
      <w:r>
        <w:t xml:space="preserve"> (2012) there was no difference found in LVEF measured by CMR versus CTCA and that measured by </w:t>
      </w:r>
      <w:r w:rsidR="004F632C">
        <w:t>echocardiography</w:t>
      </w:r>
      <w:r>
        <w:t xml:space="preserve"> versus</w:t>
      </w:r>
      <w:r w:rsidR="000D3EEB">
        <w:t xml:space="preserve"> CTCA</w:t>
      </w:r>
      <w:r>
        <w:t xml:space="preserve">, although in </w:t>
      </w:r>
      <w:r w:rsidR="009B159F">
        <w:t>HF</w:t>
      </w:r>
      <w:r>
        <w:t xml:space="preserve"> patients there was a trend towards larger </w:t>
      </w:r>
      <w:r w:rsidR="006728A4">
        <w:t>%</w:t>
      </w:r>
      <w:r>
        <w:t xml:space="preserve">LVEF measured by CTCA compared with </w:t>
      </w:r>
      <w:r w:rsidR="004F632C">
        <w:t>echocardiography</w:t>
      </w:r>
      <w:r>
        <w:t>.</w:t>
      </w:r>
    </w:p>
    <w:p w14:paraId="266AA740" w14:textId="52B13042" w:rsidR="00CF699B" w:rsidRDefault="00CF699B" w:rsidP="004C79C1">
      <w:pPr>
        <w:spacing w:after="120" w:line="240" w:lineRule="auto"/>
        <w:jc w:val="both"/>
      </w:pPr>
      <w:r>
        <w:t xml:space="preserve">If CMR rather than </w:t>
      </w:r>
      <w:r w:rsidR="004F632C">
        <w:t>echocardiography</w:t>
      </w:r>
      <w:r>
        <w:t xml:space="preserve"> was used to determine LVEF for CRT or ICD reimbursement eligibility, there is a possibility </w:t>
      </w:r>
      <w:r w:rsidR="005C2EDE">
        <w:t xml:space="preserve">that </w:t>
      </w:r>
      <w:r>
        <w:t>this could lead to a larger number of implantations and reimbursements by Medicare. More</w:t>
      </w:r>
      <w:r w:rsidR="005C2EDE">
        <w:t>-</w:t>
      </w:r>
      <w:r>
        <w:t xml:space="preserve">accurate information could inform this scenario should reliable diagnostic performance data comparing </w:t>
      </w:r>
      <w:r w:rsidR="004F632C">
        <w:t>echocardiography</w:t>
      </w:r>
      <w:r>
        <w:t xml:space="preserve"> and LVEF become available.</w:t>
      </w:r>
    </w:p>
    <w:p w14:paraId="03416297" w14:textId="77777777" w:rsidR="00CA5E4C" w:rsidRPr="00460FD0" w:rsidRDefault="00CA5E4C" w:rsidP="004C79C1">
      <w:pPr>
        <w:spacing w:after="120" w:line="240" w:lineRule="auto"/>
        <w:jc w:val="both"/>
        <w:rPr>
          <w:vanish/>
          <w:color w:val="C00000"/>
        </w:rPr>
      </w:pPr>
    </w:p>
    <w:p w14:paraId="7E6FDE38" w14:textId="1BB59951" w:rsidR="004E45C4" w:rsidRPr="00183E4D" w:rsidRDefault="004E45C4" w:rsidP="004C79C1">
      <w:pPr>
        <w:pStyle w:val="Heading1"/>
        <w:spacing w:after="120" w:line="240" w:lineRule="auto"/>
      </w:pPr>
      <w:bookmarkStart w:id="765" w:name="_Ref352745383"/>
      <w:bookmarkStart w:id="766" w:name="_Toc352254677"/>
      <w:bookmarkStart w:id="767" w:name="_Toc352672949"/>
      <w:bookmarkStart w:id="768" w:name="_Toc355274740"/>
      <w:bookmarkStart w:id="769" w:name="_Toc379118097"/>
      <w:bookmarkStart w:id="770" w:name="_Toc381796496"/>
      <w:bookmarkStart w:id="771" w:name="_Toc451501404"/>
      <w:bookmarkStart w:id="772" w:name="_Ref237760111"/>
      <w:bookmarkEnd w:id="509"/>
      <w:bookmarkEnd w:id="657"/>
      <w:r w:rsidRPr="00183E4D">
        <w:lastRenderedPageBreak/>
        <w:t xml:space="preserve">Appendix </w:t>
      </w:r>
      <w:fldSimple w:instr=" SEQ Appendix \* ALPHABETIC ">
        <w:r w:rsidR="00460601">
          <w:rPr>
            <w:noProof/>
          </w:rPr>
          <w:t>A</w:t>
        </w:r>
      </w:fldSimple>
      <w:bookmarkEnd w:id="765"/>
      <w:bookmarkEnd w:id="766"/>
      <w:bookmarkEnd w:id="767"/>
      <w:r w:rsidR="00745565" w:rsidRPr="00183E4D">
        <w:tab/>
      </w:r>
      <w:r w:rsidR="003E626D">
        <w:t>Clinical Experts</w:t>
      </w:r>
      <w:r w:rsidR="00745565" w:rsidRPr="00183E4D">
        <w:t xml:space="preserve"> </w:t>
      </w:r>
      <w:r w:rsidRPr="00183E4D">
        <w:t>and Assessment Group</w:t>
      </w:r>
      <w:bookmarkEnd w:id="768"/>
      <w:bookmarkEnd w:id="769"/>
      <w:bookmarkEnd w:id="770"/>
      <w:bookmarkEnd w:id="771"/>
    </w:p>
    <w:p w14:paraId="1BF39720" w14:textId="3E6D30EB" w:rsidR="004E45C4" w:rsidRDefault="001F24B0" w:rsidP="004C79C1">
      <w:pPr>
        <w:pStyle w:val="Heading2"/>
        <w:spacing w:before="0" w:after="120" w:line="240" w:lineRule="auto"/>
        <w:jc w:val="both"/>
      </w:pPr>
      <w:bookmarkStart w:id="773" w:name="_Toc451501405"/>
      <w:r>
        <w:t>Clinical Experts</w:t>
      </w:r>
      <w:bookmarkEnd w:id="773"/>
    </w:p>
    <w:p w14:paraId="5312789B" w14:textId="3E21F904" w:rsidR="001F24B0" w:rsidRPr="001F24B0" w:rsidRDefault="001F24B0" w:rsidP="004C79C1">
      <w:pPr>
        <w:spacing w:after="120" w:line="240" w:lineRule="auto"/>
      </w:pPr>
      <w:proofErr w:type="gramStart"/>
      <w:r>
        <w:t>Clinical experts who provided clinical input or data.</w:t>
      </w:r>
      <w:proofErr w:type="gramEnd"/>
    </w:p>
    <w:p w14:paraId="576A0322" w14:textId="77777777" w:rsidR="003E626D" w:rsidRPr="00183E4D" w:rsidRDefault="003E626D" w:rsidP="004C79C1">
      <w:pPr>
        <w:tabs>
          <w:tab w:val="left" w:pos="4111"/>
        </w:tabs>
        <w:spacing w:after="120" w:line="240" w:lineRule="auto"/>
        <w:jc w:val="both"/>
        <w:rPr>
          <w:u w:val="single"/>
        </w:rPr>
      </w:pPr>
      <w:r w:rsidRPr="00183E4D">
        <w:rPr>
          <w:u w:val="single"/>
        </w:rPr>
        <w:t>Name</w:t>
      </w:r>
      <w:r w:rsidRPr="00183E4D">
        <w:tab/>
      </w:r>
      <w:r>
        <w:rPr>
          <w:u w:val="single"/>
        </w:rPr>
        <w:t>Expertise</w:t>
      </w:r>
    </w:p>
    <w:p w14:paraId="19072391" w14:textId="791102A3" w:rsidR="003E626D" w:rsidRDefault="001F24B0" w:rsidP="004C79C1">
      <w:pPr>
        <w:tabs>
          <w:tab w:val="left" w:pos="4111"/>
        </w:tabs>
        <w:spacing w:after="120" w:line="240" w:lineRule="auto"/>
        <w:ind w:left="4110" w:hanging="4110"/>
        <w:jc w:val="both"/>
      </w:pPr>
      <w:r>
        <w:t>Dr John Younger</w:t>
      </w:r>
      <w:r>
        <w:tab/>
        <w:t>Consultant cardiologist at the Royal Brisbane and Women's Hospital and St Andrew's War Memorial Hospital</w:t>
      </w:r>
      <w:r w:rsidR="005360BE">
        <w:t>, and</w:t>
      </w:r>
      <w:r>
        <w:t xml:space="preserve"> senior lecturer at the University of Queensland</w:t>
      </w:r>
    </w:p>
    <w:p w14:paraId="2E6A0023" w14:textId="21E02F4D" w:rsidR="001F24B0" w:rsidRDefault="001F24B0" w:rsidP="004C79C1">
      <w:pPr>
        <w:tabs>
          <w:tab w:val="left" w:pos="4111"/>
        </w:tabs>
        <w:spacing w:after="120" w:line="240" w:lineRule="auto"/>
        <w:ind w:left="4110" w:hanging="4110"/>
        <w:jc w:val="both"/>
      </w:pPr>
      <w:r>
        <w:t>A</w:t>
      </w:r>
      <w:r w:rsidR="005360BE">
        <w:t xml:space="preserve">ssoc. </w:t>
      </w:r>
      <w:r>
        <w:t>Prof</w:t>
      </w:r>
      <w:r w:rsidR="005360BE">
        <w:t>.</w:t>
      </w:r>
      <w:r>
        <w:t xml:space="preserve"> John Atherton</w:t>
      </w:r>
      <w:r>
        <w:tab/>
        <w:t>Director of Cardiology at the Royal Brisbane and Women's Hospital</w:t>
      </w:r>
      <w:r w:rsidR="00983B5F">
        <w:t>,</w:t>
      </w:r>
      <w:r>
        <w:t xml:space="preserve"> and Associate Professor, Department of Medicine, University of Queensland</w:t>
      </w:r>
    </w:p>
    <w:p w14:paraId="11E8916B" w14:textId="3DB143E6" w:rsidR="001F24B0" w:rsidRDefault="001F24B0" w:rsidP="004C79C1">
      <w:pPr>
        <w:tabs>
          <w:tab w:val="left" w:pos="4111"/>
        </w:tabs>
        <w:spacing w:after="120" w:line="240" w:lineRule="auto"/>
        <w:ind w:left="4110" w:hanging="4110"/>
        <w:jc w:val="both"/>
      </w:pPr>
      <w:r>
        <w:t>A</w:t>
      </w:r>
      <w:r w:rsidR="005360BE">
        <w:t xml:space="preserve">ssoc. </w:t>
      </w:r>
      <w:r>
        <w:t>Prof</w:t>
      </w:r>
      <w:r w:rsidR="005360BE">
        <w:t>.</w:t>
      </w:r>
      <w:r>
        <w:t xml:space="preserve"> Andrew Taylor</w:t>
      </w:r>
      <w:r>
        <w:tab/>
        <w:t xml:space="preserve">Cardiologist at the Alfred Hospital working within the Heart Failure and Transplant Unit, where he is Director of Cardiac Magnetic Resonance (CMR) Imaging and Head of Non-Invasive Imaging. </w:t>
      </w:r>
      <w:r w:rsidR="00AC55AC">
        <w:t>He is also a researcher at</w:t>
      </w:r>
      <w:r>
        <w:t xml:space="preserve"> BakerIDI, with a strong research interest in CMR and heart failure</w:t>
      </w:r>
      <w:bookmarkStart w:id="774" w:name="_Toc379118099"/>
      <w:bookmarkStart w:id="775" w:name="_Toc381796498"/>
    </w:p>
    <w:p w14:paraId="3ACFF8EE" w14:textId="5486AF83" w:rsidR="004E45C4" w:rsidRDefault="004E45C4" w:rsidP="004C79C1">
      <w:pPr>
        <w:pStyle w:val="Heading2"/>
        <w:spacing w:before="0" w:after="120" w:line="240" w:lineRule="auto"/>
        <w:jc w:val="both"/>
      </w:pPr>
      <w:bookmarkStart w:id="776" w:name="_Toc451501406"/>
      <w:r w:rsidRPr="00183E4D">
        <w:t xml:space="preserve">Assessment </w:t>
      </w:r>
      <w:r w:rsidR="0060319C">
        <w:t>G</w:t>
      </w:r>
      <w:r w:rsidRPr="00183E4D">
        <w:t>roup</w:t>
      </w:r>
      <w:bookmarkEnd w:id="774"/>
      <w:bookmarkEnd w:id="775"/>
      <w:bookmarkEnd w:id="776"/>
      <w:r w:rsidR="003E626D">
        <w:t xml:space="preserve"> </w:t>
      </w:r>
    </w:p>
    <w:p w14:paraId="4867E285" w14:textId="5469D531" w:rsidR="00325A6A" w:rsidRPr="00325A6A" w:rsidRDefault="00325A6A" w:rsidP="004C79C1">
      <w:pPr>
        <w:spacing w:after="120" w:line="240" w:lineRule="auto"/>
        <w:rPr>
          <w:b/>
        </w:rPr>
      </w:pPr>
      <w:r w:rsidRPr="00325A6A">
        <w:rPr>
          <w:b/>
        </w:rPr>
        <w:t>AHTA, University of Adelaide, South Australia</w:t>
      </w:r>
    </w:p>
    <w:p w14:paraId="2741D768" w14:textId="77777777" w:rsidR="003D68AD" w:rsidRDefault="004E45C4" w:rsidP="004C79C1">
      <w:pPr>
        <w:tabs>
          <w:tab w:val="left" w:pos="4111"/>
        </w:tabs>
        <w:spacing w:after="120" w:line="240" w:lineRule="auto"/>
        <w:jc w:val="both"/>
        <w:rPr>
          <w:u w:val="single"/>
        </w:rPr>
      </w:pPr>
      <w:r w:rsidRPr="00183E4D">
        <w:rPr>
          <w:u w:val="single"/>
        </w:rPr>
        <w:t>Name</w:t>
      </w:r>
      <w:r w:rsidRPr="00183E4D">
        <w:tab/>
      </w:r>
      <w:r w:rsidR="003D68AD">
        <w:rPr>
          <w:u w:val="single"/>
        </w:rPr>
        <w:t>Position</w:t>
      </w:r>
    </w:p>
    <w:p w14:paraId="2731274D" w14:textId="23F18B4D" w:rsidR="003D68AD" w:rsidRPr="003D68AD" w:rsidRDefault="009E2317" w:rsidP="004C79C1">
      <w:pPr>
        <w:tabs>
          <w:tab w:val="left" w:pos="4111"/>
        </w:tabs>
        <w:spacing w:after="120" w:line="240" w:lineRule="auto"/>
        <w:jc w:val="both"/>
        <w:rPr>
          <w:u w:val="single"/>
        </w:rPr>
      </w:pPr>
      <w:r>
        <w:t>Sharon Kessels</w:t>
      </w:r>
      <w:r>
        <w:tab/>
      </w:r>
      <w:r w:rsidR="003D68AD">
        <w:t>Research Officer</w:t>
      </w:r>
    </w:p>
    <w:p w14:paraId="122A8127" w14:textId="4BBE7CBD" w:rsidR="000F5A64" w:rsidRDefault="000F5A64" w:rsidP="004C79C1">
      <w:pPr>
        <w:tabs>
          <w:tab w:val="left" w:pos="4111"/>
        </w:tabs>
        <w:spacing w:after="120" w:line="240" w:lineRule="auto"/>
        <w:jc w:val="both"/>
      </w:pPr>
      <w:r>
        <w:t>Ruchi Mittal</w:t>
      </w:r>
      <w:r>
        <w:tab/>
        <w:t>Health Economist</w:t>
      </w:r>
    </w:p>
    <w:p w14:paraId="6C49AD88" w14:textId="0479BD47" w:rsidR="009E2317" w:rsidRDefault="003D68AD" w:rsidP="004C79C1">
      <w:pPr>
        <w:tabs>
          <w:tab w:val="left" w:pos="4111"/>
        </w:tabs>
        <w:spacing w:after="120" w:line="240" w:lineRule="auto"/>
        <w:jc w:val="both"/>
      </w:pPr>
      <w:r>
        <w:t>Judy Morona</w:t>
      </w:r>
      <w:r>
        <w:tab/>
        <w:t>Senior Research Officer</w:t>
      </w:r>
    </w:p>
    <w:p w14:paraId="62D83413" w14:textId="1D59ADF8" w:rsidR="003D68AD" w:rsidRDefault="003D68AD" w:rsidP="004C79C1">
      <w:pPr>
        <w:tabs>
          <w:tab w:val="left" w:pos="4111"/>
        </w:tabs>
        <w:spacing w:after="120" w:line="240" w:lineRule="auto"/>
        <w:jc w:val="both"/>
      </w:pPr>
      <w:r>
        <w:t>Skye Newton</w:t>
      </w:r>
      <w:r w:rsidR="000F5A64">
        <w:tab/>
        <w:t>Team Leader (Medical HTA)</w:t>
      </w:r>
    </w:p>
    <w:p w14:paraId="71336061" w14:textId="5B055AD4" w:rsidR="000F5A64" w:rsidRDefault="000F5A64" w:rsidP="004C79C1">
      <w:pPr>
        <w:tabs>
          <w:tab w:val="left" w:pos="4111"/>
        </w:tabs>
        <w:spacing w:after="120" w:line="240" w:lineRule="auto"/>
        <w:jc w:val="both"/>
      </w:pPr>
      <w:r>
        <w:t>Ben Ellery</w:t>
      </w:r>
      <w:r>
        <w:tab/>
        <w:t>Research Officer</w:t>
      </w:r>
    </w:p>
    <w:p w14:paraId="4403ACB3" w14:textId="7DED37C3" w:rsidR="000F5A64" w:rsidRDefault="000F5A64" w:rsidP="004C79C1">
      <w:pPr>
        <w:tabs>
          <w:tab w:val="left" w:pos="4111"/>
        </w:tabs>
        <w:spacing w:after="120" w:line="240" w:lineRule="auto"/>
        <w:jc w:val="both"/>
      </w:pPr>
      <w:r>
        <w:t>Joanne Milverton</w:t>
      </w:r>
      <w:r>
        <w:tab/>
        <w:t>Research Officer</w:t>
      </w:r>
    </w:p>
    <w:p w14:paraId="1B52AEA5" w14:textId="1473B5F9" w:rsidR="003D68AD" w:rsidRDefault="000F5A64" w:rsidP="004C79C1">
      <w:pPr>
        <w:tabs>
          <w:tab w:val="left" w:pos="4111"/>
        </w:tabs>
        <w:spacing w:after="120" w:line="240" w:lineRule="auto"/>
        <w:jc w:val="both"/>
      </w:pPr>
      <w:r>
        <w:t>Jacqueline</w:t>
      </w:r>
      <w:r w:rsidR="003D68AD">
        <w:t xml:space="preserve"> Parsons</w:t>
      </w:r>
      <w:r>
        <w:tab/>
        <w:t>Team Leader (Medical HTA)</w:t>
      </w:r>
    </w:p>
    <w:p w14:paraId="6255F724" w14:textId="4E081014" w:rsidR="00325A6A" w:rsidRDefault="00325A6A" w:rsidP="004C79C1">
      <w:pPr>
        <w:tabs>
          <w:tab w:val="left" w:pos="4111"/>
        </w:tabs>
        <w:spacing w:after="120" w:line="240" w:lineRule="auto"/>
        <w:jc w:val="both"/>
      </w:pPr>
      <w:r>
        <w:t>Arlene Vogan</w:t>
      </w:r>
      <w:r>
        <w:tab/>
        <w:t>Health Economist</w:t>
      </w:r>
    </w:p>
    <w:p w14:paraId="16F715A5" w14:textId="3959A4AD" w:rsidR="00325A6A" w:rsidRDefault="00325A6A" w:rsidP="004C79C1">
      <w:pPr>
        <w:tabs>
          <w:tab w:val="left" w:pos="4111"/>
        </w:tabs>
        <w:spacing w:after="120" w:line="240" w:lineRule="auto"/>
        <w:jc w:val="both"/>
      </w:pPr>
      <w:r>
        <w:t>Camille Schubert</w:t>
      </w:r>
      <w:r>
        <w:tab/>
        <w:t>Team Leader (Economics)</w:t>
      </w:r>
    </w:p>
    <w:p w14:paraId="16BBE7BB" w14:textId="710C5AD5" w:rsidR="000F5A64" w:rsidRDefault="000F5A64" w:rsidP="004C79C1">
      <w:pPr>
        <w:tabs>
          <w:tab w:val="left" w:pos="4111"/>
        </w:tabs>
        <w:spacing w:after="120" w:line="240" w:lineRule="auto"/>
        <w:jc w:val="both"/>
      </w:pPr>
      <w:r>
        <w:t>Tracy Merlin</w:t>
      </w:r>
      <w:r>
        <w:tab/>
        <w:t>Managing Director</w:t>
      </w:r>
    </w:p>
    <w:p w14:paraId="3A67D26F" w14:textId="70EE30D5" w:rsidR="004E45C4" w:rsidRPr="00183E4D" w:rsidRDefault="004E45C4" w:rsidP="004C79C1">
      <w:pPr>
        <w:pStyle w:val="Heading2"/>
        <w:spacing w:before="0" w:after="120" w:line="240" w:lineRule="auto"/>
      </w:pPr>
      <w:bookmarkStart w:id="777" w:name="_Toc352254679"/>
      <w:bookmarkStart w:id="778" w:name="_Toc352672951"/>
      <w:bookmarkStart w:id="779" w:name="_Toc352761736"/>
      <w:bookmarkStart w:id="780" w:name="_Toc451501407"/>
      <w:r w:rsidRPr="00183E4D">
        <w:t xml:space="preserve">Noted </w:t>
      </w:r>
      <w:r w:rsidR="0060319C">
        <w:t>C</w:t>
      </w:r>
      <w:r w:rsidRPr="00183E4D">
        <w:t xml:space="preserve">onflicts of </w:t>
      </w:r>
      <w:r w:rsidR="0060319C">
        <w:t>I</w:t>
      </w:r>
      <w:r w:rsidRPr="00183E4D">
        <w:t>nterest</w:t>
      </w:r>
      <w:bookmarkEnd w:id="777"/>
      <w:bookmarkEnd w:id="778"/>
      <w:bookmarkEnd w:id="779"/>
      <w:bookmarkEnd w:id="780"/>
    </w:p>
    <w:p w14:paraId="36607CF5" w14:textId="7CD45835" w:rsidR="00AC55AC" w:rsidRDefault="00AC55AC" w:rsidP="004C79C1">
      <w:pPr>
        <w:spacing w:after="120" w:line="240" w:lineRule="auto"/>
        <w:jc w:val="both"/>
      </w:pPr>
      <w:r>
        <w:t>One team member who worked on section B4.2 has two first</w:t>
      </w:r>
      <w:r w:rsidR="00983B5F">
        <w:t>-</w:t>
      </w:r>
      <w:r>
        <w:t xml:space="preserve">degree family members suffering from cardiomyopathy. </w:t>
      </w:r>
    </w:p>
    <w:p w14:paraId="36D5EC56" w14:textId="7948DAC4" w:rsidR="00CC16C5" w:rsidRDefault="00CC16C5" w:rsidP="004C79C1">
      <w:pPr>
        <w:spacing w:after="120" w:line="240" w:lineRule="auto"/>
        <w:jc w:val="both"/>
      </w:pPr>
      <w:r>
        <w:t>One team member involved with most sections of the report has a first</w:t>
      </w:r>
      <w:r w:rsidR="009322CC">
        <w:t>-</w:t>
      </w:r>
      <w:r>
        <w:t>degree family member suffering from Wegener’s granulomatosis (however no symptoms of HF or DCM).</w:t>
      </w:r>
    </w:p>
    <w:p w14:paraId="37A8CC66" w14:textId="61B63527" w:rsidR="00AC55AC" w:rsidRDefault="00AC55AC" w:rsidP="004C79C1">
      <w:pPr>
        <w:spacing w:after="120" w:line="240" w:lineRule="auto"/>
        <w:jc w:val="both"/>
      </w:pPr>
      <w:r>
        <w:t>There were no further conflicts of interests to declare.</w:t>
      </w:r>
    </w:p>
    <w:p w14:paraId="035D7AD7" w14:textId="43755F2B" w:rsidR="007A7960" w:rsidRPr="00183E4D" w:rsidRDefault="00193B87" w:rsidP="004C79C1">
      <w:pPr>
        <w:pStyle w:val="Heading1"/>
        <w:spacing w:after="120" w:line="240" w:lineRule="auto"/>
        <w:jc w:val="both"/>
      </w:pPr>
      <w:bookmarkStart w:id="781" w:name="_Toc379118100"/>
      <w:bookmarkStart w:id="782" w:name="_Toc381796499"/>
      <w:bookmarkStart w:id="783" w:name="_Toc451501408"/>
      <w:bookmarkEnd w:id="772"/>
      <w:r w:rsidRPr="00183E4D">
        <w:lastRenderedPageBreak/>
        <w:t xml:space="preserve">Appendix </w:t>
      </w:r>
      <w:fldSimple w:instr=" SEQ Appendix \* ALPHABETIC ">
        <w:r w:rsidR="00460601">
          <w:rPr>
            <w:noProof/>
          </w:rPr>
          <w:t>B</w:t>
        </w:r>
      </w:fldSimple>
      <w:r w:rsidR="00871F61" w:rsidRPr="00183E4D">
        <w:tab/>
        <w:t xml:space="preserve">Search </w:t>
      </w:r>
      <w:r w:rsidR="00990808">
        <w:t>S</w:t>
      </w:r>
      <w:r w:rsidR="00871F61" w:rsidRPr="00183E4D">
        <w:t>trategies</w:t>
      </w:r>
      <w:bookmarkEnd w:id="781"/>
      <w:bookmarkEnd w:id="782"/>
      <w:bookmarkEnd w:id="783"/>
    </w:p>
    <w:p w14:paraId="343E454D" w14:textId="3D7918A9" w:rsidR="00E40E41" w:rsidRPr="00183E4D" w:rsidRDefault="00E40E41" w:rsidP="004C79C1">
      <w:pPr>
        <w:pStyle w:val="Heading2"/>
        <w:spacing w:before="0" w:after="120" w:line="240" w:lineRule="auto"/>
      </w:pPr>
      <w:bookmarkStart w:id="784" w:name="_Toc294256148"/>
      <w:bookmarkStart w:id="785" w:name="_Toc301358577"/>
      <w:bookmarkStart w:id="786" w:name="_Toc303677590"/>
      <w:bookmarkStart w:id="787" w:name="_Toc303677762"/>
      <w:bookmarkStart w:id="788" w:name="_Toc381796500"/>
      <w:bookmarkStart w:id="789" w:name="_Toc451501409"/>
      <w:r w:rsidRPr="00183E4D">
        <w:t xml:space="preserve">Bibliographic </w:t>
      </w:r>
      <w:r w:rsidR="00F0070B">
        <w:t>D</w:t>
      </w:r>
      <w:r w:rsidRPr="00183E4D">
        <w:t>atabases</w:t>
      </w:r>
      <w:bookmarkEnd w:id="784"/>
      <w:bookmarkEnd w:id="785"/>
      <w:bookmarkEnd w:id="786"/>
      <w:bookmarkEnd w:id="787"/>
      <w:bookmarkEnd w:id="788"/>
      <w:r w:rsidR="00F054F4">
        <w:t xml:space="preserve"> for </w:t>
      </w:r>
      <w:r w:rsidR="00F0070B">
        <w:t>G</w:t>
      </w:r>
      <w:r w:rsidR="00F054F4">
        <w:t xml:space="preserve">eneral </w:t>
      </w:r>
      <w:r w:rsidR="00F0070B">
        <w:t>L</w:t>
      </w:r>
      <w:r w:rsidR="00F054F4">
        <w:t xml:space="preserve">iterature </w:t>
      </w:r>
      <w:r w:rsidR="00F0070B">
        <w:t>S</w:t>
      </w:r>
      <w:r w:rsidR="00F054F4">
        <w:t>earch (</w:t>
      </w:r>
      <w:r w:rsidR="00C07B25">
        <w:t>S</w:t>
      </w:r>
      <w:r w:rsidR="00F054F4">
        <w:t xml:space="preserve">ection </w:t>
      </w:r>
      <w:r w:rsidR="00F054F4" w:rsidRPr="00643E11">
        <w:t>B,</w:t>
      </w:r>
      <w:r w:rsidR="00F054F4" w:rsidRPr="00643E11">
        <w:fldChar w:fldCharType="begin"/>
      </w:r>
      <w:r w:rsidR="00F054F4" w:rsidRPr="00643E11">
        <w:instrText xml:space="preserve"> REF _Ref446409295 \h </w:instrText>
      </w:r>
      <w:r w:rsidR="0081342F" w:rsidRPr="00643E11">
        <w:instrText xml:space="preserve"> \* MERGEFORMAT </w:instrText>
      </w:r>
      <w:r w:rsidR="00F054F4" w:rsidRPr="00643E11">
        <w:fldChar w:fldCharType="separate"/>
      </w:r>
      <w:r w:rsidR="001170AB">
        <w:t xml:space="preserve"> </w:t>
      </w:r>
      <w:r w:rsidR="001170AB" w:rsidRPr="00314E6C">
        <w:t>Table</w:t>
      </w:r>
      <w:r w:rsidR="001170AB" w:rsidRPr="00314E6C">
        <w:rPr>
          <w:noProof/>
        </w:rPr>
        <w:t xml:space="preserve"> </w:t>
      </w:r>
      <w:r w:rsidR="001170AB">
        <w:rPr>
          <w:noProof/>
        </w:rPr>
        <w:t>7</w:t>
      </w:r>
      <w:r w:rsidR="00F054F4" w:rsidRPr="00643E11">
        <w:fldChar w:fldCharType="end"/>
      </w:r>
      <w:r w:rsidR="00F054F4">
        <w:t>)</w:t>
      </w:r>
      <w:bookmarkEnd w:id="78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21273B" w:rsidRPr="00183E4D" w14:paraId="0D041C66" w14:textId="77777777" w:rsidTr="0077418B">
        <w:trPr>
          <w:trHeight w:val="303"/>
        </w:trPr>
        <w:tc>
          <w:tcPr>
            <w:tcW w:w="5670" w:type="dxa"/>
          </w:tcPr>
          <w:p w14:paraId="53F5617B" w14:textId="77777777" w:rsidR="0021273B" w:rsidRPr="00183E4D" w:rsidRDefault="0021273B" w:rsidP="004C79C1">
            <w:pPr>
              <w:pStyle w:val="TableHeading"/>
              <w:spacing w:before="0" w:after="120"/>
            </w:pPr>
            <w:r w:rsidRPr="00183E4D">
              <w:t>Electronic database</w:t>
            </w:r>
          </w:p>
        </w:tc>
        <w:tc>
          <w:tcPr>
            <w:tcW w:w="3261" w:type="dxa"/>
          </w:tcPr>
          <w:p w14:paraId="07A9829B" w14:textId="77777777" w:rsidR="0021273B" w:rsidRPr="00183E4D" w:rsidRDefault="0021273B" w:rsidP="004C79C1">
            <w:pPr>
              <w:pStyle w:val="TableHeading"/>
              <w:spacing w:before="0" w:after="120"/>
            </w:pPr>
            <w:r w:rsidRPr="00183E4D">
              <w:t>Time period</w:t>
            </w:r>
            <w:r w:rsidR="00591A6D" w:rsidRPr="00183E4D">
              <w:t xml:space="preserve"> searched</w:t>
            </w:r>
          </w:p>
        </w:tc>
      </w:tr>
      <w:tr w:rsidR="0021273B" w:rsidRPr="007F72D9" w14:paraId="17B26BC8" w14:textId="77777777" w:rsidTr="0077418B">
        <w:tc>
          <w:tcPr>
            <w:tcW w:w="5670" w:type="dxa"/>
          </w:tcPr>
          <w:p w14:paraId="71C22F59" w14:textId="2D69B393" w:rsidR="0021273B" w:rsidRPr="007F72D9" w:rsidRDefault="007F72D9" w:rsidP="004C79C1">
            <w:pPr>
              <w:pStyle w:val="Tabletext1"/>
              <w:spacing w:before="0" w:after="120"/>
            </w:pPr>
            <w:r w:rsidRPr="007F72D9">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3261" w:type="dxa"/>
          </w:tcPr>
          <w:p w14:paraId="419F4F4F" w14:textId="616C2CD8" w:rsidR="0021273B" w:rsidRPr="007F72D9" w:rsidRDefault="007F72D9" w:rsidP="004C79C1">
            <w:pPr>
              <w:pStyle w:val="Tabletext1"/>
              <w:spacing w:before="0" w:after="120"/>
              <w:rPr>
                <w:highlight w:val="yellow"/>
              </w:rPr>
            </w:pPr>
            <w:r w:rsidRPr="007F72D9">
              <w:t>1990</w:t>
            </w:r>
            <w:r w:rsidR="00B224AB">
              <w:t>–</w:t>
            </w:r>
            <w:r w:rsidRPr="007F72D9">
              <w:t>12/2015</w:t>
            </w:r>
          </w:p>
        </w:tc>
      </w:tr>
      <w:tr w:rsidR="003E1B16" w:rsidRPr="007F72D9" w14:paraId="17F5739A" w14:textId="77777777" w:rsidTr="003E1B16">
        <w:tc>
          <w:tcPr>
            <w:tcW w:w="5670" w:type="dxa"/>
            <w:tcBorders>
              <w:top w:val="single" w:sz="4" w:space="0" w:color="auto"/>
              <w:left w:val="single" w:sz="4" w:space="0" w:color="auto"/>
              <w:bottom w:val="single" w:sz="4" w:space="0" w:color="auto"/>
              <w:right w:val="single" w:sz="4" w:space="0" w:color="auto"/>
            </w:tcBorders>
          </w:tcPr>
          <w:p w14:paraId="32DDA894" w14:textId="2E6DB65C" w:rsidR="003E1B16" w:rsidRPr="007F72D9" w:rsidRDefault="007F72D9" w:rsidP="004C79C1">
            <w:pPr>
              <w:pStyle w:val="Tabletext1"/>
              <w:spacing w:before="0" w:after="120"/>
            </w:pPr>
            <w:r w:rsidRPr="007F72D9">
              <w:t>Embase</w:t>
            </w:r>
          </w:p>
        </w:tc>
        <w:tc>
          <w:tcPr>
            <w:tcW w:w="3261" w:type="dxa"/>
            <w:tcBorders>
              <w:top w:val="single" w:sz="4" w:space="0" w:color="auto"/>
              <w:left w:val="single" w:sz="4" w:space="0" w:color="auto"/>
              <w:bottom w:val="single" w:sz="4" w:space="0" w:color="auto"/>
              <w:right w:val="single" w:sz="4" w:space="0" w:color="auto"/>
            </w:tcBorders>
          </w:tcPr>
          <w:p w14:paraId="7C991632" w14:textId="0E0153DB" w:rsidR="003E1B16" w:rsidRPr="007F72D9" w:rsidRDefault="007F72D9" w:rsidP="004C79C1">
            <w:pPr>
              <w:pStyle w:val="Tabletext1"/>
              <w:spacing w:before="0" w:after="120"/>
              <w:rPr>
                <w:highlight w:val="yellow"/>
              </w:rPr>
            </w:pPr>
            <w:r w:rsidRPr="007F72D9">
              <w:t>1990</w:t>
            </w:r>
            <w:r w:rsidR="00B224AB">
              <w:t>–</w:t>
            </w:r>
            <w:r w:rsidRPr="007F72D9">
              <w:t>12/2015</w:t>
            </w:r>
          </w:p>
        </w:tc>
      </w:tr>
      <w:tr w:rsidR="0021273B" w:rsidRPr="007F72D9" w14:paraId="5B48457E" w14:textId="77777777" w:rsidTr="0077418B">
        <w:tc>
          <w:tcPr>
            <w:tcW w:w="5670" w:type="dxa"/>
          </w:tcPr>
          <w:p w14:paraId="3E60A31A" w14:textId="0EF4502E" w:rsidR="0021273B" w:rsidRPr="007F72D9" w:rsidRDefault="007F72D9" w:rsidP="004C79C1">
            <w:pPr>
              <w:pStyle w:val="Tabletext1"/>
              <w:spacing w:before="0" w:after="120"/>
            </w:pPr>
            <w:r w:rsidRPr="007F72D9">
              <w:t>PubMed</w:t>
            </w:r>
          </w:p>
        </w:tc>
        <w:tc>
          <w:tcPr>
            <w:tcW w:w="3261" w:type="dxa"/>
          </w:tcPr>
          <w:p w14:paraId="1C5DF337" w14:textId="63FAB5EC" w:rsidR="0021273B" w:rsidRPr="007F72D9" w:rsidRDefault="007F72D9" w:rsidP="004C79C1">
            <w:pPr>
              <w:pStyle w:val="Tabletext1"/>
              <w:spacing w:before="0" w:after="120"/>
              <w:rPr>
                <w:highlight w:val="yellow"/>
              </w:rPr>
            </w:pPr>
            <w:r w:rsidRPr="007F72D9">
              <w:t>1990</w:t>
            </w:r>
            <w:r w:rsidR="00B224AB">
              <w:t>–</w:t>
            </w:r>
            <w:r w:rsidRPr="007F72D9">
              <w:t>12/2015</w:t>
            </w:r>
          </w:p>
        </w:tc>
      </w:tr>
    </w:tbl>
    <w:p w14:paraId="34B9CC17" w14:textId="50314DB0" w:rsidR="00E40E41" w:rsidRPr="00183E4D" w:rsidRDefault="00E40E41" w:rsidP="004C79C1">
      <w:pPr>
        <w:pStyle w:val="Heading2"/>
        <w:spacing w:before="0" w:after="120" w:line="240" w:lineRule="auto"/>
      </w:pPr>
      <w:bookmarkStart w:id="790" w:name="_Toc294256149"/>
      <w:bookmarkStart w:id="791" w:name="_Toc301358578"/>
      <w:bookmarkStart w:id="792" w:name="_Toc303677591"/>
      <w:bookmarkStart w:id="793" w:name="_Toc303677763"/>
      <w:bookmarkStart w:id="794" w:name="_Toc381796501"/>
      <w:bookmarkStart w:id="795" w:name="_Toc451501410"/>
      <w:r w:rsidRPr="00183E4D">
        <w:t xml:space="preserve">Additional </w:t>
      </w:r>
      <w:r w:rsidR="00F0070B">
        <w:t>S</w:t>
      </w:r>
      <w:r w:rsidRPr="00183E4D">
        <w:t xml:space="preserve">ources of </w:t>
      </w:r>
      <w:r w:rsidR="00F0070B">
        <w:t>L</w:t>
      </w:r>
      <w:r w:rsidRPr="00183E4D">
        <w:t>iterature</w:t>
      </w:r>
      <w:bookmarkEnd w:id="790"/>
      <w:bookmarkEnd w:id="791"/>
      <w:bookmarkEnd w:id="792"/>
      <w:bookmarkEnd w:id="793"/>
      <w:bookmarkEnd w:id="794"/>
      <w:r w:rsidR="00591A6D" w:rsidRPr="00183E4D">
        <w:t xml:space="preserve"> (including </w:t>
      </w:r>
      <w:r w:rsidR="00F0070B">
        <w:t>W</w:t>
      </w:r>
      <w:r w:rsidR="00591A6D" w:rsidRPr="00183E4D">
        <w:t>ebsites)</w:t>
      </w:r>
      <w:bookmarkEnd w:id="79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39322D" w:rsidRPr="00183E4D" w14:paraId="77762465" w14:textId="77777777" w:rsidTr="007F72D9">
        <w:trPr>
          <w:tblHeader/>
        </w:trPr>
        <w:tc>
          <w:tcPr>
            <w:tcW w:w="4950" w:type="dxa"/>
            <w:tcBorders>
              <w:bottom w:val="single" w:sz="4" w:space="0" w:color="auto"/>
            </w:tcBorders>
          </w:tcPr>
          <w:p w14:paraId="56D76545" w14:textId="77777777" w:rsidR="0039322D" w:rsidRPr="00183E4D" w:rsidRDefault="0039322D" w:rsidP="004C79C1">
            <w:pPr>
              <w:pStyle w:val="TableHeading"/>
              <w:spacing w:before="0" w:after="120"/>
            </w:pPr>
            <w:r w:rsidRPr="00183E4D">
              <w:t>Source</w:t>
            </w:r>
          </w:p>
        </w:tc>
        <w:tc>
          <w:tcPr>
            <w:tcW w:w="3981" w:type="dxa"/>
            <w:tcBorders>
              <w:bottom w:val="single" w:sz="4" w:space="0" w:color="auto"/>
            </w:tcBorders>
          </w:tcPr>
          <w:p w14:paraId="2054FCE2" w14:textId="77777777" w:rsidR="0039322D" w:rsidRPr="00183E4D" w:rsidRDefault="0039322D" w:rsidP="004C79C1">
            <w:pPr>
              <w:pStyle w:val="TableHeading"/>
              <w:spacing w:before="0" w:after="120"/>
            </w:pPr>
            <w:r w:rsidRPr="00183E4D">
              <w:t>Location</w:t>
            </w:r>
          </w:p>
        </w:tc>
      </w:tr>
      <w:tr w:rsidR="007F72D9" w:rsidRPr="007F72D9" w14:paraId="6FB6D1D0" w14:textId="77777777" w:rsidTr="007F72D9">
        <w:trPr>
          <w:tblHeader/>
        </w:trPr>
        <w:tc>
          <w:tcPr>
            <w:tcW w:w="4950" w:type="dxa"/>
            <w:tcBorders>
              <w:top w:val="single" w:sz="4" w:space="0" w:color="auto"/>
              <w:left w:val="single" w:sz="4" w:space="0" w:color="auto"/>
              <w:bottom w:val="single" w:sz="4" w:space="0" w:color="auto"/>
              <w:right w:val="nil"/>
            </w:tcBorders>
          </w:tcPr>
          <w:p w14:paraId="0A5F1CAC" w14:textId="3E42A415" w:rsidR="007F72D9" w:rsidRPr="007F72D9" w:rsidRDefault="007F72D9" w:rsidP="004C79C1">
            <w:pPr>
              <w:pStyle w:val="Tabletext1"/>
              <w:spacing w:before="0" w:after="120"/>
              <w:rPr>
                <w:i/>
              </w:rPr>
            </w:pPr>
            <w:r w:rsidRPr="007F72D9">
              <w:rPr>
                <w:i/>
              </w:rPr>
              <w:t>Internet</w:t>
            </w:r>
          </w:p>
        </w:tc>
        <w:tc>
          <w:tcPr>
            <w:tcW w:w="3981" w:type="dxa"/>
            <w:tcBorders>
              <w:top w:val="single" w:sz="4" w:space="0" w:color="auto"/>
              <w:left w:val="nil"/>
              <w:bottom w:val="single" w:sz="4" w:space="0" w:color="auto"/>
              <w:right w:val="single" w:sz="4" w:space="0" w:color="auto"/>
            </w:tcBorders>
          </w:tcPr>
          <w:p w14:paraId="7DDBAE33" w14:textId="77777777" w:rsidR="007F72D9" w:rsidRPr="007F72D9" w:rsidRDefault="007F72D9" w:rsidP="004C79C1">
            <w:pPr>
              <w:pStyle w:val="Tabletext1"/>
              <w:spacing w:before="0" w:after="120"/>
              <w:rPr>
                <w:i/>
              </w:rPr>
            </w:pPr>
          </w:p>
        </w:tc>
      </w:tr>
      <w:tr w:rsidR="007F72D9" w:rsidRPr="007F72D9" w14:paraId="634C30FE" w14:textId="77777777" w:rsidTr="007F72D9">
        <w:tc>
          <w:tcPr>
            <w:tcW w:w="4950" w:type="dxa"/>
          </w:tcPr>
          <w:p w14:paraId="539BF8FF" w14:textId="1D9D8D7A" w:rsidR="007F72D9" w:rsidRPr="007F72D9" w:rsidRDefault="007F72D9" w:rsidP="004C79C1">
            <w:pPr>
              <w:pStyle w:val="Tabletext1"/>
              <w:spacing w:before="0" w:after="120"/>
            </w:pPr>
            <w:r w:rsidRPr="007F72D9">
              <w:t xml:space="preserve">NHMRC- National Health and Medical Research Council (Australia) </w:t>
            </w:r>
          </w:p>
        </w:tc>
        <w:tc>
          <w:tcPr>
            <w:tcW w:w="3981" w:type="dxa"/>
          </w:tcPr>
          <w:p w14:paraId="21AC1FC9" w14:textId="2F352F1B" w:rsidR="007F72D9" w:rsidRPr="007F72D9" w:rsidRDefault="004577E6" w:rsidP="004C79C1">
            <w:pPr>
              <w:pStyle w:val="Tabletext1"/>
              <w:spacing w:before="0" w:after="120"/>
            </w:pPr>
            <w:r>
              <w:rPr>
                <w:rStyle w:val="Hyperlink"/>
                <w:color w:val="auto"/>
                <w:u w:val="none"/>
              </w:rPr>
              <w:t xml:space="preserve"> www.</w:t>
            </w:r>
            <w:r w:rsidR="007F72D9" w:rsidRPr="007F72D9">
              <w:rPr>
                <w:rStyle w:val="Hyperlink"/>
                <w:color w:val="auto"/>
                <w:u w:val="none"/>
              </w:rPr>
              <w:t>nhmrc.gov.au/</w:t>
            </w:r>
          </w:p>
        </w:tc>
      </w:tr>
      <w:tr w:rsidR="007F72D9" w:rsidRPr="007F72D9" w14:paraId="1D88D980" w14:textId="77777777" w:rsidTr="007F72D9">
        <w:tc>
          <w:tcPr>
            <w:tcW w:w="4950" w:type="dxa"/>
          </w:tcPr>
          <w:p w14:paraId="7D006B58" w14:textId="54F3D6D7" w:rsidR="007F72D9" w:rsidRPr="007F72D9" w:rsidRDefault="007F72D9" w:rsidP="004C79C1">
            <w:pPr>
              <w:pStyle w:val="Tabletext1"/>
              <w:spacing w:before="0" w:after="120"/>
            </w:pPr>
            <w:r w:rsidRPr="007F72D9">
              <w:t>US Department of Health and Human Services (reports and publications)</w:t>
            </w:r>
          </w:p>
        </w:tc>
        <w:tc>
          <w:tcPr>
            <w:tcW w:w="3981" w:type="dxa"/>
          </w:tcPr>
          <w:p w14:paraId="1422FE77" w14:textId="5762ADFC" w:rsidR="007F72D9" w:rsidRPr="007F72D9" w:rsidRDefault="004577E6" w:rsidP="004C79C1">
            <w:pPr>
              <w:pStyle w:val="Tabletext1"/>
              <w:spacing w:before="0" w:after="120"/>
            </w:pPr>
            <w:r>
              <w:t xml:space="preserve"> www.</w:t>
            </w:r>
            <w:r w:rsidR="007F72D9" w:rsidRPr="007F72D9">
              <w:t>hhs.gov/</w:t>
            </w:r>
          </w:p>
        </w:tc>
      </w:tr>
      <w:tr w:rsidR="007F72D9" w:rsidRPr="007F72D9" w14:paraId="0172CA56" w14:textId="77777777" w:rsidTr="007F72D9">
        <w:tc>
          <w:tcPr>
            <w:tcW w:w="4950" w:type="dxa"/>
          </w:tcPr>
          <w:p w14:paraId="260CB4CE" w14:textId="0D0BAE26" w:rsidR="007F72D9" w:rsidRPr="007F72D9" w:rsidRDefault="007F72D9" w:rsidP="004C79C1">
            <w:pPr>
              <w:pStyle w:val="Tabletext1"/>
              <w:spacing w:before="0" w:after="120"/>
            </w:pPr>
            <w:r w:rsidRPr="007F72D9">
              <w:t>New York Academy of Medicine Grey Literature Report</w:t>
            </w:r>
          </w:p>
        </w:tc>
        <w:tc>
          <w:tcPr>
            <w:tcW w:w="3981" w:type="dxa"/>
          </w:tcPr>
          <w:p w14:paraId="50810A3E" w14:textId="0AD4108F" w:rsidR="007F72D9" w:rsidRPr="007F72D9" w:rsidRDefault="004577E6" w:rsidP="004C79C1">
            <w:pPr>
              <w:pStyle w:val="Tabletext1"/>
              <w:spacing w:before="0" w:after="120"/>
            </w:pPr>
            <w:r>
              <w:t xml:space="preserve"> www.</w:t>
            </w:r>
            <w:r w:rsidR="007F72D9" w:rsidRPr="007F72D9">
              <w:t>greylit.org/</w:t>
            </w:r>
          </w:p>
        </w:tc>
      </w:tr>
      <w:tr w:rsidR="007F72D9" w:rsidRPr="007F72D9" w14:paraId="11D769AB" w14:textId="77777777" w:rsidTr="007F72D9">
        <w:tc>
          <w:tcPr>
            <w:tcW w:w="4950" w:type="dxa"/>
          </w:tcPr>
          <w:p w14:paraId="2BC9089B" w14:textId="5EE3E29B" w:rsidR="007F72D9" w:rsidRPr="007F72D9" w:rsidRDefault="007F72D9" w:rsidP="004C79C1">
            <w:pPr>
              <w:pStyle w:val="Tabletext1"/>
              <w:spacing w:before="0" w:after="120"/>
            </w:pPr>
            <w:r w:rsidRPr="007F72D9">
              <w:t>Trip database</w:t>
            </w:r>
          </w:p>
        </w:tc>
        <w:tc>
          <w:tcPr>
            <w:tcW w:w="3981" w:type="dxa"/>
          </w:tcPr>
          <w:p w14:paraId="5A5BE119" w14:textId="0A7CD475" w:rsidR="007F72D9" w:rsidRPr="007F72D9" w:rsidRDefault="00CD4AC5" w:rsidP="004C79C1">
            <w:pPr>
              <w:pStyle w:val="Tabletext1"/>
              <w:spacing w:before="0" w:after="120"/>
              <w:rPr>
                <w:rStyle w:val="Hyperlink"/>
                <w:color w:val="auto"/>
                <w:u w:val="none"/>
              </w:rPr>
            </w:pPr>
            <w:hyperlink r:id="rId72" w:tooltip="Link to TRIP database" w:history="1">
              <w:r w:rsidR="004577E6">
                <w:rPr>
                  <w:rStyle w:val="Hyperlink"/>
                  <w:color w:val="auto"/>
                  <w:u w:val="none"/>
                </w:rPr>
                <w:t xml:space="preserve"> www.</w:t>
              </w:r>
              <w:r w:rsidR="007F72D9" w:rsidRPr="007F72D9">
                <w:rPr>
                  <w:rStyle w:val="Hyperlink"/>
                  <w:color w:val="auto"/>
                  <w:u w:val="none"/>
                </w:rPr>
                <w:t>tripdatabase.com</w:t>
              </w:r>
            </w:hyperlink>
          </w:p>
        </w:tc>
      </w:tr>
      <w:tr w:rsidR="007F72D9" w:rsidRPr="007F72D9" w14:paraId="28360B96" w14:textId="77777777" w:rsidTr="007F72D9">
        <w:tc>
          <w:tcPr>
            <w:tcW w:w="4950" w:type="dxa"/>
          </w:tcPr>
          <w:p w14:paraId="0FFD7E5F" w14:textId="3241F311" w:rsidR="007F72D9" w:rsidRPr="007F72D9" w:rsidRDefault="007F72D9" w:rsidP="004C79C1">
            <w:pPr>
              <w:pStyle w:val="Tabletext1"/>
              <w:spacing w:before="0" w:after="120"/>
            </w:pPr>
            <w:r w:rsidRPr="007F72D9">
              <w:t>Current Controlled Trials metaRegister</w:t>
            </w:r>
          </w:p>
        </w:tc>
        <w:tc>
          <w:tcPr>
            <w:tcW w:w="3981" w:type="dxa"/>
          </w:tcPr>
          <w:p w14:paraId="0AE5AD4D" w14:textId="6A386E0A" w:rsidR="004577E6" w:rsidRPr="007F72D9" w:rsidRDefault="00CD4AC5" w:rsidP="004577E6">
            <w:pPr>
              <w:pStyle w:val="Tabletext1"/>
              <w:spacing w:before="0" w:after="120"/>
              <w:rPr>
                <w:rStyle w:val="Hyperlink"/>
                <w:color w:val="auto"/>
                <w:u w:val="none"/>
              </w:rPr>
            </w:pPr>
            <w:hyperlink r:id="rId73" w:tooltip="Link to Current Controlled Trials metaRegister" w:history="1">
              <w:r w:rsidR="007F72D9" w:rsidRPr="007F72D9">
                <w:rPr>
                  <w:rStyle w:val="Hyperlink"/>
                  <w:color w:val="auto"/>
                  <w:u w:val="none"/>
                </w:rPr>
                <w:t>http://controlled-trials.com</w:t>
              </w:r>
            </w:hyperlink>
          </w:p>
        </w:tc>
      </w:tr>
      <w:tr w:rsidR="007F72D9" w:rsidRPr="007F72D9" w14:paraId="67551671" w14:textId="77777777" w:rsidTr="007F72D9">
        <w:tc>
          <w:tcPr>
            <w:tcW w:w="4950" w:type="dxa"/>
          </w:tcPr>
          <w:p w14:paraId="3C673E34" w14:textId="2C73DE91" w:rsidR="007F72D9" w:rsidRPr="007F72D9" w:rsidRDefault="007F72D9" w:rsidP="004C79C1">
            <w:pPr>
              <w:pStyle w:val="Tabletext1"/>
              <w:spacing w:before="0" w:after="120"/>
            </w:pPr>
            <w:r w:rsidRPr="007F72D9">
              <w:t>National Library of Medicine Health Services/Technology Assessment Text</w:t>
            </w:r>
          </w:p>
        </w:tc>
        <w:tc>
          <w:tcPr>
            <w:tcW w:w="3981" w:type="dxa"/>
          </w:tcPr>
          <w:p w14:paraId="5FCA1A05" w14:textId="3429F8F1" w:rsidR="007F72D9" w:rsidRPr="007F72D9" w:rsidRDefault="00CD4AC5" w:rsidP="004C79C1">
            <w:pPr>
              <w:pStyle w:val="Tabletext1"/>
              <w:spacing w:before="0" w:after="120"/>
              <w:rPr>
                <w:rStyle w:val="Hyperlink"/>
                <w:color w:val="auto"/>
                <w:u w:val="none"/>
              </w:rPr>
            </w:pPr>
            <w:hyperlink r:id="rId74" w:tooltip="Link to National Library of Medicine Health Services/Technology Assessment Text" w:history="1">
              <w:r w:rsidR="007F72D9" w:rsidRPr="007F72D9">
                <w:rPr>
                  <w:rStyle w:val="Hyperlink"/>
                  <w:color w:val="auto"/>
                  <w:u w:val="none"/>
                </w:rPr>
                <w:t>http://text.nlm.nih.gov/</w:t>
              </w:r>
            </w:hyperlink>
          </w:p>
        </w:tc>
      </w:tr>
      <w:tr w:rsidR="007F72D9" w:rsidRPr="007F72D9" w14:paraId="2256D315" w14:textId="77777777" w:rsidTr="007F72D9">
        <w:tc>
          <w:tcPr>
            <w:tcW w:w="4950" w:type="dxa"/>
          </w:tcPr>
          <w:p w14:paraId="464AEB15" w14:textId="28E73566" w:rsidR="007F72D9" w:rsidRPr="007F72D9" w:rsidRDefault="007F72D9" w:rsidP="004C79C1">
            <w:pPr>
              <w:pStyle w:val="Tabletext1"/>
              <w:spacing w:before="0" w:after="120"/>
            </w:pPr>
            <w:r w:rsidRPr="007F72D9">
              <w:t>U.K. National Research Register</w:t>
            </w:r>
          </w:p>
        </w:tc>
        <w:tc>
          <w:tcPr>
            <w:tcW w:w="3981" w:type="dxa"/>
          </w:tcPr>
          <w:p w14:paraId="43294C09" w14:textId="3F7B8487" w:rsidR="007F72D9" w:rsidRPr="007F72D9" w:rsidRDefault="007F72D9" w:rsidP="004C79C1">
            <w:pPr>
              <w:pStyle w:val="Tabletext1"/>
              <w:spacing w:before="0" w:after="120"/>
              <w:rPr>
                <w:rStyle w:val="Hyperlink"/>
                <w:color w:val="auto"/>
                <w:u w:val="none"/>
              </w:rPr>
            </w:pPr>
            <w:r w:rsidRPr="007F72D9">
              <w:rPr>
                <w:rStyle w:val="Hyperlink"/>
                <w:color w:val="auto"/>
                <w:u w:val="none"/>
              </w:rPr>
              <w:t>www.nihr.ac.uk/Pages/NRRArchive.aspx</w:t>
            </w:r>
          </w:p>
        </w:tc>
      </w:tr>
      <w:tr w:rsidR="007F72D9" w:rsidRPr="007F72D9" w14:paraId="068DC20C" w14:textId="77777777" w:rsidTr="007F72D9">
        <w:tc>
          <w:tcPr>
            <w:tcW w:w="4950" w:type="dxa"/>
          </w:tcPr>
          <w:p w14:paraId="77EC8FFD" w14:textId="7A512E8D" w:rsidR="007F72D9" w:rsidRPr="007F72D9" w:rsidRDefault="007F72D9" w:rsidP="004C79C1">
            <w:pPr>
              <w:pStyle w:val="Tabletext1"/>
              <w:spacing w:before="0" w:after="120"/>
            </w:pPr>
            <w:r w:rsidRPr="007F72D9">
              <w:t>Google Scholar</w:t>
            </w:r>
          </w:p>
        </w:tc>
        <w:tc>
          <w:tcPr>
            <w:tcW w:w="3981" w:type="dxa"/>
          </w:tcPr>
          <w:p w14:paraId="495CC210" w14:textId="277C03CC" w:rsidR="004577E6" w:rsidRPr="007F72D9" w:rsidRDefault="004577E6" w:rsidP="004C79C1">
            <w:pPr>
              <w:pStyle w:val="Tabletext1"/>
              <w:spacing w:before="0" w:after="120"/>
              <w:rPr>
                <w:rStyle w:val="Hyperlink"/>
                <w:color w:val="auto"/>
                <w:u w:val="none"/>
              </w:rPr>
            </w:pPr>
            <w:r>
              <w:rPr>
                <w:rStyle w:val="Hyperlink"/>
                <w:color w:val="auto"/>
                <w:u w:val="none"/>
              </w:rPr>
              <w:t>scholar.google.com</w:t>
            </w:r>
          </w:p>
        </w:tc>
      </w:tr>
      <w:tr w:rsidR="007F72D9" w:rsidRPr="007F72D9" w14:paraId="7A046A92" w14:textId="77777777" w:rsidTr="007F72D9">
        <w:tc>
          <w:tcPr>
            <w:tcW w:w="4950" w:type="dxa"/>
          </w:tcPr>
          <w:p w14:paraId="0759FEDC" w14:textId="531EF6B4" w:rsidR="007F72D9" w:rsidRPr="007F72D9" w:rsidRDefault="007F72D9" w:rsidP="004C79C1">
            <w:pPr>
              <w:pStyle w:val="Tabletext1"/>
              <w:spacing w:before="0" w:after="120"/>
            </w:pPr>
            <w:r w:rsidRPr="007F72D9">
              <w:t>Australian and New Zealand Clinical Trials Registry</w:t>
            </w:r>
          </w:p>
        </w:tc>
        <w:tc>
          <w:tcPr>
            <w:tcW w:w="3981" w:type="dxa"/>
          </w:tcPr>
          <w:p w14:paraId="2292EFC0" w14:textId="79DE4CEF" w:rsidR="004577E6" w:rsidRPr="007F72D9" w:rsidRDefault="00161B88" w:rsidP="004577E6">
            <w:pPr>
              <w:pStyle w:val="Tabletext1"/>
              <w:spacing w:before="0" w:after="120"/>
              <w:rPr>
                <w:rStyle w:val="Hyperlink"/>
                <w:color w:val="auto"/>
                <w:u w:val="none"/>
              </w:rPr>
            </w:pPr>
            <w:r w:rsidRPr="00161B88">
              <w:rPr>
                <w:rStyle w:val="Hyperlink"/>
                <w:color w:val="auto"/>
                <w:u w:val="none"/>
              </w:rPr>
              <w:t>www.anzctr.org.au</w:t>
            </w:r>
          </w:p>
        </w:tc>
      </w:tr>
      <w:tr w:rsidR="007F72D9" w:rsidRPr="007F72D9" w14:paraId="575BCAB9" w14:textId="77777777" w:rsidTr="007F72D9">
        <w:tc>
          <w:tcPr>
            <w:tcW w:w="4950" w:type="dxa"/>
          </w:tcPr>
          <w:p w14:paraId="16794A5E" w14:textId="0DAF34DF" w:rsidR="007F72D9" w:rsidRPr="007F72D9" w:rsidRDefault="007F72D9" w:rsidP="004C79C1">
            <w:pPr>
              <w:pStyle w:val="Tabletext1"/>
              <w:spacing w:before="0" w:after="120"/>
              <w:rPr>
                <w:i/>
              </w:rPr>
            </w:pPr>
            <w:r w:rsidRPr="007F72D9">
              <w:rPr>
                <w:i/>
              </w:rPr>
              <w:t>Pearling</w:t>
            </w:r>
          </w:p>
        </w:tc>
        <w:tc>
          <w:tcPr>
            <w:tcW w:w="3981" w:type="dxa"/>
          </w:tcPr>
          <w:p w14:paraId="4626BE35" w14:textId="77777777" w:rsidR="007F72D9" w:rsidRPr="007F72D9" w:rsidRDefault="007F72D9" w:rsidP="004C79C1">
            <w:pPr>
              <w:pStyle w:val="Tabletext1"/>
              <w:spacing w:before="0" w:after="120"/>
              <w:rPr>
                <w:i/>
              </w:rPr>
            </w:pPr>
          </w:p>
        </w:tc>
      </w:tr>
      <w:tr w:rsidR="007F72D9" w:rsidRPr="007F72D9" w14:paraId="24C46FD6" w14:textId="77777777" w:rsidTr="007F72D9">
        <w:tc>
          <w:tcPr>
            <w:tcW w:w="4950" w:type="dxa"/>
          </w:tcPr>
          <w:p w14:paraId="777D0261" w14:textId="30443493" w:rsidR="007F72D9" w:rsidRPr="007F72D9" w:rsidRDefault="007F72D9" w:rsidP="004C79C1">
            <w:pPr>
              <w:pStyle w:val="Tabletext1"/>
              <w:spacing w:before="0" w:after="120"/>
            </w:pPr>
            <w:r>
              <w:t>All included articles had</w:t>
            </w:r>
            <w:r w:rsidRPr="007F72D9">
              <w:t xml:space="preserve"> their reference lists searched for additional relevant source material</w:t>
            </w:r>
          </w:p>
        </w:tc>
        <w:tc>
          <w:tcPr>
            <w:tcW w:w="3981" w:type="dxa"/>
          </w:tcPr>
          <w:p w14:paraId="11D14804" w14:textId="77777777" w:rsidR="007F72D9" w:rsidRPr="007F72D9" w:rsidRDefault="007F72D9" w:rsidP="004C79C1">
            <w:pPr>
              <w:pStyle w:val="Tabletext1"/>
              <w:spacing w:before="0" w:after="120"/>
            </w:pPr>
          </w:p>
        </w:tc>
      </w:tr>
    </w:tbl>
    <w:p w14:paraId="13DFEA41" w14:textId="116F7F79" w:rsidR="0039322D" w:rsidRPr="00183E4D" w:rsidRDefault="007F72D9" w:rsidP="004C79C1">
      <w:pPr>
        <w:pStyle w:val="Heading2"/>
        <w:spacing w:before="0" w:after="120" w:line="240" w:lineRule="auto"/>
      </w:pPr>
      <w:bookmarkStart w:id="796" w:name="_Toc451501411"/>
      <w:r>
        <w:t xml:space="preserve">Specialty </w:t>
      </w:r>
      <w:r w:rsidR="00F0070B">
        <w:t>W</w:t>
      </w:r>
      <w:r>
        <w:t>ebsites</w:t>
      </w:r>
      <w:bookmarkEnd w:id="796"/>
    </w:p>
    <w:tbl>
      <w:tblPr>
        <w:tblW w:w="95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0"/>
        <w:gridCol w:w="4760"/>
      </w:tblGrid>
      <w:tr w:rsidR="00161B88" w:rsidRPr="008E0997" w14:paraId="6D64F87B" w14:textId="1F01E99B" w:rsidTr="00161B88">
        <w:tc>
          <w:tcPr>
            <w:tcW w:w="4760" w:type="dxa"/>
          </w:tcPr>
          <w:p w14:paraId="47325C69" w14:textId="77777777" w:rsidR="00161B88" w:rsidRPr="008E0997" w:rsidRDefault="00161B88" w:rsidP="004C79C1">
            <w:pPr>
              <w:pStyle w:val="Tabletext1"/>
              <w:spacing w:before="0" w:after="120"/>
            </w:pPr>
            <w:bookmarkStart w:id="797" w:name="_Ref170808567"/>
            <w:bookmarkStart w:id="798" w:name="_Toc460813781"/>
            <w:bookmarkStart w:id="799" w:name="_Ref170792604"/>
            <w:r>
              <w:t>National Heart Foundation of Australia</w:t>
            </w:r>
          </w:p>
        </w:tc>
        <w:tc>
          <w:tcPr>
            <w:tcW w:w="4760" w:type="dxa"/>
          </w:tcPr>
          <w:p w14:paraId="276BB51A" w14:textId="1AB30C05" w:rsidR="00161B88" w:rsidRDefault="00161B88" w:rsidP="004C79C1">
            <w:pPr>
              <w:pStyle w:val="Tabletext1"/>
              <w:spacing w:before="0" w:after="120"/>
            </w:pPr>
            <w:r w:rsidRPr="00161B88">
              <w:t>www.heartfoundation.org.au</w:t>
            </w:r>
          </w:p>
        </w:tc>
      </w:tr>
      <w:tr w:rsidR="00161B88" w:rsidRPr="008E0997" w14:paraId="230305A0" w14:textId="6A0F7F75" w:rsidTr="00161B88">
        <w:tc>
          <w:tcPr>
            <w:tcW w:w="4760" w:type="dxa"/>
          </w:tcPr>
          <w:p w14:paraId="559D780D" w14:textId="77777777" w:rsidR="00161B88" w:rsidRPr="008E0997" w:rsidRDefault="00161B88" w:rsidP="004C79C1">
            <w:pPr>
              <w:pStyle w:val="Tabletext1"/>
              <w:spacing w:before="0" w:after="120"/>
            </w:pPr>
            <w:r w:rsidRPr="008E0997">
              <w:t xml:space="preserve">American </w:t>
            </w:r>
            <w:r>
              <w:t>Heart Foundation</w:t>
            </w:r>
          </w:p>
        </w:tc>
        <w:tc>
          <w:tcPr>
            <w:tcW w:w="4760" w:type="dxa"/>
          </w:tcPr>
          <w:p w14:paraId="6F99A39D" w14:textId="249B4AAF" w:rsidR="00161B88" w:rsidRPr="008E0997" w:rsidRDefault="00161B88" w:rsidP="004C79C1">
            <w:pPr>
              <w:pStyle w:val="Tabletext1"/>
              <w:spacing w:before="0" w:after="120"/>
            </w:pPr>
            <w:r w:rsidRPr="00161B88">
              <w:t>www.heart.org</w:t>
            </w:r>
          </w:p>
        </w:tc>
      </w:tr>
      <w:tr w:rsidR="00161B88" w:rsidRPr="008E0997" w14:paraId="2813A10D" w14:textId="74269E64" w:rsidTr="00161B88">
        <w:tc>
          <w:tcPr>
            <w:tcW w:w="4760" w:type="dxa"/>
          </w:tcPr>
          <w:p w14:paraId="45FB97C7" w14:textId="77777777" w:rsidR="00161B88" w:rsidRPr="008E0997" w:rsidRDefault="00161B88" w:rsidP="004C79C1">
            <w:pPr>
              <w:pStyle w:val="Tabletext1"/>
              <w:spacing w:before="0" w:after="120"/>
            </w:pPr>
            <w:r>
              <w:t>NHS choices</w:t>
            </w:r>
          </w:p>
        </w:tc>
        <w:tc>
          <w:tcPr>
            <w:tcW w:w="4760" w:type="dxa"/>
          </w:tcPr>
          <w:p w14:paraId="089752CD" w14:textId="47EC1C9B" w:rsidR="00161B88" w:rsidRDefault="00161B88" w:rsidP="004C79C1">
            <w:pPr>
              <w:pStyle w:val="Tabletext1"/>
              <w:spacing w:before="0" w:after="120"/>
            </w:pPr>
            <w:r w:rsidRPr="00161B88">
              <w:t>www.nhs.uk</w:t>
            </w:r>
          </w:p>
        </w:tc>
      </w:tr>
    </w:tbl>
    <w:p w14:paraId="141648BE" w14:textId="77777777" w:rsidR="007F72D9" w:rsidRDefault="007F72D9" w:rsidP="004C79C1">
      <w:pPr>
        <w:autoSpaceDE w:val="0"/>
        <w:autoSpaceDN w:val="0"/>
        <w:adjustRightInd w:val="0"/>
        <w:spacing w:after="120" w:line="240" w:lineRule="auto"/>
        <w:rPr>
          <w:rFonts w:ascii="Times New Roman" w:hAnsi="Times New Roman"/>
          <w:lang w:val="en-US"/>
        </w:rPr>
      </w:pPr>
      <w:r>
        <w:rPr>
          <w:rFonts w:ascii="Times New Roman" w:hAnsi="Times New Roman"/>
          <w:lang w:val="en-US"/>
        </w:rPr>
        <w:br w:type="page"/>
      </w:r>
    </w:p>
    <w:p w14:paraId="47406E85" w14:textId="77777777" w:rsidR="009A3655" w:rsidRPr="00183E4D" w:rsidRDefault="009A3655" w:rsidP="004C79C1">
      <w:pPr>
        <w:pStyle w:val="Heading1"/>
        <w:spacing w:after="120" w:line="240" w:lineRule="auto"/>
        <w:jc w:val="both"/>
        <w:sectPr w:rsidR="009A3655" w:rsidRPr="00183E4D" w:rsidSect="0080059D">
          <w:headerReference w:type="even" r:id="rId75"/>
          <w:headerReference w:type="default" r:id="rId76"/>
          <w:footerReference w:type="even" r:id="rId77"/>
          <w:headerReference w:type="first" r:id="rId78"/>
          <w:type w:val="oddPage"/>
          <w:pgSz w:w="11906" w:h="16838"/>
          <w:pgMar w:top="1440" w:right="1440" w:bottom="1440" w:left="1440" w:header="720" w:footer="720" w:gutter="0"/>
          <w:paperSrc w:first="7" w:other="7"/>
          <w:cols w:space="720"/>
        </w:sectPr>
      </w:pPr>
    </w:p>
    <w:p w14:paraId="0DDCB9E3" w14:textId="5FA47E27" w:rsidR="007A7960" w:rsidRPr="00183E4D" w:rsidRDefault="00193B87" w:rsidP="004C79C1">
      <w:pPr>
        <w:pStyle w:val="Heading1"/>
        <w:spacing w:after="120" w:line="240" w:lineRule="auto"/>
        <w:jc w:val="both"/>
      </w:pPr>
      <w:bookmarkStart w:id="800" w:name="_Ref364237249"/>
      <w:bookmarkStart w:id="801" w:name="_Ref190841600"/>
      <w:bookmarkStart w:id="802" w:name="_Toc379118101"/>
      <w:bookmarkStart w:id="803" w:name="_Toc381796504"/>
      <w:bookmarkStart w:id="804" w:name="_Toc451501412"/>
      <w:bookmarkEnd w:id="797"/>
      <w:r w:rsidRPr="00183E4D">
        <w:lastRenderedPageBreak/>
        <w:t xml:space="preserve">Appendix </w:t>
      </w:r>
      <w:fldSimple w:instr=" SEQ Appendix \* ALPHABETIC ">
        <w:r w:rsidR="00460601">
          <w:rPr>
            <w:noProof/>
          </w:rPr>
          <w:t>C</w:t>
        </w:r>
      </w:fldSimple>
      <w:bookmarkEnd w:id="800"/>
      <w:r w:rsidR="008F59A8" w:rsidRPr="00183E4D">
        <w:tab/>
        <w:t>S</w:t>
      </w:r>
      <w:r w:rsidR="00591A6D" w:rsidRPr="00183E4D">
        <w:t xml:space="preserve">tudies </w:t>
      </w:r>
      <w:r w:rsidR="00990808">
        <w:t>I</w:t>
      </w:r>
      <w:r w:rsidR="00591A6D" w:rsidRPr="00183E4D">
        <w:t>ncluded in the Systematic R</w:t>
      </w:r>
      <w:r w:rsidR="008F59A8" w:rsidRPr="00183E4D">
        <w:t>eview</w:t>
      </w:r>
      <w:bookmarkEnd w:id="798"/>
      <w:bookmarkEnd w:id="799"/>
      <w:bookmarkEnd w:id="801"/>
      <w:bookmarkEnd w:id="802"/>
      <w:bookmarkEnd w:id="803"/>
      <w:bookmarkEnd w:id="804"/>
      <w:r w:rsidR="008F59A8" w:rsidRPr="00183E4D">
        <w:t xml:space="preserve"> </w:t>
      </w:r>
    </w:p>
    <w:p w14:paraId="2EE4FF97" w14:textId="7E673E4E" w:rsidR="00FC159D" w:rsidRDefault="00DE66CC" w:rsidP="004C79C1">
      <w:pPr>
        <w:pStyle w:val="Caption"/>
      </w:pPr>
      <w:bookmarkStart w:id="805" w:name="_Toc324410247"/>
      <w:bookmarkStart w:id="806" w:name="_Toc451435403"/>
      <w:r>
        <w:t xml:space="preserve">Table </w:t>
      </w:r>
      <w:fldSimple w:instr=" SEQ Table \* ARABIC ">
        <w:r w:rsidR="00050936">
          <w:rPr>
            <w:noProof/>
          </w:rPr>
          <w:t>76</w:t>
        </w:r>
      </w:fldSimple>
      <w:r w:rsidR="00B41D5E">
        <w:tab/>
      </w:r>
      <w:r w:rsidR="00FC159D" w:rsidRPr="00D37305">
        <w:t>Profiles of studies on diagnostic performance included in the systematic literature review</w:t>
      </w:r>
      <w:bookmarkEnd w:id="805"/>
      <w:bookmarkEnd w:id="806"/>
    </w:p>
    <w:tbl>
      <w:tblPr>
        <w:tblStyle w:val="TableGrid3"/>
        <w:tblW w:w="5000" w:type="pct"/>
        <w:tblLook w:val="04A0" w:firstRow="1" w:lastRow="0" w:firstColumn="1" w:lastColumn="0" w:noHBand="0" w:noVBand="1"/>
        <w:tblCaption w:val="Profiles of studies on diagnostic performance included in the systematic literature review"/>
      </w:tblPr>
      <w:tblGrid>
        <w:gridCol w:w="1331"/>
        <w:gridCol w:w="1863"/>
        <w:gridCol w:w="1997"/>
        <w:gridCol w:w="2662"/>
        <w:gridCol w:w="2527"/>
        <w:gridCol w:w="2796"/>
      </w:tblGrid>
      <w:tr w:rsidR="00FC159D" w:rsidRPr="00CD228E" w14:paraId="348F6355" w14:textId="77777777" w:rsidTr="00BE5D7C">
        <w:trPr>
          <w:tblHeader/>
        </w:trPr>
        <w:tc>
          <w:tcPr>
            <w:tcW w:w="505" w:type="pct"/>
          </w:tcPr>
          <w:p w14:paraId="1F11DF5E" w14:textId="77777777" w:rsidR="00FC159D" w:rsidRDefault="00FC159D" w:rsidP="004C79C1">
            <w:pPr>
              <w:keepNext/>
              <w:spacing w:before="0" w:after="120" w:line="240" w:lineRule="auto"/>
              <w:ind w:right="-57"/>
              <w:rPr>
                <w:rFonts w:ascii="Arial Narrow" w:hAnsi="Arial Narrow"/>
                <w:b/>
                <w:sz w:val="20"/>
              </w:rPr>
            </w:pPr>
            <w:bookmarkStart w:id="807" w:name="_Ref192056948"/>
            <w:bookmarkStart w:id="808" w:name="_Ref169423889"/>
            <w:r w:rsidRPr="00CD228E">
              <w:rPr>
                <w:rFonts w:ascii="Arial Narrow" w:hAnsi="Arial Narrow"/>
                <w:b/>
                <w:sz w:val="20"/>
              </w:rPr>
              <w:t xml:space="preserve">Study </w:t>
            </w:r>
          </w:p>
          <w:p w14:paraId="0BB2DC4A" w14:textId="77777777" w:rsidR="00FC159D" w:rsidRPr="00CD228E" w:rsidRDefault="00FC159D" w:rsidP="004C79C1">
            <w:pPr>
              <w:keepNext/>
              <w:spacing w:before="0" w:after="120" w:line="240" w:lineRule="auto"/>
              <w:ind w:right="-57"/>
              <w:rPr>
                <w:rFonts w:ascii="Arial Narrow" w:hAnsi="Arial Narrow"/>
                <w:b/>
                <w:sz w:val="20"/>
              </w:rPr>
            </w:pPr>
            <w:r>
              <w:rPr>
                <w:rFonts w:ascii="Arial Narrow" w:hAnsi="Arial Narrow"/>
                <w:b/>
                <w:sz w:val="20"/>
              </w:rPr>
              <w:t xml:space="preserve">Country </w:t>
            </w:r>
          </w:p>
        </w:tc>
        <w:tc>
          <w:tcPr>
            <w:tcW w:w="707" w:type="pct"/>
          </w:tcPr>
          <w:p w14:paraId="67B9ACC4" w14:textId="77777777" w:rsidR="00FC159D" w:rsidRDefault="00FC159D" w:rsidP="004C79C1">
            <w:pPr>
              <w:keepNext/>
              <w:spacing w:before="0" w:after="120" w:line="240" w:lineRule="auto"/>
              <w:ind w:right="-57"/>
              <w:rPr>
                <w:rFonts w:ascii="Arial Narrow" w:hAnsi="Arial Narrow"/>
                <w:b/>
                <w:sz w:val="20"/>
              </w:rPr>
            </w:pPr>
            <w:r w:rsidRPr="00CD228E">
              <w:rPr>
                <w:rFonts w:ascii="Arial Narrow" w:hAnsi="Arial Narrow"/>
                <w:b/>
                <w:sz w:val="20"/>
              </w:rPr>
              <w:t>Study design</w:t>
            </w:r>
          </w:p>
          <w:p w14:paraId="5925C9A5" w14:textId="77777777" w:rsidR="00FC159D" w:rsidRPr="00CD228E" w:rsidRDefault="00FC159D" w:rsidP="004C79C1">
            <w:pPr>
              <w:keepNext/>
              <w:spacing w:before="0" w:after="120" w:line="240" w:lineRule="auto"/>
              <w:ind w:right="-57"/>
              <w:rPr>
                <w:rFonts w:ascii="Arial Narrow" w:hAnsi="Arial Narrow"/>
                <w:b/>
                <w:sz w:val="20"/>
              </w:rPr>
            </w:pPr>
            <w:r w:rsidRPr="00CD228E">
              <w:rPr>
                <w:rFonts w:ascii="Arial Narrow" w:hAnsi="Arial Narrow"/>
                <w:b/>
                <w:sz w:val="20"/>
              </w:rPr>
              <w:t>Quality appraisal</w:t>
            </w:r>
          </w:p>
        </w:tc>
        <w:tc>
          <w:tcPr>
            <w:tcW w:w="758" w:type="pct"/>
          </w:tcPr>
          <w:p w14:paraId="19B5B51B" w14:textId="77777777" w:rsidR="00FC159D" w:rsidRPr="00CD228E" w:rsidRDefault="00FC159D" w:rsidP="004C79C1">
            <w:pPr>
              <w:keepNext/>
              <w:tabs>
                <w:tab w:val="left" w:pos="89"/>
              </w:tabs>
              <w:spacing w:before="0" w:after="120" w:line="240" w:lineRule="auto"/>
              <w:ind w:right="-57"/>
              <w:rPr>
                <w:rFonts w:ascii="Arial Narrow" w:hAnsi="Arial Narrow"/>
                <w:b/>
                <w:sz w:val="20"/>
              </w:rPr>
            </w:pPr>
            <w:r w:rsidRPr="00CD228E">
              <w:rPr>
                <w:rFonts w:ascii="Arial Narrow" w:hAnsi="Arial Narrow"/>
                <w:b/>
                <w:sz w:val="20"/>
              </w:rPr>
              <w:t>Study population</w:t>
            </w:r>
          </w:p>
        </w:tc>
        <w:tc>
          <w:tcPr>
            <w:tcW w:w="1010" w:type="pct"/>
          </w:tcPr>
          <w:p w14:paraId="6AF19171" w14:textId="77777777" w:rsidR="00FC159D" w:rsidRPr="00CD228E" w:rsidRDefault="00FC159D" w:rsidP="004C79C1">
            <w:pPr>
              <w:keepNext/>
              <w:spacing w:before="0" w:after="120" w:line="240" w:lineRule="auto"/>
              <w:ind w:right="-57"/>
              <w:rPr>
                <w:rFonts w:ascii="Arial Narrow" w:hAnsi="Arial Narrow"/>
                <w:b/>
                <w:sz w:val="20"/>
              </w:rPr>
            </w:pPr>
            <w:r w:rsidRPr="00CD228E">
              <w:rPr>
                <w:rFonts w:ascii="Arial Narrow" w:hAnsi="Arial Narrow"/>
                <w:b/>
                <w:sz w:val="20"/>
              </w:rPr>
              <w:t>Inclusion criteria / exclusion criteria</w:t>
            </w:r>
          </w:p>
        </w:tc>
        <w:tc>
          <w:tcPr>
            <w:tcW w:w="959" w:type="pct"/>
          </w:tcPr>
          <w:p w14:paraId="50658493" w14:textId="77777777" w:rsidR="00FC159D" w:rsidRPr="00CD228E" w:rsidRDefault="00FC159D" w:rsidP="004C79C1">
            <w:pPr>
              <w:keepNext/>
              <w:spacing w:before="0" w:after="120" w:line="240" w:lineRule="auto"/>
              <w:ind w:right="-57"/>
              <w:rPr>
                <w:rFonts w:ascii="Arial Narrow" w:hAnsi="Arial Narrow"/>
                <w:b/>
                <w:sz w:val="20"/>
              </w:rPr>
            </w:pPr>
            <w:r w:rsidRPr="00CD228E">
              <w:rPr>
                <w:rFonts w:ascii="Arial Narrow" w:hAnsi="Arial Narrow"/>
                <w:b/>
                <w:sz w:val="20"/>
              </w:rPr>
              <w:t>Intervention</w:t>
            </w:r>
            <w:r>
              <w:rPr>
                <w:rFonts w:ascii="Arial Narrow" w:hAnsi="Arial Narrow"/>
                <w:b/>
                <w:sz w:val="20"/>
              </w:rPr>
              <w:br/>
              <w:t>(CMR ± LGE)</w:t>
            </w:r>
          </w:p>
        </w:tc>
        <w:tc>
          <w:tcPr>
            <w:tcW w:w="1061" w:type="pct"/>
          </w:tcPr>
          <w:p w14:paraId="619BE43A" w14:textId="77777777" w:rsidR="00FC159D" w:rsidRPr="00CD228E" w:rsidRDefault="00FC159D" w:rsidP="004C79C1">
            <w:pPr>
              <w:keepNext/>
              <w:spacing w:before="0" w:after="120" w:line="240" w:lineRule="auto"/>
              <w:ind w:right="-57"/>
              <w:rPr>
                <w:rFonts w:ascii="Arial Narrow" w:hAnsi="Arial Narrow"/>
                <w:b/>
                <w:sz w:val="20"/>
              </w:rPr>
            </w:pPr>
            <w:r w:rsidRPr="00CD228E">
              <w:rPr>
                <w:rFonts w:ascii="Arial Narrow" w:hAnsi="Arial Narrow"/>
                <w:b/>
                <w:sz w:val="20"/>
              </w:rPr>
              <w:t>Reference standard</w:t>
            </w:r>
            <w:r>
              <w:rPr>
                <w:rFonts w:ascii="Arial Narrow" w:hAnsi="Arial Narrow"/>
                <w:b/>
                <w:sz w:val="20"/>
              </w:rPr>
              <w:t xml:space="preserve"> / comparator</w:t>
            </w:r>
          </w:p>
        </w:tc>
      </w:tr>
      <w:tr w:rsidR="00FC159D" w:rsidRPr="00CF4E70" w14:paraId="6A14D0C8" w14:textId="77777777" w:rsidTr="00BE5D7C">
        <w:tc>
          <w:tcPr>
            <w:tcW w:w="505" w:type="pct"/>
          </w:tcPr>
          <w:p w14:paraId="7BE27AAF"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Assomull et al. (2011)</w:t>
            </w:r>
          </w:p>
          <w:p w14:paraId="3A897E5D"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UK</w:t>
            </w:r>
          </w:p>
        </w:tc>
        <w:tc>
          <w:tcPr>
            <w:tcW w:w="707" w:type="pct"/>
          </w:tcPr>
          <w:p w14:paraId="47C19A1D"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w:t>
            </w:r>
          </w:p>
          <w:p w14:paraId="69422CB0"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2AB95A31"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Quality: low</w:t>
            </w:r>
            <w:r w:rsidRPr="00335B10">
              <w:rPr>
                <w:rFonts w:ascii="Arial Narrow" w:eastAsiaTheme="minorHAnsi" w:hAnsi="Arial Narrow" w:cstheme="minorHAnsi"/>
                <w:sz w:val="20"/>
                <w:lang w:eastAsia="en-US"/>
              </w:rPr>
              <w:t xml:space="preserve"> risk of bias</w:t>
            </w:r>
          </w:p>
          <w:p w14:paraId="23C5E61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4C6ABD">
              <w:rPr>
                <w:rFonts w:ascii="Arial Narrow" w:eastAsiaTheme="minorHAnsi" w:hAnsi="Arial Narrow" w:cstheme="minorHAnsi"/>
                <w:sz w:val="20"/>
                <w:lang w:eastAsia="en-US"/>
              </w:rPr>
              <w:sym w:font="Wingdings" w:char="F04A"/>
            </w:r>
          </w:p>
          <w:p w14:paraId="7A19B7FB"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47B4030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4C6ABD">
              <w:rPr>
                <w:rFonts w:ascii="Arial Narrow" w:eastAsiaTheme="minorHAnsi" w:hAnsi="Arial Narrow" w:cstheme="minorHAnsi"/>
                <w:sz w:val="20"/>
                <w:lang w:eastAsia="en-US"/>
              </w:rPr>
              <w:sym w:font="Wingdings" w:char="F04A"/>
            </w:r>
          </w:p>
          <w:p w14:paraId="5FE524A5"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4C6ABD">
              <w:rPr>
                <w:rFonts w:ascii="Arial Narrow" w:eastAsiaTheme="minorHAnsi" w:hAnsi="Arial Narrow" w:cstheme="minorHAnsi"/>
                <w:sz w:val="20"/>
                <w:lang w:eastAsia="en-US"/>
              </w:rPr>
              <w:sym w:font="Wingdings" w:char="F04A"/>
            </w:r>
          </w:p>
          <w:p w14:paraId="74BBA681"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4C6ABD">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4C6ABD">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4C6ABD">
              <w:rPr>
                <w:rFonts w:ascii="Arial Narrow" w:eastAsiaTheme="minorHAnsi" w:hAnsi="Arial Narrow" w:cstheme="minorHAnsi"/>
                <w:sz w:val="20"/>
                <w:lang w:eastAsia="en-US"/>
              </w:rPr>
              <w:sym w:font="Wingdings" w:char="F04A"/>
            </w:r>
          </w:p>
        </w:tc>
        <w:tc>
          <w:tcPr>
            <w:tcW w:w="758" w:type="pct"/>
          </w:tcPr>
          <w:p w14:paraId="5DEF9786" w14:textId="6D92384C"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 xml:space="preserve">120 patients with recently diagnosed </w:t>
            </w:r>
            <w:r w:rsidR="0094455A">
              <w:rPr>
                <w:rFonts w:ascii="Arial Narrow" w:hAnsi="Arial Narrow"/>
                <w:sz w:val="20"/>
              </w:rPr>
              <w:t>HF</w:t>
            </w:r>
            <w:r>
              <w:rPr>
                <w:rFonts w:ascii="Arial Narrow" w:hAnsi="Arial Narrow"/>
                <w:sz w:val="20"/>
              </w:rPr>
              <w:t xml:space="preserve"> (&lt;6</w:t>
            </w:r>
            <w:r w:rsidR="0094455A">
              <w:rPr>
                <w:rFonts w:ascii="Arial Narrow" w:hAnsi="Arial Narrow"/>
                <w:sz w:val="20"/>
              </w:rPr>
              <w:t> </w:t>
            </w:r>
            <w:r>
              <w:rPr>
                <w:rFonts w:ascii="Arial Narrow" w:hAnsi="Arial Narrow"/>
                <w:sz w:val="20"/>
              </w:rPr>
              <w:t>months) and reduced LVEF (suspected of DCM)</w:t>
            </w:r>
          </w:p>
          <w:p w14:paraId="4B94E8D7" w14:textId="77777777" w:rsidR="00FC159D" w:rsidRDefault="00FC159D" w:rsidP="004C79C1">
            <w:pPr>
              <w:keepNext/>
              <w:tabs>
                <w:tab w:val="left" w:pos="89"/>
              </w:tabs>
              <w:spacing w:before="0" w:after="120" w:line="240" w:lineRule="auto"/>
              <w:ind w:right="-57"/>
              <w:rPr>
                <w:rFonts w:ascii="Arial Narrow" w:hAnsi="Arial Narrow"/>
                <w:sz w:val="20"/>
              </w:rPr>
            </w:pPr>
          </w:p>
          <w:p w14:paraId="2AB54EEF" w14:textId="0249D024"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57 ± 11</w:t>
            </w:r>
            <w:r w:rsidR="0094455A">
              <w:rPr>
                <w:rFonts w:ascii="Arial Narrow" w:hAnsi="Arial Narrow"/>
                <w:sz w:val="20"/>
              </w:rPr>
              <w:t> years</w:t>
            </w:r>
          </w:p>
          <w:p w14:paraId="08A1DD9A"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96 men (80%)</w:t>
            </w:r>
          </w:p>
        </w:tc>
        <w:tc>
          <w:tcPr>
            <w:tcW w:w="1010" w:type="pct"/>
          </w:tcPr>
          <w:p w14:paraId="44BF07F4"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6FA0FF84" w14:textId="4B3A33FA" w:rsidR="00FC159D" w:rsidRPr="0011293E" w:rsidRDefault="00FC159D" w:rsidP="004C79C1">
            <w:pPr>
              <w:keepNext/>
              <w:spacing w:before="0" w:after="120" w:line="240" w:lineRule="auto"/>
              <w:ind w:right="-57"/>
              <w:rPr>
                <w:rFonts w:ascii="Arial Narrow" w:hAnsi="Arial Narrow"/>
                <w:sz w:val="20"/>
              </w:rPr>
            </w:pPr>
            <w:r>
              <w:rPr>
                <w:rFonts w:ascii="Arial Narrow" w:hAnsi="Arial Narrow"/>
                <w:sz w:val="20"/>
              </w:rPr>
              <w:t xml:space="preserve">Clinically stable in </w:t>
            </w:r>
            <w:r w:rsidR="0094455A">
              <w:rPr>
                <w:rFonts w:ascii="Arial Narrow" w:hAnsi="Arial Narrow"/>
                <w:sz w:val="20"/>
              </w:rPr>
              <w:t>NYHA</w:t>
            </w:r>
            <w:r>
              <w:rPr>
                <w:rFonts w:ascii="Arial Narrow" w:hAnsi="Arial Narrow"/>
                <w:sz w:val="20"/>
              </w:rPr>
              <w:t xml:space="preserve"> class I to III </w:t>
            </w:r>
            <w:r w:rsidR="0094455A">
              <w:rPr>
                <w:rFonts w:ascii="Arial Narrow" w:hAnsi="Arial Narrow"/>
                <w:sz w:val="20"/>
              </w:rPr>
              <w:t>HF</w:t>
            </w:r>
            <w:r>
              <w:rPr>
                <w:rFonts w:ascii="Arial Narrow" w:hAnsi="Arial Narrow"/>
                <w:sz w:val="20"/>
              </w:rPr>
              <w:t>, ≥35</w:t>
            </w:r>
            <w:r w:rsidR="0094455A">
              <w:rPr>
                <w:rFonts w:ascii="Arial Narrow" w:hAnsi="Arial Narrow"/>
                <w:sz w:val="20"/>
              </w:rPr>
              <w:t> </w:t>
            </w:r>
            <w:r>
              <w:rPr>
                <w:rFonts w:ascii="Arial Narrow" w:hAnsi="Arial Narrow"/>
                <w:sz w:val="20"/>
              </w:rPr>
              <w:t xml:space="preserve">years of age and scheduled to undergo coronary angiography as part of their clinical workup for </w:t>
            </w:r>
            <w:r w:rsidR="00F37F7A">
              <w:rPr>
                <w:rFonts w:ascii="Arial Narrow" w:hAnsi="Arial Narrow"/>
                <w:sz w:val="20"/>
              </w:rPr>
              <w:t>HF</w:t>
            </w:r>
          </w:p>
          <w:p w14:paraId="0E777007"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171186CD" w14:textId="705FD1DA" w:rsidR="00FC159D" w:rsidRPr="00F31D40" w:rsidRDefault="00FC159D" w:rsidP="004C79C1">
            <w:pPr>
              <w:keepNext/>
              <w:spacing w:before="0" w:after="120" w:line="240" w:lineRule="auto"/>
              <w:ind w:right="-57"/>
              <w:rPr>
                <w:rFonts w:ascii="Arial Narrow" w:hAnsi="Arial Narrow"/>
                <w:sz w:val="20"/>
              </w:rPr>
            </w:pPr>
            <w:r>
              <w:rPr>
                <w:rFonts w:ascii="Arial Narrow" w:hAnsi="Arial Narrow"/>
                <w:sz w:val="20"/>
              </w:rPr>
              <w:t>Any prior history or ECG or biochemical evidence of CAD</w:t>
            </w:r>
            <w:r w:rsidR="008C6E52">
              <w:rPr>
                <w:rFonts w:ascii="Arial Narrow" w:hAnsi="Arial Narrow"/>
                <w:sz w:val="20"/>
              </w:rPr>
              <w:t>,</w:t>
            </w:r>
            <w:r>
              <w:rPr>
                <w:rFonts w:ascii="Arial Narrow" w:hAnsi="Arial Narrow"/>
                <w:sz w:val="20"/>
              </w:rPr>
              <w:t xml:space="preserve"> chest pain</w:t>
            </w:r>
            <w:r w:rsidR="008C6E52">
              <w:rPr>
                <w:rFonts w:ascii="Arial Narrow" w:hAnsi="Arial Narrow"/>
                <w:sz w:val="20"/>
              </w:rPr>
              <w:t>,</w:t>
            </w:r>
            <w:r>
              <w:rPr>
                <w:rFonts w:ascii="Arial Narrow" w:hAnsi="Arial Narrow"/>
                <w:sz w:val="20"/>
              </w:rPr>
              <w:t xml:space="preserve"> significant valvular disease</w:t>
            </w:r>
            <w:r w:rsidR="008C6E52">
              <w:rPr>
                <w:rFonts w:ascii="Arial Narrow" w:hAnsi="Arial Narrow"/>
                <w:sz w:val="20"/>
              </w:rPr>
              <w:t>,</w:t>
            </w:r>
            <w:r>
              <w:rPr>
                <w:rFonts w:ascii="Arial Narrow" w:hAnsi="Arial Narrow"/>
                <w:sz w:val="20"/>
              </w:rPr>
              <w:t xml:space="preserve"> atrial fibrillation</w:t>
            </w:r>
            <w:r w:rsidR="008C6E52">
              <w:rPr>
                <w:rFonts w:ascii="Arial Narrow" w:hAnsi="Arial Narrow"/>
                <w:sz w:val="20"/>
              </w:rPr>
              <w:t>,</w:t>
            </w:r>
            <w:r>
              <w:rPr>
                <w:rFonts w:ascii="Arial Narrow" w:hAnsi="Arial Narrow"/>
                <w:sz w:val="20"/>
              </w:rPr>
              <w:t xml:space="preserve"> contraindications to CMR</w:t>
            </w:r>
          </w:p>
        </w:tc>
        <w:tc>
          <w:tcPr>
            <w:tcW w:w="959" w:type="pct"/>
          </w:tcPr>
          <w:p w14:paraId="166D1A2D"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t>Delayed enhancement:</w:t>
            </w:r>
          </w:p>
          <w:p w14:paraId="7291F08F" w14:textId="2A06ED34"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sidR="0091083A">
              <w:rPr>
                <w:rFonts w:ascii="Arial Narrow" w:hAnsi="Arial Narrow"/>
                <w:b/>
                <w:sz w:val="20"/>
              </w:rPr>
              <w:t xml:space="preserve"> </w:t>
            </w:r>
            <w:r>
              <w:rPr>
                <w:rFonts w:ascii="Arial Narrow" w:hAnsi="Arial Narrow"/>
                <w:sz w:val="20"/>
              </w:rPr>
              <w:t>1.5T scanner (Siemens Sonata and Siemens Avanto)</w:t>
            </w:r>
          </w:p>
          <w:p w14:paraId="63C69156" w14:textId="69B9A86C" w:rsidR="00FC159D" w:rsidRDefault="00FC159D" w:rsidP="004C79C1">
            <w:pPr>
              <w:spacing w:before="0" w:after="120" w:line="240" w:lineRule="auto"/>
              <w:ind w:right="-57"/>
              <w:rPr>
                <w:rFonts w:ascii="Arial Narrow" w:hAnsi="Arial Narrow"/>
                <w:sz w:val="20"/>
              </w:rPr>
            </w:pPr>
            <w:r>
              <w:rPr>
                <w:rFonts w:ascii="Arial Narrow" w:hAnsi="Arial Narrow"/>
                <w:b/>
                <w:sz w:val="20"/>
              </w:rPr>
              <w:t xml:space="preserve">Data inquisition: </w:t>
            </w:r>
            <w:r>
              <w:rPr>
                <w:rFonts w:ascii="Arial Narrow" w:hAnsi="Arial Narrow"/>
                <w:sz w:val="20"/>
              </w:rPr>
              <w:t>Inversion-recovery gradient</w:t>
            </w:r>
            <w:r w:rsidR="001B0AB1">
              <w:rPr>
                <w:rFonts w:ascii="Arial Narrow" w:hAnsi="Arial Narrow"/>
                <w:sz w:val="20"/>
              </w:rPr>
              <w:t>-</w:t>
            </w:r>
            <w:r>
              <w:rPr>
                <w:rFonts w:ascii="Arial Narrow" w:hAnsi="Arial Narrow"/>
                <w:sz w:val="20"/>
              </w:rPr>
              <w:t>echo sequence</w:t>
            </w:r>
          </w:p>
          <w:p w14:paraId="53C285F4" w14:textId="1B16F178" w:rsidR="00FC159D" w:rsidRDefault="00FC159D" w:rsidP="004C79C1">
            <w:pPr>
              <w:spacing w:before="0" w:after="120" w:line="240" w:lineRule="auto"/>
              <w:ind w:right="-57"/>
              <w:rPr>
                <w:rFonts w:ascii="Arial Narrow" w:hAnsi="Arial Narrow"/>
                <w:sz w:val="20"/>
              </w:rPr>
            </w:pPr>
            <w:r>
              <w:rPr>
                <w:rFonts w:ascii="Arial Narrow" w:hAnsi="Arial Narrow"/>
                <w:b/>
                <w:sz w:val="20"/>
              </w:rPr>
              <w:t>Contrast agent:</w:t>
            </w:r>
            <w:r w:rsidRPr="00D50E48">
              <w:rPr>
                <w:rFonts w:ascii="Arial Narrow" w:hAnsi="Arial Narrow"/>
                <w:sz w:val="20"/>
              </w:rPr>
              <w:t xml:space="preserve"> </w:t>
            </w:r>
            <w:r>
              <w:rPr>
                <w:rFonts w:ascii="Arial Narrow" w:hAnsi="Arial Narrow"/>
                <w:sz w:val="20"/>
              </w:rPr>
              <w:t xml:space="preserve">Intravenous </w:t>
            </w:r>
            <w:r w:rsidR="006B659F">
              <w:rPr>
                <w:rFonts w:ascii="Arial Narrow" w:hAnsi="Arial Narrow"/>
                <w:sz w:val="20"/>
              </w:rPr>
              <w:t>Gd-</w:t>
            </w:r>
            <w:r>
              <w:rPr>
                <w:rFonts w:ascii="Arial Narrow" w:hAnsi="Arial Narrow"/>
                <w:sz w:val="20"/>
              </w:rPr>
              <w:t>DTPA, 0.1</w:t>
            </w:r>
            <w:r w:rsidR="001B0AB1">
              <w:rPr>
                <w:rFonts w:ascii="Arial Narrow" w:hAnsi="Arial Narrow"/>
                <w:sz w:val="20"/>
              </w:rPr>
              <w:t> </w:t>
            </w:r>
            <w:r>
              <w:rPr>
                <w:rFonts w:ascii="Arial Narrow" w:hAnsi="Arial Narrow"/>
                <w:sz w:val="20"/>
              </w:rPr>
              <w:t>mmol/kg, 10</w:t>
            </w:r>
            <w:r w:rsidR="001B0AB1">
              <w:rPr>
                <w:rFonts w:ascii="Arial Narrow" w:hAnsi="Arial Narrow"/>
                <w:sz w:val="20"/>
              </w:rPr>
              <w:t>-</w:t>
            </w:r>
            <w:r>
              <w:rPr>
                <w:rFonts w:ascii="Arial Narrow" w:hAnsi="Arial Narrow"/>
                <w:sz w:val="20"/>
              </w:rPr>
              <w:t>minute delay</w:t>
            </w:r>
          </w:p>
          <w:p w14:paraId="6899C930" w14:textId="77777777" w:rsidR="00FC159D" w:rsidRDefault="00FC159D" w:rsidP="004C79C1">
            <w:pPr>
              <w:spacing w:before="0" w:after="120" w:line="240" w:lineRule="auto"/>
              <w:ind w:right="-57"/>
              <w:rPr>
                <w:rFonts w:ascii="Arial Narrow" w:hAnsi="Arial Narrow"/>
                <w:sz w:val="20"/>
              </w:rPr>
            </w:pPr>
          </w:p>
          <w:p w14:paraId="6EC837B0" w14:textId="77777777" w:rsidR="00FC159D" w:rsidRDefault="00FC159D" w:rsidP="004C79C1">
            <w:pPr>
              <w:spacing w:before="0" w:after="120" w:line="240" w:lineRule="auto"/>
              <w:ind w:right="-57"/>
              <w:rPr>
                <w:rFonts w:ascii="Arial Narrow" w:hAnsi="Arial Narrow"/>
                <w:b/>
                <w:sz w:val="20"/>
              </w:rPr>
            </w:pPr>
            <w:r w:rsidRPr="00D50E48">
              <w:rPr>
                <w:rFonts w:ascii="Arial Narrow" w:hAnsi="Arial Narrow"/>
                <w:b/>
                <w:sz w:val="20"/>
              </w:rPr>
              <w:t>Cine imaging:</w:t>
            </w:r>
          </w:p>
          <w:p w14:paraId="120D4171" w14:textId="365190F4"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sidR="0091083A">
              <w:rPr>
                <w:rFonts w:ascii="Arial Narrow" w:hAnsi="Arial Narrow"/>
                <w:b/>
                <w:sz w:val="20"/>
              </w:rPr>
              <w:t xml:space="preserve"> </w:t>
            </w:r>
            <w:r>
              <w:rPr>
                <w:rFonts w:ascii="Arial Narrow" w:hAnsi="Arial Narrow"/>
                <w:sz w:val="20"/>
              </w:rPr>
              <w:t>1.5T scanner (Siemens Sonata and Siemens Avanto)</w:t>
            </w:r>
          </w:p>
          <w:p w14:paraId="2194521C" w14:textId="182106C9" w:rsidR="00FC159D" w:rsidRPr="00D50E48" w:rsidRDefault="00FC159D" w:rsidP="004C79C1">
            <w:pPr>
              <w:spacing w:before="0" w:after="120" w:line="240" w:lineRule="auto"/>
              <w:ind w:right="-57"/>
              <w:rPr>
                <w:rFonts w:ascii="Arial Narrow" w:hAnsi="Arial Narrow"/>
                <w:sz w:val="20"/>
              </w:rPr>
            </w:pPr>
            <w:r>
              <w:rPr>
                <w:rFonts w:ascii="Arial Narrow" w:hAnsi="Arial Narrow"/>
                <w:b/>
                <w:sz w:val="20"/>
              </w:rPr>
              <w:t xml:space="preserve">Data inquisition: </w:t>
            </w:r>
            <w:r>
              <w:rPr>
                <w:rFonts w:ascii="Arial Narrow" w:hAnsi="Arial Narrow"/>
                <w:sz w:val="20"/>
              </w:rPr>
              <w:t xml:space="preserve">steady-state, free-precession </w:t>
            </w:r>
            <w:proofErr w:type="gramStart"/>
            <w:r>
              <w:rPr>
                <w:rFonts w:ascii="Arial Narrow" w:hAnsi="Arial Narrow"/>
                <w:sz w:val="20"/>
              </w:rPr>
              <w:t>breath hold</w:t>
            </w:r>
            <w:proofErr w:type="gramEnd"/>
            <w:r>
              <w:rPr>
                <w:rFonts w:ascii="Arial Narrow" w:hAnsi="Arial Narrow"/>
                <w:sz w:val="20"/>
              </w:rPr>
              <w:t xml:space="preserve"> cines in long-axis planes and sequential contiguous 7-mm short-axis slices from the atrioventricular ring to the apex.</w:t>
            </w:r>
          </w:p>
          <w:p w14:paraId="521ECFA4" w14:textId="02876FA9" w:rsidR="00FC159D" w:rsidRPr="00D50E48"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sidR="00AD4339">
              <w:rPr>
                <w:rFonts w:ascii="Arial Narrow" w:hAnsi="Arial Narrow"/>
                <w:b/>
                <w:sz w:val="20"/>
              </w:rPr>
              <w:t>–</w:t>
            </w:r>
          </w:p>
        </w:tc>
        <w:tc>
          <w:tcPr>
            <w:tcW w:w="1061" w:type="pct"/>
          </w:tcPr>
          <w:p w14:paraId="0310ADC2"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w:t>
            </w:r>
          </w:p>
          <w:p w14:paraId="31E6A386"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Clinical data</w:t>
            </w:r>
          </w:p>
          <w:p w14:paraId="781C206C" w14:textId="159886A3" w:rsidR="00FC159D" w:rsidRPr="000449F7" w:rsidRDefault="00FC159D" w:rsidP="004C79C1">
            <w:pPr>
              <w:keepNext/>
              <w:spacing w:before="0" w:after="120" w:line="240" w:lineRule="auto"/>
              <w:ind w:right="-57"/>
              <w:rPr>
                <w:rFonts w:ascii="Arial Narrow" w:hAnsi="Arial Narrow"/>
                <w:sz w:val="20"/>
              </w:rPr>
            </w:pPr>
            <w:r>
              <w:rPr>
                <w:rFonts w:ascii="Arial Narrow" w:hAnsi="Arial Narrow"/>
                <w:sz w:val="20"/>
              </w:rPr>
              <w:t xml:space="preserve">A separate consensus group of 3 cardiologists reviewed all the data and ascribed a gold-standard </w:t>
            </w:r>
            <w:r w:rsidR="00AD4339">
              <w:rPr>
                <w:rFonts w:ascii="Arial Narrow" w:hAnsi="Arial Narrow"/>
                <w:sz w:val="20"/>
              </w:rPr>
              <w:t>a</w:t>
            </w:r>
            <w:r>
              <w:rPr>
                <w:rFonts w:ascii="Arial Narrow" w:hAnsi="Arial Narrow"/>
                <w:sz w:val="20"/>
              </w:rPr>
              <w:t xml:space="preserve">etiology based on a review of all the </w:t>
            </w:r>
            <w:r w:rsidR="00783817">
              <w:rPr>
                <w:rFonts w:ascii="Arial Narrow" w:hAnsi="Arial Narrow"/>
                <w:sz w:val="20"/>
              </w:rPr>
              <w:t>available diagnostic data</w:t>
            </w:r>
            <w:r>
              <w:rPr>
                <w:rFonts w:ascii="Arial Narrow" w:hAnsi="Arial Narrow"/>
                <w:sz w:val="20"/>
              </w:rPr>
              <w:t>, including tissue characterisation information from LGE-CMR and luminographic data from coronary angiography.</w:t>
            </w:r>
          </w:p>
        </w:tc>
      </w:tr>
      <w:tr w:rsidR="00FC159D" w:rsidRPr="00CF4E70" w14:paraId="51B20162" w14:textId="77777777" w:rsidTr="00BE5D7C">
        <w:tc>
          <w:tcPr>
            <w:tcW w:w="505" w:type="pct"/>
          </w:tcPr>
          <w:p w14:paraId="3B9A8B1B"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Bohnen et al. (2015)</w:t>
            </w:r>
          </w:p>
          <w:p w14:paraId="32D76DB7"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Germany</w:t>
            </w:r>
          </w:p>
        </w:tc>
        <w:tc>
          <w:tcPr>
            <w:tcW w:w="707" w:type="pct"/>
          </w:tcPr>
          <w:p w14:paraId="0D98D655"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Level: II</w:t>
            </w:r>
          </w:p>
          <w:p w14:paraId="3B632DFB"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66E7CB60"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 xml:space="preserve">Quality: </w:t>
            </w:r>
            <w:r w:rsidRPr="00335B10">
              <w:rPr>
                <w:rFonts w:ascii="Arial Narrow" w:eastAsiaTheme="minorHAnsi" w:hAnsi="Arial Narrow" w:cstheme="minorHAnsi"/>
                <w:sz w:val="20"/>
                <w:lang w:eastAsia="en-US"/>
              </w:rPr>
              <w:t>medium risk of bias</w:t>
            </w:r>
          </w:p>
          <w:p w14:paraId="65720FDE"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Patient selection</w:t>
            </w:r>
            <w:proofErr w:type="gramStart"/>
            <w:r w:rsidRPr="00335B10">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t>?</w:t>
            </w:r>
            <w:proofErr w:type="gramEnd"/>
          </w:p>
          <w:p w14:paraId="63D7AA5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56540F">
              <w:rPr>
                <w:rFonts w:ascii="Arial Narrow" w:eastAsiaTheme="minorHAnsi" w:hAnsi="Arial Narrow" w:cstheme="minorHAnsi"/>
                <w:sz w:val="20"/>
                <w:lang w:eastAsia="en-US"/>
              </w:rPr>
              <w:sym w:font="Wingdings" w:char="F04A"/>
            </w:r>
          </w:p>
          <w:p w14:paraId="63AF8F25"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56540F">
              <w:rPr>
                <w:rFonts w:ascii="Arial Narrow" w:eastAsiaTheme="minorHAnsi" w:hAnsi="Arial Narrow" w:cstheme="minorHAnsi"/>
                <w:sz w:val="20"/>
                <w:lang w:eastAsia="en-US"/>
              </w:rPr>
              <w:sym w:font="Wingdings" w:char="F04C"/>
            </w:r>
          </w:p>
          <w:p w14:paraId="611364B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56540F">
              <w:rPr>
                <w:rFonts w:ascii="Arial Narrow" w:eastAsiaTheme="minorHAnsi" w:hAnsi="Arial Narrow" w:cstheme="minorHAnsi"/>
                <w:sz w:val="20"/>
                <w:lang w:eastAsia="en-US"/>
              </w:rPr>
              <w:sym w:font="Wingdings" w:char="F04A"/>
            </w:r>
          </w:p>
          <w:p w14:paraId="400BBE5C"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r w:rsidRPr="00932E7A">
              <w:rPr>
                <w:rFonts w:ascii="Arial Narrow" w:eastAsiaTheme="minorHAnsi" w:hAnsi="Arial Narrow" w:cstheme="minorHAnsi"/>
                <w:sz w:val="20"/>
                <w:lang w:eastAsia="en-US"/>
              </w:rPr>
              <w:sym w:font="Wingdings" w:char="F04C"/>
            </w:r>
            <w:proofErr w:type="gramEnd"/>
            <w:r>
              <w:rPr>
                <w:rFonts w:ascii="Arial Narrow" w:eastAsiaTheme="minorHAnsi" w:hAnsi="Arial Narrow" w:cstheme="minorHAnsi"/>
                <w:sz w:val="20"/>
                <w:lang w:eastAsia="en-US"/>
              </w:rPr>
              <w:t xml:space="preserve"> ? </w:t>
            </w:r>
            <w:r w:rsidRPr="0056540F">
              <w:rPr>
                <w:rFonts w:ascii="Arial Narrow" w:eastAsiaTheme="minorHAnsi" w:hAnsi="Arial Narrow" w:cstheme="minorHAnsi"/>
                <w:sz w:val="20"/>
                <w:lang w:eastAsia="en-US"/>
              </w:rPr>
              <w:sym w:font="Wingdings" w:char="F04C"/>
            </w:r>
          </w:p>
        </w:tc>
        <w:tc>
          <w:tcPr>
            <w:tcW w:w="758" w:type="pct"/>
          </w:tcPr>
          <w:p w14:paraId="1D92AF42" w14:textId="3C04C3B4"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lastRenderedPageBreak/>
              <w:t>31 patients with HF and reduced LVEF</w:t>
            </w:r>
          </w:p>
          <w:p w14:paraId="1F5A36AB" w14:textId="77777777" w:rsidR="00FC159D" w:rsidRDefault="00FC159D" w:rsidP="004C79C1">
            <w:pPr>
              <w:keepNext/>
              <w:tabs>
                <w:tab w:val="left" w:pos="89"/>
              </w:tabs>
              <w:spacing w:before="0" w:after="120" w:line="240" w:lineRule="auto"/>
              <w:ind w:right="-57"/>
              <w:rPr>
                <w:rFonts w:ascii="Arial Narrow" w:hAnsi="Arial Narrow"/>
                <w:sz w:val="20"/>
              </w:rPr>
            </w:pPr>
          </w:p>
          <w:p w14:paraId="62F000BB" w14:textId="44D4E943"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51</w:t>
            </w:r>
            <w:r w:rsidR="00985068">
              <w:rPr>
                <w:rFonts w:ascii="Arial Narrow" w:hAnsi="Arial Narrow"/>
                <w:sz w:val="20"/>
              </w:rPr>
              <w:t> years</w:t>
            </w:r>
            <w:r>
              <w:rPr>
                <w:rFonts w:ascii="Arial Narrow" w:hAnsi="Arial Narrow"/>
                <w:sz w:val="20"/>
              </w:rPr>
              <w:t xml:space="preserve"> (range 34</w:t>
            </w:r>
            <w:r w:rsidR="00985068">
              <w:rPr>
                <w:rFonts w:ascii="Arial Narrow" w:hAnsi="Arial Narrow"/>
                <w:sz w:val="20"/>
              </w:rPr>
              <w:t>–</w:t>
            </w:r>
            <w:r>
              <w:rPr>
                <w:rFonts w:ascii="Arial Narrow" w:hAnsi="Arial Narrow"/>
                <w:sz w:val="20"/>
              </w:rPr>
              <w:t>63)</w:t>
            </w:r>
          </w:p>
          <w:p w14:paraId="2C58F222"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24/31 men (77%)</w:t>
            </w:r>
          </w:p>
        </w:tc>
        <w:tc>
          <w:tcPr>
            <w:tcW w:w="1010" w:type="pct"/>
          </w:tcPr>
          <w:p w14:paraId="6B4DC0EA"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Inclusion criteria:</w:t>
            </w:r>
          </w:p>
          <w:p w14:paraId="20EEC48D" w14:textId="19B3E471" w:rsidR="00FC159D" w:rsidRDefault="00FC159D" w:rsidP="004C79C1">
            <w:pPr>
              <w:keepNext/>
              <w:spacing w:before="0" w:after="120" w:line="240" w:lineRule="auto"/>
              <w:ind w:right="-57"/>
              <w:rPr>
                <w:rFonts w:ascii="Arial Narrow" w:hAnsi="Arial Narrow"/>
                <w:sz w:val="20"/>
              </w:rPr>
            </w:pPr>
            <w:r>
              <w:rPr>
                <w:rFonts w:ascii="Arial Narrow" w:hAnsi="Arial Narrow"/>
                <w:sz w:val="20"/>
              </w:rPr>
              <w:t xml:space="preserve">Presentation with recent-onset HF, LVEF &lt;45% in absence of </w:t>
            </w:r>
            <w:r>
              <w:rPr>
                <w:rFonts w:ascii="Arial Narrow" w:hAnsi="Arial Narrow"/>
                <w:sz w:val="20"/>
              </w:rPr>
              <w:lastRenderedPageBreak/>
              <w:t xml:space="preserve">significant CAD, clinically indicated </w:t>
            </w:r>
            <w:r w:rsidR="00985068">
              <w:rPr>
                <w:rFonts w:ascii="Arial Narrow" w:hAnsi="Arial Narrow"/>
                <w:sz w:val="20"/>
              </w:rPr>
              <w:t>EMB</w:t>
            </w:r>
            <w:r>
              <w:rPr>
                <w:rFonts w:ascii="Arial Narrow" w:hAnsi="Arial Narrow"/>
                <w:sz w:val="20"/>
              </w:rPr>
              <w:t xml:space="preserve"> and CMR</w:t>
            </w:r>
          </w:p>
          <w:p w14:paraId="02F70C4D" w14:textId="77777777" w:rsidR="00FC159D" w:rsidRDefault="00FC159D" w:rsidP="004C79C1">
            <w:pPr>
              <w:keepNext/>
              <w:spacing w:before="0" w:after="120" w:line="240" w:lineRule="auto"/>
              <w:ind w:right="-57"/>
              <w:rPr>
                <w:rFonts w:ascii="Arial Narrow" w:hAnsi="Arial Narrow"/>
                <w:sz w:val="20"/>
              </w:rPr>
            </w:pPr>
          </w:p>
          <w:p w14:paraId="5A9F867E"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34F7632C" w14:textId="77777777" w:rsidR="00FC159D" w:rsidRDefault="00FC159D" w:rsidP="004C79C1">
            <w:pPr>
              <w:keepNext/>
              <w:spacing w:before="0" w:after="120" w:line="240" w:lineRule="auto"/>
              <w:ind w:right="-57"/>
              <w:rPr>
                <w:rFonts w:ascii="Arial Narrow" w:hAnsi="Arial Narrow"/>
                <w:sz w:val="20"/>
              </w:rPr>
            </w:pPr>
            <w:r>
              <w:rPr>
                <w:rFonts w:ascii="Arial Narrow" w:hAnsi="Arial Narrow"/>
                <w:sz w:val="20"/>
              </w:rPr>
              <w:t>Patients with acute coronary syndrome or arrhythmia</w:t>
            </w:r>
          </w:p>
          <w:p w14:paraId="11A45FD6" w14:textId="77777777" w:rsidR="00FC159D" w:rsidRDefault="00FC159D" w:rsidP="004C79C1">
            <w:pPr>
              <w:keepNext/>
              <w:spacing w:before="0" w:after="120" w:line="240" w:lineRule="auto"/>
              <w:ind w:right="-57"/>
              <w:rPr>
                <w:rFonts w:ascii="Arial Narrow" w:hAnsi="Arial Narrow"/>
                <w:sz w:val="20"/>
              </w:rPr>
            </w:pPr>
          </w:p>
          <w:p w14:paraId="69FD47D7" w14:textId="77777777" w:rsidR="00FC159D" w:rsidRPr="003C5B37" w:rsidRDefault="00FC159D" w:rsidP="004C79C1">
            <w:pPr>
              <w:keepNext/>
              <w:spacing w:before="0" w:after="120" w:line="240" w:lineRule="auto"/>
              <w:ind w:right="-57"/>
              <w:rPr>
                <w:rFonts w:ascii="Arial Narrow" w:hAnsi="Arial Narrow"/>
                <w:sz w:val="20"/>
              </w:rPr>
            </w:pPr>
          </w:p>
        </w:tc>
        <w:tc>
          <w:tcPr>
            <w:tcW w:w="959" w:type="pct"/>
          </w:tcPr>
          <w:p w14:paraId="34B9FEAA" w14:textId="77777777" w:rsidR="00FC159D" w:rsidRDefault="00FC159D" w:rsidP="004C79C1">
            <w:pPr>
              <w:spacing w:before="0" w:after="120" w:line="240" w:lineRule="auto"/>
              <w:ind w:right="-57"/>
              <w:rPr>
                <w:rFonts w:ascii="Arial Narrow" w:hAnsi="Arial Narrow"/>
                <w:sz w:val="20"/>
              </w:rPr>
            </w:pPr>
            <w:r>
              <w:rPr>
                <w:rFonts w:ascii="Arial Narrow" w:hAnsi="Arial Narrow"/>
                <w:b/>
                <w:sz w:val="20"/>
              </w:rPr>
              <w:lastRenderedPageBreak/>
              <w:t xml:space="preserve">Scanner: </w:t>
            </w:r>
            <w:r>
              <w:rPr>
                <w:rFonts w:ascii="Arial Narrow" w:hAnsi="Arial Narrow"/>
                <w:sz w:val="20"/>
              </w:rPr>
              <w:t xml:space="preserve">1.5T scanner (Achieva, Philips medical systems, Best, The </w:t>
            </w:r>
            <w:r>
              <w:rPr>
                <w:rFonts w:ascii="Arial Narrow" w:hAnsi="Arial Narrow"/>
                <w:sz w:val="20"/>
              </w:rPr>
              <w:lastRenderedPageBreak/>
              <w:t xml:space="preserve">Netherlands) </w:t>
            </w:r>
          </w:p>
          <w:p w14:paraId="5E6B8763" w14:textId="77777777" w:rsidR="00FC159D" w:rsidRPr="00AB7EE9" w:rsidRDefault="00FC159D" w:rsidP="004C79C1">
            <w:pPr>
              <w:spacing w:before="0" w:after="120" w:line="240" w:lineRule="auto"/>
              <w:ind w:right="-57"/>
              <w:rPr>
                <w:rFonts w:ascii="Arial Narrow" w:hAnsi="Arial Narrow"/>
                <w:sz w:val="20"/>
              </w:rPr>
            </w:pPr>
            <w:r>
              <w:rPr>
                <w:rFonts w:ascii="Arial Narrow" w:hAnsi="Arial Narrow"/>
                <w:b/>
                <w:sz w:val="20"/>
              </w:rPr>
              <w:t xml:space="preserve">Data inquisition: </w:t>
            </w:r>
            <w:r w:rsidRPr="00AB7EE9">
              <w:rPr>
                <w:rFonts w:ascii="Arial Narrow" w:hAnsi="Arial Narrow"/>
                <w:sz w:val="20"/>
              </w:rPr>
              <w:t>T1-weighted</w:t>
            </w:r>
            <w:r>
              <w:rPr>
                <w:rFonts w:ascii="Arial Narrow" w:hAnsi="Arial Narrow"/>
                <w:sz w:val="20"/>
              </w:rPr>
              <w:t xml:space="preserve"> </w:t>
            </w:r>
            <w:r w:rsidRPr="00AB7EE9">
              <w:rPr>
                <w:rFonts w:ascii="Arial Narrow" w:hAnsi="Arial Narrow"/>
                <w:sz w:val="20"/>
              </w:rPr>
              <w:t>spin-echo early gadolinium enhancement CMR, and phase-sensitive</w:t>
            </w:r>
            <w:r>
              <w:rPr>
                <w:rFonts w:ascii="Arial Narrow" w:hAnsi="Arial Narrow"/>
                <w:sz w:val="20"/>
              </w:rPr>
              <w:t xml:space="preserve"> </w:t>
            </w:r>
            <w:r w:rsidRPr="00AB7EE9">
              <w:rPr>
                <w:rFonts w:ascii="Arial Narrow" w:hAnsi="Arial Narrow"/>
                <w:sz w:val="20"/>
              </w:rPr>
              <w:t>inversion recovery late gadolinium</w:t>
            </w:r>
            <w:r>
              <w:rPr>
                <w:rFonts w:ascii="Arial Narrow" w:hAnsi="Arial Narrow"/>
                <w:sz w:val="20"/>
              </w:rPr>
              <w:t xml:space="preserve"> </w:t>
            </w:r>
            <w:r w:rsidRPr="00AB7EE9">
              <w:rPr>
                <w:rFonts w:ascii="Arial Narrow" w:hAnsi="Arial Narrow"/>
                <w:sz w:val="20"/>
              </w:rPr>
              <w:t>enhancement CMR</w:t>
            </w:r>
          </w:p>
          <w:p w14:paraId="5E35D3AE" w14:textId="2A746A05" w:rsidR="00FC159D" w:rsidRPr="00AB7EE9" w:rsidRDefault="00FC159D" w:rsidP="004C79C1">
            <w:pPr>
              <w:spacing w:before="0" w:after="120" w:line="240" w:lineRule="auto"/>
              <w:ind w:right="-57"/>
              <w:rPr>
                <w:rFonts w:ascii="Arial Narrow" w:hAnsi="Arial Narrow"/>
                <w:sz w:val="20"/>
              </w:rPr>
            </w:pPr>
            <w:r>
              <w:rPr>
                <w:rFonts w:ascii="Arial Narrow" w:hAnsi="Arial Narrow"/>
                <w:b/>
                <w:sz w:val="20"/>
              </w:rPr>
              <w:t xml:space="preserve">Contrast agent: </w:t>
            </w:r>
            <w:r>
              <w:rPr>
                <w:rFonts w:ascii="Arial Narrow" w:hAnsi="Arial Narrow"/>
                <w:sz w:val="20"/>
              </w:rPr>
              <w:t>0.075</w:t>
            </w:r>
            <w:r w:rsidR="006810C3">
              <w:rPr>
                <w:rFonts w:ascii="Arial Narrow" w:hAnsi="Arial Narrow"/>
                <w:sz w:val="20"/>
              </w:rPr>
              <w:t> </w:t>
            </w:r>
            <w:r>
              <w:rPr>
                <w:rFonts w:ascii="Arial Narrow" w:hAnsi="Arial Narrow"/>
                <w:sz w:val="20"/>
              </w:rPr>
              <w:t xml:space="preserve">mmol/kg </w:t>
            </w:r>
            <w:r w:rsidRPr="00AB7EE9">
              <w:rPr>
                <w:rFonts w:ascii="Arial Narrow" w:hAnsi="Arial Narrow"/>
                <w:sz w:val="20"/>
              </w:rPr>
              <w:t>gadobenate dimeglumine</w:t>
            </w:r>
            <w:r>
              <w:rPr>
                <w:rFonts w:ascii="Arial Narrow" w:hAnsi="Arial Narrow"/>
                <w:sz w:val="20"/>
              </w:rPr>
              <w:t xml:space="preserve">. </w:t>
            </w:r>
            <w:r w:rsidRPr="00AB7EE9">
              <w:rPr>
                <w:rFonts w:ascii="Arial Narrow" w:hAnsi="Arial Narrow"/>
                <w:sz w:val="20"/>
              </w:rPr>
              <w:t>T1-</w:t>
            </w:r>
            <w:r>
              <w:rPr>
                <w:rFonts w:ascii="Arial Narrow" w:hAnsi="Arial Narrow"/>
                <w:sz w:val="20"/>
              </w:rPr>
              <w:t xml:space="preserve"> m</w:t>
            </w:r>
            <w:r w:rsidRPr="00AB7EE9">
              <w:rPr>
                <w:rFonts w:ascii="Arial Narrow" w:hAnsi="Arial Narrow"/>
                <w:sz w:val="20"/>
              </w:rPr>
              <w:t>apping was performed using a modified</w:t>
            </w:r>
            <w:r>
              <w:rPr>
                <w:rFonts w:ascii="Arial Narrow" w:hAnsi="Arial Narrow"/>
                <w:sz w:val="20"/>
              </w:rPr>
              <w:t xml:space="preserve"> </w:t>
            </w:r>
            <w:r w:rsidRPr="00AB7EE9">
              <w:rPr>
                <w:rFonts w:ascii="Arial Narrow" w:hAnsi="Arial Narrow"/>
                <w:sz w:val="20"/>
              </w:rPr>
              <w:t>Look-Locker inversion recovery (MOLLI) sequence with a 3(3)5</w:t>
            </w:r>
            <w:r>
              <w:rPr>
                <w:rFonts w:ascii="Arial Narrow" w:hAnsi="Arial Narrow"/>
                <w:sz w:val="20"/>
              </w:rPr>
              <w:t xml:space="preserve"> </w:t>
            </w:r>
            <w:r w:rsidRPr="00AB7EE9">
              <w:rPr>
                <w:rFonts w:ascii="Arial Narrow" w:hAnsi="Arial Narrow"/>
                <w:sz w:val="20"/>
              </w:rPr>
              <w:t>scheme on 3 representative short-a</w:t>
            </w:r>
            <w:r>
              <w:rPr>
                <w:rFonts w:ascii="Arial Narrow" w:hAnsi="Arial Narrow"/>
                <w:sz w:val="20"/>
              </w:rPr>
              <w:t>xis positions before and 15</w:t>
            </w:r>
            <w:r w:rsidR="006810C3">
              <w:rPr>
                <w:rFonts w:ascii="Arial Narrow" w:hAnsi="Arial Narrow"/>
                <w:sz w:val="20"/>
              </w:rPr>
              <w:t> </w:t>
            </w:r>
            <w:r>
              <w:rPr>
                <w:rFonts w:ascii="Arial Narrow" w:hAnsi="Arial Narrow"/>
                <w:sz w:val="20"/>
              </w:rPr>
              <w:t>min</w:t>
            </w:r>
            <w:r w:rsidRPr="00AB7EE9">
              <w:rPr>
                <w:rFonts w:ascii="Arial Narrow" w:hAnsi="Arial Narrow"/>
                <w:sz w:val="20"/>
              </w:rPr>
              <w:t>utes after contrast-media administration</w:t>
            </w:r>
            <w:r>
              <w:rPr>
                <w:rFonts w:ascii="Arial Narrow" w:hAnsi="Arial Narrow"/>
                <w:sz w:val="20"/>
              </w:rPr>
              <w:t>.</w:t>
            </w:r>
            <w:r w:rsidRPr="00AB7EE9">
              <w:rPr>
                <w:rFonts w:ascii="Arial Narrow" w:hAnsi="Arial Narrow"/>
                <w:sz w:val="20"/>
              </w:rPr>
              <w:t xml:space="preserve"> </w:t>
            </w:r>
          </w:p>
        </w:tc>
        <w:tc>
          <w:tcPr>
            <w:tcW w:w="1061" w:type="pct"/>
          </w:tcPr>
          <w:p w14:paraId="52069792"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Reference standard:</w:t>
            </w:r>
          </w:p>
          <w:p w14:paraId="61F1A250"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Endomyocardial biopsy:</w:t>
            </w:r>
          </w:p>
          <w:p w14:paraId="0DECD4F2" w14:textId="4E84768D" w:rsidR="00FC159D" w:rsidRPr="00AB7EE9" w:rsidRDefault="00FC159D" w:rsidP="004C79C1">
            <w:pPr>
              <w:keepNext/>
              <w:spacing w:before="0" w:after="120" w:line="240" w:lineRule="auto"/>
              <w:ind w:right="-57"/>
            </w:pPr>
            <w:r>
              <w:rPr>
                <w:rFonts w:ascii="Arial Narrow" w:hAnsi="Arial Narrow"/>
                <w:sz w:val="20"/>
              </w:rPr>
              <w:lastRenderedPageBreak/>
              <w:t>A</w:t>
            </w:r>
            <w:r w:rsidRPr="00AB7EE9">
              <w:rPr>
                <w:rFonts w:ascii="Arial Narrow" w:hAnsi="Arial Narrow"/>
                <w:sz w:val="20"/>
              </w:rPr>
              <w:t>t least 4 biopsies 1</w:t>
            </w:r>
            <w:r w:rsidR="00985068">
              <w:rPr>
                <w:rFonts w:ascii="Arial Narrow" w:hAnsi="Arial Narrow"/>
                <w:sz w:val="20"/>
              </w:rPr>
              <w:t>–</w:t>
            </w:r>
            <w:r w:rsidRPr="00AB7EE9">
              <w:rPr>
                <w:rFonts w:ascii="Arial Narrow" w:hAnsi="Arial Narrow"/>
                <w:sz w:val="20"/>
              </w:rPr>
              <w:t>2</w:t>
            </w:r>
            <w:r w:rsidR="00985068">
              <w:rPr>
                <w:rFonts w:ascii="Arial Narrow" w:hAnsi="Arial Narrow"/>
                <w:sz w:val="20"/>
              </w:rPr>
              <w:t> </w:t>
            </w:r>
            <w:r w:rsidRPr="00AB7EE9">
              <w:rPr>
                <w:rFonts w:ascii="Arial Narrow" w:hAnsi="Arial Narrow"/>
                <w:sz w:val="20"/>
              </w:rPr>
              <w:t>mm in size were obtained from the left (n=12; 39%) or right (n=19; 61%)</w:t>
            </w:r>
            <w:r w:rsidR="00985068">
              <w:rPr>
                <w:rFonts w:ascii="Arial Narrow" w:hAnsi="Arial Narrow"/>
                <w:sz w:val="20"/>
              </w:rPr>
              <w:t xml:space="preserve"> </w:t>
            </w:r>
            <w:r w:rsidR="00985068" w:rsidRPr="00AB7EE9">
              <w:rPr>
                <w:rFonts w:ascii="Arial Narrow" w:hAnsi="Arial Narrow"/>
                <w:sz w:val="20"/>
              </w:rPr>
              <w:t>ventricle</w:t>
            </w:r>
            <w:r w:rsidRPr="00AB7EE9">
              <w:rPr>
                <w:rFonts w:ascii="Arial Narrow" w:hAnsi="Arial Narrow"/>
                <w:sz w:val="20"/>
              </w:rPr>
              <w:t>. Active myocarditis with ongoing myocardial inflammation was defined by ≥14 infiltrating leukocytes/mm</w:t>
            </w:r>
            <w:r w:rsidRPr="001170AB">
              <w:rPr>
                <w:rFonts w:ascii="Arial Narrow" w:hAnsi="Arial Narrow"/>
                <w:sz w:val="20"/>
                <w:vertAlign w:val="superscript"/>
              </w:rPr>
              <w:t>2</w:t>
            </w:r>
            <w:r w:rsidRPr="00AB7EE9">
              <w:rPr>
                <w:rFonts w:ascii="Arial Narrow" w:hAnsi="Arial Narrow"/>
                <w:sz w:val="20"/>
              </w:rPr>
              <w:t>, CD3+ and CD68+ macrophages in the presence of myocyte damage and fibrosis.</w:t>
            </w:r>
            <w:r>
              <w:t xml:space="preserve"> </w:t>
            </w:r>
            <w:r w:rsidRPr="00AB7EE9">
              <w:rPr>
                <w:rFonts w:ascii="Arial Narrow" w:hAnsi="Arial Narrow"/>
                <w:sz w:val="20"/>
              </w:rPr>
              <w:t>DNA and RNA were extracted and</w:t>
            </w:r>
            <w:r>
              <w:rPr>
                <w:rFonts w:ascii="Arial Narrow" w:hAnsi="Arial Narrow"/>
                <w:sz w:val="20"/>
              </w:rPr>
              <w:t xml:space="preserve"> </w:t>
            </w:r>
            <w:r w:rsidR="006B1D5C">
              <w:rPr>
                <w:rFonts w:ascii="Arial Narrow" w:hAnsi="Arial Narrow"/>
                <w:sz w:val="20"/>
              </w:rPr>
              <w:t>PCR</w:t>
            </w:r>
            <w:r>
              <w:rPr>
                <w:rFonts w:ascii="Arial Narrow" w:hAnsi="Arial Narrow"/>
                <w:sz w:val="20"/>
              </w:rPr>
              <w:t xml:space="preserve"> </w:t>
            </w:r>
            <w:r w:rsidRPr="00AB7EE9">
              <w:rPr>
                <w:rFonts w:ascii="Arial Narrow" w:hAnsi="Arial Narrow"/>
                <w:sz w:val="20"/>
              </w:rPr>
              <w:t>/</w:t>
            </w:r>
            <w:r w:rsidR="006810C3">
              <w:rPr>
                <w:rFonts w:ascii="Arial Narrow" w:hAnsi="Arial Narrow"/>
                <w:sz w:val="20"/>
              </w:rPr>
              <w:t xml:space="preserve"> </w:t>
            </w:r>
            <w:r w:rsidRPr="00AB7EE9">
              <w:rPr>
                <w:rFonts w:ascii="Arial Narrow" w:hAnsi="Arial Narrow"/>
                <w:sz w:val="20"/>
              </w:rPr>
              <w:t>reverse transcriptase</w:t>
            </w:r>
            <w:r>
              <w:rPr>
                <w:rFonts w:ascii="Arial Narrow" w:hAnsi="Arial Narrow"/>
                <w:sz w:val="20"/>
              </w:rPr>
              <w:t xml:space="preserve"> </w:t>
            </w:r>
            <w:r w:rsidR="006B1D5C">
              <w:rPr>
                <w:rFonts w:ascii="Arial Narrow" w:hAnsi="Arial Narrow"/>
                <w:sz w:val="20"/>
              </w:rPr>
              <w:t>PCR</w:t>
            </w:r>
            <w:r w:rsidRPr="00AB7EE9">
              <w:rPr>
                <w:rFonts w:ascii="Arial Narrow" w:hAnsi="Arial Narrow"/>
                <w:sz w:val="20"/>
              </w:rPr>
              <w:t xml:space="preserve"> was performed to detect typical viruses in the samples as</w:t>
            </w:r>
            <w:r>
              <w:rPr>
                <w:rFonts w:ascii="Arial Narrow" w:hAnsi="Arial Narrow"/>
                <w:sz w:val="20"/>
              </w:rPr>
              <w:t xml:space="preserve"> </w:t>
            </w:r>
            <w:r w:rsidRPr="00AB7EE9">
              <w:rPr>
                <w:rFonts w:ascii="Arial Narrow" w:hAnsi="Arial Narrow"/>
                <w:sz w:val="20"/>
              </w:rPr>
              <w:t>appropriate</w:t>
            </w:r>
            <w:r w:rsidR="006810C3">
              <w:rPr>
                <w:rFonts w:ascii="Arial Narrow" w:hAnsi="Arial Narrow"/>
                <w:sz w:val="20"/>
              </w:rPr>
              <w:t>.</w:t>
            </w:r>
          </w:p>
        </w:tc>
      </w:tr>
      <w:tr w:rsidR="00FC159D" w:rsidRPr="00CF4E70" w14:paraId="5B71A05B" w14:textId="77777777" w:rsidTr="00BE5D7C">
        <w:tc>
          <w:tcPr>
            <w:tcW w:w="505" w:type="pct"/>
          </w:tcPr>
          <w:p w14:paraId="34EBF2A8"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Casolo et al. (2006)</w:t>
            </w:r>
          </w:p>
          <w:p w14:paraId="5AC8D9A4"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Italy</w:t>
            </w:r>
          </w:p>
        </w:tc>
        <w:tc>
          <w:tcPr>
            <w:tcW w:w="707" w:type="pct"/>
          </w:tcPr>
          <w:p w14:paraId="665254C6"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w:t>
            </w:r>
          </w:p>
          <w:p w14:paraId="7F8B14DB"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15AC091A"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Quality: low</w:t>
            </w:r>
            <w:r w:rsidRPr="00335B10">
              <w:rPr>
                <w:rFonts w:ascii="Arial Narrow" w:eastAsiaTheme="minorHAnsi" w:hAnsi="Arial Narrow" w:cstheme="minorHAnsi"/>
                <w:sz w:val="20"/>
                <w:lang w:eastAsia="en-US"/>
              </w:rPr>
              <w:t xml:space="preserve"> risk of bias</w:t>
            </w:r>
          </w:p>
          <w:p w14:paraId="03E5E186"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D775C7">
              <w:rPr>
                <w:rFonts w:ascii="Arial Narrow" w:eastAsiaTheme="minorHAnsi" w:hAnsi="Arial Narrow" w:cstheme="minorHAnsi"/>
                <w:sz w:val="20"/>
                <w:lang w:eastAsia="en-US"/>
              </w:rPr>
              <w:sym w:font="Wingdings" w:char="F04A"/>
            </w:r>
          </w:p>
          <w:p w14:paraId="25097233"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p>
          <w:p w14:paraId="766EE1EB"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p>
          <w:p w14:paraId="16DDFAF2"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p>
          <w:p w14:paraId="5CF0D214"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D775C7">
              <w:rPr>
                <w:rFonts w:ascii="Arial Narrow" w:eastAsiaTheme="minorHAnsi" w:hAnsi="Arial Narrow" w:cstheme="minorHAnsi"/>
                <w:sz w:val="20"/>
                <w:lang w:eastAsia="en-US"/>
              </w:rPr>
              <w:sym w:font="Wingdings" w:char="F04A"/>
            </w:r>
          </w:p>
        </w:tc>
        <w:tc>
          <w:tcPr>
            <w:tcW w:w="758" w:type="pct"/>
          </w:tcPr>
          <w:p w14:paraId="1DB84400" w14:textId="7C0C4BFE"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60 HF patients with LV dysfunction and dilation enrolled consecutively from a clinic</w:t>
            </w:r>
          </w:p>
          <w:p w14:paraId="41157BB5" w14:textId="77777777" w:rsidR="00FC159D" w:rsidRDefault="00FC159D" w:rsidP="004C79C1">
            <w:pPr>
              <w:keepNext/>
              <w:tabs>
                <w:tab w:val="left" w:pos="89"/>
              </w:tabs>
              <w:spacing w:before="0" w:after="120" w:line="240" w:lineRule="auto"/>
              <w:ind w:right="-57"/>
              <w:rPr>
                <w:rFonts w:ascii="Arial Narrow" w:hAnsi="Arial Narrow"/>
                <w:sz w:val="20"/>
              </w:rPr>
            </w:pPr>
          </w:p>
          <w:p w14:paraId="7037A212" w14:textId="6DFFC7D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66.4 ± 9.6</w:t>
            </w:r>
            <w:r w:rsidR="00A217E8">
              <w:rPr>
                <w:rFonts w:ascii="Arial Narrow" w:hAnsi="Arial Narrow"/>
                <w:sz w:val="20"/>
              </w:rPr>
              <w:t> years</w:t>
            </w:r>
          </w:p>
          <w:p w14:paraId="21518C25"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44/60 men (73%)</w:t>
            </w:r>
          </w:p>
        </w:tc>
        <w:tc>
          <w:tcPr>
            <w:tcW w:w="1010" w:type="pct"/>
          </w:tcPr>
          <w:p w14:paraId="507A27CE"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7955E4CC" w14:textId="0DDA8018" w:rsidR="00FC159D" w:rsidRDefault="00FC159D" w:rsidP="004C79C1">
            <w:pPr>
              <w:keepNext/>
              <w:spacing w:before="0" w:after="120" w:line="240" w:lineRule="auto"/>
              <w:ind w:right="-57"/>
              <w:rPr>
                <w:rFonts w:ascii="Arial Narrow" w:hAnsi="Arial Narrow"/>
                <w:sz w:val="20"/>
              </w:rPr>
            </w:pPr>
            <w:r>
              <w:rPr>
                <w:rFonts w:ascii="Arial Narrow" w:hAnsi="Arial Narrow"/>
                <w:sz w:val="20"/>
              </w:rPr>
              <w:t>HF based on clinical symptoms and documented LV dysfunction (LVEF</w:t>
            </w:r>
            <w:r w:rsidR="00A217E8">
              <w:rPr>
                <w:rFonts w:ascii="Arial Narrow" w:hAnsi="Arial Narrow"/>
                <w:sz w:val="20"/>
              </w:rPr>
              <w:t xml:space="preserve"> </w:t>
            </w:r>
            <w:r>
              <w:rPr>
                <w:rFonts w:ascii="Arial Narrow" w:hAnsi="Arial Narrow"/>
                <w:sz w:val="20"/>
              </w:rPr>
              <w:t xml:space="preserve">&lt;40%) and dilation by </w:t>
            </w:r>
            <w:r w:rsidR="00A217E8">
              <w:rPr>
                <w:rFonts w:ascii="Arial Narrow" w:hAnsi="Arial Narrow"/>
                <w:sz w:val="20"/>
              </w:rPr>
              <w:t>E</w:t>
            </w:r>
            <w:r>
              <w:rPr>
                <w:rFonts w:ascii="Arial Narrow" w:hAnsi="Arial Narrow"/>
                <w:sz w:val="20"/>
              </w:rPr>
              <w:t>cho</w:t>
            </w:r>
          </w:p>
          <w:p w14:paraId="6F375394" w14:textId="77777777" w:rsidR="00FC159D" w:rsidRDefault="00FC159D" w:rsidP="004C79C1">
            <w:pPr>
              <w:keepNext/>
              <w:spacing w:before="0" w:after="120" w:line="240" w:lineRule="auto"/>
              <w:ind w:right="-57"/>
              <w:rPr>
                <w:rFonts w:ascii="Arial Narrow" w:hAnsi="Arial Narrow"/>
                <w:sz w:val="20"/>
              </w:rPr>
            </w:pPr>
          </w:p>
          <w:p w14:paraId="388E3D24" w14:textId="77777777" w:rsidR="00FC159D" w:rsidRDefault="00FC159D" w:rsidP="004C79C1">
            <w:pPr>
              <w:keepNext/>
              <w:spacing w:before="0" w:after="120" w:line="240" w:lineRule="auto"/>
              <w:ind w:right="-57"/>
              <w:rPr>
                <w:rFonts w:ascii="Arial Narrow" w:hAnsi="Arial Narrow"/>
                <w:b/>
                <w:sz w:val="20"/>
              </w:rPr>
            </w:pPr>
            <w:r w:rsidRPr="00CD5369">
              <w:rPr>
                <w:rFonts w:ascii="Arial Narrow" w:hAnsi="Arial Narrow"/>
                <w:b/>
                <w:sz w:val="20"/>
              </w:rPr>
              <w:t>Exclusion criteria:</w:t>
            </w:r>
          </w:p>
          <w:p w14:paraId="43CC68F7" w14:textId="1EC58A15" w:rsidR="00FC159D" w:rsidRPr="00CD5369" w:rsidRDefault="00FC159D" w:rsidP="004C79C1">
            <w:pPr>
              <w:keepNext/>
              <w:spacing w:before="0" w:after="120" w:line="240" w:lineRule="auto"/>
              <w:ind w:right="-57"/>
              <w:rPr>
                <w:rFonts w:ascii="Arial Narrow" w:hAnsi="Arial Narrow"/>
                <w:sz w:val="20"/>
              </w:rPr>
            </w:pPr>
            <w:r>
              <w:rPr>
                <w:rFonts w:ascii="Arial Narrow" w:hAnsi="Arial Narrow"/>
                <w:sz w:val="20"/>
              </w:rPr>
              <w:t>Contraindications to CMR, severe congestive symptoms, previous revascularisation, significant valve disease, known HCM, infiltrative disorders and history of myocarditis</w:t>
            </w:r>
          </w:p>
        </w:tc>
        <w:tc>
          <w:tcPr>
            <w:tcW w:w="959" w:type="pct"/>
          </w:tcPr>
          <w:p w14:paraId="13E3B23C"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t>Scanner</w:t>
            </w:r>
            <w:r w:rsidRPr="00A107DB">
              <w:rPr>
                <w:rFonts w:ascii="Arial Narrow" w:hAnsi="Arial Narrow"/>
                <w:sz w:val="20"/>
              </w:rPr>
              <w:t xml:space="preserve">: 1.5T </w:t>
            </w:r>
            <w:r>
              <w:rPr>
                <w:rFonts w:ascii="Arial Narrow" w:hAnsi="Arial Narrow"/>
                <w:sz w:val="20"/>
              </w:rPr>
              <w:t>scanner (Philips Intera, Best, The Netherlands)</w:t>
            </w:r>
          </w:p>
          <w:p w14:paraId="21396DDB" w14:textId="606C101D" w:rsidR="00FC159D" w:rsidRDefault="00FC159D" w:rsidP="004C79C1">
            <w:pPr>
              <w:spacing w:before="0" w:after="120" w:line="240" w:lineRule="auto"/>
              <w:ind w:right="-57"/>
              <w:rPr>
                <w:rFonts w:ascii="Arial Narrow" w:hAnsi="Arial Narrow"/>
                <w:sz w:val="20"/>
              </w:rPr>
            </w:pPr>
            <w:r>
              <w:rPr>
                <w:rFonts w:ascii="Arial Narrow" w:hAnsi="Arial Narrow"/>
                <w:b/>
                <w:sz w:val="20"/>
              </w:rPr>
              <w:t xml:space="preserve">Data inquisition: </w:t>
            </w:r>
            <w:r w:rsidRPr="009F1B90">
              <w:rPr>
                <w:rFonts w:ascii="Arial Narrow" w:hAnsi="Arial Narrow"/>
                <w:sz w:val="20"/>
              </w:rPr>
              <w:t>IR-GRE-EPI</w:t>
            </w:r>
            <w:r>
              <w:rPr>
                <w:rFonts w:ascii="Arial Narrow" w:hAnsi="Arial Narrow"/>
                <w:sz w:val="20"/>
              </w:rPr>
              <w:t xml:space="preserve"> </w:t>
            </w:r>
            <w:r w:rsidRPr="009F1B90">
              <w:rPr>
                <w:rFonts w:ascii="Arial Narrow" w:hAnsi="Arial Narrow"/>
                <w:sz w:val="20"/>
              </w:rPr>
              <w:t>breath-hold (3D acquisition (slice thickness</w:t>
            </w:r>
            <w:r>
              <w:rPr>
                <w:rFonts w:ascii="Arial Narrow" w:hAnsi="Arial Narrow"/>
                <w:sz w:val="20"/>
              </w:rPr>
              <w:t xml:space="preserve"> </w:t>
            </w:r>
            <w:r w:rsidRPr="009F1B90">
              <w:rPr>
                <w:rFonts w:ascii="Arial Narrow" w:hAnsi="Arial Narrow"/>
                <w:sz w:val="20"/>
              </w:rPr>
              <w:t>5</w:t>
            </w:r>
            <w:r w:rsidR="00A217E8">
              <w:rPr>
                <w:rFonts w:ascii="Arial Narrow" w:hAnsi="Arial Narrow"/>
                <w:sz w:val="20"/>
              </w:rPr>
              <w:t> </w:t>
            </w:r>
            <w:r w:rsidRPr="009F1B90">
              <w:rPr>
                <w:rFonts w:ascii="Arial Narrow" w:hAnsi="Arial Narrow"/>
                <w:sz w:val="20"/>
              </w:rPr>
              <w:t>mm,</w:t>
            </w:r>
            <w:r>
              <w:rPr>
                <w:rFonts w:ascii="Arial Narrow" w:hAnsi="Arial Narrow"/>
                <w:sz w:val="20"/>
              </w:rPr>
              <w:t xml:space="preserve"> </w:t>
            </w:r>
            <w:r w:rsidRPr="009F1B90">
              <w:rPr>
                <w:rFonts w:ascii="Arial Narrow" w:hAnsi="Arial Narrow"/>
                <w:sz w:val="20"/>
              </w:rPr>
              <w:t>gap</w:t>
            </w:r>
            <w:r>
              <w:rPr>
                <w:rFonts w:ascii="Arial Narrow" w:hAnsi="Arial Narrow" w:hint="eastAsia"/>
                <w:sz w:val="20"/>
              </w:rPr>
              <w:t xml:space="preserve"> </w:t>
            </w:r>
            <w:r w:rsidRPr="009F1B90">
              <w:rPr>
                <w:rFonts w:ascii="Arial Narrow" w:hAnsi="Arial Narrow"/>
                <w:sz w:val="20"/>
              </w:rPr>
              <w:t>0.5</w:t>
            </w:r>
            <w:r w:rsidR="00A217E8">
              <w:rPr>
                <w:rFonts w:ascii="Arial Narrow" w:hAnsi="Arial Narrow"/>
                <w:sz w:val="20"/>
              </w:rPr>
              <w:t> </w:t>
            </w:r>
            <w:r w:rsidRPr="009F1B90">
              <w:rPr>
                <w:rFonts w:ascii="Arial Narrow" w:hAnsi="Arial Narrow"/>
                <w:sz w:val="20"/>
              </w:rPr>
              <w:t>mm,</w:t>
            </w:r>
            <w:r w:rsidR="00A217E8">
              <w:rPr>
                <w:rFonts w:ascii="Arial Narrow" w:hAnsi="Arial Narrow"/>
                <w:sz w:val="20"/>
              </w:rPr>
              <w:t xml:space="preserve"> </w:t>
            </w:r>
            <w:r w:rsidRPr="009F1B90">
              <w:rPr>
                <w:rFonts w:ascii="Arial Narrow" w:hAnsi="Arial Narrow"/>
                <w:sz w:val="20"/>
              </w:rPr>
              <w:t>and voxel sizes of 1.7</w:t>
            </w:r>
            <w:r>
              <w:rPr>
                <w:rFonts w:ascii="Arial Narrow" w:hAnsi="Arial Narrow" w:hint="eastAsia"/>
                <w:sz w:val="20"/>
              </w:rPr>
              <w:t>x</w:t>
            </w:r>
            <w:r w:rsidRPr="009F1B90">
              <w:rPr>
                <w:rFonts w:ascii="Arial Narrow" w:hAnsi="Arial Narrow"/>
                <w:sz w:val="20"/>
              </w:rPr>
              <w:t>1.4</w:t>
            </w:r>
            <w:r>
              <w:rPr>
                <w:rFonts w:ascii="Arial Narrow" w:hAnsi="Arial Narrow" w:hint="eastAsia"/>
                <w:sz w:val="20"/>
              </w:rPr>
              <w:t>x</w:t>
            </w:r>
            <w:r w:rsidRPr="009F1B90">
              <w:rPr>
                <w:rFonts w:ascii="Arial Narrow" w:hAnsi="Arial Narrow"/>
                <w:sz w:val="20"/>
              </w:rPr>
              <w:t>5.0</w:t>
            </w:r>
            <w:r w:rsidR="00A217E8">
              <w:rPr>
                <w:rFonts w:ascii="Arial Narrow" w:hAnsi="Arial Narrow"/>
                <w:sz w:val="20"/>
              </w:rPr>
              <w:t> </w:t>
            </w:r>
            <w:r w:rsidRPr="009F1B90">
              <w:rPr>
                <w:rFonts w:ascii="Arial Narrow" w:hAnsi="Arial Narrow"/>
                <w:sz w:val="20"/>
              </w:rPr>
              <w:t>mm)</w:t>
            </w:r>
          </w:p>
          <w:p w14:paraId="33383E08" w14:textId="54C53FE8"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sidR="00653A98">
              <w:rPr>
                <w:rFonts w:ascii="Arial Narrow" w:hAnsi="Arial Narrow"/>
                <w:sz w:val="20"/>
              </w:rPr>
              <w:t>Gd</w:t>
            </w:r>
            <w:r>
              <w:rPr>
                <w:rFonts w:ascii="Arial Narrow" w:hAnsi="Arial Narrow"/>
                <w:sz w:val="20"/>
              </w:rPr>
              <w:t>-DTPA, 0.2</w:t>
            </w:r>
            <w:r w:rsidR="00A217E8">
              <w:rPr>
                <w:rFonts w:ascii="Arial Narrow" w:hAnsi="Arial Narrow"/>
                <w:sz w:val="20"/>
              </w:rPr>
              <w:t> </w:t>
            </w:r>
            <w:r>
              <w:rPr>
                <w:rFonts w:ascii="Arial Narrow" w:hAnsi="Arial Narrow"/>
                <w:sz w:val="20"/>
              </w:rPr>
              <w:t>mmol/kg, 10</w:t>
            </w:r>
            <w:r w:rsidR="0084748D">
              <w:rPr>
                <w:rFonts w:ascii="Arial Narrow" w:hAnsi="Arial Narrow"/>
                <w:sz w:val="20"/>
              </w:rPr>
              <w:t>–</w:t>
            </w:r>
            <w:r>
              <w:rPr>
                <w:rFonts w:ascii="Arial Narrow" w:hAnsi="Arial Narrow"/>
                <w:sz w:val="20"/>
              </w:rPr>
              <w:t>15</w:t>
            </w:r>
            <w:r w:rsidR="00A217E8">
              <w:rPr>
                <w:rFonts w:ascii="Arial Narrow" w:hAnsi="Arial Narrow"/>
                <w:sz w:val="20"/>
              </w:rPr>
              <w:t>-</w:t>
            </w:r>
            <w:r>
              <w:rPr>
                <w:rFonts w:ascii="Arial Narrow" w:hAnsi="Arial Narrow"/>
                <w:sz w:val="20"/>
              </w:rPr>
              <w:t>minute delay</w:t>
            </w:r>
          </w:p>
        </w:tc>
        <w:tc>
          <w:tcPr>
            <w:tcW w:w="1061" w:type="pct"/>
          </w:tcPr>
          <w:p w14:paraId="0FB079B9"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 ICA</w:t>
            </w:r>
          </w:p>
          <w:p w14:paraId="003A6642" w14:textId="0B61BC76" w:rsidR="00FC159D" w:rsidRDefault="00FC159D" w:rsidP="004C79C1">
            <w:pPr>
              <w:keepNext/>
              <w:spacing w:before="0" w:after="120" w:line="240" w:lineRule="auto"/>
              <w:ind w:right="-57"/>
              <w:rPr>
                <w:rFonts w:ascii="Arial Narrow" w:hAnsi="Arial Narrow"/>
                <w:b/>
                <w:sz w:val="20"/>
              </w:rPr>
            </w:pPr>
            <w:r w:rsidRPr="004019A9">
              <w:rPr>
                <w:rFonts w:ascii="Arial Narrow" w:hAnsi="Arial Narrow"/>
                <w:sz w:val="20"/>
              </w:rPr>
              <w:t>All the CAD</w:t>
            </w:r>
            <w:r>
              <w:rPr>
                <w:rFonts w:ascii="Arial Narrow" w:hAnsi="Arial Narrow"/>
                <w:sz w:val="20"/>
              </w:rPr>
              <w:t xml:space="preserve"> patients had either a stenosis ≥</w:t>
            </w:r>
            <w:r w:rsidRPr="004019A9">
              <w:rPr>
                <w:rFonts w:ascii="Arial Narrow" w:hAnsi="Arial Narrow"/>
                <w:sz w:val="20"/>
              </w:rPr>
              <w:t>75% of 1 or</w:t>
            </w:r>
            <w:r>
              <w:rPr>
                <w:rFonts w:ascii="Arial Narrow" w:hAnsi="Arial Narrow"/>
                <w:sz w:val="20"/>
              </w:rPr>
              <w:t xml:space="preserve"> </w:t>
            </w:r>
            <w:r w:rsidRPr="004019A9">
              <w:rPr>
                <w:rFonts w:ascii="Arial Narrow" w:hAnsi="Arial Narrow"/>
                <w:sz w:val="20"/>
              </w:rPr>
              <w:t>more major proximal epicardial vessels (39 patients) or a left</w:t>
            </w:r>
            <w:r>
              <w:rPr>
                <w:rFonts w:ascii="Arial Narrow" w:hAnsi="Arial Narrow"/>
                <w:sz w:val="20"/>
              </w:rPr>
              <w:t xml:space="preserve"> main vessel disease (2 p</w:t>
            </w:r>
            <w:r w:rsidRPr="004019A9">
              <w:rPr>
                <w:rFonts w:ascii="Arial Narrow" w:hAnsi="Arial Narrow"/>
                <w:sz w:val="20"/>
              </w:rPr>
              <w:t xml:space="preserve">atients). The severity of CAD </w:t>
            </w:r>
            <w:r w:rsidR="00006806">
              <w:rPr>
                <w:rFonts w:ascii="Arial Narrow" w:hAnsi="Arial Narrow"/>
                <w:sz w:val="20"/>
              </w:rPr>
              <w:t>in</w:t>
            </w:r>
            <w:r w:rsidR="00006806" w:rsidRPr="004019A9">
              <w:rPr>
                <w:rFonts w:ascii="Arial Narrow" w:hAnsi="Arial Narrow"/>
                <w:sz w:val="20"/>
              </w:rPr>
              <w:t xml:space="preserve"> </w:t>
            </w:r>
            <w:r w:rsidRPr="004019A9">
              <w:rPr>
                <w:rFonts w:ascii="Arial Narrow" w:hAnsi="Arial Narrow"/>
                <w:sz w:val="20"/>
              </w:rPr>
              <w:t>these</w:t>
            </w:r>
            <w:r>
              <w:rPr>
                <w:rFonts w:ascii="Arial Narrow" w:hAnsi="Arial Narrow"/>
                <w:sz w:val="20"/>
              </w:rPr>
              <w:t xml:space="preserve"> </w:t>
            </w:r>
            <w:r w:rsidRPr="004019A9">
              <w:rPr>
                <w:rFonts w:ascii="Arial Narrow" w:hAnsi="Arial Narrow"/>
                <w:sz w:val="20"/>
              </w:rPr>
              <w:t>patients was judged to be in all cases of such an extent to</w:t>
            </w:r>
            <w:r>
              <w:rPr>
                <w:rFonts w:ascii="Arial Narrow" w:hAnsi="Arial Narrow"/>
                <w:sz w:val="20"/>
              </w:rPr>
              <w:t xml:space="preserve"> </w:t>
            </w:r>
            <w:r w:rsidRPr="004019A9">
              <w:rPr>
                <w:rFonts w:ascii="Arial Narrow" w:hAnsi="Arial Narrow"/>
                <w:sz w:val="20"/>
              </w:rPr>
              <w:t>explain the presence of an isch</w:t>
            </w:r>
            <w:r w:rsidR="00B54AAB">
              <w:rPr>
                <w:rFonts w:ascii="Arial Narrow" w:hAnsi="Arial Narrow"/>
                <w:sz w:val="20"/>
              </w:rPr>
              <w:t>a</w:t>
            </w:r>
            <w:r w:rsidRPr="004019A9">
              <w:rPr>
                <w:rFonts w:ascii="Arial Narrow" w:hAnsi="Arial Narrow"/>
                <w:sz w:val="20"/>
              </w:rPr>
              <w:t xml:space="preserve">emic </w:t>
            </w:r>
            <w:r w:rsidR="00BE3EF9">
              <w:rPr>
                <w:rFonts w:ascii="Arial Narrow" w:hAnsi="Arial Narrow"/>
                <w:sz w:val="20"/>
              </w:rPr>
              <w:t>CM</w:t>
            </w:r>
            <w:r w:rsidR="00BE3EF9" w:rsidRPr="004019A9">
              <w:rPr>
                <w:rFonts w:ascii="Arial Narrow" w:hAnsi="Arial Narrow"/>
                <w:sz w:val="20"/>
              </w:rPr>
              <w:t xml:space="preserve"> </w:t>
            </w:r>
            <w:r w:rsidRPr="004019A9">
              <w:rPr>
                <w:rFonts w:ascii="Arial Narrow" w:hAnsi="Arial Narrow"/>
                <w:sz w:val="20"/>
              </w:rPr>
              <w:t>by a</w:t>
            </w:r>
            <w:r>
              <w:rPr>
                <w:rFonts w:ascii="Arial Narrow" w:hAnsi="Arial Narrow"/>
                <w:sz w:val="20"/>
              </w:rPr>
              <w:t xml:space="preserve"> </w:t>
            </w:r>
            <w:r w:rsidRPr="004019A9">
              <w:rPr>
                <w:rFonts w:ascii="Arial Narrow" w:hAnsi="Arial Narrow"/>
                <w:sz w:val="20"/>
              </w:rPr>
              <w:t>clinician who blindly reviewed the patients’ data.</w:t>
            </w:r>
          </w:p>
        </w:tc>
      </w:tr>
      <w:tr w:rsidR="00FC159D" w:rsidRPr="00CF4E70" w14:paraId="2FEF90AD" w14:textId="77777777" w:rsidTr="00BE5D7C">
        <w:tc>
          <w:tcPr>
            <w:tcW w:w="505" w:type="pct"/>
          </w:tcPr>
          <w:p w14:paraId="3121AD9C" w14:textId="5406AFF1" w:rsidR="00FC159D" w:rsidRDefault="00BE3EF9"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d</w:t>
            </w:r>
            <w:r w:rsidR="00FC159D">
              <w:rPr>
                <w:rFonts w:ascii="Arial Narrow" w:eastAsiaTheme="minorHAnsi" w:hAnsi="Arial Narrow" w:cstheme="minorHAnsi"/>
                <w:sz w:val="20"/>
                <w:lang w:eastAsia="en-US"/>
              </w:rPr>
              <w:t xml:space="preserve">e Melo et al. </w:t>
            </w:r>
            <w:r w:rsidR="00FC159D">
              <w:rPr>
                <w:rFonts w:ascii="Arial Narrow" w:eastAsiaTheme="minorHAnsi" w:hAnsi="Arial Narrow" w:cstheme="minorHAnsi"/>
                <w:sz w:val="20"/>
                <w:lang w:eastAsia="en-US"/>
              </w:rPr>
              <w:lastRenderedPageBreak/>
              <w:t>(2013)</w:t>
            </w:r>
          </w:p>
          <w:p w14:paraId="740E06C5"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Brazil</w:t>
            </w:r>
          </w:p>
        </w:tc>
        <w:tc>
          <w:tcPr>
            <w:tcW w:w="707" w:type="pct"/>
          </w:tcPr>
          <w:p w14:paraId="5926B03F"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Level: III-1</w:t>
            </w:r>
          </w:p>
          <w:p w14:paraId="3C444451"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21FDB2B1"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Quality: </w:t>
            </w:r>
            <w:r>
              <w:rPr>
                <w:rFonts w:ascii="Arial Narrow" w:eastAsiaTheme="minorHAnsi" w:hAnsi="Arial Narrow" w:cstheme="minorHAnsi"/>
                <w:sz w:val="20"/>
                <w:lang w:eastAsia="en-US"/>
              </w:rPr>
              <w:t>unclear</w:t>
            </w:r>
            <w:r w:rsidRPr="00335B10">
              <w:rPr>
                <w:rFonts w:ascii="Arial Narrow" w:eastAsiaTheme="minorHAnsi" w:hAnsi="Arial Narrow" w:cstheme="minorHAnsi"/>
                <w:sz w:val="20"/>
                <w:lang w:eastAsia="en-US"/>
              </w:rPr>
              <w:t xml:space="preserve"> risk of bias</w:t>
            </w:r>
          </w:p>
          <w:p w14:paraId="1CBCECEC"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Patient selection</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r w:rsidRPr="00335B10">
              <w:rPr>
                <w:rFonts w:ascii="Arial Narrow" w:eastAsiaTheme="minorHAnsi" w:hAnsi="Arial Narrow" w:cstheme="minorHAnsi"/>
                <w:sz w:val="20"/>
                <w:lang w:eastAsia="en-US"/>
              </w:rPr>
              <w:t xml:space="preserve"> </w:t>
            </w:r>
          </w:p>
          <w:p w14:paraId="16D9CB31"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3C54C5C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1B345F3A"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4335F82E"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r w:rsidRPr="00E17243">
              <w:rPr>
                <w:rFonts w:ascii="Arial Narrow" w:eastAsiaTheme="minorHAnsi" w:hAnsi="Arial Narrow" w:cstheme="minorHAnsi"/>
                <w:sz w:val="20"/>
                <w:lang w:eastAsia="en-US"/>
              </w:rPr>
              <w:sym w:font="Wingdings" w:char="F04A"/>
            </w:r>
            <w:proofErr w:type="gramEnd"/>
            <w:r>
              <w:rPr>
                <w:rFonts w:ascii="Arial Narrow" w:eastAsiaTheme="minorHAnsi" w:hAnsi="Arial Narrow" w:cstheme="minorHAnsi"/>
                <w:sz w:val="20"/>
                <w:lang w:eastAsia="en-US"/>
              </w:rPr>
              <w:t xml:space="preserve"> ? </w:t>
            </w:r>
            <w:r w:rsidRPr="00E17243">
              <w:rPr>
                <w:rFonts w:ascii="Arial Narrow" w:eastAsiaTheme="minorHAnsi" w:hAnsi="Arial Narrow" w:cstheme="minorHAnsi"/>
                <w:sz w:val="20"/>
                <w:lang w:eastAsia="en-US"/>
              </w:rPr>
              <w:sym w:font="Wingdings" w:char="F04A"/>
            </w:r>
          </w:p>
        </w:tc>
        <w:tc>
          <w:tcPr>
            <w:tcW w:w="758" w:type="pct"/>
          </w:tcPr>
          <w:p w14:paraId="087EDAD3"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lastRenderedPageBreak/>
              <w:t xml:space="preserve">24 HF patients who </w:t>
            </w:r>
            <w:r>
              <w:rPr>
                <w:rFonts w:ascii="Arial Narrow" w:hAnsi="Arial Narrow"/>
                <w:sz w:val="20"/>
              </w:rPr>
              <w:lastRenderedPageBreak/>
              <w:t>underwent ICA and LGE-CMR to evaluate the aetiology of DCM</w:t>
            </w:r>
          </w:p>
          <w:p w14:paraId="059D8987" w14:textId="77777777" w:rsidR="00FC159D" w:rsidRDefault="00FC159D" w:rsidP="004C79C1">
            <w:pPr>
              <w:keepNext/>
              <w:tabs>
                <w:tab w:val="left" w:pos="89"/>
              </w:tabs>
              <w:spacing w:before="0" w:after="120" w:line="240" w:lineRule="auto"/>
              <w:ind w:right="-57"/>
              <w:rPr>
                <w:rFonts w:ascii="Arial Narrow" w:hAnsi="Arial Narrow"/>
                <w:sz w:val="20"/>
              </w:rPr>
            </w:pPr>
          </w:p>
          <w:p w14:paraId="07B1AE5A" w14:textId="6C5B8C1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51.6 ± 12.5</w:t>
            </w:r>
            <w:r w:rsidR="002E58E6">
              <w:rPr>
                <w:rFonts w:ascii="Arial Narrow" w:hAnsi="Arial Narrow"/>
                <w:sz w:val="20"/>
              </w:rPr>
              <w:t> years</w:t>
            </w:r>
          </w:p>
          <w:p w14:paraId="467A6FE9"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19/24 men (79%)</w:t>
            </w:r>
          </w:p>
        </w:tc>
        <w:tc>
          <w:tcPr>
            <w:tcW w:w="1010" w:type="pct"/>
          </w:tcPr>
          <w:p w14:paraId="622426D8"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Inclusion criteria:</w:t>
            </w:r>
          </w:p>
          <w:p w14:paraId="1FF30736" w14:textId="58E147B4" w:rsidR="00FC159D" w:rsidRDefault="00FC159D" w:rsidP="004C79C1">
            <w:pPr>
              <w:keepNext/>
              <w:spacing w:before="0" w:after="120" w:line="240" w:lineRule="auto"/>
              <w:ind w:right="-57"/>
              <w:rPr>
                <w:rFonts w:ascii="Arial Narrow" w:hAnsi="Arial Narrow"/>
                <w:sz w:val="20"/>
              </w:rPr>
            </w:pPr>
            <w:r>
              <w:rPr>
                <w:rFonts w:ascii="Arial Narrow" w:hAnsi="Arial Narrow"/>
                <w:sz w:val="20"/>
              </w:rPr>
              <w:lastRenderedPageBreak/>
              <w:t xml:space="preserve">Presence of systolic </w:t>
            </w:r>
            <w:r w:rsidR="002E58E6">
              <w:rPr>
                <w:rFonts w:ascii="Arial Narrow" w:hAnsi="Arial Narrow"/>
                <w:sz w:val="20"/>
              </w:rPr>
              <w:t>HF</w:t>
            </w:r>
            <w:r>
              <w:rPr>
                <w:rFonts w:ascii="Arial Narrow" w:hAnsi="Arial Narrow"/>
                <w:sz w:val="20"/>
              </w:rPr>
              <w:t>, LVEF</w:t>
            </w:r>
            <w:r w:rsidR="002E58E6">
              <w:rPr>
                <w:rFonts w:ascii="Arial Narrow" w:hAnsi="Arial Narrow"/>
                <w:sz w:val="20"/>
              </w:rPr>
              <w:t xml:space="preserve"> </w:t>
            </w:r>
            <w:r>
              <w:rPr>
                <w:rFonts w:ascii="Arial Narrow" w:hAnsi="Arial Narrow"/>
                <w:sz w:val="20"/>
              </w:rPr>
              <w:t xml:space="preserve">&lt;45% documented by </w:t>
            </w:r>
            <w:r w:rsidR="002E58E6">
              <w:rPr>
                <w:rFonts w:ascii="Arial Narrow" w:hAnsi="Arial Narrow"/>
                <w:sz w:val="20"/>
              </w:rPr>
              <w:t>E</w:t>
            </w:r>
            <w:r>
              <w:rPr>
                <w:rFonts w:ascii="Arial Narrow" w:hAnsi="Arial Narrow"/>
                <w:sz w:val="20"/>
              </w:rPr>
              <w:t xml:space="preserve">cho in the period up to </w:t>
            </w:r>
            <w:r w:rsidR="002E58E6">
              <w:rPr>
                <w:rFonts w:ascii="Arial Narrow" w:hAnsi="Arial Narrow"/>
                <w:sz w:val="20"/>
              </w:rPr>
              <w:t>1 </w:t>
            </w:r>
            <w:r>
              <w:rPr>
                <w:rFonts w:ascii="Arial Narrow" w:hAnsi="Arial Narrow"/>
                <w:sz w:val="20"/>
              </w:rPr>
              <w:t>year after the procedure, onset of HF symptoms &gt;1 month, age ≥18</w:t>
            </w:r>
            <w:r w:rsidR="00D614DD">
              <w:rPr>
                <w:rFonts w:ascii="Arial Narrow" w:hAnsi="Arial Narrow"/>
                <w:sz w:val="20"/>
              </w:rPr>
              <w:t> </w:t>
            </w:r>
            <w:r>
              <w:rPr>
                <w:rFonts w:ascii="Arial Narrow" w:hAnsi="Arial Narrow"/>
                <w:sz w:val="20"/>
              </w:rPr>
              <w:t>years</w:t>
            </w:r>
          </w:p>
          <w:p w14:paraId="496854D2" w14:textId="77777777" w:rsidR="00FC159D" w:rsidRDefault="00FC159D" w:rsidP="004C79C1">
            <w:pPr>
              <w:keepNext/>
              <w:spacing w:before="0" w:after="120" w:line="240" w:lineRule="auto"/>
              <w:ind w:right="-57"/>
              <w:rPr>
                <w:rFonts w:ascii="Arial Narrow" w:hAnsi="Arial Narrow"/>
                <w:sz w:val="20"/>
              </w:rPr>
            </w:pPr>
          </w:p>
          <w:p w14:paraId="428ACA97" w14:textId="77777777" w:rsidR="00FC159D" w:rsidRDefault="00FC159D" w:rsidP="004C79C1">
            <w:pPr>
              <w:keepNext/>
              <w:spacing w:before="0" w:after="120" w:line="240" w:lineRule="auto"/>
              <w:ind w:right="-57"/>
              <w:rPr>
                <w:rFonts w:ascii="Arial Narrow" w:hAnsi="Arial Narrow"/>
                <w:b/>
                <w:sz w:val="20"/>
              </w:rPr>
            </w:pPr>
            <w:r w:rsidRPr="00CD5369">
              <w:rPr>
                <w:rFonts w:ascii="Arial Narrow" w:hAnsi="Arial Narrow"/>
                <w:b/>
                <w:sz w:val="20"/>
              </w:rPr>
              <w:t>Exclusion criteria:</w:t>
            </w:r>
          </w:p>
          <w:p w14:paraId="618AD593" w14:textId="7218025D" w:rsidR="00FC159D" w:rsidRPr="00FD2E1D" w:rsidRDefault="00FC159D" w:rsidP="004C79C1">
            <w:pPr>
              <w:keepNext/>
              <w:spacing w:before="0" w:after="120" w:line="240" w:lineRule="auto"/>
              <w:ind w:right="-57"/>
              <w:rPr>
                <w:rFonts w:ascii="Arial Narrow" w:hAnsi="Arial Narrow"/>
                <w:sz w:val="20"/>
              </w:rPr>
            </w:pPr>
            <w:r>
              <w:rPr>
                <w:rFonts w:ascii="Arial Narrow" w:hAnsi="Arial Narrow"/>
                <w:sz w:val="20"/>
              </w:rPr>
              <w:t>Prior history of CAD, positive serology for Chagas disease, valvular heart disease or heart transplantation</w:t>
            </w:r>
          </w:p>
        </w:tc>
        <w:tc>
          <w:tcPr>
            <w:tcW w:w="959" w:type="pct"/>
          </w:tcPr>
          <w:p w14:paraId="263056A0"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lastRenderedPageBreak/>
              <w:t>Scanner</w:t>
            </w:r>
            <w:r w:rsidRPr="00A107DB">
              <w:rPr>
                <w:rFonts w:ascii="Arial Narrow" w:hAnsi="Arial Narrow"/>
                <w:sz w:val="20"/>
              </w:rPr>
              <w:t xml:space="preserve">: </w:t>
            </w:r>
            <w:r>
              <w:rPr>
                <w:rFonts w:ascii="Arial Narrow" w:hAnsi="Arial Narrow"/>
                <w:sz w:val="20"/>
              </w:rPr>
              <w:t>NR</w:t>
            </w:r>
          </w:p>
          <w:p w14:paraId="2777F305" w14:textId="77777777" w:rsidR="00FC159D" w:rsidRPr="00FD2E1D" w:rsidRDefault="00FC159D" w:rsidP="004C79C1">
            <w:pPr>
              <w:spacing w:before="0" w:after="120" w:line="240" w:lineRule="auto"/>
              <w:ind w:right="-57"/>
              <w:rPr>
                <w:rFonts w:ascii="Arial Narrow" w:hAnsi="Arial Narrow"/>
                <w:sz w:val="20"/>
              </w:rPr>
            </w:pPr>
            <w:r>
              <w:rPr>
                <w:rFonts w:ascii="Arial Narrow" w:hAnsi="Arial Narrow"/>
                <w:b/>
                <w:sz w:val="20"/>
              </w:rPr>
              <w:lastRenderedPageBreak/>
              <w:t xml:space="preserve">Data inquisition: </w:t>
            </w:r>
          </w:p>
          <w:p w14:paraId="3FB2D7D0" w14:textId="59BE7F70" w:rsidR="00FC159D" w:rsidRPr="00FD2E1D" w:rsidRDefault="00D614DD" w:rsidP="004C79C1">
            <w:pPr>
              <w:spacing w:before="0" w:after="120" w:line="240" w:lineRule="auto"/>
              <w:ind w:right="-57"/>
              <w:rPr>
                <w:rFonts w:ascii="Arial Narrow" w:hAnsi="Arial Narrow"/>
                <w:sz w:val="20"/>
              </w:rPr>
            </w:pPr>
            <w:r>
              <w:rPr>
                <w:rFonts w:ascii="Arial Narrow" w:hAnsi="Arial Narrow"/>
                <w:sz w:val="20"/>
              </w:rPr>
              <w:t>2</w:t>
            </w:r>
            <w:r w:rsidR="00FC159D" w:rsidRPr="00496222">
              <w:rPr>
                <w:rFonts w:ascii="Arial Narrow" w:hAnsi="Arial Narrow"/>
                <w:sz w:val="20"/>
              </w:rPr>
              <w:t xml:space="preserve"> chambers, long axis</w:t>
            </w:r>
            <w:r w:rsidR="00C774AC">
              <w:rPr>
                <w:rFonts w:ascii="Arial Narrow" w:hAnsi="Arial Narrow"/>
                <w:sz w:val="20"/>
              </w:rPr>
              <w:t>;</w:t>
            </w:r>
            <w:r w:rsidR="00FC159D">
              <w:rPr>
                <w:rFonts w:ascii="Arial Narrow" w:hAnsi="Arial Narrow"/>
                <w:sz w:val="20"/>
              </w:rPr>
              <w:t xml:space="preserve"> </w:t>
            </w:r>
            <w:r w:rsidR="00C774AC">
              <w:rPr>
                <w:rFonts w:ascii="Arial Narrow" w:hAnsi="Arial Narrow"/>
                <w:sz w:val="20"/>
              </w:rPr>
              <w:t>4</w:t>
            </w:r>
            <w:r w:rsidR="00C774AC" w:rsidRPr="00496222">
              <w:rPr>
                <w:rFonts w:ascii="Arial Narrow" w:hAnsi="Arial Narrow"/>
                <w:sz w:val="20"/>
              </w:rPr>
              <w:t xml:space="preserve"> </w:t>
            </w:r>
            <w:r w:rsidR="00FC159D" w:rsidRPr="00496222">
              <w:rPr>
                <w:rFonts w:ascii="Arial Narrow" w:hAnsi="Arial Narrow"/>
                <w:sz w:val="20"/>
              </w:rPr>
              <w:t>chambers, long axis</w:t>
            </w:r>
            <w:r w:rsidR="00C774AC">
              <w:rPr>
                <w:rFonts w:ascii="Arial Narrow" w:hAnsi="Arial Narrow"/>
                <w:sz w:val="20"/>
              </w:rPr>
              <w:t>;</w:t>
            </w:r>
            <w:r w:rsidR="00FC159D" w:rsidRPr="00496222">
              <w:rPr>
                <w:rFonts w:ascii="Arial Narrow" w:hAnsi="Arial Narrow"/>
                <w:sz w:val="20"/>
              </w:rPr>
              <w:t xml:space="preserve"> left ventricular outflow tract,</w:t>
            </w:r>
            <w:r w:rsidR="00FC159D">
              <w:rPr>
                <w:rFonts w:ascii="Arial Narrow" w:hAnsi="Arial Narrow"/>
                <w:sz w:val="20"/>
              </w:rPr>
              <w:t xml:space="preserve"> </w:t>
            </w:r>
            <w:r w:rsidR="00FC159D" w:rsidRPr="00496222">
              <w:rPr>
                <w:rFonts w:ascii="Arial Narrow" w:hAnsi="Arial Narrow"/>
                <w:sz w:val="20"/>
              </w:rPr>
              <w:t>and short-axis images w</w:t>
            </w:r>
            <w:r w:rsidR="00FC159D">
              <w:rPr>
                <w:rFonts w:ascii="Arial Narrow" w:hAnsi="Arial Narrow"/>
                <w:sz w:val="20"/>
              </w:rPr>
              <w:t xml:space="preserve">ith scanning of the entire left </w:t>
            </w:r>
            <w:r w:rsidR="00FC159D" w:rsidRPr="00496222">
              <w:rPr>
                <w:rFonts w:ascii="Arial Narrow" w:hAnsi="Arial Narrow"/>
                <w:sz w:val="20"/>
              </w:rPr>
              <w:t>ventricle</w:t>
            </w:r>
          </w:p>
          <w:p w14:paraId="4B0E2DF7" w14:textId="103D4368" w:rsidR="00FC159D" w:rsidRPr="00496222" w:rsidRDefault="00FC159D" w:rsidP="004C79C1">
            <w:pPr>
              <w:spacing w:before="0" w:after="120" w:line="240" w:lineRule="auto"/>
              <w:ind w:right="-57"/>
              <w:rPr>
                <w:rFonts w:ascii="Arial Narrow" w:hAnsi="Arial Narrow"/>
                <w:sz w:val="20"/>
              </w:rPr>
            </w:pPr>
            <w:r>
              <w:rPr>
                <w:rFonts w:ascii="Arial Narrow" w:hAnsi="Arial Narrow"/>
                <w:b/>
                <w:sz w:val="20"/>
              </w:rPr>
              <w:t xml:space="preserve">Contrast agent: </w:t>
            </w:r>
            <w:r w:rsidR="00653A98">
              <w:rPr>
                <w:rFonts w:ascii="Arial Narrow" w:hAnsi="Arial Narrow"/>
                <w:sz w:val="20"/>
              </w:rPr>
              <w:t>Gd</w:t>
            </w:r>
            <w:r w:rsidR="00AF7812">
              <w:rPr>
                <w:rFonts w:ascii="Arial Narrow" w:hAnsi="Arial Narrow"/>
                <w:sz w:val="20"/>
              </w:rPr>
              <w:t>-DTPA</w:t>
            </w:r>
            <w:r>
              <w:rPr>
                <w:rFonts w:ascii="Arial Narrow" w:hAnsi="Arial Narrow"/>
                <w:sz w:val="20"/>
              </w:rPr>
              <w:t>, 0.2</w:t>
            </w:r>
            <w:r w:rsidR="00C774AC">
              <w:rPr>
                <w:rFonts w:ascii="Arial Narrow" w:hAnsi="Arial Narrow"/>
                <w:sz w:val="20"/>
              </w:rPr>
              <w:t> </w:t>
            </w:r>
            <w:r>
              <w:rPr>
                <w:rFonts w:ascii="Arial Narrow" w:hAnsi="Arial Narrow"/>
                <w:sz w:val="20"/>
              </w:rPr>
              <w:t>mmol/kg, 10</w:t>
            </w:r>
            <w:r w:rsidR="00C774AC">
              <w:rPr>
                <w:rFonts w:ascii="Arial Narrow" w:hAnsi="Arial Narrow"/>
                <w:sz w:val="20"/>
              </w:rPr>
              <w:t>-</w:t>
            </w:r>
            <w:r>
              <w:rPr>
                <w:rFonts w:ascii="Arial Narrow" w:hAnsi="Arial Narrow"/>
                <w:sz w:val="20"/>
              </w:rPr>
              <w:t>minute delay</w:t>
            </w:r>
          </w:p>
        </w:tc>
        <w:tc>
          <w:tcPr>
            <w:tcW w:w="1061" w:type="pct"/>
          </w:tcPr>
          <w:p w14:paraId="7A0629AE"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Comparator: ICA</w:t>
            </w:r>
          </w:p>
          <w:p w14:paraId="5979E6F4" w14:textId="3C1DE95B" w:rsidR="00FC159D" w:rsidRDefault="00FC159D" w:rsidP="004C79C1">
            <w:pPr>
              <w:keepNext/>
              <w:spacing w:before="0" w:after="120" w:line="240" w:lineRule="auto"/>
              <w:ind w:right="-57"/>
              <w:rPr>
                <w:rFonts w:ascii="Arial Narrow" w:hAnsi="Arial Narrow"/>
                <w:sz w:val="20"/>
              </w:rPr>
            </w:pPr>
            <w:r w:rsidRPr="00FD2E1D">
              <w:rPr>
                <w:rFonts w:ascii="Arial Narrow" w:hAnsi="Arial Narrow"/>
                <w:sz w:val="20"/>
              </w:rPr>
              <w:lastRenderedPageBreak/>
              <w:t>Isch</w:t>
            </w:r>
            <w:r w:rsidR="00C774AC">
              <w:rPr>
                <w:rFonts w:ascii="Arial Narrow" w:hAnsi="Arial Narrow"/>
                <w:sz w:val="20"/>
              </w:rPr>
              <w:t>a</w:t>
            </w:r>
            <w:r w:rsidRPr="00FD2E1D">
              <w:rPr>
                <w:rFonts w:ascii="Arial Narrow" w:hAnsi="Arial Narrow"/>
                <w:sz w:val="20"/>
              </w:rPr>
              <w:t xml:space="preserve">emic </w:t>
            </w:r>
            <w:r w:rsidR="00C774AC">
              <w:rPr>
                <w:rFonts w:ascii="Arial Narrow" w:hAnsi="Arial Narrow"/>
                <w:sz w:val="20"/>
              </w:rPr>
              <w:t>a</w:t>
            </w:r>
            <w:r w:rsidRPr="00FD2E1D">
              <w:rPr>
                <w:rFonts w:ascii="Arial Narrow" w:hAnsi="Arial Narrow"/>
                <w:sz w:val="20"/>
              </w:rPr>
              <w:t>etiology</w:t>
            </w:r>
            <w:r>
              <w:rPr>
                <w:rFonts w:ascii="Arial Narrow" w:hAnsi="Arial Narrow"/>
                <w:sz w:val="20"/>
              </w:rPr>
              <w:t xml:space="preserve"> was classified as</w:t>
            </w:r>
            <w:r w:rsidRPr="00FD2E1D">
              <w:rPr>
                <w:rFonts w:ascii="Arial Narrow" w:hAnsi="Arial Narrow"/>
                <w:sz w:val="20"/>
              </w:rPr>
              <w:t xml:space="preserve"> patients with</w:t>
            </w:r>
            <w:r>
              <w:rPr>
                <w:rFonts w:ascii="Arial Narrow" w:hAnsi="Arial Narrow"/>
                <w:sz w:val="20"/>
              </w:rPr>
              <w:t xml:space="preserve"> </w:t>
            </w:r>
            <w:r w:rsidRPr="00FD2E1D">
              <w:rPr>
                <w:rFonts w:ascii="Arial Narrow" w:hAnsi="Arial Narrow"/>
                <w:sz w:val="20"/>
              </w:rPr>
              <w:t>obstructive lesions (≥75%) in left main coronary</w:t>
            </w:r>
            <w:r>
              <w:rPr>
                <w:rFonts w:ascii="Arial Narrow" w:hAnsi="Arial Narrow"/>
                <w:sz w:val="20"/>
              </w:rPr>
              <w:t xml:space="preserve"> </w:t>
            </w:r>
            <w:r w:rsidRPr="00FD2E1D">
              <w:rPr>
                <w:rFonts w:ascii="Arial Narrow" w:hAnsi="Arial Narrow"/>
                <w:sz w:val="20"/>
              </w:rPr>
              <w:t>artery or proximal anterior descending branch, or in</w:t>
            </w:r>
            <w:r>
              <w:rPr>
                <w:rFonts w:ascii="Arial Narrow" w:hAnsi="Arial Narrow"/>
                <w:sz w:val="20"/>
              </w:rPr>
              <w:t xml:space="preserve"> </w:t>
            </w:r>
            <w:r w:rsidR="00C774AC">
              <w:rPr>
                <w:rFonts w:ascii="Arial Narrow" w:hAnsi="Arial Narrow"/>
                <w:sz w:val="20"/>
              </w:rPr>
              <w:t>2</w:t>
            </w:r>
            <w:r w:rsidR="00C774AC" w:rsidRPr="00FD2E1D">
              <w:rPr>
                <w:rFonts w:ascii="Arial Narrow" w:hAnsi="Arial Narrow"/>
                <w:sz w:val="20"/>
              </w:rPr>
              <w:t xml:space="preserve"> </w:t>
            </w:r>
            <w:r w:rsidRPr="00FD2E1D">
              <w:rPr>
                <w:rFonts w:ascii="Arial Narrow" w:hAnsi="Arial Narrow"/>
                <w:sz w:val="20"/>
              </w:rPr>
              <w:t>or more epicardial vessels</w:t>
            </w:r>
          </w:p>
          <w:p w14:paraId="349E0A77" w14:textId="77777777" w:rsidR="00FC159D" w:rsidRDefault="00FC159D" w:rsidP="004C79C1">
            <w:pPr>
              <w:keepNext/>
              <w:spacing w:before="0" w:after="120" w:line="240" w:lineRule="auto"/>
              <w:ind w:right="-57"/>
              <w:rPr>
                <w:rFonts w:ascii="Arial Narrow" w:hAnsi="Arial Narrow"/>
                <w:sz w:val="20"/>
              </w:rPr>
            </w:pPr>
          </w:p>
          <w:p w14:paraId="2E043952"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w:t>
            </w:r>
          </w:p>
          <w:p w14:paraId="7317BA34"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Clinical data</w:t>
            </w:r>
          </w:p>
          <w:p w14:paraId="704F5EAA" w14:textId="141DBF71" w:rsidR="00FC159D" w:rsidRDefault="00FC159D" w:rsidP="004C79C1">
            <w:pPr>
              <w:keepNext/>
              <w:spacing w:before="0" w:after="120" w:line="240" w:lineRule="auto"/>
              <w:ind w:right="-57"/>
              <w:rPr>
                <w:rFonts w:ascii="Arial Narrow" w:hAnsi="Arial Narrow"/>
                <w:b/>
                <w:sz w:val="20"/>
              </w:rPr>
            </w:pPr>
            <w:r w:rsidRPr="00496222">
              <w:rPr>
                <w:rFonts w:ascii="Arial Narrow" w:hAnsi="Arial Narrow"/>
                <w:sz w:val="20"/>
              </w:rPr>
              <w:t xml:space="preserve">Global analysis of cases by </w:t>
            </w:r>
            <w:r w:rsidR="00110C99">
              <w:rPr>
                <w:rFonts w:ascii="Arial Narrow" w:hAnsi="Arial Narrow"/>
                <w:sz w:val="20"/>
              </w:rPr>
              <w:t>2</w:t>
            </w:r>
            <w:r w:rsidR="00110C99" w:rsidRPr="00496222">
              <w:rPr>
                <w:rFonts w:ascii="Arial Narrow" w:hAnsi="Arial Narrow"/>
                <w:sz w:val="20"/>
              </w:rPr>
              <w:t xml:space="preserve"> </w:t>
            </w:r>
            <w:r w:rsidRPr="00496222">
              <w:rPr>
                <w:rFonts w:ascii="Arial Narrow" w:hAnsi="Arial Narrow"/>
                <w:sz w:val="20"/>
              </w:rPr>
              <w:t>clinical cardiologists,</w:t>
            </w:r>
            <w:r>
              <w:rPr>
                <w:rFonts w:ascii="Arial Narrow" w:hAnsi="Arial Narrow"/>
                <w:sz w:val="20"/>
              </w:rPr>
              <w:t xml:space="preserve"> </w:t>
            </w:r>
            <w:r w:rsidRPr="00496222">
              <w:rPr>
                <w:rFonts w:ascii="Arial Narrow" w:hAnsi="Arial Narrow"/>
                <w:sz w:val="20"/>
              </w:rPr>
              <w:t>including all data in</w:t>
            </w:r>
            <w:r>
              <w:rPr>
                <w:rFonts w:ascii="Arial Narrow" w:hAnsi="Arial Narrow"/>
                <w:sz w:val="20"/>
              </w:rPr>
              <w:t xml:space="preserve"> </w:t>
            </w:r>
            <w:r w:rsidRPr="00496222">
              <w:rPr>
                <w:rFonts w:ascii="Arial Narrow" w:hAnsi="Arial Narrow"/>
                <w:sz w:val="20"/>
              </w:rPr>
              <w:t>clinical history and laboratory tests</w:t>
            </w:r>
            <w:r>
              <w:rPr>
                <w:rFonts w:ascii="Arial Narrow" w:hAnsi="Arial Narrow"/>
                <w:sz w:val="20"/>
              </w:rPr>
              <w:t xml:space="preserve"> </w:t>
            </w:r>
            <w:r w:rsidRPr="00496222">
              <w:rPr>
                <w:rFonts w:ascii="Arial Narrow" w:hAnsi="Arial Narrow"/>
                <w:sz w:val="20"/>
              </w:rPr>
              <w:t>available in medical records, was defined as the gold</w:t>
            </w:r>
            <w:r>
              <w:rPr>
                <w:rFonts w:ascii="Arial Narrow" w:hAnsi="Arial Narrow"/>
                <w:sz w:val="20"/>
              </w:rPr>
              <w:t xml:space="preserve"> </w:t>
            </w:r>
            <w:r w:rsidRPr="00496222">
              <w:rPr>
                <w:rFonts w:ascii="Arial Narrow" w:hAnsi="Arial Narrow"/>
                <w:sz w:val="20"/>
              </w:rPr>
              <w:t>standard for the diagnosis of isch</w:t>
            </w:r>
            <w:r w:rsidR="00110C99">
              <w:rPr>
                <w:rFonts w:ascii="Arial Narrow" w:hAnsi="Arial Narrow"/>
                <w:sz w:val="20"/>
              </w:rPr>
              <w:t>a</w:t>
            </w:r>
            <w:r w:rsidRPr="00496222">
              <w:rPr>
                <w:rFonts w:ascii="Arial Narrow" w:hAnsi="Arial Narrow"/>
                <w:sz w:val="20"/>
              </w:rPr>
              <w:t xml:space="preserve">emic </w:t>
            </w:r>
            <w:r w:rsidR="00110C99">
              <w:rPr>
                <w:rFonts w:ascii="Arial Narrow" w:hAnsi="Arial Narrow"/>
                <w:sz w:val="20"/>
              </w:rPr>
              <w:t>CM</w:t>
            </w:r>
            <w:r w:rsidRPr="00496222">
              <w:rPr>
                <w:rFonts w:ascii="Arial Narrow" w:hAnsi="Arial Narrow"/>
                <w:b/>
                <w:sz w:val="20"/>
              </w:rPr>
              <w:t>.</w:t>
            </w:r>
          </w:p>
        </w:tc>
      </w:tr>
      <w:tr w:rsidR="00FC159D" w:rsidRPr="00CF4E70" w14:paraId="571A680C" w14:textId="77777777" w:rsidTr="00BE5D7C">
        <w:tc>
          <w:tcPr>
            <w:tcW w:w="505" w:type="pct"/>
          </w:tcPr>
          <w:p w14:paraId="148E0C80"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Hamilton-Craig et al. (2011)</w:t>
            </w:r>
          </w:p>
          <w:p w14:paraId="28824133"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Australia</w:t>
            </w:r>
          </w:p>
        </w:tc>
        <w:tc>
          <w:tcPr>
            <w:tcW w:w="707" w:type="pct"/>
          </w:tcPr>
          <w:p w14:paraId="280C0BEF"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w:t>
            </w:r>
          </w:p>
          <w:p w14:paraId="71329175"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3C033A34"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Quality: low risk of bias</w:t>
            </w:r>
          </w:p>
          <w:p w14:paraId="62DCAAB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A66C36">
              <w:rPr>
                <w:rFonts w:ascii="Arial Narrow" w:eastAsiaTheme="minorHAnsi" w:hAnsi="Arial Narrow" w:cstheme="minorHAnsi"/>
                <w:sz w:val="20"/>
                <w:lang w:eastAsia="en-US"/>
              </w:rPr>
              <w:sym w:font="Wingdings" w:char="F04A"/>
            </w:r>
          </w:p>
          <w:p w14:paraId="468F0A4C"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sidRPr="00A66C36">
              <w:rPr>
                <w:rFonts w:ascii="Arial Narrow" w:eastAsiaTheme="minorHAnsi" w:hAnsi="Arial Narrow" w:cstheme="minorHAnsi"/>
                <w:sz w:val="20"/>
                <w:lang w:eastAsia="en-US"/>
              </w:rPr>
              <w:sym w:font="Wingdings" w:char="F04A"/>
            </w:r>
          </w:p>
          <w:p w14:paraId="788AE630"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A66C36">
              <w:rPr>
                <w:rFonts w:ascii="Arial Narrow" w:eastAsiaTheme="minorHAnsi" w:hAnsi="Arial Narrow" w:cstheme="minorHAnsi"/>
                <w:sz w:val="20"/>
                <w:lang w:eastAsia="en-US"/>
              </w:rPr>
              <w:sym w:font="Wingdings" w:char="F04A"/>
            </w:r>
          </w:p>
          <w:p w14:paraId="03ADC4D0"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A66C36">
              <w:rPr>
                <w:rFonts w:ascii="Arial Narrow" w:eastAsiaTheme="minorHAnsi" w:hAnsi="Arial Narrow" w:cstheme="minorHAnsi"/>
                <w:sz w:val="20"/>
                <w:lang w:eastAsia="en-US"/>
              </w:rPr>
              <w:sym w:font="Wingdings" w:char="F04A"/>
            </w:r>
          </w:p>
          <w:p w14:paraId="3C641F54"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A66C36">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A66C36">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A66C36">
              <w:rPr>
                <w:rFonts w:ascii="Arial Narrow" w:eastAsiaTheme="minorHAnsi" w:hAnsi="Arial Narrow" w:cstheme="minorHAnsi"/>
                <w:sz w:val="20"/>
                <w:lang w:eastAsia="en-US"/>
              </w:rPr>
              <w:sym w:font="Wingdings" w:char="F04A"/>
            </w:r>
          </w:p>
        </w:tc>
        <w:tc>
          <w:tcPr>
            <w:tcW w:w="758" w:type="pct"/>
          </w:tcPr>
          <w:p w14:paraId="6812A318" w14:textId="13823A06"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28 prospectively enrolled consecutive patients undergoing ICA (suspected of DCM)</w:t>
            </w:r>
          </w:p>
          <w:p w14:paraId="2E07B7CC" w14:textId="77777777" w:rsidR="00FC159D" w:rsidRDefault="00FC159D" w:rsidP="004C79C1">
            <w:pPr>
              <w:keepNext/>
              <w:tabs>
                <w:tab w:val="left" w:pos="89"/>
              </w:tabs>
              <w:spacing w:before="0" w:after="120" w:line="240" w:lineRule="auto"/>
              <w:ind w:right="-57"/>
              <w:rPr>
                <w:rFonts w:ascii="Arial Narrow" w:hAnsi="Arial Narrow"/>
                <w:sz w:val="20"/>
              </w:rPr>
            </w:pPr>
          </w:p>
          <w:p w14:paraId="7922CC0C" w14:textId="78F884E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54</w:t>
            </w:r>
            <w:r w:rsidR="001C70C6">
              <w:rPr>
                <w:rFonts w:ascii="Arial Narrow" w:hAnsi="Arial Narrow"/>
                <w:sz w:val="20"/>
              </w:rPr>
              <w:t> years</w:t>
            </w:r>
            <w:r>
              <w:rPr>
                <w:rFonts w:ascii="Arial Narrow" w:hAnsi="Arial Narrow"/>
                <w:sz w:val="20"/>
              </w:rPr>
              <w:t xml:space="preserve"> (range 38</w:t>
            </w:r>
            <w:r w:rsidR="00B57E7A">
              <w:rPr>
                <w:rFonts w:ascii="Arial Narrow" w:hAnsi="Arial Narrow"/>
                <w:sz w:val="20"/>
              </w:rPr>
              <w:t>–</w:t>
            </w:r>
            <w:r>
              <w:rPr>
                <w:rFonts w:ascii="Arial Narrow" w:hAnsi="Arial Narrow"/>
                <w:sz w:val="20"/>
              </w:rPr>
              <w:t>77)</w:t>
            </w:r>
          </w:p>
          <w:p w14:paraId="46FAD861"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16/28 men (57%)</w:t>
            </w:r>
          </w:p>
        </w:tc>
        <w:tc>
          <w:tcPr>
            <w:tcW w:w="1010" w:type="pct"/>
          </w:tcPr>
          <w:p w14:paraId="204BC9FF"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1690FD6D" w14:textId="374F7C10" w:rsidR="00FC159D" w:rsidRDefault="00FC159D" w:rsidP="004C79C1">
            <w:pPr>
              <w:keepNext/>
              <w:spacing w:before="0" w:after="120" w:line="240" w:lineRule="auto"/>
              <w:ind w:right="-57"/>
              <w:rPr>
                <w:rFonts w:ascii="Arial Narrow" w:hAnsi="Arial Narrow"/>
                <w:sz w:val="20"/>
              </w:rPr>
            </w:pPr>
            <w:r>
              <w:rPr>
                <w:rFonts w:ascii="Arial Narrow" w:hAnsi="Arial Narrow"/>
                <w:sz w:val="20"/>
              </w:rPr>
              <w:t>A new diagnosis of HF (&lt;3</w:t>
            </w:r>
            <w:r w:rsidR="008C6E52">
              <w:rPr>
                <w:rFonts w:ascii="Arial Narrow" w:hAnsi="Arial Narrow"/>
                <w:sz w:val="20"/>
              </w:rPr>
              <w:t> </w:t>
            </w:r>
            <w:r>
              <w:rPr>
                <w:rFonts w:ascii="Arial Narrow" w:hAnsi="Arial Narrow"/>
                <w:sz w:val="20"/>
              </w:rPr>
              <w:t xml:space="preserve">months), LV systolic dysfunction confirmed on </w:t>
            </w:r>
            <w:r w:rsidR="008C6E52">
              <w:rPr>
                <w:rFonts w:ascii="Arial Narrow" w:hAnsi="Arial Narrow"/>
                <w:sz w:val="20"/>
              </w:rPr>
              <w:t>E</w:t>
            </w:r>
            <w:r>
              <w:rPr>
                <w:rFonts w:ascii="Arial Narrow" w:hAnsi="Arial Narrow"/>
                <w:sz w:val="20"/>
              </w:rPr>
              <w:t>cho, referred for ICA</w:t>
            </w:r>
          </w:p>
          <w:p w14:paraId="53570481" w14:textId="77777777" w:rsidR="00FC159D" w:rsidRPr="002A3999" w:rsidRDefault="00FC159D" w:rsidP="004C79C1">
            <w:pPr>
              <w:keepNext/>
              <w:spacing w:before="0" w:after="120" w:line="240" w:lineRule="auto"/>
              <w:ind w:right="-57"/>
              <w:rPr>
                <w:rFonts w:ascii="Arial Narrow" w:hAnsi="Arial Narrow"/>
                <w:sz w:val="20"/>
              </w:rPr>
            </w:pPr>
            <w:r>
              <w:rPr>
                <w:rFonts w:ascii="Arial Narrow" w:hAnsi="Arial Narrow"/>
                <w:sz w:val="20"/>
              </w:rPr>
              <w:t xml:space="preserve"> </w:t>
            </w:r>
          </w:p>
          <w:p w14:paraId="4C54B4C2"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68A765E5" w14:textId="6B7AB8FD" w:rsidR="00FC159D" w:rsidRPr="003C4C77" w:rsidRDefault="00FC159D" w:rsidP="004C79C1">
            <w:pPr>
              <w:keepNext/>
              <w:spacing w:before="0" w:after="120" w:line="240" w:lineRule="auto"/>
              <w:ind w:right="-57"/>
              <w:rPr>
                <w:rFonts w:ascii="Arial Narrow" w:hAnsi="Arial Narrow"/>
                <w:sz w:val="20"/>
              </w:rPr>
            </w:pPr>
            <w:r w:rsidRPr="003C4C77">
              <w:rPr>
                <w:rFonts w:ascii="Arial Narrow" w:hAnsi="Arial Narrow"/>
                <w:sz w:val="20"/>
              </w:rPr>
              <w:t>Previous ICA</w:t>
            </w:r>
            <w:r>
              <w:rPr>
                <w:rFonts w:ascii="Arial Narrow" w:hAnsi="Arial Narrow"/>
                <w:sz w:val="20"/>
              </w:rPr>
              <w:t xml:space="preserve"> or revascularisation, known history of coronary disease, MI or Q waves satisfying standard ECG criteria for infarction, significant renal impairment, inability to lie flat or </w:t>
            </w:r>
            <w:r w:rsidR="008C6E52">
              <w:rPr>
                <w:rFonts w:ascii="Arial Narrow" w:hAnsi="Arial Narrow"/>
                <w:sz w:val="20"/>
              </w:rPr>
              <w:t xml:space="preserve">hold </w:t>
            </w:r>
            <w:r>
              <w:rPr>
                <w:rFonts w:ascii="Arial Narrow" w:hAnsi="Arial Narrow"/>
                <w:sz w:val="20"/>
              </w:rPr>
              <w:t xml:space="preserve">breath, inability to provide </w:t>
            </w:r>
            <w:r>
              <w:rPr>
                <w:rFonts w:ascii="Arial Narrow" w:hAnsi="Arial Narrow"/>
                <w:sz w:val="20"/>
              </w:rPr>
              <w:lastRenderedPageBreak/>
              <w:t>informed consent</w:t>
            </w:r>
          </w:p>
        </w:tc>
        <w:tc>
          <w:tcPr>
            <w:tcW w:w="959" w:type="pct"/>
          </w:tcPr>
          <w:p w14:paraId="78FCDFD9" w14:textId="21D437D1" w:rsidR="00FC159D" w:rsidRDefault="00FC159D" w:rsidP="004C79C1">
            <w:pPr>
              <w:spacing w:before="0" w:after="120" w:line="240" w:lineRule="auto"/>
              <w:ind w:right="-57"/>
              <w:rPr>
                <w:rFonts w:ascii="Arial Narrow" w:hAnsi="Arial Narrow"/>
                <w:sz w:val="20"/>
              </w:rPr>
            </w:pPr>
            <w:r>
              <w:rPr>
                <w:rFonts w:ascii="Arial Narrow" w:hAnsi="Arial Narrow"/>
                <w:b/>
                <w:sz w:val="20"/>
              </w:rPr>
              <w:lastRenderedPageBreak/>
              <w:t>Scanner:</w:t>
            </w:r>
            <w:r w:rsidR="0084748D">
              <w:rPr>
                <w:rFonts w:ascii="Arial Narrow" w:hAnsi="Arial Narrow"/>
                <w:b/>
                <w:sz w:val="20"/>
              </w:rPr>
              <w:t xml:space="preserve"> </w:t>
            </w:r>
            <w:r>
              <w:rPr>
                <w:rFonts w:ascii="Arial Narrow" w:hAnsi="Arial Narrow"/>
                <w:sz w:val="20"/>
              </w:rPr>
              <w:t>1.5T scanner (GE Medical systems, Milwaukee, WI, US</w:t>
            </w:r>
            <w:r w:rsidR="00B44B8F">
              <w:rPr>
                <w:rFonts w:ascii="Arial Narrow" w:hAnsi="Arial Narrow"/>
                <w:sz w:val="20"/>
              </w:rPr>
              <w:t>A</w:t>
            </w:r>
            <w:r>
              <w:rPr>
                <w:rFonts w:ascii="Arial Narrow" w:hAnsi="Arial Narrow"/>
                <w:sz w:val="20"/>
              </w:rPr>
              <w:t xml:space="preserve">), with an 8-element cardiac phased array coil </w:t>
            </w:r>
          </w:p>
          <w:p w14:paraId="182489FC" w14:textId="1C847215"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0A63AA">
              <w:rPr>
                <w:rFonts w:ascii="Arial Narrow" w:hAnsi="Arial Narrow"/>
                <w:sz w:val="20"/>
              </w:rPr>
              <w:t>inversion-recovery</w:t>
            </w:r>
            <w:r>
              <w:rPr>
                <w:rFonts w:ascii="Arial Narrow" w:hAnsi="Arial Narrow"/>
                <w:sz w:val="20"/>
              </w:rPr>
              <w:t xml:space="preserve"> fast gradient</w:t>
            </w:r>
            <w:r w:rsidR="004120E0">
              <w:rPr>
                <w:rFonts w:ascii="Arial Narrow" w:hAnsi="Arial Narrow"/>
                <w:sz w:val="20"/>
              </w:rPr>
              <w:t>-</w:t>
            </w:r>
            <w:r>
              <w:rPr>
                <w:rFonts w:ascii="Arial Narrow" w:hAnsi="Arial Narrow"/>
                <w:sz w:val="20"/>
              </w:rPr>
              <w:t>echo</w:t>
            </w:r>
            <w:r w:rsidRPr="000A63AA">
              <w:rPr>
                <w:rFonts w:ascii="Arial Narrow" w:hAnsi="Arial Narrow"/>
                <w:sz w:val="20"/>
              </w:rPr>
              <w:t xml:space="preserve"> sequence</w:t>
            </w:r>
          </w:p>
          <w:p w14:paraId="4CCE4FA7" w14:textId="471D78C2"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Pr>
                <w:rFonts w:ascii="Arial Narrow" w:hAnsi="Arial Narrow"/>
                <w:sz w:val="20"/>
              </w:rPr>
              <w:t>0.2</w:t>
            </w:r>
            <w:r w:rsidR="004120E0">
              <w:rPr>
                <w:rFonts w:ascii="Arial Narrow" w:hAnsi="Arial Narrow"/>
                <w:sz w:val="20"/>
              </w:rPr>
              <w:t> </w:t>
            </w:r>
            <w:r>
              <w:rPr>
                <w:rFonts w:ascii="Arial Narrow" w:hAnsi="Arial Narrow"/>
                <w:sz w:val="20"/>
              </w:rPr>
              <w:t xml:space="preserve">mmol/kg </w:t>
            </w:r>
            <w:r w:rsidR="00AF7812">
              <w:rPr>
                <w:rFonts w:ascii="Arial Narrow" w:hAnsi="Arial Narrow"/>
                <w:sz w:val="20"/>
              </w:rPr>
              <w:t>Gd-</w:t>
            </w:r>
            <w:r>
              <w:rPr>
                <w:rFonts w:ascii="Arial Narrow" w:hAnsi="Arial Narrow"/>
                <w:sz w:val="20"/>
              </w:rPr>
              <w:t>DTPA, 10</w:t>
            </w:r>
            <w:r w:rsidR="004120E0">
              <w:rPr>
                <w:rFonts w:ascii="Arial Narrow" w:hAnsi="Arial Narrow"/>
                <w:sz w:val="20"/>
              </w:rPr>
              <w:t>-</w:t>
            </w:r>
            <w:r>
              <w:rPr>
                <w:rFonts w:ascii="Arial Narrow" w:hAnsi="Arial Narrow"/>
                <w:sz w:val="20"/>
              </w:rPr>
              <w:t xml:space="preserve"> and 20</w:t>
            </w:r>
            <w:r w:rsidR="004120E0">
              <w:rPr>
                <w:rFonts w:ascii="Arial Narrow" w:hAnsi="Arial Narrow"/>
                <w:sz w:val="20"/>
              </w:rPr>
              <w:t>-</w:t>
            </w:r>
            <w:r>
              <w:rPr>
                <w:rFonts w:ascii="Arial Narrow" w:hAnsi="Arial Narrow"/>
                <w:sz w:val="20"/>
              </w:rPr>
              <w:t>min</w:t>
            </w:r>
            <w:r w:rsidR="004120E0">
              <w:rPr>
                <w:rFonts w:ascii="Arial Narrow" w:hAnsi="Arial Narrow"/>
                <w:sz w:val="20"/>
              </w:rPr>
              <w:t>ute</w:t>
            </w:r>
            <w:r>
              <w:rPr>
                <w:rFonts w:ascii="Arial Narrow" w:hAnsi="Arial Narrow"/>
                <w:sz w:val="20"/>
              </w:rPr>
              <w:t xml:space="preserve"> delay</w:t>
            </w:r>
          </w:p>
        </w:tc>
        <w:tc>
          <w:tcPr>
            <w:tcW w:w="1061" w:type="pct"/>
          </w:tcPr>
          <w:p w14:paraId="21D2A1F8"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Comparator: CTCA</w:t>
            </w:r>
          </w:p>
          <w:p w14:paraId="289C7AF1" w14:textId="7AB3E9FC" w:rsidR="00FC159D" w:rsidRPr="00A32635" w:rsidRDefault="00FC159D" w:rsidP="004C79C1">
            <w:pPr>
              <w:keepNext/>
              <w:spacing w:before="0" w:after="120" w:line="240" w:lineRule="auto"/>
              <w:ind w:right="-57"/>
              <w:rPr>
                <w:rFonts w:ascii="Arial Narrow" w:hAnsi="Arial Narrow"/>
                <w:sz w:val="20"/>
              </w:rPr>
            </w:pPr>
            <w:r>
              <w:rPr>
                <w:rFonts w:ascii="Arial Narrow" w:hAnsi="Arial Narrow"/>
                <w:sz w:val="20"/>
              </w:rPr>
              <w:t>Dual-source 64-slice CT angiography (Somaton Definition, Siemens Medical, Erlangen, Germany) with 330</w:t>
            </w:r>
            <w:r w:rsidR="003F5BC0">
              <w:rPr>
                <w:rFonts w:ascii="Arial Narrow" w:hAnsi="Arial Narrow"/>
                <w:sz w:val="20"/>
              </w:rPr>
              <w:t> </w:t>
            </w:r>
            <w:r>
              <w:rPr>
                <w:rFonts w:ascii="Arial Narrow" w:hAnsi="Arial Narrow"/>
                <w:sz w:val="20"/>
              </w:rPr>
              <w:t>ms rotation time. Presence, distribution and severity of coronary plaque were assessed using a modivide AHA 17-segment model</w:t>
            </w:r>
            <w:r w:rsidR="00336FE8">
              <w:rPr>
                <w:rFonts w:ascii="Arial Narrow" w:hAnsi="Arial Narrow"/>
                <w:sz w:val="20"/>
              </w:rPr>
              <w:t>.</w:t>
            </w:r>
            <w:r>
              <w:rPr>
                <w:rFonts w:ascii="Arial Narrow" w:hAnsi="Arial Narrow"/>
                <w:sz w:val="20"/>
              </w:rPr>
              <w:t xml:space="preserve"> Luminal stenosis of ≥50% in </w:t>
            </w:r>
            <w:r w:rsidR="00336FE8">
              <w:rPr>
                <w:rFonts w:ascii="Arial Narrow" w:hAnsi="Arial Narrow"/>
                <w:sz w:val="20"/>
              </w:rPr>
              <w:t xml:space="preserve">2 </w:t>
            </w:r>
            <w:r>
              <w:rPr>
                <w:rFonts w:ascii="Arial Narrow" w:hAnsi="Arial Narrow"/>
                <w:sz w:val="20"/>
              </w:rPr>
              <w:t>proximal vessels was considered significant.</w:t>
            </w:r>
          </w:p>
          <w:p w14:paraId="16252CD8"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 ICA</w:t>
            </w:r>
          </w:p>
          <w:p w14:paraId="2B362446" w14:textId="177B0056" w:rsidR="00FC159D" w:rsidRPr="001D0F1E" w:rsidRDefault="00FC159D" w:rsidP="004C79C1">
            <w:pPr>
              <w:keepNext/>
              <w:spacing w:before="0" w:after="120" w:line="240" w:lineRule="auto"/>
              <w:ind w:right="-57"/>
              <w:rPr>
                <w:rFonts w:ascii="Arial Narrow" w:hAnsi="Arial Narrow"/>
                <w:sz w:val="20"/>
              </w:rPr>
            </w:pPr>
            <w:r>
              <w:rPr>
                <w:rFonts w:ascii="Arial Narrow" w:hAnsi="Arial Narrow"/>
                <w:sz w:val="20"/>
              </w:rPr>
              <w:t xml:space="preserve">Significant coronary stenosis sufficient to cause LV dysfunction </w:t>
            </w:r>
            <w:r>
              <w:rPr>
                <w:rFonts w:ascii="Arial Narrow" w:hAnsi="Arial Narrow"/>
                <w:sz w:val="20"/>
              </w:rPr>
              <w:lastRenderedPageBreak/>
              <w:t xml:space="preserve">was defined as stenosis &gt;50% in proximal/mid segments of </w:t>
            </w:r>
            <w:r w:rsidR="00336FE8">
              <w:rPr>
                <w:rFonts w:ascii="Arial Narrow" w:hAnsi="Arial Narrow"/>
                <w:sz w:val="20"/>
              </w:rPr>
              <w:t xml:space="preserve">2 </w:t>
            </w:r>
            <w:r>
              <w:rPr>
                <w:rFonts w:ascii="Arial Narrow" w:hAnsi="Arial Narrow"/>
                <w:sz w:val="20"/>
              </w:rPr>
              <w:t>major coronary arteries or significant left main</w:t>
            </w:r>
            <w:r w:rsidR="00336FE8">
              <w:rPr>
                <w:rFonts w:ascii="Arial Narrow" w:hAnsi="Arial Narrow"/>
                <w:sz w:val="20"/>
              </w:rPr>
              <w:t xml:space="preserve"> </w:t>
            </w:r>
            <w:r>
              <w:rPr>
                <w:rFonts w:ascii="Arial Narrow" w:hAnsi="Arial Narrow"/>
                <w:sz w:val="20"/>
              </w:rPr>
              <w:t>/</w:t>
            </w:r>
            <w:r w:rsidR="00336FE8">
              <w:rPr>
                <w:rFonts w:ascii="Arial Narrow" w:hAnsi="Arial Narrow"/>
                <w:sz w:val="20"/>
              </w:rPr>
              <w:t xml:space="preserve"> </w:t>
            </w:r>
            <w:r>
              <w:rPr>
                <w:rFonts w:ascii="Arial Narrow" w:hAnsi="Arial Narrow"/>
                <w:sz w:val="20"/>
              </w:rPr>
              <w:t>proximal LAD stenosis.</w:t>
            </w:r>
          </w:p>
        </w:tc>
      </w:tr>
      <w:tr w:rsidR="00FC159D" w:rsidRPr="00CF4E70" w14:paraId="1C006EDD" w14:textId="77777777" w:rsidTr="00BE5D7C">
        <w:tc>
          <w:tcPr>
            <w:tcW w:w="505" w:type="pct"/>
          </w:tcPr>
          <w:p w14:paraId="2B166D4D"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McCrohon et al. (2003)</w:t>
            </w:r>
          </w:p>
          <w:p w14:paraId="166BEDC1"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UK</w:t>
            </w:r>
          </w:p>
        </w:tc>
        <w:tc>
          <w:tcPr>
            <w:tcW w:w="707" w:type="pct"/>
          </w:tcPr>
          <w:p w14:paraId="458CC33B"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III-3</w:t>
            </w:r>
          </w:p>
          <w:p w14:paraId="442A782A"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2C50B2E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Quality: </w:t>
            </w:r>
            <w:r>
              <w:rPr>
                <w:rFonts w:ascii="Arial Narrow" w:eastAsiaTheme="minorHAnsi" w:hAnsi="Arial Narrow" w:cstheme="minorHAnsi"/>
                <w:sz w:val="20"/>
                <w:lang w:eastAsia="en-US"/>
              </w:rPr>
              <w:t>Unclear</w:t>
            </w:r>
            <w:r w:rsidRPr="00335B10">
              <w:rPr>
                <w:rFonts w:ascii="Arial Narrow" w:eastAsiaTheme="minorHAnsi" w:hAnsi="Arial Narrow" w:cstheme="minorHAnsi"/>
                <w:sz w:val="20"/>
                <w:lang w:eastAsia="en-US"/>
              </w:rPr>
              <w:t xml:space="preserve"> risk of bias</w:t>
            </w:r>
          </w:p>
          <w:p w14:paraId="2EEC4B5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Patient selection</w:t>
            </w:r>
            <w:proofErr w:type="gramStart"/>
            <w:r w:rsidRPr="00335B10">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t>?</w:t>
            </w:r>
            <w:proofErr w:type="gramEnd"/>
          </w:p>
          <w:p w14:paraId="3A133960"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0E8CD984"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F53D4C">
              <w:rPr>
                <w:rFonts w:ascii="Arial Narrow" w:eastAsiaTheme="minorHAnsi" w:hAnsi="Arial Narrow" w:cstheme="minorHAnsi"/>
                <w:sz w:val="20"/>
                <w:lang w:eastAsia="en-US"/>
              </w:rPr>
              <w:sym w:font="Wingdings" w:char="F04A"/>
            </w:r>
          </w:p>
          <w:p w14:paraId="4C8154E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18A3D5E0"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r>
              <w:rPr>
                <w:rFonts w:ascii="Arial Narrow" w:eastAsiaTheme="minorHAnsi" w:hAnsi="Arial Narrow" w:cstheme="minorHAnsi"/>
                <w:sz w:val="20"/>
                <w:lang w:eastAsia="en-US"/>
              </w:rPr>
              <w:t xml:space="preserve"> </w:t>
            </w:r>
            <w:r w:rsidRPr="00F53D4C">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F53D4C">
              <w:rPr>
                <w:rFonts w:ascii="Arial Narrow" w:eastAsiaTheme="minorHAnsi" w:hAnsi="Arial Narrow" w:cstheme="minorHAnsi"/>
                <w:sz w:val="20"/>
                <w:lang w:eastAsia="en-US"/>
              </w:rPr>
              <w:sym w:font="Wingdings" w:char="F04A"/>
            </w:r>
          </w:p>
        </w:tc>
        <w:tc>
          <w:tcPr>
            <w:tcW w:w="758" w:type="pct"/>
          </w:tcPr>
          <w:p w14:paraId="6050BAAE" w14:textId="4CECC25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 xml:space="preserve">90 patients with chronic stable </w:t>
            </w:r>
            <w:r w:rsidR="00336FE8">
              <w:rPr>
                <w:rFonts w:ascii="Arial Narrow" w:hAnsi="Arial Narrow"/>
                <w:sz w:val="20"/>
              </w:rPr>
              <w:t>HF</w:t>
            </w:r>
            <w:r>
              <w:rPr>
                <w:rFonts w:ascii="Arial Narrow" w:hAnsi="Arial Narrow"/>
                <w:sz w:val="20"/>
              </w:rPr>
              <w:t xml:space="preserve"> with a dilated heart and LV systolic dysfunction (63 DCM and 27 CAD), 15 control subjects (normal ventricular function and ECG and no cardiac risk factors).</w:t>
            </w:r>
          </w:p>
          <w:p w14:paraId="141689EB" w14:textId="1CC8F7A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 xml:space="preserve">Mean age </w:t>
            </w:r>
            <w:r w:rsidR="008A2A0F">
              <w:rPr>
                <w:rFonts w:ascii="Arial Narrow" w:hAnsi="Arial Narrow"/>
                <w:sz w:val="20"/>
              </w:rPr>
              <w:t xml:space="preserve">(years) </w:t>
            </w:r>
            <w:r>
              <w:rPr>
                <w:rFonts w:ascii="Arial Narrow" w:hAnsi="Arial Narrow"/>
                <w:sz w:val="20"/>
              </w:rPr>
              <w:t>and gender (M</w:t>
            </w:r>
            <w:proofErr w:type="gramStart"/>
            <w:r>
              <w:rPr>
                <w:rFonts w:ascii="Arial Narrow" w:hAnsi="Arial Narrow"/>
                <w:sz w:val="20"/>
              </w:rPr>
              <w:t>:F</w:t>
            </w:r>
            <w:proofErr w:type="gramEnd"/>
            <w:r>
              <w:rPr>
                <w:rFonts w:ascii="Arial Narrow" w:hAnsi="Arial Narrow"/>
                <w:sz w:val="20"/>
              </w:rPr>
              <w:t xml:space="preserve">, %): </w:t>
            </w:r>
          </w:p>
          <w:p w14:paraId="3FB5B4A5"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DCM: 54 ± 14, 65:35</w:t>
            </w:r>
          </w:p>
          <w:p w14:paraId="38DFE13A"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CAD: 67 ± 10, 93:7</w:t>
            </w:r>
          </w:p>
          <w:p w14:paraId="7FD04C40"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Control: 57 ± 10, 47:53</w:t>
            </w:r>
          </w:p>
        </w:tc>
        <w:tc>
          <w:tcPr>
            <w:tcW w:w="1010" w:type="pct"/>
          </w:tcPr>
          <w:p w14:paraId="750A3FD0"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253F057A" w14:textId="2A034AFE" w:rsidR="00FC159D" w:rsidRDefault="00FC159D" w:rsidP="004C79C1">
            <w:pPr>
              <w:keepNext/>
              <w:spacing w:before="0" w:after="120" w:line="240" w:lineRule="auto"/>
              <w:ind w:right="-57"/>
              <w:rPr>
                <w:rFonts w:ascii="Arial Narrow" w:hAnsi="Arial Narrow"/>
                <w:sz w:val="20"/>
              </w:rPr>
            </w:pPr>
            <w:r w:rsidRPr="001B103A">
              <w:rPr>
                <w:rFonts w:ascii="Arial Narrow" w:hAnsi="Arial Narrow"/>
                <w:sz w:val="20"/>
              </w:rPr>
              <w:t xml:space="preserve">Patients: clinical diagnosis of </w:t>
            </w:r>
            <w:r w:rsidR="008A2A0F">
              <w:rPr>
                <w:rFonts w:ascii="Arial Narrow" w:hAnsi="Arial Narrow"/>
                <w:sz w:val="20"/>
              </w:rPr>
              <w:t>HF</w:t>
            </w:r>
            <w:r>
              <w:rPr>
                <w:rFonts w:ascii="Arial Narrow" w:hAnsi="Arial Narrow"/>
                <w:sz w:val="20"/>
              </w:rPr>
              <w:t xml:space="preserve"> made on the basis of compatible clinical presentation and history combined with systolic LV dysfunction and dilation by </w:t>
            </w:r>
            <w:r w:rsidR="008A2A0F">
              <w:rPr>
                <w:rFonts w:ascii="Arial Narrow" w:hAnsi="Arial Narrow"/>
                <w:sz w:val="20"/>
              </w:rPr>
              <w:t>E</w:t>
            </w:r>
            <w:r>
              <w:rPr>
                <w:rFonts w:ascii="Arial Narrow" w:hAnsi="Arial Narrow"/>
                <w:sz w:val="20"/>
              </w:rPr>
              <w:t>cho or radionuclide imaging. They underwent ICA</w:t>
            </w:r>
            <w:r w:rsidR="00DB15A6">
              <w:rPr>
                <w:rFonts w:ascii="Arial Narrow" w:hAnsi="Arial Narrow"/>
                <w:sz w:val="20"/>
              </w:rPr>
              <w:t>.</w:t>
            </w:r>
          </w:p>
          <w:p w14:paraId="7DC1D6FC" w14:textId="3F2574D8" w:rsidR="00FC159D" w:rsidRDefault="00FC159D" w:rsidP="004C79C1">
            <w:pPr>
              <w:keepNext/>
              <w:spacing w:before="0" w:after="120" w:line="240" w:lineRule="auto"/>
              <w:ind w:right="-57"/>
              <w:rPr>
                <w:rFonts w:ascii="Arial Narrow" w:hAnsi="Arial Narrow"/>
                <w:sz w:val="20"/>
              </w:rPr>
            </w:pPr>
            <w:r>
              <w:rPr>
                <w:rFonts w:ascii="Arial Narrow" w:hAnsi="Arial Narrow"/>
                <w:sz w:val="20"/>
              </w:rPr>
              <w:t>Controls: normal systolic function and a low (&lt;10%) 10-year risk for coronary events</w:t>
            </w:r>
            <w:r w:rsidRPr="001B103A">
              <w:rPr>
                <w:rFonts w:ascii="Arial Narrow" w:hAnsi="Arial Narrow"/>
                <w:sz w:val="20"/>
              </w:rPr>
              <w:t xml:space="preserve"> </w:t>
            </w:r>
          </w:p>
          <w:p w14:paraId="10616E32" w14:textId="77777777" w:rsidR="00FC159D" w:rsidRDefault="00FC159D" w:rsidP="004C79C1">
            <w:pPr>
              <w:keepNext/>
              <w:spacing w:before="0" w:after="120" w:line="240" w:lineRule="auto"/>
              <w:ind w:right="-57"/>
              <w:rPr>
                <w:rFonts w:ascii="Arial Narrow" w:hAnsi="Arial Narrow"/>
                <w:sz w:val="20"/>
              </w:rPr>
            </w:pPr>
          </w:p>
          <w:p w14:paraId="04CD3654"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4FA9F6E7" w14:textId="685CB5FE" w:rsidR="00FC159D" w:rsidRPr="00261F78" w:rsidRDefault="00FC159D" w:rsidP="004C79C1">
            <w:pPr>
              <w:keepNext/>
              <w:spacing w:before="0" w:after="120" w:line="240" w:lineRule="auto"/>
              <w:ind w:right="-57"/>
              <w:rPr>
                <w:rFonts w:ascii="Arial Narrow" w:hAnsi="Arial Narrow"/>
                <w:sz w:val="20"/>
              </w:rPr>
            </w:pPr>
            <w:r>
              <w:rPr>
                <w:rFonts w:ascii="Arial Narrow" w:hAnsi="Arial Narrow"/>
                <w:sz w:val="20"/>
              </w:rPr>
              <w:t>Presence of contraindications for CMR, suspected infiltrative heart disease (no evidence of hilar lymphadenopathy or suggestive skin, eye, joint, neurological or gastrointestinal disorder in the included patients in 1.5</w:t>
            </w:r>
            <w:r w:rsidR="005325F7">
              <w:rPr>
                <w:rFonts w:ascii="Arial Narrow" w:hAnsi="Arial Narrow"/>
                <w:sz w:val="20"/>
              </w:rPr>
              <w:t>–</w:t>
            </w:r>
            <w:r>
              <w:rPr>
                <w:rFonts w:ascii="Arial Narrow" w:hAnsi="Arial Narrow"/>
                <w:sz w:val="20"/>
              </w:rPr>
              <w:t>11</w:t>
            </w:r>
            <w:r w:rsidR="005325F7">
              <w:rPr>
                <w:rFonts w:ascii="Arial Narrow" w:hAnsi="Arial Narrow"/>
                <w:sz w:val="20"/>
              </w:rPr>
              <w:t> </w:t>
            </w:r>
            <w:r>
              <w:rPr>
                <w:rFonts w:ascii="Arial Narrow" w:hAnsi="Arial Narrow"/>
                <w:sz w:val="20"/>
              </w:rPr>
              <w:t>years of follow-up), HCM, previous revascularisation, significant valve disease or a history of myocarditis</w:t>
            </w:r>
          </w:p>
        </w:tc>
        <w:tc>
          <w:tcPr>
            <w:tcW w:w="959" w:type="pct"/>
          </w:tcPr>
          <w:p w14:paraId="4671D336" w14:textId="77777777"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Pr>
                <w:rFonts w:ascii="Arial Narrow" w:hAnsi="Arial Narrow"/>
                <w:sz w:val="20"/>
              </w:rPr>
              <w:t xml:space="preserve">1.5T scanner (Siemens Sonata, Erlangen, Germany) </w:t>
            </w:r>
          </w:p>
          <w:p w14:paraId="17C0898C" w14:textId="7263CFFC"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0A63AA">
              <w:rPr>
                <w:rFonts w:ascii="Arial Narrow" w:hAnsi="Arial Narrow"/>
                <w:sz w:val="20"/>
              </w:rPr>
              <w:t>inversion-recovery</w:t>
            </w:r>
            <w:r>
              <w:rPr>
                <w:rFonts w:ascii="Arial Narrow" w:hAnsi="Arial Narrow"/>
                <w:sz w:val="20"/>
              </w:rPr>
              <w:t xml:space="preserve"> segmented gradient</w:t>
            </w:r>
            <w:r w:rsidR="005325F7">
              <w:rPr>
                <w:rFonts w:ascii="Arial Narrow" w:hAnsi="Arial Narrow"/>
                <w:sz w:val="20"/>
              </w:rPr>
              <w:t>-</w:t>
            </w:r>
            <w:r>
              <w:rPr>
                <w:rFonts w:ascii="Arial Narrow" w:hAnsi="Arial Narrow"/>
                <w:sz w:val="20"/>
              </w:rPr>
              <w:t>echo</w:t>
            </w:r>
            <w:r w:rsidRPr="000A63AA">
              <w:rPr>
                <w:rFonts w:ascii="Arial Narrow" w:hAnsi="Arial Narrow"/>
                <w:sz w:val="20"/>
              </w:rPr>
              <w:t xml:space="preserve"> sequence</w:t>
            </w:r>
          </w:p>
          <w:p w14:paraId="50698BE9" w14:textId="0DE67C5F"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Pr>
                <w:rFonts w:ascii="Arial Narrow" w:hAnsi="Arial Narrow"/>
                <w:sz w:val="20"/>
              </w:rPr>
              <w:t>0.1</w:t>
            </w:r>
            <w:r w:rsidR="005325F7">
              <w:rPr>
                <w:rFonts w:ascii="Arial Narrow" w:hAnsi="Arial Narrow"/>
                <w:sz w:val="20"/>
              </w:rPr>
              <w:t> </w:t>
            </w:r>
            <w:r>
              <w:rPr>
                <w:rFonts w:ascii="Arial Narrow" w:hAnsi="Arial Narrow"/>
                <w:sz w:val="20"/>
              </w:rPr>
              <w:t xml:space="preserve">mmol/kg </w:t>
            </w:r>
            <w:r w:rsidR="00AF7812">
              <w:rPr>
                <w:rFonts w:ascii="Arial Narrow" w:hAnsi="Arial Narrow"/>
                <w:sz w:val="20"/>
              </w:rPr>
              <w:t>Gd-</w:t>
            </w:r>
            <w:r>
              <w:rPr>
                <w:rFonts w:ascii="Arial Narrow" w:hAnsi="Arial Narrow"/>
                <w:sz w:val="20"/>
              </w:rPr>
              <w:t>DTPA, 10–15</w:t>
            </w:r>
            <w:r w:rsidR="005325F7">
              <w:rPr>
                <w:rFonts w:ascii="Arial Narrow" w:hAnsi="Arial Narrow"/>
                <w:sz w:val="20"/>
              </w:rPr>
              <w:t>-</w:t>
            </w:r>
            <w:r>
              <w:rPr>
                <w:rFonts w:ascii="Arial Narrow" w:hAnsi="Arial Narrow"/>
                <w:sz w:val="20"/>
              </w:rPr>
              <w:t>min</w:t>
            </w:r>
            <w:r w:rsidR="005325F7">
              <w:rPr>
                <w:rFonts w:ascii="Arial Narrow" w:hAnsi="Arial Narrow"/>
                <w:sz w:val="20"/>
              </w:rPr>
              <w:t>ute</w:t>
            </w:r>
            <w:r>
              <w:rPr>
                <w:rFonts w:ascii="Arial Narrow" w:hAnsi="Arial Narrow"/>
                <w:sz w:val="20"/>
              </w:rPr>
              <w:t xml:space="preserve"> delay</w:t>
            </w:r>
          </w:p>
        </w:tc>
        <w:tc>
          <w:tcPr>
            <w:tcW w:w="1061" w:type="pct"/>
          </w:tcPr>
          <w:p w14:paraId="7C29517E"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 ICA</w:t>
            </w:r>
          </w:p>
          <w:p w14:paraId="58284589" w14:textId="4FF14FD1" w:rsidR="00FC159D" w:rsidRPr="001D0F1E" w:rsidRDefault="00FC159D" w:rsidP="004C79C1">
            <w:pPr>
              <w:keepNext/>
              <w:spacing w:before="0" w:after="120" w:line="240" w:lineRule="auto"/>
              <w:ind w:right="-57"/>
              <w:rPr>
                <w:rFonts w:ascii="Arial Narrow" w:hAnsi="Arial Narrow"/>
                <w:b/>
                <w:sz w:val="20"/>
              </w:rPr>
            </w:pPr>
            <w:r>
              <w:rPr>
                <w:rFonts w:ascii="Arial Narrow" w:hAnsi="Arial Narrow"/>
                <w:sz w:val="20"/>
              </w:rPr>
              <w:t xml:space="preserve">The patients had </w:t>
            </w:r>
            <w:proofErr w:type="gramStart"/>
            <w:r>
              <w:rPr>
                <w:rFonts w:ascii="Arial Narrow" w:hAnsi="Arial Narrow"/>
                <w:sz w:val="20"/>
              </w:rPr>
              <w:t>either unobstructed coronary arteries and</w:t>
            </w:r>
            <w:proofErr w:type="gramEnd"/>
            <w:r>
              <w:rPr>
                <w:rFonts w:ascii="Arial Narrow" w:hAnsi="Arial Narrow"/>
                <w:sz w:val="20"/>
              </w:rPr>
              <w:t xml:space="preserve"> no identifiable secondary cause (DCM), or angiographically documented CAD (&gt;50% stenosis in ≥1 coronary arteries) and a history of myocardial infarction.</w:t>
            </w:r>
          </w:p>
        </w:tc>
      </w:tr>
      <w:tr w:rsidR="00FC159D" w:rsidRPr="00CF4E70" w14:paraId="1EEE00BE" w14:textId="77777777" w:rsidTr="00BE5D7C">
        <w:tc>
          <w:tcPr>
            <w:tcW w:w="505" w:type="pct"/>
          </w:tcPr>
          <w:p w14:paraId="57A9E2CF"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CF4E70">
              <w:rPr>
                <w:rFonts w:ascii="Arial Narrow" w:eastAsiaTheme="minorHAnsi" w:hAnsi="Arial Narrow" w:cstheme="minorHAnsi"/>
                <w:sz w:val="20"/>
                <w:lang w:eastAsia="en-US"/>
              </w:rPr>
              <w:t>Mor-Avi et al. (2008)</w:t>
            </w:r>
          </w:p>
          <w:p w14:paraId="2B6F06D4" w14:textId="190A66FA" w:rsidR="00FC159D" w:rsidRPr="00CF4E7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US</w:t>
            </w:r>
            <w:r w:rsidR="00F73926">
              <w:rPr>
                <w:rFonts w:ascii="Arial Narrow" w:eastAsiaTheme="minorHAnsi" w:hAnsi="Arial Narrow" w:cstheme="minorHAnsi"/>
                <w:sz w:val="20"/>
                <w:lang w:eastAsia="en-US"/>
              </w:rPr>
              <w:t>A</w:t>
            </w:r>
          </w:p>
        </w:tc>
        <w:tc>
          <w:tcPr>
            <w:tcW w:w="707" w:type="pct"/>
          </w:tcPr>
          <w:p w14:paraId="5D65AE82"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III-1</w:t>
            </w:r>
          </w:p>
          <w:p w14:paraId="20E4939C"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7BFF8E1A"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lastRenderedPageBreak/>
              <w:t>Quality: low</w:t>
            </w:r>
            <w:r>
              <w:rPr>
                <w:rFonts w:ascii="Arial Narrow" w:eastAsiaTheme="minorHAnsi" w:hAnsi="Arial Narrow" w:cstheme="minorHAnsi"/>
                <w:sz w:val="20"/>
                <w:lang w:eastAsia="en-US"/>
              </w:rPr>
              <w:t xml:space="preserve"> risk of bias</w:t>
            </w:r>
          </w:p>
          <w:p w14:paraId="15FB71C3"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Patient selection</w:t>
            </w:r>
            <w:proofErr w:type="gramStart"/>
            <w:r w:rsidRPr="00335B10">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t>?</w:t>
            </w:r>
            <w:proofErr w:type="gramEnd"/>
          </w:p>
          <w:p w14:paraId="6A47F21F"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2438DA">
              <w:rPr>
                <w:rFonts w:ascii="Arial Narrow" w:eastAsiaTheme="minorHAnsi" w:hAnsi="Arial Narrow" w:cstheme="minorHAnsi"/>
                <w:sz w:val="20"/>
                <w:lang w:eastAsia="en-US"/>
              </w:rPr>
              <w:sym w:font="Wingdings" w:char="F04A"/>
            </w:r>
          </w:p>
          <w:p w14:paraId="65207683"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2438DA">
              <w:rPr>
                <w:rFonts w:ascii="Arial Narrow" w:eastAsiaTheme="minorHAnsi" w:hAnsi="Arial Narrow" w:cstheme="minorHAnsi"/>
                <w:sz w:val="20"/>
                <w:lang w:eastAsia="en-US"/>
              </w:rPr>
              <w:sym w:font="Wingdings" w:char="F04A"/>
            </w:r>
          </w:p>
          <w:p w14:paraId="296F64F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2438DA">
              <w:rPr>
                <w:rFonts w:ascii="Arial Narrow" w:eastAsiaTheme="minorHAnsi" w:hAnsi="Arial Narrow" w:cstheme="minorHAnsi"/>
                <w:sz w:val="20"/>
                <w:lang w:eastAsia="en-US"/>
              </w:rPr>
              <w:sym w:font="Wingdings" w:char="F04A"/>
            </w:r>
          </w:p>
          <w:p w14:paraId="31814EB8" w14:textId="77777777" w:rsidR="00FC159D" w:rsidRPr="00CF4E7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sidRPr="002438DA">
              <w:rPr>
                <w:rFonts w:ascii="Arial Narrow" w:eastAsiaTheme="minorHAnsi" w:hAnsi="Arial Narrow" w:cstheme="minorHAnsi"/>
                <w:sz w:val="20"/>
                <w:lang w:eastAsia="en-US"/>
              </w:rPr>
              <w:sym w:font="Wingdings" w:char="F04C"/>
            </w:r>
            <w:r>
              <w:rPr>
                <w:rFonts w:ascii="Arial Narrow" w:eastAsiaTheme="minorHAnsi" w:hAnsi="Arial Narrow" w:cstheme="minorHAnsi"/>
                <w:sz w:val="20"/>
                <w:lang w:eastAsia="en-US"/>
              </w:rPr>
              <w:t xml:space="preserve"> </w:t>
            </w:r>
            <w:r w:rsidRPr="002438DA">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2438DA">
              <w:rPr>
                <w:rFonts w:ascii="Arial Narrow" w:eastAsiaTheme="minorHAnsi" w:hAnsi="Arial Narrow" w:cstheme="minorHAnsi"/>
                <w:sz w:val="20"/>
                <w:lang w:eastAsia="en-US"/>
              </w:rPr>
              <w:sym w:font="Wingdings" w:char="F04A"/>
            </w:r>
          </w:p>
        </w:tc>
        <w:tc>
          <w:tcPr>
            <w:tcW w:w="758" w:type="pct"/>
          </w:tcPr>
          <w:p w14:paraId="48B5AD67" w14:textId="5C04F1AE"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lastRenderedPageBreak/>
              <w:t xml:space="preserve">16 patients with CM (LVEF &lt;40% on Echo), referred for clinically </w:t>
            </w:r>
            <w:r>
              <w:rPr>
                <w:rFonts w:ascii="Arial Narrow" w:hAnsi="Arial Narrow"/>
                <w:sz w:val="20"/>
              </w:rPr>
              <w:lastRenderedPageBreak/>
              <w:t>indicated ICA</w:t>
            </w:r>
          </w:p>
          <w:p w14:paraId="7CCA29F9" w14:textId="77777777" w:rsidR="00FC159D" w:rsidRDefault="00FC159D" w:rsidP="004C79C1">
            <w:pPr>
              <w:keepNext/>
              <w:tabs>
                <w:tab w:val="left" w:pos="89"/>
              </w:tabs>
              <w:spacing w:before="0" w:after="120" w:line="240" w:lineRule="auto"/>
              <w:ind w:right="-57"/>
              <w:rPr>
                <w:rFonts w:ascii="Arial Narrow" w:hAnsi="Arial Narrow"/>
                <w:sz w:val="20"/>
              </w:rPr>
            </w:pPr>
          </w:p>
          <w:p w14:paraId="72B92253" w14:textId="3BE907C1"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62 ± 11</w:t>
            </w:r>
            <w:r w:rsidR="00AB4B72">
              <w:rPr>
                <w:rFonts w:ascii="Arial Narrow" w:hAnsi="Arial Narrow"/>
                <w:sz w:val="20"/>
              </w:rPr>
              <w:t> </w:t>
            </w:r>
            <w:r>
              <w:rPr>
                <w:rFonts w:ascii="Arial Narrow" w:hAnsi="Arial Narrow"/>
                <w:sz w:val="20"/>
              </w:rPr>
              <w:t>years</w:t>
            </w:r>
          </w:p>
          <w:p w14:paraId="4366C782" w14:textId="77777777" w:rsidR="00FC159D" w:rsidRPr="00CF4E70"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11 men (68.8%)</w:t>
            </w:r>
          </w:p>
        </w:tc>
        <w:tc>
          <w:tcPr>
            <w:tcW w:w="1010" w:type="pct"/>
          </w:tcPr>
          <w:p w14:paraId="59009BB8"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Exclusion criteria:</w:t>
            </w:r>
          </w:p>
          <w:p w14:paraId="0762C55A" w14:textId="76BC6A1E" w:rsidR="00FC159D" w:rsidRPr="00CF4E70" w:rsidRDefault="00FC159D" w:rsidP="004C79C1">
            <w:pPr>
              <w:keepNext/>
              <w:spacing w:before="0" w:after="120" w:line="240" w:lineRule="auto"/>
              <w:ind w:right="-57"/>
              <w:rPr>
                <w:rFonts w:ascii="Arial Narrow" w:hAnsi="Arial Narrow"/>
                <w:sz w:val="20"/>
              </w:rPr>
            </w:pPr>
            <w:r>
              <w:rPr>
                <w:rFonts w:ascii="Arial Narrow" w:hAnsi="Arial Narrow"/>
                <w:sz w:val="20"/>
              </w:rPr>
              <w:t xml:space="preserve">Previous cardiac surgery, atrial fibrillation or other cardiac </w:t>
            </w:r>
            <w:r>
              <w:rPr>
                <w:rFonts w:ascii="Arial Narrow" w:hAnsi="Arial Narrow"/>
                <w:sz w:val="20"/>
              </w:rPr>
              <w:lastRenderedPageBreak/>
              <w:t>arrhythmias, pacemaker or defibrillator implantation, claustrophobia and other known contraindications for CMR imaging, and dyspnoea precluding a 10</w:t>
            </w:r>
            <w:r w:rsidR="00AB4B72">
              <w:rPr>
                <w:rFonts w:ascii="Arial Narrow" w:hAnsi="Arial Narrow"/>
                <w:sz w:val="20"/>
              </w:rPr>
              <w:t>–</w:t>
            </w:r>
            <w:r>
              <w:rPr>
                <w:rFonts w:ascii="Arial Narrow" w:hAnsi="Arial Narrow"/>
                <w:sz w:val="20"/>
              </w:rPr>
              <w:t>20</w:t>
            </w:r>
            <w:r w:rsidR="00AB4B72">
              <w:rPr>
                <w:rFonts w:ascii="Arial Narrow" w:hAnsi="Arial Narrow"/>
                <w:sz w:val="20"/>
              </w:rPr>
              <w:t>-</w:t>
            </w:r>
            <w:r>
              <w:rPr>
                <w:rFonts w:ascii="Arial Narrow" w:hAnsi="Arial Narrow"/>
                <w:sz w:val="20"/>
              </w:rPr>
              <w:t>second breath</w:t>
            </w:r>
            <w:r w:rsidR="00AB4B72">
              <w:rPr>
                <w:rFonts w:ascii="Arial Narrow" w:hAnsi="Arial Narrow"/>
                <w:sz w:val="20"/>
              </w:rPr>
              <w:t xml:space="preserve"> </w:t>
            </w:r>
            <w:r>
              <w:rPr>
                <w:rFonts w:ascii="Arial Narrow" w:hAnsi="Arial Narrow"/>
                <w:sz w:val="20"/>
              </w:rPr>
              <w:t xml:space="preserve">hold or any history of chronic obstructive coronary disease. </w:t>
            </w:r>
          </w:p>
        </w:tc>
        <w:tc>
          <w:tcPr>
            <w:tcW w:w="959" w:type="pct"/>
          </w:tcPr>
          <w:p w14:paraId="7339C98F"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lastRenderedPageBreak/>
              <w:t xml:space="preserve">Scanner: </w:t>
            </w:r>
            <w:r w:rsidRPr="00121444">
              <w:rPr>
                <w:rFonts w:ascii="Arial Narrow" w:hAnsi="Arial Narrow"/>
                <w:sz w:val="20"/>
              </w:rPr>
              <w:t>1.5T scanner</w:t>
            </w:r>
            <w:r>
              <w:rPr>
                <w:rFonts w:ascii="Arial Narrow" w:hAnsi="Arial Narrow"/>
                <w:sz w:val="20"/>
              </w:rPr>
              <w:t xml:space="preserve"> (Sigma Excite, General Electric, Milwaukee, Wisconsin) with an 8-element phased-array cardiac </w:t>
            </w:r>
            <w:r>
              <w:rPr>
                <w:rFonts w:ascii="Arial Narrow" w:hAnsi="Arial Narrow"/>
                <w:sz w:val="20"/>
              </w:rPr>
              <w:lastRenderedPageBreak/>
              <w:t xml:space="preserve">coil. </w:t>
            </w:r>
          </w:p>
          <w:p w14:paraId="0AF6782D"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486857">
              <w:rPr>
                <w:rFonts w:ascii="Arial Narrow" w:hAnsi="Arial Narrow"/>
                <w:sz w:val="20"/>
              </w:rPr>
              <w:t>Turbo-FLASH segmented technique with inversion recovery</w:t>
            </w:r>
            <w:r>
              <w:rPr>
                <w:rFonts w:ascii="Arial Narrow" w:hAnsi="Arial Narrow"/>
                <w:b/>
                <w:sz w:val="20"/>
              </w:rPr>
              <w:t xml:space="preserve"> </w:t>
            </w:r>
          </w:p>
          <w:p w14:paraId="2C6D0854" w14:textId="15AFAF35" w:rsidR="00FC159D" w:rsidRPr="00CF4E70"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sidR="00AF7812">
              <w:rPr>
                <w:rFonts w:ascii="Arial Narrow" w:hAnsi="Arial Narrow"/>
                <w:sz w:val="20"/>
              </w:rPr>
              <w:t>Gd-</w:t>
            </w:r>
            <w:r w:rsidRPr="00486857">
              <w:rPr>
                <w:rFonts w:ascii="Arial Narrow" w:hAnsi="Arial Narrow"/>
                <w:sz w:val="20"/>
              </w:rPr>
              <w:t>based</w:t>
            </w:r>
            <w:r>
              <w:rPr>
                <w:rFonts w:ascii="Arial Narrow" w:hAnsi="Arial Narrow"/>
                <w:b/>
                <w:sz w:val="20"/>
              </w:rPr>
              <w:t xml:space="preserve">, </w:t>
            </w:r>
            <w:r>
              <w:rPr>
                <w:rFonts w:ascii="Arial Narrow" w:hAnsi="Arial Narrow"/>
                <w:sz w:val="20"/>
              </w:rPr>
              <w:t>10</w:t>
            </w:r>
            <w:r w:rsidR="00385A9B">
              <w:rPr>
                <w:rFonts w:ascii="Arial Narrow" w:hAnsi="Arial Narrow"/>
                <w:sz w:val="20"/>
              </w:rPr>
              <w:t>-</w:t>
            </w:r>
            <w:r>
              <w:rPr>
                <w:rFonts w:ascii="Arial Narrow" w:hAnsi="Arial Narrow"/>
                <w:sz w:val="20"/>
              </w:rPr>
              <w:t>minute</w:t>
            </w:r>
            <w:r w:rsidRPr="00486857">
              <w:rPr>
                <w:rFonts w:ascii="Arial Narrow" w:hAnsi="Arial Narrow"/>
                <w:sz w:val="20"/>
              </w:rPr>
              <w:t xml:space="preserve"> delay</w:t>
            </w:r>
          </w:p>
        </w:tc>
        <w:tc>
          <w:tcPr>
            <w:tcW w:w="1061" w:type="pct"/>
          </w:tcPr>
          <w:p w14:paraId="6DE537E9"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 xml:space="preserve">Reference standard: ICA </w:t>
            </w:r>
          </w:p>
          <w:p w14:paraId="0D9EC4BB" w14:textId="5CA43F0C" w:rsidR="00FC159D" w:rsidRPr="001D0F1E" w:rsidRDefault="00FC159D" w:rsidP="004C79C1">
            <w:pPr>
              <w:keepNext/>
              <w:spacing w:before="0" w:after="120" w:line="240" w:lineRule="auto"/>
              <w:ind w:right="-57"/>
              <w:rPr>
                <w:rFonts w:ascii="Arial Narrow" w:hAnsi="Arial Narrow"/>
                <w:b/>
                <w:sz w:val="20"/>
              </w:rPr>
            </w:pPr>
            <w:r w:rsidRPr="00486857">
              <w:rPr>
                <w:rFonts w:ascii="Arial Narrow" w:hAnsi="Arial Narrow"/>
                <w:sz w:val="20"/>
              </w:rPr>
              <w:t xml:space="preserve">Each </w:t>
            </w:r>
            <w:r>
              <w:rPr>
                <w:rFonts w:ascii="Arial Narrow" w:hAnsi="Arial Narrow"/>
                <w:sz w:val="20"/>
              </w:rPr>
              <w:t>arterial segment was graded for stenosis using a 0</w:t>
            </w:r>
            <w:r w:rsidR="00385A9B">
              <w:rPr>
                <w:rFonts w:ascii="Arial Narrow" w:hAnsi="Arial Narrow"/>
                <w:sz w:val="20"/>
              </w:rPr>
              <w:t>–</w:t>
            </w:r>
            <w:r>
              <w:rPr>
                <w:rFonts w:ascii="Arial Narrow" w:hAnsi="Arial Narrow"/>
                <w:sz w:val="20"/>
              </w:rPr>
              <w:t xml:space="preserve">3 scale: 0 = </w:t>
            </w:r>
            <w:r>
              <w:rPr>
                <w:rFonts w:ascii="Arial Narrow" w:hAnsi="Arial Narrow"/>
                <w:sz w:val="20"/>
              </w:rPr>
              <w:lastRenderedPageBreak/>
              <w:t>normal; 1 = &lt;50% stenosis; 2 = 50</w:t>
            </w:r>
            <w:r w:rsidR="00B57E7A">
              <w:rPr>
                <w:rFonts w:ascii="Arial Narrow" w:hAnsi="Arial Narrow"/>
                <w:sz w:val="20"/>
              </w:rPr>
              <w:t>–</w:t>
            </w:r>
            <w:r>
              <w:rPr>
                <w:rFonts w:ascii="Arial Narrow" w:hAnsi="Arial Narrow"/>
                <w:sz w:val="20"/>
              </w:rPr>
              <w:t>70% stenosis; 3 = &gt;70% stenosis.</w:t>
            </w:r>
          </w:p>
        </w:tc>
      </w:tr>
      <w:tr w:rsidR="00FC159D" w:rsidRPr="00CF4E70" w14:paraId="1D2D07B4" w14:textId="77777777" w:rsidTr="00BE5D7C">
        <w:tc>
          <w:tcPr>
            <w:tcW w:w="505" w:type="pct"/>
          </w:tcPr>
          <w:p w14:paraId="2B9F4574"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Sramko et al. (2013)</w:t>
            </w:r>
          </w:p>
          <w:p w14:paraId="1838311C"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Czech Republic</w:t>
            </w:r>
          </w:p>
        </w:tc>
        <w:tc>
          <w:tcPr>
            <w:tcW w:w="707" w:type="pct"/>
          </w:tcPr>
          <w:p w14:paraId="3EC0BAF7"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w:t>
            </w:r>
          </w:p>
          <w:p w14:paraId="02D16DA0"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37674913"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Quality: low risk of bias</w:t>
            </w:r>
          </w:p>
          <w:p w14:paraId="106B2F5B"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6B7023">
              <w:rPr>
                <w:rFonts w:ascii="Arial Narrow" w:eastAsiaTheme="minorHAnsi" w:hAnsi="Arial Narrow" w:cstheme="minorHAnsi"/>
                <w:sz w:val="20"/>
                <w:lang w:eastAsia="en-US"/>
              </w:rPr>
              <w:sym w:font="Wingdings" w:char="F04A"/>
            </w:r>
          </w:p>
          <w:p w14:paraId="7B046B2E"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A"/>
            </w:r>
          </w:p>
          <w:p w14:paraId="7390BB98"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C"/>
            </w:r>
          </w:p>
          <w:p w14:paraId="1279A80A"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A"/>
            </w:r>
          </w:p>
          <w:p w14:paraId="603037CF"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6B7023">
              <w:rPr>
                <w:rFonts w:ascii="Arial Narrow" w:eastAsiaTheme="minorHAnsi" w:hAnsi="Arial Narrow" w:cstheme="minorHAnsi"/>
                <w:sz w:val="20"/>
                <w:lang w:eastAsia="en-US"/>
              </w:rPr>
              <w:sym w:font="Wingdings" w:char="F04C"/>
            </w:r>
          </w:p>
        </w:tc>
        <w:tc>
          <w:tcPr>
            <w:tcW w:w="758" w:type="pct"/>
          </w:tcPr>
          <w:p w14:paraId="34D9F889" w14:textId="019E180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42 patients with DCM and a history of HF &lt;6</w:t>
            </w:r>
            <w:r w:rsidR="00B57E7A">
              <w:rPr>
                <w:rFonts w:ascii="Arial Narrow" w:hAnsi="Arial Narrow"/>
                <w:sz w:val="20"/>
              </w:rPr>
              <w:t> </w:t>
            </w:r>
            <w:r>
              <w:rPr>
                <w:rFonts w:ascii="Arial Narrow" w:hAnsi="Arial Narrow"/>
                <w:sz w:val="20"/>
              </w:rPr>
              <w:t>months.</w:t>
            </w:r>
          </w:p>
          <w:p w14:paraId="29206EAC"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 xml:space="preserve">Mean age and gender: </w:t>
            </w:r>
          </w:p>
          <w:p w14:paraId="5C427A39" w14:textId="5A58F032"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Idiopathic DCM: 45 ± 12</w:t>
            </w:r>
            <w:r w:rsidR="00132719">
              <w:rPr>
                <w:rFonts w:ascii="Arial Narrow" w:hAnsi="Arial Narrow"/>
                <w:sz w:val="20"/>
              </w:rPr>
              <w:t> years</w:t>
            </w:r>
            <w:r>
              <w:rPr>
                <w:rFonts w:ascii="Arial Narrow" w:hAnsi="Arial Narrow"/>
                <w:sz w:val="20"/>
              </w:rPr>
              <w:t>, 19/27 men (70%)</w:t>
            </w:r>
          </w:p>
          <w:p w14:paraId="7D57D051" w14:textId="2103949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Inflammatory DCM: 42 ± 8</w:t>
            </w:r>
            <w:r w:rsidR="00132719">
              <w:rPr>
                <w:rFonts w:ascii="Arial Narrow" w:hAnsi="Arial Narrow"/>
                <w:sz w:val="20"/>
              </w:rPr>
              <w:t> years</w:t>
            </w:r>
            <w:r>
              <w:rPr>
                <w:rFonts w:ascii="Arial Narrow" w:hAnsi="Arial Narrow"/>
                <w:sz w:val="20"/>
              </w:rPr>
              <w:t>, 11/15 men (73%)</w:t>
            </w:r>
          </w:p>
          <w:p w14:paraId="2CDFBE0B"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 xml:space="preserve"> </w:t>
            </w:r>
          </w:p>
        </w:tc>
        <w:tc>
          <w:tcPr>
            <w:tcW w:w="1010" w:type="pct"/>
          </w:tcPr>
          <w:p w14:paraId="1E8A8756"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4376B1D4" w14:textId="7C3AD5F9" w:rsidR="00FC159D" w:rsidRDefault="00FC159D" w:rsidP="004C79C1">
            <w:pPr>
              <w:keepNext/>
              <w:spacing w:before="0" w:after="120" w:line="240" w:lineRule="auto"/>
              <w:ind w:right="-57"/>
              <w:rPr>
                <w:rFonts w:ascii="Arial Narrow" w:hAnsi="Arial Narrow"/>
                <w:sz w:val="20"/>
              </w:rPr>
            </w:pPr>
            <w:r>
              <w:rPr>
                <w:rFonts w:ascii="Arial Narrow" w:hAnsi="Arial Narrow"/>
                <w:sz w:val="20"/>
              </w:rPr>
              <w:t xml:space="preserve">Presence of left ventricular dilation and LVEF &lt;45% in the absence of </w:t>
            </w:r>
            <w:r w:rsidR="00132719">
              <w:rPr>
                <w:rFonts w:ascii="Arial Narrow" w:hAnsi="Arial Narrow"/>
                <w:sz w:val="20"/>
              </w:rPr>
              <w:t>CAD</w:t>
            </w:r>
            <w:r>
              <w:rPr>
                <w:rFonts w:ascii="Arial Narrow" w:hAnsi="Arial Narrow"/>
                <w:sz w:val="20"/>
              </w:rPr>
              <w:t xml:space="preserve"> (ruled out by cardiac cath</w:t>
            </w:r>
            <w:r w:rsidR="00564024">
              <w:rPr>
                <w:rFonts w:ascii="Arial Narrow" w:hAnsi="Arial Narrow"/>
                <w:sz w:val="20"/>
              </w:rPr>
              <w:t>et</w:t>
            </w:r>
            <w:r>
              <w:rPr>
                <w:rFonts w:ascii="Arial Narrow" w:hAnsi="Arial Narrow"/>
                <w:sz w:val="20"/>
              </w:rPr>
              <w:t>erisation, severe systemic arterial hypertension, and primary valve disease</w:t>
            </w:r>
            <w:r w:rsidR="00132719">
              <w:rPr>
                <w:rFonts w:ascii="Arial Narrow" w:hAnsi="Arial Narrow"/>
                <w:sz w:val="20"/>
              </w:rPr>
              <w:t>)</w:t>
            </w:r>
          </w:p>
          <w:p w14:paraId="3B90E5B6" w14:textId="77777777" w:rsidR="00FC159D" w:rsidRDefault="00FC159D" w:rsidP="004C79C1">
            <w:pPr>
              <w:keepNext/>
              <w:spacing w:before="0" w:after="120" w:line="240" w:lineRule="auto"/>
              <w:ind w:right="-57"/>
              <w:rPr>
                <w:rFonts w:ascii="Arial Narrow" w:hAnsi="Arial Narrow"/>
                <w:sz w:val="20"/>
              </w:rPr>
            </w:pPr>
          </w:p>
          <w:p w14:paraId="40C94CD6"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05957FCB" w14:textId="77777777" w:rsidR="00FC159D" w:rsidRPr="004D3C75" w:rsidRDefault="00FC159D" w:rsidP="004C79C1">
            <w:pPr>
              <w:keepNext/>
              <w:spacing w:before="0" w:after="120" w:line="240" w:lineRule="auto"/>
              <w:ind w:right="-57"/>
              <w:rPr>
                <w:rFonts w:ascii="Arial Narrow" w:hAnsi="Arial Narrow"/>
                <w:b/>
                <w:sz w:val="20"/>
              </w:rPr>
            </w:pPr>
            <w:r>
              <w:rPr>
                <w:rFonts w:ascii="Arial Narrow" w:hAnsi="Arial Narrow"/>
                <w:sz w:val="20"/>
              </w:rPr>
              <w:t>A history of drug abuse, excessive alcohol consumption and/or presenting with sustained supraventricular tachyarrhythmias</w:t>
            </w:r>
          </w:p>
        </w:tc>
        <w:tc>
          <w:tcPr>
            <w:tcW w:w="959" w:type="pct"/>
          </w:tcPr>
          <w:p w14:paraId="53543E40" w14:textId="101EC48E"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sidR="00B57E7A">
              <w:rPr>
                <w:rFonts w:ascii="Arial Narrow" w:hAnsi="Arial Narrow"/>
                <w:b/>
                <w:sz w:val="20"/>
              </w:rPr>
              <w:t xml:space="preserve"> </w:t>
            </w:r>
            <w:r>
              <w:rPr>
                <w:rFonts w:ascii="Arial Narrow" w:hAnsi="Arial Narrow"/>
                <w:sz w:val="20"/>
              </w:rPr>
              <w:t xml:space="preserve">1.5T scanner (Avanto, Siemens medical solutions, Erlangen, Germany) </w:t>
            </w:r>
          </w:p>
          <w:p w14:paraId="61E4FD3B"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0A63AA">
              <w:rPr>
                <w:rFonts w:ascii="Arial Narrow" w:hAnsi="Arial Narrow"/>
                <w:sz w:val="20"/>
              </w:rPr>
              <w:t>phase-sensitive inversion-recovery sequence</w:t>
            </w:r>
          </w:p>
          <w:p w14:paraId="28D3B46D" w14:textId="5AE3E3EF" w:rsidR="00FC159D" w:rsidRPr="000A63AA" w:rsidRDefault="00FC159D" w:rsidP="004C79C1">
            <w:pPr>
              <w:spacing w:before="0" w:after="120" w:line="240" w:lineRule="auto"/>
              <w:ind w:right="-57"/>
              <w:rPr>
                <w:rFonts w:ascii="Arial Narrow" w:hAnsi="Arial Narrow"/>
                <w:sz w:val="20"/>
              </w:rPr>
            </w:pPr>
            <w:r>
              <w:rPr>
                <w:rFonts w:ascii="Arial Narrow" w:hAnsi="Arial Narrow"/>
                <w:b/>
                <w:sz w:val="20"/>
              </w:rPr>
              <w:t xml:space="preserve">Contrast agent: </w:t>
            </w:r>
            <w:r>
              <w:rPr>
                <w:rFonts w:ascii="Arial Narrow" w:hAnsi="Arial Narrow"/>
                <w:sz w:val="20"/>
              </w:rPr>
              <w:t>0.2</w:t>
            </w:r>
            <w:r w:rsidR="00132719">
              <w:rPr>
                <w:rFonts w:ascii="Arial Narrow" w:hAnsi="Arial Narrow"/>
                <w:sz w:val="20"/>
              </w:rPr>
              <w:t> </w:t>
            </w:r>
            <w:r>
              <w:rPr>
                <w:rFonts w:ascii="Arial Narrow" w:hAnsi="Arial Narrow"/>
                <w:sz w:val="20"/>
              </w:rPr>
              <w:t>mmol/kg Gadobutrol, 10–15</w:t>
            </w:r>
            <w:r w:rsidR="00132719">
              <w:rPr>
                <w:rFonts w:ascii="Arial Narrow" w:hAnsi="Arial Narrow"/>
                <w:sz w:val="20"/>
              </w:rPr>
              <w:t>-</w:t>
            </w:r>
            <w:r>
              <w:rPr>
                <w:rFonts w:ascii="Arial Narrow" w:hAnsi="Arial Narrow"/>
                <w:sz w:val="20"/>
              </w:rPr>
              <w:t>min</w:t>
            </w:r>
            <w:r w:rsidR="00132719">
              <w:rPr>
                <w:rFonts w:ascii="Arial Narrow" w:hAnsi="Arial Narrow"/>
                <w:sz w:val="20"/>
              </w:rPr>
              <w:t>ute</w:t>
            </w:r>
            <w:r>
              <w:rPr>
                <w:rFonts w:ascii="Arial Narrow" w:hAnsi="Arial Narrow"/>
                <w:sz w:val="20"/>
              </w:rPr>
              <w:t xml:space="preserve"> delay</w:t>
            </w:r>
          </w:p>
        </w:tc>
        <w:tc>
          <w:tcPr>
            <w:tcW w:w="1061" w:type="pct"/>
          </w:tcPr>
          <w:p w14:paraId="5CBD73F7"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w:t>
            </w:r>
          </w:p>
          <w:p w14:paraId="6B16B7AD" w14:textId="752AECDF" w:rsidR="00FC159D" w:rsidRDefault="008D767A" w:rsidP="004C79C1">
            <w:pPr>
              <w:keepNext/>
              <w:spacing w:before="0" w:after="120" w:line="240" w:lineRule="auto"/>
              <w:ind w:right="-57"/>
              <w:rPr>
                <w:rFonts w:ascii="Arial Narrow" w:hAnsi="Arial Narrow"/>
                <w:b/>
                <w:sz w:val="20"/>
              </w:rPr>
            </w:pPr>
            <w:r>
              <w:rPr>
                <w:rFonts w:ascii="Arial Narrow" w:hAnsi="Arial Narrow"/>
                <w:b/>
                <w:sz w:val="20"/>
              </w:rPr>
              <w:t>EMB</w:t>
            </w:r>
            <w:r w:rsidR="00FC159D">
              <w:rPr>
                <w:rFonts w:ascii="Arial Narrow" w:hAnsi="Arial Narrow"/>
                <w:b/>
                <w:sz w:val="20"/>
              </w:rPr>
              <w:t>:</w:t>
            </w:r>
          </w:p>
          <w:p w14:paraId="619145BB" w14:textId="3964A1F3" w:rsidR="00FC159D" w:rsidRPr="000A63AA" w:rsidRDefault="00FC159D" w:rsidP="004C79C1">
            <w:pPr>
              <w:keepNext/>
              <w:spacing w:before="0" w:after="120" w:line="240" w:lineRule="auto"/>
              <w:ind w:right="-57"/>
              <w:rPr>
                <w:rFonts w:ascii="Arial Narrow" w:hAnsi="Arial Narrow"/>
                <w:sz w:val="20"/>
              </w:rPr>
            </w:pPr>
            <w:r>
              <w:rPr>
                <w:rFonts w:ascii="Arial Narrow" w:hAnsi="Arial Narrow"/>
                <w:sz w:val="20"/>
              </w:rPr>
              <w:t xml:space="preserve">Biopsy was done by way of the internal jugular vein using a flexible bioptome under fluoroscopic guidance. Immunohistochemistry for the characterisation of inflammatory cell infiltrates was performed on paraffin sections treated with monoclonal antibodies. Quantitative </w:t>
            </w:r>
            <w:r w:rsidR="00D357AB">
              <w:rPr>
                <w:rFonts w:ascii="Arial Narrow" w:hAnsi="Arial Narrow"/>
                <w:sz w:val="20"/>
              </w:rPr>
              <w:t>PCR</w:t>
            </w:r>
            <w:r>
              <w:rPr>
                <w:rFonts w:ascii="Arial Narrow" w:hAnsi="Arial Narrow"/>
                <w:sz w:val="20"/>
              </w:rPr>
              <w:t xml:space="preserve"> was performed for the detection of common cardiotropic viruses in the specimens.</w:t>
            </w:r>
          </w:p>
        </w:tc>
      </w:tr>
      <w:tr w:rsidR="00FC159D" w:rsidRPr="00CF4E70" w14:paraId="37C889B0" w14:textId="77777777" w:rsidTr="00BE5D7C">
        <w:tc>
          <w:tcPr>
            <w:tcW w:w="505" w:type="pct"/>
          </w:tcPr>
          <w:p w14:paraId="638D4607"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Valle-Munoz et al. (2009)</w:t>
            </w:r>
          </w:p>
          <w:p w14:paraId="3DC458E1"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Spain</w:t>
            </w:r>
          </w:p>
        </w:tc>
        <w:tc>
          <w:tcPr>
            <w:tcW w:w="707" w:type="pct"/>
          </w:tcPr>
          <w:p w14:paraId="30927D84"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w:t>
            </w:r>
          </w:p>
          <w:p w14:paraId="7EE5F941"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57983DAE"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Quality: low risk of bias</w:t>
            </w:r>
          </w:p>
          <w:p w14:paraId="06831AD9"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3C2452">
              <w:rPr>
                <w:rFonts w:ascii="Arial Narrow" w:eastAsiaTheme="minorHAnsi" w:hAnsi="Arial Narrow" w:cstheme="minorHAnsi"/>
                <w:sz w:val="20"/>
                <w:lang w:eastAsia="en-US"/>
              </w:rPr>
              <w:sym w:font="Wingdings" w:char="F04A"/>
            </w:r>
          </w:p>
          <w:p w14:paraId="6EA9BA1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AA45D0">
              <w:rPr>
                <w:rFonts w:ascii="Arial Narrow" w:eastAsiaTheme="minorHAnsi" w:hAnsi="Arial Narrow" w:cstheme="minorHAnsi"/>
                <w:sz w:val="20"/>
                <w:lang w:eastAsia="en-US"/>
              </w:rPr>
              <w:sym w:font="Wingdings" w:char="F04A"/>
            </w:r>
          </w:p>
          <w:p w14:paraId="0055EF16"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AA45D0">
              <w:rPr>
                <w:rFonts w:ascii="Arial Narrow" w:eastAsiaTheme="minorHAnsi" w:hAnsi="Arial Narrow" w:cstheme="minorHAnsi"/>
                <w:sz w:val="20"/>
                <w:lang w:eastAsia="en-US"/>
              </w:rPr>
              <w:sym w:font="Wingdings" w:char="F04A"/>
            </w:r>
          </w:p>
          <w:p w14:paraId="7BC1DEE7"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lastRenderedPageBreak/>
              <w:t>Flow and timing</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579141CC"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3C2452">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AA45D0">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AA45D0">
              <w:rPr>
                <w:rFonts w:ascii="Arial Narrow" w:eastAsiaTheme="minorHAnsi" w:hAnsi="Arial Narrow" w:cstheme="minorHAnsi"/>
                <w:sz w:val="20"/>
                <w:lang w:eastAsia="en-US"/>
              </w:rPr>
              <w:sym w:font="Wingdings" w:char="F04A"/>
            </w:r>
          </w:p>
        </w:tc>
        <w:tc>
          <w:tcPr>
            <w:tcW w:w="758" w:type="pct"/>
          </w:tcPr>
          <w:p w14:paraId="7A961D53"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lastRenderedPageBreak/>
              <w:t>100 consecutive patients admitted with acute HF and LV systolic dysfunction (dilated).</w:t>
            </w:r>
          </w:p>
          <w:p w14:paraId="6BF000C5" w14:textId="77777777" w:rsidR="00FC159D" w:rsidRDefault="00FC159D" w:rsidP="004C79C1">
            <w:pPr>
              <w:keepNext/>
              <w:tabs>
                <w:tab w:val="left" w:pos="89"/>
              </w:tabs>
              <w:spacing w:before="0" w:after="120" w:line="240" w:lineRule="auto"/>
              <w:ind w:right="-57"/>
              <w:rPr>
                <w:rFonts w:ascii="Arial Narrow" w:hAnsi="Arial Narrow"/>
                <w:sz w:val="20"/>
              </w:rPr>
            </w:pPr>
          </w:p>
          <w:p w14:paraId="715A7D13" w14:textId="5C2413F4"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60.4 ± 14.1</w:t>
            </w:r>
            <w:r w:rsidR="008E211E">
              <w:rPr>
                <w:rFonts w:ascii="Arial Narrow" w:hAnsi="Arial Narrow"/>
                <w:sz w:val="20"/>
              </w:rPr>
              <w:t> years</w:t>
            </w:r>
          </w:p>
          <w:p w14:paraId="377D3751"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68/100 men (68%)</w:t>
            </w:r>
          </w:p>
        </w:tc>
        <w:tc>
          <w:tcPr>
            <w:tcW w:w="1010" w:type="pct"/>
          </w:tcPr>
          <w:p w14:paraId="59BFEA2D"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3287B2B0" w14:textId="3AD90EA2" w:rsidR="00FC159D" w:rsidRPr="00E3122F" w:rsidRDefault="00FC159D" w:rsidP="004C79C1">
            <w:pPr>
              <w:keepNext/>
              <w:spacing w:before="0" w:after="120" w:line="240" w:lineRule="auto"/>
              <w:ind w:right="-57"/>
              <w:rPr>
                <w:rFonts w:ascii="Arial Narrow" w:hAnsi="Arial Narrow"/>
                <w:sz w:val="20"/>
              </w:rPr>
            </w:pPr>
            <w:r>
              <w:rPr>
                <w:rFonts w:ascii="Arial Narrow" w:hAnsi="Arial Narrow"/>
                <w:sz w:val="20"/>
              </w:rPr>
              <w:t>Clinical presentation and ECG evidence of LV systolic dysfunction (LVEF</w:t>
            </w:r>
            <w:r w:rsidR="007B4FF9">
              <w:rPr>
                <w:rFonts w:ascii="Arial Narrow" w:hAnsi="Arial Narrow"/>
                <w:sz w:val="20"/>
              </w:rPr>
              <w:t xml:space="preserve"> </w:t>
            </w:r>
            <w:r>
              <w:rPr>
                <w:rFonts w:ascii="Arial Narrow" w:hAnsi="Arial Narrow"/>
                <w:sz w:val="20"/>
              </w:rPr>
              <w:t>&lt;40%), increased LV end-diastolic diameter (&gt;95</w:t>
            </w:r>
            <w:r w:rsidRPr="001170AB">
              <w:rPr>
                <w:rFonts w:ascii="Arial Narrow" w:hAnsi="Arial Narrow"/>
                <w:sz w:val="20"/>
              </w:rPr>
              <w:t>th</w:t>
            </w:r>
            <w:r>
              <w:rPr>
                <w:rFonts w:ascii="Arial Narrow" w:hAnsi="Arial Narrow"/>
                <w:sz w:val="20"/>
              </w:rPr>
              <w:t xml:space="preserve"> percentile according to size)</w:t>
            </w:r>
          </w:p>
          <w:p w14:paraId="1ADEEAD3"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74E34ECE" w14:textId="7774AA03" w:rsidR="00FC159D" w:rsidRPr="00D07454" w:rsidRDefault="00FC159D" w:rsidP="004C79C1">
            <w:pPr>
              <w:keepNext/>
              <w:spacing w:before="0" w:after="120" w:line="240" w:lineRule="auto"/>
              <w:ind w:right="-57"/>
              <w:rPr>
                <w:rFonts w:ascii="Arial Narrow" w:hAnsi="Arial Narrow"/>
                <w:sz w:val="20"/>
              </w:rPr>
            </w:pPr>
            <w:r>
              <w:rPr>
                <w:rFonts w:ascii="Arial Narrow" w:hAnsi="Arial Narrow"/>
                <w:sz w:val="20"/>
              </w:rPr>
              <w:lastRenderedPageBreak/>
              <w:t xml:space="preserve">Previous history of CAD, Q waves on the ECG consistent with criteria established for infarction, </w:t>
            </w:r>
            <w:r w:rsidR="00783817">
              <w:rPr>
                <w:rFonts w:ascii="Arial Narrow" w:hAnsi="Arial Narrow"/>
                <w:sz w:val="20"/>
              </w:rPr>
              <w:t>available diagnostic data</w:t>
            </w:r>
            <w:r>
              <w:rPr>
                <w:rFonts w:ascii="Arial Narrow" w:hAnsi="Arial Narrow"/>
                <w:sz w:val="20"/>
              </w:rPr>
              <w:t xml:space="preserve"> at the time of diagnosis to suggest CAD, contraindications for CMR, </w:t>
            </w:r>
            <w:r w:rsidR="00783817">
              <w:rPr>
                <w:rFonts w:ascii="Arial Narrow" w:hAnsi="Arial Narrow"/>
                <w:sz w:val="20"/>
              </w:rPr>
              <w:t>available diagnostic data</w:t>
            </w:r>
            <w:r>
              <w:rPr>
                <w:rFonts w:ascii="Arial Narrow" w:hAnsi="Arial Narrow"/>
                <w:sz w:val="20"/>
              </w:rPr>
              <w:t xml:space="preserve"> suggesting HCM, infiltrative heart disease, or myocarditis</w:t>
            </w:r>
          </w:p>
        </w:tc>
        <w:tc>
          <w:tcPr>
            <w:tcW w:w="959" w:type="pct"/>
          </w:tcPr>
          <w:p w14:paraId="4F5330D7" w14:textId="403C0538" w:rsidR="00FC159D" w:rsidRDefault="00FC159D" w:rsidP="004C79C1">
            <w:pPr>
              <w:spacing w:before="0" w:after="120" w:line="240" w:lineRule="auto"/>
              <w:ind w:right="-57"/>
              <w:rPr>
                <w:rFonts w:ascii="Arial Narrow" w:hAnsi="Arial Narrow"/>
                <w:sz w:val="20"/>
              </w:rPr>
            </w:pPr>
            <w:r>
              <w:rPr>
                <w:rFonts w:ascii="Arial Narrow" w:hAnsi="Arial Narrow"/>
                <w:b/>
                <w:sz w:val="20"/>
              </w:rPr>
              <w:lastRenderedPageBreak/>
              <w:t>Scanner:</w:t>
            </w:r>
            <w:r w:rsidR="007B4FF9">
              <w:rPr>
                <w:rFonts w:ascii="Arial Narrow" w:hAnsi="Arial Narrow"/>
                <w:b/>
                <w:sz w:val="20"/>
              </w:rPr>
              <w:t xml:space="preserve"> </w:t>
            </w:r>
            <w:r>
              <w:rPr>
                <w:rFonts w:ascii="Arial Narrow" w:hAnsi="Arial Narrow"/>
                <w:sz w:val="20"/>
              </w:rPr>
              <w:t>1.5T scanner (Siemens Sonata Magneto</w:t>
            </w:r>
            <w:r w:rsidR="00166579">
              <w:rPr>
                <w:rFonts w:ascii="Arial Narrow" w:hAnsi="Arial Narrow"/>
                <w:sz w:val="20"/>
              </w:rPr>
              <w:t>m</w:t>
            </w:r>
            <w:r>
              <w:rPr>
                <w:rFonts w:ascii="Arial Narrow" w:hAnsi="Arial Narrow"/>
                <w:sz w:val="20"/>
              </w:rPr>
              <w:t xml:space="preserve">, Erlangen, Germany) </w:t>
            </w:r>
          </w:p>
          <w:p w14:paraId="4585999F"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515A53">
              <w:rPr>
                <w:rFonts w:ascii="Arial Narrow" w:hAnsi="Arial Narrow"/>
                <w:sz w:val="20"/>
              </w:rPr>
              <w:t>3D inversion-recovery</w:t>
            </w:r>
            <w:r>
              <w:rPr>
                <w:rFonts w:ascii="Arial Narrow" w:hAnsi="Arial Narrow"/>
                <w:sz w:val="20"/>
              </w:rPr>
              <w:t xml:space="preserve"> </w:t>
            </w:r>
            <w:r w:rsidRPr="00515A53">
              <w:rPr>
                <w:rFonts w:ascii="Arial Narrow" w:hAnsi="Arial Narrow"/>
                <w:sz w:val="20"/>
              </w:rPr>
              <w:t>gradient-echo pulse sequences</w:t>
            </w:r>
          </w:p>
          <w:p w14:paraId="316349B8" w14:textId="105C03BC"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Pr>
                <w:rFonts w:ascii="Arial Narrow" w:hAnsi="Arial Narrow"/>
                <w:sz w:val="20"/>
              </w:rPr>
              <w:t>0.15</w:t>
            </w:r>
            <w:r w:rsidR="006512AA">
              <w:rPr>
                <w:rFonts w:ascii="Arial Narrow" w:hAnsi="Arial Narrow"/>
                <w:sz w:val="20"/>
              </w:rPr>
              <w:t> </w:t>
            </w:r>
            <w:r>
              <w:rPr>
                <w:rFonts w:ascii="Arial Narrow" w:hAnsi="Arial Narrow"/>
                <w:sz w:val="20"/>
              </w:rPr>
              <w:t xml:space="preserve">mmol/kg </w:t>
            </w:r>
            <w:r w:rsidR="00787D41">
              <w:rPr>
                <w:rFonts w:ascii="Arial Narrow" w:hAnsi="Arial Narrow"/>
                <w:sz w:val="20"/>
              </w:rPr>
              <w:t>Gd</w:t>
            </w:r>
            <w:r>
              <w:rPr>
                <w:rFonts w:ascii="Arial Narrow" w:hAnsi="Arial Narrow"/>
                <w:sz w:val="20"/>
              </w:rPr>
              <w:t>-DTPA, 10</w:t>
            </w:r>
            <w:r w:rsidR="006512AA">
              <w:rPr>
                <w:rFonts w:ascii="Arial Narrow" w:hAnsi="Arial Narrow"/>
                <w:sz w:val="20"/>
              </w:rPr>
              <w:t>-</w:t>
            </w:r>
            <w:r>
              <w:rPr>
                <w:rFonts w:ascii="Arial Narrow" w:hAnsi="Arial Narrow"/>
                <w:sz w:val="20"/>
              </w:rPr>
              <w:t>min</w:t>
            </w:r>
            <w:r w:rsidR="006512AA">
              <w:rPr>
                <w:rFonts w:ascii="Arial Narrow" w:hAnsi="Arial Narrow"/>
                <w:sz w:val="20"/>
              </w:rPr>
              <w:t>ute</w:t>
            </w:r>
            <w:r>
              <w:rPr>
                <w:rFonts w:ascii="Arial Narrow" w:hAnsi="Arial Narrow"/>
                <w:sz w:val="20"/>
              </w:rPr>
              <w:t xml:space="preserve"> delay</w:t>
            </w:r>
          </w:p>
        </w:tc>
        <w:tc>
          <w:tcPr>
            <w:tcW w:w="1061" w:type="pct"/>
          </w:tcPr>
          <w:p w14:paraId="490FF355"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 ICA</w:t>
            </w:r>
          </w:p>
          <w:p w14:paraId="03F6D568" w14:textId="028D8BFA" w:rsidR="00FC159D" w:rsidRDefault="00FC159D" w:rsidP="004C79C1">
            <w:pPr>
              <w:keepNext/>
              <w:spacing w:before="0" w:after="120" w:line="240" w:lineRule="auto"/>
              <w:ind w:right="-57"/>
              <w:rPr>
                <w:rFonts w:ascii="Arial Narrow" w:hAnsi="Arial Narrow"/>
                <w:sz w:val="20"/>
              </w:rPr>
            </w:pPr>
            <w:r w:rsidRPr="003C6F37">
              <w:rPr>
                <w:rFonts w:ascii="Arial Narrow" w:hAnsi="Arial Narrow"/>
                <w:sz w:val="20"/>
              </w:rPr>
              <w:t>A coronary angiogram was performed on all patients in order to</w:t>
            </w:r>
            <w:r>
              <w:rPr>
                <w:rFonts w:ascii="Arial Narrow" w:hAnsi="Arial Narrow"/>
                <w:sz w:val="20"/>
              </w:rPr>
              <w:t xml:space="preserve"> </w:t>
            </w:r>
            <w:r w:rsidRPr="003C6F37">
              <w:rPr>
                <w:rFonts w:ascii="Arial Narrow" w:hAnsi="Arial Narrow"/>
                <w:sz w:val="20"/>
              </w:rPr>
              <w:t xml:space="preserve">determine the presence of significant CAD (stenosis </w:t>
            </w:r>
            <w:r>
              <w:rPr>
                <w:rFonts w:ascii="Arial Narrow" w:hAnsi="Arial Narrow"/>
                <w:sz w:val="20"/>
              </w:rPr>
              <w:t>≥</w:t>
            </w:r>
            <w:r w:rsidRPr="003C6F37">
              <w:rPr>
                <w:rFonts w:ascii="Arial Narrow" w:hAnsi="Arial Narrow"/>
                <w:sz w:val="20"/>
              </w:rPr>
              <w:t>70% in at</w:t>
            </w:r>
            <w:r>
              <w:rPr>
                <w:rFonts w:ascii="Arial Narrow" w:hAnsi="Arial Narrow"/>
                <w:sz w:val="20"/>
              </w:rPr>
              <w:t xml:space="preserve"> </w:t>
            </w:r>
            <w:r w:rsidRPr="003C6F37">
              <w:rPr>
                <w:rFonts w:ascii="Arial Narrow" w:hAnsi="Arial Narrow"/>
                <w:sz w:val="20"/>
              </w:rPr>
              <w:t xml:space="preserve">least </w:t>
            </w:r>
            <w:r w:rsidR="006512AA">
              <w:rPr>
                <w:rFonts w:ascii="Arial Narrow" w:hAnsi="Arial Narrow"/>
                <w:sz w:val="20"/>
              </w:rPr>
              <w:t>1</w:t>
            </w:r>
            <w:r w:rsidR="006512AA" w:rsidRPr="003C6F37">
              <w:rPr>
                <w:rFonts w:ascii="Arial Narrow" w:hAnsi="Arial Narrow"/>
                <w:sz w:val="20"/>
              </w:rPr>
              <w:t xml:space="preserve"> </w:t>
            </w:r>
            <w:r w:rsidRPr="003C6F37">
              <w:rPr>
                <w:rFonts w:ascii="Arial Narrow" w:hAnsi="Arial Narrow"/>
                <w:sz w:val="20"/>
              </w:rPr>
              <w:t>major coronary artery)</w:t>
            </w:r>
            <w:r w:rsidR="00473F0E">
              <w:rPr>
                <w:rFonts w:ascii="Arial Narrow" w:hAnsi="Arial Narrow"/>
                <w:sz w:val="20"/>
              </w:rPr>
              <w:t>,</w:t>
            </w:r>
            <w:r w:rsidRPr="003C6F37">
              <w:rPr>
                <w:rFonts w:ascii="Arial Narrow" w:hAnsi="Arial Narrow"/>
                <w:sz w:val="20"/>
              </w:rPr>
              <w:t xml:space="preserve"> </w:t>
            </w:r>
            <w:r w:rsidR="00473F0E">
              <w:rPr>
                <w:rFonts w:ascii="Arial Narrow" w:hAnsi="Arial Narrow"/>
                <w:sz w:val="20"/>
              </w:rPr>
              <w:t xml:space="preserve">with </w:t>
            </w:r>
            <w:r w:rsidRPr="003C6F37">
              <w:rPr>
                <w:rFonts w:ascii="Arial Narrow" w:hAnsi="Arial Narrow"/>
                <w:sz w:val="20"/>
              </w:rPr>
              <w:t xml:space="preserve">the patients </w:t>
            </w:r>
            <w:r w:rsidR="00473F0E" w:rsidRPr="003C6F37">
              <w:rPr>
                <w:rFonts w:ascii="Arial Narrow" w:hAnsi="Arial Narrow"/>
                <w:sz w:val="20"/>
              </w:rPr>
              <w:t xml:space="preserve">being </w:t>
            </w:r>
            <w:r w:rsidRPr="003C6F37">
              <w:rPr>
                <w:rFonts w:ascii="Arial Narrow" w:hAnsi="Arial Narrow"/>
                <w:sz w:val="20"/>
              </w:rPr>
              <w:t>classified</w:t>
            </w:r>
            <w:r>
              <w:rPr>
                <w:rFonts w:ascii="Arial Narrow" w:hAnsi="Arial Narrow"/>
                <w:sz w:val="20"/>
              </w:rPr>
              <w:t xml:space="preserve"> </w:t>
            </w:r>
            <w:r w:rsidRPr="003C6F37">
              <w:rPr>
                <w:rFonts w:ascii="Arial Narrow" w:hAnsi="Arial Narrow"/>
                <w:sz w:val="20"/>
              </w:rPr>
              <w:t>under two groups according to the angiogram results:</w:t>
            </w:r>
          </w:p>
          <w:p w14:paraId="2F659BDF" w14:textId="71B8CC8C" w:rsidR="00FC159D" w:rsidRPr="003C6F37" w:rsidRDefault="00DB4117" w:rsidP="004C79C1">
            <w:pPr>
              <w:keepNext/>
              <w:spacing w:before="0" w:after="120" w:line="240" w:lineRule="auto"/>
              <w:ind w:left="110" w:right="-57"/>
              <w:rPr>
                <w:rFonts w:ascii="Arial Narrow" w:hAnsi="Arial Narrow"/>
                <w:sz w:val="20"/>
              </w:rPr>
            </w:pPr>
            <w:r>
              <w:rPr>
                <w:rFonts w:ascii="Arial Narrow" w:hAnsi="Arial Narrow"/>
                <w:sz w:val="20"/>
              </w:rPr>
              <w:lastRenderedPageBreak/>
              <w:t>1</w:t>
            </w:r>
            <w:r w:rsidR="00FC159D" w:rsidRPr="003C6F37">
              <w:rPr>
                <w:rFonts w:ascii="Arial Narrow" w:hAnsi="Arial Narrow"/>
                <w:sz w:val="20"/>
              </w:rPr>
              <w:t xml:space="preserve">) </w:t>
            </w:r>
            <w:r w:rsidR="00473F0E">
              <w:rPr>
                <w:rFonts w:ascii="Arial Narrow" w:hAnsi="Arial Narrow"/>
                <w:sz w:val="20"/>
              </w:rPr>
              <w:t>p</w:t>
            </w:r>
            <w:r w:rsidR="00FC159D" w:rsidRPr="003C6F37">
              <w:rPr>
                <w:rFonts w:ascii="Arial Narrow" w:hAnsi="Arial Narrow"/>
                <w:sz w:val="20"/>
              </w:rPr>
              <w:t>atient with</w:t>
            </w:r>
            <w:r w:rsidR="00FC159D">
              <w:rPr>
                <w:rFonts w:ascii="Arial Narrow" w:hAnsi="Arial Narrow"/>
                <w:sz w:val="20"/>
              </w:rPr>
              <w:t xml:space="preserve"> LV dysfunction with significant CAD (CAD+</w:t>
            </w:r>
            <w:r w:rsidR="00FC159D" w:rsidRPr="003C6F37">
              <w:rPr>
                <w:rFonts w:ascii="Arial Narrow" w:hAnsi="Arial Narrow"/>
                <w:sz w:val="20"/>
              </w:rPr>
              <w:t>)</w:t>
            </w:r>
          </w:p>
          <w:p w14:paraId="6819907A" w14:textId="541600F2" w:rsidR="00FC159D" w:rsidRDefault="00DB4117" w:rsidP="004C79C1">
            <w:pPr>
              <w:keepNext/>
              <w:spacing w:before="0" w:after="120" w:line="240" w:lineRule="auto"/>
              <w:ind w:left="110" w:right="-57"/>
              <w:rPr>
                <w:rFonts w:ascii="Arial Narrow" w:hAnsi="Arial Narrow"/>
                <w:b/>
                <w:sz w:val="20"/>
              </w:rPr>
            </w:pPr>
            <w:r>
              <w:rPr>
                <w:rFonts w:ascii="Arial Narrow" w:hAnsi="Arial Narrow"/>
                <w:sz w:val="20"/>
              </w:rPr>
              <w:t>2</w:t>
            </w:r>
            <w:r w:rsidR="00FC159D" w:rsidRPr="003C6F37">
              <w:rPr>
                <w:rFonts w:ascii="Arial Narrow" w:hAnsi="Arial Narrow"/>
                <w:sz w:val="20"/>
              </w:rPr>
              <w:t xml:space="preserve">) </w:t>
            </w:r>
            <w:r w:rsidR="00473F0E">
              <w:rPr>
                <w:rFonts w:ascii="Arial Narrow" w:hAnsi="Arial Narrow"/>
                <w:sz w:val="20"/>
              </w:rPr>
              <w:t>p</w:t>
            </w:r>
            <w:r w:rsidR="00FC159D" w:rsidRPr="003C6F37">
              <w:rPr>
                <w:rFonts w:ascii="Arial Narrow" w:hAnsi="Arial Narrow"/>
                <w:sz w:val="20"/>
              </w:rPr>
              <w:t>atient with LV</w:t>
            </w:r>
            <w:r w:rsidR="00FC159D">
              <w:rPr>
                <w:rFonts w:ascii="Arial Narrow" w:hAnsi="Arial Narrow"/>
                <w:sz w:val="20"/>
              </w:rPr>
              <w:t xml:space="preserve"> dysfunction without significant CAD (NICM)</w:t>
            </w:r>
          </w:p>
        </w:tc>
      </w:tr>
      <w:tr w:rsidR="00FC159D" w:rsidRPr="00CF4E70" w14:paraId="71DC9438" w14:textId="77777777" w:rsidTr="00BE5D7C">
        <w:tc>
          <w:tcPr>
            <w:tcW w:w="505" w:type="pct"/>
          </w:tcPr>
          <w:p w14:paraId="2356F7F6"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 xml:space="preserve">Voigt et al. (2011) </w:t>
            </w:r>
          </w:p>
          <w:p w14:paraId="5A7355BB"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Germany</w:t>
            </w:r>
          </w:p>
        </w:tc>
        <w:tc>
          <w:tcPr>
            <w:tcW w:w="707" w:type="pct"/>
          </w:tcPr>
          <w:p w14:paraId="15ACDE13"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Level: II </w:t>
            </w:r>
          </w:p>
          <w:p w14:paraId="23D02B0A"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040FD197"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Quality: low</w:t>
            </w:r>
            <w:r w:rsidRPr="00335B10">
              <w:rPr>
                <w:rFonts w:ascii="Arial Narrow" w:eastAsiaTheme="minorHAnsi" w:hAnsi="Arial Narrow" w:cstheme="minorHAnsi"/>
                <w:sz w:val="20"/>
                <w:lang w:eastAsia="en-US"/>
              </w:rPr>
              <w:t xml:space="preserve"> risk of bias</w:t>
            </w:r>
          </w:p>
          <w:p w14:paraId="6DE82EBF"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245801">
              <w:rPr>
                <w:rFonts w:ascii="Arial Narrow" w:eastAsiaTheme="minorHAnsi" w:hAnsi="Arial Narrow" w:cstheme="minorHAnsi"/>
                <w:sz w:val="20"/>
                <w:lang w:eastAsia="en-US"/>
              </w:rPr>
              <w:sym w:font="Wingdings" w:char="F04A"/>
            </w:r>
          </w:p>
          <w:p w14:paraId="7F564B9F"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A"/>
            </w:r>
          </w:p>
          <w:p w14:paraId="2CA004E1"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C"/>
            </w:r>
          </w:p>
          <w:p w14:paraId="11E7F7CB"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A"/>
            </w:r>
          </w:p>
          <w:p w14:paraId="0B19E83D"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245801">
              <w:rPr>
                <w:rFonts w:ascii="Arial Narrow" w:eastAsiaTheme="minorHAnsi" w:hAnsi="Arial Narrow" w:cstheme="minorHAnsi"/>
                <w:sz w:val="20"/>
                <w:lang w:eastAsia="en-US"/>
              </w:rPr>
              <w:sym w:font="Wingdings" w:char="F04C"/>
            </w:r>
          </w:p>
        </w:tc>
        <w:tc>
          <w:tcPr>
            <w:tcW w:w="758" w:type="pct"/>
          </w:tcPr>
          <w:p w14:paraId="7BEF1631" w14:textId="6CB6A17E"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23 patients with DCM who underwent EMB</w:t>
            </w:r>
          </w:p>
          <w:p w14:paraId="1E33522F"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and gender:</w:t>
            </w:r>
          </w:p>
          <w:p w14:paraId="31E49CA2" w14:textId="20BC17F4"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Inflammatory lesions absent: 48.0 ± 4.2</w:t>
            </w:r>
            <w:r w:rsidR="00DE4D91">
              <w:rPr>
                <w:rFonts w:ascii="Arial Narrow" w:hAnsi="Arial Narrow"/>
                <w:sz w:val="20"/>
              </w:rPr>
              <w:t> years</w:t>
            </w:r>
            <w:r>
              <w:rPr>
                <w:rFonts w:ascii="Arial Narrow" w:hAnsi="Arial Narrow"/>
                <w:sz w:val="20"/>
              </w:rPr>
              <w:t>, 10/11 men (91%)</w:t>
            </w:r>
          </w:p>
          <w:p w14:paraId="2A59B83D" w14:textId="5431958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Inflammatory lesions present: 47.2 ± 5.2</w:t>
            </w:r>
            <w:r w:rsidR="00DE4D91">
              <w:rPr>
                <w:rFonts w:ascii="Arial Narrow" w:hAnsi="Arial Narrow"/>
                <w:sz w:val="20"/>
              </w:rPr>
              <w:t> years</w:t>
            </w:r>
            <w:r>
              <w:rPr>
                <w:rFonts w:ascii="Arial Narrow" w:hAnsi="Arial Narrow"/>
                <w:sz w:val="20"/>
              </w:rPr>
              <w:t>, 10/12 men (83%)</w:t>
            </w:r>
          </w:p>
        </w:tc>
        <w:tc>
          <w:tcPr>
            <w:tcW w:w="1010" w:type="pct"/>
          </w:tcPr>
          <w:p w14:paraId="4EFDB747"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766D04B1" w14:textId="63890905" w:rsidR="00FC159D" w:rsidRPr="00DC4804" w:rsidRDefault="00FC159D" w:rsidP="004C79C1">
            <w:pPr>
              <w:keepNext/>
              <w:spacing w:before="0" w:after="120" w:line="240" w:lineRule="auto"/>
              <w:ind w:right="-57"/>
              <w:rPr>
                <w:rFonts w:ascii="Arial Narrow" w:hAnsi="Arial Narrow"/>
                <w:sz w:val="20"/>
              </w:rPr>
            </w:pPr>
            <w:r>
              <w:rPr>
                <w:rFonts w:ascii="Arial Narrow" w:hAnsi="Arial Narrow"/>
                <w:sz w:val="20"/>
              </w:rPr>
              <w:t xml:space="preserve">Unexplained chronic </w:t>
            </w:r>
            <w:r w:rsidR="00DE4D91">
              <w:rPr>
                <w:rFonts w:ascii="Arial Narrow" w:hAnsi="Arial Narrow"/>
                <w:sz w:val="20"/>
              </w:rPr>
              <w:t>HF</w:t>
            </w:r>
            <w:r>
              <w:rPr>
                <w:rFonts w:ascii="Arial Narrow" w:hAnsi="Arial Narrow"/>
                <w:sz w:val="20"/>
              </w:rPr>
              <w:t xml:space="preserve"> (</w:t>
            </w:r>
            <w:r w:rsidR="00DE4D91">
              <w:rPr>
                <w:rFonts w:ascii="Arial Narrow" w:hAnsi="Arial Narrow"/>
                <w:sz w:val="20"/>
              </w:rPr>
              <w:t xml:space="preserve">class </w:t>
            </w:r>
            <w:r>
              <w:rPr>
                <w:rFonts w:ascii="Arial Narrow" w:hAnsi="Arial Narrow"/>
                <w:sz w:val="20"/>
              </w:rPr>
              <w:t>II</w:t>
            </w:r>
            <w:r w:rsidR="00CF025F">
              <w:rPr>
                <w:rFonts w:ascii="Arial Narrow" w:hAnsi="Arial Narrow"/>
                <w:sz w:val="20"/>
              </w:rPr>
              <w:t>–</w:t>
            </w:r>
            <w:r>
              <w:rPr>
                <w:rFonts w:ascii="Arial Narrow" w:hAnsi="Arial Narrow"/>
                <w:sz w:val="20"/>
              </w:rPr>
              <w:t>III); disease duration of &gt;3</w:t>
            </w:r>
            <w:r w:rsidR="007B4FF9">
              <w:rPr>
                <w:rFonts w:ascii="Arial Narrow" w:hAnsi="Arial Narrow"/>
                <w:sz w:val="20"/>
              </w:rPr>
              <w:t> </w:t>
            </w:r>
            <w:r>
              <w:rPr>
                <w:rFonts w:ascii="Arial Narrow" w:hAnsi="Arial Narrow"/>
                <w:sz w:val="20"/>
              </w:rPr>
              <w:t>mont</w:t>
            </w:r>
            <w:r w:rsidR="007B4FF9">
              <w:rPr>
                <w:rFonts w:ascii="Arial Narrow" w:hAnsi="Arial Narrow"/>
                <w:sz w:val="20"/>
              </w:rPr>
              <w:t>h</w:t>
            </w:r>
            <w:r>
              <w:rPr>
                <w:rFonts w:ascii="Arial Narrow" w:hAnsi="Arial Narrow"/>
                <w:sz w:val="20"/>
              </w:rPr>
              <w:t xml:space="preserve">s; </w:t>
            </w:r>
            <w:r w:rsidR="00BC777C">
              <w:rPr>
                <w:rFonts w:ascii="Arial Narrow" w:hAnsi="Arial Narrow"/>
                <w:sz w:val="20"/>
              </w:rPr>
              <w:t>E</w:t>
            </w:r>
            <w:r>
              <w:rPr>
                <w:rFonts w:ascii="Arial Narrow" w:hAnsi="Arial Narrow"/>
                <w:sz w:val="20"/>
              </w:rPr>
              <w:t>cho LV end-diastolic diameter &gt;55</w:t>
            </w:r>
            <w:r w:rsidR="007B4FF9">
              <w:rPr>
                <w:rFonts w:ascii="Arial Narrow" w:hAnsi="Arial Narrow"/>
                <w:sz w:val="20"/>
              </w:rPr>
              <w:t> </w:t>
            </w:r>
            <w:r>
              <w:rPr>
                <w:rFonts w:ascii="Arial Narrow" w:hAnsi="Arial Narrow"/>
                <w:sz w:val="20"/>
              </w:rPr>
              <w:t xml:space="preserve">mm; LVEF ≤45%, exclusion of relevant CAD by ICA; exclusion of other primary disease </w:t>
            </w:r>
            <w:r w:rsidR="00BC777C">
              <w:rPr>
                <w:rFonts w:ascii="Arial Narrow" w:hAnsi="Arial Narrow"/>
                <w:sz w:val="20"/>
              </w:rPr>
              <w:t>(</w:t>
            </w:r>
            <w:r>
              <w:rPr>
                <w:rFonts w:ascii="Arial Narrow" w:hAnsi="Arial Narrow"/>
                <w:sz w:val="20"/>
              </w:rPr>
              <w:t>e.g. hypertension, valvular heart disease, congenital heart disease and chronic alcohol excess</w:t>
            </w:r>
            <w:r w:rsidR="00BC777C">
              <w:rPr>
                <w:rFonts w:ascii="Arial Narrow" w:hAnsi="Arial Narrow"/>
                <w:sz w:val="20"/>
              </w:rPr>
              <w:t>)</w:t>
            </w:r>
            <w:r>
              <w:rPr>
                <w:rFonts w:ascii="Arial Narrow" w:hAnsi="Arial Narrow"/>
                <w:sz w:val="20"/>
              </w:rPr>
              <w:t xml:space="preserve"> that may lead to chronic </w:t>
            </w:r>
            <w:r w:rsidR="00BC777C">
              <w:rPr>
                <w:rFonts w:ascii="Arial Narrow" w:hAnsi="Arial Narrow"/>
                <w:sz w:val="20"/>
              </w:rPr>
              <w:t>HF</w:t>
            </w:r>
            <w:r>
              <w:rPr>
                <w:rFonts w:ascii="Arial Narrow" w:hAnsi="Arial Narrow"/>
                <w:sz w:val="20"/>
              </w:rPr>
              <w:t>; no clinical suspicion of acute myocarditis or MI, no recent symptoms of viral illness, no history of pericarditis</w:t>
            </w:r>
            <w:r w:rsidR="00EA2A16">
              <w:rPr>
                <w:rFonts w:ascii="Arial Narrow" w:hAnsi="Arial Narrow"/>
                <w:sz w:val="20"/>
              </w:rPr>
              <w:t>-</w:t>
            </w:r>
            <w:r>
              <w:rPr>
                <w:rFonts w:ascii="Arial Narrow" w:hAnsi="Arial Narrow"/>
                <w:sz w:val="20"/>
              </w:rPr>
              <w:t>type chest pain, no ECG changes suggestive of pericarditis or acute myocardial injury; no clinical suspicion of cardiac amyloidosis, sarcoidosis or hemochromatosis</w:t>
            </w:r>
          </w:p>
        </w:tc>
        <w:tc>
          <w:tcPr>
            <w:tcW w:w="959" w:type="pct"/>
          </w:tcPr>
          <w:p w14:paraId="4F59FBB4" w14:textId="6D4E93AC"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sidR="007B4FF9">
              <w:rPr>
                <w:rFonts w:ascii="Arial Narrow" w:hAnsi="Arial Narrow"/>
                <w:b/>
                <w:sz w:val="20"/>
              </w:rPr>
              <w:t xml:space="preserve"> </w:t>
            </w:r>
            <w:r>
              <w:rPr>
                <w:rFonts w:ascii="Arial Narrow" w:hAnsi="Arial Narrow"/>
                <w:sz w:val="20"/>
              </w:rPr>
              <w:t xml:space="preserve">1.5T scanner (Siemens Magnetom Sonata or Magnetom Avanto, Erlangen, Germany) </w:t>
            </w:r>
          </w:p>
          <w:p w14:paraId="4A19F68A" w14:textId="06B3730A"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0A63AA">
              <w:rPr>
                <w:rFonts w:ascii="Arial Narrow" w:hAnsi="Arial Narrow"/>
                <w:sz w:val="20"/>
              </w:rPr>
              <w:t>inversion-recovery</w:t>
            </w:r>
            <w:r>
              <w:rPr>
                <w:rFonts w:ascii="Arial Narrow" w:hAnsi="Arial Narrow"/>
                <w:sz w:val="20"/>
              </w:rPr>
              <w:t xml:space="preserve"> gradient</w:t>
            </w:r>
            <w:r w:rsidR="0092431A">
              <w:rPr>
                <w:rFonts w:ascii="Arial Narrow" w:hAnsi="Arial Narrow"/>
                <w:sz w:val="20"/>
              </w:rPr>
              <w:t>-</w:t>
            </w:r>
            <w:r>
              <w:rPr>
                <w:rFonts w:ascii="Arial Narrow" w:hAnsi="Arial Narrow"/>
                <w:sz w:val="20"/>
              </w:rPr>
              <w:t>echo</w:t>
            </w:r>
            <w:r w:rsidRPr="000A63AA">
              <w:rPr>
                <w:rFonts w:ascii="Arial Narrow" w:hAnsi="Arial Narrow"/>
                <w:sz w:val="20"/>
              </w:rPr>
              <w:t xml:space="preserve"> sequence</w:t>
            </w:r>
          </w:p>
          <w:p w14:paraId="6113F747" w14:textId="2AF38364"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Pr>
                <w:rFonts w:ascii="Arial Narrow" w:hAnsi="Arial Narrow"/>
                <w:sz w:val="20"/>
              </w:rPr>
              <w:t>0.1</w:t>
            </w:r>
            <w:r w:rsidR="0092431A">
              <w:rPr>
                <w:rFonts w:ascii="Arial Narrow" w:hAnsi="Arial Narrow"/>
                <w:sz w:val="20"/>
              </w:rPr>
              <w:t> </w:t>
            </w:r>
            <w:r>
              <w:rPr>
                <w:rFonts w:ascii="Arial Narrow" w:hAnsi="Arial Narrow"/>
                <w:sz w:val="20"/>
              </w:rPr>
              <w:t>mmol/kg Gd-DTPA, 4</w:t>
            </w:r>
            <w:r w:rsidR="0092431A">
              <w:rPr>
                <w:rFonts w:ascii="Arial Narrow" w:hAnsi="Arial Narrow"/>
                <w:sz w:val="20"/>
              </w:rPr>
              <w:t>-</w:t>
            </w:r>
            <w:r>
              <w:rPr>
                <w:rFonts w:ascii="Arial Narrow" w:hAnsi="Arial Narrow"/>
                <w:sz w:val="20"/>
              </w:rPr>
              <w:t>minute delay</w:t>
            </w:r>
            <w:r w:rsidR="00F73926">
              <w:rPr>
                <w:rFonts w:ascii="Arial Narrow" w:hAnsi="Arial Narrow"/>
                <w:sz w:val="20"/>
              </w:rPr>
              <w:t>;</w:t>
            </w:r>
            <w:r>
              <w:rPr>
                <w:rFonts w:ascii="Arial Narrow" w:hAnsi="Arial Narrow"/>
                <w:sz w:val="20"/>
              </w:rPr>
              <w:t xml:space="preserve"> additional imaging 10</w:t>
            </w:r>
            <w:r w:rsidR="007B4FF9">
              <w:rPr>
                <w:rFonts w:ascii="Arial Narrow" w:hAnsi="Arial Narrow"/>
                <w:sz w:val="20"/>
              </w:rPr>
              <w:t>–</w:t>
            </w:r>
            <w:r>
              <w:rPr>
                <w:rFonts w:ascii="Arial Narrow" w:hAnsi="Arial Narrow"/>
                <w:sz w:val="20"/>
              </w:rPr>
              <w:t>15</w:t>
            </w:r>
            <w:r w:rsidR="0092431A">
              <w:rPr>
                <w:rFonts w:ascii="Arial Narrow" w:hAnsi="Arial Narrow"/>
                <w:sz w:val="20"/>
              </w:rPr>
              <w:t> </w:t>
            </w:r>
            <w:r>
              <w:rPr>
                <w:rFonts w:ascii="Arial Narrow" w:hAnsi="Arial Narrow"/>
                <w:sz w:val="20"/>
              </w:rPr>
              <w:t>min</w:t>
            </w:r>
            <w:r w:rsidR="0092431A">
              <w:rPr>
                <w:rFonts w:ascii="Arial Narrow" w:hAnsi="Arial Narrow"/>
                <w:sz w:val="20"/>
              </w:rPr>
              <w:t>utes</w:t>
            </w:r>
            <w:r>
              <w:rPr>
                <w:rFonts w:ascii="Arial Narrow" w:hAnsi="Arial Narrow"/>
                <w:sz w:val="20"/>
              </w:rPr>
              <w:t xml:space="preserve"> after an additional dose of</w:t>
            </w:r>
            <w:r w:rsidR="0092431A">
              <w:rPr>
                <w:rFonts w:ascii="Arial Narrow" w:hAnsi="Arial Narrow"/>
                <w:sz w:val="20"/>
              </w:rPr>
              <w:t xml:space="preserve"> 0</w:t>
            </w:r>
            <w:r>
              <w:rPr>
                <w:rFonts w:ascii="Arial Narrow" w:hAnsi="Arial Narrow"/>
                <w:sz w:val="20"/>
              </w:rPr>
              <w:t>.1</w:t>
            </w:r>
            <w:r w:rsidR="0092431A">
              <w:rPr>
                <w:rFonts w:ascii="Arial Narrow" w:hAnsi="Arial Narrow"/>
                <w:sz w:val="20"/>
              </w:rPr>
              <w:t> </w:t>
            </w:r>
            <w:r>
              <w:rPr>
                <w:rFonts w:ascii="Arial Narrow" w:hAnsi="Arial Narrow"/>
                <w:sz w:val="20"/>
              </w:rPr>
              <w:t>mmol/kg Gd-DTPA</w:t>
            </w:r>
          </w:p>
        </w:tc>
        <w:tc>
          <w:tcPr>
            <w:tcW w:w="1061" w:type="pct"/>
          </w:tcPr>
          <w:p w14:paraId="56025541"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Reference standard:</w:t>
            </w:r>
          </w:p>
          <w:p w14:paraId="328D7F1F" w14:textId="26139B66"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w:t>
            </w:r>
            <w:r w:rsidR="00EA2A16">
              <w:rPr>
                <w:rFonts w:ascii="Arial Narrow" w:hAnsi="Arial Narrow"/>
                <w:b/>
                <w:sz w:val="20"/>
              </w:rPr>
              <w:t>MB</w:t>
            </w:r>
            <w:r>
              <w:rPr>
                <w:rFonts w:ascii="Arial Narrow" w:hAnsi="Arial Narrow"/>
                <w:b/>
                <w:sz w:val="20"/>
              </w:rPr>
              <w:t>:</w:t>
            </w:r>
          </w:p>
          <w:p w14:paraId="1F7BAC7D" w14:textId="7A1D44A9" w:rsidR="00D74DC5" w:rsidRDefault="00FC159D" w:rsidP="004C79C1">
            <w:pPr>
              <w:keepNext/>
              <w:spacing w:before="0" w:after="120" w:line="240" w:lineRule="auto"/>
              <w:ind w:right="-57"/>
              <w:rPr>
                <w:rFonts w:ascii="Arial Narrow" w:hAnsi="Arial Narrow"/>
                <w:sz w:val="20"/>
              </w:rPr>
            </w:pPr>
            <w:r>
              <w:rPr>
                <w:rFonts w:ascii="Arial Narrow" w:hAnsi="Arial Narrow"/>
                <w:sz w:val="20"/>
              </w:rPr>
              <w:t>A minimum of 4 biopsy specimens were harvested under sterile conditions from the interventricular septum and/or left ventricular free wall. Biopsy specimens were investigated within 24</w:t>
            </w:r>
            <w:r w:rsidR="00EA2A16">
              <w:rPr>
                <w:rFonts w:ascii="Arial Narrow" w:hAnsi="Arial Narrow"/>
                <w:sz w:val="20"/>
              </w:rPr>
              <w:t> </w:t>
            </w:r>
            <w:r>
              <w:rPr>
                <w:rFonts w:ascii="Arial Narrow" w:hAnsi="Arial Narrow"/>
                <w:sz w:val="20"/>
              </w:rPr>
              <w:t>hours, and acute myocarditis was excluded based on the Dallas criteria.</w:t>
            </w:r>
          </w:p>
          <w:p w14:paraId="2527F435" w14:textId="7D771A1A" w:rsidR="00D74DC5" w:rsidRDefault="00FC159D" w:rsidP="004C79C1">
            <w:pPr>
              <w:keepNext/>
              <w:spacing w:before="0" w:after="120" w:line="240" w:lineRule="auto"/>
              <w:ind w:right="-57"/>
              <w:rPr>
                <w:rFonts w:ascii="Arial Narrow" w:hAnsi="Arial Narrow"/>
                <w:sz w:val="20"/>
              </w:rPr>
            </w:pPr>
            <w:r>
              <w:rPr>
                <w:rFonts w:ascii="Arial Narrow" w:hAnsi="Arial Narrow"/>
                <w:sz w:val="20"/>
              </w:rPr>
              <w:t xml:space="preserve"> </w:t>
            </w:r>
            <w:r w:rsidR="00D74DC5">
              <w:rPr>
                <w:rFonts w:ascii="Arial Narrow" w:hAnsi="Arial Narrow"/>
                <w:sz w:val="20"/>
              </w:rPr>
              <w:t>D</w:t>
            </w:r>
            <w:r>
              <w:rPr>
                <w:rFonts w:ascii="Arial Narrow" w:hAnsi="Arial Narrow"/>
                <w:sz w:val="20"/>
              </w:rPr>
              <w:t xml:space="preserve">efinition of myocardial inflammation: </w:t>
            </w:r>
          </w:p>
          <w:p w14:paraId="7952A04D" w14:textId="2BEDF661" w:rsidR="00FC159D" w:rsidRPr="00CE2414" w:rsidRDefault="00FC159D" w:rsidP="004C79C1">
            <w:pPr>
              <w:keepNext/>
              <w:spacing w:before="0" w:after="120" w:line="240" w:lineRule="auto"/>
              <w:ind w:left="110" w:right="-57"/>
              <w:rPr>
                <w:rFonts w:ascii="Arial Narrow" w:hAnsi="Arial Narrow"/>
                <w:sz w:val="20"/>
              </w:rPr>
            </w:pPr>
            <w:r>
              <w:rPr>
                <w:rFonts w:ascii="Arial Narrow" w:hAnsi="Arial Narrow"/>
                <w:sz w:val="20"/>
              </w:rPr>
              <w:t>1) ≥14 CD3-positive T-l</w:t>
            </w:r>
            <w:r w:rsidRPr="00CE2414">
              <w:rPr>
                <w:rFonts w:ascii="Arial Narrow" w:hAnsi="Arial Narrow"/>
                <w:sz w:val="20"/>
              </w:rPr>
              <w:t>ymphocytes and/</w:t>
            </w:r>
            <w:r>
              <w:rPr>
                <w:rFonts w:ascii="Arial Narrow" w:hAnsi="Arial Narrow"/>
                <w:sz w:val="20"/>
              </w:rPr>
              <w:t xml:space="preserve"> </w:t>
            </w:r>
            <w:r w:rsidRPr="00CE2414">
              <w:rPr>
                <w:rFonts w:ascii="Arial Narrow" w:hAnsi="Arial Narrow"/>
                <w:sz w:val="20"/>
              </w:rPr>
              <w:t>or C</w:t>
            </w:r>
            <w:r>
              <w:rPr>
                <w:rFonts w:ascii="Arial Narrow" w:hAnsi="Arial Narrow"/>
                <w:sz w:val="20"/>
              </w:rPr>
              <w:t>D68-positive macrophages</w:t>
            </w:r>
            <w:r w:rsidR="00D74DC5">
              <w:rPr>
                <w:rFonts w:ascii="Arial Narrow" w:hAnsi="Arial Narrow"/>
                <w:sz w:val="20"/>
              </w:rPr>
              <w:t>/</w:t>
            </w:r>
            <w:r>
              <w:rPr>
                <w:rFonts w:ascii="Arial Narrow" w:hAnsi="Arial Narrow"/>
                <w:sz w:val="20"/>
              </w:rPr>
              <w:t>mm</w:t>
            </w:r>
            <w:r>
              <w:rPr>
                <w:rFonts w:ascii="Arial Narrow" w:hAnsi="Arial Narrow"/>
                <w:sz w:val="20"/>
                <w:vertAlign w:val="superscript"/>
              </w:rPr>
              <w:t>2</w:t>
            </w:r>
            <w:r>
              <w:rPr>
                <w:rFonts w:ascii="Arial Narrow" w:hAnsi="Arial Narrow"/>
                <w:sz w:val="20"/>
              </w:rPr>
              <w:t xml:space="preserve"> detected by immu</w:t>
            </w:r>
            <w:r w:rsidRPr="00CE2414">
              <w:rPr>
                <w:rFonts w:ascii="Arial Narrow" w:hAnsi="Arial Narrow"/>
                <w:sz w:val="20"/>
              </w:rPr>
              <w:t xml:space="preserve">nochemistry in a diffuse or focal pattern </w:t>
            </w:r>
            <w:r w:rsidR="00D74DC5">
              <w:rPr>
                <w:rFonts w:ascii="Arial Narrow" w:hAnsi="Arial Narrow"/>
                <w:sz w:val="20"/>
              </w:rPr>
              <w:br/>
            </w:r>
            <w:r w:rsidRPr="00CE2414">
              <w:rPr>
                <w:rFonts w:ascii="Arial Narrow" w:hAnsi="Arial Narrow"/>
                <w:sz w:val="20"/>
              </w:rPr>
              <w:t>2)</w:t>
            </w:r>
            <w:r>
              <w:rPr>
                <w:rFonts w:ascii="Arial Narrow" w:hAnsi="Arial Narrow"/>
                <w:sz w:val="20"/>
              </w:rPr>
              <w:t xml:space="preserve"> </w:t>
            </w:r>
            <w:r w:rsidRPr="00CE2414">
              <w:rPr>
                <w:rFonts w:ascii="Arial Narrow" w:hAnsi="Arial Narrow"/>
                <w:sz w:val="20"/>
              </w:rPr>
              <w:t>enhanced</w:t>
            </w:r>
            <w:r>
              <w:rPr>
                <w:rFonts w:ascii="Arial Narrow" w:hAnsi="Arial Narrow"/>
                <w:sz w:val="20"/>
              </w:rPr>
              <w:t xml:space="preserve"> </w:t>
            </w:r>
            <w:r w:rsidRPr="00CE2414">
              <w:rPr>
                <w:rFonts w:ascii="Arial Narrow" w:hAnsi="Arial Narrow"/>
                <w:sz w:val="20"/>
              </w:rPr>
              <w:t>expression of HLA class II molecules</w:t>
            </w:r>
          </w:p>
        </w:tc>
      </w:tr>
      <w:tr w:rsidR="00FC159D" w:rsidRPr="00CF4E70" w14:paraId="5CE477D1" w14:textId="77777777" w:rsidTr="00BE5D7C">
        <w:tc>
          <w:tcPr>
            <w:tcW w:w="505" w:type="pct"/>
          </w:tcPr>
          <w:p w14:paraId="362F1810"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Won et al. (2015)</w:t>
            </w:r>
          </w:p>
          <w:p w14:paraId="47BAF10F" w14:textId="0070FBC0" w:rsidR="00FC159D" w:rsidRPr="00CF4E7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US</w:t>
            </w:r>
            <w:r w:rsidR="00F73926">
              <w:rPr>
                <w:rFonts w:ascii="Arial Narrow" w:eastAsiaTheme="minorHAnsi" w:hAnsi="Arial Narrow" w:cstheme="minorHAnsi"/>
                <w:sz w:val="20"/>
                <w:lang w:eastAsia="en-US"/>
              </w:rPr>
              <w:t>A</w:t>
            </w:r>
          </w:p>
        </w:tc>
        <w:tc>
          <w:tcPr>
            <w:tcW w:w="707" w:type="pct"/>
          </w:tcPr>
          <w:p w14:paraId="69BE9EB8"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Level: II</w:t>
            </w:r>
          </w:p>
          <w:p w14:paraId="50DBE39E"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1EB7F805"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Quality: low risk of bias</w:t>
            </w:r>
          </w:p>
          <w:p w14:paraId="12B2A692"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Patient selection</w:t>
            </w:r>
            <w:proofErr w:type="gramStart"/>
            <w:r w:rsidRPr="00335B10">
              <w:rPr>
                <w:rFonts w:ascii="Arial Narrow" w:eastAsiaTheme="minorHAnsi" w:hAnsi="Arial Narrow" w:cstheme="minorHAnsi"/>
                <w:sz w:val="20"/>
                <w:lang w:eastAsia="en-US"/>
              </w:rPr>
              <w:t xml:space="preserve">: </w:t>
            </w:r>
            <w:r>
              <w:rPr>
                <w:rFonts w:ascii="Arial Narrow" w:eastAsiaTheme="minorHAnsi" w:hAnsi="Arial Narrow" w:cstheme="minorHAnsi"/>
                <w:sz w:val="20"/>
                <w:lang w:eastAsia="en-US"/>
              </w:rPr>
              <w:t>?</w:t>
            </w:r>
            <w:proofErr w:type="gramEnd"/>
          </w:p>
          <w:p w14:paraId="6AACDED7"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Pr>
                <w:rFonts w:ascii="Arial Narrow" w:eastAsiaTheme="minorHAnsi" w:hAnsi="Arial Narrow" w:cstheme="minorHAnsi"/>
                <w:sz w:val="20"/>
                <w:lang w:eastAsia="en-US"/>
              </w:rPr>
              <w:t xml:space="preserve"> </w:t>
            </w:r>
            <w:r w:rsidRPr="00F3405D">
              <w:rPr>
                <w:rFonts w:ascii="Arial Narrow" w:eastAsiaTheme="minorHAnsi" w:hAnsi="Arial Narrow" w:cstheme="minorHAnsi"/>
                <w:sz w:val="20"/>
                <w:lang w:eastAsia="en-US"/>
              </w:rPr>
              <w:sym w:font="Wingdings" w:char="F04A"/>
            </w:r>
          </w:p>
          <w:p w14:paraId="04EDD9F7"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sidRPr="00F3405D">
              <w:rPr>
                <w:rFonts w:ascii="Arial Narrow" w:eastAsiaTheme="minorHAnsi" w:hAnsi="Arial Narrow" w:cstheme="minorHAnsi"/>
                <w:sz w:val="20"/>
                <w:lang w:eastAsia="en-US"/>
              </w:rPr>
              <w:sym w:font="Wingdings" w:char="F04A"/>
            </w:r>
          </w:p>
          <w:p w14:paraId="33CF95DF"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3DB56E3E"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Pr>
                <w:rFonts w:ascii="Arial Narrow" w:eastAsiaTheme="minorHAnsi" w:hAnsi="Arial Narrow" w:cstheme="minorHAnsi"/>
                <w:sz w:val="20"/>
                <w:lang w:eastAsia="en-US"/>
              </w:rPr>
              <w:t xml:space="preserve"> </w:t>
            </w:r>
            <w:r w:rsidRPr="00F3405D">
              <w:rPr>
                <w:rFonts w:ascii="Arial Narrow" w:eastAsiaTheme="minorHAnsi" w:hAnsi="Arial Narrow" w:cstheme="minorHAnsi"/>
                <w:sz w:val="20"/>
                <w:lang w:eastAsia="en-US"/>
              </w:rPr>
              <w:sym w:font="Wingdings" w:char="F04C"/>
            </w:r>
            <w:r>
              <w:rPr>
                <w:rFonts w:ascii="Arial Narrow" w:eastAsiaTheme="minorHAnsi" w:hAnsi="Arial Narrow" w:cstheme="minorHAnsi"/>
                <w:sz w:val="20"/>
                <w:lang w:eastAsia="en-US"/>
              </w:rPr>
              <w:t xml:space="preserve"> </w:t>
            </w:r>
            <w:r w:rsidRPr="00F3405D">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F3405D">
              <w:rPr>
                <w:rFonts w:ascii="Arial Narrow" w:eastAsiaTheme="minorHAnsi" w:hAnsi="Arial Narrow" w:cstheme="minorHAnsi"/>
                <w:sz w:val="20"/>
                <w:lang w:eastAsia="en-US"/>
              </w:rPr>
              <w:sym w:font="Wingdings" w:char="F04A"/>
            </w:r>
          </w:p>
        </w:tc>
        <w:tc>
          <w:tcPr>
            <w:tcW w:w="758" w:type="pct"/>
          </w:tcPr>
          <w:p w14:paraId="74531F61" w14:textId="436C8DE8"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lastRenderedPageBreak/>
              <w:t>83 patients undergoing CMR within 2</w:t>
            </w:r>
            <w:r w:rsidR="00E0553A">
              <w:rPr>
                <w:rFonts w:ascii="Arial Narrow" w:hAnsi="Arial Narrow"/>
                <w:sz w:val="20"/>
              </w:rPr>
              <w:t> </w:t>
            </w:r>
            <w:r>
              <w:rPr>
                <w:rFonts w:ascii="Arial Narrow" w:hAnsi="Arial Narrow"/>
                <w:sz w:val="20"/>
              </w:rPr>
              <w:t xml:space="preserve">months of a new diagnosis of HF </w:t>
            </w:r>
            <w:r>
              <w:rPr>
                <w:rFonts w:ascii="Arial Narrow" w:hAnsi="Arial Narrow"/>
                <w:sz w:val="20"/>
              </w:rPr>
              <w:lastRenderedPageBreak/>
              <w:t>with LVEF ≤40% and a coronary angiogram within 6</w:t>
            </w:r>
            <w:r w:rsidR="001D52CF">
              <w:rPr>
                <w:rFonts w:ascii="Arial Narrow" w:hAnsi="Arial Narrow"/>
                <w:sz w:val="20"/>
              </w:rPr>
              <w:t> </w:t>
            </w:r>
            <w:r>
              <w:rPr>
                <w:rFonts w:ascii="Arial Narrow" w:hAnsi="Arial Narrow"/>
                <w:sz w:val="20"/>
              </w:rPr>
              <w:t>months of the CMR scan</w:t>
            </w:r>
          </w:p>
          <w:p w14:paraId="33E7CACB" w14:textId="77777777" w:rsidR="00FC159D" w:rsidRDefault="00FC159D" w:rsidP="004C79C1">
            <w:pPr>
              <w:keepNext/>
              <w:tabs>
                <w:tab w:val="left" w:pos="89"/>
              </w:tabs>
              <w:spacing w:before="0" w:after="120" w:line="240" w:lineRule="auto"/>
              <w:ind w:right="-57"/>
              <w:rPr>
                <w:rFonts w:ascii="Arial Narrow" w:hAnsi="Arial Narrow"/>
                <w:sz w:val="20"/>
              </w:rPr>
            </w:pPr>
          </w:p>
          <w:p w14:paraId="5E5B9FA4" w14:textId="67773D1D"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58.8 ± 12.1</w:t>
            </w:r>
            <w:r w:rsidR="00E0553A">
              <w:rPr>
                <w:rFonts w:ascii="Arial Narrow" w:hAnsi="Arial Narrow"/>
                <w:sz w:val="20"/>
              </w:rPr>
              <w:t> years</w:t>
            </w:r>
          </w:p>
          <w:p w14:paraId="7C0844DF"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59 men (70.8%)</w:t>
            </w:r>
          </w:p>
        </w:tc>
        <w:tc>
          <w:tcPr>
            <w:tcW w:w="1010" w:type="pct"/>
          </w:tcPr>
          <w:p w14:paraId="6447073C"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Exclusion criteria:</w:t>
            </w:r>
          </w:p>
          <w:p w14:paraId="13ED7C1D" w14:textId="228D6108" w:rsidR="00FC159D" w:rsidRPr="00A107DB" w:rsidRDefault="00FC159D" w:rsidP="004C79C1">
            <w:pPr>
              <w:keepNext/>
              <w:spacing w:before="0" w:after="120" w:line="240" w:lineRule="auto"/>
              <w:ind w:right="-57"/>
              <w:rPr>
                <w:rFonts w:ascii="Arial Narrow" w:hAnsi="Arial Narrow"/>
                <w:sz w:val="20"/>
              </w:rPr>
            </w:pPr>
            <w:r>
              <w:rPr>
                <w:rFonts w:ascii="Arial Narrow" w:hAnsi="Arial Narrow"/>
                <w:sz w:val="20"/>
              </w:rPr>
              <w:t>K</w:t>
            </w:r>
            <w:r w:rsidRPr="00A107DB">
              <w:rPr>
                <w:rFonts w:ascii="Arial Narrow" w:hAnsi="Arial Narrow"/>
                <w:sz w:val="20"/>
              </w:rPr>
              <w:t xml:space="preserve">nown history of severe CAD, previous myocardial infarction or </w:t>
            </w:r>
            <w:r w:rsidRPr="00A107DB">
              <w:rPr>
                <w:rFonts w:ascii="Arial Narrow" w:hAnsi="Arial Narrow"/>
                <w:sz w:val="20"/>
              </w:rPr>
              <w:lastRenderedPageBreak/>
              <w:t>prev</w:t>
            </w:r>
            <w:r>
              <w:rPr>
                <w:rFonts w:ascii="Arial Narrow" w:hAnsi="Arial Narrow"/>
                <w:sz w:val="20"/>
              </w:rPr>
              <w:t xml:space="preserve">ious coronary revascularisation; known history of structural heart disease such as HCM or congenital heart disease; evidence of severe left-sided valvular disease; or diagnosis of ST-segment elevation myocardial infarction on admission </w:t>
            </w:r>
          </w:p>
        </w:tc>
        <w:tc>
          <w:tcPr>
            <w:tcW w:w="959" w:type="pct"/>
          </w:tcPr>
          <w:p w14:paraId="18BF2CEB" w14:textId="77777777" w:rsidR="00FC159D" w:rsidRDefault="00FC159D" w:rsidP="004C79C1">
            <w:pPr>
              <w:spacing w:before="0" w:after="120" w:line="240" w:lineRule="auto"/>
              <w:ind w:right="-57"/>
              <w:rPr>
                <w:rFonts w:ascii="Arial Narrow" w:hAnsi="Arial Narrow"/>
                <w:b/>
                <w:sz w:val="20"/>
              </w:rPr>
            </w:pPr>
            <w:r>
              <w:rPr>
                <w:rFonts w:ascii="Arial Narrow" w:hAnsi="Arial Narrow"/>
                <w:b/>
                <w:sz w:val="20"/>
              </w:rPr>
              <w:lastRenderedPageBreak/>
              <w:t>Scanner</w:t>
            </w:r>
            <w:r w:rsidRPr="00A107DB">
              <w:rPr>
                <w:rFonts w:ascii="Arial Narrow" w:hAnsi="Arial Narrow"/>
                <w:sz w:val="20"/>
              </w:rPr>
              <w:t>: 1.5T or 3.0T</w:t>
            </w:r>
            <w:r>
              <w:rPr>
                <w:rFonts w:ascii="Arial Narrow" w:hAnsi="Arial Narrow"/>
                <w:sz w:val="20"/>
              </w:rPr>
              <w:t xml:space="preserve"> MRI system (Avanto, Timtrio, or Verio; Siemens, Erlangen, </w:t>
            </w:r>
            <w:r>
              <w:rPr>
                <w:rFonts w:ascii="Arial Narrow" w:hAnsi="Arial Narrow"/>
                <w:sz w:val="20"/>
              </w:rPr>
              <w:lastRenderedPageBreak/>
              <w:t>Germany)</w:t>
            </w:r>
          </w:p>
          <w:p w14:paraId="792AF8AD" w14:textId="464B7CB5"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sidRPr="00EE10A8">
              <w:rPr>
                <w:rFonts w:ascii="Arial Narrow" w:hAnsi="Arial Narrow"/>
                <w:sz w:val="20"/>
              </w:rPr>
              <w:t>CMR was</w:t>
            </w:r>
            <w:r>
              <w:rPr>
                <w:rFonts w:ascii="Arial Narrow" w:hAnsi="Arial Narrow"/>
                <w:sz w:val="20"/>
              </w:rPr>
              <w:t xml:space="preserve"> performed using a standard clinical protocol for evaluation of patients with </w:t>
            </w:r>
            <w:r w:rsidR="00E0553A">
              <w:rPr>
                <w:rFonts w:ascii="Arial Narrow" w:hAnsi="Arial Narrow"/>
                <w:sz w:val="20"/>
              </w:rPr>
              <w:t>CM</w:t>
            </w:r>
            <w:r>
              <w:rPr>
                <w:rFonts w:ascii="Arial Narrow" w:hAnsi="Arial Narrow"/>
                <w:sz w:val="20"/>
              </w:rPr>
              <w:t>, including use of LGE sequences, cine images and</w:t>
            </w:r>
            <w:r w:rsidR="00E0553A">
              <w:rPr>
                <w:rFonts w:ascii="Arial Narrow" w:hAnsi="Arial Narrow"/>
                <w:sz w:val="20"/>
              </w:rPr>
              <w:t>,</w:t>
            </w:r>
            <w:r>
              <w:rPr>
                <w:rFonts w:ascii="Arial Narrow" w:hAnsi="Arial Narrow"/>
                <w:sz w:val="20"/>
              </w:rPr>
              <w:t xml:space="preserve"> when applicable, resting first</w:t>
            </w:r>
            <w:r w:rsidR="00E0553A">
              <w:rPr>
                <w:rFonts w:ascii="Arial Narrow" w:hAnsi="Arial Narrow"/>
                <w:sz w:val="20"/>
              </w:rPr>
              <w:t>-</w:t>
            </w:r>
            <w:r>
              <w:rPr>
                <w:rFonts w:ascii="Arial Narrow" w:hAnsi="Arial Narrow"/>
                <w:sz w:val="20"/>
              </w:rPr>
              <w:t xml:space="preserve">pass perfusion. </w:t>
            </w:r>
          </w:p>
          <w:p w14:paraId="009305BA" w14:textId="29EE34E8"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Contrast agent: </w:t>
            </w:r>
            <w:r w:rsidR="002C08FE" w:rsidRPr="00EE10A8">
              <w:rPr>
                <w:rFonts w:ascii="Arial Narrow" w:hAnsi="Arial Narrow"/>
                <w:sz w:val="20"/>
              </w:rPr>
              <w:t>G</w:t>
            </w:r>
            <w:r w:rsidR="002C08FE">
              <w:rPr>
                <w:rFonts w:ascii="Arial Narrow" w:hAnsi="Arial Narrow"/>
                <w:sz w:val="20"/>
              </w:rPr>
              <w:t>d</w:t>
            </w:r>
          </w:p>
        </w:tc>
        <w:tc>
          <w:tcPr>
            <w:tcW w:w="1061" w:type="pct"/>
          </w:tcPr>
          <w:p w14:paraId="234F743C"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lastRenderedPageBreak/>
              <w:t>Reference standard: ICA</w:t>
            </w:r>
          </w:p>
          <w:p w14:paraId="3A2AD619" w14:textId="03C13537" w:rsidR="00FC159D" w:rsidRDefault="00FC159D" w:rsidP="004C79C1">
            <w:pPr>
              <w:keepNext/>
              <w:spacing w:before="0" w:after="120" w:line="240" w:lineRule="auto"/>
              <w:ind w:right="-57"/>
              <w:rPr>
                <w:rFonts w:ascii="Arial Narrow" w:hAnsi="Arial Narrow"/>
                <w:sz w:val="20"/>
              </w:rPr>
            </w:pPr>
            <w:r>
              <w:rPr>
                <w:rFonts w:ascii="Arial Narrow" w:hAnsi="Arial Narrow"/>
                <w:sz w:val="20"/>
              </w:rPr>
              <w:t xml:space="preserve">Significant CAD was defined as a ≥70% diameter stenosis in a </w:t>
            </w:r>
            <w:r>
              <w:rPr>
                <w:rFonts w:ascii="Arial Narrow" w:hAnsi="Arial Narrow"/>
                <w:sz w:val="20"/>
              </w:rPr>
              <w:lastRenderedPageBreak/>
              <w:t>coronary ≥2</w:t>
            </w:r>
            <w:r w:rsidR="001D52CF">
              <w:rPr>
                <w:rFonts w:ascii="Arial Narrow" w:hAnsi="Arial Narrow"/>
                <w:sz w:val="20"/>
              </w:rPr>
              <w:t> </w:t>
            </w:r>
            <w:r>
              <w:rPr>
                <w:rFonts w:ascii="Arial Narrow" w:hAnsi="Arial Narrow"/>
                <w:sz w:val="20"/>
              </w:rPr>
              <w:t>mm in calib</w:t>
            </w:r>
            <w:r w:rsidR="00680B1C">
              <w:rPr>
                <w:rFonts w:ascii="Arial Narrow" w:hAnsi="Arial Narrow"/>
                <w:sz w:val="20"/>
              </w:rPr>
              <w:t>re</w:t>
            </w:r>
            <w:r>
              <w:rPr>
                <w:rFonts w:ascii="Arial Narrow" w:hAnsi="Arial Narrow"/>
                <w:sz w:val="20"/>
              </w:rPr>
              <w:t xml:space="preserve"> by visual assessment of the coronary angiogram</w:t>
            </w:r>
            <w:r w:rsidR="00680B1C">
              <w:rPr>
                <w:rFonts w:ascii="Arial Narrow" w:hAnsi="Arial Narrow"/>
                <w:sz w:val="20"/>
              </w:rPr>
              <w:t>,</w:t>
            </w:r>
            <w:r>
              <w:rPr>
                <w:rFonts w:ascii="Arial Narrow" w:hAnsi="Arial Narrow"/>
                <w:sz w:val="20"/>
              </w:rPr>
              <w:t xml:space="preserve"> or pressure gradient &lt;0.80 if fractional flow reserve measurement was performed.</w:t>
            </w:r>
          </w:p>
          <w:p w14:paraId="18645A2F" w14:textId="77777777" w:rsidR="00FC159D" w:rsidRPr="000878FE" w:rsidRDefault="00FC159D" w:rsidP="004C79C1">
            <w:pPr>
              <w:keepNext/>
              <w:spacing w:before="0" w:after="120" w:line="240" w:lineRule="auto"/>
              <w:ind w:right="-57"/>
              <w:rPr>
                <w:rFonts w:ascii="Arial Narrow" w:hAnsi="Arial Narrow"/>
                <w:sz w:val="20"/>
              </w:rPr>
            </w:pPr>
          </w:p>
        </w:tc>
      </w:tr>
      <w:tr w:rsidR="00FC159D" w:rsidRPr="00CF4E70" w14:paraId="394595C6" w14:textId="77777777" w:rsidTr="00BE5D7C">
        <w:tc>
          <w:tcPr>
            <w:tcW w:w="505" w:type="pct"/>
          </w:tcPr>
          <w:p w14:paraId="43D5765A"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Yoshida, Ishibashi-Ueda, et al. (2013)</w:t>
            </w:r>
          </w:p>
          <w:p w14:paraId="6F2A23F9"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Japan</w:t>
            </w:r>
          </w:p>
        </w:tc>
        <w:tc>
          <w:tcPr>
            <w:tcW w:w="707" w:type="pct"/>
          </w:tcPr>
          <w:p w14:paraId="3EB2FA06"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Level: III-1</w:t>
            </w:r>
          </w:p>
          <w:p w14:paraId="732E87AD" w14:textId="77777777" w:rsidR="00FC159D" w:rsidRDefault="00FC159D" w:rsidP="004C79C1">
            <w:pPr>
              <w:spacing w:before="0" w:after="120" w:line="240" w:lineRule="auto"/>
              <w:ind w:right="-57"/>
              <w:rPr>
                <w:rFonts w:ascii="Arial Narrow" w:eastAsiaTheme="minorHAnsi" w:hAnsi="Arial Narrow" w:cstheme="minorHAnsi"/>
                <w:sz w:val="20"/>
                <w:lang w:eastAsia="en-US"/>
              </w:rPr>
            </w:pPr>
          </w:p>
          <w:p w14:paraId="5B17ED55"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Quality: low risk of bias</w:t>
            </w:r>
          </w:p>
          <w:p w14:paraId="3FF8CEE3" w14:textId="6F666FDA"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 xml:space="preserve">Patient selection: </w:t>
            </w:r>
            <w:r w:rsidRPr="00291CF9">
              <w:rPr>
                <w:rFonts w:ascii="Arial Narrow" w:eastAsiaTheme="minorHAnsi" w:hAnsi="Arial Narrow" w:cstheme="minorHAnsi"/>
                <w:sz w:val="20"/>
                <w:lang w:eastAsia="en-US"/>
              </w:rPr>
              <w:sym w:font="Wingdings" w:char="F04A"/>
            </w:r>
          </w:p>
          <w:p w14:paraId="4725C1B7"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Index test:</w:t>
            </w:r>
            <w:r w:rsidRPr="00291CF9">
              <w:rPr>
                <w:rFonts w:ascii="Arial Narrow" w:eastAsiaTheme="minorHAnsi" w:hAnsi="Arial Narrow" w:cstheme="minorHAnsi"/>
                <w:sz w:val="20"/>
                <w:lang w:eastAsia="en-US"/>
              </w:rPr>
              <w:sym w:font="Wingdings" w:char="F04A"/>
            </w:r>
          </w:p>
          <w:p w14:paraId="0E856EDD"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Reference standard:</w:t>
            </w:r>
            <w:r>
              <w:rPr>
                <w:rFonts w:ascii="Arial Narrow" w:eastAsiaTheme="minorHAnsi" w:hAnsi="Arial Narrow" w:cstheme="minorHAnsi"/>
                <w:sz w:val="20"/>
                <w:lang w:eastAsia="en-US"/>
              </w:rPr>
              <w:t xml:space="preserve"> </w:t>
            </w:r>
            <w:r w:rsidRPr="00291CF9">
              <w:rPr>
                <w:rFonts w:ascii="Arial Narrow" w:eastAsiaTheme="minorHAnsi" w:hAnsi="Arial Narrow" w:cstheme="minorHAnsi"/>
                <w:sz w:val="20"/>
                <w:lang w:eastAsia="en-US"/>
              </w:rPr>
              <w:sym w:font="Wingdings" w:char="F04A"/>
            </w:r>
          </w:p>
          <w:p w14:paraId="2FFABE8C" w14:textId="77777777" w:rsidR="00FC159D" w:rsidRPr="00335B10"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Flow and timing</w:t>
            </w:r>
            <w:proofErr w:type="gramStart"/>
            <w:r w:rsidRPr="00335B10">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w:t>
            </w:r>
            <w:proofErr w:type="gramEnd"/>
          </w:p>
          <w:p w14:paraId="416CC56B" w14:textId="77777777" w:rsidR="00FC159D" w:rsidRDefault="00FC159D" w:rsidP="004C79C1">
            <w:pPr>
              <w:spacing w:before="0" w:after="120" w:line="240" w:lineRule="auto"/>
              <w:ind w:right="-57"/>
              <w:rPr>
                <w:rFonts w:ascii="Arial Narrow" w:eastAsiaTheme="minorHAnsi" w:hAnsi="Arial Narrow" w:cstheme="minorHAnsi"/>
                <w:sz w:val="20"/>
                <w:lang w:eastAsia="en-US"/>
              </w:rPr>
            </w:pPr>
            <w:r w:rsidRPr="00335B10">
              <w:rPr>
                <w:rFonts w:ascii="Arial Narrow" w:eastAsiaTheme="minorHAnsi" w:hAnsi="Arial Narrow" w:cstheme="minorHAnsi"/>
                <w:sz w:val="20"/>
                <w:lang w:eastAsia="en-US"/>
              </w:rPr>
              <w:t>Applicability:</w:t>
            </w:r>
            <w:r w:rsidRPr="00291CF9">
              <w:rPr>
                <w:rFonts w:ascii="Arial Narrow" w:eastAsiaTheme="minorHAnsi" w:hAnsi="Arial Narrow" w:cstheme="minorHAnsi"/>
                <w:sz w:val="20"/>
                <w:lang w:eastAsia="en-US"/>
              </w:rPr>
              <w:sym w:font="Wingdings" w:char="F04C"/>
            </w:r>
            <w:r>
              <w:rPr>
                <w:rFonts w:ascii="Arial Narrow" w:eastAsiaTheme="minorHAnsi" w:hAnsi="Arial Narrow" w:cstheme="minorHAnsi"/>
                <w:sz w:val="20"/>
                <w:lang w:eastAsia="en-US"/>
              </w:rPr>
              <w:t xml:space="preserve"> </w:t>
            </w:r>
            <w:r w:rsidRPr="00291CF9">
              <w:rPr>
                <w:rFonts w:ascii="Arial Narrow" w:eastAsiaTheme="minorHAnsi" w:hAnsi="Arial Narrow" w:cstheme="minorHAnsi"/>
                <w:sz w:val="20"/>
                <w:lang w:eastAsia="en-US"/>
              </w:rPr>
              <w:sym w:font="Wingdings" w:char="F04A"/>
            </w:r>
            <w:r>
              <w:rPr>
                <w:rFonts w:ascii="Arial Narrow" w:eastAsiaTheme="minorHAnsi" w:hAnsi="Arial Narrow" w:cstheme="minorHAnsi"/>
                <w:sz w:val="20"/>
                <w:lang w:eastAsia="en-US"/>
              </w:rPr>
              <w:t xml:space="preserve"> </w:t>
            </w:r>
            <w:r w:rsidRPr="00291CF9">
              <w:rPr>
                <w:rFonts w:ascii="Arial Narrow" w:eastAsiaTheme="minorHAnsi" w:hAnsi="Arial Narrow" w:cstheme="minorHAnsi"/>
                <w:sz w:val="20"/>
                <w:lang w:eastAsia="en-US"/>
              </w:rPr>
              <w:sym w:font="Wingdings" w:char="F04A"/>
            </w:r>
          </w:p>
        </w:tc>
        <w:tc>
          <w:tcPr>
            <w:tcW w:w="758" w:type="pct"/>
          </w:tcPr>
          <w:p w14:paraId="04DE7B6F" w14:textId="47DDFA93"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136 patients who were admitted for the management of HF, who</w:t>
            </w:r>
            <w:r w:rsidR="00680B1C">
              <w:rPr>
                <w:rFonts w:ascii="Arial Narrow" w:hAnsi="Arial Narrow"/>
                <w:sz w:val="20"/>
              </w:rPr>
              <w:t xml:space="preserve"> </w:t>
            </w:r>
            <w:r>
              <w:rPr>
                <w:rFonts w:ascii="Arial Narrow" w:hAnsi="Arial Narrow"/>
                <w:sz w:val="20"/>
              </w:rPr>
              <w:t>received biopsy and CMR</w:t>
            </w:r>
          </w:p>
          <w:p w14:paraId="6631F177" w14:textId="77777777" w:rsidR="00FC159D" w:rsidRDefault="00FC159D" w:rsidP="004C79C1">
            <w:pPr>
              <w:keepNext/>
              <w:tabs>
                <w:tab w:val="left" w:pos="89"/>
              </w:tabs>
              <w:spacing w:before="0" w:after="120" w:line="240" w:lineRule="auto"/>
              <w:ind w:right="-57"/>
              <w:rPr>
                <w:rFonts w:ascii="Arial Narrow" w:hAnsi="Arial Narrow"/>
                <w:sz w:val="20"/>
              </w:rPr>
            </w:pPr>
          </w:p>
          <w:p w14:paraId="25095F83"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Mean age: 52 ± 17</w:t>
            </w:r>
          </w:p>
          <w:p w14:paraId="73A1F309" w14:textId="77777777" w:rsidR="00FC159D" w:rsidRDefault="00FC159D" w:rsidP="004C79C1">
            <w:pPr>
              <w:keepNext/>
              <w:tabs>
                <w:tab w:val="left" w:pos="89"/>
              </w:tabs>
              <w:spacing w:before="0" w:after="120" w:line="240" w:lineRule="auto"/>
              <w:ind w:right="-57"/>
              <w:rPr>
                <w:rFonts w:ascii="Arial Narrow" w:hAnsi="Arial Narrow"/>
                <w:sz w:val="20"/>
              </w:rPr>
            </w:pPr>
            <w:r>
              <w:rPr>
                <w:rFonts w:ascii="Arial Narrow" w:hAnsi="Arial Narrow"/>
                <w:sz w:val="20"/>
              </w:rPr>
              <w:t>83/136 men (61%)</w:t>
            </w:r>
          </w:p>
        </w:tc>
        <w:tc>
          <w:tcPr>
            <w:tcW w:w="1010" w:type="pct"/>
          </w:tcPr>
          <w:p w14:paraId="26F5A74B"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Inclusion criteria:</w:t>
            </w:r>
          </w:p>
          <w:p w14:paraId="391FA803" w14:textId="7A20E93F" w:rsidR="00FC159D" w:rsidRDefault="00FC159D" w:rsidP="004C79C1">
            <w:pPr>
              <w:keepNext/>
              <w:spacing w:before="0" w:after="120" w:line="240" w:lineRule="auto"/>
              <w:ind w:right="-57"/>
              <w:rPr>
                <w:rFonts w:ascii="Arial Narrow" w:hAnsi="Arial Narrow"/>
                <w:sz w:val="20"/>
              </w:rPr>
            </w:pPr>
            <w:r w:rsidRPr="00843E35">
              <w:rPr>
                <w:rFonts w:ascii="Arial Narrow" w:hAnsi="Arial Narrow"/>
                <w:sz w:val="20"/>
              </w:rPr>
              <w:t xml:space="preserve">Patients admitted to the institution for management of HF, </w:t>
            </w:r>
            <w:r w:rsidR="00680B1C">
              <w:rPr>
                <w:rFonts w:ascii="Arial Narrow" w:hAnsi="Arial Narrow"/>
                <w:sz w:val="20"/>
              </w:rPr>
              <w:t xml:space="preserve">with </w:t>
            </w:r>
            <w:r w:rsidRPr="00843E35">
              <w:rPr>
                <w:rFonts w:ascii="Arial Narrow" w:hAnsi="Arial Narrow"/>
                <w:sz w:val="20"/>
              </w:rPr>
              <w:t>LV hypertrophy</w:t>
            </w:r>
            <w:r>
              <w:rPr>
                <w:rFonts w:ascii="Arial Narrow" w:hAnsi="Arial Narrow"/>
                <w:sz w:val="20"/>
              </w:rPr>
              <w:t xml:space="preserve"> and/or LV dysfunction, who had </w:t>
            </w:r>
            <w:r w:rsidR="00680B1C">
              <w:rPr>
                <w:rFonts w:ascii="Arial Narrow" w:hAnsi="Arial Narrow"/>
                <w:sz w:val="20"/>
              </w:rPr>
              <w:t>EMB</w:t>
            </w:r>
            <w:r>
              <w:rPr>
                <w:rFonts w:ascii="Arial Narrow" w:hAnsi="Arial Narrow"/>
                <w:sz w:val="20"/>
              </w:rPr>
              <w:t xml:space="preserve"> and LGE-CMR</w:t>
            </w:r>
          </w:p>
          <w:p w14:paraId="0E7D44AC" w14:textId="77777777" w:rsidR="00FC159D" w:rsidRDefault="00FC159D" w:rsidP="004C79C1">
            <w:pPr>
              <w:keepNext/>
              <w:spacing w:before="0" w:after="120" w:line="240" w:lineRule="auto"/>
              <w:ind w:right="-57"/>
              <w:rPr>
                <w:rFonts w:ascii="Arial Narrow" w:hAnsi="Arial Narrow"/>
                <w:sz w:val="20"/>
              </w:rPr>
            </w:pPr>
          </w:p>
          <w:p w14:paraId="76C03C32"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Exclusion criteria:</w:t>
            </w:r>
          </w:p>
          <w:p w14:paraId="47D22F78" w14:textId="4FAAED27" w:rsidR="00FC159D" w:rsidRPr="00843E35" w:rsidRDefault="00FC159D" w:rsidP="004C79C1">
            <w:pPr>
              <w:keepNext/>
              <w:spacing w:before="0" w:after="120" w:line="240" w:lineRule="auto"/>
              <w:ind w:right="-57"/>
              <w:rPr>
                <w:rFonts w:ascii="Arial Narrow" w:hAnsi="Arial Narrow"/>
                <w:sz w:val="20"/>
              </w:rPr>
            </w:pPr>
            <w:r>
              <w:rPr>
                <w:rFonts w:ascii="Arial Narrow" w:hAnsi="Arial Narrow"/>
                <w:sz w:val="20"/>
              </w:rPr>
              <w:t xml:space="preserve">Substantial valvular or </w:t>
            </w:r>
            <w:r w:rsidR="007D210E">
              <w:rPr>
                <w:rFonts w:ascii="Arial Narrow" w:hAnsi="Arial Narrow"/>
                <w:sz w:val="20"/>
              </w:rPr>
              <w:t>IHD</w:t>
            </w:r>
            <w:r>
              <w:rPr>
                <w:rFonts w:ascii="Arial Narrow" w:hAnsi="Arial Narrow"/>
                <w:sz w:val="20"/>
              </w:rPr>
              <w:t>; congenital heart disease; constrictive pericarditis; idiopathic restrictive CM; ambiguous final diagnosis; DCM with LVEF &gt;55%, poor-quality CMR; inadequate myocardial biopsy</w:t>
            </w:r>
          </w:p>
        </w:tc>
        <w:tc>
          <w:tcPr>
            <w:tcW w:w="959" w:type="pct"/>
          </w:tcPr>
          <w:p w14:paraId="6573D83F" w14:textId="6B58C217" w:rsidR="00FC159D" w:rsidRDefault="00FC159D" w:rsidP="004C79C1">
            <w:pPr>
              <w:spacing w:before="0" w:after="120" w:line="240" w:lineRule="auto"/>
              <w:ind w:right="-57"/>
              <w:rPr>
                <w:rFonts w:ascii="Arial Narrow" w:hAnsi="Arial Narrow"/>
                <w:sz w:val="20"/>
              </w:rPr>
            </w:pPr>
            <w:r>
              <w:rPr>
                <w:rFonts w:ascii="Arial Narrow" w:hAnsi="Arial Narrow"/>
                <w:b/>
                <w:sz w:val="20"/>
              </w:rPr>
              <w:t>Scanner:</w:t>
            </w:r>
            <w:r w:rsidR="001D52CF">
              <w:rPr>
                <w:rFonts w:ascii="Arial Narrow" w:hAnsi="Arial Narrow"/>
                <w:b/>
                <w:sz w:val="20"/>
              </w:rPr>
              <w:t xml:space="preserve"> </w:t>
            </w:r>
            <w:r>
              <w:rPr>
                <w:rFonts w:ascii="Arial Narrow" w:hAnsi="Arial Narrow"/>
                <w:sz w:val="20"/>
              </w:rPr>
              <w:t>1.5T scanner (Sonata, Siemens Medical Solutions, Erlangen, Germany)</w:t>
            </w:r>
          </w:p>
          <w:p w14:paraId="283BD7EF" w14:textId="6A2F3287" w:rsidR="00FC159D" w:rsidRDefault="00FC159D" w:rsidP="004C79C1">
            <w:pPr>
              <w:spacing w:before="0" w:after="120" w:line="240" w:lineRule="auto"/>
              <w:ind w:right="-57"/>
              <w:rPr>
                <w:rFonts w:ascii="Arial Narrow" w:hAnsi="Arial Narrow"/>
                <w:b/>
                <w:sz w:val="20"/>
              </w:rPr>
            </w:pPr>
            <w:r>
              <w:rPr>
                <w:rFonts w:ascii="Arial Narrow" w:hAnsi="Arial Narrow"/>
                <w:b/>
                <w:sz w:val="20"/>
              </w:rPr>
              <w:t xml:space="preserve">Data inquisition: </w:t>
            </w:r>
            <w:r>
              <w:rPr>
                <w:rFonts w:ascii="Arial Narrow" w:hAnsi="Arial Narrow"/>
                <w:sz w:val="20"/>
              </w:rPr>
              <w:t>a steady-state free precession sequence applied for cine CMR</w:t>
            </w:r>
          </w:p>
          <w:p w14:paraId="1AD7A6A5" w14:textId="2C76006E" w:rsidR="00FC159D" w:rsidRDefault="00FC159D" w:rsidP="004C79C1">
            <w:pPr>
              <w:spacing w:before="0" w:after="120" w:line="240" w:lineRule="auto"/>
              <w:ind w:right="-57"/>
              <w:rPr>
                <w:rFonts w:ascii="Arial Narrow" w:hAnsi="Arial Narrow"/>
                <w:sz w:val="20"/>
              </w:rPr>
            </w:pPr>
            <w:r>
              <w:rPr>
                <w:rFonts w:ascii="Arial Narrow" w:hAnsi="Arial Narrow"/>
                <w:b/>
                <w:sz w:val="20"/>
              </w:rPr>
              <w:t xml:space="preserve">Contrast agent: </w:t>
            </w:r>
            <w:r>
              <w:rPr>
                <w:rFonts w:ascii="Arial Narrow" w:hAnsi="Arial Narrow"/>
                <w:sz w:val="20"/>
              </w:rPr>
              <w:t>0.15</w:t>
            </w:r>
            <w:r w:rsidR="007D210E">
              <w:rPr>
                <w:rFonts w:ascii="Arial Narrow" w:hAnsi="Arial Narrow"/>
                <w:sz w:val="20"/>
              </w:rPr>
              <w:t> </w:t>
            </w:r>
            <w:r>
              <w:rPr>
                <w:rFonts w:ascii="Arial Narrow" w:hAnsi="Arial Narrow"/>
                <w:sz w:val="20"/>
              </w:rPr>
              <w:t xml:space="preserve">mmol/kg </w:t>
            </w:r>
            <w:r w:rsidR="00FF6164">
              <w:rPr>
                <w:rFonts w:ascii="Arial Narrow" w:hAnsi="Arial Narrow"/>
                <w:sz w:val="20"/>
              </w:rPr>
              <w:t>Gd-</w:t>
            </w:r>
            <w:r>
              <w:rPr>
                <w:rFonts w:ascii="Arial Narrow" w:hAnsi="Arial Narrow"/>
                <w:sz w:val="20"/>
              </w:rPr>
              <w:t>DTPA, at 2</w:t>
            </w:r>
            <w:r w:rsidR="007D210E">
              <w:rPr>
                <w:rFonts w:ascii="Arial Narrow" w:hAnsi="Arial Narrow"/>
                <w:sz w:val="20"/>
              </w:rPr>
              <w:t>-</w:t>
            </w:r>
            <w:r>
              <w:rPr>
                <w:rFonts w:ascii="Arial Narrow" w:hAnsi="Arial Narrow"/>
                <w:sz w:val="20"/>
              </w:rPr>
              <w:t>, 5</w:t>
            </w:r>
            <w:r w:rsidR="007D210E">
              <w:rPr>
                <w:rFonts w:ascii="Arial Narrow" w:hAnsi="Arial Narrow"/>
                <w:sz w:val="20"/>
              </w:rPr>
              <w:t>-</w:t>
            </w:r>
            <w:r>
              <w:rPr>
                <w:rFonts w:ascii="Arial Narrow" w:hAnsi="Arial Narrow"/>
                <w:sz w:val="20"/>
              </w:rPr>
              <w:t>, 10</w:t>
            </w:r>
            <w:r w:rsidR="007D210E">
              <w:rPr>
                <w:rFonts w:ascii="Arial Narrow" w:hAnsi="Arial Narrow"/>
                <w:sz w:val="20"/>
              </w:rPr>
              <w:t>-</w:t>
            </w:r>
            <w:r>
              <w:rPr>
                <w:rFonts w:ascii="Arial Narrow" w:hAnsi="Arial Narrow"/>
                <w:sz w:val="20"/>
              </w:rPr>
              <w:t>, and 20</w:t>
            </w:r>
            <w:r w:rsidR="007D210E">
              <w:rPr>
                <w:rFonts w:ascii="Arial Narrow" w:hAnsi="Arial Narrow"/>
                <w:sz w:val="20"/>
              </w:rPr>
              <w:t>-</w:t>
            </w:r>
            <w:r>
              <w:rPr>
                <w:rFonts w:ascii="Arial Narrow" w:hAnsi="Arial Narrow"/>
                <w:sz w:val="20"/>
              </w:rPr>
              <w:t>minute delay</w:t>
            </w:r>
            <w:r w:rsidR="007D210E">
              <w:rPr>
                <w:rFonts w:ascii="Arial Narrow" w:hAnsi="Arial Narrow"/>
                <w:sz w:val="20"/>
              </w:rPr>
              <w:t>s</w:t>
            </w:r>
            <w:r>
              <w:rPr>
                <w:rFonts w:ascii="Arial Narrow" w:hAnsi="Arial Narrow"/>
                <w:sz w:val="20"/>
              </w:rPr>
              <w:t xml:space="preserve"> </w:t>
            </w:r>
          </w:p>
          <w:p w14:paraId="5E20D1F8" w14:textId="45FB53A1" w:rsidR="00FC159D" w:rsidRPr="00AD2D28" w:rsidRDefault="00FC159D" w:rsidP="004C79C1">
            <w:pPr>
              <w:spacing w:before="0" w:after="120" w:line="240" w:lineRule="auto"/>
              <w:ind w:right="-57"/>
              <w:rPr>
                <w:rFonts w:ascii="Arial Narrow" w:hAnsi="Arial Narrow"/>
                <w:b/>
                <w:sz w:val="20"/>
              </w:rPr>
            </w:pPr>
            <w:r w:rsidRPr="00AD2D28">
              <w:rPr>
                <w:rFonts w:ascii="Arial Narrow" w:hAnsi="Arial Narrow"/>
                <w:b/>
                <w:sz w:val="20"/>
              </w:rPr>
              <w:t xml:space="preserve">Diagnosis: </w:t>
            </w:r>
            <w:r w:rsidRPr="00AD2D28">
              <w:rPr>
                <w:rFonts w:ascii="Arial Narrow" w:hAnsi="Arial Narrow"/>
                <w:sz w:val="20"/>
              </w:rPr>
              <w:t xml:space="preserve">The characteristics of DCM for CMR included dilation and impaired contraction of </w:t>
            </w:r>
            <w:r w:rsidR="00907D16">
              <w:rPr>
                <w:rFonts w:ascii="Arial Narrow" w:hAnsi="Arial Narrow"/>
                <w:sz w:val="20"/>
              </w:rPr>
              <w:t>1</w:t>
            </w:r>
            <w:r w:rsidR="00907D16" w:rsidRPr="00AD2D28">
              <w:rPr>
                <w:rFonts w:ascii="Arial Narrow" w:hAnsi="Arial Narrow"/>
                <w:sz w:val="20"/>
              </w:rPr>
              <w:t xml:space="preserve"> </w:t>
            </w:r>
            <w:r w:rsidRPr="00AD2D28">
              <w:rPr>
                <w:rFonts w:ascii="Arial Narrow" w:hAnsi="Arial Narrow"/>
                <w:sz w:val="20"/>
              </w:rPr>
              <w:t>or both ventricles and an LVEF &lt;</w:t>
            </w:r>
            <w:r>
              <w:rPr>
                <w:rFonts w:ascii="Arial Narrow" w:hAnsi="Arial Narrow"/>
                <w:sz w:val="20"/>
              </w:rPr>
              <w:t xml:space="preserve">55%. </w:t>
            </w:r>
            <w:r w:rsidRPr="00AD2D28">
              <w:rPr>
                <w:rFonts w:ascii="Arial Narrow" w:hAnsi="Arial Narrow"/>
                <w:sz w:val="20"/>
              </w:rPr>
              <w:t xml:space="preserve">Moreover, </w:t>
            </w:r>
            <w:r>
              <w:rPr>
                <w:rFonts w:ascii="Arial Narrow" w:hAnsi="Arial Narrow"/>
                <w:sz w:val="20"/>
              </w:rPr>
              <w:t>the wall thickness was</w:t>
            </w:r>
            <w:r w:rsidRPr="00AD2D28">
              <w:rPr>
                <w:rFonts w:ascii="Arial Narrow" w:hAnsi="Arial Narrow"/>
                <w:sz w:val="20"/>
              </w:rPr>
              <w:t xml:space="preserve"> normal or decreased</w:t>
            </w:r>
            <w:r w:rsidRPr="00AD2D28">
              <w:rPr>
                <w:rFonts w:ascii="Arial Narrow" w:hAnsi="Arial Narrow"/>
                <w:b/>
                <w:sz w:val="20"/>
              </w:rPr>
              <w:t>.</w:t>
            </w:r>
          </w:p>
        </w:tc>
        <w:tc>
          <w:tcPr>
            <w:tcW w:w="1061" w:type="pct"/>
          </w:tcPr>
          <w:p w14:paraId="2C24029E" w14:textId="77777777"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Comparator: endomyocardial biopsy</w:t>
            </w:r>
          </w:p>
          <w:p w14:paraId="7C8533F9" w14:textId="61C4C352" w:rsidR="00FC159D" w:rsidRPr="00D61282" w:rsidRDefault="007D210E" w:rsidP="004C79C1">
            <w:pPr>
              <w:keepNext/>
              <w:spacing w:before="0" w:after="120" w:line="240" w:lineRule="auto"/>
              <w:ind w:right="-57"/>
              <w:rPr>
                <w:rFonts w:ascii="Arial Narrow" w:hAnsi="Arial Narrow"/>
                <w:sz w:val="20"/>
              </w:rPr>
            </w:pPr>
            <w:r>
              <w:rPr>
                <w:rFonts w:ascii="Arial Narrow" w:hAnsi="Arial Narrow"/>
                <w:sz w:val="20"/>
              </w:rPr>
              <w:t>3–5</w:t>
            </w:r>
            <w:r w:rsidR="00FC159D" w:rsidRPr="00D61282">
              <w:rPr>
                <w:rFonts w:ascii="Arial Narrow" w:hAnsi="Arial Narrow"/>
                <w:sz w:val="20"/>
              </w:rPr>
              <w:t xml:space="preserve"> specimens were obtained from each patient.</w:t>
            </w:r>
            <w:r w:rsidR="00FC159D">
              <w:rPr>
                <w:rFonts w:ascii="Arial Narrow" w:hAnsi="Arial Narrow"/>
                <w:sz w:val="20"/>
              </w:rPr>
              <w:t xml:space="preserve"> Specimens were </w:t>
            </w:r>
            <w:r w:rsidR="00FC159D" w:rsidRPr="00D61282">
              <w:rPr>
                <w:rFonts w:ascii="Arial Narrow" w:hAnsi="Arial Narrow"/>
                <w:sz w:val="20"/>
              </w:rPr>
              <w:t>immediately fixed in 15% formalin for 24</w:t>
            </w:r>
            <w:r w:rsidR="001D52CF">
              <w:rPr>
                <w:rFonts w:ascii="Arial Narrow" w:hAnsi="Arial Narrow"/>
                <w:sz w:val="20"/>
              </w:rPr>
              <w:t> </w:t>
            </w:r>
            <w:r w:rsidR="00FC159D" w:rsidRPr="00D61282">
              <w:rPr>
                <w:rFonts w:ascii="Arial Narrow" w:hAnsi="Arial Narrow"/>
                <w:sz w:val="20"/>
              </w:rPr>
              <w:t>h</w:t>
            </w:r>
            <w:r w:rsidR="001D52CF">
              <w:rPr>
                <w:rFonts w:ascii="Arial Narrow" w:hAnsi="Arial Narrow"/>
                <w:sz w:val="20"/>
              </w:rPr>
              <w:t>ours</w:t>
            </w:r>
            <w:r w:rsidR="00FC159D" w:rsidRPr="00D61282">
              <w:rPr>
                <w:rFonts w:ascii="Arial Narrow" w:hAnsi="Arial Narrow"/>
                <w:sz w:val="20"/>
              </w:rPr>
              <w:t>, embedded in paraffin</w:t>
            </w:r>
            <w:r w:rsidR="00FC159D">
              <w:rPr>
                <w:rFonts w:ascii="Arial Narrow" w:hAnsi="Arial Narrow"/>
                <w:sz w:val="20"/>
              </w:rPr>
              <w:t xml:space="preserve"> </w:t>
            </w:r>
            <w:r w:rsidR="00FC159D" w:rsidRPr="00D61282">
              <w:rPr>
                <w:rFonts w:ascii="Arial Narrow" w:hAnsi="Arial Narrow"/>
                <w:sz w:val="20"/>
              </w:rPr>
              <w:t>and cut into 4</w:t>
            </w:r>
            <w:r w:rsidR="001D52CF">
              <w:rPr>
                <w:rFonts w:ascii="Arial Narrow" w:hAnsi="Arial Narrow"/>
                <w:sz w:val="20"/>
              </w:rPr>
              <w:t>-</w:t>
            </w:r>
            <w:r w:rsidR="00FC159D" w:rsidRPr="00D61282">
              <w:rPr>
                <w:rFonts w:ascii="Arial Narrow" w:hAnsi="Arial Narrow"/>
                <w:sz w:val="20"/>
              </w:rPr>
              <w:t>mm thick sections. The sections were stained with</w:t>
            </w:r>
            <w:r w:rsidR="00FC159D">
              <w:rPr>
                <w:rFonts w:ascii="Arial Narrow" w:hAnsi="Arial Narrow"/>
                <w:sz w:val="20"/>
              </w:rPr>
              <w:t xml:space="preserve"> </w:t>
            </w:r>
            <w:r w:rsidR="00FC159D" w:rsidRPr="00D61282">
              <w:rPr>
                <w:rFonts w:ascii="Arial Narrow" w:hAnsi="Arial Narrow"/>
                <w:sz w:val="20"/>
              </w:rPr>
              <w:t>haematoxylin and eosin and Masson’s trichrome. Some of the specimens were frozen for</w:t>
            </w:r>
            <w:r w:rsidR="00FC159D">
              <w:rPr>
                <w:rFonts w:ascii="Arial Narrow" w:hAnsi="Arial Narrow"/>
                <w:sz w:val="20"/>
              </w:rPr>
              <w:t xml:space="preserve"> </w:t>
            </w:r>
            <w:r w:rsidR="00C35EF0">
              <w:rPr>
                <w:rFonts w:ascii="Arial Narrow" w:hAnsi="Arial Narrow"/>
                <w:sz w:val="20"/>
              </w:rPr>
              <w:t>PCR</w:t>
            </w:r>
            <w:r w:rsidR="00FC159D" w:rsidRPr="00D61282">
              <w:rPr>
                <w:rFonts w:ascii="Arial Narrow" w:hAnsi="Arial Narrow"/>
                <w:sz w:val="20"/>
              </w:rPr>
              <w:t xml:space="preserve"> analysis</w:t>
            </w:r>
            <w:r w:rsidR="00FC159D">
              <w:rPr>
                <w:rFonts w:ascii="Arial Narrow" w:hAnsi="Arial Narrow"/>
                <w:sz w:val="20"/>
              </w:rPr>
              <w:t xml:space="preserve"> </w:t>
            </w:r>
            <w:r w:rsidR="00FC159D" w:rsidRPr="00D61282">
              <w:rPr>
                <w:rFonts w:ascii="Arial Narrow" w:hAnsi="Arial Narrow"/>
                <w:sz w:val="20"/>
              </w:rPr>
              <w:t>for the detection of enterovirus when myocarditis was suspected.</w:t>
            </w:r>
            <w:r w:rsidR="00FC159D">
              <w:rPr>
                <w:rFonts w:ascii="Arial Narrow" w:hAnsi="Arial Narrow"/>
                <w:sz w:val="20"/>
              </w:rPr>
              <w:t xml:space="preserve"> </w:t>
            </w:r>
            <w:r w:rsidR="00FC159D" w:rsidRPr="00D61282">
              <w:rPr>
                <w:rFonts w:ascii="Arial Narrow" w:hAnsi="Arial Narrow"/>
                <w:sz w:val="20"/>
              </w:rPr>
              <w:t>A histological diagnosis of DCM was performed by examining the</w:t>
            </w:r>
            <w:r w:rsidR="00FC159D">
              <w:rPr>
                <w:rFonts w:ascii="Arial Narrow" w:hAnsi="Arial Narrow"/>
                <w:sz w:val="20"/>
              </w:rPr>
              <w:t xml:space="preserve"> </w:t>
            </w:r>
            <w:r w:rsidR="00FC159D" w:rsidRPr="00D61282">
              <w:rPr>
                <w:rFonts w:ascii="Arial Narrow" w:hAnsi="Arial Narrow"/>
                <w:sz w:val="20"/>
              </w:rPr>
              <w:t>following criteria: interstitial fibrosis,</w:t>
            </w:r>
            <w:r w:rsidR="00FC159D">
              <w:rPr>
                <w:rFonts w:ascii="Arial Narrow" w:hAnsi="Arial Narrow"/>
                <w:sz w:val="20"/>
              </w:rPr>
              <w:t xml:space="preserve"> replacement fibrosis, inflamma</w:t>
            </w:r>
            <w:r w:rsidR="00FC159D" w:rsidRPr="00D61282">
              <w:rPr>
                <w:rFonts w:ascii="Arial Narrow" w:hAnsi="Arial Narrow"/>
                <w:sz w:val="20"/>
              </w:rPr>
              <w:t>tory cell infiltrates, cellular hypertroph</w:t>
            </w:r>
            <w:r w:rsidR="00FC159D">
              <w:rPr>
                <w:rFonts w:ascii="Arial Narrow" w:hAnsi="Arial Narrow"/>
                <w:sz w:val="20"/>
              </w:rPr>
              <w:t>y and myocardial cell degener</w:t>
            </w:r>
            <w:r w:rsidR="00FC159D" w:rsidRPr="00D61282">
              <w:rPr>
                <w:rFonts w:ascii="Arial Narrow" w:hAnsi="Arial Narrow"/>
                <w:sz w:val="20"/>
              </w:rPr>
              <w:t>ation</w:t>
            </w:r>
            <w:r w:rsidR="00FC159D">
              <w:rPr>
                <w:rFonts w:ascii="Arial Narrow" w:hAnsi="Arial Narrow"/>
                <w:sz w:val="20"/>
              </w:rPr>
              <w:t>.</w:t>
            </w:r>
          </w:p>
          <w:p w14:paraId="339A7B91" w14:textId="77777777" w:rsidR="00907D16" w:rsidRDefault="00FC159D" w:rsidP="004C79C1">
            <w:pPr>
              <w:keepNext/>
              <w:spacing w:before="0" w:after="120" w:line="240" w:lineRule="auto"/>
              <w:ind w:right="-57"/>
              <w:rPr>
                <w:rFonts w:ascii="Arial Narrow" w:hAnsi="Arial Narrow"/>
                <w:b/>
                <w:sz w:val="20"/>
              </w:rPr>
            </w:pPr>
            <w:r>
              <w:rPr>
                <w:rFonts w:ascii="Arial Narrow" w:hAnsi="Arial Narrow"/>
                <w:b/>
                <w:sz w:val="20"/>
              </w:rPr>
              <w:t xml:space="preserve">Reference standard: </w:t>
            </w:r>
          </w:p>
          <w:p w14:paraId="1D27C9BA" w14:textId="1CCE3470" w:rsidR="00FC159D" w:rsidRDefault="00FC159D" w:rsidP="004C79C1">
            <w:pPr>
              <w:keepNext/>
              <w:spacing w:before="0" w:after="120" w:line="240" w:lineRule="auto"/>
              <w:ind w:right="-57"/>
              <w:rPr>
                <w:rFonts w:ascii="Arial Narrow" w:hAnsi="Arial Narrow"/>
                <w:b/>
                <w:sz w:val="20"/>
              </w:rPr>
            </w:pPr>
            <w:r>
              <w:rPr>
                <w:rFonts w:ascii="Arial Narrow" w:hAnsi="Arial Narrow"/>
                <w:b/>
                <w:sz w:val="20"/>
              </w:rPr>
              <w:t>Clinical data</w:t>
            </w:r>
            <w:r w:rsidR="00907D16">
              <w:rPr>
                <w:rFonts w:ascii="Arial Narrow" w:hAnsi="Arial Narrow"/>
                <w:b/>
                <w:sz w:val="20"/>
              </w:rPr>
              <w:t>:</w:t>
            </w:r>
          </w:p>
          <w:p w14:paraId="1A729833" w14:textId="13CABC9A" w:rsidR="00FC159D" w:rsidRDefault="00FC159D" w:rsidP="004C79C1">
            <w:pPr>
              <w:keepNext/>
              <w:spacing w:before="0" w:after="120" w:line="240" w:lineRule="auto"/>
              <w:ind w:right="-57"/>
              <w:rPr>
                <w:rFonts w:ascii="Arial Narrow" w:hAnsi="Arial Narrow"/>
                <w:b/>
                <w:sz w:val="20"/>
              </w:rPr>
            </w:pPr>
            <w:r w:rsidRPr="00AD2D28">
              <w:rPr>
                <w:rFonts w:ascii="Arial Narrow" w:hAnsi="Arial Narrow"/>
                <w:sz w:val="20"/>
              </w:rPr>
              <w:lastRenderedPageBreak/>
              <w:t xml:space="preserve">Clinical data were defined as any method that could be used to diagnose HF other than </w:t>
            </w:r>
            <w:r w:rsidR="00907D16">
              <w:rPr>
                <w:rFonts w:ascii="Arial Narrow" w:hAnsi="Arial Narrow"/>
                <w:sz w:val="20"/>
              </w:rPr>
              <w:t>E</w:t>
            </w:r>
            <w:r w:rsidRPr="00AD2D28">
              <w:rPr>
                <w:rFonts w:ascii="Arial Narrow" w:hAnsi="Arial Narrow"/>
                <w:sz w:val="20"/>
              </w:rPr>
              <w:t>cho, CMR or EMB, such as the collection of a patient’s medical history, laboratory tests, scintigraphy and coronary angiography. The final diagnosis was made prior to patient discharge by an expert team of cardiologists using all the available data, including the results of biopsy, CMR and other diagnostic modalities</w:t>
            </w:r>
            <w:r w:rsidRPr="00AD2D28">
              <w:rPr>
                <w:rFonts w:ascii="Arial Narrow" w:hAnsi="Arial Narrow"/>
                <w:b/>
                <w:sz w:val="20"/>
              </w:rPr>
              <w:t>.</w:t>
            </w:r>
          </w:p>
        </w:tc>
      </w:tr>
    </w:tbl>
    <w:p w14:paraId="3D8F9E14" w14:textId="36EFDF01" w:rsidR="00FC159D" w:rsidRPr="00AC104C" w:rsidRDefault="00FC159D" w:rsidP="004C79C1">
      <w:pPr>
        <w:spacing w:after="120" w:line="240" w:lineRule="auto"/>
        <w:jc w:val="both"/>
        <w:rPr>
          <w:rFonts w:ascii="Arial Narrow" w:eastAsiaTheme="minorHAnsi" w:hAnsi="Arial Narrow" w:cstheme="minorHAnsi"/>
          <w:sz w:val="20"/>
          <w:szCs w:val="20"/>
          <w:lang w:eastAsia="en-US"/>
        </w:rPr>
      </w:pPr>
      <w:r w:rsidRPr="00AC104C">
        <w:rPr>
          <w:rFonts w:ascii="Arial Narrow" w:eastAsiaTheme="minorHAnsi" w:hAnsi="Arial Narrow" w:cstheme="minorHAnsi"/>
          <w:sz w:val="20"/>
          <w:szCs w:val="20"/>
          <w:lang w:eastAsia="en-US"/>
        </w:rPr>
        <w:lastRenderedPageBreak/>
        <w:t xml:space="preserve">CAD = </w:t>
      </w:r>
      <w:r w:rsidR="00F92A3B" w:rsidRPr="00AC104C">
        <w:rPr>
          <w:rFonts w:ascii="Arial Narrow" w:eastAsiaTheme="minorHAnsi" w:hAnsi="Arial Narrow" w:cstheme="minorHAnsi"/>
          <w:sz w:val="20"/>
          <w:szCs w:val="20"/>
          <w:lang w:eastAsia="en-US"/>
        </w:rPr>
        <w:t>c</w:t>
      </w:r>
      <w:r w:rsidRPr="00AC104C">
        <w:rPr>
          <w:rFonts w:ascii="Arial Narrow" w:eastAsiaTheme="minorHAnsi" w:hAnsi="Arial Narrow" w:cstheme="minorHAnsi"/>
          <w:sz w:val="20"/>
          <w:szCs w:val="20"/>
          <w:lang w:eastAsia="en-US"/>
        </w:rPr>
        <w:t>oronary artery disease; CM = cardiomyopathy; CMR = cardiac magnetic resonance</w:t>
      </w:r>
      <w:r w:rsidR="006B76DB">
        <w:rPr>
          <w:rFonts w:ascii="Arial Narrow" w:eastAsiaTheme="minorHAnsi" w:hAnsi="Arial Narrow" w:cstheme="minorHAnsi"/>
          <w:sz w:val="20"/>
          <w:szCs w:val="20"/>
          <w:lang w:eastAsia="en-US"/>
        </w:rPr>
        <w:t xml:space="preserve"> (imaging)</w:t>
      </w:r>
      <w:r w:rsidRPr="00AC104C">
        <w:rPr>
          <w:rFonts w:ascii="Arial Narrow" w:eastAsiaTheme="minorHAnsi" w:hAnsi="Arial Narrow" w:cstheme="minorHAnsi"/>
          <w:sz w:val="20"/>
          <w:szCs w:val="20"/>
          <w:lang w:eastAsia="en-US"/>
        </w:rPr>
        <w:t xml:space="preserve">; CTCA = </w:t>
      </w:r>
      <w:r w:rsidR="0049197D" w:rsidRPr="00AC104C">
        <w:rPr>
          <w:rFonts w:ascii="Arial Narrow" w:eastAsiaTheme="minorHAnsi" w:hAnsi="Arial Narrow" w:cstheme="minorHAnsi"/>
          <w:sz w:val="20"/>
          <w:szCs w:val="20"/>
          <w:lang w:eastAsia="en-US"/>
        </w:rPr>
        <w:t>computed tomography coronary angiography</w:t>
      </w:r>
      <w:r w:rsidRPr="00AC104C">
        <w:rPr>
          <w:rFonts w:ascii="Arial Narrow" w:eastAsiaTheme="minorHAnsi" w:hAnsi="Arial Narrow" w:cstheme="minorHAnsi"/>
          <w:sz w:val="20"/>
          <w:szCs w:val="20"/>
          <w:lang w:eastAsia="en-US"/>
        </w:rPr>
        <w:t xml:space="preserve">; </w:t>
      </w:r>
      <w:r w:rsidR="00BF4398" w:rsidRPr="00AC104C">
        <w:rPr>
          <w:rFonts w:ascii="Arial Narrow" w:eastAsiaTheme="minorHAnsi" w:hAnsi="Arial Narrow" w:cstheme="minorHAnsi"/>
          <w:sz w:val="20"/>
          <w:szCs w:val="20"/>
          <w:lang w:eastAsia="en-US"/>
        </w:rPr>
        <w:t xml:space="preserve">DCM = dilated cardiomyopathy; </w:t>
      </w:r>
      <w:r w:rsidR="00495373" w:rsidRPr="00AC104C">
        <w:rPr>
          <w:rFonts w:ascii="Arial Narrow" w:eastAsiaTheme="minorHAnsi" w:hAnsi="Arial Narrow" w:cstheme="minorHAnsi"/>
          <w:sz w:val="20"/>
          <w:szCs w:val="20"/>
          <w:lang w:eastAsia="en-US"/>
        </w:rPr>
        <w:t xml:space="preserve">ECG = electrocardiogram; </w:t>
      </w:r>
      <w:r w:rsidR="001010B9" w:rsidRPr="00AC104C">
        <w:rPr>
          <w:rFonts w:ascii="Arial Narrow" w:eastAsiaTheme="minorHAnsi" w:hAnsi="Arial Narrow" w:cstheme="minorHAnsi"/>
          <w:sz w:val="20"/>
          <w:szCs w:val="20"/>
          <w:lang w:eastAsia="en-US"/>
        </w:rPr>
        <w:t xml:space="preserve">Echo = echocardiography; </w:t>
      </w:r>
      <w:r w:rsidRPr="00AC104C">
        <w:rPr>
          <w:rFonts w:ascii="Arial Narrow" w:eastAsiaTheme="minorHAnsi" w:hAnsi="Arial Narrow" w:cstheme="minorHAnsi"/>
          <w:sz w:val="20"/>
          <w:szCs w:val="20"/>
          <w:lang w:eastAsia="en-US"/>
        </w:rPr>
        <w:t xml:space="preserve">EMB = endomyocardial biopsy; HCM = hypertrophic cardiomyopathy; HF = </w:t>
      </w:r>
      <w:r w:rsidR="0049197D" w:rsidRPr="00AC104C">
        <w:rPr>
          <w:rFonts w:ascii="Arial Narrow" w:eastAsiaTheme="minorHAnsi" w:hAnsi="Arial Narrow" w:cstheme="minorHAnsi"/>
          <w:sz w:val="20"/>
          <w:szCs w:val="20"/>
          <w:lang w:eastAsia="en-US"/>
        </w:rPr>
        <w:t>h</w:t>
      </w:r>
      <w:r w:rsidRPr="00AC104C">
        <w:rPr>
          <w:rFonts w:ascii="Arial Narrow" w:eastAsiaTheme="minorHAnsi" w:hAnsi="Arial Narrow" w:cstheme="minorHAnsi"/>
          <w:sz w:val="20"/>
          <w:szCs w:val="20"/>
          <w:lang w:eastAsia="en-US"/>
        </w:rPr>
        <w:t xml:space="preserve">eart </w:t>
      </w:r>
      <w:r w:rsidR="0049197D" w:rsidRPr="00AC104C">
        <w:rPr>
          <w:rFonts w:ascii="Arial Narrow" w:eastAsiaTheme="minorHAnsi" w:hAnsi="Arial Narrow" w:cstheme="minorHAnsi"/>
          <w:sz w:val="20"/>
          <w:szCs w:val="20"/>
          <w:lang w:eastAsia="en-US"/>
        </w:rPr>
        <w:t>f</w:t>
      </w:r>
      <w:r w:rsidRPr="00AC104C">
        <w:rPr>
          <w:rFonts w:ascii="Arial Narrow" w:eastAsiaTheme="minorHAnsi" w:hAnsi="Arial Narrow" w:cstheme="minorHAnsi"/>
          <w:sz w:val="20"/>
          <w:szCs w:val="20"/>
          <w:lang w:eastAsia="en-US"/>
        </w:rPr>
        <w:t xml:space="preserve">ailure; </w:t>
      </w:r>
      <w:r w:rsidR="00C24464" w:rsidRPr="00AC104C">
        <w:rPr>
          <w:rFonts w:ascii="Arial Narrow" w:eastAsiaTheme="minorHAnsi" w:hAnsi="Arial Narrow" w:cstheme="minorHAnsi"/>
          <w:sz w:val="20"/>
          <w:szCs w:val="20"/>
          <w:lang w:eastAsia="en-US"/>
        </w:rPr>
        <w:t>LGE-CMR =</w:t>
      </w:r>
      <w:r w:rsidR="0015151E" w:rsidRPr="00AC104C">
        <w:rPr>
          <w:rFonts w:ascii="Arial Narrow" w:eastAsiaTheme="minorHAnsi" w:hAnsi="Arial Narrow" w:cstheme="minorHAnsi"/>
          <w:sz w:val="20"/>
          <w:szCs w:val="20"/>
          <w:lang w:eastAsia="en-US"/>
        </w:rPr>
        <w:t xml:space="preserve"> </w:t>
      </w:r>
      <w:r w:rsidR="0015151E" w:rsidRPr="001170AB">
        <w:rPr>
          <w:rFonts w:ascii="Arial Narrow" w:hAnsi="Arial Narrow"/>
          <w:sz w:val="20"/>
          <w:szCs w:val="20"/>
        </w:rPr>
        <w:t xml:space="preserve">late gadolinium enhancement cardiac magnetic resonance </w:t>
      </w:r>
      <w:r w:rsidR="006B76DB">
        <w:rPr>
          <w:rFonts w:ascii="Arial Narrow" w:hAnsi="Arial Narrow"/>
          <w:sz w:val="20"/>
          <w:szCs w:val="20"/>
        </w:rPr>
        <w:t>(</w:t>
      </w:r>
      <w:r w:rsidR="0015151E" w:rsidRPr="001170AB">
        <w:rPr>
          <w:rFonts w:ascii="Arial Narrow" w:hAnsi="Arial Narrow"/>
          <w:sz w:val="20"/>
          <w:szCs w:val="20"/>
        </w:rPr>
        <w:t>imaging</w:t>
      </w:r>
      <w:r w:rsidR="006B76DB">
        <w:rPr>
          <w:rFonts w:ascii="Arial Narrow" w:hAnsi="Arial Narrow"/>
          <w:sz w:val="20"/>
          <w:szCs w:val="20"/>
        </w:rPr>
        <w:t>)</w:t>
      </w:r>
      <w:r w:rsidR="00495373" w:rsidRPr="00AC104C">
        <w:rPr>
          <w:rFonts w:ascii="Arial Narrow" w:eastAsiaTheme="minorHAnsi" w:hAnsi="Arial Narrow" w:cstheme="minorHAnsi"/>
          <w:sz w:val="20"/>
          <w:szCs w:val="20"/>
          <w:lang w:eastAsia="en-US"/>
        </w:rPr>
        <w:t xml:space="preserve">; </w:t>
      </w:r>
      <w:r w:rsidR="00B44B8F" w:rsidRPr="00AC104C">
        <w:rPr>
          <w:rFonts w:ascii="Arial Narrow" w:eastAsiaTheme="minorHAnsi" w:hAnsi="Arial Narrow" w:cstheme="minorHAnsi"/>
          <w:sz w:val="20"/>
          <w:szCs w:val="20"/>
          <w:lang w:eastAsia="en-US"/>
        </w:rPr>
        <w:t xml:space="preserve">LV = </w:t>
      </w:r>
      <w:r w:rsidR="0015151E" w:rsidRPr="001170AB">
        <w:rPr>
          <w:rFonts w:ascii="Arial Narrow" w:hAnsi="Arial Narrow"/>
          <w:sz w:val="20"/>
          <w:szCs w:val="20"/>
        </w:rPr>
        <w:t>left ventricular / left ventricle</w:t>
      </w:r>
      <w:r w:rsidR="00B44B8F" w:rsidRPr="00AC104C">
        <w:rPr>
          <w:rFonts w:ascii="Arial Narrow" w:eastAsiaTheme="minorHAnsi" w:hAnsi="Arial Narrow" w:cstheme="minorHAnsi"/>
          <w:sz w:val="20"/>
          <w:szCs w:val="20"/>
          <w:lang w:eastAsia="en-US"/>
        </w:rPr>
        <w:t xml:space="preserve">; </w:t>
      </w:r>
      <w:r w:rsidRPr="00AC104C">
        <w:rPr>
          <w:rFonts w:ascii="Arial Narrow" w:eastAsiaTheme="minorHAnsi" w:hAnsi="Arial Narrow" w:cstheme="minorHAnsi"/>
          <w:sz w:val="20"/>
          <w:szCs w:val="20"/>
          <w:lang w:eastAsia="en-US"/>
        </w:rPr>
        <w:t xml:space="preserve">LVEF = left ventricular ejection fraction; ICA = invasive coronary angiography; IQR = interquartile range; MI = myocardial infarction; </w:t>
      </w:r>
      <w:r w:rsidR="00187170" w:rsidRPr="00AC104C">
        <w:rPr>
          <w:rFonts w:ascii="Arial Narrow" w:eastAsiaTheme="minorHAnsi" w:hAnsi="Arial Narrow" w:cstheme="minorHAnsi"/>
          <w:sz w:val="20"/>
          <w:szCs w:val="20"/>
          <w:lang w:eastAsia="en-US"/>
        </w:rPr>
        <w:t xml:space="preserve">NICM = non-ischaemic cardiomyopathy; </w:t>
      </w:r>
      <w:r w:rsidRPr="00AC104C">
        <w:rPr>
          <w:rFonts w:ascii="Arial Narrow" w:eastAsiaTheme="minorHAnsi" w:hAnsi="Arial Narrow" w:cstheme="minorHAnsi"/>
          <w:sz w:val="20"/>
          <w:szCs w:val="20"/>
          <w:lang w:eastAsia="en-US"/>
        </w:rPr>
        <w:t>NIDCM = non-isch</w:t>
      </w:r>
      <w:r w:rsidR="0049197D" w:rsidRPr="00AC104C">
        <w:rPr>
          <w:rFonts w:ascii="Arial Narrow" w:eastAsiaTheme="minorHAnsi" w:hAnsi="Arial Narrow" w:cstheme="minorHAnsi"/>
          <w:sz w:val="20"/>
          <w:szCs w:val="20"/>
          <w:lang w:eastAsia="en-US"/>
        </w:rPr>
        <w:t>a</w:t>
      </w:r>
      <w:r w:rsidRPr="00AC104C">
        <w:rPr>
          <w:rFonts w:ascii="Arial Narrow" w:eastAsiaTheme="minorHAnsi" w:hAnsi="Arial Narrow" w:cstheme="minorHAnsi"/>
          <w:sz w:val="20"/>
          <w:szCs w:val="20"/>
          <w:lang w:eastAsia="en-US"/>
        </w:rPr>
        <w:t>emic dilated cardiomyopathy</w:t>
      </w:r>
      <w:r w:rsidR="00BF4398" w:rsidRPr="00AC104C">
        <w:rPr>
          <w:rFonts w:ascii="Arial Narrow" w:eastAsiaTheme="minorHAnsi" w:hAnsi="Arial Narrow" w:cstheme="minorHAnsi"/>
          <w:sz w:val="20"/>
          <w:szCs w:val="20"/>
          <w:lang w:eastAsia="en-US"/>
        </w:rPr>
        <w:t>; NYHA = New York Heart Association</w:t>
      </w:r>
      <w:r w:rsidR="00C35EF0" w:rsidRPr="00AC104C">
        <w:rPr>
          <w:rFonts w:ascii="Arial Narrow" w:eastAsiaTheme="minorHAnsi" w:hAnsi="Arial Narrow" w:cstheme="minorHAnsi"/>
          <w:sz w:val="20"/>
          <w:szCs w:val="20"/>
          <w:lang w:eastAsia="en-US"/>
        </w:rPr>
        <w:t xml:space="preserve">; PCR = </w:t>
      </w:r>
      <w:r w:rsidR="00C35EF0" w:rsidRPr="00AC104C">
        <w:rPr>
          <w:rFonts w:ascii="Arial Narrow" w:hAnsi="Arial Narrow"/>
          <w:sz w:val="20"/>
          <w:szCs w:val="20"/>
        </w:rPr>
        <w:t>polymerase chain reaction</w:t>
      </w:r>
    </w:p>
    <w:p w14:paraId="6DD6C36C" w14:textId="33EE89B9" w:rsidR="00A474A9" w:rsidRPr="00526FBF" w:rsidRDefault="0062633B" w:rsidP="004C79C1">
      <w:pPr>
        <w:pStyle w:val="Caption"/>
      </w:pPr>
      <w:bookmarkStart w:id="809" w:name="_Ref451329088"/>
      <w:bookmarkStart w:id="810" w:name="_Toc324410248"/>
      <w:bookmarkStart w:id="811" w:name="_Toc451435404"/>
      <w:r>
        <w:t xml:space="preserve">Table </w:t>
      </w:r>
      <w:fldSimple w:instr=" SEQ Table \* ARABIC ">
        <w:r w:rsidR="00050936">
          <w:rPr>
            <w:noProof/>
          </w:rPr>
          <w:t>77</w:t>
        </w:r>
      </w:fldSimple>
      <w:bookmarkEnd w:id="809"/>
      <w:r>
        <w:t xml:space="preserve"> </w:t>
      </w:r>
      <w:r>
        <w:tab/>
      </w:r>
      <w:r w:rsidR="00A474A9" w:rsidRPr="00526FBF">
        <w:t>Study profiles of included prognostic SRs</w:t>
      </w:r>
      <w:bookmarkEnd w:id="810"/>
      <w:bookmarkEnd w:id="811"/>
    </w:p>
    <w:tbl>
      <w:tblPr>
        <w:tblStyle w:val="TableGrid31"/>
        <w:tblW w:w="5030" w:type="pct"/>
        <w:tblLook w:val="04A0" w:firstRow="1" w:lastRow="0" w:firstColumn="1" w:lastColumn="0" w:noHBand="0" w:noVBand="1"/>
        <w:tblCaption w:val="Study profiles of included prognostic SRs"/>
      </w:tblPr>
      <w:tblGrid>
        <w:gridCol w:w="1036"/>
        <w:gridCol w:w="1699"/>
        <w:gridCol w:w="2121"/>
        <w:gridCol w:w="4910"/>
        <w:gridCol w:w="3489"/>
      </w:tblGrid>
      <w:tr w:rsidR="00A474A9" w:rsidRPr="00526FBF" w14:paraId="28C53091" w14:textId="77777777" w:rsidTr="001170AB">
        <w:trPr>
          <w:tblHeader/>
        </w:trPr>
        <w:tc>
          <w:tcPr>
            <w:tcW w:w="391" w:type="pct"/>
          </w:tcPr>
          <w:p w14:paraId="631407A2"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 xml:space="preserve">Study </w:t>
            </w:r>
            <w:r w:rsidRPr="00526FBF">
              <w:rPr>
                <w:rFonts w:ascii="Arial Narrow" w:hAnsi="Arial Narrow"/>
                <w:b/>
                <w:sz w:val="20"/>
              </w:rPr>
              <w:br/>
              <w:t xml:space="preserve">Country </w:t>
            </w:r>
          </w:p>
        </w:tc>
        <w:tc>
          <w:tcPr>
            <w:tcW w:w="641" w:type="pct"/>
          </w:tcPr>
          <w:p w14:paraId="1275C65E" w14:textId="15188FA3"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Level of evidence</w:t>
            </w:r>
            <w:r w:rsidRPr="00526FBF">
              <w:rPr>
                <w:rFonts w:ascii="Arial Narrow" w:hAnsi="Arial Narrow"/>
                <w:b/>
                <w:sz w:val="20"/>
              </w:rPr>
              <w:br/>
              <w:t>Quality appraisal</w:t>
            </w:r>
            <w:r w:rsidR="008734AE">
              <w:rPr>
                <w:rFonts w:ascii="Arial Narrow" w:hAnsi="Arial Narrow"/>
                <w:b/>
                <w:sz w:val="20"/>
              </w:rPr>
              <w:t xml:space="preserve"> </w:t>
            </w:r>
            <w:r w:rsidRPr="00526FBF">
              <w:rPr>
                <w:rFonts w:ascii="Arial Narrow" w:hAnsi="Arial Narrow"/>
                <w:b/>
                <w:sz w:val="20"/>
                <w:vertAlign w:val="superscript"/>
              </w:rPr>
              <w:t>a</w:t>
            </w:r>
          </w:p>
        </w:tc>
        <w:tc>
          <w:tcPr>
            <w:tcW w:w="800" w:type="pct"/>
          </w:tcPr>
          <w:p w14:paraId="4B47C8EF" w14:textId="77777777" w:rsidR="00A474A9" w:rsidRPr="00526FBF" w:rsidRDefault="00A474A9" w:rsidP="004C79C1">
            <w:pPr>
              <w:keepNext/>
              <w:tabs>
                <w:tab w:val="left" w:pos="89"/>
              </w:tabs>
              <w:spacing w:before="0" w:after="120" w:line="240" w:lineRule="auto"/>
              <w:ind w:right="-57"/>
              <w:rPr>
                <w:rFonts w:ascii="Arial Narrow" w:hAnsi="Arial Narrow"/>
                <w:b/>
                <w:sz w:val="20"/>
              </w:rPr>
            </w:pPr>
            <w:r w:rsidRPr="00526FBF">
              <w:rPr>
                <w:rFonts w:ascii="Arial Narrow" w:hAnsi="Arial Narrow"/>
                <w:b/>
                <w:sz w:val="20"/>
              </w:rPr>
              <w:t>Aim of the SR</w:t>
            </w:r>
            <w:r w:rsidRPr="00526FBF">
              <w:rPr>
                <w:rFonts w:ascii="Arial Narrow" w:hAnsi="Arial Narrow"/>
                <w:b/>
                <w:sz w:val="20"/>
              </w:rPr>
              <w:br/>
              <w:t>Study population</w:t>
            </w:r>
          </w:p>
        </w:tc>
        <w:tc>
          <w:tcPr>
            <w:tcW w:w="1852" w:type="pct"/>
          </w:tcPr>
          <w:p w14:paraId="1BF448ED"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Inclusion criteria / exclusion criteria</w:t>
            </w:r>
          </w:p>
        </w:tc>
        <w:tc>
          <w:tcPr>
            <w:tcW w:w="1316" w:type="pct"/>
          </w:tcPr>
          <w:p w14:paraId="059E663F"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Outcomes assessed</w:t>
            </w:r>
          </w:p>
        </w:tc>
      </w:tr>
      <w:tr w:rsidR="00A474A9" w:rsidRPr="00526FBF" w14:paraId="4CBC9173" w14:textId="77777777" w:rsidTr="001170AB">
        <w:tc>
          <w:tcPr>
            <w:tcW w:w="391" w:type="pct"/>
          </w:tcPr>
          <w:p w14:paraId="2FE4EE90" w14:textId="3EE6D84B"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 xml:space="preserve">Duan et al. </w:t>
            </w:r>
            <w:r w:rsidR="00187A29">
              <w:rPr>
                <w:rFonts w:ascii="Arial Narrow" w:eastAsiaTheme="minorHAnsi" w:hAnsi="Arial Narrow" w:cstheme="minorHAnsi"/>
                <w:sz w:val="20"/>
                <w:lang w:eastAsia="en-US"/>
              </w:rPr>
              <w:fldChar w:fldCharType="begin"/>
            </w:r>
            <w:r w:rsidR="00187A29">
              <w:rPr>
                <w:rFonts w:ascii="Arial Narrow" w:eastAsiaTheme="minorHAnsi" w:hAnsi="Arial Narrow" w:cstheme="minorHAnsi"/>
                <w:sz w:val="20"/>
                <w:lang w:eastAsia="en-US"/>
              </w:rPr>
              <w:instrText xml:space="preserve"> ADDIN EN.CITE &lt;EndNote&gt;&lt;Cite ExcludeAuth="1"&gt;&lt;Author&gt;Duan&lt;/Author&gt;&lt;Year&gt;2015&lt;/Year&gt;&lt;RecNum&gt;65&lt;/RecNum&gt;&lt;DisplayText&gt;(2015)&lt;/DisplayText&gt;&lt;record&gt;&lt;rec-number&gt;65&lt;/rec-number&gt;&lt;foreign-keys&gt;&lt;key app="EN" db-id="pfxxvref0t0a5de2vwnv2fwkz0p9v0r2fw0t" timestamp="1458109065"&gt;65&lt;/key&gt;&lt;/foreign-keys&gt;&lt;ref-type name="Journal Article"&gt;17&lt;/ref-type&gt;&lt;contributors&gt;&lt;authors&gt;&lt;author&gt;Duan, X.&lt;/author&gt;&lt;author&gt;Li, J.&lt;/author&gt;&lt;author&gt;Zhang, Q.&lt;/author&gt;&lt;author&gt;Zeng, Z.&lt;/author&gt;&lt;author&gt;Luo, Y.&lt;/author&gt;&lt;author&gt;Jiang, J.&lt;/author&gt;&lt;author&gt;Chen, Y.&lt;/author&gt;&lt;/authors&gt;&lt;/contributors&gt;&lt;titles&gt;&lt;title&gt;Prognostic value of late gadolinium enhancement in dilated cardiomyopathy patients: a meta-analysis&lt;/title&gt;&lt;secondary-title&gt;Clin Radiol&lt;/secondary-title&gt;&lt;/titles&gt;&lt;periodical&gt;&lt;full-title&gt;Clin Radiol&lt;/full-title&gt;&lt;/periodical&gt;&lt;pages&gt;999-1008&lt;/pages&gt;&lt;volume&gt;70&lt;/volume&gt;&lt;number&gt;9&lt;/number&gt;&lt;dates&gt;&lt;year&gt;2015&lt;/year&gt;&lt;pub-dates&gt;&lt;date&gt;2015-01-01&lt;/date&gt;&lt;/pub-dates&gt;&lt;/dates&gt;&lt;isbn&gt;0009-9260&lt;/isbn&gt;&lt;urls&gt;&lt;related-urls&gt;&lt;url&gt;http://ac.els-cdn.com/S0009926015002470/1-s2.0-S0009926015002470-main.pdf?_tid=fb2e82e0-c093-11e5-ab42-00000aacb360&amp;amp;acdnat=1453417931_497186e497311df87f77a09224099dfb&lt;/url&gt;&lt;/related-urls&gt;&lt;/urls&gt;&lt;custom1&gt;RAYYAN-INCLUSION: {&amp;quot;Sharon&amp;quot;=&amp;gt;true} | RAYYAN-LABELS: DCM,prognostic&lt;/custom1&gt;&lt;language&gt;eng&lt;/language&gt;&lt;/record&gt;&lt;/Cite&gt;&lt;/EndNote&gt;</w:instrText>
            </w:r>
            <w:r w:rsidR="00187A29">
              <w:rPr>
                <w:rFonts w:ascii="Arial Narrow" w:eastAsiaTheme="minorHAnsi" w:hAnsi="Arial Narrow" w:cstheme="minorHAnsi"/>
                <w:sz w:val="20"/>
                <w:lang w:eastAsia="en-US"/>
              </w:rPr>
              <w:fldChar w:fldCharType="separate"/>
            </w:r>
            <w:r w:rsidR="00187A29">
              <w:rPr>
                <w:rFonts w:ascii="Arial Narrow" w:eastAsiaTheme="minorHAnsi" w:hAnsi="Arial Narrow" w:cstheme="minorHAnsi"/>
                <w:noProof/>
                <w:sz w:val="20"/>
                <w:lang w:eastAsia="en-US"/>
              </w:rPr>
              <w:t>(</w:t>
            </w:r>
            <w:hyperlink w:anchor="_ENREF_32" w:tooltip="Duan, 2015 #65" w:history="1">
              <w:r w:rsidR="00B906E9">
                <w:rPr>
                  <w:rFonts w:ascii="Arial Narrow" w:eastAsiaTheme="minorHAnsi" w:hAnsi="Arial Narrow" w:cstheme="minorHAnsi"/>
                  <w:noProof/>
                  <w:sz w:val="20"/>
                  <w:lang w:eastAsia="en-US"/>
                </w:rPr>
                <w:t>2015</w:t>
              </w:r>
            </w:hyperlink>
            <w:r w:rsidR="00187A29">
              <w:rPr>
                <w:rFonts w:ascii="Arial Narrow" w:eastAsiaTheme="minorHAnsi" w:hAnsi="Arial Narrow" w:cstheme="minorHAnsi"/>
                <w:noProof/>
                <w:sz w:val="20"/>
                <w:lang w:eastAsia="en-US"/>
              </w:rPr>
              <w:t>)</w:t>
            </w:r>
            <w:r w:rsidR="00187A29">
              <w:rPr>
                <w:rFonts w:ascii="Arial Narrow" w:eastAsiaTheme="minorHAnsi" w:hAnsi="Arial Narrow" w:cstheme="minorHAnsi"/>
                <w:sz w:val="20"/>
                <w:lang w:eastAsia="en-US"/>
              </w:rPr>
              <w:fldChar w:fldCharType="end"/>
            </w:r>
          </w:p>
          <w:p w14:paraId="7CA0D384"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40DF5A8D"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China</w:t>
            </w:r>
          </w:p>
        </w:tc>
        <w:tc>
          <w:tcPr>
            <w:tcW w:w="641" w:type="pct"/>
          </w:tcPr>
          <w:p w14:paraId="53A1A6C4"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NHMRC Level I</w:t>
            </w:r>
          </w:p>
          <w:p w14:paraId="7B879B58"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1C5F7FA0"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AMSTAR:</w:t>
            </w:r>
            <w:r w:rsidRPr="00526FBF">
              <w:rPr>
                <w:rFonts w:ascii="Arial Narrow" w:eastAsiaTheme="minorHAnsi" w:hAnsi="Arial Narrow" w:cstheme="minorHAnsi"/>
                <w:sz w:val="20"/>
                <w:lang w:eastAsia="en-US"/>
              </w:rPr>
              <w:br/>
              <w:t>64% (7/11)</w:t>
            </w:r>
          </w:p>
          <w:p w14:paraId="16AFCBF5"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Good quality</w:t>
            </w:r>
          </w:p>
        </w:tc>
        <w:tc>
          <w:tcPr>
            <w:tcW w:w="800" w:type="pct"/>
          </w:tcPr>
          <w:p w14:paraId="71303DA2" w14:textId="1557B887"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lang w:eastAsia="en-US"/>
              </w:rPr>
              <w:t xml:space="preserve">To evaluate the association between LGE-CMR and major </w:t>
            </w:r>
            <w:r w:rsidR="008734AE">
              <w:rPr>
                <w:rFonts w:ascii="Arial Narrow" w:hAnsi="Arial Narrow"/>
                <w:sz w:val="20"/>
                <w:lang w:eastAsia="en-US"/>
              </w:rPr>
              <w:t>AE</w:t>
            </w:r>
            <w:r w:rsidRPr="00526FBF">
              <w:rPr>
                <w:rFonts w:ascii="Arial Narrow" w:hAnsi="Arial Narrow"/>
                <w:sz w:val="20"/>
                <w:lang w:eastAsia="en-US"/>
              </w:rPr>
              <w:t>s in DCM patients</w:t>
            </w:r>
          </w:p>
          <w:p w14:paraId="62B96291"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p>
          <w:p w14:paraId="7D07321C" w14:textId="0E8FB474"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rPr>
              <w:t>Adult patients with DCM who had undergone LGE-CMR and were followed</w:t>
            </w:r>
            <w:r w:rsidR="008734AE">
              <w:rPr>
                <w:rFonts w:ascii="Arial Narrow" w:hAnsi="Arial Narrow"/>
                <w:sz w:val="20"/>
              </w:rPr>
              <w:t xml:space="preserve"> </w:t>
            </w:r>
            <w:r w:rsidRPr="00526FBF">
              <w:rPr>
                <w:rFonts w:ascii="Arial Narrow" w:hAnsi="Arial Narrow"/>
                <w:sz w:val="20"/>
              </w:rPr>
              <w:t>up</w:t>
            </w:r>
          </w:p>
        </w:tc>
        <w:tc>
          <w:tcPr>
            <w:tcW w:w="1852" w:type="pct"/>
          </w:tcPr>
          <w:p w14:paraId="181A496C"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Search period:</w:t>
            </w:r>
          </w:p>
          <w:p w14:paraId="437F616B" w14:textId="77777777" w:rsidR="00A474A9" w:rsidRPr="00526FBF" w:rsidRDefault="00A474A9" w:rsidP="004C79C1">
            <w:pPr>
              <w:spacing w:before="0" w:after="120" w:line="240" w:lineRule="auto"/>
              <w:ind w:right="-57"/>
              <w:rPr>
                <w:rFonts w:ascii="Arial Narrow" w:hAnsi="Arial Narrow"/>
                <w:sz w:val="20"/>
                <w:lang w:eastAsia="en-US"/>
              </w:rPr>
            </w:pPr>
            <w:r w:rsidRPr="00526FBF">
              <w:rPr>
                <w:rFonts w:ascii="Arial Narrow" w:hAnsi="Arial Narrow"/>
                <w:sz w:val="20"/>
                <w:lang w:eastAsia="en-US"/>
              </w:rPr>
              <w:t>Up to 2 March 2014</w:t>
            </w:r>
          </w:p>
          <w:p w14:paraId="08C90DA8" w14:textId="77777777" w:rsidR="00A474A9" w:rsidRPr="00526FBF" w:rsidRDefault="00A474A9" w:rsidP="004C79C1">
            <w:pPr>
              <w:spacing w:before="0" w:after="120" w:line="240" w:lineRule="auto"/>
              <w:ind w:right="-57"/>
              <w:rPr>
                <w:rFonts w:ascii="Arial Narrow" w:hAnsi="Arial Narrow"/>
                <w:b/>
                <w:sz w:val="20"/>
                <w:lang w:eastAsia="en-US"/>
              </w:rPr>
            </w:pPr>
            <w:r w:rsidRPr="00526FBF">
              <w:rPr>
                <w:rFonts w:ascii="Arial Narrow" w:hAnsi="Arial Narrow"/>
                <w:b/>
                <w:sz w:val="20"/>
                <w:lang w:eastAsia="en-US"/>
              </w:rPr>
              <w:t>Databases searched:</w:t>
            </w:r>
          </w:p>
          <w:p w14:paraId="241D99F5" w14:textId="02BC88F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PubMed, Ovid and EMBASE</w:t>
            </w:r>
          </w:p>
          <w:p w14:paraId="1EA82120"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 xml:space="preserve">Inclusion criteria: </w:t>
            </w:r>
          </w:p>
          <w:p w14:paraId="330B894A" w14:textId="2B285F4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Studies that included patients with DCM who had undergone LGE-CMR and were followed</w:t>
            </w:r>
            <w:r w:rsidR="008734AE">
              <w:rPr>
                <w:rFonts w:ascii="Arial Narrow" w:hAnsi="Arial Narrow"/>
                <w:sz w:val="20"/>
              </w:rPr>
              <w:t xml:space="preserve"> </w:t>
            </w:r>
            <w:r w:rsidRPr="00526FBF">
              <w:rPr>
                <w:rFonts w:ascii="Arial Narrow" w:hAnsi="Arial Narrow"/>
                <w:sz w:val="20"/>
              </w:rPr>
              <w:t>up were included if they reported on the outcomes assessed in this review</w:t>
            </w:r>
            <w:r w:rsidR="008734AE">
              <w:rPr>
                <w:rFonts w:ascii="Arial Narrow" w:hAnsi="Arial Narrow"/>
                <w:sz w:val="20"/>
              </w:rPr>
              <w:t>.</w:t>
            </w:r>
          </w:p>
          <w:p w14:paraId="5C9EAC5B"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p>
          <w:p w14:paraId="4E46FC0B"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Studies not in English, abstracts or session presentations</w:t>
            </w:r>
          </w:p>
          <w:p w14:paraId="14401BC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Number of included studies:</w:t>
            </w:r>
            <w:r w:rsidRPr="00526FBF">
              <w:rPr>
                <w:rFonts w:ascii="Arial Narrow" w:hAnsi="Arial Narrow"/>
                <w:sz w:val="20"/>
              </w:rPr>
              <w:t xml:space="preserve"> 13</w:t>
            </w:r>
          </w:p>
        </w:tc>
        <w:tc>
          <w:tcPr>
            <w:tcW w:w="1316" w:type="pct"/>
          </w:tcPr>
          <w:p w14:paraId="7369F186" w14:textId="77777777" w:rsidR="002C08FE" w:rsidRDefault="002C08FE" w:rsidP="004C79C1">
            <w:pPr>
              <w:spacing w:before="0" w:after="120" w:line="240" w:lineRule="auto"/>
              <w:ind w:right="-57"/>
              <w:rPr>
                <w:rFonts w:ascii="Arial Narrow" w:hAnsi="Arial Narrow"/>
                <w:sz w:val="20"/>
              </w:rPr>
            </w:pPr>
            <w:r w:rsidRPr="00526FBF">
              <w:rPr>
                <w:rFonts w:ascii="Arial Narrow" w:hAnsi="Arial Narrow"/>
                <w:sz w:val="20"/>
              </w:rPr>
              <w:lastRenderedPageBreak/>
              <w:t>Major cardiovascular events</w:t>
            </w:r>
            <w:r>
              <w:rPr>
                <w:rFonts w:ascii="Arial Narrow" w:hAnsi="Arial Narrow"/>
                <w:sz w:val="20"/>
              </w:rPr>
              <w:t>:</w:t>
            </w:r>
          </w:p>
          <w:p w14:paraId="7A7726DD" w14:textId="56BD7CFB" w:rsidR="00A474A9" w:rsidRPr="00526FBF" w:rsidRDefault="002C08FE" w:rsidP="004C79C1">
            <w:pPr>
              <w:spacing w:before="0" w:after="120" w:line="240" w:lineRule="auto"/>
              <w:ind w:left="157" w:right="-57"/>
              <w:rPr>
                <w:rFonts w:ascii="Arial Narrow" w:hAnsi="Arial Narrow"/>
                <w:sz w:val="20"/>
              </w:rPr>
            </w:pPr>
            <w:r>
              <w:rPr>
                <w:rFonts w:ascii="Arial Narrow" w:hAnsi="Arial Narrow"/>
                <w:sz w:val="20"/>
              </w:rPr>
              <w:t>a</w:t>
            </w:r>
            <w:r w:rsidR="00A474A9" w:rsidRPr="00526FBF">
              <w:rPr>
                <w:rFonts w:ascii="Arial Narrow" w:hAnsi="Arial Narrow"/>
                <w:sz w:val="20"/>
              </w:rPr>
              <w:t>ll-cause mortality</w:t>
            </w:r>
          </w:p>
          <w:p w14:paraId="481AF09C" w14:textId="2BA31CF3" w:rsidR="00A474A9" w:rsidRPr="00526FBF" w:rsidRDefault="002C08FE" w:rsidP="004C79C1">
            <w:pPr>
              <w:spacing w:before="0" w:after="120" w:line="240" w:lineRule="auto"/>
              <w:ind w:left="157" w:right="-57"/>
              <w:rPr>
                <w:rFonts w:ascii="Arial Narrow" w:hAnsi="Arial Narrow"/>
                <w:sz w:val="20"/>
              </w:rPr>
            </w:pPr>
            <w:r>
              <w:rPr>
                <w:rFonts w:ascii="Arial Narrow" w:hAnsi="Arial Narrow"/>
                <w:sz w:val="20"/>
              </w:rPr>
              <w:t>c</w:t>
            </w:r>
            <w:r w:rsidR="00A474A9" w:rsidRPr="00526FBF">
              <w:rPr>
                <w:rFonts w:ascii="Arial Narrow" w:hAnsi="Arial Narrow"/>
                <w:sz w:val="20"/>
              </w:rPr>
              <w:t>ardiac death</w:t>
            </w:r>
            <w:r w:rsidR="008734AE">
              <w:rPr>
                <w:rFonts w:ascii="Arial Narrow" w:hAnsi="Arial Narrow"/>
                <w:sz w:val="20"/>
              </w:rPr>
              <w:t xml:space="preserve"> </w:t>
            </w:r>
            <w:r w:rsidR="00A474A9" w:rsidRPr="00526FBF">
              <w:rPr>
                <w:rFonts w:ascii="Arial Narrow" w:hAnsi="Arial Narrow"/>
                <w:sz w:val="20"/>
              </w:rPr>
              <w:t>/</w:t>
            </w:r>
            <w:r w:rsidR="008734AE">
              <w:rPr>
                <w:rFonts w:ascii="Arial Narrow" w:hAnsi="Arial Narrow"/>
                <w:sz w:val="20"/>
              </w:rPr>
              <w:t xml:space="preserve"> </w:t>
            </w:r>
            <w:r w:rsidR="00A474A9" w:rsidRPr="00526FBF">
              <w:rPr>
                <w:rFonts w:ascii="Arial Narrow" w:hAnsi="Arial Narrow"/>
                <w:sz w:val="20"/>
              </w:rPr>
              <w:t>transplantation</w:t>
            </w:r>
          </w:p>
          <w:p w14:paraId="4C8D621E" w14:textId="27B35058" w:rsidR="00A474A9" w:rsidRPr="00526FBF" w:rsidRDefault="002C08FE" w:rsidP="004C79C1">
            <w:pPr>
              <w:spacing w:before="0" w:after="120" w:line="240" w:lineRule="auto"/>
              <w:ind w:left="157" w:right="-57"/>
              <w:rPr>
                <w:rFonts w:ascii="Arial Narrow" w:hAnsi="Arial Narrow"/>
                <w:sz w:val="20"/>
              </w:rPr>
            </w:pPr>
            <w:r>
              <w:rPr>
                <w:rFonts w:ascii="Arial Narrow" w:hAnsi="Arial Narrow"/>
                <w:sz w:val="20"/>
              </w:rPr>
              <w:t>h</w:t>
            </w:r>
            <w:r w:rsidR="00A474A9" w:rsidRPr="00526FBF">
              <w:rPr>
                <w:rFonts w:ascii="Arial Narrow" w:hAnsi="Arial Narrow"/>
                <w:sz w:val="20"/>
              </w:rPr>
              <w:t>ospitalisation for deteriorated HF</w:t>
            </w:r>
          </w:p>
          <w:p w14:paraId="14800605" w14:textId="77777777" w:rsidR="00FD57B2"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Major arrhythmia events: </w:t>
            </w:r>
          </w:p>
          <w:p w14:paraId="66FA03BE" w14:textId="239329C3" w:rsidR="00A474A9" w:rsidRPr="00526FBF" w:rsidRDefault="00A474A9" w:rsidP="004C79C1">
            <w:pPr>
              <w:spacing w:before="0" w:after="120" w:line="240" w:lineRule="auto"/>
              <w:ind w:left="157" w:right="-57"/>
              <w:rPr>
                <w:rFonts w:ascii="Arial Narrow" w:hAnsi="Arial Narrow"/>
                <w:sz w:val="20"/>
              </w:rPr>
            </w:pPr>
            <w:r w:rsidRPr="00526FBF">
              <w:rPr>
                <w:rFonts w:ascii="Arial Narrow" w:hAnsi="Arial Narrow"/>
                <w:sz w:val="20"/>
              </w:rPr>
              <w:t>a composite of SCD, sustained VT or VF appropriate</w:t>
            </w:r>
            <w:r w:rsidRPr="00526FBF">
              <w:rPr>
                <w:sz w:val="24"/>
              </w:rPr>
              <w:t xml:space="preserve"> </w:t>
            </w:r>
            <w:r w:rsidRPr="00526FBF">
              <w:rPr>
                <w:rFonts w:ascii="Arial Narrow" w:hAnsi="Arial Narrow"/>
                <w:sz w:val="20"/>
              </w:rPr>
              <w:t>ICD discharge/pacing</w:t>
            </w:r>
          </w:p>
          <w:p w14:paraId="206E90FA" w14:textId="77777777" w:rsidR="00A474A9" w:rsidRPr="00526FBF" w:rsidRDefault="00A474A9" w:rsidP="004C79C1">
            <w:pPr>
              <w:spacing w:before="0" w:after="120" w:line="240" w:lineRule="auto"/>
              <w:ind w:left="157"/>
              <w:rPr>
                <w:rFonts w:ascii="Arial Narrow" w:hAnsi="Arial Narrow"/>
                <w:sz w:val="20"/>
              </w:rPr>
            </w:pPr>
            <w:r w:rsidRPr="00526FBF">
              <w:rPr>
                <w:rFonts w:ascii="Arial Narrow" w:hAnsi="Arial Narrow"/>
                <w:sz w:val="20"/>
              </w:rPr>
              <w:t>SCD</w:t>
            </w:r>
          </w:p>
        </w:tc>
      </w:tr>
      <w:tr w:rsidR="00A474A9" w:rsidRPr="00526FBF" w14:paraId="2C613498" w14:textId="77777777" w:rsidTr="001170AB">
        <w:tc>
          <w:tcPr>
            <w:tcW w:w="391" w:type="pct"/>
            <w:shd w:val="clear" w:color="auto" w:fill="auto"/>
          </w:tcPr>
          <w:p w14:paraId="7924BF51" w14:textId="311D4BA2"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lastRenderedPageBreak/>
              <w:t xml:space="preserve">Kim et al. </w:t>
            </w:r>
            <w:r w:rsidR="00187A29">
              <w:rPr>
                <w:rFonts w:ascii="Arial Narrow" w:eastAsiaTheme="minorHAnsi" w:hAnsi="Arial Narrow" w:cstheme="minorHAnsi"/>
                <w:sz w:val="20"/>
                <w:lang w:eastAsia="en-US"/>
              </w:rPr>
              <w:fldChar w:fldCharType="begin"/>
            </w:r>
            <w:r w:rsidR="00187A29">
              <w:rPr>
                <w:rFonts w:ascii="Arial Narrow" w:eastAsiaTheme="minorHAnsi" w:hAnsi="Arial Narrow" w:cstheme="minorHAnsi"/>
                <w:sz w:val="20"/>
                <w:lang w:eastAsia="en-US"/>
              </w:rPr>
              <w:instrText xml:space="preserve"> ADDIN EN.CITE &lt;EndNote&gt;&lt;Cite ExcludeAuth="1"&gt;&lt;Author&gt;Kim&lt;/Author&gt;&lt;Year&gt;2015&lt;/Year&gt;&lt;RecNum&gt;66&lt;/RecNum&gt;&lt;DisplayText&gt;(2015)&lt;/DisplayText&gt;&lt;record&gt;&lt;rec-number&gt;66&lt;/rec-number&gt;&lt;foreign-keys&gt;&lt;key app="EN" db-id="pfxxvref0t0a5de2vwnv2fwkz0p9v0r2fw0t" timestamp="1458109065"&gt;66&lt;/key&gt;&lt;/foreign-keys&gt;&lt;ref-type name="Journal Article"&gt;17&lt;/ref-type&gt;&lt;contributors&gt;&lt;authors&gt;&lt;author&gt;Kim, E. K.&lt;/author&gt;&lt;author&gt;Chattranukulchai, P.&lt;/author&gt;&lt;author&gt;Klem, I.&lt;/author&gt;&lt;/authors&gt;&lt;/contributors&gt;&lt;titles&gt;&lt;title&gt;Cardiac Magnetic Resonance Scar Imaging for Sudden Cardiac Death Risk Stratification in Patients with Non-Ischemic Cardiomyopathy&lt;/title&gt;&lt;secondary-title&gt;Korean J Radiol&lt;/secondary-title&gt;&lt;/titles&gt;&lt;periodical&gt;&lt;full-title&gt;Korean J Radiol&lt;/full-title&gt;&lt;/periodical&gt;&lt;pages&gt;683-95&lt;/pages&gt;&lt;volume&gt;16&lt;/volume&gt;&lt;number&gt;4&lt;/number&gt;&lt;dates&gt;&lt;year&gt;2015&lt;/year&gt;&lt;pub-dates&gt;&lt;date&gt;2015-01-01&lt;/date&gt;&lt;/pub-dates&gt;&lt;/dates&gt;&lt;isbn&gt;1229-6929 (Print) 1229-6929&lt;/isbn&gt;&lt;urls&gt;&lt;related-urls&gt;&lt;url&gt;http://www.ncbi.nlm.nih.gov/pmc/articles/PMC4499533/pdf/kjr-16-683.pdf&lt;/url&gt;&lt;/related-urls&gt;&lt;/urls&gt;&lt;custom1&gt;RAYYAN-INCLUSION: {&amp;quot;Sharon&amp;quot;=&amp;gt;true} | RAYYAN-LABELS: general&lt;/custom1&gt;&lt;language&gt;eng&lt;/language&gt;&lt;/record&gt;&lt;/Cite&gt;&lt;/EndNote&gt;</w:instrText>
            </w:r>
            <w:r w:rsidR="00187A29">
              <w:rPr>
                <w:rFonts w:ascii="Arial Narrow" w:eastAsiaTheme="minorHAnsi" w:hAnsi="Arial Narrow" w:cstheme="minorHAnsi"/>
                <w:sz w:val="20"/>
                <w:lang w:eastAsia="en-US"/>
              </w:rPr>
              <w:fldChar w:fldCharType="separate"/>
            </w:r>
            <w:r w:rsidR="00187A29">
              <w:rPr>
                <w:rFonts w:ascii="Arial Narrow" w:eastAsiaTheme="minorHAnsi" w:hAnsi="Arial Narrow" w:cstheme="minorHAnsi"/>
                <w:noProof/>
                <w:sz w:val="20"/>
                <w:lang w:eastAsia="en-US"/>
              </w:rPr>
              <w:t>(</w:t>
            </w:r>
            <w:hyperlink w:anchor="_ENREF_59" w:tooltip="Kim, 2015 #66" w:history="1">
              <w:r w:rsidR="00B906E9">
                <w:rPr>
                  <w:rFonts w:ascii="Arial Narrow" w:eastAsiaTheme="minorHAnsi" w:hAnsi="Arial Narrow" w:cstheme="minorHAnsi"/>
                  <w:noProof/>
                  <w:sz w:val="20"/>
                  <w:lang w:eastAsia="en-US"/>
                </w:rPr>
                <w:t>2015</w:t>
              </w:r>
            </w:hyperlink>
            <w:r w:rsidR="00187A29">
              <w:rPr>
                <w:rFonts w:ascii="Arial Narrow" w:eastAsiaTheme="minorHAnsi" w:hAnsi="Arial Narrow" w:cstheme="minorHAnsi"/>
                <w:noProof/>
                <w:sz w:val="20"/>
                <w:lang w:eastAsia="en-US"/>
              </w:rPr>
              <w:t>)</w:t>
            </w:r>
            <w:r w:rsidR="00187A29">
              <w:rPr>
                <w:rFonts w:ascii="Arial Narrow" w:eastAsiaTheme="minorHAnsi" w:hAnsi="Arial Narrow" w:cstheme="minorHAnsi"/>
                <w:sz w:val="20"/>
                <w:lang w:eastAsia="en-US"/>
              </w:rPr>
              <w:fldChar w:fldCharType="end"/>
            </w:r>
          </w:p>
          <w:p w14:paraId="11CC7EC4"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6D27CDE3"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USA</w:t>
            </w:r>
          </w:p>
        </w:tc>
        <w:tc>
          <w:tcPr>
            <w:tcW w:w="641" w:type="pct"/>
            <w:shd w:val="clear" w:color="auto" w:fill="auto"/>
          </w:tcPr>
          <w:p w14:paraId="2B126F82"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NHMRC Level I</w:t>
            </w:r>
          </w:p>
          <w:p w14:paraId="7D4C9362"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7DBF098A"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AMSTAR:</w:t>
            </w:r>
            <w:r w:rsidRPr="00526FBF">
              <w:rPr>
                <w:rFonts w:ascii="Arial Narrow" w:eastAsiaTheme="minorHAnsi" w:hAnsi="Arial Narrow" w:cstheme="minorHAnsi"/>
                <w:sz w:val="20"/>
                <w:lang w:eastAsia="en-US"/>
              </w:rPr>
              <w:br/>
              <w:t>18% (2/11)</w:t>
            </w:r>
          </w:p>
          <w:p w14:paraId="24DDE58D"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Poor quality</w:t>
            </w:r>
          </w:p>
        </w:tc>
        <w:tc>
          <w:tcPr>
            <w:tcW w:w="800" w:type="pct"/>
            <w:shd w:val="clear" w:color="auto" w:fill="auto"/>
          </w:tcPr>
          <w:p w14:paraId="6FBC13C8" w14:textId="3B46206F"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lang w:eastAsia="en-US"/>
              </w:rPr>
              <w:t>To discuss the evidence of CMR-derived myocardial scar for the prediction of adverse cardiovascular outcomes in NICM</w:t>
            </w:r>
          </w:p>
          <w:p w14:paraId="1D4FDD63"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p>
          <w:p w14:paraId="1BECF104"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lang w:eastAsia="en-US"/>
              </w:rPr>
              <w:t>Adult patients with NICM (mostly DCM)</w:t>
            </w:r>
          </w:p>
        </w:tc>
        <w:tc>
          <w:tcPr>
            <w:tcW w:w="1852" w:type="pct"/>
            <w:shd w:val="clear" w:color="auto" w:fill="auto"/>
          </w:tcPr>
          <w:p w14:paraId="6BE6D5F5"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Search period:</w:t>
            </w:r>
          </w:p>
          <w:p w14:paraId="11AAF7FD" w14:textId="77777777" w:rsidR="00A474A9" w:rsidRPr="00526FBF" w:rsidRDefault="00A474A9" w:rsidP="004C79C1">
            <w:pPr>
              <w:spacing w:before="0" w:after="120" w:line="240" w:lineRule="auto"/>
              <w:ind w:right="-57"/>
              <w:rPr>
                <w:rFonts w:ascii="Arial Narrow" w:hAnsi="Arial Narrow"/>
                <w:sz w:val="20"/>
                <w:lang w:eastAsia="en-US"/>
              </w:rPr>
            </w:pPr>
            <w:r w:rsidRPr="00526FBF">
              <w:rPr>
                <w:rFonts w:ascii="Arial Narrow" w:hAnsi="Arial Narrow"/>
                <w:sz w:val="20"/>
                <w:lang w:eastAsia="en-US"/>
              </w:rPr>
              <w:t>Not reported</w:t>
            </w:r>
          </w:p>
          <w:p w14:paraId="66F8729C" w14:textId="77777777" w:rsidR="00A474A9" w:rsidRPr="00526FBF" w:rsidRDefault="00A474A9" w:rsidP="004C79C1">
            <w:pPr>
              <w:spacing w:before="0" w:after="120" w:line="240" w:lineRule="auto"/>
              <w:ind w:right="-57"/>
              <w:rPr>
                <w:rFonts w:ascii="Arial Narrow" w:hAnsi="Arial Narrow"/>
                <w:b/>
                <w:sz w:val="20"/>
                <w:lang w:eastAsia="en-US"/>
              </w:rPr>
            </w:pPr>
            <w:r w:rsidRPr="00526FBF">
              <w:rPr>
                <w:rFonts w:ascii="Arial Narrow" w:hAnsi="Arial Narrow"/>
                <w:b/>
                <w:sz w:val="20"/>
                <w:lang w:eastAsia="en-US"/>
              </w:rPr>
              <w:t>Databases searched:</w:t>
            </w:r>
          </w:p>
          <w:p w14:paraId="6451B25F"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Not reported</w:t>
            </w:r>
          </w:p>
          <w:p w14:paraId="2D34CF56"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 xml:space="preserve">Inclusion criteria: </w:t>
            </w:r>
          </w:p>
          <w:p w14:paraId="5E02F480"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Studies evaluating the relationship of myocardial scar and outcomes in NICM</w:t>
            </w:r>
          </w:p>
          <w:p w14:paraId="326ABFA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p>
          <w:p w14:paraId="4447F5E9"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None reported</w:t>
            </w:r>
          </w:p>
          <w:p w14:paraId="17B1CFFA"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Number of included studies:</w:t>
            </w:r>
            <w:r w:rsidRPr="00526FBF">
              <w:rPr>
                <w:rFonts w:ascii="Arial Narrow" w:hAnsi="Arial Narrow"/>
                <w:sz w:val="20"/>
              </w:rPr>
              <w:t xml:space="preserve"> 15</w:t>
            </w:r>
          </w:p>
        </w:tc>
        <w:tc>
          <w:tcPr>
            <w:tcW w:w="1316" w:type="pct"/>
            <w:shd w:val="clear" w:color="auto" w:fill="auto"/>
          </w:tcPr>
          <w:p w14:paraId="1B84659E" w14:textId="04040B9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Major cardiovascular events</w:t>
            </w:r>
            <w:r w:rsidR="00CF540F">
              <w:rPr>
                <w:rFonts w:ascii="Arial Narrow" w:hAnsi="Arial Narrow"/>
                <w:sz w:val="20"/>
              </w:rPr>
              <w:t>:</w:t>
            </w:r>
          </w:p>
          <w:p w14:paraId="413B0FED" w14:textId="4F9E89F4" w:rsidR="00A474A9" w:rsidRPr="00526FBF" w:rsidRDefault="002C08FE" w:rsidP="004C79C1">
            <w:pPr>
              <w:spacing w:before="0" w:after="120" w:line="240" w:lineRule="auto"/>
              <w:ind w:left="157" w:right="-57"/>
              <w:rPr>
                <w:rFonts w:ascii="Arial Narrow" w:hAnsi="Arial Narrow"/>
                <w:sz w:val="20"/>
              </w:rPr>
            </w:pPr>
            <w:r>
              <w:rPr>
                <w:rFonts w:ascii="Arial Narrow" w:hAnsi="Arial Narrow"/>
                <w:sz w:val="20"/>
              </w:rPr>
              <w:t>a</w:t>
            </w:r>
            <w:r w:rsidR="00A474A9" w:rsidRPr="00526FBF">
              <w:rPr>
                <w:rFonts w:ascii="Arial Narrow" w:hAnsi="Arial Narrow"/>
                <w:sz w:val="20"/>
              </w:rPr>
              <w:t>ll-cause mortality</w:t>
            </w:r>
          </w:p>
          <w:p w14:paraId="11DED36A" w14:textId="6429BC14" w:rsidR="00A474A9" w:rsidRPr="00526FBF" w:rsidRDefault="002C08FE" w:rsidP="004C79C1">
            <w:pPr>
              <w:spacing w:before="0" w:after="120" w:line="240" w:lineRule="auto"/>
              <w:ind w:left="157" w:right="-57"/>
              <w:rPr>
                <w:rFonts w:ascii="Arial Narrow" w:hAnsi="Arial Narrow"/>
                <w:sz w:val="20"/>
              </w:rPr>
            </w:pPr>
            <w:r>
              <w:rPr>
                <w:rFonts w:ascii="Arial Narrow" w:hAnsi="Arial Narrow"/>
                <w:sz w:val="20"/>
              </w:rPr>
              <w:t>a</w:t>
            </w:r>
            <w:r w:rsidR="00A474A9" w:rsidRPr="00526FBF">
              <w:rPr>
                <w:rFonts w:ascii="Arial Narrow" w:hAnsi="Arial Narrow"/>
                <w:sz w:val="20"/>
              </w:rPr>
              <w:t>rrhythmia events</w:t>
            </w:r>
          </w:p>
        </w:tc>
      </w:tr>
      <w:tr w:rsidR="00A474A9" w:rsidRPr="00526FBF" w14:paraId="42A85954" w14:textId="77777777" w:rsidTr="001170AB">
        <w:tc>
          <w:tcPr>
            <w:tcW w:w="391" w:type="pct"/>
            <w:shd w:val="clear" w:color="auto" w:fill="auto"/>
          </w:tcPr>
          <w:p w14:paraId="282B6FB4" w14:textId="3313CC72" w:rsidR="00A474A9" w:rsidRPr="00526FBF" w:rsidRDefault="00A474A9" w:rsidP="004C79C1">
            <w:pPr>
              <w:spacing w:before="0" w:after="120" w:line="240" w:lineRule="auto"/>
              <w:ind w:right="-57"/>
              <w:rPr>
                <w:rFonts w:ascii="Arial Narrow" w:hAnsi="Arial Narrow"/>
                <w:color w:val="000000"/>
                <w:sz w:val="20"/>
              </w:rPr>
            </w:pPr>
            <w:r w:rsidRPr="00526FBF">
              <w:rPr>
                <w:rFonts w:ascii="Arial Narrow" w:hAnsi="Arial Narrow"/>
                <w:color w:val="000000"/>
                <w:sz w:val="20"/>
              </w:rPr>
              <w:t xml:space="preserve">Kuruvilla et al. </w:t>
            </w:r>
            <w:r w:rsidR="00187A29">
              <w:rPr>
                <w:rFonts w:ascii="Arial Narrow" w:hAnsi="Arial Narrow"/>
                <w:color w:val="000000"/>
                <w:sz w:val="20"/>
              </w:rPr>
              <w:fldChar w:fldCharType="begin"/>
            </w:r>
            <w:r w:rsidR="00187A29">
              <w:rPr>
                <w:rFonts w:ascii="Arial Narrow" w:hAnsi="Arial Narrow"/>
                <w:color w:val="000000"/>
                <w:sz w:val="20"/>
              </w:rPr>
              <w:instrText xml:space="preserve"> ADDIN EN.CITE &lt;EndNote&gt;&lt;Cite ExcludeAuth="1"&gt;&lt;Author&gt;Kuruvilla&lt;/Author&gt;&lt;Year&gt;2014&lt;/Year&gt;&lt;RecNum&gt;67&lt;/RecNum&gt;&lt;DisplayText&gt;(2014)&lt;/DisplayText&gt;&lt;record&gt;&lt;rec-number&gt;67&lt;/rec-number&gt;&lt;foreign-keys&gt;&lt;key app="EN" db-id="pfxxvref0t0a5de2vwnv2fwkz0p9v0r2fw0t" timestamp="1458109066"&gt;67&lt;/key&gt;&lt;/foreign-keys&gt;&lt;ref-type name="Journal Article"&gt;17&lt;/ref-type&gt;&lt;contributors&gt;&lt;authors&gt;&lt;author&gt;Kuruvilla, Sujith&lt;/author&gt;&lt;author&gt;Adenaw, Nebiyu&lt;/author&gt;&lt;author&gt;Katwal, Arabindra B.&lt;/author&gt;&lt;author&gt;Lipinski, Michael J.&lt;/author&gt;&lt;author&gt;Kramer, Christopher M.&lt;/author&gt;&lt;author&gt;Salerno, Michael&lt;/author&gt;&lt;/authors&gt;&lt;/contributors&gt;&lt;titles&gt;&lt;title&gt;Late Gadolinium Enhancement on Cardiac Magnetic Resonance Predicts Adverse Cardiovascular Outcomes in Non-ischemic Cardiomyopathy: A Systematic Review and Meta-analysis&lt;/title&gt;&lt;secondary-title&gt;Circulation. Cardiovascular imaging&lt;/secondary-title&gt;&lt;/titles&gt;&lt;periodical&gt;&lt;full-title&gt;Circulation. Cardiovascular imaging&lt;/full-title&gt;&lt;/periodical&gt;&lt;pages&gt;250-258&lt;/pages&gt;&lt;volume&gt;7&lt;/volume&gt;&lt;number&gt;2&lt;/number&gt;&lt;dates&gt;&lt;year&gt;2014&lt;/year&gt;&lt;pub-dates&gt;&lt;date&gt;12/20&lt;/date&gt;&lt;/pub-dates&gt;&lt;/dates&gt;&lt;isbn&gt;1941-9651&amp;#xD;1942-0080&lt;/isbn&gt;&lt;accession-num&gt;PMC4007583&lt;/accession-num&gt;&lt;urls&gt;&lt;related-urls&gt;&lt;url&gt;http://www.ncbi.nlm.nih.gov/pmc/articles/PMC4007583/&lt;/url&gt;&lt;url&gt;http://circimaging.ahajournals.org/content/7/2/250.full.pdf&lt;/url&gt;&lt;/related-urls&gt;&lt;/urls&gt;&lt;electronic-resource-num&gt;10.1161/CIRCIMAGING.113.001144&lt;/electronic-resource-num&gt;&lt;remote-database-name&gt;PMC&lt;/remote-database-name&gt;&lt;/record&gt;&lt;/Cite&gt;&lt;/EndNote&gt;</w:instrText>
            </w:r>
            <w:r w:rsidR="00187A29">
              <w:rPr>
                <w:rFonts w:ascii="Arial Narrow" w:hAnsi="Arial Narrow"/>
                <w:color w:val="000000"/>
                <w:sz w:val="20"/>
              </w:rPr>
              <w:fldChar w:fldCharType="separate"/>
            </w:r>
            <w:r w:rsidR="00187A29">
              <w:rPr>
                <w:rFonts w:ascii="Arial Narrow" w:hAnsi="Arial Narrow"/>
                <w:noProof/>
                <w:color w:val="000000"/>
                <w:sz w:val="20"/>
              </w:rPr>
              <w:t>(</w:t>
            </w:r>
            <w:hyperlink w:anchor="_ENREF_64" w:tooltip="Kuruvilla, 2014 #67" w:history="1">
              <w:r w:rsidR="00B906E9">
                <w:rPr>
                  <w:rFonts w:ascii="Arial Narrow" w:hAnsi="Arial Narrow"/>
                  <w:noProof/>
                  <w:color w:val="000000"/>
                  <w:sz w:val="20"/>
                </w:rPr>
                <w:t>2014</w:t>
              </w:r>
            </w:hyperlink>
            <w:r w:rsidR="00187A29">
              <w:rPr>
                <w:rFonts w:ascii="Arial Narrow" w:hAnsi="Arial Narrow"/>
                <w:noProof/>
                <w:color w:val="000000"/>
                <w:sz w:val="20"/>
              </w:rPr>
              <w:t>)</w:t>
            </w:r>
            <w:r w:rsidR="00187A29">
              <w:rPr>
                <w:rFonts w:ascii="Arial Narrow" w:hAnsi="Arial Narrow"/>
                <w:color w:val="000000"/>
                <w:sz w:val="20"/>
              </w:rPr>
              <w:fldChar w:fldCharType="end"/>
            </w:r>
          </w:p>
          <w:p w14:paraId="256926FB" w14:textId="77777777" w:rsidR="00A474A9" w:rsidRPr="00526FBF" w:rsidRDefault="00A474A9" w:rsidP="004C79C1">
            <w:pPr>
              <w:spacing w:before="0" w:after="120" w:line="240" w:lineRule="auto"/>
              <w:ind w:right="-57"/>
              <w:rPr>
                <w:rFonts w:ascii="Arial Narrow" w:hAnsi="Arial Narrow"/>
                <w:color w:val="000000"/>
                <w:sz w:val="20"/>
              </w:rPr>
            </w:pPr>
          </w:p>
          <w:p w14:paraId="4E0935D0" w14:textId="77777777" w:rsidR="00A474A9" w:rsidRPr="00526FBF" w:rsidRDefault="00A474A9" w:rsidP="004C79C1">
            <w:pPr>
              <w:spacing w:before="0" w:after="120" w:line="240" w:lineRule="auto"/>
              <w:ind w:right="-57"/>
              <w:rPr>
                <w:rFonts w:ascii="Arial Narrow" w:hAnsi="Arial Narrow"/>
                <w:color w:val="000000"/>
              </w:rPr>
            </w:pPr>
            <w:r w:rsidRPr="00526FBF">
              <w:rPr>
                <w:rFonts w:ascii="Arial Narrow" w:hAnsi="Arial Narrow"/>
                <w:color w:val="000000"/>
                <w:sz w:val="20"/>
              </w:rPr>
              <w:t>USA</w:t>
            </w:r>
          </w:p>
        </w:tc>
        <w:tc>
          <w:tcPr>
            <w:tcW w:w="641" w:type="pct"/>
            <w:shd w:val="clear" w:color="auto" w:fill="auto"/>
          </w:tcPr>
          <w:p w14:paraId="5262431B"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NHMRC Level I</w:t>
            </w:r>
          </w:p>
          <w:p w14:paraId="1EB534C8"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28B6AB8F"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AMSTAR:</w:t>
            </w:r>
            <w:r w:rsidRPr="00526FBF">
              <w:rPr>
                <w:rFonts w:ascii="Arial Narrow" w:eastAsiaTheme="minorHAnsi" w:hAnsi="Arial Narrow" w:cstheme="minorHAnsi"/>
                <w:sz w:val="20"/>
                <w:lang w:eastAsia="en-US"/>
              </w:rPr>
              <w:br/>
              <w:t>55% (6/11)</w:t>
            </w:r>
          </w:p>
          <w:p w14:paraId="02E04AB2"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Moderate quality</w:t>
            </w:r>
          </w:p>
        </w:tc>
        <w:tc>
          <w:tcPr>
            <w:tcW w:w="800" w:type="pct"/>
            <w:shd w:val="clear" w:color="auto" w:fill="auto"/>
          </w:tcPr>
          <w:p w14:paraId="719E358D" w14:textId="46030EB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To evaluate the prognostic role of LGE-CMR imaging in patients with NICM</w:t>
            </w:r>
          </w:p>
          <w:p w14:paraId="5D79467A" w14:textId="77777777" w:rsidR="00A474A9" w:rsidRPr="00526FBF" w:rsidRDefault="00A474A9" w:rsidP="004C79C1">
            <w:pPr>
              <w:spacing w:before="0" w:after="120" w:line="240" w:lineRule="auto"/>
              <w:ind w:right="-57"/>
              <w:rPr>
                <w:rFonts w:ascii="Arial Narrow" w:hAnsi="Arial Narrow"/>
                <w:sz w:val="20"/>
              </w:rPr>
            </w:pPr>
          </w:p>
          <w:p w14:paraId="1091A89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Adult patients with NICM (mostly DCM)</w:t>
            </w:r>
          </w:p>
        </w:tc>
        <w:tc>
          <w:tcPr>
            <w:tcW w:w="1852" w:type="pct"/>
            <w:shd w:val="clear" w:color="auto" w:fill="auto"/>
          </w:tcPr>
          <w:p w14:paraId="3EFD5C68"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Search period:</w:t>
            </w:r>
          </w:p>
          <w:p w14:paraId="18CEDA6D"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Search was conducted in August 2013.</w:t>
            </w:r>
          </w:p>
          <w:p w14:paraId="529E3681" w14:textId="77777777" w:rsidR="00A474A9" w:rsidRPr="00526FBF" w:rsidRDefault="00A474A9" w:rsidP="004C79C1">
            <w:pPr>
              <w:spacing w:before="0" w:after="120" w:line="240" w:lineRule="auto"/>
              <w:ind w:right="-57"/>
              <w:rPr>
                <w:rFonts w:ascii="Arial Narrow" w:hAnsi="Arial Narrow"/>
                <w:b/>
                <w:sz w:val="20"/>
                <w:lang w:eastAsia="en-US"/>
              </w:rPr>
            </w:pPr>
            <w:r w:rsidRPr="00526FBF">
              <w:rPr>
                <w:rFonts w:ascii="Arial Narrow" w:hAnsi="Arial Narrow"/>
                <w:b/>
                <w:sz w:val="20"/>
                <w:lang w:eastAsia="en-US"/>
              </w:rPr>
              <w:t>Databases searched:</w:t>
            </w:r>
          </w:p>
          <w:p w14:paraId="1A9DC177" w14:textId="0A47D8AB"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PubMed, Cochrane CENTRAL and EMBASE</w:t>
            </w:r>
          </w:p>
          <w:p w14:paraId="3113BA76" w14:textId="77777777" w:rsidR="00A474A9" w:rsidRPr="00526FBF" w:rsidRDefault="00A474A9" w:rsidP="004C79C1">
            <w:pPr>
              <w:tabs>
                <w:tab w:val="left" w:pos="89"/>
              </w:tabs>
              <w:spacing w:before="0" w:after="120" w:line="240" w:lineRule="auto"/>
              <w:ind w:right="-57"/>
              <w:rPr>
                <w:rFonts w:ascii="Arial Narrow" w:hAnsi="Arial Narrow"/>
                <w:b/>
                <w:sz w:val="20"/>
              </w:rPr>
            </w:pPr>
            <w:r w:rsidRPr="00526FBF">
              <w:rPr>
                <w:rFonts w:ascii="Arial Narrow" w:hAnsi="Arial Narrow"/>
                <w:b/>
                <w:sz w:val="20"/>
              </w:rPr>
              <w:t xml:space="preserve">Inclusion criteria: </w:t>
            </w:r>
          </w:p>
          <w:p w14:paraId="5CE51E9A" w14:textId="4A9C2BA1"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sz w:val="20"/>
              </w:rPr>
              <w:t>Studies evaluating myocardial fibrosis in patients with NICM using LGE-CMR and inclusion of hard end points</w:t>
            </w:r>
          </w:p>
          <w:p w14:paraId="5CD3DCB3" w14:textId="77777777"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p>
          <w:p w14:paraId="46C6A84D" w14:textId="7A737CDF"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sz w:val="20"/>
              </w:rPr>
              <w:t xml:space="preserve">Studies that evaluated </w:t>
            </w:r>
            <w:r>
              <w:rPr>
                <w:rFonts w:ascii="Arial Narrow" w:hAnsi="Arial Narrow"/>
                <w:sz w:val="20"/>
              </w:rPr>
              <w:t>ICM</w:t>
            </w:r>
            <w:r w:rsidRPr="00526FBF">
              <w:rPr>
                <w:rFonts w:ascii="Arial Narrow" w:hAnsi="Arial Narrow"/>
                <w:sz w:val="20"/>
              </w:rPr>
              <w:t xml:space="preserve">, acute myocarditis, and </w:t>
            </w:r>
            <w:r>
              <w:rPr>
                <w:rFonts w:ascii="Arial Narrow" w:hAnsi="Arial Narrow"/>
                <w:sz w:val="20"/>
              </w:rPr>
              <w:t>HCM</w:t>
            </w:r>
            <w:r w:rsidRPr="00526FBF">
              <w:rPr>
                <w:rFonts w:ascii="Arial Narrow" w:hAnsi="Arial Narrow"/>
                <w:sz w:val="20"/>
              </w:rPr>
              <w:t xml:space="preserve"> and infiltrative </w:t>
            </w:r>
            <w:r>
              <w:rPr>
                <w:rFonts w:ascii="Arial Narrow" w:hAnsi="Arial Narrow"/>
                <w:sz w:val="20"/>
              </w:rPr>
              <w:t>CM</w:t>
            </w:r>
            <w:r w:rsidRPr="00526FBF">
              <w:rPr>
                <w:rFonts w:ascii="Arial Narrow" w:hAnsi="Arial Narrow"/>
                <w:sz w:val="20"/>
              </w:rPr>
              <w:t xml:space="preserve"> (including cardiac amyloidosis), and abstracts</w:t>
            </w:r>
          </w:p>
          <w:p w14:paraId="4E3373AE" w14:textId="77777777"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b/>
                <w:sz w:val="20"/>
              </w:rPr>
              <w:t>Number of included studies:</w:t>
            </w:r>
            <w:r w:rsidRPr="00526FBF">
              <w:rPr>
                <w:rFonts w:ascii="Arial Narrow" w:hAnsi="Arial Narrow"/>
                <w:sz w:val="20"/>
              </w:rPr>
              <w:t xml:space="preserve"> 9</w:t>
            </w:r>
          </w:p>
        </w:tc>
        <w:tc>
          <w:tcPr>
            <w:tcW w:w="1316" w:type="pct"/>
            <w:shd w:val="clear" w:color="auto" w:fill="auto"/>
          </w:tcPr>
          <w:p w14:paraId="31417D23" w14:textId="77777777" w:rsidR="00FD57B2" w:rsidRDefault="00FD57B2" w:rsidP="004C79C1">
            <w:pPr>
              <w:spacing w:before="0" w:after="120" w:line="240" w:lineRule="auto"/>
              <w:ind w:right="-57"/>
              <w:rPr>
                <w:rFonts w:ascii="Arial Narrow" w:hAnsi="Arial Narrow"/>
                <w:sz w:val="20"/>
              </w:rPr>
            </w:pPr>
            <w:r w:rsidRPr="00526FBF">
              <w:rPr>
                <w:rFonts w:ascii="Arial Narrow" w:hAnsi="Arial Narrow"/>
                <w:sz w:val="20"/>
              </w:rPr>
              <w:t>Major cardiovascular events</w:t>
            </w:r>
            <w:r>
              <w:rPr>
                <w:rFonts w:ascii="Arial Narrow" w:hAnsi="Arial Narrow"/>
                <w:sz w:val="20"/>
              </w:rPr>
              <w:t>:</w:t>
            </w:r>
          </w:p>
          <w:p w14:paraId="26E9AEA8" w14:textId="67B9B709" w:rsidR="00A474A9" w:rsidRPr="00526FBF" w:rsidRDefault="00FD57B2" w:rsidP="004C79C1">
            <w:pPr>
              <w:spacing w:before="0" w:after="120" w:line="240" w:lineRule="auto"/>
              <w:ind w:left="157" w:right="-57"/>
              <w:rPr>
                <w:rFonts w:ascii="Arial Narrow" w:hAnsi="Arial Narrow"/>
                <w:b/>
                <w:sz w:val="20"/>
                <w:lang w:val="en-GB" w:eastAsia="en-US"/>
              </w:rPr>
            </w:pPr>
            <w:r>
              <w:rPr>
                <w:rFonts w:ascii="Arial Narrow" w:hAnsi="Arial Narrow"/>
                <w:sz w:val="20"/>
              </w:rPr>
              <w:t>a</w:t>
            </w:r>
            <w:r w:rsidR="00A474A9" w:rsidRPr="00526FBF">
              <w:rPr>
                <w:rFonts w:ascii="Arial Narrow" w:hAnsi="Arial Narrow"/>
                <w:sz w:val="20"/>
              </w:rPr>
              <w:t>ll-cause mortality</w:t>
            </w:r>
          </w:p>
          <w:p w14:paraId="6DDE31B4" w14:textId="74262E32" w:rsidR="00A474A9" w:rsidRPr="00526FBF" w:rsidRDefault="00FD57B2" w:rsidP="004C79C1">
            <w:pPr>
              <w:spacing w:before="0" w:after="120" w:line="240" w:lineRule="auto"/>
              <w:ind w:left="157" w:right="-57"/>
              <w:rPr>
                <w:rFonts w:ascii="Arial Narrow" w:hAnsi="Arial Narrow"/>
                <w:b/>
                <w:sz w:val="20"/>
                <w:lang w:val="en-GB" w:eastAsia="en-US"/>
              </w:rPr>
            </w:pPr>
            <w:r>
              <w:rPr>
                <w:rFonts w:ascii="Arial Narrow" w:hAnsi="Arial Narrow"/>
                <w:sz w:val="20"/>
              </w:rPr>
              <w:t>h</w:t>
            </w:r>
            <w:r w:rsidR="00A474A9" w:rsidRPr="00526FBF">
              <w:rPr>
                <w:rFonts w:ascii="Arial Narrow" w:hAnsi="Arial Narrow"/>
                <w:sz w:val="20"/>
              </w:rPr>
              <w:t>ospitali</w:t>
            </w:r>
            <w:r w:rsidR="000E0C7C">
              <w:rPr>
                <w:rFonts w:ascii="Arial Narrow" w:hAnsi="Arial Narrow"/>
                <w:sz w:val="20"/>
              </w:rPr>
              <w:t>s</w:t>
            </w:r>
            <w:r w:rsidR="00A474A9" w:rsidRPr="00526FBF">
              <w:rPr>
                <w:rFonts w:ascii="Arial Narrow" w:hAnsi="Arial Narrow"/>
                <w:sz w:val="20"/>
              </w:rPr>
              <w:t>ation for HF</w:t>
            </w:r>
          </w:p>
          <w:p w14:paraId="0025BBF5" w14:textId="33B95F90" w:rsidR="00A474A9" w:rsidRPr="00526FBF" w:rsidRDefault="00FD57B2" w:rsidP="004C79C1">
            <w:pPr>
              <w:spacing w:before="0" w:after="120" w:line="240" w:lineRule="auto"/>
              <w:ind w:left="157" w:right="-57"/>
              <w:rPr>
                <w:rFonts w:ascii="Arial Narrow" w:hAnsi="Arial Narrow"/>
                <w:b/>
                <w:sz w:val="20"/>
                <w:lang w:val="en-GB" w:eastAsia="en-US"/>
              </w:rPr>
            </w:pPr>
            <w:r>
              <w:rPr>
                <w:rFonts w:ascii="Arial Narrow" w:hAnsi="Arial Narrow"/>
                <w:sz w:val="20"/>
              </w:rPr>
              <w:t>c</w:t>
            </w:r>
            <w:r w:rsidR="00A474A9" w:rsidRPr="00526FBF">
              <w:rPr>
                <w:rFonts w:ascii="Arial Narrow" w:hAnsi="Arial Narrow"/>
                <w:sz w:val="20"/>
              </w:rPr>
              <w:t>omposite endpoint of SCD, aborted SCD or appropriate ICD therapy</w:t>
            </w:r>
          </w:p>
        </w:tc>
      </w:tr>
      <w:tr w:rsidR="00A474A9" w:rsidRPr="00526FBF" w14:paraId="4C19E73A" w14:textId="77777777" w:rsidTr="001170AB">
        <w:tc>
          <w:tcPr>
            <w:tcW w:w="391" w:type="pct"/>
          </w:tcPr>
          <w:p w14:paraId="4F77D59D" w14:textId="7605C341"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 xml:space="preserve">Scott et al. </w:t>
            </w:r>
            <w:r w:rsidR="00187A29">
              <w:rPr>
                <w:rFonts w:ascii="Arial Narrow" w:eastAsiaTheme="minorHAnsi" w:hAnsi="Arial Narrow" w:cstheme="minorHAnsi"/>
                <w:sz w:val="20"/>
                <w:lang w:eastAsia="en-US"/>
              </w:rPr>
              <w:lastRenderedPageBreak/>
              <w:fldChar w:fldCharType="begin"/>
            </w:r>
            <w:r w:rsidR="00187A29">
              <w:rPr>
                <w:rFonts w:ascii="Arial Narrow" w:eastAsiaTheme="minorHAnsi" w:hAnsi="Arial Narrow" w:cstheme="minorHAnsi"/>
                <w:sz w:val="20"/>
                <w:lang w:eastAsia="en-US"/>
              </w:rPr>
              <w:instrText xml:space="preserve"> ADDIN EN.CITE &lt;EndNote&gt;&lt;Cite ExcludeAuth="1"&gt;&lt;Author&gt;Scott&lt;/Author&gt;&lt;Year&gt;2013&lt;/Year&gt;&lt;RecNum&gt;68&lt;/RecNum&gt;&lt;DisplayText&gt;(2013)&lt;/DisplayText&gt;&lt;record&gt;&lt;rec-number&gt;68&lt;/rec-number&gt;&lt;foreign-keys&gt;&lt;key app="EN" db-id="pfxxvref0t0a5de2vwnv2fwkz0p9v0r2fw0t" timestamp="1458109066"&gt;68&lt;/key&gt;&lt;/foreign-keys&gt;&lt;ref-type name="Journal Article"&gt;17&lt;/ref-type&gt;&lt;contributors&gt;&lt;authors&gt;&lt;author&gt;Scott, P. A.&lt;/author&gt;&lt;author&gt;Rosengarten, J. A.&lt;/author&gt;&lt;author&gt;Curzen, N. P.&lt;/author&gt;&lt;author&gt;Morgan, J. M.&lt;/author&gt;&lt;/authors&gt;&lt;/contributors&gt;&lt;titles&gt;&lt;title&gt;Late gadolinium enhancement cardiac magnetic resonance imaging for the prediction of ventricular tachyarrhythmic events: a meta-analysis&lt;/title&gt;&lt;secondary-title&gt;Eur J Heart Fail&lt;/secondary-title&gt;&lt;/titles&gt;&lt;periodical&gt;&lt;full-title&gt;Eur J Heart Fail&lt;/full-title&gt;&lt;/periodical&gt;&lt;pages&gt;1019-27&lt;/pages&gt;&lt;volume&gt;15&lt;/volume&gt;&lt;number&gt;9&lt;/number&gt;&lt;dates&gt;&lt;year&gt;2013&lt;/year&gt;&lt;pub-dates&gt;&lt;date&gt;2013-01-01&lt;/date&gt;&lt;/pub-dates&gt;&lt;/dates&gt;&lt;isbn&gt;1388-9842&lt;/isbn&gt;&lt;urls&gt;&lt;related-urls&gt;&lt;url&gt;http://onlinelibrary.wiley.com/store/10.1093/eurjhf/hft053/asset/ejhfhft053.pdf?v=1&amp;amp;t=ijov9fxd&amp;amp;s=f95a1d21184ed9becc8b062ae5e7b547adbaeca0&lt;/url&gt;&lt;/related-urls&gt;&lt;/urls&gt;&lt;custom1&gt;RAYYAN-INCLUSION: {&amp;quot;Sharon&amp;quot;=&amp;gt;true} | RAYYAN-LABELS: general&lt;/custom1&gt;&lt;language&gt;eng&lt;/language&gt;&lt;/record&gt;&lt;/Cite&gt;&lt;/EndNote&gt;</w:instrText>
            </w:r>
            <w:r w:rsidR="00187A29">
              <w:rPr>
                <w:rFonts w:ascii="Arial Narrow" w:eastAsiaTheme="minorHAnsi" w:hAnsi="Arial Narrow" w:cstheme="minorHAnsi"/>
                <w:sz w:val="20"/>
                <w:lang w:eastAsia="en-US"/>
              </w:rPr>
              <w:fldChar w:fldCharType="separate"/>
            </w:r>
            <w:r w:rsidR="00187A29">
              <w:rPr>
                <w:rFonts w:ascii="Arial Narrow" w:eastAsiaTheme="minorHAnsi" w:hAnsi="Arial Narrow" w:cstheme="minorHAnsi"/>
                <w:noProof/>
                <w:sz w:val="20"/>
                <w:lang w:eastAsia="en-US"/>
              </w:rPr>
              <w:t>(</w:t>
            </w:r>
            <w:hyperlink w:anchor="_ENREF_113" w:tooltip="Scott, 2013 #68" w:history="1">
              <w:r w:rsidR="00B906E9">
                <w:rPr>
                  <w:rFonts w:ascii="Arial Narrow" w:eastAsiaTheme="minorHAnsi" w:hAnsi="Arial Narrow" w:cstheme="minorHAnsi"/>
                  <w:noProof/>
                  <w:sz w:val="20"/>
                  <w:lang w:eastAsia="en-US"/>
                </w:rPr>
                <w:t>2013</w:t>
              </w:r>
            </w:hyperlink>
            <w:r w:rsidR="00187A29">
              <w:rPr>
                <w:rFonts w:ascii="Arial Narrow" w:eastAsiaTheme="minorHAnsi" w:hAnsi="Arial Narrow" w:cstheme="minorHAnsi"/>
                <w:noProof/>
                <w:sz w:val="20"/>
                <w:lang w:eastAsia="en-US"/>
              </w:rPr>
              <w:t>)</w:t>
            </w:r>
            <w:r w:rsidR="00187A29">
              <w:rPr>
                <w:rFonts w:ascii="Arial Narrow" w:eastAsiaTheme="minorHAnsi" w:hAnsi="Arial Narrow" w:cstheme="minorHAnsi"/>
                <w:sz w:val="20"/>
                <w:lang w:eastAsia="en-US"/>
              </w:rPr>
              <w:fldChar w:fldCharType="end"/>
            </w:r>
          </w:p>
          <w:p w14:paraId="434AD80E"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294F59C5"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UK</w:t>
            </w:r>
          </w:p>
        </w:tc>
        <w:tc>
          <w:tcPr>
            <w:tcW w:w="641" w:type="pct"/>
          </w:tcPr>
          <w:p w14:paraId="64339562"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lastRenderedPageBreak/>
              <w:t>NHMRC Level I</w:t>
            </w:r>
          </w:p>
          <w:p w14:paraId="29F6C0FF"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7A56BBCB"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AMSTAR:</w:t>
            </w:r>
            <w:r w:rsidRPr="00526FBF">
              <w:rPr>
                <w:rFonts w:ascii="Arial Narrow" w:eastAsiaTheme="minorHAnsi" w:hAnsi="Arial Narrow" w:cstheme="minorHAnsi"/>
                <w:sz w:val="20"/>
                <w:lang w:eastAsia="en-US"/>
              </w:rPr>
              <w:br/>
              <w:t>64% (7/11)</w:t>
            </w:r>
          </w:p>
          <w:p w14:paraId="6C6F4DAF"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Good quality</w:t>
            </w:r>
          </w:p>
        </w:tc>
        <w:tc>
          <w:tcPr>
            <w:tcW w:w="800" w:type="pct"/>
          </w:tcPr>
          <w:p w14:paraId="050424FE" w14:textId="12D0E3E4" w:rsidR="00A474A9" w:rsidRPr="00526FBF" w:rsidRDefault="00663A8B" w:rsidP="004C79C1">
            <w:pPr>
              <w:tabs>
                <w:tab w:val="left" w:pos="89"/>
              </w:tabs>
              <w:spacing w:before="0" w:after="120" w:line="240" w:lineRule="auto"/>
              <w:ind w:right="-57"/>
              <w:rPr>
                <w:rFonts w:ascii="Arial Narrow" w:hAnsi="Arial Narrow"/>
                <w:sz w:val="20"/>
                <w:lang w:eastAsia="en-US"/>
              </w:rPr>
            </w:pPr>
            <w:r>
              <w:rPr>
                <w:rFonts w:ascii="Arial Narrow" w:hAnsi="Arial Narrow"/>
                <w:sz w:val="20"/>
                <w:lang w:eastAsia="en-US"/>
              </w:rPr>
              <w:lastRenderedPageBreak/>
              <w:t>T</w:t>
            </w:r>
            <w:r w:rsidR="00A474A9" w:rsidRPr="00526FBF">
              <w:rPr>
                <w:rFonts w:ascii="Arial Narrow" w:hAnsi="Arial Narrow"/>
                <w:sz w:val="20"/>
                <w:lang w:eastAsia="en-US"/>
              </w:rPr>
              <w:t xml:space="preserve">o better gauge the predictive accuracy of </w:t>
            </w:r>
            <w:r w:rsidR="00A474A9" w:rsidRPr="00526FBF">
              <w:rPr>
                <w:rFonts w:ascii="Arial Narrow" w:hAnsi="Arial Narrow"/>
                <w:sz w:val="20"/>
                <w:lang w:eastAsia="en-US"/>
              </w:rPr>
              <w:lastRenderedPageBreak/>
              <w:t>LGE-CMR for SCD risk stratification</w:t>
            </w:r>
          </w:p>
          <w:p w14:paraId="0B0BE5D7"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p>
          <w:p w14:paraId="627D1A1B" w14:textId="33CD5197"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rPr>
              <w:t>Adult patients with CAD or NICM who had undergone LGE-CMR and were followed</w:t>
            </w:r>
            <w:r w:rsidR="00663A8B">
              <w:rPr>
                <w:rFonts w:ascii="Arial Narrow" w:hAnsi="Arial Narrow"/>
                <w:sz w:val="20"/>
              </w:rPr>
              <w:t xml:space="preserve"> </w:t>
            </w:r>
            <w:r w:rsidRPr="00526FBF">
              <w:rPr>
                <w:rFonts w:ascii="Arial Narrow" w:hAnsi="Arial Narrow"/>
                <w:sz w:val="20"/>
              </w:rPr>
              <w:t>up</w:t>
            </w:r>
          </w:p>
        </w:tc>
        <w:tc>
          <w:tcPr>
            <w:tcW w:w="1852" w:type="pct"/>
          </w:tcPr>
          <w:p w14:paraId="745F7611"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lastRenderedPageBreak/>
              <w:t>Search period:</w:t>
            </w:r>
          </w:p>
          <w:p w14:paraId="0D415879" w14:textId="42C928F7" w:rsidR="00A474A9" w:rsidRPr="00526FBF" w:rsidRDefault="00663A8B" w:rsidP="004C79C1">
            <w:pPr>
              <w:spacing w:before="0" w:after="120" w:line="240" w:lineRule="auto"/>
              <w:ind w:right="-57"/>
              <w:rPr>
                <w:rFonts w:ascii="Arial Narrow" w:hAnsi="Arial Narrow"/>
                <w:sz w:val="20"/>
                <w:lang w:eastAsia="en-US"/>
              </w:rPr>
            </w:pPr>
            <w:r>
              <w:rPr>
                <w:rFonts w:ascii="Arial Narrow" w:hAnsi="Arial Narrow"/>
                <w:sz w:val="20"/>
                <w:lang w:eastAsia="en-US"/>
              </w:rPr>
              <w:lastRenderedPageBreak/>
              <w:t>F</w:t>
            </w:r>
            <w:r w:rsidR="00A474A9" w:rsidRPr="00526FBF">
              <w:rPr>
                <w:rFonts w:ascii="Arial Narrow" w:hAnsi="Arial Narrow"/>
                <w:sz w:val="20"/>
                <w:lang w:eastAsia="en-US"/>
              </w:rPr>
              <w:t>rom 1966 to August 2012</w:t>
            </w:r>
          </w:p>
          <w:p w14:paraId="1EEBDBD2" w14:textId="77777777" w:rsidR="00A474A9" w:rsidRPr="00526FBF" w:rsidRDefault="00A474A9" w:rsidP="004C79C1">
            <w:pPr>
              <w:spacing w:before="0" w:after="120" w:line="240" w:lineRule="auto"/>
              <w:ind w:right="-57"/>
              <w:rPr>
                <w:rFonts w:ascii="Arial Narrow" w:hAnsi="Arial Narrow"/>
                <w:b/>
                <w:sz w:val="20"/>
                <w:lang w:eastAsia="en-US"/>
              </w:rPr>
            </w:pPr>
            <w:r w:rsidRPr="00526FBF">
              <w:rPr>
                <w:rFonts w:ascii="Arial Narrow" w:hAnsi="Arial Narrow"/>
                <w:b/>
                <w:sz w:val="20"/>
                <w:lang w:eastAsia="en-US"/>
              </w:rPr>
              <w:t>Databases searched:</w:t>
            </w:r>
          </w:p>
          <w:p w14:paraId="595CD42A" w14:textId="005CF151"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PubMed, EMBASE and</w:t>
            </w:r>
            <w:r w:rsidRPr="00526FBF">
              <w:rPr>
                <w:sz w:val="24"/>
              </w:rPr>
              <w:t xml:space="preserve"> </w:t>
            </w:r>
            <w:r w:rsidRPr="00526FBF">
              <w:rPr>
                <w:rFonts w:ascii="Arial Narrow" w:hAnsi="Arial Narrow"/>
                <w:sz w:val="20"/>
              </w:rPr>
              <w:t>the Cochrane library</w:t>
            </w:r>
          </w:p>
          <w:p w14:paraId="59443708"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 xml:space="preserve">Inclusion criteria: </w:t>
            </w:r>
          </w:p>
          <w:p w14:paraId="29001DB3" w14:textId="1098466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Studies that examined the relationship between the extent of LV scar (including core scar, the peri-infarct or ‘grey’ zone, and measures of scar transmurality), quantified by LGE-CMR and one or more arrhythmic endpoints</w:t>
            </w:r>
            <w:r w:rsidR="00663A8B">
              <w:rPr>
                <w:rFonts w:ascii="Arial Narrow" w:hAnsi="Arial Narrow"/>
                <w:sz w:val="20"/>
              </w:rPr>
              <w:t>,</w:t>
            </w:r>
            <w:r w:rsidRPr="00526FBF">
              <w:rPr>
                <w:rFonts w:ascii="Arial Narrow" w:hAnsi="Arial Narrow"/>
                <w:sz w:val="20"/>
              </w:rPr>
              <w:t xml:space="preserve"> and</w:t>
            </w:r>
            <w:r w:rsidRPr="00526FBF">
              <w:rPr>
                <w:sz w:val="24"/>
              </w:rPr>
              <w:t xml:space="preserve"> </w:t>
            </w:r>
            <w:r w:rsidRPr="00526FBF">
              <w:rPr>
                <w:rFonts w:ascii="Arial Narrow" w:hAnsi="Arial Narrow"/>
                <w:sz w:val="20"/>
              </w:rPr>
              <w:t>that involved patients with CAD or NICM</w:t>
            </w:r>
          </w:p>
          <w:p w14:paraId="0480362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p>
          <w:p w14:paraId="45AAD6CE" w14:textId="5641000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Studies not in English, abstracts or session presentations</w:t>
            </w:r>
            <w:r w:rsidRPr="00526FBF">
              <w:rPr>
                <w:sz w:val="24"/>
              </w:rPr>
              <w:t xml:space="preserve"> </w:t>
            </w:r>
            <w:r w:rsidRPr="00526FBF">
              <w:rPr>
                <w:rFonts w:ascii="Arial Narrow" w:hAnsi="Arial Narrow"/>
                <w:sz w:val="20"/>
              </w:rPr>
              <w:t>Studies that used a composite endpoint including arrhythmias, but where the majority of endpoints that occurred were non-arrhythmic and data for individual endpoints were not presented Studies where the only endpoints presented were all-cause mortality, cardiac mortality or mortality due to pump failure</w:t>
            </w:r>
            <w:r w:rsidRPr="00526FBF">
              <w:rPr>
                <w:sz w:val="24"/>
              </w:rPr>
              <w:t xml:space="preserve"> </w:t>
            </w:r>
            <w:r w:rsidRPr="00526FBF">
              <w:rPr>
                <w:rFonts w:ascii="Arial Narrow" w:hAnsi="Arial Narrow"/>
                <w:sz w:val="20"/>
              </w:rPr>
              <w:t>Studies where the results were reported so that a 2x2 table of results could not be constructed</w:t>
            </w:r>
            <w:r w:rsidR="00663A8B">
              <w:rPr>
                <w:rFonts w:ascii="Arial Narrow" w:hAnsi="Arial Narrow"/>
                <w:sz w:val="20"/>
              </w:rPr>
              <w:t>,</w:t>
            </w:r>
            <w:r w:rsidRPr="00526FBF">
              <w:rPr>
                <w:rFonts w:ascii="Arial Narrow" w:hAnsi="Arial Narrow"/>
                <w:sz w:val="20"/>
              </w:rPr>
              <w:t xml:space="preserve"> and those involving overlapping or duplicate cohorts of patients</w:t>
            </w:r>
          </w:p>
          <w:p w14:paraId="45FF65B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Number of included studies:</w:t>
            </w:r>
            <w:r w:rsidRPr="00526FBF">
              <w:rPr>
                <w:rFonts w:ascii="Arial Narrow" w:hAnsi="Arial Narrow"/>
                <w:sz w:val="20"/>
              </w:rPr>
              <w:t xml:space="preserve"> 11</w:t>
            </w:r>
          </w:p>
        </w:tc>
        <w:tc>
          <w:tcPr>
            <w:tcW w:w="1316" w:type="pct"/>
          </w:tcPr>
          <w:p w14:paraId="71EEF9BF"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Arrhythmic endpoints:</w:t>
            </w:r>
          </w:p>
          <w:p w14:paraId="77EFF86A" w14:textId="17FD2F0C" w:rsidR="00A474A9" w:rsidRPr="00526FBF" w:rsidRDefault="00A474A9" w:rsidP="004C79C1">
            <w:pPr>
              <w:spacing w:before="0" w:after="120" w:line="240" w:lineRule="auto"/>
              <w:ind w:left="157" w:right="-57"/>
              <w:rPr>
                <w:rFonts w:ascii="Arial Narrow" w:hAnsi="Arial Narrow"/>
                <w:sz w:val="20"/>
              </w:rPr>
            </w:pPr>
            <w:r w:rsidRPr="00526FBF">
              <w:rPr>
                <w:rFonts w:ascii="Arial Narrow" w:hAnsi="Arial Narrow"/>
                <w:sz w:val="20"/>
              </w:rPr>
              <w:lastRenderedPageBreak/>
              <w:t>SCD</w:t>
            </w:r>
            <w:r w:rsidRPr="00526FBF">
              <w:rPr>
                <w:rFonts w:ascii="Arial Narrow" w:hAnsi="Arial Narrow"/>
                <w:sz w:val="20"/>
              </w:rPr>
              <w:br/>
            </w:r>
            <w:r w:rsidR="002905A2">
              <w:rPr>
                <w:rFonts w:ascii="Arial Narrow" w:hAnsi="Arial Narrow"/>
                <w:sz w:val="20"/>
              </w:rPr>
              <w:t>r</w:t>
            </w:r>
            <w:r w:rsidRPr="00526FBF">
              <w:rPr>
                <w:rFonts w:ascii="Arial Narrow" w:hAnsi="Arial Narrow"/>
                <w:sz w:val="20"/>
              </w:rPr>
              <w:t>esuscitated cardiac arrest</w:t>
            </w:r>
            <w:r w:rsidRPr="00526FBF">
              <w:rPr>
                <w:rFonts w:ascii="Arial Narrow" w:hAnsi="Arial Narrow"/>
                <w:sz w:val="20"/>
              </w:rPr>
              <w:br/>
            </w:r>
            <w:r w:rsidR="002905A2">
              <w:rPr>
                <w:rFonts w:ascii="Arial Narrow" w:hAnsi="Arial Narrow"/>
                <w:sz w:val="20"/>
              </w:rPr>
              <w:t>o</w:t>
            </w:r>
            <w:r w:rsidRPr="00526FBF">
              <w:rPr>
                <w:rFonts w:ascii="Arial Narrow" w:hAnsi="Arial Narrow"/>
                <w:sz w:val="20"/>
              </w:rPr>
              <w:t xml:space="preserve">ccurrence of </w:t>
            </w:r>
            <w:r w:rsidR="005212B4">
              <w:rPr>
                <w:rFonts w:ascii="Arial Narrow" w:hAnsi="Arial Narrow"/>
                <w:sz w:val="20"/>
              </w:rPr>
              <w:t>VA</w:t>
            </w:r>
            <w:r w:rsidRPr="00526FBF">
              <w:rPr>
                <w:rFonts w:ascii="Arial Narrow" w:hAnsi="Arial Narrow"/>
                <w:sz w:val="20"/>
              </w:rPr>
              <w:t>s</w:t>
            </w:r>
            <w:r w:rsidRPr="00526FBF">
              <w:rPr>
                <w:rFonts w:ascii="Arial Narrow" w:hAnsi="Arial Narrow"/>
                <w:sz w:val="20"/>
              </w:rPr>
              <w:br/>
            </w:r>
            <w:r w:rsidR="002905A2">
              <w:rPr>
                <w:rFonts w:ascii="Arial Narrow" w:hAnsi="Arial Narrow"/>
                <w:sz w:val="20"/>
              </w:rPr>
              <w:t>a</w:t>
            </w:r>
            <w:r w:rsidRPr="00526FBF">
              <w:rPr>
                <w:rFonts w:ascii="Arial Narrow" w:hAnsi="Arial Narrow"/>
                <w:sz w:val="20"/>
              </w:rPr>
              <w:t>ppropriate ICD therapy</w:t>
            </w:r>
          </w:p>
        </w:tc>
      </w:tr>
      <w:tr w:rsidR="00A474A9" w:rsidRPr="00526FBF" w14:paraId="59EFD131" w14:textId="77777777" w:rsidTr="001170AB">
        <w:tc>
          <w:tcPr>
            <w:tcW w:w="391" w:type="pct"/>
            <w:shd w:val="clear" w:color="auto" w:fill="auto"/>
          </w:tcPr>
          <w:p w14:paraId="18C88B7E" w14:textId="107DA6E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 xml:space="preserve">Shi et al. </w:t>
            </w:r>
            <w:r w:rsidR="00187A29">
              <w:rPr>
                <w:rFonts w:ascii="Arial Narrow" w:hAnsi="Arial Narrow"/>
                <w:sz w:val="20"/>
              </w:rPr>
              <w:fldChar w:fldCharType="begin"/>
            </w:r>
            <w:r w:rsidR="00187A29">
              <w:rPr>
                <w:rFonts w:ascii="Arial Narrow" w:hAnsi="Arial Narrow"/>
                <w:sz w:val="20"/>
              </w:rPr>
              <w:instrText xml:space="preserve"> ADDIN EN.CITE &lt;EndNote&gt;&lt;Cite ExcludeAuth="1"&gt;&lt;Author&gt;Shi&lt;/Author&gt;&lt;Year&gt;2013&lt;/Year&gt;&lt;RecNum&gt;69&lt;/RecNum&gt;&lt;DisplayText&gt;(2013)&lt;/DisplayText&gt;&lt;record&gt;&lt;rec-number&gt;69&lt;/rec-number&gt;&lt;foreign-keys&gt;&lt;key app="EN" db-id="pfxxvref0t0a5de2vwnv2fwkz0p9v0r2fw0t" timestamp="1458109066"&gt;69&lt;/key&gt;&lt;/foreign-keys&gt;&lt;ref-type name="Journal Article"&gt;17&lt;/ref-type&gt;&lt;contributors&gt;&lt;authors&gt;&lt;author&gt;Shi, H. W.&lt;/author&gt;&lt;author&gt;Pu, P.&lt;/author&gt;&lt;author&gt;Deng, W.&lt;/author&gt;&lt;author&gt;Zhou, H.&lt;/author&gt;&lt;author&gt;Bian, Z. Y.&lt;/author&gt;&lt;author&gt;Shen, D. F.&lt;/author&gt;&lt;author&gt;Xie, J.&lt;/author&gt;&lt;author&gt;Salerno, M.&lt;/author&gt;&lt;author&gt;Tang, Q. Z.&lt;/author&gt;&lt;/authors&gt;&lt;/contributors&gt;&lt;titles&gt;&lt;title&gt;Prognostic value of late gadolinium enhancement in dilated cardiomyopathy patients. A meta-analysis&lt;/title&gt;&lt;secondary-title&gt;Saudi Med J&lt;/secondary-title&gt;&lt;/titles&gt;&lt;periodical&gt;&lt;full-title&gt;Saudi Med J&lt;/full-title&gt;&lt;/periodical&gt;&lt;pages&gt;719-26&lt;/pages&gt;&lt;volume&gt;34&lt;/volume&gt;&lt;number&gt;7&lt;/number&gt;&lt;dates&gt;&lt;year&gt;2013&lt;/year&gt;&lt;pub-dates&gt;&lt;date&gt;2013-01-01&lt;/date&gt;&lt;/pub-dates&gt;&lt;/dates&gt;&lt;isbn&gt;0379-5284 (Print) 0379-5284&lt;/isbn&gt;&lt;urls&gt;&lt;/urls&gt;&lt;custom1&gt;RAYYAN-INCLUSION: {&amp;quot;Sharon&amp;quot;=&amp;gt;true} | RAYYAN-LABELS: DCM,prognostic&lt;/custom1&gt;&lt;language&gt;eng&lt;/language&gt;&lt;/record&gt;&lt;/Cite&gt;&lt;/EndNote&gt;</w:instrText>
            </w:r>
            <w:r w:rsidR="00187A29">
              <w:rPr>
                <w:rFonts w:ascii="Arial Narrow" w:hAnsi="Arial Narrow"/>
                <w:sz w:val="20"/>
              </w:rPr>
              <w:fldChar w:fldCharType="separate"/>
            </w:r>
            <w:r w:rsidR="00187A29">
              <w:rPr>
                <w:rFonts w:ascii="Arial Narrow" w:hAnsi="Arial Narrow"/>
                <w:noProof/>
                <w:sz w:val="20"/>
              </w:rPr>
              <w:t>(</w:t>
            </w:r>
            <w:hyperlink w:anchor="_ENREF_116" w:tooltip="Shi, 2013 #69" w:history="1">
              <w:r w:rsidR="00B906E9">
                <w:rPr>
                  <w:rFonts w:ascii="Arial Narrow" w:hAnsi="Arial Narrow"/>
                  <w:noProof/>
                  <w:sz w:val="20"/>
                </w:rPr>
                <w:t>2013</w:t>
              </w:r>
            </w:hyperlink>
            <w:r w:rsidR="00187A29">
              <w:rPr>
                <w:rFonts w:ascii="Arial Narrow" w:hAnsi="Arial Narrow"/>
                <w:noProof/>
                <w:sz w:val="20"/>
              </w:rPr>
              <w:t>)</w:t>
            </w:r>
            <w:r w:rsidR="00187A29">
              <w:rPr>
                <w:rFonts w:ascii="Arial Narrow" w:hAnsi="Arial Narrow"/>
                <w:sz w:val="20"/>
              </w:rPr>
              <w:fldChar w:fldCharType="end"/>
            </w:r>
          </w:p>
          <w:p w14:paraId="609C1812" w14:textId="77777777" w:rsidR="00A474A9" w:rsidRPr="00526FBF" w:rsidRDefault="00A474A9" w:rsidP="004C79C1">
            <w:pPr>
              <w:spacing w:before="0" w:after="120" w:line="240" w:lineRule="auto"/>
              <w:ind w:right="-57"/>
              <w:rPr>
                <w:rFonts w:ascii="Arial Narrow" w:hAnsi="Arial Narrow"/>
                <w:sz w:val="20"/>
              </w:rPr>
            </w:pPr>
          </w:p>
          <w:p w14:paraId="5F544653" w14:textId="77777777" w:rsidR="00A474A9" w:rsidRPr="00526FBF" w:rsidRDefault="00A474A9" w:rsidP="004C79C1">
            <w:pPr>
              <w:spacing w:before="0" w:after="120" w:line="240" w:lineRule="auto"/>
              <w:ind w:right="-57"/>
              <w:rPr>
                <w:rFonts w:ascii="Arial Narrow" w:hAnsi="Arial Narrow"/>
              </w:rPr>
            </w:pPr>
            <w:r w:rsidRPr="00526FBF">
              <w:rPr>
                <w:rFonts w:ascii="Arial Narrow" w:hAnsi="Arial Narrow"/>
                <w:sz w:val="20"/>
              </w:rPr>
              <w:t>China</w:t>
            </w:r>
          </w:p>
        </w:tc>
        <w:tc>
          <w:tcPr>
            <w:tcW w:w="641" w:type="pct"/>
            <w:shd w:val="clear" w:color="auto" w:fill="auto"/>
          </w:tcPr>
          <w:p w14:paraId="3F1ACB8C"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NHMRC Level I</w:t>
            </w:r>
          </w:p>
          <w:p w14:paraId="01FF9B32"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p>
          <w:p w14:paraId="45F17EC4"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AMSTAR:</w:t>
            </w:r>
            <w:r w:rsidRPr="00526FBF">
              <w:rPr>
                <w:rFonts w:ascii="Arial Narrow" w:eastAsiaTheme="minorHAnsi" w:hAnsi="Arial Narrow" w:cstheme="minorHAnsi"/>
                <w:sz w:val="20"/>
                <w:lang w:eastAsia="en-US"/>
              </w:rPr>
              <w:br/>
              <w:t>55% (6/11)</w:t>
            </w:r>
          </w:p>
          <w:p w14:paraId="5C99087C" w14:textId="77777777" w:rsidR="00A474A9" w:rsidRPr="00526FBF" w:rsidRDefault="00A474A9" w:rsidP="004C79C1">
            <w:pPr>
              <w:spacing w:before="0" w:after="120" w:line="240" w:lineRule="auto"/>
              <w:ind w:right="-57"/>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Moderate quality</w:t>
            </w:r>
          </w:p>
        </w:tc>
        <w:tc>
          <w:tcPr>
            <w:tcW w:w="800" w:type="pct"/>
            <w:shd w:val="clear" w:color="auto" w:fill="auto"/>
          </w:tcPr>
          <w:p w14:paraId="75E7615F" w14:textId="6C8C4F11"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lang w:eastAsia="en-US"/>
              </w:rPr>
              <w:t>To evaluate the prognostic value of LGE-CMR in DCM patients</w:t>
            </w:r>
          </w:p>
          <w:p w14:paraId="488F8208"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p>
          <w:p w14:paraId="447C44F2" w14:textId="77777777" w:rsidR="00A474A9" w:rsidRPr="00526FBF" w:rsidRDefault="00A474A9" w:rsidP="004C79C1">
            <w:pPr>
              <w:tabs>
                <w:tab w:val="left" w:pos="89"/>
              </w:tabs>
              <w:spacing w:before="0" w:after="120" w:line="240" w:lineRule="auto"/>
              <w:ind w:right="-57"/>
              <w:rPr>
                <w:rFonts w:ascii="Arial Narrow" w:hAnsi="Arial Narrow"/>
                <w:sz w:val="20"/>
                <w:lang w:eastAsia="en-US"/>
              </w:rPr>
            </w:pPr>
            <w:r w:rsidRPr="00526FBF">
              <w:rPr>
                <w:rFonts w:ascii="Arial Narrow" w:hAnsi="Arial Narrow"/>
                <w:sz w:val="20"/>
                <w:lang w:eastAsia="en-US"/>
              </w:rPr>
              <w:t>Adult patients with DCM</w:t>
            </w:r>
          </w:p>
        </w:tc>
        <w:tc>
          <w:tcPr>
            <w:tcW w:w="1852" w:type="pct"/>
            <w:shd w:val="clear" w:color="auto" w:fill="auto"/>
          </w:tcPr>
          <w:p w14:paraId="6E6DE229"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Search period:</w:t>
            </w:r>
          </w:p>
          <w:p w14:paraId="088A2E77" w14:textId="003FBB6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January 2000 </w:t>
            </w:r>
            <w:r w:rsidR="00D919FC">
              <w:rPr>
                <w:rFonts w:ascii="Arial Narrow" w:hAnsi="Arial Narrow"/>
                <w:sz w:val="20"/>
              </w:rPr>
              <w:t>to</w:t>
            </w:r>
            <w:r w:rsidR="00D919FC" w:rsidRPr="00526FBF">
              <w:rPr>
                <w:rFonts w:ascii="Arial Narrow" w:hAnsi="Arial Narrow"/>
                <w:sz w:val="20"/>
              </w:rPr>
              <w:t xml:space="preserve"> </w:t>
            </w:r>
            <w:r w:rsidRPr="00526FBF">
              <w:rPr>
                <w:rFonts w:ascii="Arial Narrow" w:hAnsi="Arial Narrow"/>
                <w:sz w:val="20"/>
              </w:rPr>
              <w:t>May 2011</w:t>
            </w:r>
          </w:p>
          <w:p w14:paraId="3825508A" w14:textId="77777777" w:rsidR="00A474A9" w:rsidRPr="00526FBF" w:rsidRDefault="00A474A9" w:rsidP="004C79C1">
            <w:pPr>
              <w:spacing w:before="0" w:after="120" w:line="240" w:lineRule="auto"/>
              <w:ind w:right="-57"/>
              <w:rPr>
                <w:rFonts w:ascii="Arial Narrow" w:hAnsi="Arial Narrow"/>
                <w:b/>
                <w:sz w:val="20"/>
                <w:lang w:eastAsia="en-US"/>
              </w:rPr>
            </w:pPr>
            <w:r w:rsidRPr="00526FBF">
              <w:rPr>
                <w:rFonts w:ascii="Arial Narrow" w:hAnsi="Arial Narrow"/>
                <w:b/>
                <w:sz w:val="20"/>
                <w:lang w:eastAsia="en-US"/>
              </w:rPr>
              <w:t>Databases searched:</w:t>
            </w:r>
          </w:p>
          <w:p w14:paraId="0A8F98A6" w14:textId="77777777"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sz w:val="20"/>
              </w:rPr>
              <w:t>PubMed, MEDLINE, the Cochrane library and EMBASE</w:t>
            </w:r>
          </w:p>
          <w:p w14:paraId="41DFDBF7" w14:textId="77777777" w:rsidR="00A474A9" w:rsidRPr="00526FBF" w:rsidRDefault="00A474A9" w:rsidP="004C79C1">
            <w:pPr>
              <w:tabs>
                <w:tab w:val="left" w:pos="89"/>
              </w:tabs>
              <w:spacing w:before="0" w:after="120" w:line="240" w:lineRule="auto"/>
              <w:ind w:right="-57"/>
              <w:rPr>
                <w:rFonts w:ascii="Arial Narrow" w:hAnsi="Arial Narrow"/>
                <w:b/>
                <w:sz w:val="20"/>
              </w:rPr>
            </w:pPr>
            <w:r w:rsidRPr="00526FBF">
              <w:rPr>
                <w:rFonts w:ascii="Arial Narrow" w:hAnsi="Arial Narrow"/>
                <w:b/>
                <w:sz w:val="20"/>
              </w:rPr>
              <w:t xml:space="preserve">Inclusion criteria: </w:t>
            </w:r>
          </w:p>
          <w:p w14:paraId="3E4F360D" w14:textId="77777777" w:rsidR="00C72395"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sz w:val="20"/>
              </w:rPr>
              <w:t xml:space="preserve">Studies complying with the following criteria were enrolled: </w:t>
            </w:r>
          </w:p>
          <w:p w14:paraId="59C0A187" w14:textId="280512B8" w:rsidR="003D3410" w:rsidRDefault="00A474A9" w:rsidP="004C79C1">
            <w:pPr>
              <w:spacing w:before="0" w:after="120" w:line="240" w:lineRule="auto"/>
              <w:ind w:left="159" w:right="-57"/>
              <w:rPr>
                <w:rFonts w:ascii="Arial Narrow" w:hAnsi="Arial Narrow"/>
                <w:sz w:val="20"/>
              </w:rPr>
            </w:pPr>
            <w:r w:rsidRPr="00526FBF">
              <w:rPr>
                <w:rFonts w:ascii="Arial Narrow" w:hAnsi="Arial Narrow"/>
                <w:sz w:val="20"/>
              </w:rPr>
              <w:t xml:space="preserve">1) CMR was performed in DCM patients </w:t>
            </w:r>
          </w:p>
          <w:p w14:paraId="2E20D2F2" w14:textId="65ABEE71" w:rsidR="003D3410" w:rsidRDefault="00A474A9" w:rsidP="004C79C1">
            <w:pPr>
              <w:spacing w:before="0" w:after="120" w:line="240" w:lineRule="auto"/>
              <w:ind w:left="159" w:right="-57"/>
              <w:rPr>
                <w:rFonts w:ascii="Arial Narrow" w:hAnsi="Arial Narrow"/>
                <w:sz w:val="20"/>
              </w:rPr>
            </w:pPr>
            <w:r w:rsidRPr="00526FBF">
              <w:rPr>
                <w:rFonts w:ascii="Arial Narrow" w:hAnsi="Arial Narrow"/>
                <w:sz w:val="20"/>
              </w:rPr>
              <w:lastRenderedPageBreak/>
              <w:t>2) the selected clinical outcomes were recorded in DCM patients</w:t>
            </w:r>
          </w:p>
          <w:p w14:paraId="1C333F5F" w14:textId="366FD679" w:rsidR="00C72395" w:rsidRDefault="00A474A9" w:rsidP="004C79C1">
            <w:pPr>
              <w:spacing w:before="0" w:after="120" w:line="240" w:lineRule="auto"/>
              <w:ind w:left="159" w:right="-57"/>
              <w:rPr>
                <w:rFonts w:ascii="Arial Narrow" w:hAnsi="Arial Narrow"/>
                <w:sz w:val="20"/>
              </w:rPr>
            </w:pPr>
            <w:r w:rsidRPr="00526FBF">
              <w:rPr>
                <w:rFonts w:ascii="Arial Narrow" w:hAnsi="Arial Narrow"/>
                <w:sz w:val="20"/>
              </w:rPr>
              <w:t>3) the correlation between LGE and clinical outcomes of DCM patients explored</w:t>
            </w:r>
          </w:p>
          <w:p w14:paraId="44066D65" w14:textId="661B746C" w:rsidR="00A474A9" w:rsidRPr="00526FBF" w:rsidRDefault="00A474A9" w:rsidP="004C79C1">
            <w:pPr>
              <w:spacing w:before="0" w:after="120" w:line="240" w:lineRule="auto"/>
              <w:ind w:left="159" w:right="-57"/>
              <w:rPr>
                <w:rFonts w:ascii="Arial Narrow" w:hAnsi="Arial Narrow"/>
                <w:sz w:val="20"/>
              </w:rPr>
            </w:pPr>
            <w:r w:rsidRPr="00526FBF">
              <w:rPr>
                <w:rFonts w:ascii="Arial Narrow" w:hAnsi="Arial Narrow"/>
                <w:sz w:val="20"/>
              </w:rPr>
              <w:t xml:space="preserve">4) </w:t>
            </w:r>
            <w:proofErr w:type="gramStart"/>
            <w:r w:rsidRPr="00526FBF">
              <w:rPr>
                <w:rFonts w:ascii="Arial Narrow" w:hAnsi="Arial Narrow"/>
                <w:sz w:val="20"/>
              </w:rPr>
              <w:t>sufficient</w:t>
            </w:r>
            <w:proofErr w:type="gramEnd"/>
            <w:r w:rsidRPr="00526FBF">
              <w:rPr>
                <w:rFonts w:ascii="Arial Narrow" w:hAnsi="Arial Narrow"/>
                <w:sz w:val="20"/>
              </w:rPr>
              <w:t xml:space="preserve"> information to allow estimation of pooled ORs and 95%CIs.</w:t>
            </w:r>
          </w:p>
          <w:p w14:paraId="459F8D4A" w14:textId="77777777"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p>
          <w:p w14:paraId="14FC224F" w14:textId="1DC5A4C5"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sz w:val="20"/>
              </w:rPr>
              <w:t xml:space="preserve">Studies with </w:t>
            </w:r>
            <w:r w:rsidR="00C72395">
              <w:rPr>
                <w:rFonts w:ascii="Arial Narrow" w:hAnsi="Arial Narrow"/>
                <w:sz w:val="20"/>
              </w:rPr>
              <w:t>fewer</w:t>
            </w:r>
            <w:r w:rsidR="00C72395" w:rsidRPr="00526FBF">
              <w:rPr>
                <w:rFonts w:ascii="Arial Narrow" w:hAnsi="Arial Narrow"/>
                <w:sz w:val="20"/>
              </w:rPr>
              <w:t xml:space="preserve"> </w:t>
            </w:r>
            <w:r w:rsidRPr="00526FBF">
              <w:rPr>
                <w:rFonts w:ascii="Arial Narrow" w:hAnsi="Arial Narrow"/>
                <w:sz w:val="20"/>
              </w:rPr>
              <w:t xml:space="preserve">than 20 patients, patients undergoing CRT, </w:t>
            </w:r>
            <w:r w:rsidR="00442636">
              <w:rPr>
                <w:rFonts w:ascii="Arial Narrow" w:hAnsi="Arial Narrow"/>
                <w:sz w:val="20"/>
              </w:rPr>
              <w:t xml:space="preserve">where </w:t>
            </w:r>
            <w:r w:rsidRPr="00526FBF">
              <w:rPr>
                <w:rFonts w:ascii="Arial Narrow" w:hAnsi="Arial Narrow"/>
                <w:sz w:val="20"/>
              </w:rPr>
              <w:t>the same study population was assessed in more than 1 report (the study with the most details and or the study published the most recently was chosen)</w:t>
            </w:r>
            <w:r w:rsidR="00442636">
              <w:rPr>
                <w:rFonts w:ascii="Arial Narrow" w:hAnsi="Arial Narrow"/>
                <w:sz w:val="20"/>
              </w:rPr>
              <w:t>,</w:t>
            </w:r>
            <w:r w:rsidRPr="00526FBF">
              <w:rPr>
                <w:rFonts w:ascii="Arial Narrow" w:hAnsi="Arial Narrow"/>
                <w:sz w:val="20"/>
              </w:rPr>
              <w:t xml:space="preserve"> </w:t>
            </w:r>
            <w:r w:rsidR="00442636">
              <w:rPr>
                <w:rFonts w:ascii="Arial Narrow" w:hAnsi="Arial Narrow"/>
                <w:sz w:val="20"/>
              </w:rPr>
              <w:t xml:space="preserve">where </w:t>
            </w:r>
            <w:r w:rsidRPr="00526FBF">
              <w:rPr>
                <w:rFonts w:ascii="Arial Narrow" w:hAnsi="Arial Narrow"/>
                <w:sz w:val="20"/>
              </w:rPr>
              <w:t>the selected clinical outcomes could not be extracted</w:t>
            </w:r>
          </w:p>
          <w:p w14:paraId="27BCDCAF" w14:textId="77777777" w:rsidR="00A474A9" w:rsidRPr="00526FBF" w:rsidRDefault="00A474A9" w:rsidP="004C79C1">
            <w:pPr>
              <w:tabs>
                <w:tab w:val="left" w:pos="89"/>
              </w:tabs>
              <w:spacing w:before="0" w:after="120" w:line="240" w:lineRule="auto"/>
              <w:ind w:right="-57"/>
              <w:rPr>
                <w:rFonts w:ascii="Arial Narrow" w:hAnsi="Arial Narrow"/>
                <w:sz w:val="20"/>
              </w:rPr>
            </w:pPr>
            <w:r w:rsidRPr="00526FBF">
              <w:rPr>
                <w:rFonts w:ascii="Arial Narrow" w:hAnsi="Arial Narrow"/>
                <w:b/>
                <w:sz w:val="20"/>
              </w:rPr>
              <w:t>Number of included studies:</w:t>
            </w:r>
            <w:r w:rsidRPr="00526FBF">
              <w:rPr>
                <w:rFonts w:ascii="Arial Narrow" w:hAnsi="Arial Narrow"/>
                <w:sz w:val="20"/>
              </w:rPr>
              <w:t xml:space="preserve"> 5</w:t>
            </w:r>
          </w:p>
        </w:tc>
        <w:tc>
          <w:tcPr>
            <w:tcW w:w="1316" w:type="pct"/>
            <w:shd w:val="clear" w:color="auto" w:fill="auto"/>
          </w:tcPr>
          <w:p w14:paraId="72EC4CDE" w14:textId="77777777" w:rsidR="00D47FBA" w:rsidRDefault="00D47FBA" w:rsidP="004C79C1">
            <w:pPr>
              <w:tabs>
                <w:tab w:val="left" w:pos="89"/>
              </w:tabs>
              <w:spacing w:before="0" w:after="120" w:line="240" w:lineRule="auto"/>
              <w:ind w:right="-57"/>
              <w:rPr>
                <w:rFonts w:ascii="Arial Narrow" w:hAnsi="Arial Narrow"/>
                <w:sz w:val="20"/>
              </w:rPr>
            </w:pPr>
            <w:r w:rsidRPr="00526FBF">
              <w:rPr>
                <w:rFonts w:ascii="Arial Narrow" w:hAnsi="Arial Narrow"/>
                <w:sz w:val="20"/>
              </w:rPr>
              <w:lastRenderedPageBreak/>
              <w:t>Major cardiovascular events</w:t>
            </w:r>
            <w:r>
              <w:rPr>
                <w:rFonts w:ascii="Arial Narrow" w:hAnsi="Arial Narrow"/>
                <w:sz w:val="20"/>
              </w:rPr>
              <w:t>:</w:t>
            </w:r>
          </w:p>
          <w:p w14:paraId="136AF0F5" w14:textId="424ED429" w:rsidR="00A474A9" w:rsidRPr="00526FBF" w:rsidRDefault="00D47FBA" w:rsidP="004C79C1">
            <w:pPr>
              <w:spacing w:before="0" w:after="120" w:line="240" w:lineRule="auto"/>
              <w:ind w:left="183" w:right="-57"/>
              <w:rPr>
                <w:rFonts w:ascii="Arial Narrow" w:hAnsi="Arial Narrow"/>
                <w:sz w:val="20"/>
              </w:rPr>
            </w:pPr>
            <w:r>
              <w:rPr>
                <w:rFonts w:ascii="Arial Narrow" w:hAnsi="Arial Narrow"/>
                <w:sz w:val="20"/>
              </w:rPr>
              <w:t>a</w:t>
            </w:r>
            <w:r w:rsidR="00A474A9" w:rsidRPr="00526FBF">
              <w:rPr>
                <w:rFonts w:ascii="Arial Narrow" w:hAnsi="Arial Narrow"/>
                <w:sz w:val="20"/>
              </w:rPr>
              <w:t>ll-cause mortality</w:t>
            </w:r>
          </w:p>
          <w:p w14:paraId="08AA9025" w14:textId="652E0461" w:rsidR="00A474A9" w:rsidRPr="00526FBF" w:rsidRDefault="00D47FBA" w:rsidP="004C79C1">
            <w:pPr>
              <w:spacing w:before="0" w:after="120" w:line="240" w:lineRule="auto"/>
              <w:ind w:left="183" w:right="-57"/>
              <w:rPr>
                <w:rFonts w:ascii="Arial Narrow" w:hAnsi="Arial Narrow"/>
                <w:sz w:val="20"/>
              </w:rPr>
            </w:pPr>
            <w:r>
              <w:rPr>
                <w:rFonts w:ascii="Arial Narrow" w:hAnsi="Arial Narrow"/>
                <w:sz w:val="20"/>
              </w:rPr>
              <w:t>c</w:t>
            </w:r>
            <w:r w:rsidR="00A474A9" w:rsidRPr="00526FBF">
              <w:rPr>
                <w:rFonts w:ascii="Arial Narrow" w:hAnsi="Arial Narrow"/>
                <w:sz w:val="20"/>
              </w:rPr>
              <w:t>ardiac death</w:t>
            </w:r>
          </w:p>
          <w:p w14:paraId="12688435" w14:textId="77777777" w:rsidR="00A474A9" w:rsidRPr="00526FBF" w:rsidRDefault="00A474A9" w:rsidP="004C79C1">
            <w:pPr>
              <w:spacing w:before="0" w:after="120" w:line="240" w:lineRule="auto"/>
              <w:ind w:left="183" w:right="-57"/>
              <w:rPr>
                <w:rFonts w:ascii="Arial Narrow" w:hAnsi="Arial Narrow"/>
                <w:sz w:val="20"/>
              </w:rPr>
            </w:pPr>
            <w:r w:rsidRPr="00526FBF">
              <w:rPr>
                <w:rFonts w:ascii="Arial Narrow" w:hAnsi="Arial Narrow"/>
                <w:sz w:val="20"/>
              </w:rPr>
              <w:t>SCD</w:t>
            </w:r>
          </w:p>
          <w:p w14:paraId="4EA49189" w14:textId="316AF520" w:rsidR="00A474A9" w:rsidRPr="00526FBF" w:rsidRDefault="00D47FBA" w:rsidP="004C79C1">
            <w:pPr>
              <w:spacing w:before="0" w:after="120" w:line="240" w:lineRule="auto"/>
              <w:ind w:left="183" w:right="-57"/>
              <w:rPr>
                <w:rFonts w:ascii="Arial Narrow" w:hAnsi="Arial Narrow"/>
                <w:sz w:val="20"/>
              </w:rPr>
            </w:pPr>
            <w:r>
              <w:rPr>
                <w:rFonts w:ascii="Arial Narrow" w:hAnsi="Arial Narrow"/>
                <w:sz w:val="20"/>
              </w:rPr>
              <w:t>a</w:t>
            </w:r>
            <w:r w:rsidR="00A474A9" w:rsidRPr="00526FBF">
              <w:rPr>
                <w:rFonts w:ascii="Arial Narrow" w:hAnsi="Arial Narrow"/>
                <w:sz w:val="20"/>
              </w:rPr>
              <w:t>borted SCD</w:t>
            </w:r>
          </w:p>
          <w:p w14:paraId="1A701C06" w14:textId="1BB90DBC" w:rsidR="00A474A9" w:rsidRPr="00526FBF" w:rsidRDefault="00D47FBA" w:rsidP="004C79C1">
            <w:pPr>
              <w:spacing w:before="0" w:after="120" w:line="240" w:lineRule="auto"/>
              <w:ind w:left="183" w:right="-57"/>
              <w:rPr>
                <w:rFonts w:ascii="Arial Narrow" w:hAnsi="Arial Narrow"/>
                <w:sz w:val="20"/>
              </w:rPr>
            </w:pPr>
            <w:r>
              <w:rPr>
                <w:rFonts w:ascii="Arial Narrow" w:hAnsi="Arial Narrow"/>
                <w:sz w:val="20"/>
              </w:rPr>
              <w:t>h</w:t>
            </w:r>
            <w:r w:rsidR="00A474A9" w:rsidRPr="00526FBF">
              <w:rPr>
                <w:rFonts w:ascii="Arial Narrow" w:hAnsi="Arial Narrow"/>
                <w:sz w:val="20"/>
              </w:rPr>
              <w:t>ospitali</w:t>
            </w:r>
            <w:r w:rsidR="00442636">
              <w:rPr>
                <w:rFonts w:ascii="Arial Narrow" w:hAnsi="Arial Narrow"/>
                <w:sz w:val="20"/>
              </w:rPr>
              <w:t>s</w:t>
            </w:r>
            <w:r w:rsidR="00A474A9" w:rsidRPr="00526FBF">
              <w:rPr>
                <w:rFonts w:ascii="Arial Narrow" w:hAnsi="Arial Narrow"/>
                <w:sz w:val="20"/>
              </w:rPr>
              <w:t>ation for HF</w:t>
            </w:r>
          </w:p>
        </w:tc>
      </w:tr>
    </w:tbl>
    <w:p w14:paraId="60393BC9" w14:textId="0D364AA7" w:rsidR="00A474A9" w:rsidRPr="00526FBF" w:rsidRDefault="00A474A9" w:rsidP="004C79C1">
      <w:pPr>
        <w:spacing w:after="120" w:line="240" w:lineRule="auto"/>
        <w:rPr>
          <w:rFonts w:ascii="Arial Narrow" w:hAnsi="Arial Narrow"/>
          <w:sz w:val="20"/>
          <w:szCs w:val="20"/>
        </w:rPr>
      </w:pPr>
      <w:r w:rsidRPr="00526FBF">
        <w:rPr>
          <w:rFonts w:ascii="Arial Narrow" w:hAnsi="Arial Narrow"/>
          <w:sz w:val="20"/>
          <w:szCs w:val="20"/>
          <w:vertAlign w:val="superscript"/>
        </w:rPr>
        <w:lastRenderedPageBreak/>
        <w:t>a</w:t>
      </w:r>
      <w:r>
        <w:rPr>
          <w:rFonts w:ascii="Arial Narrow" w:hAnsi="Arial Narrow"/>
          <w:sz w:val="20"/>
          <w:szCs w:val="20"/>
          <w:vertAlign w:val="superscript"/>
        </w:rPr>
        <w:t xml:space="preserve"> </w:t>
      </w:r>
      <w:r w:rsidRPr="00526FBF">
        <w:rPr>
          <w:rFonts w:ascii="Arial Narrow" w:hAnsi="Arial Narrow"/>
          <w:sz w:val="20"/>
          <w:szCs w:val="20"/>
        </w:rPr>
        <w:t xml:space="preserve">Quality appraisal </w:t>
      </w:r>
      <w:r>
        <w:rPr>
          <w:rFonts w:ascii="Arial Narrow" w:hAnsi="Arial Narrow"/>
          <w:sz w:val="20"/>
          <w:szCs w:val="20"/>
        </w:rPr>
        <w:t xml:space="preserve">was undertaken </w:t>
      </w:r>
      <w:r w:rsidRPr="00526FBF">
        <w:rPr>
          <w:rFonts w:ascii="Arial Narrow" w:hAnsi="Arial Narrow"/>
          <w:sz w:val="20"/>
          <w:szCs w:val="20"/>
        </w:rPr>
        <w:t xml:space="preserve">using the AMSTAR checklist </w:t>
      </w:r>
      <w:r w:rsidR="00187A29">
        <w:rPr>
          <w:rFonts w:ascii="Arial Narrow" w:hAnsi="Arial Narrow"/>
          <w:sz w:val="20"/>
          <w:szCs w:val="20"/>
        </w:rPr>
        <w:fldChar w:fldCharType="begin"/>
      </w:r>
      <w:r w:rsidR="00187A29">
        <w:rPr>
          <w:rFonts w:ascii="Arial Narrow" w:hAnsi="Arial Narrow"/>
          <w:sz w:val="20"/>
          <w:szCs w:val="20"/>
        </w:rPr>
        <w:instrText xml:space="preserve"> ADDIN EN.CITE &lt;EndNote&gt;&lt;Cite&gt;&lt;Author&gt;Shea&lt;/Author&gt;&lt;Year&gt;2007&lt;/Year&gt;&lt;RecNum&gt;70&lt;/RecNum&gt;&lt;DisplayText&gt;(Shea et al. 2007)&lt;/DisplayText&gt;&lt;record&gt;&lt;rec-number&gt;70&lt;/rec-number&gt;&lt;foreign-keys&gt;&lt;key app="EN" db-id="pfxxvref0t0a5de2vwnv2fwkz0p9v0r2fw0t" timestamp="1458109329"&gt;70&lt;/key&gt;&lt;/foreign-keys&gt;&lt;ref-type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rsidR="00187A29">
        <w:rPr>
          <w:rFonts w:ascii="Arial Narrow" w:hAnsi="Arial Narrow"/>
          <w:sz w:val="20"/>
          <w:szCs w:val="20"/>
        </w:rPr>
        <w:fldChar w:fldCharType="separate"/>
      </w:r>
      <w:r w:rsidR="00187A29">
        <w:rPr>
          <w:rFonts w:ascii="Arial Narrow" w:hAnsi="Arial Narrow"/>
          <w:noProof/>
          <w:sz w:val="20"/>
          <w:szCs w:val="20"/>
        </w:rPr>
        <w:t>(</w:t>
      </w:r>
      <w:hyperlink w:anchor="_ENREF_115" w:tooltip="Shea, 2007 #70" w:history="1">
        <w:r w:rsidR="00B906E9">
          <w:rPr>
            <w:rFonts w:ascii="Arial Narrow" w:hAnsi="Arial Narrow"/>
            <w:noProof/>
            <w:sz w:val="20"/>
            <w:szCs w:val="20"/>
          </w:rPr>
          <w:t>Shea et al. 2007</w:t>
        </w:r>
      </w:hyperlink>
      <w:r w:rsidR="00187A29">
        <w:rPr>
          <w:rFonts w:ascii="Arial Narrow" w:hAnsi="Arial Narrow"/>
          <w:noProof/>
          <w:sz w:val="20"/>
          <w:szCs w:val="20"/>
        </w:rPr>
        <w:t>)</w:t>
      </w:r>
      <w:r w:rsidR="00187A29">
        <w:rPr>
          <w:rFonts w:ascii="Arial Narrow" w:hAnsi="Arial Narrow"/>
          <w:sz w:val="20"/>
          <w:szCs w:val="20"/>
        </w:rPr>
        <w:fldChar w:fldCharType="end"/>
      </w:r>
      <w:r w:rsidR="0049197D">
        <w:rPr>
          <w:rFonts w:ascii="Arial Narrow" w:hAnsi="Arial Narrow"/>
          <w:sz w:val="20"/>
          <w:szCs w:val="20"/>
        </w:rPr>
        <w:t>.</w:t>
      </w:r>
    </w:p>
    <w:p w14:paraId="0EB778F2" w14:textId="5FB5CE2F" w:rsidR="00A474A9" w:rsidRDefault="00F04A47" w:rsidP="004C79C1">
      <w:pPr>
        <w:pStyle w:val="Tablenotes0"/>
        <w:spacing w:before="0" w:after="120"/>
      </w:pPr>
      <w:bookmarkStart w:id="812" w:name="_Toc324410249"/>
      <w:r w:rsidRPr="00C36F2C">
        <w:t xml:space="preserve">AE = adverse event; </w:t>
      </w:r>
      <w:r w:rsidR="00A474A9" w:rsidRPr="00C36F2C">
        <w:t xml:space="preserve">CAD = coronary artery disease; CI = confidence interval; CM = cardiomyopathy; CMR = cardiac magnetic resonance </w:t>
      </w:r>
      <w:r w:rsidR="006B76DB">
        <w:t>(</w:t>
      </w:r>
      <w:r w:rsidR="00A474A9" w:rsidRPr="00C36F2C">
        <w:t>imaging</w:t>
      </w:r>
      <w:r w:rsidR="006B76DB">
        <w:t>)</w:t>
      </w:r>
      <w:r w:rsidR="00A474A9" w:rsidRPr="00C36F2C">
        <w:t>; CRT = cardiac resynchroni</w:t>
      </w:r>
      <w:r w:rsidR="00D93BA4" w:rsidRPr="00C36F2C">
        <w:t>s</w:t>
      </w:r>
      <w:r w:rsidR="00A474A9" w:rsidRPr="00C36F2C">
        <w:t xml:space="preserve">ation therapy; DCM = dilated cardiomyopathy; HCM = hypertrophic cardiomyopathy; HF = heart failure; ICD = implantable </w:t>
      </w:r>
      <w:r w:rsidR="0026063B">
        <w:t>cardioverter defibrillator</w:t>
      </w:r>
      <w:r w:rsidR="00A474A9" w:rsidRPr="00C36F2C">
        <w:t xml:space="preserve">; ICM = ischaemic cardiomyopathy; LGE = late gadolinium enhancement; LV = left ventricular; NHMRC = National Health and Medical Research Council; NICM = non-ischaemic cardiomyopathy; OR = odds ratio; SCD = sudden cardiac death; </w:t>
      </w:r>
      <w:r w:rsidRPr="00C36F2C">
        <w:t>SR = systematic review;</w:t>
      </w:r>
      <w:r w:rsidR="004613E6" w:rsidRPr="00C36F2C">
        <w:t xml:space="preserve"> VA = ventricular arrhythmia; </w:t>
      </w:r>
      <w:r w:rsidR="00A474A9" w:rsidRPr="00C36F2C">
        <w:t>VF = ventricular fibrillation; VT = ventricular tachycardia</w:t>
      </w:r>
      <w:bookmarkEnd w:id="812"/>
    </w:p>
    <w:p w14:paraId="79498CDE" w14:textId="77777777" w:rsidR="009D6530" w:rsidRPr="009D6530" w:rsidRDefault="009D6530" w:rsidP="004C79C1">
      <w:pPr>
        <w:spacing w:after="120" w:line="240" w:lineRule="auto"/>
      </w:pPr>
    </w:p>
    <w:p w14:paraId="2FA7971C" w14:textId="369130BD" w:rsidR="00A474A9" w:rsidRPr="00526FBF" w:rsidRDefault="0062633B" w:rsidP="004C79C1">
      <w:pPr>
        <w:pStyle w:val="Caption"/>
      </w:pPr>
      <w:bookmarkStart w:id="813" w:name="_Ref451329452"/>
      <w:bookmarkStart w:id="814" w:name="_Toc324410250"/>
      <w:bookmarkStart w:id="815" w:name="_Toc451435405"/>
      <w:r>
        <w:t xml:space="preserve">Table </w:t>
      </w:r>
      <w:fldSimple w:instr=" SEQ Table \* ARABIC ">
        <w:r w:rsidR="00050936">
          <w:rPr>
            <w:noProof/>
          </w:rPr>
          <w:t>78</w:t>
        </w:r>
      </w:fldSimple>
      <w:bookmarkEnd w:id="813"/>
      <w:r w:rsidR="00A474A9">
        <w:tab/>
      </w:r>
      <w:r w:rsidR="00A474A9" w:rsidRPr="00526FBF">
        <w:t xml:space="preserve">Study profiles of included </w:t>
      </w:r>
      <w:r w:rsidR="00A474A9">
        <w:t xml:space="preserve">non-comparative </w:t>
      </w:r>
      <w:r w:rsidR="00A474A9" w:rsidRPr="00526FBF">
        <w:t>prognostic cohort studies in adults</w:t>
      </w:r>
      <w:bookmarkEnd w:id="814"/>
      <w:bookmarkEnd w:id="815"/>
    </w:p>
    <w:tbl>
      <w:tblPr>
        <w:tblStyle w:val="TableGrid31"/>
        <w:tblW w:w="5000" w:type="pct"/>
        <w:tblLook w:val="04A0" w:firstRow="1" w:lastRow="0" w:firstColumn="1" w:lastColumn="0" w:noHBand="0" w:noVBand="1"/>
        <w:tblCaption w:val="Study profiles of included non-comparative prognostic cohort studies in adults"/>
      </w:tblPr>
      <w:tblGrid>
        <w:gridCol w:w="1101"/>
        <w:gridCol w:w="1535"/>
        <w:gridCol w:w="2442"/>
        <w:gridCol w:w="2310"/>
        <w:gridCol w:w="2700"/>
        <w:gridCol w:w="3088"/>
      </w:tblGrid>
      <w:tr w:rsidR="00A474A9" w:rsidRPr="00526FBF" w14:paraId="55CDFD78" w14:textId="77777777" w:rsidTr="00BE5D7C">
        <w:trPr>
          <w:tblHeader/>
        </w:trPr>
        <w:tc>
          <w:tcPr>
            <w:tcW w:w="391" w:type="pct"/>
          </w:tcPr>
          <w:p w14:paraId="4B5CD3AE"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Study</w:t>
            </w:r>
          </w:p>
          <w:p w14:paraId="43319121"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Country</w:t>
            </w:r>
          </w:p>
        </w:tc>
        <w:tc>
          <w:tcPr>
            <w:tcW w:w="588" w:type="pct"/>
          </w:tcPr>
          <w:p w14:paraId="5F996D70" w14:textId="77777777" w:rsidR="00A474A9" w:rsidRPr="00526FBF" w:rsidRDefault="00A474A9" w:rsidP="004C79C1">
            <w:pPr>
              <w:keepNext/>
              <w:spacing w:before="0" w:after="120" w:line="240" w:lineRule="auto"/>
              <w:rPr>
                <w:rFonts w:ascii="Arial Narrow" w:hAnsi="Arial Narrow"/>
                <w:b/>
                <w:sz w:val="20"/>
              </w:rPr>
            </w:pPr>
            <w:r w:rsidRPr="00526FBF">
              <w:rPr>
                <w:rFonts w:ascii="Arial Narrow" w:hAnsi="Arial Narrow"/>
                <w:b/>
                <w:sz w:val="20"/>
              </w:rPr>
              <w:t>Level of evidence</w:t>
            </w:r>
          </w:p>
          <w:p w14:paraId="1C084259" w14:textId="77777777" w:rsidR="00A474A9" w:rsidRPr="00526FBF" w:rsidRDefault="00A474A9" w:rsidP="004C79C1">
            <w:pPr>
              <w:keepNext/>
              <w:spacing w:before="0" w:after="120" w:line="240" w:lineRule="auto"/>
              <w:rPr>
                <w:rFonts w:ascii="Arial Narrow" w:hAnsi="Arial Narrow"/>
                <w:b/>
                <w:sz w:val="20"/>
              </w:rPr>
            </w:pPr>
            <w:r w:rsidRPr="00526FBF">
              <w:rPr>
                <w:rFonts w:ascii="Arial Narrow" w:hAnsi="Arial Narrow"/>
                <w:b/>
                <w:sz w:val="20"/>
              </w:rPr>
              <w:t>Quality appraisal</w:t>
            </w:r>
          </w:p>
        </w:tc>
        <w:tc>
          <w:tcPr>
            <w:tcW w:w="932" w:type="pct"/>
          </w:tcPr>
          <w:p w14:paraId="03E60FF3" w14:textId="77777777" w:rsidR="00A474A9" w:rsidRPr="00526FBF" w:rsidRDefault="00A474A9" w:rsidP="004C79C1">
            <w:pPr>
              <w:keepNext/>
              <w:tabs>
                <w:tab w:val="left" w:pos="89"/>
              </w:tabs>
              <w:spacing w:before="0" w:after="120" w:line="240" w:lineRule="auto"/>
              <w:ind w:right="-57"/>
              <w:rPr>
                <w:rFonts w:ascii="Arial Narrow" w:hAnsi="Arial Narrow"/>
                <w:b/>
                <w:sz w:val="20"/>
              </w:rPr>
            </w:pPr>
            <w:r w:rsidRPr="00526FBF">
              <w:rPr>
                <w:rFonts w:ascii="Arial Narrow" w:hAnsi="Arial Narrow"/>
                <w:b/>
                <w:sz w:val="20"/>
              </w:rPr>
              <w:t>Study population</w:t>
            </w:r>
          </w:p>
        </w:tc>
        <w:tc>
          <w:tcPr>
            <w:tcW w:w="882" w:type="pct"/>
          </w:tcPr>
          <w:p w14:paraId="2BFE98EC"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Inclusion criteria / exclusion criteria</w:t>
            </w:r>
          </w:p>
        </w:tc>
        <w:tc>
          <w:tcPr>
            <w:tcW w:w="1030" w:type="pct"/>
          </w:tcPr>
          <w:p w14:paraId="613D5FB0"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LGE-CMR</w:t>
            </w:r>
          </w:p>
        </w:tc>
        <w:tc>
          <w:tcPr>
            <w:tcW w:w="1177" w:type="pct"/>
          </w:tcPr>
          <w:p w14:paraId="0A8CC77F"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Intervention and outcomes</w:t>
            </w:r>
          </w:p>
        </w:tc>
      </w:tr>
      <w:tr w:rsidR="00A474A9" w:rsidRPr="00526FBF" w14:paraId="51EC735D" w14:textId="77777777" w:rsidTr="00BE5D7C">
        <w:tc>
          <w:tcPr>
            <w:tcW w:w="391" w:type="pct"/>
          </w:tcPr>
          <w:p w14:paraId="5A81D67C" w14:textId="548F2171"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Almehmadi</w:t>
            </w:r>
            <w:r>
              <w:rPr>
                <w:rFonts w:ascii="Arial Narrow" w:hAnsi="Arial Narrow" w:cs="Arial Narrow"/>
                <w:bCs/>
                <w:sz w:val="20"/>
                <w:szCs w:val="20"/>
              </w:rPr>
              <w:t xml:space="preserve"> et al.</w:t>
            </w:r>
            <w:r w:rsidRPr="00526FBF">
              <w:rPr>
                <w:rFonts w:ascii="Arial Narrow" w:hAnsi="Arial Narrow" w:cs="Arial Narrow"/>
                <w:bCs/>
                <w:sz w:val="20"/>
                <w:szCs w:val="20"/>
              </w:rPr>
              <w:t xml:space="preserve">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ExcludeAuth="1"&gt;&lt;Author&gt;Almehmadi&lt;/Author&gt;&lt;Year&gt;2014&lt;/Year&gt;&lt;RecNum&gt;35&lt;/RecNum&gt;&lt;DisplayText&gt;(2014)&lt;/DisplayText&gt;&lt;record&gt;&lt;rec-number&gt;35&lt;/rec-number&gt;&lt;foreign-keys&gt;&lt;key app="EN" db-id="pfxxvref0t0a5de2vwnv2fwkz0p9v0r2fw0t" timestamp="1458109046"&gt;35&lt;/key&gt;&lt;/foreign-keys&gt;&lt;ref-type name="Journal Article"&gt;17&lt;/ref-type&gt;&lt;contributors&gt;&lt;authors&gt;&lt;author&gt;Almehmadi, F.&lt;/author&gt;&lt;author&gt;Joncas, S. X.&lt;/author&gt;&lt;author&gt;Nevis, I.&lt;/author&gt;&lt;author&gt;Zahrani, M.&lt;/author&gt;&lt;author&gt;Bokhari, M.&lt;/author&gt;&lt;author&gt;Stirrat, J.&lt;/author&gt;&lt;author&gt;Fine, N. M.&lt;/author&gt;&lt;author&gt;Yee, R.&lt;/author&gt;&lt;author&gt;White, J. A.&lt;/author&gt;&lt;/authors&gt;&lt;/contributors&gt;&lt;titles&gt;&lt;title&gt;Prevalence of myocardial fibrosis patterns in patients with systolic dysfunction: prognostic significance for the prediction of sudden cardiac arrest or appropriate implantable cardiac defibrillator therapy&lt;/title&gt;&lt;secondary-title&gt;Circ Cardiovasc Imaging&lt;/secondary-title&gt;&lt;/titles&gt;&lt;periodical&gt;&lt;full-title&gt;Circ Cardiovasc Imaging&lt;/full-title&gt;&lt;/periodical&gt;&lt;pages&gt;593-600&lt;/pages&gt;&lt;volume&gt;7&lt;/volume&gt;&lt;number&gt;4&lt;/number&gt;&lt;dates&gt;&lt;year&gt;2014&lt;/year&gt;&lt;pub-dates&gt;&lt;date&gt;2014-01-01&lt;/date&gt;&lt;/pub-dates&gt;&lt;/dates&gt;&lt;isbn&gt;1941-9651&lt;/isbn&gt;&lt;urls&gt;&lt;related-urls&gt;&lt;url&gt;http://circimaging.ahajournals.org/content/7/4/593.full.pdf&lt;/url&gt;&lt;/related-urls&gt;&lt;/urls&gt;&lt;custom1&gt;RAYYAN-INCLUSION: {&amp;quot;Sharon&amp;quot;=&amp;gt;false, &amp;quot;Skye&amp;quot;=&amp;gt;true} | RAYYAN-EXCLUSION-REASONS: wrong population&lt;/custom1&gt;&lt;research-notes&gt;Acceptable&lt;/research-notes&gt;&lt;language&gt;eng&lt;/language&gt;&lt;/record&gt;&lt;/Cite&gt;&lt;/EndNote&gt;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4" w:tooltip="Almehmadi, 2014 #35" w:history="1">
              <w:r w:rsidR="00B906E9">
                <w:rPr>
                  <w:rFonts w:ascii="Arial Narrow" w:hAnsi="Arial Narrow" w:cs="Arial Narrow"/>
                  <w:bCs/>
                  <w:noProof/>
                  <w:sz w:val="20"/>
                  <w:szCs w:val="20"/>
                </w:rPr>
                <w:t>2014</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20E307C" w14:textId="77777777" w:rsidR="00A474A9" w:rsidRPr="00526FBF" w:rsidRDefault="00A474A9" w:rsidP="004C79C1">
            <w:pPr>
              <w:spacing w:before="0" w:after="120" w:line="240" w:lineRule="auto"/>
              <w:rPr>
                <w:rFonts w:ascii="Arial Narrow" w:hAnsi="Arial Narrow" w:cs="Arial Narrow"/>
                <w:bCs/>
                <w:sz w:val="20"/>
                <w:szCs w:val="20"/>
              </w:rPr>
            </w:pPr>
          </w:p>
          <w:p w14:paraId="3566CBE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Canada</w:t>
            </w:r>
          </w:p>
        </w:tc>
        <w:tc>
          <w:tcPr>
            <w:tcW w:w="588" w:type="pct"/>
          </w:tcPr>
          <w:p w14:paraId="43AA3CDB"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Prospective cohort</w:t>
            </w:r>
          </w:p>
          <w:p w14:paraId="74ED7DC3" w14:textId="77777777" w:rsidR="00A474A9" w:rsidRPr="00526FBF" w:rsidRDefault="00A474A9" w:rsidP="004C79C1">
            <w:pPr>
              <w:spacing w:before="0" w:after="120" w:line="240" w:lineRule="auto"/>
              <w:rPr>
                <w:rFonts w:ascii="Arial Narrow" w:hAnsi="Arial Narrow" w:cs="Arial Narrow"/>
                <w:bCs/>
                <w:sz w:val="20"/>
              </w:rPr>
            </w:pPr>
          </w:p>
          <w:p w14:paraId="55FEAABC"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NHMRC level II</w:t>
            </w:r>
          </w:p>
          <w:p w14:paraId="25E8C2BE" w14:textId="77777777" w:rsidR="00A474A9" w:rsidRPr="00526FBF" w:rsidRDefault="00A474A9" w:rsidP="004C79C1">
            <w:pPr>
              <w:spacing w:before="0" w:after="120" w:line="240" w:lineRule="auto"/>
              <w:rPr>
                <w:rFonts w:ascii="Arial Narrow" w:hAnsi="Arial Narrow" w:cs="Arial Narrow"/>
                <w:bCs/>
                <w:sz w:val="20"/>
              </w:rPr>
            </w:pPr>
          </w:p>
          <w:p w14:paraId="6D83C1B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72AABF39" w14:textId="57CC7D1A"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N=318 consecutive patients with ICM and NICM, and a</w:t>
            </w:r>
            <w:r w:rsidR="00942969">
              <w:rPr>
                <w:rFonts w:ascii="Arial Narrow" w:hAnsi="Arial Narrow" w:cs="Arial Narrow"/>
                <w:bCs/>
                <w:sz w:val="20"/>
              </w:rPr>
              <w:t>n</w:t>
            </w:r>
            <w:r w:rsidRPr="00526FBF">
              <w:rPr>
                <w:rFonts w:ascii="Arial Narrow" w:hAnsi="Arial Narrow" w:cs="Arial Narrow"/>
                <w:bCs/>
                <w:sz w:val="20"/>
              </w:rPr>
              <w:t xml:space="preserve"> LVEF &lt;55%</w:t>
            </w:r>
            <w:r w:rsidR="00FA609C">
              <w:rPr>
                <w:rFonts w:ascii="Arial Narrow" w:hAnsi="Arial Narrow" w:cs="Arial Narrow"/>
                <w:bCs/>
                <w:sz w:val="20"/>
              </w:rPr>
              <w:t>:</w:t>
            </w:r>
          </w:p>
          <w:p w14:paraId="1B76EDC3"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n=248 (78%) LGE+</w:t>
            </w:r>
            <w:r w:rsidRPr="00526FBF">
              <w:rPr>
                <w:rFonts w:ascii="Arial Narrow" w:hAnsi="Arial Narrow" w:cs="Arial Narrow"/>
                <w:bCs/>
                <w:sz w:val="20"/>
              </w:rPr>
              <w:br/>
            </w:r>
            <w:r w:rsidRPr="00526FBF">
              <w:rPr>
                <w:rFonts w:ascii="Arial Narrow" w:hAnsi="Arial Narrow" w:cs="Arial Narrow"/>
                <w:bCs/>
                <w:sz w:val="20"/>
              </w:rPr>
              <w:lastRenderedPageBreak/>
              <w:t>n=70 (22%) LGE–</w:t>
            </w:r>
          </w:p>
          <w:p w14:paraId="2DDF039D" w14:textId="77777777" w:rsidR="00A45EE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3F0D7690" w14:textId="2E150395" w:rsidR="00A45EE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age = 62.0 ± 12.9</w:t>
            </w:r>
            <w:r w:rsidR="00A45EEF">
              <w:rPr>
                <w:rFonts w:ascii="Arial Narrow" w:hAnsi="Arial Narrow" w:cs="Arial Narrow"/>
                <w:bCs/>
                <w:sz w:val="20"/>
              </w:rPr>
              <w:t> </w:t>
            </w:r>
            <w:r w:rsidRPr="00526FBF">
              <w:rPr>
                <w:rFonts w:ascii="Arial Narrow" w:hAnsi="Arial Narrow" w:cs="Arial Narrow"/>
                <w:bCs/>
                <w:sz w:val="20"/>
              </w:rPr>
              <w:t xml:space="preserve">years; male = 73%; </w:t>
            </w:r>
          </w:p>
          <w:p w14:paraId="0E33AA5F" w14:textId="6C377329" w:rsidR="00A45EE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131.9 ± 31.5</w:t>
            </w:r>
            <w:r w:rsidR="008676F8">
              <w:rPr>
                <w:rFonts w:ascii="Arial Narrow" w:hAnsi="Arial Narrow" w:cs="Arial Narrow"/>
                <w:bCs/>
                <w:sz w:val="20"/>
              </w:rPr>
              <w:t> </w:t>
            </w:r>
            <w:r w:rsidRPr="00526FBF">
              <w:rPr>
                <w:rFonts w:ascii="Arial Narrow" w:hAnsi="Arial Narrow" w:cs="Arial Narrow"/>
                <w:bCs/>
                <w:sz w:val="20"/>
              </w:rPr>
              <w:t xml:space="preserve">milliseconds; </w:t>
            </w:r>
          </w:p>
          <w:p w14:paraId="13155045" w14:textId="77777777" w:rsidR="00A45EE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40%; </w:t>
            </w:r>
          </w:p>
          <w:p w14:paraId="4948EFD1" w14:textId="77777777" w:rsidR="00A45EE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32.6 ± 11.9%;</w:t>
            </w:r>
          </w:p>
          <w:p w14:paraId="3F061794" w14:textId="6224F3DE" w:rsidR="00A45EE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history of VA = 11%, ICM = 47%; </w:t>
            </w:r>
          </w:p>
          <w:p w14:paraId="4D9F267F" w14:textId="71692A9A" w:rsidR="00A45EE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NYHA class III</w:t>
            </w:r>
            <w:r w:rsidR="00CF025F">
              <w:rPr>
                <w:rFonts w:ascii="Arial Narrow" w:hAnsi="Arial Narrow" w:cs="Arial Narrow"/>
                <w:bCs/>
                <w:sz w:val="20"/>
              </w:rPr>
              <w:t>–</w:t>
            </w:r>
            <w:r w:rsidRPr="00526FBF">
              <w:rPr>
                <w:rFonts w:ascii="Arial Narrow" w:hAnsi="Arial Narrow" w:cs="Arial Narrow"/>
                <w:bCs/>
                <w:sz w:val="20"/>
              </w:rPr>
              <w:t>IV = 46%;</w:t>
            </w:r>
          </w:p>
          <w:p w14:paraId="3C8C15A7" w14:textId="5456D6D5" w:rsidR="00A474A9" w:rsidRPr="00526FB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medications: ACE inhibitor = 59%, ARB = 22%, </w:t>
            </w:r>
            <w:r w:rsidR="00A45EEF" w:rsidRPr="003439A7">
              <w:rPr>
                <w:rFonts w:ascii="Arial Narrow" w:hAnsi="Arial Narrow" w:cs="Arial Narrow"/>
                <w:bCs/>
                <w:sz w:val="20"/>
              </w:rPr>
              <w:sym w:font="Symbol" w:char="F062"/>
            </w:r>
            <w:r w:rsidRPr="008676F8">
              <w:rPr>
                <w:rFonts w:ascii="Arial Narrow" w:hAnsi="Arial Narrow" w:cs="Arial Narrow"/>
                <w:bCs/>
                <w:sz w:val="20"/>
              </w:rPr>
              <w:t>-</w:t>
            </w:r>
            <w:r w:rsidRPr="00526FBF">
              <w:rPr>
                <w:rFonts w:ascii="Arial Narrow" w:hAnsi="Arial Narrow" w:cs="Arial Narrow"/>
                <w:bCs/>
                <w:sz w:val="20"/>
              </w:rPr>
              <w:t>blockers = 77%</w:t>
            </w:r>
          </w:p>
          <w:p w14:paraId="652769E7" w14:textId="02EACB9A" w:rsidR="00A474A9" w:rsidRPr="00526FBF" w:rsidRDefault="00A45EEF" w:rsidP="004C79C1">
            <w:pPr>
              <w:spacing w:before="0" w:after="120" w:line="240" w:lineRule="auto"/>
              <w:ind w:left="199"/>
              <w:rPr>
                <w:rFonts w:ascii="Arial Narrow" w:hAnsi="Arial Narrow" w:cs="Arial Narrow"/>
                <w:b/>
                <w:bCs/>
                <w:sz w:val="20"/>
                <w:lang w:val="en-GB" w:eastAsia="en-US"/>
              </w:rPr>
            </w:pPr>
            <w:r>
              <w:rPr>
                <w:rFonts w:ascii="Arial Narrow" w:hAnsi="Arial Narrow" w:cs="Arial Narrow"/>
                <w:bCs/>
                <w:sz w:val="20"/>
              </w:rPr>
              <w:t>n</w:t>
            </w:r>
            <w:r w:rsidR="00A474A9" w:rsidRPr="00526FBF">
              <w:rPr>
                <w:rFonts w:ascii="Arial Narrow" w:hAnsi="Arial Narrow" w:cs="Arial Narrow"/>
                <w:bCs/>
                <w:sz w:val="20"/>
              </w:rPr>
              <w:t>=169 (53%) had NICM</w:t>
            </w:r>
            <w:r w:rsidR="00A474A9" w:rsidRPr="00526FBF">
              <w:rPr>
                <w:rFonts w:ascii="Arial Narrow" w:hAnsi="Arial Narrow" w:cs="Arial Narrow"/>
                <w:bCs/>
                <w:sz w:val="20"/>
              </w:rPr>
              <w:br/>
              <w:t>n=50 (30%) LGE+</w:t>
            </w:r>
            <w:r w:rsidR="00A474A9" w:rsidRPr="00526FBF">
              <w:rPr>
                <w:rFonts w:ascii="Arial Narrow" w:hAnsi="Arial Narrow" w:cs="Arial Narrow"/>
                <w:bCs/>
                <w:sz w:val="20"/>
              </w:rPr>
              <w:br/>
              <w:t>n=119 (70%) LGE–</w:t>
            </w:r>
          </w:p>
          <w:p w14:paraId="3416B2A3" w14:textId="06B816E5"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467 (IQR 16–1</w:t>
            </w:r>
            <w:r w:rsidR="00A45EEF">
              <w:rPr>
                <w:rFonts w:ascii="Arial Narrow" w:hAnsi="Arial Narrow" w:cs="Arial Narrow"/>
                <w:bCs/>
                <w:sz w:val="20"/>
              </w:rPr>
              <w:t>,</w:t>
            </w:r>
            <w:r w:rsidRPr="00526FBF">
              <w:rPr>
                <w:rFonts w:ascii="Arial Narrow" w:hAnsi="Arial Narrow" w:cs="Arial Narrow"/>
                <w:bCs/>
                <w:sz w:val="20"/>
              </w:rPr>
              <w:t>422) days</w:t>
            </w:r>
          </w:p>
        </w:tc>
        <w:tc>
          <w:tcPr>
            <w:tcW w:w="882" w:type="pct"/>
          </w:tcPr>
          <w:p w14:paraId="65CFEA62" w14:textId="5D9D74AF"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with systolic dysfunction referred for LGE-CMR between April 2008 and April 2012 were </w:t>
            </w:r>
            <w:r w:rsidRPr="00526FBF">
              <w:rPr>
                <w:rFonts w:ascii="Arial Narrow" w:hAnsi="Arial Narrow"/>
                <w:sz w:val="20"/>
              </w:rPr>
              <w:lastRenderedPageBreak/>
              <w:t>studied. Systolic dysfunction was defined as a</w:t>
            </w:r>
            <w:r w:rsidR="00A45EEF">
              <w:rPr>
                <w:rFonts w:ascii="Arial Narrow" w:hAnsi="Arial Narrow"/>
                <w:sz w:val="20"/>
              </w:rPr>
              <w:t>n</w:t>
            </w:r>
            <w:r w:rsidRPr="00526FBF">
              <w:rPr>
                <w:rFonts w:ascii="Arial Narrow" w:hAnsi="Arial Narrow"/>
                <w:sz w:val="20"/>
              </w:rPr>
              <w:t xml:space="preserve"> LVEF ≤55% because this value correspond</w:t>
            </w:r>
            <w:r>
              <w:rPr>
                <w:rFonts w:ascii="Arial Narrow" w:hAnsi="Arial Narrow"/>
                <w:sz w:val="20"/>
              </w:rPr>
              <w:t>s to the lower limit of the 95%</w:t>
            </w:r>
            <w:r w:rsidRPr="00526FBF">
              <w:rPr>
                <w:rFonts w:ascii="Arial Narrow" w:hAnsi="Arial Narrow"/>
                <w:sz w:val="20"/>
              </w:rPr>
              <w:t>CI in healthy subject.</w:t>
            </w:r>
          </w:p>
          <w:p w14:paraId="745FA344" w14:textId="5821CC17" w:rsidR="00A474A9" w:rsidRPr="00526FBF" w:rsidRDefault="00A474A9" w:rsidP="004C79C1">
            <w:pPr>
              <w:tabs>
                <w:tab w:val="left" w:pos="1451"/>
                <w:tab w:val="left" w:pos="2018"/>
              </w:tabs>
              <w:spacing w:before="0" w:after="120" w:line="240" w:lineRule="auto"/>
              <w:rPr>
                <w:rFonts w:ascii="Arial Narrow" w:hAnsi="Arial Narrow" w:cs="Arial Narrow"/>
                <w:bCs/>
                <w:sz w:val="20"/>
              </w:rPr>
            </w:pPr>
            <w:r w:rsidRPr="00526FBF">
              <w:rPr>
                <w:rFonts w:ascii="Arial Narrow" w:hAnsi="Arial Narrow"/>
                <w:b/>
                <w:sz w:val="20"/>
              </w:rPr>
              <w:t>Exclusion criteria:</w:t>
            </w:r>
            <w:r w:rsidRPr="00526FBF">
              <w:rPr>
                <w:rFonts w:ascii="Arial Narrow" w:hAnsi="Arial Narrow" w:cs="Arial Narrow"/>
                <w:bCs/>
                <w:sz w:val="20"/>
              </w:rPr>
              <w:t xml:space="preserve"> patients clinically suspected to have </w:t>
            </w:r>
            <w:r>
              <w:rPr>
                <w:rFonts w:ascii="Arial Narrow" w:hAnsi="Arial Narrow" w:cs="Arial Narrow"/>
                <w:bCs/>
                <w:sz w:val="20"/>
              </w:rPr>
              <w:t>HCM</w:t>
            </w:r>
            <w:r w:rsidRPr="00526FBF">
              <w:rPr>
                <w:rFonts w:ascii="Arial Narrow" w:hAnsi="Arial Narrow" w:cs="Arial Narrow"/>
                <w:bCs/>
                <w:sz w:val="20"/>
              </w:rPr>
              <w:t xml:space="preserve">, restrictive </w:t>
            </w:r>
            <w:r>
              <w:rPr>
                <w:rFonts w:ascii="Arial Narrow" w:hAnsi="Arial Narrow" w:cs="Arial Narrow"/>
                <w:bCs/>
                <w:sz w:val="20"/>
              </w:rPr>
              <w:t>CM</w:t>
            </w:r>
            <w:r w:rsidRPr="00526FBF">
              <w:rPr>
                <w:rFonts w:ascii="Arial Narrow" w:hAnsi="Arial Narrow" w:cs="Arial Narrow"/>
                <w:bCs/>
                <w:sz w:val="20"/>
              </w:rPr>
              <w:t xml:space="preserve"> (sarcoidosis or amyloidosis), or arrhythmogenic right ventricular </w:t>
            </w:r>
            <w:r>
              <w:rPr>
                <w:rFonts w:ascii="Arial Narrow" w:hAnsi="Arial Narrow" w:cs="Arial Narrow"/>
                <w:bCs/>
                <w:sz w:val="20"/>
              </w:rPr>
              <w:t>CM</w:t>
            </w:r>
            <w:r w:rsidRPr="00526FBF">
              <w:rPr>
                <w:rFonts w:ascii="Arial Narrow" w:hAnsi="Arial Narrow" w:cs="Arial Narrow"/>
                <w:bCs/>
                <w:sz w:val="20"/>
              </w:rPr>
              <w:t>.</w:t>
            </w:r>
            <w:r w:rsidRPr="00526FBF">
              <w:rPr>
                <w:sz w:val="24"/>
              </w:rPr>
              <w:t xml:space="preserve"> </w:t>
            </w:r>
            <w:r w:rsidRPr="00526FBF">
              <w:rPr>
                <w:rFonts w:ascii="Arial Narrow" w:hAnsi="Arial Narrow" w:cs="Arial Narrow"/>
                <w:bCs/>
                <w:sz w:val="20"/>
              </w:rPr>
              <w:t>Patients were also excluded if standard contraindications to LGE-CMR existed, inclusive of a GFR of ≤30</w:t>
            </w:r>
            <w:r w:rsidR="007C103B">
              <w:rPr>
                <w:rFonts w:ascii="Arial Narrow" w:hAnsi="Arial Narrow" w:cs="Arial Narrow"/>
                <w:bCs/>
                <w:sz w:val="20"/>
              </w:rPr>
              <w:t> </w:t>
            </w:r>
            <w:r w:rsidRPr="00526FBF">
              <w:rPr>
                <w:rFonts w:ascii="Arial Narrow" w:hAnsi="Arial Narrow" w:cs="Arial Narrow"/>
                <w:bCs/>
                <w:sz w:val="20"/>
              </w:rPr>
              <w:t>mL/min/1.73 m</w:t>
            </w:r>
            <w:r w:rsidRPr="00526FBF">
              <w:rPr>
                <w:rFonts w:ascii="Arial Narrow" w:hAnsi="Arial Narrow" w:cs="Arial Narrow"/>
                <w:bCs/>
                <w:sz w:val="20"/>
                <w:vertAlign w:val="superscript"/>
              </w:rPr>
              <w:t>2</w:t>
            </w:r>
          </w:p>
        </w:tc>
        <w:tc>
          <w:tcPr>
            <w:tcW w:w="1030" w:type="pct"/>
          </w:tcPr>
          <w:p w14:paraId="1407569A"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3-T scanner with a 32-channel cardiac coil</w:t>
            </w:r>
          </w:p>
          <w:p w14:paraId="7891FED3" w14:textId="36044A26"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 sequence:</w:t>
            </w:r>
            <w:r w:rsidRPr="00526FBF">
              <w:rPr>
                <w:rFonts w:ascii="Arial Narrow" w:hAnsi="Arial Narrow" w:cs="Times New Roman"/>
                <w:sz w:val="20"/>
                <w:szCs w:val="20"/>
              </w:rPr>
              <w:t xml:space="preserve"> sequential short-axis views at 10-</w:t>
            </w:r>
            <w:r w:rsidRPr="00526FBF">
              <w:rPr>
                <w:rFonts w:ascii="Arial Narrow" w:hAnsi="Arial Narrow" w:cs="Times New Roman"/>
                <w:sz w:val="20"/>
                <w:szCs w:val="20"/>
              </w:rPr>
              <w:lastRenderedPageBreak/>
              <w:t>mm intervals using a standard SSFP-based cine pulse sequence</w:t>
            </w:r>
          </w:p>
          <w:p w14:paraId="13E9DD4A" w14:textId="0A19B6F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phase-sensitive inversion recovery gradient</w:t>
            </w:r>
            <w:r w:rsidR="00911558">
              <w:rPr>
                <w:rFonts w:ascii="Arial Narrow" w:hAnsi="Arial Narrow" w:cs="Times New Roman"/>
                <w:sz w:val="20"/>
                <w:szCs w:val="20"/>
              </w:rPr>
              <w:t>-</w:t>
            </w:r>
            <w:r w:rsidRPr="00526FBF">
              <w:rPr>
                <w:rFonts w:ascii="Arial Narrow" w:hAnsi="Arial Narrow" w:cs="Times New Roman"/>
                <w:sz w:val="20"/>
                <w:szCs w:val="20"/>
              </w:rPr>
              <w:t>echo pulse sequence</w:t>
            </w:r>
          </w:p>
          <w:p w14:paraId="0DDB2472" w14:textId="7A15789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0.15–0.2</w:t>
            </w:r>
            <w:r w:rsidR="00186A27">
              <w:rPr>
                <w:rFonts w:ascii="Arial Narrow" w:hAnsi="Arial Narrow" w:cs="Times New Roman"/>
                <w:sz w:val="20"/>
                <w:szCs w:val="20"/>
              </w:rPr>
              <w:t> </w:t>
            </w:r>
            <w:r w:rsidRPr="00526FBF">
              <w:rPr>
                <w:rFonts w:ascii="Arial Narrow" w:hAnsi="Arial Narrow" w:cs="Times New Roman"/>
                <w:sz w:val="20"/>
                <w:szCs w:val="20"/>
              </w:rPr>
              <w:t>mmol/kg; Gadovist</w:t>
            </w:r>
          </w:p>
          <w:p w14:paraId="2B11E49C" w14:textId="7225057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w:t>
            </w:r>
            <w:r w:rsidR="00911558">
              <w:rPr>
                <w:rFonts w:ascii="Arial Narrow" w:hAnsi="Arial Narrow" w:cs="Times New Roman"/>
                <w:sz w:val="20"/>
                <w:szCs w:val="20"/>
              </w:rPr>
              <w:t> </w:t>
            </w:r>
            <w:r w:rsidRPr="00526FBF">
              <w:rPr>
                <w:rFonts w:ascii="Arial Narrow" w:hAnsi="Arial Narrow" w:cs="Times New Roman"/>
                <w:sz w:val="20"/>
                <w:szCs w:val="20"/>
              </w:rPr>
              <w:t>minutes</w:t>
            </w:r>
          </w:p>
          <w:p w14:paraId="687BFB2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Cine images were examined to determine LV and right ventricular end-systolic volumes and end-diastolic volumes, in addition to LV mass by semi-automated endocardial and epicardial contour tracing.</w:t>
            </w:r>
          </w:p>
          <w:p w14:paraId="64D575B7" w14:textId="77777777" w:rsidR="0084314C"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scoring of all LGE fibrosis patterns was as follows: </w:t>
            </w:r>
          </w:p>
          <w:p w14:paraId="0500B976" w14:textId="0C6FD577" w:rsidR="0084314C"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1) subendocardial </w:t>
            </w:r>
          </w:p>
          <w:p w14:paraId="7296F681" w14:textId="108D60C0" w:rsidR="0084314C"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2) mid-wall striae </w:t>
            </w:r>
          </w:p>
          <w:p w14:paraId="358947D7" w14:textId="6988593C" w:rsidR="0084314C"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3) mid-wall patchy </w:t>
            </w:r>
          </w:p>
          <w:p w14:paraId="0749D614" w14:textId="5B99BF43" w:rsidR="0084314C"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4) subepicardial </w:t>
            </w:r>
          </w:p>
          <w:p w14:paraId="2CB85E3F" w14:textId="7FF6688D" w:rsidR="0084314C"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5) right ventricular insertion point </w:t>
            </w:r>
          </w:p>
          <w:p w14:paraId="775FEAA0" w14:textId="338EC720" w:rsidR="00A474A9" w:rsidRPr="00526FBF" w:rsidRDefault="00A474A9" w:rsidP="004C79C1">
            <w:pPr>
              <w:spacing w:before="0" w:after="120" w:line="240" w:lineRule="auto"/>
              <w:ind w:left="125" w:right="-57"/>
              <w:rPr>
                <w:rFonts w:ascii="Arial Narrow" w:hAnsi="Arial Narrow"/>
                <w:b/>
                <w:sz w:val="20"/>
                <w:lang w:val="en-GB" w:eastAsia="en-US"/>
              </w:rPr>
            </w:pPr>
            <w:r w:rsidRPr="00526FBF">
              <w:rPr>
                <w:rFonts w:ascii="Arial Narrow" w:hAnsi="Arial Narrow" w:cs="Times New Roman"/>
                <w:sz w:val="20"/>
                <w:szCs w:val="20"/>
              </w:rPr>
              <w:t xml:space="preserve">6) </w:t>
            </w:r>
            <w:proofErr w:type="gramStart"/>
            <w:r w:rsidRPr="00526FBF">
              <w:rPr>
                <w:rFonts w:ascii="Arial Narrow" w:hAnsi="Arial Narrow" w:cs="Times New Roman"/>
                <w:sz w:val="20"/>
                <w:szCs w:val="20"/>
              </w:rPr>
              <w:t>diffuse</w:t>
            </w:r>
            <w:proofErr w:type="gramEnd"/>
            <w:r w:rsidRPr="00526FBF">
              <w:rPr>
                <w:rFonts w:ascii="Arial Narrow" w:hAnsi="Arial Narrow" w:cs="Times New Roman"/>
                <w:sz w:val="20"/>
                <w:szCs w:val="20"/>
              </w:rPr>
              <w:t>.</w:t>
            </w:r>
          </w:p>
        </w:tc>
        <w:tc>
          <w:tcPr>
            <w:tcW w:w="1177" w:type="pct"/>
          </w:tcPr>
          <w:p w14:paraId="35B8F0F0"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130007EC"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33CAF52" w14:textId="00BF3FE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4A1E9450" w14:textId="5343883B"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lastRenderedPageBreak/>
              <w:t>SCA or appropriate ICD discharge</w:t>
            </w:r>
            <w:r w:rsidRPr="00526FBF">
              <w:rPr>
                <w:rFonts w:ascii="Arial Narrow" w:hAnsi="Arial Narrow" w:cs="Arial Narrow"/>
                <w:bCs/>
                <w:sz w:val="20"/>
              </w:rPr>
              <w:br/>
            </w:r>
            <w:r w:rsidR="0018417C">
              <w:rPr>
                <w:rFonts w:ascii="Arial Narrow" w:hAnsi="Arial Narrow" w:cs="Arial Narrow"/>
                <w:bCs/>
                <w:sz w:val="20"/>
              </w:rPr>
              <w:t>h</w:t>
            </w:r>
            <w:r w:rsidRPr="00526FBF">
              <w:rPr>
                <w:rFonts w:ascii="Arial Narrow" w:hAnsi="Arial Narrow" w:cs="Arial Narrow"/>
                <w:bCs/>
                <w:sz w:val="20"/>
              </w:rPr>
              <w:t>ospitali</w:t>
            </w:r>
            <w:r w:rsidR="00692871">
              <w:rPr>
                <w:rFonts w:ascii="Arial Narrow" w:hAnsi="Arial Narrow" w:cs="Arial Narrow"/>
                <w:bCs/>
                <w:sz w:val="20"/>
              </w:rPr>
              <w:t>s</w:t>
            </w:r>
            <w:r w:rsidRPr="00526FBF">
              <w:rPr>
                <w:rFonts w:ascii="Arial Narrow" w:hAnsi="Arial Narrow" w:cs="Arial Narrow"/>
                <w:bCs/>
                <w:sz w:val="20"/>
              </w:rPr>
              <w:t>ation for severe HF</w:t>
            </w:r>
            <w:r w:rsidRPr="00526FBF">
              <w:rPr>
                <w:rFonts w:ascii="Arial Narrow" w:hAnsi="Arial Narrow" w:cs="Arial Narrow"/>
                <w:bCs/>
                <w:sz w:val="20"/>
              </w:rPr>
              <w:br/>
            </w:r>
            <w:r w:rsidR="0018417C">
              <w:rPr>
                <w:rFonts w:ascii="Arial Narrow" w:hAnsi="Arial Narrow" w:cs="Arial Narrow"/>
                <w:bCs/>
                <w:sz w:val="20"/>
              </w:rPr>
              <w:t>n</w:t>
            </w:r>
            <w:r w:rsidRPr="00526FBF">
              <w:rPr>
                <w:rFonts w:ascii="Arial Narrow" w:hAnsi="Arial Narrow" w:cs="Arial Narrow"/>
                <w:bCs/>
                <w:sz w:val="20"/>
              </w:rPr>
              <w:t>on–SCD</w:t>
            </w:r>
          </w:p>
          <w:p w14:paraId="122C8B66" w14:textId="77777777" w:rsidR="00A474A9" w:rsidRPr="00526FBF" w:rsidRDefault="00A474A9" w:rsidP="004C79C1">
            <w:pPr>
              <w:spacing w:before="0" w:after="120" w:line="240" w:lineRule="auto"/>
              <w:ind w:left="-23"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1C85FA84" w14:textId="77777777" w:rsidTr="00BE5D7C">
        <w:tc>
          <w:tcPr>
            <w:tcW w:w="391" w:type="pct"/>
          </w:tcPr>
          <w:p w14:paraId="7712902C" w14:textId="4AD41A2B"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Buss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ExcludeAuth="1"&gt;&lt;Author&gt;Buss&lt;/Author&gt;&lt;Year&gt;2015&lt;/Year&gt;&lt;RecNum&gt;36&lt;/RecNum&gt;&lt;DisplayText&gt;(2015)&lt;/DisplayText&gt;&lt;record&gt;&lt;rec-number&gt;36&lt;/rec-number&gt;&lt;foreign-keys&gt;&lt;key app="EN" db-id="pfxxvref0t0a5de2vwnv2fwkz0p9v0r2fw0t" timestamp="1458109046"&gt;36&lt;/key&gt;&lt;/foreign-keys&gt;&lt;ref-type name="Journal Article"&gt;17&lt;/ref-type&gt;&lt;contributors&gt;&lt;authors&gt;&lt;author&gt;Buss, S. J.&lt;/author&gt;&lt;author&gt;Breuninger, K.&lt;/author&gt;&lt;author&gt;Lehrke, S.&lt;/author&gt;&lt;author&gt;Voss, A.&lt;/author&gt;&lt;author&gt;Galuschky, C.&lt;/author&gt;&lt;author&gt;Lossnitzer, D.&lt;/author&gt;&lt;author&gt;Andre, F.&lt;/author&gt;&lt;author&gt;Ehlermann, P.&lt;/author&gt;&lt;author&gt;Franke, J.&lt;/author&gt;&lt;author&gt;Taeger, T.&lt;/author&gt;&lt;author&gt;Frankenstein, L.&lt;/author&gt;&lt;author&gt;Steen, H.&lt;/author&gt;&lt;author&gt;Meder, B.&lt;/author&gt;&lt;author&gt;Giannitsis, E.&lt;/author&gt;&lt;author&gt;Katus, H. A.&lt;/author&gt;&lt;author&gt;Korosoglou, G.&lt;/author&gt;&lt;/authors&gt;&lt;/contributors&gt;&lt;titles&gt;&lt;title&gt;Assessment of myocardial deformation with cardiac magnetic resonance strain imaging improves risk stratification in patients with dilated cardiomyopathy&lt;/title&gt;&lt;secondary-title&gt;European Heart Journal Cardiovascular Imaging&lt;/secondary-title&gt;&lt;/titles&gt;&lt;periodical&gt;&lt;full-title&gt;European Heart Journal Cardiovascular Imaging&lt;/full-title&gt;&lt;/periodical&gt;&lt;pages&gt;307-15&lt;/pages&gt;&lt;volume&gt;16&lt;/volume&gt;&lt;number&gt;3&lt;/number&gt;&lt;dates&gt;&lt;year&gt;2015&lt;/year&gt;&lt;pub-dates&gt;&lt;date&gt;2015-01-01&lt;/date&gt;&lt;/pub-dates&gt;&lt;/dates&gt;&lt;urls&gt;&lt;related-urls&gt;&lt;url&gt;http://ehjcimaging.oxfordjournals.org/content/ejechocard/16/3/307.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8" w:tooltip="Buss, 2015 #36"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1E31DC93" w14:textId="77777777" w:rsidR="00A474A9" w:rsidRPr="00526FBF" w:rsidRDefault="00A474A9" w:rsidP="004C79C1">
            <w:pPr>
              <w:spacing w:before="0" w:after="120" w:line="240" w:lineRule="auto"/>
              <w:rPr>
                <w:rFonts w:ascii="Arial Narrow" w:hAnsi="Arial Narrow" w:cs="Arial Narrow"/>
                <w:bCs/>
                <w:sz w:val="20"/>
                <w:szCs w:val="20"/>
              </w:rPr>
            </w:pPr>
          </w:p>
          <w:p w14:paraId="79E7BF27"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Germany</w:t>
            </w:r>
          </w:p>
        </w:tc>
        <w:tc>
          <w:tcPr>
            <w:tcW w:w="588" w:type="pct"/>
            <w:shd w:val="clear" w:color="auto" w:fill="auto"/>
          </w:tcPr>
          <w:p w14:paraId="4A9D2D82"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Prospective cohort</w:t>
            </w:r>
          </w:p>
          <w:p w14:paraId="0AE7B543" w14:textId="77777777" w:rsidR="00A474A9" w:rsidRPr="00526FBF" w:rsidRDefault="00A474A9" w:rsidP="004C79C1">
            <w:pPr>
              <w:spacing w:before="0" w:after="120" w:line="240" w:lineRule="auto"/>
              <w:rPr>
                <w:rFonts w:ascii="Arial Narrow" w:hAnsi="Arial Narrow" w:cs="Arial Narrow"/>
                <w:bCs/>
                <w:sz w:val="20"/>
              </w:rPr>
            </w:pPr>
          </w:p>
          <w:p w14:paraId="7621876E" w14:textId="77777777" w:rsidR="00A474A9" w:rsidRPr="00526FBF" w:rsidRDefault="00A474A9" w:rsidP="004C79C1">
            <w:pPr>
              <w:spacing w:before="0" w:after="120" w:line="240" w:lineRule="auto"/>
              <w:rPr>
                <w:rFonts w:ascii="Arial Narrow" w:eastAsiaTheme="minorHAnsi" w:hAnsi="Arial Narrow" w:cstheme="minorHAnsi"/>
                <w:sz w:val="20"/>
                <w:lang w:eastAsia="en-US"/>
              </w:rPr>
            </w:pPr>
            <w:r w:rsidRPr="00526FBF">
              <w:rPr>
                <w:rFonts w:ascii="Arial Narrow" w:eastAsiaTheme="minorHAnsi" w:hAnsi="Arial Narrow" w:cstheme="minorHAnsi"/>
                <w:sz w:val="20"/>
                <w:lang w:eastAsia="en-US"/>
              </w:rPr>
              <w:t>NHMRC level II</w:t>
            </w:r>
          </w:p>
          <w:p w14:paraId="7F557AB9" w14:textId="77777777" w:rsidR="00A474A9" w:rsidRPr="00526FBF" w:rsidRDefault="00A474A9" w:rsidP="004C79C1">
            <w:pPr>
              <w:spacing w:before="0" w:after="120" w:line="240" w:lineRule="auto"/>
              <w:rPr>
                <w:rFonts w:ascii="Arial Narrow" w:eastAsiaTheme="minorHAnsi" w:hAnsi="Arial Narrow" w:cstheme="minorHAnsi"/>
                <w:sz w:val="20"/>
                <w:lang w:eastAsia="en-US"/>
              </w:rPr>
            </w:pPr>
          </w:p>
          <w:p w14:paraId="0D51FD7A" w14:textId="77777777" w:rsidR="00A474A9" w:rsidRPr="00526FBF" w:rsidRDefault="00A474A9" w:rsidP="004C79C1">
            <w:pPr>
              <w:spacing w:before="0" w:after="120" w:line="240" w:lineRule="auto"/>
              <w:rPr>
                <w:rFonts w:ascii="Arial Narrow" w:eastAsiaTheme="minorHAnsi" w:hAnsi="Arial Narrow" w:cstheme="minorHAnsi"/>
                <w:sz w:val="20"/>
                <w:lang w:eastAsia="en-US"/>
              </w:rPr>
            </w:pPr>
            <w:r w:rsidRPr="00526FBF">
              <w:rPr>
                <w:rFonts w:ascii="Arial Narrow" w:hAnsi="Arial Narrow" w:cs="Arial Narrow"/>
                <w:bCs/>
                <w:sz w:val="20"/>
              </w:rPr>
              <w:t>SIGN: acceptable quality with a moderate risk of bias</w:t>
            </w:r>
          </w:p>
        </w:tc>
        <w:tc>
          <w:tcPr>
            <w:tcW w:w="932" w:type="pct"/>
          </w:tcPr>
          <w:p w14:paraId="1D75E4F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N=210 consecutive patients with DCM</w:t>
            </w:r>
          </w:p>
          <w:p w14:paraId="4EDCF786" w14:textId="602EF3EA" w:rsidR="00A474A9" w:rsidRPr="00526FBF" w:rsidRDefault="00A474A9" w:rsidP="004C79C1">
            <w:pPr>
              <w:spacing w:before="0" w:after="120" w:line="240" w:lineRule="auto"/>
              <w:rPr>
                <w:rFonts w:ascii="Arial Narrow" w:hAnsi="Arial Narrow" w:cs="Arial Narrow"/>
                <w:b/>
                <w:bCs/>
                <w:sz w:val="20"/>
              </w:rPr>
            </w:pPr>
            <w:r w:rsidRPr="00526FBF">
              <w:rPr>
                <w:rFonts w:ascii="Arial Narrow" w:hAnsi="Arial Narrow" w:cs="Arial Narrow"/>
                <w:b/>
                <w:bCs/>
                <w:sz w:val="20"/>
              </w:rPr>
              <w:lastRenderedPageBreak/>
              <w:t xml:space="preserve">Includes 101 patients from Lehrke </w:t>
            </w:r>
            <w:r w:rsidR="007E6C64">
              <w:rPr>
                <w:rFonts w:ascii="Arial Narrow" w:hAnsi="Arial Narrow" w:cs="Arial Narrow"/>
                <w:b/>
                <w:bCs/>
                <w:sz w:val="20"/>
              </w:rPr>
              <w:t xml:space="preserve">et al. </w:t>
            </w:r>
            <w:r w:rsidR="00E24B40">
              <w:rPr>
                <w:rFonts w:ascii="Arial Narrow" w:hAnsi="Arial Narrow" w:cs="Arial Narrow"/>
                <w:b/>
                <w:bCs/>
                <w:sz w:val="20"/>
              </w:rPr>
              <w:t>(</w:t>
            </w:r>
            <w:r w:rsidRPr="00526FBF">
              <w:rPr>
                <w:rFonts w:ascii="Arial Narrow" w:hAnsi="Arial Narrow" w:cs="Arial Narrow"/>
                <w:b/>
                <w:bCs/>
                <w:sz w:val="20"/>
              </w:rPr>
              <w:t>2011</w:t>
            </w:r>
            <w:r w:rsidR="00E24B40">
              <w:rPr>
                <w:rFonts w:ascii="Arial Narrow" w:hAnsi="Arial Narrow" w:cs="Arial Narrow"/>
                <w:b/>
                <w:bCs/>
                <w:sz w:val="20"/>
              </w:rPr>
              <w:t>)</w:t>
            </w:r>
            <w:r w:rsidRPr="00526FBF">
              <w:rPr>
                <w:rFonts w:ascii="Arial Narrow" w:hAnsi="Arial Narrow" w:cs="Arial Narrow"/>
                <w:b/>
                <w:bCs/>
                <w:sz w:val="20"/>
              </w:rPr>
              <w:t xml:space="preserve"> with extended follow-up</w:t>
            </w:r>
            <w:r w:rsidR="00E24B40">
              <w:rPr>
                <w:rFonts w:ascii="Arial Narrow" w:hAnsi="Arial Narrow" w:cs="Arial Narrow"/>
                <w:b/>
                <w:bCs/>
                <w:sz w:val="20"/>
              </w:rPr>
              <w:t>:</w:t>
            </w:r>
          </w:p>
          <w:p w14:paraId="0E10A0D5"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n=79 (38%) LGE+</w:t>
            </w:r>
            <w:r w:rsidRPr="00526FBF">
              <w:rPr>
                <w:rFonts w:ascii="Arial Narrow" w:hAnsi="Arial Narrow" w:cs="Arial Narrow"/>
                <w:bCs/>
                <w:sz w:val="20"/>
              </w:rPr>
              <w:br/>
              <w:t>n=131 (62% LGE–</w:t>
            </w:r>
          </w:p>
          <w:p w14:paraId="1CE7F8F3" w14:textId="77777777" w:rsidR="009860F1"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4732001E" w14:textId="77777777" w:rsidR="009860F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52 ± 15 years; </w:t>
            </w:r>
          </w:p>
          <w:p w14:paraId="54C510F3" w14:textId="77777777" w:rsidR="009860F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76%; </w:t>
            </w:r>
          </w:p>
          <w:p w14:paraId="4AAC3122" w14:textId="77777777" w:rsidR="009860F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36.1 ± 13.8%;</w:t>
            </w:r>
          </w:p>
          <w:p w14:paraId="6E14E7BE" w14:textId="2A2799A2" w:rsidR="009860F1"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family history of CM = 13%;</w:t>
            </w:r>
          </w:p>
          <w:p w14:paraId="54143938" w14:textId="219B965A" w:rsidR="009860F1"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mean NYHA class = 2.1 ± 0.7; </w:t>
            </w:r>
          </w:p>
          <w:p w14:paraId="2EF6B3FE" w14:textId="718FEE9F"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ARB/ACE inhibitor = 93%, </w:t>
            </w:r>
            <w:r w:rsidR="009860F1" w:rsidRPr="003439A7">
              <w:rPr>
                <w:rFonts w:ascii="Arial Narrow" w:hAnsi="Arial Narrow" w:cs="Arial Narrow"/>
                <w:bCs/>
                <w:sz w:val="20"/>
              </w:rPr>
              <w:sym w:font="Symbol" w:char="F062"/>
            </w:r>
            <w:r w:rsidRPr="009860F1">
              <w:rPr>
                <w:rFonts w:ascii="Arial Narrow" w:hAnsi="Arial Narrow" w:cs="Arial Narrow"/>
                <w:bCs/>
                <w:sz w:val="20"/>
              </w:rPr>
              <w:t>-</w:t>
            </w:r>
            <w:r w:rsidRPr="00526FBF">
              <w:rPr>
                <w:rFonts w:ascii="Arial Narrow" w:hAnsi="Arial Narrow" w:cs="Arial Narrow"/>
                <w:bCs/>
                <w:sz w:val="20"/>
              </w:rPr>
              <w:t>blockers = 88%</w:t>
            </w:r>
          </w:p>
          <w:p w14:paraId="4963DBFC" w14:textId="0B9DDAD6"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5.3</w:t>
            </w:r>
            <w:r w:rsidR="009860F1">
              <w:rPr>
                <w:rFonts w:ascii="Arial Narrow" w:hAnsi="Arial Narrow" w:cs="Arial Narrow"/>
                <w:bCs/>
                <w:sz w:val="20"/>
              </w:rPr>
              <w:t> </w:t>
            </w:r>
            <w:r w:rsidRPr="00526FBF">
              <w:rPr>
                <w:rFonts w:ascii="Arial Narrow" w:hAnsi="Arial Narrow" w:cs="Arial Narrow"/>
                <w:bCs/>
                <w:sz w:val="20"/>
              </w:rPr>
              <w:t>years</w:t>
            </w:r>
          </w:p>
        </w:tc>
        <w:tc>
          <w:tcPr>
            <w:tcW w:w="882" w:type="pct"/>
          </w:tcPr>
          <w:p w14:paraId="16FB1BAE" w14:textId="76C64BA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with </w:t>
            </w:r>
            <w:r w:rsidRPr="00526FBF">
              <w:rPr>
                <w:rFonts w:ascii="Arial Narrow" w:hAnsi="Arial Narrow"/>
                <w:sz w:val="20"/>
              </w:rPr>
              <w:lastRenderedPageBreak/>
              <w:t xml:space="preserve">DCM who were prospectively included in </w:t>
            </w:r>
            <w:r w:rsidR="009E49C5">
              <w:rPr>
                <w:rFonts w:ascii="Arial Narrow" w:hAnsi="Arial Narrow"/>
                <w:sz w:val="20"/>
              </w:rPr>
              <w:t>the</w:t>
            </w:r>
            <w:r w:rsidR="009E49C5" w:rsidRPr="00526FBF">
              <w:rPr>
                <w:rFonts w:ascii="Arial Narrow" w:hAnsi="Arial Narrow"/>
                <w:sz w:val="20"/>
              </w:rPr>
              <w:t xml:space="preserve"> </w:t>
            </w:r>
            <w:r w:rsidRPr="00526FBF">
              <w:rPr>
                <w:rFonts w:ascii="Arial Narrow" w:hAnsi="Arial Narrow"/>
                <w:sz w:val="20"/>
              </w:rPr>
              <w:t>study</w:t>
            </w:r>
            <w:r w:rsidR="009E49C5">
              <w:rPr>
                <w:rFonts w:ascii="Arial Narrow" w:hAnsi="Arial Narrow"/>
                <w:sz w:val="20"/>
              </w:rPr>
              <w:t>,</w:t>
            </w:r>
            <w:r w:rsidRPr="00526FBF">
              <w:rPr>
                <w:rFonts w:ascii="Arial Narrow" w:hAnsi="Arial Narrow"/>
                <w:sz w:val="20"/>
              </w:rPr>
              <w:t xml:space="preserve"> and myocardial deformation was analysed retrospectively after referral to the Cardiomyopathy Center at the University Hospital Heidelberg between May 2005 and November 2009.</w:t>
            </w:r>
          </w:p>
          <w:p w14:paraId="3A61A07A" w14:textId="3A939B4B"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contraindications to CMR: cardiac pacemaker or ICD, other incompatible metallic implants, severe claustrophobia, obesity preventing patient entrance into the scanner bore, pregnancy and lactation. Chronic renal failure of GFR &lt;30 mL/min/1.73 m</w:t>
            </w:r>
            <w:r w:rsidRPr="00526FBF">
              <w:rPr>
                <w:rFonts w:ascii="Arial Narrow" w:hAnsi="Arial Narrow"/>
                <w:sz w:val="20"/>
                <w:vertAlign w:val="superscript"/>
              </w:rPr>
              <w:t>2</w:t>
            </w:r>
            <w:r w:rsidRPr="00526FBF">
              <w:rPr>
                <w:rFonts w:ascii="Arial Narrow" w:hAnsi="Arial Narrow"/>
                <w:sz w:val="20"/>
              </w:rPr>
              <w:t xml:space="preserve"> was added after July 2007</w:t>
            </w:r>
            <w:r w:rsidR="003B34A8">
              <w:rPr>
                <w:rFonts w:ascii="Arial Narrow" w:hAnsi="Arial Narrow"/>
                <w:sz w:val="20"/>
              </w:rPr>
              <w:t>.</w:t>
            </w:r>
          </w:p>
        </w:tc>
        <w:tc>
          <w:tcPr>
            <w:tcW w:w="1030" w:type="pct"/>
          </w:tcPr>
          <w:p w14:paraId="4E563FFC"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cardiac phased array receiver coil</w:t>
            </w:r>
          </w:p>
          <w:p w14:paraId="5DE19451" w14:textId="3723319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Cardiac function sequence:</w:t>
            </w:r>
            <w:r w:rsidRPr="00526FBF">
              <w:rPr>
                <w:rFonts w:ascii="Arial Narrow" w:hAnsi="Arial Narrow" w:cs="Times New Roman"/>
                <w:sz w:val="20"/>
                <w:szCs w:val="20"/>
              </w:rPr>
              <w:t xml:space="preserve"> Cine images were obtained using a breath-hold segmented-k-space balanced fast-field echo sequence (SSFP) employing retrospective ECG gating in long</w:t>
            </w:r>
            <w:r w:rsidR="009E49C5">
              <w:rPr>
                <w:rFonts w:ascii="Arial Narrow" w:hAnsi="Arial Narrow" w:cs="Times New Roman"/>
                <w:sz w:val="20"/>
                <w:szCs w:val="20"/>
              </w:rPr>
              <w:t>-</w:t>
            </w:r>
            <w:r w:rsidRPr="00526FBF">
              <w:rPr>
                <w:rFonts w:ascii="Arial Narrow" w:hAnsi="Arial Narrow" w:cs="Times New Roman"/>
                <w:sz w:val="20"/>
                <w:szCs w:val="20"/>
              </w:rPr>
              <w:t>axis planes</w:t>
            </w:r>
            <w:r w:rsidRPr="00526FBF">
              <w:rPr>
                <w:sz w:val="24"/>
              </w:rPr>
              <w:t xml:space="preserve"> </w:t>
            </w:r>
            <w:r w:rsidRPr="00526FBF">
              <w:rPr>
                <w:rFonts w:ascii="Arial Narrow" w:hAnsi="Arial Narrow" w:cs="Times New Roman"/>
                <w:sz w:val="20"/>
                <w:szCs w:val="20"/>
              </w:rPr>
              <w:t>as well as in contiguous short</w:t>
            </w:r>
            <w:r w:rsidR="009E49C5">
              <w:rPr>
                <w:rFonts w:ascii="Arial Narrow" w:hAnsi="Arial Narrow" w:cs="Times New Roman"/>
                <w:sz w:val="20"/>
                <w:szCs w:val="20"/>
              </w:rPr>
              <w:t>-</w:t>
            </w:r>
            <w:r w:rsidRPr="00526FBF">
              <w:rPr>
                <w:rFonts w:ascii="Arial Narrow" w:hAnsi="Arial Narrow" w:cs="Times New Roman"/>
                <w:sz w:val="20"/>
                <w:szCs w:val="20"/>
              </w:rPr>
              <w:t>axis slices</w:t>
            </w:r>
            <w:r w:rsidR="009E49C5">
              <w:rPr>
                <w:rFonts w:ascii="Arial Narrow" w:hAnsi="Arial Narrow" w:cs="Times New Roman"/>
                <w:sz w:val="20"/>
                <w:szCs w:val="20"/>
              </w:rPr>
              <w:t>.</w:t>
            </w:r>
          </w:p>
          <w:p w14:paraId="3203C53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Not reported</w:t>
            </w:r>
          </w:p>
          <w:p w14:paraId="55B27885"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Not reported</w:t>
            </w:r>
          </w:p>
          <w:p w14:paraId="3AC66B78"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Not reported</w:t>
            </w:r>
          </w:p>
          <w:p w14:paraId="6915BCAC" w14:textId="0D373014"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00FB71CE">
              <w:rPr>
                <w:rFonts w:ascii="Arial Narrow" w:hAnsi="Arial Narrow" w:cs="Times New Roman"/>
                <w:sz w:val="20"/>
                <w:szCs w:val="20"/>
              </w:rPr>
              <w:t xml:space="preserve"> LV volumes, LVEF</w:t>
            </w:r>
            <w:r w:rsidRPr="00526FBF">
              <w:rPr>
                <w:rFonts w:ascii="Arial Narrow" w:hAnsi="Arial Narrow" w:cs="Times New Roman"/>
                <w:sz w:val="20"/>
                <w:szCs w:val="20"/>
              </w:rPr>
              <w:t xml:space="preserve"> and LV myocardial mass were derived from short-axis slices.</w:t>
            </w:r>
          </w:p>
          <w:p w14:paraId="01F409C6" w14:textId="1B54972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and extent of LGE was evaluated by </w:t>
            </w:r>
            <w:r w:rsidR="003B34A8">
              <w:rPr>
                <w:rFonts w:ascii="Arial Narrow" w:hAnsi="Arial Narrow" w:cs="Times New Roman"/>
                <w:sz w:val="20"/>
                <w:szCs w:val="20"/>
              </w:rPr>
              <w:t>2</w:t>
            </w:r>
            <w:r w:rsidR="003B34A8" w:rsidRPr="00526FBF">
              <w:rPr>
                <w:rFonts w:ascii="Arial Narrow" w:hAnsi="Arial Narrow" w:cs="Times New Roman"/>
                <w:sz w:val="20"/>
                <w:szCs w:val="20"/>
              </w:rPr>
              <w:t xml:space="preserve"> </w:t>
            </w:r>
            <w:r w:rsidRPr="00526FBF">
              <w:rPr>
                <w:rFonts w:ascii="Arial Narrow" w:hAnsi="Arial Narrow" w:cs="Times New Roman"/>
                <w:sz w:val="20"/>
                <w:szCs w:val="20"/>
              </w:rPr>
              <w:t>independent, blinded, experienced observers</w:t>
            </w:r>
            <w:r w:rsidR="003B34A8">
              <w:rPr>
                <w:rFonts w:ascii="Arial Narrow" w:hAnsi="Arial Narrow" w:cs="Times New Roman"/>
                <w:sz w:val="20"/>
                <w:szCs w:val="20"/>
              </w:rPr>
              <w:t>.</w:t>
            </w:r>
          </w:p>
        </w:tc>
        <w:tc>
          <w:tcPr>
            <w:tcW w:w="1177" w:type="pct"/>
          </w:tcPr>
          <w:p w14:paraId="0A27AB0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2ED7F013"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lastRenderedPageBreak/>
              <w:t>Outcomes:</w:t>
            </w:r>
          </w:p>
          <w:p w14:paraId="2D21E7E7" w14:textId="0D33B18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5491A620" w14:textId="0BFED178" w:rsidR="00605898" w:rsidRDefault="00403AE3" w:rsidP="004C79C1">
            <w:pPr>
              <w:spacing w:before="0" w:after="120" w:line="240" w:lineRule="auto"/>
              <w:ind w:left="119"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p>
          <w:p w14:paraId="17E38285" w14:textId="4B1495FC" w:rsidR="00605898" w:rsidRDefault="00403AE3" w:rsidP="004C79C1">
            <w:pPr>
              <w:spacing w:before="0" w:after="120" w:line="240" w:lineRule="auto"/>
              <w:ind w:left="119" w:right="-57"/>
              <w:rPr>
                <w:rFonts w:ascii="Arial Narrow" w:hAnsi="Arial Narrow" w:cs="Arial Narrow"/>
                <w:bCs/>
                <w:sz w:val="20"/>
              </w:rPr>
            </w:pPr>
            <w:r>
              <w:rPr>
                <w:rFonts w:ascii="Arial Narrow" w:hAnsi="Arial Narrow" w:cs="Arial Narrow"/>
                <w:bCs/>
                <w:sz w:val="20"/>
              </w:rPr>
              <w:t>an a</w:t>
            </w:r>
            <w:r w:rsidR="00A474A9" w:rsidRPr="00526FBF">
              <w:rPr>
                <w:rFonts w:ascii="Arial Narrow" w:hAnsi="Arial Narrow" w:cs="Arial Narrow"/>
                <w:bCs/>
                <w:sz w:val="20"/>
              </w:rPr>
              <w:t>borted SCD</w:t>
            </w:r>
          </w:p>
          <w:p w14:paraId="08CA5FCD" w14:textId="0B84B5E5" w:rsidR="00A474A9" w:rsidRPr="00526FBF" w:rsidRDefault="00403AE3" w:rsidP="004C79C1">
            <w:pPr>
              <w:spacing w:before="0" w:after="120" w:line="240" w:lineRule="auto"/>
              <w:ind w:left="119" w:right="-57"/>
              <w:rPr>
                <w:rFonts w:ascii="Arial Narrow" w:hAnsi="Arial Narrow" w:cs="Arial Narrow"/>
                <w:bCs/>
                <w:sz w:val="20"/>
              </w:rPr>
            </w:pPr>
            <w:r>
              <w:rPr>
                <w:rFonts w:ascii="Arial Narrow" w:hAnsi="Arial Narrow" w:cs="Arial Narrow"/>
                <w:bCs/>
                <w:sz w:val="20"/>
              </w:rPr>
              <w:t>h</w:t>
            </w:r>
            <w:r w:rsidR="00A474A9" w:rsidRPr="00526FBF">
              <w:rPr>
                <w:rFonts w:ascii="Arial Narrow" w:hAnsi="Arial Narrow" w:cs="Arial Narrow"/>
                <w:bCs/>
                <w:sz w:val="20"/>
              </w:rPr>
              <w:t>ospitali</w:t>
            </w:r>
            <w:r w:rsidR="00605898">
              <w:rPr>
                <w:rFonts w:ascii="Arial Narrow" w:hAnsi="Arial Narrow" w:cs="Arial Narrow"/>
                <w:bCs/>
                <w:sz w:val="20"/>
              </w:rPr>
              <w:t>s</w:t>
            </w:r>
            <w:r w:rsidR="00A474A9" w:rsidRPr="00526FBF">
              <w:rPr>
                <w:rFonts w:ascii="Arial Narrow" w:hAnsi="Arial Narrow" w:cs="Arial Narrow"/>
                <w:bCs/>
                <w:sz w:val="20"/>
              </w:rPr>
              <w:t>ation for severe HF</w:t>
            </w:r>
          </w:p>
          <w:p w14:paraId="56C9F341" w14:textId="77777777" w:rsidR="00A474A9" w:rsidRPr="00526FBF" w:rsidRDefault="00A474A9" w:rsidP="004C79C1">
            <w:pPr>
              <w:spacing w:before="0" w:after="120" w:line="240" w:lineRule="auto"/>
              <w:ind w:left="-23"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3E4F912D" w14:textId="77777777" w:rsidTr="00BE5D7C">
        <w:tc>
          <w:tcPr>
            <w:tcW w:w="391" w:type="pct"/>
          </w:tcPr>
          <w:p w14:paraId="5AE85957" w14:textId="344477B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Cheong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fldData xml:space="preserve">PEVuZE5vdGU+PENpdGUgRXhjbHVkZUF1dGg9IjEiPjxBdXRob3I+Q2hlb25nPC9BdXRob3I+PFll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=
</w:fldData>
              </w:fldChar>
            </w:r>
            <w:r w:rsidR="00187A29">
              <w:rPr>
                <w:rFonts w:ascii="Arial Narrow" w:hAnsi="Arial Narrow" w:cs="Arial Narrow"/>
                <w:bCs/>
                <w:sz w:val="20"/>
                <w:szCs w:val="20"/>
              </w:rPr>
              <w:instrText xml:space="preserve"> ADDIN EN.CITE </w:instrText>
            </w:r>
            <w:r w:rsidR="00187A29">
              <w:rPr>
                <w:rFonts w:ascii="Arial Narrow" w:hAnsi="Arial Narrow" w:cs="Arial Narrow"/>
                <w:bCs/>
                <w:sz w:val="20"/>
                <w:szCs w:val="20"/>
              </w:rPr>
              <w:fldChar w:fldCharType="begin">
                <w:fldData xml:space="preserve">PEVuZE5vdGU+PENpdGUgRXhjbHVkZUF1dGg9IjEiPjxBdXRob3I+Q2hlb25nPC9BdXRob3I+PFll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=
</w:fldData>
              </w:fldChar>
            </w:r>
            <w:r w:rsidR="00187A29">
              <w:rPr>
                <w:rFonts w:ascii="Arial Narrow" w:hAnsi="Arial Narrow" w:cs="Arial Narrow"/>
                <w:bCs/>
                <w:sz w:val="20"/>
                <w:szCs w:val="20"/>
              </w:rPr>
              <w:instrText xml:space="preserve"> ADDIN EN.CITE.DATA </w:instrText>
            </w:r>
            <w:r w:rsidR="00187A29">
              <w:rPr>
                <w:rFonts w:ascii="Arial Narrow" w:hAnsi="Arial Narrow" w:cs="Arial Narrow"/>
                <w:bCs/>
                <w:sz w:val="20"/>
                <w:szCs w:val="20"/>
              </w:rPr>
            </w:r>
            <w:r w:rsidR="00187A29">
              <w:rPr>
                <w:rFonts w:ascii="Arial Narrow" w:hAnsi="Arial Narrow" w:cs="Arial Narrow"/>
                <w:bCs/>
                <w:sz w:val="20"/>
                <w:szCs w:val="20"/>
              </w:rPr>
              <w:fldChar w:fldCharType="end"/>
            </w:r>
            <w:r w:rsidR="00187A29">
              <w:rPr>
                <w:rFonts w:ascii="Arial Narrow" w:hAnsi="Arial Narrow" w:cs="Arial Narrow"/>
                <w:bCs/>
                <w:sz w:val="20"/>
                <w:szCs w:val="20"/>
              </w:rPr>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23" w:tooltip="Cheong, 2009 #37" w:history="1">
              <w:r w:rsidR="00B906E9">
                <w:rPr>
                  <w:rFonts w:ascii="Arial Narrow" w:hAnsi="Arial Narrow" w:cs="Arial Narrow"/>
                  <w:bCs/>
                  <w:noProof/>
                  <w:sz w:val="20"/>
                  <w:szCs w:val="20"/>
                </w:rPr>
                <w:t>2009</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1EB85213" w14:textId="77777777" w:rsidR="00A474A9" w:rsidRPr="00526FBF" w:rsidRDefault="00A474A9" w:rsidP="004C79C1">
            <w:pPr>
              <w:spacing w:before="0" w:after="120" w:line="240" w:lineRule="auto"/>
              <w:rPr>
                <w:rFonts w:ascii="Arial Narrow" w:hAnsi="Arial Narrow" w:cs="Arial Narrow"/>
                <w:bCs/>
                <w:sz w:val="20"/>
                <w:szCs w:val="20"/>
              </w:rPr>
            </w:pPr>
          </w:p>
          <w:p w14:paraId="203152DC" w14:textId="77777777" w:rsidR="00A474A9" w:rsidRPr="00526FBF" w:rsidRDefault="00A474A9" w:rsidP="004C79C1">
            <w:pPr>
              <w:spacing w:before="0" w:after="120" w:line="240" w:lineRule="auto"/>
              <w:rPr>
                <w:rFonts w:ascii="Arial Narrow" w:eastAsia="Calibri" w:hAnsi="Arial Narrow" w:cs="Arial Narrow"/>
                <w:bCs/>
                <w:sz w:val="20"/>
                <w:szCs w:val="20"/>
                <w:lang w:eastAsia="en-US"/>
              </w:rPr>
            </w:pPr>
            <w:r w:rsidRPr="00526FBF">
              <w:rPr>
                <w:rFonts w:ascii="Arial Narrow" w:hAnsi="Arial Narrow" w:cs="Arial Narrow"/>
                <w:bCs/>
                <w:sz w:val="20"/>
                <w:szCs w:val="20"/>
              </w:rPr>
              <w:t>USA</w:t>
            </w:r>
          </w:p>
        </w:tc>
        <w:tc>
          <w:tcPr>
            <w:tcW w:w="588" w:type="pct"/>
            <w:shd w:val="clear" w:color="auto" w:fill="auto"/>
          </w:tcPr>
          <w:p w14:paraId="1F447EF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Retrospective cohort</w:t>
            </w:r>
          </w:p>
          <w:p w14:paraId="21C88B2D" w14:textId="77777777" w:rsidR="00A474A9" w:rsidRPr="00526FBF" w:rsidRDefault="00A474A9" w:rsidP="004C79C1">
            <w:pPr>
              <w:spacing w:before="0" w:after="120" w:line="240" w:lineRule="auto"/>
              <w:rPr>
                <w:rFonts w:ascii="Arial Narrow" w:hAnsi="Arial Narrow" w:cs="Arial Narrow"/>
                <w:bCs/>
                <w:sz w:val="20"/>
              </w:rPr>
            </w:pPr>
          </w:p>
          <w:p w14:paraId="258FF9F7"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III-3</w:t>
            </w:r>
          </w:p>
          <w:p w14:paraId="1F75508C" w14:textId="77777777" w:rsidR="00A474A9" w:rsidRPr="00526FBF" w:rsidRDefault="00A474A9" w:rsidP="004C79C1">
            <w:pPr>
              <w:spacing w:before="0" w:after="120" w:line="240" w:lineRule="auto"/>
              <w:rPr>
                <w:rFonts w:ascii="Arial Narrow" w:hAnsi="Arial Narrow" w:cs="Arial Narrow"/>
                <w:bCs/>
                <w:sz w:val="20"/>
              </w:rPr>
            </w:pPr>
          </w:p>
          <w:p w14:paraId="729FE03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SIGN: high quality with a low </w:t>
            </w:r>
            <w:r w:rsidRPr="00526FBF">
              <w:rPr>
                <w:rFonts w:ascii="Arial Narrow" w:hAnsi="Arial Narrow" w:cs="Arial Narrow"/>
                <w:bCs/>
                <w:sz w:val="20"/>
              </w:rPr>
              <w:lastRenderedPageBreak/>
              <w:t>risk of bias</w:t>
            </w:r>
          </w:p>
        </w:tc>
        <w:tc>
          <w:tcPr>
            <w:tcW w:w="932" w:type="pct"/>
          </w:tcPr>
          <w:p w14:paraId="7A690075"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N=857 patients who had complete LGE-MRI evaluation with LV functional analysis</w:t>
            </w:r>
          </w:p>
          <w:p w14:paraId="29437321" w14:textId="5A58C8E0"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N=643 patients with CAD</w:t>
            </w:r>
            <w:r w:rsidR="005A49EB">
              <w:rPr>
                <w:rFonts w:ascii="Arial Narrow" w:hAnsi="Arial Narrow" w:cs="Arial Narrow"/>
                <w:bCs/>
                <w:sz w:val="20"/>
              </w:rPr>
              <w:t>:</w:t>
            </w:r>
          </w:p>
          <w:p w14:paraId="1BA47EC0"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n=511 (79%) LGE+</w:t>
            </w:r>
            <w:r w:rsidRPr="00526FBF">
              <w:rPr>
                <w:rFonts w:ascii="Arial Narrow" w:hAnsi="Arial Narrow" w:cs="Arial Narrow"/>
                <w:bCs/>
                <w:sz w:val="20"/>
              </w:rPr>
              <w:br/>
              <w:t>n=132 (21%) LGE–</w:t>
            </w:r>
          </w:p>
          <w:p w14:paraId="18C03F6C" w14:textId="77777777" w:rsidR="00AA239B"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1ECBB017" w14:textId="77777777"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61.7 ± 11.7 years; </w:t>
            </w:r>
          </w:p>
          <w:p w14:paraId="371A1EE2" w14:textId="77777777"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male = 71%; </w:t>
            </w:r>
          </w:p>
          <w:p w14:paraId="588D91A0" w14:textId="77777777"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median LVEF (CMR) = 39% (IQR 26, 52); </w:t>
            </w:r>
          </w:p>
          <w:p w14:paraId="109F435A" w14:textId="17F4B161"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CHF = 56%</w:t>
            </w:r>
          </w:p>
          <w:p w14:paraId="48E77EA1" w14:textId="6D537571"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N=215 patients without CAD</w:t>
            </w:r>
            <w:r w:rsidR="005A49EB">
              <w:rPr>
                <w:rFonts w:ascii="Arial Narrow" w:hAnsi="Arial Narrow" w:cs="Arial Narrow"/>
                <w:bCs/>
                <w:sz w:val="20"/>
              </w:rPr>
              <w:t>:</w:t>
            </w:r>
          </w:p>
          <w:p w14:paraId="73F1C366"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n=38 (18%) LGE+</w:t>
            </w:r>
            <w:r w:rsidRPr="00526FBF">
              <w:rPr>
                <w:rFonts w:ascii="Arial Narrow" w:hAnsi="Arial Narrow" w:cs="Arial Narrow"/>
                <w:bCs/>
                <w:sz w:val="20"/>
              </w:rPr>
              <w:br/>
              <w:t>n=177 (82%) LGE–</w:t>
            </w:r>
          </w:p>
          <w:p w14:paraId="2C06A209" w14:textId="77777777" w:rsidR="00AA239B"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E9AE85A" w14:textId="1551A051"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age = 51.3 ± 16.0</w:t>
            </w:r>
            <w:r w:rsidR="00CB656F">
              <w:rPr>
                <w:rFonts w:ascii="Arial Narrow" w:hAnsi="Arial Narrow" w:cs="Arial Narrow"/>
                <w:bCs/>
                <w:sz w:val="20"/>
              </w:rPr>
              <w:t> </w:t>
            </w:r>
            <w:r w:rsidRPr="00526FBF">
              <w:rPr>
                <w:rFonts w:ascii="Arial Narrow" w:hAnsi="Arial Narrow" w:cs="Arial Narrow"/>
                <w:bCs/>
                <w:sz w:val="20"/>
              </w:rPr>
              <w:t xml:space="preserve">years; </w:t>
            </w:r>
          </w:p>
          <w:p w14:paraId="1C867B1A" w14:textId="77777777"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57%; </w:t>
            </w:r>
          </w:p>
          <w:p w14:paraId="5ECD451F" w14:textId="77777777" w:rsidR="00AA239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median LVEF (CMR) = 52% (IQR 33, 60); </w:t>
            </w:r>
          </w:p>
          <w:p w14:paraId="1CE202E3" w14:textId="6686CDF5"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CHF = 33%</w:t>
            </w:r>
          </w:p>
          <w:p w14:paraId="2595886C" w14:textId="2DE3475B"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4.4</w:t>
            </w:r>
            <w:r w:rsidR="00DE2DED">
              <w:rPr>
                <w:rFonts w:ascii="Arial Narrow" w:hAnsi="Arial Narrow" w:cs="Arial Narrow"/>
                <w:bCs/>
                <w:sz w:val="20"/>
              </w:rPr>
              <w:t> </w:t>
            </w:r>
            <w:r w:rsidRPr="00526FBF">
              <w:rPr>
                <w:rFonts w:ascii="Arial Narrow" w:hAnsi="Arial Narrow" w:cs="Arial Narrow"/>
                <w:bCs/>
                <w:sz w:val="20"/>
              </w:rPr>
              <w:t>years</w:t>
            </w:r>
          </w:p>
        </w:tc>
        <w:tc>
          <w:tcPr>
            <w:tcW w:w="882" w:type="pct"/>
          </w:tcPr>
          <w:p w14:paraId="749F556C" w14:textId="4011E7C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referred for DE-MRI between 2001 and 2004 who had complete LGE-MRI evaluation with LV functional analysis</w:t>
            </w:r>
          </w:p>
          <w:p w14:paraId="1F9D074C" w14:textId="1B067BB4" w:rsidR="00A474A9" w:rsidRPr="00526FBF" w:rsidRDefault="00A474A9" w:rsidP="004C79C1">
            <w:pPr>
              <w:tabs>
                <w:tab w:val="left" w:pos="1451"/>
                <w:tab w:val="left" w:pos="2018"/>
              </w:tabs>
              <w:spacing w:before="0" w:after="120" w:line="240" w:lineRule="auto"/>
              <w:rPr>
                <w:rFonts w:ascii="Arial Narrow" w:hAnsi="Arial Narrow" w:cs="Arial Narrow"/>
                <w:bCs/>
                <w:sz w:val="20"/>
              </w:rPr>
            </w:pPr>
            <w:r w:rsidRPr="00526FBF">
              <w:rPr>
                <w:rFonts w:ascii="Arial Narrow" w:hAnsi="Arial Narrow"/>
                <w:b/>
                <w:sz w:val="20"/>
              </w:rPr>
              <w:t>Exclusion criteria:</w:t>
            </w:r>
            <w:r w:rsidRPr="00526FBF">
              <w:rPr>
                <w:rFonts w:ascii="Arial Narrow" w:hAnsi="Arial Narrow" w:cs="Arial Narrow"/>
                <w:bCs/>
                <w:sz w:val="20"/>
              </w:rPr>
              <w:t xml:space="preserve"> patients diagnosed with </w:t>
            </w:r>
            <w:r>
              <w:rPr>
                <w:rFonts w:ascii="Arial Narrow" w:hAnsi="Arial Narrow" w:cs="Arial Narrow"/>
                <w:bCs/>
                <w:sz w:val="20"/>
              </w:rPr>
              <w:t>HCM</w:t>
            </w:r>
            <w:r w:rsidRPr="00526FBF">
              <w:rPr>
                <w:rFonts w:ascii="Arial Narrow" w:hAnsi="Arial Narrow" w:cs="Arial Narrow"/>
                <w:bCs/>
                <w:sz w:val="20"/>
              </w:rPr>
              <w:t xml:space="preserve">, myocarditis, sarcoidosis or other infiltrative </w:t>
            </w:r>
            <w:r>
              <w:rPr>
                <w:rFonts w:ascii="Arial Narrow" w:hAnsi="Arial Narrow" w:cs="Arial Narrow"/>
                <w:bCs/>
                <w:sz w:val="20"/>
              </w:rPr>
              <w:t>CM</w:t>
            </w:r>
          </w:p>
        </w:tc>
        <w:tc>
          <w:tcPr>
            <w:tcW w:w="1030" w:type="pct"/>
          </w:tcPr>
          <w:p w14:paraId="662DBA3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5-element cardiac coil used with vector-cardiac gating</w:t>
            </w:r>
          </w:p>
          <w:p w14:paraId="034D8E0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 sequence:</w:t>
            </w:r>
            <w:r w:rsidRPr="00526FBF">
              <w:rPr>
                <w:rFonts w:ascii="Arial Narrow" w:hAnsi="Arial Narrow" w:cs="Times New Roman"/>
                <w:sz w:val="20"/>
                <w:szCs w:val="20"/>
              </w:rPr>
              <w:t xml:space="preserve"> Standard bright-blood cine images, including vertical long-axis view, as well as a set of short-axis series covering the entire LV using a steady-state free-precession sequence</w:t>
            </w:r>
          </w:p>
          <w:p w14:paraId="514E3EF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LGE sequence:</w:t>
            </w:r>
            <w:r w:rsidRPr="00526FBF">
              <w:rPr>
                <w:rFonts w:ascii="Arial Narrow" w:hAnsi="Arial Narrow" w:cs="Times New Roman"/>
                <w:sz w:val="20"/>
                <w:szCs w:val="20"/>
              </w:rPr>
              <w:t xml:space="preserve"> inversion-recovery prepared, T1-weighted, gradient-echo sequence</w:t>
            </w:r>
          </w:p>
          <w:p w14:paraId="41D17753" w14:textId="658DF5E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gadolinium chelate, 0.2</w:t>
            </w:r>
            <w:r w:rsidR="007C103B">
              <w:rPr>
                <w:rFonts w:ascii="Arial Narrow" w:hAnsi="Arial Narrow" w:cs="Times New Roman"/>
                <w:sz w:val="20"/>
                <w:szCs w:val="20"/>
              </w:rPr>
              <w:t> </w:t>
            </w:r>
            <w:r w:rsidRPr="00526FBF">
              <w:rPr>
                <w:rFonts w:ascii="Arial Narrow" w:hAnsi="Arial Narrow" w:cs="Times New Roman"/>
                <w:sz w:val="20"/>
                <w:szCs w:val="20"/>
              </w:rPr>
              <w:t>mmol/kg</w:t>
            </w:r>
          </w:p>
          <w:p w14:paraId="1BDB787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 minutes</w:t>
            </w:r>
          </w:p>
          <w:p w14:paraId="4DA9CB8B" w14:textId="6FA14B3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Endocardial and epicardial contours were prescribed manually on the series of short-axis cine slices of the LV at end diastole and end systole to obtain end-diastolic volume, end-systolic volume, LVEF and LV mass.</w:t>
            </w:r>
          </w:p>
          <w:p w14:paraId="2F9CD34C" w14:textId="77777777" w:rsidR="007017C9"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w:t>
            </w:r>
            <w:r w:rsidRPr="00526FBF">
              <w:rPr>
                <w:rFonts w:ascii="Arial Narrow" w:hAnsi="Arial Narrow"/>
                <w:sz w:val="20"/>
              </w:rPr>
              <w:t xml:space="preserve">scoring system used on the LGE data: </w:t>
            </w:r>
          </w:p>
          <w:p w14:paraId="1E6DB4CB" w14:textId="0CD4E2DC" w:rsidR="007017C9" w:rsidRDefault="00A474A9" w:rsidP="004C79C1">
            <w:pPr>
              <w:spacing w:before="0" w:after="120" w:line="240" w:lineRule="auto"/>
              <w:ind w:left="125" w:right="-57"/>
              <w:rPr>
                <w:rFonts w:ascii="Arial Narrow" w:hAnsi="Arial Narrow"/>
                <w:sz w:val="20"/>
              </w:rPr>
            </w:pPr>
            <w:r w:rsidRPr="00526FBF">
              <w:rPr>
                <w:rFonts w:ascii="Arial Narrow" w:hAnsi="Arial Narrow"/>
                <w:sz w:val="20"/>
              </w:rPr>
              <w:t xml:space="preserve">1 = no LGE </w:t>
            </w:r>
          </w:p>
          <w:p w14:paraId="1206295A" w14:textId="25DA1E8F" w:rsidR="007017C9" w:rsidRDefault="00A474A9" w:rsidP="004C79C1">
            <w:pPr>
              <w:spacing w:before="0" w:after="120" w:line="240" w:lineRule="auto"/>
              <w:ind w:left="125" w:right="-57"/>
              <w:rPr>
                <w:rFonts w:ascii="Arial Narrow" w:hAnsi="Arial Narrow"/>
                <w:sz w:val="20"/>
              </w:rPr>
            </w:pPr>
            <w:r w:rsidRPr="00526FBF">
              <w:rPr>
                <w:rFonts w:ascii="Arial Narrow" w:hAnsi="Arial Narrow"/>
                <w:sz w:val="20"/>
              </w:rPr>
              <w:t xml:space="preserve">2 =1–25% LGE (thin subendocardial scar) </w:t>
            </w:r>
          </w:p>
          <w:p w14:paraId="2145057C" w14:textId="0E509C96" w:rsidR="007017C9" w:rsidRDefault="00A474A9" w:rsidP="004C79C1">
            <w:pPr>
              <w:spacing w:before="0" w:after="120" w:line="240" w:lineRule="auto"/>
              <w:ind w:left="125" w:right="-57"/>
              <w:rPr>
                <w:rFonts w:ascii="Arial Narrow" w:hAnsi="Arial Narrow"/>
                <w:sz w:val="20"/>
              </w:rPr>
            </w:pPr>
            <w:r w:rsidRPr="00526FBF">
              <w:rPr>
                <w:rFonts w:ascii="Arial Narrow" w:hAnsi="Arial Narrow"/>
                <w:sz w:val="20"/>
              </w:rPr>
              <w:t xml:space="preserve">3 = 26–50% LGE (dense subendocardial scar) </w:t>
            </w:r>
          </w:p>
          <w:p w14:paraId="6D098D91" w14:textId="5B20E0EC" w:rsidR="007017C9" w:rsidRDefault="00A474A9" w:rsidP="004C79C1">
            <w:pPr>
              <w:spacing w:before="0" w:after="120" w:line="240" w:lineRule="auto"/>
              <w:ind w:left="125" w:right="-57"/>
              <w:rPr>
                <w:rFonts w:ascii="Arial Narrow" w:hAnsi="Arial Narrow"/>
                <w:sz w:val="20"/>
              </w:rPr>
            </w:pPr>
            <w:r w:rsidRPr="00526FBF">
              <w:rPr>
                <w:rFonts w:ascii="Arial Narrow" w:hAnsi="Arial Narrow"/>
                <w:sz w:val="20"/>
              </w:rPr>
              <w:t xml:space="preserve">4 = 51–75% LGE (near-transmural scar) </w:t>
            </w:r>
          </w:p>
          <w:p w14:paraId="05F26A91" w14:textId="2288F262" w:rsidR="00A474A9" w:rsidRPr="00526FBF" w:rsidRDefault="00A474A9" w:rsidP="004C79C1">
            <w:pPr>
              <w:spacing w:before="0" w:after="120" w:line="240" w:lineRule="auto"/>
              <w:ind w:left="125" w:right="-57"/>
              <w:rPr>
                <w:rFonts w:ascii="Arial Narrow" w:hAnsi="Arial Narrow"/>
                <w:sz w:val="20"/>
              </w:rPr>
            </w:pPr>
            <w:r w:rsidRPr="00526FBF">
              <w:rPr>
                <w:rFonts w:ascii="Arial Narrow" w:hAnsi="Arial Narrow"/>
                <w:sz w:val="20"/>
              </w:rPr>
              <w:t>5 = 76–100% LGE (transmural scar)</w:t>
            </w:r>
          </w:p>
        </w:tc>
        <w:tc>
          <w:tcPr>
            <w:tcW w:w="1177" w:type="pct"/>
          </w:tcPr>
          <w:p w14:paraId="3FEEF2B3"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Presence or absence not mentioned </w:t>
            </w:r>
          </w:p>
          <w:p w14:paraId="4CE19571"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52EF6C8" w14:textId="4333174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75BE0B41" w14:textId="251041C9" w:rsidR="00A474A9" w:rsidRPr="00526FBF" w:rsidRDefault="00403AE3"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m</w:t>
            </w:r>
            <w:r w:rsidR="00A474A9" w:rsidRPr="00526FBF">
              <w:rPr>
                <w:rFonts w:ascii="Arial Narrow" w:hAnsi="Arial Narrow" w:cs="Arial Narrow"/>
                <w:bCs/>
                <w:sz w:val="20"/>
              </w:rPr>
              <w:t>ortality or cardiac transplantation</w:t>
            </w:r>
          </w:p>
          <w:p w14:paraId="16C2AA16" w14:textId="77777777"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t>NIDCM vs ICM</w:t>
            </w:r>
          </w:p>
          <w:p w14:paraId="4503D00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 xml:space="preserve">compared with those </w:t>
            </w:r>
            <w:r w:rsidRPr="00526FBF">
              <w:rPr>
                <w:rFonts w:ascii="Arial Narrow" w:hAnsi="Arial Narrow" w:cs="Arial Narrow"/>
                <w:bCs/>
                <w:sz w:val="20"/>
              </w:rPr>
              <w:lastRenderedPageBreak/>
              <w:t>that are LGE–</w:t>
            </w:r>
          </w:p>
        </w:tc>
      </w:tr>
      <w:tr w:rsidR="00A474A9" w:rsidRPr="00526FBF" w14:paraId="4CDCC52D" w14:textId="77777777" w:rsidTr="00BE5D7C">
        <w:tc>
          <w:tcPr>
            <w:tcW w:w="391" w:type="pct"/>
          </w:tcPr>
          <w:p w14:paraId="0D814AE2" w14:textId="0CA445B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Chimura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ExcludeAuth="1"&gt;&lt;Author&gt;Chimura&lt;/Author&gt;&lt;Year&gt;2015&lt;/Year&gt;&lt;RecNum&gt;38&lt;/RecNum&gt;&lt;DisplayText&gt;(2015)&lt;/DisplayText&gt;&lt;record&gt;&lt;rec-number&gt;38&lt;/rec-number&gt;&lt;foreign-keys&gt;&lt;key app="EN" db-id="pfxxvref0t0a5de2vwnv2fwkz0p9v0r2fw0t" timestamp="1458109047"&gt;38&lt;/key&gt;&lt;/foreign-keys&gt;&lt;ref-type name="Journal Article"&gt;17&lt;/ref-type&gt;&lt;contributors&gt;&lt;authors&gt;&lt;author&gt;Chimura, M.&lt;/author&gt;&lt;author&gt;Kiuchi, K.&lt;/author&gt;&lt;author&gt;Okajima, K.&lt;/author&gt;&lt;author&gt;Shimane, A.&lt;/author&gt;&lt;author&gt;Sawada, T.&lt;/author&gt;&lt;author&gt;Onishi, T.&lt;/author&gt;&lt;author&gt;Yamada, S.&lt;/author&gt;&lt;author&gt;Taniguchi, Y.&lt;/author&gt;&lt;author&gt;Yasaka, Y.&lt;/author&gt;&lt;author&gt;Kawai, H.&lt;/author&gt;&lt;/authors&gt;&lt;/contributors&gt;&lt;titles&gt;&lt;title&gt;Distribution of ventricular fibrosis associated with life threatening ventricular tachyarrhythmias in patients with nonishcemic dilated cardiomyopathy&lt;/title&gt;&lt;secondary-title&gt;J Cardiovasc Electrophysiol&lt;/secondary-title&gt;&lt;/titles&gt;&lt;periodical&gt;&lt;full-title&gt;J Cardiovasc Electrophysiol&lt;/full-title&gt;&lt;/periodical&gt;&lt;pages&gt;1239-1246&lt;/pages&gt;&lt;volume&gt;26&lt;/volume&gt;&lt;dates&gt;&lt;year&gt;2015&lt;/year&gt;&lt;pub-dates&gt;&lt;date&gt;2015-01-01&lt;/date&gt;&lt;/pub-dates&gt;&lt;/dates&gt;&lt;isbn&gt;1045-3873 (Print) 1045-3873&lt;/isbn&gt;&lt;urls&gt;&lt;related-urls&gt;&lt;url&gt;http://onlinelibrary.wiley.com/doi/10.1111/jce.12767/epdf&lt;/url&gt;&lt;/related-urls&gt;&lt;/urls&gt;&lt;custom1&gt;RAYYAN-INCLUSION: {&amp;quot;Sharon&amp;quot;=&amp;gt;true} | RAYYAN-LABELS: general&lt;/custom1&gt;&lt;research-notes&gt;High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24" w:tooltip="Chimura, 2015 #38"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34228A48" w14:textId="77777777" w:rsidR="00A474A9" w:rsidRPr="00526FBF" w:rsidRDefault="00A474A9" w:rsidP="004C79C1">
            <w:pPr>
              <w:spacing w:before="0" w:after="120" w:line="240" w:lineRule="auto"/>
              <w:rPr>
                <w:rFonts w:ascii="Arial Narrow" w:hAnsi="Arial Narrow" w:cs="Arial Narrow"/>
                <w:bCs/>
                <w:sz w:val="20"/>
                <w:szCs w:val="20"/>
              </w:rPr>
            </w:pPr>
          </w:p>
          <w:p w14:paraId="2C1FBF4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Japan</w:t>
            </w:r>
          </w:p>
        </w:tc>
        <w:tc>
          <w:tcPr>
            <w:tcW w:w="588" w:type="pct"/>
            <w:shd w:val="clear" w:color="auto" w:fill="auto"/>
          </w:tcPr>
          <w:p w14:paraId="58F8E4F2"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Retrospective cohort</w:t>
            </w:r>
          </w:p>
          <w:p w14:paraId="5F740AED" w14:textId="77777777" w:rsidR="00A474A9" w:rsidRPr="00526FBF" w:rsidRDefault="00A474A9" w:rsidP="004C79C1">
            <w:pPr>
              <w:spacing w:before="0" w:after="120" w:line="240" w:lineRule="auto"/>
              <w:rPr>
                <w:rFonts w:ascii="Arial Narrow" w:hAnsi="Arial Narrow" w:cs="Arial Narrow"/>
                <w:bCs/>
                <w:sz w:val="20"/>
              </w:rPr>
            </w:pPr>
          </w:p>
          <w:p w14:paraId="01D41F5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III-3</w:t>
            </w:r>
          </w:p>
          <w:p w14:paraId="41C2D5AC" w14:textId="77777777" w:rsidR="00A474A9" w:rsidRPr="00526FBF" w:rsidRDefault="00A474A9" w:rsidP="004C79C1">
            <w:pPr>
              <w:spacing w:before="0" w:after="120" w:line="240" w:lineRule="auto"/>
              <w:rPr>
                <w:rFonts w:ascii="Arial Narrow" w:hAnsi="Arial Narrow" w:cs="Arial Narrow"/>
                <w:bCs/>
                <w:sz w:val="20"/>
              </w:rPr>
            </w:pPr>
          </w:p>
          <w:p w14:paraId="6A8C008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17FC1741" w14:textId="2AAD7F54"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N=175 NICM patients with HF who had an LVEF &lt;35% </w:t>
            </w:r>
            <w:r w:rsidRPr="00526FBF">
              <w:rPr>
                <w:rFonts w:ascii="Arial Narrow" w:hAnsi="Arial Narrow" w:cs="Arial Narrow"/>
                <w:bCs/>
                <w:sz w:val="20"/>
                <w:szCs w:val="20"/>
              </w:rPr>
              <w:lastRenderedPageBreak/>
              <w:t>without sustained VT</w:t>
            </w:r>
            <w:r w:rsidR="005A49EB">
              <w:rPr>
                <w:rFonts w:ascii="Arial Narrow" w:hAnsi="Arial Narrow" w:cs="Arial Narrow"/>
                <w:bCs/>
                <w:sz w:val="20"/>
                <w:szCs w:val="20"/>
              </w:rPr>
              <w:t>:</w:t>
            </w:r>
          </w:p>
          <w:p w14:paraId="3D14C98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n=122 (70%) LGE+</w:t>
            </w:r>
            <w:r w:rsidRPr="00526FBF">
              <w:rPr>
                <w:rFonts w:ascii="Arial Narrow" w:hAnsi="Arial Narrow" w:cs="Arial Narrow"/>
                <w:bCs/>
                <w:sz w:val="20"/>
              </w:rPr>
              <w:br/>
              <w:t>n=53 (30%) LGE–</w:t>
            </w:r>
          </w:p>
          <w:p w14:paraId="6184A46C" w14:textId="77777777"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n=7 patients received an ICD</w:t>
            </w:r>
            <w:r w:rsidRPr="00526FBF">
              <w:rPr>
                <w:rFonts w:ascii="Arial Narrow" w:hAnsi="Arial Narrow" w:cs="Arial Narrow"/>
                <w:bCs/>
                <w:sz w:val="20"/>
                <w:szCs w:val="20"/>
              </w:rPr>
              <w:br/>
              <w:t>n=17 patients received a CRT-D</w:t>
            </w:r>
          </w:p>
          <w:p w14:paraId="7B2388AE" w14:textId="77777777" w:rsidR="002B0B2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277702F1" w14:textId="77777777" w:rsidR="002B0B2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60 ± 15 years; </w:t>
            </w:r>
          </w:p>
          <w:p w14:paraId="17A53910" w14:textId="77777777" w:rsidR="002B0B2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63%; </w:t>
            </w:r>
          </w:p>
          <w:p w14:paraId="3368FBE0" w14:textId="676CF7A4" w:rsidR="002B0B2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121 ± 31</w:t>
            </w:r>
            <w:r w:rsidR="002B0B2F">
              <w:rPr>
                <w:rFonts w:ascii="Arial Narrow" w:hAnsi="Arial Narrow" w:cs="Arial Narrow"/>
                <w:bCs/>
                <w:sz w:val="20"/>
              </w:rPr>
              <w:t> </w:t>
            </w:r>
            <w:r w:rsidRPr="00526FBF">
              <w:rPr>
                <w:rFonts w:ascii="Arial Narrow" w:hAnsi="Arial Narrow" w:cs="Arial Narrow"/>
                <w:bCs/>
                <w:sz w:val="20"/>
              </w:rPr>
              <w:t xml:space="preserve">milliseconds; </w:t>
            </w:r>
          </w:p>
          <w:p w14:paraId="0028DD55" w14:textId="77777777" w:rsidR="002B0B2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33%; </w:t>
            </w:r>
          </w:p>
          <w:p w14:paraId="2950171E" w14:textId="77777777" w:rsidR="001368CC" w:rsidRDefault="00A474A9" w:rsidP="004C79C1">
            <w:pPr>
              <w:spacing w:before="0" w:after="120" w:line="240" w:lineRule="auto"/>
              <w:ind w:left="58"/>
              <w:rPr>
                <w:rFonts w:ascii="Arial Narrow" w:hAnsi="Arial Narrow" w:cs="Arial Narrow"/>
                <w:bCs/>
                <w:sz w:val="20"/>
              </w:rPr>
            </w:pPr>
            <w:r w:rsidRPr="00806C02">
              <w:rPr>
                <w:rFonts w:ascii="Arial Narrow" w:hAnsi="Arial Narrow" w:cs="Arial Narrow"/>
                <w:bCs/>
                <w:sz w:val="20"/>
              </w:rPr>
              <w:t xml:space="preserve">LVEF </w:t>
            </w:r>
            <w:r>
              <w:rPr>
                <w:rFonts w:ascii="Arial Narrow" w:hAnsi="Arial Narrow" w:cs="Arial Narrow"/>
                <w:bCs/>
                <w:sz w:val="20"/>
              </w:rPr>
              <w:t xml:space="preserve">(Echo) </w:t>
            </w:r>
            <w:r w:rsidRPr="00806C02">
              <w:rPr>
                <w:rFonts w:ascii="Arial Narrow" w:hAnsi="Arial Narrow" w:cs="Arial Narrow"/>
                <w:bCs/>
                <w:sz w:val="20"/>
              </w:rPr>
              <w:t>= 29 ± 5.4%;</w:t>
            </w:r>
            <w:r w:rsidRPr="00526FBF">
              <w:rPr>
                <w:rFonts w:ascii="Arial Narrow" w:hAnsi="Arial Narrow" w:cs="Arial Narrow"/>
                <w:bCs/>
                <w:sz w:val="20"/>
              </w:rPr>
              <w:t xml:space="preserve"> presence of AF = 17%;</w:t>
            </w:r>
          </w:p>
          <w:p w14:paraId="33159721" w14:textId="5A6544F7" w:rsidR="001368CC"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documentation of VT = 5%;</w:t>
            </w:r>
          </w:p>
          <w:p w14:paraId="479342F3" w14:textId="7A139144" w:rsidR="001368CC"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NYHA class: II = 31%, III = 69%; </w:t>
            </w:r>
          </w:p>
          <w:p w14:paraId="38A4B5A7" w14:textId="5E7EFB18"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inhibitor/ARB = 95%, </w:t>
            </w:r>
            <w:r w:rsidR="001368CC" w:rsidRPr="003439A7">
              <w:rPr>
                <w:rFonts w:ascii="Arial Narrow" w:hAnsi="Arial Narrow" w:cs="Arial Narrow"/>
                <w:bCs/>
                <w:sz w:val="20"/>
              </w:rPr>
              <w:sym w:font="Symbol" w:char="F062"/>
            </w:r>
            <w:r w:rsidRPr="001368CC">
              <w:rPr>
                <w:rFonts w:ascii="Arial Narrow" w:hAnsi="Arial Narrow" w:cs="Arial Narrow"/>
                <w:bCs/>
                <w:sz w:val="20"/>
              </w:rPr>
              <w:t>-</w:t>
            </w:r>
            <w:r w:rsidRPr="00526FBF">
              <w:rPr>
                <w:rFonts w:ascii="Arial Narrow" w:hAnsi="Arial Narrow" w:cs="Arial Narrow"/>
                <w:bCs/>
                <w:sz w:val="20"/>
              </w:rPr>
              <w:t>blockers = 94%</w:t>
            </w:r>
          </w:p>
          <w:p w14:paraId="21D98928" w14:textId="4873A262"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5.1 ± 3.3</w:t>
            </w:r>
            <w:r w:rsidR="001368CC">
              <w:rPr>
                <w:rFonts w:ascii="Arial Narrow" w:hAnsi="Arial Narrow" w:cs="Arial Narrow"/>
                <w:bCs/>
                <w:sz w:val="20"/>
                <w:szCs w:val="20"/>
              </w:rPr>
              <w:t> </w:t>
            </w:r>
            <w:r w:rsidRPr="00526FBF">
              <w:rPr>
                <w:rFonts w:ascii="Arial Narrow" w:hAnsi="Arial Narrow" w:cs="Arial Narrow"/>
                <w:bCs/>
                <w:sz w:val="20"/>
                <w:szCs w:val="20"/>
              </w:rPr>
              <w:t>years</w:t>
            </w:r>
          </w:p>
        </w:tc>
        <w:tc>
          <w:tcPr>
            <w:tcW w:w="882" w:type="pct"/>
          </w:tcPr>
          <w:p w14:paraId="316F93EE" w14:textId="722DBAF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NICM patients who had an LVEF </w:t>
            </w:r>
            <w:r w:rsidRPr="00526FBF">
              <w:rPr>
                <w:rFonts w:ascii="Arial Narrow" w:hAnsi="Arial Narrow"/>
                <w:sz w:val="20"/>
              </w:rPr>
              <w:lastRenderedPageBreak/>
              <w:t>&lt;35% and NYHA class II or III without sustained VT</w:t>
            </w:r>
            <w:r w:rsidR="00FE7580">
              <w:rPr>
                <w:rFonts w:ascii="Arial Narrow" w:hAnsi="Arial Narrow"/>
                <w:sz w:val="20"/>
              </w:rPr>
              <w:t>,</w:t>
            </w:r>
            <w:r w:rsidRPr="00526FBF">
              <w:rPr>
                <w:rFonts w:ascii="Arial Narrow" w:hAnsi="Arial Narrow"/>
                <w:sz w:val="20"/>
              </w:rPr>
              <w:t xml:space="preserve"> who were referred with </w:t>
            </w:r>
            <w:r>
              <w:rPr>
                <w:rFonts w:ascii="Arial Narrow" w:hAnsi="Arial Narrow"/>
                <w:sz w:val="20"/>
              </w:rPr>
              <w:t>HF</w:t>
            </w:r>
            <w:r w:rsidRPr="00526FBF">
              <w:rPr>
                <w:rFonts w:ascii="Arial Narrow" w:hAnsi="Arial Narrow"/>
                <w:sz w:val="20"/>
              </w:rPr>
              <w:t xml:space="preserve"> at their initial visit between January 2005 and June 2014</w:t>
            </w:r>
          </w:p>
          <w:p w14:paraId="208AE77B" w14:textId="289C85F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contraindications to CMR existed, including significant renal dysfunction (GFR of ≤30</w:t>
            </w:r>
            <w:r w:rsidR="00AB2438">
              <w:rPr>
                <w:rFonts w:ascii="Arial Narrow" w:hAnsi="Arial Narrow"/>
                <w:sz w:val="20"/>
              </w:rPr>
              <w:t> </w:t>
            </w:r>
            <w:r w:rsidRPr="00526FBF">
              <w:rPr>
                <w:rFonts w:ascii="Arial Narrow" w:hAnsi="Arial Narrow"/>
                <w:sz w:val="20"/>
              </w:rPr>
              <w:t>mL/min/1.73 m</w:t>
            </w:r>
            <w:r w:rsidRPr="00526FBF">
              <w:rPr>
                <w:rFonts w:ascii="Arial Narrow" w:hAnsi="Arial Narrow"/>
                <w:sz w:val="20"/>
                <w:vertAlign w:val="superscript"/>
              </w:rPr>
              <w:t>2</w:t>
            </w:r>
            <w:r w:rsidRPr="00526FBF">
              <w:rPr>
                <w:rFonts w:ascii="Arial Narrow" w:hAnsi="Arial Narrow"/>
                <w:sz w:val="20"/>
              </w:rPr>
              <w:t>) and implanted devices such as pacemakers and/or defibrillators</w:t>
            </w:r>
          </w:p>
        </w:tc>
        <w:tc>
          <w:tcPr>
            <w:tcW w:w="1030" w:type="pct"/>
          </w:tcPr>
          <w:p w14:paraId="0BDF213E" w14:textId="17CB8DA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standardi</w:t>
            </w:r>
            <w:r w:rsidR="006A28C4">
              <w:rPr>
                <w:rFonts w:ascii="Arial Narrow" w:hAnsi="Arial Narrow" w:cs="Times New Roman"/>
                <w:sz w:val="20"/>
                <w:szCs w:val="20"/>
              </w:rPr>
              <w:t>s</w:t>
            </w:r>
            <w:r w:rsidRPr="00526FBF">
              <w:rPr>
                <w:rFonts w:ascii="Arial Narrow" w:hAnsi="Arial Narrow" w:cs="Times New Roman"/>
                <w:sz w:val="20"/>
                <w:szCs w:val="20"/>
              </w:rPr>
              <w:t>ed protocol</w:t>
            </w:r>
          </w:p>
          <w:p w14:paraId="0A0B0CE9" w14:textId="09A74B8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Cardiac function sequence:</w:t>
            </w:r>
            <w:r w:rsidRPr="00526FBF">
              <w:rPr>
                <w:rFonts w:ascii="Arial Narrow" w:hAnsi="Arial Narrow" w:cs="Times New Roman"/>
                <w:sz w:val="20"/>
                <w:szCs w:val="20"/>
              </w:rPr>
              <w:t xml:space="preserve"> Cine images were acquired with a steady-state, free-precession sequence in long-axis planes and contiguous short-axis slices</w:t>
            </w:r>
            <w:r w:rsidR="006A28C4">
              <w:rPr>
                <w:rFonts w:ascii="Arial Narrow" w:hAnsi="Arial Narrow" w:cs="Times New Roman"/>
                <w:sz w:val="20"/>
                <w:szCs w:val="20"/>
              </w:rPr>
              <w:t>.</w:t>
            </w:r>
          </w:p>
          <w:p w14:paraId="64FB01C3" w14:textId="7704FE8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gradient</w:t>
            </w:r>
            <w:r w:rsidR="006A28C4">
              <w:rPr>
                <w:rFonts w:ascii="Arial Narrow" w:hAnsi="Arial Narrow" w:cs="Times New Roman"/>
                <w:sz w:val="20"/>
                <w:szCs w:val="20"/>
              </w:rPr>
              <w:t>-</w:t>
            </w:r>
            <w:r w:rsidRPr="00526FBF">
              <w:rPr>
                <w:rFonts w:ascii="Arial Narrow" w:hAnsi="Arial Narrow" w:cs="Times New Roman"/>
                <w:sz w:val="20"/>
                <w:szCs w:val="20"/>
              </w:rPr>
              <w:t>echo sequence</w:t>
            </w:r>
          </w:p>
          <w:p w14:paraId="0C7F7BBF" w14:textId="5F9140F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w:t>
            </w:r>
            <w:r w:rsidR="006A28C4">
              <w:rPr>
                <w:rFonts w:ascii="Arial Narrow" w:hAnsi="Arial Narrow" w:cs="Times New Roman"/>
                <w:sz w:val="20"/>
                <w:szCs w:val="20"/>
              </w:rPr>
              <w:t> </w:t>
            </w:r>
            <w:r w:rsidRPr="00526FBF">
              <w:rPr>
                <w:rFonts w:ascii="Arial Narrow" w:hAnsi="Arial Narrow" w:cs="Times New Roman"/>
                <w:sz w:val="20"/>
                <w:szCs w:val="20"/>
              </w:rPr>
              <w:t xml:space="preserve">mmol/kg </w:t>
            </w:r>
            <w:r w:rsidR="006A28C4">
              <w:rPr>
                <w:rFonts w:ascii="Arial Narrow" w:hAnsi="Arial Narrow" w:cs="Times New Roman"/>
                <w:sz w:val="20"/>
                <w:szCs w:val="20"/>
              </w:rPr>
              <w:t>Gd</w:t>
            </w:r>
            <w:r w:rsidRPr="00526FBF">
              <w:rPr>
                <w:rFonts w:ascii="Arial Narrow" w:hAnsi="Arial Narrow" w:cs="Times New Roman"/>
                <w:sz w:val="20"/>
                <w:szCs w:val="20"/>
              </w:rPr>
              <w:t>-DTPA</w:t>
            </w:r>
          </w:p>
          <w:p w14:paraId="11BB0311" w14:textId="6276DD2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w:t>
            </w:r>
            <w:r w:rsidR="00335AA9">
              <w:rPr>
                <w:rFonts w:ascii="Arial Narrow" w:hAnsi="Arial Narrow" w:cs="Times New Roman"/>
                <w:sz w:val="20"/>
                <w:szCs w:val="20"/>
              </w:rPr>
              <w:t> </w:t>
            </w:r>
            <w:r w:rsidRPr="00526FBF">
              <w:rPr>
                <w:rFonts w:ascii="Arial Narrow" w:hAnsi="Arial Narrow" w:cs="Times New Roman"/>
                <w:sz w:val="20"/>
                <w:szCs w:val="20"/>
              </w:rPr>
              <w:t>minutes</w:t>
            </w:r>
          </w:p>
          <w:p w14:paraId="4E714AE3" w14:textId="050F510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Details not reported</w:t>
            </w:r>
          </w:p>
          <w:p w14:paraId="313DE9B1" w14:textId="77777777" w:rsidR="00ED1DD2"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or absence of LGE was visually determined by 2 independent blinded readers and divided into 6 groups according to the LGE pattern: </w:t>
            </w:r>
          </w:p>
          <w:p w14:paraId="040AC13B" w14:textId="686F5B6A"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1) septal subendocardial </w:t>
            </w:r>
          </w:p>
          <w:p w14:paraId="414ABD5C" w14:textId="4752DCC2"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2) lateral subendocardial </w:t>
            </w:r>
          </w:p>
          <w:p w14:paraId="5A8CAAC3" w14:textId="0288D098"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3) septal mid-wall,</w:t>
            </w:r>
          </w:p>
          <w:p w14:paraId="03508362" w14:textId="697E47B5"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4) lateral mid-wall </w:t>
            </w:r>
          </w:p>
          <w:p w14:paraId="4BB12DCE" w14:textId="63F2B06B"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5) septal subepicardial </w:t>
            </w:r>
          </w:p>
          <w:p w14:paraId="4471E541" w14:textId="43AC218F" w:rsidR="00ED1DD2"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6) lateral subepicardial </w:t>
            </w:r>
          </w:p>
          <w:p w14:paraId="6B52CAA4" w14:textId="3D904384" w:rsidR="00A474A9" w:rsidRPr="00526FBF"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7) </w:t>
            </w:r>
            <w:proofErr w:type="gramStart"/>
            <w:r w:rsidRPr="00526FBF">
              <w:rPr>
                <w:rFonts w:ascii="Arial Narrow" w:hAnsi="Arial Narrow" w:cs="Times New Roman"/>
                <w:sz w:val="20"/>
                <w:szCs w:val="20"/>
              </w:rPr>
              <w:t>papillary</w:t>
            </w:r>
            <w:proofErr w:type="gramEnd"/>
            <w:r w:rsidRPr="00526FBF">
              <w:rPr>
                <w:rFonts w:ascii="Arial Narrow" w:hAnsi="Arial Narrow" w:cs="Times New Roman"/>
                <w:sz w:val="20"/>
                <w:szCs w:val="20"/>
              </w:rPr>
              <w:t xml:space="preserve"> muscle pattern.</w:t>
            </w:r>
          </w:p>
        </w:tc>
        <w:tc>
          <w:tcPr>
            <w:tcW w:w="1177" w:type="pct"/>
          </w:tcPr>
          <w:p w14:paraId="6234F029"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ICD implantations were undertaken using standard </w:t>
            </w:r>
            <w:r w:rsidRPr="00526FBF">
              <w:rPr>
                <w:rFonts w:ascii="Arial Narrow" w:hAnsi="Arial Narrow"/>
                <w:sz w:val="20"/>
              </w:rPr>
              <w:lastRenderedPageBreak/>
              <w:t>techniques at a median of 16 days following the CMR. The ICD devices were programmed to det</w:t>
            </w:r>
            <w:r>
              <w:rPr>
                <w:rFonts w:ascii="Arial Narrow" w:hAnsi="Arial Narrow"/>
                <w:sz w:val="20"/>
              </w:rPr>
              <w:t>ect VF and VT.</w:t>
            </w:r>
          </w:p>
          <w:p w14:paraId="23EE3508"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475291C" w14:textId="627AED40"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1DB6C94D" w14:textId="6F5F1D6B"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sz w:val="20"/>
              </w:rPr>
              <w:t>ICD implantation</w:t>
            </w:r>
            <w:r w:rsidRPr="00526FBF">
              <w:rPr>
                <w:rFonts w:ascii="Arial Narrow" w:hAnsi="Arial Narrow"/>
                <w:sz w:val="20"/>
              </w:rPr>
              <w:br/>
            </w:r>
            <w:r w:rsidR="00C5769A">
              <w:rPr>
                <w:rFonts w:ascii="Arial Narrow" w:hAnsi="Arial Narrow" w:cs="Arial Narrow"/>
                <w:bCs/>
                <w:sz w:val="20"/>
              </w:rPr>
              <w:t>a</w:t>
            </w:r>
            <w:r w:rsidRPr="00526FBF">
              <w:rPr>
                <w:rFonts w:ascii="Arial Narrow" w:hAnsi="Arial Narrow" w:cs="Arial Narrow"/>
                <w:bCs/>
                <w:sz w:val="20"/>
              </w:rPr>
              <w:t>ppropriate ICD therapy</w:t>
            </w:r>
            <w:r w:rsidRPr="00526FBF">
              <w:rPr>
                <w:rFonts w:ascii="Arial Narrow" w:hAnsi="Arial Narrow" w:cs="Arial Narrow"/>
                <w:bCs/>
                <w:sz w:val="20"/>
              </w:rPr>
              <w:br/>
            </w:r>
            <w:r w:rsidR="00C5769A">
              <w:rPr>
                <w:rFonts w:ascii="Arial Narrow" w:hAnsi="Arial Narrow"/>
                <w:sz w:val="20"/>
              </w:rPr>
              <w:t>l</w:t>
            </w:r>
            <w:r w:rsidRPr="00526FBF">
              <w:rPr>
                <w:rFonts w:ascii="Arial Narrow" w:hAnsi="Arial Narrow"/>
                <w:sz w:val="20"/>
              </w:rPr>
              <w:t>ife-threatening arrhythmic events</w:t>
            </w:r>
          </w:p>
          <w:p w14:paraId="0855564F"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105D276D" w14:textId="77777777" w:rsidTr="00BE5D7C">
        <w:tc>
          <w:tcPr>
            <w:tcW w:w="391" w:type="pct"/>
          </w:tcPr>
          <w:p w14:paraId="4C853D31" w14:textId="4FAFF93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Cho </w:t>
            </w:r>
            <w:r>
              <w:rPr>
                <w:rFonts w:ascii="Arial Narrow" w:hAnsi="Arial Narrow" w:cs="Arial Narrow"/>
                <w:bCs/>
                <w:sz w:val="20"/>
                <w:szCs w:val="20"/>
              </w:rPr>
              <w:t xml:space="preserve">et al. </w:t>
            </w:r>
            <w:r w:rsidR="00187A29">
              <w:rPr>
                <w:rFonts w:ascii="Arial Narrow" w:hAnsi="Arial Narrow" w:cs="Arial Narrow"/>
                <w:bCs/>
                <w:sz w:val="20"/>
                <w:szCs w:val="20"/>
              </w:rPr>
              <w:lastRenderedPageBreak/>
              <w:fldChar w:fldCharType="begin"/>
            </w:r>
            <w:r w:rsidR="00187A29">
              <w:rPr>
                <w:rFonts w:ascii="Arial Narrow" w:hAnsi="Arial Narrow" w:cs="Arial Narrow"/>
                <w:bCs/>
                <w:sz w:val="20"/>
                <w:szCs w:val="20"/>
              </w:rPr>
              <w:instrText xml:space="preserve"> ADDIN EN.CITE &lt;EndNote&gt;&lt;Cite ExcludeAuth="1"&gt;&lt;Author&gt;Cho&lt;/Author&gt;&lt;Year&gt;2010&lt;/Year&gt;&lt;RecNum&gt;39&lt;/RecNum&gt;&lt;DisplayText&gt;(2010)&lt;/DisplayText&gt;&lt;record&gt;&lt;rec-number&gt;39&lt;/rec-number&gt;&lt;foreign-keys&gt;&lt;key app="EN" db-id="pfxxvref0t0a5de2vwnv2fwkz0p9v0r2fw0t" timestamp="1458109047"&gt;39&lt;/key&gt;&lt;/foreign-keys&gt;&lt;ref-type name="Journal Article"&gt;17&lt;/ref-type&gt;&lt;contributors&gt;&lt;authors&gt;&lt;author&gt;Cho, J. R.&lt;/author&gt;&lt;author&gt;Park, S.&lt;/author&gt;&lt;author&gt;Choi, B. W.&lt;/author&gt;&lt;author&gt;Kang, S. M.&lt;/author&gt;&lt;author&gt;Ha, J. W.&lt;/author&gt;&lt;author&gt;Chung, N.&lt;/author&gt;&lt;author&gt;Choe, K. O.&lt;/author&gt;&lt;author&gt;Cho, S. Y.&lt;/author&gt;&lt;author&gt;Rim, S. J.&lt;/author&gt;&lt;/authors&gt;&lt;/contributors&gt;&lt;titles&gt;&lt;title&gt;Delayed enhancement magnetic resonance imaging is a significant prognostic factor in patients with non-ischemic cardiomyopathy&lt;/title&gt;&lt;secondary-title&gt;Circ J&lt;/secondary-title&gt;&lt;/titles&gt;&lt;periodical&gt;&lt;full-title&gt;Circ J&lt;/full-title&gt;&lt;/periodical&gt;&lt;pages&gt;476-83&lt;/pages&gt;&lt;volume&gt;74&lt;/volume&gt;&lt;number&gt;3&lt;/number&gt;&lt;dates&gt;&lt;year&gt;2010&lt;/year&gt;&lt;pub-dates&gt;&lt;date&gt;2010-01-01&lt;/date&gt;&lt;/pub-dates&gt;&lt;/dates&gt;&lt;isbn&gt;1346-9843 (Print) 1346-9843&lt;/isbn&gt;&lt;urls&gt;&lt;related-urls&gt;&lt;url&gt;https://www.jstage.jst.go.jp/article/circj/74/3/74_CJ-09-0446/_pdf&lt;/url&gt;&lt;/related-urls&gt;&lt;/urls&gt;&lt;custom1&gt;RAYYAN-INCLUSION: {&amp;quot;Sharon&amp;quot;=&amp;gt;true} | RAYYAN-LABELS: general&lt;/custom1&gt;&lt;research-notes&gt;Unacceptable&lt;/research-notes&gt;&lt;language&gt;eng&lt;/language&gt;&lt;/record&gt;&lt;/Cite&gt;&lt;/EndNote&gt;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25" w:tooltip="Cho, 2010 #39" w:history="1">
              <w:r w:rsidR="00B906E9">
                <w:rPr>
                  <w:rFonts w:ascii="Arial Narrow" w:hAnsi="Arial Narrow" w:cs="Arial Narrow"/>
                  <w:bCs/>
                  <w:noProof/>
                  <w:sz w:val="20"/>
                  <w:szCs w:val="20"/>
                </w:rPr>
                <w:t>2010</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2E896595" w14:textId="77777777" w:rsidR="00A474A9" w:rsidRPr="00526FBF" w:rsidRDefault="00A474A9" w:rsidP="004C79C1">
            <w:pPr>
              <w:spacing w:before="0" w:after="120" w:line="240" w:lineRule="auto"/>
              <w:rPr>
                <w:rFonts w:ascii="Arial Narrow" w:hAnsi="Arial Narrow" w:cs="Arial Narrow"/>
                <w:bCs/>
                <w:sz w:val="20"/>
                <w:szCs w:val="20"/>
              </w:rPr>
            </w:pPr>
          </w:p>
          <w:p w14:paraId="680AC45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Korea</w:t>
            </w:r>
          </w:p>
        </w:tc>
        <w:tc>
          <w:tcPr>
            <w:tcW w:w="588" w:type="pct"/>
            <w:shd w:val="clear" w:color="auto" w:fill="auto"/>
          </w:tcPr>
          <w:p w14:paraId="001C2FA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Prospective </w:t>
            </w:r>
            <w:r w:rsidRPr="00526FBF">
              <w:rPr>
                <w:rFonts w:ascii="Arial Narrow" w:hAnsi="Arial Narrow" w:cs="Arial Narrow"/>
                <w:bCs/>
                <w:sz w:val="20"/>
                <w:szCs w:val="20"/>
              </w:rPr>
              <w:lastRenderedPageBreak/>
              <w:t>cohort</w:t>
            </w:r>
          </w:p>
          <w:p w14:paraId="545DDE68" w14:textId="77777777" w:rsidR="00A474A9" w:rsidRPr="00526FBF" w:rsidRDefault="00A474A9" w:rsidP="004C79C1">
            <w:pPr>
              <w:spacing w:before="0" w:after="120" w:line="240" w:lineRule="auto"/>
              <w:rPr>
                <w:rFonts w:ascii="Arial Narrow" w:hAnsi="Arial Narrow" w:cs="Arial Narrow"/>
                <w:bCs/>
                <w:sz w:val="20"/>
                <w:szCs w:val="20"/>
              </w:rPr>
            </w:pPr>
          </w:p>
          <w:p w14:paraId="302A1E77"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NHMRC level II</w:t>
            </w:r>
          </w:p>
          <w:p w14:paraId="5ADF858F" w14:textId="77777777" w:rsidR="00A474A9" w:rsidRPr="00526FBF" w:rsidRDefault="00A474A9" w:rsidP="004C79C1">
            <w:pPr>
              <w:spacing w:before="0" w:after="120" w:line="240" w:lineRule="auto"/>
              <w:rPr>
                <w:rFonts w:ascii="Arial Narrow" w:hAnsi="Arial Narrow" w:cs="Arial Narrow"/>
                <w:bCs/>
                <w:sz w:val="20"/>
                <w:szCs w:val="20"/>
              </w:rPr>
            </w:pPr>
          </w:p>
          <w:p w14:paraId="4C139FF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unacceptable quality with a high risk of bias</w:t>
            </w:r>
          </w:p>
        </w:tc>
        <w:tc>
          <w:tcPr>
            <w:tcW w:w="932" w:type="pct"/>
          </w:tcPr>
          <w:p w14:paraId="27ED42A4" w14:textId="08A07D1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N=79 patients with ECG-</w:t>
            </w:r>
            <w:r w:rsidRPr="00526FBF">
              <w:rPr>
                <w:rFonts w:ascii="Arial Narrow" w:hAnsi="Arial Narrow" w:cs="Arial Narrow"/>
                <w:bCs/>
                <w:sz w:val="20"/>
                <w:szCs w:val="20"/>
              </w:rPr>
              <w:lastRenderedPageBreak/>
              <w:t>proven LVEF &lt;35%</w:t>
            </w:r>
            <w:r w:rsidR="005A49EB">
              <w:rPr>
                <w:rFonts w:ascii="Arial Narrow" w:hAnsi="Arial Narrow" w:cs="Arial Narrow"/>
                <w:bCs/>
                <w:sz w:val="20"/>
                <w:szCs w:val="20"/>
              </w:rPr>
              <w:t>:</w:t>
            </w:r>
          </w:p>
          <w:p w14:paraId="54225AFA" w14:textId="3DD79CDB"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n=42 (49%) LGE+</w:t>
            </w:r>
            <w:r w:rsidRPr="00526FBF">
              <w:rPr>
                <w:rFonts w:ascii="Arial Narrow" w:hAnsi="Arial Narrow" w:cs="Arial Narrow"/>
                <w:bCs/>
                <w:sz w:val="20"/>
              </w:rPr>
              <w:br/>
              <w:t>n=37 (51%) LGE–</w:t>
            </w:r>
          </w:p>
          <w:p w14:paraId="45091B03" w14:textId="0B801EE3"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N=69 patients with idiopathic DCM</w:t>
            </w:r>
            <w:r w:rsidR="00D56876">
              <w:rPr>
                <w:rFonts w:ascii="Arial Narrow" w:hAnsi="Arial Narrow" w:cs="Arial Narrow"/>
                <w:bCs/>
                <w:sz w:val="20"/>
                <w:szCs w:val="20"/>
              </w:rPr>
              <w:t>:</w:t>
            </w:r>
          </w:p>
          <w:p w14:paraId="095E150A"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n=38 (55%) LGE+</w:t>
            </w:r>
            <w:r w:rsidRPr="00526FBF">
              <w:rPr>
                <w:rFonts w:ascii="Arial Narrow" w:hAnsi="Arial Narrow" w:cs="Arial Narrow"/>
                <w:bCs/>
                <w:sz w:val="20"/>
              </w:rPr>
              <w:br/>
              <w:t>n=26 (45%) LGE–</w:t>
            </w:r>
          </w:p>
          <w:p w14:paraId="5D9ADD76" w14:textId="77777777" w:rsidR="00A52000"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Patient characteristics: </w:t>
            </w:r>
          </w:p>
          <w:p w14:paraId="34131FB8" w14:textId="77777777" w:rsidR="00A52000"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age = 56.6 ± 13.2 years; </w:t>
            </w:r>
          </w:p>
          <w:p w14:paraId="1B209A1C" w14:textId="77777777" w:rsidR="00A52000"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male = 53%; </w:t>
            </w:r>
          </w:p>
          <w:p w14:paraId="0C021161" w14:textId="0FEBE048" w:rsidR="00A52000"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QRS interval = 104.3 ± 22.7</w:t>
            </w:r>
            <w:r w:rsidR="00A52000">
              <w:rPr>
                <w:rFonts w:ascii="Arial Narrow" w:hAnsi="Arial Narrow" w:cs="Arial Narrow"/>
                <w:bCs/>
                <w:sz w:val="20"/>
                <w:szCs w:val="20"/>
              </w:rPr>
              <w:t> </w:t>
            </w:r>
            <w:r w:rsidRPr="00526FBF">
              <w:rPr>
                <w:rFonts w:ascii="Arial Narrow" w:hAnsi="Arial Narrow" w:cs="Arial Narrow"/>
                <w:bCs/>
                <w:sz w:val="20"/>
                <w:szCs w:val="20"/>
              </w:rPr>
              <w:t>milliseconds</w:t>
            </w:r>
            <w:r w:rsidRPr="00806C02">
              <w:rPr>
                <w:rFonts w:ascii="Arial Narrow" w:hAnsi="Arial Narrow" w:cs="Arial Narrow"/>
                <w:bCs/>
                <w:sz w:val="20"/>
                <w:szCs w:val="20"/>
              </w:rPr>
              <w:t xml:space="preserve">; </w:t>
            </w:r>
          </w:p>
          <w:p w14:paraId="24B96548" w14:textId="77777777" w:rsidR="00A52000" w:rsidRDefault="00A474A9" w:rsidP="004C79C1">
            <w:pPr>
              <w:spacing w:before="0" w:after="120" w:line="240" w:lineRule="auto"/>
              <w:ind w:left="58"/>
              <w:rPr>
                <w:rFonts w:ascii="Arial Narrow" w:hAnsi="Arial Narrow" w:cs="Arial Narrow"/>
                <w:bCs/>
                <w:sz w:val="20"/>
                <w:szCs w:val="20"/>
              </w:rPr>
            </w:pPr>
            <w:r w:rsidRPr="00806C02">
              <w:rPr>
                <w:rFonts w:ascii="Arial Narrow" w:hAnsi="Arial Narrow" w:cs="Arial Narrow"/>
                <w:bCs/>
                <w:sz w:val="20"/>
                <w:szCs w:val="20"/>
              </w:rPr>
              <w:t>LVEF (E</w:t>
            </w:r>
            <w:r>
              <w:rPr>
                <w:rFonts w:ascii="Arial Narrow" w:hAnsi="Arial Narrow" w:cs="Arial Narrow"/>
                <w:bCs/>
                <w:sz w:val="20"/>
                <w:szCs w:val="20"/>
              </w:rPr>
              <w:t>cho</w:t>
            </w:r>
            <w:r w:rsidRPr="00806C02">
              <w:rPr>
                <w:rFonts w:ascii="Arial Narrow" w:hAnsi="Arial Narrow" w:cs="Arial Narrow"/>
                <w:bCs/>
                <w:sz w:val="20"/>
                <w:szCs w:val="20"/>
              </w:rPr>
              <w:t>) = 26.</w:t>
            </w:r>
            <w:r w:rsidRPr="00526FBF">
              <w:rPr>
                <w:rFonts w:ascii="Arial Narrow" w:hAnsi="Arial Narrow" w:cs="Arial Narrow"/>
                <w:bCs/>
                <w:sz w:val="20"/>
                <w:szCs w:val="20"/>
              </w:rPr>
              <w:t>5 ± 7.9%;</w:t>
            </w:r>
          </w:p>
          <w:p w14:paraId="005CA305" w14:textId="6707F1F9" w:rsidR="00A52000" w:rsidRDefault="00A474A9" w:rsidP="004C79C1">
            <w:pPr>
              <w:spacing w:before="0" w:after="120" w:line="240" w:lineRule="auto"/>
              <w:ind w:left="58"/>
              <w:rPr>
                <w:rFonts w:ascii="Arial Narrow" w:hAnsi="Arial Narrow" w:cs="Arial Narrow"/>
                <w:b/>
                <w:bCs/>
                <w:sz w:val="20"/>
                <w:szCs w:val="20"/>
                <w:lang w:val="en-GB" w:eastAsia="en-US"/>
              </w:rPr>
            </w:pPr>
            <w:r w:rsidRPr="00526FBF">
              <w:rPr>
                <w:rFonts w:ascii="Arial Narrow" w:hAnsi="Arial Narrow" w:cs="Arial Narrow"/>
                <w:bCs/>
                <w:sz w:val="20"/>
                <w:szCs w:val="20"/>
              </w:rPr>
              <w:t xml:space="preserve">presence of AF = 18%; </w:t>
            </w:r>
          </w:p>
          <w:p w14:paraId="34D876AF" w14:textId="36DACE6A" w:rsidR="00A52000"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NYHA class III</w:t>
            </w:r>
            <w:r w:rsidR="00270898">
              <w:rPr>
                <w:rFonts w:ascii="Arial Narrow" w:hAnsi="Arial Narrow" w:cs="Arial Narrow"/>
                <w:bCs/>
                <w:sz w:val="20"/>
                <w:szCs w:val="20"/>
              </w:rPr>
              <w:t>–</w:t>
            </w:r>
            <w:r w:rsidRPr="00526FBF">
              <w:rPr>
                <w:rFonts w:ascii="Arial Narrow" w:hAnsi="Arial Narrow" w:cs="Arial Narrow"/>
                <w:bCs/>
                <w:sz w:val="20"/>
                <w:szCs w:val="20"/>
              </w:rPr>
              <w:t>IV = 23%;</w:t>
            </w:r>
          </w:p>
          <w:p w14:paraId="7959D707" w14:textId="6D9DA1B1" w:rsidR="00A474A9" w:rsidRPr="00526FBF" w:rsidRDefault="00A474A9" w:rsidP="004C79C1">
            <w:pPr>
              <w:spacing w:before="0" w:after="120" w:line="240" w:lineRule="auto"/>
              <w:ind w:left="58"/>
              <w:rPr>
                <w:rFonts w:ascii="Arial Narrow" w:hAnsi="Arial Narrow" w:cs="Arial Narrow"/>
                <w:b/>
                <w:bCs/>
                <w:sz w:val="20"/>
                <w:szCs w:val="20"/>
                <w:lang w:val="en-GB" w:eastAsia="en-US"/>
              </w:rPr>
            </w:pPr>
            <w:r w:rsidRPr="00526FBF">
              <w:rPr>
                <w:rFonts w:ascii="Arial Narrow" w:hAnsi="Arial Narrow" w:cs="Arial Narrow"/>
                <w:bCs/>
                <w:sz w:val="20"/>
                <w:szCs w:val="20"/>
              </w:rPr>
              <w:t>medications: ACE inhibitor = 88%, ARB = 15%,</w:t>
            </w:r>
            <w:r w:rsidR="00A52000">
              <w:rPr>
                <w:rFonts w:ascii="Arial Narrow" w:hAnsi="Arial Narrow" w:cs="Arial Narrow"/>
                <w:bCs/>
                <w:sz w:val="20"/>
                <w:szCs w:val="20"/>
              </w:rPr>
              <w:t xml:space="preserve"> </w:t>
            </w:r>
            <w:r w:rsidR="00A52000" w:rsidRPr="003439A7">
              <w:rPr>
                <w:rFonts w:ascii="Arial Narrow" w:hAnsi="Arial Narrow" w:cs="Arial Narrow"/>
                <w:bCs/>
                <w:sz w:val="20"/>
              </w:rPr>
              <w:sym w:font="Symbol" w:char="F062"/>
            </w:r>
            <w:r w:rsidRPr="00526FBF">
              <w:rPr>
                <w:rFonts w:ascii="Arial Narrow" w:hAnsi="Arial Narrow" w:cs="Arial Narrow"/>
                <w:bCs/>
                <w:sz w:val="20"/>
                <w:szCs w:val="20"/>
              </w:rPr>
              <w:t>-blockers = 76%</w:t>
            </w:r>
          </w:p>
          <w:p w14:paraId="069B22CE" w14:textId="5350FFFA"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33.4 ± 1.7</w:t>
            </w:r>
            <w:r w:rsidR="00A52000">
              <w:rPr>
                <w:rFonts w:ascii="Arial Narrow" w:hAnsi="Arial Narrow" w:cs="Arial Narrow"/>
                <w:bCs/>
                <w:sz w:val="20"/>
                <w:szCs w:val="20"/>
              </w:rPr>
              <w:t> </w:t>
            </w:r>
            <w:r w:rsidRPr="00526FBF">
              <w:rPr>
                <w:rFonts w:ascii="Arial Narrow" w:hAnsi="Arial Narrow" w:cs="Arial Narrow"/>
                <w:bCs/>
                <w:sz w:val="20"/>
                <w:szCs w:val="20"/>
              </w:rPr>
              <w:t>months</w:t>
            </w:r>
          </w:p>
        </w:tc>
        <w:tc>
          <w:tcPr>
            <w:tcW w:w="882" w:type="pct"/>
          </w:tcPr>
          <w:p w14:paraId="0892E4A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with ECG-proven LV systolic </w:t>
            </w:r>
            <w:r w:rsidRPr="00526FBF">
              <w:rPr>
                <w:rFonts w:ascii="Arial Narrow" w:hAnsi="Arial Narrow"/>
                <w:sz w:val="20"/>
              </w:rPr>
              <w:lastRenderedPageBreak/>
              <w:t>dysfunction (LVEF &lt;35%). All subjects were admitted to hospital and underwent ICA at initial diagnosis to exclude CAD.</w:t>
            </w:r>
          </w:p>
          <w:p w14:paraId="065B57EE" w14:textId="7D56A8F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previous history of CAD, chronic renal insufficiency</w:t>
            </w:r>
            <w:r w:rsidRPr="00526FBF">
              <w:rPr>
                <w:sz w:val="24"/>
              </w:rPr>
              <w:t xml:space="preserve"> </w:t>
            </w:r>
            <w:r w:rsidRPr="00526FBF">
              <w:rPr>
                <w:rFonts w:ascii="Arial Narrow" w:hAnsi="Arial Narrow"/>
                <w:sz w:val="20"/>
              </w:rPr>
              <w:t>with serum creatinine &gt;2</w:t>
            </w:r>
            <w:r w:rsidR="00D64FC0">
              <w:rPr>
                <w:rFonts w:ascii="Arial Narrow" w:hAnsi="Arial Narrow"/>
                <w:sz w:val="20"/>
              </w:rPr>
              <w:t> </w:t>
            </w:r>
            <w:r w:rsidRPr="00526FBF">
              <w:rPr>
                <w:rFonts w:ascii="Arial Narrow" w:hAnsi="Arial Narrow"/>
                <w:sz w:val="20"/>
              </w:rPr>
              <w:t>mg/d</w:t>
            </w:r>
            <w:r w:rsidR="00D64FC0">
              <w:rPr>
                <w:rFonts w:ascii="Arial Narrow" w:hAnsi="Arial Narrow"/>
                <w:sz w:val="20"/>
              </w:rPr>
              <w:t>L</w:t>
            </w:r>
            <w:r w:rsidRPr="00526FBF">
              <w:rPr>
                <w:rFonts w:ascii="Arial Narrow" w:hAnsi="Arial Narrow"/>
                <w:sz w:val="20"/>
              </w:rPr>
              <w:t>, pregnancy, life</w:t>
            </w:r>
            <w:r w:rsidR="00E36C36">
              <w:rPr>
                <w:rFonts w:ascii="Arial Narrow" w:hAnsi="Arial Narrow"/>
                <w:sz w:val="20"/>
              </w:rPr>
              <w:t xml:space="preserve"> </w:t>
            </w:r>
            <w:r w:rsidRPr="00526FBF">
              <w:rPr>
                <w:rFonts w:ascii="Arial Narrow" w:hAnsi="Arial Narrow"/>
                <w:sz w:val="20"/>
              </w:rPr>
              <w:t>expectancy of less than 6</w:t>
            </w:r>
            <w:r w:rsidR="00E36C36">
              <w:rPr>
                <w:rFonts w:ascii="Arial Narrow" w:hAnsi="Arial Narrow"/>
                <w:sz w:val="20"/>
              </w:rPr>
              <w:t> </w:t>
            </w:r>
            <w:r w:rsidRPr="00526FBF">
              <w:rPr>
                <w:rFonts w:ascii="Arial Narrow" w:hAnsi="Arial Narrow"/>
                <w:sz w:val="20"/>
              </w:rPr>
              <w:t>months because of other medical conditions, significant primary valvular heart disease and previous history of acute myocarditis</w:t>
            </w:r>
          </w:p>
        </w:tc>
        <w:tc>
          <w:tcPr>
            <w:tcW w:w="1030" w:type="pct"/>
          </w:tcPr>
          <w:p w14:paraId="7948F6D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Gyroscan Intera system</w:t>
            </w:r>
          </w:p>
          <w:p w14:paraId="7F32647A" w14:textId="195FF25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Cardiac function sequence:</w:t>
            </w:r>
            <w:r w:rsidRPr="00526FBF">
              <w:rPr>
                <w:rFonts w:ascii="Arial Narrow" w:hAnsi="Arial Narrow" w:cs="Times New Roman"/>
                <w:sz w:val="20"/>
                <w:szCs w:val="20"/>
              </w:rPr>
              <w:t xml:space="preserve"> Cine images were performed with a steady-state free precession sequence</w:t>
            </w:r>
            <w:r w:rsidR="00E36C36">
              <w:rPr>
                <w:rFonts w:ascii="Arial Narrow" w:hAnsi="Arial Narrow" w:cs="Times New Roman"/>
                <w:sz w:val="20"/>
                <w:szCs w:val="20"/>
              </w:rPr>
              <w:t>.</w:t>
            </w:r>
          </w:p>
          <w:p w14:paraId="4B459C86" w14:textId="009C3FA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 recovery T1-weighted segmented gradient</w:t>
            </w:r>
            <w:r w:rsidR="00E36C36">
              <w:rPr>
                <w:rFonts w:ascii="Arial Narrow" w:hAnsi="Arial Narrow" w:cs="Times New Roman"/>
                <w:sz w:val="20"/>
                <w:szCs w:val="20"/>
              </w:rPr>
              <w:t>-</w:t>
            </w:r>
            <w:r w:rsidRPr="00526FBF">
              <w:rPr>
                <w:rFonts w:ascii="Arial Narrow" w:hAnsi="Arial Narrow" w:cs="Times New Roman"/>
                <w:sz w:val="20"/>
                <w:szCs w:val="20"/>
              </w:rPr>
              <w:t>echo sequence</w:t>
            </w:r>
          </w:p>
          <w:p w14:paraId="4892926D" w14:textId="137AAC74"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w:t>
            </w:r>
            <w:r w:rsidR="00E36C36">
              <w:rPr>
                <w:rFonts w:ascii="Arial Narrow" w:hAnsi="Arial Narrow" w:cs="Times New Roman"/>
                <w:sz w:val="20"/>
                <w:szCs w:val="20"/>
              </w:rPr>
              <w:t> </w:t>
            </w:r>
            <w:r w:rsidRPr="00526FBF">
              <w:rPr>
                <w:rFonts w:ascii="Arial Narrow" w:hAnsi="Arial Narrow" w:cs="Times New Roman"/>
                <w:sz w:val="20"/>
                <w:szCs w:val="20"/>
              </w:rPr>
              <w:t xml:space="preserve">mmol/kg of </w:t>
            </w:r>
            <w:r w:rsidR="00E36C36">
              <w:rPr>
                <w:rFonts w:ascii="Arial Narrow" w:hAnsi="Arial Narrow" w:cs="Times New Roman"/>
                <w:sz w:val="20"/>
                <w:szCs w:val="20"/>
              </w:rPr>
              <w:t>Gd-</w:t>
            </w:r>
            <w:r w:rsidRPr="00526FBF">
              <w:rPr>
                <w:rFonts w:ascii="Arial Narrow" w:hAnsi="Arial Narrow" w:cs="Times New Roman"/>
                <w:sz w:val="20"/>
                <w:szCs w:val="20"/>
              </w:rPr>
              <w:t>DTPA</w:t>
            </w:r>
          </w:p>
          <w:p w14:paraId="3A083FF5" w14:textId="64369BE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w:t>
            </w:r>
            <w:r w:rsidR="00E36C36">
              <w:rPr>
                <w:rFonts w:ascii="Arial Narrow" w:hAnsi="Arial Narrow" w:cs="Times New Roman"/>
                <w:sz w:val="20"/>
                <w:szCs w:val="20"/>
              </w:rPr>
              <w:t> </w:t>
            </w:r>
            <w:r w:rsidRPr="00526FBF">
              <w:rPr>
                <w:rFonts w:ascii="Arial Narrow" w:hAnsi="Arial Narrow" w:cs="Times New Roman"/>
                <w:sz w:val="20"/>
                <w:szCs w:val="20"/>
              </w:rPr>
              <w:t>minutes</w:t>
            </w:r>
          </w:p>
          <w:p w14:paraId="698A641B" w14:textId="1E083C4E"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Details not reported</w:t>
            </w:r>
          </w:p>
          <w:p w14:paraId="63C246B3" w14:textId="77777777" w:rsidR="001A400B"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presence of LGE was determined by 2 experienced radiologists and divided into groups according to the pattern of</w:t>
            </w:r>
            <w:r w:rsidR="001A400B">
              <w:rPr>
                <w:rFonts w:ascii="Arial Narrow" w:hAnsi="Arial Narrow" w:cs="Times New Roman"/>
                <w:sz w:val="20"/>
                <w:szCs w:val="20"/>
              </w:rPr>
              <w:t>:</w:t>
            </w:r>
            <w:r w:rsidRPr="00526FBF">
              <w:rPr>
                <w:rFonts w:ascii="Arial Narrow" w:hAnsi="Arial Narrow" w:cs="Times New Roman"/>
                <w:sz w:val="20"/>
                <w:szCs w:val="20"/>
              </w:rPr>
              <w:t xml:space="preserve"> </w:t>
            </w:r>
          </w:p>
          <w:p w14:paraId="35FD0556" w14:textId="3CFE2F4A" w:rsidR="001A400B" w:rsidRDefault="001A400B" w:rsidP="004C79C1">
            <w:pPr>
              <w:spacing w:before="0" w:after="120" w:line="240" w:lineRule="auto"/>
              <w:ind w:left="125" w:right="-57"/>
              <w:rPr>
                <w:rFonts w:ascii="Arial Narrow" w:hAnsi="Arial Narrow" w:cs="Times New Roman"/>
                <w:b/>
                <w:sz w:val="20"/>
                <w:szCs w:val="20"/>
                <w:lang w:val="en-GB" w:eastAsia="en-US"/>
              </w:rPr>
            </w:pPr>
            <w:r>
              <w:rPr>
                <w:rFonts w:ascii="Arial Narrow" w:hAnsi="Arial Narrow" w:cs="Times New Roman"/>
                <w:sz w:val="20"/>
                <w:szCs w:val="20"/>
              </w:rPr>
              <w:t xml:space="preserve">1) </w:t>
            </w:r>
            <w:r w:rsidR="00A474A9" w:rsidRPr="00526FBF">
              <w:rPr>
                <w:rFonts w:ascii="Arial Narrow" w:hAnsi="Arial Narrow" w:cs="Times New Roman"/>
                <w:sz w:val="20"/>
                <w:szCs w:val="20"/>
              </w:rPr>
              <w:t xml:space="preserve">LGE: FPE = focal patchy </w:t>
            </w:r>
            <w:r w:rsidR="00A474A9">
              <w:rPr>
                <w:rFonts w:ascii="Arial Narrow" w:hAnsi="Arial Narrow" w:cs="Times New Roman"/>
                <w:sz w:val="20"/>
                <w:szCs w:val="20"/>
              </w:rPr>
              <w:t>enhancement and was defined as LG</w:t>
            </w:r>
            <w:r w:rsidR="00A474A9" w:rsidRPr="00526FBF">
              <w:rPr>
                <w:rFonts w:ascii="Arial Narrow" w:hAnsi="Arial Narrow" w:cs="Times New Roman"/>
                <w:sz w:val="20"/>
                <w:szCs w:val="20"/>
              </w:rPr>
              <w:t xml:space="preserve">E involving &lt;50% of the 12 segments </w:t>
            </w:r>
          </w:p>
          <w:p w14:paraId="7D2F524C" w14:textId="30251510" w:rsidR="00A474A9" w:rsidRPr="00526FBF" w:rsidRDefault="001A400B" w:rsidP="004C79C1">
            <w:pPr>
              <w:spacing w:before="0" w:after="120" w:line="240" w:lineRule="auto"/>
              <w:ind w:left="125" w:right="-57"/>
              <w:rPr>
                <w:rFonts w:ascii="Arial Narrow" w:hAnsi="Arial Narrow"/>
                <w:b/>
                <w:sz w:val="20"/>
                <w:lang w:val="en-GB" w:eastAsia="en-US"/>
              </w:rPr>
            </w:pPr>
            <w:r>
              <w:rPr>
                <w:rFonts w:ascii="Arial Narrow" w:hAnsi="Arial Narrow" w:cs="Times New Roman"/>
                <w:sz w:val="20"/>
                <w:szCs w:val="20"/>
              </w:rPr>
              <w:t xml:space="preserve">2) </w:t>
            </w:r>
            <w:r w:rsidR="00A474A9" w:rsidRPr="00526FBF">
              <w:rPr>
                <w:rFonts w:ascii="Arial Narrow" w:hAnsi="Arial Narrow" w:cs="Times New Roman"/>
                <w:sz w:val="20"/>
                <w:szCs w:val="20"/>
              </w:rPr>
              <w:t>DME = diffuse myocardial enhancement was defined as involving &gt;50% of all segments.</w:t>
            </w:r>
          </w:p>
        </w:tc>
        <w:tc>
          <w:tcPr>
            <w:tcW w:w="1177" w:type="pct"/>
          </w:tcPr>
          <w:p w14:paraId="1B751C6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Presence or </w:t>
            </w:r>
            <w:r w:rsidRPr="00526FBF">
              <w:rPr>
                <w:rFonts w:ascii="Arial Narrow" w:hAnsi="Arial Narrow"/>
                <w:sz w:val="20"/>
              </w:rPr>
              <w:lastRenderedPageBreak/>
              <w:t>absence not mentioned</w:t>
            </w:r>
          </w:p>
          <w:p w14:paraId="76D0744F"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360AFE6D" w14:textId="7E68F12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5ECF5BA9" w14:textId="77D09376" w:rsidR="00A474A9" w:rsidRPr="00526FBF" w:rsidRDefault="001A400B" w:rsidP="004C79C1">
            <w:pPr>
              <w:spacing w:before="0" w:after="120" w:line="240" w:lineRule="auto"/>
              <w:ind w:left="118" w:right="-57"/>
              <w:rPr>
                <w:rFonts w:ascii="Arial Narrow" w:hAnsi="Arial Narrow" w:cs="Arial Narrow"/>
                <w:bCs/>
                <w:sz w:val="20"/>
              </w:rPr>
            </w:pPr>
            <w:r>
              <w:rPr>
                <w:rFonts w:ascii="Arial Narrow" w:hAnsi="Arial Narrow"/>
                <w:sz w:val="20"/>
              </w:rPr>
              <w:t>c</w:t>
            </w:r>
            <w:r w:rsidR="00A474A9" w:rsidRPr="00526FBF">
              <w:rPr>
                <w:rFonts w:ascii="Arial Narrow" w:hAnsi="Arial Narrow"/>
                <w:sz w:val="20"/>
              </w:rPr>
              <w:t>ardiac death</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HF</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transplantation</w:t>
            </w:r>
          </w:p>
          <w:p w14:paraId="53FC47D9"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7FF7C571" w14:textId="77777777" w:rsidTr="00BE5D7C">
        <w:tc>
          <w:tcPr>
            <w:tcW w:w="391" w:type="pct"/>
          </w:tcPr>
          <w:p w14:paraId="60BE4109" w14:textId="7712D35C"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Fernandez-Armenta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ExcludeAuth="1"&gt;&lt;Author&gt;Fernandez-Armenta&lt;/Author&gt;&lt;Year&gt;2012&lt;/Year&gt;&lt;RecNum&gt;40&lt;/RecNum&gt;&lt;DisplayText&gt;(2012)&lt;/DisplayText&gt;&lt;record&gt;&lt;rec-number&gt;40&lt;/rec-number&gt;&lt;foreign-keys&gt;&lt;key app="EN" db-id="pfxxvref0t0a5de2vwnv2fwkz0p9v0r2fw0t" timestamp="1458109048"&gt;40&lt;/key&gt;&lt;/foreign-keys&gt;&lt;ref-type name="Journal Article"&gt;17&lt;/ref-type&gt;&lt;contributors&gt;&lt;authors&gt;&lt;author&gt;Fernandez-Armenta, J.&lt;/author&gt;&lt;author&gt;Berruezo, A.&lt;/author&gt;&lt;author&gt;Mont, L.&lt;/author&gt;&lt;author&gt;Sitges, M.&lt;/author&gt;&lt;author&gt;Andreu, D.&lt;/author&gt;&lt;author&gt;Silva, E.&lt;/author&gt;&lt;author&gt;Ortiz-Perez, J. T.&lt;/author&gt;&lt;author&gt;Tolosana, J. M.&lt;/author&gt;&lt;author&gt;de Caralt, T. M.&lt;/author&gt;&lt;author&gt;Perea, R. J.&lt;/author&gt;&lt;author&gt;Calvo, N.&lt;/author&gt;&lt;author&gt;Trucco, E.&lt;/author&gt;&lt;author&gt;Borras, R.&lt;/author&gt;&lt;author&gt;Matas, M.&lt;/author&gt;&lt;author&gt;Brugada, J.&lt;/author&gt;&lt;/authors&gt;&lt;/contributors&gt;&lt;titles&gt;&lt;title&gt;Use of myocardial scar characterization to predict ventricular arrhythmia in cardiac resynchronization therapy&lt;/title&gt;&lt;secondary-title&gt;Europace&lt;/secondary-title&gt;&lt;/titles&gt;&lt;periodical&gt;&lt;full-title&gt;Europace&lt;/full-title&gt;&lt;/periodical&gt;&lt;pages&gt;1578-86&lt;/pages&gt;&lt;volume&gt;14&lt;/volume&gt;&lt;number&gt;11&lt;/number&gt;&lt;dates&gt;&lt;year&gt;2012&lt;/year&gt;&lt;pub-dates&gt;&lt;date&gt;2012-01-01&lt;/date&gt;&lt;/pub-dates&gt;&lt;/dates&gt;&lt;isbn&gt;1099-5129&lt;/isbn&gt;&lt;urls&gt;&lt;related-urls&gt;&lt;url&gt;http://europace.oxfordjournals.org/content/europace/14/11/1578.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39" w:tooltip="Fernandez-Armenta, 2012 #40" w:history="1">
              <w:r w:rsidR="00B906E9">
                <w:rPr>
                  <w:rFonts w:ascii="Arial Narrow" w:hAnsi="Arial Narrow" w:cs="Arial Narrow"/>
                  <w:bCs/>
                  <w:noProof/>
                  <w:sz w:val="20"/>
                  <w:szCs w:val="20"/>
                </w:rPr>
                <w:t>2012</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7DD1D833" w14:textId="77777777" w:rsidR="00A474A9" w:rsidRPr="00526FBF" w:rsidRDefault="00A474A9" w:rsidP="004C79C1">
            <w:pPr>
              <w:spacing w:before="0" w:after="120" w:line="240" w:lineRule="auto"/>
              <w:rPr>
                <w:rFonts w:ascii="Arial Narrow" w:hAnsi="Arial Narrow" w:cs="Arial Narrow"/>
                <w:bCs/>
                <w:sz w:val="20"/>
                <w:szCs w:val="20"/>
              </w:rPr>
            </w:pPr>
          </w:p>
          <w:p w14:paraId="766005E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Spain</w:t>
            </w:r>
          </w:p>
        </w:tc>
        <w:tc>
          <w:tcPr>
            <w:tcW w:w="588" w:type="pct"/>
            <w:shd w:val="clear" w:color="auto" w:fill="auto"/>
          </w:tcPr>
          <w:p w14:paraId="5CCE4B3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lastRenderedPageBreak/>
              <w:t>Prospective cohort</w:t>
            </w:r>
          </w:p>
          <w:p w14:paraId="7127C1DC" w14:textId="77777777" w:rsidR="00A474A9" w:rsidRPr="00526FBF" w:rsidRDefault="00A474A9" w:rsidP="004C79C1">
            <w:pPr>
              <w:spacing w:before="0" w:after="120" w:line="240" w:lineRule="auto"/>
              <w:rPr>
                <w:rFonts w:ascii="Arial Narrow" w:hAnsi="Arial Narrow" w:cs="Arial Narrow"/>
                <w:bCs/>
                <w:sz w:val="20"/>
              </w:rPr>
            </w:pPr>
          </w:p>
          <w:p w14:paraId="1D45091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7C797344" w14:textId="77777777" w:rsidR="00A474A9" w:rsidRPr="00526FBF" w:rsidRDefault="00A474A9" w:rsidP="004C79C1">
            <w:pPr>
              <w:spacing w:before="0" w:after="120" w:line="240" w:lineRule="auto"/>
              <w:rPr>
                <w:rFonts w:ascii="Arial Narrow" w:hAnsi="Arial Narrow" w:cs="Arial Narrow"/>
                <w:bCs/>
                <w:sz w:val="20"/>
              </w:rPr>
            </w:pPr>
          </w:p>
          <w:p w14:paraId="5A47EA58"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13F60884" w14:textId="65231731"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N=78 consecutive HF patients with DCM and severe LV dysfunction (LVEF &lt;35%)</w:t>
            </w:r>
            <w:r w:rsidR="007F5D02">
              <w:rPr>
                <w:rFonts w:ascii="Arial Narrow" w:hAnsi="Arial Narrow" w:cs="Arial Narrow"/>
                <w:bCs/>
                <w:sz w:val="20"/>
                <w:szCs w:val="20"/>
              </w:rPr>
              <w:t>:</w:t>
            </w:r>
          </w:p>
          <w:p w14:paraId="60B15B8F"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n=54 (69%) LGE+</w:t>
            </w:r>
            <w:r w:rsidRPr="00526FBF">
              <w:rPr>
                <w:rFonts w:ascii="Arial Narrow" w:hAnsi="Arial Narrow" w:cs="Arial Narrow"/>
                <w:bCs/>
                <w:sz w:val="20"/>
              </w:rPr>
              <w:br/>
              <w:t>n=24 (31%) LGE–</w:t>
            </w:r>
          </w:p>
          <w:p w14:paraId="0F127237" w14:textId="77CA4526" w:rsidR="00A474A9" w:rsidRPr="00526FBF" w:rsidRDefault="00923E22" w:rsidP="004C79C1">
            <w:pPr>
              <w:spacing w:before="0" w:after="120" w:line="240" w:lineRule="auto"/>
              <w:ind w:left="58"/>
              <w:rPr>
                <w:rFonts w:ascii="Arial Narrow" w:hAnsi="Arial Narrow" w:cs="Arial Narrow"/>
                <w:bCs/>
                <w:sz w:val="20"/>
                <w:szCs w:val="20"/>
              </w:rPr>
            </w:pPr>
            <w:r>
              <w:rPr>
                <w:rFonts w:ascii="Arial Narrow" w:hAnsi="Arial Narrow" w:cs="Arial Narrow"/>
                <w:bCs/>
                <w:sz w:val="20"/>
                <w:szCs w:val="20"/>
              </w:rPr>
              <w:lastRenderedPageBreak/>
              <w:t>n=</w:t>
            </w:r>
            <w:r w:rsidR="00A474A9" w:rsidRPr="00526FBF">
              <w:rPr>
                <w:rFonts w:ascii="Arial Narrow" w:hAnsi="Arial Narrow" w:cs="Arial Narrow"/>
                <w:bCs/>
                <w:sz w:val="20"/>
                <w:szCs w:val="20"/>
              </w:rPr>
              <w:t xml:space="preserve">15 LGE+ patients had NICM </w:t>
            </w:r>
            <w:r>
              <w:rPr>
                <w:rFonts w:ascii="Arial Narrow" w:hAnsi="Arial Narrow" w:cs="Arial Narrow"/>
                <w:bCs/>
                <w:sz w:val="20"/>
                <w:szCs w:val="20"/>
              </w:rPr>
              <w:br/>
              <w:t>n=</w:t>
            </w:r>
            <w:r w:rsidR="00A474A9" w:rsidRPr="00526FBF">
              <w:rPr>
                <w:rFonts w:ascii="Arial Narrow" w:hAnsi="Arial Narrow" w:cs="Arial Narrow"/>
                <w:bCs/>
                <w:sz w:val="20"/>
                <w:szCs w:val="20"/>
              </w:rPr>
              <w:t>39 had ICM</w:t>
            </w:r>
          </w:p>
          <w:p w14:paraId="350CF987" w14:textId="77777777" w:rsidR="00AE1177"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EBFB0D6"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64 ± 11 years; </w:t>
            </w:r>
          </w:p>
          <w:p w14:paraId="607F8103"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83%; </w:t>
            </w:r>
          </w:p>
          <w:p w14:paraId="10D6BC68" w14:textId="25CBCD33"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159 ± 33</w:t>
            </w:r>
            <w:r w:rsidR="00AE1177">
              <w:rPr>
                <w:rFonts w:ascii="Arial Narrow" w:hAnsi="Arial Narrow" w:cs="Arial Narrow"/>
                <w:bCs/>
                <w:sz w:val="20"/>
              </w:rPr>
              <w:t> </w:t>
            </w:r>
            <w:r w:rsidRPr="00526FBF">
              <w:rPr>
                <w:rFonts w:ascii="Arial Narrow" w:hAnsi="Arial Narrow" w:cs="Arial Narrow"/>
                <w:bCs/>
                <w:sz w:val="20"/>
              </w:rPr>
              <w:t xml:space="preserve">milliseconds; </w:t>
            </w:r>
          </w:p>
          <w:p w14:paraId="761938CB"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63%; </w:t>
            </w:r>
          </w:p>
          <w:p w14:paraId="0C90AC82"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22 ± 7%;</w:t>
            </w:r>
          </w:p>
          <w:p w14:paraId="3C84B578" w14:textId="168BE3E3" w:rsidR="00AE1177"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presence of AF = 22%; </w:t>
            </w:r>
          </w:p>
          <w:p w14:paraId="1196D3F0"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ICM = 53%; </w:t>
            </w:r>
          </w:p>
          <w:p w14:paraId="4EB530BA" w14:textId="77777777" w:rsidR="00AE117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NYHA class: II = 27%, III = 68%, class IV = 5%;</w:t>
            </w:r>
          </w:p>
          <w:p w14:paraId="51B465B8" w14:textId="11230BB8" w:rsidR="00A474A9" w:rsidRPr="00526FB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medications: ARB/ACE inhibitor = 89%, </w:t>
            </w:r>
            <w:r w:rsidR="00AE1177" w:rsidRPr="003439A7">
              <w:rPr>
                <w:rFonts w:ascii="Arial Narrow" w:hAnsi="Arial Narrow" w:cs="Arial Narrow"/>
                <w:bCs/>
                <w:sz w:val="20"/>
              </w:rPr>
              <w:sym w:font="Symbol" w:char="F062"/>
            </w:r>
            <w:r w:rsidRPr="00526FBF">
              <w:rPr>
                <w:rFonts w:ascii="Arial Narrow" w:hAnsi="Arial Narrow" w:cs="Arial Narrow"/>
                <w:bCs/>
                <w:sz w:val="20"/>
              </w:rPr>
              <w:t>blockers = 82%</w:t>
            </w:r>
          </w:p>
          <w:p w14:paraId="10AF3776" w14:textId="08855881"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25 (IQR 15–34)</w:t>
            </w:r>
            <w:r w:rsidR="00623395">
              <w:rPr>
                <w:rFonts w:ascii="Arial Narrow" w:hAnsi="Arial Narrow" w:cs="Arial Narrow"/>
                <w:bCs/>
                <w:sz w:val="20"/>
                <w:szCs w:val="20"/>
              </w:rPr>
              <w:t> </w:t>
            </w:r>
            <w:r w:rsidRPr="00526FBF">
              <w:rPr>
                <w:rFonts w:ascii="Arial Narrow" w:hAnsi="Arial Narrow" w:cs="Arial Narrow"/>
                <w:bCs/>
                <w:sz w:val="20"/>
                <w:szCs w:val="20"/>
              </w:rPr>
              <w:t>months</w:t>
            </w:r>
          </w:p>
        </w:tc>
        <w:tc>
          <w:tcPr>
            <w:tcW w:w="882" w:type="pct"/>
          </w:tcPr>
          <w:p w14:paraId="2CEF67C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HF patients with DCM and severe LV dysfunction (LVEF &lt;35%) who were referred for primary prevention CRT-D </w:t>
            </w:r>
            <w:r w:rsidRPr="00526FBF">
              <w:rPr>
                <w:rFonts w:ascii="Arial Narrow" w:hAnsi="Arial Narrow"/>
                <w:sz w:val="20"/>
              </w:rPr>
              <w:lastRenderedPageBreak/>
              <w:t>implantation.</w:t>
            </w:r>
          </w:p>
          <w:p w14:paraId="776C58A9"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The aetiology was considered to be ischaemic if there was &gt;70% DS of a coronary artery on angiography, a history of proven </w:t>
            </w:r>
            <w:r>
              <w:rPr>
                <w:rFonts w:ascii="Arial Narrow" w:hAnsi="Arial Narrow"/>
                <w:sz w:val="20"/>
              </w:rPr>
              <w:t>MI</w:t>
            </w:r>
            <w:r w:rsidRPr="00526FBF">
              <w:rPr>
                <w:rFonts w:ascii="Arial Narrow" w:hAnsi="Arial Narrow"/>
                <w:sz w:val="20"/>
              </w:rPr>
              <w:t xml:space="preserve"> or evidence of ischaemia on image stress testing. </w:t>
            </w:r>
          </w:p>
          <w:p w14:paraId="12924DC6" w14:textId="7EA10B5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A CMR was performed before device implantation to assess LV function</w:t>
            </w:r>
            <w:r w:rsidR="00CD1FB2">
              <w:rPr>
                <w:rFonts w:ascii="Arial Narrow" w:hAnsi="Arial Narrow"/>
                <w:sz w:val="20"/>
              </w:rPr>
              <w:t>,</w:t>
            </w:r>
            <w:r w:rsidRPr="00526FBF">
              <w:rPr>
                <w:rFonts w:ascii="Arial Narrow" w:hAnsi="Arial Narrow"/>
                <w:sz w:val="20"/>
              </w:rPr>
              <w:t xml:space="preserve"> and identify and characteri</w:t>
            </w:r>
            <w:r w:rsidR="00CD1FB2">
              <w:rPr>
                <w:rFonts w:ascii="Arial Narrow" w:hAnsi="Arial Narrow"/>
                <w:sz w:val="20"/>
              </w:rPr>
              <w:t>s</w:t>
            </w:r>
            <w:r w:rsidRPr="00526FBF">
              <w:rPr>
                <w:rFonts w:ascii="Arial Narrow" w:hAnsi="Arial Narrow"/>
                <w:sz w:val="20"/>
              </w:rPr>
              <w:t>e scar tissue.</w:t>
            </w:r>
          </w:p>
          <w:p w14:paraId="11BE5A8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contraindications to CMR examination</w:t>
            </w:r>
          </w:p>
        </w:tc>
        <w:tc>
          <w:tcPr>
            <w:tcW w:w="1030" w:type="pct"/>
          </w:tcPr>
          <w:p w14:paraId="4EA2DBD5"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w:t>
            </w:r>
          </w:p>
          <w:p w14:paraId="58D85378" w14:textId="582022F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 sequence:</w:t>
            </w:r>
            <w:r w:rsidRPr="00526FBF">
              <w:rPr>
                <w:rFonts w:ascii="Arial Narrow" w:hAnsi="Arial Narrow" w:cs="Times New Roman"/>
                <w:sz w:val="20"/>
                <w:szCs w:val="20"/>
              </w:rPr>
              <w:t xml:space="preserve"> Cine images were acquired during repeated breath-holds and synchroni</w:t>
            </w:r>
            <w:r w:rsidR="00CD1FB2">
              <w:rPr>
                <w:rFonts w:ascii="Arial Narrow" w:hAnsi="Arial Narrow" w:cs="Times New Roman"/>
                <w:sz w:val="20"/>
                <w:szCs w:val="20"/>
              </w:rPr>
              <w:t>s</w:t>
            </w:r>
            <w:r w:rsidRPr="00526FBF">
              <w:rPr>
                <w:rFonts w:ascii="Arial Narrow" w:hAnsi="Arial Narrow" w:cs="Times New Roman"/>
                <w:sz w:val="20"/>
                <w:szCs w:val="20"/>
              </w:rPr>
              <w:t>ed with the ECG</w:t>
            </w:r>
            <w:r w:rsidR="00CD1FB2">
              <w:rPr>
                <w:rFonts w:ascii="Arial Narrow" w:hAnsi="Arial Narrow" w:cs="Times New Roman"/>
                <w:sz w:val="20"/>
                <w:szCs w:val="20"/>
              </w:rPr>
              <w:t>.</w:t>
            </w:r>
            <w:r w:rsidRPr="00526FBF">
              <w:rPr>
                <w:rFonts w:ascii="Arial Narrow" w:hAnsi="Arial Narrow" w:cs="Times New Roman"/>
                <w:sz w:val="20"/>
                <w:szCs w:val="20"/>
              </w:rPr>
              <w:t xml:space="preserve"> </w:t>
            </w:r>
            <w:r w:rsidR="00CD1FB2">
              <w:rPr>
                <w:rFonts w:ascii="Arial Narrow" w:hAnsi="Arial Narrow" w:cs="Times New Roman"/>
                <w:sz w:val="20"/>
                <w:szCs w:val="20"/>
              </w:rPr>
              <w:t>A</w:t>
            </w:r>
            <w:r w:rsidRPr="00526FBF">
              <w:rPr>
                <w:rFonts w:ascii="Arial Narrow" w:hAnsi="Arial Narrow" w:cs="Times New Roman"/>
                <w:sz w:val="20"/>
                <w:szCs w:val="20"/>
              </w:rPr>
              <w:t xml:space="preserve"> </w:t>
            </w:r>
            <w:r w:rsidRPr="00526FBF">
              <w:rPr>
                <w:rFonts w:ascii="Arial Narrow" w:hAnsi="Arial Narrow" w:cs="Times New Roman"/>
                <w:sz w:val="20"/>
                <w:szCs w:val="20"/>
              </w:rPr>
              <w:lastRenderedPageBreak/>
              <w:t xml:space="preserve">standard steady-state free precession cine sequence </w:t>
            </w:r>
            <w:r w:rsidR="00CD1FB2">
              <w:rPr>
                <w:rFonts w:ascii="Arial Narrow" w:hAnsi="Arial Narrow" w:cs="Times New Roman"/>
                <w:sz w:val="20"/>
                <w:szCs w:val="20"/>
              </w:rPr>
              <w:t xml:space="preserve">was </w:t>
            </w:r>
            <w:r w:rsidRPr="00526FBF">
              <w:rPr>
                <w:rFonts w:ascii="Arial Narrow" w:hAnsi="Arial Narrow" w:cs="Times New Roman"/>
                <w:sz w:val="20"/>
                <w:szCs w:val="20"/>
              </w:rPr>
              <w:t>applied on 10 mm-thick, sequential short</w:t>
            </w:r>
            <w:r w:rsidR="00CD1FB2">
              <w:rPr>
                <w:rFonts w:ascii="Arial Narrow" w:hAnsi="Arial Narrow" w:cs="Times New Roman"/>
                <w:sz w:val="20"/>
                <w:szCs w:val="20"/>
              </w:rPr>
              <w:t>-</w:t>
            </w:r>
            <w:r w:rsidRPr="00526FBF">
              <w:rPr>
                <w:rFonts w:ascii="Arial Narrow" w:hAnsi="Arial Narrow" w:cs="Times New Roman"/>
                <w:sz w:val="20"/>
                <w:szCs w:val="20"/>
              </w:rPr>
              <w:t>axis slices</w:t>
            </w:r>
            <w:r w:rsidR="00CD1FB2">
              <w:rPr>
                <w:rFonts w:ascii="Arial Narrow" w:hAnsi="Arial Narrow" w:cs="Times New Roman"/>
                <w:sz w:val="20"/>
                <w:szCs w:val="20"/>
              </w:rPr>
              <w:t>.</w:t>
            </w:r>
          </w:p>
          <w:p w14:paraId="7E06FB4E" w14:textId="63EAC2D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segmented gradient</w:t>
            </w:r>
            <w:r w:rsidR="00CD1FB2">
              <w:rPr>
                <w:rFonts w:ascii="Arial Narrow" w:hAnsi="Arial Narrow" w:cs="Times New Roman"/>
                <w:sz w:val="20"/>
                <w:szCs w:val="20"/>
              </w:rPr>
              <w:t>-</w:t>
            </w:r>
            <w:r w:rsidRPr="00526FBF">
              <w:rPr>
                <w:rFonts w:ascii="Arial Narrow" w:hAnsi="Arial Narrow" w:cs="Times New Roman"/>
                <w:sz w:val="20"/>
                <w:szCs w:val="20"/>
              </w:rPr>
              <w:t>echo sequence with inversion–recovery</w:t>
            </w:r>
          </w:p>
          <w:p w14:paraId="6CE3E1EF" w14:textId="4D01EB4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w:t>
            </w:r>
            <w:r w:rsidR="00CD1FB2">
              <w:rPr>
                <w:rFonts w:ascii="Arial Narrow" w:hAnsi="Arial Narrow" w:cs="Times New Roman"/>
                <w:sz w:val="20"/>
                <w:szCs w:val="20"/>
              </w:rPr>
              <w:t> </w:t>
            </w:r>
            <w:r w:rsidRPr="00526FBF">
              <w:rPr>
                <w:rFonts w:ascii="Arial Narrow" w:hAnsi="Arial Narrow" w:cs="Times New Roman"/>
                <w:sz w:val="20"/>
                <w:szCs w:val="20"/>
              </w:rPr>
              <w:t xml:space="preserve">mmol/kg of </w:t>
            </w:r>
            <w:r w:rsidR="00CD1FB2">
              <w:rPr>
                <w:rFonts w:ascii="Arial Narrow" w:hAnsi="Arial Narrow" w:cs="Times New Roman"/>
                <w:sz w:val="20"/>
                <w:szCs w:val="20"/>
              </w:rPr>
              <w:t>Gd-</w:t>
            </w:r>
            <w:r w:rsidRPr="00526FBF">
              <w:rPr>
                <w:rFonts w:ascii="Arial Narrow" w:hAnsi="Arial Narrow" w:cs="Times New Roman"/>
                <w:sz w:val="20"/>
                <w:szCs w:val="20"/>
              </w:rPr>
              <w:t>DTPA</w:t>
            </w:r>
          </w:p>
          <w:p w14:paraId="7D5F7EB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538E0EAC"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An experienced observer manually traced the borders of the epicardium and endocardium on short-axis slices to calculate LV myocardial volume.</w:t>
            </w:r>
          </w:p>
          <w:p w14:paraId="0BD5B9A0" w14:textId="7C235DD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presence of LGE was determined by an experienced blinded observer. Scar tissue was defined as </w:t>
            </w:r>
            <w:r w:rsidR="00EB12E0">
              <w:rPr>
                <w:rFonts w:ascii="Arial Narrow" w:hAnsi="Arial Narrow" w:cs="Times New Roman"/>
                <w:sz w:val="20"/>
                <w:szCs w:val="20"/>
              </w:rPr>
              <w:t>hyperenhance</w:t>
            </w:r>
            <w:r w:rsidR="003400F1">
              <w:rPr>
                <w:rFonts w:ascii="Arial Narrow" w:hAnsi="Arial Narrow" w:cs="Times New Roman"/>
                <w:sz w:val="20"/>
                <w:szCs w:val="20"/>
              </w:rPr>
              <w:t>d</w:t>
            </w:r>
            <w:r w:rsidR="00EB12E0">
              <w:rPr>
                <w:rFonts w:ascii="Arial Narrow" w:hAnsi="Arial Narrow" w:cs="Times New Roman"/>
                <w:sz w:val="20"/>
                <w:szCs w:val="20"/>
              </w:rPr>
              <w:t xml:space="preserve"> </w:t>
            </w:r>
            <w:r w:rsidRPr="00526FBF">
              <w:rPr>
                <w:rFonts w:ascii="Arial Narrow" w:hAnsi="Arial Narrow" w:cs="Times New Roman"/>
                <w:sz w:val="20"/>
                <w:szCs w:val="20"/>
              </w:rPr>
              <w:t>areas with signal intensity at least two SDs above that of normal myocardium.</w:t>
            </w:r>
          </w:p>
        </w:tc>
        <w:tc>
          <w:tcPr>
            <w:tcW w:w="1177" w:type="pct"/>
          </w:tcPr>
          <w:p w14:paraId="213EDA23" w14:textId="11246261"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Clinical and </w:t>
            </w:r>
            <w:r w:rsidR="0098744D">
              <w:rPr>
                <w:rFonts w:ascii="Arial Narrow" w:hAnsi="Arial Narrow"/>
                <w:sz w:val="20"/>
              </w:rPr>
              <w:t>E</w:t>
            </w:r>
            <w:r w:rsidRPr="00526FBF">
              <w:rPr>
                <w:rFonts w:ascii="Arial Narrow" w:hAnsi="Arial Narrow"/>
                <w:sz w:val="20"/>
              </w:rPr>
              <w:t>cho evaluation was performed before device implantation and every 6</w:t>
            </w:r>
            <w:r w:rsidR="0098744D">
              <w:rPr>
                <w:rFonts w:ascii="Arial Narrow" w:hAnsi="Arial Narrow"/>
                <w:sz w:val="20"/>
              </w:rPr>
              <w:t> </w:t>
            </w:r>
            <w:r w:rsidRPr="00526FBF">
              <w:rPr>
                <w:rFonts w:ascii="Arial Narrow" w:hAnsi="Arial Narrow"/>
                <w:sz w:val="20"/>
              </w:rPr>
              <w:t>months thereafter</w:t>
            </w:r>
            <w:r w:rsidR="0098744D">
              <w:rPr>
                <w:rFonts w:ascii="Arial Narrow" w:hAnsi="Arial Narrow"/>
                <w:sz w:val="20"/>
              </w:rPr>
              <w:t>.</w:t>
            </w:r>
          </w:p>
          <w:p w14:paraId="03432E3C"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43516C25" w14:textId="3BDEEB2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HR for likelihood of having:</w:t>
            </w:r>
          </w:p>
          <w:p w14:paraId="25AE91B3" w14:textId="1590A695" w:rsidR="00A474A9" w:rsidRPr="00526FBF" w:rsidRDefault="0098744D"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a</w:t>
            </w:r>
            <w:r w:rsidR="00A474A9" w:rsidRPr="00526FBF">
              <w:rPr>
                <w:rFonts w:ascii="Arial Narrow" w:hAnsi="Arial Narrow" w:cs="Arial Narrow"/>
                <w:bCs/>
                <w:sz w:val="20"/>
              </w:rPr>
              <w:t>ppropriate CRT-D discharge</w:t>
            </w:r>
            <w:r w:rsidR="00A474A9" w:rsidRPr="00526FBF">
              <w:rPr>
                <w:rFonts w:ascii="Arial Narrow" w:hAnsi="Arial Narrow" w:cs="Arial Narrow"/>
                <w:bCs/>
                <w:sz w:val="20"/>
              </w:rPr>
              <w:br/>
            </w:r>
            <w:r>
              <w:rPr>
                <w:rFonts w:ascii="Arial Narrow" w:hAnsi="Arial Narrow" w:cs="Arial Narrow"/>
                <w:bCs/>
                <w:sz w:val="20"/>
              </w:rPr>
              <w:t>c</w:t>
            </w:r>
            <w:r w:rsidR="00A474A9" w:rsidRPr="00526FBF">
              <w:rPr>
                <w:rFonts w:ascii="Arial Narrow" w:hAnsi="Arial Narrow" w:cs="Arial Narrow"/>
                <w:bCs/>
                <w:sz w:val="20"/>
              </w:rPr>
              <w:t>ardiac death</w:t>
            </w:r>
          </w:p>
          <w:p w14:paraId="35184ABB"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73C77AD8" w14:textId="77777777" w:rsidTr="00BE5D7C">
        <w:tc>
          <w:tcPr>
            <w:tcW w:w="391" w:type="pct"/>
          </w:tcPr>
          <w:p w14:paraId="5F5E7443" w14:textId="5AB442CE"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Gao </w:t>
            </w:r>
            <w:r>
              <w:rPr>
                <w:rFonts w:ascii="Arial Narrow" w:hAnsi="Arial Narrow" w:cs="Arial Narrow"/>
                <w:bCs/>
                <w:sz w:val="20"/>
                <w:szCs w:val="20"/>
              </w:rPr>
              <w:t>et al</w:t>
            </w:r>
            <w:r w:rsidR="00D912A5">
              <w:rPr>
                <w:rFonts w:ascii="Arial Narrow" w:hAnsi="Arial Narrow" w:cs="Arial Narrow"/>
                <w:bCs/>
                <w:sz w:val="20"/>
                <w:szCs w:val="20"/>
              </w:rPr>
              <w:t>.</w:t>
            </w:r>
            <w:r>
              <w:rPr>
                <w:rFonts w:ascii="Arial Narrow" w:hAnsi="Arial Narrow" w:cs="Arial Narrow"/>
                <w:bCs/>
                <w:sz w:val="20"/>
                <w:szCs w:val="20"/>
              </w:rPr>
              <w:t xml:space="preserve">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ExcludeAuth="1"&gt;&lt;Author&gt;Gao&lt;/Author&gt;&lt;Year&gt;2012&lt;/Year&gt;&lt;RecNum&gt;41&lt;/RecNum&gt;&lt;DisplayText&gt;(2012)&lt;/DisplayText&gt;&lt;record&gt;&lt;rec-number&gt;41&lt;/rec-number&gt;&lt;foreign-keys&gt;&lt;key app="EN" db-id="pfxxvref0t0a5de2vwnv2fwkz0p9v0r2fw0t" timestamp="1458109048"&gt;41&lt;/key&gt;&lt;/foreign-keys&gt;&lt;ref-type name="Journal Article"&gt;17&lt;/ref-type&gt;&lt;contributors&gt;&lt;authors&gt;&lt;author&gt;Gao, P.&lt;/author&gt;&lt;author&gt;Yee, R.&lt;/author&gt;&lt;author&gt;Gula, L.&lt;/author&gt;&lt;author&gt;Krahn, A. D.&lt;/author&gt;&lt;author&gt;Skanes, A.&lt;/author&gt;&lt;author&gt;Leong-Sit, P.&lt;/author&gt;&lt;author&gt;Klein, G. J.&lt;/author&gt;&lt;author&gt;Stirrat, J.&lt;/author&gt;&lt;author&gt;Fine, N.&lt;/author&gt;&lt;author&gt;Pallaveshi, L.&lt;/author&gt;&lt;author&gt;Wisenberg, G.&lt;/author&gt;&lt;author&gt;Thompson, T. R.&lt;/author&gt;&lt;author&gt;Prato, F.&lt;/author&gt;&lt;author&gt;Drangova, M.&lt;/author&gt;&lt;author&gt;White, J. A.&lt;/author&gt;&lt;/authors&gt;&lt;/contributors&gt;&lt;titles&gt;&lt;title&gt;Prediction of arrhythmic events in ischemic and dilated cardiomyopathy patients referred for implantable cardiac defibrillator: evaluation of multiple scar quantification measures for late gadolinium enhancement magnetic resonance imaging&lt;/title&gt;&lt;secondary-title&gt;Circ Cardiovasc Imaging&lt;/secondary-title&gt;&lt;/titles&gt;&lt;periodical&gt;&lt;full-title&gt;Circ Cardiovasc Imaging&lt;/full-title&gt;&lt;/periodical&gt;&lt;pages&gt;448-56&lt;/pages&gt;&lt;volume&gt;5&lt;/volume&gt;&lt;number&gt;4&lt;/number&gt;&lt;dates&gt;&lt;year&gt;2012&lt;/year&gt;&lt;pub-dates&gt;&lt;date&gt;2012-01-01&lt;/date&gt;&lt;/pub-dates&gt;&lt;/dates&gt;&lt;isbn&gt;1941-9651&lt;/isbn&gt;&lt;urls&gt;&lt;related-urls&gt;&lt;url&gt;http://circimaging.ahajournals.org/content/5/4/448.full.pdf&lt;/url&gt;&lt;/related-urls&gt;&lt;/urls&gt;&lt;custom1&gt;RAYYAN-INCLUSION: {&amp;quot;Sharon&amp;quot;=&amp;gt;true} | RAYYAN-LABELS: DCM,prognostic&lt;/custom1&gt;&lt;research-notes&gt;High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43" w:tooltip="Gao, 2012 #41" w:history="1">
              <w:r w:rsidR="00B906E9">
                <w:rPr>
                  <w:rFonts w:ascii="Arial Narrow" w:hAnsi="Arial Narrow" w:cs="Arial Narrow"/>
                  <w:bCs/>
                  <w:noProof/>
                  <w:sz w:val="20"/>
                  <w:szCs w:val="20"/>
                </w:rPr>
                <w:t>2012</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59F240D" w14:textId="77777777" w:rsidR="00A474A9" w:rsidRPr="00526FBF" w:rsidRDefault="00A474A9" w:rsidP="004C79C1">
            <w:pPr>
              <w:spacing w:before="0" w:after="120" w:line="240" w:lineRule="auto"/>
              <w:rPr>
                <w:rFonts w:ascii="Arial Narrow" w:hAnsi="Arial Narrow" w:cs="Arial Narrow"/>
                <w:bCs/>
                <w:sz w:val="20"/>
                <w:szCs w:val="20"/>
              </w:rPr>
            </w:pPr>
          </w:p>
          <w:p w14:paraId="0536EE47"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Canada</w:t>
            </w:r>
          </w:p>
        </w:tc>
        <w:tc>
          <w:tcPr>
            <w:tcW w:w="588" w:type="pct"/>
            <w:shd w:val="clear" w:color="auto" w:fill="auto"/>
          </w:tcPr>
          <w:p w14:paraId="275FCE5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217ADFEE" w14:textId="77777777" w:rsidR="00A474A9" w:rsidRPr="00526FBF" w:rsidRDefault="00A474A9" w:rsidP="004C79C1">
            <w:pPr>
              <w:spacing w:before="0" w:after="120" w:line="240" w:lineRule="auto"/>
              <w:rPr>
                <w:rFonts w:ascii="Arial Narrow" w:hAnsi="Arial Narrow" w:cs="Arial Narrow"/>
                <w:bCs/>
                <w:sz w:val="20"/>
              </w:rPr>
            </w:pPr>
          </w:p>
          <w:p w14:paraId="01ED738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0D7588CA" w14:textId="77777777" w:rsidR="00A474A9" w:rsidRPr="00526FBF" w:rsidRDefault="00A474A9" w:rsidP="004C79C1">
            <w:pPr>
              <w:spacing w:before="0" w:after="120" w:line="240" w:lineRule="auto"/>
              <w:rPr>
                <w:rFonts w:ascii="Arial Narrow" w:hAnsi="Arial Narrow" w:cs="Arial Narrow"/>
                <w:bCs/>
                <w:sz w:val="20"/>
              </w:rPr>
            </w:pPr>
          </w:p>
          <w:p w14:paraId="710D6E3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SIGN: high quality with a low risk of bias</w:t>
            </w:r>
          </w:p>
        </w:tc>
        <w:tc>
          <w:tcPr>
            <w:tcW w:w="932" w:type="pct"/>
          </w:tcPr>
          <w:p w14:paraId="2B496994"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N=124 consecutive patients who had LVEF ≤35% and were diagnosed with DCM</w:t>
            </w:r>
          </w:p>
          <w:p w14:paraId="08875A9A"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Patient characteristics: </w:t>
            </w:r>
          </w:p>
          <w:p w14:paraId="0C0D7988"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61 ± 11 years; </w:t>
            </w:r>
          </w:p>
          <w:p w14:paraId="0F0E3509"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male = 81%; </w:t>
            </w:r>
          </w:p>
          <w:p w14:paraId="607F5C9B" w14:textId="48C547B2"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136 ± 30</w:t>
            </w:r>
            <w:r w:rsidR="005C1A92">
              <w:rPr>
                <w:rFonts w:ascii="Arial Narrow" w:hAnsi="Arial Narrow" w:cs="Arial Narrow"/>
                <w:bCs/>
                <w:sz w:val="20"/>
              </w:rPr>
              <w:t> </w:t>
            </w:r>
            <w:r w:rsidRPr="00526FBF">
              <w:rPr>
                <w:rFonts w:ascii="Arial Narrow" w:hAnsi="Arial Narrow" w:cs="Arial Narrow"/>
                <w:bCs/>
                <w:sz w:val="20"/>
              </w:rPr>
              <w:t xml:space="preserve">milliseconds; </w:t>
            </w:r>
          </w:p>
          <w:p w14:paraId="45C28D6B"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44%; </w:t>
            </w:r>
          </w:p>
          <w:p w14:paraId="598A6119"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26 ± 7%; </w:t>
            </w:r>
          </w:p>
          <w:p w14:paraId="3E8BBF14"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ICM = 48%; </w:t>
            </w:r>
          </w:p>
          <w:p w14:paraId="106EC462"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primary prevention ICD = 56%; </w:t>
            </w:r>
          </w:p>
          <w:p w14:paraId="704955F3"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secondary prevention ICD = 8%; </w:t>
            </w:r>
          </w:p>
          <w:p w14:paraId="0891118A" w14:textId="77777777" w:rsidR="008F71D7"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CRT-D implantation = 36%;</w:t>
            </w:r>
          </w:p>
          <w:p w14:paraId="6E515A81" w14:textId="535C5819" w:rsidR="008F71D7"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NYHA class = 2.5 ± 0.9;</w:t>
            </w:r>
          </w:p>
          <w:p w14:paraId="3A641E85" w14:textId="2367C87D" w:rsidR="00A474A9" w:rsidRPr="00526FBF" w:rsidRDefault="008F71D7" w:rsidP="004C79C1">
            <w:pPr>
              <w:spacing w:before="0" w:after="120" w:line="240" w:lineRule="auto"/>
              <w:ind w:left="58"/>
              <w:rPr>
                <w:rFonts w:ascii="Arial Narrow" w:hAnsi="Arial Narrow" w:cs="Arial Narrow"/>
                <w:b/>
                <w:bCs/>
                <w:sz w:val="20"/>
                <w:lang w:val="en-GB" w:eastAsia="en-US"/>
              </w:rPr>
            </w:pPr>
            <w:r>
              <w:rPr>
                <w:rFonts w:ascii="Arial Narrow" w:hAnsi="Arial Narrow" w:cs="Arial Narrow"/>
                <w:bCs/>
                <w:sz w:val="20"/>
              </w:rPr>
              <w:t>m</w:t>
            </w:r>
            <w:r w:rsidR="00A474A9" w:rsidRPr="00526FBF">
              <w:rPr>
                <w:rFonts w:ascii="Arial Narrow" w:hAnsi="Arial Narrow" w:cs="Arial Narrow"/>
                <w:bCs/>
                <w:sz w:val="20"/>
              </w:rPr>
              <w:t xml:space="preserve">edications: ACE inhibitor = 71%, ARB = 25%, </w:t>
            </w:r>
            <w:r w:rsidRPr="003439A7">
              <w:rPr>
                <w:rFonts w:ascii="Arial Narrow" w:hAnsi="Arial Narrow" w:cs="Arial Narrow"/>
                <w:bCs/>
                <w:sz w:val="20"/>
              </w:rPr>
              <w:sym w:font="Symbol" w:char="F062"/>
            </w:r>
            <w:r w:rsidR="00A474A9" w:rsidRPr="008F71D7">
              <w:rPr>
                <w:rFonts w:ascii="Arial Narrow" w:hAnsi="Arial Narrow" w:cs="Arial Narrow"/>
                <w:bCs/>
                <w:sz w:val="20"/>
              </w:rPr>
              <w:t>-</w:t>
            </w:r>
            <w:r w:rsidR="00A474A9" w:rsidRPr="00526FBF">
              <w:rPr>
                <w:rFonts w:ascii="Arial Narrow" w:hAnsi="Arial Narrow" w:cs="Arial Narrow"/>
                <w:bCs/>
                <w:sz w:val="20"/>
              </w:rPr>
              <w:t>blockers = 80%</w:t>
            </w:r>
          </w:p>
          <w:p w14:paraId="2DF3A04C" w14:textId="01DE6DB2"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N=59 patients with ICM</w:t>
            </w:r>
            <w:r w:rsidR="006D0CC8">
              <w:rPr>
                <w:rFonts w:ascii="Arial Narrow" w:hAnsi="Arial Narrow" w:cs="Arial Narrow"/>
                <w:bCs/>
                <w:sz w:val="20"/>
                <w:szCs w:val="20"/>
              </w:rPr>
              <w:t>:</w:t>
            </w:r>
          </w:p>
          <w:p w14:paraId="76593E20" w14:textId="4539BB4E" w:rsidR="00A474A9" w:rsidRPr="00526FBF" w:rsidRDefault="008F71D7" w:rsidP="004C79C1">
            <w:pPr>
              <w:tabs>
                <w:tab w:val="left" w:pos="283"/>
              </w:tabs>
              <w:spacing w:before="0" w:after="120" w:line="240" w:lineRule="auto"/>
              <w:ind w:left="58"/>
              <w:rPr>
                <w:rFonts w:ascii="Arial Narrow" w:hAnsi="Arial Narrow" w:cs="Arial Narrow"/>
                <w:bCs/>
                <w:sz w:val="20"/>
                <w:szCs w:val="20"/>
              </w:rPr>
            </w:pPr>
            <w:r>
              <w:rPr>
                <w:rFonts w:ascii="Arial Narrow" w:hAnsi="Arial Narrow" w:cs="Arial Narrow"/>
                <w:bCs/>
                <w:sz w:val="20"/>
                <w:szCs w:val="20"/>
              </w:rPr>
              <w:t>a</w:t>
            </w:r>
            <w:r w:rsidR="00A474A9" w:rsidRPr="00526FBF">
              <w:rPr>
                <w:rFonts w:ascii="Arial Narrow" w:hAnsi="Arial Narrow" w:cs="Arial Narrow"/>
                <w:bCs/>
                <w:sz w:val="20"/>
                <w:szCs w:val="20"/>
              </w:rPr>
              <w:t>ll LGE+</w:t>
            </w:r>
          </w:p>
          <w:p w14:paraId="58B14C82" w14:textId="4D22F4A5"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N=65 patients with NIDCM</w:t>
            </w:r>
            <w:r w:rsidR="006D0CC8">
              <w:rPr>
                <w:rFonts w:ascii="Arial Narrow" w:hAnsi="Arial Narrow" w:cs="Arial Narrow"/>
                <w:bCs/>
                <w:sz w:val="20"/>
                <w:szCs w:val="20"/>
              </w:rPr>
              <w:t>:</w:t>
            </w:r>
          </w:p>
          <w:p w14:paraId="24D0ECDF"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n=46 (71%) LGE+</w:t>
            </w:r>
            <w:r w:rsidRPr="00526FBF">
              <w:rPr>
                <w:rFonts w:ascii="Arial Narrow" w:hAnsi="Arial Narrow" w:cs="Arial Narrow"/>
                <w:bCs/>
                <w:sz w:val="20"/>
              </w:rPr>
              <w:br/>
              <w:t>n=19 (29%) LGE–</w:t>
            </w:r>
          </w:p>
          <w:p w14:paraId="7E1BF216" w14:textId="52D3871C"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632 ± 262</w:t>
            </w:r>
            <w:r w:rsidR="00F90C66">
              <w:rPr>
                <w:rFonts w:ascii="Arial Narrow" w:hAnsi="Arial Narrow" w:cs="Arial Narrow"/>
                <w:bCs/>
                <w:sz w:val="20"/>
                <w:szCs w:val="20"/>
              </w:rPr>
              <w:t> </w:t>
            </w:r>
            <w:r w:rsidRPr="00526FBF">
              <w:rPr>
                <w:rFonts w:ascii="Arial Narrow" w:hAnsi="Arial Narrow" w:cs="Arial Narrow"/>
                <w:bCs/>
                <w:sz w:val="20"/>
                <w:szCs w:val="20"/>
              </w:rPr>
              <w:t>days</w:t>
            </w:r>
          </w:p>
        </w:tc>
        <w:tc>
          <w:tcPr>
            <w:tcW w:w="882" w:type="pct"/>
          </w:tcPr>
          <w:p w14:paraId="11233659" w14:textId="6710D9D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w:t>
            </w:r>
            <w:r w:rsidRPr="00526FBF">
              <w:rPr>
                <w:rFonts w:ascii="Arial Narrow" w:hAnsi="Arial Narrow" w:cs="Arial Narrow"/>
                <w:bCs/>
                <w:sz w:val="20"/>
                <w:szCs w:val="20"/>
              </w:rPr>
              <w:t>referred to the electrophysiology service for consideration of ICD</w:t>
            </w:r>
            <w:r w:rsidRPr="00526FBF">
              <w:rPr>
                <w:rFonts w:ascii="Arial Narrow" w:hAnsi="Arial Narrow"/>
                <w:sz w:val="20"/>
              </w:rPr>
              <w:t xml:space="preserve"> who had a</w:t>
            </w:r>
            <w:r w:rsidR="00147FC0">
              <w:rPr>
                <w:rFonts w:ascii="Arial Narrow" w:hAnsi="Arial Narrow"/>
                <w:sz w:val="20"/>
              </w:rPr>
              <w:t>n</w:t>
            </w:r>
            <w:r w:rsidRPr="00526FBF">
              <w:rPr>
                <w:rFonts w:ascii="Arial Narrow" w:hAnsi="Arial Narrow"/>
                <w:sz w:val="20"/>
              </w:rPr>
              <w:t xml:space="preserve"> LVEF ≤35% and were on maximal tolerated HF therapy for </w:t>
            </w:r>
            <w:r w:rsidRPr="00526FBF">
              <w:rPr>
                <w:rFonts w:ascii="Arial Narrow" w:hAnsi="Arial Narrow"/>
                <w:sz w:val="20"/>
              </w:rPr>
              <w:lastRenderedPageBreak/>
              <w:t>≥3</w:t>
            </w:r>
            <w:r w:rsidR="00147FC0">
              <w:rPr>
                <w:rFonts w:ascii="Arial Narrow" w:hAnsi="Arial Narrow"/>
                <w:sz w:val="20"/>
              </w:rPr>
              <w:t> </w:t>
            </w:r>
            <w:r w:rsidRPr="00526FBF">
              <w:rPr>
                <w:rFonts w:ascii="Arial Narrow" w:hAnsi="Arial Narrow"/>
                <w:sz w:val="20"/>
              </w:rPr>
              <w:t xml:space="preserve">months. Prior to enrolment all patients underwent ICA or CTCA to determine </w:t>
            </w:r>
            <w:r w:rsidR="00147FC0">
              <w:rPr>
                <w:rFonts w:ascii="Arial Narrow" w:hAnsi="Arial Narrow"/>
                <w:sz w:val="20"/>
              </w:rPr>
              <w:t>CM</w:t>
            </w:r>
            <w:r w:rsidR="00147FC0" w:rsidRPr="00526FBF">
              <w:rPr>
                <w:rFonts w:ascii="Arial Narrow" w:hAnsi="Arial Narrow"/>
                <w:sz w:val="20"/>
              </w:rPr>
              <w:t xml:space="preserve"> </w:t>
            </w:r>
            <w:r w:rsidRPr="00526FBF">
              <w:rPr>
                <w:rFonts w:ascii="Arial Narrow" w:hAnsi="Arial Narrow"/>
                <w:sz w:val="20"/>
              </w:rPr>
              <w:t>aetiology.</w:t>
            </w:r>
          </w:p>
          <w:p w14:paraId="0EE8ADA8" w14:textId="0C83073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standard contraindications to LGE-CMR, inclusive of a GFR of ≤30</w:t>
            </w:r>
            <w:r w:rsidR="00F90C66">
              <w:rPr>
                <w:rFonts w:ascii="Arial Narrow" w:hAnsi="Arial Narrow"/>
                <w:sz w:val="20"/>
              </w:rPr>
              <w:t> </w:t>
            </w:r>
            <w:r w:rsidRPr="00526FBF">
              <w:rPr>
                <w:rFonts w:ascii="Arial Narrow" w:hAnsi="Arial Narrow"/>
                <w:sz w:val="20"/>
              </w:rPr>
              <w:t>mL/min/1.73 m</w:t>
            </w:r>
            <w:r w:rsidRPr="00526FBF">
              <w:rPr>
                <w:rFonts w:ascii="Arial Narrow" w:hAnsi="Arial Narrow"/>
                <w:sz w:val="20"/>
                <w:vertAlign w:val="superscript"/>
              </w:rPr>
              <w:t>2</w:t>
            </w:r>
          </w:p>
        </w:tc>
        <w:tc>
          <w:tcPr>
            <w:tcW w:w="1030" w:type="pct"/>
          </w:tcPr>
          <w:p w14:paraId="0F5AB7C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3-T scanner</w:t>
            </w:r>
            <w:r w:rsidRPr="00526FBF">
              <w:rPr>
                <w:sz w:val="24"/>
              </w:rPr>
              <w:t xml:space="preserve"> </w:t>
            </w:r>
            <w:r w:rsidRPr="00526FBF">
              <w:rPr>
                <w:rFonts w:ascii="Arial Narrow" w:hAnsi="Arial Narrow" w:cs="Times New Roman"/>
                <w:sz w:val="20"/>
                <w:szCs w:val="20"/>
              </w:rPr>
              <w:t>equipped with a 32-channel cardiac coil</w:t>
            </w:r>
          </w:p>
          <w:p w14:paraId="264964E0" w14:textId="1ABC72DE"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 sequence:</w:t>
            </w:r>
            <w:r w:rsidRPr="00526FBF">
              <w:rPr>
                <w:rFonts w:ascii="Arial Narrow" w:hAnsi="Arial Narrow" w:cs="Times New Roman"/>
                <w:sz w:val="20"/>
                <w:szCs w:val="20"/>
              </w:rPr>
              <w:t xml:space="preserve"> Assessed in sequential short</w:t>
            </w:r>
            <w:r w:rsidR="00147FC0">
              <w:rPr>
                <w:rFonts w:ascii="Arial Narrow" w:hAnsi="Arial Narrow" w:cs="Times New Roman"/>
                <w:sz w:val="20"/>
                <w:szCs w:val="20"/>
              </w:rPr>
              <w:t>-</w:t>
            </w:r>
            <w:r w:rsidRPr="00526FBF">
              <w:rPr>
                <w:rFonts w:ascii="Arial Narrow" w:hAnsi="Arial Narrow" w:cs="Times New Roman"/>
                <w:sz w:val="20"/>
                <w:szCs w:val="20"/>
              </w:rPr>
              <w:t>axis views at 10</w:t>
            </w:r>
            <w:r w:rsidR="00147FC0">
              <w:rPr>
                <w:rFonts w:ascii="Arial Narrow" w:hAnsi="Arial Narrow" w:cs="Times New Roman"/>
                <w:sz w:val="20"/>
                <w:szCs w:val="20"/>
              </w:rPr>
              <w:t>-</w:t>
            </w:r>
            <w:r w:rsidRPr="00526FBF">
              <w:rPr>
                <w:rFonts w:ascii="Arial Narrow" w:hAnsi="Arial Narrow" w:cs="Times New Roman"/>
                <w:sz w:val="20"/>
                <w:szCs w:val="20"/>
              </w:rPr>
              <w:t>mm intervals using a standard steady</w:t>
            </w:r>
            <w:r w:rsidR="002151C2">
              <w:rPr>
                <w:rFonts w:ascii="Arial Narrow" w:hAnsi="Arial Narrow" w:cs="Times New Roman"/>
                <w:sz w:val="20"/>
                <w:szCs w:val="20"/>
              </w:rPr>
              <w:t>-</w:t>
            </w:r>
            <w:r w:rsidRPr="00526FBF">
              <w:rPr>
                <w:rFonts w:ascii="Arial Narrow" w:hAnsi="Arial Narrow" w:cs="Times New Roman"/>
                <w:sz w:val="20"/>
                <w:szCs w:val="20"/>
              </w:rPr>
              <w:t>state free</w:t>
            </w:r>
            <w:r w:rsidR="002151C2">
              <w:rPr>
                <w:rFonts w:ascii="Arial Narrow" w:hAnsi="Arial Narrow" w:cs="Times New Roman"/>
                <w:sz w:val="20"/>
                <w:szCs w:val="20"/>
              </w:rPr>
              <w:t>-</w:t>
            </w:r>
            <w:r w:rsidRPr="00526FBF">
              <w:rPr>
                <w:rFonts w:ascii="Arial Narrow" w:hAnsi="Arial Narrow" w:cs="Times New Roman"/>
                <w:sz w:val="20"/>
                <w:szCs w:val="20"/>
              </w:rPr>
              <w:t xml:space="preserve">precession (SSFP)-based </w:t>
            </w:r>
            <w:r w:rsidR="00147FC0">
              <w:rPr>
                <w:rFonts w:ascii="Arial Narrow" w:hAnsi="Arial Narrow" w:cs="Times New Roman"/>
                <w:sz w:val="20"/>
                <w:szCs w:val="20"/>
              </w:rPr>
              <w:t>‘</w:t>
            </w:r>
            <w:r w:rsidRPr="00526FBF">
              <w:rPr>
                <w:rFonts w:ascii="Arial Narrow" w:hAnsi="Arial Narrow" w:cs="Times New Roman"/>
                <w:sz w:val="20"/>
                <w:szCs w:val="20"/>
              </w:rPr>
              <w:t>cine</w:t>
            </w:r>
            <w:r w:rsidR="00147FC0">
              <w:rPr>
                <w:rFonts w:ascii="Arial Narrow" w:hAnsi="Arial Narrow" w:cs="Times New Roman"/>
                <w:sz w:val="20"/>
                <w:szCs w:val="20"/>
              </w:rPr>
              <w:t>’</w:t>
            </w:r>
            <w:r w:rsidR="00CD5BC3">
              <w:rPr>
                <w:rFonts w:ascii="Arial Narrow" w:hAnsi="Arial Narrow" w:cs="Times New Roman"/>
                <w:sz w:val="20"/>
                <w:szCs w:val="20"/>
              </w:rPr>
              <w:t xml:space="preserve"> </w:t>
            </w:r>
            <w:r w:rsidRPr="00526FBF">
              <w:rPr>
                <w:rFonts w:ascii="Arial Narrow" w:hAnsi="Arial Narrow" w:cs="Times New Roman"/>
                <w:sz w:val="20"/>
                <w:szCs w:val="20"/>
              </w:rPr>
              <w:lastRenderedPageBreak/>
              <w:t>pulse sequence</w:t>
            </w:r>
          </w:p>
          <w:p w14:paraId="68AFAA75" w14:textId="4A8F81BE"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standard, segmented inversion recovery gradient</w:t>
            </w:r>
            <w:r w:rsidR="001701A6">
              <w:rPr>
                <w:rFonts w:ascii="Arial Narrow" w:hAnsi="Arial Narrow" w:cs="Times New Roman"/>
                <w:sz w:val="20"/>
                <w:szCs w:val="20"/>
              </w:rPr>
              <w:t>-</w:t>
            </w:r>
            <w:r w:rsidRPr="00526FBF">
              <w:rPr>
                <w:rFonts w:ascii="Arial Narrow" w:hAnsi="Arial Narrow" w:cs="Times New Roman"/>
                <w:sz w:val="20"/>
                <w:szCs w:val="20"/>
              </w:rPr>
              <w:t>echo pulse sequence</w:t>
            </w:r>
          </w:p>
          <w:p w14:paraId="362B367A" w14:textId="7E7140B8"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0.15–0.2</w:t>
            </w:r>
            <w:r w:rsidR="001701A6">
              <w:rPr>
                <w:rFonts w:ascii="Arial Narrow" w:hAnsi="Arial Narrow" w:cs="Times New Roman"/>
                <w:sz w:val="20"/>
                <w:szCs w:val="20"/>
              </w:rPr>
              <w:t> </w:t>
            </w:r>
            <w:r w:rsidRPr="00526FBF">
              <w:rPr>
                <w:rFonts w:ascii="Arial Narrow" w:hAnsi="Arial Narrow" w:cs="Times New Roman"/>
                <w:sz w:val="20"/>
                <w:szCs w:val="20"/>
              </w:rPr>
              <w:t>mmol/kg Gadovist</w:t>
            </w:r>
          </w:p>
          <w:p w14:paraId="32D5B658" w14:textId="59CCC5D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w:t>
            </w:r>
            <w:r w:rsidR="001701A6">
              <w:rPr>
                <w:rFonts w:ascii="Arial Narrow" w:hAnsi="Arial Narrow" w:cs="Times New Roman"/>
                <w:sz w:val="20"/>
                <w:szCs w:val="20"/>
              </w:rPr>
              <w:t> </w:t>
            </w:r>
            <w:r w:rsidRPr="00526FBF">
              <w:rPr>
                <w:rFonts w:ascii="Arial Narrow" w:hAnsi="Arial Narrow" w:cs="Times New Roman"/>
                <w:sz w:val="20"/>
                <w:szCs w:val="20"/>
              </w:rPr>
              <w:t>minutes</w:t>
            </w:r>
          </w:p>
          <w:p w14:paraId="4BC12782" w14:textId="48C2010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Cine images were examined to determine the LV end</w:t>
            </w:r>
            <w:r w:rsidR="001701A6">
              <w:rPr>
                <w:rFonts w:ascii="Arial Narrow" w:hAnsi="Arial Narrow" w:cs="Times New Roman"/>
                <w:sz w:val="20"/>
                <w:szCs w:val="20"/>
              </w:rPr>
              <w:t>-</w:t>
            </w:r>
            <w:r w:rsidRPr="00526FBF">
              <w:rPr>
                <w:rFonts w:ascii="Arial Narrow" w:hAnsi="Arial Narrow" w:cs="Times New Roman"/>
                <w:sz w:val="20"/>
                <w:szCs w:val="20"/>
              </w:rPr>
              <w:t>systolic volume, LV end</w:t>
            </w:r>
            <w:r w:rsidR="001701A6">
              <w:rPr>
                <w:rFonts w:ascii="Arial Narrow" w:hAnsi="Arial Narrow" w:cs="Times New Roman"/>
                <w:sz w:val="20"/>
                <w:szCs w:val="20"/>
              </w:rPr>
              <w:t>-</w:t>
            </w:r>
            <w:r w:rsidRPr="00526FBF">
              <w:rPr>
                <w:rFonts w:ascii="Arial Narrow" w:hAnsi="Arial Narrow" w:cs="Times New Roman"/>
                <w:sz w:val="20"/>
                <w:szCs w:val="20"/>
              </w:rPr>
              <w:t>diastolic volume and LV mass by semi-automated endocardial and epicardial contour tracing.</w:t>
            </w:r>
          </w:p>
          <w:p w14:paraId="05ACAD74" w14:textId="77777777" w:rsidR="001701A6"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or absence of any LGE was visually determined by an experienced blinded CMR interpreter</w:t>
            </w:r>
            <w:r w:rsidR="001701A6">
              <w:rPr>
                <w:rFonts w:ascii="Arial Narrow" w:hAnsi="Arial Narrow" w:cs="Times New Roman"/>
                <w:sz w:val="20"/>
                <w:szCs w:val="20"/>
              </w:rPr>
              <w:t>,</w:t>
            </w:r>
            <w:r w:rsidRPr="00526FBF">
              <w:rPr>
                <w:rFonts w:ascii="Arial Narrow" w:hAnsi="Arial Narrow" w:cs="Times New Roman"/>
                <w:sz w:val="20"/>
                <w:szCs w:val="20"/>
              </w:rPr>
              <w:t xml:space="preserve"> and the most dominant pattern scored:</w:t>
            </w:r>
          </w:p>
          <w:p w14:paraId="70E444E7" w14:textId="42785F48" w:rsidR="001701A6"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1) subendocardial based </w:t>
            </w:r>
          </w:p>
          <w:p w14:paraId="6FB87E2E" w14:textId="649B1691" w:rsidR="001701A6" w:rsidRDefault="00A474A9" w:rsidP="004C79C1">
            <w:pPr>
              <w:spacing w:before="0" w:after="120" w:line="240" w:lineRule="auto"/>
              <w:ind w:left="125" w:right="-57"/>
              <w:rPr>
                <w:rFonts w:ascii="Arial Narrow" w:hAnsi="Arial Narrow" w:cs="Times New Roman"/>
                <w:b/>
                <w:sz w:val="20"/>
                <w:szCs w:val="20"/>
                <w:lang w:val="en-GB" w:eastAsia="en-US"/>
              </w:rPr>
            </w:pPr>
            <w:r w:rsidRPr="00526FBF">
              <w:rPr>
                <w:rFonts w:ascii="Arial Narrow" w:hAnsi="Arial Narrow" w:cs="Times New Roman"/>
                <w:sz w:val="20"/>
                <w:szCs w:val="20"/>
              </w:rPr>
              <w:t xml:space="preserve">2) mid-wall </w:t>
            </w:r>
          </w:p>
          <w:p w14:paraId="4C158263" w14:textId="00D5962E" w:rsidR="00A474A9" w:rsidRPr="00526FBF" w:rsidRDefault="00A474A9" w:rsidP="004C79C1">
            <w:pPr>
              <w:spacing w:before="0" w:after="120" w:line="240" w:lineRule="auto"/>
              <w:ind w:left="125" w:right="-57"/>
              <w:rPr>
                <w:rFonts w:ascii="Arial Narrow" w:hAnsi="Arial Narrow"/>
                <w:b/>
                <w:sz w:val="20"/>
                <w:lang w:val="en-GB" w:eastAsia="en-US"/>
              </w:rPr>
            </w:pPr>
            <w:r w:rsidRPr="00526FBF">
              <w:rPr>
                <w:rFonts w:ascii="Arial Narrow" w:hAnsi="Arial Narrow" w:cs="Times New Roman"/>
                <w:sz w:val="20"/>
                <w:szCs w:val="20"/>
              </w:rPr>
              <w:t xml:space="preserve">3) </w:t>
            </w:r>
            <w:proofErr w:type="gramStart"/>
            <w:r w:rsidRPr="00526FBF">
              <w:rPr>
                <w:rFonts w:ascii="Arial Narrow" w:hAnsi="Arial Narrow" w:cs="Times New Roman"/>
                <w:sz w:val="20"/>
                <w:szCs w:val="20"/>
              </w:rPr>
              <w:t>subepicardial</w:t>
            </w:r>
            <w:proofErr w:type="gramEnd"/>
            <w:r w:rsidRPr="00526FBF">
              <w:rPr>
                <w:rFonts w:ascii="Arial Narrow" w:hAnsi="Arial Narrow" w:cs="Times New Roman"/>
                <w:sz w:val="20"/>
                <w:szCs w:val="20"/>
              </w:rPr>
              <w:t>.</w:t>
            </w:r>
          </w:p>
        </w:tc>
        <w:tc>
          <w:tcPr>
            <w:tcW w:w="1177" w:type="pct"/>
          </w:tcPr>
          <w:p w14:paraId="7037F9D6" w14:textId="1CEF0F25"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implantations were performed in a standard fashion at a median of 27</w:t>
            </w:r>
            <w:r w:rsidR="00167B2E">
              <w:rPr>
                <w:rFonts w:ascii="Arial Narrow" w:hAnsi="Arial Narrow"/>
                <w:sz w:val="20"/>
              </w:rPr>
              <w:t> </w:t>
            </w:r>
            <w:r w:rsidRPr="00526FBF">
              <w:rPr>
                <w:rFonts w:ascii="Arial Narrow" w:hAnsi="Arial Narrow"/>
                <w:sz w:val="20"/>
              </w:rPr>
              <w:t>days (IQR 8–45) following CMR. ICD devices were programmed to detect VF and VT.</w:t>
            </w:r>
          </w:p>
          <w:p w14:paraId="2E7879D5"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5EE6BA37" w14:textId="1A24CD45"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HR for likelihood of having:</w:t>
            </w:r>
          </w:p>
          <w:p w14:paraId="5482C804" w14:textId="22F6DEA6"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t>SCD or survived SCA</w:t>
            </w:r>
            <w:r w:rsidRPr="00526FBF">
              <w:rPr>
                <w:rFonts w:ascii="Arial Narrow" w:hAnsi="Arial Narrow" w:cs="Arial Narrow"/>
                <w:bCs/>
                <w:sz w:val="20"/>
              </w:rPr>
              <w:br/>
            </w:r>
            <w:r w:rsidR="00167B2E">
              <w:rPr>
                <w:rFonts w:ascii="Arial Narrow" w:hAnsi="Arial Narrow" w:cs="Arial Narrow"/>
                <w:bCs/>
                <w:sz w:val="20"/>
              </w:rPr>
              <w:t>a</w:t>
            </w:r>
            <w:r w:rsidRPr="00526FBF">
              <w:rPr>
                <w:rFonts w:ascii="Arial Narrow" w:hAnsi="Arial Narrow" w:cs="Arial Narrow"/>
                <w:bCs/>
                <w:sz w:val="20"/>
              </w:rPr>
              <w:t>ppropriate ICD discharge</w:t>
            </w:r>
            <w:r w:rsidRPr="00526FBF">
              <w:rPr>
                <w:rFonts w:ascii="Arial Narrow" w:hAnsi="Arial Narrow" w:cs="Arial Narrow"/>
                <w:bCs/>
                <w:sz w:val="20"/>
              </w:rPr>
              <w:br/>
            </w:r>
            <w:r w:rsidR="00167B2E">
              <w:rPr>
                <w:rFonts w:ascii="Arial Narrow" w:hAnsi="Arial Narrow" w:cs="Arial Narrow"/>
                <w:bCs/>
                <w:sz w:val="20"/>
              </w:rPr>
              <w:t>n</w:t>
            </w:r>
            <w:r w:rsidRPr="00526FBF">
              <w:rPr>
                <w:rFonts w:ascii="Arial Narrow" w:hAnsi="Arial Narrow" w:cs="Arial Narrow"/>
                <w:bCs/>
                <w:sz w:val="20"/>
              </w:rPr>
              <w:t>on</w:t>
            </w:r>
            <w:r w:rsidR="008C05B6">
              <w:rPr>
                <w:rFonts w:ascii="Arial Narrow" w:hAnsi="Arial Narrow" w:cs="Arial Narrow"/>
                <w:bCs/>
                <w:sz w:val="20"/>
              </w:rPr>
              <w:t>-</w:t>
            </w:r>
            <w:r w:rsidRPr="00526FBF">
              <w:rPr>
                <w:rFonts w:ascii="Arial Narrow" w:hAnsi="Arial Narrow" w:cs="Arial Narrow"/>
                <w:bCs/>
                <w:sz w:val="20"/>
              </w:rPr>
              <w:t>SCD cardiac death</w:t>
            </w:r>
          </w:p>
          <w:p w14:paraId="38401AD8"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p w14:paraId="78F99B43" w14:textId="315B3238" w:rsidR="003C71AE" w:rsidRPr="00526FBF" w:rsidRDefault="003C71AE" w:rsidP="004C79C1">
            <w:pPr>
              <w:spacing w:before="0" w:after="120" w:line="240" w:lineRule="auto"/>
              <w:ind w:right="-57"/>
              <w:rPr>
                <w:rFonts w:ascii="Arial Narrow" w:hAnsi="Arial Narrow"/>
                <w:sz w:val="20"/>
              </w:rPr>
            </w:pPr>
            <w:r w:rsidRPr="00526FBF">
              <w:rPr>
                <w:rFonts w:ascii="Arial Narrow" w:hAnsi="Arial Narrow"/>
                <w:sz w:val="20"/>
              </w:rPr>
              <w:t>HR f</w:t>
            </w:r>
            <w:r w:rsidR="00571072">
              <w:rPr>
                <w:rFonts w:ascii="Arial Narrow" w:hAnsi="Arial Narrow"/>
                <w:sz w:val="20"/>
              </w:rPr>
              <w:t>or likelihood of having</w:t>
            </w:r>
            <w:r w:rsidRPr="00526FBF">
              <w:rPr>
                <w:rFonts w:ascii="Arial Narrow" w:hAnsi="Arial Narrow"/>
                <w:sz w:val="20"/>
              </w:rPr>
              <w:t>:</w:t>
            </w:r>
          </w:p>
          <w:p w14:paraId="6732A975" w14:textId="73C84444" w:rsidR="003C71AE" w:rsidRDefault="00A474A9" w:rsidP="004C79C1">
            <w:pPr>
              <w:spacing w:before="0" w:after="120" w:line="240" w:lineRule="auto"/>
              <w:ind w:left="118" w:right="-57"/>
              <w:rPr>
                <w:rFonts w:ascii="Arial Narrow" w:hAnsi="Arial Narrow"/>
                <w:sz w:val="20"/>
              </w:rPr>
            </w:pPr>
            <w:r w:rsidRPr="00526FBF">
              <w:rPr>
                <w:rFonts w:ascii="Arial Narrow" w:hAnsi="Arial Narrow"/>
                <w:sz w:val="20"/>
              </w:rPr>
              <w:t xml:space="preserve">SCD or survived SCA </w:t>
            </w:r>
          </w:p>
          <w:p w14:paraId="2F13DF0A" w14:textId="64EFED38" w:rsidR="003C71AE" w:rsidRDefault="00A474A9" w:rsidP="004C79C1">
            <w:pPr>
              <w:spacing w:before="0" w:after="120" w:line="240" w:lineRule="auto"/>
              <w:ind w:left="118" w:right="-57"/>
              <w:rPr>
                <w:rFonts w:ascii="Arial Narrow" w:hAnsi="Arial Narrow"/>
                <w:sz w:val="20"/>
              </w:rPr>
            </w:pPr>
            <w:r w:rsidRPr="00526FBF">
              <w:rPr>
                <w:rFonts w:ascii="Arial Narrow" w:hAnsi="Arial Narrow"/>
                <w:sz w:val="20"/>
              </w:rPr>
              <w:t xml:space="preserve">appropriate ICD discharge </w:t>
            </w:r>
          </w:p>
          <w:p w14:paraId="0E529EB2" w14:textId="53D438A2" w:rsidR="00A474A9" w:rsidRPr="00526FBF" w:rsidRDefault="003C71AE" w:rsidP="004C79C1">
            <w:pPr>
              <w:spacing w:before="0" w:after="120" w:line="240" w:lineRule="auto"/>
              <w:ind w:left="118" w:right="-57"/>
              <w:rPr>
                <w:rFonts w:ascii="Arial Narrow" w:hAnsi="Arial Narrow"/>
                <w:sz w:val="20"/>
              </w:rPr>
            </w:pPr>
            <w:r>
              <w:rPr>
                <w:rFonts w:ascii="Arial Narrow" w:hAnsi="Arial Narrow"/>
                <w:sz w:val="20"/>
              </w:rPr>
              <w:t>c</w:t>
            </w:r>
            <w:r w:rsidR="00A474A9" w:rsidRPr="00526FBF">
              <w:rPr>
                <w:rFonts w:ascii="Arial Narrow" w:hAnsi="Arial Narrow"/>
                <w:sz w:val="20"/>
              </w:rPr>
              <w:t>ardiac death (not SCD)</w:t>
            </w:r>
          </w:p>
          <w:p w14:paraId="129EDE6B"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in NIDCM patients compared with ICM patients</w:t>
            </w:r>
          </w:p>
        </w:tc>
      </w:tr>
      <w:tr w:rsidR="00A474A9" w:rsidRPr="00526FBF" w14:paraId="6C0C42C2" w14:textId="77777777" w:rsidTr="00BE5D7C">
        <w:tc>
          <w:tcPr>
            <w:tcW w:w="391" w:type="pct"/>
          </w:tcPr>
          <w:p w14:paraId="46C0B7B7" w14:textId="4CA2CCFD"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Gulati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fldData xml:space="preserve">PEVuZE5vdGU+PENpdGUgRXhjbHVkZUF1dGg9IjEiPjxBdXRob3I+R3VsYXRpPC9BdXRob3I+PFll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</w:fldData>
              </w:fldChar>
            </w:r>
            <w:r w:rsidR="00187A29">
              <w:rPr>
                <w:rFonts w:ascii="Arial Narrow" w:hAnsi="Arial Narrow" w:cs="Arial Narrow"/>
                <w:bCs/>
                <w:sz w:val="20"/>
                <w:szCs w:val="20"/>
              </w:rPr>
              <w:instrText xml:space="preserve"> ADDIN EN.CITE </w:instrText>
            </w:r>
            <w:r w:rsidR="00187A29">
              <w:rPr>
                <w:rFonts w:ascii="Arial Narrow" w:hAnsi="Arial Narrow" w:cs="Arial Narrow"/>
                <w:bCs/>
                <w:sz w:val="20"/>
                <w:szCs w:val="20"/>
              </w:rPr>
              <w:fldChar w:fldCharType="begin">
                <w:fldData xml:space="preserve">PEVuZE5vdGU+PENpdGUgRXhjbHVkZUF1dGg9IjEiPjxBdXRob3I+R3VsYXRpPC9BdXRob3I+PFll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</w:fldData>
              </w:fldChar>
            </w:r>
            <w:r w:rsidR="00187A29">
              <w:rPr>
                <w:rFonts w:ascii="Arial Narrow" w:hAnsi="Arial Narrow" w:cs="Arial Narrow"/>
                <w:bCs/>
                <w:sz w:val="20"/>
                <w:szCs w:val="20"/>
              </w:rPr>
              <w:instrText xml:space="preserve"> ADDIN EN.CITE.DATA </w:instrText>
            </w:r>
            <w:r w:rsidR="00187A29">
              <w:rPr>
                <w:rFonts w:ascii="Arial Narrow" w:hAnsi="Arial Narrow" w:cs="Arial Narrow"/>
                <w:bCs/>
                <w:sz w:val="20"/>
                <w:szCs w:val="20"/>
              </w:rPr>
            </w:r>
            <w:r w:rsidR="00187A29">
              <w:rPr>
                <w:rFonts w:ascii="Arial Narrow" w:hAnsi="Arial Narrow" w:cs="Arial Narrow"/>
                <w:bCs/>
                <w:sz w:val="20"/>
                <w:szCs w:val="20"/>
              </w:rPr>
              <w:fldChar w:fldCharType="end"/>
            </w:r>
            <w:r w:rsidR="00187A29">
              <w:rPr>
                <w:rFonts w:ascii="Arial Narrow" w:hAnsi="Arial Narrow" w:cs="Arial Narrow"/>
                <w:bCs/>
                <w:sz w:val="20"/>
                <w:szCs w:val="20"/>
              </w:rPr>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47" w:tooltip="Gulati, 2013 #42" w:history="1">
              <w:r w:rsidR="00B906E9">
                <w:rPr>
                  <w:rFonts w:ascii="Arial Narrow" w:hAnsi="Arial Narrow" w:cs="Arial Narrow"/>
                  <w:bCs/>
                  <w:noProof/>
                  <w:sz w:val="20"/>
                  <w:szCs w:val="20"/>
                </w:rPr>
                <w:t>2013</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6A54BC12" w14:textId="77777777" w:rsidR="00A474A9" w:rsidRPr="00526FBF" w:rsidRDefault="00A474A9" w:rsidP="004C79C1">
            <w:pPr>
              <w:spacing w:before="0" w:after="120" w:line="240" w:lineRule="auto"/>
              <w:rPr>
                <w:rFonts w:ascii="Arial Narrow" w:hAnsi="Arial Narrow" w:cs="Arial Narrow"/>
                <w:bCs/>
                <w:sz w:val="20"/>
                <w:szCs w:val="20"/>
              </w:rPr>
            </w:pPr>
          </w:p>
          <w:p w14:paraId="4FC00183"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UK</w:t>
            </w:r>
          </w:p>
        </w:tc>
        <w:tc>
          <w:tcPr>
            <w:tcW w:w="588" w:type="pct"/>
            <w:shd w:val="clear" w:color="auto" w:fill="auto"/>
          </w:tcPr>
          <w:p w14:paraId="1406EBEA"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lastRenderedPageBreak/>
              <w:t>Prospective cohort</w:t>
            </w:r>
            <w:r w:rsidRPr="00526FBF">
              <w:rPr>
                <w:rFonts w:ascii="Arial Narrow" w:hAnsi="Arial Narrow" w:cs="Arial Narrow"/>
                <w:bCs/>
                <w:sz w:val="20"/>
              </w:rPr>
              <w:t xml:space="preserve"> </w:t>
            </w:r>
          </w:p>
          <w:p w14:paraId="68952402" w14:textId="77777777" w:rsidR="00A474A9" w:rsidRPr="00526FBF" w:rsidRDefault="00A474A9" w:rsidP="004C79C1">
            <w:pPr>
              <w:spacing w:before="0" w:after="120" w:line="240" w:lineRule="auto"/>
              <w:rPr>
                <w:rFonts w:ascii="Arial Narrow" w:hAnsi="Arial Narrow" w:cs="Arial Narrow"/>
                <w:bCs/>
                <w:sz w:val="20"/>
              </w:rPr>
            </w:pPr>
          </w:p>
          <w:p w14:paraId="3C933CD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7790DA77" w14:textId="77777777" w:rsidR="00A474A9" w:rsidRPr="00526FBF" w:rsidRDefault="00A474A9" w:rsidP="004C79C1">
            <w:pPr>
              <w:spacing w:before="0" w:after="120" w:line="240" w:lineRule="auto"/>
              <w:rPr>
                <w:rFonts w:ascii="Arial Narrow" w:hAnsi="Arial Narrow" w:cs="Arial Narrow"/>
                <w:bCs/>
                <w:sz w:val="20"/>
              </w:rPr>
            </w:pPr>
          </w:p>
          <w:p w14:paraId="0B19FE7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7F430E96"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N=472 consecutive patients with DCM confirmed by CMR</w:t>
            </w:r>
          </w:p>
          <w:p w14:paraId="4A939304" w14:textId="766F71EE" w:rsidR="00A474A9" w:rsidRPr="00526FBF" w:rsidRDefault="00A474A9" w:rsidP="004C79C1">
            <w:pPr>
              <w:spacing w:before="0" w:after="120" w:line="240" w:lineRule="auto"/>
              <w:rPr>
                <w:rFonts w:ascii="Arial Narrow" w:hAnsi="Arial Narrow" w:cs="Arial Narrow"/>
                <w:b/>
                <w:bCs/>
                <w:sz w:val="20"/>
                <w:szCs w:val="20"/>
              </w:rPr>
            </w:pPr>
            <w:r w:rsidRPr="00526FBF">
              <w:rPr>
                <w:rFonts w:ascii="Arial Narrow" w:hAnsi="Arial Narrow" w:cs="Arial Narrow"/>
                <w:b/>
                <w:bCs/>
                <w:sz w:val="20"/>
                <w:szCs w:val="20"/>
              </w:rPr>
              <w:lastRenderedPageBreak/>
              <w:t xml:space="preserve">Includes Assomull et al. </w:t>
            </w:r>
            <w:r w:rsidR="00187A29">
              <w:rPr>
                <w:rFonts w:ascii="Arial Narrow" w:hAnsi="Arial Narrow" w:cs="Arial Narrow"/>
                <w:b/>
                <w:bCs/>
                <w:sz w:val="20"/>
                <w:szCs w:val="20"/>
              </w:rPr>
              <w:fldChar w:fldCharType="begin"/>
            </w:r>
            <w:r w:rsidR="00187A29">
              <w:rPr>
                <w:rFonts w:ascii="Arial Narrow" w:hAnsi="Arial Narrow" w:cs="Arial Narrow"/>
                <w:b/>
                <w:bCs/>
                <w:sz w:val="20"/>
                <w:szCs w:val="20"/>
              </w:rPr>
              <w:instrText xml:space="preserve"> ADDIN EN.CITE &lt;EndNote&gt;&lt;Cite ExcludeAuth="1"&gt;&lt;Author&gt;Assomull&lt;/Author&gt;&lt;Year&gt;2006&lt;/Year&gt;&lt;RecNum&gt;71&lt;/RecNum&gt;&lt;DisplayText&gt;(2006)&lt;/DisplayText&gt;&lt;record&gt;&lt;rec-number&gt;71&lt;/rec-number&gt;&lt;foreign-keys&gt;&lt;key app="EN" db-id="pfxxvref0t0a5de2vwnv2fwkz0p9v0r2fw0t" timestamp="1458109466"&gt;71&lt;/key&gt;&lt;/foreign-keys&gt;&lt;ref-type name="Journal Article"&gt;17&lt;/ref-type&gt;&lt;contributors&gt;&lt;authors&gt;&lt;author&gt;Assomull, Ravi G.&lt;/author&gt;&lt;author&gt;Prasad, Sanjay K.&lt;/author&gt;&lt;author&gt;Lyne, Jonathan&lt;/author&gt;&lt;author&gt;Smith, Gillian&lt;/author&gt;&lt;author&gt;Burman, Elizabeth D.&lt;/author&gt;&lt;author&gt;Khan, Mohammed&lt;/author&gt;&lt;author&gt;Sheppard, Mary N.&lt;/author&gt;&lt;author&gt;Poole-Wilson, Philip A.&lt;/author&gt;&lt;author&gt;Pennell, Dudley J.&lt;/author&gt;&lt;/authors&gt;&lt;/contributors&gt;&lt;titles&gt;&lt;title&gt;Cardiovascular Magnetic Resonance, Fibrosis, and Prognosis in Dilated Cardiomyopathy&lt;/title&gt;&lt;secondary-title&gt;Journal of the American College of Cardiology&lt;/secondary-title&gt;&lt;/titles&gt;&lt;periodical&gt;&lt;full-title&gt;Journal of the American College of Cardiology&lt;/full-title&gt;&lt;/periodical&gt;&lt;pages&gt;1977-1985&lt;/pages&gt;&lt;volume&gt;48&lt;/volume&gt;&lt;number&gt;10&lt;/number&gt;&lt;dates&gt;&lt;year&gt;2006&lt;/year&gt;&lt;pub-dates&gt;&lt;date&gt;11/21/&lt;/date&gt;&lt;/pub-dates&gt;&lt;/dates&gt;&lt;isbn&gt;0735-1097&lt;/isbn&gt;&lt;urls&gt;&lt;related-urls&gt;&lt;url&gt;http://www.sciencedirect.com/science/article/pii/S0735109706021115&lt;/url&gt;&lt;url&gt;http://ac.els-cdn.com/S0735109706021115/1-s2.0-S0735109706021115-main.pdf?_tid=b28f172c-c889-11e5-99b6-00000aacb35d&amp;amp;acdnat=1454293123_147e3db6ca91c2c67c29f05affaba6b0&lt;/url&gt;&lt;/related-urls&gt;&lt;/urls&gt;&lt;electronic-resource-num&gt;http://dx.doi.org/10.1016/j.jacc.2006.07.049&lt;/electronic-resource-num&gt;&lt;/record&gt;&lt;/Cite&gt;&lt;/EndNote&gt;</w:instrText>
            </w:r>
            <w:r w:rsidR="00187A29">
              <w:rPr>
                <w:rFonts w:ascii="Arial Narrow" w:hAnsi="Arial Narrow" w:cs="Arial Narrow"/>
                <w:b/>
                <w:bCs/>
                <w:sz w:val="20"/>
                <w:szCs w:val="20"/>
              </w:rPr>
              <w:fldChar w:fldCharType="separate"/>
            </w:r>
            <w:r w:rsidR="00187A29">
              <w:rPr>
                <w:rFonts w:ascii="Arial Narrow" w:hAnsi="Arial Narrow" w:cs="Arial Narrow"/>
                <w:b/>
                <w:bCs/>
                <w:noProof/>
                <w:sz w:val="20"/>
                <w:szCs w:val="20"/>
              </w:rPr>
              <w:t>(</w:t>
            </w:r>
            <w:hyperlink w:anchor="_ENREF_7" w:tooltip="Assomull, 2006 #71" w:history="1">
              <w:r w:rsidR="00B906E9">
                <w:rPr>
                  <w:rFonts w:ascii="Arial Narrow" w:hAnsi="Arial Narrow" w:cs="Arial Narrow"/>
                  <w:b/>
                  <w:bCs/>
                  <w:noProof/>
                  <w:sz w:val="20"/>
                  <w:szCs w:val="20"/>
                </w:rPr>
                <w:t>2006</w:t>
              </w:r>
            </w:hyperlink>
            <w:r w:rsidR="00187A29">
              <w:rPr>
                <w:rFonts w:ascii="Arial Narrow" w:hAnsi="Arial Narrow" w:cs="Arial Narrow"/>
                <w:b/>
                <w:bCs/>
                <w:noProof/>
                <w:sz w:val="20"/>
                <w:szCs w:val="20"/>
              </w:rPr>
              <w:t>)</w:t>
            </w:r>
            <w:r w:rsidR="00187A29">
              <w:rPr>
                <w:rFonts w:ascii="Arial Narrow" w:hAnsi="Arial Narrow" w:cs="Arial Narrow"/>
                <w:b/>
                <w:bCs/>
                <w:sz w:val="20"/>
                <w:szCs w:val="20"/>
              </w:rPr>
              <w:fldChar w:fldCharType="end"/>
            </w:r>
            <w:r>
              <w:rPr>
                <w:rFonts w:ascii="Arial Narrow" w:hAnsi="Arial Narrow" w:cs="Arial Narrow"/>
                <w:b/>
                <w:bCs/>
                <w:sz w:val="20"/>
                <w:szCs w:val="20"/>
              </w:rPr>
              <w:t xml:space="preserve"> </w:t>
            </w:r>
            <w:r w:rsidRPr="00526FBF">
              <w:rPr>
                <w:rFonts w:ascii="Arial Narrow" w:hAnsi="Arial Narrow" w:cs="Arial Narrow"/>
                <w:b/>
                <w:bCs/>
                <w:sz w:val="20"/>
                <w:szCs w:val="20"/>
              </w:rPr>
              <w:t>cohort of 101 patients with extended follow-up</w:t>
            </w:r>
            <w:r w:rsidR="006D0CC8">
              <w:rPr>
                <w:rFonts w:ascii="Arial Narrow" w:hAnsi="Arial Narrow" w:cs="Arial Narrow"/>
                <w:b/>
                <w:bCs/>
                <w:sz w:val="20"/>
                <w:szCs w:val="20"/>
              </w:rPr>
              <w:t>:</w:t>
            </w:r>
          </w:p>
          <w:p w14:paraId="1A7BEA7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n=142 (30%) LGE+</w:t>
            </w:r>
            <w:r w:rsidRPr="00526FBF">
              <w:rPr>
                <w:rFonts w:ascii="Arial Narrow" w:hAnsi="Arial Narrow" w:cs="Arial Narrow"/>
                <w:bCs/>
                <w:sz w:val="20"/>
              </w:rPr>
              <w:br/>
              <w:t>n=330 (70%) LGE–</w:t>
            </w:r>
          </w:p>
          <w:p w14:paraId="0F696CE9" w14:textId="77777777" w:rsidR="008D2E42"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1144F290" w14:textId="77777777" w:rsidR="008D2E4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51.5 ± 14.7 years; </w:t>
            </w:r>
          </w:p>
          <w:p w14:paraId="1347E94A" w14:textId="77777777" w:rsidR="008D2E4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69%; </w:t>
            </w:r>
          </w:p>
          <w:p w14:paraId="0AC8DE86" w14:textId="77777777" w:rsidR="008D2E4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history of VF or sustained VT = 5%; </w:t>
            </w:r>
          </w:p>
          <w:p w14:paraId="37287EA6" w14:textId="5C1C727F" w:rsidR="008D2E4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history of AF = 17%; </w:t>
            </w:r>
          </w:p>
          <w:p w14:paraId="43206C0F" w14:textId="77777777" w:rsidR="008D2E4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family history of DCM = 8%;</w:t>
            </w:r>
          </w:p>
          <w:p w14:paraId="6560EAB7" w14:textId="4A6162C1" w:rsidR="008D2E42"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LBBB = 27%; </w:t>
            </w:r>
          </w:p>
          <w:p w14:paraId="7186E85A" w14:textId="77777777" w:rsidR="007529C0"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26 ± 7%;</w:t>
            </w:r>
          </w:p>
          <w:p w14:paraId="3009E49E" w14:textId="4A94ABF9" w:rsidR="002E46E5" w:rsidRDefault="007529C0" w:rsidP="004C79C1">
            <w:pPr>
              <w:spacing w:before="0" w:after="120" w:line="240" w:lineRule="auto"/>
              <w:ind w:left="58"/>
              <w:rPr>
                <w:rFonts w:ascii="Arial Narrow" w:hAnsi="Arial Narrow" w:cs="Arial Narrow"/>
                <w:b/>
                <w:bCs/>
                <w:sz w:val="20"/>
                <w:lang w:val="en-GB" w:eastAsia="en-US"/>
              </w:rPr>
            </w:pPr>
            <w:r>
              <w:rPr>
                <w:rFonts w:ascii="Arial Narrow" w:hAnsi="Arial Narrow" w:cs="Arial Narrow"/>
                <w:bCs/>
                <w:sz w:val="20"/>
              </w:rPr>
              <w:t>i</w:t>
            </w:r>
            <w:r w:rsidR="00A474A9" w:rsidRPr="00526FBF">
              <w:rPr>
                <w:rFonts w:ascii="Arial Narrow" w:hAnsi="Arial Narrow" w:cs="Arial Narrow"/>
                <w:bCs/>
                <w:sz w:val="20"/>
              </w:rPr>
              <w:t>mplantation of: ICD = 7%, CRT-P = 13%</w:t>
            </w:r>
            <w:r w:rsidR="002E46E5">
              <w:rPr>
                <w:rFonts w:ascii="Arial Narrow" w:hAnsi="Arial Narrow" w:cs="Arial Narrow"/>
                <w:bCs/>
                <w:sz w:val="20"/>
              </w:rPr>
              <w:t>;</w:t>
            </w:r>
            <w:r w:rsidR="00A474A9" w:rsidRPr="00526FBF">
              <w:rPr>
                <w:rFonts w:ascii="Arial Narrow" w:hAnsi="Arial Narrow" w:cs="Arial Narrow"/>
                <w:bCs/>
                <w:sz w:val="20"/>
              </w:rPr>
              <w:t xml:space="preserve"> </w:t>
            </w:r>
          </w:p>
          <w:p w14:paraId="0F45B989" w14:textId="06945074" w:rsidR="007529C0"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CRT-D = 13%;</w:t>
            </w:r>
          </w:p>
          <w:p w14:paraId="6146E930" w14:textId="44965702" w:rsidR="007529C0"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NYHA class I = 41%, II = 37%, III = 20%, IV = 2%;</w:t>
            </w:r>
          </w:p>
          <w:p w14:paraId="1EDF24FC" w14:textId="6B915F30" w:rsidR="00A474A9" w:rsidRPr="00526FB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medications: ACE inhibitor = 91%, </w:t>
            </w:r>
            <w:r w:rsidR="007529C0" w:rsidRPr="00257ED7">
              <w:rPr>
                <w:rFonts w:ascii="Arial Narrow" w:hAnsi="Arial Narrow" w:cs="Arial Narrow"/>
                <w:bCs/>
                <w:sz w:val="20"/>
              </w:rPr>
              <w:sym w:font="Symbol" w:char="F062"/>
            </w:r>
            <w:r w:rsidRPr="00526FBF">
              <w:rPr>
                <w:rFonts w:ascii="Arial Narrow" w:hAnsi="Arial Narrow" w:cs="Arial Narrow"/>
                <w:bCs/>
                <w:sz w:val="20"/>
              </w:rPr>
              <w:t>-blockers = 68%</w:t>
            </w:r>
          </w:p>
          <w:p w14:paraId="719AA924" w14:textId="42FDAE45" w:rsidR="00A474A9" w:rsidRPr="00526FBF" w:rsidRDefault="00A474A9" w:rsidP="004C79C1">
            <w:pPr>
              <w:tabs>
                <w:tab w:val="left" w:pos="1168"/>
              </w:tabs>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5.3</w:t>
            </w:r>
            <w:r w:rsidR="007529C0">
              <w:rPr>
                <w:rFonts w:ascii="Arial Narrow" w:hAnsi="Arial Narrow" w:cs="Arial Narrow"/>
                <w:bCs/>
                <w:sz w:val="20"/>
              </w:rPr>
              <w:t> </w:t>
            </w:r>
            <w:r w:rsidRPr="00526FBF">
              <w:rPr>
                <w:rFonts w:ascii="Arial Narrow" w:hAnsi="Arial Narrow" w:cs="Arial Narrow"/>
                <w:bCs/>
                <w:sz w:val="20"/>
              </w:rPr>
              <w:t>years</w:t>
            </w:r>
            <w:r w:rsidRPr="00526FBF">
              <w:rPr>
                <w:sz w:val="24"/>
              </w:rPr>
              <w:t xml:space="preserve"> </w:t>
            </w:r>
            <w:r w:rsidRPr="00526FBF">
              <w:rPr>
                <w:rFonts w:ascii="Arial Narrow" w:hAnsi="Arial Narrow" w:cs="Arial Narrow"/>
                <w:bCs/>
                <w:sz w:val="20"/>
              </w:rPr>
              <w:t>(range 31 days to 11.0 years; 2</w:t>
            </w:r>
            <w:r w:rsidR="00F90C66">
              <w:rPr>
                <w:rFonts w:ascii="Arial Narrow" w:hAnsi="Arial Narrow" w:cs="Arial Narrow"/>
                <w:bCs/>
                <w:sz w:val="20"/>
              </w:rPr>
              <w:t>,</w:t>
            </w:r>
            <w:r w:rsidRPr="00526FBF">
              <w:rPr>
                <w:rFonts w:ascii="Arial Narrow" w:hAnsi="Arial Narrow" w:cs="Arial Narrow"/>
                <w:bCs/>
                <w:sz w:val="20"/>
              </w:rPr>
              <w:t>557 patient-years)</w:t>
            </w:r>
          </w:p>
        </w:tc>
        <w:tc>
          <w:tcPr>
            <w:tcW w:w="882" w:type="pct"/>
          </w:tcPr>
          <w:p w14:paraId="5557C2DD" w14:textId="1A650CA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w:t>
            </w:r>
            <w:r w:rsidRPr="00526FBF">
              <w:rPr>
                <w:rFonts w:ascii="Arial Narrow" w:hAnsi="Arial Narrow" w:cs="Arial Narrow"/>
                <w:bCs/>
                <w:sz w:val="20"/>
                <w:szCs w:val="20"/>
              </w:rPr>
              <w:t>patients with DCM of at least 6</w:t>
            </w:r>
            <w:r w:rsidR="00F90C66">
              <w:rPr>
                <w:rFonts w:ascii="Arial Narrow" w:hAnsi="Arial Narrow" w:cs="Arial Narrow"/>
                <w:bCs/>
                <w:sz w:val="20"/>
                <w:szCs w:val="20"/>
              </w:rPr>
              <w:t> </w:t>
            </w:r>
            <w:r w:rsidRPr="00526FBF">
              <w:rPr>
                <w:rFonts w:ascii="Arial Narrow" w:hAnsi="Arial Narrow" w:cs="Arial Narrow"/>
                <w:bCs/>
                <w:sz w:val="20"/>
                <w:szCs w:val="20"/>
              </w:rPr>
              <w:t xml:space="preserve">months’ duration and </w:t>
            </w:r>
            <w:r w:rsidRPr="00526FBF">
              <w:rPr>
                <w:rFonts w:ascii="Arial Narrow" w:hAnsi="Arial Narrow" w:cs="Arial Narrow"/>
                <w:bCs/>
                <w:sz w:val="20"/>
                <w:szCs w:val="20"/>
              </w:rPr>
              <w:lastRenderedPageBreak/>
              <w:t>confirmed by CMR prior to inclusion. Confirmation on the basis of (1) increased LV end-diastolic volume indexed to body surface area and reduced LVEF; and (2) absence of subendocardial LGE indicative of previous MI</w:t>
            </w:r>
          </w:p>
          <w:p w14:paraId="22DB6AA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Not reported</w:t>
            </w:r>
          </w:p>
        </w:tc>
        <w:tc>
          <w:tcPr>
            <w:tcW w:w="1030" w:type="pct"/>
          </w:tcPr>
          <w:p w14:paraId="5696943A" w14:textId="31A4155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w:t>
            </w:r>
            <w:r w:rsidRPr="00526FBF">
              <w:rPr>
                <w:sz w:val="24"/>
              </w:rPr>
              <w:t xml:space="preserve"> </w:t>
            </w:r>
            <w:r w:rsidRPr="00526FBF">
              <w:rPr>
                <w:rFonts w:ascii="Arial Narrow" w:hAnsi="Arial Narrow" w:cs="Times New Roman"/>
                <w:sz w:val="20"/>
                <w:szCs w:val="20"/>
              </w:rPr>
              <w:t>and a standardi</w:t>
            </w:r>
            <w:r w:rsidR="008D2E42">
              <w:rPr>
                <w:rFonts w:ascii="Arial Narrow" w:hAnsi="Arial Narrow" w:cs="Times New Roman"/>
                <w:sz w:val="20"/>
                <w:szCs w:val="20"/>
              </w:rPr>
              <w:t>s</w:t>
            </w:r>
            <w:r w:rsidRPr="00526FBF">
              <w:rPr>
                <w:rFonts w:ascii="Arial Narrow" w:hAnsi="Arial Narrow" w:cs="Times New Roman"/>
                <w:sz w:val="20"/>
                <w:szCs w:val="20"/>
              </w:rPr>
              <w:t>ed protocol</w:t>
            </w:r>
          </w:p>
          <w:p w14:paraId="69C16AEE"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images were acquired with a steady-state, free-precession sequence in long-axis planes and contiguous short-axis slices.</w:t>
            </w:r>
          </w:p>
          <w:p w14:paraId="3C3021F3" w14:textId="7ED3E2A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gradient</w:t>
            </w:r>
            <w:r w:rsidR="002151C2">
              <w:rPr>
                <w:rFonts w:ascii="Arial Narrow" w:hAnsi="Arial Narrow" w:cs="Times New Roman"/>
                <w:sz w:val="20"/>
                <w:szCs w:val="20"/>
              </w:rPr>
              <w:t>-</w:t>
            </w:r>
            <w:r w:rsidRPr="00526FBF">
              <w:rPr>
                <w:rFonts w:ascii="Arial Narrow" w:hAnsi="Arial Narrow" w:cs="Times New Roman"/>
                <w:sz w:val="20"/>
                <w:szCs w:val="20"/>
              </w:rPr>
              <w:t>echo sequence</w:t>
            </w:r>
          </w:p>
          <w:p w14:paraId="1D9339ED" w14:textId="21AA188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w:t>
            </w:r>
            <w:r w:rsidR="002151C2">
              <w:rPr>
                <w:rFonts w:ascii="Arial Narrow" w:hAnsi="Arial Narrow" w:cs="Times New Roman"/>
                <w:sz w:val="20"/>
                <w:szCs w:val="20"/>
              </w:rPr>
              <w:t> </w:t>
            </w:r>
            <w:r w:rsidRPr="00526FBF">
              <w:rPr>
                <w:rFonts w:ascii="Arial Narrow" w:hAnsi="Arial Narrow" w:cs="Times New Roman"/>
                <w:sz w:val="20"/>
                <w:szCs w:val="20"/>
              </w:rPr>
              <w:t>mmol/kg gadopentetate dimeglumine or gadobutrol</w:t>
            </w:r>
          </w:p>
          <w:p w14:paraId="3421F9F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16801DE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volumes, LVEF, and mass were measured using dedicated software. The values for LV volume and mass were indexed by body surface area.</w:t>
            </w:r>
          </w:p>
          <w:p w14:paraId="4C08DDB8" w14:textId="5EECD5C0"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and location of mid-wall fibrosis were assessed by 2 independent expert readers who were blinded to all </w:t>
            </w:r>
            <w:r w:rsidR="00783817">
              <w:rPr>
                <w:rFonts w:ascii="Arial Narrow" w:hAnsi="Arial Narrow" w:cs="Times New Roman"/>
                <w:sz w:val="20"/>
                <w:szCs w:val="20"/>
              </w:rPr>
              <w:t>available diagnostic data</w:t>
            </w:r>
            <w:r w:rsidRPr="00526FBF">
              <w:rPr>
                <w:rFonts w:ascii="Arial Narrow" w:hAnsi="Arial Narrow" w:cs="Times New Roman"/>
                <w:sz w:val="20"/>
                <w:szCs w:val="20"/>
              </w:rPr>
              <w:t>.</w:t>
            </w:r>
            <w:r w:rsidRPr="00526FBF">
              <w:rPr>
                <w:sz w:val="24"/>
              </w:rPr>
              <w:t xml:space="preserve"> </w:t>
            </w:r>
            <w:r w:rsidRPr="00526FBF">
              <w:rPr>
                <w:rFonts w:ascii="Arial Narrow" w:hAnsi="Arial Narrow" w:cs="Times New Roman"/>
                <w:sz w:val="20"/>
                <w:szCs w:val="20"/>
              </w:rPr>
              <w:t xml:space="preserve">Mid-wall fibrosis was only considered present if the area of enhancement was confined to intramural and/or subepicardial layers and the extent of mid-wall fibrosis </w:t>
            </w:r>
            <w:proofErr w:type="gramStart"/>
            <w:r w:rsidRPr="00526FBF">
              <w:rPr>
                <w:rFonts w:ascii="Arial Narrow" w:hAnsi="Arial Narrow" w:cs="Times New Roman"/>
                <w:sz w:val="20"/>
                <w:szCs w:val="20"/>
              </w:rPr>
              <w:t>was</w:t>
            </w:r>
            <w:proofErr w:type="gramEnd"/>
            <w:r w:rsidRPr="00526FBF">
              <w:rPr>
                <w:rFonts w:ascii="Arial Narrow" w:hAnsi="Arial Narrow" w:cs="Times New Roman"/>
                <w:sz w:val="20"/>
                <w:szCs w:val="20"/>
              </w:rPr>
              <w:t xml:space="preserve"> quantified</w:t>
            </w:r>
            <w:r w:rsidR="00EB40B5">
              <w:rPr>
                <w:rFonts w:ascii="Arial Narrow" w:hAnsi="Arial Narrow" w:cs="Times New Roman"/>
                <w:sz w:val="20"/>
                <w:szCs w:val="20"/>
              </w:rPr>
              <w:t>.</w:t>
            </w:r>
          </w:p>
        </w:tc>
        <w:tc>
          <w:tcPr>
            <w:tcW w:w="1177" w:type="pct"/>
          </w:tcPr>
          <w:p w14:paraId="0B2EC6C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1C8C2EC3"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48EAB559" w14:textId="4376909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lastRenderedPageBreak/>
              <w:t>HR for likelihood of having:</w:t>
            </w:r>
          </w:p>
          <w:p w14:paraId="6F3BEE3F" w14:textId="2706B418" w:rsidR="00A474A9" w:rsidRPr="00526FBF" w:rsidRDefault="00EB40B5" w:rsidP="004C79C1">
            <w:pPr>
              <w:spacing w:before="0" w:after="120" w:line="240" w:lineRule="auto"/>
              <w:ind w:left="118" w:right="-57"/>
              <w:rPr>
                <w:rFonts w:ascii="Arial Narrow" w:hAnsi="Arial Narrow" w:cs="Arial Narrow"/>
                <w:bCs/>
                <w:sz w:val="20"/>
              </w:rPr>
            </w:pPr>
            <w:r>
              <w:rPr>
                <w:rFonts w:ascii="Arial Narrow" w:hAnsi="Arial Narrow"/>
                <w:sz w:val="20"/>
              </w:rPr>
              <w:t>a</w:t>
            </w:r>
            <w:r w:rsidR="00A474A9" w:rsidRPr="00526FBF">
              <w:rPr>
                <w:rFonts w:ascii="Arial Narrow" w:hAnsi="Arial Narrow"/>
                <w:sz w:val="20"/>
              </w:rPr>
              <w:t>ll-cause mortality</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death</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transplantation</w:t>
            </w:r>
            <w:r w:rsidR="00A474A9" w:rsidRPr="00526FBF">
              <w:rPr>
                <w:rFonts w:ascii="Arial Narrow" w:hAnsi="Arial Narrow"/>
                <w:sz w:val="20"/>
              </w:rPr>
              <w:br/>
              <w:t>SCD</w:t>
            </w:r>
            <w:r w:rsidR="00A474A9" w:rsidRPr="00526FBF">
              <w:rPr>
                <w:rFonts w:ascii="Arial Narrow" w:hAnsi="Arial Narrow" w:cs="Arial Narrow"/>
                <w:bCs/>
                <w:sz w:val="20"/>
              </w:rPr>
              <w:br/>
            </w:r>
            <w:r>
              <w:rPr>
                <w:rFonts w:ascii="Arial Narrow" w:hAnsi="Arial Narrow" w:cs="Arial Narrow"/>
                <w:bCs/>
                <w:sz w:val="20"/>
              </w:rPr>
              <w:t>a</w:t>
            </w:r>
            <w:r w:rsidR="00A474A9" w:rsidRPr="00526FBF">
              <w:rPr>
                <w:rFonts w:ascii="Arial Narrow" w:hAnsi="Arial Narrow" w:cs="Arial Narrow"/>
                <w:bCs/>
                <w:sz w:val="20"/>
              </w:rPr>
              <w:t>borted SCD or appropriate ICD discharge</w:t>
            </w:r>
            <w:r w:rsidR="00A474A9" w:rsidRPr="00526FBF">
              <w:rPr>
                <w:rFonts w:ascii="Arial Narrow" w:hAnsi="Arial Narrow" w:cs="Arial Narrow"/>
                <w:bCs/>
                <w:sz w:val="20"/>
              </w:rPr>
              <w:br/>
              <w:t>HF death</w:t>
            </w:r>
            <w:r w:rsidR="00A474A9" w:rsidRPr="00526FBF">
              <w:rPr>
                <w:rFonts w:ascii="Arial Narrow" w:hAnsi="Arial Narrow" w:cs="Arial Narrow"/>
                <w:bCs/>
                <w:sz w:val="20"/>
              </w:rPr>
              <w:br/>
            </w:r>
            <w:r w:rsidR="00EE3404">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CHF</w:t>
            </w:r>
          </w:p>
          <w:p w14:paraId="692FDBB3"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49F34DB8" w14:textId="77777777" w:rsidTr="00BE5D7C">
        <w:tc>
          <w:tcPr>
            <w:tcW w:w="391" w:type="pct"/>
          </w:tcPr>
          <w:p w14:paraId="2D69F96C" w14:textId="343063FB"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Hombach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ExcludeAuth="1"&gt;&lt;Author&gt;Hombach&lt;/Author&gt;&lt;Year&gt;2009&lt;/Year&gt;&lt;RecNum&gt;43&lt;/RecNum&gt;&lt;DisplayText&gt;(2009)&lt;/DisplayText&gt;&lt;record&gt;&lt;rec-number&gt;43&lt;/rec-number&gt;&lt;foreign-keys&gt;&lt;key app="EN" db-id="pfxxvref0t0a5de2vwnv2fwkz0p9v0r2fw0t" timestamp="1458109049"&gt;43&lt;/key&gt;&lt;/foreign-keys&gt;&lt;ref-type name="Journal Article"&gt;17&lt;/ref-type&gt;&lt;contributors&gt;&lt;authors&gt;&lt;author&gt;Hombach, V.&lt;/author&gt;&lt;author&gt;Merkle, N.&lt;/author&gt;&lt;author&gt;Torzewski, J.&lt;/author&gt;&lt;author&gt;Kraus, J. M.&lt;/author&gt;&lt;author&gt;Kunze, M.&lt;/author&gt;&lt;author&gt;Zimmermann, O.&lt;/author&gt;&lt;author&gt;Kestler, H. A.&lt;/author&gt;&lt;author&gt;Wohrle, J.&lt;/author&gt;&lt;/authors&gt;&lt;/contributors&gt;&lt;titles&gt;&lt;title&gt;Electrocardiographic and cardiac magnetic resonance imaging parameters as predictors of a worse outcome in patients with idiopathic dilated cardiomyopathy&lt;/title&gt;&lt;secondary-title&gt;European Heart Journal&lt;/secondary-title&gt;&lt;/titles&gt;&lt;periodical&gt;&lt;full-title&gt;European Heart Journal&lt;/full-title&gt;&lt;/periodical&gt;&lt;pages&gt;2011-8&lt;/pages&gt;&lt;volume&gt;30&lt;/volume&gt;&lt;number&gt;16&lt;/number&gt;&lt;dates&gt;&lt;year&gt;2009&lt;/year&gt;&lt;pub-dates&gt;&lt;date&gt;2009-01-01&lt;/date&gt;&lt;/pub-dates&gt;&lt;/dates&gt;&lt;isbn&gt;0195-668x&lt;/isbn&gt;&lt;urls&gt;&lt;related-urls&gt;&lt;url&gt;http://www.ncbi.nlm.nih.gov/pmc/articles/PMC2726960/pdf/ehp293.pdf&lt;/url&gt;&lt;/related-urls&gt;&lt;/urls&gt;&lt;custom1&gt;RAYYAN-INCLUSION: {&amp;quot;Sharon&amp;quot;=&amp;gt;true}&lt;/custom1&gt;&lt;research-notes&gt;High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52" w:tooltip="Hombach, 2009 #43" w:history="1">
              <w:r w:rsidR="00B906E9">
                <w:rPr>
                  <w:rFonts w:ascii="Arial Narrow" w:hAnsi="Arial Narrow" w:cs="Arial Narrow"/>
                  <w:bCs/>
                  <w:noProof/>
                  <w:sz w:val="20"/>
                  <w:szCs w:val="20"/>
                </w:rPr>
                <w:t>2009</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55928245" w14:textId="77777777" w:rsidR="00A474A9" w:rsidRPr="00526FBF" w:rsidRDefault="00A474A9" w:rsidP="004C79C1">
            <w:pPr>
              <w:spacing w:before="0" w:after="120" w:line="240" w:lineRule="auto"/>
              <w:rPr>
                <w:rFonts w:ascii="Arial Narrow" w:hAnsi="Arial Narrow" w:cs="Arial Narrow"/>
                <w:bCs/>
                <w:sz w:val="20"/>
                <w:szCs w:val="20"/>
              </w:rPr>
            </w:pPr>
          </w:p>
          <w:p w14:paraId="709C6954"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Germany</w:t>
            </w:r>
          </w:p>
        </w:tc>
        <w:tc>
          <w:tcPr>
            <w:tcW w:w="588" w:type="pct"/>
            <w:shd w:val="clear" w:color="auto" w:fill="auto"/>
          </w:tcPr>
          <w:p w14:paraId="3B81BAA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7AE31566" w14:textId="77777777" w:rsidR="00A474A9" w:rsidRPr="00526FBF" w:rsidRDefault="00A474A9" w:rsidP="004C79C1">
            <w:pPr>
              <w:spacing w:before="0" w:after="120" w:line="240" w:lineRule="auto"/>
              <w:rPr>
                <w:rFonts w:ascii="Arial Narrow" w:hAnsi="Arial Narrow" w:cs="Arial Narrow"/>
                <w:bCs/>
                <w:sz w:val="20"/>
              </w:rPr>
            </w:pPr>
          </w:p>
          <w:p w14:paraId="74B8DDBE"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731FAD3E" w14:textId="77777777" w:rsidR="00A474A9" w:rsidRPr="00526FBF" w:rsidRDefault="00A474A9" w:rsidP="004C79C1">
            <w:pPr>
              <w:spacing w:before="0" w:after="120" w:line="240" w:lineRule="auto"/>
              <w:rPr>
                <w:rFonts w:ascii="Arial Narrow" w:hAnsi="Arial Narrow" w:cs="Arial Narrow"/>
                <w:bCs/>
                <w:sz w:val="20"/>
              </w:rPr>
            </w:pPr>
          </w:p>
          <w:p w14:paraId="21462108"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1A6DECFA" w14:textId="2C72A755"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N=141 consecutive patients with idiopathic DCM</w:t>
            </w:r>
            <w:r w:rsidR="006D0CC8">
              <w:rPr>
                <w:rFonts w:ascii="Arial Narrow" w:hAnsi="Arial Narrow" w:cs="Arial Narrow"/>
                <w:bCs/>
                <w:sz w:val="20"/>
                <w:szCs w:val="20"/>
              </w:rPr>
              <w:t>:</w:t>
            </w:r>
          </w:p>
          <w:p w14:paraId="0628E7B9"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n=36 (26%) LGE+</w:t>
            </w:r>
            <w:r w:rsidRPr="00526FBF">
              <w:rPr>
                <w:rFonts w:ascii="Arial Narrow" w:hAnsi="Arial Narrow" w:cs="Arial Narrow"/>
                <w:bCs/>
                <w:sz w:val="20"/>
              </w:rPr>
              <w:br/>
              <w:t>n=105 (73%) LGE–</w:t>
            </w:r>
          </w:p>
          <w:p w14:paraId="6B328F8D" w14:textId="77777777" w:rsidR="00EE3404"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361BD1DE" w14:textId="77777777" w:rsidR="00EE34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56.1 ± 13.3 years; </w:t>
            </w:r>
          </w:p>
          <w:p w14:paraId="4467CF63" w14:textId="77777777" w:rsidR="00EE34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77%; </w:t>
            </w:r>
          </w:p>
          <w:p w14:paraId="5C5795AF" w14:textId="77777777" w:rsidR="00EE34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32 ± 14%; </w:t>
            </w:r>
          </w:p>
          <w:p w14:paraId="1DE20A45" w14:textId="7B0C72D7" w:rsidR="00EE34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&gt;110</w:t>
            </w:r>
            <w:r w:rsidR="00EE3404">
              <w:rPr>
                <w:rFonts w:ascii="Arial Narrow" w:hAnsi="Arial Narrow" w:cs="Arial Narrow"/>
                <w:bCs/>
                <w:sz w:val="20"/>
              </w:rPr>
              <w:t> </w:t>
            </w:r>
            <w:r w:rsidRPr="00526FBF">
              <w:rPr>
                <w:rFonts w:ascii="Arial Narrow" w:hAnsi="Arial Narrow" w:cs="Arial Narrow"/>
                <w:bCs/>
                <w:sz w:val="20"/>
              </w:rPr>
              <w:t xml:space="preserve">milliseconds = 67%; </w:t>
            </w:r>
          </w:p>
          <w:p w14:paraId="5BD6673B" w14:textId="77777777" w:rsidR="00EE34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AF = 40%;</w:t>
            </w:r>
          </w:p>
          <w:p w14:paraId="686CBD6D" w14:textId="279E9E1D" w:rsidR="00EE3404"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NYHA class I = 12%, II = 11%, III = 46%, IV = 31%;</w:t>
            </w:r>
          </w:p>
          <w:p w14:paraId="6A4E60D2" w14:textId="3BC5FDAE" w:rsidR="00A474A9" w:rsidRPr="00526FB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medications: ACE inhibitor = 87%, </w:t>
            </w:r>
            <w:r w:rsidR="00EE3404" w:rsidRPr="00257ED7">
              <w:rPr>
                <w:rFonts w:ascii="Arial Narrow" w:hAnsi="Arial Narrow" w:cs="Arial Narrow"/>
                <w:bCs/>
                <w:sz w:val="20"/>
              </w:rPr>
              <w:sym w:font="Symbol" w:char="F062"/>
            </w:r>
            <w:r w:rsidRPr="00526FBF">
              <w:rPr>
                <w:rFonts w:ascii="Arial Narrow" w:hAnsi="Arial Narrow" w:cs="Arial Narrow"/>
                <w:bCs/>
                <w:sz w:val="20"/>
              </w:rPr>
              <w:t>-blockers = 90%</w:t>
            </w:r>
          </w:p>
          <w:p w14:paraId="5BE55678" w14:textId="35A1CDBC" w:rsidR="00A474A9" w:rsidRPr="00526FBF" w:rsidRDefault="00A474A9" w:rsidP="004C79C1">
            <w:pPr>
              <w:tabs>
                <w:tab w:val="left" w:pos="1168"/>
              </w:tabs>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1,339</w:t>
            </w:r>
            <w:r w:rsidR="00EE3404">
              <w:rPr>
                <w:rFonts w:ascii="Arial Narrow" w:hAnsi="Arial Narrow" w:cs="Arial Narrow"/>
                <w:bCs/>
                <w:sz w:val="20"/>
              </w:rPr>
              <w:t> </w:t>
            </w:r>
            <w:r w:rsidRPr="00526FBF">
              <w:rPr>
                <w:rFonts w:ascii="Arial Narrow" w:hAnsi="Arial Narrow" w:cs="Arial Narrow"/>
                <w:bCs/>
                <w:sz w:val="20"/>
              </w:rPr>
              <w:t>days</w:t>
            </w:r>
            <w:r w:rsidRPr="00526FBF">
              <w:rPr>
                <w:sz w:val="24"/>
              </w:rPr>
              <w:t xml:space="preserve"> </w:t>
            </w:r>
            <w:r w:rsidRPr="00526FBF">
              <w:rPr>
                <w:rFonts w:ascii="Arial Narrow" w:hAnsi="Arial Narrow" w:cs="Arial Narrow"/>
                <w:bCs/>
                <w:sz w:val="20"/>
              </w:rPr>
              <w:t>(IQR 822–1,676; 483 patient-years)</w:t>
            </w:r>
          </w:p>
        </w:tc>
        <w:tc>
          <w:tcPr>
            <w:tcW w:w="882" w:type="pct"/>
          </w:tcPr>
          <w:p w14:paraId="08330EF1" w14:textId="26F5E85B" w:rsidR="00A474A9" w:rsidRPr="00526FBF" w:rsidRDefault="00A474A9" w:rsidP="004C79C1">
            <w:pPr>
              <w:spacing w:before="0" w:after="120" w:line="240" w:lineRule="auto"/>
              <w:ind w:right="-57"/>
              <w:rPr>
                <w:rFonts w:ascii="Arial Narrow" w:hAnsi="Arial Narrow" w:cs="Arial Narrow"/>
                <w:bCs/>
                <w:sz w:val="20"/>
                <w:szCs w:val="20"/>
              </w:rPr>
            </w:pPr>
            <w:r w:rsidRPr="00526FBF">
              <w:rPr>
                <w:rFonts w:ascii="Arial Narrow" w:hAnsi="Arial Narrow"/>
                <w:b/>
                <w:sz w:val="20"/>
              </w:rPr>
              <w:t>Inclusion criteria:</w:t>
            </w:r>
            <w:r w:rsidRPr="00526FBF">
              <w:rPr>
                <w:rFonts w:ascii="Arial Narrow" w:hAnsi="Arial Narrow"/>
                <w:sz w:val="20"/>
              </w:rPr>
              <w:t xml:space="preserve"> </w:t>
            </w:r>
            <w:r w:rsidRPr="00526FBF">
              <w:rPr>
                <w:rFonts w:ascii="Arial Narrow" w:hAnsi="Arial Narrow" w:cs="Arial Narrow"/>
                <w:bCs/>
                <w:sz w:val="20"/>
                <w:szCs w:val="20"/>
              </w:rPr>
              <w:t>patients with idiopathic DCM were enrolled during a period of 4</w:t>
            </w:r>
            <w:r w:rsidR="00F42E9A">
              <w:rPr>
                <w:rFonts w:ascii="Arial Narrow" w:hAnsi="Arial Narrow" w:cs="Arial Narrow"/>
                <w:bCs/>
                <w:sz w:val="20"/>
                <w:szCs w:val="20"/>
              </w:rPr>
              <w:t> </w:t>
            </w:r>
            <w:r w:rsidRPr="00526FBF">
              <w:rPr>
                <w:rFonts w:ascii="Arial Narrow" w:hAnsi="Arial Narrow" w:cs="Arial Narrow"/>
                <w:bCs/>
                <w:sz w:val="20"/>
                <w:szCs w:val="20"/>
              </w:rPr>
              <w:t xml:space="preserve">years. Diagnosis was established by clinical examination, </w:t>
            </w:r>
            <w:r w:rsidR="00F42E9A">
              <w:rPr>
                <w:rFonts w:ascii="Arial Narrow" w:hAnsi="Arial Narrow" w:cs="Arial Narrow"/>
                <w:bCs/>
                <w:sz w:val="20"/>
                <w:szCs w:val="20"/>
              </w:rPr>
              <w:t>E</w:t>
            </w:r>
            <w:r w:rsidRPr="00526FBF">
              <w:rPr>
                <w:rFonts w:ascii="Arial Narrow" w:hAnsi="Arial Narrow" w:cs="Arial Narrow"/>
                <w:bCs/>
                <w:sz w:val="20"/>
                <w:szCs w:val="20"/>
              </w:rPr>
              <w:t>cho and normal coronary angiograms.</w:t>
            </w:r>
          </w:p>
          <w:p w14:paraId="29D0E2C2" w14:textId="42DFA86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 xml:space="preserve">patients with a history of previous coronary intervention or MI, patients with inflammatory CM due to chronic inflammation in myocardial biopsy </w:t>
            </w:r>
          </w:p>
        </w:tc>
        <w:tc>
          <w:tcPr>
            <w:tcW w:w="1030" w:type="pct"/>
          </w:tcPr>
          <w:p w14:paraId="4D97F09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whole-body scanner</w:t>
            </w:r>
          </w:p>
          <w:p w14:paraId="58F5889A" w14:textId="22AAB70B"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Resting LV and RV function </w:t>
            </w:r>
            <w:r w:rsidR="00F42E9A">
              <w:rPr>
                <w:rFonts w:ascii="Arial Narrow" w:hAnsi="Arial Narrow" w:cs="Times New Roman"/>
                <w:sz w:val="20"/>
                <w:szCs w:val="20"/>
              </w:rPr>
              <w:t>were</w:t>
            </w:r>
            <w:r w:rsidR="00F42E9A" w:rsidRPr="00526FBF">
              <w:rPr>
                <w:rFonts w:ascii="Arial Narrow" w:hAnsi="Arial Narrow" w:cs="Times New Roman"/>
                <w:sz w:val="20"/>
                <w:szCs w:val="20"/>
              </w:rPr>
              <w:t xml:space="preserve"> </w:t>
            </w:r>
            <w:r w:rsidRPr="00526FBF">
              <w:rPr>
                <w:rFonts w:ascii="Arial Narrow" w:hAnsi="Arial Narrow" w:cs="Times New Roman"/>
                <w:sz w:val="20"/>
                <w:szCs w:val="20"/>
              </w:rPr>
              <w:t>determined with 3D cine imaging applying a multiple breath</w:t>
            </w:r>
            <w:r w:rsidR="001C6DDD">
              <w:rPr>
                <w:rFonts w:ascii="Arial Narrow" w:hAnsi="Arial Narrow" w:cs="Times New Roman"/>
                <w:sz w:val="20"/>
                <w:szCs w:val="20"/>
              </w:rPr>
              <w:t>-</w:t>
            </w:r>
            <w:r w:rsidRPr="00526FBF">
              <w:rPr>
                <w:rFonts w:ascii="Arial Narrow" w:hAnsi="Arial Narrow" w:cs="Times New Roman"/>
                <w:sz w:val="20"/>
                <w:szCs w:val="20"/>
              </w:rPr>
              <w:t>hold segmented k-space balanced FFE sequence (steady-state free</w:t>
            </w:r>
            <w:r w:rsidR="001C6DDD">
              <w:rPr>
                <w:rFonts w:ascii="Arial Narrow" w:hAnsi="Arial Narrow" w:cs="Times New Roman"/>
                <w:sz w:val="20"/>
                <w:szCs w:val="20"/>
              </w:rPr>
              <w:t>-</w:t>
            </w:r>
            <w:r w:rsidRPr="00526FBF">
              <w:rPr>
                <w:rFonts w:ascii="Arial Narrow" w:hAnsi="Arial Narrow" w:cs="Times New Roman"/>
                <w:sz w:val="20"/>
                <w:szCs w:val="20"/>
              </w:rPr>
              <w:t>precession) in short- and long-axis views.</w:t>
            </w:r>
          </w:p>
          <w:p w14:paraId="5E865B2D" w14:textId="0A3CE842"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3D spoiled turbo </w:t>
            </w:r>
            <w:r>
              <w:rPr>
                <w:rFonts w:ascii="Arial Narrow" w:hAnsi="Arial Narrow" w:cs="Times New Roman"/>
                <w:sz w:val="20"/>
                <w:szCs w:val="20"/>
              </w:rPr>
              <w:t>g</w:t>
            </w:r>
            <w:r w:rsidRPr="00526FBF">
              <w:rPr>
                <w:rFonts w:ascii="Arial Narrow" w:hAnsi="Arial Narrow" w:cs="Times New Roman"/>
                <w:sz w:val="20"/>
                <w:szCs w:val="20"/>
              </w:rPr>
              <w:t>radient</w:t>
            </w:r>
            <w:r w:rsidR="001C6DDD">
              <w:rPr>
                <w:rFonts w:ascii="Arial Narrow" w:hAnsi="Arial Narrow" w:cs="Times New Roman"/>
                <w:sz w:val="20"/>
                <w:szCs w:val="20"/>
              </w:rPr>
              <w:t>-</w:t>
            </w:r>
            <w:r>
              <w:rPr>
                <w:rFonts w:ascii="Arial Narrow" w:hAnsi="Arial Narrow" w:cs="Times New Roman"/>
                <w:sz w:val="20"/>
                <w:szCs w:val="20"/>
              </w:rPr>
              <w:t>e</w:t>
            </w:r>
            <w:r w:rsidRPr="00526FBF">
              <w:rPr>
                <w:rFonts w:ascii="Arial Narrow" w:hAnsi="Arial Narrow" w:cs="Times New Roman"/>
                <w:sz w:val="20"/>
                <w:szCs w:val="20"/>
              </w:rPr>
              <w:t>cho sequence with a selective 180° inversion recovery pre-pulse</w:t>
            </w:r>
          </w:p>
          <w:p w14:paraId="6364C861" w14:textId="6458E803"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w:t>
            </w:r>
            <w:r w:rsidR="001C6DDD">
              <w:rPr>
                <w:rFonts w:ascii="Arial Narrow" w:hAnsi="Arial Narrow" w:cs="Times New Roman"/>
                <w:sz w:val="20"/>
                <w:szCs w:val="20"/>
              </w:rPr>
              <w:t> </w:t>
            </w:r>
            <w:r w:rsidRPr="00526FBF">
              <w:rPr>
                <w:rFonts w:ascii="Arial Narrow" w:hAnsi="Arial Narrow" w:cs="Times New Roman"/>
                <w:sz w:val="20"/>
                <w:szCs w:val="20"/>
              </w:rPr>
              <w:t xml:space="preserve">mmol/kg </w:t>
            </w:r>
            <w:r w:rsidR="001C6DDD">
              <w:rPr>
                <w:rFonts w:ascii="Arial Narrow" w:hAnsi="Arial Narrow" w:cs="Times New Roman"/>
                <w:sz w:val="20"/>
                <w:szCs w:val="20"/>
              </w:rPr>
              <w:t>Gd</w:t>
            </w:r>
            <w:r w:rsidRPr="00526FBF">
              <w:rPr>
                <w:rFonts w:ascii="Arial Narrow" w:hAnsi="Arial Narrow" w:cs="Times New Roman"/>
                <w:sz w:val="20"/>
                <w:szCs w:val="20"/>
              </w:rPr>
              <w:t>-DTPA</w:t>
            </w:r>
          </w:p>
          <w:p w14:paraId="2C6814D2" w14:textId="41C99F7E"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w:t>
            </w:r>
            <w:r w:rsidR="001C6DDD">
              <w:rPr>
                <w:rFonts w:ascii="Arial Narrow" w:hAnsi="Arial Narrow" w:cs="Times New Roman"/>
                <w:sz w:val="20"/>
                <w:szCs w:val="20"/>
              </w:rPr>
              <w:t> </w:t>
            </w:r>
            <w:r w:rsidRPr="00526FBF">
              <w:rPr>
                <w:rFonts w:ascii="Arial Narrow" w:hAnsi="Arial Narrow" w:cs="Times New Roman"/>
                <w:sz w:val="20"/>
                <w:szCs w:val="20"/>
              </w:rPr>
              <w:t>minutes</w:t>
            </w:r>
          </w:p>
          <w:p w14:paraId="2FF37F20"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and RV volumes and functional parameters were analysed off-line on a workstation using short-axis volumetry.</w:t>
            </w:r>
          </w:p>
          <w:p w14:paraId="2B60C95D" w14:textId="4A86EFA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was quantitatively assessed</w:t>
            </w:r>
            <w:r w:rsidR="001C6DDD">
              <w:rPr>
                <w:rFonts w:ascii="Arial Narrow" w:hAnsi="Arial Narrow" w:cs="Times New Roman"/>
                <w:sz w:val="20"/>
                <w:szCs w:val="20"/>
              </w:rPr>
              <w:t>.</w:t>
            </w:r>
          </w:p>
        </w:tc>
        <w:tc>
          <w:tcPr>
            <w:tcW w:w="1177" w:type="pct"/>
          </w:tcPr>
          <w:p w14:paraId="3B19CD5A"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ICD implantation:</w:t>
            </w:r>
            <w:r w:rsidRPr="00526FBF">
              <w:rPr>
                <w:rFonts w:ascii="Arial Narrow" w:hAnsi="Arial Narrow"/>
                <w:sz w:val="20"/>
              </w:rPr>
              <w:t xml:space="preserve"> Not described</w:t>
            </w:r>
          </w:p>
          <w:p w14:paraId="67E7C3FE"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4156E05C" w14:textId="6EF88DE5"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3CE9F147" w14:textId="740A6167" w:rsidR="00A474A9" w:rsidRPr="00526FBF" w:rsidRDefault="001C6DDD" w:rsidP="004C79C1">
            <w:pPr>
              <w:spacing w:before="0" w:after="120" w:line="240" w:lineRule="auto"/>
              <w:ind w:left="118" w:right="-57"/>
              <w:rPr>
                <w:rFonts w:ascii="Arial Narrow" w:hAnsi="Arial Narrow" w:cs="Arial Narrow"/>
                <w:bCs/>
                <w:sz w:val="20"/>
              </w:rPr>
            </w:pPr>
            <w:r>
              <w:rPr>
                <w:rFonts w:ascii="Arial Narrow" w:hAnsi="Arial Narrow"/>
                <w:sz w:val="20"/>
              </w:rPr>
              <w:t>a</w:t>
            </w:r>
            <w:r w:rsidR="00A474A9" w:rsidRPr="00526FBF">
              <w:rPr>
                <w:rFonts w:ascii="Arial Narrow" w:hAnsi="Arial Narrow"/>
                <w:sz w:val="20"/>
              </w:rPr>
              <w:t>ll-cause mortality</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death</w:t>
            </w:r>
            <w:r w:rsidR="00A474A9" w:rsidRPr="00526FBF">
              <w:rPr>
                <w:rFonts w:ascii="Arial Narrow" w:hAnsi="Arial Narrow" w:cs="Arial Narrow"/>
                <w:bCs/>
                <w:sz w:val="20"/>
              </w:rPr>
              <w:br/>
            </w:r>
            <w:r w:rsidR="00A474A9" w:rsidRPr="00526FBF">
              <w:rPr>
                <w:rFonts w:ascii="Arial Narrow" w:hAnsi="Arial Narrow"/>
                <w:sz w:val="20"/>
              </w:rPr>
              <w:t>SCD</w:t>
            </w:r>
            <w:r w:rsidR="00A474A9" w:rsidRPr="00526FBF">
              <w:rPr>
                <w:rFonts w:ascii="Arial Narrow" w:hAnsi="Arial Narrow" w:cs="Arial Narrow"/>
                <w:bCs/>
                <w:sz w:val="20"/>
              </w:rPr>
              <w:br/>
            </w:r>
            <w:r>
              <w:rPr>
                <w:rFonts w:ascii="Arial Narrow" w:hAnsi="Arial Narrow" w:cs="Arial Narrow"/>
                <w:bCs/>
                <w:sz w:val="20"/>
              </w:rPr>
              <w:t>c</w:t>
            </w:r>
            <w:r w:rsidR="00A474A9" w:rsidRPr="00526FBF">
              <w:rPr>
                <w:rFonts w:ascii="Arial Narrow" w:hAnsi="Arial Narrow" w:cs="Arial Narrow"/>
                <w:bCs/>
                <w:sz w:val="20"/>
              </w:rPr>
              <w:t>ardiac death, SCD or appropriate ICD discharge</w:t>
            </w:r>
            <w:r w:rsidR="00A474A9" w:rsidRPr="00526FBF">
              <w:rPr>
                <w:rFonts w:ascii="Arial Narrow" w:hAnsi="Arial Narrow" w:cs="Arial Narrow"/>
                <w:bCs/>
                <w:sz w:val="20"/>
              </w:rPr>
              <w:br/>
            </w:r>
            <w:r>
              <w:rPr>
                <w:rFonts w:ascii="Arial Narrow" w:hAnsi="Arial Narrow" w:cs="Arial Narrow"/>
                <w:bCs/>
                <w:sz w:val="20"/>
              </w:rPr>
              <w:t>c</w:t>
            </w:r>
            <w:r w:rsidR="00A474A9" w:rsidRPr="00526FBF">
              <w:rPr>
                <w:rFonts w:ascii="Arial Narrow" w:hAnsi="Arial Narrow" w:cs="Arial Narrow"/>
                <w:bCs/>
                <w:sz w:val="20"/>
              </w:rPr>
              <w:t>ardiac death, SCD or hospitalisation for HF</w:t>
            </w:r>
          </w:p>
          <w:p w14:paraId="75DA120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251C17F1" w14:textId="77777777" w:rsidTr="00BE5D7C">
        <w:tc>
          <w:tcPr>
            <w:tcW w:w="391" w:type="pct"/>
          </w:tcPr>
          <w:p w14:paraId="15F97353" w14:textId="4FEF89A8"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Iles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ExcludeAuth="1"&gt;&lt;Author&gt;Iles&lt;/Author&gt;&lt;Year&gt;2011&lt;/Year&gt;&lt;RecNum&gt;44&lt;/RecNum&gt;&lt;DisplayText&gt;(2011)&lt;/DisplayText&gt;&lt;record&gt;&lt;rec-number&gt;44&lt;/rec-number&gt;&lt;foreign-keys&gt;&lt;key app="EN" db-id="pfxxvref0t0a5de2vwnv2fwkz0p9v0r2fw0t" timestamp="1458109049"&gt;44&lt;/key&gt;&lt;/foreign-keys&gt;&lt;ref-type name="Journal Article"&gt;17&lt;/ref-type&gt;&lt;contributors&gt;&lt;authors&gt;&lt;author&gt;Iles, L.&lt;/author&gt;&lt;author&gt;Pfluger, H.&lt;/author&gt;&lt;author&gt;Lefkovits, L.&lt;/author&gt;&lt;author&gt;Butler, M. J.&lt;/author&gt;&lt;author&gt;Kistler, P. M.&lt;/author&gt;&lt;author&gt;Kaye, D. M.&lt;/author&gt;&lt;author&gt;Taylor, A. J.&lt;/author&gt;&lt;/authors&gt;&lt;/contributors&gt;&lt;titles&gt;&lt;title&gt;Myocardial fibrosis predicts appropriate device therapy in patients with implantable cardioverter-defibrillators for primary prevention of sudden cardiac death&lt;/title&gt;&lt;secondary-title&gt;J Am Coll Cardiol&lt;/secondary-title&gt;&lt;/titles&gt;&lt;periodical&gt;&lt;full-title&gt;J Am Coll Cardiol&lt;/full-title&gt;&lt;/periodical&gt;&lt;pages&gt;821-8&lt;/pages&gt;&lt;volume&gt;57&lt;/volume&gt;&lt;number&gt;7&lt;/number&gt;&lt;dates&gt;&lt;year&gt;2011&lt;/year&gt;&lt;pub-dates&gt;&lt;date&gt;2011-01-01&lt;/date&gt;&lt;/pub-dates&gt;&lt;/dates&gt;&lt;isbn&gt;0735-1097 (Print) 0735-1097&lt;/isbn&gt;&lt;urls&gt;&lt;related-urls&gt;&lt;url&gt;http://ac.els-cdn.com/S073510971004725X/1-s2.0-S073510971004725X-main.pdf?_tid=7bcf62f0-c889-11e5-819c-00000aab0f27&amp;amp;acdnat=1454293031_6736676e2e4a82988d53589a1863954f&lt;/url&gt;&lt;/related-urls&gt;&lt;/urls&gt;&lt;custom1&gt;RAYYAN-INCLUSION: {&amp;quot;Sharon&amp;quot;=&amp;gt;false}&lt;/custom1&gt;&lt;research-notes&gt;High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54" w:tooltip="Iles, 2011 #44" w:history="1">
              <w:r w:rsidR="00B906E9">
                <w:rPr>
                  <w:rFonts w:ascii="Arial Narrow" w:hAnsi="Arial Narrow" w:cs="Arial Narrow"/>
                  <w:bCs/>
                  <w:noProof/>
                  <w:sz w:val="20"/>
                  <w:szCs w:val="20"/>
                </w:rPr>
                <w:t>2011</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1DC9E4B6" w14:textId="77777777" w:rsidR="00A474A9" w:rsidRPr="00526FBF" w:rsidRDefault="00A474A9" w:rsidP="004C79C1">
            <w:pPr>
              <w:spacing w:before="0" w:after="120" w:line="240" w:lineRule="auto"/>
              <w:rPr>
                <w:rFonts w:ascii="Arial Narrow" w:hAnsi="Arial Narrow" w:cs="Arial Narrow"/>
                <w:bCs/>
                <w:sz w:val="20"/>
                <w:szCs w:val="20"/>
              </w:rPr>
            </w:pPr>
          </w:p>
          <w:p w14:paraId="6557DE6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Australia</w:t>
            </w:r>
          </w:p>
        </w:tc>
        <w:tc>
          <w:tcPr>
            <w:tcW w:w="588" w:type="pct"/>
            <w:shd w:val="clear" w:color="auto" w:fill="auto"/>
          </w:tcPr>
          <w:p w14:paraId="76FAF4E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1492D8BB" w14:textId="77777777" w:rsidR="00A474A9" w:rsidRPr="00526FBF" w:rsidRDefault="00A474A9" w:rsidP="004C79C1">
            <w:pPr>
              <w:spacing w:before="0" w:after="120" w:line="240" w:lineRule="auto"/>
              <w:rPr>
                <w:rFonts w:ascii="Arial Narrow" w:hAnsi="Arial Narrow" w:cs="Arial Narrow"/>
                <w:bCs/>
                <w:sz w:val="20"/>
              </w:rPr>
            </w:pPr>
          </w:p>
          <w:p w14:paraId="60912D1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C7AA251" w14:textId="77777777" w:rsidR="00A474A9" w:rsidRPr="00526FBF" w:rsidRDefault="00A474A9" w:rsidP="004C79C1">
            <w:pPr>
              <w:spacing w:before="0" w:after="120" w:line="240" w:lineRule="auto"/>
              <w:rPr>
                <w:rFonts w:ascii="Arial Narrow" w:hAnsi="Arial Narrow" w:cs="Arial Narrow"/>
                <w:bCs/>
                <w:sz w:val="20"/>
              </w:rPr>
            </w:pPr>
          </w:p>
          <w:p w14:paraId="47B1DFA8"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0DDE0EE5" w14:textId="579103E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N=103 patients with advanced HF planned for ICD implantation</w:t>
            </w:r>
          </w:p>
          <w:p w14:paraId="0331A268" w14:textId="77777777" w:rsidR="00440899"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2DBF55E4" w14:textId="77777777" w:rsidR="0044089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age = 54 ± 13 years; </w:t>
            </w:r>
          </w:p>
          <w:p w14:paraId="0BF917E0" w14:textId="77777777" w:rsidR="0044089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77%; </w:t>
            </w:r>
          </w:p>
          <w:p w14:paraId="517F3EE3" w14:textId="77777777" w:rsidR="0044089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26 ± 9%;</w:t>
            </w:r>
          </w:p>
          <w:p w14:paraId="23306E70" w14:textId="714F91C0" w:rsidR="00440899"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NYHA class = 2 (IQR 2–3);</w:t>
            </w:r>
          </w:p>
          <w:p w14:paraId="1AEE1905" w14:textId="7A1ADD3D" w:rsidR="00A474A9" w:rsidRPr="00526FBF"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medications: ACE inhibitor/ARB = 95%, </w:t>
            </w:r>
            <w:r w:rsidR="00440899" w:rsidRPr="00257ED7">
              <w:rPr>
                <w:rFonts w:ascii="Arial Narrow" w:hAnsi="Arial Narrow" w:cs="Arial Narrow"/>
                <w:bCs/>
                <w:sz w:val="20"/>
              </w:rPr>
              <w:sym w:font="Symbol" w:char="F062"/>
            </w:r>
            <w:r w:rsidRPr="00526FBF">
              <w:rPr>
                <w:rFonts w:ascii="Arial Narrow" w:hAnsi="Arial Narrow" w:cs="Arial Narrow"/>
                <w:bCs/>
                <w:sz w:val="20"/>
              </w:rPr>
              <w:t>-blockers = 92%</w:t>
            </w:r>
          </w:p>
          <w:p w14:paraId="60B1F0D0" w14:textId="73A6639E" w:rsidR="00440899"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N=42 patients with ICM </w:t>
            </w:r>
            <w:r w:rsidR="00440899">
              <w:rPr>
                <w:rFonts w:ascii="Arial Narrow" w:hAnsi="Arial Narrow" w:cs="Arial Narrow"/>
                <w:bCs/>
                <w:sz w:val="20"/>
                <w:szCs w:val="20"/>
              </w:rPr>
              <w:t>–</w:t>
            </w:r>
            <w:r w:rsidR="006D0CC8">
              <w:rPr>
                <w:rFonts w:ascii="Arial Narrow" w:hAnsi="Arial Narrow" w:cs="Arial Narrow"/>
                <w:bCs/>
                <w:sz w:val="20"/>
                <w:szCs w:val="20"/>
              </w:rPr>
              <w:t>:</w:t>
            </w:r>
            <w:r w:rsidRPr="00526FBF">
              <w:rPr>
                <w:rFonts w:ascii="Arial Narrow" w:hAnsi="Arial Narrow" w:cs="Arial Narrow"/>
                <w:bCs/>
                <w:sz w:val="20"/>
                <w:szCs w:val="20"/>
              </w:rPr>
              <w:t xml:space="preserve"> </w:t>
            </w:r>
          </w:p>
          <w:p w14:paraId="3B42A6A4" w14:textId="2570473D"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all LGE+</w:t>
            </w:r>
          </w:p>
          <w:p w14:paraId="06FFA28B" w14:textId="72CB470F"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N=61 patients with NICM</w:t>
            </w:r>
            <w:r w:rsidR="006D0CC8">
              <w:rPr>
                <w:rFonts w:ascii="Arial Narrow" w:hAnsi="Arial Narrow" w:cs="Arial Narrow"/>
                <w:bCs/>
                <w:sz w:val="20"/>
                <w:szCs w:val="20"/>
              </w:rPr>
              <w:t>:</w:t>
            </w:r>
            <w:r w:rsidRPr="00526FBF">
              <w:rPr>
                <w:rFonts w:ascii="Arial Narrow" w:hAnsi="Arial Narrow" w:cs="Arial Narrow"/>
                <w:bCs/>
                <w:sz w:val="20"/>
                <w:szCs w:val="20"/>
              </w:rPr>
              <w:t xml:space="preserve"> </w:t>
            </w:r>
          </w:p>
          <w:p w14:paraId="180B747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n=31 (51%) LGE+</w:t>
            </w:r>
            <w:r w:rsidRPr="00526FBF">
              <w:rPr>
                <w:rFonts w:ascii="Arial Narrow" w:hAnsi="Arial Narrow" w:cs="Arial Narrow"/>
                <w:bCs/>
                <w:sz w:val="20"/>
              </w:rPr>
              <w:br/>
              <w:t>n=30 (49%) LGE–</w:t>
            </w:r>
          </w:p>
          <w:p w14:paraId="0A805F3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573 (IQR 379–863) days</w:t>
            </w:r>
          </w:p>
        </w:tc>
        <w:tc>
          <w:tcPr>
            <w:tcW w:w="882" w:type="pct"/>
          </w:tcPr>
          <w:p w14:paraId="79D0795E" w14:textId="5148AB5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Subjects presenting at the Alfred Hospital, Melbourne, between July 2003 and October 2009 with advanced HF</w:t>
            </w:r>
            <w:r w:rsidR="00EE0854">
              <w:rPr>
                <w:rFonts w:ascii="Arial Narrow" w:hAnsi="Arial Narrow"/>
                <w:sz w:val="20"/>
              </w:rPr>
              <w:t>,</w:t>
            </w:r>
            <w:r w:rsidRPr="00526FBF">
              <w:rPr>
                <w:rFonts w:ascii="Arial Narrow" w:hAnsi="Arial Narrow"/>
                <w:sz w:val="20"/>
              </w:rPr>
              <w:t xml:space="preserve"> </w:t>
            </w:r>
            <w:r w:rsidR="00EE0854">
              <w:rPr>
                <w:rFonts w:ascii="Arial Narrow" w:hAnsi="Arial Narrow"/>
                <w:sz w:val="20"/>
              </w:rPr>
              <w:t xml:space="preserve">and </w:t>
            </w:r>
            <w:r w:rsidRPr="00526FBF">
              <w:rPr>
                <w:rFonts w:ascii="Arial Narrow" w:hAnsi="Arial Narrow"/>
                <w:sz w:val="20"/>
              </w:rPr>
              <w:t xml:space="preserve">planned for </w:t>
            </w:r>
            <w:r w:rsidRPr="00526FBF">
              <w:rPr>
                <w:rFonts w:ascii="Arial Narrow" w:hAnsi="Arial Narrow"/>
                <w:sz w:val="20"/>
              </w:rPr>
              <w:lastRenderedPageBreak/>
              <w:t>implantation of ICD according to international guidelines for primary prevention of SCD</w:t>
            </w:r>
          </w:p>
          <w:p w14:paraId="4DCD0F8C" w14:textId="27395EC0"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who suffered from claustrophobia </w:t>
            </w:r>
            <w:r w:rsidR="00EE0854">
              <w:rPr>
                <w:rFonts w:ascii="Arial Narrow" w:hAnsi="Arial Narrow"/>
                <w:sz w:val="20"/>
              </w:rPr>
              <w:t xml:space="preserve">or </w:t>
            </w:r>
            <w:r w:rsidRPr="00526FBF">
              <w:rPr>
                <w:rFonts w:ascii="Arial Narrow" w:hAnsi="Arial Narrow"/>
                <w:sz w:val="20"/>
              </w:rPr>
              <w:t xml:space="preserve">uncontrolled arrhythmias, or had a history of a metallic prosthetic implant contraindicating CMR, previous </w:t>
            </w:r>
            <w:r>
              <w:rPr>
                <w:rFonts w:ascii="Arial Narrow" w:hAnsi="Arial Narrow"/>
                <w:sz w:val="20"/>
              </w:rPr>
              <w:t>VA</w:t>
            </w:r>
            <w:r w:rsidRPr="00526FBF">
              <w:rPr>
                <w:rFonts w:ascii="Arial Narrow" w:hAnsi="Arial Narrow"/>
                <w:sz w:val="20"/>
              </w:rPr>
              <w:t xml:space="preserve"> causing h</w:t>
            </w:r>
            <w:r w:rsidR="00EE0854">
              <w:rPr>
                <w:rFonts w:ascii="Arial Narrow" w:hAnsi="Arial Narrow"/>
                <w:sz w:val="20"/>
              </w:rPr>
              <w:t>a</w:t>
            </w:r>
            <w:r w:rsidRPr="00526FBF">
              <w:rPr>
                <w:rFonts w:ascii="Arial Narrow" w:hAnsi="Arial Narrow"/>
                <w:sz w:val="20"/>
              </w:rPr>
              <w:t>emodynamic compromise or requiring treatment, recent MI (&lt;3</w:t>
            </w:r>
            <w:r w:rsidR="00EE0854">
              <w:rPr>
                <w:rFonts w:ascii="Arial Narrow" w:hAnsi="Arial Narrow"/>
                <w:sz w:val="20"/>
              </w:rPr>
              <w:t> </w:t>
            </w:r>
            <w:r w:rsidRPr="00526FBF">
              <w:rPr>
                <w:rFonts w:ascii="Arial Narrow" w:hAnsi="Arial Narrow"/>
                <w:sz w:val="20"/>
              </w:rPr>
              <w:t>months) or myocarditis</w:t>
            </w:r>
          </w:p>
          <w:p w14:paraId="4EDA4633" w14:textId="5EF4ADD6"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Only subjects with successful device implantation and a minimum of 6</w:t>
            </w:r>
            <w:r w:rsidR="00EE0854">
              <w:rPr>
                <w:rFonts w:ascii="Arial Narrow" w:hAnsi="Arial Narrow"/>
                <w:sz w:val="20"/>
              </w:rPr>
              <w:t> </w:t>
            </w:r>
            <w:r w:rsidRPr="00526FBF">
              <w:rPr>
                <w:rFonts w:ascii="Arial Narrow" w:hAnsi="Arial Narrow"/>
                <w:sz w:val="20"/>
              </w:rPr>
              <w:t>months of follow-up and/or an event were included in the data analysis</w:t>
            </w:r>
            <w:r w:rsidR="00EE0854">
              <w:rPr>
                <w:rFonts w:ascii="Arial Narrow" w:hAnsi="Arial Narrow"/>
                <w:sz w:val="20"/>
              </w:rPr>
              <w:t>.</w:t>
            </w:r>
          </w:p>
        </w:tc>
        <w:tc>
          <w:tcPr>
            <w:tcW w:w="1030" w:type="pct"/>
          </w:tcPr>
          <w:p w14:paraId="26C3F24A"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w:t>
            </w:r>
          </w:p>
          <w:p w14:paraId="4632B99A" w14:textId="6BBDCC8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 sequence:</w:t>
            </w:r>
            <w:r w:rsidRPr="00526FBF">
              <w:rPr>
                <w:rFonts w:ascii="Arial Narrow" w:hAnsi="Arial Narrow" w:cs="Times New Roman"/>
                <w:sz w:val="20"/>
                <w:szCs w:val="20"/>
              </w:rPr>
              <w:t xml:space="preserve"> The LV function was assessed by a steady-state free</w:t>
            </w:r>
            <w:r w:rsidR="00812F82">
              <w:rPr>
                <w:rFonts w:ascii="Arial Narrow" w:hAnsi="Arial Narrow" w:cs="Times New Roman"/>
                <w:sz w:val="20"/>
                <w:szCs w:val="20"/>
              </w:rPr>
              <w:t>-</w:t>
            </w:r>
            <w:r w:rsidRPr="00526FBF">
              <w:rPr>
                <w:rFonts w:ascii="Arial Narrow" w:hAnsi="Arial Narrow" w:cs="Times New Roman"/>
                <w:sz w:val="20"/>
                <w:szCs w:val="20"/>
              </w:rPr>
              <w:t>precession pulse sequence.</w:t>
            </w:r>
          </w:p>
          <w:p w14:paraId="2307360B" w14:textId="6B5C0C1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LGE sequence:</w:t>
            </w:r>
            <w:r w:rsidRPr="00526FBF">
              <w:rPr>
                <w:rFonts w:ascii="Arial Narrow" w:hAnsi="Arial Narrow" w:cs="Times New Roman"/>
                <w:sz w:val="20"/>
                <w:szCs w:val="20"/>
              </w:rPr>
              <w:t xml:space="preserve"> inversion-recovery gradient</w:t>
            </w:r>
            <w:r w:rsidR="00812F82">
              <w:rPr>
                <w:rFonts w:ascii="Arial Narrow" w:hAnsi="Arial Narrow" w:cs="Times New Roman"/>
                <w:sz w:val="20"/>
                <w:szCs w:val="20"/>
              </w:rPr>
              <w:t>-</w:t>
            </w:r>
            <w:r w:rsidRPr="00526FBF">
              <w:rPr>
                <w:rFonts w:ascii="Arial Narrow" w:hAnsi="Arial Narrow" w:cs="Times New Roman"/>
                <w:sz w:val="20"/>
                <w:szCs w:val="20"/>
              </w:rPr>
              <w:t>echo sequence</w:t>
            </w:r>
          </w:p>
          <w:p w14:paraId="66B10974" w14:textId="0415CC5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w:t>
            </w:r>
            <w:r w:rsidR="00812F82">
              <w:rPr>
                <w:rFonts w:ascii="Arial Narrow" w:hAnsi="Arial Narrow" w:cs="Times New Roman"/>
                <w:sz w:val="20"/>
                <w:szCs w:val="20"/>
              </w:rPr>
              <w:t> </w:t>
            </w:r>
            <w:r w:rsidRPr="00526FBF">
              <w:rPr>
                <w:rFonts w:ascii="Arial Narrow" w:hAnsi="Arial Narrow" w:cs="Times New Roman"/>
                <w:sz w:val="20"/>
                <w:szCs w:val="20"/>
              </w:rPr>
              <w:t xml:space="preserve">mmol/kg </w:t>
            </w:r>
            <w:r w:rsidR="00812F82">
              <w:rPr>
                <w:rFonts w:ascii="Arial Narrow" w:hAnsi="Arial Narrow" w:cs="Times New Roman"/>
                <w:sz w:val="20"/>
                <w:szCs w:val="20"/>
              </w:rPr>
              <w:t>Gd</w:t>
            </w:r>
            <w:r w:rsidRPr="00526FBF">
              <w:rPr>
                <w:rFonts w:ascii="Arial Narrow" w:hAnsi="Arial Narrow" w:cs="Times New Roman"/>
                <w:sz w:val="20"/>
                <w:szCs w:val="20"/>
              </w:rPr>
              <w:t>-DTPA</w:t>
            </w:r>
          </w:p>
          <w:p w14:paraId="30C48F98" w14:textId="534C7CEB"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w:t>
            </w:r>
            <w:r w:rsidR="00812F82">
              <w:rPr>
                <w:rFonts w:ascii="Arial Narrow" w:hAnsi="Arial Narrow" w:cs="Times New Roman"/>
                <w:sz w:val="20"/>
                <w:szCs w:val="20"/>
              </w:rPr>
              <w:t> </w:t>
            </w:r>
            <w:r w:rsidRPr="00526FBF">
              <w:rPr>
                <w:rFonts w:ascii="Arial Narrow" w:hAnsi="Arial Narrow" w:cs="Times New Roman"/>
                <w:sz w:val="20"/>
                <w:szCs w:val="20"/>
              </w:rPr>
              <w:t>minutes</w:t>
            </w:r>
          </w:p>
          <w:p w14:paraId="7FC575A2" w14:textId="38612B5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The LV function was evaluated globally utili</w:t>
            </w:r>
            <w:r w:rsidR="00812F82">
              <w:rPr>
                <w:rFonts w:ascii="Arial Narrow" w:hAnsi="Arial Narrow" w:cs="Times New Roman"/>
                <w:sz w:val="20"/>
                <w:szCs w:val="20"/>
              </w:rPr>
              <w:t>s</w:t>
            </w:r>
            <w:r w:rsidRPr="00526FBF">
              <w:rPr>
                <w:rFonts w:ascii="Arial Narrow" w:hAnsi="Arial Narrow" w:cs="Times New Roman"/>
                <w:sz w:val="20"/>
                <w:szCs w:val="20"/>
              </w:rPr>
              <w:t>ing the biplane area-length method using 2- and 4-chamber long-axis views.</w:t>
            </w:r>
          </w:p>
          <w:p w14:paraId="553EC9A0" w14:textId="41D2994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was assessed by 2 independent blinded expert readers and was defined as being present only if it was identified in both long-axis and short-axis views</w:t>
            </w:r>
            <w:r w:rsidR="00812F82">
              <w:rPr>
                <w:rFonts w:ascii="Arial Narrow" w:hAnsi="Arial Narrow" w:cs="Times New Roman"/>
                <w:sz w:val="20"/>
                <w:szCs w:val="20"/>
              </w:rPr>
              <w:t>.</w:t>
            </w:r>
          </w:p>
        </w:tc>
        <w:tc>
          <w:tcPr>
            <w:tcW w:w="1177" w:type="pct"/>
          </w:tcPr>
          <w:p w14:paraId="64C9F00A" w14:textId="117087B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All devices were implanted using standard surgical technique</w:t>
            </w:r>
            <w:r w:rsidR="007246E2">
              <w:rPr>
                <w:rFonts w:ascii="Arial Narrow" w:hAnsi="Arial Narrow"/>
                <w:sz w:val="20"/>
              </w:rPr>
              <w:t>s</w:t>
            </w:r>
            <w:r w:rsidRPr="00526FBF">
              <w:rPr>
                <w:rFonts w:ascii="Arial Narrow" w:hAnsi="Arial Narrow"/>
                <w:sz w:val="20"/>
              </w:rPr>
              <w:t xml:space="preserve">: choice of device was at the discretion of the implanting physician and the device was activated at </w:t>
            </w:r>
            <w:r w:rsidRPr="00526FBF">
              <w:rPr>
                <w:rFonts w:ascii="Arial Narrow" w:hAnsi="Arial Narrow"/>
                <w:sz w:val="20"/>
              </w:rPr>
              <w:lastRenderedPageBreak/>
              <w:t>completion of implantation.</w:t>
            </w:r>
          </w:p>
          <w:p w14:paraId="320AA592" w14:textId="25126C7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Initial programming of the ICD was for shock only. During follow-up</w:t>
            </w:r>
            <w:r w:rsidR="007246E2">
              <w:rPr>
                <w:rFonts w:ascii="Arial Narrow" w:hAnsi="Arial Narrow"/>
                <w:sz w:val="20"/>
              </w:rPr>
              <w:t>,</w:t>
            </w:r>
            <w:r w:rsidRPr="00526FBF">
              <w:rPr>
                <w:rFonts w:ascii="Arial Narrow" w:hAnsi="Arial Narrow"/>
                <w:sz w:val="20"/>
              </w:rPr>
              <w:t xml:space="preserve"> anti-tachycardia pacing was only pr</w:t>
            </w:r>
            <w:r>
              <w:rPr>
                <w:rFonts w:ascii="Arial Narrow" w:hAnsi="Arial Narrow"/>
                <w:sz w:val="20"/>
              </w:rPr>
              <w:t>ogrammed after an episode of VT.</w:t>
            </w:r>
          </w:p>
          <w:p w14:paraId="5D7EA821"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5F04EEE0" w14:textId="02C9B9D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5B4CEF00" w14:textId="59BE33FB" w:rsidR="00A474A9" w:rsidRPr="00526FBF" w:rsidRDefault="00D86F32"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a</w:t>
            </w:r>
            <w:r w:rsidR="00A474A9" w:rsidRPr="00526FBF">
              <w:rPr>
                <w:rFonts w:ascii="Arial Narrow" w:hAnsi="Arial Narrow" w:cs="Arial Narrow"/>
                <w:bCs/>
                <w:sz w:val="20"/>
              </w:rPr>
              <w:t>ppropriate ICD discharge</w:t>
            </w:r>
          </w:p>
          <w:p w14:paraId="3179B4DC" w14:textId="70DCF986"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r w:rsidR="00D86F32">
              <w:rPr>
                <w:rFonts w:ascii="Arial Narrow" w:hAnsi="Arial Narrow" w:cs="Arial Narrow"/>
                <w:bCs/>
                <w:sz w:val="20"/>
              </w:rPr>
              <w:t>,</w:t>
            </w:r>
            <w:r w:rsidRPr="00526FBF">
              <w:rPr>
                <w:rFonts w:ascii="Arial Narrow" w:hAnsi="Arial Narrow" w:cs="Arial Narrow"/>
                <w:bCs/>
                <w:sz w:val="20"/>
              </w:rPr>
              <w:t xml:space="preserve"> and in</w:t>
            </w:r>
            <w:r w:rsidR="00787A64">
              <w:rPr>
                <w:rFonts w:ascii="Arial Narrow" w:hAnsi="Arial Narrow" w:cs="Arial Narrow"/>
                <w:bCs/>
                <w:sz w:val="20"/>
              </w:rPr>
              <w:t xml:space="preserve"> </w:t>
            </w:r>
            <w:r w:rsidRPr="00526FBF">
              <w:rPr>
                <w:rFonts w:ascii="Arial Narrow" w:hAnsi="Arial Narrow" w:cs="Arial Narrow"/>
                <w:bCs/>
                <w:sz w:val="20"/>
              </w:rPr>
              <w:t>NIDCM patients compared with ICM patients</w:t>
            </w:r>
          </w:p>
        </w:tc>
      </w:tr>
      <w:tr w:rsidR="00A474A9" w:rsidRPr="00526FBF" w14:paraId="28F072BC" w14:textId="77777777" w:rsidTr="00BE5D7C">
        <w:tc>
          <w:tcPr>
            <w:tcW w:w="391" w:type="pct"/>
          </w:tcPr>
          <w:p w14:paraId="41CF3EFC" w14:textId="6DF4305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Klem 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ExcludeAuth="1"&gt;&lt;Author&gt;Klem&lt;/Author&gt;&lt;Year&gt;2012&lt;/Year&gt;&lt;RecNum&gt;45&lt;/RecNum&gt;&lt;DisplayText&gt;(2012)&lt;/DisplayText&gt;&lt;record&gt;&lt;rec-number&gt;45&lt;/rec-number&gt;&lt;foreign-keys&gt;&lt;key app="EN" db-id="pfxxvref0t0a5de2vwnv2fwkz0p9v0r2fw0t" timestamp="1458109050"&gt;45&lt;/key&gt;&lt;/foreign-keys&gt;&lt;ref-type name="Journal Article"&gt;17&lt;/ref-type&gt;&lt;contributors&gt;&lt;authors&gt;&lt;author&gt;Klem, I.&lt;/author&gt;&lt;author&gt;Weinsaft, J. W.&lt;/author&gt;&lt;author&gt;Bahnson, T. D.&lt;/author&gt;&lt;author&gt;Hegland, D.&lt;/author&gt;&lt;author&gt;Kim, H. W.&lt;/author&gt;&lt;author&gt;Hayes, B.&lt;/author&gt;&lt;author&gt;Parker, M. A.&lt;/author&gt;&lt;author&gt;Judd, R. M.&lt;/author&gt;&lt;author&gt;Kim, R. J.&lt;/author&gt;&lt;/authors&gt;&lt;/contributors&gt;&lt;titles&gt;&lt;title&gt;Assessment of myocardial scarring improves risk stratification in patients evaluated for cardiac defibrillator implantation&lt;/title&gt;&lt;secondary-title&gt;Journal of the American College of Cardiology&lt;/secondary-title&gt;&lt;/titles&gt;&lt;periodical&gt;&lt;full-title&gt;Journal of the American College of Cardiology&lt;/full-title&gt;&lt;/periodical&gt;&lt;pages&gt;408-420&lt;/pages&gt;&lt;volume&gt;60&lt;/volume&gt;&lt;number&gt;5&lt;/number&gt;&lt;dates&gt;&lt;year&gt;2012&lt;/year&gt;&lt;pub-dates&gt;&lt;date&gt;2012-01-01&lt;/date&gt;&lt;/pub-dates&gt;&lt;/dates&gt;&lt;isbn&gt;0735-1097&lt;/isbn&gt;&lt;urls&gt;&lt;related-urls&gt;&lt;url&gt;http://www.embase.com/search/results?subaction=viewrecord&amp;amp;from=export&amp;amp;id=L365311594 http://dx.doi.org/10.1016/j.jacc.2012.02.070&lt;/url&gt;&lt;url&gt;http://ac.els-cdn.com/S0735109712017032/1-s2.0-S0735109712017032-main.pdf?_tid=c737bbbe-caf7-11e5-bc27-00000aacb35f&amp;amp;acdnat=1454560305_5b726a3e09b012b4b2b0080349410f9f&lt;/url&gt;&lt;/related-urls&gt;&lt;/urls&gt;&lt;custom1&gt;RAYYAN-INCLUSION: {&amp;quot;Sharon&amp;quot;=&amp;gt;false} | RAYYAN-EXCLUSION-REASONS: wrong population&lt;/custom1&gt;&lt;research-notes&gt;High quality&lt;/research-notes&gt;&lt;/record&gt;&lt;/Cite&gt;&lt;/EndNote&gt;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60" w:tooltip="Klem, 2012 #45" w:history="1">
              <w:r w:rsidR="00B906E9">
                <w:rPr>
                  <w:rFonts w:ascii="Arial Narrow" w:hAnsi="Arial Narrow" w:cs="Arial Narrow"/>
                  <w:bCs/>
                  <w:noProof/>
                  <w:sz w:val="20"/>
                  <w:szCs w:val="20"/>
                </w:rPr>
                <w:t>2012</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6B0197F" w14:textId="77777777" w:rsidR="00A474A9" w:rsidRPr="00526FBF" w:rsidRDefault="00A474A9" w:rsidP="004C79C1">
            <w:pPr>
              <w:spacing w:before="0" w:after="120" w:line="240" w:lineRule="auto"/>
              <w:rPr>
                <w:rFonts w:ascii="Arial Narrow" w:hAnsi="Arial Narrow" w:cs="Arial Narrow"/>
                <w:bCs/>
                <w:sz w:val="20"/>
                <w:szCs w:val="20"/>
              </w:rPr>
            </w:pPr>
          </w:p>
          <w:p w14:paraId="6CCEEFB5"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USA</w:t>
            </w:r>
          </w:p>
        </w:tc>
        <w:tc>
          <w:tcPr>
            <w:tcW w:w="588" w:type="pct"/>
            <w:shd w:val="clear" w:color="auto" w:fill="auto"/>
          </w:tcPr>
          <w:p w14:paraId="59CED309"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6E82E9D7" w14:textId="77777777" w:rsidR="00A474A9" w:rsidRPr="00526FBF" w:rsidRDefault="00A474A9" w:rsidP="004C79C1">
            <w:pPr>
              <w:spacing w:before="0" w:after="120" w:line="240" w:lineRule="auto"/>
              <w:rPr>
                <w:rFonts w:ascii="Arial Narrow" w:hAnsi="Arial Narrow" w:cs="Arial Narrow"/>
                <w:bCs/>
                <w:sz w:val="20"/>
              </w:rPr>
            </w:pPr>
          </w:p>
          <w:p w14:paraId="2F51DAB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723F55E5" w14:textId="77777777" w:rsidR="00A474A9" w:rsidRPr="00526FBF" w:rsidRDefault="00A474A9" w:rsidP="004C79C1">
            <w:pPr>
              <w:spacing w:before="0" w:after="120" w:line="240" w:lineRule="auto"/>
              <w:rPr>
                <w:rFonts w:ascii="Arial Narrow" w:hAnsi="Arial Narrow" w:cs="Arial Narrow"/>
                <w:bCs/>
                <w:sz w:val="20"/>
              </w:rPr>
            </w:pPr>
          </w:p>
          <w:p w14:paraId="02CF28B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SIGN: high quality with low </w:t>
            </w:r>
            <w:r w:rsidRPr="00526FBF">
              <w:rPr>
                <w:rFonts w:ascii="Arial Narrow" w:hAnsi="Arial Narrow" w:cs="Arial Narrow"/>
                <w:bCs/>
                <w:sz w:val="20"/>
              </w:rPr>
              <w:lastRenderedPageBreak/>
              <w:t>risk of bias</w:t>
            </w:r>
          </w:p>
        </w:tc>
        <w:tc>
          <w:tcPr>
            <w:tcW w:w="932" w:type="pct"/>
          </w:tcPr>
          <w:p w14:paraId="605A4F32"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N=137 patients undergoing evaluation for possible ICD placement</w:t>
            </w:r>
          </w:p>
          <w:p w14:paraId="039D1307" w14:textId="22AE64A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N=73 patients with CAD</w:t>
            </w:r>
            <w:r w:rsidR="003F4E72">
              <w:rPr>
                <w:rFonts w:ascii="Arial Narrow" w:hAnsi="Arial Narrow" w:cs="Arial Narrow"/>
                <w:bCs/>
                <w:sz w:val="20"/>
                <w:szCs w:val="20"/>
              </w:rPr>
              <w:t>:</w:t>
            </w:r>
          </w:p>
          <w:p w14:paraId="3BEFA033"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n=70 (96%) LGE+</w:t>
            </w:r>
            <w:r w:rsidRPr="00526FBF">
              <w:rPr>
                <w:rFonts w:ascii="Arial Narrow" w:hAnsi="Arial Narrow" w:cs="Arial Narrow"/>
                <w:bCs/>
                <w:sz w:val="20"/>
              </w:rPr>
              <w:br/>
              <w:t>n=3 (4%) LGE–</w:t>
            </w:r>
          </w:p>
          <w:p w14:paraId="36A2EA20" w14:textId="77777777" w:rsidR="00BC763D"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14416D1" w14:textId="77777777"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age = 65.3 ± 10.9 years; </w:t>
            </w:r>
          </w:p>
          <w:p w14:paraId="05B29139" w14:textId="77777777"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74%; </w:t>
            </w:r>
          </w:p>
          <w:p w14:paraId="16F273BB" w14:textId="77777777"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NYHA class: I = 29%, II = 29%, III = 36%, IV = 7%; </w:t>
            </w:r>
          </w:p>
          <w:p w14:paraId="5683F817" w14:textId="77777777"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30.5 ± 14.0%;</w:t>
            </w:r>
          </w:p>
          <w:p w14:paraId="6F3FAB2F" w14:textId="396ED573" w:rsidR="00BC763D"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QRS interval = 115.2 ± 30.3</w:t>
            </w:r>
            <w:r w:rsidR="00BC763D">
              <w:rPr>
                <w:rFonts w:ascii="Arial Narrow" w:hAnsi="Arial Narrow" w:cs="Arial Narrow"/>
                <w:bCs/>
                <w:sz w:val="20"/>
              </w:rPr>
              <w:t> </w:t>
            </w:r>
            <w:r w:rsidRPr="00526FBF">
              <w:rPr>
                <w:rFonts w:ascii="Arial Narrow" w:hAnsi="Arial Narrow" w:cs="Arial Narrow"/>
                <w:bCs/>
                <w:sz w:val="20"/>
              </w:rPr>
              <w:t xml:space="preserve">milliseconds; </w:t>
            </w:r>
          </w:p>
          <w:p w14:paraId="3EAD2775" w14:textId="78971DE9"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15%; </w:t>
            </w:r>
          </w:p>
          <w:p w14:paraId="58636CF4" w14:textId="77777777" w:rsidR="00BC763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RBBB = 14%; </w:t>
            </w:r>
          </w:p>
          <w:p w14:paraId="50EE1904" w14:textId="55B9B0A4" w:rsidR="00641DF5"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 = 66%, ARB = 12%, </w:t>
            </w:r>
          </w:p>
          <w:p w14:paraId="72E1A841" w14:textId="4099328A" w:rsidR="00A474A9" w:rsidRPr="00526FBF" w:rsidRDefault="00641DF5" w:rsidP="004C79C1">
            <w:pPr>
              <w:spacing w:before="0" w:after="120" w:line="240" w:lineRule="auto"/>
              <w:ind w:left="58"/>
              <w:rPr>
                <w:rFonts w:ascii="Arial Narrow" w:hAnsi="Arial Narrow" w:cs="Arial Narrow"/>
                <w:b/>
                <w:bCs/>
                <w:sz w:val="20"/>
                <w:lang w:val="en-GB" w:eastAsia="en-US"/>
              </w:rPr>
            </w:pPr>
            <w:r w:rsidRPr="00257ED7">
              <w:rPr>
                <w:rFonts w:ascii="Arial Narrow" w:hAnsi="Arial Narrow" w:cs="Arial Narrow"/>
                <w:bCs/>
                <w:sz w:val="20"/>
              </w:rPr>
              <w:sym w:font="Symbol" w:char="F062"/>
            </w:r>
            <w:r w:rsidR="00A474A9" w:rsidRPr="00526FBF">
              <w:rPr>
                <w:rFonts w:ascii="Arial Narrow" w:hAnsi="Arial Narrow" w:cs="Arial Narrow"/>
                <w:bCs/>
                <w:sz w:val="20"/>
              </w:rPr>
              <w:t>-blockers = 78%</w:t>
            </w:r>
          </w:p>
          <w:p w14:paraId="5600BCC0" w14:textId="4655E22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N=64 patients without CAD</w:t>
            </w:r>
            <w:r w:rsidR="003F4E72">
              <w:rPr>
                <w:rFonts w:ascii="Arial Narrow" w:hAnsi="Arial Narrow" w:cs="Arial Narrow"/>
                <w:bCs/>
                <w:sz w:val="20"/>
                <w:szCs w:val="20"/>
              </w:rPr>
              <w:t>:</w:t>
            </w:r>
          </w:p>
          <w:p w14:paraId="7555E465"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n=37 (58%) LGE+</w:t>
            </w:r>
            <w:r w:rsidRPr="00526FBF">
              <w:rPr>
                <w:rFonts w:ascii="Arial Narrow" w:hAnsi="Arial Narrow" w:cs="Arial Narrow"/>
                <w:bCs/>
                <w:sz w:val="20"/>
              </w:rPr>
              <w:br/>
              <w:t>n=27 (42%) LGE–</w:t>
            </w:r>
          </w:p>
          <w:p w14:paraId="4E2884BF" w14:textId="77777777" w:rsidR="00BA1DB8"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63F5C086" w14:textId="77777777" w:rsidR="00BA1DB8"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52.3 ± 16.2 years; </w:t>
            </w:r>
          </w:p>
          <w:p w14:paraId="09A8163C" w14:textId="77777777" w:rsidR="00BA1DB8"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50%; </w:t>
            </w:r>
          </w:p>
          <w:p w14:paraId="41A10029" w14:textId="5034AB14" w:rsidR="00BA1DB8"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NYHA class: I = 47%, II = 20%, III = 27%, IV = 3%; LVEF (CMR) = 40.9 ± 20.6%; QRS interval = 108.3 ± 33.2</w:t>
            </w:r>
            <w:r w:rsidR="00BA1DB8">
              <w:rPr>
                <w:rFonts w:ascii="Arial Narrow" w:hAnsi="Arial Narrow" w:cs="Arial Narrow"/>
                <w:bCs/>
                <w:sz w:val="20"/>
              </w:rPr>
              <w:t> </w:t>
            </w:r>
            <w:r w:rsidRPr="00526FBF">
              <w:rPr>
                <w:rFonts w:ascii="Arial Narrow" w:hAnsi="Arial Narrow" w:cs="Arial Narrow"/>
                <w:bCs/>
                <w:sz w:val="20"/>
              </w:rPr>
              <w:t xml:space="preserve">milliseconds; </w:t>
            </w:r>
          </w:p>
          <w:p w14:paraId="0B4E2F62" w14:textId="77777777" w:rsidR="00BA1DB8"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16%; </w:t>
            </w:r>
          </w:p>
          <w:p w14:paraId="32234866" w14:textId="77777777" w:rsidR="00BA1DB8"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RBBB = 13%; </w:t>
            </w:r>
          </w:p>
          <w:p w14:paraId="7B27DDF0" w14:textId="3B121070"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 = 48%, ARB = 9%, </w:t>
            </w:r>
            <w:r w:rsidR="00BC763D" w:rsidRPr="00257ED7">
              <w:rPr>
                <w:rFonts w:ascii="Arial Narrow" w:hAnsi="Arial Narrow" w:cs="Arial Narrow"/>
                <w:bCs/>
                <w:sz w:val="20"/>
              </w:rPr>
              <w:sym w:font="Symbol" w:char="F062"/>
            </w:r>
            <w:r w:rsidRPr="00B64F30">
              <w:rPr>
                <w:rFonts w:ascii="Arial Narrow" w:hAnsi="Arial Narrow" w:cs="Arial Narrow"/>
                <w:bCs/>
                <w:sz w:val="20"/>
              </w:rPr>
              <w:t>-</w:t>
            </w:r>
            <w:r w:rsidRPr="00526FBF">
              <w:rPr>
                <w:rFonts w:ascii="Arial Narrow" w:hAnsi="Arial Narrow" w:cs="Arial Narrow"/>
                <w:bCs/>
                <w:sz w:val="20"/>
              </w:rPr>
              <w:t>blockers = 55%</w:t>
            </w:r>
          </w:p>
          <w:p w14:paraId="437A4C14"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24 (IQR 19.9–29.0) months</w:t>
            </w:r>
          </w:p>
        </w:tc>
        <w:tc>
          <w:tcPr>
            <w:tcW w:w="882" w:type="pct"/>
          </w:tcPr>
          <w:p w14:paraId="45C579E6" w14:textId="150C8486"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referred to the electrophysiology service and scheduled for an EPS and/or ICD placement between </w:t>
            </w:r>
            <w:r w:rsidR="009B71FA">
              <w:rPr>
                <w:rFonts w:ascii="Arial Narrow" w:hAnsi="Arial Narrow"/>
                <w:sz w:val="20"/>
              </w:rPr>
              <w:t xml:space="preserve">1 </w:t>
            </w:r>
            <w:r w:rsidRPr="00526FBF">
              <w:rPr>
                <w:rFonts w:ascii="Arial Narrow" w:hAnsi="Arial Narrow"/>
                <w:sz w:val="20"/>
              </w:rPr>
              <w:t xml:space="preserve">July 2002 and </w:t>
            </w:r>
            <w:r w:rsidR="009B71FA">
              <w:rPr>
                <w:rFonts w:ascii="Arial Narrow" w:hAnsi="Arial Narrow"/>
                <w:sz w:val="20"/>
              </w:rPr>
              <w:t xml:space="preserve">1 </w:t>
            </w:r>
            <w:r w:rsidRPr="00526FBF">
              <w:rPr>
                <w:rFonts w:ascii="Arial Narrow" w:hAnsi="Arial Narrow"/>
                <w:sz w:val="20"/>
              </w:rPr>
              <w:t>July 2004.</w:t>
            </w:r>
          </w:p>
          <w:p w14:paraId="43E25634"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The reasons for referral to the electrophysiology service </w:t>
            </w:r>
            <w:r w:rsidRPr="00526FBF">
              <w:rPr>
                <w:rFonts w:ascii="Arial Narrow" w:hAnsi="Arial Narrow"/>
                <w:sz w:val="20"/>
              </w:rPr>
              <w:lastRenderedPageBreak/>
              <w:t>were low LVEF meeting</w:t>
            </w:r>
            <w:r w:rsidRPr="00526FBF">
              <w:rPr>
                <w:sz w:val="24"/>
              </w:rPr>
              <w:t xml:space="preserve"> </w:t>
            </w:r>
            <w:r w:rsidRPr="00526FBF">
              <w:rPr>
                <w:rFonts w:ascii="Arial Narrow" w:hAnsi="Arial Narrow"/>
                <w:sz w:val="20"/>
              </w:rPr>
              <w:t>criteria for an ICD; mild LV dysfunction with palpitations, frequent premature ventricular contractions, and/or non-sustained VT; evaluation of wide-complex tachycardia; syncope; and presumed cardiac arrest.</w:t>
            </w:r>
          </w:p>
          <w:p w14:paraId="5D11E713" w14:textId="1C44C0A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with contraindications for CMR (prior pacemaker or defibrillator) or under 18</w:t>
            </w:r>
            <w:r w:rsidR="00920133">
              <w:rPr>
                <w:rFonts w:ascii="Arial Narrow" w:hAnsi="Arial Narrow"/>
                <w:sz w:val="20"/>
              </w:rPr>
              <w:t> </w:t>
            </w:r>
            <w:r w:rsidRPr="00526FBF">
              <w:rPr>
                <w:rFonts w:ascii="Arial Narrow" w:hAnsi="Arial Narrow"/>
                <w:sz w:val="20"/>
              </w:rPr>
              <w:t>years of age</w:t>
            </w:r>
          </w:p>
        </w:tc>
        <w:tc>
          <w:tcPr>
            <w:tcW w:w="1030" w:type="pct"/>
          </w:tcPr>
          <w:p w14:paraId="12DAAA1C"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phased-array receiver coils</w:t>
            </w:r>
          </w:p>
          <w:p w14:paraId="69BC9E5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images were acquired in multiple short-axis and 3 long-axis views with a steady-state free precession sequence.</w:t>
            </w:r>
          </w:p>
          <w:p w14:paraId="0413ED04"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segmented </w:t>
            </w:r>
            <w:r w:rsidRPr="00526FBF">
              <w:rPr>
                <w:rFonts w:ascii="Arial Narrow" w:hAnsi="Arial Narrow" w:cs="Times New Roman"/>
                <w:sz w:val="20"/>
                <w:szCs w:val="20"/>
              </w:rPr>
              <w:lastRenderedPageBreak/>
              <w:t>inversion-recovery gradient-echo sequence</w:t>
            </w:r>
          </w:p>
          <w:p w14:paraId="0B7871C5" w14:textId="149F9472"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w:t>
            </w:r>
            <w:r w:rsidR="00920133">
              <w:rPr>
                <w:rFonts w:ascii="Arial Narrow" w:hAnsi="Arial Narrow" w:cs="Times New Roman"/>
                <w:sz w:val="20"/>
                <w:szCs w:val="20"/>
              </w:rPr>
              <w:t> </w:t>
            </w:r>
            <w:r w:rsidRPr="00526FBF">
              <w:rPr>
                <w:rFonts w:ascii="Arial Narrow" w:hAnsi="Arial Narrow" w:cs="Times New Roman"/>
                <w:sz w:val="20"/>
                <w:szCs w:val="20"/>
              </w:rPr>
              <w:t>mmol/kg gadoversetamide</w:t>
            </w:r>
          </w:p>
          <w:p w14:paraId="26B158B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7CA4A57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volumes, mass, and LVEF were quantitatively measured from the stack of short-axis cine images using standard techniques.</w:t>
            </w:r>
          </w:p>
          <w:p w14:paraId="536CA94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assessment was masked to all patient information by a single reader.</w:t>
            </w:r>
          </w:p>
          <w:p w14:paraId="0AA73475" w14:textId="490EA1B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sz w:val="20"/>
                <w:szCs w:val="20"/>
              </w:rPr>
              <w:t>Regional enhancement was scored according to the spatial extent of LGE+ tissue within each segment 0 = no LGE, 1 = 1–25%, 2 = 26–50%, 3 = 51–75%, 4 = 76–100% LGE</w:t>
            </w:r>
          </w:p>
        </w:tc>
        <w:tc>
          <w:tcPr>
            <w:tcW w:w="1177" w:type="pct"/>
          </w:tcPr>
          <w:p w14:paraId="4B94254D"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implantation procedure not reported.</w:t>
            </w:r>
            <w:r w:rsidRPr="00526FBF">
              <w:rPr>
                <w:sz w:val="24"/>
              </w:rPr>
              <w:t xml:space="preserve"> </w:t>
            </w:r>
            <w:r w:rsidRPr="00526FBF">
              <w:rPr>
                <w:rFonts w:ascii="Arial Narrow" w:hAnsi="Arial Narrow"/>
                <w:sz w:val="20"/>
              </w:rPr>
              <w:t>The decision for ICD implantation was guided by standard consensus criteria but was at the</w:t>
            </w:r>
            <w:r w:rsidRPr="00526FBF">
              <w:rPr>
                <w:sz w:val="24"/>
              </w:rPr>
              <w:t xml:space="preserve"> </w:t>
            </w:r>
            <w:r w:rsidRPr="00526FBF">
              <w:rPr>
                <w:rFonts w:ascii="Arial Narrow" w:hAnsi="Arial Narrow"/>
                <w:sz w:val="20"/>
              </w:rPr>
              <w:t>discretion of the treating physician after discussion with the patient.</w:t>
            </w:r>
          </w:p>
          <w:p w14:paraId="0D67C8AD"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18A562F" w14:textId="515EF48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131931E7" w14:textId="231D72AF" w:rsidR="00A474A9" w:rsidRPr="00526FBF" w:rsidRDefault="005643AB" w:rsidP="004C79C1">
            <w:pPr>
              <w:spacing w:before="0" w:after="120" w:line="240" w:lineRule="auto"/>
              <w:ind w:left="118" w:right="-57"/>
              <w:rPr>
                <w:rFonts w:ascii="Arial Narrow" w:hAnsi="Arial Narrow" w:cs="Arial Narrow"/>
                <w:bCs/>
                <w:sz w:val="20"/>
              </w:rPr>
            </w:pPr>
            <w:r>
              <w:rPr>
                <w:rFonts w:ascii="Arial Narrow" w:hAnsi="Arial Narrow" w:cs="Arial Narrow"/>
                <w:bCs/>
                <w:sz w:val="20"/>
                <w:szCs w:val="20"/>
              </w:rPr>
              <w:lastRenderedPageBreak/>
              <w:t>a</w:t>
            </w:r>
            <w:r w:rsidR="00A474A9" w:rsidRPr="00526FBF">
              <w:rPr>
                <w:rFonts w:ascii="Arial Narrow" w:hAnsi="Arial Narrow" w:cs="Arial Narrow"/>
                <w:bCs/>
                <w:sz w:val="20"/>
                <w:szCs w:val="20"/>
              </w:rPr>
              <w:t>ll-cause mortality</w:t>
            </w:r>
            <w:r w:rsidR="00A474A9" w:rsidRPr="00526FBF">
              <w:rPr>
                <w:rFonts w:ascii="Arial Narrow" w:hAnsi="Arial Narrow" w:cs="Arial Narrow"/>
                <w:bCs/>
                <w:sz w:val="20"/>
                <w:szCs w:val="20"/>
              </w:rPr>
              <w:br/>
            </w:r>
            <w:r>
              <w:rPr>
                <w:rFonts w:ascii="Arial Narrow" w:hAnsi="Arial Narrow" w:cs="Arial Narrow"/>
                <w:bCs/>
                <w:sz w:val="20"/>
              </w:rPr>
              <w:t>a</w:t>
            </w:r>
            <w:r w:rsidR="00A474A9" w:rsidRPr="00526FBF">
              <w:rPr>
                <w:rFonts w:ascii="Arial Narrow" w:hAnsi="Arial Narrow" w:cs="Arial Narrow"/>
                <w:bCs/>
                <w:sz w:val="20"/>
              </w:rPr>
              <w:t>ppropriate ICD discharge</w:t>
            </w:r>
            <w:r w:rsidR="00A474A9" w:rsidRPr="00526FBF">
              <w:rPr>
                <w:rFonts w:ascii="Arial Narrow" w:hAnsi="Arial Narrow" w:cs="Arial Narrow"/>
                <w:bCs/>
                <w:sz w:val="20"/>
              </w:rPr>
              <w:br/>
              <w:t>SCD</w:t>
            </w:r>
            <w:r w:rsidR="00A474A9" w:rsidRPr="00526FBF">
              <w:rPr>
                <w:rFonts w:ascii="Arial Narrow" w:hAnsi="Arial Narrow" w:cs="Arial Narrow"/>
                <w:bCs/>
                <w:sz w:val="20"/>
              </w:rPr>
              <w:br/>
            </w:r>
            <w:r>
              <w:rPr>
                <w:rFonts w:ascii="Arial Narrow" w:hAnsi="Arial Narrow" w:cs="Arial Narrow"/>
                <w:bCs/>
                <w:sz w:val="20"/>
                <w:szCs w:val="20"/>
              </w:rPr>
              <w:t>c</w:t>
            </w:r>
            <w:r w:rsidR="00A474A9" w:rsidRPr="00526FBF">
              <w:rPr>
                <w:rFonts w:ascii="Arial Narrow" w:hAnsi="Arial Narrow" w:cs="Arial Narrow"/>
                <w:bCs/>
                <w:sz w:val="20"/>
                <w:szCs w:val="20"/>
              </w:rPr>
              <w:t>ardiac death</w:t>
            </w:r>
            <w:r w:rsidR="00A474A9" w:rsidRPr="00526FBF">
              <w:rPr>
                <w:rFonts w:ascii="Arial Narrow" w:hAnsi="Arial Narrow" w:cs="Arial Narrow"/>
                <w:bCs/>
                <w:sz w:val="20"/>
              </w:rPr>
              <w:br/>
              <w:t>VF/VT events</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CHF</w:t>
            </w:r>
            <w:r w:rsidR="00A474A9" w:rsidRPr="00526FBF">
              <w:rPr>
                <w:rFonts w:ascii="Arial Narrow" w:hAnsi="Arial Narrow" w:cs="Arial Narrow"/>
                <w:bCs/>
                <w:sz w:val="20"/>
              </w:rPr>
              <w:br/>
            </w:r>
            <w:r w:rsidR="00A474A9" w:rsidRPr="00526FBF">
              <w:rPr>
                <w:rFonts w:ascii="Arial Narrow" w:hAnsi="Arial Narrow" w:cs="Arial Narrow"/>
                <w:bCs/>
                <w:sz w:val="20"/>
                <w:szCs w:val="20"/>
              </w:rPr>
              <w:t>ICD implantation</w:t>
            </w:r>
          </w:p>
          <w:p w14:paraId="489C22D0" w14:textId="1F33022B"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r w:rsidR="00233C59">
              <w:rPr>
                <w:rFonts w:ascii="Arial Narrow" w:hAnsi="Arial Narrow" w:cs="Arial Narrow"/>
                <w:bCs/>
                <w:sz w:val="20"/>
              </w:rPr>
              <w:t xml:space="preserve">, </w:t>
            </w:r>
            <w:r w:rsidRPr="00526FBF">
              <w:rPr>
                <w:rFonts w:ascii="Arial Narrow" w:hAnsi="Arial Narrow" w:cs="Arial Narrow"/>
                <w:bCs/>
                <w:sz w:val="20"/>
              </w:rPr>
              <w:t>and in</w:t>
            </w:r>
            <w:r w:rsidR="0017609A">
              <w:rPr>
                <w:rFonts w:ascii="Arial Narrow" w:hAnsi="Arial Narrow" w:cs="Arial Narrow"/>
                <w:bCs/>
                <w:sz w:val="20"/>
              </w:rPr>
              <w:t xml:space="preserve"> </w:t>
            </w:r>
            <w:r w:rsidRPr="00526FBF">
              <w:rPr>
                <w:rFonts w:ascii="Arial Narrow" w:hAnsi="Arial Narrow" w:cs="Arial Narrow"/>
                <w:bCs/>
                <w:sz w:val="20"/>
              </w:rPr>
              <w:t>NIDCM patients compared with ICM patients</w:t>
            </w:r>
          </w:p>
        </w:tc>
      </w:tr>
      <w:tr w:rsidR="00A474A9" w:rsidRPr="00526FBF" w14:paraId="4E907AD1" w14:textId="77777777" w:rsidTr="00BE5D7C">
        <w:tc>
          <w:tcPr>
            <w:tcW w:w="391" w:type="pct"/>
          </w:tcPr>
          <w:p w14:paraId="2B6E62BA" w14:textId="4889F8BB"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Kono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ExcludeAuth="1"&gt;&lt;Author&gt;Kono&lt;/Author&gt;&lt;Year&gt;2010&lt;/Year&gt;&lt;RecNum&gt;46&lt;/RecNum&gt;&lt;DisplayText&gt;(2010)&lt;/DisplayText&gt;&lt;record&gt;&lt;rec-number&gt;46&lt;/rec-number&gt;&lt;foreign-keys&gt;&lt;key app="EN" db-id="pfxxvref0t0a5de2vwnv2fwkz0p9v0r2fw0t" timestamp="1458109050"&gt;46&lt;/key&gt;&lt;/foreign-keys&gt;&lt;ref-type name="Journal Article"&gt;17&lt;/ref-type&gt;&lt;contributors&gt;&lt;authors&gt;&lt;author&gt;Kono, A. K.&lt;/author&gt;&lt;author&gt;Ishii, K.&lt;/author&gt;&lt;author&gt;Kumagai, H.&lt;/author&gt;&lt;author&gt;Taniguchi, Y.&lt;/author&gt;&lt;author&gt;Kajiya, T.&lt;/author&gt;&lt;author&gt;Sugimura, K.&lt;/author&gt;&lt;/authors&gt;&lt;/contributors&gt;&lt;titles&gt;&lt;title&gt;Late gadolinium enhancement on cardiac magnetic resonance imaging: is it associated with a higher incidence of nonsustained ventricular tachycardia in patients with idiopathic dilated cardiomyopathy?&lt;/title&gt;&lt;secondary-title&gt;Jpn J Radiol&lt;/secondary-title&gt;&lt;/titles&gt;&lt;periodical&gt;&lt;full-title&gt;Jpn J Radiol&lt;/full-title&gt;&lt;/periodical&gt;&lt;pages&gt;355-61&lt;/pages&gt;&lt;volume&gt;28&lt;/volume&gt;&lt;number&gt;5&lt;/number&gt;&lt;dates&gt;&lt;year&gt;2010&lt;/year&gt;&lt;pub-dates&gt;&lt;date&gt;2010-01-01&lt;/date&gt;&lt;/pub-dates&gt;&lt;/dates&gt;&lt;isbn&gt;1867-1071&lt;/isbn&gt;&lt;urls&gt;&lt;related-urls&gt;&lt;url&gt;http://download.springer.com/static/pdf/441/art%253A10.1007%252Fs11604-010-0433-1.pdf?originUrl=http%3A%2F%2Flink.springer.com%2Farticle%2F10.1007%2Fs11604-010-0433-1&amp;amp;token2=exp=1453419007~acl=%2Fstatic%2Fpdf%2F441%2Fart%25253A10.1007%25252Fs11604-010-0433-1.pdf%3ForiginUrl%3Dhttp%253A%252F%252Flink.springer.com%252Farticle%252F10.1007%252Fs11604-010-0433-1*~hmac=038500441b7a962f318327d48929ab09c13afde3476a1ca44ca1d895357e67b1&lt;/url&gt;&lt;/related-urls&gt;&lt;/urls&gt;&lt;custom1&gt;RAYYAN-INCLUSION: {&amp;quot;Sharon&amp;quot;=&amp;gt;true} | RAYYAN-LABELS: DCM&lt;/custom1&gt;&lt;research-notes&gt;Unacceptable&lt;/research-notes&gt;&lt;language&gt;eng&lt;/language&gt;&lt;/record&gt;&lt;/Cite&gt;&lt;/EndNote&gt;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62" w:tooltip="Kono, 2010 #46" w:history="1">
              <w:r w:rsidR="00B906E9">
                <w:rPr>
                  <w:rFonts w:ascii="Arial Narrow" w:hAnsi="Arial Narrow" w:cs="Arial Narrow"/>
                  <w:bCs/>
                  <w:noProof/>
                  <w:sz w:val="20"/>
                  <w:szCs w:val="20"/>
                </w:rPr>
                <w:t>2010</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4CE3789" w14:textId="77777777" w:rsidR="00A474A9" w:rsidRPr="00526FBF" w:rsidRDefault="00A474A9" w:rsidP="004C79C1">
            <w:pPr>
              <w:spacing w:before="0" w:after="120" w:line="240" w:lineRule="auto"/>
              <w:rPr>
                <w:rFonts w:ascii="Arial Narrow" w:hAnsi="Arial Narrow" w:cs="Arial Narrow"/>
                <w:bCs/>
                <w:sz w:val="20"/>
                <w:szCs w:val="20"/>
              </w:rPr>
            </w:pPr>
          </w:p>
          <w:p w14:paraId="363564ED"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Japan</w:t>
            </w:r>
          </w:p>
        </w:tc>
        <w:tc>
          <w:tcPr>
            <w:tcW w:w="588" w:type="pct"/>
            <w:shd w:val="clear" w:color="auto" w:fill="auto"/>
          </w:tcPr>
          <w:p w14:paraId="396DAFF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40055939" w14:textId="77777777" w:rsidR="00A474A9" w:rsidRPr="00526FBF" w:rsidRDefault="00A474A9" w:rsidP="004C79C1">
            <w:pPr>
              <w:spacing w:before="0" w:after="120" w:line="240" w:lineRule="auto"/>
              <w:rPr>
                <w:rFonts w:ascii="Arial Narrow" w:hAnsi="Arial Narrow" w:cs="Arial Narrow"/>
                <w:bCs/>
                <w:sz w:val="20"/>
              </w:rPr>
            </w:pPr>
          </w:p>
          <w:p w14:paraId="283CB128"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B651004" w14:textId="77777777" w:rsidR="00A474A9" w:rsidRPr="00526FBF" w:rsidRDefault="00A474A9" w:rsidP="004C79C1">
            <w:pPr>
              <w:spacing w:before="0" w:after="120" w:line="240" w:lineRule="auto"/>
              <w:rPr>
                <w:rFonts w:ascii="Arial Narrow" w:hAnsi="Arial Narrow" w:cs="Arial Narrow"/>
                <w:bCs/>
                <w:sz w:val="20"/>
              </w:rPr>
            </w:pPr>
          </w:p>
          <w:p w14:paraId="2F24440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unacceptable quality with a high risk of bias</w:t>
            </w:r>
          </w:p>
        </w:tc>
        <w:tc>
          <w:tcPr>
            <w:tcW w:w="932" w:type="pct"/>
          </w:tcPr>
          <w:p w14:paraId="1D5324A1" w14:textId="1791D81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N=32 patients who were diagnosed with DCM and with a</w:t>
            </w:r>
            <w:r w:rsidR="00233C59">
              <w:rPr>
                <w:rFonts w:ascii="Arial Narrow" w:hAnsi="Arial Narrow" w:cs="Arial Narrow"/>
                <w:bCs/>
                <w:sz w:val="20"/>
                <w:szCs w:val="20"/>
              </w:rPr>
              <w:t>n</w:t>
            </w:r>
            <w:r w:rsidRPr="00526FBF">
              <w:rPr>
                <w:rFonts w:ascii="Arial Narrow" w:hAnsi="Arial Narrow" w:cs="Arial Narrow"/>
                <w:bCs/>
                <w:sz w:val="20"/>
                <w:szCs w:val="20"/>
              </w:rPr>
              <w:t xml:space="preserve"> LVEF of &lt;40%</w:t>
            </w:r>
            <w:r w:rsidR="000B0C55">
              <w:rPr>
                <w:rFonts w:ascii="Arial Narrow" w:hAnsi="Arial Narrow" w:cs="Arial Narrow"/>
                <w:bCs/>
                <w:sz w:val="20"/>
                <w:szCs w:val="20"/>
              </w:rPr>
              <w:t>:</w:t>
            </w:r>
          </w:p>
          <w:p w14:paraId="19B0E4A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n=18 (56%) LGE+</w:t>
            </w:r>
            <w:r w:rsidRPr="00526FBF">
              <w:rPr>
                <w:rFonts w:ascii="Arial Narrow" w:hAnsi="Arial Narrow" w:cs="Arial Narrow"/>
                <w:bCs/>
                <w:sz w:val="20"/>
              </w:rPr>
              <w:br/>
              <w:t>n=14 (44%) LGE–</w:t>
            </w:r>
          </w:p>
          <w:p w14:paraId="6DFFEF04" w14:textId="77777777" w:rsidR="00233C59"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13639B1D" w14:textId="77777777" w:rsidR="00233C5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61.1 ± 11.5 years; </w:t>
            </w:r>
          </w:p>
          <w:p w14:paraId="5FCFB214" w14:textId="77777777" w:rsidR="00233C5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59%; </w:t>
            </w:r>
          </w:p>
          <w:p w14:paraId="32414618" w14:textId="295C3101"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27.9 ± 7.4%; LVEF (CMR) = 21.3 ± 12.0%; medications: ACE inhibitor = 91%, </w:t>
            </w:r>
            <w:r w:rsidR="00233C59" w:rsidRPr="00257ED7">
              <w:rPr>
                <w:rFonts w:ascii="Arial Narrow" w:hAnsi="Arial Narrow" w:cs="Arial Narrow"/>
                <w:bCs/>
                <w:sz w:val="20"/>
              </w:rPr>
              <w:sym w:font="Symbol" w:char="F062"/>
            </w:r>
            <w:r w:rsidRPr="00B64F30">
              <w:rPr>
                <w:rFonts w:ascii="Arial Narrow" w:hAnsi="Arial Narrow" w:cs="Arial Narrow"/>
                <w:bCs/>
                <w:sz w:val="20"/>
              </w:rPr>
              <w:t>-</w:t>
            </w:r>
            <w:r w:rsidRPr="00526FBF">
              <w:rPr>
                <w:rFonts w:ascii="Arial Narrow" w:hAnsi="Arial Narrow" w:cs="Arial Narrow"/>
                <w:bCs/>
                <w:sz w:val="20"/>
              </w:rPr>
              <w:t>blockers = 94%</w:t>
            </w:r>
          </w:p>
          <w:p w14:paraId="0D2AD59F" w14:textId="50D0C3D6"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30.8 ± 12.9</w:t>
            </w:r>
            <w:r w:rsidR="005D32AA">
              <w:rPr>
                <w:rFonts w:ascii="Arial Narrow" w:hAnsi="Arial Narrow" w:cs="Arial Narrow"/>
                <w:bCs/>
                <w:sz w:val="20"/>
                <w:szCs w:val="20"/>
              </w:rPr>
              <w:t> </w:t>
            </w:r>
            <w:r w:rsidRPr="00526FBF">
              <w:rPr>
                <w:rFonts w:ascii="Arial Narrow" w:hAnsi="Arial Narrow" w:cs="Arial Narrow"/>
                <w:bCs/>
                <w:sz w:val="20"/>
                <w:szCs w:val="20"/>
              </w:rPr>
              <w:t>months</w:t>
            </w:r>
          </w:p>
        </w:tc>
        <w:tc>
          <w:tcPr>
            <w:tcW w:w="882" w:type="pct"/>
          </w:tcPr>
          <w:p w14:paraId="3F51F281" w14:textId="36AF5A5F"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Inclusion criteria:</w:t>
            </w:r>
            <w:r w:rsidRPr="00526FBF">
              <w:rPr>
                <w:rFonts w:ascii="Arial Narrow" w:hAnsi="Arial Narrow"/>
                <w:sz w:val="20"/>
              </w:rPr>
              <w:t xml:space="preserve"> Patients who were referred to the Hyogo Brain and Heart Center between August 2003 and January 2005, had an ECG-assessed LVEF of &lt;40% and were diagnosed with DCM but had not been previously treated</w:t>
            </w:r>
          </w:p>
          <w:p w14:paraId="45D10C1D" w14:textId="58C572D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the presence of any contraindications for CMR and contrast medium, </w:t>
            </w:r>
            <w:r>
              <w:rPr>
                <w:rFonts w:ascii="Arial Narrow" w:hAnsi="Arial Narrow"/>
                <w:sz w:val="20"/>
              </w:rPr>
              <w:t>ICM</w:t>
            </w:r>
            <w:r w:rsidRPr="00526FBF">
              <w:rPr>
                <w:rFonts w:ascii="Arial Narrow" w:hAnsi="Arial Narrow"/>
                <w:sz w:val="20"/>
              </w:rPr>
              <w:t xml:space="preserve"> or </w:t>
            </w:r>
            <w:r>
              <w:rPr>
                <w:rFonts w:ascii="Arial Narrow" w:hAnsi="Arial Narrow"/>
                <w:sz w:val="20"/>
              </w:rPr>
              <w:t>HCM</w:t>
            </w:r>
            <w:r w:rsidRPr="00526FBF">
              <w:rPr>
                <w:rFonts w:ascii="Arial Narrow" w:hAnsi="Arial Narrow"/>
                <w:sz w:val="20"/>
              </w:rPr>
              <w:t>, infiltrative heart disease, significant valvular disease or persistent arrhythmias</w:t>
            </w:r>
          </w:p>
        </w:tc>
        <w:tc>
          <w:tcPr>
            <w:tcW w:w="1030" w:type="pct"/>
          </w:tcPr>
          <w:p w14:paraId="7FCA98C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cardiac five-channel coil</w:t>
            </w:r>
          </w:p>
          <w:p w14:paraId="1A545893" w14:textId="29D38D64"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images covering both ventricles were obtained using a breath-hold steady-state free</w:t>
            </w:r>
            <w:r w:rsidR="00544F53">
              <w:rPr>
                <w:rFonts w:ascii="Arial Narrow" w:hAnsi="Arial Narrow" w:cs="Times New Roman"/>
                <w:sz w:val="20"/>
                <w:szCs w:val="20"/>
              </w:rPr>
              <w:t>-</w:t>
            </w:r>
            <w:r w:rsidRPr="00526FBF">
              <w:rPr>
                <w:rFonts w:ascii="Arial Narrow" w:hAnsi="Arial Narrow" w:cs="Times New Roman"/>
                <w:sz w:val="20"/>
                <w:szCs w:val="20"/>
              </w:rPr>
              <w:t>precession sequence</w:t>
            </w:r>
            <w:r w:rsidR="00544F53">
              <w:rPr>
                <w:rFonts w:ascii="Arial Narrow" w:hAnsi="Arial Narrow" w:cs="Times New Roman"/>
                <w:sz w:val="20"/>
                <w:szCs w:val="20"/>
              </w:rPr>
              <w:t>.</w:t>
            </w:r>
          </w:p>
          <w:p w14:paraId="30D6B521" w14:textId="33E407F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gradient</w:t>
            </w:r>
            <w:r w:rsidR="00544F53">
              <w:rPr>
                <w:rFonts w:ascii="Arial Narrow" w:hAnsi="Arial Narrow" w:cs="Times New Roman"/>
                <w:sz w:val="20"/>
                <w:szCs w:val="20"/>
              </w:rPr>
              <w:t>-</w:t>
            </w:r>
            <w:r w:rsidRPr="00526FBF">
              <w:rPr>
                <w:rFonts w:ascii="Arial Narrow" w:hAnsi="Arial Narrow" w:cs="Times New Roman"/>
                <w:sz w:val="20"/>
                <w:szCs w:val="20"/>
              </w:rPr>
              <w:t>echo sequence</w:t>
            </w:r>
          </w:p>
          <w:p w14:paraId="37EF6F88" w14:textId="4E12C2B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 mmol/kg </w:t>
            </w:r>
            <w:r w:rsidR="00544F53">
              <w:rPr>
                <w:rFonts w:ascii="Arial Narrow" w:hAnsi="Arial Narrow" w:cs="Times New Roman"/>
                <w:sz w:val="20"/>
                <w:szCs w:val="20"/>
              </w:rPr>
              <w:t>G</w:t>
            </w:r>
            <w:r w:rsidR="00BC0735">
              <w:rPr>
                <w:rFonts w:ascii="Arial Narrow" w:hAnsi="Arial Narrow" w:cs="Times New Roman"/>
                <w:sz w:val="20"/>
                <w:szCs w:val="20"/>
              </w:rPr>
              <w:t>d</w:t>
            </w:r>
            <w:r w:rsidRPr="00526FBF">
              <w:rPr>
                <w:rFonts w:ascii="Arial Narrow" w:hAnsi="Arial Narrow" w:cs="Times New Roman"/>
                <w:sz w:val="20"/>
                <w:szCs w:val="20"/>
              </w:rPr>
              <w:t>-DTPA</w:t>
            </w:r>
          </w:p>
          <w:p w14:paraId="77968540"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 minutes</w:t>
            </w:r>
          </w:p>
          <w:p w14:paraId="6482E813" w14:textId="40C47F22"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volume and function were measured on short-axi</w:t>
            </w:r>
            <w:r w:rsidR="00BC0735">
              <w:rPr>
                <w:rFonts w:ascii="Arial Narrow" w:hAnsi="Arial Narrow" w:cs="Times New Roman"/>
                <w:sz w:val="20"/>
                <w:szCs w:val="20"/>
              </w:rPr>
              <w:t>s</w:t>
            </w:r>
            <w:r w:rsidRPr="00526FBF">
              <w:rPr>
                <w:rFonts w:ascii="Arial Narrow" w:hAnsi="Arial Narrow" w:cs="Times New Roman"/>
                <w:sz w:val="20"/>
                <w:szCs w:val="20"/>
              </w:rPr>
              <w:t xml:space="preserve"> slices with standard techniques.</w:t>
            </w:r>
          </w:p>
          <w:p w14:paraId="0D0E1C9D" w14:textId="4DB22C8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was assessed by 2 independent blinded expert readers and was defined as being present only if it was identified in both long-axis </w:t>
            </w:r>
            <w:r w:rsidRPr="00526FBF">
              <w:rPr>
                <w:rFonts w:ascii="Arial Narrow" w:hAnsi="Arial Narrow" w:cs="Times New Roman"/>
                <w:sz w:val="20"/>
                <w:szCs w:val="20"/>
              </w:rPr>
              <w:lastRenderedPageBreak/>
              <w:t>and short-axis views</w:t>
            </w:r>
            <w:r w:rsidR="003B137D">
              <w:rPr>
                <w:rFonts w:ascii="Arial Narrow" w:hAnsi="Arial Narrow" w:cs="Times New Roman"/>
                <w:sz w:val="20"/>
                <w:szCs w:val="20"/>
              </w:rPr>
              <w:t>.</w:t>
            </w:r>
          </w:p>
        </w:tc>
        <w:tc>
          <w:tcPr>
            <w:tcW w:w="1177" w:type="pct"/>
          </w:tcPr>
          <w:p w14:paraId="716C623D"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ICD implantation was considered with the occurrence of NSVT on Holter ECG, either on admission or during the follow-up period, or with the presence of critical arrhythmia. The physicians made the decision for ICD implantation while blinded to the </w:t>
            </w:r>
            <w:r>
              <w:rPr>
                <w:rFonts w:ascii="Arial Narrow" w:hAnsi="Arial Narrow"/>
                <w:sz w:val="20"/>
              </w:rPr>
              <w:t>C</w:t>
            </w:r>
            <w:r w:rsidRPr="00526FBF">
              <w:rPr>
                <w:rFonts w:ascii="Arial Narrow" w:hAnsi="Arial Narrow"/>
                <w:sz w:val="20"/>
              </w:rPr>
              <w:t>MR data.</w:t>
            </w:r>
          </w:p>
          <w:p w14:paraId="6601A8A2"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8AF2D09" w14:textId="4D4E0BF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235F9879" w14:textId="0E79CA09" w:rsidR="00A474A9" w:rsidRPr="00526FBF" w:rsidRDefault="003B137D" w:rsidP="004C79C1">
            <w:pPr>
              <w:spacing w:before="0" w:after="120" w:line="240" w:lineRule="auto"/>
              <w:ind w:left="118" w:right="-57"/>
              <w:rPr>
                <w:rFonts w:ascii="Arial Narrow" w:hAnsi="Arial Narrow" w:cs="Arial Narrow"/>
                <w:bCs/>
                <w:sz w:val="20"/>
              </w:rPr>
            </w:pPr>
            <w:r>
              <w:rPr>
                <w:rFonts w:ascii="Arial Narrow" w:hAnsi="Arial Narrow" w:cs="Arial Narrow"/>
                <w:bCs/>
                <w:sz w:val="20"/>
                <w:szCs w:val="20"/>
              </w:rPr>
              <w:t>a</w:t>
            </w:r>
            <w:r w:rsidR="00A474A9" w:rsidRPr="00526FBF">
              <w:rPr>
                <w:rFonts w:ascii="Arial Narrow" w:hAnsi="Arial Narrow" w:cs="Arial Narrow"/>
                <w:bCs/>
                <w:sz w:val="20"/>
                <w:szCs w:val="20"/>
              </w:rPr>
              <w:t>ll-cause mortality</w:t>
            </w:r>
            <w:r w:rsidR="00A474A9" w:rsidRPr="00526FBF">
              <w:rPr>
                <w:rFonts w:ascii="Arial Narrow" w:hAnsi="Arial Narrow" w:cs="Arial Narrow"/>
                <w:bCs/>
                <w:sz w:val="20"/>
                <w:szCs w:val="20"/>
              </w:rPr>
              <w:br/>
            </w:r>
            <w:r>
              <w:rPr>
                <w:rFonts w:ascii="Arial Narrow" w:hAnsi="Arial Narrow" w:cs="Arial Narrow"/>
                <w:bCs/>
                <w:sz w:val="20"/>
                <w:szCs w:val="20"/>
              </w:rPr>
              <w:t>c</w:t>
            </w:r>
            <w:r w:rsidR="00A474A9" w:rsidRPr="00526FBF">
              <w:rPr>
                <w:rFonts w:ascii="Arial Narrow" w:hAnsi="Arial Narrow" w:cs="Arial Narrow"/>
                <w:bCs/>
                <w:sz w:val="20"/>
                <w:szCs w:val="20"/>
              </w:rPr>
              <w:t>ardiac death</w:t>
            </w:r>
            <w:r w:rsidR="00A474A9" w:rsidRPr="00526FBF">
              <w:rPr>
                <w:rFonts w:ascii="Arial Narrow" w:hAnsi="Arial Narrow" w:cs="Arial Narrow"/>
                <w:bCs/>
                <w:sz w:val="20"/>
              </w:rPr>
              <w:br/>
              <w:t>VF/VT events</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CHF</w:t>
            </w:r>
            <w:r w:rsidR="00A474A9" w:rsidRPr="00526FBF">
              <w:rPr>
                <w:rFonts w:ascii="Arial Narrow" w:hAnsi="Arial Narrow" w:cs="Arial Narrow"/>
                <w:bCs/>
                <w:sz w:val="20"/>
              </w:rPr>
              <w:br/>
            </w:r>
            <w:r w:rsidR="00A474A9" w:rsidRPr="00526FBF">
              <w:rPr>
                <w:rFonts w:ascii="Arial Narrow" w:hAnsi="Arial Narrow" w:cs="Arial Narrow"/>
                <w:bCs/>
                <w:sz w:val="20"/>
                <w:szCs w:val="20"/>
              </w:rPr>
              <w:t>ICD implantation</w:t>
            </w:r>
          </w:p>
          <w:p w14:paraId="25692A8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45432DA2" w14:textId="77777777" w:rsidTr="00BE5D7C">
        <w:tc>
          <w:tcPr>
            <w:tcW w:w="391" w:type="pct"/>
          </w:tcPr>
          <w:p w14:paraId="17C4899B" w14:textId="595BF17E"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Lehrke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fldData xml:space="preserve">PEVuZE5vdGU+PENpdGUgRXhjbHVkZUF1dGg9IjEiPjxBdXRob3I+TGVocmtlPC9BdXRob3I+PFll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</w:fldData>
              </w:fldChar>
            </w:r>
            <w:r w:rsidR="00187A29">
              <w:rPr>
                <w:rFonts w:ascii="Arial Narrow" w:hAnsi="Arial Narrow" w:cs="Arial Narrow"/>
                <w:bCs/>
                <w:sz w:val="20"/>
                <w:szCs w:val="20"/>
              </w:rPr>
              <w:instrText xml:space="preserve"> ADDIN EN.CITE </w:instrText>
            </w:r>
            <w:r w:rsidR="00187A29">
              <w:rPr>
                <w:rFonts w:ascii="Arial Narrow" w:hAnsi="Arial Narrow" w:cs="Arial Narrow"/>
                <w:bCs/>
                <w:sz w:val="20"/>
                <w:szCs w:val="20"/>
              </w:rPr>
              <w:fldChar w:fldCharType="begin">
                <w:fldData xml:space="preserve">PEVuZE5vdGU+PENpdGUgRXhjbHVkZUF1dGg9IjEiPjxBdXRob3I+TGVocmtlPC9BdXRob3I+PFll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</w:fldData>
              </w:fldChar>
            </w:r>
            <w:r w:rsidR="00187A29">
              <w:rPr>
                <w:rFonts w:ascii="Arial Narrow" w:hAnsi="Arial Narrow" w:cs="Arial Narrow"/>
                <w:bCs/>
                <w:sz w:val="20"/>
                <w:szCs w:val="20"/>
              </w:rPr>
              <w:instrText xml:space="preserve"> ADDIN EN.CITE.DATA </w:instrText>
            </w:r>
            <w:r w:rsidR="00187A29">
              <w:rPr>
                <w:rFonts w:ascii="Arial Narrow" w:hAnsi="Arial Narrow" w:cs="Arial Narrow"/>
                <w:bCs/>
                <w:sz w:val="20"/>
                <w:szCs w:val="20"/>
              </w:rPr>
            </w:r>
            <w:r w:rsidR="00187A29">
              <w:rPr>
                <w:rFonts w:ascii="Arial Narrow" w:hAnsi="Arial Narrow" w:cs="Arial Narrow"/>
                <w:bCs/>
                <w:sz w:val="20"/>
                <w:szCs w:val="20"/>
              </w:rPr>
              <w:fldChar w:fldCharType="end"/>
            </w:r>
            <w:r w:rsidR="00187A29">
              <w:rPr>
                <w:rFonts w:ascii="Arial Narrow" w:hAnsi="Arial Narrow" w:cs="Arial Narrow"/>
                <w:bCs/>
                <w:sz w:val="20"/>
                <w:szCs w:val="20"/>
              </w:rPr>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65" w:tooltip="Lehrke, 2011 #47" w:history="1">
              <w:r w:rsidR="00B906E9">
                <w:rPr>
                  <w:rFonts w:ascii="Arial Narrow" w:hAnsi="Arial Narrow" w:cs="Arial Narrow"/>
                  <w:bCs/>
                  <w:noProof/>
                  <w:sz w:val="20"/>
                  <w:szCs w:val="20"/>
                </w:rPr>
                <w:t>2011</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69DFC570" w14:textId="77777777" w:rsidR="00A474A9" w:rsidRPr="00526FBF" w:rsidRDefault="00A474A9" w:rsidP="004C79C1">
            <w:pPr>
              <w:spacing w:before="0" w:after="120" w:line="240" w:lineRule="auto"/>
              <w:rPr>
                <w:rFonts w:ascii="Arial Narrow" w:hAnsi="Arial Narrow" w:cs="Arial Narrow"/>
                <w:bCs/>
                <w:sz w:val="20"/>
                <w:szCs w:val="20"/>
              </w:rPr>
            </w:pPr>
          </w:p>
          <w:p w14:paraId="48A65A7D"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Germany</w:t>
            </w:r>
          </w:p>
        </w:tc>
        <w:tc>
          <w:tcPr>
            <w:tcW w:w="588" w:type="pct"/>
          </w:tcPr>
          <w:p w14:paraId="30EA5077"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Prospective cohort</w:t>
            </w:r>
          </w:p>
          <w:p w14:paraId="281DC404" w14:textId="77777777" w:rsidR="00A474A9" w:rsidRPr="00526FBF" w:rsidRDefault="00A474A9" w:rsidP="004C79C1">
            <w:pPr>
              <w:spacing w:before="0" w:after="120" w:line="240" w:lineRule="auto"/>
              <w:rPr>
                <w:rFonts w:ascii="Arial Narrow" w:hAnsi="Arial Narrow" w:cs="Arial Narrow"/>
                <w:bCs/>
                <w:sz w:val="20"/>
              </w:rPr>
            </w:pPr>
          </w:p>
          <w:p w14:paraId="18F59EAE"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21D528CB" w14:textId="77777777" w:rsidR="00A474A9" w:rsidRPr="00526FBF" w:rsidRDefault="00A474A9" w:rsidP="004C79C1">
            <w:pPr>
              <w:spacing w:before="0" w:after="120" w:line="240" w:lineRule="auto"/>
              <w:rPr>
                <w:rFonts w:ascii="Arial Narrow" w:hAnsi="Arial Narrow" w:cs="Arial Narrow"/>
                <w:bCs/>
                <w:sz w:val="20"/>
              </w:rPr>
            </w:pPr>
          </w:p>
          <w:p w14:paraId="098AB457"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293510C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N=184 consecutive patients with DCM </w:t>
            </w:r>
          </w:p>
          <w:p w14:paraId="73D0507E" w14:textId="30CB83B0" w:rsidR="00A474A9" w:rsidRPr="00526FBF" w:rsidRDefault="00A474A9" w:rsidP="004C79C1">
            <w:pPr>
              <w:spacing w:before="0" w:after="120" w:line="240" w:lineRule="auto"/>
              <w:rPr>
                <w:rFonts w:ascii="Arial Narrow" w:hAnsi="Arial Narrow" w:cs="Arial Narrow"/>
                <w:b/>
                <w:bCs/>
                <w:sz w:val="20"/>
                <w:szCs w:val="20"/>
              </w:rPr>
            </w:pPr>
            <w:r w:rsidRPr="00526FBF">
              <w:rPr>
                <w:rFonts w:ascii="Arial Narrow" w:hAnsi="Arial Narrow" w:cs="Arial Narrow"/>
                <w:b/>
                <w:bCs/>
                <w:sz w:val="20"/>
                <w:szCs w:val="20"/>
              </w:rPr>
              <w:t xml:space="preserve">NOTE: patients included in Buss </w:t>
            </w:r>
            <w:r>
              <w:rPr>
                <w:rFonts w:ascii="Arial Narrow" w:hAnsi="Arial Narrow" w:cs="Arial Narrow"/>
                <w:b/>
                <w:bCs/>
                <w:sz w:val="20"/>
                <w:szCs w:val="20"/>
              </w:rPr>
              <w:t xml:space="preserve">et al. </w:t>
            </w:r>
            <w:r w:rsidR="00187A29">
              <w:rPr>
                <w:rFonts w:ascii="Arial Narrow" w:hAnsi="Arial Narrow" w:cs="Arial Narrow"/>
                <w:b/>
                <w:bCs/>
                <w:sz w:val="20"/>
                <w:szCs w:val="20"/>
              </w:rPr>
              <w:fldChar w:fldCharType="begin"/>
            </w:r>
            <w:r w:rsidR="00187A29">
              <w:rPr>
                <w:rFonts w:ascii="Arial Narrow" w:hAnsi="Arial Narrow" w:cs="Arial Narrow"/>
                <w:b/>
                <w:bCs/>
                <w:sz w:val="20"/>
                <w:szCs w:val="20"/>
              </w:rPr>
              <w:instrText xml:space="preserve"> ADDIN EN.CITE &lt;EndNote&gt;&lt;Cite ExcludeAuth="1"&gt;&lt;Author&gt;Buss&lt;/Author&gt;&lt;Year&gt;2015&lt;/Year&gt;&lt;RecNum&gt;36&lt;/RecNum&gt;&lt;DisplayText&gt;(2015)&lt;/DisplayText&gt;&lt;record&gt;&lt;rec-number&gt;36&lt;/rec-number&gt;&lt;foreign-keys&gt;&lt;key app="EN" db-id="pfxxvref0t0a5de2vwnv2fwkz0p9v0r2fw0t" timestamp="1458109046"&gt;36&lt;/key&gt;&lt;/foreign-keys&gt;&lt;ref-type name="Journal Article"&gt;17&lt;/ref-type&gt;&lt;contributors&gt;&lt;authors&gt;&lt;author&gt;Buss, S. J.&lt;/author&gt;&lt;author&gt;Breuninger, K.&lt;/author&gt;&lt;author&gt;Lehrke, S.&lt;/author&gt;&lt;author&gt;Voss, A.&lt;/author&gt;&lt;author&gt;Galuschky, C.&lt;/author&gt;&lt;author&gt;Lossnitzer, D.&lt;/author&gt;&lt;author&gt;Andre, F.&lt;/author&gt;&lt;author&gt;Ehlermann, P.&lt;/author&gt;&lt;author&gt;Franke, J.&lt;/author&gt;&lt;author&gt;Taeger, T.&lt;/author&gt;&lt;author&gt;Frankenstein, L.&lt;/author&gt;&lt;author&gt;Steen, H.&lt;/author&gt;&lt;author&gt;Meder, B.&lt;/author&gt;&lt;author&gt;Giannitsis, E.&lt;/author&gt;&lt;author&gt;Katus, H. A.&lt;/author&gt;&lt;author&gt;Korosoglou, G.&lt;/author&gt;&lt;/authors&gt;&lt;/contributors&gt;&lt;titles&gt;&lt;title&gt;Assessment of myocardial deformation with cardiac magnetic resonance strain imaging improves risk stratification in patients with dilated cardiomyopathy&lt;/title&gt;&lt;secondary-title&gt;European Heart Journal Cardiovascular Imaging&lt;/secondary-title&gt;&lt;/titles&gt;&lt;periodical&gt;&lt;full-title&gt;European Heart Journal Cardiovascular Imaging&lt;/full-title&gt;&lt;/periodical&gt;&lt;pages&gt;307-15&lt;/pages&gt;&lt;volume&gt;16&lt;/volume&gt;&lt;number&gt;3&lt;/number&gt;&lt;dates&gt;&lt;year&gt;2015&lt;/year&gt;&lt;pub-dates&gt;&lt;date&gt;2015-01-01&lt;/date&gt;&lt;/pub-dates&gt;&lt;/dates&gt;&lt;urls&gt;&lt;related-urls&gt;&lt;url&gt;http://ehjcimaging.oxfordjournals.org/content/ejechocard/16/3/307.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
                <w:bCs/>
                <w:sz w:val="20"/>
                <w:szCs w:val="20"/>
              </w:rPr>
              <w:fldChar w:fldCharType="separate"/>
            </w:r>
            <w:r w:rsidR="00187A29">
              <w:rPr>
                <w:rFonts w:ascii="Arial Narrow" w:hAnsi="Arial Narrow" w:cs="Arial Narrow"/>
                <w:b/>
                <w:bCs/>
                <w:noProof/>
                <w:sz w:val="20"/>
                <w:szCs w:val="20"/>
              </w:rPr>
              <w:t>(</w:t>
            </w:r>
            <w:hyperlink w:anchor="_ENREF_18" w:tooltip="Buss, 2015 #36" w:history="1">
              <w:r w:rsidR="00B906E9">
                <w:rPr>
                  <w:rFonts w:ascii="Arial Narrow" w:hAnsi="Arial Narrow" w:cs="Arial Narrow"/>
                  <w:b/>
                  <w:bCs/>
                  <w:noProof/>
                  <w:sz w:val="20"/>
                  <w:szCs w:val="20"/>
                </w:rPr>
                <w:t>2015</w:t>
              </w:r>
            </w:hyperlink>
            <w:r w:rsidR="00187A29">
              <w:rPr>
                <w:rFonts w:ascii="Arial Narrow" w:hAnsi="Arial Narrow" w:cs="Arial Narrow"/>
                <w:b/>
                <w:bCs/>
                <w:noProof/>
                <w:sz w:val="20"/>
                <w:szCs w:val="20"/>
              </w:rPr>
              <w:t>)</w:t>
            </w:r>
            <w:r w:rsidR="00187A29">
              <w:rPr>
                <w:rFonts w:ascii="Arial Narrow" w:hAnsi="Arial Narrow" w:cs="Arial Narrow"/>
                <w:b/>
                <w:bCs/>
                <w:sz w:val="20"/>
                <w:szCs w:val="20"/>
              </w:rPr>
              <w:fldChar w:fldCharType="end"/>
            </w:r>
            <w:r w:rsidR="000B0C55">
              <w:rPr>
                <w:rFonts w:ascii="Arial Narrow" w:hAnsi="Arial Narrow" w:cs="Arial Narrow"/>
                <w:b/>
                <w:bCs/>
                <w:sz w:val="20"/>
                <w:szCs w:val="20"/>
              </w:rPr>
              <w:t>:</w:t>
            </w:r>
          </w:p>
          <w:p w14:paraId="19ACDB33"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n=72 (39%) LGE+</w:t>
            </w:r>
            <w:r w:rsidRPr="00526FBF">
              <w:rPr>
                <w:rFonts w:ascii="Arial Narrow" w:hAnsi="Arial Narrow" w:cs="Arial Narrow"/>
                <w:bCs/>
                <w:sz w:val="20"/>
              </w:rPr>
              <w:br/>
              <w:t>n=112 (61%) LGE–</w:t>
            </w:r>
          </w:p>
          <w:p w14:paraId="7C6948AD" w14:textId="77777777" w:rsidR="00F779BA"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D41475A" w14:textId="77777777" w:rsidR="00F779BA"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51.6 ± 1.1 years; </w:t>
            </w:r>
          </w:p>
          <w:p w14:paraId="40F4017E" w14:textId="77777777" w:rsidR="00F779BA"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75%; </w:t>
            </w:r>
          </w:p>
          <w:p w14:paraId="0C5DAC21" w14:textId="77777777" w:rsidR="00F779BA"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31% (IQR 21–42); </w:t>
            </w:r>
          </w:p>
          <w:p w14:paraId="3F34B36C" w14:textId="77777777" w:rsidR="00F779BA"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history of AF = 13%; </w:t>
            </w:r>
          </w:p>
          <w:p w14:paraId="1761FCE3" w14:textId="12FA66AA"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rPr>
              <w:t xml:space="preserve">family history of DCM = 15%; NYHA class: I = 22%, II = 48%, class III = 29%; medications: ACE inhibitor = 81%, ARB = 19%, </w:t>
            </w:r>
            <w:r w:rsidR="00C67109" w:rsidRPr="00257ED7">
              <w:rPr>
                <w:rFonts w:ascii="Arial Narrow" w:hAnsi="Arial Narrow" w:cs="Arial Narrow"/>
                <w:bCs/>
                <w:sz w:val="20"/>
              </w:rPr>
              <w:sym w:font="Symbol" w:char="F062"/>
            </w:r>
            <w:r w:rsidRPr="00526FBF">
              <w:rPr>
                <w:rFonts w:ascii="Arial Narrow" w:hAnsi="Arial Narrow" w:cs="Arial Narrow"/>
                <w:bCs/>
                <w:sz w:val="20"/>
              </w:rPr>
              <w:t>-blockers = 86%</w:t>
            </w:r>
          </w:p>
          <w:p w14:paraId="252F3D46" w14:textId="2B413EFB"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 xml:space="preserve">Mean follow-up: </w:t>
            </w:r>
            <w:r w:rsidRPr="00526FBF">
              <w:rPr>
                <w:rFonts w:ascii="Arial Narrow" w:hAnsi="Arial Narrow" w:cs="Arial Narrow"/>
                <w:bCs/>
                <w:sz w:val="20"/>
                <w:szCs w:val="20"/>
              </w:rPr>
              <w:t>658 ± 30</w:t>
            </w:r>
            <w:r w:rsidR="00C67109">
              <w:rPr>
                <w:rFonts w:ascii="Arial Narrow" w:hAnsi="Arial Narrow" w:cs="Arial Narrow"/>
                <w:bCs/>
                <w:sz w:val="20"/>
                <w:szCs w:val="20"/>
              </w:rPr>
              <w:t> </w:t>
            </w:r>
            <w:r w:rsidRPr="00526FBF">
              <w:rPr>
                <w:rFonts w:ascii="Arial Narrow" w:hAnsi="Arial Narrow" w:cs="Arial Narrow"/>
                <w:bCs/>
                <w:sz w:val="20"/>
                <w:szCs w:val="20"/>
              </w:rPr>
              <w:t>days</w:t>
            </w:r>
          </w:p>
        </w:tc>
        <w:tc>
          <w:tcPr>
            <w:tcW w:w="882" w:type="pct"/>
          </w:tcPr>
          <w:p w14:paraId="204E71BC" w14:textId="5C4C098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Inclusion criteria:</w:t>
            </w:r>
            <w:r w:rsidRPr="00526FBF">
              <w:rPr>
                <w:rFonts w:ascii="Arial Narrow" w:hAnsi="Arial Narrow"/>
                <w:sz w:val="20"/>
              </w:rPr>
              <w:t xml:space="preserve"> consecutive patients with DCM who were referred to the Cardiomyopathy Center between May 2005 and April 2008 with depressed systolic function (LVEF &lt;50%) in the absence of significant CAD (≥50% DS on ICA and/or a history of coronary revascularisation or MI)</w:t>
            </w:r>
            <w:r w:rsidR="00A751DE">
              <w:rPr>
                <w:rFonts w:ascii="Arial Narrow" w:hAnsi="Arial Narrow"/>
                <w:sz w:val="20"/>
              </w:rPr>
              <w:t>.</w:t>
            </w:r>
            <w:r w:rsidRPr="00526FBF">
              <w:rPr>
                <w:rFonts w:ascii="Arial Narrow" w:hAnsi="Arial Narrow"/>
                <w:sz w:val="20"/>
              </w:rPr>
              <w:t xml:space="preserve"> All patients had chronic HF</w:t>
            </w:r>
            <w:r>
              <w:rPr>
                <w:rFonts w:ascii="Arial Narrow" w:hAnsi="Arial Narrow"/>
                <w:sz w:val="20"/>
              </w:rPr>
              <w:t xml:space="preserve"> </w:t>
            </w:r>
            <w:r w:rsidRPr="00526FBF">
              <w:rPr>
                <w:rFonts w:ascii="Arial Narrow" w:hAnsi="Arial Narrow"/>
                <w:sz w:val="20"/>
              </w:rPr>
              <w:t>of at least 12</w:t>
            </w:r>
            <w:r w:rsidR="00A751DE">
              <w:rPr>
                <w:rFonts w:ascii="Arial Narrow" w:hAnsi="Arial Narrow"/>
                <w:sz w:val="20"/>
              </w:rPr>
              <w:t> </w:t>
            </w:r>
            <w:r w:rsidRPr="00526FBF">
              <w:rPr>
                <w:rFonts w:ascii="Arial Narrow" w:hAnsi="Arial Narrow"/>
                <w:sz w:val="20"/>
              </w:rPr>
              <w:t>months</w:t>
            </w:r>
            <w:r w:rsidR="00A751DE">
              <w:rPr>
                <w:rFonts w:ascii="Arial Narrow" w:hAnsi="Arial Narrow"/>
                <w:sz w:val="20"/>
              </w:rPr>
              <w:t>’</w:t>
            </w:r>
            <w:r w:rsidRPr="00526FBF">
              <w:rPr>
                <w:rFonts w:ascii="Arial Narrow" w:hAnsi="Arial Narrow"/>
                <w:sz w:val="20"/>
              </w:rPr>
              <w:t xml:space="preserve"> duration and were examined in a clinically stable condition (NYHA functional class ≤III).</w:t>
            </w:r>
          </w:p>
          <w:p w14:paraId="7C6E01D3"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Patients initially diagnosed as having DCM displaying a pattern of LGE suggestive of MI were excluded from the final analysis.</w:t>
            </w:r>
          </w:p>
          <w:p w14:paraId="2348F543" w14:textId="05C2041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valvular disease, hypertensive heart disease and congenital abnormalities, contraindications to CMR: cardiac pacemaker or ICD, other incompatible metallic implants, severe claustrophobia, obesity </w:t>
            </w:r>
            <w:r w:rsidRPr="00526FBF">
              <w:rPr>
                <w:rFonts w:ascii="Arial Narrow" w:hAnsi="Arial Narrow"/>
                <w:sz w:val="20"/>
              </w:rPr>
              <w:lastRenderedPageBreak/>
              <w:t>preventing patient entrance into the scanner bore, pregnancy, and lactation. Chronic renal failure of GFR &lt;30 mL/min/1.73 m</w:t>
            </w:r>
            <w:r w:rsidRPr="00526FBF">
              <w:rPr>
                <w:rFonts w:ascii="Arial Narrow" w:hAnsi="Arial Narrow"/>
                <w:sz w:val="20"/>
                <w:vertAlign w:val="superscript"/>
              </w:rPr>
              <w:t>2</w:t>
            </w:r>
            <w:r w:rsidRPr="00526FBF">
              <w:rPr>
                <w:rFonts w:ascii="Arial Narrow" w:hAnsi="Arial Narrow"/>
                <w:sz w:val="20"/>
              </w:rPr>
              <w:t xml:space="preserve"> was added after July 2007</w:t>
            </w:r>
            <w:r w:rsidR="00FD6D04">
              <w:rPr>
                <w:rFonts w:ascii="Arial Narrow" w:hAnsi="Arial Narrow"/>
                <w:sz w:val="20"/>
              </w:rPr>
              <w:t>.</w:t>
            </w:r>
          </w:p>
        </w:tc>
        <w:tc>
          <w:tcPr>
            <w:tcW w:w="1030" w:type="pct"/>
          </w:tcPr>
          <w:p w14:paraId="40F5DDB0"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five-element cardiac phased-array receiver coil</w:t>
            </w:r>
          </w:p>
          <w:p w14:paraId="33467451" w14:textId="2054EA9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images were obtained using a breath-hold segmented-k-space balanced fast-field echo sequence (SSFP) employing retrospective ECG gating in long</w:t>
            </w:r>
            <w:r w:rsidR="00A751DE">
              <w:rPr>
                <w:rFonts w:ascii="Arial Narrow" w:hAnsi="Arial Narrow" w:cs="Times New Roman"/>
                <w:sz w:val="20"/>
                <w:szCs w:val="20"/>
              </w:rPr>
              <w:t>-</w:t>
            </w:r>
            <w:r w:rsidRPr="00526FBF">
              <w:rPr>
                <w:rFonts w:ascii="Arial Narrow" w:hAnsi="Arial Narrow" w:cs="Times New Roman"/>
                <w:sz w:val="20"/>
                <w:szCs w:val="20"/>
              </w:rPr>
              <w:t>axis planes</w:t>
            </w:r>
            <w:r w:rsidRPr="00526FBF">
              <w:rPr>
                <w:sz w:val="24"/>
              </w:rPr>
              <w:t xml:space="preserve"> </w:t>
            </w:r>
            <w:r w:rsidRPr="00526FBF">
              <w:rPr>
                <w:rFonts w:ascii="Arial Narrow" w:hAnsi="Arial Narrow" w:cs="Times New Roman"/>
                <w:sz w:val="20"/>
                <w:szCs w:val="20"/>
              </w:rPr>
              <w:t>as well as in contiguous short</w:t>
            </w:r>
            <w:r w:rsidR="00A751DE">
              <w:rPr>
                <w:rFonts w:ascii="Arial Narrow" w:hAnsi="Arial Narrow" w:cs="Times New Roman"/>
                <w:sz w:val="20"/>
                <w:szCs w:val="20"/>
              </w:rPr>
              <w:t>-</w:t>
            </w:r>
            <w:r w:rsidRPr="00526FBF">
              <w:rPr>
                <w:rFonts w:ascii="Arial Narrow" w:hAnsi="Arial Narrow" w:cs="Times New Roman"/>
                <w:sz w:val="20"/>
                <w:szCs w:val="20"/>
              </w:rPr>
              <w:t>axis slices.</w:t>
            </w:r>
          </w:p>
          <w:p w14:paraId="30E916ED" w14:textId="6DA721D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w:t>
            </w:r>
            <w:r w:rsidR="00A751DE">
              <w:rPr>
                <w:rFonts w:ascii="Arial Narrow" w:hAnsi="Arial Narrow" w:cs="Times New Roman"/>
                <w:sz w:val="20"/>
                <w:szCs w:val="20"/>
              </w:rPr>
              <w:t>3D</w:t>
            </w:r>
            <w:r w:rsidRPr="00526FBF">
              <w:rPr>
                <w:rFonts w:ascii="Arial Narrow" w:hAnsi="Arial Narrow" w:cs="Times New Roman"/>
                <w:sz w:val="20"/>
                <w:szCs w:val="20"/>
              </w:rPr>
              <w:t xml:space="preserve"> inversion-recovery gradient</w:t>
            </w:r>
            <w:r w:rsidR="00A751DE">
              <w:rPr>
                <w:rFonts w:ascii="Arial Narrow" w:hAnsi="Arial Narrow" w:cs="Times New Roman"/>
                <w:sz w:val="20"/>
                <w:szCs w:val="20"/>
              </w:rPr>
              <w:t>-</w:t>
            </w:r>
            <w:r w:rsidRPr="00526FBF">
              <w:rPr>
                <w:rFonts w:ascii="Arial Narrow" w:hAnsi="Arial Narrow" w:cs="Times New Roman"/>
                <w:sz w:val="20"/>
                <w:szCs w:val="20"/>
              </w:rPr>
              <w:t>echo pulse sequence</w:t>
            </w:r>
          </w:p>
          <w:p w14:paraId="79215138" w14:textId="3FCA1670"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 mmol/kg </w:t>
            </w:r>
            <w:r w:rsidR="00A751DE">
              <w:rPr>
                <w:rFonts w:ascii="Arial Narrow" w:hAnsi="Arial Narrow" w:cs="Times New Roman"/>
                <w:sz w:val="20"/>
                <w:szCs w:val="20"/>
              </w:rPr>
              <w:t>Gd</w:t>
            </w:r>
            <w:r w:rsidRPr="00526FBF">
              <w:rPr>
                <w:rFonts w:ascii="Arial Narrow" w:hAnsi="Arial Narrow" w:cs="Times New Roman"/>
                <w:sz w:val="20"/>
                <w:szCs w:val="20"/>
              </w:rPr>
              <w:t>-DTPA</w:t>
            </w:r>
          </w:p>
          <w:p w14:paraId="0E35CA5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40A0C606"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Ventricular volumes, ejection fraction and LV myocardial mass were derived from short-axis slices after manual tracing of epicardial and endocardial borders.</w:t>
            </w:r>
          </w:p>
          <w:p w14:paraId="72D99A29" w14:textId="46CB9EB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was assessed by 2 independent blinded experienced observers. The pattern of LGE was characterised as mid-wall, </w:t>
            </w:r>
            <w:r w:rsidRPr="00526FBF">
              <w:rPr>
                <w:rFonts w:ascii="Arial Narrow" w:hAnsi="Arial Narrow" w:cs="Times New Roman"/>
                <w:sz w:val="20"/>
                <w:szCs w:val="20"/>
              </w:rPr>
              <w:lastRenderedPageBreak/>
              <w:t>epicardial, patchy/foci or diffuse.</w:t>
            </w:r>
          </w:p>
        </w:tc>
        <w:tc>
          <w:tcPr>
            <w:tcW w:w="1177" w:type="pct"/>
          </w:tcPr>
          <w:p w14:paraId="20FC09C3"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000F42DA"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48463D5" w14:textId="0C952FD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45F6DCE3" w14:textId="244DB330"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sz w:val="20"/>
              </w:rPr>
              <w:t>ICD implantation</w:t>
            </w:r>
            <w:r w:rsidRPr="00526FBF">
              <w:rPr>
                <w:rFonts w:ascii="Arial Narrow" w:hAnsi="Arial Narrow" w:cs="Arial Narrow"/>
                <w:bCs/>
                <w:sz w:val="20"/>
              </w:rPr>
              <w:br/>
            </w:r>
            <w:r w:rsidR="00704F04">
              <w:rPr>
                <w:rFonts w:ascii="Arial Narrow" w:hAnsi="Arial Narrow" w:cs="Arial Narrow"/>
                <w:bCs/>
                <w:sz w:val="20"/>
              </w:rPr>
              <w:t>a</w:t>
            </w:r>
            <w:r w:rsidRPr="00526FBF">
              <w:rPr>
                <w:rFonts w:ascii="Arial Narrow" w:hAnsi="Arial Narrow" w:cs="Arial Narrow"/>
                <w:bCs/>
                <w:sz w:val="20"/>
              </w:rPr>
              <w:t>ppropriate ICD disch</w:t>
            </w:r>
            <w:r>
              <w:rPr>
                <w:rFonts w:ascii="Arial Narrow" w:hAnsi="Arial Narrow" w:cs="Arial Narrow"/>
                <w:bCs/>
                <w:sz w:val="20"/>
              </w:rPr>
              <w:t>arge</w:t>
            </w:r>
            <w:r>
              <w:rPr>
                <w:rFonts w:ascii="Arial Narrow" w:hAnsi="Arial Narrow" w:cs="Arial Narrow"/>
                <w:bCs/>
                <w:sz w:val="20"/>
              </w:rPr>
              <w:br/>
              <w:t>SCD</w:t>
            </w:r>
            <w:r>
              <w:rPr>
                <w:rFonts w:ascii="Arial Narrow" w:hAnsi="Arial Narrow" w:cs="Arial Narrow"/>
                <w:bCs/>
                <w:sz w:val="20"/>
              </w:rPr>
              <w:br/>
            </w:r>
            <w:r w:rsidR="00704F04">
              <w:rPr>
                <w:rFonts w:ascii="Arial Narrow" w:hAnsi="Arial Narrow" w:cs="Arial Narrow"/>
                <w:bCs/>
                <w:sz w:val="20"/>
              </w:rPr>
              <w:t>h</w:t>
            </w:r>
            <w:r>
              <w:rPr>
                <w:rFonts w:ascii="Arial Narrow" w:hAnsi="Arial Narrow" w:cs="Arial Narrow"/>
                <w:bCs/>
                <w:sz w:val="20"/>
              </w:rPr>
              <w:t>ospitali</w:t>
            </w:r>
            <w:r w:rsidR="00704F04">
              <w:rPr>
                <w:rFonts w:ascii="Arial Narrow" w:hAnsi="Arial Narrow" w:cs="Arial Narrow"/>
                <w:bCs/>
                <w:sz w:val="20"/>
              </w:rPr>
              <w:t>s</w:t>
            </w:r>
            <w:r>
              <w:rPr>
                <w:rFonts w:ascii="Arial Narrow" w:hAnsi="Arial Narrow" w:cs="Arial Narrow"/>
                <w:bCs/>
                <w:sz w:val="20"/>
              </w:rPr>
              <w:t xml:space="preserve">ation for </w:t>
            </w:r>
            <w:r w:rsidRPr="00526FBF">
              <w:rPr>
                <w:rFonts w:ascii="Arial Narrow" w:hAnsi="Arial Narrow" w:cs="Arial Narrow"/>
                <w:bCs/>
                <w:sz w:val="20"/>
              </w:rPr>
              <w:t>HF</w:t>
            </w:r>
            <w:r w:rsidRPr="00526FBF">
              <w:rPr>
                <w:rFonts w:ascii="Arial Narrow" w:hAnsi="Arial Narrow" w:cs="Arial Narrow"/>
                <w:bCs/>
                <w:sz w:val="20"/>
              </w:rPr>
              <w:br/>
            </w:r>
            <w:r w:rsidR="00704F04">
              <w:rPr>
                <w:rFonts w:ascii="Arial Narrow" w:hAnsi="Arial Narrow"/>
                <w:sz w:val="20"/>
              </w:rPr>
              <w:t>c</w:t>
            </w:r>
            <w:r w:rsidRPr="00526FBF">
              <w:rPr>
                <w:rFonts w:ascii="Arial Narrow" w:hAnsi="Arial Narrow"/>
                <w:sz w:val="20"/>
              </w:rPr>
              <w:t>ardiac transplantation</w:t>
            </w:r>
          </w:p>
          <w:p w14:paraId="2A84D74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55A71ECD" w14:textId="77777777" w:rsidTr="00BE5D7C">
        <w:tc>
          <w:tcPr>
            <w:tcW w:w="391" w:type="pct"/>
          </w:tcPr>
          <w:p w14:paraId="3D3A8934" w14:textId="79C30609"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Leyva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ExcludeAuth="1"&gt;&lt;Author&gt;Leyva&lt;/Author&gt;&lt;Year&gt;2012&lt;/Year&gt;&lt;RecNum&gt;48&lt;/RecNum&gt;&lt;DisplayText&gt;(2012)&lt;/DisplayText&gt;&lt;record&gt;&lt;rec-number&gt;48&lt;/rec-number&gt;&lt;foreign-keys&gt;&lt;key app="EN" db-id="pfxxvref0t0a5de2vwnv2fwkz0p9v0r2fw0t" timestamp="1458109051"&gt;48&lt;/key&gt;&lt;/foreign-keys&gt;&lt;ref-type name="Journal Article"&gt;17&lt;/ref-type&gt;&lt;contributors&gt;&lt;authors&gt;&lt;author&gt;Leyva, Francisco&lt;/author&gt;&lt;author&gt;Taylor, Robin J.&lt;/author&gt;&lt;author&gt;Foley, Paul W. X.&lt;/author&gt;&lt;author&gt;Umar, Fraz&lt;/author&gt;&lt;author&gt;Mulligan, Lawrence J.&lt;/author&gt;&lt;author&gt;Patel, Kiran&lt;/author&gt;&lt;author&gt;Stegemann, Berthold&lt;/author&gt;&lt;author&gt;Haddad, Tarek&lt;/author&gt;&lt;author&gt;Smith, Russell E. A.&lt;/author&gt;&lt;author&gt;Prasad, Sanjay K.&lt;/author&gt;&lt;/authors&gt;&lt;/contributors&gt;&lt;titles&gt;&lt;title&gt;Left Ventricular Midwall Fibrosis as a Predictor of Mortality and Morbidity After Cardiac Resynchronization Therapy in Patients With Nonischemic Cardiomyopathy&lt;/title&gt;&lt;secondary-title&gt;Journal of the American College of Cardiology&lt;/secondary-title&gt;&lt;/titles&gt;&lt;periodical&gt;&lt;full-title&gt;Journal of the American College of Cardiology&lt;/full-title&gt;&lt;/periodical&gt;&lt;pages&gt;1659-1667&lt;/pages&gt;&lt;volume&gt;60&lt;/volume&gt;&lt;number&gt;17&lt;/number&gt;&lt;keywords&gt;&lt;keyword&gt;cardiac resynchronization therapy&lt;/keyword&gt;&lt;keyword&gt;heart failure&lt;/keyword&gt;&lt;keyword&gt;midwall fibrosis&lt;/keyword&gt;&lt;keyword&gt;mortality&lt;/keyword&gt;&lt;keyword&gt;nonischemic cardiomyopathy&lt;/keyword&gt;&lt;/keywords&gt;&lt;dates&gt;&lt;year&gt;2012&lt;/year&gt;&lt;pub-dates&gt;&lt;date&gt;10/23/&lt;/date&gt;&lt;/pub-dates&gt;&lt;/dates&gt;&lt;isbn&gt;0735-1097&lt;/isbn&gt;&lt;urls&gt;&lt;related-urls&gt;&lt;url&gt;http://www.sciencedirect.com/science/article/pii/S0735109712029312&lt;/url&gt;&lt;url&gt;http://ac.els-cdn.com/S0735109712029312/1-s2.0-S0735109712029312-main.pdf?_tid=b96bab46-c889-11e5-97ff-00000aacb362&amp;amp;acdnat=1454293135_d8c8fc5654410e1c7815c2c6323239b5&lt;/url&gt;&lt;/related-urls&gt;&lt;/urls&gt;&lt;electronic-resource-num&gt;http://dx.doi.org/10.1016/j.jacc.2012.05.054&lt;/electronic-resource-num&gt;&lt;research-notes&gt;Acceptable&lt;/research-notes&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66" w:tooltip="Leyva, 2012 #48" w:history="1">
              <w:r w:rsidR="00B906E9">
                <w:rPr>
                  <w:rFonts w:ascii="Arial Narrow" w:hAnsi="Arial Narrow" w:cs="Arial Narrow"/>
                  <w:bCs/>
                  <w:noProof/>
                  <w:sz w:val="20"/>
                  <w:szCs w:val="20"/>
                </w:rPr>
                <w:t>2012</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09AE5235" w14:textId="77777777" w:rsidR="00A474A9" w:rsidRPr="00526FBF" w:rsidRDefault="00A474A9" w:rsidP="004C79C1">
            <w:pPr>
              <w:spacing w:before="0" w:after="120" w:line="240" w:lineRule="auto"/>
              <w:rPr>
                <w:rFonts w:ascii="Arial Narrow" w:hAnsi="Arial Narrow" w:cs="Arial Narrow"/>
                <w:bCs/>
                <w:sz w:val="20"/>
                <w:szCs w:val="20"/>
              </w:rPr>
            </w:pPr>
          </w:p>
          <w:p w14:paraId="7F946536"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UK</w:t>
            </w:r>
          </w:p>
        </w:tc>
        <w:tc>
          <w:tcPr>
            <w:tcW w:w="588" w:type="pct"/>
            <w:shd w:val="clear" w:color="auto" w:fill="auto"/>
          </w:tcPr>
          <w:p w14:paraId="7AFBBE07"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26B604A9" w14:textId="77777777" w:rsidR="00A474A9" w:rsidRPr="00526FBF" w:rsidRDefault="00A474A9" w:rsidP="004C79C1">
            <w:pPr>
              <w:spacing w:before="0" w:after="120" w:line="240" w:lineRule="auto"/>
              <w:rPr>
                <w:rFonts w:ascii="Arial Narrow" w:hAnsi="Arial Narrow" w:cs="Arial Narrow"/>
                <w:bCs/>
                <w:sz w:val="20"/>
              </w:rPr>
            </w:pPr>
          </w:p>
          <w:p w14:paraId="2FDD937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626E6443" w14:textId="77777777" w:rsidR="00A474A9" w:rsidRPr="00526FBF" w:rsidRDefault="00A474A9" w:rsidP="004C79C1">
            <w:pPr>
              <w:spacing w:before="0" w:after="120" w:line="240" w:lineRule="auto"/>
              <w:rPr>
                <w:rFonts w:ascii="Arial Narrow" w:hAnsi="Arial Narrow" w:cs="Arial Narrow"/>
                <w:bCs/>
                <w:sz w:val="20"/>
              </w:rPr>
            </w:pPr>
          </w:p>
          <w:p w14:paraId="4009551A"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41129C77"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N=258 patients with DCM or ICM</w:t>
            </w:r>
          </w:p>
          <w:p w14:paraId="020948CB"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N=161 patients with ICM</w:t>
            </w:r>
          </w:p>
          <w:p w14:paraId="7F23D6F8" w14:textId="77777777" w:rsidR="00FD6D04"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Patient characteristics: </w:t>
            </w:r>
          </w:p>
          <w:p w14:paraId="60B71D0B" w14:textId="77777777" w:rsidR="00FD6D04"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age = 69.3 ± 9.4 years; </w:t>
            </w:r>
          </w:p>
          <w:p w14:paraId="59A4E979" w14:textId="77777777" w:rsidR="00FD6D04"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male = 88%; </w:t>
            </w:r>
          </w:p>
          <w:p w14:paraId="0A5C2AB2" w14:textId="60829B16" w:rsidR="00FD6D04"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QRS interval = 136.9 ± 32.6</w:t>
            </w:r>
            <w:r w:rsidR="007E1772">
              <w:rPr>
                <w:rFonts w:ascii="Arial Narrow" w:hAnsi="Arial Narrow" w:cs="Arial Narrow"/>
                <w:bCs/>
                <w:sz w:val="20"/>
                <w:szCs w:val="20"/>
              </w:rPr>
              <w:t> </w:t>
            </w:r>
            <w:r w:rsidRPr="00526FBF">
              <w:rPr>
                <w:rFonts w:ascii="Arial Narrow" w:hAnsi="Arial Narrow" w:cs="Arial Narrow"/>
                <w:bCs/>
                <w:sz w:val="20"/>
                <w:szCs w:val="20"/>
              </w:rPr>
              <w:t xml:space="preserve">milliseconds; </w:t>
            </w:r>
          </w:p>
          <w:p w14:paraId="54D986EC" w14:textId="77777777" w:rsidR="00FD6D04"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LVEF (CMR) = 23.9 ± 10.9%; permanent AF = 17%; </w:t>
            </w:r>
          </w:p>
          <w:p w14:paraId="538655B6" w14:textId="77777777" w:rsidR="00FD6D04"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CRT-D implantation = 20%; NYHA class: III = 76%, IV = 24%; </w:t>
            </w:r>
          </w:p>
          <w:p w14:paraId="393A32C4" w14:textId="2D4963A4"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medications: ACE inhibitor/ARB = 92%, </w:t>
            </w:r>
            <w:r w:rsidR="00FD6D04" w:rsidRPr="00257ED7">
              <w:rPr>
                <w:rFonts w:ascii="Arial Narrow" w:hAnsi="Arial Narrow" w:cs="Arial Narrow"/>
                <w:bCs/>
                <w:sz w:val="20"/>
              </w:rPr>
              <w:sym w:font="Symbol" w:char="F062"/>
            </w:r>
            <w:r w:rsidRPr="00526FBF">
              <w:rPr>
                <w:rFonts w:ascii="Arial Narrow" w:hAnsi="Arial Narrow" w:cs="Arial Narrow"/>
                <w:bCs/>
                <w:sz w:val="20"/>
                <w:szCs w:val="20"/>
              </w:rPr>
              <w:t>-blockers = 63%</w:t>
            </w:r>
          </w:p>
          <w:p w14:paraId="08BA6AB1" w14:textId="48D2E25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N=97 patients with DCM</w:t>
            </w:r>
            <w:r w:rsidR="00646604">
              <w:rPr>
                <w:rFonts w:ascii="Arial Narrow" w:hAnsi="Arial Narrow" w:cs="Arial Narrow"/>
                <w:bCs/>
                <w:sz w:val="20"/>
                <w:szCs w:val="20"/>
              </w:rPr>
              <w:t>:</w:t>
            </w:r>
          </w:p>
          <w:p w14:paraId="729BB87A"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n=20 (21%) LGE+</w:t>
            </w:r>
            <w:r w:rsidRPr="00526FBF">
              <w:rPr>
                <w:rFonts w:ascii="Arial Narrow" w:hAnsi="Arial Narrow" w:cs="Arial Narrow"/>
                <w:bCs/>
                <w:sz w:val="20"/>
              </w:rPr>
              <w:br/>
              <w:t>n=77 (79%) LGE–</w:t>
            </w:r>
          </w:p>
          <w:p w14:paraId="47E59070" w14:textId="77777777" w:rsidR="00FD6D04"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3A22CF58" w14:textId="77777777" w:rsidR="00FD6D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age = 66.7 ± 13.0 years; </w:t>
            </w:r>
          </w:p>
          <w:p w14:paraId="19584BCC" w14:textId="77777777" w:rsidR="00FD6D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62%; </w:t>
            </w:r>
          </w:p>
          <w:p w14:paraId="731885A6" w14:textId="7380434C" w:rsidR="00FD6D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144.2 ± 29.1</w:t>
            </w:r>
            <w:r w:rsidR="007E1772">
              <w:rPr>
                <w:rFonts w:ascii="Arial Narrow" w:hAnsi="Arial Narrow" w:cs="Arial Narrow"/>
                <w:bCs/>
                <w:sz w:val="20"/>
              </w:rPr>
              <w:t> </w:t>
            </w:r>
            <w:r w:rsidRPr="00526FBF">
              <w:rPr>
                <w:rFonts w:ascii="Arial Narrow" w:hAnsi="Arial Narrow" w:cs="Arial Narrow"/>
                <w:bCs/>
                <w:sz w:val="20"/>
              </w:rPr>
              <w:t xml:space="preserve">milliseconds; </w:t>
            </w:r>
          </w:p>
          <w:p w14:paraId="4A661C0B" w14:textId="77777777" w:rsidR="00FD6D0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23.9 ± 9.7%; permanent AF = 20%; </w:t>
            </w:r>
          </w:p>
          <w:p w14:paraId="2D59EB39" w14:textId="77777777" w:rsidR="007E1772"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CRT-D implantation = 2%; NYHA class: III = 73%, IV = 27%; </w:t>
            </w:r>
          </w:p>
          <w:p w14:paraId="5B0118A7" w14:textId="6D089036"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inhibitor/ARB = 93%, </w:t>
            </w:r>
            <w:r w:rsidR="007E1772" w:rsidRPr="00257ED7">
              <w:rPr>
                <w:rFonts w:ascii="Arial Narrow" w:hAnsi="Arial Narrow" w:cs="Arial Narrow"/>
                <w:bCs/>
                <w:sz w:val="20"/>
              </w:rPr>
              <w:sym w:font="Symbol" w:char="F062"/>
            </w:r>
            <w:r w:rsidRPr="00526FBF">
              <w:rPr>
                <w:rFonts w:ascii="Arial Narrow" w:hAnsi="Arial Narrow" w:cs="Arial Narrow"/>
                <w:bCs/>
                <w:sz w:val="20"/>
              </w:rPr>
              <w:t>-blockers = 52%</w:t>
            </w:r>
          </w:p>
          <w:p w14:paraId="541BB41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2.8 years (maximum 8.7 years)</w:t>
            </w:r>
          </w:p>
        </w:tc>
        <w:tc>
          <w:tcPr>
            <w:tcW w:w="882" w:type="pct"/>
          </w:tcPr>
          <w:p w14:paraId="45D8554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with DCM or ICM who were recruited from a single centre and who successfully underwent CRT device implantation and CMR imaging between September 2000 to July 2009</w:t>
            </w:r>
          </w:p>
          <w:p w14:paraId="174D7CB6" w14:textId="26C6C95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with hypertrophic or restrictive </w:t>
            </w:r>
            <w:r w:rsidR="00841F56">
              <w:rPr>
                <w:rFonts w:ascii="Arial Narrow" w:hAnsi="Arial Narrow"/>
                <w:sz w:val="20"/>
              </w:rPr>
              <w:t>CM</w:t>
            </w:r>
            <w:r w:rsidRPr="00526FBF">
              <w:rPr>
                <w:rFonts w:ascii="Arial Narrow" w:hAnsi="Arial Narrow"/>
                <w:sz w:val="20"/>
              </w:rPr>
              <w:t>, primary valvular disease or myocarditis, as well as patients with presumed NICM with fibrosis in distributions other than mid-wall (subepicardial, epicardial or patchy)</w:t>
            </w:r>
          </w:p>
        </w:tc>
        <w:tc>
          <w:tcPr>
            <w:tcW w:w="1030" w:type="pct"/>
          </w:tcPr>
          <w:p w14:paraId="12B610C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phased-array cardiac coil</w:t>
            </w:r>
          </w:p>
          <w:p w14:paraId="6DADB69E" w14:textId="76A9B76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w:t>
            </w:r>
            <w:r w:rsidR="002A2F06">
              <w:rPr>
                <w:rFonts w:ascii="Arial Narrow" w:hAnsi="Arial Narrow" w:cs="Times New Roman"/>
                <w:sz w:val="20"/>
                <w:szCs w:val="20"/>
              </w:rPr>
              <w:t>S</w:t>
            </w:r>
            <w:r w:rsidRPr="00526FBF">
              <w:rPr>
                <w:rFonts w:ascii="Arial Narrow" w:hAnsi="Arial Narrow" w:cs="Times New Roman"/>
                <w:sz w:val="20"/>
                <w:szCs w:val="20"/>
              </w:rPr>
              <w:t>hort-axis LV stack was acquired using a steady state in free</w:t>
            </w:r>
            <w:r w:rsidR="002A2F06">
              <w:rPr>
                <w:rFonts w:ascii="Arial Narrow" w:hAnsi="Arial Narrow" w:cs="Times New Roman"/>
                <w:sz w:val="20"/>
                <w:szCs w:val="20"/>
              </w:rPr>
              <w:t>-</w:t>
            </w:r>
            <w:r w:rsidRPr="00526FBF">
              <w:rPr>
                <w:rFonts w:ascii="Arial Narrow" w:hAnsi="Arial Narrow" w:cs="Times New Roman"/>
                <w:sz w:val="20"/>
                <w:szCs w:val="20"/>
              </w:rPr>
              <w:t>precession sequence.</w:t>
            </w:r>
          </w:p>
          <w:p w14:paraId="3C43CAED"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segmented inversion-recovery technique</w:t>
            </w:r>
          </w:p>
          <w:p w14:paraId="0FCCC5EF" w14:textId="1DA4BBD8"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w:t>
            </w:r>
            <w:r w:rsidR="002A2F06">
              <w:rPr>
                <w:rFonts w:ascii="Arial Narrow" w:hAnsi="Arial Narrow" w:cs="Times New Roman"/>
                <w:sz w:val="20"/>
                <w:szCs w:val="20"/>
              </w:rPr>
              <w:t> </w:t>
            </w:r>
            <w:r w:rsidRPr="00526FBF">
              <w:rPr>
                <w:rFonts w:ascii="Arial Narrow" w:hAnsi="Arial Narrow" w:cs="Times New Roman"/>
                <w:sz w:val="20"/>
                <w:szCs w:val="20"/>
              </w:rPr>
              <w:t xml:space="preserve">mmol/kg </w:t>
            </w:r>
            <w:r w:rsidR="002A2F06">
              <w:rPr>
                <w:rFonts w:ascii="Arial Narrow" w:hAnsi="Arial Narrow" w:cs="Times New Roman"/>
                <w:sz w:val="20"/>
                <w:szCs w:val="20"/>
              </w:rPr>
              <w:t>Gd</w:t>
            </w:r>
            <w:r w:rsidRPr="00526FBF">
              <w:rPr>
                <w:rFonts w:ascii="Arial Narrow" w:hAnsi="Arial Narrow" w:cs="Times New Roman"/>
                <w:sz w:val="20"/>
                <w:szCs w:val="20"/>
              </w:rPr>
              <w:t>-DTPA</w:t>
            </w:r>
          </w:p>
          <w:p w14:paraId="3DD22184"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415C8791" w14:textId="53C7213D"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end-diastolic and LV end</w:t>
            </w:r>
            <w:r w:rsidR="002A2F06">
              <w:rPr>
                <w:rFonts w:ascii="Arial Narrow" w:hAnsi="Arial Narrow" w:cs="Times New Roman"/>
                <w:sz w:val="20"/>
                <w:szCs w:val="20"/>
              </w:rPr>
              <w:t>-</w:t>
            </w:r>
            <w:r w:rsidRPr="00526FBF">
              <w:rPr>
                <w:rFonts w:ascii="Arial Narrow" w:hAnsi="Arial Narrow" w:cs="Times New Roman"/>
                <w:sz w:val="20"/>
                <w:szCs w:val="20"/>
              </w:rPr>
              <w:t>systolic volumes were quantified using semiautomatic manual planimetry of all short-axis cine images with MASS analysis software.</w:t>
            </w:r>
          </w:p>
          <w:p w14:paraId="15C98B83" w14:textId="1EBE57B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Scars were classified into subendocardial, mid-wall, epicardial, </w:t>
            </w:r>
            <w:proofErr w:type="gramStart"/>
            <w:r w:rsidRPr="00526FBF">
              <w:rPr>
                <w:rFonts w:ascii="Arial Narrow" w:hAnsi="Arial Narrow" w:cs="Times New Roman"/>
                <w:sz w:val="20"/>
                <w:szCs w:val="20"/>
              </w:rPr>
              <w:t>transmural</w:t>
            </w:r>
            <w:proofErr w:type="gramEnd"/>
            <w:r w:rsidRPr="00526FBF">
              <w:rPr>
                <w:rFonts w:ascii="Arial Narrow" w:hAnsi="Arial Narrow" w:cs="Times New Roman"/>
                <w:sz w:val="20"/>
                <w:szCs w:val="20"/>
              </w:rPr>
              <w:t xml:space="preserve"> or patchy. Scars in a subendocardial or transmural distribution following coronary artery territories were </w:t>
            </w:r>
            <w:r w:rsidRPr="00526FBF">
              <w:rPr>
                <w:rFonts w:ascii="Arial Narrow" w:hAnsi="Arial Narrow" w:cs="Times New Roman"/>
                <w:sz w:val="20"/>
                <w:szCs w:val="20"/>
              </w:rPr>
              <w:lastRenderedPageBreak/>
              <w:t xml:space="preserve">regarded as ischaemic in aetiology, whereas mid-wall scars and absence of scar were regarded as indicative of </w:t>
            </w:r>
            <w:proofErr w:type="gramStart"/>
            <w:r w:rsidRPr="00526FBF">
              <w:rPr>
                <w:rFonts w:ascii="Arial Narrow" w:hAnsi="Arial Narrow" w:cs="Times New Roman"/>
                <w:sz w:val="20"/>
                <w:szCs w:val="20"/>
              </w:rPr>
              <w:t>a non</w:t>
            </w:r>
            <w:proofErr w:type="gramEnd"/>
            <w:r w:rsidRPr="00526FBF">
              <w:rPr>
                <w:rFonts w:ascii="Arial Narrow" w:hAnsi="Arial Narrow" w:cs="Times New Roman"/>
                <w:sz w:val="20"/>
                <w:szCs w:val="20"/>
              </w:rPr>
              <w:t>-ischaemic aetiology.</w:t>
            </w:r>
          </w:p>
        </w:tc>
        <w:tc>
          <w:tcPr>
            <w:tcW w:w="1177" w:type="pct"/>
          </w:tcPr>
          <w:p w14:paraId="6FF9DF2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CRT device implantation was undertaken using standard techniques under local anaesthesia. With the exception of 2 DCM patients who received CRT-D for secondary prevention, all others received CRT</w:t>
            </w:r>
            <w:r>
              <w:rPr>
                <w:rFonts w:ascii="Arial Narrow" w:hAnsi="Arial Narrow"/>
                <w:sz w:val="20"/>
              </w:rPr>
              <w:t>-P</w:t>
            </w:r>
            <w:r w:rsidRPr="00526FBF">
              <w:rPr>
                <w:rFonts w:ascii="Arial Narrow" w:hAnsi="Arial Narrow"/>
                <w:sz w:val="20"/>
              </w:rPr>
              <w:t>.</w:t>
            </w:r>
          </w:p>
          <w:p w14:paraId="5FF2CEB5"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0F0D332" w14:textId="07380A4F"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31E2C5AF" w14:textId="3FBE712E" w:rsidR="00A474A9" w:rsidRPr="00526FBF" w:rsidRDefault="00EF7767" w:rsidP="004C79C1">
            <w:pPr>
              <w:spacing w:before="0" w:after="120" w:line="240" w:lineRule="auto"/>
              <w:ind w:left="118" w:right="-57"/>
              <w:rPr>
                <w:rFonts w:ascii="Arial Narrow" w:hAnsi="Arial Narrow" w:cs="Arial Narrow"/>
                <w:bCs/>
                <w:sz w:val="20"/>
              </w:rPr>
            </w:pPr>
            <w:r>
              <w:rPr>
                <w:rFonts w:ascii="Arial Narrow" w:hAnsi="Arial Narrow"/>
                <w:sz w:val="20"/>
              </w:rPr>
              <w:t>a</w:t>
            </w:r>
            <w:r w:rsidR="00A474A9" w:rsidRPr="00526FBF">
              <w:rPr>
                <w:rFonts w:ascii="Arial Narrow" w:hAnsi="Arial Narrow"/>
                <w:sz w:val="20"/>
              </w:rPr>
              <w:t>ll-cause mortality</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death</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transplantation</w:t>
            </w:r>
            <w:r w:rsidR="00A474A9" w:rsidRPr="00526FBF">
              <w:rPr>
                <w:rFonts w:ascii="Arial Narrow" w:hAnsi="Arial Narrow" w:cs="Arial Narrow"/>
                <w:bCs/>
                <w:sz w:val="20"/>
              </w:rPr>
              <w:br/>
              <w:t>SCD</w:t>
            </w:r>
            <w:r w:rsidR="00A474A9" w:rsidRPr="00526FBF">
              <w:rPr>
                <w:rFonts w:ascii="Arial Narrow" w:hAnsi="Arial Narrow" w:cs="Arial Narrow"/>
                <w:bCs/>
                <w:sz w:val="20"/>
              </w:rPr>
              <w:br/>
            </w:r>
            <w:r>
              <w:rPr>
                <w:rFonts w:ascii="Arial Narrow" w:hAnsi="Arial Narrow"/>
                <w:sz w:val="20"/>
              </w:rPr>
              <w:t>h</w:t>
            </w:r>
            <w:r w:rsidR="00A474A9" w:rsidRPr="00526FBF">
              <w:rPr>
                <w:rFonts w:ascii="Arial Narrow" w:hAnsi="Arial Narrow"/>
                <w:sz w:val="20"/>
              </w:rPr>
              <w:t>ospitalisation for MACE</w:t>
            </w:r>
            <w:r w:rsidR="00A474A9" w:rsidRPr="00526FBF">
              <w:rPr>
                <w:rFonts w:ascii="Arial Narrow" w:hAnsi="Arial Narrow"/>
                <w:sz w:val="20"/>
              </w:rPr>
              <w:br/>
            </w:r>
            <w:r>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HF</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ospitalisation for AF</w:t>
            </w:r>
          </w:p>
          <w:p w14:paraId="63C69DF8" w14:textId="0808C19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r w:rsidR="00EF7767">
              <w:rPr>
                <w:rFonts w:ascii="Arial Narrow" w:hAnsi="Arial Narrow" w:cs="Arial Narrow"/>
                <w:bCs/>
                <w:sz w:val="20"/>
              </w:rPr>
              <w:t>,</w:t>
            </w:r>
            <w:r w:rsidRPr="00526FBF">
              <w:rPr>
                <w:rFonts w:ascii="Arial Narrow" w:hAnsi="Arial Narrow" w:cs="Arial Narrow"/>
                <w:bCs/>
                <w:sz w:val="20"/>
              </w:rPr>
              <w:t xml:space="preserve"> and in</w:t>
            </w:r>
            <w:r w:rsidR="00C45672">
              <w:rPr>
                <w:rFonts w:ascii="Arial Narrow" w:hAnsi="Arial Narrow" w:cs="Arial Narrow"/>
                <w:bCs/>
                <w:sz w:val="20"/>
              </w:rPr>
              <w:t xml:space="preserve"> </w:t>
            </w:r>
            <w:r w:rsidRPr="00526FBF">
              <w:rPr>
                <w:rFonts w:ascii="Arial Narrow" w:hAnsi="Arial Narrow" w:cs="Arial Narrow"/>
                <w:bCs/>
                <w:sz w:val="20"/>
              </w:rPr>
              <w:t>NIDCM patients compared with ICM patients</w:t>
            </w:r>
          </w:p>
        </w:tc>
      </w:tr>
      <w:tr w:rsidR="00A474A9" w:rsidRPr="00526FBF" w14:paraId="2F185908" w14:textId="77777777" w:rsidTr="00BE5D7C">
        <w:tc>
          <w:tcPr>
            <w:tcW w:w="391" w:type="pct"/>
          </w:tcPr>
          <w:p w14:paraId="07558F9E" w14:textId="130B171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Li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ExcludeAuth="1"&gt;&lt;Author&gt;Li&lt;/Author&gt;&lt;Year&gt;2013&lt;/Year&gt;&lt;RecNum&gt;49&lt;/RecNum&gt;&lt;DisplayText&gt;(2013)&lt;/DisplayText&gt;&lt;record&gt;&lt;rec-number&gt;49&lt;/rec-number&gt;&lt;foreign-keys&gt;&lt;key app="EN" db-id="pfxxvref0t0a5de2vwnv2fwkz0p9v0r2fw0t" timestamp="1458109051"&gt;49&lt;/key&gt;&lt;/foreign-keys&gt;&lt;ref-type name="Journal Article"&gt;17&lt;/ref-type&gt;&lt;contributors&gt;&lt;authors&gt;&lt;author&gt;Li, X.&lt;/author&gt;&lt;author&gt;Chan, C. P.&lt;/author&gt;&lt;author&gt;Hua, W.&lt;/author&gt;&lt;author&gt;Ding, L.&lt;/author&gt;&lt;author&gt;Wang, J.&lt;/author&gt;&lt;author&gt;Zhang, S.&lt;/author&gt;&lt;author&gt;Li, S.&lt;/author&gt;&lt;author&gt;Zhang, Y.&lt;/author&gt;&lt;/authors&gt;&lt;/contributors&gt;&lt;titles&gt;&lt;title&gt;Prognostic impact of late gadolinium enhancement by cardiac magnetic resonance imaging in patients with non-ischaemic dilated cardiomyopathy&lt;/title&gt;&lt;secondary-title&gt;Int J Cardiol&lt;/secondary-title&gt;&lt;/titles&gt;&lt;periodical&gt;&lt;full-title&gt;Int J Cardiol&lt;/full-title&gt;&lt;/periodical&gt;&lt;pages&gt;4979-80&lt;/pages&gt;&lt;volume&gt;168&lt;/volume&gt;&lt;number&gt;5&lt;/number&gt;&lt;dates&gt;&lt;year&gt;2013&lt;/year&gt;&lt;pub-dates&gt;&lt;date&gt;2013-01-01&lt;/date&gt;&lt;/pub-dates&gt;&lt;/dates&gt;&lt;isbn&gt;0167-5273&lt;/isbn&gt;&lt;urls&gt;&lt;related-urls&gt;&lt;url&gt;http://ac.els-cdn.com/S0167527313013454/1-s2.0-S0167527313013454-main.pdf?_tid=2915139a-c094-11e5-9e04-00000aacb35e&amp;amp;acdnat=1453418008_d07e7d47a92d7fcdf579deffc1df26ae&lt;/url&gt;&lt;/related-urls&gt;&lt;/urls&gt;&lt;custom1&gt;RAYYAN-INCLUSION: {&amp;quot;Sharon&amp;quot;=&amp;gt;true} | RAYYAN-LABELS: 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67" w:tooltip="Li, 2013 #49" w:history="1">
              <w:r w:rsidR="00B906E9">
                <w:rPr>
                  <w:rFonts w:ascii="Arial Narrow" w:hAnsi="Arial Narrow" w:cs="Arial Narrow"/>
                  <w:bCs/>
                  <w:noProof/>
                  <w:sz w:val="20"/>
                  <w:szCs w:val="20"/>
                </w:rPr>
                <w:t>2013</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78735E83" w14:textId="77777777" w:rsidR="00A474A9" w:rsidRPr="00526FBF" w:rsidRDefault="00A474A9" w:rsidP="004C79C1">
            <w:pPr>
              <w:spacing w:before="0" w:after="120" w:line="240" w:lineRule="auto"/>
              <w:rPr>
                <w:rFonts w:ascii="Arial Narrow" w:hAnsi="Arial Narrow" w:cs="Arial Narrow"/>
                <w:bCs/>
                <w:sz w:val="20"/>
                <w:szCs w:val="20"/>
              </w:rPr>
            </w:pPr>
          </w:p>
          <w:p w14:paraId="7CFDB7A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China</w:t>
            </w:r>
          </w:p>
        </w:tc>
        <w:tc>
          <w:tcPr>
            <w:tcW w:w="588" w:type="pct"/>
            <w:shd w:val="clear" w:color="auto" w:fill="auto"/>
          </w:tcPr>
          <w:p w14:paraId="2C7C8439"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Retrospective cohort</w:t>
            </w:r>
          </w:p>
          <w:p w14:paraId="3FE95BD8" w14:textId="77777777" w:rsidR="00A474A9" w:rsidRPr="00526FBF" w:rsidRDefault="00A474A9" w:rsidP="004C79C1">
            <w:pPr>
              <w:spacing w:before="0" w:after="120" w:line="240" w:lineRule="auto"/>
              <w:rPr>
                <w:rFonts w:ascii="Arial Narrow" w:hAnsi="Arial Narrow" w:cs="Arial Narrow"/>
                <w:bCs/>
                <w:sz w:val="20"/>
              </w:rPr>
            </w:pPr>
          </w:p>
          <w:p w14:paraId="76753ED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III-3</w:t>
            </w:r>
          </w:p>
          <w:p w14:paraId="0AF8A1FD" w14:textId="77777777" w:rsidR="00A474A9" w:rsidRPr="00526FBF" w:rsidRDefault="00A474A9" w:rsidP="004C79C1">
            <w:pPr>
              <w:spacing w:before="0" w:after="120" w:line="240" w:lineRule="auto"/>
              <w:rPr>
                <w:rFonts w:ascii="Arial Narrow" w:hAnsi="Arial Narrow" w:cs="Arial Narrow"/>
                <w:bCs/>
                <w:sz w:val="20"/>
              </w:rPr>
            </w:pPr>
          </w:p>
          <w:p w14:paraId="7F6B1F5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4B9DD11A" w14:textId="5D41F8B9" w:rsidR="00A474A9" w:rsidRPr="00526FBF" w:rsidRDefault="00A474A9" w:rsidP="004C79C1">
            <w:pPr>
              <w:spacing w:before="0" w:after="120" w:line="240" w:lineRule="auto"/>
              <w:rPr>
                <w:rFonts w:cs="Times New Roman"/>
                <w:szCs w:val="20"/>
              </w:rPr>
            </w:pPr>
            <w:r w:rsidRPr="00526FBF">
              <w:rPr>
                <w:rFonts w:ascii="Arial Narrow" w:hAnsi="Arial Narrow" w:cs="Arial Narrow"/>
                <w:bCs/>
                <w:sz w:val="20"/>
                <w:szCs w:val="20"/>
              </w:rPr>
              <w:t>N=293 patients with DCM</w:t>
            </w:r>
            <w:r w:rsidR="00646604">
              <w:rPr>
                <w:rFonts w:ascii="Arial Narrow" w:hAnsi="Arial Narrow" w:cs="Arial Narrow"/>
                <w:bCs/>
                <w:sz w:val="20"/>
                <w:szCs w:val="20"/>
              </w:rPr>
              <w:t>:</w:t>
            </w:r>
          </w:p>
          <w:p w14:paraId="006BA864"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n=145 (49%) LGE+</w:t>
            </w:r>
            <w:r w:rsidRPr="00526FBF">
              <w:rPr>
                <w:rFonts w:ascii="Arial Narrow" w:hAnsi="Arial Narrow" w:cs="Arial Narrow"/>
                <w:bCs/>
                <w:sz w:val="20"/>
              </w:rPr>
              <w:br/>
              <w:t>n=148 (51%) LGE–</w:t>
            </w:r>
          </w:p>
          <w:p w14:paraId="38D02E96" w14:textId="77777777" w:rsidR="004672B4"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35001E1" w14:textId="77777777" w:rsidR="004672B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49.2 ± 14.9 years; </w:t>
            </w:r>
          </w:p>
          <w:p w14:paraId="2054DC18" w14:textId="77777777" w:rsidR="004672B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87%; </w:t>
            </w:r>
          </w:p>
          <w:p w14:paraId="07F2EC3D" w14:textId="5F6ABBDA" w:rsidR="004672B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113.9 ± 28.1</w:t>
            </w:r>
            <w:r w:rsidR="0043543F">
              <w:rPr>
                <w:rFonts w:ascii="Arial Narrow" w:hAnsi="Arial Narrow" w:cs="Arial Narrow"/>
                <w:bCs/>
                <w:sz w:val="20"/>
              </w:rPr>
              <w:t> </w:t>
            </w:r>
            <w:r w:rsidRPr="00526FBF">
              <w:rPr>
                <w:rFonts w:ascii="Arial Narrow" w:hAnsi="Arial Narrow" w:cs="Arial Narrow"/>
                <w:bCs/>
                <w:sz w:val="20"/>
              </w:rPr>
              <w:t xml:space="preserve">milliseconds; </w:t>
            </w:r>
          </w:p>
          <w:p w14:paraId="57E4BDAE" w14:textId="77777777" w:rsidR="004672B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33.3 ± 8.1; LVEF (CMR) = 22.6 ± 8.3%; history of AF = 24%; </w:t>
            </w:r>
          </w:p>
          <w:p w14:paraId="28D7D07A" w14:textId="77777777" w:rsidR="004672B4"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lastRenderedPageBreak/>
              <w:t xml:space="preserve">history of sustained VT = 18%; </w:t>
            </w:r>
          </w:p>
          <w:p w14:paraId="3D27C4EB" w14:textId="002E33A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CRT-D implantation = 2%; NYHA class III</w:t>
            </w:r>
            <w:r w:rsidR="00270898">
              <w:rPr>
                <w:rFonts w:ascii="Arial Narrow" w:hAnsi="Arial Narrow" w:cs="Arial Narrow"/>
                <w:bCs/>
                <w:sz w:val="20"/>
              </w:rPr>
              <w:t>–</w:t>
            </w:r>
            <w:r w:rsidRPr="00526FBF">
              <w:rPr>
                <w:rFonts w:ascii="Arial Narrow" w:hAnsi="Arial Narrow" w:cs="Arial Narrow"/>
                <w:bCs/>
                <w:sz w:val="20"/>
              </w:rPr>
              <w:t xml:space="preserve">IV = 68%; </w:t>
            </w:r>
            <w:r w:rsidR="0043543F">
              <w:rPr>
                <w:rFonts w:ascii="Arial Narrow" w:hAnsi="Arial Narrow" w:cs="Arial Narrow"/>
                <w:bCs/>
                <w:sz w:val="20"/>
              </w:rPr>
              <w:t>m</w:t>
            </w:r>
            <w:r w:rsidRPr="00526FBF">
              <w:rPr>
                <w:rFonts w:ascii="Arial Narrow" w:hAnsi="Arial Narrow" w:cs="Arial Narrow"/>
                <w:bCs/>
                <w:sz w:val="20"/>
              </w:rPr>
              <w:t xml:space="preserve">edications: ACE inhibitor/ARB = 91%, </w:t>
            </w:r>
            <w:r w:rsidR="004672B4" w:rsidRPr="00257ED7">
              <w:rPr>
                <w:rFonts w:ascii="Arial Narrow" w:hAnsi="Arial Narrow" w:cs="Arial Narrow"/>
                <w:bCs/>
                <w:sz w:val="20"/>
              </w:rPr>
              <w:sym w:font="Symbol" w:char="F062"/>
            </w:r>
            <w:r w:rsidRPr="00526FBF">
              <w:rPr>
                <w:rFonts w:ascii="Arial Narrow" w:hAnsi="Arial Narrow" w:cs="Arial Narrow"/>
                <w:bCs/>
                <w:sz w:val="20"/>
              </w:rPr>
              <w:t>-blockers = 95%</w:t>
            </w:r>
          </w:p>
          <w:p w14:paraId="39BA34E1"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 up:</w:t>
            </w:r>
            <w:r w:rsidRPr="00526FBF">
              <w:rPr>
                <w:rFonts w:ascii="Arial Narrow" w:hAnsi="Arial Narrow" w:cs="Arial Narrow"/>
                <w:bCs/>
                <w:sz w:val="20"/>
                <w:szCs w:val="20"/>
              </w:rPr>
              <w:t xml:space="preserve"> 3.2 years</w:t>
            </w:r>
          </w:p>
        </w:tc>
        <w:tc>
          <w:tcPr>
            <w:tcW w:w="882" w:type="pct"/>
          </w:tcPr>
          <w:p w14:paraId="378B61F2" w14:textId="0780409F"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with DCM who were admitted in Fuwai Hospital from June 2005 to September 2011</w:t>
            </w:r>
          </w:p>
          <w:p w14:paraId="7939625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Not reported</w:t>
            </w:r>
          </w:p>
        </w:tc>
        <w:tc>
          <w:tcPr>
            <w:tcW w:w="1030" w:type="pct"/>
          </w:tcPr>
          <w:p w14:paraId="297DC2BA"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phased-array cardiac coil</w:t>
            </w:r>
          </w:p>
          <w:p w14:paraId="58A4127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Not reported.</w:t>
            </w:r>
          </w:p>
          <w:p w14:paraId="29644DB9" w14:textId="394E2D11"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phase-sensitive inversion recovery spoiled gradient</w:t>
            </w:r>
            <w:r w:rsidR="009466B6">
              <w:rPr>
                <w:rFonts w:ascii="Arial Narrow" w:hAnsi="Arial Narrow" w:cs="Times New Roman"/>
                <w:sz w:val="20"/>
                <w:szCs w:val="20"/>
              </w:rPr>
              <w:t>-</w:t>
            </w:r>
            <w:r w:rsidRPr="00526FBF">
              <w:rPr>
                <w:rFonts w:ascii="Arial Narrow" w:hAnsi="Arial Narrow" w:cs="Times New Roman"/>
                <w:sz w:val="20"/>
                <w:szCs w:val="20"/>
              </w:rPr>
              <w:t>echo sequence</w:t>
            </w:r>
          </w:p>
          <w:p w14:paraId="08066F6D" w14:textId="0723C311"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009466B6">
              <w:rPr>
                <w:rFonts w:ascii="Arial Narrow" w:hAnsi="Arial Narrow" w:cs="Times New Roman"/>
                <w:sz w:val="20"/>
                <w:szCs w:val="20"/>
              </w:rPr>
              <w:t>Gd</w:t>
            </w:r>
            <w:r w:rsidRPr="00526FBF">
              <w:rPr>
                <w:rFonts w:ascii="Arial Narrow" w:hAnsi="Arial Narrow" w:cs="Times New Roman"/>
                <w:sz w:val="20"/>
                <w:szCs w:val="20"/>
              </w:rPr>
              <w:t>-DTPA</w:t>
            </w:r>
          </w:p>
          <w:p w14:paraId="79ED6B6E"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15–20 minutes</w:t>
            </w:r>
          </w:p>
          <w:p w14:paraId="243F5C10" w14:textId="01FF0725"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Not reported</w:t>
            </w:r>
          </w:p>
          <w:p w14:paraId="2DBBAA74" w14:textId="2FC1D11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lastRenderedPageBreak/>
              <w:t xml:space="preserve">LGE </w:t>
            </w:r>
            <w:r w:rsidR="009466B6">
              <w:rPr>
                <w:rFonts w:ascii="Arial Narrow" w:hAnsi="Arial Narrow" w:cs="Times New Roman"/>
                <w:b/>
                <w:sz w:val="20"/>
                <w:szCs w:val="20"/>
              </w:rPr>
              <w:t>d</w:t>
            </w:r>
            <w:r w:rsidRPr="00526FBF">
              <w:rPr>
                <w:rFonts w:ascii="Arial Narrow" w:hAnsi="Arial Narrow" w:cs="Times New Roman"/>
                <w:b/>
                <w:sz w:val="20"/>
                <w:szCs w:val="20"/>
              </w:rPr>
              <w:t>iagnosis:</w:t>
            </w:r>
            <w:r w:rsidRPr="00526FBF">
              <w:rPr>
                <w:rFonts w:ascii="Arial Narrow" w:hAnsi="Arial Narrow" w:cs="Times New Roman"/>
                <w:sz w:val="20"/>
                <w:szCs w:val="20"/>
              </w:rPr>
              <w:t xml:space="preserve"> Not reported</w:t>
            </w:r>
          </w:p>
        </w:tc>
        <w:tc>
          <w:tcPr>
            <w:tcW w:w="1177" w:type="pct"/>
          </w:tcPr>
          <w:p w14:paraId="1386F969"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3C1AFFBF"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72D20A9D" w14:textId="7ECB61E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7EEE2D21" w14:textId="0B69747D" w:rsidR="00A474A9" w:rsidRPr="00526FBF" w:rsidRDefault="009466B6"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a</w:t>
            </w:r>
            <w:r w:rsidR="00A474A9" w:rsidRPr="00526FBF">
              <w:rPr>
                <w:rFonts w:ascii="Arial Narrow" w:hAnsi="Arial Narrow" w:cs="Arial Narrow"/>
                <w:bCs/>
                <w:sz w:val="20"/>
              </w:rPr>
              <w:t>ll-cause mortality</w:t>
            </w:r>
          </w:p>
          <w:p w14:paraId="1246542F"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22E8710C" w14:textId="77777777" w:rsidTr="00BE5D7C">
        <w:tc>
          <w:tcPr>
            <w:tcW w:w="391" w:type="pct"/>
          </w:tcPr>
          <w:p w14:paraId="541C4619" w14:textId="3B2B965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Looi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ExcludeAuth="1"&gt;&lt;Author&gt;Looi&lt;/Author&gt;&lt;Year&gt;2010&lt;/Year&gt;&lt;RecNum&gt;50&lt;/RecNum&gt;&lt;DisplayText&gt;(2010)&lt;/DisplayText&gt;&lt;record&gt;&lt;rec-number&gt;50&lt;/rec-number&gt;&lt;foreign-keys&gt;&lt;key app="EN" db-id="pfxxvref0t0a5de2vwnv2fwkz0p9v0r2fw0t" timestamp="1458109051"&gt;50&lt;/key&gt;&lt;/foreign-keys&gt;&lt;ref-type name="Journal Article"&gt;17&lt;/ref-type&gt;&lt;contributors&gt;&lt;authors&gt;&lt;author&gt;Looi, J. L.&lt;/author&gt;&lt;author&gt;Edwards, C.&lt;/author&gt;&lt;author&gt;Armstrong, G. P.&lt;/author&gt;&lt;author&gt;Scott, A.&lt;/author&gt;&lt;author&gt;Patel, H.&lt;/author&gt;&lt;author&gt;Hart, H.&lt;/author&gt;&lt;author&gt;Christiansen, J. P.&lt;/author&gt;&lt;/authors&gt;&lt;/contributors&gt;&lt;titles&gt;&lt;title&gt;Characteristics and prognostic importance of myocardial fibrosis in patients with dilated cardiomyopathy assessed by contrast-enhanced cardiac magnetic resonance imaging&lt;/title&gt;&lt;secondary-title&gt;Clin Med Insights Cardiol&lt;/secondary-title&gt;&lt;/titles&gt;&lt;periodical&gt;&lt;full-title&gt;Clin Med Insights Cardiol&lt;/full-title&gt;&lt;/periodical&gt;&lt;pages&gt;129-34&lt;/pages&gt;&lt;volume&gt;4&lt;/volume&gt;&lt;dates&gt;&lt;year&gt;2010&lt;/year&gt;&lt;pub-dates&gt;&lt;date&gt;2010-01-01&lt;/date&gt;&lt;/pub-dates&gt;&lt;/dates&gt;&lt;urls&gt;&lt;related-urls&gt;&lt;url&gt;http://www.la-press.com/redirect_file.php?fileId=3267&amp;amp;filename=2397-CMC-Characteristics-and-Prognostic-Importance-of-Myocardial-Fibrosis-in-Pa.pdf&amp;amp;fileType=pdf&lt;/url&gt;&lt;/related-urls&gt;&lt;/urls&gt;&lt;custom1&gt;RAYYAN-INCLUSION: {&amp;quot;Sharon&amp;quot;=&amp;gt;true} | RAYYAN-LABELS: DCM,prognostic&lt;/custom1&gt;&lt;research-notes&gt;Unacceptable&lt;/research-notes&gt;&lt;language&gt;eng&lt;/language&gt;&lt;/record&gt;&lt;/Cite&gt;&lt;/EndNote&gt;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72" w:tooltip="Looi, 2010 #50" w:history="1">
              <w:r w:rsidR="00B906E9">
                <w:rPr>
                  <w:rFonts w:ascii="Arial Narrow" w:hAnsi="Arial Narrow" w:cs="Arial Narrow"/>
                  <w:bCs/>
                  <w:noProof/>
                  <w:sz w:val="20"/>
                  <w:szCs w:val="20"/>
                </w:rPr>
                <w:t>2010</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5BB9FDC7" w14:textId="77777777" w:rsidR="00A474A9" w:rsidRPr="00526FBF" w:rsidRDefault="00A474A9" w:rsidP="004C79C1">
            <w:pPr>
              <w:spacing w:before="0" w:after="120" w:line="240" w:lineRule="auto"/>
              <w:rPr>
                <w:rFonts w:ascii="Arial Narrow" w:hAnsi="Arial Narrow" w:cs="Arial Narrow"/>
                <w:bCs/>
                <w:sz w:val="20"/>
                <w:szCs w:val="20"/>
              </w:rPr>
            </w:pPr>
          </w:p>
          <w:p w14:paraId="0949AD3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New Zealand</w:t>
            </w:r>
          </w:p>
        </w:tc>
        <w:tc>
          <w:tcPr>
            <w:tcW w:w="588" w:type="pct"/>
            <w:shd w:val="clear" w:color="auto" w:fill="auto"/>
          </w:tcPr>
          <w:p w14:paraId="6A85C18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285D8579" w14:textId="77777777" w:rsidR="00A474A9" w:rsidRPr="00526FBF" w:rsidRDefault="00A474A9" w:rsidP="004C79C1">
            <w:pPr>
              <w:spacing w:before="0" w:after="120" w:line="240" w:lineRule="auto"/>
              <w:rPr>
                <w:rFonts w:ascii="Arial Narrow" w:hAnsi="Arial Narrow" w:cs="Arial Narrow"/>
                <w:bCs/>
                <w:sz w:val="20"/>
              </w:rPr>
            </w:pPr>
          </w:p>
          <w:p w14:paraId="26D6465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0555CAE8" w14:textId="77777777" w:rsidR="00A474A9" w:rsidRPr="00526FBF" w:rsidRDefault="00A474A9" w:rsidP="004C79C1">
            <w:pPr>
              <w:spacing w:before="0" w:after="120" w:line="240" w:lineRule="auto"/>
              <w:rPr>
                <w:rFonts w:ascii="Arial Narrow" w:hAnsi="Arial Narrow" w:cs="Arial Narrow"/>
                <w:bCs/>
                <w:sz w:val="20"/>
              </w:rPr>
            </w:pPr>
          </w:p>
          <w:p w14:paraId="4755E27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unacceptable quality with a high risk of bias</w:t>
            </w:r>
          </w:p>
        </w:tc>
        <w:tc>
          <w:tcPr>
            <w:tcW w:w="932" w:type="pct"/>
          </w:tcPr>
          <w:p w14:paraId="44DD2A26" w14:textId="5ECDEDFE"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N=103 patients with DCM who had a clinical presentation of HF and an ECG demonstrating LVEF &lt;50%</w:t>
            </w:r>
            <w:r w:rsidR="00646604">
              <w:rPr>
                <w:rFonts w:ascii="Arial Narrow" w:hAnsi="Arial Narrow" w:cs="Arial Narrow"/>
                <w:bCs/>
                <w:sz w:val="20"/>
              </w:rPr>
              <w:t>:</w:t>
            </w:r>
          </w:p>
          <w:p w14:paraId="73A6BB82"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n=31 (30%) LGE+</w:t>
            </w:r>
            <w:r w:rsidRPr="00526FBF">
              <w:rPr>
                <w:rFonts w:ascii="Arial Narrow" w:hAnsi="Arial Narrow" w:cs="Arial Narrow"/>
                <w:bCs/>
                <w:sz w:val="20"/>
              </w:rPr>
              <w:br/>
              <w:t>n=72 (70%) LGE–</w:t>
            </w:r>
          </w:p>
          <w:p w14:paraId="58B6E3A4" w14:textId="77777777" w:rsidR="0018259E"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11D03A80" w14:textId="77777777" w:rsidR="0018259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58 ± 13 years; </w:t>
            </w:r>
          </w:p>
          <w:p w14:paraId="3070B8FE" w14:textId="77777777" w:rsidR="0018259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76%; </w:t>
            </w:r>
          </w:p>
          <w:p w14:paraId="5E7463E9" w14:textId="0678733A"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LVEF (CMR) = 32 ± 12%; NYHA class: I = 75%, II = 18%, III = 4%</w:t>
            </w:r>
          </w:p>
          <w:p w14:paraId="3229BAE3" w14:textId="55E91EE2"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Mean follow-up:</w:t>
            </w:r>
            <w:r w:rsidRPr="00526FBF">
              <w:rPr>
                <w:rFonts w:ascii="Arial Narrow" w:hAnsi="Arial Narrow" w:cs="Arial Narrow"/>
                <w:bCs/>
                <w:sz w:val="20"/>
              </w:rPr>
              <w:t xml:space="preserve"> 660 ± 346</w:t>
            </w:r>
            <w:r w:rsidR="007E58B4">
              <w:rPr>
                <w:rFonts w:ascii="Arial Narrow" w:hAnsi="Arial Narrow" w:cs="Arial Narrow"/>
                <w:bCs/>
                <w:sz w:val="20"/>
              </w:rPr>
              <w:t> </w:t>
            </w:r>
            <w:r w:rsidRPr="00526FBF">
              <w:rPr>
                <w:rFonts w:ascii="Arial Narrow" w:hAnsi="Arial Narrow" w:cs="Arial Narrow"/>
                <w:bCs/>
                <w:sz w:val="20"/>
              </w:rPr>
              <w:t>days</w:t>
            </w:r>
          </w:p>
        </w:tc>
        <w:tc>
          <w:tcPr>
            <w:tcW w:w="882" w:type="pct"/>
          </w:tcPr>
          <w:p w14:paraId="05F356C2" w14:textId="7BD9EA9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Inclusion criteria:</w:t>
            </w:r>
            <w:r w:rsidRPr="00526FBF">
              <w:rPr>
                <w:rFonts w:ascii="Arial Narrow" w:hAnsi="Arial Narrow"/>
                <w:sz w:val="20"/>
              </w:rPr>
              <w:t xml:space="preserve"> Patients with DCM, prospectively identified between </w:t>
            </w:r>
            <w:r w:rsidR="0018259E">
              <w:rPr>
                <w:rFonts w:ascii="Arial Narrow" w:hAnsi="Arial Narrow"/>
                <w:sz w:val="20"/>
              </w:rPr>
              <w:t xml:space="preserve">1 </w:t>
            </w:r>
            <w:r w:rsidRPr="00526FBF">
              <w:rPr>
                <w:rFonts w:ascii="Arial Narrow" w:hAnsi="Arial Narrow"/>
                <w:sz w:val="20"/>
              </w:rPr>
              <w:t xml:space="preserve">December 2003 and </w:t>
            </w:r>
            <w:r w:rsidR="0018259E">
              <w:rPr>
                <w:rFonts w:ascii="Arial Narrow" w:hAnsi="Arial Narrow"/>
                <w:sz w:val="20"/>
              </w:rPr>
              <w:t xml:space="preserve">31 </w:t>
            </w:r>
            <w:r w:rsidRPr="00526FBF">
              <w:rPr>
                <w:rFonts w:ascii="Arial Narrow" w:hAnsi="Arial Narrow"/>
                <w:sz w:val="20"/>
              </w:rPr>
              <w:t xml:space="preserve">August 2006, were included in the analysis if they had a clinical presentation of HF </w:t>
            </w:r>
            <w:r w:rsidR="00ED3313">
              <w:rPr>
                <w:rFonts w:ascii="Arial Narrow" w:hAnsi="Arial Narrow"/>
                <w:sz w:val="20"/>
              </w:rPr>
              <w:t xml:space="preserve">and </w:t>
            </w:r>
            <w:r w:rsidRPr="00526FBF">
              <w:rPr>
                <w:rFonts w:ascii="Arial Narrow" w:hAnsi="Arial Narrow"/>
                <w:sz w:val="20"/>
              </w:rPr>
              <w:t>an ECG demonstrating impaired LV systolic function (LVEF &lt;50%)</w:t>
            </w:r>
            <w:r w:rsidR="00ED3313">
              <w:rPr>
                <w:rFonts w:ascii="Arial Narrow" w:hAnsi="Arial Narrow"/>
                <w:sz w:val="20"/>
              </w:rPr>
              <w:t>,</w:t>
            </w:r>
            <w:r w:rsidRPr="00526FBF">
              <w:rPr>
                <w:rFonts w:ascii="Arial Narrow" w:hAnsi="Arial Narrow"/>
                <w:sz w:val="20"/>
              </w:rPr>
              <w:t xml:space="preserve"> and had successfully completed a</w:t>
            </w:r>
            <w:r w:rsidR="00ED3313">
              <w:rPr>
                <w:rFonts w:ascii="Arial Narrow" w:hAnsi="Arial Narrow"/>
                <w:sz w:val="20"/>
              </w:rPr>
              <w:t>n</w:t>
            </w:r>
            <w:r w:rsidRPr="00526FBF">
              <w:rPr>
                <w:rFonts w:ascii="Arial Narrow" w:hAnsi="Arial Narrow"/>
                <w:sz w:val="20"/>
              </w:rPr>
              <w:t xml:space="preserve"> LGE-CMR.</w:t>
            </w:r>
          </w:p>
          <w:p w14:paraId="6353FE1B" w14:textId="7208EE8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with ICA-documented significant CAD (&gt;50% DS in any coronary artery), significant valvular disease, CM of known cause including </w:t>
            </w:r>
            <w:r>
              <w:rPr>
                <w:rFonts w:ascii="Arial Narrow" w:hAnsi="Arial Narrow"/>
                <w:sz w:val="20"/>
              </w:rPr>
              <w:t>HCM</w:t>
            </w:r>
            <w:r w:rsidRPr="00526FBF">
              <w:rPr>
                <w:rFonts w:ascii="Arial Narrow" w:hAnsi="Arial Narrow"/>
                <w:sz w:val="20"/>
              </w:rPr>
              <w:t xml:space="preserve">, alcohol- or chemotherapy-induced or infiltrative </w:t>
            </w:r>
            <w:r>
              <w:rPr>
                <w:rFonts w:ascii="Arial Narrow" w:hAnsi="Arial Narrow"/>
                <w:sz w:val="20"/>
              </w:rPr>
              <w:t>CM</w:t>
            </w:r>
          </w:p>
        </w:tc>
        <w:tc>
          <w:tcPr>
            <w:tcW w:w="1030" w:type="pct"/>
          </w:tcPr>
          <w:p w14:paraId="28484367"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synergy cardiac coil</w:t>
            </w:r>
          </w:p>
          <w:p w14:paraId="774E87FA" w14:textId="048F1E16"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Electrocardiographically gated steady</w:t>
            </w:r>
            <w:r w:rsidR="00ED3313">
              <w:rPr>
                <w:rFonts w:ascii="Arial Narrow" w:hAnsi="Arial Narrow" w:cs="Times New Roman"/>
                <w:sz w:val="20"/>
                <w:szCs w:val="20"/>
              </w:rPr>
              <w:t>-</w:t>
            </w:r>
            <w:r w:rsidRPr="00526FBF">
              <w:rPr>
                <w:rFonts w:ascii="Arial Narrow" w:hAnsi="Arial Narrow" w:cs="Times New Roman"/>
                <w:sz w:val="20"/>
                <w:szCs w:val="20"/>
              </w:rPr>
              <w:t>state free</w:t>
            </w:r>
            <w:r w:rsidR="00ED3313">
              <w:rPr>
                <w:rFonts w:ascii="Arial Narrow" w:hAnsi="Arial Narrow" w:cs="Times New Roman"/>
                <w:sz w:val="20"/>
                <w:szCs w:val="20"/>
              </w:rPr>
              <w:t>-</w:t>
            </w:r>
            <w:r w:rsidRPr="00526FBF">
              <w:rPr>
                <w:rFonts w:ascii="Arial Narrow" w:hAnsi="Arial Narrow" w:cs="Times New Roman"/>
                <w:sz w:val="20"/>
                <w:szCs w:val="20"/>
              </w:rPr>
              <w:t>precession cine images were acquired in the 2 and 4 chamber, LV outflow tract and short</w:t>
            </w:r>
            <w:r w:rsidR="00F01D80">
              <w:rPr>
                <w:rFonts w:ascii="Arial Narrow" w:hAnsi="Arial Narrow" w:cs="Times New Roman"/>
                <w:sz w:val="20"/>
                <w:szCs w:val="20"/>
              </w:rPr>
              <w:t>-</w:t>
            </w:r>
            <w:r w:rsidRPr="00526FBF">
              <w:rPr>
                <w:rFonts w:ascii="Arial Narrow" w:hAnsi="Arial Narrow" w:cs="Times New Roman"/>
                <w:sz w:val="20"/>
                <w:szCs w:val="20"/>
              </w:rPr>
              <w:t>axis views.</w:t>
            </w:r>
          </w:p>
          <w:p w14:paraId="1AC37F8D" w14:textId="2F344DC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w:t>
            </w:r>
            <w:r w:rsidR="00F01D80">
              <w:rPr>
                <w:rFonts w:ascii="Arial Narrow" w:hAnsi="Arial Narrow" w:cs="Times New Roman"/>
                <w:sz w:val="20"/>
                <w:szCs w:val="20"/>
              </w:rPr>
              <w:t>3D</w:t>
            </w:r>
            <w:r w:rsidRPr="00526FBF">
              <w:rPr>
                <w:rFonts w:ascii="Arial Narrow" w:hAnsi="Arial Narrow" w:cs="Times New Roman"/>
                <w:sz w:val="20"/>
                <w:szCs w:val="20"/>
              </w:rPr>
              <w:t xml:space="preserve"> inversion-recovery segmented gradient</w:t>
            </w:r>
            <w:r w:rsidR="00F01D80">
              <w:rPr>
                <w:rFonts w:ascii="Arial Narrow" w:hAnsi="Arial Narrow" w:cs="Times New Roman"/>
                <w:sz w:val="20"/>
                <w:szCs w:val="20"/>
              </w:rPr>
              <w:t>-</w:t>
            </w:r>
            <w:r w:rsidRPr="00526FBF">
              <w:rPr>
                <w:rFonts w:ascii="Arial Narrow" w:hAnsi="Arial Narrow" w:cs="Times New Roman"/>
                <w:sz w:val="20"/>
                <w:szCs w:val="20"/>
              </w:rPr>
              <w:t>echo sequence</w:t>
            </w:r>
          </w:p>
          <w:p w14:paraId="59011645" w14:textId="0499C1B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 mmol/kg </w:t>
            </w:r>
            <w:r w:rsidR="00F01D80">
              <w:rPr>
                <w:rFonts w:ascii="Arial Narrow" w:hAnsi="Arial Narrow" w:cs="Times New Roman"/>
                <w:sz w:val="20"/>
                <w:szCs w:val="20"/>
              </w:rPr>
              <w:t>Gd</w:t>
            </w:r>
            <w:r w:rsidRPr="00526FBF">
              <w:rPr>
                <w:rFonts w:ascii="Arial Narrow" w:hAnsi="Arial Narrow" w:cs="Times New Roman"/>
                <w:sz w:val="20"/>
                <w:szCs w:val="20"/>
              </w:rPr>
              <w:t>-based contrast agent (Omniscan)</w:t>
            </w:r>
          </w:p>
          <w:p w14:paraId="19C02AF0"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7C3BF2CE" w14:textId="19A92FD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end-diastolic and end-systolic </w:t>
            </w:r>
            <w:proofErr w:type="gramStart"/>
            <w:r w:rsidRPr="00526FBF">
              <w:rPr>
                <w:rFonts w:ascii="Arial Narrow" w:hAnsi="Arial Narrow" w:cs="Times New Roman"/>
                <w:sz w:val="20"/>
                <w:szCs w:val="20"/>
              </w:rPr>
              <w:t>volumes,</w:t>
            </w:r>
            <w:proofErr w:type="gramEnd"/>
            <w:r w:rsidRPr="00526FBF">
              <w:rPr>
                <w:rFonts w:ascii="Arial Narrow" w:hAnsi="Arial Narrow" w:cs="Times New Roman"/>
                <w:sz w:val="20"/>
                <w:szCs w:val="20"/>
              </w:rPr>
              <w:t xml:space="preserve"> and LVEF were calculated from the short</w:t>
            </w:r>
            <w:r w:rsidR="00F01D80">
              <w:rPr>
                <w:rFonts w:ascii="Arial Narrow" w:hAnsi="Arial Narrow" w:cs="Times New Roman"/>
                <w:sz w:val="20"/>
                <w:szCs w:val="20"/>
              </w:rPr>
              <w:t>-</w:t>
            </w:r>
            <w:r w:rsidRPr="00526FBF">
              <w:rPr>
                <w:rFonts w:ascii="Arial Narrow" w:hAnsi="Arial Narrow" w:cs="Times New Roman"/>
                <w:sz w:val="20"/>
                <w:szCs w:val="20"/>
              </w:rPr>
              <w:t>axis cine images.</w:t>
            </w:r>
          </w:p>
          <w:p w14:paraId="22DEBCD4" w14:textId="4F5EE75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Areas of LGE </w:t>
            </w:r>
            <w:r w:rsidRPr="00526FBF">
              <w:rPr>
                <w:rFonts w:ascii="Arial Narrow" w:hAnsi="Arial Narrow" w:cs="Times New Roman"/>
                <w:sz w:val="20"/>
                <w:szCs w:val="20"/>
              </w:rPr>
              <w:lastRenderedPageBreak/>
              <w:t xml:space="preserve">were defined as subendocardial, mid-myocardial or transmural on visual analysis by a consensus of </w:t>
            </w:r>
            <w:r w:rsidR="00F01D80">
              <w:rPr>
                <w:rFonts w:ascii="Arial Narrow" w:hAnsi="Arial Narrow" w:cs="Times New Roman"/>
                <w:sz w:val="20"/>
                <w:szCs w:val="20"/>
              </w:rPr>
              <w:t>2</w:t>
            </w:r>
            <w:r w:rsidR="00F01D80" w:rsidRPr="00526FBF">
              <w:rPr>
                <w:rFonts w:ascii="Arial Narrow" w:hAnsi="Arial Narrow" w:cs="Times New Roman"/>
                <w:sz w:val="20"/>
                <w:szCs w:val="20"/>
              </w:rPr>
              <w:t xml:space="preserve"> </w:t>
            </w:r>
            <w:r w:rsidRPr="00526FBF">
              <w:rPr>
                <w:rFonts w:ascii="Arial Narrow" w:hAnsi="Arial Narrow" w:cs="Times New Roman"/>
                <w:sz w:val="20"/>
                <w:szCs w:val="20"/>
              </w:rPr>
              <w:t>independent cardiologists</w:t>
            </w:r>
          </w:p>
        </w:tc>
        <w:tc>
          <w:tcPr>
            <w:tcW w:w="1177" w:type="pct"/>
          </w:tcPr>
          <w:p w14:paraId="55FECB6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2ACD5B8D"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233DE7BF" w14:textId="06DF00E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18F054B8" w14:textId="3DA77A4A" w:rsidR="00A474A9" w:rsidRPr="00526FBF" w:rsidRDefault="00F01D80" w:rsidP="004C79C1">
            <w:pPr>
              <w:spacing w:before="0" w:after="120" w:line="240" w:lineRule="auto"/>
              <w:ind w:left="118" w:right="-57"/>
              <w:rPr>
                <w:rFonts w:ascii="Arial Narrow" w:hAnsi="Arial Narrow" w:cs="Arial Narrow"/>
                <w:bCs/>
                <w:sz w:val="20"/>
              </w:rPr>
            </w:pPr>
            <w:r>
              <w:rPr>
                <w:rFonts w:ascii="Arial Narrow" w:hAnsi="Arial Narrow"/>
                <w:sz w:val="20"/>
              </w:rPr>
              <w:t>a</w:t>
            </w:r>
            <w:r w:rsidR="00A474A9" w:rsidRPr="00526FBF">
              <w:rPr>
                <w:rFonts w:ascii="Arial Narrow" w:hAnsi="Arial Narrow"/>
                <w:sz w:val="20"/>
              </w:rPr>
              <w:t>ll-cause mortality</w:t>
            </w:r>
            <w:r w:rsidR="00A474A9" w:rsidRPr="00526FBF">
              <w:rPr>
                <w:rFonts w:ascii="Arial Narrow" w:hAnsi="Arial Narrow" w:cs="Arial Narrow"/>
                <w:bCs/>
                <w:sz w:val="20"/>
              </w:rPr>
              <w:br/>
            </w:r>
            <w:r>
              <w:rPr>
                <w:rFonts w:ascii="Arial Narrow" w:hAnsi="Arial Narrow"/>
                <w:sz w:val="20"/>
              </w:rPr>
              <w:t>c</w:t>
            </w:r>
            <w:r w:rsidR="00A474A9" w:rsidRPr="00526FBF">
              <w:rPr>
                <w:rFonts w:ascii="Arial Narrow" w:hAnsi="Arial Narrow"/>
                <w:sz w:val="20"/>
              </w:rPr>
              <w:t>ardiac death</w:t>
            </w:r>
            <w:r w:rsidR="00A474A9" w:rsidRPr="00526FBF">
              <w:rPr>
                <w:rFonts w:ascii="Arial Narrow" w:hAnsi="Arial Narrow"/>
                <w:sz w:val="20"/>
              </w:rPr>
              <w:br/>
              <w:t>HF</w:t>
            </w:r>
            <w:r w:rsidR="00A474A9" w:rsidRPr="00526FBF">
              <w:rPr>
                <w:rFonts w:ascii="Arial Narrow" w:hAnsi="Arial Narrow"/>
                <w:sz w:val="20"/>
              </w:rPr>
              <w:br/>
              <w:t>VA</w:t>
            </w:r>
            <w:r w:rsidR="00A474A9" w:rsidRPr="00526FBF">
              <w:rPr>
                <w:rFonts w:ascii="Arial Narrow" w:hAnsi="Arial Narrow"/>
                <w:sz w:val="20"/>
              </w:rPr>
              <w:br/>
            </w:r>
            <w:r>
              <w:rPr>
                <w:rFonts w:ascii="Arial Narrow" w:hAnsi="Arial Narrow"/>
                <w:sz w:val="20"/>
              </w:rPr>
              <w:t>c</w:t>
            </w:r>
            <w:r w:rsidR="00A474A9" w:rsidRPr="00526FBF">
              <w:rPr>
                <w:rFonts w:ascii="Arial Narrow" w:hAnsi="Arial Narrow"/>
                <w:sz w:val="20"/>
              </w:rPr>
              <w:t>ardiac transplantation</w:t>
            </w:r>
            <w:r w:rsidR="00A474A9" w:rsidRPr="00526FBF">
              <w:rPr>
                <w:rFonts w:ascii="Arial Narrow" w:hAnsi="Arial Narrow"/>
                <w:sz w:val="20"/>
              </w:rPr>
              <w:br/>
              <w:t>MACE</w:t>
            </w:r>
          </w:p>
          <w:p w14:paraId="56EED183"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514ECABB" w14:textId="77777777" w:rsidTr="00BE5D7C">
        <w:tc>
          <w:tcPr>
            <w:tcW w:w="391" w:type="pct"/>
          </w:tcPr>
          <w:p w14:paraId="4A45A6C3" w14:textId="7859DB9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Machii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ExcludeAuth="1"&gt;&lt;Author&gt;Machii&lt;/Author&gt;&lt;Year&gt;2014&lt;/Year&gt;&lt;RecNum&gt;51&lt;/RecNum&gt;&lt;DisplayText&gt;(2014)&lt;/DisplayText&gt;&lt;record&gt;&lt;rec-number&gt;51&lt;/rec-number&gt;&lt;foreign-keys&gt;&lt;key app="EN" db-id="pfxxvref0t0a5de2vwnv2fwkz0p9v0r2fw0t" timestamp="1458109052"&gt;51&lt;/key&gt;&lt;/foreign-keys&gt;&lt;ref-type name="Journal Article"&gt;17&lt;/ref-type&gt;&lt;contributors&gt;&lt;authors&gt;&lt;author&gt;Machii, M.&lt;/author&gt;&lt;author&gt;Satoh, H.&lt;/author&gt;&lt;author&gt;Shiraki, K.&lt;/author&gt;&lt;author&gt;Saotome, M.&lt;/author&gt;&lt;author&gt;Urushida, T.&lt;/author&gt;&lt;author&gt;Katoh, H.&lt;/author&gt;&lt;author&gt;Takehara, Y.&lt;/author&gt;&lt;author&gt;Sakahara, H.&lt;/author&gt;&lt;author&gt;Ohtani, H.&lt;/author&gt;&lt;author&gt;Wakabayashi, Y.&lt;/author&gt;&lt;author&gt;Ukigai, H.&lt;/author&gt;&lt;author&gt;Tawarahara, K.&lt;/author&gt;&lt;author&gt;Hayashi, H.&lt;/author&gt;&lt;/authors&gt;&lt;/contributors&gt;&lt;titles&gt;&lt;title&gt;Distribution of late gadolinium enhancement in end-stage hypertrophic cardiomyopathy and dilated cardiomyopathy: differential diagnosis and prediction of cardiac outcome&lt;/title&gt;&lt;secondary-title&gt;Magn Reson Imaging&lt;/secondary-title&gt;&lt;/titles&gt;&lt;periodical&gt;&lt;full-title&gt;Magn Reson Imaging&lt;/full-title&gt;&lt;/periodical&gt;&lt;pages&gt;118-24&lt;/pages&gt;&lt;volume&gt;32&lt;/volume&gt;&lt;number&gt;2&lt;/number&gt;&lt;dates&gt;&lt;year&gt;2014&lt;/year&gt;&lt;pub-dates&gt;&lt;date&gt;2014-01-01&lt;/date&gt;&lt;/pub-dates&gt;&lt;/dates&gt;&lt;isbn&gt;0730-725x&lt;/isbn&gt;&lt;urls&gt;&lt;related-urls&gt;&lt;url&gt;http://ac.els-cdn.com/S0730725X13003391/1-s2.0-S0730725X13003391-main.pdf?_tid=7ecef65a-c889-11e5-a472-00000aacb35e&amp;amp;acdnat=1454293036_8d835fc3947f274e735d49910b3d3cc0&lt;/url&gt;&lt;/related-urls&gt;&lt;/urls&gt;&lt;custom1&gt;RAYYAN-INCLUSION: {&amp;quot;Sharon&amp;quot;=&amp;gt;true} | RAYYAN-LABELS: prognostic,HCM,DCM&lt;/custom1&gt;&lt;research-notes&gt;Acceptable&lt;/research-notes&gt;&lt;language&gt;eng&lt;/language&gt;&lt;/record&gt;&lt;/Cite&gt;&lt;/EndNote&gt;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73" w:tooltip="Machii, 2014 #51" w:history="1">
              <w:r w:rsidR="00B906E9">
                <w:rPr>
                  <w:rFonts w:ascii="Arial Narrow" w:hAnsi="Arial Narrow" w:cs="Arial Narrow"/>
                  <w:bCs/>
                  <w:noProof/>
                  <w:sz w:val="20"/>
                  <w:szCs w:val="20"/>
                </w:rPr>
                <w:t>2014</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6D1B52AA" w14:textId="77777777" w:rsidR="00A474A9" w:rsidRPr="00526FBF" w:rsidRDefault="00A474A9" w:rsidP="004C79C1">
            <w:pPr>
              <w:spacing w:before="0" w:after="120" w:line="240" w:lineRule="auto"/>
              <w:rPr>
                <w:rFonts w:ascii="Arial Narrow" w:hAnsi="Arial Narrow" w:cs="Arial Narrow"/>
                <w:bCs/>
                <w:sz w:val="20"/>
                <w:szCs w:val="20"/>
              </w:rPr>
            </w:pPr>
          </w:p>
          <w:p w14:paraId="4C3F3D1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Japan</w:t>
            </w:r>
          </w:p>
        </w:tc>
        <w:tc>
          <w:tcPr>
            <w:tcW w:w="588" w:type="pct"/>
            <w:shd w:val="clear" w:color="auto" w:fill="auto"/>
          </w:tcPr>
          <w:p w14:paraId="31169203"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Retrospective cohort</w:t>
            </w:r>
          </w:p>
          <w:p w14:paraId="49EC58F4" w14:textId="77777777" w:rsidR="00A474A9" w:rsidRPr="00526FBF" w:rsidRDefault="00A474A9" w:rsidP="004C79C1">
            <w:pPr>
              <w:spacing w:before="0" w:after="120" w:line="240" w:lineRule="auto"/>
              <w:rPr>
                <w:rFonts w:ascii="Arial Narrow" w:hAnsi="Arial Narrow" w:cs="Arial Narrow"/>
                <w:bCs/>
                <w:sz w:val="20"/>
              </w:rPr>
            </w:pPr>
          </w:p>
          <w:p w14:paraId="0B1D56A5"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III-3</w:t>
            </w:r>
          </w:p>
          <w:p w14:paraId="7F91AEC9" w14:textId="77777777" w:rsidR="00A474A9" w:rsidRPr="00526FBF" w:rsidRDefault="00A474A9" w:rsidP="004C79C1">
            <w:pPr>
              <w:spacing w:before="0" w:after="120" w:line="240" w:lineRule="auto"/>
              <w:rPr>
                <w:rFonts w:ascii="Arial Narrow" w:hAnsi="Arial Narrow" w:cs="Arial Narrow"/>
                <w:bCs/>
                <w:sz w:val="20"/>
              </w:rPr>
            </w:pPr>
          </w:p>
          <w:p w14:paraId="12EB53BA"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68F7C00A"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N=83 patients with ES-HCM or DCM</w:t>
            </w:r>
          </w:p>
          <w:p w14:paraId="038F25B0" w14:textId="434B1DDE"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N=72 patients with DCM</w:t>
            </w:r>
            <w:r w:rsidR="00646604">
              <w:rPr>
                <w:rFonts w:ascii="Arial Narrow" w:hAnsi="Arial Narrow" w:cs="Arial Narrow"/>
                <w:bCs/>
                <w:sz w:val="20"/>
                <w:szCs w:val="20"/>
              </w:rPr>
              <w:t>:</w:t>
            </w:r>
          </w:p>
          <w:p w14:paraId="25A5938D"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n=48 (67%) LGE+</w:t>
            </w:r>
            <w:r w:rsidRPr="00526FBF">
              <w:rPr>
                <w:rFonts w:ascii="Arial Narrow" w:hAnsi="Arial Narrow" w:cs="Arial Narrow"/>
                <w:bCs/>
                <w:sz w:val="20"/>
              </w:rPr>
              <w:br/>
              <w:t>n=24 (33%) LGE–</w:t>
            </w:r>
          </w:p>
          <w:p w14:paraId="5A348591" w14:textId="77777777" w:rsidR="00C2311D"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71711872"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64 ± 14 years; </w:t>
            </w:r>
          </w:p>
          <w:p w14:paraId="60BA65ED"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72%; </w:t>
            </w:r>
          </w:p>
          <w:p w14:paraId="149D31CD"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34.4 ± 8.3%; BBB = 15%; </w:t>
            </w:r>
          </w:p>
          <w:p w14:paraId="383DAAC5"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family history = 11%; </w:t>
            </w:r>
          </w:p>
          <w:p w14:paraId="44DE4E9D"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syncope = 7%; </w:t>
            </w:r>
          </w:p>
          <w:p w14:paraId="41D20088"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presence of VT/VF = 29%; presence of AF = 29%; </w:t>
            </w:r>
          </w:p>
          <w:p w14:paraId="1A430ECA" w14:textId="77777777" w:rsidR="00C2311D"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CRT-D/ICD implantation = 10%; </w:t>
            </w:r>
          </w:p>
          <w:p w14:paraId="5C1A4E0E" w14:textId="65777DE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NYHA class = 2.5 ± 0.9; medications: ACE inhibitor/ARB = 78%, </w:t>
            </w:r>
            <w:r w:rsidR="00C2311D" w:rsidRPr="00257ED7">
              <w:rPr>
                <w:rFonts w:ascii="Arial Narrow" w:hAnsi="Arial Narrow" w:cs="Arial Narrow"/>
                <w:bCs/>
                <w:sz w:val="20"/>
              </w:rPr>
              <w:sym w:font="Symbol" w:char="F062"/>
            </w:r>
            <w:r w:rsidRPr="00526FBF">
              <w:rPr>
                <w:rFonts w:ascii="Arial Narrow" w:hAnsi="Arial Narrow" w:cs="Arial Narrow"/>
                <w:bCs/>
                <w:sz w:val="20"/>
              </w:rPr>
              <w:t>-blockers = 76%</w:t>
            </w:r>
          </w:p>
          <w:p w14:paraId="78315403" w14:textId="34260326"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39.6 ± </w:t>
            </w:r>
            <w:r w:rsidRPr="00526FBF">
              <w:rPr>
                <w:rFonts w:ascii="Arial Narrow" w:hAnsi="Arial Narrow" w:cs="Arial Narrow"/>
                <w:bCs/>
                <w:sz w:val="20"/>
                <w:szCs w:val="20"/>
              </w:rPr>
              <w:lastRenderedPageBreak/>
              <w:t>19.0</w:t>
            </w:r>
            <w:r w:rsidR="00B21FE5">
              <w:rPr>
                <w:rFonts w:ascii="Arial Narrow" w:hAnsi="Arial Narrow" w:cs="Arial Narrow"/>
                <w:bCs/>
                <w:sz w:val="20"/>
                <w:szCs w:val="20"/>
              </w:rPr>
              <w:t> </w:t>
            </w:r>
            <w:r w:rsidRPr="00526FBF">
              <w:rPr>
                <w:rFonts w:ascii="Arial Narrow" w:hAnsi="Arial Narrow" w:cs="Arial Narrow"/>
                <w:bCs/>
                <w:sz w:val="20"/>
                <w:szCs w:val="20"/>
              </w:rPr>
              <w:t>months</w:t>
            </w:r>
          </w:p>
        </w:tc>
        <w:tc>
          <w:tcPr>
            <w:tcW w:w="882" w:type="pct"/>
          </w:tcPr>
          <w:p w14:paraId="1770EAA2" w14:textId="4AB4568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admitted for treatment of </w:t>
            </w:r>
            <w:r w:rsidR="00B21FE5">
              <w:rPr>
                <w:rFonts w:ascii="Arial Narrow" w:hAnsi="Arial Narrow"/>
                <w:sz w:val="20"/>
              </w:rPr>
              <w:t>HF</w:t>
            </w:r>
            <w:r w:rsidRPr="00526FBF">
              <w:rPr>
                <w:rFonts w:ascii="Arial Narrow" w:hAnsi="Arial Narrow"/>
                <w:sz w:val="20"/>
              </w:rPr>
              <w:t xml:space="preserve"> and/or for a differential diagnosis of CM who underwent CMR from April 2003 to August 2009</w:t>
            </w:r>
            <w:r w:rsidR="00B21FE5">
              <w:rPr>
                <w:rFonts w:ascii="Arial Narrow" w:hAnsi="Arial Narrow"/>
                <w:sz w:val="20"/>
              </w:rPr>
              <w:t>,</w:t>
            </w:r>
            <w:r w:rsidRPr="00526FBF">
              <w:rPr>
                <w:rFonts w:ascii="Arial Narrow" w:hAnsi="Arial Narrow"/>
                <w:sz w:val="20"/>
              </w:rPr>
              <w:t xml:space="preserve"> </w:t>
            </w:r>
            <w:r w:rsidR="00B21FE5">
              <w:rPr>
                <w:rFonts w:ascii="Arial Narrow" w:hAnsi="Arial Narrow"/>
                <w:sz w:val="20"/>
              </w:rPr>
              <w:t>a</w:t>
            </w:r>
            <w:r w:rsidRPr="00526FBF">
              <w:rPr>
                <w:rFonts w:ascii="Arial Narrow" w:hAnsi="Arial Narrow"/>
                <w:sz w:val="20"/>
              </w:rPr>
              <w:t>nd were diagnosed with ES-HCM and DCM</w:t>
            </w:r>
          </w:p>
          <w:p w14:paraId="61E5FFE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diagnosed with cardiac sarcoidosis or with significant CAD (≥50% DS) by ICA</w:t>
            </w:r>
          </w:p>
        </w:tc>
        <w:tc>
          <w:tcPr>
            <w:tcW w:w="1030" w:type="pct"/>
          </w:tcPr>
          <w:p w14:paraId="4F97EDF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t>
            </w:r>
          </w:p>
          <w:p w14:paraId="12918995"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Breath-hold cine magnetic resonance images were obtained in contiguous short-axis planes with the patient in a resting state.</w:t>
            </w:r>
          </w:p>
          <w:p w14:paraId="7457D2F8" w14:textId="5CD496F8"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 recovery prepared fast gradient</w:t>
            </w:r>
            <w:r w:rsidR="00B74E99">
              <w:rPr>
                <w:rFonts w:ascii="Arial Narrow" w:hAnsi="Arial Narrow" w:cs="Times New Roman"/>
                <w:sz w:val="20"/>
                <w:szCs w:val="20"/>
              </w:rPr>
              <w:t>-</w:t>
            </w:r>
            <w:r w:rsidRPr="00526FBF">
              <w:rPr>
                <w:rFonts w:ascii="Arial Narrow" w:hAnsi="Arial Narrow" w:cs="Times New Roman"/>
                <w:sz w:val="20"/>
                <w:szCs w:val="20"/>
              </w:rPr>
              <w:t>echo sequence</w:t>
            </w:r>
          </w:p>
          <w:p w14:paraId="68457CFC" w14:textId="62B07EC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00B74E99">
              <w:rPr>
                <w:rFonts w:ascii="Arial Narrow" w:hAnsi="Arial Narrow" w:cs="Times New Roman"/>
                <w:sz w:val="20"/>
                <w:szCs w:val="20"/>
              </w:rPr>
              <w:t>Gd</w:t>
            </w:r>
            <w:r w:rsidRPr="00526FBF">
              <w:rPr>
                <w:rFonts w:ascii="Arial Narrow" w:hAnsi="Arial Narrow" w:cs="Times New Roman"/>
                <w:sz w:val="20"/>
                <w:szCs w:val="20"/>
              </w:rPr>
              <w:t>-DTPA-BMA</w:t>
            </w:r>
          </w:p>
          <w:p w14:paraId="4CD8CA5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 minutes</w:t>
            </w:r>
          </w:p>
          <w:p w14:paraId="33D7D3BC" w14:textId="271BA51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end-diastolic and end-systolic volumes, LVEF and LV mass were acquired from the 2-D FIESTA cine images in short</w:t>
            </w:r>
            <w:r w:rsidR="00B74E99">
              <w:rPr>
                <w:rFonts w:ascii="Arial Narrow" w:hAnsi="Arial Narrow" w:cs="Times New Roman"/>
                <w:sz w:val="20"/>
                <w:szCs w:val="20"/>
              </w:rPr>
              <w:t>-</w:t>
            </w:r>
            <w:r w:rsidRPr="00526FBF">
              <w:rPr>
                <w:rFonts w:ascii="Arial Narrow" w:hAnsi="Arial Narrow" w:cs="Times New Roman"/>
                <w:sz w:val="20"/>
                <w:szCs w:val="20"/>
              </w:rPr>
              <w:t>axis view. The values for LV volume and mass were indexed by dividing them with body surface area.</w:t>
            </w:r>
          </w:p>
          <w:p w14:paraId="79E2A27E" w14:textId="3DB2365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w:t>
            </w:r>
            <w:r w:rsidR="00B74E99">
              <w:rPr>
                <w:rFonts w:ascii="Arial Narrow" w:hAnsi="Arial Narrow" w:cs="Times New Roman"/>
                <w:sz w:val="20"/>
                <w:szCs w:val="20"/>
              </w:rPr>
              <w:t>2</w:t>
            </w:r>
            <w:r w:rsidRPr="00526FBF">
              <w:rPr>
                <w:rFonts w:ascii="Arial Narrow" w:hAnsi="Arial Narrow" w:cs="Times New Roman"/>
                <w:sz w:val="20"/>
                <w:szCs w:val="20"/>
              </w:rPr>
              <w:t xml:space="preserve">experienced cardiovascular radiologists interpreted the CMR images without knowledge of clinical findings. Regional analyses of </w:t>
            </w:r>
            <w:r w:rsidRPr="00526FBF">
              <w:rPr>
                <w:rFonts w:ascii="Arial Narrow" w:hAnsi="Arial Narrow" w:cs="Times New Roman"/>
                <w:sz w:val="20"/>
                <w:szCs w:val="20"/>
              </w:rPr>
              <w:lastRenderedPageBreak/>
              <w:t xml:space="preserve">LGE-CMR images were performed using the 17-segments model, </w:t>
            </w:r>
            <w:r w:rsidR="00B74E99">
              <w:rPr>
                <w:rFonts w:ascii="Arial Narrow" w:hAnsi="Arial Narrow" w:cs="Times New Roman"/>
                <w:sz w:val="20"/>
                <w:szCs w:val="20"/>
              </w:rPr>
              <w:t xml:space="preserve">and </w:t>
            </w:r>
            <w:r w:rsidRPr="00526FBF">
              <w:rPr>
                <w:rFonts w:ascii="Arial Narrow" w:hAnsi="Arial Narrow" w:cs="Times New Roman"/>
                <w:sz w:val="20"/>
                <w:szCs w:val="20"/>
              </w:rPr>
              <w:t>each LV segment was scored using a 5-point scoring system (0 = no LGE, 1 = 1–25% of transmural extent of LGE, 2 = 26–50%, 3 = 51–75%, 4 = 76–100%).</w:t>
            </w:r>
          </w:p>
        </w:tc>
        <w:tc>
          <w:tcPr>
            <w:tcW w:w="1177" w:type="pct"/>
          </w:tcPr>
          <w:p w14:paraId="0680BBC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13AF97E2"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5262787D" w14:textId="78DAC931"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26B546E0" w14:textId="3444B837" w:rsidR="00A474A9" w:rsidRPr="00526FBF" w:rsidRDefault="00812186"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r w:rsidR="00A474A9" w:rsidRPr="00526FBF">
              <w:rPr>
                <w:rFonts w:ascii="Arial Narrow" w:hAnsi="Arial Narrow" w:cs="Arial Narrow"/>
                <w:bCs/>
                <w:sz w:val="20"/>
              </w:rPr>
              <w:br/>
              <w:t>SCD</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w:t>
            </w:r>
            <w:r>
              <w:rPr>
                <w:rFonts w:ascii="Arial Narrow" w:hAnsi="Arial Narrow" w:cs="Arial Narrow"/>
                <w:bCs/>
                <w:sz w:val="20"/>
              </w:rPr>
              <w:t>s</w:t>
            </w:r>
            <w:r w:rsidR="00A474A9" w:rsidRPr="00526FBF">
              <w:rPr>
                <w:rFonts w:ascii="Arial Narrow" w:hAnsi="Arial Narrow" w:cs="Arial Narrow"/>
                <w:bCs/>
                <w:sz w:val="20"/>
              </w:rPr>
              <w:t>ation for HF</w:t>
            </w:r>
          </w:p>
          <w:p w14:paraId="136CD5B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5AED0FDE" w14:textId="77777777" w:rsidTr="00BE5D7C">
        <w:tc>
          <w:tcPr>
            <w:tcW w:w="391" w:type="pct"/>
          </w:tcPr>
          <w:p w14:paraId="56C44332" w14:textId="0CE35018"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Masci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ExcludeAuth="1"&gt;&lt;Author&gt;Masci&lt;/Author&gt;&lt;Year&gt;2012&lt;/Year&gt;&lt;RecNum&gt;52&lt;/RecNum&gt;&lt;DisplayText&gt;(2012)&lt;/DisplayText&gt;&lt;record&gt;&lt;rec-number&gt;52&lt;/rec-number&gt;&lt;foreign-keys&gt;&lt;key app="EN" db-id="pfxxvref0t0a5de2vwnv2fwkz0p9v0r2fw0t" timestamp="1458109052"&gt;52&lt;/key&gt;&lt;/foreign-keys&gt;&lt;ref-type name="Journal Article"&gt;17&lt;/ref-type&gt;&lt;contributors&gt;&lt;authors&gt;&lt;author&gt;Masci, Pier Giorgio&lt;/author&gt;&lt;author&gt;Barison, Andrea&lt;/author&gt;&lt;author&gt;Aquaro, Giovanni Donato&lt;/author&gt;&lt;author&gt;Pingitore, Alessandro&lt;/author&gt;&lt;author&gt;Mariotti, Rita&lt;/author&gt;&lt;author&gt;Balbarini, Alberto&lt;/author&gt;&lt;author&gt;Passino, Claudio&lt;/author&gt;&lt;author&gt;Lombardi, Massimo&lt;/author&gt;&lt;author&gt;Emdin, Michele&lt;/author&gt;&lt;/authors&gt;&lt;/contributors&gt;&lt;titles&gt;&lt;title&gt;Myocardial delayed enhancement in paucisymptomatic nonischemic dilated cardiomyopathy&lt;/title&gt;&lt;secondary-title&gt;International Journal of Cardiology&lt;/secondary-title&gt;&lt;/titles&gt;&lt;periodical&gt;&lt;full-title&gt;International Journal of Cardiology&lt;/full-title&gt;&lt;/periodical&gt;&lt;pages&gt;43-47&lt;/pages&gt;&lt;volume&gt;157&lt;/volume&gt;&lt;number&gt;1&lt;/number&gt;&lt;keywords&gt;&lt;keyword&gt;Nonischemic cardiomyopathy&lt;/keyword&gt;&lt;keyword&gt;Dilated cardiomyopathy&lt;/keyword&gt;&lt;keyword&gt;Cardiovascular magnetic resonance&lt;/keyword&gt;&lt;keyword&gt;Delayed enhancement&lt;/keyword&gt;&lt;keyword&gt;Fibrosis&lt;/keyword&gt;&lt;keyword&gt;Heart failure&lt;/keyword&gt;&lt;/keywords&gt;&lt;dates&gt;&lt;year&gt;2012&lt;/year&gt;&lt;pub-dates&gt;&lt;date&gt;5/17/&lt;/date&gt;&lt;/pub-dates&gt;&lt;/dates&gt;&lt;isbn&gt;0167-5273&lt;/isbn&gt;&lt;urls&gt;&lt;related-urls&gt;&lt;url&gt;http://www.sciencedirect.com/science/article/pii/S0167527310010090&lt;/url&gt;&lt;url&gt;http://ac.els-cdn.com/S0167527310010090/1-s2.0-S0167527310010090-main.pdf?_tid=b6e7df70-c889-11e5-8b54-00000aab0f6c&amp;amp;acdnat=1454293131_64df85747d022f0cce5ab5ea6482b26e&lt;/url&gt;&lt;/related-urls&gt;&lt;/urls&gt;&lt;electronic-resource-num&gt;http://dx.doi.org/10.1016/j.ijcard.2010.11.005&lt;/electronic-resource-num&gt;&lt;research-notes&gt;Acceptable&lt;/research-notes&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76" w:tooltip="Masci, 2012 #52" w:history="1">
              <w:r w:rsidR="00B906E9">
                <w:rPr>
                  <w:rFonts w:ascii="Arial Narrow" w:hAnsi="Arial Narrow" w:cs="Arial Narrow"/>
                  <w:bCs/>
                  <w:noProof/>
                  <w:sz w:val="20"/>
                  <w:szCs w:val="20"/>
                </w:rPr>
                <w:t>2012</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252B825" w14:textId="77777777" w:rsidR="00A474A9" w:rsidRPr="00526FBF" w:rsidRDefault="00A474A9" w:rsidP="004C79C1">
            <w:pPr>
              <w:spacing w:before="0" w:after="120" w:line="240" w:lineRule="auto"/>
              <w:rPr>
                <w:rFonts w:ascii="Arial Narrow" w:hAnsi="Arial Narrow" w:cs="Arial Narrow"/>
                <w:bCs/>
                <w:sz w:val="20"/>
                <w:szCs w:val="20"/>
              </w:rPr>
            </w:pPr>
          </w:p>
          <w:p w14:paraId="7A6F3B4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Italy</w:t>
            </w:r>
          </w:p>
        </w:tc>
        <w:tc>
          <w:tcPr>
            <w:tcW w:w="588" w:type="pct"/>
            <w:shd w:val="clear" w:color="auto" w:fill="auto"/>
          </w:tcPr>
          <w:p w14:paraId="1841285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16B4A76F" w14:textId="77777777" w:rsidR="00A474A9" w:rsidRPr="00526FBF" w:rsidRDefault="00A474A9" w:rsidP="004C79C1">
            <w:pPr>
              <w:spacing w:before="0" w:after="120" w:line="240" w:lineRule="auto"/>
              <w:rPr>
                <w:rFonts w:ascii="Arial Narrow" w:hAnsi="Arial Narrow" w:cs="Arial Narrow"/>
                <w:bCs/>
                <w:sz w:val="20"/>
              </w:rPr>
            </w:pPr>
          </w:p>
          <w:p w14:paraId="2B881867"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1F1D0169" w14:textId="77777777" w:rsidR="00A474A9" w:rsidRPr="00526FBF" w:rsidRDefault="00A474A9" w:rsidP="004C79C1">
            <w:pPr>
              <w:spacing w:before="0" w:after="120" w:line="240" w:lineRule="auto"/>
              <w:rPr>
                <w:rFonts w:ascii="Arial Narrow" w:hAnsi="Arial Narrow" w:cs="Arial Narrow"/>
                <w:bCs/>
                <w:sz w:val="20"/>
              </w:rPr>
            </w:pPr>
          </w:p>
          <w:p w14:paraId="36CBD26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4453177A" w14:textId="50A2CA60"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N=125 NICM patients with or without a history of mild HF</w:t>
            </w:r>
            <w:r w:rsidR="00646604">
              <w:rPr>
                <w:rFonts w:ascii="Arial Narrow" w:hAnsi="Arial Narrow" w:cs="Arial Narrow"/>
                <w:bCs/>
                <w:sz w:val="20"/>
              </w:rPr>
              <w:t>:</w:t>
            </w:r>
          </w:p>
          <w:p w14:paraId="42B8724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n=50 (40%) LGE+</w:t>
            </w:r>
            <w:r w:rsidRPr="00526FBF">
              <w:rPr>
                <w:rFonts w:ascii="Arial Narrow" w:hAnsi="Arial Narrow" w:cs="Arial Narrow"/>
                <w:bCs/>
                <w:sz w:val="20"/>
              </w:rPr>
              <w:br/>
              <w:t>n=75 (60%) LGE–</w:t>
            </w:r>
          </w:p>
          <w:p w14:paraId="5A2DB5AE" w14:textId="77777777" w:rsidR="00D700AB"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B0C9602" w14:textId="77777777" w:rsidR="00D700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59 ± 14 years; </w:t>
            </w:r>
          </w:p>
          <w:p w14:paraId="145DFE27" w14:textId="77777777" w:rsidR="00D700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66%; </w:t>
            </w:r>
          </w:p>
          <w:p w14:paraId="16C50DE2" w14:textId="77777777" w:rsidR="00D700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median duration of NICM: LGE– = 12 (IQR 4–60), LGE+ = 30 (IQR 9–96); </w:t>
            </w:r>
          </w:p>
          <w:p w14:paraId="73511C85" w14:textId="77777777" w:rsidR="00D700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34%; </w:t>
            </w:r>
          </w:p>
          <w:p w14:paraId="293C3846" w14:textId="77777777" w:rsidR="00D700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26 ± 7%; NYHA class: I = 41%, II = 37%; </w:t>
            </w:r>
          </w:p>
          <w:p w14:paraId="39059252" w14:textId="2A9A4FE2" w:rsidR="00A474A9" w:rsidRPr="00526FBF" w:rsidRDefault="00A474A9" w:rsidP="004C79C1">
            <w:pPr>
              <w:spacing w:before="0" w:after="120" w:line="240" w:lineRule="auto"/>
              <w:ind w:left="58"/>
              <w:rPr>
                <w:rFonts w:ascii="Arial Narrow" w:hAnsi="Arial Narrow" w:cs="Arial Narrow"/>
                <w:bCs/>
                <w:sz w:val="20"/>
              </w:rPr>
            </w:pPr>
            <w:proofErr w:type="gramStart"/>
            <w:r w:rsidRPr="00526FBF">
              <w:rPr>
                <w:rFonts w:ascii="Arial Narrow" w:hAnsi="Arial Narrow" w:cs="Arial Narrow"/>
                <w:bCs/>
                <w:sz w:val="20"/>
              </w:rPr>
              <w:t>medications</w:t>
            </w:r>
            <w:proofErr w:type="gramEnd"/>
            <w:r w:rsidRPr="00526FBF">
              <w:rPr>
                <w:rFonts w:ascii="Arial Narrow" w:hAnsi="Arial Narrow" w:cs="Arial Narrow"/>
                <w:bCs/>
                <w:sz w:val="20"/>
              </w:rPr>
              <w:t xml:space="preserve">: ACE inhibitor = 61%, ARB = 31%, </w:t>
            </w:r>
            <w:r w:rsidR="00D700AB" w:rsidRPr="00257ED7">
              <w:rPr>
                <w:rFonts w:ascii="Arial Narrow" w:hAnsi="Arial Narrow" w:cs="Arial Narrow"/>
                <w:bCs/>
                <w:sz w:val="20"/>
              </w:rPr>
              <w:sym w:font="Symbol" w:char="F062"/>
            </w:r>
            <w:r w:rsidRPr="00526FBF">
              <w:rPr>
                <w:rFonts w:ascii="Arial Narrow" w:hAnsi="Arial Narrow" w:cs="Arial Narrow"/>
                <w:bCs/>
                <w:sz w:val="20"/>
              </w:rPr>
              <w:t>-blockers = 87%.</w:t>
            </w:r>
          </w:p>
          <w:p w14:paraId="25CB1CEC"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Median follow-up:</w:t>
            </w:r>
            <w:r w:rsidRPr="00526FBF">
              <w:rPr>
                <w:rFonts w:ascii="Arial Narrow" w:hAnsi="Arial Narrow" w:cs="Arial Narrow"/>
                <w:bCs/>
                <w:sz w:val="20"/>
              </w:rPr>
              <w:t xml:space="preserve"> 14.2 (IQR 6.5–28.8) months</w:t>
            </w:r>
          </w:p>
        </w:tc>
        <w:tc>
          <w:tcPr>
            <w:tcW w:w="882" w:type="pct"/>
          </w:tcPr>
          <w:p w14:paraId="7C2147FF" w14:textId="77777777" w:rsidR="00A474A9" w:rsidRPr="00280C0B" w:rsidRDefault="00A474A9" w:rsidP="004C79C1">
            <w:pPr>
              <w:spacing w:before="0" w:after="120" w:line="240" w:lineRule="auto"/>
              <w:ind w:right="-57"/>
              <w:rPr>
                <w:rFonts w:ascii="Arial Narrow" w:hAnsi="Arial Narrow"/>
                <w:sz w:val="20"/>
              </w:rPr>
            </w:pPr>
            <w:r w:rsidRPr="00280C0B">
              <w:rPr>
                <w:rFonts w:ascii="Arial Narrow" w:hAnsi="Arial Narrow"/>
                <w:b/>
                <w:sz w:val="20"/>
              </w:rPr>
              <w:t>Inclusion criteria</w:t>
            </w:r>
            <w:r w:rsidRPr="00280C0B">
              <w:rPr>
                <w:rFonts w:ascii="Arial Narrow" w:hAnsi="Arial Narrow"/>
                <w:sz w:val="20"/>
              </w:rPr>
              <w:t>, NICM patients without (stage B of HF) or with a history of mild HF symptoms (stage C of HF, NYHA classes I–II), with evidence of LV systolic dysfunction at transthoracic ECG (LVEF &lt;50%) and absence of CAD were prospectively enrolled between May 2004 and December 2008.</w:t>
            </w:r>
          </w:p>
          <w:p w14:paraId="23D3FFAB" w14:textId="77777777" w:rsidR="00A474A9" w:rsidRPr="00280C0B" w:rsidRDefault="00A474A9" w:rsidP="004C79C1">
            <w:pPr>
              <w:spacing w:before="0" w:after="120" w:line="240" w:lineRule="auto"/>
              <w:ind w:right="-57"/>
              <w:rPr>
                <w:rFonts w:ascii="Arial Narrow" w:hAnsi="Arial Narrow"/>
                <w:sz w:val="20"/>
              </w:rPr>
            </w:pPr>
            <w:r w:rsidRPr="00280C0B">
              <w:rPr>
                <w:rFonts w:ascii="Arial Narrow" w:hAnsi="Arial Narrow"/>
                <w:b/>
                <w:sz w:val="20"/>
              </w:rPr>
              <w:t>Exclusion criteria:</w:t>
            </w:r>
            <w:r w:rsidRPr="00280C0B">
              <w:rPr>
                <w:rFonts w:ascii="Arial Narrow" w:hAnsi="Arial Narrow"/>
                <w:sz w:val="20"/>
              </w:rPr>
              <w:t xml:space="preserve"> </w:t>
            </w:r>
            <w:r w:rsidRPr="00280C0B">
              <w:rPr>
                <w:rFonts w:ascii="Arial Narrow" w:hAnsi="Arial Narrow" w:cs="Arial Narrow"/>
                <w:bCs/>
                <w:sz w:val="20"/>
              </w:rPr>
              <w:t>patients presenting with active myocarditis, congenital heart disease, HCM, infiltrative disease, or moderate-to-severe valvular heart disease</w:t>
            </w:r>
          </w:p>
        </w:tc>
        <w:tc>
          <w:tcPr>
            <w:tcW w:w="1030" w:type="pct"/>
          </w:tcPr>
          <w:p w14:paraId="17040AAE" w14:textId="77777777"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Scanner:</w:t>
            </w:r>
            <w:r w:rsidRPr="00280C0B">
              <w:rPr>
                <w:rFonts w:ascii="Arial Narrow" w:hAnsi="Arial Narrow" w:cs="Times New Roman"/>
                <w:sz w:val="20"/>
                <w:szCs w:val="20"/>
              </w:rPr>
              <w:t xml:space="preserve"> 1.5-T scanner with a phased-array surface receiver coil</w:t>
            </w:r>
          </w:p>
          <w:p w14:paraId="111A7A99" w14:textId="77777777"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Cardiac function</w:t>
            </w:r>
            <w:r w:rsidRPr="00280C0B">
              <w:rPr>
                <w:sz w:val="24"/>
              </w:rPr>
              <w:t xml:space="preserve"> </w:t>
            </w:r>
            <w:r w:rsidRPr="00280C0B">
              <w:rPr>
                <w:rFonts w:ascii="Arial Narrow" w:hAnsi="Arial Narrow" w:cs="Times New Roman"/>
                <w:b/>
                <w:sz w:val="20"/>
                <w:szCs w:val="20"/>
              </w:rPr>
              <w:t>sequence:</w:t>
            </w:r>
            <w:r w:rsidRPr="00280C0B">
              <w:rPr>
                <w:rFonts w:ascii="Arial Narrow" w:hAnsi="Arial Narrow" w:cs="Times New Roman"/>
                <w:sz w:val="20"/>
                <w:szCs w:val="20"/>
              </w:rPr>
              <w:t xml:space="preserve"> Biventricular function was assessed by breath-hold steady-state free-precession cine imaging in cardiac short-axis, vertical and horizontal long-axis.</w:t>
            </w:r>
          </w:p>
          <w:p w14:paraId="3FDDFAB3" w14:textId="7CF755CF"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LGE sequence:</w:t>
            </w:r>
            <w:r w:rsidRPr="00280C0B">
              <w:rPr>
                <w:rFonts w:ascii="Arial Narrow" w:hAnsi="Arial Narrow" w:cs="Times New Roman"/>
                <w:sz w:val="20"/>
                <w:szCs w:val="20"/>
              </w:rPr>
              <w:t xml:space="preserve"> segmented inversion-recovery T1-weighted gradient-echo pulse sequence</w:t>
            </w:r>
          </w:p>
          <w:p w14:paraId="41E78AEE" w14:textId="37A3D5B1"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Contrast agent:</w:t>
            </w:r>
            <w:r w:rsidRPr="00280C0B">
              <w:rPr>
                <w:rFonts w:ascii="Arial Narrow" w:hAnsi="Arial Narrow" w:cs="Times New Roman"/>
                <w:sz w:val="20"/>
                <w:szCs w:val="20"/>
              </w:rPr>
              <w:t xml:space="preserve"> 0.2 mmol/kg </w:t>
            </w:r>
            <w:r w:rsidR="0057019F" w:rsidRPr="00280C0B">
              <w:rPr>
                <w:rFonts w:ascii="Arial Narrow" w:hAnsi="Arial Narrow" w:cs="Times New Roman"/>
                <w:sz w:val="20"/>
                <w:szCs w:val="20"/>
              </w:rPr>
              <w:t>Gd</w:t>
            </w:r>
            <w:r w:rsidRPr="00280C0B">
              <w:rPr>
                <w:rFonts w:ascii="Arial Narrow" w:hAnsi="Arial Narrow" w:cs="Times New Roman"/>
                <w:sz w:val="20"/>
                <w:szCs w:val="20"/>
              </w:rPr>
              <w:t>-DTPA</w:t>
            </w:r>
          </w:p>
          <w:p w14:paraId="6AC9A77F" w14:textId="77777777"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Time delay:</w:t>
            </w:r>
            <w:r w:rsidRPr="00280C0B">
              <w:rPr>
                <w:rFonts w:ascii="Arial Narrow" w:hAnsi="Arial Narrow" w:cs="Times New Roman"/>
                <w:sz w:val="20"/>
                <w:szCs w:val="20"/>
              </w:rPr>
              <w:t xml:space="preserve"> 8–20 minutes</w:t>
            </w:r>
          </w:p>
          <w:p w14:paraId="552BA793" w14:textId="2349CBEE" w:rsidR="00A474A9" w:rsidRPr="00280C0B" w:rsidRDefault="00A474A9" w:rsidP="004C79C1">
            <w:pPr>
              <w:spacing w:before="0" w:after="120" w:line="240" w:lineRule="auto"/>
              <w:ind w:right="-57"/>
              <w:rPr>
                <w:rFonts w:ascii="Arial Narrow" w:hAnsi="Arial Narrow" w:cs="Times New Roman"/>
                <w:sz w:val="20"/>
                <w:szCs w:val="20"/>
              </w:rPr>
            </w:pPr>
            <w:r w:rsidRPr="00280C0B">
              <w:rPr>
                <w:rFonts w:ascii="Arial Narrow" w:hAnsi="Arial Narrow" w:cs="Times New Roman"/>
                <w:b/>
                <w:sz w:val="20"/>
                <w:szCs w:val="20"/>
              </w:rPr>
              <w:t>LV function:</w:t>
            </w:r>
            <w:r w:rsidRPr="00280C0B">
              <w:rPr>
                <w:rFonts w:ascii="Arial Narrow" w:hAnsi="Arial Narrow" w:cs="Times New Roman"/>
                <w:sz w:val="20"/>
                <w:szCs w:val="20"/>
              </w:rPr>
              <w:t xml:space="preserve"> LV and right ventricular volumes and ejection-fractions were determined using cine short-axis images, as well as LV mass. Volumes and LV mass were normali</w:t>
            </w:r>
            <w:r w:rsidR="0057019F" w:rsidRPr="00280C0B">
              <w:rPr>
                <w:rFonts w:ascii="Arial Narrow" w:hAnsi="Arial Narrow" w:cs="Times New Roman"/>
                <w:sz w:val="20"/>
                <w:szCs w:val="20"/>
              </w:rPr>
              <w:t>s</w:t>
            </w:r>
            <w:r w:rsidRPr="00280C0B">
              <w:rPr>
                <w:rFonts w:ascii="Arial Narrow" w:hAnsi="Arial Narrow" w:cs="Times New Roman"/>
                <w:sz w:val="20"/>
                <w:szCs w:val="20"/>
              </w:rPr>
              <w:t>ed to body surface area.</w:t>
            </w:r>
          </w:p>
          <w:p w14:paraId="06C896BC" w14:textId="61214120" w:rsidR="00A474A9" w:rsidRPr="00280C0B" w:rsidRDefault="00A474A9" w:rsidP="004C79C1">
            <w:pPr>
              <w:spacing w:before="0" w:after="120" w:line="240" w:lineRule="auto"/>
              <w:ind w:right="-57"/>
              <w:rPr>
                <w:rFonts w:ascii="Arial Narrow" w:hAnsi="Arial Narrow"/>
                <w:sz w:val="20"/>
              </w:rPr>
            </w:pPr>
            <w:r w:rsidRPr="00280C0B">
              <w:rPr>
                <w:rFonts w:ascii="Arial Narrow" w:hAnsi="Arial Narrow" w:cs="Times New Roman"/>
                <w:b/>
                <w:sz w:val="20"/>
                <w:szCs w:val="20"/>
              </w:rPr>
              <w:t>LGE diagnosis:</w:t>
            </w:r>
            <w:r w:rsidRPr="00280C0B">
              <w:rPr>
                <w:rFonts w:ascii="Arial Narrow" w:hAnsi="Arial Narrow" w:cs="Times New Roman"/>
                <w:sz w:val="20"/>
                <w:szCs w:val="20"/>
              </w:rPr>
              <w:t xml:space="preserve"> All CMR studies </w:t>
            </w:r>
            <w:r w:rsidRPr="00280C0B">
              <w:rPr>
                <w:rFonts w:ascii="Arial Narrow" w:hAnsi="Arial Narrow" w:cs="Times New Roman"/>
                <w:sz w:val="20"/>
                <w:szCs w:val="20"/>
              </w:rPr>
              <w:lastRenderedPageBreak/>
              <w:t xml:space="preserve">were analysed by the consensus of </w:t>
            </w:r>
            <w:r w:rsidR="0057019F" w:rsidRPr="00280C0B">
              <w:rPr>
                <w:rFonts w:ascii="Arial Narrow" w:hAnsi="Arial Narrow" w:cs="Times New Roman"/>
                <w:sz w:val="20"/>
                <w:szCs w:val="20"/>
              </w:rPr>
              <w:t xml:space="preserve">2 </w:t>
            </w:r>
            <w:r w:rsidRPr="00280C0B">
              <w:rPr>
                <w:rFonts w:ascii="Arial Narrow" w:hAnsi="Arial Narrow" w:cs="Times New Roman"/>
                <w:sz w:val="20"/>
                <w:szCs w:val="20"/>
              </w:rPr>
              <w:t>experienced operators, who were unaware of clinical and follow-up data. The presence of DE was visually determined on post-contrast images.</w:t>
            </w:r>
          </w:p>
        </w:tc>
        <w:tc>
          <w:tcPr>
            <w:tcW w:w="1177" w:type="pct"/>
          </w:tcPr>
          <w:p w14:paraId="584B661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5F98583F"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727E4532" w14:textId="53CC5665"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713186F9" w14:textId="4E543B27" w:rsidR="00A474A9" w:rsidRPr="00526FBF" w:rsidRDefault="0057019F"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ospitalisation for HF</w:t>
            </w:r>
          </w:p>
          <w:p w14:paraId="1413E96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0B509A12" w14:textId="77777777" w:rsidTr="00BE5D7C">
        <w:tc>
          <w:tcPr>
            <w:tcW w:w="391" w:type="pct"/>
          </w:tcPr>
          <w:p w14:paraId="5386AB7D" w14:textId="021B3594"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Muller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ExcludeAuth="1"&gt;&lt;Author&gt;Muller&lt;/Author&gt;&lt;Year&gt;2013&lt;/Year&gt;&lt;RecNum&gt;53&lt;/RecNum&gt;&lt;DisplayText&gt;(2013)&lt;/DisplayText&gt;&lt;record&gt;&lt;rec-number&gt;53&lt;/rec-number&gt;&lt;foreign-keys&gt;&lt;key app="EN" db-id="pfxxvref0t0a5de2vwnv2fwkz0p9v0r2fw0t" timestamp="1458109052"&gt;53&lt;/key&gt;&lt;/foreign-keys&gt;&lt;ref-type name="Journal Article"&gt;17&lt;/ref-type&gt;&lt;contributors&gt;&lt;authors&gt;&lt;author&gt;Muller, K. A.&lt;/author&gt;&lt;author&gt;Muller, I.&lt;/author&gt;&lt;author&gt;Kramer, U.&lt;/author&gt;&lt;author&gt;Kandolf, R.&lt;/author&gt;&lt;author&gt;Gawaz, M.&lt;/author&gt;&lt;author&gt;Bauer, A.&lt;/author&gt;&lt;author&gt;Zuern, C. S.&lt;/author&gt;&lt;/authors&gt;&lt;/contributors&gt;&lt;titles&gt;&lt;title&gt;Prognostic value of contrast-enhanced cardiac magnetic resonance imaging in patients with newly diagnosed non-ischemic cardiomyopathy: cohort study&lt;/title&gt;&lt;secondary-title&gt;PLoS One&lt;/secondary-title&gt;&lt;/titles&gt;&lt;periodical&gt;&lt;full-title&gt;PLoS One&lt;/full-title&gt;&lt;/periodical&gt;&lt;pages&gt;e57077&lt;/pages&gt;&lt;volume&gt;8&lt;/volume&gt;&lt;number&gt;2&lt;/number&gt;&lt;dates&gt;&lt;year&gt;2013&lt;/year&gt;&lt;pub-dates&gt;&lt;date&gt;2013-01-01&lt;/date&gt;&lt;/pub-dates&gt;&lt;/dates&gt;&lt;isbn&gt;1932-6203&lt;/isbn&gt;&lt;urls&gt;&lt;related-urls&gt;&lt;url&gt;http://www.ncbi.nlm.nih.gov/pmc/articles/PMC3577793/pdf/pone.0057077.pdf&lt;/url&gt;&lt;/related-urls&gt;&lt;/urls&gt;&lt;custom1&gt;RAYYAN-INCLUSION: {&amp;quot;Sharon&amp;quot;=&amp;gt;true} | RAYYAN-LABELS: prognostic,general&lt;/custom1&gt;&lt;research-notes&gt;Acceptable&lt;/research-notes&gt;&lt;language&gt;eng&lt;/language&gt;&lt;/record&gt;&lt;/Cite&gt;&lt;/EndNote&gt;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90" w:tooltip="Muller, 2013 #53" w:history="1">
              <w:r w:rsidR="00B906E9">
                <w:rPr>
                  <w:rFonts w:ascii="Arial Narrow" w:hAnsi="Arial Narrow" w:cs="Arial Narrow"/>
                  <w:bCs/>
                  <w:noProof/>
                  <w:sz w:val="20"/>
                  <w:szCs w:val="20"/>
                </w:rPr>
                <w:t>2013</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706DAD34" w14:textId="77777777" w:rsidR="00A474A9" w:rsidRPr="00526FBF" w:rsidRDefault="00A474A9" w:rsidP="004C79C1">
            <w:pPr>
              <w:spacing w:before="0" w:after="120" w:line="240" w:lineRule="auto"/>
              <w:rPr>
                <w:rFonts w:ascii="Arial Narrow" w:hAnsi="Arial Narrow" w:cs="Arial Narrow"/>
                <w:bCs/>
                <w:sz w:val="20"/>
                <w:szCs w:val="20"/>
              </w:rPr>
            </w:pPr>
          </w:p>
          <w:p w14:paraId="3A9A9914"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Germany</w:t>
            </w:r>
          </w:p>
        </w:tc>
        <w:tc>
          <w:tcPr>
            <w:tcW w:w="588" w:type="pct"/>
            <w:shd w:val="clear" w:color="auto" w:fill="auto"/>
          </w:tcPr>
          <w:p w14:paraId="57EF716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17DE4DCB" w14:textId="77777777" w:rsidR="00A474A9" w:rsidRPr="00526FBF" w:rsidRDefault="00A474A9" w:rsidP="004C79C1">
            <w:pPr>
              <w:spacing w:before="0" w:after="120" w:line="240" w:lineRule="auto"/>
              <w:rPr>
                <w:rFonts w:ascii="Arial Narrow" w:hAnsi="Arial Narrow" w:cs="Arial Narrow"/>
                <w:bCs/>
                <w:sz w:val="20"/>
              </w:rPr>
            </w:pPr>
          </w:p>
          <w:p w14:paraId="465B2243"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13E430D" w14:textId="77777777" w:rsidR="00A474A9" w:rsidRPr="00526FBF" w:rsidRDefault="00A474A9" w:rsidP="004C79C1">
            <w:pPr>
              <w:spacing w:before="0" w:after="120" w:line="240" w:lineRule="auto"/>
              <w:rPr>
                <w:rFonts w:ascii="Arial Narrow" w:hAnsi="Arial Narrow" w:cs="Arial Narrow"/>
                <w:bCs/>
                <w:sz w:val="20"/>
              </w:rPr>
            </w:pPr>
          </w:p>
          <w:p w14:paraId="3C9F13FA"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932" w:type="pct"/>
          </w:tcPr>
          <w:p w14:paraId="3DCE37E2" w14:textId="71634878"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N=185 patients who presented for evaluation of newly diagnosed NICM</w:t>
            </w:r>
            <w:r w:rsidR="00646604">
              <w:rPr>
                <w:rFonts w:ascii="Arial Narrow" w:hAnsi="Arial Narrow" w:cs="Arial Narrow"/>
                <w:bCs/>
                <w:sz w:val="20"/>
                <w:szCs w:val="20"/>
              </w:rPr>
              <w:t>:</w:t>
            </w:r>
          </w:p>
          <w:p w14:paraId="2B42BFAE"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n=94 (51%) LGE+</w:t>
            </w:r>
            <w:r w:rsidRPr="00526FBF">
              <w:rPr>
                <w:rFonts w:ascii="Arial Narrow" w:hAnsi="Arial Narrow" w:cs="Arial Narrow"/>
                <w:bCs/>
                <w:sz w:val="20"/>
              </w:rPr>
              <w:br/>
              <w:t>n=91 (49%) LGE–</w:t>
            </w:r>
          </w:p>
          <w:p w14:paraId="3AC0433D"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DCM = 55%</w:t>
            </w:r>
            <w:r w:rsidRPr="00526FBF">
              <w:rPr>
                <w:rFonts w:ascii="Arial Narrow" w:hAnsi="Arial Narrow" w:cs="Arial Narrow"/>
                <w:bCs/>
                <w:sz w:val="20"/>
                <w:szCs w:val="20"/>
              </w:rPr>
              <w:br/>
              <w:t>Myocarditis = 35%</w:t>
            </w:r>
            <w:r w:rsidRPr="00526FBF">
              <w:rPr>
                <w:rFonts w:ascii="Arial Narrow" w:hAnsi="Arial Narrow" w:cs="Arial Narrow"/>
                <w:bCs/>
                <w:sz w:val="20"/>
                <w:szCs w:val="20"/>
              </w:rPr>
              <w:br/>
            </w:r>
            <w:r>
              <w:rPr>
                <w:rFonts w:ascii="Arial Narrow" w:hAnsi="Arial Narrow" w:cs="Arial Narrow"/>
                <w:bCs/>
                <w:sz w:val="20"/>
                <w:szCs w:val="20"/>
              </w:rPr>
              <w:t>HCM</w:t>
            </w:r>
            <w:r w:rsidRPr="00526FBF">
              <w:rPr>
                <w:rFonts w:ascii="Arial Narrow" w:hAnsi="Arial Narrow" w:cs="Arial Narrow"/>
                <w:bCs/>
                <w:sz w:val="20"/>
                <w:szCs w:val="20"/>
              </w:rPr>
              <w:t xml:space="preserve"> or hypertensive CM = 8%</w:t>
            </w:r>
            <w:r w:rsidRPr="00526FBF">
              <w:rPr>
                <w:rFonts w:ascii="Arial Narrow" w:hAnsi="Arial Narrow" w:cs="Arial Narrow"/>
                <w:bCs/>
                <w:sz w:val="20"/>
                <w:szCs w:val="20"/>
              </w:rPr>
              <w:br/>
              <w:t>Storage disease = 2%</w:t>
            </w:r>
          </w:p>
          <w:p w14:paraId="2C264555" w14:textId="77777777" w:rsidR="00FF2F85"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24873D19" w14:textId="77777777" w:rsidR="00FF2F85"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51.2 ± 15.9 years; </w:t>
            </w:r>
          </w:p>
          <w:p w14:paraId="6BC95CE7" w14:textId="77777777" w:rsidR="00FF2F85"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71%; </w:t>
            </w:r>
          </w:p>
          <w:p w14:paraId="6A9562C1" w14:textId="08E00C6C" w:rsidR="00FF2F85"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103 ± 23</w:t>
            </w:r>
            <w:r w:rsidR="00FF2F85">
              <w:rPr>
                <w:rFonts w:ascii="Arial Narrow" w:hAnsi="Arial Narrow" w:cs="Arial Narrow"/>
                <w:bCs/>
                <w:sz w:val="20"/>
              </w:rPr>
              <w:t> </w:t>
            </w:r>
            <w:r w:rsidRPr="00526FBF">
              <w:rPr>
                <w:rFonts w:ascii="Arial Narrow" w:hAnsi="Arial Narrow" w:cs="Arial Narrow"/>
                <w:bCs/>
                <w:sz w:val="20"/>
              </w:rPr>
              <w:t xml:space="preserve">milliseconds; </w:t>
            </w:r>
          </w:p>
          <w:p w14:paraId="7CE04A81" w14:textId="13A41608"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43.3 ± 16.0%; NYHA class ≥II = 62%; medications: ACE inhibitor = 81%, ARB = 14%, </w:t>
            </w:r>
            <w:r w:rsidR="00D74931" w:rsidRPr="00257ED7">
              <w:rPr>
                <w:rFonts w:ascii="Arial Narrow" w:hAnsi="Arial Narrow" w:cs="Arial Narrow"/>
                <w:bCs/>
                <w:sz w:val="20"/>
              </w:rPr>
              <w:sym w:font="Symbol" w:char="F062"/>
            </w:r>
            <w:r w:rsidRPr="00526FBF">
              <w:rPr>
                <w:rFonts w:ascii="Arial Narrow" w:hAnsi="Arial Narrow" w:cs="Arial Narrow"/>
                <w:bCs/>
                <w:sz w:val="20"/>
              </w:rPr>
              <w:t>-blockers = 89%</w:t>
            </w:r>
          </w:p>
          <w:p w14:paraId="439744C7"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21 months </w:t>
            </w:r>
            <w:r w:rsidRPr="00526FBF">
              <w:rPr>
                <w:rFonts w:ascii="Arial Narrow" w:hAnsi="Arial Narrow" w:cs="Arial Narrow"/>
                <w:bCs/>
                <w:sz w:val="20"/>
                <w:szCs w:val="20"/>
              </w:rPr>
              <w:lastRenderedPageBreak/>
              <w:t>(at least 6 months)</w:t>
            </w:r>
          </w:p>
        </w:tc>
        <w:tc>
          <w:tcPr>
            <w:tcW w:w="882" w:type="pct"/>
          </w:tcPr>
          <w:p w14:paraId="1D366155" w14:textId="351CC88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w:t>
            </w:r>
            <w:r w:rsidRPr="00526FBF">
              <w:rPr>
                <w:rFonts w:ascii="Arial Narrow" w:hAnsi="Arial Narrow" w:cs="Arial Narrow"/>
                <w:bCs/>
                <w:sz w:val="20"/>
                <w:szCs w:val="20"/>
              </w:rPr>
              <w:t>patients who presented for evaluation of newly diagnosed NICM</w:t>
            </w:r>
            <w:r w:rsidRPr="00526FBF">
              <w:rPr>
                <w:rFonts w:cs="Times New Roman"/>
                <w:szCs w:val="20"/>
              </w:rPr>
              <w:t xml:space="preserve"> </w:t>
            </w:r>
            <w:r w:rsidRPr="00526FBF">
              <w:rPr>
                <w:rFonts w:ascii="Arial Narrow" w:hAnsi="Arial Narrow" w:cs="Arial Narrow"/>
                <w:bCs/>
                <w:sz w:val="20"/>
                <w:szCs w:val="20"/>
              </w:rPr>
              <w:t>and recent findings suggestive of cardiac structural damage (impaired global or regional LV function, LV enlargement, increase of cardiac enzymes, pericardial effusion or ECG abnormalities</w:t>
            </w:r>
            <w:r w:rsidR="002C65DA">
              <w:rPr>
                <w:rFonts w:ascii="Arial Narrow" w:hAnsi="Arial Narrow" w:cs="Arial Narrow"/>
                <w:bCs/>
                <w:sz w:val="20"/>
                <w:szCs w:val="20"/>
              </w:rPr>
              <w:t>)</w:t>
            </w:r>
          </w:p>
          <w:p w14:paraId="4A40C7F4" w14:textId="18EDF93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patients with history of MI or isch</w:t>
            </w:r>
            <w:r w:rsidR="002C65DA">
              <w:rPr>
                <w:rFonts w:ascii="Arial Narrow" w:hAnsi="Arial Narrow"/>
                <w:sz w:val="20"/>
              </w:rPr>
              <w:t>a</w:t>
            </w:r>
            <w:r w:rsidRPr="00526FBF">
              <w:rPr>
                <w:rFonts w:ascii="Arial Narrow" w:hAnsi="Arial Narrow"/>
                <w:sz w:val="20"/>
              </w:rPr>
              <w:t>emic scar on CMR as a sign of unrecogni</w:t>
            </w:r>
            <w:r w:rsidR="002C65DA">
              <w:rPr>
                <w:rFonts w:ascii="Arial Narrow" w:hAnsi="Arial Narrow"/>
                <w:sz w:val="20"/>
              </w:rPr>
              <w:t>s</w:t>
            </w:r>
            <w:r w:rsidRPr="00526FBF">
              <w:rPr>
                <w:rFonts w:ascii="Arial Narrow" w:hAnsi="Arial Narrow"/>
                <w:sz w:val="20"/>
              </w:rPr>
              <w:t>ed myocardial damage due to CAD</w:t>
            </w:r>
          </w:p>
        </w:tc>
        <w:tc>
          <w:tcPr>
            <w:tcW w:w="1030" w:type="pct"/>
          </w:tcPr>
          <w:p w14:paraId="3243BFD2"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w:t>
            </w:r>
          </w:p>
          <w:p w14:paraId="6C22AF82" w14:textId="19CE356D"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breath-hold steady-state free</w:t>
            </w:r>
            <w:r w:rsidR="002C65DA">
              <w:rPr>
                <w:rFonts w:ascii="Arial Narrow" w:hAnsi="Arial Narrow" w:cs="Times New Roman"/>
                <w:sz w:val="20"/>
                <w:szCs w:val="20"/>
              </w:rPr>
              <w:t>-</w:t>
            </w:r>
            <w:r w:rsidRPr="00526FBF">
              <w:rPr>
                <w:rFonts w:ascii="Arial Narrow" w:hAnsi="Arial Narrow" w:cs="Times New Roman"/>
                <w:sz w:val="20"/>
                <w:szCs w:val="20"/>
              </w:rPr>
              <w:t>precession (SSFP) pulse sequence</w:t>
            </w:r>
          </w:p>
          <w:p w14:paraId="09B3EE5D" w14:textId="515BF128"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w:t>
            </w:r>
            <w:r w:rsidR="002C65DA">
              <w:rPr>
                <w:rFonts w:ascii="Arial Narrow" w:hAnsi="Arial Narrow" w:cs="Times New Roman"/>
                <w:sz w:val="20"/>
                <w:szCs w:val="20"/>
              </w:rPr>
              <w:t>2D</w:t>
            </w:r>
            <w:r w:rsidRPr="00526FBF">
              <w:rPr>
                <w:rFonts w:ascii="Arial Narrow" w:hAnsi="Arial Narrow" w:cs="Times New Roman"/>
                <w:sz w:val="20"/>
                <w:szCs w:val="20"/>
              </w:rPr>
              <w:t xml:space="preserve"> inversion-recovery segmented k-space gradient-echo sequence</w:t>
            </w:r>
          </w:p>
          <w:p w14:paraId="56CC1B0F"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 mmol/kg gadobutrol (Gadovist)</w:t>
            </w:r>
          </w:p>
          <w:p w14:paraId="6F36EDE8"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 minutes</w:t>
            </w:r>
          </w:p>
          <w:p w14:paraId="2951C6D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End-diastolic volumes (EDV) and end-systolic volumes (ESV) were used to determine LVEF (EDV – ESV/EDV x 100).</w:t>
            </w:r>
          </w:p>
          <w:p w14:paraId="414696DA" w14:textId="715BD4D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image analysis was conducted by </w:t>
            </w:r>
            <w:r w:rsidR="006329D7">
              <w:rPr>
                <w:rFonts w:ascii="Arial Narrow" w:hAnsi="Arial Narrow" w:cs="Times New Roman"/>
                <w:sz w:val="20"/>
                <w:szCs w:val="20"/>
              </w:rPr>
              <w:t>2</w:t>
            </w:r>
            <w:r w:rsidR="006329D7" w:rsidRPr="00526FBF">
              <w:rPr>
                <w:rFonts w:ascii="Arial Narrow" w:hAnsi="Arial Narrow" w:cs="Times New Roman"/>
                <w:sz w:val="20"/>
                <w:szCs w:val="20"/>
              </w:rPr>
              <w:t xml:space="preserve"> </w:t>
            </w:r>
            <w:r w:rsidRPr="00526FBF">
              <w:rPr>
                <w:rFonts w:ascii="Arial Narrow" w:hAnsi="Arial Narrow" w:cs="Times New Roman"/>
                <w:sz w:val="20"/>
                <w:szCs w:val="20"/>
              </w:rPr>
              <w:t>experienced independent investigators who visually judged the occurrence (presence vs absence), locali</w:t>
            </w:r>
            <w:r w:rsidR="006329D7">
              <w:rPr>
                <w:rFonts w:ascii="Arial Narrow" w:hAnsi="Arial Narrow" w:cs="Times New Roman"/>
                <w:sz w:val="20"/>
                <w:szCs w:val="20"/>
              </w:rPr>
              <w:t>s</w:t>
            </w:r>
            <w:r w:rsidRPr="00526FBF">
              <w:rPr>
                <w:rFonts w:ascii="Arial Narrow" w:hAnsi="Arial Narrow" w:cs="Times New Roman"/>
                <w:sz w:val="20"/>
                <w:szCs w:val="20"/>
              </w:rPr>
              <w:t xml:space="preserve">ation and pattern of LGE. Areas of LGE were </w:t>
            </w:r>
            <w:r w:rsidRPr="00526FBF">
              <w:rPr>
                <w:rFonts w:ascii="Arial Narrow" w:hAnsi="Arial Narrow" w:cs="Times New Roman"/>
                <w:sz w:val="20"/>
                <w:szCs w:val="20"/>
              </w:rPr>
              <w:lastRenderedPageBreak/>
              <w:t>allocated to the American Heart Association 17-segment model.</w:t>
            </w:r>
          </w:p>
        </w:tc>
        <w:tc>
          <w:tcPr>
            <w:tcW w:w="1177" w:type="pct"/>
          </w:tcPr>
          <w:p w14:paraId="4C15F420"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01433BAE"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B5543B4" w14:textId="6B0151A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6112FA6D" w14:textId="470BD629"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t>ICD implantation</w:t>
            </w:r>
            <w:r w:rsidRPr="00526FBF">
              <w:rPr>
                <w:rFonts w:ascii="Arial Narrow" w:hAnsi="Arial Narrow" w:cs="Arial Narrow"/>
                <w:bCs/>
                <w:sz w:val="20"/>
              </w:rPr>
              <w:br/>
            </w:r>
            <w:r w:rsidR="006329D7">
              <w:rPr>
                <w:rFonts w:ascii="Arial Narrow" w:hAnsi="Arial Narrow" w:cs="Arial Narrow"/>
                <w:bCs/>
                <w:sz w:val="20"/>
              </w:rPr>
              <w:t>a</w:t>
            </w:r>
            <w:r w:rsidRPr="00526FBF">
              <w:rPr>
                <w:rFonts w:ascii="Arial Narrow" w:hAnsi="Arial Narrow" w:cs="Arial Narrow"/>
                <w:bCs/>
                <w:sz w:val="20"/>
              </w:rPr>
              <w:t>ll-cause mortality</w:t>
            </w:r>
            <w:r w:rsidRPr="00526FBF">
              <w:rPr>
                <w:rFonts w:ascii="Arial Narrow" w:hAnsi="Arial Narrow" w:cs="Arial Narrow"/>
                <w:bCs/>
                <w:sz w:val="20"/>
              </w:rPr>
              <w:br/>
            </w:r>
            <w:r w:rsidR="006329D7">
              <w:rPr>
                <w:rFonts w:ascii="Arial Narrow" w:hAnsi="Arial Narrow" w:cs="Arial Narrow"/>
                <w:bCs/>
                <w:sz w:val="20"/>
              </w:rPr>
              <w:t>c</w:t>
            </w:r>
            <w:r w:rsidRPr="00526FBF">
              <w:rPr>
                <w:rFonts w:ascii="Arial Narrow" w:hAnsi="Arial Narrow" w:cs="Arial Narrow"/>
                <w:bCs/>
                <w:sz w:val="20"/>
              </w:rPr>
              <w:t>ardiac death</w:t>
            </w:r>
            <w:r w:rsidRPr="00526FBF">
              <w:rPr>
                <w:rFonts w:ascii="Arial Narrow" w:hAnsi="Arial Narrow" w:cs="Arial Narrow"/>
                <w:bCs/>
                <w:sz w:val="20"/>
              </w:rPr>
              <w:br/>
            </w:r>
            <w:r w:rsidR="006329D7">
              <w:rPr>
                <w:rFonts w:ascii="Arial Narrow" w:hAnsi="Arial Narrow" w:cs="Arial Narrow"/>
                <w:bCs/>
                <w:sz w:val="20"/>
              </w:rPr>
              <w:t>h</w:t>
            </w:r>
            <w:r w:rsidRPr="00526FBF">
              <w:rPr>
                <w:rFonts w:ascii="Arial Narrow" w:hAnsi="Arial Narrow" w:cs="Arial Narrow"/>
                <w:bCs/>
                <w:sz w:val="20"/>
              </w:rPr>
              <w:t>eart transplantation</w:t>
            </w:r>
            <w:r w:rsidRPr="00526FBF">
              <w:rPr>
                <w:rFonts w:ascii="Arial Narrow" w:hAnsi="Arial Narrow" w:cs="Arial Narrow"/>
                <w:bCs/>
                <w:sz w:val="20"/>
              </w:rPr>
              <w:br/>
            </w:r>
            <w:r w:rsidR="006329D7">
              <w:rPr>
                <w:rFonts w:ascii="Arial Narrow" w:hAnsi="Arial Narrow" w:cs="Arial Narrow"/>
                <w:bCs/>
                <w:sz w:val="20"/>
              </w:rPr>
              <w:t>a</w:t>
            </w:r>
            <w:r w:rsidRPr="00526FBF">
              <w:rPr>
                <w:rFonts w:ascii="Arial Narrow" w:hAnsi="Arial Narrow" w:cs="Arial Narrow"/>
                <w:bCs/>
                <w:sz w:val="20"/>
              </w:rPr>
              <w:t>borted SCD</w:t>
            </w:r>
            <w:r w:rsidRPr="00526FBF">
              <w:rPr>
                <w:rFonts w:ascii="Arial Narrow" w:hAnsi="Arial Narrow" w:cs="Arial Narrow"/>
                <w:bCs/>
                <w:sz w:val="20"/>
              </w:rPr>
              <w:br/>
            </w:r>
            <w:r w:rsidR="006329D7">
              <w:rPr>
                <w:rFonts w:ascii="Arial Narrow" w:hAnsi="Arial Narrow" w:cs="Arial Narrow"/>
                <w:bCs/>
                <w:sz w:val="20"/>
              </w:rPr>
              <w:t>a</w:t>
            </w:r>
            <w:r w:rsidRPr="00526FBF">
              <w:rPr>
                <w:rFonts w:ascii="Arial Narrow" w:hAnsi="Arial Narrow" w:cs="Arial Narrow"/>
                <w:bCs/>
                <w:sz w:val="20"/>
              </w:rPr>
              <w:t>ppropriate ICD discharge</w:t>
            </w:r>
            <w:r w:rsidRPr="00526FBF">
              <w:rPr>
                <w:rFonts w:ascii="Arial Narrow" w:hAnsi="Arial Narrow" w:cs="Arial Narrow"/>
                <w:bCs/>
                <w:sz w:val="20"/>
              </w:rPr>
              <w:br/>
              <w:t>sustained VT</w:t>
            </w:r>
            <w:r w:rsidRPr="00526FBF">
              <w:rPr>
                <w:rFonts w:ascii="Arial Narrow" w:hAnsi="Arial Narrow" w:cs="Arial Narrow"/>
                <w:bCs/>
                <w:sz w:val="20"/>
              </w:rPr>
              <w:br/>
            </w:r>
            <w:r w:rsidR="006329D7">
              <w:rPr>
                <w:rFonts w:ascii="Arial Narrow" w:hAnsi="Arial Narrow" w:cs="Arial Narrow"/>
                <w:bCs/>
                <w:sz w:val="20"/>
              </w:rPr>
              <w:t>h</w:t>
            </w:r>
            <w:r w:rsidRPr="00526FBF">
              <w:rPr>
                <w:rFonts w:ascii="Arial Narrow" w:hAnsi="Arial Narrow" w:cs="Arial Narrow"/>
                <w:bCs/>
                <w:sz w:val="20"/>
              </w:rPr>
              <w:t>ospitali</w:t>
            </w:r>
            <w:r w:rsidR="004D0A74">
              <w:rPr>
                <w:rFonts w:ascii="Arial Narrow" w:hAnsi="Arial Narrow" w:cs="Arial Narrow"/>
                <w:bCs/>
                <w:sz w:val="20"/>
              </w:rPr>
              <w:t>s</w:t>
            </w:r>
            <w:r w:rsidRPr="00526FBF">
              <w:rPr>
                <w:rFonts w:ascii="Arial Narrow" w:hAnsi="Arial Narrow" w:cs="Arial Narrow"/>
                <w:bCs/>
                <w:sz w:val="20"/>
              </w:rPr>
              <w:t>ation for HF</w:t>
            </w:r>
          </w:p>
          <w:p w14:paraId="301E091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127FF70C" w14:textId="77777777" w:rsidTr="00BE5D7C">
        <w:tc>
          <w:tcPr>
            <w:tcW w:w="391" w:type="pct"/>
          </w:tcPr>
          <w:p w14:paraId="2E3353AC" w14:textId="01EC771A"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Nabeta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ExcludeAuth="1"&gt;&lt;Author&gt;Nabeta&lt;/Author&gt;&lt;Year&gt;2014&lt;/Year&gt;&lt;RecNum&gt;54&lt;/RecNum&gt;&lt;DisplayText&gt;(2014)&lt;/DisplayText&gt;&lt;record&gt;&lt;rec-number&gt;54&lt;/rec-number&gt;&lt;foreign-keys&gt;&lt;key app="EN" db-id="pfxxvref0t0a5de2vwnv2fwkz0p9v0r2fw0t" timestamp="1458109053"&gt;54&lt;/key&gt;&lt;/foreign-keys&gt;&lt;ref-type name="Journal Article"&gt;17&lt;/ref-type&gt;&lt;contributors&gt;&lt;authors&gt;&lt;author&gt;Nabeta, T.&lt;/author&gt;&lt;author&gt;Inomata, T.&lt;/author&gt;&lt;author&gt;Iida, Y.&lt;/author&gt;&lt;author&gt;Ikeda, Y.&lt;/author&gt;&lt;author&gt;Iwamoto, M.&lt;/author&gt;&lt;author&gt;Ishii, S.&lt;/author&gt;&lt;author&gt;Sato, T.&lt;/author&gt;&lt;author&gt;Watanabe, I.&lt;/author&gt;&lt;author&gt;Naruke, T.&lt;/author&gt;&lt;author&gt;Shinagawa, H.&lt;/author&gt;&lt;author&gt;Koitabashi, T.&lt;/author&gt;&lt;author&gt;Takeuchi, I.&lt;/author&gt;&lt;author&gt;Nishii, M.&lt;/author&gt;&lt;author&gt;Inoue, Y.&lt;/author&gt;&lt;author&gt;Izumi, T.&lt;/author&gt;&lt;/authors&gt;&lt;/contributors&gt;&lt;titles&gt;&lt;title&gt;Baseline cardiac magnetic resonance imaging versus baseline endomyocardial biopsy for the prediction of left ventricular reverse remodeling and prognosis in response to therapy in patients with idiopathic dilated cardiomyopathy&lt;/title&gt;&lt;secondary-title&gt;Heart Vessels&lt;/secondary-title&gt;&lt;/titles&gt;&lt;periodical&gt;&lt;full-title&gt;Heart Vessels&lt;/full-title&gt;&lt;/periodical&gt;&lt;pages&gt;784-92&lt;/pages&gt;&lt;volume&gt;29&lt;/volume&gt;&lt;number&gt;6&lt;/number&gt;&lt;dates&gt;&lt;year&gt;2014&lt;/year&gt;&lt;pub-dates&gt;&lt;date&gt;2014-01-01&lt;/date&gt;&lt;/pub-dates&gt;&lt;/dates&gt;&lt;isbn&gt;--- - 0910-8327 - 1615-2573&lt;/isbn&gt;&lt;urls&gt;&lt;related-urls&gt;&lt;url&gt;http://www.ncbi.nlm.nih.gov/pmc/articles/PMC4226927/pdf/380_2013_Article_415.pdf&lt;/url&gt;&lt;/related-urls&gt;&lt;/urls&gt;&lt;custom1&gt;RAYYAN-INCLUSION: {&amp;quot;Sharon&amp;quot;=&amp;gt;true} | RAYYAN-LABELS: DCM&lt;/custom1&gt;&lt;research-notes&gt;High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91" w:tooltip="Nabeta, 2014 #54" w:history="1">
              <w:r w:rsidR="00B906E9">
                <w:rPr>
                  <w:rFonts w:ascii="Arial Narrow" w:hAnsi="Arial Narrow" w:cs="Arial Narrow"/>
                  <w:bCs/>
                  <w:noProof/>
                  <w:sz w:val="20"/>
                  <w:szCs w:val="20"/>
                </w:rPr>
                <w:t>2014</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021DAAA1" w14:textId="77777777" w:rsidR="00A474A9" w:rsidRPr="00526FBF" w:rsidRDefault="00A474A9" w:rsidP="004C79C1">
            <w:pPr>
              <w:spacing w:before="0" w:after="120" w:line="240" w:lineRule="auto"/>
              <w:rPr>
                <w:rFonts w:ascii="Arial Narrow" w:hAnsi="Arial Narrow" w:cs="Arial Narrow"/>
                <w:bCs/>
                <w:sz w:val="20"/>
                <w:szCs w:val="20"/>
              </w:rPr>
            </w:pPr>
          </w:p>
          <w:p w14:paraId="47279E5B"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Japan</w:t>
            </w:r>
          </w:p>
        </w:tc>
        <w:tc>
          <w:tcPr>
            <w:tcW w:w="588" w:type="pct"/>
            <w:shd w:val="clear" w:color="auto" w:fill="auto"/>
          </w:tcPr>
          <w:p w14:paraId="55F2E7E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62B81190" w14:textId="77777777" w:rsidR="00A474A9" w:rsidRPr="00526FBF" w:rsidRDefault="00A474A9" w:rsidP="004C79C1">
            <w:pPr>
              <w:spacing w:before="0" w:after="120" w:line="240" w:lineRule="auto"/>
              <w:rPr>
                <w:rFonts w:ascii="Arial Narrow" w:hAnsi="Arial Narrow" w:cs="Arial Narrow"/>
                <w:bCs/>
                <w:sz w:val="20"/>
              </w:rPr>
            </w:pPr>
          </w:p>
          <w:p w14:paraId="4A86B06E"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2C2B541D" w14:textId="77777777" w:rsidR="00A474A9" w:rsidRPr="00526FBF" w:rsidRDefault="00A474A9" w:rsidP="004C79C1">
            <w:pPr>
              <w:spacing w:before="0" w:after="120" w:line="240" w:lineRule="auto"/>
              <w:rPr>
                <w:rFonts w:ascii="Arial Narrow" w:hAnsi="Arial Narrow" w:cs="Arial Narrow"/>
                <w:bCs/>
                <w:sz w:val="20"/>
              </w:rPr>
            </w:pPr>
          </w:p>
          <w:p w14:paraId="1546A272"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51D2B4F2" w14:textId="5B6E05ED"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N=75 patients with newly diagnosed idiopathic DCM and an LVEF &lt;45%</w:t>
            </w:r>
            <w:r w:rsidR="006213F6">
              <w:rPr>
                <w:rFonts w:ascii="Arial Narrow" w:hAnsi="Arial Narrow" w:cs="Arial Narrow"/>
                <w:bCs/>
                <w:sz w:val="20"/>
                <w:szCs w:val="20"/>
              </w:rPr>
              <w:t>:</w:t>
            </w:r>
          </w:p>
          <w:p w14:paraId="1B749756"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n=36 (48%) LGE+</w:t>
            </w:r>
            <w:r w:rsidRPr="00526FBF">
              <w:rPr>
                <w:rFonts w:ascii="Arial Narrow" w:hAnsi="Arial Narrow" w:cs="Arial Narrow"/>
                <w:bCs/>
                <w:sz w:val="20"/>
              </w:rPr>
              <w:br/>
              <w:t>n=39 (52%) LGE–</w:t>
            </w:r>
          </w:p>
          <w:p w14:paraId="5E3438A9" w14:textId="77777777" w:rsidR="00451FE9"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6F2DDE23" w14:textId="77777777" w:rsidR="00451FE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56 ± 13 years; </w:t>
            </w:r>
          </w:p>
          <w:p w14:paraId="703E597E" w14:textId="77777777" w:rsidR="00451FE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65%; </w:t>
            </w:r>
          </w:p>
          <w:p w14:paraId="29D25DD5" w14:textId="4D06FE2D" w:rsidR="00451FE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115 ± 26</w:t>
            </w:r>
            <w:r w:rsidR="00451FE9">
              <w:rPr>
                <w:rFonts w:ascii="Arial Narrow" w:hAnsi="Arial Narrow" w:cs="Arial Narrow"/>
                <w:bCs/>
                <w:sz w:val="20"/>
              </w:rPr>
              <w:t> </w:t>
            </w:r>
            <w:r w:rsidRPr="00526FBF">
              <w:rPr>
                <w:rFonts w:ascii="Arial Narrow" w:hAnsi="Arial Narrow" w:cs="Arial Narrow"/>
                <w:bCs/>
                <w:sz w:val="20"/>
              </w:rPr>
              <w:t xml:space="preserve">milliseconds; </w:t>
            </w:r>
          </w:p>
          <w:p w14:paraId="235A3AD5" w14:textId="77777777" w:rsidR="00451FE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13%; </w:t>
            </w:r>
          </w:p>
          <w:p w14:paraId="4388594B" w14:textId="77777777" w:rsidR="00451FE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30.2 ± 7.3%; NYHA class: I = 17%, II = 68%, III = 15%; </w:t>
            </w:r>
          </w:p>
          <w:p w14:paraId="62DE758A" w14:textId="02FBC420"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inhibitor/ARB = 99%, </w:t>
            </w:r>
            <w:r w:rsidR="00451FE9" w:rsidRPr="00257ED7">
              <w:rPr>
                <w:rFonts w:ascii="Arial Narrow" w:hAnsi="Arial Narrow" w:cs="Arial Narrow"/>
                <w:bCs/>
                <w:sz w:val="20"/>
              </w:rPr>
              <w:sym w:font="Symbol" w:char="F062"/>
            </w:r>
            <w:r w:rsidRPr="00526FBF">
              <w:rPr>
                <w:rFonts w:ascii="Arial Narrow" w:hAnsi="Arial Narrow" w:cs="Arial Narrow"/>
                <w:bCs/>
                <w:sz w:val="20"/>
              </w:rPr>
              <w:t>-blockers = 95%</w:t>
            </w:r>
          </w:p>
          <w:p w14:paraId="0B500AEC" w14:textId="0F9FBD4B"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Follow-up:</w:t>
            </w:r>
            <w:r w:rsidRPr="00526FBF">
              <w:rPr>
                <w:rFonts w:ascii="Arial Narrow" w:hAnsi="Arial Narrow" w:cs="Arial Narrow"/>
                <w:bCs/>
                <w:sz w:val="20"/>
                <w:szCs w:val="20"/>
              </w:rPr>
              <w:t xml:space="preserve"> 1 year (at least 6</w:t>
            </w:r>
            <w:r w:rsidR="00451FE9">
              <w:rPr>
                <w:rFonts w:ascii="Arial Narrow" w:hAnsi="Arial Narrow" w:cs="Arial Narrow"/>
                <w:bCs/>
                <w:sz w:val="20"/>
                <w:szCs w:val="20"/>
              </w:rPr>
              <w:t> </w:t>
            </w:r>
            <w:r w:rsidRPr="00526FBF">
              <w:rPr>
                <w:rFonts w:ascii="Arial Narrow" w:hAnsi="Arial Narrow" w:cs="Arial Narrow"/>
                <w:bCs/>
                <w:sz w:val="20"/>
                <w:szCs w:val="20"/>
              </w:rPr>
              <w:t>months)</w:t>
            </w:r>
          </w:p>
        </w:tc>
        <w:tc>
          <w:tcPr>
            <w:tcW w:w="882" w:type="pct"/>
          </w:tcPr>
          <w:p w14:paraId="18BFC6C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Inclusion criteria:</w:t>
            </w:r>
            <w:r w:rsidRPr="00526FBF">
              <w:rPr>
                <w:rFonts w:ascii="Arial Narrow" w:hAnsi="Arial Narrow"/>
                <w:sz w:val="20"/>
              </w:rPr>
              <w:t xml:space="preserve"> patients with newly diagnosed IDCM and an LVEF of &lt;45% on baseline ECG who were referred to the hospital between January 2007 and June 2012</w:t>
            </w:r>
          </w:p>
          <w:p w14:paraId="10392E8A" w14:textId="02A31EF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presence of significant CAD, myocarditis, severe valvular heart disease</w:t>
            </w:r>
            <w:r w:rsidRPr="00526FBF">
              <w:rPr>
                <w:sz w:val="24"/>
              </w:rPr>
              <w:t xml:space="preserve"> </w:t>
            </w:r>
            <w:r w:rsidRPr="00526FBF">
              <w:rPr>
                <w:rFonts w:ascii="Arial Narrow" w:hAnsi="Arial Narrow" w:cs="Arial Narrow"/>
                <w:bCs/>
                <w:sz w:val="20"/>
                <w:szCs w:val="20"/>
              </w:rPr>
              <w:t>and/or chronic renal failure (GFR &lt;30</w:t>
            </w:r>
            <w:r w:rsidR="00A21AF6">
              <w:rPr>
                <w:rFonts w:ascii="Arial Narrow" w:hAnsi="Arial Narrow" w:cs="Arial Narrow"/>
                <w:bCs/>
                <w:sz w:val="20"/>
                <w:szCs w:val="20"/>
              </w:rPr>
              <w:t> </w:t>
            </w:r>
            <w:r w:rsidRPr="00526FBF">
              <w:rPr>
                <w:rFonts w:ascii="Arial Narrow" w:hAnsi="Arial Narrow" w:cs="Arial Narrow"/>
                <w:bCs/>
                <w:sz w:val="20"/>
                <w:szCs w:val="20"/>
              </w:rPr>
              <w:t>m</w:t>
            </w:r>
            <w:r w:rsidR="00A21AF6">
              <w:rPr>
                <w:rFonts w:ascii="Arial Narrow" w:hAnsi="Arial Narrow" w:cs="Arial Narrow"/>
                <w:bCs/>
                <w:sz w:val="20"/>
                <w:szCs w:val="20"/>
              </w:rPr>
              <w:t>L</w:t>
            </w:r>
            <w:r w:rsidRPr="00526FBF">
              <w:rPr>
                <w:rFonts w:ascii="Arial Narrow" w:hAnsi="Arial Narrow" w:cs="Arial Narrow"/>
                <w:bCs/>
                <w:sz w:val="20"/>
                <w:szCs w:val="20"/>
              </w:rPr>
              <w:t>/min). Patients whose CMR images were of poor quality were also excluded. Patients who underwent mitral valvoplasty and/or left ventriculectomy during the follow-up period and those who were unable to be followed for &gt;6</w:t>
            </w:r>
            <w:r w:rsidR="00A21AF6">
              <w:rPr>
                <w:rFonts w:ascii="Arial Narrow" w:hAnsi="Arial Narrow" w:cs="Arial Narrow"/>
                <w:bCs/>
                <w:sz w:val="20"/>
                <w:szCs w:val="20"/>
              </w:rPr>
              <w:t> </w:t>
            </w:r>
            <w:r w:rsidRPr="00526FBF">
              <w:rPr>
                <w:rFonts w:ascii="Arial Narrow" w:hAnsi="Arial Narrow" w:cs="Arial Narrow"/>
                <w:bCs/>
                <w:sz w:val="20"/>
                <w:szCs w:val="20"/>
              </w:rPr>
              <w:t>months were also excluded.</w:t>
            </w:r>
          </w:p>
        </w:tc>
        <w:tc>
          <w:tcPr>
            <w:tcW w:w="1030" w:type="pct"/>
          </w:tcPr>
          <w:p w14:paraId="7CBB15B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 with a eight-channel phased-array coil</w:t>
            </w:r>
          </w:p>
          <w:p w14:paraId="303DB094" w14:textId="46E8638B"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Not done</w:t>
            </w:r>
          </w:p>
          <w:p w14:paraId="49ABEB2B" w14:textId="5C3F959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segmented inversion recovery fast gradient-echo sequences</w:t>
            </w:r>
          </w:p>
          <w:p w14:paraId="63699C72" w14:textId="0E5B1814"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00A21AF6">
              <w:rPr>
                <w:rFonts w:ascii="Arial Narrow" w:hAnsi="Arial Narrow" w:cs="Times New Roman"/>
                <w:sz w:val="20"/>
                <w:szCs w:val="20"/>
              </w:rPr>
              <w:t>Gd</w:t>
            </w:r>
          </w:p>
          <w:p w14:paraId="65A3BAB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15–20 minutes</w:t>
            </w:r>
          </w:p>
          <w:p w14:paraId="553F27F8" w14:textId="57B776A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Not done</w:t>
            </w:r>
          </w:p>
          <w:p w14:paraId="72ED29FC" w14:textId="344FD822"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of LGE was determined by </w:t>
            </w:r>
            <w:r w:rsidR="00A21AF6">
              <w:rPr>
                <w:rFonts w:ascii="Arial Narrow" w:hAnsi="Arial Narrow" w:cs="Times New Roman"/>
                <w:sz w:val="20"/>
                <w:szCs w:val="20"/>
              </w:rPr>
              <w:t>2</w:t>
            </w:r>
            <w:r w:rsidR="00A21AF6" w:rsidRPr="00526FBF">
              <w:rPr>
                <w:rFonts w:ascii="Arial Narrow" w:hAnsi="Arial Narrow" w:cs="Times New Roman"/>
                <w:sz w:val="20"/>
                <w:szCs w:val="20"/>
              </w:rPr>
              <w:t xml:space="preserve"> </w:t>
            </w:r>
            <w:r w:rsidRPr="00526FBF">
              <w:rPr>
                <w:rFonts w:ascii="Arial Narrow" w:hAnsi="Arial Narrow" w:cs="Times New Roman"/>
                <w:sz w:val="20"/>
                <w:szCs w:val="20"/>
              </w:rPr>
              <w:t>experienced and independent observers blinded to patient outcome.</w:t>
            </w:r>
          </w:p>
        </w:tc>
        <w:tc>
          <w:tcPr>
            <w:tcW w:w="1177" w:type="pct"/>
          </w:tcPr>
          <w:p w14:paraId="0F70A109"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ICD implantation:</w:t>
            </w:r>
            <w:r w:rsidRPr="00526FBF">
              <w:rPr>
                <w:rFonts w:ascii="Arial Narrow" w:hAnsi="Arial Narrow"/>
                <w:sz w:val="20"/>
              </w:rPr>
              <w:t xml:space="preserve"> Not described</w:t>
            </w:r>
          </w:p>
          <w:p w14:paraId="6EDE8CBD"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ACA30E2" w14:textId="762366A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HR for likelihood of having </w:t>
            </w:r>
          </w:p>
          <w:p w14:paraId="69C2429D" w14:textId="20D6C725"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t>ICD/CRT-D implantation</w:t>
            </w:r>
            <w:r w:rsidRPr="00526FBF">
              <w:rPr>
                <w:rFonts w:ascii="Arial Narrow" w:hAnsi="Arial Narrow" w:cs="Arial Narrow"/>
                <w:bCs/>
                <w:sz w:val="20"/>
              </w:rPr>
              <w:br/>
            </w:r>
            <w:r w:rsidR="00740CDE">
              <w:rPr>
                <w:rFonts w:ascii="Arial Narrow" w:hAnsi="Arial Narrow" w:cs="Arial Narrow"/>
                <w:bCs/>
                <w:sz w:val="20"/>
              </w:rPr>
              <w:t>m</w:t>
            </w:r>
            <w:r w:rsidRPr="00526FBF">
              <w:rPr>
                <w:rFonts w:ascii="Arial Narrow" w:hAnsi="Arial Narrow" w:cs="Arial Narrow"/>
                <w:bCs/>
                <w:sz w:val="20"/>
              </w:rPr>
              <w:t>ajor VA</w:t>
            </w:r>
            <w:r w:rsidRPr="00526FBF">
              <w:rPr>
                <w:rFonts w:ascii="Arial Narrow" w:hAnsi="Arial Narrow" w:cs="Arial Narrow"/>
                <w:bCs/>
                <w:sz w:val="20"/>
              </w:rPr>
              <w:br/>
            </w:r>
            <w:r w:rsidR="00740CDE">
              <w:rPr>
                <w:rFonts w:ascii="Arial Narrow" w:hAnsi="Arial Narrow" w:cs="Arial Narrow"/>
                <w:bCs/>
                <w:sz w:val="20"/>
              </w:rPr>
              <w:t>h</w:t>
            </w:r>
            <w:r w:rsidRPr="00526FBF">
              <w:rPr>
                <w:rFonts w:ascii="Arial Narrow" w:hAnsi="Arial Narrow" w:cs="Arial Narrow"/>
                <w:bCs/>
                <w:sz w:val="20"/>
              </w:rPr>
              <w:t>ospitali</w:t>
            </w:r>
            <w:r w:rsidR="00740CDE">
              <w:rPr>
                <w:rFonts w:ascii="Arial Narrow" w:hAnsi="Arial Narrow" w:cs="Arial Narrow"/>
                <w:bCs/>
                <w:sz w:val="20"/>
              </w:rPr>
              <w:t>s</w:t>
            </w:r>
            <w:r w:rsidRPr="00526FBF">
              <w:rPr>
                <w:rFonts w:ascii="Arial Narrow" w:hAnsi="Arial Narrow" w:cs="Arial Narrow"/>
                <w:bCs/>
                <w:sz w:val="20"/>
              </w:rPr>
              <w:t>ation for HF</w:t>
            </w:r>
          </w:p>
          <w:p w14:paraId="5C826C4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419530DE" w14:textId="77777777" w:rsidTr="00BE5D7C">
        <w:tc>
          <w:tcPr>
            <w:tcW w:w="391" w:type="pct"/>
          </w:tcPr>
          <w:p w14:paraId="52353D62" w14:textId="19745C11"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Neilan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ExcludeAuth="1"&gt;&lt;Author&gt;Neilan&lt;/Author&gt;&lt;Year&gt;2013&lt;/Year&gt;&lt;RecNum&gt;55&lt;/RecNum&gt;&lt;DisplayText&gt;(2013)&lt;/DisplayText&gt;&lt;record&gt;&lt;rec-number&gt;55&lt;/rec-number&gt;&lt;foreign-keys&gt;&lt;key app="EN" db-id="pfxxvref0t0a5de2vwnv2fwkz0p9v0r2fw0t" timestamp="1458109054"&gt;55&lt;/key&gt;&lt;/foreign-keys&gt;&lt;ref-type name="Journal Article"&gt;17&lt;/ref-type&gt;&lt;contributors&gt;&lt;authors&gt;&lt;author&gt;Neilan, T. G.&lt;/author&gt;&lt;author&gt;Coelho-Filho, O. R.&lt;/author&gt;&lt;author&gt;Danik, S. B.&lt;/author&gt;&lt;author&gt;Shah, R. V.&lt;/author&gt;&lt;author&gt;Dodson, J. A.&lt;/author&gt;&lt;author&gt;Verdini, D. J.&lt;/author&gt;&lt;author&gt;Tokuda, M.&lt;/author&gt;&lt;author&gt;Daly, C. A.&lt;/author&gt;&lt;author&gt;Tedrow, U. B.&lt;/author&gt;&lt;author&gt;Stevenson, W. G.&lt;/author&gt;&lt;author&gt;Jerosch-Herold, M.&lt;/author&gt;&lt;author&gt;Ghoshhajra, B. B.&lt;/author&gt;&lt;author&gt;Kwong, R. Y.&lt;/author&gt;&lt;/authors&gt;&lt;/contributors&gt;&lt;titles&gt;&lt;title&gt;CMR quantification of myocardial scar provides additive prognostic information in nonischemic cardiomyopathy&lt;/title&gt;&lt;secondary-title&gt;JACC Cardiovasc Imaging&lt;/secondary-title&gt;&lt;/titles&gt;&lt;periodical&gt;&lt;full-title&gt;JACC Cardiovasc Imaging&lt;/full-title&gt;&lt;/periodical&gt;&lt;pages&gt;944-54&lt;/pages&gt;&lt;volume&gt;6&lt;/volume&gt;&lt;number&gt;9&lt;/number&gt;&lt;dates&gt;&lt;year&gt;2013&lt;/year&gt;&lt;pub-dates&gt;&lt;date&gt;2013-01-01&lt;/date&gt;&lt;/pub-dates&gt;&lt;/dates&gt;&lt;urls&gt;&lt;related-urls&gt;&lt;url&gt;http://ac.els-cdn.com/S1936878X13004750/1-s2.0-S1936878X13004750-main.pdf?_tid=41b5c8c2-c094-11e5-a896-00000aab0f6b&amp;amp;acdnat=1453418049_a4f25775ed781a3c7c2befa2e549ae84&lt;/url&gt;&lt;/related-urls&gt;&lt;/urls&gt;&lt;custom1&gt;RAYYAN-INCLUSION: {&amp;quot;Sharon&amp;quot;=&amp;gt;true} | RAYYAN-LABELS: DCM,prognostic&lt;/custom1&gt;&lt;research-notes&gt;High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95" w:tooltip="Neilan, 2013 #55" w:history="1">
              <w:r w:rsidR="00B906E9">
                <w:rPr>
                  <w:rFonts w:ascii="Arial Narrow" w:hAnsi="Arial Narrow" w:cs="Arial Narrow"/>
                  <w:bCs/>
                  <w:noProof/>
                  <w:sz w:val="20"/>
                  <w:szCs w:val="20"/>
                </w:rPr>
                <w:t>2013</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5F80B104" w14:textId="77777777" w:rsidR="00A474A9" w:rsidRPr="00526FBF" w:rsidRDefault="00A474A9" w:rsidP="004C79C1">
            <w:pPr>
              <w:spacing w:before="0" w:after="120" w:line="240" w:lineRule="auto"/>
              <w:rPr>
                <w:rFonts w:ascii="Arial Narrow" w:hAnsi="Arial Narrow" w:cs="Arial Narrow"/>
                <w:bCs/>
                <w:sz w:val="20"/>
                <w:szCs w:val="20"/>
              </w:rPr>
            </w:pPr>
          </w:p>
          <w:p w14:paraId="6713CD2E"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USA</w:t>
            </w:r>
          </w:p>
        </w:tc>
        <w:tc>
          <w:tcPr>
            <w:tcW w:w="588" w:type="pct"/>
            <w:shd w:val="clear" w:color="auto" w:fill="auto"/>
          </w:tcPr>
          <w:p w14:paraId="7DB338AC"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5F920BF4" w14:textId="77777777" w:rsidR="00A474A9" w:rsidRPr="00526FBF" w:rsidRDefault="00A474A9" w:rsidP="004C79C1">
            <w:pPr>
              <w:spacing w:before="0" w:after="120" w:line="240" w:lineRule="auto"/>
              <w:rPr>
                <w:rFonts w:ascii="Arial Narrow" w:hAnsi="Arial Narrow" w:cs="Arial Narrow"/>
                <w:bCs/>
                <w:sz w:val="20"/>
              </w:rPr>
            </w:pPr>
          </w:p>
          <w:p w14:paraId="00E17805"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64C60C44" w14:textId="77777777" w:rsidR="00A474A9" w:rsidRPr="00526FBF" w:rsidRDefault="00A474A9" w:rsidP="004C79C1">
            <w:pPr>
              <w:spacing w:before="0" w:after="120" w:line="240" w:lineRule="auto"/>
              <w:rPr>
                <w:rFonts w:ascii="Arial Narrow" w:hAnsi="Arial Narrow" w:cs="Arial Narrow"/>
                <w:bCs/>
                <w:sz w:val="20"/>
              </w:rPr>
            </w:pPr>
          </w:p>
          <w:p w14:paraId="1CD16C3E"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293235CE" w14:textId="637DDCA2"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N=162 consecutive patients with NIDC</w:t>
            </w:r>
            <w:r>
              <w:rPr>
                <w:rFonts w:ascii="Arial Narrow" w:hAnsi="Arial Narrow" w:cs="Arial Narrow"/>
                <w:bCs/>
                <w:sz w:val="20"/>
              </w:rPr>
              <w:t>M</w:t>
            </w:r>
            <w:r w:rsidRPr="00526FBF">
              <w:rPr>
                <w:rFonts w:ascii="Arial Narrow" w:hAnsi="Arial Narrow" w:cs="Arial Narrow"/>
                <w:bCs/>
                <w:sz w:val="20"/>
              </w:rPr>
              <w:t xml:space="preserve"> who underwent a</w:t>
            </w:r>
            <w:r w:rsidR="00740CDE">
              <w:rPr>
                <w:rFonts w:ascii="Arial Narrow" w:hAnsi="Arial Narrow" w:cs="Arial Narrow"/>
                <w:bCs/>
                <w:sz w:val="20"/>
              </w:rPr>
              <w:t>n</w:t>
            </w:r>
            <w:r w:rsidRPr="00526FBF">
              <w:rPr>
                <w:rFonts w:ascii="Arial Narrow" w:hAnsi="Arial Narrow" w:cs="Arial Narrow"/>
                <w:bCs/>
                <w:sz w:val="20"/>
              </w:rPr>
              <w:t xml:space="preserve"> LGE-CMR study followed by an ICD insertion</w:t>
            </w:r>
            <w:r w:rsidR="006213F6">
              <w:rPr>
                <w:rFonts w:ascii="Arial Narrow" w:hAnsi="Arial Narrow" w:cs="Arial Narrow"/>
                <w:bCs/>
                <w:sz w:val="20"/>
              </w:rPr>
              <w:t>:</w:t>
            </w:r>
          </w:p>
          <w:p w14:paraId="0646EAEB"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n=81 (50%) LGE+</w:t>
            </w:r>
            <w:r w:rsidRPr="00526FBF">
              <w:rPr>
                <w:rFonts w:ascii="Arial Narrow" w:hAnsi="Arial Narrow" w:cs="Arial Narrow"/>
                <w:bCs/>
                <w:sz w:val="20"/>
              </w:rPr>
              <w:br/>
            </w:r>
            <w:r w:rsidRPr="00526FBF">
              <w:rPr>
                <w:rFonts w:ascii="Arial Narrow" w:hAnsi="Arial Narrow" w:cs="Arial Narrow"/>
                <w:bCs/>
                <w:sz w:val="20"/>
              </w:rPr>
              <w:lastRenderedPageBreak/>
              <w:t>n=81 (50%) LGE–</w:t>
            </w:r>
          </w:p>
          <w:p w14:paraId="5E48056C" w14:textId="77777777" w:rsidR="00740CDE"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Patient characteristics:</w:t>
            </w:r>
          </w:p>
          <w:p w14:paraId="3303677F" w14:textId="7460EC40" w:rsidR="00740CDE" w:rsidRDefault="00A474A9" w:rsidP="004C79C1">
            <w:pPr>
              <w:spacing w:before="0" w:after="120" w:line="240" w:lineRule="auto"/>
              <w:ind w:left="58"/>
              <w:rPr>
                <w:rFonts w:ascii="Arial Narrow" w:hAnsi="Arial Narrow" w:cs="Arial Narrow"/>
                <w:b/>
                <w:bCs/>
                <w:sz w:val="20"/>
                <w:lang w:val="en-GB" w:eastAsia="en-US"/>
              </w:rPr>
            </w:pPr>
            <w:r w:rsidRPr="00526FBF">
              <w:rPr>
                <w:rFonts w:ascii="Arial Narrow" w:hAnsi="Arial Narrow" w:cs="Arial Narrow"/>
                <w:bCs/>
                <w:sz w:val="20"/>
              </w:rPr>
              <w:t xml:space="preserve">age = 55 ± 14 years; </w:t>
            </w:r>
          </w:p>
          <w:p w14:paraId="17E46706" w14:textId="77777777" w:rsidR="00740CD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65%; </w:t>
            </w:r>
          </w:p>
          <w:p w14:paraId="17911D48" w14:textId="455444B1" w:rsidR="00740CD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HF duration = 13 (IQR 9–16); family history of DCM = 8%; CRT implantation = 24%; QRS interval = 117 ± 30</w:t>
            </w:r>
            <w:r w:rsidR="00740CDE">
              <w:rPr>
                <w:rFonts w:ascii="Arial Narrow" w:hAnsi="Arial Narrow" w:cs="Arial Narrow"/>
                <w:bCs/>
                <w:sz w:val="20"/>
              </w:rPr>
              <w:t> </w:t>
            </w:r>
            <w:r w:rsidRPr="00526FBF">
              <w:rPr>
                <w:rFonts w:ascii="Arial Narrow" w:hAnsi="Arial Narrow" w:cs="Arial Narrow"/>
                <w:bCs/>
                <w:sz w:val="20"/>
              </w:rPr>
              <w:t xml:space="preserve">milliseconds; </w:t>
            </w:r>
          </w:p>
          <w:p w14:paraId="35D9436C" w14:textId="77777777" w:rsidR="00740CD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26 ± 8%; LVEF (CMR) = 28 ± 9); </w:t>
            </w:r>
          </w:p>
          <w:p w14:paraId="6B9A71A1" w14:textId="77777777" w:rsidR="00740CDE"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NYHA class: II = 56%, class III = 44%; </w:t>
            </w:r>
          </w:p>
          <w:p w14:paraId="69AEECFF" w14:textId="3208FA3C"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inhibitor/ARB = 95%, </w:t>
            </w:r>
            <w:r w:rsidR="00D74931" w:rsidRPr="00257ED7">
              <w:rPr>
                <w:rFonts w:ascii="Arial Narrow" w:hAnsi="Arial Narrow" w:cs="Arial Narrow"/>
                <w:bCs/>
                <w:sz w:val="20"/>
              </w:rPr>
              <w:sym w:font="Symbol" w:char="F062"/>
            </w:r>
            <w:r w:rsidRPr="00526FBF">
              <w:rPr>
                <w:rFonts w:ascii="Arial Narrow" w:hAnsi="Arial Narrow" w:cs="Arial Narrow"/>
                <w:bCs/>
                <w:sz w:val="20"/>
              </w:rPr>
              <w:t>-blockers = 98%</w:t>
            </w:r>
          </w:p>
          <w:p w14:paraId="76C6D23E" w14:textId="1D7498B4"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rPr>
              <w:t>Mean follow-up:</w:t>
            </w:r>
            <w:r w:rsidRPr="00526FBF">
              <w:rPr>
                <w:rFonts w:ascii="Arial Narrow" w:hAnsi="Arial Narrow" w:cs="Arial Narrow"/>
                <w:bCs/>
                <w:sz w:val="20"/>
              </w:rPr>
              <w:t xml:space="preserve"> 29 ± 18</w:t>
            </w:r>
            <w:r w:rsidR="00CB052B">
              <w:rPr>
                <w:rFonts w:ascii="Arial Narrow" w:hAnsi="Arial Narrow" w:cs="Arial Narrow"/>
                <w:bCs/>
                <w:sz w:val="20"/>
              </w:rPr>
              <w:t> </w:t>
            </w:r>
            <w:r w:rsidRPr="00526FBF">
              <w:rPr>
                <w:rFonts w:ascii="Arial Narrow" w:hAnsi="Arial Narrow" w:cs="Arial Narrow"/>
                <w:bCs/>
                <w:sz w:val="20"/>
              </w:rPr>
              <w:t>months</w:t>
            </w:r>
          </w:p>
        </w:tc>
        <w:tc>
          <w:tcPr>
            <w:tcW w:w="882" w:type="pct"/>
          </w:tcPr>
          <w:p w14:paraId="447C8C09" w14:textId="5641B88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w:t>
            </w:r>
            <w:r w:rsidRPr="00526FBF">
              <w:rPr>
                <w:rFonts w:ascii="Arial Narrow" w:hAnsi="Arial Narrow" w:cs="Arial Narrow"/>
                <w:bCs/>
                <w:sz w:val="20"/>
              </w:rPr>
              <w:t>consecutive patients with NIDC</w:t>
            </w:r>
            <w:r>
              <w:rPr>
                <w:rFonts w:ascii="Arial Narrow" w:hAnsi="Arial Narrow" w:cs="Arial Narrow"/>
                <w:bCs/>
                <w:sz w:val="20"/>
              </w:rPr>
              <w:t>M</w:t>
            </w:r>
            <w:r w:rsidRPr="00526FBF">
              <w:rPr>
                <w:rFonts w:ascii="Arial Narrow" w:hAnsi="Arial Narrow" w:cs="Arial Narrow"/>
                <w:bCs/>
                <w:sz w:val="20"/>
              </w:rPr>
              <w:t xml:space="preserve"> who underwent a</w:t>
            </w:r>
            <w:r w:rsidR="003C5C3E">
              <w:rPr>
                <w:rFonts w:ascii="Arial Narrow" w:hAnsi="Arial Narrow" w:cs="Arial Narrow"/>
                <w:bCs/>
                <w:sz w:val="20"/>
              </w:rPr>
              <w:t>n</w:t>
            </w:r>
            <w:r w:rsidRPr="00526FBF">
              <w:rPr>
                <w:rFonts w:ascii="Arial Narrow" w:hAnsi="Arial Narrow" w:cs="Arial Narrow"/>
                <w:bCs/>
                <w:sz w:val="20"/>
              </w:rPr>
              <w:t xml:space="preserve"> LGE-CMR study followed by an ICD insertion</w:t>
            </w:r>
            <w:r w:rsidRPr="00526FBF">
              <w:rPr>
                <w:sz w:val="24"/>
              </w:rPr>
              <w:t xml:space="preserve"> </w:t>
            </w:r>
            <w:r w:rsidRPr="00526FBF">
              <w:rPr>
                <w:rFonts w:ascii="Arial Narrow" w:hAnsi="Arial Narrow" w:cs="Arial Narrow"/>
                <w:bCs/>
                <w:sz w:val="20"/>
              </w:rPr>
              <w:t xml:space="preserve">between </w:t>
            </w:r>
            <w:r w:rsidRPr="00526FBF">
              <w:rPr>
                <w:rFonts w:ascii="Arial Narrow" w:hAnsi="Arial Narrow" w:cs="Arial Narrow"/>
                <w:bCs/>
                <w:sz w:val="20"/>
              </w:rPr>
              <w:lastRenderedPageBreak/>
              <w:t>2003 and 2011</w:t>
            </w:r>
          </w:p>
          <w:p w14:paraId="79150451" w14:textId="7D1E9990"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Significant CAD by both clinical history and cardiac investigation, infiltrative </w:t>
            </w:r>
            <w:r>
              <w:rPr>
                <w:rFonts w:ascii="Arial Narrow" w:hAnsi="Arial Narrow"/>
                <w:sz w:val="20"/>
              </w:rPr>
              <w:t>CM</w:t>
            </w:r>
            <w:r w:rsidRPr="00526FBF">
              <w:rPr>
                <w:rFonts w:ascii="Arial Narrow" w:hAnsi="Arial Narrow"/>
                <w:sz w:val="20"/>
              </w:rPr>
              <w:t xml:space="preserve"> based either on history or CMR findings and a prior indication for placement of an ICD (</w:t>
            </w:r>
            <w:r w:rsidR="003C5C3E">
              <w:rPr>
                <w:rFonts w:ascii="Arial Narrow" w:hAnsi="Arial Narrow"/>
                <w:sz w:val="20"/>
              </w:rPr>
              <w:t>e.g.</w:t>
            </w:r>
            <w:r w:rsidRPr="00526FBF">
              <w:rPr>
                <w:rFonts w:ascii="Arial Narrow" w:hAnsi="Arial Narrow"/>
                <w:sz w:val="20"/>
              </w:rPr>
              <w:t xml:space="preserve"> syncope, cardiac arrest, or sustained VAs)</w:t>
            </w:r>
          </w:p>
        </w:tc>
        <w:tc>
          <w:tcPr>
            <w:tcW w:w="1030" w:type="pct"/>
          </w:tcPr>
          <w:p w14:paraId="36538978"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or 3-T scanner</w:t>
            </w:r>
          </w:p>
          <w:p w14:paraId="3DCD85C1" w14:textId="10B54088"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steady-state free</w:t>
            </w:r>
            <w:r w:rsidR="003C5C3E">
              <w:rPr>
                <w:rFonts w:ascii="Arial Narrow" w:hAnsi="Arial Narrow" w:cs="Times New Roman"/>
                <w:sz w:val="20"/>
                <w:szCs w:val="20"/>
              </w:rPr>
              <w:t>-</w:t>
            </w:r>
            <w:r w:rsidRPr="00526FBF">
              <w:rPr>
                <w:rFonts w:ascii="Arial Narrow" w:hAnsi="Arial Narrow" w:cs="Times New Roman"/>
                <w:sz w:val="20"/>
                <w:szCs w:val="20"/>
              </w:rPr>
              <w:t>precession imaging</w:t>
            </w:r>
          </w:p>
          <w:p w14:paraId="109109B1" w14:textId="147963C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T</w:t>
            </w:r>
            <w:r w:rsidRPr="00526FBF">
              <w:rPr>
                <w:rFonts w:ascii="Arial Narrow" w:hAnsi="Arial Narrow" w:cs="Times New Roman"/>
                <w:sz w:val="20"/>
                <w:szCs w:val="20"/>
                <w:vertAlign w:val="subscript"/>
              </w:rPr>
              <w:t>2</w:t>
            </w:r>
            <w:r w:rsidRPr="00526FBF">
              <w:rPr>
                <w:rFonts w:ascii="Arial Narrow" w:hAnsi="Arial Narrow" w:cs="Times New Roman"/>
                <w:sz w:val="20"/>
                <w:szCs w:val="20"/>
              </w:rPr>
              <w:t xml:space="preserve">-weighted </w:t>
            </w:r>
            <w:r w:rsidRPr="00526FBF">
              <w:rPr>
                <w:rFonts w:ascii="Arial Narrow" w:hAnsi="Arial Narrow" w:cs="Times New Roman"/>
                <w:sz w:val="20"/>
                <w:szCs w:val="20"/>
              </w:rPr>
              <w:lastRenderedPageBreak/>
              <w:t>inversion recovery prepared fast-spin echo sequence</w:t>
            </w:r>
          </w:p>
          <w:p w14:paraId="272D9734" w14:textId="0FF63A0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 mmol/kg </w:t>
            </w:r>
            <w:r w:rsidR="006D1354">
              <w:rPr>
                <w:rFonts w:ascii="Arial Narrow" w:hAnsi="Arial Narrow" w:cs="Times New Roman"/>
                <w:sz w:val="20"/>
                <w:szCs w:val="20"/>
              </w:rPr>
              <w:t>Gd</w:t>
            </w:r>
            <w:r w:rsidRPr="00526FBF">
              <w:rPr>
                <w:rFonts w:ascii="Arial Narrow" w:hAnsi="Arial Narrow" w:cs="Times New Roman"/>
                <w:sz w:val="20"/>
                <w:szCs w:val="20"/>
              </w:rPr>
              <w:t>-DTPA</w:t>
            </w:r>
          </w:p>
          <w:p w14:paraId="1B0E7FCF"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 minutes</w:t>
            </w:r>
          </w:p>
          <w:p w14:paraId="1649DA7B" w14:textId="741D5C8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Not done</w:t>
            </w:r>
          </w:p>
          <w:p w14:paraId="2A4F4F97" w14:textId="2574CC5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LGE was interpreted as present or absent by the consensus of 2 CMR-trained physicians.</w:t>
            </w:r>
            <w:r w:rsidRPr="00526FBF">
              <w:rPr>
                <w:sz w:val="24"/>
              </w:rPr>
              <w:t xml:space="preserve"> </w:t>
            </w:r>
            <w:r w:rsidRPr="00526FBF">
              <w:rPr>
                <w:rFonts w:ascii="Arial Narrow" w:hAnsi="Arial Narrow" w:cs="Times New Roman"/>
                <w:sz w:val="20"/>
                <w:szCs w:val="20"/>
              </w:rPr>
              <w:t>The distribution of LGE was characteri</w:t>
            </w:r>
            <w:r w:rsidR="006D1354">
              <w:rPr>
                <w:rFonts w:ascii="Arial Narrow" w:hAnsi="Arial Narrow" w:cs="Times New Roman"/>
                <w:sz w:val="20"/>
                <w:szCs w:val="20"/>
              </w:rPr>
              <w:t>s</w:t>
            </w:r>
            <w:r w:rsidRPr="00526FBF">
              <w:rPr>
                <w:rFonts w:ascii="Arial Narrow" w:hAnsi="Arial Narrow" w:cs="Times New Roman"/>
                <w:sz w:val="20"/>
                <w:szCs w:val="20"/>
              </w:rPr>
              <w:t>ed as either mid-wall, epicardial, focal/involving the right ventricular insertion points, or diffuse.</w:t>
            </w:r>
          </w:p>
        </w:tc>
        <w:tc>
          <w:tcPr>
            <w:tcW w:w="1177" w:type="pct"/>
          </w:tcPr>
          <w:p w14:paraId="3FAD227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700FAABB"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2415CC09" w14:textId="0CD0F3B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734131BC" w14:textId="5BB8CAF7" w:rsidR="00A474A9" w:rsidRPr="00526FBF" w:rsidRDefault="006D1354"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r w:rsidR="00B042C8">
              <w:rPr>
                <w:rFonts w:ascii="Arial Narrow" w:hAnsi="Arial Narrow" w:cs="Arial Narrow"/>
                <w:bCs/>
                <w:sz w:val="20"/>
              </w:rPr>
              <w:t xml:space="preserve"> </w:t>
            </w:r>
            <w:r>
              <w:rPr>
                <w:rFonts w:ascii="Arial Narrow" w:hAnsi="Arial Narrow" w:cs="Arial Narrow"/>
                <w:bCs/>
                <w:sz w:val="20"/>
              </w:rPr>
              <w:t>a</w:t>
            </w:r>
            <w:r w:rsidR="00A474A9" w:rsidRPr="00526FBF">
              <w:rPr>
                <w:rFonts w:ascii="Arial Narrow" w:hAnsi="Arial Narrow" w:cs="Arial Narrow"/>
                <w:bCs/>
                <w:sz w:val="20"/>
              </w:rPr>
              <w:t>ppropriate ICD therapy</w:t>
            </w:r>
            <w:r w:rsidR="00A474A9" w:rsidRPr="00526FBF">
              <w:rPr>
                <w:rFonts w:ascii="Arial Narrow" w:hAnsi="Arial Narrow" w:cs="Arial Narrow"/>
                <w:bCs/>
                <w:sz w:val="20"/>
              </w:rPr>
              <w:br/>
            </w:r>
            <w:r w:rsidR="00A474A9" w:rsidRPr="00526FBF">
              <w:rPr>
                <w:rFonts w:ascii="Arial Narrow" w:hAnsi="Arial Narrow" w:cs="Arial Narrow"/>
                <w:bCs/>
                <w:sz w:val="20"/>
              </w:rPr>
              <w:lastRenderedPageBreak/>
              <w:t>SCD</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ospitalisation for HF</w:t>
            </w:r>
          </w:p>
          <w:p w14:paraId="271DE98B"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1B3074BC" w14:textId="77777777" w:rsidTr="00BE5D7C">
        <w:tc>
          <w:tcPr>
            <w:tcW w:w="391" w:type="pct"/>
          </w:tcPr>
          <w:p w14:paraId="13809768" w14:textId="45C5F921"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Perazzolo Marra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fldData xml:space="preserve">PEVuZE5vdGU+PENpdGUgRXhjbHVkZUF1dGg9IjEiPjxBdXRob3I+UGVyYXp6b2xvIE1hcnJhPC9B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</w:fldData>
              </w:fldChar>
            </w:r>
            <w:r w:rsidR="00187A29">
              <w:rPr>
                <w:rFonts w:ascii="Arial Narrow" w:hAnsi="Arial Narrow" w:cs="Arial Narrow"/>
                <w:bCs/>
                <w:sz w:val="20"/>
                <w:szCs w:val="20"/>
              </w:rPr>
              <w:instrText xml:space="preserve"> ADDIN EN.CITE </w:instrText>
            </w:r>
            <w:r w:rsidR="00187A29">
              <w:rPr>
                <w:rFonts w:ascii="Arial Narrow" w:hAnsi="Arial Narrow" w:cs="Arial Narrow"/>
                <w:bCs/>
                <w:sz w:val="20"/>
                <w:szCs w:val="20"/>
              </w:rPr>
              <w:fldChar w:fldCharType="begin">
                <w:fldData xml:space="preserve">PEVuZE5vdGU+PENpdGUgRXhjbHVkZUF1dGg9IjEiPjxBdXRob3I+UGVyYXp6b2xvIE1hcnJhPC9B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</w:fldData>
              </w:fldChar>
            </w:r>
            <w:r w:rsidR="00187A29">
              <w:rPr>
                <w:rFonts w:ascii="Arial Narrow" w:hAnsi="Arial Narrow" w:cs="Arial Narrow"/>
                <w:bCs/>
                <w:sz w:val="20"/>
                <w:szCs w:val="20"/>
              </w:rPr>
              <w:instrText xml:space="preserve"> ADDIN EN.CITE.DATA </w:instrText>
            </w:r>
            <w:r w:rsidR="00187A29">
              <w:rPr>
                <w:rFonts w:ascii="Arial Narrow" w:hAnsi="Arial Narrow" w:cs="Arial Narrow"/>
                <w:bCs/>
                <w:sz w:val="20"/>
                <w:szCs w:val="20"/>
              </w:rPr>
            </w:r>
            <w:r w:rsidR="00187A29">
              <w:rPr>
                <w:rFonts w:ascii="Arial Narrow" w:hAnsi="Arial Narrow" w:cs="Arial Narrow"/>
                <w:bCs/>
                <w:sz w:val="20"/>
                <w:szCs w:val="20"/>
              </w:rPr>
              <w:fldChar w:fldCharType="end"/>
            </w:r>
            <w:r w:rsidR="00187A29">
              <w:rPr>
                <w:rFonts w:ascii="Arial Narrow" w:hAnsi="Arial Narrow" w:cs="Arial Narrow"/>
                <w:bCs/>
                <w:sz w:val="20"/>
                <w:szCs w:val="20"/>
              </w:rPr>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01" w:tooltip="Perazzolo Marra, 2014 #56" w:history="1">
              <w:r w:rsidR="00B906E9">
                <w:rPr>
                  <w:rFonts w:ascii="Arial Narrow" w:hAnsi="Arial Narrow" w:cs="Arial Narrow"/>
                  <w:bCs/>
                  <w:noProof/>
                  <w:sz w:val="20"/>
                  <w:szCs w:val="20"/>
                </w:rPr>
                <w:t>2014</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73D33B1" w14:textId="77777777" w:rsidR="00A474A9" w:rsidRPr="00526FBF" w:rsidRDefault="00A474A9" w:rsidP="004C79C1">
            <w:pPr>
              <w:spacing w:before="0" w:after="120" w:line="240" w:lineRule="auto"/>
              <w:rPr>
                <w:rFonts w:ascii="Arial Narrow" w:hAnsi="Arial Narrow" w:cs="Arial Narrow"/>
                <w:bCs/>
                <w:sz w:val="20"/>
                <w:szCs w:val="20"/>
              </w:rPr>
            </w:pPr>
          </w:p>
          <w:p w14:paraId="11F4EF03"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Italy</w:t>
            </w:r>
          </w:p>
        </w:tc>
        <w:tc>
          <w:tcPr>
            <w:tcW w:w="588" w:type="pct"/>
            <w:shd w:val="clear" w:color="auto" w:fill="auto"/>
          </w:tcPr>
          <w:p w14:paraId="7C81F42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szCs w:val="20"/>
              </w:rPr>
              <w:t>Prospective cohort</w:t>
            </w:r>
          </w:p>
          <w:p w14:paraId="20810AA9" w14:textId="77777777" w:rsidR="00A474A9" w:rsidRPr="00526FBF" w:rsidRDefault="00A474A9" w:rsidP="004C79C1">
            <w:pPr>
              <w:spacing w:before="0" w:after="120" w:line="240" w:lineRule="auto"/>
              <w:rPr>
                <w:rFonts w:ascii="Arial Narrow" w:hAnsi="Arial Narrow" w:cs="Arial Narrow"/>
                <w:bCs/>
                <w:sz w:val="20"/>
              </w:rPr>
            </w:pPr>
          </w:p>
          <w:p w14:paraId="1182C4BF"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60C29493" w14:textId="77777777" w:rsidR="00A474A9" w:rsidRPr="00526FBF" w:rsidRDefault="00A474A9" w:rsidP="004C79C1">
            <w:pPr>
              <w:spacing w:before="0" w:after="120" w:line="240" w:lineRule="auto"/>
              <w:rPr>
                <w:rFonts w:ascii="Arial Narrow" w:hAnsi="Arial Narrow" w:cs="Arial Narrow"/>
                <w:bCs/>
                <w:sz w:val="20"/>
              </w:rPr>
            </w:pPr>
          </w:p>
          <w:p w14:paraId="23CAA64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SIGN: high quality with a low </w:t>
            </w:r>
            <w:r w:rsidRPr="00526FBF">
              <w:rPr>
                <w:rFonts w:ascii="Arial Narrow" w:hAnsi="Arial Narrow" w:cs="Arial Narrow"/>
                <w:bCs/>
                <w:sz w:val="20"/>
              </w:rPr>
              <w:lastRenderedPageBreak/>
              <w:t>risk of bias</w:t>
            </w:r>
          </w:p>
        </w:tc>
        <w:tc>
          <w:tcPr>
            <w:tcW w:w="932" w:type="pct"/>
          </w:tcPr>
          <w:p w14:paraId="305A4B63" w14:textId="36D5B48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N=137 consecutive patients with unexplained LV dilatation and dysfunction diagnosed with NICM</w:t>
            </w:r>
            <w:r w:rsidR="006213F6">
              <w:rPr>
                <w:rFonts w:ascii="Arial Narrow" w:hAnsi="Arial Narrow" w:cs="Arial Narrow"/>
                <w:bCs/>
                <w:sz w:val="20"/>
                <w:szCs w:val="20"/>
              </w:rPr>
              <w:t>:</w:t>
            </w:r>
          </w:p>
          <w:p w14:paraId="130ADB07"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n=76 (55%) LGE+</w:t>
            </w:r>
            <w:r w:rsidRPr="00526FBF">
              <w:rPr>
                <w:rFonts w:ascii="Arial Narrow" w:hAnsi="Arial Narrow" w:cs="Arial Narrow"/>
                <w:bCs/>
                <w:sz w:val="20"/>
              </w:rPr>
              <w:br/>
              <w:t>n=61 (45%) LGE–</w:t>
            </w:r>
          </w:p>
          <w:p w14:paraId="7B64FC90" w14:textId="77777777" w:rsidR="00EE4976"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0B210F2C" w14:textId="77777777" w:rsidR="00EE4976"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47 (IQR 37–60) years; </w:t>
            </w:r>
            <w:r w:rsidRPr="00526FBF">
              <w:rPr>
                <w:rFonts w:ascii="Arial Narrow" w:hAnsi="Arial Narrow" w:cs="Arial Narrow"/>
                <w:bCs/>
                <w:sz w:val="20"/>
              </w:rPr>
              <w:lastRenderedPageBreak/>
              <w:t xml:space="preserve">male = 79%; </w:t>
            </w:r>
          </w:p>
          <w:p w14:paraId="24504648" w14:textId="77777777" w:rsidR="00EE4976"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33%; </w:t>
            </w:r>
          </w:p>
          <w:p w14:paraId="7462C44F" w14:textId="77777777" w:rsidR="00EE4976"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33% (IQR 28–40); </w:t>
            </w:r>
          </w:p>
          <w:p w14:paraId="228148A7" w14:textId="7ED947C5"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NYHA class: I = 24%, II = 35%, III = 38%, IV = 3%; medications: ACE inhibitor/ARB = 88%,</w:t>
            </w:r>
            <w:r w:rsidRPr="00E31E59">
              <w:rPr>
                <w:rFonts w:ascii="Arial Narrow" w:hAnsi="Arial Narrow" w:cs="Arial Narrow"/>
                <w:b/>
                <w:bCs/>
                <w:sz w:val="20"/>
              </w:rPr>
              <w:t xml:space="preserve"> </w:t>
            </w:r>
            <w:r w:rsidR="00D74931" w:rsidRPr="00257ED7">
              <w:rPr>
                <w:rFonts w:ascii="Arial Narrow" w:hAnsi="Arial Narrow" w:cs="Arial Narrow"/>
                <w:bCs/>
                <w:sz w:val="20"/>
              </w:rPr>
              <w:sym w:font="Symbol" w:char="F062"/>
            </w:r>
            <w:r w:rsidRPr="00526FBF">
              <w:rPr>
                <w:rFonts w:ascii="Arial Narrow" w:hAnsi="Arial Narrow" w:cs="Arial Narrow"/>
                <w:bCs/>
                <w:sz w:val="20"/>
              </w:rPr>
              <w:t>-blockers = 78%</w:t>
            </w:r>
          </w:p>
          <w:p w14:paraId="54CCEF7B"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3 years (range 31 days to 9.6 years)</w:t>
            </w:r>
          </w:p>
        </w:tc>
        <w:tc>
          <w:tcPr>
            <w:tcW w:w="882" w:type="pct"/>
          </w:tcPr>
          <w:p w14:paraId="550C2018" w14:textId="70A35051"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referred to the Heart Failure and Heart Transplantation Unit for unexplained LV dilatation and dysfunction who had a</w:t>
            </w:r>
            <w:r w:rsidR="000E73FE">
              <w:rPr>
                <w:rFonts w:ascii="Arial Narrow" w:hAnsi="Arial Narrow"/>
                <w:sz w:val="20"/>
              </w:rPr>
              <w:t>n</w:t>
            </w:r>
            <w:r w:rsidRPr="00526FBF">
              <w:rPr>
                <w:rFonts w:ascii="Arial Narrow" w:hAnsi="Arial Narrow"/>
                <w:sz w:val="20"/>
              </w:rPr>
              <w:t xml:space="preserve"> LVEF &lt;50%, the absence of flow-limiting CAD (≥50% DS) by ICA, and the absence of either valvular or </w:t>
            </w:r>
            <w:r w:rsidRPr="00526FBF">
              <w:rPr>
                <w:rFonts w:ascii="Arial Narrow" w:hAnsi="Arial Narrow"/>
                <w:sz w:val="20"/>
              </w:rPr>
              <w:lastRenderedPageBreak/>
              <w:t>hypertensive heart disease and congenital heart abnormalities</w:t>
            </w:r>
          </w:p>
          <w:p w14:paraId="4D380D76" w14:textId="49561FFE"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 xml:space="preserve">recent onset of </w:t>
            </w:r>
            <w:r>
              <w:rPr>
                <w:rFonts w:ascii="Arial Narrow" w:hAnsi="Arial Narrow" w:cs="Arial Narrow"/>
                <w:bCs/>
                <w:sz w:val="20"/>
                <w:szCs w:val="20"/>
              </w:rPr>
              <w:t>HF</w:t>
            </w:r>
            <w:r w:rsidR="000E73FE">
              <w:rPr>
                <w:rFonts w:ascii="Arial Narrow" w:hAnsi="Arial Narrow" w:cs="Arial Narrow"/>
                <w:bCs/>
                <w:sz w:val="20"/>
                <w:szCs w:val="20"/>
              </w:rPr>
              <w:t>,</w:t>
            </w:r>
            <w:r w:rsidRPr="00526FBF">
              <w:rPr>
                <w:rFonts w:ascii="Arial Narrow" w:hAnsi="Arial Narrow" w:cs="Arial Narrow"/>
                <w:bCs/>
                <w:sz w:val="20"/>
                <w:szCs w:val="20"/>
              </w:rPr>
              <w:t xml:space="preserve"> diagnosis of </w:t>
            </w:r>
            <w:r>
              <w:rPr>
                <w:rFonts w:ascii="Arial Narrow" w:hAnsi="Arial Narrow" w:cs="Arial Narrow"/>
                <w:bCs/>
                <w:sz w:val="20"/>
                <w:szCs w:val="20"/>
              </w:rPr>
              <w:t>HCM</w:t>
            </w:r>
            <w:r w:rsidRPr="00526FBF">
              <w:rPr>
                <w:rFonts w:ascii="Arial Narrow" w:hAnsi="Arial Narrow" w:cs="Arial Narrow"/>
                <w:bCs/>
                <w:sz w:val="20"/>
                <w:szCs w:val="20"/>
              </w:rPr>
              <w:t xml:space="preserve">, restrictive </w:t>
            </w:r>
            <w:r>
              <w:rPr>
                <w:rFonts w:ascii="Arial Narrow" w:hAnsi="Arial Narrow" w:cs="Arial Narrow"/>
                <w:bCs/>
                <w:sz w:val="20"/>
                <w:szCs w:val="20"/>
              </w:rPr>
              <w:t>CM</w:t>
            </w:r>
            <w:r w:rsidRPr="00526FBF">
              <w:rPr>
                <w:rFonts w:ascii="Arial Narrow" w:hAnsi="Arial Narrow" w:cs="Arial Narrow"/>
                <w:bCs/>
                <w:sz w:val="20"/>
                <w:szCs w:val="20"/>
              </w:rPr>
              <w:t xml:space="preserve">, arrhythmogenic right ventricular </w:t>
            </w:r>
            <w:r>
              <w:rPr>
                <w:rFonts w:ascii="Arial Narrow" w:hAnsi="Arial Narrow" w:cs="Arial Narrow"/>
                <w:bCs/>
                <w:sz w:val="20"/>
                <w:szCs w:val="20"/>
              </w:rPr>
              <w:t>CM</w:t>
            </w:r>
            <w:r w:rsidRPr="00526FBF">
              <w:rPr>
                <w:rFonts w:ascii="Arial Narrow" w:hAnsi="Arial Narrow" w:cs="Arial Narrow"/>
                <w:bCs/>
                <w:sz w:val="20"/>
                <w:szCs w:val="20"/>
              </w:rPr>
              <w:t xml:space="preserve">, suspected infiltrative heart disease, or other specific </w:t>
            </w:r>
            <w:r>
              <w:rPr>
                <w:rFonts w:ascii="Arial Narrow" w:hAnsi="Arial Narrow" w:cs="Arial Narrow"/>
                <w:bCs/>
                <w:sz w:val="20"/>
                <w:szCs w:val="20"/>
              </w:rPr>
              <w:t>CMs</w:t>
            </w:r>
            <w:r w:rsidRPr="00526FBF">
              <w:rPr>
                <w:rFonts w:ascii="Arial Narrow" w:hAnsi="Arial Narrow" w:cs="Arial Narrow"/>
                <w:bCs/>
                <w:sz w:val="20"/>
                <w:szCs w:val="20"/>
              </w:rPr>
              <w:t>, haemodynamically unstable conditions, contraindication to CMR (claustrophobia, pacemaker, ICD, metallic</w:t>
            </w:r>
            <w:r w:rsidR="000E73FE">
              <w:rPr>
                <w:rFonts w:ascii="Arial Narrow" w:hAnsi="Arial Narrow" w:cs="Arial Narrow"/>
                <w:bCs/>
                <w:sz w:val="20"/>
                <w:szCs w:val="20"/>
              </w:rPr>
              <w:t xml:space="preserve"> </w:t>
            </w:r>
            <w:r w:rsidRPr="00526FBF">
              <w:rPr>
                <w:rFonts w:ascii="Arial Narrow" w:hAnsi="Arial Narrow" w:cs="Arial Narrow"/>
                <w:bCs/>
                <w:sz w:val="20"/>
                <w:szCs w:val="20"/>
              </w:rPr>
              <w:t>clips, atrial fibrillation, severe obesity preventing the patient from entering the scanner bore, and pregnancy), and chronic renal failure with a GRF of &lt;30 mL/min</w:t>
            </w:r>
          </w:p>
        </w:tc>
        <w:tc>
          <w:tcPr>
            <w:tcW w:w="1030" w:type="pct"/>
          </w:tcPr>
          <w:p w14:paraId="7A69526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phased-array cardiac coil</w:t>
            </w:r>
          </w:p>
          <w:p w14:paraId="358B9196" w14:textId="0816306A"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Not done</w:t>
            </w:r>
          </w:p>
          <w:p w14:paraId="465D02AE" w14:textId="6DDF8E16"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w:t>
            </w:r>
            <w:r w:rsidR="0077365C">
              <w:rPr>
                <w:rFonts w:ascii="Arial Narrow" w:hAnsi="Arial Narrow" w:cs="Times New Roman"/>
                <w:sz w:val="20"/>
                <w:szCs w:val="20"/>
              </w:rPr>
              <w:t>2D</w:t>
            </w:r>
            <w:r w:rsidRPr="00526FBF">
              <w:rPr>
                <w:rFonts w:ascii="Arial Narrow" w:hAnsi="Arial Narrow" w:cs="Times New Roman"/>
                <w:sz w:val="20"/>
                <w:szCs w:val="20"/>
              </w:rPr>
              <w:t xml:space="preserve"> segmented fast low-angle shot inversion recovery sequence</w:t>
            </w:r>
          </w:p>
          <w:p w14:paraId="793CA938"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Pr="00526FBF">
              <w:rPr>
                <w:rFonts w:ascii="Arial Narrow" w:hAnsi="Arial Narrow" w:cs="Times New Roman"/>
                <w:sz w:val="20"/>
                <w:szCs w:val="20"/>
              </w:rPr>
              <w:lastRenderedPageBreak/>
              <w:t>gadobenate dimeglumine</w:t>
            </w:r>
          </w:p>
          <w:p w14:paraId="2734CBA5"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2F754DFD" w14:textId="345AD29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Not done</w:t>
            </w:r>
          </w:p>
          <w:p w14:paraId="423D9C9B" w14:textId="1B2E962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The presence, location and extent of LGE were independently assessed by 2 experienced observers who were blinded to patient </w:t>
            </w:r>
            <w:r w:rsidR="00783817">
              <w:rPr>
                <w:rFonts w:ascii="Arial Narrow" w:hAnsi="Arial Narrow" w:cs="Times New Roman"/>
                <w:sz w:val="20"/>
                <w:szCs w:val="20"/>
              </w:rPr>
              <w:t>available diagnostic data</w:t>
            </w:r>
            <w:r w:rsidRPr="00526FBF">
              <w:rPr>
                <w:rFonts w:ascii="Arial Narrow" w:hAnsi="Arial Narrow" w:cs="Times New Roman"/>
                <w:sz w:val="20"/>
                <w:szCs w:val="20"/>
              </w:rPr>
              <w:t xml:space="preserve"> and outcomes.</w:t>
            </w:r>
            <w:r w:rsidRPr="00526FBF">
              <w:rPr>
                <w:sz w:val="24"/>
              </w:rPr>
              <w:t xml:space="preserve"> </w:t>
            </w:r>
            <w:r w:rsidRPr="00526FBF">
              <w:rPr>
                <w:rFonts w:ascii="Arial Narrow" w:hAnsi="Arial Narrow" w:cs="Times New Roman"/>
                <w:sz w:val="20"/>
                <w:szCs w:val="20"/>
              </w:rPr>
              <w:t>The pattern of LGE distribution was characteri</w:t>
            </w:r>
            <w:r w:rsidR="0077365C">
              <w:rPr>
                <w:rFonts w:ascii="Arial Narrow" w:hAnsi="Arial Narrow" w:cs="Times New Roman"/>
                <w:sz w:val="20"/>
                <w:szCs w:val="20"/>
              </w:rPr>
              <w:t>s</w:t>
            </w:r>
            <w:r w:rsidRPr="00526FBF">
              <w:rPr>
                <w:rFonts w:ascii="Arial Narrow" w:hAnsi="Arial Narrow" w:cs="Times New Roman"/>
                <w:sz w:val="20"/>
                <w:szCs w:val="20"/>
              </w:rPr>
              <w:t>ed as either epicardial, mid-wall or patchy/junctional</w:t>
            </w:r>
            <w:r w:rsidR="0077365C">
              <w:rPr>
                <w:rFonts w:ascii="Arial Narrow" w:hAnsi="Arial Narrow" w:cs="Times New Roman"/>
                <w:sz w:val="20"/>
                <w:szCs w:val="20"/>
              </w:rPr>
              <w:t>.</w:t>
            </w:r>
          </w:p>
        </w:tc>
        <w:tc>
          <w:tcPr>
            <w:tcW w:w="1177" w:type="pct"/>
          </w:tcPr>
          <w:p w14:paraId="50ADBAE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33E80C88"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835845C" w14:textId="1F666AF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6823BE26" w14:textId="3B042CD8" w:rsidR="00A474A9" w:rsidRPr="00526FBF" w:rsidRDefault="00A474A9" w:rsidP="004C79C1">
            <w:pPr>
              <w:spacing w:before="0" w:after="120" w:line="240" w:lineRule="auto"/>
              <w:ind w:left="118" w:right="-57"/>
              <w:rPr>
                <w:rFonts w:ascii="Arial Narrow" w:hAnsi="Arial Narrow" w:cs="Arial Narrow"/>
                <w:bCs/>
                <w:sz w:val="20"/>
              </w:rPr>
            </w:pPr>
            <w:r w:rsidRPr="00526FBF">
              <w:rPr>
                <w:rFonts w:ascii="Arial Narrow" w:hAnsi="Arial Narrow" w:cs="Arial Narrow"/>
                <w:bCs/>
                <w:sz w:val="20"/>
              </w:rPr>
              <w:t>SCA or appropriate ICD discharge</w:t>
            </w:r>
            <w:r w:rsidRPr="00526FBF">
              <w:rPr>
                <w:rFonts w:ascii="Arial Narrow" w:hAnsi="Arial Narrow" w:cs="Arial Narrow"/>
                <w:bCs/>
                <w:sz w:val="20"/>
              </w:rPr>
              <w:br/>
              <w:t>hospitali</w:t>
            </w:r>
            <w:r w:rsidR="0077365C">
              <w:rPr>
                <w:rFonts w:ascii="Arial Narrow" w:hAnsi="Arial Narrow" w:cs="Arial Narrow"/>
                <w:bCs/>
                <w:sz w:val="20"/>
              </w:rPr>
              <w:t>s</w:t>
            </w:r>
            <w:r w:rsidRPr="00526FBF">
              <w:rPr>
                <w:rFonts w:ascii="Arial Narrow" w:hAnsi="Arial Narrow" w:cs="Arial Narrow"/>
                <w:bCs/>
                <w:sz w:val="20"/>
              </w:rPr>
              <w:t>ation for severe HF</w:t>
            </w:r>
            <w:r w:rsidRPr="00526FBF">
              <w:rPr>
                <w:rFonts w:ascii="Arial Narrow" w:hAnsi="Arial Narrow" w:cs="Arial Narrow"/>
                <w:bCs/>
                <w:sz w:val="20"/>
              </w:rPr>
              <w:br/>
              <w:t>non–SCD</w:t>
            </w:r>
          </w:p>
          <w:p w14:paraId="3E4293E4"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 xml:space="preserve">compared with those </w:t>
            </w:r>
            <w:r w:rsidRPr="00526FBF">
              <w:rPr>
                <w:rFonts w:ascii="Arial Narrow" w:hAnsi="Arial Narrow" w:cs="Arial Narrow"/>
                <w:bCs/>
                <w:sz w:val="20"/>
              </w:rPr>
              <w:lastRenderedPageBreak/>
              <w:t>that are LGE–</w:t>
            </w:r>
          </w:p>
        </w:tc>
      </w:tr>
      <w:tr w:rsidR="00A474A9" w:rsidRPr="00526FBF" w14:paraId="5B34BC8F" w14:textId="77777777" w:rsidTr="00BE5D7C">
        <w:tc>
          <w:tcPr>
            <w:tcW w:w="391" w:type="pct"/>
          </w:tcPr>
          <w:p w14:paraId="2CFB2125" w14:textId="448A9041"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Piers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ExcludeAuth="1"&gt;&lt;Author&gt;Piers&lt;/Author&gt;&lt;Year&gt;2015&lt;/Year&gt;&lt;RecNum&gt;57&lt;/RecNum&gt;&lt;DisplayText&gt;(2015)&lt;/DisplayText&gt;&lt;record&gt;&lt;rec-number&gt;57&lt;/rec-number&gt;&lt;foreign-keys&gt;&lt;key app="EN" db-id="pfxxvref0t0a5de2vwnv2fwkz0p9v0r2fw0t" timestamp="1458109054"&gt;57&lt;/key&gt;&lt;/foreign-keys&gt;&lt;ref-type name="Journal Article"&gt;17&lt;/ref-type&gt;&lt;contributors&gt;&lt;authors&gt;&lt;author&gt;Piers, S. R.&lt;/author&gt;&lt;author&gt;Everaerts, K.&lt;/author&gt;&lt;author&gt;van der Geest, R. J.&lt;/author&gt;&lt;author&gt;Hazebroek, M. R.&lt;/author&gt;&lt;author&gt;Siebelink, H. M.&lt;/author&gt;&lt;author&gt;Pison, L. A.&lt;/author&gt;&lt;author&gt;Schalij, M. J.&lt;/author&gt;&lt;author&gt;Bekkers, S. C.&lt;/author&gt;&lt;author&gt;Heymans, S.&lt;/author&gt;&lt;author&gt;Zeppenfeld, K.&lt;/author&gt;&lt;/authors&gt;&lt;/contributors&gt;&lt;titles&gt;&lt;title&gt;Myocardial scar predicts monomorphic ventricular tachycardia but not polymorphic ventricular tachycardia or ventricular fibrillation in nonischemic dilated cardiomyopathy&lt;/title&gt;&lt;secondary-title&gt;Heart Rhythm&lt;/secondary-title&gt;&lt;/titles&gt;&lt;periodical&gt;&lt;full-title&gt;Heart Rhythm&lt;/full-title&gt;&lt;/periodical&gt;&lt;pages&gt;2106-14&lt;/pages&gt;&lt;volume&gt;12&lt;/volume&gt;&lt;number&gt;10&lt;/number&gt;&lt;dates&gt;&lt;year&gt;2015&lt;/year&gt;&lt;pub-dates&gt;&lt;date&gt;2015-01-01&lt;/date&gt;&lt;/pub-dates&gt;&lt;/dates&gt;&lt;isbn&gt;1547-5271&lt;/isbn&gt;&lt;urls&gt;&lt;related-urls&gt;&lt;url&gt;http://ac.els-cdn.com/S1547527115006293/1-s2.0-S1547527115006293-main.pdf?_tid=090a958a-c09d-11e5-bd53-00000aacb360&amp;amp;acdnat=1453421820_c554e004da4d394a4b3b5ab7a07fc7ee&lt;/url&gt;&lt;/related-urls&gt;&lt;/urls&gt;&lt;custom1&gt;RAYYAN-INCLUSION: {&amp;quot;Sharon&amp;quot;=&amp;gt;true} | RAYYAN-LABELS: prognostic,DCM&lt;/custom1&gt;&lt;research-notes&gt;High quality&lt;/research-notes&gt;&lt;language&gt;eng&lt;/language&gt;&lt;/record&gt;&lt;/Cite&gt;&lt;/EndNote&gt;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02" w:tooltip="Piers, 2015 #57"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393361E8" w14:textId="77777777" w:rsidR="00A474A9" w:rsidRPr="00526FBF" w:rsidRDefault="00A474A9" w:rsidP="004C79C1">
            <w:pPr>
              <w:spacing w:before="0" w:after="120" w:line="240" w:lineRule="auto"/>
              <w:rPr>
                <w:rFonts w:ascii="Arial Narrow" w:hAnsi="Arial Narrow" w:cs="Arial Narrow"/>
                <w:bCs/>
                <w:sz w:val="20"/>
                <w:szCs w:val="20"/>
              </w:rPr>
            </w:pPr>
          </w:p>
          <w:p w14:paraId="033FD67B"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The Netherlands</w:t>
            </w:r>
          </w:p>
        </w:tc>
        <w:tc>
          <w:tcPr>
            <w:tcW w:w="588" w:type="pct"/>
            <w:shd w:val="clear" w:color="auto" w:fill="auto"/>
          </w:tcPr>
          <w:p w14:paraId="4313CDF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Prospective cohort </w:t>
            </w:r>
          </w:p>
          <w:p w14:paraId="69D0D5FE" w14:textId="77777777" w:rsidR="00A474A9" w:rsidRPr="00526FBF" w:rsidRDefault="00A474A9" w:rsidP="004C79C1">
            <w:pPr>
              <w:spacing w:before="0" w:after="120" w:line="240" w:lineRule="auto"/>
              <w:rPr>
                <w:rFonts w:ascii="Arial Narrow" w:hAnsi="Arial Narrow" w:cs="Arial Narrow"/>
                <w:bCs/>
                <w:sz w:val="20"/>
              </w:rPr>
            </w:pPr>
          </w:p>
          <w:p w14:paraId="0BAE65A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C7DFB6D" w14:textId="77777777" w:rsidR="00A474A9" w:rsidRPr="00526FBF" w:rsidRDefault="00A474A9" w:rsidP="004C79C1">
            <w:pPr>
              <w:spacing w:before="0" w:after="120" w:line="240" w:lineRule="auto"/>
              <w:rPr>
                <w:rFonts w:ascii="Arial Narrow" w:hAnsi="Arial Narrow" w:cs="Arial Narrow"/>
                <w:bCs/>
                <w:sz w:val="20"/>
              </w:rPr>
            </w:pPr>
          </w:p>
          <w:p w14:paraId="48235CF0"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SIGN: high quality with a low risk of bias</w:t>
            </w:r>
          </w:p>
        </w:tc>
        <w:tc>
          <w:tcPr>
            <w:tcW w:w="932" w:type="pct"/>
          </w:tcPr>
          <w:p w14:paraId="0FB142F3" w14:textId="6CAE6CC6"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N=87 patients with NIDCM and LVEF ≤35% undergoing ICD/CRT-D implantation</w:t>
            </w:r>
            <w:r w:rsidR="006213F6">
              <w:rPr>
                <w:rFonts w:ascii="Arial Narrow" w:hAnsi="Arial Narrow" w:cs="Arial Narrow"/>
                <w:bCs/>
                <w:sz w:val="20"/>
                <w:szCs w:val="20"/>
              </w:rPr>
              <w:t>:</w:t>
            </w:r>
          </w:p>
          <w:p w14:paraId="1E621D00" w14:textId="77777777"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n=55 (63%) LGE+</w:t>
            </w:r>
          </w:p>
          <w:p w14:paraId="34FF4FBC" w14:textId="77777777"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n=32 (37%) LGE–</w:t>
            </w:r>
          </w:p>
          <w:p w14:paraId="41A2A4C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N=64 primary prevention</w:t>
            </w:r>
          </w:p>
          <w:p w14:paraId="1797689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N=10 sustained monomorphic VT</w:t>
            </w:r>
          </w:p>
          <w:p w14:paraId="26933E19"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N=13 out-of-hospital cardiac </w:t>
            </w:r>
            <w:r w:rsidRPr="00526FBF">
              <w:rPr>
                <w:rFonts w:ascii="Arial Narrow" w:hAnsi="Arial Narrow" w:cs="Arial Narrow"/>
                <w:bCs/>
                <w:sz w:val="20"/>
                <w:szCs w:val="20"/>
              </w:rPr>
              <w:lastRenderedPageBreak/>
              <w:t>arrest with VF</w:t>
            </w:r>
          </w:p>
          <w:p w14:paraId="79C1FA2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N=46 had CRT-D</w:t>
            </w:r>
          </w:p>
          <w:p w14:paraId="16439A91" w14:textId="77777777" w:rsidR="009571C1"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Patient characteristics: </w:t>
            </w:r>
          </w:p>
          <w:p w14:paraId="5C94AB01" w14:textId="77777777" w:rsidR="009571C1"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age = 56 ± 13 years; </w:t>
            </w:r>
          </w:p>
          <w:p w14:paraId="6484C289" w14:textId="77777777" w:rsidR="009571C1"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male = 62%; </w:t>
            </w:r>
          </w:p>
          <w:p w14:paraId="1AC442F4" w14:textId="77777777" w:rsidR="009571C1"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history of AF = 16%; </w:t>
            </w:r>
          </w:p>
          <w:p w14:paraId="556010D8" w14:textId="3AAE9C75" w:rsidR="009571C1"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QRS interval = 132 ± 32</w:t>
            </w:r>
            <w:r w:rsidR="009571C1">
              <w:rPr>
                <w:rFonts w:ascii="Arial Narrow" w:hAnsi="Arial Narrow" w:cs="Arial Narrow"/>
                <w:bCs/>
                <w:sz w:val="20"/>
                <w:szCs w:val="20"/>
              </w:rPr>
              <w:t> </w:t>
            </w:r>
            <w:r w:rsidRPr="00526FBF">
              <w:rPr>
                <w:rFonts w:ascii="Arial Narrow" w:hAnsi="Arial Narrow" w:cs="Arial Narrow"/>
                <w:bCs/>
                <w:sz w:val="20"/>
                <w:szCs w:val="20"/>
              </w:rPr>
              <w:t xml:space="preserve">milliseconds; </w:t>
            </w:r>
          </w:p>
          <w:p w14:paraId="21A5B4E8" w14:textId="54DD9B34"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LVEF (CMR) = 29 ± 12%; NYHA class: I = 32%, II = 37%, III</w:t>
            </w:r>
            <w:r w:rsidR="00B52EA1">
              <w:rPr>
                <w:rFonts w:ascii="Arial Narrow" w:hAnsi="Arial Narrow" w:cs="Arial Narrow"/>
                <w:bCs/>
                <w:sz w:val="20"/>
                <w:szCs w:val="20"/>
              </w:rPr>
              <w:t>–</w:t>
            </w:r>
            <w:r w:rsidRPr="00526FBF">
              <w:rPr>
                <w:rFonts w:ascii="Arial Narrow" w:hAnsi="Arial Narrow" w:cs="Arial Narrow"/>
                <w:bCs/>
                <w:sz w:val="20"/>
                <w:szCs w:val="20"/>
              </w:rPr>
              <w:t>IV = 31%</w:t>
            </w:r>
          </w:p>
          <w:p w14:paraId="6D19F7E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45 months (IQR 23–67)</w:t>
            </w:r>
          </w:p>
        </w:tc>
        <w:tc>
          <w:tcPr>
            <w:tcW w:w="882" w:type="pct"/>
          </w:tcPr>
          <w:p w14:paraId="18494286" w14:textId="5498080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all patients with NIDCM who underwent LGE-CMR before ICD implantation at Leiden University Medical Centre or Maastricht University Medical Centre between 2004 and 2012</w:t>
            </w:r>
          </w:p>
          <w:p w14:paraId="4D89D93C" w14:textId="5878FD33"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p</w:t>
            </w:r>
            <w:r w:rsidRPr="00526FBF">
              <w:rPr>
                <w:rFonts w:ascii="Arial Narrow" w:hAnsi="Arial Narrow" w:cs="Arial Narrow"/>
                <w:bCs/>
                <w:sz w:val="20"/>
                <w:szCs w:val="20"/>
              </w:rPr>
              <w:t xml:space="preserve">atients who had devices implanted at the Maastricht University </w:t>
            </w:r>
            <w:r w:rsidRPr="00526FBF">
              <w:rPr>
                <w:rFonts w:ascii="Arial Narrow" w:hAnsi="Arial Narrow" w:cs="Arial Narrow"/>
                <w:bCs/>
                <w:sz w:val="20"/>
                <w:szCs w:val="20"/>
              </w:rPr>
              <w:lastRenderedPageBreak/>
              <w:t>Medical Centre but were followed at another centre</w:t>
            </w:r>
            <w:r w:rsidR="008730F0">
              <w:rPr>
                <w:rFonts w:ascii="Arial Narrow" w:hAnsi="Arial Narrow" w:cs="Arial Narrow"/>
                <w:bCs/>
                <w:sz w:val="20"/>
                <w:szCs w:val="20"/>
              </w:rPr>
              <w:t>;</w:t>
            </w:r>
            <w:r w:rsidRPr="00526FBF">
              <w:rPr>
                <w:rFonts w:ascii="Arial Narrow" w:hAnsi="Arial Narrow" w:cs="Arial Narrow"/>
                <w:bCs/>
                <w:sz w:val="20"/>
                <w:szCs w:val="20"/>
              </w:rPr>
              <w:t xml:space="preserve"> patients with CAD, sarcoidosis, amyloidosis or subendocardial LGE in a coronary artery perfusion territory</w:t>
            </w:r>
          </w:p>
        </w:tc>
        <w:tc>
          <w:tcPr>
            <w:tcW w:w="1030" w:type="pct"/>
          </w:tcPr>
          <w:p w14:paraId="3C5FA25F"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w:t>
            </w:r>
          </w:p>
          <w:p w14:paraId="3BE4EC9B"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A standardised protocol was followed, including cine imaging in long-axis and short-axis views.</w:t>
            </w:r>
          </w:p>
          <w:p w14:paraId="5855C4D5"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3-dimensional turbo-field echo sequence with parallel imaging.</w:t>
            </w:r>
          </w:p>
          <w:p w14:paraId="6D6D0701" w14:textId="3496845D"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 mmol/kg </w:t>
            </w:r>
            <w:r w:rsidR="008730F0">
              <w:rPr>
                <w:rFonts w:ascii="Arial Narrow" w:hAnsi="Arial Narrow" w:cs="Times New Roman"/>
                <w:sz w:val="20"/>
                <w:szCs w:val="20"/>
              </w:rPr>
              <w:t>Gd</w:t>
            </w:r>
            <w:r w:rsidR="008730F0" w:rsidRPr="00526FBF">
              <w:rPr>
                <w:rFonts w:ascii="Arial Narrow" w:hAnsi="Arial Narrow" w:cs="Times New Roman"/>
                <w:sz w:val="20"/>
                <w:szCs w:val="20"/>
              </w:rPr>
              <w:t xml:space="preserve"> </w:t>
            </w:r>
            <w:r w:rsidRPr="00526FBF">
              <w:rPr>
                <w:rFonts w:ascii="Arial Narrow" w:hAnsi="Arial Narrow" w:cs="Times New Roman"/>
                <w:sz w:val="20"/>
                <w:szCs w:val="20"/>
              </w:rPr>
              <w:lastRenderedPageBreak/>
              <w:t>(Magnevist)</w:t>
            </w:r>
          </w:p>
          <w:p w14:paraId="0AB2933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 minutes</w:t>
            </w:r>
          </w:p>
          <w:p w14:paraId="7FC6ADDF" w14:textId="0D60C0C6"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The LV and RV end-diastolic and end-systolic endocardial contours were traced on cine images to calculate LV mass, end-diastolic and end-systolic volumes, and LVEF. LV volumes and mass were normali</w:t>
            </w:r>
            <w:r w:rsidR="00C926FC">
              <w:rPr>
                <w:rFonts w:ascii="Arial Narrow" w:hAnsi="Arial Narrow" w:cs="Times New Roman"/>
                <w:sz w:val="20"/>
                <w:szCs w:val="20"/>
              </w:rPr>
              <w:t>s</w:t>
            </w:r>
            <w:r w:rsidRPr="00526FBF">
              <w:rPr>
                <w:rFonts w:ascii="Arial Narrow" w:hAnsi="Arial Narrow" w:cs="Times New Roman"/>
                <w:sz w:val="20"/>
                <w:szCs w:val="20"/>
              </w:rPr>
              <w:t>ed to body surface area.</w:t>
            </w:r>
          </w:p>
          <w:p w14:paraId="04093EC0" w14:textId="7D6D9879"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Myocardial scar was assessed while the observer was blinded to </w:t>
            </w:r>
            <w:r w:rsidR="00783817">
              <w:rPr>
                <w:rFonts w:ascii="Arial Narrow" w:hAnsi="Arial Narrow" w:cs="Times New Roman"/>
                <w:sz w:val="20"/>
                <w:szCs w:val="20"/>
              </w:rPr>
              <w:t>available diagnostic data</w:t>
            </w:r>
            <w:r w:rsidRPr="00526FBF">
              <w:rPr>
                <w:rFonts w:ascii="Arial Narrow" w:hAnsi="Arial Narrow" w:cs="Times New Roman"/>
                <w:sz w:val="20"/>
                <w:szCs w:val="20"/>
              </w:rPr>
              <w:t xml:space="preserve"> and outcome, and was considered to be present only if LGE was visible in 2 orthogonal views. LGE was defined by signal intensity ≥35% of maximal myocardial signal intensity.</w:t>
            </w:r>
          </w:p>
        </w:tc>
        <w:tc>
          <w:tcPr>
            <w:tcW w:w="1177" w:type="pct"/>
          </w:tcPr>
          <w:p w14:paraId="71B8ED3E" w14:textId="53D02F5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ICDs were typically programmed to include 3 zones: monitor zon</w:t>
            </w:r>
            <w:r>
              <w:rPr>
                <w:rFonts w:ascii="Arial Narrow" w:hAnsi="Arial Narrow"/>
                <w:sz w:val="20"/>
              </w:rPr>
              <w:t>e (ATP</w:t>
            </w:r>
            <w:r w:rsidRPr="00526FBF">
              <w:rPr>
                <w:rFonts w:ascii="Arial Narrow" w:hAnsi="Arial Narrow"/>
                <w:sz w:val="20"/>
              </w:rPr>
              <w:t>), fast VT zone (ATP and shock)</w:t>
            </w:r>
            <w:r w:rsidR="009571C1">
              <w:rPr>
                <w:rFonts w:ascii="Arial Narrow" w:hAnsi="Arial Narrow"/>
                <w:sz w:val="20"/>
              </w:rPr>
              <w:t xml:space="preserve"> </w:t>
            </w:r>
            <w:r w:rsidRPr="00526FBF">
              <w:rPr>
                <w:rFonts w:ascii="Arial Narrow" w:hAnsi="Arial Narrow"/>
                <w:sz w:val="20"/>
              </w:rPr>
              <w:t>and VF zone (ATP during charging, and shock).</w:t>
            </w:r>
          </w:p>
          <w:p w14:paraId="5E7244C7"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60C57DCD" w14:textId="74B5EEE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w:t>
            </w:r>
          </w:p>
          <w:p w14:paraId="137816D0" w14:textId="2EB9BBF2" w:rsidR="00A474A9" w:rsidRPr="00526FBF" w:rsidRDefault="00C83901"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VA</w:t>
            </w:r>
            <w:r w:rsidR="00A474A9" w:rsidRPr="00526FBF">
              <w:rPr>
                <w:rFonts w:ascii="Arial Narrow" w:hAnsi="Arial Narrow" w:cs="Arial Narrow"/>
                <w:bCs/>
                <w:sz w:val="20"/>
              </w:rPr>
              <w:t>s</w:t>
            </w:r>
          </w:p>
          <w:p w14:paraId="010FEE4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 xml:space="preserve">compared with those </w:t>
            </w:r>
            <w:r w:rsidRPr="00526FBF">
              <w:rPr>
                <w:rFonts w:ascii="Arial Narrow" w:hAnsi="Arial Narrow" w:cs="Arial Narrow"/>
                <w:bCs/>
                <w:sz w:val="20"/>
              </w:rPr>
              <w:lastRenderedPageBreak/>
              <w:t>that are LGE–</w:t>
            </w:r>
          </w:p>
        </w:tc>
      </w:tr>
      <w:tr w:rsidR="00A474A9" w:rsidRPr="00526FBF" w14:paraId="5DE2F3FD" w14:textId="77777777" w:rsidTr="00BE5D7C">
        <w:tc>
          <w:tcPr>
            <w:tcW w:w="391" w:type="pct"/>
          </w:tcPr>
          <w:p w14:paraId="11329E95" w14:textId="76C02B14"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lastRenderedPageBreak/>
              <w:t xml:space="preserve">Shimizu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ExcludeAuth="1"&gt;&lt;Author&gt;Shimizu&lt;/Author&gt;&lt;Year&gt;2010&lt;/Year&gt;&lt;RecNum&gt;59&lt;/RecNum&gt;&lt;DisplayText&gt;(2010)&lt;/DisplayText&gt;&lt;record&gt;&lt;rec-number&gt;59&lt;/rec-number&gt;&lt;foreign-keys&gt;&lt;key app="EN" db-id="pfxxvref0t0a5de2vwnv2fwkz0p9v0r2fw0t" timestamp="1458109055"&gt;59&lt;/key&gt;&lt;/foreign-keys&gt;&lt;ref-type name="Journal Article"&gt;17&lt;/ref-type&gt;&lt;contributors&gt;&lt;authors&gt;&lt;author&gt;Shimizu, Ippei&lt;/author&gt;&lt;author&gt;Iguchi, Nobuo&lt;/author&gt;&lt;author&gt;Watanabe, Hiroyuki&lt;/author&gt;&lt;author&gt;Umemura, Jun&lt;/author&gt;&lt;author&gt;Tobaru, Tetsuya&lt;/author&gt;&lt;author&gt;Asano, Ryuta&lt;/author&gt;&lt;author&gt;Misu, Kazuhiko&lt;/author&gt;&lt;author&gt;Nagayama, Masatoshi&lt;/author&gt;&lt;author&gt;Aikawa, Masaru&lt;/author&gt;&lt;author&gt;Funabashi, Nobusada&lt;/author&gt;&lt;author&gt;Komuro, Issei&lt;/author&gt;&lt;author&gt;Sumiyoshi, Tetsuya&lt;/author&gt;&lt;/authors&gt;&lt;/contributors&gt;&lt;titles&gt;&lt;title&gt;Delayed enhancement cardiovascular magnetic resonance as a novel technique to predict cardiac events in dilated cardiomyopathy patients&lt;/title&gt;&lt;secondary-title&gt;International Journal of Cardiology&lt;/secondary-title&gt;&lt;/titles&gt;&lt;periodical&gt;&lt;full-title&gt;International Journal of Cardiology&lt;/full-title&gt;&lt;/periodical&gt;&lt;pages&gt;224-229&lt;/pages&gt;&lt;volume&gt;142&lt;/volume&gt;&lt;number&gt;3&lt;/number&gt;&lt;keywords&gt;&lt;keyword&gt;Delayed enhancement&lt;/keyword&gt;&lt;keyword&gt;Cardiovascular magnetic resonance&lt;/keyword&gt;&lt;keyword&gt;Predict cardiac events&lt;/keyword&gt;&lt;keyword&gt;Dilated cardiomyopathy&lt;/keyword&gt;&lt;/keywords&gt;&lt;dates&gt;&lt;year&gt;2010&lt;/year&gt;&lt;pub-dates&gt;&lt;date&gt;7/23/&lt;/date&gt;&lt;/pub-dates&gt;&lt;/dates&gt;&lt;isbn&gt;0167-5273&lt;/isbn&gt;&lt;urls&gt;&lt;related-urls&gt;&lt;url&gt;http://www.sciencedirect.com/science/article/pii/S016752730801509X&lt;/url&gt;&lt;url&gt;http://ac.els-cdn.com/S016752730801509X/1-s2.0-S016752730801509X-main.pdf?_tid=bc20cfec-c889-11e5-806b-00000aab0f6b&amp;amp;acdnat=1454293139_18a979ba700ae8c9f054e2ab8702c8ea&lt;/url&gt;&lt;/related-urls&gt;&lt;/urls&gt;&lt;electronic-resource-num&gt;http://dx.doi.org/10.1016/j.ijcard.2008.12.189&lt;/electronic-resource-num&gt;&lt;research-notes&gt;High quality&lt;/research-notes&gt;&lt;/record&gt;&lt;/Cite&gt;&lt;/EndNote&gt;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17" w:tooltip="Shimizu, 2010 #59" w:history="1">
              <w:r w:rsidR="00B906E9">
                <w:rPr>
                  <w:rFonts w:ascii="Arial Narrow" w:hAnsi="Arial Narrow" w:cs="Arial Narrow"/>
                  <w:bCs/>
                  <w:noProof/>
                  <w:sz w:val="20"/>
                  <w:szCs w:val="20"/>
                </w:rPr>
                <w:t>2010</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5DFA76E5" w14:textId="77777777" w:rsidR="00A474A9" w:rsidRPr="00526FBF" w:rsidRDefault="00A474A9" w:rsidP="004C79C1">
            <w:pPr>
              <w:spacing w:before="0" w:after="120" w:line="240" w:lineRule="auto"/>
              <w:rPr>
                <w:rFonts w:ascii="Arial Narrow" w:hAnsi="Arial Narrow" w:cs="Arial Narrow"/>
                <w:bCs/>
                <w:sz w:val="20"/>
                <w:szCs w:val="20"/>
              </w:rPr>
            </w:pPr>
          </w:p>
          <w:p w14:paraId="6CB014F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Japan</w:t>
            </w:r>
          </w:p>
        </w:tc>
        <w:tc>
          <w:tcPr>
            <w:tcW w:w="588" w:type="pct"/>
            <w:shd w:val="clear" w:color="auto" w:fill="auto"/>
          </w:tcPr>
          <w:p w14:paraId="3A205504"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Prospective cohort</w:t>
            </w:r>
          </w:p>
          <w:p w14:paraId="056A50D9" w14:textId="77777777" w:rsidR="00A474A9" w:rsidRPr="00526FBF" w:rsidRDefault="00A474A9" w:rsidP="004C79C1">
            <w:pPr>
              <w:spacing w:before="0" w:after="120" w:line="240" w:lineRule="auto"/>
              <w:rPr>
                <w:rFonts w:ascii="Arial Narrow" w:hAnsi="Arial Narrow" w:cs="Arial Narrow"/>
                <w:bCs/>
                <w:sz w:val="20"/>
              </w:rPr>
            </w:pPr>
          </w:p>
          <w:p w14:paraId="5AAC58DE"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20DA13CB" w14:textId="77777777" w:rsidR="00A474A9" w:rsidRPr="00526FBF" w:rsidRDefault="00A474A9" w:rsidP="004C79C1">
            <w:pPr>
              <w:spacing w:before="0" w:after="120" w:line="240" w:lineRule="auto"/>
              <w:rPr>
                <w:rFonts w:ascii="Arial Narrow" w:hAnsi="Arial Narrow" w:cs="Arial Narrow"/>
                <w:bCs/>
                <w:sz w:val="20"/>
              </w:rPr>
            </w:pPr>
          </w:p>
          <w:p w14:paraId="69360FBC"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high quality with a low risk of bias</w:t>
            </w:r>
          </w:p>
        </w:tc>
        <w:tc>
          <w:tcPr>
            <w:tcW w:w="932" w:type="pct"/>
          </w:tcPr>
          <w:p w14:paraId="5A0699F4" w14:textId="0E4B16FF"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N=60 consecutively enrolled DCM patients who underwent cardiac assessment</w:t>
            </w:r>
            <w:r w:rsidR="0076105D">
              <w:rPr>
                <w:rFonts w:ascii="Arial Narrow" w:hAnsi="Arial Narrow" w:cs="Arial Narrow"/>
                <w:bCs/>
                <w:sz w:val="20"/>
                <w:szCs w:val="20"/>
              </w:rPr>
              <w:t>:</w:t>
            </w:r>
          </w:p>
          <w:p w14:paraId="4A4D0CBE"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n=11 (18%) ≥10% LGE</w:t>
            </w:r>
            <w:r w:rsidRPr="00526FBF">
              <w:rPr>
                <w:rFonts w:ascii="Arial Narrow" w:hAnsi="Arial Narrow" w:cs="Arial Narrow"/>
                <w:bCs/>
                <w:sz w:val="20"/>
              </w:rPr>
              <w:br/>
              <w:t>n=49 (82%) &lt;10% LGE</w:t>
            </w:r>
          </w:p>
          <w:p w14:paraId="1D01BABD" w14:textId="77777777" w:rsidR="001B26F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64F44C94" w14:textId="77777777" w:rsidR="001B26F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59 ± 12 years; </w:t>
            </w:r>
          </w:p>
          <w:p w14:paraId="02F4E7E2" w14:textId="77777777" w:rsidR="001B26F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77%; </w:t>
            </w:r>
          </w:p>
          <w:p w14:paraId="03F7CBDF" w14:textId="2905FC36" w:rsidR="001B26F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disease duration = 2.3 ± </w:t>
            </w:r>
            <w:r w:rsidRPr="00526FBF">
              <w:rPr>
                <w:rFonts w:ascii="Arial Narrow" w:hAnsi="Arial Narrow" w:cs="Arial Narrow"/>
                <w:bCs/>
                <w:sz w:val="20"/>
              </w:rPr>
              <w:lastRenderedPageBreak/>
              <w:t>4.2</w:t>
            </w:r>
            <w:r w:rsidR="001B26FF">
              <w:rPr>
                <w:rFonts w:ascii="Arial Narrow" w:hAnsi="Arial Narrow" w:cs="Arial Narrow"/>
                <w:bCs/>
                <w:sz w:val="20"/>
              </w:rPr>
              <w:t> </w:t>
            </w:r>
            <w:r w:rsidRPr="00526FBF">
              <w:rPr>
                <w:rFonts w:ascii="Arial Narrow" w:hAnsi="Arial Narrow" w:cs="Arial Narrow"/>
                <w:bCs/>
                <w:sz w:val="20"/>
              </w:rPr>
              <w:t xml:space="preserve">years; </w:t>
            </w:r>
          </w:p>
          <w:p w14:paraId="08EEAC78" w14:textId="30A97569"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(Echo) = 30 ± 9%; LVEF (CMR) = 23 ± 10; medications: ACE inhibitor/ARB = 43%, </w:t>
            </w:r>
            <w:r w:rsidR="00A73254" w:rsidRPr="00257ED7">
              <w:rPr>
                <w:rFonts w:ascii="Arial Narrow" w:hAnsi="Arial Narrow" w:cs="Arial Narrow"/>
                <w:bCs/>
                <w:sz w:val="20"/>
              </w:rPr>
              <w:sym w:font="Symbol" w:char="F062"/>
            </w:r>
            <w:r w:rsidRPr="00526FBF">
              <w:rPr>
                <w:rFonts w:ascii="Arial Narrow" w:hAnsi="Arial Narrow" w:cs="Arial Narrow"/>
                <w:bCs/>
                <w:sz w:val="20"/>
              </w:rPr>
              <w:t>-blockers = 27%</w:t>
            </w:r>
          </w:p>
          <w:p w14:paraId="475B2A18" w14:textId="700A1C2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 up:</w:t>
            </w:r>
            <w:r w:rsidRPr="00526FBF">
              <w:rPr>
                <w:rFonts w:ascii="Arial Narrow" w:hAnsi="Arial Narrow" w:cs="Arial Narrow"/>
                <w:bCs/>
                <w:sz w:val="20"/>
                <w:szCs w:val="20"/>
              </w:rPr>
              <w:t xml:space="preserve"> 406 ± 241</w:t>
            </w:r>
            <w:r w:rsidR="00A73254">
              <w:rPr>
                <w:rFonts w:ascii="Arial Narrow" w:hAnsi="Arial Narrow" w:cs="Arial Narrow"/>
                <w:bCs/>
                <w:sz w:val="20"/>
                <w:szCs w:val="20"/>
              </w:rPr>
              <w:t> </w:t>
            </w:r>
            <w:r w:rsidRPr="00526FBF">
              <w:rPr>
                <w:rFonts w:ascii="Arial Narrow" w:hAnsi="Arial Narrow" w:cs="Arial Narrow"/>
                <w:bCs/>
                <w:sz w:val="20"/>
                <w:szCs w:val="20"/>
              </w:rPr>
              <w:t>days for LGE+ and 425 ± 174 days for LGE– patients</w:t>
            </w:r>
          </w:p>
        </w:tc>
        <w:tc>
          <w:tcPr>
            <w:tcW w:w="882" w:type="pct"/>
          </w:tcPr>
          <w:p w14:paraId="0F6AC4E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consecutively enrolled DCM patients who underwent cardiac assessment in the cardiology department between February 2005 and March 2006</w:t>
            </w:r>
          </w:p>
          <w:p w14:paraId="0E10476E" w14:textId="0BB72F4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any of the standard contraindications for CMR, such as the presence of a </w:t>
            </w:r>
            <w:r w:rsidRPr="00526FBF">
              <w:rPr>
                <w:rFonts w:ascii="Arial Narrow" w:hAnsi="Arial Narrow"/>
                <w:sz w:val="20"/>
              </w:rPr>
              <w:lastRenderedPageBreak/>
              <w:t>pacemaker, implantable defibrillator and intracerebral aneurysm clips</w:t>
            </w:r>
          </w:p>
        </w:tc>
        <w:tc>
          <w:tcPr>
            <w:tcW w:w="1030" w:type="pct"/>
          </w:tcPr>
          <w:p w14:paraId="2191105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cardiac-dedicated phased-array coil</w:t>
            </w:r>
          </w:p>
          <w:p w14:paraId="552BC698" w14:textId="0D9D0C63"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CMR studies were ECG-triggered by standard software and images were acquired during diastole to minimi</w:t>
            </w:r>
            <w:r w:rsidR="00230728">
              <w:rPr>
                <w:rFonts w:ascii="Arial Narrow" w:hAnsi="Arial Narrow" w:cs="Times New Roman"/>
                <w:sz w:val="20"/>
                <w:szCs w:val="20"/>
              </w:rPr>
              <w:t>s</w:t>
            </w:r>
            <w:r w:rsidRPr="00526FBF">
              <w:rPr>
                <w:rFonts w:ascii="Arial Narrow" w:hAnsi="Arial Narrow" w:cs="Times New Roman"/>
                <w:sz w:val="20"/>
                <w:szCs w:val="20"/>
              </w:rPr>
              <w:t>e artefacts due to cardiac motion.</w:t>
            </w:r>
          </w:p>
          <w:p w14:paraId="0B6EA6E3" w14:textId="21B8A50D"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gradient</w:t>
            </w:r>
            <w:r w:rsidR="00D549AB">
              <w:rPr>
                <w:rFonts w:ascii="Arial Narrow" w:hAnsi="Arial Narrow" w:cs="Times New Roman"/>
                <w:sz w:val="20"/>
                <w:szCs w:val="20"/>
              </w:rPr>
              <w:t>-</w:t>
            </w:r>
            <w:r w:rsidRPr="00526FBF">
              <w:rPr>
                <w:rFonts w:ascii="Arial Narrow" w:hAnsi="Arial Narrow" w:cs="Times New Roman"/>
                <w:sz w:val="20"/>
                <w:szCs w:val="20"/>
              </w:rPr>
              <w:t xml:space="preserve">echo (segmented True FISP with </w:t>
            </w:r>
            <w:r w:rsidRPr="00526FBF">
              <w:rPr>
                <w:rFonts w:ascii="Arial Narrow" w:hAnsi="Arial Narrow" w:cs="Times New Roman"/>
                <w:sz w:val="20"/>
                <w:szCs w:val="20"/>
              </w:rPr>
              <w:lastRenderedPageBreak/>
              <w:t>inversion recovery pulse) sequence</w:t>
            </w:r>
          </w:p>
          <w:p w14:paraId="2F051AFF" w14:textId="43A0A8E2"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00D549AB">
              <w:rPr>
                <w:rFonts w:ascii="Arial Narrow" w:hAnsi="Arial Narrow" w:cs="Times New Roman"/>
                <w:sz w:val="20"/>
                <w:szCs w:val="20"/>
              </w:rPr>
              <w:t>Gd</w:t>
            </w:r>
            <w:r w:rsidRPr="00526FBF">
              <w:rPr>
                <w:rFonts w:ascii="Arial Narrow" w:hAnsi="Arial Narrow" w:cs="Times New Roman"/>
                <w:sz w:val="20"/>
                <w:szCs w:val="20"/>
              </w:rPr>
              <w:t>-DTPA</w:t>
            </w:r>
          </w:p>
          <w:p w14:paraId="71E97BE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 minutes</w:t>
            </w:r>
          </w:p>
          <w:p w14:paraId="25425F60" w14:textId="057BB2AF"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Not reported</w:t>
            </w:r>
          </w:p>
          <w:p w14:paraId="7E51AA6E" w14:textId="7582891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All areas of LGE were independently traced by </w:t>
            </w:r>
            <w:r w:rsidR="00D549AB">
              <w:rPr>
                <w:rFonts w:ascii="Arial Narrow" w:hAnsi="Arial Narrow" w:cs="Times New Roman"/>
                <w:sz w:val="20"/>
                <w:szCs w:val="20"/>
              </w:rPr>
              <w:t>2</w:t>
            </w:r>
            <w:r w:rsidR="00D549AB" w:rsidRPr="00526FBF">
              <w:rPr>
                <w:rFonts w:ascii="Arial Narrow" w:hAnsi="Arial Narrow" w:cs="Times New Roman"/>
                <w:sz w:val="20"/>
                <w:szCs w:val="20"/>
              </w:rPr>
              <w:t xml:space="preserve"> </w:t>
            </w:r>
            <w:r w:rsidRPr="00526FBF">
              <w:rPr>
                <w:rFonts w:ascii="Arial Narrow" w:hAnsi="Arial Narrow" w:cs="Times New Roman"/>
                <w:sz w:val="20"/>
                <w:szCs w:val="20"/>
              </w:rPr>
              <w:t>cardiologists who were blinded to the clinical history of the patients.</w:t>
            </w:r>
            <w:r w:rsidRPr="00526FBF">
              <w:rPr>
                <w:sz w:val="24"/>
              </w:rPr>
              <w:t xml:space="preserve"> </w:t>
            </w:r>
            <w:r w:rsidRPr="00526FBF">
              <w:rPr>
                <w:rFonts w:ascii="Arial Narrow" w:hAnsi="Arial Narrow" w:cs="Times New Roman"/>
                <w:sz w:val="20"/>
                <w:szCs w:val="20"/>
              </w:rPr>
              <w:t>Patients were classified as having advanced LGE when %LGE was ≥10%, and non-advanced LGE when %LGE was &lt;10%.</w:t>
            </w:r>
          </w:p>
        </w:tc>
        <w:tc>
          <w:tcPr>
            <w:tcW w:w="1177" w:type="pct"/>
          </w:tcPr>
          <w:p w14:paraId="1E0445E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24F9B5C3"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1ABEB855"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 a:</w:t>
            </w:r>
          </w:p>
          <w:p w14:paraId="21B25B17" w14:textId="6BB8BB71" w:rsidR="00A474A9" w:rsidRPr="00526FBF" w:rsidRDefault="00230728"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w:t>
            </w:r>
            <w:r w:rsidR="00A92A2C">
              <w:rPr>
                <w:rFonts w:ascii="Arial Narrow" w:hAnsi="Arial Narrow" w:cs="Arial Narrow"/>
                <w:bCs/>
                <w:sz w:val="20"/>
              </w:rPr>
              <w:t>s</w:t>
            </w:r>
            <w:r w:rsidR="00A474A9" w:rsidRPr="00526FBF">
              <w:rPr>
                <w:rFonts w:ascii="Arial Narrow" w:hAnsi="Arial Narrow" w:cs="Arial Narrow"/>
                <w:bCs/>
                <w:sz w:val="20"/>
              </w:rPr>
              <w:t>ation for HF</w:t>
            </w:r>
          </w:p>
          <w:p w14:paraId="525D3C66"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3CE31D5D" w14:textId="77777777" w:rsidTr="00BE5D7C">
        <w:tc>
          <w:tcPr>
            <w:tcW w:w="391" w:type="pct"/>
          </w:tcPr>
          <w:p w14:paraId="66B71011" w14:textId="02E125EB"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 xml:space="preserve">Wang </w:t>
            </w:r>
            <w:r>
              <w:rPr>
                <w:rFonts w:ascii="Arial Narrow" w:hAnsi="Arial Narrow" w:cs="Arial Narrow"/>
                <w:bCs/>
                <w:sz w:val="20"/>
              </w:rPr>
              <w:t xml:space="preserve">et al. </w:t>
            </w:r>
            <w:r w:rsidR="00187A29">
              <w:rPr>
                <w:rFonts w:ascii="Arial Narrow" w:hAnsi="Arial Narrow" w:cs="Arial Narrow"/>
                <w:bCs/>
                <w:sz w:val="20"/>
              </w:rPr>
              <w:fldChar w:fldCharType="begin"/>
            </w:r>
            <w:r w:rsidR="00187A29">
              <w:rPr>
                <w:rFonts w:ascii="Arial Narrow" w:hAnsi="Arial Narrow" w:cs="Arial Narrow"/>
                <w:bCs/>
                <w:sz w:val="20"/>
              </w:rPr>
              <w:instrText xml:space="preserve"> ADDIN EN.CITE &lt;EndNote&gt;&lt;Cite ExcludeAuth="1"&gt;&lt;Author&gt;Wang&lt;/Author&gt;&lt;Year&gt;2015&lt;/Year&gt;&lt;RecNum&gt;60&lt;/RecNum&gt;&lt;DisplayText&gt;(2015)&lt;/DisplayText&gt;&lt;record&gt;&lt;rec-number&gt;60&lt;/rec-number&gt;&lt;foreign-keys&gt;&lt;key app="EN" db-id="pfxxvref0t0a5de2vwnv2fwkz0p9v0r2fw0t" timestamp="1458109055"&gt;60&lt;/key&gt;&lt;/foreign-keys&gt;&lt;ref-type name="Journal Article"&gt;17&lt;/ref-type&gt;&lt;contributors&gt;&lt;authors&gt;&lt;author&gt;Wang, L.&lt;/author&gt;&lt;author&gt;Ma, X.&lt;/author&gt;&lt;author&gt;Xiang, L.&lt;/author&gt;&lt;author&gt;Lu, M.&lt;/author&gt;&lt;author&gt;Yan, C.&lt;/author&gt;&lt;author&gt;Zhao, S.&lt;/author&gt;&lt;author&gt;Fang, W.&lt;/author&gt;&lt;/authors&gt;&lt;/contributors&gt;&lt;titles&gt;&lt;title&gt;The characterization and prognostic significance of right ventricular glucose metabolism in non-ischemic dilated cardiomyopathy&lt;/title&gt;&lt;secondary-title&gt;J Nucl Cardiol&lt;/secondary-title&gt;&lt;/titles&gt;&lt;periodical&gt;&lt;full-title&gt;J Nucl Cardiol&lt;/full-title&gt;&lt;/periodical&gt;&lt;pages&gt;[Epub ahead of print]&lt;/pages&gt;&lt;dates&gt;&lt;year&gt;2015&lt;/year&gt;&lt;pub-dates&gt;&lt;date&gt;2015-01-01&lt;/date&gt;&lt;/pub-dates&gt;&lt;/dates&gt;&lt;isbn&gt;1071-3581 (Print) 1071-3581&lt;/isbn&gt;&lt;urls&gt;&lt;/urls&gt;&lt;custom1&gt;RAYYAN-INCLUSION: {&amp;quot;Sharon&amp;quot;=&amp;gt;false, &amp;quot;Skye&amp;quot;=&amp;gt;true}&lt;/custom1&gt;&lt;research-notes&gt;Acceptable&lt;/research-notes&gt;&lt;language&gt;Eng&lt;/language&gt;&lt;/record&gt;&lt;/Cite&gt;&lt;/EndNote&gt;</w:instrText>
            </w:r>
            <w:r w:rsidR="00187A29">
              <w:rPr>
                <w:rFonts w:ascii="Arial Narrow" w:hAnsi="Arial Narrow" w:cs="Arial Narrow"/>
                <w:bCs/>
                <w:sz w:val="20"/>
              </w:rPr>
              <w:fldChar w:fldCharType="separate"/>
            </w:r>
            <w:r w:rsidR="00187A29">
              <w:rPr>
                <w:rFonts w:ascii="Arial Narrow" w:hAnsi="Arial Narrow" w:cs="Arial Narrow"/>
                <w:bCs/>
                <w:noProof/>
                <w:sz w:val="20"/>
              </w:rPr>
              <w:t>(</w:t>
            </w:r>
            <w:hyperlink w:anchor="_ENREF_133" w:tooltip="Wang, 2015 #60" w:history="1">
              <w:r w:rsidR="00B906E9">
                <w:rPr>
                  <w:rFonts w:ascii="Arial Narrow" w:hAnsi="Arial Narrow" w:cs="Arial Narrow"/>
                  <w:bCs/>
                  <w:noProof/>
                  <w:sz w:val="20"/>
                </w:rPr>
                <w:t>2015</w:t>
              </w:r>
            </w:hyperlink>
            <w:r w:rsidR="00187A29">
              <w:rPr>
                <w:rFonts w:ascii="Arial Narrow" w:hAnsi="Arial Narrow" w:cs="Arial Narrow"/>
                <w:bCs/>
                <w:noProof/>
                <w:sz w:val="20"/>
              </w:rPr>
              <w:t>)</w:t>
            </w:r>
            <w:r w:rsidR="00187A29">
              <w:rPr>
                <w:rFonts w:ascii="Arial Narrow" w:hAnsi="Arial Narrow" w:cs="Arial Narrow"/>
                <w:bCs/>
                <w:sz w:val="20"/>
              </w:rPr>
              <w:fldChar w:fldCharType="end"/>
            </w:r>
          </w:p>
          <w:p w14:paraId="17F0503E" w14:textId="77777777" w:rsidR="00A474A9" w:rsidRPr="00526FBF" w:rsidRDefault="00A474A9" w:rsidP="004C79C1">
            <w:pPr>
              <w:spacing w:before="0" w:after="120" w:line="240" w:lineRule="auto"/>
              <w:rPr>
                <w:rFonts w:ascii="Arial Narrow" w:hAnsi="Arial Narrow" w:cs="Arial Narrow"/>
                <w:bCs/>
                <w:sz w:val="20"/>
              </w:rPr>
            </w:pPr>
          </w:p>
          <w:p w14:paraId="79431BDC"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China</w:t>
            </w:r>
          </w:p>
        </w:tc>
        <w:tc>
          <w:tcPr>
            <w:tcW w:w="588" w:type="pct"/>
            <w:shd w:val="clear" w:color="auto" w:fill="auto"/>
          </w:tcPr>
          <w:p w14:paraId="1E90AFC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Prospective cohort</w:t>
            </w:r>
          </w:p>
          <w:p w14:paraId="2FB310B9" w14:textId="77777777" w:rsidR="00A474A9" w:rsidRPr="00526FBF" w:rsidRDefault="00A474A9" w:rsidP="004C79C1">
            <w:pPr>
              <w:spacing w:before="0" w:after="120" w:line="240" w:lineRule="auto"/>
              <w:rPr>
                <w:rFonts w:ascii="Arial Narrow" w:hAnsi="Arial Narrow" w:cs="Arial Narrow"/>
                <w:bCs/>
                <w:sz w:val="20"/>
              </w:rPr>
            </w:pPr>
          </w:p>
          <w:p w14:paraId="039556F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1336C9DB" w14:textId="77777777" w:rsidR="00A474A9" w:rsidRPr="00526FBF" w:rsidRDefault="00A474A9" w:rsidP="004C79C1">
            <w:pPr>
              <w:spacing w:before="0" w:after="120" w:line="240" w:lineRule="auto"/>
              <w:rPr>
                <w:rFonts w:ascii="Arial Narrow" w:hAnsi="Arial Narrow" w:cs="Arial Narrow"/>
                <w:bCs/>
                <w:sz w:val="20"/>
              </w:rPr>
            </w:pPr>
          </w:p>
          <w:p w14:paraId="37EA94E6"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SIGN: acceptable quality with a moderate risk of bias</w:t>
            </w:r>
          </w:p>
        </w:tc>
        <w:tc>
          <w:tcPr>
            <w:tcW w:w="932" w:type="pct"/>
          </w:tcPr>
          <w:p w14:paraId="3D5F1A31" w14:textId="50137B32"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N=63 consecutive patients diagnosed with DCM</w:t>
            </w:r>
            <w:r w:rsidR="0076105D">
              <w:rPr>
                <w:rFonts w:ascii="Arial Narrow" w:hAnsi="Arial Narrow" w:cs="Arial Narrow"/>
                <w:bCs/>
                <w:sz w:val="20"/>
                <w:szCs w:val="20"/>
              </w:rPr>
              <w:t>:</w:t>
            </w:r>
          </w:p>
          <w:p w14:paraId="047C8D17"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n=31 (49%) LGE+</w:t>
            </w:r>
            <w:r w:rsidRPr="00526FBF">
              <w:rPr>
                <w:rFonts w:ascii="Arial Narrow" w:hAnsi="Arial Narrow" w:cs="Arial Narrow"/>
                <w:bCs/>
                <w:sz w:val="20"/>
              </w:rPr>
              <w:br/>
              <w:t>n=32 (51%) LGE–</w:t>
            </w:r>
          </w:p>
          <w:p w14:paraId="3FC2CAE2" w14:textId="77777777" w:rsidR="00D549AB"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7DD95611"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53.9 ± 11.5 years; </w:t>
            </w:r>
          </w:p>
          <w:p w14:paraId="2B97C967"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70%; </w:t>
            </w:r>
          </w:p>
          <w:p w14:paraId="64CB4DEB"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history of VF or sustained VT = 5%; </w:t>
            </w:r>
          </w:p>
          <w:p w14:paraId="4F2A2D07"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history of AF = 25%; </w:t>
            </w:r>
          </w:p>
          <w:p w14:paraId="5CC7EE1A"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17%; </w:t>
            </w:r>
          </w:p>
          <w:p w14:paraId="7317391A" w14:textId="77777777" w:rsidR="00D549AB"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(CMR) = 24.4 ± 8.5%; </w:t>
            </w:r>
            <w:r w:rsidRPr="00526FBF">
              <w:rPr>
                <w:rFonts w:ascii="Arial Narrow" w:hAnsi="Arial Narrow" w:cs="Arial Narrow"/>
                <w:bCs/>
                <w:sz w:val="20"/>
              </w:rPr>
              <w:lastRenderedPageBreak/>
              <w:t xml:space="preserve">NYHA class: I = 19%, III = 48%, IV = 33%; </w:t>
            </w:r>
          </w:p>
          <w:p w14:paraId="393D632E" w14:textId="61190425"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inhibitor/ARB = 48%, </w:t>
            </w:r>
            <w:r w:rsidR="00D549AB" w:rsidRPr="00257ED7">
              <w:rPr>
                <w:rFonts w:ascii="Arial Narrow" w:hAnsi="Arial Narrow" w:cs="Arial Narrow"/>
                <w:bCs/>
                <w:sz w:val="20"/>
              </w:rPr>
              <w:sym w:font="Symbol" w:char="F062"/>
            </w:r>
            <w:r w:rsidRPr="00526FBF">
              <w:rPr>
                <w:rFonts w:ascii="Arial Narrow" w:hAnsi="Arial Narrow" w:cs="Arial Narrow"/>
                <w:bCs/>
                <w:sz w:val="20"/>
              </w:rPr>
              <w:t>-blockers = 57%</w:t>
            </w:r>
          </w:p>
          <w:p w14:paraId="03129B8E" w14:textId="1D586E8D"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
                <w:bCs/>
                <w:sz w:val="20"/>
                <w:szCs w:val="20"/>
              </w:rPr>
              <w:t>Median follow up:</w:t>
            </w:r>
            <w:r w:rsidRPr="00526FBF">
              <w:rPr>
                <w:rFonts w:ascii="Arial Narrow" w:hAnsi="Arial Narrow" w:cs="Arial Narrow"/>
                <w:bCs/>
                <w:sz w:val="20"/>
                <w:szCs w:val="20"/>
              </w:rPr>
              <w:t xml:space="preserve"> 804 (IQR 381–1</w:t>
            </w:r>
            <w:r w:rsidR="00484B4A">
              <w:rPr>
                <w:rFonts w:ascii="Arial Narrow" w:hAnsi="Arial Narrow" w:cs="Arial Narrow"/>
                <w:bCs/>
                <w:sz w:val="20"/>
                <w:szCs w:val="20"/>
              </w:rPr>
              <w:t>,</w:t>
            </w:r>
            <w:r w:rsidRPr="00526FBF">
              <w:rPr>
                <w:rFonts w:ascii="Arial Narrow" w:hAnsi="Arial Narrow" w:cs="Arial Narrow"/>
                <w:bCs/>
                <w:sz w:val="20"/>
                <w:szCs w:val="20"/>
              </w:rPr>
              <w:t>035) days</w:t>
            </w:r>
          </w:p>
        </w:tc>
        <w:tc>
          <w:tcPr>
            <w:tcW w:w="882" w:type="pct"/>
          </w:tcPr>
          <w:p w14:paraId="7BE640C4"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diagnosed with DCM</w:t>
            </w:r>
            <w:r w:rsidRPr="00526FBF">
              <w:rPr>
                <w:sz w:val="24"/>
              </w:rPr>
              <w:t xml:space="preserve"> </w:t>
            </w:r>
            <w:r w:rsidRPr="00526FBF">
              <w:rPr>
                <w:rFonts w:ascii="Arial Narrow" w:hAnsi="Arial Narrow"/>
                <w:sz w:val="20"/>
              </w:rPr>
              <w:t>from October 2009 to April 2013</w:t>
            </w:r>
          </w:p>
          <w:p w14:paraId="4B4FA986" w14:textId="5FE30838"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 xml:space="preserve">patients with severe valvular disease, active myocarditis, hypertensive heart disease, tachycardia-induced </w:t>
            </w:r>
            <w:r>
              <w:rPr>
                <w:rFonts w:ascii="Arial Narrow" w:hAnsi="Arial Narrow" w:cs="Arial Narrow"/>
                <w:bCs/>
                <w:sz w:val="20"/>
                <w:szCs w:val="20"/>
              </w:rPr>
              <w:t>CM</w:t>
            </w:r>
            <w:r w:rsidRPr="00526FBF">
              <w:rPr>
                <w:rFonts w:ascii="Arial Narrow" w:hAnsi="Arial Narrow" w:cs="Arial Narrow"/>
                <w:bCs/>
                <w:sz w:val="20"/>
                <w:szCs w:val="20"/>
              </w:rPr>
              <w:t xml:space="preserve">, arrhythmogenic </w:t>
            </w:r>
            <w:r w:rsidR="00F94A8B">
              <w:rPr>
                <w:rFonts w:ascii="Arial Narrow" w:hAnsi="Arial Narrow" w:cs="Arial Narrow"/>
                <w:bCs/>
                <w:sz w:val="20"/>
                <w:szCs w:val="20"/>
              </w:rPr>
              <w:t>RV</w:t>
            </w:r>
            <w:r w:rsidRPr="00526FBF">
              <w:rPr>
                <w:rFonts w:ascii="Arial Narrow" w:hAnsi="Arial Narrow" w:cs="Arial Narrow"/>
                <w:bCs/>
                <w:sz w:val="20"/>
                <w:szCs w:val="20"/>
              </w:rPr>
              <w:t xml:space="preserve"> </w:t>
            </w:r>
            <w:r>
              <w:rPr>
                <w:rFonts w:ascii="Arial Narrow" w:hAnsi="Arial Narrow" w:cs="Arial Narrow"/>
                <w:bCs/>
                <w:sz w:val="20"/>
                <w:szCs w:val="20"/>
              </w:rPr>
              <w:t>CM</w:t>
            </w:r>
            <w:r w:rsidRPr="00526FBF">
              <w:rPr>
                <w:rFonts w:ascii="Arial Narrow" w:hAnsi="Arial Narrow" w:cs="Arial Narrow"/>
                <w:bCs/>
                <w:sz w:val="20"/>
                <w:szCs w:val="20"/>
              </w:rPr>
              <w:t xml:space="preserve">, infiltrative </w:t>
            </w:r>
            <w:r>
              <w:rPr>
                <w:rFonts w:ascii="Arial Narrow" w:hAnsi="Arial Narrow" w:cs="Arial Narrow"/>
                <w:bCs/>
                <w:sz w:val="20"/>
                <w:szCs w:val="20"/>
              </w:rPr>
              <w:t>CM</w:t>
            </w:r>
            <w:r w:rsidRPr="00526FBF">
              <w:rPr>
                <w:rFonts w:ascii="Arial Narrow" w:hAnsi="Arial Narrow" w:cs="Arial Narrow"/>
                <w:bCs/>
                <w:sz w:val="20"/>
                <w:szCs w:val="20"/>
              </w:rPr>
              <w:t xml:space="preserve">, HCM, diabetes mellitus, alcohol abuse, persistent AF, metal fragments in the body, implanted ferromagnetic devices or otherwise </w:t>
            </w:r>
            <w:r w:rsidRPr="00526FBF">
              <w:rPr>
                <w:rFonts w:ascii="Arial Narrow" w:hAnsi="Arial Narrow" w:cs="Arial Narrow"/>
                <w:bCs/>
                <w:sz w:val="20"/>
                <w:szCs w:val="20"/>
              </w:rPr>
              <w:lastRenderedPageBreak/>
              <w:t>unsuitable to undergo CMR,</w:t>
            </w:r>
            <w:r w:rsidRPr="00526FBF">
              <w:rPr>
                <w:sz w:val="24"/>
              </w:rPr>
              <w:t xml:space="preserve"> </w:t>
            </w:r>
            <w:r w:rsidRPr="00526FBF">
              <w:rPr>
                <w:rFonts w:ascii="Arial Narrow" w:hAnsi="Arial Narrow" w:cs="Arial Narrow"/>
                <w:bCs/>
                <w:sz w:val="20"/>
                <w:szCs w:val="20"/>
              </w:rPr>
              <w:t>chronic lung disease, previous pulmonary embolism or idiopathic pulmonary hypertension</w:t>
            </w:r>
          </w:p>
        </w:tc>
        <w:tc>
          <w:tcPr>
            <w:tcW w:w="1030" w:type="pct"/>
          </w:tcPr>
          <w:p w14:paraId="4A275012"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w:t>
            </w:r>
          </w:p>
          <w:p w14:paraId="6137ACEF"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Breath-hold retrospective ECG-gated cine true-FISP (fast imaging with steady-state precession) sequence to acquire contiguous short-axis images.</w:t>
            </w:r>
          </w:p>
          <w:p w14:paraId="2FF24A55" w14:textId="23BF3013"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Not reported</w:t>
            </w:r>
          </w:p>
          <w:p w14:paraId="7D1A5BDE"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Not reported</w:t>
            </w:r>
          </w:p>
          <w:p w14:paraId="77434E4E"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Not reported</w:t>
            </w:r>
          </w:p>
          <w:p w14:paraId="6C1FED8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The LVEF and RVEF were calculated using Simpson’s rule.</w:t>
            </w:r>
          </w:p>
          <w:p w14:paraId="1FE79914" w14:textId="6495C6E0"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lastRenderedPageBreak/>
              <w:t>LGE diagnosis:</w:t>
            </w:r>
            <w:r w:rsidRPr="00526FBF">
              <w:rPr>
                <w:rFonts w:ascii="Arial Narrow" w:hAnsi="Arial Narrow" w:cs="Times New Roman"/>
                <w:sz w:val="20"/>
                <w:szCs w:val="20"/>
              </w:rPr>
              <w:t xml:space="preserve"> The presence of LGE in mid-wall myocardium of LV and septum was visually assessed</w:t>
            </w:r>
            <w:r w:rsidR="00484B4A">
              <w:rPr>
                <w:rFonts w:ascii="Arial Narrow" w:hAnsi="Arial Narrow" w:cs="Times New Roman"/>
                <w:sz w:val="20"/>
                <w:szCs w:val="20"/>
              </w:rPr>
              <w:t>.</w:t>
            </w:r>
          </w:p>
        </w:tc>
        <w:tc>
          <w:tcPr>
            <w:tcW w:w="1177" w:type="pct"/>
          </w:tcPr>
          <w:p w14:paraId="12E849B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745FD254"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1B14E83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 a:</w:t>
            </w:r>
          </w:p>
          <w:p w14:paraId="0C1D37A9" w14:textId="681150A5" w:rsidR="00A474A9" w:rsidRPr="00526FBF" w:rsidRDefault="00FA289C"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 (HF)</w:t>
            </w:r>
            <w:r w:rsidR="00A474A9" w:rsidRPr="00526FBF">
              <w:rPr>
                <w:rFonts w:ascii="Arial Narrow" w:hAnsi="Arial Narrow" w:cs="Arial Narrow"/>
                <w:bCs/>
                <w:sz w:val="20"/>
              </w:rPr>
              <w:br/>
            </w:r>
            <w:r>
              <w:rPr>
                <w:rFonts w:ascii="Arial Narrow" w:hAnsi="Arial Narrow" w:cs="Arial Narrow"/>
                <w:bCs/>
                <w:sz w:val="20"/>
              </w:rPr>
              <w:t>c</w:t>
            </w:r>
            <w:r w:rsidR="00A474A9" w:rsidRPr="00526FBF">
              <w:rPr>
                <w:rFonts w:ascii="Arial Narrow" w:hAnsi="Arial Narrow" w:cs="Arial Narrow"/>
                <w:bCs/>
                <w:sz w:val="20"/>
              </w:rPr>
              <w:t>ardiac transplantation</w:t>
            </w:r>
          </w:p>
          <w:p w14:paraId="57ED124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4D84DB7F" w14:textId="77777777" w:rsidTr="00BE5D7C">
        <w:tc>
          <w:tcPr>
            <w:tcW w:w="391" w:type="pct"/>
          </w:tcPr>
          <w:p w14:paraId="6FEA3E04" w14:textId="152C7B52"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Wu</w:t>
            </w:r>
            <w:r w:rsidR="003559A7">
              <w:rPr>
                <w:rFonts w:ascii="Arial Narrow" w:hAnsi="Arial Narrow" w:cs="Arial Narrow"/>
                <w:bCs/>
                <w:sz w:val="20"/>
              </w:rPr>
              <w:t>, KC</w:t>
            </w:r>
            <w:r w:rsidRPr="00526FBF">
              <w:rPr>
                <w:rFonts w:ascii="Arial Narrow" w:hAnsi="Arial Narrow" w:cs="Arial Narrow"/>
                <w:bCs/>
                <w:sz w:val="20"/>
              </w:rPr>
              <w:t xml:space="preserve"> </w:t>
            </w:r>
            <w:r>
              <w:rPr>
                <w:rFonts w:ascii="Arial Narrow" w:hAnsi="Arial Narrow" w:cs="Arial Narrow"/>
                <w:bCs/>
                <w:sz w:val="20"/>
              </w:rPr>
              <w:t xml:space="preserve">et al. </w:t>
            </w:r>
            <w:r w:rsidR="00187A29">
              <w:rPr>
                <w:rFonts w:ascii="Arial Narrow" w:hAnsi="Arial Narrow" w:cs="Arial Narrow"/>
                <w:bCs/>
                <w:sz w:val="20"/>
              </w:rPr>
              <w:fldChar w:fldCharType="begin">
                <w:fldData xml:space="preserve">PEVuZE5vdGU+PENpdGUgRXhjbHVkZUF1dGg9IjEiPjxBdXRob3I+V3U8L0F1dGhvcj48WWVhcj4y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</w:fldData>
              </w:fldChar>
            </w:r>
            <w:r w:rsidR="00187A29">
              <w:rPr>
                <w:rFonts w:ascii="Arial Narrow" w:hAnsi="Arial Narrow" w:cs="Arial Narrow"/>
                <w:bCs/>
                <w:sz w:val="20"/>
              </w:rPr>
              <w:instrText xml:space="preserve"> ADDIN EN.CITE </w:instrText>
            </w:r>
            <w:r w:rsidR="00187A29">
              <w:rPr>
                <w:rFonts w:ascii="Arial Narrow" w:hAnsi="Arial Narrow" w:cs="Arial Narrow"/>
                <w:bCs/>
                <w:sz w:val="20"/>
              </w:rPr>
              <w:fldChar w:fldCharType="begin">
                <w:fldData xml:space="preserve">PEVuZE5vdGU+PENpdGUgRXhjbHVkZUF1dGg9IjEiPjxBdXRob3I+V3U8L0F1dGhvcj48WWVhcj4y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</w:fldData>
              </w:fldChar>
            </w:r>
            <w:r w:rsidR="00187A29">
              <w:rPr>
                <w:rFonts w:ascii="Arial Narrow" w:hAnsi="Arial Narrow" w:cs="Arial Narrow"/>
                <w:bCs/>
                <w:sz w:val="20"/>
              </w:rPr>
              <w:instrText xml:space="preserve"> ADDIN EN.CITE.DATA </w:instrText>
            </w:r>
            <w:r w:rsidR="00187A29">
              <w:rPr>
                <w:rFonts w:ascii="Arial Narrow" w:hAnsi="Arial Narrow" w:cs="Arial Narrow"/>
                <w:bCs/>
                <w:sz w:val="20"/>
              </w:rPr>
            </w:r>
            <w:r w:rsidR="00187A29">
              <w:rPr>
                <w:rFonts w:ascii="Arial Narrow" w:hAnsi="Arial Narrow" w:cs="Arial Narrow"/>
                <w:bCs/>
                <w:sz w:val="20"/>
              </w:rPr>
              <w:fldChar w:fldCharType="end"/>
            </w:r>
            <w:r w:rsidR="00187A29">
              <w:rPr>
                <w:rFonts w:ascii="Arial Narrow" w:hAnsi="Arial Narrow" w:cs="Arial Narrow"/>
                <w:bCs/>
                <w:sz w:val="20"/>
              </w:rPr>
            </w:r>
            <w:r w:rsidR="00187A29">
              <w:rPr>
                <w:rFonts w:ascii="Arial Narrow" w:hAnsi="Arial Narrow" w:cs="Arial Narrow"/>
                <w:bCs/>
                <w:sz w:val="20"/>
              </w:rPr>
              <w:fldChar w:fldCharType="separate"/>
            </w:r>
            <w:r w:rsidR="00187A29">
              <w:rPr>
                <w:rFonts w:ascii="Arial Narrow" w:hAnsi="Arial Narrow" w:cs="Arial Narrow"/>
                <w:bCs/>
                <w:noProof/>
                <w:sz w:val="20"/>
              </w:rPr>
              <w:t>(</w:t>
            </w:r>
            <w:hyperlink w:anchor="_ENREF_140" w:tooltip="Wu, 2008 #62" w:history="1">
              <w:r w:rsidR="00B906E9">
                <w:rPr>
                  <w:rFonts w:ascii="Arial Narrow" w:hAnsi="Arial Narrow" w:cs="Arial Narrow"/>
                  <w:bCs/>
                  <w:noProof/>
                  <w:sz w:val="20"/>
                </w:rPr>
                <w:t>2008</w:t>
              </w:r>
            </w:hyperlink>
            <w:r w:rsidR="00187A29">
              <w:rPr>
                <w:rFonts w:ascii="Arial Narrow" w:hAnsi="Arial Narrow" w:cs="Arial Narrow"/>
                <w:bCs/>
                <w:noProof/>
                <w:sz w:val="20"/>
              </w:rPr>
              <w:t>)</w:t>
            </w:r>
            <w:r w:rsidR="00187A29">
              <w:rPr>
                <w:rFonts w:ascii="Arial Narrow" w:hAnsi="Arial Narrow" w:cs="Arial Narrow"/>
                <w:bCs/>
                <w:sz w:val="20"/>
              </w:rPr>
              <w:fldChar w:fldCharType="end"/>
            </w:r>
          </w:p>
          <w:p w14:paraId="085A195D" w14:textId="77777777" w:rsidR="00A474A9" w:rsidRPr="00526FBF" w:rsidRDefault="00A474A9" w:rsidP="004C79C1">
            <w:pPr>
              <w:spacing w:before="0" w:after="120" w:line="240" w:lineRule="auto"/>
              <w:rPr>
                <w:rFonts w:ascii="Arial Narrow" w:hAnsi="Arial Narrow" w:cs="Arial Narrow"/>
                <w:bCs/>
                <w:sz w:val="20"/>
              </w:rPr>
            </w:pPr>
          </w:p>
          <w:p w14:paraId="038BCCA5"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USA</w:t>
            </w:r>
          </w:p>
        </w:tc>
        <w:tc>
          <w:tcPr>
            <w:tcW w:w="588" w:type="pct"/>
            <w:shd w:val="clear" w:color="auto" w:fill="auto"/>
          </w:tcPr>
          <w:p w14:paraId="253690D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Prospective cohort </w:t>
            </w:r>
          </w:p>
          <w:p w14:paraId="395F32BE" w14:textId="77777777" w:rsidR="00A474A9" w:rsidRPr="00526FBF" w:rsidRDefault="00A474A9" w:rsidP="004C79C1">
            <w:pPr>
              <w:spacing w:before="0" w:after="120" w:line="240" w:lineRule="auto"/>
              <w:rPr>
                <w:rFonts w:ascii="Arial Narrow" w:hAnsi="Arial Narrow" w:cs="Arial Narrow"/>
                <w:bCs/>
                <w:sz w:val="20"/>
              </w:rPr>
            </w:pPr>
          </w:p>
          <w:p w14:paraId="142A6410"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94D86C4" w14:textId="77777777" w:rsidR="00A474A9" w:rsidRPr="00526FBF" w:rsidRDefault="00A474A9" w:rsidP="004C79C1">
            <w:pPr>
              <w:spacing w:before="0" w:after="120" w:line="240" w:lineRule="auto"/>
              <w:rPr>
                <w:rFonts w:ascii="Arial Narrow" w:hAnsi="Arial Narrow" w:cs="Arial Narrow"/>
                <w:bCs/>
                <w:sz w:val="20"/>
              </w:rPr>
            </w:pPr>
          </w:p>
          <w:p w14:paraId="6E37D595"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SIGN: high quality with a low risk of bias</w:t>
            </w:r>
          </w:p>
        </w:tc>
        <w:tc>
          <w:tcPr>
            <w:tcW w:w="932" w:type="pct"/>
          </w:tcPr>
          <w:p w14:paraId="6F09A0CC" w14:textId="50AFA24D"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N=65 consecutive non-selected patients with NICM and LVEF ≤35% undergoing ICD implantation for primary prevention of SCD</w:t>
            </w:r>
            <w:r w:rsidR="0076105D">
              <w:rPr>
                <w:rFonts w:ascii="Arial Narrow" w:hAnsi="Arial Narrow" w:cs="Arial Narrow"/>
                <w:bCs/>
                <w:sz w:val="20"/>
                <w:szCs w:val="20"/>
              </w:rPr>
              <w:t>:</w:t>
            </w:r>
          </w:p>
          <w:p w14:paraId="5F6AB30F" w14:textId="77777777"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n=27 (42%) LGE+</w:t>
            </w:r>
          </w:p>
          <w:p w14:paraId="1B643785" w14:textId="77777777"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n=38 (58%) LGE–</w:t>
            </w:r>
          </w:p>
          <w:p w14:paraId="2DC3D9D5" w14:textId="77777777" w:rsidR="00FA289C"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Patient characteristics: </w:t>
            </w:r>
          </w:p>
          <w:p w14:paraId="0CD3450B" w14:textId="77777777" w:rsidR="00FA289C"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age = 55 ± 12 years; </w:t>
            </w:r>
          </w:p>
          <w:p w14:paraId="1A57335C" w14:textId="77777777" w:rsidR="00FA289C"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male = 65%; </w:t>
            </w:r>
          </w:p>
          <w:p w14:paraId="0153DDB3" w14:textId="77777777" w:rsidR="00FA289C"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duration of CM = 4.0 ± 4.1 years; </w:t>
            </w:r>
          </w:p>
          <w:p w14:paraId="22437D1B" w14:textId="77777777" w:rsidR="002408E3"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LVEF (CMR) = 24 ± 9.5%; NYHA class: I = 15%, II = 48%, III = 40%; </w:t>
            </w:r>
          </w:p>
          <w:p w14:paraId="6EB2A076" w14:textId="095FF1E6" w:rsidR="00A474A9" w:rsidRPr="00526FBF" w:rsidRDefault="00A474A9" w:rsidP="004C79C1">
            <w:pPr>
              <w:spacing w:before="0" w:after="120" w:line="240" w:lineRule="auto"/>
              <w:ind w:left="58"/>
              <w:rPr>
                <w:rFonts w:ascii="Arial Narrow" w:hAnsi="Arial Narrow" w:cs="Arial Narrow"/>
                <w:bCs/>
                <w:sz w:val="20"/>
                <w:szCs w:val="20"/>
              </w:rPr>
            </w:pPr>
            <w:r w:rsidRPr="00526FBF">
              <w:rPr>
                <w:rFonts w:ascii="Arial Narrow" w:hAnsi="Arial Narrow" w:cs="Arial Narrow"/>
                <w:bCs/>
                <w:sz w:val="20"/>
                <w:szCs w:val="20"/>
              </w:rPr>
              <w:t xml:space="preserve">medications: ACE inhibitor/ARB = 87%, </w:t>
            </w:r>
            <w:r w:rsidR="002408E3" w:rsidRPr="00257ED7">
              <w:rPr>
                <w:rFonts w:ascii="Arial Narrow" w:hAnsi="Arial Narrow" w:cs="Arial Narrow"/>
                <w:bCs/>
                <w:sz w:val="20"/>
              </w:rPr>
              <w:sym w:font="Symbol" w:char="F062"/>
            </w:r>
            <w:r w:rsidRPr="00526FBF">
              <w:rPr>
                <w:rFonts w:ascii="Arial Narrow" w:hAnsi="Arial Narrow" w:cs="Arial Narrow"/>
                <w:bCs/>
                <w:sz w:val="20"/>
                <w:szCs w:val="20"/>
              </w:rPr>
              <w:t>-blockers = 95%</w:t>
            </w:r>
          </w:p>
          <w:p w14:paraId="55C2C314"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Median follow-up:</w:t>
            </w:r>
            <w:r w:rsidRPr="00526FBF">
              <w:rPr>
                <w:rFonts w:ascii="Arial Narrow" w:hAnsi="Arial Narrow" w:cs="Arial Narrow"/>
                <w:bCs/>
                <w:sz w:val="20"/>
                <w:szCs w:val="20"/>
              </w:rPr>
              <w:t xml:space="preserve"> 17 months</w:t>
            </w:r>
          </w:p>
        </w:tc>
        <w:tc>
          <w:tcPr>
            <w:tcW w:w="882" w:type="pct"/>
          </w:tcPr>
          <w:p w14:paraId="2BC2CBFB" w14:textId="40CFCA2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Inclusion criteria:</w:t>
            </w:r>
            <w:r w:rsidRPr="00526FBF">
              <w:rPr>
                <w:rFonts w:ascii="Arial Narrow" w:hAnsi="Arial Narrow"/>
                <w:sz w:val="20"/>
              </w:rPr>
              <w:t xml:space="preserve"> consecutive non-selected patients with NICM and LVEF ≤35% undergoing ICD implantation for primary prevention of SCD</w:t>
            </w:r>
            <w:r w:rsidRPr="00526FBF">
              <w:rPr>
                <w:sz w:val="24"/>
              </w:rPr>
              <w:t xml:space="preserve"> </w:t>
            </w:r>
            <w:r w:rsidRPr="00526FBF">
              <w:rPr>
                <w:rFonts w:ascii="Arial Narrow" w:hAnsi="Arial Narrow"/>
                <w:sz w:val="20"/>
              </w:rPr>
              <w:t>between April 2004 and April 2007</w:t>
            </w:r>
          </w:p>
          <w:p w14:paraId="6B181D5E" w14:textId="26033C66"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patients with prior arrhythmic indications for ICD placement (such as a history of syncope, cardiac arrest or VAs); NYHA class IV; and acute myocarditis, congenital heart disease, HCM or infiltrative heart disease. Renal insufficiency with GFR &lt;30</w:t>
            </w:r>
            <w:r w:rsidR="00D243B8">
              <w:rPr>
                <w:rFonts w:ascii="Arial Narrow" w:hAnsi="Arial Narrow" w:cs="Arial Narrow"/>
                <w:bCs/>
                <w:sz w:val="20"/>
                <w:szCs w:val="20"/>
              </w:rPr>
              <w:t> </w:t>
            </w:r>
            <w:r w:rsidRPr="00526FBF">
              <w:rPr>
                <w:rFonts w:ascii="Arial Narrow" w:hAnsi="Arial Narrow" w:cs="Arial Narrow"/>
                <w:bCs/>
                <w:sz w:val="20"/>
                <w:szCs w:val="20"/>
              </w:rPr>
              <w:t>m</w:t>
            </w:r>
            <w:r w:rsidR="00D243B8">
              <w:rPr>
                <w:rFonts w:ascii="Arial Narrow" w:hAnsi="Arial Narrow" w:cs="Arial Narrow"/>
                <w:bCs/>
                <w:sz w:val="20"/>
                <w:szCs w:val="20"/>
              </w:rPr>
              <w:t>L</w:t>
            </w:r>
            <w:r w:rsidRPr="00526FBF">
              <w:rPr>
                <w:rFonts w:ascii="Arial Narrow" w:hAnsi="Arial Narrow" w:cs="Arial Narrow"/>
                <w:bCs/>
                <w:sz w:val="20"/>
                <w:szCs w:val="20"/>
              </w:rPr>
              <w:t>/min was added as an exclusion in July 2006.</w:t>
            </w:r>
          </w:p>
        </w:tc>
        <w:tc>
          <w:tcPr>
            <w:tcW w:w="1030" w:type="pct"/>
          </w:tcPr>
          <w:p w14:paraId="172BA067"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scanner</w:t>
            </w:r>
          </w:p>
          <w:p w14:paraId="7FB54FA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Cine images were acquired with a steady-state free-precession pulse sequence in long-axis planes and contiguous 8-mm short-axis slices.</w:t>
            </w:r>
          </w:p>
          <w:p w14:paraId="69BCC6E0" w14:textId="6530DDA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fast gradient-echo pulse sequences</w:t>
            </w:r>
          </w:p>
          <w:p w14:paraId="0A267517"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gadodiamide (Omniscan)</w:t>
            </w:r>
          </w:p>
          <w:p w14:paraId="0066B48C"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15–30 minutes</w:t>
            </w:r>
          </w:p>
          <w:p w14:paraId="7F291361" w14:textId="0C370CD3"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LVEF, volumes and mass were quantified from the cine images by standard methods. LV volumes and mass were normali</w:t>
            </w:r>
            <w:r w:rsidR="002C0288">
              <w:rPr>
                <w:rFonts w:ascii="Arial Narrow" w:hAnsi="Arial Narrow" w:cs="Times New Roman"/>
                <w:sz w:val="20"/>
                <w:szCs w:val="20"/>
              </w:rPr>
              <w:t>s</w:t>
            </w:r>
            <w:r w:rsidRPr="00526FBF">
              <w:rPr>
                <w:rFonts w:ascii="Arial Narrow" w:hAnsi="Arial Narrow" w:cs="Times New Roman"/>
                <w:sz w:val="20"/>
                <w:szCs w:val="20"/>
              </w:rPr>
              <w:t>ed to body surface area.</w:t>
            </w:r>
          </w:p>
          <w:p w14:paraId="65D97D1A" w14:textId="33A879EC"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Two observers blinded to the clinical outcome independently determined the dichotomous presence or absence </w:t>
            </w:r>
            <w:r w:rsidRPr="00526FBF">
              <w:rPr>
                <w:rFonts w:ascii="Arial Narrow" w:hAnsi="Arial Narrow" w:cs="Times New Roman"/>
                <w:sz w:val="20"/>
                <w:szCs w:val="20"/>
              </w:rPr>
              <w:lastRenderedPageBreak/>
              <w:t>of LGE</w:t>
            </w:r>
            <w:r w:rsidR="002C0288">
              <w:rPr>
                <w:rFonts w:ascii="Arial Narrow" w:hAnsi="Arial Narrow" w:cs="Times New Roman"/>
                <w:sz w:val="20"/>
                <w:szCs w:val="20"/>
              </w:rPr>
              <w:t>.</w:t>
            </w:r>
          </w:p>
        </w:tc>
        <w:tc>
          <w:tcPr>
            <w:tcW w:w="1177" w:type="pct"/>
          </w:tcPr>
          <w:p w14:paraId="63A14940"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ICD implantation:</w:t>
            </w:r>
            <w:r w:rsidRPr="00526FBF">
              <w:rPr>
                <w:rFonts w:ascii="Arial Narrow" w:hAnsi="Arial Narrow"/>
                <w:sz w:val="20"/>
              </w:rPr>
              <w:t xml:space="preserve"> Not described</w:t>
            </w:r>
          </w:p>
          <w:p w14:paraId="3D84114A"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0E981316"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 a:</w:t>
            </w:r>
          </w:p>
          <w:p w14:paraId="7B20E63D" w14:textId="483EA730" w:rsidR="00A474A9" w:rsidRPr="00526FBF" w:rsidRDefault="002C0288" w:rsidP="004C79C1">
            <w:pPr>
              <w:spacing w:before="0" w:after="120" w:line="240" w:lineRule="auto"/>
              <w:ind w:left="118" w:right="-57"/>
              <w:rPr>
                <w:rFonts w:ascii="Arial Narrow" w:hAnsi="Arial Narrow" w:cs="Arial Narrow"/>
                <w:bCs/>
                <w:sz w:val="20"/>
              </w:rPr>
            </w:pPr>
            <w:r>
              <w:rPr>
                <w:rFonts w:ascii="Arial Narrow" w:hAnsi="Arial Narrow" w:cs="Arial Narrow"/>
                <w:bCs/>
                <w:sz w:val="20"/>
              </w:rPr>
              <w:t>c</w:t>
            </w:r>
            <w:r w:rsidR="00A474A9" w:rsidRPr="00526FBF">
              <w:rPr>
                <w:rFonts w:ascii="Arial Narrow" w:hAnsi="Arial Narrow" w:cs="Arial Narrow"/>
                <w:bCs/>
                <w:sz w:val="20"/>
              </w:rPr>
              <w:t>ardiac death</w:t>
            </w:r>
            <w:r w:rsidR="00A474A9" w:rsidRPr="00526FBF">
              <w:rPr>
                <w:rFonts w:ascii="Arial Narrow" w:hAnsi="Arial Narrow" w:cs="Arial Narrow"/>
                <w:bCs/>
                <w:sz w:val="20"/>
              </w:rPr>
              <w:br/>
              <w:t>SCD</w:t>
            </w:r>
            <w:r w:rsidR="00A474A9" w:rsidRPr="00526FBF">
              <w:rPr>
                <w:rFonts w:ascii="Arial Narrow" w:hAnsi="Arial Narrow" w:cs="Arial Narrow"/>
                <w:bCs/>
                <w:sz w:val="20"/>
              </w:rPr>
              <w:br/>
            </w:r>
            <w:r>
              <w:rPr>
                <w:rFonts w:ascii="Arial Narrow" w:hAnsi="Arial Narrow" w:cs="Arial Narrow"/>
                <w:bCs/>
                <w:sz w:val="20"/>
              </w:rPr>
              <w:t>a</w:t>
            </w:r>
            <w:r w:rsidR="00A474A9" w:rsidRPr="00526FBF">
              <w:rPr>
                <w:rFonts w:ascii="Arial Narrow" w:hAnsi="Arial Narrow" w:cs="Arial Narrow"/>
                <w:bCs/>
                <w:sz w:val="20"/>
              </w:rPr>
              <w:t>ppropriate ICD discharge</w:t>
            </w:r>
            <w:r w:rsidR="00A474A9" w:rsidRPr="00526FBF">
              <w:rPr>
                <w:rFonts w:ascii="Arial Narrow" w:hAnsi="Arial Narrow" w:cs="Arial Narrow"/>
                <w:bCs/>
                <w:sz w:val="20"/>
              </w:rPr>
              <w:br/>
            </w:r>
            <w:r>
              <w:rPr>
                <w:rFonts w:ascii="Arial Narrow" w:hAnsi="Arial Narrow" w:cs="Arial Narrow"/>
                <w:bCs/>
                <w:sz w:val="20"/>
              </w:rPr>
              <w:t>h</w:t>
            </w:r>
            <w:r w:rsidR="00A474A9" w:rsidRPr="00526FBF">
              <w:rPr>
                <w:rFonts w:ascii="Arial Narrow" w:hAnsi="Arial Narrow" w:cs="Arial Narrow"/>
                <w:bCs/>
                <w:sz w:val="20"/>
              </w:rPr>
              <w:t>ospitalisation for CHF</w:t>
            </w:r>
          </w:p>
          <w:p w14:paraId="382DBBA8"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r w:rsidR="00A474A9" w:rsidRPr="00526FBF" w14:paraId="497A5B04" w14:textId="77777777" w:rsidTr="00BE5D7C">
        <w:tc>
          <w:tcPr>
            <w:tcW w:w="391" w:type="pct"/>
          </w:tcPr>
          <w:p w14:paraId="7CE56B34" w14:textId="587B2C7A"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lastRenderedPageBreak/>
              <w:t>Wu</w:t>
            </w:r>
            <w:r w:rsidR="003559A7">
              <w:rPr>
                <w:rFonts w:ascii="Arial Narrow" w:hAnsi="Arial Narrow" w:cs="Arial Narrow"/>
                <w:bCs/>
                <w:sz w:val="20"/>
              </w:rPr>
              <w:t>, KC</w:t>
            </w:r>
            <w:r w:rsidRPr="00526FBF">
              <w:rPr>
                <w:rFonts w:ascii="Arial Narrow" w:hAnsi="Arial Narrow" w:cs="Arial Narrow"/>
                <w:bCs/>
                <w:sz w:val="20"/>
              </w:rPr>
              <w:t xml:space="preserve"> </w:t>
            </w:r>
            <w:r>
              <w:rPr>
                <w:rFonts w:ascii="Arial Narrow" w:hAnsi="Arial Narrow" w:cs="Arial Narrow"/>
                <w:bCs/>
                <w:sz w:val="20"/>
              </w:rPr>
              <w:t xml:space="preserve">et al. </w:t>
            </w:r>
            <w:r w:rsidR="00187A29">
              <w:rPr>
                <w:rFonts w:ascii="Arial Narrow" w:hAnsi="Arial Narrow" w:cs="Arial Narrow"/>
                <w:bCs/>
                <w:sz w:val="20"/>
              </w:rPr>
              <w:fldChar w:fldCharType="begin"/>
            </w:r>
            <w:r w:rsidR="00187A29">
              <w:rPr>
                <w:rFonts w:ascii="Arial Narrow" w:hAnsi="Arial Narrow" w:cs="Arial Narrow"/>
                <w:bCs/>
                <w:sz w:val="20"/>
              </w:rPr>
              <w:instrText xml:space="preserve"> ADDIN EN.CITE &lt;EndNote&gt;&lt;Cite ExcludeAuth="1"&gt;&lt;Author&gt;Wu&lt;/Author&gt;&lt;Year&gt;2012&lt;/Year&gt;&lt;RecNum&gt;61&lt;/RecNum&gt;&lt;DisplayText&gt;(2012)&lt;/DisplayText&gt;&lt;record&gt;&lt;rec-number&gt;61&lt;/rec-number&gt;&lt;foreign-keys&gt;&lt;key app="EN" db-id="pfxxvref0t0a5de2vwnv2fwkz0p9v0r2fw0t" timestamp="1458109056"&gt;61&lt;/key&gt;&lt;/foreign-keys&gt;&lt;ref-type name="Journal Article"&gt;17&lt;/ref-type&gt;&lt;contributors&gt;&lt;authors&gt;&lt;author&gt;Wu, K. C.&lt;/author&gt;&lt;author&gt;Gerstenblith, G.&lt;/author&gt;&lt;author&gt;Guallar, E.&lt;/author&gt;&lt;author&gt;Marine, J. E.&lt;/author&gt;&lt;author&gt;Dalal, D.&lt;/author&gt;&lt;author&gt;Cheng, A.&lt;/author&gt;&lt;author&gt;Marban, E.&lt;/author&gt;&lt;author&gt;Lima, J. A.&lt;/author&gt;&lt;author&gt;Tomaselli, G. F.&lt;/author&gt;&lt;author&gt;Weiss, R. G.&lt;/author&gt;&lt;/authors&gt;&lt;/contributors&gt;&lt;titles&gt;&lt;title&gt;Combined cardiac magnetic resonance imaging and C-reactive protein levels identify a cohort at low risk for defibrillator firings and death&lt;/title&gt;&lt;secondary-title&gt;Circ Cardiovasc Imaging&lt;/secondary-title&gt;&lt;/titles&gt;&lt;periodical&gt;&lt;full-title&gt;Circ Cardiovasc Imaging&lt;/full-title&gt;&lt;/periodical&gt;&lt;pages&gt;178-86&lt;/pages&gt;&lt;volume&gt;5&lt;/volume&gt;&lt;number&gt;2&lt;/number&gt;&lt;dates&gt;&lt;year&gt;2012&lt;/year&gt;&lt;pub-dates&gt;&lt;date&gt;2012-01-01&lt;/date&gt;&lt;/pub-dates&gt;&lt;/dates&gt;&lt;isbn&gt;1941-9651&lt;/isbn&gt;&lt;urls&gt;&lt;related-urls&gt;&lt;url&gt;http://circimaging.ahajournals.org/content/5/2/178.full.pdf&lt;/url&gt;&lt;/related-urls&gt;&lt;/urls&gt;&lt;custom1&gt;RAYYAN-INCLUSION: {&amp;quot;Sharon&amp;quot;=&amp;gt;false} | RAYYAN-EXCLUSION-REASONS: insufficient information for decision&lt;/custom1&gt;&lt;research-notes&gt;High quality&lt;/research-notes&gt;&lt;language&gt;eng&lt;/language&gt;&lt;/record&gt;&lt;/Cite&gt;&lt;/EndNote&gt;</w:instrText>
            </w:r>
            <w:r w:rsidR="00187A29">
              <w:rPr>
                <w:rFonts w:ascii="Arial Narrow" w:hAnsi="Arial Narrow" w:cs="Arial Narrow"/>
                <w:bCs/>
                <w:sz w:val="20"/>
              </w:rPr>
              <w:fldChar w:fldCharType="separate"/>
            </w:r>
            <w:r w:rsidR="00187A29">
              <w:rPr>
                <w:rFonts w:ascii="Arial Narrow" w:hAnsi="Arial Narrow" w:cs="Arial Narrow"/>
                <w:bCs/>
                <w:noProof/>
                <w:sz w:val="20"/>
              </w:rPr>
              <w:t>(</w:t>
            </w:r>
            <w:hyperlink w:anchor="_ENREF_139" w:tooltip="Wu, 2012 #61" w:history="1">
              <w:r w:rsidR="00B906E9">
                <w:rPr>
                  <w:rFonts w:ascii="Arial Narrow" w:hAnsi="Arial Narrow" w:cs="Arial Narrow"/>
                  <w:bCs/>
                  <w:noProof/>
                  <w:sz w:val="20"/>
                </w:rPr>
                <w:t>2012</w:t>
              </w:r>
            </w:hyperlink>
            <w:r w:rsidR="00187A29">
              <w:rPr>
                <w:rFonts w:ascii="Arial Narrow" w:hAnsi="Arial Narrow" w:cs="Arial Narrow"/>
                <w:bCs/>
                <w:noProof/>
                <w:sz w:val="20"/>
              </w:rPr>
              <w:t>)</w:t>
            </w:r>
            <w:r w:rsidR="00187A29">
              <w:rPr>
                <w:rFonts w:ascii="Arial Narrow" w:hAnsi="Arial Narrow" w:cs="Arial Narrow"/>
                <w:bCs/>
                <w:sz w:val="20"/>
              </w:rPr>
              <w:fldChar w:fldCharType="end"/>
            </w:r>
          </w:p>
          <w:p w14:paraId="084EA274" w14:textId="77777777" w:rsidR="00A474A9" w:rsidRPr="00526FBF" w:rsidRDefault="00A474A9" w:rsidP="004C79C1">
            <w:pPr>
              <w:spacing w:before="0" w:after="120" w:line="240" w:lineRule="auto"/>
              <w:rPr>
                <w:rFonts w:ascii="Arial Narrow" w:hAnsi="Arial Narrow" w:cs="Arial Narrow"/>
                <w:bCs/>
                <w:sz w:val="20"/>
              </w:rPr>
            </w:pPr>
          </w:p>
          <w:p w14:paraId="4BBAF9A8"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USA</w:t>
            </w:r>
          </w:p>
        </w:tc>
        <w:tc>
          <w:tcPr>
            <w:tcW w:w="588" w:type="pct"/>
            <w:shd w:val="clear" w:color="auto" w:fill="auto"/>
          </w:tcPr>
          <w:p w14:paraId="5F0880B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Prospective cohort </w:t>
            </w:r>
          </w:p>
          <w:p w14:paraId="643FC347" w14:textId="77777777" w:rsidR="00A474A9" w:rsidRPr="00526FBF" w:rsidRDefault="00A474A9" w:rsidP="004C79C1">
            <w:pPr>
              <w:spacing w:before="0" w:after="120" w:line="240" w:lineRule="auto"/>
              <w:rPr>
                <w:rFonts w:ascii="Arial Narrow" w:hAnsi="Arial Narrow" w:cs="Arial Narrow"/>
                <w:bCs/>
                <w:sz w:val="20"/>
              </w:rPr>
            </w:pPr>
          </w:p>
          <w:p w14:paraId="7D3354DA"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NHMRC level II</w:t>
            </w:r>
          </w:p>
          <w:p w14:paraId="354B3C23" w14:textId="77777777" w:rsidR="00A474A9" w:rsidRPr="00526FBF" w:rsidRDefault="00A474A9" w:rsidP="004C79C1">
            <w:pPr>
              <w:spacing w:before="0" w:after="120" w:line="240" w:lineRule="auto"/>
              <w:rPr>
                <w:rFonts w:ascii="Arial Narrow" w:hAnsi="Arial Narrow" w:cs="Arial Narrow"/>
                <w:bCs/>
                <w:sz w:val="20"/>
              </w:rPr>
            </w:pPr>
          </w:p>
          <w:p w14:paraId="224ED7D1"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rPr>
              <w:t>SIGN: high quality with a low risk of bias</w:t>
            </w:r>
          </w:p>
        </w:tc>
        <w:tc>
          <w:tcPr>
            <w:tcW w:w="932" w:type="pct"/>
          </w:tcPr>
          <w:p w14:paraId="45BA433E" w14:textId="7CF23FE8"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N=235 patients with chronic ICM and NIDCM with a</w:t>
            </w:r>
            <w:r w:rsidR="007A069A">
              <w:rPr>
                <w:rFonts w:ascii="Arial Narrow" w:hAnsi="Arial Narrow" w:cs="Arial Narrow"/>
                <w:bCs/>
                <w:sz w:val="20"/>
              </w:rPr>
              <w:t>n</w:t>
            </w:r>
            <w:r w:rsidRPr="00526FBF">
              <w:rPr>
                <w:rFonts w:ascii="Arial Narrow" w:hAnsi="Arial Narrow" w:cs="Arial Narrow"/>
                <w:bCs/>
                <w:sz w:val="20"/>
              </w:rPr>
              <w:t xml:space="preserve"> LVEF of ≤35% undergoing clinically indicated primary prevention ICD implantation</w:t>
            </w:r>
            <w:r w:rsidR="0076105D">
              <w:rPr>
                <w:rFonts w:ascii="Arial Narrow" w:hAnsi="Arial Narrow" w:cs="Arial Narrow"/>
                <w:bCs/>
                <w:sz w:val="20"/>
              </w:rPr>
              <w:t>:</w:t>
            </w:r>
          </w:p>
          <w:p w14:paraId="15B284F5"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n=171 (73%) LGE+</w:t>
            </w:r>
            <w:r w:rsidRPr="00526FBF">
              <w:rPr>
                <w:rFonts w:ascii="Arial Narrow" w:hAnsi="Arial Narrow" w:cs="Arial Narrow"/>
                <w:bCs/>
                <w:sz w:val="20"/>
              </w:rPr>
              <w:br/>
              <w:t>n=64 (27%) LGE–</w:t>
            </w:r>
          </w:p>
          <w:p w14:paraId="7CA35FE6" w14:textId="748AA29C"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N=137 patients with ICM</w:t>
            </w:r>
            <w:r w:rsidR="0076105D">
              <w:rPr>
                <w:rFonts w:ascii="Arial Narrow" w:hAnsi="Arial Narrow" w:cs="Arial Narrow"/>
                <w:bCs/>
                <w:sz w:val="20"/>
              </w:rPr>
              <w:t>:</w:t>
            </w:r>
          </w:p>
          <w:p w14:paraId="22A303E6"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n=131 (95%) LGE+</w:t>
            </w:r>
            <w:r w:rsidRPr="00526FBF">
              <w:rPr>
                <w:rFonts w:ascii="Arial Narrow" w:hAnsi="Arial Narrow" w:cs="Arial Narrow"/>
                <w:bCs/>
                <w:sz w:val="20"/>
              </w:rPr>
              <w:br/>
              <w:t>n=6 (5%) LGE–</w:t>
            </w:r>
          </w:p>
          <w:p w14:paraId="79BE5E97" w14:textId="77777777" w:rsidR="005E64D1"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060EED67" w14:textId="77777777"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age = 61 ± 11 years; </w:t>
            </w:r>
          </w:p>
          <w:p w14:paraId="3B21B1FE" w14:textId="77777777"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male = 85%; </w:t>
            </w:r>
          </w:p>
          <w:p w14:paraId="5DE1E969" w14:textId="1722C8B0" w:rsidR="004C2579"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median time since diagnosis = 4.4 (IQR 0.9–10.7)</w:t>
            </w:r>
            <w:r w:rsidR="004C2579">
              <w:rPr>
                <w:rFonts w:ascii="Arial Narrow" w:hAnsi="Arial Narrow" w:cs="Arial Narrow"/>
                <w:bCs/>
                <w:sz w:val="20"/>
              </w:rPr>
              <w:t>;</w:t>
            </w:r>
            <w:r w:rsidRPr="00526FBF">
              <w:rPr>
                <w:rFonts w:ascii="Arial Narrow" w:hAnsi="Arial Narrow" w:cs="Arial Narrow"/>
                <w:bCs/>
                <w:sz w:val="20"/>
              </w:rPr>
              <w:t xml:space="preserve"> </w:t>
            </w:r>
          </w:p>
          <w:p w14:paraId="67F9FEDE" w14:textId="2C79B426"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QRS interval = 117 ± 27</w:t>
            </w:r>
            <w:r w:rsidR="005E64D1">
              <w:rPr>
                <w:rFonts w:ascii="Arial Narrow" w:hAnsi="Arial Narrow" w:cs="Arial Narrow"/>
                <w:bCs/>
                <w:sz w:val="20"/>
              </w:rPr>
              <w:t> </w:t>
            </w:r>
            <w:r w:rsidRPr="00526FBF">
              <w:rPr>
                <w:rFonts w:ascii="Arial Narrow" w:hAnsi="Arial Narrow" w:cs="Arial Narrow"/>
                <w:bCs/>
                <w:sz w:val="20"/>
              </w:rPr>
              <w:t xml:space="preserve">milliseconds; </w:t>
            </w:r>
          </w:p>
          <w:p w14:paraId="6A2D3187" w14:textId="77777777"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LVEF (non-CMR) = 25 ± 7%; LVEF (CMR) = 28 ± 8%; history of AF = 20%; </w:t>
            </w:r>
          </w:p>
          <w:p w14:paraId="2BB62B8A" w14:textId="77777777"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LBBB = 16%; </w:t>
            </w:r>
          </w:p>
          <w:p w14:paraId="51A1B920" w14:textId="77777777" w:rsidR="005E64D1"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biventricular ICD = 24%; NYHA class: I = 31%, II = 37%, III = 31%; </w:t>
            </w:r>
          </w:p>
          <w:p w14:paraId="62D96672" w14:textId="3E2DD5B5"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 xml:space="preserve">medications: ACE </w:t>
            </w:r>
            <w:r w:rsidRPr="00526FBF">
              <w:rPr>
                <w:rFonts w:ascii="Arial Narrow" w:hAnsi="Arial Narrow" w:cs="Arial Narrow"/>
                <w:bCs/>
                <w:sz w:val="20"/>
              </w:rPr>
              <w:lastRenderedPageBreak/>
              <w:t xml:space="preserve">inhibitor/ARB = 88%, </w:t>
            </w:r>
            <w:r w:rsidR="005E64D1" w:rsidRPr="00257ED7">
              <w:rPr>
                <w:rFonts w:ascii="Arial Narrow" w:hAnsi="Arial Narrow" w:cs="Arial Narrow"/>
                <w:bCs/>
                <w:sz w:val="20"/>
              </w:rPr>
              <w:sym w:font="Symbol" w:char="F062"/>
            </w:r>
            <w:r w:rsidRPr="00526FBF">
              <w:rPr>
                <w:rFonts w:ascii="Arial Narrow" w:hAnsi="Arial Narrow" w:cs="Arial Narrow"/>
                <w:bCs/>
                <w:sz w:val="20"/>
              </w:rPr>
              <w:t>-blockers = 94%</w:t>
            </w:r>
          </w:p>
          <w:p w14:paraId="493BFFBA" w14:textId="438250A3"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N=98 patients with NIDCM</w:t>
            </w:r>
            <w:r w:rsidR="00721596">
              <w:rPr>
                <w:rFonts w:ascii="Arial Narrow" w:hAnsi="Arial Narrow" w:cs="Arial Narrow"/>
                <w:bCs/>
                <w:sz w:val="20"/>
              </w:rPr>
              <w:t>:</w:t>
            </w:r>
          </w:p>
          <w:p w14:paraId="1DCE5405" w14:textId="77777777" w:rsidR="00A474A9" w:rsidRPr="00526FBF" w:rsidRDefault="00A474A9" w:rsidP="004C79C1">
            <w:pPr>
              <w:spacing w:before="0" w:after="120" w:line="240" w:lineRule="auto"/>
              <w:ind w:left="58"/>
              <w:rPr>
                <w:rFonts w:ascii="Arial Narrow" w:hAnsi="Arial Narrow" w:cs="Arial Narrow"/>
                <w:bCs/>
                <w:sz w:val="20"/>
              </w:rPr>
            </w:pPr>
            <w:r w:rsidRPr="00526FBF">
              <w:rPr>
                <w:rFonts w:ascii="Arial Narrow" w:hAnsi="Arial Narrow" w:cs="Arial Narrow"/>
                <w:bCs/>
                <w:sz w:val="20"/>
              </w:rPr>
              <w:t>n=40 (41%) LGE+</w:t>
            </w:r>
            <w:r w:rsidRPr="00526FBF">
              <w:rPr>
                <w:rFonts w:ascii="Arial Narrow" w:hAnsi="Arial Narrow" w:cs="Arial Narrow"/>
                <w:bCs/>
                <w:sz w:val="20"/>
              </w:rPr>
              <w:br/>
              <w:t>n=58 (59%) LGE–</w:t>
            </w:r>
          </w:p>
          <w:p w14:paraId="0575359A" w14:textId="77777777" w:rsidR="005E64D1"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24DED11D" w14:textId="7F6C5100" w:rsidR="005E64D1" w:rsidRPr="00FE422F" w:rsidRDefault="005E64D1" w:rsidP="004C79C1">
            <w:pPr>
              <w:spacing w:before="0" w:after="120" w:line="240" w:lineRule="auto"/>
              <w:ind w:left="58"/>
              <w:rPr>
                <w:rFonts w:ascii="Arial Narrow" w:hAnsi="Arial Narrow" w:cs="Arial Narrow"/>
                <w:b/>
                <w:bCs/>
                <w:sz w:val="20"/>
                <w:lang w:val="en-GB" w:eastAsia="en-US"/>
              </w:rPr>
            </w:pPr>
            <w:r w:rsidRPr="00FE422F">
              <w:rPr>
                <w:rFonts w:ascii="Arial Narrow" w:hAnsi="Arial Narrow" w:cs="Arial Narrow"/>
                <w:bCs/>
                <w:sz w:val="20"/>
              </w:rPr>
              <w:t>a</w:t>
            </w:r>
            <w:r w:rsidR="00A474A9" w:rsidRPr="00FE422F">
              <w:rPr>
                <w:rFonts w:ascii="Arial Narrow" w:hAnsi="Arial Narrow" w:cs="Arial Narrow"/>
                <w:bCs/>
                <w:sz w:val="20"/>
              </w:rPr>
              <w:t xml:space="preserve">ge = 52 ± 12 years; </w:t>
            </w:r>
          </w:p>
          <w:p w14:paraId="5B932AC2" w14:textId="77777777"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 xml:space="preserve">male = 63%; </w:t>
            </w:r>
          </w:p>
          <w:p w14:paraId="17F1C82F" w14:textId="77777777"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 xml:space="preserve">median time since diagnosis = 1.05 (IQR 0.3–5.4); </w:t>
            </w:r>
          </w:p>
          <w:p w14:paraId="64E901ED" w14:textId="796C5B71"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QRS interval = 123 ± 33</w:t>
            </w:r>
            <w:r w:rsidR="005E64D1" w:rsidRPr="00FE422F">
              <w:rPr>
                <w:rFonts w:ascii="Arial Narrow" w:hAnsi="Arial Narrow" w:cs="Arial Narrow"/>
                <w:bCs/>
                <w:sz w:val="20"/>
              </w:rPr>
              <w:t> </w:t>
            </w:r>
            <w:r w:rsidRPr="00FE422F">
              <w:rPr>
                <w:rFonts w:ascii="Arial Narrow" w:hAnsi="Arial Narrow" w:cs="Arial Narrow"/>
                <w:bCs/>
                <w:sz w:val="20"/>
              </w:rPr>
              <w:t xml:space="preserve">milliseconds; </w:t>
            </w:r>
          </w:p>
          <w:p w14:paraId="71ED07DB" w14:textId="77777777"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 xml:space="preserve">LVEF (non-CMR) = 21 ± 7%; LVEF (CMR) = 25 ± 10%; history of AF = 14%; </w:t>
            </w:r>
          </w:p>
          <w:p w14:paraId="71BB9AED" w14:textId="77777777"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LBBB = 33%;</w:t>
            </w:r>
          </w:p>
          <w:p w14:paraId="61B5E0A6" w14:textId="77777777" w:rsidR="005E64D1" w:rsidRPr="00FE422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 xml:space="preserve"> biventricular ICD = 40%; NYHA class: I = 14%, II = 46%, III = 40%; </w:t>
            </w:r>
          </w:p>
          <w:p w14:paraId="0F7A084E" w14:textId="1F37666F" w:rsidR="00A474A9" w:rsidRPr="00526FBF" w:rsidRDefault="00A474A9" w:rsidP="004C79C1">
            <w:pPr>
              <w:spacing w:before="0" w:after="120" w:line="240" w:lineRule="auto"/>
              <w:ind w:left="58"/>
              <w:rPr>
                <w:rFonts w:ascii="Arial Narrow" w:hAnsi="Arial Narrow" w:cs="Arial Narrow"/>
                <w:bCs/>
                <w:sz w:val="20"/>
              </w:rPr>
            </w:pPr>
            <w:r w:rsidRPr="00FE422F">
              <w:rPr>
                <w:rFonts w:ascii="Arial Narrow" w:hAnsi="Arial Narrow" w:cs="Arial Narrow"/>
                <w:bCs/>
                <w:sz w:val="20"/>
              </w:rPr>
              <w:t xml:space="preserve">medications: ACE inhibitor/ARB = 89%, </w:t>
            </w:r>
            <w:r w:rsidR="005E64D1" w:rsidRPr="00FE422F">
              <w:rPr>
                <w:rFonts w:ascii="Arial Narrow" w:hAnsi="Arial Narrow" w:cs="Arial Narrow"/>
                <w:bCs/>
                <w:sz w:val="20"/>
              </w:rPr>
              <w:sym w:font="Symbol" w:char="F062"/>
            </w:r>
            <w:r w:rsidRPr="00FE422F">
              <w:rPr>
                <w:rFonts w:ascii="Arial Narrow" w:hAnsi="Arial Narrow" w:cs="Arial Narrow"/>
                <w:bCs/>
                <w:sz w:val="20"/>
              </w:rPr>
              <w:t>-blockers = 93%</w:t>
            </w:r>
          </w:p>
          <w:p w14:paraId="579D4C8F"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 xml:space="preserve">Median follow-up: </w:t>
            </w:r>
            <w:r w:rsidRPr="00526FBF">
              <w:rPr>
                <w:rFonts w:ascii="Arial Narrow" w:hAnsi="Arial Narrow" w:cs="Arial Narrow"/>
                <w:bCs/>
                <w:sz w:val="20"/>
              </w:rPr>
              <w:t>3.6 years</w:t>
            </w:r>
          </w:p>
        </w:tc>
        <w:tc>
          <w:tcPr>
            <w:tcW w:w="882" w:type="pct"/>
          </w:tcPr>
          <w:p w14:paraId="488EFAF1"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patients were from the CMR imaging arm of the PROSE-ICD (Prospective Observational Study of Implantable Cardioverter Defibrillators), which enrolled patients receiving ICD therapy for primary prevention of SCD between November 2003 and December 2010</w:t>
            </w:r>
          </w:p>
          <w:p w14:paraId="303DC618"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other indications for ICD placement (e.g. sustained VA, cardiac arrest, syncope); contraindications to CMR (e.g. existing cardiac device); NYHA functional class IV; acute myocarditis or acute sarcoidosis or infiltrative disorders such as amyloidosis, or hemochromatosis, congenital heart disease, or HCM; or renal insufficiency</w:t>
            </w:r>
          </w:p>
        </w:tc>
        <w:tc>
          <w:tcPr>
            <w:tcW w:w="1030" w:type="pct"/>
          </w:tcPr>
          <w:p w14:paraId="4CE558B1"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Scanner:</w:t>
            </w:r>
            <w:r w:rsidRPr="00526FBF">
              <w:rPr>
                <w:rFonts w:ascii="Arial Narrow" w:hAnsi="Arial Narrow" w:cs="Times New Roman"/>
                <w:sz w:val="20"/>
                <w:szCs w:val="20"/>
              </w:rPr>
              <w:t xml:space="preserve"> 1.5-T whole-body scanner</w:t>
            </w:r>
          </w:p>
          <w:p w14:paraId="15884D34"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Short and long-axis cine images were acquired with a steady-state free precession sequence.</w:t>
            </w:r>
          </w:p>
          <w:p w14:paraId="290681A2" w14:textId="2B61713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inversion-recovery fast gradient</w:t>
            </w:r>
            <w:r w:rsidR="006D20D1">
              <w:rPr>
                <w:rFonts w:ascii="Arial Narrow" w:hAnsi="Arial Narrow" w:cs="Times New Roman"/>
                <w:sz w:val="20"/>
                <w:szCs w:val="20"/>
              </w:rPr>
              <w:t>-</w:t>
            </w:r>
            <w:r w:rsidRPr="00526FBF">
              <w:rPr>
                <w:rFonts w:ascii="Arial Narrow" w:hAnsi="Arial Narrow" w:cs="Times New Roman"/>
                <w:sz w:val="20"/>
                <w:szCs w:val="20"/>
              </w:rPr>
              <w:t>echo sequence</w:t>
            </w:r>
          </w:p>
          <w:p w14:paraId="79A7F119"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0.15-0.2 mmol/kg of gadodiamide (Omniscan)</w:t>
            </w:r>
            <w:r w:rsidRPr="00526FBF">
              <w:rPr>
                <w:sz w:val="24"/>
              </w:rPr>
              <w:t xml:space="preserve"> </w:t>
            </w:r>
            <w:r w:rsidRPr="00526FBF">
              <w:rPr>
                <w:rFonts w:ascii="Arial Narrow" w:hAnsi="Arial Narrow" w:cs="Times New Roman"/>
                <w:sz w:val="20"/>
                <w:szCs w:val="20"/>
              </w:rPr>
              <w:t>or gadopentetate dimeglumine (Magnevist)</w:t>
            </w:r>
          </w:p>
          <w:p w14:paraId="3AD956B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15 minutes</w:t>
            </w:r>
          </w:p>
          <w:p w14:paraId="3EDFEC5E"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LVEF, volumes, and mass were quantified by standard methods.</w:t>
            </w:r>
          </w:p>
          <w:p w14:paraId="2F7B95BC"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Two observers blinded to clinical outcome determined the dichotomous presence or absence of LGE</w:t>
            </w:r>
          </w:p>
        </w:tc>
        <w:tc>
          <w:tcPr>
            <w:tcW w:w="1177" w:type="pct"/>
          </w:tcPr>
          <w:p w14:paraId="332C20F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ICD implantation:</w:t>
            </w:r>
            <w:r w:rsidRPr="00526FBF">
              <w:rPr>
                <w:rFonts w:ascii="Arial Narrow" w:hAnsi="Arial Narrow"/>
                <w:sz w:val="20"/>
              </w:rPr>
              <w:t xml:space="preserve"> Not described</w:t>
            </w:r>
          </w:p>
          <w:p w14:paraId="3EFA85FE"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2BF33352"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HR for likelihood of having a:</w:t>
            </w:r>
          </w:p>
          <w:p w14:paraId="2C04A6A9" w14:textId="544109FF"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cs="Arial Narrow"/>
                <w:bCs/>
                <w:sz w:val="20"/>
              </w:rPr>
              <w:t>SCD or appropriate ICD discharge;</w:t>
            </w:r>
            <w:r w:rsidRPr="00526FBF">
              <w:rPr>
                <w:rFonts w:ascii="Arial Narrow" w:hAnsi="Arial Narrow" w:cs="Arial Narrow"/>
                <w:bCs/>
                <w:sz w:val="20"/>
              </w:rPr>
              <w:br/>
              <w:t>Appropriate ICD discharge;</w:t>
            </w:r>
            <w:r w:rsidRPr="00526FBF">
              <w:rPr>
                <w:rFonts w:ascii="Arial Narrow" w:hAnsi="Arial Narrow" w:cs="Arial Narrow"/>
                <w:bCs/>
                <w:sz w:val="20"/>
              </w:rPr>
              <w:br/>
              <w:t>Inappropriate ICD discharge</w:t>
            </w:r>
            <w:r w:rsidRPr="00526FBF">
              <w:rPr>
                <w:rFonts w:ascii="Arial Narrow" w:hAnsi="Arial Narrow" w:cs="Arial Narrow"/>
                <w:bCs/>
                <w:sz w:val="20"/>
              </w:rPr>
              <w:br/>
              <w:t>Hospitali</w:t>
            </w:r>
            <w:r w:rsidR="004E164F">
              <w:rPr>
                <w:rFonts w:ascii="Arial Narrow" w:hAnsi="Arial Narrow" w:cs="Arial Narrow"/>
                <w:bCs/>
                <w:sz w:val="20"/>
              </w:rPr>
              <w:t>s</w:t>
            </w:r>
            <w:r w:rsidRPr="00526FBF">
              <w:rPr>
                <w:rFonts w:ascii="Arial Narrow" w:hAnsi="Arial Narrow" w:cs="Arial Narrow"/>
                <w:bCs/>
                <w:sz w:val="20"/>
              </w:rPr>
              <w:t>ation for HF;</w:t>
            </w:r>
            <w:r w:rsidRPr="00526FBF">
              <w:rPr>
                <w:rFonts w:ascii="Arial Narrow" w:hAnsi="Arial Narrow" w:cs="Arial Narrow"/>
                <w:bCs/>
                <w:sz w:val="20"/>
              </w:rPr>
              <w:br/>
            </w:r>
            <w:r w:rsidRPr="00526FBF">
              <w:rPr>
                <w:rFonts w:ascii="Arial Narrow" w:hAnsi="Arial Narrow"/>
                <w:sz w:val="20"/>
              </w:rPr>
              <w:t xml:space="preserve">in </w:t>
            </w:r>
            <w:r w:rsidRPr="00526FBF">
              <w:rPr>
                <w:rFonts w:ascii="Arial Narrow" w:hAnsi="Arial Narrow" w:cs="Arial Narrow"/>
                <w:bCs/>
                <w:sz w:val="20"/>
              </w:rPr>
              <w:t>LGE+</w:t>
            </w:r>
            <w:r w:rsidRPr="00526FBF">
              <w:rPr>
                <w:rFonts w:ascii="Arial Narrow" w:hAnsi="Arial Narrow"/>
                <w:sz w:val="20"/>
              </w:rPr>
              <w:t xml:space="preserve"> patients </w:t>
            </w:r>
            <w:r w:rsidRPr="00526FBF">
              <w:rPr>
                <w:rFonts w:ascii="Arial Narrow" w:hAnsi="Arial Narrow" w:cs="Arial Narrow"/>
                <w:bCs/>
                <w:sz w:val="20"/>
              </w:rPr>
              <w:t>compared with those that are LGE–</w:t>
            </w:r>
          </w:p>
        </w:tc>
      </w:tr>
    </w:tbl>
    <w:p w14:paraId="76027613" w14:textId="60F3F010" w:rsidR="00A474A9" w:rsidRPr="00A474A9" w:rsidRDefault="00A474A9" w:rsidP="004C79C1">
      <w:pPr>
        <w:pStyle w:val="Tablenotes0"/>
        <w:spacing w:before="0" w:after="120"/>
      </w:pPr>
      <w:bookmarkStart w:id="816" w:name="_Toc324410251"/>
      <w:r w:rsidRPr="00A474A9">
        <w:rPr>
          <w:vertAlign w:val="superscript"/>
        </w:rPr>
        <w:lastRenderedPageBreak/>
        <w:t xml:space="preserve">a </w:t>
      </w:r>
      <w:r w:rsidRPr="00A474A9">
        <w:t xml:space="preserve">Quality appraisal was undertaken using the SIGN checklist for cohort studies </w:t>
      </w:r>
      <w:r w:rsidR="00187A29">
        <w:fldChar w:fldCharType="begin"/>
      </w:r>
      <w:r w:rsidR="00187A29">
        <w:instrText xml:space="preserve"> ADDIN EN.CITE &lt;EndNote&gt;&lt;Cite&gt;&lt;Author&gt;SIGN&lt;/Author&gt;&lt;Year&gt;2014&lt;/Year&gt;&lt;RecNum&gt;80&lt;/RecNum&gt;&lt;DisplayText&gt;(SIGN 2014)&lt;/DisplayText&gt;&lt;record&gt;&lt;rec-number&gt;80&lt;/rec-number&gt;&lt;foreign-keys&gt;&lt;key app="EN" db-id="pfxxvref0t0a5de2vwnv2fwkz0p9v0r2fw0t" timestamp="1458111095"&gt;80&lt;/key&gt;&lt;/foreign-keys&gt;&lt;ref-type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187A29">
        <w:fldChar w:fldCharType="separate"/>
      </w:r>
      <w:r w:rsidR="00187A29">
        <w:rPr>
          <w:noProof/>
        </w:rPr>
        <w:t>(</w:t>
      </w:r>
      <w:hyperlink w:anchor="_ENREF_118" w:tooltip="SIGN, 2014 #80" w:history="1">
        <w:r w:rsidR="00B906E9">
          <w:rPr>
            <w:noProof/>
          </w:rPr>
          <w:t>SIGN 2014</w:t>
        </w:r>
      </w:hyperlink>
      <w:r w:rsidR="00187A29">
        <w:rPr>
          <w:noProof/>
        </w:rPr>
        <w:t>)</w:t>
      </w:r>
      <w:r w:rsidR="00187A29">
        <w:fldChar w:fldCharType="end"/>
      </w:r>
      <w:r w:rsidR="00D93BA4">
        <w:t>.</w:t>
      </w:r>
      <w:bookmarkEnd w:id="816"/>
    </w:p>
    <w:p w14:paraId="5778BDFF" w14:textId="4E7572BB" w:rsidR="00A474A9" w:rsidRPr="00A474A9" w:rsidRDefault="00A474A9" w:rsidP="004C79C1">
      <w:pPr>
        <w:pStyle w:val="Tablenotes0"/>
        <w:spacing w:before="0" w:after="120"/>
      </w:pPr>
      <w:bookmarkStart w:id="817" w:name="_Toc324410252"/>
      <w:r w:rsidRPr="002E46E5">
        <w:t xml:space="preserve">ACE = angiotensin converting enzyme; AF = atrial fibrillation; ARB = angiotensin II receptor blocker; ATP = anti-tachycardia pacing; CAD = coronary artery disease; CI = </w:t>
      </w:r>
      <w:r w:rsidRPr="002E46E5">
        <w:lastRenderedPageBreak/>
        <w:t xml:space="preserve">confidence interval; CHF = congestive heart failure; CM = cardiomyopathy; CMR = cardiac magnetic resonance </w:t>
      </w:r>
      <w:r w:rsidR="006B76DB">
        <w:t>(</w:t>
      </w:r>
      <w:r w:rsidRPr="002E46E5">
        <w:t>imaging</w:t>
      </w:r>
      <w:r w:rsidR="006B76DB">
        <w:t>)</w:t>
      </w:r>
      <w:r w:rsidRPr="002E46E5">
        <w:t>; CRT-D = cardiac resynchroni</w:t>
      </w:r>
      <w:r w:rsidR="009A5D9F" w:rsidRPr="00EE130A">
        <w:t>s</w:t>
      </w:r>
      <w:r w:rsidRPr="002E46E5">
        <w:t>ation therapy device with defibrillation capabilities; CRT-P = cardiac resynchroni</w:t>
      </w:r>
      <w:r w:rsidR="004D7D27" w:rsidRPr="002E46E5">
        <w:t>s</w:t>
      </w:r>
      <w:r w:rsidRPr="002E46E5">
        <w:t xml:space="preserve">ation therapy with pacing; DCM = dilated cardiomyopathy; </w:t>
      </w:r>
      <w:r w:rsidR="00280C0B" w:rsidRPr="002E46E5">
        <w:t xml:space="preserve">DE = delayed enhancement; </w:t>
      </w:r>
      <w:r w:rsidRPr="002E46E5">
        <w:t xml:space="preserve">DS = diameter stenosis; </w:t>
      </w:r>
      <w:r w:rsidR="00A27EAF" w:rsidRPr="00E31E59">
        <w:t>DTPA = diethylenetriamine pentaacetic acid;</w:t>
      </w:r>
      <w:r w:rsidR="00A27EAF">
        <w:t xml:space="preserve"> </w:t>
      </w:r>
      <w:r w:rsidRPr="002E46E5">
        <w:t xml:space="preserve">ECG = electrocardiogram; Echo = echocardiography; EPS = electrophysiology study; </w:t>
      </w:r>
      <w:r w:rsidR="00394891" w:rsidRPr="002E46E5">
        <w:t xml:space="preserve">ES-HCM = end-stage </w:t>
      </w:r>
      <w:r w:rsidR="00394891" w:rsidRPr="00E31E59">
        <w:t xml:space="preserve">hypertrophic cardiomyopathy; </w:t>
      </w:r>
      <w:r w:rsidR="00991893" w:rsidRPr="002E46E5">
        <w:t xml:space="preserve">Gd = gadolinium; </w:t>
      </w:r>
      <w:r w:rsidRPr="002E46E5">
        <w:t xml:space="preserve">GFR = glomerular filtration rate; HCM = hypertrophic cardiomyopathy; HF = heart failure; HR = hazard ratio; ICA = invasive coronary angiography; ICD = implantable </w:t>
      </w:r>
      <w:r w:rsidR="0026063B">
        <w:t>cardioverter defibrillator</w:t>
      </w:r>
      <w:r w:rsidRPr="002E46E5">
        <w:t xml:space="preserve">; ICM = ischaemic cardiomyopathy; IQR = interquartile range; LBBB = left bundle branch block; LGE = late gadolinium enhancement; LV = left ventricular; LVEF = left ventricular ejection fraction; MACE = major adverse cardiac events; MI = myocardial infarction; NHMRC = National Health and Medical Research Council; NICM = non-ischaemic cardiomyopathy; NIDCM = non-ischaemic dilated cardiomyopathy; NSVT = non-sustained ventricular tachycardia; NYHA = New York Heart Association; RBBB = right bundle branch block; </w:t>
      </w:r>
      <w:r w:rsidR="0012033C" w:rsidRPr="002E46E5">
        <w:t xml:space="preserve">RV = right ventricular; </w:t>
      </w:r>
      <w:r w:rsidRPr="002E46E5">
        <w:t xml:space="preserve">SCA = sudden cardiac arrest; SCD = sudden cardiac death; SD = standard deviation; </w:t>
      </w:r>
      <w:r w:rsidR="007A6BB7">
        <w:t xml:space="preserve">SIGN = </w:t>
      </w:r>
      <w:r w:rsidR="007A6BB7" w:rsidRPr="00DA6DD7">
        <w:t>Scottish Intercollegiate Guidelines Network quality assessment tool</w:t>
      </w:r>
      <w:r w:rsidR="00DA6DD7" w:rsidRPr="00DA6DD7">
        <w:t>;</w:t>
      </w:r>
      <w:r w:rsidR="007A6BB7" w:rsidRPr="002E46E5">
        <w:t xml:space="preserve"> </w:t>
      </w:r>
      <w:r w:rsidRPr="002E46E5">
        <w:t>VA = ventricular arrhythmia; VF = ventricular fibrillation; VT = ventricular tachycardia</w:t>
      </w:r>
      <w:bookmarkEnd w:id="817"/>
    </w:p>
    <w:p w14:paraId="4E1DCCA8" w14:textId="796DC72E" w:rsidR="00A474A9" w:rsidRPr="00526FBF" w:rsidRDefault="0062633B" w:rsidP="004C79C1">
      <w:pPr>
        <w:pStyle w:val="Caption"/>
      </w:pPr>
      <w:bookmarkStart w:id="818" w:name="_Toc324410253"/>
      <w:bookmarkStart w:id="819" w:name="_Toc451435406"/>
      <w:r>
        <w:t xml:space="preserve">Table </w:t>
      </w:r>
      <w:fldSimple w:instr=" SEQ Table \* ARABIC ">
        <w:r w:rsidR="00050936">
          <w:rPr>
            <w:noProof/>
          </w:rPr>
          <w:t>79</w:t>
        </w:r>
      </w:fldSimple>
      <w:r w:rsidR="00A474A9">
        <w:tab/>
      </w:r>
      <w:r w:rsidR="00A474A9" w:rsidRPr="00526FBF">
        <w:t>Study profiles of included comparative prognostic studies</w:t>
      </w:r>
      <w:bookmarkEnd w:id="818"/>
      <w:bookmarkEnd w:id="819"/>
    </w:p>
    <w:tbl>
      <w:tblPr>
        <w:tblStyle w:val="TableGrid31"/>
        <w:tblW w:w="5000" w:type="pct"/>
        <w:tblLook w:val="04A0" w:firstRow="1" w:lastRow="0" w:firstColumn="1" w:lastColumn="0" w:noHBand="0" w:noVBand="1"/>
        <w:tblCaption w:val="Study profiles of included comparative prognostic studies"/>
      </w:tblPr>
      <w:tblGrid>
        <w:gridCol w:w="1031"/>
        <w:gridCol w:w="1549"/>
        <w:gridCol w:w="2198"/>
        <w:gridCol w:w="2456"/>
        <w:gridCol w:w="2456"/>
        <w:gridCol w:w="3486"/>
      </w:tblGrid>
      <w:tr w:rsidR="00A474A9" w:rsidRPr="00526FBF" w14:paraId="757A7A19" w14:textId="77777777" w:rsidTr="00BE5D7C">
        <w:trPr>
          <w:tblHeader/>
        </w:trPr>
        <w:tc>
          <w:tcPr>
            <w:tcW w:w="391" w:type="pct"/>
          </w:tcPr>
          <w:p w14:paraId="68412DE2"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Study</w:t>
            </w:r>
          </w:p>
          <w:p w14:paraId="278A23AD"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Country</w:t>
            </w:r>
          </w:p>
        </w:tc>
        <w:tc>
          <w:tcPr>
            <w:tcW w:w="588" w:type="pct"/>
          </w:tcPr>
          <w:p w14:paraId="79875EE3"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Level of evidence</w:t>
            </w:r>
          </w:p>
          <w:p w14:paraId="59502FC3"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Quality appraisal</w:t>
            </w:r>
          </w:p>
        </w:tc>
        <w:tc>
          <w:tcPr>
            <w:tcW w:w="834" w:type="pct"/>
          </w:tcPr>
          <w:p w14:paraId="74452B12" w14:textId="77777777" w:rsidR="00A474A9" w:rsidRPr="00526FBF" w:rsidRDefault="00A474A9" w:rsidP="004C79C1">
            <w:pPr>
              <w:keepNext/>
              <w:tabs>
                <w:tab w:val="left" w:pos="89"/>
              </w:tabs>
              <w:spacing w:before="0" w:after="120" w:line="240" w:lineRule="auto"/>
              <w:ind w:right="-57"/>
              <w:rPr>
                <w:rFonts w:ascii="Arial Narrow" w:hAnsi="Arial Narrow"/>
                <w:b/>
                <w:sz w:val="20"/>
              </w:rPr>
            </w:pPr>
            <w:r w:rsidRPr="00526FBF">
              <w:rPr>
                <w:rFonts w:ascii="Arial Narrow" w:hAnsi="Arial Narrow"/>
                <w:b/>
                <w:sz w:val="20"/>
              </w:rPr>
              <w:t>Study population</w:t>
            </w:r>
          </w:p>
        </w:tc>
        <w:tc>
          <w:tcPr>
            <w:tcW w:w="932" w:type="pct"/>
          </w:tcPr>
          <w:p w14:paraId="1C924C93"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Inclusion criteria / exclusion criteria and outcome</w:t>
            </w:r>
          </w:p>
        </w:tc>
        <w:tc>
          <w:tcPr>
            <w:tcW w:w="932" w:type="pct"/>
          </w:tcPr>
          <w:p w14:paraId="339060C5"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LGE-CMR</w:t>
            </w:r>
          </w:p>
        </w:tc>
        <w:tc>
          <w:tcPr>
            <w:tcW w:w="1324" w:type="pct"/>
          </w:tcPr>
          <w:p w14:paraId="44DD3657"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 xml:space="preserve">Comparator </w:t>
            </w:r>
          </w:p>
        </w:tc>
      </w:tr>
      <w:tr w:rsidR="00A474A9" w:rsidRPr="00526FBF" w14:paraId="59A629EE" w14:textId="77777777" w:rsidTr="00BE5D7C">
        <w:tc>
          <w:tcPr>
            <w:tcW w:w="391" w:type="pct"/>
          </w:tcPr>
          <w:p w14:paraId="76AB10C2" w14:textId="7835F6E4"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Yokokawa et al. </w:t>
            </w:r>
            <w:r w:rsidR="00187A29">
              <w:rPr>
                <w:rFonts w:ascii="Arial Narrow" w:hAnsi="Arial Narrow" w:cs="Arial Narrow"/>
                <w:bCs/>
                <w:sz w:val="20"/>
              </w:rPr>
              <w:fldChar w:fldCharType="begin"/>
            </w:r>
            <w:r w:rsidR="00187A29">
              <w:rPr>
                <w:rFonts w:ascii="Arial Narrow" w:hAnsi="Arial Narrow" w:cs="Arial Narrow"/>
                <w:bCs/>
                <w:sz w:val="20"/>
              </w:rPr>
              <w:instrText xml:space="preserve"> ADDIN EN.CITE &lt;EndNote&gt;&lt;Cite ExcludeAuth="1"&gt;&lt;Author&gt;Yokokawa&lt;/Author&gt;&lt;Year&gt;2009&lt;/Year&gt;&lt;RecNum&gt;63&lt;/RecNum&gt;&lt;DisplayText&gt;(2009)&lt;/DisplayText&gt;&lt;record&gt;&lt;rec-number&gt;63&lt;/rec-number&gt;&lt;foreign-keys&gt;&lt;key app="EN" db-id="pfxxvref0t0a5de2vwnv2fwkz0p9v0r2fw0t" timestamp="1458109056"&gt;63&lt;/key&gt;&lt;/foreign-keys&gt;&lt;ref-type name="Journal Article"&gt;17&lt;/ref-type&gt;&lt;contributors&gt;&lt;authors&gt;&lt;author&gt;Yokokawa, M&lt;/author&gt;&lt;author&gt;Tada, H&lt;/author&gt;&lt;author&gt;Toyama, T&lt;/author&gt;&lt;author&gt;Koyama, K&lt;/author&gt;&lt;author&gt;Naito, S&lt;/author&gt;&lt;author&gt;Oshima, S&lt;/author&gt;&lt;author&gt;Taniguchi, K&lt;/author&gt;&lt;/authors&gt;&lt;/contributors&gt;&lt;titles&gt;&lt;title&gt;Magnetic resonance imaging is superior to cardiac scintigraphy to identify nonresponders to cardiac resynchronization therapy&lt;/title&gt;&lt;secondary-title&gt;Pacing and clinical electrophysiology : PACE&lt;/secondary-title&gt;&lt;/titles&gt;&lt;periodical&gt;&lt;full-title&gt;Pacing and clinical electrophysiology : PACE&lt;/full-title&gt;&lt;/periodical&gt;&lt;pages&gt;S57-62&lt;/pages&gt;&lt;volume&gt;32&lt;/volume&gt;&lt;dates&gt;&lt;year&gt;2009&lt;/year&gt;&lt;pub-dates&gt;&lt;date&gt;2009-01-01&lt;/date&gt;&lt;/pub-dates&gt;&lt;/dates&gt;&lt;isbn&gt;0147-8389&lt;/isbn&gt;&lt;urls&gt;&lt;related-urls&gt;&lt;url&gt;http://onlinelibrary.wiley.com/o/cochrane/clcentral/articles/799/CN-00702799/frame.html&lt;/url&gt;&lt;url&gt;http://onlinelibrary.wiley.com/store/10.1111/j.1540-8159.2008.02227.x/asset/j.1540-8159.2008.02227.x.pdf?v=1&amp;amp;t=ijovib5a&amp;amp;s=e5dfb43f21b7285775d0c1f636cad4df484ffc20&lt;/url&gt;&lt;/related-urls&gt;&lt;/urls&gt;&lt;custom1&gt;RAYYAN-INCLUSION: {&amp;quot;Sharon&amp;quot;=&amp;gt;true} | RAYYAN-LABELS: DCM,general&lt;/custom1&gt;&lt;research-notes&gt;Unacceptable&lt;/research-notes&gt;&lt;/record&gt;&lt;/Cite&gt;&lt;/EndNote&gt;</w:instrText>
            </w:r>
            <w:r w:rsidR="00187A29">
              <w:rPr>
                <w:rFonts w:ascii="Arial Narrow" w:hAnsi="Arial Narrow" w:cs="Arial Narrow"/>
                <w:bCs/>
                <w:sz w:val="20"/>
              </w:rPr>
              <w:fldChar w:fldCharType="separate"/>
            </w:r>
            <w:r w:rsidR="00187A29">
              <w:rPr>
                <w:rFonts w:ascii="Arial Narrow" w:hAnsi="Arial Narrow" w:cs="Arial Narrow"/>
                <w:bCs/>
                <w:noProof/>
                <w:sz w:val="20"/>
              </w:rPr>
              <w:t>(</w:t>
            </w:r>
            <w:hyperlink w:anchor="_ENREF_142" w:tooltip="Yokokawa, 2009 #63" w:history="1">
              <w:r w:rsidR="00B906E9">
                <w:rPr>
                  <w:rFonts w:ascii="Arial Narrow" w:hAnsi="Arial Narrow" w:cs="Arial Narrow"/>
                  <w:bCs/>
                  <w:noProof/>
                  <w:sz w:val="20"/>
                </w:rPr>
                <w:t>2009</w:t>
              </w:r>
            </w:hyperlink>
            <w:r w:rsidR="00187A29">
              <w:rPr>
                <w:rFonts w:ascii="Arial Narrow" w:hAnsi="Arial Narrow" w:cs="Arial Narrow"/>
                <w:bCs/>
                <w:noProof/>
                <w:sz w:val="20"/>
              </w:rPr>
              <w:t>)</w:t>
            </w:r>
            <w:r w:rsidR="00187A29">
              <w:rPr>
                <w:rFonts w:ascii="Arial Narrow" w:hAnsi="Arial Narrow" w:cs="Arial Narrow"/>
                <w:bCs/>
                <w:sz w:val="20"/>
              </w:rPr>
              <w:fldChar w:fldCharType="end"/>
            </w:r>
          </w:p>
          <w:p w14:paraId="1BAED019" w14:textId="77777777" w:rsidR="00A474A9" w:rsidRPr="00526FBF" w:rsidRDefault="00A474A9" w:rsidP="004C79C1">
            <w:pPr>
              <w:spacing w:before="0" w:after="120" w:line="240" w:lineRule="auto"/>
              <w:rPr>
                <w:rFonts w:ascii="Arial Narrow" w:hAnsi="Arial Narrow" w:cs="Arial Narrow"/>
                <w:bCs/>
                <w:sz w:val="20"/>
              </w:rPr>
            </w:pPr>
          </w:p>
          <w:p w14:paraId="1C721F08"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Japan</w:t>
            </w:r>
          </w:p>
        </w:tc>
        <w:tc>
          <w:tcPr>
            <w:tcW w:w="588" w:type="pct"/>
          </w:tcPr>
          <w:p w14:paraId="611D487A" w14:textId="77777777" w:rsidR="00A474A9" w:rsidRPr="00526FBF" w:rsidRDefault="00A474A9" w:rsidP="004C79C1">
            <w:pPr>
              <w:spacing w:before="0" w:after="120" w:line="240" w:lineRule="auto"/>
              <w:rPr>
                <w:rFonts w:ascii="Arial Narrow" w:hAnsi="Arial Narrow" w:cs="Arial Narrow"/>
                <w:bCs/>
                <w:sz w:val="20"/>
              </w:rPr>
            </w:pPr>
            <w:r>
              <w:rPr>
                <w:rFonts w:ascii="Arial Narrow" w:hAnsi="Arial Narrow" w:cs="Arial Narrow"/>
                <w:bCs/>
                <w:sz w:val="20"/>
              </w:rPr>
              <w:t>Ret</w:t>
            </w:r>
            <w:r w:rsidRPr="00526FBF">
              <w:rPr>
                <w:rFonts w:ascii="Arial Narrow" w:hAnsi="Arial Narrow" w:cs="Arial Narrow"/>
                <w:bCs/>
                <w:sz w:val="20"/>
              </w:rPr>
              <w:t>rospective cohort</w:t>
            </w:r>
          </w:p>
          <w:p w14:paraId="3B72509B" w14:textId="77777777" w:rsidR="00A474A9" w:rsidRPr="00526FBF" w:rsidRDefault="00A474A9" w:rsidP="004C79C1">
            <w:pPr>
              <w:spacing w:before="0" w:after="120" w:line="240" w:lineRule="auto"/>
              <w:rPr>
                <w:rFonts w:ascii="Arial Narrow" w:hAnsi="Arial Narrow" w:cs="Arial Narrow"/>
                <w:bCs/>
                <w:sz w:val="20"/>
              </w:rPr>
            </w:pPr>
          </w:p>
          <w:p w14:paraId="2B8B0D72"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cs="Arial Narrow"/>
                <w:bCs/>
                <w:sz w:val="20"/>
              </w:rPr>
              <w:t>NHMRC level II</w:t>
            </w:r>
            <w:r>
              <w:rPr>
                <w:rFonts w:ascii="Arial Narrow" w:hAnsi="Arial Narrow" w:cs="Arial Narrow"/>
                <w:bCs/>
                <w:sz w:val="20"/>
              </w:rPr>
              <w:t>I-3</w:t>
            </w:r>
          </w:p>
          <w:p w14:paraId="108F9EAA" w14:textId="77777777" w:rsidR="00A474A9" w:rsidRPr="00526FBF" w:rsidRDefault="00A474A9" w:rsidP="004C79C1">
            <w:pPr>
              <w:spacing w:before="0" w:after="120" w:line="240" w:lineRule="auto"/>
              <w:ind w:right="-57"/>
              <w:rPr>
                <w:rFonts w:ascii="Arial Narrow" w:hAnsi="Arial Narrow" w:cs="Arial Narrow"/>
                <w:bCs/>
                <w:sz w:val="20"/>
              </w:rPr>
            </w:pPr>
          </w:p>
          <w:p w14:paraId="70C6A7D6"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unacceptable quality with a high risk of bias</w:t>
            </w:r>
          </w:p>
        </w:tc>
        <w:tc>
          <w:tcPr>
            <w:tcW w:w="834" w:type="pct"/>
          </w:tcPr>
          <w:p w14:paraId="1021B2E8" w14:textId="21198631"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N=24 consecutive patients (</w:t>
            </w:r>
            <w:r w:rsidR="00B433CE">
              <w:rPr>
                <w:rFonts w:ascii="Arial Narrow" w:hAnsi="Arial Narrow" w:cs="Arial Narrow"/>
                <w:bCs/>
                <w:sz w:val="20"/>
              </w:rPr>
              <w:t>6</w:t>
            </w:r>
            <w:r w:rsidR="00B433CE" w:rsidRPr="00526FBF">
              <w:rPr>
                <w:rFonts w:ascii="Arial Narrow" w:hAnsi="Arial Narrow" w:cs="Arial Narrow"/>
                <w:bCs/>
                <w:sz w:val="20"/>
              </w:rPr>
              <w:t xml:space="preserve"> </w:t>
            </w:r>
            <w:r w:rsidRPr="00526FBF">
              <w:rPr>
                <w:rFonts w:ascii="Arial Narrow" w:hAnsi="Arial Narrow" w:cs="Arial Narrow"/>
                <w:bCs/>
                <w:sz w:val="20"/>
              </w:rPr>
              <w:t>women) admitted for implantation of CRT systems</w:t>
            </w:r>
          </w:p>
          <w:p w14:paraId="77D932F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N=17 patients with DCM</w:t>
            </w:r>
          </w:p>
          <w:p w14:paraId="17216D69" w14:textId="77777777" w:rsidR="00B433CE"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58A476AC" w14:textId="77777777" w:rsidR="00B433CE" w:rsidRDefault="00A474A9" w:rsidP="004C79C1">
            <w:pPr>
              <w:spacing w:before="0" w:after="120" w:line="240" w:lineRule="auto"/>
              <w:ind w:left="114"/>
              <w:rPr>
                <w:rFonts w:ascii="Arial Narrow" w:hAnsi="Arial Narrow" w:cs="Arial Narrow"/>
                <w:bCs/>
                <w:sz w:val="20"/>
              </w:rPr>
            </w:pPr>
            <w:r w:rsidRPr="00526FBF">
              <w:rPr>
                <w:rFonts w:ascii="Arial Narrow" w:hAnsi="Arial Narrow" w:cs="Arial Narrow"/>
                <w:bCs/>
                <w:sz w:val="20"/>
              </w:rPr>
              <w:t xml:space="preserve">age = 68 ± 9 years; </w:t>
            </w:r>
          </w:p>
          <w:p w14:paraId="62860367" w14:textId="00DE3D1C" w:rsidR="00A474A9" w:rsidRPr="00526FBF" w:rsidRDefault="00A474A9" w:rsidP="004C79C1">
            <w:pPr>
              <w:spacing w:before="0" w:after="120" w:line="240" w:lineRule="auto"/>
              <w:ind w:left="114"/>
              <w:rPr>
                <w:rFonts w:ascii="Arial Narrow" w:hAnsi="Arial Narrow" w:cs="Arial Narrow"/>
                <w:bCs/>
                <w:sz w:val="20"/>
              </w:rPr>
            </w:pPr>
            <w:r w:rsidRPr="00526FBF">
              <w:rPr>
                <w:rFonts w:ascii="Arial Narrow" w:hAnsi="Arial Narrow" w:cs="Arial Narrow"/>
                <w:bCs/>
                <w:sz w:val="20"/>
              </w:rPr>
              <w:t xml:space="preserve">male = 71%; LVEF (SPECT) = 28 ± 14%; NYHA class: II = 12%, III = 65%, IV = 23%; medications: ACE inhibitor/ARB = 47%, </w:t>
            </w:r>
            <w:r w:rsidR="00B433CE" w:rsidRPr="0020677A">
              <w:rPr>
                <w:rFonts w:ascii="Arial Narrow" w:hAnsi="Arial Narrow" w:cs="Arial Narrow"/>
                <w:bCs/>
                <w:sz w:val="20"/>
              </w:rPr>
              <w:sym w:font="Symbol" w:char="F062"/>
            </w:r>
            <w:r w:rsidRPr="00526FBF">
              <w:rPr>
                <w:rFonts w:ascii="Arial Narrow" w:hAnsi="Arial Narrow" w:cs="Arial Narrow"/>
                <w:bCs/>
                <w:sz w:val="20"/>
              </w:rPr>
              <w:t>-blockers = 76%</w:t>
            </w:r>
          </w:p>
          <w:p w14:paraId="4A3D6B0C"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N=7 patients with ICM</w:t>
            </w:r>
          </w:p>
          <w:p w14:paraId="7FB22CD2" w14:textId="77777777" w:rsidR="001B47D5"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 xml:space="preserve">Patient characteristics: </w:t>
            </w:r>
          </w:p>
          <w:p w14:paraId="324A5C0C" w14:textId="77777777" w:rsidR="001B47D5" w:rsidRDefault="00A474A9" w:rsidP="004C79C1">
            <w:pPr>
              <w:spacing w:before="0" w:after="120" w:line="240" w:lineRule="auto"/>
              <w:ind w:left="114"/>
              <w:rPr>
                <w:rFonts w:ascii="Arial Narrow" w:hAnsi="Arial Narrow" w:cs="Arial Narrow"/>
                <w:bCs/>
                <w:sz w:val="20"/>
              </w:rPr>
            </w:pPr>
            <w:r w:rsidRPr="00526FBF">
              <w:rPr>
                <w:rFonts w:ascii="Arial Narrow" w:hAnsi="Arial Narrow" w:cs="Arial Narrow"/>
                <w:bCs/>
                <w:sz w:val="20"/>
              </w:rPr>
              <w:t xml:space="preserve">age = 63 ± 5 years; </w:t>
            </w:r>
          </w:p>
          <w:p w14:paraId="1ED8288D" w14:textId="77777777" w:rsidR="001B47D5" w:rsidRDefault="00A474A9" w:rsidP="004C79C1">
            <w:pPr>
              <w:spacing w:before="0" w:after="120" w:line="240" w:lineRule="auto"/>
              <w:ind w:left="114"/>
              <w:rPr>
                <w:rFonts w:ascii="Arial Narrow" w:hAnsi="Arial Narrow" w:cs="Arial Narrow"/>
                <w:bCs/>
                <w:sz w:val="20"/>
              </w:rPr>
            </w:pPr>
            <w:r w:rsidRPr="00526FBF">
              <w:rPr>
                <w:rFonts w:ascii="Arial Narrow" w:hAnsi="Arial Narrow" w:cs="Arial Narrow"/>
                <w:bCs/>
                <w:sz w:val="20"/>
              </w:rPr>
              <w:t xml:space="preserve">male = 86%; </w:t>
            </w:r>
          </w:p>
          <w:p w14:paraId="31408307" w14:textId="26B830A3" w:rsidR="00A474A9" w:rsidRPr="00526FBF" w:rsidRDefault="00A474A9" w:rsidP="004C79C1">
            <w:pPr>
              <w:spacing w:before="0" w:after="120" w:line="240" w:lineRule="auto"/>
              <w:ind w:left="114"/>
              <w:rPr>
                <w:rFonts w:ascii="Arial Narrow" w:hAnsi="Arial Narrow" w:cs="Arial Narrow"/>
                <w:bCs/>
                <w:sz w:val="20"/>
              </w:rPr>
            </w:pPr>
            <w:r w:rsidRPr="00526FBF">
              <w:rPr>
                <w:rFonts w:ascii="Arial Narrow" w:hAnsi="Arial Narrow" w:cs="Arial Narrow"/>
                <w:bCs/>
                <w:sz w:val="20"/>
              </w:rPr>
              <w:t xml:space="preserve">LVEF (SPECT) = 25 ± </w:t>
            </w:r>
            <w:r w:rsidRPr="00526FBF">
              <w:rPr>
                <w:rFonts w:ascii="Arial Narrow" w:hAnsi="Arial Narrow" w:cs="Arial Narrow"/>
                <w:bCs/>
                <w:sz w:val="20"/>
              </w:rPr>
              <w:lastRenderedPageBreak/>
              <w:t xml:space="preserve">7%; NYHA class: II = 4%, III = 57%, IV = 29%; medications: ACE inhibitor/ARB = 43%, </w:t>
            </w:r>
            <w:r w:rsidR="001B47D5" w:rsidRPr="0020677A">
              <w:rPr>
                <w:rFonts w:ascii="Arial Narrow" w:hAnsi="Arial Narrow" w:cs="Arial Narrow"/>
                <w:bCs/>
                <w:sz w:val="20"/>
              </w:rPr>
              <w:sym w:font="Symbol" w:char="F062"/>
            </w:r>
            <w:r w:rsidRPr="00526FBF">
              <w:rPr>
                <w:rFonts w:ascii="Arial Narrow" w:hAnsi="Arial Narrow" w:cs="Arial Narrow"/>
                <w:bCs/>
                <w:sz w:val="20"/>
              </w:rPr>
              <w:t>-blockers = 86%</w:t>
            </w:r>
          </w:p>
        </w:tc>
        <w:tc>
          <w:tcPr>
            <w:tcW w:w="932" w:type="pct"/>
          </w:tcPr>
          <w:p w14:paraId="12EF6AF4" w14:textId="032EA09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consecutive patients admitted for implantation of CRT systems between July 2006 and November 2007</w:t>
            </w:r>
          </w:p>
          <w:p w14:paraId="05E6CA17"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not reported</w:t>
            </w:r>
          </w:p>
          <w:p w14:paraId="01E397B8"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w:t>
            </w:r>
          </w:p>
          <w:p w14:paraId="13402CA3" w14:textId="2ED30C8F"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Response to CRT after 6</w:t>
            </w:r>
            <w:r w:rsidR="00A3718C">
              <w:rPr>
                <w:rFonts w:ascii="Arial Narrow" w:hAnsi="Arial Narrow" w:cs="Arial Narrow"/>
                <w:bCs/>
                <w:sz w:val="20"/>
              </w:rPr>
              <w:t> </w:t>
            </w:r>
            <w:r w:rsidRPr="00526FBF">
              <w:rPr>
                <w:rFonts w:ascii="Arial Narrow" w:hAnsi="Arial Narrow" w:cs="Arial Narrow"/>
                <w:bCs/>
                <w:sz w:val="20"/>
              </w:rPr>
              <w:t>months follow-up, defined as:</w:t>
            </w:r>
          </w:p>
          <w:p w14:paraId="1FFD24F0" w14:textId="719585AB" w:rsidR="00A474A9" w:rsidRPr="00526FBF" w:rsidRDefault="00A474A9" w:rsidP="004C79C1">
            <w:pPr>
              <w:spacing w:before="0" w:after="120" w:line="240" w:lineRule="auto"/>
              <w:ind w:left="42"/>
              <w:rPr>
                <w:rFonts w:ascii="Arial Narrow" w:hAnsi="Arial Narrow" w:cs="Arial Narrow"/>
                <w:b/>
                <w:bCs/>
                <w:sz w:val="20"/>
                <w:lang w:val="en-GB" w:eastAsia="en-US"/>
              </w:rPr>
            </w:pPr>
            <w:r w:rsidRPr="00526FBF">
              <w:rPr>
                <w:rFonts w:ascii="Arial Narrow" w:hAnsi="Arial Narrow" w:cs="Arial Narrow"/>
                <w:bCs/>
                <w:sz w:val="20"/>
              </w:rPr>
              <w:t>1) having a ≥5% increase in LVEF and/or a ≥15% decrease in LV</w:t>
            </w:r>
            <w:r>
              <w:rPr>
                <w:rFonts w:ascii="Arial Narrow" w:hAnsi="Arial Narrow" w:cs="Arial Narrow"/>
                <w:bCs/>
                <w:sz w:val="20"/>
              </w:rPr>
              <w:t>EDV</w:t>
            </w:r>
            <w:r w:rsidRPr="00526FBF">
              <w:rPr>
                <w:rFonts w:ascii="Arial Narrow" w:hAnsi="Arial Narrow" w:cs="Arial Narrow"/>
                <w:bCs/>
                <w:sz w:val="20"/>
              </w:rPr>
              <w:t xml:space="preserve"> </w:t>
            </w:r>
          </w:p>
          <w:p w14:paraId="4D7ECCC0" w14:textId="1035D90D" w:rsidR="00A474A9" w:rsidRPr="00526FBF" w:rsidRDefault="00A474A9" w:rsidP="004C79C1">
            <w:pPr>
              <w:spacing w:before="0" w:after="120" w:line="240" w:lineRule="auto"/>
              <w:ind w:left="42"/>
              <w:rPr>
                <w:rFonts w:ascii="Arial Narrow" w:hAnsi="Arial Narrow" w:cs="Arial Narrow"/>
                <w:b/>
                <w:bCs/>
                <w:sz w:val="20"/>
                <w:lang w:val="en-GB" w:eastAsia="en-US"/>
              </w:rPr>
            </w:pPr>
            <w:r w:rsidRPr="00526FBF">
              <w:rPr>
                <w:rFonts w:ascii="Arial Narrow" w:hAnsi="Arial Narrow" w:cs="Arial Narrow"/>
                <w:bCs/>
                <w:sz w:val="20"/>
              </w:rPr>
              <w:t>2) having a ≥1 point decrease in NYHA functional class; and</w:t>
            </w:r>
          </w:p>
          <w:p w14:paraId="1481B91F" w14:textId="7CD478CC" w:rsidR="00A474A9" w:rsidRPr="00526FBF" w:rsidRDefault="00A474A9" w:rsidP="004C79C1">
            <w:pPr>
              <w:spacing w:before="0" w:after="120" w:line="240" w:lineRule="auto"/>
              <w:ind w:left="42" w:right="-57"/>
              <w:rPr>
                <w:rFonts w:ascii="Arial Narrow" w:hAnsi="Arial Narrow"/>
                <w:b/>
                <w:sz w:val="20"/>
                <w:lang w:val="en-GB" w:eastAsia="en-US"/>
              </w:rPr>
            </w:pPr>
            <w:r w:rsidRPr="00526FBF">
              <w:rPr>
                <w:rFonts w:ascii="Arial Narrow" w:hAnsi="Arial Narrow" w:cs="Arial Narrow"/>
                <w:bCs/>
                <w:sz w:val="20"/>
              </w:rPr>
              <w:t xml:space="preserve">3) having had no hospitalisations for management of decompensated HF during </w:t>
            </w:r>
            <w:r w:rsidRPr="00526FBF">
              <w:rPr>
                <w:rFonts w:ascii="Arial Narrow" w:hAnsi="Arial Narrow" w:cs="Arial Narrow"/>
                <w:bCs/>
                <w:sz w:val="20"/>
              </w:rPr>
              <w:lastRenderedPageBreak/>
              <w:t>follow-up</w:t>
            </w:r>
          </w:p>
        </w:tc>
        <w:tc>
          <w:tcPr>
            <w:tcW w:w="932" w:type="pct"/>
          </w:tcPr>
          <w:p w14:paraId="4FA785CB" w14:textId="7E2B2956"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or 3-T scanner equipped with a Nova gradient, and a </w:t>
            </w:r>
            <w:r w:rsidR="00C327A5">
              <w:rPr>
                <w:rFonts w:ascii="Arial Narrow" w:hAnsi="Arial Narrow" w:cs="Times New Roman"/>
                <w:sz w:val="20"/>
                <w:szCs w:val="20"/>
              </w:rPr>
              <w:t>5</w:t>
            </w:r>
            <w:r w:rsidRPr="00526FBF">
              <w:rPr>
                <w:rFonts w:ascii="Arial Narrow" w:hAnsi="Arial Narrow" w:cs="Times New Roman"/>
                <w:sz w:val="20"/>
                <w:szCs w:val="20"/>
              </w:rPr>
              <w:t>-element cardiac synergy coil</w:t>
            </w:r>
          </w:p>
          <w:p w14:paraId="68C4AB0A" w14:textId="4C1834E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Cardiac function</w:t>
            </w:r>
            <w:r w:rsidRPr="00526FBF">
              <w:rPr>
                <w:sz w:val="24"/>
              </w:rPr>
              <w:t xml:space="preserve"> </w:t>
            </w:r>
            <w:r w:rsidRPr="00526FBF">
              <w:rPr>
                <w:rFonts w:ascii="Arial Narrow" w:hAnsi="Arial Narrow" w:cs="Times New Roman"/>
                <w:b/>
                <w:sz w:val="20"/>
                <w:szCs w:val="20"/>
              </w:rPr>
              <w:t>sequence:</w:t>
            </w:r>
            <w:r w:rsidRPr="00526FBF">
              <w:rPr>
                <w:rFonts w:ascii="Arial Narrow" w:hAnsi="Arial Narrow" w:cs="Times New Roman"/>
                <w:sz w:val="20"/>
                <w:szCs w:val="20"/>
              </w:rPr>
              <w:t xml:space="preserve"> </w:t>
            </w:r>
            <w:r w:rsidR="007270E8">
              <w:rPr>
                <w:rFonts w:ascii="Arial Narrow" w:hAnsi="Arial Narrow" w:cs="Times New Roman"/>
                <w:sz w:val="20"/>
                <w:szCs w:val="20"/>
              </w:rPr>
              <w:t>n</w:t>
            </w:r>
            <w:r w:rsidRPr="00526FBF">
              <w:rPr>
                <w:rFonts w:ascii="Arial Narrow" w:hAnsi="Arial Narrow" w:cs="Times New Roman"/>
                <w:sz w:val="20"/>
                <w:szCs w:val="20"/>
              </w:rPr>
              <w:t>ot done</w:t>
            </w:r>
          </w:p>
          <w:p w14:paraId="5BE286DB" w14:textId="57B3302D"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 recovery gradient ECG sequence</w:t>
            </w:r>
          </w:p>
          <w:p w14:paraId="1C5C72CD" w14:textId="104C2483"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0.15 mmol/kg </w:t>
            </w:r>
            <w:r w:rsidR="00C327A5">
              <w:rPr>
                <w:rFonts w:ascii="Arial Narrow" w:hAnsi="Arial Narrow" w:cs="Times New Roman"/>
                <w:sz w:val="20"/>
                <w:szCs w:val="20"/>
              </w:rPr>
              <w:t>Gd</w:t>
            </w:r>
            <w:r w:rsidRPr="00526FBF">
              <w:rPr>
                <w:rFonts w:ascii="Arial Narrow" w:hAnsi="Arial Narrow" w:cs="Times New Roman"/>
                <w:sz w:val="20"/>
                <w:szCs w:val="20"/>
              </w:rPr>
              <w:t>-DTPA</w:t>
            </w:r>
          </w:p>
          <w:p w14:paraId="21ACE3E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Time delay:</w:t>
            </w:r>
            <w:r w:rsidRPr="00526FBF">
              <w:rPr>
                <w:rFonts w:ascii="Arial Narrow" w:hAnsi="Arial Narrow" w:cs="Times New Roman"/>
                <w:sz w:val="20"/>
                <w:szCs w:val="20"/>
              </w:rPr>
              <w:t xml:space="preserve"> 10–15 minutes</w:t>
            </w:r>
          </w:p>
          <w:p w14:paraId="00AF44E6" w14:textId="235AC53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w:t>
            </w:r>
            <w:r w:rsidR="007270E8">
              <w:rPr>
                <w:rFonts w:ascii="Arial Narrow" w:hAnsi="Arial Narrow" w:cs="Times New Roman"/>
                <w:sz w:val="20"/>
                <w:szCs w:val="20"/>
              </w:rPr>
              <w:t>n</w:t>
            </w:r>
            <w:r w:rsidRPr="00526FBF">
              <w:rPr>
                <w:rFonts w:ascii="Arial Narrow" w:hAnsi="Arial Narrow" w:cs="Times New Roman"/>
                <w:sz w:val="20"/>
                <w:szCs w:val="20"/>
              </w:rPr>
              <w:t>ot done</w:t>
            </w:r>
          </w:p>
          <w:p w14:paraId="5EF2DF54" w14:textId="2B5B21CB"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diagnosis:</w:t>
            </w:r>
            <w:r w:rsidRPr="00526FBF">
              <w:rPr>
                <w:rFonts w:ascii="Arial Narrow" w:hAnsi="Arial Narrow" w:cs="Times New Roman"/>
                <w:sz w:val="20"/>
                <w:szCs w:val="20"/>
              </w:rPr>
              <w:t xml:space="preserve"> Contrast-enhancement images were analysed by a computer-assisted, semi</w:t>
            </w:r>
            <w:r w:rsidR="00C327A5">
              <w:rPr>
                <w:rFonts w:ascii="Arial Narrow" w:hAnsi="Arial Narrow" w:cs="Times New Roman"/>
                <w:sz w:val="20"/>
                <w:szCs w:val="20"/>
              </w:rPr>
              <w:t>-</w:t>
            </w:r>
            <w:r w:rsidRPr="00526FBF">
              <w:rPr>
                <w:rFonts w:ascii="Arial Narrow" w:hAnsi="Arial Narrow" w:cs="Times New Roman"/>
                <w:sz w:val="20"/>
                <w:szCs w:val="20"/>
              </w:rPr>
              <w:t xml:space="preserve">automatic technique to measure the LGE areas, and transmural scar scores were assigned according to the 17-segment </w:t>
            </w:r>
            <w:r w:rsidRPr="00526FBF">
              <w:rPr>
                <w:rFonts w:ascii="Arial Narrow" w:hAnsi="Arial Narrow" w:cs="Times New Roman"/>
                <w:sz w:val="20"/>
                <w:szCs w:val="20"/>
              </w:rPr>
              <w:lastRenderedPageBreak/>
              <w:t>model.</w:t>
            </w:r>
          </w:p>
        </w:tc>
        <w:tc>
          <w:tcPr>
            <w:tcW w:w="1324" w:type="pct"/>
          </w:tcPr>
          <w:p w14:paraId="266E8710"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lastRenderedPageBreak/>
              <w:t>MIBI SPECT:</w:t>
            </w:r>
          </w:p>
          <w:p w14:paraId="7940452E" w14:textId="6D304F5D"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MIBI (720</w:t>
            </w:r>
            <w:r w:rsidR="007570DE">
              <w:rPr>
                <w:rFonts w:ascii="Arial Narrow" w:hAnsi="Arial Narrow"/>
                <w:sz w:val="20"/>
              </w:rPr>
              <w:t> </w:t>
            </w:r>
            <w:r w:rsidRPr="00526FBF">
              <w:rPr>
                <w:rFonts w:ascii="Arial Narrow" w:hAnsi="Arial Narrow"/>
                <w:sz w:val="20"/>
              </w:rPr>
              <w:t>MBq) was injected intravenously, and images were acquired in an upright position 30</w:t>
            </w:r>
            <w:r w:rsidR="00C327A5">
              <w:rPr>
                <w:rFonts w:ascii="Arial Narrow" w:hAnsi="Arial Narrow"/>
                <w:sz w:val="20"/>
              </w:rPr>
              <w:t> </w:t>
            </w:r>
            <w:r w:rsidRPr="00526FBF">
              <w:rPr>
                <w:rFonts w:ascii="Arial Narrow" w:hAnsi="Arial Narrow"/>
                <w:sz w:val="20"/>
              </w:rPr>
              <w:t>min</w:t>
            </w:r>
            <w:r w:rsidR="00C327A5">
              <w:rPr>
                <w:rFonts w:ascii="Arial Narrow" w:hAnsi="Arial Narrow"/>
                <w:sz w:val="20"/>
              </w:rPr>
              <w:t>utes</w:t>
            </w:r>
            <w:r w:rsidRPr="00526FBF">
              <w:rPr>
                <w:rFonts w:ascii="Arial Narrow" w:hAnsi="Arial Narrow"/>
                <w:sz w:val="20"/>
              </w:rPr>
              <w:t xml:space="preserve"> later.</w:t>
            </w:r>
          </w:p>
          <w:p w14:paraId="31AAE3C8"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Scar diagnosis:</w:t>
            </w:r>
            <w:r w:rsidRPr="00526FBF">
              <w:rPr>
                <w:rFonts w:ascii="Arial Narrow" w:hAnsi="Arial Narrow"/>
                <w:sz w:val="20"/>
              </w:rPr>
              <w:t xml:space="preserve"> The SPECT images were divided into 17 segments. The regional tracer uptake was scored semi-quantitatively, and each segment was assigned a score from 0 to 4 (0 = normal uptake, 1 = mildly reduced uptake, 2 = moderately reduced uptake, 3 = severely reduced uptake, and 4 = defect.</w:t>
            </w:r>
          </w:p>
          <w:p w14:paraId="03F1430E"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The scar identified by SPECT was defined as a segment with reduced tracer uptake on the images acquired at rest.</w:t>
            </w:r>
          </w:p>
        </w:tc>
      </w:tr>
      <w:tr w:rsidR="00A474A9" w:rsidRPr="001D33E8" w14:paraId="7062025C" w14:textId="77777777" w:rsidTr="00BE5D7C">
        <w:tc>
          <w:tcPr>
            <w:tcW w:w="391" w:type="pct"/>
          </w:tcPr>
          <w:p w14:paraId="56A371FE" w14:textId="68355427" w:rsidR="00A474A9" w:rsidRPr="00BA665C" w:rsidRDefault="00CD4AC5" w:rsidP="004C79C1">
            <w:pPr>
              <w:spacing w:before="0" w:after="120" w:line="240" w:lineRule="auto"/>
              <w:rPr>
                <w:rFonts w:ascii="Arial Narrow" w:hAnsi="Arial Narrow" w:cs="Arial Narrow"/>
                <w:bCs/>
                <w:color w:val="000000" w:themeColor="text1"/>
                <w:sz w:val="20"/>
                <w:szCs w:val="20"/>
              </w:rPr>
            </w:pPr>
            <w:hyperlink w:anchor="_ENREF_155" w:tooltip="Yoshida, 2013 #18" w:history="1">
              <w:r w:rsidR="001D33E8" w:rsidRPr="00BA665C">
                <w:rPr>
                  <w:rFonts w:ascii="Arial Narrow" w:hAnsi="Arial Narrow"/>
                  <w:noProof/>
                  <w:color w:val="000000" w:themeColor="text1"/>
                  <w:sz w:val="20"/>
                  <w:szCs w:val="20"/>
                </w:rPr>
                <w:t>Yoshida, Ishibashi-Ueda, et al. (2013</w:t>
              </w:r>
            </w:hyperlink>
            <w:r w:rsidR="001D33E8" w:rsidRPr="00BA665C">
              <w:rPr>
                <w:rFonts w:ascii="Arial Narrow" w:hAnsi="Arial Narrow"/>
                <w:noProof/>
                <w:color w:val="000000" w:themeColor="text1"/>
                <w:sz w:val="20"/>
                <w:szCs w:val="20"/>
              </w:rPr>
              <w:t>)</w:t>
            </w:r>
            <w:r w:rsidR="00A474A9" w:rsidRPr="00BA665C">
              <w:rPr>
                <w:rFonts w:ascii="Arial Narrow" w:hAnsi="Arial Narrow" w:cs="Arial Narrow"/>
                <w:bCs/>
                <w:color w:val="000000" w:themeColor="text1"/>
                <w:sz w:val="20"/>
                <w:szCs w:val="20"/>
              </w:rPr>
              <w:t xml:space="preserve"> </w:t>
            </w:r>
          </w:p>
          <w:p w14:paraId="5758F1A4" w14:textId="77777777" w:rsidR="00A474A9" w:rsidRPr="00141050" w:rsidRDefault="00A474A9" w:rsidP="004C79C1">
            <w:pPr>
              <w:spacing w:before="0" w:after="120" w:line="240" w:lineRule="auto"/>
              <w:rPr>
                <w:rFonts w:ascii="Arial Narrow" w:hAnsi="Arial Narrow" w:cs="Arial Narrow"/>
                <w:bCs/>
                <w:sz w:val="20"/>
                <w:szCs w:val="20"/>
              </w:rPr>
            </w:pPr>
          </w:p>
          <w:p w14:paraId="0A3B0EA7" w14:textId="77777777" w:rsidR="00A474A9" w:rsidRPr="00141050" w:rsidRDefault="00A474A9" w:rsidP="004C79C1">
            <w:pPr>
              <w:spacing w:before="0" w:after="120" w:line="240" w:lineRule="auto"/>
              <w:rPr>
                <w:rFonts w:ascii="Arial Narrow" w:hAnsi="Arial Narrow" w:cs="Arial Narrow"/>
                <w:bCs/>
                <w:sz w:val="20"/>
                <w:szCs w:val="20"/>
              </w:rPr>
            </w:pPr>
            <w:r w:rsidRPr="00141050">
              <w:rPr>
                <w:rFonts w:ascii="Arial Narrow" w:hAnsi="Arial Narrow" w:cs="Arial Narrow"/>
                <w:bCs/>
                <w:sz w:val="20"/>
                <w:szCs w:val="20"/>
              </w:rPr>
              <w:t>Japan</w:t>
            </w:r>
          </w:p>
        </w:tc>
        <w:tc>
          <w:tcPr>
            <w:tcW w:w="588" w:type="pct"/>
            <w:shd w:val="clear" w:color="auto" w:fill="auto"/>
          </w:tcPr>
          <w:p w14:paraId="16ADC9A1" w14:textId="77777777" w:rsidR="00A474A9" w:rsidRPr="00141050" w:rsidRDefault="00A474A9" w:rsidP="004C79C1">
            <w:pPr>
              <w:spacing w:before="0" w:after="120" w:line="240" w:lineRule="auto"/>
              <w:ind w:right="-57"/>
              <w:rPr>
                <w:rFonts w:ascii="Arial Narrow" w:hAnsi="Arial Narrow" w:cs="Arial Narrow"/>
                <w:bCs/>
                <w:sz w:val="20"/>
                <w:szCs w:val="20"/>
              </w:rPr>
            </w:pPr>
            <w:r w:rsidRPr="00141050">
              <w:rPr>
                <w:rFonts w:ascii="Arial Narrow" w:hAnsi="Arial Narrow" w:cs="Arial Narrow"/>
                <w:bCs/>
                <w:sz w:val="20"/>
                <w:szCs w:val="20"/>
              </w:rPr>
              <w:t xml:space="preserve">Prospective cohort </w:t>
            </w:r>
          </w:p>
          <w:p w14:paraId="241CD85E" w14:textId="77777777" w:rsidR="00A474A9" w:rsidRPr="00141050" w:rsidRDefault="00A474A9" w:rsidP="004C79C1">
            <w:pPr>
              <w:spacing w:before="0" w:after="120" w:line="240" w:lineRule="auto"/>
              <w:ind w:right="-57"/>
              <w:rPr>
                <w:rFonts w:ascii="Arial Narrow" w:hAnsi="Arial Narrow" w:cs="Arial Narrow"/>
                <w:bCs/>
                <w:sz w:val="20"/>
                <w:szCs w:val="20"/>
              </w:rPr>
            </w:pPr>
          </w:p>
          <w:p w14:paraId="01A54E71" w14:textId="77777777" w:rsidR="00A474A9" w:rsidRPr="00141050" w:rsidRDefault="00A474A9" w:rsidP="004C79C1">
            <w:pPr>
              <w:spacing w:before="0" w:after="120" w:line="240" w:lineRule="auto"/>
              <w:ind w:right="-57"/>
              <w:rPr>
                <w:rFonts w:ascii="Arial Narrow" w:hAnsi="Arial Narrow" w:cs="Arial Narrow"/>
                <w:bCs/>
                <w:sz w:val="20"/>
                <w:szCs w:val="20"/>
              </w:rPr>
            </w:pPr>
            <w:r w:rsidRPr="00141050">
              <w:rPr>
                <w:rFonts w:ascii="Arial Narrow" w:hAnsi="Arial Narrow" w:cs="Arial Narrow"/>
                <w:bCs/>
                <w:sz w:val="20"/>
                <w:szCs w:val="20"/>
              </w:rPr>
              <w:t>NHMRC level II</w:t>
            </w:r>
          </w:p>
          <w:p w14:paraId="3DBEF2AF" w14:textId="77777777" w:rsidR="00A474A9" w:rsidRPr="00141050" w:rsidRDefault="00A474A9" w:rsidP="004C79C1">
            <w:pPr>
              <w:spacing w:before="0" w:after="120" w:line="240" w:lineRule="auto"/>
              <w:ind w:right="-57"/>
              <w:rPr>
                <w:rFonts w:ascii="Arial Narrow" w:hAnsi="Arial Narrow" w:cs="Arial Narrow"/>
                <w:bCs/>
                <w:sz w:val="20"/>
                <w:szCs w:val="20"/>
              </w:rPr>
            </w:pPr>
          </w:p>
          <w:p w14:paraId="6170EECD" w14:textId="77777777" w:rsidR="00A474A9" w:rsidRPr="00141050" w:rsidRDefault="00A474A9" w:rsidP="004C79C1">
            <w:pPr>
              <w:spacing w:before="0" w:after="120" w:line="240" w:lineRule="auto"/>
              <w:rPr>
                <w:rFonts w:ascii="Arial Narrow" w:hAnsi="Arial Narrow" w:cs="Arial Narrow"/>
                <w:bCs/>
                <w:sz w:val="20"/>
                <w:szCs w:val="20"/>
              </w:rPr>
            </w:pPr>
            <w:r w:rsidRPr="00141050">
              <w:rPr>
                <w:rFonts w:ascii="Arial Narrow" w:hAnsi="Arial Narrow" w:cs="Arial Narrow"/>
                <w:bCs/>
                <w:sz w:val="20"/>
                <w:szCs w:val="20"/>
              </w:rPr>
              <w:t>SIGN: acceptable quality with a moderate risk of bias</w:t>
            </w:r>
          </w:p>
        </w:tc>
        <w:tc>
          <w:tcPr>
            <w:tcW w:w="834" w:type="pct"/>
          </w:tcPr>
          <w:p w14:paraId="448621DD" w14:textId="77777777" w:rsidR="00A474A9" w:rsidRPr="00141050" w:rsidRDefault="00A474A9" w:rsidP="004C79C1">
            <w:pPr>
              <w:spacing w:before="0" w:after="120" w:line="240" w:lineRule="auto"/>
              <w:rPr>
                <w:rFonts w:ascii="Arial Narrow" w:hAnsi="Arial Narrow" w:cs="Arial Narrow"/>
                <w:bCs/>
                <w:sz w:val="20"/>
                <w:szCs w:val="20"/>
              </w:rPr>
            </w:pPr>
            <w:r w:rsidRPr="00141050">
              <w:rPr>
                <w:rFonts w:ascii="Arial Narrow" w:hAnsi="Arial Narrow" w:cs="Arial Narrow"/>
                <w:bCs/>
                <w:sz w:val="20"/>
                <w:szCs w:val="20"/>
              </w:rPr>
              <w:t>N=50 consecutive patients with DCM admitted for treatment of decompensated HF were assessed by MIBI-BMIPP dual SPECT and CMR</w:t>
            </w:r>
          </w:p>
          <w:p w14:paraId="5DA65DCE" w14:textId="77777777" w:rsidR="007F182E" w:rsidRPr="00141050" w:rsidRDefault="00A474A9" w:rsidP="004C79C1">
            <w:pPr>
              <w:spacing w:before="0" w:after="120" w:line="240" w:lineRule="auto"/>
              <w:rPr>
                <w:rFonts w:ascii="Arial Narrow" w:hAnsi="Arial Narrow" w:cs="Arial Narrow"/>
                <w:bCs/>
                <w:sz w:val="20"/>
                <w:szCs w:val="20"/>
              </w:rPr>
            </w:pPr>
            <w:r w:rsidRPr="00141050">
              <w:rPr>
                <w:rFonts w:ascii="Arial Narrow" w:hAnsi="Arial Narrow" w:cs="Arial Narrow"/>
                <w:bCs/>
                <w:sz w:val="20"/>
                <w:szCs w:val="20"/>
              </w:rPr>
              <w:t xml:space="preserve">Patient characteristics: </w:t>
            </w:r>
          </w:p>
          <w:p w14:paraId="365E277A" w14:textId="77777777" w:rsidR="007F182E"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 xml:space="preserve">age = 57.0 ± 12.3 years; male = 72%; </w:t>
            </w:r>
          </w:p>
          <w:p w14:paraId="5C577B68" w14:textId="77777777" w:rsidR="007F182E"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 xml:space="preserve">duration of HF = 12.1 ± 23.2 months; </w:t>
            </w:r>
          </w:p>
          <w:p w14:paraId="0AC490AB" w14:textId="77777777" w:rsidR="007F182E"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 xml:space="preserve">LVEF (Echo) = 22.6 ± 8.8%; </w:t>
            </w:r>
          </w:p>
          <w:p w14:paraId="68CDEAA2" w14:textId="183D0D54" w:rsidR="00A474A9"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 xml:space="preserve">NYHA class: II = 66%, III = 28%, IV = 6%; medications: ACE inhibitor/ARB = 96%, </w:t>
            </w:r>
            <w:r w:rsidR="007F182E" w:rsidRPr="00141050">
              <w:rPr>
                <w:rFonts w:ascii="Arial Narrow" w:hAnsi="Arial Narrow" w:cs="Arial Narrow"/>
                <w:bCs/>
                <w:sz w:val="20"/>
                <w:szCs w:val="20"/>
              </w:rPr>
              <w:sym w:font="Symbol" w:char="F062"/>
            </w:r>
            <w:r w:rsidRPr="00141050">
              <w:rPr>
                <w:rFonts w:ascii="Arial Narrow" w:hAnsi="Arial Narrow" w:cs="Arial Narrow"/>
                <w:bCs/>
                <w:sz w:val="20"/>
                <w:szCs w:val="20"/>
              </w:rPr>
              <w:t>-blockers = 90%</w:t>
            </w:r>
          </w:p>
          <w:p w14:paraId="3EAF3067" w14:textId="77777777" w:rsidR="00A474A9"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LGE+ = 42% (21/50)</w:t>
            </w:r>
          </w:p>
          <w:p w14:paraId="61E0BA4E" w14:textId="77777777" w:rsidR="00A474A9"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SPECT mismatch = 40% (20/50)</w:t>
            </w:r>
          </w:p>
          <w:p w14:paraId="055828D7" w14:textId="77777777" w:rsidR="00A474A9" w:rsidRPr="00141050" w:rsidRDefault="00A474A9" w:rsidP="004C79C1">
            <w:pPr>
              <w:spacing w:before="0" w:after="120" w:line="240" w:lineRule="auto"/>
              <w:ind w:left="114"/>
              <w:rPr>
                <w:rFonts w:ascii="Arial Narrow" w:hAnsi="Arial Narrow" w:cs="Arial Narrow"/>
                <w:bCs/>
                <w:sz w:val="20"/>
                <w:szCs w:val="20"/>
              </w:rPr>
            </w:pPr>
            <w:r w:rsidRPr="00141050">
              <w:rPr>
                <w:rFonts w:ascii="Arial Narrow" w:hAnsi="Arial Narrow" w:cs="Arial Narrow"/>
                <w:bCs/>
                <w:sz w:val="20"/>
                <w:szCs w:val="20"/>
              </w:rPr>
              <w:t>LGE+ and SPECT mismatch = 16% (8/50)</w:t>
            </w:r>
          </w:p>
          <w:p w14:paraId="2223862A" w14:textId="7934FEA4" w:rsidR="00A474A9" w:rsidRPr="00141050" w:rsidRDefault="00A474A9" w:rsidP="004C79C1">
            <w:pPr>
              <w:spacing w:before="0" w:after="120" w:line="240" w:lineRule="auto"/>
              <w:rPr>
                <w:rFonts w:ascii="Arial Narrow" w:hAnsi="Arial Narrow" w:cs="Arial Narrow"/>
                <w:bCs/>
                <w:sz w:val="20"/>
                <w:szCs w:val="20"/>
              </w:rPr>
            </w:pPr>
            <w:r w:rsidRPr="00141050">
              <w:rPr>
                <w:rFonts w:ascii="Arial Narrow" w:hAnsi="Arial Narrow" w:cs="Arial Narrow"/>
                <w:b/>
                <w:bCs/>
                <w:sz w:val="20"/>
                <w:szCs w:val="20"/>
              </w:rPr>
              <w:t>Median follow-up:</w:t>
            </w:r>
            <w:r w:rsidRPr="00141050">
              <w:rPr>
                <w:rFonts w:ascii="Arial Narrow" w:hAnsi="Arial Narrow" w:cs="Arial Narrow"/>
                <w:bCs/>
                <w:sz w:val="20"/>
                <w:szCs w:val="20"/>
              </w:rPr>
              <w:t xml:space="preserve"> </w:t>
            </w:r>
            <w:r w:rsidRPr="00141050">
              <w:rPr>
                <w:rFonts w:ascii="Arial Narrow" w:hAnsi="Arial Narrow" w:cs="Arial Narrow"/>
                <w:bCs/>
                <w:sz w:val="20"/>
                <w:szCs w:val="20"/>
              </w:rPr>
              <w:lastRenderedPageBreak/>
              <w:t>33</w:t>
            </w:r>
            <w:r w:rsidR="007F182E" w:rsidRPr="00141050">
              <w:rPr>
                <w:rFonts w:ascii="Arial Narrow" w:hAnsi="Arial Narrow" w:cs="Arial Narrow"/>
                <w:bCs/>
                <w:sz w:val="20"/>
                <w:szCs w:val="20"/>
              </w:rPr>
              <w:t> </w:t>
            </w:r>
            <w:r w:rsidRPr="00141050">
              <w:rPr>
                <w:rFonts w:ascii="Arial Narrow" w:hAnsi="Arial Narrow" w:cs="Arial Narrow"/>
                <w:bCs/>
                <w:sz w:val="20"/>
                <w:szCs w:val="20"/>
              </w:rPr>
              <w:t>months</w:t>
            </w:r>
          </w:p>
        </w:tc>
        <w:tc>
          <w:tcPr>
            <w:tcW w:w="932" w:type="pct"/>
          </w:tcPr>
          <w:p w14:paraId="47DECCBA" w14:textId="77777777" w:rsidR="00A474A9" w:rsidRPr="00141050" w:rsidRDefault="00A474A9" w:rsidP="004C79C1">
            <w:pPr>
              <w:spacing w:before="0" w:after="120" w:line="240" w:lineRule="auto"/>
              <w:ind w:right="-57"/>
              <w:rPr>
                <w:rFonts w:ascii="Arial Narrow" w:hAnsi="Arial Narrow"/>
                <w:sz w:val="20"/>
                <w:szCs w:val="20"/>
              </w:rPr>
            </w:pPr>
            <w:r w:rsidRPr="00141050">
              <w:rPr>
                <w:rFonts w:ascii="Arial Narrow" w:hAnsi="Arial Narrow"/>
                <w:b/>
                <w:sz w:val="20"/>
                <w:szCs w:val="20"/>
              </w:rPr>
              <w:lastRenderedPageBreak/>
              <w:t>Inclusion criteria:</w:t>
            </w:r>
            <w:r w:rsidRPr="00141050">
              <w:rPr>
                <w:rFonts w:ascii="Arial Narrow" w:hAnsi="Arial Narrow"/>
                <w:sz w:val="20"/>
                <w:szCs w:val="20"/>
              </w:rPr>
              <w:t xml:space="preserve"> consecutive patients with DCM admitted for treatment of decompensated HF</w:t>
            </w:r>
          </w:p>
          <w:p w14:paraId="4960E2BF" w14:textId="77777777" w:rsidR="00A474A9" w:rsidRPr="00141050" w:rsidRDefault="00A474A9" w:rsidP="004C79C1">
            <w:pPr>
              <w:spacing w:before="0" w:after="120" w:line="240" w:lineRule="auto"/>
              <w:ind w:right="-57"/>
              <w:rPr>
                <w:rFonts w:ascii="Arial Narrow" w:hAnsi="Arial Narrow"/>
                <w:sz w:val="20"/>
                <w:szCs w:val="20"/>
              </w:rPr>
            </w:pPr>
            <w:r w:rsidRPr="00141050">
              <w:rPr>
                <w:rFonts w:ascii="Arial Narrow" w:hAnsi="Arial Narrow"/>
                <w:b/>
                <w:sz w:val="20"/>
                <w:szCs w:val="20"/>
              </w:rPr>
              <w:t>Exclusion criteria:</w:t>
            </w:r>
            <w:r w:rsidRPr="00141050">
              <w:rPr>
                <w:rFonts w:ascii="Arial Narrow" w:hAnsi="Arial Narrow"/>
                <w:sz w:val="20"/>
                <w:szCs w:val="20"/>
              </w:rPr>
              <w:t xml:space="preserve"> </w:t>
            </w:r>
            <w:r w:rsidRPr="00141050">
              <w:rPr>
                <w:rFonts w:ascii="Arial Narrow" w:hAnsi="Arial Narrow" w:cs="Arial Narrow"/>
                <w:bCs/>
                <w:sz w:val="20"/>
                <w:szCs w:val="20"/>
              </w:rPr>
              <w:t>patients with possible myocarditis</w:t>
            </w:r>
            <w:r w:rsidRPr="00141050">
              <w:rPr>
                <w:rFonts w:ascii="Arial Narrow" w:hAnsi="Arial Narrow"/>
                <w:sz w:val="20"/>
                <w:szCs w:val="20"/>
              </w:rPr>
              <w:t xml:space="preserve"> and typical clinical features such as signs of progressive viral infection or myocardial oedema</w:t>
            </w:r>
          </w:p>
          <w:p w14:paraId="24E797CC" w14:textId="77777777" w:rsidR="00A474A9" w:rsidRPr="00141050" w:rsidRDefault="00A474A9" w:rsidP="004C79C1">
            <w:pPr>
              <w:spacing w:before="0" w:after="120" w:line="240" w:lineRule="auto"/>
              <w:ind w:right="-57"/>
              <w:rPr>
                <w:rFonts w:ascii="Arial Narrow" w:hAnsi="Arial Narrow"/>
                <w:b/>
                <w:sz w:val="20"/>
                <w:szCs w:val="20"/>
              </w:rPr>
            </w:pPr>
            <w:r w:rsidRPr="00141050">
              <w:rPr>
                <w:rFonts w:ascii="Arial Narrow" w:hAnsi="Arial Narrow"/>
                <w:b/>
                <w:sz w:val="20"/>
                <w:szCs w:val="20"/>
              </w:rPr>
              <w:t>Outcome:</w:t>
            </w:r>
          </w:p>
          <w:p w14:paraId="63B741DA" w14:textId="0119E373" w:rsidR="00A474A9" w:rsidRPr="00141050" w:rsidRDefault="00A474A9" w:rsidP="004C79C1">
            <w:pPr>
              <w:spacing w:before="0" w:after="120" w:line="240" w:lineRule="auto"/>
              <w:ind w:right="-57"/>
              <w:rPr>
                <w:rFonts w:ascii="Arial Narrow" w:hAnsi="Arial Narrow" w:cs="Arial Narrow"/>
                <w:bCs/>
                <w:sz w:val="20"/>
                <w:szCs w:val="20"/>
              </w:rPr>
            </w:pPr>
            <w:r w:rsidRPr="00141050">
              <w:rPr>
                <w:rFonts w:ascii="Arial Narrow" w:hAnsi="Arial Narrow"/>
                <w:sz w:val="20"/>
                <w:szCs w:val="20"/>
              </w:rPr>
              <w:t xml:space="preserve">HR for likelihood of having a cardiac event if fibrosis is diagnosed by </w:t>
            </w:r>
            <w:r w:rsidRPr="00141050">
              <w:rPr>
                <w:rFonts w:ascii="Arial Narrow" w:hAnsi="Arial Narrow" w:cs="Arial Narrow"/>
                <w:bCs/>
                <w:sz w:val="20"/>
                <w:szCs w:val="20"/>
              </w:rPr>
              <w:t>LGE-CMR compared with SPECT</w:t>
            </w:r>
          </w:p>
          <w:p w14:paraId="086632BF" w14:textId="77777777" w:rsidR="00A474A9" w:rsidRPr="00141050" w:rsidRDefault="00A474A9" w:rsidP="004C79C1">
            <w:pPr>
              <w:spacing w:before="0" w:after="120" w:line="240" w:lineRule="auto"/>
              <w:ind w:right="-57"/>
              <w:rPr>
                <w:rFonts w:ascii="Arial Narrow" w:hAnsi="Arial Narrow"/>
                <w:sz w:val="20"/>
                <w:szCs w:val="20"/>
              </w:rPr>
            </w:pPr>
            <w:r w:rsidRPr="00141050">
              <w:rPr>
                <w:rFonts w:ascii="Arial Narrow" w:hAnsi="Arial Narrow"/>
                <w:sz w:val="20"/>
                <w:szCs w:val="20"/>
              </w:rPr>
              <w:t>To determine agreement regarding the regional distribution of a mismatch between SPECT and LGE segments of CMR, the summed segments with mismatches and LGE in each myocardial area were analysed.</w:t>
            </w:r>
          </w:p>
        </w:tc>
        <w:tc>
          <w:tcPr>
            <w:tcW w:w="932" w:type="pct"/>
          </w:tcPr>
          <w:p w14:paraId="53B5881A" w14:textId="77777777"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Scanner:</w:t>
            </w:r>
            <w:r w:rsidRPr="00141050">
              <w:rPr>
                <w:rFonts w:ascii="Arial Narrow" w:hAnsi="Arial Narrow" w:cs="Times New Roman"/>
                <w:sz w:val="20"/>
                <w:szCs w:val="20"/>
              </w:rPr>
              <w:t xml:space="preserve"> 1.5-T or 3-T scanner</w:t>
            </w:r>
          </w:p>
          <w:p w14:paraId="7633288E" w14:textId="59376EA5"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Cardiac function</w:t>
            </w:r>
            <w:r w:rsidRPr="00BA665C">
              <w:rPr>
                <w:rFonts w:ascii="Arial Narrow" w:hAnsi="Arial Narrow"/>
                <w:sz w:val="20"/>
                <w:szCs w:val="20"/>
              </w:rPr>
              <w:t xml:space="preserve"> </w:t>
            </w:r>
            <w:r w:rsidRPr="00141050">
              <w:rPr>
                <w:rFonts w:ascii="Arial Narrow" w:hAnsi="Arial Narrow" w:cs="Times New Roman"/>
                <w:b/>
                <w:sz w:val="20"/>
                <w:szCs w:val="20"/>
              </w:rPr>
              <w:t>sequence:</w:t>
            </w:r>
            <w:r w:rsidRPr="00141050">
              <w:rPr>
                <w:rFonts w:ascii="Arial Narrow" w:hAnsi="Arial Narrow" w:cs="Times New Roman"/>
                <w:sz w:val="20"/>
                <w:szCs w:val="20"/>
              </w:rPr>
              <w:t xml:space="preserve"> A steady-state free</w:t>
            </w:r>
            <w:r w:rsidR="00CF77AF" w:rsidRPr="00141050">
              <w:rPr>
                <w:rFonts w:ascii="Arial Narrow" w:hAnsi="Arial Narrow" w:cs="Times New Roman"/>
                <w:sz w:val="20"/>
                <w:szCs w:val="20"/>
              </w:rPr>
              <w:t>-</w:t>
            </w:r>
            <w:r w:rsidRPr="00141050">
              <w:rPr>
                <w:rFonts w:ascii="Arial Narrow" w:hAnsi="Arial Narrow" w:cs="Times New Roman"/>
                <w:sz w:val="20"/>
                <w:szCs w:val="20"/>
              </w:rPr>
              <w:t>precession sequence was applied for cine CMR.</w:t>
            </w:r>
          </w:p>
          <w:p w14:paraId="23A7CAFF" w14:textId="3E9C8ECD"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LGE sequence:</w:t>
            </w:r>
            <w:r w:rsidRPr="00141050">
              <w:rPr>
                <w:rFonts w:ascii="Arial Narrow" w:hAnsi="Arial Narrow" w:cs="Times New Roman"/>
                <w:sz w:val="20"/>
                <w:szCs w:val="20"/>
              </w:rPr>
              <w:t xml:space="preserve"> steady-state free precession sequence</w:t>
            </w:r>
          </w:p>
          <w:p w14:paraId="77235267" w14:textId="171F3221"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Contrast agent:</w:t>
            </w:r>
            <w:r w:rsidRPr="00141050">
              <w:rPr>
                <w:rFonts w:ascii="Arial Narrow" w:hAnsi="Arial Narrow" w:cs="Times New Roman"/>
                <w:sz w:val="20"/>
                <w:szCs w:val="20"/>
              </w:rPr>
              <w:t xml:space="preserve"> 0.15 mmol/kg </w:t>
            </w:r>
            <w:r w:rsidR="00CF77AF" w:rsidRPr="00141050">
              <w:rPr>
                <w:rFonts w:ascii="Arial Narrow" w:hAnsi="Arial Narrow" w:cs="Times New Roman"/>
                <w:sz w:val="20"/>
                <w:szCs w:val="20"/>
              </w:rPr>
              <w:t xml:space="preserve">Gd </w:t>
            </w:r>
            <w:r w:rsidRPr="00141050">
              <w:rPr>
                <w:rFonts w:ascii="Arial Narrow" w:hAnsi="Arial Narrow" w:cs="Times New Roman"/>
                <w:sz w:val="20"/>
                <w:szCs w:val="20"/>
              </w:rPr>
              <w:t>hydrate (Omniscan)</w:t>
            </w:r>
          </w:p>
          <w:p w14:paraId="211D3B59" w14:textId="77777777"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Time delay:</w:t>
            </w:r>
            <w:r w:rsidRPr="00141050">
              <w:rPr>
                <w:rFonts w:ascii="Arial Narrow" w:hAnsi="Arial Narrow" w:cs="Times New Roman"/>
                <w:sz w:val="20"/>
                <w:szCs w:val="20"/>
              </w:rPr>
              <w:t xml:space="preserve"> 10 minutes</w:t>
            </w:r>
          </w:p>
          <w:p w14:paraId="797A779B" w14:textId="4B448FBA"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LV function:</w:t>
            </w:r>
            <w:r w:rsidRPr="00141050">
              <w:rPr>
                <w:rFonts w:ascii="Arial Narrow" w:hAnsi="Arial Narrow" w:cs="Times New Roman"/>
                <w:sz w:val="20"/>
                <w:szCs w:val="20"/>
              </w:rPr>
              <w:t xml:space="preserve"> LV end-diastolic volume, LVEF and LV mass were acquired from 2</w:t>
            </w:r>
            <w:r w:rsidR="00CF77AF" w:rsidRPr="00141050">
              <w:rPr>
                <w:rFonts w:ascii="Arial Narrow" w:hAnsi="Arial Narrow" w:cs="Times New Roman"/>
                <w:sz w:val="20"/>
                <w:szCs w:val="20"/>
              </w:rPr>
              <w:t>D</w:t>
            </w:r>
            <w:r w:rsidRPr="00141050">
              <w:rPr>
                <w:rFonts w:ascii="Arial Narrow" w:hAnsi="Arial Narrow" w:cs="Times New Roman"/>
                <w:sz w:val="20"/>
                <w:szCs w:val="20"/>
              </w:rPr>
              <w:t xml:space="preserve"> cine images in the short-axis view.</w:t>
            </w:r>
          </w:p>
          <w:p w14:paraId="6A4B70F0" w14:textId="24C8036C" w:rsidR="00A474A9" w:rsidRPr="00141050" w:rsidRDefault="00A474A9" w:rsidP="004C79C1">
            <w:pPr>
              <w:spacing w:before="0" w:after="120" w:line="240" w:lineRule="auto"/>
              <w:ind w:right="-57"/>
              <w:rPr>
                <w:rFonts w:ascii="Arial Narrow" w:hAnsi="Arial Narrow" w:cs="Times New Roman"/>
                <w:sz w:val="20"/>
                <w:szCs w:val="20"/>
              </w:rPr>
            </w:pPr>
            <w:r w:rsidRPr="00141050">
              <w:rPr>
                <w:rFonts w:ascii="Arial Narrow" w:hAnsi="Arial Narrow" w:cs="Times New Roman"/>
                <w:b/>
                <w:sz w:val="20"/>
                <w:szCs w:val="20"/>
              </w:rPr>
              <w:t>LGE diagnosis:</w:t>
            </w:r>
            <w:r w:rsidRPr="00141050">
              <w:rPr>
                <w:rFonts w:ascii="Arial Narrow" w:hAnsi="Arial Narrow" w:cs="Times New Roman"/>
                <w:sz w:val="20"/>
                <w:szCs w:val="20"/>
              </w:rPr>
              <w:t xml:space="preserve"> </w:t>
            </w:r>
            <w:r w:rsidR="00CF77AF" w:rsidRPr="00141050">
              <w:rPr>
                <w:rFonts w:ascii="Arial Narrow" w:hAnsi="Arial Narrow" w:cs="Times New Roman"/>
                <w:sz w:val="20"/>
                <w:szCs w:val="20"/>
              </w:rPr>
              <w:t xml:space="preserve">2 </w:t>
            </w:r>
            <w:r w:rsidRPr="00141050">
              <w:rPr>
                <w:rFonts w:ascii="Arial Narrow" w:hAnsi="Arial Narrow" w:cs="Times New Roman"/>
                <w:sz w:val="20"/>
                <w:szCs w:val="20"/>
              </w:rPr>
              <w:t>other experienced independent observers who were blinded to patient outcomes evaluated the CMR images.</w:t>
            </w:r>
            <w:r w:rsidRPr="00BA665C">
              <w:rPr>
                <w:rFonts w:ascii="Arial Narrow" w:hAnsi="Arial Narrow"/>
                <w:sz w:val="20"/>
                <w:szCs w:val="20"/>
              </w:rPr>
              <w:t xml:space="preserve"> </w:t>
            </w:r>
            <w:r w:rsidRPr="00141050">
              <w:rPr>
                <w:rFonts w:ascii="Arial Narrow" w:hAnsi="Arial Narrow" w:cs="Times New Roman"/>
                <w:sz w:val="20"/>
                <w:szCs w:val="20"/>
              </w:rPr>
              <w:t xml:space="preserve">The extent of LGE in each segment was visually classified as scores from 0 to 6 as follows: 0 </w:t>
            </w:r>
            <w:r w:rsidR="006A7D36" w:rsidRPr="00141050">
              <w:rPr>
                <w:rFonts w:ascii="Arial Narrow" w:hAnsi="Arial Narrow" w:cs="Times New Roman"/>
                <w:sz w:val="20"/>
                <w:szCs w:val="20"/>
              </w:rPr>
              <w:t xml:space="preserve">= </w:t>
            </w:r>
            <w:r w:rsidRPr="00141050">
              <w:rPr>
                <w:rFonts w:ascii="Arial Narrow" w:hAnsi="Arial Narrow" w:cs="Times New Roman"/>
                <w:sz w:val="20"/>
                <w:szCs w:val="20"/>
              </w:rPr>
              <w:t>none; 1, 2, 3 and 4</w:t>
            </w:r>
            <w:r w:rsidR="006A7D36" w:rsidRPr="00141050">
              <w:rPr>
                <w:rFonts w:ascii="Arial Narrow" w:hAnsi="Arial Narrow" w:cs="Times New Roman"/>
                <w:sz w:val="20"/>
                <w:szCs w:val="20"/>
              </w:rPr>
              <w:t xml:space="preserve"> =</w:t>
            </w:r>
            <w:r w:rsidRPr="00141050">
              <w:rPr>
                <w:rFonts w:ascii="Arial Narrow" w:hAnsi="Arial Narrow" w:cs="Times New Roman"/>
                <w:sz w:val="20"/>
                <w:szCs w:val="20"/>
              </w:rPr>
              <w:t xml:space="preserve"> endocardial distribution with transmural extent &lt;25%, 25–49%, 50–74% and ≥75%, </w:t>
            </w:r>
            <w:r w:rsidRPr="00141050">
              <w:rPr>
                <w:rFonts w:ascii="Arial Narrow" w:hAnsi="Arial Narrow" w:cs="Times New Roman"/>
                <w:sz w:val="20"/>
                <w:szCs w:val="20"/>
              </w:rPr>
              <w:lastRenderedPageBreak/>
              <w:t xml:space="preserve">respectively; 5 </w:t>
            </w:r>
            <w:r w:rsidR="006A7D36" w:rsidRPr="00141050">
              <w:rPr>
                <w:rFonts w:ascii="Arial Narrow" w:hAnsi="Arial Narrow" w:cs="Times New Roman"/>
                <w:sz w:val="20"/>
                <w:szCs w:val="20"/>
              </w:rPr>
              <w:t xml:space="preserve">= </w:t>
            </w:r>
            <w:r w:rsidRPr="00141050">
              <w:rPr>
                <w:rFonts w:ascii="Arial Narrow" w:hAnsi="Arial Narrow" w:cs="Times New Roman"/>
                <w:sz w:val="20"/>
                <w:szCs w:val="20"/>
              </w:rPr>
              <w:t xml:space="preserve">patchy distribution and 6 </w:t>
            </w:r>
            <w:r w:rsidR="006A7D36" w:rsidRPr="00141050">
              <w:rPr>
                <w:rFonts w:ascii="Arial Narrow" w:hAnsi="Arial Narrow" w:cs="Times New Roman"/>
                <w:sz w:val="20"/>
                <w:szCs w:val="20"/>
              </w:rPr>
              <w:t xml:space="preserve">= </w:t>
            </w:r>
            <w:r w:rsidRPr="00141050">
              <w:rPr>
                <w:rFonts w:ascii="Arial Narrow" w:hAnsi="Arial Narrow" w:cs="Times New Roman"/>
                <w:sz w:val="20"/>
                <w:szCs w:val="20"/>
              </w:rPr>
              <w:t>mid-wall linear distribution (both reflected a non-ischaemic morphology</w:t>
            </w:r>
          </w:p>
        </w:tc>
        <w:tc>
          <w:tcPr>
            <w:tcW w:w="1324" w:type="pct"/>
          </w:tcPr>
          <w:p w14:paraId="6B389C4C" w14:textId="77777777" w:rsidR="00A474A9" w:rsidRPr="00141050" w:rsidRDefault="00A474A9" w:rsidP="004C79C1">
            <w:pPr>
              <w:spacing w:before="0" w:after="120" w:line="240" w:lineRule="auto"/>
              <w:ind w:right="-57"/>
              <w:rPr>
                <w:rFonts w:ascii="Arial Narrow" w:hAnsi="Arial Narrow"/>
                <w:b/>
                <w:sz w:val="20"/>
                <w:szCs w:val="20"/>
              </w:rPr>
            </w:pPr>
            <w:r w:rsidRPr="00141050">
              <w:rPr>
                <w:rFonts w:ascii="Arial Narrow" w:hAnsi="Arial Narrow"/>
                <w:b/>
                <w:sz w:val="20"/>
                <w:szCs w:val="20"/>
              </w:rPr>
              <w:lastRenderedPageBreak/>
              <w:t>MIBI-BMIPP dual SPECT:</w:t>
            </w:r>
          </w:p>
          <w:p w14:paraId="75D10C23" w14:textId="2B493990" w:rsidR="00A474A9" w:rsidRPr="00141050" w:rsidRDefault="00A474A9" w:rsidP="004C79C1">
            <w:pPr>
              <w:spacing w:before="0" w:after="120" w:line="240" w:lineRule="auto"/>
              <w:ind w:right="-57"/>
              <w:rPr>
                <w:rFonts w:ascii="Arial Narrow" w:hAnsi="Arial Narrow"/>
                <w:sz w:val="20"/>
                <w:szCs w:val="20"/>
              </w:rPr>
            </w:pPr>
            <w:r w:rsidRPr="00141050">
              <w:rPr>
                <w:rFonts w:ascii="Arial Narrow" w:hAnsi="Arial Narrow"/>
                <w:sz w:val="20"/>
                <w:szCs w:val="20"/>
              </w:rPr>
              <w:t>Patients at rest were simultaneously injected with MIBI (555</w:t>
            </w:r>
            <w:r w:rsidR="00A352E1" w:rsidRPr="00141050">
              <w:rPr>
                <w:rFonts w:ascii="Arial Narrow" w:hAnsi="Arial Narrow"/>
                <w:sz w:val="20"/>
                <w:szCs w:val="20"/>
              </w:rPr>
              <w:t> </w:t>
            </w:r>
            <w:r w:rsidRPr="00141050">
              <w:rPr>
                <w:rFonts w:ascii="Arial Narrow" w:hAnsi="Arial Narrow"/>
                <w:sz w:val="20"/>
                <w:szCs w:val="20"/>
              </w:rPr>
              <w:t>MBq) and BMIPP (148</w:t>
            </w:r>
            <w:r w:rsidR="00A352E1" w:rsidRPr="00141050">
              <w:rPr>
                <w:rFonts w:ascii="Arial Narrow" w:hAnsi="Arial Narrow"/>
                <w:sz w:val="20"/>
                <w:szCs w:val="20"/>
              </w:rPr>
              <w:t> </w:t>
            </w:r>
            <w:r w:rsidRPr="00141050">
              <w:rPr>
                <w:rFonts w:ascii="Arial Narrow" w:hAnsi="Arial Narrow"/>
                <w:sz w:val="20"/>
                <w:szCs w:val="20"/>
              </w:rPr>
              <w:t>MBq) intravenously and then assessed by dual-radionuclide SPECT imaging 40–60</w:t>
            </w:r>
            <w:r w:rsidR="000C2441" w:rsidRPr="00141050">
              <w:rPr>
                <w:rFonts w:ascii="Arial Narrow" w:hAnsi="Arial Narrow"/>
                <w:sz w:val="20"/>
                <w:szCs w:val="20"/>
              </w:rPr>
              <w:t> </w:t>
            </w:r>
            <w:r w:rsidRPr="00141050">
              <w:rPr>
                <w:rFonts w:ascii="Arial Narrow" w:hAnsi="Arial Narrow"/>
                <w:sz w:val="20"/>
                <w:szCs w:val="20"/>
              </w:rPr>
              <w:t>minutes later.</w:t>
            </w:r>
          </w:p>
          <w:p w14:paraId="6FCB96B8" w14:textId="23229BDF" w:rsidR="00A474A9" w:rsidRPr="00141050" w:rsidRDefault="00A474A9" w:rsidP="004C79C1">
            <w:pPr>
              <w:spacing w:before="0" w:after="120" w:line="240" w:lineRule="auto"/>
              <w:ind w:right="-57"/>
              <w:rPr>
                <w:rFonts w:ascii="Arial Narrow" w:hAnsi="Arial Narrow"/>
                <w:sz w:val="20"/>
                <w:szCs w:val="20"/>
              </w:rPr>
            </w:pPr>
            <w:r w:rsidRPr="00141050">
              <w:rPr>
                <w:rFonts w:ascii="Arial Narrow" w:hAnsi="Arial Narrow"/>
                <w:b/>
                <w:sz w:val="20"/>
                <w:szCs w:val="20"/>
              </w:rPr>
              <w:t>Mismatch diagnosis:</w:t>
            </w:r>
            <w:r w:rsidRPr="00141050">
              <w:rPr>
                <w:rFonts w:ascii="Arial Narrow" w:hAnsi="Arial Narrow"/>
                <w:sz w:val="20"/>
                <w:szCs w:val="20"/>
              </w:rPr>
              <w:t xml:space="preserve"> </w:t>
            </w:r>
            <w:r w:rsidR="000C2441" w:rsidRPr="00141050">
              <w:rPr>
                <w:rFonts w:ascii="Arial Narrow" w:hAnsi="Arial Narrow"/>
                <w:sz w:val="20"/>
                <w:szCs w:val="20"/>
              </w:rPr>
              <w:t xml:space="preserve">2 </w:t>
            </w:r>
            <w:r w:rsidRPr="00141050">
              <w:rPr>
                <w:rFonts w:ascii="Arial Narrow" w:hAnsi="Arial Narrow"/>
                <w:sz w:val="20"/>
                <w:szCs w:val="20"/>
              </w:rPr>
              <w:t>experienced independent observers who were blinded to patient outcomes evaluated the myocardial SPECT images.</w:t>
            </w:r>
            <w:r w:rsidRPr="00BA665C">
              <w:rPr>
                <w:rFonts w:ascii="Arial Narrow" w:hAnsi="Arial Narrow"/>
                <w:sz w:val="20"/>
                <w:szCs w:val="20"/>
              </w:rPr>
              <w:t xml:space="preserve"> </w:t>
            </w:r>
            <w:r w:rsidRPr="00141050">
              <w:rPr>
                <w:rFonts w:ascii="Arial Narrow" w:hAnsi="Arial Narrow"/>
                <w:sz w:val="20"/>
                <w:szCs w:val="20"/>
              </w:rPr>
              <w:t>The 17 LV segments were semi-quantified according to a 5-level fixed defect scale of 0–4 representing, respectively, normal, mildly, moderately and severely reduced uptake. The TDS was defined as the sum of the defect scores for each ventricular segment. A perfusion-metabolism mismatch was defined as segments in which BMIPP and MIBI scores differed.</w:t>
            </w:r>
          </w:p>
        </w:tc>
      </w:tr>
    </w:tbl>
    <w:p w14:paraId="7B016473" w14:textId="5AFA4404" w:rsidR="00A474A9" w:rsidRPr="00A474A9" w:rsidRDefault="00A474A9" w:rsidP="004C79C1">
      <w:pPr>
        <w:pStyle w:val="Tabletext1"/>
        <w:spacing w:before="0" w:after="120"/>
      </w:pPr>
      <w:r w:rsidRPr="00A474A9">
        <w:rPr>
          <w:vertAlign w:val="superscript"/>
        </w:rPr>
        <w:lastRenderedPageBreak/>
        <w:t xml:space="preserve">a </w:t>
      </w:r>
      <w:r w:rsidRPr="00A474A9">
        <w:t xml:space="preserve">Quality appraisal was undertaken using the SIGN checklist for cohort studies </w:t>
      </w:r>
      <w:r w:rsidR="00187A29">
        <w:fldChar w:fldCharType="begin"/>
      </w:r>
      <w:r w:rsidR="00187A29">
        <w:instrText xml:space="preserve"> ADDIN EN.CITE &lt;EndNote&gt;&lt;Cite&gt;&lt;Author&gt;SIGN&lt;/Author&gt;&lt;Year&gt;2014&lt;/Year&gt;&lt;RecNum&gt;80&lt;/RecNum&gt;&lt;DisplayText&gt;(SIGN 2014)&lt;/DisplayText&gt;&lt;record&gt;&lt;rec-number&gt;80&lt;/rec-number&gt;&lt;foreign-keys&gt;&lt;key app="EN" db-id="pfxxvref0t0a5de2vwnv2fwkz0p9v0r2fw0t" timestamp="1458111095"&gt;80&lt;/key&gt;&lt;/foreign-keys&gt;&lt;ref-type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187A29">
        <w:fldChar w:fldCharType="separate"/>
      </w:r>
      <w:r w:rsidR="00187A29">
        <w:rPr>
          <w:noProof/>
        </w:rPr>
        <w:t>(</w:t>
      </w:r>
      <w:hyperlink w:anchor="_ENREF_118" w:tooltip="SIGN, 2014 #80" w:history="1">
        <w:r w:rsidR="00B906E9">
          <w:rPr>
            <w:noProof/>
          </w:rPr>
          <w:t>SIGN 2014</w:t>
        </w:r>
      </w:hyperlink>
      <w:r w:rsidR="00187A29">
        <w:rPr>
          <w:noProof/>
        </w:rPr>
        <w:t>)</w:t>
      </w:r>
      <w:r w:rsidR="00187A29">
        <w:fldChar w:fldCharType="end"/>
      </w:r>
      <w:r w:rsidR="004E164F">
        <w:t>.</w:t>
      </w:r>
    </w:p>
    <w:p w14:paraId="7F7798AB" w14:textId="4F0AE81C" w:rsidR="00A474A9" w:rsidRDefault="00A474A9" w:rsidP="004C79C1">
      <w:pPr>
        <w:pStyle w:val="Tabletext1"/>
        <w:spacing w:before="0" w:after="120"/>
        <w:jc w:val="both"/>
      </w:pPr>
      <w:r w:rsidRPr="00242EDE">
        <w:t xml:space="preserve">ACE = angiotensin converting enzyme; ARB = angiotensin II receptor blocker; BMIPP = 123I–15-(p-iodophenyl)-3(R,S)-methylpentadecanoic acid; CMR = cardiac magnetic resonance </w:t>
      </w:r>
      <w:r w:rsidR="006B76DB">
        <w:t>(</w:t>
      </w:r>
      <w:r w:rsidRPr="00242EDE">
        <w:t>imaging</w:t>
      </w:r>
      <w:r w:rsidR="006B76DB">
        <w:t>)</w:t>
      </w:r>
      <w:r w:rsidRPr="00242EDE">
        <w:t>; CRT = cardiac resynchroni</w:t>
      </w:r>
      <w:r w:rsidR="000F6079" w:rsidRPr="00242EDE">
        <w:t>s</w:t>
      </w:r>
      <w:r w:rsidRPr="00242EDE">
        <w:t xml:space="preserve">ation therapy; DCM = dilated cardiomyopathy; DTPA = diethylenetriamine pentaacetic acid; ECG = electrocardiogram; </w:t>
      </w:r>
      <w:r w:rsidR="00CF1F17" w:rsidRPr="00242EDE">
        <w:t xml:space="preserve">Echo = echocardiography; </w:t>
      </w:r>
      <w:r w:rsidR="00480DEE">
        <w:t xml:space="preserve">Gd = </w:t>
      </w:r>
      <w:r w:rsidR="00480DEE" w:rsidRPr="00BA665C">
        <w:t>gadolinium</w:t>
      </w:r>
      <w:r w:rsidR="00480DEE">
        <w:rPr>
          <w:b/>
        </w:rPr>
        <w:t xml:space="preserve">; </w:t>
      </w:r>
      <w:r w:rsidRPr="00242EDE">
        <w:t xml:space="preserve">HF = heart failure; ICM = ischaemic cardiomyopathy; LGE = late gadolinium enhancement; LV = left ventricular; LVEDV = left ventricular end-diastolic volume; LVEF = left ventricular ejection fraction; MIBI = </w:t>
      </w:r>
      <w:r w:rsidRPr="00242EDE">
        <w:rPr>
          <w:vertAlign w:val="superscript"/>
        </w:rPr>
        <w:t>99</w:t>
      </w:r>
      <w:r w:rsidRPr="00242EDE">
        <w:t xml:space="preserve">mTc-2-methoxy isobutyl isonitrile; NHMRC = National Health and Medical Research Council; NYHA = New York Heart Association; </w:t>
      </w:r>
      <w:r w:rsidR="001132ED">
        <w:t xml:space="preserve">SIGN = </w:t>
      </w:r>
      <w:r w:rsidR="001132ED" w:rsidRPr="00401C4D">
        <w:t>Scottish Intercollegiate Guidelines Network quality assessment tool</w:t>
      </w:r>
      <w:r w:rsidR="001132ED">
        <w:t>;</w:t>
      </w:r>
      <w:r w:rsidR="001132ED" w:rsidRPr="00242EDE">
        <w:t xml:space="preserve"> </w:t>
      </w:r>
      <w:r w:rsidRPr="00242EDE">
        <w:t>SPECT = single-photon-emission computeri</w:t>
      </w:r>
      <w:r w:rsidR="00542A50" w:rsidRPr="00242EDE">
        <w:t>s</w:t>
      </w:r>
      <w:r w:rsidRPr="00242EDE">
        <w:t>ed tomography</w:t>
      </w:r>
    </w:p>
    <w:p w14:paraId="2A28D2EE" w14:textId="526D9D13" w:rsidR="00A474A9" w:rsidRPr="00526FBF" w:rsidRDefault="0062633B" w:rsidP="004C79C1">
      <w:pPr>
        <w:pStyle w:val="Caption"/>
      </w:pPr>
      <w:bookmarkStart w:id="820" w:name="_Ref451329099"/>
      <w:bookmarkStart w:id="821" w:name="_Toc324410254"/>
      <w:bookmarkStart w:id="822" w:name="_Toc451435407"/>
      <w:r>
        <w:t xml:space="preserve">Table </w:t>
      </w:r>
      <w:fldSimple w:instr=" SEQ Table \* ARABIC ">
        <w:r w:rsidR="00050936">
          <w:rPr>
            <w:noProof/>
          </w:rPr>
          <w:t>80</w:t>
        </w:r>
      </w:fldSimple>
      <w:bookmarkEnd w:id="820"/>
      <w:r w:rsidR="00A474A9">
        <w:tab/>
      </w:r>
      <w:r w:rsidR="00A474A9" w:rsidRPr="00526FBF">
        <w:t>Study profiles of included prognostic cohort studies in children</w:t>
      </w:r>
      <w:bookmarkEnd w:id="821"/>
      <w:bookmarkEnd w:id="822"/>
    </w:p>
    <w:tbl>
      <w:tblPr>
        <w:tblStyle w:val="TableGrid31"/>
        <w:tblW w:w="5000" w:type="pct"/>
        <w:tblLook w:val="04A0" w:firstRow="1" w:lastRow="0" w:firstColumn="1" w:lastColumn="0" w:noHBand="0" w:noVBand="1"/>
        <w:tblDescription w:val="Study profiles of included prognostic cohort studies in children"/>
      </w:tblPr>
      <w:tblGrid>
        <w:gridCol w:w="1031"/>
        <w:gridCol w:w="1550"/>
        <w:gridCol w:w="1810"/>
        <w:gridCol w:w="2324"/>
        <w:gridCol w:w="2714"/>
        <w:gridCol w:w="3747"/>
      </w:tblGrid>
      <w:tr w:rsidR="00A474A9" w:rsidRPr="00526FBF" w14:paraId="02072116" w14:textId="77777777" w:rsidTr="00BE5D7C">
        <w:trPr>
          <w:tblHeader/>
        </w:trPr>
        <w:tc>
          <w:tcPr>
            <w:tcW w:w="391" w:type="pct"/>
          </w:tcPr>
          <w:p w14:paraId="7B30C335"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Study</w:t>
            </w:r>
          </w:p>
          <w:p w14:paraId="18BDC4CA" w14:textId="77777777" w:rsidR="00A474A9" w:rsidRPr="00526FBF" w:rsidRDefault="00A474A9" w:rsidP="004C79C1">
            <w:pPr>
              <w:keepNext/>
              <w:spacing w:before="0" w:after="120" w:line="240" w:lineRule="auto"/>
              <w:ind w:right="-57"/>
              <w:rPr>
                <w:rFonts w:ascii="Arial Narrow" w:hAnsi="Arial Narrow"/>
                <w:b/>
                <w:sz w:val="20"/>
                <w:szCs w:val="20"/>
              </w:rPr>
            </w:pPr>
            <w:r w:rsidRPr="00526FBF">
              <w:rPr>
                <w:rFonts w:ascii="Arial Narrow" w:hAnsi="Arial Narrow"/>
                <w:b/>
                <w:sz w:val="20"/>
                <w:szCs w:val="20"/>
              </w:rPr>
              <w:t>Country</w:t>
            </w:r>
          </w:p>
        </w:tc>
        <w:tc>
          <w:tcPr>
            <w:tcW w:w="588" w:type="pct"/>
          </w:tcPr>
          <w:p w14:paraId="433328AA"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Level of evidence</w:t>
            </w:r>
          </w:p>
          <w:p w14:paraId="1CABCCD7"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Quality appraisal</w:t>
            </w:r>
          </w:p>
        </w:tc>
        <w:tc>
          <w:tcPr>
            <w:tcW w:w="687" w:type="pct"/>
          </w:tcPr>
          <w:p w14:paraId="05DE07BC" w14:textId="77777777" w:rsidR="00A474A9" w:rsidRPr="00526FBF" w:rsidRDefault="00A474A9" w:rsidP="004C79C1">
            <w:pPr>
              <w:keepNext/>
              <w:tabs>
                <w:tab w:val="left" w:pos="89"/>
              </w:tabs>
              <w:spacing w:before="0" w:after="120" w:line="240" w:lineRule="auto"/>
              <w:ind w:right="-57"/>
              <w:rPr>
                <w:rFonts w:ascii="Arial Narrow" w:hAnsi="Arial Narrow"/>
                <w:b/>
                <w:sz w:val="20"/>
              </w:rPr>
            </w:pPr>
            <w:r w:rsidRPr="00526FBF">
              <w:rPr>
                <w:rFonts w:ascii="Arial Narrow" w:hAnsi="Arial Narrow"/>
                <w:b/>
                <w:sz w:val="20"/>
              </w:rPr>
              <w:t>Study population</w:t>
            </w:r>
          </w:p>
        </w:tc>
        <w:tc>
          <w:tcPr>
            <w:tcW w:w="882" w:type="pct"/>
          </w:tcPr>
          <w:p w14:paraId="31DB708B"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Inclusion criteria / exclusion criteria</w:t>
            </w:r>
          </w:p>
        </w:tc>
        <w:tc>
          <w:tcPr>
            <w:tcW w:w="1030" w:type="pct"/>
          </w:tcPr>
          <w:p w14:paraId="4A7955A5"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LGE-CMR</w:t>
            </w:r>
          </w:p>
        </w:tc>
        <w:tc>
          <w:tcPr>
            <w:tcW w:w="1422" w:type="pct"/>
          </w:tcPr>
          <w:p w14:paraId="2BD769EB" w14:textId="77777777" w:rsidR="00A474A9" w:rsidRPr="00526FBF" w:rsidRDefault="00A474A9" w:rsidP="004C79C1">
            <w:pPr>
              <w:keepNext/>
              <w:spacing w:before="0" w:after="120" w:line="240" w:lineRule="auto"/>
              <w:ind w:right="-57"/>
              <w:rPr>
                <w:rFonts w:ascii="Arial Narrow" w:hAnsi="Arial Narrow"/>
                <w:b/>
                <w:sz w:val="20"/>
              </w:rPr>
            </w:pPr>
            <w:r w:rsidRPr="00526FBF">
              <w:rPr>
                <w:rFonts w:ascii="Arial Narrow" w:hAnsi="Arial Narrow"/>
                <w:b/>
                <w:sz w:val="20"/>
              </w:rPr>
              <w:t>Intervention and outcomes</w:t>
            </w:r>
          </w:p>
        </w:tc>
      </w:tr>
      <w:tr w:rsidR="00A474A9" w:rsidRPr="00526FBF" w14:paraId="4CE8B428" w14:textId="77777777" w:rsidTr="00BE5D7C">
        <w:tc>
          <w:tcPr>
            <w:tcW w:w="391" w:type="pct"/>
          </w:tcPr>
          <w:p w14:paraId="668CEBC2" w14:textId="532917A0"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Raimondi </w:t>
            </w:r>
            <w:r>
              <w:rPr>
                <w:rFonts w:ascii="Arial Narrow" w:hAnsi="Arial Narrow" w:cs="Arial Narrow"/>
                <w:bCs/>
                <w:sz w:val="20"/>
                <w:szCs w:val="20"/>
              </w:rPr>
              <w:t xml:space="preserve">et al. </w:t>
            </w:r>
            <w:r w:rsidR="00187A29">
              <w:rPr>
                <w:rFonts w:ascii="Arial Narrow" w:hAnsi="Arial Narrow" w:cs="Arial Narrow"/>
                <w:bCs/>
                <w:sz w:val="20"/>
                <w:szCs w:val="20"/>
              </w:rPr>
              <w:fldChar w:fldCharType="begin"/>
            </w:r>
            <w:r w:rsidR="00187A29">
              <w:rPr>
                <w:rFonts w:ascii="Arial Narrow" w:hAnsi="Arial Narrow" w:cs="Arial Narrow"/>
                <w:bCs/>
                <w:sz w:val="20"/>
                <w:szCs w:val="20"/>
              </w:rPr>
              <w:instrText xml:space="preserve"> ADDIN EN.CITE &lt;EndNote&gt;&lt;Cite ExcludeAuth="1"&gt;&lt;Author&gt;Raimondi&lt;/Author&gt;&lt;Year&gt;2015&lt;/Year&gt;&lt;RecNum&gt;58&lt;/RecNum&gt;&lt;DisplayText&gt;(2015)&lt;/DisplayText&gt;&lt;record&gt;&lt;rec-number&gt;58&lt;/rec-number&gt;&lt;foreign-keys&gt;&lt;key app="EN" db-id="pfxxvref0t0a5de2vwnv2fwkz0p9v0r2fw0t" timestamp="1458109055"&gt;58&lt;/key&gt;&lt;/foreign-keys&gt;&lt;ref-type name="Journal Article"&gt;17&lt;/ref-type&gt;&lt;contributors&gt;&lt;authors&gt;&lt;author&gt;Raimondi, F.&lt;/author&gt;&lt;author&gt;Iserin, F.&lt;/author&gt;&lt;author&gt;Raisky, O.&lt;/author&gt;&lt;author&gt;Laux, D.&lt;/author&gt;&lt;author&gt;Bajolle, F.&lt;/author&gt;&lt;author&gt;Boudjemline, Y.&lt;/author&gt;&lt;author&gt;Boddaert, N.&lt;/author&gt;&lt;author&gt;Bonnet, D.&lt;/author&gt;&lt;/authors&gt;&lt;/contributors&gt;&lt;titles&gt;&lt;title&gt;Myocardial inflammation on cardiovascular magnetic resonance predicts left ventricular function recovery in children with recent dilated cardiomyopathy&lt;/title&gt;&lt;secondary-title&gt;European Heart Journal Cardiovascular Imaging&lt;/secondary-title&gt;&lt;/titles&gt;&lt;periodical&gt;&lt;full-title&gt;European Heart Journal Cardiovascular Imaging&lt;/full-title&gt;&lt;/periodical&gt;&lt;pages&gt;756-62&lt;/pages&gt;&lt;volume&gt;16&lt;/volume&gt;&lt;number&gt;7&lt;/number&gt;&lt;dates&gt;&lt;year&gt;2015&lt;/year&gt;&lt;pub-dates&gt;&lt;date&gt;2015-01-01&lt;/date&gt;&lt;/pub-dates&gt;&lt;/dates&gt;&lt;urls&gt;&lt;related-urls&gt;&lt;url&gt;http://ehjcimaging.oxfordjournals.org/content/ejechocard/16/7/756.full.pdf&lt;/url&gt;&lt;/related-urls&gt;&lt;/urls&gt;&lt;custom1&gt;RAYYAN-INCLUSION: {&amp;quot;Sharon&amp;quot;=&amp;gt;true} | RAYYAN-LABELS: prognostic,DCM&lt;/custom1&gt;&lt;research-notes&gt;Acceptable&lt;/research-notes&gt;&lt;language&gt;eng&lt;/language&gt;&lt;/record&gt;&lt;/Cite&gt;&lt;/EndNote&gt;</w:instrText>
            </w:r>
            <w:r w:rsidR="00187A29">
              <w:rPr>
                <w:rFonts w:ascii="Arial Narrow" w:hAnsi="Arial Narrow" w:cs="Arial Narrow"/>
                <w:bCs/>
                <w:sz w:val="20"/>
                <w:szCs w:val="20"/>
              </w:rPr>
              <w:fldChar w:fldCharType="separate"/>
            </w:r>
            <w:r w:rsidR="00187A29">
              <w:rPr>
                <w:rFonts w:ascii="Arial Narrow" w:hAnsi="Arial Narrow" w:cs="Arial Narrow"/>
                <w:bCs/>
                <w:noProof/>
                <w:sz w:val="20"/>
                <w:szCs w:val="20"/>
              </w:rPr>
              <w:t>(</w:t>
            </w:r>
            <w:hyperlink w:anchor="_ENREF_106" w:tooltip="Raimondi, 2015 #58" w:history="1">
              <w:r w:rsidR="00B906E9">
                <w:rPr>
                  <w:rFonts w:ascii="Arial Narrow" w:hAnsi="Arial Narrow" w:cs="Arial Narrow"/>
                  <w:bCs/>
                  <w:noProof/>
                  <w:sz w:val="20"/>
                  <w:szCs w:val="20"/>
                </w:rPr>
                <w:t>2015</w:t>
              </w:r>
            </w:hyperlink>
            <w:r w:rsidR="00187A29">
              <w:rPr>
                <w:rFonts w:ascii="Arial Narrow" w:hAnsi="Arial Narrow" w:cs="Arial Narrow"/>
                <w:bCs/>
                <w:noProof/>
                <w:sz w:val="20"/>
                <w:szCs w:val="20"/>
              </w:rPr>
              <w:t>)</w:t>
            </w:r>
            <w:r w:rsidR="00187A29">
              <w:rPr>
                <w:rFonts w:ascii="Arial Narrow" w:hAnsi="Arial Narrow" w:cs="Arial Narrow"/>
                <w:bCs/>
                <w:sz w:val="20"/>
                <w:szCs w:val="20"/>
              </w:rPr>
              <w:fldChar w:fldCharType="end"/>
            </w:r>
          </w:p>
          <w:p w14:paraId="473D561C" w14:textId="77777777" w:rsidR="00A474A9" w:rsidRPr="00526FBF" w:rsidRDefault="00A474A9" w:rsidP="004C79C1">
            <w:pPr>
              <w:spacing w:before="0" w:after="120" w:line="240" w:lineRule="auto"/>
              <w:rPr>
                <w:rFonts w:ascii="Arial Narrow" w:hAnsi="Arial Narrow" w:cs="Arial Narrow"/>
                <w:bCs/>
                <w:sz w:val="20"/>
                <w:szCs w:val="20"/>
              </w:rPr>
            </w:pPr>
          </w:p>
          <w:p w14:paraId="171D387B" w14:textId="77777777"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France</w:t>
            </w:r>
          </w:p>
        </w:tc>
        <w:tc>
          <w:tcPr>
            <w:tcW w:w="588" w:type="pct"/>
            <w:shd w:val="clear" w:color="auto" w:fill="auto"/>
          </w:tcPr>
          <w:p w14:paraId="570C8506"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cs="Arial Narrow"/>
                <w:bCs/>
                <w:sz w:val="20"/>
                <w:szCs w:val="20"/>
              </w:rPr>
              <w:t>Prospective cohort</w:t>
            </w:r>
            <w:r w:rsidRPr="00526FBF">
              <w:rPr>
                <w:rFonts w:ascii="Arial Narrow" w:hAnsi="Arial Narrow" w:cs="Arial Narrow"/>
                <w:bCs/>
                <w:sz w:val="20"/>
              </w:rPr>
              <w:t xml:space="preserve"> </w:t>
            </w:r>
          </w:p>
          <w:p w14:paraId="165815D1" w14:textId="77777777" w:rsidR="00A474A9" w:rsidRPr="00526FBF" w:rsidRDefault="00A474A9" w:rsidP="004C79C1">
            <w:pPr>
              <w:spacing w:before="0" w:after="120" w:line="240" w:lineRule="auto"/>
              <w:ind w:right="-57"/>
              <w:rPr>
                <w:rFonts w:ascii="Arial Narrow" w:hAnsi="Arial Narrow" w:cs="Arial Narrow"/>
                <w:bCs/>
                <w:sz w:val="20"/>
              </w:rPr>
            </w:pPr>
          </w:p>
          <w:p w14:paraId="4C49B636" w14:textId="77777777" w:rsidR="00A474A9" w:rsidRPr="00526FBF" w:rsidRDefault="00A474A9" w:rsidP="004C79C1">
            <w:pPr>
              <w:spacing w:before="0" w:after="120" w:line="240" w:lineRule="auto"/>
              <w:ind w:right="-57"/>
              <w:rPr>
                <w:rFonts w:ascii="Arial Narrow" w:hAnsi="Arial Narrow" w:cs="Arial Narrow"/>
                <w:bCs/>
                <w:sz w:val="20"/>
              </w:rPr>
            </w:pPr>
            <w:r w:rsidRPr="00526FBF">
              <w:rPr>
                <w:rFonts w:ascii="Arial Narrow" w:hAnsi="Arial Narrow" w:cs="Arial Narrow"/>
                <w:bCs/>
                <w:sz w:val="20"/>
              </w:rPr>
              <w:t>NHMRC level II</w:t>
            </w:r>
          </w:p>
          <w:p w14:paraId="42E013CD" w14:textId="77777777" w:rsidR="00A474A9" w:rsidRPr="00526FBF" w:rsidRDefault="00A474A9" w:rsidP="004C79C1">
            <w:pPr>
              <w:spacing w:before="0" w:after="120" w:line="240" w:lineRule="auto"/>
              <w:ind w:right="-57"/>
              <w:rPr>
                <w:rFonts w:ascii="Arial Narrow" w:hAnsi="Arial Narrow" w:cs="Arial Narrow"/>
                <w:bCs/>
                <w:sz w:val="20"/>
              </w:rPr>
            </w:pPr>
          </w:p>
          <w:p w14:paraId="296485AD"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Cs/>
                <w:sz w:val="20"/>
              </w:rPr>
              <w:t>SIGN: acceptable quality with a moderate risk of bias</w:t>
            </w:r>
          </w:p>
        </w:tc>
        <w:tc>
          <w:tcPr>
            <w:tcW w:w="687" w:type="pct"/>
          </w:tcPr>
          <w:p w14:paraId="10690E66" w14:textId="2DD5FDA4"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N=55 children who had developed for 3</w:t>
            </w:r>
            <w:r w:rsidR="00C517B3">
              <w:rPr>
                <w:rFonts w:ascii="Arial Narrow" w:hAnsi="Arial Narrow" w:cs="Arial Narrow"/>
                <w:bCs/>
                <w:sz w:val="20"/>
                <w:szCs w:val="20"/>
              </w:rPr>
              <w:t> </w:t>
            </w:r>
            <w:r w:rsidRPr="00526FBF">
              <w:rPr>
                <w:rFonts w:ascii="Arial Narrow" w:hAnsi="Arial Narrow" w:cs="Arial Narrow"/>
                <w:bCs/>
                <w:sz w:val="20"/>
                <w:szCs w:val="20"/>
              </w:rPr>
              <w:t>months or less symptoms consistent with HF related to DCM of unknown origin</w:t>
            </w:r>
            <w:r w:rsidR="00721596">
              <w:rPr>
                <w:rFonts w:ascii="Arial Narrow" w:hAnsi="Arial Narrow" w:cs="Arial Narrow"/>
                <w:bCs/>
                <w:sz w:val="20"/>
                <w:szCs w:val="20"/>
              </w:rPr>
              <w:t>:</w:t>
            </w:r>
          </w:p>
          <w:p w14:paraId="295A1CA6" w14:textId="77777777" w:rsidR="00A474A9" w:rsidRPr="00526FBF"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n=33 (50%) CMR+</w:t>
            </w:r>
          </w:p>
          <w:p w14:paraId="0109CBA0" w14:textId="77777777" w:rsidR="00A474A9" w:rsidRPr="00526FBF"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n=33 (50%) CMR–</w:t>
            </w:r>
          </w:p>
          <w:p w14:paraId="693B5934" w14:textId="77777777" w:rsidR="00C517B3"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 xml:space="preserve">Patient characteristics: </w:t>
            </w:r>
          </w:p>
          <w:p w14:paraId="5B95D25A" w14:textId="05704CD5"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age = 2.2 years (range 1 day to 16</w:t>
            </w:r>
            <w:r w:rsidR="00E74090">
              <w:rPr>
                <w:rFonts w:ascii="Arial Narrow" w:hAnsi="Arial Narrow" w:cs="Arial Narrow"/>
                <w:bCs/>
                <w:sz w:val="20"/>
                <w:szCs w:val="20"/>
              </w:rPr>
              <w:t> </w:t>
            </w:r>
            <w:r w:rsidRPr="00526FBF">
              <w:rPr>
                <w:rFonts w:ascii="Arial Narrow" w:hAnsi="Arial Narrow" w:cs="Arial Narrow"/>
                <w:bCs/>
                <w:sz w:val="20"/>
                <w:szCs w:val="20"/>
              </w:rPr>
              <w:t xml:space="preserve">years); </w:t>
            </w:r>
          </w:p>
          <w:p w14:paraId="102DCD6B" w14:textId="77777777"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lastRenderedPageBreak/>
              <w:t xml:space="preserve">male = 50%; </w:t>
            </w:r>
          </w:p>
          <w:p w14:paraId="2FBE8922" w14:textId="77777777"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 xml:space="preserve">overt HF = 52%; fever = 23%; </w:t>
            </w:r>
          </w:p>
          <w:p w14:paraId="79D07E22" w14:textId="77777777"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 xml:space="preserve">chest pain = 26%; ECG anomalies = 56%; </w:t>
            </w:r>
          </w:p>
          <w:p w14:paraId="326871A5" w14:textId="59EB82DD"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elevate</w:t>
            </w:r>
            <w:r w:rsidRPr="009A73B9">
              <w:rPr>
                <w:rFonts w:ascii="Arial Narrow" w:hAnsi="Arial Narrow" w:cs="Arial Narrow"/>
                <w:bCs/>
                <w:sz w:val="20"/>
                <w:szCs w:val="20"/>
              </w:rPr>
              <w:t>d troponin I</w:t>
            </w:r>
            <w:r w:rsidR="009A73B9">
              <w:rPr>
                <w:rFonts w:ascii="Arial Narrow" w:hAnsi="Arial Narrow" w:cs="Arial Narrow"/>
                <w:bCs/>
                <w:sz w:val="20"/>
                <w:szCs w:val="20"/>
              </w:rPr>
              <w:t>evel</w:t>
            </w:r>
            <w:r w:rsidRPr="00526FBF">
              <w:rPr>
                <w:rFonts w:ascii="Arial Narrow" w:hAnsi="Arial Narrow" w:cs="Arial Narrow"/>
                <w:bCs/>
                <w:sz w:val="20"/>
                <w:szCs w:val="20"/>
              </w:rPr>
              <w:t xml:space="preserve"> = 53%; </w:t>
            </w:r>
          </w:p>
          <w:p w14:paraId="072E2B92" w14:textId="77777777" w:rsidR="00C517B3"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 xml:space="preserve">LVEF (CMR) = 30% (10–49); </w:t>
            </w:r>
          </w:p>
          <w:p w14:paraId="6FD558E4" w14:textId="40402919" w:rsidR="00A474A9" w:rsidRPr="00526FBF" w:rsidRDefault="00A474A9" w:rsidP="004C79C1">
            <w:pPr>
              <w:spacing w:before="0" w:after="120" w:line="240" w:lineRule="auto"/>
              <w:ind w:left="113"/>
              <w:rPr>
                <w:rFonts w:ascii="Arial Narrow" w:hAnsi="Arial Narrow" w:cs="Arial Narrow"/>
                <w:bCs/>
                <w:sz w:val="20"/>
                <w:szCs w:val="20"/>
              </w:rPr>
            </w:pPr>
            <w:r w:rsidRPr="00526FBF">
              <w:rPr>
                <w:rFonts w:ascii="Arial Narrow" w:hAnsi="Arial Narrow" w:cs="Arial Narrow"/>
                <w:bCs/>
                <w:sz w:val="20"/>
                <w:szCs w:val="20"/>
              </w:rPr>
              <w:t>pericardial effusion = 12%</w:t>
            </w:r>
          </w:p>
          <w:p w14:paraId="66C023A1" w14:textId="77777777" w:rsidR="00A474A9" w:rsidRPr="00526FBF" w:rsidRDefault="00A474A9" w:rsidP="004C79C1">
            <w:pPr>
              <w:spacing w:before="0" w:after="120" w:line="240" w:lineRule="auto"/>
              <w:rPr>
                <w:rFonts w:ascii="Arial Narrow" w:hAnsi="Arial Narrow" w:cs="Arial Narrow"/>
                <w:bCs/>
                <w:sz w:val="20"/>
              </w:rPr>
            </w:pPr>
            <w:r w:rsidRPr="00526FBF">
              <w:rPr>
                <w:rFonts w:ascii="Arial Narrow" w:hAnsi="Arial Narrow" w:cs="Arial Narrow"/>
                <w:b/>
                <w:bCs/>
                <w:sz w:val="20"/>
                <w:szCs w:val="20"/>
              </w:rPr>
              <w:t>Mean follow-up:</w:t>
            </w:r>
            <w:r w:rsidRPr="00526FBF">
              <w:rPr>
                <w:rFonts w:ascii="Arial Narrow" w:hAnsi="Arial Narrow" w:cs="Arial Narrow"/>
                <w:bCs/>
                <w:sz w:val="20"/>
                <w:szCs w:val="20"/>
              </w:rPr>
              <w:t xml:space="preserve"> 24 months (range 6–55)</w:t>
            </w:r>
          </w:p>
        </w:tc>
        <w:tc>
          <w:tcPr>
            <w:tcW w:w="882" w:type="pct"/>
          </w:tcPr>
          <w:p w14:paraId="7423C628" w14:textId="1A6B160B"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Inclusion criteria:</w:t>
            </w:r>
            <w:r w:rsidRPr="00526FBF">
              <w:rPr>
                <w:rFonts w:ascii="Arial Narrow" w:hAnsi="Arial Narrow"/>
                <w:sz w:val="20"/>
              </w:rPr>
              <w:t xml:space="preserve"> Over a period of 4</w:t>
            </w:r>
            <w:r w:rsidR="00E74090">
              <w:rPr>
                <w:rFonts w:ascii="Arial Narrow" w:hAnsi="Arial Narrow"/>
                <w:sz w:val="20"/>
              </w:rPr>
              <w:t> </w:t>
            </w:r>
            <w:r w:rsidRPr="00526FBF">
              <w:rPr>
                <w:rFonts w:ascii="Arial Narrow" w:hAnsi="Arial Narrow"/>
                <w:sz w:val="20"/>
              </w:rPr>
              <w:t>years, all children &lt;18</w:t>
            </w:r>
            <w:r w:rsidR="00E74090">
              <w:rPr>
                <w:rFonts w:ascii="Arial Narrow" w:hAnsi="Arial Narrow"/>
                <w:sz w:val="20"/>
              </w:rPr>
              <w:t> </w:t>
            </w:r>
            <w:r w:rsidRPr="00526FBF">
              <w:rPr>
                <w:rFonts w:ascii="Arial Narrow" w:hAnsi="Arial Narrow"/>
                <w:sz w:val="20"/>
              </w:rPr>
              <w:t>years</w:t>
            </w:r>
            <w:r w:rsidR="00E74090">
              <w:rPr>
                <w:rFonts w:ascii="Arial Narrow" w:hAnsi="Arial Narrow"/>
                <w:sz w:val="20"/>
              </w:rPr>
              <w:t xml:space="preserve"> of age</w:t>
            </w:r>
            <w:r w:rsidRPr="00526FBF">
              <w:rPr>
                <w:rFonts w:ascii="Arial Narrow" w:hAnsi="Arial Narrow"/>
                <w:sz w:val="20"/>
              </w:rPr>
              <w:t xml:space="preserve"> who had developed for 3</w:t>
            </w:r>
            <w:r w:rsidR="00E74090">
              <w:rPr>
                <w:rFonts w:ascii="Arial Narrow" w:hAnsi="Arial Narrow"/>
                <w:sz w:val="20"/>
              </w:rPr>
              <w:t> </w:t>
            </w:r>
            <w:r w:rsidRPr="00526FBF">
              <w:rPr>
                <w:rFonts w:ascii="Arial Narrow" w:hAnsi="Arial Narrow"/>
                <w:sz w:val="20"/>
              </w:rPr>
              <w:t>months or less symptoms consistent with HF related to DCM of unknown origin</w:t>
            </w:r>
          </w:p>
          <w:p w14:paraId="1B75D13D" w14:textId="1939551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t>Exclusion criteria:</w:t>
            </w:r>
            <w:r w:rsidRPr="00526FBF">
              <w:rPr>
                <w:rFonts w:ascii="Arial Narrow" w:hAnsi="Arial Narrow"/>
                <w:sz w:val="20"/>
              </w:rPr>
              <w:t xml:space="preserve"> </w:t>
            </w:r>
            <w:r w:rsidRPr="00526FBF">
              <w:rPr>
                <w:rFonts w:ascii="Arial Narrow" w:hAnsi="Arial Narrow" w:cs="Arial Narrow"/>
                <w:bCs/>
                <w:sz w:val="20"/>
                <w:szCs w:val="20"/>
              </w:rPr>
              <w:t xml:space="preserve">ischaemic DCM, arrhythmogenic </w:t>
            </w:r>
            <w:r w:rsidR="00F328CF">
              <w:rPr>
                <w:rFonts w:ascii="Arial Narrow" w:hAnsi="Arial Narrow" w:cs="Arial Narrow"/>
                <w:bCs/>
                <w:sz w:val="20"/>
                <w:szCs w:val="20"/>
              </w:rPr>
              <w:t>RV</w:t>
            </w:r>
            <w:r w:rsidRPr="00526FBF">
              <w:rPr>
                <w:rFonts w:ascii="Arial Narrow" w:hAnsi="Arial Narrow" w:cs="Arial Narrow"/>
                <w:bCs/>
                <w:sz w:val="20"/>
                <w:szCs w:val="20"/>
              </w:rPr>
              <w:t xml:space="preserve"> dysplasia, any previous cardiac surgical procedures, association with a congenital heart defect,</w:t>
            </w:r>
            <w:r w:rsidRPr="00526FBF">
              <w:rPr>
                <w:sz w:val="24"/>
              </w:rPr>
              <w:t xml:space="preserve"> </w:t>
            </w:r>
            <w:r w:rsidRPr="00526FBF">
              <w:rPr>
                <w:rFonts w:ascii="Arial Narrow" w:hAnsi="Arial Narrow" w:cs="Arial Narrow"/>
                <w:bCs/>
                <w:sz w:val="20"/>
                <w:szCs w:val="20"/>
              </w:rPr>
              <w:t xml:space="preserve">treatment with chemotherapeutic agents or pharmacological cardiotoxicity, endocrine </w:t>
            </w:r>
            <w:r w:rsidRPr="00526FBF">
              <w:rPr>
                <w:rFonts w:ascii="Arial Narrow" w:hAnsi="Arial Narrow" w:cs="Arial Narrow"/>
                <w:bCs/>
                <w:sz w:val="20"/>
                <w:szCs w:val="20"/>
              </w:rPr>
              <w:lastRenderedPageBreak/>
              <w:t>disorders known to cause myocardial damage, chronic cardiac arrhythmias, immunologic diseases (maternal lupus or Sjogren syndrome), and any vasculitis, inborn errors of metabolism associated with LV dysfunction, known neuromuscular disorders, and children with known familial history of DCM or in whom existence of a DCM in another family member could be identified</w:t>
            </w:r>
          </w:p>
        </w:tc>
        <w:tc>
          <w:tcPr>
            <w:tcW w:w="1030" w:type="pct"/>
          </w:tcPr>
          <w:p w14:paraId="11E8C96F"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Scanner:</w:t>
            </w:r>
            <w:r w:rsidRPr="00526FBF">
              <w:rPr>
                <w:rFonts w:ascii="Arial Narrow" w:hAnsi="Arial Narrow" w:cs="Times New Roman"/>
                <w:sz w:val="20"/>
                <w:szCs w:val="20"/>
              </w:rPr>
              <w:t xml:space="preserve"> 1.5-T scanner with a 32-channel, phased-array cardiac coil</w:t>
            </w:r>
          </w:p>
          <w:p w14:paraId="2A846A9D" w14:textId="7BD37279"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Cine-CMR:</w:t>
            </w:r>
            <w:r w:rsidRPr="00526FBF">
              <w:rPr>
                <w:rFonts w:ascii="Arial Narrow" w:hAnsi="Arial Narrow" w:cs="Times New Roman"/>
                <w:sz w:val="20"/>
                <w:szCs w:val="20"/>
              </w:rPr>
              <w:t xml:space="preserve"> CMR parameters of the LV were obtained by acquiring short-axis view, </w:t>
            </w:r>
            <w:r w:rsidR="00F328CF">
              <w:rPr>
                <w:rFonts w:ascii="Arial Narrow" w:hAnsi="Arial Narrow" w:cs="Times New Roman"/>
                <w:sz w:val="20"/>
                <w:szCs w:val="20"/>
              </w:rPr>
              <w:t>4</w:t>
            </w:r>
            <w:r w:rsidRPr="00526FBF">
              <w:rPr>
                <w:rFonts w:ascii="Arial Narrow" w:hAnsi="Arial Narrow" w:cs="Times New Roman"/>
                <w:sz w:val="20"/>
                <w:szCs w:val="20"/>
              </w:rPr>
              <w:t xml:space="preserve">-chamber view, and </w:t>
            </w:r>
            <w:r w:rsidR="00F328CF">
              <w:rPr>
                <w:rFonts w:ascii="Arial Narrow" w:hAnsi="Arial Narrow" w:cs="Times New Roman"/>
                <w:sz w:val="20"/>
                <w:szCs w:val="20"/>
              </w:rPr>
              <w:t>2</w:t>
            </w:r>
            <w:r w:rsidRPr="00526FBF">
              <w:rPr>
                <w:rFonts w:ascii="Arial Narrow" w:hAnsi="Arial Narrow" w:cs="Times New Roman"/>
                <w:sz w:val="20"/>
                <w:szCs w:val="20"/>
              </w:rPr>
              <w:t>-chamber view as steady-state free precession (FIESTA) images.</w:t>
            </w:r>
          </w:p>
          <w:p w14:paraId="34FAC0DC" w14:textId="79DB7BAC"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Contrast agent:</w:t>
            </w:r>
            <w:r w:rsidRPr="00526FBF">
              <w:rPr>
                <w:rFonts w:ascii="Arial Narrow" w:hAnsi="Arial Narrow" w:cs="Times New Roman"/>
                <w:sz w:val="20"/>
                <w:szCs w:val="20"/>
              </w:rPr>
              <w:t xml:space="preserve"> 0.2 mmol/kg </w:t>
            </w:r>
            <w:r w:rsidR="00F328CF">
              <w:rPr>
                <w:rFonts w:ascii="Arial Narrow" w:hAnsi="Arial Narrow" w:cs="Times New Roman"/>
                <w:sz w:val="20"/>
                <w:szCs w:val="20"/>
              </w:rPr>
              <w:t>Gd</w:t>
            </w:r>
            <w:r w:rsidR="00F328CF" w:rsidRPr="00526FBF">
              <w:rPr>
                <w:rFonts w:ascii="Arial Narrow" w:hAnsi="Arial Narrow" w:cs="Times New Roman"/>
                <w:sz w:val="20"/>
                <w:szCs w:val="20"/>
              </w:rPr>
              <w:t xml:space="preserve"> </w:t>
            </w:r>
            <w:r w:rsidRPr="00526FBF">
              <w:rPr>
                <w:rFonts w:ascii="Arial Narrow" w:hAnsi="Arial Narrow" w:cs="Times New Roman"/>
                <w:sz w:val="20"/>
                <w:szCs w:val="20"/>
              </w:rPr>
              <w:t>chelate (Dotarem)</w:t>
            </w:r>
          </w:p>
          <w:p w14:paraId="12C577C4" w14:textId="74246F1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Early GE sequence:</w:t>
            </w:r>
            <w:r w:rsidRPr="00526FBF">
              <w:rPr>
                <w:rFonts w:ascii="Arial Narrow" w:hAnsi="Arial Narrow" w:cs="Times New Roman"/>
                <w:sz w:val="20"/>
                <w:szCs w:val="20"/>
              </w:rPr>
              <w:t xml:space="preserve"> </w:t>
            </w:r>
            <w:r w:rsidR="00F328CF">
              <w:rPr>
                <w:rFonts w:ascii="Arial Narrow" w:hAnsi="Arial Narrow" w:cs="Times New Roman"/>
                <w:sz w:val="20"/>
                <w:szCs w:val="20"/>
              </w:rPr>
              <w:t>e</w:t>
            </w:r>
            <w:r w:rsidRPr="00526FBF">
              <w:rPr>
                <w:rFonts w:ascii="Arial Narrow" w:hAnsi="Arial Narrow" w:cs="Times New Roman"/>
                <w:sz w:val="20"/>
                <w:szCs w:val="20"/>
              </w:rPr>
              <w:t>nhanced cine-SSFP and black-blood-prepared double inversion recovery fast spin-echo images with T1 weighting</w:t>
            </w:r>
          </w:p>
          <w:p w14:paraId="3C904463"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lastRenderedPageBreak/>
              <w:t>Time delay:</w:t>
            </w:r>
            <w:r w:rsidRPr="00526FBF">
              <w:rPr>
                <w:rFonts w:ascii="Arial Narrow" w:hAnsi="Arial Narrow" w:cs="Times New Roman"/>
                <w:sz w:val="20"/>
                <w:szCs w:val="20"/>
              </w:rPr>
              <w:t xml:space="preserve"> 10 minutes</w:t>
            </w:r>
          </w:p>
          <w:p w14:paraId="059C6DEC" w14:textId="47765DA1"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LGE sequence:</w:t>
            </w:r>
            <w:r w:rsidRPr="00526FBF">
              <w:rPr>
                <w:rFonts w:ascii="Arial Narrow" w:hAnsi="Arial Narrow" w:cs="Times New Roman"/>
                <w:sz w:val="20"/>
                <w:szCs w:val="20"/>
              </w:rPr>
              <w:t xml:space="preserve"> inversion recovery gradient</w:t>
            </w:r>
            <w:r w:rsidR="005957F4">
              <w:rPr>
                <w:rFonts w:ascii="Arial Narrow" w:hAnsi="Arial Narrow" w:cs="Times New Roman"/>
                <w:sz w:val="20"/>
                <w:szCs w:val="20"/>
              </w:rPr>
              <w:t>-</w:t>
            </w:r>
            <w:r w:rsidRPr="00526FBF">
              <w:rPr>
                <w:rFonts w:ascii="Arial Narrow" w:hAnsi="Arial Narrow" w:cs="Times New Roman"/>
                <w:sz w:val="20"/>
                <w:szCs w:val="20"/>
              </w:rPr>
              <w:t>echo pulse sequence</w:t>
            </w:r>
          </w:p>
          <w:p w14:paraId="5D31B60C" w14:textId="77777777" w:rsidR="00A474A9" w:rsidRPr="00526FBF" w:rsidRDefault="00A474A9" w:rsidP="004C79C1">
            <w:pPr>
              <w:spacing w:before="0" w:after="120" w:line="240" w:lineRule="auto"/>
              <w:ind w:right="-57"/>
              <w:rPr>
                <w:rFonts w:ascii="Arial Narrow" w:hAnsi="Arial Narrow" w:cs="Times New Roman"/>
                <w:sz w:val="20"/>
                <w:szCs w:val="20"/>
              </w:rPr>
            </w:pPr>
            <w:r w:rsidRPr="00526FBF">
              <w:rPr>
                <w:rFonts w:ascii="Arial Narrow" w:hAnsi="Arial Narrow" w:cs="Times New Roman"/>
                <w:b/>
                <w:sz w:val="20"/>
                <w:szCs w:val="20"/>
              </w:rPr>
              <w:t>LV function:</w:t>
            </w:r>
            <w:r w:rsidRPr="00526FBF">
              <w:rPr>
                <w:rFonts w:ascii="Arial Narrow" w:hAnsi="Arial Narrow" w:cs="Times New Roman"/>
                <w:sz w:val="20"/>
                <w:szCs w:val="20"/>
              </w:rPr>
              <w:t xml:space="preserve"> LV volume and LVEF were measured from short-axis images.</w:t>
            </w:r>
          </w:p>
          <w:p w14:paraId="5721D6DB" w14:textId="7DF050BE" w:rsidR="00A474A9" w:rsidRPr="00526FBF" w:rsidRDefault="00A474A9" w:rsidP="004C79C1">
            <w:pPr>
              <w:spacing w:before="0" w:after="120" w:line="240" w:lineRule="auto"/>
              <w:ind w:left="89"/>
              <w:rPr>
                <w:rFonts w:ascii="Arial Narrow" w:hAnsi="Arial Narrow" w:cs="Arial Narrow"/>
                <w:bCs/>
                <w:sz w:val="20"/>
                <w:szCs w:val="20"/>
              </w:rPr>
            </w:pPr>
            <w:r w:rsidRPr="00526FBF">
              <w:rPr>
                <w:rFonts w:ascii="Arial Narrow" w:hAnsi="Arial Narrow" w:cs="Times New Roman"/>
                <w:b/>
                <w:sz w:val="20"/>
                <w:szCs w:val="20"/>
              </w:rPr>
              <w:t>DCM diagnosis:</w:t>
            </w:r>
            <w:r w:rsidRPr="00526FBF">
              <w:rPr>
                <w:rFonts w:ascii="Arial Narrow" w:hAnsi="Arial Narrow" w:cs="Times New Roman"/>
                <w:sz w:val="20"/>
                <w:szCs w:val="20"/>
              </w:rPr>
              <w:t xml:space="preserve"> </w:t>
            </w:r>
            <w:r w:rsidRPr="00526FBF">
              <w:rPr>
                <w:rFonts w:ascii="Arial Narrow" w:hAnsi="Arial Narrow" w:cs="Arial Narrow"/>
                <w:bCs/>
                <w:sz w:val="20"/>
                <w:szCs w:val="20"/>
              </w:rPr>
              <w:t>Criteria used to diagnose myocardial inflammation</w:t>
            </w:r>
            <w:r w:rsidR="00A12F7C">
              <w:rPr>
                <w:rFonts w:ascii="Arial Narrow" w:hAnsi="Arial Narrow" w:cs="Arial Narrow"/>
                <w:bCs/>
                <w:sz w:val="20"/>
                <w:szCs w:val="20"/>
              </w:rPr>
              <w:t xml:space="preserve"> were</w:t>
            </w:r>
            <w:proofErr w:type="gramStart"/>
            <w:r w:rsidRPr="00526FBF">
              <w:rPr>
                <w:rFonts w:ascii="Arial Narrow" w:hAnsi="Arial Narrow" w:cs="Arial Narrow"/>
                <w:bCs/>
                <w:sz w:val="20"/>
                <w:szCs w:val="20"/>
              </w:rPr>
              <w:t>:</w:t>
            </w:r>
            <w:proofErr w:type="gramEnd"/>
            <w:r w:rsidRPr="00526FBF">
              <w:rPr>
                <w:rFonts w:ascii="Arial Narrow" w:hAnsi="Arial Narrow" w:cs="Arial Narrow"/>
                <w:bCs/>
                <w:sz w:val="20"/>
                <w:szCs w:val="20"/>
              </w:rPr>
              <w:br/>
            </w:r>
            <w:r w:rsidR="005957F4">
              <w:rPr>
                <w:rFonts w:ascii="Arial Narrow" w:hAnsi="Arial Narrow" w:cs="Arial Narrow"/>
                <w:bCs/>
                <w:sz w:val="20"/>
                <w:szCs w:val="20"/>
              </w:rPr>
              <w:t>1</w:t>
            </w:r>
            <w:r w:rsidRPr="00526FBF">
              <w:rPr>
                <w:rFonts w:ascii="Arial Narrow" w:hAnsi="Arial Narrow" w:cs="Arial Narrow"/>
                <w:bCs/>
                <w:sz w:val="20"/>
                <w:szCs w:val="20"/>
              </w:rPr>
              <w:t>) evidence of regional or global myocardial oedema</w:t>
            </w:r>
            <w:r w:rsidRPr="00526FBF">
              <w:rPr>
                <w:rFonts w:ascii="Arial Narrow" w:hAnsi="Arial Narrow" w:cs="Arial Narrow"/>
                <w:bCs/>
                <w:sz w:val="20"/>
                <w:szCs w:val="20"/>
              </w:rPr>
              <w:br/>
            </w:r>
            <w:r w:rsidR="005957F4">
              <w:rPr>
                <w:rFonts w:ascii="Arial Narrow" w:hAnsi="Arial Narrow" w:cs="Arial Narrow"/>
                <w:bCs/>
                <w:sz w:val="20"/>
                <w:szCs w:val="20"/>
              </w:rPr>
              <w:t>2</w:t>
            </w:r>
            <w:r w:rsidRPr="00526FBF">
              <w:rPr>
                <w:rFonts w:ascii="Arial Narrow" w:hAnsi="Arial Narrow" w:cs="Arial Narrow"/>
                <w:bCs/>
                <w:sz w:val="20"/>
                <w:szCs w:val="20"/>
              </w:rPr>
              <w:t>) evidence of myocardial hyperaemia and capillary leak with EGE</w:t>
            </w:r>
            <w:r w:rsidRPr="00526FBF">
              <w:rPr>
                <w:rFonts w:ascii="Arial Narrow" w:hAnsi="Arial Narrow" w:cs="Arial Narrow"/>
                <w:bCs/>
                <w:sz w:val="20"/>
                <w:szCs w:val="20"/>
              </w:rPr>
              <w:br/>
            </w:r>
            <w:r w:rsidR="005957F4">
              <w:rPr>
                <w:rFonts w:ascii="Arial Narrow" w:hAnsi="Arial Narrow" w:cs="Arial Narrow"/>
                <w:bCs/>
                <w:sz w:val="20"/>
                <w:szCs w:val="20"/>
              </w:rPr>
              <w:t>3</w:t>
            </w:r>
            <w:r w:rsidRPr="00526FBF">
              <w:rPr>
                <w:rFonts w:ascii="Arial Narrow" w:hAnsi="Arial Narrow" w:cs="Arial Narrow"/>
                <w:bCs/>
                <w:sz w:val="20"/>
                <w:szCs w:val="20"/>
              </w:rPr>
              <w:t>) evidence of myocardial necrosis and fibrosis (visual assessment) with non-ischaemic regional distribution at LGE.</w:t>
            </w:r>
          </w:p>
          <w:p w14:paraId="483C69FF" w14:textId="7C297608" w:rsidR="00A474A9" w:rsidRPr="00526FBF" w:rsidRDefault="00A474A9" w:rsidP="004C79C1">
            <w:pPr>
              <w:spacing w:before="0" w:after="120" w:line="240" w:lineRule="auto"/>
              <w:rPr>
                <w:rFonts w:ascii="Arial Narrow" w:hAnsi="Arial Narrow" w:cs="Arial Narrow"/>
                <w:bCs/>
                <w:sz w:val="20"/>
                <w:szCs w:val="20"/>
              </w:rPr>
            </w:pPr>
            <w:r w:rsidRPr="00526FBF">
              <w:rPr>
                <w:rFonts w:ascii="Arial Narrow" w:hAnsi="Arial Narrow" w:cs="Arial Narrow"/>
                <w:bCs/>
                <w:sz w:val="20"/>
                <w:szCs w:val="20"/>
              </w:rPr>
              <w:t>Myocardial inflammation was diagnosed when at least two criteria were present</w:t>
            </w:r>
            <w:r w:rsidR="005957F4">
              <w:rPr>
                <w:rFonts w:ascii="Arial Narrow" w:hAnsi="Arial Narrow" w:cs="Arial Narrow"/>
                <w:bCs/>
                <w:sz w:val="20"/>
                <w:szCs w:val="20"/>
              </w:rPr>
              <w:t>.</w:t>
            </w:r>
          </w:p>
        </w:tc>
        <w:tc>
          <w:tcPr>
            <w:tcW w:w="1422" w:type="pct"/>
          </w:tcPr>
          <w:p w14:paraId="50BB3EB1" w14:textId="5CAD96DA"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b/>
                <w:sz w:val="20"/>
              </w:rPr>
              <w:lastRenderedPageBreak/>
              <w:t>Initial management:</w:t>
            </w:r>
            <w:r w:rsidRPr="00526FBF">
              <w:rPr>
                <w:rFonts w:ascii="Arial Narrow" w:hAnsi="Arial Narrow"/>
                <w:sz w:val="20"/>
              </w:rPr>
              <w:t xml:space="preserve"> Mechanical circulatory support by ECMO (median duration 13</w:t>
            </w:r>
            <w:r w:rsidR="0016579C">
              <w:rPr>
                <w:rFonts w:ascii="Arial Narrow" w:hAnsi="Arial Narrow"/>
                <w:sz w:val="20"/>
              </w:rPr>
              <w:t> </w:t>
            </w:r>
            <w:r w:rsidRPr="00526FBF">
              <w:rPr>
                <w:rFonts w:ascii="Arial Narrow" w:hAnsi="Arial Narrow"/>
                <w:sz w:val="20"/>
              </w:rPr>
              <w:t>days, range 2–17</w:t>
            </w:r>
            <w:r w:rsidR="0016579C">
              <w:rPr>
                <w:rFonts w:ascii="Arial Narrow" w:hAnsi="Arial Narrow"/>
                <w:sz w:val="20"/>
              </w:rPr>
              <w:t> </w:t>
            </w:r>
            <w:r w:rsidRPr="00526FBF">
              <w:rPr>
                <w:rFonts w:ascii="Arial Narrow" w:hAnsi="Arial Narrow"/>
                <w:sz w:val="20"/>
              </w:rPr>
              <w:t xml:space="preserve">days) was required in </w:t>
            </w:r>
            <w:r w:rsidR="0016579C">
              <w:rPr>
                <w:rFonts w:ascii="Arial Narrow" w:hAnsi="Arial Narrow"/>
                <w:sz w:val="20"/>
              </w:rPr>
              <w:t>4</w:t>
            </w:r>
            <w:r w:rsidR="0016579C" w:rsidRPr="00526FBF">
              <w:rPr>
                <w:rFonts w:ascii="Arial Narrow" w:hAnsi="Arial Narrow"/>
                <w:sz w:val="20"/>
              </w:rPr>
              <w:t xml:space="preserve"> </w:t>
            </w:r>
            <w:r w:rsidRPr="00526FBF">
              <w:rPr>
                <w:rFonts w:ascii="Arial Narrow" w:hAnsi="Arial Narrow"/>
                <w:sz w:val="20"/>
              </w:rPr>
              <w:t>patients of the CMR</w:t>
            </w:r>
            <w:r>
              <w:rPr>
                <w:rFonts w:ascii="Arial Narrow" w:hAnsi="Arial Narrow"/>
                <w:sz w:val="20"/>
              </w:rPr>
              <w:t>+</w:t>
            </w:r>
            <w:r w:rsidRPr="00526FBF">
              <w:rPr>
                <w:rFonts w:ascii="Arial Narrow" w:hAnsi="Arial Narrow"/>
                <w:sz w:val="20"/>
              </w:rPr>
              <w:t xml:space="preserve"> group.</w:t>
            </w:r>
          </w:p>
          <w:p w14:paraId="3A60EB16" w14:textId="0A80FE64"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Patients with severe HF received either intravenous inotropic support when necessary or intravenous diuretics. Immune globulin therapy, steroids or immunosuppressive treatment was given on a case-by-case decision basis. </w:t>
            </w:r>
          </w:p>
          <w:p w14:paraId="33277C37" w14:textId="11AC09F6"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After the acute phase of the disease, patients received ACE inhibitors in combination with </w:t>
            </w:r>
            <w:r w:rsidR="0016579C" w:rsidRPr="0020677A">
              <w:rPr>
                <w:rFonts w:ascii="Arial Narrow" w:hAnsi="Arial Narrow" w:cs="Arial Narrow"/>
                <w:bCs/>
                <w:sz w:val="20"/>
              </w:rPr>
              <w:sym w:font="Symbol" w:char="F062"/>
            </w:r>
            <w:r w:rsidRPr="00526FBF">
              <w:rPr>
                <w:rFonts w:ascii="Arial Narrow" w:hAnsi="Arial Narrow"/>
                <w:sz w:val="20"/>
              </w:rPr>
              <w:t>-blockers. Oral diuretic therapy with furosemide or spironolactone was pursued after discharge only in children with evidence of congestive HF.</w:t>
            </w:r>
          </w:p>
          <w:p w14:paraId="0CD51FED" w14:textId="77777777" w:rsidR="00A474A9" w:rsidRPr="00526FBF" w:rsidRDefault="00A474A9" w:rsidP="004C79C1">
            <w:pPr>
              <w:spacing w:before="0" w:after="120" w:line="240" w:lineRule="auto"/>
              <w:ind w:right="-57"/>
              <w:rPr>
                <w:rFonts w:ascii="Arial Narrow" w:hAnsi="Arial Narrow"/>
                <w:sz w:val="20"/>
              </w:rPr>
            </w:pPr>
            <w:r w:rsidRPr="00526FBF">
              <w:rPr>
                <w:rFonts w:ascii="Arial Narrow" w:hAnsi="Arial Narrow"/>
                <w:sz w:val="20"/>
              </w:rPr>
              <w:t xml:space="preserve">Anticoagulation with warfarin was given to </w:t>
            </w:r>
            <w:r w:rsidRPr="00526FBF">
              <w:rPr>
                <w:rFonts w:ascii="Arial Narrow" w:hAnsi="Arial Narrow"/>
                <w:sz w:val="20"/>
              </w:rPr>
              <w:lastRenderedPageBreak/>
              <w:t>children with LV</w:t>
            </w:r>
            <w:r>
              <w:rPr>
                <w:rFonts w:ascii="Arial Narrow" w:hAnsi="Arial Narrow"/>
                <w:sz w:val="20"/>
              </w:rPr>
              <w:t>EF</w:t>
            </w:r>
            <w:r w:rsidRPr="00526FBF">
              <w:rPr>
                <w:rFonts w:ascii="Arial Narrow" w:hAnsi="Arial Narrow"/>
                <w:sz w:val="20"/>
              </w:rPr>
              <w:t xml:space="preserve"> ≤30% at hospital discharge.</w:t>
            </w:r>
          </w:p>
          <w:p w14:paraId="673687AF" w14:textId="77777777" w:rsidR="00A474A9" w:rsidRPr="00526FBF" w:rsidRDefault="00A474A9" w:rsidP="004C79C1">
            <w:pPr>
              <w:spacing w:before="0" w:after="120" w:line="240" w:lineRule="auto"/>
              <w:ind w:right="-57"/>
              <w:rPr>
                <w:rFonts w:ascii="Arial Narrow" w:hAnsi="Arial Narrow"/>
                <w:b/>
                <w:sz w:val="20"/>
              </w:rPr>
            </w:pPr>
            <w:r w:rsidRPr="00526FBF">
              <w:rPr>
                <w:rFonts w:ascii="Arial Narrow" w:hAnsi="Arial Narrow"/>
                <w:b/>
                <w:sz w:val="20"/>
              </w:rPr>
              <w:t>Outcomes:</w:t>
            </w:r>
          </w:p>
          <w:p w14:paraId="32003471" w14:textId="7500E634" w:rsidR="00A474A9" w:rsidRPr="00526FBF" w:rsidRDefault="00A474A9" w:rsidP="004C79C1">
            <w:pPr>
              <w:spacing w:before="0" w:after="120" w:line="240" w:lineRule="auto"/>
              <w:ind w:left="69" w:right="-57"/>
              <w:rPr>
                <w:rFonts w:ascii="Arial Narrow" w:hAnsi="Arial Narrow"/>
                <w:sz w:val="20"/>
              </w:rPr>
            </w:pPr>
            <w:r w:rsidRPr="00526FBF">
              <w:rPr>
                <w:rFonts w:ascii="Arial Narrow" w:hAnsi="Arial Narrow"/>
                <w:sz w:val="20"/>
              </w:rPr>
              <w:t>OR for predicting LV functional recovery for:</w:t>
            </w:r>
            <w:r>
              <w:rPr>
                <w:rFonts w:ascii="Arial Narrow" w:hAnsi="Arial Narrow"/>
                <w:sz w:val="20"/>
              </w:rPr>
              <w:t xml:space="preserve"> </w:t>
            </w:r>
            <w:r>
              <w:rPr>
                <w:rFonts w:ascii="Arial Narrow" w:hAnsi="Arial Narrow"/>
                <w:sz w:val="20"/>
              </w:rPr>
              <w:br/>
            </w:r>
            <w:r w:rsidR="00CF4088">
              <w:rPr>
                <w:rFonts w:ascii="Arial Narrow" w:hAnsi="Arial Narrow"/>
                <w:sz w:val="20"/>
              </w:rPr>
              <w:t>p</w:t>
            </w:r>
            <w:r w:rsidRPr="00526FBF">
              <w:rPr>
                <w:rFonts w:ascii="Arial Narrow" w:hAnsi="Arial Narrow"/>
                <w:sz w:val="20"/>
              </w:rPr>
              <w:t>resence of myocardial inflammation, and</w:t>
            </w:r>
            <w:r>
              <w:rPr>
                <w:rFonts w:ascii="Arial Narrow" w:hAnsi="Arial Narrow"/>
                <w:sz w:val="20"/>
              </w:rPr>
              <w:br/>
            </w:r>
            <w:r w:rsidR="00CF4088">
              <w:rPr>
                <w:rFonts w:ascii="Arial Narrow" w:hAnsi="Arial Narrow"/>
                <w:sz w:val="20"/>
              </w:rPr>
              <w:t>e</w:t>
            </w:r>
            <w:r w:rsidRPr="00526FBF">
              <w:rPr>
                <w:rFonts w:ascii="Arial Narrow" w:hAnsi="Arial Narrow"/>
                <w:sz w:val="20"/>
              </w:rPr>
              <w:t>levated troponin levels at baseline</w:t>
            </w:r>
          </w:p>
        </w:tc>
      </w:tr>
    </w:tbl>
    <w:p w14:paraId="16544BF5" w14:textId="28F99B63" w:rsidR="00A474A9" w:rsidRPr="00A474A9" w:rsidRDefault="00A474A9" w:rsidP="004C79C1">
      <w:pPr>
        <w:pStyle w:val="Tablenotes0"/>
        <w:spacing w:before="0" w:after="120"/>
      </w:pPr>
      <w:bookmarkStart w:id="823" w:name="_Toc324410255"/>
      <w:r w:rsidRPr="00A474A9">
        <w:rPr>
          <w:vertAlign w:val="superscript"/>
        </w:rPr>
        <w:lastRenderedPageBreak/>
        <w:t xml:space="preserve">a </w:t>
      </w:r>
      <w:r w:rsidRPr="00A474A9">
        <w:t xml:space="preserve">Quality appraisal was undertaken using the SIGN checklist for cohort studies </w:t>
      </w:r>
      <w:r w:rsidR="00187A29">
        <w:fldChar w:fldCharType="begin"/>
      </w:r>
      <w:r w:rsidR="00187A29">
        <w:instrText xml:space="preserve"> ADDIN EN.CITE &lt;EndNote&gt;&lt;Cite&gt;&lt;Author&gt;SIGN&lt;/Author&gt;&lt;Year&gt;2014&lt;/Year&gt;&lt;RecNum&gt;80&lt;/RecNum&gt;&lt;DisplayText&gt;(SIGN 2014)&lt;/DisplayText&gt;&lt;record&gt;&lt;rec-number&gt;80&lt;/rec-number&gt;&lt;foreign-keys&gt;&lt;key app="EN" db-id="pfxxvref0t0a5de2vwnv2fwkz0p9v0r2fw0t" timestamp="1458111095"&gt;80&lt;/key&gt;&lt;/foreign-keys&gt;&lt;ref-type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187A29">
        <w:fldChar w:fldCharType="separate"/>
      </w:r>
      <w:r w:rsidR="00187A29">
        <w:rPr>
          <w:noProof/>
        </w:rPr>
        <w:t>(</w:t>
      </w:r>
      <w:hyperlink w:anchor="_ENREF_118" w:tooltip="SIGN, 2014 #80" w:history="1">
        <w:r w:rsidR="00B906E9">
          <w:rPr>
            <w:noProof/>
          </w:rPr>
          <w:t>SIGN 2014</w:t>
        </w:r>
      </w:hyperlink>
      <w:r w:rsidR="00187A29">
        <w:rPr>
          <w:noProof/>
        </w:rPr>
        <w:t>)</w:t>
      </w:r>
      <w:r w:rsidR="00187A29">
        <w:fldChar w:fldCharType="end"/>
      </w:r>
      <w:r w:rsidR="000F6079">
        <w:t>.</w:t>
      </w:r>
      <w:bookmarkEnd w:id="823"/>
    </w:p>
    <w:p w14:paraId="42DA2B8D" w14:textId="74F4FAC2" w:rsidR="00E36E99" w:rsidRPr="00BA665C" w:rsidRDefault="00A474A9" w:rsidP="004C79C1">
      <w:pPr>
        <w:pStyle w:val="Tablenotes0"/>
        <w:spacing w:before="0" w:after="120"/>
      </w:pPr>
      <w:bookmarkStart w:id="824" w:name="_Toc324410256"/>
      <w:r w:rsidRPr="009E1B7E">
        <w:t xml:space="preserve">ACE = angiotensin converting enzyme; CMR = cardiac magnetic resonance </w:t>
      </w:r>
      <w:r w:rsidR="006B76DB">
        <w:t>(</w:t>
      </w:r>
      <w:r w:rsidRPr="009E1B7E">
        <w:t>imaging</w:t>
      </w:r>
      <w:r w:rsidR="006B76DB">
        <w:t>)</w:t>
      </w:r>
      <w:r w:rsidRPr="009E1B7E">
        <w:t xml:space="preserve">; DCM = dilated cardiomyopathy; ECG = electrocardiogram; ECMO = extracorporeal membrane oxygenation; EGE = early gadolinium enhancement; </w:t>
      </w:r>
      <w:r w:rsidR="00480DEE" w:rsidRPr="009E1B7E">
        <w:t xml:space="preserve">Gd = gadolinium; </w:t>
      </w:r>
      <w:r w:rsidRPr="009E1B7E">
        <w:t xml:space="preserve">HF = heart failure; LGE = late gadolinium enhancement; </w:t>
      </w:r>
      <w:r w:rsidR="00480DEE" w:rsidRPr="009E1B7E">
        <w:t xml:space="preserve">LV = left ventricular; </w:t>
      </w:r>
      <w:r w:rsidRPr="009E1B7E">
        <w:t>LVEF = left ventricular ejection fraction; NHMRC = National Health and Medical Research Council; OR = odds ratio</w:t>
      </w:r>
      <w:r w:rsidR="00555966">
        <w:t xml:space="preserve">; SIGN = </w:t>
      </w:r>
      <w:r w:rsidR="00555966" w:rsidRPr="00555966">
        <w:t>Scottish Intercollegiate Guidelines Network quality assessment tool</w:t>
      </w:r>
      <w:bookmarkEnd w:id="824"/>
    </w:p>
    <w:p w14:paraId="43DCE0D7" w14:textId="5FA930C4" w:rsidR="007A0067" w:rsidRDefault="0062633B" w:rsidP="004C79C1">
      <w:pPr>
        <w:pStyle w:val="Caption"/>
      </w:pPr>
      <w:bookmarkStart w:id="825" w:name="_Ref451332674"/>
      <w:bookmarkStart w:id="826" w:name="_Toc324410257"/>
      <w:bookmarkStart w:id="827" w:name="_Toc451435408"/>
      <w:r>
        <w:t xml:space="preserve">Table </w:t>
      </w:r>
      <w:fldSimple w:instr=" SEQ Table \* ARABIC ">
        <w:r w:rsidR="00050936">
          <w:rPr>
            <w:noProof/>
          </w:rPr>
          <w:t>81</w:t>
        </w:r>
      </w:fldSimple>
      <w:bookmarkEnd w:id="825"/>
      <w:r w:rsidR="007A0067">
        <w:tab/>
        <w:t>Study profiles for studies reporting change in management</w:t>
      </w:r>
      <w:bookmarkEnd w:id="826"/>
      <w:bookmarkEnd w:id="827"/>
    </w:p>
    <w:tbl>
      <w:tblPr>
        <w:tblStyle w:val="TableGrid"/>
        <w:tblW w:w="5165" w:type="pct"/>
        <w:tblInd w:w="-176" w:type="dxa"/>
        <w:tblLook w:val="04A0" w:firstRow="1" w:lastRow="0" w:firstColumn="1" w:lastColumn="0" w:noHBand="0" w:noVBand="1"/>
        <w:tblCaption w:val="Study profiles for studies reporting change in management"/>
      </w:tblPr>
      <w:tblGrid>
        <w:gridCol w:w="1813"/>
        <w:gridCol w:w="1595"/>
        <w:gridCol w:w="1693"/>
        <w:gridCol w:w="3444"/>
        <w:gridCol w:w="1693"/>
        <w:gridCol w:w="3373"/>
      </w:tblGrid>
      <w:tr w:rsidR="007A0067" w14:paraId="27BCBCF4" w14:textId="77777777" w:rsidTr="00CC55F9">
        <w:trPr>
          <w:tblHeader/>
        </w:trPr>
        <w:tc>
          <w:tcPr>
            <w:tcW w:w="666" w:type="pct"/>
          </w:tcPr>
          <w:p w14:paraId="0BAA7EFC" w14:textId="77777777"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lastRenderedPageBreak/>
              <w:t xml:space="preserve">Study </w:t>
            </w:r>
          </w:p>
        </w:tc>
        <w:tc>
          <w:tcPr>
            <w:tcW w:w="586" w:type="pct"/>
          </w:tcPr>
          <w:p w14:paraId="26D64C16" w14:textId="7544E19B"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t xml:space="preserve">Level </w:t>
            </w:r>
            <w:r w:rsidR="00941BFE">
              <w:rPr>
                <w:rFonts w:ascii="Arial Narrow" w:hAnsi="Arial Narrow"/>
                <w:b/>
                <w:sz w:val="20"/>
                <w:szCs w:val="20"/>
              </w:rPr>
              <w:br/>
            </w:r>
            <w:r w:rsidRPr="00FD40FD">
              <w:rPr>
                <w:rFonts w:ascii="Arial Narrow" w:hAnsi="Arial Narrow"/>
                <w:b/>
                <w:sz w:val="20"/>
                <w:szCs w:val="20"/>
              </w:rPr>
              <w:t>Quality appraisal</w:t>
            </w:r>
          </w:p>
        </w:tc>
        <w:tc>
          <w:tcPr>
            <w:tcW w:w="622" w:type="pct"/>
          </w:tcPr>
          <w:p w14:paraId="0631A6DC" w14:textId="77777777"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t>Study population</w:t>
            </w:r>
          </w:p>
        </w:tc>
        <w:tc>
          <w:tcPr>
            <w:tcW w:w="1265" w:type="pct"/>
          </w:tcPr>
          <w:p w14:paraId="39DB089C" w14:textId="7F0377F8"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t>Inclusion criteria / Exclusion criteria</w:t>
            </w:r>
            <w:r w:rsidR="005D52A9">
              <w:rPr>
                <w:rFonts w:ascii="Arial Narrow" w:hAnsi="Arial Narrow"/>
                <w:b/>
                <w:sz w:val="20"/>
                <w:szCs w:val="20"/>
              </w:rPr>
              <w:t xml:space="preserve"> </w:t>
            </w:r>
            <w:r w:rsidRPr="00FD40FD">
              <w:rPr>
                <w:rFonts w:ascii="Arial Narrow" w:hAnsi="Arial Narrow"/>
                <w:b/>
                <w:sz w:val="20"/>
                <w:szCs w:val="20"/>
              </w:rPr>
              <w:t>/</w:t>
            </w:r>
            <w:r w:rsidR="005D52A9">
              <w:rPr>
                <w:rFonts w:ascii="Arial Narrow" w:hAnsi="Arial Narrow"/>
                <w:b/>
                <w:sz w:val="20"/>
                <w:szCs w:val="20"/>
              </w:rPr>
              <w:t xml:space="preserve"> Objective</w:t>
            </w:r>
          </w:p>
        </w:tc>
        <w:tc>
          <w:tcPr>
            <w:tcW w:w="622" w:type="pct"/>
          </w:tcPr>
          <w:p w14:paraId="22E6157A" w14:textId="77777777"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t xml:space="preserve">Study </w:t>
            </w:r>
          </w:p>
        </w:tc>
        <w:tc>
          <w:tcPr>
            <w:tcW w:w="1239" w:type="pct"/>
          </w:tcPr>
          <w:p w14:paraId="7EE163C0" w14:textId="77777777" w:rsidR="007A0067" w:rsidRPr="00FD40FD" w:rsidRDefault="007A0067" w:rsidP="004C79C1">
            <w:pPr>
              <w:keepNext/>
              <w:spacing w:after="120" w:line="240" w:lineRule="auto"/>
              <w:rPr>
                <w:rFonts w:ascii="Arial Narrow" w:hAnsi="Arial Narrow"/>
                <w:b/>
                <w:sz w:val="20"/>
                <w:szCs w:val="20"/>
              </w:rPr>
            </w:pPr>
            <w:r w:rsidRPr="00FD40FD">
              <w:rPr>
                <w:rFonts w:ascii="Arial Narrow" w:hAnsi="Arial Narrow"/>
                <w:b/>
                <w:sz w:val="20"/>
                <w:szCs w:val="20"/>
              </w:rPr>
              <w:t>Outcomes assessed for change in management</w:t>
            </w:r>
          </w:p>
        </w:tc>
      </w:tr>
      <w:tr w:rsidR="007A0067" w14:paraId="45362384" w14:textId="77777777" w:rsidTr="00CC55F9">
        <w:tc>
          <w:tcPr>
            <w:tcW w:w="666" w:type="pct"/>
          </w:tcPr>
          <w:p w14:paraId="0EA9AE64" w14:textId="77777777" w:rsidR="007A0067" w:rsidRPr="00096FEE" w:rsidRDefault="007A0067" w:rsidP="004C79C1">
            <w:pPr>
              <w:spacing w:after="120" w:line="240" w:lineRule="auto"/>
              <w:rPr>
                <w:rFonts w:ascii="Arial Narrow" w:hAnsi="Arial Narrow"/>
                <w:sz w:val="20"/>
                <w:szCs w:val="20"/>
              </w:rPr>
            </w:pPr>
            <w:r w:rsidRPr="00096FEE">
              <w:rPr>
                <w:rFonts w:ascii="Arial Narrow" w:hAnsi="Arial Narrow"/>
                <w:sz w:val="20"/>
                <w:szCs w:val="20"/>
              </w:rPr>
              <w:t>Bruder et al. (2013)</w:t>
            </w:r>
          </w:p>
          <w:p w14:paraId="1E93EC53" w14:textId="77777777" w:rsidR="007A0067" w:rsidRPr="00096FEE" w:rsidRDefault="007A0067" w:rsidP="004C79C1">
            <w:pPr>
              <w:spacing w:after="120" w:line="240" w:lineRule="auto"/>
              <w:rPr>
                <w:rFonts w:ascii="Arial Narrow" w:hAnsi="Arial Narrow"/>
                <w:sz w:val="20"/>
                <w:szCs w:val="20"/>
              </w:rPr>
            </w:pPr>
            <w:r w:rsidRPr="00096FEE">
              <w:rPr>
                <w:rFonts w:ascii="Arial Narrow" w:hAnsi="Arial Narrow"/>
                <w:sz w:val="20"/>
                <w:szCs w:val="20"/>
              </w:rPr>
              <w:t>Europe (57 centres in 15 countries)</w:t>
            </w:r>
          </w:p>
          <w:p w14:paraId="2BDDF642" w14:textId="77777777" w:rsidR="007A0067" w:rsidRPr="00096FEE" w:rsidRDefault="007A0067" w:rsidP="004C79C1">
            <w:pPr>
              <w:spacing w:after="120" w:line="240" w:lineRule="auto"/>
              <w:rPr>
                <w:rFonts w:ascii="Arial Narrow" w:hAnsi="Arial Narrow"/>
                <w:sz w:val="20"/>
                <w:szCs w:val="20"/>
              </w:rPr>
            </w:pPr>
          </w:p>
          <w:p w14:paraId="7D3D0E1A" w14:textId="77777777" w:rsidR="007A0067" w:rsidRDefault="007A0067" w:rsidP="004C79C1">
            <w:pPr>
              <w:spacing w:after="120" w:line="240" w:lineRule="auto"/>
            </w:pPr>
            <w:r w:rsidRPr="00096FEE">
              <w:rPr>
                <w:rFonts w:ascii="Arial Narrow" w:hAnsi="Arial Narrow"/>
                <w:sz w:val="20"/>
                <w:szCs w:val="20"/>
              </w:rPr>
              <w:t>Prospective multicentre (non-comparative) cohort study</w:t>
            </w:r>
          </w:p>
        </w:tc>
        <w:tc>
          <w:tcPr>
            <w:tcW w:w="586" w:type="pct"/>
          </w:tcPr>
          <w:p w14:paraId="2A52EA44" w14:textId="77777777" w:rsidR="007A0067" w:rsidRPr="00096FEE" w:rsidRDefault="007A0067" w:rsidP="004C79C1">
            <w:pPr>
              <w:spacing w:after="120" w:line="240" w:lineRule="auto"/>
              <w:rPr>
                <w:rFonts w:ascii="Arial Narrow" w:hAnsi="Arial Narrow"/>
                <w:sz w:val="20"/>
                <w:szCs w:val="20"/>
              </w:rPr>
            </w:pPr>
            <w:r w:rsidRPr="00096FEE">
              <w:rPr>
                <w:rFonts w:ascii="Arial Narrow" w:hAnsi="Arial Narrow"/>
                <w:sz w:val="20"/>
                <w:szCs w:val="20"/>
              </w:rPr>
              <w:t xml:space="preserve">Level IV: </w:t>
            </w:r>
          </w:p>
          <w:p w14:paraId="49F1FF0E" w14:textId="77777777" w:rsidR="007A0067" w:rsidRDefault="007A0067" w:rsidP="004C79C1">
            <w:pPr>
              <w:spacing w:after="120" w:line="240" w:lineRule="auto"/>
              <w:rPr>
                <w:rFonts w:ascii="Arial Narrow" w:hAnsi="Arial Narrow"/>
                <w:sz w:val="20"/>
                <w:szCs w:val="20"/>
              </w:rPr>
            </w:pPr>
            <w:r w:rsidRPr="00096FEE">
              <w:rPr>
                <w:rFonts w:ascii="Arial Narrow" w:hAnsi="Arial Narrow"/>
                <w:sz w:val="20"/>
                <w:szCs w:val="20"/>
              </w:rPr>
              <w:t xml:space="preserve">Quality: </w:t>
            </w:r>
            <w:r>
              <w:rPr>
                <w:rFonts w:ascii="Arial Narrow" w:hAnsi="Arial Narrow"/>
                <w:sz w:val="20"/>
                <w:szCs w:val="20"/>
              </w:rPr>
              <w:t>good</w:t>
            </w:r>
          </w:p>
          <w:p w14:paraId="63D29972"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Risk of bias: low</w:t>
            </w:r>
          </w:p>
          <w:p w14:paraId="215590B2" w14:textId="77777777" w:rsidR="007A0067" w:rsidRDefault="007A0067" w:rsidP="004C79C1">
            <w:pPr>
              <w:spacing w:after="120" w:line="240" w:lineRule="auto"/>
            </w:pPr>
          </w:p>
        </w:tc>
        <w:tc>
          <w:tcPr>
            <w:tcW w:w="622" w:type="pct"/>
          </w:tcPr>
          <w:p w14:paraId="17C50AC3" w14:textId="3C3446F5" w:rsidR="007A0067" w:rsidRPr="00096FEE" w:rsidRDefault="007A0067" w:rsidP="004C79C1">
            <w:pPr>
              <w:pStyle w:val="Tabletext1"/>
              <w:spacing w:before="0" w:after="120"/>
              <w:rPr>
                <w:lang w:eastAsia="en-US"/>
              </w:rPr>
            </w:pPr>
            <w:r>
              <w:t>3</w:t>
            </w:r>
            <w:r w:rsidR="00941BFE">
              <w:t>,</w:t>
            </w:r>
            <w:r>
              <w:t>511</w:t>
            </w:r>
            <w:r w:rsidRPr="00096FEE">
              <w:t xml:space="preserve"> patients undergoing CMR</w:t>
            </w:r>
            <w:r>
              <w:t xml:space="preserve"> for</w:t>
            </w:r>
            <w:r w:rsidRPr="00096FEE">
              <w:t xml:space="preserve"> </w:t>
            </w:r>
            <w:r w:rsidR="00DC64C1">
              <w:rPr>
                <w:lang w:eastAsia="en-US"/>
              </w:rPr>
              <w:t>m</w:t>
            </w:r>
            <w:r w:rsidRPr="00096FEE">
              <w:rPr>
                <w:lang w:eastAsia="en-US"/>
              </w:rPr>
              <w:t>yocarditis/</w:t>
            </w:r>
            <w:r>
              <w:rPr>
                <w:lang w:eastAsia="en-US"/>
              </w:rPr>
              <w:t>CM</w:t>
            </w:r>
            <w:r w:rsidRPr="00096FEE">
              <w:rPr>
                <w:lang w:eastAsia="en-US"/>
              </w:rPr>
              <w:t xml:space="preserve"> </w:t>
            </w:r>
            <w:r>
              <w:rPr>
                <w:lang w:eastAsia="en-US"/>
              </w:rPr>
              <w:t>(31.9% of total who underwent CMR)</w:t>
            </w:r>
          </w:p>
          <w:p w14:paraId="3FB52D2C" w14:textId="77777777" w:rsidR="00CF38B6" w:rsidRDefault="00CF38B6" w:rsidP="004C79C1">
            <w:pPr>
              <w:pStyle w:val="Tabletext1"/>
              <w:spacing w:before="0" w:after="120"/>
              <w:rPr>
                <w:rFonts w:cs="Arial Narrow"/>
                <w:bCs/>
              </w:rPr>
            </w:pPr>
            <w:r w:rsidRPr="00526FBF">
              <w:rPr>
                <w:rFonts w:cs="Arial Narrow"/>
                <w:bCs/>
              </w:rPr>
              <w:t xml:space="preserve">Patient characteristics: </w:t>
            </w:r>
          </w:p>
          <w:p w14:paraId="7D3A9A87" w14:textId="00869399" w:rsidR="007A0067" w:rsidRDefault="00CF38B6" w:rsidP="004C79C1">
            <w:pPr>
              <w:pStyle w:val="Tabletext1"/>
              <w:tabs>
                <w:tab w:val="left" w:pos="734"/>
              </w:tabs>
              <w:spacing w:before="0" w:after="120"/>
              <w:ind w:left="167"/>
              <w:rPr>
                <w:b/>
                <w:lang w:val="en-GB" w:eastAsia="en-US"/>
              </w:rPr>
            </w:pPr>
            <w:r>
              <w:rPr>
                <w:lang w:eastAsia="en-US"/>
              </w:rPr>
              <w:t>a</w:t>
            </w:r>
            <w:r w:rsidR="007A0067" w:rsidRPr="00096FEE">
              <w:rPr>
                <w:lang w:eastAsia="en-US"/>
              </w:rPr>
              <w:t>ge (years)</w:t>
            </w:r>
          </w:p>
          <w:p w14:paraId="1DB4A0DE" w14:textId="1AB43B9C" w:rsidR="007A0067" w:rsidRDefault="007A0067" w:rsidP="004C79C1">
            <w:pPr>
              <w:pStyle w:val="Tabletext1"/>
              <w:tabs>
                <w:tab w:val="left" w:pos="876"/>
              </w:tabs>
              <w:spacing w:before="0" w:after="120"/>
              <w:ind w:left="167"/>
            </w:pPr>
            <w:r w:rsidRPr="00096FEE">
              <w:rPr>
                <w:lang w:eastAsia="en-US"/>
              </w:rPr>
              <w:t>&lt;44</w:t>
            </w:r>
            <w:r w:rsidR="00BC7EF3">
              <w:rPr>
                <w:lang w:eastAsia="en-US"/>
              </w:rPr>
              <w:tab/>
            </w:r>
            <w:r w:rsidRPr="00096FEE">
              <w:rPr>
                <w:lang w:eastAsia="en-US"/>
              </w:rPr>
              <w:t>58.2%,</w:t>
            </w:r>
            <w:r w:rsidR="00CF38B6">
              <w:rPr>
                <w:lang w:eastAsia="en-US"/>
              </w:rPr>
              <w:br/>
            </w:r>
            <w:r w:rsidRPr="00096FEE">
              <w:rPr>
                <w:lang w:eastAsia="en-US"/>
              </w:rPr>
              <w:t>45</w:t>
            </w:r>
            <w:r w:rsidR="00DC64C1">
              <w:rPr>
                <w:lang w:eastAsia="en-US"/>
              </w:rPr>
              <w:t>–</w:t>
            </w:r>
            <w:r w:rsidRPr="00096FEE">
              <w:rPr>
                <w:lang w:eastAsia="en-US"/>
              </w:rPr>
              <w:t>59</w:t>
            </w:r>
            <w:r w:rsidR="00BC7EF3">
              <w:rPr>
                <w:lang w:eastAsia="en-US"/>
              </w:rPr>
              <w:t xml:space="preserve"> </w:t>
            </w:r>
            <w:r w:rsidR="00BC7EF3">
              <w:rPr>
                <w:lang w:eastAsia="en-US"/>
              </w:rPr>
              <w:tab/>
            </w:r>
            <w:r w:rsidRPr="00096FEE">
              <w:rPr>
                <w:lang w:eastAsia="en-US"/>
              </w:rPr>
              <w:t xml:space="preserve">32.5%, </w:t>
            </w:r>
            <w:r w:rsidR="00CF38B6">
              <w:rPr>
                <w:lang w:eastAsia="en-US"/>
              </w:rPr>
              <w:br/>
            </w:r>
            <w:r w:rsidRPr="00096FEE">
              <w:rPr>
                <w:lang w:eastAsia="en-US"/>
              </w:rPr>
              <w:t>60</w:t>
            </w:r>
            <w:r w:rsidR="00DC64C1">
              <w:rPr>
                <w:lang w:eastAsia="en-US"/>
              </w:rPr>
              <w:t>–</w:t>
            </w:r>
            <w:r w:rsidRPr="00096FEE">
              <w:rPr>
                <w:lang w:eastAsia="en-US"/>
              </w:rPr>
              <w:t>74</w:t>
            </w:r>
            <w:r w:rsidR="00BC7EF3">
              <w:rPr>
                <w:lang w:eastAsia="en-US"/>
              </w:rPr>
              <w:t xml:space="preserve"> </w:t>
            </w:r>
            <w:r w:rsidR="00BC7EF3">
              <w:rPr>
                <w:lang w:eastAsia="en-US"/>
              </w:rPr>
              <w:tab/>
            </w:r>
            <w:r w:rsidRPr="00096FEE">
              <w:rPr>
                <w:lang w:eastAsia="en-US"/>
              </w:rPr>
              <w:t xml:space="preserve">21.2%, </w:t>
            </w:r>
            <w:r w:rsidR="00CF38B6">
              <w:rPr>
                <w:lang w:eastAsia="en-US"/>
              </w:rPr>
              <w:br/>
            </w:r>
            <w:r w:rsidRPr="00096FEE">
              <w:rPr>
                <w:lang w:eastAsia="en-US"/>
              </w:rPr>
              <w:t>&gt;75</w:t>
            </w:r>
            <w:r w:rsidR="00BC7EF3">
              <w:rPr>
                <w:lang w:eastAsia="en-US"/>
              </w:rPr>
              <w:t xml:space="preserve"> </w:t>
            </w:r>
            <w:r w:rsidR="00BC7EF3">
              <w:rPr>
                <w:lang w:eastAsia="en-US"/>
              </w:rPr>
              <w:tab/>
            </w:r>
            <w:r w:rsidRPr="00096FEE">
              <w:rPr>
                <w:lang w:eastAsia="en-US"/>
              </w:rPr>
              <w:t>14.5%</w:t>
            </w:r>
          </w:p>
        </w:tc>
        <w:tc>
          <w:tcPr>
            <w:tcW w:w="1265" w:type="pct"/>
          </w:tcPr>
          <w:p w14:paraId="358C1BF2" w14:textId="28267FB8"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Inclusion</w:t>
            </w:r>
            <w:r w:rsidR="0009600A" w:rsidRPr="00BA665C">
              <w:rPr>
                <w:rFonts w:ascii="Arial Narrow" w:hAnsi="Arial Narrow"/>
                <w:b/>
                <w:sz w:val="20"/>
                <w:szCs w:val="20"/>
              </w:rPr>
              <w:t xml:space="preserve"> criteria:</w:t>
            </w:r>
            <w:r w:rsidRPr="00BA665C">
              <w:rPr>
                <w:rFonts w:ascii="Arial Narrow" w:hAnsi="Arial Narrow"/>
                <w:b/>
                <w:sz w:val="20"/>
                <w:szCs w:val="20"/>
              </w:rPr>
              <w:t xml:space="preserve"> </w:t>
            </w:r>
          </w:p>
          <w:p w14:paraId="5B18EEB3" w14:textId="09BB40FA" w:rsidR="007A0067" w:rsidRPr="0009600A" w:rsidRDefault="007A0067" w:rsidP="004C79C1">
            <w:pPr>
              <w:spacing w:after="120" w:line="240" w:lineRule="auto"/>
              <w:rPr>
                <w:rFonts w:ascii="Arial Narrow" w:hAnsi="Arial Narrow"/>
                <w:sz w:val="20"/>
                <w:szCs w:val="20"/>
              </w:rPr>
            </w:pPr>
            <w:r w:rsidRPr="0009600A">
              <w:rPr>
                <w:rFonts w:ascii="Arial Narrow" w:hAnsi="Arial Narrow"/>
                <w:sz w:val="20"/>
                <w:szCs w:val="20"/>
              </w:rPr>
              <w:t>Consecutive patients undergoing CMR according to the ACCF/ACR/SCCT/SCMR/ASNC/NASCI/SIR consensus appropriateness criteria for CMR imaging, in centres included in the EuroCMR registry</w:t>
            </w:r>
          </w:p>
          <w:p w14:paraId="668A366C" w14:textId="3EFF1151"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Exclusion</w:t>
            </w:r>
            <w:r w:rsidR="0009600A" w:rsidRPr="00BA665C">
              <w:rPr>
                <w:rFonts w:ascii="Arial Narrow" w:hAnsi="Arial Narrow"/>
                <w:b/>
                <w:sz w:val="20"/>
                <w:szCs w:val="20"/>
              </w:rPr>
              <w:t xml:space="preserve"> criteria:</w:t>
            </w:r>
          </w:p>
          <w:p w14:paraId="5F56AE91" w14:textId="77777777" w:rsidR="007A0067" w:rsidRPr="0009600A" w:rsidRDefault="007A0067" w:rsidP="004C79C1">
            <w:pPr>
              <w:spacing w:after="120" w:line="240" w:lineRule="auto"/>
              <w:rPr>
                <w:rFonts w:ascii="Arial Narrow" w:hAnsi="Arial Narrow"/>
                <w:sz w:val="20"/>
                <w:szCs w:val="20"/>
              </w:rPr>
            </w:pPr>
            <w:r w:rsidRPr="0009600A">
              <w:rPr>
                <w:rFonts w:ascii="Arial Narrow" w:hAnsi="Arial Narrow"/>
                <w:sz w:val="20"/>
                <w:szCs w:val="20"/>
              </w:rPr>
              <w:t>NR</w:t>
            </w:r>
          </w:p>
          <w:p w14:paraId="62C885F2" w14:textId="77777777" w:rsidR="0009600A" w:rsidRDefault="0009600A" w:rsidP="004C79C1">
            <w:pPr>
              <w:spacing w:after="120" w:line="240" w:lineRule="auto"/>
              <w:rPr>
                <w:rFonts w:ascii="Arial Narrow" w:hAnsi="Arial Narrow"/>
                <w:sz w:val="20"/>
                <w:szCs w:val="20"/>
              </w:rPr>
            </w:pPr>
          </w:p>
          <w:p w14:paraId="1B73C8A5" w14:textId="41C77FE9"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Objective</w:t>
            </w:r>
            <w:r w:rsidR="0009600A">
              <w:rPr>
                <w:rFonts w:ascii="Arial Narrow" w:hAnsi="Arial Narrow"/>
                <w:b/>
                <w:sz w:val="20"/>
                <w:szCs w:val="20"/>
              </w:rPr>
              <w:t>:</w:t>
            </w:r>
          </w:p>
          <w:p w14:paraId="43E51EDC" w14:textId="665627CE" w:rsidR="007A0067" w:rsidRPr="0009600A" w:rsidRDefault="007A0067" w:rsidP="004C79C1">
            <w:pPr>
              <w:spacing w:after="120" w:line="240" w:lineRule="auto"/>
            </w:pPr>
            <w:r w:rsidRPr="0009600A">
              <w:rPr>
                <w:rFonts w:ascii="Arial Narrow" w:hAnsi="Arial Narrow"/>
                <w:sz w:val="20"/>
                <w:szCs w:val="20"/>
              </w:rPr>
              <w:t>Evaluate indications, image quality, safety and impact on patient management of routine CMR imaging in Europe</w:t>
            </w:r>
          </w:p>
        </w:tc>
        <w:tc>
          <w:tcPr>
            <w:tcW w:w="622" w:type="pct"/>
          </w:tcPr>
          <w:p w14:paraId="47DDAB3F" w14:textId="77777777"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CMR imaging</w:t>
            </w:r>
          </w:p>
          <w:p w14:paraId="1DFF7B1D" w14:textId="04FED311" w:rsidR="007A0067" w:rsidRDefault="007A0067" w:rsidP="004C79C1">
            <w:pPr>
              <w:spacing w:after="120" w:line="240" w:lineRule="auto"/>
            </w:pPr>
            <w:r>
              <w:rPr>
                <w:rFonts w:ascii="Arial Narrow" w:hAnsi="Arial Narrow"/>
                <w:sz w:val="20"/>
                <w:szCs w:val="20"/>
              </w:rPr>
              <w:t xml:space="preserve">88% of patients received a </w:t>
            </w:r>
            <w:r w:rsidR="0009600A">
              <w:rPr>
                <w:rFonts w:ascii="Arial Narrow" w:hAnsi="Arial Narrow"/>
                <w:sz w:val="20"/>
                <w:szCs w:val="20"/>
              </w:rPr>
              <w:t>Gd</w:t>
            </w:r>
            <w:r>
              <w:rPr>
                <w:rFonts w:ascii="Arial Narrow" w:hAnsi="Arial Narrow"/>
                <w:sz w:val="20"/>
                <w:szCs w:val="20"/>
              </w:rPr>
              <w:t>-based contrast agent (1.28</w:t>
            </w:r>
            <w:r w:rsidR="0009600A">
              <w:rPr>
                <w:rFonts w:ascii="Arial Narrow" w:hAnsi="Arial Narrow"/>
                <w:sz w:val="20"/>
                <w:szCs w:val="20"/>
              </w:rPr>
              <w:t> </w:t>
            </w:r>
            <w:r>
              <w:rPr>
                <w:rFonts w:ascii="Arial Narrow" w:hAnsi="Arial Narrow"/>
                <w:sz w:val="20"/>
                <w:szCs w:val="20"/>
              </w:rPr>
              <w:t>mmol/kg bodyweight)</w:t>
            </w:r>
          </w:p>
        </w:tc>
        <w:tc>
          <w:tcPr>
            <w:tcW w:w="1239" w:type="pct"/>
          </w:tcPr>
          <w:p w14:paraId="6802D88B" w14:textId="3EF3E4A1"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Myocarditis/</w:t>
            </w:r>
            <w:r w:rsidR="00DE766C">
              <w:rPr>
                <w:rFonts w:ascii="Arial Narrow" w:hAnsi="Arial Narrow"/>
                <w:b/>
                <w:sz w:val="20"/>
                <w:szCs w:val="20"/>
              </w:rPr>
              <w:t xml:space="preserve">CM </w:t>
            </w:r>
            <w:r w:rsidRPr="00BA665C">
              <w:rPr>
                <w:rFonts w:ascii="Arial Narrow" w:hAnsi="Arial Narrow"/>
                <w:b/>
                <w:sz w:val="20"/>
                <w:szCs w:val="20"/>
              </w:rPr>
              <w:t>indication:</w:t>
            </w:r>
          </w:p>
          <w:p w14:paraId="503A4B59" w14:textId="49E45C4F" w:rsidR="007A0067" w:rsidRPr="00DA7B87" w:rsidRDefault="007A0067" w:rsidP="004C79C1">
            <w:pPr>
              <w:spacing w:after="120" w:line="240" w:lineRule="auto"/>
              <w:rPr>
                <w:rFonts w:ascii="Arial Narrow" w:hAnsi="Arial Narrow"/>
                <w:sz w:val="20"/>
                <w:szCs w:val="20"/>
              </w:rPr>
            </w:pPr>
            <w:r w:rsidRPr="00DA7B87">
              <w:rPr>
                <w:rFonts w:ascii="Arial Narrow" w:hAnsi="Arial Narrow"/>
                <w:sz w:val="20"/>
                <w:szCs w:val="20"/>
              </w:rPr>
              <w:t>Total (out of 11,040)</w:t>
            </w:r>
            <w:r w:rsidR="00DA7B87" w:rsidRPr="00DA7B87">
              <w:rPr>
                <w:rFonts w:ascii="Arial Narrow" w:hAnsi="Arial Narrow"/>
                <w:sz w:val="20"/>
                <w:szCs w:val="20"/>
              </w:rPr>
              <w:t>:</w:t>
            </w:r>
            <w:r w:rsidRPr="00DA7B87">
              <w:rPr>
                <w:rFonts w:ascii="Arial Narrow" w:hAnsi="Arial Narrow"/>
                <w:sz w:val="20"/>
                <w:szCs w:val="20"/>
              </w:rPr>
              <w:t xml:space="preserve"> </w:t>
            </w:r>
          </w:p>
          <w:p w14:paraId="67698306" w14:textId="77777777" w:rsidR="007A0067" w:rsidRPr="00DA7B87" w:rsidRDefault="007A0067" w:rsidP="004C79C1">
            <w:pPr>
              <w:spacing w:after="120" w:line="240" w:lineRule="auto"/>
              <w:rPr>
                <w:rFonts w:ascii="Arial Narrow" w:hAnsi="Arial Narrow"/>
                <w:sz w:val="20"/>
                <w:szCs w:val="20"/>
              </w:rPr>
            </w:pPr>
            <w:r w:rsidRPr="00DA7B87">
              <w:rPr>
                <w:rFonts w:ascii="Arial Narrow" w:hAnsi="Arial Narrow"/>
                <w:sz w:val="20"/>
                <w:szCs w:val="20"/>
              </w:rPr>
              <w:t xml:space="preserve">Completely new diagnoses </w:t>
            </w:r>
          </w:p>
          <w:p w14:paraId="55D47A62" w14:textId="692288DA" w:rsidR="007A0067" w:rsidRPr="00DA7B87" w:rsidRDefault="007A0067" w:rsidP="004C79C1">
            <w:pPr>
              <w:spacing w:after="120" w:line="240" w:lineRule="auto"/>
              <w:rPr>
                <w:rFonts w:ascii="Arial Narrow" w:hAnsi="Arial Narrow"/>
                <w:sz w:val="20"/>
                <w:szCs w:val="20"/>
              </w:rPr>
            </w:pPr>
            <w:r w:rsidRPr="00DA7B87">
              <w:rPr>
                <w:rFonts w:ascii="Arial Narrow" w:hAnsi="Arial Narrow"/>
                <w:sz w:val="20"/>
                <w:szCs w:val="20"/>
              </w:rPr>
              <w:t>Therapeutic consequences</w:t>
            </w:r>
            <w:r w:rsidR="00DA7B87" w:rsidRPr="00BA665C">
              <w:rPr>
                <w:rFonts w:ascii="Arial Narrow" w:hAnsi="Arial Narrow"/>
                <w:sz w:val="20"/>
                <w:szCs w:val="20"/>
              </w:rPr>
              <w:t>:</w:t>
            </w:r>
          </w:p>
          <w:p w14:paraId="5367EF72" w14:textId="2D96C9D5" w:rsidR="007A0067" w:rsidRPr="00DA7B87" w:rsidRDefault="007A0067" w:rsidP="004C79C1">
            <w:pPr>
              <w:tabs>
                <w:tab w:val="left" w:pos="601"/>
              </w:tabs>
              <w:spacing w:after="120" w:line="240" w:lineRule="auto"/>
              <w:ind w:left="145"/>
              <w:rPr>
                <w:rFonts w:ascii="Arial Narrow" w:hAnsi="Arial Narrow"/>
                <w:sz w:val="20"/>
                <w:szCs w:val="20"/>
              </w:rPr>
            </w:pPr>
            <w:r w:rsidRPr="00DA7B87">
              <w:rPr>
                <w:rFonts w:ascii="Arial Narrow" w:hAnsi="Arial Narrow"/>
                <w:sz w:val="20"/>
                <w:szCs w:val="20"/>
              </w:rPr>
              <w:t>-</w:t>
            </w:r>
            <w:r w:rsidR="00DA7B87" w:rsidRPr="00BA665C">
              <w:rPr>
                <w:rFonts w:ascii="Arial Narrow" w:hAnsi="Arial Narrow"/>
                <w:sz w:val="20"/>
                <w:szCs w:val="20"/>
              </w:rPr>
              <w:t xml:space="preserve"> c</w:t>
            </w:r>
            <w:r w:rsidRPr="00DA7B87">
              <w:rPr>
                <w:rFonts w:ascii="Arial Narrow" w:hAnsi="Arial Narrow"/>
                <w:sz w:val="20"/>
                <w:szCs w:val="20"/>
              </w:rPr>
              <w:t xml:space="preserve">hanges in medication </w:t>
            </w:r>
          </w:p>
          <w:p w14:paraId="5559CD31" w14:textId="33BBBF63" w:rsidR="007A0067" w:rsidRPr="00456E95" w:rsidRDefault="007A0067" w:rsidP="004C79C1">
            <w:pPr>
              <w:tabs>
                <w:tab w:val="left" w:pos="601"/>
              </w:tabs>
              <w:spacing w:after="120" w:line="240" w:lineRule="auto"/>
              <w:ind w:left="145"/>
              <w:rPr>
                <w:rFonts w:ascii="Arial Narrow" w:hAnsi="Arial Narrow"/>
                <w:sz w:val="20"/>
                <w:szCs w:val="20"/>
              </w:rPr>
            </w:pPr>
            <w:r w:rsidRPr="00DA7B87">
              <w:rPr>
                <w:rFonts w:ascii="Arial Narrow" w:hAnsi="Arial Narrow"/>
                <w:sz w:val="20"/>
                <w:szCs w:val="20"/>
              </w:rPr>
              <w:t>-</w:t>
            </w:r>
            <w:r w:rsidR="00C50DB2" w:rsidRPr="00DA7B87">
              <w:rPr>
                <w:rFonts w:ascii="Arial Narrow" w:hAnsi="Arial Narrow"/>
                <w:sz w:val="20"/>
                <w:szCs w:val="20"/>
              </w:rPr>
              <w:t xml:space="preserve"> </w:t>
            </w:r>
            <w:r w:rsidR="00DA7B87" w:rsidRPr="00BA665C">
              <w:rPr>
                <w:rFonts w:ascii="Arial Narrow" w:hAnsi="Arial Narrow"/>
                <w:sz w:val="20"/>
                <w:szCs w:val="20"/>
              </w:rPr>
              <w:t>i</w:t>
            </w:r>
            <w:r w:rsidRPr="00456E95">
              <w:rPr>
                <w:rFonts w:ascii="Arial Narrow" w:hAnsi="Arial Narrow"/>
                <w:sz w:val="20"/>
                <w:szCs w:val="20"/>
              </w:rPr>
              <w:t xml:space="preserve">nvasive procedure </w:t>
            </w:r>
          </w:p>
          <w:p w14:paraId="7121B667" w14:textId="4C441323" w:rsidR="007A0067" w:rsidRPr="00456E95" w:rsidRDefault="007A0067" w:rsidP="004C79C1">
            <w:pPr>
              <w:tabs>
                <w:tab w:val="left" w:pos="601"/>
              </w:tabs>
              <w:spacing w:after="120" w:line="240" w:lineRule="auto"/>
              <w:ind w:left="145"/>
              <w:rPr>
                <w:rFonts w:ascii="Arial Narrow" w:hAnsi="Arial Narrow"/>
                <w:sz w:val="20"/>
                <w:szCs w:val="20"/>
              </w:rPr>
            </w:pPr>
            <w:r w:rsidRPr="00456E95">
              <w:rPr>
                <w:rFonts w:ascii="Arial Narrow" w:hAnsi="Arial Narrow"/>
                <w:sz w:val="20"/>
                <w:szCs w:val="20"/>
              </w:rPr>
              <w:t>-</w:t>
            </w:r>
            <w:r w:rsidR="00C50DB2" w:rsidRPr="00456E95">
              <w:rPr>
                <w:rFonts w:ascii="Arial Narrow" w:hAnsi="Arial Narrow"/>
                <w:sz w:val="20"/>
                <w:szCs w:val="20"/>
              </w:rPr>
              <w:t xml:space="preserve"> </w:t>
            </w:r>
            <w:r w:rsidR="00DA7B87" w:rsidRPr="00BA665C">
              <w:rPr>
                <w:rFonts w:ascii="Arial Narrow" w:hAnsi="Arial Narrow"/>
                <w:sz w:val="20"/>
                <w:szCs w:val="20"/>
              </w:rPr>
              <w:t>h</w:t>
            </w:r>
            <w:r w:rsidRPr="00456E95">
              <w:rPr>
                <w:rFonts w:ascii="Arial Narrow" w:hAnsi="Arial Narrow"/>
                <w:sz w:val="20"/>
                <w:szCs w:val="20"/>
              </w:rPr>
              <w:t xml:space="preserve">ospital discharge </w:t>
            </w:r>
          </w:p>
          <w:p w14:paraId="355F72F2" w14:textId="6FF8652E" w:rsidR="007A0067" w:rsidRPr="00456E95" w:rsidRDefault="007A0067" w:rsidP="004C79C1">
            <w:pPr>
              <w:tabs>
                <w:tab w:val="left" w:pos="601"/>
              </w:tabs>
              <w:spacing w:after="120" w:line="240" w:lineRule="auto"/>
              <w:ind w:left="145"/>
              <w:rPr>
                <w:rFonts w:ascii="Arial Narrow" w:hAnsi="Arial Narrow"/>
                <w:sz w:val="20"/>
                <w:szCs w:val="20"/>
              </w:rPr>
            </w:pPr>
            <w:r w:rsidRPr="00456E95">
              <w:rPr>
                <w:rFonts w:ascii="Arial Narrow" w:hAnsi="Arial Narrow"/>
                <w:sz w:val="20"/>
                <w:szCs w:val="20"/>
              </w:rPr>
              <w:t>-</w:t>
            </w:r>
            <w:r w:rsidR="00C50DB2" w:rsidRPr="00456E95">
              <w:rPr>
                <w:rFonts w:ascii="Arial Narrow" w:hAnsi="Arial Narrow"/>
                <w:sz w:val="20"/>
                <w:szCs w:val="20"/>
              </w:rPr>
              <w:t xml:space="preserve"> </w:t>
            </w:r>
            <w:r w:rsidR="00DA7B87" w:rsidRPr="00BA665C">
              <w:rPr>
                <w:rFonts w:ascii="Arial Narrow" w:hAnsi="Arial Narrow"/>
                <w:sz w:val="20"/>
                <w:szCs w:val="20"/>
              </w:rPr>
              <w:t>h</w:t>
            </w:r>
            <w:r w:rsidRPr="00456E95">
              <w:rPr>
                <w:rFonts w:ascii="Arial Narrow" w:hAnsi="Arial Narrow"/>
                <w:sz w:val="20"/>
                <w:szCs w:val="20"/>
              </w:rPr>
              <w:t xml:space="preserve">ospital admission </w:t>
            </w:r>
          </w:p>
          <w:p w14:paraId="29C98C8D" w14:textId="09678B63" w:rsidR="007A0067" w:rsidRPr="00456E95" w:rsidRDefault="007A0067" w:rsidP="004C79C1">
            <w:pPr>
              <w:spacing w:after="120" w:line="240" w:lineRule="auto"/>
              <w:rPr>
                <w:rFonts w:ascii="Arial Narrow" w:hAnsi="Arial Narrow"/>
                <w:sz w:val="20"/>
                <w:szCs w:val="20"/>
              </w:rPr>
            </w:pPr>
            <w:r w:rsidRPr="00456E95">
              <w:rPr>
                <w:rFonts w:ascii="Arial Narrow" w:hAnsi="Arial Narrow"/>
                <w:sz w:val="20"/>
                <w:szCs w:val="20"/>
              </w:rPr>
              <w:t xml:space="preserve">Impact on </w:t>
            </w:r>
            <w:r w:rsidR="00C50DB2" w:rsidRPr="00456E95">
              <w:rPr>
                <w:rFonts w:ascii="Arial Narrow" w:hAnsi="Arial Narrow"/>
                <w:sz w:val="20"/>
                <w:szCs w:val="20"/>
              </w:rPr>
              <w:t>m</w:t>
            </w:r>
            <w:r w:rsidRPr="00456E95">
              <w:rPr>
                <w:rFonts w:ascii="Arial Narrow" w:hAnsi="Arial Narrow"/>
                <w:sz w:val="20"/>
                <w:szCs w:val="20"/>
              </w:rPr>
              <w:t xml:space="preserve">anagement (new diagnosis and/or therapeutic procedure) </w:t>
            </w:r>
          </w:p>
          <w:p w14:paraId="3421C082" w14:textId="531E78CE" w:rsidR="007A0067" w:rsidRPr="00456E95" w:rsidRDefault="007A0067" w:rsidP="004C79C1">
            <w:pPr>
              <w:spacing w:after="120" w:line="240" w:lineRule="auto"/>
              <w:rPr>
                <w:rFonts w:ascii="Arial Narrow" w:hAnsi="Arial Narrow"/>
                <w:sz w:val="20"/>
                <w:szCs w:val="20"/>
              </w:rPr>
            </w:pPr>
            <w:r w:rsidRPr="00456E95">
              <w:rPr>
                <w:rFonts w:ascii="Arial Narrow" w:hAnsi="Arial Narrow"/>
                <w:sz w:val="20"/>
                <w:szCs w:val="20"/>
              </w:rPr>
              <w:t>Non-invasive imaging ordered after CMR</w:t>
            </w:r>
            <w:r w:rsidR="00DA7B87" w:rsidRPr="00BA665C">
              <w:rPr>
                <w:rFonts w:ascii="Arial Narrow" w:hAnsi="Arial Narrow"/>
                <w:sz w:val="20"/>
                <w:szCs w:val="20"/>
              </w:rPr>
              <w:t>:</w:t>
            </w:r>
          </w:p>
          <w:p w14:paraId="0DE3196A" w14:textId="739E5A5B" w:rsidR="007A0067" w:rsidRPr="00456E95" w:rsidRDefault="007A0067" w:rsidP="004C79C1">
            <w:pPr>
              <w:tabs>
                <w:tab w:val="left" w:pos="601"/>
              </w:tabs>
              <w:spacing w:after="120" w:line="240" w:lineRule="auto"/>
              <w:ind w:left="145"/>
              <w:rPr>
                <w:rFonts w:ascii="Arial Narrow" w:hAnsi="Arial Narrow"/>
                <w:sz w:val="20"/>
                <w:szCs w:val="20"/>
              </w:rPr>
            </w:pPr>
            <w:r w:rsidRPr="00456E95">
              <w:t>-</w:t>
            </w:r>
            <w:r w:rsidR="00EB4A5F" w:rsidRPr="00456E95">
              <w:t xml:space="preserve"> </w:t>
            </w:r>
            <w:r w:rsidR="00DA7B87" w:rsidRPr="00BA665C">
              <w:rPr>
                <w:rFonts w:ascii="Arial Narrow" w:hAnsi="Arial Narrow"/>
                <w:sz w:val="20"/>
                <w:szCs w:val="20"/>
              </w:rPr>
              <w:t>t</w:t>
            </w:r>
            <w:r w:rsidRPr="00456E95">
              <w:rPr>
                <w:rFonts w:ascii="Arial Narrow" w:hAnsi="Arial Narrow"/>
                <w:sz w:val="20"/>
                <w:szCs w:val="20"/>
              </w:rPr>
              <w:t xml:space="preserve">ransthoracic </w:t>
            </w:r>
            <w:r w:rsidR="00DA7B87" w:rsidRPr="00BA665C">
              <w:rPr>
                <w:rFonts w:ascii="Arial Narrow" w:hAnsi="Arial Narrow"/>
                <w:sz w:val="20"/>
                <w:szCs w:val="20"/>
              </w:rPr>
              <w:t>E</w:t>
            </w:r>
            <w:r w:rsidRPr="00456E95">
              <w:rPr>
                <w:rFonts w:ascii="Arial Narrow" w:hAnsi="Arial Narrow"/>
                <w:sz w:val="20"/>
                <w:szCs w:val="20"/>
              </w:rPr>
              <w:t xml:space="preserve">cho </w:t>
            </w:r>
          </w:p>
          <w:p w14:paraId="5C52B758" w14:textId="5F0515C3" w:rsidR="007A0067" w:rsidRPr="00456E95" w:rsidRDefault="007A0067" w:rsidP="004C79C1">
            <w:pPr>
              <w:tabs>
                <w:tab w:val="left" w:pos="601"/>
              </w:tabs>
              <w:spacing w:after="120" w:line="240" w:lineRule="auto"/>
              <w:ind w:left="145"/>
              <w:rPr>
                <w:rFonts w:ascii="Arial Narrow" w:hAnsi="Arial Narrow"/>
                <w:sz w:val="20"/>
                <w:szCs w:val="20"/>
              </w:rPr>
            </w:pPr>
            <w:r w:rsidRPr="00456E95">
              <w:rPr>
                <w:rFonts w:ascii="Arial Narrow" w:hAnsi="Arial Narrow"/>
                <w:sz w:val="20"/>
                <w:szCs w:val="20"/>
              </w:rPr>
              <w:t>-</w:t>
            </w:r>
            <w:r w:rsidR="00EB4A5F" w:rsidRPr="00456E95">
              <w:rPr>
                <w:rFonts w:ascii="Arial Narrow" w:hAnsi="Arial Narrow"/>
                <w:sz w:val="20"/>
                <w:szCs w:val="20"/>
              </w:rPr>
              <w:t xml:space="preserve"> </w:t>
            </w:r>
            <w:r w:rsidR="00DA7B87" w:rsidRPr="00BA665C">
              <w:rPr>
                <w:rFonts w:ascii="Arial Narrow" w:hAnsi="Arial Narrow"/>
                <w:sz w:val="20"/>
                <w:szCs w:val="20"/>
              </w:rPr>
              <w:t>t</w:t>
            </w:r>
            <w:r w:rsidRPr="00456E95">
              <w:rPr>
                <w:rFonts w:ascii="Arial Narrow" w:hAnsi="Arial Narrow"/>
                <w:sz w:val="20"/>
                <w:szCs w:val="20"/>
              </w:rPr>
              <w:t>rans</w:t>
            </w:r>
            <w:r w:rsidR="009A73B9">
              <w:rPr>
                <w:rFonts w:ascii="Arial Narrow" w:hAnsi="Arial Narrow"/>
                <w:sz w:val="20"/>
                <w:szCs w:val="20"/>
              </w:rPr>
              <w:t>o</w:t>
            </w:r>
            <w:r w:rsidRPr="00456E95">
              <w:rPr>
                <w:rFonts w:ascii="Arial Narrow" w:hAnsi="Arial Narrow"/>
                <w:sz w:val="20"/>
                <w:szCs w:val="20"/>
              </w:rPr>
              <w:t xml:space="preserve">esophageal </w:t>
            </w:r>
            <w:r w:rsidR="00DA7B87" w:rsidRPr="00BA665C">
              <w:rPr>
                <w:rFonts w:ascii="Arial Narrow" w:hAnsi="Arial Narrow"/>
                <w:sz w:val="20"/>
                <w:szCs w:val="20"/>
              </w:rPr>
              <w:t>E</w:t>
            </w:r>
            <w:r w:rsidRPr="00456E95">
              <w:rPr>
                <w:rFonts w:ascii="Arial Narrow" w:hAnsi="Arial Narrow"/>
                <w:sz w:val="20"/>
                <w:szCs w:val="20"/>
              </w:rPr>
              <w:t xml:space="preserve">cho </w:t>
            </w:r>
          </w:p>
          <w:p w14:paraId="6C50A1E1" w14:textId="41D8A682" w:rsidR="007A0067" w:rsidRPr="00456E95" w:rsidRDefault="007A0067" w:rsidP="004C79C1">
            <w:pPr>
              <w:tabs>
                <w:tab w:val="left" w:pos="601"/>
              </w:tabs>
              <w:spacing w:after="120" w:line="240" w:lineRule="auto"/>
              <w:ind w:left="145"/>
              <w:rPr>
                <w:rFonts w:ascii="Arial Narrow" w:hAnsi="Arial Narrow"/>
                <w:sz w:val="20"/>
                <w:szCs w:val="20"/>
              </w:rPr>
            </w:pPr>
            <w:r w:rsidRPr="00456E95">
              <w:rPr>
                <w:rFonts w:ascii="Arial Narrow" w:hAnsi="Arial Narrow"/>
                <w:sz w:val="20"/>
                <w:szCs w:val="20"/>
              </w:rPr>
              <w:t>-</w:t>
            </w:r>
            <w:r w:rsidR="00EB4A5F" w:rsidRPr="00456E95">
              <w:rPr>
                <w:rFonts w:ascii="Arial Narrow" w:hAnsi="Arial Narrow"/>
                <w:sz w:val="20"/>
                <w:szCs w:val="20"/>
              </w:rPr>
              <w:t xml:space="preserve"> </w:t>
            </w:r>
            <w:r w:rsidR="00DA7B87" w:rsidRPr="00BA665C">
              <w:rPr>
                <w:rFonts w:ascii="Arial Narrow" w:hAnsi="Arial Narrow"/>
                <w:sz w:val="20"/>
                <w:szCs w:val="20"/>
              </w:rPr>
              <w:t>c</w:t>
            </w:r>
            <w:r w:rsidRPr="00456E95">
              <w:rPr>
                <w:rFonts w:ascii="Arial Narrow" w:hAnsi="Arial Narrow"/>
                <w:sz w:val="20"/>
                <w:szCs w:val="20"/>
              </w:rPr>
              <w:t xml:space="preserve">omputed tomography </w:t>
            </w:r>
          </w:p>
          <w:p w14:paraId="6C5F18B1" w14:textId="77777777" w:rsidR="007A0067" w:rsidRPr="00B205FC" w:rsidRDefault="007A0067" w:rsidP="004C79C1">
            <w:pPr>
              <w:spacing w:after="120" w:line="240" w:lineRule="auto"/>
              <w:rPr>
                <w:rFonts w:ascii="Arial Narrow" w:hAnsi="Arial Narrow"/>
                <w:sz w:val="20"/>
                <w:szCs w:val="20"/>
              </w:rPr>
            </w:pPr>
            <w:r w:rsidRPr="00456E95">
              <w:rPr>
                <w:rFonts w:ascii="Arial Narrow" w:hAnsi="Arial Narrow"/>
                <w:sz w:val="20"/>
                <w:szCs w:val="20"/>
              </w:rPr>
              <w:t>Imaging failure rate</w:t>
            </w:r>
          </w:p>
          <w:p w14:paraId="17432422" w14:textId="77777777" w:rsidR="007A0067" w:rsidRPr="00B205FC" w:rsidRDefault="007A0067" w:rsidP="004C79C1">
            <w:pPr>
              <w:spacing w:after="120" w:line="240" w:lineRule="auto"/>
              <w:rPr>
                <w:rFonts w:ascii="Arial Narrow" w:hAnsi="Arial Narrow"/>
                <w:sz w:val="20"/>
                <w:szCs w:val="20"/>
              </w:rPr>
            </w:pPr>
          </w:p>
          <w:p w14:paraId="05CDDA23" w14:textId="2F78A0E5" w:rsidR="007A0067" w:rsidRDefault="007A0067" w:rsidP="004C79C1">
            <w:pPr>
              <w:spacing w:after="120" w:line="240" w:lineRule="auto"/>
            </w:pPr>
            <w:r w:rsidRPr="00B205FC">
              <w:rPr>
                <w:rFonts w:ascii="Arial Narrow" w:hAnsi="Arial Narrow"/>
                <w:sz w:val="20"/>
                <w:szCs w:val="20"/>
              </w:rPr>
              <w:t xml:space="preserve">Note that results are not separated for myocarditis and other </w:t>
            </w:r>
            <w:r w:rsidR="00375244">
              <w:rPr>
                <w:rFonts w:ascii="Arial Narrow" w:hAnsi="Arial Narrow"/>
                <w:sz w:val="20"/>
                <w:szCs w:val="20"/>
              </w:rPr>
              <w:t>CM</w:t>
            </w:r>
            <w:r w:rsidR="00375244" w:rsidRPr="00B205FC">
              <w:rPr>
                <w:rFonts w:ascii="Arial Narrow" w:hAnsi="Arial Narrow"/>
                <w:sz w:val="20"/>
                <w:szCs w:val="20"/>
              </w:rPr>
              <w:t>s</w:t>
            </w:r>
            <w:r w:rsidR="00EB4A5F">
              <w:rPr>
                <w:rFonts w:ascii="Arial Narrow" w:hAnsi="Arial Narrow"/>
                <w:sz w:val="20"/>
                <w:szCs w:val="20"/>
              </w:rPr>
              <w:t>.</w:t>
            </w:r>
          </w:p>
        </w:tc>
      </w:tr>
      <w:tr w:rsidR="007A0067" w14:paraId="29436E01" w14:textId="77777777" w:rsidTr="00CC55F9">
        <w:tc>
          <w:tcPr>
            <w:tcW w:w="666" w:type="pct"/>
          </w:tcPr>
          <w:p w14:paraId="48FD5EA3" w14:textId="539A15D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Taylor</w:t>
            </w:r>
            <w:r w:rsidR="00A77A15">
              <w:rPr>
                <w:rFonts w:ascii="Arial Narrow" w:hAnsi="Arial Narrow"/>
                <w:sz w:val="20"/>
                <w:szCs w:val="20"/>
              </w:rPr>
              <w:t>, AJ</w:t>
            </w:r>
            <w:r w:rsidRPr="00CC1ACD">
              <w:rPr>
                <w:rFonts w:ascii="Arial Narrow" w:hAnsi="Arial Narrow"/>
                <w:sz w:val="20"/>
                <w:szCs w:val="20"/>
              </w:rPr>
              <w:t xml:space="preserve"> et al</w:t>
            </w:r>
            <w:r w:rsidR="000B60FA">
              <w:rPr>
                <w:rFonts w:ascii="Arial Narrow" w:hAnsi="Arial Narrow"/>
                <w:sz w:val="20"/>
                <w:szCs w:val="20"/>
              </w:rPr>
              <w:t>.</w:t>
            </w:r>
          </w:p>
          <w:p w14:paraId="3B246B55" w14:textId="7777777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(2013)</w:t>
            </w:r>
          </w:p>
          <w:p w14:paraId="7F3666BB" w14:textId="7777777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Australia</w:t>
            </w:r>
          </w:p>
          <w:p w14:paraId="650FFF61" w14:textId="77777777" w:rsidR="007A0067" w:rsidRDefault="007A0067" w:rsidP="004C79C1">
            <w:pPr>
              <w:spacing w:after="120" w:line="240" w:lineRule="auto"/>
            </w:pPr>
            <w:r w:rsidRPr="00CC1ACD">
              <w:rPr>
                <w:rFonts w:ascii="Arial Narrow" w:hAnsi="Arial Narrow"/>
                <w:sz w:val="20"/>
                <w:szCs w:val="20"/>
              </w:rPr>
              <w:t>Prospective observational study, single centre</w:t>
            </w:r>
          </w:p>
        </w:tc>
        <w:tc>
          <w:tcPr>
            <w:tcW w:w="586" w:type="pct"/>
          </w:tcPr>
          <w:p w14:paraId="31C5185C" w14:textId="7777777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Level IV</w:t>
            </w:r>
          </w:p>
          <w:p w14:paraId="71445F61" w14:textId="77777777" w:rsidR="007A0067" w:rsidRDefault="007A0067" w:rsidP="004C79C1">
            <w:pPr>
              <w:spacing w:after="120" w:line="240" w:lineRule="auto"/>
              <w:rPr>
                <w:rFonts w:ascii="Arial Narrow" w:hAnsi="Arial Narrow"/>
                <w:sz w:val="20"/>
                <w:szCs w:val="20"/>
              </w:rPr>
            </w:pPr>
            <w:r w:rsidRPr="00096FEE">
              <w:rPr>
                <w:rFonts w:ascii="Arial Narrow" w:hAnsi="Arial Narrow"/>
                <w:sz w:val="20"/>
                <w:szCs w:val="20"/>
              </w:rPr>
              <w:t>Quality</w:t>
            </w:r>
            <w:r>
              <w:rPr>
                <w:rFonts w:ascii="Arial Narrow" w:hAnsi="Arial Narrow"/>
                <w:sz w:val="20"/>
                <w:szCs w:val="20"/>
              </w:rPr>
              <w:t>:</w:t>
            </w:r>
            <w:r w:rsidRPr="00096FEE">
              <w:rPr>
                <w:rFonts w:ascii="Arial Narrow" w:hAnsi="Arial Narrow"/>
                <w:sz w:val="20"/>
                <w:szCs w:val="20"/>
              </w:rPr>
              <w:t xml:space="preserve"> </w:t>
            </w:r>
            <w:r>
              <w:rPr>
                <w:rFonts w:ascii="Arial Narrow" w:hAnsi="Arial Narrow"/>
                <w:sz w:val="20"/>
                <w:szCs w:val="20"/>
              </w:rPr>
              <w:t>Good</w:t>
            </w:r>
          </w:p>
          <w:p w14:paraId="670C03E6" w14:textId="77777777" w:rsidR="007A0067" w:rsidRDefault="007A0067" w:rsidP="004C79C1">
            <w:pPr>
              <w:spacing w:after="120" w:line="240" w:lineRule="auto"/>
            </w:pPr>
            <w:r>
              <w:rPr>
                <w:rFonts w:ascii="Arial Narrow" w:hAnsi="Arial Narrow"/>
                <w:sz w:val="20"/>
                <w:szCs w:val="20"/>
              </w:rPr>
              <w:t>Risk of bias: low</w:t>
            </w:r>
          </w:p>
        </w:tc>
        <w:tc>
          <w:tcPr>
            <w:tcW w:w="622" w:type="pct"/>
          </w:tcPr>
          <w:p w14:paraId="52FE6B8A" w14:textId="4255D81E" w:rsidR="007A0067" w:rsidRPr="00CC1ACD" w:rsidRDefault="007A0067" w:rsidP="004C79C1">
            <w:pPr>
              <w:pStyle w:val="Tabletext1"/>
              <w:spacing w:before="0" w:after="120"/>
            </w:pPr>
            <w:r w:rsidRPr="00CC1ACD">
              <w:t>Total number of scans</w:t>
            </w:r>
            <w:r w:rsidR="00C50DB2">
              <w:t xml:space="preserve"> </w:t>
            </w:r>
            <w:r w:rsidRPr="00CC1ACD">
              <w:t>=</w:t>
            </w:r>
            <w:r w:rsidR="00C50DB2">
              <w:t xml:space="preserve"> </w:t>
            </w:r>
            <w:r w:rsidRPr="00CC1ACD">
              <w:t>732</w:t>
            </w:r>
          </w:p>
          <w:p w14:paraId="057076EF" w14:textId="211437F5" w:rsidR="007A0067" w:rsidRPr="00CC1ACD" w:rsidRDefault="007A0067" w:rsidP="004C79C1">
            <w:pPr>
              <w:pStyle w:val="Tabletext1"/>
              <w:spacing w:before="0" w:after="120"/>
            </w:pPr>
            <w:r w:rsidRPr="00CC1ACD">
              <w:t>Number of CM scans</w:t>
            </w:r>
            <w:r w:rsidR="00C50DB2">
              <w:t xml:space="preserve"> </w:t>
            </w:r>
            <w:r w:rsidRPr="00CC1ACD">
              <w:t>=</w:t>
            </w:r>
            <w:r w:rsidR="00C50DB2">
              <w:t xml:space="preserve"> </w:t>
            </w:r>
            <w:r w:rsidRPr="00CC1ACD">
              <w:t>488 (67%)</w:t>
            </w:r>
          </w:p>
          <w:p w14:paraId="468F7495" w14:textId="77777777" w:rsidR="007A0067" w:rsidRPr="00CC1ACD" w:rsidRDefault="007A0067" w:rsidP="004C79C1">
            <w:pPr>
              <w:pStyle w:val="Tabletext1"/>
              <w:spacing w:before="0" w:after="120"/>
            </w:pPr>
            <w:r w:rsidRPr="00CC1ACD">
              <w:t>For CM:</w:t>
            </w:r>
          </w:p>
          <w:p w14:paraId="7F106B61" w14:textId="77777777" w:rsidR="008707FA" w:rsidRDefault="008707FA" w:rsidP="004C79C1">
            <w:pPr>
              <w:pStyle w:val="Tabletext1"/>
              <w:spacing w:before="0" w:after="120"/>
              <w:rPr>
                <w:rFonts w:cs="Arial Narrow"/>
                <w:bCs/>
              </w:rPr>
            </w:pPr>
            <w:r w:rsidRPr="00526FBF">
              <w:rPr>
                <w:rFonts w:cs="Arial Narrow"/>
                <w:bCs/>
              </w:rPr>
              <w:t xml:space="preserve">Patient characteristics: </w:t>
            </w:r>
          </w:p>
          <w:p w14:paraId="08785618" w14:textId="39E13608" w:rsidR="007A0067" w:rsidRPr="00CC1ACD" w:rsidRDefault="008707FA" w:rsidP="004C79C1">
            <w:pPr>
              <w:pStyle w:val="Tabletext1"/>
              <w:spacing w:before="0" w:after="120"/>
              <w:ind w:left="167"/>
              <w:rPr>
                <w:b/>
                <w:lang w:val="en-GB" w:eastAsia="en-US"/>
              </w:rPr>
            </w:pPr>
            <w:r>
              <w:lastRenderedPageBreak/>
              <w:t>a</w:t>
            </w:r>
            <w:r w:rsidR="007A0067" w:rsidRPr="00CC1ACD">
              <w:t>ge 49.4 ± 16.3</w:t>
            </w:r>
            <w:r w:rsidR="00C50DB2">
              <w:t> years</w:t>
            </w:r>
          </w:p>
          <w:p w14:paraId="0B8B81A8" w14:textId="0FE2A1FB" w:rsidR="007A0067" w:rsidRPr="00CC1ACD" w:rsidRDefault="007A0067" w:rsidP="004C79C1">
            <w:pPr>
              <w:pStyle w:val="Tabletext1"/>
              <w:spacing w:before="0" w:after="120"/>
              <w:ind w:left="167"/>
              <w:rPr>
                <w:b/>
                <w:lang w:val="en-GB" w:eastAsia="en-US"/>
              </w:rPr>
            </w:pPr>
            <w:proofErr w:type="gramStart"/>
            <w:r w:rsidRPr="00CC1ACD">
              <w:t>male</w:t>
            </w:r>
            <w:proofErr w:type="gramEnd"/>
            <w:r w:rsidR="0048495F">
              <w:t xml:space="preserve"> =</w:t>
            </w:r>
            <w:r w:rsidRPr="00CC1ACD">
              <w:t xml:space="preserve"> 322 (66%)</w:t>
            </w:r>
          </w:p>
          <w:p w14:paraId="01F9C095" w14:textId="602E3AA1" w:rsidR="007A0067" w:rsidRDefault="008707FA" w:rsidP="004C79C1">
            <w:pPr>
              <w:pStyle w:val="Tabletext1"/>
              <w:spacing w:before="0" w:after="120"/>
              <w:ind w:left="167"/>
              <w:rPr>
                <w:b/>
                <w:lang w:val="en-GB" w:eastAsia="en-US"/>
              </w:rPr>
            </w:pPr>
            <w:r>
              <w:t>m</w:t>
            </w:r>
            <w:r w:rsidR="007A0067" w:rsidRPr="00CC1ACD">
              <w:t xml:space="preserve">edian NYHA Class (IQR) </w:t>
            </w:r>
            <w:r w:rsidR="0048495F">
              <w:t xml:space="preserve">= </w:t>
            </w:r>
            <w:r w:rsidR="007A0067" w:rsidRPr="00CC1ACD">
              <w:t>2 (1</w:t>
            </w:r>
            <w:r w:rsidR="0048495F">
              <w:t>–</w:t>
            </w:r>
            <w:r w:rsidR="007A0067" w:rsidRPr="00CC1ACD">
              <w:t>2)</w:t>
            </w:r>
          </w:p>
        </w:tc>
        <w:tc>
          <w:tcPr>
            <w:tcW w:w="1265" w:type="pct"/>
          </w:tcPr>
          <w:p w14:paraId="655DD098" w14:textId="4078757F"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lastRenderedPageBreak/>
              <w:t>Inclusion</w:t>
            </w:r>
            <w:r w:rsidR="0048495F">
              <w:rPr>
                <w:rFonts w:ascii="Arial Narrow" w:hAnsi="Arial Narrow"/>
                <w:b/>
                <w:sz w:val="20"/>
                <w:szCs w:val="20"/>
              </w:rPr>
              <w:t xml:space="preserve"> criteria:</w:t>
            </w:r>
          </w:p>
          <w:p w14:paraId="5B184776" w14:textId="0E2DA851"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 xml:space="preserve">All patients referred to the Alfred Hospital, Melbourne, Australia for clinical CMR between </w:t>
            </w:r>
            <w:r w:rsidR="003461DF">
              <w:rPr>
                <w:rFonts w:ascii="Arial Narrow" w:hAnsi="Arial Narrow"/>
                <w:sz w:val="20"/>
                <w:szCs w:val="20"/>
              </w:rPr>
              <w:t xml:space="preserve">1 </w:t>
            </w:r>
            <w:r w:rsidRPr="00CC1ACD">
              <w:rPr>
                <w:rFonts w:ascii="Arial Narrow" w:hAnsi="Arial Narrow"/>
                <w:sz w:val="20"/>
                <w:szCs w:val="20"/>
              </w:rPr>
              <w:t xml:space="preserve">July 2007 and </w:t>
            </w:r>
            <w:r w:rsidR="003461DF">
              <w:rPr>
                <w:rFonts w:ascii="Arial Narrow" w:hAnsi="Arial Narrow"/>
                <w:sz w:val="20"/>
                <w:szCs w:val="20"/>
              </w:rPr>
              <w:t xml:space="preserve">30 </w:t>
            </w:r>
            <w:r w:rsidRPr="00CC1ACD">
              <w:rPr>
                <w:rFonts w:ascii="Arial Narrow" w:hAnsi="Arial Narrow"/>
                <w:sz w:val="20"/>
                <w:szCs w:val="20"/>
              </w:rPr>
              <w:t>June 2009, referred and funded</w:t>
            </w:r>
            <w:r w:rsidR="003461DF">
              <w:rPr>
                <w:rFonts w:ascii="Arial Narrow" w:hAnsi="Arial Narrow"/>
                <w:sz w:val="20"/>
                <w:szCs w:val="20"/>
              </w:rPr>
              <w:t xml:space="preserve"> </w:t>
            </w:r>
            <w:r w:rsidRPr="00CC1ACD">
              <w:rPr>
                <w:rFonts w:ascii="Arial Narrow" w:hAnsi="Arial Narrow"/>
                <w:sz w:val="20"/>
                <w:szCs w:val="20"/>
                <w:vertAlign w:val="superscript"/>
              </w:rPr>
              <w:t>a</w:t>
            </w:r>
            <w:r w:rsidRPr="00CC1ACD">
              <w:rPr>
                <w:rFonts w:ascii="Arial Narrow" w:hAnsi="Arial Narrow"/>
                <w:sz w:val="20"/>
                <w:szCs w:val="20"/>
              </w:rPr>
              <w:t xml:space="preserve"> under 4 pre-specified clinical pathways: </w:t>
            </w:r>
            <w:r w:rsidR="00375244">
              <w:rPr>
                <w:rFonts w:ascii="Arial Narrow" w:hAnsi="Arial Narrow"/>
                <w:sz w:val="20"/>
                <w:szCs w:val="20"/>
              </w:rPr>
              <w:t>CM</w:t>
            </w:r>
            <w:r w:rsidRPr="00CC1ACD">
              <w:rPr>
                <w:rFonts w:ascii="Arial Narrow" w:hAnsi="Arial Narrow"/>
                <w:sz w:val="20"/>
                <w:szCs w:val="20"/>
              </w:rPr>
              <w:t>, viability, tumour/mass and ARVC</w:t>
            </w:r>
          </w:p>
          <w:p w14:paraId="4D7A6E75" w14:textId="68405EC7"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lastRenderedPageBreak/>
              <w:t>Exclusion</w:t>
            </w:r>
            <w:r w:rsidR="0048495F">
              <w:rPr>
                <w:rFonts w:ascii="Arial Narrow" w:hAnsi="Arial Narrow"/>
                <w:b/>
                <w:sz w:val="20"/>
                <w:szCs w:val="20"/>
              </w:rPr>
              <w:t xml:space="preserve"> criteria:</w:t>
            </w:r>
          </w:p>
          <w:p w14:paraId="6CEC4A41" w14:textId="089EF276" w:rsidR="007A0067" w:rsidRDefault="007A0067" w:rsidP="004C79C1">
            <w:pPr>
              <w:spacing w:after="120" w:line="240" w:lineRule="auto"/>
            </w:pPr>
            <w:r w:rsidRPr="00CC1ACD">
              <w:rPr>
                <w:rFonts w:ascii="Arial Narrow" w:hAnsi="Arial Narrow"/>
                <w:sz w:val="20"/>
                <w:szCs w:val="20"/>
              </w:rPr>
              <w:t xml:space="preserve">Patients who were scanned for research purposes or non-funded indications </w:t>
            </w:r>
          </w:p>
        </w:tc>
        <w:tc>
          <w:tcPr>
            <w:tcW w:w="622" w:type="pct"/>
          </w:tcPr>
          <w:p w14:paraId="3FE991F4" w14:textId="77777777" w:rsidR="007A0067" w:rsidRPr="00CC1ACD" w:rsidRDefault="007A0067" w:rsidP="004C79C1">
            <w:pPr>
              <w:pStyle w:val="Tabletext1"/>
              <w:spacing w:before="0" w:after="120"/>
            </w:pPr>
            <w:r w:rsidRPr="00BA665C">
              <w:rPr>
                <w:b/>
              </w:rPr>
              <w:lastRenderedPageBreak/>
              <w:t xml:space="preserve">CMR imaging: </w:t>
            </w:r>
            <w:r w:rsidRPr="00CC1ACD">
              <w:t>Scanner 1.5-T, cardiac coil, electrocardiographic gating</w:t>
            </w:r>
          </w:p>
          <w:p w14:paraId="7E911EAB" w14:textId="54C853D6" w:rsidR="007A0067" w:rsidRDefault="007A0067" w:rsidP="004C79C1">
            <w:pPr>
              <w:pStyle w:val="Tabletext1"/>
              <w:spacing w:before="0" w:after="120"/>
            </w:pPr>
            <w:r w:rsidRPr="00BA665C">
              <w:rPr>
                <w:b/>
              </w:rPr>
              <w:t xml:space="preserve">Data collection instrument: </w:t>
            </w:r>
            <w:r w:rsidRPr="00CC1ACD">
              <w:t xml:space="preserve">Questionnaire sent </w:t>
            </w:r>
            <w:r w:rsidRPr="00CC1ACD">
              <w:lastRenderedPageBreak/>
              <w:t>6</w:t>
            </w:r>
            <w:r w:rsidR="003461DF">
              <w:t> </w:t>
            </w:r>
            <w:r w:rsidRPr="00CC1ACD">
              <w:t>months post CMR procedure</w:t>
            </w:r>
          </w:p>
        </w:tc>
        <w:tc>
          <w:tcPr>
            <w:tcW w:w="1239" w:type="pct"/>
          </w:tcPr>
          <w:p w14:paraId="1A42811B" w14:textId="089ED30A"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lastRenderedPageBreak/>
              <w:t>Number of cardiac surgical interventions averted by CMR (defined as the number of planned interventions who at 6</w:t>
            </w:r>
            <w:r w:rsidR="004A2A60">
              <w:rPr>
                <w:rFonts w:ascii="Arial Narrow" w:hAnsi="Arial Narrow"/>
                <w:sz w:val="20"/>
                <w:szCs w:val="20"/>
              </w:rPr>
              <w:t> </w:t>
            </w:r>
            <w:r w:rsidRPr="00CC1ACD">
              <w:rPr>
                <w:rFonts w:ascii="Arial Narrow" w:hAnsi="Arial Narrow"/>
                <w:sz w:val="20"/>
                <w:szCs w:val="20"/>
              </w:rPr>
              <w:t>months post CMR did not undergo, and had no plan to undergo, the intervention that was planned prior to CMR scanning)</w:t>
            </w:r>
          </w:p>
          <w:p w14:paraId="045F9C37" w14:textId="7777777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t>Change to device plan</w:t>
            </w:r>
          </w:p>
          <w:p w14:paraId="62F88E52" w14:textId="77777777" w:rsidR="007A0067" w:rsidRPr="00CC1ACD" w:rsidRDefault="007A0067" w:rsidP="004C79C1">
            <w:pPr>
              <w:spacing w:after="120" w:line="240" w:lineRule="auto"/>
              <w:rPr>
                <w:rFonts w:ascii="Arial Narrow" w:hAnsi="Arial Narrow"/>
                <w:sz w:val="20"/>
                <w:szCs w:val="20"/>
              </w:rPr>
            </w:pPr>
            <w:r w:rsidRPr="00CC1ACD">
              <w:rPr>
                <w:rFonts w:ascii="Arial Narrow" w:hAnsi="Arial Narrow"/>
                <w:sz w:val="20"/>
                <w:szCs w:val="20"/>
              </w:rPr>
              <w:lastRenderedPageBreak/>
              <w:t>Change to surgical plan</w:t>
            </w:r>
          </w:p>
          <w:p w14:paraId="7478BD4C" w14:textId="77777777" w:rsidR="007A0067" w:rsidRPr="00CC1ACD" w:rsidRDefault="007A0067" w:rsidP="004C79C1">
            <w:pPr>
              <w:spacing w:after="120" w:line="240" w:lineRule="auto"/>
              <w:rPr>
                <w:rFonts w:ascii="Arial Narrow" w:hAnsi="Arial Narrow"/>
                <w:sz w:val="20"/>
                <w:szCs w:val="20"/>
              </w:rPr>
            </w:pPr>
          </w:p>
          <w:p w14:paraId="570300D2" w14:textId="7C662B70" w:rsidR="007A0067" w:rsidRPr="004A2A60" w:rsidRDefault="00A14B45" w:rsidP="004C79C1">
            <w:pPr>
              <w:spacing w:after="120" w:line="240" w:lineRule="auto"/>
            </w:pPr>
            <w:r>
              <w:rPr>
                <w:rFonts w:ascii="Arial Narrow" w:hAnsi="Arial Narrow"/>
                <w:sz w:val="20"/>
                <w:szCs w:val="20"/>
              </w:rPr>
              <w:t xml:space="preserve">Note: </w:t>
            </w:r>
            <w:r w:rsidR="007A0067" w:rsidRPr="00BA665C">
              <w:rPr>
                <w:rFonts w:ascii="Arial Narrow" w:hAnsi="Arial Narrow"/>
                <w:sz w:val="20"/>
                <w:szCs w:val="20"/>
              </w:rPr>
              <w:t>No specific results for CM</w:t>
            </w:r>
            <w:r w:rsidR="004A2A60">
              <w:rPr>
                <w:rFonts w:ascii="Arial Narrow" w:hAnsi="Arial Narrow"/>
                <w:sz w:val="20"/>
                <w:szCs w:val="20"/>
              </w:rPr>
              <w:t>;</w:t>
            </w:r>
            <w:r w:rsidR="007A0067" w:rsidRPr="00BA665C">
              <w:rPr>
                <w:rFonts w:ascii="Arial Narrow" w:hAnsi="Arial Narrow"/>
                <w:sz w:val="20"/>
                <w:szCs w:val="20"/>
              </w:rPr>
              <w:t xml:space="preserve"> however</w:t>
            </w:r>
            <w:r w:rsidR="004A2A60">
              <w:rPr>
                <w:rFonts w:ascii="Arial Narrow" w:hAnsi="Arial Narrow"/>
                <w:sz w:val="20"/>
                <w:szCs w:val="20"/>
              </w:rPr>
              <w:t>,</w:t>
            </w:r>
            <w:r w:rsidR="007A0067" w:rsidRPr="00BA665C">
              <w:rPr>
                <w:rFonts w:ascii="Arial Narrow" w:hAnsi="Arial Narrow"/>
                <w:sz w:val="20"/>
                <w:szCs w:val="20"/>
              </w:rPr>
              <w:t xml:space="preserve"> the CM population is 67% (449/666) of the total</w:t>
            </w:r>
            <w:r w:rsidR="004A2A60">
              <w:rPr>
                <w:rFonts w:ascii="Arial Narrow" w:hAnsi="Arial Narrow"/>
                <w:sz w:val="20"/>
                <w:szCs w:val="20"/>
              </w:rPr>
              <w:t>,</w:t>
            </w:r>
            <w:r w:rsidR="007A0067" w:rsidRPr="00BA665C">
              <w:rPr>
                <w:rFonts w:ascii="Arial Narrow" w:hAnsi="Arial Narrow"/>
                <w:sz w:val="20"/>
                <w:szCs w:val="20"/>
              </w:rPr>
              <w:t xml:space="preserve"> so could the results </w:t>
            </w:r>
            <w:r w:rsidR="004A2A60">
              <w:rPr>
                <w:rFonts w:ascii="Arial Narrow" w:hAnsi="Arial Narrow"/>
                <w:sz w:val="20"/>
                <w:szCs w:val="20"/>
              </w:rPr>
              <w:t xml:space="preserve">be applied </w:t>
            </w:r>
            <w:r w:rsidR="007A0067" w:rsidRPr="00BA665C">
              <w:rPr>
                <w:rFonts w:ascii="Arial Narrow" w:hAnsi="Arial Narrow"/>
                <w:sz w:val="20"/>
                <w:szCs w:val="20"/>
              </w:rPr>
              <w:t xml:space="preserve">to </w:t>
            </w:r>
            <w:r w:rsidR="004A2A60">
              <w:rPr>
                <w:rFonts w:ascii="Arial Narrow" w:hAnsi="Arial Narrow"/>
                <w:sz w:val="20"/>
                <w:szCs w:val="20"/>
              </w:rPr>
              <w:t xml:space="preserve">the </w:t>
            </w:r>
            <w:r w:rsidR="007A0067" w:rsidRPr="00BA665C">
              <w:rPr>
                <w:rFonts w:ascii="Arial Narrow" w:hAnsi="Arial Narrow"/>
                <w:sz w:val="20"/>
                <w:szCs w:val="20"/>
              </w:rPr>
              <w:t>CM pop</w:t>
            </w:r>
            <w:r w:rsidR="004A2A60">
              <w:rPr>
                <w:rFonts w:ascii="Arial Narrow" w:hAnsi="Arial Narrow"/>
                <w:sz w:val="20"/>
                <w:szCs w:val="20"/>
              </w:rPr>
              <w:t>ulation</w:t>
            </w:r>
            <w:r w:rsidR="007A0067" w:rsidRPr="00BA665C">
              <w:rPr>
                <w:rFonts w:ascii="Arial Narrow" w:hAnsi="Arial Narrow"/>
                <w:sz w:val="20"/>
                <w:szCs w:val="20"/>
              </w:rPr>
              <w:t>?</w:t>
            </w:r>
          </w:p>
        </w:tc>
      </w:tr>
      <w:tr w:rsidR="007A0067" w14:paraId="2CE3F155" w14:textId="77777777" w:rsidTr="00CC55F9">
        <w:tc>
          <w:tcPr>
            <w:tcW w:w="666" w:type="pct"/>
          </w:tcPr>
          <w:p w14:paraId="1ADFDD8E" w14:textId="732E0329"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lastRenderedPageBreak/>
              <w:t>Abassi et al</w:t>
            </w:r>
            <w:r w:rsidR="000B60FA">
              <w:rPr>
                <w:rFonts w:ascii="Arial Narrow" w:hAnsi="Arial Narrow"/>
                <w:color w:val="000000" w:themeColor="text1"/>
                <w:sz w:val="20"/>
                <w:szCs w:val="20"/>
              </w:rPr>
              <w:t>.</w:t>
            </w:r>
          </w:p>
          <w:p w14:paraId="1943451D"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(2013)</w:t>
            </w:r>
          </w:p>
          <w:p w14:paraId="44BF29AC" w14:textId="19C2C57C"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U</w:t>
            </w:r>
            <w:r w:rsidR="000B5224">
              <w:rPr>
                <w:rFonts w:ascii="Arial Narrow" w:hAnsi="Arial Narrow"/>
                <w:color w:val="000000" w:themeColor="text1"/>
                <w:sz w:val="20"/>
                <w:szCs w:val="20"/>
              </w:rPr>
              <w:t>SA</w:t>
            </w:r>
          </w:p>
          <w:p w14:paraId="74AE97E7"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Prospective observational study, single centre</w:t>
            </w:r>
          </w:p>
          <w:p w14:paraId="690672C0" w14:textId="77777777" w:rsidR="007A0067" w:rsidRDefault="007A0067" w:rsidP="004C79C1">
            <w:pPr>
              <w:spacing w:after="120" w:line="240" w:lineRule="auto"/>
            </w:pPr>
          </w:p>
        </w:tc>
        <w:tc>
          <w:tcPr>
            <w:tcW w:w="586" w:type="pct"/>
          </w:tcPr>
          <w:p w14:paraId="376D1714"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Level IV</w:t>
            </w:r>
          </w:p>
          <w:p w14:paraId="6F1B203F" w14:textId="77777777" w:rsidR="007A0067" w:rsidRDefault="007A0067" w:rsidP="004C79C1">
            <w:pPr>
              <w:spacing w:after="120" w:line="240" w:lineRule="auto"/>
              <w:rPr>
                <w:rFonts w:ascii="Arial Narrow" w:hAnsi="Arial Narrow"/>
                <w:color w:val="000000" w:themeColor="text1"/>
                <w:sz w:val="20"/>
                <w:szCs w:val="20"/>
              </w:rPr>
            </w:pPr>
            <w:r w:rsidRPr="00096FEE">
              <w:rPr>
                <w:rFonts w:ascii="Arial Narrow" w:hAnsi="Arial Narrow"/>
                <w:color w:val="000000" w:themeColor="text1"/>
                <w:sz w:val="20"/>
                <w:szCs w:val="20"/>
              </w:rPr>
              <w:t>Quality</w:t>
            </w:r>
            <w:r>
              <w:rPr>
                <w:rFonts w:ascii="Arial Narrow" w:hAnsi="Arial Narrow"/>
                <w:color w:val="000000" w:themeColor="text1"/>
                <w:sz w:val="20"/>
                <w:szCs w:val="20"/>
              </w:rPr>
              <w:t>: Good</w:t>
            </w:r>
          </w:p>
          <w:p w14:paraId="7EB103C0" w14:textId="77777777" w:rsidR="007A0067" w:rsidRDefault="007A0067" w:rsidP="004C79C1">
            <w:pPr>
              <w:spacing w:after="120" w:line="240" w:lineRule="auto"/>
            </w:pPr>
            <w:r>
              <w:rPr>
                <w:rFonts w:ascii="Arial Narrow" w:hAnsi="Arial Narrow"/>
                <w:sz w:val="20"/>
                <w:szCs w:val="20"/>
              </w:rPr>
              <w:t>Risk of bias: low</w:t>
            </w:r>
          </w:p>
        </w:tc>
        <w:tc>
          <w:tcPr>
            <w:tcW w:w="622" w:type="pct"/>
          </w:tcPr>
          <w:p w14:paraId="67E9C81F" w14:textId="1C7D04FB" w:rsidR="007A0067" w:rsidRPr="00794B75" w:rsidRDefault="007A0067" w:rsidP="004C79C1">
            <w:pPr>
              <w:pStyle w:val="Tabletext1"/>
              <w:spacing w:before="0" w:after="120"/>
              <w:rPr>
                <w:color w:val="000000" w:themeColor="text1"/>
              </w:rPr>
            </w:pPr>
            <w:r>
              <w:rPr>
                <w:color w:val="000000" w:themeColor="text1"/>
              </w:rPr>
              <w:t>N</w:t>
            </w:r>
            <w:r w:rsidRPr="00794B75">
              <w:rPr>
                <w:color w:val="000000" w:themeColor="text1"/>
              </w:rPr>
              <w:t xml:space="preserve">=150 patients with </w:t>
            </w:r>
            <w:r w:rsidR="000B5224">
              <w:rPr>
                <w:color w:val="000000" w:themeColor="text1"/>
              </w:rPr>
              <w:t>HF</w:t>
            </w:r>
            <w:r w:rsidR="0036399D">
              <w:rPr>
                <w:color w:val="000000" w:themeColor="text1"/>
              </w:rPr>
              <w:t xml:space="preserve"> </w:t>
            </w:r>
            <w:r w:rsidRPr="00794B75">
              <w:rPr>
                <w:color w:val="000000" w:themeColor="text1"/>
              </w:rPr>
              <w:t>referred for CMR over a 6</w:t>
            </w:r>
            <w:r w:rsidR="000B5224">
              <w:rPr>
                <w:color w:val="000000" w:themeColor="text1"/>
              </w:rPr>
              <w:t>-</w:t>
            </w:r>
            <w:r w:rsidRPr="00794B75">
              <w:rPr>
                <w:color w:val="000000" w:themeColor="text1"/>
              </w:rPr>
              <w:t>month period</w:t>
            </w:r>
          </w:p>
          <w:p w14:paraId="05D202BE" w14:textId="77777777" w:rsidR="008707FA" w:rsidRDefault="008707FA" w:rsidP="004C79C1">
            <w:pPr>
              <w:pStyle w:val="Tabletext1"/>
              <w:spacing w:before="0" w:after="120"/>
              <w:rPr>
                <w:rFonts w:cs="Arial Narrow"/>
                <w:bCs/>
              </w:rPr>
            </w:pPr>
            <w:r w:rsidRPr="00526FBF">
              <w:rPr>
                <w:rFonts w:cs="Arial Narrow"/>
                <w:bCs/>
              </w:rPr>
              <w:t xml:space="preserve">Patient characteristics: </w:t>
            </w:r>
          </w:p>
          <w:p w14:paraId="0EAF3258" w14:textId="1CBC5E4C" w:rsidR="007A0067" w:rsidRPr="00794B75" w:rsidRDefault="008707FA" w:rsidP="004C79C1">
            <w:pPr>
              <w:pStyle w:val="Tabletext1"/>
              <w:spacing w:before="0" w:after="120"/>
              <w:ind w:left="167"/>
              <w:rPr>
                <w:color w:val="000000" w:themeColor="text1"/>
              </w:rPr>
            </w:pPr>
            <w:r>
              <w:rPr>
                <w:color w:val="000000" w:themeColor="text1"/>
              </w:rPr>
              <w:t>a</w:t>
            </w:r>
            <w:r w:rsidR="007A0067" w:rsidRPr="00794B75">
              <w:rPr>
                <w:color w:val="000000" w:themeColor="text1"/>
              </w:rPr>
              <w:t>ge (mean) 54</w:t>
            </w:r>
            <w:r w:rsidR="000B5224">
              <w:rPr>
                <w:color w:val="000000" w:themeColor="text1"/>
              </w:rPr>
              <w:t> </w:t>
            </w:r>
            <w:r w:rsidR="007A0067" w:rsidRPr="00794B75">
              <w:rPr>
                <w:color w:val="000000" w:themeColor="text1"/>
              </w:rPr>
              <w:t>years</w:t>
            </w:r>
          </w:p>
          <w:p w14:paraId="3031573A" w14:textId="4DD90BE0" w:rsidR="008707FA" w:rsidRPr="00794B75" w:rsidRDefault="007A0067" w:rsidP="004C79C1">
            <w:pPr>
              <w:pStyle w:val="Tabletext1"/>
              <w:spacing w:before="0" w:after="120"/>
              <w:ind w:left="167"/>
              <w:rPr>
                <w:color w:val="000000" w:themeColor="text1"/>
              </w:rPr>
            </w:pPr>
            <w:r w:rsidRPr="00794B75">
              <w:rPr>
                <w:color w:val="000000" w:themeColor="text1"/>
              </w:rPr>
              <w:t>male 57%</w:t>
            </w:r>
          </w:p>
          <w:p w14:paraId="78E07DE2" w14:textId="77777777" w:rsidR="007A0067" w:rsidRDefault="007A0067" w:rsidP="004C79C1">
            <w:pPr>
              <w:pStyle w:val="Tabletext1"/>
              <w:spacing w:before="0" w:after="120"/>
              <w:ind w:left="167"/>
            </w:pPr>
            <w:r w:rsidRPr="00794B75">
              <w:rPr>
                <w:color w:val="000000" w:themeColor="text1"/>
              </w:rPr>
              <w:t>LVEF mean 38% (± 11%)</w:t>
            </w:r>
          </w:p>
        </w:tc>
        <w:tc>
          <w:tcPr>
            <w:tcW w:w="1265" w:type="pct"/>
          </w:tcPr>
          <w:p w14:paraId="574A4D99" w14:textId="748FCF6A" w:rsidR="007A0067" w:rsidRPr="00BA665C" w:rsidRDefault="007A0067" w:rsidP="004C79C1">
            <w:pPr>
              <w:spacing w:after="120" w:line="240" w:lineRule="auto"/>
              <w:rPr>
                <w:rFonts w:ascii="Arial Narrow" w:hAnsi="Arial Narrow"/>
                <w:b/>
                <w:color w:val="000000" w:themeColor="text1"/>
                <w:sz w:val="20"/>
                <w:szCs w:val="20"/>
              </w:rPr>
            </w:pPr>
            <w:r w:rsidRPr="00BA665C">
              <w:rPr>
                <w:rFonts w:ascii="Arial Narrow" w:hAnsi="Arial Narrow"/>
                <w:b/>
                <w:color w:val="000000" w:themeColor="text1"/>
                <w:sz w:val="20"/>
                <w:szCs w:val="20"/>
              </w:rPr>
              <w:t>Inclusion</w:t>
            </w:r>
            <w:r w:rsidR="00EB4EA2">
              <w:rPr>
                <w:rFonts w:ascii="Arial Narrow" w:hAnsi="Arial Narrow"/>
                <w:b/>
                <w:color w:val="000000" w:themeColor="text1"/>
                <w:sz w:val="20"/>
                <w:szCs w:val="20"/>
              </w:rPr>
              <w:t xml:space="preserve"> criteria:</w:t>
            </w:r>
          </w:p>
          <w:p w14:paraId="588FC238" w14:textId="1AA9795A"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lang w:val="en-US" w:eastAsia="ja-JP"/>
              </w:rPr>
              <w:t>LVEF ≤50% by prior imaging studies</w:t>
            </w:r>
          </w:p>
          <w:p w14:paraId="1E1ABDCE" w14:textId="7ECF3783"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NYHA class</w:t>
            </w:r>
            <w:r w:rsidR="001F1D6D">
              <w:rPr>
                <w:rFonts w:ascii="Arial Narrow" w:hAnsi="Arial Narrow"/>
                <w:color w:val="000000" w:themeColor="text1"/>
                <w:sz w:val="20"/>
                <w:szCs w:val="20"/>
              </w:rPr>
              <w:t>:</w:t>
            </w:r>
            <w:r w:rsidRPr="00794B75">
              <w:rPr>
                <w:rFonts w:ascii="Arial Narrow" w:hAnsi="Arial Narrow"/>
                <w:color w:val="000000" w:themeColor="text1"/>
                <w:sz w:val="20"/>
                <w:szCs w:val="20"/>
              </w:rPr>
              <w:t xml:space="preserve"> I</w:t>
            </w:r>
            <w:r w:rsidR="001F1D6D">
              <w:rPr>
                <w:rFonts w:ascii="Arial Narrow" w:hAnsi="Arial Narrow"/>
                <w:color w:val="000000" w:themeColor="text1"/>
                <w:sz w:val="20"/>
                <w:szCs w:val="20"/>
              </w:rPr>
              <w:t xml:space="preserve"> = </w:t>
            </w:r>
            <w:r w:rsidRPr="00794B75">
              <w:rPr>
                <w:rFonts w:ascii="Arial Narrow" w:hAnsi="Arial Narrow"/>
                <w:color w:val="000000" w:themeColor="text1"/>
                <w:sz w:val="20"/>
                <w:szCs w:val="20"/>
              </w:rPr>
              <w:t xml:space="preserve">26%; II </w:t>
            </w:r>
            <w:r w:rsidR="001F1D6D">
              <w:rPr>
                <w:rFonts w:ascii="Arial Narrow" w:hAnsi="Arial Narrow"/>
                <w:color w:val="000000" w:themeColor="text1"/>
                <w:sz w:val="20"/>
                <w:szCs w:val="20"/>
              </w:rPr>
              <w:t xml:space="preserve">= </w:t>
            </w:r>
            <w:r w:rsidRPr="00794B75">
              <w:rPr>
                <w:rFonts w:ascii="Arial Narrow" w:hAnsi="Arial Narrow"/>
                <w:color w:val="000000" w:themeColor="text1"/>
                <w:sz w:val="20"/>
                <w:szCs w:val="20"/>
              </w:rPr>
              <w:t xml:space="preserve">49%; III </w:t>
            </w:r>
            <w:r w:rsidR="001F1D6D">
              <w:rPr>
                <w:rFonts w:ascii="Arial Narrow" w:hAnsi="Arial Narrow"/>
                <w:color w:val="000000" w:themeColor="text1"/>
                <w:sz w:val="20"/>
                <w:szCs w:val="20"/>
              </w:rPr>
              <w:t xml:space="preserve">= </w:t>
            </w:r>
            <w:r w:rsidRPr="00794B75">
              <w:rPr>
                <w:rFonts w:ascii="Arial Narrow" w:hAnsi="Arial Narrow"/>
                <w:color w:val="000000" w:themeColor="text1"/>
                <w:sz w:val="20"/>
                <w:szCs w:val="20"/>
              </w:rPr>
              <w:t xml:space="preserve">49%; IV </w:t>
            </w:r>
            <w:r w:rsidR="001F1D6D">
              <w:rPr>
                <w:rFonts w:ascii="Arial Narrow" w:hAnsi="Arial Narrow"/>
                <w:color w:val="000000" w:themeColor="text1"/>
                <w:sz w:val="20"/>
                <w:szCs w:val="20"/>
              </w:rPr>
              <w:t xml:space="preserve">= </w:t>
            </w:r>
            <w:r w:rsidRPr="00794B75">
              <w:rPr>
                <w:rFonts w:ascii="Arial Narrow" w:hAnsi="Arial Narrow"/>
                <w:color w:val="000000" w:themeColor="text1"/>
                <w:sz w:val="20"/>
                <w:szCs w:val="20"/>
              </w:rPr>
              <w:t>1%</w:t>
            </w:r>
          </w:p>
          <w:p w14:paraId="02F04B0D" w14:textId="315A6A90" w:rsidR="007A0067" w:rsidRPr="00BA665C" w:rsidRDefault="007A0067" w:rsidP="004C79C1">
            <w:pPr>
              <w:spacing w:after="120" w:line="240" w:lineRule="auto"/>
              <w:rPr>
                <w:rFonts w:ascii="Arial Narrow" w:hAnsi="Arial Narrow"/>
                <w:b/>
                <w:color w:val="000000" w:themeColor="text1"/>
                <w:sz w:val="20"/>
                <w:szCs w:val="20"/>
              </w:rPr>
            </w:pPr>
            <w:r w:rsidRPr="00BA665C">
              <w:rPr>
                <w:rFonts w:ascii="Arial Narrow" w:hAnsi="Arial Narrow"/>
                <w:b/>
                <w:color w:val="000000" w:themeColor="text1"/>
                <w:sz w:val="20"/>
                <w:szCs w:val="20"/>
              </w:rPr>
              <w:t>Exclusion</w:t>
            </w:r>
            <w:r w:rsidR="00EB4EA2">
              <w:rPr>
                <w:rFonts w:ascii="Arial Narrow" w:hAnsi="Arial Narrow"/>
                <w:b/>
                <w:color w:val="000000" w:themeColor="text1"/>
                <w:sz w:val="20"/>
                <w:szCs w:val="20"/>
              </w:rPr>
              <w:t xml:space="preserve"> criteria:</w:t>
            </w:r>
          </w:p>
          <w:p w14:paraId="577BE293" w14:textId="77777777" w:rsidR="007A0067" w:rsidRDefault="007A0067" w:rsidP="004C79C1">
            <w:pPr>
              <w:pStyle w:val="Tabletext1"/>
              <w:spacing w:before="0" w:after="120"/>
            </w:pPr>
            <w:r>
              <w:t>NR</w:t>
            </w:r>
          </w:p>
        </w:tc>
        <w:tc>
          <w:tcPr>
            <w:tcW w:w="622" w:type="pct"/>
          </w:tcPr>
          <w:p w14:paraId="46B00BBA" w14:textId="138658CF" w:rsidR="007A0067" w:rsidRPr="00794B75" w:rsidRDefault="007A0067" w:rsidP="004C79C1">
            <w:pPr>
              <w:spacing w:after="120" w:line="240" w:lineRule="auto"/>
              <w:rPr>
                <w:rFonts w:ascii="Arial Narrow" w:hAnsi="Arial Narrow"/>
                <w:color w:val="000000" w:themeColor="text1"/>
                <w:sz w:val="20"/>
                <w:szCs w:val="20"/>
              </w:rPr>
            </w:pPr>
            <w:r w:rsidRPr="00BA665C">
              <w:rPr>
                <w:rFonts w:ascii="Arial Narrow" w:hAnsi="Arial Narrow"/>
                <w:b/>
                <w:color w:val="000000" w:themeColor="text1"/>
                <w:sz w:val="20"/>
                <w:szCs w:val="20"/>
              </w:rPr>
              <w:t>CMR imaging</w:t>
            </w:r>
            <w:r w:rsidR="00B468ED" w:rsidRPr="00BA665C">
              <w:rPr>
                <w:rFonts w:ascii="Arial Narrow" w:hAnsi="Arial Narrow"/>
                <w:b/>
                <w:color w:val="000000" w:themeColor="text1"/>
                <w:sz w:val="20"/>
                <w:szCs w:val="20"/>
              </w:rPr>
              <w:t>:</w:t>
            </w:r>
            <w:r w:rsidRPr="00BA665C">
              <w:rPr>
                <w:rFonts w:ascii="Arial Narrow" w:hAnsi="Arial Narrow"/>
                <w:b/>
                <w:color w:val="000000" w:themeColor="text1"/>
                <w:sz w:val="20"/>
                <w:szCs w:val="20"/>
              </w:rPr>
              <w:t xml:space="preserve"> </w:t>
            </w:r>
            <w:r w:rsidRPr="00794B75">
              <w:rPr>
                <w:rFonts w:ascii="Arial Narrow" w:hAnsi="Arial Narrow"/>
                <w:color w:val="000000" w:themeColor="text1"/>
                <w:sz w:val="20"/>
                <w:szCs w:val="20"/>
              </w:rPr>
              <w:t>(using SCMR standardised protocols)</w:t>
            </w:r>
          </w:p>
          <w:p w14:paraId="6ABEC5BF" w14:textId="72A142FD" w:rsidR="007A0067"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Late-</w:t>
            </w:r>
            <w:r w:rsidR="005F6010">
              <w:rPr>
                <w:rFonts w:ascii="Arial Narrow" w:hAnsi="Arial Narrow"/>
                <w:color w:val="000000" w:themeColor="text1"/>
                <w:sz w:val="20"/>
                <w:szCs w:val="20"/>
              </w:rPr>
              <w:t>Gd</w:t>
            </w:r>
            <w:r w:rsidR="005F6010" w:rsidRPr="00794B75">
              <w:rPr>
                <w:rFonts w:ascii="Arial Narrow" w:hAnsi="Arial Narrow"/>
                <w:color w:val="000000" w:themeColor="text1"/>
                <w:sz w:val="20"/>
                <w:szCs w:val="20"/>
              </w:rPr>
              <w:t xml:space="preserve"> </w:t>
            </w:r>
            <w:r w:rsidRPr="00794B75">
              <w:rPr>
                <w:rFonts w:ascii="Arial Narrow" w:hAnsi="Arial Narrow"/>
                <w:color w:val="000000" w:themeColor="text1"/>
                <w:sz w:val="20"/>
                <w:szCs w:val="20"/>
              </w:rPr>
              <w:t>enhancement</w:t>
            </w:r>
          </w:p>
          <w:p w14:paraId="33B50ECC" w14:textId="2FE185D2" w:rsidR="007A0067" w:rsidRDefault="007A0067" w:rsidP="004C79C1">
            <w:pPr>
              <w:spacing w:after="120" w:line="240" w:lineRule="auto"/>
            </w:pPr>
            <w:r>
              <w:rPr>
                <w:rFonts w:ascii="Arial Narrow" w:hAnsi="Arial Narrow"/>
                <w:color w:val="000000" w:themeColor="text1"/>
                <w:sz w:val="20"/>
                <w:szCs w:val="20"/>
              </w:rPr>
              <w:t>Image analysis was performed by blinded physician</w:t>
            </w:r>
            <w:r w:rsidR="00092438">
              <w:rPr>
                <w:rFonts w:ascii="Arial Narrow" w:hAnsi="Arial Narrow"/>
                <w:color w:val="000000" w:themeColor="text1"/>
                <w:sz w:val="20"/>
                <w:szCs w:val="20"/>
              </w:rPr>
              <w:t>.</w:t>
            </w:r>
          </w:p>
        </w:tc>
        <w:tc>
          <w:tcPr>
            <w:tcW w:w="1239" w:type="pct"/>
          </w:tcPr>
          <w:p w14:paraId="2193A1BF"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Significant clinical impact (defined as an entirely ‘new diagnosis’ and/or a ‘change in management’</w:t>
            </w:r>
          </w:p>
          <w:p w14:paraId="37B0DB1A"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Change in patient management</w:t>
            </w:r>
          </w:p>
          <w:p w14:paraId="16D24F90" w14:textId="77777777" w:rsidR="007A0067" w:rsidRPr="00794B75" w:rsidRDefault="007A0067" w:rsidP="004C79C1">
            <w:pPr>
              <w:spacing w:after="120" w:line="240" w:lineRule="auto"/>
              <w:rPr>
                <w:rFonts w:ascii="Arial Narrow" w:hAnsi="Arial Narrow"/>
                <w:color w:val="000000" w:themeColor="text1"/>
                <w:sz w:val="20"/>
                <w:szCs w:val="20"/>
              </w:rPr>
            </w:pPr>
            <w:r w:rsidRPr="00794B75">
              <w:rPr>
                <w:rFonts w:ascii="Arial Narrow" w:hAnsi="Arial Narrow"/>
                <w:color w:val="000000" w:themeColor="text1"/>
                <w:sz w:val="20"/>
                <w:szCs w:val="20"/>
              </w:rPr>
              <w:t>New diagnoses</w:t>
            </w:r>
          </w:p>
          <w:p w14:paraId="1D42F5FF" w14:textId="77777777" w:rsidR="007A0067" w:rsidRDefault="007A0067" w:rsidP="004C79C1">
            <w:pPr>
              <w:spacing w:after="120" w:line="240" w:lineRule="auto"/>
            </w:pPr>
          </w:p>
        </w:tc>
      </w:tr>
      <w:tr w:rsidR="007A0067" w14:paraId="135E86A9" w14:textId="77777777" w:rsidTr="00CC55F9">
        <w:tc>
          <w:tcPr>
            <w:tcW w:w="666" w:type="pct"/>
          </w:tcPr>
          <w:p w14:paraId="3FAE1E79" w14:textId="4C460629" w:rsidR="007A0067" w:rsidRDefault="007A0067" w:rsidP="004C79C1">
            <w:pPr>
              <w:spacing w:after="120" w:line="240" w:lineRule="auto"/>
              <w:rPr>
                <w:rFonts w:ascii="Arial Narrow" w:hAnsi="Arial Narrow"/>
                <w:sz w:val="20"/>
                <w:szCs w:val="20"/>
              </w:rPr>
            </w:pPr>
            <w:r>
              <w:rPr>
                <w:rFonts w:ascii="Arial Narrow" w:hAnsi="Arial Narrow"/>
                <w:sz w:val="20"/>
                <w:szCs w:val="2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rPr>
                <w:rFonts w:ascii="Arial Narrow" w:hAnsi="Arial Narrow"/>
                <w:sz w:val="20"/>
                <w:szCs w:val="20"/>
              </w:rPr>
              <w:instrText xml:space="preserve"> ADDIN EN.CITE </w:instrText>
            </w:r>
            <w:r w:rsidR="00187A29">
              <w:rPr>
                <w:rFonts w:ascii="Arial Narrow" w:hAnsi="Arial Narrow"/>
                <w:sz w:val="20"/>
                <w:szCs w:val="2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rPr>
                <w:rFonts w:ascii="Arial Narrow" w:hAnsi="Arial Narrow"/>
                <w:sz w:val="20"/>
                <w:szCs w:val="20"/>
              </w:rPr>
              <w:instrText xml:space="preserve"> ADDIN EN.CITE.DATA </w:instrText>
            </w:r>
            <w:r w:rsidR="00187A29">
              <w:rPr>
                <w:rFonts w:ascii="Arial Narrow" w:hAnsi="Arial Narrow"/>
                <w:sz w:val="20"/>
                <w:szCs w:val="20"/>
              </w:rPr>
            </w:r>
            <w:r w:rsidR="00187A29">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hyperlink w:anchor="_ENREF_14" w:tooltip="Broch, 2015 #107" w:history="1">
              <w:r w:rsidR="00B906E9">
                <w:rPr>
                  <w:rFonts w:ascii="Arial Narrow" w:hAnsi="Arial Narrow"/>
                  <w:noProof/>
                  <w:sz w:val="20"/>
                  <w:szCs w:val="20"/>
                </w:rPr>
                <w:t xml:space="preserve">Broch et al. </w:t>
              </w:r>
              <w:r w:rsidR="000B60FA">
                <w:rPr>
                  <w:rFonts w:ascii="Arial Narrow" w:hAnsi="Arial Narrow"/>
                  <w:noProof/>
                  <w:sz w:val="20"/>
                  <w:szCs w:val="20"/>
                </w:rPr>
                <w:t>(</w:t>
              </w:r>
              <w:r w:rsidR="00B906E9">
                <w:rPr>
                  <w:rFonts w:ascii="Arial Narrow" w:hAnsi="Arial Narrow"/>
                  <w:noProof/>
                  <w:sz w:val="20"/>
                  <w:szCs w:val="20"/>
                </w:rPr>
                <w:t>2015</w:t>
              </w:r>
            </w:hyperlink>
            <w:r>
              <w:rPr>
                <w:rFonts w:ascii="Arial Narrow" w:hAnsi="Arial Narrow"/>
                <w:noProof/>
                <w:sz w:val="20"/>
                <w:szCs w:val="20"/>
              </w:rPr>
              <w:t>)</w:t>
            </w:r>
            <w:r>
              <w:rPr>
                <w:rFonts w:ascii="Arial Narrow" w:hAnsi="Arial Narrow"/>
                <w:sz w:val="20"/>
                <w:szCs w:val="20"/>
              </w:rPr>
              <w:fldChar w:fldCharType="end"/>
            </w:r>
          </w:p>
          <w:p w14:paraId="15D3E492"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Norway</w:t>
            </w:r>
          </w:p>
          <w:p w14:paraId="7CF47BFE" w14:textId="77777777" w:rsidR="007A0067" w:rsidRDefault="007A0067" w:rsidP="004C79C1">
            <w:pPr>
              <w:spacing w:after="120" w:line="240" w:lineRule="auto"/>
            </w:pPr>
            <w:r>
              <w:rPr>
                <w:rFonts w:ascii="Arial Narrow" w:hAnsi="Arial Narrow"/>
                <w:sz w:val="20"/>
                <w:szCs w:val="20"/>
              </w:rPr>
              <w:t>Case series</w:t>
            </w:r>
          </w:p>
        </w:tc>
        <w:tc>
          <w:tcPr>
            <w:tcW w:w="586" w:type="pct"/>
          </w:tcPr>
          <w:p w14:paraId="4A45C000"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Level-III-3</w:t>
            </w:r>
          </w:p>
          <w:p w14:paraId="70E39C3C"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Quality: Moderate:</w:t>
            </w:r>
          </w:p>
          <w:p w14:paraId="66ED9AA3" w14:textId="77777777" w:rsidR="007A0067" w:rsidRDefault="007A0067" w:rsidP="004C79C1">
            <w:pPr>
              <w:spacing w:after="120" w:line="240" w:lineRule="auto"/>
            </w:pPr>
            <w:r>
              <w:rPr>
                <w:rFonts w:ascii="Arial Narrow" w:hAnsi="Arial Narrow"/>
                <w:sz w:val="20"/>
                <w:szCs w:val="20"/>
              </w:rPr>
              <w:t>Risk of bias: low</w:t>
            </w:r>
          </w:p>
        </w:tc>
        <w:tc>
          <w:tcPr>
            <w:tcW w:w="622" w:type="pct"/>
          </w:tcPr>
          <w:p w14:paraId="44524E55" w14:textId="1D7988A2" w:rsidR="007A0067" w:rsidRDefault="007A0067" w:rsidP="004C79C1">
            <w:pPr>
              <w:pStyle w:val="Tabletext1"/>
              <w:spacing w:before="0" w:after="120"/>
            </w:pPr>
            <w:r>
              <w:t>N=102 consecutive patients with a diagnosis of idiopathic DCM</w:t>
            </w:r>
          </w:p>
          <w:p w14:paraId="56C21984" w14:textId="77777777" w:rsidR="00EB4EA2" w:rsidRDefault="00EB4EA2" w:rsidP="004C79C1">
            <w:pPr>
              <w:pStyle w:val="Tabletext1"/>
              <w:spacing w:before="0" w:after="120"/>
              <w:rPr>
                <w:rFonts w:cs="Arial Narrow"/>
                <w:bCs/>
              </w:rPr>
            </w:pPr>
            <w:r w:rsidRPr="00526FBF">
              <w:rPr>
                <w:rFonts w:cs="Arial Narrow"/>
                <w:bCs/>
              </w:rPr>
              <w:t xml:space="preserve">Patient characteristics: </w:t>
            </w:r>
          </w:p>
          <w:p w14:paraId="2493FB08" w14:textId="3544A2FC" w:rsidR="007A0067" w:rsidRDefault="00EB4EA2" w:rsidP="004C79C1">
            <w:pPr>
              <w:pStyle w:val="Tabletext1"/>
              <w:spacing w:before="0" w:after="120"/>
              <w:ind w:left="167"/>
            </w:pPr>
            <w:r>
              <w:t>a</w:t>
            </w:r>
            <w:r w:rsidR="007A0067">
              <w:t>ge (mean ± SD) 51 ± 14</w:t>
            </w:r>
            <w:r>
              <w:t> years</w:t>
            </w:r>
          </w:p>
          <w:p w14:paraId="5C1227D0" w14:textId="252D688D" w:rsidR="007A0067" w:rsidRDefault="007A0067" w:rsidP="004C79C1">
            <w:pPr>
              <w:pStyle w:val="Tabletext1"/>
              <w:spacing w:before="0" w:after="120"/>
              <w:ind w:left="167"/>
            </w:pPr>
            <w:proofErr w:type="gramStart"/>
            <w:r>
              <w:t>male</w:t>
            </w:r>
            <w:proofErr w:type="gramEnd"/>
            <w:r>
              <w:t xml:space="preserve"> 73 (74%)</w:t>
            </w:r>
          </w:p>
          <w:p w14:paraId="3F8E4276" w14:textId="790BFCC8" w:rsidR="007A0067" w:rsidRDefault="007A0067" w:rsidP="004C79C1">
            <w:pPr>
              <w:pStyle w:val="Tabletext1"/>
              <w:spacing w:before="0" w:after="120"/>
              <w:ind w:left="167"/>
            </w:pPr>
            <w:r>
              <w:t>NYHA class (n)</w:t>
            </w:r>
            <w:r w:rsidR="0040534D">
              <w:t>:</w:t>
            </w:r>
            <w:r>
              <w:t xml:space="preserve"> I </w:t>
            </w:r>
            <w:r w:rsidR="001F1D6D">
              <w:t xml:space="preserve">= </w:t>
            </w:r>
            <w:r>
              <w:t xml:space="preserve">15; II </w:t>
            </w:r>
            <w:r w:rsidR="001F1D6D">
              <w:t xml:space="preserve">= </w:t>
            </w:r>
            <w:r>
              <w:t xml:space="preserve">61; III </w:t>
            </w:r>
            <w:r w:rsidR="001F1D6D">
              <w:t xml:space="preserve">= </w:t>
            </w:r>
            <w:r>
              <w:lastRenderedPageBreak/>
              <w:t xml:space="preserve">20; IV </w:t>
            </w:r>
            <w:r w:rsidR="001F1D6D">
              <w:t xml:space="preserve">= </w:t>
            </w:r>
            <w:r>
              <w:t>6</w:t>
            </w:r>
          </w:p>
          <w:p w14:paraId="4F9871EC" w14:textId="77777777" w:rsidR="007A0067" w:rsidRDefault="007A0067" w:rsidP="004C79C1">
            <w:pPr>
              <w:pStyle w:val="Tabletext1"/>
              <w:spacing w:before="0" w:after="120"/>
            </w:pPr>
            <w:r>
              <w:t>N=88 patients underwent CMR</w:t>
            </w:r>
          </w:p>
          <w:p w14:paraId="26574866" w14:textId="77777777" w:rsidR="007A0067" w:rsidRDefault="007A0067" w:rsidP="004C79C1">
            <w:pPr>
              <w:pStyle w:val="Tabletext1"/>
              <w:spacing w:before="0" w:after="120"/>
            </w:pPr>
            <w:r>
              <w:t>N=81 patients underwent CMR + LGE</w:t>
            </w:r>
          </w:p>
        </w:tc>
        <w:tc>
          <w:tcPr>
            <w:tcW w:w="1265" w:type="pct"/>
          </w:tcPr>
          <w:p w14:paraId="7D81267A" w14:textId="7EF75099"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lastRenderedPageBreak/>
              <w:t>Inclusion</w:t>
            </w:r>
            <w:r w:rsidR="00AD1C4F">
              <w:rPr>
                <w:rFonts w:ascii="Arial Narrow" w:hAnsi="Arial Narrow"/>
                <w:b/>
                <w:sz w:val="20"/>
                <w:szCs w:val="20"/>
              </w:rPr>
              <w:t xml:space="preserve"> </w:t>
            </w:r>
            <w:r w:rsidR="00AD1C4F">
              <w:rPr>
                <w:rFonts w:ascii="Arial Narrow" w:hAnsi="Arial Narrow"/>
                <w:b/>
                <w:color w:val="000000" w:themeColor="text1"/>
                <w:sz w:val="20"/>
                <w:szCs w:val="20"/>
              </w:rPr>
              <w:t>criteria:</w:t>
            </w:r>
          </w:p>
          <w:p w14:paraId="5EAE03B7" w14:textId="3D1B0B85" w:rsidR="007A0067" w:rsidRDefault="007A0067" w:rsidP="004C79C1">
            <w:pPr>
              <w:spacing w:after="120" w:line="240" w:lineRule="auto"/>
              <w:rPr>
                <w:rFonts w:ascii="Arial Narrow" w:hAnsi="Arial Narrow"/>
                <w:sz w:val="20"/>
                <w:szCs w:val="20"/>
              </w:rPr>
            </w:pPr>
            <w:r>
              <w:rPr>
                <w:rFonts w:ascii="Arial Narrow" w:hAnsi="Arial Narrow"/>
                <w:sz w:val="20"/>
                <w:szCs w:val="20"/>
              </w:rPr>
              <w:t>Suspected DCM, LV end diastolic internal diameter ≥6.5</w:t>
            </w:r>
            <w:r w:rsidR="005F6010">
              <w:rPr>
                <w:rFonts w:ascii="Arial Narrow" w:hAnsi="Arial Narrow"/>
                <w:sz w:val="20"/>
                <w:szCs w:val="20"/>
              </w:rPr>
              <w:t> </w:t>
            </w:r>
            <w:r>
              <w:rPr>
                <w:rFonts w:ascii="Arial Narrow" w:hAnsi="Arial Narrow"/>
                <w:sz w:val="20"/>
                <w:szCs w:val="20"/>
              </w:rPr>
              <w:t>cm and ejection fraction ≤40%</w:t>
            </w:r>
          </w:p>
          <w:p w14:paraId="54D164D0" w14:textId="44CBC0F0"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Exclusion</w:t>
            </w:r>
            <w:r w:rsidR="00AD1C4F">
              <w:rPr>
                <w:rFonts w:ascii="Arial Narrow" w:hAnsi="Arial Narrow"/>
                <w:b/>
                <w:sz w:val="20"/>
                <w:szCs w:val="20"/>
              </w:rPr>
              <w:t xml:space="preserve"> </w:t>
            </w:r>
            <w:r w:rsidR="00AD1C4F">
              <w:rPr>
                <w:rFonts w:ascii="Arial Narrow" w:hAnsi="Arial Narrow"/>
                <w:b/>
                <w:color w:val="000000" w:themeColor="text1"/>
                <w:sz w:val="20"/>
                <w:szCs w:val="20"/>
              </w:rPr>
              <w:t>criteria:</w:t>
            </w:r>
          </w:p>
          <w:p w14:paraId="00155788"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Ischaemic, hypertensive and valvular heart disease, patients with a known or suspected cause of CM including myocarditis, patients with an implanted cardiac device or severe concomitant disease</w:t>
            </w:r>
          </w:p>
          <w:p w14:paraId="4DCBB953" w14:textId="77777777" w:rsidR="007A0067" w:rsidRPr="00BA665C" w:rsidRDefault="007A0067" w:rsidP="004C79C1">
            <w:pPr>
              <w:spacing w:after="120" w:line="240" w:lineRule="auto"/>
              <w:rPr>
                <w:rFonts w:ascii="Arial Narrow" w:hAnsi="Arial Narrow"/>
                <w:b/>
                <w:sz w:val="20"/>
                <w:szCs w:val="20"/>
              </w:rPr>
            </w:pPr>
            <w:r w:rsidRPr="00BA665C">
              <w:rPr>
                <w:rFonts w:ascii="Arial Narrow" w:hAnsi="Arial Narrow"/>
                <w:b/>
                <w:sz w:val="20"/>
                <w:szCs w:val="20"/>
              </w:rPr>
              <w:t>Objective</w:t>
            </w:r>
          </w:p>
          <w:p w14:paraId="1B91727B" w14:textId="12E8E064" w:rsidR="007A0067" w:rsidRDefault="007A0067" w:rsidP="004C79C1">
            <w:pPr>
              <w:spacing w:after="120" w:line="240" w:lineRule="auto"/>
            </w:pPr>
            <w:r>
              <w:rPr>
                <w:rFonts w:ascii="Arial Narrow" w:hAnsi="Arial Narrow"/>
                <w:sz w:val="20"/>
                <w:szCs w:val="20"/>
              </w:rPr>
              <w:lastRenderedPageBreak/>
              <w:t xml:space="preserve">To assess the value of diagnostic testing beyond physical examination, blood tests, </w:t>
            </w:r>
            <w:r w:rsidR="005F6010">
              <w:rPr>
                <w:rFonts w:ascii="Arial Narrow" w:hAnsi="Arial Narrow"/>
                <w:sz w:val="20"/>
                <w:szCs w:val="20"/>
              </w:rPr>
              <w:t>E</w:t>
            </w:r>
            <w:r>
              <w:rPr>
                <w:rFonts w:ascii="Arial Narrow" w:hAnsi="Arial Narrow"/>
                <w:sz w:val="20"/>
                <w:szCs w:val="20"/>
              </w:rPr>
              <w:t>cho and ICA for idiopathic CM</w:t>
            </w:r>
          </w:p>
        </w:tc>
        <w:tc>
          <w:tcPr>
            <w:tcW w:w="622" w:type="pct"/>
          </w:tcPr>
          <w:p w14:paraId="35E1AB2E"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lastRenderedPageBreak/>
              <w:t>CMR</w:t>
            </w:r>
          </w:p>
          <w:p w14:paraId="2D70DD07"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LGE (unless contraindicated)</w:t>
            </w:r>
          </w:p>
          <w:p w14:paraId="5DDC1CCC"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Right-sided heart catheterisation</w:t>
            </w:r>
          </w:p>
          <w:p w14:paraId="6049B458" w14:textId="0AF50877" w:rsidR="007A0067" w:rsidRDefault="007A0067" w:rsidP="004C79C1">
            <w:pPr>
              <w:spacing w:after="120" w:line="240" w:lineRule="auto"/>
              <w:rPr>
                <w:rFonts w:ascii="Arial Narrow" w:hAnsi="Arial Narrow"/>
                <w:sz w:val="20"/>
                <w:szCs w:val="20"/>
              </w:rPr>
            </w:pPr>
            <w:r>
              <w:rPr>
                <w:rFonts w:ascii="Arial Narrow" w:hAnsi="Arial Narrow"/>
                <w:sz w:val="20"/>
                <w:szCs w:val="20"/>
              </w:rPr>
              <w:t>E</w:t>
            </w:r>
            <w:r w:rsidR="00B468ED">
              <w:rPr>
                <w:rFonts w:ascii="Arial Narrow" w:hAnsi="Arial Narrow"/>
                <w:sz w:val="20"/>
                <w:szCs w:val="20"/>
              </w:rPr>
              <w:t>MB</w:t>
            </w:r>
          </w:p>
          <w:p w14:paraId="069885F0"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Genetic testing</w:t>
            </w:r>
          </w:p>
          <w:p w14:paraId="2457063B"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Genomic analysis for viral detection</w:t>
            </w:r>
          </w:p>
          <w:p w14:paraId="3996C832"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 xml:space="preserve">Conventional and </w:t>
            </w:r>
            <w:r>
              <w:rPr>
                <w:rFonts w:ascii="Arial Narrow" w:hAnsi="Arial Narrow"/>
                <w:sz w:val="20"/>
                <w:szCs w:val="20"/>
              </w:rPr>
              <w:lastRenderedPageBreak/>
              <w:t>electron microscopy</w:t>
            </w:r>
          </w:p>
          <w:p w14:paraId="688AF9EF"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t>Exercise and peak oxygen testing</w:t>
            </w:r>
          </w:p>
          <w:p w14:paraId="36A32283" w14:textId="7552702E" w:rsidR="007A0067" w:rsidRDefault="007A0067" w:rsidP="004C79C1">
            <w:pPr>
              <w:spacing w:after="120" w:line="240" w:lineRule="auto"/>
            </w:pPr>
            <w:r>
              <w:rPr>
                <w:rFonts w:ascii="Arial Narrow" w:hAnsi="Arial Narrow"/>
                <w:sz w:val="20"/>
                <w:szCs w:val="20"/>
              </w:rPr>
              <w:t>Ambulatory 24</w:t>
            </w:r>
            <w:r w:rsidR="00AD1C4F">
              <w:rPr>
                <w:rFonts w:ascii="Arial Narrow" w:hAnsi="Arial Narrow"/>
                <w:sz w:val="20"/>
                <w:szCs w:val="20"/>
              </w:rPr>
              <w:t>-</w:t>
            </w:r>
            <w:r>
              <w:rPr>
                <w:rFonts w:ascii="Arial Narrow" w:hAnsi="Arial Narrow"/>
                <w:sz w:val="20"/>
                <w:szCs w:val="20"/>
              </w:rPr>
              <w:t>hour ECG</w:t>
            </w:r>
          </w:p>
        </w:tc>
        <w:tc>
          <w:tcPr>
            <w:tcW w:w="1239" w:type="pct"/>
          </w:tcPr>
          <w:p w14:paraId="7A92A331" w14:textId="77777777" w:rsidR="007A0067" w:rsidRDefault="007A0067" w:rsidP="004C79C1">
            <w:pPr>
              <w:spacing w:after="120" w:line="240" w:lineRule="auto"/>
              <w:rPr>
                <w:rFonts w:ascii="Arial Narrow" w:hAnsi="Arial Narrow"/>
                <w:sz w:val="20"/>
                <w:szCs w:val="20"/>
              </w:rPr>
            </w:pPr>
            <w:r>
              <w:rPr>
                <w:rFonts w:ascii="Arial Narrow" w:hAnsi="Arial Narrow"/>
                <w:sz w:val="20"/>
                <w:szCs w:val="20"/>
              </w:rPr>
              <w:lastRenderedPageBreak/>
              <w:t>Diagnostic yield</w:t>
            </w:r>
          </w:p>
          <w:p w14:paraId="668B91A0" w14:textId="77777777" w:rsidR="007A0067" w:rsidRDefault="007A0067" w:rsidP="004C79C1">
            <w:pPr>
              <w:spacing w:after="120" w:line="240" w:lineRule="auto"/>
            </w:pPr>
            <w:r>
              <w:rPr>
                <w:rFonts w:ascii="Arial Narrow" w:hAnsi="Arial Narrow"/>
                <w:sz w:val="20"/>
                <w:szCs w:val="20"/>
              </w:rPr>
              <w:t>Therapeutic consequences</w:t>
            </w:r>
          </w:p>
        </w:tc>
      </w:tr>
    </w:tbl>
    <w:p w14:paraId="7114AB9C" w14:textId="0C42FE32" w:rsidR="00092438" w:rsidRDefault="00092438" w:rsidP="00CC55F9">
      <w:pPr>
        <w:spacing w:after="0" w:line="240" w:lineRule="auto"/>
        <w:jc w:val="both"/>
        <w:rPr>
          <w:rFonts w:ascii="Arial Narrow" w:hAnsi="Arial Narrow"/>
          <w:sz w:val="20"/>
          <w:lang w:eastAsia="en-US"/>
        </w:rPr>
      </w:pPr>
      <w:proofErr w:type="gramStart"/>
      <w:r w:rsidRPr="00BE5D7C">
        <w:rPr>
          <w:rFonts w:ascii="Arial Narrow" w:hAnsi="Arial Narrow"/>
          <w:sz w:val="20"/>
          <w:vertAlign w:val="superscript"/>
          <w:lang w:eastAsia="en-US"/>
        </w:rPr>
        <w:lastRenderedPageBreak/>
        <w:t>a</w:t>
      </w:r>
      <w:proofErr w:type="gramEnd"/>
      <w:r w:rsidRPr="00BE5D7C">
        <w:rPr>
          <w:rFonts w:ascii="Arial Narrow" w:hAnsi="Arial Narrow"/>
          <w:sz w:val="20"/>
          <w:vertAlign w:val="superscript"/>
          <w:lang w:eastAsia="en-US"/>
        </w:rPr>
        <w:t xml:space="preserve"> </w:t>
      </w:r>
      <w:r w:rsidRPr="00BE5D7C">
        <w:rPr>
          <w:rFonts w:ascii="Arial Narrow" w:hAnsi="Arial Narrow"/>
          <w:sz w:val="20"/>
          <w:lang w:eastAsia="en-US"/>
        </w:rPr>
        <w:t xml:space="preserve">CMR scanning was funded under a New Technology Grant from the Victorian Policy Advisory Committee on Clinical Practice and Technology under </w:t>
      </w:r>
      <w:r>
        <w:rPr>
          <w:rFonts w:ascii="Arial Narrow" w:hAnsi="Arial Narrow"/>
          <w:sz w:val="20"/>
          <w:lang w:eastAsia="en-US"/>
        </w:rPr>
        <w:t>four</w:t>
      </w:r>
      <w:r w:rsidRPr="00BE5D7C">
        <w:rPr>
          <w:rFonts w:ascii="Arial Narrow" w:hAnsi="Arial Narrow"/>
          <w:sz w:val="20"/>
          <w:lang w:eastAsia="en-US"/>
        </w:rPr>
        <w:t xml:space="preserve"> pre-specified clinical pathways</w:t>
      </w:r>
      <w:r>
        <w:rPr>
          <w:rFonts w:ascii="Arial Narrow" w:hAnsi="Arial Narrow"/>
          <w:sz w:val="20"/>
          <w:lang w:eastAsia="en-US"/>
        </w:rPr>
        <w:t>:</w:t>
      </w:r>
      <w:r w:rsidRPr="00BE5D7C">
        <w:rPr>
          <w:rFonts w:ascii="Arial Narrow" w:hAnsi="Arial Narrow"/>
          <w:sz w:val="20"/>
          <w:lang w:eastAsia="en-US"/>
        </w:rPr>
        <w:t xml:space="preserve"> </w:t>
      </w:r>
      <w:r>
        <w:rPr>
          <w:rFonts w:ascii="Arial Narrow" w:hAnsi="Arial Narrow"/>
          <w:sz w:val="20"/>
          <w:lang w:eastAsia="en-US"/>
        </w:rPr>
        <w:t>CM</w:t>
      </w:r>
      <w:r w:rsidRPr="00BE5D7C">
        <w:rPr>
          <w:rFonts w:ascii="Arial Narrow" w:hAnsi="Arial Narrow"/>
          <w:sz w:val="20"/>
          <w:lang w:eastAsia="en-US"/>
        </w:rPr>
        <w:t>, viability, tumour/mass and ARVC</w:t>
      </w:r>
      <w:r>
        <w:rPr>
          <w:rFonts w:ascii="Arial Narrow" w:hAnsi="Arial Narrow"/>
          <w:sz w:val="20"/>
          <w:lang w:eastAsia="en-US"/>
        </w:rPr>
        <w:t>.</w:t>
      </w:r>
    </w:p>
    <w:p w14:paraId="2C60CB93" w14:textId="3E2DA7D7" w:rsidR="007A0067" w:rsidRPr="008B38AE" w:rsidRDefault="007A0067" w:rsidP="00CC55F9">
      <w:pPr>
        <w:spacing w:after="120" w:line="240" w:lineRule="auto"/>
        <w:jc w:val="both"/>
        <w:rPr>
          <w:rFonts w:ascii="Arial Narrow" w:hAnsi="Arial Narrow"/>
          <w:sz w:val="20"/>
          <w:szCs w:val="20"/>
          <w:lang w:eastAsia="en-US"/>
        </w:rPr>
      </w:pPr>
      <w:r w:rsidRPr="008B38AE">
        <w:rPr>
          <w:rFonts w:ascii="Arial Narrow" w:hAnsi="Arial Narrow"/>
          <w:sz w:val="20"/>
          <w:szCs w:val="20"/>
          <w:lang w:eastAsia="en-US"/>
        </w:rPr>
        <w:t>ARVC = arrythmogenic right ventricular cardiomyopathy; CM = cardiomyopathy; CMR = cardiac magnetic resonance</w:t>
      </w:r>
      <w:r w:rsidR="006B76DB">
        <w:rPr>
          <w:rFonts w:ascii="Arial Narrow" w:hAnsi="Arial Narrow"/>
          <w:sz w:val="20"/>
          <w:szCs w:val="20"/>
          <w:lang w:eastAsia="en-US"/>
        </w:rPr>
        <w:t xml:space="preserve"> (imaging)</w:t>
      </w:r>
      <w:r w:rsidRPr="008B38AE">
        <w:rPr>
          <w:rFonts w:ascii="Arial Narrow" w:hAnsi="Arial Narrow"/>
          <w:sz w:val="20"/>
          <w:szCs w:val="20"/>
          <w:lang w:eastAsia="en-US"/>
        </w:rPr>
        <w:t xml:space="preserve">; </w:t>
      </w:r>
      <w:r w:rsidR="009235BD" w:rsidRPr="008B38AE">
        <w:rPr>
          <w:rFonts w:ascii="Arial Narrow" w:hAnsi="Arial Narrow"/>
          <w:sz w:val="20"/>
          <w:szCs w:val="20"/>
          <w:lang w:eastAsia="en-US"/>
        </w:rPr>
        <w:t xml:space="preserve">DCM = </w:t>
      </w:r>
      <w:r w:rsidR="00074BF4" w:rsidRPr="00BA665C">
        <w:rPr>
          <w:rFonts w:ascii="Arial Narrow" w:hAnsi="Arial Narrow"/>
          <w:sz w:val="20"/>
          <w:szCs w:val="20"/>
        </w:rPr>
        <w:t xml:space="preserve">dilated cardiomyopathy; </w:t>
      </w:r>
      <w:r w:rsidRPr="008B38AE">
        <w:rPr>
          <w:rFonts w:ascii="Arial Narrow" w:hAnsi="Arial Narrow"/>
          <w:sz w:val="20"/>
          <w:szCs w:val="20"/>
          <w:lang w:eastAsia="en-US"/>
        </w:rPr>
        <w:t>ECG</w:t>
      </w:r>
      <w:r w:rsidR="00333E37" w:rsidRPr="008B38AE">
        <w:rPr>
          <w:rFonts w:ascii="Arial Narrow" w:hAnsi="Arial Narrow"/>
          <w:sz w:val="20"/>
          <w:szCs w:val="20"/>
          <w:lang w:eastAsia="en-US"/>
        </w:rPr>
        <w:t xml:space="preserve"> </w:t>
      </w:r>
      <w:r w:rsidRPr="008B38AE">
        <w:rPr>
          <w:rFonts w:ascii="Arial Narrow" w:hAnsi="Arial Narrow"/>
          <w:sz w:val="20"/>
          <w:szCs w:val="20"/>
          <w:lang w:eastAsia="en-US"/>
        </w:rPr>
        <w:t>=</w:t>
      </w:r>
      <w:r w:rsidR="00333E37"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electrocardiogram; </w:t>
      </w:r>
      <w:r w:rsidR="00456E95">
        <w:rPr>
          <w:rFonts w:ascii="Arial Narrow" w:hAnsi="Arial Narrow"/>
          <w:sz w:val="20"/>
          <w:szCs w:val="20"/>
          <w:lang w:eastAsia="en-US"/>
        </w:rPr>
        <w:t xml:space="preserve">Echo = echocardiography; </w:t>
      </w:r>
      <w:r w:rsidR="009235BD" w:rsidRPr="008B38AE">
        <w:rPr>
          <w:rFonts w:ascii="Arial Narrow" w:hAnsi="Arial Narrow"/>
          <w:sz w:val="20"/>
          <w:szCs w:val="20"/>
          <w:lang w:eastAsia="en-US"/>
        </w:rPr>
        <w:t xml:space="preserve">EMB = </w:t>
      </w:r>
      <w:r w:rsidR="00074BF4" w:rsidRPr="00BA665C">
        <w:rPr>
          <w:rFonts w:ascii="Arial Narrow" w:hAnsi="Arial Narrow"/>
          <w:sz w:val="20"/>
          <w:szCs w:val="20"/>
        </w:rPr>
        <w:t>endomyocardial biopsy</w:t>
      </w:r>
      <w:r w:rsidR="00074BF4" w:rsidRPr="00BA665C">
        <w:rPr>
          <w:rFonts w:ascii="Arial Narrow" w:hAnsi="Arial Narrow"/>
          <w:sz w:val="20"/>
          <w:szCs w:val="20"/>
          <w:lang w:eastAsia="en-US"/>
        </w:rPr>
        <w:t xml:space="preserve">; </w:t>
      </w:r>
      <w:r w:rsidR="005D52A9" w:rsidRPr="008B38AE">
        <w:rPr>
          <w:rFonts w:ascii="Arial Narrow" w:hAnsi="Arial Narrow"/>
          <w:sz w:val="20"/>
          <w:szCs w:val="20"/>
          <w:lang w:eastAsia="en-US"/>
        </w:rPr>
        <w:t xml:space="preserve">Gd = gadolinium; </w:t>
      </w:r>
      <w:r w:rsidR="009235BD" w:rsidRPr="008B38AE">
        <w:rPr>
          <w:rFonts w:ascii="Arial Narrow" w:hAnsi="Arial Narrow"/>
          <w:sz w:val="20"/>
          <w:szCs w:val="20"/>
          <w:lang w:eastAsia="en-US"/>
        </w:rPr>
        <w:t xml:space="preserve">HF = heart failure; </w:t>
      </w:r>
      <w:r w:rsidR="00BE6429" w:rsidRPr="008B38AE">
        <w:rPr>
          <w:rFonts w:ascii="Arial Narrow" w:hAnsi="Arial Narrow"/>
          <w:sz w:val="20"/>
          <w:szCs w:val="20"/>
          <w:lang w:eastAsia="en-US"/>
        </w:rPr>
        <w:t xml:space="preserve">ICA = </w:t>
      </w:r>
      <w:r w:rsidR="00074BF4" w:rsidRPr="00BA665C">
        <w:rPr>
          <w:rFonts w:ascii="Arial Narrow" w:hAnsi="Arial Narrow"/>
          <w:sz w:val="20"/>
          <w:szCs w:val="20"/>
        </w:rPr>
        <w:t>invasive coronary angiography</w:t>
      </w:r>
      <w:r w:rsidR="00BE6429" w:rsidRPr="008B38AE">
        <w:rPr>
          <w:rFonts w:ascii="Arial Narrow" w:hAnsi="Arial Narrow"/>
          <w:sz w:val="20"/>
          <w:szCs w:val="20"/>
          <w:lang w:eastAsia="en-US"/>
        </w:rPr>
        <w:t xml:space="preserve">; </w:t>
      </w:r>
      <w:r w:rsidRPr="008B38AE">
        <w:rPr>
          <w:rFonts w:ascii="Arial Narrow" w:hAnsi="Arial Narrow"/>
          <w:sz w:val="20"/>
          <w:szCs w:val="20"/>
          <w:lang w:eastAsia="en-US"/>
        </w:rPr>
        <w:t>LGE = late gadolinium enhancement; LVEF = left ventricular ejection fraction; NYHA = New York Heart Association; IQR inter quartile range; N = number; NR = not reported</w:t>
      </w:r>
    </w:p>
    <w:p w14:paraId="3D086E0F" w14:textId="47342460" w:rsidR="00803845" w:rsidRDefault="00050936" w:rsidP="004C79C1">
      <w:pPr>
        <w:pStyle w:val="Caption"/>
      </w:pPr>
      <w:bookmarkStart w:id="828" w:name="_Toc324410258"/>
      <w:bookmarkStart w:id="829" w:name="_Toc451435409"/>
      <w:r>
        <w:t xml:space="preserve">Table </w:t>
      </w:r>
      <w:fldSimple w:instr=" SEQ Table \* ARABIC ">
        <w:r>
          <w:rPr>
            <w:noProof/>
          </w:rPr>
          <w:t>82</w:t>
        </w:r>
      </w:fldSimple>
      <w:r w:rsidR="00803845">
        <w:tab/>
      </w:r>
      <w:r w:rsidR="00803845" w:rsidRPr="00A153AE">
        <w:t xml:space="preserve">Study profiles of included </w:t>
      </w:r>
      <w:r w:rsidR="00803845">
        <w:t>HTA</w:t>
      </w:r>
      <w:r w:rsidR="00803845" w:rsidRPr="00A153AE">
        <w:t xml:space="preserve">s </w:t>
      </w:r>
      <w:r w:rsidR="00803845" w:rsidRPr="008C719C">
        <w:t xml:space="preserve">comparing ICD with </w:t>
      </w:r>
      <w:r w:rsidR="00537B66">
        <w:t>OMT</w:t>
      </w:r>
      <w:r w:rsidR="00803845" w:rsidRPr="008C719C">
        <w:t xml:space="preserve"> in DCM</w:t>
      </w:r>
      <w:r w:rsidR="00803845">
        <w:t xml:space="preserve"> (therapeutic effectiveness)</w:t>
      </w:r>
      <w:bookmarkEnd w:id="828"/>
      <w:bookmarkEnd w:id="829"/>
    </w:p>
    <w:tbl>
      <w:tblPr>
        <w:tblStyle w:val="TableGrid3"/>
        <w:tblW w:w="5000" w:type="pct"/>
        <w:tblLook w:val="04A0" w:firstRow="1" w:lastRow="0" w:firstColumn="1" w:lastColumn="0" w:noHBand="0" w:noVBand="1"/>
        <w:tblCaption w:val="Study profiles of included HTAs comparing ICD with optimal medical treatment in DCM (therapeutic effectiveness)"/>
      </w:tblPr>
      <w:tblGrid>
        <w:gridCol w:w="1019"/>
        <w:gridCol w:w="1536"/>
        <w:gridCol w:w="2177"/>
        <w:gridCol w:w="6143"/>
        <w:gridCol w:w="2301"/>
      </w:tblGrid>
      <w:tr w:rsidR="00803845" w:rsidRPr="00A153AE" w14:paraId="44982F55" w14:textId="77777777" w:rsidTr="00BE5D7C">
        <w:trPr>
          <w:tblHeader/>
        </w:trPr>
        <w:tc>
          <w:tcPr>
            <w:tcW w:w="387" w:type="pct"/>
          </w:tcPr>
          <w:p w14:paraId="0772F810"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 xml:space="preserve">Study </w:t>
            </w:r>
            <w:r w:rsidRPr="00A153AE">
              <w:rPr>
                <w:rFonts w:ascii="Arial Narrow" w:hAnsi="Arial Narrow"/>
                <w:b/>
                <w:sz w:val="20"/>
              </w:rPr>
              <w:br/>
              <w:t xml:space="preserve">Country </w:t>
            </w:r>
          </w:p>
        </w:tc>
        <w:tc>
          <w:tcPr>
            <w:tcW w:w="583" w:type="pct"/>
          </w:tcPr>
          <w:p w14:paraId="60A343A5"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Level of evidence</w:t>
            </w:r>
            <w:r w:rsidRPr="00A153AE">
              <w:rPr>
                <w:rFonts w:ascii="Arial Narrow" w:hAnsi="Arial Narrow"/>
                <w:b/>
                <w:sz w:val="20"/>
              </w:rPr>
              <w:br/>
              <w:t>Quality appraisal</w:t>
            </w:r>
          </w:p>
        </w:tc>
        <w:tc>
          <w:tcPr>
            <w:tcW w:w="826" w:type="pct"/>
          </w:tcPr>
          <w:p w14:paraId="7266F5DE" w14:textId="77777777" w:rsidR="00803845" w:rsidRPr="00A153AE" w:rsidRDefault="00803845" w:rsidP="004C79C1">
            <w:pPr>
              <w:keepNext/>
              <w:tabs>
                <w:tab w:val="left" w:pos="89"/>
              </w:tabs>
              <w:spacing w:before="0" w:after="120" w:line="240" w:lineRule="auto"/>
              <w:ind w:right="-57"/>
              <w:rPr>
                <w:rFonts w:ascii="Arial Narrow" w:hAnsi="Arial Narrow"/>
                <w:b/>
                <w:sz w:val="20"/>
              </w:rPr>
            </w:pPr>
            <w:r w:rsidRPr="00A153AE">
              <w:rPr>
                <w:rFonts w:ascii="Arial Narrow" w:hAnsi="Arial Narrow"/>
                <w:b/>
                <w:sz w:val="20"/>
              </w:rPr>
              <w:t>Aim of the SR</w:t>
            </w:r>
            <w:r w:rsidRPr="00A153AE">
              <w:rPr>
                <w:rFonts w:ascii="Arial Narrow" w:hAnsi="Arial Narrow"/>
                <w:b/>
                <w:sz w:val="20"/>
              </w:rPr>
              <w:br/>
              <w:t>Study population</w:t>
            </w:r>
          </w:p>
        </w:tc>
        <w:tc>
          <w:tcPr>
            <w:tcW w:w="2331" w:type="pct"/>
          </w:tcPr>
          <w:p w14:paraId="72F3392F"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Inclusion criteria / exclusion criteria</w:t>
            </w:r>
          </w:p>
        </w:tc>
        <w:tc>
          <w:tcPr>
            <w:tcW w:w="874" w:type="pct"/>
          </w:tcPr>
          <w:p w14:paraId="77E5C3DF"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Outcomes assessed</w:t>
            </w:r>
          </w:p>
        </w:tc>
      </w:tr>
      <w:tr w:rsidR="00803845" w:rsidRPr="00A153AE" w14:paraId="10D44CED" w14:textId="77777777" w:rsidTr="00BE5D7C">
        <w:tc>
          <w:tcPr>
            <w:tcW w:w="387" w:type="pct"/>
          </w:tcPr>
          <w:p w14:paraId="1D5CAA52"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sidRPr="00CA5C0C">
              <w:rPr>
                <w:rFonts w:ascii="Arial Narrow" w:eastAsiaTheme="minorHAnsi" w:hAnsi="Arial Narrow" w:cstheme="minorHAnsi"/>
                <w:sz w:val="20"/>
                <w:lang w:eastAsia="en-US"/>
              </w:rPr>
              <w:t>Colquitt et al. (2014)</w:t>
            </w:r>
          </w:p>
          <w:p w14:paraId="06FEC87C"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775DF577"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UK</w:t>
            </w:r>
          </w:p>
        </w:tc>
        <w:tc>
          <w:tcPr>
            <w:tcW w:w="583" w:type="pct"/>
          </w:tcPr>
          <w:p w14:paraId="6A9ECDD0"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eastAsiaTheme="minorHAnsi" w:hAnsi="Arial Narrow" w:cstheme="minorHAnsi"/>
                <w:sz w:val="20"/>
                <w:lang w:eastAsia="en-US"/>
              </w:rPr>
              <w:t>NHMRC Level I</w:t>
            </w:r>
          </w:p>
          <w:p w14:paraId="694AA0DE"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p>
          <w:p w14:paraId="6F0A4B99"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eastAsiaTheme="minorHAnsi" w:hAnsi="Arial Narrow" w:cstheme="minorHAnsi"/>
                <w:sz w:val="20"/>
                <w:lang w:eastAsia="en-US"/>
              </w:rPr>
              <w:t>AMSTAR:</w:t>
            </w:r>
            <w:r w:rsidRPr="00A153AE">
              <w:rPr>
                <w:rFonts w:ascii="Arial Narrow" w:eastAsiaTheme="minorHAnsi" w:hAnsi="Arial Narrow" w:cstheme="minorHAnsi"/>
                <w:sz w:val="20"/>
                <w:lang w:eastAsia="en-US"/>
              </w:rPr>
              <w:br/>
            </w:r>
            <w:r>
              <w:rPr>
                <w:rFonts w:ascii="Arial Narrow" w:eastAsiaTheme="minorHAnsi" w:hAnsi="Arial Narrow" w:cstheme="minorHAnsi"/>
                <w:sz w:val="20"/>
                <w:lang w:eastAsia="en-US"/>
              </w:rPr>
              <w:t>73</w:t>
            </w:r>
            <w:r w:rsidRPr="00A153AE">
              <w:rPr>
                <w:rFonts w:ascii="Arial Narrow" w:eastAsiaTheme="minorHAnsi" w:hAnsi="Arial Narrow" w:cstheme="minorHAnsi"/>
                <w:sz w:val="20"/>
                <w:lang w:eastAsia="en-US"/>
              </w:rPr>
              <w:t>% (</w:t>
            </w:r>
            <w:r>
              <w:rPr>
                <w:rFonts w:ascii="Arial Narrow" w:eastAsiaTheme="minorHAnsi" w:hAnsi="Arial Narrow" w:cstheme="minorHAnsi"/>
                <w:sz w:val="20"/>
                <w:lang w:eastAsia="en-US"/>
              </w:rPr>
              <w:t>8</w:t>
            </w:r>
            <w:r w:rsidRPr="00A153AE">
              <w:rPr>
                <w:rFonts w:ascii="Arial Narrow" w:eastAsiaTheme="minorHAnsi" w:hAnsi="Arial Narrow" w:cstheme="minorHAnsi"/>
                <w:sz w:val="20"/>
                <w:lang w:eastAsia="en-US"/>
              </w:rPr>
              <w:t>/11)</w:t>
            </w:r>
          </w:p>
          <w:p w14:paraId="79031C72"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eastAsiaTheme="minorHAnsi" w:hAnsi="Arial Narrow" w:cstheme="minorHAnsi"/>
                <w:sz w:val="20"/>
                <w:lang w:eastAsia="en-US"/>
              </w:rPr>
              <w:t>Good quality</w:t>
            </w:r>
          </w:p>
        </w:tc>
        <w:tc>
          <w:tcPr>
            <w:tcW w:w="826" w:type="pct"/>
          </w:tcPr>
          <w:p w14:paraId="076748F7" w14:textId="77777777" w:rsidR="00803845" w:rsidRPr="008C719C" w:rsidRDefault="00803845" w:rsidP="004C79C1">
            <w:pPr>
              <w:tabs>
                <w:tab w:val="left" w:pos="89"/>
              </w:tabs>
              <w:spacing w:before="0" w:after="120" w:line="240" w:lineRule="auto"/>
              <w:ind w:right="-57"/>
              <w:rPr>
                <w:rFonts w:ascii="Arial Narrow" w:hAnsi="Arial Narrow"/>
                <w:sz w:val="20"/>
                <w:lang w:eastAsia="en-US"/>
              </w:rPr>
            </w:pPr>
            <w:r w:rsidRPr="008C719C">
              <w:rPr>
                <w:rFonts w:ascii="Arial Narrow" w:hAnsi="Arial Narrow"/>
                <w:sz w:val="20"/>
                <w:lang w:eastAsia="en-US"/>
              </w:rPr>
              <w:t>To assess the clinical effectiveness and cost-effectiveness of:</w:t>
            </w:r>
          </w:p>
          <w:p w14:paraId="2066CF79" w14:textId="36644C5E" w:rsidR="00803845" w:rsidRPr="008C719C" w:rsidRDefault="00803845" w:rsidP="004C79C1">
            <w:pPr>
              <w:tabs>
                <w:tab w:val="left" w:pos="89"/>
              </w:tabs>
              <w:spacing w:before="0" w:after="120" w:line="240" w:lineRule="auto"/>
              <w:ind w:right="-57"/>
              <w:rPr>
                <w:rFonts w:ascii="Arial Narrow" w:hAnsi="Arial Narrow"/>
                <w:sz w:val="20"/>
                <w:lang w:eastAsia="en-US"/>
              </w:rPr>
            </w:pPr>
            <w:r w:rsidRPr="008C719C">
              <w:rPr>
                <w:rFonts w:ascii="Arial Narrow" w:hAnsi="Arial Narrow"/>
                <w:sz w:val="20"/>
                <w:lang w:eastAsia="en-US"/>
              </w:rPr>
              <w:t>ICDs in addition to OPT for people who are at increased risk of SCD</w:t>
            </w:r>
            <w:r>
              <w:rPr>
                <w:rFonts w:ascii="Arial Narrow" w:hAnsi="Arial Narrow"/>
                <w:sz w:val="20"/>
                <w:lang w:eastAsia="en-US"/>
              </w:rPr>
              <w:t xml:space="preserve"> </w:t>
            </w:r>
            <w:r w:rsidRPr="008C719C">
              <w:rPr>
                <w:rFonts w:ascii="Arial Narrow" w:hAnsi="Arial Narrow"/>
                <w:sz w:val="20"/>
                <w:lang w:eastAsia="en-US"/>
              </w:rPr>
              <w:t xml:space="preserve">as a result of </w:t>
            </w:r>
            <w:r w:rsidR="00A13CA4">
              <w:rPr>
                <w:rFonts w:ascii="Arial Narrow" w:hAnsi="Arial Narrow"/>
                <w:sz w:val="20"/>
                <w:lang w:eastAsia="en-US"/>
              </w:rPr>
              <w:t>VA</w:t>
            </w:r>
            <w:r w:rsidRPr="008C719C">
              <w:rPr>
                <w:rFonts w:ascii="Arial Narrow" w:hAnsi="Arial Narrow"/>
                <w:sz w:val="20"/>
                <w:lang w:eastAsia="en-US"/>
              </w:rPr>
              <w:t>s despite receiving OPT</w:t>
            </w:r>
          </w:p>
          <w:p w14:paraId="23322116" w14:textId="77777777" w:rsidR="00803845" w:rsidRPr="008C719C" w:rsidRDefault="00803845" w:rsidP="004C79C1">
            <w:pPr>
              <w:tabs>
                <w:tab w:val="left" w:pos="89"/>
              </w:tabs>
              <w:spacing w:before="0" w:after="120" w:line="240" w:lineRule="auto"/>
              <w:ind w:right="-57"/>
              <w:rPr>
                <w:rFonts w:ascii="Arial Narrow" w:hAnsi="Arial Narrow"/>
                <w:sz w:val="20"/>
                <w:lang w:eastAsia="en-US"/>
              </w:rPr>
            </w:pPr>
            <w:r w:rsidRPr="008C719C">
              <w:rPr>
                <w:rFonts w:ascii="Arial Narrow" w:hAnsi="Arial Narrow"/>
                <w:sz w:val="20"/>
                <w:lang w:eastAsia="en-US"/>
              </w:rPr>
              <w:t>CRT</w:t>
            </w:r>
            <w:r>
              <w:rPr>
                <w:rFonts w:ascii="Arial Narrow" w:hAnsi="Arial Narrow"/>
                <w:sz w:val="20"/>
                <w:lang w:eastAsia="en-US"/>
              </w:rPr>
              <w:t>-</w:t>
            </w:r>
            <w:r w:rsidRPr="008C719C">
              <w:rPr>
                <w:rFonts w:ascii="Arial Narrow" w:hAnsi="Arial Narrow"/>
                <w:sz w:val="20"/>
                <w:lang w:eastAsia="en-US"/>
              </w:rPr>
              <w:t>P or CRT-D in addition to OPT for people with HF as a result of LVSD and cardiac dyssynchrony</w:t>
            </w:r>
            <w:r>
              <w:rPr>
                <w:rFonts w:ascii="Arial Narrow" w:hAnsi="Arial Narrow"/>
                <w:sz w:val="20"/>
                <w:lang w:eastAsia="en-US"/>
              </w:rPr>
              <w:t xml:space="preserve"> </w:t>
            </w:r>
            <w:r w:rsidRPr="008C719C">
              <w:rPr>
                <w:rFonts w:ascii="Arial Narrow" w:hAnsi="Arial Narrow"/>
                <w:sz w:val="20"/>
                <w:lang w:eastAsia="en-US"/>
              </w:rPr>
              <w:t>despite receiving OPT</w:t>
            </w:r>
          </w:p>
          <w:p w14:paraId="552C1172" w14:textId="40D295A7" w:rsidR="00803845" w:rsidRPr="00A153AE" w:rsidRDefault="00803845" w:rsidP="004C79C1">
            <w:pPr>
              <w:tabs>
                <w:tab w:val="left" w:pos="89"/>
              </w:tabs>
              <w:spacing w:before="0" w:after="120" w:line="240" w:lineRule="auto"/>
              <w:ind w:right="-57"/>
              <w:rPr>
                <w:rFonts w:ascii="Arial Narrow" w:hAnsi="Arial Narrow"/>
                <w:sz w:val="20"/>
                <w:lang w:eastAsia="en-US"/>
              </w:rPr>
            </w:pPr>
            <w:r w:rsidRPr="008C719C">
              <w:rPr>
                <w:rFonts w:ascii="Arial Narrow" w:hAnsi="Arial Narrow"/>
                <w:sz w:val="20"/>
                <w:lang w:eastAsia="en-US"/>
              </w:rPr>
              <w:t>CRT-D in addition to OPT for people with both conditions</w:t>
            </w:r>
          </w:p>
        </w:tc>
        <w:tc>
          <w:tcPr>
            <w:tcW w:w="2331" w:type="pct"/>
          </w:tcPr>
          <w:p w14:paraId="16A6350F" w14:textId="77777777" w:rsidR="00803845" w:rsidRPr="00A153AE" w:rsidRDefault="00803845" w:rsidP="004C79C1">
            <w:pPr>
              <w:spacing w:before="0" w:after="120" w:line="240" w:lineRule="auto"/>
              <w:ind w:right="-57"/>
              <w:rPr>
                <w:rFonts w:ascii="Arial Narrow" w:hAnsi="Arial Narrow"/>
                <w:b/>
                <w:sz w:val="20"/>
              </w:rPr>
            </w:pPr>
            <w:r w:rsidRPr="00A153AE">
              <w:rPr>
                <w:rFonts w:ascii="Arial Narrow" w:hAnsi="Arial Narrow"/>
                <w:b/>
                <w:sz w:val="20"/>
              </w:rPr>
              <w:t>Search period:</w:t>
            </w:r>
          </w:p>
          <w:p w14:paraId="014E307B" w14:textId="77777777" w:rsidR="00803845" w:rsidRPr="00A153AE" w:rsidRDefault="00803845" w:rsidP="004C79C1">
            <w:pPr>
              <w:spacing w:before="0" w:after="120" w:line="240" w:lineRule="auto"/>
              <w:ind w:right="-57"/>
              <w:rPr>
                <w:rFonts w:ascii="Arial Narrow" w:hAnsi="Arial Narrow"/>
                <w:sz w:val="20"/>
                <w:lang w:eastAsia="en-US"/>
              </w:rPr>
            </w:pPr>
            <w:r>
              <w:rPr>
                <w:rFonts w:ascii="Arial Narrow" w:hAnsi="Arial Narrow"/>
                <w:sz w:val="20"/>
              </w:rPr>
              <w:t>From inception to November 2012</w:t>
            </w:r>
          </w:p>
          <w:p w14:paraId="2FA6A2B8" w14:textId="77777777" w:rsidR="00803845" w:rsidRPr="00A153AE" w:rsidRDefault="00803845" w:rsidP="004C79C1">
            <w:pPr>
              <w:spacing w:before="0" w:after="120" w:line="240" w:lineRule="auto"/>
              <w:ind w:right="-57"/>
              <w:rPr>
                <w:rFonts w:ascii="Arial Narrow" w:hAnsi="Arial Narrow"/>
                <w:b/>
                <w:sz w:val="20"/>
                <w:lang w:eastAsia="en-US"/>
              </w:rPr>
            </w:pPr>
            <w:r w:rsidRPr="00A153AE">
              <w:rPr>
                <w:rFonts w:ascii="Arial Narrow" w:hAnsi="Arial Narrow"/>
                <w:b/>
                <w:sz w:val="20"/>
                <w:lang w:eastAsia="en-US"/>
              </w:rPr>
              <w:t>Databases searched:</w:t>
            </w:r>
          </w:p>
          <w:p w14:paraId="26BD43FD" w14:textId="53A225A5" w:rsidR="00803845" w:rsidRPr="00A153AE" w:rsidRDefault="00803845" w:rsidP="004C79C1">
            <w:pPr>
              <w:spacing w:before="0" w:after="120" w:line="240" w:lineRule="auto"/>
              <w:ind w:right="-57"/>
              <w:rPr>
                <w:rFonts w:ascii="Arial Narrow" w:hAnsi="Arial Narrow"/>
                <w:sz w:val="20"/>
              </w:rPr>
            </w:pPr>
            <w:r w:rsidRPr="0001270F">
              <w:rPr>
                <w:rFonts w:ascii="Arial Narrow" w:hAnsi="Arial Narrow"/>
                <w:sz w:val="20"/>
              </w:rPr>
              <w:t>MEDLINE, EMBASE and The Cochrane Library. Bibliographies of included articles and</w:t>
            </w:r>
            <w:r>
              <w:rPr>
                <w:rFonts w:ascii="Arial Narrow" w:hAnsi="Arial Narrow"/>
                <w:sz w:val="20"/>
              </w:rPr>
              <w:t xml:space="preserve"> </w:t>
            </w:r>
            <w:r w:rsidRPr="0001270F">
              <w:rPr>
                <w:rFonts w:ascii="Arial Narrow" w:hAnsi="Arial Narrow"/>
                <w:sz w:val="20"/>
              </w:rPr>
              <w:t>m</w:t>
            </w:r>
            <w:r>
              <w:rPr>
                <w:rFonts w:ascii="Arial Narrow" w:hAnsi="Arial Narrow"/>
                <w:sz w:val="20"/>
              </w:rPr>
              <w:t>anufacturers’ submissions to</w:t>
            </w:r>
            <w:r w:rsidRPr="0001270F">
              <w:rPr>
                <w:rFonts w:ascii="Arial Narrow" w:hAnsi="Arial Narrow"/>
                <w:sz w:val="20"/>
              </w:rPr>
              <w:t xml:space="preserve"> NICE were searched</w:t>
            </w:r>
            <w:r w:rsidR="00A13CA4">
              <w:rPr>
                <w:rFonts w:ascii="Arial Narrow" w:hAnsi="Arial Narrow"/>
                <w:sz w:val="20"/>
              </w:rPr>
              <w:t>,</w:t>
            </w:r>
            <w:r>
              <w:rPr>
                <w:rFonts w:ascii="Arial Narrow" w:hAnsi="Arial Narrow"/>
                <w:sz w:val="20"/>
              </w:rPr>
              <w:t xml:space="preserve"> and e</w:t>
            </w:r>
            <w:r w:rsidRPr="0001270F">
              <w:rPr>
                <w:rFonts w:ascii="Arial Narrow" w:hAnsi="Arial Narrow"/>
                <w:sz w:val="20"/>
              </w:rPr>
              <w:t>xperts in the field were asked to identify additional published and unpublished references.</w:t>
            </w:r>
          </w:p>
          <w:p w14:paraId="45E60967" w14:textId="77777777" w:rsidR="00803845" w:rsidRPr="00A153AE" w:rsidRDefault="00803845" w:rsidP="004C79C1">
            <w:pPr>
              <w:spacing w:before="0" w:after="120" w:line="240" w:lineRule="auto"/>
              <w:ind w:right="-57"/>
              <w:rPr>
                <w:rFonts w:ascii="Arial Narrow" w:hAnsi="Arial Narrow"/>
                <w:b/>
                <w:sz w:val="20"/>
              </w:rPr>
            </w:pPr>
            <w:r w:rsidRPr="00A153AE">
              <w:rPr>
                <w:rFonts w:ascii="Arial Narrow" w:hAnsi="Arial Narrow"/>
                <w:b/>
                <w:sz w:val="20"/>
              </w:rPr>
              <w:t xml:space="preserve">Inclusion criteria: </w:t>
            </w:r>
          </w:p>
          <w:p w14:paraId="2503975D" w14:textId="69C409E6" w:rsidR="00803845" w:rsidRPr="00A153AE" w:rsidRDefault="00803845" w:rsidP="004C79C1">
            <w:pPr>
              <w:spacing w:before="0" w:after="120" w:line="240" w:lineRule="auto"/>
              <w:ind w:right="-57"/>
              <w:rPr>
                <w:rFonts w:ascii="Arial Narrow" w:hAnsi="Arial Narrow"/>
                <w:sz w:val="20"/>
              </w:rPr>
            </w:pPr>
            <w:r w:rsidRPr="0001270F">
              <w:rPr>
                <w:rFonts w:ascii="Arial Narrow" w:hAnsi="Arial Narrow"/>
                <w:sz w:val="20"/>
              </w:rPr>
              <w:t xml:space="preserve">English-language </w:t>
            </w:r>
            <w:r>
              <w:rPr>
                <w:rFonts w:ascii="Arial Narrow" w:hAnsi="Arial Narrow"/>
                <w:sz w:val="20"/>
              </w:rPr>
              <w:t>RCTs</w:t>
            </w:r>
            <w:r w:rsidRPr="00A153AE">
              <w:rPr>
                <w:rFonts w:ascii="Arial Narrow" w:hAnsi="Arial Narrow"/>
                <w:sz w:val="20"/>
              </w:rPr>
              <w:t xml:space="preserve"> that included patients </w:t>
            </w:r>
            <w:r w:rsidRPr="001C27A9">
              <w:rPr>
                <w:rFonts w:ascii="Arial Narrow" w:hAnsi="Arial Narrow"/>
                <w:sz w:val="20"/>
              </w:rPr>
              <w:t xml:space="preserve">at increased risk of SCD as a result of </w:t>
            </w:r>
            <w:r w:rsidR="00A13CA4">
              <w:rPr>
                <w:rFonts w:ascii="Arial Narrow" w:hAnsi="Arial Narrow"/>
                <w:sz w:val="20"/>
              </w:rPr>
              <w:t>VA</w:t>
            </w:r>
            <w:r w:rsidRPr="001C27A9">
              <w:rPr>
                <w:rFonts w:ascii="Arial Narrow" w:hAnsi="Arial Narrow"/>
                <w:sz w:val="20"/>
              </w:rPr>
              <w:t>s</w:t>
            </w:r>
            <w:r w:rsidRPr="0001013B">
              <w:rPr>
                <w:rFonts w:ascii="Arial Narrow" w:hAnsi="Arial Narrow"/>
                <w:sz w:val="20"/>
              </w:rPr>
              <w:t xml:space="preserve"> or </w:t>
            </w:r>
            <w:r w:rsidRPr="001C27A9">
              <w:rPr>
                <w:rFonts w:ascii="Arial Narrow" w:hAnsi="Arial Narrow"/>
                <w:sz w:val="20"/>
              </w:rPr>
              <w:t>with HF as a result of LVSD and cardiac dyssynchrony</w:t>
            </w:r>
            <w:r>
              <w:rPr>
                <w:rFonts w:ascii="Arial Narrow" w:hAnsi="Arial Narrow"/>
                <w:sz w:val="20"/>
              </w:rPr>
              <w:t xml:space="preserve"> or both, comparing ICD/CRT with OPT and reporting on health outcomes</w:t>
            </w:r>
          </w:p>
          <w:p w14:paraId="15D28BFA"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b/>
                <w:sz w:val="20"/>
              </w:rPr>
              <w:t>Exclusion criteria:</w:t>
            </w:r>
            <w:r w:rsidRPr="00A153AE">
              <w:rPr>
                <w:rFonts w:ascii="Arial Narrow" w:hAnsi="Arial Narrow"/>
                <w:sz w:val="20"/>
              </w:rPr>
              <w:t xml:space="preserve"> </w:t>
            </w:r>
          </w:p>
          <w:p w14:paraId="4950AA58"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Studies not in English, abstracts or session presentations</w:t>
            </w:r>
          </w:p>
          <w:p w14:paraId="36A3D879" w14:textId="77777777" w:rsidR="00803845" w:rsidRPr="001C27A9" w:rsidRDefault="00803845" w:rsidP="004C79C1">
            <w:pPr>
              <w:tabs>
                <w:tab w:val="left" w:pos="2248"/>
              </w:tabs>
              <w:spacing w:before="0" w:after="120" w:line="240" w:lineRule="auto"/>
              <w:ind w:left="2214" w:right="-57" w:hanging="2214"/>
              <w:rPr>
                <w:rFonts w:ascii="Arial Narrow" w:hAnsi="Arial Narrow"/>
                <w:sz w:val="20"/>
              </w:rPr>
            </w:pPr>
            <w:r w:rsidRPr="00A153AE">
              <w:rPr>
                <w:rFonts w:ascii="Arial Narrow" w:hAnsi="Arial Narrow"/>
                <w:b/>
                <w:sz w:val="20"/>
              </w:rPr>
              <w:t>Number of included studies:</w:t>
            </w:r>
            <w:r>
              <w:rPr>
                <w:rFonts w:ascii="Arial Narrow" w:hAnsi="Arial Narrow"/>
                <w:sz w:val="20"/>
              </w:rPr>
              <w:t xml:space="preserve"> 26 RCTs reported in 78 publications</w:t>
            </w:r>
            <w:r>
              <w:rPr>
                <w:rFonts w:ascii="Arial Narrow" w:hAnsi="Arial Narrow"/>
                <w:sz w:val="20"/>
              </w:rPr>
              <w:br/>
            </w:r>
            <w:r>
              <w:rPr>
                <w:rFonts w:ascii="Arial Narrow" w:hAnsi="Arial Narrow"/>
                <w:sz w:val="20"/>
              </w:rPr>
              <w:tab/>
              <w:t>3 RCTs included patients with NIDCM</w:t>
            </w:r>
            <w:r>
              <w:rPr>
                <w:rFonts w:ascii="Arial Narrow" w:hAnsi="Arial Narrow"/>
                <w:sz w:val="20"/>
              </w:rPr>
              <w:br/>
            </w:r>
            <w:r>
              <w:rPr>
                <w:rFonts w:ascii="Arial Narrow" w:hAnsi="Arial Narrow"/>
                <w:sz w:val="20"/>
              </w:rPr>
              <w:lastRenderedPageBreak/>
              <w:tab/>
              <w:t>1 RCT included patients with HF (non-ischaemic subgroup)</w:t>
            </w:r>
          </w:p>
        </w:tc>
        <w:tc>
          <w:tcPr>
            <w:tcW w:w="874" w:type="pct"/>
          </w:tcPr>
          <w:p w14:paraId="46B46004" w14:textId="20BC9B6B" w:rsidR="00803845" w:rsidRPr="00A153AE" w:rsidRDefault="00803845" w:rsidP="004C79C1">
            <w:pPr>
              <w:spacing w:before="0" w:after="120" w:line="240" w:lineRule="auto"/>
              <w:ind w:right="-57"/>
              <w:rPr>
                <w:rFonts w:ascii="Arial Narrow" w:hAnsi="Arial Narrow"/>
                <w:sz w:val="20"/>
              </w:rPr>
            </w:pPr>
            <w:r>
              <w:rPr>
                <w:rFonts w:ascii="Arial Narrow" w:hAnsi="Arial Narrow"/>
                <w:sz w:val="20"/>
              </w:rPr>
              <w:lastRenderedPageBreak/>
              <w:t xml:space="preserve">All-cause </w:t>
            </w:r>
            <w:r w:rsidRPr="001C27A9">
              <w:rPr>
                <w:rFonts w:ascii="Arial Narrow" w:hAnsi="Arial Narrow"/>
                <w:sz w:val="20"/>
              </w:rPr>
              <w:t>mortality</w:t>
            </w:r>
            <w:r>
              <w:rPr>
                <w:rFonts w:ascii="Arial Narrow" w:hAnsi="Arial Narrow"/>
                <w:sz w:val="20"/>
              </w:rPr>
              <w:br/>
              <w:t>A</w:t>
            </w:r>
            <w:r w:rsidRPr="001C27A9">
              <w:rPr>
                <w:rFonts w:ascii="Arial Narrow" w:hAnsi="Arial Narrow"/>
                <w:sz w:val="20"/>
              </w:rPr>
              <w:t>dverse effects of treatment</w:t>
            </w:r>
            <w:r>
              <w:rPr>
                <w:rFonts w:ascii="Arial Narrow" w:hAnsi="Arial Narrow"/>
                <w:sz w:val="20"/>
              </w:rPr>
              <w:br/>
            </w:r>
            <w:r w:rsidRPr="001C27A9">
              <w:rPr>
                <w:rFonts w:ascii="Arial Narrow" w:hAnsi="Arial Narrow"/>
                <w:sz w:val="20"/>
              </w:rPr>
              <w:t>HRQoL</w:t>
            </w:r>
            <w:r>
              <w:rPr>
                <w:rFonts w:ascii="Arial Narrow" w:hAnsi="Arial Narrow"/>
                <w:sz w:val="20"/>
              </w:rPr>
              <w:br/>
            </w:r>
            <w:r w:rsidR="000B7B48">
              <w:rPr>
                <w:rFonts w:ascii="Arial Narrow" w:hAnsi="Arial Narrow"/>
                <w:sz w:val="20"/>
              </w:rPr>
              <w:t>S</w:t>
            </w:r>
            <w:r>
              <w:rPr>
                <w:rFonts w:ascii="Arial Narrow" w:hAnsi="Arial Narrow"/>
                <w:sz w:val="20"/>
              </w:rPr>
              <w:t>ymptoms and co</w:t>
            </w:r>
            <w:r w:rsidRPr="001C27A9">
              <w:rPr>
                <w:rFonts w:ascii="Arial Narrow" w:hAnsi="Arial Narrow"/>
                <w:sz w:val="20"/>
              </w:rPr>
              <w:t>mplications related to tachyarrhythmias and/or HF</w:t>
            </w:r>
            <w:r>
              <w:rPr>
                <w:rFonts w:ascii="Arial Narrow" w:hAnsi="Arial Narrow"/>
                <w:sz w:val="20"/>
              </w:rPr>
              <w:br/>
            </w:r>
            <w:r w:rsidRPr="001C27A9">
              <w:rPr>
                <w:rFonts w:ascii="Arial Narrow" w:hAnsi="Arial Narrow"/>
                <w:sz w:val="20"/>
              </w:rPr>
              <w:t>HF hospitalisations</w:t>
            </w:r>
            <w:r>
              <w:rPr>
                <w:rFonts w:ascii="Arial Narrow" w:hAnsi="Arial Narrow"/>
                <w:sz w:val="20"/>
              </w:rPr>
              <w:br/>
              <w:t>Change in N</w:t>
            </w:r>
            <w:r w:rsidRPr="001C27A9">
              <w:rPr>
                <w:rFonts w:ascii="Arial Narrow" w:hAnsi="Arial Narrow"/>
                <w:sz w:val="20"/>
              </w:rPr>
              <w:t>YHA class</w:t>
            </w:r>
            <w:r>
              <w:rPr>
                <w:rFonts w:ascii="Arial Narrow" w:hAnsi="Arial Narrow"/>
                <w:sz w:val="20"/>
              </w:rPr>
              <w:br/>
              <w:t>C</w:t>
            </w:r>
            <w:r w:rsidRPr="001C27A9">
              <w:rPr>
                <w:rFonts w:ascii="Arial Narrow" w:hAnsi="Arial Narrow"/>
                <w:sz w:val="20"/>
              </w:rPr>
              <w:t>hange in LVEF</w:t>
            </w:r>
          </w:p>
        </w:tc>
      </w:tr>
      <w:tr w:rsidR="00803845" w:rsidRPr="00A153AE" w14:paraId="4E6B0AB2" w14:textId="77777777" w:rsidTr="00BE5D7C">
        <w:tc>
          <w:tcPr>
            <w:tcW w:w="387" w:type="pct"/>
          </w:tcPr>
          <w:p w14:paraId="3B97E0E9"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Uhlig</w:t>
            </w:r>
            <w:r w:rsidRPr="00A153AE">
              <w:rPr>
                <w:rFonts w:ascii="Arial Narrow" w:eastAsiaTheme="minorHAnsi" w:hAnsi="Arial Narrow" w:cstheme="minorHAnsi"/>
                <w:sz w:val="20"/>
                <w:lang w:eastAsia="en-US"/>
              </w:rPr>
              <w:t xml:space="preserve"> et al. (201</w:t>
            </w:r>
            <w:r>
              <w:rPr>
                <w:rFonts w:ascii="Arial Narrow" w:eastAsiaTheme="minorHAnsi" w:hAnsi="Arial Narrow" w:cstheme="minorHAnsi"/>
                <w:sz w:val="20"/>
                <w:lang w:eastAsia="en-US"/>
              </w:rPr>
              <w:t>3</w:t>
            </w:r>
            <w:r w:rsidRPr="00A153AE">
              <w:rPr>
                <w:rFonts w:ascii="Arial Narrow" w:eastAsiaTheme="minorHAnsi" w:hAnsi="Arial Narrow" w:cstheme="minorHAnsi"/>
                <w:sz w:val="20"/>
                <w:lang w:eastAsia="en-US"/>
              </w:rPr>
              <w:t>)</w:t>
            </w:r>
          </w:p>
          <w:p w14:paraId="4C9C290E"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p>
          <w:p w14:paraId="1DDFD2D5"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USA</w:t>
            </w:r>
          </w:p>
        </w:tc>
        <w:tc>
          <w:tcPr>
            <w:tcW w:w="583" w:type="pct"/>
          </w:tcPr>
          <w:p w14:paraId="2EA7F991"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eastAsiaTheme="minorHAnsi" w:hAnsi="Arial Narrow" w:cstheme="minorHAnsi"/>
                <w:sz w:val="20"/>
                <w:lang w:eastAsia="en-US"/>
              </w:rPr>
              <w:t>NHMRC Level I</w:t>
            </w:r>
          </w:p>
          <w:p w14:paraId="7D1DEE63"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p>
          <w:p w14:paraId="004F4D72" w14:textId="77777777" w:rsidR="00803845" w:rsidRPr="003E1EC3" w:rsidRDefault="00803845" w:rsidP="004C79C1">
            <w:pPr>
              <w:spacing w:before="0" w:after="120" w:line="240" w:lineRule="auto"/>
              <w:ind w:right="-57"/>
              <w:rPr>
                <w:rFonts w:ascii="Arial Narrow" w:eastAsiaTheme="minorHAnsi" w:hAnsi="Arial Narrow" w:cstheme="minorHAnsi"/>
                <w:sz w:val="20"/>
                <w:lang w:eastAsia="en-US"/>
              </w:rPr>
            </w:pPr>
            <w:r w:rsidRPr="003E1EC3">
              <w:rPr>
                <w:rFonts w:ascii="Arial Narrow" w:eastAsiaTheme="minorHAnsi" w:hAnsi="Arial Narrow" w:cstheme="minorHAnsi"/>
                <w:sz w:val="20"/>
                <w:lang w:eastAsia="en-US"/>
              </w:rPr>
              <w:t>AMSTAR:</w:t>
            </w:r>
          </w:p>
          <w:p w14:paraId="7D5ABD17" w14:textId="77777777" w:rsidR="00803845" w:rsidRPr="003E1EC3" w:rsidRDefault="00803845" w:rsidP="004C79C1">
            <w:pPr>
              <w:spacing w:before="0" w:after="120" w:line="240" w:lineRule="auto"/>
              <w:ind w:right="-57"/>
              <w:rPr>
                <w:rFonts w:ascii="Arial Narrow" w:eastAsiaTheme="minorHAnsi" w:hAnsi="Arial Narrow" w:cstheme="minorHAnsi"/>
                <w:sz w:val="20"/>
                <w:lang w:eastAsia="en-US"/>
              </w:rPr>
            </w:pPr>
            <w:r w:rsidRPr="003E1EC3">
              <w:rPr>
                <w:rFonts w:ascii="Arial Narrow" w:eastAsiaTheme="minorHAnsi" w:hAnsi="Arial Narrow" w:cstheme="minorHAnsi"/>
                <w:sz w:val="20"/>
                <w:lang w:eastAsia="en-US"/>
              </w:rPr>
              <w:t>55% (6/11)</w:t>
            </w:r>
          </w:p>
          <w:p w14:paraId="1D1521C8"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3E1EC3">
              <w:rPr>
                <w:rFonts w:ascii="Arial Narrow" w:eastAsiaTheme="minorHAnsi" w:hAnsi="Arial Narrow" w:cstheme="minorHAnsi"/>
                <w:sz w:val="20"/>
                <w:lang w:eastAsia="en-US"/>
              </w:rPr>
              <w:t>Moderate quality</w:t>
            </w:r>
          </w:p>
        </w:tc>
        <w:tc>
          <w:tcPr>
            <w:tcW w:w="826" w:type="pct"/>
          </w:tcPr>
          <w:p w14:paraId="4EBDB246" w14:textId="6E0617E0" w:rsidR="00803845" w:rsidRPr="00A153AE" w:rsidRDefault="00803845" w:rsidP="004C79C1">
            <w:pPr>
              <w:tabs>
                <w:tab w:val="left" w:pos="89"/>
              </w:tabs>
              <w:spacing w:before="0" w:after="120" w:line="240" w:lineRule="auto"/>
              <w:ind w:right="-57"/>
              <w:rPr>
                <w:rFonts w:ascii="Arial Narrow" w:hAnsi="Arial Narrow"/>
                <w:sz w:val="20"/>
                <w:lang w:eastAsia="en-US"/>
              </w:rPr>
            </w:pPr>
            <w:r w:rsidRPr="00A153AE">
              <w:rPr>
                <w:rFonts w:ascii="Arial Narrow" w:hAnsi="Arial Narrow"/>
                <w:sz w:val="20"/>
                <w:lang w:eastAsia="en-US"/>
              </w:rPr>
              <w:t xml:space="preserve">To evaluate </w:t>
            </w:r>
            <w:r w:rsidRPr="003E1EC3">
              <w:rPr>
                <w:rFonts w:ascii="Arial Narrow" w:hAnsi="Arial Narrow"/>
                <w:sz w:val="20"/>
                <w:lang w:eastAsia="en-US"/>
              </w:rPr>
              <w:t>the effectiveness of treatment with an ICD versus control</w:t>
            </w:r>
            <w:r>
              <w:rPr>
                <w:rFonts w:ascii="Arial Narrow" w:hAnsi="Arial Narrow"/>
                <w:sz w:val="20"/>
                <w:lang w:eastAsia="en-US"/>
              </w:rPr>
              <w:t xml:space="preserve"> </w:t>
            </w:r>
            <w:r w:rsidRPr="003E1EC3">
              <w:rPr>
                <w:rFonts w:ascii="Arial Narrow" w:hAnsi="Arial Narrow"/>
                <w:sz w:val="20"/>
                <w:lang w:eastAsia="en-US"/>
              </w:rPr>
              <w:t>treatment without an ICD</w:t>
            </w:r>
            <w:r>
              <w:t xml:space="preserve"> </w:t>
            </w:r>
            <w:r w:rsidRPr="003E1EC3">
              <w:rPr>
                <w:rFonts w:ascii="Arial Narrow" w:hAnsi="Arial Narrow"/>
                <w:sz w:val="20"/>
                <w:lang w:eastAsia="en-US"/>
              </w:rPr>
              <w:t>for primary</w:t>
            </w:r>
            <w:r>
              <w:rPr>
                <w:rFonts w:ascii="Arial Narrow" w:hAnsi="Arial Narrow"/>
                <w:sz w:val="20"/>
                <w:lang w:eastAsia="en-US"/>
              </w:rPr>
              <w:t xml:space="preserve"> </w:t>
            </w:r>
            <w:r w:rsidRPr="003E1EC3">
              <w:rPr>
                <w:rFonts w:ascii="Arial Narrow" w:hAnsi="Arial Narrow"/>
                <w:sz w:val="20"/>
                <w:lang w:eastAsia="en-US"/>
              </w:rPr>
              <w:t>prevention of SCD</w:t>
            </w:r>
          </w:p>
          <w:p w14:paraId="5E6CFF3E" w14:textId="77777777" w:rsidR="00803845" w:rsidRPr="00A153AE" w:rsidRDefault="00803845" w:rsidP="004C79C1">
            <w:pPr>
              <w:tabs>
                <w:tab w:val="left" w:pos="89"/>
              </w:tabs>
              <w:spacing w:before="0" w:after="120" w:line="240" w:lineRule="auto"/>
              <w:ind w:right="-57"/>
              <w:rPr>
                <w:rFonts w:ascii="Arial Narrow" w:hAnsi="Arial Narrow"/>
                <w:sz w:val="20"/>
                <w:lang w:eastAsia="en-US"/>
              </w:rPr>
            </w:pPr>
          </w:p>
          <w:p w14:paraId="1688E93C" w14:textId="77777777" w:rsidR="00803845" w:rsidRPr="00A153AE" w:rsidRDefault="00803845" w:rsidP="004C79C1">
            <w:pPr>
              <w:tabs>
                <w:tab w:val="left" w:pos="89"/>
              </w:tabs>
              <w:spacing w:before="0" w:after="120" w:line="240" w:lineRule="auto"/>
              <w:ind w:right="-57"/>
              <w:rPr>
                <w:rFonts w:ascii="Arial Narrow" w:hAnsi="Arial Narrow"/>
                <w:sz w:val="20"/>
                <w:lang w:eastAsia="en-US"/>
              </w:rPr>
            </w:pPr>
            <w:r w:rsidRPr="00A153AE">
              <w:rPr>
                <w:rFonts w:ascii="Arial Narrow" w:hAnsi="Arial Narrow"/>
                <w:sz w:val="20"/>
              </w:rPr>
              <w:t xml:space="preserve">Adult patients </w:t>
            </w:r>
            <w:r w:rsidRPr="003E1EC3">
              <w:rPr>
                <w:rFonts w:ascii="Arial Narrow" w:hAnsi="Arial Narrow"/>
                <w:sz w:val="20"/>
              </w:rPr>
              <w:t>potentially eligible to receive an ICD for primary prevention of SCD</w:t>
            </w:r>
          </w:p>
        </w:tc>
        <w:tc>
          <w:tcPr>
            <w:tcW w:w="2331" w:type="pct"/>
          </w:tcPr>
          <w:p w14:paraId="1D685201" w14:textId="77777777" w:rsidR="00803845" w:rsidRPr="00A153AE" w:rsidRDefault="00803845" w:rsidP="004C79C1">
            <w:pPr>
              <w:spacing w:before="0" w:after="120" w:line="240" w:lineRule="auto"/>
              <w:ind w:right="-57"/>
              <w:rPr>
                <w:rFonts w:ascii="Arial Narrow" w:hAnsi="Arial Narrow"/>
                <w:b/>
                <w:sz w:val="20"/>
              </w:rPr>
            </w:pPr>
            <w:r w:rsidRPr="00A153AE">
              <w:rPr>
                <w:rFonts w:ascii="Arial Narrow" w:hAnsi="Arial Narrow"/>
                <w:b/>
                <w:sz w:val="20"/>
              </w:rPr>
              <w:t>Search period:</w:t>
            </w:r>
          </w:p>
          <w:p w14:paraId="461EB479" w14:textId="77777777" w:rsidR="00803845" w:rsidRPr="00A153AE" w:rsidRDefault="00803845" w:rsidP="004C79C1">
            <w:pPr>
              <w:spacing w:before="0" w:after="120" w:line="240" w:lineRule="auto"/>
              <w:ind w:right="-57"/>
              <w:rPr>
                <w:rFonts w:ascii="Arial Narrow" w:hAnsi="Arial Narrow"/>
                <w:sz w:val="20"/>
                <w:lang w:eastAsia="en-US"/>
              </w:rPr>
            </w:pPr>
            <w:r w:rsidRPr="00687E00">
              <w:rPr>
                <w:rFonts w:ascii="Arial Narrow" w:hAnsi="Arial Narrow"/>
                <w:sz w:val="20"/>
                <w:lang w:eastAsia="en-US"/>
              </w:rPr>
              <w:t>The first search was performed on November 2011, with a final update on December 2012.</w:t>
            </w:r>
          </w:p>
          <w:p w14:paraId="22FE6412" w14:textId="77777777" w:rsidR="00803845" w:rsidRPr="00A153AE" w:rsidRDefault="00803845" w:rsidP="004C79C1">
            <w:pPr>
              <w:spacing w:before="0" w:after="120" w:line="240" w:lineRule="auto"/>
              <w:ind w:right="-57"/>
              <w:rPr>
                <w:rFonts w:ascii="Arial Narrow" w:hAnsi="Arial Narrow"/>
                <w:b/>
                <w:sz w:val="20"/>
                <w:lang w:eastAsia="en-US"/>
              </w:rPr>
            </w:pPr>
            <w:r w:rsidRPr="00A153AE">
              <w:rPr>
                <w:rFonts w:ascii="Arial Narrow" w:hAnsi="Arial Narrow"/>
                <w:b/>
                <w:sz w:val="20"/>
                <w:lang w:eastAsia="en-US"/>
              </w:rPr>
              <w:t>Databases searched:</w:t>
            </w:r>
          </w:p>
          <w:p w14:paraId="1451BF6A" w14:textId="77777777" w:rsidR="00803845" w:rsidRDefault="00803845" w:rsidP="004C79C1">
            <w:pPr>
              <w:spacing w:before="0" w:after="120" w:line="240" w:lineRule="auto"/>
              <w:ind w:right="-57"/>
              <w:rPr>
                <w:rFonts w:ascii="Arial Narrow" w:hAnsi="Arial Narrow"/>
                <w:sz w:val="20"/>
              </w:rPr>
            </w:pPr>
            <w:r w:rsidRPr="00BF196F">
              <w:rPr>
                <w:rFonts w:ascii="Arial Narrow" w:hAnsi="Arial Narrow"/>
                <w:sz w:val="20"/>
              </w:rPr>
              <w:t>MEDLINE and the Cochrane Central Register of Controlled Trials</w:t>
            </w:r>
          </w:p>
          <w:p w14:paraId="1F28F3D1" w14:textId="77777777" w:rsidR="00803845" w:rsidRPr="00A153AE" w:rsidRDefault="00803845" w:rsidP="004C79C1">
            <w:pPr>
              <w:spacing w:before="0" w:after="120" w:line="240" w:lineRule="auto"/>
              <w:ind w:right="-57"/>
              <w:rPr>
                <w:rFonts w:ascii="Arial Narrow" w:hAnsi="Arial Narrow"/>
                <w:b/>
                <w:sz w:val="20"/>
              </w:rPr>
            </w:pPr>
            <w:r w:rsidRPr="00A153AE">
              <w:rPr>
                <w:rFonts w:ascii="Arial Narrow" w:hAnsi="Arial Narrow"/>
                <w:b/>
                <w:sz w:val="20"/>
              </w:rPr>
              <w:t xml:space="preserve">Inclusion criteria: </w:t>
            </w:r>
          </w:p>
          <w:p w14:paraId="011E5625" w14:textId="77777777" w:rsidR="00803845" w:rsidRPr="00A153AE" w:rsidRDefault="00803845" w:rsidP="004C79C1">
            <w:pPr>
              <w:spacing w:before="0" w:after="120" w:line="240" w:lineRule="auto"/>
              <w:ind w:right="-57"/>
              <w:rPr>
                <w:rFonts w:ascii="Arial Narrow" w:hAnsi="Arial Narrow"/>
                <w:sz w:val="20"/>
              </w:rPr>
            </w:pPr>
            <w:r w:rsidRPr="00687E00">
              <w:rPr>
                <w:rFonts w:ascii="Arial Narrow" w:hAnsi="Arial Narrow"/>
                <w:sz w:val="20"/>
              </w:rPr>
              <w:t>RCT</w:t>
            </w:r>
            <w:r>
              <w:rPr>
                <w:rFonts w:ascii="Arial Narrow" w:hAnsi="Arial Narrow"/>
                <w:sz w:val="20"/>
              </w:rPr>
              <w:t>s</w:t>
            </w:r>
            <w:r w:rsidRPr="00687E00">
              <w:rPr>
                <w:rFonts w:ascii="Arial Narrow" w:hAnsi="Arial Narrow"/>
                <w:sz w:val="20"/>
              </w:rPr>
              <w:t xml:space="preserve"> or nRCSs </w:t>
            </w:r>
            <w:r>
              <w:rPr>
                <w:rFonts w:ascii="Arial Narrow" w:hAnsi="Arial Narrow"/>
                <w:sz w:val="20"/>
              </w:rPr>
              <w:t xml:space="preserve">(with </w:t>
            </w:r>
            <w:r w:rsidRPr="00687E00">
              <w:rPr>
                <w:rFonts w:ascii="Arial Narrow" w:hAnsi="Arial Narrow"/>
                <w:sz w:val="20"/>
              </w:rPr>
              <w:t>concurrent controls</w:t>
            </w:r>
            <w:r>
              <w:rPr>
                <w:rFonts w:ascii="Arial Narrow" w:hAnsi="Arial Narrow"/>
                <w:sz w:val="20"/>
              </w:rPr>
              <w:t>)</w:t>
            </w:r>
            <w:r w:rsidRPr="00687E00">
              <w:rPr>
                <w:rFonts w:ascii="Arial Narrow" w:hAnsi="Arial Narrow"/>
                <w:sz w:val="20"/>
              </w:rPr>
              <w:t xml:space="preserve"> were eligible if they provided relevant data directly comparing an ICD to no ICD, including antiarrhythmic drug treatment, or to different ICD interventions </w:t>
            </w:r>
            <w:r>
              <w:rPr>
                <w:rFonts w:ascii="Arial Narrow" w:hAnsi="Arial Narrow"/>
                <w:sz w:val="20"/>
              </w:rPr>
              <w:t>in patients</w:t>
            </w:r>
            <w:r w:rsidRPr="00BA07DF">
              <w:rPr>
                <w:rFonts w:ascii="Arial Narrow" w:hAnsi="Arial Narrow"/>
                <w:sz w:val="20"/>
              </w:rPr>
              <w:t xml:space="preserve"> potentially eligible to receive an ICD for primary prevention of SCD </w:t>
            </w:r>
            <w:r w:rsidRPr="00687E00">
              <w:rPr>
                <w:rFonts w:ascii="Arial Narrow" w:hAnsi="Arial Narrow"/>
                <w:sz w:val="20"/>
              </w:rPr>
              <w:t>and if they included at least 10 participants per study group.</w:t>
            </w:r>
          </w:p>
          <w:p w14:paraId="03DB8C48" w14:textId="77777777" w:rsidR="00803845" w:rsidRDefault="00803845" w:rsidP="004C79C1">
            <w:pPr>
              <w:spacing w:before="0" w:after="120" w:line="240" w:lineRule="auto"/>
              <w:ind w:right="-57"/>
              <w:rPr>
                <w:rFonts w:ascii="Arial Narrow" w:hAnsi="Arial Narrow"/>
                <w:sz w:val="20"/>
              </w:rPr>
            </w:pPr>
            <w:r w:rsidRPr="00A153AE">
              <w:rPr>
                <w:rFonts w:ascii="Arial Narrow" w:hAnsi="Arial Narrow"/>
                <w:b/>
                <w:sz w:val="20"/>
              </w:rPr>
              <w:t>Exclusion criteria:</w:t>
            </w:r>
            <w:r w:rsidRPr="00A153AE">
              <w:rPr>
                <w:rFonts w:ascii="Arial Narrow" w:hAnsi="Arial Narrow"/>
                <w:sz w:val="20"/>
              </w:rPr>
              <w:t xml:space="preserve"> </w:t>
            </w:r>
          </w:p>
          <w:p w14:paraId="18A15A89" w14:textId="77777777" w:rsidR="00803845" w:rsidRPr="00A153AE" w:rsidRDefault="00803845" w:rsidP="004C79C1">
            <w:pPr>
              <w:spacing w:before="0" w:after="120" w:line="240" w:lineRule="auto"/>
              <w:ind w:right="-57"/>
              <w:rPr>
                <w:rFonts w:ascii="Arial Narrow" w:hAnsi="Arial Narrow"/>
                <w:sz w:val="20"/>
              </w:rPr>
            </w:pPr>
            <w:r>
              <w:rPr>
                <w:rFonts w:ascii="Arial Narrow" w:hAnsi="Arial Narrow"/>
                <w:sz w:val="20"/>
              </w:rPr>
              <w:t>Not reported</w:t>
            </w:r>
          </w:p>
          <w:p w14:paraId="011AF779" w14:textId="77777777" w:rsidR="00803845" w:rsidRDefault="00803845" w:rsidP="004C79C1">
            <w:pPr>
              <w:tabs>
                <w:tab w:val="left" w:pos="2319"/>
              </w:tabs>
              <w:spacing w:before="0" w:after="120" w:line="240" w:lineRule="auto"/>
              <w:ind w:right="-57"/>
              <w:rPr>
                <w:rFonts w:ascii="Arial Narrow" w:hAnsi="Arial Narrow"/>
                <w:sz w:val="20"/>
              </w:rPr>
            </w:pPr>
            <w:r w:rsidRPr="00A153AE">
              <w:rPr>
                <w:rFonts w:ascii="Arial Narrow" w:hAnsi="Arial Narrow"/>
                <w:b/>
                <w:sz w:val="20"/>
              </w:rPr>
              <w:t>Number of included studies:</w:t>
            </w:r>
            <w:r>
              <w:rPr>
                <w:rFonts w:ascii="Arial Narrow" w:hAnsi="Arial Narrow"/>
                <w:b/>
                <w:sz w:val="20"/>
              </w:rPr>
              <w:tab/>
            </w:r>
            <w:r w:rsidRPr="00A153AE">
              <w:rPr>
                <w:rFonts w:ascii="Arial Narrow" w:hAnsi="Arial Narrow"/>
                <w:sz w:val="20"/>
              </w:rPr>
              <w:t>13</w:t>
            </w:r>
            <w:r>
              <w:rPr>
                <w:rFonts w:ascii="Arial Narrow" w:hAnsi="Arial Narrow"/>
                <w:sz w:val="20"/>
              </w:rPr>
              <w:t xml:space="preserve"> RCTs and 4 nRCSs</w:t>
            </w:r>
          </w:p>
          <w:p w14:paraId="02948BEC" w14:textId="6D571288" w:rsidR="00803845" w:rsidRPr="00A153AE" w:rsidRDefault="00803845" w:rsidP="004C79C1">
            <w:pPr>
              <w:spacing w:before="0" w:after="120" w:line="240" w:lineRule="auto"/>
              <w:ind w:left="2356" w:right="-57" w:hanging="1134"/>
              <w:rPr>
                <w:rFonts w:ascii="Arial Narrow" w:hAnsi="Arial Narrow"/>
                <w:sz w:val="20"/>
              </w:rPr>
            </w:pPr>
            <w:r>
              <w:rPr>
                <w:rFonts w:ascii="Arial Narrow" w:hAnsi="Arial Narrow"/>
                <w:sz w:val="20"/>
              </w:rPr>
              <w:tab/>
              <w:t>3 RCTs included patients with NIDCM</w:t>
            </w:r>
            <w:r>
              <w:rPr>
                <w:rFonts w:ascii="Arial Narrow" w:hAnsi="Arial Narrow"/>
                <w:sz w:val="20"/>
              </w:rPr>
              <w:br/>
              <w:t>1 RCT and 1 nRCS included patients with HF (non-ischaemic subgroup)</w:t>
            </w:r>
            <w:r>
              <w:rPr>
                <w:rFonts w:ascii="Arial Narrow" w:hAnsi="Arial Narrow"/>
                <w:sz w:val="20"/>
              </w:rPr>
              <w:br/>
              <w:t xml:space="preserve">1 nRCSs included patients with LVD </w:t>
            </w:r>
            <w:r w:rsidRPr="0001013B">
              <w:rPr>
                <w:rFonts w:ascii="Arial Narrow" w:hAnsi="Arial Narrow"/>
                <w:sz w:val="20"/>
              </w:rPr>
              <w:t>(non-ischaemic subgroup)</w:t>
            </w:r>
          </w:p>
        </w:tc>
        <w:tc>
          <w:tcPr>
            <w:tcW w:w="874" w:type="pct"/>
          </w:tcPr>
          <w:p w14:paraId="17C893CB"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All-cause mortality</w:t>
            </w:r>
          </w:p>
          <w:p w14:paraId="04DA869E" w14:textId="77777777" w:rsidR="00803845" w:rsidRPr="00A153AE" w:rsidRDefault="00803845" w:rsidP="004C79C1">
            <w:pPr>
              <w:spacing w:before="0" w:after="120" w:line="240" w:lineRule="auto"/>
              <w:ind w:left="176" w:right="-57" w:hanging="176"/>
              <w:rPr>
                <w:rFonts w:ascii="Arial Narrow" w:hAnsi="Arial Narrow"/>
                <w:sz w:val="20"/>
              </w:rPr>
            </w:pPr>
            <w:r>
              <w:rPr>
                <w:rFonts w:ascii="Arial Narrow" w:hAnsi="Arial Narrow"/>
                <w:sz w:val="20"/>
              </w:rPr>
              <w:t>A</w:t>
            </w:r>
            <w:r w:rsidRPr="00A153AE">
              <w:rPr>
                <w:rFonts w:ascii="Arial Narrow" w:hAnsi="Arial Narrow"/>
                <w:sz w:val="20"/>
              </w:rPr>
              <w:t>rrhythmi</w:t>
            </w:r>
            <w:r>
              <w:rPr>
                <w:rFonts w:ascii="Arial Narrow" w:hAnsi="Arial Narrow"/>
                <w:sz w:val="20"/>
              </w:rPr>
              <w:t>c deaths</w:t>
            </w:r>
          </w:p>
        </w:tc>
      </w:tr>
    </w:tbl>
    <w:p w14:paraId="7B863841" w14:textId="1D315A05" w:rsidR="00803845" w:rsidRPr="008B38AE" w:rsidRDefault="00D132FE" w:rsidP="004C79C1">
      <w:pPr>
        <w:spacing w:after="120" w:line="240" w:lineRule="auto"/>
        <w:jc w:val="both"/>
        <w:rPr>
          <w:rFonts w:ascii="Arial Narrow" w:hAnsi="Arial Narrow"/>
          <w:sz w:val="20"/>
          <w:szCs w:val="20"/>
          <w:lang w:eastAsia="en-US"/>
        </w:rPr>
      </w:pPr>
      <w:r w:rsidRPr="00BA665C">
        <w:rPr>
          <w:rFonts w:ascii="Arial Narrow" w:hAnsi="Arial Narrow"/>
          <w:sz w:val="20"/>
          <w:szCs w:val="20"/>
          <w:lang w:eastAsia="en-US"/>
        </w:rPr>
        <w:t xml:space="preserve">CRT = </w:t>
      </w:r>
      <w:r w:rsidR="00785C3C" w:rsidRPr="00BA665C">
        <w:rPr>
          <w:rFonts w:ascii="Arial Narrow" w:hAnsi="Arial Narrow"/>
          <w:sz w:val="20"/>
          <w:szCs w:val="20"/>
        </w:rPr>
        <w:t>cardiac resynchronisation therapy</w:t>
      </w:r>
      <w:r w:rsidRPr="00BA665C">
        <w:rPr>
          <w:rFonts w:ascii="Arial Narrow" w:hAnsi="Arial Narrow"/>
          <w:sz w:val="20"/>
          <w:szCs w:val="20"/>
          <w:lang w:eastAsia="en-US"/>
        </w:rPr>
        <w:t xml:space="preserve">; </w:t>
      </w:r>
      <w:r w:rsidR="00803845" w:rsidRPr="008B38AE">
        <w:rPr>
          <w:rFonts w:ascii="Arial Narrow" w:hAnsi="Arial Narrow"/>
          <w:sz w:val="20"/>
          <w:szCs w:val="20"/>
          <w:lang w:eastAsia="en-US"/>
        </w:rPr>
        <w:t>CRT-P = cardiac resynchronisation therapy using biventricular pacing; CRT-D = cardiac resynchronisation therapy</w:t>
      </w:r>
      <w:r w:rsidR="00803845" w:rsidRPr="00BA665C">
        <w:rPr>
          <w:rFonts w:ascii="Arial Narrow" w:hAnsi="Arial Narrow"/>
          <w:sz w:val="20"/>
          <w:szCs w:val="20"/>
        </w:rPr>
        <w:t xml:space="preserve"> </w:t>
      </w:r>
      <w:r w:rsidR="00803845" w:rsidRPr="008B38AE">
        <w:rPr>
          <w:rFonts w:ascii="Arial Narrow" w:hAnsi="Arial Narrow"/>
          <w:sz w:val="20"/>
          <w:szCs w:val="20"/>
          <w:lang w:eastAsia="en-US"/>
        </w:rPr>
        <w:t xml:space="preserve">using biventricular pacing and defibrillation; </w:t>
      </w:r>
      <w:r w:rsidR="00EE36CE" w:rsidRPr="008B38AE">
        <w:rPr>
          <w:rFonts w:ascii="Arial Narrow" w:hAnsi="Arial Narrow"/>
          <w:sz w:val="20"/>
          <w:szCs w:val="20"/>
          <w:lang w:eastAsia="en-US"/>
        </w:rPr>
        <w:t xml:space="preserve">DCM = </w:t>
      </w:r>
      <w:r w:rsidR="00785C3C" w:rsidRPr="00BA665C">
        <w:rPr>
          <w:rFonts w:ascii="Arial Narrow" w:hAnsi="Arial Narrow"/>
          <w:sz w:val="20"/>
          <w:szCs w:val="20"/>
        </w:rPr>
        <w:t>dilated cardiomyopathy</w:t>
      </w:r>
      <w:r w:rsidR="00EE36CE" w:rsidRPr="008B38AE">
        <w:rPr>
          <w:rFonts w:ascii="Arial Narrow" w:hAnsi="Arial Narrow"/>
          <w:sz w:val="20"/>
          <w:szCs w:val="20"/>
          <w:lang w:eastAsia="en-US"/>
        </w:rPr>
        <w:t xml:space="preserve">; </w:t>
      </w:r>
      <w:r w:rsidR="00CB1A3E" w:rsidRPr="008B38AE">
        <w:rPr>
          <w:rFonts w:ascii="Arial Narrow" w:hAnsi="Arial Narrow"/>
          <w:sz w:val="20"/>
          <w:szCs w:val="20"/>
          <w:lang w:eastAsia="en-US"/>
        </w:rPr>
        <w:t xml:space="preserve">HF = </w:t>
      </w:r>
      <w:r w:rsidR="00785C3C" w:rsidRPr="008B38AE">
        <w:rPr>
          <w:rFonts w:ascii="Arial Narrow" w:hAnsi="Arial Narrow"/>
          <w:sz w:val="20"/>
          <w:szCs w:val="20"/>
          <w:lang w:eastAsia="en-US"/>
        </w:rPr>
        <w:t>heart failure</w:t>
      </w:r>
      <w:r w:rsidR="00CB1A3E"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HRQoL = </w:t>
      </w:r>
      <w:r w:rsidR="00785C3C" w:rsidRPr="00BA665C">
        <w:rPr>
          <w:rFonts w:ascii="Arial Narrow" w:hAnsi="Arial Narrow"/>
          <w:color w:val="000000"/>
          <w:sz w:val="20"/>
          <w:szCs w:val="20"/>
        </w:rPr>
        <w:t>health-related quality of life</w:t>
      </w:r>
      <w:r w:rsidRPr="008B38AE">
        <w:rPr>
          <w:rFonts w:ascii="Arial Narrow" w:hAnsi="Arial Narrow"/>
          <w:sz w:val="20"/>
          <w:szCs w:val="20"/>
          <w:lang w:eastAsia="en-US"/>
        </w:rPr>
        <w:t xml:space="preserve">; </w:t>
      </w:r>
      <w:r w:rsidR="00EE36CE" w:rsidRPr="008B38AE">
        <w:rPr>
          <w:rFonts w:ascii="Arial Narrow" w:hAnsi="Arial Narrow"/>
          <w:sz w:val="20"/>
          <w:szCs w:val="20"/>
          <w:lang w:eastAsia="en-US"/>
        </w:rPr>
        <w:t xml:space="preserve">HTA = </w:t>
      </w:r>
      <w:r w:rsidR="004238CE" w:rsidRPr="00BA665C">
        <w:rPr>
          <w:rFonts w:ascii="Arial Narrow" w:hAnsi="Arial Narrow"/>
          <w:sz w:val="20"/>
          <w:szCs w:val="20"/>
        </w:rPr>
        <w:t>health technology assessment</w:t>
      </w:r>
      <w:r w:rsidR="00EE36CE" w:rsidRPr="008B38AE">
        <w:rPr>
          <w:rFonts w:ascii="Arial Narrow" w:hAnsi="Arial Narrow"/>
          <w:sz w:val="20"/>
          <w:szCs w:val="20"/>
          <w:lang w:eastAsia="en-US"/>
        </w:rPr>
        <w:t xml:space="preserve">; ICD = </w:t>
      </w:r>
      <w:r w:rsidR="004238CE" w:rsidRPr="00BA665C">
        <w:rPr>
          <w:rFonts w:ascii="Arial Narrow" w:hAnsi="Arial Narrow"/>
          <w:sz w:val="20"/>
          <w:szCs w:val="20"/>
        </w:rPr>
        <w:t xml:space="preserve">implantable </w:t>
      </w:r>
      <w:r w:rsidR="0026063B">
        <w:rPr>
          <w:rFonts w:ascii="Arial Narrow" w:hAnsi="Arial Narrow"/>
          <w:sz w:val="20"/>
          <w:szCs w:val="20"/>
        </w:rPr>
        <w:t>cardioverter defibrillator</w:t>
      </w:r>
      <w:r w:rsidR="00EE36CE"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LVEF = </w:t>
      </w:r>
      <w:r w:rsidR="004238CE" w:rsidRPr="00BA665C">
        <w:rPr>
          <w:rFonts w:ascii="Arial Narrow" w:hAnsi="Arial Narrow"/>
          <w:sz w:val="20"/>
          <w:szCs w:val="20"/>
        </w:rPr>
        <w:t>left ventricular ejection fraction</w:t>
      </w:r>
      <w:r w:rsidRPr="008B38AE">
        <w:rPr>
          <w:rFonts w:ascii="Arial Narrow" w:hAnsi="Arial Narrow"/>
          <w:sz w:val="20"/>
          <w:szCs w:val="20"/>
          <w:lang w:eastAsia="en-US"/>
        </w:rPr>
        <w:t xml:space="preserve">; </w:t>
      </w:r>
      <w:r w:rsidR="00803845" w:rsidRPr="008B38AE">
        <w:rPr>
          <w:rFonts w:ascii="Arial Narrow" w:hAnsi="Arial Narrow"/>
          <w:sz w:val="20"/>
          <w:szCs w:val="20"/>
          <w:lang w:eastAsia="en-US"/>
        </w:rPr>
        <w:t xml:space="preserve">LVSD = left ventricular systolic dysfunction; </w:t>
      </w:r>
      <w:r w:rsidR="00CB1A3E" w:rsidRPr="008B38AE">
        <w:rPr>
          <w:rFonts w:ascii="Arial Narrow" w:hAnsi="Arial Narrow"/>
          <w:sz w:val="20"/>
          <w:szCs w:val="20"/>
          <w:lang w:eastAsia="en-US"/>
        </w:rPr>
        <w:t xml:space="preserve">NHMRC = </w:t>
      </w:r>
      <w:r w:rsidR="004238CE" w:rsidRPr="00BA665C">
        <w:rPr>
          <w:rFonts w:ascii="Arial Narrow" w:hAnsi="Arial Narrow"/>
          <w:color w:val="000000"/>
          <w:sz w:val="20"/>
          <w:szCs w:val="20"/>
        </w:rPr>
        <w:t>National Health and Medical Research Council</w:t>
      </w:r>
      <w:r w:rsidR="00CB1A3E"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NIDCM = </w:t>
      </w:r>
      <w:r w:rsidR="00EC5659" w:rsidRPr="00BA665C">
        <w:rPr>
          <w:rFonts w:ascii="Arial Narrow" w:hAnsi="Arial Narrow"/>
          <w:color w:val="000000"/>
          <w:sz w:val="20"/>
          <w:szCs w:val="20"/>
        </w:rPr>
        <w:t>non-ischaemic dilated cardiomyopathy</w:t>
      </w:r>
      <w:r w:rsidRPr="008B38AE">
        <w:rPr>
          <w:rFonts w:ascii="Arial Narrow" w:hAnsi="Arial Narrow"/>
          <w:sz w:val="20"/>
          <w:szCs w:val="20"/>
          <w:lang w:eastAsia="en-US"/>
        </w:rPr>
        <w:t xml:space="preserve">; </w:t>
      </w:r>
      <w:r w:rsidR="00803845" w:rsidRPr="008B38AE">
        <w:rPr>
          <w:rFonts w:ascii="Arial Narrow" w:hAnsi="Arial Narrow"/>
          <w:sz w:val="20"/>
          <w:szCs w:val="20"/>
          <w:lang w:eastAsia="en-US"/>
        </w:rPr>
        <w:t xml:space="preserve">NICE = National Institute for Health and Care Excellence; nRCS = non-randomised comparative studies; </w:t>
      </w:r>
      <w:r w:rsidRPr="008B38AE">
        <w:rPr>
          <w:rFonts w:ascii="Arial Narrow" w:hAnsi="Arial Narrow"/>
          <w:sz w:val="20"/>
          <w:szCs w:val="20"/>
          <w:lang w:eastAsia="en-US"/>
        </w:rPr>
        <w:t xml:space="preserve">NYHA = </w:t>
      </w:r>
      <w:r w:rsidR="00EC5659" w:rsidRPr="00BA665C">
        <w:rPr>
          <w:rFonts w:ascii="Arial Narrow" w:eastAsiaTheme="minorEastAsia" w:hAnsi="Arial Narrow" w:cstheme="minorBidi"/>
          <w:iCs/>
          <w:sz w:val="20"/>
          <w:szCs w:val="20"/>
          <w:lang w:eastAsia="en-US"/>
        </w:rPr>
        <w:t>New York Heart Association</w:t>
      </w:r>
      <w:r w:rsidRPr="008B38AE">
        <w:rPr>
          <w:rFonts w:ascii="Arial Narrow" w:hAnsi="Arial Narrow"/>
          <w:sz w:val="20"/>
          <w:szCs w:val="20"/>
          <w:lang w:eastAsia="en-US"/>
        </w:rPr>
        <w:t xml:space="preserve">; </w:t>
      </w:r>
      <w:r w:rsidR="00EE36CE" w:rsidRPr="008B38AE">
        <w:rPr>
          <w:rFonts w:ascii="Arial Narrow" w:hAnsi="Arial Narrow"/>
          <w:sz w:val="20"/>
          <w:szCs w:val="20"/>
          <w:lang w:eastAsia="en-US"/>
        </w:rPr>
        <w:t xml:space="preserve">OMT = </w:t>
      </w:r>
      <w:r w:rsidR="00EC5659" w:rsidRPr="008B38AE">
        <w:rPr>
          <w:rFonts w:ascii="Arial Narrow" w:hAnsi="Arial Narrow"/>
          <w:sz w:val="20"/>
          <w:szCs w:val="20"/>
          <w:lang w:eastAsia="en-US"/>
        </w:rPr>
        <w:t>optimal medical treatment</w:t>
      </w:r>
      <w:r w:rsidR="00EE36CE" w:rsidRPr="008B38AE">
        <w:rPr>
          <w:rFonts w:ascii="Arial Narrow" w:hAnsi="Arial Narrow"/>
          <w:sz w:val="20"/>
          <w:szCs w:val="20"/>
          <w:lang w:eastAsia="en-US"/>
        </w:rPr>
        <w:t xml:space="preserve">; </w:t>
      </w:r>
      <w:r w:rsidR="00803845" w:rsidRPr="008B38AE">
        <w:rPr>
          <w:rFonts w:ascii="Arial Narrow" w:hAnsi="Arial Narrow"/>
          <w:sz w:val="20"/>
          <w:szCs w:val="20"/>
          <w:lang w:eastAsia="en-US"/>
        </w:rPr>
        <w:t>OPT = optimal pharmacological therapy;</w:t>
      </w:r>
      <w:r w:rsidR="00CB1A3E"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RCT = </w:t>
      </w:r>
      <w:r w:rsidR="00EC5659" w:rsidRPr="00BA665C">
        <w:rPr>
          <w:rFonts w:ascii="Arial Narrow" w:hAnsi="Arial Narrow"/>
          <w:sz w:val="20"/>
          <w:szCs w:val="20"/>
        </w:rPr>
        <w:t>randomised controlled trial</w:t>
      </w:r>
      <w:r w:rsidR="0086186D">
        <w:rPr>
          <w:rFonts w:ascii="Arial Narrow" w:hAnsi="Arial Narrow"/>
          <w:sz w:val="20"/>
          <w:szCs w:val="20"/>
        </w:rPr>
        <w:t>;</w:t>
      </w:r>
      <w:r w:rsidR="00EC5659" w:rsidRPr="008B38AE">
        <w:rPr>
          <w:rFonts w:ascii="Arial Narrow" w:hAnsi="Arial Narrow"/>
          <w:sz w:val="20"/>
          <w:szCs w:val="20"/>
          <w:lang w:eastAsia="en-US"/>
        </w:rPr>
        <w:t xml:space="preserve"> </w:t>
      </w:r>
      <w:r w:rsidRPr="008B38AE">
        <w:rPr>
          <w:rFonts w:ascii="Arial Narrow" w:hAnsi="Arial Narrow"/>
          <w:sz w:val="20"/>
          <w:szCs w:val="20"/>
          <w:lang w:eastAsia="en-US"/>
        </w:rPr>
        <w:t xml:space="preserve">SCD = </w:t>
      </w:r>
      <w:r w:rsidR="00EC5659" w:rsidRPr="00BA665C">
        <w:rPr>
          <w:rFonts w:ascii="Arial Narrow" w:hAnsi="Arial Narrow"/>
          <w:sz w:val="20"/>
          <w:szCs w:val="20"/>
        </w:rPr>
        <w:t>sudden cardiac death</w:t>
      </w:r>
      <w:r w:rsidRPr="008B38AE">
        <w:rPr>
          <w:rFonts w:ascii="Arial Narrow" w:hAnsi="Arial Narrow"/>
          <w:sz w:val="20"/>
          <w:szCs w:val="20"/>
          <w:lang w:eastAsia="en-US"/>
        </w:rPr>
        <w:t xml:space="preserve">; </w:t>
      </w:r>
      <w:r w:rsidR="00CB1A3E" w:rsidRPr="008B38AE">
        <w:rPr>
          <w:rFonts w:ascii="Arial Narrow" w:hAnsi="Arial Narrow"/>
          <w:sz w:val="20"/>
          <w:szCs w:val="20"/>
          <w:lang w:eastAsia="en-US"/>
        </w:rPr>
        <w:t xml:space="preserve">VA = </w:t>
      </w:r>
      <w:r w:rsidR="008B6BB3" w:rsidRPr="00BA665C">
        <w:rPr>
          <w:rFonts w:ascii="Arial Narrow" w:hAnsi="Arial Narrow"/>
          <w:sz w:val="20"/>
          <w:szCs w:val="20"/>
        </w:rPr>
        <w:t>ventricular arrhythmia</w:t>
      </w:r>
    </w:p>
    <w:p w14:paraId="67290B53" w14:textId="73DF44ED" w:rsidR="00803845" w:rsidRDefault="00050936" w:rsidP="004C79C1">
      <w:pPr>
        <w:pStyle w:val="Caption"/>
        <w:keepNext/>
      </w:pPr>
      <w:bookmarkStart w:id="830" w:name="_Toc324410259"/>
      <w:bookmarkStart w:id="831" w:name="_Toc451435410"/>
      <w:r>
        <w:lastRenderedPageBreak/>
        <w:t xml:space="preserve">Table </w:t>
      </w:r>
      <w:fldSimple w:instr=" SEQ Table \* ARABIC ">
        <w:r>
          <w:rPr>
            <w:noProof/>
          </w:rPr>
          <w:t>83</w:t>
        </w:r>
      </w:fldSimple>
      <w:r w:rsidR="00803845">
        <w:tab/>
      </w:r>
      <w:r w:rsidR="00803845" w:rsidRPr="00A153AE">
        <w:t xml:space="preserve">Study profiles of included RCTs </w:t>
      </w:r>
      <w:r w:rsidR="00803845">
        <w:t xml:space="preserve">and nRCSs </w:t>
      </w:r>
      <w:r w:rsidR="00803845" w:rsidRPr="00A153AE">
        <w:t xml:space="preserve">comparing ICD with optimal </w:t>
      </w:r>
      <w:r w:rsidR="00803845">
        <w:t>pharmaceutical treatment in DCM (therapeutic effectiveness)</w:t>
      </w:r>
      <w:bookmarkEnd w:id="830"/>
      <w:bookmarkEnd w:id="831"/>
    </w:p>
    <w:tbl>
      <w:tblPr>
        <w:tblStyle w:val="TableGrid3"/>
        <w:tblW w:w="5000" w:type="pct"/>
        <w:tblLook w:val="04A0" w:firstRow="1" w:lastRow="0" w:firstColumn="1" w:lastColumn="0" w:noHBand="0" w:noVBand="1"/>
        <w:tblCaption w:val="Study profiles of included RCTs and nRCSs comparing ICD with optimal pharmaceutical treatment in DCM (therapeutic effectiveness)"/>
      </w:tblPr>
      <w:tblGrid>
        <w:gridCol w:w="1405"/>
        <w:gridCol w:w="2685"/>
        <w:gridCol w:w="2688"/>
        <w:gridCol w:w="2048"/>
        <w:gridCol w:w="2814"/>
        <w:gridCol w:w="1536"/>
      </w:tblGrid>
      <w:tr w:rsidR="00803845" w:rsidRPr="00A153AE" w14:paraId="4E0F8557" w14:textId="77777777" w:rsidTr="00BE5D7C">
        <w:trPr>
          <w:tblHeader/>
        </w:trPr>
        <w:tc>
          <w:tcPr>
            <w:tcW w:w="533" w:type="pct"/>
          </w:tcPr>
          <w:p w14:paraId="2CA456C8" w14:textId="7641003B"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 xml:space="preserve">Study, country </w:t>
            </w:r>
            <w:r w:rsidRPr="00A153AE">
              <w:rPr>
                <w:rFonts w:ascii="Arial Narrow" w:hAnsi="Arial Narrow"/>
                <w:b/>
                <w:sz w:val="20"/>
              </w:rPr>
              <w:br/>
            </w:r>
            <w:r w:rsidR="00981697">
              <w:rPr>
                <w:rFonts w:ascii="Arial Narrow" w:hAnsi="Arial Narrow"/>
                <w:b/>
                <w:sz w:val="20"/>
              </w:rPr>
              <w:t>L</w:t>
            </w:r>
            <w:r w:rsidRPr="00A153AE">
              <w:rPr>
                <w:rFonts w:ascii="Arial Narrow" w:hAnsi="Arial Narrow"/>
                <w:b/>
                <w:sz w:val="20"/>
              </w:rPr>
              <w:t>evel of evidence</w:t>
            </w:r>
            <w:r w:rsidRPr="00A153AE">
              <w:rPr>
                <w:rFonts w:ascii="Arial Narrow" w:hAnsi="Arial Narrow"/>
                <w:b/>
                <w:sz w:val="20"/>
              </w:rPr>
              <w:br/>
            </w:r>
            <w:r w:rsidR="00981697">
              <w:rPr>
                <w:rFonts w:ascii="Arial Narrow" w:hAnsi="Arial Narrow"/>
                <w:b/>
                <w:sz w:val="20"/>
              </w:rPr>
              <w:t>Q</w:t>
            </w:r>
            <w:r w:rsidRPr="00A153AE">
              <w:rPr>
                <w:rFonts w:ascii="Arial Narrow" w:hAnsi="Arial Narrow"/>
                <w:b/>
                <w:sz w:val="20"/>
              </w:rPr>
              <w:t>uality appraisal</w:t>
            </w:r>
          </w:p>
        </w:tc>
        <w:tc>
          <w:tcPr>
            <w:tcW w:w="1019" w:type="pct"/>
          </w:tcPr>
          <w:p w14:paraId="37A1F226" w14:textId="77777777" w:rsidR="00803845" w:rsidRPr="00A153AE" w:rsidRDefault="00803845" w:rsidP="004C79C1">
            <w:pPr>
              <w:keepNext/>
              <w:tabs>
                <w:tab w:val="left" w:pos="89"/>
              </w:tabs>
              <w:spacing w:before="0" w:after="120" w:line="240" w:lineRule="auto"/>
              <w:ind w:right="-57"/>
              <w:rPr>
                <w:rFonts w:ascii="Arial Narrow" w:hAnsi="Arial Narrow"/>
                <w:b/>
                <w:sz w:val="20"/>
              </w:rPr>
            </w:pPr>
            <w:r w:rsidRPr="00A153AE">
              <w:rPr>
                <w:rFonts w:ascii="Arial Narrow" w:hAnsi="Arial Narrow"/>
                <w:b/>
                <w:sz w:val="20"/>
              </w:rPr>
              <w:t>Population</w:t>
            </w:r>
          </w:p>
        </w:tc>
        <w:tc>
          <w:tcPr>
            <w:tcW w:w="1020" w:type="pct"/>
          </w:tcPr>
          <w:p w14:paraId="5AD37E2F"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Inclusion criteria / exclusion criteria</w:t>
            </w:r>
          </w:p>
        </w:tc>
        <w:tc>
          <w:tcPr>
            <w:tcW w:w="777" w:type="pct"/>
          </w:tcPr>
          <w:p w14:paraId="7E9CBDDE"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Intervention</w:t>
            </w:r>
          </w:p>
        </w:tc>
        <w:tc>
          <w:tcPr>
            <w:tcW w:w="1068" w:type="pct"/>
          </w:tcPr>
          <w:p w14:paraId="5E2CE3F5"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Control</w:t>
            </w:r>
          </w:p>
        </w:tc>
        <w:tc>
          <w:tcPr>
            <w:tcW w:w="583" w:type="pct"/>
          </w:tcPr>
          <w:p w14:paraId="7B322703"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Outcomes assessed</w:t>
            </w:r>
          </w:p>
        </w:tc>
      </w:tr>
      <w:tr w:rsidR="00803845" w:rsidRPr="00A153AE" w14:paraId="3B89E9A1" w14:textId="77777777" w:rsidTr="00BE5D7C">
        <w:tc>
          <w:tcPr>
            <w:tcW w:w="533" w:type="pct"/>
          </w:tcPr>
          <w:p w14:paraId="447B4022"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AMIOVIRT trial</w:t>
            </w:r>
          </w:p>
          <w:p w14:paraId="475836E9" w14:textId="77777777" w:rsidR="00803845" w:rsidRPr="00A153AE" w:rsidRDefault="00803845" w:rsidP="004C79C1">
            <w:pPr>
              <w:spacing w:before="0" w:after="120" w:line="240" w:lineRule="auto"/>
              <w:rPr>
                <w:rFonts w:ascii="Arial Narrow" w:hAnsi="Arial Narrow" w:cs="Arial Narrow"/>
                <w:bCs/>
                <w:sz w:val="20"/>
              </w:rPr>
            </w:pPr>
          </w:p>
          <w:p w14:paraId="1E3F6B54"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Strickberger et al. (2003)</w:t>
            </w:r>
          </w:p>
          <w:p w14:paraId="02053176" w14:textId="77777777" w:rsidR="00803845" w:rsidRPr="00A153AE" w:rsidRDefault="00803845" w:rsidP="004C79C1">
            <w:pPr>
              <w:spacing w:before="0" w:after="120" w:line="240" w:lineRule="auto"/>
              <w:rPr>
                <w:rFonts w:ascii="Arial Narrow" w:hAnsi="Arial Narrow" w:cs="Arial Narrow"/>
                <w:bCs/>
                <w:sz w:val="20"/>
              </w:rPr>
            </w:pPr>
          </w:p>
          <w:p w14:paraId="1C473B55"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USA</w:t>
            </w:r>
          </w:p>
          <w:p w14:paraId="73BBFFF3" w14:textId="77777777" w:rsidR="00803845" w:rsidRPr="00A153AE" w:rsidRDefault="00803845" w:rsidP="004C79C1">
            <w:pPr>
              <w:spacing w:before="0" w:after="120" w:line="240" w:lineRule="auto"/>
              <w:ind w:right="-57"/>
              <w:rPr>
                <w:rFonts w:ascii="Arial Narrow" w:hAnsi="Arial Narrow" w:cs="Arial Narrow"/>
                <w:bCs/>
                <w:sz w:val="20"/>
              </w:rPr>
            </w:pPr>
          </w:p>
          <w:p w14:paraId="0E56F67B" w14:textId="77777777" w:rsidR="00803845" w:rsidRPr="00A153AE" w:rsidRDefault="00803845" w:rsidP="004C79C1">
            <w:pPr>
              <w:spacing w:before="0" w:after="120" w:line="240" w:lineRule="auto"/>
              <w:ind w:right="-57"/>
              <w:rPr>
                <w:rFonts w:ascii="Arial Narrow" w:hAnsi="Arial Narrow" w:cs="Arial Narrow"/>
                <w:bCs/>
                <w:sz w:val="20"/>
              </w:rPr>
            </w:pPr>
            <w:r w:rsidRPr="00A153AE">
              <w:rPr>
                <w:rFonts w:ascii="Arial Narrow" w:hAnsi="Arial Narrow" w:cs="Arial Narrow"/>
                <w:bCs/>
                <w:sz w:val="20"/>
              </w:rPr>
              <w:t>NHMRC Level II</w:t>
            </w:r>
          </w:p>
          <w:p w14:paraId="393A810F" w14:textId="77777777" w:rsidR="00803845" w:rsidRPr="00A153AE" w:rsidRDefault="00803845" w:rsidP="004C79C1">
            <w:pPr>
              <w:spacing w:before="0" w:after="120" w:line="240" w:lineRule="auto"/>
              <w:ind w:right="-57"/>
              <w:rPr>
                <w:rFonts w:ascii="Arial Narrow" w:hAnsi="Arial Narrow" w:cs="Arial Narrow"/>
                <w:bCs/>
                <w:sz w:val="20"/>
              </w:rPr>
            </w:pPr>
          </w:p>
          <w:p w14:paraId="1475F504"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SIGN</w:t>
            </w:r>
            <w:r>
              <w:rPr>
                <w:rFonts w:ascii="Arial Narrow" w:hAnsi="Arial Narrow" w:cs="Arial Narrow"/>
                <w:bCs/>
                <w:sz w:val="20"/>
              </w:rPr>
              <w:t xml:space="preserve"> RCT</w:t>
            </w:r>
            <w:r w:rsidRPr="00A153AE">
              <w:rPr>
                <w:rFonts w:ascii="Arial Narrow" w:hAnsi="Arial Narrow" w:cs="Arial Narrow"/>
                <w:bCs/>
                <w:sz w:val="20"/>
              </w:rPr>
              <w:t>: High quality with a low risk of bias</w:t>
            </w:r>
          </w:p>
        </w:tc>
        <w:tc>
          <w:tcPr>
            <w:tcW w:w="1019" w:type="pct"/>
          </w:tcPr>
          <w:p w14:paraId="0C4568C2" w14:textId="654801E5"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N=103 patients with NIDCM, LVEF ≤0.35, and asymptomatic NSVT were randomi</w:t>
            </w:r>
            <w:r w:rsidR="00981697">
              <w:rPr>
                <w:rFonts w:ascii="Arial Narrow" w:hAnsi="Arial Narrow" w:cs="Arial Narrow"/>
                <w:bCs/>
                <w:sz w:val="20"/>
              </w:rPr>
              <w:t>s</w:t>
            </w:r>
            <w:r w:rsidRPr="00A153AE">
              <w:rPr>
                <w:rFonts w:ascii="Arial Narrow" w:hAnsi="Arial Narrow" w:cs="Arial Narrow"/>
                <w:bCs/>
                <w:sz w:val="20"/>
              </w:rPr>
              <w:t>ed to receive either amiodarone or an ICD</w:t>
            </w:r>
            <w:r>
              <w:rPr>
                <w:rFonts w:ascii="Arial Narrow" w:hAnsi="Arial Narrow" w:cs="Arial Narrow"/>
                <w:bCs/>
                <w:sz w:val="20"/>
              </w:rPr>
              <w:t xml:space="preserve"> in addition to OPT</w:t>
            </w:r>
            <w:r w:rsidRPr="00A153AE">
              <w:rPr>
                <w:rFonts w:ascii="Arial Narrow" w:hAnsi="Arial Narrow" w:cs="Arial Narrow"/>
                <w:bCs/>
                <w:sz w:val="20"/>
              </w:rPr>
              <w:t>.</w:t>
            </w:r>
          </w:p>
          <w:p w14:paraId="01CC252D" w14:textId="77777777" w:rsidR="00981697"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I</w:t>
            </w:r>
            <w:r>
              <w:rPr>
                <w:rFonts w:ascii="Arial Narrow" w:hAnsi="Arial Narrow" w:cs="Arial Narrow"/>
                <w:b/>
                <w:bCs/>
                <w:sz w:val="20"/>
              </w:rPr>
              <w:t>ntervention</w:t>
            </w:r>
            <w:r w:rsidRPr="00A153AE">
              <w:rPr>
                <w:rFonts w:ascii="Arial Narrow" w:hAnsi="Arial Narrow" w:cs="Arial Narrow"/>
                <w:b/>
                <w:bCs/>
                <w:sz w:val="20"/>
              </w:rPr>
              <w:t xml:space="preserve"> group</w:t>
            </w:r>
            <w:r w:rsidRPr="00A153AE">
              <w:rPr>
                <w:rFonts w:ascii="Arial Narrow" w:hAnsi="Arial Narrow" w:cs="Arial Narrow"/>
                <w:bCs/>
                <w:sz w:val="20"/>
              </w:rPr>
              <w:t xml:space="preserve">: </w:t>
            </w:r>
          </w:p>
          <w:p w14:paraId="0FAAE9AF"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58 ± 11 years; </w:t>
            </w:r>
          </w:p>
          <w:p w14:paraId="11E18B09"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67% male; </w:t>
            </w:r>
          </w:p>
          <w:p w14:paraId="48E06320"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duration of NIDCM = 2.9 ± 4.0 years; </w:t>
            </w:r>
          </w:p>
          <w:p w14:paraId="4EB4829B"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42%; </w:t>
            </w:r>
          </w:p>
          <w:p w14:paraId="6274BB79"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RBBB = 16%; </w:t>
            </w:r>
          </w:p>
          <w:p w14:paraId="0FCBE121"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LVEF = 22 ± 10%; </w:t>
            </w:r>
          </w:p>
          <w:p w14:paraId="5DD086D5" w14:textId="167DA94D"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NYHA class: I = 18%, II = 64%, III = 16%; CAD &gt;70% = 5%</w:t>
            </w:r>
          </w:p>
          <w:p w14:paraId="5AE878E2" w14:textId="77777777" w:rsidR="00981697"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Control group</w:t>
            </w:r>
            <w:r w:rsidRPr="00A153AE">
              <w:rPr>
                <w:rFonts w:ascii="Arial Narrow" w:hAnsi="Arial Narrow" w:cs="Arial Narrow"/>
                <w:bCs/>
                <w:sz w:val="20"/>
              </w:rPr>
              <w:t xml:space="preserve">: </w:t>
            </w:r>
          </w:p>
          <w:p w14:paraId="75548C7E"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60 ± 12 years; </w:t>
            </w:r>
          </w:p>
          <w:p w14:paraId="2F94B573"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74% male; </w:t>
            </w:r>
          </w:p>
          <w:p w14:paraId="1915454B"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duration of NIDCM = 3.5 ± 3.9 years; </w:t>
            </w:r>
          </w:p>
          <w:p w14:paraId="63694D7F"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53%; </w:t>
            </w:r>
          </w:p>
          <w:p w14:paraId="7020B593" w14:textId="77777777" w:rsidR="00981697"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RBBB = 8%; </w:t>
            </w:r>
          </w:p>
          <w:p w14:paraId="680C9EC9" w14:textId="77777777" w:rsidR="00AB7471"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lastRenderedPageBreak/>
              <w:t xml:space="preserve">mean LVEF = 23 ± 8%; </w:t>
            </w:r>
          </w:p>
          <w:p w14:paraId="1B365662" w14:textId="77777777" w:rsidR="008C51B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NYHA class: I = 13%, II = 63%, III = 24%; </w:t>
            </w:r>
          </w:p>
          <w:p w14:paraId="23D1879A" w14:textId="6DD4B328"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CAD &gt;70% = 11%</w:t>
            </w:r>
          </w:p>
        </w:tc>
        <w:tc>
          <w:tcPr>
            <w:tcW w:w="1020" w:type="pct"/>
          </w:tcPr>
          <w:p w14:paraId="384BD9D7" w14:textId="13E9EA9D"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b/>
                <w:sz w:val="20"/>
              </w:rPr>
              <w:lastRenderedPageBreak/>
              <w:t>Inclusion criteria:</w:t>
            </w:r>
            <w:r w:rsidRPr="00A153AE">
              <w:rPr>
                <w:rFonts w:ascii="Arial Narrow" w:hAnsi="Arial Narrow"/>
                <w:sz w:val="20"/>
              </w:rPr>
              <w:t xml:space="preserve"> </w:t>
            </w:r>
            <w:r w:rsidRPr="00A153AE">
              <w:rPr>
                <w:rFonts w:ascii="Arial Narrow" w:hAnsi="Arial Narrow" w:cs="Arial Narrow"/>
                <w:bCs/>
                <w:sz w:val="20"/>
              </w:rPr>
              <w:t>NYHA class I to III, age ≥18 years</w:t>
            </w:r>
            <w:r w:rsidR="00412FCF">
              <w:rPr>
                <w:rFonts w:ascii="Arial Narrow" w:hAnsi="Arial Narrow" w:cs="Arial Narrow"/>
                <w:bCs/>
                <w:sz w:val="20"/>
              </w:rPr>
              <w:t>,</w:t>
            </w:r>
            <w:r w:rsidRPr="00A153AE">
              <w:rPr>
                <w:rFonts w:ascii="Arial Narrow" w:hAnsi="Arial Narrow" w:cs="Arial Narrow"/>
                <w:bCs/>
                <w:sz w:val="20"/>
              </w:rPr>
              <w:t xml:space="preserve"> the absence of CAD</w:t>
            </w:r>
          </w:p>
          <w:p w14:paraId="50F0DE1A"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b/>
                <w:sz w:val="20"/>
              </w:rPr>
              <w:t>Exclusion criteria:</w:t>
            </w:r>
            <w:r w:rsidRPr="00A153AE">
              <w:rPr>
                <w:rFonts w:ascii="Arial Narrow" w:hAnsi="Arial Narrow"/>
                <w:sz w:val="20"/>
              </w:rPr>
              <w:t xml:space="preserve"> syncope, pregnancy, a contraindication to amiodarone or defibrillator therapy, or concomitant therapy with a Class I antiarrhythmic drug</w:t>
            </w:r>
          </w:p>
          <w:p w14:paraId="438572D9" w14:textId="0FDA3DDD"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cs="Arial Narrow"/>
                <w:b/>
                <w:bCs/>
                <w:sz w:val="20"/>
              </w:rPr>
              <w:t>Mean follow-up:</w:t>
            </w:r>
            <w:r w:rsidRPr="00A153AE">
              <w:rPr>
                <w:rFonts w:ascii="Arial Narrow" w:hAnsi="Arial Narrow" w:cs="Arial Narrow"/>
                <w:bCs/>
                <w:sz w:val="20"/>
              </w:rPr>
              <w:t xml:space="preserve"> 2.0 ± 1.3</w:t>
            </w:r>
            <w:r w:rsidR="00412FCF">
              <w:rPr>
                <w:rFonts w:ascii="Arial Narrow" w:hAnsi="Arial Narrow" w:cs="Arial Narrow"/>
                <w:bCs/>
                <w:sz w:val="20"/>
              </w:rPr>
              <w:t> </w:t>
            </w:r>
            <w:r w:rsidRPr="00A153AE">
              <w:rPr>
                <w:rFonts w:ascii="Arial Narrow" w:hAnsi="Arial Narrow" w:cs="Arial Narrow"/>
                <w:bCs/>
                <w:sz w:val="20"/>
              </w:rPr>
              <w:t>years</w:t>
            </w:r>
          </w:p>
        </w:tc>
        <w:tc>
          <w:tcPr>
            <w:tcW w:w="777" w:type="pct"/>
          </w:tcPr>
          <w:p w14:paraId="7193BBC8"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N=51</w:t>
            </w:r>
          </w:p>
          <w:p w14:paraId="4B97D666" w14:textId="4283FCEF"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ICDs were inserted using conventional non-thoracotomy techniques. Defibrillator follow-up was performed every </w:t>
            </w:r>
            <w:r w:rsidR="00B513CB">
              <w:rPr>
                <w:rFonts w:ascii="Arial Narrow" w:hAnsi="Arial Narrow"/>
                <w:sz w:val="20"/>
              </w:rPr>
              <w:t>4 </w:t>
            </w:r>
            <w:r w:rsidRPr="00A153AE">
              <w:rPr>
                <w:rFonts w:ascii="Arial Narrow" w:hAnsi="Arial Narrow"/>
                <w:sz w:val="20"/>
              </w:rPr>
              <w:t>months. This included evaluation of stored electrograms and sensing and pacing functions.</w:t>
            </w:r>
          </w:p>
        </w:tc>
        <w:tc>
          <w:tcPr>
            <w:tcW w:w="1068" w:type="pct"/>
          </w:tcPr>
          <w:p w14:paraId="1B08F2E1"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N=50</w:t>
            </w:r>
          </w:p>
          <w:p w14:paraId="415A63D3" w14:textId="2BF10934"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Amiodarone therapy was initiated at a dose of 800</w:t>
            </w:r>
            <w:r w:rsidR="00B513CB">
              <w:rPr>
                <w:rFonts w:ascii="Arial Narrow" w:hAnsi="Arial Narrow"/>
                <w:sz w:val="20"/>
              </w:rPr>
              <w:t> </w:t>
            </w:r>
            <w:r w:rsidRPr="00A153AE">
              <w:rPr>
                <w:rFonts w:ascii="Arial Narrow" w:hAnsi="Arial Narrow"/>
                <w:sz w:val="20"/>
              </w:rPr>
              <w:t>mg/day. The amiodarone dosage was decreased to 400</w:t>
            </w:r>
            <w:r w:rsidR="00B513CB">
              <w:rPr>
                <w:rFonts w:ascii="Arial Narrow" w:hAnsi="Arial Narrow"/>
                <w:sz w:val="20"/>
              </w:rPr>
              <w:t> </w:t>
            </w:r>
            <w:r w:rsidRPr="00A153AE">
              <w:rPr>
                <w:rFonts w:ascii="Arial Narrow" w:hAnsi="Arial Narrow"/>
                <w:sz w:val="20"/>
              </w:rPr>
              <w:t xml:space="preserve">mg/day after </w:t>
            </w:r>
            <w:r w:rsidR="00B513CB">
              <w:rPr>
                <w:rFonts w:ascii="Arial Narrow" w:hAnsi="Arial Narrow"/>
                <w:sz w:val="20"/>
              </w:rPr>
              <w:t>7 </w:t>
            </w:r>
            <w:r w:rsidRPr="00A153AE">
              <w:rPr>
                <w:rFonts w:ascii="Arial Narrow" w:hAnsi="Arial Narrow"/>
                <w:sz w:val="20"/>
              </w:rPr>
              <w:t>days and to 300</w:t>
            </w:r>
            <w:r w:rsidR="00B513CB">
              <w:rPr>
                <w:rFonts w:ascii="Arial Narrow" w:hAnsi="Arial Narrow"/>
                <w:sz w:val="20"/>
              </w:rPr>
              <w:t> </w:t>
            </w:r>
            <w:r w:rsidRPr="00A153AE">
              <w:rPr>
                <w:rFonts w:ascii="Arial Narrow" w:hAnsi="Arial Narrow"/>
                <w:sz w:val="20"/>
              </w:rPr>
              <w:t xml:space="preserve">mg/day after </w:t>
            </w:r>
            <w:r w:rsidR="00B513CB">
              <w:rPr>
                <w:rFonts w:ascii="Arial Narrow" w:hAnsi="Arial Narrow"/>
                <w:sz w:val="20"/>
              </w:rPr>
              <w:t>1 </w:t>
            </w:r>
            <w:r w:rsidRPr="00A153AE">
              <w:rPr>
                <w:rFonts w:ascii="Arial Narrow" w:hAnsi="Arial Narrow"/>
                <w:sz w:val="20"/>
              </w:rPr>
              <w:t xml:space="preserve">year. Among the patients treated with amiodarone, thyroid function studies, aspartate and alanine transaminase plasma levels, and a chest X-ray were obtained at baseline and every </w:t>
            </w:r>
            <w:r w:rsidR="00B513CB">
              <w:rPr>
                <w:rFonts w:ascii="Arial Narrow" w:hAnsi="Arial Narrow"/>
                <w:sz w:val="20"/>
              </w:rPr>
              <w:t>4 </w:t>
            </w:r>
            <w:r w:rsidRPr="00A153AE">
              <w:rPr>
                <w:rFonts w:ascii="Arial Narrow" w:hAnsi="Arial Narrow"/>
                <w:sz w:val="20"/>
              </w:rPr>
              <w:t xml:space="preserve">months during follow-up. Serum concentrations of amiodarone and desethylamiodarone were obtained </w:t>
            </w:r>
            <w:r w:rsidR="00B513CB">
              <w:rPr>
                <w:rFonts w:ascii="Arial Narrow" w:hAnsi="Arial Narrow"/>
                <w:sz w:val="20"/>
              </w:rPr>
              <w:t>at 4 </w:t>
            </w:r>
            <w:r w:rsidRPr="00A153AE">
              <w:rPr>
                <w:rFonts w:ascii="Arial Narrow" w:hAnsi="Arial Narrow"/>
                <w:sz w:val="20"/>
              </w:rPr>
              <w:t xml:space="preserve">months and </w:t>
            </w:r>
            <w:r w:rsidR="00B513CB">
              <w:rPr>
                <w:rFonts w:ascii="Arial Narrow" w:hAnsi="Arial Narrow"/>
                <w:sz w:val="20"/>
              </w:rPr>
              <w:t>1</w:t>
            </w:r>
            <w:r w:rsidR="00B513CB" w:rsidRPr="00A153AE">
              <w:rPr>
                <w:rFonts w:ascii="Arial Narrow" w:hAnsi="Arial Narrow"/>
                <w:sz w:val="20"/>
              </w:rPr>
              <w:t xml:space="preserve"> </w:t>
            </w:r>
            <w:r w:rsidRPr="00A153AE">
              <w:rPr>
                <w:rFonts w:ascii="Arial Narrow" w:hAnsi="Arial Narrow"/>
                <w:sz w:val="20"/>
              </w:rPr>
              <w:t>year after initiation of amiodarone therapy.</w:t>
            </w:r>
          </w:p>
        </w:tc>
        <w:tc>
          <w:tcPr>
            <w:tcW w:w="583" w:type="pct"/>
          </w:tcPr>
          <w:p w14:paraId="43B4776F"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All-cause mortality</w:t>
            </w:r>
          </w:p>
          <w:p w14:paraId="7D56B8BC"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Cardiac death</w:t>
            </w:r>
          </w:p>
          <w:p w14:paraId="02F9F538"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SCD</w:t>
            </w:r>
          </w:p>
          <w:p w14:paraId="4A410EA1"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Cardiac transplant</w:t>
            </w:r>
          </w:p>
          <w:p w14:paraId="3CDB138D" w14:textId="0A1EF459"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HRQ</w:t>
            </w:r>
            <w:r w:rsidR="00B513CB">
              <w:rPr>
                <w:rFonts w:ascii="Arial Narrow" w:hAnsi="Arial Narrow"/>
                <w:sz w:val="20"/>
              </w:rPr>
              <w:t>o</w:t>
            </w:r>
            <w:r w:rsidRPr="00A153AE">
              <w:rPr>
                <w:rFonts w:ascii="Arial Narrow" w:hAnsi="Arial Narrow"/>
                <w:sz w:val="20"/>
              </w:rPr>
              <w:t>L</w:t>
            </w:r>
          </w:p>
        </w:tc>
      </w:tr>
      <w:tr w:rsidR="00803845" w:rsidRPr="00A153AE" w14:paraId="7E5BF806" w14:textId="77777777" w:rsidTr="00BE5D7C">
        <w:tc>
          <w:tcPr>
            <w:tcW w:w="533" w:type="pct"/>
            <w:shd w:val="clear" w:color="auto" w:fill="auto"/>
          </w:tcPr>
          <w:p w14:paraId="34D4A46C"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lastRenderedPageBreak/>
              <w:t>CAT trial</w:t>
            </w:r>
          </w:p>
          <w:p w14:paraId="5CB4A264" w14:textId="77777777" w:rsidR="00803845" w:rsidRPr="00A153AE" w:rsidRDefault="00803845" w:rsidP="004C79C1">
            <w:pPr>
              <w:spacing w:before="0" w:after="120" w:line="240" w:lineRule="auto"/>
              <w:rPr>
                <w:rFonts w:ascii="Arial Narrow" w:hAnsi="Arial Narrow" w:cs="Arial Narrow"/>
                <w:bCs/>
                <w:sz w:val="20"/>
              </w:rPr>
            </w:pPr>
          </w:p>
          <w:p w14:paraId="18C6CA65"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Bänsch et al. (2002)</w:t>
            </w:r>
          </w:p>
          <w:p w14:paraId="1D4F4608" w14:textId="77777777" w:rsidR="00803845" w:rsidRPr="00A153AE" w:rsidRDefault="00803845" w:rsidP="004C79C1">
            <w:pPr>
              <w:spacing w:before="0" w:after="120" w:line="240" w:lineRule="auto"/>
              <w:rPr>
                <w:rFonts w:ascii="Arial Narrow" w:hAnsi="Arial Narrow" w:cs="Arial Narrow"/>
                <w:bCs/>
                <w:sz w:val="20"/>
              </w:rPr>
            </w:pPr>
          </w:p>
          <w:p w14:paraId="053E635F" w14:textId="77777777" w:rsidR="00803845" w:rsidRPr="00A153AE" w:rsidRDefault="00803845" w:rsidP="004C79C1">
            <w:pPr>
              <w:spacing w:before="0" w:after="120" w:line="240" w:lineRule="auto"/>
              <w:ind w:right="-57"/>
              <w:rPr>
                <w:rFonts w:ascii="Arial Narrow" w:hAnsi="Arial Narrow" w:cs="Arial Narrow"/>
                <w:bCs/>
                <w:sz w:val="20"/>
              </w:rPr>
            </w:pPr>
            <w:r w:rsidRPr="00A153AE">
              <w:rPr>
                <w:rFonts w:ascii="Arial Narrow" w:hAnsi="Arial Narrow" w:cs="Arial Narrow"/>
                <w:bCs/>
                <w:sz w:val="20"/>
              </w:rPr>
              <w:t>Germany</w:t>
            </w:r>
          </w:p>
          <w:p w14:paraId="4576EB69" w14:textId="77777777" w:rsidR="00803845" w:rsidRPr="00A153AE" w:rsidRDefault="00803845" w:rsidP="004C79C1">
            <w:pPr>
              <w:spacing w:before="0" w:after="120" w:line="240" w:lineRule="auto"/>
              <w:ind w:right="-57"/>
              <w:rPr>
                <w:rFonts w:ascii="Arial Narrow" w:hAnsi="Arial Narrow" w:cs="Arial Narrow"/>
                <w:bCs/>
                <w:sz w:val="20"/>
              </w:rPr>
            </w:pPr>
          </w:p>
          <w:p w14:paraId="7E31E1F3" w14:textId="77777777" w:rsidR="00803845" w:rsidRPr="00A153AE" w:rsidRDefault="00803845" w:rsidP="004C79C1">
            <w:pPr>
              <w:spacing w:before="0" w:after="120" w:line="240" w:lineRule="auto"/>
              <w:ind w:right="-57"/>
              <w:rPr>
                <w:rFonts w:ascii="Arial Narrow" w:hAnsi="Arial Narrow" w:cs="Arial Narrow"/>
                <w:bCs/>
                <w:sz w:val="20"/>
              </w:rPr>
            </w:pPr>
            <w:r w:rsidRPr="00A153AE">
              <w:rPr>
                <w:rFonts w:ascii="Arial Narrow" w:hAnsi="Arial Narrow" w:cs="Arial Narrow"/>
                <w:bCs/>
                <w:sz w:val="20"/>
              </w:rPr>
              <w:t>NHMRC Level II</w:t>
            </w:r>
          </w:p>
          <w:p w14:paraId="5AB61A11" w14:textId="77777777" w:rsidR="00803845" w:rsidRPr="00A153AE" w:rsidRDefault="00803845" w:rsidP="004C79C1">
            <w:pPr>
              <w:spacing w:before="0" w:after="120" w:line="240" w:lineRule="auto"/>
              <w:ind w:right="-57"/>
              <w:rPr>
                <w:rFonts w:ascii="Arial Narrow" w:hAnsi="Arial Narrow" w:cs="Arial Narrow"/>
                <w:bCs/>
                <w:sz w:val="20"/>
              </w:rPr>
            </w:pPr>
          </w:p>
          <w:p w14:paraId="1712E282"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hAnsi="Arial Narrow" w:cs="Arial Narrow"/>
                <w:bCs/>
                <w:sz w:val="20"/>
              </w:rPr>
              <w:t>SIGN</w:t>
            </w:r>
            <w:r>
              <w:rPr>
                <w:rFonts w:ascii="Arial Narrow" w:hAnsi="Arial Narrow" w:cs="Arial Narrow"/>
                <w:bCs/>
                <w:sz w:val="20"/>
              </w:rPr>
              <w:t xml:space="preserve"> RCT</w:t>
            </w:r>
            <w:r w:rsidRPr="00A153AE">
              <w:rPr>
                <w:rFonts w:ascii="Arial Narrow" w:hAnsi="Arial Narrow" w:cs="Arial Narrow"/>
                <w:bCs/>
                <w:sz w:val="20"/>
              </w:rPr>
              <w:t>: Adequate quality with a moderate risk of bias</w:t>
            </w:r>
          </w:p>
        </w:tc>
        <w:tc>
          <w:tcPr>
            <w:tcW w:w="1019" w:type="pct"/>
          </w:tcPr>
          <w:p w14:paraId="4A885105" w14:textId="0A663DCB"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N=104 patients with symptomatic DCM and LVEF ≤30%</w:t>
            </w:r>
          </w:p>
          <w:p w14:paraId="3B7A12AE" w14:textId="77777777" w:rsidR="00902C90"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Intervention group</w:t>
            </w:r>
            <w:r w:rsidRPr="00A153AE">
              <w:rPr>
                <w:rFonts w:ascii="Arial Narrow" w:hAnsi="Arial Narrow" w:cs="Arial Narrow"/>
                <w:bCs/>
                <w:sz w:val="20"/>
              </w:rPr>
              <w:t xml:space="preserve">: </w:t>
            </w:r>
          </w:p>
          <w:p w14:paraId="7C4CE461"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52 ± 10 years; </w:t>
            </w:r>
          </w:p>
          <w:p w14:paraId="017E1CF1"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86% male; </w:t>
            </w:r>
          </w:p>
          <w:p w14:paraId="65E462B0"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median duration of symptoms = 3.0 years; </w:t>
            </w:r>
          </w:p>
          <w:p w14:paraId="0893680D"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sinus rhythm = 80%; </w:t>
            </w:r>
          </w:p>
          <w:p w14:paraId="43786D3C"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85%; </w:t>
            </w:r>
          </w:p>
          <w:p w14:paraId="6424B8F9"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RBBB = 8%; </w:t>
            </w:r>
          </w:p>
          <w:p w14:paraId="755656F7"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LVEF = 24 ± 6%; </w:t>
            </w:r>
          </w:p>
          <w:p w14:paraId="2DCE9C8B" w14:textId="77777777" w:rsidR="00821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NYHA class: II = 67%, III = 33%; </w:t>
            </w:r>
          </w:p>
          <w:p w14:paraId="6A5D5075" w14:textId="77777777" w:rsidR="00821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inducible VT = 6%; </w:t>
            </w:r>
          </w:p>
          <w:p w14:paraId="6A9904B4" w14:textId="0F5D4574"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inducible VF = 16%</w:t>
            </w:r>
          </w:p>
          <w:p w14:paraId="6FEA4D05" w14:textId="77777777" w:rsidR="00902C90"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Control group</w:t>
            </w:r>
            <w:r w:rsidRPr="00A153AE">
              <w:rPr>
                <w:rFonts w:ascii="Arial Narrow" w:hAnsi="Arial Narrow" w:cs="Arial Narrow"/>
                <w:bCs/>
                <w:sz w:val="20"/>
              </w:rPr>
              <w:t xml:space="preserve">: </w:t>
            </w:r>
          </w:p>
          <w:p w14:paraId="42931239"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52 ± 12 years; </w:t>
            </w:r>
          </w:p>
          <w:p w14:paraId="63F00025"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74% male; </w:t>
            </w:r>
          </w:p>
          <w:p w14:paraId="569585E6"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median duration of symptoms = </w:t>
            </w:r>
            <w:r w:rsidRPr="00A153AE">
              <w:rPr>
                <w:rFonts w:ascii="Arial Narrow" w:hAnsi="Arial Narrow" w:cs="Arial Narrow"/>
                <w:bCs/>
                <w:sz w:val="20"/>
              </w:rPr>
              <w:lastRenderedPageBreak/>
              <w:t xml:space="preserve">2.5 years; </w:t>
            </w:r>
          </w:p>
          <w:p w14:paraId="1EABC30B"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sinus rhythm = 87%; </w:t>
            </w:r>
          </w:p>
          <w:p w14:paraId="7161437F"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82%; </w:t>
            </w:r>
          </w:p>
          <w:p w14:paraId="07120652"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RBBB = 0%; </w:t>
            </w:r>
          </w:p>
          <w:p w14:paraId="7DC0C7B5" w14:textId="77777777" w:rsidR="00902C90"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LVEF = 25 ± 8%; </w:t>
            </w:r>
          </w:p>
          <w:p w14:paraId="402C4E3D" w14:textId="77777777" w:rsidR="00821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NYHA class: II = 64%, III = 36%; </w:t>
            </w:r>
          </w:p>
          <w:p w14:paraId="00E7DEA1" w14:textId="77777777" w:rsidR="00821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inducible VT = 0%; </w:t>
            </w:r>
          </w:p>
          <w:p w14:paraId="0B567012" w14:textId="083E292B"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inducible VF = 4%</w:t>
            </w:r>
          </w:p>
        </w:tc>
        <w:tc>
          <w:tcPr>
            <w:tcW w:w="1020" w:type="pct"/>
          </w:tcPr>
          <w:p w14:paraId="0E160DA0" w14:textId="39EC1395"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lastRenderedPageBreak/>
              <w:t>Inclusion criteria:</w:t>
            </w:r>
            <w:r w:rsidRPr="00A153AE">
              <w:rPr>
                <w:rFonts w:ascii="Arial Narrow" w:hAnsi="Arial Narrow" w:cs="Arial Narrow"/>
                <w:bCs/>
                <w:sz w:val="20"/>
              </w:rPr>
              <w:t xml:space="preserve"> symptomatic DCM for ≤9</w:t>
            </w:r>
            <w:r w:rsidR="00412FCF">
              <w:rPr>
                <w:rFonts w:ascii="Arial Narrow" w:hAnsi="Arial Narrow" w:cs="Arial Narrow"/>
                <w:bCs/>
                <w:sz w:val="20"/>
              </w:rPr>
              <w:t> </w:t>
            </w:r>
            <w:r w:rsidRPr="00A153AE">
              <w:rPr>
                <w:rFonts w:ascii="Arial Narrow" w:hAnsi="Arial Narrow" w:cs="Arial Narrow"/>
                <w:bCs/>
                <w:sz w:val="20"/>
              </w:rPr>
              <w:t>months, LVEF ≤30%, NYHA class II or III, age 18–70</w:t>
            </w:r>
            <w:r w:rsidR="00412FCF">
              <w:rPr>
                <w:rFonts w:ascii="Arial Narrow" w:hAnsi="Arial Narrow" w:cs="Arial Narrow"/>
                <w:bCs/>
                <w:sz w:val="20"/>
              </w:rPr>
              <w:t> </w:t>
            </w:r>
            <w:r w:rsidRPr="00A153AE">
              <w:rPr>
                <w:rFonts w:ascii="Arial Narrow" w:hAnsi="Arial Narrow" w:cs="Arial Narrow"/>
                <w:bCs/>
                <w:sz w:val="20"/>
              </w:rPr>
              <w:t>years, the absence of CAD</w:t>
            </w:r>
          </w:p>
          <w:p w14:paraId="7F15779B" w14:textId="1E3AA019"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Exclusion criteria:</w:t>
            </w:r>
            <w:r w:rsidRPr="00A153AE">
              <w:rPr>
                <w:rFonts w:ascii="Arial Narrow" w:hAnsi="Arial Narrow" w:cs="Arial Narrow"/>
                <w:bCs/>
                <w:sz w:val="20"/>
              </w:rPr>
              <w:t xml:space="preserve"> patients with CAD, a history of prior</w:t>
            </w:r>
            <w:r w:rsidRPr="00A153AE">
              <w:t xml:space="preserve"> </w:t>
            </w:r>
            <w:r w:rsidRPr="00A153AE">
              <w:rPr>
                <w:rFonts w:ascii="Arial Narrow" w:hAnsi="Arial Narrow" w:cs="Arial Narrow"/>
                <w:bCs/>
                <w:sz w:val="20"/>
              </w:rPr>
              <w:t>MI, myocarditis, excessive alcohol consumption, a history of symptomatic bradycardia, VT and VF, listed for heart transplantation at the time of presentation, significant valvular disease</w:t>
            </w:r>
            <w:r w:rsidR="00412FCF">
              <w:rPr>
                <w:rFonts w:ascii="Arial Narrow" w:hAnsi="Arial Narrow" w:cs="Arial Narrow"/>
                <w:bCs/>
                <w:sz w:val="20"/>
              </w:rPr>
              <w:t>,</w:t>
            </w:r>
            <w:r w:rsidRPr="00A153AE">
              <w:rPr>
                <w:rFonts w:ascii="Arial Narrow" w:hAnsi="Arial Narrow" w:cs="Arial Narrow"/>
                <w:bCs/>
                <w:sz w:val="20"/>
              </w:rPr>
              <w:t xml:space="preserve"> and hypertrophic or restricted </w:t>
            </w:r>
            <w:r w:rsidR="00412FCF">
              <w:rPr>
                <w:rFonts w:ascii="Arial Narrow" w:hAnsi="Arial Narrow" w:cs="Arial Narrow"/>
                <w:bCs/>
                <w:sz w:val="20"/>
              </w:rPr>
              <w:t>CM</w:t>
            </w:r>
          </w:p>
          <w:p w14:paraId="759A7642" w14:textId="4A1CB2ED"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cs="Arial Narrow"/>
                <w:b/>
                <w:bCs/>
                <w:sz w:val="20"/>
              </w:rPr>
              <w:t>Median follow-up:</w:t>
            </w:r>
            <w:r w:rsidRPr="00A153AE">
              <w:rPr>
                <w:rFonts w:ascii="Arial Narrow" w:hAnsi="Arial Narrow" w:cs="Arial Narrow"/>
                <w:bCs/>
                <w:sz w:val="20"/>
              </w:rPr>
              <w:t xml:space="preserve"> 5.5 ± 2.2</w:t>
            </w:r>
            <w:r w:rsidR="00415EEF">
              <w:rPr>
                <w:rFonts w:ascii="Arial Narrow" w:hAnsi="Arial Narrow" w:cs="Arial Narrow"/>
                <w:bCs/>
                <w:sz w:val="20"/>
              </w:rPr>
              <w:t> </w:t>
            </w:r>
            <w:r w:rsidRPr="00A153AE">
              <w:rPr>
                <w:rFonts w:ascii="Arial Narrow" w:hAnsi="Arial Narrow" w:cs="Arial Narrow"/>
                <w:bCs/>
                <w:sz w:val="20"/>
              </w:rPr>
              <w:t>years</w:t>
            </w:r>
          </w:p>
        </w:tc>
        <w:tc>
          <w:tcPr>
            <w:tcW w:w="777" w:type="pct"/>
            <w:shd w:val="clear" w:color="auto" w:fill="auto"/>
          </w:tcPr>
          <w:p w14:paraId="41B7B30B"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N=50</w:t>
            </w:r>
          </w:p>
          <w:p w14:paraId="3F5C8A95" w14:textId="516AEDD9"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Patients assigned to ICD therapy underwent implantation of a transvenous defibrillator system, under general an</w:t>
            </w:r>
            <w:r w:rsidR="00AD5BD6">
              <w:rPr>
                <w:rFonts w:ascii="Arial Narrow" w:hAnsi="Arial Narrow"/>
                <w:sz w:val="20"/>
              </w:rPr>
              <w:t>a</w:t>
            </w:r>
            <w:r w:rsidRPr="00A153AE">
              <w:rPr>
                <w:rFonts w:ascii="Arial Narrow" w:hAnsi="Arial Narrow"/>
                <w:sz w:val="20"/>
              </w:rPr>
              <w:t>esthesia. A defibrillation threshold of &lt;20</w:t>
            </w:r>
            <w:r w:rsidR="0092412A">
              <w:rPr>
                <w:rFonts w:ascii="Arial Narrow" w:hAnsi="Arial Narrow"/>
                <w:sz w:val="20"/>
              </w:rPr>
              <w:t> </w:t>
            </w:r>
            <w:r w:rsidRPr="00A153AE">
              <w:rPr>
                <w:rFonts w:ascii="Arial Narrow" w:hAnsi="Arial Narrow"/>
                <w:sz w:val="20"/>
              </w:rPr>
              <w:t>J was mandatory.</w:t>
            </w:r>
            <w:r w:rsidRPr="00A153AE">
              <w:t xml:space="preserve"> </w:t>
            </w:r>
            <w:r w:rsidRPr="00A153AE">
              <w:rPr>
                <w:rFonts w:ascii="Arial Narrow" w:hAnsi="Arial Narrow"/>
                <w:sz w:val="20"/>
              </w:rPr>
              <w:t>All devices were capable of storing episode data and electrograms. A VT zone with a detection rate of 200</w:t>
            </w:r>
            <w:r w:rsidR="0092412A">
              <w:rPr>
                <w:rFonts w:ascii="Arial Narrow" w:hAnsi="Arial Narrow"/>
                <w:sz w:val="20"/>
              </w:rPr>
              <w:t> </w:t>
            </w:r>
            <w:r w:rsidRPr="00A153AE">
              <w:rPr>
                <w:rFonts w:ascii="Arial Narrow" w:hAnsi="Arial Narrow"/>
                <w:sz w:val="20"/>
              </w:rPr>
              <w:t>bpm was programmed in all patients. All shocks were programmed to a maximum output of 30</w:t>
            </w:r>
            <w:r w:rsidR="0092412A">
              <w:rPr>
                <w:rFonts w:ascii="Arial Narrow" w:hAnsi="Arial Narrow"/>
                <w:sz w:val="20"/>
              </w:rPr>
              <w:t> </w:t>
            </w:r>
            <w:r w:rsidRPr="00A153AE">
              <w:rPr>
                <w:rFonts w:ascii="Arial Narrow" w:hAnsi="Arial Narrow"/>
                <w:sz w:val="20"/>
              </w:rPr>
              <w:t>J. The pacemaker rate was programmed to 40</w:t>
            </w:r>
            <w:r w:rsidR="0092412A">
              <w:rPr>
                <w:rFonts w:ascii="Arial Narrow" w:hAnsi="Arial Narrow"/>
                <w:sz w:val="20"/>
              </w:rPr>
              <w:t> </w:t>
            </w:r>
            <w:r w:rsidRPr="00A153AE">
              <w:rPr>
                <w:rFonts w:ascii="Arial Narrow" w:hAnsi="Arial Narrow"/>
                <w:sz w:val="20"/>
              </w:rPr>
              <w:t>bpm.</w:t>
            </w:r>
          </w:p>
        </w:tc>
        <w:tc>
          <w:tcPr>
            <w:tcW w:w="1068" w:type="pct"/>
            <w:shd w:val="clear" w:color="auto" w:fill="auto"/>
          </w:tcPr>
          <w:p w14:paraId="5C3D4AF2"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N=54</w:t>
            </w:r>
          </w:p>
          <w:p w14:paraId="3671176E"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Treatment not described</w:t>
            </w:r>
          </w:p>
        </w:tc>
        <w:tc>
          <w:tcPr>
            <w:tcW w:w="583" w:type="pct"/>
            <w:shd w:val="clear" w:color="auto" w:fill="auto"/>
          </w:tcPr>
          <w:p w14:paraId="2B9CB7EB" w14:textId="7A8997F4" w:rsidR="00803845" w:rsidRPr="00BA665C" w:rsidRDefault="00803845" w:rsidP="004C79C1">
            <w:pPr>
              <w:spacing w:before="0" w:after="120" w:line="240" w:lineRule="auto"/>
              <w:ind w:right="-57"/>
              <w:rPr>
                <w:rFonts w:ascii="Arial Narrow" w:hAnsi="Arial Narrow"/>
                <w:b/>
                <w:sz w:val="20"/>
              </w:rPr>
            </w:pPr>
            <w:r w:rsidRPr="00BA665C">
              <w:rPr>
                <w:rFonts w:ascii="Arial Narrow" w:hAnsi="Arial Narrow"/>
                <w:b/>
                <w:sz w:val="20"/>
              </w:rPr>
              <w:t>Primary endpoint</w:t>
            </w:r>
            <w:r w:rsidR="0092412A" w:rsidRPr="00773386">
              <w:rPr>
                <w:rFonts w:ascii="Arial Narrow" w:hAnsi="Arial Narrow"/>
                <w:b/>
                <w:sz w:val="20"/>
              </w:rPr>
              <w:t>:</w:t>
            </w:r>
          </w:p>
          <w:p w14:paraId="36488DDC" w14:textId="0E338EFA"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All-cause mortality at 1</w:t>
            </w:r>
            <w:r w:rsidR="0092412A">
              <w:rPr>
                <w:rFonts w:ascii="Arial Narrow" w:hAnsi="Arial Narrow"/>
                <w:sz w:val="20"/>
              </w:rPr>
              <w:t> </w:t>
            </w:r>
            <w:r w:rsidRPr="00A153AE">
              <w:rPr>
                <w:rFonts w:ascii="Arial Narrow" w:hAnsi="Arial Narrow"/>
                <w:sz w:val="20"/>
              </w:rPr>
              <w:t>year</w:t>
            </w:r>
          </w:p>
          <w:p w14:paraId="18770272" w14:textId="0B9776B6" w:rsidR="00803845" w:rsidRPr="00BA665C" w:rsidRDefault="00803845" w:rsidP="004C79C1">
            <w:pPr>
              <w:spacing w:before="0" w:after="120" w:line="240" w:lineRule="auto"/>
              <w:ind w:right="-57"/>
              <w:rPr>
                <w:rFonts w:ascii="Arial Narrow" w:hAnsi="Arial Narrow"/>
                <w:b/>
                <w:sz w:val="20"/>
              </w:rPr>
            </w:pPr>
            <w:r w:rsidRPr="00BA665C">
              <w:rPr>
                <w:rFonts w:ascii="Arial Narrow" w:hAnsi="Arial Narrow"/>
                <w:b/>
                <w:sz w:val="20"/>
              </w:rPr>
              <w:t>Secondary endpoint</w:t>
            </w:r>
            <w:r w:rsidR="0092412A" w:rsidRPr="00773386">
              <w:rPr>
                <w:rFonts w:ascii="Arial Narrow" w:hAnsi="Arial Narrow"/>
                <w:b/>
                <w:sz w:val="20"/>
              </w:rPr>
              <w:t>:</w:t>
            </w:r>
          </w:p>
          <w:p w14:paraId="28A59ADE" w14:textId="6B00CAEF"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All-cause mortality at 2 and 6</w:t>
            </w:r>
            <w:r w:rsidR="00B15E5F">
              <w:rPr>
                <w:rFonts w:ascii="Arial Narrow" w:hAnsi="Arial Narrow"/>
                <w:sz w:val="20"/>
              </w:rPr>
              <w:t> </w:t>
            </w:r>
            <w:r w:rsidRPr="00A153AE">
              <w:rPr>
                <w:rFonts w:ascii="Arial Narrow" w:hAnsi="Arial Narrow"/>
                <w:sz w:val="20"/>
              </w:rPr>
              <w:t>years</w:t>
            </w:r>
          </w:p>
          <w:p w14:paraId="74330D1D" w14:textId="187622EB"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Cardiac transplant at 1</w:t>
            </w:r>
            <w:r w:rsidR="00B15E5F">
              <w:rPr>
                <w:rFonts w:ascii="Arial Narrow" w:hAnsi="Arial Narrow"/>
                <w:sz w:val="20"/>
              </w:rPr>
              <w:t> </w:t>
            </w:r>
            <w:r w:rsidRPr="00A153AE">
              <w:rPr>
                <w:rFonts w:ascii="Arial Narrow" w:hAnsi="Arial Narrow"/>
                <w:sz w:val="20"/>
              </w:rPr>
              <w:t xml:space="preserve">year </w:t>
            </w:r>
          </w:p>
          <w:p w14:paraId="658B02E6"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Survival of cardiac arrest</w:t>
            </w:r>
          </w:p>
          <w:p w14:paraId="20FB2B04" w14:textId="07266106"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Cardiac death at 1</w:t>
            </w:r>
            <w:r w:rsidR="00B15E5F">
              <w:rPr>
                <w:rFonts w:ascii="Arial Narrow" w:hAnsi="Arial Narrow"/>
                <w:sz w:val="20"/>
              </w:rPr>
              <w:t> </w:t>
            </w:r>
            <w:r w:rsidRPr="00A153AE">
              <w:rPr>
                <w:rFonts w:ascii="Arial Narrow" w:hAnsi="Arial Narrow"/>
                <w:sz w:val="20"/>
              </w:rPr>
              <w:t>year</w:t>
            </w:r>
          </w:p>
          <w:p w14:paraId="5EADFCC9"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Sustained VT</w:t>
            </w:r>
          </w:p>
          <w:p w14:paraId="53C79E09"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Sustained VA requiring treatment</w:t>
            </w:r>
          </w:p>
          <w:p w14:paraId="2C069224" w14:textId="6664D9E0"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SCD at 1</w:t>
            </w:r>
            <w:r w:rsidR="00B15E5F">
              <w:rPr>
                <w:rFonts w:ascii="Arial Narrow" w:hAnsi="Arial Narrow"/>
                <w:sz w:val="20"/>
              </w:rPr>
              <w:t> </w:t>
            </w:r>
            <w:r w:rsidRPr="00A153AE">
              <w:rPr>
                <w:rFonts w:ascii="Arial Narrow" w:hAnsi="Arial Narrow"/>
                <w:sz w:val="20"/>
              </w:rPr>
              <w:t>year</w:t>
            </w:r>
          </w:p>
          <w:p w14:paraId="132144E0" w14:textId="77777777" w:rsidR="00803845" w:rsidRPr="00A153AE" w:rsidRDefault="00803845" w:rsidP="004C79C1">
            <w:pPr>
              <w:spacing w:before="0" w:after="120" w:line="240" w:lineRule="auto"/>
              <w:ind w:right="-57"/>
              <w:rPr>
                <w:rFonts w:ascii="Arial Narrow" w:hAnsi="Arial Narrow"/>
                <w:sz w:val="20"/>
              </w:rPr>
            </w:pPr>
          </w:p>
        </w:tc>
      </w:tr>
      <w:tr w:rsidR="00803845" w:rsidRPr="00A153AE" w14:paraId="219EFD92" w14:textId="77777777" w:rsidTr="00BE5D7C">
        <w:tc>
          <w:tcPr>
            <w:tcW w:w="533" w:type="pct"/>
            <w:shd w:val="clear" w:color="auto" w:fill="auto"/>
          </w:tcPr>
          <w:p w14:paraId="2946F64B"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lastRenderedPageBreak/>
              <w:t>DEFINITE trial</w:t>
            </w:r>
          </w:p>
          <w:p w14:paraId="22635551" w14:textId="77777777" w:rsidR="00803845" w:rsidRPr="00A153AE" w:rsidRDefault="00803845" w:rsidP="004C79C1">
            <w:pPr>
              <w:spacing w:before="0" w:after="120" w:line="240" w:lineRule="auto"/>
              <w:rPr>
                <w:rFonts w:ascii="Arial Narrow" w:hAnsi="Arial Narrow" w:cs="Arial Narrow"/>
                <w:bCs/>
                <w:sz w:val="20"/>
              </w:rPr>
            </w:pPr>
          </w:p>
          <w:p w14:paraId="57CCD57F"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Kadish et al. (2004)</w:t>
            </w:r>
          </w:p>
          <w:p w14:paraId="68275781"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Ellenbogen et al. (2006)</w:t>
            </w:r>
          </w:p>
          <w:p w14:paraId="4854DF0F" w14:textId="66991F23" w:rsidR="00803845" w:rsidRPr="00A153AE" w:rsidRDefault="00803845" w:rsidP="004C79C1">
            <w:pPr>
              <w:spacing w:before="0" w:after="120" w:line="240" w:lineRule="auto"/>
              <w:rPr>
                <w:rFonts w:ascii="Arial Narrow" w:hAnsi="Arial Narrow" w:cs="Arial Narrow"/>
                <w:bCs/>
                <w:sz w:val="20"/>
              </w:rPr>
            </w:pPr>
            <w:r w:rsidRPr="00141050">
              <w:rPr>
                <w:rFonts w:ascii="Arial Narrow" w:hAnsi="Arial Narrow" w:cs="Arial Narrow"/>
                <w:bCs/>
                <w:sz w:val="20"/>
              </w:rPr>
              <w:t>Passman et al. (2007)</w:t>
            </w:r>
          </w:p>
          <w:p w14:paraId="7AFE0B34" w14:textId="77777777" w:rsidR="00803845" w:rsidRPr="00A153AE" w:rsidRDefault="00803845" w:rsidP="004C79C1">
            <w:pPr>
              <w:spacing w:before="0" w:after="120" w:line="240" w:lineRule="auto"/>
              <w:rPr>
                <w:rFonts w:ascii="Arial Narrow" w:hAnsi="Arial Narrow" w:cs="Arial Narrow"/>
                <w:bCs/>
                <w:sz w:val="20"/>
              </w:rPr>
            </w:pPr>
          </w:p>
          <w:p w14:paraId="7F00B20A" w14:textId="77777777" w:rsidR="00803845" w:rsidRPr="00A153AE" w:rsidRDefault="00803845" w:rsidP="004C79C1">
            <w:pPr>
              <w:spacing w:before="0" w:after="120" w:line="240" w:lineRule="auto"/>
              <w:ind w:right="-57"/>
              <w:rPr>
                <w:rFonts w:ascii="Arial Narrow" w:hAnsi="Arial Narrow" w:cs="Arial Narrow"/>
                <w:bCs/>
                <w:sz w:val="20"/>
              </w:rPr>
            </w:pPr>
            <w:r w:rsidRPr="00A153AE">
              <w:rPr>
                <w:rFonts w:ascii="Arial Narrow" w:hAnsi="Arial Narrow" w:cs="Arial Narrow"/>
                <w:bCs/>
                <w:sz w:val="20"/>
              </w:rPr>
              <w:t>USA</w:t>
            </w:r>
          </w:p>
          <w:p w14:paraId="58BB160E" w14:textId="77777777" w:rsidR="00803845" w:rsidRPr="00A153AE" w:rsidRDefault="00803845" w:rsidP="004C79C1">
            <w:pPr>
              <w:spacing w:before="0" w:after="120" w:line="240" w:lineRule="auto"/>
              <w:ind w:right="-57"/>
              <w:rPr>
                <w:rFonts w:ascii="Arial Narrow" w:hAnsi="Arial Narrow" w:cs="Arial Narrow"/>
                <w:bCs/>
                <w:sz w:val="20"/>
              </w:rPr>
            </w:pPr>
          </w:p>
          <w:p w14:paraId="1C49EAA2" w14:textId="77777777" w:rsidR="00803845" w:rsidRPr="00A153AE" w:rsidRDefault="00803845" w:rsidP="004C79C1">
            <w:pPr>
              <w:spacing w:before="0" w:after="120" w:line="240" w:lineRule="auto"/>
              <w:ind w:right="-57"/>
              <w:rPr>
                <w:rFonts w:ascii="Arial Narrow" w:hAnsi="Arial Narrow" w:cs="Arial Narrow"/>
                <w:bCs/>
                <w:sz w:val="20"/>
              </w:rPr>
            </w:pPr>
            <w:r w:rsidRPr="00A153AE">
              <w:rPr>
                <w:rFonts w:ascii="Arial Narrow" w:hAnsi="Arial Narrow" w:cs="Arial Narrow"/>
                <w:bCs/>
                <w:sz w:val="20"/>
              </w:rPr>
              <w:t>NHMRC Level II</w:t>
            </w:r>
          </w:p>
          <w:p w14:paraId="5ABB10A2" w14:textId="77777777" w:rsidR="00803845" w:rsidRPr="00A153AE" w:rsidRDefault="00803845" w:rsidP="004C79C1">
            <w:pPr>
              <w:spacing w:before="0" w:after="120" w:line="240" w:lineRule="auto"/>
              <w:ind w:right="-57"/>
              <w:rPr>
                <w:rFonts w:ascii="Arial Narrow" w:hAnsi="Arial Narrow" w:cs="Arial Narrow"/>
                <w:bCs/>
                <w:sz w:val="20"/>
              </w:rPr>
            </w:pPr>
          </w:p>
          <w:p w14:paraId="5579F124"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r w:rsidRPr="00A153AE">
              <w:rPr>
                <w:rFonts w:ascii="Arial Narrow" w:hAnsi="Arial Narrow" w:cs="Arial Narrow"/>
                <w:bCs/>
                <w:sz w:val="20"/>
              </w:rPr>
              <w:t>SIGN</w:t>
            </w:r>
            <w:r>
              <w:rPr>
                <w:rFonts w:ascii="Arial Narrow" w:hAnsi="Arial Narrow" w:cs="Arial Narrow"/>
                <w:bCs/>
                <w:sz w:val="20"/>
              </w:rPr>
              <w:t xml:space="preserve"> RCT</w:t>
            </w:r>
            <w:r w:rsidRPr="00A153AE">
              <w:rPr>
                <w:rFonts w:ascii="Arial Narrow" w:hAnsi="Arial Narrow" w:cs="Arial Narrow"/>
                <w:bCs/>
                <w:sz w:val="20"/>
              </w:rPr>
              <w:t xml:space="preserve">: </w:t>
            </w:r>
            <w:r w:rsidRPr="00A153AE">
              <w:rPr>
                <w:rFonts w:ascii="Arial Narrow" w:hAnsi="Arial Narrow" w:cs="Arial Narrow"/>
                <w:bCs/>
                <w:sz w:val="20"/>
              </w:rPr>
              <w:lastRenderedPageBreak/>
              <w:t>Adequate quality with a moderate risk of bias</w:t>
            </w:r>
          </w:p>
        </w:tc>
        <w:tc>
          <w:tcPr>
            <w:tcW w:w="1019" w:type="pct"/>
          </w:tcPr>
          <w:p w14:paraId="4224C732" w14:textId="6DB74BA9"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lastRenderedPageBreak/>
              <w:t>N=458 patients with non-ischaemic DCM, LVEF &lt;36%, and PVC or non-sustained VT</w:t>
            </w:r>
          </w:p>
          <w:p w14:paraId="1022FCC5" w14:textId="77777777" w:rsidR="00B15E5F"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Intervention group</w:t>
            </w:r>
            <w:r w:rsidRPr="00A153AE">
              <w:rPr>
                <w:rFonts w:ascii="Arial Narrow" w:hAnsi="Arial Narrow" w:cs="Arial Narrow"/>
                <w:bCs/>
                <w:sz w:val="20"/>
              </w:rPr>
              <w:t xml:space="preserve">: </w:t>
            </w:r>
          </w:p>
          <w:p w14:paraId="100C3B6B"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58.4 ± 13.8 years; </w:t>
            </w:r>
          </w:p>
          <w:p w14:paraId="5EBE4573"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72% male; </w:t>
            </w:r>
          </w:p>
          <w:p w14:paraId="478A5EC5"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duration of CHF = 2.39 years; </w:t>
            </w:r>
          </w:p>
          <w:p w14:paraId="3BB29547"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history of AF = 23%; </w:t>
            </w:r>
          </w:p>
          <w:p w14:paraId="50204DC8"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(range) LVEF = 21% (7–35); </w:t>
            </w:r>
          </w:p>
          <w:p w14:paraId="0DE0ECD7"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20%; </w:t>
            </w:r>
          </w:p>
          <w:p w14:paraId="0DDF0C24" w14:textId="2BDE8509"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RBBB = 4%</w:t>
            </w:r>
            <w:r w:rsidR="002D79A9">
              <w:rPr>
                <w:rFonts w:ascii="Arial Narrow" w:hAnsi="Arial Narrow" w:cs="Arial Narrow"/>
                <w:bCs/>
                <w:sz w:val="20"/>
              </w:rPr>
              <w:t>;</w:t>
            </w:r>
          </w:p>
          <w:p w14:paraId="24807A6A" w14:textId="12A280D1" w:rsidR="002D79A9" w:rsidRDefault="00803845" w:rsidP="004C79C1">
            <w:pPr>
              <w:spacing w:before="0" w:after="120" w:line="240" w:lineRule="auto"/>
              <w:ind w:left="155"/>
              <w:rPr>
                <w:rFonts w:ascii="Arial Narrow" w:hAnsi="Arial Narrow" w:cs="Arial Narrow"/>
                <w:b/>
                <w:bCs/>
                <w:sz w:val="20"/>
                <w:lang w:val="en-GB" w:eastAsia="en-US"/>
              </w:rPr>
            </w:pPr>
            <w:r w:rsidRPr="00A153AE">
              <w:rPr>
                <w:rFonts w:ascii="Arial Narrow" w:hAnsi="Arial Narrow" w:cs="Arial Narrow"/>
                <w:bCs/>
                <w:sz w:val="20"/>
              </w:rPr>
              <w:t xml:space="preserve">PVC only = 9%; non-sustained </w:t>
            </w:r>
            <w:r w:rsidRPr="00A153AE">
              <w:rPr>
                <w:rFonts w:ascii="Arial Narrow" w:hAnsi="Arial Narrow" w:cs="Arial Narrow"/>
                <w:bCs/>
                <w:sz w:val="20"/>
              </w:rPr>
              <w:lastRenderedPageBreak/>
              <w:t xml:space="preserve">VT only = 22%; </w:t>
            </w:r>
          </w:p>
          <w:p w14:paraId="3F3C56D6"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PVC and non-sustained VT = 69%; </w:t>
            </w:r>
          </w:p>
          <w:p w14:paraId="17FAB031" w14:textId="7F347D88"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NYHA class: I = 25%, II = 54%, III = 21%</w:t>
            </w:r>
          </w:p>
          <w:p w14:paraId="7F00A425" w14:textId="77777777" w:rsidR="002D79A9"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Control group</w:t>
            </w:r>
            <w:r w:rsidRPr="00A153AE">
              <w:rPr>
                <w:rFonts w:ascii="Arial Narrow" w:hAnsi="Arial Narrow" w:cs="Arial Narrow"/>
                <w:bCs/>
                <w:sz w:val="20"/>
              </w:rPr>
              <w:t xml:space="preserve">: </w:t>
            </w:r>
          </w:p>
          <w:p w14:paraId="3E580BD8"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age = 58.1 ± 12.9 years; </w:t>
            </w:r>
          </w:p>
          <w:p w14:paraId="57F9102C"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gender = 70% male; </w:t>
            </w:r>
          </w:p>
          <w:p w14:paraId="3AF50412"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duration of CHF = 3.27 years; </w:t>
            </w:r>
          </w:p>
          <w:p w14:paraId="67424D67"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history of AF = 26%; </w:t>
            </w:r>
          </w:p>
          <w:p w14:paraId="221D3880"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mean (range) LVEF = 22% (10–35); </w:t>
            </w:r>
          </w:p>
          <w:p w14:paraId="58D70B0E" w14:textId="77777777" w:rsidR="002D79A9"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LBBB = 20%; </w:t>
            </w:r>
          </w:p>
          <w:p w14:paraId="2AB78DE6" w14:textId="4C85E74D" w:rsidR="000A78BB"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RBBB = 3%: </w:t>
            </w:r>
          </w:p>
          <w:p w14:paraId="40BA1FAD" w14:textId="77777777" w:rsidR="000A78BB"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PVC only = 10%; non-sustained VT only = 23%; </w:t>
            </w:r>
          </w:p>
          <w:p w14:paraId="140E48FA" w14:textId="77777777" w:rsidR="000A78BB"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PVC and non-sustained VT = 68%; </w:t>
            </w:r>
          </w:p>
          <w:p w14:paraId="07461847" w14:textId="48074931" w:rsidR="00803845" w:rsidRPr="00A153AE"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NYHA class: I = 18%, II = 61%, III = 21%</w:t>
            </w:r>
          </w:p>
        </w:tc>
        <w:tc>
          <w:tcPr>
            <w:tcW w:w="1020" w:type="pct"/>
          </w:tcPr>
          <w:p w14:paraId="271E126B" w14:textId="574FF863"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b/>
                <w:sz w:val="20"/>
              </w:rPr>
              <w:lastRenderedPageBreak/>
              <w:t>Inclusion criteria:</w:t>
            </w:r>
            <w:r w:rsidRPr="00A153AE">
              <w:rPr>
                <w:rFonts w:ascii="Arial Narrow" w:hAnsi="Arial Narrow"/>
                <w:sz w:val="20"/>
              </w:rPr>
              <w:t xml:space="preserve"> aged between 21 and 80 years, LVEF &lt;36%, the presence of ambient arrhythmias, a history of symptomatic HF and the presence of non-ischaemic DCM</w:t>
            </w:r>
          </w:p>
          <w:p w14:paraId="47B5564E" w14:textId="3E442B3C"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The absence of clinically significant CAD as the cause of the </w:t>
            </w:r>
            <w:r w:rsidR="00623F87">
              <w:rPr>
                <w:rFonts w:ascii="Arial Narrow" w:hAnsi="Arial Narrow"/>
                <w:sz w:val="20"/>
              </w:rPr>
              <w:t>CM</w:t>
            </w:r>
            <w:r w:rsidR="00623F87" w:rsidRPr="00A153AE">
              <w:rPr>
                <w:rFonts w:ascii="Arial Narrow" w:hAnsi="Arial Narrow"/>
                <w:sz w:val="20"/>
              </w:rPr>
              <w:t xml:space="preserve"> </w:t>
            </w:r>
            <w:r w:rsidRPr="00A153AE">
              <w:rPr>
                <w:rFonts w:ascii="Arial Narrow" w:hAnsi="Arial Narrow"/>
                <w:sz w:val="20"/>
              </w:rPr>
              <w:t xml:space="preserve">was confirmed by </w:t>
            </w:r>
            <w:r w:rsidR="005A6F72">
              <w:rPr>
                <w:rFonts w:ascii="Arial Narrow" w:hAnsi="Arial Narrow"/>
                <w:sz w:val="20"/>
              </w:rPr>
              <w:t>coronary angiography</w:t>
            </w:r>
            <w:r w:rsidR="005A6F72" w:rsidRPr="00A153AE">
              <w:rPr>
                <w:rFonts w:ascii="Arial Narrow" w:hAnsi="Arial Narrow"/>
                <w:sz w:val="20"/>
              </w:rPr>
              <w:t xml:space="preserve"> </w:t>
            </w:r>
            <w:r w:rsidRPr="00A153AE">
              <w:rPr>
                <w:rFonts w:ascii="Arial Narrow" w:hAnsi="Arial Narrow"/>
                <w:sz w:val="20"/>
              </w:rPr>
              <w:t>or a negative stress imaging study</w:t>
            </w:r>
          </w:p>
          <w:p w14:paraId="12BCDA76" w14:textId="56E6FAB0"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Exclusion criteria:</w:t>
            </w:r>
            <w:r w:rsidRPr="00A153AE">
              <w:rPr>
                <w:rFonts w:ascii="Arial Narrow" w:hAnsi="Arial Narrow" w:cs="Arial Narrow"/>
                <w:bCs/>
                <w:sz w:val="20"/>
              </w:rPr>
              <w:t xml:space="preserve"> patients with NYHA class IV congestive HF, not candidates for the implantation of a cardioverter–defibrillator, had undergone electrophysiological testing within the prior </w:t>
            </w:r>
            <w:r w:rsidR="00623F87">
              <w:rPr>
                <w:rFonts w:ascii="Arial Narrow" w:hAnsi="Arial Narrow" w:cs="Arial Narrow"/>
                <w:bCs/>
                <w:sz w:val="20"/>
              </w:rPr>
              <w:t>3 </w:t>
            </w:r>
            <w:r w:rsidRPr="00A153AE">
              <w:rPr>
                <w:rFonts w:ascii="Arial Narrow" w:hAnsi="Arial Narrow" w:cs="Arial Narrow"/>
                <w:bCs/>
                <w:sz w:val="20"/>
              </w:rPr>
              <w:t xml:space="preserve">months, had </w:t>
            </w:r>
            <w:r w:rsidRPr="00A153AE">
              <w:rPr>
                <w:rFonts w:ascii="Arial Narrow" w:hAnsi="Arial Narrow" w:cs="Arial Narrow"/>
                <w:bCs/>
                <w:sz w:val="20"/>
              </w:rPr>
              <w:lastRenderedPageBreak/>
              <w:t xml:space="preserve">permanent pacemakers, cardiac transplantation appeared to be imminent, </w:t>
            </w:r>
            <w:r w:rsidR="00623F87">
              <w:rPr>
                <w:rFonts w:ascii="Arial Narrow" w:hAnsi="Arial Narrow" w:cs="Arial Narrow"/>
                <w:bCs/>
                <w:sz w:val="20"/>
              </w:rPr>
              <w:t xml:space="preserve">and </w:t>
            </w:r>
            <w:r w:rsidRPr="00A153AE">
              <w:rPr>
                <w:rFonts w:ascii="Arial Narrow" w:hAnsi="Arial Narrow" w:cs="Arial Narrow"/>
                <w:bCs/>
                <w:sz w:val="20"/>
              </w:rPr>
              <w:t xml:space="preserve">familial </w:t>
            </w:r>
            <w:r w:rsidR="00623F87">
              <w:rPr>
                <w:rFonts w:ascii="Arial Narrow" w:hAnsi="Arial Narrow" w:cs="Arial Narrow"/>
                <w:bCs/>
                <w:sz w:val="20"/>
              </w:rPr>
              <w:t>CM</w:t>
            </w:r>
            <w:r w:rsidR="00623F87" w:rsidRPr="00A153AE">
              <w:rPr>
                <w:rFonts w:ascii="Arial Narrow" w:hAnsi="Arial Narrow" w:cs="Arial Narrow"/>
                <w:bCs/>
                <w:sz w:val="20"/>
              </w:rPr>
              <w:t xml:space="preserve"> </w:t>
            </w:r>
            <w:r w:rsidR="00623F87">
              <w:rPr>
                <w:rFonts w:ascii="Arial Narrow" w:hAnsi="Arial Narrow" w:cs="Arial Narrow"/>
                <w:bCs/>
                <w:sz w:val="20"/>
              </w:rPr>
              <w:t xml:space="preserve">was </w:t>
            </w:r>
            <w:r w:rsidRPr="00A153AE">
              <w:rPr>
                <w:rFonts w:ascii="Arial Narrow" w:hAnsi="Arial Narrow" w:cs="Arial Narrow"/>
                <w:bCs/>
                <w:sz w:val="20"/>
              </w:rPr>
              <w:t>associated with SCD, acute myocarditis or congenital heart disease</w:t>
            </w:r>
          </w:p>
          <w:p w14:paraId="72159876" w14:textId="14259373"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cs="Arial Narrow"/>
                <w:b/>
                <w:bCs/>
                <w:sz w:val="20"/>
              </w:rPr>
              <w:t xml:space="preserve">Median follow-up: </w:t>
            </w:r>
            <w:r w:rsidRPr="00A153AE">
              <w:rPr>
                <w:rFonts w:ascii="Arial Narrow" w:hAnsi="Arial Narrow" w:cs="Arial Narrow"/>
                <w:bCs/>
                <w:sz w:val="20"/>
              </w:rPr>
              <w:t>29.0</w:t>
            </w:r>
            <w:r w:rsidR="00623F87">
              <w:rPr>
                <w:rFonts w:ascii="Arial Narrow" w:hAnsi="Arial Narrow" w:cs="Arial Narrow"/>
                <w:bCs/>
                <w:sz w:val="20"/>
              </w:rPr>
              <w:t xml:space="preserve"> </w:t>
            </w:r>
            <w:r w:rsidRPr="00A153AE">
              <w:rPr>
                <w:rFonts w:ascii="Arial Narrow" w:hAnsi="Arial Narrow" w:cs="Arial Narrow"/>
                <w:bCs/>
                <w:sz w:val="20"/>
              </w:rPr>
              <w:t>±</w:t>
            </w:r>
            <w:r w:rsidR="00623F87">
              <w:rPr>
                <w:rFonts w:ascii="Arial Narrow" w:hAnsi="Arial Narrow" w:cs="Arial Narrow"/>
                <w:bCs/>
                <w:sz w:val="20"/>
              </w:rPr>
              <w:t xml:space="preserve"> </w:t>
            </w:r>
            <w:r w:rsidRPr="00A153AE">
              <w:rPr>
                <w:rFonts w:ascii="Arial Narrow" w:hAnsi="Arial Narrow" w:cs="Arial Narrow"/>
                <w:bCs/>
                <w:sz w:val="20"/>
              </w:rPr>
              <w:t>14.4</w:t>
            </w:r>
            <w:r w:rsidR="00623F87">
              <w:rPr>
                <w:rFonts w:ascii="Arial Narrow" w:hAnsi="Arial Narrow" w:cs="Arial Narrow"/>
                <w:bCs/>
                <w:sz w:val="20"/>
              </w:rPr>
              <w:t> </w:t>
            </w:r>
            <w:r w:rsidRPr="00A153AE">
              <w:rPr>
                <w:rFonts w:ascii="Arial Narrow" w:hAnsi="Arial Narrow" w:cs="Arial Narrow"/>
                <w:bCs/>
                <w:sz w:val="20"/>
              </w:rPr>
              <w:t>months</w:t>
            </w:r>
          </w:p>
        </w:tc>
        <w:tc>
          <w:tcPr>
            <w:tcW w:w="777" w:type="pct"/>
            <w:shd w:val="clear" w:color="auto" w:fill="auto"/>
          </w:tcPr>
          <w:p w14:paraId="4186DE87"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lastRenderedPageBreak/>
              <w:t>N=229</w:t>
            </w:r>
          </w:p>
          <w:p w14:paraId="6E13BE07"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Standard oral medical therapy plus an ICD</w:t>
            </w:r>
          </w:p>
          <w:p w14:paraId="066DFC58" w14:textId="1B9308EB"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Patients who were randomly assigned to the ICD group received a single-chamber device approved by the FDA. The ICDs were programmed to back up </w:t>
            </w:r>
            <w:r w:rsidRPr="00260BF9">
              <w:rPr>
                <w:rFonts w:ascii="Arial Narrow" w:hAnsi="Arial Narrow"/>
                <w:sz w:val="20"/>
              </w:rPr>
              <w:t>VVI</w:t>
            </w:r>
            <w:r w:rsidRPr="00A153AE">
              <w:rPr>
                <w:rFonts w:ascii="Arial Narrow" w:hAnsi="Arial Narrow"/>
                <w:sz w:val="20"/>
              </w:rPr>
              <w:t xml:space="preserve"> pacing at a rate of 40</w:t>
            </w:r>
            <w:r w:rsidR="003D017C">
              <w:rPr>
                <w:rFonts w:ascii="Arial Narrow" w:hAnsi="Arial Narrow"/>
                <w:sz w:val="20"/>
              </w:rPr>
              <w:t> bpm</w:t>
            </w:r>
            <w:r w:rsidRPr="00A153AE">
              <w:rPr>
                <w:rFonts w:ascii="Arial Narrow" w:hAnsi="Arial Narrow"/>
                <w:sz w:val="20"/>
              </w:rPr>
              <w:t xml:space="preserve"> and to detect</w:t>
            </w:r>
            <w:r w:rsidR="003D017C">
              <w:rPr>
                <w:rFonts w:ascii="Arial Narrow" w:hAnsi="Arial Narrow"/>
                <w:sz w:val="20"/>
              </w:rPr>
              <w:t xml:space="preserve"> VF</w:t>
            </w:r>
            <w:r w:rsidRPr="00A153AE">
              <w:rPr>
                <w:rFonts w:ascii="Arial Narrow" w:hAnsi="Arial Narrow"/>
                <w:sz w:val="20"/>
              </w:rPr>
              <w:t xml:space="preserve"> at a rate of 180</w:t>
            </w:r>
            <w:r w:rsidR="003D017C">
              <w:rPr>
                <w:rFonts w:ascii="Arial Narrow" w:hAnsi="Arial Narrow"/>
                <w:sz w:val="20"/>
              </w:rPr>
              <w:t> bpm</w:t>
            </w:r>
            <w:r w:rsidRPr="00A153AE">
              <w:rPr>
                <w:rFonts w:ascii="Arial Narrow" w:hAnsi="Arial Narrow"/>
                <w:sz w:val="20"/>
              </w:rPr>
              <w:t xml:space="preserve">. </w:t>
            </w:r>
          </w:p>
          <w:p w14:paraId="447681BA" w14:textId="72C9DC0F"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All patients were evaluated at </w:t>
            </w:r>
            <w:r w:rsidR="003D017C">
              <w:rPr>
                <w:rFonts w:ascii="Arial Narrow" w:hAnsi="Arial Narrow"/>
                <w:sz w:val="20"/>
              </w:rPr>
              <w:t>3</w:t>
            </w:r>
            <w:r w:rsidRPr="00A153AE">
              <w:rPr>
                <w:rFonts w:ascii="Arial Narrow" w:hAnsi="Arial Narrow"/>
                <w:sz w:val="20"/>
              </w:rPr>
              <w:t>-month intervals.</w:t>
            </w:r>
          </w:p>
        </w:tc>
        <w:tc>
          <w:tcPr>
            <w:tcW w:w="1068" w:type="pct"/>
            <w:shd w:val="clear" w:color="auto" w:fill="auto"/>
          </w:tcPr>
          <w:p w14:paraId="115B9A89"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N=229</w:t>
            </w:r>
          </w:p>
          <w:p w14:paraId="024424B5"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Standard oral medical therapy for HF</w:t>
            </w:r>
          </w:p>
          <w:p w14:paraId="0B40EA4E" w14:textId="450C3099"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All patients received ACE inhibitors and </w:t>
            </w:r>
            <w:r w:rsidR="007076D7">
              <w:rPr>
                <w:rFonts w:ascii="Arial Narrow" w:hAnsi="Arial Narrow"/>
                <w:sz w:val="20"/>
              </w:rPr>
              <w:sym w:font="Symbol" w:char="F062"/>
            </w:r>
            <w:r w:rsidRPr="00A153AE">
              <w:rPr>
                <w:rFonts w:ascii="Arial Narrow" w:hAnsi="Arial Narrow"/>
                <w:sz w:val="20"/>
              </w:rPr>
              <w:t>-blockers, digoxin and diuretics therapy as required.</w:t>
            </w:r>
          </w:p>
          <w:p w14:paraId="54696ECE"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The use of amiodarone was discouraged unless patients had symptomatic AF or arrhythmias requiring treatment.</w:t>
            </w:r>
          </w:p>
          <w:p w14:paraId="6BCCB5B5"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 xml:space="preserve">According to pre-specified criteria, patients in the SMT group received an ICD if they had a cardiac arrest or an episode of unexplained syncope that was consistent with the occurrence of an arrhythmic </w:t>
            </w:r>
            <w:r w:rsidRPr="00A153AE">
              <w:rPr>
                <w:rFonts w:ascii="Arial Narrow" w:hAnsi="Arial Narrow"/>
                <w:sz w:val="20"/>
              </w:rPr>
              <w:lastRenderedPageBreak/>
              <w:t>event.</w:t>
            </w:r>
          </w:p>
        </w:tc>
        <w:tc>
          <w:tcPr>
            <w:tcW w:w="583" w:type="pct"/>
            <w:shd w:val="clear" w:color="auto" w:fill="auto"/>
          </w:tcPr>
          <w:p w14:paraId="2763CC5A" w14:textId="5D469C9E" w:rsidR="00803845" w:rsidRPr="00BA665C" w:rsidRDefault="00803845" w:rsidP="004C79C1">
            <w:pPr>
              <w:spacing w:before="0" w:after="120" w:line="240" w:lineRule="auto"/>
              <w:ind w:right="-57"/>
              <w:rPr>
                <w:rFonts w:ascii="Arial Narrow" w:hAnsi="Arial Narrow"/>
                <w:b/>
                <w:sz w:val="20"/>
              </w:rPr>
            </w:pPr>
            <w:r w:rsidRPr="00BA665C">
              <w:rPr>
                <w:rFonts w:ascii="Arial Narrow" w:hAnsi="Arial Narrow"/>
                <w:b/>
                <w:sz w:val="20"/>
              </w:rPr>
              <w:lastRenderedPageBreak/>
              <w:t>Primary endpoint</w:t>
            </w:r>
            <w:r w:rsidR="00773386" w:rsidRPr="0020677A">
              <w:rPr>
                <w:rFonts w:ascii="Arial Narrow" w:hAnsi="Arial Narrow"/>
                <w:b/>
                <w:sz w:val="20"/>
              </w:rPr>
              <w:t>:</w:t>
            </w:r>
          </w:p>
          <w:p w14:paraId="3AA36C3E"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All-cause mortality</w:t>
            </w:r>
          </w:p>
          <w:p w14:paraId="2A7C4E4E" w14:textId="78F34571" w:rsidR="00803845" w:rsidRPr="00BA665C" w:rsidRDefault="00803845" w:rsidP="004C79C1">
            <w:pPr>
              <w:spacing w:before="0" w:after="120" w:line="240" w:lineRule="auto"/>
              <w:ind w:right="-57"/>
              <w:rPr>
                <w:rFonts w:ascii="Arial Narrow" w:hAnsi="Arial Narrow"/>
                <w:b/>
                <w:sz w:val="20"/>
              </w:rPr>
            </w:pPr>
            <w:r w:rsidRPr="00BA665C">
              <w:rPr>
                <w:rFonts w:ascii="Arial Narrow" w:hAnsi="Arial Narrow"/>
                <w:b/>
                <w:sz w:val="20"/>
              </w:rPr>
              <w:t>Secondary endpoint</w:t>
            </w:r>
            <w:r w:rsidR="00773386" w:rsidRPr="0020677A">
              <w:rPr>
                <w:rFonts w:ascii="Arial Narrow" w:hAnsi="Arial Narrow"/>
                <w:b/>
                <w:sz w:val="20"/>
              </w:rPr>
              <w:t>:</w:t>
            </w:r>
          </w:p>
          <w:p w14:paraId="7DD4E09F"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SCD from arrhythmia</w:t>
            </w:r>
          </w:p>
          <w:p w14:paraId="6ABA2F3E" w14:textId="27BBFD68" w:rsidR="00803845" w:rsidRPr="00BA665C" w:rsidRDefault="00803845" w:rsidP="004C79C1">
            <w:pPr>
              <w:spacing w:before="0" w:after="120" w:line="240" w:lineRule="auto"/>
              <w:ind w:right="-57"/>
              <w:rPr>
                <w:rFonts w:ascii="Arial Narrow" w:hAnsi="Arial Narrow"/>
                <w:b/>
                <w:sz w:val="20"/>
              </w:rPr>
            </w:pPr>
            <w:r w:rsidRPr="00BA665C">
              <w:rPr>
                <w:rFonts w:ascii="Arial Narrow" w:hAnsi="Arial Narrow"/>
                <w:b/>
                <w:sz w:val="20"/>
              </w:rPr>
              <w:t>Other outcomes</w:t>
            </w:r>
            <w:r w:rsidR="00773386" w:rsidRPr="0020677A">
              <w:rPr>
                <w:rFonts w:ascii="Arial Narrow" w:hAnsi="Arial Narrow"/>
                <w:b/>
                <w:sz w:val="20"/>
              </w:rPr>
              <w:t>:</w:t>
            </w:r>
          </w:p>
          <w:p w14:paraId="03B3448E"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Cardiac death</w:t>
            </w:r>
          </w:p>
          <w:p w14:paraId="0F59A5B3"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HF death</w:t>
            </w:r>
          </w:p>
          <w:p w14:paraId="7D367AA6" w14:textId="77777777"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Arrhythmia events</w:t>
            </w:r>
          </w:p>
          <w:p w14:paraId="2E0C1C1B" w14:textId="71F55446"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sz w:val="20"/>
              </w:rPr>
              <w:t>HRQ</w:t>
            </w:r>
            <w:r w:rsidR="00773386">
              <w:rPr>
                <w:rFonts w:ascii="Arial Narrow" w:hAnsi="Arial Narrow"/>
                <w:sz w:val="20"/>
              </w:rPr>
              <w:t>o</w:t>
            </w:r>
            <w:r w:rsidRPr="00A153AE">
              <w:rPr>
                <w:rFonts w:ascii="Arial Narrow" w:hAnsi="Arial Narrow"/>
                <w:sz w:val="20"/>
              </w:rPr>
              <w:t>L</w:t>
            </w:r>
          </w:p>
        </w:tc>
      </w:tr>
      <w:tr w:rsidR="00803845" w:rsidRPr="00A153AE" w14:paraId="2BBD953E" w14:textId="77777777" w:rsidTr="00BE5D7C">
        <w:tc>
          <w:tcPr>
            <w:tcW w:w="533" w:type="pct"/>
          </w:tcPr>
          <w:p w14:paraId="6B7281A2" w14:textId="77777777" w:rsidR="00803845" w:rsidRDefault="00803845" w:rsidP="004C79C1">
            <w:pPr>
              <w:spacing w:before="0" w:after="120" w:line="240" w:lineRule="auto"/>
              <w:rPr>
                <w:rFonts w:ascii="Arial Narrow" w:hAnsi="Arial Narrow" w:cs="Arial Narrow"/>
                <w:bCs/>
                <w:sz w:val="20"/>
              </w:rPr>
            </w:pPr>
            <w:r>
              <w:rPr>
                <w:rFonts w:ascii="Arial Narrow" w:hAnsi="Arial Narrow" w:cs="Arial Narrow"/>
                <w:bCs/>
                <w:sz w:val="20"/>
              </w:rPr>
              <w:lastRenderedPageBreak/>
              <w:t>SCD-HeFT trial</w:t>
            </w:r>
            <w:r w:rsidRPr="00DF41E8">
              <w:rPr>
                <w:rFonts w:ascii="Arial Narrow" w:hAnsi="Arial Narrow" w:cs="Arial Narrow"/>
                <w:bCs/>
                <w:sz w:val="20"/>
              </w:rPr>
              <w:t xml:space="preserve"> </w:t>
            </w:r>
          </w:p>
          <w:p w14:paraId="22E41B84" w14:textId="77777777" w:rsidR="00803845" w:rsidRDefault="00803845" w:rsidP="004C79C1">
            <w:pPr>
              <w:spacing w:before="0" w:after="120" w:line="240" w:lineRule="auto"/>
              <w:rPr>
                <w:rFonts w:ascii="Arial Narrow" w:hAnsi="Arial Narrow" w:cs="Arial Narrow"/>
                <w:bCs/>
                <w:sz w:val="20"/>
              </w:rPr>
            </w:pPr>
          </w:p>
          <w:p w14:paraId="24004D94" w14:textId="77777777" w:rsidR="00803845" w:rsidRDefault="00803845" w:rsidP="004C79C1">
            <w:pPr>
              <w:spacing w:before="0" w:after="120" w:line="240" w:lineRule="auto"/>
              <w:rPr>
                <w:rFonts w:ascii="Arial Narrow" w:hAnsi="Arial Narrow" w:cs="Arial Narrow"/>
                <w:bCs/>
                <w:sz w:val="20"/>
              </w:rPr>
            </w:pPr>
            <w:r w:rsidRPr="00726CCC">
              <w:rPr>
                <w:rFonts w:ascii="Arial Narrow" w:hAnsi="Arial Narrow" w:cs="Arial Narrow"/>
                <w:bCs/>
                <w:sz w:val="20"/>
              </w:rPr>
              <w:t xml:space="preserve">Bardy et al. </w:t>
            </w:r>
            <w:r w:rsidRPr="00726CCC">
              <w:rPr>
                <w:rFonts w:ascii="Arial Narrow" w:hAnsi="Arial Narrow" w:cs="Arial Narrow"/>
                <w:bCs/>
                <w:sz w:val="20"/>
              </w:rPr>
              <w:lastRenderedPageBreak/>
              <w:t>(2005)</w:t>
            </w:r>
          </w:p>
          <w:p w14:paraId="3AACEA34" w14:textId="1B4C60E0" w:rsidR="00803845" w:rsidRDefault="00803845" w:rsidP="004C79C1">
            <w:pPr>
              <w:spacing w:before="0" w:after="120" w:line="240" w:lineRule="auto"/>
              <w:rPr>
                <w:rFonts w:ascii="Arial Narrow" w:hAnsi="Arial Narrow" w:cs="Arial Narrow"/>
                <w:bCs/>
                <w:sz w:val="20"/>
              </w:rPr>
            </w:pPr>
            <w:r w:rsidRPr="00141050">
              <w:rPr>
                <w:rFonts w:ascii="Arial Narrow" w:hAnsi="Arial Narrow" w:cs="Arial Narrow"/>
                <w:bCs/>
                <w:sz w:val="20"/>
              </w:rPr>
              <w:t>Packer et al. (2009)</w:t>
            </w:r>
          </w:p>
          <w:p w14:paraId="16A192A7" w14:textId="77777777" w:rsidR="00803845" w:rsidRDefault="00803845" w:rsidP="004C79C1">
            <w:pPr>
              <w:spacing w:before="0" w:after="120" w:line="240" w:lineRule="auto"/>
              <w:rPr>
                <w:rFonts w:ascii="Arial Narrow" w:hAnsi="Arial Narrow" w:cs="Arial Narrow"/>
                <w:bCs/>
                <w:sz w:val="20"/>
              </w:rPr>
            </w:pPr>
          </w:p>
          <w:p w14:paraId="4F83C844" w14:textId="77777777" w:rsidR="00803845" w:rsidRDefault="00803845" w:rsidP="004C79C1">
            <w:pPr>
              <w:spacing w:before="0" w:after="120" w:line="240" w:lineRule="auto"/>
              <w:rPr>
                <w:rFonts w:ascii="Arial Narrow" w:hAnsi="Arial Narrow" w:cs="Arial Narrow"/>
                <w:bCs/>
                <w:sz w:val="20"/>
              </w:rPr>
            </w:pPr>
            <w:r>
              <w:rPr>
                <w:rFonts w:ascii="Arial Narrow" w:hAnsi="Arial Narrow" w:cs="Arial Narrow"/>
                <w:bCs/>
                <w:sz w:val="20"/>
              </w:rPr>
              <w:t>USA, Canada and New Zealand</w:t>
            </w:r>
          </w:p>
          <w:p w14:paraId="0DA6AA01" w14:textId="77777777" w:rsidR="00803845" w:rsidRDefault="00803845" w:rsidP="004C79C1">
            <w:pPr>
              <w:spacing w:before="0" w:after="120" w:line="240" w:lineRule="auto"/>
              <w:rPr>
                <w:rFonts w:ascii="Arial Narrow" w:hAnsi="Arial Narrow" w:cs="Arial Narrow"/>
                <w:bCs/>
                <w:sz w:val="20"/>
              </w:rPr>
            </w:pPr>
          </w:p>
          <w:p w14:paraId="4DD49EE9" w14:textId="77777777" w:rsidR="00803845" w:rsidRPr="00180B42" w:rsidRDefault="00803845" w:rsidP="004C79C1">
            <w:pPr>
              <w:spacing w:before="0" w:after="120" w:line="240" w:lineRule="auto"/>
              <w:rPr>
                <w:rFonts w:ascii="Arial Narrow" w:hAnsi="Arial Narrow" w:cs="Arial Narrow"/>
                <w:bCs/>
                <w:sz w:val="20"/>
              </w:rPr>
            </w:pPr>
            <w:r w:rsidRPr="00A153AE">
              <w:rPr>
                <w:rFonts w:ascii="Arial Narrow" w:hAnsi="Arial Narrow" w:cs="Arial Narrow"/>
                <w:bCs/>
                <w:sz w:val="20"/>
              </w:rPr>
              <w:t>SIGN</w:t>
            </w:r>
            <w:r>
              <w:rPr>
                <w:rFonts w:ascii="Arial Narrow" w:hAnsi="Arial Narrow" w:cs="Arial Narrow"/>
                <w:bCs/>
                <w:sz w:val="20"/>
              </w:rPr>
              <w:t xml:space="preserve"> RCT</w:t>
            </w:r>
            <w:r w:rsidRPr="00A153AE">
              <w:rPr>
                <w:rFonts w:ascii="Arial Narrow" w:hAnsi="Arial Narrow" w:cs="Arial Narrow"/>
                <w:bCs/>
                <w:sz w:val="20"/>
              </w:rPr>
              <w:t xml:space="preserve">: </w:t>
            </w:r>
            <w:r w:rsidRPr="00281429">
              <w:rPr>
                <w:rFonts w:ascii="Arial Narrow" w:hAnsi="Arial Narrow" w:cs="Arial Narrow"/>
                <w:bCs/>
                <w:sz w:val="20"/>
              </w:rPr>
              <w:t>Adequate quality with a moderate risk of bias</w:t>
            </w:r>
          </w:p>
        </w:tc>
        <w:tc>
          <w:tcPr>
            <w:tcW w:w="1019" w:type="pct"/>
          </w:tcPr>
          <w:p w14:paraId="70E13379" w14:textId="481CA523" w:rsidR="00803845" w:rsidRDefault="00803845" w:rsidP="004C79C1">
            <w:pPr>
              <w:spacing w:before="0" w:after="120" w:line="240" w:lineRule="auto"/>
              <w:rPr>
                <w:rFonts w:ascii="Arial Narrow" w:hAnsi="Arial Narrow" w:cs="Arial Narrow"/>
                <w:bCs/>
                <w:sz w:val="20"/>
              </w:rPr>
            </w:pPr>
            <w:r>
              <w:rPr>
                <w:rFonts w:ascii="Arial Narrow" w:hAnsi="Arial Narrow" w:cs="Arial Narrow"/>
                <w:bCs/>
                <w:sz w:val="20"/>
              </w:rPr>
              <w:lastRenderedPageBreak/>
              <w:t xml:space="preserve">N=2,521 </w:t>
            </w:r>
            <w:r w:rsidRPr="007C43E0">
              <w:rPr>
                <w:rFonts w:ascii="Arial Narrow" w:hAnsi="Arial Narrow" w:cs="Arial Narrow"/>
                <w:bCs/>
                <w:sz w:val="20"/>
              </w:rPr>
              <w:t xml:space="preserve">patients </w:t>
            </w:r>
            <w:r>
              <w:rPr>
                <w:rFonts w:ascii="Arial Narrow" w:hAnsi="Arial Narrow" w:cs="Arial Narrow"/>
                <w:bCs/>
                <w:sz w:val="20"/>
              </w:rPr>
              <w:t xml:space="preserve">with mild to moderate </w:t>
            </w:r>
            <w:r w:rsidRPr="00910849">
              <w:rPr>
                <w:rFonts w:ascii="Arial Narrow" w:hAnsi="Arial Narrow" w:cs="Arial Narrow"/>
                <w:bCs/>
                <w:sz w:val="20"/>
              </w:rPr>
              <w:t>chronic, stable CHF</w:t>
            </w:r>
            <w:r>
              <w:rPr>
                <w:rFonts w:ascii="Arial Narrow" w:hAnsi="Arial Narrow" w:cs="Arial Narrow"/>
                <w:bCs/>
                <w:sz w:val="20"/>
              </w:rPr>
              <w:t xml:space="preserve"> </w:t>
            </w:r>
            <w:r w:rsidRPr="00910849">
              <w:rPr>
                <w:rFonts w:ascii="Arial Narrow" w:hAnsi="Arial Narrow" w:cs="Arial Narrow"/>
                <w:bCs/>
                <w:sz w:val="20"/>
              </w:rPr>
              <w:t>from ischaemic or</w:t>
            </w:r>
            <w:r>
              <w:rPr>
                <w:rFonts w:ascii="Arial Narrow" w:hAnsi="Arial Narrow" w:cs="Arial Narrow"/>
                <w:bCs/>
                <w:sz w:val="20"/>
              </w:rPr>
              <w:t xml:space="preserve"> </w:t>
            </w:r>
            <w:r w:rsidRPr="00910849">
              <w:rPr>
                <w:rFonts w:ascii="Arial Narrow" w:hAnsi="Arial Narrow" w:cs="Arial Narrow"/>
                <w:bCs/>
                <w:sz w:val="20"/>
              </w:rPr>
              <w:t xml:space="preserve">non-ischaemic </w:t>
            </w:r>
            <w:r w:rsidRPr="00910849">
              <w:rPr>
                <w:rFonts w:ascii="Arial Narrow" w:hAnsi="Arial Narrow" w:cs="Arial Narrow"/>
                <w:bCs/>
                <w:sz w:val="20"/>
              </w:rPr>
              <w:lastRenderedPageBreak/>
              <w:t>causes</w:t>
            </w:r>
            <w:r>
              <w:rPr>
                <w:rFonts w:ascii="Arial Narrow" w:hAnsi="Arial Narrow" w:cs="Arial Narrow"/>
                <w:bCs/>
                <w:sz w:val="20"/>
              </w:rPr>
              <w:t>, and LVEF</w:t>
            </w:r>
            <w:r w:rsidRPr="00B37B78">
              <w:rPr>
                <w:rFonts w:ascii="Arial Narrow" w:hAnsi="Arial Narrow" w:cs="Arial Narrow"/>
                <w:bCs/>
                <w:sz w:val="20"/>
              </w:rPr>
              <w:t xml:space="preserve"> </w:t>
            </w:r>
            <w:r>
              <w:rPr>
                <w:rFonts w:ascii="Arial Narrow" w:hAnsi="Arial Narrow" w:cs="Arial Narrow"/>
                <w:bCs/>
                <w:sz w:val="20"/>
              </w:rPr>
              <w:t>&lt;</w:t>
            </w:r>
            <w:r w:rsidRPr="00B37B78">
              <w:rPr>
                <w:rFonts w:ascii="Arial Narrow" w:hAnsi="Arial Narrow" w:cs="Arial Narrow"/>
                <w:bCs/>
                <w:sz w:val="20"/>
              </w:rPr>
              <w:t>36</w:t>
            </w:r>
            <w:r>
              <w:rPr>
                <w:rFonts w:ascii="Arial Narrow" w:hAnsi="Arial Narrow" w:cs="Arial Narrow"/>
                <w:bCs/>
                <w:sz w:val="20"/>
              </w:rPr>
              <w:t>%</w:t>
            </w:r>
          </w:p>
          <w:p w14:paraId="0A809934" w14:textId="0DF7F999" w:rsidR="00803845" w:rsidRDefault="00803845" w:rsidP="004C79C1">
            <w:pPr>
              <w:spacing w:before="0" w:after="120" w:line="240" w:lineRule="auto"/>
              <w:rPr>
                <w:rFonts w:ascii="Arial Narrow" w:hAnsi="Arial Narrow" w:cs="Arial Narrow"/>
                <w:bCs/>
                <w:sz w:val="20"/>
              </w:rPr>
            </w:pPr>
            <w:r>
              <w:rPr>
                <w:rFonts w:ascii="Arial Narrow" w:hAnsi="Arial Narrow" w:cs="Arial Narrow"/>
                <w:bCs/>
                <w:sz w:val="20"/>
              </w:rPr>
              <w:t>Patients were</w:t>
            </w:r>
            <w:r w:rsidRPr="00CF7DB5">
              <w:rPr>
                <w:rFonts w:ascii="Arial Narrow" w:hAnsi="Arial Narrow" w:cs="Arial Narrow"/>
                <w:bCs/>
                <w:sz w:val="20"/>
              </w:rPr>
              <w:t xml:space="preserve"> randomi</w:t>
            </w:r>
            <w:r w:rsidR="00F62B3B">
              <w:rPr>
                <w:rFonts w:ascii="Arial Narrow" w:hAnsi="Arial Narrow" w:cs="Arial Narrow"/>
                <w:bCs/>
                <w:sz w:val="20"/>
              </w:rPr>
              <w:t>s</w:t>
            </w:r>
            <w:r w:rsidRPr="00CF7DB5">
              <w:rPr>
                <w:rFonts w:ascii="Arial Narrow" w:hAnsi="Arial Narrow" w:cs="Arial Narrow"/>
                <w:bCs/>
                <w:sz w:val="20"/>
              </w:rPr>
              <w:t xml:space="preserve">ed to receive either </w:t>
            </w:r>
            <w:r>
              <w:rPr>
                <w:rFonts w:ascii="Arial Narrow" w:hAnsi="Arial Narrow" w:cs="Arial Narrow"/>
                <w:bCs/>
                <w:sz w:val="20"/>
              </w:rPr>
              <w:t xml:space="preserve">OPT plus </w:t>
            </w:r>
            <w:r w:rsidRPr="00CF7DB5">
              <w:rPr>
                <w:rFonts w:ascii="Arial Narrow" w:hAnsi="Arial Narrow" w:cs="Arial Narrow"/>
                <w:bCs/>
                <w:sz w:val="20"/>
              </w:rPr>
              <w:t>amiodarone</w:t>
            </w:r>
            <w:r>
              <w:rPr>
                <w:rFonts w:ascii="Arial Narrow" w:hAnsi="Arial Narrow" w:cs="Arial Narrow"/>
                <w:bCs/>
                <w:sz w:val="20"/>
              </w:rPr>
              <w:t>, a placebo</w:t>
            </w:r>
            <w:r w:rsidRPr="00CF7DB5">
              <w:rPr>
                <w:rFonts w:ascii="Arial Narrow" w:hAnsi="Arial Narrow" w:cs="Arial Narrow"/>
                <w:bCs/>
                <w:sz w:val="20"/>
              </w:rPr>
              <w:t xml:space="preserve"> or an ICD.</w:t>
            </w:r>
          </w:p>
          <w:p w14:paraId="040366C3" w14:textId="77777777" w:rsidR="00F62B3B" w:rsidRDefault="00803845" w:rsidP="004C79C1">
            <w:pPr>
              <w:spacing w:before="0" w:after="120" w:line="240" w:lineRule="auto"/>
              <w:rPr>
                <w:rFonts w:ascii="Arial Narrow" w:hAnsi="Arial Narrow" w:cs="Arial Narrow"/>
                <w:bCs/>
                <w:sz w:val="20"/>
              </w:rPr>
            </w:pPr>
            <w:r>
              <w:rPr>
                <w:rFonts w:ascii="Arial Narrow" w:hAnsi="Arial Narrow" w:cs="Arial Narrow"/>
                <w:b/>
                <w:bCs/>
                <w:sz w:val="20"/>
              </w:rPr>
              <w:t>Intervention</w:t>
            </w:r>
            <w:r w:rsidRPr="00910849">
              <w:rPr>
                <w:rFonts w:ascii="Arial Narrow" w:hAnsi="Arial Narrow" w:cs="Arial Narrow"/>
                <w:b/>
                <w:bCs/>
                <w:sz w:val="20"/>
              </w:rPr>
              <w:t xml:space="preserve"> group:</w:t>
            </w:r>
            <w:r>
              <w:rPr>
                <w:rFonts w:ascii="Arial Narrow" w:hAnsi="Arial Narrow" w:cs="Arial Narrow"/>
                <w:bCs/>
                <w:sz w:val="20"/>
              </w:rPr>
              <w:t xml:space="preserve"> </w:t>
            </w:r>
          </w:p>
          <w:p w14:paraId="76577B75" w14:textId="77777777" w:rsidR="00F62B3B"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t xml:space="preserve">median </w:t>
            </w:r>
            <w:r w:rsidRPr="00A153AE">
              <w:rPr>
                <w:rFonts w:ascii="Arial Narrow" w:hAnsi="Arial Narrow" w:cs="Arial Narrow"/>
                <w:bCs/>
                <w:sz w:val="20"/>
              </w:rPr>
              <w:t xml:space="preserve">age = </w:t>
            </w:r>
            <w:r>
              <w:rPr>
                <w:rFonts w:ascii="Arial Narrow" w:hAnsi="Arial Narrow" w:cs="Arial Narrow"/>
                <w:bCs/>
                <w:sz w:val="20"/>
              </w:rPr>
              <w:t>60.1</w:t>
            </w:r>
            <w:r w:rsidRPr="00A153AE">
              <w:rPr>
                <w:rFonts w:ascii="Arial Narrow" w:hAnsi="Arial Narrow" w:cs="Arial Narrow"/>
                <w:bCs/>
                <w:sz w:val="20"/>
              </w:rPr>
              <w:t xml:space="preserve"> </w:t>
            </w:r>
            <w:r>
              <w:rPr>
                <w:rFonts w:ascii="Arial Narrow" w:hAnsi="Arial Narrow" w:cs="Arial Narrow"/>
                <w:bCs/>
                <w:sz w:val="20"/>
              </w:rPr>
              <w:t>(IQR</w:t>
            </w:r>
            <w:r w:rsidRPr="00A153AE">
              <w:rPr>
                <w:rFonts w:ascii="Arial Narrow" w:hAnsi="Arial Narrow" w:cs="Arial Narrow"/>
                <w:bCs/>
                <w:sz w:val="20"/>
              </w:rPr>
              <w:t xml:space="preserve"> </w:t>
            </w:r>
            <w:r>
              <w:rPr>
                <w:rFonts w:ascii="Arial Narrow" w:hAnsi="Arial Narrow" w:cs="Arial Narrow"/>
                <w:bCs/>
                <w:sz w:val="20"/>
              </w:rPr>
              <w:t>5</w:t>
            </w:r>
            <w:r w:rsidRPr="00A153AE">
              <w:rPr>
                <w:rFonts w:ascii="Arial Narrow" w:hAnsi="Arial Narrow" w:cs="Arial Narrow"/>
                <w:bCs/>
                <w:sz w:val="20"/>
              </w:rPr>
              <w:t>1</w:t>
            </w:r>
            <w:r>
              <w:rPr>
                <w:rFonts w:ascii="Arial Narrow" w:hAnsi="Arial Narrow" w:cs="Arial Narrow"/>
                <w:bCs/>
                <w:sz w:val="20"/>
              </w:rPr>
              <w:t>.9–69</w:t>
            </w:r>
            <w:r w:rsidRPr="00A153AE">
              <w:rPr>
                <w:rFonts w:ascii="Arial Narrow" w:hAnsi="Arial Narrow" w:cs="Arial Narrow"/>
                <w:bCs/>
                <w:sz w:val="20"/>
              </w:rPr>
              <w:t>.</w:t>
            </w:r>
            <w:r>
              <w:rPr>
                <w:rFonts w:ascii="Arial Narrow" w:hAnsi="Arial Narrow" w:cs="Arial Narrow"/>
                <w:bCs/>
                <w:sz w:val="20"/>
              </w:rPr>
              <w:t>2)</w:t>
            </w:r>
            <w:r w:rsidRPr="00A153AE">
              <w:rPr>
                <w:rFonts w:ascii="Arial Narrow" w:hAnsi="Arial Narrow" w:cs="Arial Narrow"/>
                <w:bCs/>
                <w:sz w:val="20"/>
              </w:rPr>
              <w:t xml:space="preserve"> years; </w:t>
            </w:r>
          </w:p>
          <w:p w14:paraId="3F059982" w14:textId="77777777" w:rsidR="00F62B3B"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gender = 7</w:t>
            </w:r>
            <w:r>
              <w:rPr>
                <w:rFonts w:ascii="Arial Narrow" w:hAnsi="Arial Narrow" w:cs="Arial Narrow"/>
                <w:bCs/>
                <w:sz w:val="20"/>
              </w:rPr>
              <w:t>7</w:t>
            </w:r>
            <w:r w:rsidRPr="00A153AE">
              <w:rPr>
                <w:rFonts w:ascii="Arial Narrow" w:hAnsi="Arial Narrow" w:cs="Arial Narrow"/>
                <w:bCs/>
                <w:sz w:val="20"/>
              </w:rPr>
              <w:t xml:space="preserve">% male; </w:t>
            </w:r>
          </w:p>
          <w:p w14:paraId="04341D78" w14:textId="77777777" w:rsidR="00F62B3B"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history of AF </w:t>
            </w:r>
            <w:r>
              <w:rPr>
                <w:rFonts w:ascii="Arial Narrow" w:hAnsi="Arial Narrow" w:cs="Arial Narrow"/>
                <w:bCs/>
                <w:sz w:val="20"/>
              </w:rPr>
              <w:t xml:space="preserve">or flutter </w:t>
            </w:r>
            <w:r w:rsidRPr="00A153AE">
              <w:rPr>
                <w:rFonts w:ascii="Arial Narrow" w:hAnsi="Arial Narrow" w:cs="Arial Narrow"/>
                <w:bCs/>
                <w:sz w:val="20"/>
              </w:rPr>
              <w:t xml:space="preserve">= </w:t>
            </w:r>
            <w:r>
              <w:rPr>
                <w:rFonts w:ascii="Arial Narrow" w:hAnsi="Arial Narrow" w:cs="Arial Narrow"/>
                <w:bCs/>
                <w:sz w:val="20"/>
              </w:rPr>
              <w:t>17</w:t>
            </w:r>
            <w:r w:rsidRPr="00A153AE">
              <w:rPr>
                <w:rFonts w:ascii="Arial Narrow" w:hAnsi="Arial Narrow" w:cs="Arial Narrow"/>
                <w:bCs/>
                <w:sz w:val="20"/>
              </w:rPr>
              <w:t xml:space="preserve">%; </w:t>
            </w:r>
            <w:r>
              <w:rPr>
                <w:rFonts w:ascii="Arial Narrow" w:hAnsi="Arial Narrow" w:cs="Arial Narrow"/>
                <w:bCs/>
                <w:sz w:val="20"/>
              </w:rPr>
              <w:t xml:space="preserve">non-sustained VF = 25%; syncope = 6%; </w:t>
            </w:r>
          </w:p>
          <w:p w14:paraId="48B3492B"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me</w:t>
            </w:r>
            <w:r>
              <w:rPr>
                <w:rFonts w:ascii="Arial Narrow" w:hAnsi="Arial Narrow" w:cs="Arial Narrow"/>
                <w:bCs/>
                <w:sz w:val="20"/>
              </w:rPr>
              <w:t>di</w:t>
            </w:r>
            <w:r w:rsidRPr="00A153AE">
              <w:rPr>
                <w:rFonts w:ascii="Arial Narrow" w:hAnsi="Arial Narrow" w:cs="Arial Narrow"/>
                <w:bCs/>
                <w:sz w:val="20"/>
              </w:rPr>
              <w:t>an (range) LVEF = 2</w:t>
            </w:r>
            <w:r>
              <w:rPr>
                <w:rFonts w:ascii="Arial Narrow" w:hAnsi="Arial Narrow" w:cs="Arial Narrow"/>
                <w:bCs/>
                <w:sz w:val="20"/>
              </w:rPr>
              <w:t>4</w:t>
            </w:r>
            <w:r w:rsidRPr="00A153AE">
              <w:rPr>
                <w:rFonts w:ascii="Arial Narrow" w:hAnsi="Arial Narrow" w:cs="Arial Narrow"/>
                <w:bCs/>
                <w:sz w:val="20"/>
              </w:rPr>
              <w:t>% (</w:t>
            </w:r>
            <w:r>
              <w:rPr>
                <w:rFonts w:ascii="Arial Narrow" w:hAnsi="Arial Narrow" w:cs="Arial Narrow"/>
                <w:bCs/>
                <w:sz w:val="20"/>
              </w:rPr>
              <w:t>IQR 19</w:t>
            </w:r>
            <w:r w:rsidRPr="00A153AE">
              <w:rPr>
                <w:rFonts w:ascii="Arial Narrow" w:hAnsi="Arial Narrow" w:cs="Arial Narrow"/>
                <w:bCs/>
                <w:sz w:val="20"/>
              </w:rPr>
              <w:t>–3</w:t>
            </w:r>
            <w:r>
              <w:rPr>
                <w:rFonts w:ascii="Arial Narrow" w:hAnsi="Arial Narrow" w:cs="Arial Narrow"/>
                <w:bCs/>
                <w:sz w:val="20"/>
              </w:rPr>
              <w:t>0</w:t>
            </w:r>
            <w:r w:rsidRPr="00A153AE">
              <w:rPr>
                <w:rFonts w:ascii="Arial Narrow" w:hAnsi="Arial Narrow" w:cs="Arial Narrow"/>
                <w:bCs/>
                <w:sz w:val="20"/>
              </w:rPr>
              <w:t xml:space="preserve">); </w:t>
            </w:r>
          </w:p>
          <w:p w14:paraId="02821744" w14:textId="12FDC8A8" w:rsidR="00803845" w:rsidRPr="00A153AE"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t xml:space="preserve">medications: ACE inhibitor = 83%, ARB = 14%, </w:t>
            </w:r>
            <w:r w:rsidR="00230F3D">
              <w:rPr>
                <w:rFonts w:ascii="Arial Narrow" w:hAnsi="Arial Narrow"/>
                <w:sz w:val="20"/>
              </w:rPr>
              <w:sym w:font="Symbol" w:char="F062"/>
            </w:r>
            <w:r>
              <w:rPr>
                <w:rFonts w:ascii="Arial Narrow" w:hAnsi="Arial Narrow" w:cs="Arial Narrow"/>
                <w:bCs/>
                <w:sz w:val="20"/>
              </w:rPr>
              <w:t>-blocker = 69%</w:t>
            </w:r>
          </w:p>
          <w:p w14:paraId="540FDD27" w14:textId="77777777" w:rsidR="00230F3D" w:rsidRDefault="00803845" w:rsidP="004C79C1">
            <w:pPr>
              <w:spacing w:before="0" w:after="120" w:line="240" w:lineRule="auto"/>
              <w:rPr>
                <w:rFonts w:ascii="Arial Narrow" w:hAnsi="Arial Narrow" w:cs="Arial Narrow"/>
                <w:bCs/>
                <w:sz w:val="20"/>
              </w:rPr>
            </w:pPr>
            <w:r>
              <w:rPr>
                <w:rFonts w:ascii="Arial Narrow" w:hAnsi="Arial Narrow" w:cs="Arial Narrow"/>
                <w:b/>
                <w:bCs/>
                <w:sz w:val="20"/>
              </w:rPr>
              <w:t>Control group 1:</w:t>
            </w:r>
            <w:r>
              <w:rPr>
                <w:rFonts w:ascii="Arial Narrow" w:hAnsi="Arial Narrow" w:cs="Arial Narrow"/>
                <w:bCs/>
                <w:sz w:val="20"/>
              </w:rPr>
              <w:t xml:space="preserve"> </w:t>
            </w:r>
          </w:p>
          <w:p w14:paraId="52375E02" w14:textId="77777777" w:rsidR="00230F3D"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t xml:space="preserve">median </w:t>
            </w:r>
            <w:r w:rsidRPr="00A153AE">
              <w:rPr>
                <w:rFonts w:ascii="Arial Narrow" w:hAnsi="Arial Narrow" w:cs="Arial Narrow"/>
                <w:bCs/>
                <w:sz w:val="20"/>
              </w:rPr>
              <w:t xml:space="preserve">age = </w:t>
            </w:r>
            <w:r>
              <w:rPr>
                <w:rFonts w:ascii="Arial Narrow" w:hAnsi="Arial Narrow" w:cs="Arial Narrow"/>
                <w:bCs/>
                <w:sz w:val="20"/>
              </w:rPr>
              <w:t>60.4</w:t>
            </w:r>
            <w:r w:rsidRPr="00A153AE">
              <w:rPr>
                <w:rFonts w:ascii="Arial Narrow" w:hAnsi="Arial Narrow" w:cs="Arial Narrow"/>
                <w:bCs/>
                <w:sz w:val="20"/>
              </w:rPr>
              <w:t xml:space="preserve"> </w:t>
            </w:r>
            <w:r>
              <w:rPr>
                <w:rFonts w:ascii="Arial Narrow" w:hAnsi="Arial Narrow" w:cs="Arial Narrow"/>
                <w:bCs/>
                <w:sz w:val="20"/>
              </w:rPr>
              <w:t>(IQR</w:t>
            </w:r>
            <w:r w:rsidRPr="00A153AE">
              <w:rPr>
                <w:rFonts w:ascii="Arial Narrow" w:hAnsi="Arial Narrow" w:cs="Arial Narrow"/>
                <w:bCs/>
                <w:sz w:val="20"/>
              </w:rPr>
              <w:t xml:space="preserve"> </w:t>
            </w:r>
            <w:r>
              <w:rPr>
                <w:rFonts w:ascii="Arial Narrow" w:hAnsi="Arial Narrow" w:cs="Arial Narrow"/>
                <w:bCs/>
                <w:sz w:val="20"/>
              </w:rPr>
              <w:t>5</w:t>
            </w:r>
            <w:r w:rsidRPr="00A153AE">
              <w:rPr>
                <w:rFonts w:ascii="Arial Narrow" w:hAnsi="Arial Narrow" w:cs="Arial Narrow"/>
                <w:bCs/>
                <w:sz w:val="20"/>
              </w:rPr>
              <w:t>1</w:t>
            </w:r>
            <w:r>
              <w:rPr>
                <w:rFonts w:ascii="Arial Narrow" w:hAnsi="Arial Narrow" w:cs="Arial Narrow"/>
                <w:bCs/>
                <w:sz w:val="20"/>
              </w:rPr>
              <w:t>.7–68</w:t>
            </w:r>
            <w:r w:rsidRPr="00A153AE">
              <w:rPr>
                <w:rFonts w:ascii="Arial Narrow" w:hAnsi="Arial Narrow" w:cs="Arial Narrow"/>
                <w:bCs/>
                <w:sz w:val="20"/>
              </w:rPr>
              <w:t>.</w:t>
            </w:r>
            <w:r>
              <w:rPr>
                <w:rFonts w:ascii="Arial Narrow" w:hAnsi="Arial Narrow" w:cs="Arial Narrow"/>
                <w:bCs/>
                <w:sz w:val="20"/>
              </w:rPr>
              <w:t>3)</w:t>
            </w:r>
            <w:r w:rsidRPr="00A153AE">
              <w:rPr>
                <w:rFonts w:ascii="Arial Narrow" w:hAnsi="Arial Narrow" w:cs="Arial Narrow"/>
                <w:bCs/>
                <w:sz w:val="20"/>
              </w:rPr>
              <w:t xml:space="preserve"> years; </w:t>
            </w:r>
          </w:p>
          <w:p w14:paraId="739CDAA3"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gender = 7</w:t>
            </w:r>
            <w:r>
              <w:rPr>
                <w:rFonts w:ascii="Arial Narrow" w:hAnsi="Arial Narrow" w:cs="Arial Narrow"/>
                <w:bCs/>
                <w:sz w:val="20"/>
              </w:rPr>
              <w:t>6</w:t>
            </w:r>
            <w:r w:rsidRPr="00A153AE">
              <w:rPr>
                <w:rFonts w:ascii="Arial Narrow" w:hAnsi="Arial Narrow" w:cs="Arial Narrow"/>
                <w:bCs/>
                <w:sz w:val="20"/>
              </w:rPr>
              <w:t xml:space="preserve">% male; </w:t>
            </w:r>
          </w:p>
          <w:p w14:paraId="3CB23800"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history of AF </w:t>
            </w:r>
            <w:r>
              <w:rPr>
                <w:rFonts w:ascii="Arial Narrow" w:hAnsi="Arial Narrow" w:cs="Arial Narrow"/>
                <w:bCs/>
                <w:sz w:val="20"/>
              </w:rPr>
              <w:t xml:space="preserve">or flutter </w:t>
            </w:r>
            <w:r w:rsidRPr="00A153AE">
              <w:rPr>
                <w:rFonts w:ascii="Arial Narrow" w:hAnsi="Arial Narrow" w:cs="Arial Narrow"/>
                <w:bCs/>
                <w:sz w:val="20"/>
              </w:rPr>
              <w:t xml:space="preserve">= </w:t>
            </w:r>
            <w:r>
              <w:rPr>
                <w:rFonts w:ascii="Arial Narrow" w:hAnsi="Arial Narrow" w:cs="Arial Narrow"/>
                <w:bCs/>
                <w:sz w:val="20"/>
              </w:rPr>
              <w:t>16</w:t>
            </w:r>
            <w:r w:rsidRPr="00A153AE">
              <w:rPr>
                <w:rFonts w:ascii="Arial Narrow" w:hAnsi="Arial Narrow" w:cs="Arial Narrow"/>
                <w:bCs/>
                <w:sz w:val="20"/>
              </w:rPr>
              <w:t xml:space="preserve">%; </w:t>
            </w:r>
            <w:r>
              <w:rPr>
                <w:rFonts w:ascii="Arial Narrow" w:hAnsi="Arial Narrow" w:cs="Arial Narrow"/>
                <w:bCs/>
                <w:sz w:val="20"/>
              </w:rPr>
              <w:t xml:space="preserve">non-sustained VF = 23%; syncope = 6%; </w:t>
            </w:r>
          </w:p>
          <w:p w14:paraId="5ACF7137"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me</w:t>
            </w:r>
            <w:r>
              <w:rPr>
                <w:rFonts w:ascii="Arial Narrow" w:hAnsi="Arial Narrow" w:cs="Arial Narrow"/>
                <w:bCs/>
                <w:sz w:val="20"/>
              </w:rPr>
              <w:t>di</w:t>
            </w:r>
            <w:r w:rsidRPr="00A153AE">
              <w:rPr>
                <w:rFonts w:ascii="Arial Narrow" w:hAnsi="Arial Narrow" w:cs="Arial Narrow"/>
                <w:bCs/>
                <w:sz w:val="20"/>
              </w:rPr>
              <w:t>an (range) LVEF = 2</w:t>
            </w:r>
            <w:r>
              <w:rPr>
                <w:rFonts w:ascii="Arial Narrow" w:hAnsi="Arial Narrow" w:cs="Arial Narrow"/>
                <w:bCs/>
                <w:sz w:val="20"/>
              </w:rPr>
              <w:t>5</w:t>
            </w:r>
            <w:r w:rsidRPr="00A153AE">
              <w:rPr>
                <w:rFonts w:ascii="Arial Narrow" w:hAnsi="Arial Narrow" w:cs="Arial Narrow"/>
                <w:bCs/>
                <w:sz w:val="20"/>
              </w:rPr>
              <w:t>% (</w:t>
            </w:r>
            <w:r>
              <w:rPr>
                <w:rFonts w:ascii="Arial Narrow" w:hAnsi="Arial Narrow" w:cs="Arial Narrow"/>
                <w:bCs/>
                <w:sz w:val="20"/>
              </w:rPr>
              <w:t>IQR 20</w:t>
            </w:r>
            <w:r w:rsidRPr="00A153AE">
              <w:rPr>
                <w:rFonts w:ascii="Arial Narrow" w:hAnsi="Arial Narrow" w:cs="Arial Narrow"/>
                <w:bCs/>
                <w:sz w:val="20"/>
              </w:rPr>
              <w:t>–3</w:t>
            </w:r>
            <w:r>
              <w:rPr>
                <w:rFonts w:ascii="Arial Narrow" w:hAnsi="Arial Narrow" w:cs="Arial Narrow"/>
                <w:bCs/>
                <w:sz w:val="20"/>
              </w:rPr>
              <w:t>0</w:t>
            </w:r>
            <w:r w:rsidRPr="00A153AE">
              <w:rPr>
                <w:rFonts w:ascii="Arial Narrow" w:hAnsi="Arial Narrow" w:cs="Arial Narrow"/>
                <w:bCs/>
                <w:sz w:val="20"/>
              </w:rPr>
              <w:t xml:space="preserve">); </w:t>
            </w:r>
          </w:p>
          <w:p w14:paraId="53C34818" w14:textId="18990C09" w:rsidR="00803845" w:rsidRPr="00A153AE"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lastRenderedPageBreak/>
              <w:t xml:space="preserve">medications: ACE inhibitor = 87%, ARB = 14%, </w:t>
            </w:r>
            <w:r w:rsidR="00230F3D">
              <w:rPr>
                <w:rFonts w:ascii="Arial Narrow" w:hAnsi="Arial Narrow"/>
                <w:sz w:val="20"/>
              </w:rPr>
              <w:sym w:font="Symbol" w:char="F062"/>
            </w:r>
            <w:r>
              <w:rPr>
                <w:rFonts w:ascii="Arial Narrow" w:hAnsi="Arial Narrow" w:cs="Arial Narrow"/>
                <w:bCs/>
                <w:sz w:val="20"/>
              </w:rPr>
              <w:t>-blocker = 69%</w:t>
            </w:r>
          </w:p>
          <w:p w14:paraId="7B723A05" w14:textId="77777777" w:rsidR="00230F3D" w:rsidRDefault="00803845" w:rsidP="004C79C1">
            <w:pPr>
              <w:spacing w:before="0" w:after="120" w:line="240" w:lineRule="auto"/>
              <w:rPr>
                <w:rFonts w:ascii="Arial Narrow" w:hAnsi="Arial Narrow" w:cs="Arial Narrow"/>
                <w:bCs/>
                <w:sz w:val="20"/>
              </w:rPr>
            </w:pPr>
            <w:r>
              <w:rPr>
                <w:rFonts w:ascii="Arial Narrow" w:hAnsi="Arial Narrow" w:cs="Arial Narrow"/>
                <w:b/>
                <w:bCs/>
                <w:sz w:val="20"/>
              </w:rPr>
              <w:t>Control</w:t>
            </w:r>
            <w:r w:rsidRPr="00910849">
              <w:rPr>
                <w:rFonts w:ascii="Arial Narrow" w:hAnsi="Arial Narrow" w:cs="Arial Narrow"/>
                <w:b/>
                <w:bCs/>
                <w:sz w:val="20"/>
              </w:rPr>
              <w:t xml:space="preserve"> group</w:t>
            </w:r>
            <w:r>
              <w:rPr>
                <w:rFonts w:ascii="Arial Narrow" w:hAnsi="Arial Narrow" w:cs="Arial Narrow"/>
                <w:b/>
                <w:bCs/>
                <w:sz w:val="20"/>
              </w:rPr>
              <w:t xml:space="preserve"> 2</w:t>
            </w:r>
            <w:r w:rsidRPr="00910849">
              <w:rPr>
                <w:rFonts w:ascii="Arial Narrow" w:hAnsi="Arial Narrow" w:cs="Arial Narrow"/>
                <w:b/>
                <w:bCs/>
                <w:sz w:val="20"/>
              </w:rPr>
              <w:t>:</w:t>
            </w:r>
            <w:r>
              <w:rPr>
                <w:rFonts w:ascii="Arial Narrow" w:hAnsi="Arial Narrow" w:cs="Arial Narrow"/>
                <w:bCs/>
                <w:sz w:val="20"/>
              </w:rPr>
              <w:t xml:space="preserve"> </w:t>
            </w:r>
          </w:p>
          <w:p w14:paraId="02B188B0" w14:textId="77777777" w:rsidR="00230F3D"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t xml:space="preserve">median </w:t>
            </w:r>
            <w:r w:rsidRPr="00A153AE">
              <w:rPr>
                <w:rFonts w:ascii="Arial Narrow" w:hAnsi="Arial Narrow" w:cs="Arial Narrow"/>
                <w:bCs/>
                <w:sz w:val="20"/>
              </w:rPr>
              <w:t xml:space="preserve">age = </w:t>
            </w:r>
            <w:r>
              <w:rPr>
                <w:rFonts w:ascii="Arial Narrow" w:hAnsi="Arial Narrow" w:cs="Arial Narrow"/>
                <w:bCs/>
                <w:sz w:val="20"/>
              </w:rPr>
              <w:t>59.7</w:t>
            </w:r>
            <w:r w:rsidRPr="00A153AE">
              <w:rPr>
                <w:rFonts w:ascii="Arial Narrow" w:hAnsi="Arial Narrow" w:cs="Arial Narrow"/>
                <w:bCs/>
                <w:sz w:val="20"/>
              </w:rPr>
              <w:t xml:space="preserve"> </w:t>
            </w:r>
            <w:r>
              <w:rPr>
                <w:rFonts w:ascii="Arial Narrow" w:hAnsi="Arial Narrow" w:cs="Arial Narrow"/>
                <w:bCs/>
                <w:sz w:val="20"/>
              </w:rPr>
              <w:t>(IQR</w:t>
            </w:r>
            <w:r w:rsidRPr="00A153AE">
              <w:rPr>
                <w:rFonts w:ascii="Arial Narrow" w:hAnsi="Arial Narrow" w:cs="Arial Narrow"/>
                <w:bCs/>
                <w:sz w:val="20"/>
              </w:rPr>
              <w:t xml:space="preserve"> </w:t>
            </w:r>
            <w:r>
              <w:rPr>
                <w:rFonts w:ascii="Arial Narrow" w:hAnsi="Arial Narrow" w:cs="Arial Narrow"/>
                <w:bCs/>
                <w:sz w:val="20"/>
              </w:rPr>
              <w:t>5</w:t>
            </w:r>
            <w:r w:rsidRPr="00A153AE">
              <w:rPr>
                <w:rFonts w:ascii="Arial Narrow" w:hAnsi="Arial Narrow" w:cs="Arial Narrow"/>
                <w:bCs/>
                <w:sz w:val="20"/>
              </w:rPr>
              <w:t>1</w:t>
            </w:r>
            <w:r>
              <w:rPr>
                <w:rFonts w:ascii="Arial Narrow" w:hAnsi="Arial Narrow" w:cs="Arial Narrow"/>
                <w:bCs/>
                <w:sz w:val="20"/>
              </w:rPr>
              <w:t>.2–67</w:t>
            </w:r>
            <w:r w:rsidRPr="00A153AE">
              <w:rPr>
                <w:rFonts w:ascii="Arial Narrow" w:hAnsi="Arial Narrow" w:cs="Arial Narrow"/>
                <w:bCs/>
                <w:sz w:val="20"/>
              </w:rPr>
              <w:t>.</w:t>
            </w:r>
            <w:r>
              <w:rPr>
                <w:rFonts w:ascii="Arial Narrow" w:hAnsi="Arial Narrow" w:cs="Arial Narrow"/>
                <w:bCs/>
                <w:sz w:val="20"/>
              </w:rPr>
              <w:t>8)</w:t>
            </w:r>
            <w:r w:rsidRPr="00A153AE">
              <w:rPr>
                <w:rFonts w:ascii="Arial Narrow" w:hAnsi="Arial Narrow" w:cs="Arial Narrow"/>
                <w:bCs/>
                <w:sz w:val="20"/>
              </w:rPr>
              <w:t xml:space="preserve"> years; </w:t>
            </w:r>
          </w:p>
          <w:p w14:paraId="68F86531"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gender = 7</w:t>
            </w:r>
            <w:r>
              <w:rPr>
                <w:rFonts w:ascii="Arial Narrow" w:hAnsi="Arial Narrow" w:cs="Arial Narrow"/>
                <w:bCs/>
                <w:sz w:val="20"/>
              </w:rPr>
              <w:t>7</w:t>
            </w:r>
            <w:r w:rsidRPr="00A153AE">
              <w:rPr>
                <w:rFonts w:ascii="Arial Narrow" w:hAnsi="Arial Narrow" w:cs="Arial Narrow"/>
                <w:bCs/>
                <w:sz w:val="20"/>
              </w:rPr>
              <w:t xml:space="preserve">% male; </w:t>
            </w:r>
          </w:p>
          <w:p w14:paraId="1E2D87A4"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 xml:space="preserve">history of AF </w:t>
            </w:r>
            <w:r>
              <w:rPr>
                <w:rFonts w:ascii="Arial Narrow" w:hAnsi="Arial Narrow" w:cs="Arial Narrow"/>
                <w:bCs/>
                <w:sz w:val="20"/>
              </w:rPr>
              <w:t xml:space="preserve">or flutter </w:t>
            </w:r>
            <w:r w:rsidRPr="00A153AE">
              <w:rPr>
                <w:rFonts w:ascii="Arial Narrow" w:hAnsi="Arial Narrow" w:cs="Arial Narrow"/>
                <w:bCs/>
                <w:sz w:val="20"/>
              </w:rPr>
              <w:t xml:space="preserve">= </w:t>
            </w:r>
            <w:r>
              <w:rPr>
                <w:rFonts w:ascii="Arial Narrow" w:hAnsi="Arial Narrow" w:cs="Arial Narrow"/>
                <w:bCs/>
                <w:sz w:val="20"/>
              </w:rPr>
              <w:t>14</w:t>
            </w:r>
            <w:r w:rsidRPr="00A153AE">
              <w:rPr>
                <w:rFonts w:ascii="Arial Narrow" w:hAnsi="Arial Narrow" w:cs="Arial Narrow"/>
                <w:bCs/>
                <w:sz w:val="20"/>
              </w:rPr>
              <w:t xml:space="preserve">%; </w:t>
            </w:r>
            <w:r>
              <w:rPr>
                <w:rFonts w:ascii="Arial Narrow" w:hAnsi="Arial Narrow" w:cs="Arial Narrow"/>
                <w:bCs/>
                <w:sz w:val="20"/>
              </w:rPr>
              <w:t xml:space="preserve">non-sustained VF = 21%; syncope = 7%; </w:t>
            </w:r>
          </w:p>
          <w:p w14:paraId="0C227FFF" w14:textId="77777777" w:rsidR="00230F3D" w:rsidRDefault="00803845" w:rsidP="004C79C1">
            <w:pPr>
              <w:spacing w:before="0" w:after="120" w:line="240" w:lineRule="auto"/>
              <w:ind w:left="155"/>
              <w:rPr>
                <w:rFonts w:ascii="Arial Narrow" w:hAnsi="Arial Narrow" w:cs="Arial Narrow"/>
                <w:bCs/>
                <w:sz w:val="20"/>
              </w:rPr>
            </w:pPr>
            <w:r w:rsidRPr="00A153AE">
              <w:rPr>
                <w:rFonts w:ascii="Arial Narrow" w:hAnsi="Arial Narrow" w:cs="Arial Narrow"/>
                <w:bCs/>
                <w:sz w:val="20"/>
              </w:rPr>
              <w:t>me</w:t>
            </w:r>
            <w:r>
              <w:rPr>
                <w:rFonts w:ascii="Arial Narrow" w:hAnsi="Arial Narrow" w:cs="Arial Narrow"/>
                <w:bCs/>
                <w:sz w:val="20"/>
              </w:rPr>
              <w:t>di</w:t>
            </w:r>
            <w:r w:rsidRPr="00A153AE">
              <w:rPr>
                <w:rFonts w:ascii="Arial Narrow" w:hAnsi="Arial Narrow" w:cs="Arial Narrow"/>
                <w:bCs/>
                <w:sz w:val="20"/>
              </w:rPr>
              <w:t>an (range) LVEF = 2</w:t>
            </w:r>
            <w:r>
              <w:rPr>
                <w:rFonts w:ascii="Arial Narrow" w:hAnsi="Arial Narrow" w:cs="Arial Narrow"/>
                <w:bCs/>
                <w:sz w:val="20"/>
              </w:rPr>
              <w:t>5</w:t>
            </w:r>
            <w:r w:rsidRPr="00A153AE">
              <w:rPr>
                <w:rFonts w:ascii="Arial Narrow" w:hAnsi="Arial Narrow" w:cs="Arial Narrow"/>
                <w:bCs/>
                <w:sz w:val="20"/>
              </w:rPr>
              <w:t>% (</w:t>
            </w:r>
            <w:r>
              <w:rPr>
                <w:rFonts w:ascii="Arial Narrow" w:hAnsi="Arial Narrow" w:cs="Arial Narrow"/>
                <w:bCs/>
                <w:sz w:val="20"/>
              </w:rPr>
              <w:t>IQR 20</w:t>
            </w:r>
            <w:r w:rsidRPr="00A153AE">
              <w:rPr>
                <w:rFonts w:ascii="Arial Narrow" w:hAnsi="Arial Narrow" w:cs="Arial Narrow"/>
                <w:bCs/>
                <w:sz w:val="20"/>
              </w:rPr>
              <w:t>–3</w:t>
            </w:r>
            <w:r>
              <w:rPr>
                <w:rFonts w:ascii="Arial Narrow" w:hAnsi="Arial Narrow" w:cs="Arial Narrow"/>
                <w:bCs/>
                <w:sz w:val="20"/>
              </w:rPr>
              <w:t>0</w:t>
            </w:r>
            <w:r w:rsidRPr="00A153AE">
              <w:rPr>
                <w:rFonts w:ascii="Arial Narrow" w:hAnsi="Arial Narrow" w:cs="Arial Narrow"/>
                <w:bCs/>
                <w:sz w:val="20"/>
              </w:rPr>
              <w:t xml:space="preserve">); </w:t>
            </w:r>
          </w:p>
          <w:p w14:paraId="05B1AA00" w14:textId="47517637" w:rsidR="00803845" w:rsidRDefault="00803845" w:rsidP="004C79C1">
            <w:pPr>
              <w:spacing w:before="0" w:after="120" w:line="240" w:lineRule="auto"/>
              <w:ind w:left="155"/>
              <w:rPr>
                <w:rFonts w:ascii="Arial Narrow" w:hAnsi="Arial Narrow" w:cs="Arial Narrow"/>
                <w:bCs/>
                <w:sz w:val="20"/>
              </w:rPr>
            </w:pPr>
            <w:r>
              <w:rPr>
                <w:rFonts w:ascii="Arial Narrow" w:hAnsi="Arial Narrow" w:cs="Arial Narrow"/>
                <w:bCs/>
                <w:sz w:val="20"/>
              </w:rPr>
              <w:t xml:space="preserve">medications: ACE inhibitor = 85%, ARB = 16%, </w:t>
            </w:r>
            <w:r w:rsidR="001033BA">
              <w:rPr>
                <w:rFonts w:ascii="Arial Narrow" w:hAnsi="Arial Narrow"/>
                <w:sz w:val="20"/>
              </w:rPr>
              <w:sym w:font="Symbol" w:char="F062"/>
            </w:r>
            <w:r>
              <w:rPr>
                <w:rFonts w:ascii="Arial Narrow" w:hAnsi="Arial Narrow" w:cs="Arial Narrow"/>
                <w:bCs/>
                <w:sz w:val="20"/>
              </w:rPr>
              <w:t>-blocker = 69%</w:t>
            </w:r>
          </w:p>
        </w:tc>
        <w:tc>
          <w:tcPr>
            <w:tcW w:w="1020" w:type="pct"/>
          </w:tcPr>
          <w:p w14:paraId="0BD36DFD" w14:textId="60D2F64B" w:rsidR="00803845" w:rsidRPr="00A153AE" w:rsidRDefault="00803845" w:rsidP="004C79C1">
            <w:pPr>
              <w:spacing w:before="0" w:after="120" w:line="240" w:lineRule="auto"/>
              <w:ind w:right="-57"/>
              <w:rPr>
                <w:rFonts w:ascii="Arial Narrow" w:hAnsi="Arial Narrow"/>
                <w:sz w:val="20"/>
              </w:rPr>
            </w:pPr>
            <w:r w:rsidRPr="00A153AE">
              <w:rPr>
                <w:rFonts w:ascii="Arial Narrow" w:hAnsi="Arial Narrow"/>
                <w:b/>
                <w:sz w:val="20"/>
              </w:rPr>
              <w:lastRenderedPageBreak/>
              <w:t>Inclusion criteria:</w:t>
            </w:r>
            <w:r w:rsidRPr="00A153AE">
              <w:rPr>
                <w:rFonts w:ascii="Arial Narrow" w:hAnsi="Arial Narrow"/>
                <w:sz w:val="20"/>
              </w:rPr>
              <w:t xml:space="preserve"> </w:t>
            </w:r>
            <w:r>
              <w:rPr>
                <w:rFonts w:ascii="Arial Narrow" w:hAnsi="Arial Narrow"/>
                <w:sz w:val="20"/>
              </w:rPr>
              <w:t>f</w:t>
            </w:r>
            <w:r w:rsidRPr="00AF5AE0">
              <w:rPr>
                <w:rFonts w:ascii="Arial Narrow" w:hAnsi="Arial Narrow"/>
                <w:sz w:val="20"/>
              </w:rPr>
              <w:t xml:space="preserve">rom </w:t>
            </w:r>
            <w:r w:rsidR="00C9259A">
              <w:rPr>
                <w:rFonts w:ascii="Arial Narrow" w:hAnsi="Arial Narrow"/>
                <w:sz w:val="20"/>
              </w:rPr>
              <w:t xml:space="preserve">16 </w:t>
            </w:r>
            <w:r w:rsidRPr="00AF5AE0">
              <w:rPr>
                <w:rFonts w:ascii="Arial Narrow" w:hAnsi="Arial Narrow"/>
                <w:sz w:val="20"/>
              </w:rPr>
              <w:t xml:space="preserve">September 1997 to </w:t>
            </w:r>
            <w:r w:rsidR="00C9259A">
              <w:rPr>
                <w:rFonts w:ascii="Arial Narrow" w:hAnsi="Arial Narrow"/>
                <w:sz w:val="20"/>
              </w:rPr>
              <w:t xml:space="preserve">18 </w:t>
            </w:r>
            <w:r w:rsidRPr="00AF5AE0">
              <w:rPr>
                <w:rFonts w:ascii="Arial Narrow" w:hAnsi="Arial Narrow"/>
                <w:sz w:val="20"/>
              </w:rPr>
              <w:t>July 2001</w:t>
            </w:r>
            <w:r>
              <w:rPr>
                <w:rFonts w:ascii="Arial Narrow" w:hAnsi="Arial Narrow"/>
                <w:sz w:val="20"/>
              </w:rPr>
              <w:t xml:space="preserve"> p</w:t>
            </w:r>
            <w:r w:rsidRPr="00AF5AE0">
              <w:rPr>
                <w:rFonts w:ascii="Arial Narrow" w:hAnsi="Arial Narrow"/>
                <w:sz w:val="20"/>
              </w:rPr>
              <w:t xml:space="preserve">atients </w:t>
            </w:r>
            <w:r>
              <w:rPr>
                <w:rFonts w:ascii="Arial Narrow" w:hAnsi="Arial Narrow"/>
                <w:sz w:val="20"/>
              </w:rPr>
              <w:t>aged</w:t>
            </w:r>
            <w:r w:rsidRPr="00AF5AE0">
              <w:rPr>
                <w:rFonts w:ascii="Arial Narrow" w:hAnsi="Arial Narrow"/>
                <w:sz w:val="20"/>
              </w:rPr>
              <w:t xml:space="preserve"> at least 18</w:t>
            </w:r>
            <w:r w:rsidR="00C9259A">
              <w:rPr>
                <w:rFonts w:ascii="Arial Narrow" w:hAnsi="Arial Narrow"/>
                <w:sz w:val="20"/>
              </w:rPr>
              <w:t> </w:t>
            </w:r>
            <w:r w:rsidRPr="00AF5AE0">
              <w:rPr>
                <w:rFonts w:ascii="Arial Narrow" w:hAnsi="Arial Narrow"/>
                <w:sz w:val="20"/>
              </w:rPr>
              <w:t>years</w:t>
            </w:r>
            <w:r>
              <w:rPr>
                <w:rFonts w:ascii="Arial Narrow" w:hAnsi="Arial Narrow"/>
                <w:sz w:val="20"/>
              </w:rPr>
              <w:t xml:space="preserve"> with </w:t>
            </w:r>
            <w:r w:rsidRPr="00AF5AE0">
              <w:rPr>
                <w:rFonts w:ascii="Arial Narrow" w:hAnsi="Arial Narrow"/>
                <w:sz w:val="20"/>
              </w:rPr>
              <w:t>NYHA</w:t>
            </w:r>
            <w:r>
              <w:rPr>
                <w:rFonts w:ascii="Arial Narrow" w:hAnsi="Arial Narrow"/>
                <w:sz w:val="20"/>
              </w:rPr>
              <w:t xml:space="preserve"> </w:t>
            </w:r>
            <w:r w:rsidRPr="00AF5AE0">
              <w:rPr>
                <w:rFonts w:ascii="Arial Narrow" w:hAnsi="Arial Narrow"/>
                <w:sz w:val="20"/>
              </w:rPr>
              <w:t xml:space="preserve">class II or III chronic, </w:t>
            </w:r>
            <w:r w:rsidRPr="00AF5AE0">
              <w:rPr>
                <w:rFonts w:ascii="Arial Narrow" w:hAnsi="Arial Narrow"/>
                <w:sz w:val="20"/>
              </w:rPr>
              <w:lastRenderedPageBreak/>
              <w:t>stable CHF due to isch</w:t>
            </w:r>
            <w:r>
              <w:rPr>
                <w:rFonts w:ascii="Arial Narrow" w:hAnsi="Arial Narrow"/>
                <w:sz w:val="20"/>
              </w:rPr>
              <w:t>a</w:t>
            </w:r>
            <w:r w:rsidRPr="00AF5AE0">
              <w:rPr>
                <w:rFonts w:ascii="Arial Narrow" w:hAnsi="Arial Narrow"/>
                <w:sz w:val="20"/>
              </w:rPr>
              <w:t>emic</w:t>
            </w:r>
            <w:r>
              <w:rPr>
                <w:rFonts w:ascii="Arial Narrow" w:hAnsi="Arial Narrow"/>
                <w:sz w:val="20"/>
              </w:rPr>
              <w:t xml:space="preserve"> </w:t>
            </w:r>
            <w:r w:rsidRPr="00AF5AE0">
              <w:rPr>
                <w:rFonts w:ascii="Arial Narrow" w:hAnsi="Arial Narrow"/>
                <w:sz w:val="20"/>
              </w:rPr>
              <w:t>or non</w:t>
            </w:r>
            <w:r>
              <w:rPr>
                <w:rFonts w:ascii="Arial Narrow" w:hAnsi="Arial Narrow"/>
                <w:sz w:val="20"/>
              </w:rPr>
              <w:t>-</w:t>
            </w:r>
            <w:r w:rsidRPr="00AF5AE0">
              <w:rPr>
                <w:rFonts w:ascii="Arial Narrow" w:hAnsi="Arial Narrow"/>
                <w:sz w:val="20"/>
              </w:rPr>
              <w:t>isch</w:t>
            </w:r>
            <w:r>
              <w:rPr>
                <w:rFonts w:ascii="Arial Narrow" w:hAnsi="Arial Narrow"/>
                <w:sz w:val="20"/>
              </w:rPr>
              <w:t>a</w:t>
            </w:r>
            <w:r w:rsidRPr="00AF5AE0">
              <w:rPr>
                <w:rFonts w:ascii="Arial Narrow" w:hAnsi="Arial Narrow"/>
                <w:sz w:val="20"/>
              </w:rPr>
              <w:t>emic causes and a LVEF of no more than 35</w:t>
            </w:r>
            <w:r>
              <w:rPr>
                <w:rFonts w:ascii="Arial Narrow" w:hAnsi="Arial Narrow"/>
                <w:sz w:val="20"/>
              </w:rPr>
              <w:t>%</w:t>
            </w:r>
          </w:p>
          <w:p w14:paraId="492F27ED" w14:textId="77777777" w:rsidR="00803845" w:rsidRPr="00A153AE" w:rsidRDefault="00803845" w:rsidP="004C79C1">
            <w:pPr>
              <w:spacing w:before="0" w:after="120" w:line="240" w:lineRule="auto"/>
              <w:rPr>
                <w:rFonts w:ascii="Arial Narrow" w:hAnsi="Arial Narrow" w:cs="Arial Narrow"/>
                <w:bCs/>
                <w:sz w:val="20"/>
              </w:rPr>
            </w:pPr>
            <w:r w:rsidRPr="00A153AE">
              <w:rPr>
                <w:rFonts w:ascii="Arial Narrow" w:hAnsi="Arial Narrow" w:cs="Arial Narrow"/>
                <w:b/>
                <w:bCs/>
                <w:sz w:val="20"/>
              </w:rPr>
              <w:t>Exclusion criteria:</w:t>
            </w:r>
            <w:r w:rsidRPr="00A153AE">
              <w:rPr>
                <w:rFonts w:ascii="Arial Narrow" w:hAnsi="Arial Narrow" w:cs="Arial Narrow"/>
                <w:bCs/>
                <w:sz w:val="20"/>
              </w:rPr>
              <w:t xml:space="preserve"> </w:t>
            </w:r>
            <w:r>
              <w:rPr>
                <w:rFonts w:ascii="Arial Narrow" w:hAnsi="Arial Narrow" w:cs="Arial Narrow"/>
                <w:bCs/>
                <w:sz w:val="20"/>
              </w:rPr>
              <w:t>not reported</w:t>
            </w:r>
            <w:r w:rsidRPr="00A153AE">
              <w:rPr>
                <w:rFonts w:ascii="Arial Narrow" w:hAnsi="Arial Narrow" w:cs="Arial Narrow"/>
                <w:bCs/>
                <w:sz w:val="20"/>
              </w:rPr>
              <w:t xml:space="preserve"> </w:t>
            </w:r>
          </w:p>
          <w:p w14:paraId="311B7E99" w14:textId="59DF8C19" w:rsidR="00803845" w:rsidRPr="00A153AE" w:rsidRDefault="00803845" w:rsidP="004C79C1">
            <w:pPr>
              <w:spacing w:before="0" w:after="120" w:line="240" w:lineRule="auto"/>
              <w:ind w:right="-57"/>
              <w:rPr>
                <w:rFonts w:ascii="Arial Narrow" w:hAnsi="Arial Narrow"/>
                <w:sz w:val="20"/>
              </w:rPr>
            </w:pPr>
            <w:r w:rsidRPr="007C43E0">
              <w:rPr>
                <w:rFonts w:ascii="Arial Narrow" w:hAnsi="Arial Narrow" w:cs="Arial Narrow"/>
                <w:b/>
                <w:bCs/>
                <w:sz w:val="20"/>
              </w:rPr>
              <w:t>Median follow-up:</w:t>
            </w:r>
            <w:r>
              <w:rPr>
                <w:rFonts w:ascii="Arial Narrow" w:hAnsi="Arial Narrow" w:cs="Arial Narrow"/>
                <w:bCs/>
                <w:sz w:val="20"/>
              </w:rPr>
              <w:t xml:space="preserve"> </w:t>
            </w:r>
            <w:r w:rsidRPr="00726CCC">
              <w:rPr>
                <w:rFonts w:ascii="Arial Narrow" w:hAnsi="Arial Narrow" w:cs="Arial Narrow"/>
                <w:bCs/>
                <w:sz w:val="20"/>
              </w:rPr>
              <w:t>45.5</w:t>
            </w:r>
            <w:r w:rsidR="00C9259A">
              <w:rPr>
                <w:rFonts w:ascii="Arial Narrow" w:hAnsi="Arial Narrow" w:cs="Arial Narrow"/>
                <w:bCs/>
                <w:sz w:val="20"/>
              </w:rPr>
              <w:t> </w:t>
            </w:r>
            <w:r w:rsidRPr="00726CCC">
              <w:rPr>
                <w:rFonts w:ascii="Arial Narrow" w:hAnsi="Arial Narrow" w:cs="Arial Narrow"/>
                <w:bCs/>
                <w:sz w:val="20"/>
              </w:rPr>
              <w:t>months</w:t>
            </w:r>
            <w:r>
              <w:rPr>
                <w:rFonts w:ascii="Arial Narrow" w:hAnsi="Arial Narrow" w:cs="Arial Narrow"/>
                <w:bCs/>
                <w:sz w:val="20"/>
              </w:rPr>
              <w:t xml:space="preserve"> (range 24–72.6)</w:t>
            </w:r>
          </w:p>
        </w:tc>
        <w:tc>
          <w:tcPr>
            <w:tcW w:w="777" w:type="pct"/>
            <w:shd w:val="clear" w:color="auto" w:fill="auto"/>
          </w:tcPr>
          <w:p w14:paraId="06D482B6"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lastRenderedPageBreak/>
              <w:t>N=829</w:t>
            </w:r>
          </w:p>
          <w:p w14:paraId="21A72C67"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N=431 ischaemic CHF</w:t>
            </w:r>
            <w:r>
              <w:rPr>
                <w:rFonts w:ascii="Arial Narrow" w:hAnsi="Arial Narrow"/>
                <w:sz w:val="20"/>
              </w:rPr>
              <w:br/>
              <w:t xml:space="preserve">N=398 non-ischaemic </w:t>
            </w:r>
            <w:r>
              <w:rPr>
                <w:rFonts w:ascii="Arial Narrow" w:hAnsi="Arial Narrow"/>
                <w:sz w:val="20"/>
              </w:rPr>
              <w:lastRenderedPageBreak/>
              <w:t>CHF</w:t>
            </w:r>
          </w:p>
          <w:p w14:paraId="255F2C4F" w14:textId="293E92BD" w:rsidR="00803845" w:rsidRPr="00A153AE" w:rsidRDefault="00803845" w:rsidP="004C79C1">
            <w:pPr>
              <w:spacing w:before="0" w:after="120" w:line="240" w:lineRule="auto"/>
              <w:ind w:right="-57"/>
              <w:rPr>
                <w:rFonts w:ascii="Arial Narrow" w:hAnsi="Arial Narrow"/>
                <w:sz w:val="20"/>
              </w:rPr>
            </w:pPr>
            <w:r w:rsidRPr="00281429">
              <w:rPr>
                <w:rFonts w:ascii="Arial Narrow" w:hAnsi="Arial Narrow"/>
                <w:sz w:val="20"/>
              </w:rPr>
              <w:t>ICD therapy was intentionally selected to consist</w:t>
            </w:r>
            <w:r>
              <w:rPr>
                <w:rFonts w:ascii="Arial Narrow" w:hAnsi="Arial Narrow"/>
                <w:sz w:val="20"/>
              </w:rPr>
              <w:t xml:space="preserve"> </w:t>
            </w:r>
            <w:r w:rsidRPr="00281429">
              <w:rPr>
                <w:rFonts w:ascii="Arial Narrow" w:hAnsi="Arial Narrow"/>
                <w:sz w:val="20"/>
              </w:rPr>
              <w:t>of shock-only, single-lead therapy. The goal was to</w:t>
            </w:r>
            <w:r>
              <w:rPr>
                <w:rFonts w:ascii="Arial Narrow" w:hAnsi="Arial Narrow"/>
                <w:sz w:val="20"/>
              </w:rPr>
              <w:t xml:space="preserve"> </w:t>
            </w:r>
            <w:r w:rsidRPr="00281429">
              <w:rPr>
                <w:rFonts w:ascii="Arial Narrow" w:hAnsi="Arial Narrow"/>
                <w:sz w:val="20"/>
              </w:rPr>
              <w:t xml:space="preserve">treat only rapid, sustained </w:t>
            </w:r>
            <w:r>
              <w:rPr>
                <w:rFonts w:ascii="Arial Narrow" w:hAnsi="Arial Narrow"/>
                <w:sz w:val="20"/>
              </w:rPr>
              <w:t>VT</w:t>
            </w:r>
            <w:r w:rsidRPr="00281429">
              <w:rPr>
                <w:rFonts w:ascii="Arial Narrow" w:hAnsi="Arial Narrow"/>
                <w:sz w:val="20"/>
              </w:rPr>
              <w:t xml:space="preserve"> or</w:t>
            </w:r>
            <w:r>
              <w:rPr>
                <w:rFonts w:ascii="Arial Narrow" w:hAnsi="Arial Narrow"/>
                <w:sz w:val="20"/>
              </w:rPr>
              <w:t xml:space="preserve"> VF</w:t>
            </w:r>
            <w:r w:rsidRPr="00281429">
              <w:rPr>
                <w:rFonts w:ascii="Arial Narrow" w:hAnsi="Arial Narrow"/>
                <w:sz w:val="20"/>
              </w:rPr>
              <w:t>.</w:t>
            </w:r>
            <w:r>
              <w:t xml:space="preserve"> </w:t>
            </w:r>
            <w:r w:rsidRPr="00281429">
              <w:rPr>
                <w:rFonts w:ascii="Arial Narrow" w:hAnsi="Arial Narrow"/>
                <w:sz w:val="20"/>
              </w:rPr>
              <w:t>The ICD was uniformly</w:t>
            </w:r>
            <w:r>
              <w:rPr>
                <w:rFonts w:ascii="Arial Narrow" w:hAnsi="Arial Narrow"/>
                <w:sz w:val="20"/>
              </w:rPr>
              <w:t xml:space="preserve"> </w:t>
            </w:r>
            <w:r w:rsidRPr="00281429">
              <w:rPr>
                <w:rFonts w:ascii="Arial Narrow" w:hAnsi="Arial Narrow"/>
                <w:sz w:val="20"/>
              </w:rPr>
              <w:t>programmed to have a detection rate of 187</w:t>
            </w:r>
            <w:r w:rsidR="00C9259A">
              <w:rPr>
                <w:rFonts w:ascii="Arial Narrow" w:hAnsi="Arial Narrow"/>
                <w:sz w:val="20"/>
              </w:rPr>
              <w:t> bpm</w:t>
            </w:r>
            <w:r w:rsidRPr="00281429">
              <w:rPr>
                <w:rFonts w:ascii="Arial Narrow" w:hAnsi="Arial Narrow"/>
                <w:sz w:val="20"/>
              </w:rPr>
              <w:t xml:space="preserve"> or more.</w:t>
            </w:r>
            <w:r>
              <w:rPr>
                <w:rFonts w:ascii="Arial Narrow" w:hAnsi="Arial Narrow"/>
                <w:sz w:val="20"/>
              </w:rPr>
              <w:t xml:space="preserve"> </w:t>
            </w:r>
            <w:r w:rsidRPr="00281429">
              <w:rPr>
                <w:rFonts w:ascii="Arial Narrow" w:hAnsi="Arial Narrow"/>
                <w:sz w:val="20"/>
              </w:rPr>
              <w:t>Because of the potential for antibradycardia</w:t>
            </w:r>
            <w:r>
              <w:rPr>
                <w:rFonts w:ascii="Arial Narrow" w:hAnsi="Arial Narrow"/>
                <w:sz w:val="20"/>
              </w:rPr>
              <w:t xml:space="preserve"> </w:t>
            </w:r>
            <w:r w:rsidRPr="00281429">
              <w:rPr>
                <w:rFonts w:ascii="Arial Narrow" w:hAnsi="Arial Narrow"/>
                <w:sz w:val="20"/>
              </w:rPr>
              <w:t>pacing to worsen CHF, it was initiated</w:t>
            </w:r>
            <w:r>
              <w:rPr>
                <w:rFonts w:ascii="Arial Narrow" w:hAnsi="Arial Narrow"/>
                <w:sz w:val="20"/>
              </w:rPr>
              <w:t xml:space="preserve"> </w:t>
            </w:r>
            <w:r w:rsidRPr="00281429">
              <w:rPr>
                <w:rFonts w:ascii="Arial Narrow" w:hAnsi="Arial Narrow"/>
                <w:sz w:val="20"/>
              </w:rPr>
              <w:t>only if the intrinsic rate decreased to less than 34</w:t>
            </w:r>
            <w:r w:rsidR="00303757">
              <w:rPr>
                <w:rFonts w:ascii="Arial Narrow" w:hAnsi="Arial Narrow"/>
                <w:sz w:val="20"/>
              </w:rPr>
              <w:t> bpm</w:t>
            </w:r>
            <w:r w:rsidRPr="00281429">
              <w:rPr>
                <w:rFonts w:ascii="Arial Narrow" w:hAnsi="Arial Narrow"/>
                <w:sz w:val="20"/>
              </w:rPr>
              <w:t>, the lowest trigger limit possible</w:t>
            </w:r>
            <w:r>
              <w:rPr>
                <w:rFonts w:ascii="Arial Narrow" w:hAnsi="Arial Narrow"/>
                <w:sz w:val="20"/>
              </w:rPr>
              <w:t>. OPT was also provided.</w:t>
            </w:r>
          </w:p>
        </w:tc>
        <w:tc>
          <w:tcPr>
            <w:tcW w:w="1068" w:type="pct"/>
            <w:shd w:val="clear" w:color="auto" w:fill="auto"/>
          </w:tcPr>
          <w:p w14:paraId="4F3391B7" w14:textId="77777777" w:rsidR="00803845" w:rsidRDefault="00803845" w:rsidP="004C79C1">
            <w:pPr>
              <w:spacing w:before="0" w:after="120" w:line="240" w:lineRule="auto"/>
              <w:rPr>
                <w:rFonts w:ascii="Arial Narrow" w:hAnsi="Arial Narrow" w:cs="Arial Narrow"/>
                <w:b/>
                <w:bCs/>
                <w:sz w:val="20"/>
              </w:rPr>
            </w:pPr>
            <w:r>
              <w:rPr>
                <w:rFonts w:ascii="Arial Narrow" w:hAnsi="Arial Narrow" w:cs="Arial Narrow"/>
                <w:b/>
                <w:bCs/>
                <w:sz w:val="20"/>
              </w:rPr>
              <w:lastRenderedPageBreak/>
              <w:t>Control</w:t>
            </w:r>
            <w:r w:rsidRPr="00910849">
              <w:rPr>
                <w:rFonts w:ascii="Arial Narrow" w:hAnsi="Arial Narrow" w:cs="Arial Narrow"/>
                <w:b/>
                <w:bCs/>
                <w:sz w:val="20"/>
              </w:rPr>
              <w:t xml:space="preserve"> group</w:t>
            </w:r>
            <w:r>
              <w:rPr>
                <w:rFonts w:ascii="Arial Narrow" w:hAnsi="Arial Narrow" w:cs="Arial Narrow"/>
                <w:b/>
                <w:bCs/>
                <w:sz w:val="20"/>
              </w:rPr>
              <w:t xml:space="preserve"> 1</w:t>
            </w:r>
            <w:r w:rsidRPr="00281429">
              <w:rPr>
                <w:rFonts w:ascii="Arial Narrow" w:hAnsi="Arial Narrow" w:cs="Arial Narrow"/>
                <w:bCs/>
                <w:sz w:val="20"/>
              </w:rPr>
              <w:t xml:space="preserve"> </w:t>
            </w:r>
            <w:r>
              <w:rPr>
                <w:rFonts w:ascii="Arial Narrow" w:hAnsi="Arial Narrow" w:cs="Arial Narrow"/>
                <w:bCs/>
                <w:sz w:val="20"/>
              </w:rPr>
              <w:t>(a</w:t>
            </w:r>
            <w:r w:rsidRPr="00281429">
              <w:rPr>
                <w:rFonts w:ascii="Arial Narrow" w:hAnsi="Arial Narrow" w:cs="Arial Narrow"/>
                <w:bCs/>
                <w:sz w:val="20"/>
              </w:rPr>
              <w:t>miodarone + OPT</w:t>
            </w:r>
            <w:r>
              <w:rPr>
                <w:rFonts w:ascii="Arial Narrow" w:hAnsi="Arial Narrow" w:cs="Arial Narrow"/>
                <w:bCs/>
                <w:sz w:val="20"/>
              </w:rPr>
              <w:t>)</w:t>
            </w:r>
          </w:p>
          <w:p w14:paraId="0869EA1B" w14:textId="77777777" w:rsidR="00803845" w:rsidRPr="00281429" w:rsidRDefault="00803845" w:rsidP="004C79C1">
            <w:pPr>
              <w:spacing w:before="0" w:after="120" w:line="240" w:lineRule="auto"/>
              <w:rPr>
                <w:rFonts w:ascii="Arial Narrow" w:hAnsi="Arial Narrow" w:cs="Arial Narrow"/>
                <w:bCs/>
                <w:sz w:val="20"/>
              </w:rPr>
            </w:pPr>
            <w:r>
              <w:rPr>
                <w:rFonts w:ascii="Arial Narrow" w:hAnsi="Arial Narrow" w:cs="Arial Narrow"/>
                <w:bCs/>
                <w:sz w:val="20"/>
              </w:rPr>
              <w:t>N=845</w:t>
            </w:r>
          </w:p>
          <w:p w14:paraId="6246D25E" w14:textId="77777777" w:rsidR="00803845" w:rsidRDefault="00803845" w:rsidP="004C79C1">
            <w:pPr>
              <w:spacing w:before="0" w:after="120" w:line="240" w:lineRule="auto"/>
              <w:rPr>
                <w:rFonts w:ascii="Arial Narrow" w:hAnsi="Arial Narrow" w:cs="Arial Narrow"/>
                <w:bCs/>
                <w:sz w:val="20"/>
              </w:rPr>
            </w:pPr>
            <w:r w:rsidRPr="0032472B">
              <w:rPr>
                <w:rFonts w:ascii="Arial Narrow" w:hAnsi="Arial Narrow" w:cs="Arial Narrow"/>
                <w:bCs/>
                <w:sz w:val="20"/>
              </w:rPr>
              <w:lastRenderedPageBreak/>
              <w:t>N=4</w:t>
            </w:r>
            <w:r>
              <w:rPr>
                <w:rFonts w:ascii="Arial Narrow" w:hAnsi="Arial Narrow" w:cs="Arial Narrow"/>
                <w:bCs/>
                <w:sz w:val="20"/>
              </w:rPr>
              <w:t>26</w:t>
            </w:r>
            <w:r w:rsidRPr="0032472B">
              <w:rPr>
                <w:rFonts w:ascii="Arial Narrow" w:hAnsi="Arial Narrow" w:cs="Arial Narrow"/>
                <w:bCs/>
                <w:sz w:val="20"/>
              </w:rPr>
              <w:t xml:space="preserve"> ischaemic CHF</w:t>
            </w:r>
            <w:r>
              <w:rPr>
                <w:rFonts w:ascii="Arial Narrow" w:hAnsi="Arial Narrow" w:cs="Arial Narrow"/>
                <w:bCs/>
                <w:sz w:val="20"/>
              </w:rPr>
              <w:br/>
            </w:r>
            <w:r w:rsidRPr="0032472B">
              <w:rPr>
                <w:rFonts w:ascii="Arial Narrow" w:hAnsi="Arial Narrow" w:cs="Arial Narrow"/>
                <w:bCs/>
                <w:sz w:val="20"/>
              </w:rPr>
              <w:t>N=</w:t>
            </w:r>
            <w:r>
              <w:rPr>
                <w:rFonts w:ascii="Arial Narrow" w:hAnsi="Arial Narrow" w:cs="Arial Narrow"/>
                <w:bCs/>
                <w:sz w:val="20"/>
              </w:rPr>
              <w:t>419</w:t>
            </w:r>
            <w:r w:rsidRPr="0032472B">
              <w:rPr>
                <w:rFonts w:ascii="Arial Narrow" w:hAnsi="Arial Narrow" w:cs="Arial Narrow"/>
                <w:bCs/>
                <w:sz w:val="20"/>
              </w:rPr>
              <w:t xml:space="preserve"> non-ischaemic CHF</w:t>
            </w:r>
          </w:p>
          <w:p w14:paraId="520141B4" w14:textId="77777777" w:rsidR="00803845" w:rsidRDefault="00803845" w:rsidP="004C79C1">
            <w:pPr>
              <w:spacing w:before="0" w:after="120" w:line="240" w:lineRule="auto"/>
              <w:rPr>
                <w:rFonts w:ascii="Arial Narrow" w:hAnsi="Arial Narrow" w:cs="Arial Narrow"/>
                <w:b/>
                <w:bCs/>
                <w:sz w:val="20"/>
              </w:rPr>
            </w:pPr>
            <w:r>
              <w:rPr>
                <w:rFonts w:ascii="Arial Narrow" w:hAnsi="Arial Narrow" w:cs="Arial Narrow"/>
                <w:b/>
                <w:bCs/>
                <w:sz w:val="20"/>
              </w:rPr>
              <w:t>Control group 2</w:t>
            </w:r>
            <w:r>
              <w:rPr>
                <w:rFonts w:ascii="Arial Narrow" w:hAnsi="Arial Narrow" w:cs="Arial Narrow"/>
                <w:bCs/>
                <w:sz w:val="20"/>
              </w:rPr>
              <w:t xml:space="preserve"> (p</w:t>
            </w:r>
            <w:r w:rsidRPr="00281429">
              <w:rPr>
                <w:rFonts w:ascii="Arial Narrow" w:hAnsi="Arial Narrow" w:cs="Arial Narrow"/>
                <w:bCs/>
                <w:sz w:val="20"/>
              </w:rPr>
              <w:t>lacebo + OPT</w:t>
            </w:r>
            <w:r>
              <w:rPr>
                <w:rFonts w:ascii="Arial Narrow" w:hAnsi="Arial Narrow" w:cs="Arial Narrow"/>
                <w:bCs/>
                <w:sz w:val="20"/>
              </w:rPr>
              <w:t>)</w:t>
            </w:r>
          </w:p>
          <w:p w14:paraId="15428344" w14:textId="77777777" w:rsidR="00803845" w:rsidRPr="00281429" w:rsidRDefault="00803845" w:rsidP="004C79C1">
            <w:pPr>
              <w:spacing w:before="0" w:after="120" w:line="240" w:lineRule="auto"/>
              <w:rPr>
                <w:rFonts w:ascii="Arial Narrow" w:hAnsi="Arial Narrow" w:cs="Arial Narrow"/>
                <w:bCs/>
                <w:sz w:val="20"/>
              </w:rPr>
            </w:pPr>
            <w:r>
              <w:rPr>
                <w:rFonts w:ascii="Arial Narrow" w:hAnsi="Arial Narrow" w:cs="Arial Narrow"/>
                <w:bCs/>
                <w:sz w:val="20"/>
              </w:rPr>
              <w:t>N=847</w:t>
            </w:r>
          </w:p>
          <w:p w14:paraId="33B27842" w14:textId="77777777" w:rsidR="00803845" w:rsidRDefault="00803845" w:rsidP="004C79C1">
            <w:pPr>
              <w:spacing w:before="0" w:after="120" w:line="240" w:lineRule="auto"/>
              <w:rPr>
                <w:rFonts w:ascii="Arial Narrow" w:hAnsi="Arial Narrow" w:cs="Arial Narrow"/>
                <w:bCs/>
                <w:sz w:val="20"/>
              </w:rPr>
            </w:pPr>
            <w:r>
              <w:rPr>
                <w:rFonts w:ascii="Arial Narrow" w:hAnsi="Arial Narrow" w:cs="Arial Narrow"/>
                <w:bCs/>
                <w:sz w:val="20"/>
              </w:rPr>
              <w:t>N=453</w:t>
            </w:r>
            <w:r w:rsidRPr="0032472B">
              <w:rPr>
                <w:rFonts w:ascii="Arial Narrow" w:hAnsi="Arial Narrow" w:cs="Arial Narrow"/>
                <w:bCs/>
                <w:sz w:val="20"/>
              </w:rPr>
              <w:t xml:space="preserve"> ischaemic CHF</w:t>
            </w:r>
            <w:r>
              <w:rPr>
                <w:rFonts w:ascii="Arial Narrow" w:hAnsi="Arial Narrow" w:cs="Arial Narrow"/>
                <w:bCs/>
                <w:sz w:val="20"/>
              </w:rPr>
              <w:br/>
              <w:t>N=394</w:t>
            </w:r>
            <w:r w:rsidRPr="0032472B">
              <w:rPr>
                <w:rFonts w:ascii="Arial Narrow" w:hAnsi="Arial Narrow" w:cs="Arial Narrow"/>
                <w:bCs/>
                <w:sz w:val="20"/>
              </w:rPr>
              <w:t xml:space="preserve"> non-ischaemic CHF</w:t>
            </w:r>
          </w:p>
          <w:p w14:paraId="60BC4A6D" w14:textId="77777777" w:rsidR="00803845" w:rsidRPr="00281429" w:rsidRDefault="00803845" w:rsidP="004C79C1">
            <w:pPr>
              <w:spacing w:before="0" w:after="120" w:line="240" w:lineRule="auto"/>
              <w:rPr>
                <w:rFonts w:ascii="Arial Narrow" w:hAnsi="Arial Narrow" w:cs="Arial Narrow"/>
                <w:bCs/>
                <w:sz w:val="20"/>
              </w:rPr>
            </w:pPr>
            <w:r w:rsidRPr="00E018A7">
              <w:rPr>
                <w:rFonts w:ascii="Arial Narrow" w:hAnsi="Arial Narrow" w:cs="Arial Narrow"/>
                <w:bCs/>
                <w:sz w:val="20"/>
              </w:rPr>
              <w:t>Placebo and amiodarone were administered in a</w:t>
            </w:r>
            <w:r>
              <w:rPr>
                <w:rFonts w:ascii="Arial Narrow" w:hAnsi="Arial Narrow" w:cs="Arial Narrow"/>
                <w:bCs/>
                <w:sz w:val="20"/>
              </w:rPr>
              <w:t xml:space="preserve"> </w:t>
            </w:r>
            <w:r w:rsidRPr="00E018A7">
              <w:rPr>
                <w:rFonts w:ascii="Arial Narrow" w:hAnsi="Arial Narrow" w:cs="Arial Narrow"/>
                <w:bCs/>
                <w:sz w:val="20"/>
              </w:rPr>
              <w:t>double-blind fashion with the use of identical</w:t>
            </w:r>
            <w:r>
              <w:rPr>
                <w:rFonts w:ascii="Arial Narrow" w:hAnsi="Arial Narrow" w:cs="Arial Narrow"/>
                <w:bCs/>
                <w:sz w:val="20"/>
              </w:rPr>
              <w:t xml:space="preserve"> </w:t>
            </w:r>
            <w:r w:rsidRPr="00E018A7">
              <w:rPr>
                <w:rFonts w:ascii="Arial Narrow" w:hAnsi="Arial Narrow" w:cs="Arial Narrow"/>
                <w:bCs/>
                <w:sz w:val="20"/>
              </w:rPr>
              <w:t>appearing</w:t>
            </w:r>
            <w:r>
              <w:rPr>
                <w:rFonts w:ascii="Arial Narrow" w:hAnsi="Arial Narrow" w:cs="Arial Narrow"/>
                <w:bCs/>
                <w:sz w:val="20"/>
              </w:rPr>
              <w:t xml:space="preserve"> </w:t>
            </w:r>
            <w:r w:rsidRPr="00E018A7">
              <w:rPr>
                <w:rFonts w:ascii="Arial Narrow" w:hAnsi="Arial Narrow" w:cs="Arial Narrow"/>
                <w:bCs/>
                <w:sz w:val="20"/>
              </w:rPr>
              <w:t>200-mg tablets</w:t>
            </w:r>
          </w:p>
          <w:p w14:paraId="32801842" w14:textId="405B35A9" w:rsidR="00803845" w:rsidRPr="00A153AE" w:rsidRDefault="00803845" w:rsidP="004C79C1">
            <w:pPr>
              <w:spacing w:before="0" w:after="120" w:line="240" w:lineRule="auto"/>
              <w:rPr>
                <w:rFonts w:ascii="Arial Narrow" w:hAnsi="Arial Narrow"/>
                <w:sz w:val="20"/>
              </w:rPr>
            </w:pPr>
            <w:r w:rsidRPr="00E018A7">
              <w:rPr>
                <w:rFonts w:ascii="Arial Narrow" w:hAnsi="Arial Narrow" w:cs="Arial Narrow"/>
                <w:bCs/>
                <w:sz w:val="20"/>
              </w:rPr>
              <w:t>The dose was based partly</w:t>
            </w:r>
            <w:r>
              <w:rPr>
                <w:rFonts w:ascii="Arial Narrow" w:hAnsi="Arial Narrow" w:cs="Arial Narrow"/>
                <w:bCs/>
                <w:sz w:val="20"/>
              </w:rPr>
              <w:t xml:space="preserve"> </w:t>
            </w:r>
            <w:r w:rsidRPr="00E018A7">
              <w:rPr>
                <w:rFonts w:ascii="Arial Narrow" w:hAnsi="Arial Narrow" w:cs="Arial Narrow"/>
                <w:bCs/>
                <w:sz w:val="20"/>
              </w:rPr>
              <w:t>on weight. After a loading dose of 800</w:t>
            </w:r>
            <w:r w:rsidR="00303757">
              <w:rPr>
                <w:rFonts w:ascii="Arial Narrow" w:hAnsi="Arial Narrow" w:cs="Arial Narrow"/>
                <w:bCs/>
                <w:sz w:val="20"/>
              </w:rPr>
              <w:t> </w:t>
            </w:r>
            <w:r w:rsidRPr="00E018A7">
              <w:rPr>
                <w:rFonts w:ascii="Arial Narrow" w:hAnsi="Arial Narrow" w:cs="Arial Narrow"/>
                <w:bCs/>
                <w:sz w:val="20"/>
              </w:rPr>
              <w:t>mg daily was</w:t>
            </w:r>
            <w:r>
              <w:rPr>
                <w:rFonts w:ascii="Arial Narrow" w:hAnsi="Arial Narrow" w:cs="Arial Narrow"/>
                <w:bCs/>
                <w:sz w:val="20"/>
              </w:rPr>
              <w:t xml:space="preserve"> </w:t>
            </w:r>
            <w:r w:rsidRPr="00E018A7">
              <w:rPr>
                <w:rFonts w:ascii="Arial Narrow" w:hAnsi="Arial Narrow" w:cs="Arial Narrow"/>
                <w:bCs/>
                <w:sz w:val="20"/>
              </w:rPr>
              <w:t xml:space="preserve">given for </w:t>
            </w:r>
            <w:r w:rsidR="00303757">
              <w:rPr>
                <w:rFonts w:ascii="Arial Narrow" w:hAnsi="Arial Narrow" w:cs="Arial Narrow"/>
                <w:bCs/>
                <w:sz w:val="20"/>
              </w:rPr>
              <w:t>1 </w:t>
            </w:r>
            <w:r w:rsidRPr="00E018A7">
              <w:rPr>
                <w:rFonts w:ascii="Arial Narrow" w:hAnsi="Arial Narrow" w:cs="Arial Narrow"/>
                <w:bCs/>
                <w:sz w:val="20"/>
              </w:rPr>
              <w:t xml:space="preserve">week and 400 mg daily for </w:t>
            </w:r>
            <w:r w:rsidR="00303757">
              <w:rPr>
                <w:rFonts w:ascii="Arial Narrow" w:hAnsi="Arial Narrow" w:cs="Arial Narrow"/>
                <w:bCs/>
                <w:sz w:val="20"/>
              </w:rPr>
              <w:t>3 </w:t>
            </w:r>
            <w:r w:rsidRPr="00E018A7">
              <w:rPr>
                <w:rFonts w:ascii="Arial Narrow" w:hAnsi="Arial Narrow" w:cs="Arial Narrow"/>
                <w:bCs/>
                <w:sz w:val="20"/>
              </w:rPr>
              <w:t>weeks, patients weighing more than 90.9</w:t>
            </w:r>
            <w:r w:rsidR="00303757">
              <w:rPr>
                <w:rFonts w:ascii="Arial Narrow" w:hAnsi="Arial Narrow" w:cs="Arial Narrow"/>
                <w:bCs/>
                <w:sz w:val="20"/>
              </w:rPr>
              <w:t> </w:t>
            </w:r>
            <w:r w:rsidRPr="00E018A7">
              <w:rPr>
                <w:rFonts w:ascii="Arial Narrow" w:hAnsi="Arial Narrow" w:cs="Arial Narrow"/>
                <w:bCs/>
                <w:sz w:val="20"/>
              </w:rPr>
              <w:t>kg received 400</w:t>
            </w:r>
            <w:r w:rsidR="00303757">
              <w:rPr>
                <w:rFonts w:ascii="Arial Narrow" w:hAnsi="Arial Narrow" w:cs="Arial Narrow"/>
                <w:bCs/>
                <w:sz w:val="20"/>
              </w:rPr>
              <w:t> </w:t>
            </w:r>
            <w:r w:rsidRPr="00E018A7">
              <w:rPr>
                <w:rFonts w:ascii="Arial Narrow" w:hAnsi="Arial Narrow" w:cs="Arial Narrow"/>
                <w:bCs/>
                <w:sz w:val="20"/>
              </w:rPr>
              <w:t xml:space="preserve">mg daily, patients weighing 68.2 </w:t>
            </w:r>
            <w:r w:rsidR="00964E35">
              <w:rPr>
                <w:rFonts w:ascii="Arial Narrow" w:hAnsi="Arial Narrow" w:cs="Arial Narrow"/>
                <w:bCs/>
                <w:sz w:val="20"/>
              </w:rPr>
              <w:t>–</w:t>
            </w:r>
            <w:r w:rsidRPr="00E018A7">
              <w:rPr>
                <w:rFonts w:ascii="Arial Narrow" w:hAnsi="Arial Narrow" w:cs="Arial Narrow"/>
                <w:bCs/>
                <w:sz w:val="20"/>
              </w:rPr>
              <w:t>90.9</w:t>
            </w:r>
            <w:r w:rsidR="00964E35">
              <w:rPr>
                <w:rFonts w:ascii="Arial Narrow" w:hAnsi="Arial Narrow" w:cs="Arial Narrow"/>
                <w:bCs/>
                <w:sz w:val="20"/>
              </w:rPr>
              <w:t> </w:t>
            </w:r>
            <w:r w:rsidRPr="00E018A7">
              <w:rPr>
                <w:rFonts w:ascii="Arial Narrow" w:hAnsi="Arial Narrow" w:cs="Arial Narrow"/>
                <w:bCs/>
                <w:sz w:val="20"/>
              </w:rPr>
              <w:t>kg received 300</w:t>
            </w:r>
            <w:r w:rsidR="00964E35">
              <w:rPr>
                <w:rFonts w:ascii="Arial Narrow" w:hAnsi="Arial Narrow" w:cs="Arial Narrow"/>
                <w:bCs/>
                <w:sz w:val="20"/>
              </w:rPr>
              <w:t> </w:t>
            </w:r>
            <w:r w:rsidRPr="00E018A7">
              <w:rPr>
                <w:rFonts w:ascii="Arial Narrow" w:hAnsi="Arial Narrow" w:cs="Arial Narrow"/>
                <w:bCs/>
                <w:sz w:val="20"/>
              </w:rPr>
              <w:t>mg daily, and</w:t>
            </w:r>
            <w:r>
              <w:rPr>
                <w:rFonts w:ascii="Arial Narrow" w:hAnsi="Arial Narrow" w:cs="Arial Narrow"/>
                <w:bCs/>
                <w:sz w:val="20"/>
              </w:rPr>
              <w:t xml:space="preserve"> </w:t>
            </w:r>
            <w:r w:rsidRPr="00E018A7">
              <w:rPr>
                <w:rFonts w:ascii="Arial Narrow" w:hAnsi="Arial Narrow" w:cs="Arial Narrow"/>
                <w:bCs/>
                <w:sz w:val="20"/>
              </w:rPr>
              <w:t xml:space="preserve">patients weighing less than </w:t>
            </w:r>
            <w:r>
              <w:rPr>
                <w:rFonts w:ascii="Arial Narrow" w:hAnsi="Arial Narrow" w:cs="Arial Narrow"/>
                <w:bCs/>
                <w:sz w:val="20"/>
              </w:rPr>
              <w:t>6</w:t>
            </w:r>
            <w:r w:rsidRPr="00E018A7">
              <w:rPr>
                <w:rFonts w:ascii="Arial Narrow" w:hAnsi="Arial Narrow" w:cs="Arial Narrow"/>
                <w:bCs/>
                <w:sz w:val="20"/>
              </w:rPr>
              <w:t>8.2</w:t>
            </w:r>
            <w:r w:rsidR="00964E35">
              <w:rPr>
                <w:rFonts w:ascii="Arial Narrow" w:hAnsi="Arial Narrow" w:cs="Arial Narrow"/>
                <w:bCs/>
                <w:sz w:val="20"/>
              </w:rPr>
              <w:t> </w:t>
            </w:r>
            <w:r w:rsidRPr="00E018A7">
              <w:rPr>
                <w:rFonts w:ascii="Arial Narrow" w:hAnsi="Arial Narrow" w:cs="Arial Narrow"/>
                <w:bCs/>
                <w:sz w:val="20"/>
              </w:rPr>
              <w:t>kg received</w:t>
            </w:r>
            <w:r>
              <w:rPr>
                <w:rFonts w:ascii="Arial Narrow" w:hAnsi="Arial Narrow" w:cs="Arial Narrow"/>
                <w:bCs/>
                <w:sz w:val="20"/>
              </w:rPr>
              <w:t xml:space="preserve"> </w:t>
            </w:r>
            <w:r w:rsidRPr="00E018A7">
              <w:rPr>
                <w:rFonts w:ascii="Arial Narrow" w:hAnsi="Arial Narrow" w:cs="Arial Narrow"/>
                <w:bCs/>
                <w:sz w:val="20"/>
              </w:rPr>
              <w:t>200</w:t>
            </w:r>
            <w:r w:rsidR="00964E35">
              <w:rPr>
                <w:rFonts w:ascii="Arial Narrow" w:hAnsi="Arial Narrow" w:cs="Arial Narrow"/>
                <w:bCs/>
                <w:sz w:val="20"/>
              </w:rPr>
              <w:t> </w:t>
            </w:r>
            <w:r w:rsidRPr="00E018A7">
              <w:rPr>
                <w:rFonts w:ascii="Arial Narrow" w:hAnsi="Arial Narrow" w:cs="Arial Narrow"/>
                <w:bCs/>
                <w:sz w:val="20"/>
              </w:rPr>
              <w:t>mg daily. Physicians could lower the loading or</w:t>
            </w:r>
            <w:r>
              <w:rPr>
                <w:rFonts w:ascii="Arial Narrow" w:hAnsi="Arial Narrow" w:cs="Arial Narrow"/>
                <w:bCs/>
                <w:sz w:val="20"/>
              </w:rPr>
              <w:t xml:space="preserve"> </w:t>
            </w:r>
            <w:r w:rsidRPr="00E018A7">
              <w:rPr>
                <w:rFonts w:ascii="Arial Narrow" w:hAnsi="Arial Narrow" w:cs="Arial Narrow"/>
                <w:bCs/>
                <w:sz w:val="20"/>
              </w:rPr>
              <w:t>maintenance dose if a patient had bradycardia.</w:t>
            </w:r>
          </w:p>
        </w:tc>
        <w:tc>
          <w:tcPr>
            <w:tcW w:w="583" w:type="pct"/>
            <w:shd w:val="clear" w:color="auto" w:fill="auto"/>
          </w:tcPr>
          <w:p w14:paraId="772F5B96" w14:textId="77777777" w:rsidR="00803845" w:rsidRDefault="00803845" w:rsidP="004C79C1">
            <w:pPr>
              <w:spacing w:before="0" w:after="120" w:line="240" w:lineRule="auto"/>
              <w:ind w:right="-57"/>
              <w:rPr>
                <w:rFonts w:ascii="Arial Narrow" w:hAnsi="Arial Narrow"/>
                <w:sz w:val="20"/>
              </w:rPr>
            </w:pPr>
            <w:r w:rsidRPr="00E018A7">
              <w:rPr>
                <w:rFonts w:ascii="Arial Narrow" w:hAnsi="Arial Narrow"/>
                <w:sz w:val="20"/>
              </w:rPr>
              <w:lastRenderedPageBreak/>
              <w:t>The primary end point of the trial was death from</w:t>
            </w:r>
            <w:r>
              <w:rPr>
                <w:rFonts w:ascii="Arial Narrow" w:hAnsi="Arial Narrow"/>
                <w:sz w:val="20"/>
              </w:rPr>
              <w:t xml:space="preserve"> </w:t>
            </w:r>
            <w:r w:rsidRPr="00E018A7">
              <w:rPr>
                <w:rFonts w:ascii="Arial Narrow" w:hAnsi="Arial Narrow"/>
                <w:sz w:val="20"/>
              </w:rPr>
              <w:lastRenderedPageBreak/>
              <w:t>any cause.</w:t>
            </w:r>
          </w:p>
          <w:p w14:paraId="6ED991DC" w14:textId="0BA7A23D" w:rsidR="00803845" w:rsidRPr="00A153AE" w:rsidRDefault="00803845" w:rsidP="004C79C1">
            <w:pPr>
              <w:spacing w:before="0" w:after="120" w:line="240" w:lineRule="auto"/>
              <w:ind w:right="-57"/>
              <w:rPr>
                <w:rFonts w:ascii="Arial Narrow" w:hAnsi="Arial Narrow"/>
                <w:sz w:val="20"/>
                <w:u w:val="single"/>
              </w:rPr>
            </w:pPr>
            <w:r w:rsidRPr="00E018A7">
              <w:rPr>
                <w:rFonts w:ascii="Arial Narrow" w:hAnsi="Arial Narrow"/>
                <w:sz w:val="20"/>
              </w:rPr>
              <w:t>All deaths were classified as sudden or</w:t>
            </w:r>
            <w:r>
              <w:rPr>
                <w:rFonts w:ascii="Arial Narrow" w:hAnsi="Arial Narrow"/>
                <w:sz w:val="20"/>
              </w:rPr>
              <w:t xml:space="preserve"> </w:t>
            </w:r>
            <w:r w:rsidRPr="00E018A7">
              <w:rPr>
                <w:rFonts w:ascii="Arial Narrow" w:hAnsi="Arial Narrow"/>
                <w:sz w:val="20"/>
              </w:rPr>
              <w:t>non</w:t>
            </w:r>
            <w:r w:rsidR="00964E35">
              <w:rPr>
                <w:rFonts w:ascii="Arial Narrow" w:hAnsi="Arial Narrow"/>
                <w:sz w:val="20"/>
              </w:rPr>
              <w:t>-</w:t>
            </w:r>
            <w:r w:rsidRPr="00E018A7">
              <w:rPr>
                <w:rFonts w:ascii="Arial Narrow" w:hAnsi="Arial Narrow"/>
                <w:sz w:val="20"/>
              </w:rPr>
              <w:t>sudden, as cardiac or non</w:t>
            </w:r>
            <w:r w:rsidR="00964E35">
              <w:rPr>
                <w:rFonts w:ascii="Arial Narrow" w:hAnsi="Arial Narrow"/>
                <w:sz w:val="20"/>
              </w:rPr>
              <w:t>-</w:t>
            </w:r>
            <w:r w:rsidRPr="00E018A7">
              <w:rPr>
                <w:rFonts w:ascii="Arial Narrow" w:hAnsi="Arial Narrow"/>
                <w:sz w:val="20"/>
              </w:rPr>
              <w:t>cardiac</w:t>
            </w:r>
            <w:r w:rsidR="00964E35">
              <w:rPr>
                <w:rFonts w:ascii="Arial Narrow" w:hAnsi="Arial Narrow"/>
                <w:sz w:val="20"/>
              </w:rPr>
              <w:t>;</w:t>
            </w:r>
            <w:r w:rsidRPr="00E018A7">
              <w:rPr>
                <w:rFonts w:ascii="Arial Narrow" w:hAnsi="Arial Narrow"/>
                <w:sz w:val="20"/>
              </w:rPr>
              <w:t xml:space="preserve"> and when the event was</w:t>
            </w:r>
            <w:r>
              <w:rPr>
                <w:rFonts w:ascii="Arial Narrow" w:hAnsi="Arial Narrow"/>
                <w:sz w:val="20"/>
              </w:rPr>
              <w:t xml:space="preserve"> </w:t>
            </w:r>
            <w:r w:rsidRPr="00E018A7">
              <w:rPr>
                <w:rFonts w:ascii="Arial Narrow" w:hAnsi="Arial Narrow"/>
                <w:sz w:val="20"/>
              </w:rPr>
              <w:t xml:space="preserve">cardiac, as resulting from </w:t>
            </w:r>
            <w:r>
              <w:rPr>
                <w:rFonts w:ascii="Arial Narrow" w:hAnsi="Arial Narrow"/>
                <w:sz w:val="20"/>
              </w:rPr>
              <w:t>VT</w:t>
            </w:r>
            <w:r w:rsidRPr="00E018A7">
              <w:rPr>
                <w:rFonts w:ascii="Arial Narrow" w:hAnsi="Arial Narrow"/>
                <w:sz w:val="20"/>
              </w:rPr>
              <w:t>, bradyarrhythmia,</w:t>
            </w:r>
            <w:r>
              <w:rPr>
                <w:rFonts w:ascii="Arial Narrow" w:hAnsi="Arial Narrow"/>
                <w:sz w:val="20"/>
              </w:rPr>
              <w:t xml:space="preserve"> </w:t>
            </w:r>
            <w:r w:rsidRPr="00E018A7">
              <w:rPr>
                <w:rFonts w:ascii="Arial Narrow" w:hAnsi="Arial Narrow"/>
                <w:sz w:val="20"/>
              </w:rPr>
              <w:t>HF or other cardiac causes</w:t>
            </w:r>
          </w:p>
        </w:tc>
      </w:tr>
    </w:tbl>
    <w:p w14:paraId="231329CA" w14:textId="1C3551AF" w:rsidR="00803845" w:rsidRPr="00A153AE" w:rsidRDefault="00803845" w:rsidP="004C79C1">
      <w:pPr>
        <w:pStyle w:val="Tablenotes0"/>
        <w:spacing w:before="0" w:after="120"/>
      </w:pPr>
      <w:r w:rsidRPr="00A153AE">
        <w:lastRenderedPageBreak/>
        <w:t xml:space="preserve">Quality appraisal using the SIGN checklist for RCTs </w:t>
      </w:r>
    </w:p>
    <w:p w14:paraId="3137020D" w14:textId="78F417D7" w:rsidR="00803845" w:rsidRPr="00260BF9" w:rsidRDefault="008B0A7A" w:rsidP="004C79C1">
      <w:pPr>
        <w:pStyle w:val="Tablenotes0"/>
        <w:spacing w:before="0" w:after="120"/>
      </w:pPr>
      <w:r w:rsidRPr="00260BF9">
        <w:t xml:space="preserve">ACE = </w:t>
      </w:r>
      <w:r w:rsidR="008E2F56" w:rsidRPr="00260BF9">
        <w:t>angiotensin converting enzyme</w:t>
      </w:r>
      <w:r w:rsidRPr="00260BF9">
        <w:t xml:space="preserve">; AF = </w:t>
      </w:r>
      <w:r w:rsidR="0022627F" w:rsidRPr="00260BF9">
        <w:t>atrial fibrillation</w:t>
      </w:r>
      <w:r w:rsidRPr="00260BF9">
        <w:t xml:space="preserve">; </w:t>
      </w:r>
      <w:r w:rsidR="003521D2" w:rsidRPr="00260BF9">
        <w:t xml:space="preserve">ARB = </w:t>
      </w:r>
      <w:r w:rsidR="008E2F56" w:rsidRPr="00260BF9">
        <w:t>angiotensin II receptor blocker</w:t>
      </w:r>
      <w:r w:rsidR="003521D2" w:rsidRPr="00260BF9">
        <w:t xml:space="preserve">; </w:t>
      </w:r>
      <w:r w:rsidR="00D27A49">
        <w:t>bpm = beats per min</w:t>
      </w:r>
      <w:r w:rsidR="00D27A49" w:rsidRPr="00455780">
        <w:t xml:space="preserve">ute; </w:t>
      </w:r>
      <w:r w:rsidR="004E2784" w:rsidRPr="00260BF9">
        <w:t xml:space="preserve">CAD = </w:t>
      </w:r>
      <w:r w:rsidR="0022627F" w:rsidRPr="00BA665C">
        <w:t>coronary artery disease</w:t>
      </w:r>
      <w:r w:rsidR="004E2784" w:rsidRPr="00260BF9">
        <w:t xml:space="preserve">; </w:t>
      </w:r>
      <w:r w:rsidRPr="00260BF9">
        <w:t xml:space="preserve">CHF = </w:t>
      </w:r>
      <w:r w:rsidR="0022627F" w:rsidRPr="00BA665C">
        <w:rPr>
          <w:rFonts w:eastAsiaTheme="minorEastAsia" w:cstheme="minorBidi"/>
          <w:iCs/>
        </w:rPr>
        <w:t>congestive heart failure</w:t>
      </w:r>
      <w:r w:rsidRPr="00260BF9">
        <w:t xml:space="preserve">; </w:t>
      </w:r>
      <w:r w:rsidR="001E4957" w:rsidRPr="00260BF9">
        <w:t xml:space="preserve">CM = </w:t>
      </w:r>
      <w:r w:rsidR="0022627F" w:rsidRPr="00260BF9">
        <w:t>cardiomyopathy</w:t>
      </w:r>
      <w:r w:rsidR="001E4957" w:rsidRPr="00260BF9">
        <w:t xml:space="preserve">; </w:t>
      </w:r>
      <w:r w:rsidR="0086186D" w:rsidRPr="00260BF9">
        <w:t xml:space="preserve">DCM = dilated cardiomyopathy; </w:t>
      </w:r>
      <w:r w:rsidRPr="00260BF9">
        <w:t xml:space="preserve">FDA = </w:t>
      </w:r>
      <w:r w:rsidR="00131816" w:rsidRPr="00BA665C">
        <w:rPr>
          <w:rFonts w:eastAsiaTheme="minorEastAsia" w:cstheme="minorBidi"/>
          <w:iCs/>
          <w:snapToGrid/>
        </w:rPr>
        <w:t>Food and Drug Administration</w:t>
      </w:r>
      <w:r w:rsidRPr="00260BF9">
        <w:t>;</w:t>
      </w:r>
      <w:r w:rsidR="00433E79" w:rsidRPr="00260BF9">
        <w:rPr>
          <w:rStyle w:val="Emphasis"/>
        </w:rPr>
        <w:t xml:space="preserve"> </w:t>
      </w:r>
      <w:r w:rsidR="0086186D" w:rsidRPr="00260BF9">
        <w:t xml:space="preserve">HRQoL = </w:t>
      </w:r>
      <w:r w:rsidR="0086186D" w:rsidRPr="00260BF9">
        <w:rPr>
          <w:color w:val="000000"/>
        </w:rPr>
        <w:t>health-related quality of life</w:t>
      </w:r>
      <w:r w:rsidR="0086186D" w:rsidRPr="00260BF9">
        <w:t xml:space="preserve">; ICD = implantable </w:t>
      </w:r>
      <w:r w:rsidR="0026063B">
        <w:t>cardioverter defibrillator</w:t>
      </w:r>
      <w:r w:rsidR="0086186D" w:rsidRPr="00260BF9">
        <w:t xml:space="preserve">; LBBB = </w:t>
      </w:r>
      <w:r w:rsidR="008E2F56" w:rsidRPr="00260BF9">
        <w:t>left bundle branch block</w:t>
      </w:r>
      <w:r w:rsidR="0086186D" w:rsidRPr="00260BF9">
        <w:t xml:space="preserve">; LVEF = left ventricular ejection fraction; </w:t>
      </w:r>
      <w:r w:rsidR="001E4957" w:rsidRPr="00260BF9">
        <w:t xml:space="preserve">MI = </w:t>
      </w:r>
      <w:r w:rsidR="008E2F56" w:rsidRPr="00BA665C">
        <w:t>myocardial infarction</w:t>
      </w:r>
      <w:r w:rsidR="001E4957" w:rsidRPr="00260BF9">
        <w:t xml:space="preserve">; </w:t>
      </w:r>
      <w:r w:rsidR="0086186D" w:rsidRPr="00260BF9">
        <w:t xml:space="preserve">NHMRC = </w:t>
      </w:r>
      <w:r w:rsidR="0086186D" w:rsidRPr="00260BF9">
        <w:rPr>
          <w:color w:val="000000"/>
        </w:rPr>
        <w:t>National Health and Medical Research Council</w:t>
      </w:r>
      <w:r w:rsidR="0086186D" w:rsidRPr="00260BF9">
        <w:t xml:space="preserve">; NIDCM = </w:t>
      </w:r>
      <w:r w:rsidR="0086186D" w:rsidRPr="00260BF9">
        <w:rPr>
          <w:color w:val="000000"/>
        </w:rPr>
        <w:t>non-ischaemic dilated cardiomyopathy</w:t>
      </w:r>
      <w:r w:rsidR="0086186D" w:rsidRPr="00260BF9">
        <w:t xml:space="preserve">; nRCS = non-randomised comparative studies; NYHA = </w:t>
      </w:r>
      <w:r w:rsidR="0086186D" w:rsidRPr="00260BF9">
        <w:rPr>
          <w:rFonts w:eastAsiaTheme="minorEastAsia" w:cstheme="minorBidi"/>
          <w:iCs/>
        </w:rPr>
        <w:t>New York Heart Association</w:t>
      </w:r>
      <w:r w:rsidR="0086186D" w:rsidRPr="00260BF9">
        <w:t xml:space="preserve">; OPT = optimal pharmacological therapy; </w:t>
      </w:r>
      <w:r w:rsidR="004E2784" w:rsidRPr="00260BF9">
        <w:t xml:space="preserve">PVC = premature ventricular complexes; </w:t>
      </w:r>
      <w:r w:rsidR="0086186D" w:rsidRPr="00260BF9">
        <w:t xml:space="preserve">RBBB = </w:t>
      </w:r>
      <w:r w:rsidR="008E2F56" w:rsidRPr="00260BF9">
        <w:t>right bundle branch block</w:t>
      </w:r>
      <w:r w:rsidR="0086186D" w:rsidRPr="00260BF9">
        <w:t xml:space="preserve">; RCT = randomised controlled trial; SCD = sudden cardiac death; </w:t>
      </w:r>
      <w:r w:rsidR="00F4064E">
        <w:t xml:space="preserve">SIGN = </w:t>
      </w:r>
      <w:r w:rsidR="00F4064E" w:rsidRPr="00401C4D">
        <w:t>Scottish Intercollegiate Guidelines Network quality assessment tool</w:t>
      </w:r>
      <w:r w:rsidR="00F4064E">
        <w:t>;</w:t>
      </w:r>
      <w:r w:rsidR="00F4064E" w:rsidRPr="00260BF9">
        <w:t xml:space="preserve"> </w:t>
      </w:r>
      <w:r w:rsidR="0086186D" w:rsidRPr="00260BF9">
        <w:t>VA = ventricular arrhythmia</w:t>
      </w:r>
      <w:r w:rsidR="001E4957" w:rsidRPr="00260BF9">
        <w:t xml:space="preserve">; VF = </w:t>
      </w:r>
      <w:r w:rsidR="008E2F56" w:rsidRPr="00BA665C">
        <w:t>ventricular fibrillation</w:t>
      </w:r>
      <w:r w:rsidR="001E4957" w:rsidRPr="00260BF9">
        <w:t xml:space="preserve">; VT = </w:t>
      </w:r>
      <w:r w:rsidR="008E2F56" w:rsidRPr="00BA665C">
        <w:rPr>
          <w:bCs/>
        </w:rPr>
        <w:t>ventricular tachycardia</w:t>
      </w:r>
      <w:r w:rsidR="001E4957" w:rsidRPr="00260BF9">
        <w:t xml:space="preserve"> </w:t>
      </w:r>
    </w:p>
    <w:p w14:paraId="07DBBE9C" w14:textId="77777777" w:rsidR="00803845" w:rsidRPr="00260BF9" w:rsidRDefault="00803845" w:rsidP="004C79C1">
      <w:pPr>
        <w:pStyle w:val="Tablenotes0"/>
        <w:spacing w:before="0" w:after="120"/>
      </w:pPr>
    </w:p>
    <w:p w14:paraId="0EE2C2D6" w14:textId="576440B1" w:rsidR="00803845" w:rsidRDefault="00050936" w:rsidP="004C79C1">
      <w:pPr>
        <w:pStyle w:val="Caption"/>
        <w:keepNext/>
      </w:pPr>
      <w:bookmarkStart w:id="832" w:name="_Ref448745468"/>
      <w:bookmarkStart w:id="833" w:name="_Toc324410260"/>
      <w:bookmarkStart w:id="834" w:name="_Toc451435411"/>
      <w:r>
        <w:lastRenderedPageBreak/>
        <w:t xml:space="preserve">Table </w:t>
      </w:r>
      <w:fldSimple w:instr=" SEQ Table \* ARABIC ">
        <w:r>
          <w:rPr>
            <w:noProof/>
          </w:rPr>
          <w:t>84</w:t>
        </w:r>
      </w:fldSimple>
      <w:bookmarkEnd w:id="832"/>
      <w:r w:rsidR="00803845">
        <w:tab/>
      </w:r>
      <w:r w:rsidR="00803845" w:rsidRPr="00A153AE">
        <w:t xml:space="preserve">Study profiles of included </w:t>
      </w:r>
      <w:r w:rsidR="00803845">
        <w:t>SR</w:t>
      </w:r>
      <w:r w:rsidR="00803845" w:rsidRPr="00A153AE">
        <w:t xml:space="preserve">s </w:t>
      </w:r>
      <w:r w:rsidR="00803845" w:rsidRPr="008C719C">
        <w:t xml:space="preserve">comparing </w:t>
      </w:r>
      <w:r w:rsidR="00803845">
        <w:t>treatments in patients with myocarditis (therapeutic effectiveness)</w:t>
      </w:r>
      <w:bookmarkEnd w:id="833"/>
      <w:bookmarkEnd w:id="834"/>
    </w:p>
    <w:tbl>
      <w:tblPr>
        <w:tblStyle w:val="TableGrid3"/>
        <w:tblW w:w="5000" w:type="pct"/>
        <w:tblLook w:val="04A0" w:firstRow="1" w:lastRow="0" w:firstColumn="1" w:lastColumn="0" w:noHBand="0" w:noVBand="1"/>
        <w:tblCaption w:val="Study profiles of included SRs comparing treatments in patients with myocarditis (therapeutic effectiveness)"/>
      </w:tblPr>
      <w:tblGrid>
        <w:gridCol w:w="1019"/>
        <w:gridCol w:w="1536"/>
        <w:gridCol w:w="2177"/>
        <w:gridCol w:w="6143"/>
        <w:gridCol w:w="2301"/>
      </w:tblGrid>
      <w:tr w:rsidR="00803845" w:rsidRPr="00A153AE" w14:paraId="5ACA12B8" w14:textId="77777777" w:rsidTr="00BE5D7C">
        <w:trPr>
          <w:tblHeader/>
        </w:trPr>
        <w:tc>
          <w:tcPr>
            <w:tcW w:w="387" w:type="pct"/>
          </w:tcPr>
          <w:p w14:paraId="2C594A89"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 xml:space="preserve">Study </w:t>
            </w:r>
            <w:r w:rsidRPr="00A153AE">
              <w:rPr>
                <w:rFonts w:ascii="Arial Narrow" w:hAnsi="Arial Narrow"/>
                <w:b/>
                <w:sz w:val="20"/>
              </w:rPr>
              <w:br/>
              <w:t xml:space="preserve">Country </w:t>
            </w:r>
          </w:p>
        </w:tc>
        <w:tc>
          <w:tcPr>
            <w:tcW w:w="583" w:type="pct"/>
          </w:tcPr>
          <w:p w14:paraId="788D257C"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Level of evidence</w:t>
            </w:r>
            <w:r w:rsidRPr="00A153AE">
              <w:rPr>
                <w:rFonts w:ascii="Arial Narrow" w:hAnsi="Arial Narrow"/>
                <w:b/>
                <w:sz w:val="20"/>
              </w:rPr>
              <w:br/>
              <w:t>Quality appraisal</w:t>
            </w:r>
          </w:p>
        </w:tc>
        <w:tc>
          <w:tcPr>
            <w:tcW w:w="826" w:type="pct"/>
          </w:tcPr>
          <w:p w14:paraId="59E3FD55" w14:textId="77777777" w:rsidR="00803845" w:rsidRPr="00A153AE" w:rsidRDefault="00803845" w:rsidP="004C79C1">
            <w:pPr>
              <w:keepNext/>
              <w:tabs>
                <w:tab w:val="left" w:pos="89"/>
              </w:tabs>
              <w:spacing w:before="0" w:after="120" w:line="240" w:lineRule="auto"/>
              <w:ind w:right="-57"/>
              <w:rPr>
                <w:rFonts w:ascii="Arial Narrow" w:hAnsi="Arial Narrow"/>
                <w:b/>
                <w:sz w:val="20"/>
              </w:rPr>
            </w:pPr>
            <w:r w:rsidRPr="00A153AE">
              <w:rPr>
                <w:rFonts w:ascii="Arial Narrow" w:hAnsi="Arial Narrow"/>
                <w:b/>
                <w:sz w:val="20"/>
              </w:rPr>
              <w:t>Aim of the SR</w:t>
            </w:r>
            <w:r w:rsidRPr="00A153AE">
              <w:rPr>
                <w:rFonts w:ascii="Arial Narrow" w:hAnsi="Arial Narrow"/>
                <w:b/>
                <w:sz w:val="20"/>
              </w:rPr>
              <w:br/>
              <w:t>Study population</w:t>
            </w:r>
          </w:p>
        </w:tc>
        <w:tc>
          <w:tcPr>
            <w:tcW w:w="2331" w:type="pct"/>
          </w:tcPr>
          <w:p w14:paraId="1A7A8650"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Inclusion criteria / exclusion criteria</w:t>
            </w:r>
          </w:p>
        </w:tc>
        <w:tc>
          <w:tcPr>
            <w:tcW w:w="874" w:type="pct"/>
          </w:tcPr>
          <w:p w14:paraId="697F7C22" w14:textId="77777777" w:rsidR="00803845" w:rsidRPr="00A153AE" w:rsidRDefault="00803845" w:rsidP="004C79C1">
            <w:pPr>
              <w:keepNext/>
              <w:spacing w:before="0" w:after="120" w:line="240" w:lineRule="auto"/>
              <w:ind w:right="-57"/>
              <w:rPr>
                <w:rFonts w:ascii="Arial Narrow" w:hAnsi="Arial Narrow"/>
                <w:b/>
                <w:sz w:val="20"/>
              </w:rPr>
            </w:pPr>
            <w:r w:rsidRPr="00A153AE">
              <w:rPr>
                <w:rFonts w:ascii="Arial Narrow" w:hAnsi="Arial Narrow"/>
                <w:b/>
                <w:sz w:val="20"/>
              </w:rPr>
              <w:t>Outcomes assessed</w:t>
            </w:r>
          </w:p>
        </w:tc>
      </w:tr>
      <w:tr w:rsidR="00803845" w:rsidRPr="00A153AE" w14:paraId="249C752D" w14:textId="77777777" w:rsidTr="00BE5D7C">
        <w:tc>
          <w:tcPr>
            <w:tcW w:w="387" w:type="pct"/>
          </w:tcPr>
          <w:p w14:paraId="153D0C0A" w14:textId="5073CD93"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Chen et al</w:t>
            </w:r>
            <w:r w:rsidR="00D912A5">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(2013)</w:t>
            </w:r>
          </w:p>
          <w:p w14:paraId="6203A463"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40C6521E" w14:textId="77777777" w:rsidR="00803845" w:rsidRPr="00CA5C0C"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China</w:t>
            </w:r>
          </w:p>
        </w:tc>
        <w:tc>
          <w:tcPr>
            <w:tcW w:w="583" w:type="pct"/>
          </w:tcPr>
          <w:p w14:paraId="13490ECF"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NHMRC Level I</w:t>
            </w:r>
          </w:p>
          <w:p w14:paraId="74C9E0BB"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7FBF5559"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AMSTAR: </w:t>
            </w:r>
          </w:p>
          <w:p w14:paraId="6A3A3B6E"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100% (11/11)</w:t>
            </w:r>
          </w:p>
          <w:p w14:paraId="5706CDCA"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Good quality</w:t>
            </w:r>
          </w:p>
          <w:p w14:paraId="3B11AEA0" w14:textId="77777777" w:rsidR="00803845" w:rsidRPr="00A153AE" w:rsidRDefault="00803845" w:rsidP="004C79C1">
            <w:pPr>
              <w:spacing w:before="0" w:after="120" w:line="240" w:lineRule="auto"/>
              <w:ind w:right="-57"/>
              <w:rPr>
                <w:rFonts w:ascii="Arial Narrow" w:eastAsiaTheme="minorHAnsi" w:hAnsi="Arial Narrow" w:cstheme="minorHAnsi"/>
                <w:sz w:val="20"/>
                <w:lang w:eastAsia="en-US"/>
              </w:rPr>
            </w:pPr>
          </w:p>
        </w:tc>
        <w:tc>
          <w:tcPr>
            <w:tcW w:w="826" w:type="pct"/>
          </w:tcPr>
          <w:p w14:paraId="2FCBD3F0" w14:textId="19574FF8" w:rsidR="00803845" w:rsidRPr="008C719C" w:rsidRDefault="00803845" w:rsidP="004C79C1">
            <w:pPr>
              <w:tabs>
                <w:tab w:val="left" w:pos="89"/>
              </w:tabs>
              <w:spacing w:before="0" w:after="120" w:line="240" w:lineRule="auto"/>
              <w:ind w:right="-57"/>
              <w:rPr>
                <w:rFonts w:ascii="Arial Narrow" w:hAnsi="Arial Narrow"/>
                <w:sz w:val="20"/>
                <w:lang w:eastAsia="en-US"/>
              </w:rPr>
            </w:pPr>
            <w:r>
              <w:rPr>
                <w:rFonts w:ascii="Arial Narrow" w:hAnsi="Arial Narrow"/>
                <w:sz w:val="20"/>
                <w:lang w:eastAsia="en-US"/>
              </w:rPr>
              <w:t xml:space="preserve">To assess </w:t>
            </w:r>
            <w:r w:rsidR="00567A92">
              <w:rPr>
                <w:rFonts w:ascii="Arial Narrow" w:hAnsi="Arial Narrow"/>
                <w:sz w:val="20"/>
                <w:lang w:eastAsia="en-US"/>
              </w:rPr>
              <w:t xml:space="preserve">the </w:t>
            </w:r>
            <w:r>
              <w:rPr>
                <w:rFonts w:ascii="Arial Narrow" w:hAnsi="Arial Narrow"/>
                <w:sz w:val="20"/>
                <w:lang w:eastAsia="en-US"/>
              </w:rPr>
              <w:t>clinical effectiveness of</w:t>
            </w:r>
            <w:r w:rsidR="005D4B66" w:rsidDel="005D4B66">
              <w:rPr>
                <w:rFonts w:ascii="Arial Narrow" w:hAnsi="Arial Narrow"/>
                <w:sz w:val="20"/>
                <w:lang w:eastAsia="en-US"/>
              </w:rPr>
              <w:t xml:space="preserve"> </w:t>
            </w:r>
            <w:r w:rsidR="005D4B66">
              <w:rPr>
                <w:rFonts w:ascii="Arial Narrow" w:hAnsi="Arial Narrow"/>
                <w:sz w:val="20"/>
                <w:lang w:eastAsia="en-US"/>
              </w:rPr>
              <w:t>c</w:t>
            </w:r>
            <w:r>
              <w:rPr>
                <w:rFonts w:ascii="Arial Narrow" w:hAnsi="Arial Narrow"/>
                <w:sz w:val="20"/>
                <w:lang w:eastAsia="en-US"/>
              </w:rPr>
              <w:t>orticosteroids vs other treatments in patients with acute or chronic viral myocarditis (using different diagnostic criteria)</w:t>
            </w:r>
          </w:p>
        </w:tc>
        <w:tc>
          <w:tcPr>
            <w:tcW w:w="2331" w:type="pct"/>
          </w:tcPr>
          <w:p w14:paraId="398E6957"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Search period:</w:t>
            </w:r>
          </w:p>
          <w:p w14:paraId="276C0F91"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From inception to July 2012</w:t>
            </w:r>
          </w:p>
          <w:p w14:paraId="779DE2CC"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Databases searched:</w:t>
            </w:r>
          </w:p>
          <w:p w14:paraId="7F12A3FE" w14:textId="45A39F68" w:rsidR="00803845" w:rsidRDefault="00803845" w:rsidP="004C79C1">
            <w:pPr>
              <w:spacing w:before="0" w:after="120" w:line="240" w:lineRule="auto"/>
              <w:ind w:right="-57"/>
              <w:rPr>
                <w:rFonts w:ascii="Arial Narrow" w:hAnsi="Arial Narrow"/>
                <w:sz w:val="20"/>
              </w:rPr>
            </w:pPr>
            <w:r>
              <w:rPr>
                <w:rFonts w:ascii="Arial Narrow" w:hAnsi="Arial Narrow"/>
                <w:sz w:val="20"/>
              </w:rPr>
              <w:t>The Cochrane Library, MEDLINE, OVID, EMBASE, BIOSIS Previews, Web of Science, LILACS, Chinese Biomed Database, CNKI and WANFANG Databases</w:t>
            </w:r>
          </w:p>
          <w:p w14:paraId="092A3918"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Inclusion criteria:</w:t>
            </w:r>
          </w:p>
          <w:p w14:paraId="33DCFDE6" w14:textId="49D33828" w:rsidR="00803845" w:rsidRDefault="00803845" w:rsidP="004C79C1">
            <w:pPr>
              <w:spacing w:before="0" w:after="120" w:line="240" w:lineRule="auto"/>
              <w:ind w:right="-57"/>
              <w:rPr>
                <w:rFonts w:ascii="Arial Narrow" w:hAnsi="Arial Narrow"/>
                <w:sz w:val="20"/>
              </w:rPr>
            </w:pPr>
            <w:r>
              <w:rPr>
                <w:rFonts w:ascii="Arial Narrow" w:hAnsi="Arial Narrow"/>
                <w:sz w:val="20"/>
              </w:rPr>
              <w:t xml:space="preserve">RCTs of corticosteroids for viral myocarditis compared </w:t>
            </w:r>
            <w:r w:rsidR="008B38AE">
              <w:rPr>
                <w:rFonts w:ascii="Arial Narrow" w:hAnsi="Arial Narrow"/>
                <w:sz w:val="20"/>
              </w:rPr>
              <w:t xml:space="preserve">with </w:t>
            </w:r>
            <w:r>
              <w:rPr>
                <w:rFonts w:ascii="Arial Narrow" w:hAnsi="Arial Narrow"/>
                <w:sz w:val="20"/>
              </w:rPr>
              <w:t xml:space="preserve">no intervention, placebo, supportive therapy, antiviral agents therapy or conventional therapy, including trials of corticosteroids plus other treatment versus other treatment alone, irrespective of blinding, publication status or language </w:t>
            </w:r>
          </w:p>
          <w:p w14:paraId="40053287" w14:textId="471E2308" w:rsidR="00803845" w:rsidRPr="00402370" w:rsidRDefault="00803845" w:rsidP="004C79C1">
            <w:pPr>
              <w:spacing w:before="0" w:after="120" w:line="240" w:lineRule="auto"/>
              <w:ind w:right="-57"/>
              <w:rPr>
                <w:rFonts w:ascii="Arial Narrow" w:hAnsi="Arial Narrow"/>
                <w:sz w:val="20"/>
              </w:rPr>
            </w:pPr>
            <w:r>
              <w:rPr>
                <w:rFonts w:ascii="Arial Narrow" w:hAnsi="Arial Narrow"/>
                <w:b/>
                <w:sz w:val="20"/>
              </w:rPr>
              <w:t xml:space="preserve">Number of included studies: </w:t>
            </w:r>
            <w:r>
              <w:rPr>
                <w:rFonts w:ascii="Arial Narrow" w:hAnsi="Arial Narrow"/>
                <w:sz w:val="20"/>
              </w:rPr>
              <w:t xml:space="preserve">8 RCTs </w:t>
            </w:r>
          </w:p>
        </w:tc>
        <w:tc>
          <w:tcPr>
            <w:tcW w:w="874" w:type="pct"/>
          </w:tcPr>
          <w:p w14:paraId="227033F2"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All-cause mortality</w:t>
            </w:r>
          </w:p>
          <w:p w14:paraId="458588A8" w14:textId="6A32D534" w:rsidR="00803845" w:rsidRDefault="00803845" w:rsidP="004C79C1">
            <w:pPr>
              <w:spacing w:before="0" w:after="120" w:line="240" w:lineRule="auto"/>
              <w:ind w:right="-57"/>
              <w:rPr>
                <w:rFonts w:ascii="Arial Narrow" w:hAnsi="Arial Narrow"/>
                <w:sz w:val="20"/>
              </w:rPr>
            </w:pPr>
            <w:r>
              <w:rPr>
                <w:rFonts w:ascii="Arial Narrow" w:hAnsi="Arial Narrow"/>
                <w:sz w:val="20"/>
              </w:rPr>
              <w:t>Transplant</w:t>
            </w:r>
            <w:r w:rsidR="008B38AE">
              <w:rPr>
                <w:rFonts w:ascii="Arial Narrow" w:hAnsi="Arial Narrow"/>
                <w:sz w:val="20"/>
              </w:rPr>
              <w:t>-</w:t>
            </w:r>
            <w:r>
              <w:rPr>
                <w:rFonts w:ascii="Arial Narrow" w:hAnsi="Arial Narrow"/>
                <w:sz w:val="20"/>
              </w:rPr>
              <w:t>free survival</w:t>
            </w:r>
          </w:p>
          <w:p w14:paraId="2ED86249"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Severe adverse effects of treatment</w:t>
            </w:r>
          </w:p>
          <w:p w14:paraId="3E3F4869"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Cardiac function (NYHA class, LVEF, LVEDD, LVSD)</w:t>
            </w:r>
          </w:p>
          <w:p w14:paraId="1CC9BF56"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Cardiac enzyme</w:t>
            </w:r>
          </w:p>
          <w:p w14:paraId="02BDFBE5"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Number and type of adverse events</w:t>
            </w:r>
          </w:p>
          <w:p w14:paraId="4D7535C4" w14:textId="3B2A09ED" w:rsidR="00803845" w:rsidRDefault="00803845" w:rsidP="004C79C1">
            <w:pPr>
              <w:spacing w:before="0" w:after="120" w:line="240" w:lineRule="auto"/>
              <w:ind w:right="-57"/>
              <w:rPr>
                <w:rFonts w:ascii="Arial Narrow" w:hAnsi="Arial Narrow"/>
                <w:sz w:val="20"/>
              </w:rPr>
            </w:pPr>
            <w:r>
              <w:rPr>
                <w:rFonts w:ascii="Arial Narrow" w:hAnsi="Arial Narrow"/>
                <w:sz w:val="20"/>
              </w:rPr>
              <w:t>Length of hospital stay, quality of life and cost-effectiveness</w:t>
            </w:r>
          </w:p>
        </w:tc>
      </w:tr>
      <w:tr w:rsidR="00803845" w:rsidRPr="00A153AE" w14:paraId="079DF91E" w14:textId="77777777" w:rsidTr="00BE5D7C">
        <w:tc>
          <w:tcPr>
            <w:tcW w:w="387" w:type="pct"/>
          </w:tcPr>
          <w:p w14:paraId="21480914" w14:textId="05A25A18"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Liu et al</w:t>
            </w:r>
            <w:r w:rsidR="00D912A5">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(2013)</w:t>
            </w:r>
          </w:p>
          <w:p w14:paraId="639113EA"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4FB5D511"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China</w:t>
            </w:r>
          </w:p>
        </w:tc>
        <w:tc>
          <w:tcPr>
            <w:tcW w:w="583" w:type="pct"/>
          </w:tcPr>
          <w:p w14:paraId="0DBBDDF2"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NHMRC Level I</w:t>
            </w:r>
          </w:p>
          <w:p w14:paraId="7B3E4E8C"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2058558F"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AMSTAR: </w:t>
            </w:r>
          </w:p>
          <w:p w14:paraId="77D71CCC"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82% (9/11)</w:t>
            </w:r>
          </w:p>
          <w:p w14:paraId="1278B3C0"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Good quality</w:t>
            </w:r>
          </w:p>
        </w:tc>
        <w:tc>
          <w:tcPr>
            <w:tcW w:w="826" w:type="pct"/>
          </w:tcPr>
          <w:p w14:paraId="4C1076D8" w14:textId="68152E70" w:rsidR="00803845" w:rsidRDefault="00803845" w:rsidP="004C79C1">
            <w:pPr>
              <w:tabs>
                <w:tab w:val="left" w:pos="89"/>
              </w:tabs>
              <w:spacing w:before="0" w:after="120" w:line="240" w:lineRule="auto"/>
              <w:ind w:right="-57"/>
              <w:rPr>
                <w:rFonts w:ascii="Arial Narrow" w:hAnsi="Arial Narrow"/>
                <w:sz w:val="20"/>
                <w:lang w:eastAsia="en-US"/>
              </w:rPr>
            </w:pPr>
            <w:r>
              <w:rPr>
                <w:rFonts w:ascii="Arial Narrow" w:hAnsi="Arial Narrow"/>
                <w:sz w:val="20"/>
                <w:lang w:eastAsia="en-US"/>
              </w:rPr>
              <w:t xml:space="preserve">To assess </w:t>
            </w:r>
            <w:r w:rsidR="00567A92">
              <w:rPr>
                <w:rFonts w:ascii="Arial Narrow" w:hAnsi="Arial Narrow"/>
                <w:sz w:val="20"/>
                <w:lang w:eastAsia="en-US"/>
              </w:rPr>
              <w:t xml:space="preserve">the </w:t>
            </w:r>
            <w:r>
              <w:rPr>
                <w:rFonts w:ascii="Arial Narrow" w:hAnsi="Arial Narrow"/>
                <w:sz w:val="20"/>
                <w:lang w:eastAsia="en-US"/>
              </w:rPr>
              <w:t>clinical effectiveness of</w:t>
            </w:r>
            <w:r w:rsidR="008B38AE" w:rsidDel="008B38AE">
              <w:rPr>
                <w:rFonts w:ascii="Arial Narrow" w:hAnsi="Arial Narrow"/>
                <w:sz w:val="20"/>
                <w:lang w:eastAsia="en-US"/>
              </w:rPr>
              <w:t xml:space="preserve"> </w:t>
            </w:r>
            <w:r w:rsidR="008B38AE">
              <w:rPr>
                <w:rFonts w:ascii="Arial Narrow" w:hAnsi="Arial Narrow"/>
                <w:sz w:val="20"/>
                <w:lang w:eastAsia="en-US"/>
              </w:rPr>
              <w:t>h</w:t>
            </w:r>
            <w:r>
              <w:rPr>
                <w:rFonts w:ascii="Arial Narrow" w:hAnsi="Arial Narrow"/>
                <w:sz w:val="20"/>
                <w:lang w:eastAsia="en-US"/>
              </w:rPr>
              <w:t>erbal medicines for acute and chronic viral myocarditis</w:t>
            </w:r>
          </w:p>
        </w:tc>
        <w:tc>
          <w:tcPr>
            <w:tcW w:w="2331" w:type="pct"/>
          </w:tcPr>
          <w:p w14:paraId="2EAC1A5B"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Search period:</w:t>
            </w:r>
          </w:p>
          <w:p w14:paraId="1B7BDF64" w14:textId="0FA36BB7" w:rsidR="00803845" w:rsidRDefault="00803845" w:rsidP="004C79C1">
            <w:pPr>
              <w:spacing w:before="0" w:after="120" w:line="240" w:lineRule="auto"/>
              <w:ind w:right="-57"/>
              <w:rPr>
                <w:rFonts w:ascii="Arial Narrow" w:hAnsi="Arial Narrow"/>
                <w:sz w:val="20"/>
              </w:rPr>
            </w:pPr>
            <w:r>
              <w:rPr>
                <w:rFonts w:ascii="Arial Narrow" w:hAnsi="Arial Narrow"/>
                <w:sz w:val="20"/>
              </w:rPr>
              <w:t xml:space="preserve">Inception to January 2013 for English databases </w:t>
            </w:r>
          </w:p>
          <w:p w14:paraId="7A35B9FE"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Inception to 2011 for Chinese databases</w:t>
            </w:r>
          </w:p>
          <w:p w14:paraId="7A2D4E17"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Databases searched:</w:t>
            </w:r>
          </w:p>
          <w:p w14:paraId="3719BC45"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CENTRAL on the Cochrane Library, MEDLINE, EMBASE, LILACS, The Chinese biomedical database, China National Knowledge Infrastructure, Chinese VIP information, Chinese Academic Conference Papers Database and Chinese Dissertation Database, AMED, the Cochrane Complementary Medicine Field Trials Register, and hand searching of Chinese journals and conference proceedings.</w:t>
            </w:r>
          </w:p>
          <w:p w14:paraId="71587CE7"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Inclusion criteria:</w:t>
            </w:r>
          </w:p>
          <w:p w14:paraId="6ABCA1F3" w14:textId="0B67FA9D" w:rsidR="00803845" w:rsidRDefault="00803845" w:rsidP="004C79C1">
            <w:pPr>
              <w:spacing w:before="0" w:after="120" w:line="240" w:lineRule="auto"/>
              <w:ind w:right="-57"/>
              <w:rPr>
                <w:rFonts w:ascii="Arial Narrow" w:hAnsi="Arial Narrow"/>
                <w:sz w:val="20"/>
              </w:rPr>
            </w:pPr>
            <w:r>
              <w:rPr>
                <w:rFonts w:ascii="Arial Narrow" w:hAnsi="Arial Narrow"/>
                <w:sz w:val="20"/>
              </w:rPr>
              <w:t>RCTs of herbal medicines (minimum of 7</w:t>
            </w:r>
            <w:r w:rsidR="00567A92">
              <w:rPr>
                <w:rFonts w:ascii="Arial Narrow" w:hAnsi="Arial Narrow"/>
                <w:sz w:val="20"/>
              </w:rPr>
              <w:t> </w:t>
            </w:r>
            <w:r>
              <w:rPr>
                <w:rFonts w:ascii="Arial Narrow" w:hAnsi="Arial Narrow"/>
                <w:sz w:val="20"/>
              </w:rPr>
              <w:t>days of treatment), compared with placebo, no intervention, or conventional intervention. Trials of herbal medicine plus a conventional drug v</w:t>
            </w:r>
            <w:r w:rsidR="00567A92">
              <w:rPr>
                <w:rFonts w:ascii="Arial Narrow" w:hAnsi="Arial Narrow"/>
                <w:sz w:val="20"/>
              </w:rPr>
              <w:t>ersu</w:t>
            </w:r>
            <w:r>
              <w:rPr>
                <w:rFonts w:ascii="Arial Narrow" w:hAnsi="Arial Narrow"/>
                <w:sz w:val="20"/>
              </w:rPr>
              <w:t xml:space="preserve">s the drug alone were also included. No language </w:t>
            </w:r>
            <w:r>
              <w:rPr>
                <w:rFonts w:ascii="Arial Narrow" w:hAnsi="Arial Narrow"/>
                <w:sz w:val="20"/>
              </w:rPr>
              <w:lastRenderedPageBreak/>
              <w:t xml:space="preserve">restriction. </w:t>
            </w:r>
          </w:p>
          <w:p w14:paraId="619DE72E" w14:textId="77777777" w:rsidR="00803845" w:rsidRPr="00A6456B" w:rsidRDefault="00803845" w:rsidP="004C79C1">
            <w:pPr>
              <w:spacing w:before="0" w:after="120" w:line="240" w:lineRule="auto"/>
              <w:ind w:right="-57"/>
              <w:rPr>
                <w:rFonts w:ascii="Arial Narrow" w:hAnsi="Arial Narrow"/>
                <w:sz w:val="20"/>
              </w:rPr>
            </w:pPr>
            <w:r>
              <w:rPr>
                <w:rFonts w:ascii="Arial Narrow" w:hAnsi="Arial Narrow"/>
                <w:b/>
                <w:sz w:val="20"/>
              </w:rPr>
              <w:t xml:space="preserve">Number of included studies: </w:t>
            </w:r>
            <w:r>
              <w:rPr>
                <w:rFonts w:ascii="Arial Narrow" w:hAnsi="Arial Narrow"/>
                <w:sz w:val="20"/>
              </w:rPr>
              <w:t>20 RCTs</w:t>
            </w:r>
          </w:p>
        </w:tc>
        <w:tc>
          <w:tcPr>
            <w:tcW w:w="874" w:type="pct"/>
          </w:tcPr>
          <w:p w14:paraId="01BAABE0"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lastRenderedPageBreak/>
              <w:t>Mortality</w:t>
            </w:r>
          </w:p>
          <w:p w14:paraId="716073E2"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Incidence of complications</w:t>
            </w:r>
          </w:p>
          <w:p w14:paraId="1C4A9832"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Cardiac function</w:t>
            </w:r>
          </w:p>
          <w:p w14:paraId="74BD80B7"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Biochemical response</w:t>
            </w:r>
          </w:p>
          <w:p w14:paraId="24FFE26B" w14:textId="77777777" w:rsidR="00803845" w:rsidRDefault="00803845" w:rsidP="004C79C1">
            <w:pPr>
              <w:spacing w:before="0" w:after="120" w:line="240" w:lineRule="auto"/>
              <w:ind w:right="-57"/>
              <w:rPr>
                <w:rFonts w:ascii="Arial Narrow" w:hAnsi="Arial Narrow"/>
                <w:sz w:val="20"/>
              </w:rPr>
            </w:pPr>
          </w:p>
        </w:tc>
      </w:tr>
      <w:tr w:rsidR="00803845" w:rsidRPr="00A153AE" w14:paraId="1D5083F0" w14:textId="77777777" w:rsidTr="00BE5D7C">
        <w:tc>
          <w:tcPr>
            <w:tcW w:w="387" w:type="pct"/>
          </w:tcPr>
          <w:p w14:paraId="526AA9FF" w14:textId="40670E74"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lastRenderedPageBreak/>
              <w:t>Robinson et al</w:t>
            </w:r>
            <w:r w:rsidR="00D912A5">
              <w:rPr>
                <w:rFonts w:ascii="Arial Narrow" w:eastAsiaTheme="minorHAnsi" w:hAnsi="Arial Narrow" w:cstheme="minorHAnsi"/>
                <w:sz w:val="20"/>
                <w:lang w:eastAsia="en-US"/>
              </w:rPr>
              <w:t>.</w:t>
            </w:r>
            <w:r>
              <w:rPr>
                <w:rFonts w:ascii="Arial Narrow" w:eastAsiaTheme="minorHAnsi" w:hAnsi="Arial Narrow" w:cstheme="minorHAnsi"/>
                <w:sz w:val="20"/>
                <w:lang w:eastAsia="en-US"/>
              </w:rPr>
              <w:t xml:space="preserve"> (2015)</w:t>
            </w:r>
          </w:p>
          <w:p w14:paraId="61087B05"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1D64516D"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United States of America</w:t>
            </w:r>
          </w:p>
        </w:tc>
        <w:tc>
          <w:tcPr>
            <w:tcW w:w="583" w:type="pct"/>
          </w:tcPr>
          <w:p w14:paraId="2C947793"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NHMRC Level I</w:t>
            </w:r>
          </w:p>
          <w:p w14:paraId="56BC05FD" w14:textId="77777777" w:rsidR="00803845" w:rsidRDefault="00803845" w:rsidP="004C79C1">
            <w:pPr>
              <w:spacing w:before="0" w:after="120" w:line="240" w:lineRule="auto"/>
              <w:ind w:right="-57"/>
              <w:rPr>
                <w:rFonts w:ascii="Arial Narrow" w:eastAsiaTheme="minorHAnsi" w:hAnsi="Arial Narrow" w:cstheme="minorHAnsi"/>
                <w:sz w:val="20"/>
                <w:lang w:eastAsia="en-US"/>
              </w:rPr>
            </w:pPr>
          </w:p>
          <w:p w14:paraId="063E8E9C"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 xml:space="preserve">AMSTAR: </w:t>
            </w:r>
          </w:p>
          <w:p w14:paraId="28F1A607"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91% (10/11)</w:t>
            </w:r>
          </w:p>
          <w:p w14:paraId="597B2C97" w14:textId="77777777" w:rsidR="00803845" w:rsidRDefault="00803845" w:rsidP="004C79C1">
            <w:pPr>
              <w:spacing w:before="0" w:after="120" w:line="240" w:lineRule="auto"/>
              <w:ind w:right="-57"/>
              <w:rPr>
                <w:rFonts w:ascii="Arial Narrow" w:eastAsiaTheme="minorHAnsi" w:hAnsi="Arial Narrow" w:cstheme="minorHAnsi"/>
                <w:sz w:val="20"/>
                <w:lang w:eastAsia="en-US"/>
              </w:rPr>
            </w:pPr>
            <w:r>
              <w:rPr>
                <w:rFonts w:ascii="Arial Narrow" w:eastAsiaTheme="minorHAnsi" w:hAnsi="Arial Narrow" w:cstheme="minorHAnsi"/>
                <w:sz w:val="20"/>
                <w:lang w:eastAsia="en-US"/>
              </w:rPr>
              <w:t>Good quality</w:t>
            </w:r>
          </w:p>
        </w:tc>
        <w:tc>
          <w:tcPr>
            <w:tcW w:w="826" w:type="pct"/>
          </w:tcPr>
          <w:p w14:paraId="656A72B9" w14:textId="77777777" w:rsidR="00803845" w:rsidRDefault="00803845" w:rsidP="004C79C1">
            <w:pPr>
              <w:tabs>
                <w:tab w:val="left" w:pos="89"/>
              </w:tabs>
              <w:spacing w:before="0" w:after="120" w:line="240" w:lineRule="auto"/>
              <w:ind w:right="-57"/>
              <w:rPr>
                <w:rFonts w:ascii="Arial Narrow" w:hAnsi="Arial Narrow"/>
                <w:sz w:val="20"/>
                <w:lang w:eastAsia="en-US"/>
              </w:rPr>
            </w:pPr>
            <w:r>
              <w:rPr>
                <w:rFonts w:ascii="Arial Narrow" w:hAnsi="Arial Narrow"/>
                <w:sz w:val="20"/>
                <w:lang w:eastAsia="en-US"/>
              </w:rPr>
              <w:t>To assess the clinical effectiveness of intravenous immunoglobulin for presumed viral myocarditis in children and adults</w:t>
            </w:r>
          </w:p>
        </w:tc>
        <w:tc>
          <w:tcPr>
            <w:tcW w:w="2331" w:type="pct"/>
          </w:tcPr>
          <w:p w14:paraId="3FC00331"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Search Period:</w:t>
            </w:r>
          </w:p>
          <w:p w14:paraId="44473C6D"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Inception to January 2014</w:t>
            </w:r>
          </w:p>
          <w:p w14:paraId="7BE60254"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Databases searched:</w:t>
            </w:r>
          </w:p>
          <w:p w14:paraId="41F43D76"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 xml:space="preserve">CENTRAL, DARE, MEDLINE, EMBASE, CINAHL, EMSCO, Web of Science, LILACS, trial registries and conference proceedings. No language restrictions. </w:t>
            </w:r>
          </w:p>
          <w:p w14:paraId="51E6B5E7" w14:textId="77777777" w:rsidR="00803845" w:rsidRDefault="00803845" w:rsidP="004C79C1">
            <w:pPr>
              <w:spacing w:before="0" w:after="120" w:line="240" w:lineRule="auto"/>
              <w:ind w:right="-57"/>
              <w:rPr>
                <w:rFonts w:ascii="Arial Narrow" w:hAnsi="Arial Narrow"/>
                <w:b/>
                <w:sz w:val="20"/>
              </w:rPr>
            </w:pPr>
            <w:r>
              <w:rPr>
                <w:rFonts w:ascii="Arial Narrow" w:hAnsi="Arial Narrow"/>
                <w:b/>
                <w:sz w:val="20"/>
              </w:rPr>
              <w:t>Inclusion criteria:</w:t>
            </w:r>
          </w:p>
          <w:p w14:paraId="1ADD3730" w14:textId="22B1C43C" w:rsidR="00803845" w:rsidRPr="006D3085" w:rsidRDefault="00803845" w:rsidP="004C79C1">
            <w:pPr>
              <w:spacing w:before="0" w:after="120" w:line="240" w:lineRule="auto"/>
              <w:ind w:right="-57"/>
              <w:rPr>
                <w:rFonts w:ascii="Arial Narrow" w:hAnsi="Arial Narrow"/>
                <w:sz w:val="20"/>
              </w:rPr>
            </w:pPr>
            <w:r>
              <w:rPr>
                <w:rFonts w:ascii="Arial Narrow" w:hAnsi="Arial Narrow"/>
                <w:sz w:val="20"/>
              </w:rPr>
              <w:t>RCTs, where participants had a clinical diagnosis of acute myocarditis with LVEF≤45%, LVEDD &gt;2 SDs below the mean, with cardiac symptoms &lt;6</w:t>
            </w:r>
            <w:r w:rsidR="00567A92">
              <w:rPr>
                <w:rFonts w:ascii="Arial Narrow" w:hAnsi="Arial Narrow"/>
                <w:sz w:val="20"/>
              </w:rPr>
              <w:t> </w:t>
            </w:r>
            <w:r>
              <w:rPr>
                <w:rFonts w:ascii="Arial Narrow" w:hAnsi="Arial Narrow"/>
                <w:sz w:val="20"/>
              </w:rPr>
              <w:t>months; participants had no evidence of non-infectious or bacterial cardiac disease; and participants randomised to receive at least 1</w:t>
            </w:r>
            <w:r w:rsidR="00E212CB">
              <w:rPr>
                <w:rFonts w:ascii="Arial Narrow" w:hAnsi="Arial Narrow"/>
                <w:sz w:val="20"/>
              </w:rPr>
              <w:t> </w:t>
            </w:r>
            <w:r>
              <w:rPr>
                <w:rFonts w:ascii="Arial Narrow" w:hAnsi="Arial Narrow"/>
                <w:sz w:val="20"/>
              </w:rPr>
              <w:t>g/kg of IVIG v</w:t>
            </w:r>
            <w:r w:rsidR="00E212CB">
              <w:rPr>
                <w:rFonts w:ascii="Arial Narrow" w:hAnsi="Arial Narrow"/>
                <w:sz w:val="20"/>
              </w:rPr>
              <w:t>ersu</w:t>
            </w:r>
            <w:r>
              <w:rPr>
                <w:rFonts w:ascii="Arial Narrow" w:hAnsi="Arial Narrow"/>
                <w:sz w:val="20"/>
              </w:rPr>
              <w:t>s no IVIG or placebo. Excluded studies where onset of myocarditis was reported to occur &lt;6</w:t>
            </w:r>
            <w:r w:rsidR="00E212CB">
              <w:rPr>
                <w:rFonts w:ascii="Arial Narrow" w:hAnsi="Arial Narrow"/>
                <w:sz w:val="20"/>
              </w:rPr>
              <w:t> </w:t>
            </w:r>
            <w:r>
              <w:rPr>
                <w:rFonts w:ascii="Arial Narrow" w:hAnsi="Arial Narrow"/>
                <w:sz w:val="20"/>
              </w:rPr>
              <w:t>months post-partum.</w:t>
            </w:r>
          </w:p>
          <w:p w14:paraId="339ADEDE" w14:textId="77777777" w:rsidR="00803845" w:rsidRPr="00710927" w:rsidRDefault="00803845" w:rsidP="004C79C1">
            <w:pPr>
              <w:spacing w:before="0" w:after="120" w:line="240" w:lineRule="auto"/>
              <w:ind w:right="-57"/>
              <w:rPr>
                <w:rFonts w:ascii="Arial Narrow" w:hAnsi="Arial Narrow"/>
                <w:sz w:val="20"/>
              </w:rPr>
            </w:pPr>
            <w:r>
              <w:rPr>
                <w:rFonts w:ascii="Arial Narrow" w:hAnsi="Arial Narrow"/>
                <w:b/>
                <w:sz w:val="20"/>
              </w:rPr>
              <w:t xml:space="preserve">Number of included studies: </w:t>
            </w:r>
            <w:r>
              <w:rPr>
                <w:rFonts w:ascii="Arial Narrow" w:hAnsi="Arial Narrow"/>
                <w:sz w:val="20"/>
              </w:rPr>
              <w:t>2 RCTs</w:t>
            </w:r>
          </w:p>
        </w:tc>
        <w:tc>
          <w:tcPr>
            <w:tcW w:w="874" w:type="pct"/>
          </w:tcPr>
          <w:p w14:paraId="5764A77D"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Mortality</w:t>
            </w:r>
          </w:p>
          <w:p w14:paraId="4B7A5321"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Transplant-free survival</w:t>
            </w:r>
          </w:p>
          <w:p w14:paraId="2ED40855"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Improvement in LVEF, LVEDD and LVSD</w:t>
            </w:r>
          </w:p>
          <w:p w14:paraId="17507B93"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Hospitalisation status</w:t>
            </w:r>
          </w:p>
          <w:p w14:paraId="05A16FF3" w14:textId="77777777" w:rsidR="00803845" w:rsidRDefault="00803845" w:rsidP="004C79C1">
            <w:pPr>
              <w:spacing w:before="0" w:after="120" w:line="240" w:lineRule="auto"/>
              <w:ind w:right="-57"/>
              <w:rPr>
                <w:rFonts w:ascii="Arial Narrow" w:hAnsi="Arial Narrow"/>
                <w:sz w:val="20"/>
              </w:rPr>
            </w:pPr>
            <w:r>
              <w:rPr>
                <w:rFonts w:ascii="Arial Narrow" w:hAnsi="Arial Narrow"/>
                <w:sz w:val="20"/>
              </w:rPr>
              <w:t>Improvement in functional symptoms (NYHA class or other objective test)</w:t>
            </w:r>
          </w:p>
        </w:tc>
      </w:tr>
    </w:tbl>
    <w:p w14:paraId="34E24CAE" w14:textId="16741016" w:rsidR="00803845" w:rsidRDefault="00803845" w:rsidP="004C79C1">
      <w:pPr>
        <w:spacing w:after="120" w:line="240" w:lineRule="auto"/>
        <w:jc w:val="both"/>
        <w:rPr>
          <w:rFonts w:ascii="Arial Narrow" w:hAnsi="Arial Narrow"/>
          <w:sz w:val="20"/>
          <w:lang w:eastAsia="en-US"/>
        </w:rPr>
      </w:pPr>
      <w:r w:rsidRPr="00B31FC8">
        <w:rPr>
          <w:rFonts w:ascii="Arial Narrow" w:hAnsi="Arial Narrow"/>
          <w:sz w:val="20"/>
          <w:lang w:eastAsia="en-US"/>
        </w:rPr>
        <w:t>AMSTAR = Assessing the Methodological Quality of Systematic Reviews; CENTRAL = Cochrane Central Register of Controlled Trials; CINAHL = Cumulative Index to Nursing and Allied Health Literature; DARE = Database of Abstracts of Reviews of Effects; IVIG = intravenous immunoglobulin; LILACS = Latin American and Caribbean Health Science Information Database; LVEF = left ventricular ejection fraction; LVEDD = left ventricular end-diastolic dimension; LVSD = left ventricular systolic dysfunction; NHMRC = National Health and Medical Research Council; NYHA = New York Heart Association; RCT = randomised controlled trial; SDs = standard deviations</w:t>
      </w:r>
      <w:r w:rsidR="00E212CB" w:rsidRPr="00B31FC8">
        <w:rPr>
          <w:rFonts w:ascii="Arial Narrow" w:hAnsi="Arial Narrow"/>
          <w:sz w:val="20"/>
          <w:lang w:eastAsia="en-US"/>
        </w:rPr>
        <w:t>; SR = systematic review</w:t>
      </w:r>
    </w:p>
    <w:p w14:paraId="68A4756B" w14:textId="3259CDF5" w:rsidR="00803845" w:rsidRDefault="00050936" w:rsidP="004C79C1">
      <w:pPr>
        <w:pStyle w:val="Caption"/>
        <w:keepNext/>
      </w:pPr>
      <w:bookmarkStart w:id="835" w:name="_Toc324410261"/>
      <w:bookmarkStart w:id="836" w:name="_Toc451435412"/>
      <w:r>
        <w:t xml:space="preserve">Table </w:t>
      </w:r>
      <w:fldSimple w:instr=" SEQ Table \* ARABIC ">
        <w:r>
          <w:rPr>
            <w:noProof/>
          </w:rPr>
          <w:t>85</w:t>
        </w:r>
      </w:fldSimple>
      <w:r w:rsidR="00803845">
        <w:tab/>
        <w:t>Study profiles of studies included for assessment of the impact of change in management (therapeutic effectiveness)</w:t>
      </w:r>
      <w:bookmarkEnd w:id="835"/>
      <w:bookmarkEnd w:id="836"/>
    </w:p>
    <w:tbl>
      <w:tblPr>
        <w:tblStyle w:val="TableGrid5"/>
        <w:tblW w:w="5000" w:type="pct"/>
        <w:tblLook w:val="04A0" w:firstRow="1" w:lastRow="0" w:firstColumn="1" w:lastColumn="0" w:noHBand="0" w:noVBand="1"/>
        <w:tblCaption w:val="Study profiles of studies included for the assessment of the impact of change in management (therapeutic effectiveness)"/>
      </w:tblPr>
      <w:tblGrid>
        <w:gridCol w:w="1250"/>
        <w:gridCol w:w="1408"/>
        <w:gridCol w:w="1793"/>
        <w:gridCol w:w="3352"/>
        <w:gridCol w:w="1663"/>
        <w:gridCol w:w="1407"/>
        <w:gridCol w:w="2303"/>
      </w:tblGrid>
      <w:tr w:rsidR="00803845" w:rsidRPr="008059D2" w14:paraId="45771D82" w14:textId="77777777" w:rsidTr="00BE5D7C">
        <w:trPr>
          <w:tblHeader/>
        </w:trPr>
        <w:tc>
          <w:tcPr>
            <w:tcW w:w="474" w:type="pct"/>
          </w:tcPr>
          <w:p w14:paraId="08396B48" w14:textId="77777777" w:rsidR="00803845" w:rsidRPr="008D6B70" w:rsidRDefault="00803845" w:rsidP="004C79C1">
            <w:pPr>
              <w:keepNext/>
              <w:keepLines/>
              <w:spacing w:before="0" w:after="120" w:line="240" w:lineRule="auto"/>
              <w:rPr>
                <w:rFonts w:ascii="Arial Narrow" w:hAnsi="Arial Narrow"/>
                <w:b/>
                <w:sz w:val="20"/>
                <w:szCs w:val="20"/>
              </w:rPr>
            </w:pPr>
            <w:r w:rsidRPr="008D6B70">
              <w:rPr>
                <w:rFonts w:ascii="Arial Narrow" w:hAnsi="Arial Narrow"/>
                <w:b/>
                <w:sz w:val="20"/>
                <w:szCs w:val="20"/>
              </w:rPr>
              <w:t xml:space="preserve">Study </w:t>
            </w:r>
          </w:p>
        </w:tc>
        <w:tc>
          <w:tcPr>
            <w:tcW w:w="534" w:type="pct"/>
          </w:tcPr>
          <w:p w14:paraId="1DD561BB" w14:textId="77777777" w:rsidR="00803845" w:rsidRPr="008059D2" w:rsidRDefault="00803845" w:rsidP="004C79C1">
            <w:pPr>
              <w:keepNext/>
              <w:keepLines/>
              <w:spacing w:before="0" w:after="120" w:line="240" w:lineRule="auto"/>
              <w:rPr>
                <w:rFonts w:ascii="Arial Narrow" w:hAnsi="Arial Narrow"/>
                <w:b/>
                <w:sz w:val="20"/>
                <w:szCs w:val="20"/>
              </w:rPr>
            </w:pPr>
            <w:r>
              <w:rPr>
                <w:rFonts w:ascii="Arial Narrow" w:hAnsi="Arial Narrow"/>
                <w:b/>
                <w:sz w:val="20"/>
                <w:szCs w:val="20"/>
              </w:rPr>
              <w:t>Level and Quality appraisal</w:t>
            </w:r>
          </w:p>
        </w:tc>
        <w:tc>
          <w:tcPr>
            <w:tcW w:w="680" w:type="pct"/>
          </w:tcPr>
          <w:p w14:paraId="1E12FBBB" w14:textId="77777777" w:rsidR="00803845" w:rsidRPr="008059D2" w:rsidRDefault="00803845" w:rsidP="004C79C1">
            <w:pPr>
              <w:keepNext/>
              <w:keepLines/>
              <w:spacing w:before="0" w:after="120" w:line="240" w:lineRule="auto"/>
              <w:rPr>
                <w:rFonts w:ascii="Arial Narrow" w:hAnsi="Arial Narrow"/>
                <w:b/>
                <w:sz w:val="20"/>
                <w:szCs w:val="20"/>
              </w:rPr>
            </w:pPr>
            <w:r w:rsidRPr="008059D2">
              <w:rPr>
                <w:rFonts w:ascii="Arial Narrow" w:hAnsi="Arial Narrow"/>
                <w:b/>
                <w:sz w:val="20"/>
                <w:szCs w:val="20"/>
              </w:rPr>
              <w:t>Study population</w:t>
            </w:r>
          </w:p>
        </w:tc>
        <w:tc>
          <w:tcPr>
            <w:tcW w:w="1272" w:type="pct"/>
          </w:tcPr>
          <w:p w14:paraId="6D81E88D" w14:textId="4D0C5B21" w:rsidR="00803845" w:rsidRPr="008059D2" w:rsidRDefault="00803845" w:rsidP="004C79C1">
            <w:pPr>
              <w:keepNext/>
              <w:keepLines/>
              <w:spacing w:before="0" w:after="120" w:line="240" w:lineRule="auto"/>
              <w:rPr>
                <w:rFonts w:ascii="Arial Narrow" w:hAnsi="Arial Narrow"/>
                <w:b/>
                <w:sz w:val="20"/>
                <w:szCs w:val="20"/>
              </w:rPr>
            </w:pPr>
            <w:r w:rsidRPr="008059D2">
              <w:rPr>
                <w:rFonts w:ascii="Arial Narrow" w:hAnsi="Arial Narrow"/>
                <w:b/>
                <w:sz w:val="20"/>
                <w:szCs w:val="20"/>
              </w:rPr>
              <w:t xml:space="preserve">Inclusion criteria / </w:t>
            </w:r>
            <w:r>
              <w:rPr>
                <w:rFonts w:ascii="Arial Narrow" w:hAnsi="Arial Narrow"/>
                <w:b/>
                <w:sz w:val="20"/>
                <w:szCs w:val="20"/>
              </w:rPr>
              <w:t>E</w:t>
            </w:r>
            <w:r w:rsidRPr="008059D2">
              <w:rPr>
                <w:rFonts w:ascii="Arial Narrow" w:hAnsi="Arial Narrow"/>
                <w:b/>
                <w:sz w:val="20"/>
                <w:szCs w:val="20"/>
              </w:rPr>
              <w:t>xclusion criteria</w:t>
            </w:r>
            <w:r w:rsidR="00CD4EE0">
              <w:rPr>
                <w:rFonts w:ascii="Arial Narrow" w:hAnsi="Arial Narrow"/>
                <w:b/>
                <w:sz w:val="20"/>
                <w:szCs w:val="20"/>
              </w:rPr>
              <w:t xml:space="preserve"> </w:t>
            </w:r>
            <w:r w:rsidRPr="008059D2">
              <w:rPr>
                <w:rFonts w:ascii="Arial Narrow" w:hAnsi="Arial Narrow"/>
                <w:b/>
                <w:sz w:val="20"/>
                <w:szCs w:val="20"/>
              </w:rPr>
              <w:t>/</w:t>
            </w:r>
            <w:r w:rsidR="00CD4EE0">
              <w:rPr>
                <w:rFonts w:ascii="Arial Narrow" w:hAnsi="Arial Narrow"/>
                <w:b/>
                <w:sz w:val="20"/>
                <w:szCs w:val="20"/>
              </w:rPr>
              <w:t xml:space="preserve"> </w:t>
            </w:r>
            <w:r w:rsidRPr="008059D2">
              <w:rPr>
                <w:rFonts w:ascii="Arial Narrow" w:hAnsi="Arial Narrow"/>
                <w:b/>
                <w:sz w:val="20"/>
                <w:szCs w:val="20"/>
              </w:rPr>
              <w:t>Objectives</w:t>
            </w:r>
          </w:p>
        </w:tc>
        <w:tc>
          <w:tcPr>
            <w:tcW w:w="631" w:type="pct"/>
          </w:tcPr>
          <w:p w14:paraId="2BC3520D" w14:textId="77777777" w:rsidR="00803845" w:rsidRPr="008059D2" w:rsidRDefault="00803845" w:rsidP="004C79C1">
            <w:pPr>
              <w:keepNext/>
              <w:keepLines/>
              <w:spacing w:before="0" w:after="120" w:line="240" w:lineRule="auto"/>
              <w:rPr>
                <w:rFonts w:ascii="Arial Narrow" w:hAnsi="Arial Narrow"/>
                <w:b/>
                <w:sz w:val="20"/>
                <w:szCs w:val="20"/>
              </w:rPr>
            </w:pPr>
            <w:r w:rsidRPr="008059D2">
              <w:rPr>
                <w:rFonts w:ascii="Arial Narrow" w:hAnsi="Arial Narrow"/>
                <w:b/>
                <w:sz w:val="20"/>
                <w:szCs w:val="20"/>
              </w:rPr>
              <w:t>Intervention</w:t>
            </w:r>
          </w:p>
        </w:tc>
        <w:tc>
          <w:tcPr>
            <w:tcW w:w="534" w:type="pct"/>
          </w:tcPr>
          <w:p w14:paraId="7F2F74B1" w14:textId="77777777" w:rsidR="00803845" w:rsidRPr="008059D2" w:rsidRDefault="00803845" w:rsidP="004C79C1">
            <w:pPr>
              <w:keepNext/>
              <w:keepLines/>
              <w:spacing w:before="0" w:after="120" w:line="240" w:lineRule="auto"/>
              <w:rPr>
                <w:rFonts w:ascii="Arial Narrow" w:hAnsi="Arial Narrow"/>
                <w:b/>
                <w:sz w:val="20"/>
                <w:szCs w:val="20"/>
              </w:rPr>
            </w:pPr>
            <w:r w:rsidRPr="008059D2">
              <w:rPr>
                <w:rFonts w:ascii="Arial Narrow" w:hAnsi="Arial Narrow"/>
                <w:b/>
                <w:sz w:val="20"/>
                <w:szCs w:val="20"/>
              </w:rPr>
              <w:t>Comparator</w:t>
            </w:r>
          </w:p>
        </w:tc>
        <w:tc>
          <w:tcPr>
            <w:tcW w:w="874" w:type="pct"/>
          </w:tcPr>
          <w:p w14:paraId="5A9C9E70" w14:textId="77777777" w:rsidR="00803845" w:rsidRPr="008059D2" w:rsidRDefault="00803845" w:rsidP="004C79C1">
            <w:pPr>
              <w:keepNext/>
              <w:keepLines/>
              <w:spacing w:before="0" w:after="120" w:line="240" w:lineRule="auto"/>
              <w:rPr>
                <w:rFonts w:ascii="Arial Narrow" w:hAnsi="Arial Narrow"/>
                <w:b/>
                <w:sz w:val="20"/>
                <w:szCs w:val="20"/>
              </w:rPr>
            </w:pPr>
            <w:r>
              <w:rPr>
                <w:rFonts w:ascii="Arial Narrow" w:hAnsi="Arial Narrow"/>
                <w:b/>
                <w:sz w:val="20"/>
                <w:szCs w:val="20"/>
              </w:rPr>
              <w:t>O</w:t>
            </w:r>
            <w:r w:rsidRPr="008059D2">
              <w:rPr>
                <w:rFonts w:ascii="Arial Narrow" w:hAnsi="Arial Narrow"/>
                <w:b/>
                <w:sz w:val="20"/>
                <w:szCs w:val="20"/>
              </w:rPr>
              <w:t>utcomes assessed</w:t>
            </w:r>
            <w:r>
              <w:rPr>
                <w:rFonts w:ascii="Arial Narrow" w:hAnsi="Arial Narrow"/>
                <w:b/>
                <w:sz w:val="20"/>
                <w:szCs w:val="20"/>
              </w:rPr>
              <w:t xml:space="preserve"> for change in management</w:t>
            </w:r>
          </w:p>
        </w:tc>
      </w:tr>
      <w:tr w:rsidR="00803845" w:rsidRPr="00CC1ACD" w14:paraId="51A6998C" w14:textId="77777777" w:rsidTr="00BE5D7C">
        <w:tc>
          <w:tcPr>
            <w:tcW w:w="474" w:type="pct"/>
          </w:tcPr>
          <w:p w14:paraId="5E52BB41" w14:textId="642341F7"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t>Taylor</w:t>
            </w:r>
            <w:r w:rsidR="00A77A15">
              <w:rPr>
                <w:rFonts w:ascii="Arial Narrow" w:hAnsi="Arial Narrow"/>
                <w:sz w:val="20"/>
                <w:szCs w:val="20"/>
              </w:rPr>
              <w:t xml:space="preserve">, AJ </w:t>
            </w:r>
            <w:r w:rsidRPr="00CC1ACD">
              <w:rPr>
                <w:rFonts w:ascii="Arial Narrow" w:hAnsi="Arial Narrow"/>
                <w:sz w:val="20"/>
                <w:szCs w:val="20"/>
              </w:rPr>
              <w:t>et al</w:t>
            </w:r>
            <w:r w:rsidR="008A3A69">
              <w:rPr>
                <w:rFonts w:ascii="Arial Narrow" w:hAnsi="Arial Narrow"/>
                <w:sz w:val="20"/>
                <w:szCs w:val="20"/>
              </w:rPr>
              <w:t>.</w:t>
            </w:r>
            <w:r w:rsidR="008A3A69" w:rsidRPr="00CC1ACD" w:rsidDel="008A3A69">
              <w:rPr>
                <w:rFonts w:ascii="Arial Narrow" w:hAnsi="Arial Narrow"/>
                <w:sz w:val="20"/>
                <w:szCs w:val="20"/>
              </w:rPr>
              <w:t xml:space="preserve"> </w:t>
            </w:r>
            <w:r w:rsidRPr="00CC1ACD">
              <w:rPr>
                <w:rFonts w:ascii="Arial Narrow" w:hAnsi="Arial Narrow"/>
                <w:sz w:val="20"/>
                <w:szCs w:val="20"/>
              </w:rPr>
              <w:t>(2013)</w:t>
            </w:r>
          </w:p>
          <w:p w14:paraId="26E69703" w14:textId="77777777"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t>Australia</w:t>
            </w:r>
          </w:p>
          <w:p w14:paraId="773C253A" w14:textId="77777777"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t xml:space="preserve">Prospective observational </w:t>
            </w:r>
            <w:r w:rsidRPr="00CC1ACD">
              <w:rPr>
                <w:rFonts w:ascii="Arial Narrow" w:hAnsi="Arial Narrow"/>
                <w:sz w:val="20"/>
                <w:szCs w:val="20"/>
              </w:rPr>
              <w:lastRenderedPageBreak/>
              <w:t>study, single centre</w:t>
            </w:r>
          </w:p>
        </w:tc>
        <w:tc>
          <w:tcPr>
            <w:tcW w:w="534" w:type="pct"/>
          </w:tcPr>
          <w:p w14:paraId="596D2BCA" w14:textId="77777777"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lastRenderedPageBreak/>
              <w:t>Level I</w:t>
            </w:r>
            <w:r>
              <w:rPr>
                <w:rFonts w:ascii="Arial Narrow" w:hAnsi="Arial Narrow"/>
                <w:sz w:val="20"/>
                <w:szCs w:val="20"/>
              </w:rPr>
              <w:t>II-2</w:t>
            </w:r>
          </w:p>
          <w:p w14:paraId="4C35B8D4" w14:textId="77777777" w:rsidR="00803845" w:rsidRDefault="00803845" w:rsidP="004C79C1">
            <w:pPr>
              <w:spacing w:before="0" w:after="120" w:line="240" w:lineRule="auto"/>
              <w:rPr>
                <w:rFonts w:ascii="Arial Narrow" w:hAnsi="Arial Narrow"/>
                <w:sz w:val="20"/>
                <w:szCs w:val="20"/>
              </w:rPr>
            </w:pPr>
            <w:r w:rsidRPr="00096FEE">
              <w:rPr>
                <w:rFonts w:ascii="Arial Narrow" w:hAnsi="Arial Narrow"/>
                <w:sz w:val="20"/>
                <w:szCs w:val="20"/>
              </w:rPr>
              <w:t>Quality</w:t>
            </w:r>
            <w:r>
              <w:rPr>
                <w:rFonts w:ascii="Arial Narrow" w:hAnsi="Arial Narrow"/>
                <w:sz w:val="20"/>
                <w:szCs w:val="20"/>
              </w:rPr>
              <w:t>:</w:t>
            </w:r>
            <w:r w:rsidRPr="00096FEE">
              <w:rPr>
                <w:rFonts w:ascii="Arial Narrow" w:hAnsi="Arial Narrow"/>
                <w:sz w:val="20"/>
                <w:szCs w:val="20"/>
              </w:rPr>
              <w:t xml:space="preserve"> </w:t>
            </w:r>
            <w:r>
              <w:rPr>
                <w:rFonts w:ascii="Arial Narrow" w:hAnsi="Arial Narrow"/>
                <w:sz w:val="20"/>
                <w:szCs w:val="20"/>
              </w:rPr>
              <w:t>Poor</w:t>
            </w:r>
          </w:p>
          <w:p w14:paraId="44006BB1" w14:textId="77777777" w:rsidR="00803845" w:rsidRDefault="00803845" w:rsidP="004C79C1">
            <w:pPr>
              <w:spacing w:before="0" w:after="120" w:line="240" w:lineRule="auto"/>
              <w:rPr>
                <w:rFonts w:ascii="Arial Narrow" w:hAnsi="Arial Narrow"/>
                <w:sz w:val="20"/>
                <w:szCs w:val="20"/>
              </w:rPr>
            </w:pPr>
            <w:r>
              <w:rPr>
                <w:rFonts w:ascii="Arial Narrow" w:hAnsi="Arial Narrow"/>
                <w:sz w:val="20"/>
                <w:szCs w:val="20"/>
              </w:rPr>
              <w:t xml:space="preserve">SIGN for cohort studies:2/12 </w:t>
            </w:r>
          </w:p>
          <w:p w14:paraId="5F303480" w14:textId="77777777" w:rsidR="00803845" w:rsidRPr="00096FEE" w:rsidRDefault="00803845" w:rsidP="004C79C1">
            <w:pPr>
              <w:spacing w:before="0" w:after="120" w:line="240" w:lineRule="auto"/>
              <w:rPr>
                <w:rFonts w:ascii="Arial Narrow" w:hAnsi="Arial Narrow"/>
                <w:sz w:val="20"/>
                <w:szCs w:val="20"/>
              </w:rPr>
            </w:pPr>
            <w:r>
              <w:rPr>
                <w:rFonts w:ascii="Arial Narrow" w:hAnsi="Arial Narrow"/>
                <w:sz w:val="20"/>
                <w:szCs w:val="20"/>
              </w:rPr>
              <w:lastRenderedPageBreak/>
              <w:t>High risk of bias</w:t>
            </w:r>
          </w:p>
        </w:tc>
        <w:tc>
          <w:tcPr>
            <w:tcW w:w="680" w:type="pct"/>
          </w:tcPr>
          <w:p w14:paraId="575AEC1D" w14:textId="7B72EBE8" w:rsidR="00803845" w:rsidRPr="00CC1ACD" w:rsidRDefault="00803845" w:rsidP="004C79C1">
            <w:pPr>
              <w:pStyle w:val="Tabletext1"/>
              <w:spacing w:before="0" w:after="120"/>
            </w:pPr>
            <w:r w:rsidRPr="00CC1ACD">
              <w:lastRenderedPageBreak/>
              <w:t>Total number of scans</w:t>
            </w:r>
            <w:r w:rsidR="00B31FC8">
              <w:t xml:space="preserve"> </w:t>
            </w:r>
            <w:r w:rsidRPr="00CC1ACD">
              <w:t>=</w:t>
            </w:r>
            <w:r w:rsidR="00B31FC8">
              <w:t xml:space="preserve"> </w:t>
            </w:r>
            <w:r w:rsidRPr="00CC1ACD">
              <w:t>732</w:t>
            </w:r>
          </w:p>
          <w:p w14:paraId="5620F7AA" w14:textId="358DF362" w:rsidR="00803845" w:rsidRPr="00CC1ACD" w:rsidRDefault="00803845" w:rsidP="004C79C1">
            <w:pPr>
              <w:pStyle w:val="Tabletext1"/>
              <w:spacing w:before="0" w:after="120"/>
            </w:pPr>
            <w:r w:rsidRPr="00CC1ACD">
              <w:t>Number of CM scans</w:t>
            </w:r>
            <w:r w:rsidR="00B31FC8">
              <w:t xml:space="preserve"> </w:t>
            </w:r>
            <w:r w:rsidRPr="00CC1ACD">
              <w:t>=</w:t>
            </w:r>
            <w:r w:rsidR="00B31FC8">
              <w:t xml:space="preserve"> </w:t>
            </w:r>
            <w:r w:rsidRPr="00CC1ACD">
              <w:t>488 (67%)</w:t>
            </w:r>
          </w:p>
          <w:p w14:paraId="22020851" w14:textId="7BB1E29D" w:rsidR="00B31FC8" w:rsidRDefault="00B15D77" w:rsidP="004C79C1">
            <w:pPr>
              <w:pStyle w:val="Tabletext1"/>
              <w:spacing w:before="0" w:after="120"/>
            </w:pPr>
            <w:r>
              <w:t xml:space="preserve">Patient </w:t>
            </w:r>
            <w:r>
              <w:lastRenderedPageBreak/>
              <w:t>characteristics:</w:t>
            </w:r>
          </w:p>
          <w:p w14:paraId="49CA1A83" w14:textId="77777777" w:rsidR="00803845" w:rsidRPr="00CC1ACD" w:rsidRDefault="00803845" w:rsidP="004C79C1">
            <w:pPr>
              <w:pStyle w:val="Tabletext1"/>
              <w:spacing w:before="0" w:after="120"/>
            </w:pPr>
            <w:r w:rsidRPr="00CC1ACD">
              <w:t>For CM:</w:t>
            </w:r>
          </w:p>
          <w:p w14:paraId="6967E0B0" w14:textId="37A69F5C" w:rsidR="00803845" w:rsidRPr="00CC1ACD" w:rsidRDefault="00B31FC8" w:rsidP="004C79C1">
            <w:pPr>
              <w:pStyle w:val="Tabletext1"/>
              <w:spacing w:before="0" w:after="120"/>
              <w:ind w:left="177"/>
            </w:pPr>
            <w:r>
              <w:t>a</w:t>
            </w:r>
            <w:r w:rsidR="00803845" w:rsidRPr="00CC1ACD">
              <w:t>ge 49.4 ± 16.3</w:t>
            </w:r>
            <w:r w:rsidR="00B15D77">
              <w:t> years</w:t>
            </w:r>
          </w:p>
          <w:p w14:paraId="5123BC9E" w14:textId="0E3C6537" w:rsidR="00803845" w:rsidRPr="00CC1ACD" w:rsidRDefault="00803845" w:rsidP="004C79C1">
            <w:pPr>
              <w:pStyle w:val="Tabletext1"/>
              <w:spacing w:before="0" w:after="120"/>
              <w:ind w:left="177"/>
              <w:rPr>
                <w:b/>
                <w:lang w:val="en-GB" w:eastAsia="en-US"/>
              </w:rPr>
            </w:pPr>
            <w:proofErr w:type="gramStart"/>
            <w:r w:rsidRPr="00CC1ACD">
              <w:t>male</w:t>
            </w:r>
            <w:proofErr w:type="gramEnd"/>
            <w:r w:rsidRPr="00CC1ACD">
              <w:t xml:space="preserve"> 322 (66%)</w:t>
            </w:r>
          </w:p>
          <w:p w14:paraId="6307DCD4" w14:textId="2DE38403" w:rsidR="00803845" w:rsidRPr="00CC1ACD" w:rsidRDefault="00B31FC8" w:rsidP="004C79C1">
            <w:pPr>
              <w:pStyle w:val="Tabletext1"/>
              <w:spacing w:before="0" w:after="120"/>
              <w:ind w:left="177"/>
              <w:rPr>
                <w:b/>
                <w:lang w:val="en-GB" w:eastAsia="en-US"/>
              </w:rPr>
            </w:pPr>
            <w:r>
              <w:t>m</w:t>
            </w:r>
            <w:r w:rsidR="00803845" w:rsidRPr="00CC1ACD">
              <w:t>edian NYHA Class (IQR) 2 (1</w:t>
            </w:r>
            <w:r>
              <w:t>–</w:t>
            </w:r>
            <w:r w:rsidR="00803845" w:rsidRPr="00CC1ACD">
              <w:t>2)</w:t>
            </w:r>
          </w:p>
        </w:tc>
        <w:tc>
          <w:tcPr>
            <w:tcW w:w="1272" w:type="pct"/>
          </w:tcPr>
          <w:p w14:paraId="3FAF8C47" w14:textId="786D180B" w:rsidR="00803845" w:rsidRPr="00BA665C" w:rsidRDefault="00803845" w:rsidP="004C79C1">
            <w:pPr>
              <w:spacing w:before="0" w:after="120" w:line="240" w:lineRule="auto"/>
              <w:ind w:right="0"/>
              <w:rPr>
                <w:rFonts w:ascii="Arial Narrow" w:hAnsi="Arial Narrow"/>
                <w:b/>
                <w:sz w:val="20"/>
                <w:szCs w:val="20"/>
              </w:rPr>
            </w:pPr>
            <w:r w:rsidRPr="00BA665C">
              <w:rPr>
                <w:rFonts w:ascii="Arial Narrow" w:hAnsi="Arial Narrow"/>
                <w:b/>
                <w:sz w:val="20"/>
                <w:szCs w:val="20"/>
              </w:rPr>
              <w:lastRenderedPageBreak/>
              <w:t>Inclusion</w:t>
            </w:r>
            <w:r w:rsidR="00B31FC8">
              <w:rPr>
                <w:rFonts w:ascii="Arial Narrow" w:hAnsi="Arial Narrow"/>
                <w:b/>
                <w:sz w:val="20"/>
                <w:szCs w:val="20"/>
              </w:rPr>
              <w:t xml:space="preserve"> criteria:</w:t>
            </w:r>
          </w:p>
          <w:p w14:paraId="4CA562C6" w14:textId="7206B152"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t xml:space="preserve">All patients referred to the Alfred Hospital, Melbourne, Australia for clinical CMR between </w:t>
            </w:r>
            <w:r w:rsidR="003E5928">
              <w:rPr>
                <w:rFonts w:ascii="Arial Narrow" w:hAnsi="Arial Narrow"/>
                <w:sz w:val="20"/>
                <w:szCs w:val="20"/>
              </w:rPr>
              <w:t xml:space="preserve">1 </w:t>
            </w:r>
            <w:r w:rsidRPr="00CC1ACD">
              <w:rPr>
                <w:rFonts w:ascii="Arial Narrow" w:hAnsi="Arial Narrow"/>
                <w:sz w:val="20"/>
                <w:szCs w:val="20"/>
              </w:rPr>
              <w:t xml:space="preserve">July 2007 and </w:t>
            </w:r>
            <w:r w:rsidR="003E5928">
              <w:rPr>
                <w:rFonts w:ascii="Arial Narrow" w:hAnsi="Arial Narrow"/>
                <w:sz w:val="20"/>
                <w:szCs w:val="20"/>
              </w:rPr>
              <w:t xml:space="preserve">30 </w:t>
            </w:r>
            <w:r w:rsidRPr="00CC1ACD">
              <w:rPr>
                <w:rFonts w:ascii="Arial Narrow" w:hAnsi="Arial Narrow"/>
                <w:sz w:val="20"/>
                <w:szCs w:val="20"/>
              </w:rPr>
              <w:t>June 2009, referred and funded</w:t>
            </w:r>
            <w:r w:rsidR="002F5544">
              <w:rPr>
                <w:rFonts w:ascii="Arial Narrow" w:hAnsi="Arial Narrow"/>
                <w:sz w:val="20"/>
                <w:szCs w:val="20"/>
              </w:rPr>
              <w:t xml:space="preserve"> </w:t>
            </w:r>
            <w:r w:rsidRPr="00CC1ACD">
              <w:rPr>
                <w:rFonts w:ascii="Arial Narrow" w:hAnsi="Arial Narrow"/>
                <w:sz w:val="20"/>
                <w:szCs w:val="20"/>
                <w:vertAlign w:val="superscript"/>
              </w:rPr>
              <w:t>a</w:t>
            </w:r>
            <w:r w:rsidRPr="00CC1ACD">
              <w:rPr>
                <w:rFonts w:ascii="Arial Narrow" w:hAnsi="Arial Narrow"/>
                <w:sz w:val="20"/>
                <w:szCs w:val="20"/>
              </w:rPr>
              <w:t xml:space="preserve"> under </w:t>
            </w:r>
            <w:r w:rsidR="003E5928">
              <w:rPr>
                <w:rFonts w:ascii="Arial Narrow" w:hAnsi="Arial Narrow"/>
                <w:sz w:val="20"/>
                <w:szCs w:val="20"/>
              </w:rPr>
              <w:t>four</w:t>
            </w:r>
            <w:r w:rsidRPr="00CC1ACD">
              <w:rPr>
                <w:rFonts w:ascii="Arial Narrow" w:hAnsi="Arial Narrow"/>
                <w:sz w:val="20"/>
                <w:szCs w:val="20"/>
              </w:rPr>
              <w:t xml:space="preserve"> pre-</w:t>
            </w:r>
            <w:r w:rsidRPr="00CC1ACD">
              <w:rPr>
                <w:rFonts w:ascii="Arial Narrow" w:hAnsi="Arial Narrow"/>
                <w:sz w:val="20"/>
                <w:szCs w:val="20"/>
              </w:rPr>
              <w:lastRenderedPageBreak/>
              <w:t xml:space="preserve">specified clinical pathways: </w:t>
            </w:r>
            <w:r w:rsidR="00375244">
              <w:rPr>
                <w:rFonts w:ascii="Arial Narrow" w:hAnsi="Arial Narrow"/>
                <w:sz w:val="20"/>
                <w:szCs w:val="20"/>
              </w:rPr>
              <w:t>CM</w:t>
            </w:r>
            <w:r w:rsidRPr="00CC1ACD">
              <w:rPr>
                <w:rFonts w:ascii="Arial Narrow" w:hAnsi="Arial Narrow"/>
                <w:sz w:val="20"/>
                <w:szCs w:val="20"/>
              </w:rPr>
              <w:t>, viability, tumour/mass and ARVC</w:t>
            </w:r>
            <w:r>
              <w:rPr>
                <w:rFonts w:ascii="Arial Narrow" w:hAnsi="Arial Narrow"/>
                <w:sz w:val="20"/>
                <w:szCs w:val="20"/>
              </w:rPr>
              <w:t>, who had a surgical or device plan prior to undergoing CMR</w:t>
            </w:r>
          </w:p>
          <w:p w14:paraId="7FCB1DBE" w14:textId="616EE1A3" w:rsidR="00803845" w:rsidRPr="00BA665C" w:rsidRDefault="00803845" w:rsidP="004C79C1">
            <w:pPr>
              <w:spacing w:before="0" w:after="120" w:line="240" w:lineRule="auto"/>
              <w:ind w:right="0"/>
              <w:rPr>
                <w:rFonts w:ascii="Arial Narrow" w:hAnsi="Arial Narrow"/>
                <w:b/>
                <w:sz w:val="20"/>
                <w:szCs w:val="20"/>
              </w:rPr>
            </w:pPr>
            <w:r w:rsidRPr="00BA665C">
              <w:rPr>
                <w:rFonts w:ascii="Arial Narrow" w:hAnsi="Arial Narrow"/>
                <w:b/>
                <w:sz w:val="20"/>
                <w:szCs w:val="20"/>
              </w:rPr>
              <w:t>Exclusion</w:t>
            </w:r>
            <w:r w:rsidR="00B31FC8">
              <w:rPr>
                <w:rFonts w:ascii="Arial Narrow" w:hAnsi="Arial Narrow"/>
                <w:b/>
                <w:sz w:val="20"/>
                <w:szCs w:val="20"/>
              </w:rPr>
              <w:t xml:space="preserve"> criteria:</w:t>
            </w:r>
          </w:p>
          <w:p w14:paraId="2E40FDBB" w14:textId="05CD993E" w:rsidR="00803845" w:rsidRPr="00CC1ACD" w:rsidRDefault="00803845" w:rsidP="004C79C1">
            <w:pPr>
              <w:spacing w:before="0" w:after="120" w:line="240" w:lineRule="auto"/>
              <w:rPr>
                <w:rFonts w:ascii="Arial Narrow" w:hAnsi="Arial Narrow"/>
                <w:sz w:val="20"/>
                <w:szCs w:val="20"/>
              </w:rPr>
            </w:pPr>
            <w:r w:rsidRPr="00CC1ACD">
              <w:rPr>
                <w:rFonts w:ascii="Arial Narrow" w:hAnsi="Arial Narrow"/>
                <w:sz w:val="20"/>
                <w:szCs w:val="20"/>
              </w:rPr>
              <w:t xml:space="preserve">Patients who were scanned for research purposes or non-funded indications </w:t>
            </w:r>
          </w:p>
        </w:tc>
        <w:tc>
          <w:tcPr>
            <w:tcW w:w="631" w:type="pct"/>
          </w:tcPr>
          <w:p w14:paraId="0E52C494" w14:textId="3B7C9C24" w:rsidR="00803845" w:rsidRPr="00CC1ACD" w:rsidRDefault="00803845" w:rsidP="004C79C1">
            <w:pPr>
              <w:spacing w:before="0" w:after="120" w:line="240" w:lineRule="auto"/>
              <w:rPr>
                <w:rFonts w:ascii="Arial Narrow" w:hAnsi="Arial Narrow"/>
                <w:sz w:val="20"/>
                <w:szCs w:val="20"/>
              </w:rPr>
            </w:pPr>
            <w:r>
              <w:rPr>
                <w:rFonts w:ascii="Arial Narrow" w:hAnsi="Arial Narrow"/>
                <w:sz w:val="20"/>
                <w:szCs w:val="20"/>
              </w:rPr>
              <w:lastRenderedPageBreak/>
              <w:t xml:space="preserve">Surgical or device plan </w:t>
            </w:r>
            <w:r w:rsidR="003E5928">
              <w:rPr>
                <w:rFonts w:ascii="Arial Narrow" w:hAnsi="Arial Narrow"/>
                <w:sz w:val="20"/>
                <w:szCs w:val="20"/>
              </w:rPr>
              <w:t xml:space="preserve">that </w:t>
            </w:r>
            <w:r>
              <w:rPr>
                <w:rFonts w:ascii="Arial Narrow" w:hAnsi="Arial Narrow"/>
                <w:sz w:val="20"/>
                <w:szCs w:val="20"/>
              </w:rPr>
              <w:t>was amended or avoided through the use of CMR</w:t>
            </w:r>
          </w:p>
        </w:tc>
        <w:tc>
          <w:tcPr>
            <w:tcW w:w="534" w:type="pct"/>
          </w:tcPr>
          <w:p w14:paraId="184C2CD9" w14:textId="367EE8E5" w:rsidR="00803845" w:rsidRPr="00CC1ACD" w:rsidRDefault="00803845" w:rsidP="004C79C1">
            <w:pPr>
              <w:spacing w:before="0" w:after="120" w:line="240" w:lineRule="auto"/>
              <w:rPr>
                <w:rFonts w:ascii="Arial Narrow" w:hAnsi="Arial Narrow"/>
                <w:sz w:val="20"/>
                <w:szCs w:val="20"/>
              </w:rPr>
            </w:pPr>
            <w:r>
              <w:rPr>
                <w:rFonts w:ascii="Arial Narrow" w:hAnsi="Arial Narrow"/>
                <w:sz w:val="20"/>
                <w:szCs w:val="20"/>
              </w:rPr>
              <w:t xml:space="preserve">Surgical or device plan </w:t>
            </w:r>
            <w:r w:rsidR="003E5928">
              <w:rPr>
                <w:rFonts w:ascii="Arial Narrow" w:hAnsi="Arial Narrow"/>
                <w:sz w:val="20"/>
                <w:szCs w:val="20"/>
              </w:rPr>
              <w:t xml:space="preserve">that </w:t>
            </w:r>
            <w:r>
              <w:rPr>
                <w:rFonts w:ascii="Arial Narrow" w:hAnsi="Arial Narrow"/>
                <w:sz w:val="20"/>
                <w:szCs w:val="20"/>
              </w:rPr>
              <w:t>remained the same after CMR</w:t>
            </w:r>
          </w:p>
        </w:tc>
        <w:tc>
          <w:tcPr>
            <w:tcW w:w="874" w:type="pct"/>
          </w:tcPr>
          <w:p w14:paraId="3D613475" w14:textId="77777777" w:rsidR="00803845" w:rsidRDefault="00803845" w:rsidP="004C79C1">
            <w:pPr>
              <w:spacing w:before="0" w:after="120" w:line="240" w:lineRule="auto"/>
              <w:rPr>
                <w:rFonts w:ascii="Arial Narrow" w:hAnsi="Arial Narrow"/>
                <w:sz w:val="20"/>
                <w:szCs w:val="20"/>
              </w:rPr>
            </w:pPr>
            <w:r>
              <w:rPr>
                <w:rFonts w:ascii="Arial Narrow" w:hAnsi="Arial Narrow"/>
                <w:sz w:val="20"/>
                <w:szCs w:val="20"/>
              </w:rPr>
              <w:t>Mortality</w:t>
            </w:r>
          </w:p>
          <w:p w14:paraId="55264C1D" w14:textId="77777777" w:rsidR="00803845" w:rsidRDefault="00803845" w:rsidP="004C79C1">
            <w:pPr>
              <w:spacing w:before="0" w:after="120" w:line="240" w:lineRule="auto"/>
              <w:rPr>
                <w:rFonts w:ascii="Arial Narrow" w:hAnsi="Arial Narrow"/>
                <w:sz w:val="20"/>
                <w:szCs w:val="20"/>
              </w:rPr>
            </w:pPr>
            <w:r>
              <w:rPr>
                <w:rFonts w:ascii="Arial Narrow" w:hAnsi="Arial Narrow"/>
                <w:sz w:val="20"/>
                <w:szCs w:val="20"/>
              </w:rPr>
              <w:t>NYHA class</w:t>
            </w:r>
          </w:p>
          <w:p w14:paraId="3942C5AF" w14:textId="77777777" w:rsidR="00803845" w:rsidRPr="00D236B5" w:rsidRDefault="00803845" w:rsidP="004C79C1">
            <w:pPr>
              <w:spacing w:before="0" w:after="120" w:line="240" w:lineRule="auto"/>
              <w:rPr>
                <w:rFonts w:ascii="Arial Narrow" w:hAnsi="Arial Narrow"/>
                <w:sz w:val="20"/>
                <w:szCs w:val="20"/>
              </w:rPr>
            </w:pPr>
            <w:r>
              <w:rPr>
                <w:rFonts w:ascii="Arial Narrow" w:hAnsi="Arial Narrow"/>
                <w:sz w:val="20"/>
                <w:szCs w:val="20"/>
              </w:rPr>
              <w:t>Rate of adverse events</w:t>
            </w:r>
          </w:p>
        </w:tc>
      </w:tr>
      <w:tr w:rsidR="00803845" w:rsidRPr="00EE0CEA" w14:paraId="649B895D" w14:textId="77777777" w:rsidTr="00BE5D7C">
        <w:tc>
          <w:tcPr>
            <w:tcW w:w="474" w:type="pct"/>
          </w:tcPr>
          <w:p w14:paraId="7F5D7AEE" w14:textId="565FEE97" w:rsidR="00803845" w:rsidRDefault="00803845" w:rsidP="004C79C1">
            <w:pPr>
              <w:spacing w:before="0" w:after="120" w:line="240" w:lineRule="auto"/>
              <w:rPr>
                <w:rFonts w:ascii="Arial Narrow" w:hAnsi="Arial Narrow"/>
                <w:sz w:val="20"/>
                <w:szCs w:val="20"/>
              </w:rPr>
            </w:pPr>
            <w:r>
              <w:rPr>
                <w:rFonts w:ascii="Arial Narrow" w:hAnsi="Arial Narrow"/>
                <w:sz w:val="20"/>
                <w:szCs w:val="20"/>
              </w:rPr>
              <w:lastRenderedPageBreak/>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rPr>
                <w:rFonts w:ascii="Arial Narrow" w:hAnsi="Arial Narrow"/>
                <w:sz w:val="20"/>
                <w:szCs w:val="20"/>
              </w:rPr>
              <w:instrText xml:space="preserve"> ADDIN EN.CITE </w:instrText>
            </w:r>
            <w:r w:rsidR="00187A29">
              <w:rPr>
                <w:rFonts w:ascii="Arial Narrow" w:hAnsi="Arial Narrow"/>
                <w:sz w:val="20"/>
                <w:szCs w:val="20"/>
              </w:rPr>
              <w:fldChar w:fldCharType="begin">
                <w:fldData xml:space="preserve">PEVuZE5vdGU+PENpdGU+PEF1dGhvcj5Ccm9jaDwvQXV0aG9yPjxZZWFyPjIwMTU8L1llYXI+PFJl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</w:fldData>
              </w:fldChar>
            </w:r>
            <w:r w:rsidR="00187A29">
              <w:rPr>
                <w:rFonts w:ascii="Arial Narrow" w:hAnsi="Arial Narrow"/>
                <w:sz w:val="20"/>
                <w:szCs w:val="20"/>
              </w:rPr>
              <w:instrText xml:space="preserve"> ADDIN EN.CITE.DATA </w:instrText>
            </w:r>
            <w:r w:rsidR="00187A29">
              <w:rPr>
                <w:rFonts w:ascii="Arial Narrow" w:hAnsi="Arial Narrow"/>
                <w:sz w:val="20"/>
                <w:szCs w:val="20"/>
              </w:rPr>
            </w:r>
            <w:r w:rsidR="00187A29">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hyperlink w:anchor="_ENREF_14" w:tooltip="Broch, 2015 #107" w:history="1">
              <w:r w:rsidR="00B906E9">
                <w:rPr>
                  <w:rFonts w:ascii="Arial Narrow" w:hAnsi="Arial Narrow"/>
                  <w:noProof/>
                  <w:sz w:val="20"/>
                  <w:szCs w:val="20"/>
                </w:rPr>
                <w:t xml:space="preserve">Broch et al. </w:t>
              </w:r>
              <w:r w:rsidR="008A3A69">
                <w:rPr>
                  <w:rFonts w:ascii="Arial Narrow" w:hAnsi="Arial Narrow"/>
                  <w:noProof/>
                  <w:sz w:val="20"/>
                  <w:szCs w:val="20"/>
                </w:rPr>
                <w:t>(</w:t>
              </w:r>
              <w:r w:rsidR="00B906E9">
                <w:rPr>
                  <w:rFonts w:ascii="Arial Narrow" w:hAnsi="Arial Narrow"/>
                  <w:noProof/>
                  <w:sz w:val="20"/>
                  <w:szCs w:val="20"/>
                </w:rPr>
                <w:t>2015</w:t>
              </w:r>
            </w:hyperlink>
            <w:r>
              <w:rPr>
                <w:rFonts w:ascii="Arial Narrow" w:hAnsi="Arial Narrow"/>
                <w:noProof/>
                <w:sz w:val="20"/>
                <w:szCs w:val="20"/>
              </w:rPr>
              <w:t>)</w:t>
            </w:r>
            <w:r>
              <w:rPr>
                <w:rFonts w:ascii="Arial Narrow" w:hAnsi="Arial Narrow"/>
                <w:sz w:val="20"/>
                <w:szCs w:val="20"/>
              </w:rPr>
              <w:fldChar w:fldCharType="end"/>
            </w:r>
          </w:p>
          <w:p w14:paraId="4041EBF4" w14:textId="77777777" w:rsidR="00803845" w:rsidRDefault="00803845" w:rsidP="004C79C1">
            <w:pPr>
              <w:spacing w:before="0" w:after="120" w:line="240" w:lineRule="auto"/>
              <w:rPr>
                <w:rFonts w:ascii="Arial Narrow" w:hAnsi="Arial Narrow"/>
                <w:sz w:val="20"/>
                <w:szCs w:val="20"/>
              </w:rPr>
            </w:pPr>
            <w:r>
              <w:rPr>
                <w:rFonts w:ascii="Arial Narrow" w:hAnsi="Arial Narrow"/>
                <w:sz w:val="20"/>
                <w:szCs w:val="20"/>
              </w:rPr>
              <w:t>Norway</w:t>
            </w:r>
          </w:p>
          <w:p w14:paraId="3C05D445" w14:textId="77777777" w:rsidR="00803845" w:rsidRPr="00EE0CEA" w:rsidRDefault="00803845" w:rsidP="004C79C1">
            <w:pPr>
              <w:spacing w:before="0" w:after="120" w:line="240" w:lineRule="auto"/>
              <w:rPr>
                <w:rFonts w:ascii="Arial Narrow" w:hAnsi="Arial Narrow"/>
                <w:sz w:val="20"/>
                <w:szCs w:val="20"/>
              </w:rPr>
            </w:pPr>
            <w:r>
              <w:rPr>
                <w:rFonts w:ascii="Arial Narrow" w:hAnsi="Arial Narrow"/>
                <w:sz w:val="20"/>
                <w:szCs w:val="20"/>
              </w:rPr>
              <w:t>Case reports</w:t>
            </w:r>
          </w:p>
        </w:tc>
        <w:tc>
          <w:tcPr>
            <w:tcW w:w="534" w:type="pct"/>
          </w:tcPr>
          <w:p w14:paraId="46AD32BC" w14:textId="77777777" w:rsidR="00803845" w:rsidRDefault="00803845" w:rsidP="004C79C1">
            <w:pPr>
              <w:spacing w:before="0" w:after="120" w:line="240" w:lineRule="auto"/>
              <w:rPr>
                <w:rFonts w:ascii="Arial Narrow" w:hAnsi="Arial Narrow"/>
                <w:sz w:val="20"/>
                <w:szCs w:val="20"/>
              </w:rPr>
            </w:pPr>
            <w:r>
              <w:rPr>
                <w:rFonts w:ascii="Arial Narrow" w:hAnsi="Arial Narrow"/>
                <w:sz w:val="20"/>
                <w:szCs w:val="20"/>
              </w:rPr>
              <w:t>Quality: N/A</w:t>
            </w:r>
          </w:p>
          <w:p w14:paraId="7D801DB3" w14:textId="77777777" w:rsidR="00803845" w:rsidRPr="00EE0CEA" w:rsidRDefault="00803845" w:rsidP="004C79C1">
            <w:pPr>
              <w:spacing w:before="0" w:after="120" w:line="240" w:lineRule="auto"/>
              <w:rPr>
                <w:rFonts w:ascii="Arial Narrow" w:hAnsi="Arial Narrow"/>
                <w:sz w:val="20"/>
                <w:szCs w:val="20"/>
              </w:rPr>
            </w:pPr>
            <w:r>
              <w:rPr>
                <w:rFonts w:ascii="Arial Narrow" w:hAnsi="Arial Narrow"/>
                <w:sz w:val="20"/>
                <w:szCs w:val="20"/>
              </w:rPr>
              <w:t>Risk of bias: N/A</w:t>
            </w:r>
          </w:p>
        </w:tc>
        <w:tc>
          <w:tcPr>
            <w:tcW w:w="680" w:type="pct"/>
          </w:tcPr>
          <w:p w14:paraId="37006034" w14:textId="78BFE074" w:rsidR="00803845" w:rsidRDefault="00803845" w:rsidP="004C79C1">
            <w:pPr>
              <w:pStyle w:val="Tabletext1"/>
              <w:spacing w:before="0" w:after="120"/>
            </w:pPr>
            <w:r>
              <w:t>N=102 consecutive patients with a diagnosis of idiopathic DCM</w:t>
            </w:r>
          </w:p>
          <w:p w14:paraId="61B645B2" w14:textId="03EAF57E" w:rsidR="00B15D77" w:rsidRDefault="00B15D77" w:rsidP="004C79C1">
            <w:pPr>
              <w:pStyle w:val="Tabletext1"/>
              <w:spacing w:before="0" w:after="120"/>
            </w:pPr>
            <w:r>
              <w:t>Patient characteristics:</w:t>
            </w:r>
          </w:p>
          <w:p w14:paraId="24776E41" w14:textId="05E733CA" w:rsidR="00803845" w:rsidRDefault="00B15D77" w:rsidP="004C79C1">
            <w:pPr>
              <w:pStyle w:val="Tabletext1"/>
              <w:spacing w:before="0" w:after="120"/>
              <w:ind w:left="177"/>
              <w:rPr>
                <w:b/>
                <w:lang w:val="en-GB" w:eastAsia="en-US"/>
              </w:rPr>
            </w:pPr>
            <w:r>
              <w:t>a</w:t>
            </w:r>
            <w:r w:rsidR="00803845">
              <w:t>ge (mean ± SD) 51 ± 14</w:t>
            </w:r>
            <w:r>
              <w:t> years</w:t>
            </w:r>
          </w:p>
          <w:p w14:paraId="14CD7268" w14:textId="11BA827C" w:rsidR="00803845" w:rsidRDefault="00803845" w:rsidP="004C79C1">
            <w:pPr>
              <w:pStyle w:val="Tabletext1"/>
              <w:spacing w:before="0" w:after="120"/>
              <w:ind w:left="177"/>
              <w:rPr>
                <w:b/>
                <w:lang w:val="en-GB" w:eastAsia="en-US"/>
              </w:rPr>
            </w:pPr>
            <w:proofErr w:type="gramStart"/>
            <w:r>
              <w:t>male</w:t>
            </w:r>
            <w:proofErr w:type="gramEnd"/>
            <w:r>
              <w:t xml:space="preserve"> 73 (74%)</w:t>
            </w:r>
          </w:p>
          <w:p w14:paraId="28AABB80" w14:textId="77777777" w:rsidR="00803845" w:rsidRDefault="00803845" w:rsidP="004C79C1">
            <w:pPr>
              <w:pStyle w:val="Tabletext1"/>
              <w:spacing w:before="0" w:after="120"/>
              <w:ind w:left="177"/>
            </w:pPr>
            <w:r>
              <w:t>NYHA class (n) I 15; II 61; III 20; IV 6</w:t>
            </w:r>
          </w:p>
          <w:p w14:paraId="38E7EE6C" w14:textId="77777777" w:rsidR="00803845" w:rsidRDefault="00803845" w:rsidP="004C79C1">
            <w:pPr>
              <w:pStyle w:val="Tabletext1"/>
              <w:spacing w:before="0" w:after="120"/>
            </w:pPr>
            <w:r>
              <w:t>N=88 patients underwent CMR</w:t>
            </w:r>
          </w:p>
          <w:p w14:paraId="34B285AB" w14:textId="77777777" w:rsidR="00803845" w:rsidRPr="00EE0CEA" w:rsidDel="005B5199" w:rsidRDefault="00803845" w:rsidP="004C79C1">
            <w:pPr>
              <w:pStyle w:val="Tabletext1"/>
              <w:spacing w:before="0" w:after="120"/>
            </w:pPr>
            <w:r>
              <w:t>N=81 patients underwent CMR + LGE</w:t>
            </w:r>
          </w:p>
        </w:tc>
        <w:tc>
          <w:tcPr>
            <w:tcW w:w="1272" w:type="pct"/>
          </w:tcPr>
          <w:p w14:paraId="3FBEC232" w14:textId="0F322E5C" w:rsidR="00803845" w:rsidRDefault="00803845" w:rsidP="004C79C1">
            <w:pPr>
              <w:spacing w:before="0" w:after="120" w:line="240" w:lineRule="auto"/>
              <w:rPr>
                <w:rFonts w:ascii="Arial Narrow" w:hAnsi="Arial Narrow"/>
                <w:sz w:val="20"/>
                <w:szCs w:val="20"/>
                <w:u w:val="single"/>
              </w:rPr>
            </w:pPr>
            <w:r w:rsidRPr="00BA665C">
              <w:rPr>
                <w:rFonts w:ascii="Arial Narrow" w:hAnsi="Arial Narrow"/>
                <w:b/>
                <w:sz w:val="20"/>
                <w:szCs w:val="20"/>
              </w:rPr>
              <w:t>Inclusion</w:t>
            </w:r>
            <w:r w:rsidR="00B15D77" w:rsidRPr="00BA665C">
              <w:rPr>
                <w:rFonts w:ascii="Arial Narrow" w:hAnsi="Arial Narrow"/>
                <w:b/>
                <w:sz w:val="20"/>
                <w:szCs w:val="20"/>
              </w:rPr>
              <w:t xml:space="preserve"> </w:t>
            </w:r>
            <w:r w:rsidR="00B15D77">
              <w:rPr>
                <w:rFonts w:ascii="Arial Narrow" w:hAnsi="Arial Narrow"/>
                <w:b/>
                <w:sz w:val="20"/>
                <w:szCs w:val="20"/>
              </w:rPr>
              <w:t>criteria:</w:t>
            </w:r>
          </w:p>
          <w:p w14:paraId="142CC02C" w14:textId="4DC762C8" w:rsidR="00803845" w:rsidRDefault="00803845" w:rsidP="004C79C1">
            <w:pPr>
              <w:spacing w:before="0" w:after="120" w:line="240" w:lineRule="auto"/>
              <w:rPr>
                <w:rFonts w:ascii="Arial Narrow" w:hAnsi="Arial Narrow"/>
                <w:sz w:val="20"/>
                <w:szCs w:val="20"/>
              </w:rPr>
            </w:pPr>
            <w:r>
              <w:rPr>
                <w:rFonts w:ascii="Arial Narrow" w:hAnsi="Arial Narrow"/>
                <w:sz w:val="20"/>
                <w:szCs w:val="20"/>
              </w:rPr>
              <w:t>Suspected DCM, LV end diastolic internal diameter ≥6.5</w:t>
            </w:r>
            <w:r w:rsidR="003F5549">
              <w:rPr>
                <w:rFonts w:ascii="Arial Narrow" w:hAnsi="Arial Narrow"/>
                <w:sz w:val="20"/>
                <w:szCs w:val="20"/>
              </w:rPr>
              <w:t> </w:t>
            </w:r>
            <w:r>
              <w:rPr>
                <w:rFonts w:ascii="Arial Narrow" w:hAnsi="Arial Narrow"/>
                <w:sz w:val="20"/>
                <w:szCs w:val="20"/>
              </w:rPr>
              <w:t>cm and ejection fraction ≤40%</w:t>
            </w:r>
          </w:p>
          <w:p w14:paraId="13D520D1" w14:textId="2E5BD5AF" w:rsidR="00803845" w:rsidRPr="001B2BCE" w:rsidRDefault="00803845" w:rsidP="004C79C1">
            <w:pPr>
              <w:spacing w:before="0" w:after="120" w:line="240" w:lineRule="auto"/>
              <w:rPr>
                <w:rFonts w:ascii="Arial Narrow" w:hAnsi="Arial Narrow"/>
                <w:sz w:val="20"/>
                <w:szCs w:val="20"/>
                <w:u w:val="single"/>
              </w:rPr>
            </w:pPr>
            <w:r w:rsidRPr="00BA665C">
              <w:rPr>
                <w:rFonts w:ascii="Arial Narrow" w:hAnsi="Arial Narrow"/>
                <w:b/>
                <w:sz w:val="20"/>
                <w:szCs w:val="20"/>
              </w:rPr>
              <w:t>Exclusion</w:t>
            </w:r>
            <w:r w:rsidR="00B15D77" w:rsidRPr="00BA665C">
              <w:rPr>
                <w:rFonts w:ascii="Arial Narrow" w:hAnsi="Arial Narrow"/>
                <w:b/>
                <w:sz w:val="20"/>
                <w:szCs w:val="20"/>
              </w:rPr>
              <w:t xml:space="preserve"> </w:t>
            </w:r>
            <w:r w:rsidR="00B15D77">
              <w:rPr>
                <w:rFonts w:ascii="Arial Narrow" w:hAnsi="Arial Narrow"/>
                <w:b/>
                <w:sz w:val="20"/>
                <w:szCs w:val="20"/>
              </w:rPr>
              <w:t>criteria:</w:t>
            </w:r>
          </w:p>
          <w:p w14:paraId="7258BAAE" w14:textId="77777777" w:rsidR="00803845" w:rsidRPr="001B2BCE" w:rsidRDefault="00803845" w:rsidP="004C79C1">
            <w:pPr>
              <w:spacing w:before="0" w:after="120" w:line="240" w:lineRule="auto"/>
              <w:rPr>
                <w:rFonts w:ascii="Arial Narrow" w:hAnsi="Arial Narrow"/>
                <w:sz w:val="20"/>
                <w:szCs w:val="20"/>
              </w:rPr>
            </w:pPr>
            <w:r>
              <w:rPr>
                <w:rFonts w:ascii="Arial Narrow" w:hAnsi="Arial Narrow"/>
                <w:sz w:val="20"/>
                <w:szCs w:val="20"/>
              </w:rPr>
              <w:t>Ischaemic, hypertensive and valvular heart disease, patients with a known or suspected cause of CM including myocarditis, patients with an implanted cardiac device or severe concomitant disease</w:t>
            </w:r>
          </w:p>
        </w:tc>
        <w:tc>
          <w:tcPr>
            <w:tcW w:w="631" w:type="pct"/>
          </w:tcPr>
          <w:p w14:paraId="50FE8D5C" w14:textId="77777777" w:rsidR="00803845" w:rsidRPr="00EE0CEA" w:rsidRDefault="00803845" w:rsidP="004C79C1">
            <w:pPr>
              <w:spacing w:before="0" w:after="120" w:line="240" w:lineRule="auto"/>
              <w:rPr>
                <w:rFonts w:ascii="Arial Narrow" w:hAnsi="Arial Narrow"/>
                <w:sz w:val="20"/>
                <w:szCs w:val="20"/>
              </w:rPr>
            </w:pPr>
            <w:r>
              <w:rPr>
                <w:rFonts w:ascii="Arial Narrow" w:hAnsi="Arial Narrow"/>
                <w:sz w:val="20"/>
                <w:szCs w:val="20"/>
              </w:rPr>
              <w:t xml:space="preserve">Treatments received after having aetiology diagnosed by CMR </w:t>
            </w:r>
          </w:p>
        </w:tc>
        <w:tc>
          <w:tcPr>
            <w:tcW w:w="534" w:type="pct"/>
          </w:tcPr>
          <w:p w14:paraId="5081EED8" w14:textId="77777777" w:rsidR="00803845" w:rsidRPr="00EE0CEA" w:rsidRDefault="00803845" w:rsidP="004C79C1">
            <w:pPr>
              <w:spacing w:before="0" w:after="120" w:line="240" w:lineRule="auto"/>
              <w:rPr>
                <w:rFonts w:ascii="Arial Narrow" w:hAnsi="Arial Narrow"/>
                <w:sz w:val="20"/>
                <w:szCs w:val="20"/>
              </w:rPr>
            </w:pPr>
            <w:r>
              <w:rPr>
                <w:rFonts w:ascii="Arial Narrow" w:hAnsi="Arial Narrow"/>
                <w:sz w:val="20"/>
                <w:szCs w:val="20"/>
              </w:rPr>
              <w:t>NA</w:t>
            </w:r>
          </w:p>
        </w:tc>
        <w:tc>
          <w:tcPr>
            <w:tcW w:w="874" w:type="pct"/>
          </w:tcPr>
          <w:p w14:paraId="23B4A7F1" w14:textId="3B2C8811" w:rsidR="00803845" w:rsidRPr="00EE0CEA" w:rsidRDefault="00803845" w:rsidP="004C79C1">
            <w:pPr>
              <w:spacing w:before="0" w:after="120" w:line="240" w:lineRule="auto"/>
              <w:rPr>
                <w:rFonts w:ascii="Arial Narrow" w:hAnsi="Arial Narrow"/>
                <w:sz w:val="20"/>
                <w:szCs w:val="20"/>
              </w:rPr>
            </w:pPr>
            <w:r>
              <w:rPr>
                <w:rFonts w:ascii="Arial Narrow" w:hAnsi="Arial Narrow"/>
                <w:sz w:val="20"/>
                <w:szCs w:val="20"/>
              </w:rPr>
              <w:t>Transplant</w:t>
            </w:r>
            <w:r w:rsidR="003F5549">
              <w:rPr>
                <w:rFonts w:ascii="Arial Narrow" w:hAnsi="Arial Narrow"/>
                <w:sz w:val="20"/>
                <w:szCs w:val="20"/>
              </w:rPr>
              <w:t>-</w:t>
            </w:r>
            <w:r>
              <w:rPr>
                <w:rFonts w:ascii="Arial Narrow" w:hAnsi="Arial Narrow"/>
                <w:sz w:val="20"/>
                <w:szCs w:val="20"/>
              </w:rPr>
              <w:t>free survival after treatment for aetiologies detected by CMR</w:t>
            </w:r>
          </w:p>
        </w:tc>
      </w:tr>
    </w:tbl>
    <w:p w14:paraId="060305F6" w14:textId="05DD4D81" w:rsidR="00803845" w:rsidRPr="004E01EF" w:rsidRDefault="00942689" w:rsidP="004C79C1">
      <w:pPr>
        <w:spacing w:after="120" w:line="240" w:lineRule="auto"/>
        <w:jc w:val="both"/>
        <w:rPr>
          <w:rFonts w:ascii="Arial Narrow" w:eastAsiaTheme="minorHAnsi" w:hAnsi="Arial Narrow" w:cstheme="minorHAnsi"/>
          <w:sz w:val="20"/>
          <w:szCs w:val="20"/>
          <w:lang w:eastAsia="en-US"/>
        </w:rPr>
      </w:pPr>
      <w:r w:rsidRPr="007A6BB7">
        <w:rPr>
          <w:rFonts w:ascii="Arial Narrow" w:eastAsiaTheme="minorHAnsi" w:hAnsi="Arial Narrow" w:cstheme="minorHAnsi"/>
          <w:sz w:val="20"/>
          <w:szCs w:val="20"/>
          <w:lang w:eastAsia="en-US"/>
        </w:rPr>
        <w:t xml:space="preserve">ARVC = </w:t>
      </w:r>
      <w:r w:rsidRPr="00BA665C">
        <w:rPr>
          <w:rFonts w:ascii="Arial Narrow" w:hAnsi="Arial Narrow"/>
          <w:sz w:val="20"/>
          <w:szCs w:val="20"/>
        </w:rPr>
        <w:t>arrhythmogenic right ventricular cardiomyopathy</w:t>
      </w:r>
      <w:r w:rsidRPr="007A6BB7">
        <w:rPr>
          <w:rFonts w:ascii="Arial Narrow" w:eastAsiaTheme="minorHAnsi" w:hAnsi="Arial Narrow" w:cstheme="minorHAnsi"/>
          <w:sz w:val="20"/>
          <w:szCs w:val="20"/>
          <w:lang w:eastAsia="en-US"/>
        </w:rPr>
        <w:t xml:space="preserve">; CM = </w:t>
      </w:r>
      <w:r w:rsidRPr="00BA665C">
        <w:rPr>
          <w:rFonts w:ascii="Arial Narrow" w:hAnsi="Arial Narrow"/>
          <w:sz w:val="20"/>
          <w:szCs w:val="20"/>
        </w:rPr>
        <w:t>cardiomyopathy</w:t>
      </w:r>
      <w:r w:rsidRPr="007A6BB7">
        <w:rPr>
          <w:rFonts w:ascii="Arial Narrow" w:eastAsiaTheme="minorHAnsi" w:hAnsi="Arial Narrow" w:cstheme="minorHAnsi"/>
          <w:sz w:val="20"/>
          <w:szCs w:val="20"/>
          <w:lang w:eastAsia="en-US"/>
        </w:rPr>
        <w:t xml:space="preserve">; CMR = </w:t>
      </w:r>
      <w:r w:rsidRPr="00BA665C">
        <w:rPr>
          <w:rFonts w:ascii="Arial Narrow" w:hAnsi="Arial Narrow"/>
          <w:sz w:val="20"/>
          <w:szCs w:val="20"/>
        </w:rPr>
        <w:t xml:space="preserve">cardiac magnetic resonance </w:t>
      </w:r>
      <w:r w:rsidR="006B76DB">
        <w:rPr>
          <w:rFonts w:ascii="Arial Narrow" w:hAnsi="Arial Narrow"/>
          <w:sz w:val="20"/>
          <w:szCs w:val="20"/>
        </w:rPr>
        <w:t>(</w:t>
      </w:r>
      <w:r w:rsidRPr="00BA665C">
        <w:rPr>
          <w:rFonts w:ascii="Arial Narrow" w:hAnsi="Arial Narrow"/>
          <w:sz w:val="20"/>
          <w:szCs w:val="20"/>
        </w:rPr>
        <w:t>imaging</w:t>
      </w:r>
      <w:r w:rsidR="006B76DB">
        <w:rPr>
          <w:rFonts w:ascii="Arial Narrow" w:hAnsi="Arial Narrow"/>
          <w:sz w:val="20"/>
          <w:szCs w:val="20"/>
        </w:rPr>
        <w:t>)</w:t>
      </w:r>
      <w:r w:rsidRPr="00BA665C">
        <w:rPr>
          <w:rFonts w:ascii="Arial Narrow" w:hAnsi="Arial Narrow"/>
          <w:sz w:val="20"/>
          <w:szCs w:val="20"/>
        </w:rPr>
        <w:t>;</w:t>
      </w:r>
      <w:r w:rsidRPr="007A6BB7">
        <w:rPr>
          <w:rFonts w:ascii="Arial Narrow" w:eastAsiaTheme="minorHAnsi" w:hAnsi="Arial Narrow" w:cstheme="minorHAnsi"/>
          <w:sz w:val="20"/>
          <w:szCs w:val="20"/>
          <w:lang w:eastAsia="en-US"/>
        </w:rPr>
        <w:t xml:space="preserve"> </w:t>
      </w:r>
      <w:r w:rsidR="00965EC6" w:rsidRPr="007A6BB7">
        <w:rPr>
          <w:rFonts w:ascii="Arial Narrow" w:eastAsiaTheme="minorHAnsi" w:hAnsi="Arial Narrow" w:cstheme="minorHAnsi"/>
          <w:sz w:val="20"/>
          <w:szCs w:val="20"/>
          <w:lang w:eastAsia="en-US"/>
        </w:rPr>
        <w:t xml:space="preserve">DCM = </w:t>
      </w:r>
      <w:r w:rsidR="00965EC6" w:rsidRPr="00BA665C">
        <w:rPr>
          <w:rFonts w:ascii="Arial Narrow" w:hAnsi="Arial Narrow"/>
          <w:sz w:val="20"/>
          <w:szCs w:val="20"/>
        </w:rPr>
        <w:t>dilated cardiomyopathy;</w:t>
      </w:r>
      <w:r w:rsidR="00965EC6" w:rsidRPr="007A6BB7">
        <w:rPr>
          <w:rFonts w:ascii="Arial Narrow" w:eastAsiaTheme="minorHAnsi" w:hAnsi="Arial Narrow" w:cstheme="minorHAnsi"/>
          <w:sz w:val="20"/>
          <w:szCs w:val="20"/>
          <w:lang w:eastAsia="en-US"/>
        </w:rPr>
        <w:t xml:space="preserve"> </w:t>
      </w:r>
      <w:r w:rsidR="00811587">
        <w:rPr>
          <w:rFonts w:ascii="Arial Narrow" w:eastAsiaTheme="minorHAnsi" w:hAnsi="Arial Narrow" w:cstheme="minorHAnsi"/>
          <w:sz w:val="20"/>
          <w:szCs w:val="20"/>
          <w:lang w:eastAsia="en-US"/>
        </w:rPr>
        <w:t>IQR = inter</w:t>
      </w:r>
      <w:r w:rsidR="00C44F2E" w:rsidRPr="007A6BB7">
        <w:rPr>
          <w:rFonts w:ascii="Arial Narrow" w:eastAsiaTheme="minorHAnsi" w:hAnsi="Arial Narrow" w:cstheme="minorHAnsi"/>
          <w:sz w:val="20"/>
          <w:szCs w:val="20"/>
          <w:lang w:eastAsia="en-US"/>
        </w:rPr>
        <w:t xml:space="preserve">quartile range; </w:t>
      </w:r>
      <w:r w:rsidR="00965EC6" w:rsidRPr="007A6BB7">
        <w:rPr>
          <w:rFonts w:ascii="Arial Narrow" w:eastAsiaTheme="minorHAnsi" w:hAnsi="Arial Narrow" w:cstheme="minorHAnsi"/>
          <w:sz w:val="20"/>
          <w:szCs w:val="20"/>
          <w:lang w:eastAsia="en-US"/>
        </w:rPr>
        <w:t xml:space="preserve">LGE = </w:t>
      </w:r>
      <w:r w:rsidR="00965EC6" w:rsidRPr="00BA665C">
        <w:rPr>
          <w:rFonts w:ascii="Arial Narrow" w:hAnsi="Arial Narrow"/>
          <w:sz w:val="20"/>
          <w:szCs w:val="20"/>
        </w:rPr>
        <w:t>late gadolinium enhancement</w:t>
      </w:r>
      <w:r w:rsidR="00965EC6" w:rsidRPr="007A6BB7">
        <w:rPr>
          <w:rFonts w:ascii="Arial Narrow" w:eastAsiaTheme="minorHAnsi" w:hAnsi="Arial Narrow" w:cstheme="minorHAnsi"/>
          <w:sz w:val="20"/>
          <w:szCs w:val="20"/>
          <w:lang w:eastAsia="en-US"/>
        </w:rPr>
        <w:t xml:space="preserve">; </w:t>
      </w:r>
      <w:r w:rsidR="00D66121" w:rsidRPr="007A6BB7">
        <w:rPr>
          <w:rFonts w:ascii="Arial Narrow" w:eastAsiaTheme="minorHAnsi" w:hAnsi="Arial Narrow" w:cstheme="minorHAnsi"/>
          <w:sz w:val="20"/>
          <w:szCs w:val="20"/>
          <w:lang w:eastAsia="en-US"/>
        </w:rPr>
        <w:t xml:space="preserve">LV = </w:t>
      </w:r>
      <w:r w:rsidR="00D66121" w:rsidRPr="007A6BB7">
        <w:rPr>
          <w:rFonts w:ascii="Arial Narrow" w:hAnsi="Arial Narrow"/>
          <w:sz w:val="20"/>
          <w:szCs w:val="20"/>
          <w:lang w:eastAsia="en-US"/>
        </w:rPr>
        <w:t>left ventricular; NYHA = New York Heart Association; SD = standard deviation</w:t>
      </w:r>
      <w:r w:rsidR="00965EC6" w:rsidRPr="007A6BB7">
        <w:rPr>
          <w:rFonts w:ascii="Arial Narrow" w:hAnsi="Arial Narrow"/>
          <w:sz w:val="20"/>
          <w:szCs w:val="20"/>
          <w:lang w:eastAsia="en-US"/>
        </w:rPr>
        <w:t xml:space="preserve">; SIGN = </w:t>
      </w:r>
      <w:r w:rsidR="00E907D6" w:rsidRPr="00BA665C">
        <w:rPr>
          <w:rFonts w:ascii="Arial Narrow" w:hAnsi="Arial Narrow"/>
          <w:sz w:val="20"/>
          <w:szCs w:val="20"/>
        </w:rPr>
        <w:t xml:space="preserve">Scottish Intercollegiate Guidelines Network </w:t>
      </w:r>
      <w:r w:rsidR="00EB6C03">
        <w:rPr>
          <w:rFonts w:ascii="Arial Narrow" w:hAnsi="Arial Narrow"/>
          <w:sz w:val="20"/>
          <w:szCs w:val="20"/>
        </w:rPr>
        <w:t>(</w:t>
      </w:r>
      <w:r w:rsidR="00E907D6" w:rsidRPr="00BA665C">
        <w:rPr>
          <w:rFonts w:ascii="Arial Narrow" w:hAnsi="Arial Narrow"/>
          <w:sz w:val="20"/>
          <w:szCs w:val="20"/>
        </w:rPr>
        <w:t>quality assessment tool</w:t>
      </w:r>
      <w:r w:rsidR="00EB6C03">
        <w:rPr>
          <w:rFonts w:ascii="Arial Narrow" w:hAnsi="Arial Narrow"/>
          <w:sz w:val="20"/>
          <w:szCs w:val="20"/>
        </w:rPr>
        <w:t>)</w:t>
      </w:r>
    </w:p>
    <w:p w14:paraId="4C370062" w14:textId="4D64FA7F" w:rsidR="00C8141B" w:rsidRPr="00A869F4" w:rsidRDefault="00C8141B" w:rsidP="004C79C1">
      <w:pPr>
        <w:pStyle w:val="Heading1"/>
        <w:spacing w:after="120" w:line="240" w:lineRule="auto"/>
        <w:jc w:val="both"/>
      </w:pPr>
      <w:bookmarkStart w:id="837" w:name="_Ref421611175"/>
      <w:bookmarkStart w:id="838" w:name="_Toc451501413"/>
      <w:r>
        <w:lastRenderedPageBreak/>
        <w:t xml:space="preserve">Appendix </w:t>
      </w:r>
      <w:fldSimple w:instr=" SEQ Appendix \* ALPHABETIC ">
        <w:r w:rsidR="00460601">
          <w:rPr>
            <w:noProof/>
          </w:rPr>
          <w:t>D</w:t>
        </w:r>
      </w:fldSimple>
      <w:bookmarkEnd w:id="837"/>
      <w:r>
        <w:tab/>
        <w:t>Evidence Profile Tables</w:t>
      </w:r>
      <w:bookmarkEnd w:id="838"/>
    </w:p>
    <w:p w14:paraId="52876BCF" w14:textId="5FEC3CEE" w:rsidR="001454DF" w:rsidRDefault="001454DF" w:rsidP="004C79C1">
      <w:pPr>
        <w:tabs>
          <w:tab w:val="left" w:pos="1134"/>
        </w:tabs>
        <w:spacing w:after="120" w:line="240" w:lineRule="auto"/>
      </w:pPr>
      <w:bookmarkStart w:id="839" w:name="_Ref421016257"/>
      <w:r>
        <w:t>The</w:t>
      </w:r>
      <w:r w:rsidRPr="00496CB5">
        <w:t xml:space="preserve"> GRADE Working Group grades of evidence</w:t>
      </w:r>
      <w:r>
        <w:t xml:space="preserve"> </w:t>
      </w:r>
      <w:r>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 </w:instrText>
      </w:r>
      <w:r w:rsidR="00187A29">
        <w:fldChar w:fldCharType="begin">
          <w:fldData xml:space="preserve">PEVuZE5vdGU+PENpdGU+PEF1dGhvcj5HdXlhdHQ8L0F1dGhvcj48WWVhcj4yMDExPC9ZZWFyPjxS
ZWNOdW0+MTIzPC9SZWNOdW0+PElEVGV4dD4zODMtOTQ8L0lEVGV4dD48RGlzcGxheVRleHQ+KEd1
eWF0dCBldCBhbC4gMjAxMSk8L0Rpc3BsYXlUZXh0PjxyZWNvcmQ+PHJlYy1udW1iZXI+MTIzPC9y
ZWMtbnVtYmVyPjxmb3JlaWduLWtleXM+PGtleSBhcHA9IkVOIiBkYi1pZD0icGZ4eHZyZWYwdDBh
NWRlMnZ3bnYyZndrejBwOXYwcjJmdzB0IiB0aW1lc3RhbXA9IjE0NTg2OTE0NjMiPjEyMzwva2V5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ZWNvbmRhcnktdGl0bGU+SiBDbGluIEVwaWRlbWlvbDwvc2Vjb25kYXJ5LXRpdGxlPjxhbHQtdGl0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a2V5d29yZD5SZXByb2R1Y2liaWxpdHkgb2YgUmVzdWx0czwva2V5d29yZD48a2V5d29yZD4qUmV2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</w:fldData>
        </w:fldChar>
      </w:r>
      <w:r w:rsidR="00187A29">
        <w:instrText xml:space="preserve"> ADDIN EN.CITE.DATA </w:instrText>
      </w:r>
      <w:r w:rsidR="00187A29">
        <w:fldChar w:fldCharType="end"/>
      </w:r>
      <w:r>
        <w:fldChar w:fldCharType="separate"/>
      </w:r>
      <w:r>
        <w:rPr>
          <w:noProof/>
        </w:rPr>
        <w:t>(</w:t>
      </w:r>
      <w:hyperlink w:anchor="_ENREF_48" w:tooltip="Guyatt, 2011 #123" w:history="1">
        <w:r w:rsidR="00B906E9">
          <w:rPr>
            <w:noProof/>
          </w:rPr>
          <w:t>Guyatt et al. 2011</w:t>
        </w:r>
      </w:hyperlink>
      <w:r>
        <w:rPr>
          <w:noProof/>
        </w:rPr>
        <w:t>)</w:t>
      </w:r>
      <w:r>
        <w:fldChar w:fldCharType="end"/>
      </w:r>
      <w:r w:rsidRPr="00496CB5">
        <w:t xml:space="preserve"> </w:t>
      </w:r>
      <w:r>
        <w:t>presented in the tables below are defined as</w:t>
      </w:r>
      <w:proofErr w:type="gramStart"/>
      <w:r>
        <w:t>:</w:t>
      </w:r>
      <w:proofErr w:type="gramEnd"/>
      <w:r>
        <w:br/>
      </w:r>
      <w:r w:rsidRPr="00D4733A">
        <w:rPr>
          <w:rFonts w:ascii="Cambria Math" w:hAnsi="Cambria Math"/>
          <w:color w:val="00B050"/>
        </w:rPr>
        <w:t>⨁⨁⨁⨁</w:t>
      </w:r>
      <w:r>
        <w:rPr>
          <w:rFonts w:ascii="Cambria Math" w:hAnsi="Cambria Math"/>
          <w:color w:val="00B050"/>
        </w:rPr>
        <w:tab/>
      </w:r>
      <w:r w:rsidRPr="00B51039">
        <w:rPr>
          <w:b/>
        </w:rPr>
        <w:t>High quality:</w:t>
      </w:r>
      <w:r w:rsidRPr="00B51039">
        <w:t xml:space="preserve"> We are very confident that the true effect lies close to that of the estimate of effect.</w:t>
      </w:r>
      <w:r w:rsidRPr="00E10B76">
        <w:rPr>
          <w:rFonts w:ascii="Arial Narrow" w:hAnsi="Arial Narrow" w:cs="Arial"/>
          <w:sz w:val="18"/>
          <w:szCs w:val="18"/>
        </w:rPr>
        <w:t xml:space="preserve"> </w:t>
      </w:r>
      <w:r w:rsidRPr="00E10B76">
        <w:rPr>
          <w:rFonts w:ascii="Arial Narrow" w:hAnsi="Arial Narrow" w:cs="Arial"/>
          <w:sz w:val="18"/>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ab/>
      </w:r>
      <w:r w:rsidRPr="00B51039">
        <w:rPr>
          <w:b/>
        </w:rPr>
        <w:t>Moderate quality:</w:t>
      </w:r>
      <w:r w:rsidRPr="00B51039">
        <w:t xml:space="preserve"> We are moderately confident in the effect estimate: The true effect is likely to be close to the estimate of the effect, but there is a possibility that it is substantially different.</w:t>
      </w:r>
      <w:r>
        <w:rPr>
          <w:rFonts w:ascii="Arial Narrow" w:hAnsi="Arial Narrow" w:cs="Arial"/>
          <w:sz w:val="18"/>
          <w:szCs w:val="18"/>
        </w:rPr>
        <w:t xml:space="preserve"> </w:t>
      </w:r>
      <w:r w:rsidRPr="00E10B76">
        <w:rPr>
          <w:rFonts w:ascii="Arial Narrow" w:hAnsi="Arial Narrow" w:cs="Arial"/>
          <w:sz w:val="18"/>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ab/>
      </w:r>
      <w:r w:rsidRPr="00B51039">
        <w:rPr>
          <w:b/>
        </w:rPr>
        <w:t>Low quality:</w:t>
      </w:r>
      <w:r w:rsidRPr="00B51039">
        <w:t xml:space="preserve"> Our confidence in the effect estimate is limited: The true effect may be substantially different from the estimate of the effect</w:t>
      </w:r>
      <w:r>
        <w:rPr>
          <w:rFonts w:ascii="Arial Narrow" w:hAnsi="Arial Narrow" w:cs="Arial"/>
          <w:sz w:val="18"/>
          <w:szCs w:val="18"/>
        </w:rPr>
        <w:t>.</w:t>
      </w:r>
      <w:r w:rsidRPr="00E10B76">
        <w:rPr>
          <w:rFonts w:ascii="Arial Narrow" w:hAnsi="Arial Narrow" w:cs="Arial"/>
          <w:sz w:val="18"/>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ab/>
      </w:r>
      <w:r w:rsidRPr="00B51039">
        <w:rPr>
          <w:b/>
        </w:rPr>
        <w:t>Very low quality:</w:t>
      </w:r>
      <w:r w:rsidRPr="00B51039">
        <w:t xml:space="preserve"> We have very little confidence in the effect estimate: The true effect is likely to be substantially different from the estimate of effect.</w:t>
      </w:r>
    </w:p>
    <w:p w14:paraId="3B61EEAC" w14:textId="694CCA2B" w:rsidR="000470F1" w:rsidRDefault="00050936" w:rsidP="004C79C1">
      <w:pPr>
        <w:pStyle w:val="Caption"/>
      </w:pPr>
      <w:bookmarkStart w:id="840" w:name="_Toc324410262"/>
      <w:bookmarkStart w:id="841" w:name="_Toc451435413"/>
      <w:bookmarkEnd w:id="839"/>
      <w:r>
        <w:t xml:space="preserve">Table </w:t>
      </w:r>
      <w:fldSimple w:instr=" SEQ Table \* ARABIC ">
        <w:r>
          <w:rPr>
            <w:noProof/>
          </w:rPr>
          <w:t>86</w:t>
        </w:r>
      </w:fldSimple>
      <w:r w:rsidR="00C8141B">
        <w:tab/>
        <w:t xml:space="preserve">Evidence profile table for </w:t>
      </w:r>
      <w:r w:rsidR="00304861">
        <w:t xml:space="preserve">the accuracy of </w:t>
      </w:r>
      <w:r w:rsidR="001454DF">
        <w:t>LGE-CMR</w:t>
      </w:r>
      <w:r w:rsidR="00C8141B">
        <w:t xml:space="preserve"> compared </w:t>
      </w:r>
      <w:r w:rsidR="00C82C99">
        <w:t xml:space="preserve">with </w:t>
      </w:r>
      <w:r w:rsidR="001454DF">
        <w:t>the reference standards</w:t>
      </w:r>
      <w:r w:rsidR="00C8141B">
        <w:t xml:space="preserve"> for</w:t>
      </w:r>
      <w:r w:rsidR="001454DF">
        <w:t xml:space="preserve"> patients with HF symptoms (suspected of DCM) or DCM patients</w:t>
      </w:r>
      <w:bookmarkEnd w:id="840"/>
      <w:bookmarkEnd w:id="841"/>
      <w:r w:rsidR="00C8141B">
        <w:t xml:space="preserve"> </w:t>
      </w:r>
    </w:p>
    <w:tbl>
      <w:tblPr>
        <w:tblStyle w:val="TableGrid"/>
        <w:tblW w:w="5000" w:type="pct"/>
        <w:tblCellMar>
          <w:left w:w="57" w:type="dxa"/>
          <w:right w:w="57" w:type="dxa"/>
        </w:tblCellMar>
        <w:tblLook w:val="04A0" w:firstRow="1" w:lastRow="0" w:firstColumn="1" w:lastColumn="0" w:noHBand="0" w:noVBand="1"/>
        <w:tblCaption w:val="Table 178"/>
        <w:tblDescription w:val="Evidence profile table for the accuracy of SP-CMR, SPECT and stress ECHO compared with ICA in patents with known or suspected CAD (Sharples et al. 2007)"/>
      </w:tblPr>
      <w:tblGrid>
        <w:gridCol w:w="955"/>
        <w:gridCol w:w="3335"/>
        <w:gridCol w:w="1145"/>
        <w:gridCol w:w="1145"/>
        <w:gridCol w:w="1286"/>
        <w:gridCol w:w="1140"/>
        <w:gridCol w:w="1294"/>
        <w:gridCol w:w="1715"/>
        <w:gridCol w:w="1059"/>
      </w:tblGrid>
      <w:tr w:rsidR="001454DF" w:rsidRPr="00183E4D" w14:paraId="16D43F32" w14:textId="77777777" w:rsidTr="00BE5D7C">
        <w:trPr>
          <w:trHeight w:val="788"/>
          <w:tblHeader/>
        </w:trPr>
        <w:tc>
          <w:tcPr>
            <w:tcW w:w="365" w:type="pct"/>
            <w:tcBorders>
              <w:bottom w:val="single" w:sz="4" w:space="0" w:color="auto"/>
            </w:tcBorders>
          </w:tcPr>
          <w:p w14:paraId="51B27C68" w14:textId="77777777" w:rsidR="001454DF" w:rsidRPr="00183E4D" w:rsidRDefault="001454DF" w:rsidP="004C79C1">
            <w:pPr>
              <w:pStyle w:val="TableHeading"/>
              <w:spacing w:before="0" w:after="120"/>
              <w:ind w:left="0" w:firstLine="0"/>
            </w:pPr>
            <w:r>
              <w:t>Outcome</w:t>
            </w:r>
          </w:p>
        </w:tc>
        <w:tc>
          <w:tcPr>
            <w:tcW w:w="1275" w:type="pct"/>
            <w:tcBorders>
              <w:bottom w:val="single" w:sz="4" w:space="0" w:color="auto"/>
            </w:tcBorders>
          </w:tcPr>
          <w:p w14:paraId="475B7121" w14:textId="77777777" w:rsidR="001454DF" w:rsidRPr="00183E4D" w:rsidRDefault="001454DF" w:rsidP="004C79C1">
            <w:pPr>
              <w:pStyle w:val="TableHeading"/>
              <w:spacing w:before="0" w:after="120"/>
              <w:ind w:left="0" w:firstLine="0"/>
            </w:pPr>
            <w:r>
              <w:t>No. of participants,</w:t>
            </w:r>
            <w:r>
              <w:br/>
              <w:t>No. of studies</w:t>
            </w:r>
            <w:r>
              <w:br/>
              <w:t>Study design</w:t>
            </w:r>
          </w:p>
        </w:tc>
        <w:tc>
          <w:tcPr>
            <w:tcW w:w="438" w:type="pct"/>
            <w:tcBorders>
              <w:bottom w:val="single" w:sz="4" w:space="0" w:color="auto"/>
            </w:tcBorders>
          </w:tcPr>
          <w:p w14:paraId="1A0FE68B" w14:textId="77777777" w:rsidR="001454DF" w:rsidRPr="00A74C70" w:rsidRDefault="001454DF" w:rsidP="004C79C1">
            <w:pPr>
              <w:pStyle w:val="TableHeading"/>
              <w:spacing w:before="0" w:after="120"/>
              <w:ind w:left="0" w:firstLine="0"/>
            </w:pPr>
            <w:r w:rsidRPr="00A74C70">
              <w:t>Risk of bias</w:t>
            </w:r>
          </w:p>
        </w:tc>
        <w:tc>
          <w:tcPr>
            <w:tcW w:w="438" w:type="pct"/>
            <w:tcBorders>
              <w:bottom w:val="single" w:sz="4" w:space="0" w:color="auto"/>
            </w:tcBorders>
          </w:tcPr>
          <w:p w14:paraId="6F0C1705" w14:textId="77777777" w:rsidR="001454DF" w:rsidRPr="00183E4D" w:rsidRDefault="001454DF" w:rsidP="004C79C1">
            <w:pPr>
              <w:pStyle w:val="TableHeading"/>
              <w:spacing w:before="0" w:after="120"/>
              <w:ind w:left="0" w:firstLine="0"/>
            </w:pPr>
            <w:r w:rsidRPr="00A74C70">
              <w:t>Indirectness</w:t>
            </w:r>
          </w:p>
        </w:tc>
        <w:tc>
          <w:tcPr>
            <w:tcW w:w="492" w:type="pct"/>
            <w:tcBorders>
              <w:bottom w:val="single" w:sz="4" w:space="0" w:color="auto"/>
            </w:tcBorders>
          </w:tcPr>
          <w:p w14:paraId="3DDC0152" w14:textId="77777777" w:rsidR="001454DF" w:rsidRPr="00A74C70" w:rsidRDefault="001454DF" w:rsidP="004C79C1">
            <w:pPr>
              <w:pStyle w:val="TableHeading"/>
              <w:spacing w:before="0" w:after="120"/>
              <w:ind w:left="0" w:firstLine="0"/>
            </w:pPr>
            <w:r>
              <w:t>Inconsistency</w:t>
            </w:r>
          </w:p>
        </w:tc>
        <w:tc>
          <w:tcPr>
            <w:tcW w:w="436" w:type="pct"/>
            <w:tcBorders>
              <w:bottom w:val="single" w:sz="4" w:space="0" w:color="auto"/>
            </w:tcBorders>
          </w:tcPr>
          <w:p w14:paraId="3C2B6CD9" w14:textId="77777777" w:rsidR="001454DF" w:rsidRPr="00183E4D" w:rsidRDefault="001454DF" w:rsidP="004C79C1">
            <w:pPr>
              <w:pStyle w:val="TableHeading"/>
              <w:spacing w:before="0" w:after="120"/>
              <w:ind w:left="0" w:firstLine="0"/>
            </w:pPr>
            <w:r>
              <w:t>Imprecision</w:t>
            </w:r>
          </w:p>
        </w:tc>
        <w:tc>
          <w:tcPr>
            <w:tcW w:w="495" w:type="pct"/>
            <w:tcBorders>
              <w:bottom w:val="single" w:sz="4" w:space="0" w:color="auto"/>
            </w:tcBorders>
          </w:tcPr>
          <w:p w14:paraId="68FB944D" w14:textId="77777777" w:rsidR="001454DF" w:rsidRPr="00183E4D" w:rsidRDefault="001454DF" w:rsidP="004C79C1">
            <w:pPr>
              <w:pStyle w:val="TableHeading"/>
              <w:spacing w:before="0" w:after="120"/>
              <w:ind w:left="0" w:firstLine="0"/>
            </w:pPr>
            <w:r>
              <w:t>Other considerations</w:t>
            </w:r>
          </w:p>
        </w:tc>
        <w:tc>
          <w:tcPr>
            <w:tcW w:w="656" w:type="pct"/>
            <w:tcBorders>
              <w:bottom w:val="single" w:sz="4" w:space="0" w:color="auto"/>
            </w:tcBorders>
          </w:tcPr>
          <w:p w14:paraId="16753527" w14:textId="77777777" w:rsidR="001454DF" w:rsidRPr="00183E4D" w:rsidRDefault="001454DF" w:rsidP="004C79C1">
            <w:pPr>
              <w:pStyle w:val="TableHeading"/>
              <w:spacing w:before="0" w:after="120"/>
              <w:ind w:left="0" w:firstLine="0"/>
            </w:pPr>
            <w:r>
              <w:t>Effect per 1,000 patients/year</w:t>
            </w:r>
          </w:p>
          <w:p w14:paraId="2984D137" w14:textId="77777777" w:rsidR="001454DF" w:rsidRPr="00183E4D" w:rsidRDefault="001454DF" w:rsidP="004C79C1">
            <w:pPr>
              <w:pStyle w:val="TableHeading"/>
              <w:tabs>
                <w:tab w:val="left" w:pos="1168"/>
                <w:tab w:val="left" w:pos="2443"/>
              </w:tabs>
              <w:spacing w:before="0" w:after="120"/>
              <w:ind w:left="0" w:firstLine="0"/>
            </w:pPr>
            <w:r>
              <w:t>Study prevalence</w:t>
            </w:r>
          </w:p>
        </w:tc>
        <w:tc>
          <w:tcPr>
            <w:tcW w:w="405" w:type="pct"/>
            <w:tcBorders>
              <w:bottom w:val="single" w:sz="4" w:space="0" w:color="auto"/>
            </w:tcBorders>
          </w:tcPr>
          <w:p w14:paraId="675AFFB9" w14:textId="77777777" w:rsidR="001454DF" w:rsidRDefault="001454DF" w:rsidP="004C79C1">
            <w:pPr>
              <w:pStyle w:val="TableHeading"/>
              <w:spacing w:before="0" w:after="120"/>
              <w:ind w:left="0" w:firstLine="0"/>
            </w:pPr>
            <w:r>
              <w:t>QoE</w:t>
            </w:r>
          </w:p>
          <w:p w14:paraId="291146C2" w14:textId="77777777" w:rsidR="001454DF" w:rsidRPr="00183E4D" w:rsidRDefault="001454DF" w:rsidP="004C79C1">
            <w:pPr>
              <w:pStyle w:val="TableHeading"/>
              <w:spacing w:before="0" w:after="120"/>
              <w:ind w:left="0" w:firstLine="0"/>
            </w:pPr>
            <w:r>
              <w:t>Importance</w:t>
            </w:r>
          </w:p>
        </w:tc>
      </w:tr>
      <w:tr w:rsidR="002F2E5D" w:rsidRPr="00B22F8A" w14:paraId="0A3D5736" w14:textId="77777777" w:rsidTr="00BE5D7C">
        <w:trPr>
          <w:trHeight w:val="319"/>
        </w:trPr>
        <w:tc>
          <w:tcPr>
            <w:tcW w:w="365" w:type="pct"/>
            <w:tcBorders>
              <w:top w:val="single" w:sz="4" w:space="0" w:color="auto"/>
              <w:left w:val="single" w:sz="4" w:space="0" w:color="auto"/>
              <w:bottom w:val="single" w:sz="4" w:space="0" w:color="auto"/>
              <w:right w:val="nil"/>
            </w:tcBorders>
          </w:tcPr>
          <w:p w14:paraId="678915E9" w14:textId="77777777" w:rsidR="001454DF" w:rsidRPr="00440CF2" w:rsidRDefault="001454DF" w:rsidP="004C79C1">
            <w:pPr>
              <w:pStyle w:val="Tabletext1"/>
              <w:spacing w:before="0" w:after="120"/>
              <w:jc w:val="center"/>
              <w:rPr>
                <w:b/>
                <w:color w:val="FFFFFF" w:themeColor="background1"/>
              </w:rPr>
            </w:pPr>
            <w:r w:rsidRPr="00440CF2">
              <w:rPr>
                <w:b/>
                <w:color w:val="FFFFFF" w:themeColor="background1"/>
              </w:rPr>
              <w:t>-</w:t>
            </w:r>
          </w:p>
        </w:tc>
        <w:tc>
          <w:tcPr>
            <w:tcW w:w="1275" w:type="pct"/>
            <w:tcBorders>
              <w:top w:val="single" w:sz="4" w:space="0" w:color="auto"/>
              <w:left w:val="nil"/>
              <w:bottom w:val="single" w:sz="4" w:space="0" w:color="auto"/>
              <w:right w:val="nil"/>
            </w:tcBorders>
          </w:tcPr>
          <w:p w14:paraId="111A870E" w14:textId="77777777" w:rsidR="001454DF" w:rsidRDefault="001454DF" w:rsidP="004C79C1">
            <w:pPr>
              <w:pStyle w:val="Tabletext1"/>
              <w:spacing w:before="0" w:after="120"/>
              <w:rPr>
                <w:b/>
              </w:rPr>
            </w:pPr>
            <w:r>
              <w:rPr>
                <w:b/>
              </w:rPr>
              <w:t xml:space="preserve">LGE-CMR to diagnose DCM </w:t>
            </w:r>
          </w:p>
          <w:p w14:paraId="41BBDDC8" w14:textId="3B059B0C" w:rsidR="001454DF" w:rsidRPr="00B22F8A" w:rsidRDefault="001454DF" w:rsidP="004C79C1">
            <w:pPr>
              <w:pStyle w:val="Tabletext1"/>
              <w:spacing w:before="0" w:after="120"/>
              <w:rPr>
                <w:b/>
              </w:rPr>
            </w:pPr>
            <w:r>
              <w:rPr>
                <w:b/>
              </w:rPr>
              <w:t>(ref</w:t>
            </w:r>
            <w:r w:rsidR="00AD5BD6">
              <w:rPr>
                <w:b/>
              </w:rPr>
              <w:t>.</w:t>
            </w:r>
            <w:r>
              <w:rPr>
                <w:b/>
              </w:rPr>
              <w:t xml:space="preserve"> std</w:t>
            </w:r>
            <w:r w:rsidR="00AD5BD6">
              <w:rPr>
                <w:b/>
              </w:rPr>
              <w:t>.</w:t>
            </w:r>
            <w:r>
              <w:rPr>
                <w:b/>
              </w:rPr>
              <w:t xml:space="preserve"> </w:t>
            </w:r>
            <w:r w:rsidR="00A01BC0">
              <w:rPr>
                <w:b/>
              </w:rPr>
              <w:t xml:space="preserve">= </w:t>
            </w:r>
            <w:r w:rsidR="00783817">
              <w:rPr>
                <w:b/>
              </w:rPr>
              <w:t>available diagnostic data</w:t>
            </w:r>
            <w:r>
              <w:rPr>
                <w:b/>
              </w:rPr>
              <w:t>)</w:t>
            </w:r>
          </w:p>
        </w:tc>
        <w:tc>
          <w:tcPr>
            <w:tcW w:w="438" w:type="pct"/>
            <w:tcBorders>
              <w:top w:val="single" w:sz="4" w:space="0" w:color="auto"/>
              <w:left w:val="nil"/>
              <w:bottom w:val="single" w:sz="4" w:space="0" w:color="auto"/>
              <w:right w:val="nil"/>
            </w:tcBorders>
          </w:tcPr>
          <w:p w14:paraId="5F381640"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8" w:type="pct"/>
            <w:tcBorders>
              <w:top w:val="single" w:sz="4" w:space="0" w:color="auto"/>
              <w:left w:val="nil"/>
              <w:bottom w:val="single" w:sz="4" w:space="0" w:color="auto"/>
              <w:right w:val="nil"/>
            </w:tcBorders>
          </w:tcPr>
          <w:p w14:paraId="05BA71DE"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2" w:type="pct"/>
            <w:tcBorders>
              <w:top w:val="single" w:sz="4" w:space="0" w:color="auto"/>
              <w:left w:val="nil"/>
              <w:bottom w:val="single" w:sz="4" w:space="0" w:color="auto"/>
              <w:right w:val="nil"/>
            </w:tcBorders>
          </w:tcPr>
          <w:p w14:paraId="5CAEF23E"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6" w:type="pct"/>
            <w:tcBorders>
              <w:top w:val="single" w:sz="4" w:space="0" w:color="auto"/>
              <w:left w:val="nil"/>
              <w:bottom w:val="single" w:sz="4" w:space="0" w:color="auto"/>
              <w:right w:val="nil"/>
            </w:tcBorders>
          </w:tcPr>
          <w:p w14:paraId="3E900EE3"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5" w:type="pct"/>
            <w:tcBorders>
              <w:top w:val="single" w:sz="4" w:space="0" w:color="auto"/>
              <w:left w:val="nil"/>
              <w:bottom w:val="single" w:sz="4" w:space="0" w:color="auto"/>
              <w:right w:val="nil"/>
            </w:tcBorders>
          </w:tcPr>
          <w:p w14:paraId="3797F68D"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656" w:type="pct"/>
            <w:tcBorders>
              <w:top w:val="single" w:sz="4" w:space="0" w:color="auto"/>
              <w:left w:val="nil"/>
              <w:bottom w:val="single" w:sz="4" w:space="0" w:color="auto"/>
              <w:right w:val="nil"/>
            </w:tcBorders>
            <w:vAlign w:val="center"/>
          </w:tcPr>
          <w:p w14:paraId="5BDA6220" w14:textId="77777777" w:rsidR="001454DF" w:rsidRPr="00785D0D" w:rsidRDefault="001454DF" w:rsidP="004C79C1">
            <w:pPr>
              <w:pStyle w:val="Tabletext1"/>
              <w:tabs>
                <w:tab w:val="left" w:pos="1168"/>
                <w:tab w:val="left" w:pos="2426"/>
              </w:tabs>
              <w:spacing w:before="0" w:after="120"/>
              <w:jc w:val="center"/>
              <w:rPr>
                <w:b/>
              </w:rPr>
            </w:pPr>
            <w:r>
              <w:rPr>
                <w:b/>
              </w:rPr>
              <w:t>39.7%</w:t>
            </w:r>
          </w:p>
        </w:tc>
        <w:tc>
          <w:tcPr>
            <w:tcW w:w="405" w:type="pct"/>
            <w:tcBorders>
              <w:top w:val="single" w:sz="4" w:space="0" w:color="auto"/>
              <w:left w:val="nil"/>
              <w:bottom w:val="single" w:sz="4" w:space="0" w:color="auto"/>
              <w:right w:val="single" w:sz="4" w:space="0" w:color="auto"/>
            </w:tcBorders>
          </w:tcPr>
          <w:p w14:paraId="63F35CD6" w14:textId="77777777" w:rsidR="001454DF" w:rsidRPr="00B22F8A" w:rsidRDefault="001454DF" w:rsidP="004C79C1">
            <w:pPr>
              <w:pStyle w:val="Tabletext1"/>
              <w:spacing w:before="0" w:after="120"/>
              <w:jc w:val="center"/>
              <w:rPr>
                <w:rFonts w:cs="Cambria Math"/>
                <w:b/>
                <w:color w:val="FFFFFF" w:themeColor="background1"/>
              </w:rPr>
            </w:pPr>
            <w:r w:rsidRPr="00B22F8A">
              <w:rPr>
                <w:rFonts w:cs="Cambria Math"/>
                <w:b/>
                <w:color w:val="FFFFFF" w:themeColor="background1"/>
              </w:rPr>
              <w:t>-</w:t>
            </w:r>
          </w:p>
        </w:tc>
      </w:tr>
      <w:tr w:rsidR="001454DF" w:rsidRPr="00183E4D" w14:paraId="3A81B561" w14:textId="77777777" w:rsidTr="00BE5D7C">
        <w:trPr>
          <w:trHeight w:val="319"/>
        </w:trPr>
        <w:tc>
          <w:tcPr>
            <w:tcW w:w="365" w:type="pct"/>
            <w:tcBorders>
              <w:top w:val="single" w:sz="4" w:space="0" w:color="auto"/>
            </w:tcBorders>
          </w:tcPr>
          <w:p w14:paraId="6E476172" w14:textId="77777777" w:rsidR="001454DF" w:rsidRPr="00440CF2" w:rsidRDefault="001454DF" w:rsidP="004C79C1">
            <w:pPr>
              <w:pStyle w:val="Tabletext1"/>
              <w:spacing w:before="0" w:after="120"/>
            </w:pPr>
            <w:r w:rsidRPr="00440CF2">
              <w:t>True positives</w:t>
            </w:r>
          </w:p>
          <w:p w14:paraId="43724069" w14:textId="77777777" w:rsidR="001454DF" w:rsidRPr="00440CF2" w:rsidRDefault="001454DF" w:rsidP="004C79C1">
            <w:pPr>
              <w:pStyle w:val="Tabletext1"/>
              <w:spacing w:before="0" w:after="120"/>
            </w:pPr>
          </w:p>
          <w:p w14:paraId="111DC880" w14:textId="77777777" w:rsidR="001454DF" w:rsidRPr="00440CF2" w:rsidRDefault="001454DF" w:rsidP="004C79C1">
            <w:pPr>
              <w:pStyle w:val="Tabletext1"/>
              <w:spacing w:before="0" w:after="120"/>
            </w:pPr>
            <w:r w:rsidRPr="00440CF2">
              <w:t xml:space="preserve">False </w:t>
            </w:r>
            <w:r>
              <w:t>negatives</w:t>
            </w:r>
          </w:p>
        </w:tc>
        <w:tc>
          <w:tcPr>
            <w:tcW w:w="1275" w:type="pct"/>
            <w:tcBorders>
              <w:top w:val="single" w:sz="4" w:space="0" w:color="auto"/>
            </w:tcBorders>
          </w:tcPr>
          <w:p w14:paraId="3EA18D7F" w14:textId="5E71763A" w:rsidR="001454DF" w:rsidRPr="00183E4D" w:rsidRDefault="001454DF" w:rsidP="004C79C1">
            <w:pPr>
              <w:pStyle w:val="Tabletext1"/>
              <w:spacing w:before="0" w:after="120"/>
            </w:pPr>
            <w:r>
              <w:t>N=54 patients</w:t>
            </w:r>
            <w:r>
              <w:br/>
            </w:r>
            <w:r w:rsidR="007B2522">
              <w:t>K</w:t>
            </w:r>
            <w:r>
              <w:t>=1 study</w:t>
            </w:r>
            <w:r>
              <w:br/>
              <w:t>Cross-sectional</w:t>
            </w:r>
            <w:r>
              <w:br/>
              <w:t>(cohort</w:t>
            </w:r>
            <w:r w:rsidR="00C82C99">
              <w:t>-</w:t>
            </w:r>
            <w:r>
              <w:t>type accuracy study)</w:t>
            </w:r>
          </w:p>
        </w:tc>
        <w:tc>
          <w:tcPr>
            <w:tcW w:w="438" w:type="pct"/>
            <w:tcBorders>
              <w:top w:val="single" w:sz="4" w:space="0" w:color="auto"/>
            </w:tcBorders>
          </w:tcPr>
          <w:p w14:paraId="57FAE506" w14:textId="1A2CA6C3" w:rsidR="001454DF" w:rsidRPr="009364DE" w:rsidRDefault="001454DF" w:rsidP="004C79C1">
            <w:pPr>
              <w:pStyle w:val="Tabletext1"/>
              <w:spacing w:before="0" w:after="120"/>
            </w:pPr>
            <w:r>
              <w:t>Not serious</w:t>
            </w:r>
            <w:r w:rsidR="00A568EA" w:rsidDel="00A568EA">
              <w:t xml:space="preserve"> </w:t>
            </w:r>
            <w:r>
              <w:t>(QUADAS-2 low risk of bias)</w:t>
            </w:r>
          </w:p>
        </w:tc>
        <w:tc>
          <w:tcPr>
            <w:tcW w:w="438" w:type="pct"/>
            <w:tcBorders>
              <w:top w:val="single" w:sz="4" w:space="0" w:color="auto"/>
            </w:tcBorders>
          </w:tcPr>
          <w:p w14:paraId="4F30F703" w14:textId="77777777" w:rsidR="001454DF" w:rsidRPr="009364DE" w:rsidRDefault="001454DF" w:rsidP="004C79C1">
            <w:pPr>
              <w:pStyle w:val="Tabletext1"/>
              <w:spacing w:before="0" w:after="120"/>
            </w:pPr>
            <w:r>
              <w:t>Not serious</w:t>
            </w:r>
          </w:p>
        </w:tc>
        <w:tc>
          <w:tcPr>
            <w:tcW w:w="492" w:type="pct"/>
            <w:tcBorders>
              <w:top w:val="single" w:sz="4" w:space="0" w:color="auto"/>
            </w:tcBorders>
          </w:tcPr>
          <w:p w14:paraId="24811425" w14:textId="77777777" w:rsidR="001454DF" w:rsidRPr="00183E4D" w:rsidRDefault="001454DF" w:rsidP="004C79C1">
            <w:pPr>
              <w:pStyle w:val="Tabletext1"/>
              <w:spacing w:before="0" w:after="120"/>
            </w:pPr>
            <w:r>
              <w:t>Not serious</w:t>
            </w:r>
          </w:p>
        </w:tc>
        <w:tc>
          <w:tcPr>
            <w:tcW w:w="436" w:type="pct"/>
            <w:tcBorders>
              <w:top w:val="single" w:sz="4" w:space="0" w:color="auto"/>
            </w:tcBorders>
          </w:tcPr>
          <w:p w14:paraId="06EE920E" w14:textId="77777777" w:rsidR="001454DF" w:rsidRPr="00183E4D" w:rsidRDefault="001454DF" w:rsidP="004C79C1">
            <w:pPr>
              <w:pStyle w:val="Tabletext1"/>
              <w:spacing w:before="0" w:after="120"/>
            </w:pPr>
            <w:r>
              <w:t>Not serious</w:t>
            </w:r>
          </w:p>
        </w:tc>
        <w:tc>
          <w:tcPr>
            <w:tcW w:w="495" w:type="pct"/>
            <w:tcBorders>
              <w:top w:val="single" w:sz="4" w:space="0" w:color="auto"/>
            </w:tcBorders>
          </w:tcPr>
          <w:p w14:paraId="0965E8EC" w14:textId="77777777" w:rsidR="001454DF" w:rsidRPr="00183E4D" w:rsidRDefault="001454DF" w:rsidP="004C79C1">
            <w:pPr>
              <w:pStyle w:val="Tabletext1"/>
              <w:spacing w:before="0" w:after="120"/>
            </w:pPr>
            <w:r>
              <w:t>None</w:t>
            </w:r>
          </w:p>
        </w:tc>
        <w:tc>
          <w:tcPr>
            <w:tcW w:w="656" w:type="pct"/>
            <w:tcBorders>
              <w:top w:val="single" w:sz="4" w:space="0" w:color="auto"/>
            </w:tcBorders>
          </w:tcPr>
          <w:p w14:paraId="25A5644D" w14:textId="08F9B1C6" w:rsidR="001454DF" w:rsidRDefault="001454DF" w:rsidP="004C79C1">
            <w:pPr>
              <w:pStyle w:val="Tabletext1"/>
              <w:tabs>
                <w:tab w:val="left" w:pos="1168"/>
                <w:tab w:val="left" w:pos="2426"/>
              </w:tabs>
              <w:spacing w:before="0" w:after="120"/>
            </w:pPr>
            <w:r>
              <w:t>330 (282</w:t>
            </w:r>
            <w:r w:rsidR="00C82C99">
              <w:t>–</w:t>
            </w:r>
            <w:r>
              <w:t>365)</w:t>
            </w:r>
          </w:p>
          <w:p w14:paraId="5505AB26" w14:textId="77777777" w:rsidR="001454DF" w:rsidRDefault="001454DF" w:rsidP="004C79C1">
            <w:pPr>
              <w:pStyle w:val="Tabletext1"/>
              <w:tabs>
                <w:tab w:val="left" w:pos="1168"/>
                <w:tab w:val="left" w:pos="2426"/>
              </w:tabs>
              <w:spacing w:before="0" w:after="120"/>
            </w:pPr>
          </w:p>
          <w:p w14:paraId="5583AE17" w14:textId="77777777" w:rsidR="001454DF" w:rsidRDefault="001454DF" w:rsidP="004C79C1">
            <w:pPr>
              <w:pStyle w:val="Tabletext1"/>
              <w:tabs>
                <w:tab w:val="left" w:pos="1168"/>
                <w:tab w:val="left" w:pos="2426"/>
              </w:tabs>
              <w:spacing w:before="0" w:after="120"/>
            </w:pPr>
          </w:p>
          <w:p w14:paraId="37BA87AA" w14:textId="799AA36E" w:rsidR="001454DF" w:rsidRPr="00183E4D" w:rsidRDefault="001454DF" w:rsidP="004C79C1">
            <w:pPr>
              <w:pStyle w:val="Tabletext1"/>
              <w:tabs>
                <w:tab w:val="left" w:pos="1168"/>
                <w:tab w:val="left" w:pos="2426"/>
              </w:tabs>
              <w:spacing w:before="0" w:after="120"/>
            </w:pPr>
            <w:r>
              <w:t>67 (32</w:t>
            </w:r>
            <w:r w:rsidR="00C82C99">
              <w:t>–</w:t>
            </w:r>
            <w:r>
              <w:t>115)</w:t>
            </w:r>
          </w:p>
        </w:tc>
        <w:tc>
          <w:tcPr>
            <w:tcW w:w="405" w:type="pct"/>
            <w:tcBorders>
              <w:top w:val="single" w:sz="4" w:space="0" w:color="auto"/>
            </w:tcBorders>
          </w:tcPr>
          <w:p w14:paraId="09F36066" w14:textId="77777777" w:rsidR="001454DF" w:rsidRDefault="001454DF" w:rsidP="004C79C1">
            <w:pPr>
              <w:pStyle w:val="Tabletext1"/>
              <w:spacing w:before="0" w:after="120"/>
              <w:rPr>
                <w:rFonts w:cs="Cambria Math"/>
              </w:rPr>
            </w:pPr>
            <w:r>
              <w:rPr>
                <w:rFonts w:cs="Cambria Math"/>
              </w:rPr>
              <w:t>High</w:t>
            </w:r>
          </w:p>
          <w:p w14:paraId="58C5E226" w14:textId="77777777" w:rsidR="001454DF" w:rsidRPr="00FA7EC9" w:rsidRDefault="001454DF" w:rsidP="004C79C1">
            <w:pPr>
              <w:pStyle w:val="Tabletext1"/>
              <w:spacing w:before="0" w:after="120"/>
              <w:rPr>
                <w:rFonts w:ascii="Cambria Math" w:hAnsi="Cambria Math" w:cs="Cambria Math"/>
              </w:rPr>
            </w:pPr>
            <w:r w:rsidRPr="00D4733A">
              <w:rPr>
                <w:rFonts w:ascii="Cambria Math" w:hAnsi="Cambria Math"/>
                <w:color w:val="00B050"/>
              </w:rPr>
              <w:t>⨁⨁⨁⨁</w:t>
            </w:r>
          </w:p>
        </w:tc>
      </w:tr>
      <w:tr w:rsidR="001454DF" w:rsidRPr="00183E4D" w14:paraId="27BC6164" w14:textId="77777777" w:rsidTr="00BE5D7C">
        <w:trPr>
          <w:cantSplit/>
          <w:trHeight w:val="319"/>
        </w:trPr>
        <w:tc>
          <w:tcPr>
            <w:tcW w:w="365" w:type="pct"/>
            <w:tcBorders>
              <w:bottom w:val="single" w:sz="4" w:space="0" w:color="auto"/>
            </w:tcBorders>
          </w:tcPr>
          <w:p w14:paraId="1D182175" w14:textId="77777777" w:rsidR="001454DF" w:rsidRPr="00440CF2" w:rsidRDefault="001454DF" w:rsidP="004C79C1">
            <w:pPr>
              <w:pStyle w:val="Tabletext1"/>
              <w:tabs>
                <w:tab w:val="left" w:pos="34"/>
              </w:tabs>
              <w:spacing w:before="0" w:after="120"/>
            </w:pPr>
            <w:r w:rsidRPr="00440CF2">
              <w:t>True negatives</w:t>
            </w:r>
          </w:p>
          <w:p w14:paraId="41C84977" w14:textId="77777777" w:rsidR="001454DF" w:rsidRPr="00440CF2" w:rsidRDefault="001454DF" w:rsidP="004C79C1">
            <w:pPr>
              <w:pStyle w:val="Tabletext1"/>
              <w:tabs>
                <w:tab w:val="left" w:pos="34"/>
              </w:tabs>
              <w:spacing w:before="0" w:after="120"/>
            </w:pPr>
          </w:p>
          <w:p w14:paraId="3BB72A68" w14:textId="77777777" w:rsidR="001454DF" w:rsidRPr="00440CF2" w:rsidRDefault="001454DF" w:rsidP="004C79C1">
            <w:pPr>
              <w:pStyle w:val="Tabletext1"/>
              <w:tabs>
                <w:tab w:val="left" w:pos="34"/>
              </w:tabs>
              <w:spacing w:before="0" w:after="120"/>
            </w:pPr>
            <w:r w:rsidRPr="00440CF2">
              <w:t>False positives</w:t>
            </w:r>
          </w:p>
        </w:tc>
        <w:tc>
          <w:tcPr>
            <w:tcW w:w="1275" w:type="pct"/>
            <w:tcBorders>
              <w:bottom w:val="single" w:sz="4" w:space="0" w:color="auto"/>
            </w:tcBorders>
          </w:tcPr>
          <w:p w14:paraId="7CE298E4" w14:textId="29DBAF4E" w:rsidR="001454DF" w:rsidRPr="00183E4D" w:rsidRDefault="001454DF" w:rsidP="004C79C1">
            <w:pPr>
              <w:pStyle w:val="Tabletext1"/>
              <w:spacing w:before="0" w:after="120"/>
            </w:pPr>
            <w:r>
              <w:t>N=82 patients</w:t>
            </w:r>
            <w:r>
              <w:br/>
            </w:r>
            <w:r w:rsidR="007B2522">
              <w:t>K</w:t>
            </w:r>
            <w:r>
              <w:t>=1 study</w:t>
            </w:r>
            <w:r>
              <w:br/>
              <w:t>Cross-sectional</w:t>
            </w:r>
            <w:r>
              <w:br/>
              <w:t>(cohort</w:t>
            </w:r>
            <w:r w:rsidR="00C82C99">
              <w:t>-</w:t>
            </w:r>
            <w:r>
              <w:t>type accuracy study)</w:t>
            </w:r>
          </w:p>
        </w:tc>
        <w:tc>
          <w:tcPr>
            <w:tcW w:w="438" w:type="pct"/>
            <w:tcBorders>
              <w:bottom w:val="single" w:sz="4" w:space="0" w:color="auto"/>
            </w:tcBorders>
          </w:tcPr>
          <w:p w14:paraId="3AD0E5CC" w14:textId="16D24A72" w:rsidR="001454DF" w:rsidRPr="009364DE" w:rsidRDefault="001454DF" w:rsidP="004C79C1">
            <w:pPr>
              <w:pStyle w:val="Tabletext1"/>
              <w:spacing w:before="0" w:after="120"/>
            </w:pPr>
            <w:r>
              <w:t>Not serious</w:t>
            </w:r>
            <w:r w:rsidR="00A568EA" w:rsidDel="00A568EA">
              <w:t xml:space="preserve"> </w:t>
            </w:r>
            <w:r>
              <w:t>(QUADAS-2 low risk of bias)</w:t>
            </w:r>
          </w:p>
        </w:tc>
        <w:tc>
          <w:tcPr>
            <w:tcW w:w="438" w:type="pct"/>
            <w:tcBorders>
              <w:bottom w:val="single" w:sz="4" w:space="0" w:color="auto"/>
            </w:tcBorders>
          </w:tcPr>
          <w:p w14:paraId="7B0C88CA" w14:textId="77777777" w:rsidR="001454DF" w:rsidRPr="009364DE" w:rsidRDefault="001454DF" w:rsidP="004C79C1">
            <w:pPr>
              <w:pStyle w:val="Tabletext1"/>
              <w:spacing w:before="0" w:after="120"/>
            </w:pPr>
            <w:r>
              <w:t>Not serious</w:t>
            </w:r>
          </w:p>
        </w:tc>
        <w:tc>
          <w:tcPr>
            <w:tcW w:w="492" w:type="pct"/>
            <w:tcBorders>
              <w:bottom w:val="single" w:sz="4" w:space="0" w:color="auto"/>
            </w:tcBorders>
          </w:tcPr>
          <w:p w14:paraId="2AE8AABD" w14:textId="77777777" w:rsidR="001454DF" w:rsidRPr="00183E4D" w:rsidRDefault="001454DF" w:rsidP="004C79C1">
            <w:pPr>
              <w:pStyle w:val="Tabletext1"/>
              <w:spacing w:before="0" w:after="120"/>
            </w:pPr>
            <w:r>
              <w:t>Not serious</w:t>
            </w:r>
          </w:p>
        </w:tc>
        <w:tc>
          <w:tcPr>
            <w:tcW w:w="436" w:type="pct"/>
            <w:tcBorders>
              <w:bottom w:val="single" w:sz="4" w:space="0" w:color="auto"/>
            </w:tcBorders>
          </w:tcPr>
          <w:p w14:paraId="3AEAEA27" w14:textId="77777777" w:rsidR="001454DF" w:rsidRPr="00183E4D" w:rsidRDefault="001454DF" w:rsidP="004C79C1">
            <w:pPr>
              <w:pStyle w:val="Tabletext1"/>
              <w:spacing w:before="0" w:after="120"/>
            </w:pPr>
            <w:r>
              <w:t>Not serious</w:t>
            </w:r>
          </w:p>
        </w:tc>
        <w:tc>
          <w:tcPr>
            <w:tcW w:w="495" w:type="pct"/>
            <w:tcBorders>
              <w:bottom w:val="single" w:sz="4" w:space="0" w:color="auto"/>
            </w:tcBorders>
          </w:tcPr>
          <w:p w14:paraId="6125BDAC" w14:textId="77777777" w:rsidR="001454DF" w:rsidRPr="00183E4D" w:rsidRDefault="001454DF" w:rsidP="004C79C1">
            <w:pPr>
              <w:pStyle w:val="Tabletext1"/>
              <w:spacing w:before="0" w:after="120"/>
            </w:pPr>
            <w:r>
              <w:t>None</w:t>
            </w:r>
          </w:p>
        </w:tc>
        <w:tc>
          <w:tcPr>
            <w:tcW w:w="656" w:type="pct"/>
            <w:tcBorders>
              <w:bottom w:val="single" w:sz="4" w:space="0" w:color="auto"/>
            </w:tcBorders>
          </w:tcPr>
          <w:p w14:paraId="7FEA51B6" w14:textId="368C839A" w:rsidR="001454DF" w:rsidRDefault="001454DF" w:rsidP="004C79C1">
            <w:pPr>
              <w:pStyle w:val="Tabletext1"/>
              <w:tabs>
                <w:tab w:val="left" w:pos="1168"/>
                <w:tab w:val="left" w:pos="2426"/>
              </w:tabs>
              <w:spacing w:before="0" w:after="120"/>
            </w:pPr>
            <w:r>
              <w:t>561 (513</w:t>
            </w:r>
            <w:r w:rsidR="00C82C99">
              <w:t>–</w:t>
            </w:r>
            <w:r>
              <w:t>585)</w:t>
            </w:r>
          </w:p>
          <w:p w14:paraId="5B4DB857" w14:textId="77777777" w:rsidR="001454DF" w:rsidRDefault="001454DF" w:rsidP="004C79C1">
            <w:pPr>
              <w:pStyle w:val="Tabletext1"/>
              <w:tabs>
                <w:tab w:val="left" w:pos="1168"/>
                <w:tab w:val="left" w:pos="2426"/>
              </w:tabs>
              <w:spacing w:before="0" w:after="120"/>
            </w:pPr>
          </w:p>
          <w:p w14:paraId="4FA5B9F2" w14:textId="77777777" w:rsidR="001454DF" w:rsidRDefault="001454DF" w:rsidP="004C79C1">
            <w:pPr>
              <w:pStyle w:val="Tabletext1"/>
              <w:tabs>
                <w:tab w:val="left" w:pos="1168"/>
                <w:tab w:val="left" w:pos="2426"/>
              </w:tabs>
              <w:spacing w:before="0" w:after="120"/>
            </w:pPr>
          </w:p>
          <w:p w14:paraId="23DB58AD" w14:textId="47A16996" w:rsidR="001454DF" w:rsidRPr="00183E4D" w:rsidRDefault="001454DF" w:rsidP="004C79C1">
            <w:pPr>
              <w:pStyle w:val="Tabletext1"/>
              <w:tabs>
                <w:tab w:val="left" w:pos="1168"/>
                <w:tab w:val="left" w:pos="2426"/>
              </w:tabs>
              <w:spacing w:before="0" w:after="120"/>
            </w:pPr>
            <w:r>
              <w:t>42 (18</w:t>
            </w:r>
            <w:r w:rsidR="00C82C99">
              <w:t>–</w:t>
            </w:r>
            <w:r>
              <w:t>90)</w:t>
            </w:r>
          </w:p>
        </w:tc>
        <w:tc>
          <w:tcPr>
            <w:tcW w:w="405" w:type="pct"/>
            <w:tcBorders>
              <w:bottom w:val="single" w:sz="4" w:space="0" w:color="auto"/>
            </w:tcBorders>
          </w:tcPr>
          <w:p w14:paraId="30E59D92" w14:textId="77777777" w:rsidR="001454DF" w:rsidRDefault="001454DF" w:rsidP="004C79C1">
            <w:pPr>
              <w:pStyle w:val="Tabletext1"/>
              <w:spacing w:before="0" w:after="120"/>
              <w:rPr>
                <w:rFonts w:cs="Cambria Math"/>
              </w:rPr>
            </w:pPr>
            <w:r>
              <w:rPr>
                <w:rFonts w:cs="Cambria Math"/>
              </w:rPr>
              <w:t>High</w:t>
            </w:r>
          </w:p>
          <w:p w14:paraId="73DAB0C5" w14:textId="77777777" w:rsidR="001454DF" w:rsidRPr="00FA7EC9" w:rsidRDefault="001454DF" w:rsidP="004C79C1">
            <w:pPr>
              <w:pStyle w:val="Tabletext1"/>
              <w:spacing w:before="0" w:after="120"/>
              <w:rPr>
                <w:rFonts w:ascii="Cambria Math" w:hAnsi="Cambria Math" w:cs="Cambria Math"/>
              </w:rPr>
            </w:pPr>
            <w:r w:rsidRPr="00D4733A">
              <w:rPr>
                <w:rFonts w:ascii="Cambria Math" w:hAnsi="Cambria Math"/>
                <w:color w:val="00B050"/>
              </w:rPr>
              <w:t>⨁⨁⨁⨁</w:t>
            </w:r>
          </w:p>
        </w:tc>
      </w:tr>
      <w:tr w:rsidR="001454DF" w:rsidRPr="00B22F8A" w14:paraId="2C3A73D8" w14:textId="77777777" w:rsidTr="00BE5D7C">
        <w:trPr>
          <w:trHeight w:val="319"/>
        </w:trPr>
        <w:tc>
          <w:tcPr>
            <w:tcW w:w="365" w:type="pct"/>
            <w:tcBorders>
              <w:top w:val="single" w:sz="4" w:space="0" w:color="auto"/>
              <w:left w:val="single" w:sz="4" w:space="0" w:color="auto"/>
              <w:bottom w:val="single" w:sz="4" w:space="0" w:color="auto"/>
              <w:right w:val="nil"/>
            </w:tcBorders>
          </w:tcPr>
          <w:p w14:paraId="00F0FB7E" w14:textId="77777777" w:rsidR="001454DF" w:rsidRPr="00440CF2" w:rsidRDefault="001454DF" w:rsidP="004C79C1">
            <w:pPr>
              <w:pStyle w:val="Tabletext1"/>
              <w:spacing w:before="0" w:after="120"/>
              <w:jc w:val="center"/>
              <w:rPr>
                <w:b/>
                <w:color w:val="FFFFFF" w:themeColor="background1"/>
              </w:rPr>
            </w:pPr>
            <w:r w:rsidRPr="00440CF2">
              <w:rPr>
                <w:b/>
                <w:color w:val="FFFFFF" w:themeColor="background1"/>
              </w:rPr>
              <w:t>-</w:t>
            </w:r>
          </w:p>
        </w:tc>
        <w:tc>
          <w:tcPr>
            <w:tcW w:w="1275" w:type="pct"/>
            <w:tcBorders>
              <w:top w:val="single" w:sz="4" w:space="0" w:color="auto"/>
              <w:left w:val="nil"/>
              <w:bottom w:val="single" w:sz="4" w:space="0" w:color="auto"/>
              <w:right w:val="nil"/>
            </w:tcBorders>
          </w:tcPr>
          <w:p w14:paraId="136DA331" w14:textId="54548435" w:rsidR="001454DF" w:rsidRPr="00B22F8A" w:rsidRDefault="001454DF" w:rsidP="004C79C1">
            <w:pPr>
              <w:pStyle w:val="Tabletext1"/>
              <w:spacing w:before="0" w:after="120"/>
              <w:rPr>
                <w:b/>
              </w:rPr>
            </w:pPr>
            <w:r>
              <w:rPr>
                <w:b/>
              </w:rPr>
              <w:t>LGE-CMR to diagnose non-isch</w:t>
            </w:r>
            <w:r w:rsidR="00E1585F">
              <w:rPr>
                <w:b/>
              </w:rPr>
              <w:t>a</w:t>
            </w:r>
            <w:r>
              <w:rPr>
                <w:b/>
              </w:rPr>
              <w:t xml:space="preserve">emic </w:t>
            </w:r>
            <w:r>
              <w:rPr>
                <w:b/>
              </w:rPr>
              <w:lastRenderedPageBreak/>
              <w:t>DCM (ref</w:t>
            </w:r>
            <w:r w:rsidR="00AD5BD6">
              <w:rPr>
                <w:b/>
              </w:rPr>
              <w:t>.</w:t>
            </w:r>
            <w:r>
              <w:rPr>
                <w:b/>
              </w:rPr>
              <w:t xml:space="preserve"> std</w:t>
            </w:r>
            <w:r w:rsidR="00AD5BD6">
              <w:rPr>
                <w:b/>
              </w:rPr>
              <w:t>.</w:t>
            </w:r>
            <w:r>
              <w:rPr>
                <w:b/>
              </w:rPr>
              <w:t xml:space="preserve"> </w:t>
            </w:r>
            <w:r w:rsidR="00A01BC0">
              <w:rPr>
                <w:b/>
              </w:rPr>
              <w:t xml:space="preserve">= </w:t>
            </w:r>
            <w:r>
              <w:rPr>
                <w:b/>
              </w:rPr>
              <w:t>ICA)</w:t>
            </w:r>
          </w:p>
        </w:tc>
        <w:tc>
          <w:tcPr>
            <w:tcW w:w="438" w:type="pct"/>
            <w:tcBorders>
              <w:top w:val="single" w:sz="4" w:space="0" w:color="auto"/>
              <w:left w:val="nil"/>
              <w:bottom w:val="single" w:sz="4" w:space="0" w:color="auto"/>
              <w:right w:val="nil"/>
            </w:tcBorders>
          </w:tcPr>
          <w:p w14:paraId="701A3ED4"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lastRenderedPageBreak/>
              <w:t>-</w:t>
            </w:r>
          </w:p>
        </w:tc>
        <w:tc>
          <w:tcPr>
            <w:tcW w:w="438" w:type="pct"/>
            <w:tcBorders>
              <w:top w:val="single" w:sz="4" w:space="0" w:color="auto"/>
              <w:left w:val="nil"/>
              <w:bottom w:val="single" w:sz="4" w:space="0" w:color="auto"/>
              <w:right w:val="nil"/>
            </w:tcBorders>
          </w:tcPr>
          <w:p w14:paraId="39E9356A"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2" w:type="pct"/>
            <w:tcBorders>
              <w:top w:val="single" w:sz="4" w:space="0" w:color="auto"/>
              <w:left w:val="nil"/>
              <w:bottom w:val="single" w:sz="4" w:space="0" w:color="auto"/>
              <w:right w:val="nil"/>
            </w:tcBorders>
          </w:tcPr>
          <w:p w14:paraId="42B2FAA6"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6" w:type="pct"/>
            <w:tcBorders>
              <w:top w:val="single" w:sz="4" w:space="0" w:color="auto"/>
              <w:left w:val="nil"/>
              <w:bottom w:val="single" w:sz="4" w:space="0" w:color="auto"/>
              <w:right w:val="nil"/>
            </w:tcBorders>
          </w:tcPr>
          <w:p w14:paraId="674695A8"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5" w:type="pct"/>
            <w:tcBorders>
              <w:top w:val="single" w:sz="4" w:space="0" w:color="auto"/>
              <w:left w:val="nil"/>
              <w:bottom w:val="single" w:sz="4" w:space="0" w:color="auto"/>
              <w:right w:val="nil"/>
            </w:tcBorders>
          </w:tcPr>
          <w:p w14:paraId="19E848B1"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656" w:type="pct"/>
            <w:tcBorders>
              <w:top w:val="single" w:sz="4" w:space="0" w:color="auto"/>
              <w:left w:val="nil"/>
              <w:bottom w:val="single" w:sz="4" w:space="0" w:color="auto"/>
              <w:right w:val="nil"/>
            </w:tcBorders>
            <w:vAlign w:val="center"/>
          </w:tcPr>
          <w:p w14:paraId="7F396F09" w14:textId="77777777" w:rsidR="001454DF" w:rsidRPr="00785D0D" w:rsidRDefault="001454DF" w:rsidP="004C79C1">
            <w:pPr>
              <w:pStyle w:val="Tabletext1"/>
              <w:tabs>
                <w:tab w:val="left" w:pos="1168"/>
                <w:tab w:val="left" w:pos="2426"/>
              </w:tabs>
              <w:spacing w:before="0" w:after="120"/>
              <w:jc w:val="center"/>
              <w:rPr>
                <w:b/>
              </w:rPr>
            </w:pPr>
            <w:r>
              <w:rPr>
                <w:b/>
              </w:rPr>
              <w:t>63.1%</w:t>
            </w:r>
          </w:p>
        </w:tc>
        <w:tc>
          <w:tcPr>
            <w:tcW w:w="405" w:type="pct"/>
            <w:tcBorders>
              <w:top w:val="single" w:sz="4" w:space="0" w:color="auto"/>
              <w:left w:val="nil"/>
              <w:bottom w:val="single" w:sz="4" w:space="0" w:color="auto"/>
              <w:right w:val="single" w:sz="4" w:space="0" w:color="auto"/>
            </w:tcBorders>
          </w:tcPr>
          <w:p w14:paraId="5965AA13" w14:textId="77777777" w:rsidR="001454DF" w:rsidRPr="00B22F8A" w:rsidRDefault="001454DF" w:rsidP="004C79C1">
            <w:pPr>
              <w:pStyle w:val="Tabletext1"/>
              <w:spacing w:before="0" w:after="120"/>
              <w:jc w:val="center"/>
              <w:rPr>
                <w:rFonts w:cs="Cambria Math"/>
                <w:b/>
                <w:color w:val="FFFFFF" w:themeColor="background1"/>
              </w:rPr>
            </w:pPr>
            <w:r w:rsidRPr="00B22F8A">
              <w:rPr>
                <w:rFonts w:cs="Cambria Math"/>
                <w:b/>
                <w:color w:val="FFFFFF" w:themeColor="background1"/>
              </w:rPr>
              <w:t>-</w:t>
            </w:r>
          </w:p>
        </w:tc>
      </w:tr>
      <w:tr w:rsidR="001454DF" w:rsidRPr="00183E4D" w14:paraId="36B73D2A" w14:textId="77777777" w:rsidTr="00BE5D7C">
        <w:trPr>
          <w:trHeight w:val="319"/>
        </w:trPr>
        <w:tc>
          <w:tcPr>
            <w:tcW w:w="365" w:type="pct"/>
            <w:tcBorders>
              <w:top w:val="single" w:sz="4" w:space="0" w:color="auto"/>
            </w:tcBorders>
          </w:tcPr>
          <w:p w14:paraId="597AF03F" w14:textId="77777777" w:rsidR="001454DF" w:rsidRPr="00440CF2" w:rsidRDefault="001454DF" w:rsidP="004C79C1">
            <w:pPr>
              <w:pStyle w:val="Tabletext1"/>
              <w:spacing w:before="0" w:after="120"/>
            </w:pPr>
            <w:r w:rsidRPr="00440CF2">
              <w:lastRenderedPageBreak/>
              <w:t>True positives</w:t>
            </w:r>
          </w:p>
          <w:p w14:paraId="5C5F855D" w14:textId="77777777" w:rsidR="001454DF" w:rsidRPr="00440CF2" w:rsidRDefault="001454DF" w:rsidP="004C79C1">
            <w:pPr>
              <w:pStyle w:val="Tabletext1"/>
              <w:spacing w:before="0" w:after="120"/>
            </w:pPr>
          </w:p>
          <w:p w14:paraId="578C30E0" w14:textId="77777777" w:rsidR="001454DF" w:rsidRPr="00440CF2" w:rsidRDefault="001454DF" w:rsidP="004C79C1">
            <w:pPr>
              <w:pStyle w:val="Tabletext1"/>
              <w:spacing w:before="0" w:after="120"/>
            </w:pPr>
            <w:r w:rsidRPr="00440CF2">
              <w:t xml:space="preserve">False </w:t>
            </w:r>
            <w:r>
              <w:t>negatives</w:t>
            </w:r>
          </w:p>
        </w:tc>
        <w:tc>
          <w:tcPr>
            <w:tcW w:w="1275" w:type="pct"/>
            <w:tcBorders>
              <w:top w:val="single" w:sz="4" w:space="0" w:color="auto"/>
            </w:tcBorders>
          </w:tcPr>
          <w:p w14:paraId="383BF763" w14:textId="1E5F1B1A" w:rsidR="001454DF" w:rsidRPr="00183E4D" w:rsidRDefault="001454DF" w:rsidP="004C79C1">
            <w:pPr>
              <w:pStyle w:val="Tabletext1"/>
              <w:spacing w:before="0" w:after="120"/>
            </w:pPr>
            <w:r>
              <w:t>N=238 patients</w:t>
            </w:r>
            <w:r>
              <w:br/>
            </w:r>
            <w:r w:rsidR="007B2522">
              <w:t>K</w:t>
            </w:r>
            <w:r>
              <w:t>=6 studies</w:t>
            </w:r>
            <w:r>
              <w:br/>
              <w:t>cohort</w:t>
            </w:r>
            <w:r w:rsidR="00D653BB">
              <w:t>-</w:t>
            </w:r>
            <w:r>
              <w:t xml:space="preserve"> &amp; case-control</w:t>
            </w:r>
            <w:r w:rsidR="00D653BB">
              <w:t>-</w:t>
            </w:r>
            <w:r>
              <w:t>type studies</w:t>
            </w:r>
          </w:p>
        </w:tc>
        <w:tc>
          <w:tcPr>
            <w:tcW w:w="438" w:type="pct"/>
            <w:tcBorders>
              <w:top w:val="single" w:sz="4" w:space="0" w:color="auto"/>
            </w:tcBorders>
          </w:tcPr>
          <w:p w14:paraId="461FCCF2" w14:textId="419F764F" w:rsidR="001454DF" w:rsidRPr="009364DE" w:rsidRDefault="001454DF" w:rsidP="004C79C1">
            <w:pPr>
              <w:pStyle w:val="Tabletext1"/>
              <w:spacing w:before="0" w:after="120"/>
            </w:pPr>
            <w:r>
              <w:t>Not serious</w:t>
            </w:r>
            <w:r w:rsidR="00A568EA" w:rsidDel="00A568EA">
              <w:t xml:space="preserve"> </w:t>
            </w:r>
            <w:r>
              <w:t>(QUADAS-2 low risk of bias)</w:t>
            </w:r>
          </w:p>
        </w:tc>
        <w:tc>
          <w:tcPr>
            <w:tcW w:w="438" w:type="pct"/>
            <w:tcBorders>
              <w:top w:val="single" w:sz="4" w:space="0" w:color="auto"/>
            </w:tcBorders>
          </w:tcPr>
          <w:p w14:paraId="4D0647FD" w14:textId="1D8A8194"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a</w:t>
            </w:r>
          </w:p>
        </w:tc>
        <w:tc>
          <w:tcPr>
            <w:tcW w:w="492" w:type="pct"/>
            <w:tcBorders>
              <w:top w:val="single" w:sz="4" w:space="0" w:color="auto"/>
            </w:tcBorders>
          </w:tcPr>
          <w:p w14:paraId="05049A38" w14:textId="77777777" w:rsidR="001454DF" w:rsidRPr="00183E4D" w:rsidRDefault="001454DF" w:rsidP="004C79C1">
            <w:pPr>
              <w:pStyle w:val="Tabletext1"/>
              <w:spacing w:before="0" w:after="120"/>
            </w:pPr>
            <w:r>
              <w:t>Not serious</w:t>
            </w:r>
          </w:p>
        </w:tc>
        <w:tc>
          <w:tcPr>
            <w:tcW w:w="436" w:type="pct"/>
            <w:tcBorders>
              <w:top w:val="single" w:sz="4" w:space="0" w:color="auto"/>
            </w:tcBorders>
          </w:tcPr>
          <w:p w14:paraId="1C9CF9A3" w14:textId="6599CC2D"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b</w:t>
            </w:r>
          </w:p>
        </w:tc>
        <w:tc>
          <w:tcPr>
            <w:tcW w:w="495" w:type="pct"/>
            <w:tcBorders>
              <w:top w:val="single" w:sz="4" w:space="0" w:color="auto"/>
            </w:tcBorders>
          </w:tcPr>
          <w:p w14:paraId="4D21AAE5" w14:textId="77777777" w:rsidR="001454DF" w:rsidRPr="00183E4D" w:rsidRDefault="001454DF" w:rsidP="004C79C1">
            <w:pPr>
              <w:pStyle w:val="Tabletext1"/>
              <w:spacing w:before="0" w:after="120"/>
            </w:pPr>
            <w:r>
              <w:t>None</w:t>
            </w:r>
          </w:p>
        </w:tc>
        <w:tc>
          <w:tcPr>
            <w:tcW w:w="656" w:type="pct"/>
            <w:tcBorders>
              <w:top w:val="single" w:sz="4" w:space="0" w:color="auto"/>
            </w:tcBorders>
          </w:tcPr>
          <w:p w14:paraId="1FA5F460" w14:textId="583ACA24" w:rsidR="001454DF" w:rsidRDefault="001454DF" w:rsidP="004C79C1">
            <w:pPr>
              <w:pStyle w:val="Tabletext1"/>
              <w:tabs>
                <w:tab w:val="left" w:pos="1168"/>
                <w:tab w:val="left" w:pos="2426"/>
              </w:tabs>
              <w:spacing w:before="0" w:after="120"/>
            </w:pPr>
            <w:r>
              <w:t>429</w:t>
            </w:r>
            <w:r w:rsidR="00D653BB">
              <w:t>–</w:t>
            </w:r>
            <w:r>
              <w:t>631</w:t>
            </w:r>
          </w:p>
          <w:p w14:paraId="3C9CD0E8" w14:textId="77777777" w:rsidR="001454DF" w:rsidRDefault="001454DF" w:rsidP="004C79C1">
            <w:pPr>
              <w:pStyle w:val="Tabletext1"/>
              <w:tabs>
                <w:tab w:val="left" w:pos="1168"/>
                <w:tab w:val="left" w:pos="2426"/>
              </w:tabs>
              <w:spacing w:before="0" w:after="120"/>
            </w:pPr>
          </w:p>
          <w:p w14:paraId="67071970" w14:textId="77777777" w:rsidR="001454DF" w:rsidRDefault="001454DF" w:rsidP="004C79C1">
            <w:pPr>
              <w:pStyle w:val="Tabletext1"/>
              <w:tabs>
                <w:tab w:val="left" w:pos="1168"/>
                <w:tab w:val="left" w:pos="2426"/>
              </w:tabs>
              <w:spacing w:before="0" w:after="120"/>
            </w:pPr>
          </w:p>
          <w:p w14:paraId="1667D0A1" w14:textId="6269A137" w:rsidR="001454DF" w:rsidRPr="00183E4D" w:rsidRDefault="001454DF" w:rsidP="004C79C1">
            <w:pPr>
              <w:pStyle w:val="Tabletext1"/>
              <w:tabs>
                <w:tab w:val="left" w:pos="1168"/>
                <w:tab w:val="left" w:pos="2426"/>
              </w:tabs>
              <w:spacing w:before="0" w:after="120"/>
            </w:pPr>
            <w:r>
              <w:t>0</w:t>
            </w:r>
            <w:r w:rsidR="00D653BB">
              <w:t>–</w:t>
            </w:r>
            <w:r>
              <w:t>202</w:t>
            </w:r>
          </w:p>
        </w:tc>
        <w:tc>
          <w:tcPr>
            <w:tcW w:w="405" w:type="pct"/>
            <w:tcBorders>
              <w:top w:val="single" w:sz="4" w:space="0" w:color="auto"/>
            </w:tcBorders>
          </w:tcPr>
          <w:p w14:paraId="27BB7C64" w14:textId="77777777" w:rsidR="001454DF" w:rsidRDefault="001454DF" w:rsidP="004C79C1">
            <w:pPr>
              <w:pStyle w:val="Tabletext1"/>
              <w:spacing w:before="0" w:after="120"/>
              <w:rPr>
                <w:rFonts w:cs="Cambria Math"/>
              </w:rPr>
            </w:pPr>
            <w:r>
              <w:rPr>
                <w:rFonts w:cs="Cambria Math"/>
              </w:rPr>
              <w:t>Low</w:t>
            </w:r>
          </w:p>
          <w:p w14:paraId="5E9FE23E" w14:textId="77777777" w:rsidR="001454DF" w:rsidRPr="00FA7EC9" w:rsidRDefault="001454DF" w:rsidP="004C79C1">
            <w:pPr>
              <w:pStyle w:val="Tabletext1"/>
              <w:spacing w:before="0" w:after="120"/>
              <w:rPr>
                <w:rFonts w:ascii="Cambria Math" w:hAnsi="Cambria Math" w:cs="Cambria Math"/>
              </w:rPr>
            </w:pPr>
            <w:r>
              <w:rPr>
                <w:rFonts w:ascii="Cambria Math" w:hAnsi="Cambria Math"/>
                <w:color w:val="00B050"/>
              </w:rPr>
              <w:t>⨁⨁</w:t>
            </w:r>
            <w:r w:rsidRPr="00D4733A">
              <w:rPr>
                <w:rFonts w:ascii="Cambria Math" w:hAnsi="Cambria Math" w:cs="Cambria Math"/>
                <w:color w:val="C00000"/>
              </w:rPr>
              <w:t>⨀⨀</w:t>
            </w:r>
          </w:p>
        </w:tc>
      </w:tr>
      <w:tr w:rsidR="001454DF" w:rsidRPr="00183E4D" w14:paraId="79732776" w14:textId="77777777" w:rsidTr="00BE5D7C">
        <w:trPr>
          <w:trHeight w:val="319"/>
        </w:trPr>
        <w:tc>
          <w:tcPr>
            <w:tcW w:w="365" w:type="pct"/>
            <w:tcBorders>
              <w:bottom w:val="single" w:sz="4" w:space="0" w:color="auto"/>
            </w:tcBorders>
          </w:tcPr>
          <w:p w14:paraId="2EB24987" w14:textId="77777777" w:rsidR="001454DF" w:rsidRPr="00440CF2" w:rsidRDefault="001454DF" w:rsidP="004C79C1">
            <w:pPr>
              <w:pStyle w:val="Tabletext1"/>
              <w:tabs>
                <w:tab w:val="left" w:pos="34"/>
              </w:tabs>
              <w:spacing w:before="0" w:after="120"/>
            </w:pPr>
            <w:r w:rsidRPr="00440CF2">
              <w:t>True negatives</w:t>
            </w:r>
          </w:p>
          <w:p w14:paraId="08BB8EA5" w14:textId="77777777" w:rsidR="001454DF" w:rsidRPr="00440CF2" w:rsidRDefault="001454DF" w:rsidP="004C79C1">
            <w:pPr>
              <w:pStyle w:val="Tabletext1"/>
              <w:tabs>
                <w:tab w:val="left" w:pos="34"/>
              </w:tabs>
              <w:spacing w:before="0" w:after="120"/>
            </w:pPr>
          </w:p>
          <w:p w14:paraId="1E5C182D" w14:textId="77777777" w:rsidR="001454DF" w:rsidRPr="00440CF2" w:rsidRDefault="001454DF" w:rsidP="004C79C1">
            <w:pPr>
              <w:pStyle w:val="Tabletext1"/>
              <w:tabs>
                <w:tab w:val="left" w:pos="34"/>
              </w:tabs>
              <w:spacing w:before="0" w:after="120"/>
            </w:pPr>
            <w:r w:rsidRPr="00440CF2">
              <w:t>False positives</w:t>
            </w:r>
          </w:p>
        </w:tc>
        <w:tc>
          <w:tcPr>
            <w:tcW w:w="1275" w:type="pct"/>
            <w:tcBorders>
              <w:bottom w:val="single" w:sz="4" w:space="0" w:color="auto"/>
            </w:tcBorders>
          </w:tcPr>
          <w:p w14:paraId="4E182DB8" w14:textId="76000BF2" w:rsidR="001454DF" w:rsidRPr="00183E4D" w:rsidRDefault="001454DF" w:rsidP="004C79C1">
            <w:pPr>
              <w:pStyle w:val="Tabletext1"/>
              <w:spacing w:before="0" w:after="120"/>
            </w:pPr>
            <w:r>
              <w:t>N=139 patients</w:t>
            </w:r>
            <w:r>
              <w:br/>
            </w:r>
            <w:r w:rsidR="007B2522">
              <w:t>K</w:t>
            </w:r>
            <w:r>
              <w:t>=6 studies</w:t>
            </w:r>
            <w:r>
              <w:br/>
              <w:t>cohort</w:t>
            </w:r>
            <w:r w:rsidR="00D653BB">
              <w:t>-</w:t>
            </w:r>
            <w:r>
              <w:t xml:space="preserve"> &amp; case-control</w:t>
            </w:r>
            <w:r w:rsidR="00D653BB">
              <w:t>-</w:t>
            </w:r>
            <w:r>
              <w:t>type studies</w:t>
            </w:r>
          </w:p>
        </w:tc>
        <w:tc>
          <w:tcPr>
            <w:tcW w:w="438" w:type="pct"/>
            <w:tcBorders>
              <w:bottom w:val="single" w:sz="4" w:space="0" w:color="auto"/>
            </w:tcBorders>
          </w:tcPr>
          <w:p w14:paraId="109ECE9A" w14:textId="77777777" w:rsidR="001454DF" w:rsidRDefault="001454DF" w:rsidP="004C79C1">
            <w:pPr>
              <w:pStyle w:val="Tabletext1"/>
              <w:spacing w:before="0" w:after="120"/>
            </w:pPr>
            <w:r>
              <w:t>Not serious</w:t>
            </w:r>
          </w:p>
          <w:p w14:paraId="3768ACDB" w14:textId="77777777" w:rsidR="001454DF" w:rsidRPr="009364DE" w:rsidRDefault="001454DF" w:rsidP="004C79C1">
            <w:pPr>
              <w:pStyle w:val="Tabletext1"/>
              <w:spacing w:before="0" w:after="120"/>
            </w:pPr>
            <w:r>
              <w:t>(QUADAS-2 low risk of bias)</w:t>
            </w:r>
          </w:p>
        </w:tc>
        <w:tc>
          <w:tcPr>
            <w:tcW w:w="438" w:type="pct"/>
            <w:tcBorders>
              <w:bottom w:val="single" w:sz="4" w:space="0" w:color="auto"/>
            </w:tcBorders>
          </w:tcPr>
          <w:p w14:paraId="45BC2F44" w14:textId="7AD738FF"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a</w:t>
            </w:r>
          </w:p>
        </w:tc>
        <w:tc>
          <w:tcPr>
            <w:tcW w:w="492" w:type="pct"/>
            <w:tcBorders>
              <w:bottom w:val="single" w:sz="4" w:space="0" w:color="auto"/>
            </w:tcBorders>
          </w:tcPr>
          <w:p w14:paraId="5F6E1825" w14:textId="77777777" w:rsidR="001454DF" w:rsidRPr="00183E4D" w:rsidRDefault="001454DF" w:rsidP="004C79C1">
            <w:pPr>
              <w:pStyle w:val="Tabletext1"/>
              <w:spacing w:before="0" w:after="120"/>
            </w:pPr>
            <w:r>
              <w:t>Not serious</w:t>
            </w:r>
          </w:p>
        </w:tc>
        <w:tc>
          <w:tcPr>
            <w:tcW w:w="436" w:type="pct"/>
            <w:tcBorders>
              <w:bottom w:val="single" w:sz="4" w:space="0" w:color="auto"/>
            </w:tcBorders>
          </w:tcPr>
          <w:p w14:paraId="1DA1387B" w14:textId="2DB29908"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b</w:t>
            </w:r>
          </w:p>
        </w:tc>
        <w:tc>
          <w:tcPr>
            <w:tcW w:w="495" w:type="pct"/>
            <w:tcBorders>
              <w:bottom w:val="single" w:sz="4" w:space="0" w:color="auto"/>
            </w:tcBorders>
          </w:tcPr>
          <w:p w14:paraId="4D0095E2" w14:textId="77777777" w:rsidR="001454DF" w:rsidRPr="00183E4D" w:rsidRDefault="001454DF" w:rsidP="004C79C1">
            <w:pPr>
              <w:pStyle w:val="Tabletext1"/>
              <w:spacing w:before="0" w:after="120"/>
            </w:pPr>
            <w:r>
              <w:t>None</w:t>
            </w:r>
          </w:p>
        </w:tc>
        <w:tc>
          <w:tcPr>
            <w:tcW w:w="656" w:type="pct"/>
            <w:tcBorders>
              <w:bottom w:val="single" w:sz="4" w:space="0" w:color="auto"/>
            </w:tcBorders>
          </w:tcPr>
          <w:p w14:paraId="2A82D8B8" w14:textId="37A58E44" w:rsidR="001454DF" w:rsidRDefault="001454DF" w:rsidP="004C79C1">
            <w:pPr>
              <w:pStyle w:val="Tabletext1"/>
              <w:tabs>
                <w:tab w:val="left" w:pos="1168"/>
                <w:tab w:val="left" w:pos="2426"/>
              </w:tabs>
              <w:spacing w:before="0" w:after="120"/>
            </w:pPr>
            <w:r>
              <w:t>262</w:t>
            </w:r>
            <w:r w:rsidR="00D653BB">
              <w:t>–</w:t>
            </w:r>
            <w:r>
              <w:t>369</w:t>
            </w:r>
          </w:p>
          <w:p w14:paraId="78C0C79C" w14:textId="77777777" w:rsidR="001454DF" w:rsidRDefault="001454DF" w:rsidP="004C79C1">
            <w:pPr>
              <w:pStyle w:val="Tabletext1"/>
              <w:tabs>
                <w:tab w:val="left" w:pos="1168"/>
                <w:tab w:val="left" w:pos="2426"/>
              </w:tabs>
              <w:spacing w:before="0" w:after="120"/>
            </w:pPr>
          </w:p>
          <w:p w14:paraId="16B6916D" w14:textId="77777777" w:rsidR="001454DF" w:rsidRDefault="001454DF" w:rsidP="004C79C1">
            <w:pPr>
              <w:pStyle w:val="Tabletext1"/>
              <w:tabs>
                <w:tab w:val="left" w:pos="1168"/>
                <w:tab w:val="left" w:pos="2426"/>
              </w:tabs>
              <w:spacing w:before="0" w:after="120"/>
            </w:pPr>
          </w:p>
          <w:p w14:paraId="74F5CFD9" w14:textId="654F8FAE" w:rsidR="001454DF" w:rsidRPr="00183E4D" w:rsidRDefault="001454DF" w:rsidP="004C79C1">
            <w:pPr>
              <w:pStyle w:val="Tabletext1"/>
              <w:tabs>
                <w:tab w:val="left" w:pos="1168"/>
                <w:tab w:val="left" w:pos="2426"/>
              </w:tabs>
              <w:spacing w:before="0" w:after="120"/>
            </w:pPr>
            <w:r>
              <w:t>0</w:t>
            </w:r>
            <w:r w:rsidR="00D653BB">
              <w:t>–</w:t>
            </w:r>
            <w:r>
              <w:t>107</w:t>
            </w:r>
          </w:p>
        </w:tc>
        <w:tc>
          <w:tcPr>
            <w:tcW w:w="405" w:type="pct"/>
            <w:tcBorders>
              <w:bottom w:val="single" w:sz="4" w:space="0" w:color="auto"/>
            </w:tcBorders>
          </w:tcPr>
          <w:p w14:paraId="15339C17" w14:textId="77777777" w:rsidR="001454DF" w:rsidRDefault="001454DF" w:rsidP="004C79C1">
            <w:pPr>
              <w:pStyle w:val="Tabletext1"/>
              <w:spacing w:before="0" w:after="120"/>
              <w:rPr>
                <w:rFonts w:cs="Cambria Math"/>
              </w:rPr>
            </w:pPr>
            <w:r>
              <w:rPr>
                <w:rFonts w:cs="Cambria Math"/>
              </w:rPr>
              <w:t xml:space="preserve">Low </w:t>
            </w:r>
          </w:p>
          <w:p w14:paraId="77F7D354" w14:textId="77777777" w:rsidR="001454DF" w:rsidRPr="00FA7EC9" w:rsidRDefault="001454DF" w:rsidP="004C79C1">
            <w:pPr>
              <w:pStyle w:val="Tabletext1"/>
              <w:spacing w:before="0" w:after="120"/>
              <w:rPr>
                <w:rFonts w:ascii="Cambria Math" w:hAnsi="Cambria Math" w:cs="Cambria Math"/>
              </w:rPr>
            </w:pPr>
            <w:r>
              <w:rPr>
                <w:rFonts w:ascii="Cambria Math" w:hAnsi="Cambria Math"/>
                <w:color w:val="00B050"/>
              </w:rPr>
              <w:t>⨁⨁</w:t>
            </w:r>
            <w:r w:rsidRPr="00D4733A">
              <w:rPr>
                <w:rFonts w:ascii="Cambria Math" w:hAnsi="Cambria Math" w:cs="Cambria Math"/>
                <w:color w:val="C00000"/>
              </w:rPr>
              <w:t>⨀⨀</w:t>
            </w:r>
          </w:p>
        </w:tc>
      </w:tr>
      <w:tr w:rsidR="001454DF" w:rsidRPr="00B22F8A" w14:paraId="6C20280C" w14:textId="77777777" w:rsidTr="00BE5D7C">
        <w:trPr>
          <w:trHeight w:val="319"/>
        </w:trPr>
        <w:tc>
          <w:tcPr>
            <w:tcW w:w="365" w:type="pct"/>
            <w:tcBorders>
              <w:top w:val="single" w:sz="4" w:space="0" w:color="auto"/>
              <w:left w:val="single" w:sz="4" w:space="0" w:color="auto"/>
              <w:bottom w:val="single" w:sz="4" w:space="0" w:color="auto"/>
              <w:right w:val="nil"/>
            </w:tcBorders>
          </w:tcPr>
          <w:p w14:paraId="51BDD413" w14:textId="77777777" w:rsidR="001454DF" w:rsidRPr="00440CF2" w:rsidRDefault="001454DF" w:rsidP="004C79C1">
            <w:pPr>
              <w:pStyle w:val="Tabletext1"/>
              <w:spacing w:before="0" w:after="120"/>
              <w:jc w:val="center"/>
              <w:rPr>
                <w:b/>
                <w:color w:val="FFFFFF" w:themeColor="background1"/>
              </w:rPr>
            </w:pPr>
            <w:r w:rsidRPr="00440CF2">
              <w:rPr>
                <w:b/>
                <w:color w:val="FFFFFF" w:themeColor="background1"/>
              </w:rPr>
              <w:t>-</w:t>
            </w:r>
          </w:p>
        </w:tc>
        <w:tc>
          <w:tcPr>
            <w:tcW w:w="1275" w:type="pct"/>
            <w:tcBorders>
              <w:top w:val="single" w:sz="4" w:space="0" w:color="auto"/>
              <w:left w:val="nil"/>
              <w:bottom w:val="single" w:sz="4" w:space="0" w:color="auto"/>
              <w:right w:val="nil"/>
            </w:tcBorders>
          </w:tcPr>
          <w:p w14:paraId="4553D7A0" w14:textId="0A5DD167" w:rsidR="001454DF" w:rsidRPr="00B22F8A" w:rsidRDefault="001454DF" w:rsidP="004C79C1">
            <w:pPr>
              <w:pStyle w:val="Tabletext1"/>
              <w:spacing w:before="0" w:after="120"/>
              <w:rPr>
                <w:b/>
              </w:rPr>
            </w:pPr>
            <w:r>
              <w:rPr>
                <w:b/>
              </w:rPr>
              <w:t>LGE-CMR to diagnose non-isch</w:t>
            </w:r>
            <w:r w:rsidR="00E1585F">
              <w:rPr>
                <w:b/>
              </w:rPr>
              <w:t>a</w:t>
            </w:r>
            <w:r>
              <w:rPr>
                <w:b/>
              </w:rPr>
              <w:t>emic DCM (ref</w:t>
            </w:r>
            <w:r w:rsidR="00AD5BD6">
              <w:rPr>
                <w:b/>
              </w:rPr>
              <w:t>.</w:t>
            </w:r>
            <w:r>
              <w:rPr>
                <w:b/>
              </w:rPr>
              <w:t xml:space="preserve"> std</w:t>
            </w:r>
            <w:r w:rsidR="00AD5BD6">
              <w:rPr>
                <w:b/>
              </w:rPr>
              <w:t>.</w:t>
            </w:r>
            <w:r>
              <w:rPr>
                <w:b/>
              </w:rPr>
              <w:t xml:space="preserve"> </w:t>
            </w:r>
            <w:r w:rsidR="00A01BC0">
              <w:rPr>
                <w:b/>
              </w:rPr>
              <w:t xml:space="preserve">= </w:t>
            </w:r>
            <w:r w:rsidR="00783817">
              <w:rPr>
                <w:b/>
              </w:rPr>
              <w:t>available diagnostic data</w:t>
            </w:r>
            <w:r>
              <w:rPr>
                <w:b/>
              </w:rPr>
              <w:t>)</w:t>
            </w:r>
          </w:p>
        </w:tc>
        <w:tc>
          <w:tcPr>
            <w:tcW w:w="438" w:type="pct"/>
            <w:tcBorders>
              <w:top w:val="single" w:sz="4" w:space="0" w:color="auto"/>
              <w:left w:val="nil"/>
              <w:bottom w:val="single" w:sz="4" w:space="0" w:color="auto"/>
              <w:right w:val="nil"/>
            </w:tcBorders>
          </w:tcPr>
          <w:p w14:paraId="3C83E7C5"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8" w:type="pct"/>
            <w:tcBorders>
              <w:top w:val="single" w:sz="4" w:space="0" w:color="auto"/>
              <w:left w:val="nil"/>
              <w:bottom w:val="single" w:sz="4" w:space="0" w:color="auto"/>
              <w:right w:val="nil"/>
            </w:tcBorders>
          </w:tcPr>
          <w:p w14:paraId="2B5F57D2"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2" w:type="pct"/>
            <w:tcBorders>
              <w:top w:val="single" w:sz="4" w:space="0" w:color="auto"/>
              <w:left w:val="nil"/>
              <w:bottom w:val="single" w:sz="4" w:space="0" w:color="auto"/>
              <w:right w:val="nil"/>
            </w:tcBorders>
          </w:tcPr>
          <w:p w14:paraId="03B8D24F"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6" w:type="pct"/>
            <w:tcBorders>
              <w:top w:val="single" w:sz="4" w:space="0" w:color="auto"/>
              <w:left w:val="nil"/>
              <w:bottom w:val="single" w:sz="4" w:space="0" w:color="auto"/>
              <w:right w:val="nil"/>
            </w:tcBorders>
          </w:tcPr>
          <w:p w14:paraId="6468CAF5"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5" w:type="pct"/>
            <w:tcBorders>
              <w:top w:val="single" w:sz="4" w:space="0" w:color="auto"/>
              <w:left w:val="nil"/>
              <w:bottom w:val="single" w:sz="4" w:space="0" w:color="auto"/>
              <w:right w:val="nil"/>
            </w:tcBorders>
          </w:tcPr>
          <w:p w14:paraId="233F03EE"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656" w:type="pct"/>
            <w:tcBorders>
              <w:top w:val="single" w:sz="4" w:space="0" w:color="auto"/>
              <w:left w:val="nil"/>
              <w:bottom w:val="single" w:sz="4" w:space="0" w:color="auto"/>
              <w:right w:val="nil"/>
            </w:tcBorders>
            <w:vAlign w:val="center"/>
          </w:tcPr>
          <w:p w14:paraId="43867CA8" w14:textId="77777777" w:rsidR="001454DF" w:rsidRPr="00785D0D" w:rsidRDefault="001454DF" w:rsidP="004C79C1">
            <w:pPr>
              <w:pStyle w:val="Tabletext1"/>
              <w:tabs>
                <w:tab w:val="left" w:pos="1168"/>
                <w:tab w:val="left" w:pos="2426"/>
              </w:tabs>
              <w:spacing w:before="0" w:after="120"/>
              <w:jc w:val="center"/>
              <w:rPr>
                <w:b/>
              </w:rPr>
            </w:pPr>
            <w:r>
              <w:rPr>
                <w:b/>
              </w:rPr>
              <w:t>69.4%</w:t>
            </w:r>
          </w:p>
        </w:tc>
        <w:tc>
          <w:tcPr>
            <w:tcW w:w="405" w:type="pct"/>
            <w:tcBorders>
              <w:top w:val="single" w:sz="4" w:space="0" w:color="auto"/>
              <w:left w:val="nil"/>
              <w:bottom w:val="single" w:sz="4" w:space="0" w:color="auto"/>
              <w:right w:val="single" w:sz="4" w:space="0" w:color="auto"/>
            </w:tcBorders>
          </w:tcPr>
          <w:p w14:paraId="1968FF8B" w14:textId="77777777" w:rsidR="001454DF" w:rsidRPr="00B22F8A" w:rsidRDefault="001454DF" w:rsidP="004C79C1">
            <w:pPr>
              <w:pStyle w:val="Tabletext1"/>
              <w:spacing w:before="0" w:after="120"/>
              <w:jc w:val="center"/>
              <w:rPr>
                <w:rFonts w:cs="Cambria Math"/>
                <w:b/>
                <w:color w:val="FFFFFF" w:themeColor="background1"/>
              </w:rPr>
            </w:pPr>
            <w:r w:rsidRPr="00B22F8A">
              <w:rPr>
                <w:rFonts w:cs="Cambria Math"/>
                <w:b/>
                <w:color w:val="FFFFFF" w:themeColor="background1"/>
              </w:rPr>
              <w:t>-</w:t>
            </w:r>
          </w:p>
        </w:tc>
      </w:tr>
      <w:tr w:rsidR="001454DF" w:rsidRPr="00183E4D" w14:paraId="672C6746" w14:textId="77777777" w:rsidTr="00BE5D7C">
        <w:trPr>
          <w:trHeight w:val="319"/>
        </w:trPr>
        <w:tc>
          <w:tcPr>
            <w:tcW w:w="365" w:type="pct"/>
            <w:tcBorders>
              <w:top w:val="single" w:sz="4" w:space="0" w:color="auto"/>
            </w:tcBorders>
          </w:tcPr>
          <w:p w14:paraId="28AD492D" w14:textId="77777777" w:rsidR="001454DF" w:rsidRPr="00440CF2" w:rsidRDefault="001454DF" w:rsidP="004C79C1">
            <w:pPr>
              <w:pStyle w:val="Tabletext1"/>
              <w:spacing w:before="0" w:after="120"/>
            </w:pPr>
            <w:r w:rsidRPr="00440CF2">
              <w:t>True positives</w:t>
            </w:r>
          </w:p>
          <w:p w14:paraId="1ADCFDB8" w14:textId="77777777" w:rsidR="001454DF" w:rsidRPr="00440CF2" w:rsidRDefault="001454DF" w:rsidP="004C79C1">
            <w:pPr>
              <w:pStyle w:val="Tabletext1"/>
              <w:spacing w:before="0" w:after="120"/>
            </w:pPr>
          </w:p>
          <w:p w14:paraId="2AFE426E" w14:textId="77777777" w:rsidR="001454DF" w:rsidRPr="00440CF2" w:rsidRDefault="001454DF" w:rsidP="004C79C1">
            <w:pPr>
              <w:pStyle w:val="Tabletext1"/>
              <w:spacing w:before="0" w:after="120"/>
            </w:pPr>
            <w:r w:rsidRPr="00440CF2">
              <w:t xml:space="preserve">False </w:t>
            </w:r>
            <w:r>
              <w:t>negatives</w:t>
            </w:r>
          </w:p>
        </w:tc>
        <w:tc>
          <w:tcPr>
            <w:tcW w:w="1275" w:type="pct"/>
            <w:tcBorders>
              <w:top w:val="single" w:sz="4" w:space="0" w:color="auto"/>
            </w:tcBorders>
          </w:tcPr>
          <w:p w14:paraId="77472D7B" w14:textId="76A678B1" w:rsidR="001454DF" w:rsidRPr="00183E4D" w:rsidRDefault="001454DF" w:rsidP="004C79C1">
            <w:pPr>
              <w:pStyle w:val="Tabletext1"/>
              <w:spacing w:before="0" w:after="120"/>
            </w:pPr>
            <w:r>
              <w:t>N=100 patients</w:t>
            </w:r>
            <w:r>
              <w:br/>
            </w:r>
            <w:r w:rsidR="007B2522">
              <w:t>K</w:t>
            </w:r>
            <w:r>
              <w:t>=2 studies</w:t>
            </w:r>
            <w:r>
              <w:br/>
              <w:t>Cross-sectional</w:t>
            </w:r>
            <w:r>
              <w:br/>
              <w:t>(cohort</w:t>
            </w:r>
            <w:r w:rsidR="00D653BB">
              <w:t>-</w:t>
            </w:r>
            <w:r>
              <w:t>type accuracy study)</w:t>
            </w:r>
          </w:p>
        </w:tc>
        <w:tc>
          <w:tcPr>
            <w:tcW w:w="438" w:type="pct"/>
            <w:tcBorders>
              <w:top w:val="single" w:sz="4" w:space="0" w:color="auto"/>
            </w:tcBorders>
          </w:tcPr>
          <w:p w14:paraId="00A8B861" w14:textId="77777777" w:rsidR="001454DF" w:rsidRDefault="001454DF" w:rsidP="004C79C1">
            <w:pPr>
              <w:pStyle w:val="Tabletext1"/>
              <w:spacing w:before="0" w:after="120"/>
            </w:pPr>
            <w:r>
              <w:t>Not serious</w:t>
            </w:r>
          </w:p>
          <w:p w14:paraId="63B61BE8" w14:textId="77777777" w:rsidR="001454DF" w:rsidRPr="009364DE" w:rsidRDefault="001454DF" w:rsidP="004C79C1">
            <w:pPr>
              <w:pStyle w:val="Tabletext1"/>
              <w:spacing w:before="0" w:after="120"/>
            </w:pPr>
            <w:r>
              <w:t>(QUADAS-2 low risk of bias)</w:t>
            </w:r>
          </w:p>
        </w:tc>
        <w:tc>
          <w:tcPr>
            <w:tcW w:w="438" w:type="pct"/>
            <w:tcBorders>
              <w:top w:val="single" w:sz="4" w:space="0" w:color="auto"/>
            </w:tcBorders>
          </w:tcPr>
          <w:p w14:paraId="5C5975BD" w14:textId="77777777" w:rsidR="001454DF" w:rsidRPr="009364DE" w:rsidRDefault="001454DF" w:rsidP="004C79C1">
            <w:pPr>
              <w:pStyle w:val="Tabletext1"/>
              <w:spacing w:before="0" w:after="120"/>
            </w:pPr>
            <w:r>
              <w:t>Not serious</w:t>
            </w:r>
          </w:p>
        </w:tc>
        <w:tc>
          <w:tcPr>
            <w:tcW w:w="492" w:type="pct"/>
            <w:tcBorders>
              <w:top w:val="single" w:sz="4" w:space="0" w:color="auto"/>
            </w:tcBorders>
          </w:tcPr>
          <w:p w14:paraId="6F06AC86" w14:textId="77777777" w:rsidR="001454DF" w:rsidRPr="00183E4D" w:rsidRDefault="001454DF" w:rsidP="004C79C1">
            <w:pPr>
              <w:pStyle w:val="Tabletext1"/>
              <w:spacing w:before="0" w:after="120"/>
            </w:pPr>
            <w:r>
              <w:t>Not serious</w:t>
            </w:r>
          </w:p>
        </w:tc>
        <w:tc>
          <w:tcPr>
            <w:tcW w:w="436" w:type="pct"/>
            <w:tcBorders>
              <w:top w:val="single" w:sz="4" w:space="0" w:color="auto"/>
            </w:tcBorders>
          </w:tcPr>
          <w:p w14:paraId="6E157ADA" w14:textId="77777777" w:rsidR="001454DF" w:rsidRPr="00183E4D" w:rsidRDefault="001454DF" w:rsidP="004C79C1">
            <w:pPr>
              <w:pStyle w:val="Tabletext1"/>
              <w:spacing w:before="0" w:after="120"/>
            </w:pPr>
            <w:r>
              <w:t>Not serious</w:t>
            </w:r>
          </w:p>
        </w:tc>
        <w:tc>
          <w:tcPr>
            <w:tcW w:w="495" w:type="pct"/>
            <w:tcBorders>
              <w:top w:val="single" w:sz="4" w:space="0" w:color="auto"/>
            </w:tcBorders>
          </w:tcPr>
          <w:p w14:paraId="4916E5DF" w14:textId="77777777" w:rsidR="001454DF" w:rsidRPr="00183E4D" w:rsidRDefault="001454DF" w:rsidP="004C79C1">
            <w:pPr>
              <w:pStyle w:val="Tabletext1"/>
              <w:spacing w:before="0" w:after="120"/>
            </w:pPr>
            <w:r>
              <w:t>None</w:t>
            </w:r>
          </w:p>
        </w:tc>
        <w:tc>
          <w:tcPr>
            <w:tcW w:w="656" w:type="pct"/>
            <w:tcBorders>
              <w:top w:val="single" w:sz="4" w:space="0" w:color="auto"/>
            </w:tcBorders>
          </w:tcPr>
          <w:p w14:paraId="0E7D6C6A" w14:textId="6B710327" w:rsidR="001454DF" w:rsidRDefault="001454DF" w:rsidP="004C79C1">
            <w:pPr>
              <w:pStyle w:val="Tabletext1"/>
              <w:tabs>
                <w:tab w:val="left" w:pos="1168"/>
                <w:tab w:val="left" w:pos="2426"/>
              </w:tabs>
              <w:spacing w:before="0" w:after="120"/>
            </w:pPr>
            <w:r>
              <w:t>590</w:t>
            </w:r>
            <w:r w:rsidR="00D653BB">
              <w:t>–</w:t>
            </w:r>
            <w:r>
              <w:t>694</w:t>
            </w:r>
          </w:p>
          <w:p w14:paraId="7CB4CE29" w14:textId="77777777" w:rsidR="001454DF" w:rsidRDefault="001454DF" w:rsidP="004C79C1">
            <w:pPr>
              <w:pStyle w:val="Tabletext1"/>
              <w:tabs>
                <w:tab w:val="left" w:pos="1168"/>
                <w:tab w:val="left" w:pos="2426"/>
              </w:tabs>
              <w:spacing w:before="0" w:after="120"/>
            </w:pPr>
          </w:p>
          <w:p w14:paraId="3F55E8D1" w14:textId="77777777" w:rsidR="001454DF" w:rsidRDefault="001454DF" w:rsidP="004C79C1">
            <w:pPr>
              <w:pStyle w:val="Tabletext1"/>
              <w:tabs>
                <w:tab w:val="left" w:pos="1168"/>
                <w:tab w:val="left" w:pos="2426"/>
              </w:tabs>
              <w:spacing w:before="0" w:after="120"/>
            </w:pPr>
          </w:p>
          <w:p w14:paraId="5DD15F62" w14:textId="6992DBE3" w:rsidR="001454DF" w:rsidRPr="00183E4D" w:rsidRDefault="001454DF" w:rsidP="004C79C1">
            <w:pPr>
              <w:pStyle w:val="Tabletext1"/>
              <w:tabs>
                <w:tab w:val="left" w:pos="1168"/>
                <w:tab w:val="left" w:pos="2426"/>
              </w:tabs>
              <w:spacing w:before="0" w:after="120"/>
            </w:pPr>
            <w:r>
              <w:t>0</w:t>
            </w:r>
            <w:r w:rsidR="00D653BB">
              <w:t>–</w:t>
            </w:r>
            <w:r>
              <w:t>104</w:t>
            </w:r>
          </w:p>
        </w:tc>
        <w:tc>
          <w:tcPr>
            <w:tcW w:w="405" w:type="pct"/>
            <w:tcBorders>
              <w:top w:val="single" w:sz="4" w:space="0" w:color="auto"/>
            </w:tcBorders>
          </w:tcPr>
          <w:p w14:paraId="44451B0D" w14:textId="77777777" w:rsidR="001454DF" w:rsidRDefault="001454DF" w:rsidP="004C79C1">
            <w:pPr>
              <w:pStyle w:val="Tabletext1"/>
              <w:spacing w:before="0" w:after="120"/>
              <w:rPr>
                <w:rFonts w:cs="Cambria Math"/>
              </w:rPr>
            </w:pPr>
            <w:r>
              <w:rPr>
                <w:rFonts w:cs="Cambria Math"/>
              </w:rPr>
              <w:t>High</w:t>
            </w:r>
          </w:p>
          <w:p w14:paraId="2A2BA381" w14:textId="77777777" w:rsidR="001454DF" w:rsidRPr="00FA7EC9" w:rsidRDefault="001454DF" w:rsidP="004C79C1">
            <w:pPr>
              <w:pStyle w:val="Tabletext1"/>
              <w:spacing w:before="0" w:after="120"/>
              <w:rPr>
                <w:rFonts w:ascii="Cambria Math" w:hAnsi="Cambria Math" w:cs="Cambria Math"/>
              </w:rPr>
            </w:pPr>
            <w:r w:rsidRPr="00D4733A">
              <w:rPr>
                <w:rFonts w:ascii="Cambria Math" w:hAnsi="Cambria Math"/>
                <w:color w:val="00B050"/>
              </w:rPr>
              <w:t>⨁⨁⨁⨁</w:t>
            </w:r>
          </w:p>
        </w:tc>
      </w:tr>
      <w:tr w:rsidR="001454DF" w:rsidRPr="00183E4D" w14:paraId="3B143778" w14:textId="77777777" w:rsidTr="00BE5D7C">
        <w:trPr>
          <w:trHeight w:val="319"/>
        </w:trPr>
        <w:tc>
          <w:tcPr>
            <w:tcW w:w="365" w:type="pct"/>
            <w:tcBorders>
              <w:bottom w:val="single" w:sz="4" w:space="0" w:color="auto"/>
            </w:tcBorders>
          </w:tcPr>
          <w:p w14:paraId="2D82D959" w14:textId="77777777" w:rsidR="001454DF" w:rsidRPr="00440CF2" w:rsidRDefault="001454DF" w:rsidP="004C79C1">
            <w:pPr>
              <w:pStyle w:val="Tabletext1"/>
              <w:tabs>
                <w:tab w:val="left" w:pos="34"/>
              </w:tabs>
              <w:spacing w:before="0" w:after="120"/>
            </w:pPr>
            <w:r w:rsidRPr="00440CF2">
              <w:t>True negatives</w:t>
            </w:r>
          </w:p>
          <w:p w14:paraId="0FD8FAE9" w14:textId="77777777" w:rsidR="001454DF" w:rsidRPr="00440CF2" w:rsidRDefault="001454DF" w:rsidP="004C79C1">
            <w:pPr>
              <w:pStyle w:val="Tabletext1"/>
              <w:tabs>
                <w:tab w:val="left" w:pos="34"/>
              </w:tabs>
              <w:spacing w:before="0" w:after="120"/>
            </w:pPr>
          </w:p>
          <w:p w14:paraId="121E6C61" w14:textId="77777777" w:rsidR="001454DF" w:rsidRPr="00440CF2" w:rsidRDefault="001454DF" w:rsidP="004C79C1">
            <w:pPr>
              <w:pStyle w:val="Tabletext1"/>
              <w:tabs>
                <w:tab w:val="left" w:pos="34"/>
              </w:tabs>
              <w:spacing w:before="0" w:after="120"/>
            </w:pPr>
            <w:r w:rsidRPr="00440CF2">
              <w:t>False positives</w:t>
            </w:r>
          </w:p>
        </w:tc>
        <w:tc>
          <w:tcPr>
            <w:tcW w:w="1275" w:type="pct"/>
            <w:tcBorders>
              <w:bottom w:val="single" w:sz="4" w:space="0" w:color="auto"/>
            </w:tcBorders>
          </w:tcPr>
          <w:p w14:paraId="34306D67" w14:textId="284BF5C4" w:rsidR="001454DF" w:rsidRPr="00183E4D" w:rsidRDefault="001454DF" w:rsidP="004C79C1">
            <w:pPr>
              <w:pStyle w:val="Tabletext1"/>
              <w:spacing w:before="0" w:after="120"/>
            </w:pPr>
            <w:r>
              <w:t>N=44 patients</w:t>
            </w:r>
            <w:r>
              <w:br/>
            </w:r>
            <w:r w:rsidR="007B2522">
              <w:t>K</w:t>
            </w:r>
            <w:r>
              <w:t>=2 studies</w:t>
            </w:r>
            <w:r>
              <w:br/>
              <w:t>Cross-sectional</w:t>
            </w:r>
            <w:r>
              <w:br/>
              <w:t>(cohort</w:t>
            </w:r>
            <w:r w:rsidR="00D653BB">
              <w:t>-</w:t>
            </w:r>
            <w:r>
              <w:t>type accuracy study)</w:t>
            </w:r>
          </w:p>
        </w:tc>
        <w:tc>
          <w:tcPr>
            <w:tcW w:w="438" w:type="pct"/>
            <w:tcBorders>
              <w:bottom w:val="single" w:sz="4" w:space="0" w:color="auto"/>
            </w:tcBorders>
          </w:tcPr>
          <w:p w14:paraId="40E1C9AE" w14:textId="77777777" w:rsidR="001454DF" w:rsidRDefault="001454DF" w:rsidP="004C79C1">
            <w:pPr>
              <w:pStyle w:val="Tabletext1"/>
              <w:spacing w:before="0" w:after="120"/>
            </w:pPr>
            <w:r>
              <w:t>Not serious</w:t>
            </w:r>
          </w:p>
          <w:p w14:paraId="3102FA12" w14:textId="77777777" w:rsidR="001454DF" w:rsidRPr="009364DE" w:rsidRDefault="001454DF" w:rsidP="004C79C1">
            <w:pPr>
              <w:pStyle w:val="Tabletext1"/>
              <w:spacing w:before="0" w:after="120"/>
            </w:pPr>
            <w:r>
              <w:t>(QUADAS-2 low risk of bias)</w:t>
            </w:r>
          </w:p>
        </w:tc>
        <w:tc>
          <w:tcPr>
            <w:tcW w:w="438" w:type="pct"/>
            <w:tcBorders>
              <w:bottom w:val="single" w:sz="4" w:space="0" w:color="auto"/>
            </w:tcBorders>
          </w:tcPr>
          <w:p w14:paraId="5A40408E" w14:textId="77777777" w:rsidR="001454DF" w:rsidRPr="009364DE" w:rsidRDefault="001454DF" w:rsidP="004C79C1">
            <w:pPr>
              <w:pStyle w:val="Tabletext1"/>
              <w:spacing w:before="0" w:after="120"/>
            </w:pPr>
            <w:r>
              <w:t>Not serious</w:t>
            </w:r>
          </w:p>
        </w:tc>
        <w:tc>
          <w:tcPr>
            <w:tcW w:w="492" w:type="pct"/>
            <w:tcBorders>
              <w:bottom w:val="single" w:sz="4" w:space="0" w:color="auto"/>
            </w:tcBorders>
          </w:tcPr>
          <w:p w14:paraId="6DF97461" w14:textId="77777777" w:rsidR="001454DF" w:rsidRPr="00183E4D" w:rsidRDefault="001454DF" w:rsidP="004C79C1">
            <w:pPr>
              <w:pStyle w:val="Tabletext1"/>
              <w:spacing w:before="0" w:after="120"/>
            </w:pPr>
            <w:r>
              <w:t>Not serious</w:t>
            </w:r>
          </w:p>
        </w:tc>
        <w:tc>
          <w:tcPr>
            <w:tcW w:w="436" w:type="pct"/>
            <w:tcBorders>
              <w:bottom w:val="single" w:sz="4" w:space="0" w:color="auto"/>
            </w:tcBorders>
          </w:tcPr>
          <w:p w14:paraId="15F2A38E" w14:textId="77777777" w:rsidR="001454DF" w:rsidRPr="00183E4D" w:rsidRDefault="001454DF" w:rsidP="004C79C1">
            <w:pPr>
              <w:pStyle w:val="Tabletext1"/>
              <w:spacing w:before="0" w:after="120"/>
            </w:pPr>
            <w:r>
              <w:t>Not serious</w:t>
            </w:r>
          </w:p>
        </w:tc>
        <w:tc>
          <w:tcPr>
            <w:tcW w:w="495" w:type="pct"/>
            <w:tcBorders>
              <w:bottom w:val="single" w:sz="4" w:space="0" w:color="auto"/>
            </w:tcBorders>
          </w:tcPr>
          <w:p w14:paraId="18792ADF" w14:textId="77777777" w:rsidR="001454DF" w:rsidRPr="00183E4D" w:rsidRDefault="001454DF" w:rsidP="004C79C1">
            <w:pPr>
              <w:pStyle w:val="Tabletext1"/>
              <w:spacing w:before="0" w:after="120"/>
            </w:pPr>
            <w:r>
              <w:t>None</w:t>
            </w:r>
          </w:p>
        </w:tc>
        <w:tc>
          <w:tcPr>
            <w:tcW w:w="656" w:type="pct"/>
            <w:tcBorders>
              <w:bottom w:val="single" w:sz="4" w:space="0" w:color="auto"/>
            </w:tcBorders>
          </w:tcPr>
          <w:p w14:paraId="7B6E6DE5" w14:textId="052015A2" w:rsidR="001454DF" w:rsidRDefault="001454DF" w:rsidP="004C79C1">
            <w:pPr>
              <w:pStyle w:val="Tabletext1"/>
              <w:tabs>
                <w:tab w:val="left" w:pos="1168"/>
                <w:tab w:val="left" w:pos="2426"/>
              </w:tabs>
              <w:spacing w:before="0" w:after="120"/>
            </w:pPr>
            <w:r>
              <w:t>251</w:t>
            </w:r>
            <w:r w:rsidR="00D653BB">
              <w:t>–</w:t>
            </w:r>
            <w:r>
              <w:t>269</w:t>
            </w:r>
          </w:p>
          <w:p w14:paraId="567AF5EE" w14:textId="77777777" w:rsidR="001454DF" w:rsidRDefault="001454DF" w:rsidP="004C79C1">
            <w:pPr>
              <w:pStyle w:val="Tabletext1"/>
              <w:tabs>
                <w:tab w:val="left" w:pos="1168"/>
                <w:tab w:val="left" w:pos="2426"/>
              </w:tabs>
              <w:spacing w:before="0" w:after="120"/>
            </w:pPr>
          </w:p>
          <w:p w14:paraId="4639A286" w14:textId="77777777" w:rsidR="001454DF" w:rsidRDefault="001454DF" w:rsidP="004C79C1">
            <w:pPr>
              <w:pStyle w:val="Tabletext1"/>
              <w:tabs>
                <w:tab w:val="left" w:pos="1168"/>
                <w:tab w:val="left" w:pos="2426"/>
              </w:tabs>
              <w:spacing w:before="0" w:after="120"/>
            </w:pPr>
          </w:p>
          <w:p w14:paraId="2C1CBA35" w14:textId="3AEA8885" w:rsidR="001454DF" w:rsidRPr="00183E4D" w:rsidRDefault="001454DF" w:rsidP="004C79C1">
            <w:pPr>
              <w:pStyle w:val="Tabletext1"/>
              <w:tabs>
                <w:tab w:val="left" w:pos="1168"/>
                <w:tab w:val="left" w:pos="2426"/>
              </w:tabs>
              <w:spacing w:before="0" w:after="120"/>
            </w:pPr>
            <w:r>
              <w:t>37</w:t>
            </w:r>
            <w:r w:rsidR="00D653BB">
              <w:t>–</w:t>
            </w:r>
            <w:r>
              <w:t>55</w:t>
            </w:r>
          </w:p>
        </w:tc>
        <w:tc>
          <w:tcPr>
            <w:tcW w:w="405" w:type="pct"/>
            <w:tcBorders>
              <w:bottom w:val="single" w:sz="4" w:space="0" w:color="auto"/>
            </w:tcBorders>
          </w:tcPr>
          <w:p w14:paraId="652060B0" w14:textId="77777777" w:rsidR="001454DF" w:rsidRDefault="001454DF" w:rsidP="004C79C1">
            <w:pPr>
              <w:pStyle w:val="Tabletext1"/>
              <w:spacing w:before="0" w:after="120"/>
              <w:rPr>
                <w:rFonts w:cs="Cambria Math"/>
              </w:rPr>
            </w:pPr>
            <w:r>
              <w:rPr>
                <w:rFonts w:cs="Cambria Math"/>
              </w:rPr>
              <w:t>High</w:t>
            </w:r>
          </w:p>
          <w:p w14:paraId="262A2D2F" w14:textId="77777777" w:rsidR="001454DF" w:rsidRPr="00FA7EC9" w:rsidRDefault="001454DF" w:rsidP="004C79C1">
            <w:pPr>
              <w:pStyle w:val="Tabletext1"/>
              <w:spacing w:before="0" w:after="120"/>
              <w:rPr>
                <w:rFonts w:ascii="Cambria Math" w:hAnsi="Cambria Math" w:cs="Cambria Math"/>
              </w:rPr>
            </w:pPr>
            <w:r w:rsidRPr="00D4733A">
              <w:rPr>
                <w:rFonts w:ascii="Cambria Math" w:hAnsi="Cambria Math"/>
                <w:color w:val="00B050"/>
              </w:rPr>
              <w:t>⨁⨁⨁⨁</w:t>
            </w:r>
          </w:p>
        </w:tc>
      </w:tr>
      <w:tr w:rsidR="001454DF" w:rsidRPr="00B22F8A" w14:paraId="5C66B2E2" w14:textId="77777777" w:rsidTr="00BE5D7C">
        <w:trPr>
          <w:trHeight w:val="319"/>
        </w:trPr>
        <w:tc>
          <w:tcPr>
            <w:tcW w:w="365" w:type="pct"/>
            <w:tcBorders>
              <w:top w:val="single" w:sz="4" w:space="0" w:color="auto"/>
              <w:left w:val="single" w:sz="4" w:space="0" w:color="auto"/>
              <w:bottom w:val="single" w:sz="4" w:space="0" w:color="auto"/>
              <w:right w:val="nil"/>
            </w:tcBorders>
          </w:tcPr>
          <w:p w14:paraId="11A0D6CE" w14:textId="77777777" w:rsidR="001454DF" w:rsidRPr="00440CF2" w:rsidRDefault="001454DF" w:rsidP="004C79C1">
            <w:pPr>
              <w:pStyle w:val="Tabletext1"/>
              <w:spacing w:before="0" w:after="120"/>
              <w:jc w:val="center"/>
              <w:rPr>
                <w:b/>
                <w:color w:val="FFFFFF" w:themeColor="background1"/>
              </w:rPr>
            </w:pPr>
            <w:r w:rsidRPr="00440CF2">
              <w:rPr>
                <w:b/>
                <w:color w:val="FFFFFF" w:themeColor="background1"/>
              </w:rPr>
              <w:t>-</w:t>
            </w:r>
          </w:p>
        </w:tc>
        <w:tc>
          <w:tcPr>
            <w:tcW w:w="1275" w:type="pct"/>
            <w:tcBorders>
              <w:top w:val="single" w:sz="4" w:space="0" w:color="auto"/>
              <w:left w:val="nil"/>
              <w:bottom w:val="single" w:sz="4" w:space="0" w:color="auto"/>
              <w:right w:val="nil"/>
            </w:tcBorders>
          </w:tcPr>
          <w:p w14:paraId="7144CDD7" w14:textId="77777777" w:rsidR="008C6F8B" w:rsidRDefault="001454DF" w:rsidP="004C79C1">
            <w:pPr>
              <w:pStyle w:val="Tabletext1"/>
              <w:spacing w:before="0" w:after="120"/>
              <w:rPr>
                <w:b/>
              </w:rPr>
            </w:pPr>
            <w:r>
              <w:rPr>
                <w:b/>
              </w:rPr>
              <w:t>LGE-CMR to diagnose inflammatory cause</w:t>
            </w:r>
            <w:r w:rsidR="008C6F8B">
              <w:rPr>
                <w:b/>
              </w:rPr>
              <w:t xml:space="preserve"> </w:t>
            </w:r>
          </w:p>
          <w:p w14:paraId="322C4FBC" w14:textId="3557B345" w:rsidR="001454DF" w:rsidRPr="00B22F8A" w:rsidRDefault="001454DF" w:rsidP="004C79C1">
            <w:pPr>
              <w:pStyle w:val="Tabletext1"/>
              <w:spacing w:before="0" w:after="120"/>
              <w:rPr>
                <w:b/>
              </w:rPr>
            </w:pPr>
            <w:r>
              <w:rPr>
                <w:b/>
              </w:rPr>
              <w:lastRenderedPageBreak/>
              <w:t>(ref</w:t>
            </w:r>
            <w:r w:rsidR="00AD5BD6">
              <w:rPr>
                <w:b/>
              </w:rPr>
              <w:t>.</w:t>
            </w:r>
            <w:r>
              <w:rPr>
                <w:b/>
              </w:rPr>
              <w:t xml:space="preserve"> std</w:t>
            </w:r>
            <w:r w:rsidR="00AD5BD6">
              <w:rPr>
                <w:b/>
              </w:rPr>
              <w:t>.</w:t>
            </w:r>
            <w:r>
              <w:rPr>
                <w:b/>
              </w:rPr>
              <w:t xml:space="preserve"> </w:t>
            </w:r>
            <w:r w:rsidR="00A01BC0">
              <w:rPr>
                <w:b/>
              </w:rPr>
              <w:t xml:space="preserve">= </w:t>
            </w:r>
            <w:r w:rsidR="00D653BB">
              <w:rPr>
                <w:b/>
              </w:rPr>
              <w:t>EMB</w:t>
            </w:r>
            <w:r>
              <w:rPr>
                <w:b/>
              </w:rPr>
              <w:t>)</w:t>
            </w:r>
          </w:p>
        </w:tc>
        <w:tc>
          <w:tcPr>
            <w:tcW w:w="438" w:type="pct"/>
            <w:tcBorders>
              <w:top w:val="single" w:sz="4" w:space="0" w:color="auto"/>
              <w:left w:val="nil"/>
              <w:bottom w:val="single" w:sz="4" w:space="0" w:color="auto"/>
              <w:right w:val="nil"/>
            </w:tcBorders>
          </w:tcPr>
          <w:p w14:paraId="68FBA700"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lastRenderedPageBreak/>
              <w:t>-</w:t>
            </w:r>
          </w:p>
        </w:tc>
        <w:tc>
          <w:tcPr>
            <w:tcW w:w="438" w:type="pct"/>
            <w:tcBorders>
              <w:top w:val="single" w:sz="4" w:space="0" w:color="auto"/>
              <w:left w:val="nil"/>
              <w:bottom w:val="single" w:sz="4" w:space="0" w:color="auto"/>
              <w:right w:val="nil"/>
            </w:tcBorders>
          </w:tcPr>
          <w:p w14:paraId="1942A4B0"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2" w:type="pct"/>
            <w:tcBorders>
              <w:top w:val="single" w:sz="4" w:space="0" w:color="auto"/>
              <w:left w:val="nil"/>
              <w:bottom w:val="single" w:sz="4" w:space="0" w:color="auto"/>
              <w:right w:val="nil"/>
            </w:tcBorders>
          </w:tcPr>
          <w:p w14:paraId="2CB4A6D1"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36" w:type="pct"/>
            <w:tcBorders>
              <w:top w:val="single" w:sz="4" w:space="0" w:color="auto"/>
              <w:left w:val="nil"/>
              <w:bottom w:val="single" w:sz="4" w:space="0" w:color="auto"/>
              <w:right w:val="nil"/>
            </w:tcBorders>
          </w:tcPr>
          <w:p w14:paraId="29706037"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495" w:type="pct"/>
            <w:tcBorders>
              <w:top w:val="single" w:sz="4" w:space="0" w:color="auto"/>
              <w:left w:val="nil"/>
              <w:bottom w:val="single" w:sz="4" w:space="0" w:color="auto"/>
              <w:right w:val="nil"/>
            </w:tcBorders>
          </w:tcPr>
          <w:p w14:paraId="5727F1F9" w14:textId="77777777" w:rsidR="001454DF" w:rsidRPr="00B22F8A" w:rsidRDefault="001454DF" w:rsidP="004C79C1">
            <w:pPr>
              <w:pStyle w:val="Tabletext1"/>
              <w:spacing w:before="0" w:after="120"/>
              <w:jc w:val="center"/>
              <w:rPr>
                <w:b/>
                <w:color w:val="FFFFFF" w:themeColor="background1"/>
              </w:rPr>
            </w:pPr>
            <w:r w:rsidRPr="00B22F8A">
              <w:rPr>
                <w:b/>
                <w:color w:val="FFFFFF" w:themeColor="background1"/>
              </w:rPr>
              <w:t>-</w:t>
            </w:r>
          </w:p>
        </w:tc>
        <w:tc>
          <w:tcPr>
            <w:tcW w:w="656" w:type="pct"/>
            <w:tcBorders>
              <w:top w:val="single" w:sz="4" w:space="0" w:color="auto"/>
              <w:left w:val="nil"/>
              <w:bottom w:val="single" w:sz="4" w:space="0" w:color="auto"/>
              <w:right w:val="nil"/>
            </w:tcBorders>
            <w:vAlign w:val="center"/>
          </w:tcPr>
          <w:p w14:paraId="327ACF0D" w14:textId="77777777" w:rsidR="001454DF" w:rsidRPr="00785D0D" w:rsidRDefault="001454DF" w:rsidP="004C79C1">
            <w:pPr>
              <w:pStyle w:val="Tabletext1"/>
              <w:tabs>
                <w:tab w:val="left" w:pos="1168"/>
                <w:tab w:val="left" w:pos="2426"/>
              </w:tabs>
              <w:spacing w:before="0" w:after="120"/>
              <w:jc w:val="center"/>
              <w:rPr>
                <w:b/>
              </w:rPr>
            </w:pPr>
            <w:r>
              <w:rPr>
                <w:b/>
              </w:rPr>
              <w:t>45.4%</w:t>
            </w:r>
          </w:p>
        </w:tc>
        <w:tc>
          <w:tcPr>
            <w:tcW w:w="405" w:type="pct"/>
            <w:tcBorders>
              <w:top w:val="single" w:sz="4" w:space="0" w:color="auto"/>
              <w:left w:val="nil"/>
              <w:bottom w:val="single" w:sz="4" w:space="0" w:color="auto"/>
              <w:right w:val="single" w:sz="4" w:space="0" w:color="auto"/>
            </w:tcBorders>
          </w:tcPr>
          <w:p w14:paraId="2C65E749" w14:textId="77777777" w:rsidR="001454DF" w:rsidRPr="00B22F8A" w:rsidRDefault="001454DF" w:rsidP="004C79C1">
            <w:pPr>
              <w:pStyle w:val="Tabletext1"/>
              <w:spacing w:before="0" w:after="120"/>
              <w:jc w:val="center"/>
              <w:rPr>
                <w:rFonts w:cs="Cambria Math"/>
                <w:b/>
                <w:color w:val="FFFFFF" w:themeColor="background1"/>
              </w:rPr>
            </w:pPr>
            <w:r w:rsidRPr="00B22F8A">
              <w:rPr>
                <w:rFonts w:cs="Cambria Math"/>
                <w:b/>
                <w:color w:val="FFFFFF" w:themeColor="background1"/>
              </w:rPr>
              <w:t>-</w:t>
            </w:r>
          </w:p>
        </w:tc>
      </w:tr>
      <w:tr w:rsidR="001454DF" w:rsidRPr="00183E4D" w14:paraId="2FC701D8" w14:textId="77777777" w:rsidTr="00BE5D7C">
        <w:trPr>
          <w:trHeight w:val="319"/>
        </w:trPr>
        <w:tc>
          <w:tcPr>
            <w:tcW w:w="365" w:type="pct"/>
            <w:tcBorders>
              <w:top w:val="single" w:sz="4" w:space="0" w:color="auto"/>
            </w:tcBorders>
          </w:tcPr>
          <w:p w14:paraId="6AE9805C" w14:textId="7799A278" w:rsidR="001454DF" w:rsidRPr="00440CF2" w:rsidRDefault="001454DF" w:rsidP="004C79C1">
            <w:pPr>
              <w:pStyle w:val="Tabletext1"/>
              <w:spacing w:before="0" w:after="120"/>
            </w:pPr>
            <w:r w:rsidRPr="00440CF2">
              <w:lastRenderedPageBreak/>
              <w:t>True positives</w:t>
            </w:r>
          </w:p>
          <w:p w14:paraId="1AEE37B8" w14:textId="77777777" w:rsidR="001454DF" w:rsidRPr="00440CF2" w:rsidRDefault="001454DF" w:rsidP="004C79C1">
            <w:pPr>
              <w:pStyle w:val="Tabletext1"/>
              <w:spacing w:before="0" w:after="120"/>
            </w:pPr>
          </w:p>
          <w:p w14:paraId="3FDC4FB5" w14:textId="77777777" w:rsidR="001454DF" w:rsidRPr="00440CF2" w:rsidRDefault="001454DF" w:rsidP="004C79C1">
            <w:pPr>
              <w:pStyle w:val="Tabletext1"/>
              <w:spacing w:before="0" w:after="120"/>
            </w:pPr>
            <w:r w:rsidRPr="00440CF2">
              <w:t xml:space="preserve">False </w:t>
            </w:r>
            <w:r>
              <w:t>negatives</w:t>
            </w:r>
          </w:p>
        </w:tc>
        <w:tc>
          <w:tcPr>
            <w:tcW w:w="1275" w:type="pct"/>
            <w:tcBorders>
              <w:top w:val="single" w:sz="4" w:space="0" w:color="auto"/>
            </w:tcBorders>
          </w:tcPr>
          <w:p w14:paraId="01EA9FA2" w14:textId="1328C0A9" w:rsidR="001454DF" w:rsidRPr="00183E4D" w:rsidRDefault="001454DF" w:rsidP="004C79C1">
            <w:pPr>
              <w:pStyle w:val="Tabletext1"/>
              <w:spacing w:before="0" w:after="120"/>
            </w:pPr>
            <w:r>
              <w:t>N=44 patients</w:t>
            </w:r>
            <w:r>
              <w:br/>
            </w:r>
            <w:r w:rsidR="007B2522">
              <w:t>K</w:t>
            </w:r>
            <w:r>
              <w:t>=3 studies</w:t>
            </w:r>
            <w:r>
              <w:br/>
              <w:t>Cross-sectional</w:t>
            </w:r>
            <w:r>
              <w:br/>
              <w:t>(cohort</w:t>
            </w:r>
            <w:r w:rsidR="00295F13">
              <w:t>-</w:t>
            </w:r>
            <w:r>
              <w:t>type accuracy study)</w:t>
            </w:r>
          </w:p>
        </w:tc>
        <w:tc>
          <w:tcPr>
            <w:tcW w:w="438" w:type="pct"/>
            <w:tcBorders>
              <w:top w:val="single" w:sz="4" w:space="0" w:color="auto"/>
            </w:tcBorders>
          </w:tcPr>
          <w:p w14:paraId="20FACB44" w14:textId="77777777" w:rsidR="001454DF" w:rsidRDefault="001454DF" w:rsidP="004C79C1">
            <w:pPr>
              <w:pStyle w:val="Tabletext1"/>
              <w:spacing w:before="0" w:after="120"/>
            </w:pPr>
            <w:r>
              <w:t>Not serious</w:t>
            </w:r>
          </w:p>
          <w:p w14:paraId="5054B922" w14:textId="77777777" w:rsidR="001454DF" w:rsidRPr="009364DE" w:rsidRDefault="001454DF" w:rsidP="004C79C1">
            <w:pPr>
              <w:pStyle w:val="Tabletext1"/>
              <w:spacing w:before="0" w:after="120"/>
            </w:pPr>
            <w:r>
              <w:t>(QUADAS-2 low risk of bias)</w:t>
            </w:r>
          </w:p>
        </w:tc>
        <w:tc>
          <w:tcPr>
            <w:tcW w:w="438" w:type="pct"/>
            <w:tcBorders>
              <w:top w:val="single" w:sz="4" w:space="0" w:color="auto"/>
            </w:tcBorders>
          </w:tcPr>
          <w:p w14:paraId="5D4F3E7E" w14:textId="1D73D842"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a</w:t>
            </w:r>
          </w:p>
        </w:tc>
        <w:tc>
          <w:tcPr>
            <w:tcW w:w="492" w:type="pct"/>
            <w:tcBorders>
              <w:top w:val="single" w:sz="4" w:space="0" w:color="auto"/>
            </w:tcBorders>
          </w:tcPr>
          <w:p w14:paraId="441D4C41" w14:textId="77777777" w:rsidR="001454DF" w:rsidRPr="00183E4D" w:rsidRDefault="001454DF" w:rsidP="004C79C1">
            <w:pPr>
              <w:pStyle w:val="Tabletext1"/>
              <w:spacing w:before="0" w:after="120"/>
            </w:pPr>
            <w:r>
              <w:t>Not serious</w:t>
            </w:r>
          </w:p>
        </w:tc>
        <w:tc>
          <w:tcPr>
            <w:tcW w:w="436" w:type="pct"/>
            <w:tcBorders>
              <w:top w:val="single" w:sz="4" w:space="0" w:color="auto"/>
            </w:tcBorders>
          </w:tcPr>
          <w:p w14:paraId="33032358" w14:textId="003C1830" w:rsidR="001454DF" w:rsidRPr="00D15919" w:rsidRDefault="001454DF" w:rsidP="004C79C1">
            <w:pPr>
              <w:pStyle w:val="Tabletext1"/>
              <w:spacing w:before="0" w:after="120"/>
              <w:rPr>
                <w:vertAlign w:val="superscript"/>
              </w:rPr>
            </w:pPr>
            <w:r>
              <w:t>Serious</w:t>
            </w:r>
            <w:r w:rsidR="00295F13">
              <w:t xml:space="preserve"> </w:t>
            </w:r>
            <w:r w:rsidR="00D55922">
              <w:rPr>
                <w:vertAlign w:val="superscript"/>
              </w:rPr>
              <w:t>b</w:t>
            </w:r>
          </w:p>
        </w:tc>
        <w:tc>
          <w:tcPr>
            <w:tcW w:w="495" w:type="pct"/>
            <w:tcBorders>
              <w:top w:val="single" w:sz="4" w:space="0" w:color="auto"/>
            </w:tcBorders>
          </w:tcPr>
          <w:p w14:paraId="1A6FB69F" w14:textId="77777777" w:rsidR="001454DF" w:rsidRPr="00183E4D" w:rsidRDefault="001454DF" w:rsidP="004C79C1">
            <w:pPr>
              <w:pStyle w:val="Tabletext1"/>
              <w:spacing w:before="0" w:after="120"/>
            </w:pPr>
            <w:r>
              <w:t>None</w:t>
            </w:r>
          </w:p>
        </w:tc>
        <w:tc>
          <w:tcPr>
            <w:tcW w:w="656" w:type="pct"/>
            <w:tcBorders>
              <w:top w:val="single" w:sz="4" w:space="0" w:color="auto"/>
            </w:tcBorders>
          </w:tcPr>
          <w:p w14:paraId="4ABDA876" w14:textId="1C7887C0" w:rsidR="001454DF" w:rsidRDefault="001454DF" w:rsidP="004C79C1">
            <w:pPr>
              <w:pStyle w:val="Tabletext1"/>
              <w:tabs>
                <w:tab w:val="left" w:pos="1168"/>
                <w:tab w:val="left" w:pos="2426"/>
              </w:tabs>
              <w:spacing w:before="0" w:after="120"/>
            </w:pPr>
            <w:r>
              <w:t>263</w:t>
            </w:r>
            <w:r w:rsidR="00D653BB">
              <w:t>–</w:t>
            </w:r>
            <w:r>
              <w:t>395</w:t>
            </w:r>
          </w:p>
          <w:p w14:paraId="68F48145" w14:textId="77777777" w:rsidR="001454DF" w:rsidRDefault="001454DF" w:rsidP="004C79C1">
            <w:pPr>
              <w:pStyle w:val="Tabletext1"/>
              <w:tabs>
                <w:tab w:val="left" w:pos="1168"/>
                <w:tab w:val="left" w:pos="2426"/>
              </w:tabs>
              <w:spacing w:before="0" w:after="120"/>
            </w:pPr>
          </w:p>
          <w:p w14:paraId="07101C12" w14:textId="77777777" w:rsidR="001454DF" w:rsidRDefault="001454DF" w:rsidP="004C79C1">
            <w:pPr>
              <w:pStyle w:val="Tabletext1"/>
              <w:tabs>
                <w:tab w:val="left" w:pos="1168"/>
                <w:tab w:val="left" w:pos="2426"/>
              </w:tabs>
              <w:spacing w:before="0" w:after="120"/>
            </w:pPr>
          </w:p>
          <w:p w14:paraId="10119684" w14:textId="56FC8337" w:rsidR="001454DF" w:rsidRPr="00183E4D" w:rsidRDefault="001454DF" w:rsidP="004C79C1">
            <w:pPr>
              <w:pStyle w:val="Tabletext1"/>
              <w:tabs>
                <w:tab w:val="left" w:pos="1168"/>
                <w:tab w:val="left" w:pos="2426"/>
              </w:tabs>
              <w:spacing w:before="0" w:after="120"/>
            </w:pPr>
            <w:r>
              <w:t>59</w:t>
            </w:r>
            <w:r w:rsidR="00295F13">
              <w:t>–</w:t>
            </w:r>
            <w:r>
              <w:t>191</w:t>
            </w:r>
          </w:p>
        </w:tc>
        <w:tc>
          <w:tcPr>
            <w:tcW w:w="405" w:type="pct"/>
            <w:tcBorders>
              <w:top w:val="single" w:sz="4" w:space="0" w:color="auto"/>
            </w:tcBorders>
          </w:tcPr>
          <w:p w14:paraId="0DC7ED5E" w14:textId="77777777" w:rsidR="001454DF" w:rsidRDefault="001454DF" w:rsidP="004C79C1">
            <w:pPr>
              <w:pStyle w:val="Tabletext1"/>
              <w:spacing w:before="0" w:after="120"/>
              <w:rPr>
                <w:rFonts w:cs="Cambria Math"/>
              </w:rPr>
            </w:pPr>
            <w:r>
              <w:rPr>
                <w:rFonts w:cs="Cambria Math"/>
              </w:rPr>
              <w:t>Low</w:t>
            </w:r>
          </w:p>
          <w:p w14:paraId="49E9F774" w14:textId="77777777" w:rsidR="001454DF" w:rsidRPr="00FA7EC9" w:rsidRDefault="001454DF" w:rsidP="004C79C1">
            <w:pPr>
              <w:pStyle w:val="Tabletext1"/>
              <w:spacing w:before="0" w:after="120"/>
              <w:rPr>
                <w:rFonts w:ascii="Cambria Math" w:hAnsi="Cambria Math" w:cs="Cambria Math"/>
              </w:rPr>
            </w:pPr>
            <w:r>
              <w:rPr>
                <w:rFonts w:ascii="Cambria Math" w:hAnsi="Cambria Math"/>
                <w:color w:val="00B050"/>
              </w:rPr>
              <w:t>⨁⨁</w:t>
            </w:r>
            <w:r w:rsidRPr="00D4733A">
              <w:rPr>
                <w:rFonts w:ascii="Cambria Math" w:hAnsi="Cambria Math" w:cs="Cambria Math"/>
                <w:color w:val="C00000"/>
              </w:rPr>
              <w:t>⨀⨀</w:t>
            </w:r>
          </w:p>
        </w:tc>
      </w:tr>
      <w:tr w:rsidR="001454DF" w:rsidRPr="00183E4D" w14:paraId="40691942" w14:textId="77777777" w:rsidTr="00BE5D7C">
        <w:trPr>
          <w:trHeight w:val="319"/>
        </w:trPr>
        <w:tc>
          <w:tcPr>
            <w:tcW w:w="365" w:type="pct"/>
          </w:tcPr>
          <w:p w14:paraId="009E9A1B" w14:textId="77777777" w:rsidR="001454DF" w:rsidRPr="00440CF2" w:rsidRDefault="001454DF" w:rsidP="004C79C1">
            <w:pPr>
              <w:pStyle w:val="Tabletext1"/>
              <w:tabs>
                <w:tab w:val="left" w:pos="34"/>
              </w:tabs>
              <w:spacing w:before="0" w:after="120"/>
            </w:pPr>
            <w:r w:rsidRPr="00440CF2">
              <w:t>True negatives</w:t>
            </w:r>
          </w:p>
          <w:p w14:paraId="5F8AC118" w14:textId="77777777" w:rsidR="001454DF" w:rsidRPr="00440CF2" w:rsidRDefault="001454DF" w:rsidP="004C79C1">
            <w:pPr>
              <w:pStyle w:val="Tabletext1"/>
              <w:tabs>
                <w:tab w:val="left" w:pos="34"/>
              </w:tabs>
              <w:spacing w:before="0" w:after="120"/>
            </w:pPr>
          </w:p>
          <w:p w14:paraId="691E93E7" w14:textId="77777777" w:rsidR="001454DF" w:rsidRPr="00440CF2" w:rsidRDefault="001454DF" w:rsidP="004C79C1">
            <w:pPr>
              <w:pStyle w:val="Tabletext1"/>
              <w:tabs>
                <w:tab w:val="left" w:pos="34"/>
              </w:tabs>
              <w:spacing w:before="0" w:after="120"/>
            </w:pPr>
            <w:r w:rsidRPr="00440CF2">
              <w:t>False positives</w:t>
            </w:r>
          </w:p>
        </w:tc>
        <w:tc>
          <w:tcPr>
            <w:tcW w:w="1275" w:type="pct"/>
          </w:tcPr>
          <w:p w14:paraId="551CF695" w14:textId="28D39872" w:rsidR="001454DF" w:rsidRPr="00183E4D" w:rsidRDefault="001454DF" w:rsidP="004C79C1">
            <w:pPr>
              <w:pStyle w:val="Tabletext1"/>
              <w:spacing w:before="0" w:after="120"/>
            </w:pPr>
            <w:r>
              <w:t>N=53 patients</w:t>
            </w:r>
            <w:r>
              <w:br/>
            </w:r>
            <w:r w:rsidR="007B2522">
              <w:t>K</w:t>
            </w:r>
            <w:r>
              <w:t>=3 studies</w:t>
            </w:r>
            <w:r>
              <w:br/>
              <w:t>Cross-sectional</w:t>
            </w:r>
            <w:r>
              <w:br/>
              <w:t>(cohort</w:t>
            </w:r>
            <w:r w:rsidR="00295F13">
              <w:t>-</w:t>
            </w:r>
            <w:r>
              <w:t>type accuracy study)</w:t>
            </w:r>
          </w:p>
        </w:tc>
        <w:tc>
          <w:tcPr>
            <w:tcW w:w="438" w:type="pct"/>
          </w:tcPr>
          <w:p w14:paraId="532CA106" w14:textId="77777777" w:rsidR="001454DF" w:rsidRDefault="001454DF" w:rsidP="004C79C1">
            <w:pPr>
              <w:pStyle w:val="Tabletext1"/>
              <w:spacing w:before="0" w:after="120"/>
            </w:pPr>
            <w:r>
              <w:t>Not serious</w:t>
            </w:r>
          </w:p>
          <w:p w14:paraId="722A366C" w14:textId="77777777" w:rsidR="001454DF" w:rsidRPr="009364DE" w:rsidRDefault="001454DF" w:rsidP="004C79C1">
            <w:pPr>
              <w:pStyle w:val="Tabletext1"/>
              <w:spacing w:before="0" w:after="120"/>
            </w:pPr>
            <w:r>
              <w:t>(QUADAS-2 low risk of bias)</w:t>
            </w:r>
          </w:p>
        </w:tc>
        <w:tc>
          <w:tcPr>
            <w:tcW w:w="438" w:type="pct"/>
          </w:tcPr>
          <w:p w14:paraId="5876C5DE" w14:textId="588C1E69" w:rsidR="001454DF" w:rsidRPr="00D15919" w:rsidRDefault="001454DF" w:rsidP="004C79C1">
            <w:pPr>
              <w:pStyle w:val="Tabletext1"/>
              <w:spacing w:before="0" w:after="120"/>
              <w:rPr>
                <w:vertAlign w:val="superscript"/>
              </w:rPr>
            </w:pPr>
            <w:r>
              <w:t>Serious</w:t>
            </w:r>
            <w:r w:rsidR="00295F13">
              <w:t xml:space="preserve"> </w:t>
            </w:r>
            <w:r w:rsidR="00F81761">
              <w:rPr>
                <w:vertAlign w:val="superscript"/>
              </w:rPr>
              <w:t>a</w:t>
            </w:r>
          </w:p>
        </w:tc>
        <w:tc>
          <w:tcPr>
            <w:tcW w:w="492" w:type="pct"/>
          </w:tcPr>
          <w:p w14:paraId="5F91C092" w14:textId="77777777" w:rsidR="001454DF" w:rsidRPr="00183E4D" w:rsidRDefault="001454DF" w:rsidP="004C79C1">
            <w:pPr>
              <w:pStyle w:val="Tabletext1"/>
              <w:spacing w:before="0" w:after="120"/>
            </w:pPr>
            <w:r>
              <w:t>Not serious</w:t>
            </w:r>
          </w:p>
        </w:tc>
        <w:tc>
          <w:tcPr>
            <w:tcW w:w="436" w:type="pct"/>
          </w:tcPr>
          <w:p w14:paraId="75958298" w14:textId="1277898C" w:rsidR="001454DF" w:rsidRPr="00D15919" w:rsidRDefault="001454DF" w:rsidP="004C79C1">
            <w:pPr>
              <w:pStyle w:val="Tabletext1"/>
              <w:spacing w:before="0" w:after="120"/>
              <w:rPr>
                <w:vertAlign w:val="superscript"/>
              </w:rPr>
            </w:pPr>
            <w:r>
              <w:t>Serious</w:t>
            </w:r>
            <w:r w:rsidR="00295F13">
              <w:t xml:space="preserve"> </w:t>
            </w:r>
            <w:r w:rsidR="00F81761">
              <w:rPr>
                <w:vertAlign w:val="superscript"/>
              </w:rPr>
              <w:t>b</w:t>
            </w:r>
          </w:p>
        </w:tc>
        <w:tc>
          <w:tcPr>
            <w:tcW w:w="495" w:type="pct"/>
          </w:tcPr>
          <w:p w14:paraId="03BFEE18" w14:textId="77777777" w:rsidR="001454DF" w:rsidRPr="00183E4D" w:rsidRDefault="001454DF" w:rsidP="004C79C1">
            <w:pPr>
              <w:pStyle w:val="Tabletext1"/>
              <w:spacing w:before="0" w:after="120"/>
            </w:pPr>
            <w:r>
              <w:t>None</w:t>
            </w:r>
          </w:p>
        </w:tc>
        <w:tc>
          <w:tcPr>
            <w:tcW w:w="656" w:type="pct"/>
          </w:tcPr>
          <w:p w14:paraId="751DBF58" w14:textId="0EE48CD0" w:rsidR="001454DF" w:rsidRDefault="001454DF" w:rsidP="004C79C1">
            <w:pPr>
              <w:pStyle w:val="Tabletext1"/>
              <w:tabs>
                <w:tab w:val="left" w:pos="1168"/>
                <w:tab w:val="left" w:pos="2426"/>
              </w:tabs>
              <w:spacing w:before="0" w:after="120"/>
            </w:pPr>
            <w:r>
              <w:t>180</w:t>
            </w:r>
            <w:r w:rsidR="00295F13">
              <w:t>–</w:t>
            </w:r>
            <w:r>
              <w:t>273</w:t>
            </w:r>
          </w:p>
          <w:p w14:paraId="11428EC1" w14:textId="77777777" w:rsidR="001454DF" w:rsidRDefault="001454DF" w:rsidP="004C79C1">
            <w:pPr>
              <w:pStyle w:val="Tabletext1"/>
              <w:tabs>
                <w:tab w:val="left" w:pos="1168"/>
                <w:tab w:val="left" w:pos="2426"/>
              </w:tabs>
              <w:spacing w:before="0" w:after="120"/>
            </w:pPr>
          </w:p>
          <w:p w14:paraId="416B3849" w14:textId="77777777" w:rsidR="001454DF" w:rsidRDefault="001454DF" w:rsidP="004C79C1">
            <w:pPr>
              <w:pStyle w:val="Tabletext1"/>
              <w:tabs>
                <w:tab w:val="left" w:pos="1168"/>
                <w:tab w:val="left" w:pos="2426"/>
              </w:tabs>
              <w:spacing w:before="0" w:after="120"/>
            </w:pPr>
          </w:p>
          <w:p w14:paraId="495B2EDF" w14:textId="70FACFF1" w:rsidR="001454DF" w:rsidRPr="00183E4D" w:rsidRDefault="001454DF" w:rsidP="004C79C1">
            <w:pPr>
              <w:pStyle w:val="Tabletext1"/>
              <w:tabs>
                <w:tab w:val="left" w:pos="1168"/>
                <w:tab w:val="left" w:pos="2426"/>
              </w:tabs>
              <w:spacing w:before="0" w:after="120"/>
            </w:pPr>
            <w:r>
              <w:t>273</w:t>
            </w:r>
            <w:r w:rsidR="00295F13">
              <w:t>–</w:t>
            </w:r>
            <w:r>
              <w:t>366</w:t>
            </w:r>
          </w:p>
        </w:tc>
        <w:tc>
          <w:tcPr>
            <w:tcW w:w="405" w:type="pct"/>
          </w:tcPr>
          <w:p w14:paraId="4A21FF7F" w14:textId="77777777" w:rsidR="001454DF" w:rsidRDefault="001454DF" w:rsidP="004C79C1">
            <w:pPr>
              <w:pStyle w:val="Tabletext1"/>
              <w:spacing w:before="0" w:after="120"/>
              <w:rPr>
                <w:rFonts w:cs="Cambria Math"/>
              </w:rPr>
            </w:pPr>
            <w:r>
              <w:rPr>
                <w:rFonts w:cs="Cambria Math"/>
              </w:rPr>
              <w:t xml:space="preserve">Low </w:t>
            </w:r>
          </w:p>
          <w:p w14:paraId="155386DA" w14:textId="77777777" w:rsidR="001454DF" w:rsidRPr="00FA7EC9" w:rsidRDefault="001454DF" w:rsidP="004C79C1">
            <w:pPr>
              <w:pStyle w:val="Tabletext1"/>
              <w:spacing w:before="0" w:after="120"/>
              <w:rPr>
                <w:rFonts w:ascii="Cambria Math" w:hAnsi="Cambria Math" w:cs="Cambria Math"/>
              </w:rPr>
            </w:pPr>
            <w:r>
              <w:rPr>
                <w:rFonts w:ascii="Cambria Math" w:hAnsi="Cambria Math"/>
                <w:color w:val="00B050"/>
              </w:rPr>
              <w:t>⨁⨁</w:t>
            </w:r>
            <w:r w:rsidRPr="00D4733A">
              <w:rPr>
                <w:rFonts w:ascii="Cambria Math" w:hAnsi="Cambria Math" w:cs="Cambria Math"/>
                <w:color w:val="C00000"/>
              </w:rPr>
              <w:t>⨀⨀</w:t>
            </w:r>
          </w:p>
        </w:tc>
      </w:tr>
    </w:tbl>
    <w:p w14:paraId="1AFADE6F" w14:textId="13FB314C" w:rsidR="001454DF" w:rsidRDefault="00D55922" w:rsidP="00CC55F9">
      <w:pPr>
        <w:pStyle w:val="Tabletext1"/>
        <w:spacing w:before="0" w:after="0"/>
      </w:pPr>
      <w:proofErr w:type="gramStart"/>
      <w:r>
        <w:rPr>
          <w:vertAlign w:val="superscript"/>
        </w:rPr>
        <w:t>a</w:t>
      </w:r>
      <w:proofErr w:type="gramEnd"/>
      <w:r w:rsidR="001454DF">
        <w:t xml:space="preserve"> An imperfect reference standard was used</w:t>
      </w:r>
      <w:r>
        <w:t>.</w:t>
      </w:r>
    </w:p>
    <w:p w14:paraId="2533F98E" w14:textId="3C1929B4" w:rsidR="001454DF" w:rsidRPr="00B61828" w:rsidRDefault="00D55922" w:rsidP="00CC55F9">
      <w:pPr>
        <w:pStyle w:val="Tabletext1"/>
        <w:spacing w:before="0" w:after="0"/>
      </w:pPr>
      <w:proofErr w:type="gramStart"/>
      <w:r>
        <w:rPr>
          <w:vertAlign w:val="superscript"/>
        </w:rPr>
        <w:t>b</w:t>
      </w:r>
      <w:proofErr w:type="gramEnd"/>
      <w:r w:rsidR="001454DF">
        <w:t xml:space="preserve"> The confidence intervals of the sensitivity and/or specificity were (too) large</w:t>
      </w:r>
      <w:r>
        <w:t>.</w:t>
      </w:r>
    </w:p>
    <w:p w14:paraId="5244EB45" w14:textId="31F1795F" w:rsidR="00C8141B" w:rsidRPr="00141050" w:rsidRDefault="00A01BC0" w:rsidP="00CC55F9">
      <w:pPr>
        <w:spacing w:after="0" w:line="240" w:lineRule="auto"/>
        <w:jc w:val="both"/>
      </w:pPr>
      <w:r w:rsidRPr="00322B0D">
        <w:rPr>
          <w:rFonts w:ascii="Arial Narrow" w:hAnsi="Arial Narrow"/>
          <w:sz w:val="20"/>
          <w:szCs w:val="20"/>
        </w:rPr>
        <w:t xml:space="preserve">DCM = </w:t>
      </w:r>
      <w:r w:rsidR="00AB38EA" w:rsidRPr="00322B0D">
        <w:rPr>
          <w:rFonts w:ascii="Arial Narrow" w:hAnsi="Arial Narrow"/>
          <w:sz w:val="20"/>
          <w:szCs w:val="20"/>
        </w:rPr>
        <w:t>dilated cardiomyopathy</w:t>
      </w:r>
      <w:r w:rsidRPr="00322B0D">
        <w:rPr>
          <w:rFonts w:ascii="Arial Narrow" w:hAnsi="Arial Narrow"/>
          <w:sz w:val="20"/>
          <w:szCs w:val="20"/>
        </w:rPr>
        <w:t xml:space="preserve">; </w:t>
      </w:r>
      <w:r w:rsidR="000F3968" w:rsidRPr="00322B0D">
        <w:rPr>
          <w:rFonts w:ascii="Arial Narrow" w:hAnsi="Arial Narrow"/>
          <w:sz w:val="20"/>
          <w:szCs w:val="20"/>
        </w:rPr>
        <w:t xml:space="preserve">EMB = </w:t>
      </w:r>
      <w:r w:rsidR="000F3968" w:rsidRPr="00EE130A">
        <w:rPr>
          <w:rFonts w:ascii="Arial Narrow" w:hAnsi="Arial Narrow"/>
          <w:sz w:val="20"/>
          <w:szCs w:val="20"/>
        </w:rPr>
        <w:t xml:space="preserve">endomyocardial biopsy; </w:t>
      </w:r>
      <w:r w:rsidRPr="00322B0D">
        <w:rPr>
          <w:rFonts w:ascii="Arial Narrow" w:hAnsi="Arial Narrow"/>
          <w:sz w:val="20"/>
          <w:szCs w:val="20"/>
        </w:rPr>
        <w:t xml:space="preserve">HF = heart failure; ICA = </w:t>
      </w:r>
      <w:r w:rsidR="00AB38EA" w:rsidRPr="00322B0D">
        <w:rPr>
          <w:rFonts w:ascii="Arial Narrow" w:hAnsi="Arial Narrow"/>
          <w:sz w:val="20"/>
          <w:szCs w:val="20"/>
        </w:rPr>
        <w:t>invasive coronary angiography</w:t>
      </w:r>
      <w:r w:rsidRPr="00322B0D">
        <w:rPr>
          <w:rFonts w:ascii="Arial Narrow" w:hAnsi="Arial Narrow"/>
          <w:sz w:val="20"/>
          <w:szCs w:val="20"/>
        </w:rPr>
        <w:t xml:space="preserve">; LGE-CMR = </w:t>
      </w:r>
      <w:r w:rsidR="00AB38EA" w:rsidRPr="00322B0D">
        <w:rPr>
          <w:rFonts w:ascii="Arial Narrow" w:hAnsi="Arial Narrow"/>
          <w:sz w:val="20"/>
          <w:szCs w:val="20"/>
        </w:rPr>
        <w:t xml:space="preserve">late gadolinium enhancement cardiac </w:t>
      </w:r>
      <w:r w:rsidR="00AB38EA" w:rsidRPr="00814774">
        <w:rPr>
          <w:rFonts w:ascii="Arial Narrow" w:hAnsi="Arial Narrow"/>
          <w:sz w:val="20"/>
          <w:szCs w:val="20"/>
        </w:rPr>
        <w:t xml:space="preserve">magnetic resonance </w:t>
      </w:r>
      <w:r w:rsidR="00814774" w:rsidRPr="00814774">
        <w:rPr>
          <w:rFonts w:ascii="Arial Narrow" w:hAnsi="Arial Narrow"/>
          <w:sz w:val="20"/>
          <w:szCs w:val="20"/>
        </w:rPr>
        <w:t>(imaging)</w:t>
      </w:r>
      <w:r w:rsidRPr="00814774">
        <w:rPr>
          <w:rFonts w:ascii="Arial Narrow" w:hAnsi="Arial Narrow"/>
          <w:sz w:val="20"/>
          <w:szCs w:val="20"/>
        </w:rPr>
        <w:t xml:space="preserve">; </w:t>
      </w:r>
      <w:r w:rsidR="00B33EF9" w:rsidRPr="00814774">
        <w:rPr>
          <w:rFonts w:ascii="Arial Narrow" w:hAnsi="Arial Narrow"/>
          <w:sz w:val="20"/>
          <w:szCs w:val="20"/>
        </w:rPr>
        <w:t>QoE</w:t>
      </w:r>
      <w:r w:rsidR="00D55922" w:rsidRPr="00814774">
        <w:rPr>
          <w:rFonts w:ascii="Arial Narrow" w:hAnsi="Arial Narrow"/>
          <w:sz w:val="20"/>
          <w:szCs w:val="20"/>
        </w:rPr>
        <w:t xml:space="preserve"> </w:t>
      </w:r>
      <w:r w:rsidR="00B33EF9" w:rsidRPr="00814774">
        <w:rPr>
          <w:rFonts w:ascii="Arial Narrow" w:hAnsi="Arial Narrow"/>
          <w:sz w:val="20"/>
          <w:szCs w:val="20"/>
        </w:rPr>
        <w:t>=</w:t>
      </w:r>
      <w:r w:rsidR="00D55922" w:rsidRPr="00814774">
        <w:rPr>
          <w:rFonts w:ascii="Arial Narrow" w:hAnsi="Arial Narrow"/>
          <w:sz w:val="20"/>
          <w:szCs w:val="20"/>
        </w:rPr>
        <w:t xml:space="preserve"> </w:t>
      </w:r>
      <w:r w:rsidR="00B33EF9" w:rsidRPr="00814774">
        <w:rPr>
          <w:rFonts w:ascii="Arial Narrow" w:hAnsi="Arial Narrow"/>
          <w:sz w:val="20"/>
          <w:szCs w:val="20"/>
        </w:rPr>
        <w:t>quality of evidence</w:t>
      </w:r>
    </w:p>
    <w:p w14:paraId="550B3857" w14:textId="75EED315" w:rsidR="00A474A9" w:rsidRPr="000470F1" w:rsidRDefault="00050936" w:rsidP="00CC55F9">
      <w:pPr>
        <w:pStyle w:val="Caption"/>
        <w:spacing w:before="240"/>
      </w:pPr>
      <w:bookmarkStart w:id="842" w:name="_Ref451329172"/>
      <w:bookmarkStart w:id="843" w:name="_Toc324410263"/>
      <w:bookmarkStart w:id="844" w:name="_Toc451435414"/>
      <w:r>
        <w:t xml:space="preserve">Table </w:t>
      </w:r>
      <w:fldSimple w:instr=" SEQ Table \* ARABIC ">
        <w:r>
          <w:rPr>
            <w:noProof/>
          </w:rPr>
          <w:t>87</w:t>
        </w:r>
      </w:fldSimple>
      <w:bookmarkEnd w:id="842"/>
      <w:r w:rsidR="00A474A9">
        <w:tab/>
        <w:t>Evidence profile for the SRs investigating the prognostic value of using LGE-CMR to predict health outcomes in patients with DCM</w:t>
      </w:r>
      <w:bookmarkEnd w:id="843"/>
      <w:bookmarkEnd w:id="844"/>
    </w:p>
    <w:tbl>
      <w:tblPr>
        <w:tblStyle w:val="TableGrid"/>
        <w:tblW w:w="5000" w:type="pct"/>
        <w:tblLook w:val="04A0" w:firstRow="1" w:lastRow="0" w:firstColumn="1" w:lastColumn="0" w:noHBand="0" w:noVBand="1"/>
        <w:tblCaption w:val="Table 176"/>
        <w:tblDescription w:val="Evidence profile table for the safety of SP-CMR in patients with known or suspected CAD "/>
      </w:tblPr>
      <w:tblGrid>
        <w:gridCol w:w="1304"/>
        <w:gridCol w:w="854"/>
        <w:gridCol w:w="1299"/>
        <w:gridCol w:w="1333"/>
        <w:gridCol w:w="1265"/>
        <w:gridCol w:w="1157"/>
        <w:gridCol w:w="1439"/>
        <w:gridCol w:w="2430"/>
        <w:gridCol w:w="980"/>
        <w:gridCol w:w="1115"/>
      </w:tblGrid>
      <w:tr w:rsidR="00BE5D7C" w:rsidRPr="00183E4D" w14:paraId="646B1300" w14:textId="77777777" w:rsidTr="00BE5D7C">
        <w:trPr>
          <w:trHeight w:val="279"/>
          <w:tblHeader/>
        </w:trPr>
        <w:tc>
          <w:tcPr>
            <w:tcW w:w="495" w:type="pct"/>
          </w:tcPr>
          <w:p w14:paraId="2A7D31A1" w14:textId="77777777" w:rsidR="00A474A9" w:rsidRPr="00524FC1" w:rsidRDefault="00A474A9" w:rsidP="004C79C1">
            <w:pPr>
              <w:pStyle w:val="TableHeading"/>
              <w:spacing w:before="0" w:after="120"/>
              <w:ind w:left="0" w:firstLine="0"/>
            </w:pPr>
            <w:r w:rsidRPr="00524FC1">
              <w:t>Outcome</w:t>
            </w:r>
          </w:p>
        </w:tc>
        <w:tc>
          <w:tcPr>
            <w:tcW w:w="324" w:type="pct"/>
          </w:tcPr>
          <w:p w14:paraId="1FE5C708" w14:textId="77777777" w:rsidR="00A474A9" w:rsidRPr="00183E4D" w:rsidRDefault="00A474A9" w:rsidP="004C79C1">
            <w:pPr>
              <w:pStyle w:val="TableHeading"/>
              <w:spacing w:before="0" w:after="120"/>
              <w:ind w:left="0" w:firstLine="0"/>
            </w:pPr>
            <w:r>
              <w:t>Study design</w:t>
            </w:r>
          </w:p>
        </w:tc>
        <w:tc>
          <w:tcPr>
            <w:tcW w:w="493" w:type="pct"/>
          </w:tcPr>
          <w:p w14:paraId="4D1133B4" w14:textId="77777777" w:rsidR="00A474A9" w:rsidRPr="00A74C70" w:rsidRDefault="00A474A9" w:rsidP="004C79C1">
            <w:pPr>
              <w:pStyle w:val="TableHeading"/>
              <w:spacing w:before="0" w:after="120"/>
              <w:ind w:left="0" w:firstLine="0"/>
            </w:pPr>
            <w:r w:rsidRPr="00A74C70">
              <w:t>Risk of bias</w:t>
            </w:r>
          </w:p>
        </w:tc>
        <w:tc>
          <w:tcPr>
            <w:tcW w:w="506" w:type="pct"/>
          </w:tcPr>
          <w:p w14:paraId="27F96A44" w14:textId="77777777" w:rsidR="00A474A9" w:rsidRPr="00183E4D" w:rsidRDefault="00A474A9" w:rsidP="004C79C1">
            <w:pPr>
              <w:pStyle w:val="TableHeading"/>
              <w:spacing w:before="0" w:after="120"/>
              <w:ind w:left="0" w:firstLine="0"/>
            </w:pPr>
            <w:r>
              <w:t>Inconsistency</w:t>
            </w:r>
          </w:p>
        </w:tc>
        <w:tc>
          <w:tcPr>
            <w:tcW w:w="480" w:type="pct"/>
          </w:tcPr>
          <w:p w14:paraId="266E7F6E" w14:textId="77777777" w:rsidR="00A474A9" w:rsidRPr="00A74C70" w:rsidRDefault="00A474A9" w:rsidP="004C79C1">
            <w:pPr>
              <w:pStyle w:val="TableHeading"/>
              <w:spacing w:before="0" w:after="120"/>
              <w:ind w:left="0" w:firstLine="0"/>
            </w:pPr>
            <w:r w:rsidRPr="00A74C70">
              <w:t>Indirectness</w:t>
            </w:r>
          </w:p>
        </w:tc>
        <w:tc>
          <w:tcPr>
            <w:tcW w:w="439" w:type="pct"/>
          </w:tcPr>
          <w:p w14:paraId="781B78CC" w14:textId="77777777" w:rsidR="00A474A9" w:rsidRPr="00183E4D" w:rsidRDefault="00A474A9" w:rsidP="004C79C1">
            <w:pPr>
              <w:pStyle w:val="TableHeading"/>
              <w:spacing w:before="0" w:after="120"/>
              <w:ind w:left="0" w:firstLine="0"/>
            </w:pPr>
            <w:r>
              <w:t>Imprecision</w:t>
            </w:r>
          </w:p>
        </w:tc>
        <w:tc>
          <w:tcPr>
            <w:tcW w:w="546" w:type="pct"/>
          </w:tcPr>
          <w:p w14:paraId="50F62225" w14:textId="77777777" w:rsidR="00A474A9" w:rsidRPr="00183E4D" w:rsidRDefault="00A474A9" w:rsidP="004C79C1">
            <w:pPr>
              <w:pStyle w:val="TableHeading"/>
              <w:spacing w:before="0" w:after="120"/>
              <w:ind w:left="0" w:firstLine="0"/>
            </w:pPr>
            <w:r>
              <w:t>Other considerations</w:t>
            </w:r>
          </w:p>
        </w:tc>
        <w:tc>
          <w:tcPr>
            <w:tcW w:w="922" w:type="pct"/>
          </w:tcPr>
          <w:p w14:paraId="0D88BEFC" w14:textId="77777777" w:rsidR="00A474A9" w:rsidRDefault="00A474A9" w:rsidP="004C79C1">
            <w:pPr>
              <w:pStyle w:val="TableHeading"/>
              <w:spacing w:before="0" w:after="120"/>
              <w:ind w:left="0" w:firstLine="0"/>
            </w:pPr>
            <w:r>
              <w:t>Summary of findings</w:t>
            </w:r>
          </w:p>
          <w:p w14:paraId="52137F58" w14:textId="77777777" w:rsidR="00A474A9" w:rsidRPr="006C0C52" w:rsidRDefault="00A474A9" w:rsidP="004C79C1">
            <w:pPr>
              <w:pStyle w:val="TableHeading"/>
              <w:spacing w:before="0" w:after="120"/>
              <w:ind w:left="0" w:firstLine="0"/>
            </w:pPr>
            <w:r>
              <w:t>HR</w:t>
            </w:r>
            <w:r w:rsidRPr="00F47257">
              <w:rPr>
                <w:vertAlign w:val="subscript"/>
              </w:rPr>
              <w:t>p</w:t>
            </w:r>
            <w:r>
              <w:t>, OR</w:t>
            </w:r>
            <w:r w:rsidRPr="00F47257">
              <w:rPr>
                <w:vertAlign w:val="subscript"/>
              </w:rPr>
              <w:t>p</w:t>
            </w:r>
            <w:r>
              <w:t xml:space="preserve"> (95%CI)</w:t>
            </w:r>
          </w:p>
        </w:tc>
        <w:tc>
          <w:tcPr>
            <w:tcW w:w="372" w:type="pct"/>
          </w:tcPr>
          <w:p w14:paraId="51093CD7" w14:textId="77777777" w:rsidR="00A474A9" w:rsidRPr="00183E4D" w:rsidRDefault="00A474A9" w:rsidP="004C79C1">
            <w:pPr>
              <w:pStyle w:val="TableHeading"/>
              <w:spacing w:before="0" w:after="120"/>
              <w:ind w:left="0" w:firstLine="0"/>
            </w:pPr>
            <w:r>
              <w:t>Q</w:t>
            </w:r>
            <w:r w:rsidRPr="00AF11F4">
              <w:t>uality of evidence</w:t>
            </w:r>
          </w:p>
        </w:tc>
        <w:tc>
          <w:tcPr>
            <w:tcW w:w="425" w:type="pct"/>
          </w:tcPr>
          <w:p w14:paraId="6A6FF731" w14:textId="77777777" w:rsidR="00A474A9" w:rsidRPr="00183E4D" w:rsidRDefault="00A474A9" w:rsidP="004C79C1">
            <w:pPr>
              <w:pStyle w:val="TableHeading"/>
              <w:spacing w:before="0" w:after="120"/>
              <w:ind w:left="0" w:firstLine="0"/>
            </w:pPr>
            <w:r>
              <w:t>Importance</w:t>
            </w:r>
          </w:p>
        </w:tc>
      </w:tr>
      <w:tr w:rsidR="00BE5D7C" w:rsidRPr="00183E4D" w14:paraId="1853FA9D" w14:textId="77777777" w:rsidTr="00BE5D7C">
        <w:trPr>
          <w:trHeight w:val="319"/>
        </w:trPr>
        <w:tc>
          <w:tcPr>
            <w:tcW w:w="495" w:type="pct"/>
          </w:tcPr>
          <w:p w14:paraId="7AC4DF08" w14:textId="77777777" w:rsidR="00A474A9" w:rsidRDefault="00A474A9" w:rsidP="004C79C1">
            <w:pPr>
              <w:pStyle w:val="Tabletext1"/>
              <w:spacing w:before="0" w:after="120"/>
            </w:pPr>
            <w:r>
              <w:t>All-cause mortality</w:t>
            </w:r>
          </w:p>
        </w:tc>
        <w:tc>
          <w:tcPr>
            <w:tcW w:w="324" w:type="pct"/>
          </w:tcPr>
          <w:p w14:paraId="6DAD35A8" w14:textId="263225CB" w:rsidR="00A474A9" w:rsidRDefault="007B2522" w:rsidP="004C79C1">
            <w:pPr>
              <w:pStyle w:val="Tabletext1"/>
              <w:spacing w:before="0" w:after="120"/>
            </w:pPr>
            <w:r>
              <w:t>K</w:t>
            </w:r>
            <w:r w:rsidR="00A474A9">
              <w:t>=4 SRs (level I)</w:t>
            </w:r>
          </w:p>
        </w:tc>
        <w:tc>
          <w:tcPr>
            <w:tcW w:w="493" w:type="pct"/>
          </w:tcPr>
          <w:p w14:paraId="28F062B2" w14:textId="77777777" w:rsidR="00A474A9" w:rsidRDefault="00A474A9" w:rsidP="004C79C1">
            <w:pPr>
              <w:pStyle w:val="Tabletext1"/>
              <w:spacing w:before="0" w:after="120"/>
            </w:pPr>
            <w:r>
              <w:t>Not serious</w:t>
            </w:r>
          </w:p>
          <w:p w14:paraId="29071976" w14:textId="77777777" w:rsidR="00A474A9" w:rsidRPr="00183E4D" w:rsidRDefault="00A474A9" w:rsidP="004C79C1">
            <w:pPr>
              <w:pStyle w:val="Tabletext1"/>
              <w:spacing w:before="0" w:after="120"/>
            </w:pPr>
            <w:r w:rsidRPr="003363DE">
              <w:t>(1 low, 2 moderate</w:t>
            </w:r>
            <w:r>
              <w:t>, 1 high</w:t>
            </w:r>
            <w:r w:rsidRPr="003363DE">
              <w:t xml:space="preserve"> risk)</w:t>
            </w:r>
          </w:p>
        </w:tc>
        <w:tc>
          <w:tcPr>
            <w:tcW w:w="506" w:type="pct"/>
          </w:tcPr>
          <w:p w14:paraId="106892B2" w14:textId="77777777" w:rsidR="00A474A9" w:rsidRPr="00183E4D" w:rsidRDefault="00A474A9" w:rsidP="004C79C1">
            <w:pPr>
              <w:pStyle w:val="Tabletext1"/>
              <w:spacing w:before="0" w:after="120"/>
            </w:pPr>
            <w:r>
              <w:t>Not serious</w:t>
            </w:r>
          </w:p>
        </w:tc>
        <w:tc>
          <w:tcPr>
            <w:tcW w:w="480" w:type="pct"/>
          </w:tcPr>
          <w:p w14:paraId="16D06D71" w14:textId="77777777" w:rsidR="00A474A9" w:rsidRPr="0033132F" w:rsidRDefault="00A474A9" w:rsidP="004C79C1">
            <w:pPr>
              <w:pStyle w:val="Tabletext1"/>
              <w:spacing w:before="0" w:after="120"/>
            </w:pPr>
            <w:r>
              <w:t xml:space="preserve">Not </w:t>
            </w:r>
            <w:r w:rsidRPr="0033132F">
              <w:t>serious</w:t>
            </w:r>
          </w:p>
        </w:tc>
        <w:tc>
          <w:tcPr>
            <w:tcW w:w="439" w:type="pct"/>
          </w:tcPr>
          <w:p w14:paraId="76CAAA53" w14:textId="4B696715" w:rsidR="00A474A9" w:rsidRPr="0033132F" w:rsidRDefault="00A474A9" w:rsidP="004C79C1">
            <w:pPr>
              <w:pStyle w:val="Tabletext1"/>
              <w:spacing w:before="0" w:after="120"/>
            </w:pPr>
            <w:r>
              <w:t>Serious</w:t>
            </w:r>
            <w:r w:rsidR="00A41020" w:rsidDel="00A41020">
              <w:t xml:space="preserve"> </w:t>
            </w:r>
            <w:r>
              <w:t>(duplication of data)</w:t>
            </w:r>
          </w:p>
        </w:tc>
        <w:tc>
          <w:tcPr>
            <w:tcW w:w="546" w:type="pct"/>
          </w:tcPr>
          <w:p w14:paraId="57F53739" w14:textId="77777777" w:rsidR="00A474A9" w:rsidRPr="00183E4D" w:rsidRDefault="00A474A9" w:rsidP="004C79C1">
            <w:pPr>
              <w:pStyle w:val="Tabletext1"/>
              <w:spacing w:before="0" w:after="120"/>
            </w:pPr>
            <w:r>
              <w:t>Confounding would suggest spurious effect, while no effect was observed</w:t>
            </w:r>
          </w:p>
        </w:tc>
        <w:tc>
          <w:tcPr>
            <w:tcW w:w="922" w:type="pct"/>
          </w:tcPr>
          <w:p w14:paraId="75547652" w14:textId="77777777" w:rsidR="00A474A9" w:rsidRDefault="00A474A9" w:rsidP="004C79C1">
            <w:pPr>
              <w:pStyle w:val="Tabletext1"/>
              <w:spacing w:before="0" w:after="120"/>
            </w:pPr>
            <w:r w:rsidRPr="00F47257">
              <w:t>OR</w:t>
            </w:r>
            <w:r w:rsidRPr="003363DE">
              <w:rPr>
                <w:vertAlign w:val="subscript"/>
              </w:rPr>
              <w:t>p</w:t>
            </w:r>
            <w:r w:rsidRPr="00F47257">
              <w:t xml:space="preserve"> = 3.43 (2.26, 5.22), k=5</w:t>
            </w:r>
          </w:p>
          <w:p w14:paraId="444C2837" w14:textId="77777777" w:rsidR="00A474A9" w:rsidRDefault="00A474A9" w:rsidP="004C79C1">
            <w:pPr>
              <w:pStyle w:val="Tabletext1"/>
              <w:spacing w:before="0" w:after="120"/>
            </w:pPr>
            <w:r w:rsidRPr="00F47257">
              <w:t>HR</w:t>
            </w:r>
            <w:r w:rsidRPr="003363DE">
              <w:rPr>
                <w:vertAlign w:val="subscript"/>
              </w:rPr>
              <w:t>p</w:t>
            </w:r>
            <w:r w:rsidRPr="00F47257">
              <w:t xml:space="preserve"> = 2.48 [1.78, 3.44] k=3</w:t>
            </w:r>
          </w:p>
          <w:p w14:paraId="38AFACB5" w14:textId="77777777" w:rsidR="00A474A9" w:rsidRDefault="00A474A9" w:rsidP="004C79C1">
            <w:pPr>
              <w:pStyle w:val="Tabletext1"/>
              <w:spacing w:before="0" w:after="120"/>
            </w:pPr>
            <w:r w:rsidRPr="00F47257">
              <w:t>OR</w:t>
            </w:r>
            <w:r w:rsidRPr="003363DE">
              <w:rPr>
                <w:vertAlign w:val="subscript"/>
              </w:rPr>
              <w:t>p</w:t>
            </w:r>
            <w:r w:rsidRPr="00F47257">
              <w:t xml:space="preserve"> = 3.27 (1.94, 5.51), k=3</w:t>
            </w:r>
          </w:p>
          <w:p w14:paraId="468176B7" w14:textId="77777777" w:rsidR="00A474A9" w:rsidRPr="00AD3118" w:rsidRDefault="00A474A9" w:rsidP="004C79C1">
            <w:pPr>
              <w:pStyle w:val="Tabletext1"/>
              <w:spacing w:before="0" w:after="120"/>
            </w:pPr>
            <w:r w:rsidRPr="00F47257">
              <w:t>OR</w:t>
            </w:r>
            <w:r w:rsidRPr="003363DE">
              <w:rPr>
                <w:vertAlign w:val="subscript"/>
              </w:rPr>
              <w:t>p</w:t>
            </w:r>
            <w:r w:rsidRPr="00F47257">
              <w:t xml:space="preserve"> = 1.71 (0.80, 3.68), k=4</w:t>
            </w:r>
          </w:p>
        </w:tc>
        <w:tc>
          <w:tcPr>
            <w:tcW w:w="372" w:type="pct"/>
          </w:tcPr>
          <w:p w14:paraId="6FB437F3"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425" w:type="pct"/>
          </w:tcPr>
          <w:p w14:paraId="6FD34D93" w14:textId="77777777" w:rsidR="00A474A9" w:rsidRPr="00183E4D" w:rsidRDefault="00A474A9" w:rsidP="004C79C1">
            <w:pPr>
              <w:pStyle w:val="Tabletext1"/>
              <w:spacing w:before="0" w:after="120"/>
            </w:pPr>
            <w:r>
              <w:t>Critical</w:t>
            </w:r>
            <w:r>
              <w:br/>
              <w:t>(9/9)</w:t>
            </w:r>
          </w:p>
        </w:tc>
      </w:tr>
      <w:tr w:rsidR="00BE5D7C" w:rsidRPr="00183E4D" w14:paraId="27E444E0" w14:textId="77777777" w:rsidTr="00BE5D7C">
        <w:trPr>
          <w:trHeight w:val="319"/>
        </w:trPr>
        <w:tc>
          <w:tcPr>
            <w:tcW w:w="495" w:type="pct"/>
          </w:tcPr>
          <w:p w14:paraId="68C21666" w14:textId="77777777" w:rsidR="00A474A9" w:rsidRDefault="00A474A9" w:rsidP="004C79C1">
            <w:pPr>
              <w:pStyle w:val="Tabletext1"/>
              <w:spacing w:before="0" w:after="120"/>
            </w:pPr>
            <w:r>
              <w:t>SCD</w:t>
            </w:r>
          </w:p>
        </w:tc>
        <w:tc>
          <w:tcPr>
            <w:tcW w:w="324" w:type="pct"/>
          </w:tcPr>
          <w:p w14:paraId="78E23E30" w14:textId="40A84BFD" w:rsidR="00A474A9" w:rsidRDefault="007B2522" w:rsidP="004C79C1">
            <w:pPr>
              <w:pStyle w:val="Tabletext1"/>
              <w:spacing w:before="0" w:after="120"/>
            </w:pPr>
            <w:r>
              <w:t>K</w:t>
            </w:r>
            <w:r w:rsidR="00A474A9">
              <w:t>=2 SRs (level I)</w:t>
            </w:r>
          </w:p>
        </w:tc>
        <w:tc>
          <w:tcPr>
            <w:tcW w:w="493" w:type="pct"/>
          </w:tcPr>
          <w:p w14:paraId="1A78B04D" w14:textId="77777777" w:rsidR="00A474A9" w:rsidRDefault="00A474A9" w:rsidP="004C79C1">
            <w:pPr>
              <w:pStyle w:val="Tabletext1"/>
              <w:spacing w:before="0" w:after="120"/>
            </w:pPr>
            <w:r>
              <w:t>Not serious</w:t>
            </w:r>
          </w:p>
          <w:p w14:paraId="23102D00" w14:textId="77777777" w:rsidR="00A474A9" w:rsidRPr="00183E4D" w:rsidRDefault="00A474A9" w:rsidP="004C79C1">
            <w:pPr>
              <w:pStyle w:val="Tabletext1"/>
              <w:spacing w:before="0" w:after="120"/>
            </w:pPr>
            <w:r>
              <w:t xml:space="preserve">(1 low, 1 </w:t>
            </w:r>
            <w:r>
              <w:lastRenderedPageBreak/>
              <w:t>moderate risk)</w:t>
            </w:r>
          </w:p>
        </w:tc>
        <w:tc>
          <w:tcPr>
            <w:tcW w:w="506" w:type="pct"/>
          </w:tcPr>
          <w:p w14:paraId="3E9B273A" w14:textId="77777777" w:rsidR="00A474A9" w:rsidRPr="00183E4D" w:rsidRDefault="00A474A9" w:rsidP="004C79C1">
            <w:pPr>
              <w:pStyle w:val="Tabletext1"/>
              <w:spacing w:before="0" w:after="120"/>
            </w:pPr>
            <w:r>
              <w:lastRenderedPageBreak/>
              <w:t>Not serious</w:t>
            </w:r>
          </w:p>
        </w:tc>
        <w:tc>
          <w:tcPr>
            <w:tcW w:w="480" w:type="pct"/>
          </w:tcPr>
          <w:p w14:paraId="613CA7D2" w14:textId="77777777" w:rsidR="00A474A9" w:rsidRPr="0033132F" w:rsidRDefault="00A474A9" w:rsidP="004C79C1">
            <w:pPr>
              <w:pStyle w:val="Tabletext1"/>
              <w:spacing w:before="0" w:after="120"/>
            </w:pPr>
            <w:r>
              <w:t xml:space="preserve">Not </w:t>
            </w:r>
            <w:r w:rsidRPr="0033132F">
              <w:t>serious</w:t>
            </w:r>
          </w:p>
        </w:tc>
        <w:tc>
          <w:tcPr>
            <w:tcW w:w="439" w:type="pct"/>
          </w:tcPr>
          <w:p w14:paraId="4AEDA25F" w14:textId="2F02A9B8" w:rsidR="00A474A9" w:rsidRPr="0033132F" w:rsidRDefault="00A474A9" w:rsidP="004C79C1">
            <w:pPr>
              <w:pStyle w:val="Tabletext1"/>
              <w:spacing w:before="0" w:after="120"/>
            </w:pPr>
            <w:r>
              <w:t>Very serious</w:t>
            </w:r>
            <w:r w:rsidR="00A41020" w:rsidDel="00A41020">
              <w:t xml:space="preserve"> </w:t>
            </w:r>
            <w:r>
              <w:t xml:space="preserve">(duplicated data, wide </w:t>
            </w:r>
            <w:r>
              <w:lastRenderedPageBreak/>
              <w:t>95%CIs)</w:t>
            </w:r>
          </w:p>
        </w:tc>
        <w:tc>
          <w:tcPr>
            <w:tcW w:w="546" w:type="pct"/>
          </w:tcPr>
          <w:p w14:paraId="197AEB1C" w14:textId="77777777" w:rsidR="00A474A9" w:rsidRPr="00183E4D" w:rsidRDefault="00A474A9" w:rsidP="004C79C1">
            <w:pPr>
              <w:pStyle w:val="Tabletext1"/>
              <w:spacing w:before="0" w:after="120"/>
            </w:pPr>
            <w:r>
              <w:lastRenderedPageBreak/>
              <w:t>None</w:t>
            </w:r>
          </w:p>
        </w:tc>
        <w:tc>
          <w:tcPr>
            <w:tcW w:w="922" w:type="pct"/>
          </w:tcPr>
          <w:p w14:paraId="1B9A476C" w14:textId="77777777" w:rsidR="00A474A9" w:rsidRPr="009A65AE" w:rsidRDefault="00A474A9" w:rsidP="004C79C1">
            <w:pPr>
              <w:spacing w:after="120" w:line="240" w:lineRule="auto"/>
              <w:rPr>
                <w:rFonts w:ascii="Arial Narrow" w:hAnsi="Arial Narrow" w:cs="Arial Narrow"/>
                <w:bCs/>
                <w:sz w:val="20"/>
                <w:szCs w:val="20"/>
              </w:rPr>
            </w:pPr>
            <w:r w:rsidRPr="009A65AE">
              <w:rPr>
                <w:rFonts w:ascii="Arial Narrow" w:hAnsi="Arial Narrow" w:cs="Arial Narrow"/>
                <w:bCs/>
                <w:sz w:val="20"/>
                <w:szCs w:val="20"/>
              </w:rPr>
              <w:t>OR</w:t>
            </w:r>
            <w:r w:rsidRPr="009A65AE">
              <w:rPr>
                <w:rFonts w:ascii="Arial Narrow" w:hAnsi="Arial Narrow" w:cs="Arial Narrow"/>
                <w:bCs/>
                <w:sz w:val="20"/>
                <w:szCs w:val="20"/>
                <w:vertAlign w:val="subscript"/>
              </w:rPr>
              <w:t>p</w:t>
            </w:r>
            <w:r w:rsidRPr="009A65AE">
              <w:rPr>
                <w:rFonts w:ascii="Arial Narrow" w:hAnsi="Arial Narrow" w:cs="Arial Narrow"/>
                <w:bCs/>
                <w:sz w:val="20"/>
                <w:szCs w:val="20"/>
              </w:rPr>
              <w:t xml:space="preserve"> = 3.33 (1.80, 6.17), k=9</w:t>
            </w:r>
          </w:p>
          <w:p w14:paraId="08B2C132" w14:textId="77777777" w:rsidR="00A474A9" w:rsidRPr="00F47257" w:rsidRDefault="00A474A9" w:rsidP="004C79C1">
            <w:pPr>
              <w:spacing w:after="120" w:line="240" w:lineRule="auto"/>
              <w:rPr>
                <w:rFonts w:ascii="Arial Narrow" w:hAnsi="Arial Narrow" w:cs="Arial Narrow"/>
                <w:bCs/>
                <w:sz w:val="20"/>
                <w:szCs w:val="20"/>
              </w:rPr>
            </w:pPr>
            <w:r w:rsidRPr="009A65AE">
              <w:rPr>
                <w:rFonts w:ascii="Arial Narrow" w:hAnsi="Arial Narrow" w:cs="Arial Narrow"/>
                <w:bCs/>
                <w:sz w:val="20"/>
                <w:szCs w:val="20"/>
              </w:rPr>
              <w:t>OR</w:t>
            </w:r>
            <w:r w:rsidRPr="009A65AE">
              <w:rPr>
                <w:rFonts w:ascii="Arial Narrow" w:hAnsi="Arial Narrow" w:cs="Arial Narrow"/>
                <w:bCs/>
                <w:sz w:val="20"/>
                <w:szCs w:val="20"/>
                <w:vertAlign w:val="subscript"/>
              </w:rPr>
              <w:t>p</w:t>
            </w:r>
            <w:r w:rsidRPr="009A65AE">
              <w:rPr>
                <w:rFonts w:ascii="Arial Narrow" w:hAnsi="Arial Narrow" w:cs="Arial Narrow"/>
                <w:bCs/>
                <w:sz w:val="20"/>
                <w:szCs w:val="20"/>
              </w:rPr>
              <w:t xml:space="preserve"> = 2.05 (0.56, 7.50), k=4</w:t>
            </w:r>
          </w:p>
        </w:tc>
        <w:tc>
          <w:tcPr>
            <w:tcW w:w="372" w:type="pct"/>
          </w:tcPr>
          <w:p w14:paraId="4CAA4F2A"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425" w:type="pct"/>
          </w:tcPr>
          <w:p w14:paraId="3CABDA58" w14:textId="77777777" w:rsidR="00A474A9" w:rsidRPr="00183E4D" w:rsidRDefault="00A474A9" w:rsidP="004C79C1">
            <w:pPr>
              <w:pStyle w:val="Tabletext1"/>
              <w:spacing w:before="0" w:after="120"/>
            </w:pPr>
            <w:r>
              <w:t>Critical</w:t>
            </w:r>
            <w:r>
              <w:br/>
              <w:t>(9/9)</w:t>
            </w:r>
          </w:p>
        </w:tc>
      </w:tr>
      <w:tr w:rsidR="00BE5D7C" w:rsidRPr="00183E4D" w14:paraId="51436B96" w14:textId="77777777" w:rsidTr="00BE5D7C">
        <w:trPr>
          <w:trHeight w:val="319"/>
        </w:trPr>
        <w:tc>
          <w:tcPr>
            <w:tcW w:w="495" w:type="pct"/>
          </w:tcPr>
          <w:p w14:paraId="7B331638" w14:textId="77777777" w:rsidR="00A474A9" w:rsidRDefault="00A474A9" w:rsidP="004C79C1">
            <w:pPr>
              <w:pStyle w:val="Tabletext1"/>
              <w:spacing w:before="0" w:after="120"/>
            </w:pPr>
            <w:r w:rsidRPr="009A65AE">
              <w:rPr>
                <w:rFonts w:cs="Arial Narrow"/>
                <w:bCs/>
              </w:rPr>
              <w:lastRenderedPageBreak/>
              <w:t>Hospitalisation for HF</w:t>
            </w:r>
          </w:p>
        </w:tc>
        <w:tc>
          <w:tcPr>
            <w:tcW w:w="324" w:type="pct"/>
          </w:tcPr>
          <w:p w14:paraId="71E8622B" w14:textId="591B1EBE" w:rsidR="00A474A9" w:rsidRDefault="007B2522" w:rsidP="004C79C1">
            <w:pPr>
              <w:pStyle w:val="Tabletext1"/>
              <w:spacing w:before="0" w:after="120"/>
            </w:pPr>
            <w:r>
              <w:t>K</w:t>
            </w:r>
            <w:r w:rsidR="00A474A9">
              <w:t>=3 SRs (level I)</w:t>
            </w:r>
          </w:p>
        </w:tc>
        <w:tc>
          <w:tcPr>
            <w:tcW w:w="493" w:type="pct"/>
          </w:tcPr>
          <w:p w14:paraId="7B0B0753" w14:textId="77777777" w:rsidR="00A474A9" w:rsidRDefault="00A474A9" w:rsidP="004C79C1">
            <w:pPr>
              <w:pStyle w:val="Tabletext1"/>
              <w:spacing w:before="0" w:after="120"/>
            </w:pPr>
            <w:r>
              <w:t>Not serious</w:t>
            </w:r>
          </w:p>
          <w:p w14:paraId="7124F728" w14:textId="77777777" w:rsidR="00A474A9" w:rsidRPr="00183E4D" w:rsidRDefault="00A474A9" w:rsidP="004C79C1">
            <w:pPr>
              <w:pStyle w:val="Tabletext1"/>
              <w:spacing w:before="0" w:after="120"/>
            </w:pPr>
            <w:r>
              <w:t>(1 low, 2 moderate risk)</w:t>
            </w:r>
          </w:p>
        </w:tc>
        <w:tc>
          <w:tcPr>
            <w:tcW w:w="506" w:type="pct"/>
          </w:tcPr>
          <w:p w14:paraId="322AAB0C" w14:textId="77777777" w:rsidR="00A474A9" w:rsidRPr="00183E4D" w:rsidRDefault="00A474A9" w:rsidP="004C79C1">
            <w:pPr>
              <w:pStyle w:val="Tabletext1"/>
              <w:spacing w:before="0" w:after="120"/>
            </w:pPr>
            <w:r>
              <w:t>Not serious</w:t>
            </w:r>
          </w:p>
        </w:tc>
        <w:tc>
          <w:tcPr>
            <w:tcW w:w="480" w:type="pct"/>
          </w:tcPr>
          <w:p w14:paraId="29F0CC65" w14:textId="77777777" w:rsidR="00A474A9" w:rsidRPr="0033132F" w:rsidRDefault="00A474A9" w:rsidP="004C79C1">
            <w:pPr>
              <w:pStyle w:val="Tabletext1"/>
              <w:spacing w:before="0" w:after="120"/>
            </w:pPr>
            <w:r>
              <w:t xml:space="preserve">Not </w:t>
            </w:r>
            <w:r w:rsidRPr="0033132F">
              <w:t>serious</w:t>
            </w:r>
          </w:p>
        </w:tc>
        <w:tc>
          <w:tcPr>
            <w:tcW w:w="439" w:type="pct"/>
          </w:tcPr>
          <w:p w14:paraId="7FEABE6B" w14:textId="4610C907" w:rsidR="00A474A9" w:rsidRPr="0033132F" w:rsidRDefault="00A474A9" w:rsidP="004C79C1">
            <w:pPr>
              <w:pStyle w:val="Tabletext1"/>
              <w:spacing w:before="0" w:after="120"/>
            </w:pPr>
            <w:r>
              <w:t>Serious</w:t>
            </w:r>
            <w:r w:rsidR="00A41020" w:rsidDel="00A41020">
              <w:t xml:space="preserve"> </w:t>
            </w:r>
            <w:r>
              <w:t>(duplicated data)</w:t>
            </w:r>
          </w:p>
        </w:tc>
        <w:tc>
          <w:tcPr>
            <w:tcW w:w="546" w:type="pct"/>
          </w:tcPr>
          <w:p w14:paraId="6B98010F" w14:textId="77777777" w:rsidR="00A474A9" w:rsidRPr="00183E4D" w:rsidRDefault="00A474A9" w:rsidP="004C79C1">
            <w:pPr>
              <w:pStyle w:val="Tabletext1"/>
              <w:spacing w:before="0" w:after="120"/>
            </w:pPr>
            <w:r w:rsidRPr="003740E0">
              <w:t>Confounding would suggest spurious effect, while no effect was observed</w:t>
            </w:r>
          </w:p>
        </w:tc>
        <w:tc>
          <w:tcPr>
            <w:tcW w:w="922" w:type="pct"/>
          </w:tcPr>
          <w:p w14:paraId="416D95C2" w14:textId="77777777" w:rsidR="00A474A9" w:rsidRPr="009A65AE" w:rsidRDefault="00A474A9" w:rsidP="004C79C1">
            <w:pPr>
              <w:spacing w:after="120" w:line="240" w:lineRule="auto"/>
              <w:rPr>
                <w:rFonts w:ascii="Arial Narrow" w:hAnsi="Arial Narrow" w:cs="Arial Narrow"/>
                <w:bCs/>
                <w:sz w:val="20"/>
                <w:szCs w:val="20"/>
              </w:rPr>
            </w:pPr>
            <w:r w:rsidRPr="009A65AE">
              <w:rPr>
                <w:rFonts w:ascii="Arial Narrow" w:hAnsi="Arial Narrow" w:cs="Arial Narrow"/>
                <w:bCs/>
                <w:sz w:val="20"/>
                <w:szCs w:val="20"/>
              </w:rPr>
              <w:t>OR</w:t>
            </w:r>
            <w:r w:rsidRPr="009A65AE">
              <w:rPr>
                <w:rFonts w:ascii="Arial Narrow" w:hAnsi="Arial Narrow" w:cs="Arial Narrow"/>
                <w:bCs/>
                <w:sz w:val="20"/>
                <w:szCs w:val="20"/>
                <w:vertAlign w:val="subscript"/>
              </w:rPr>
              <w:t>p</w:t>
            </w:r>
            <w:r w:rsidRPr="009A65AE">
              <w:rPr>
                <w:rFonts w:ascii="Arial Narrow" w:hAnsi="Arial Narrow" w:cs="Arial Narrow"/>
                <w:bCs/>
                <w:sz w:val="20"/>
                <w:szCs w:val="20"/>
              </w:rPr>
              <w:t xml:space="preserve"> = 2.87 (1.53, 5.39), k=10</w:t>
            </w:r>
          </w:p>
          <w:p w14:paraId="24171051" w14:textId="77777777" w:rsidR="00A474A9" w:rsidRPr="009A65AE" w:rsidRDefault="00A474A9" w:rsidP="004C79C1">
            <w:pPr>
              <w:spacing w:after="120" w:line="240" w:lineRule="auto"/>
              <w:rPr>
                <w:rFonts w:ascii="Arial Narrow" w:hAnsi="Arial Narrow" w:cs="Arial Narrow"/>
                <w:bCs/>
                <w:sz w:val="20"/>
                <w:szCs w:val="20"/>
              </w:rPr>
            </w:pPr>
            <w:r w:rsidRPr="009A65AE">
              <w:rPr>
                <w:rFonts w:ascii="Arial Narrow" w:hAnsi="Arial Narrow" w:cs="Arial Narrow"/>
                <w:bCs/>
                <w:sz w:val="20"/>
                <w:szCs w:val="20"/>
              </w:rPr>
              <w:t>OR</w:t>
            </w:r>
            <w:r w:rsidRPr="009A65AE">
              <w:rPr>
                <w:rFonts w:ascii="Arial Narrow" w:hAnsi="Arial Narrow" w:cs="Arial Narrow"/>
                <w:bCs/>
                <w:sz w:val="20"/>
                <w:szCs w:val="20"/>
                <w:vertAlign w:val="subscript"/>
              </w:rPr>
              <w:t>p</w:t>
            </w:r>
            <w:r w:rsidRPr="009A65AE">
              <w:rPr>
                <w:rFonts w:ascii="Arial Narrow" w:hAnsi="Arial Narrow" w:cs="Arial Narrow"/>
                <w:bCs/>
                <w:sz w:val="20"/>
                <w:szCs w:val="20"/>
              </w:rPr>
              <w:t xml:space="preserve"> = 2.91 (1.16, 7.27), k=5</w:t>
            </w:r>
          </w:p>
          <w:p w14:paraId="23D9A8ED" w14:textId="77777777" w:rsidR="00A474A9" w:rsidRPr="00F47257" w:rsidRDefault="00A474A9" w:rsidP="004C79C1">
            <w:pPr>
              <w:spacing w:after="120" w:line="240" w:lineRule="auto"/>
              <w:rPr>
                <w:rFonts w:ascii="Arial Narrow" w:hAnsi="Arial Narrow" w:cs="Arial Narrow"/>
                <w:bCs/>
                <w:sz w:val="20"/>
                <w:szCs w:val="20"/>
              </w:rPr>
            </w:pPr>
            <w:r w:rsidRPr="003363DE">
              <w:rPr>
                <w:rFonts w:ascii="Arial Narrow" w:hAnsi="Arial Narrow" w:cs="Arial Narrow"/>
                <w:bCs/>
                <w:sz w:val="20"/>
                <w:szCs w:val="20"/>
              </w:rPr>
              <w:t>OR</w:t>
            </w:r>
            <w:r w:rsidRPr="003363DE">
              <w:rPr>
                <w:rFonts w:ascii="Arial Narrow" w:hAnsi="Arial Narrow" w:cs="Arial Narrow"/>
                <w:bCs/>
                <w:sz w:val="20"/>
                <w:szCs w:val="20"/>
                <w:vertAlign w:val="subscript"/>
              </w:rPr>
              <w:t>p</w:t>
            </w:r>
            <w:r w:rsidRPr="003363DE">
              <w:rPr>
                <w:rFonts w:ascii="Arial Narrow" w:hAnsi="Arial Narrow" w:cs="Arial Narrow"/>
                <w:bCs/>
                <w:sz w:val="20"/>
                <w:szCs w:val="20"/>
              </w:rPr>
              <w:t xml:space="preserve"> = 3.91 (1.99, 7.69), k=5</w:t>
            </w:r>
          </w:p>
        </w:tc>
        <w:tc>
          <w:tcPr>
            <w:tcW w:w="372" w:type="pct"/>
          </w:tcPr>
          <w:p w14:paraId="70325A18"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425" w:type="pct"/>
          </w:tcPr>
          <w:p w14:paraId="56B74E4B" w14:textId="77777777" w:rsidR="00A474A9" w:rsidRPr="00183E4D" w:rsidRDefault="00A474A9" w:rsidP="004C79C1">
            <w:pPr>
              <w:pStyle w:val="Tabletext1"/>
              <w:spacing w:before="0" w:after="120"/>
            </w:pPr>
            <w:r>
              <w:t>Important</w:t>
            </w:r>
            <w:r>
              <w:br/>
              <w:t>(4/9)</w:t>
            </w:r>
          </w:p>
        </w:tc>
      </w:tr>
      <w:tr w:rsidR="00BE5D7C" w:rsidRPr="00183E4D" w14:paraId="5B4DAFD9" w14:textId="77777777" w:rsidTr="00BE5D7C">
        <w:trPr>
          <w:trHeight w:val="319"/>
        </w:trPr>
        <w:tc>
          <w:tcPr>
            <w:tcW w:w="495" w:type="pct"/>
          </w:tcPr>
          <w:p w14:paraId="22833941" w14:textId="77777777" w:rsidR="00A474A9" w:rsidRDefault="00A474A9" w:rsidP="004C79C1">
            <w:pPr>
              <w:pStyle w:val="Tabletext1"/>
              <w:spacing w:before="0" w:after="120"/>
            </w:pPr>
            <w:r>
              <w:rPr>
                <w:rFonts w:cs="Arial Narrow"/>
                <w:bCs/>
              </w:rPr>
              <w:t>Major arrhythmic events</w:t>
            </w:r>
          </w:p>
        </w:tc>
        <w:tc>
          <w:tcPr>
            <w:tcW w:w="324" w:type="pct"/>
          </w:tcPr>
          <w:p w14:paraId="1F382B56" w14:textId="02E5985A" w:rsidR="00A474A9" w:rsidRDefault="007B2522" w:rsidP="004C79C1">
            <w:pPr>
              <w:pStyle w:val="Tabletext1"/>
              <w:spacing w:before="0" w:after="120"/>
            </w:pPr>
            <w:r>
              <w:t>K</w:t>
            </w:r>
            <w:r w:rsidR="00A474A9">
              <w:t>=3 SRs (level I)</w:t>
            </w:r>
          </w:p>
        </w:tc>
        <w:tc>
          <w:tcPr>
            <w:tcW w:w="493" w:type="pct"/>
          </w:tcPr>
          <w:p w14:paraId="48E348F9" w14:textId="05B35861" w:rsidR="00A474A9" w:rsidRDefault="00A474A9" w:rsidP="004C79C1">
            <w:pPr>
              <w:pStyle w:val="Tabletext1"/>
              <w:spacing w:before="0" w:after="120"/>
            </w:pPr>
            <w:r>
              <w:t>Not serious</w:t>
            </w:r>
          </w:p>
          <w:p w14:paraId="52736447" w14:textId="77777777" w:rsidR="00A474A9" w:rsidRPr="00183E4D" w:rsidRDefault="00A474A9" w:rsidP="004C79C1">
            <w:pPr>
              <w:pStyle w:val="Tabletext1"/>
              <w:spacing w:before="0" w:after="120"/>
            </w:pPr>
            <w:r>
              <w:t>(1 low, 1 moderate, 1 high risk)</w:t>
            </w:r>
          </w:p>
        </w:tc>
        <w:tc>
          <w:tcPr>
            <w:tcW w:w="506" w:type="pct"/>
          </w:tcPr>
          <w:p w14:paraId="2FDAE03F" w14:textId="77777777" w:rsidR="00A474A9" w:rsidRPr="00183E4D" w:rsidRDefault="00A474A9" w:rsidP="004C79C1">
            <w:pPr>
              <w:pStyle w:val="Tabletext1"/>
              <w:spacing w:before="0" w:after="120"/>
            </w:pPr>
            <w:r>
              <w:t>Not serious</w:t>
            </w:r>
          </w:p>
        </w:tc>
        <w:tc>
          <w:tcPr>
            <w:tcW w:w="480" w:type="pct"/>
          </w:tcPr>
          <w:p w14:paraId="7AD98C4D" w14:textId="77777777" w:rsidR="00A474A9" w:rsidRPr="0033132F" w:rsidRDefault="00A474A9" w:rsidP="004C79C1">
            <w:pPr>
              <w:pStyle w:val="Tabletext1"/>
              <w:spacing w:before="0" w:after="120"/>
            </w:pPr>
            <w:r>
              <w:t xml:space="preserve">Not </w:t>
            </w:r>
            <w:r w:rsidRPr="0033132F">
              <w:t>serious</w:t>
            </w:r>
          </w:p>
        </w:tc>
        <w:tc>
          <w:tcPr>
            <w:tcW w:w="439" w:type="pct"/>
          </w:tcPr>
          <w:p w14:paraId="1CE0FB4E" w14:textId="3D126D91" w:rsidR="00A474A9" w:rsidRPr="0033132F" w:rsidRDefault="00A474A9" w:rsidP="004C79C1">
            <w:pPr>
              <w:pStyle w:val="Tabletext1"/>
              <w:spacing w:before="0" w:after="120"/>
            </w:pPr>
            <w:r>
              <w:t>Serious</w:t>
            </w:r>
            <w:r w:rsidR="00A41020" w:rsidDel="00A41020">
              <w:t xml:space="preserve"> </w:t>
            </w:r>
            <w:r>
              <w:t>(duplicated data)</w:t>
            </w:r>
          </w:p>
        </w:tc>
        <w:tc>
          <w:tcPr>
            <w:tcW w:w="546" w:type="pct"/>
          </w:tcPr>
          <w:p w14:paraId="7E15AEE8" w14:textId="77777777" w:rsidR="00A474A9" w:rsidRPr="00183E4D" w:rsidRDefault="00A474A9" w:rsidP="004C79C1">
            <w:pPr>
              <w:pStyle w:val="Tabletext1"/>
              <w:spacing w:before="0" w:after="120"/>
            </w:pPr>
            <w:r w:rsidRPr="003740E0">
              <w:t>Confounding would suggest spurious effect, while no effect was observed</w:t>
            </w:r>
          </w:p>
        </w:tc>
        <w:tc>
          <w:tcPr>
            <w:tcW w:w="922" w:type="pct"/>
          </w:tcPr>
          <w:p w14:paraId="20E3F6BD" w14:textId="77777777" w:rsidR="00A474A9" w:rsidRDefault="00A474A9" w:rsidP="004C79C1">
            <w:pPr>
              <w:spacing w:after="120" w:line="240" w:lineRule="auto"/>
              <w:rPr>
                <w:rFonts w:ascii="Arial Narrow" w:hAnsi="Arial Narrow" w:cs="Arial Narrow"/>
                <w:bCs/>
                <w:sz w:val="20"/>
                <w:szCs w:val="20"/>
              </w:rPr>
            </w:pPr>
            <w:r w:rsidRPr="003740E0">
              <w:rPr>
                <w:rFonts w:ascii="Arial Narrow" w:hAnsi="Arial Narrow" w:cs="Arial Narrow"/>
                <w:bCs/>
                <w:sz w:val="20"/>
                <w:szCs w:val="20"/>
              </w:rPr>
              <w:t>OR</w:t>
            </w:r>
            <w:r w:rsidRPr="003740E0">
              <w:rPr>
                <w:rFonts w:ascii="Arial Narrow" w:hAnsi="Arial Narrow" w:cs="Arial Narrow"/>
                <w:bCs/>
                <w:sz w:val="20"/>
                <w:szCs w:val="20"/>
                <w:vertAlign w:val="subscript"/>
              </w:rPr>
              <w:t>p</w:t>
            </w:r>
            <w:r w:rsidRPr="003740E0">
              <w:rPr>
                <w:rFonts w:ascii="Arial Narrow" w:hAnsi="Arial Narrow" w:cs="Arial Narrow"/>
                <w:bCs/>
                <w:sz w:val="20"/>
                <w:szCs w:val="20"/>
              </w:rPr>
              <w:t xml:space="preserve"> = 4.19 (2.92, 6.02), k=12</w:t>
            </w:r>
          </w:p>
          <w:p w14:paraId="647D7F42" w14:textId="77777777" w:rsidR="00A474A9" w:rsidRDefault="00A474A9" w:rsidP="004C79C1">
            <w:pPr>
              <w:spacing w:after="120" w:line="240" w:lineRule="auto"/>
              <w:rPr>
                <w:rFonts w:ascii="Arial Narrow" w:hAnsi="Arial Narrow" w:cs="Arial Narrow"/>
                <w:bCs/>
                <w:sz w:val="20"/>
                <w:szCs w:val="20"/>
              </w:rPr>
            </w:pPr>
            <w:r w:rsidRPr="009A65AE">
              <w:rPr>
                <w:rFonts w:ascii="Arial Narrow" w:hAnsi="Arial Narrow" w:cs="Arial Narrow"/>
                <w:bCs/>
                <w:sz w:val="20"/>
                <w:szCs w:val="20"/>
              </w:rPr>
              <w:t>HR</w:t>
            </w:r>
            <w:r w:rsidRPr="009A65AE">
              <w:rPr>
                <w:rFonts w:ascii="Arial Narrow" w:hAnsi="Arial Narrow" w:cs="Arial Narrow"/>
                <w:bCs/>
                <w:sz w:val="20"/>
                <w:szCs w:val="20"/>
                <w:vertAlign w:val="subscript"/>
              </w:rPr>
              <w:t>p</w:t>
            </w:r>
            <w:r w:rsidRPr="009A65AE">
              <w:rPr>
                <w:rFonts w:ascii="Arial Narrow" w:hAnsi="Arial Narrow" w:cs="Arial Narrow"/>
                <w:bCs/>
                <w:sz w:val="20"/>
                <w:szCs w:val="20"/>
              </w:rPr>
              <w:t xml:space="preserve"> = 4.98 [3.21, 7.73], k=8</w:t>
            </w:r>
          </w:p>
          <w:p w14:paraId="3D87F592" w14:textId="77777777" w:rsidR="00A474A9" w:rsidRPr="00F47257" w:rsidRDefault="00A474A9" w:rsidP="004C79C1">
            <w:pPr>
              <w:spacing w:after="120" w:line="240" w:lineRule="auto"/>
              <w:rPr>
                <w:rFonts w:ascii="Arial Narrow" w:hAnsi="Arial Narrow" w:cs="Arial Narrow"/>
                <w:bCs/>
                <w:sz w:val="20"/>
                <w:szCs w:val="20"/>
              </w:rPr>
            </w:pPr>
            <w:r w:rsidRPr="003740E0">
              <w:rPr>
                <w:rFonts w:ascii="Arial Narrow" w:hAnsi="Arial Narrow" w:cs="Arial Narrow"/>
                <w:bCs/>
                <w:sz w:val="20"/>
                <w:szCs w:val="20"/>
              </w:rPr>
              <w:t>ORp = 5.32 (3.45, 8.20), k=7</w:t>
            </w:r>
          </w:p>
        </w:tc>
        <w:tc>
          <w:tcPr>
            <w:tcW w:w="372" w:type="pct"/>
          </w:tcPr>
          <w:p w14:paraId="23E4BFC7"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425" w:type="pct"/>
          </w:tcPr>
          <w:p w14:paraId="199DF1B0" w14:textId="77777777" w:rsidR="00A474A9" w:rsidRPr="00183E4D" w:rsidRDefault="00A474A9" w:rsidP="004C79C1">
            <w:pPr>
              <w:pStyle w:val="Tabletext1"/>
              <w:spacing w:before="0" w:after="120"/>
            </w:pPr>
            <w:r>
              <w:t>Critical</w:t>
            </w:r>
            <w:r>
              <w:br/>
              <w:t>(7/9)</w:t>
            </w:r>
          </w:p>
        </w:tc>
      </w:tr>
    </w:tbl>
    <w:p w14:paraId="782CB662" w14:textId="77777777" w:rsidR="00683B7A" w:rsidRDefault="00A474A9" w:rsidP="004C79C1">
      <w:pPr>
        <w:pStyle w:val="Tablenotes0"/>
        <w:widowControl/>
        <w:spacing w:before="0" w:after="120"/>
      </w:pPr>
      <w:bookmarkStart w:id="845" w:name="_Toc324410264"/>
      <w:r w:rsidRPr="00515F27">
        <w:t xml:space="preserve">CI = confidence interval; CMR = cardiac magnetic resonance </w:t>
      </w:r>
      <w:r w:rsidR="00415A61">
        <w:t>(</w:t>
      </w:r>
      <w:r w:rsidRPr="00515F27">
        <w:t>imaging</w:t>
      </w:r>
      <w:r w:rsidR="00415A61">
        <w:t>)</w:t>
      </w:r>
      <w:r w:rsidRPr="00515F27">
        <w:t>; DCM = dilated cardiomyopathy; HF = heart failure; HR</w:t>
      </w:r>
      <w:r w:rsidRPr="00515F27">
        <w:rPr>
          <w:vertAlign w:val="subscript"/>
        </w:rPr>
        <w:t>p</w:t>
      </w:r>
      <w:r w:rsidRPr="00515F27">
        <w:t xml:space="preserve"> = pooled hazard ratio; LGE = late gadolinium enhancement; OR</w:t>
      </w:r>
      <w:r w:rsidRPr="00515F27">
        <w:rPr>
          <w:vertAlign w:val="subscript"/>
        </w:rPr>
        <w:t>p</w:t>
      </w:r>
      <w:r w:rsidRPr="00515F27">
        <w:t xml:space="preserve"> = pooled odds ratio; SCD = sudden cardiac death; SR = systematic review</w:t>
      </w:r>
      <w:bookmarkEnd w:id="845"/>
    </w:p>
    <w:p w14:paraId="52F4F793" w14:textId="665E2D7B" w:rsidR="00A474A9" w:rsidRPr="000470F1" w:rsidRDefault="00050936" w:rsidP="004C79C1">
      <w:pPr>
        <w:pStyle w:val="Caption"/>
      </w:pPr>
      <w:bookmarkStart w:id="846" w:name="_Ref451329208"/>
      <w:bookmarkStart w:id="847" w:name="_Toc436645331"/>
      <w:bookmarkStart w:id="848" w:name="_Toc439954705"/>
      <w:bookmarkStart w:id="849" w:name="_Ref445980307"/>
      <w:bookmarkStart w:id="850" w:name="_Ref445980329"/>
      <w:bookmarkStart w:id="851" w:name="_Toc324410265"/>
      <w:bookmarkStart w:id="852" w:name="_Toc451435415"/>
      <w:r>
        <w:t xml:space="preserve">Table </w:t>
      </w:r>
      <w:fldSimple w:instr=" SEQ Table \* ARABIC ">
        <w:r>
          <w:rPr>
            <w:noProof/>
          </w:rPr>
          <w:t>88</w:t>
        </w:r>
      </w:fldSimple>
      <w:bookmarkEnd w:id="846"/>
      <w:r w:rsidR="00A474A9">
        <w:tab/>
        <w:t>Evidence profile for the prognostic value of using LGE-CMR to predict health outcomes in patients with DCM</w:t>
      </w:r>
      <w:bookmarkEnd w:id="847"/>
      <w:bookmarkEnd w:id="848"/>
      <w:bookmarkEnd w:id="849"/>
      <w:bookmarkEnd w:id="850"/>
      <w:bookmarkEnd w:id="851"/>
      <w:bookmarkEnd w:id="852"/>
    </w:p>
    <w:tbl>
      <w:tblPr>
        <w:tblStyle w:val="TableGrid"/>
        <w:tblW w:w="5000" w:type="pct"/>
        <w:tblCellMar>
          <w:left w:w="57" w:type="dxa"/>
          <w:right w:w="57" w:type="dxa"/>
        </w:tblCellMar>
        <w:tblLook w:val="04A0" w:firstRow="1" w:lastRow="0" w:firstColumn="1" w:lastColumn="0" w:noHBand="0" w:noVBand="1"/>
        <w:tblCaption w:val="Table 176"/>
        <w:tblDescription w:val="Evidence profile table for the safety of SP-CMR in patients with known or suspected CAD "/>
      </w:tblPr>
      <w:tblGrid>
        <w:gridCol w:w="1190"/>
        <w:gridCol w:w="1404"/>
        <w:gridCol w:w="1017"/>
        <w:gridCol w:w="1208"/>
        <w:gridCol w:w="1081"/>
        <w:gridCol w:w="1035"/>
        <w:gridCol w:w="1535"/>
        <w:gridCol w:w="2568"/>
        <w:gridCol w:w="1018"/>
        <w:gridCol w:w="1018"/>
      </w:tblGrid>
      <w:tr w:rsidR="00A474A9" w:rsidRPr="0081342F" w14:paraId="54F46931" w14:textId="77777777" w:rsidTr="00BE5D7C">
        <w:trPr>
          <w:trHeight w:val="279"/>
          <w:tblHeader/>
        </w:trPr>
        <w:tc>
          <w:tcPr>
            <w:tcW w:w="455" w:type="pct"/>
          </w:tcPr>
          <w:p w14:paraId="1ACAB771" w14:textId="77777777" w:rsidR="00A474A9" w:rsidRPr="0081342F" w:rsidRDefault="00A474A9" w:rsidP="004C79C1">
            <w:pPr>
              <w:pStyle w:val="TableHeading"/>
              <w:spacing w:before="0" w:after="120"/>
              <w:ind w:left="0" w:firstLine="0"/>
            </w:pPr>
            <w:r w:rsidRPr="0081342F">
              <w:t>Outcome</w:t>
            </w:r>
          </w:p>
        </w:tc>
        <w:tc>
          <w:tcPr>
            <w:tcW w:w="543" w:type="pct"/>
          </w:tcPr>
          <w:p w14:paraId="6DEC393F" w14:textId="77777777" w:rsidR="00A474A9" w:rsidRPr="0081342F" w:rsidRDefault="00A474A9" w:rsidP="004C79C1">
            <w:pPr>
              <w:pStyle w:val="TableHeading"/>
              <w:spacing w:before="0" w:after="120"/>
              <w:ind w:left="0" w:firstLine="0"/>
            </w:pPr>
            <w:r w:rsidRPr="0081342F">
              <w:t>Study design</w:t>
            </w:r>
          </w:p>
        </w:tc>
        <w:tc>
          <w:tcPr>
            <w:tcW w:w="395" w:type="pct"/>
          </w:tcPr>
          <w:p w14:paraId="1A5D25DE" w14:textId="77777777" w:rsidR="00A474A9" w:rsidRPr="0081342F" w:rsidRDefault="00A474A9" w:rsidP="004C79C1">
            <w:pPr>
              <w:pStyle w:val="TableHeading"/>
              <w:spacing w:before="0" w:after="120"/>
              <w:ind w:left="0" w:firstLine="0"/>
            </w:pPr>
            <w:r w:rsidRPr="0081342F">
              <w:t>Risk of bias</w:t>
            </w:r>
          </w:p>
        </w:tc>
        <w:tc>
          <w:tcPr>
            <w:tcW w:w="445" w:type="pct"/>
          </w:tcPr>
          <w:p w14:paraId="0282726B" w14:textId="77777777" w:rsidR="00A474A9" w:rsidRPr="0081342F" w:rsidRDefault="00A474A9" w:rsidP="004C79C1">
            <w:pPr>
              <w:pStyle w:val="TableHeading"/>
              <w:spacing w:before="0" w:after="120"/>
              <w:ind w:left="0" w:firstLine="0"/>
            </w:pPr>
            <w:r w:rsidRPr="0081342F">
              <w:t>Inconsistency</w:t>
            </w:r>
          </w:p>
        </w:tc>
        <w:tc>
          <w:tcPr>
            <w:tcW w:w="395" w:type="pct"/>
          </w:tcPr>
          <w:p w14:paraId="616C3242" w14:textId="77777777" w:rsidR="00A474A9" w:rsidRPr="0081342F" w:rsidRDefault="00A474A9" w:rsidP="004C79C1">
            <w:pPr>
              <w:pStyle w:val="TableHeading"/>
              <w:spacing w:before="0" w:after="120"/>
              <w:ind w:left="0" w:firstLine="0"/>
            </w:pPr>
            <w:r w:rsidRPr="0081342F">
              <w:t>Indirectness</w:t>
            </w:r>
          </w:p>
        </w:tc>
        <w:tc>
          <w:tcPr>
            <w:tcW w:w="395" w:type="pct"/>
          </w:tcPr>
          <w:p w14:paraId="0ED10172" w14:textId="77777777" w:rsidR="00A474A9" w:rsidRPr="0081342F" w:rsidRDefault="00A474A9" w:rsidP="004C79C1">
            <w:pPr>
              <w:pStyle w:val="TableHeading"/>
              <w:spacing w:before="0" w:after="120"/>
              <w:ind w:left="0" w:firstLine="0"/>
            </w:pPr>
            <w:r w:rsidRPr="0081342F">
              <w:t>Imprecision</w:t>
            </w:r>
          </w:p>
        </w:tc>
        <w:tc>
          <w:tcPr>
            <w:tcW w:w="593" w:type="pct"/>
          </w:tcPr>
          <w:p w14:paraId="03313960" w14:textId="77777777" w:rsidR="00A474A9" w:rsidRPr="0081342F" w:rsidRDefault="00A474A9" w:rsidP="004C79C1">
            <w:pPr>
              <w:pStyle w:val="TableHeading"/>
              <w:spacing w:before="0" w:after="120"/>
              <w:ind w:left="0" w:firstLine="0"/>
            </w:pPr>
            <w:r w:rsidRPr="0081342F">
              <w:t>Other considerations</w:t>
            </w:r>
          </w:p>
        </w:tc>
        <w:tc>
          <w:tcPr>
            <w:tcW w:w="988" w:type="pct"/>
          </w:tcPr>
          <w:p w14:paraId="1272CBE1" w14:textId="77777777" w:rsidR="00A474A9" w:rsidRPr="0081342F" w:rsidRDefault="00A474A9" w:rsidP="004C79C1">
            <w:pPr>
              <w:pStyle w:val="TableHeading"/>
              <w:spacing w:before="0" w:after="120"/>
              <w:ind w:left="0" w:firstLine="0"/>
            </w:pPr>
            <w:r w:rsidRPr="0081342F">
              <w:t>Summary of findings</w:t>
            </w:r>
          </w:p>
          <w:p w14:paraId="59042C77" w14:textId="77777777" w:rsidR="00A474A9" w:rsidRPr="0081342F" w:rsidRDefault="00A474A9" w:rsidP="004C79C1">
            <w:pPr>
              <w:pStyle w:val="TableHeading"/>
              <w:spacing w:before="0" w:after="120"/>
              <w:ind w:left="0" w:firstLine="0"/>
            </w:pPr>
            <w:r w:rsidRPr="0081342F">
              <w:t>RR (95%CI)</w:t>
            </w:r>
          </w:p>
        </w:tc>
        <w:tc>
          <w:tcPr>
            <w:tcW w:w="395" w:type="pct"/>
          </w:tcPr>
          <w:p w14:paraId="102AA4C7" w14:textId="77777777" w:rsidR="00A474A9" w:rsidRPr="0081342F" w:rsidRDefault="00A474A9" w:rsidP="004C79C1">
            <w:pPr>
              <w:pStyle w:val="TableHeading"/>
              <w:spacing w:before="0" w:after="120"/>
              <w:ind w:left="0" w:firstLine="0"/>
            </w:pPr>
            <w:r w:rsidRPr="0081342F">
              <w:t>Quality of evidence</w:t>
            </w:r>
          </w:p>
        </w:tc>
        <w:tc>
          <w:tcPr>
            <w:tcW w:w="395" w:type="pct"/>
          </w:tcPr>
          <w:p w14:paraId="4F002E13" w14:textId="77777777" w:rsidR="00A474A9" w:rsidRPr="0081342F" w:rsidRDefault="00A474A9" w:rsidP="004C79C1">
            <w:pPr>
              <w:pStyle w:val="TableHeading"/>
              <w:spacing w:before="0" w:after="120"/>
              <w:ind w:left="0" w:firstLine="0"/>
            </w:pPr>
            <w:r w:rsidRPr="0081342F">
              <w:t>Importance</w:t>
            </w:r>
          </w:p>
        </w:tc>
      </w:tr>
      <w:tr w:rsidR="00A474A9" w:rsidRPr="00183E4D" w14:paraId="5832A8E9" w14:textId="77777777" w:rsidTr="00BE5D7C">
        <w:trPr>
          <w:trHeight w:val="319"/>
        </w:trPr>
        <w:tc>
          <w:tcPr>
            <w:tcW w:w="455" w:type="pct"/>
          </w:tcPr>
          <w:p w14:paraId="3F7451EB" w14:textId="77777777" w:rsidR="00A474A9" w:rsidRDefault="00A474A9" w:rsidP="004C79C1">
            <w:pPr>
              <w:pStyle w:val="Tabletext1"/>
              <w:spacing w:before="0" w:after="120"/>
            </w:pPr>
            <w:r>
              <w:t>All-cause mortality</w:t>
            </w:r>
          </w:p>
        </w:tc>
        <w:tc>
          <w:tcPr>
            <w:tcW w:w="543" w:type="pct"/>
          </w:tcPr>
          <w:p w14:paraId="6C778B65" w14:textId="6BD4B281" w:rsidR="00A474A9" w:rsidRDefault="007B2522" w:rsidP="004C79C1">
            <w:pPr>
              <w:pStyle w:val="Tabletext1"/>
              <w:spacing w:before="0" w:after="120"/>
            </w:pPr>
            <w:r>
              <w:t>K</w:t>
            </w:r>
            <w:r w:rsidR="00A474A9">
              <w:t>=6 prospective cohort (level II)</w:t>
            </w:r>
          </w:p>
          <w:p w14:paraId="412B9887" w14:textId="1F1E9B8F" w:rsidR="00A474A9" w:rsidRDefault="007B2522" w:rsidP="004C79C1">
            <w:pPr>
              <w:pStyle w:val="Tabletext1"/>
              <w:spacing w:before="0" w:after="120"/>
            </w:pPr>
            <w:r>
              <w:t>K</w:t>
            </w:r>
            <w:r w:rsidR="00A474A9">
              <w:t>=3 retrospective cohort (level III-3)</w:t>
            </w:r>
          </w:p>
        </w:tc>
        <w:tc>
          <w:tcPr>
            <w:tcW w:w="395" w:type="pct"/>
          </w:tcPr>
          <w:p w14:paraId="221BC616" w14:textId="6EA5EC3D" w:rsidR="00A474A9" w:rsidRPr="00183E4D" w:rsidRDefault="00A474A9" w:rsidP="004C79C1">
            <w:pPr>
              <w:pStyle w:val="Tabletext1"/>
              <w:spacing w:before="0" w:after="120"/>
            </w:pPr>
            <w:r>
              <w:t>Not serious</w:t>
            </w:r>
            <w:r w:rsidR="00705178" w:rsidDel="00705178">
              <w:t xml:space="preserve"> </w:t>
            </w:r>
            <w:r>
              <w:t>(2/9 high risk)</w:t>
            </w:r>
          </w:p>
        </w:tc>
        <w:tc>
          <w:tcPr>
            <w:tcW w:w="445" w:type="pct"/>
          </w:tcPr>
          <w:p w14:paraId="544614EF" w14:textId="36B83302" w:rsidR="00A474A9" w:rsidRPr="00183E4D" w:rsidRDefault="00A474A9" w:rsidP="004C79C1">
            <w:pPr>
              <w:pStyle w:val="Tabletext1"/>
              <w:spacing w:before="0" w:after="120"/>
            </w:pPr>
            <w:r>
              <w:t>Not serious</w:t>
            </w:r>
            <w:r w:rsidR="00705178" w:rsidDel="00705178">
              <w:t xml:space="preserve"> </w:t>
            </w:r>
            <w:r w:rsidRPr="001F4B47">
              <w:t>(</w:t>
            </w:r>
            <w:r>
              <w:t>moderate</w:t>
            </w:r>
            <w:r w:rsidRPr="001F4B47">
              <w:t xml:space="preserve"> heterogeneity; I</w:t>
            </w:r>
            <w:r w:rsidRPr="001F4B47">
              <w:rPr>
                <w:vertAlign w:val="superscript"/>
              </w:rPr>
              <w:t>2</w:t>
            </w:r>
            <w:r w:rsidRPr="001F4B47">
              <w:t xml:space="preserve"> = </w:t>
            </w:r>
            <w:r>
              <w:t>4</w:t>
            </w:r>
            <w:r w:rsidRPr="001F4B47">
              <w:t>6</w:t>
            </w:r>
            <w:r>
              <w:t>.5</w:t>
            </w:r>
            <w:r w:rsidRPr="001F4B47">
              <w:t>%)</w:t>
            </w:r>
          </w:p>
        </w:tc>
        <w:tc>
          <w:tcPr>
            <w:tcW w:w="395" w:type="pct"/>
          </w:tcPr>
          <w:p w14:paraId="1F9E0572" w14:textId="77777777" w:rsidR="00A474A9" w:rsidRPr="0033132F" w:rsidRDefault="00A474A9" w:rsidP="004C79C1">
            <w:pPr>
              <w:pStyle w:val="Tabletext1"/>
              <w:spacing w:before="0" w:after="120"/>
            </w:pPr>
            <w:r>
              <w:t xml:space="preserve">Not </w:t>
            </w:r>
            <w:r w:rsidRPr="0033132F">
              <w:t>serious</w:t>
            </w:r>
          </w:p>
        </w:tc>
        <w:tc>
          <w:tcPr>
            <w:tcW w:w="395" w:type="pct"/>
          </w:tcPr>
          <w:p w14:paraId="0C439A1E" w14:textId="77777777" w:rsidR="00A474A9" w:rsidRPr="0033132F" w:rsidRDefault="00A474A9" w:rsidP="004C79C1">
            <w:pPr>
              <w:pStyle w:val="Tabletext1"/>
              <w:spacing w:before="0" w:after="120"/>
            </w:pPr>
            <w:r>
              <w:t>Not serious</w:t>
            </w:r>
          </w:p>
        </w:tc>
        <w:tc>
          <w:tcPr>
            <w:tcW w:w="593" w:type="pct"/>
          </w:tcPr>
          <w:p w14:paraId="187C311D" w14:textId="77777777" w:rsidR="00A474A9" w:rsidRDefault="00A474A9" w:rsidP="004C79C1">
            <w:pPr>
              <w:pStyle w:val="Tabletext1"/>
              <w:spacing w:before="0" w:after="120"/>
            </w:pPr>
            <w:r>
              <w:t>Publication bias strongly suspected</w:t>
            </w:r>
          </w:p>
          <w:p w14:paraId="6F74F28F" w14:textId="3BC87DB0" w:rsidR="00A474A9" w:rsidRPr="00183E4D" w:rsidRDefault="00A474A9" w:rsidP="004C79C1">
            <w:pPr>
              <w:pStyle w:val="Tabletext1"/>
              <w:spacing w:before="0" w:after="120"/>
            </w:pPr>
            <w:r>
              <w:t>(no studies in lower left of funnel plot</w:t>
            </w:r>
            <w:r w:rsidR="0078604A">
              <w:t>)</w:t>
            </w:r>
          </w:p>
        </w:tc>
        <w:tc>
          <w:tcPr>
            <w:tcW w:w="988" w:type="pct"/>
          </w:tcPr>
          <w:p w14:paraId="748A4DA9" w14:textId="77777777" w:rsidR="00A474A9" w:rsidRDefault="00A474A9" w:rsidP="004C79C1">
            <w:pPr>
              <w:pStyle w:val="Tabletext1"/>
              <w:spacing w:before="0" w:after="120"/>
            </w:pPr>
            <w:r>
              <w:t>110/647 (17%) of LGE+ had event</w:t>
            </w:r>
          </w:p>
          <w:p w14:paraId="78D23404" w14:textId="77777777" w:rsidR="00A474A9" w:rsidRDefault="00A474A9" w:rsidP="004C79C1">
            <w:pPr>
              <w:pStyle w:val="Tabletext1"/>
              <w:spacing w:before="0" w:after="120"/>
            </w:pPr>
            <w:r>
              <w:t>91/989 (9.2%) of LGE– had event</w:t>
            </w:r>
          </w:p>
          <w:p w14:paraId="332285C0" w14:textId="77777777" w:rsidR="00A474A9" w:rsidRDefault="00A474A9" w:rsidP="004C79C1">
            <w:pPr>
              <w:pStyle w:val="Tabletext1"/>
              <w:spacing w:before="0" w:after="120"/>
            </w:pPr>
            <w:r>
              <w:t>RR = 2.47 (1.63, 3.74), k=9</w:t>
            </w:r>
          </w:p>
          <w:p w14:paraId="4E71D9CF" w14:textId="77777777" w:rsidR="00A474A9" w:rsidRPr="00AD3118" w:rsidRDefault="00A474A9" w:rsidP="004C79C1">
            <w:pPr>
              <w:pStyle w:val="Tabletext1"/>
              <w:spacing w:before="0" w:after="120"/>
            </w:pPr>
            <w:r>
              <w:t>RR = 3.23 (1.57, 6.65), k=4 best</w:t>
            </w:r>
          </w:p>
        </w:tc>
        <w:tc>
          <w:tcPr>
            <w:tcW w:w="395" w:type="pct"/>
          </w:tcPr>
          <w:p w14:paraId="00BDC9D9"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0BF52FAD" w14:textId="77777777" w:rsidR="00A474A9" w:rsidRPr="00183E4D" w:rsidRDefault="00A474A9" w:rsidP="004C79C1">
            <w:pPr>
              <w:pStyle w:val="Tabletext1"/>
              <w:spacing w:before="0" w:after="120"/>
            </w:pPr>
            <w:r>
              <w:t>Critical</w:t>
            </w:r>
            <w:r>
              <w:br/>
              <w:t>(9/9)</w:t>
            </w:r>
          </w:p>
        </w:tc>
      </w:tr>
      <w:tr w:rsidR="00A474A9" w:rsidRPr="00183E4D" w14:paraId="1E449CA7" w14:textId="77777777" w:rsidTr="00BE5D7C">
        <w:trPr>
          <w:trHeight w:val="319"/>
        </w:trPr>
        <w:tc>
          <w:tcPr>
            <w:tcW w:w="455" w:type="pct"/>
          </w:tcPr>
          <w:p w14:paraId="2A86C64E" w14:textId="77777777" w:rsidR="00A474A9" w:rsidRPr="00524FC1" w:rsidRDefault="00A474A9" w:rsidP="004C79C1">
            <w:pPr>
              <w:pStyle w:val="Tabletext1"/>
              <w:tabs>
                <w:tab w:val="left" w:pos="34"/>
              </w:tabs>
              <w:spacing w:before="0" w:after="120"/>
            </w:pPr>
            <w:r>
              <w:t>Cardiac deaths</w:t>
            </w:r>
          </w:p>
        </w:tc>
        <w:tc>
          <w:tcPr>
            <w:tcW w:w="543" w:type="pct"/>
          </w:tcPr>
          <w:p w14:paraId="0F725D6E" w14:textId="1D88B15B" w:rsidR="00A474A9" w:rsidRDefault="007B2522" w:rsidP="004C79C1">
            <w:pPr>
              <w:pStyle w:val="Tabletext1"/>
              <w:spacing w:before="0" w:after="120"/>
            </w:pPr>
            <w:r>
              <w:t>K</w:t>
            </w:r>
            <w:r w:rsidR="00A474A9">
              <w:t>=11 prospective cohort (level II)</w:t>
            </w:r>
          </w:p>
          <w:p w14:paraId="3176F631" w14:textId="0C7BCA35" w:rsidR="00A474A9" w:rsidRDefault="00853909" w:rsidP="004C79C1">
            <w:pPr>
              <w:pStyle w:val="Tabletext1"/>
              <w:spacing w:before="0" w:after="120"/>
            </w:pPr>
            <w:r>
              <w:t>K</w:t>
            </w:r>
            <w:r w:rsidR="00A474A9">
              <w:t>=2 retrospective cohort (level III-3)</w:t>
            </w:r>
          </w:p>
        </w:tc>
        <w:tc>
          <w:tcPr>
            <w:tcW w:w="395" w:type="pct"/>
          </w:tcPr>
          <w:p w14:paraId="20F7E418" w14:textId="128ECBD3" w:rsidR="00A474A9" w:rsidRPr="00183E4D" w:rsidRDefault="00A474A9" w:rsidP="004C79C1">
            <w:pPr>
              <w:pStyle w:val="Tabletext1"/>
              <w:spacing w:before="0" w:after="120"/>
            </w:pPr>
            <w:r>
              <w:t>Not serious</w:t>
            </w:r>
            <w:r w:rsidR="00705178" w:rsidDel="00705178">
              <w:t xml:space="preserve"> </w:t>
            </w:r>
            <w:r>
              <w:t>(3/13 high risk)</w:t>
            </w:r>
          </w:p>
        </w:tc>
        <w:tc>
          <w:tcPr>
            <w:tcW w:w="445" w:type="pct"/>
          </w:tcPr>
          <w:p w14:paraId="5F90F510" w14:textId="488E095A" w:rsidR="00A474A9" w:rsidRPr="00183E4D" w:rsidRDefault="00A474A9" w:rsidP="004C79C1">
            <w:pPr>
              <w:pStyle w:val="Tabletext1"/>
              <w:spacing w:before="0" w:after="120"/>
            </w:pPr>
            <w:r>
              <w:t>Not serious</w:t>
            </w:r>
            <w:r w:rsidR="00705178" w:rsidDel="00705178">
              <w:t xml:space="preserve"> </w:t>
            </w:r>
            <w:r w:rsidRPr="001F4B47">
              <w:t>(</w:t>
            </w:r>
            <w:r>
              <w:t>moderate</w:t>
            </w:r>
            <w:r w:rsidRPr="001F4B47">
              <w:t xml:space="preserve"> heterogeneity; I</w:t>
            </w:r>
            <w:r w:rsidRPr="001F4B47">
              <w:rPr>
                <w:vertAlign w:val="superscript"/>
              </w:rPr>
              <w:t>2</w:t>
            </w:r>
            <w:r w:rsidRPr="001F4B47">
              <w:t xml:space="preserve"> = </w:t>
            </w:r>
            <w:r>
              <w:t>32.</w:t>
            </w:r>
            <w:r w:rsidRPr="001F4B47">
              <w:t>6%)</w:t>
            </w:r>
          </w:p>
        </w:tc>
        <w:tc>
          <w:tcPr>
            <w:tcW w:w="395" w:type="pct"/>
          </w:tcPr>
          <w:p w14:paraId="57165D7F" w14:textId="77777777" w:rsidR="00A474A9" w:rsidRPr="0033132F" w:rsidRDefault="00A474A9" w:rsidP="004C79C1">
            <w:pPr>
              <w:pStyle w:val="Tabletext1"/>
              <w:spacing w:before="0" w:after="120"/>
            </w:pPr>
            <w:r>
              <w:t xml:space="preserve">Not </w:t>
            </w:r>
            <w:r w:rsidRPr="0033132F">
              <w:t>serious</w:t>
            </w:r>
          </w:p>
        </w:tc>
        <w:tc>
          <w:tcPr>
            <w:tcW w:w="395" w:type="pct"/>
          </w:tcPr>
          <w:p w14:paraId="100DC68D" w14:textId="77777777" w:rsidR="00A474A9" w:rsidRPr="0033132F" w:rsidRDefault="00A474A9" w:rsidP="004C79C1">
            <w:pPr>
              <w:pStyle w:val="Tabletext1"/>
              <w:spacing w:before="0" w:after="120"/>
            </w:pPr>
            <w:r>
              <w:t>Not serious</w:t>
            </w:r>
          </w:p>
        </w:tc>
        <w:tc>
          <w:tcPr>
            <w:tcW w:w="593" w:type="pct"/>
          </w:tcPr>
          <w:p w14:paraId="7B86DAE6" w14:textId="77777777" w:rsidR="00A474A9" w:rsidRDefault="00A474A9" w:rsidP="004C79C1">
            <w:pPr>
              <w:pStyle w:val="Tabletext1"/>
              <w:spacing w:before="0" w:after="120"/>
            </w:pPr>
            <w:r>
              <w:t>Publication bias not suspected</w:t>
            </w:r>
          </w:p>
          <w:p w14:paraId="7F8894EC" w14:textId="158A9EA9" w:rsidR="00A474A9" w:rsidRPr="00183E4D" w:rsidRDefault="00A474A9" w:rsidP="004C79C1">
            <w:pPr>
              <w:pStyle w:val="Tabletext1"/>
              <w:spacing w:before="0" w:after="120"/>
            </w:pPr>
            <w:r>
              <w:t>(no studies in lower left of funnel plot</w:t>
            </w:r>
            <w:r w:rsidR="0078604A">
              <w:t>)</w:t>
            </w:r>
          </w:p>
        </w:tc>
        <w:tc>
          <w:tcPr>
            <w:tcW w:w="988" w:type="pct"/>
          </w:tcPr>
          <w:p w14:paraId="35C62D2D" w14:textId="77777777" w:rsidR="00A474A9" w:rsidRDefault="00A474A9" w:rsidP="004C79C1">
            <w:pPr>
              <w:pStyle w:val="Tabletext1"/>
              <w:spacing w:before="0" w:after="120"/>
            </w:pPr>
            <w:r>
              <w:t>81/758 (11%) of LGE+ had event</w:t>
            </w:r>
          </w:p>
          <w:p w14:paraId="0EBFF28A" w14:textId="77777777" w:rsidR="00A474A9" w:rsidRDefault="00A474A9" w:rsidP="004C79C1">
            <w:pPr>
              <w:pStyle w:val="Tabletext1"/>
              <w:spacing w:before="0" w:after="120"/>
            </w:pPr>
            <w:r>
              <w:t>43/1,053 (4.0%) of LGE– had event</w:t>
            </w:r>
          </w:p>
          <w:p w14:paraId="74C84DC7" w14:textId="77777777" w:rsidR="00A474A9" w:rsidRDefault="00A474A9" w:rsidP="004C79C1">
            <w:pPr>
              <w:pStyle w:val="Tabletext1"/>
              <w:spacing w:before="0" w:after="120"/>
            </w:pPr>
            <w:r>
              <w:t>RR = 3.21 (1.79, 5.76), k=13</w:t>
            </w:r>
          </w:p>
          <w:p w14:paraId="435CCD98" w14:textId="77777777" w:rsidR="00A474A9" w:rsidRPr="00AD3118" w:rsidRDefault="00A474A9" w:rsidP="004C79C1">
            <w:pPr>
              <w:pStyle w:val="Tabletext1"/>
              <w:spacing w:before="0" w:after="120"/>
            </w:pPr>
            <w:r>
              <w:t>RR = 4.13 (2.05, 8.33), k=8 best</w:t>
            </w:r>
          </w:p>
        </w:tc>
        <w:tc>
          <w:tcPr>
            <w:tcW w:w="395" w:type="pct"/>
          </w:tcPr>
          <w:p w14:paraId="5A481543"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1A648B67" w14:textId="77777777" w:rsidR="00A474A9" w:rsidRPr="00183E4D" w:rsidRDefault="00A474A9" w:rsidP="004C79C1">
            <w:pPr>
              <w:pStyle w:val="Tabletext1"/>
              <w:spacing w:before="0" w:after="120"/>
            </w:pPr>
            <w:r>
              <w:t>Critical</w:t>
            </w:r>
            <w:r>
              <w:br/>
              <w:t>(9/9)</w:t>
            </w:r>
          </w:p>
        </w:tc>
      </w:tr>
      <w:tr w:rsidR="00A474A9" w:rsidRPr="00183E4D" w14:paraId="146F0FF4" w14:textId="77777777" w:rsidTr="00BE5D7C">
        <w:trPr>
          <w:cantSplit/>
          <w:trHeight w:val="319"/>
        </w:trPr>
        <w:tc>
          <w:tcPr>
            <w:tcW w:w="455" w:type="pct"/>
          </w:tcPr>
          <w:p w14:paraId="493A68EA" w14:textId="77777777" w:rsidR="00A474A9" w:rsidRDefault="00A474A9" w:rsidP="004C79C1">
            <w:pPr>
              <w:pStyle w:val="Tabletext1"/>
              <w:tabs>
                <w:tab w:val="left" w:pos="34"/>
              </w:tabs>
              <w:spacing w:before="0" w:after="120"/>
            </w:pPr>
            <w:r>
              <w:lastRenderedPageBreak/>
              <w:t>Cardiac transplantation</w:t>
            </w:r>
          </w:p>
        </w:tc>
        <w:tc>
          <w:tcPr>
            <w:tcW w:w="543" w:type="pct"/>
          </w:tcPr>
          <w:p w14:paraId="60D7C654" w14:textId="7A2F9D81" w:rsidR="00A474A9" w:rsidRDefault="00853909" w:rsidP="004C79C1">
            <w:pPr>
              <w:pStyle w:val="Tabletext1"/>
              <w:spacing w:before="0" w:after="120"/>
            </w:pPr>
            <w:r>
              <w:t>K</w:t>
            </w:r>
            <w:r w:rsidR="00A474A9">
              <w:t>=7 prospective cohort (level II)</w:t>
            </w:r>
          </w:p>
        </w:tc>
        <w:tc>
          <w:tcPr>
            <w:tcW w:w="395" w:type="pct"/>
          </w:tcPr>
          <w:p w14:paraId="4AA4B9D3" w14:textId="5BC37EE2" w:rsidR="00A474A9" w:rsidRPr="00183E4D" w:rsidRDefault="00A474A9" w:rsidP="004C79C1">
            <w:pPr>
              <w:pStyle w:val="Tabletext1"/>
              <w:spacing w:before="0" w:after="120"/>
            </w:pPr>
            <w:r>
              <w:t>Not serious</w:t>
            </w:r>
            <w:r w:rsidR="00705178" w:rsidDel="00705178">
              <w:t xml:space="preserve"> </w:t>
            </w:r>
            <w:r>
              <w:t>(2/7 high risk)</w:t>
            </w:r>
          </w:p>
        </w:tc>
        <w:tc>
          <w:tcPr>
            <w:tcW w:w="445" w:type="pct"/>
          </w:tcPr>
          <w:p w14:paraId="545D5CCC" w14:textId="75E77ED6" w:rsidR="00A474A9" w:rsidRPr="00183E4D" w:rsidRDefault="00A474A9" w:rsidP="004C79C1">
            <w:pPr>
              <w:pStyle w:val="Tabletext1"/>
              <w:spacing w:before="0" w:after="120"/>
            </w:pPr>
            <w:r>
              <w:t>Not serious</w:t>
            </w:r>
            <w:r w:rsidR="00705178" w:rsidDel="00705178">
              <w:t xml:space="preserve"> </w:t>
            </w:r>
            <w:r w:rsidRPr="001F4B47">
              <w:t>(</w:t>
            </w:r>
            <w:r>
              <w:t>no</w:t>
            </w:r>
            <w:r w:rsidRPr="001F4B47">
              <w:t xml:space="preserve"> heterogeneity; I</w:t>
            </w:r>
            <w:r w:rsidRPr="001F4B47">
              <w:rPr>
                <w:vertAlign w:val="superscript"/>
              </w:rPr>
              <w:t>2</w:t>
            </w:r>
            <w:r w:rsidRPr="001F4B47">
              <w:t xml:space="preserve"> = </w:t>
            </w:r>
            <w:r>
              <w:t>0</w:t>
            </w:r>
            <w:r w:rsidRPr="001F4B47">
              <w:t>%)</w:t>
            </w:r>
          </w:p>
        </w:tc>
        <w:tc>
          <w:tcPr>
            <w:tcW w:w="395" w:type="pct"/>
          </w:tcPr>
          <w:p w14:paraId="1CBDD794" w14:textId="77777777" w:rsidR="00A474A9" w:rsidRPr="0033132F" w:rsidRDefault="00A474A9" w:rsidP="004C79C1">
            <w:pPr>
              <w:pStyle w:val="Tabletext1"/>
              <w:spacing w:before="0" w:after="120"/>
            </w:pPr>
            <w:r>
              <w:t xml:space="preserve">Not </w:t>
            </w:r>
            <w:r w:rsidRPr="0033132F">
              <w:t>serious</w:t>
            </w:r>
          </w:p>
        </w:tc>
        <w:tc>
          <w:tcPr>
            <w:tcW w:w="395" w:type="pct"/>
          </w:tcPr>
          <w:p w14:paraId="3A03F799" w14:textId="77777777" w:rsidR="00A474A9" w:rsidRPr="0033132F" w:rsidRDefault="00A474A9" w:rsidP="004C79C1">
            <w:pPr>
              <w:pStyle w:val="Tabletext1"/>
              <w:spacing w:before="0" w:after="120"/>
            </w:pPr>
            <w:r>
              <w:t>Not serious</w:t>
            </w:r>
          </w:p>
        </w:tc>
        <w:tc>
          <w:tcPr>
            <w:tcW w:w="593" w:type="pct"/>
          </w:tcPr>
          <w:p w14:paraId="453E7037" w14:textId="77777777" w:rsidR="00A474A9" w:rsidRPr="00183E4D" w:rsidRDefault="00A474A9" w:rsidP="004C79C1">
            <w:pPr>
              <w:pStyle w:val="Tabletext1"/>
              <w:spacing w:before="0" w:after="120"/>
            </w:pPr>
            <w:r>
              <w:t>Publication bias undetected</w:t>
            </w:r>
          </w:p>
        </w:tc>
        <w:tc>
          <w:tcPr>
            <w:tcW w:w="988" w:type="pct"/>
          </w:tcPr>
          <w:p w14:paraId="0763BA56" w14:textId="77777777" w:rsidR="00A474A9" w:rsidRDefault="00A474A9" w:rsidP="004C79C1">
            <w:pPr>
              <w:pStyle w:val="Tabletext1"/>
              <w:spacing w:before="0" w:after="120"/>
            </w:pPr>
            <w:r>
              <w:t>13/451 (2.9%) of LGE+ had event</w:t>
            </w:r>
          </w:p>
          <w:p w14:paraId="17F02C3E" w14:textId="77777777" w:rsidR="00A474A9" w:rsidRDefault="00A474A9" w:rsidP="004C79C1">
            <w:pPr>
              <w:pStyle w:val="Tabletext1"/>
              <w:spacing w:before="0" w:after="120"/>
            </w:pPr>
            <w:r>
              <w:t>4/794 (0.5%) of LGE– had event</w:t>
            </w:r>
          </w:p>
          <w:p w14:paraId="73DE066F" w14:textId="77777777" w:rsidR="00A474A9" w:rsidRDefault="00A474A9" w:rsidP="004C79C1">
            <w:pPr>
              <w:pStyle w:val="Tabletext1"/>
              <w:spacing w:before="0" w:after="120"/>
            </w:pPr>
            <w:r>
              <w:t>RR = 4.34 (1.51, 12.44), k=7</w:t>
            </w:r>
          </w:p>
          <w:p w14:paraId="27A9CE35" w14:textId="77777777" w:rsidR="00A474A9" w:rsidRPr="00AD3118" w:rsidRDefault="00A474A9" w:rsidP="004C79C1">
            <w:pPr>
              <w:pStyle w:val="Tabletext1"/>
              <w:spacing w:before="0" w:after="120"/>
            </w:pPr>
            <w:r>
              <w:t>RR = 5.95 (1.80, 19.62), k=5 best</w:t>
            </w:r>
          </w:p>
        </w:tc>
        <w:tc>
          <w:tcPr>
            <w:tcW w:w="395" w:type="pct"/>
          </w:tcPr>
          <w:p w14:paraId="385880BA"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p>
        </w:tc>
        <w:tc>
          <w:tcPr>
            <w:tcW w:w="395" w:type="pct"/>
          </w:tcPr>
          <w:p w14:paraId="364F1F43" w14:textId="77777777" w:rsidR="00A474A9" w:rsidRPr="00183E4D" w:rsidRDefault="00A474A9" w:rsidP="004C79C1">
            <w:pPr>
              <w:pStyle w:val="Tabletext1"/>
              <w:spacing w:before="0" w:after="120"/>
            </w:pPr>
            <w:r>
              <w:t>Critical</w:t>
            </w:r>
            <w:r>
              <w:br/>
              <w:t>(7/9)</w:t>
            </w:r>
          </w:p>
        </w:tc>
      </w:tr>
      <w:tr w:rsidR="00A474A9" w:rsidRPr="00183E4D" w14:paraId="1A4E6AE7" w14:textId="77777777" w:rsidTr="00BE5D7C">
        <w:trPr>
          <w:cantSplit/>
          <w:trHeight w:val="319"/>
        </w:trPr>
        <w:tc>
          <w:tcPr>
            <w:tcW w:w="455" w:type="pct"/>
          </w:tcPr>
          <w:p w14:paraId="03C3C97A" w14:textId="77777777" w:rsidR="00A474A9" w:rsidRDefault="00A474A9" w:rsidP="004C79C1">
            <w:pPr>
              <w:pStyle w:val="Tabletext1"/>
              <w:tabs>
                <w:tab w:val="left" w:pos="34"/>
              </w:tabs>
              <w:spacing w:before="0" w:after="120"/>
            </w:pPr>
            <w:r w:rsidRPr="00ED7767">
              <w:t>Cardiac death</w:t>
            </w:r>
            <w:r>
              <w:t xml:space="preserve"> or </w:t>
            </w:r>
            <w:r w:rsidRPr="00ED7767">
              <w:t>transplantation</w:t>
            </w:r>
          </w:p>
        </w:tc>
        <w:tc>
          <w:tcPr>
            <w:tcW w:w="543" w:type="pct"/>
          </w:tcPr>
          <w:p w14:paraId="09150BE4" w14:textId="4CF9D6AC" w:rsidR="00A474A9" w:rsidRDefault="00853909" w:rsidP="004C79C1">
            <w:pPr>
              <w:pStyle w:val="Tabletext1"/>
              <w:spacing w:before="0" w:after="120"/>
            </w:pPr>
            <w:r>
              <w:t>K</w:t>
            </w:r>
            <w:r w:rsidR="00A474A9">
              <w:t>=12 prospective cohort (level II)</w:t>
            </w:r>
          </w:p>
          <w:p w14:paraId="0775D0A5" w14:textId="27AD52F0" w:rsidR="00A474A9" w:rsidRDefault="00853909" w:rsidP="004C79C1">
            <w:pPr>
              <w:pStyle w:val="Tabletext1"/>
              <w:spacing w:before="0" w:after="120"/>
            </w:pPr>
            <w:r>
              <w:t>K</w:t>
            </w:r>
            <w:r w:rsidR="00A474A9" w:rsidRPr="00ED7767">
              <w:t>=</w:t>
            </w:r>
            <w:r w:rsidR="00A474A9">
              <w:t>1</w:t>
            </w:r>
            <w:r w:rsidR="00A474A9" w:rsidRPr="00ED7767">
              <w:t xml:space="preserve"> retrospective cohort (level III-3)</w:t>
            </w:r>
          </w:p>
        </w:tc>
        <w:tc>
          <w:tcPr>
            <w:tcW w:w="395" w:type="pct"/>
          </w:tcPr>
          <w:p w14:paraId="0C77FD99" w14:textId="3F537B7B" w:rsidR="00A474A9" w:rsidRPr="00183E4D" w:rsidRDefault="00A474A9" w:rsidP="004C79C1">
            <w:pPr>
              <w:pStyle w:val="Tabletext1"/>
              <w:spacing w:before="0" w:after="120"/>
            </w:pPr>
            <w:r>
              <w:t>Not serious</w:t>
            </w:r>
            <w:r w:rsidR="00705178" w:rsidDel="00705178">
              <w:t xml:space="preserve"> </w:t>
            </w:r>
            <w:r>
              <w:t>(3/13 high risk)</w:t>
            </w:r>
          </w:p>
        </w:tc>
        <w:tc>
          <w:tcPr>
            <w:tcW w:w="445" w:type="pct"/>
          </w:tcPr>
          <w:p w14:paraId="642A3004" w14:textId="00B503AA" w:rsidR="00A474A9" w:rsidRPr="00183E4D" w:rsidRDefault="00A474A9" w:rsidP="004C79C1">
            <w:pPr>
              <w:pStyle w:val="Tabletext1"/>
              <w:spacing w:before="0" w:after="120"/>
            </w:pPr>
            <w:r>
              <w:t>Not serious</w:t>
            </w:r>
            <w:r w:rsidR="00705178" w:rsidDel="00705178">
              <w:t xml:space="preserve"> </w:t>
            </w:r>
            <w:r w:rsidRPr="001F4B47">
              <w:t>(</w:t>
            </w:r>
            <w:r>
              <w:t>moderate</w:t>
            </w:r>
            <w:r w:rsidRPr="001F4B47">
              <w:t xml:space="preserve"> heterogeneity; I</w:t>
            </w:r>
            <w:r w:rsidRPr="001F4B47">
              <w:rPr>
                <w:vertAlign w:val="superscript"/>
              </w:rPr>
              <w:t>2</w:t>
            </w:r>
            <w:r w:rsidRPr="001F4B47">
              <w:t xml:space="preserve"> = </w:t>
            </w:r>
            <w:r>
              <w:t>47.5</w:t>
            </w:r>
            <w:r w:rsidRPr="001F4B47">
              <w:t>%)</w:t>
            </w:r>
          </w:p>
        </w:tc>
        <w:tc>
          <w:tcPr>
            <w:tcW w:w="395" w:type="pct"/>
          </w:tcPr>
          <w:p w14:paraId="4180F32D" w14:textId="77777777" w:rsidR="00A474A9" w:rsidRPr="0033132F" w:rsidRDefault="00A474A9" w:rsidP="004C79C1">
            <w:pPr>
              <w:pStyle w:val="Tabletext1"/>
              <w:spacing w:before="0" w:after="120"/>
            </w:pPr>
            <w:r>
              <w:t xml:space="preserve">Not </w:t>
            </w:r>
            <w:r w:rsidRPr="0033132F">
              <w:t>serious</w:t>
            </w:r>
          </w:p>
        </w:tc>
        <w:tc>
          <w:tcPr>
            <w:tcW w:w="395" w:type="pct"/>
          </w:tcPr>
          <w:p w14:paraId="0AFDEA81" w14:textId="77777777" w:rsidR="00A474A9" w:rsidRPr="0033132F" w:rsidRDefault="00A474A9" w:rsidP="004C79C1">
            <w:pPr>
              <w:pStyle w:val="Tabletext1"/>
              <w:spacing w:before="0" w:after="120"/>
            </w:pPr>
            <w:r>
              <w:t>Not serious</w:t>
            </w:r>
          </w:p>
        </w:tc>
        <w:tc>
          <w:tcPr>
            <w:tcW w:w="593" w:type="pct"/>
          </w:tcPr>
          <w:p w14:paraId="4A1A1295" w14:textId="77777777" w:rsidR="00A474A9" w:rsidRDefault="00A474A9" w:rsidP="004C79C1">
            <w:pPr>
              <w:pStyle w:val="Tabletext1"/>
              <w:spacing w:before="0" w:after="120"/>
            </w:pPr>
            <w:r>
              <w:t>Publication bias strongly suspected</w:t>
            </w:r>
          </w:p>
          <w:p w14:paraId="6547AF0D" w14:textId="3DFAE3AE" w:rsidR="00A474A9" w:rsidRPr="00183E4D" w:rsidRDefault="00A474A9" w:rsidP="004C79C1">
            <w:pPr>
              <w:pStyle w:val="Tabletext1"/>
              <w:spacing w:before="0" w:after="120"/>
            </w:pPr>
            <w:r>
              <w:t>(no studies in lower left of funnel plot</w:t>
            </w:r>
            <w:r w:rsidR="00AC75D2">
              <w:t>)</w:t>
            </w:r>
          </w:p>
        </w:tc>
        <w:tc>
          <w:tcPr>
            <w:tcW w:w="988" w:type="pct"/>
          </w:tcPr>
          <w:p w14:paraId="0A136629" w14:textId="77777777" w:rsidR="00A474A9" w:rsidRDefault="00A474A9" w:rsidP="004C79C1">
            <w:pPr>
              <w:pStyle w:val="Tabletext1"/>
              <w:spacing w:before="0" w:after="120"/>
            </w:pPr>
            <w:r>
              <w:t>115/732 (16%) of LGE+ had event</w:t>
            </w:r>
          </w:p>
          <w:p w14:paraId="2542DD9B" w14:textId="77777777" w:rsidR="00A474A9" w:rsidRDefault="00A474A9" w:rsidP="004C79C1">
            <w:pPr>
              <w:pStyle w:val="Tabletext1"/>
              <w:spacing w:before="0" w:after="120"/>
            </w:pPr>
            <w:r>
              <w:t>55/1,044 (5.3%) of LGE– had event</w:t>
            </w:r>
          </w:p>
          <w:p w14:paraId="113C4B51" w14:textId="77777777" w:rsidR="00A474A9" w:rsidRDefault="00A474A9" w:rsidP="004C79C1">
            <w:pPr>
              <w:pStyle w:val="Tabletext1"/>
              <w:spacing w:before="0" w:after="120"/>
            </w:pPr>
            <w:r>
              <w:t>RR = 3.18 (1.81, 5.57), k=13</w:t>
            </w:r>
          </w:p>
          <w:p w14:paraId="51222B41" w14:textId="77777777" w:rsidR="00A474A9" w:rsidRPr="00AD3118" w:rsidRDefault="00A474A9" w:rsidP="004C79C1">
            <w:pPr>
              <w:pStyle w:val="Tabletext1"/>
              <w:spacing w:before="0" w:after="120"/>
            </w:pPr>
            <w:r>
              <w:t>RR = 3.81 (2.02, 7.21), k=9 best</w:t>
            </w:r>
          </w:p>
        </w:tc>
        <w:tc>
          <w:tcPr>
            <w:tcW w:w="395" w:type="pct"/>
          </w:tcPr>
          <w:p w14:paraId="26E24BBC"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52802D15" w14:textId="77777777" w:rsidR="00A474A9" w:rsidRPr="00183E4D" w:rsidRDefault="00A474A9" w:rsidP="004C79C1">
            <w:pPr>
              <w:pStyle w:val="Tabletext1"/>
              <w:spacing w:before="0" w:after="120"/>
            </w:pPr>
            <w:r>
              <w:t>Critical</w:t>
            </w:r>
            <w:r>
              <w:br/>
              <w:t>(7/9)</w:t>
            </w:r>
          </w:p>
        </w:tc>
      </w:tr>
      <w:tr w:rsidR="00A474A9" w:rsidRPr="00183E4D" w14:paraId="5F98E1B5" w14:textId="77777777" w:rsidTr="00BE5D7C">
        <w:trPr>
          <w:trHeight w:val="319"/>
        </w:trPr>
        <w:tc>
          <w:tcPr>
            <w:tcW w:w="455" w:type="pct"/>
          </w:tcPr>
          <w:p w14:paraId="4D67E573" w14:textId="77777777" w:rsidR="00A474A9" w:rsidRDefault="00A474A9" w:rsidP="004C79C1">
            <w:pPr>
              <w:pStyle w:val="Tabletext1"/>
              <w:tabs>
                <w:tab w:val="left" w:pos="34"/>
              </w:tabs>
              <w:spacing w:before="0" w:after="120"/>
            </w:pPr>
            <w:r>
              <w:t>SCD</w:t>
            </w:r>
          </w:p>
        </w:tc>
        <w:tc>
          <w:tcPr>
            <w:tcW w:w="543" w:type="pct"/>
          </w:tcPr>
          <w:p w14:paraId="25DA5C33" w14:textId="3B5A4C67" w:rsidR="00A474A9" w:rsidRDefault="00853909" w:rsidP="004C79C1">
            <w:pPr>
              <w:pStyle w:val="Tabletext1"/>
              <w:spacing w:before="0" w:after="120"/>
            </w:pPr>
            <w:r>
              <w:t>K</w:t>
            </w:r>
            <w:r w:rsidR="00A474A9">
              <w:t>=8 prospective cohort (level II)</w:t>
            </w:r>
          </w:p>
          <w:p w14:paraId="450FC7D3" w14:textId="1231D560" w:rsidR="00A474A9" w:rsidRDefault="00853909" w:rsidP="004C79C1">
            <w:pPr>
              <w:pStyle w:val="Tabletext1"/>
              <w:spacing w:before="0" w:after="120"/>
            </w:pPr>
            <w:r>
              <w:t>K</w:t>
            </w:r>
            <w:r w:rsidR="00A474A9">
              <w:t>=2 retrospective cohort (level III-3)</w:t>
            </w:r>
          </w:p>
        </w:tc>
        <w:tc>
          <w:tcPr>
            <w:tcW w:w="395" w:type="pct"/>
          </w:tcPr>
          <w:p w14:paraId="6CB04715" w14:textId="1CD38D88" w:rsidR="00A474A9" w:rsidRPr="00183E4D" w:rsidRDefault="00A474A9" w:rsidP="004C79C1">
            <w:pPr>
              <w:pStyle w:val="Tabletext1"/>
              <w:spacing w:before="0" w:after="120"/>
            </w:pPr>
            <w:r>
              <w:t>Not serious</w:t>
            </w:r>
            <w:r w:rsidR="00783AC0" w:rsidDel="00783AC0">
              <w:t xml:space="preserve"> </w:t>
            </w:r>
            <w:r>
              <w:t>(1/10 high risk)</w:t>
            </w:r>
          </w:p>
        </w:tc>
        <w:tc>
          <w:tcPr>
            <w:tcW w:w="445" w:type="pct"/>
          </w:tcPr>
          <w:p w14:paraId="44BAA268" w14:textId="7AE96315" w:rsidR="00A474A9" w:rsidRPr="00183E4D" w:rsidRDefault="00A474A9" w:rsidP="004C79C1">
            <w:pPr>
              <w:pStyle w:val="Tabletext1"/>
              <w:spacing w:before="0" w:after="120"/>
            </w:pPr>
            <w:r>
              <w:t>Not serious</w:t>
            </w:r>
            <w:r w:rsidR="00783AC0" w:rsidDel="00783AC0">
              <w:t xml:space="preserve"> </w:t>
            </w:r>
            <w:r w:rsidRPr="001F4B47">
              <w:t>(</w:t>
            </w:r>
            <w:r>
              <w:t>no</w:t>
            </w:r>
            <w:r w:rsidRPr="001F4B47">
              <w:t xml:space="preserve"> heterogeneity; I</w:t>
            </w:r>
            <w:r w:rsidRPr="001F4B47">
              <w:rPr>
                <w:vertAlign w:val="superscript"/>
              </w:rPr>
              <w:t>2</w:t>
            </w:r>
            <w:r w:rsidRPr="001F4B47">
              <w:t xml:space="preserve"> = </w:t>
            </w:r>
            <w:r>
              <w:t>0</w:t>
            </w:r>
            <w:r w:rsidRPr="001F4B47">
              <w:t>%)</w:t>
            </w:r>
          </w:p>
        </w:tc>
        <w:tc>
          <w:tcPr>
            <w:tcW w:w="395" w:type="pct"/>
          </w:tcPr>
          <w:p w14:paraId="46F55A08" w14:textId="77777777" w:rsidR="00A474A9" w:rsidRPr="0033132F" w:rsidRDefault="00A474A9" w:rsidP="004C79C1">
            <w:pPr>
              <w:pStyle w:val="Tabletext1"/>
              <w:spacing w:before="0" w:after="120"/>
            </w:pPr>
            <w:r>
              <w:t xml:space="preserve">Not </w:t>
            </w:r>
            <w:r w:rsidRPr="0033132F">
              <w:t>serious</w:t>
            </w:r>
          </w:p>
        </w:tc>
        <w:tc>
          <w:tcPr>
            <w:tcW w:w="395" w:type="pct"/>
          </w:tcPr>
          <w:p w14:paraId="4D8BAE1C" w14:textId="77777777" w:rsidR="00A474A9" w:rsidRPr="0033132F" w:rsidRDefault="00A474A9" w:rsidP="004C79C1">
            <w:pPr>
              <w:pStyle w:val="Tabletext1"/>
              <w:spacing w:before="0" w:after="120"/>
            </w:pPr>
            <w:r>
              <w:t>Not serious</w:t>
            </w:r>
          </w:p>
        </w:tc>
        <w:tc>
          <w:tcPr>
            <w:tcW w:w="593" w:type="pct"/>
          </w:tcPr>
          <w:p w14:paraId="02A353C6" w14:textId="77777777" w:rsidR="00A474A9" w:rsidRPr="00183E4D" w:rsidRDefault="00A474A9" w:rsidP="004C79C1">
            <w:pPr>
              <w:pStyle w:val="Tabletext1"/>
              <w:spacing w:before="0" w:after="120"/>
            </w:pPr>
            <w:r>
              <w:t>Publication bias undetected</w:t>
            </w:r>
          </w:p>
        </w:tc>
        <w:tc>
          <w:tcPr>
            <w:tcW w:w="988" w:type="pct"/>
          </w:tcPr>
          <w:p w14:paraId="4ED1801C" w14:textId="77777777" w:rsidR="00A474A9" w:rsidRDefault="00A474A9" w:rsidP="004C79C1">
            <w:pPr>
              <w:pStyle w:val="Tabletext1"/>
              <w:spacing w:before="0" w:after="120"/>
            </w:pPr>
            <w:r>
              <w:t>27/586 (4.6%) of LGE+ had event</w:t>
            </w:r>
          </w:p>
          <w:p w14:paraId="562CA051" w14:textId="77777777" w:rsidR="00A474A9" w:rsidRDefault="00A474A9" w:rsidP="004C79C1">
            <w:pPr>
              <w:pStyle w:val="Tabletext1"/>
              <w:spacing w:before="0" w:after="120"/>
            </w:pPr>
            <w:r>
              <w:t>14/833 (1.7%) of LGE– had event</w:t>
            </w:r>
          </w:p>
          <w:p w14:paraId="090F34B9" w14:textId="77777777" w:rsidR="00A474A9" w:rsidRDefault="00A474A9" w:rsidP="004C79C1">
            <w:pPr>
              <w:pStyle w:val="Tabletext1"/>
              <w:spacing w:before="0" w:after="120"/>
            </w:pPr>
            <w:r>
              <w:t>RR = 3.16 (1.71, 5.85), k=10</w:t>
            </w:r>
          </w:p>
          <w:p w14:paraId="276642E6" w14:textId="77777777" w:rsidR="00A474A9" w:rsidRPr="00AD3118" w:rsidRDefault="00A474A9" w:rsidP="004C79C1">
            <w:pPr>
              <w:pStyle w:val="Tabletext1"/>
              <w:spacing w:before="0" w:after="120"/>
            </w:pPr>
            <w:r>
              <w:t>RR = 3.53 (1.85, 6.73), k=7 best</w:t>
            </w:r>
          </w:p>
        </w:tc>
        <w:tc>
          <w:tcPr>
            <w:tcW w:w="395" w:type="pct"/>
          </w:tcPr>
          <w:p w14:paraId="1921330B"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p>
        </w:tc>
        <w:tc>
          <w:tcPr>
            <w:tcW w:w="395" w:type="pct"/>
          </w:tcPr>
          <w:p w14:paraId="29AFFD65" w14:textId="77777777" w:rsidR="00A474A9" w:rsidRPr="00183E4D" w:rsidRDefault="00A474A9" w:rsidP="004C79C1">
            <w:pPr>
              <w:pStyle w:val="Tabletext1"/>
              <w:spacing w:before="0" w:after="120"/>
            </w:pPr>
            <w:r>
              <w:t>Critical</w:t>
            </w:r>
            <w:r>
              <w:br/>
              <w:t>(9/9)</w:t>
            </w:r>
          </w:p>
        </w:tc>
      </w:tr>
      <w:tr w:rsidR="00A474A9" w:rsidRPr="00183E4D" w14:paraId="277B4F27" w14:textId="77777777" w:rsidTr="00BE5D7C">
        <w:trPr>
          <w:trHeight w:val="319"/>
        </w:trPr>
        <w:tc>
          <w:tcPr>
            <w:tcW w:w="455" w:type="pct"/>
          </w:tcPr>
          <w:p w14:paraId="0717CAAD" w14:textId="77777777" w:rsidR="00A474A9" w:rsidRDefault="00A474A9" w:rsidP="004C79C1">
            <w:pPr>
              <w:spacing w:after="120" w:line="240" w:lineRule="auto"/>
            </w:pPr>
            <w:r>
              <w:rPr>
                <w:rFonts w:ascii="Arial Narrow" w:hAnsi="Arial Narrow"/>
                <w:color w:val="000000"/>
                <w:sz w:val="20"/>
                <w:szCs w:val="20"/>
              </w:rPr>
              <w:t>Appropriate ICD discharge</w:t>
            </w:r>
          </w:p>
        </w:tc>
        <w:tc>
          <w:tcPr>
            <w:tcW w:w="543" w:type="pct"/>
          </w:tcPr>
          <w:p w14:paraId="36C7143B" w14:textId="668B242C" w:rsidR="00A474A9" w:rsidRDefault="00853909" w:rsidP="004C79C1">
            <w:pPr>
              <w:pStyle w:val="Tabletext1"/>
              <w:spacing w:before="0" w:after="120"/>
            </w:pPr>
            <w:r>
              <w:t>K</w:t>
            </w:r>
            <w:r w:rsidR="00A474A9">
              <w:t>=6 prospective cohort (level II)</w:t>
            </w:r>
          </w:p>
          <w:p w14:paraId="0E5FFCEB" w14:textId="02F79C75" w:rsidR="00A474A9" w:rsidRDefault="00853909" w:rsidP="004C79C1">
            <w:pPr>
              <w:pStyle w:val="Tabletext1"/>
              <w:spacing w:before="0" w:after="120"/>
            </w:pPr>
            <w:r>
              <w:t>K</w:t>
            </w:r>
            <w:r w:rsidR="00A474A9">
              <w:t>=3 retrospective cohort (level III-3)</w:t>
            </w:r>
          </w:p>
        </w:tc>
        <w:tc>
          <w:tcPr>
            <w:tcW w:w="395" w:type="pct"/>
          </w:tcPr>
          <w:p w14:paraId="4488FFAF" w14:textId="7039DA44" w:rsidR="00A474A9" w:rsidRPr="00183E4D" w:rsidRDefault="00A474A9" w:rsidP="004C79C1">
            <w:pPr>
              <w:pStyle w:val="Tabletext1"/>
              <w:spacing w:before="0" w:after="120"/>
            </w:pPr>
            <w:r>
              <w:t>Not serious</w:t>
            </w:r>
            <w:r w:rsidR="00783AC0" w:rsidDel="00783AC0">
              <w:t xml:space="preserve"> </w:t>
            </w:r>
            <w:r>
              <w:t>(7/9 high risk)</w:t>
            </w:r>
          </w:p>
        </w:tc>
        <w:tc>
          <w:tcPr>
            <w:tcW w:w="445" w:type="pct"/>
          </w:tcPr>
          <w:p w14:paraId="7830867B" w14:textId="76775185" w:rsidR="00A474A9" w:rsidRPr="00183E4D" w:rsidRDefault="00A474A9" w:rsidP="004C79C1">
            <w:pPr>
              <w:pStyle w:val="Tabletext1"/>
              <w:spacing w:before="0" w:after="120"/>
            </w:pPr>
            <w:r>
              <w:t>Not serious</w:t>
            </w:r>
            <w:r w:rsidR="00783AC0" w:rsidDel="00783AC0">
              <w:t xml:space="preserve"> </w:t>
            </w:r>
            <w:r w:rsidRPr="001F4B47">
              <w:t>(</w:t>
            </w:r>
            <w:r>
              <w:t>moderate</w:t>
            </w:r>
            <w:r w:rsidRPr="001F4B47">
              <w:t xml:space="preserve"> heterogeneity; I</w:t>
            </w:r>
            <w:r w:rsidRPr="001F4B47">
              <w:rPr>
                <w:vertAlign w:val="superscript"/>
              </w:rPr>
              <w:t>2</w:t>
            </w:r>
            <w:r w:rsidRPr="001F4B47">
              <w:t xml:space="preserve"> = </w:t>
            </w:r>
            <w:r>
              <w:t>43.9</w:t>
            </w:r>
            <w:r w:rsidRPr="001F4B47">
              <w:t>%)</w:t>
            </w:r>
          </w:p>
        </w:tc>
        <w:tc>
          <w:tcPr>
            <w:tcW w:w="395" w:type="pct"/>
          </w:tcPr>
          <w:p w14:paraId="78A41743" w14:textId="77777777" w:rsidR="00A474A9" w:rsidRPr="0033132F" w:rsidRDefault="00A474A9" w:rsidP="004C79C1">
            <w:pPr>
              <w:pStyle w:val="Tabletext1"/>
              <w:spacing w:before="0" w:after="120"/>
            </w:pPr>
            <w:r>
              <w:t xml:space="preserve">Not </w:t>
            </w:r>
            <w:r w:rsidRPr="0033132F">
              <w:t>serious</w:t>
            </w:r>
          </w:p>
        </w:tc>
        <w:tc>
          <w:tcPr>
            <w:tcW w:w="395" w:type="pct"/>
          </w:tcPr>
          <w:p w14:paraId="4A1D6BD6" w14:textId="77777777" w:rsidR="00A474A9" w:rsidRPr="0033132F" w:rsidRDefault="00A474A9" w:rsidP="004C79C1">
            <w:pPr>
              <w:pStyle w:val="Tabletext1"/>
              <w:spacing w:before="0" w:after="120"/>
            </w:pPr>
            <w:r>
              <w:t>Not serious</w:t>
            </w:r>
          </w:p>
        </w:tc>
        <w:tc>
          <w:tcPr>
            <w:tcW w:w="593" w:type="pct"/>
          </w:tcPr>
          <w:p w14:paraId="63B384B2" w14:textId="5A7F64F5" w:rsidR="00A474A9" w:rsidRPr="00183E4D" w:rsidRDefault="00A474A9" w:rsidP="004C79C1">
            <w:pPr>
              <w:pStyle w:val="Tabletext1"/>
              <w:spacing w:before="0" w:after="120"/>
            </w:pPr>
            <w:r>
              <w:t>Publication bias strongly suspected</w:t>
            </w:r>
            <w:r w:rsidR="00783AC0" w:rsidDel="00783AC0">
              <w:t xml:space="preserve"> </w:t>
            </w:r>
            <w:r>
              <w:t>(no studies in lower left of funnel plot</w:t>
            </w:r>
            <w:r w:rsidR="00AC75D2">
              <w:t>)</w:t>
            </w:r>
          </w:p>
        </w:tc>
        <w:tc>
          <w:tcPr>
            <w:tcW w:w="988" w:type="pct"/>
          </w:tcPr>
          <w:p w14:paraId="78F68A3C" w14:textId="77777777" w:rsidR="00A474A9" w:rsidRDefault="00A474A9" w:rsidP="004C79C1">
            <w:pPr>
              <w:pStyle w:val="Tabletext1"/>
              <w:spacing w:before="0" w:after="120"/>
            </w:pPr>
            <w:r>
              <w:t>121/292 (41%) of LGE+ had event</w:t>
            </w:r>
          </w:p>
          <w:p w14:paraId="25221D61" w14:textId="77777777" w:rsidR="00A474A9" w:rsidRDefault="00A474A9" w:rsidP="004C79C1">
            <w:pPr>
              <w:pStyle w:val="Tabletext1"/>
              <w:spacing w:before="0" w:after="120"/>
            </w:pPr>
            <w:r>
              <w:t>26/248 (10%) of LGE– had event</w:t>
            </w:r>
          </w:p>
          <w:p w14:paraId="28CDD633" w14:textId="77777777" w:rsidR="00A474A9" w:rsidRDefault="00A474A9" w:rsidP="004C79C1">
            <w:pPr>
              <w:pStyle w:val="Tabletext1"/>
              <w:spacing w:before="0" w:after="120"/>
            </w:pPr>
            <w:r>
              <w:t>RR = 3.13 (1.63, 3.74), k=7</w:t>
            </w:r>
          </w:p>
          <w:p w14:paraId="7B9F32B3" w14:textId="77777777" w:rsidR="00A474A9" w:rsidRPr="00AD3118" w:rsidRDefault="00A474A9" w:rsidP="004C79C1">
            <w:pPr>
              <w:pStyle w:val="Tabletext1"/>
              <w:spacing w:before="0" w:after="120"/>
            </w:pPr>
            <w:r>
              <w:t>RR = 3.11 (1.62, 6.43), k=6 best</w:t>
            </w:r>
          </w:p>
        </w:tc>
        <w:tc>
          <w:tcPr>
            <w:tcW w:w="395" w:type="pct"/>
          </w:tcPr>
          <w:p w14:paraId="2568E481"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4412FCDC" w14:textId="77777777" w:rsidR="00A474A9" w:rsidRPr="00183E4D" w:rsidRDefault="00A474A9" w:rsidP="004C79C1">
            <w:pPr>
              <w:pStyle w:val="Tabletext1"/>
              <w:spacing w:before="0" w:after="120"/>
            </w:pPr>
            <w:r>
              <w:t>Important</w:t>
            </w:r>
            <w:r>
              <w:br/>
              <w:t>(6/9)</w:t>
            </w:r>
          </w:p>
        </w:tc>
      </w:tr>
      <w:tr w:rsidR="00A474A9" w:rsidRPr="00183E4D" w14:paraId="7C2E6430" w14:textId="77777777" w:rsidTr="00BE5D7C">
        <w:trPr>
          <w:cantSplit/>
          <w:trHeight w:val="319"/>
        </w:trPr>
        <w:tc>
          <w:tcPr>
            <w:tcW w:w="455" w:type="pct"/>
          </w:tcPr>
          <w:p w14:paraId="40984CBB" w14:textId="77777777" w:rsidR="00A474A9" w:rsidRPr="00524FC1" w:rsidRDefault="00A474A9" w:rsidP="004C79C1">
            <w:pPr>
              <w:pStyle w:val="Tabletext1"/>
              <w:tabs>
                <w:tab w:val="left" w:pos="34"/>
              </w:tabs>
              <w:spacing w:before="0" w:after="120"/>
            </w:pPr>
            <w:r w:rsidRPr="00703297">
              <w:t>SCD, aborted SCD or ICD discharge</w:t>
            </w:r>
          </w:p>
        </w:tc>
        <w:tc>
          <w:tcPr>
            <w:tcW w:w="543" w:type="pct"/>
          </w:tcPr>
          <w:p w14:paraId="2DC4794D" w14:textId="6450FEC4" w:rsidR="00A474A9" w:rsidRDefault="00853909" w:rsidP="004C79C1">
            <w:pPr>
              <w:pStyle w:val="Tabletext1"/>
              <w:spacing w:before="0" w:after="120"/>
            </w:pPr>
            <w:r>
              <w:t>K</w:t>
            </w:r>
            <w:r w:rsidR="00A474A9">
              <w:t>=8 prospective cohort (level II)</w:t>
            </w:r>
          </w:p>
          <w:p w14:paraId="656E50DE" w14:textId="124A9766" w:rsidR="00A474A9" w:rsidRDefault="00853909" w:rsidP="004C79C1">
            <w:pPr>
              <w:pStyle w:val="Tabletext1"/>
              <w:spacing w:before="0" w:after="120"/>
            </w:pPr>
            <w:r>
              <w:t>K</w:t>
            </w:r>
            <w:r w:rsidR="00A474A9">
              <w:t>=1 retrospective cohort (level III-3)</w:t>
            </w:r>
          </w:p>
        </w:tc>
        <w:tc>
          <w:tcPr>
            <w:tcW w:w="395" w:type="pct"/>
          </w:tcPr>
          <w:p w14:paraId="1B11FFC7" w14:textId="529ED0A3" w:rsidR="00A474A9" w:rsidRPr="00183E4D" w:rsidRDefault="00A474A9" w:rsidP="004C79C1">
            <w:pPr>
              <w:pStyle w:val="Tabletext1"/>
              <w:spacing w:before="0" w:after="120"/>
            </w:pPr>
            <w:r>
              <w:t>Not serious</w:t>
            </w:r>
            <w:r w:rsidR="00783AC0" w:rsidDel="00783AC0">
              <w:t xml:space="preserve"> </w:t>
            </w:r>
            <w:r>
              <w:t>(0/9 high risk)</w:t>
            </w:r>
          </w:p>
        </w:tc>
        <w:tc>
          <w:tcPr>
            <w:tcW w:w="445" w:type="pct"/>
          </w:tcPr>
          <w:p w14:paraId="188D5366" w14:textId="31B6D9FA" w:rsidR="00A474A9" w:rsidRPr="00183E4D" w:rsidRDefault="00A474A9" w:rsidP="004C79C1">
            <w:pPr>
              <w:pStyle w:val="Tabletext1"/>
              <w:spacing w:before="0" w:after="120"/>
            </w:pPr>
            <w:r>
              <w:t>Not serious</w:t>
            </w:r>
            <w:r w:rsidR="00783AC0" w:rsidDel="00783AC0">
              <w:t xml:space="preserve"> </w:t>
            </w:r>
            <w:r w:rsidRPr="001F4B47">
              <w:t>(</w:t>
            </w:r>
            <w:r>
              <w:t>no</w:t>
            </w:r>
            <w:r w:rsidRPr="001F4B47">
              <w:t xml:space="preserve"> heterogeneity; I</w:t>
            </w:r>
            <w:r w:rsidRPr="001F4B47">
              <w:rPr>
                <w:vertAlign w:val="superscript"/>
              </w:rPr>
              <w:t>2</w:t>
            </w:r>
            <w:r w:rsidRPr="001F4B47">
              <w:t xml:space="preserve"> = </w:t>
            </w:r>
            <w:r>
              <w:t>0</w:t>
            </w:r>
            <w:r w:rsidRPr="001F4B47">
              <w:t>%)</w:t>
            </w:r>
          </w:p>
        </w:tc>
        <w:tc>
          <w:tcPr>
            <w:tcW w:w="395" w:type="pct"/>
          </w:tcPr>
          <w:p w14:paraId="00C5397D" w14:textId="77777777" w:rsidR="00A474A9" w:rsidRPr="0033132F" w:rsidRDefault="00A474A9" w:rsidP="004C79C1">
            <w:pPr>
              <w:pStyle w:val="Tabletext1"/>
              <w:spacing w:before="0" w:after="120"/>
            </w:pPr>
            <w:r>
              <w:t xml:space="preserve">Not </w:t>
            </w:r>
            <w:r w:rsidRPr="0033132F">
              <w:t>serious</w:t>
            </w:r>
          </w:p>
        </w:tc>
        <w:tc>
          <w:tcPr>
            <w:tcW w:w="395" w:type="pct"/>
          </w:tcPr>
          <w:p w14:paraId="293B2430" w14:textId="77777777" w:rsidR="00A474A9" w:rsidRPr="0033132F" w:rsidRDefault="00A474A9" w:rsidP="004C79C1">
            <w:pPr>
              <w:pStyle w:val="Tabletext1"/>
              <w:spacing w:before="0" w:after="120"/>
            </w:pPr>
            <w:r>
              <w:t>Not serious</w:t>
            </w:r>
          </w:p>
        </w:tc>
        <w:tc>
          <w:tcPr>
            <w:tcW w:w="593" w:type="pct"/>
          </w:tcPr>
          <w:p w14:paraId="4D39042B" w14:textId="4ED520B7" w:rsidR="00A474A9" w:rsidRPr="00183E4D" w:rsidRDefault="00A474A9" w:rsidP="004C79C1">
            <w:pPr>
              <w:pStyle w:val="Tabletext1"/>
              <w:spacing w:before="0" w:after="120"/>
            </w:pPr>
            <w:r>
              <w:t>Publication bias strongly suspected</w:t>
            </w:r>
            <w:r w:rsidR="00783AC0" w:rsidDel="00783AC0">
              <w:t xml:space="preserve"> </w:t>
            </w:r>
            <w:r>
              <w:t>(no studies in lower left of funnel plot</w:t>
            </w:r>
            <w:r w:rsidR="00AC75D2">
              <w:t>)</w:t>
            </w:r>
          </w:p>
        </w:tc>
        <w:tc>
          <w:tcPr>
            <w:tcW w:w="988" w:type="pct"/>
          </w:tcPr>
          <w:p w14:paraId="1F61C408" w14:textId="77777777" w:rsidR="00A474A9" w:rsidRDefault="00A474A9" w:rsidP="004C79C1">
            <w:pPr>
              <w:pStyle w:val="Tabletext1"/>
              <w:spacing w:before="0" w:after="120"/>
            </w:pPr>
            <w:r>
              <w:t>193/998 (19%) of LGE+ had event</w:t>
            </w:r>
          </w:p>
          <w:p w14:paraId="04AA3BA7" w14:textId="77777777" w:rsidR="00A474A9" w:rsidRDefault="00A474A9" w:rsidP="004C79C1">
            <w:pPr>
              <w:pStyle w:val="Tabletext1"/>
              <w:spacing w:before="0" w:after="120"/>
            </w:pPr>
            <w:r>
              <w:t>45/838 (5.4%) of LGE– had event</w:t>
            </w:r>
          </w:p>
          <w:p w14:paraId="11BF39DB" w14:textId="77777777" w:rsidR="00A474A9" w:rsidRDefault="00A474A9" w:rsidP="004C79C1">
            <w:pPr>
              <w:pStyle w:val="Tabletext1"/>
              <w:spacing w:before="0" w:after="120"/>
            </w:pPr>
            <w:r>
              <w:t>RR = 3.84 (2.79, 5.29), k=9</w:t>
            </w:r>
          </w:p>
          <w:p w14:paraId="701B4545" w14:textId="77777777" w:rsidR="00A474A9" w:rsidRPr="00AD3118" w:rsidRDefault="00A474A9" w:rsidP="004C79C1">
            <w:pPr>
              <w:pStyle w:val="Tabletext1"/>
              <w:spacing w:before="0" w:after="120"/>
            </w:pPr>
            <w:r>
              <w:t>RR = 3.77 (2.73, 5.20), k=8 best</w:t>
            </w:r>
          </w:p>
        </w:tc>
        <w:tc>
          <w:tcPr>
            <w:tcW w:w="395" w:type="pct"/>
          </w:tcPr>
          <w:p w14:paraId="613D698A"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0C06CE8B" w14:textId="77777777" w:rsidR="00A474A9" w:rsidRPr="00183E4D" w:rsidRDefault="00A474A9" w:rsidP="004C79C1">
            <w:pPr>
              <w:pStyle w:val="Tabletext1"/>
              <w:spacing w:before="0" w:after="120"/>
            </w:pPr>
            <w:r>
              <w:t>Important</w:t>
            </w:r>
            <w:r>
              <w:br/>
              <w:t>(6/9)</w:t>
            </w:r>
          </w:p>
        </w:tc>
      </w:tr>
      <w:tr w:rsidR="00A474A9" w:rsidRPr="00183E4D" w14:paraId="061BAC89" w14:textId="77777777" w:rsidTr="00BE5D7C">
        <w:trPr>
          <w:trHeight w:val="319"/>
        </w:trPr>
        <w:tc>
          <w:tcPr>
            <w:tcW w:w="455" w:type="pct"/>
          </w:tcPr>
          <w:p w14:paraId="1AC68066" w14:textId="77777777" w:rsidR="00A474A9" w:rsidRDefault="00A474A9" w:rsidP="004C79C1">
            <w:pPr>
              <w:pStyle w:val="Tabletext1"/>
              <w:spacing w:before="0" w:after="120"/>
            </w:pPr>
            <w:r w:rsidRPr="00D33ABD">
              <w:lastRenderedPageBreak/>
              <w:t>VT/VA</w:t>
            </w:r>
            <w:r>
              <w:t xml:space="preserve"> events</w:t>
            </w:r>
          </w:p>
        </w:tc>
        <w:tc>
          <w:tcPr>
            <w:tcW w:w="543" w:type="pct"/>
          </w:tcPr>
          <w:p w14:paraId="4C387F61" w14:textId="2F682E28" w:rsidR="00A474A9" w:rsidRDefault="00853909" w:rsidP="004C79C1">
            <w:pPr>
              <w:pStyle w:val="Tabletext1"/>
              <w:spacing w:before="0" w:after="120"/>
            </w:pPr>
            <w:r>
              <w:t>K</w:t>
            </w:r>
            <w:r w:rsidR="00A474A9">
              <w:t>=5 prospective cohort (level II)</w:t>
            </w:r>
          </w:p>
          <w:p w14:paraId="2E7B7A2A" w14:textId="4ABF7ABD" w:rsidR="00A474A9" w:rsidRDefault="00853909" w:rsidP="004C79C1">
            <w:pPr>
              <w:pStyle w:val="Tabletext1"/>
              <w:spacing w:before="0" w:after="120"/>
            </w:pPr>
            <w:r>
              <w:t>K</w:t>
            </w:r>
            <w:r w:rsidR="00A474A9">
              <w:t>=2 retrospective cohort (level III-3)</w:t>
            </w:r>
          </w:p>
        </w:tc>
        <w:tc>
          <w:tcPr>
            <w:tcW w:w="395" w:type="pct"/>
          </w:tcPr>
          <w:p w14:paraId="75FDD1F5" w14:textId="2ED48611" w:rsidR="00A474A9" w:rsidRPr="00183E4D" w:rsidRDefault="00A474A9" w:rsidP="004C79C1">
            <w:pPr>
              <w:pStyle w:val="Tabletext1"/>
              <w:spacing w:before="0" w:after="120"/>
            </w:pPr>
            <w:r>
              <w:t>Not serious</w:t>
            </w:r>
            <w:r w:rsidR="00783AC0" w:rsidDel="00783AC0">
              <w:t xml:space="preserve"> </w:t>
            </w:r>
            <w:r>
              <w:t>(2/7 high risk)</w:t>
            </w:r>
          </w:p>
        </w:tc>
        <w:tc>
          <w:tcPr>
            <w:tcW w:w="445" w:type="pct"/>
          </w:tcPr>
          <w:p w14:paraId="54B90D6E" w14:textId="2A28191D" w:rsidR="00A474A9" w:rsidRPr="00183E4D" w:rsidRDefault="00A474A9" w:rsidP="004C79C1">
            <w:pPr>
              <w:pStyle w:val="Tabletext1"/>
              <w:spacing w:before="0" w:after="120"/>
            </w:pPr>
            <w:r>
              <w:t>Not serious</w:t>
            </w:r>
            <w:r w:rsidR="00783AC0" w:rsidDel="00783AC0">
              <w:t xml:space="preserve"> </w:t>
            </w:r>
            <w:r w:rsidRPr="001F4B47">
              <w:t>(</w:t>
            </w:r>
            <w:r>
              <w:t>no</w:t>
            </w:r>
            <w:r w:rsidRPr="001F4B47">
              <w:t xml:space="preserve"> heterogeneity; I</w:t>
            </w:r>
            <w:r w:rsidRPr="001F4B47">
              <w:rPr>
                <w:vertAlign w:val="superscript"/>
              </w:rPr>
              <w:t>2</w:t>
            </w:r>
            <w:r w:rsidRPr="001F4B47">
              <w:t xml:space="preserve"> = </w:t>
            </w:r>
            <w:r>
              <w:t>0</w:t>
            </w:r>
            <w:r w:rsidRPr="001F4B47">
              <w:t>%)</w:t>
            </w:r>
          </w:p>
        </w:tc>
        <w:tc>
          <w:tcPr>
            <w:tcW w:w="395" w:type="pct"/>
          </w:tcPr>
          <w:p w14:paraId="5A451744" w14:textId="77777777" w:rsidR="00A474A9" w:rsidRPr="0033132F" w:rsidRDefault="00A474A9" w:rsidP="004C79C1">
            <w:pPr>
              <w:pStyle w:val="Tabletext1"/>
              <w:spacing w:before="0" w:after="120"/>
            </w:pPr>
            <w:r>
              <w:t xml:space="preserve">Not </w:t>
            </w:r>
            <w:r w:rsidRPr="0033132F">
              <w:t>serious</w:t>
            </w:r>
          </w:p>
        </w:tc>
        <w:tc>
          <w:tcPr>
            <w:tcW w:w="395" w:type="pct"/>
          </w:tcPr>
          <w:p w14:paraId="279A7188" w14:textId="77777777" w:rsidR="00A474A9" w:rsidRPr="0033132F" w:rsidRDefault="00A474A9" w:rsidP="004C79C1">
            <w:pPr>
              <w:pStyle w:val="Tabletext1"/>
              <w:spacing w:before="0" w:after="120"/>
            </w:pPr>
            <w:r>
              <w:t>Not serious</w:t>
            </w:r>
          </w:p>
        </w:tc>
        <w:tc>
          <w:tcPr>
            <w:tcW w:w="593" w:type="pct"/>
          </w:tcPr>
          <w:p w14:paraId="50BD1484" w14:textId="5F582654" w:rsidR="00A474A9" w:rsidRPr="00183E4D" w:rsidRDefault="00A474A9" w:rsidP="004C79C1">
            <w:pPr>
              <w:pStyle w:val="Tabletext1"/>
              <w:spacing w:before="0" w:after="120"/>
            </w:pPr>
            <w:r>
              <w:t>Publication bias strongly suspected</w:t>
            </w:r>
            <w:r w:rsidR="00783AC0" w:rsidDel="00783AC0">
              <w:t xml:space="preserve"> </w:t>
            </w:r>
            <w:r>
              <w:t>(no studies in lower left of funnel plot</w:t>
            </w:r>
            <w:r w:rsidR="00AC75D2">
              <w:t>)</w:t>
            </w:r>
          </w:p>
        </w:tc>
        <w:tc>
          <w:tcPr>
            <w:tcW w:w="988" w:type="pct"/>
          </w:tcPr>
          <w:p w14:paraId="00C8EFD6" w14:textId="77777777" w:rsidR="00A474A9" w:rsidRDefault="00A474A9" w:rsidP="004C79C1">
            <w:pPr>
              <w:pStyle w:val="Tabletext1"/>
              <w:spacing w:before="0" w:after="120"/>
            </w:pPr>
            <w:r>
              <w:t>52/409 (13%) of LGE+ had event</w:t>
            </w:r>
          </w:p>
          <w:p w14:paraId="37A59D17" w14:textId="77777777" w:rsidR="00A474A9" w:rsidRDefault="00A474A9" w:rsidP="004C79C1">
            <w:pPr>
              <w:pStyle w:val="Tabletext1"/>
              <w:spacing w:before="0" w:after="120"/>
            </w:pPr>
            <w:r>
              <w:t>12/392 (3.1%) of LGE– had event</w:t>
            </w:r>
          </w:p>
          <w:p w14:paraId="6788459C" w14:textId="77777777" w:rsidR="00A474A9" w:rsidRDefault="00A474A9" w:rsidP="004C79C1">
            <w:pPr>
              <w:pStyle w:val="Tabletext1"/>
              <w:spacing w:before="0" w:after="120"/>
            </w:pPr>
            <w:r>
              <w:t>RR = 3.03 (1.63, 5.62), k=7</w:t>
            </w:r>
          </w:p>
          <w:p w14:paraId="71E35732" w14:textId="77777777" w:rsidR="00A474A9" w:rsidRPr="00AD3118" w:rsidRDefault="00A474A9" w:rsidP="004C79C1">
            <w:pPr>
              <w:pStyle w:val="Tabletext1"/>
              <w:spacing w:before="0" w:after="120"/>
            </w:pPr>
            <w:r>
              <w:t>RR = 2.41 (1.18, 4.84), k=3 best</w:t>
            </w:r>
          </w:p>
        </w:tc>
        <w:tc>
          <w:tcPr>
            <w:tcW w:w="395" w:type="pct"/>
          </w:tcPr>
          <w:p w14:paraId="39951E16"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28B014D3" w14:textId="77777777" w:rsidR="00A474A9" w:rsidRPr="00183E4D" w:rsidRDefault="00A474A9" w:rsidP="004C79C1">
            <w:pPr>
              <w:pStyle w:val="Tabletext1"/>
              <w:spacing w:before="0" w:after="120"/>
            </w:pPr>
            <w:r>
              <w:t>Important</w:t>
            </w:r>
            <w:r>
              <w:br/>
              <w:t>(5/9)</w:t>
            </w:r>
          </w:p>
        </w:tc>
      </w:tr>
      <w:tr w:rsidR="00A474A9" w:rsidRPr="00183E4D" w14:paraId="21D91E55" w14:textId="77777777" w:rsidTr="00BE5D7C">
        <w:trPr>
          <w:trHeight w:val="319"/>
        </w:trPr>
        <w:tc>
          <w:tcPr>
            <w:tcW w:w="455" w:type="pct"/>
          </w:tcPr>
          <w:p w14:paraId="6EB6BAFD" w14:textId="77777777" w:rsidR="00A474A9" w:rsidRPr="00524FC1" w:rsidRDefault="00A474A9" w:rsidP="004C79C1">
            <w:pPr>
              <w:pStyle w:val="Tabletext1"/>
              <w:tabs>
                <w:tab w:val="left" w:pos="34"/>
              </w:tabs>
              <w:spacing w:before="0" w:after="120"/>
            </w:pPr>
            <w:r w:rsidRPr="00D33ABD">
              <w:t>Major arrhythmic events</w:t>
            </w:r>
          </w:p>
        </w:tc>
        <w:tc>
          <w:tcPr>
            <w:tcW w:w="543" w:type="pct"/>
          </w:tcPr>
          <w:p w14:paraId="73307717" w14:textId="53C35894" w:rsidR="00A474A9" w:rsidRDefault="00853909" w:rsidP="004C79C1">
            <w:pPr>
              <w:pStyle w:val="Tabletext1"/>
              <w:spacing w:before="0" w:after="120"/>
            </w:pPr>
            <w:r>
              <w:t>K</w:t>
            </w:r>
            <w:r w:rsidR="00A474A9">
              <w:t>=9 prospective cohort (level II)</w:t>
            </w:r>
          </w:p>
          <w:p w14:paraId="25559EE0" w14:textId="082A0D78" w:rsidR="00A474A9" w:rsidRDefault="00225AD7" w:rsidP="004C79C1">
            <w:pPr>
              <w:pStyle w:val="Tabletext1"/>
              <w:spacing w:before="0" w:after="120"/>
            </w:pPr>
            <w:r>
              <w:t>K</w:t>
            </w:r>
            <w:r w:rsidR="00A474A9">
              <w:t>=2 retrospective cohort (level III-3)</w:t>
            </w:r>
          </w:p>
        </w:tc>
        <w:tc>
          <w:tcPr>
            <w:tcW w:w="395" w:type="pct"/>
          </w:tcPr>
          <w:p w14:paraId="60BCB20B" w14:textId="77777777" w:rsidR="00A474A9" w:rsidRDefault="00A474A9" w:rsidP="004C79C1">
            <w:pPr>
              <w:pStyle w:val="Tabletext1"/>
              <w:spacing w:before="0" w:after="120"/>
            </w:pPr>
            <w:r>
              <w:t>Not serious</w:t>
            </w:r>
          </w:p>
          <w:p w14:paraId="42073274" w14:textId="77777777" w:rsidR="00A474A9" w:rsidRPr="00183E4D" w:rsidRDefault="00A474A9" w:rsidP="004C79C1">
            <w:pPr>
              <w:pStyle w:val="Tabletext1"/>
              <w:spacing w:before="0" w:after="120"/>
            </w:pPr>
            <w:r>
              <w:t>(2/11 high risk)</w:t>
            </w:r>
          </w:p>
        </w:tc>
        <w:tc>
          <w:tcPr>
            <w:tcW w:w="445" w:type="pct"/>
          </w:tcPr>
          <w:p w14:paraId="2927598B" w14:textId="77777777" w:rsidR="00A474A9" w:rsidRDefault="00A474A9" w:rsidP="004C79C1">
            <w:pPr>
              <w:pStyle w:val="Tabletext1"/>
              <w:spacing w:before="0" w:after="120"/>
            </w:pPr>
            <w:r>
              <w:t>Not serious</w:t>
            </w:r>
          </w:p>
          <w:p w14:paraId="65A2F552" w14:textId="77777777" w:rsidR="00A474A9" w:rsidRPr="00183E4D" w:rsidRDefault="00A474A9" w:rsidP="004C79C1">
            <w:pPr>
              <w:pStyle w:val="Tabletext1"/>
              <w:spacing w:before="0" w:after="120"/>
            </w:pPr>
            <w:r w:rsidRPr="001F4B47">
              <w:t>(</w:t>
            </w:r>
            <w:proofErr w:type="gramStart"/>
            <w:r>
              <w:t>no</w:t>
            </w:r>
            <w:proofErr w:type="gramEnd"/>
            <w:r w:rsidRPr="001F4B47">
              <w:t xml:space="preserve"> heterogeneity; I</w:t>
            </w:r>
            <w:r w:rsidRPr="001F4B47">
              <w:rPr>
                <w:vertAlign w:val="superscript"/>
              </w:rPr>
              <w:t>2</w:t>
            </w:r>
            <w:r w:rsidRPr="001F4B47">
              <w:t xml:space="preserve"> = </w:t>
            </w:r>
            <w:r>
              <w:t>0</w:t>
            </w:r>
            <w:r w:rsidRPr="001F4B47">
              <w:t>%)</w:t>
            </w:r>
          </w:p>
        </w:tc>
        <w:tc>
          <w:tcPr>
            <w:tcW w:w="395" w:type="pct"/>
          </w:tcPr>
          <w:p w14:paraId="37AA4419" w14:textId="77777777" w:rsidR="00A474A9" w:rsidRPr="0033132F" w:rsidRDefault="00A474A9" w:rsidP="004C79C1">
            <w:pPr>
              <w:pStyle w:val="Tabletext1"/>
              <w:spacing w:before="0" w:after="120"/>
            </w:pPr>
            <w:r>
              <w:t xml:space="preserve">Not </w:t>
            </w:r>
            <w:r w:rsidRPr="0033132F">
              <w:t>serious</w:t>
            </w:r>
          </w:p>
        </w:tc>
        <w:tc>
          <w:tcPr>
            <w:tcW w:w="395" w:type="pct"/>
          </w:tcPr>
          <w:p w14:paraId="1A034FD9" w14:textId="77777777" w:rsidR="00A474A9" w:rsidRPr="0033132F" w:rsidRDefault="00A474A9" w:rsidP="004C79C1">
            <w:pPr>
              <w:pStyle w:val="Tabletext1"/>
              <w:spacing w:before="0" w:after="120"/>
            </w:pPr>
            <w:r>
              <w:t>Not serious</w:t>
            </w:r>
          </w:p>
        </w:tc>
        <w:tc>
          <w:tcPr>
            <w:tcW w:w="593" w:type="pct"/>
          </w:tcPr>
          <w:p w14:paraId="0C1AE65E" w14:textId="77777777" w:rsidR="00A474A9" w:rsidRPr="00183E4D" w:rsidRDefault="00A474A9" w:rsidP="004C79C1">
            <w:pPr>
              <w:pStyle w:val="Tabletext1"/>
              <w:spacing w:before="0" w:after="120"/>
            </w:pPr>
            <w:r>
              <w:t>Publication bias undetected</w:t>
            </w:r>
          </w:p>
        </w:tc>
        <w:tc>
          <w:tcPr>
            <w:tcW w:w="988" w:type="pct"/>
          </w:tcPr>
          <w:p w14:paraId="7F044FE7" w14:textId="77777777" w:rsidR="00A474A9" w:rsidRDefault="00A474A9" w:rsidP="004C79C1">
            <w:pPr>
              <w:pStyle w:val="Tabletext1"/>
              <w:spacing w:before="0" w:after="120"/>
            </w:pPr>
            <w:r>
              <w:t>114/652 (17%) of LGE+ had event</w:t>
            </w:r>
          </w:p>
          <w:p w14:paraId="637A541E" w14:textId="77777777" w:rsidR="00A474A9" w:rsidRDefault="00A474A9" w:rsidP="004C79C1">
            <w:pPr>
              <w:pStyle w:val="Tabletext1"/>
              <w:spacing w:before="0" w:after="120"/>
            </w:pPr>
            <w:r>
              <w:t>40/875 (1.6%) of LGE– had event</w:t>
            </w:r>
          </w:p>
          <w:p w14:paraId="66F9DED5" w14:textId="77777777" w:rsidR="00A474A9" w:rsidRDefault="00A474A9" w:rsidP="004C79C1">
            <w:pPr>
              <w:pStyle w:val="Tabletext1"/>
              <w:spacing w:before="0" w:after="120"/>
            </w:pPr>
            <w:r>
              <w:t>RR = 3.84 (2.71, 5.43), k=11</w:t>
            </w:r>
          </w:p>
          <w:p w14:paraId="1AE68CB7" w14:textId="77777777" w:rsidR="00A474A9" w:rsidRPr="00AD3118" w:rsidRDefault="00A474A9" w:rsidP="004C79C1">
            <w:pPr>
              <w:pStyle w:val="Tabletext1"/>
              <w:spacing w:before="0" w:after="120"/>
            </w:pPr>
            <w:r>
              <w:t>RR = 3.80 (2.63, 5.50), k=7 best</w:t>
            </w:r>
          </w:p>
        </w:tc>
        <w:tc>
          <w:tcPr>
            <w:tcW w:w="395" w:type="pct"/>
          </w:tcPr>
          <w:p w14:paraId="19B0FB36"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r>
              <w:rPr>
                <w:rFonts w:ascii="Cambria Math" w:hAnsi="Cambria Math" w:cs="Cambria Math"/>
                <w:color w:val="FF0000"/>
              </w:rPr>
              <w:t xml:space="preserve"> </w:t>
            </w:r>
          </w:p>
        </w:tc>
        <w:tc>
          <w:tcPr>
            <w:tcW w:w="395" w:type="pct"/>
          </w:tcPr>
          <w:p w14:paraId="35A1F8F8" w14:textId="77777777" w:rsidR="00A474A9" w:rsidRPr="00183E4D" w:rsidRDefault="00A474A9" w:rsidP="004C79C1">
            <w:pPr>
              <w:pStyle w:val="Tabletext1"/>
              <w:spacing w:before="0" w:after="120"/>
            </w:pPr>
            <w:r>
              <w:t>Critical</w:t>
            </w:r>
            <w:r>
              <w:br/>
              <w:t>(7/9)</w:t>
            </w:r>
          </w:p>
        </w:tc>
      </w:tr>
      <w:tr w:rsidR="00A474A9" w:rsidRPr="00183E4D" w14:paraId="04C2B72E" w14:textId="77777777" w:rsidTr="00BE5D7C">
        <w:trPr>
          <w:cantSplit/>
          <w:trHeight w:val="319"/>
        </w:trPr>
        <w:tc>
          <w:tcPr>
            <w:tcW w:w="455" w:type="pct"/>
          </w:tcPr>
          <w:p w14:paraId="216D6D5C" w14:textId="77777777" w:rsidR="00A474A9" w:rsidRDefault="00A474A9" w:rsidP="004C79C1">
            <w:pPr>
              <w:pStyle w:val="Tabletext1"/>
              <w:tabs>
                <w:tab w:val="left" w:pos="34"/>
              </w:tabs>
              <w:spacing w:before="0" w:after="120"/>
            </w:pPr>
            <w:r w:rsidRPr="00D33ABD">
              <w:t>Hospitalisation for HF</w:t>
            </w:r>
          </w:p>
        </w:tc>
        <w:tc>
          <w:tcPr>
            <w:tcW w:w="543" w:type="pct"/>
          </w:tcPr>
          <w:p w14:paraId="7E092B06" w14:textId="5053770E" w:rsidR="00A474A9" w:rsidRDefault="00225AD7" w:rsidP="004C79C1">
            <w:pPr>
              <w:pStyle w:val="Tabletext1"/>
              <w:spacing w:before="0" w:after="120"/>
            </w:pPr>
            <w:r>
              <w:t>K</w:t>
            </w:r>
            <w:r w:rsidR="00A474A9">
              <w:t>=10 prospective cohort (level II)</w:t>
            </w:r>
          </w:p>
          <w:p w14:paraId="40C485C2" w14:textId="2D0B3259" w:rsidR="00A474A9" w:rsidRDefault="00225AD7" w:rsidP="004C79C1">
            <w:pPr>
              <w:pStyle w:val="Tabletext1"/>
              <w:spacing w:before="0" w:after="120"/>
            </w:pPr>
            <w:r>
              <w:t>K</w:t>
            </w:r>
            <w:r w:rsidR="00A474A9">
              <w:t>=1 retrospective cohort (level III-3)</w:t>
            </w:r>
          </w:p>
        </w:tc>
        <w:tc>
          <w:tcPr>
            <w:tcW w:w="395" w:type="pct"/>
          </w:tcPr>
          <w:p w14:paraId="4E4C31A0" w14:textId="77777777" w:rsidR="00A474A9" w:rsidRDefault="00A474A9" w:rsidP="004C79C1">
            <w:pPr>
              <w:pStyle w:val="Tabletext1"/>
              <w:spacing w:before="0" w:after="120"/>
            </w:pPr>
            <w:r>
              <w:t>Not serious</w:t>
            </w:r>
          </w:p>
          <w:p w14:paraId="5C18B245" w14:textId="77777777" w:rsidR="00A474A9" w:rsidRPr="00183E4D" w:rsidRDefault="00A474A9" w:rsidP="004C79C1">
            <w:pPr>
              <w:pStyle w:val="Tabletext1"/>
              <w:spacing w:before="0" w:after="120"/>
            </w:pPr>
            <w:r>
              <w:t>(3/11 high risk)</w:t>
            </w:r>
          </w:p>
        </w:tc>
        <w:tc>
          <w:tcPr>
            <w:tcW w:w="445" w:type="pct"/>
          </w:tcPr>
          <w:p w14:paraId="3A7BF787" w14:textId="77777777" w:rsidR="00A474A9" w:rsidRDefault="00A474A9" w:rsidP="004C79C1">
            <w:pPr>
              <w:pStyle w:val="Tabletext1"/>
              <w:spacing w:before="0" w:after="120"/>
            </w:pPr>
            <w:r>
              <w:t>Serious</w:t>
            </w:r>
          </w:p>
          <w:p w14:paraId="40D3D68D" w14:textId="77777777" w:rsidR="00A474A9" w:rsidRPr="00183E4D" w:rsidRDefault="00A474A9" w:rsidP="004C79C1">
            <w:pPr>
              <w:pStyle w:val="Tabletext1"/>
              <w:spacing w:before="0" w:after="120"/>
            </w:pPr>
            <w:r w:rsidRPr="001F4B47">
              <w:t>(</w:t>
            </w:r>
            <w:proofErr w:type="gramStart"/>
            <w:r>
              <w:t>substantial</w:t>
            </w:r>
            <w:proofErr w:type="gramEnd"/>
            <w:r w:rsidRPr="001F4B47">
              <w:t xml:space="preserve"> heterogeneity; I</w:t>
            </w:r>
            <w:r w:rsidRPr="001F4B47">
              <w:rPr>
                <w:vertAlign w:val="superscript"/>
              </w:rPr>
              <w:t>2</w:t>
            </w:r>
            <w:r w:rsidRPr="001F4B47">
              <w:t xml:space="preserve"> = 6</w:t>
            </w:r>
            <w:r>
              <w:t>4.9</w:t>
            </w:r>
            <w:r w:rsidRPr="001F4B47">
              <w:t>%)</w:t>
            </w:r>
          </w:p>
        </w:tc>
        <w:tc>
          <w:tcPr>
            <w:tcW w:w="395" w:type="pct"/>
          </w:tcPr>
          <w:p w14:paraId="19DAB744" w14:textId="77777777" w:rsidR="00A474A9" w:rsidRPr="0033132F" w:rsidRDefault="00A474A9" w:rsidP="004C79C1">
            <w:pPr>
              <w:pStyle w:val="Tabletext1"/>
              <w:spacing w:before="0" w:after="120"/>
            </w:pPr>
            <w:r>
              <w:t xml:space="preserve">Not </w:t>
            </w:r>
            <w:r w:rsidRPr="0033132F">
              <w:t>serious</w:t>
            </w:r>
          </w:p>
        </w:tc>
        <w:tc>
          <w:tcPr>
            <w:tcW w:w="395" w:type="pct"/>
          </w:tcPr>
          <w:p w14:paraId="76B56F96" w14:textId="77777777" w:rsidR="00A474A9" w:rsidRPr="0033132F" w:rsidRDefault="00A474A9" w:rsidP="004C79C1">
            <w:pPr>
              <w:pStyle w:val="Tabletext1"/>
              <w:spacing w:before="0" w:after="120"/>
            </w:pPr>
            <w:r>
              <w:t>Not serious</w:t>
            </w:r>
          </w:p>
        </w:tc>
        <w:tc>
          <w:tcPr>
            <w:tcW w:w="593" w:type="pct"/>
          </w:tcPr>
          <w:p w14:paraId="2986BD10" w14:textId="77777777" w:rsidR="00A474A9" w:rsidRDefault="00A474A9" w:rsidP="004C79C1">
            <w:pPr>
              <w:pStyle w:val="Tabletext1"/>
              <w:spacing w:before="0" w:after="120"/>
            </w:pPr>
            <w:r>
              <w:t>Publication bias strongly suspected</w:t>
            </w:r>
          </w:p>
          <w:p w14:paraId="310FD41F" w14:textId="0B44E675" w:rsidR="00A474A9" w:rsidRPr="00183E4D" w:rsidRDefault="00A474A9" w:rsidP="004C79C1">
            <w:pPr>
              <w:pStyle w:val="Tabletext1"/>
              <w:spacing w:before="0" w:after="120"/>
            </w:pPr>
            <w:r>
              <w:t>(no studies in lower left of funnel plot</w:t>
            </w:r>
            <w:r w:rsidR="00AC75D2">
              <w:t>)</w:t>
            </w:r>
          </w:p>
        </w:tc>
        <w:tc>
          <w:tcPr>
            <w:tcW w:w="988" w:type="pct"/>
          </w:tcPr>
          <w:p w14:paraId="474983C6" w14:textId="77777777" w:rsidR="00A474A9" w:rsidRDefault="00A474A9" w:rsidP="004C79C1">
            <w:pPr>
              <w:pStyle w:val="Tabletext1"/>
              <w:spacing w:before="0" w:after="120"/>
            </w:pPr>
            <w:r>
              <w:t>114/611 (19%) of LGE+ had event</w:t>
            </w:r>
          </w:p>
          <w:p w14:paraId="6A512CF3" w14:textId="77777777" w:rsidR="00A474A9" w:rsidRDefault="00A474A9" w:rsidP="004C79C1">
            <w:pPr>
              <w:pStyle w:val="Tabletext1"/>
              <w:spacing w:before="0" w:after="120"/>
            </w:pPr>
            <w:r>
              <w:t>75/903 (8.3%) of LGE– had event</w:t>
            </w:r>
          </w:p>
          <w:p w14:paraId="4736674E" w14:textId="77777777" w:rsidR="00A474A9" w:rsidRDefault="00A474A9" w:rsidP="004C79C1">
            <w:pPr>
              <w:pStyle w:val="Tabletext1"/>
              <w:spacing w:before="0" w:after="120"/>
            </w:pPr>
            <w:r>
              <w:t>RR = 2.38 (1.36, 4.18), k=11</w:t>
            </w:r>
          </w:p>
          <w:p w14:paraId="0D25ECF0" w14:textId="77777777" w:rsidR="00A474A9" w:rsidRPr="00AD3118" w:rsidRDefault="00A474A9" w:rsidP="004C79C1">
            <w:pPr>
              <w:pStyle w:val="Tabletext1"/>
              <w:spacing w:before="0" w:after="120"/>
            </w:pPr>
            <w:r>
              <w:t>RR = 2.48 (1.21, 6.09), k=7 best</w:t>
            </w:r>
          </w:p>
        </w:tc>
        <w:tc>
          <w:tcPr>
            <w:tcW w:w="395" w:type="pct"/>
          </w:tcPr>
          <w:p w14:paraId="02FF5F40"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19F5C63C" w14:textId="77777777" w:rsidR="00A474A9" w:rsidRPr="00183E4D" w:rsidRDefault="00A474A9" w:rsidP="004C79C1">
            <w:pPr>
              <w:pStyle w:val="Tabletext1"/>
              <w:spacing w:before="0" w:after="120"/>
            </w:pPr>
            <w:r>
              <w:t>Important</w:t>
            </w:r>
            <w:r>
              <w:br/>
              <w:t>(4/9)</w:t>
            </w:r>
          </w:p>
        </w:tc>
      </w:tr>
      <w:tr w:rsidR="00A474A9" w:rsidRPr="00183E4D" w14:paraId="5C8E4448" w14:textId="77777777" w:rsidTr="00BE5D7C">
        <w:trPr>
          <w:cantSplit/>
          <w:trHeight w:val="186"/>
        </w:trPr>
        <w:tc>
          <w:tcPr>
            <w:tcW w:w="455" w:type="pct"/>
          </w:tcPr>
          <w:p w14:paraId="3CFA1FDA" w14:textId="77777777" w:rsidR="00A474A9" w:rsidRPr="00524FC1" w:rsidRDefault="00A474A9" w:rsidP="004C79C1">
            <w:pPr>
              <w:pStyle w:val="Tabletext1"/>
              <w:spacing w:before="0" w:after="120"/>
            </w:pPr>
            <w:r>
              <w:t>Any</w:t>
            </w:r>
            <w:r w:rsidRPr="00D33ABD">
              <w:t xml:space="preserve"> cardiac event</w:t>
            </w:r>
          </w:p>
        </w:tc>
        <w:tc>
          <w:tcPr>
            <w:tcW w:w="543" w:type="pct"/>
          </w:tcPr>
          <w:p w14:paraId="62A4B440" w14:textId="21974724" w:rsidR="00A474A9" w:rsidRDefault="00225AD7" w:rsidP="004C79C1">
            <w:pPr>
              <w:pStyle w:val="Tabletext1"/>
              <w:spacing w:before="0" w:after="120"/>
            </w:pPr>
            <w:r>
              <w:t>K</w:t>
            </w:r>
            <w:r w:rsidR="00A474A9">
              <w:t>=8 prospective cohort (level II)</w:t>
            </w:r>
          </w:p>
          <w:p w14:paraId="63A3F515" w14:textId="4390FC81" w:rsidR="00A474A9" w:rsidRDefault="00225AD7" w:rsidP="004C79C1">
            <w:pPr>
              <w:pStyle w:val="Tabletext1"/>
              <w:spacing w:before="0" w:after="120"/>
            </w:pPr>
            <w:r>
              <w:t>K</w:t>
            </w:r>
            <w:r w:rsidR="00A474A9">
              <w:t>=2 retrospective cohort (level III-3)</w:t>
            </w:r>
          </w:p>
        </w:tc>
        <w:tc>
          <w:tcPr>
            <w:tcW w:w="395" w:type="pct"/>
          </w:tcPr>
          <w:p w14:paraId="23FE0DCF" w14:textId="77777777" w:rsidR="00A474A9" w:rsidRDefault="00A474A9" w:rsidP="004C79C1">
            <w:pPr>
              <w:pStyle w:val="Tabletext1"/>
              <w:spacing w:before="0" w:after="120"/>
            </w:pPr>
            <w:r>
              <w:t>Not serious</w:t>
            </w:r>
          </w:p>
          <w:p w14:paraId="6464763E" w14:textId="77777777" w:rsidR="00A474A9" w:rsidRPr="00183E4D" w:rsidRDefault="00A474A9" w:rsidP="004C79C1">
            <w:pPr>
              <w:pStyle w:val="Tabletext1"/>
              <w:spacing w:before="0" w:after="120"/>
            </w:pPr>
            <w:r>
              <w:t xml:space="preserve">(2/10 </w:t>
            </w:r>
            <w:r w:rsidRPr="00703297">
              <w:t>high risk</w:t>
            </w:r>
            <w:r>
              <w:t>)</w:t>
            </w:r>
          </w:p>
        </w:tc>
        <w:tc>
          <w:tcPr>
            <w:tcW w:w="445" w:type="pct"/>
          </w:tcPr>
          <w:p w14:paraId="7D1923A1" w14:textId="77777777" w:rsidR="00A474A9" w:rsidRDefault="00A474A9" w:rsidP="004C79C1">
            <w:pPr>
              <w:pStyle w:val="Tabletext1"/>
              <w:spacing w:before="0" w:after="120"/>
            </w:pPr>
            <w:r>
              <w:t>Serious</w:t>
            </w:r>
          </w:p>
          <w:p w14:paraId="4878C209" w14:textId="77777777" w:rsidR="00A474A9" w:rsidRPr="00183E4D" w:rsidRDefault="00A474A9" w:rsidP="004C79C1">
            <w:pPr>
              <w:pStyle w:val="Tabletext1"/>
              <w:spacing w:before="0" w:after="120"/>
            </w:pPr>
            <w:r w:rsidRPr="001F4B47">
              <w:t>(</w:t>
            </w:r>
            <w:proofErr w:type="gramStart"/>
            <w:r>
              <w:t>substantial</w:t>
            </w:r>
            <w:proofErr w:type="gramEnd"/>
            <w:r w:rsidRPr="001F4B47">
              <w:t xml:space="preserve"> heterogeneity; I</w:t>
            </w:r>
            <w:r w:rsidRPr="001F4B47">
              <w:rPr>
                <w:vertAlign w:val="superscript"/>
              </w:rPr>
              <w:t>2</w:t>
            </w:r>
            <w:r w:rsidRPr="001F4B47">
              <w:t xml:space="preserve"> = 6</w:t>
            </w:r>
            <w:r>
              <w:t>1.5</w:t>
            </w:r>
            <w:r w:rsidRPr="001F4B47">
              <w:t>%)</w:t>
            </w:r>
          </w:p>
        </w:tc>
        <w:tc>
          <w:tcPr>
            <w:tcW w:w="395" w:type="pct"/>
          </w:tcPr>
          <w:p w14:paraId="5BB8B87F" w14:textId="77777777" w:rsidR="00A474A9" w:rsidRPr="0033132F" w:rsidRDefault="00A474A9" w:rsidP="004C79C1">
            <w:pPr>
              <w:pStyle w:val="Tabletext1"/>
              <w:spacing w:before="0" w:after="120"/>
            </w:pPr>
            <w:r>
              <w:t xml:space="preserve">Not </w:t>
            </w:r>
            <w:r w:rsidRPr="0033132F">
              <w:t>serious</w:t>
            </w:r>
          </w:p>
        </w:tc>
        <w:tc>
          <w:tcPr>
            <w:tcW w:w="395" w:type="pct"/>
          </w:tcPr>
          <w:p w14:paraId="588AC92F" w14:textId="77777777" w:rsidR="00A474A9" w:rsidRPr="0033132F" w:rsidRDefault="00A474A9" w:rsidP="004C79C1">
            <w:pPr>
              <w:pStyle w:val="Tabletext1"/>
              <w:spacing w:before="0" w:after="120"/>
            </w:pPr>
            <w:r>
              <w:t>Not serious</w:t>
            </w:r>
          </w:p>
        </w:tc>
        <w:tc>
          <w:tcPr>
            <w:tcW w:w="593" w:type="pct"/>
          </w:tcPr>
          <w:p w14:paraId="5F55033D" w14:textId="77777777" w:rsidR="00A474A9" w:rsidRDefault="00A474A9" w:rsidP="004C79C1">
            <w:pPr>
              <w:pStyle w:val="Tabletext1"/>
              <w:spacing w:before="0" w:after="120"/>
            </w:pPr>
            <w:r>
              <w:t>Publication bias strongly suspected</w:t>
            </w:r>
          </w:p>
          <w:p w14:paraId="5B6A1BF7" w14:textId="6D49D225" w:rsidR="00A474A9" w:rsidRPr="00183E4D" w:rsidRDefault="00A474A9" w:rsidP="004C79C1">
            <w:pPr>
              <w:pStyle w:val="Tabletext1"/>
              <w:spacing w:before="0" w:after="120"/>
            </w:pPr>
            <w:r>
              <w:t>(no studies in lower left of funnel plot</w:t>
            </w:r>
            <w:r w:rsidR="00AC75D2">
              <w:t>)</w:t>
            </w:r>
          </w:p>
        </w:tc>
        <w:tc>
          <w:tcPr>
            <w:tcW w:w="988" w:type="pct"/>
          </w:tcPr>
          <w:p w14:paraId="10BFC6A6" w14:textId="77777777" w:rsidR="00A474A9" w:rsidRDefault="00A474A9" w:rsidP="004C79C1">
            <w:pPr>
              <w:pStyle w:val="Tabletext1"/>
              <w:spacing w:before="0" w:after="120"/>
            </w:pPr>
            <w:r>
              <w:t>164/549 (30%) of LGE+ had event</w:t>
            </w:r>
          </w:p>
          <w:p w14:paraId="283481B5" w14:textId="77777777" w:rsidR="00A474A9" w:rsidRDefault="00A474A9" w:rsidP="004C79C1">
            <w:pPr>
              <w:pStyle w:val="Tabletext1"/>
              <w:spacing w:before="0" w:after="120"/>
            </w:pPr>
            <w:r>
              <w:t>68/637 (11%) of LGE– had event</w:t>
            </w:r>
          </w:p>
          <w:p w14:paraId="0160C776" w14:textId="77777777" w:rsidR="00A474A9" w:rsidRDefault="00A474A9" w:rsidP="004C79C1">
            <w:pPr>
              <w:pStyle w:val="Tabletext1"/>
              <w:spacing w:before="0" w:after="120"/>
            </w:pPr>
            <w:r>
              <w:t>RR = 3.71 (2.29, 6.04), k=10</w:t>
            </w:r>
          </w:p>
          <w:p w14:paraId="78D0B103" w14:textId="77777777" w:rsidR="00A474A9" w:rsidRPr="00AD3118" w:rsidRDefault="00A474A9" w:rsidP="004C79C1">
            <w:pPr>
              <w:pStyle w:val="Tabletext1"/>
              <w:spacing w:before="0" w:after="120"/>
            </w:pPr>
            <w:r>
              <w:t>RR = 3.66 (1.95, 6.90), k=6 best</w:t>
            </w:r>
          </w:p>
        </w:tc>
        <w:tc>
          <w:tcPr>
            <w:tcW w:w="395" w:type="pct"/>
          </w:tcPr>
          <w:p w14:paraId="7923B44D"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69C8EF39" w14:textId="77777777" w:rsidR="00A474A9" w:rsidRPr="00183E4D" w:rsidRDefault="00A474A9" w:rsidP="004C79C1">
            <w:pPr>
              <w:pStyle w:val="Tabletext1"/>
              <w:spacing w:before="0" w:after="120"/>
            </w:pPr>
            <w:r>
              <w:t>Critical</w:t>
            </w:r>
            <w:r>
              <w:br/>
              <w:t>(8/9)</w:t>
            </w:r>
          </w:p>
        </w:tc>
      </w:tr>
      <w:tr w:rsidR="00A474A9" w:rsidRPr="00183E4D" w14:paraId="496B8152" w14:textId="77777777" w:rsidTr="00BE5D7C">
        <w:trPr>
          <w:trHeight w:val="186"/>
        </w:trPr>
        <w:tc>
          <w:tcPr>
            <w:tcW w:w="455" w:type="pct"/>
          </w:tcPr>
          <w:p w14:paraId="58DE718B" w14:textId="77777777" w:rsidR="00A474A9" w:rsidRPr="00D33ABD" w:rsidRDefault="00A474A9" w:rsidP="004C79C1">
            <w:pPr>
              <w:pStyle w:val="Tabletext1"/>
              <w:spacing w:before="0" w:after="120"/>
            </w:pPr>
            <w:r w:rsidRPr="00D33ABD">
              <w:t>ICD implantation</w:t>
            </w:r>
          </w:p>
        </w:tc>
        <w:tc>
          <w:tcPr>
            <w:tcW w:w="543" w:type="pct"/>
          </w:tcPr>
          <w:p w14:paraId="68B6D735" w14:textId="2C33C532" w:rsidR="00A474A9" w:rsidRDefault="00225AD7" w:rsidP="004C79C1">
            <w:pPr>
              <w:pStyle w:val="Tabletext1"/>
              <w:spacing w:before="0" w:after="120"/>
            </w:pPr>
            <w:r>
              <w:t>K</w:t>
            </w:r>
            <w:r w:rsidR="00A474A9">
              <w:t>=4 prospective cohort (level II)</w:t>
            </w:r>
          </w:p>
          <w:p w14:paraId="496AF3CE" w14:textId="5920CAF5" w:rsidR="00A474A9" w:rsidRDefault="00225AD7" w:rsidP="004C79C1">
            <w:pPr>
              <w:pStyle w:val="Tabletext1"/>
              <w:spacing w:before="0" w:after="120"/>
            </w:pPr>
            <w:r>
              <w:t>K</w:t>
            </w:r>
            <w:r w:rsidR="00A474A9">
              <w:t>=1 retrospective cohort (level III-3)</w:t>
            </w:r>
          </w:p>
        </w:tc>
        <w:tc>
          <w:tcPr>
            <w:tcW w:w="395" w:type="pct"/>
          </w:tcPr>
          <w:p w14:paraId="271800BA" w14:textId="77777777" w:rsidR="00A474A9" w:rsidRDefault="00A474A9" w:rsidP="004C79C1">
            <w:pPr>
              <w:pStyle w:val="Tabletext1"/>
              <w:spacing w:before="0" w:after="120"/>
            </w:pPr>
            <w:r>
              <w:t>Not serious</w:t>
            </w:r>
          </w:p>
          <w:p w14:paraId="5EE09FB5" w14:textId="77777777" w:rsidR="00A474A9" w:rsidRPr="00183E4D" w:rsidRDefault="00A474A9" w:rsidP="004C79C1">
            <w:pPr>
              <w:pStyle w:val="Tabletext1"/>
              <w:spacing w:before="0" w:after="120"/>
            </w:pPr>
            <w:r>
              <w:t xml:space="preserve">(1/5 </w:t>
            </w:r>
            <w:r w:rsidRPr="00703297">
              <w:t>high risk</w:t>
            </w:r>
            <w:r>
              <w:t>)</w:t>
            </w:r>
          </w:p>
        </w:tc>
        <w:tc>
          <w:tcPr>
            <w:tcW w:w="445" w:type="pct"/>
          </w:tcPr>
          <w:p w14:paraId="6A5BCF2C" w14:textId="77777777" w:rsidR="00A474A9" w:rsidRDefault="00A474A9" w:rsidP="004C79C1">
            <w:pPr>
              <w:pStyle w:val="Tabletext1"/>
              <w:spacing w:before="0" w:after="120"/>
            </w:pPr>
            <w:r>
              <w:t>Not serious</w:t>
            </w:r>
          </w:p>
          <w:p w14:paraId="5F27C4D1" w14:textId="77777777" w:rsidR="00A474A9" w:rsidRDefault="00A474A9" w:rsidP="004C79C1">
            <w:pPr>
              <w:pStyle w:val="Tabletext1"/>
              <w:spacing w:before="0" w:after="120"/>
            </w:pPr>
            <w:r>
              <w:t>(</w:t>
            </w:r>
            <w:proofErr w:type="gramStart"/>
            <w:r>
              <w:t>no</w:t>
            </w:r>
            <w:proofErr w:type="gramEnd"/>
            <w:r>
              <w:t xml:space="preserve"> heterogeneity; I</w:t>
            </w:r>
            <w:r w:rsidRPr="00B2428F">
              <w:rPr>
                <w:vertAlign w:val="superscript"/>
              </w:rPr>
              <w:t>2</w:t>
            </w:r>
            <w:r>
              <w:t xml:space="preserve"> = 0%)</w:t>
            </w:r>
          </w:p>
        </w:tc>
        <w:tc>
          <w:tcPr>
            <w:tcW w:w="395" w:type="pct"/>
          </w:tcPr>
          <w:p w14:paraId="13B66D1B" w14:textId="77777777" w:rsidR="00A474A9" w:rsidRPr="0033132F" w:rsidRDefault="00A474A9" w:rsidP="004C79C1">
            <w:pPr>
              <w:pStyle w:val="Tabletext1"/>
              <w:spacing w:before="0" w:after="120"/>
            </w:pPr>
            <w:r>
              <w:t xml:space="preserve">Not </w:t>
            </w:r>
            <w:r w:rsidRPr="0033132F">
              <w:t>serious</w:t>
            </w:r>
          </w:p>
        </w:tc>
        <w:tc>
          <w:tcPr>
            <w:tcW w:w="395" w:type="pct"/>
          </w:tcPr>
          <w:p w14:paraId="58845CDB" w14:textId="77777777" w:rsidR="00A474A9" w:rsidRPr="0033132F" w:rsidRDefault="00A474A9" w:rsidP="004C79C1">
            <w:pPr>
              <w:pStyle w:val="Tabletext1"/>
              <w:spacing w:before="0" w:after="120"/>
            </w:pPr>
            <w:r>
              <w:t>Not serious</w:t>
            </w:r>
          </w:p>
        </w:tc>
        <w:tc>
          <w:tcPr>
            <w:tcW w:w="593" w:type="pct"/>
          </w:tcPr>
          <w:p w14:paraId="68EB124D" w14:textId="77777777" w:rsidR="00A474A9" w:rsidRDefault="00A474A9" w:rsidP="004C79C1">
            <w:pPr>
              <w:pStyle w:val="Tabletext1"/>
              <w:spacing w:before="0" w:after="120"/>
            </w:pPr>
            <w:r>
              <w:t>Publication bias strongly suspected</w:t>
            </w:r>
          </w:p>
          <w:p w14:paraId="1D29FE86" w14:textId="440FC5C2" w:rsidR="00A474A9" w:rsidRPr="00183E4D" w:rsidRDefault="00A474A9" w:rsidP="004C79C1">
            <w:pPr>
              <w:pStyle w:val="Tabletext1"/>
              <w:spacing w:before="0" w:after="120"/>
            </w:pPr>
            <w:r>
              <w:t>(no studies in lower left of funnel plot</w:t>
            </w:r>
            <w:r w:rsidR="00AC75D2">
              <w:t>)</w:t>
            </w:r>
          </w:p>
        </w:tc>
        <w:tc>
          <w:tcPr>
            <w:tcW w:w="988" w:type="pct"/>
          </w:tcPr>
          <w:p w14:paraId="6F161964" w14:textId="77777777" w:rsidR="00A474A9" w:rsidRDefault="00A474A9" w:rsidP="004C79C1">
            <w:pPr>
              <w:pStyle w:val="Tabletext1"/>
              <w:spacing w:before="0" w:after="120"/>
            </w:pPr>
            <w:r>
              <w:t>112/390 (29%) of LGE+ had event</w:t>
            </w:r>
          </w:p>
          <w:p w14:paraId="3DD912CE" w14:textId="77777777" w:rsidR="00A474A9" w:rsidRDefault="00A474A9" w:rsidP="004C79C1">
            <w:pPr>
              <w:pStyle w:val="Tabletext1"/>
              <w:spacing w:before="0" w:after="120"/>
            </w:pPr>
            <w:r>
              <w:t>72/548 (13%) of LGE– had event</w:t>
            </w:r>
          </w:p>
          <w:p w14:paraId="4BB33DE1" w14:textId="77777777" w:rsidR="00A474A9" w:rsidRDefault="00A474A9" w:rsidP="004C79C1">
            <w:pPr>
              <w:pStyle w:val="Tabletext1"/>
              <w:spacing w:before="0" w:after="120"/>
            </w:pPr>
            <w:r>
              <w:t>RR = 2.56 (1.95, 3.35), k=5</w:t>
            </w:r>
          </w:p>
          <w:p w14:paraId="3659C0CC" w14:textId="77777777" w:rsidR="00A474A9" w:rsidRPr="00AD3118" w:rsidRDefault="00A474A9" w:rsidP="004C79C1">
            <w:pPr>
              <w:pStyle w:val="Tabletext1"/>
              <w:spacing w:before="0" w:after="120"/>
            </w:pPr>
            <w:r>
              <w:t>RR = 2.48 (1.86, 3.25), k=3 best</w:t>
            </w:r>
          </w:p>
        </w:tc>
        <w:tc>
          <w:tcPr>
            <w:tcW w:w="395" w:type="pct"/>
          </w:tcPr>
          <w:p w14:paraId="2C4626B4"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95" w:type="pct"/>
          </w:tcPr>
          <w:p w14:paraId="1A47A401" w14:textId="77777777" w:rsidR="00A474A9" w:rsidRPr="00183E4D" w:rsidRDefault="00A474A9" w:rsidP="004C79C1">
            <w:pPr>
              <w:pStyle w:val="Tabletext1"/>
              <w:spacing w:before="0" w:after="120"/>
            </w:pPr>
            <w:r>
              <w:t>Important</w:t>
            </w:r>
            <w:r>
              <w:br/>
              <w:t>(6/9)</w:t>
            </w:r>
          </w:p>
        </w:tc>
      </w:tr>
    </w:tbl>
    <w:p w14:paraId="78C984D4" w14:textId="3D245D81" w:rsidR="00683B7A" w:rsidRDefault="00A474A9" w:rsidP="004C79C1">
      <w:pPr>
        <w:pStyle w:val="Tablenotes0"/>
        <w:spacing w:before="0" w:after="120"/>
      </w:pPr>
      <w:bookmarkStart w:id="853" w:name="_Toc324410266"/>
      <w:proofErr w:type="gramStart"/>
      <w:r w:rsidRPr="00615EB6">
        <w:lastRenderedPageBreak/>
        <w:t>best</w:t>
      </w:r>
      <w:proofErr w:type="gramEnd"/>
      <w:r w:rsidRPr="00615EB6">
        <w:t xml:space="preserve"> = RR of the studies providing the best</w:t>
      </w:r>
      <w:r w:rsidR="00475AA2" w:rsidRPr="00204E33">
        <w:t>-</w:t>
      </w:r>
      <w:r w:rsidRPr="00615EB6">
        <w:t xml:space="preserve">quality evidence, i.e. if high risk and level III-3 studies are removed from analysis; CI = confidence interval; CMR = cardiac magnetic resonance </w:t>
      </w:r>
      <w:r w:rsidR="00415A61">
        <w:t>(</w:t>
      </w:r>
      <w:r w:rsidRPr="00615EB6">
        <w:t>imaging</w:t>
      </w:r>
      <w:r w:rsidR="00415A61">
        <w:t>)</w:t>
      </w:r>
      <w:r w:rsidRPr="00615EB6">
        <w:t xml:space="preserve">; DCM = dilated cardiomyopathy; HF = heart failure; ICD = implantable </w:t>
      </w:r>
      <w:r w:rsidR="0026063B">
        <w:t>cardioverter defibrillator</w:t>
      </w:r>
      <w:r w:rsidRPr="00615EB6">
        <w:t>; LGE = late gadolinium enhancement; RR = relative risk; SCD = sudden cardiac death; VA = ventricular arrhythmia; VT = ventricular tachycardia</w:t>
      </w:r>
      <w:bookmarkEnd w:id="853"/>
    </w:p>
    <w:p w14:paraId="71321141" w14:textId="07584E87" w:rsidR="00A474A9" w:rsidRPr="000470F1" w:rsidRDefault="00050936" w:rsidP="004C79C1">
      <w:pPr>
        <w:pStyle w:val="Caption"/>
      </w:pPr>
      <w:bookmarkStart w:id="854" w:name="_Toc324410267"/>
      <w:bookmarkStart w:id="855" w:name="_Toc451435416"/>
      <w:r>
        <w:t xml:space="preserve">Table </w:t>
      </w:r>
      <w:fldSimple w:instr=" SEQ Table \* ARABIC ">
        <w:r>
          <w:rPr>
            <w:noProof/>
          </w:rPr>
          <w:t>89</w:t>
        </w:r>
      </w:fldSimple>
      <w:r w:rsidR="00A474A9">
        <w:tab/>
        <w:t>Evidence profile for the prognostic value of using LGE-CMR to predict health outcomes in children newly diagnosed with DCM</w:t>
      </w:r>
      <w:bookmarkEnd w:id="854"/>
      <w:bookmarkEnd w:id="855"/>
    </w:p>
    <w:tbl>
      <w:tblPr>
        <w:tblStyle w:val="TableGrid"/>
        <w:tblW w:w="5000" w:type="pct"/>
        <w:tblCellMar>
          <w:left w:w="57" w:type="dxa"/>
          <w:right w:w="57" w:type="dxa"/>
        </w:tblCellMar>
        <w:tblLook w:val="04A0" w:firstRow="1" w:lastRow="0" w:firstColumn="1" w:lastColumn="0" w:noHBand="0" w:noVBand="1"/>
        <w:tblCaption w:val="Table 176"/>
        <w:tblDescription w:val="Evidence profile table for the safety of SP-CMR in patients with known or suspected CAD "/>
      </w:tblPr>
      <w:tblGrid>
        <w:gridCol w:w="1201"/>
        <w:gridCol w:w="1455"/>
        <w:gridCol w:w="1060"/>
        <w:gridCol w:w="1289"/>
        <w:gridCol w:w="1145"/>
        <w:gridCol w:w="1101"/>
        <w:gridCol w:w="1294"/>
        <w:gridCol w:w="2602"/>
        <w:gridCol w:w="920"/>
        <w:gridCol w:w="1007"/>
      </w:tblGrid>
      <w:tr w:rsidR="00A474A9" w:rsidRPr="00183E4D" w14:paraId="252456B8" w14:textId="77777777" w:rsidTr="00BE5D7C">
        <w:trPr>
          <w:trHeight w:val="279"/>
          <w:tblHeader/>
        </w:trPr>
        <w:tc>
          <w:tcPr>
            <w:tcW w:w="459" w:type="pct"/>
          </w:tcPr>
          <w:p w14:paraId="28CCCD85" w14:textId="77777777" w:rsidR="00A474A9" w:rsidRPr="00524FC1" w:rsidRDefault="00A474A9" w:rsidP="004C79C1">
            <w:pPr>
              <w:pStyle w:val="TableHeading"/>
              <w:spacing w:before="0" w:after="120"/>
              <w:ind w:left="0" w:firstLine="0"/>
            </w:pPr>
            <w:r w:rsidRPr="00524FC1">
              <w:t>Outcome</w:t>
            </w:r>
          </w:p>
        </w:tc>
        <w:tc>
          <w:tcPr>
            <w:tcW w:w="556" w:type="pct"/>
          </w:tcPr>
          <w:p w14:paraId="53F5382A" w14:textId="77777777" w:rsidR="00A474A9" w:rsidRPr="00183E4D" w:rsidRDefault="00A474A9" w:rsidP="004C79C1">
            <w:pPr>
              <w:pStyle w:val="TableHeading"/>
              <w:spacing w:before="0" w:after="120"/>
              <w:ind w:left="0" w:firstLine="0"/>
            </w:pPr>
            <w:r>
              <w:t>Study design</w:t>
            </w:r>
          </w:p>
        </w:tc>
        <w:tc>
          <w:tcPr>
            <w:tcW w:w="405" w:type="pct"/>
          </w:tcPr>
          <w:p w14:paraId="01787CBA" w14:textId="77777777" w:rsidR="00A474A9" w:rsidRPr="00A74C70" w:rsidRDefault="00A474A9" w:rsidP="004C79C1">
            <w:pPr>
              <w:pStyle w:val="TableHeading"/>
              <w:spacing w:before="0" w:after="120"/>
              <w:ind w:left="0" w:firstLine="0"/>
            </w:pPr>
            <w:r w:rsidRPr="00A74C70">
              <w:t>Risk of bias</w:t>
            </w:r>
          </w:p>
        </w:tc>
        <w:tc>
          <w:tcPr>
            <w:tcW w:w="493" w:type="pct"/>
          </w:tcPr>
          <w:p w14:paraId="06559A68" w14:textId="77777777" w:rsidR="00A474A9" w:rsidRPr="00183E4D" w:rsidRDefault="00A474A9" w:rsidP="004C79C1">
            <w:pPr>
              <w:pStyle w:val="TableHeading"/>
              <w:spacing w:before="0" w:after="120"/>
              <w:ind w:left="0" w:firstLine="0"/>
            </w:pPr>
            <w:r>
              <w:t>Inconsistency</w:t>
            </w:r>
          </w:p>
        </w:tc>
        <w:tc>
          <w:tcPr>
            <w:tcW w:w="438" w:type="pct"/>
          </w:tcPr>
          <w:p w14:paraId="1D11290E" w14:textId="77777777" w:rsidR="00A474A9" w:rsidRPr="00A74C70" w:rsidRDefault="00A474A9" w:rsidP="004C79C1">
            <w:pPr>
              <w:pStyle w:val="TableHeading"/>
              <w:spacing w:before="0" w:after="120"/>
              <w:ind w:left="0" w:firstLine="0"/>
            </w:pPr>
            <w:r w:rsidRPr="00A74C70">
              <w:t>Indirectness</w:t>
            </w:r>
          </w:p>
        </w:tc>
        <w:tc>
          <w:tcPr>
            <w:tcW w:w="421" w:type="pct"/>
          </w:tcPr>
          <w:p w14:paraId="3660AF93" w14:textId="77777777" w:rsidR="00A474A9" w:rsidRPr="00183E4D" w:rsidRDefault="00A474A9" w:rsidP="004C79C1">
            <w:pPr>
              <w:pStyle w:val="TableHeading"/>
              <w:spacing w:before="0" w:after="120"/>
              <w:ind w:left="0" w:firstLine="0"/>
            </w:pPr>
            <w:r>
              <w:t>Imprecision</w:t>
            </w:r>
          </w:p>
        </w:tc>
        <w:tc>
          <w:tcPr>
            <w:tcW w:w="495" w:type="pct"/>
          </w:tcPr>
          <w:p w14:paraId="363C5868" w14:textId="77777777" w:rsidR="00A474A9" w:rsidRPr="00183E4D" w:rsidRDefault="00A474A9" w:rsidP="004C79C1">
            <w:pPr>
              <w:pStyle w:val="TableHeading"/>
              <w:spacing w:before="0" w:after="120"/>
              <w:ind w:left="0" w:firstLine="0"/>
            </w:pPr>
            <w:r>
              <w:t>Other considerations</w:t>
            </w:r>
          </w:p>
        </w:tc>
        <w:tc>
          <w:tcPr>
            <w:tcW w:w="995" w:type="pct"/>
          </w:tcPr>
          <w:p w14:paraId="44186034" w14:textId="77777777" w:rsidR="00A474A9" w:rsidRDefault="00A474A9" w:rsidP="004C79C1">
            <w:pPr>
              <w:pStyle w:val="TableHeading"/>
              <w:spacing w:before="0" w:after="120"/>
              <w:ind w:left="0" w:firstLine="0"/>
            </w:pPr>
            <w:r>
              <w:t>Summary of findings</w:t>
            </w:r>
          </w:p>
          <w:p w14:paraId="762F7D3C" w14:textId="77777777" w:rsidR="00A474A9" w:rsidRPr="006C0C52" w:rsidRDefault="00A474A9" w:rsidP="004C79C1">
            <w:pPr>
              <w:pStyle w:val="TableHeading"/>
              <w:spacing w:before="0" w:after="120"/>
              <w:ind w:left="0" w:firstLine="0"/>
            </w:pPr>
            <w:r>
              <w:t>RR (95%CI)</w:t>
            </w:r>
          </w:p>
        </w:tc>
        <w:tc>
          <w:tcPr>
            <w:tcW w:w="352" w:type="pct"/>
          </w:tcPr>
          <w:p w14:paraId="16E4588A" w14:textId="77777777" w:rsidR="00A474A9" w:rsidRPr="00183E4D" w:rsidRDefault="00A474A9" w:rsidP="004C79C1">
            <w:pPr>
              <w:pStyle w:val="TableHeading"/>
              <w:spacing w:before="0" w:after="120"/>
              <w:ind w:left="0" w:firstLine="0"/>
            </w:pPr>
            <w:r>
              <w:t>Q</w:t>
            </w:r>
            <w:r w:rsidRPr="00AF11F4">
              <w:t>uality of evidence</w:t>
            </w:r>
          </w:p>
        </w:tc>
        <w:tc>
          <w:tcPr>
            <w:tcW w:w="385" w:type="pct"/>
          </w:tcPr>
          <w:p w14:paraId="512575C8" w14:textId="77777777" w:rsidR="00A474A9" w:rsidRPr="00183E4D" w:rsidRDefault="00A474A9" w:rsidP="004C79C1">
            <w:pPr>
              <w:pStyle w:val="TableHeading"/>
              <w:spacing w:before="0" w:after="120"/>
              <w:ind w:left="0" w:firstLine="0"/>
            </w:pPr>
            <w:r>
              <w:t>Importance</w:t>
            </w:r>
          </w:p>
        </w:tc>
      </w:tr>
      <w:tr w:rsidR="00A474A9" w:rsidRPr="00183E4D" w14:paraId="16817C08" w14:textId="77777777" w:rsidTr="00BE5D7C">
        <w:trPr>
          <w:trHeight w:val="319"/>
        </w:trPr>
        <w:tc>
          <w:tcPr>
            <w:tcW w:w="459" w:type="pct"/>
          </w:tcPr>
          <w:p w14:paraId="7E1F9B3E" w14:textId="77777777" w:rsidR="00A474A9" w:rsidRDefault="00A474A9" w:rsidP="004C79C1">
            <w:pPr>
              <w:pStyle w:val="Tabletext1"/>
              <w:spacing w:before="0" w:after="120"/>
            </w:pPr>
            <w:r>
              <w:t>Death</w:t>
            </w:r>
          </w:p>
        </w:tc>
        <w:tc>
          <w:tcPr>
            <w:tcW w:w="556" w:type="pct"/>
          </w:tcPr>
          <w:p w14:paraId="1D93A7E4" w14:textId="78A0948B" w:rsidR="00A474A9" w:rsidRDefault="00853BA3" w:rsidP="004C79C1">
            <w:pPr>
              <w:pStyle w:val="Tabletext1"/>
              <w:spacing w:before="0" w:after="120"/>
            </w:pPr>
            <w:r>
              <w:t>K</w:t>
            </w:r>
            <w:r w:rsidR="00A474A9">
              <w:t>=1 prospective cohort (level II)</w:t>
            </w:r>
          </w:p>
        </w:tc>
        <w:tc>
          <w:tcPr>
            <w:tcW w:w="405" w:type="pct"/>
          </w:tcPr>
          <w:p w14:paraId="449C8DCD" w14:textId="77777777" w:rsidR="00A474A9" w:rsidRDefault="00A474A9" w:rsidP="004C79C1">
            <w:pPr>
              <w:pStyle w:val="Tabletext1"/>
              <w:spacing w:before="0" w:after="120"/>
            </w:pPr>
            <w:r>
              <w:t>Not serious</w:t>
            </w:r>
          </w:p>
          <w:p w14:paraId="44F8BF40" w14:textId="77777777" w:rsidR="00A474A9" w:rsidRPr="00183E4D" w:rsidRDefault="00A474A9" w:rsidP="004C79C1">
            <w:pPr>
              <w:pStyle w:val="Tabletext1"/>
              <w:spacing w:before="0" w:after="120"/>
            </w:pPr>
            <w:r>
              <w:t>(moderate risk)</w:t>
            </w:r>
          </w:p>
        </w:tc>
        <w:tc>
          <w:tcPr>
            <w:tcW w:w="493" w:type="pct"/>
          </w:tcPr>
          <w:p w14:paraId="15CDC28F" w14:textId="77777777" w:rsidR="00A474A9" w:rsidRPr="00183E4D" w:rsidRDefault="00A474A9" w:rsidP="004C79C1">
            <w:pPr>
              <w:pStyle w:val="Tabletext1"/>
              <w:spacing w:before="0" w:after="120"/>
            </w:pPr>
            <w:r>
              <w:t>Not serious</w:t>
            </w:r>
          </w:p>
        </w:tc>
        <w:tc>
          <w:tcPr>
            <w:tcW w:w="438" w:type="pct"/>
          </w:tcPr>
          <w:p w14:paraId="11ADA64B" w14:textId="77777777" w:rsidR="00A474A9" w:rsidRPr="0033132F" w:rsidRDefault="00A474A9" w:rsidP="004C79C1">
            <w:pPr>
              <w:pStyle w:val="Tabletext1"/>
              <w:spacing w:before="0" w:after="120"/>
            </w:pPr>
            <w:r>
              <w:t xml:space="preserve">Not </w:t>
            </w:r>
            <w:r w:rsidRPr="0033132F">
              <w:t>serious</w:t>
            </w:r>
          </w:p>
        </w:tc>
        <w:tc>
          <w:tcPr>
            <w:tcW w:w="421" w:type="pct"/>
          </w:tcPr>
          <w:p w14:paraId="4DD14384" w14:textId="77777777" w:rsidR="00A474A9" w:rsidRPr="0033132F" w:rsidRDefault="00A474A9" w:rsidP="004C79C1">
            <w:pPr>
              <w:pStyle w:val="Tabletext1"/>
              <w:spacing w:before="0" w:after="120"/>
            </w:pPr>
            <w:r>
              <w:t>Not serious</w:t>
            </w:r>
          </w:p>
        </w:tc>
        <w:tc>
          <w:tcPr>
            <w:tcW w:w="495" w:type="pct"/>
          </w:tcPr>
          <w:p w14:paraId="70180899" w14:textId="77777777" w:rsidR="00A474A9" w:rsidRPr="00183E4D" w:rsidRDefault="00A474A9" w:rsidP="004C79C1">
            <w:pPr>
              <w:pStyle w:val="Tabletext1"/>
              <w:spacing w:before="0" w:after="120"/>
            </w:pPr>
            <w:r>
              <w:t>None</w:t>
            </w:r>
          </w:p>
        </w:tc>
        <w:tc>
          <w:tcPr>
            <w:tcW w:w="995" w:type="pct"/>
          </w:tcPr>
          <w:p w14:paraId="650EDA21" w14:textId="77777777" w:rsidR="00A474A9" w:rsidRDefault="00A474A9" w:rsidP="004C79C1">
            <w:pPr>
              <w:pStyle w:val="Tabletext1"/>
              <w:spacing w:before="0" w:after="120"/>
            </w:pPr>
            <w:r>
              <w:t>2/33 (6.1%) of LGE+ had event</w:t>
            </w:r>
          </w:p>
          <w:p w14:paraId="05D30A45" w14:textId="77777777" w:rsidR="00A474A9" w:rsidRDefault="00A474A9" w:rsidP="004C79C1">
            <w:pPr>
              <w:pStyle w:val="Tabletext1"/>
              <w:spacing w:before="0" w:after="120"/>
            </w:pPr>
            <w:r>
              <w:t>1/33 (3.0%) of LGE– had event</w:t>
            </w:r>
          </w:p>
          <w:p w14:paraId="0C3DAA39" w14:textId="77777777" w:rsidR="00A474A9" w:rsidRPr="00AD3118" w:rsidRDefault="00A474A9" w:rsidP="004C79C1">
            <w:pPr>
              <w:pStyle w:val="Tabletext1"/>
              <w:spacing w:before="0" w:after="120"/>
            </w:pPr>
            <w:r>
              <w:t>RR = 2.00 (0.19, 21.00)</w:t>
            </w:r>
          </w:p>
        </w:tc>
        <w:tc>
          <w:tcPr>
            <w:tcW w:w="352" w:type="pct"/>
          </w:tcPr>
          <w:p w14:paraId="34B8062E"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p>
        </w:tc>
        <w:tc>
          <w:tcPr>
            <w:tcW w:w="385" w:type="pct"/>
          </w:tcPr>
          <w:p w14:paraId="12D1D267" w14:textId="77777777" w:rsidR="00A474A9" w:rsidRPr="00183E4D" w:rsidRDefault="00A474A9" w:rsidP="004C79C1">
            <w:pPr>
              <w:pStyle w:val="Tabletext1"/>
              <w:spacing w:before="0" w:after="120"/>
            </w:pPr>
            <w:r>
              <w:t>Critical</w:t>
            </w:r>
            <w:r>
              <w:br/>
              <w:t>(9/9)</w:t>
            </w:r>
          </w:p>
        </w:tc>
      </w:tr>
      <w:tr w:rsidR="00A474A9" w:rsidRPr="00183E4D" w14:paraId="2D2E9CC2" w14:textId="77777777" w:rsidTr="00BE5D7C">
        <w:trPr>
          <w:trHeight w:val="319"/>
        </w:trPr>
        <w:tc>
          <w:tcPr>
            <w:tcW w:w="459" w:type="pct"/>
          </w:tcPr>
          <w:p w14:paraId="008004BE" w14:textId="77777777" w:rsidR="00A474A9" w:rsidRDefault="00A474A9" w:rsidP="004C79C1">
            <w:pPr>
              <w:pStyle w:val="Tabletext1"/>
              <w:spacing w:before="0" w:after="120"/>
            </w:pPr>
            <w:r>
              <w:t>Cardiac transplantation</w:t>
            </w:r>
          </w:p>
        </w:tc>
        <w:tc>
          <w:tcPr>
            <w:tcW w:w="556" w:type="pct"/>
          </w:tcPr>
          <w:p w14:paraId="4A42AB97" w14:textId="436F9973" w:rsidR="00A474A9" w:rsidRDefault="00853BA3" w:rsidP="004C79C1">
            <w:pPr>
              <w:pStyle w:val="Tabletext1"/>
              <w:spacing w:before="0" w:after="120"/>
            </w:pPr>
            <w:r>
              <w:t>K</w:t>
            </w:r>
            <w:r w:rsidR="00A474A9">
              <w:t>=1 prospective cohort (level II)</w:t>
            </w:r>
          </w:p>
        </w:tc>
        <w:tc>
          <w:tcPr>
            <w:tcW w:w="405" w:type="pct"/>
          </w:tcPr>
          <w:p w14:paraId="7ABD8D08" w14:textId="77777777" w:rsidR="00A474A9" w:rsidRDefault="00A474A9" w:rsidP="004C79C1">
            <w:pPr>
              <w:pStyle w:val="Tabletext1"/>
              <w:spacing w:before="0" w:after="120"/>
            </w:pPr>
            <w:r>
              <w:t>Not serious</w:t>
            </w:r>
          </w:p>
          <w:p w14:paraId="54D854A8" w14:textId="77777777" w:rsidR="00A474A9" w:rsidRPr="00183E4D" w:rsidRDefault="00A474A9" w:rsidP="004C79C1">
            <w:pPr>
              <w:pStyle w:val="Tabletext1"/>
              <w:spacing w:before="0" w:after="120"/>
            </w:pPr>
            <w:r>
              <w:t>(moderate risk)</w:t>
            </w:r>
          </w:p>
        </w:tc>
        <w:tc>
          <w:tcPr>
            <w:tcW w:w="493" w:type="pct"/>
          </w:tcPr>
          <w:p w14:paraId="0A34887A" w14:textId="77777777" w:rsidR="00A474A9" w:rsidRPr="00183E4D" w:rsidRDefault="00A474A9" w:rsidP="004C79C1">
            <w:pPr>
              <w:pStyle w:val="Tabletext1"/>
              <w:spacing w:before="0" w:after="120"/>
            </w:pPr>
            <w:r>
              <w:t>Not serious</w:t>
            </w:r>
          </w:p>
        </w:tc>
        <w:tc>
          <w:tcPr>
            <w:tcW w:w="438" w:type="pct"/>
          </w:tcPr>
          <w:p w14:paraId="1C6462D3" w14:textId="77777777" w:rsidR="00A474A9" w:rsidRPr="0033132F" w:rsidRDefault="00A474A9" w:rsidP="004C79C1">
            <w:pPr>
              <w:pStyle w:val="Tabletext1"/>
              <w:spacing w:before="0" w:after="120"/>
            </w:pPr>
            <w:r>
              <w:t xml:space="preserve">Not </w:t>
            </w:r>
            <w:r w:rsidRPr="0033132F">
              <w:t>serious</w:t>
            </w:r>
          </w:p>
        </w:tc>
        <w:tc>
          <w:tcPr>
            <w:tcW w:w="421" w:type="pct"/>
          </w:tcPr>
          <w:p w14:paraId="522FFC76" w14:textId="77777777" w:rsidR="00A474A9" w:rsidRPr="0033132F" w:rsidRDefault="00A474A9" w:rsidP="004C79C1">
            <w:pPr>
              <w:pStyle w:val="Tabletext1"/>
              <w:spacing w:before="0" w:after="120"/>
            </w:pPr>
            <w:r>
              <w:t>Not serious</w:t>
            </w:r>
          </w:p>
        </w:tc>
        <w:tc>
          <w:tcPr>
            <w:tcW w:w="495" w:type="pct"/>
          </w:tcPr>
          <w:p w14:paraId="15F52378" w14:textId="77777777" w:rsidR="00A474A9" w:rsidRPr="00183E4D" w:rsidRDefault="00A474A9" w:rsidP="004C79C1">
            <w:pPr>
              <w:pStyle w:val="Tabletext1"/>
              <w:spacing w:before="0" w:after="120"/>
            </w:pPr>
            <w:r>
              <w:t>None</w:t>
            </w:r>
          </w:p>
        </w:tc>
        <w:tc>
          <w:tcPr>
            <w:tcW w:w="995" w:type="pct"/>
          </w:tcPr>
          <w:p w14:paraId="785E7BF2" w14:textId="77777777" w:rsidR="00A474A9" w:rsidRDefault="00A474A9" w:rsidP="004C79C1">
            <w:pPr>
              <w:pStyle w:val="Tabletext1"/>
              <w:spacing w:before="0" w:after="120"/>
            </w:pPr>
            <w:r>
              <w:t>0/33 (0%) of LGE+ had event</w:t>
            </w:r>
          </w:p>
          <w:p w14:paraId="5BC5EC72" w14:textId="77777777" w:rsidR="00A474A9" w:rsidRDefault="00A474A9" w:rsidP="004C79C1">
            <w:pPr>
              <w:pStyle w:val="Tabletext1"/>
              <w:spacing w:before="0" w:after="120"/>
            </w:pPr>
            <w:r>
              <w:t>1/33 (3.0%) of LGE– had event</w:t>
            </w:r>
          </w:p>
          <w:p w14:paraId="530CC33B" w14:textId="77777777" w:rsidR="00A474A9" w:rsidRPr="00AD3118" w:rsidRDefault="00A474A9" w:rsidP="004C79C1">
            <w:pPr>
              <w:pStyle w:val="Tabletext1"/>
              <w:spacing w:before="0" w:after="120"/>
            </w:pPr>
            <w:r>
              <w:t>RR = 0.33 (0.01, 7.90)</w:t>
            </w:r>
          </w:p>
        </w:tc>
        <w:tc>
          <w:tcPr>
            <w:tcW w:w="352" w:type="pct"/>
          </w:tcPr>
          <w:p w14:paraId="2BAA84E7"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p>
        </w:tc>
        <w:tc>
          <w:tcPr>
            <w:tcW w:w="385" w:type="pct"/>
          </w:tcPr>
          <w:p w14:paraId="47B95CEC" w14:textId="77777777" w:rsidR="00A474A9" w:rsidRPr="00183E4D" w:rsidRDefault="00A474A9" w:rsidP="004C79C1">
            <w:pPr>
              <w:pStyle w:val="Tabletext1"/>
              <w:spacing w:before="0" w:after="120"/>
            </w:pPr>
            <w:r>
              <w:t>Critical</w:t>
            </w:r>
            <w:r>
              <w:br/>
              <w:t>(7/9)</w:t>
            </w:r>
          </w:p>
        </w:tc>
      </w:tr>
      <w:tr w:rsidR="00A474A9" w:rsidRPr="00183E4D" w14:paraId="7C90605A" w14:textId="77777777" w:rsidTr="00BE5D7C">
        <w:trPr>
          <w:trHeight w:val="319"/>
        </w:trPr>
        <w:tc>
          <w:tcPr>
            <w:tcW w:w="459" w:type="pct"/>
          </w:tcPr>
          <w:p w14:paraId="70407BD7" w14:textId="77777777" w:rsidR="00A474A9" w:rsidRDefault="00A474A9" w:rsidP="004C79C1">
            <w:pPr>
              <w:pStyle w:val="Tabletext1"/>
              <w:spacing w:before="0" w:after="120"/>
            </w:pPr>
            <w:r>
              <w:t>Normalised LV function</w:t>
            </w:r>
          </w:p>
        </w:tc>
        <w:tc>
          <w:tcPr>
            <w:tcW w:w="556" w:type="pct"/>
          </w:tcPr>
          <w:p w14:paraId="74DBDE3D" w14:textId="2B5E9B7C" w:rsidR="00A474A9" w:rsidRDefault="00853BA3" w:rsidP="004C79C1">
            <w:pPr>
              <w:pStyle w:val="Tabletext1"/>
              <w:spacing w:before="0" w:after="120"/>
            </w:pPr>
            <w:r>
              <w:t>K</w:t>
            </w:r>
            <w:r w:rsidR="00A474A9">
              <w:t>=1 prospective cohort (level II)</w:t>
            </w:r>
          </w:p>
        </w:tc>
        <w:tc>
          <w:tcPr>
            <w:tcW w:w="405" w:type="pct"/>
          </w:tcPr>
          <w:p w14:paraId="31E9C32C" w14:textId="77777777" w:rsidR="00A474A9" w:rsidRDefault="00A474A9" w:rsidP="004C79C1">
            <w:pPr>
              <w:pStyle w:val="Tabletext1"/>
              <w:spacing w:before="0" w:after="120"/>
            </w:pPr>
            <w:r>
              <w:t>Not serious</w:t>
            </w:r>
          </w:p>
          <w:p w14:paraId="6FF12FF2" w14:textId="77777777" w:rsidR="00A474A9" w:rsidRPr="00183E4D" w:rsidRDefault="00A474A9" w:rsidP="004C79C1">
            <w:pPr>
              <w:pStyle w:val="Tabletext1"/>
              <w:spacing w:before="0" w:after="120"/>
            </w:pPr>
            <w:r>
              <w:t>(moderate risk)</w:t>
            </w:r>
          </w:p>
        </w:tc>
        <w:tc>
          <w:tcPr>
            <w:tcW w:w="493" w:type="pct"/>
          </w:tcPr>
          <w:p w14:paraId="12C94343" w14:textId="77777777" w:rsidR="00A474A9" w:rsidRPr="00183E4D" w:rsidRDefault="00A474A9" w:rsidP="004C79C1">
            <w:pPr>
              <w:pStyle w:val="Tabletext1"/>
              <w:spacing w:before="0" w:after="120"/>
            </w:pPr>
            <w:r>
              <w:t>Not serious</w:t>
            </w:r>
          </w:p>
        </w:tc>
        <w:tc>
          <w:tcPr>
            <w:tcW w:w="438" w:type="pct"/>
          </w:tcPr>
          <w:p w14:paraId="4E262DFE" w14:textId="77777777" w:rsidR="00A474A9" w:rsidRPr="0033132F" w:rsidRDefault="00A474A9" w:rsidP="004C79C1">
            <w:pPr>
              <w:pStyle w:val="Tabletext1"/>
              <w:spacing w:before="0" w:after="120"/>
            </w:pPr>
            <w:r>
              <w:t xml:space="preserve">Not </w:t>
            </w:r>
            <w:r w:rsidRPr="0033132F">
              <w:t>serious</w:t>
            </w:r>
          </w:p>
        </w:tc>
        <w:tc>
          <w:tcPr>
            <w:tcW w:w="421" w:type="pct"/>
          </w:tcPr>
          <w:p w14:paraId="29BF3C25" w14:textId="77777777" w:rsidR="00A474A9" w:rsidRPr="0033132F" w:rsidRDefault="00A474A9" w:rsidP="004C79C1">
            <w:pPr>
              <w:pStyle w:val="Tabletext1"/>
              <w:spacing w:before="0" w:after="120"/>
            </w:pPr>
            <w:r>
              <w:t>Not serious</w:t>
            </w:r>
          </w:p>
        </w:tc>
        <w:tc>
          <w:tcPr>
            <w:tcW w:w="495" w:type="pct"/>
          </w:tcPr>
          <w:p w14:paraId="28732D3C" w14:textId="77777777" w:rsidR="00A474A9" w:rsidRPr="00183E4D" w:rsidRDefault="00A474A9" w:rsidP="004C79C1">
            <w:pPr>
              <w:pStyle w:val="Tabletext1"/>
              <w:spacing w:before="0" w:after="120"/>
            </w:pPr>
            <w:r>
              <w:t>None</w:t>
            </w:r>
          </w:p>
        </w:tc>
        <w:tc>
          <w:tcPr>
            <w:tcW w:w="995" w:type="pct"/>
          </w:tcPr>
          <w:p w14:paraId="659B2FCF" w14:textId="77777777" w:rsidR="00A474A9" w:rsidRDefault="00A474A9" w:rsidP="004C79C1">
            <w:pPr>
              <w:pStyle w:val="Tabletext1"/>
              <w:spacing w:before="0" w:after="120"/>
            </w:pPr>
            <w:r>
              <w:t>22/27 (81%) of LGE+ had event</w:t>
            </w:r>
          </w:p>
          <w:p w14:paraId="0D861050" w14:textId="77777777" w:rsidR="00A474A9" w:rsidRDefault="00A474A9" w:rsidP="004C79C1">
            <w:pPr>
              <w:pStyle w:val="Tabletext1"/>
              <w:spacing w:before="0" w:after="120"/>
            </w:pPr>
            <w:r>
              <w:t>11/28 (39%) of LGE– had event</w:t>
            </w:r>
          </w:p>
          <w:p w14:paraId="6B2C870E" w14:textId="77777777" w:rsidR="00A474A9" w:rsidRDefault="00A474A9" w:rsidP="004C79C1">
            <w:pPr>
              <w:pStyle w:val="Tabletext1"/>
              <w:spacing w:before="0" w:after="120"/>
            </w:pPr>
            <w:r>
              <w:t>RR = 2.07 (1.27, 3.40)</w:t>
            </w:r>
          </w:p>
          <w:p w14:paraId="2646148E" w14:textId="77777777" w:rsidR="00A474A9" w:rsidRPr="00AD3118" w:rsidRDefault="00A474A9" w:rsidP="004C79C1">
            <w:pPr>
              <w:pStyle w:val="Tabletext1"/>
              <w:spacing w:before="0" w:after="120"/>
            </w:pPr>
            <w:r>
              <w:t>(ITT) RR = 2.00 (1.17, 3.43)</w:t>
            </w:r>
          </w:p>
        </w:tc>
        <w:tc>
          <w:tcPr>
            <w:tcW w:w="352" w:type="pct"/>
          </w:tcPr>
          <w:p w14:paraId="698F57C9"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p>
        </w:tc>
        <w:tc>
          <w:tcPr>
            <w:tcW w:w="385" w:type="pct"/>
          </w:tcPr>
          <w:p w14:paraId="3B27AFCF" w14:textId="77777777" w:rsidR="00A474A9" w:rsidRPr="00183E4D" w:rsidRDefault="00A474A9" w:rsidP="004C79C1">
            <w:pPr>
              <w:pStyle w:val="Tabletext1"/>
              <w:spacing w:before="0" w:after="120"/>
            </w:pPr>
            <w:r>
              <w:t>Not important</w:t>
            </w:r>
            <w:r>
              <w:br/>
              <w:t>(3/9)</w:t>
            </w:r>
          </w:p>
        </w:tc>
      </w:tr>
    </w:tbl>
    <w:p w14:paraId="4283780A" w14:textId="4E2CEE80" w:rsidR="00BB7B7A" w:rsidRDefault="00A474A9" w:rsidP="004C79C1">
      <w:pPr>
        <w:pStyle w:val="Tablenotes0"/>
        <w:spacing w:before="0" w:after="120"/>
      </w:pPr>
      <w:bookmarkStart w:id="856" w:name="_Toc324410268"/>
      <w:r w:rsidRPr="009C085A">
        <w:t xml:space="preserve">CI = confidence interval; CMR = cardiac magnetic resonance </w:t>
      </w:r>
      <w:r w:rsidR="00415A61">
        <w:t>(</w:t>
      </w:r>
      <w:r w:rsidRPr="009C085A">
        <w:t>imaging</w:t>
      </w:r>
      <w:r w:rsidR="00415A61">
        <w:t>)</w:t>
      </w:r>
      <w:r w:rsidRPr="009C085A">
        <w:t xml:space="preserve">; DCM = dilated cardiomyopathy; </w:t>
      </w:r>
      <w:r w:rsidR="007216BF" w:rsidRPr="009C085A">
        <w:t xml:space="preserve">ITT = </w:t>
      </w:r>
      <w:r w:rsidR="00702A67" w:rsidRPr="009C085A">
        <w:t>intention to treat</w:t>
      </w:r>
      <w:r w:rsidR="007216BF" w:rsidRPr="009C085A">
        <w:t xml:space="preserve">; </w:t>
      </w:r>
      <w:r w:rsidRPr="009C085A">
        <w:t>LGE = late gadolinium enhancement; RR = relative risk</w:t>
      </w:r>
      <w:bookmarkEnd w:id="856"/>
    </w:p>
    <w:p w14:paraId="65FBDAAD" w14:textId="3C9BFA7C" w:rsidR="00A474A9" w:rsidRPr="000470F1" w:rsidRDefault="00050936" w:rsidP="004C79C1">
      <w:pPr>
        <w:pStyle w:val="Caption"/>
      </w:pPr>
      <w:bookmarkStart w:id="857" w:name="_Ref451332097"/>
      <w:bookmarkStart w:id="858" w:name="_Toc324410269"/>
      <w:bookmarkStart w:id="859" w:name="_Toc451435417"/>
      <w:r>
        <w:t xml:space="preserve">Table </w:t>
      </w:r>
      <w:fldSimple w:instr=" SEQ Table \* ARABIC ">
        <w:r>
          <w:rPr>
            <w:noProof/>
          </w:rPr>
          <w:t>90</w:t>
        </w:r>
      </w:fldSimple>
      <w:bookmarkEnd w:id="857"/>
      <w:r w:rsidR="00A474A9">
        <w:tab/>
        <w:t>Evidence profile for the prognosis of ICM patients compared with NIDCM patients</w:t>
      </w:r>
      <w:bookmarkEnd w:id="858"/>
      <w:bookmarkEnd w:id="859"/>
    </w:p>
    <w:tbl>
      <w:tblPr>
        <w:tblStyle w:val="TableGrid"/>
        <w:tblW w:w="5000" w:type="pct"/>
        <w:tblCellMar>
          <w:left w:w="57" w:type="dxa"/>
          <w:right w:w="57" w:type="dxa"/>
        </w:tblCellMar>
        <w:tblLook w:val="04A0" w:firstRow="1" w:lastRow="0" w:firstColumn="1" w:lastColumn="0" w:noHBand="0" w:noVBand="1"/>
        <w:tblCaption w:val="Table 176"/>
        <w:tblDescription w:val="Evidence profile table for the safety of SP-CMR in patients with known or suspected CAD "/>
      </w:tblPr>
      <w:tblGrid>
        <w:gridCol w:w="1297"/>
        <w:gridCol w:w="1370"/>
        <w:gridCol w:w="994"/>
        <w:gridCol w:w="1208"/>
        <w:gridCol w:w="1081"/>
        <w:gridCol w:w="1038"/>
        <w:gridCol w:w="1561"/>
        <w:gridCol w:w="2607"/>
        <w:gridCol w:w="911"/>
        <w:gridCol w:w="1007"/>
      </w:tblGrid>
      <w:tr w:rsidR="00A474A9" w:rsidRPr="00183E4D" w14:paraId="5739924F" w14:textId="77777777" w:rsidTr="009C085A">
        <w:trPr>
          <w:trHeight w:val="279"/>
          <w:tblHeader/>
        </w:trPr>
        <w:tc>
          <w:tcPr>
            <w:tcW w:w="496" w:type="pct"/>
          </w:tcPr>
          <w:p w14:paraId="0A0115B0" w14:textId="77777777" w:rsidR="00A474A9" w:rsidRPr="00524FC1" w:rsidRDefault="00A474A9" w:rsidP="004C79C1">
            <w:pPr>
              <w:pStyle w:val="TableHeading"/>
              <w:spacing w:before="0" w:after="120"/>
              <w:ind w:left="0" w:firstLine="0"/>
            </w:pPr>
            <w:r w:rsidRPr="00524FC1">
              <w:t>Outcome</w:t>
            </w:r>
          </w:p>
        </w:tc>
        <w:tc>
          <w:tcPr>
            <w:tcW w:w="524" w:type="pct"/>
          </w:tcPr>
          <w:p w14:paraId="66A9B78F" w14:textId="77777777" w:rsidR="00A474A9" w:rsidRPr="00183E4D" w:rsidRDefault="00A474A9" w:rsidP="004C79C1">
            <w:pPr>
              <w:pStyle w:val="TableHeading"/>
              <w:spacing w:before="0" w:after="120"/>
              <w:ind w:left="0" w:firstLine="0"/>
            </w:pPr>
            <w:r>
              <w:t>Study design</w:t>
            </w:r>
          </w:p>
        </w:tc>
        <w:tc>
          <w:tcPr>
            <w:tcW w:w="380" w:type="pct"/>
          </w:tcPr>
          <w:p w14:paraId="17F3D2C0" w14:textId="77777777" w:rsidR="00A474A9" w:rsidRPr="00A74C70" w:rsidRDefault="00A474A9" w:rsidP="004C79C1">
            <w:pPr>
              <w:pStyle w:val="TableHeading"/>
              <w:spacing w:before="0" w:after="120"/>
              <w:ind w:left="0" w:firstLine="0"/>
            </w:pPr>
            <w:r w:rsidRPr="00A74C70">
              <w:t>Risk of bias</w:t>
            </w:r>
          </w:p>
        </w:tc>
        <w:tc>
          <w:tcPr>
            <w:tcW w:w="462" w:type="pct"/>
          </w:tcPr>
          <w:p w14:paraId="7FE8D581" w14:textId="77777777" w:rsidR="00A474A9" w:rsidRPr="00183E4D" w:rsidRDefault="00A474A9" w:rsidP="004C79C1">
            <w:pPr>
              <w:pStyle w:val="TableHeading"/>
              <w:spacing w:before="0" w:after="120"/>
              <w:ind w:left="0" w:firstLine="0"/>
            </w:pPr>
            <w:r>
              <w:t>Inconsistency</w:t>
            </w:r>
          </w:p>
        </w:tc>
        <w:tc>
          <w:tcPr>
            <w:tcW w:w="413" w:type="pct"/>
          </w:tcPr>
          <w:p w14:paraId="2253BA30" w14:textId="77777777" w:rsidR="00A474A9" w:rsidRPr="00A74C70" w:rsidRDefault="00A474A9" w:rsidP="004C79C1">
            <w:pPr>
              <w:pStyle w:val="TableHeading"/>
              <w:spacing w:before="0" w:after="120"/>
              <w:ind w:left="0" w:firstLine="0"/>
            </w:pPr>
            <w:r w:rsidRPr="00A74C70">
              <w:t>Indirectness</w:t>
            </w:r>
          </w:p>
        </w:tc>
        <w:tc>
          <w:tcPr>
            <w:tcW w:w="397" w:type="pct"/>
          </w:tcPr>
          <w:p w14:paraId="011A94E4" w14:textId="77777777" w:rsidR="00A474A9" w:rsidRPr="00183E4D" w:rsidRDefault="00A474A9" w:rsidP="004C79C1">
            <w:pPr>
              <w:pStyle w:val="TableHeading"/>
              <w:spacing w:before="0" w:after="120"/>
              <w:ind w:left="0" w:firstLine="0"/>
            </w:pPr>
            <w:r>
              <w:t>Imprecision</w:t>
            </w:r>
          </w:p>
        </w:tc>
        <w:tc>
          <w:tcPr>
            <w:tcW w:w="597" w:type="pct"/>
          </w:tcPr>
          <w:p w14:paraId="73CE8CF2" w14:textId="77777777" w:rsidR="00A474A9" w:rsidRPr="00183E4D" w:rsidRDefault="00A474A9" w:rsidP="004C79C1">
            <w:pPr>
              <w:pStyle w:val="TableHeading"/>
              <w:spacing w:before="0" w:after="120"/>
              <w:ind w:left="0" w:firstLine="0"/>
            </w:pPr>
            <w:r>
              <w:t>Other considerations</w:t>
            </w:r>
          </w:p>
        </w:tc>
        <w:tc>
          <w:tcPr>
            <w:tcW w:w="997" w:type="pct"/>
          </w:tcPr>
          <w:p w14:paraId="560220DE" w14:textId="77777777" w:rsidR="00A474A9" w:rsidRDefault="00A474A9" w:rsidP="004C79C1">
            <w:pPr>
              <w:pStyle w:val="TableHeading"/>
              <w:spacing w:before="0" w:after="120"/>
              <w:ind w:left="0" w:firstLine="0"/>
            </w:pPr>
            <w:r>
              <w:t>Summary of findings</w:t>
            </w:r>
          </w:p>
          <w:p w14:paraId="2AB3BAE4" w14:textId="77777777" w:rsidR="00A474A9" w:rsidRPr="006C0C52" w:rsidRDefault="00A474A9" w:rsidP="004C79C1">
            <w:pPr>
              <w:pStyle w:val="TableHeading"/>
              <w:spacing w:before="0" w:after="120"/>
              <w:ind w:left="0" w:firstLine="0"/>
            </w:pPr>
            <w:r>
              <w:t>RR (95%CI)</w:t>
            </w:r>
          </w:p>
        </w:tc>
        <w:tc>
          <w:tcPr>
            <w:tcW w:w="348" w:type="pct"/>
          </w:tcPr>
          <w:p w14:paraId="4C15994A" w14:textId="77777777" w:rsidR="00A474A9" w:rsidRPr="00183E4D" w:rsidRDefault="00A474A9" w:rsidP="004C79C1">
            <w:pPr>
              <w:pStyle w:val="TableHeading"/>
              <w:spacing w:before="0" w:after="120"/>
              <w:ind w:left="0" w:firstLine="0"/>
            </w:pPr>
            <w:r>
              <w:t>Q</w:t>
            </w:r>
            <w:r w:rsidRPr="00AF11F4">
              <w:t>uality of evidence</w:t>
            </w:r>
          </w:p>
        </w:tc>
        <w:tc>
          <w:tcPr>
            <w:tcW w:w="385" w:type="pct"/>
          </w:tcPr>
          <w:p w14:paraId="73A68B44" w14:textId="77777777" w:rsidR="00A474A9" w:rsidRPr="00183E4D" w:rsidRDefault="00A474A9" w:rsidP="004C79C1">
            <w:pPr>
              <w:pStyle w:val="TableHeading"/>
              <w:spacing w:before="0" w:after="120"/>
              <w:ind w:left="0" w:firstLine="0"/>
            </w:pPr>
            <w:r>
              <w:t>Importance</w:t>
            </w:r>
          </w:p>
        </w:tc>
      </w:tr>
      <w:tr w:rsidR="00A474A9" w:rsidRPr="00183E4D" w14:paraId="3386097C" w14:textId="77777777" w:rsidTr="009C085A">
        <w:trPr>
          <w:trHeight w:val="319"/>
        </w:trPr>
        <w:tc>
          <w:tcPr>
            <w:tcW w:w="496" w:type="pct"/>
          </w:tcPr>
          <w:p w14:paraId="56AEBC09" w14:textId="77777777" w:rsidR="00A474A9" w:rsidRPr="00D33ABD" w:rsidRDefault="00A474A9" w:rsidP="004C79C1">
            <w:pPr>
              <w:pStyle w:val="Tabletext1"/>
              <w:spacing w:before="0" w:after="120"/>
            </w:pPr>
            <w:r>
              <w:t>LGE+</w:t>
            </w:r>
          </w:p>
        </w:tc>
        <w:tc>
          <w:tcPr>
            <w:tcW w:w="524" w:type="pct"/>
          </w:tcPr>
          <w:p w14:paraId="08708F39" w14:textId="001E5B9C" w:rsidR="00A474A9" w:rsidRDefault="00CD1ED9" w:rsidP="004C79C1">
            <w:pPr>
              <w:pStyle w:val="Tabletext1"/>
              <w:spacing w:before="0" w:after="120"/>
            </w:pPr>
            <w:r>
              <w:t>K</w:t>
            </w:r>
            <w:r w:rsidR="00A474A9">
              <w:t>=5 prospective cohort (level II)</w:t>
            </w:r>
          </w:p>
          <w:p w14:paraId="61332B09" w14:textId="27AD1523" w:rsidR="00A474A9" w:rsidRDefault="00CD1ED9" w:rsidP="004C79C1">
            <w:pPr>
              <w:pStyle w:val="Tabletext1"/>
              <w:spacing w:before="0" w:after="120"/>
            </w:pPr>
            <w:r>
              <w:t>K</w:t>
            </w:r>
            <w:r w:rsidR="00A474A9">
              <w:t>=1 retrospective cohort (level III-3)</w:t>
            </w:r>
          </w:p>
        </w:tc>
        <w:tc>
          <w:tcPr>
            <w:tcW w:w="380" w:type="pct"/>
          </w:tcPr>
          <w:p w14:paraId="0306F45B" w14:textId="77777777" w:rsidR="00A474A9" w:rsidRDefault="00A474A9" w:rsidP="004C79C1">
            <w:pPr>
              <w:pStyle w:val="Tabletext1"/>
              <w:spacing w:before="0" w:after="120"/>
            </w:pPr>
            <w:r>
              <w:t>Not serious</w:t>
            </w:r>
          </w:p>
          <w:p w14:paraId="3CD8F2BE" w14:textId="77777777" w:rsidR="00A474A9" w:rsidRPr="00183E4D" w:rsidRDefault="00A474A9" w:rsidP="004C79C1">
            <w:pPr>
              <w:pStyle w:val="Tabletext1"/>
              <w:spacing w:before="0" w:after="120"/>
            </w:pPr>
            <w:r>
              <w:t xml:space="preserve">(0/6 </w:t>
            </w:r>
            <w:r w:rsidRPr="00703297">
              <w:t>high risk</w:t>
            </w:r>
            <w:r>
              <w:t>)</w:t>
            </w:r>
          </w:p>
        </w:tc>
        <w:tc>
          <w:tcPr>
            <w:tcW w:w="462" w:type="pct"/>
          </w:tcPr>
          <w:p w14:paraId="69E538E4" w14:textId="77777777" w:rsidR="00A474A9" w:rsidRDefault="00A474A9" w:rsidP="004C79C1">
            <w:pPr>
              <w:pStyle w:val="Tabletext1"/>
              <w:spacing w:before="0" w:after="120"/>
            </w:pPr>
            <w:r>
              <w:t>Not serious</w:t>
            </w:r>
          </w:p>
          <w:p w14:paraId="19C479D1" w14:textId="77777777" w:rsidR="00A474A9" w:rsidRDefault="00A474A9" w:rsidP="004C79C1">
            <w:pPr>
              <w:pStyle w:val="Tabletext1"/>
              <w:spacing w:before="0" w:after="120"/>
            </w:pPr>
            <w:r>
              <w:t>(</w:t>
            </w:r>
            <w:proofErr w:type="gramStart"/>
            <w:r>
              <w:t>no</w:t>
            </w:r>
            <w:proofErr w:type="gramEnd"/>
            <w:r>
              <w:t xml:space="preserve"> heterogeneity; I</w:t>
            </w:r>
            <w:r w:rsidRPr="00B2428F">
              <w:rPr>
                <w:vertAlign w:val="superscript"/>
              </w:rPr>
              <w:t>2</w:t>
            </w:r>
            <w:r>
              <w:t xml:space="preserve"> = 0%)</w:t>
            </w:r>
          </w:p>
        </w:tc>
        <w:tc>
          <w:tcPr>
            <w:tcW w:w="413" w:type="pct"/>
          </w:tcPr>
          <w:p w14:paraId="21820B7D" w14:textId="77777777" w:rsidR="00A474A9" w:rsidRPr="0033132F" w:rsidRDefault="00A474A9" w:rsidP="004C79C1">
            <w:pPr>
              <w:pStyle w:val="Tabletext1"/>
              <w:spacing w:before="0" w:after="120"/>
            </w:pPr>
            <w:r>
              <w:t xml:space="preserve">Not </w:t>
            </w:r>
            <w:r w:rsidRPr="0033132F">
              <w:t>serious</w:t>
            </w:r>
          </w:p>
        </w:tc>
        <w:tc>
          <w:tcPr>
            <w:tcW w:w="397" w:type="pct"/>
          </w:tcPr>
          <w:p w14:paraId="14FF759B" w14:textId="77777777" w:rsidR="00A474A9" w:rsidRPr="0033132F" w:rsidRDefault="00A474A9" w:rsidP="004C79C1">
            <w:pPr>
              <w:pStyle w:val="Tabletext1"/>
              <w:spacing w:before="0" w:after="120"/>
            </w:pPr>
            <w:r>
              <w:t>Not serious</w:t>
            </w:r>
          </w:p>
        </w:tc>
        <w:tc>
          <w:tcPr>
            <w:tcW w:w="597" w:type="pct"/>
          </w:tcPr>
          <w:p w14:paraId="274F81D1" w14:textId="77777777" w:rsidR="00A474A9" w:rsidRDefault="00A474A9" w:rsidP="004C79C1">
            <w:pPr>
              <w:pStyle w:val="Tabletext1"/>
              <w:spacing w:before="0" w:after="120"/>
            </w:pPr>
            <w:r>
              <w:t>Publication bias strongly suspected</w:t>
            </w:r>
          </w:p>
          <w:p w14:paraId="303405D8" w14:textId="5DE22F40" w:rsidR="00A474A9" w:rsidRPr="00183E4D" w:rsidRDefault="00A474A9" w:rsidP="004C79C1">
            <w:pPr>
              <w:pStyle w:val="Tabletext1"/>
              <w:spacing w:before="0" w:after="120"/>
            </w:pPr>
            <w:r>
              <w:t>(no studies in lower left of funnel plot</w:t>
            </w:r>
            <w:r w:rsidR="00E563C3">
              <w:t>)</w:t>
            </w:r>
          </w:p>
        </w:tc>
        <w:tc>
          <w:tcPr>
            <w:tcW w:w="997" w:type="pct"/>
          </w:tcPr>
          <w:p w14:paraId="56D0FDEB" w14:textId="77777777" w:rsidR="00A474A9" w:rsidRDefault="00A474A9" w:rsidP="004C79C1">
            <w:pPr>
              <w:pStyle w:val="Tabletext1"/>
              <w:spacing w:before="0" w:after="120"/>
            </w:pPr>
            <w:r>
              <w:t>852/994 (86%) of ICM had event</w:t>
            </w:r>
          </w:p>
          <w:p w14:paraId="2AAA0108" w14:textId="77777777" w:rsidR="00A474A9" w:rsidRDefault="00A474A9" w:rsidP="004C79C1">
            <w:pPr>
              <w:pStyle w:val="Tabletext1"/>
              <w:spacing w:before="0" w:after="120"/>
            </w:pPr>
            <w:r>
              <w:t>207/540 (38%) of NIDCM had event</w:t>
            </w:r>
          </w:p>
          <w:p w14:paraId="56F64F85" w14:textId="77777777" w:rsidR="00A474A9" w:rsidRDefault="00A474A9" w:rsidP="004C79C1">
            <w:pPr>
              <w:pStyle w:val="Tabletext1"/>
              <w:spacing w:before="0" w:after="120"/>
            </w:pPr>
            <w:r>
              <w:t>RR = 2.56 (1.95, 3.35), k=5</w:t>
            </w:r>
          </w:p>
          <w:p w14:paraId="42558353" w14:textId="77777777" w:rsidR="00A474A9" w:rsidRPr="00AD3118" w:rsidRDefault="00A474A9" w:rsidP="004C79C1">
            <w:pPr>
              <w:pStyle w:val="Tabletext1"/>
              <w:spacing w:before="0" w:after="120"/>
            </w:pPr>
            <w:r>
              <w:t>RR = 2.48 (1.86, 3.25), k=3 best</w:t>
            </w:r>
          </w:p>
        </w:tc>
        <w:tc>
          <w:tcPr>
            <w:tcW w:w="348" w:type="pct"/>
          </w:tcPr>
          <w:p w14:paraId="659BD11B"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25B1DD5D" w14:textId="77777777" w:rsidR="00A474A9" w:rsidRPr="00183E4D" w:rsidRDefault="00A474A9" w:rsidP="004C79C1">
            <w:pPr>
              <w:pStyle w:val="Tabletext1"/>
              <w:spacing w:before="0" w:after="120"/>
            </w:pPr>
            <w:r>
              <w:t>Critical</w:t>
            </w:r>
            <w:r>
              <w:br/>
              <w:t>(8/9)</w:t>
            </w:r>
          </w:p>
        </w:tc>
      </w:tr>
      <w:tr w:rsidR="00A474A9" w:rsidRPr="00183E4D" w14:paraId="6920783F" w14:textId="77777777" w:rsidTr="009C085A">
        <w:trPr>
          <w:trHeight w:val="319"/>
        </w:trPr>
        <w:tc>
          <w:tcPr>
            <w:tcW w:w="496" w:type="pct"/>
          </w:tcPr>
          <w:p w14:paraId="3826A593" w14:textId="77777777" w:rsidR="00A474A9" w:rsidRDefault="00A474A9" w:rsidP="004C79C1">
            <w:pPr>
              <w:pStyle w:val="Tabletext1"/>
              <w:spacing w:before="0" w:after="120"/>
            </w:pPr>
            <w:r>
              <w:lastRenderedPageBreak/>
              <w:t>All-cause mortality</w:t>
            </w:r>
          </w:p>
        </w:tc>
        <w:tc>
          <w:tcPr>
            <w:tcW w:w="524" w:type="pct"/>
          </w:tcPr>
          <w:p w14:paraId="3DAAD5D7" w14:textId="3610B2AA" w:rsidR="00A474A9" w:rsidRDefault="00CD1ED9" w:rsidP="004C79C1">
            <w:pPr>
              <w:pStyle w:val="Tabletext1"/>
              <w:spacing w:before="0" w:after="120"/>
            </w:pPr>
            <w:r>
              <w:t>K</w:t>
            </w:r>
            <w:r w:rsidR="00A474A9">
              <w:t>=2 prospective cohort (level II)</w:t>
            </w:r>
          </w:p>
        </w:tc>
        <w:tc>
          <w:tcPr>
            <w:tcW w:w="380" w:type="pct"/>
          </w:tcPr>
          <w:p w14:paraId="5DDA5FFC" w14:textId="77777777" w:rsidR="00A474A9" w:rsidRDefault="00A474A9" w:rsidP="004C79C1">
            <w:pPr>
              <w:pStyle w:val="Tabletext1"/>
              <w:spacing w:before="0" w:after="120"/>
            </w:pPr>
            <w:r>
              <w:t>Not serious</w:t>
            </w:r>
          </w:p>
          <w:p w14:paraId="1DA1404F" w14:textId="77777777" w:rsidR="00A474A9" w:rsidRPr="00183E4D" w:rsidRDefault="00A474A9" w:rsidP="004C79C1">
            <w:pPr>
              <w:pStyle w:val="Tabletext1"/>
              <w:spacing w:before="0" w:after="120"/>
            </w:pPr>
            <w:r>
              <w:t>(0/2 high risk)</w:t>
            </w:r>
          </w:p>
        </w:tc>
        <w:tc>
          <w:tcPr>
            <w:tcW w:w="462" w:type="pct"/>
          </w:tcPr>
          <w:p w14:paraId="4E2CD08B" w14:textId="77777777" w:rsidR="00A474A9" w:rsidRDefault="00A474A9" w:rsidP="004C79C1">
            <w:pPr>
              <w:pStyle w:val="Tabletext1"/>
              <w:spacing w:before="0" w:after="120"/>
            </w:pPr>
            <w:r>
              <w:t>Not serious</w:t>
            </w:r>
          </w:p>
          <w:p w14:paraId="28494707" w14:textId="77777777" w:rsidR="00A474A9" w:rsidRPr="00183E4D" w:rsidRDefault="00A474A9" w:rsidP="004C79C1">
            <w:pPr>
              <w:pStyle w:val="Tabletext1"/>
              <w:spacing w:before="0" w:after="120"/>
            </w:pPr>
            <w:r w:rsidRPr="001F4B47">
              <w:t>(</w:t>
            </w:r>
            <w:proofErr w:type="gramStart"/>
            <w:r>
              <w:t>no</w:t>
            </w:r>
            <w:proofErr w:type="gramEnd"/>
            <w:r w:rsidRPr="001F4B47">
              <w:t xml:space="preserve"> heterogeneity; I</w:t>
            </w:r>
            <w:r w:rsidRPr="001F4B47">
              <w:rPr>
                <w:vertAlign w:val="superscript"/>
              </w:rPr>
              <w:t>2</w:t>
            </w:r>
            <w:r w:rsidRPr="001F4B47">
              <w:t xml:space="preserve"> = </w:t>
            </w:r>
            <w:r>
              <w:t>0</w:t>
            </w:r>
            <w:r w:rsidRPr="001F4B47">
              <w:t>%)</w:t>
            </w:r>
          </w:p>
        </w:tc>
        <w:tc>
          <w:tcPr>
            <w:tcW w:w="413" w:type="pct"/>
          </w:tcPr>
          <w:p w14:paraId="1E36ABEA" w14:textId="77777777" w:rsidR="00A474A9" w:rsidRPr="0033132F" w:rsidRDefault="00A474A9" w:rsidP="004C79C1">
            <w:pPr>
              <w:pStyle w:val="Tabletext1"/>
              <w:spacing w:before="0" w:after="120"/>
            </w:pPr>
            <w:r>
              <w:t xml:space="preserve">Not </w:t>
            </w:r>
            <w:r w:rsidRPr="0033132F">
              <w:t>serious</w:t>
            </w:r>
          </w:p>
        </w:tc>
        <w:tc>
          <w:tcPr>
            <w:tcW w:w="397" w:type="pct"/>
          </w:tcPr>
          <w:p w14:paraId="326DF7B7" w14:textId="77777777" w:rsidR="00A474A9" w:rsidRPr="0033132F" w:rsidRDefault="00A474A9" w:rsidP="004C79C1">
            <w:pPr>
              <w:pStyle w:val="Tabletext1"/>
              <w:spacing w:before="0" w:after="120"/>
            </w:pPr>
            <w:r>
              <w:t>Not serious</w:t>
            </w:r>
          </w:p>
        </w:tc>
        <w:tc>
          <w:tcPr>
            <w:tcW w:w="597" w:type="pct"/>
          </w:tcPr>
          <w:p w14:paraId="3FC4FACD" w14:textId="77777777" w:rsidR="00A474A9" w:rsidRPr="00183E4D" w:rsidRDefault="00A474A9" w:rsidP="004C79C1">
            <w:pPr>
              <w:pStyle w:val="Tabletext1"/>
              <w:spacing w:before="0" w:after="120"/>
            </w:pPr>
            <w:r>
              <w:t>Publication bias undetected</w:t>
            </w:r>
          </w:p>
        </w:tc>
        <w:tc>
          <w:tcPr>
            <w:tcW w:w="997" w:type="pct"/>
          </w:tcPr>
          <w:p w14:paraId="02D663B7" w14:textId="77777777" w:rsidR="00A474A9" w:rsidRDefault="00A474A9" w:rsidP="004C79C1">
            <w:pPr>
              <w:pStyle w:val="Tabletext1"/>
              <w:spacing w:before="0" w:after="120"/>
            </w:pPr>
            <w:r>
              <w:t>110/234 (47%) of ICM had event</w:t>
            </w:r>
          </w:p>
          <w:p w14:paraId="75BC23C4" w14:textId="77777777" w:rsidR="00A474A9" w:rsidRDefault="00A474A9" w:rsidP="004C79C1">
            <w:pPr>
              <w:pStyle w:val="Tabletext1"/>
              <w:spacing w:before="0" w:after="120"/>
            </w:pPr>
            <w:r>
              <w:t>19/161 (12%) of NIDCM had event</w:t>
            </w:r>
          </w:p>
          <w:p w14:paraId="4DB51090" w14:textId="77777777" w:rsidR="00A474A9" w:rsidRPr="00AD3118" w:rsidRDefault="00A474A9" w:rsidP="004C79C1">
            <w:pPr>
              <w:pStyle w:val="Tabletext1"/>
              <w:spacing w:before="0" w:after="120"/>
            </w:pPr>
            <w:r>
              <w:t>RR = 2.32 (1.46, 3.68), k=2</w:t>
            </w:r>
          </w:p>
        </w:tc>
        <w:tc>
          <w:tcPr>
            <w:tcW w:w="348" w:type="pct"/>
          </w:tcPr>
          <w:p w14:paraId="3649468B" w14:textId="77777777" w:rsidR="00A474A9" w:rsidRPr="00FA7EC9" w:rsidRDefault="00A474A9" w:rsidP="004C79C1">
            <w:pPr>
              <w:pStyle w:val="Tabletext1"/>
              <w:spacing w:before="0" w:after="120"/>
              <w:rPr>
                <w:rFonts w:ascii="Cambria Math" w:hAnsi="Cambria Math" w:cs="Cambria Math"/>
              </w:rPr>
            </w:pPr>
            <w:r>
              <w:rPr>
                <w:rFonts w:cs="Cambria Math"/>
              </w:rPr>
              <w:t>High</w:t>
            </w:r>
            <w:r>
              <w:rPr>
                <w:rFonts w:cs="Cambria Math"/>
              </w:rPr>
              <w:br/>
            </w:r>
            <w:r w:rsidRPr="00524FC1">
              <w:rPr>
                <w:rFonts w:ascii="Cambria Math" w:hAnsi="Cambria Math" w:cs="Cambria Math"/>
                <w:color w:val="00B050"/>
              </w:rPr>
              <w:t>⊕⊕⊕⊕</w:t>
            </w:r>
            <w:r>
              <w:rPr>
                <w:rFonts w:ascii="Cambria Math" w:hAnsi="Cambria Math" w:cs="Cambria Math"/>
                <w:color w:val="FF0000"/>
              </w:rPr>
              <w:t xml:space="preserve"> </w:t>
            </w:r>
          </w:p>
        </w:tc>
        <w:tc>
          <w:tcPr>
            <w:tcW w:w="385" w:type="pct"/>
          </w:tcPr>
          <w:p w14:paraId="3424215B" w14:textId="77777777" w:rsidR="00A474A9" w:rsidRPr="00183E4D" w:rsidRDefault="00A474A9" w:rsidP="004C79C1">
            <w:pPr>
              <w:pStyle w:val="Tabletext1"/>
              <w:spacing w:before="0" w:after="120"/>
            </w:pPr>
            <w:r>
              <w:t>Critical</w:t>
            </w:r>
            <w:r>
              <w:br/>
              <w:t>(9/9)</w:t>
            </w:r>
          </w:p>
        </w:tc>
      </w:tr>
      <w:tr w:rsidR="00A474A9" w:rsidRPr="00183E4D" w14:paraId="324B2E5B" w14:textId="77777777" w:rsidTr="009C085A">
        <w:trPr>
          <w:trHeight w:val="319"/>
        </w:trPr>
        <w:tc>
          <w:tcPr>
            <w:tcW w:w="496" w:type="pct"/>
          </w:tcPr>
          <w:p w14:paraId="1DB20113" w14:textId="77777777" w:rsidR="00A474A9" w:rsidRPr="00524FC1" w:rsidRDefault="00A474A9" w:rsidP="004C79C1">
            <w:pPr>
              <w:pStyle w:val="Tabletext1"/>
              <w:tabs>
                <w:tab w:val="left" w:pos="34"/>
              </w:tabs>
              <w:spacing w:before="0" w:after="120"/>
            </w:pPr>
            <w:r>
              <w:t>Cardiac deaths</w:t>
            </w:r>
          </w:p>
        </w:tc>
        <w:tc>
          <w:tcPr>
            <w:tcW w:w="524" w:type="pct"/>
          </w:tcPr>
          <w:p w14:paraId="50DFF6DD" w14:textId="39A2E88B" w:rsidR="00A474A9" w:rsidRDefault="00CD1ED9" w:rsidP="004C79C1">
            <w:pPr>
              <w:pStyle w:val="Tabletext1"/>
              <w:spacing w:before="0" w:after="120"/>
            </w:pPr>
            <w:r>
              <w:t>K</w:t>
            </w:r>
            <w:r w:rsidR="00A474A9">
              <w:t>=2 prospective cohort (level II)</w:t>
            </w:r>
          </w:p>
        </w:tc>
        <w:tc>
          <w:tcPr>
            <w:tcW w:w="380" w:type="pct"/>
          </w:tcPr>
          <w:p w14:paraId="3B0E68A2" w14:textId="77777777" w:rsidR="00A474A9" w:rsidRDefault="00A474A9" w:rsidP="004C79C1">
            <w:pPr>
              <w:pStyle w:val="Tabletext1"/>
              <w:spacing w:before="0" w:after="120"/>
            </w:pPr>
            <w:r>
              <w:t>Not serious</w:t>
            </w:r>
          </w:p>
          <w:p w14:paraId="32D0DB5B" w14:textId="77777777" w:rsidR="00A474A9" w:rsidRPr="00183E4D" w:rsidRDefault="00A474A9" w:rsidP="004C79C1">
            <w:pPr>
              <w:pStyle w:val="Tabletext1"/>
              <w:spacing w:before="0" w:after="120"/>
            </w:pPr>
            <w:r>
              <w:t>(0/2 high risk)</w:t>
            </w:r>
          </w:p>
        </w:tc>
        <w:tc>
          <w:tcPr>
            <w:tcW w:w="462" w:type="pct"/>
          </w:tcPr>
          <w:p w14:paraId="117BF6FF" w14:textId="77777777" w:rsidR="00A474A9" w:rsidRDefault="00A474A9" w:rsidP="004C79C1">
            <w:pPr>
              <w:pStyle w:val="Tabletext1"/>
              <w:spacing w:before="0" w:after="120"/>
            </w:pPr>
            <w:r>
              <w:t>Serious</w:t>
            </w:r>
          </w:p>
          <w:p w14:paraId="5BBF4C4F" w14:textId="77777777" w:rsidR="00A474A9" w:rsidRPr="00183E4D" w:rsidRDefault="00A474A9" w:rsidP="004C79C1">
            <w:pPr>
              <w:pStyle w:val="Tabletext1"/>
              <w:spacing w:before="0" w:after="120"/>
            </w:pPr>
            <w:r w:rsidRPr="001F4B47">
              <w:t>(</w:t>
            </w:r>
            <w:proofErr w:type="gramStart"/>
            <w:r>
              <w:t>substantial</w:t>
            </w:r>
            <w:proofErr w:type="gramEnd"/>
            <w:r w:rsidRPr="001F4B47">
              <w:t xml:space="preserve"> heterogeneity; I</w:t>
            </w:r>
            <w:r w:rsidRPr="001F4B47">
              <w:rPr>
                <w:vertAlign w:val="superscript"/>
              </w:rPr>
              <w:t>2</w:t>
            </w:r>
            <w:r w:rsidRPr="001F4B47">
              <w:t xml:space="preserve"> = </w:t>
            </w:r>
            <w:r>
              <w:t>57.8</w:t>
            </w:r>
            <w:r w:rsidRPr="001F4B47">
              <w:t>%)</w:t>
            </w:r>
          </w:p>
        </w:tc>
        <w:tc>
          <w:tcPr>
            <w:tcW w:w="413" w:type="pct"/>
          </w:tcPr>
          <w:p w14:paraId="54DF4AF7" w14:textId="77777777" w:rsidR="00A474A9" w:rsidRPr="0033132F" w:rsidRDefault="00A474A9" w:rsidP="004C79C1">
            <w:pPr>
              <w:pStyle w:val="Tabletext1"/>
              <w:spacing w:before="0" w:after="120"/>
            </w:pPr>
            <w:r>
              <w:t xml:space="preserve">Not </w:t>
            </w:r>
            <w:r w:rsidRPr="0033132F">
              <w:t>serious</w:t>
            </w:r>
          </w:p>
        </w:tc>
        <w:tc>
          <w:tcPr>
            <w:tcW w:w="397" w:type="pct"/>
          </w:tcPr>
          <w:p w14:paraId="154BBE86" w14:textId="77777777" w:rsidR="00A474A9" w:rsidRDefault="00A474A9" w:rsidP="004C79C1">
            <w:pPr>
              <w:pStyle w:val="Tabletext1"/>
              <w:spacing w:before="0" w:after="120"/>
            </w:pPr>
            <w:r>
              <w:t>Serious</w:t>
            </w:r>
          </w:p>
          <w:p w14:paraId="15D8D786" w14:textId="77777777" w:rsidR="00A474A9" w:rsidRPr="0033132F" w:rsidRDefault="00A474A9" w:rsidP="004C79C1">
            <w:pPr>
              <w:pStyle w:val="Tabletext1"/>
              <w:spacing w:before="0" w:after="120"/>
            </w:pPr>
            <w:r>
              <w:t>(wide 95%CIs)</w:t>
            </w:r>
          </w:p>
        </w:tc>
        <w:tc>
          <w:tcPr>
            <w:tcW w:w="597" w:type="pct"/>
          </w:tcPr>
          <w:p w14:paraId="3AD0F60A" w14:textId="77777777" w:rsidR="00A474A9" w:rsidRPr="00183E4D" w:rsidRDefault="00A474A9" w:rsidP="004C79C1">
            <w:pPr>
              <w:pStyle w:val="Tabletext1"/>
              <w:spacing w:before="0" w:after="120"/>
            </w:pPr>
            <w:r>
              <w:t>Publication bias undetected</w:t>
            </w:r>
          </w:p>
        </w:tc>
        <w:tc>
          <w:tcPr>
            <w:tcW w:w="997" w:type="pct"/>
          </w:tcPr>
          <w:p w14:paraId="7D7BA69C" w14:textId="77777777" w:rsidR="00A474A9" w:rsidRDefault="00A474A9" w:rsidP="004C79C1">
            <w:pPr>
              <w:pStyle w:val="Tabletext1"/>
              <w:spacing w:before="0" w:after="120"/>
            </w:pPr>
            <w:r>
              <w:t>58/289 (20%) of ICM had event</w:t>
            </w:r>
          </w:p>
          <w:p w14:paraId="0BB3ABBB" w14:textId="77777777" w:rsidR="00A474A9" w:rsidRDefault="00A474A9" w:rsidP="004C79C1">
            <w:pPr>
              <w:pStyle w:val="Tabletext1"/>
              <w:spacing w:before="0" w:after="120"/>
            </w:pPr>
            <w:r>
              <w:t>17/195 (8.7%) of NIDCM had event</w:t>
            </w:r>
          </w:p>
          <w:p w14:paraId="06CFDE8F" w14:textId="77777777" w:rsidR="00A474A9" w:rsidRPr="00AD3118" w:rsidRDefault="00A474A9" w:rsidP="004C79C1">
            <w:pPr>
              <w:pStyle w:val="Tabletext1"/>
              <w:spacing w:before="0" w:after="120"/>
            </w:pPr>
            <w:r>
              <w:t>RR = 1.86 (0.77, 4.48), k=2</w:t>
            </w:r>
          </w:p>
        </w:tc>
        <w:tc>
          <w:tcPr>
            <w:tcW w:w="348" w:type="pct"/>
          </w:tcPr>
          <w:p w14:paraId="6F99BB36"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77AFE759" w14:textId="77777777" w:rsidR="00A474A9" w:rsidRPr="00183E4D" w:rsidRDefault="00A474A9" w:rsidP="004C79C1">
            <w:pPr>
              <w:pStyle w:val="Tabletext1"/>
              <w:spacing w:before="0" w:after="120"/>
            </w:pPr>
            <w:r>
              <w:t>Critical</w:t>
            </w:r>
            <w:r>
              <w:br/>
              <w:t>(9/9)</w:t>
            </w:r>
          </w:p>
        </w:tc>
      </w:tr>
      <w:tr w:rsidR="00A474A9" w:rsidRPr="00183E4D" w14:paraId="389E56B8" w14:textId="77777777" w:rsidTr="009C085A">
        <w:trPr>
          <w:cantSplit/>
          <w:trHeight w:val="319"/>
        </w:trPr>
        <w:tc>
          <w:tcPr>
            <w:tcW w:w="496" w:type="pct"/>
          </w:tcPr>
          <w:p w14:paraId="093E17A1" w14:textId="77777777" w:rsidR="00A474A9" w:rsidRDefault="00A474A9" w:rsidP="004C79C1">
            <w:pPr>
              <w:pStyle w:val="Tabletext1"/>
              <w:tabs>
                <w:tab w:val="left" w:pos="34"/>
              </w:tabs>
              <w:spacing w:before="0" w:after="120"/>
            </w:pPr>
            <w:r>
              <w:t>SCD</w:t>
            </w:r>
          </w:p>
        </w:tc>
        <w:tc>
          <w:tcPr>
            <w:tcW w:w="524" w:type="pct"/>
          </w:tcPr>
          <w:p w14:paraId="2E1D224D" w14:textId="39BFEC98" w:rsidR="00A474A9" w:rsidRDefault="00CD1ED9" w:rsidP="004C79C1">
            <w:pPr>
              <w:pStyle w:val="Tabletext1"/>
              <w:spacing w:before="0" w:after="120"/>
            </w:pPr>
            <w:r>
              <w:t>K</w:t>
            </w:r>
            <w:r w:rsidR="00A474A9">
              <w:t>=1 prospective cohort (level II)</w:t>
            </w:r>
          </w:p>
        </w:tc>
        <w:tc>
          <w:tcPr>
            <w:tcW w:w="380" w:type="pct"/>
          </w:tcPr>
          <w:p w14:paraId="2EB9C142" w14:textId="77777777" w:rsidR="00A474A9" w:rsidRDefault="00A474A9" w:rsidP="004C79C1">
            <w:pPr>
              <w:pStyle w:val="Tabletext1"/>
              <w:spacing w:before="0" w:after="120"/>
            </w:pPr>
            <w:r>
              <w:t>Not serious</w:t>
            </w:r>
          </w:p>
          <w:p w14:paraId="2737E04A" w14:textId="77777777" w:rsidR="00A474A9" w:rsidRPr="00183E4D" w:rsidRDefault="00A474A9" w:rsidP="004C79C1">
            <w:pPr>
              <w:pStyle w:val="Tabletext1"/>
              <w:spacing w:before="0" w:after="120"/>
            </w:pPr>
            <w:r>
              <w:t>(moderate risk)</w:t>
            </w:r>
          </w:p>
        </w:tc>
        <w:tc>
          <w:tcPr>
            <w:tcW w:w="462" w:type="pct"/>
          </w:tcPr>
          <w:p w14:paraId="25A42C29" w14:textId="77777777" w:rsidR="00A474A9" w:rsidRPr="00183E4D" w:rsidRDefault="00A474A9" w:rsidP="004C79C1">
            <w:pPr>
              <w:pStyle w:val="Tabletext1"/>
              <w:spacing w:before="0" w:after="120"/>
            </w:pPr>
            <w:r>
              <w:t>Not serious</w:t>
            </w:r>
          </w:p>
        </w:tc>
        <w:tc>
          <w:tcPr>
            <w:tcW w:w="413" w:type="pct"/>
          </w:tcPr>
          <w:p w14:paraId="263ED9FE" w14:textId="77777777" w:rsidR="00A474A9" w:rsidRPr="0033132F" w:rsidRDefault="00A474A9" w:rsidP="004C79C1">
            <w:pPr>
              <w:pStyle w:val="Tabletext1"/>
              <w:spacing w:before="0" w:after="120"/>
            </w:pPr>
            <w:r>
              <w:t xml:space="preserve">Not </w:t>
            </w:r>
            <w:r w:rsidRPr="0033132F">
              <w:t>serious</w:t>
            </w:r>
          </w:p>
        </w:tc>
        <w:tc>
          <w:tcPr>
            <w:tcW w:w="397" w:type="pct"/>
          </w:tcPr>
          <w:p w14:paraId="543DA87C" w14:textId="77777777" w:rsidR="00A474A9" w:rsidRDefault="00A474A9" w:rsidP="004C79C1">
            <w:pPr>
              <w:pStyle w:val="Tabletext1"/>
              <w:spacing w:before="0" w:after="120"/>
            </w:pPr>
            <w:r>
              <w:t>Serious</w:t>
            </w:r>
          </w:p>
          <w:p w14:paraId="5C757443" w14:textId="77777777" w:rsidR="00A474A9" w:rsidRPr="0033132F" w:rsidRDefault="00A474A9" w:rsidP="004C79C1">
            <w:pPr>
              <w:pStyle w:val="Tabletext1"/>
              <w:spacing w:before="0" w:after="120"/>
            </w:pPr>
            <w:r>
              <w:t>(wide 95%CIs)</w:t>
            </w:r>
          </w:p>
        </w:tc>
        <w:tc>
          <w:tcPr>
            <w:tcW w:w="597" w:type="pct"/>
          </w:tcPr>
          <w:p w14:paraId="20FA18AA" w14:textId="77777777" w:rsidR="00A474A9" w:rsidRPr="00183E4D" w:rsidRDefault="00A474A9" w:rsidP="004C79C1">
            <w:pPr>
              <w:pStyle w:val="Tabletext1"/>
              <w:spacing w:before="0" w:after="120"/>
            </w:pPr>
            <w:r>
              <w:t>Publication bias undetected</w:t>
            </w:r>
          </w:p>
        </w:tc>
        <w:tc>
          <w:tcPr>
            <w:tcW w:w="997" w:type="pct"/>
          </w:tcPr>
          <w:p w14:paraId="359101EF" w14:textId="77777777" w:rsidR="00A474A9" w:rsidRDefault="00A474A9" w:rsidP="004C79C1">
            <w:pPr>
              <w:pStyle w:val="Tabletext1"/>
              <w:spacing w:before="0" w:after="120"/>
            </w:pPr>
            <w:r>
              <w:t>11/161 (6.8%) of ICM had event</w:t>
            </w:r>
          </w:p>
          <w:p w14:paraId="1703EEF1" w14:textId="77777777" w:rsidR="00A474A9" w:rsidRDefault="00A474A9" w:rsidP="004C79C1">
            <w:pPr>
              <w:pStyle w:val="Tabletext1"/>
              <w:spacing w:before="0" w:after="120"/>
            </w:pPr>
            <w:r>
              <w:t>3/97 (3.1%) of NIDCM had event</w:t>
            </w:r>
          </w:p>
          <w:p w14:paraId="0CF2411C" w14:textId="77777777" w:rsidR="00A474A9" w:rsidRPr="00AD3118" w:rsidRDefault="00A474A9" w:rsidP="004C79C1">
            <w:pPr>
              <w:pStyle w:val="Tabletext1"/>
              <w:spacing w:before="0" w:after="120"/>
            </w:pPr>
            <w:r>
              <w:t>RR = 2.21 (0.63, 7.72), k=1</w:t>
            </w:r>
          </w:p>
        </w:tc>
        <w:tc>
          <w:tcPr>
            <w:tcW w:w="348" w:type="pct"/>
          </w:tcPr>
          <w:p w14:paraId="44B8936E"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p>
        </w:tc>
        <w:tc>
          <w:tcPr>
            <w:tcW w:w="385" w:type="pct"/>
          </w:tcPr>
          <w:p w14:paraId="77FCCF01" w14:textId="77777777" w:rsidR="00A474A9" w:rsidRPr="00183E4D" w:rsidRDefault="00A474A9" w:rsidP="004C79C1">
            <w:pPr>
              <w:pStyle w:val="Tabletext1"/>
              <w:spacing w:before="0" w:after="120"/>
            </w:pPr>
            <w:r>
              <w:t>Critical</w:t>
            </w:r>
            <w:r>
              <w:br/>
              <w:t>(9/9)</w:t>
            </w:r>
          </w:p>
        </w:tc>
      </w:tr>
      <w:tr w:rsidR="00A474A9" w:rsidRPr="00183E4D" w14:paraId="69DCDE78" w14:textId="77777777" w:rsidTr="009C085A">
        <w:trPr>
          <w:cantSplit/>
          <w:trHeight w:val="319"/>
        </w:trPr>
        <w:tc>
          <w:tcPr>
            <w:tcW w:w="496" w:type="pct"/>
          </w:tcPr>
          <w:p w14:paraId="2D71A657" w14:textId="77777777" w:rsidR="00A474A9" w:rsidRDefault="00A474A9" w:rsidP="004C79C1">
            <w:pPr>
              <w:spacing w:after="120" w:line="240" w:lineRule="auto"/>
            </w:pPr>
            <w:r>
              <w:rPr>
                <w:rFonts w:ascii="Arial Narrow" w:hAnsi="Arial Narrow"/>
                <w:color w:val="000000"/>
                <w:sz w:val="20"/>
                <w:szCs w:val="20"/>
              </w:rPr>
              <w:t>Appropriate ICD discharge</w:t>
            </w:r>
          </w:p>
        </w:tc>
        <w:tc>
          <w:tcPr>
            <w:tcW w:w="524" w:type="pct"/>
          </w:tcPr>
          <w:p w14:paraId="7C0714BE" w14:textId="12E463BB" w:rsidR="00A474A9" w:rsidRDefault="00CD1ED9" w:rsidP="004C79C1">
            <w:pPr>
              <w:pStyle w:val="Tabletext1"/>
              <w:spacing w:before="0" w:after="120"/>
            </w:pPr>
            <w:r>
              <w:t>K</w:t>
            </w:r>
            <w:r w:rsidR="00A474A9">
              <w:t>=3 prospective cohort (level II)</w:t>
            </w:r>
          </w:p>
        </w:tc>
        <w:tc>
          <w:tcPr>
            <w:tcW w:w="380" w:type="pct"/>
          </w:tcPr>
          <w:p w14:paraId="36B3C59E" w14:textId="77777777" w:rsidR="00A474A9" w:rsidRDefault="00A474A9" w:rsidP="004C79C1">
            <w:pPr>
              <w:pStyle w:val="Tabletext1"/>
              <w:spacing w:before="0" w:after="120"/>
            </w:pPr>
            <w:r>
              <w:t>Not serious</w:t>
            </w:r>
          </w:p>
          <w:p w14:paraId="29B11D56" w14:textId="77777777" w:rsidR="00A474A9" w:rsidRPr="00183E4D" w:rsidRDefault="00A474A9" w:rsidP="004C79C1">
            <w:pPr>
              <w:pStyle w:val="Tabletext1"/>
              <w:spacing w:before="0" w:after="120"/>
            </w:pPr>
            <w:r>
              <w:t>(0/3 high risk)</w:t>
            </w:r>
          </w:p>
        </w:tc>
        <w:tc>
          <w:tcPr>
            <w:tcW w:w="462" w:type="pct"/>
          </w:tcPr>
          <w:p w14:paraId="0ABF250B" w14:textId="77777777" w:rsidR="00A474A9" w:rsidRDefault="00A474A9" w:rsidP="004C79C1">
            <w:pPr>
              <w:pStyle w:val="Tabletext1"/>
              <w:spacing w:before="0" w:after="120"/>
            </w:pPr>
            <w:r>
              <w:t>Not serious</w:t>
            </w:r>
          </w:p>
          <w:p w14:paraId="61FCBE55" w14:textId="77777777" w:rsidR="00A474A9" w:rsidRPr="00183E4D" w:rsidRDefault="00A474A9" w:rsidP="004C79C1">
            <w:pPr>
              <w:pStyle w:val="Tabletext1"/>
              <w:spacing w:before="0" w:after="120"/>
            </w:pPr>
            <w:r w:rsidRPr="001F4B47">
              <w:t>(</w:t>
            </w:r>
            <w:proofErr w:type="gramStart"/>
            <w:r>
              <w:t>moderate</w:t>
            </w:r>
            <w:proofErr w:type="gramEnd"/>
            <w:r w:rsidRPr="001F4B47">
              <w:t xml:space="preserve"> heterogeneity; I</w:t>
            </w:r>
            <w:r w:rsidRPr="001F4B47">
              <w:rPr>
                <w:vertAlign w:val="superscript"/>
              </w:rPr>
              <w:t>2</w:t>
            </w:r>
            <w:r w:rsidRPr="001F4B47">
              <w:t xml:space="preserve"> = </w:t>
            </w:r>
            <w:r>
              <w:t>32.0</w:t>
            </w:r>
            <w:r w:rsidRPr="001F4B47">
              <w:t>%)</w:t>
            </w:r>
          </w:p>
        </w:tc>
        <w:tc>
          <w:tcPr>
            <w:tcW w:w="413" w:type="pct"/>
          </w:tcPr>
          <w:p w14:paraId="381EAA95" w14:textId="77777777" w:rsidR="00A474A9" w:rsidRPr="0033132F" w:rsidRDefault="00A474A9" w:rsidP="004C79C1">
            <w:pPr>
              <w:pStyle w:val="Tabletext1"/>
              <w:spacing w:before="0" w:after="120"/>
            </w:pPr>
            <w:r>
              <w:t xml:space="preserve">Not </w:t>
            </w:r>
            <w:r w:rsidRPr="0033132F">
              <w:t>serious</w:t>
            </w:r>
          </w:p>
        </w:tc>
        <w:tc>
          <w:tcPr>
            <w:tcW w:w="397" w:type="pct"/>
          </w:tcPr>
          <w:p w14:paraId="0B82D898" w14:textId="77777777" w:rsidR="00A474A9" w:rsidRDefault="00A474A9" w:rsidP="004C79C1">
            <w:pPr>
              <w:pStyle w:val="Tabletext1"/>
              <w:spacing w:before="0" w:after="120"/>
            </w:pPr>
            <w:r>
              <w:t>Serious</w:t>
            </w:r>
          </w:p>
          <w:p w14:paraId="35BBF71E" w14:textId="77777777" w:rsidR="00A474A9" w:rsidRPr="0033132F" w:rsidRDefault="00A474A9" w:rsidP="004C79C1">
            <w:pPr>
              <w:pStyle w:val="Tabletext1"/>
              <w:spacing w:before="0" w:after="120"/>
            </w:pPr>
            <w:r>
              <w:t>(wide 95%CIs)</w:t>
            </w:r>
          </w:p>
        </w:tc>
        <w:tc>
          <w:tcPr>
            <w:tcW w:w="597" w:type="pct"/>
          </w:tcPr>
          <w:p w14:paraId="070400B6" w14:textId="77777777" w:rsidR="00A474A9" w:rsidRPr="00183E4D" w:rsidRDefault="00A474A9" w:rsidP="004C79C1">
            <w:pPr>
              <w:pStyle w:val="Tabletext1"/>
              <w:spacing w:before="0" w:after="120"/>
            </w:pPr>
            <w:r>
              <w:t>Publication bias undetected</w:t>
            </w:r>
          </w:p>
        </w:tc>
        <w:tc>
          <w:tcPr>
            <w:tcW w:w="997" w:type="pct"/>
          </w:tcPr>
          <w:p w14:paraId="3F9BEC2E" w14:textId="77777777" w:rsidR="00A474A9" w:rsidRDefault="00A474A9" w:rsidP="004C79C1">
            <w:pPr>
              <w:pStyle w:val="Tabletext1"/>
              <w:spacing w:before="0" w:after="120"/>
            </w:pPr>
            <w:r>
              <w:t>26/220 (12%) of ICM had event</w:t>
            </w:r>
          </w:p>
          <w:p w14:paraId="5BC0850A" w14:textId="77777777" w:rsidR="00A474A9" w:rsidRDefault="00A474A9" w:rsidP="004C79C1">
            <w:pPr>
              <w:pStyle w:val="Tabletext1"/>
              <w:spacing w:before="0" w:after="120"/>
            </w:pPr>
            <w:r>
              <w:t>28/196 (14%) of NIDCM had event</w:t>
            </w:r>
          </w:p>
          <w:p w14:paraId="03BCB2CB" w14:textId="77777777" w:rsidR="00A474A9" w:rsidRPr="00AD3118" w:rsidRDefault="00A474A9" w:rsidP="004C79C1">
            <w:pPr>
              <w:pStyle w:val="Tabletext1"/>
              <w:spacing w:before="0" w:after="120"/>
            </w:pPr>
            <w:r>
              <w:t>RR = 0.82 (0.41, 1.61), k=2</w:t>
            </w:r>
          </w:p>
        </w:tc>
        <w:tc>
          <w:tcPr>
            <w:tcW w:w="348" w:type="pct"/>
          </w:tcPr>
          <w:p w14:paraId="7923C745"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6CA0A4BD" w14:textId="77777777" w:rsidR="00A474A9" w:rsidRPr="00183E4D" w:rsidRDefault="00A474A9" w:rsidP="004C79C1">
            <w:pPr>
              <w:pStyle w:val="Tabletext1"/>
              <w:spacing w:before="0" w:after="120"/>
            </w:pPr>
            <w:r>
              <w:t>Important</w:t>
            </w:r>
            <w:r>
              <w:br/>
              <w:t>(6/9)</w:t>
            </w:r>
          </w:p>
        </w:tc>
      </w:tr>
      <w:tr w:rsidR="00A474A9" w:rsidRPr="00183E4D" w14:paraId="4004A5F3" w14:textId="77777777" w:rsidTr="009C085A">
        <w:trPr>
          <w:trHeight w:val="319"/>
        </w:trPr>
        <w:tc>
          <w:tcPr>
            <w:tcW w:w="496" w:type="pct"/>
          </w:tcPr>
          <w:p w14:paraId="594F8C84" w14:textId="77777777" w:rsidR="00A474A9" w:rsidRPr="00524FC1" w:rsidRDefault="00A474A9" w:rsidP="004C79C1">
            <w:pPr>
              <w:pStyle w:val="Tabletext1"/>
              <w:tabs>
                <w:tab w:val="left" w:pos="34"/>
              </w:tabs>
              <w:spacing w:before="0" w:after="120"/>
            </w:pPr>
            <w:r>
              <w:t>SCD</w:t>
            </w:r>
            <w:r w:rsidRPr="00703297">
              <w:t xml:space="preserve"> or ICD discharge</w:t>
            </w:r>
          </w:p>
        </w:tc>
        <w:tc>
          <w:tcPr>
            <w:tcW w:w="524" w:type="pct"/>
          </w:tcPr>
          <w:p w14:paraId="5BCE8582" w14:textId="5ED2AE9C" w:rsidR="00A474A9" w:rsidRDefault="00CD1ED9" w:rsidP="004C79C1">
            <w:pPr>
              <w:pStyle w:val="Tabletext1"/>
              <w:spacing w:before="0" w:after="120"/>
            </w:pPr>
            <w:r>
              <w:t>K</w:t>
            </w:r>
            <w:r w:rsidR="00A474A9">
              <w:t>=2 prospective cohort (level II)</w:t>
            </w:r>
          </w:p>
        </w:tc>
        <w:tc>
          <w:tcPr>
            <w:tcW w:w="380" w:type="pct"/>
          </w:tcPr>
          <w:p w14:paraId="1CE4B91A" w14:textId="77777777" w:rsidR="00A474A9" w:rsidRDefault="00A474A9" w:rsidP="004C79C1">
            <w:pPr>
              <w:pStyle w:val="Tabletext1"/>
              <w:spacing w:before="0" w:after="120"/>
            </w:pPr>
            <w:r>
              <w:t>Not serious</w:t>
            </w:r>
          </w:p>
          <w:p w14:paraId="0D9DCB01" w14:textId="77777777" w:rsidR="00A474A9" w:rsidRPr="00183E4D" w:rsidRDefault="00A474A9" w:rsidP="004C79C1">
            <w:pPr>
              <w:pStyle w:val="Tabletext1"/>
              <w:spacing w:before="0" w:after="120"/>
            </w:pPr>
            <w:r>
              <w:t>(0/2 high risk)</w:t>
            </w:r>
          </w:p>
        </w:tc>
        <w:tc>
          <w:tcPr>
            <w:tcW w:w="462" w:type="pct"/>
          </w:tcPr>
          <w:p w14:paraId="79818D72" w14:textId="77777777" w:rsidR="00A474A9" w:rsidRDefault="00A474A9" w:rsidP="004C79C1">
            <w:pPr>
              <w:pStyle w:val="Tabletext1"/>
              <w:spacing w:before="0" w:after="120"/>
            </w:pPr>
            <w:r>
              <w:t>Very serious</w:t>
            </w:r>
          </w:p>
          <w:p w14:paraId="7A1C556E" w14:textId="77777777" w:rsidR="00A474A9" w:rsidRPr="00183E4D" w:rsidRDefault="00A474A9" w:rsidP="004C79C1">
            <w:pPr>
              <w:pStyle w:val="Tabletext1"/>
              <w:spacing w:before="0" w:after="120"/>
            </w:pPr>
            <w:r w:rsidRPr="001F4B47">
              <w:t>(</w:t>
            </w:r>
            <w:proofErr w:type="gramStart"/>
            <w:r>
              <w:t>considerable</w:t>
            </w:r>
            <w:proofErr w:type="gramEnd"/>
            <w:r w:rsidRPr="001F4B47">
              <w:t xml:space="preserve"> heterogeneity; I</w:t>
            </w:r>
            <w:r w:rsidRPr="001F4B47">
              <w:rPr>
                <w:vertAlign w:val="superscript"/>
              </w:rPr>
              <w:t>2</w:t>
            </w:r>
            <w:r w:rsidRPr="001F4B47">
              <w:t xml:space="preserve"> = </w:t>
            </w:r>
            <w:r>
              <w:t>94.6</w:t>
            </w:r>
            <w:r w:rsidRPr="001F4B47">
              <w:t>%)</w:t>
            </w:r>
          </w:p>
        </w:tc>
        <w:tc>
          <w:tcPr>
            <w:tcW w:w="413" w:type="pct"/>
          </w:tcPr>
          <w:p w14:paraId="2C066974" w14:textId="77777777" w:rsidR="00A474A9" w:rsidRPr="0033132F" w:rsidRDefault="00A474A9" w:rsidP="004C79C1">
            <w:pPr>
              <w:pStyle w:val="Tabletext1"/>
              <w:spacing w:before="0" w:after="120"/>
            </w:pPr>
            <w:r>
              <w:t xml:space="preserve">Not </w:t>
            </w:r>
            <w:r w:rsidRPr="0033132F">
              <w:t>serious</w:t>
            </w:r>
          </w:p>
        </w:tc>
        <w:tc>
          <w:tcPr>
            <w:tcW w:w="397" w:type="pct"/>
          </w:tcPr>
          <w:p w14:paraId="0D0850CC" w14:textId="77777777" w:rsidR="00A474A9" w:rsidRDefault="00A474A9" w:rsidP="004C79C1">
            <w:pPr>
              <w:pStyle w:val="Tabletext1"/>
              <w:spacing w:before="0" w:after="120"/>
            </w:pPr>
            <w:r>
              <w:t>Very serious</w:t>
            </w:r>
          </w:p>
          <w:p w14:paraId="13106ACB" w14:textId="77777777" w:rsidR="00A474A9" w:rsidRPr="0033132F" w:rsidRDefault="00A474A9" w:rsidP="004C79C1">
            <w:pPr>
              <w:pStyle w:val="Tabletext1"/>
              <w:spacing w:before="0" w:after="120"/>
            </w:pPr>
            <w:r>
              <w:t>(very wide 95%CIs)</w:t>
            </w:r>
          </w:p>
        </w:tc>
        <w:tc>
          <w:tcPr>
            <w:tcW w:w="597" w:type="pct"/>
          </w:tcPr>
          <w:p w14:paraId="77DDA890" w14:textId="77777777" w:rsidR="00A474A9" w:rsidRPr="00183E4D" w:rsidRDefault="00A474A9" w:rsidP="004C79C1">
            <w:pPr>
              <w:pStyle w:val="Tabletext1"/>
              <w:spacing w:before="0" w:after="120"/>
            </w:pPr>
            <w:r>
              <w:t>Publication bias undetected</w:t>
            </w:r>
          </w:p>
        </w:tc>
        <w:tc>
          <w:tcPr>
            <w:tcW w:w="997" w:type="pct"/>
          </w:tcPr>
          <w:p w14:paraId="0D988CB5" w14:textId="77777777" w:rsidR="00A474A9" w:rsidRDefault="00A474A9" w:rsidP="004C79C1">
            <w:pPr>
              <w:pStyle w:val="Tabletext1"/>
              <w:spacing w:before="0" w:after="120"/>
            </w:pPr>
            <w:r>
              <w:t>76/196 (39%) of ICM had event</w:t>
            </w:r>
          </w:p>
          <w:p w14:paraId="305AC0EA" w14:textId="77777777" w:rsidR="00A474A9" w:rsidRDefault="00A474A9" w:rsidP="004C79C1">
            <w:pPr>
              <w:pStyle w:val="Tabletext1"/>
              <w:spacing w:before="0" w:after="120"/>
            </w:pPr>
            <w:r>
              <w:t>26/163 (16%) of NIDCM had event</w:t>
            </w:r>
          </w:p>
          <w:p w14:paraId="24A79D96" w14:textId="77777777" w:rsidR="00A474A9" w:rsidRPr="00AD3118" w:rsidRDefault="00A474A9" w:rsidP="004C79C1">
            <w:pPr>
              <w:pStyle w:val="Tabletext1"/>
              <w:spacing w:before="0" w:after="120"/>
            </w:pPr>
            <w:r>
              <w:t>RR = 2.66 (0.43, 16.5), k=2</w:t>
            </w:r>
          </w:p>
        </w:tc>
        <w:tc>
          <w:tcPr>
            <w:tcW w:w="348" w:type="pct"/>
          </w:tcPr>
          <w:p w14:paraId="4D554F65" w14:textId="77777777" w:rsidR="00A474A9" w:rsidRPr="00FA7EC9" w:rsidRDefault="00A474A9" w:rsidP="004C79C1">
            <w:pPr>
              <w:pStyle w:val="Tabletext1"/>
              <w:spacing w:before="0" w:after="120"/>
              <w:rPr>
                <w:rFonts w:ascii="Cambria Math" w:hAnsi="Cambria Math" w:cs="Cambria Math"/>
              </w:rPr>
            </w:pPr>
            <w:r>
              <w:rPr>
                <w:rFonts w:cs="Cambria Math"/>
              </w:rPr>
              <w:t>Very 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5CD3AF9B" w14:textId="77777777" w:rsidR="00A474A9" w:rsidRPr="00183E4D" w:rsidRDefault="00A474A9" w:rsidP="004C79C1">
            <w:pPr>
              <w:pStyle w:val="Tabletext1"/>
              <w:spacing w:before="0" w:after="120"/>
            </w:pPr>
            <w:r>
              <w:t>Important</w:t>
            </w:r>
            <w:r>
              <w:br/>
              <w:t>(6/9)</w:t>
            </w:r>
          </w:p>
        </w:tc>
      </w:tr>
      <w:tr w:rsidR="00A474A9" w:rsidRPr="00183E4D" w14:paraId="09162E71" w14:textId="77777777" w:rsidTr="009C085A">
        <w:trPr>
          <w:trHeight w:val="319"/>
        </w:trPr>
        <w:tc>
          <w:tcPr>
            <w:tcW w:w="496" w:type="pct"/>
          </w:tcPr>
          <w:p w14:paraId="0D5F308D" w14:textId="77777777" w:rsidR="00A474A9" w:rsidRDefault="00A474A9" w:rsidP="004C79C1">
            <w:pPr>
              <w:pStyle w:val="Tabletext1"/>
              <w:spacing w:before="0" w:after="120"/>
            </w:pPr>
            <w:r w:rsidRPr="00D33ABD">
              <w:t>VT/VA</w:t>
            </w:r>
            <w:r>
              <w:t xml:space="preserve"> events</w:t>
            </w:r>
          </w:p>
        </w:tc>
        <w:tc>
          <w:tcPr>
            <w:tcW w:w="524" w:type="pct"/>
          </w:tcPr>
          <w:p w14:paraId="17D63976" w14:textId="538180EB" w:rsidR="00A474A9" w:rsidRDefault="00CD1ED9" w:rsidP="004C79C1">
            <w:pPr>
              <w:pStyle w:val="Tabletext1"/>
              <w:spacing w:before="0" w:after="120"/>
            </w:pPr>
            <w:r>
              <w:t>K</w:t>
            </w:r>
            <w:r w:rsidR="00A474A9">
              <w:t>=1 prospective cohort (level II)</w:t>
            </w:r>
          </w:p>
        </w:tc>
        <w:tc>
          <w:tcPr>
            <w:tcW w:w="380" w:type="pct"/>
          </w:tcPr>
          <w:p w14:paraId="10672C1A" w14:textId="77777777" w:rsidR="00A474A9" w:rsidRDefault="00A474A9" w:rsidP="004C79C1">
            <w:pPr>
              <w:pStyle w:val="Tabletext1"/>
              <w:spacing w:before="0" w:after="120"/>
            </w:pPr>
            <w:r>
              <w:t>Not serious</w:t>
            </w:r>
          </w:p>
          <w:p w14:paraId="611398D1" w14:textId="77777777" w:rsidR="00A474A9" w:rsidRPr="00183E4D" w:rsidRDefault="00A474A9" w:rsidP="004C79C1">
            <w:pPr>
              <w:pStyle w:val="Tabletext1"/>
              <w:spacing w:before="0" w:after="120"/>
            </w:pPr>
            <w:r>
              <w:t>(moderate risk)</w:t>
            </w:r>
          </w:p>
        </w:tc>
        <w:tc>
          <w:tcPr>
            <w:tcW w:w="462" w:type="pct"/>
          </w:tcPr>
          <w:p w14:paraId="47DA6CAE" w14:textId="77777777" w:rsidR="00A474A9" w:rsidRPr="00183E4D" w:rsidRDefault="00A474A9" w:rsidP="004C79C1">
            <w:pPr>
              <w:pStyle w:val="Tabletext1"/>
              <w:spacing w:before="0" w:after="120"/>
            </w:pPr>
            <w:r>
              <w:t>Not serious</w:t>
            </w:r>
          </w:p>
        </w:tc>
        <w:tc>
          <w:tcPr>
            <w:tcW w:w="413" w:type="pct"/>
          </w:tcPr>
          <w:p w14:paraId="2188387D" w14:textId="77777777" w:rsidR="00A474A9" w:rsidRPr="0033132F" w:rsidRDefault="00A474A9" w:rsidP="004C79C1">
            <w:pPr>
              <w:pStyle w:val="Tabletext1"/>
              <w:spacing w:before="0" w:after="120"/>
            </w:pPr>
            <w:r>
              <w:t xml:space="preserve">Not </w:t>
            </w:r>
            <w:r w:rsidRPr="0033132F">
              <w:t>serious</w:t>
            </w:r>
          </w:p>
        </w:tc>
        <w:tc>
          <w:tcPr>
            <w:tcW w:w="397" w:type="pct"/>
          </w:tcPr>
          <w:p w14:paraId="01EBCEC2" w14:textId="77777777" w:rsidR="00A474A9" w:rsidRDefault="00A474A9" w:rsidP="004C79C1">
            <w:pPr>
              <w:pStyle w:val="Tabletext1"/>
              <w:spacing w:before="0" w:after="120"/>
            </w:pPr>
            <w:r>
              <w:t>Very serious</w:t>
            </w:r>
          </w:p>
          <w:p w14:paraId="4E67968F" w14:textId="77777777" w:rsidR="00A474A9" w:rsidRPr="0033132F" w:rsidRDefault="00A474A9" w:rsidP="004C79C1">
            <w:pPr>
              <w:pStyle w:val="Tabletext1"/>
              <w:spacing w:before="0" w:after="120"/>
            </w:pPr>
            <w:r>
              <w:t>(very wide 95%CIs)</w:t>
            </w:r>
          </w:p>
        </w:tc>
        <w:tc>
          <w:tcPr>
            <w:tcW w:w="597" w:type="pct"/>
          </w:tcPr>
          <w:p w14:paraId="7707BAA0" w14:textId="77777777" w:rsidR="00A474A9" w:rsidRPr="00183E4D" w:rsidRDefault="00A474A9" w:rsidP="004C79C1">
            <w:pPr>
              <w:pStyle w:val="Tabletext1"/>
              <w:spacing w:before="0" w:after="120"/>
            </w:pPr>
            <w:r>
              <w:t>Publication bias undetected</w:t>
            </w:r>
          </w:p>
        </w:tc>
        <w:tc>
          <w:tcPr>
            <w:tcW w:w="997" w:type="pct"/>
          </w:tcPr>
          <w:p w14:paraId="7E8F7253" w14:textId="77777777" w:rsidR="00A474A9" w:rsidRDefault="00A474A9" w:rsidP="004C79C1">
            <w:pPr>
              <w:pStyle w:val="Tabletext1"/>
              <w:spacing w:before="0" w:after="120"/>
            </w:pPr>
            <w:r>
              <w:t>3/161 (1.9%) of ICM had event</w:t>
            </w:r>
          </w:p>
          <w:p w14:paraId="6021D110" w14:textId="77777777" w:rsidR="00A474A9" w:rsidRDefault="00A474A9" w:rsidP="004C79C1">
            <w:pPr>
              <w:pStyle w:val="Tabletext1"/>
              <w:spacing w:before="0" w:after="120"/>
            </w:pPr>
            <w:r>
              <w:t>2/97 (2.1%) of NIDCM had event</w:t>
            </w:r>
          </w:p>
          <w:p w14:paraId="0C5E36D8" w14:textId="77777777" w:rsidR="00A474A9" w:rsidRPr="00AD3118" w:rsidRDefault="00A474A9" w:rsidP="004C79C1">
            <w:pPr>
              <w:pStyle w:val="Tabletext1"/>
              <w:spacing w:before="0" w:after="120"/>
            </w:pPr>
            <w:r>
              <w:t>RR = 0.90 (0.15, 5.31), k=1</w:t>
            </w:r>
          </w:p>
        </w:tc>
        <w:tc>
          <w:tcPr>
            <w:tcW w:w="348" w:type="pct"/>
          </w:tcPr>
          <w:p w14:paraId="156AC2C1" w14:textId="77777777" w:rsidR="00A474A9" w:rsidRPr="00FA7EC9" w:rsidRDefault="00A474A9" w:rsidP="004C79C1">
            <w:pPr>
              <w:pStyle w:val="Tabletext1"/>
              <w:spacing w:before="0" w:after="120"/>
              <w:rPr>
                <w:rFonts w:ascii="Cambria Math" w:hAnsi="Cambria Math" w:cs="Cambria Math"/>
              </w:rPr>
            </w:pPr>
            <w:r>
              <w:rPr>
                <w:rFonts w:cs="Cambria Math"/>
              </w:rPr>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3BBE2820" w14:textId="77777777" w:rsidR="00A474A9" w:rsidRPr="00183E4D" w:rsidRDefault="00A474A9" w:rsidP="004C79C1">
            <w:pPr>
              <w:pStyle w:val="Tabletext1"/>
              <w:spacing w:before="0" w:after="120"/>
            </w:pPr>
            <w:r>
              <w:t>Important</w:t>
            </w:r>
            <w:r>
              <w:br/>
              <w:t>(5/9)</w:t>
            </w:r>
          </w:p>
        </w:tc>
      </w:tr>
      <w:tr w:rsidR="00A474A9" w:rsidRPr="00183E4D" w14:paraId="783162EE" w14:textId="77777777" w:rsidTr="009C085A">
        <w:trPr>
          <w:trHeight w:val="319"/>
        </w:trPr>
        <w:tc>
          <w:tcPr>
            <w:tcW w:w="496" w:type="pct"/>
          </w:tcPr>
          <w:p w14:paraId="33005E39" w14:textId="77777777" w:rsidR="00A474A9" w:rsidRPr="00524FC1" w:rsidRDefault="00A474A9" w:rsidP="004C79C1">
            <w:pPr>
              <w:pStyle w:val="Tabletext1"/>
              <w:tabs>
                <w:tab w:val="left" w:pos="34"/>
              </w:tabs>
              <w:spacing w:before="0" w:after="120"/>
            </w:pPr>
            <w:r w:rsidRPr="00D33ABD">
              <w:t>Major arrhythmic events</w:t>
            </w:r>
          </w:p>
        </w:tc>
        <w:tc>
          <w:tcPr>
            <w:tcW w:w="524" w:type="pct"/>
          </w:tcPr>
          <w:p w14:paraId="302B7AE3" w14:textId="2A3BA6F1" w:rsidR="00A474A9" w:rsidRDefault="00CD1ED9" w:rsidP="004C79C1">
            <w:pPr>
              <w:pStyle w:val="Tabletext1"/>
              <w:spacing w:before="0" w:after="120"/>
            </w:pPr>
            <w:r>
              <w:t>K</w:t>
            </w:r>
            <w:r w:rsidR="00A474A9">
              <w:t>=1 prospective cohort (level II)</w:t>
            </w:r>
          </w:p>
        </w:tc>
        <w:tc>
          <w:tcPr>
            <w:tcW w:w="380" w:type="pct"/>
          </w:tcPr>
          <w:p w14:paraId="0F162990" w14:textId="77777777" w:rsidR="00A474A9" w:rsidRDefault="00A474A9" w:rsidP="004C79C1">
            <w:pPr>
              <w:pStyle w:val="Tabletext1"/>
              <w:spacing w:before="0" w:after="120"/>
            </w:pPr>
            <w:r>
              <w:t>Not serious</w:t>
            </w:r>
          </w:p>
          <w:p w14:paraId="60453DA5" w14:textId="77777777" w:rsidR="00A474A9" w:rsidRPr="00183E4D" w:rsidRDefault="00A474A9" w:rsidP="004C79C1">
            <w:pPr>
              <w:pStyle w:val="Tabletext1"/>
              <w:spacing w:before="0" w:after="120"/>
            </w:pPr>
            <w:r>
              <w:t xml:space="preserve">(moderate </w:t>
            </w:r>
            <w:r>
              <w:lastRenderedPageBreak/>
              <w:t>risk)</w:t>
            </w:r>
          </w:p>
        </w:tc>
        <w:tc>
          <w:tcPr>
            <w:tcW w:w="462" w:type="pct"/>
          </w:tcPr>
          <w:p w14:paraId="5B5AD5F4" w14:textId="77777777" w:rsidR="00A474A9" w:rsidRPr="00183E4D" w:rsidRDefault="00A474A9" w:rsidP="004C79C1">
            <w:pPr>
              <w:pStyle w:val="Tabletext1"/>
              <w:spacing w:before="0" w:after="120"/>
            </w:pPr>
            <w:r>
              <w:lastRenderedPageBreak/>
              <w:t>Not serious</w:t>
            </w:r>
          </w:p>
        </w:tc>
        <w:tc>
          <w:tcPr>
            <w:tcW w:w="413" w:type="pct"/>
          </w:tcPr>
          <w:p w14:paraId="46CEEAE0" w14:textId="77777777" w:rsidR="00A474A9" w:rsidRPr="0033132F" w:rsidRDefault="00A474A9" w:rsidP="004C79C1">
            <w:pPr>
              <w:pStyle w:val="Tabletext1"/>
              <w:spacing w:before="0" w:after="120"/>
            </w:pPr>
            <w:r>
              <w:t xml:space="preserve">Not </w:t>
            </w:r>
            <w:r w:rsidRPr="0033132F">
              <w:t>serious</w:t>
            </w:r>
          </w:p>
        </w:tc>
        <w:tc>
          <w:tcPr>
            <w:tcW w:w="397" w:type="pct"/>
          </w:tcPr>
          <w:p w14:paraId="0B15692C" w14:textId="77777777" w:rsidR="00A474A9" w:rsidRDefault="00A474A9" w:rsidP="004C79C1">
            <w:pPr>
              <w:pStyle w:val="Tabletext1"/>
              <w:spacing w:before="0" w:after="120"/>
            </w:pPr>
            <w:r>
              <w:t>Very serious</w:t>
            </w:r>
          </w:p>
          <w:p w14:paraId="4F706FA3" w14:textId="77777777" w:rsidR="00A474A9" w:rsidRPr="0033132F" w:rsidRDefault="00A474A9" w:rsidP="004C79C1">
            <w:pPr>
              <w:pStyle w:val="Tabletext1"/>
              <w:spacing w:before="0" w:after="120"/>
            </w:pPr>
            <w:r>
              <w:t xml:space="preserve">(very wide </w:t>
            </w:r>
            <w:r>
              <w:lastRenderedPageBreak/>
              <w:t>95%CIs)</w:t>
            </w:r>
          </w:p>
        </w:tc>
        <w:tc>
          <w:tcPr>
            <w:tcW w:w="597" w:type="pct"/>
          </w:tcPr>
          <w:p w14:paraId="277791F7" w14:textId="77777777" w:rsidR="00A474A9" w:rsidRPr="00183E4D" w:rsidRDefault="00A474A9" w:rsidP="004C79C1">
            <w:pPr>
              <w:pStyle w:val="Tabletext1"/>
              <w:spacing w:before="0" w:after="120"/>
            </w:pPr>
            <w:r>
              <w:lastRenderedPageBreak/>
              <w:t>Publication bias undetected</w:t>
            </w:r>
          </w:p>
        </w:tc>
        <w:tc>
          <w:tcPr>
            <w:tcW w:w="997" w:type="pct"/>
          </w:tcPr>
          <w:p w14:paraId="31276ABA" w14:textId="77777777" w:rsidR="00A474A9" w:rsidRDefault="00A474A9" w:rsidP="004C79C1">
            <w:pPr>
              <w:pStyle w:val="Tabletext1"/>
              <w:spacing w:before="0" w:after="120"/>
            </w:pPr>
            <w:r>
              <w:t>14/161 (8.7%) of ICM had event</w:t>
            </w:r>
          </w:p>
          <w:p w14:paraId="50362BAC" w14:textId="77777777" w:rsidR="00A474A9" w:rsidRDefault="00A474A9" w:rsidP="004C79C1">
            <w:pPr>
              <w:pStyle w:val="Tabletext1"/>
              <w:spacing w:before="0" w:after="120"/>
            </w:pPr>
            <w:r>
              <w:t>5/97 (5.2%) of NIDCM had event</w:t>
            </w:r>
          </w:p>
          <w:p w14:paraId="493657F9" w14:textId="77777777" w:rsidR="00A474A9" w:rsidRPr="00AD3118" w:rsidRDefault="00A474A9" w:rsidP="004C79C1">
            <w:pPr>
              <w:pStyle w:val="Tabletext1"/>
              <w:spacing w:before="0" w:after="120"/>
            </w:pPr>
            <w:r>
              <w:lastRenderedPageBreak/>
              <w:t>RR = 1.69 (0.63, 4.54), k=1</w:t>
            </w:r>
          </w:p>
        </w:tc>
        <w:tc>
          <w:tcPr>
            <w:tcW w:w="348" w:type="pct"/>
          </w:tcPr>
          <w:p w14:paraId="44D9DA47" w14:textId="77777777" w:rsidR="00A474A9" w:rsidRPr="00FA7EC9" w:rsidRDefault="00A474A9" w:rsidP="004C79C1">
            <w:pPr>
              <w:pStyle w:val="Tabletext1"/>
              <w:spacing w:before="0" w:after="120"/>
              <w:rPr>
                <w:rFonts w:ascii="Cambria Math" w:hAnsi="Cambria Math" w:cs="Cambria Math"/>
              </w:rPr>
            </w:pPr>
            <w:r>
              <w:rPr>
                <w:rFonts w:cs="Cambria Math"/>
              </w:rPr>
              <w:lastRenderedPageBreak/>
              <w:t>Low</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7497A211" w14:textId="77777777" w:rsidR="00A474A9" w:rsidRPr="00183E4D" w:rsidRDefault="00A474A9" w:rsidP="004C79C1">
            <w:pPr>
              <w:pStyle w:val="Tabletext1"/>
              <w:spacing w:before="0" w:after="120"/>
            </w:pPr>
            <w:r>
              <w:t>Critical</w:t>
            </w:r>
            <w:r>
              <w:br/>
              <w:t>(7/9)</w:t>
            </w:r>
          </w:p>
        </w:tc>
      </w:tr>
      <w:tr w:rsidR="00A474A9" w:rsidRPr="00183E4D" w14:paraId="393A5272" w14:textId="77777777" w:rsidTr="009C085A">
        <w:trPr>
          <w:cantSplit/>
          <w:trHeight w:val="186"/>
        </w:trPr>
        <w:tc>
          <w:tcPr>
            <w:tcW w:w="496" w:type="pct"/>
          </w:tcPr>
          <w:p w14:paraId="19AD2EF0" w14:textId="77777777" w:rsidR="00A474A9" w:rsidRPr="00524FC1" w:rsidRDefault="00A474A9" w:rsidP="004C79C1">
            <w:pPr>
              <w:pStyle w:val="Tabletext1"/>
              <w:spacing w:before="0" w:after="120"/>
            </w:pPr>
            <w:r>
              <w:lastRenderedPageBreak/>
              <w:t>Any</w:t>
            </w:r>
            <w:r w:rsidRPr="00D33ABD">
              <w:t xml:space="preserve"> cardiac event</w:t>
            </w:r>
          </w:p>
        </w:tc>
        <w:tc>
          <w:tcPr>
            <w:tcW w:w="524" w:type="pct"/>
          </w:tcPr>
          <w:p w14:paraId="23EE6503" w14:textId="4D8030C9" w:rsidR="00A474A9" w:rsidRDefault="00CD1ED9" w:rsidP="004C79C1">
            <w:pPr>
              <w:pStyle w:val="Tabletext1"/>
              <w:spacing w:before="0" w:after="120"/>
            </w:pPr>
            <w:r>
              <w:t>K</w:t>
            </w:r>
            <w:r w:rsidR="00A474A9">
              <w:t>=1 prospective cohort (level II)</w:t>
            </w:r>
          </w:p>
        </w:tc>
        <w:tc>
          <w:tcPr>
            <w:tcW w:w="380" w:type="pct"/>
          </w:tcPr>
          <w:p w14:paraId="0BA5E3EF" w14:textId="77777777" w:rsidR="00A474A9" w:rsidRDefault="00A474A9" w:rsidP="004C79C1">
            <w:pPr>
              <w:pStyle w:val="Tabletext1"/>
              <w:spacing w:before="0" w:after="120"/>
            </w:pPr>
            <w:r>
              <w:t>Not serious</w:t>
            </w:r>
          </w:p>
          <w:p w14:paraId="7625F202" w14:textId="77777777" w:rsidR="00A474A9" w:rsidRPr="00183E4D" w:rsidRDefault="00A474A9" w:rsidP="004C79C1">
            <w:pPr>
              <w:pStyle w:val="Tabletext1"/>
              <w:spacing w:before="0" w:after="120"/>
            </w:pPr>
            <w:r>
              <w:t>(low risk)</w:t>
            </w:r>
          </w:p>
        </w:tc>
        <w:tc>
          <w:tcPr>
            <w:tcW w:w="462" w:type="pct"/>
          </w:tcPr>
          <w:p w14:paraId="28C21AAF" w14:textId="77777777" w:rsidR="00A474A9" w:rsidRPr="00183E4D" w:rsidRDefault="00A474A9" w:rsidP="004C79C1">
            <w:pPr>
              <w:pStyle w:val="Tabletext1"/>
              <w:spacing w:before="0" w:after="120"/>
            </w:pPr>
            <w:r>
              <w:t>Not serious</w:t>
            </w:r>
          </w:p>
        </w:tc>
        <w:tc>
          <w:tcPr>
            <w:tcW w:w="413" w:type="pct"/>
          </w:tcPr>
          <w:p w14:paraId="39866B0A" w14:textId="77777777" w:rsidR="00A474A9" w:rsidRPr="0033132F" w:rsidRDefault="00A474A9" w:rsidP="004C79C1">
            <w:pPr>
              <w:pStyle w:val="Tabletext1"/>
              <w:spacing w:before="0" w:after="120"/>
            </w:pPr>
            <w:r>
              <w:t xml:space="preserve">Not </w:t>
            </w:r>
            <w:r w:rsidRPr="0033132F">
              <w:t>serious</w:t>
            </w:r>
          </w:p>
        </w:tc>
        <w:tc>
          <w:tcPr>
            <w:tcW w:w="397" w:type="pct"/>
          </w:tcPr>
          <w:p w14:paraId="74C532B3" w14:textId="77777777" w:rsidR="00A474A9" w:rsidRDefault="00A474A9" w:rsidP="004C79C1">
            <w:pPr>
              <w:pStyle w:val="Tabletext1"/>
              <w:spacing w:before="0" w:after="120"/>
            </w:pPr>
            <w:r>
              <w:t>Serious</w:t>
            </w:r>
          </w:p>
          <w:p w14:paraId="4C36F596" w14:textId="77777777" w:rsidR="00A474A9" w:rsidRPr="0033132F" w:rsidRDefault="00A474A9" w:rsidP="004C79C1">
            <w:pPr>
              <w:pStyle w:val="Tabletext1"/>
              <w:spacing w:before="0" w:after="120"/>
            </w:pPr>
            <w:r>
              <w:t>(wide 95%CIs)</w:t>
            </w:r>
          </w:p>
        </w:tc>
        <w:tc>
          <w:tcPr>
            <w:tcW w:w="597" w:type="pct"/>
          </w:tcPr>
          <w:p w14:paraId="73785F5E" w14:textId="77777777" w:rsidR="00A474A9" w:rsidRPr="00183E4D" w:rsidRDefault="00A474A9" w:rsidP="004C79C1">
            <w:pPr>
              <w:pStyle w:val="Tabletext1"/>
              <w:spacing w:before="0" w:after="120"/>
            </w:pPr>
            <w:r>
              <w:t>Publication bias undetected</w:t>
            </w:r>
          </w:p>
        </w:tc>
        <w:tc>
          <w:tcPr>
            <w:tcW w:w="997" w:type="pct"/>
          </w:tcPr>
          <w:p w14:paraId="6BEF9E38" w14:textId="77777777" w:rsidR="00A474A9" w:rsidRDefault="00A474A9" w:rsidP="004C79C1">
            <w:pPr>
              <w:pStyle w:val="Tabletext1"/>
              <w:spacing w:before="0" w:after="120"/>
            </w:pPr>
            <w:r>
              <w:t>53/59 (90%) of ICM had event</w:t>
            </w:r>
          </w:p>
          <w:p w14:paraId="6295BAF6" w14:textId="77777777" w:rsidR="00A474A9" w:rsidRDefault="00A474A9" w:rsidP="004C79C1">
            <w:pPr>
              <w:pStyle w:val="Tabletext1"/>
              <w:spacing w:before="0" w:after="120"/>
            </w:pPr>
            <w:r>
              <w:t>10/65 (15%) of NIDCM had event</w:t>
            </w:r>
          </w:p>
          <w:p w14:paraId="25324982" w14:textId="77777777" w:rsidR="00A474A9" w:rsidRPr="00AD3118" w:rsidRDefault="00A474A9" w:rsidP="004C79C1">
            <w:pPr>
              <w:pStyle w:val="Tabletext1"/>
              <w:spacing w:before="0" w:after="120"/>
            </w:pPr>
            <w:r>
              <w:t>RR = 5.84 (3.28, 10.39), k=1</w:t>
            </w:r>
          </w:p>
        </w:tc>
        <w:tc>
          <w:tcPr>
            <w:tcW w:w="348" w:type="pct"/>
          </w:tcPr>
          <w:p w14:paraId="153AC769" w14:textId="77777777" w:rsidR="00A474A9" w:rsidRPr="00FA7EC9" w:rsidRDefault="00A474A9" w:rsidP="004C79C1">
            <w:pPr>
              <w:pStyle w:val="Tabletext1"/>
              <w:spacing w:before="0" w:after="120"/>
              <w:rPr>
                <w:rFonts w:ascii="Cambria Math" w:hAnsi="Cambria Math" w:cs="Cambria Math"/>
              </w:rPr>
            </w:pPr>
            <w:r>
              <w:rPr>
                <w:rFonts w:cs="Cambria Math"/>
              </w:rPr>
              <w:t>Moderate</w:t>
            </w:r>
            <w:r>
              <w:rPr>
                <w:rFonts w:cs="Cambria Math"/>
              </w:rPr>
              <w:br/>
            </w:r>
            <w:r w:rsidRPr="00524FC1">
              <w:rPr>
                <w:rFonts w:ascii="Cambria Math" w:hAnsi="Cambria Math" w:cs="Cambria Math"/>
                <w:color w:val="00B050"/>
              </w:rPr>
              <w:t>⊕⊕⊕</w:t>
            </w:r>
            <w:r w:rsidRPr="00524FC1">
              <w:rPr>
                <w:rFonts w:ascii="Cambria Math" w:hAnsi="Cambria Math" w:cs="Cambria Math"/>
                <w:color w:val="FF0000"/>
              </w:rPr>
              <w:t>⨀</w:t>
            </w:r>
            <w:r>
              <w:rPr>
                <w:rFonts w:ascii="Cambria Math" w:hAnsi="Cambria Math" w:cs="Cambria Math"/>
                <w:color w:val="FF0000"/>
              </w:rPr>
              <w:t xml:space="preserve"> </w:t>
            </w:r>
          </w:p>
        </w:tc>
        <w:tc>
          <w:tcPr>
            <w:tcW w:w="385" w:type="pct"/>
          </w:tcPr>
          <w:p w14:paraId="0B00D00E" w14:textId="77777777" w:rsidR="00A474A9" w:rsidRPr="00183E4D" w:rsidRDefault="00A474A9" w:rsidP="004C79C1">
            <w:pPr>
              <w:pStyle w:val="Tabletext1"/>
              <w:spacing w:before="0" w:after="120"/>
            </w:pPr>
            <w:r>
              <w:t>Critical</w:t>
            </w:r>
            <w:r>
              <w:br/>
              <w:t>(8/9)</w:t>
            </w:r>
          </w:p>
        </w:tc>
      </w:tr>
    </w:tbl>
    <w:p w14:paraId="6908B5CC" w14:textId="182FC350" w:rsidR="00BB7B7A" w:rsidRDefault="009C085A" w:rsidP="004C79C1">
      <w:pPr>
        <w:pStyle w:val="Tablenotes0"/>
        <w:spacing w:before="0" w:after="120"/>
      </w:pPr>
      <w:bookmarkStart w:id="860" w:name="_Toc324410270"/>
      <w:proofErr w:type="gramStart"/>
      <w:r w:rsidRPr="00B225E5">
        <w:t>best</w:t>
      </w:r>
      <w:proofErr w:type="gramEnd"/>
      <w:r w:rsidRPr="00B225E5">
        <w:t xml:space="preserve"> = RR of the studies providing the best-quality evidence, i.e. if high risk and level III-3 studies are removed from analysis; </w:t>
      </w:r>
      <w:r w:rsidR="00A474A9" w:rsidRPr="00B225E5">
        <w:t xml:space="preserve">CI = confidence interval; ICD = implantable </w:t>
      </w:r>
      <w:r w:rsidR="0026063B">
        <w:t>cardioverter defibrillator</w:t>
      </w:r>
      <w:r w:rsidR="00A474A9" w:rsidRPr="00B225E5">
        <w:t>; ICM = ischaemic cardiomyopathy; LGE = late gadolinium enhancement; NIDCM = non-ischaemic dilated cardiomyopathy; RR = relative risk; SCD = sudden cardiac death; VA = ventricular arrhythmia; VT = ventricular tachycardia</w:t>
      </w:r>
      <w:bookmarkEnd w:id="860"/>
    </w:p>
    <w:p w14:paraId="17488C2E" w14:textId="20F62794" w:rsidR="00DF007F" w:rsidRPr="000470F1" w:rsidRDefault="00050936" w:rsidP="004C79C1">
      <w:pPr>
        <w:pStyle w:val="Caption"/>
      </w:pPr>
      <w:bookmarkStart w:id="861" w:name="_Toc446419044"/>
      <w:bookmarkStart w:id="862" w:name="_Toc324410271"/>
      <w:bookmarkStart w:id="863" w:name="_Toc451435418"/>
      <w:r>
        <w:t xml:space="preserve">Table </w:t>
      </w:r>
      <w:fldSimple w:instr=" SEQ Table \* ARABIC ">
        <w:r>
          <w:rPr>
            <w:noProof/>
          </w:rPr>
          <w:t>91</w:t>
        </w:r>
      </w:fldSimple>
      <w:r w:rsidR="00DF007F">
        <w:tab/>
        <w:t xml:space="preserve">Evidence profile table for the impact of change in management due to CMR for </w:t>
      </w:r>
      <w:bookmarkEnd w:id="861"/>
      <w:r w:rsidR="00DF007F">
        <w:t>patients indicated for DCM</w:t>
      </w:r>
      <w:bookmarkEnd w:id="862"/>
      <w:bookmarkEnd w:id="863"/>
      <w:r w:rsidR="00DF007F">
        <w:t xml:space="preserve"> </w:t>
      </w:r>
    </w:p>
    <w:tbl>
      <w:tblPr>
        <w:tblW w:w="5000" w:type="pct"/>
        <w:tblLayout w:type="fixed"/>
        <w:tblLook w:val="04A0" w:firstRow="1" w:lastRow="0" w:firstColumn="1" w:lastColumn="0" w:noHBand="0" w:noVBand="1"/>
        <w:tblDescription w:val="Evidence profile table for impact of change in management outcomes"/>
      </w:tblPr>
      <w:tblGrid>
        <w:gridCol w:w="1243"/>
        <w:gridCol w:w="1781"/>
        <w:gridCol w:w="1800"/>
        <w:gridCol w:w="1376"/>
        <w:gridCol w:w="1297"/>
        <w:gridCol w:w="1299"/>
        <w:gridCol w:w="2019"/>
        <w:gridCol w:w="1154"/>
        <w:gridCol w:w="1207"/>
      </w:tblGrid>
      <w:tr w:rsidR="00DF007F" w:rsidRPr="00183E4D" w14:paraId="1046FC12" w14:textId="77777777" w:rsidTr="00244E2C">
        <w:trPr>
          <w:trHeight w:val="788"/>
        </w:trPr>
        <w:tc>
          <w:tcPr>
            <w:tcW w:w="472" w:type="pct"/>
            <w:tcBorders>
              <w:top w:val="single" w:sz="4" w:space="0" w:color="auto"/>
              <w:left w:val="single" w:sz="4" w:space="0" w:color="auto"/>
              <w:bottom w:val="single" w:sz="4" w:space="0" w:color="auto"/>
              <w:right w:val="single" w:sz="4" w:space="0" w:color="auto"/>
            </w:tcBorders>
          </w:tcPr>
          <w:p w14:paraId="55368306" w14:textId="77777777" w:rsidR="00DF007F" w:rsidRPr="00183E4D" w:rsidRDefault="00DF007F" w:rsidP="004C79C1">
            <w:pPr>
              <w:pStyle w:val="TableHeading"/>
              <w:spacing w:before="0" w:after="120"/>
            </w:pPr>
            <w:r>
              <w:t>Outcome</w:t>
            </w:r>
          </w:p>
        </w:tc>
        <w:tc>
          <w:tcPr>
            <w:tcW w:w="676" w:type="pct"/>
            <w:tcBorders>
              <w:top w:val="single" w:sz="4" w:space="0" w:color="auto"/>
              <w:left w:val="single" w:sz="4" w:space="0" w:color="auto"/>
              <w:bottom w:val="single" w:sz="4" w:space="0" w:color="auto"/>
              <w:right w:val="single" w:sz="4" w:space="0" w:color="auto"/>
            </w:tcBorders>
          </w:tcPr>
          <w:p w14:paraId="274D4D81" w14:textId="77777777" w:rsidR="00DF007F" w:rsidRDefault="00DF007F" w:rsidP="004C79C1">
            <w:pPr>
              <w:pStyle w:val="TableHeading"/>
              <w:spacing w:before="0" w:after="120"/>
              <w:jc w:val="both"/>
            </w:pPr>
            <w:r>
              <w:t>No. of participants</w:t>
            </w:r>
          </w:p>
          <w:p w14:paraId="5BA31CE9" w14:textId="77777777" w:rsidR="00DF007F" w:rsidRDefault="00DF007F" w:rsidP="004C79C1">
            <w:pPr>
              <w:pStyle w:val="TableHeading"/>
              <w:spacing w:before="0" w:after="120"/>
              <w:jc w:val="both"/>
            </w:pPr>
            <w:r>
              <w:t xml:space="preserve">No. of studies </w:t>
            </w:r>
          </w:p>
          <w:p w14:paraId="1B9908B0" w14:textId="77777777" w:rsidR="00DF007F" w:rsidRPr="00183E4D" w:rsidRDefault="00DF007F" w:rsidP="004C79C1">
            <w:pPr>
              <w:pStyle w:val="TableHeading"/>
              <w:spacing w:before="0" w:after="120"/>
              <w:jc w:val="both"/>
            </w:pPr>
            <w:r>
              <w:t>Study design</w:t>
            </w:r>
          </w:p>
        </w:tc>
        <w:tc>
          <w:tcPr>
            <w:tcW w:w="683" w:type="pct"/>
            <w:tcBorders>
              <w:top w:val="single" w:sz="4" w:space="0" w:color="auto"/>
              <w:left w:val="single" w:sz="4" w:space="0" w:color="auto"/>
              <w:bottom w:val="single" w:sz="4" w:space="0" w:color="auto"/>
              <w:right w:val="single" w:sz="4" w:space="0" w:color="auto"/>
            </w:tcBorders>
          </w:tcPr>
          <w:p w14:paraId="58EF0CF2" w14:textId="77777777" w:rsidR="00DF007F" w:rsidRPr="00A74C70" w:rsidRDefault="00DF007F" w:rsidP="004C79C1">
            <w:pPr>
              <w:pStyle w:val="TableHeading"/>
              <w:spacing w:before="0" w:after="120"/>
            </w:pPr>
            <w:r w:rsidRPr="00A74C70">
              <w:t>Risk of bias</w:t>
            </w:r>
          </w:p>
        </w:tc>
        <w:tc>
          <w:tcPr>
            <w:tcW w:w="522" w:type="pct"/>
            <w:tcBorders>
              <w:top w:val="single" w:sz="4" w:space="0" w:color="auto"/>
              <w:left w:val="single" w:sz="4" w:space="0" w:color="auto"/>
              <w:bottom w:val="single" w:sz="4" w:space="0" w:color="auto"/>
              <w:right w:val="single" w:sz="4" w:space="0" w:color="auto"/>
            </w:tcBorders>
          </w:tcPr>
          <w:p w14:paraId="65D084EA" w14:textId="77777777" w:rsidR="00DF007F" w:rsidRPr="00183E4D" w:rsidRDefault="00DF007F" w:rsidP="004C79C1">
            <w:pPr>
              <w:pStyle w:val="TableHeading"/>
              <w:spacing w:before="0" w:after="120"/>
            </w:pPr>
            <w:r>
              <w:t>Inconsistency</w:t>
            </w:r>
          </w:p>
        </w:tc>
        <w:tc>
          <w:tcPr>
            <w:tcW w:w="492" w:type="pct"/>
            <w:tcBorders>
              <w:top w:val="single" w:sz="4" w:space="0" w:color="auto"/>
              <w:left w:val="single" w:sz="4" w:space="0" w:color="auto"/>
              <w:bottom w:val="single" w:sz="4" w:space="0" w:color="auto"/>
              <w:right w:val="single" w:sz="4" w:space="0" w:color="auto"/>
            </w:tcBorders>
          </w:tcPr>
          <w:p w14:paraId="0B87FF85" w14:textId="77777777" w:rsidR="00DF007F" w:rsidRPr="00A74C70" w:rsidRDefault="00DF007F" w:rsidP="004C79C1">
            <w:pPr>
              <w:pStyle w:val="TableHeading"/>
              <w:spacing w:before="0" w:after="120"/>
            </w:pPr>
            <w:r w:rsidRPr="00A74C70">
              <w:t>Indirectness</w:t>
            </w:r>
          </w:p>
        </w:tc>
        <w:tc>
          <w:tcPr>
            <w:tcW w:w="493" w:type="pct"/>
            <w:tcBorders>
              <w:top w:val="single" w:sz="4" w:space="0" w:color="auto"/>
              <w:left w:val="single" w:sz="4" w:space="0" w:color="auto"/>
              <w:bottom w:val="single" w:sz="4" w:space="0" w:color="auto"/>
              <w:right w:val="single" w:sz="4" w:space="0" w:color="auto"/>
            </w:tcBorders>
          </w:tcPr>
          <w:p w14:paraId="7B62441D" w14:textId="77777777" w:rsidR="00DF007F" w:rsidRPr="00183E4D" w:rsidRDefault="00DF007F" w:rsidP="004C79C1">
            <w:pPr>
              <w:pStyle w:val="TableHeading"/>
              <w:spacing w:before="0" w:after="120"/>
            </w:pPr>
            <w:r>
              <w:t>Imprecision</w:t>
            </w:r>
          </w:p>
        </w:tc>
        <w:tc>
          <w:tcPr>
            <w:tcW w:w="766" w:type="pct"/>
            <w:tcBorders>
              <w:top w:val="single" w:sz="4" w:space="0" w:color="auto"/>
              <w:left w:val="single" w:sz="4" w:space="0" w:color="auto"/>
              <w:bottom w:val="single" w:sz="4" w:space="0" w:color="auto"/>
              <w:right w:val="single" w:sz="4" w:space="0" w:color="auto"/>
            </w:tcBorders>
          </w:tcPr>
          <w:p w14:paraId="03DC1296" w14:textId="77777777" w:rsidR="00DF007F" w:rsidRDefault="00DF007F" w:rsidP="004C79C1">
            <w:pPr>
              <w:pStyle w:val="TableHeading"/>
              <w:spacing w:before="0" w:after="120"/>
            </w:pPr>
            <w:r>
              <w:t>Other considerations</w:t>
            </w:r>
          </w:p>
          <w:p w14:paraId="2CC1B652" w14:textId="77777777" w:rsidR="00DF007F" w:rsidRPr="00183E4D" w:rsidRDefault="00DF007F" w:rsidP="004C79C1">
            <w:pPr>
              <w:pStyle w:val="TableHeading"/>
              <w:spacing w:before="0" w:after="120"/>
            </w:pPr>
            <w:r>
              <w:t xml:space="preserve"> </w:t>
            </w:r>
            <w:r w:rsidRPr="00A74C70">
              <w:t>(e.g. publication bias)</w:t>
            </w:r>
          </w:p>
        </w:tc>
        <w:tc>
          <w:tcPr>
            <w:tcW w:w="438" w:type="pct"/>
            <w:tcBorders>
              <w:top w:val="single" w:sz="4" w:space="0" w:color="auto"/>
              <w:left w:val="single" w:sz="4" w:space="0" w:color="auto"/>
              <w:bottom w:val="single" w:sz="4" w:space="0" w:color="auto"/>
              <w:right w:val="single" w:sz="4" w:space="0" w:color="auto"/>
            </w:tcBorders>
          </w:tcPr>
          <w:p w14:paraId="1E7C399D" w14:textId="77777777" w:rsidR="00DF007F" w:rsidRDefault="00DF007F" w:rsidP="004C79C1">
            <w:pPr>
              <w:pStyle w:val="TableHeading"/>
              <w:spacing w:before="0" w:after="120"/>
            </w:pPr>
            <w:r w:rsidRPr="009B2800">
              <w:t>Result</w:t>
            </w:r>
          </w:p>
          <w:p w14:paraId="1EBAFD00" w14:textId="77777777" w:rsidR="00DF007F" w:rsidRPr="002948B5" w:rsidRDefault="00DF007F" w:rsidP="004C79C1">
            <w:pPr>
              <w:pStyle w:val="TableHeading"/>
              <w:spacing w:before="0" w:after="120"/>
              <w:rPr>
                <w:highlight w:val="cyan"/>
              </w:rPr>
            </w:pPr>
            <w:r>
              <w:t>N (%)</w:t>
            </w:r>
          </w:p>
        </w:tc>
        <w:tc>
          <w:tcPr>
            <w:tcW w:w="459" w:type="pct"/>
            <w:tcBorders>
              <w:top w:val="single" w:sz="4" w:space="0" w:color="auto"/>
              <w:left w:val="single" w:sz="4" w:space="0" w:color="auto"/>
              <w:bottom w:val="single" w:sz="4" w:space="0" w:color="auto"/>
              <w:right w:val="single" w:sz="4" w:space="0" w:color="auto"/>
            </w:tcBorders>
          </w:tcPr>
          <w:p w14:paraId="0688AEFD" w14:textId="77777777" w:rsidR="00DF007F" w:rsidRDefault="00DF007F" w:rsidP="004C79C1">
            <w:pPr>
              <w:pStyle w:val="TableHeading"/>
              <w:spacing w:before="0" w:after="120"/>
              <w:ind w:left="553" w:hanging="553"/>
            </w:pPr>
            <w:r>
              <w:t>QoE</w:t>
            </w:r>
          </w:p>
          <w:p w14:paraId="5993A5A8" w14:textId="7274DF7A" w:rsidR="00DF007F" w:rsidRPr="00183E4D" w:rsidRDefault="00244E2C" w:rsidP="004C79C1">
            <w:pPr>
              <w:pStyle w:val="TableHeading"/>
              <w:spacing w:before="0" w:after="120"/>
              <w:ind w:left="553" w:hanging="553"/>
            </w:pPr>
            <w:r>
              <w:t>Importance</w:t>
            </w:r>
          </w:p>
        </w:tc>
      </w:tr>
      <w:tr w:rsidR="00DF007F" w:rsidRPr="00183E4D" w14:paraId="6186E9E8"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0E40F072" w14:textId="77777777" w:rsidR="00DF007F" w:rsidRPr="00F43A7E" w:rsidRDefault="00DF007F" w:rsidP="004C79C1">
            <w:pPr>
              <w:pStyle w:val="Tabletext1"/>
              <w:spacing w:before="0" w:after="120"/>
            </w:pPr>
            <w:r>
              <w:t>New diagnoses</w:t>
            </w:r>
          </w:p>
        </w:tc>
        <w:tc>
          <w:tcPr>
            <w:tcW w:w="676" w:type="pct"/>
            <w:tcBorders>
              <w:top w:val="single" w:sz="4" w:space="0" w:color="auto"/>
              <w:left w:val="single" w:sz="4" w:space="0" w:color="auto"/>
              <w:bottom w:val="single" w:sz="4" w:space="0" w:color="auto"/>
              <w:right w:val="single" w:sz="4" w:space="0" w:color="auto"/>
            </w:tcBorders>
          </w:tcPr>
          <w:p w14:paraId="6C54F7D7" w14:textId="07CFCB85" w:rsidR="00DF007F" w:rsidRDefault="00DF007F" w:rsidP="004C79C1">
            <w:pPr>
              <w:pStyle w:val="Tabletext1"/>
              <w:spacing w:before="0" w:after="120"/>
            </w:pPr>
            <w:r>
              <w:t>3</w:t>
            </w:r>
            <w:r w:rsidR="001059E3">
              <w:t>,</w:t>
            </w:r>
            <w:r>
              <w:t>600 patients</w:t>
            </w:r>
          </w:p>
          <w:p w14:paraId="12B4D650" w14:textId="77777777" w:rsidR="00DF007F" w:rsidRDefault="00DF007F" w:rsidP="004C79C1">
            <w:pPr>
              <w:pStyle w:val="Tabletext1"/>
              <w:spacing w:before="0" w:after="120"/>
            </w:pPr>
            <w:r>
              <w:t>2 studies</w:t>
            </w:r>
          </w:p>
          <w:p w14:paraId="3E8E816C"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7C07D536" w14:textId="77777777" w:rsidR="00DF007F" w:rsidRDefault="00DF007F" w:rsidP="004C79C1">
            <w:pPr>
              <w:pStyle w:val="Tabletext1"/>
              <w:spacing w:before="0" w:after="120"/>
            </w:pPr>
            <w:r>
              <w:t>Not serious</w:t>
            </w:r>
          </w:p>
          <w:p w14:paraId="538B75AC" w14:textId="77777777" w:rsidR="00DF007F" w:rsidRPr="00F43A7E" w:rsidRDefault="00DF007F" w:rsidP="004C79C1">
            <w:pPr>
              <w:pStyle w:val="Tabletext1"/>
              <w:spacing w:before="0" w:after="120"/>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282E2778" w14:textId="223B7FAF" w:rsidR="00DF007F" w:rsidRPr="009626E2" w:rsidRDefault="00DF007F" w:rsidP="004C79C1">
            <w:pPr>
              <w:pStyle w:val="Tabletext1"/>
              <w:spacing w:before="0" w:after="120"/>
              <w:rPr>
                <w:vertAlign w:val="superscript"/>
              </w:rPr>
            </w:pPr>
            <w:r>
              <w:t>Serious</w:t>
            </w:r>
            <w:r w:rsidR="00B225E5">
              <w:t xml:space="preserve"> </w:t>
            </w:r>
            <w:r>
              <w:rPr>
                <w:vertAlign w:val="superscript"/>
              </w:rPr>
              <w:t>a</w:t>
            </w:r>
          </w:p>
        </w:tc>
        <w:tc>
          <w:tcPr>
            <w:tcW w:w="492" w:type="pct"/>
            <w:tcBorders>
              <w:top w:val="single" w:sz="4" w:space="0" w:color="auto"/>
              <w:left w:val="single" w:sz="4" w:space="0" w:color="auto"/>
              <w:bottom w:val="single" w:sz="4" w:space="0" w:color="auto"/>
              <w:right w:val="single" w:sz="4" w:space="0" w:color="auto"/>
            </w:tcBorders>
          </w:tcPr>
          <w:p w14:paraId="0DACF439" w14:textId="5F9E1764" w:rsidR="00DF007F" w:rsidRPr="009626E2" w:rsidRDefault="00DF007F" w:rsidP="004C79C1">
            <w:pPr>
              <w:pStyle w:val="Tabletext1"/>
              <w:spacing w:before="0" w:after="120"/>
              <w:rPr>
                <w:vertAlign w:val="superscript"/>
              </w:rPr>
            </w:pPr>
            <w:r>
              <w:t>Serious</w:t>
            </w:r>
            <w:r w:rsidR="00B225E5">
              <w:t xml:space="preserve"> </w:t>
            </w:r>
            <w:r>
              <w:rPr>
                <w:vertAlign w:val="superscript"/>
              </w:rPr>
              <w:t>b</w:t>
            </w:r>
          </w:p>
        </w:tc>
        <w:tc>
          <w:tcPr>
            <w:tcW w:w="493" w:type="pct"/>
            <w:tcBorders>
              <w:top w:val="single" w:sz="4" w:space="0" w:color="auto"/>
              <w:left w:val="single" w:sz="4" w:space="0" w:color="auto"/>
              <w:bottom w:val="single" w:sz="4" w:space="0" w:color="auto"/>
              <w:right w:val="single" w:sz="4" w:space="0" w:color="auto"/>
            </w:tcBorders>
          </w:tcPr>
          <w:p w14:paraId="3F21E914" w14:textId="77777777" w:rsidR="00DF007F" w:rsidRPr="00F43A7E" w:rsidRDefault="00DF007F" w:rsidP="004C79C1">
            <w:pPr>
              <w:pStyle w:val="Tabletext1"/>
              <w:spacing w:before="0" w:after="120"/>
            </w:pPr>
            <w:r>
              <w:t>Not serious</w:t>
            </w:r>
          </w:p>
        </w:tc>
        <w:tc>
          <w:tcPr>
            <w:tcW w:w="766" w:type="pct"/>
            <w:tcBorders>
              <w:top w:val="single" w:sz="4" w:space="0" w:color="auto"/>
              <w:left w:val="single" w:sz="4" w:space="0" w:color="auto"/>
              <w:bottom w:val="single" w:sz="4" w:space="0" w:color="auto"/>
              <w:right w:val="single" w:sz="4" w:space="0" w:color="auto"/>
            </w:tcBorders>
          </w:tcPr>
          <w:p w14:paraId="12F76ADA" w14:textId="77777777" w:rsidR="00DF007F" w:rsidRPr="00F43A7E" w:rsidRDefault="00DF007F" w:rsidP="004C79C1">
            <w:pPr>
              <w:pStyle w:val="Tabletext1"/>
              <w:spacing w:before="0" w:after="120"/>
            </w:pPr>
            <w:r>
              <w:t>None</w:t>
            </w:r>
          </w:p>
        </w:tc>
        <w:tc>
          <w:tcPr>
            <w:tcW w:w="438" w:type="pct"/>
            <w:tcBorders>
              <w:top w:val="single" w:sz="4" w:space="0" w:color="auto"/>
              <w:left w:val="single" w:sz="4" w:space="0" w:color="auto"/>
              <w:bottom w:val="single" w:sz="4" w:space="0" w:color="auto"/>
              <w:right w:val="single" w:sz="4" w:space="0" w:color="auto"/>
            </w:tcBorders>
          </w:tcPr>
          <w:p w14:paraId="38CAE4B8" w14:textId="77777777" w:rsidR="00DF007F" w:rsidRPr="00F43A7E" w:rsidRDefault="00DF007F" w:rsidP="004C79C1">
            <w:pPr>
              <w:pStyle w:val="Tabletext1"/>
              <w:spacing w:before="0" w:after="120"/>
            </w:pPr>
            <w:r>
              <w:t>761 (21%)</w:t>
            </w:r>
          </w:p>
        </w:tc>
        <w:tc>
          <w:tcPr>
            <w:tcW w:w="459" w:type="pct"/>
            <w:tcBorders>
              <w:top w:val="single" w:sz="4" w:space="0" w:color="auto"/>
              <w:left w:val="single" w:sz="4" w:space="0" w:color="auto"/>
              <w:bottom w:val="single" w:sz="4" w:space="0" w:color="auto"/>
              <w:right w:val="single" w:sz="4" w:space="0" w:color="auto"/>
            </w:tcBorders>
          </w:tcPr>
          <w:p w14:paraId="5AB5312C" w14:textId="77777777" w:rsidR="00DF007F" w:rsidRDefault="00DF007F" w:rsidP="004C79C1">
            <w:pPr>
              <w:pStyle w:val="Tabletext1"/>
              <w:spacing w:before="0" w:after="120"/>
              <w:rPr>
                <w:rFonts w:ascii="Cambria Math" w:hAnsi="Cambria Math" w:cs="Cambria Math"/>
                <w:color w:val="C00000"/>
              </w:rPr>
            </w:pPr>
            <w:r w:rsidRPr="00F95CB9">
              <w:t>Low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p>
          <w:p w14:paraId="742C4603" w14:textId="132F7D9B" w:rsidR="00DF007F" w:rsidRPr="00F43A7E" w:rsidRDefault="00BE5D7C" w:rsidP="004C79C1">
            <w:pPr>
              <w:pStyle w:val="Tabletext1"/>
              <w:spacing w:before="0" w:after="120"/>
            </w:pPr>
            <w:r>
              <w:t>Critical (</w:t>
            </w:r>
            <w:r w:rsidR="00DF007F">
              <w:t>8/10</w:t>
            </w:r>
            <w:r>
              <w:t>)</w:t>
            </w:r>
          </w:p>
        </w:tc>
      </w:tr>
      <w:tr w:rsidR="00DF007F" w:rsidRPr="00183E4D" w14:paraId="1F732F42"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0FC85D33" w14:textId="77777777" w:rsidR="00DF007F" w:rsidRPr="00F43A7E" w:rsidRDefault="00DF007F" w:rsidP="004C79C1">
            <w:pPr>
              <w:pStyle w:val="Tabletext1"/>
              <w:spacing w:before="0" w:after="120"/>
            </w:pPr>
            <w:r>
              <w:t>Changed diagnoses</w:t>
            </w:r>
          </w:p>
        </w:tc>
        <w:tc>
          <w:tcPr>
            <w:tcW w:w="676" w:type="pct"/>
            <w:tcBorders>
              <w:top w:val="single" w:sz="4" w:space="0" w:color="auto"/>
              <w:left w:val="single" w:sz="4" w:space="0" w:color="auto"/>
              <w:bottom w:val="single" w:sz="4" w:space="0" w:color="auto"/>
              <w:right w:val="single" w:sz="4" w:space="0" w:color="auto"/>
            </w:tcBorders>
          </w:tcPr>
          <w:p w14:paraId="14AC20EE" w14:textId="77777777" w:rsidR="00DF007F" w:rsidRDefault="00DF007F" w:rsidP="004C79C1">
            <w:pPr>
              <w:pStyle w:val="Tabletext1"/>
              <w:spacing w:before="0" w:after="120"/>
            </w:pPr>
            <w:r>
              <w:t>150 patients</w:t>
            </w:r>
          </w:p>
          <w:p w14:paraId="2A78152B" w14:textId="77777777" w:rsidR="00DF007F" w:rsidRDefault="00DF007F" w:rsidP="004C79C1">
            <w:pPr>
              <w:pStyle w:val="Tabletext1"/>
              <w:spacing w:before="0" w:after="120"/>
            </w:pPr>
            <w:r>
              <w:t>1 study</w:t>
            </w:r>
          </w:p>
          <w:p w14:paraId="5BD0C9C4"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73D9586A" w14:textId="1785A819" w:rsidR="00DF007F" w:rsidRDefault="00DF007F" w:rsidP="004C79C1">
            <w:pPr>
              <w:pStyle w:val="Tabletext1"/>
              <w:spacing w:before="0" w:after="120"/>
              <w:rPr>
                <w:vertAlign w:val="superscript"/>
              </w:rPr>
            </w:pPr>
            <w:r>
              <w:t>Serious</w:t>
            </w:r>
            <w:r w:rsidR="00B225E5">
              <w:t xml:space="preserve"> </w:t>
            </w:r>
            <w:r>
              <w:rPr>
                <w:vertAlign w:val="superscript"/>
              </w:rPr>
              <w:t>c</w:t>
            </w:r>
          </w:p>
          <w:p w14:paraId="7421D024" w14:textId="77777777" w:rsidR="00DF007F" w:rsidRPr="009626E2" w:rsidRDefault="00DF007F" w:rsidP="004C79C1">
            <w:pPr>
              <w:pStyle w:val="Tabletext1"/>
              <w:spacing w:before="0" w:after="120"/>
              <w:rPr>
                <w:vertAlign w:val="superscript"/>
              </w:rPr>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503AFC2C" w14:textId="77777777" w:rsidR="00DF007F" w:rsidRPr="00F43A7E" w:rsidRDefault="00DF007F" w:rsidP="004C79C1">
            <w:pPr>
              <w:pStyle w:val="Tabletext1"/>
              <w:spacing w:before="0" w:after="120"/>
            </w:pPr>
            <w:r>
              <w:t>Not serious</w:t>
            </w:r>
          </w:p>
        </w:tc>
        <w:tc>
          <w:tcPr>
            <w:tcW w:w="492" w:type="pct"/>
            <w:tcBorders>
              <w:top w:val="single" w:sz="4" w:space="0" w:color="auto"/>
              <w:left w:val="single" w:sz="4" w:space="0" w:color="auto"/>
              <w:bottom w:val="single" w:sz="4" w:space="0" w:color="auto"/>
              <w:right w:val="single" w:sz="4" w:space="0" w:color="auto"/>
            </w:tcBorders>
          </w:tcPr>
          <w:p w14:paraId="01E91102" w14:textId="4EF447B8" w:rsidR="00DF007F" w:rsidRPr="009626E2" w:rsidRDefault="00DF007F" w:rsidP="004C79C1">
            <w:pPr>
              <w:pStyle w:val="Tabletext1"/>
              <w:spacing w:before="0" w:after="120"/>
              <w:rPr>
                <w:vertAlign w:val="superscript"/>
              </w:rPr>
            </w:pPr>
            <w:r>
              <w:t>Serious</w:t>
            </w:r>
            <w:r w:rsidR="00B225E5">
              <w:t xml:space="preserve"> </w:t>
            </w:r>
            <w:r>
              <w:rPr>
                <w:vertAlign w:val="superscript"/>
              </w:rPr>
              <w:t>b</w:t>
            </w:r>
          </w:p>
        </w:tc>
        <w:tc>
          <w:tcPr>
            <w:tcW w:w="493" w:type="pct"/>
            <w:tcBorders>
              <w:top w:val="single" w:sz="4" w:space="0" w:color="auto"/>
              <w:left w:val="single" w:sz="4" w:space="0" w:color="auto"/>
              <w:bottom w:val="single" w:sz="4" w:space="0" w:color="auto"/>
              <w:right w:val="single" w:sz="4" w:space="0" w:color="auto"/>
            </w:tcBorders>
          </w:tcPr>
          <w:p w14:paraId="653E3837" w14:textId="77777777" w:rsidR="00DF007F" w:rsidRPr="00F43A7E" w:rsidRDefault="00DF007F" w:rsidP="004C79C1">
            <w:pPr>
              <w:pStyle w:val="Tabletext1"/>
              <w:spacing w:before="0" w:after="120"/>
            </w:pPr>
            <w:r>
              <w:t>Not serious</w:t>
            </w:r>
          </w:p>
        </w:tc>
        <w:tc>
          <w:tcPr>
            <w:tcW w:w="766" w:type="pct"/>
            <w:tcBorders>
              <w:top w:val="single" w:sz="4" w:space="0" w:color="auto"/>
              <w:left w:val="single" w:sz="4" w:space="0" w:color="auto"/>
              <w:bottom w:val="single" w:sz="4" w:space="0" w:color="auto"/>
              <w:right w:val="single" w:sz="4" w:space="0" w:color="auto"/>
            </w:tcBorders>
          </w:tcPr>
          <w:p w14:paraId="1EFF828E" w14:textId="77777777" w:rsidR="00DF007F" w:rsidRPr="00F43A7E" w:rsidRDefault="00DF007F" w:rsidP="004C79C1">
            <w:pPr>
              <w:pStyle w:val="Tabletext1"/>
              <w:spacing w:before="0" w:after="120"/>
            </w:pPr>
            <w:r>
              <w:t>None</w:t>
            </w:r>
          </w:p>
        </w:tc>
        <w:tc>
          <w:tcPr>
            <w:tcW w:w="438" w:type="pct"/>
            <w:tcBorders>
              <w:top w:val="single" w:sz="4" w:space="0" w:color="auto"/>
              <w:left w:val="single" w:sz="4" w:space="0" w:color="auto"/>
              <w:bottom w:val="single" w:sz="4" w:space="0" w:color="auto"/>
              <w:right w:val="single" w:sz="4" w:space="0" w:color="auto"/>
            </w:tcBorders>
          </w:tcPr>
          <w:p w14:paraId="4B4053A2" w14:textId="77777777" w:rsidR="00DF007F" w:rsidRPr="00F43A7E" w:rsidRDefault="00DF007F" w:rsidP="004C79C1">
            <w:pPr>
              <w:pStyle w:val="Tabletext1"/>
              <w:spacing w:before="0" w:after="120"/>
            </w:pPr>
            <w:r>
              <w:t>32 (21.3%)</w:t>
            </w:r>
          </w:p>
        </w:tc>
        <w:tc>
          <w:tcPr>
            <w:tcW w:w="459" w:type="pct"/>
            <w:tcBorders>
              <w:top w:val="single" w:sz="4" w:space="0" w:color="auto"/>
              <w:left w:val="single" w:sz="4" w:space="0" w:color="auto"/>
              <w:bottom w:val="single" w:sz="4" w:space="0" w:color="auto"/>
              <w:right w:val="single" w:sz="4" w:space="0" w:color="auto"/>
            </w:tcBorders>
          </w:tcPr>
          <w:p w14:paraId="7DD543B7" w14:textId="77777777" w:rsidR="00DF007F" w:rsidRDefault="00DF007F" w:rsidP="004C79C1">
            <w:pPr>
              <w:pStyle w:val="Tabletext1"/>
              <w:spacing w:before="0" w:after="120"/>
              <w:rPr>
                <w:rFonts w:ascii="Cambria Math" w:hAnsi="Cambria Math" w:cs="Cambria Math"/>
                <w:color w:val="C00000"/>
              </w:rPr>
            </w:pPr>
            <w:r>
              <w:t>Very l</w:t>
            </w:r>
            <w:r w:rsidRPr="00F95CB9">
              <w:t>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35B297B8" w14:textId="01BBDFE9" w:rsidR="00DF007F" w:rsidRPr="00F43A7E" w:rsidRDefault="00DF007F" w:rsidP="004C79C1">
            <w:pPr>
              <w:pStyle w:val="Tabletext1"/>
              <w:spacing w:before="0" w:after="120"/>
            </w:pPr>
            <w:r w:rsidRPr="009626E2">
              <w:t>Important</w:t>
            </w:r>
            <w:r>
              <w:t xml:space="preserve"> </w:t>
            </w:r>
            <w:r w:rsidR="00BE5D7C">
              <w:t>(</w:t>
            </w:r>
            <w:r>
              <w:t>4/10</w:t>
            </w:r>
            <w:r w:rsidR="00BE5D7C">
              <w:t>)</w:t>
            </w:r>
          </w:p>
        </w:tc>
      </w:tr>
      <w:tr w:rsidR="00DF007F" w:rsidRPr="00183E4D" w14:paraId="1BB6CF62"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20E8C069" w14:textId="77777777" w:rsidR="00DF007F" w:rsidRPr="00F43A7E" w:rsidRDefault="00DF007F" w:rsidP="004C79C1">
            <w:pPr>
              <w:pStyle w:val="Tabletext1"/>
              <w:spacing w:before="0" w:after="120"/>
            </w:pPr>
            <w:r>
              <w:t>Diagnostic yield</w:t>
            </w:r>
          </w:p>
        </w:tc>
        <w:tc>
          <w:tcPr>
            <w:tcW w:w="676" w:type="pct"/>
            <w:tcBorders>
              <w:top w:val="single" w:sz="4" w:space="0" w:color="auto"/>
              <w:left w:val="single" w:sz="4" w:space="0" w:color="auto"/>
              <w:bottom w:val="single" w:sz="4" w:space="0" w:color="auto"/>
              <w:right w:val="single" w:sz="4" w:space="0" w:color="auto"/>
            </w:tcBorders>
          </w:tcPr>
          <w:p w14:paraId="1C2A2FEC" w14:textId="77777777" w:rsidR="00DF007F" w:rsidRDefault="00DF007F" w:rsidP="004C79C1">
            <w:pPr>
              <w:pStyle w:val="Tabletext1"/>
              <w:spacing w:before="0" w:after="120"/>
            </w:pPr>
            <w:r>
              <w:t>88 patients</w:t>
            </w:r>
          </w:p>
          <w:p w14:paraId="197D37EB" w14:textId="77777777" w:rsidR="00DF007F" w:rsidRDefault="00DF007F" w:rsidP="004C79C1">
            <w:pPr>
              <w:pStyle w:val="Tabletext1"/>
              <w:spacing w:before="0" w:after="120"/>
            </w:pPr>
            <w:r>
              <w:t>1 study</w:t>
            </w:r>
          </w:p>
          <w:p w14:paraId="73D6FB46" w14:textId="77777777" w:rsidR="00DF007F" w:rsidRPr="00F43A7E" w:rsidRDefault="00DF007F" w:rsidP="004C79C1">
            <w:pPr>
              <w:pStyle w:val="Tabletext1"/>
              <w:spacing w:before="0" w:after="120"/>
            </w:pPr>
            <w:r>
              <w:t>Cohort study</w:t>
            </w:r>
          </w:p>
        </w:tc>
        <w:tc>
          <w:tcPr>
            <w:tcW w:w="683" w:type="pct"/>
            <w:tcBorders>
              <w:top w:val="single" w:sz="4" w:space="0" w:color="auto"/>
              <w:left w:val="single" w:sz="4" w:space="0" w:color="auto"/>
              <w:bottom w:val="single" w:sz="4" w:space="0" w:color="auto"/>
              <w:right w:val="single" w:sz="4" w:space="0" w:color="auto"/>
            </w:tcBorders>
          </w:tcPr>
          <w:p w14:paraId="1972A285" w14:textId="77777777" w:rsidR="00DF007F" w:rsidRDefault="00DF007F" w:rsidP="004C79C1">
            <w:pPr>
              <w:pStyle w:val="Tabletext1"/>
              <w:spacing w:before="0" w:after="120"/>
            </w:pPr>
            <w:r>
              <w:t>Not serious</w:t>
            </w:r>
          </w:p>
          <w:p w14:paraId="5DD185FB" w14:textId="77777777" w:rsidR="00DF007F" w:rsidRPr="00F43A7E" w:rsidRDefault="00DF007F" w:rsidP="004C79C1">
            <w:pPr>
              <w:pStyle w:val="Tabletext1"/>
              <w:spacing w:before="0" w:after="120"/>
            </w:pPr>
            <w:r>
              <w:t>(SIGN: low risk of bias)</w:t>
            </w:r>
          </w:p>
        </w:tc>
        <w:tc>
          <w:tcPr>
            <w:tcW w:w="522" w:type="pct"/>
            <w:tcBorders>
              <w:top w:val="single" w:sz="4" w:space="0" w:color="auto"/>
              <w:left w:val="single" w:sz="4" w:space="0" w:color="auto"/>
              <w:bottom w:val="single" w:sz="4" w:space="0" w:color="auto"/>
              <w:right w:val="single" w:sz="4" w:space="0" w:color="auto"/>
            </w:tcBorders>
          </w:tcPr>
          <w:p w14:paraId="4A0DDAD4" w14:textId="77777777" w:rsidR="00DF007F" w:rsidRPr="00F43A7E" w:rsidRDefault="00DF007F" w:rsidP="004C79C1">
            <w:pPr>
              <w:pStyle w:val="Tabletext1"/>
              <w:spacing w:before="0" w:after="120"/>
            </w:pPr>
            <w:r>
              <w:t>Not serious</w:t>
            </w:r>
          </w:p>
        </w:tc>
        <w:tc>
          <w:tcPr>
            <w:tcW w:w="492" w:type="pct"/>
            <w:tcBorders>
              <w:top w:val="single" w:sz="4" w:space="0" w:color="auto"/>
              <w:left w:val="single" w:sz="4" w:space="0" w:color="auto"/>
              <w:bottom w:val="single" w:sz="4" w:space="0" w:color="auto"/>
              <w:right w:val="single" w:sz="4" w:space="0" w:color="auto"/>
            </w:tcBorders>
          </w:tcPr>
          <w:p w14:paraId="1090DF65" w14:textId="77777777" w:rsidR="00DF007F" w:rsidRPr="00F43A7E" w:rsidRDefault="00DF007F" w:rsidP="004C79C1">
            <w:pPr>
              <w:pStyle w:val="Tabletext1"/>
              <w:spacing w:before="0" w:after="120"/>
            </w:pPr>
            <w:r>
              <w:t>Not serious</w:t>
            </w:r>
          </w:p>
        </w:tc>
        <w:tc>
          <w:tcPr>
            <w:tcW w:w="493" w:type="pct"/>
            <w:tcBorders>
              <w:top w:val="single" w:sz="4" w:space="0" w:color="auto"/>
              <w:left w:val="single" w:sz="4" w:space="0" w:color="auto"/>
              <w:bottom w:val="single" w:sz="4" w:space="0" w:color="auto"/>
              <w:right w:val="single" w:sz="4" w:space="0" w:color="auto"/>
            </w:tcBorders>
          </w:tcPr>
          <w:p w14:paraId="20D6DA25" w14:textId="77777777" w:rsidR="00DF007F" w:rsidRPr="00F43A7E" w:rsidRDefault="00DF007F" w:rsidP="004C79C1">
            <w:pPr>
              <w:pStyle w:val="Tabletext1"/>
              <w:spacing w:before="0" w:after="120"/>
            </w:pPr>
            <w:r>
              <w:t>Not serious</w:t>
            </w:r>
          </w:p>
        </w:tc>
        <w:tc>
          <w:tcPr>
            <w:tcW w:w="766" w:type="pct"/>
            <w:tcBorders>
              <w:top w:val="single" w:sz="4" w:space="0" w:color="auto"/>
              <w:left w:val="single" w:sz="4" w:space="0" w:color="auto"/>
              <w:bottom w:val="single" w:sz="4" w:space="0" w:color="auto"/>
              <w:right w:val="single" w:sz="4" w:space="0" w:color="auto"/>
            </w:tcBorders>
          </w:tcPr>
          <w:p w14:paraId="6D7B769C" w14:textId="77777777" w:rsidR="00DF007F" w:rsidRPr="00F43A7E" w:rsidRDefault="00DF007F" w:rsidP="004C79C1">
            <w:pPr>
              <w:pStyle w:val="Tabletext1"/>
              <w:spacing w:before="0" w:after="120"/>
            </w:pPr>
            <w:r>
              <w:t>None</w:t>
            </w:r>
          </w:p>
        </w:tc>
        <w:tc>
          <w:tcPr>
            <w:tcW w:w="438" w:type="pct"/>
            <w:tcBorders>
              <w:top w:val="single" w:sz="4" w:space="0" w:color="auto"/>
              <w:left w:val="single" w:sz="4" w:space="0" w:color="auto"/>
              <w:bottom w:val="single" w:sz="4" w:space="0" w:color="auto"/>
              <w:right w:val="single" w:sz="4" w:space="0" w:color="auto"/>
            </w:tcBorders>
          </w:tcPr>
          <w:p w14:paraId="34822F37" w14:textId="77777777" w:rsidR="00DF007F" w:rsidRPr="00F43A7E" w:rsidRDefault="00DF007F" w:rsidP="004C79C1">
            <w:pPr>
              <w:pStyle w:val="Tabletext1"/>
              <w:spacing w:before="0" w:after="120"/>
            </w:pPr>
            <w:r>
              <w:t>4 (4.5%)</w:t>
            </w:r>
          </w:p>
        </w:tc>
        <w:tc>
          <w:tcPr>
            <w:tcW w:w="459" w:type="pct"/>
            <w:tcBorders>
              <w:top w:val="single" w:sz="4" w:space="0" w:color="auto"/>
              <w:left w:val="single" w:sz="4" w:space="0" w:color="auto"/>
              <w:bottom w:val="single" w:sz="4" w:space="0" w:color="auto"/>
              <w:right w:val="single" w:sz="4" w:space="0" w:color="auto"/>
            </w:tcBorders>
          </w:tcPr>
          <w:p w14:paraId="015A243B" w14:textId="77777777" w:rsidR="00DF007F" w:rsidRDefault="00DF007F" w:rsidP="004C79C1">
            <w:pPr>
              <w:pStyle w:val="Tabletext1"/>
              <w:spacing w:before="0" w:after="120"/>
            </w:pPr>
            <w:r>
              <w:t xml:space="preserve">Moderate </w:t>
            </w:r>
            <w:r>
              <w:rPr>
                <w:rFonts w:ascii="Cambria Math" w:hAnsi="Cambria Math"/>
                <w:color w:val="00B050"/>
              </w:rPr>
              <w:t>⨁⨁⨁</w:t>
            </w:r>
            <w:r w:rsidRPr="00D4733A">
              <w:rPr>
                <w:rFonts w:ascii="Cambria Math" w:hAnsi="Cambria Math" w:cs="Cambria Math"/>
                <w:color w:val="C00000"/>
              </w:rPr>
              <w:t>⨀</w:t>
            </w:r>
          </w:p>
          <w:p w14:paraId="7A2C9757" w14:textId="66F521C2" w:rsidR="00DF007F" w:rsidRPr="00F43A7E" w:rsidRDefault="00DF007F" w:rsidP="004C79C1">
            <w:pPr>
              <w:pStyle w:val="Tabletext1"/>
              <w:spacing w:before="0" w:after="120"/>
            </w:pPr>
            <w:r>
              <w:t xml:space="preserve">Important </w:t>
            </w:r>
            <w:r w:rsidR="00BE5D7C">
              <w:t>(</w:t>
            </w:r>
            <w:r>
              <w:t>4/10</w:t>
            </w:r>
            <w:r w:rsidR="00BE5D7C">
              <w:t>)</w:t>
            </w:r>
          </w:p>
        </w:tc>
      </w:tr>
      <w:tr w:rsidR="00DF007F" w:rsidRPr="00183E4D" w14:paraId="3BCC77EB"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4F3E9B79" w14:textId="77777777" w:rsidR="00DF007F" w:rsidRPr="00F43A7E" w:rsidRDefault="00DF007F" w:rsidP="004C79C1">
            <w:pPr>
              <w:pStyle w:val="Tabletext1"/>
              <w:spacing w:before="0" w:after="120"/>
            </w:pPr>
            <w:r>
              <w:t xml:space="preserve">Impact on further diagnostic </w:t>
            </w:r>
            <w:r>
              <w:lastRenderedPageBreak/>
              <w:t>tests</w:t>
            </w:r>
          </w:p>
        </w:tc>
        <w:tc>
          <w:tcPr>
            <w:tcW w:w="676" w:type="pct"/>
            <w:tcBorders>
              <w:top w:val="single" w:sz="4" w:space="0" w:color="auto"/>
              <w:left w:val="single" w:sz="4" w:space="0" w:color="auto"/>
              <w:bottom w:val="single" w:sz="4" w:space="0" w:color="auto"/>
              <w:right w:val="single" w:sz="4" w:space="0" w:color="auto"/>
            </w:tcBorders>
          </w:tcPr>
          <w:p w14:paraId="2FDF45A1" w14:textId="49BF6B95" w:rsidR="00DF007F" w:rsidRDefault="00DF007F" w:rsidP="004C79C1">
            <w:pPr>
              <w:pStyle w:val="Tabletext1"/>
              <w:spacing w:before="0" w:after="120"/>
            </w:pPr>
            <w:r>
              <w:lastRenderedPageBreak/>
              <w:t>3</w:t>
            </w:r>
            <w:r w:rsidR="001059E3">
              <w:t>,</w:t>
            </w:r>
            <w:r>
              <w:t>511 patients</w:t>
            </w:r>
          </w:p>
          <w:p w14:paraId="237EEEB5" w14:textId="77777777" w:rsidR="00DF007F" w:rsidRDefault="00DF007F" w:rsidP="004C79C1">
            <w:pPr>
              <w:pStyle w:val="Tabletext1"/>
              <w:spacing w:before="0" w:after="120"/>
            </w:pPr>
            <w:r>
              <w:t>1 study</w:t>
            </w:r>
          </w:p>
          <w:p w14:paraId="57985897" w14:textId="77777777" w:rsidR="00DF007F" w:rsidRPr="00F43A7E" w:rsidRDefault="00DF007F" w:rsidP="004C79C1">
            <w:pPr>
              <w:pStyle w:val="Tabletext1"/>
              <w:spacing w:before="0" w:after="120"/>
            </w:pPr>
            <w:r>
              <w:lastRenderedPageBreak/>
              <w:t>Case series</w:t>
            </w:r>
          </w:p>
        </w:tc>
        <w:tc>
          <w:tcPr>
            <w:tcW w:w="683" w:type="pct"/>
            <w:tcBorders>
              <w:top w:val="single" w:sz="4" w:space="0" w:color="auto"/>
              <w:left w:val="single" w:sz="4" w:space="0" w:color="auto"/>
              <w:bottom w:val="single" w:sz="4" w:space="0" w:color="auto"/>
              <w:right w:val="single" w:sz="4" w:space="0" w:color="auto"/>
            </w:tcBorders>
          </w:tcPr>
          <w:p w14:paraId="0A8B7399" w14:textId="77777777" w:rsidR="00DF007F" w:rsidRDefault="00DF007F" w:rsidP="004C79C1">
            <w:pPr>
              <w:pStyle w:val="Tabletext1"/>
              <w:spacing w:before="0" w:after="120"/>
            </w:pPr>
            <w:r w:rsidRPr="000F0CF2">
              <w:lastRenderedPageBreak/>
              <w:t>Not serious</w:t>
            </w:r>
          </w:p>
          <w:p w14:paraId="22DE66C9" w14:textId="77777777" w:rsidR="00DF007F" w:rsidRPr="00F43A7E" w:rsidRDefault="00DF007F" w:rsidP="004C79C1">
            <w:pPr>
              <w:pStyle w:val="Tabletext1"/>
              <w:spacing w:before="0" w:after="120"/>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4919FB52" w14:textId="77777777" w:rsidR="00DF007F" w:rsidRPr="009B2800" w:rsidRDefault="00DF007F" w:rsidP="004C79C1">
            <w:pPr>
              <w:pStyle w:val="Tabletext1"/>
              <w:spacing w:before="0" w:after="120"/>
              <w:rPr>
                <w:vertAlign w:val="superscript"/>
              </w:rPr>
            </w:pPr>
            <w:r w:rsidRPr="000F0CF2">
              <w:t>Not serious</w:t>
            </w:r>
          </w:p>
        </w:tc>
        <w:tc>
          <w:tcPr>
            <w:tcW w:w="492" w:type="pct"/>
            <w:tcBorders>
              <w:top w:val="single" w:sz="4" w:space="0" w:color="auto"/>
              <w:left w:val="single" w:sz="4" w:space="0" w:color="auto"/>
              <w:bottom w:val="single" w:sz="4" w:space="0" w:color="auto"/>
              <w:right w:val="single" w:sz="4" w:space="0" w:color="auto"/>
            </w:tcBorders>
          </w:tcPr>
          <w:p w14:paraId="04CB4B84" w14:textId="49212498" w:rsidR="00DF007F" w:rsidRPr="009B2800" w:rsidRDefault="00DF007F" w:rsidP="004C79C1">
            <w:pPr>
              <w:pStyle w:val="Tabletext1"/>
              <w:spacing w:before="0" w:after="120"/>
              <w:rPr>
                <w:vertAlign w:val="superscript"/>
              </w:rPr>
            </w:pPr>
            <w:r>
              <w:t>S</w:t>
            </w:r>
            <w:r w:rsidRPr="000F0CF2">
              <w:t>erious</w:t>
            </w:r>
            <w:r w:rsidR="00B225E5">
              <w:t xml:space="preserve"> </w:t>
            </w:r>
            <w:r>
              <w:rPr>
                <w:vertAlign w:val="superscript"/>
              </w:rPr>
              <w:t>d</w:t>
            </w:r>
          </w:p>
        </w:tc>
        <w:tc>
          <w:tcPr>
            <w:tcW w:w="493" w:type="pct"/>
            <w:tcBorders>
              <w:top w:val="single" w:sz="4" w:space="0" w:color="auto"/>
              <w:left w:val="single" w:sz="4" w:space="0" w:color="auto"/>
              <w:bottom w:val="single" w:sz="4" w:space="0" w:color="auto"/>
              <w:right w:val="single" w:sz="4" w:space="0" w:color="auto"/>
            </w:tcBorders>
          </w:tcPr>
          <w:p w14:paraId="061CA873" w14:textId="43C3E895" w:rsidR="00DF007F" w:rsidRPr="009B2800" w:rsidRDefault="00DF007F" w:rsidP="004C79C1">
            <w:pPr>
              <w:pStyle w:val="Tabletext1"/>
              <w:spacing w:before="0" w:after="120"/>
              <w:rPr>
                <w:vertAlign w:val="superscript"/>
              </w:rPr>
            </w:pPr>
            <w:r w:rsidRPr="000F0CF2">
              <w:t>Not serious</w:t>
            </w:r>
            <w:r w:rsidR="00B225E5">
              <w:t xml:space="preserve"> </w:t>
            </w:r>
            <w:r>
              <w:rPr>
                <w:vertAlign w:val="superscript"/>
              </w:rPr>
              <w:t>b</w:t>
            </w:r>
          </w:p>
        </w:tc>
        <w:tc>
          <w:tcPr>
            <w:tcW w:w="766" w:type="pct"/>
            <w:tcBorders>
              <w:top w:val="single" w:sz="4" w:space="0" w:color="auto"/>
              <w:left w:val="single" w:sz="4" w:space="0" w:color="auto"/>
              <w:bottom w:val="single" w:sz="4" w:space="0" w:color="auto"/>
              <w:right w:val="single" w:sz="4" w:space="0" w:color="auto"/>
            </w:tcBorders>
          </w:tcPr>
          <w:p w14:paraId="1476FEAD" w14:textId="77777777" w:rsidR="00DF007F" w:rsidRPr="00F43A7E" w:rsidRDefault="00DF007F" w:rsidP="004C79C1">
            <w:pPr>
              <w:pStyle w:val="Tabletext1"/>
              <w:spacing w:before="0" w:after="120"/>
            </w:pPr>
            <w:r w:rsidRPr="000F0CF2">
              <w:t>None</w:t>
            </w:r>
          </w:p>
        </w:tc>
        <w:tc>
          <w:tcPr>
            <w:tcW w:w="438" w:type="pct"/>
            <w:tcBorders>
              <w:top w:val="single" w:sz="4" w:space="0" w:color="auto"/>
              <w:left w:val="single" w:sz="4" w:space="0" w:color="auto"/>
              <w:bottom w:val="single" w:sz="4" w:space="0" w:color="auto"/>
              <w:right w:val="single" w:sz="4" w:space="0" w:color="auto"/>
            </w:tcBorders>
          </w:tcPr>
          <w:p w14:paraId="3414DD7C" w14:textId="77777777" w:rsidR="00DF007F" w:rsidRPr="00F43A7E" w:rsidRDefault="00DF007F" w:rsidP="004C79C1">
            <w:pPr>
              <w:pStyle w:val="Tabletext1"/>
              <w:spacing w:before="0" w:after="120"/>
            </w:pPr>
            <w:r>
              <w:t>491 (14%)</w:t>
            </w:r>
          </w:p>
        </w:tc>
        <w:tc>
          <w:tcPr>
            <w:tcW w:w="459" w:type="pct"/>
            <w:tcBorders>
              <w:top w:val="single" w:sz="4" w:space="0" w:color="auto"/>
              <w:left w:val="single" w:sz="4" w:space="0" w:color="auto"/>
              <w:bottom w:val="single" w:sz="4" w:space="0" w:color="auto"/>
              <w:right w:val="single" w:sz="4" w:space="0" w:color="auto"/>
            </w:tcBorders>
          </w:tcPr>
          <w:p w14:paraId="1F819F16" w14:textId="77777777" w:rsidR="00DF007F" w:rsidRDefault="00DF007F" w:rsidP="004C79C1">
            <w:pPr>
              <w:pStyle w:val="Tabletext1"/>
              <w:spacing w:before="0" w:after="120"/>
              <w:rPr>
                <w:rFonts w:ascii="Cambria Math" w:hAnsi="Cambria Math" w:cs="Cambria Math"/>
                <w:color w:val="C00000"/>
              </w:rPr>
            </w:pPr>
            <w:r>
              <w:t>Very l</w:t>
            </w:r>
            <w:r w:rsidRPr="00F95CB9">
              <w:t>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63C29B4B" w14:textId="524F557B" w:rsidR="00DF007F" w:rsidRPr="00F43A7E" w:rsidRDefault="00DF007F" w:rsidP="004C79C1">
            <w:pPr>
              <w:pStyle w:val="Tabletext1"/>
              <w:spacing w:before="0" w:after="120"/>
            </w:pPr>
            <w:r w:rsidRPr="009626E2">
              <w:t>Important</w:t>
            </w:r>
            <w:r>
              <w:t xml:space="preserve"> </w:t>
            </w:r>
            <w:r w:rsidR="00BE5D7C">
              <w:lastRenderedPageBreak/>
              <w:t>(</w:t>
            </w:r>
            <w:r>
              <w:t>4/10</w:t>
            </w:r>
            <w:r w:rsidR="00BE5D7C">
              <w:t>)</w:t>
            </w:r>
          </w:p>
        </w:tc>
      </w:tr>
      <w:tr w:rsidR="00DF007F" w:rsidRPr="00183E4D" w14:paraId="56F0BB68"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2E214CE3" w14:textId="77777777" w:rsidR="00DF007F" w:rsidRDefault="00DF007F" w:rsidP="004C79C1">
            <w:pPr>
              <w:pStyle w:val="Tabletext1"/>
              <w:spacing w:before="0" w:after="120"/>
            </w:pPr>
            <w:r>
              <w:lastRenderedPageBreak/>
              <w:t>Device implantations avoided and added</w:t>
            </w:r>
          </w:p>
        </w:tc>
        <w:tc>
          <w:tcPr>
            <w:tcW w:w="676" w:type="pct"/>
            <w:tcBorders>
              <w:top w:val="single" w:sz="4" w:space="0" w:color="auto"/>
              <w:left w:val="single" w:sz="4" w:space="0" w:color="auto"/>
              <w:bottom w:val="single" w:sz="4" w:space="0" w:color="auto"/>
              <w:right w:val="single" w:sz="4" w:space="0" w:color="auto"/>
            </w:tcBorders>
          </w:tcPr>
          <w:p w14:paraId="4E8F6420" w14:textId="77777777" w:rsidR="00DF007F" w:rsidRDefault="00DF007F" w:rsidP="004C79C1">
            <w:pPr>
              <w:pStyle w:val="Tabletext1"/>
              <w:spacing w:before="0" w:after="120"/>
            </w:pPr>
            <w:r>
              <w:t>447 patients</w:t>
            </w:r>
          </w:p>
          <w:p w14:paraId="6E00FA49" w14:textId="77777777" w:rsidR="00DF007F" w:rsidRDefault="00DF007F" w:rsidP="004C79C1">
            <w:pPr>
              <w:pStyle w:val="Tabletext1"/>
              <w:spacing w:before="0" w:after="120"/>
            </w:pPr>
            <w:r>
              <w:t>1 study</w:t>
            </w:r>
          </w:p>
          <w:p w14:paraId="368EBA7B"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1C94D32F" w14:textId="77777777" w:rsidR="00DF007F" w:rsidRDefault="00DF007F" w:rsidP="004C79C1">
            <w:pPr>
              <w:pStyle w:val="Tabletext1"/>
              <w:spacing w:before="0" w:after="120"/>
            </w:pPr>
            <w:r>
              <w:t>Not serious</w:t>
            </w:r>
          </w:p>
          <w:p w14:paraId="14766507" w14:textId="77777777" w:rsidR="00DF007F" w:rsidRPr="00F43A7E" w:rsidRDefault="00DF007F" w:rsidP="004C79C1">
            <w:pPr>
              <w:pStyle w:val="Tabletext1"/>
              <w:spacing w:before="0" w:after="120"/>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1D0E84CD" w14:textId="77777777" w:rsidR="00DF007F" w:rsidRPr="00F43A7E" w:rsidRDefault="00DF007F" w:rsidP="004C79C1">
            <w:pPr>
              <w:pStyle w:val="Tabletext1"/>
              <w:spacing w:before="0" w:after="120"/>
            </w:pPr>
            <w:r>
              <w:t>Not serious</w:t>
            </w:r>
          </w:p>
        </w:tc>
        <w:tc>
          <w:tcPr>
            <w:tcW w:w="492" w:type="pct"/>
            <w:tcBorders>
              <w:top w:val="single" w:sz="4" w:space="0" w:color="auto"/>
              <w:left w:val="single" w:sz="4" w:space="0" w:color="auto"/>
              <w:bottom w:val="single" w:sz="4" w:space="0" w:color="auto"/>
              <w:right w:val="single" w:sz="4" w:space="0" w:color="auto"/>
            </w:tcBorders>
          </w:tcPr>
          <w:p w14:paraId="51097C58" w14:textId="77777777" w:rsidR="00DF007F" w:rsidRPr="00F43A7E" w:rsidRDefault="00DF007F" w:rsidP="004C79C1">
            <w:pPr>
              <w:pStyle w:val="Tabletext1"/>
              <w:spacing w:before="0" w:after="120"/>
            </w:pPr>
            <w:r>
              <w:t>Not serious</w:t>
            </w:r>
          </w:p>
        </w:tc>
        <w:tc>
          <w:tcPr>
            <w:tcW w:w="493" w:type="pct"/>
            <w:tcBorders>
              <w:top w:val="single" w:sz="4" w:space="0" w:color="auto"/>
              <w:left w:val="single" w:sz="4" w:space="0" w:color="auto"/>
              <w:bottom w:val="single" w:sz="4" w:space="0" w:color="auto"/>
              <w:right w:val="single" w:sz="4" w:space="0" w:color="auto"/>
            </w:tcBorders>
          </w:tcPr>
          <w:p w14:paraId="73F42DEF" w14:textId="77777777" w:rsidR="00DF007F" w:rsidRPr="00F43A7E" w:rsidRDefault="00DF007F" w:rsidP="004C79C1">
            <w:pPr>
              <w:pStyle w:val="Tabletext1"/>
              <w:spacing w:before="0" w:after="120"/>
            </w:pPr>
            <w:r>
              <w:t>Not serious</w:t>
            </w:r>
          </w:p>
        </w:tc>
        <w:tc>
          <w:tcPr>
            <w:tcW w:w="766" w:type="pct"/>
            <w:tcBorders>
              <w:top w:val="single" w:sz="4" w:space="0" w:color="auto"/>
              <w:left w:val="single" w:sz="4" w:space="0" w:color="auto"/>
              <w:bottom w:val="single" w:sz="4" w:space="0" w:color="auto"/>
              <w:right w:val="single" w:sz="4" w:space="0" w:color="auto"/>
            </w:tcBorders>
          </w:tcPr>
          <w:p w14:paraId="79930E3A" w14:textId="77777777" w:rsidR="00DF007F" w:rsidRPr="00F43A7E" w:rsidRDefault="00DF007F" w:rsidP="004C79C1">
            <w:pPr>
              <w:pStyle w:val="Tabletext1"/>
              <w:spacing w:before="0" w:after="120"/>
            </w:pPr>
            <w:r>
              <w:t>None</w:t>
            </w:r>
          </w:p>
        </w:tc>
        <w:tc>
          <w:tcPr>
            <w:tcW w:w="438" w:type="pct"/>
            <w:tcBorders>
              <w:top w:val="single" w:sz="4" w:space="0" w:color="auto"/>
              <w:left w:val="single" w:sz="4" w:space="0" w:color="auto"/>
              <w:bottom w:val="single" w:sz="4" w:space="0" w:color="auto"/>
              <w:right w:val="single" w:sz="4" w:space="0" w:color="auto"/>
            </w:tcBorders>
          </w:tcPr>
          <w:p w14:paraId="1995B033" w14:textId="77777777" w:rsidR="00DF007F" w:rsidRPr="00F43A7E" w:rsidRDefault="00DF007F" w:rsidP="004C79C1">
            <w:pPr>
              <w:pStyle w:val="Tabletext1"/>
              <w:spacing w:before="0" w:after="120"/>
            </w:pPr>
            <w:r>
              <w:t xml:space="preserve">41 (9.2%) </w:t>
            </w:r>
          </w:p>
        </w:tc>
        <w:tc>
          <w:tcPr>
            <w:tcW w:w="459" w:type="pct"/>
            <w:tcBorders>
              <w:top w:val="single" w:sz="4" w:space="0" w:color="auto"/>
              <w:left w:val="single" w:sz="4" w:space="0" w:color="auto"/>
              <w:bottom w:val="single" w:sz="4" w:space="0" w:color="auto"/>
              <w:right w:val="single" w:sz="4" w:space="0" w:color="auto"/>
            </w:tcBorders>
          </w:tcPr>
          <w:p w14:paraId="1E954203" w14:textId="77777777" w:rsidR="00DF007F" w:rsidRDefault="00DF007F" w:rsidP="004C79C1">
            <w:pPr>
              <w:pStyle w:val="Tabletext1"/>
              <w:spacing w:before="0" w:after="120"/>
              <w:rPr>
                <w:rFonts w:ascii="Cambria Math" w:hAnsi="Cambria Math" w:cs="Cambria Math"/>
                <w:color w:val="C00000"/>
              </w:rPr>
            </w:pPr>
            <w:r w:rsidRPr="00F95CB9">
              <w:t>Low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p>
          <w:p w14:paraId="5F122A61" w14:textId="43EBD4B3" w:rsidR="00DF007F" w:rsidRPr="00F43A7E" w:rsidRDefault="00DF007F" w:rsidP="004C79C1">
            <w:pPr>
              <w:pStyle w:val="Tabletext1"/>
              <w:spacing w:before="0" w:after="120"/>
            </w:pPr>
            <w:r w:rsidRPr="009626E2">
              <w:t xml:space="preserve">Critical </w:t>
            </w:r>
            <w:r w:rsidR="00BE5D7C">
              <w:t>(</w:t>
            </w:r>
            <w:r>
              <w:t>7/10</w:t>
            </w:r>
            <w:r w:rsidR="00BE5D7C">
              <w:t>)</w:t>
            </w:r>
          </w:p>
        </w:tc>
      </w:tr>
      <w:tr w:rsidR="00DF007F" w:rsidRPr="00183E4D" w14:paraId="45B64B88"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6C525B65" w14:textId="77777777" w:rsidR="00DF007F" w:rsidRDefault="00DF007F" w:rsidP="004C79C1">
            <w:pPr>
              <w:pStyle w:val="Tabletext1"/>
              <w:spacing w:before="0" w:after="120"/>
            </w:pPr>
            <w:r>
              <w:t>Surgery avoided and added</w:t>
            </w:r>
          </w:p>
        </w:tc>
        <w:tc>
          <w:tcPr>
            <w:tcW w:w="676" w:type="pct"/>
            <w:tcBorders>
              <w:top w:val="single" w:sz="4" w:space="0" w:color="auto"/>
              <w:left w:val="single" w:sz="4" w:space="0" w:color="auto"/>
              <w:bottom w:val="single" w:sz="4" w:space="0" w:color="auto"/>
              <w:right w:val="single" w:sz="4" w:space="0" w:color="auto"/>
            </w:tcBorders>
          </w:tcPr>
          <w:p w14:paraId="2E8930FF" w14:textId="77777777" w:rsidR="00DF007F" w:rsidRDefault="00DF007F" w:rsidP="004C79C1">
            <w:pPr>
              <w:pStyle w:val="Tabletext1"/>
              <w:spacing w:before="0" w:after="120"/>
            </w:pPr>
            <w:r>
              <w:t>447 patients</w:t>
            </w:r>
          </w:p>
          <w:p w14:paraId="6029717D" w14:textId="77777777" w:rsidR="00DF007F" w:rsidRDefault="00DF007F" w:rsidP="004C79C1">
            <w:pPr>
              <w:pStyle w:val="Tabletext1"/>
              <w:spacing w:before="0" w:after="120"/>
            </w:pPr>
            <w:r>
              <w:t>1 study</w:t>
            </w:r>
          </w:p>
          <w:p w14:paraId="30F3B3DC"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1047C489" w14:textId="77777777" w:rsidR="00DF007F" w:rsidRDefault="00DF007F" w:rsidP="004C79C1">
            <w:pPr>
              <w:pStyle w:val="Tabletext1"/>
              <w:spacing w:before="0" w:after="120"/>
            </w:pPr>
            <w:r w:rsidRPr="005570DE">
              <w:t>Not serious</w:t>
            </w:r>
          </w:p>
          <w:p w14:paraId="2C4B656E" w14:textId="77777777" w:rsidR="00DF007F" w:rsidRPr="00F43A7E" w:rsidRDefault="00DF007F" w:rsidP="004C79C1">
            <w:pPr>
              <w:pStyle w:val="Tabletext1"/>
              <w:spacing w:before="0" w:after="120"/>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637F0680" w14:textId="77777777" w:rsidR="00DF007F" w:rsidRPr="00F43A7E" w:rsidRDefault="00DF007F" w:rsidP="004C79C1">
            <w:pPr>
              <w:pStyle w:val="Tabletext1"/>
              <w:spacing w:before="0" w:after="120"/>
            </w:pPr>
            <w:r w:rsidRPr="005570DE">
              <w:t>Not serious</w:t>
            </w:r>
          </w:p>
        </w:tc>
        <w:tc>
          <w:tcPr>
            <w:tcW w:w="492" w:type="pct"/>
            <w:tcBorders>
              <w:top w:val="single" w:sz="4" w:space="0" w:color="auto"/>
              <w:left w:val="single" w:sz="4" w:space="0" w:color="auto"/>
              <w:bottom w:val="single" w:sz="4" w:space="0" w:color="auto"/>
              <w:right w:val="single" w:sz="4" w:space="0" w:color="auto"/>
            </w:tcBorders>
          </w:tcPr>
          <w:p w14:paraId="1B2938AA" w14:textId="77777777" w:rsidR="00DF007F" w:rsidRPr="00F43A7E" w:rsidRDefault="00DF007F" w:rsidP="004C79C1">
            <w:pPr>
              <w:pStyle w:val="Tabletext1"/>
              <w:spacing w:before="0" w:after="120"/>
            </w:pPr>
            <w:r w:rsidRPr="005570DE">
              <w:t>Not serious</w:t>
            </w:r>
          </w:p>
        </w:tc>
        <w:tc>
          <w:tcPr>
            <w:tcW w:w="493" w:type="pct"/>
            <w:tcBorders>
              <w:top w:val="single" w:sz="4" w:space="0" w:color="auto"/>
              <w:left w:val="single" w:sz="4" w:space="0" w:color="auto"/>
              <w:bottom w:val="single" w:sz="4" w:space="0" w:color="auto"/>
              <w:right w:val="single" w:sz="4" w:space="0" w:color="auto"/>
            </w:tcBorders>
          </w:tcPr>
          <w:p w14:paraId="176F9545" w14:textId="77777777" w:rsidR="00DF007F" w:rsidRPr="00F43A7E" w:rsidRDefault="00DF007F" w:rsidP="004C79C1">
            <w:pPr>
              <w:pStyle w:val="Tabletext1"/>
              <w:spacing w:before="0" w:after="120"/>
            </w:pPr>
            <w:r w:rsidRPr="005570DE">
              <w:t>Not serious</w:t>
            </w:r>
          </w:p>
        </w:tc>
        <w:tc>
          <w:tcPr>
            <w:tcW w:w="766" w:type="pct"/>
            <w:tcBorders>
              <w:top w:val="single" w:sz="4" w:space="0" w:color="auto"/>
              <w:left w:val="single" w:sz="4" w:space="0" w:color="auto"/>
              <w:bottom w:val="single" w:sz="4" w:space="0" w:color="auto"/>
              <w:right w:val="single" w:sz="4" w:space="0" w:color="auto"/>
            </w:tcBorders>
          </w:tcPr>
          <w:p w14:paraId="2EBE44CB" w14:textId="77777777" w:rsidR="00DF007F" w:rsidRPr="00F43A7E" w:rsidRDefault="00DF007F" w:rsidP="004C79C1">
            <w:pPr>
              <w:pStyle w:val="Tabletext1"/>
              <w:spacing w:before="0" w:after="120"/>
            </w:pPr>
            <w:r w:rsidRPr="005570DE">
              <w:t>None</w:t>
            </w:r>
          </w:p>
        </w:tc>
        <w:tc>
          <w:tcPr>
            <w:tcW w:w="438" w:type="pct"/>
            <w:tcBorders>
              <w:top w:val="single" w:sz="4" w:space="0" w:color="auto"/>
              <w:left w:val="single" w:sz="4" w:space="0" w:color="auto"/>
              <w:bottom w:val="single" w:sz="4" w:space="0" w:color="auto"/>
              <w:right w:val="single" w:sz="4" w:space="0" w:color="auto"/>
            </w:tcBorders>
          </w:tcPr>
          <w:p w14:paraId="5461F996" w14:textId="77777777" w:rsidR="00DF007F" w:rsidRPr="00F43A7E" w:rsidRDefault="00DF007F" w:rsidP="004C79C1">
            <w:pPr>
              <w:pStyle w:val="Tabletext1"/>
              <w:spacing w:before="0" w:after="120"/>
            </w:pPr>
            <w:r>
              <w:t>20 (4.5%)</w:t>
            </w:r>
          </w:p>
        </w:tc>
        <w:tc>
          <w:tcPr>
            <w:tcW w:w="459" w:type="pct"/>
            <w:tcBorders>
              <w:top w:val="single" w:sz="4" w:space="0" w:color="auto"/>
              <w:left w:val="single" w:sz="4" w:space="0" w:color="auto"/>
              <w:bottom w:val="single" w:sz="4" w:space="0" w:color="auto"/>
              <w:right w:val="single" w:sz="4" w:space="0" w:color="auto"/>
            </w:tcBorders>
          </w:tcPr>
          <w:p w14:paraId="4DB0C12A" w14:textId="77777777" w:rsidR="00DF007F" w:rsidRDefault="00DF007F" w:rsidP="004C79C1">
            <w:pPr>
              <w:pStyle w:val="Tabletext1"/>
              <w:spacing w:before="0" w:after="120"/>
              <w:rPr>
                <w:rFonts w:ascii="Cambria Math" w:hAnsi="Cambria Math" w:cs="Cambria Math"/>
                <w:color w:val="C00000"/>
              </w:rPr>
            </w:pPr>
            <w:r w:rsidRPr="00F95CB9">
              <w:t>Low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p>
          <w:p w14:paraId="10EF41A7" w14:textId="7402A175" w:rsidR="00DF007F" w:rsidRPr="00F95CB9" w:rsidRDefault="00DF007F" w:rsidP="004C79C1">
            <w:pPr>
              <w:pStyle w:val="Tabletext1"/>
              <w:spacing w:before="0" w:after="120"/>
            </w:pPr>
            <w:r w:rsidRPr="009626E2">
              <w:t xml:space="preserve">Critical </w:t>
            </w:r>
            <w:r w:rsidR="00BE5D7C">
              <w:t>(</w:t>
            </w:r>
            <w:r>
              <w:t>7/10</w:t>
            </w:r>
            <w:r w:rsidR="00BE5D7C">
              <w:t>)</w:t>
            </w:r>
          </w:p>
        </w:tc>
      </w:tr>
      <w:tr w:rsidR="00DF007F" w:rsidRPr="00183E4D" w14:paraId="319C5F14"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7D7C6C28" w14:textId="77777777" w:rsidR="00DF007F" w:rsidRDefault="00DF007F" w:rsidP="004C79C1">
            <w:pPr>
              <w:pStyle w:val="Tabletext1"/>
              <w:spacing w:before="0" w:after="120"/>
            </w:pPr>
            <w:r>
              <w:t>Procedures avoided and added</w:t>
            </w:r>
          </w:p>
        </w:tc>
        <w:tc>
          <w:tcPr>
            <w:tcW w:w="676" w:type="pct"/>
            <w:tcBorders>
              <w:top w:val="single" w:sz="4" w:space="0" w:color="auto"/>
              <w:left w:val="single" w:sz="4" w:space="0" w:color="auto"/>
              <w:bottom w:val="single" w:sz="4" w:space="0" w:color="auto"/>
              <w:right w:val="single" w:sz="4" w:space="0" w:color="auto"/>
            </w:tcBorders>
          </w:tcPr>
          <w:p w14:paraId="294E2CE0" w14:textId="77777777" w:rsidR="00DF007F" w:rsidRDefault="00DF007F" w:rsidP="004C79C1">
            <w:pPr>
              <w:pStyle w:val="Tabletext1"/>
              <w:spacing w:before="0" w:after="120"/>
            </w:pPr>
            <w:r>
              <w:t>150 patients</w:t>
            </w:r>
          </w:p>
          <w:p w14:paraId="371C480B" w14:textId="77777777" w:rsidR="00DF007F" w:rsidRDefault="00DF007F" w:rsidP="004C79C1">
            <w:pPr>
              <w:pStyle w:val="Tabletext1"/>
              <w:spacing w:before="0" w:after="120"/>
            </w:pPr>
            <w:r>
              <w:t>1 study</w:t>
            </w:r>
          </w:p>
          <w:p w14:paraId="5304B073"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75F21F8A" w14:textId="165458FA" w:rsidR="00DF007F" w:rsidRDefault="00DF007F" w:rsidP="004C79C1">
            <w:pPr>
              <w:pStyle w:val="Tabletext1"/>
              <w:spacing w:before="0" w:after="120"/>
              <w:rPr>
                <w:vertAlign w:val="superscript"/>
              </w:rPr>
            </w:pPr>
            <w:r w:rsidRPr="006E15D5">
              <w:t>Serious</w:t>
            </w:r>
            <w:r w:rsidR="00B225E5">
              <w:t xml:space="preserve"> </w:t>
            </w:r>
            <w:r w:rsidRPr="00693CD5">
              <w:rPr>
                <w:vertAlign w:val="superscript"/>
              </w:rPr>
              <w:t>c</w:t>
            </w:r>
          </w:p>
          <w:p w14:paraId="64B0E352" w14:textId="77777777" w:rsidR="00DF007F" w:rsidRPr="00F43A7E" w:rsidRDefault="00DF007F" w:rsidP="004C79C1">
            <w:pPr>
              <w:pStyle w:val="Tabletext1"/>
              <w:spacing w:before="0" w:after="120"/>
            </w:pPr>
            <w:r>
              <w:t>(NHLBI: Low risk of bias)</w:t>
            </w:r>
          </w:p>
        </w:tc>
        <w:tc>
          <w:tcPr>
            <w:tcW w:w="522" w:type="pct"/>
            <w:tcBorders>
              <w:top w:val="single" w:sz="4" w:space="0" w:color="auto"/>
              <w:left w:val="single" w:sz="4" w:space="0" w:color="auto"/>
              <w:bottom w:val="single" w:sz="4" w:space="0" w:color="auto"/>
              <w:right w:val="single" w:sz="4" w:space="0" w:color="auto"/>
            </w:tcBorders>
          </w:tcPr>
          <w:p w14:paraId="710DBA18" w14:textId="77777777" w:rsidR="00DF007F" w:rsidRPr="00F43A7E" w:rsidRDefault="00DF007F" w:rsidP="004C79C1">
            <w:pPr>
              <w:pStyle w:val="Tabletext1"/>
              <w:spacing w:before="0" w:after="120"/>
            </w:pPr>
            <w:r w:rsidRPr="006E15D5">
              <w:t>Not serious</w:t>
            </w:r>
          </w:p>
        </w:tc>
        <w:tc>
          <w:tcPr>
            <w:tcW w:w="492" w:type="pct"/>
            <w:tcBorders>
              <w:top w:val="single" w:sz="4" w:space="0" w:color="auto"/>
              <w:left w:val="single" w:sz="4" w:space="0" w:color="auto"/>
              <w:bottom w:val="single" w:sz="4" w:space="0" w:color="auto"/>
              <w:right w:val="single" w:sz="4" w:space="0" w:color="auto"/>
            </w:tcBorders>
          </w:tcPr>
          <w:p w14:paraId="36A92DD8" w14:textId="3D4B8C5B" w:rsidR="00DF007F" w:rsidRPr="00F43A7E" w:rsidRDefault="00DF007F" w:rsidP="004C79C1">
            <w:pPr>
              <w:pStyle w:val="Tabletext1"/>
              <w:spacing w:before="0" w:after="120"/>
            </w:pPr>
            <w:r w:rsidRPr="006E15D5">
              <w:t>Serious</w:t>
            </w:r>
            <w:r w:rsidR="00B225E5">
              <w:t xml:space="preserve"> </w:t>
            </w:r>
            <w:r w:rsidRPr="00693CD5">
              <w:rPr>
                <w:vertAlign w:val="superscript"/>
              </w:rPr>
              <w:t>b</w:t>
            </w:r>
          </w:p>
        </w:tc>
        <w:tc>
          <w:tcPr>
            <w:tcW w:w="493" w:type="pct"/>
            <w:tcBorders>
              <w:top w:val="single" w:sz="4" w:space="0" w:color="auto"/>
              <w:left w:val="single" w:sz="4" w:space="0" w:color="auto"/>
              <w:bottom w:val="single" w:sz="4" w:space="0" w:color="auto"/>
              <w:right w:val="single" w:sz="4" w:space="0" w:color="auto"/>
            </w:tcBorders>
          </w:tcPr>
          <w:p w14:paraId="13508C84" w14:textId="77777777" w:rsidR="00DF007F" w:rsidRPr="00F43A7E" w:rsidRDefault="00DF007F" w:rsidP="004C79C1">
            <w:pPr>
              <w:pStyle w:val="Tabletext1"/>
              <w:spacing w:before="0" w:after="120"/>
            </w:pPr>
            <w:r w:rsidRPr="006E15D5">
              <w:t>Not serious</w:t>
            </w:r>
          </w:p>
        </w:tc>
        <w:tc>
          <w:tcPr>
            <w:tcW w:w="766" w:type="pct"/>
            <w:tcBorders>
              <w:top w:val="single" w:sz="4" w:space="0" w:color="auto"/>
              <w:left w:val="single" w:sz="4" w:space="0" w:color="auto"/>
              <w:bottom w:val="single" w:sz="4" w:space="0" w:color="auto"/>
              <w:right w:val="single" w:sz="4" w:space="0" w:color="auto"/>
            </w:tcBorders>
          </w:tcPr>
          <w:p w14:paraId="142B5DA7" w14:textId="77777777" w:rsidR="00DF007F" w:rsidRPr="00F43A7E" w:rsidRDefault="00DF007F" w:rsidP="004C79C1">
            <w:pPr>
              <w:pStyle w:val="Tabletext1"/>
              <w:spacing w:before="0" w:after="120"/>
            </w:pPr>
            <w:r w:rsidRPr="006E15D5">
              <w:t>None</w:t>
            </w:r>
          </w:p>
        </w:tc>
        <w:tc>
          <w:tcPr>
            <w:tcW w:w="438" w:type="pct"/>
            <w:tcBorders>
              <w:top w:val="single" w:sz="4" w:space="0" w:color="auto"/>
              <w:left w:val="single" w:sz="4" w:space="0" w:color="auto"/>
              <w:bottom w:val="single" w:sz="4" w:space="0" w:color="auto"/>
              <w:right w:val="single" w:sz="4" w:space="0" w:color="auto"/>
            </w:tcBorders>
          </w:tcPr>
          <w:p w14:paraId="5EB47DE6" w14:textId="77777777" w:rsidR="00DF007F" w:rsidRPr="00F43A7E" w:rsidRDefault="00DF007F" w:rsidP="004C79C1">
            <w:pPr>
              <w:pStyle w:val="Tabletext1"/>
              <w:spacing w:before="0" w:after="120"/>
            </w:pPr>
            <w:r>
              <w:t>108 (72%)</w:t>
            </w:r>
          </w:p>
        </w:tc>
        <w:tc>
          <w:tcPr>
            <w:tcW w:w="459" w:type="pct"/>
            <w:tcBorders>
              <w:top w:val="single" w:sz="4" w:space="0" w:color="auto"/>
              <w:left w:val="single" w:sz="4" w:space="0" w:color="auto"/>
              <w:bottom w:val="single" w:sz="4" w:space="0" w:color="auto"/>
              <w:right w:val="single" w:sz="4" w:space="0" w:color="auto"/>
            </w:tcBorders>
          </w:tcPr>
          <w:p w14:paraId="4D4EBD2A" w14:textId="77777777" w:rsidR="00DF007F" w:rsidRDefault="00DF007F" w:rsidP="004C79C1">
            <w:pPr>
              <w:pStyle w:val="Tabletext1"/>
              <w:spacing w:before="0" w:after="120"/>
              <w:rPr>
                <w:rFonts w:ascii="Cambria Math" w:hAnsi="Cambria Math" w:cs="Cambria Math"/>
                <w:color w:val="C00000"/>
              </w:rPr>
            </w:pPr>
            <w:r>
              <w:t>Very l</w:t>
            </w:r>
            <w:r w:rsidRPr="00F95CB9">
              <w:t>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22C9C522" w14:textId="1A178BAC" w:rsidR="00DF007F" w:rsidRPr="00F43A7E" w:rsidRDefault="00DF007F" w:rsidP="004C79C1">
            <w:pPr>
              <w:pStyle w:val="Tabletext1"/>
              <w:spacing w:before="0" w:after="120"/>
            </w:pPr>
            <w:r w:rsidRPr="009626E2">
              <w:t>Important</w:t>
            </w:r>
            <w:r>
              <w:t xml:space="preserve"> </w:t>
            </w:r>
            <w:r w:rsidR="00244E2C">
              <w:t>(</w:t>
            </w:r>
            <w:r>
              <w:t>5/10</w:t>
            </w:r>
            <w:r w:rsidR="00244E2C">
              <w:t>)</w:t>
            </w:r>
          </w:p>
        </w:tc>
      </w:tr>
      <w:tr w:rsidR="00DF007F" w:rsidRPr="00183E4D" w14:paraId="159C06E5" w14:textId="77777777" w:rsidTr="00244E2C">
        <w:trPr>
          <w:trHeight w:val="319"/>
        </w:trPr>
        <w:tc>
          <w:tcPr>
            <w:tcW w:w="472" w:type="pct"/>
            <w:tcBorders>
              <w:top w:val="single" w:sz="4" w:space="0" w:color="auto"/>
              <w:left w:val="single" w:sz="4" w:space="0" w:color="auto"/>
              <w:bottom w:val="single" w:sz="4" w:space="0" w:color="auto"/>
              <w:right w:val="single" w:sz="4" w:space="0" w:color="auto"/>
            </w:tcBorders>
          </w:tcPr>
          <w:p w14:paraId="56F83ECE" w14:textId="77777777" w:rsidR="00DF007F" w:rsidRDefault="00DF007F" w:rsidP="004C79C1">
            <w:pPr>
              <w:pStyle w:val="Tabletext1"/>
              <w:spacing w:before="0" w:after="120"/>
            </w:pPr>
            <w:r>
              <w:t>Therapeutic consequences</w:t>
            </w:r>
          </w:p>
        </w:tc>
        <w:tc>
          <w:tcPr>
            <w:tcW w:w="676" w:type="pct"/>
            <w:tcBorders>
              <w:top w:val="single" w:sz="4" w:space="0" w:color="auto"/>
              <w:left w:val="single" w:sz="4" w:space="0" w:color="auto"/>
              <w:bottom w:val="single" w:sz="4" w:space="0" w:color="auto"/>
              <w:right w:val="single" w:sz="4" w:space="0" w:color="auto"/>
            </w:tcBorders>
          </w:tcPr>
          <w:p w14:paraId="0C8E5C0D" w14:textId="08F65B40" w:rsidR="00DF007F" w:rsidRDefault="00DF007F" w:rsidP="004C79C1">
            <w:pPr>
              <w:pStyle w:val="Tabletext1"/>
              <w:spacing w:before="0" w:after="120"/>
            </w:pPr>
            <w:r>
              <w:t>3</w:t>
            </w:r>
            <w:r w:rsidR="00B225E5">
              <w:t>,</w:t>
            </w:r>
            <w:r>
              <w:t>511 patients</w:t>
            </w:r>
          </w:p>
          <w:p w14:paraId="4C6E11D3" w14:textId="77777777" w:rsidR="00DF007F" w:rsidRDefault="00DF007F" w:rsidP="004C79C1">
            <w:pPr>
              <w:pStyle w:val="Tabletext1"/>
              <w:spacing w:before="0" w:after="120"/>
            </w:pPr>
            <w:r>
              <w:t>1 study</w:t>
            </w:r>
          </w:p>
          <w:p w14:paraId="35AEA0D9" w14:textId="77777777" w:rsidR="00DF007F" w:rsidRPr="00F43A7E" w:rsidRDefault="00DF007F" w:rsidP="004C79C1">
            <w:pPr>
              <w:pStyle w:val="Tabletext1"/>
              <w:spacing w:before="0" w:after="120"/>
            </w:pPr>
            <w:r>
              <w:t>Case series</w:t>
            </w:r>
          </w:p>
        </w:tc>
        <w:tc>
          <w:tcPr>
            <w:tcW w:w="683" w:type="pct"/>
            <w:tcBorders>
              <w:top w:val="single" w:sz="4" w:space="0" w:color="auto"/>
              <w:left w:val="single" w:sz="4" w:space="0" w:color="auto"/>
              <w:bottom w:val="single" w:sz="4" w:space="0" w:color="auto"/>
              <w:right w:val="single" w:sz="4" w:space="0" w:color="auto"/>
            </w:tcBorders>
          </w:tcPr>
          <w:p w14:paraId="075D6C78" w14:textId="77777777" w:rsidR="00DF007F" w:rsidRDefault="00DF007F" w:rsidP="004C79C1">
            <w:pPr>
              <w:pStyle w:val="Tabletext1"/>
              <w:spacing w:before="0" w:after="120"/>
            </w:pPr>
            <w:r w:rsidRPr="00613D87">
              <w:t>Not serious</w:t>
            </w:r>
          </w:p>
          <w:p w14:paraId="2616DD96" w14:textId="77777777" w:rsidR="00DF007F" w:rsidRDefault="00DF007F" w:rsidP="004C79C1">
            <w:pPr>
              <w:pStyle w:val="Tabletext1"/>
              <w:spacing w:before="0" w:after="120"/>
            </w:pPr>
            <w:r>
              <w:t>(NHLBI: Low risk of bias)</w:t>
            </w:r>
          </w:p>
          <w:p w14:paraId="563F7A7D" w14:textId="77777777" w:rsidR="00DF007F" w:rsidRPr="00F43A7E" w:rsidRDefault="00DF007F" w:rsidP="004C79C1">
            <w:pPr>
              <w:pStyle w:val="Tabletext1"/>
              <w:spacing w:before="0" w:after="120"/>
            </w:pPr>
          </w:p>
        </w:tc>
        <w:tc>
          <w:tcPr>
            <w:tcW w:w="522" w:type="pct"/>
            <w:tcBorders>
              <w:top w:val="single" w:sz="4" w:space="0" w:color="auto"/>
              <w:left w:val="single" w:sz="4" w:space="0" w:color="auto"/>
              <w:bottom w:val="single" w:sz="4" w:space="0" w:color="auto"/>
              <w:right w:val="single" w:sz="4" w:space="0" w:color="auto"/>
            </w:tcBorders>
          </w:tcPr>
          <w:p w14:paraId="5C4AF3B0" w14:textId="77777777" w:rsidR="00DF007F" w:rsidRPr="00F43A7E" w:rsidRDefault="00DF007F" w:rsidP="004C79C1">
            <w:pPr>
              <w:pStyle w:val="Tabletext1"/>
              <w:spacing w:before="0" w:after="120"/>
            </w:pPr>
            <w:r w:rsidRPr="00613D87">
              <w:t>Not serious</w:t>
            </w:r>
          </w:p>
        </w:tc>
        <w:tc>
          <w:tcPr>
            <w:tcW w:w="492" w:type="pct"/>
            <w:tcBorders>
              <w:top w:val="single" w:sz="4" w:space="0" w:color="auto"/>
              <w:left w:val="single" w:sz="4" w:space="0" w:color="auto"/>
              <w:bottom w:val="single" w:sz="4" w:space="0" w:color="auto"/>
              <w:right w:val="single" w:sz="4" w:space="0" w:color="auto"/>
            </w:tcBorders>
          </w:tcPr>
          <w:p w14:paraId="42737E74" w14:textId="3CE62119" w:rsidR="00DF007F" w:rsidRPr="00F43A7E" w:rsidRDefault="00DF007F" w:rsidP="004C79C1">
            <w:pPr>
              <w:pStyle w:val="Tabletext1"/>
              <w:spacing w:before="0" w:after="120"/>
            </w:pPr>
            <w:r w:rsidRPr="00613D87">
              <w:t>Serious</w:t>
            </w:r>
            <w:r w:rsidR="00B225E5">
              <w:t xml:space="preserve"> </w:t>
            </w:r>
            <w:r w:rsidRPr="00693CD5">
              <w:rPr>
                <w:vertAlign w:val="superscript"/>
              </w:rPr>
              <w:t>d</w:t>
            </w:r>
          </w:p>
        </w:tc>
        <w:tc>
          <w:tcPr>
            <w:tcW w:w="493" w:type="pct"/>
            <w:tcBorders>
              <w:top w:val="single" w:sz="4" w:space="0" w:color="auto"/>
              <w:left w:val="single" w:sz="4" w:space="0" w:color="auto"/>
              <w:bottom w:val="single" w:sz="4" w:space="0" w:color="auto"/>
              <w:right w:val="single" w:sz="4" w:space="0" w:color="auto"/>
            </w:tcBorders>
          </w:tcPr>
          <w:p w14:paraId="63C707F9" w14:textId="63909159" w:rsidR="00DF007F" w:rsidRPr="00F43A7E" w:rsidRDefault="00DF007F" w:rsidP="004C79C1">
            <w:pPr>
              <w:pStyle w:val="Tabletext1"/>
              <w:spacing w:before="0" w:after="120"/>
            </w:pPr>
            <w:r w:rsidRPr="00613D87">
              <w:t>Not serious</w:t>
            </w:r>
            <w:r w:rsidR="00B225E5">
              <w:t xml:space="preserve"> </w:t>
            </w:r>
            <w:r w:rsidRPr="00693CD5">
              <w:rPr>
                <w:vertAlign w:val="superscript"/>
              </w:rPr>
              <w:t>b</w:t>
            </w:r>
          </w:p>
        </w:tc>
        <w:tc>
          <w:tcPr>
            <w:tcW w:w="766" w:type="pct"/>
            <w:tcBorders>
              <w:top w:val="single" w:sz="4" w:space="0" w:color="auto"/>
              <w:left w:val="single" w:sz="4" w:space="0" w:color="auto"/>
              <w:bottom w:val="single" w:sz="4" w:space="0" w:color="auto"/>
              <w:right w:val="single" w:sz="4" w:space="0" w:color="auto"/>
            </w:tcBorders>
          </w:tcPr>
          <w:p w14:paraId="6589C182" w14:textId="77777777" w:rsidR="00DF007F" w:rsidRPr="00F43A7E" w:rsidRDefault="00DF007F" w:rsidP="004C79C1">
            <w:pPr>
              <w:pStyle w:val="Tabletext1"/>
              <w:spacing w:before="0" w:after="120"/>
            </w:pPr>
            <w:r>
              <w:t xml:space="preserve">None </w:t>
            </w:r>
          </w:p>
        </w:tc>
        <w:tc>
          <w:tcPr>
            <w:tcW w:w="438" w:type="pct"/>
            <w:tcBorders>
              <w:top w:val="single" w:sz="4" w:space="0" w:color="auto"/>
              <w:left w:val="single" w:sz="4" w:space="0" w:color="auto"/>
              <w:bottom w:val="single" w:sz="4" w:space="0" w:color="auto"/>
              <w:right w:val="single" w:sz="4" w:space="0" w:color="auto"/>
            </w:tcBorders>
          </w:tcPr>
          <w:p w14:paraId="70D18133" w14:textId="77777777" w:rsidR="00DF007F" w:rsidRPr="00F43A7E" w:rsidRDefault="00DF007F" w:rsidP="004C79C1">
            <w:pPr>
              <w:pStyle w:val="Tabletext1"/>
              <w:spacing w:before="0" w:after="120"/>
            </w:pPr>
            <w:r>
              <w:t>1547 (44%)</w:t>
            </w:r>
          </w:p>
        </w:tc>
        <w:tc>
          <w:tcPr>
            <w:tcW w:w="459" w:type="pct"/>
            <w:tcBorders>
              <w:top w:val="single" w:sz="4" w:space="0" w:color="auto"/>
              <w:left w:val="single" w:sz="4" w:space="0" w:color="auto"/>
              <w:bottom w:val="single" w:sz="4" w:space="0" w:color="auto"/>
              <w:right w:val="single" w:sz="4" w:space="0" w:color="auto"/>
            </w:tcBorders>
          </w:tcPr>
          <w:p w14:paraId="30566DBA" w14:textId="77777777" w:rsidR="00DF007F" w:rsidRDefault="00DF007F" w:rsidP="004C79C1">
            <w:pPr>
              <w:pStyle w:val="Tabletext1"/>
              <w:spacing w:before="0" w:after="120"/>
              <w:rPr>
                <w:rFonts w:ascii="Cambria Math" w:hAnsi="Cambria Math" w:cs="Cambria Math"/>
                <w:color w:val="C00000"/>
              </w:rPr>
            </w:pPr>
            <w:r w:rsidRPr="00F95CB9">
              <w:t>Low</w:t>
            </w:r>
            <w:r>
              <w:rPr>
                <w:rFonts w:ascii="Cambria Math" w:hAnsi="Cambria Math"/>
              </w:rPr>
              <w:t xml:space="preserve"> </w:t>
            </w:r>
            <w:r>
              <w:rPr>
                <w:rFonts w:ascii="Cambria Math" w:hAnsi="Cambria Math"/>
                <w:color w:val="00B050"/>
              </w:rPr>
              <w:t>⨁⨁</w:t>
            </w:r>
            <w:r w:rsidRPr="00D4733A">
              <w:rPr>
                <w:rFonts w:ascii="Cambria Math" w:hAnsi="Cambria Math" w:cs="Cambria Math"/>
                <w:color w:val="C00000"/>
              </w:rPr>
              <w:t>⨀⨀</w:t>
            </w:r>
          </w:p>
          <w:p w14:paraId="7EBC3722" w14:textId="453B4D1E" w:rsidR="00DF007F" w:rsidRPr="00F43A7E" w:rsidRDefault="00DF007F" w:rsidP="004C79C1">
            <w:pPr>
              <w:pStyle w:val="Tabletext1"/>
              <w:spacing w:before="0" w:after="120"/>
            </w:pPr>
            <w:r w:rsidRPr="009626E2">
              <w:t xml:space="preserve">Critical </w:t>
            </w:r>
            <w:r w:rsidR="00244E2C">
              <w:t>(</w:t>
            </w:r>
            <w:r>
              <w:t>7/10</w:t>
            </w:r>
            <w:r w:rsidR="00244E2C">
              <w:t>)</w:t>
            </w:r>
          </w:p>
        </w:tc>
      </w:tr>
    </w:tbl>
    <w:p w14:paraId="184B9597" w14:textId="45905818" w:rsidR="00DF007F" w:rsidRPr="00244E2C" w:rsidRDefault="00DF007F" w:rsidP="00CC55F9">
      <w:pPr>
        <w:pStyle w:val="Tablenotes0"/>
        <w:spacing w:before="0" w:after="0"/>
      </w:pPr>
      <w:proofErr w:type="gramStart"/>
      <w:r w:rsidRPr="00244E2C">
        <w:rPr>
          <w:vertAlign w:val="superscript"/>
        </w:rPr>
        <w:t>a</w:t>
      </w:r>
      <w:proofErr w:type="gramEnd"/>
      <w:r w:rsidR="006C4C0E">
        <w:rPr>
          <w:vertAlign w:val="superscript"/>
        </w:rPr>
        <w:t xml:space="preserve"> </w:t>
      </w:r>
      <w:r w:rsidRPr="00244E2C">
        <w:t>Study populations are somewhat different to each other</w:t>
      </w:r>
      <w:r w:rsidR="006C4C0E">
        <w:t>.</w:t>
      </w:r>
    </w:p>
    <w:p w14:paraId="26B66EE4" w14:textId="6232853F" w:rsidR="00DF007F" w:rsidRPr="00244E2C" w:rsidRDefault="00DF007F" w:rsidP="00CC55F9">
      <w:pPr>
        <w:pStyle w:val="Tablenotes0"/>
        <w:spacing w:before="0" w:after="0"/>
      </w:pPr>
      <w:proofErr w:type="gramStart"/>
      <w:r w:rsidRPr="00244E2C">
        <w:rPr>
          <w:vertAlign w:val="superscript"/>
        </w:rPr>
        <w:t>b</w:t>
      </w:r>
      <w:proofErr w:type="gramEnd"/>
      <w:r w:rsidR="006C4C0E">
        <w:rPr>
          <w:vertAlign w:val="superscript"/>
        </w:rPr>
        <w:t xml:space="preserve"> </w:t>
      </w:r>
      <w:r w:rsidRPr="00244E2C">
        <w:t>Study popul</w:t>
      </w:r>
      <w:r w:rsidR="00B225E5">
        <w:t>a</w:t>
      </w:r>
      <w:r w:rsidRPr="00244E2C">
        <w:t>tions vary from that under investigation in this review</w:t>
      </w:r>
      <w:r w:rsidR="006C4C0E">
        <w:t>.</w:t>
      </w:r>
    </w:p>
    <w:p w14:paraId="3FC8DAAC" w14:textId="38D33BEE" w:rsidR="00DF007F" w:rsidRPr="00244E2C" w:rsidRDefault="00DF007F" w:rsidP="00CC55F9">
      <w:pPr>
        <w:pStyle w:val="Tablenotes0"/>
        <w:spacing w:before="0" w:after="0"/>
      </w:pPr>
      <w:proofErr w:type="gramStart"/>
      <w:r w:rsidRPr="00244E2C">
        <w:rPr>
          <w:vertAlign w:val="superscript"/>
        </w:rPr>
        <w:t>c</w:t>
      </w:r>
      <w:proofErr w:type="gramEnd"/>
      <w:r w:rsidR="006C4C0E">
        <w:rPr>
          <w:vertAlign w:val="superscript"/>
        </w:rPr>
        <w:t xml:space="preserve"> </w:t>
      </w:r>
      <w:r w:rsidRPr="00244E2C">
        <w:t>Possible selection bias</w:t>
      </w:r>
      <w:r w:rsidR="006C4C0E">
        <w:t>.</w:t>
      </w:r>
    </w:p>
    <w:p w14:paraId="1779DB05" w14:textId="1AAEFD58" w:rsidR="00DF007F" w:rsidRPr="00244E2C" w:rsidRDefault="00DF007F" w:rsidP="00CC55F9">
      <w:pPr>
        <w:pStyle w:val="Tablenotes0"/>
        <w:spacing w:before="0" w:after="0"/>
      </w:pPr>
      <w:proofErr w:type="gramStart"/>
      <w:r w:rsidRPr="00244E2C">
        <w:rPr>
          <w:vertAlign w:val="superscript"/>
        </w:rPr>
        <w:t>d</w:t>
      </w:r>
      <w:proofErr w:type="gramEnd"/>
      <w:r w:rsidR="006C4C0E">
        <w:rPr>
          <w:vertAlign w:val="superscript"/>
        </w:rPr>
        <w:t xml:space="preserve"> </w:t>
      </w:r>
      <w:r w:rsidRPr="00244E2C">
        <w:t>Patients did not undergo the same level of pre-testing</w:t>
      </w:r>
      <w:r w:rsidR="006C4C0E">
        <w:t>.</w:t>
      </w:r>
    </w:p>
    <w:p w14:paraId="5464F0FF" w14:textId="472E9A3A" w:rsidR="00D17D8F" w:rsidRPr="00244E2C" w:rsidRDefault="00CE46F7" w:rsidP="00CC55F9">
      <w:pPr>
        <w:pStyle w:val="Tablenotes0"/>
        <w:spacing w:before="0" w:after="0"/>
      </w:pPr>
      <w:r w:rsidRPr="00EE130A">
        <w:t xml:space="preserve">CMR = cardiac magnetic resonance </w:t>
      </w:r>
      <w:r w:rsidR="00415A61">
        <w:t>(</w:t>
      </w:r>
      <w:r w:rsidR="00415A61" w:rsidRPr="00FA186D">
        <w:t>imaging</w:t>
      </w:r>
      <w:r w:rsidR="00415A61">
        <w:t>)</w:t>
      </w:r>
      <w:r w:rsidRPr="00EE130A">
        <w:t>; DCM = dilated cardiomyopathy;</w:t>
      </w:r>
      <w:r w:rsidR="00886AEF" w:rsidRPr="00CE46F7">
        <w:t xml:space="preserve"> </w:t>
      </w:r>
      <w:r w:rsidR="00D17D8F" w:rsidRPr="00C064B8">
        <w:t>QoE = quality of evidence; N = number; NHLBI = National Heart, Lung and Blood Institute quality assessment tool; SIGN = Scottish Intercollegiate Guidelines Network quality assessment tool</w:t>
      </w:r>
    </w:p>
    <w:p w14:paraId="134BB2B3" w14:textId="77777777" w:rsidR="00A474A9" w:rsidRDefault="00A474A9" w:rsidP="004C79C1">
      <w:pPr>
        <w:spacing w:after="120" w:line="240" w:lineRule="auto"/>
      </w:pPr>
    </w:p>
    <w:p w14:paraId="5A133F0A" w14:textId="77777777" w:rsidR="00A474A9" w:rsidRDefault="00A474A9" w:rsidP="004C79C1">
      <w:pPr>
        <w:spacing w:after="120" w:line="240" w:lineRule="auto"/>
        <w:sectPr w:rsidR="00A474A9" w:rsidSect="00A474A9">
          <w:pgSz w:w="15840" w:h="12240" w:orient="landscape"/>
          <w:pgMar w:top="1440" w:right="1440" w:bottom="1440" w:left="1440" w:header="720" w:footer="720" w:gutter="0"/>
          <w:cols w:space="708"/>
          <w:noEndnote/>
          <w:docGrid w:linePitch="326"/>
        </w:sectPr>
      </w:pPr>
    </w:p>
    <w:p w14:paraId="54D991AC" w14:textId="26336F35" w:rsidR="007A7960" w:rsidRPr="00183E4D" w:rsidRDefault="00193B87" w:rsidP="004C79C1">
      <w:pPr>
        <w:pStyle w:val="Heading1"/>
        <w:spacing w:after="120" w:line="240" w:lineRule="auto"/>
        <w:jc w:val="both"/>
      </w:pPr>
      <w:bookmarkStart w:id="864" w:name="_Ref364237293"/>
      <w:bookmarkStart w:id="865" w:name="_Ref363131580"/>
      <w:bookmarkStart w:id="866" w:name="_Toc379118102"/>
      <w:bookmarkStart w:id="867" w:name="_Toc381796506"/>
      <w:bookmarkStart w:id="868" w:name="_Toc451501414"/>
      <w:r w:rsidRPr="00183E4D">
        <w:lastRenderedPageBreak/>
        <w:t xml:space="preserve">Appendix </w:t>
      </w:r>
      <w:fldSimple w:instr=" SEQ Appendix \* ALPHABETIC ">
        <w:r w:rsidR="00460601">
          <w:rPr>
            <w:noProof/>
          </w:rPr>
          <w:t>E</w:t>
        </w:r>
      </w:fldSimple>
      <w:bookmarkEnd w:id="864"/>
      <w:r w:rsidR="00A40011" w:rsidRPr="00183E4D">
        <w:tab/>
      </w:r>
      <w:bookmarkEnd w:id="807"/>
      <w:bookmarkEnd w:id="865"/>
      <w:bookmarkEnd w:id="866"/>
      <w:bookmarkEnd w:id="867"/>
      <w:r w:rsidR="00591A6D" w:rsidRPr="00183E4D">
        <w:t xml:space="preserve">Excluded </w:t>
      </w:r>
      <w:r w:rsidR="0077418B" w:rsidRPr="00183E4D">
        <w:t>Studies</w:t>
      </w:r>
      <w:bookmarkEnd w:id="868"/>
    </w:p>
    <w:p w14:paraId="723A02BA" w14:textId="66475D97" w:rsidR="00502D19" w:rsidRDefault="00502D19" w:rsidP="004C79C1">
      <w:pPr>
        <w:pStyle w:val="Heading2"/>
        <w:spacing w:before="0" w:after="120" w:line="240" w:lineRule="auto"/>
        <w:jc w:val="both"/>
        <w:rPr>
          <w:snapToGrid w:val="0"/>
        </w:rPr>
      </w:pPr>
      <w:bookmarkStart w:id="869" w:name="_Toc451501415"/>
      <w:r>
        <w:rPr>
          <w:snapToGrid w:val="0"/>
        </w:rPr>
        <w:t xml:space="preserve">Diagnostic </w:t>
      </w:r>
      <w:r w:rsidR="00EB3973">
        <w:rPr>
          <w:snapToGrid w:val="0"/>
        </w:rPr>
        <w:t>P</w:t>
      </w:r>
      <w:r>
        <w:rPr>
          <w:snapToGrid w:val="0"/>
        </w:rPr>
        <w:t>erformance</w:t>
      </w:r>
      <w:bookmarkEnd w:id="869"/>
    </w:p>
    <w:p w14:paraId="417E9555" w14:textId="0946A740" w:rsidR="00894960" w:rsidRDefault="00894960" w:rsidP="00161B88">
      <w:pPr>
        <w:pStyle w:val="Heading3"/>
        <w:rPr>
          <w:snapToGrid w:val="0"/>
        </w:rPr>
      </w:pPr>
      <w:bookmarkStart w:id="870" w:name="_Toc451501416"/>
      <w:r>
        <w:rPr>
          <w:snapToGrid w:val="0"/>
        </w:rPr>
        <w:t>Could not locate full text article</w:t>
      </w:r>
      <w:bookmarkEnd w:id="870"/>
    </w:p>
    <w:p w14:paraId="49A60D66" w14:textId="20726051" w:rsidR="00894960" w:rsidRPr="00554A46" w:rsidRDefault="00894960" w:rsidP="004C79C1">
      <w:pPr>
        <w:pStyle w:val="EndNoteBibliography"/>
        <w:spacing w:after="120"/>
        <w:jc w:val="both"/>
        <w:rPr>
          <w:rFonts w:asciiTheme="minorHAnsi" w:hAnsiTheme="minorHAnsi"/>
        </w:rPr>
      </w:pPr>
      <w:r w:rsidRPr="00554A46">
        <w:rPr>
          <w:rFonts w:asciiTheme="minorHAnsi" w:hAnsiTheme="minorHAnsi"/>
        </w:rPr>
        <w:t xml:space="preserve">Li, X, Lu, M, Yu, Y, Liu, B, Zhao, S, Cheng, H, Yin, G, Zhang, Y, Dai, L, Lan, T, Yang, X, Wan, J &amp; Cui, C 2015, 'Comparative study of peripartum cardiomyopathy and idiopathic dilated cardiomyopathy MRI', </w:t>
      </w:r>
      <w:r w:rsidRPr="00554A46">
        <w:rPr>
          <w:rFonts w:asciiTheme="minorHAnsi" w:hAnsiTheme="minorHAnsi"/>
          <w:i/>
        </w:rPr>
        <w:t>Chinese Journal of Radiology (China)</w:t>
      </w:r>
      <w:r w:rsidRPr="00554A46">
        <w:rPr>
          <w:rFonts w:asciiTheme="minorHAnsi" w:hAnsiTheme="minorHAnsi"/>
        </w:rPr>
        <w:t>, vol. 49, no. 6, pp. 430</w:t>
      </w:r>
      <w:r w:rsidR="00967D8C">
        <w:rPr>
          <w:rFonts w:asciiTheme="minorHAnsi" w:hAnsiTheme="minorHAnsi"/>
        </w:rPr>
        <w:t>–</w:t>
      </w:r>
      <w:r w:rsidRPr="00554A46">
        <w:rPr>
          <w:rFonts w:asciiTheme="minorHAnsi" w:hAnsiTheme="minorHAnsi"/>
        </w:rPr>
        <w:t>434.</w:t>
      </w:r>
    </w:p>
    <w:p w14:paraId="2D9391BD" w14:textId="7FC8F232" w:rsidR="004F0758" w:rsidRDefault="004F0758" w:rsidP="00161B88">
      <w:pPr>
        <w:pStyle w:val="Heading3"/>
        <w:rPr>
          <w:snapToGrid w:val="0"/>
        </w:rPr>
      </w:pPr>
      <w:bookmarkStart w:id="871" w:name="_Toc451501417"/>
      <w:r>
        <w:rPr>
          <w:snapToGrid w:val="0"/>
        </w:rPr>
        <w:t>Different language</w:t>
      </w:r>
      <w:bookmarkEnd w:id="871"/>
    </w:p>
    <w:p w14:paraId="5B0055DC" w14:textId="2D561136"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Tong, K, Zhang, J, Wang, J, Zhou, X, Lei, X, Xu, Y &amp; Zhi, G 2012, 'Quantification of left and right ventricular systolic function in patients with dilated cardiomyopathy using real-time three-dimensional echocardiography', </w:t>
      </w:r>
      <w:r w:rsidRPr="00554A46">
        <w:rPr>
          <w:rFonts w:asciiTheme="minorHAnsi" w:hAnsiTheme="minorHAnsi"/>
          <w:i/>
        </w:rPr>
        <w:t>Journal of Central South University (Medical Sciences)</w:t>
      </w:r>
      <w:r w:rsidRPr="00554A46">
        <w:rPr>
          <w:rFonts w:asciiTheme="minorHAnsi" w:hAnsiTheme="minorHAnsi"/>
        </w:rPr>
        <w:t>, vol. 37, no. 6, pp. 561</w:t>
      </w:r>
      <w:r w:rsidR="00573223">
        <w:rPr>
          <w:rFonts w:asciiTheme="minorHAnsi" w:hAnsiTheme="minorHAnsi"/>
        </w:rPr>
        <w:t>–</w:t>
      </w:r>
      <w:r w:rsidRPr="00554A46">
        <w:rPr>
          <w:rFonts w:asciiTheme="minorHAnsi" w:hAnsiTheme="minorHAnsi"/>
        </w:rPr>
        <w:t>566.</w:t>
      </w:r>
    </w:p>
    <w:p w14:paraId="6465B9AF" w14:textId="59DF1E4E"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Marra, MP, De Lazzari, M, Corbetti, F, Angelini, A, Cacciavillani, L, Tarantini, G, Tona, F, Thiene, G, Iliceto, S &amp; Basso, C 2011, 'Contrast-enhanced cardiac magnetic resonance versus endomyocardial biopsy for myocardial fibrosis detection in non-ischemic dilated cardiomyopathy', </w:t>
      </w:r>
      <w:r w:rsidRPr="00554A46">
        <w:rPr>
          <w:rFonts w:asciiTheme="minorHAnsi" w:hAnsiTheme="minorHAnsi"/>
          <w:i/>
        </w:rPr>
        <w:t>Giornale Italiano di Cardiologia</w:t>
      </w:r>
      <w:r w:rsidRPr="00554A46">
        <w:rPr>
          <w:rFonts w:asciiTheme="minorHAnsi" w:hAnsiTheme="minorHAnsi"/>
        </w:rPr>
        <w:t>, vol. 12, no. 12, p. e42.</w:t>
      </w:r>
    </w:p>
    <w:p w14:paraId="22E7570B" w14:textId="55AEC92B" w:rsidR="001A5390" w:rsidRDefault="001A5390" w:rsidP="00161B88">
      <w:pPr>
        <w:pStyle w:val="Heading3"/>
      </w:pPr>
      <w:bookmarkStart w:id="872" w:name="_Toc451501418"/>
      <w:r>
        <w:t>Conference abstracts</w:t>
      </w:r>
      <w:bookmarkEnd w:id="872"/>
    </w:p>
    <w:p w14:paraId="32E66E75" w14:textId="453E03F5" w:rsidR="004F0758" w:rsidRPr="00554A46" w:rsidRDefault="004F0758" w:rsidP="004C79C1">
      <w:pPr>
        <w:pStyle w:val="EndNoteBibliography"/>
        <w:spacing w:after="120"/>
        <w:jc w:val="both"/>
        <w:rPr>
          <w:rFonts w:asciiTheme="minorHAnsi" w:hAnsiTheme="minorHAnsi"/>
        </w:rPr>
      </w:pPr>
      <w:r>
        <w:fldChar w:fldCharType="begin"/>
      </w:r>
      <w:r>
        <w:instrText xml:space="preserve"> ADDIN EN.REFLIST </w:instrText>
      </w:r>
      <w:r>
        <w:fldChar w:fldCharType="separate"/>
      </w:r>
      <w:r w:rsidRPr="00554A46">
        <w:rPr>
          <w:rFonts w:asciiTheme="minorHAnsi" w:hAnsiTheme="minorHAnsi"/>
        </w:rPr>
        <w:t xml:space="preserve">Amzulescu, MS, Pouleur, AC, Rousseau, MF, Ahn, SA, De Meester De Ravenstein, C, Vancraeynest, D, Pasquet, A, Vanoverschelde, JL &amp; Gerber, BL 2014, 'Degree of left ventricular myocardial trabeculation and non-compaction phenotype do not influence the prognosis of non-ischemic dilated cardiomyopathy', </w:t>
      </w:r>
      <w:r w:rsidRPr="00554A46">
        <w:rPr>
          <w:rFonts w:asciiTheme="minorHAnsi" w:hAnsiTheme="minorHAnsi"/>
          <w:i/>
        </w:rPr>
        <w:t>European Heart Journal</w:t>
      </w:r>
      <w:r w:rsidRPr="00554A46">
        <w:rPr>
          <w:rFonts w:asciiTheme="minorHAnsi" w:hAnsiTheme="minorHAnsi"/>
        </w:rPr>
        <w:t>, vol. 35, pp. 797</w:t>
      </w:r>
      <w:r w:rsidR="002A6C21">
        <w:rPr>
          <w:rFonts w:asciiTheme="minorHAnsi" w:hAnsiTheme="minorHAnsi"/>
        </w:rPr>
        <w:t>–</w:t>
      </w:r>
      <w:r w:rsidRPr="00554A46">
        <w:rPr>
          <w:rFonts w:asciiTheme="minorHAnsi" w:hAnsiTheme="minorHAnsi"/>
        </w:rPr>
        <w:t>798.</w:t>
      </w:r>
    </w:p>
    <w:p w14:paraId="1E70698D" w14:textId="772A9B7A"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Bai, X, Chen, W, Fang, L, Lin, X, Gao, P &amp; Fang, Q 2013, 'Regional reduction of systolic compacta thickness helps to distinguish isolated left ventricular non-compaction from dilated cardiomyopathy using cardiac magnetic resonance imaging', </w:t>
      </w:r>
      <w:r w:rsidRPr="00554A46">
        <w:rPr>
          <w:rFonts w:asciiTheme="minorHAnsi" w:hAnsiTheme="minorHAnsi"/>
          <w:i/>
        </w:rPr>
        <w:t>Circulation</w:t>
      </w:r>
      <w:r w:rsidRPr="00554A46">
        <w:rPr>
          <w:rFonts w:asciiTheme="minorHAnsi" w:hAnsiTheme="minorHAnsi"/>
        </w:rPr>
        <w:t>, vol. 128, no. 22.</w:t>
      </w:r>
    </w:p>
    <w:p w14:paraId="37D92C61" w14:textId="389B907B"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Biesbroek, SP, Kumar, E, Beek, AM &amp; Van Rossum, AC 2015, 'Relationship between clinical features and the diagnostic value of CMR tissue characterisation in patients with clinically suspected myocarditis', </w:t>
      </w:r>
      <w:r w:rsidRPr="00554A46">
        <w:rPr>
          <w:rFonts w:asciiTheme="minorHAnsi" w:hAnsiTheme="minorHAnsi"/>
          <w:i/>
        </w:rPr>
        <w:t>Journal of Cardiovascular Magnetic Resonance</w:t>
      </w:r>
      <w:r w:rsidRPr="00554A46">
        <w:rPr>
          <w:rFonts w:asciiTheme="minorHAnsi" w:hAnsiTheme="minorHAnsi"/>
        </w:rPr>
        <w:t>, vol. 17.</w:t>
      </w:r>
    </w:p>
    <w:p w14:paraId="074438FC" w14:textId="53FE713B"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Breuninger, K, Lehrke, S, Matheis, P, Sander, Y, Kammerer, R, Rust, L, Galuschky, C, Katus, HA, Korosoglou, G &amp; Buss, S 2013, 'Feature tracking cardiac magnetic resonance imaging for the evaluation of myocardial strain in patients with dilated cardiomyopathy and in healthy controls', </w:t>
      </w:r>
      <w:r w:rsidRPr="00554A46">
        <w:rPr>
          <w:rFonts w:asciiTheme="minorHAnsi" w:hAnsiTheme="minorHAnsi"/>
          <w:i/>
        </w:rPr>
        <w:t>Journal of Cardiovascular Magnetic Resonance</w:t>
      </w:r>
      <w:r w:rsidRPr="00554A46">
        <w:rPr>
          <w:rFonts w:asciiTheme="minorHAnsi" w:hAnsiTheme="minorHAnsi"/>
        </w:rPr>
        <w:t>, vol. 15, p. 335.</w:t>
      </w:r>
    </w:p>
    <w:p w14:paraId="54FA7F15" w14:textId="634AD80C"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Chimura, M, Yamada, Y, Taniguchi, Y, Okajima, K, Yasaka, Y, Kawai, H &amp; Shimane, A 2014, 'Usefulness of cardiac magnetic resonance to predict left ventricular reverse remodeling and life threatening ventricular tachyarrhythmias in patients with idiopathic dilated cardiomyopathy', </w:t>
      </w:r>
      <w:r w:rsidRPr="00554A46">
        <w:rPr>
          <w:rFonts w:asciiTheme="minorHAnsi" w:hAnsiTheme="minorHAnsi"/>
          <w:i/>
        </w:rPr>
        <w:t>European Heart Journal</w:t>
      </w:r>
      <w:r w:rsidRPr="00554A46">
        <w:rPr>
          <w:rFonts w:asciiTheme="minorHAnsi" w:hAnsiTheme="minorHAnsi"/>
        </w:rPr>
        <w:t>, vol. 35, p. 765.</w:t>
      </w:r>
    </w:p>
    <w:p w14:paraId="3A72792B" w14:textId="494F289D"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Corbi-Pascual, MJ, Navarro-Cuartero, J, Prieto-Mateos, D, Cordoba-Soriano, JG, Barrionuevo-Sanchez, MI, Llanos-Guerrero, C, Gallego-Sanchez, G, Ramirez-Guijarro, C, Jimenez-Mazuecos, J &amp; Lafuente-Gormaz, C 2015, 'Tako-Tsubo syndrome: Value of cardiac magnetic resonance in diagnostic confirmation', </w:t>
      </w:r>
      <w:r w:rsidRPr="00554A46">
        <w:rPr>
          <w:rFonts w:asciiTheme="minorHAnsi" w:hAnsiTheme="minorHAnsi"/>
          <w:i/>
        </w:rPr>
        <w:t>European Heart Journal: Acute Cardiovascular Care</w:t>
      </w:r>
      <w:r w:rsidRPr="00554A46">
        <w:rPr>
          <w:rFonts w:asciiTheme="minorHAnsi" w:hAnsiTheme="minorHAnsi"/>
        </w:rPr>
        <w:t>, vol. 4, p. 302.</w:t>
      </w:r>
    </w:p>
    <w:p w14:paraId="7E13CE0B" w14:textId="7CD5EA38"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De Lazzari, M, Marra, MP, Corbetti, F, Tona, F, Migliore, F, Zorzi, A, Lin, CD, Thiene, G, Basso, C, Cacciavillani, L, Corrado, D &amp; Iliceto, S 2011, 'Myocardial scar visualized by contrast-enhanced cardiac magnetic resonance as a major predictor of arrhythmic events in patients with non-ischemic dilated cardiomyopathy over a long-term follow-up', </w:t>
      </w:r>
      <w:r w:rsidRPr="00554A46">
        <w:rPr>
          <w:rFonts w:asciiTheme="minorHAnsi" w:hAnsiTheme="minorHAnsi"/>
          <w:i/>
        </w:rPr>
        <w:t>Giornale Italiano di Cardiologia</w:t>
      </w:r>
      <w:r w:rsidRPr="00554A46">
        <w:rPr>
          <w:rFonts w:asciiTheme="minorHAnsi" w:hAnsiTheme="minorHAnsi"/>
        </w:rPr>
        <w:t>, vol. 12, no. 12, p. e43.</w:t>
      </w:r>
    </w:p>
    <w:p w14:paraId="58D46DE3" w14:textId="77777777" w:rsidR="004F0758" w:rsidRPr="00554A46" w:rsidRDefault="004F0758" w:rsidP="004C79C1">
      <w:pPr>
        <w:pStyle w:val="EndNoteBibliography"/>
        <w:spacing w:after="120"/>
        <w:jc w:val="both"/>
        <w:rPr>
          <w:rFonts w:asciiTheme="minorHAnsi" w:hAnsiTheme="minorHAnsi"/>
        </w:rPr>
      </w:pPr>
    </w:p>
    <w:p w14:paraId="68887AE6" w14:textId="358768B8"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Dungu, J, Marshall, J, O'Donnell, MS, Madden, BP, Hawkins, PN &amp; Anderson, LJ 2012, 'Comparison of gadolinium-enhanced cardiac MRI with endomyocardial biopsy for detection of cardiac amyloidosis', </w:t>
      </w:r>
      <w:r w:rsidRPr="00554A46">
        <w:rPr>
          <w:rFonts w:asciiTheme="minorHAnsi" w:hAnsiTheme="minorHAnsi"/>
          <w:i/>
        </w:rPr>
        <w:t>European Heart Journal</w:t>
      </w:r>
      <w:r w:rsidRPr="00554A46">
        <w:rPr>
          <w:rFonts w:asciiTheme="minorHAnsi" w:hAnsiTheme="minorHAnsi"/>
        </w:rPr>
        <w:t>, vol. 33, p. 530.</w:t>
      </w:r>
    </w:p>
    <w:p w14:paraId="5F74A9DE" w14:textId="10476BA1"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Dunogué, B, Cohen, P, Terrier, B, Marmursztejn, J, Duboc, D, Vignaux, O &amp; Guillevin, L 2013, 'Impact of cardiac magnetic resonance imaging on eosinophilic granulomatosis with polyangiitis outcomes: </w:t>
      </w:r>
      <w:r w:rsidR="00030DB2">
        <w:rPr>
          <w:rFonts w:asciiTheme="minorHAnsi" w:hAnsiTheme="minorHAnsi"/>
        </w:rPr>
        <w:t>a</w:t>
      </w:r>
      <w:r w:rsidRPr="00554A46">
        <w:rPr>
          <w:rFonts w:asciiTheme="minorHAnsi" w:hAnsiTheme="minorHAnsi"/>
        </w:rPr>
        <w:t xml:space="preserve"> long-term retrospective study on 42 patients', </w:t>
      </w:r>
      <w:r w:rsidRPr="00554A46">
        <w:rPr>
          <w:rFonts w:asciiTheme="minorHAnsi" w:hAnsiTheme="minorHAnsi"/>
          <w:i/>
        </w:rPr>
        <w:t>Arthritis and Rheumatism</w:t>
      </w:r>
      <w:r w:rsidRPr="00554A46">
        <w:rPr>
          <w:rFonts w:asciiTheme="minorHAnsi" w:hAnsiTheme="minorHAnsi"/>
        </w:rPr>
        <w:t>, vol. 65, p. S320.</w:t>
      </w:r>
    </w:p>
    <w:p w14:paraId="7EA67916" w14:textId="4DC248E6"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Fanaie, F, Gulati, A, Andrew, J, Ismail, N, Banya, W, Prasad, S &amp; Mohiaddin, R 2011, 'Left atrial volume is associated with mid-wall fibrosis in </w:t>
      </w:r>
      <w:r w:rsidR="00030DB2">
        <w:rPr>
          <w:rFonts w:asciiTheme="minorHAnsi" w:hAnsiTheme="minorHAnsi"/>
        </w:rPr>
        <w:t>d</w:t>
      </w:r>
      <w:r w:rsidRPr="00554A46">
        <w:rPr>
          <w:rFonts w:asciiTheme="minorHAnsi" w:hAnsiTheme="minorHAnsi"/>
        </w:rPr>
        <w:t xml:space="preserve">ilated </w:t>
      </w:r>
      <w:r w:rsidR="00030DB2">
        <w:rPr>
          <w:rFonts w:asciiTheme="minorHAnsi" w:hAnsiTheme="minorHAnsi"/>
        </w:rPr>
        <w:t>c</w:t>
      </w:r>
      <w:r w:rsidRPr="00554A46">
        <w:rPr>
          <w:rFonts w:asciiTheme="minorHAnsi" w:hAnsiTheme="minorHAnsi"/>
        </w:rPr>
        <w:t xml:space="preserve">ardiomyopathy', </w:t>
      </w:r>
      <w:r w:rsidRPr="00554A46">
        <w:rPr>
          <w:rFonts w:asciiTheme="minorHAnsi" w:hAnsiTheme="minorHAnsi"/>
          <w:i/>
        </w:rPr>
        <w:t>Journal of Cardiovascular Magnetic Resonance</w:t>
      </w:r>
      <w:r w:rsidRPr="00554A46">
        <w:rPr>
          <w:rFonts w:asciiTheme="minorHAnsi" w:hAnsiTheme="minorHAnsi"/>
        </w:rPr>
        <w:t>, vol. 13.</w:t>
      </w:r>
    </w:p>
    <w:p w14:paraId="7980166C" w14:textId="397761A9"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Fanaie, F, Gulati, A, Jabbour, A, Winston, B, Prasad, S &amp; Mohiaddin, R 2011, 'Association of LA volumes and mid-wall myocardial fibrosis in the </w:t>
      </w:r>
      <w:r w:rsidR="00613FC3">
        <w:rPr>
          <w:rFonts w:asciiTheme="minorHAnsi" w:hAnsiTheme="minorHAnsi"/>
        </w:rPr>
        <w:t>d</w:t>
      </w:r>
      <w:r w:rsidRPr="00554A46">
        <w:rPr>
          <w:rFonts w:asciiTheme="minorHAnsi" w:hAnsiTheme="minorHAnsi"/>
        </w:rPr>
        <w:t xml:space="preserve">ilated cardiomyopathy patients', </w:t>
      </w:r>
      <w:r w:rsidRPr="00554A46">
        <w:rPr>
          <w:rFonts w:asciiTheme="minorHAnsi" w:hAnsiTheme="minorHAnsi"/>
          <w:i/>
        </w:rPr>
        <w:t>Journal of Cardiovascular Magnetic Resonance</w:t>
      </w:r>
      <w:r w:rsidRPr="00554A46">
        <w:rPr>
          <w:rFonts w:asciiTheme="minorHAnsi" w:hAnsiTheme="minorHAnsi"/>
        </w:rPr>
        <w:t>, vol. 13.</w:t>
      </w:r>
    </w:p>
    <w:p w14:paraId="2A9D86B5" w14:textId="33EA6A9C"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Fernández-Armenta, J, Berruezo, A, Mont, L, Sitges, M, Andreu, D, Silva, E, Ortiz, JT, Tolosana, JM, Calvo, N, De Caralt, TM, Borràs, R, Perea, RJ &amp; Brugada, J 2011, 'Identification of cardiac resynchronization therapy candidates needing a backup defibrillator on the basis of myocardial scar characterization', </w:t>
      </w:r>
      <w:r w:rsidRPr="00554A46">
        <w:rPr>
          <w:rFonts w:asciiTheme="minorHAnsi" w:hAnsiTheme="minorHAnsi"/>
          <w:i/>
        </w:rPr>
        <w:t>Heart Rhythm</w:t>
      </w:r>
      <w:r w:rsidRPr="00554A46">
        <w:rPr>
          <w:rFonts w:asciiTheme="minorHAnsi" w:hAnsiTheme="minorHAnsi"/>
        </w:rPr>
        <w:t>, vol. 8, no. 5, p. S14.</w:t>
      </w:r>
    </w:p>
    <w:p w14:paraId="219A76A5" w14:textId="4308B0D2"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Fertin, M, Mouquet, F, Lions, C, Goeminne, C, Lamblin, N, Bauters, C, Beregi, JP &amp; De Groote, P 2010, 'Is late gadolinium enhancement by cardiac magnetic resonance really helpful for risk stratification in stable patients with dilated cardiomyopathy?', </w:t>
      </w:r>
      <w:r w:rsidRPr="00554A46">
        <w:rPr>
          <w:rFonts w:asciiTheme="minorHAnsi" w:hAnsiTheme="minorHAnsi"/>
          <w:i/>
        </w:rPr>
        <w:t>European Heart Journal</w:t>
      </w:r>
      <w:r w:rsidRPr="00554A46">
        <w:rPr>
          <w:rFonts w:asciiTheme="minorHAnsi" w:hAnsiTheme="minorHAnsi"/>
        </w:rPr>
        <w:t>, vol. 31, p. 129.</w:t>
      </w:r>
    </w:p>
    <w:p w14:paraId="7E89B409" w14:textId="3F745370"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Franke, J, Seitz, SA, Abdel-Aty, H, Abdelrazek, MA, Lossnitzer, D, Katus, HA &amp; Andre, F 2013, 'Characteristics and clinical associations of late gadolinium enhanced cardiovascular magnetic tesonance in lamin A/C, cardiac troponin T and myosin binding protein C gene mutation related cardiomyopathies', </w:t>
      </w:r>
      <w:r w:rsidRPr="00554A46">
        <w:rPr>
          <w:rFonts w:asciiTheme="minorHAnsi" w:hAnsiTheme="minorHAnsi"/>
          <w:i/>
        </w:rPr>
        <w:t>Journal of Cardiovascular Magnetic Resonance</w:t>
      </w:r>
      <w:r w:rsidRPr="00554A46">
        <w:rPr>
          <w:rFonts w:asciiTheme="minorHAnsi" w:hAnsiTheme="minorHAnsi"/>
        </w:rPr>
        <w:t>, vol. 15, p. 323.</w:t>
      </w:r>
    </w:p>
    <w:p w14:paraId="5F9C2791" w14:textId="6CB1BFC9"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Gomes, HA, Lamacié, MM, Fernandes, FV, Abreu, BN, Freitas, MD, Dias Filho, PC, Moreira, V, Carneiro, A, Magalhães, TA &amp; Rochitte, CE 2015, 'Parameters of Right Ventricle as etiological distinction between ischemic and non-ischemic dilated cardiomyopathy', </w:t>
      </w:r>
      <w:r w:rsidRPr="00554A46">
        <w:rPr>
          <w:rFonts w:asciiTheme="minorHAnsi" w:hAnsiTheme="minorHAnsi"/>
          <w:i/>
        </w:rPr>
        <w:t>Journal of Cardiovascular Magnetic Resonance</w:t>
      </w:r>
      <w:r w:rsidRPr="00554A46">
        <w:rPr>
          <w:rFonts w:asciiTheme="minorHAnsi" w:hAnsiTheme="minorHAnsi"/>
        </w:rPr>
        <w:t>, vol. 17.</w:t>
      </w:r>
    </w:p>
    <w:p w14:paraId="0D2A8FD3" w14:textId="6E2BAD15"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Gorthi, J, Alla, V, Kandasamy, V, Akinapelli, A, Kaja, A, Nagabandi, A, Jayanna, M &amp; Hunter, C 2013, 'Utility of late gadolinium enhancement on cardiac MRI in predicting clinically significant ventricular arrhythmias in patients with dilated cardiomyopathy: </w:t>
      </w:r>
      <w:r w:rsidR="003805D3">
        <w:rPr>
          <w:rFonts w:asciiTheme="minorHAnsi" w:hAnsiTheme="minorHAnsi"/>
        </w:rPr>
        <w:t>a</w:t>
      </w:r>
      <w:r w:rsidRPr="00554A46">
        <w:rPr>
          <w:rFonts w:asciiTheme="minorHAnsi" w:hAnsiTheme="minorHAnsi"/>
        </w:rPr>
        <w:t xml:space="preserve"> meta-analysis of observational studies', </w:t>
      </w:r>
      <w:r w:rsidRPr="00554A46">
        <w:rPr>
          <w:rFonts w:asciiTheme="minorHAnsi" w:hAnsiTheme="minorHAnsi"/>
          <w:i/>
        </w:rPr>
        <w:t>Circulation</w:t>
      </w:r>
      <w:r w:rsidRPr="00554A46">
        <w:rPr>
          <w:rFonts w:asciiTheme="minorHAnsi" w:hAnsiTheme="minorHAnsi"/>
        </w:rPr>
        <w:t>, vol. 128, no. 22.</w:t>
      </w:r>
    </w:p>
    <w:p w14:paraId="035D1D42" w14:textId="1C9BE8F4"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Han, B, Wu, LL, Wang, J, Wang, CY, Yi, YC, Jia, HP, Zhao, LJ, Zhang, JJ &amp; Wang, GB 2014, 'The diagnostic value of cardiac magnetic resonance in children with acute fulminant myocarditis', </w:t>
      </w:r>
      <w:r w:rsidRPr="00554A46">
        <w:rPr>
          <w:rFonts w:asciiTheme="minorHAnsi" w:hAnsiTheme="minorHAnsi"/>
          <w:i/>
        </w:rPr>
        <w:t>European Heart Journal</w:t>
      </w:r>
      <w:r w:rsidRPr="00554A46">
        <w:rPr>
          <w:rFonts w:asciiTheme="minorHAnsi" w:hAnsiTheme="minorHAnsi"/>
        </w:rPr>
        <w:t>, vol. 35, p. 919.</w:t>
      </w:r>
    </w:p>
    <w:p w14:paraId="4FA411F2" w14:textId="2444A8E4"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Hanna, J, McKenzie, S, Platts, D, Brown, M, Javorsky, G, McCann, A, Larsen, P, Strugnell, W &amp; Hamilton-Craig, C 2012, 'Six</w:t>
      </w:r>
      <w:r w:rsidR="003805D3">
        <w:rPr>
          <w:rFonts w:asciiTheme="minorHAnsi" w:hAnsiTheme="minorHAnsi"/>
        </w:rPr>
        <w:t>-</w:t>
      </w:r>
      <w:r w:rsidRPr="00554A46">
        <w:rPr>
          <w:rFonts w:asciiTheme="minorHAnsi" w:hAnsiTheme="minorHAnsi"/>
        </w:rPr>
        <w:t>year follow</w:t>
      </w:r>
      <w:r w:rsidR="003805D3">
        <w:rPr>
          <w:rFonts w:asciiTheme="minorHAnsi" w:hAnsiTheme="minorHAnsi"/>
        </w:rPr>
        <w:t>-</w:t>
      </w:r>
      <w:r w:rsidRPr="00554A46">
        <w:rPr>
          <w:rFonts w:asciiTheme="minorHAnsi" w:hAnsiTheme="minorHAnsi"/>
        </w:rPr>
        <w:t>up</w:t>
      </w:r>
      <w:r w:rsidR="003805D3">
        <w:rPr>
          <w:rFonts w:asciiTheme="minorHAnsi" w:hAnsiTheme="minorHAnsi"/>
        </w:rPr>
        <w:t xml:space="preserve"> </w:t>
      </w:r>
      <w:r w:rsidRPr="00554A46">
        <w:rPr>
          <w:rFonts w:asciiTheme="minorHAnsi" w:hAnsiTheme="minorHAnsi"/>
        </w:rPr>
        <w:t xml:space="preserve">and outcome of cardiac magnetic resonance detected left ventricular trabeculation without non-compaction in dilated cardiomyopathy', </w:t>
      </w:r>
      <w:r w:rsidRPr="00554A46">
        <w:rPr>
          <w:rFonts w:asciiTheme="minorHAnsi" w:hAnsiTheme="minorHAnsi"/>
          <w:i/>
        </w:rPr>
        <w:t>Heart Lung and Circulation</w:t>
      </w:r>
      <w:r w:rsidRPr="00554A46">
        <w:rPr>
          <w:rFonts w:asciiTheme="minorHAnsi" w:hAnsiTheme="minorHAnsi"/>
        </w:rPr>
        <w:t>, vol. 21, p. S224.</w:t>
      </w:r>
    </w:p>
    <w:p w14:paraId="1DC77EA0" w14:textId="790FFAE8"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Holmström, M, Kivistö, S, Heliö, T, Jurkko, R, Kaartinen, M, Antila, M, Reissell, E, Kuusisto, J, Kärkkäinen, S, Peuhkurinen, K, Risteli, J, Koikkalainen, J, Lötjönen, J &amp; Lauerma, K 2011, 'Description of A/C gene mutation related dilated cardiomyopathy with gadolinium-enhanced magnetic resonance imaging', </w:t>
      </w:r>
      <w:r w:rsidRPr="00554A46">
        <w:rPr>
          <w:rFonts w:asciiTheme="minorHAnsi" w:hAnsiTheme="minorHAnsi"/>
          <w:i/>
        </w:rPr>
        <w:t>Journal of Cardiovascular Magnetic Resonance</w:t>
      </w:r>
      <w:r w:rsidRPr="00554A46">
        <w:rPr>
          <w:rFonts w:asciiTheme="minorHAnsi" w:hAnsiTheme="minorHAnsi"/>
        </w:rPr>
        <w:t>, vol. 13.</w:t>
      </w:r>
    </w:p>
    <w:p w14:paraId="14EC4B33" w14:textId="75198C71"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Ikeda, Y, Inomata, T, Iida, Y, Nabeta, T, Ishii, S, Sato, T, Mizutani, T, Naruke, T, Koitabashi, T &amp; Ako, J 2014, 'Relationship between time course of morphometric improvement and extent of cardiac fibrosis in patients with idiopathic dilated cardiomyopathy', </w:t>
      </w:r>
      <w:r w:rsidRPr="00554A46">
        <w:rPr>
          <w:rFonts w:asciiTheme="minorHAnsi" w:hAnsiTheme="minorHAnsi"/>
          <w:i/>
        </w:rPr>
        <w:t>European Heart Journal</w:t>
      </w:r>
      <w:r w:rsidRPr="00554A46">
        <w:rPr>
          <w:rFonts w:asciiTheme="minorHAnsi" w:hAnsiTheme="minorHAnsi"/>
        </w:rPr>
        <w:t>, vol. 35, p. 534.</w:t>
      </w:r>
    </w:p>
    <w:p w14:paraId="4B4A3FD7" w14:textId="24B0B2D5"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lastRenderedPageBreak/>
        <w:t xml:space="preserve">Jablonowski, R, Chaudhry, U, Van Der Pals, J, Engblom, H, Arheden, H, Heiberg, E, Wu, KC, Borgquist, R &amp; Carlsson, M 2015, 'Cardiac magnetic resonance can predict appropriate primary prevention ICD-therapy in ischemic and dilated cardiomyopathy patients using late gadolinium enhancement heterogeneity', </w:t>
      </w:r>
      <w:r w:rsidRPr="00554A46">
        <w:rPr>
          <w:rFonts w:asciiTheme="minorHAnsi" w:hAnsiTheme="minorHAnsi"/>
          <w:i/>
        </w:rPr>
        <w:t>European Heart Journal</w:t>
      </w:r>
      <w:r w:rsidRPr="00554A46">
        <w:rPr>
          <w:rFonts w:asciiTheme="minorHAnsi" w:hAnsiTheme="minorHAnsi"/>
        </w:rPr>
        <w:t>, vol. 36, p. 685.</w:t>
      </w:r>
    </w:p>
    <w:p w14:paraId="17B9F28C" w14:textId="29C95AB0"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Kasai, Y, Nakajima, T, Noguchi, R, Homma, M, Sakai, A, Tatsumi, F, Shimamoto, K, Hagiwara, N &amp; Kawana, M 2010, 'Utility of late gadolinium enhancement pattern on cardiac magnetic resonance to differentiate cardiac sarcoidosis from dilated cardiomyopathy', </w:t>
      </w:r>
      <w:r w:rsidRPr="00554A46">
        <w:rPr>
          <w:rFonts w:asciiTheme="minorHAnsi" w:hAnsiTheme="minorHAnsi"/>
          <w:i/>
        </w:rPr>
        <w:t>European Heart Journal</w:t>
      </w:r>
      <w:r w:rsidRPr="00554A46">
        <w:rPr>
          <w:rFonts w:asciiTheme="minorHAnsi" w:hAnsiTheme="minorHAnsi"/>
        </w:rPr>
        <w:t>, vol. 31, p. 439.</w:t>
      </w:r>
    </w:p>
    <w:p w14:paraId="70FA7D10" w14:textId="2CA8EC74"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Kharabish, AE 2016, 'CMRI morphological and functional changes of the heart in myocarditis and dilated cardiomyopathy in acute pediatric heart failure', </w:t>
      </w:r>
      <w:r w:rsidRPr="00554A46">
        <w:rPr>
          <w:rFonts w:asciiTheme="minorHAnsi" w:hAnsiTheme="minorHAnsi"/>
          <w:i/>
        </w:rPr>
        <w:t>Journal of Cardiovascular Magnetic Resonance</w:t>
      </w:r>
      <w:r w:rsidRPr="00554A46">
        <w:rPr>
          <w:rFonts w:asciiTheme="minorHAnsi" w:hAnsiTheme="minorHAnsi"/>
        </w:rPr>
        <w:t>, vol. 18.</w:t>
      </w:r>
    </w:p>
    <w:p w14:paraId="1A635062" w14:textId="6783E1CC"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Kimura, K, Tanimoto, T &amp; Akasaka, T 2013, 'Association between left ventricular endocardial trabeculae volume and left ventricular function in cardiac diseases by cardiac magnetic resonance imaging', </w:t>
      </w:r>
      <w:r w:rsidRPr="00554A46">
        <w:rPr>
          <w:rFonts w:asciiTheme="minorHAnsi" w:hAnsiTheme="minorHAnsi"/>
          <w:i/>
        </w:rPr>
        <w:t>European Heart Journal Cardiovascular Imaging</w:t>
      </w:r>
      <w:r w:rsidRPr="00554A46">
        <w:rPr>
          <w:rFonts w:asciiTheme="minorHAnsi" w:hAnsiTheme="minorHAnsi"/>
        </w:rPr>
        <w:t>, vol. 14, p. ii158.</w:t>
      </w:r>
    </w:p>
    <w:p w14:paraId="3DE141E5" w14:textId="497A5023"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Leong, DP, Shipp, N, Chakrabarty, A, Joerg, L, Shirazi, M, Molaee, P, Perry, R, Penhall, A, De Pasquale, CG &amp; Selvanayagam, JB 2010, 'Structural and functional characterisation of new-onset idiopathic dilated cardiomyopathy, and its response to therapy', </w:t>
      </w:r>
      <w:r w:rsidRPr="00554A46">
        <w:rPr>
          <w:rFonts w:asciiTheme="minorHAnsi" w:hAnsiTheme="minorHAnsi"/>
          <w:i/>
        </w:rPr>
        <w:t>Journal of Cardiovascular Magnetic Resonance</w:t>
      </w:r>
      <w:r w:rsidRPr="00554A46">
        <w:rPr>
          <w:rFonts w:asciiTheme="minorHAnsi" w:hAnsiTheme="minorHAnsi"/>
        </w:rPr>
        <w:t>, vol. 12, p. 231.</w:t>
      </w:r>
    </w:p>
    <w:p w14:paraId="05A9D213" w14:textId="77777777" w:rsidR="004F0758" w:rsidRPr="00554A46" w:rsidRDefault="004F0758" w:rsidP="004C79C1">
      <w:pPr>
        <w:pStyle w:val="EndNoteBibliography"/>
        <w:spacing w:after="120"/>
        <w:jc w:val="both"/>
        <w:rPr>
          <w:rFonts w:asciiTheme="minorHAnsi" w:hAnsiTheme="minorHAnsi"/>
        </w:rPr>
      </w:pPr>
    </w:p>
    <w:p w14:paraId="5EECDB3F" w14:textId="7461204F"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Li, XP, Hua, W, Zhang, S &amp; Zhao, SH 2013, 'The clinical correlates and prognostic impact of LGE on cardiac magnetic resonance imaging in patients with dilated cardiomyopathy', </w:t>
      </w:r>
      <w:r w:rsidRPr="00554A46">
        <w:rPr>
          <w:rFonts w:asciiTheme="minorHAnsi" w:hAnsiTheme="minorHAnsi"/>
          <w:i/>
        </w:rPr>
        <w:t>International Journal of Cardiology</w:t>
      </w:r>
      <w:r w:rsidRPr="00554A46">
        <w:rPr>
          <w:rFonts w:asciiTheme="minorHAnsi" w:hAnsiTheme="minorHAnsi"/>
        </w:rPr>
        <w:t>, vol. 164, no. 2, p. S7.</w:t>
      </w:r>
    </w:p>
    <w:p w14:paraId="3FA3F081" w14:textId="77777777" w:rsidR="004F0758" w:rsidRPr="00554A46" w:rsidRDefault="004F0758" w:rsidP="004C79C1">
      <w:pPr>
        <w:pStyle w:val="EndNoteBibliography"/>
        <w:spacing w:after="120"/>
        <w:jc w:val="both"/>
        <w:rPr>
          <w:rFonts w:asciiTheme="minorHAnsi" w:hAnsiTheme="minorHAnsi"/>
        </w:rPr>
      </w:pPr>
    </w:p>
    <w:p w14:paraId="0F4E5EEE" w14:textId="77777777" w:rsidR="004F0758" w:rsidRPr="00554A46" w:rsidRDefault="004F0758" w:rsidP="004C79C1">
      <w:pPr>
        <w:pStyle w:val="EndNoteBibliography"/>
        <w:spacing w:after="120"/>
        <w:jc w:val="both"/>
        <w:rPr>
          <w:rFonts w:asciiTheme="minorHAnsi" w:hAnsiTheme="minorHAnsi"/>
        </w:rPr>
      </w:pPr>
    </w:p>
    <w:p w14:paraId="4C9C90AD" w14:textId="16BEBA65"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Marra, MP, De Lazzari, M, Corbetti, F, Tona, F, Migliore, F, Zorzi, A, Thiene, G, Basso, C, Corrado, D &amp; Iliceto, S 2011, 'Arrhythmic risk stratification in non-ischemic dilated cardiomyopathies: </w:t>
      </w:r>
      <w:r w:rsidR="00E12561">
        <w:rPr>
          <w:rFonts w:asciiTheme="minorHAnsi" w:hAnsiTheme="minorHAnsi"/>
        </w:rPr>
        <w:t>a</w:t>
      </w:r>
      <w:r w:rsidRPr="00554A46">
        <w:rPr>
          <w:rFonts w:asciiTheme="minorHAnsi" w:hAnsiTheme="minorHAnsi"/>
        </w:rPr>
        <w:t xml:space="preserve">dditional value of left ventricular myocardial scar visualized by contrast-enhanced cardiac magnetic resonance', </w:t>
      </w:r>
      <w:r w:rsidRPr="00554A46">
        <w:rPr>
          <w:rFonts w:asciiTheme="minorHAnsi" w:hAnsiTheme="minorHAnsi"/>
          <w:i/>
        </w:rPr>
        <w:t>Circulation</w:t>
      </w:r>
      <w:r w:rsidRPr="00554A46">
        <w:rPr>
          <w:rFonts w:asciiTheme="minorHAnsi" w:hAnsiTheme="minorHAnsi"/>
        </w:rPr>
        <w:t>, vol. 124, no. 21.</w:t>
      </w:r>
    </w:p>
    <w:p w14:paraId="64F2A5B9" w14:textId="511ECD1F"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Marra, MP, De Lazzari, M, Frigo, A, Giorgi, B, De Conti, G, Tarantini, G, Tona, F, Basso, C, Cacciaillani, L &amp; Iliceto, S 2014, 'Junctional late enhancement in non-ischemic dilated cardiomyopathy by cardiac magnetic resonance: </w:t>
      </w:r>
      <w:r w:rsidR="00E12561">
        <w:rPr>
          <w:rFonts w:asciiTheme="minorHAnsi" w:hAnsiTheme="minorHAnsi"/>
        </w:rPr>
        <w:t>a</w:t>
      </w:r>
      <w:r w:rsidRPr="00554A46">
        <w:rPr>
          <w:rFonts w:asciiTheme="minorHAnsi" w:hAnsiTheme="minorHAnsi"/>
        </w:rPr>
        <w:t xml:space="preserve"> marker of ventricular adaptaton due to pulmonary hypertension', </w:t>
      </w:r>
      <w:r w:rsidRPr="00554A46">
        <w:rPr>
          <w:rFonts w:asciiTheme="minorHAnsi" w:hAnsiTheme="minorHAnsi"/>
          <w:i/>
        </w:rPr>
        <w:t>Circulation</w:t>
      </w:r>
      <w:r w:rsidRPr="00554A46">
        <w:rPr>
          <w:rFonts w:asciiTheme="minorHAnsi" w:hAnsiTheme="minorHAnsi"/>
        </w:rPr>
        <w:t>, vol. 130.</w:t>
      </w:r>
    </w:p>
    <w:p w14:paraId="02009A5E" w14:textId="6CD337D6"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Marra, MP, De Lazzari, M, Rizzo, S, Zilio, F, Vettor, G, Calore, C, Giorgi, B, Tona, F, Cacciavillani, L, Tarantini, G, Miotto, D, Thiene, G, Corrado, D, Iliceto, S &amp; Basso, C 2013, 'The diagnostic and prognostic value of myocardial fibrosis in nonischemic dilated cardiomyopathy: </w:t>
      </w:r>
      <w:r w:rsidR="00EE0EE3">
        <w:rPr>
          <w:rFonts w:asciiTheme="minorHAnsi" w:hAnsiTheme="minorHAnsi"/>
        </w:rPr>
        <w:t>a</w:t>
      </w:r>
      <w:r w:rsidRPr="00554A46">
        <w:rPr>
          <w:rFonts w:asciiTheme="minorHAnsi" w:hAnsiTheme="minorHAnsi"/>
        </w:rPr>
        <w:t xml:space="preserve"> study by endomyocardial biopsy and cardiac magnetic resonance', </w:t>
      </w:r>
      <w:r w:rsidRPr="00554A46">
        <w:rPr>
          <w:rFonts w:asciiTheme="minorHAnsi" w:hAnsiTheme="minorHAnsi"/>
          <w:i/>
        </w:rPr>
        <w:t>Circulation</w:t>
      </w:r>
      <w:r w:rsidRPr="00554A46">
        <w:rPr>
          <w:rFonts w:asciiTheme="minorHAnsi" w:hAnsiTheme="minorHAnsi"/>
        </w:rPr>
        <w:t>, vol. 128, no. 22.</w:t>
      </w:r>
    </w:p>
    <w:p w14:paraId="59C684F1" w14:textId="0D541200"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Marra, MP, De Lazzari, M, Zorzi, A, Corbetti, F, Tona, F, Vettor, G, Migliore, F, Basso, C, Iliceto, S &amp; Corrado, D 2012, 'Long-term arrhythmic outcome of non-ischemic dilated cardiomyopathy: Prognostic value of contrast-enhanced cardiac magnetic resonance', </w:t>
      </w:r>
      <w:r w:rsidRPr="00554A46">
        <w:rPr>
          <w:rFonts w:asciiTheme="minorHAnsi" w:hAnsiTheme="minorHAnsi"/>
          <w:i/>
        </w:rPr>
        <w:t>Circulation</w:t>
      </w:r>
      <w:r w:rsidR="009A77A9">
        <w:rPr>
          <w:rFonts w:asciiTheme="minorHAnsi" w:hAnsiTheme="minorHAnsi"/>
        </w:rPr>
        <w:t>, vol. 126, no. 21</w:t>
      </w:r>
      <w:r w:rsidRPr="00554A46">
        <w:rPr>
          <w:rFonts w:asciiTheme="minorHAnsi" w:hAnsiTheme="minorHAnsi"/>
        </w:rPr>
        <w:t>.</w:t>
      </w:r>
    </w:p>
    <w:p w14:paraId="4B5F504A" w14:textId="1387C8AF"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Noguchi, R, Nakajima, T, Kasai, Y, Watanabe, E, Momose, M, Kondo, C, Kusakabe, K, Kawana, M &amp; Hagiwara, N 2010, 'Is subendocardial or transmural late gadolinium enhancement able to differentiate between DCM and ICM on cardiac MRI?', </w:t>
      </w:r>
      <w:r w:rsidRPr="00554A46">
        <w:rPr>
          <w:rFonts w:asciiTheme="minorHAnsi" w:hAnsiTheme="minorHAnsi"/>
          <w:i/>
        </w:rPr>
        <w:t>Journal of Cardiovascular Magnetic Resonance</w:t>
      </w:r>
      <w:r w:rsidRPr="00554A46">
        <w:rPr>
          <w:rFonts w:asciiTheme="minorHAnsi" w:hAnsiTheme="minorHAnsi"/>
        </w:rPr>
        <w:t>, vol. 12, p. 253.</w:t>
      </w:r>
    </w:p>
    <w:p w14:paraId="3D2F8191" w14:textId="6D4338AE"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Perazzolo Marra, M, Cacciavillani, L, Corbetti, F, Boffa, G, Tarantini, G, Basso, C, De Lazzari, M, Spadotto, V, Zilio, F &amp; Iliceto, S 2010, 'Late gadolinium enhancement patterns in non ischemic dilated </w:t>
      </w:r>
      <w:r w:rsidRPr="00554A46">
        <w:rPr>
          <w:rFonts w:asciiTheme="minorHAnsi" w:hAnsiTheme="minorHAnsi"/>
        </w:rPr>
        <w:lastRenderedPageBreak/>
        <w:t xml:space="preserve">cardiomyopathies: Role of cardiac magnetic resonance for risk stratification', </w:t>
      </w:r>
      <w:r w:rsidRPr="00554A46">
        <w:rPr>
          <w:rFonts w:asciiTheme="minorHAnsi" w:hAnsiTheme="minorHAnsi"/>
          <w:i/>
        </w:rPr>
        <w:t>European Heart Journal</w:t>
      </w:r>
      <w:r w:rsidRPr="00554A46">
        <w:rPr>
          <w:rFonts w:asciiTheme="minorHAnsi" w:hAnsiTheme="minorHAnsi"/>
        </w:rPr>
        <w:t>, vol. 31, p. 633.</w:t>
      </w:r>
    </w:p>
    <w:p w14:paraId="75A755CF" w14:textId="726E6ACF"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Perazzolo Marra, M, De Lazzari, M, Cipriani, A, Corletto, A, Tarantini, G, Tona, F, Giorgi, B, Basso, C, Cacciavillani, L &amp; Iliceto, S 2014, 'Myocardial ventricular adaptation to pulmonary hypertension in non-ischemic dilated cardiomyopathy: </w:t>
      </w:r>
      <w:r w:rsidR="00EE0EE3">
        <w:rPr>
          <w:rFonts w:asciiTheme="minorHAnsi" w:hAnsiTheme="minorHAnsi"/>
        </w:rPr>
        <w:t>a</w:t>
      </w:r>
      <w:r w:rsidRPr="00554A46">
        <w:rPr>
          <w:rFonts w:asciiTheme="minorHAnsi" w:hAnsiTheme="minorHAnsi"/>
        </w:rPr>
        <w:t xml:space="preserve"> study performed by cardiac magnetic resonance', </w:t>
      </w:r>
      <w:r w:rsidRPr="00554A46">
        <w:rPr>
          <w:rFonts w:asciiTheme="minorHAnsi" w:hAnsiTheme="minorHAnsi"/>
          <w:i/>
        </w:rPr>
        <w:t>European Heart Journal</w:t>
      </w:r>
      <w:r w:rsidRPr="00554A46">
        <w:rPr>
          <w:rFonts w:asciiTheme="minorHAnsi" w:hAnsiTheme="minorHAnsi"/>
        </w:rPr>
        <w:t>, vol. 35, p. 1006.</w:t>
      </w:r>
    </w:p>
    <w:p w14:paraId="581D4D9D" w14:textId="15BB1D16"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Perazzolo Marra, M, De Lazzari, M, Corbetti, F, Angelini, A, Cacciavillani, L, Tarantini, G, Tona, F, Thiene, G, Iliceto, S &amp; Basso, C 2011, 'Tissue characterization in non-ischemic dilated cardiomyopathy: </w:t>
      </w:r>
      <w:r w:rsidR="00A1230C">
        <w:rPr>
          <w:rFonts w:asciiTheme="minorHAnsi" w:hAnsiTheme="minorHAnsi"/>
        </w:rPr>
        <w:t>c</w:t>
      </w:r>
      <w:r w:rsidRPr="00554A46">
        <w:rPr>
          <w:rFonts w:asciiTheme="minorHAnsi" w:hAnsiTheme="minorHAnsi"/>
        </w:rPr>
        <w:t xml:space="preserve">ontrast-enhanced cardiac magnetic resonance versus endomyocardial biopsy in myocardial fibrosis assessment', </w:t>
      </w:r>
      <w:r w:rsidRPr="00554A46">
        <w:rPr>
          <w:rFonts w:asciiTheme="minorHAnsi" w:hAnsiTheme="minorHAnsi"/>
          <w:i/>
        </w:rPr>
        <w:t>European Heart Journal</w:t>
      </w:r>
      <w:r w:rsidRPr="00554A46">
        <w:rPr>
          <w:rFonts w:asciiTheme="minorHAnsi" w:hAnsiTheme="minorHAnsi"/>
        </w:rPr>
        <w:t>, vol. 32, pp. 951</w:t>
      </w:r>
      <w:r w:rsidR="00A1230C">
        <w:rPr>
          <w:rFonts w:asciiTheme="minorHAnsi" w:hAnsiTheme="minorHAnsi"/>
        </w:rPr>
        <w:t>–</w:t>
      </w:r>
      <w:r w:rsidRPr="00554A46">
        <w:rPr>
          <w:rFonts w:asciiTheme="minorHAnsi" w:hAnsiTheme="minorHAnsi"/>
        </w:rPr>
        <w:t>952.</w:t>
      </w:r>
    </w:p>
    <w:p w14:paraId="20D05FF0" w14:textId="4657A1F2"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Perazzolo Marra, M, De Lazzari, M, Corbetti, F, Tona, F, Migliore, F, Zorzi, A, Thiene, G, Basso, C, Corrado, D &amp; Iliceto, S 2011, 'Myocardial scar visualized by contrast-enhanced cardiac magnetic resonance predicts mayor arrhythmic events in patients with non-ischemic dilated cardiomyopathy over a long-term follow-up', </w:t>
      </w:r>
      <w:r w:rsidRPr="00554A46">
        <w:rPr>
          <w:rFonts w:asciiTheme="minorHAnsi" w:hAnsiTheme="minorHAnsi"/>
          <w:i/>
        </w:rPr>
        <w:t>European Heart Journal</w:t>
      </w:r>
      <w:r w:rsidRPr="00554A46">
        <w:rPr>
          <w:rFonts w:asciiTheme="minorHAnsi" w:hAnsiTheme="minorHAnsi"/>
        </w:rPr>
        <w:t>, vol. 32, p. 798.</w:t>
      </w:r>
    </w:p>
    <w:p w14:paraId="32ECC07A" w14:textId="2AEC894C"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Pinho, T, Martins, E, Oliveira, S, Madureira, AJ, Silva-Cardoso, JC, Ramos, I &amp; Maciel, MJ 2010, 'Prognostic value of fibrosis assessed by cardiac magnetic resonance imaging in familial dilated cardiomyopathy', </w:t>
      </w:r>
      <w:r w:rsidRPr="00554A46">
        <w:rPr>
          <w:rFonts w:asciiTheme="minorHAnsi" w:hAnsiTheme="minorHAnsi"/>
          <w:i/>
        </w:rPr>
        <w:t>Circulation</w:t>
      </w:r>
      <w:r w:rsidRPr="00554A46">
        <w:rPr>
          <w:rFonts w:asciiTheme="minorHAnsi" w:hAnsiTheme="minorHAnsi"/>
        </w:rPr>
        <w:t>, vol. 122, no. 2, p. e107.</w:t>
      </w:r>
    </w:p>
    <w:p w14:paraId="1AC9084B" w14:textId="1E510A21"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Pontone, G, Andreini, D, Solbiati, A, Guglielmo, M, Mushtaq, S, Baggiano, A, Beltrama, V, Rota, C, Guaricci, AI &amp; Pepi, M 2015, 'Comparison of transthoracic echocardiography versus cardiac magnetic for implantable cardioverter defibrillator therapy in primary prevention strategy dilated cardiomyopathy patients', </w:t>
      </w:r>
      <w:r w:rsidRPr="00554A46">
        <w:rPr>
          <w:rFonts w:asciiTheme="minorHAnsi" w:hAnsiTheme="minorHAnsi"/>
          <w:i/>
        </w:rPr>
        <w:t>European Heart Journal</w:t>
      </w:r>
      <w:r w:rsidRPr="00554A46">
        <w:rPr>
          <w:rFonts w:asciiTheme="minorHAnsi" w:hAnsiTheme="minorHAnsi"/>
        </w:rPr>
        <w:t>, vol. 36, pp. 684</w:t>
      </w:r>
      <w:r w:rsidR="00510BF9">
        <w:rPr>
          <w:rFonts w:asciiTheme="minorHAnsi" w:hAnsiTheme="minorHAnsi"/>
        </w:rPr>
        <w:t>–</w:t>
      </w:r>
      <w:r w:rsidRPr="00554A46">
        <w:rPr>
          <w:rFonts w:asciiTheme="minorHAnsi" w:hAnsiTheme="minorHAnsi"/>
        </w:rPr>
        <w:t>685.</w:t>
      </w:r>
    </w:p>
    <w:p w14:paraId="6BE0BB60" w14:textId="25FE484A"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Pugliese, NR, Del Franco, A, Barison, A, Giannoni, A, Vergaro, G, Lombardi, M, Emdin, M &amp; Aquaro, GD 2013, 'Evaluation of myocardial gadolinium kinetics at magnetic resonance imaging for the diagnosis of cardiac amyloidosis', </w:t>
      </w:r>
      <w:r w:rsidRPr="00554A46">
        <w:rPr>
          <w:rFonts w:asciiTheme="minorHAnsi" w:hAnsiTheme="minorHAnsi"/>
          <w:i/>
        </w:rPr>
        <w:t>European Journal of Heart Failure</w:t>
      </w:r>
      <w:r w:rsidRPr="00554A46">
        <w:rPr>
          <w:rFonts w:asciiTheme="minorHAnsi" w:hAnsiTheme="minorHAnsi"/>
        </w:rPr>
        <w:t>, vol. 12, p. S157.</w:t>
      </w:r>
    </w:p>
    <w:p w14:paraId="25D22B0D" w14:textId="2728107B"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Rao, B, Chen, Y &amp; Kwong, R 2012, 'The role of stress cardiac MRI imaging in patients with complete left bundle branch block', </w:t>
      </w:r>
      <w:r w:rsidRPr="00554A46">
        <w:rPr>
          <w:rFonts w:asciiTheme="minorHAnsi" w:hAnsiTheme="minorHAnsi"/>
          <w:i/>
        </w:rPr>
        <w:t>Journal of Cardiovascular Magnetic Resonance</w:t>
      </w:r>
      <w:r w:rsidRPr="00554A46">
        <w:rPr>
          <w:rFonts w:asciiTheme="minorHAnsi" w:hAnsiTheme="minorHAnsi"/>
        </w:rPr>
        <w:t>, vol. 14.</w:t>
      </w:r>
    </w:p>
    <w:p w14:paraId="0F9F06BE" w14:textId="5B560B27"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Safiullina, A, Tereshchenko, S, Shariya, M &amp; Narusov, O 2015, 'Cardiac magnetic resonance assessment of dilated cardiomyopathy by comparison to histology in patients with disease duration more than 6 months', </w:t>
      </w:r>
      <w:r w:rsidRPr="00554A46">
        <w:rPr>
          <w:rFonts w:asciiTheme="minorHAnsi" w:hAnsiTheme="minorHAnsi"/>
          <w:i/>
        </w:rPr>
        <w:t>European Journal of Heart Failure</w:t>
      </w:r>
      <w:r w:rsidRPr="00554A46">
        <w:rPr>
          <w:rFonts w:asciiTheme="minorHAnsi" w:hAnsiTheme="minorHAnsi"/>
        </w:rPr>
        <w:t>, vol. 17, p. 132.</w:t>
      </w:r>
    </w:p>
    <w:p w14:paraId="3B0C107E" w14:textId="3A6FF491"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Sergio Leite, SM, Martins, E, Campelo, MJ, Pinto, R, Rodrigues, J, Amorim, S, Moura, B, Cardoso, JS &amp; Maciel, MJ 2015, 'Red flags in dilated cardiomyopathy: </w:t>
      </w:r>
      <w:r w:rsidR="002A0EC8">
        <w:rPr>
          <w:rFonts w:asciiTheme="minorHAnsi" w:hAnsiTheme="minorHAnsi"/>
        </w:rPr>
        <w:t>a</w:t>
      </w:r>
      <w:r w:rsidRPr="00554A46">
        <w:rPr>
          <w:rFonts w:asciiTheme="minorHAnsi" w:hAnsiTheme="minorHAnsi"/>
        </w:rPr>
        <w:t xml:space="preserve"> not so uncommon finding', </w:t>
      </w:r>
      <w:r w:rsidRPr="00554A46">
        <w:rPr>
          <w:rFonts w:asciiTheme="minorHAnsi" w:hAnsiTheme="minorHAnsi"/>
          <w:i/>
        </w:rPr>
        <w:t>European Journal of Heart Failure</w:t>
      </w:r>
      <w:r w:rsidRPr="00554A46">
        <w:rPr>
          <w:rFonts w:asciiTheme="minorHAnsi" w:hAnsiTheme="minorHAnsi"/>
        </w:rPr>
        <w:t>, vol. 17, p. 309.</w:t>
      </w:r>
    </w:p>
    <w:p w14:paraId="5D5D12BC" w14:textId="74063152"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Singh, M, Bhullar, M, Samim, A, Srikanth, M &amp; Katikireddy, C 2015, 'Myocardial segmental thickness variability on CMR distinguishes ischemic and non-ischemic dilated cardiomyopathy', </w:t>
      </w:r>
      <w:r w:rsidRPr="00554A46">
        <w:rPr>
          <w:rFonts w:asciiTheme="minorHAnsi" w:hAnsiTheme="minorHAnsi"/>
          <w:i/>
        </w:rPr>
        <w:t>Cardiology (Switzerland)</w:t>
      </w:r>
      <w:r w:rsidRPr="00554A46">
        <w:rPr>
          <w:rFonts w:asciiTheme="minorHAnsi" w:hAnsiTheme="minorHAnsi"/>
        </w:rPr>
        <w:t>, vol. 131, p. 205.</w:t>
      </w:r>
    </w:p>
    <w:p w14:paraId="04C1234B" w14:textId="2C9EFE0B"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Tateishi, E, Noguchi, T, Morita, Y, Ogawa, H &amp; Yasuda, S 2015, 'Clinical impact and usefulness of native T1 mapping in patients with idiopathic dilated cardiomyopathy', </w:t>
      </w:r>
      <w:r w:rsidRPr="00554A46">
        <w:rPr>
          <w:rFonts w:asciiTheme="minorHAnsi" w:hAnsiTheme="minorHAnsi"/>
          <w:i/>
        </w:rPr>
        <w:t>European Heart Journal</w:t>
      </w:r>
      <w:r w:rsidRPr="00554A46">
        <w:rPr>
          <w:rFonts w:asciiTheme="minorHAnsi" w:hAnsiTheme="minorHAnsi"/>
        </w:rPr>
        <w:t>, vol. 36, p. 246.</w:t>
      </w:r>
    </w:p>
    <w:p w14:paraId="6EEAE1E7" w14:textId="6A84AB29"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Tigen, MK, Karaahmet, T, Gurel, E, Dundar, C &amp; Basaran, Y 2010, 'Fragmented QRS is associated with cardiac fibrosis and significant intraventricular systolic dyssynchrony in non-ischemic dilated cardiomyopathy patients with a narrow QRS interval', </w:t>
      </w:r>
      <w:r w:rsidRPr="00554A46">
        <w:rPr>
          <w:rFonts w:asciiTheme="minorHAnsi" w:hAnsiTheme="minorHAnsi"/>
          <w:i/>
        </w:rPr>
        <w:t>European Journal of Echocardiography</w:t>
      </w:r>
      <w:r w:rsidRPr="00554A46">
        <w:rPr>
          <w:rFonts w:asciiTheme="minorHAnsi" w:hAnsiTheme="minorHAnsi"/>
        </w:rPr>
        <w:t>, vol. 11, p. ii17.</w:t>
      </w:r>
    </w:p>
    <w:p w14:paraId="6A39F2E5" w14:textId="7EA72273"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Tonegawa, R, Nakajima, T, Takahashi, H, Mita, M, Shirasaki, K, Fujii, S, Murakami, A, Kubota, T, Suzuki, T, Nakano, Y, Fujiwara, K, Miyamoto, T &amp; Mutoh, M 2016, 'Myocardial imaging with 18F-fluoro-2-deoxyglucose positron emission tomography and T2-weighted short tau inversion recovery </w:t>
      </w:r>
      <w:r w:rsidRPr="00554A46">
        <w:rPr>
          <w:rFonts w:asciiTheme="minorHAnsi" w:hAnsiTheme="minorHAnsi"/>
        </w:rPr>
        <w:lastRenderedPageBreak/>
        <w:t xml:space="preserve">black-blood images of cardiac magnetic resonance in cardiac sarcoidosis', </w:t>
      </w:r>
      <w:r w:rsidRPr="00554A46">
        <w:rPr>
          <w:rFonts w:asciiTheme="minorHAnsi" w:hAnsiTheme="minorHAnsi"/>
          <w:i/>
        </w:rPr>
        <w:t>Journal of Cardiovascular Magnetic Resonance</w:t>
      </w:r>
      <w:r w:rsidRPr="00554A46">
        <w:rPr>
          <w:rFonts w:asciiTheme="minorHAnsi" w:hAnsiTheme="minorHAnsi"/>
        </w:rPr>
        <w:t>, vol. 18.</w:t>
      </w:r>
    </w:p>
    <w:p w14:paraId="4C281A80" w14:textId="77777777" w:rsidR="004F0758" w:rsidRPr="00554A46" w:rsidRDefault="004F0758" w:rsidP="004C79C1">
      <w:pPr>
        <w:pStyle w:val="EndNoteBibliography"/>
        <w:spacing w:after="120"/>
        <w:jc w:val="both"/>
        <w:rPr>
          <w:rFonts w:asciiTheme="minorHAnsi" w:hAnsiTheme="minorHAnsi"/>
        </w:rPr>
      </w:pPr>
    </w:p>
    <w:p w14:paraId="398D7C23" w14:textId="6CE19ED2"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Valleggi, AA, Padeletti, L, Aquaro, GD, Passino, C, Vergaro, G, Barison, A, Raglianti, V, Mirizzi, G, Pastormerlo, LE &amp; Emdin, M 2015, 'Left bundle branch block in nonischemic dilated cardiomyopathy: Assessment and prognostic role of left ventricular dyssynchrony evaluated by volume/time curves at cardiac magnetic resonance', </w:t>
      </w:r>
      <w:r w:rsidRPr="00554A46">
        <w:rPr>
          <w:rFonts w:asciiTheme="minorHAnsi" w:hAnsiTheme="minorHAnsi"/>
          <w:i/>
        </w:rPr>
        <w:t>European Journal of Heart Failure</w:t>
      </w:r>
      <w:r w:rsidRPr="00554A46">
        <w:rPr>
          <w:rFonts w:asciiTheme="minorHAnsi" w:hAnsiTheme="minorHAnsi"/>
        </w:rPr>
        <w:t>, vol. 17, p. 61.</w:t>
      </w:r>
    </w:p>
    <w:p w14:paraId="49BEC38F" w14:textId="0C6DBD41"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Vieira </w:t>
      </w:r>
      <w:r w:rsidR="009E7430">
        <w:rPr>
          <w:rFonts w:asciiTheme="minorHAnsi" w:hAnsiTheme="minorHAnsi"/>
        </w:rPr>
        <w:t>d</w:t>
      </w:r>
      <w:r w:rsidRPr="00554A46">
        <w:rPr>
          <w:rFonts w:asciiTheme="minorHAnsi" w:hAnsiTheme="minorHAnsi"/>
        </w:rPr>
        <w:t xml:space="preserve">e Melo, RM, Biselli, B, Pessoa </w:t>
      </w:r>
      <w:r w:rsidR="009E7430">
        <w:rPr>
          <w:rFonts w:asciiTheme="minorHAnsi" w:hAnsiTheme="minorHAnsi"/>
        </w:rPr>
        <w:t>d</w:t>
      </w:r>
      <w:r w:rsidRPr="00554A46">
        <w:rPr>
          <w:rFonts w:asciiTheme="minorHAnsi" w:hAnsiTheme="minorHAnsi"/>
        </w:rPr>
        <w:t xml:space="preserve">e Melo, EF, Conceicao-Souza, GE, Ribeiro, HB, Bocchi, EA &amp; Ribeiro, EE 2012, 'Cardiac magnetic resonance with late gadolinium enhancement in the investigation of ischemic etiology of dilated cardiomyopathy', </w:t>
      </w:r>
      <w:r w:rsidRPr="00554A46">
        <w:rPr>
          <w:rFonts w:asciiTheme="minorHAnsi" w:hAnsiTheme="minorHAnsi"/>
          <w:i/>
        </w:rPr>
        <w:t>European Journal of Heart Failure, Supplement</w:t>
      </w:r>
      <w:r w:rsidRPr="00554A46">
        <w:rPr>
          <w:rFonts w:asciiTheme="minorHAnsi" w:hAnsiTheme="minorHAnsi"/>
        </w:rPr>
        <w:t>, vol. 11, pp. S261</w:t>
      </w:r>
      <w:r w:rsidR="007706DF">
        <w:rPr>
          <w:rFonts w:asciiTheme="minorHAnsi" w:hAnsiTheme="minorHAnsi"/>
        </w:rPr>
        <w:t>–</w:t>
      </w:r>
      <w:r w:rsidRPr="00554A46">
        <w:rPr>
          <w:rFonts w:asciiTheme="minorHAnsi" w:hAnsiTheme="minorHAnsi"/>
        </w:rPr>
        <w:t>S262.</w:t>
      </w:r>
    </w:p>
    <w:p w14:paraId="46826195" w14:textId="136E8669" w:rsidR="004F0758" w:rsidRPr="00554A46" w:rsidRDefault="004F0758" w:rsidP="004C79C1">
      <w:pPr>
        <w:pStyle w:val="EndNoteBibliography"/>
        <w:spacing w:after="120"/>
        <w:jc w:val="both"/>
        <w:rPr>
          <w:rFonts w:asciiTheme="minorHAnsi" w:hAnsiTheme="minorHAnsi"/>
        </w:rPr>
      </w:pPr>
      <w:r w:rsidRPr="00554A46">
        <w:rPr>
          <w:rFonts w:asciiTheme="minorHAnsi" w:hAnsiTheme="minorHAnsi"/>
        </w:rPr>
        <w:t xml:space="preserve">Won, E, Tong, A, Lim, RP, Danilov, T, Axel, L &amp; Srichai, MB 2013, 'Diagnostic accuracy of different CMR techniques in the evaluation of ischemic cardiomyopathy', </w:t>
      </w:r>
      <w:r w:rsidRPr="00554A46">
        <w:rPr>
          <w:rFonts w:asciiTheme="minorHAnsi" w:hAnsiTheme="minorHAnsi"/>
          <w:i/>
        </w:rPr>
        <w:t>Journal of Cardiovascular Magnetic Resonance</w:t>
      </w:r>
      <w:r w:rsidRPr="00554A46">
        <w:rPr>
          <w:rFonts w:asciiTheme="minorHAnsi" w:hAnsiTheme="minorHAnsi"/>
        </w:rPr>
        <w:t>, vol. 15, pp. 56</w:t>
      </w:r>
      <w:r w:rsidR="007706DF">
        <w:rPr>
          <w:rFonts w:asciiTheme="minorHAnsi" w:hAnsiTheme="minorHAnsi"/>
        </w:rPr>
        <w:t>–</w:t>
      </w:r>
      <w:r w:rsidRPr="00554A46">
        <w:rPr>
          <w:rFonts w:asciiTheme="minorHAnsi" w:hAnsiTheme="minorHAnsi"/>
        </w:rPr>
        <w:t>58.</w:t>
      </w:r>
    </w:p>
    <w:p w14:paraId="6C146700" w14:textId="2D332DF8" w:rsidR="003B3D1E" w:rsidRDefault="004F0758" w:rsidP="00161B88">
      <w:pPr>
        <w:pStyle w:val="Heading3"/>
      </w:pPr>
      <w:r>
        <w:fldChar w:fldCharType="end"/>
      </w:r>
      <w:bookmarkStart w:id="873" w:name="_Toc451501419"/>
      <w:r w:rsidR="003B3D1E">
        <w:t>Unable to extract</w:t>
      </w:r>
      <w:r w:rsidR="00894960">
        <w:t xml:space="preserve"> relevant</w:t>
      </w:r>
      <w:r w:rsidR="003B3D1E">
        <w:t xml:space="preserve"> data</w:t>
      </w:r>
      <w:r w:rsidR="00741445">
        <w:t xml:space="preserve"> (specifically for DCM)</w:t>
      </w:r>
      <w:bookmarkEnd w:id="873"/>
    </w:p>
    <w:p w14:paraId="59765A7F" w14:textId="02F2BF91" w:rsidR="00894960" w:rsidRPr="00554A46" w:rsidRDefault="00894960" w:rsidP="004C79C1">
      <w:pPr>
        <w:pStyle w:val="EndNoteBibliography"/>
        <w:spacing w:after="120"/>
        <w:jc w:val="both"/>
        <w:rPr>
          <w:rFonts w:asciiTheme="minorHAnsi" w:hAnsiTheme="minorHAnsi"/>
        </w:rPr>
      </w:pPr>
      <w:r w:rsidRPr="00554A46">
        <w:rPr>
          <w:rFonts w:asciiTheme="minorHAnsi" w:hAnsiTheme="minorHAnsi"/>
        </w:rPr>
        <w:t xml:space="preserve">Puntmann, VO, Voigt, T, Chen, Z, Mayr, M, Karim, R, Rhode, K, Pastor, A, Carr-White, G, Razavi, R, Schaeffter, T &amp; Nagel, E 2013, 'Native T1 mapping in differentiation of normal myocardium from diffuse disease in hypertrophic and dilated cardiomyopathy', </w:t>
      </w:r>
      <w:r w:rsidRPr="009A77A9">
        <w:rPr>
          <w:rFonts w:asciiTheme="minorHAnsi" w:hAnsiTheme="minorHAnsi"/>
          <w:i/>
        </w:rPr>
        <w:t>JACC Cardiovasc Imaging</w:t>
      </w:r>
      <w:r w:rsidRPr="00554A46">
        <w:rPr>
          <w:rFonts w:asciiTheme="minorHAnsi" w:hAnsiTheme="minorHAnsi"/>
        </w:rPr>
        <w:t>, vol. 6, no. 4, pp. 475</w:t>
      </w:r>
      <w:r w:rsidR="00F478FC">
        <w:rPr>
          <w:rFonts w:asciiTheme="minorHAnsi" w:hAnsiTheme="minorHAnsi"/>
        </w:rPr>
        <w:t>–</w:t>
      </w:r>
      <w:r w:rsidRPr="00554A46">
        <w:rPr>
          <w:rFonts w:asciiTheme="minorHAnsi" w:hAnsiTheme="minorHAnsi"/>
        </w:rPr>
        <w:t>484.</w:t>
      </w:r>
    </w:p>
    <w:p w14:paraId="77043E8C" w14:textId="196A0F07" w:rsidR="00894960" w:rsidRPr="00554A46" w:rsidRDefault="00894960" w:rsidP="004C79C1">
      <w:pPr>
        <w:pStyle w:val="EndNoteBibliography"/>
        <w:spacing w:after="120"/>
        <w:jc w:val="both"/>
        <w:rPr>
          <w:rFonts w:asciiTheme="minorHAnsi" w:hAnsiTheme="minorHAnsi"/>
        </w:rPr>
      </w:pPr>
      <w:r w:rsidRPr="00554A46">
        <w:rPr>
          <w:rFonts w:asciiTheme="minorHAnsi" w:hAnsiTheme="minorHAnsi"/>
        </w:rPr>
        <w:t xml:space="preserve">Radunski, UK, Lund, GK, Stehning, C, Schnackenburg, B, Bohnen, S, Adam, G, Blankenberg, S &amp; Muellerleile, K 2014, 'CMR in patients with severe myocarditis: diagnostic value of quantitative tissue markers including extracellular volume imaging', </w:t>
      </w:r>
      <w:r w:rsidRPr="009A77A9">
        <w:rPr>
          <w:rFonts w:asciiTheme="minorHAnsi" w:hAnsiTheme="minorHAnsi"/>
          <w:i/>
        </w:rPr>
        <w:t>JACC Cardiovasc Imaging</w:t>
      </w:r>
      <w:r w:rsidRPr="00554A46">
        <w:rPr>
          <w:rFonts w:asciiTheme="minorHAnsi" w:hAnsiTheme="minorHAnsi"/>
        </w:rPr>
        <w:t>, vol. 7, no. 7, pp. 667</w:t>
      </w:r>
      <w:r w:rsidR="006F0256">
        <w:rPr>
          <w:rFonts w:asciiTheme="minorHAnsi" w:hAnsiTheme="minorHAnsi"/>
        </w:rPr>
        <w:t>–</w:t>
      </w:r>
      <w:r w:rsidRPr="00554A46">
        <w:rPr>
          <w:rFonts w:asciiTheme="minorHAnsi" w:hAnsiTheme="minorHAnsi"/>
        </w:rPr>
        <w:t>675.</w:t>
      </w:r>
    </w:p>
    <w:p w14:paraId="57487A0B" w14:textId="6FC7ABBD" w:rsidR="00894960" w:rsidRPr="00554A46" w:rsidRDefault="00894960" w:rsidP="004C79C1">
      <w:pPr>
        <w:pStyle w:val="EndNoteBibliography"/>
        <w:spacing w:after="120"/>
        <w:jc w:val="both"/>
        <w:rPr>
          <w:rFonts w:asciiTheme="minorHAnsi" w:hAnsiTheme="minorHAnsi"/>
        </w:rPr>
      </w:pPr>
      <w:r w:rsidRPr="00554A46">
        <w:rPr>
          <w:rFonts w:asciiTheme="minorHAnsi" w:hAnsiTheme="minorHAnsi"/>
        </w:rPr>
        <w:t xml:space="preserve">Wang, F, Zhang, J, Fang, W, Zhao, SH, Lu, MJ &amp; He, ZX 2009, 'Evaluation of left ventricular volumes and ejection fraction by gated SPECT and cardiac MRI in patients with dilated cardiomyopathy', </w:t>
      </w:r>
      <w:r w:rsidRPr="009A77A9">
        <w:rPr>
          <w:rFonts w:asciiTheme="minorHAnsi" w:hAnsiTheme="minorHAnsi"/>
          <w:i/>
        </w:rPr>
        <w:t>Eur</w:t>
      </w:r>
      <w:r w:rsidR="006D422A">
        <w:rPr>
          <w:rFonts w:asciiTheme="minorHAnsi" w:hAnsiTheme="minorHAnsi"/>
          <w:i/>
        </w:rPr>
        <w:t>opean</w:t>
      </w:r>
      <w:r w:rsidRPr="009A77A9">
        <w:rPr>
          <w:rFonts w:asciiTheme="minorHAnsi" w:hAnsiTheme="minorHAnsi"/>
          <w:i/>
        </w:rPr>
        <w:t xml:space="preserve"> J</w:t>
      </w:r>
      <w:r w:rsidR="006D422A">
        <w:rPr>
          <w:rFonts w:asciiTheme="minorHAnsi" w:hAnsiTheme="minorHAnsi"/>
          <w:i/>
        </w:rPr>
        <w:t>ournal of</w:t>
      </w:r>
      <w:r w:rsidRPr="009A77A9">
        <w:rPr>
          <w:rFonts w:asciiTheme="minorHAnsi" w:hAnsiTheme="minorHAnsi"/>
          <w:i/>
        </w:rPr>
        <w:t xml:space="preserve"> Nucl</w:t>
      </w:r>
      <w:r w:rsidR="006D422A">
        <w:rPr>
          <w:rFonts w:asciiTheme="minorHAnsi" w:hAnsiTheme="minorHAnsi"/>
          <w:i/>
        </w:rPr>
        <w:t>ear</w:t>
      </w:r>
      <w:r w:rsidRPr="009A77A9">
        <w:rPr>
          <w:rFonts w:asciiTheme="minorHAnsi" w:hAnsiTheme="minorHAnsi"/>
          <w:i/>
        </w:rPr>
        <w:t xml:space="preserve"> Med</w:t>
      </w:r>
      <w:r w:rsidR="006D422A">
        <w:rPr>
          <w:rFonts w:asciiTheme="minorHAnsi" w:hAnsiTheme="minorHAnsi"/>
          <w:i/>
        </w:rPr>
        <w:t>icine and</w:t>
      </w:r>
      <w:r w:rsidRPr="009A77A9">
        <w:rPr>
          <w:rFonts w:asciiTheme="minorHAnsi" w:hAnsiTheme="minorHAnsi"/>
          <w:i/>
        </w:rPr>
        <w:t xml:space="preserve"> Mol</w:t>
      </w:r>
      <w:r w:rsidR="006D422A">
        <w:rPr>
          <w:rFonts w:asciiTheme="minorHAnsi" w:hAnsiTheme="minorHAnsi"/>
          <w:i/>
        </w:rPr>
        <w:t>ecular</w:t>
      </w:r>
      <w:r w:rsidRPr="009A77A9">
        <w:rPr>
          <w:rFonts w:asciiTheme="minorHAnsi" w:hAnsiTheme="minorHAnsi"/>
          <w:i/>
        </w:rPr>
        <w:t xml:space="preserve"> Imaging</w:t>
      </w:r>
      <w:r w:rsidRPr="00554A46">
        <w:rPr>
          <w:rFonts w:asciiTheme="minorHAnsi" w:hAnsiTheme="minorHAnsi"/>
        </w:rPr>
        <w:t>, vol. 36, no. 10, pp. 1611</w:t>
      </w:r>
      <w:r w:rsidR="006F0256">
        <w:rPr>
          <w:rFonts w:asciiTheme="minorHAnsi" w:hAnsiTheme="minorHAnsi"/>
        </w:rPr>
        <w:t>–</w:t>
      </w:r>
      <w:r w:rsidRPr="00554A46">
        <w:rPr>
          <w:rFonts w:asciiTheme="minorHAnsi" w:hAnsiTheme="minorHAnsi"/>
        </w:rPr>
        <w:t>1621.</w:t>
      </w:r>
    </w:p>
    <w:p w14:paraId="29C5A811" w14:textId="5C5888EE" w:rsidR="00894960" w:rsidRPr="00554A46" w:rsidRDefault="00894960" w:rsidP="004C79C1">
      <w:pPr>
        <w:pStyle w:val="EndNoteBibliography"/>
        <w:spacing w:after="120"/>
        <w:jc w:val="both"/>
        <w:rPr>
          <w:rFonts w:asciiTheme="minorHAnsi" w:hAnsiTheme="minorHAnsi"/>
        </w:rPr>
      </w:pPr>
      <w:r w:rsidRPr="00554A46">
        <w:rPr>
          <w:rFonts w:asciiTheme="minorHAnsi" w:hAnsiTheme="minorHAnsi"/>
        </w:rPr>
        <w:t xml:space="preserve">Wang, L, Yan, C, Zhao, S &amp; Fang, W 2012, 'Comparison of (99m)Tc-MIBI SPECT/18F-FDG PET imaging and cardiac magnetic resonance imaging in patients with idiopathic dilated cardiomyopathy: assessment of cardiac function and myocardial injury', </w:t>
      </w:r>
      <w:r w:rsidRPr="009A77A9">
        <w:rPr>
          <w:rFonts w:asciiTheme="minorHAnsi" w:hAnsiTheme="minorHAnsi"/>
          <w:i/>
        </w:rPr>
        <w:t>Clin</w:t>
      </w:r>
      <w:r w:rsidR="00DD52CA">
        <w:rPr>
          <w:rFonts w:asciiTheme="minorHAnsi" w:hAnsiTheme="minorHAnsi"/>
          <w:i/>
        </w:rPr>
        <w:t>ical</w:t>
      </w:r>
      <w:r w:rsidRPr="009A77A9">
        <w:rPr>
          <w:rFonts w:asciiTheme="minorHAnsi" w:hAnsiTheme="minorHAnsi"/>
          <w:i/>
        </w:rPr>
        <w:t xml:space="preserve"> Nucl</w:t>
      </w:r>
      <w:r w:rsidR="00DD52CA">
        <w:rPr>
          <w:rFonts w:asciiTheme="minorHAnsi" w:hAnsiTheme="minorHAnsi"/>
          <w:i/>
        </w:rPr>
        <w:t>ear</w:t>
      </w:r>
      <w:r w:rsidRPr="009A77A9">
        <w:rPr>
          <w:rFonts w:asciiTheme="minorHAnsi" w:hAnsiTheme="minorHAnsi"/>
          <w:i/>
        </w:rPr>
        <w:t xml:space="preserve"> Med</w:t>
      </w:r>
      <w:r w:rsidR="00DD52CA">
        <w:rPr>
          <w:rFonts w:asciiTheme="minorHAnsi" w:hAnsiTheme="minorHAnsi"/>
          <w:i/>
        </w:rPr>
        <w:t>icine</w:t>
      </w:r>
      <w:r w:rsidRPr="00554A46">
        <w:rPr>
          <w:rFonts w:asciiTheme="minorHAnsi" w:hAnsiTheme="minorHAnsi"/>
        </w:rPr>
        <w:t>, vol. 37, no. 12, pp. 1163</w:t>
      </w:r>
      <w:r w:rsidR="00DD52CA">
        <w:rPr>
          <w:rFonts w:asciiTheme="minorHAnsi" w:hAnsiTheme="minorHAnsi"/>
        </w:rPr>
        <w:t>–</w:t>
      </w:r>
      <w:r w:rsidRPr="00554A46">
        <w:rPr>
          <w:rFonts w:asciiTheme="minorHAnsi" w:hAnsiTheme="minorHAnsi"/>
        </w:rPr>
        <w:t>1169.</w:t>
      </w:r>
    </w:p>
    <w:p w14:paraId="46FA440B" w14:textId="0588B428" w:rsidR="00894960" w:rsidRDefault="00894960" w:rsidP="004C79C1">
      <w:pPr>
        <w:pStyle w:val="EndNoteBibliography"/>
        <w:spacing w:after="120"/>
        <w:jc w:val="both"/>
        <w:rPr>
          <w:rFonts w:asciiTheme="minorHAnsi" w:hAnsiTheme="minorHAnsi"/>
        </w:rPr>
      </w:pPr>
      <w:r w:rsidRPr="00554A46">
        <w:rPr>
          <w:rFonts w:asciiTheme="minorHAnsi" w:hAnsiTheme="minorHAnsi"/>
        </w:rPr>
        <w:t>Xie, BQ, Tian, YQ, Zhang, J, Zhao, SH, Yang, MF, Guo, F, Wang, DY, Wei, HX, Chu, KW &amp; He, ZX 2012, 'Evaluation of left and right ventricular ejection fraction and volumes from gated blood-pool SPECT in patients with dilated cardiomyopathy: comparison with cardiac MRI',</w:t>
      </w:r>
      <w:r w:rsidRPr="009A77A9">
        <w:rPr>
          <w:rFonts w:asciiTheme="minorHAnsi" w:hAnsiTheme="minorHAnsi"/>
          <w:i/>
        </w:rPr>
        <w:t xml:space="preserve"> J</w:t>
      </w:r>
      <w:r w:rsidR="00E36851">
        <w:rPr>
          <w:rFonts w:asciiTheme="minorHAnsi" w:hAnsiTheme="minorHAnsi"/>
          <w:i/>
        </w:rPr>
        <w:t>ournal of</w:t>
      </w:r>
      <w:r w:rsidRPr="009A77A9">
        <w:rPr>
          <w:rFonts w:asciiTheme="minorHAnsi" w:hAnsiTheme="minorHAnsi"/>
          <w:i/>
        </w:rPr>
        <w:t xml:space="preserve"> Nucl</w:t>
      </w:r>
      <w:r w:rsidR="00E36851">
        <w:rPr>
          <w:rFonts w:asciiTheme="minorHAnsi" w:hAnsiTheme="minorHAnsi"/>
          <w:i/>
        </w:rPr>
        <w:t>ear</w:t>
      </w:r>
      <w:r w:rsidRPr="009A77A9">
        <w:rPr>
          <w:rFonts w:asciiTheme="minorHAnsi" w:hAnsiTheme="minorHAnsi"/>
          <w:i/>
        </w:rPr>
        <w:t xml:space="preserve"> Med</w:t>
      </w:r>
      <w:r w:rsidR="00E36851">
        <w:rPr>
          <w:rFonts w:asciiTheme="minorHAnsi" w:hAnsiTheme="minorHAnsi"/>
          <w:i/>
        </w:rPr>
        <w:t>icine</w:t>
      </w:r>
      <w:r w:rsidRPr="00554A46">
        <w:rPr>
          <w:rFonts w:asciiTheme="minorHAnsi" w:hAnsiTheme="minorHAnsi"/>
        </w:rPr>
        <w:t>, vol. 53, no. 4, pp. 584</w:t>
      </w:r>
      <w:r w:rsidR="00E36851">
        <w:rPr>
          <w:rFonts w:asciiTheme="minorHAnsi" w:hAnsiTheme="minorHAnsi"/>
        </w:rPr>
        <w:t>–</w:t>
      </w:r>
      <w:r w:rsidRPr="00554A46">
        <w:rPr>
          <w:rFonts w:asciiTheme="minorHAnsi" w:hAnsiTheme="minorHAnsi"/>
        </w:rPr>
        <w:t>591.</w:t>
      </w:r>
    </w:p>
    <w:p w14:paraId="1EB44F83" w14:textId="68741960" w:rsidR="00942131" w:rsidRDefault="00942131" w:rsidP="004C79C1">
      <w:pPr>
        <w:pStyle w:val="Heading2"/>
        <w:spacing w:before="0" w:after="120" w:line="240" w:lineRule="auto"/>
        <w:jc w:val="both"/>
      </w:pPr>
      <w:bookmarkStart w:id="874" w:name="_Toc451501420"/>
      <w:r>
        <w:t xml:space="preserve">Prognosis or </w:t>
      </w:r>
      <w:r w:rsidR="00EB3973">
        <w:t>P</w:t>
      </w:r>
      <w:r>
        <w:t>redisposition</w:t>
      </w:r>
      <w:bookmarkEnd w:id="874"/>
    </w:p>
    <w:p w14:paraId="5B821463" w14:textId="6E4A697B" w:rsidR="00942131" w:rsidRDefault="00942131" w:rsidP="00161B88">
      <w:pPr>
        <w:pStyle w:val="Heading3"/>
      </w:pPr>
      <w:bookmarkStart w:id="875" w:name="_Toc451501421"/>
      <w:r>
        <w:t>Unable to extract relevant data</w:t>
      </w:r>
      <w:bookmarkEnd w:id="875"/>
    </w:p>
    <w:p w14:paraId="0B0DCD47" w14:textId="02538FA6"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Bristow, MR, Saxon, LA, Boehmer, J, Krueger, S, Kass, DA, De Marco, T, Carson, P, DiCarlo, L, DeMets, D, White, BG, DeVries, DW &amp; Feldman, AM 2004, 'Cardiac-</w:t>
      </w:r>
      <w:r w:rsidR="00364180" w:rsidRPr="00554A46">
        <w:rPr>
          <w:rFonts w:asciiTheme="minorHAnsi" w:hAnsiTheme="minorHAnsi"/>
        </w:rPr>
        <w:t>resynchronization therapy with or without an implantable defibrillator in advanced chronic heart failur</w:t>
      </w:r>
      <w:r w:rsidRPr="00554A46">
        <w:rPr>
          <w:rFonts w:asciiTheme="minorHAnsi" w:hAnsiTheme="minorHAnsi"/>
        </w:rPr>
        <w:t xml:space="preserve">e', </w:t>
      </w:r>
      <w:r w:rsidRPr="00B2377A">
        <w:rPr>
          <w:rFonts w:asciiTheme="minorHAnsi" w:hAnsiTheme="minorHAnsi"/>
          <w:i/>
        </w:rPr>
        <w:t>New England Journal of Medicine</w:t>
      </w:r>
      <w:r w:rsidRPr="00554A46">
        <w:rPr>
          <w:rFonts w:asciiTheme="minorHAnsi" w:hAnsiTheme="minorHAnsi"/>
        </w:rPr>
        <w:t>, vol. 350, no. 21, pp. 2140</w:t>
      </w:r>
      <w:r w:rsidR="00364180">
        <w:rPr>
          <w:rFonts w:asciiTheme="minorHAnsi" w:hAnsiTheme="minorHAnsi"/>
        </w:rPr>
        <w:t>–</w:t>
      </w:r>
      <w:r w:rsidRPr="00554A46">
        <w:rPr>
          <w:rFonts w:asciiTheme="minorHAnsi" w:hAnsiTheme="minorHAnsi"/>
        </w:rPr>
        <w:t>2150.</w:t>
      </w:r>
    </w:p>
    <w:p w14:paraId="16419DAB" w14:textId="1E88FE02" w:rsidR="00942131" w:rsidRDefault="00942131" w:rsidP="00161B88">
      <w:pPr>
        <w:pStyle w:val="Heading3"/>
      </w:pPr>
      <w:bookmarkStart w:id="876" w:name="_Toc451501422"/>
      <w:r>
        <w:t>Duplicated data</w:t>
      </w:r>
      <w:bookmarkEnd w:id="876"/>
    </w:p>
    <w:p w14:paraId="15296E17" w14:textId="4301FF1D"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Assomull, RG, Prasad, SK, Lyne, J, Smith, G, Burman, ED, Khan, M, Sheppard, MN, Poole-Wilson, PA &amp; Pennell, DJ 2006, 'Cardiovascular </w:t>
      </w:r>
      <w:r w:rsidR="005E03C8" w:rsidRPr="00554A46">
        <w:rPr>
          <w:rFonts w:asciiTheme="minorHAnsi" w:hAnsiTheme="minorHAnsi"/>
        </w:rPr>
        <w:t>magnetic resonance, fibrosis, and prognosis in dilated cardiomyopathy</w:t>
      </w:r>
      <w:r w:rsidRPr="00554A46">
        <w:rPr>
          <w:rFonts w:asciiTheme="minorHAnsi" w:hAnsiTheme="minorHAnsi"/>
        </w:rPr>
        <w:t xml:space="preserve">', </w:t>
      </w:r>
      <w:r w:rsidRPr="00B2377A">
        <w:rPr>
          <w:rFonts w:asciiTheme="minorHAnsi" w:hAnsiTheme="minorHAnsi"/>
          <w:i/>
        </w:rPr>
        <w:t>Journal of the American College of Cardiology</w:t>
      </w:r>
      <w:r w:rsidRPr="00554A46">
        <w:rPr>
          <w:rFonts w:asciiTheme="minorHAnsi" w:hAnsiTheme="minorHAnsi"/>
        </w:rPr>
        <w:t>, vol. 48, no. 10, pp. 1977</w:t>
      </w:r>
      <w:r w:rsidR="005E03C8">
        <w:rPr>
          <w:rFonts w:asciiTheme="minorHAnsi" w:hAnsiTheme="minorHAnsi"/>
        </w:rPr>
        <w:t>–</w:t>
      </w:r>
      <w:r w:rsidRPr="00554A46">
        <w:rPr>
          <w:rFonts w:asciiTheme="minorHAnsi" w:hAnsiTheme="minorHAnsi"/>
        </w:rPr>
        <w:t>1985.</w:t>
      </w:r>
    </w:p>
    <w:p w14:paraId="1CE9392C" w14:textId="5289AD58"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lastRenderedPageBreak/>
        <w:t xml:space="preserve">Wijetunga, M &amp; Strickberger, SA 2003, 'Amiodarone versus </w:t>
      </w:r>
      <w:r w:rsidR="005E03C8" w:rsidRPr="00554A46">
        <w:rPr>
          <w:rFonts w:asciiTheme="minorHAnsi" w:hAnsiTheme="minorHAnsi"/>
        </w:rPr>
        <w:t>implantable defibrillator</w:t>
      </w:r>
      <w:r w:rsidRPr="00554A46">
        <w:rPr>
          <w:rFonts w:asciiTheme="minorHAnsi" w:hAnsiTheme="minorHAnsi"/>
        </w:rPr>
        <w:t xml:space="preserve"> (AMIOVIRT): background, rationale, design, methods, results and implications', </w:t>
      </w:r>
      <w:r w:rsidRPr="00B2377A">
        <w:rPr>
          <w:rFonts w:asciiTheme="minorHAnsi" w:hAnsiTheme="minorHAnsi"/>
          <w:i/>
        </w:rPr>
        <w:t>Card</w:t>
      </w:r>
      <w:r w:rsidR="00D3573C">
        <w:rPr>
          <w:rFonts w:asciiTheme="minorHAnsi" w:hAnsiTheme="minorHAnsi"/>
          <w:i/>
        </w:rPr>
        <w:t>iac</w:t>
      </w:r>
      <w:r w:rsidRPr="00B2377A">
        <w:rPr>
          <w:rFonts w:asciiTheme="minorHAnsi" w:hAnsiTheme="minorHAnsi"/>
          <w:i/>
        </w:rPr>
        <w:t xml:space="preserve"> Electrophysiol</w:t>
      </w:r>
      <w:r w:rsidR="00D3573C">
        <w:rPr>
          <w:rFonts w:asciiTheme="minorHAnsi" w:hAnsiTheme="minorHAnsi"/>
          <w:i/>
        </w:rPr>
        <w:t>ogy</w:t>
      </w:r>
      <w:r w:rsidRPr="00B2377A">
        <w:rPr>
          <w:rFonts w:asciiTheme="minorHAnsi" w:hAnsiTheme="minorHAnsi"/>
          <w:i/>
        </w:rPr>
        <w:t xml:space="preserve"> Rev</w:t>
      </w:r>
      <w:r w:rsidR="00D3573C">
        <w:rPr>
          <w:rFonts w:asciiTheme="minorHAnsi" w:hAnsiTheme="minorHAnsi"/>
          <w:i/>
        </w:rPr>
        <w:t>iew</w:t>
      </w:r>
      <w:r w:rsidRPr="00554A46">
        <w:rPr>
          <w:rFonts w:asciiTheme="minorHAnsi" w:hAnsiTheme="minorHAnsi"/>
        </w:rPr>
        <w:t>, vol. 7, no. 4, pp. 452</w:t>
      </w:r>
      <w:r w:rsidR="00D3573C">
        <w:rPr>
          <w:rFonts w:asciiTheme="minorHAnsi" w:hAnsiTheme="minorHAnsi"/>
        </w:rPr>
        <w:t>–</w:t>
      </w:r>
      <w:r w:rsidRPr="00554A46">
        <w:rPr>
          <w:rFonts w:asciiTheme="minorHAnsi" w:hAnsiTheme="minorHAnsi"/>
        </w:rPr>
        <w:t>456.</w:t>
      </w:r>
    </w:p>
    <w:p w14:paraId="4B5F3535" w14:textId="7C91BD65" w:rsidR="00942131" w:rsidRDefault="00942131" w:rsidP="00161B88">
      <w:pPr>
        <w:pStyle w:val="Heading3"/>
      </w:pPr>
      <w:bookmarkStart w:id="877" w:name="_Toc451501423"/>
      <w:r>
        <w:t>Wrong outcomes</w:t>
      </w:r>
      <w:bookmarkEnd w:id="877"/>
    </w:p>
    <w:p w14:paraId="083C86A1" w14:textId="2F25562E"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Amzulescu, MS, Rousseau, MF, Ahn, SA, Boileau, L, de Meester de Ravenstein, C, Vancraeynest, D, Pasquet, A, Vanoverschelde, JL, Pouleur, AC &amp; Gerber, BL 2015, 'Prognostic </w:t>
      </w:r>
      <w:r w:rsidR="00CF2191" w:rsidRPr="00554A46">
        <w:rPr>
          <w:rFonts w:asciiTheme="minorHAnsi" w:hAnsiTheme="minorHAnsi"/>
        </w:rPr>
        <w:t>impact of hypertrabeculation and noncompaction phenotype in dilated cardiomyopathy: a</w:t>
      </w:r>
      <w:r w:rsidRPr="00554A46">
        <w:rPr>
          <w:rFonts w:asciiTheme="minorHAnsi" w:hAnsiTheme="minorHAnsi"/>
        </w:rPr>
        <w:t xml:space="preserve"> CMR </w:t>
      </w:r>
      <w:r w:rsidR="00CF2191">
        <w:rPr>
          <w:rFonts w:asciiTheme="minorHAnsi" w:hAnsiTheme="minorHAnsi"/>
        </w:rPr>
        <w:t>s</w:t>
      </w:r>
      <w:r w:rsidRPr="00554A46">
        <w:rPr>
          <w:rFonts w:asciiTheme="minorHAnsi" w:hAnsiTheme="minorHAnsi"/>
        </w:rPr>
        <w:t xml:space="preserve">tudy', </w:t>
      </w:r>
      <w:r w:rsidRPr="00B2377A">
        <w:rPr>
          <w:rFonts w:asciiTheme="minorHAnsi" w:hAnsiTheme="minorHAnsi"/>
          <w:i/>
        </w:rPr>
        <w:t>JACC Cardiovasc</w:t>
      </w:r>
      <w:r w:rsidR="00366A37">
        <w:rPr>
          <w:rFonts w:asciiTheme="minorHAnsi" w:hAnsiTheme="minorHAnsi"/>
          <w:i/>
        </w:rPr>
        <w:t>ular</w:t>
      </w:r>
      <w:r w:rsidRPr="00B2377A">
        <w:rPr>
          <w:rFonts w:asciiTheme="minorHAnsi" w:hAnsiTheme="minorHAnsi"/>
          <w:i/>
        </w:rPr>
        <w:t xml:space="preserve"> Imaging</w:t>
      </w:r>
      <w:r w:rsidRPr="00554A46">
        <w:rPr>
          <w:rFonts w:asciiTheme="minorHAnsi" w:hAnsiTheme="minorHAnsi"/>
        </w:rPr>
        <w:t>, vol. 8, no. 8, pp. 934</w:t>
      </w:r>
      <w:r w:rsidR="00CF2191">
        <w:rPr>
          <w:rFonts w:asciiTheme="minorHAnsi" w:hAnsiTheme="minorHAnsi"/>
        </w:rPr>
        <w:t>–</w:t>
      </w:r>
      <w:r w:rsidRPr="00554A46">
        <w:rPr>
          <w:rFonts w:asciiTheme="minorHAnsi" w:hAnsiTheme="minorHAnsi"/>
        </w:rPr>
        <w:t>946.</w:t>
      </w:r>
    </w:p>
    <w:p w14:paraId="0DD683BC" w14:textId="1B3FC234"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Karaahmet, T, Tigen, K, Dundar, C, Pala, S, Guler, A, Kilicgedik, A, Cevik, C, Mahmutyazicioglu, K, Isiklar, I &amp; Basaran, Y 2010, 'The effect of cardiac fibrosis on left ventricular remodeling, diastolic function, and N-terminal pro-B-type natriuretic peptide levels in patients with nonischemic dilated cardiomyopathy', </w:t>
      </w:r>
      <w:r w:rsidRPr="00B2377A">
        <w:rPr>
          <w:rFonts w:asciiTheme="minorHAnsi" w:hAnsiTheme="minorHAnsi"/>
          <w:i/>
        </w:rPr>
        <w:t>Echocardiography</w:t>
      </w:r>
      <w:r w:rsidRPr="00554A46">
        <w:rPr>
          <w:rFonts w:asciiTheme="minorHAnsi" w:hAnsiTheme="minorHAnsi"/>
        </w:rPr>
        <w:t>, vol. 27, no. 8, pp. 954</w:t>
      </w:r>
      <w:r w:rsidR="00366A37">
        <w:rPr>
          <w:rFonts w:asciiTheme="minorHAnsi" w:hAnsiTheme="minorHAnsi"/>
        </w:rPr>
        <w:t>–</w:t>
      </w:r>
      <w:r w:rsidRPr="00554A46">
        <w:rPr>
          <w:rFonts w:asciiTheme="minorHAnsi" w:hAnsiTheme="minorHAnsi"/>
        </w:rPr>
        <w:t>960.</w:t>
      </w:r>
    </w:p>
    <w:p w14:paraId="0574C242" w14:textId="780A046D"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Kubanek, M, Ramko, M, Kautznerova, D, Lupinek, P, Vrbska, J, Malek, I &amp; Kautzner, J 2012, 'Novel predictors of left ventricular reverse remodeling in individuals with recent onset dilated cardiomyopathy', </w:t>
      </w:r>
      <w:r w:rsidRPr="00B2377A">
        <w:rPr>
          <w:rFonts w:asciiTheme="minorHAnsi" w:hAnsiTheme="minorHAnsi"/>
          <w:i/>
        </w:rPr>
        <w:t>Circulation</w:t>
      </w:r>
      <w:r w:rsidRPr="00554A46">
        <w:rPr>
          <w:rFonts w:asciiTheme="minorHAnsi" w:hAnsiTheme="minorHAnsi"/>
        </w:rPr>
        <w:t>, vol. 126, no. 21.</w:t>
      </w:r>
    </w:p>
    <w:p w14:paraId="064764F4" w14:textId="28E3D5F4"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Leong, DP, Chakrabarty, A, Shipp, N, Molaee, P, Madsen, PL, Joerg, L, Sullivan, T, Worthley, SG, De Pasquale, CG, Sanders, P &amp; Selvanayagam, JB 2012, 'Effects of myocardial fibrosis and ventricular dyssynchrony on response to therapy in new-presentation idiopathic dilated cardiomyopathy: insights from cardiovascular magnetic resonance and echocardiography',</w:t>
      </w:r>
      <w:r w:rsidRPr="00B2377A">
        <w:rPr>
          <w:rFonts w:asciiTheme="minorHAnsi" w:hAnsiTheme="minorHAnsi"/>
          <w:i/>
        </w:rPr>
        <w:t xml:space="preserve"> Eur</w:t>
      </w:r>
      <w:r w:rsidR="00366A37">
        <w:rPr>
          <w:rFonts w:asciiTheme="minorHAnsi" w:hAnsiTheme="minorHAnsi"/>
          <w:i/>
        </w:rPr>
        <w:t>opean</w:t>
      </w:r>
      <w:r w:rsidRPr="00B2377A">
        <w:rPr>
          <w:rFonts w:asciiTheme="minorHAnsi" w:hAnsiTheme="minorHAnsi"/>
          <w:i/>
        </w:rPr>
        <w:t xml:space="preserve"> Heart J</w:t>
      </w:r>
      <w:r w:rsidR="00366A37">
        <w:rPr>
          <w:rFonts w:asciiTheme="minorHAnsi" w:hAnsiTheme="minorHAnsi"/>
          <w:i/>
        </w:rPr>
        <w:t>ournal</w:t>
      </w:r>
      <w:r w:rsidRPr="00554A46">
        <w:rPr>
          <w:rFonts w:asciiTheme="minorHAnsi" w:hAnsiTheme="minorHAnsi"/>
        </w:rPr>
        <w:t>, vol. 33, no. 5, pp. 640</w:t>
      </w:r>
      <w:r w:rsidR="00366A37">
        <w:rPr>
          <w:rFonts w:asciiTheme="minorHAnsi" w:hAnsiTheme="minorHAnsi"/>
        </w:rPr>
        <w:t>–</w:t>
      </w:r>
      <w:r w:rsidRPr="00554A46">
        <w:rPr>
          <w:rFonts w:asciiTheme="minorHAnsi" w:hAnsiTheme="minorHAnsi"/>
        </w:rPr>
        <w:t>648.</w:t>
      </w:r>
    </w:p>
    <w:p w14:paraId="0D68EC1F" w14:textId="0A820FEA"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Malaty, AN, Shah, DJ, Abdelkarim, AR &amp; Nagueh, SF 2011, 'Relation of replacement fibrosis to left ventricular diastolic function in patients with dilated cardiomyopathy',</w:t>
      </w:r>
      <w:r w:rsidRPr="00B2377A">
        <w:rPr>
          <w:rFonts w:asciiTheme="minorHAnsi" w:hAnsiTheme="minorHAnsi"/>
          <w:i/>
        </w:rPr>
        <w:t xml:space="preserve"> J</w:t>
      </w:r>
      <w:r w:rsidR="001C2DA4">
        <w:rPr>
          <w:rFonts w:asciiTheme="minorHAnsi" w:hAnsiTheme="minorHAnsi"/>
          <w:i/>
        </w:rPr>
        <w:t>ournal of the</w:t>
      </w:r>
      <w:r w:rsidRPr="00B2377A">
        <w:rPr>
          <w:rFonts w:asciiTheme="minorHAnsi" w:hAnsiTheme="minorHAnsi"/>
          <w:i/>
        </w:rPr>
        <w:t xml:space="preserve"> Am</w:t>
      </w:r>
      <w:r w:rsidR="001C2DA4">
        <w:rPr>
          <w:rFonts w:asciiTheme="minorHAnsi" w:hAnsiTheme="minorHAnsi"/>
          <w:i/>
        </w:rPr>
        <w:t>erican</w:t>
      </w:r>
      <w:r w:rsidRPr="00B2377A">
        <w:rPr>
          <w:rFonts w:asciiTheme="minorHAnsi" w:hAnsiTheme="minorHAnsi"/>
          <w:i/>
        </w:rPr>
        <w:t xml:space="preserve"> Soc</w:t>
      </w:r>
      <w:r w:rsidR="001C2DA4">
        <w:rPr>
          <w:rFonts w:asciiTheme="minorHAnsi" w:hAnsiTheme="minorHAnsi"/>
          <w:i/>
        </w:rPr>
        <w:t>iety of</w:t>
      </w:r>
      <w:r w:rsidRPr="00B2377A">
        <w:rPr>
          <w:rFonts w:asciiTheme="minorHAnsi" w:hAnsiTheme="minorHAnsi"/>
          <w:i/>
        </w:rPr>
        <w:t xml:space="preserve"> Echocardiogr</w:t>
      </w:r>
      <w:r w:rsidR="001C2DA4">
        <w:rPr>
          <w:rFonts w:asciiTheme="minorHAnsi" w:hAnsiTheme="minorHAnsi"/>
          <w:i/>
        </w:rPr>
        <w:t>aphy</w:t>
      </w:r>
      <w:r w:rsidRPr="00554A46">
        <w:rPr>
          <w:rFonts w:asciiTheme="minorHAnsi" w:hAnsiTheme="minorHAnsi"/>
        </w:rPr>
        <w:t>, vol. 24, no. 3, pp. 333</w:t>
      </w:r>
      <w:r w:rsidR="00366A37">
        <w:rPr>
          <w:rFonts w:asciiTheme="minorHAnsi" w:hAnsiTheme="minorHAnsi"/>
        </w:rPr>
        <w:t>–</w:t>
      </w:r>
      <w:r w:rsidRPr="00554A46">
        <w:rPr>
          <w:rFonts w:asciiTheme="minorHAnsi" w:hAnsiTheme="minorHAnsi"/>
        </w:rPr>
        <w:t>338.</w:t>
      </w:r>
    </w:p>
    <w:p w14:paraId="1734508A" w14:textId="0741330D"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Nazarian, S, Bluemke, DA, Lardo, AC, Zviman, MM, Watkins, SP, Dickfeld, TL, Meininger, GR, Roguin, A, Calkins, H, Tomaselli, GF, Weiss, RG, Berger, RD, Lima, JAC &amp; Halperin, HR 2005, 'Magnetic </w:t>
      </w:r>
      <w:r w:rsidR="001C2DA4" w:rsidRPr="00554A46">
        <w:rPr>
          <w:rFonts w:asciiTheme="minorHAnsi" w:hAnsiTheme="minorHAnsi"/>
        </w:rPr>
        <w:t>resonance assessment of the substrate for inducible ventricular tachycardia in nonischemic cardiomyopat</w:t>
      </w:r>
      <w:r w:rsidRPr="00554A46">
        <w:rPr>
          <w:rFonts w:asciiTheme="minorHAnsi" w:hAnsiTheme="minorHAnsi"/>
        </w:rPr>
        <w:t xml:space="preserve">hy', </w:t>
      </w:r>
      <w:r w:rsidRPr="00B2377A">
        <w:rPr>
          <w:rFonts w:asciiTheme="minorHAnsi" w:hAnsiTheme="minorHAnsi"/>
          <w:i/>
        </w:rPr>
        <w:t>Circulation</w:t>
      </w:r>
      <w:r w:rsidRPr="00554A46">
        <w:rPr>
          <w:rFonts w:asciiTheme="minorHAnsi" w:hAnsiTheme="minorHAnsi"/>
        </w:rPr>
        <w:t>, vol. 112, no. 18, pp. 2821</w:t>
      </w:r>
      <w:r w:rsidR="001C2DA4">
        <w:rPr>
          <w:rFonts w:asciiTheme="minorHAnsi" w:hAnsiTheme="minorHAnsi"/>
        </w:rPr>
        <w:t>–</w:t>
      </w:r>
      <w:r w:rsidRPr="00554A46">
        <w:rPr>
          <w:rFonts w:asciiTheme="minorHAnsi" w:hAnsiTheme="minorHAnsi"/>
        </w:rPr>
        <w:t>2825.</w:t>
      </w:r>
    </w:p>
    <w:p w14:paraId="7314F099" w14:textId="001635DB"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Park, S, Choi, BW, Rim, SJ, Shim, CY, Ko, YG, Kang, SM, Ha, JW, Jang, Y, Chung, N, Choe, KO &amp; Cho, SY 2006, 'Delayed hyperenhancement magnetic resonance imaging is useful in predicting functional recovery of nonischemic left ventricular systolic dysfunction', </w:t>
      </w:r>
      <w:r w:rsidRPr="00B2377A">
        <w:rPr>
          <w:rFonts w:asciiTheme="minorHAnsi" w:hAnsiTheme="minorHAnsi"/>
          <w:i/>
        </w:rPr>
        <w:t>J</w:t>
      </w:r>
      <w:r w:rsidR="001C2DA4">
        <w:rPr>
          <w:rFonts w:asciiTheme="minorHAnsi" w:hAnsiTheme="minorHAnsi"/>
          <w:i/>
        </w:rPr>
        <w:t>ournal of</w:t>
      </w:r>
      <w:r w:rsidRPr="00B2377A">
        <w:rPr>
          <w:rFonts w:asciiTheme="minorHAnsi" w:hAnsiTheme="minorHAnsi"/>
          <w:i/>
        </w:rPr>
        <w:t xml:space="preserve"> Card</w:t>
      </w:r>
      <w:r w:rsidR="001C2DA4">
        <w:rPr>
          <w:rFonts w:asciiTheme="minorHAnsi" w:hAnsiTheme="minorHAnsi"/>
          <w:i/>
        </w:rPr>
        <w:t>iac</w:t>
      </w:r>
      <w:r w:rsidRPr="00B2377A">
        <w:rPr>
          <w:rFonts w:asciiTheme="minorHAnsi" w:hAnsiTheme="minorHAnsi"/>
          <w:i/>
        </w:rPr>
        <w:t xml:space="preserve"> Fail</w:t>
      </w:r>
      <w:r w:rsidR="001C2DA4">
        <w:rPr>
          <w:rFonts w:asciiTheme="minorHAnsi" w:hAnsiTheme="minorHAnsi"/>
          <w:i/>
        </w:rPr>
        <w:t>ure</w:t>
      </w:r>
      <w:r w:rsidRPr="00554A46">
        <w:rPr>
          <w:rFonts w:asciiTheme="minorHAnsi" w:hAnsiTheme="minorHAnsi"/>
        </w:rPr>
        <w:t>, vol. 12, no. 2, pp. 93</w:t>
      </w:r>
      <w:r w:rsidR="001C2DA4">
        <w:rPr>
          <w:rFonts w:asciiTheme="minorHAnsi" w:hAnsiTheme="minorHAnsi"/>
        </w:rPr>
        <w:t>–</w:t>
      </w:r>
      <w:r w:rsidRPr="00554A46">
        <w:rPr>
          <w:rFonts w:asciiTheme="minorHAnsi" w:hAnsiTheme="minorHAnsi"/>
        </w:rPr>
        <w:t>99.</w:t>
      </w:r>
    </w:p>
    <w:p w14:paraId="2B8B0AD7" w14:textId="3D8A1D15"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Tigen, K, Karaahmet, T, Kirma, C, Dundar, C, Pala, S, Isiklar, I, Cevik, C, Gurel, E, Kilicgedik, A &amp; Basaran, Y 2010, 'Diffuse late gadolinium enhancement by cardiovascular magnetic resonance predicts significant intraventricular systolic dyssynchrony in patients with non-ischeamic dilated cardiomyopathy',</w:t>
      </w:r>
      <w:r w:rsidRPr="00B2377A">
        <w:rPr>
          <w:rFonts w:asciiTheme="minorHAnsi" w:hAnsiTheme="minorHAnsi"/>
          <w:i/>
        </w:rPr>
        <w:t xml:space="preserve"> European Heart Journal</w:t>
      </w:r>
      <w:r w:rsidRPr="00554A46">
        <w:rPr>
          <w:rFonts w:asciiTheme="minorHAnsi" w:hAnsiTheme="minorHAnsi"/>
        </w:rPr>
        <w:t>, vol. 31, pp. 35</w:t>
      </w:r>
      <w:r w:rsidR="001C2DA4">
        <w:rPr>
          <w:rFonts w:asciiTheme="minorHAnsi" w:hAnsiTheme="minorHAnsi"/>
        </w:rPr>
        <w:t>–</w:t>
      </w:r>
      <w:r w:rsidRPr="00554A46">
        <w:rPr>
          <w:rFonts w:asciiTheme="minorHAnsi" w:hAnsiTheme="minorHAnsi"/>
        </w:rPr>
        <w:t>36.</w:t>
      </w:r>
    </w:p>
    <w:p w14:paraId="73E5E7A6" w14:textId="3A66037E"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Wu, E, Judd, RM, Vargas, JD, Klocke, FJ, Bonow, RO &amp; Kim, RJ 2001, 'Visualisation of presence, location, and transmural extent of healed Q-wave and non-Q-wave myocardial infarction', </w:t>
      </w:r>
      <w:r w:rsidRPr="00B2377A">
        <w:rPr>
          <w:rFonts w:asciiTheme="minorHAnsi" w:hAnsiTheme="minorHAnsi"/>
          <w:i/>
        </w:rPr>
        <w:t>Lancet</w:t>
      </w:r>
      <w:r w:rsidRPr="00554A46">
        <w:rPr>
          <w:rFonts w:asciiTheme="minorHAnsi" w:hAnsiTheme="minorHAnsi"/>
        </w:rPr>
        <w:t>, vol. 357, no. 9249, pp. 21</w:t>
      </w:r>
      <w:r w:rsidR="001C2DA4">
        <w:rPr>
          <w:rFonts w:asciiTheme="minorHAnsi" w:hAnsiTheme="minorHAnsi"/>
        </w:rPr>
        <w:t>–</w:t>
      </w:r>
      <w:r w:rsidRPr="00554A46">
        <w:rPr>
          <w:rFonts w:asciiTheme="minorHAnsi" w:hAnsiTheme="minorHAnsi"/>
        </w:rPr>
        <w:t>28.</w:t>
      </w:r>
    </w:p>
    <w:p w14:paraId="6A6695E7" w14:textId="7E1BBCE8" w:rsidR="00942131" w:rsidRDefault="00942131" w:rsidP="00161B88">
      <w:pPr>
        <w:pStyle w:val="Heading3"/>
      </w:pPr>
      <w:bookmarkStart w:id="878" w:name="_Toc451501424"/>
      <w:r>
        <w:t>Conference abstracts</w:t>
      </w:r>
      <w:bookmarkEnd w:id="878"/>
    </w:p>
    <w:p w14:paraId="4F4E11E7" w14:textId="76A0CB1E"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Amzulescu, MS, Rousseau, MF, Ahn, SA, De Ravenstein, CM, Vancraeynest, D, Pasquet, A, Vanoverschelde, JL, Pouleur, AC &amp; Gerber, BL 2014, 'Non-compaction phenotype does not influence the prognosis of non-ischemic dilated cardiomyopathy', </w:t>
      </w:r>
      <w:r w:rsidRPr="00B2377A">
        <w:rPr>
          <w:rFonts w:asciiTheme="minorHAnsi" w:hAnsiTheme="minorHAnsi"/>
          <w:i/>
        </w:rPr>
        <w:t>European Heart Journal</w:t>
      </w:r>
      <w:r w:rsidR="00722E22">
        <w:rPr>
          <w:rFonts w:asciiTheme="minorHAnsi" w:hAnsiTheme="minorHAnsi"/>
          <w:i/>
        </w:rPr>
        <w:t>:</w:t>
      </w:r>
      <w:r w:rsidRPr="00B2377A">
        <w:rPr>
          <w:rFonts w:asciiTheme="minorHAnsi" w:hAnsiTheme="minorHAnsi"/>
          <w:i/>
        </w:rPr>
        <w:t xml:space="preserve"> Cardiovascular Imaging</w:t>
      </w:r>
      <w:r w:rsidRPr="00554A46">
        <w:rPr>
          <w:rFonts w:asciiTheme="minorHAnsi" w:hAnsiTheme="minorHAnsi"/>
        </w:rPr>
        <w:t>, vol. 15, p. i9.</w:t>
      </w:r>
    </w:p>
    <w:p w14:paraId="1D85B12B" w14:textId="5639763A"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Chimura, M, Yamada, S, Taniguchi, Y, Yasaka, Y &amp; Kawai, H 2014a, 'Extensive overlap of myocardial fibrosis and regional sympathetic nervous dysfunction predicts long-term clinical outcome in patients with idiopathic dilated cardiomyopathy', </w:t>
      </w:r>
      <w:r w:rsidRPr="00B2377A">
        <w:rPr>
          <w:rFonts w:asciiTheme="minorHAnsi" w:hAnsiTheme="minorHAnsi"/>
          <w:i/>
        </w:rPr>
        <w:t>European Heart Journal</w:t>
      </w:r>
      <w:r w:rsidRPr="00554A46">
        <w:rPr>
          <w:rFonts w:asciiTheme="minorHAnsi" w:hAnsiTheme="minorHAnsi"/>
        </w:rPr>
        <w:t>, vol. 35, pp. 928</w:t>
      </w:r>
      <w:r w:rsidR="00722E22">
        <w:rPr>
          <w:rFonts w:asciiTheme="minorHAnsi" w:hAnsiTheme="minorHAnsi"/>
        </w:rPr>
        <w:t>–</w:t>
      </w:r>
      <w:r w:rsidRPr="00554A46">
        <w:rPr>
          <w:rFonts w:asciiTheme="minorHAnsi" w:hAnsiTheme="minorHAnsi"/>
        </w:rPr>
        <w:t>929.</w:t>
      </w:r>
    </w:p>
    <w:p w14:paraId="3A3BF9D7" w14:textId="75796C21"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lastRenderedPageBreak/>
        <w:t xml:space="preserve">Chimura, M, Yamada, S, Taniguchi, Y, Yasaka, Y &amp; Kawai, H 2014b, 'Impact of distribution patterns of myocardial fibrosis on sympathetic nervous dysfunction and long-term cardiac outcome in patients with idiopathic dilated cardiomyopathy', </w:t>
      </w:r>
      <w:r w:rsidRPr="00B2377A">
        <w:rPr>
          <w:rFonts w:asciiTheme="minorHAnsi" w:hAnsiTheme="minorHAnsi"/>
          <w:i/>
        </w:rPr>
        <w:t>European Heart Journal</w:t>
      </w:r>
      <w:r w:rsidRPr="00554A46">
        <w:rPr>
          <w:rFonts w:asciiTheme="minorHAnsi" w:hAnsiTheme="minorHAnsi"/>
        </w:rPr>
        <w:t>, vol. 35, p. 797.</w:t>
      </w:r>
    </w:p>
    <w:p w14:paraId="72568FCE" w14:textId="4E361EC1"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Chimura, M, Yamada, S, Yasaka, Y, Hayashi, T &amp; Taniguchi, Y 2013, 'C</w:t>
      </w:r>
      <w:r w:rsidRPr="00B2377A">
        <w:rPr>
          <w:rFonts w:asciiTheme="minorHAnsi" w:hAnsiTheme="minorHAnsi"/>
          <w:caps/>
        </w:rPr>
        <w:t xml:space="preserve">mr </w:t>
      </w:r>
      <w:r w:rsidRPr="00554A46">
        <w:rPr>
          <w:rFonts w:asciiTheme="minorHAnsi" w:hAnsiTheme="minorHAnsi"/>
        </w:rPr>
        <w:t xml:space="preserve">image with late gadolinium enhancement combined with 123I-metaiodobenzylguanidine scintigraphy strongly predicts long-term clinical outcome in patient with dilated cardiomyopathy', </w:t>
      </w:r>
      <w:r w:rsidRPr="00B2377A">
        <w:rPr>
          <w:rFonts w:asciiTheme="minorHAnsi" w:hAnsiTheme="minorHAnsi"/>
          <w:i/>
        </w:rPr>
        <w:t>Journal of the American College of Cardiology</w:t>
      </w:r>
      <w:r w:rsidRPr="00554A46">
        <w:rPr>
          <w:rFonts w:asciiTheme="minorHAnsi" w:hAnsiTheme="minorHAnsi"/>
        </w:rPr>
        <w:t>, vol. 61, no. 10, p. E1118.</w:t>
      </w:r>
    </w:p>
    <w:p w14:paraId="5B1D6154" w14:textId="0D46BA31"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Doesch, C, Haghi, D, Schimpf, R, Kuschyk, J, Sueselbeck, T, Bellm, S, Schoenberg, SO, Borggrefe, M &amp; Papavassiliu, T 2013, 'Importance of cardiac magnetic resonance parameters and epicardial adipose tissue for risk stratification in patients with dilated cardiomyopathy', </w:t>
      </w:r>
      <w:r w:rsidRPr="00B2377A">
        <w:rPr>
          <w:rFonts w:asciiTheme="minorHAnsi" w:hAnsiTheme="minorHAnsi"/>
          <w:i/>
        </w:rPr>
        <w:t>European Heart Journal</w:t>
      </w:r>
      <w:r w:rsidRPr="00554A46">
        <w:rPr>
          <w:rFonts w:asciiTheme="minorHAnsi" w:hAnsiTheme="minorHAnsi"/>
        </w:rPr>
        <w:t>, vol. 34, p. 519.</w:t>
      </w:r>
    </w:p>
    <w:p w14:paraId="544D063B" w14:textId="6D61A8BD"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Doesch, C, Haghi, D, Sueselbeck, T, Bellm, S, Schoenberg, SO, Borggrefe, M &amp; Papavassiliu, TH 2012, 'Prognostic value of cardiac magnetic resonance parameters and epicardial adipose tissue in patients with dilated cardiomyopathy', </w:t>
      </w:r>
      <w:r w:rsidRPr="00B2377A">
        <w:rPr>
          <w:rFonts w:asciiTheme="minorHAnsi" w:hAnsiTheme="minorHAnsi"/>
          <w:i/>
        </w:rPr>
        <w:t>European Heart Journal</w:t>
      </w:r>
      <w:r w:rsidR="00921BBF">
        <w:rPr>
          <w:rFonts w:asciiTheme="minorHAnsi" w:hAnsiTheme="minorHAnsi"/>
          <w:i/>
        </w:rPr>
        <w:t>:</w:t>
      </w:r>
      <w:r w:rsidRPr="00B2377A">
        <w:rPr>
          <w:rFonts w:asciiTheme="minorHAnsi" w:hAnsiTheme="minorHAnsi"/>
          <w:i/>
        </w:rPr>
        <w:t xml:space="preserve"> Cardiovascular Imaging</w:t>
      </w:r>
      <w:r w:rsidRPr="00554A46">
        <w:rPr>
          <w:rFonts w:asciiTheme="minorHAnsi" w:hAnsiTheme="minorHAnsi"/>
        </w:rPr>
        <w:t>, vol. 13, p. i37.</w:t>
      </w:r>
    </w:p>
    <w:p w14:paraId="30C1E224" w14:textId="56934AAD"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Kano, N, Okumura, T, Hiraiwa, H, Kondo, T, Watanabe, N, Fukaya, K, Sawamura, A, Morimoto, R, Bando, Y &amp; Murohara, T 2015, 'Aspect ratio of left ventricle in cardiac magnetic resonance predicts a future reverse remodeling in non-ischemic dilated cardiomyopathy', </w:t>
      </w:r>
      <w:r w:rsidRPr="00B2377A">
        <w:rPr>
          <w:rFonts w:asciiTheme="minorHAnsi" w:hAnsiTheme="minorHAnsi"/>
          <w:i/>
        </w:rPr>
        <w:t>Journal of Cardiac Failure</w:t>
      </w:r>
      <w:r w:rsidRPr="00554A46">
        <w:rPr>
          <w:rFonts w:asciiTheme="minorHAnsi" w:hAnsiTheme="minorHAnsi"/>
        </w:rPr>
        <w:t>, vol. 21, no. 10, p. S196.</w:t>
      </w:r>
    </w:p>
    <w:p w14:paraId="2C1F6ED3" w14:textId="2A1894E2"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Leite, SM, Martins, E, Pinho, T, Madureira, A, Campelo, MB, Amorim, S, Moura, B, Silva Cardoso, J &amp; Maciel, MJ 2013, 'Prognosis assessment with cardiac magnetic resonance imaging in familial dilated cardiomyopathy', </w:t>
      </w:r>
      <w:r w:rsidRPr="00B2377A">
        <w:rPr>
          <w:rFonts w:asciiTheme="minorHAnsi" w:hAnsiTheme="minorHAnsi"/>
          <w:i/>
        </w:rPr>
        <w:t>European Journal of Heart Failure</w:t>
      </w:r>
      <w:r w:rsidRPr="00554A46">
        <w:rPr>
          <w:rFonts w:asciiTheme="minorHAnsi" w:hAnsiTheme="minorHAnsi"/>
        </w:rPr>
        <w:t>, vol. 12, pp. S257</w:t>
      </w:r>
      <w:r w:rsidR="00921BBF">
        <w:rPr>
          <w:rFonts w:asciiTheme="minorHAnsi" w:hAnsiTheme="minorHAnsi"/>
        </w:rPr>
        <w:t>–</w:t>
      </w:r>
      <w:r w:rsidRPr="00554A46">
        <w:rPr>
          <w:rFonts w:asciiTheme="minorHAnsi" w:hAnsiTheme="minorHAnsi"/>
        </w:rPr>
        <w:t>S258.</w:t>
      </w:r>
    </w:p>
    <w:p w14:paraId="7F11A868" w14:textId="0C14682A"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Leong, D, Molaee, P, Joerg, L, Shipp, N, Madsen, P, Penhall, A, Perry, R, Depasquale, C, Sanders, P &amp; Selvanayagam, J 2010, 'Late-gadolinium enhancement in new-onset idiopathic dilated cardiomyopathy is associated with recovery of systolic left ventricular function', </w:t>
      </w:r>
      <w:r w:rsidRPr="00B2377A">
        <w:rPr>
          <w:rFonts w:asciiTheme="minorHAnsi" w:hAnsiTheme="minorHAnsi"/>
          <w:i/>
        </w:rPr>
        <w:t>Heart</w:t>
      </w:r>
      <w:r w:rsidR="00653B43">
        <w:rPr>
          <w:rFonts w:asciiTheme="minorHAnsi" w:hAnsiTheme="minorHAnsi"/>
          <w:i/>
        </w:rPr>
        <w:t>,</w:t>
      </w:r>
      <w:r w:rsidRPr="00B2377A">
        <w:rPr>
          <w:rFonts w:asciiTheme="minorHAnsi" w:hAnsiTheme="minorHAnsi"/>
          <w:i/>
        </w:rPr>
        <w:t xml:space="preserve"> Lung and Circulation</w:t>
      </w:r>
      <w:r w:rsidRPr="00554A46">
        <w:rPr>
          <w:rFonts w:asciiTheme="minorHAnsi" w:hAnsiTheme="minorHAnsi"/>
        </w:rPr>
        <w:t>, vol. 19, p. S4.</w:t>
      </w:r>
    </w:p>
    <w:p w14:paraId="595555C2" w14:textId="05ECC05E"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Li, XP, Chan, CP, Ligang, LD, Jing, W, Shu, Z, Shiguo, L, Yan, Z &amp; Wei, H 2013, 'The clinical correlates and prognostic impact of late gadolinium enhancement by cardiac magnetic resonance imaging in patients with non-ischaemic dilated cardiomyopathy', </w:t>
      </w:r>
      <w:r w:rsidRPr="00B2377A">
        <w:rPr>
          <w:rFonts w:asciiTheme="minorHAnsi" w:hAnsiTheme="minorHAnsi"/>
          <w:i/>
        </w:rPr>
        <w:t>Heart</w:t>
      </w:r>
      <w:r w:rsidRPr="00554A46">
        <w:rPr>
          <w:rFonts w:asciiTheme="minorHAnsi" w:hAnsiTheme="minorHAnsi"/>
        </w:rPr>
        <w:t>, vol. 99, p. A235.</w:t>
      </w:r>
    </w:p>
    <w:p w14:paraId="419248CC" w14:textId="669C96F6"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Moon, J, Cho, IJ, Shim, CY, Kang, SM, Jang, Y, Chung, N &amp; Ha, JW 2010, 'Left atrial volume as a predictor of reversible myocardial dysfunction in patients with dilated cardiomyopathy who have no delayed enhancement on magnetic resonance imaging', </w:t>
      </w:r>
      <w:r w:rsidRPr="00B2377A">
        <w:rPr>
          <w:rFonts w:asciiTheme="minorHAnsi" w:hAnsiTheme="minorHAnsi"/>
          <w:i/>
        </w:rPr>
        <w:t>Journal of the American College of Cardiology</w:t>
      </w:r>
      <w:r w:rsidRPr="00554A46">
        <w:rPr>
          <w:rFonts w:asciiTheme="minorHAnsi" w:hAnsiTheme="minorHAnsi"/>
        </w:rPr>
        <w:t>, vol. 55, no. 10, p. A36.E350.</w:t>
      </w:r>
    </w:p>
    <w:p w14:paraId="1C775E80" w14:textId="205839C7"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Nabeta, T, Inomata, T, Ikeda, Y, Ishii, S, Sato, T, Naruke, T, Koitabashi, T, Izumi, T, Inoue, Y &amp; Ako, J 2013, 'Comparative study of cardiac magnetic resonance and endomyocardial biopsy to predict left ventricular reverse remodeling and prognosis in dilated cardiomyopathy', </w:t>
      </w:r>
      <w:r w:rsidRPr="00B2377A">
        <w:rPr>
          <w:rFonts w:asciiTheme="minorHAnsi" w:hAnsiTheme="minorHAnsi"/>
          <w:i/>
        </w:rPr>
        <w:t>Circulation</w:t>
      </w:r>
      <w:r w:rsidRPr="00554A46">
        <w:rPr>
          <w:rFonts w:asciiTheme="minorHAnsi" w:hAnsiTheme="minorHAnsi"/>
        </w:rPr>
        <w:t>, vol. 128, no. 22.</w:t>
      </w:r>
    </w:p>
    <w:p w14:paraId="4C8B3C28" w14:textId="73AD5C09"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Nakamori, S, Kurita, T, Tanigawa, T, Sato, K, Nakajima, H, Ichikawa, Y, Matsuoka, K, Onishi, K, Sakuma, H &amp; Ito, M 2010, 'Late gadolinium enhancement by cardiac magnetic resonance can predict the non-responders to β-blocker in patients with dilated cardiomyopathy', </w:t>
      </w:r>
      <w:r w:rsidRPr="00B2377A">
        <w:rPr>
          <w:rFonts w:asciiTheme="minorHAnsi" w:hAnsiTheme="minorHAnsi"/>
          <w:i/>
        </w:rPr>
        <w:t>Journal of the American College of Cardiology</w:t>
      </w:r>
      <w:r w:rsidRPr="00554A46">
        <w:rPr>
          <w:rFonts w:asciiTheme="minorHAnsi" w:hAnsiTheme="minorHAnsi"/>
        </w:rPr>
        <w:t>, vol. 55, no. 10, p. A84.E788.</w:t>
      </w:r>
    </w:p>
    <w:p w14:paraId="66B2B5E5" w14:textId="5CB0AFD1"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Neilan, TG, Coelho-Filho, O, Danik, S, Verdini, DJ, Michifumi, T, Shah, R, Tedrow, U, Stevenson, W, Jerosch-Herold, M, Ghoshhajra, B &amp; Kwong, R 2012, 'The impact of myocardial scar by cardiac magnetic resonance in patients with non-ischemic dilated cardiomyopathy referred for an implantable cardioverter defibrillator for primary prevention of sudden cardiac death', </w:t>
      </w:r>
      <w:r w:rsidRPr="00B2377A">
        <w:rPr>
          <w:rFonts w:asciiTheme="minorHAnsi" w:hAnsiTheme="minorHAnsi"/>
          <w:i/>
        </w:rPr>
        <w:t>Journal of the American College of Cardiology</w:t>
      </w:r>
      <w:r w:rsidRPr="00554A46">
        <w:rPr>
          <w:rFonts w:asciiTheme="minorHAnsi" w:hAnsiTheme="minorHAnsi"/>
        </w:rPr>
        <w:t>, vol. 59, no. 13, p. E866.</w:t>
      </w:r>
    </w:p>
    <w:p w14:paraId="1D046CB9" w14:textId="53392337"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lastRenderedPageBreak/>
        <w:t xml:space="preserve">Perazzolo Marra, M, De Lazzari, M, Rizzo, S, Tona, F, Tarantini, G, Thiene, G, Corrado, D, Iliceto, S &amp; Basso, C 2013, 'The prognostic value of myocardial fibrosis in nonischemic dilated cardiomyopathy: </w:t>
      </w:r>
      <w:r w:rsidR="0086287C">
        <w:rPr>
          <w:rFonts w:asciiTheme="minorHAnsi" w:hAnsiTheme="minorHAnsi"/>
        </w:rPr>
        <w:t>a</w:t>
      </w:r>
      <w:r w:rsidRPr="00554A46">
        <w:rPr>
          <w:rFonts w:asciiTheme="minorHAnsi" w:hAnsiTheme="minorHAnsi"/>
        </w:rPr>
        <w:t xml:space="preserve"> study by endomyocardial biopsy and cardiac magnetic resonance', </w:t>
      </w:r>
      <w:r w:rsidRPr="00B2377A">
        <w:rPr>
          <w:rFonts w:asciiTheme="minorHAnsi" w:hAnsiTheme="minorHAnsi"/>
          <w:i/>
        </w:rPr>
        <w:t>European Heart Journal</w:t>
      </w:r>
      <w:r w:rsidRPr="00554A46">
        <w:rPr>
          <w:rFonts w:asciiTheme="minorHAnsi" w:hAnsiTheme="minorHAnsi"/>
        </w:rPr>
        <w:t>, vol. 34, p. 341.</w:t>
      </w:r>
    </w:p>
    <w:p w14:paraId="189498F0" w14:textId="5208E825"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Plymen, CM, Piper, SE, Hilton, J, Rajani, R, Nagel, E, Carr-White, GS &amp; Kapetanakis, SS 2013, 'Myocardial scar on cardiovascular magnetic resonance imaging predicts adverse outcome in adults with non-ischaemic dilated cardiomyopathy', </w:t>
      </w:r>
      <w:r w:rsidRPr="00B2377A">
        <w:rPr>
          <w:rFonts w:asciiTheme="minorHAnsi" w:hAnsiTheme="minorHAnsi"/>
          <w:i/>
        </w:rPr>
        <w:t>European Journal of Heart Failure</w:t>
      </w:r>
      <w:r w:rsidRPr="00554A46">
        <w:rPr>
          <w:rFonts w:asciiTheme="minorHAnsi" w:hAnsiTheme="minorHAnsi"/>
        </w:rPr>
        <w:t>, vol. 12, p. S226.</w:t>
      </w:r>
    </w:p>
    <w:p w14:paraId="220F7619" w14:textId="3ABEBFB7"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Tateishi, E, Noguchi, T, Morita, Y, Yamada, N, Anzai, T, Ishihara, M, Shimizu, W, Goto, Y, Ogawa, H &amp; Yasuda, S 2012, 'Prognostic importance of late gadolinium enhancement cardiac magnetic resonance as a potential novel risk factor in patients with dilated cardiomyopathy', </w:t>
      </w:r>
      <w:r w:rsidRPr="00B2377A">
        <w:rPr>
          <w:rFonts w:asciiTheme="minorHAnsi" w:hAnsiTheme="minorHAnsi"/>
          <w:i/>
        </w:rPr>
        <w:t>Circulation</w:t>
      </w:r>
      <w:r w:rsidRPr="00554A46">
        <w:rPr>
          <w:rFonts w:asciiTheme="minorHAnsi" w:hAnsiTheme="minorHAnsi"/>
        </w:rPr>
        <w:t>, vol. 126, no. 21.</w:t>
      </w:r>
    </w:p>
    <w:p w14:paraId="17262323" w14:textId="42CD9504" w:rsidR="00942131" w:rsidRPr="00554A46" w:rsidRDefault="00942131" w:rsidP="004C79C1">
      <w:pPr>
        <w:pStyle w:val="EndNoteBibliography"/>
        <w:spacing w:after="120"/>
        <w:jc w:val="both"/>
        <w:rPr>
          <w:rFonts w:asciiTheme="minorHAnsi" w:hAnsiTheme="minorHAnsi"/>
        </w:rPr>
      </w:pPr>
      <w:r w:rsidRPr="00554A46">
        <w:rPr>
          <w:rFonts w:asciiTheme="minorHAnsi" w:hAnsiTheme="minorHAnsi"/>
        </w:rPr>
        <w:t xml:space="preserve">Zou, C &amp; Zhang, J 2013, 'Prognostic value of myocardial fibrosis in patients with dilated cardiomyopathy detected by contrast-enhanced cardiac magnetic resonance imaging', </w:t>
      </w:r>
      <w:r w:rsidRPr="00B2377A">
        <w:rPr>
          <w:rFonts w:asciiTheme="minorHAnsi" w:hAnsiTheme="minorHAnsi"/>
          <w:i/>
        </w:rPr>
        <w:t>Cardiology (Switzerland)</w:t>
      </w:r>
      <w:r w:rsidRPr="00554A46">
        <w:rPr>
          <w:rFonts w:asciiTheme="minorHAnsi" w:hAnsiTheme="minorHAnsi"/>
        </w:rPr>
        <w:t>, vol. 126, p. 90.</w:t>
      </w:r>
    </w:p>
    <w:p w14:paraId="0A11338A" w14:textId="3946B341" w:rsidR="00894960" w:rsidRDefault="00DC4D65" w:rsidP="004C79C1">
      <w:pPr>
        <w:pStyle w:val="Heading2"/>
        <w:spacing w:before="0" w:after="120" w:line="240" w:lineRule="auto"/>
        <w:jc w:val="both"/>
      </w:pPr>
      <w:bookmarkStart w:id="879" w:name="_Toc451501425"/>
      <w:r>
        <w:t xml:space="preserve">Therapeutic </w:t>
      </w:r>
      <w:r w:rsidR="00EB3973">
        <w:t>E</w:t>
      </w:r>
      <w:r>
        <w:t>fficacy</w:t>
      </w:r>
      <w:r w:rsidR="00CD3254">
        <w:t xml:space="preserve"> (Impact on </w:t>
      </w:r>
      <w:r w:rsidR="00EB3973">
        <w:t>C</w:t>
      </w:r>
      <w:r w:rsidR="00CD3254">
        <w:t xml:space="preserve">linical </w:t>
      </w:r>
      <w:r w:rsidR="00EB3973">
        <w:t>M</w:t>
      </w:r>
      <w:r w:rsidR="00CD3254">
        <w:t>anagement)</w:t>
      </w:r>
      <w:bookmarkEnd w:id="879"/>
    </w:p>
    <w:p w14:paraId="5BDA35E8" w14:textId="68578BA5" w:rsidR="00CD3254" w:rsidRPr="00CD3254" w:rsidRDefault="00CD3254" w:rsidP="00161B88">
      <w:pPr>
        <w:pStyle w:val="Heading3"/>
      </w:pPr>
      <w:bookmarkStart w:id="880" w:name="_Toc451501426"/>
      <w:r w:rsidRPr="00CD3254">
        <w:t xml:space="preserve">Posters, </w:t>
      </w:r>
      <w:r w:rsidR="00F67DA0">
        <w:t>c</w:t>
      </w:r>
      <w:r w:rsidRPr="00CD3254">
        <w:t>onference abstracts</w:t>
      </w:r>
      <w:bookmarkEnd w:id="880"/>
    </w:p>
    <w:p w14:paraId="5D52E231" w14:textId="01951A47"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Abbasi, S, Chung, J, Bhat, G, Desai, AA, Stamos, T, Wood, MR, Briller, J, Kondos, GT, Dudley, S &amp; Farzaneh-Far, A 2012, 'Impact of a new cardiac magnetic resonance (CMR) program on management and clinical decision-making in cardiomyopathy patients', </w:t>
      </w:r>
      <w:r w:rsidRPr="00B2377A">
        <w:rPr>
          <w:rFonts w:asciiTheme="minorHAnsi" w:hAnsiTheme="minorHAnsi"/>
          <w:i/>
          <w:noProof/>
        </w:rPr>
        <w:t>Journal of Cardiovascular Magnetic Resonance</w:t>
      </w:r>
      <w:r w:rsidRPr="00554A46">
        <w:rPr>
          <w:rFonts w:asciiTheme="minorHAnsi" w:hAnsiTheme="minorHAnsi"/>
          <w:noProof/>
        </w:rPr>
        <w:t>, vol. 14.</w:t>
      </w:r>
    </w:p>
    <w:p w14:paraId="13E46E23" w14:textId="217750FA" w:rsidR="00CD3254" w:rsidRPr="00554A46" w:rsidRDefault="00CD3254" w:rsidP="004C79C1">
      <w:pPr>
        <w:autoSpaceDE w:val="0"/>
        <w:autoSpaceDN w:val="0"/>
        <w:spacing w:after="120" w:line="240" w:lineRule="auto"/>
        <w:jc w:val="both"/>
        <w:rPr>
          <w:rFonts w:asciiTheme="minorHAnsi" w:hAnsiTheme="minorHAnsi"/>
          <w:noProof/>
        </w:rPr>
      </w:pPr>
      <w:r w:rsidRPr="00554A46">
        <w:rPr>
          <w:rFonts w:asciiTheme="minorHAnsi" w:hAnsiTheme="minorHAnsi"/>
          <w:noProof/>
        </w:rPr>
        <w:t xml:space="preserve">Barrett, M, Waterhouse, DF, Morgan, RB, Molloy, E, Sheahan, R, McAdam, B, Gumbrielle, T, Foley, D &amp; O'Hanlon, R 2011, 'The early role of CMR in the assessment of cardiomyopathy', </w:t>
      </w:r>
      <w:r w:rsidRPr="00B2377A">
        <w:rPr>
          <w:rFonts w:asciiTheme="minorHAnsi" w:hAnsiTheme="minorHAnsi"/>
          <w:i/>
          <w:noProof/>
        </w:rPr>
        <w:t>Irish Journal of Medical Science,</w:t>
      </w:r>
      <w:r w:rsidRPr="00554A46">
        <w:rPr>
          <w:rFonts w:asciiTheme="minorHAnsi" w:hAnsiTheme="minorHAnsi"/>
          <w:noProof/>
        </w:rPr>
        <w:t xml:space="preserve"> vol. 180, p. S390.</w:t>
      </w:r>
    </w:p>
    <w:p w14:paraId="73A1C89A" w14:textId="796A393E"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Leite, SM, Martins, E, Campelo, MJ, Amorim, S, Moura, B, Vasconcelos, M, Pinho, T, Cardoso, JC &amp; Maciel, MJ 2014, 'Role of cardiac magnetic resonance imaging in ambulatory patients with heart failure', </w:t>
      </w:r>
      <w:r w:rsidRPr="00B2377A">
        <w:rPr>
          <w:rFonts w:asciiTheme="minorHAnsi" w:hAnsiTheme="minorHAnsi"/>
          <w:i/>
          <w:noProof/>
        </w:rPr>
        <w:t>European Journal of Heart Failure</w:t>
      </w:r>
      <w:r w:rsidRPr="00554A46">
        <w:rPr>
          <w:rFonts w:asciiTheme="minorHAnsi" w:hAnsiTheme="minorHAnsi"/>
          <w:noProof/>
        </w:rPr>
        <w:t>, vol. 16, p. 74.</w:t>
      </w:r>
    </w:p>
    <w:p w14:paraId="45130CB5" w14:textId="0A20A414"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Madan, S, Mishra, M, Sreedhar, G &amp; Tadros, S 2011, 'Pediatric cardiomyopathies: </w:t>
      </w:r>
      <w:r w:rsidR="00070B6D">
        <w:rPr>
          <w:rFonts w:asciiTheme="minorHAnsi" w:hAnsiTheme="minorHAnsi"/>
          <w:noProof/>
        </w:rPr>
        <w:t>e</w:t>
      </w:r>
      <w:r w:rsidRPr="00554A46">
        <w:rPr>
          <w:rFonts w:asciiTheme="minorHAnsi" w:hAnsiTheme="minorHAnsi"/>
          <w:noProof/>
        </w:rPr>
        <w:t>valuation with advanced magnetic resonance imaging',</w:t>
      </w:r>
      <w:r w:rsidRPr="00B2377A">
        <w:rPr>
          <w:rFonts w:asciiTheme="minorHAnsi" w:hAnsiTheme="minorHAnsi"/>
          <w:i/>
          <w:noProof/>
        </w:rPr>
        <w:t xml:space="preserve"> Pediatric Radiology</w:t>
      </w:r>
      <w:r w:rsidRPr="00554A46">
        <w:rPr>
          <w:rFonts w:asciiTheme="minorHAnsi" w:hAnsiTheme="minorHAnsi"/>
          <w:noProof/>
        </w:rPr>
        <w:t>, vol. 41, p. S259.</w:t>
      </w:r>
    </w:p>
    <w:p w14:paraId="2652E6B2" w14:textId="21435C53"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Williams, HJ, Joshi, A, Kirkby, C, Castiello, T, Stephenson, EJ, Wragg, A, Sekhri, N, Schilling, RJ &amp; Mohiddin, SA 2014, 'Cardiac diagnoses in survivors of cardiac arrest with culprit-free coronary angiograms',</w:t>
      </w:r>
      <w:r w:rsidRPr="00B2377A">
        <w:rPr>
          <w:rFonts w:asciiTheme="minorHAnsi" w:hAnsiTheme="minorHAnsi"/>
          <w:i/>
          <w:noProof/>
        </w:rPr>
        <w:t xml:space="preserve"> Journal of the American College of Cardiology</w:t>
      </w:r>
      <w:r w:rsidRPr="00554A46">
        <w:rPr>
          <w:rFonts w:asciiTheme="minorHAnsi" w:hAnsiTheme="minorHAnsi"/>
          <w:noProof/>
        </w:rPr>
        <w:t>, vol. 63, no. 12, p. A302.</w:t>
      </w:r>
    </w:p>
    <w:p w14:paraId="3919A37F" w14:textId="77777777" w:rsidR="00CD3254" w:rsidRDefault="00CD3254" w:rsidP="00161B88">
      <w:pPr>
        <w:pStyle w:val="Heading3"/>
        <w:rPr>
          <w:rFonts w:cs="Times New Roman"/>
        </w:rPr>
      </w:pPr>
      <w:bookmarkStart w:id="881" w:name="_Toc451501427"/>
      <w:r>
        <w:t>Article does not contain relevant data</w:t>
      </w:r>
      <w:bookmarkEnd w:id="881"/>
    </w:p>
    <w:p w14:paraId="27A20E43" w14:textId="2BDA7E91"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Leong, DP, Chakrabarty, A, Shipp, N, Molaee, P, Madsen, PL, Joerg, L, Sullivan, T, Worthley, SG, De Pasquale, CG, Sanders, P &amp; Selvanayagam, JB 2012, 'Effects of myocardial fibrosis and ventricular dyssynchrony on response to therapy in new-presentation idiopathic dilated cardiomyopathy: insights from cardiovascular magnetic resonance and echocardiography', </w:t>
      </w:r>
      <w:r w:rsidRPr="00B2377A">
        <w:rPr>
          <w:rFonts w:asciiTheme="minorHAnsi" w:hAnsiTheme="minorHAnsi"/>
          <w:i/>
          <w:noProof/>
        </w:rPr>
        <w:t>Eur</w:t>
      </w:r>
      <w:r w:rsidR="00E14840">
        <w:rPr>
          <w:rFonts w:asciiTheme="minorHAnsi" w:hAnsiTheme="minorHAnsi"/>
          <w:i/>
          <w:noProof/>
        </w:rPr>
        <w:t>opean</w:t>
      </w:r>
      <w:r w:rsidRPr="00B2377A">
        <w:rPr>
          <w:rFonts w:asciiTheme="minorHAnsi" w:hAnsiTheme="minorHAnsi"/>
          <w:i/>
          <w:noProof/>
        </w:rPr>
        <w:t xml:space="preserve"> Heart J</w:t>
      </w:r>
      <w:r w:rsidR="00E14840">
        <w:rPr>
          <w:rFonts w:asciiTheme="minorHAnsi" w:hAnsiTheme="minorHAnsi"/>
          <w:i/>
          <w:noProof/>
        </w:rPr>
        <w:t>ournal</w:t>
      </w:r>
      <w:r w:rsidRPr="00554A46">
        <w:rPr>
          <w:rFonts w:asciiTheme="minorHAnsi" w:hAnsiTheme="minorHAnsi"/>
          <w:noProof/>
        </w:rPr>
        <w:t>, vol. 33, no. 5, pp. 640</w:t>
      </w:r>
      <w:r w:rsidR="00E14840">
        <w:rPr>
          <w:rFonts w:asciiTheme="minorHAnsi" w:hAnsiTheme="minorHAnsi"/>
          <w:noProof/>
        </w:rPr>
        <w:t>–</w:t>
      </w:r>
      <w:r w:rsidRPr="00554A46">
        <w:rPr>
          <w:rFonts w:asciiTheme="minorHAnsi" w:hAnsiTheme="minorHAnsi"/>
          <w:noProof/>
        </w:rPr>
        <w:t>648.</w:t>
      </w:r>
    </w:p>
    <w:p w14:paraId="0BBB94CD" w14:textId="5569CC16"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Mavrogeni, S, Bratis, K, Papadopoulos, G, Terrovitis, J, Kitsiou, A, Kattamis, A, Papavassiliou, A, Ageli, K &amp; Kolovou, G 2013, 'The Greek cardiac magnetic resonance experience: a comparison with the EuroCMR Registry', </w:t>
      </w:r>
      <w:r w:rsidRPr="00B2377A">
        <w:rPr>
          <w:rFonts w:asciiTheme="minorHAnsi" w:hAnsiTheme="minorHAnsi"/>
          <w:i/>
          <w:noProof/>
        </w:rPr>
        <w:t>Hellenic J</w:t>
      </w:r>
      <w:r w:rsidR="00A36826" w:rsidRPr="00B2377A">
        <w:rPr>
          <w:rFonts w:asciiTheme="minorHAnsi" w:hAnsiTheme="minorHAnsi"/>
          <w:i/>
          <w:noProof/>
        </w:rPr>
        <w:t>ournal of</w:t>
      </w:r>
      <w:r w:rsidRPr="00B2377A">
        <w:rPr>
          <w:rFonts w:asciiTheme="minorHAnsi" w:hAnsiTheme="minorHAnsi"/>
          <w:i/>
          <w:noProof/>
        </w:rPr>
        <w:t xml:space="preserve"> Cardiol</w:t>
      </w:r>
      <w:r w:rsidR="00A36826" w:rsidRPr="00B2377A">
        <w:rPr>
          <w:rFonts w:asciiTheme="minorHAnsi" w:hAnsiTheme="minorHAnsi"/>
          <w:i/>
          <w:noProof/>
        </w:rPr>
        <w:t>ogy</w:t>
      </w:r>
      <w:r w:rsidRPr="00554A46">
        <w:rPr>
          <w:rFonts w:asciiTheme="minorHAnsi" w:hAnsiTheme="minorHAnsi"/>
          <w:noProof/>
        </w:rPr>
        <w:t>, vol. 54, no. 5, pp. 355</w:t>
      </w:r>
      <w:r w:rsidR="00A36826">
        <w:rPr>
          <w:rFonts w:asciiTheme="minorHAnsi" w:hAnsiTheme="minorHAnsi"/>
          <w:noProof/>
        </w:rPr>
        <w:t>–</w:t>
      </w:r>
      <w:r w:rsidRPr="00554A46">
        <w:rPr>
          <w:rFonts w:asciiTheme="minorHAnsi" w:hAnsiTheme="minorHAnsi"/>
          <w:noProof/>
        </w:rPr>
        <w:t>361.</w:t>
      </w:r>
    </w:p>
    <w:p w14:paraId="0C1EFB09" w14:textId="34F05D28"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 xml:space="preserve">McCrohon, J, Moon, J, Prasad, S, McKenna, W, Lorenz, C, Coats, A &amp; Pennell, D 2003, 'Differentiation of heart failure related to dilated cardiomyopathy and coronary artery disease using gadolinium-enhanced cardiovascular magnetic resonance', </w:t>
      </w:r>
      <w:r w:rsidRPr="00B2377A">
        <w:rPr>
          <w:rFonts w:asciiTheme="minorHAnsi" w:hAnsiTheme="minorHAnsi"/>
          <w:i/>
          <w:noProof/>
        </w:rPr>
        <w:t>Circulation</w:t>
      </w:r>
      <w:r w:rsidRPr="00554A46">
        <w:rPr>
          <w:rFonts w:asciiTheme="minorHAnsi" w:hAnsiTheme="minorHAnsi"/>
          <w:noProof/>
        </w:rPr>
        <w:t>, vol. 108, no. 1, pp. 54</w:t>
      </w:r>
      <w:r w:rsidR="00A36826">
        <w:rPr>
          <w:rFonts w:asciiTheme="minorHAnsi" w:hAnsiTheme="minorHAnsi"/>
          <w:noProof/>
        </w:rPr>
        <w:t>–</w:t>
      </w:r>
      <w:r w:rsidRPr="00554A46">
        <w:rPr>
          <w:rFonts w:asciiTheme="minorHAnsi" w:hAnsiTheme="minorHAnsi"/>
          <w:noProof/>
        </w:rPr>
        <w:t>59.</w:t>
      </w:r>
    </w:p>
    <w:p w14:paraId="303D4293" w14:textId="707C8256"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lastRenderedPageBreak/>
        <w:t xml:space="preserve">Yokokawa, M, Tada, H, Toyama, T, Koyama, K, Naito, S, Oshima, S &amp; Taniguchi, K 2009, 'Magnetic resonance imaging is superior to cardiac scintigraphy to identify nonresponders to cardiac resynchronization therapy', </w:t>
      </w:r>
      <w:r w:rsidRPr="00B2377A">
        <w:rPr>
          <w:rFonts w:asciiTheme="minorHAnsi" w:hAnsiTheme="minorHAnsi"/>
          <w:i/>
          <w:noProof/>
        </w:rPr>
        <w:t xml:space="preserve">Pacing and </w:t>
      </w:r>
      <w:r w:rsidR="00E40C49" w:rsidRPr="00B2377A">
        <w:rPr>
          <w:rFonts w:asciiTheme="minorHAnsi" w:hAnsiTheme="minorHAnsi"/>
          <w:i/>
          <w:noProof/>
        </w:rPr>
        <w:t>C</w:t>
      </w:r>
      <w:r w:rsidRPr="00B2377A">
        <w:rPr>
          <w:rFonts w:asciiTheme="minorHAnsi" w:hAnsiTheme="minorHAnsi"/>
          <w:i/>
          <w:noProof/>
        </w:rPr>
        <w:t xml:space="preserve">linical </w:t>
      </w:r>
      <w:r w:rsidR="00E40C49" w:rsidRPr="00B2377A">
        <w:rPr>
          <w:rFonts w:asciiTheme="minorHAnsi" w:hAnsiTheme="minorHAnsi"/>
          <w:i/>
          <w:noProof/>
        </w:rPr>
        <w:t>E</w:t>
      </w:r>
      <w:r w:rsidRPr="00B2377A">
        <w:rPr>
          <w:rFonts w:asciiTheme="minorHAnsi" w:hAnsiTheme="minorHAnsi"/>
          <w:i/>
          <w:noProof/>
        </w:rPr>
        <w:t>lectrophysiology</w:t>
      </w:r>
      <w:r w:rsidRPr="00554A46">
        <w:rPr>
          <w:rFonts w:asciiTheme="minorHAnsi" w:hAnsiTheme="minorHAnsi"/>
          <w:noProof/>
        </w:rPr>
        <w:t>, vol. 32, pp. S57</w:t>
      </w:r>
      <w:r w:rsidR="00E40C49">
        <w:rPr>
          <w:rFonts w:asciiTheme="minorHAnsi" w:hAnsiTheme="minorHAnsi"/>
          <w:noProof/>
        </w:rPr>
        <w:t>–</w:t>
      </w:r>
      <w:r w:rsidRPr="00554A46">
        <w:rPr>
          <w:rFonts w:asciiTheme="minorHAnsi" w:hAnsiTheme="minorHAnsi"/>
          <w:noProof/>
        </w:rPr>
        <w:t>62.</w:t>
      </w:r>
    </w:p>
    <w:p w14:paraId="79150C8F" w14:textId="77777777" w:rsidR="00CD3254" w:rsidRDefault="00CD3254" w:rsidP="00161B88">
      <w:pPr>
        <w:pStyle w:val="Heading3"/>
        <w:rPr>
          <w:rFonts w:cs="Times New Roman"/>
        </w:rPr>
      </w:pPr>
      <w:bookmarkStart w:id="882" w:name="_Toc451501428"/>
      <w:r>
        <w:t>Wrong population</w:t>
      </w:r>
      <w:bookmarkEnd w:id="882"/>
    </w:p>
    <w:p w14:paraId="378FBEC3" w14:textId="063E583D" w:rsidR="00CD3254" w:rsidRPr="00554A46" w:rsidRDefault="00CD3254" w:rsidP="004C79C1">
      <w:pPr>
        <w:spacing w:after="120" w:line="240" w:lineRule="auto"/>
        <w:jc w:val="both"/>
        <w:rPr>
          <w:rFonts w:asciiTheme="minorHAnsi" w:hAnsiTheme="minorHAnsi"/>
          <w:noProof/>
        </w:rPr>
      </w:pPr>
      <w:r w:rsidRPr="00554A46">
        <w:rPr>
          <w:rFonts w:asciiTheme="minorHAnsi" w:hAnsiTheme="minorHAnsi"/>
          <w:noProof/>
        </w:rPr>
        <w:t>Neilan</w:t>
      </w:r>
      <w:r w:rsidR="00A77A15">
        <w:rPr>
          <w:rFonts w:asciiTheme="minorHAnsi" w:hAnsiTheme="minorHAnsi"/>
          <w:noProof/>
        </w:rPr>
        <w:t>,</w:t>
      </w:r>
      <w:r w:rsidRPr="00554A46">
        <w:rPr>
          <w:rFonts w:asciiTheme="minorHAnsi" w:hAnsiTheme="minorHAnsi"/>
          <w:noProof/>
        </w:rPr>
        <w:t xml:space="preserve"> TG, Farhad</w:t>
      </w:r>
      <w:r w:rsidR="00A77A15">
        <w:rPr>
          <w:rFonts w:asciiTheme="minorHAnsi" w:hAnsiTheme="minorHAnsi"/>
          <w:noProof/>
        </w:rPr>
        <w:t>,</w:t>
      </w:r>
      <w:r w:rsidRPr="00554A46">
        <w:rPr>
          <w:rFonts w:asciiTheme="minorHAnsi" w:hAnsiTheme="minorHAnsi"/>
          <w:noProof/>
        </w:rPr>
        <w:t xml:space="preserve"> H, Mayrhofer</w:t>
      </w:r>
      <w:r w:rsidR="00A77A15">
        <w:rPr>
          <w:rFonts w:asciiTheme="minorHAnsi" w:hAnsiTheme="minorHAnsi"/>
          <w:noProof/>
        </w:rPr>
        <w:t>,</w:t>
      </w:r>
      <w:r w:rsidRPr="00554A46">
        <w:rPr>
          <w:rFonts w:asciiTheme="minorHAnsi" w:hAnsiTheme="minorHAnsi"/>
          <w:noProof/>
        </w:rPr>
        <w:t xml:space="preserve"> T, Shah</w:t>
      </w:r>
      <w:r w:rsidR="00A77A15">
        <w:rPr>
          <w:rFonts w:asciiTheme="minorHAnsi" w:hAnsiTheme="minorHAnsi"/>
          <w:noProof/>
        </w:rPr>
        <w:t>,</w:t>
      </w:r>
      <w:r w:rsidRPr="00554A46">
        <w:rPr>
          <w:rFonts w:asciiTheme="minorHAnsi" w:hAnsiTheme="minorHAnsi"/>
          <w:noProof/>
        </w:rPr>
        <w:t xml:space="preserve"> RV, Dodson</w:t>
      </w:r>
      <w:r w:rsidR="00A77A15">
        <w:rPr>
          <w:rFonts w:asciiTheme="minorHAnsi" w:hAnsiTheme="minorHAnsi"/>
          <w:noProof/>
        </w:rPr>
        <w:t>,</w:t>
      </w:r>
      <w:r w:rsidRPr="00554A46">
        <w:rPr>
          <w:rFonts w:asciiTheme="minorHAnsi" w:hAnsiTheme="minorHAnsi"/>
          <w:noProof/>
        </w:rPr>
        <w:t xml:space="preserve"> JA, Abbasi</w:t>
      </w:r>
      <w:r w:rsidR="00A77A15">
        <w:rPr>
          <w:rFonts w:asciiTheme="minorHAnsi" w:hAnsiTheme="minorHAnsi"/>
          <w:noProof/>
        </w:rPr>
        <w:t>,</w:t>
      </w:r>
      <w:r w:rsidRPr="00554A46">
        <w:rPr>
          <w:rFonts w:asciiTheme="minorHAnsi" w:hAnsiTheme="minorHAnsi"/>
          <w:noProof/>
        </w:rPr>
        <w:t xml:space="preserve"> SA, Danik</w:t>
      </w:r>
      <w:r w:rsidR="00A77A15">
        <w:rPr>
          <w:rFonts w:asciiTheme="minorHAnsi" w:hAnsiTheme="minorHAnsi"/>
          <w:noProof/>
        </w:rPr>
        <w:t>,</w:t>
      </w:r>
      <w:r w:rsidRPr="00554A46">
        <w:rPr>
          <w:rFonts w:asciiTheme="minorHAnsi" w:hAnsiTheme="minorHAnsi"/>
          <w:noProof/>
        </w:rPr>
        <w:t xml:space="preserve"> SB, Verdini</w:t>
      </w:r>
      <w:r w:rsidR="00A77A15">
        <w:rPr>
          <w:rFonts w:asciiTheme="minorHAnsi" w:hAnsiTheme="minorHAnsi"/>
          <w:noProof/>
        </w:rPr>
        <w:t>,</w:t>
      </w:r>
      <w:r w:rsidRPr="00554A46">
        <w:rPr>
          <w:rFonts w:asciiTheme="minorHAnsi" w:hAnsiTheme="minorHAnsi"/>
          <w:noProof/>
        </w:rPr>
        <w:t xml:space="preserve"> DJ, Tokuda</w:t>
      </w:r>
      <w:r w:rsidR="00A77A15">
        <w:rPr>
          <w:rFonts w:asciiTheme="minorHAnsi" w:hAnsiTheme="minorHAnsi"/>
          <w:noProof/>
        </w:rPr>
        <w:t>,</w:t>
      </w:r>
      <w:r w:rsidRPr="00554A46">
        <w:rPr>
          <w:rFonts w:asciiTheme="minorHAnsi" w:hAnsiTheme="minorHAnsi"/>
          <w:noProof/>
        </w:rPr>
        <w:t xml:space="preserve"> M, Tedrow</w:t>
      </w:r>
      <w:r w:rsidR="00A77A15">
        <w:rPr>
          <w:rFonts w:asciiTheme="minorHAnsi" w:hAnsiTheme="minorHAnsi"/>
          <w:noProof/>
        </w:rPr>
        <w:t>,</w:t>
      </w:r>
      <w:r w:rsidRPr="00554A46">
        <w:rPr>
          <w:rFonts w:asciiTheme="minorHAnsi" w:hAnsiTheme="minorHAnsi"/>
          <w:noProof/>
        </w:rPr>
        <w:t xml:space="preserve"> UB, Jerosch-Herold</w:t>
      </w:r>
      <w:r w:rsidR="00A77A15">
        <w:rPr>
          <w:rFonts w:asciiTheme="minorHAnsi" w:hAnsiTheme="minorHAnsi"/>
          <w:noProof/>
        </w:rPr>
        <w:t>,</w:t>
      </w:r>
      <w:r w:rsidRPr="00554A46">
        <w:rPr>
          <w:rFonts w:asciiTheme="minorHAnsi" w:hAnsiTheme="minorHAnsi"/>
          <w:noProof/>
        </w:rPr>
        <w:t xml:space="preserve"> M, Hoffmann</w:t>
      </w:r>
      <w:r w:rsidR="00A77A15">
        <w:rPr>
          <w:rFonts w:asciiTheme="minorHAnsi" w:hAnsiTheme="minorHAnsi"/>
          <w:noProof/>
        </w:rPr>
        <w:t>,</w:t>
      </w:r>
      <w:r w:rsidRPr="00554A46">
        <w:rPr>
          <w:rFonts w:asciiTheme="minorHAnsi" w:hAnsiTheme="minorHAnsi"/>
          <w:noProof/>
        </w:rPr>
        <w:t xml:space="preserve"> U, Ghoshhajra</w:t>
      </w:r>
      <w:r w:rsidR="00A77A15">
        <w:rPr>
          <w:rFonts w:asciiTheme="minorHAnsi" w:hAnsiTheme="minorHAnsi"/>
          <w:noProof/>
        </w:rPr>
        <w:t>,</w:t>
      </w:r>
      <w:r w:rsidRPr="00554A46">
        <w:rPr>
          <w:rFonts w:asciiTheme="minorHAnsi" w:hAnsiTheme="minorHAnsi"/>
          <w:noProof/>
        </w:rPr>
        <w:t xml:space="preserve"> BB, Stevenson</w:t>
      </w:r>
      <w:r w:rsidR="00A77A15">
        <w:rPr>
          <w:rFonts w:asciiTheme="minorHAnsi" w:hAnsiTheme="minorHAnsi"/>
          <w:noProof/>
        </w:rPr>
        <w:t>,</w:t>
      </w:r>
      <w:r w:rsidRPr="00554A46">
        <w:rPr>
          <w:rFonts w:asciiTheme="minorHAnsi" w:hAnsiTheme="minorHAnsi"/>
          <w:noProof/>
        </w:rPr>
        <w:t xml:space="preserve"> WG &amp; Kwong</w:t>
      </w:r>
      <w:r w:rsidR="00A77A15">
        <w:rPr>
          <w:rFonts w:asciiTheme="minorHAnsi" w:hAnsiTheme="minorHAnsi"/>
          <w:noProof/>
        </w:rPr>
        <w:t>,</w:t>
      </w:r>
      <w:r w:rsidRPr="00554A46">
        <w:rPr>
          <w:rFonts w:asciiTheme="minorHAnsi" w:hAnsiTheme="minorHAnsi"/>
          <w:noProof/>
        </w:rPr>
        <w:t xml:space="preserve"> RY 2015, 'Late gadolinium enhancement among survivors of sudden cardiac arrest',</w:t>
      </w:r>
      <w:r w:rsidRPr="00B2377A">
        <w:rPr>
          <w:rFonts w:asciiTheme="minorHAnsi" w:hAnsiTheme="minorHAnsi"/>
          <w:i/>
          <w:noProof/>
        </w:rPr>
        <w:t xml:space="preserve"> JACC Cardiovasc</w:t>
      </w:r>
      <w:r w:rsidR="0089537E" w:rsidRPr="00B2377A">
        <w:rPr>
          <w:rFonts w:asciiTheme="minorHAnsi" w:hAnsiTheme="minorHAnsi"/>
          <w:i/>
          <w:noProof/>
        </w:rPr>
        <w:t>ular</w:t>
      </w:r>
      <w:r w:rsidRPr="00B2377A">
        <w:rPr>
          <w:rFonts w:asciiTheme="minorHAnsi" w:hAnsiTheme="minorHAnsi"/>
          <w:i/>
          <w:noProof/>
        </w:rPr>
        <w:t xml:space="preserve"> Imaging</w:t>
      </w:r>
      <w:r w:rsidRPr="00554A46">
        <w:rPr>
          <w:rFonts w:asciiTheme="minorHAnsi" w:hAnsiTheme="minorHAnsi"/>
          <w:noProof/>
        </w:rPr>
        <w:t>, vol. 8, no. 4, pp. 414</w:t>
      </w:r>
      <w:r w:rsidR="0089537E">
        <w:rPr>
          <w:rFonts w:asciiTheme="minorHAnsi" w:hAnsiTheme="minorHAnsi"/>
          <w:noProof/>
        </w:rPr>
        <w:t>–</w:t>
      </w:r>
      <w:r w:rsidRPr="00554A46">
        <w:rPr>
          <w:rFonts w:asciiTheme="minorHAnsi" w:hAnsiTheme="minorHAnsi"/>
          <w:noProof/>
        </w:rPr>
        <w:t>423.</w:t>
      </w:r>
    </w:p>
    <w:p w14:paraId="3A4610FC" w14:textId="448501EC" w:rsidR="00CD3254" w:rsidRPr="00554A46" w:rsidRDefault="00CD3254" w:rsidP="004C79C1">
      <w:pPr>
        <w:autoSpaceDE w:val="0"/>
        <w:autoSpaceDN w:val="0"/>
        <w:spacing w:after="120" w:line="240" w:lineRule="auto"/>
        <w:jc w:val="both"/>
        <w:rPr>
          <w:rFonts w:asciiTheme="minorHAnsi" w:hAnsiTheme="minorHAnsi"/>
          <w:noProof/>
        </w:rPr>
      </w:pPr>
      <w:r w:rsidRPr="00554A46">
        <w:rPr>
          <w:rFonts w:asciiTheme="minorHAnsi" w:hAnsiTheme="minorHAnsi"/>
          <w:noProof/>
        </w:rPr>
        <w:t>Taylor</w:t>
      </w:r>
      <w:r w:rsidR="00A77A15">
        <w:rPr>
          <w:rFonts w:asciiTheme="minorHAnsi" w:hAnsiTheme="minorHAnsi"/>
          <w:noProof/>
        </w:rPr>
        <w:t>,</w:t>
      </w:r>
      <w:r w:rsidRPr="00554A46">
        <w:rPr>
          <w:rFonts w:asciiTheme="minorHAnsi" w:hAnsiTheme="minorHAnsi"/>
          <w:noProof/>
        </w:rPr>
        <w:t xml:space="preserve"> AJ, Elsik</w:t>
      </w:r>
      <w:r w:rsidR="00A77A15">
        <w:rPr>
          <w:rFonts w:asciiTheme="minorHAnsi" w:hAnsiTheme="minorHAnsi"/>
          <w:noProof/>
        </w:rPr>
        <w:t>,</w:t>
      </w:r>
      <w:r w:rsidRPr="00554A46">
        <w:rPr>
          <w:rFonts w:asciiTheme="minorHAnsi" w:hAnsiTheme="minorHAnsi"/>
          <w:noProof/>
        </w:rPr>
        <w:t xml:space="preserve"> M, Broughton</w:t>
      </w:r>
      <w:r w:rsidR="00A77A15">
        <w:rPr>
          <w:rFonts w:asciiTheme="minorHAnsi" w:hAnsiTheme="minorHAnsi"/>
          <w:noProof/>
        </w:rPr>
        <w:t>,</w:t>
      </w:r>
      <w:r w:rsidRPr="00554A46">
        <w:rPr>
          <w:rFonts w:asciiTheme="minorHAnsi" w:hAnsiTheme="minorHAnsi"/>
          <w:noProof/>
        </w:rPr>
        <w:t xml:space="preserve"> A, Cherayath</w:t>
      </w:r>
      <w:r w:rsidR="00A77A15">
        <w:rPr>
          <w:rFonts w:asciiTheme="minorHAnsi" w:hAnsiTheme="minorHAnsi"/>
          <w:noProof/>
        </w:rPr>
        <w:t>,</w:t>
      </w:r>
      <w:r w:rsidRPr="00554A46">
        <w:rPr>
          <w:rFonts w:asciiTheme="minorHAnsi" w:hAnsiTheme="minorHAnsi"/>
          <w:noProof/>
        </w:rPr>
        <w:t xml:space="preserve"> J, Leet</w:t>
      </w:r>
      <w:r w:rsidR="00A77A15">
        <w:rPr>
          <w:rFonts w:asciiTheme="minorHAnsi" w:hAnsiTheme="minorHAnsi"/>
          <w:noProof/>
        </w:rPr>
        <w:t>,</w:t>
      </w:r>
      <w:r w:rsidRPr="00554A46">
        <w:rPr>
          <w:rFonts w:asciiTheme="minorHAnsi" w:hAnsiTheme="minorHAnsi"/>
          <w:noProof/>
        </w:rPr>
        <w:t xml:space="preserve"> A, Wong</w:t>
      </w:r>
      <w:r w:rsidR="00A77A15">
        <w:rPr>
          <w:rFonts w:asciiTheme="minorHAnsi" w:hAnsiTheme="minorHAnsi"/>
          <w:noProof/>
        </w:rPr>
        <w:t>,</w:t>
      </w:r>
      <w:r w:rsidRPr="00554A46">
        <w:rPr>
          <w:rFonts w:asciiTheme="minorHAnsi" w:hAnsiTheme="minorHAnsi"/>
          <w:noProof/>
        </w:rPr>
        <w:t xml:space="preserve"> C, Iles</w:t>
      </w:r>
      <w:r w:rsidR="00A77A15">
        <w:rPr>
          <w:rFonts w:asciiTheme="minorHAnsi" w:hAnsiTheme="minorHAnsi"/>
          <w:noProof/>
        </w:rPr>
        <w:t>,</w:t>
      </w:r>
      <w:r w:rsidRPr="00554A46">
        <w:rPr>
          <w:rFonts w:asciiTheme="minorHAnsi" w:hAnsiTheme="minorHAnsi"/>
          <w:noProof/>
        </w:rPr>
        <w:t xml:space="preserve"> L, Butler</w:t>
      </w:r>
      <w:r w:rsidR="00A77A15">
        <w:rPr>
          <w:rFonts w:asciiTheme="minorHAnsi" w:hAnsiTheme="minorHAnsi"/>
          <w:noProof/>
        </w:rPr>
        <w:t>,</w:t>
      </w:r>
      <w:r w:rsidRPr="00554A46">
        <w:rPr>
          <w:rFonts w:asciiTheme="minorHAnsi" w:hAnsiTheme="minorHAnsi"/>
          <w:noProof/>
        </w:rPr>
        <w:t xml:space="preserve"> M &amp; Pfluger</w:t>
      </w:r>
      <w:r w:rsidR="00A77A15">
        <w:rPr>
          <w:rFonts w:asciiTheme="minorHAnsi" w:hAnsiTheme="minorHAnsi"/>
          <w:noProof/>
        </w:rPr>
        <w:t>,</w:t>
      </w:r>
      <w:r w:rsidRPr="00554A46">
        <w:rPr>
          <w:rFonts w:asciiTheme="minorHAnsi" w:hAnsiTheme="minorHAnsi"/>
          <w:noProof/>
        </w:rPr>
        <w:t xml:space="preserve"> H 2010, 'Combined dyssynchrony and scar imaging with cardiac magnetic resonance imaging predicts clinical response and long-term prognosis following cardiac resynchronization therapy', </w:t>
      </w:r>
      <w:r w:rsidRPr="00B2377A">
        <w:rPr>
          <w:rFonts w:asciiTheme="minorHAnsi" w:hAnsiTheme="minorHAnsi"/>
          <w:i/>
          <w:noProof/>
        </w:rPr>
        <w:t>Europace</w:t>
      </w:r>
      <w:r w:rsidRPr="00554A46">
        <w:rPr>
          <w:rFonts w:asciiTheme="minorHAnsi" w:hAnsiTheme="minorHAnsi"/>
          <w:noProof/>
        </w:rPr>
        <w:t>, vol. 12, no. 5, pp. 708</w:t>
      </w:r>
      <w:r w:rsidR="0089537E">
        <w:rPr>
          <w:rFonts w:asciiTheme="minorHAnsi" w:hAnsiTheme="minorHAnsi"/>
          <w:noProof/>
        </w:rPr>
        <w:t>–</w:t>
      </w:r>
      <w:r w:rsidRPr="00554A46">
        <w:rPr>
          <w:rFonts w:asciiTheme="minorHAnsi" w:hAnsiTheme="minorHAnsi"/>
          <w:noProof/>
        </w:rPr>
        <w:t>713.</w:t>
      </w:r>
    </w:p>
    <w:p w14:paraId="06BD551F" w14:textId="77777777" w:rsidR="003B3D1E" w:rsidRPr="00554A46" w:rsidRDefault="003B3D1E" w:rsidP="004C79C1">
      <w:pPr>
        <w:spacing w:after="120" w:line="240" w:lineRule="auto"/>
      </w:pPr>
    </w:p>
    <w:p w14:paraId="36ACCF02" w14:textId="13060010" w:rsidR="00727B44" w:rsidRPr="00183E4D" w:rsidRDefault="00727B44" w:rsidP="00CC55F9">
      <w:pPr>
        <w:pStyle w:val="Heading1"/>
        <w:spacing w:after="120" w:line="240" w:lineRule="auto"/>
      </w:pPr>
      <w:bookmarkStart w:id="883" w:name="_Ref445281436"/>
      <w:bookmarkStart w:id="884" w:name="_Toc451501429"/>
      <w:bookmarkEnd w:id="808"/>
      <w:r w:rsidRPr="00183E4D">
        <w:lastRenderedPageBreak/>
        <w:t xml:space="preserve">Appendix </w:t>
      </w:r>
      <w:fldSimple w:instr=" SEQ Appendix \* ALPHABETIC ">
        <w:r w:rsidR="00460601">
          <w:rPr>
            <w:noProof/>
          </w:rPr>
          <w:t>F</w:t>
        </w:r>
      </w:fldSimple>
      <w:r w:rsidRPr="00183E4D">
        <w:tab/>
      </w:r>
      <w:r>
        <w:t xml:space="preserve">Relevant MBS </w:t>
      </w:r>
      <w:r w:rsidR="00F25701">
        <w:t>I</w:t>
      </w:r>
      <w:r w:rsidR="00CC55F9">
        <w:t xml:space="preserve">tems for the </w:t>
      </w:r>
      <w:r w:rsidR="00F25701">
        <w:t>C</w:t>
      </w:r>
      <w:r>
        <w:t>omparators</w:t>
      </w:r>
      <w:bookmarkEnd w:id="883"/>
      <w:bookmarkEnd w:id="884"/>
    </w:p>
    <w:p w14:paraId="6530471F" w14:textId="436BF1BD" w:rsidR="00727B44" w:rsidRDefault="00050936" w:rsidP="004C79C1">
      <w:pPr>
        <w:pStyle w:val="Caption"/>
      </w:pPr>
      <w:bookmarkStart w:id="885" w:name="_Toc324410272"/>
      <w:bookmarkStart w:id="886" w:name="_Toc451435419"/>
      <w:r>
        <w:t xml:space="preserve">Table </w:t>
      </w:r>
      <w:fldSimple w:instr=" SEQ Table \* ARABIC ">
        <w:r>
          <w:rPr>
            <w:noProof/>
          </w:rPr>
          <w:t>92</w:t>
        </w:r>
      </w:fldSimple>
      <w:r w:rsidR="00B41D5E">
        <w:tab/>
      </w:r>
      <w:r w:rsidR="00124BE5">
        <w:t xml:space="preserve">Gated </w:t>
      </w:r>
      <w:r w:rsidR="006D7237">
        <w:t>heart pool</w:t>
      </w:r>
      <w:r w:rsidR="00124BE5">
        <w:t xml:space="preserve"> scan</w:t>
      </w:r>
      <w:r w:rsidR="00C40C7B">
        <w:t xml:space="preserve"> (GHPS)</w:t>
      </w:r>
      <w:bookmarkEnd w:id="885"/>
      <w:bookmarkEnd w:id="886"/>
    </w:p>
    <w:tbl>
      <w:tblPr>
        <w:tblStyle w:val="TableGrid"/>
        <w:tblW w:w="0" w:type="auto"/>
        <w:tblLook w:val="04A0" w:firstRow="1" w:lastRow="0" w:firstColumn="1" w:lastColumn="0" w:noHBand="0" w:noVBand="1"/>
        <w:tblCaption w:val="Gated heart pool scan"/>
      </w:tblPr>
      <w:tblGrid>
        <w:gridCol w:w="1092"/>
        <w:gridCol w:w="6879"/>
        <w:gridCol w:w="1045"/>
      </w:tblGrid>
      <w:tr w:rsidR="00727B44" w:rsidRPr="00FA3886" w14:paraId="142AA083" w14:textId="77777777" w:rsidTr="00E11C53">
        <w:trPr>
          <w:tblHeader/>
        </w:trPr>
        <w:tc>
          <w:tcPr>
            <w:tcW w:w="1092" w:type="dxa"/>
          </w:tcPr>
          <w:p w14:paraId="5B678BAB" w14:textId="77777777" w:rsidR="00727B44" w:rsidRPr="00FA3886" w:rsidRDefault="00727B44" w:rsidP="004C79C1">
            <w:pPr>
              <w:spacing w:after="120" w:line="240" w:lineRule="auto"/>
              <w:rPr>
                <w:rFonts w:ascii="Arial Narrow" w:hAnsi="Arial Narrow"/>
                <w:b/>
                <w:sz w:val="20"/>
              </w:rPr>
            </w:pPr>
            <w:r w:rsidRPr="00FA3886">
              <w:rPr>
                <w:rFonts w:ascii="Arial Narrow" w:hAnsi="Arial Narrow"/>
                <w:b/>
                <w:sz w:val="20"/>
              </w:rPr>
              <w:t>MBS item number</w:t>
            </w:r>
          </w:p>
        </w:tc>
        <w:tc>
          <w:tcPr>
            <w:tcW w:w="6879" w:type="dxa"/>
          </w:tcPr>
          <w:p w14:paraId="2E65FF7B" w14:textId="77777777" w:rsidR="00727B44" w:rsidRPr="00FA3886" w:rsidRDefault="00727B44" w:rsidP="004C79C1">
            <w:pPr>
              <w:spacing w:after="120" w:line="240" w:lineRule="auto"/>
              <w:rPr>
                <w:rFonts w:ascii="Arial Narrow" w:hAnsi="Arial Narrow"/>
                <w:b/>
                <w:sz w:val="20"/>
              </w:rPr>
            </w:pPr>
            <w:r w:rsidRPr="00FA3886">
              <w:rPr>
                <w:rFonts w:ascii="Arial Narrow" w:hAnsi="Arial Narrow"/>
                <w:b/>
                <w:sz w:val="20"/>
              </w:rPr>
              <w:t>Description</w:t>
            </w:r>
          </w:p>
        </w:tc>
        <w:tc>
          <w:tcPr>
            <w:tcW w:w="1045" w:type="dxa"/>
          </w:tcPr>
          <w:p w14:paraId="1A06DBCA" w14:textId="77777777" w:rsidR="00727B44" w:rsidRPr="00FA3886" w:rsidRDefault="00727B44" w:rsidP="004C79C1">
            <w:pPr>
              <w:spacing w:after="120" w:line="240" w:lineRule="auto"/>
              <w:rPr>
                <w:rFonts w:ascii="Arial Narrow" w:hAnsi="Arial Narrow"/>
                <w:b/>
                <w:sz w:val="20"/>
              </w:rPr>
            </w:pPr>
            <w:r w:rsidRPr="00FA3886">
              <w:rPr>
                <w:rFonts w:ascii="Arial Narrow" w:hAnsi="Arial Narrow"/>
                <w:b/>
                <w:sz w:val="20"/>
              </w:rPr>
              <w:t>Fee</w:t>
            </w:r>
          </w:p>
        </w:tc>
      </w:tr>
      <w:tr w:rsidR="00727B44" w:rsidRPr="00FA3886" w14:paraId="2428CAD8" w14:textId="77777777" w:rsidTr="00554A46">
        <w:tc>
          <w:tcPr>
            <w:tcW w:w="1092" w:type="dxa"/>
          </w:tcPr>
          <w:p w14:paraId="6703AABA" w14:textId="77777777" w:rsidR="00727B44" w:rsidRPr="00EB0222" w:rsidRDefault="00727B44" w:rsidP="004C79C1">
            <w:pPr>
              <w:spacing w:after="120" w:line="240" w:lineRule="auto"/>
              <w:rPr>
                <w:rFonts w:ascii="Arial Narrow" w:hAnsi="Arial Narrow"/>
                <w:sz w:val="20"/>
              </w:rPr>
            </w:pPr>
            <w:r w:rsidRPr="00EB0222">
              <w:rPr>
                <w:rFonts w:ascii="Arial Narrow" w:hAnsi="Arial Narrow"/>
                <w:sz w:val="20"/>
              </w:rPr>
              <w:t>61313</w:t>
            </w:r>
          </w:p>
        </w:tc>
        <w:tc>
          <w:tcPr>
            <w:tcW w:w="6879" w:type="dxa"/>
          </w:tcPr>
          <w:p w14:paraId="12B99D0E" w14:textId="3F3B1604" w:rsidR="00727B44" w:rsidRPr="00EB0222" w:rsidRDefault="00727B44" w:rsidP="004C79C1">
            <w:pPr>
              <w:spacing w:after="120" w:line="240" w:lineRule="auto"/>
              <w:rPr>
                <w:rFonts w:ascii="Arial Narrow" w:hAnsi="Arial Narrow"/>
                <w:sz w:val="20"/>
              </w:rPr>
            </w:pPr>
            <w:r w:rsidRPr="00EB0222">
              <w:rPr>
                <w:rFonts w:ascii="Arial Narrow" w:hAnsi="Arial Narrow"/>
                <w:sz w:val="20"/>
              </w:rPr>
              <w:t xml:space="preserve">GATED CARDIAC </w:t>
            </w:r>
            <w:r w:rsidR="006D7237">
              <w:rPr>
                <w:rFonts w:ascii="Arial Narrow" w:hAnsi="Arial Narrow"/>
                <w:sz w:val="20"/>
              </w:rPr>
              <w:t>HEART POOL</w:t>
            </w:r>
            <w:r w:rsidRPr="00EB0222">
              <w:rPr>
                <w:rFonts w:ascii="Arial Narrow" w:hAnsi="Arial Narrow"/>
                <w:sz w:val="20"/>
              </w:rPr>
              <w:t xml:space="preserve"> STUDY, (equilibrium), with planar imaging and single photon emission tomography OR planar imaging or single photon emission tomography (R)</w:t>
            </w:r>
          </w:p>
          <w:p w14:paraId="75CAE2BF" w14:textId="77777777" w:rsidR="00727B44" w:rsidRPr="00EB0222" w:rsidRDefault="00727B44" w:rsidP="004C79C1">
            <w:pPr>
              <w:spacing w:after="120" w:line="240" w:lineRule="auto"/>
              <w:rPr>
                <w:rFonts w:ascii="Arial Narrow" w:hAnsi="Arial Narrow"/>
                <w:sz w:val="20"/>
              </w:rPr>
            </w:pPr>
            <w:r w:rsidRPr="00EB0222">
              <w:rPr>
                <w:rFonts w:ascii="Arial Narrow" w:hAnsi="Arial Narrow"/>
                <w:sz w:val="20"/>
              </w:rPr>
              <w:t>Bulk bill incentive</w:t>
            </w:r>
          </w:p>
          <w:p w14:paraId="0369B03A" w14:textId="77777777" w:rsidR="00727B44" w:rsidRPr="00FA3886" w:rsidRDefault="00727B44" w:rsidP="004C79C1">
            <w:pPr>
              <w:spacing w:after="120" w:line="240" w:lineRule="auto"/>
              <w:rPr>
                <w:rFonts w:ascii="Arial Narrow" w:hAnsi="Arial Narrow"/>
                <w:b/>
                <w:sz w:val="20"/>
              </w:rPr>
            </w:pPr>
            <w:r w:rsidRPr="00EB0222">
              <w:rPr>
                <w:rFonts w:ascii="Arial Narrow" w:hAnsi="Arial Narrow"/>
                <w:sz w:val="20"/>
              </w:rPr>
              <w:t>Fee: $303.35 Benefit: 75% = $227.55 85% = $257.85</w:t>
            </w:r>
          </w:p>
        </w:tc>
        <w:tc>
          <w:tcPr>
            <w:tcW w:w="1045" w:type="dxa"/>
          </w:tcPr>
          <w:p w14:paraId="089A57D9" w14:textId="77777777" w:rsidR="00727B44" w:rsidRPr="00FA3886" w:rsidRDefault="00727B44" w:rsidP="004C79C1">
            <w:pPr>
              <w:spacing w:after="120" w:line="240" w:lineRule="auto"/>
              <w:rPr>
                <w:rFonts w:ascii="Arial Narrow" w:hAnsi="Arial Narrow"/>
                <w:b/>
                <w:sz w:val="20"/>
              </w:rPr>
            </w:pPr>
            <w:r w:rsidRPr="00EB0222">
              <w:rPr>
                <w:rFonts w:ascii="Arial Narrow" w:hAnsi="Arial Narrow"/>
                <w:sz w:val="20"/>
              </w:rPr>
              <w:t>$303.35</w:t>
            </w:r>
          </w:p>
        </w:tc>
      </w:tr>
    </w:tbl>
    <w:p w14:paraId="7D1C7FF6" w14:textId="58C87A82" w:rsidR="0032605F" w:rsidRDefault="00050936" w:rsidP="00CC55F9">
      <w:pPr>
        <w:pStyle w:val="Caption"/>
        <w:spacing w:before="240"/>
      </w:pPr>
      <w:bookmarkStart w:id="887" w:name="_Toc324410273"/>
      <w:bookmarkStart w:id="888" w:name="_Toc451435420"/>
      <w:r>
        <w:t xml:space="preserve">Table </w:t>
      </w:r>
      <w:fldSimple w:instr=" SEQ Table \* ARABIC ">
        <w:r>
          <w:rPr>
            <w:noProof/>
          </w:rPr>
          <w:t>93</w:t>
        </w:r>
      </w:fldSimple>
      <w:r w:rsidR="00947CDE">
        <w:tab/>
      </w:r>
      <w:r w:rsidR="0032605F">
        <w:t xml:space="preserve">Stress </w:t>
      </w:r>
      <w:r w:rsidR="00C064B8">
        <w:t>e</w:t>
      </w:r>
      <w:r w:rsidR="0032605F">
        <w:t>chocardiography</w:t>
      </w:r>
      <w:r w:rsidR="00C40C7B">
        <w:t xml:space="preserve"> (Echo)</w:t>
      </w:r>
      <w:bookmarkEnd w:id="887"/>
      <w:bookmarkEnd w:id="888"/>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8"/>
        <w:tblDescription w:val="Relevant MBS item descriptors for stress ECHO"/>
      </w:tblPr>
      <w:tblGrid>
        <w:gridCol w:w="9050"/>
      </w:tblGrid>
      <w:tr w:rsidR="0032605F" w:rsidRPr="00F761D8" w14:paraId="0C29F632" w14:textId="77777777" w:rsidTr="00CC55F9">
        <w:trPr>
          <w:cantSplit/>
          <w:tblHeader/>
        </w:trPr>
        <w:tc>
          <w:tcPr>
            <w:tcW w:w="9050" w:type="dxa"/>
          </w:tcPr>
          <w:p w14:paraId="4D27D52D" w14:textId="77777777" w:rsidR="0032605F" w:rsidRPr="00F761D8" w:rsidRDefault="0032605F" w:rsidP="004C79C1">
            <w:pPr>
              <w:keepNext/>
              <w:tabs>
                <w:tab w:val="left" w:pos="2835"/>
              </w:tabs>
              <w:spacing w:beforeLines="40" w:before="96" w:after="120" w:line="240" w:lineRule="auto"/>
              <w:jc w:val="right"/>
              <w:rPr>
                <w:rFonts w:ascii="Arial Narrow" w:hAnsi="Arial Narrow"/>
                <w:b/>
                <w:color w:val="000000" w:themeColor="text1"/>
                <w:sz w:val="20"/>
                <w:szCs w:val="20"/>
                <w:lang w:val="en-US" w:eastAsia="ja-JP"/>
              </w:rPr>
            </w:pPr>
            <w:r w:rsidRPr="00F761D8">
              <w:rPr>
                <w:rFonts w:ascii="Arial Narrow" w:hAnsi="Arial Narrow"/>
                <w:b/>
                <w:color w:val="000000" w:themeColor="text1"/>
                <w:sz w:val="20"/>
                <w:szCs w:val="20"/>
                <w:lang w:eastAsia="ja-JP"/>
              </w:rPr>
              <w:t xml:space="preserve">Category 5 – </w:t>
            </w:r>
            <w:r w:rsidRPr="00F761D8">
              <w:rPr>
                <w:rFonts w:ascii="Arial Narrow" w:hAnsi="Arial Narrow"/>
                <w:b/>
                <w:sz w:val="20"/>
                <w:szCs w:val="20"/>
                <w:lang w:val="en-US" w:eastAsia="ja-JP"/>
              </w:rPr>
              <w:t>Diagnostic</w:t>
            </w:r>
            <w:r w:rsidRPr="00F761D8">
              <w:rPr>
                <w:rFonts w:ascii="Arial Narrow" w:hAnsi="Arial Narrow"/>
                <w:b/>
                <w:color w:val="000000" w:themeColor="text1"/>
                <w:sz w:val="20"/>
                <w:szCs w:val="20"/>
                <w:lang w:eastAsia="ja-JP"/>
              </w:rPr>
              <w:t xml:space="preserve"> Imaging Services</w:t>
            </w:r>
          </w:p>
        </w:tc>
      </w:tr>
      <w:tr w:rsidR="0032605F" w:rsidRPr="00F761D8" w14:paraId="24BECF79" w14:textId="77777777" w:rsidTr="00CC55F9">
        <w:tc>
          <w:tcPr>
            <w:tcW w:w="9050" w:type="dxa"/>
          </w:tcPr>
          <w:p w14:paraId="40D69449"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55116</w:t>
            </w:r>
          </w:p>
          <w:p w14:paraId="0303903C"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EXERCISE STRESS </w:t>
            </w:r>
            <w:r>
              <w:rPr>
                <w:rFonts w:ascii="Arial Narrow" w:hAnsi="Arial Narrow"/>
                <w:sz w:val="20"/>
                <w:szCs w:val="20"/>
                <w:lang w:val="en-US" w:eastAsia="ja-JP"/>
              </w:rPr>
              <w:t>Echo</w:t>
            </w:r>
            <w:r w:rsidRPr="00F761D8">
              <w:rPr>
                <w:rFonts w:ascii="Arial Narrow" w:hAnsi="Arial Narrow"/>
                <w:sz w:val="20"/>
                <w:szCs w:val="20"/>
                <w:lang w:val="en-US" w:eastAsia="ja-JP"/>
              </w:rPr>
              <w:t xml:space="preserve">CARDIOGRAPHY performed in conjunction with item 11712, with two-dimensional recordings before exercise (baseline) from at least three acoustic windows and matching recordings from the same windows at, or immediately after, peak exercise, not being a service associated with a service to which an item in Subgroups 1 (with the exception of item 55054) or 3, or another item in this Subgroup applies (with the exception of items 55118 and 55130). Recordings must be made on digital media with equipment permitting display of baseline and matching peak images on the same screen (R) </w:t>
            </w:r>
          </w:p>
          <w:p w14:paraId="3AC10DDC"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1B3D9661"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$261.65 Benefit: 75% = $196.25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$222.45</w:t>
            </w:r>
          </w:p>
        </w:tc>
      </w:tr>
      <w:tr w:rsidR="0032605F" w:rsidRPr="00F761D8" w14:paraId="29159982" w14:textId="77777777" w:rsidTr="00CC55F9">
        <w:trPr>
          <w:cantSplit/>
        </w:trPr>
        <w:tc>
          <w:tcPr>
            <w:tcW w:w="9050" w:type="dxa"/>
          </w:tcPr>
          <w:p w14:paraId="472A0C54"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55117</w:t>
            </w:r>
          </w:p>
          <w:p w14:paraId="3327D546"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PHARMACOLOGICAL STRESS </w:t>
            </w:r>
            <w:r>
              <w:rPr>
                <w:rFonts w:ascii="Arial Narrow" w:hAnsi="Arial Narrow"/>
                <w:sz w:val="20"/>
                <w:szCs w:val="20"/>
                <w:lang w:val="en-US" w:eastAsia="ja-JP"/>
              </w:rPr>
              <w:t>Echo</w:t>
            </w:r>
            <w:r w:rsidRPr="00F761D8">
              <w:rPr>
                <w:rFonts w:ascii="Arial Narrow" w:hAnsi="Arial Narrow"/>
                <w:sz w:val="20"/>
                <w:szCs w:val="20"/>
                <w:lang w:val="en-US" w:eastAsia="ja-JP"/>
              </w:rPr>
              <w:t xml:space="preserve">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 55054) or 3, or another item in this Subgroup, applies (with the exception of items 55118 and 55130). Recordings must be made on digital media with equipment permitting display of baseline and matching peak images on the same screen (R) </w:t>
            </w:r>
          </w:p>
          <w:p w14:paraId="1A2DA158"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6393684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$261.65 Benefit: 75% = $196.25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$222.45 </w:t>
            </w:r>
          </w:p>
        </w:tc>
      </w:tr>
      <w:tr w:rsidR="0032605F" w:rsidRPr="00F761D8" w14:paraId="1250E399" w14:textId="77777777" w:rsidTr="00CC55F9">
        <w:trPr>
          <w:cantSplit/>
        </w:trPr>
        <w:tc>
          <w:tcPr>
            <w:tcW w:w="9050" w:type="dxa"/>
          </w:tcPr>
          <w:p w14:paraId="3CAEDEE7"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55122</w:t>
            </w:r>
          </w:p>
          <w:p w14:paraId="1BAA131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EXERCISE STRESS </w:t>
            </w:r>
            <w:r>
              <w:rPr>
                <w:rFonts w:ascii="Arial Narrow" w:hAnsi="Arial Narrow"/>
                <w:sz w:val="20"/>
                <w:szCs w:val="20"/>
                <w:lang w:val="en-US" w:eastAsia="ja-JP"/>
              </w:rPr>
              <w:t>Echo</w:t>
            </w:r>
            <w:r w:rsidRPr="00F761D8">
              <w:rPr>
                <w:rFonts w:ascii="Arial Narrow" w:hAnsi="Arial Narrow"/>
                <w:sz w:val="20"/>
                <w:szCs w:val="20"/>
                <w:lang w:val="en-US" w:eastAsia="ja-JP"/>
              </w:rPr>
              <w:t xml:space="preserve">CARDIOGRAPHY performed in conjunction with item 11712, with two-dimensional recordings before exercise (baseline) from at least three acoustic windows and matching recordings from the same windows at, or immediately after, peak exercise,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 </w:t>
            </w:r>
          </w:p>
          <w:p w14:paraId="66AC3F83"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790D67B8"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$130.85 Benefit: 75% = $98.15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$111.25</w:t>
            </w:r>
          </w:p>
        </w:tc>
      </w:tr>
      <w:tr w:rsidR="0032605F" w:rsidRPr="00F761D8" w14:paraId="3D4F62E1" w14:textId="77777777" w:rsidTr="00CC55F9">
        <w:trPr>
          <w:cantSplit/>
        </w:trPr>
        <w:tc>
          <w:tcPr>
            <w:tcW w:w="9050" w:type="dxa"/>
          </w:tcPr>
          <w:p w14:paraId="443831D5"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lastRenderedPageBreak/>
              <w:t>MBS Item 55123</w:t>
            </w:r>
          </w:p>
          <w:p w14:paraId="3ADC9CA2"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PHARMACOLOGICAL STRESS </w:t>
            </w:r>
            <w:r>
              <w:rPr>
                <w:rFonts w:ascii="Arial Narrow" w:hAnsi="Arial Narrow"/>
                <w:sz w:val="20"/>
                <w:szCs w:val="20"/>
                <w:lang w:val="en-US" w:eastAsia="ja-JP"/>
              </w:rPr>
              <w:t>Echo</w:t>
            </w:r>
            <w:r w:rsidRPr="00F761D8">
              <w:rPr>
                <w:rFonts w:ascii="Arial Narrow" w:hAnsi="Arial Narrow"/>
                <w:sz w:val="20"/>
                <w:szCs w:val="20"/>
                <w:lang w:val="en-US" w:eastAsia="ja-JP"/>
              </w:rPr>
              <w:t xml:space="preserve">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 </w:t>
            </w:r>
          </w:p>
          <w:p w14:paraId="3C71CE0A"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74FA31A4"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$130.85 Benefit: 75% = $98.15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$111.25</w:t>
            </w:r>
          </w:p>
        </w:tc>
      </w:tr>
    </w:tbl>
    <w:p w14:paraId="7712CD0C" w14:textId="496B58CD" w:rsidR="00124BE5" w:rsidRDefault="00050936" w:rsidP="00CC55F9">
      <w:pPr>
        <w:pStyle w:val="Caption"/>
        <w:spacing w:before="240"/>
      </w:pPr>
      <w:bookmarkStart w:id="889" w:name="_Toc324410274"/>
      <w:bookmarkStart w:id="890" w:name="_Toc451435421"/>
      <w:r>
        <w:t xml:space="preserve">Table </w:t>
      </w:r>
      <w:fldSimple w:instr=" SEQ Table \* ARABIC ">
        <w:r>
          <w:rPr>
            <w:noProof/>
          </w:rPr>
          <w:t>94</w:t>
        </w:r>
      </w:fldSimple>
      <w:r w:rsidR="00124BE5">
        <w:tab/>
        <w:t xml:space="preserve"> Invasive coronary angiography</w:t>
      </w:r>
      <w:r w:rsidR="00C40C7B">
        <w:t xml:space="preserve"> (ICA)</w:t>
      </w:r>
      <w:bookmarkEnd w:id="889"/>
      <w:bookmarkEnd w:id="890"/>
    </w:p>
    <w:tbl>
      <w:tblPr>
        <w:tblW w:w="90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11"/>
        <w:tblDescription w:val="Relevant MBS item descriptors for ICA"/>
      </w:tblPr>
      <w:tblGrid>
        <w:gridCol w:w="9053"/>
      </w:tblGrid>
      <w:tr w:rsidR="00124BE5" w:rsidRPr="00F761D8" w14:paraId="73E39743" w14:textId="77777777" w:rsidTr="00CC55F9">
        <w:trPr>
          <w:cantSplit/>
          <w:tblHeader/>
        </w:trPr>
        <w:tc>
          <w:tcPr>
            <w:tcW w:w="9053" w:type="dxa"/>
          </w:tcPr>
          <w:p w14:paraId="2751457D" w14:textId="77777777" w:rsidR="00124BE5" w:rsidRPr="00F761D8" w:rsidRDefault="00124BE5" w:rsidP="004C79C1">
            <w:pPr>
              <w:keepNext/>
              <w:tabs>
                <w:tab w:val="left" w:pos="2835"/>
              </w:tabs>
              <w:spacing w:beforeLines="40" w:before="96" w:after="120" w:line="240" w:lineRule="auto"/>
              <w:jc w:val="right"/>
              <w:rPr>
                <w:rFonts w:ascii="Arial Narrow" w:hAnsi="Arial Narrow"/>
                <w:b/>
                <w:color w:val="000000" w:themeColor="text1"/>
                <w:sz w:val="20"/>
                <w:szCs w:val="20"/>
                <w:lang w:val="en-US" w:eastAsia="ja-JP"/>
              </w:rPr>
            </w:pPr>
            <w:r w:rsidRPr="00F761D8">
              <w:rPr>
                <w:rFonts w:ascii="Arial Narrow" w:hAnsi="Arial Narrow"/>
                <w:b/>
                <w:color w:val="000000" w:themeColor="text1"/>
                <w:sz w:val="20"/>
                <w:szCs w:val="20"/>
                <w:lang w:eastAsia="ja-JP"/>
              </w:rPr>
              <w:t>Category 3 – Therapeutic Procedures</w:t>
            </w:r>
          </w:p>
        </w:tc>
      </w:tr>
      <w:tr w:rsidR="00124BE5" w:rsidRPr="00F761D8" w14:paraId="02CB96F1" w14:textId="77777777" w:rsidTr="00CC55F9">
        <w:trPr>
          <w:cantSplit/>
        </w:trPr>
        <w:tc>
          <w:tcPr>
            <w:tcW w:w="9053" w:type="dxa"/>
          </w:tcPr>
          <w:p w14:paraId="7D2ED0C9"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b/>
                <w:sz w:val="20"/>
                <w:szCs w:val="20"/>
                <w:lang w:val="en-US" w:eastAsia="ja-JP"/>
              </w:rPr>
              <w:t>MBS Item 38215</w:t>
            </w:r>
            <w:r w:rsidRPr="00F761D8">
              <w:rPr>
                <w:rFonts w:ascii="Arial Narrow" w:hAnsi="Arial Narrow"/>
                <w:b/>
                <w:sz w:val="20"/>
                <w:szCs w:val="20"/>
                <w:lang w:val="en-US" w:eastAsia="ja-JP"/>
              </w:rPr>
              <w:tab/>
            </w:r>
            <w:r w:rsidRPr="00F761D8">
              <w:rPr>
                <w:rFonts w:ascii="Arial Narrow" w:hAnsi="Arial Narrow"/>
                <w:sz w:val="20"/>
                <w:szCs w:val="20"/>
                <w:lang w:val="en-US" w:eastAsia="ja-JP"/>
              </w:rPr>
              <w:t>Group</w:t>
            </w:r>
            <w:r w:rsidRPr="00F761D8">
              <w:rPr>
                <w:rFonts w:ascii="Arial Narrow" w:hAnsi="Arial Narrow"/>
                <w:sz w:val="20"/>
                <w:szCs w:val="20"/>
                <w:lang w:val="en-US" w:eastAsia="ja-JP"/>
              </w:rPr>
              <w:tab/>
              <w:t>T8 - SURGICAL OPERATIONS</w:t>
            </w:r>
          </w:p>
          <w:p w14:paraId="080C9B25"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ab/>
              <w:t>Subgroup</w:t>
            </w:r>
            <w:r w:rsidRPr="00F761D8">
              <w:rPr>
                <w:rFonts w:ascii="Arial Narrow" w:hAnsi="Arial Narrow"/>
                <w:sz w:val="20"/>
                <w:szCs w:val="20"/>
                <w:lang w:val="en-US" w:eastAsia="ja-JP"/>
              </w:rPr>
              <w:tab/>
              <w:t>6 - CARDIO-THORACIC</w:t>
            </w:r>
          </w:p>
          <w:p w14:paraId="66A8921C"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ab/>
              <w:t>Subheading</w:t>
            </w:r>
            <w:r w:rsidRPr="00F761D8">
              <w:rPr>
                <w:rFonts w:ascii="Arial Narrow" w:hAnsi="Arial Narrow"/>
                <w:sz w:val="20"/>
                <w:szCs w:val="20"/>
                <w:lang w:val="en-US" w:eastAsia="ja-JP"/>
              </w:rPr>
              <w:tab/>
              <w:t>1 - CARDIOLOGY PROCEDURES</w:t>
            </w:r>
          </w:p>
          <w:p w14:paraId="6BFA3ACC"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SELECTIVE CORONARY ANGIOGRAPHY, placement of catheters and injection of opaque material into the native coronary arteries, not being a service associated with a service to which item 38218, 38220, 38222, 38225, 38228, 38231, 38234, 38237, 38240 or 38246 applies </w:t>
            </w:r>
          </w:p>
          <w:p w14:paraId="79AEA342"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Multiple Services Rule</w:t>
            </w:r>
          </w:p>
          <w:p w14:paraId="3BBA249F"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(Anaes.) </w:t>
            </w:r>
          </w:p>
          <w:p w14:paraId="6F1BB529"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$354.90 Benefit: 75% = $266.20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$301.70</w:t>
            </w:r>
          </w:p>
          <w:p w14:paraId="1501D817"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(See para T8.53 of explanatory notes to this Category)</w:t>
            </w:r>
          </w:p>
        </w:tc>
      </w:tr>
      <w:tr w:rsidR="00124BE5" w:rsidRPr="00F761D8" w14:paraId="3D0CD183" w14:textId="77777777" w:rsidTr="00CC55F9">
        <w:trPr>
          <w:cantSplit/>
        </w:trPr>
        <w:tc>
          <w:tcPr>
            <w:tcW w:w="9053" w:type="dxa"/>
          </w:tcPr>
          <w:p w14:paraId="576A51F3"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b/>
                <w:sz w:val="20"/>
                <w:szCs w:val="20"/>
                <w:lang w:val="en-US" w:eastAsia="ja-JP"/>
              </w:rPr>
              <w:t>MBS Item 38215</w:t>
            </w:r>
            <w:r w:rsidRPr="00F761D8">
              <w:rPr>
                <w:rFonts w:ascii="Arial Narrow" w:hAnsi="Arial Narrow"/>
                <w:b/>
                <w:sz w:val="20"/>
                <w:szCs w:val="20"/>
                <w:lang w:val="en-US" w:eastAsia="ja-JP"/>
              </w:rPr>
              <w:tab/>
            </w:r>
            <w:r w:rsidRPr="00F761D8">
              <w:rPr>
                <w:rFonts w:ascii="Arial Narrow" w:hAnsi="Arial Narrow"/>
                <w:sz w:val="20"/>
                <w:szCs w:val="20"/>
                <w:lang w:val="en-US" w:eastAsia="ja-JP"/>
              </w:rPr>
              <w:t>Group</w:t>
            </w:r>
            <w:r w:rsidRPr="00F761D8">
              <w:rPr>
                <w:rFonts w:ascii="Arial Narrow" w:hAnsi="Arial Narrow"/>
                <w:sz w:val="20"/>
                <w:szCs w:val="20"/>
                <w:lang w:val="en-US" w:eastAsia="ja-JP"/>
              </w:rPr>
              <w:tab/>
              <w:t>T8 - SURGICAL OPERATIONS</w:t>
            </w:r>
          </w:p>
          <w:p w14:paraId="24D6AC2D"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ab/>
              <w:t>Subgroup</w:t>
            </w:r>
            <w:r w:rsidRPr="00F761D8">
              <w:rPr>
                <w:rFonts w:ascii="Arial Narrow" w:hAnsi="Arial Narrow"/>
                <w:sz w:val="20"/>
                <w:szCs w:val="20"/>
                <w:lang w:val="en-US" w:eastAsia="ja-JP"/>
              </w:rPr>
              <w:tab/>
              <w:t>6 - CARDIO-THORACIC</w:t>
            </w:r>
          </w:p>
          <w:p w14:paraId="5A97FD1C" w14:textId="77777777" w:rsidR="00124BE5" w:rsidRPr="00F761D8" w:rsidRDefault="00124BE5" w:rsidP="004C79C1">
            <w:pPr>
              <w:tabs>
                <w:tab w:val="left" w:pos="5137"/>
                <w:tab w:val="left" w:pos="6271"/>
              </w:tabs>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ab/>
              <w:t>Subheading</w:t>
            </w:r>
            <w:r w:rsidRPr="00F761D8">
              <w:rPr>
                <w:rFonts w:ascii="Arial Narrow" w:hAnsi="Arial Narrow"/>
                <w:sz w:val="20"/>
                <w:szCs w:val="20"/>
                <w:lang w:val="en-US" w:eastAsia="ja-JP"/>
              </w:rPr>
              <w:tab/>
              <w:t>1 - CARDIOLOGY PROCEDURES</w:t>
            </w:r>
          </w:p>
          <w:p w14:paraId="13D5EEF2"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w:t>
            </w:r>
          </w:p>
          <w:p w14:paraId="113C703E"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Multiple Services Rule</w:t>
            </w:r>
          </w:p>
          <w:p w14:paraId="56AAA216"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(Anaes.) </w:t>
            </w:r>
          </w:p>
          <w:p w14:paraId="6B18FC3B"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$532.25 Benefit: 75% = $399.20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$453.85</w:t>
            </w:r>
          </w:p>
          <w:p w14:paraId="38916642" w14:textId="77777777" w:rsidR="00124BE5" w:rsidRPr="00F761D8" w:rsidRDefault="00124BE5"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(See para T8.53 of explanatory notes to this Category)</w:t>
            </w:r>
          </w:p>
        </w:tc>
      </w:tr>
    </w:tbl>
    <w:p w14:paraId="02905838" w14:textId="77777777" w:rsidR="00124BE5" w:rsidRDefault="00124BE5" w:rsidP="004C79C1">
      <w:pPr>
        <w:spacing w:after="120" w:line="240" w:lineRule="auto"/>
      </w:pPr>
    </w:p>
    <w:p w14:paraId="1B7187F0" w14:textId="77777777" w:rsidR="003E4A52" w:rsidRDefault="003E4A52" w:rsidP="004C79C1">
      <w:pPr>
        <w:spacing w:after="120" w:line="240" w:lineRule="auto"/>
        <w:rPr>
          <w:rFonts w:ascii="Arial Narrow" w:hAnsi="Arial Narrow"/>
          <w:b/>
          <w:bCs/>
          <w:snapToGrid w:val="0"/>
          <w:sz w:val="20"/>
          <w:lang w:eastAsia="en-US"/>
        </w:rPr>
      </w:pPr>
      <w:bookmarkStart w:id="891" w:name="_Toc436645231"/>
      <w:bookmarkStart w:id="892" w:name="_Toc439954539"/>
      <w:bookmarkStart w:id="893" w:name="_Toc324410275"/>
      <w:bookmarkStart w:id="894" w:name="_Toc451435422"/>
      <w:r>
        <w:br w:type="page"/>
      </w:r>
    </w:p>
    <w:p w14:paraId="5AE4C4BA" w14:textId="5E987FF3" w:rsidR="0032605F" w:rsidRPr="00F761D8" w:rsidRDefault="00050936" w:rsidP="004C79C1">
      <w:pPr>
        <w:pStyle w:val="Caption"/>
      </w:pPr>
      <w:r>
        <w:lastRenderedPageBreak/>
        <w:t xml:space="preserve">Table </w:t>
      </w:r>
      <w:fldSimple w:instr=" SEQ Table \* ARABIC ">
        <w:r>
          <w:rPr>
            <w:noProof/>
          </w:rPr>
          <w:t>95</w:t>
        </w:r>
      </w:fldSimple>
      <w:r w:rsidR="0032605F" w:rsidRPr="00F761D8">
        <w:tab/>
      </w:r>
      <w:bookmarkEnd w:id="891"/>
      <w:bookmarkEnd w:id="892"/>
      <w:r w:rsidR="0032605F">
        <w:t>C</w:t>
      </w:r>
      <w:r w:rsidR="0032605F" w:rsidRPr="004647C9">
        <w:t>omputed tomography coronary angiography (CTCA)</w:t>
      </w:r>
      <w:bookmarkEnd w:id="893"/>
      <w:bookmarkEnd w:id="894"/>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10"/>
        <w:tblDescription w:val="Relevant MBS item descriptors for CTCA"/>
      </w:tblPr>
      <w:tblGrid>
        <w:gridCol w:w="9073"/>
      </w:tblGrid>
      <w:tr w:rsidR="0032605F" w:rsidRPr="00F761D8" w14:paraId="03EEB877" w14:textId="77777777" w:rsidTr="00CC55F9">
        <w:trPr>
          <w:cantSplit/>
          <w:tblHeader/>
        </w:trPr>
        <w:tc>
          <w:tcPr>
            <w:tcW w:w="9073" w:type="dxa"/>
          </w:tcPr>
          <w:p w14:paraId="155BF5BB" w14:textId="77777777" w:rsidR="0032605F" w:rsidRPr="00F761D8" w:rsidRDefault="0032605F" w:rsidP="004C79C1">
            <w:pPr>
              <w:keepNext/>
              <w:tabs>
                <w:tab w:val="left" w:pos="2835"/>
              </w:tabs>
              <w:spacing w:beforeLines="40" w:before="96" w:after="120" w:line="240" w:lineRule="auto"/>
              <w:jc w:val="right"/>
              <w:rPr>
                <w:rFonts w:ascii="Arial Narrow" w:hAnsi="Arial Narrow"/>
                <w:b/>
                <w:color w:val="000000" w:themeColor="text1"/>
                <w:sz w:val="20"/>
                <w:szCs w:val="20"/>
                <w:lang w:val="en-US" w:eastAsia="ja-JP"/>
              </w:rPr>
            </w:pPr>
            <w:r w:rsidRPr="00F761D8">
              <w:rPr>
                <w:rFonts w:ascii="Arial Narrow" w:hAnsi="Arial Narrow"/>
                <w:b/>
                <w:color w:val="000000" w:themeColor="text1"/>
                <w:sz w:val="20"/>
                <w:szCs w:val="20"/>
                <w:lang w:eastAsia="ja-JP"/>
              </w:rPr>
              <w:t xml:space="preserve">Category 5 – </w:t>
            </w:r>
            <w:r w:rsidRPr="00F761D8">
              <w:rPr>
                <w:rFonts w:ascii="Arial Narrow" w:hAnsi="Arial Narrow"/>
                <w:b/>
                <w:sz w:val="20"/>
                <w:szCs w:val="20"/>
                <w:lang w:val="en-US" w:eastAsia="ja-JP"/>
              </w:rPr>
              <w:t>Diagnostic</w:t>
            </w:r>
            <w:r w:rsidRPr="00F761D8">
              <w:rPr>
                <w:rFonts w:ascii="Arial Narrow" w:hAnsi="Arial Narrow"/>
                <w:b/>
                <w:color w:val="000000" w:themeColor="text1"/>
                <w:sz w:val="20"/>
                <w:szCs w:val="20"/>
                <w:lang w:eastAsia="ja-JP"/>
              </w:rPr>
              <w:t xml:space="preserve"> Imaging Services</w:t>
            </w:r>
          </w:p>
        </w:tc>
      </w:tr>
      <w:tr w:rsidR="0032605F" w:rsidRPr="00F761D8" w14:paraId="28EE84A0" w14:textId="77777777" w:rsidTr="00CC55F9">
        <w:trPr>
          <w:cantSplit/>
        </w:trPr>
        <w:tc>
          <w:tcPr>
            <w:tcW w:w="9073" w:type="dxa"/>
          </w:tcPr>
          <w:p w14:paraId="7827632D"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57360</w:t>
            </w:r>
          </w:p>
          <w:p w14:paraId="1A14AD29"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COMPUTED TOMOGRAPHY OF THE CORONARY ARTERIES performed on a minimum of a 64 slice (or equivalent) scanner, where the request is made by a specialist or consultant physician, and: </w:t>
            </w:r>
          </w:p>
          <w:p w14:paraId="2643C275"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a)</w:t>
            </w:r>
            <w:r w:rsidRPr="00F761D8">
              <w:rPr>
                <w:rFonts w:ascii="Arial Narrow" w:hAnsi="Arial Narrow"/>
                <w:sz w:val="20"/>
                <w:szCs w:val="20"/>
                <w:lang w:val="en-US" w:eastAsia="ja-JP"/>
              </w:rPr>
              <w:tab/>
              <w:t xml:space="preserve">the patient has stable symptoms consistent with coronary ischaemia, is at low to intermediate risk of coronary artery disease and would have been considered for coronary angiography; or </w:t>
            </w:r>
          </w:p>
          <w:p w14:paraId="1087BDB3"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b)</w:t>
            </w:r>
            <w:r w:rsidRPr="00F761D8">
              <w:rPr>
                <w:rFonts w:ascii="Arial Narrow" w:hAnsi="Arial Narrow"/>
                <w:sz w:val="20"/>
                <w:szCs w:val="20"/>
                <w:lang w:val="en-US" w:eastAsia="ja-JP"/>
              </w:rPr>
              <w:tab/>
              <w:t xml:space="preserve">the patient requires exclusion of coronary artery anomaly or fistula; or </w:t>
            </w:r>
          </w:p>
          <w:p w14:paraId="42854289"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c)</w:t>
            </w:r>
            <w:r w:rsidRPr="00F761D8">
              <w:rPr>
                <w:rFonts w:ascii="Arial Narrow" w:hAnsi="Arial Narrow"/>
                <w:sz w:val="20"/>
                <w:szCs w:val="20"/>
                <w:lang w:val="en-US" w:eastAsia="ja-JP"/>
              </w:rPr>
              <w:tab/>
              <w:t xml:space="preserve">the patient will be undergoing non-coronary cardiac surgery (R) (K) </w:t>
            </w:r>
          </w:p>
          <w:p w14:paraId="0D5658B1"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 Bulk bill incentive (Anaes.) </w:t>
            </w:r>
          </w:p>
          <w:p w14:paraId="44952663"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 Fee: $700.00 Benefit: 75% = $525.00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$623.80</w:t>
            </w:r>
          </w:p>
        </w:tc>
      </w:tr>
      <w:tr w:rsidR="0032605F" w:rsidRPr="00F761D8" w14:paraId="446FC2BA" w14:textId="77777777" w:rsidTr="00CC55F9">
        <w:trPr>
          <w:cantSplit/>
        </w:trPr>
        <w:tc>
          <w:tcPr>
            <w:tcW w:w="9073" w:type="dxa"/>
          </w:tcPr>
          <w:p w14:paraId="6162ADBD"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57361</w:t>
            </w:r>
          </w:p>
          <w:p w14:paraId="21B00DAB"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COMPUTED TOMOGRAPHY OF THE CORONARY ARTERIES performed on a minimum of a 64 slice (or equivalent) scanner, where the request is made by a specialist or consultant physician, and: </w:t>
            </w:r>
          </w:p>
          <w:p w14:paraId="7A092312"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a)</w:t>
            </w:r>
            <w:r w:rsidRPr="00F761D8">
              <w:rPr>
                <w:rFonts w:ascii="Arial Narrow" w:hAnsi="Arial Narrow"/>
                <w:sz w:val="20"/>
                <w:szCs w:val="20"/>
                <w:lang w:val="en-US" w:eastAsia="ja-JP"/>
              </w:rPr>
              <w:tab/>
              <w:t xml:space="preserve">the patient has stable symptoms consistent with coronary ischaemia, is at low to intermediate risk of coronary artery disease and would have been considered for coronary angiography; or </w:t>
            </w:r>
          </w:p>
          <w:p w14:paraId="4B937475"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b)</w:t>
            </w:r>
            <w:r w:rsidRPr="00F761D8">
              <w:rPr>
                <w:rFonts w:ascii="Arial Narrow" w:hAnsi="Arial Narrow"/>
                <w:sz w:val="20"/>
                <w:szCs w:val="20"/>
                <w:lang w:val="en-US" w:eastAsia="ja-JP"/>
              </w:rPr>
              <w:tab/>
              <w:t xml:space="preserve">the patient requires exclusion of coronary artery anomaly or fistula; or </w:t>
            </w:r>
          </w:p>
          <w:p w14:paraId="72E77D59" w14:textId="77777777" w:rsidR="0032605F" w:rsidRPr="00F761D8" w:rsidRDefault="0032605F" w:rsidP="004C79C1">
            <w:pPr>
              <w:spacing w:after="120" w:line="240" w:lineRule="auto"/>
              <w:ind w:left="318" w:hanging="318"/>
              <w:rPr>
                <w:rFonts w:ascii="Arial Narrow" w:hAnsi="Arial Narrow"/>
                <w:sz w:val="20"/>
                <w:szCs w:val="20"/>
                <w:lang w:val="en-US" w:eastAsia="ja-JP"/>
              </w:rPr>
            </w:pPr>
            <w:r w:rsidRPr="00F761D8">
              <w:rPr>
                <w:rFonts w:ascii="Arial Narrow" w:hAnsi="Arial Narrow"/>
                <w:sz w:val="20"/>
                <w:szCs w:val="20"/>
                <w:lang w:val="en-US" w:eastAsia="ja-JP"/>
              </w:rPr>
              <w:t>c)</w:t>
            </w:r>
            <w:r w:rsidRPr="00F761D8">
              <w:rPr>
                <w:rFonts w:ascii="Arial Narrow" w:hAnsi="Arial Narrow"/>
                <w:sz w:val="20"/>
                <w:szCs w:val="20"/>
                <w:lang w:val="en-US" w:eastAsia="ja-JP"/>
              </w:rPr>
              <w:tab/>
              <w:t xml:space="preserve">the patient will be undergoing non-coronary cardiac surgery (R) (NK) </w:t>
            </w:r>
          </w:p>
          <w:p w14:paraId="35C0BF29"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Bulk bill incentive (Anaes.) </w:t>
            </w:r>
          </w:p>
          <w:p w14:paraId="3E725D3D"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$350.00 Benefit: 75% = $262.50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$297.50</w:t>
            </w:r>
          </w:p>
        </w:tc>
      </w:tr>
    </w:tbl>
    <w:p w14:paraId="3311203B" w14:textId="29BC601D" w:rsidR="0032605F" w:rsidRDefault="00050936" w:rsidP="00CC55F9">
      <w:pPr>
        <w:pStyle w:val="Caption"/>
        <w:spacing w:before="240"/>
      </w:pPr>
      <w:bookmarkStart w:id="895" w:name="_Toc324410276"/>
      <w:bookmarkStart w:id="896" w:name="_Toc451435423"/>
      <w:r>
        <w:t xml:space="preserve">Table </w:t>
      </w:r>
      <w:fldSimple w:instr=" SEQ Table \* ARABIC ">
        <w:r>
          <w:rPr>
            <w:noProof/>
          </w:rPr>
          <w:t>96</w:t>
        </w:r>
      </w:fldSimple>
      <w:r w:rsidR="00947CDE">
        <w:tab/>
      </w:r>
      <w:r w:rsidR="0032605F" w:rsidRPr="00BE2D55">
        <w:t>Exercise or pharmacologic (adenosine or dobutamine) single-photon emission computed tomography (SPECT)</w:t>
      </w:r>
      <w:bookmarkEnd w:id="895"/>
      <w:bookmarkEnd w:id="896"/>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9"/>
        <w:tblDescription w:val="relevant MBS item descriptors for cardiac SPECT"/>
      </w:tblPr>
      <w:tblGrid>
        <w:gridCol w:w="9050"/>
      </w:tblGrid>
      <w:tr w:rsidR="0032605F" w:rsidRPr="00F761D8" w14:paraId="61EEDDA3" w14:textId="77777777" w:rsidTr="00CC55F9">
        <w:trPr>
          <w:tblHeader/>
        </w:trPr>
        <w:tc>
          <w:tcPr>
            <w:tcW w:w="9050" w:type="dxa"/>
          </w:tcPr>
          <w:p w14:paraId="0C6D8E0A" w14:textId="77777777" w:rsidR="0032605F" w:rsidRPr="00F761D8" w:rsidRDefault="0032605F" w:rsidP="004C79C1">
            <w:pPr>
              <w:keepNext/>
              <w:tabs>
                <w:tab w:val="left" w:pos="2835"/>
              </w:tabs>
              <w:spacing w:beforeLines="40" w:before="96" w:after="120" w:line="240" w:lineRule="auto"/>
              <w:jc w:val="right"/>
              <w:rPr>
                <w:rFonts w:ascii="Arial Narrow" w:hAnsi="Arial Narrow"/>
                <w:b/>
                <w:color w:val="000000" w:themeColor="text1"/>
                <w:sz w:val="20"/>
                <w:szCs w:val="20"/>
                <w:lang w:val="en-US" w:eastAsia="ja-JP"/>
              </w:rPr>
            </w:pPr>
            <w:r w:rsidRPr="00F761D8">
              <w:rPr>
                <w:rFonts w:ascii="Arial Narrow" w:hAnsi="Arial Narrow"/>
                <w:b/>
                <w:color w:val="000000" w:themeColor="text1"/>
                <w:sz w:val="20"/>
                <w:szCs w:val="20"/>
                <w:lang w:eastAsia="ja-JP"/>
              </w:rPr>
              <w:t xml:space="preserve">Category 5 – </w:t>
            </w:r>
            <w:r w:rsidRPr="00F761D8">
              <w:rPr>
                <w:rFonts w:ascii="Arial Narrow" w:hAnsi="Arial Narrow"/>
                <w:b/>
                <w:sz w:val="20"/>
                <w:szCs w:val="20"/>
                <w:lang w:val="en-US" w:eastAsia="ja-JP"/>
              </w:rPr>
              <w:t>Diagnostic</w:t>
            </w:r>
            <w:r w:rsidRPr="00F761D8">
              <w:rPr>
                <w:rFonts w:ascii="Arial Narrow" w:hAnsi="Arial Narrow"/>
                <w:b/>
                <w:color w:val="000000" w:themeColor="text1"/>
                <w:sz w:val="20"/>
                <w:szCs w:val="20"/>
                <w:lang w:eastAsia="ja-JP"/>
              </w:rPr>
              <w:t xml:space="preserve"> Imaging Services</w:t>
            </w:r>
          </w:p>
        </w:tc>
      </w:tr>
      <w:tr w:rsidR="0032605F" w:rsidRPr="00F761D8" w14:paraId="2D98504B" w14:textId="77777777" w:rsidTr="00CC55F9">
        <w:trPr>
          <w:trHeight w:val="800"/>
        </w:trPr>
        <w:tc>
          <w:tcPr>
            <w:tcW w:w="9050" w:type="dxa"/>
          </w:tcPr>
          <w:p w14:paraId="23B9A569"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61302</w:t>
            </w:r>
          </w:p>
          <w:p w14:paraId="240B75E7"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SINGLE STRESS OR REST MYOCARDIAL PERFUSION STUDY - planar imaging (R) </w:t>
            </w:r>
          </w:p>
          <w:p w14:paraId="66B6E0B4"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10D745AA"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$448.85 Benefit: 75% = $336.65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$381.55</w:t>
            </w:r>
          </w:p>
        </w:tc>
      </w:tr>
      <w:tr w:rsidR="0032605F" w:rsidRPr="00F761D8" w14:paraId="12117EE1" w14:textId="77777777" w:rsidTr="00CC55F9">
        <w:trPr>
          <w:trHeight w:val="1288"/>
        </w:trPr>
        <w:tc>
          <w:tcPr>
            <w:tcW w:w="9050" w:type="dxa"/>
          </w:tcPr>
          <w:p w14:paraId="474D164D"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61303</w:t>
            </w:r>
          </w:p>
          <w:p w14:paraId="735D65A1"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SINGLE STRESS OR REST MYOCARDIAL PERFUSION STUDY - with </w:t>
            </w:r>
            <w:r>
              <w:rPr>
                <w:rFonts w:ascii="Arial Narrow" w:hAnsi="Arial Narrow"/>
                <w:sz w:val="20"/>
                <w:szCs w:val="20"/>
                <w:lang w:val="en-US" w:eastAsia="ja-JP"/>
              </w:rPr>
              <w:t>single-photon</w:t>
            </w:r>
            <w:r w:rsidRPr="00F761D8">
              <w:rPr>
                <w:rFonts w:ascii="Arial Narrow" w:hAnsi="Arial Narrow"/>
                <w:sz w:val="20"/>
                <w:szCs w:val="20"/>
                <w:lang w:val="en-US" w:eastAsia="ja-JP"/>
              </w:rPr>
              <w:t xml:space="preserve"> emission tomography and with planar imaging when undertaken (R) </w:t>
            </w:r>
          </w:p>
          <w:p w14:paraId="6110D3A3"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5D9401A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$565.30 Benefit: 75% = $424.00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$489.10</w:t>
            </w:r>
          </w:p>
        </w:tc>
      </w:tr>
      <w:tr w:rsidR="0032605F" w:rsidRPr="00F761D8" w14:paraId="4D363007" w14:textId="77777777" w:rsidTr="00CC55F9">
        <w:trPr>
          <w:trHeight w:val="1240"/>
        </w:trPr>
        <w:tc>
          <w:tcPr>
            <w:tcW w:w="9050" w:type="dxa"/>
          </w:tcPr>
          <w:p w14:paraId="443D2B38"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61306</w:t>
            </w:r>
          </w:p>
          <w:p w14:paraId="79AFE6F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COMBINED STRESS AND REST, stress and re-injection or rest and redistribution myocardial perfusion study, including delayed imaging or re-injection protocol on a subsequent occasion - planar imaging (R) </w:t>
            </w:r>
          </w:p>
          <w:p w14:paraId="6C3DB4CD"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164E1988"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$709.70 Benefit: 75% = $532.30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$633.50</w:t>
            </w:r>
            <w:r>
              <w:rPr>
                <w:rFonts w:ascii="Arial Narrow" w:hAnsi="Arial Narrow"/>
                <w:sz w:val="20"/>
                <w:szCs w:val="20"/>
                <w:lang w:val="en-US" w:eastAsia="ja-JP"/>
              </w:rPr>
              <w:t xml:space="preserve"> </w:t>
            </w:r>
          </w:p>
        </w:tc>
      </w:tr>
      <w:tr w:rsidR="0032605F" w:rsidRPr="00F761D8" w14:paraId="29A5E14D" w14:textId="77777777" w:rsidTr="00CC55F9">
        <w:trPr>
          <w:trHeight w:val="1700"/>
        </w:trPr>
        <w:tc>
          <w:tcPr>
            <w:tcW w:w="9050" w:type="dxa"/>
          </w:tcPr>
          <w:p w14:paraId="32DD4A2B" w14:textId="77777777" w:rsidR="0032605F" w:rsidRPr="00F761D8" w:rsidRDefault="0032605F" w:rsidP="004C79C1">
            <w:pPr>
              <w:spacing w:beforeLines="40" w:before="96" w:after="120" w:line="240" w:lineRule="auto"/>
              <w:rPr>
                <w:rFonts w:ascii="Arial Narrow" w:hAnsi="Arial Narrow"/>
                <w:b/>
                <w:color w:val="000000" w:themeColor="text1"/>
                <w:sz w:val="20"/>
                <w:szCs w:val="20"/>
                <w:lang w:val="en-US" w:eastAsia="ja-JP"/>
              </w:rPr>
            </w:pPr>
            <w:r w:rsidRPr="00F761D8">
              <w:rPr>
                <w:rFonts w:ascii="Arial Narrow" w:hAnsi="Arial Narrow"/>
                <w:b/>
                <w:color w:val="000000" w:themeColor="text1"/>
                <w:sz w:val="20"/>
                <w:szCs w:val="20"/>
                <w:lang w:val="en-US" w:eastAsia="ja-JP"/>
              </w:rPr>
              <w:lastRenderedPageBreak/>
              <w:t>MBS item number 61307</w:t>
            </w:r>
          </w:p>
          <w:p w14:paraId="6E73345A" w14:textId="77777777" w:rsidR="0032605F" w:rsidRPr="00F761D8" w:rsidRDefault="0032605F" w:rsidP="004C79C1">
            <w:pPr>
              <w:spacing w:beforeLines="40" w:before="96" w:after="120" w:line="240" w:lineRule="auto"/>
              <w:rPr>
                <w:rFonts w:ascii="Arial Narrow" w:hAnsi="Arial Narrow"/>
                <w:color w:val="000000" w:themeColor="text1"/>
                <w:sz w:val="20"/>
                <w:szCs w:val="20"/>
                <w:lang w:val="en-US" w:eastAsia="ja-JP"/>
              </w:rPr>
            </w:pPr>
            <w:r w:rsidRPr="00F761D8">
              <w:rPr>
                <w:rFonts w:ascii="Arial Narrow" w:hAnsi="Arial Narrow"/>
                <w:color w:val="000000" w:themeColor="text1"/>
                <w:sz w:val="20"/>
                <w:szCs w:val="20"/>
                <w:lang w:val="en-US" w:eastAsia="ja-JP"/>
              </w:rPr>
              <w:t xml:space="preserve">COMBINED STRESS AND REST, stress and re-injection or rest and redistribution myocardial perfusion study, including delayed imaging or re-injection protocol on a subsequent occasion - with </w:t>
            </w:r>
            <w:r>
              <w:rPr>
                <w:rFonts w:ascii="Arial Narrow" w:hAnsi="Arial Narrow"/>
                <w:color w:val="000000" w:themeColor="text1"/>
                <w:sz w:val="20"/>
                <w:szCs w:val="20"/>
                <w:lang w:val="en-US" w:eastAsia="ja-JP"/>
              </w:rPr>
              <w:t>single-photon</w:t>
            </w:r>
            <w:r w:rsidRPr="00F761D8">
              <w:rPr>
                <w:rFonts w:ascii="Arial Narrow" w:hAnsi="Arial Narrow"/>
                <w:color w:val="000000" w:themeColor="text1"/>
                <w:sz w:val="20"/>
                <w:szCs w:val="20"/>
                <w:lang w:val="en-US" w:eastAsia="ja-JP"/>
              </w:rPr>
              <w:t xml:space="preserve"> emission tomography and with planar imaging when undertaken (R) </w:t>
            </w:r>
          </w:p>
          <w:p w14:paraId="54AC4DA4" w14:textId="77777777" w:rsidR="0032605F" w:rsidRPr="00F761D8" w:rsidRDefault="0032605F" w:rsidP="004C79C1">
            <w:pPr>
              <w:spacing w:beforeLines="40" w:before="96" w:after="120" w:line="240" w:lineRule="auto"/>
              <w:rPr>
                <w:rFonts w:ascii="Arial Narrow" w:hAnsi="Arial Narrow"/>
                <w:color w:val="000000" w:themeColor="text1"/>
                <w:sz w:val="20"/>
                <w:szCs w:val="20"/>
                <w:lang w:val="en-US" w:eastAsia="ja-JP"/>
              </w:rPr>
            </w:pPr>
            <w:r w:rsidRPr="00F761D8">
              <w:rPr>
                <w:rFonts w:ascii="Arial Narrow" w:hAnsi="Arial Narrow"/>
                <w:color w:val="000000" w:themeColor="text1"/>
                <w:sz w:val="20"/>
                <w:szCs w:val="20"/>
                <w:lang w:val="en-US" w:eastAsia="ja-JP"/>
              </w:rPr>
              <w:t>Bulk bill incentive</w:t>
            </w:r>
          </w:p>
          <w:p w14:paraId="712B6A9C" w14:textId="77777777" w:rsidR="0032605F" w:rsidRPr="00F761D8" w:rsidRDefault="0032605F" w:rsidP="004C79C1">
            <w:pPr>
              <w:tabs>
                <w:tab w:val="left" w:pos="3984"/>
              </w:tabs>
              <w:spacing w:beforeLines="40" w:before="96" w:after="120" w:line="240" w:lineRule="auto"/>
              <w:rPr>
                <w:rFonts w:ascii="Arial Narrow" w:hAnsi="Arial Narrow"/>
                <w:color w:val="000000" w:themeColor="text1"/>
                <w:sz w:val="20"/>
                <w:szCs w:val="20"/>
                <w:lang w:eastAsia="ja-JP"/>
              </w:rPr>
            </w:pPr>
            <w:r w:rsidRPr="00F761D8">
              <w:rPr>
                <w:rFonts w:ascii="Arial Narrow" w:hAnsi="Arial Narrow"/>
                <w:color w:val="000000" w:themeColor="text1"/>
                <w:sz w:val="20"/>
                <w:szCs w:val="20"/>
                <w:lang w:val="en-US" w:eastAsia="ja-JP"/>
              </w:rPr>
              <w:t>Fee: $834.90 Benefit: 75% = $626.20</w:t>
            </w:r>
            <w:r>
              <w:rPr>
                <w:rFonts w:ascii="Arial Narrow" w:hAnsi="Arial Narrow"/>
                <w:color w:val="000000" w:themeColor="text1"/>
                <w:sz w:val="20"/>
                <w:szCs w:val="20"/>
                <w:lang w:val="en-US" w:eastAsia="ja-JP"/>
              </w:rPr>
              <w:t>;</w:t>
            </w:r>
            <w:r w:rsidRPr="00F761D8">
              <w:rPr>
                <w:rFonts w:ascii="Arial Narrow" w:hAnsi="Arial Narrow"/>
                <w:color w:val="000000" w:themeColor="text1"/>
                <w:sz w:val="20"/>
                <w:szCs w:val="20"/>
                <w:lang w:val="en-US" w:eastAsia="ja-JP"/>
              </w:rPr>
              <w:t xml:space="preserve"> 85% = $758.70</w:t>
            </w:r>
          </w:p>
        </w:tc>
      </w:tr>
      <w:tr w:rsidR="0032605F" w:rsidRPr="00F761D8" w14:paraId="6FA9B014" w14:textId="77777777" w:rsidTr="00CC55F9">
        <w:tc>
          <w:tcPr>
            <w:tcW w:w="9050" w:type="dxa"/>
          </w:tcPr>
          <w:p w14:paraId="5BC11FE9"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61651</w:t>
            </w:r>
          </w:p>
          <w:p w14:paraId="1AF21ECA"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SINGLE STRESS OR REST MYOCARDIAL PERFUSION STUDY - planar imaging (R) (NK) </w:t>
            </w:r>
          </w:p>
          <w:p w14:paraId="5593E97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26719D3B"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$224.45 Benefit: 75% = $168.35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$190.80</w:t>
            </w:r>
          </w:p>
        </w:tc>
      </w:tr>
      <w:tr w:rsidR="0032605F" w:rsidRPr="00F761D8" w14:paraId="5421E4F0" w14:textId="77777777" w:rsidTr="00CC55F9">
        <w:tc>
          <w:tcPr>
            <w:tcW w:w="9050" w:type="dxa"/>
          </w:tcPr>
          <w:p w14:paraId="5BD4F2B0"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61652</w:t>
            </w:r>
          </w:p>
          <w:p w14:paraId="136F3ADC"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SINGLE STRESS OR REST MYOCARDIAL PERFUSION STUDY - with </w:t>
            </w:r>
            <w:r>
              <w:rPr>
                <w:rFonts w:ascii="Arial Narrow" w:hAnsi="Arial Narrow"/>
                <w:sz w:val="20"/>
                <w:szCs w:val="20"/>
                <w:lang w:val="en-US" w:eastAsia="ja-JP"/>
              </w:rPr>
              <w:t>single-photon</w:t>
            </w:r>
            <w:r w:rsidRPr="00F761D8">
              <w:rPr>
                <w:rFonts w:ascii="Arial Narrow" w:hAnsi="Arial Narrow"/>
                <w:sz w:val="20"/>
                <w:szCs w:val="20"/>
                <w:lang w:val="en-US" w:eastAsia="ja-JP"/>
              </w:rPr>
              <w:t xml:space="preserve"> emission tomography and with planar imaging when undertaken (R) (NK) </w:t>
            </w:r>
          </w:p>
          <w:p w14:paraId="2D31B322"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66B1F571"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$282.65 Benefit: 75% = $212.00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$240.30</w:t>
            </w:r>
          </w:p>
        </w:tc>
      </w:tr>
      <w:tr w:rsidR="0032605F" w:rsidRPr="00F761D8" w14:paraId="4616862E" w14:textId="77777777" w:rsidTr="00CC55F9">
        <w:tc>
          <w:tcPr>
            <w:tcW w:w="9050" w:type="dxa"/>
          </w:tcPr>
          <w:p w14:paraId="3358B2D0"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61653</w:t>
            </w:r>
          </w:p>
          <w:p w14:paraId="6CD0B76B"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COMBINED STRESS AND REST, stress and re-injection or rest and redistribution myocardial perfusion study, including delayed imaging or re-injection protocol on a subsequent occasion - planar imaging (R) (NK) </w:t>
            </w:r>
          </w:p>
          <w:p w14:paraId="1E196641"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4F74921F"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$354.85 Benefit: 75% = $266.15</w:t>
            </w:r>
            <w:r>
              <w:rPr>
                <w:rFonts w:ascii="Arial Narrow" w:hAnsi="Arial Narrow"/>
                <w:sz w:val="20"/>
                <w:szCs w:val="20"/>
                <w:lang w:val="en-US" w:eastAsia="ja-JP"/>
              </w:rPr>
              <w:t>;</w:t>
            </w:r>
            <w:r w:rsidRPr="00F761D8">
              <w:rPr>
                <w:rFonts w:ascii="Arial Narrow" w:hAnsi="Arial Narrow"/>
                <w:sz w:val="20"/>
                <w:szCs w:val="20"/>
                <w:lang w:val="en-US" w:eastAsia="ja-JP"/>
              </w:rPr>
              <w:t xml:space="preserve"> 85% = $301.65</w:t>
            </w:r>
          </w:p>
        </w:tc>
      </w:tr>
      <w:tr w:rsidR="0032605F" w:rsidRPr="00F761D8" w14:paraId="0EFFD43B" w14:textId="77777777" w:rsidTr="00CC55F9">
        <w:tc>
          <w:tcPr>
            <w:tcW w:w="9050" w:type="dxa"/>
          </w:tcPr>
          <w:p w14:paraId="69266129" w14:textId="77777777" w:rsidR="0032605F" w:rsidRPr="00F761D8" w:rsidRDefault="0032605F" w:rsidP="004C79C1">
            <w:pPr>
              <w:spacing w:after="120" w:line="240" w:lineRule="auto"/>
              <w:rPr>
                <w:rFonts w:ascii="Arial Narrow" w:hAnsi="Arial Narrow"/>
                <w:b/>
                <w:sz w:val="20"/>
                <w:szCs w:val="20"/>
                <w:lang w:val="en-US" w:eastAsia="ja-JP"/>
              </w:rPr>
            </w:pPr>
            <w:r w:rsidRPr="00F761D8">
              <w:rPr>
                <w:rFonts w:ascii="Arial Narrow" w:hAnsi="Arial Narrow"/>
                <w:b/>
                <w:sz w:val="20"/>
                <w:szCs w:val="20"/>
                <w:lang w:val="en-US" w:eastAsia="ja-JP"/>
              </w:rPr>
              <w:t>MBS Item 61654</w:t>
            </w:r>
          </w:p>
          <w:p w14:paraId="006A428E"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 xml:space="preserve">COMBINED STRESS AND REST, stress and re-injection or rest and redistribution myocardial perfusion study, including delayed imaging or re-injection protocol on a subsequent occasion - with </w:t>
            </w:r>
            <w:r>
              <w:rPr>
                <w:rFonts w:ascii="Arial Narrow" w:hAnsi="Arial Narrow"/>
                <w:sz w:val="20"/>
                <w:szCs w:val="20"/>
                <w:lang w:val="en-US" w:eastAsia="ja-JP"/>
              </w:rPr>
              <w:t>single-photon</w:t>
            </w:r>
            <w:r w:rsidRPr="00F761D8">
              <w:rPr>
                <w:rFonts w:ascii="Arial Narrow" w:hAnsi="Arial Narrow"/>
                <w:sz w:val="20"/>
                <w:szCs w:val="20"/>
                <w:lang w:val="en-US" w:eastAsia="ja-JP"/>
              </w:rPr>
              <w:t xml:space="preserve"> emission tomography and with planar imaging when undertaken (R) (NK) </w:t>
            </w:r>
          </w:p>
          <w:p w14:paraId="07880134"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Bulk bill incentive</w:t>
            </w:r>
          </w:p>
          <w:p w14:paraId="07A2E38A" w14:textId="77777777" w:rsidR="0032605F" w:rsidRPr="00F761D8" w:rsidRDefault="0032605F" w:rsidP="004C79C1">
            <w:pPr>
              <w:spacing w:after="120" w:line="240" w:lineRule="auto"/>
              <w:rPr>
                <w:rFonts w:ascii="Arial Narrow" w:hAnsi="Arial Narrow"/>
                <w:sz w:val="20"/>
                <w:szCs w:val="20"/>
                <w:lang w:val="en-US" w:eastAsia="ja-JP"/>
              </w:rPr>
            </w:pPr>
            <w:r w:rsidRPr="00F761D8">
              <w:rPr>
                <w:rFonts w:ascii="Arial Narrow" w:hAnsi="Arial Narrow"/>
                <w:sz w:val="20"/>
                <w:szCs w:val="20"/>
                <w:lang w:val="en-US" w:eastAsia="ja-JP"/>
              </w:rPr>
              <w:t>Fee: $417.45 Benefit: 75% = $313.10</w:t>
            </w:r>
            <w:r>
              <w:rPr>
                <w:rFonts w:ascii="Arial Narrow" w:hAnsi="Arial Narrow"/>
                <w:sz w:val="20"/>
                <w:szCs w:val="20"/>
                <w:lang w:val="en-US" w:eastAsia="ja-JP"/>
              </w:rPr>
              <w:t>;</w:t>
            </w:r>
            <w:r w:rsidRPr="00F761D8">
              <w:rPr>
                <w:rFonts w:ascii="Arial Narrow" w:hAnsi="Arial Narrow"/>
                <w:sz w:val="20"/>
                <w:szCs w:val="20"/>
                <w:lang w:val="en-US" w:eastAsia="ja-JP"/>
              </w:rPr>
              <w:t xml:space="preserve"> 85% = $354.85</w:t>
            </w:r>
          </w:p>
        </w:tc>
      </w:tr>
    </w:tbl>
    <w:p w14:paraId="3D47C2DA" w14:textId="33EEC9A9" w:rsidR="0032605F" w:rsidRDefault="00050936" w:rsidP="00CC55F9">
      <w:pPr>
        <w:pStyle w:val="Caption"/>
        <w:spacing w:before="240"/>
      </w:pPr>
      <w:bookmarkStart w:id="897" w:name="_Toc324410277"/>
      <w:bookmarkStart w:id="898" w:name="_Toc451435424"/>
      <w:r>
        <w:t xml:space="preserve">Table </w:t>
      </w:r>
      <w:fldSimple w:instr=" SEQ Table \* ARABIC ">
        <w:r>
          <w:rPr>
            <w:noProof/>
          </w:rPr>
          <w:t>97</w:t>
        </w:r>
      </w:fldSimple>
      <w:r w:rsidR="00947CDE">
        <w:tab/>
      </w:r>
      <w:r w:rsidR="0032605F">
        <w:t>Reference standard: endomyocardial biopsy</w:t>
      </w:r>
      <w:r w:rsidR="00F34110">
        <w:t xml:space="preserve"> (EMB)</w:t>
      </w:r>
      <w:bookmarkEnd w:id="897"/>
      <w:bookmarkEnd w:id="898"/>
    </w:p>
    <w:tbl>
      <w:tblPr>
        <w:tblStyle w:val="TableGrid"/>
        <w:tblW w:w="0" w:type="auto"/>
        <w:tblLook w:val="04A0" w:firstRow="1" w:lastRow="0" w:firstColumn="1" w:lastColumn="0" w:noHBand="0" w:noVBand="1"/>
        <w:tblCaption w:val="Reference standard: endomyocardial biopsy"/>
      </w:tblPr>
      <w:tblGrid>
        <w:gridCol w:w="1086"/>
        <w:gridCol w:w="6885"/>
        <w:gridCol w:w="1045"/>
      </w:tblGrid>
      <w:tr w:rsidR="0032605F" w:rsidRPr="00FA3886" w14:paraId="3BB4655C" w14:textId="77777777" w:rsidTr="00E11C53">
        <w:trPr>
          <w:tblHeader/>
        </w:trPr>
        <w:tc>
          <w:tcPr>
            <w:tcW w:w="1086" w:type="dxa"/>
          </w:tcPr>
          <w:p w14:paraId="3F147A97" w14:textId="77777777" w:rsidR="0032605F" w:rsidRPr="00FA3886" w:rsidRDefault="0032605F" w:rsidP="004C79C1">
            <w:pPr>
              <w:spacing w:after="120" w:line="240" w:lineRule="auto"/>
              <w:rPr>
                <w:rFonts w:ascii="Arial Narrow" w:hAnsi="Arial Narrow"/>
                <w:b/>
                <w:sz w:val="20"/>
              </w:rPr>
            </w:pPr>
            <w:r w:rsidRPr="00FA3886">
              <w:rPr>
                <w:rFonts w:ascii="Arial Narrow" w:hAnsi="Arial Narrow"/>
                <w:b/>
                <w:sz w:val="20"/>
              </w:rPr>
              <w:t>MBS item number</w:t>
            </w:r>
          </w:p>
        </w:tc>
        <w:tc>
          <w:tcPr>
            <w:tcW w:w="6885" w:type="dxa"/>
          </w:tcPr>
          <w:p w14:paraId="0FAFC13C" w14:textId="77777777" w:rsidR="0032605F" w:rsidRPr="00FA3886" w:rsidRDefault="0032605F" w:rsidP="004C79C1">
            <w:pPr>
              <w:spacing w:after="120" w:line="240" w:lineRule="auto"/>
              <w:rPr>
                <w:rFonts w:ascii="Arial Narrow" w:hAnsi="Arial Narrow"/>
                <w:b/>
                <w:sz w:val="20"/>
              </w:rPr>
            </w:pPr>
            <w:r w:rsidRPr="00FA3886">
              <w:rPr>
                <w:rFonts w:ascii="Arial Narrow" w:hAnsi="Arial Narrow"/>
                <w:b/>
                <w:sz w:val="20"/>
              </w:rPr>
              <w:t>Description</w:t>
            </w:r>
          </w:p>
        </w:tc>
        <w:tc>
          <w:tcPr>
            <w:tcW w:w="1045" w:type="dxa"/>
          </w:tcPr>
          <w:p w14:paraId="6494CE1F" w14:textId="77777777" w:rsidR="0032605F" w:rsidRPr="00FA3886" w:rsidRDefault="0032605F" w:rsidP="004C79C1">
            <w:pPr>
              <w:spacing w:after="120" w:line="240" w:lineRule="auto"/>
              <w:rPr>
                <w:rFonts w:ascii="Arial Narrow" w:hAnsi="Arial Narrow"/>
                <w:b/>
                <w:sz w:val="20"/>
              </w:rPr>
            </w:pPr>
            <w:r w:rsidRPr="00FA3886">
              <w:rPr>
                <w:rFonts w:ascii="Arial Narrow" w:hAnsi="Arial Narrow"/>
                <w:b/>
                <w:sz w:val="20"/>
              </w:rPr>
              <w:t>Fee</w:t>
            </w:r>
          </w:p>
        </w:tc>
      </w:tr>
      <w:tr w:rsidR="0032605F" w:rsidRPr="002B7816" w14:paraId="7BA1DE16" w14:textId="77777777" w:rsidTr="0032605F">
        <w:tc>
          <w:tcPr>
            <w:tcW w:w="1086" w:type="dxa"/>
          </w:tcPr>
          <w:p w14:paraId="4A704FBF" w14:textId="77777777" w:rsidR="0032605F" w:rsidRPr="002B7816" w:rsidRDefault="0032605F" w:rsidP="004C79C1">
            <w:pPr>
              <w:spacing w:after="120" w:line="240" w:lineRule="auto"/>
              <w:rPr>
                <w:rFonts w:ascii="Arial Narrow" w:hAnsi="Arial Narrow"/>
                <w:sz w:val="20"/>
              </w:rPr>
            </w:pPr>
            <w:r>
              <w:rPr>
                <w:rFonts w:ascii="Arial Narrow" w:hAnsi="Arial Narrow"/>
                <w:sz w:val="20"/>
              </w:rPr>
              <w:t>38275</w:t>
            </w:r>
          </w:p>
        </w:tc>
        <w:tc>
          <w:tcPr>
            <w:tcW w:w="6885" w:type="dxa"/>
          </w:tcPr>
          <w:p w14:paraId="51B03D89" w14:textId="77777777" w:rsidR="0032605F" w:rsidRPr="002B7816" w:rsidRDefault="0032605F" w:rsidP="004C79C1">
            <w:pPr>
              <w:spacing w:after="120" w:line="240" w:lineRule="auto"/>
              <w:rPr>
                <w:rFonts w:ascii="Arial Narrow" w:hAnsi="Arial Narrow"/>
                <w:sz w:val="20"/>
              </w:rPr>
            </w:pPr>
            <w:r w:rsidRPr="002B7816">
              <w:rPr>
                <w:rFonts w:ascii="Arial Narrow" w:hAnsi="Arial Narrow"/>
                <w:sz w:val="20"/>
              </w:rPr>
              <w:t>MYOCARDIAL BIOPSY, by cardiac catheterisation</w:t>
            </w:r>
          </w:p>
          <w:p w14:paraId="713580DD" w14:textId="77777777" w:rsidR="0032605F" w:rsidRPr="002B7816" w:rsidRDefault="0032605F" w:rsidP="004C79C1">
            <w:pPr>
              <w:spacing w:after="120" w:line="240" w:lineRule="auto"/>
              <w:rPr>
                <w:rFonts w:ascii="Arial Narrow" w:hAnsi="Arial Narrow"/>
                <w:sz w:val="20"/>
              </w:rPr>
            </w:pPr>
            <w:r w:rsidRPr="002B7816">
              <w:rPr>
                <w:rFonts w:ascii="Arial Narrow" w:hAnsi="Arial Narrow"/>
                <w:sz w:val="20"/>
              </w:rPr>
              <w:t>Multiple Services Rule</w:t>
            </w:r>
          </w:p>
          <w:p w14:paraId="2C9DA528" w14:textId="77777777" w:rsidR="0032605F" w:rsidRPr="002B7816" w:rsidRDefault="0032605F" w:rsidP="004C79C1">
            <w:pPr>
              <w:spacing w:after="120" w:line="240" w:lineRule="auto"/>
              <w:rPr>
                <w:rFonts w:ascii="Arial Narrow" w:hAnsi="Arial Narrow"/>
                <w:sz w:val="20"/>
              </w:rPr>
            </w:pPr>
            <w:r w:rsidRPr="002B7816">
              <w:rPr>
                <w:rFonts w:ascii="Arial Narrow" w:hAnsi="Arial Narrow"/>
                <w:sz w:val="20"/>
              </w:rPr>
              <w:t>(Anaes.)</w:t>
            </w:r>
          </w:p>
          <w:p w14:paraId="36D5C793" w14:textId="77777777" w:rsidR="0032605F" w:rsidRPr="002B7816" w:rsidRDefault="0032605F" w:rsidP="004C79C1">
            <w:pPr>
              <w:spacing w:after="120" w:line="240" w:lineRule="auto"/>
              <w:rPr>
                <w:rFonts w:ascii="Arial Narrow" w:hAnsi="Arial Narrow"/>
                <w:sz w:val="20"/>
              </w:rPr>
            </w:pPr>
            <w:r w:rsidRPr="002B7816">
              <w:rPr>
                <w:rFonts w:ascii="Arial Narrow" w:hAnsi="Arial Narrow"/>
                <w:sz w:val="20"/>
              </w:rPr>
              <w:t>Fee: $298.20 Benefit: 75% = $223.65 85% = $253.50</w:t>
            </w:r>
          </w:p>
        </w:tc>
        <w:tc>
          <w:tcPr>
            <w:tcW w:w="1045" w:type="dxa"/>
          </w:tcPr>
          <w:p w14:paraId="4256164A" w14:textId="77777777" w:rsidR="0032605F" w:rsidRPr="002B7816" w:rsidRDefault="0032605F" w:rsidP="004C79C1">
            <w:pPr>
              <w:spacing w:after="120" w:line="240" w:lineRule="auto"/>
              <w:rPr>
                <w:rFonts w:ascii="Arial Narrow" w:hAnsi="Arial Narrow"/>
                <w:sz w:val="20"/>
              </w:rPr>
            </w:pPr>
            <w:r w:rsidRPr="002B7816">
              <w:rPr>
                <w:rFonts w:ascii="Arial Narrow" w:hAnsi="Arial Narrow"/>
                <w:sz w:val="20"/>
              </w:rPr>
              <w:t>$298.20</w:t>
            </w:r>
          </w:p>
        </w:tc>
      </w:tr>
    </w:tbl>
    <w:p w14:paraId="43951C6D" w14:textId="77777777" w:rsidR="0032605F" w:rsidRDefault="0032605F" w:rsidP="004C79C1">
      <w:pPr>
        <w:spacing w:after="120" w:line="240" w:lineRule="auto"/>
      </w:pPr>
    </w:p>
    <w:p w14:paraId="728214E8" w14:textId="00A3C051" w:rsidR="006B3560" w:rsidRPr="00EC16EA" w:rsidRDefault="006B3560" w:rsidP="004C79C1">
      <w:pPr>
        <w:pStyle w:val="Heading1"/>
        <w:spacing w:after="120" w:line="240" w:lineRule="auto"/>
      </w:pPr>
      <w:bookmarkStart w:id="899" w:name="_Toc451501430"/>
      <w:bookmarkStart w:id="900" w:name="_Toc379118117"/>
      <w:bookmarkStart w:id="901" w:name="_Toc381796514"/>
      <w:r w:rsidRPr="00183E4D">
        <w:lastRenderedPageBreak/>
        <w:t xml:space="preserve">Appendix </w:t>
      </w:r>
      <w:fldSimple w:instr=" SEQ Appendix \* ALPHABETIC ">
        <w:r w:rsidR="00460601">
          <w:rPr>
            <w:noProof/>
          </w:rPr>
          <w:t>G</w:t>
        </w:r>
      </w:fldSimple>
      <w:r>
        <w:t xml:space="preserve"> </w:t>
      </w:r>
      <w:r w:rsidR="007A462F">
        <w:tab/>
      </w:r>
      <w:r w:rsidR="009D6530">
        <w:t xml:space="preserve">Further </w:t>
      </w:r>
      <w:r w:rsidR="00C43400">
        <w:t>A</w:t>
      </w:r>
      <w:r w:rsidR="009D6530">
        <w:t xml:space="preserve">nalysis for </w:t>
      </w:r>
      <w:r w:rsidR="00C43400">
        <w:t>S</w:t>
      </w:r>
      <w:r w:rsidR="009D6530">
        <w:t>ection B</w:t>
      </w:r>
      <w:r>
        <w:t>4.2</w:t>
      </w:r>
      <w:bookmarkEnd w:id="899"/>
    </w:p>
    <w:p w14:paraId="15464C56" w14:textId="77777777" w:rsidR="004D3D5C" w:rsidRDefault="004D3D5C" w:rsidP="004C79C1">
      <w:pPr>
        <w:spacing w:after="120" w:line="240" w:lineRule="auto"/>
      </w:pPr>
      <w:r>
        <w:rPr>
          <w:noProof/>
        </w:rPr>
        <w:drawing>
          <wp:inline distT="0" distB="0" distL="0" distR="0" wp14:anchorId="397AF606" wp14:editId="151A96CB">
            <wp:extent cx="5917997" cy="5279748"/>
            <wp:effectExtent l="0" t="0" r="6985" b="0"/>
            <wp:docPr id="42" name="Picture 42" title="Forest plot showing the HRs for the presence of LGE for different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a:extLst>
                        <a:ext uri="{28A0092B-C50C-407E-A947-70E740481C1C}">
                          <a14:useLocalDpi xmlns:a14="http://schemas.microsoft.com/office/drawing/2010/main" val="0"/>
                        </a:ext>
                      </a:extLst>
                    </a:blip>
                    <a:srcRect l="3487" t="3752" r="2708" b="3235"/>
                    <a:stretch/>
                  </pic:blipFill>
                  <pic:spPr bwMode="auto">
                    <a:xfrm>
                      <a:off x="0" y="0"/>
                      <a:ext cx="5926888" cy="5287680"/>
                    </a:xfrm>
                    <a:prstGeom prst="rect">
                      <a:avLst/>
                    </a:prstGeom>
                    <a:noFill/>
                    <a:ln>
                      <a:noFill/>
                    </a:ln>
                    <a:extLst>
                      <a:ext uri="{53640926-AAD7-44D8-BBD7-CCE9431645EC}">
                        <a14:shadowObscured xmlns:a14="http://schemas.microsoft.com/office/drawing/2010/main"/>
                      </a:ext>
                    </a:extLst>
                  </pic:spPr>
                </pic:pic>
              </a:graphicData>
            </a:graphic>
          </wp:inline>
        </w:drawing>
      </w:r>
    </w:p>
    <w:p w14:paraId="44EB4932" w14:textId="03716C1E" w:rsidR="004D3D5C" w:rsidRDefault="004D3D5C" w:rsidP="004C79C1">
      <w:pPr>
        <w:pStyle w:val="Caption"/>
      </w:pPr>
      <w:bookmarkStart w:id="902" w:name="_Ref445908984"/>
      <w:bookmarkStart w:id="903" w:name="_Toc324410278"/>
      <w:bookmarkStart w:id="904" w:name="_Toc451435484"/>
      <w:r>
        <w:t xml:space="preserve">Figure </w:t>
      </w:r>
      <w:fldSimple w:instr=" SEQ Figure \* ARABIC ">
        <w:r w:rsidR="00050936">
          <w:rPr>
            <w:noProof/>
          </w:rPr>
          <w:t>38</w:t>
        </w:r>
      </w:fldSimple>
      <w:bookmarkEnd w:id="902"/>
      <w:r>
        <w:tab/>
        <w:t>Forest plot showing the HRs for the presence of LGE for different health outcomes</w:t>
      </w:r>
      <w:bookmarkEnd w:id="903"/>
      <w:bookmarkEnd w:id="904"/>
    </w:p>
    <w:p w14:paraId="1163E7B9" w14:textId="77777777" w:rsidR="004D3D5C" w:rsidRPr="004D3D5C" w:rsidRDefault="004D3D5C" w:rsidP="004C79C1">
      <w:pPr>
        <w:pStyle w:val="Tablenotes0"/>
        <w:spacing w:before="0" w:after="120"/>
      </w:pPr>
      <w:bookmarkStart w:id="905" w:name="_Toc324410279"/>
      <w:r w:rsidRPr="004D3D5C">
        <w:t xml:space="preserve">The HRs </w:t>
      </w:r>
      <w:proofErr w:type="gramStart"/>
      <w:r w:rsidRPr="004D3D5C">
        <w:t>were</w:t>
      </w:r>
      <w:proofErr w:type="gramEnd"/>
      <w:r w:rsidRPr="004D3D5C">
        <w:t xml:space="preserve"> derived from univariate Cox regression analysis conducted in individual cohort studies.</w:t>
      </w:r>
      <w:bookmarkEnd w:id="905"/>
    </w:p>
    <w:p w14:paraId="40BD4E8B" w14:textId="0A7097E4" w:rsidR="004D3D5C" w:rsidRPr="004D3D5C" w:rsidRDefault="004D3D5C" w:rsidP="004C79C1">
      <w:pPr>
        <w:pStyle w:val="Tablenotes0"/>
        <w:spacing w:before="0" w:after="120"/>
      </w:pPr>
      <w:bookmarkStart w:id="906" w:name="_Toc324410280"/>
      <w:r w:rsidRPr="00504022">
        <w:t xml:space="preserve">CI = confidence interval; CRT-D = cardiac resynchronisation therapy with defibrillator; HR = hazard ratio; ICD = implantable </w:t>
      </w:r>
      <w:r w:rsidR="0026063B">
        <w:t>cardioverter defibrillator</w:t>
      </w:r>
      <w:r w:rsidRPr="00504022">
        <w:t>; LGE = late gadolinium enhancement</w:t>
      </w:r>
      <w:bookmarkEnd w:id="906"/>
    </w:p>
    <w:p w14:paraId="7F550030" w14:textId="77777777" w:rsidR="007A0067" w:rsidRDefault="007A0067" w:rsidP="004C79C1">
      <w:pPr>
        <w:pStyle w:val="Tablenotes0"/>
        <w:spacing w:before="0" w:after="120"/>
        <w:rPr>
          <w:b/>
          <w:smallCaps/>
        </w:rPr>
        <w:sectPr w:rsidR="007A0067" w:rsidSect="004D3D5C">
          <w:headerReference w:type="even" r:id="rId80"/>
          <w:headerReference w:type="default" r:id="rId81"/>
          <w:footerReference w:type="default" r:id="rId82"/>
          <w:headerReference w:type="first" r:id="rId83"/>
          <w:pgSz w:w="11906" w:h="16838"/>
          <w:pgMar w:top="1440" w:right="1440" w:bottom="1440" w:left="1440" w:header="720" w:footer="720" w:gutter="0"/>
          <w:cols w:space="720"/>
          <w:docGrid w:linePitch="360"/>
        </w:sectPr>
      </w:pPr>
    </w:p>
    <w:p w14:paraId="6867232C" w14:textId="68D2A692" w:rsidR="00803845" w:rsidRDefault="00803845" w:rsidP="004C79C1">
      <w:pPr>
        <w:pStyle w:val="Heading1"/>
        <w:spacing w:after="120" w:line="240" w:lineRule="auto"/>
      </w:pPr>
      <w:bookmarkStart w:id="907" w:name="_Toc451501431"/>
      <w:r>
        <w:lastRenderedPageBreak/>
        <w:t xml:space="preserve">Appendix </w:t>
      </w:r>
      <w:fldSimple w:instr=" SEQ Appendix \* ALPHABETIC ">
        <w:r w:rsidR="00460601">
          <w:rPr>
            <w:noProof/>
          </w:rPr>
          <w:t>H</w:t>
        </w:r>
      </w:fldSimple>
      <w:r>
        <w:tab/>
        <w:t xml:space="preserve">Further </w:t>
      </w:r>
      <w:r w:rsidR="00C43400">
        <w:t>A</w:t>
      </w:r>
      <w:r>
        <w:t xml:space="preserve">nalyses for </w:t>
      </w:r>
      <w:r w:rsidR="00C43400">
        <w:t>S</w:t>
      </w:r>
      <w:r w:rsidR="009D6530">
        <w:t>ection B</w:t>
      </w:r>
      <w:r w:rsidR="00EF4A80">
        <w:t>5.2</w:t>
      </w:r>
      <w:bookmarkEnd w:id="907"/>
    </w:p>
    <w:p w14:paraId="6C97401B" w14:textId="4EBFCED1" w:rsidR="009A57D1" w:rsidRDefault="009A57D1" w:rsidP="004C79C1">
      <w:pPr>
        <w:pStyle w:val="Heading2"/>
        <w:spacing w:before="0" w:after="120" w:line="240" w:lineRule="auto"/>
      </w:pPr>
      <w:bookmarkStart w:id="908" w:name="_Toc451501432"/>
      <w:r>
        <w:t xml:space="preserve">Comparison between </w:t>
      </w:r>
      <w:r w:rsidR="00C43400">
        <w:t>R</w:t>
      </w:r>
      <w:r>
        <w:t xml:space="preserve">evascularisation and OMT in </w:t>
      </w:r>
      <w:r w:rsidR="00C43400">
        <w:t>P</w:t>
      </w:r>
      <w:r>
        <w:t>atients with ICM</w:t>
      </w:r>
      <w:bookmarkEnd w:id="908"/>
    </w:p>
    <w:p w14:paraId="6721BB62" w14:textId="77777777" w:rsidR="007B1EC2" w:rsidRDefault="007B1EC2" w:rsidP="004C79C1">
      <w:pPr>
        <w:keepNext/>
        <w:spacing w:after="120" w:line="240" w:lineRule="auto"/>
      </w:pPr>
      <w:r>
        <w:rPr>
          <w:noProof/>
        </w:rPr>
        <w:drawing>
          <wp:inline distT="0" distB="0" distL="0" distR="0" wp14:anchorId="2C87C90C" wp14:editId="00419F7E">
            <wp:extent cx="5863927" cy="4076700"/>
            <wp:effectExtent l="0" t="0" r="3810" b="0"/>
            <wp:docPr id="40" name="Picture 40" title="All-cause mortality after revascularisation versus O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vasc mortality.t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82239" cy="4089431"/>
                    </a:xfrm>
                    <a:prstGeom prst="rect">
                      <a:avLst/>
                    </a:prstGeom>
                  </pic:spPr>
                </pic:pic>
              </a:graphicData>
            </a:graphic>
          </wp:inline>
        </w:drawing>
      </w:r>
    </w:p>
    <w:p w14:paraId="7ABCEDBB" w14:textId="41D8ACD4" w:rsidR="007B1EC2" w:rsidRDefault="007B1EC2" w:rsidP="004C79C1">
      <w:pPr>
        <w:pStyle w:val="Caption"/>
      </w:pPr>
      <w:bookmarkStart w:id="909" w:name="_Toc324410281"/>
      <w:bookmarkStart w:id="910" w:name="_Toc451435485"/>
      <w:r>
        <w:t xml:space="preserve">Figure </w:t>
      </w:r>
      <w:r w:rsidR="00161B88">
        <w:fldChar w:fldCharType="begin"/>
      </w:r>
      <w:r w:rsidR="00161B88">
        <w:instrText xml:space="preserve"> SEQ Figure \* ARABIC </w:instrText>
      </w:r>
      <w:r w:rsidR="00161B88">
        <w:fldChar w:fldCharType="separate"/>
      </w:r>
      <w:proofErr w:type="gramStart"/>
      <w:r w:rsidR="00050936">
        <w:rPr>
          <w:noProof/>
        </w:rPr>
        <w:t>39</w:t>
      </w:r>
      <w:r w:rsidR="00161B88">
        <w:rPr>
          <w:noProof/>
        </w:rPr>
        <w:fldChar w:fldCharType="end"/>
      </w:r>
      <w:r>
        <w:tab/>
        <w:t>All-cause mortality</w:t>
      </w:r>
      <w:proofErr w:type="gramEnd"/>
      <w:r>
        <w:t xml:space="preserve"> after revascularisation versus OMT</w:t>
      </w:r>
      <w:bookmarkEnd w:id="909"/>
      <w:bookmarkEnd w:id="910"/>
      <w:r>
        <w:t xml:space="preserve"> </w:t>
      </w:r>
    </w:p>
    <w:p w14:paraId="5CDCC4C0" w14:textId="1CCCB2BB" w:rsidR="00140D5D" w:rsidRPr="004A515D" w:rsidRDefault="00140D5D" w:rsidP="004C79C1">
      <w:pPr>
        <w:spacing w:after="120" w:line="240" w:lineRule="auto"/>
        <w:jc w:val="both"/>
        <w:rPr>
          <w:szCs w:val="20"/>
        </w:rPr>
      </w:pPr>
      <w:r w:rsidRPr="00B2377A">
        <w:rPr>
          <w:rFonts w:ascii="Arial Narrow" w:hAnsi="Arial Narrow"/>
          <w:sz w:val="20"/>
          <w:szCs w:val="20"/>
        </w:rPr>
        <w:t xml:space="preserve">CABG = coronary artery bypass graft; </w:t>
      </w:r>
      <w:r w:rsidR="00504022" w:rsidRPr="00E309B1">
        <w:rPr>
          <w:rFonts w:ascii="Arial Narrow" w:hAnsi="Arial Narrow"/>
          <w:sz w:val="20"/>
          <w:szCs w:val="20"/>
        </w:rPr>
        <w:t xml:space="preserve">CI = confidence interval; ICM = </w:t>
      </w:r>
      <w:r w:rsidR="00E309B1" w:rsidRPr="00B2377A">
        <w:rPr>
          <w:rFonts w:ascii="Arial Narrow" w:hAnsi="Arial Narrow"/>
          <w:sz w:val="20"/>
          <w:szCs w:val="20"/>
        </w:rPr>
        <w:t>ischaemic cardiomyopathy</w:t>
      </w:r>
      <w:r w:rsidR="00504022" w:rsidRPr="00E309B1">
        <w:rPr>
          <w:rFonts w:ascii="Arial Narrow" w:hAnsi="Arial Narrow"/>
          <w:sz w:val="20"/>
          <w:szCs w:val="20"/>
        </w:rPr>
        <w:t xml:space="preserve">; </w:t>
      </w:r>
      <w:r w:rsidRPr="00B2377A">
        <w:rPr>
          <w:rFonts w:ascii="Arial Narrow" w:hAnsi="Arial Narrow"/>
          <w:sz w:val="20"/>
          <w:szCs w:val="20"/>
        </w:rPr>
        <w:t xml:space="preserve">OMT = </w:t>
      </w:r>
      <w:r w:rsidR="00EE5D21" w:rsidRPr="00E309B1">
        <w:rPr>
          <w:rStyle w:val="TablenotesChar0"/>
        </w:rPr>
        <w:t>optimal medical treatment; RR = relative risk</w:t>
      </w:r>
    </w:p>
    <w:p w14:paraId="781510C9" w14:textId="77777777" w:rsidR="007B1EC2" w:rsidRDefault="007B1EC2" w:rsidP="004C79C1">
      <w:pPr>
        <w:keepNext/>
        <w:spacing w:after="120" w:line="240" w:lineRule="auto"/>
      </w:pPr>
      <w:r>
        <w:rPr>
          <w:noProof/>
        </w:rPr>
        <w:lastRenderedPageBreak/>
        <w:drawing>
          <wp:inline distT="0" distB="0" distL="0" distR="0" wp14:anchorId="41507146" wp14:editId="1D9426D0">
            <wp:extent cx="6019800" cy="4188938"/>
            <wp:effectExtent l="0" t="0" r="0" b="2540"/>
            <wp:docPr id="47" name="Picture 47" title="Myocardial infarctions after revascularisation versus O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vasc MI.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33983" cy="4198807"/>
                    </a:xfrm>
                    <a:prstGeom prst="rect">
                      <a:avLst/>
                    </a:prstGeom>
                  </pic:spPr>
                </pic:pic>
              </a:graphicData>
            </a:graphic>
          </wp:inline>
        </w:drawing>
      </w:r>
    </w:p>
    <w:p w14:paraId="0C2A6CEF" w14:textId="62C71C0E" w:rsidR="007B1EC2" w:rsidRDefault="007B1EC2" w:rsidP="004C79C1">
      <w:pPr>
        <w:pStyle w:val="Caption"/>
      </w:pPr>
      <w:bookmarkStart w:id="911" w:name="_Toc324410282"/>
      <w:bookmarkStart w:id="912" w:name="_Toc451435486"/>
      <w:r>
        <w:t xml:space="preserve">Figure </w:t>
      </w:r>
      <w:fldSimple w:instr=" SEQ Figure \* ARABIC ">
        <w:r w:rsidR="00050936">
          <w:rPr>
            <w:noProof/>
          </w:rPr>
          <w:t>40</w:t>
        </w:r>
      </w:fldSimple>
      <w:r>
        <w:tab/>
        <w:t>Myocardial infarctions after revascularisation versus OMT</w:t>
      </w:r>
      <w:bookmarkEnd w:id="911"/>
      <w:bookmarkEnd w:id="912"/>
    </w:p>
    <w:p w14:paraId="0B0697B2" w14:textId="42DEBB8E" w:rsidR="00EE5D21" w:rsidRPr="00AB3C15" w:rsidRDefault="00EE5D21" w:rsidP="004C79C1">
      <w:pPr>
        <w:spacing w:after="120" w:line="240" w:lineRule="auto"/>
        <w:jc w:val="both"/>
        <w:rPr>
          <w:rFonts w:ascii="Arial Narrow" w:hAnsi="Arial Narrow"/>
          <w:sz w:val="20"/>
          <w:szCs w:val="20"/>
        </w:rPr>
      </w:pPr>
      <w:r w:rsidRPr="00AB3C15">
        <w:rPr>
          <w:rFonts w:ascii="Arial Narrow" w:hAnsi="Arial Narrow"/>
          <w:sz w:val="20"/>
          <w:szCs w:val="20"/>
        </w:rPr>
        <w:t xml:space="preserve">CABG = coronary artery bypass graft; </w:t>
      </w:r>
      <w:r w:rsidR="00AD5BD6">
        <w:rPr>
          <w:rFonts w:ascii="Arial Narrow" w:hAnsi="Arial Narrow"/>
          <w:sz w:val="20"/>
          <w:szCs w:val="20"/>
        </w:rPr>
        <w:t>CI</w:t>
      </w:r>
      <w:r w:rsidR="00135888">
        <w:rPr>
          <w:rFonts w:ascii="Arial Narrow" w:hAnsi="Arial Narrow"/>
          <w:sz w:val="20"/>
          <w:szCs w:val="20"/>
        </w:rPr>
        <w:t xml:space="preserve"> = confidence interval; </w:t>
      </w:r>
      <w:r w:rsidRPr="00AB3C15">
        <w:rPr>
          <w:rFonts w:ascii="Arial Narrow" w:hAnsi="Arial Narrow"/>
          <w:sz w:val="20"/>
          <w:szCs w:val="20"/>
        </w:rPr>
        <w:t xml:space="preserve">OMT = </w:t>
      </w:r>
      <w:r w:rsidRPr="00AB3C15">
        <w:rPr>
          <w:rStyle w:val="TablenotesChar0"/>
        </w:rPr>
        <w:t>optimal medical treatment</w:t>
      </w:r>
      <w:r>
        <w:rPr>
          <w:rStyle w:val="TablenotesChar0"/>
        </w:rPr>
        <w:t>; RR = relative risk</w:t>
      </w:r>
    </w:p>
    <w:p w14:paraId="730D5D74" w14:textId="1DC40B25" w:rsidR="007B1EC2" w:rsidRDefault="007B1EC2" w:rsidP="004C79C1">
      <w:pPr>
        <w:spacing w:after="120" w:line="240" w:lineRule="auto"/>
      </w:pPr>
      <w:r>
        <w:br w:type="page"/>
      </w:r>
    </w:p>
    <w:p w14:paraId="09727209" w14:textId="2F6E02AA" w:rsidR="009A57D1" w:rsidRDefault="009A57D1" w:rsidP="004C79C1">
      <w:pPr>
        <w:pStyle w:val="Heading2"/>
        <w:spacing w:before="0" w:after="120" w:line="240" w:lineRule="auto"/>
      </w:pPr>
      <w:bookmarkStart w:id="913" w:name="_Toc451501433"/>
      <w:r>
        <w:lastRenderedPageBreak/>
        <w:t xml:space="preserve">Comparison between ICDs plus OMT vs OMT alone in </w:t>
      </w:r>
      <w:r w:rsidR="00C43400">
        <w:t>P</w:t>
      </w:r>
      <w:r>
        <w:t>atients with NIDCM</w:t>
      </w:r>
      <w:bookmarkEnd w:id="913"/>
    </w:p>
    <w:p w14:paraId="55D89A5F" w14:textId="77777777" w:rsidR="009A57D1" w:rsidRDefault="00803845" w:rsidP="004C79C1">
      <w:pPr>
        <w:keepNext/>
        <w:spacing w:after="120" w:line="240" w:lineRule="auto"/>
      </w:pPr>
      <w:r>
        <w:rPr>
          <w:noProof/>
        </w:rPr>
        <w:drawing>
          <wp:inline distT="0" distB="0" distL="0" distR="0" wp14:anchorId="6286D379" wp14:editId="605E0BAF">
            <wp:extent cx="8239125" cy="3013590"/>
            <wp:effectExtent l="0" t="0" r="0" b="0"/>
            <wp:docPr id="7" name="Picture 7" title="All-cause mortality from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85192" cy="3030440"/>
                    </a:xfrm>
                    <a:prstGeom prst="rect">
                      <a:avLst/>
                    </a:prstGeom>
                    <a:noFill/>
                  </pic:spPr>
                </pic:pic>
              </a:graphicData>
            </a:graphic>
          </wp:inline>
        </w:drawing>
      </w:r>
    </w:p>
    <w:p w14:paraId="111B7E13" w14:textId="27934E0B" w:rsidR="00803845" w:rsidRDefault="00050936" w:rsidP="004C79C1">
      <w:pPr>
        <w:pStyle w:val="Caption"/>
      </w:pPr>
      <w:bookmarkStart w:id="914" w:name="_Toc324410283"/>
      <w:bookmarkStart w:id="915" w:name="_Toc451435487"/>
      <w:r>
        <w:t xml:space="preserve">Figure </w:t>
      </w:r>
      <w:r w:rsidR="00161B88">
        <w:fldChar w:fldCharType="begin"/>
      </w:r>
      <w:r w:rsidR="00161B88">
        <w:instrText xml:space="preserve"> SEQ Figure \* ARABIC </w:instrText>
      </w:r>
      <w:r w:rsidR="00161B88">
        <w:fldChar w:fldCharType="separate"/>
      </w:r>
      <w:proofErr w:type="gramStart"/>
      <w:r>
        <w:rPr>
          <w:noProof/>
        </w:rPr>
        <w:t>41</w:t>
      </w:r>
      <w:r w:rsidR="00161B88">
        <w:rPr>
          <w:noProof/>
        </w:rPr>
        <w:fldChar w:fldCharType="end"/>
      </w:r>
      <w:r w:rsidR="009A57D1">
        <w:tab/>
        <w:t>All-cause mortality from ICD plus OMT vs OMT alone</w:t>
      </w:r>
      <w:bookmarkEnd w:id="914"/>
      <w:bookmarkEnd w:id="915"/>
      <w:proofErr w:type="gramEnd"/>
    </w:p>
    <w:p w14:paraId="01AE7B33" w14:textId="3FCD3214" w:rsidR="003E0656" w:rsidRPr="00D32A60" w:rsidRDefault="00C34858" w:rsidP="004C79C1">
      <w:pPr>
        <w:spacing w:after="120" w:line="240" w:lineRule="auto"/>
        <w:jc w:val="both"/>
        <w:rPr>
          <w:rFonts w:ascii="Arial Narrow" w:hAnsi="Arial Narrow"/>
          <w:sz w:val="20"/>
          <w:szCs w:val="20"/>
        </w:rPr>
      </w:pPr>
      <w:r w:rsidRPr="00D32A60">
        <w:rPr>
          <w:rFonts w:ascii="Arial Narrow" w:hAnsi="Arial Narrow"/>
          <w:sz w:val="20"/>
          <w:szCs w:val="20"/>
        </w:rPr>
        <w:t xml:space="preserve">AMIOVIRT = </w:t>
      </w:r>
      <w:r w:rsidR="00A92F71" w:rsidRPr="00B2377A">
        <w:rPr>
          <w:rStyle w:val="st"/>
          <w:rFonts w:ascii="Arial Narrow" w:hAnsi="Arial Narrow"/>
          <w:sz w:val="20"/>
          <w:szCs w:val="20"/>
        </w:rPr>
        <w:t>Amiodarone versus Implantable Defibrillator (study)</w:t>
      </w:r>
      <w:r w:rsidRPr="00D32A60">
        <w:rPr>
          <w:rFonts w:ascii="Arial Narrow" w:hAnsi="Arial Narrow"/>
          <w:sz w:val="20"/>
          <w:szCs w:val="20"/>
        </w:rPr>
        <w:t xml:space="preserve">; CAT = </w:t>
      </w:r>
      <w:r w:rsidR="000614AB" w:rsidRPr="00B2377A">
        <w:rPr>
          <w:rStyle w:val="st"/>
          <w:rFonts w:ascii="Arial Narrow" w:hAnsi="Arial Narrow"/>
          <w:sz w:val="20"/>
          <w:szCs w:val="20"/>
        </w:rPr>
        <w:t>Cardiomyopathy Trial</w:t>
      </w:r>
      <w:r w:rsidRPr="00D32A60">
        <w:rPr>
          <w:rFonts w:ascii="Arial Narrow" w:hAnsi="Arial Narrow"/>
          <w:sz w:val="20"/>
          <w:szCs w:val="20"/>
        </w:rPr>
        <w:t xml:space="preserve">; </w:t>
      </w:r>
      <w:r w:rsidR="004F4D26" w:rsidRPr="00D32A60">
        <w:rPr>
          <w:rFonts w:ascii="Arial Narrow" w:hAnsi="Arial Narrow"/>
          <w:sz w:val="20"/>
          <w:szCs w:val="20"/>
        </w:rPr>
        <w:t xml:space="preserve">CI = confidence interval; </w:t>
      </w:r>
      <w:r w:rsidRPr="00D32A60">
        <w:rPr>
          <w:rFonts w:ascii="Arial Narrow" w:hAnsi="Arial Narrow"/>
          <w:sz w:val="20"/>
          <w:szCs w:val="20"/>
        </w:rPr>
        <w:t xml:space="preserve">DEFINITE = </w:t>
      </w:r>
      <w:r w:rsidR="00D16012" w:rsidRPr="00B2377A">
        <w:rPr>
          <w:rStyle w:val="st"/>
          <w:rFonts w:ascii="Arial Narrow" w:hAnsi="Arial Narrow"/>
          <w:sz w:val="20"/>
          <w:szCs w:val="20"/>
        </w:rPr>
        <w:t>Defibrillators in Non-Ischemic Cardiomyopathy Treatment Evaluation (trial)</w:t>
      </w:r>
      <w:r w:rsidRPr="00D32A60">
        <w:rPr>
          <w:rFonts w:ascii="Arial Narrow" w:hAnsi="Arial Narrow"/>
          <w:sz w:val="20"/>
          <w:szCs w:val="20"/>
        </w:rPr>
        <w:t xml:space="preserve">; </w:t>
      </w:r>
      <w:r w:rsidR="003E0656" w:rsidRPr="00D32A60">
        <w:rPr>
          <w:rFonts w:ascii="Arial Narrow" w:hAnsi="Arial Narrow"/>
          <w:sz w:val="20"/>
          <w:szCs w:val="20"/>
        </w:rPr>
        <w:t xml:space="preserve">ICD = </w:t>
      </w:r>
      <w:r w:rsidR="003E0656" w:rsidRPr="000A6658">
        <w:rPr>
          <w:rStyle w:val="TablenotesChar0"/>
        </w:rPr>
        <w:t>implantable cardioverter defibrillator</w:t>
      </w:r>
      <w:r w:rsidR="003E0656" w:rsidRPr="00D32A60">
        <w:rPr>
          <w:rFonts w:ascii="Arial Narrow" w:hAnsi="Arial Narrow"/>
          <w:sz w:val="20"/>
          <w:szCs w:val="20"/>
        </w:rPr>
        <w:t xml:space="preserve">; </w:t>
      </w:r>
      <w:r w:rsidR="004D1486" w:rsidRPr="00D32A60">
        <w:rPr>
          <w:rFonts w:ascii="Arial Narrow" w:hAnsi="Arial Narrow"/>
          <w:sz w:val="20"/>
          <w:szCs w:val="20"/>
        </w:rPr>
        <w:t xml:space="preserve">N = number of patients; </w:t>
      </w:r>
      <w:r w:rsidR="003E0656" w:rsidRPr="00D32A60">
        <w:rPr>
          <w:rFonts w:ascii="Arial Narrow" w:hAnsi="Arial Narrow"/>
          <w:sz w:val="20"/>
          <w:szCs w:val="20"/>
        </w:rPr>
        <w:t xml:space="preserve">NIDCM = </w:t>
      </w:r>
      <w:r w:rsidR="003E0656" w:rsidRPr="000A6658">
        <w:rPr>
          <w:rStyle w:val="TablenotesChar0"/>
        </w:rPr>
        <w:t>non-ischaemic dilated cardiomyopathy</w:t>
      </w:r>
      <w:r w:rsidR="003E0656" w:rsidRPr="00D32A60">
        <w:rPr>
          <w:rFonts w:ascii="Arial Narrow" w:hAnsi="Arial Narrow"/>
          <w:sz w:val="20"/>
          <w:szCs w:val="20"/>
        </w:rPr>
        <w:t xml:space="preserve">; OMT = </w:t>
      </w:r>
      <w:r w:rsidR="003E0656" w:rsidRPr="00D32A60">
        <w:rPr>
          <w:rStyle w:val="TablenotesChar0"/>
        </w:rPr>
        <w:t>optimal medical treatment; RR = relative risk</w:t>
      </w:r>
      <w:r w:rsidR="00F4797C" w:rsidRPr="00D32A60">
        <w:rPr>
          <w:rStyle w:val="TablenotesChar0"/>
        </w:rPr>
        <w:t>; SCD-He</w:t>
      </w:r>
      <w:r w:rsidR="003F2C51" w:rsidRPr="00D32A60">
        <w:rPr>
          <w:rStyle w:val="TablenotesChar0"/>
        </w:rPr>
        <w:t xml:space="preserve">FT = </w:t>
      </w:r>
      <w:r w:rsidR="003F2C51" w:rsidRPr="00B2377A">
        <w:rPr>
          <w:rStyle w:val="st"/>
          <w:rFonts w:ascii="Arial Narrow" w:hAnsi="Arial Narrow"/>
          <w:sz w:val="20"/>
          <w:szCs w:val="20"/>
        </w:rPr>
        <w:t>Sudden Cardiac Death in Heart Failure Trial</w:t>
      </w:r>
    </w:p>
    <w:p w14:paraId="0F4108C4" w14:textId="77777777" w:rsidR="00803845" w:rsidRDefault="00803845" w:rsidP="004C79C1">
      <w:pPr>
        <w:spacing w:after="120" w:line="240" w:lineRule="auto"/>
      </w:pPr>
      <w:r>
        <w:br w:type="page"/>
      </w:r>
    </w:p>
    <w:p w14:paraId="58586C7A" w14:textId="77777777" w:rsidR="009A57D1" w:rsidRDefault="00803845" w:rsidP="004C79C1">
      <w:pPr>
        <w:keepNext/>
        <w:tabs>
          <w:tab w:val="left" w:pos="2268"/>
        </w:tabs>
        <w:spacing w:after="120" w:line="240" w:lineRule="auto"/>
      </w:pPr>
      <w:r>
        <w:rPr>
          <w:noProof/>
        </w:rPr>
        <w:lastRenderedPageBreak/>
        <w:drawing>
          <wp:inline distT="0" distB="0" distL="0" distR="0" wp14:anchorId="61513DC8" wp14:editId="665E729B">
            <wp:extent cx="6596253" cy="2309113"/>
            <wp:effectExtent l="0" t="0" r="0" b="0"/>
            <wp:docPr id="16" name="Picture 16" title="Cardiac deaths after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10441" cy="2314080"/>
                    </a:xfrm>
                    <a:prstGeom prst="rect">
                      <a:avLst/>
                    </a:prstGeom>
                    <a:noFill/>
                  </pic:spPr>
                </pic:pic>
              </a:graphicData>
            </a:graphic>
          </wp:inline>
        </w:drawing>
      </w:r>
    </w:p>
    <w:p w14:paraId="7C3078E1" w14:textId="47564C75" w:rsidR="00803845" w:rsidRDefault="009A57D1" w:rsidP="004C79C1">
      <w:pPr>
        <w:pStyle w:val="Caption"/>
      </w:pPr>
      <w:bookmarkStart w:id="916" w:name="_Toc324410284"/>
      <w:bookmarkStart w:id="917" w:name="_Toc451435488"/>
      <w:r>
        <w:t xml:space="preserve">Figure </w:t>
      </w:r>
      <w:fldSimple w:instr=" SEQ Figure \* ARABIC ">
        <w:r w:rsidR="00050936">
          <w:rPr>
            <w:noProof/>
          </w:rPr>
          <w:t>42</w:t>
        </w:r>
      </w:fldSimple>
      <w:r>
        <w:tab/>
        <w:t>Cardiac deaths after ICD plus OMT vs OMT alone</w:t>
      </w:r>
      <w:bookmarkEnd w:id="916"/>
      <w:bookmarkEnd w:id="917"/>
    </w:p>
    <w:p w14:paraId="53BE4A51" w14:textId="417229C9" w:rsidR="003A1DCF" w:rsidRPr="00D32A60" w:rsidRDefault="00257A35" w:rsidP="004C79C1">
      <w:pPr>
        <w:spacing w:after="120" w:line="240" w:lineRule="auto"/>
        <w:jc w:val="both"/>
        <w:rPr>
          <w:rFonts w:ascii="Arial Narrow" w:hAnsi="Arial Narrow"/>
          <w:sz w:val="20"/>
          <w:szCs w:val="20"/>
        </w:rPr>
      </w:pPr>
      <w:r w:rsidRPr="00A84219">
        <w:rPr>
          <w:rFonts w:ascii="Arial Narrow" w:hAnsi="Arial Narrow"/>
          <w:sz w:val="20"/>
          <w:szCs w:val="20"/>
        </w:rPr>
        <w:t xml:space="preserve">AMIOVIRT = </w:t>
      </w:r>
      <w:r w:rsidRPr="00A84219">
        <w:rPr>
          <w:rStyle w:val="st"/>
          <w:rFonts w:ascii="Arial Narrow" w:hAnsi="Arial Narrow"/>
          <w:sz w:val="20"/>
          <w:szCs w:val="20"/>
        </w:rPr>
        <w:t>Amiodarone versus Implantable Defibrillator (study)</w:t>
      </w:r>
      <w:r w:rsidRPr="00A84219">
        <w:rPr>
          <w:rFonts w:ascii="Arial Narrow" w:hAnsi="Arial Narrow"/>
          <w:sz w:val="20"/>
          <w:szCs w:val="20"/>
        </w:rPr>
        <w:t xml:space="preserve">; CAT = </w:t>
      </w:r>
      <w:r w:rsidRPr="00A84219">
        <w:rPr>
          <w:rStyle w:val="st"/>
          <w:rFonts w:ascii="Arial Narrow" w:hAnsi="Arial Narrow"/>
          <w:sz w:val="20"/>
          <w:szCs w:val="20"/>
        </w:rPr>
        <w:t>Cardiomyopathy Trial</w:t>
      </w:r>
      <w:r w:rsidRPr="00A84219">
        <w:rPr>
          <w:rFonts w:ascii="Arial Narrow" w:hAnsi="Arial Narrow"/>
          <w:sz w:val="20"/>
          <w:szCs w:val="20"/>
        </w:rPr>
        <w:t xml:space="preserve">; CI = confidence interval; DEFINITE = </w:t>
      </w:r>
      <w:r w:rsidRPr="00A84219">
        <w:rPr>
          <w:rStyle w:val="st"/>
          <w:rFonts w:ascii="Arial Narrow" w:hAnsi="Arial Narrow"/>
          <w:sz w:val="20"/>
          <w:szCs w:val="20"/>
        </w:rPr>
        <w:t xml:space="preserve">Defibrillators in Non-Ischemic Cardiomyopathy Treatment </w:t>
      </w:r>
      <w:r w:rsidRPr="00D32A60">
        <w:rPr>
          <w:rStyle w:val="st"/>
          <w:rFonts w:ascii="Arial Narrow" w:hAnsi="Arial Narrow"/>
          <w:sz w:val="20"/>
          <w:szCs w:val="20"/>
        </w:rPr>
        <w:t>Evaluation (trial)</w:t>
      </w:r>
      <w:r w:rsidRPr="00D32A60">
        <w:rPr>
          <w:rFonts w:ascii="Arial Narrow" w:hAnsi="Arial Narrow"/>
          <w:sz w:val="20"/>
          <w:szCs w:val="20"/>
        </w:rPr>
        <w:t>;</w:t>
      </w:r>
      <w:r w:rsidR="00E137A8" w:rsidRPr="00D32A60">
        <w:rPr>
          <w:rFonts w:ascii="Arial Narrow" w:hAnsi="Arial Narrow"/>
          <w:sz w:val="20"/>
          <w:szCs w:val="20"/>
        </w:rPr>
        <w:t xml:space="preserve"> </w:t>
      </w:r>
      <w:r w:rsidR="003A1DCF" w:rsidRPr="00D32A60">
        <w:rPr>
          <w:rFonts w:ascii="Arial Narrow" w:hAnsi="Arial Narrow"/>
          <w:sz w:val="20"/>
          <w:szCs w:val="20"/>
        </w:rPr>
        <w:t xml:space="preserve">ICD = </w:t>
      </w:r>
      <w:r w:rsidR="003A1DCF" w:rsidRPr="00257A35">
        <w:rPr>
          <w:rStyle w:val="TablenotesChar0"/>
        </w:rPr>
        <w:t>implantable cardioverter defibrillator</w:t>
      </w:r>
      <w:r w:rsidR="003A1DCF" w:rsidRPr="00D32A60">
        <w:rPr>
          <w:rFonts w:ascii="Arial Narrow" w:hAnsi="Arial Narrow"/>
          <w:sz w:val="20"/>
          <w:szCs w:val="20"/>
        </w:rPr>
        <w:t xml:space="preserve">; </w:t>
      </w:r>
      <w:r w:rsidR="00E137A8" w:rsidRPr="00D32A60">
        <w:rPr>
          <w:rFonts w:ascii="Arial Narrow" w:hAnsi="Arial Narrow"/>
          <w:sz w:val="20"/>
          <w:szCs w:val="20"/>
        </w:rPr>
        <w:t xml:space="preserve">N = number of patients; </w:t>
      </w:r>
      <w:r w:rsidR="003A1DCF" w:rsidRPr="00D32A60">
        <w:rPr>
          <w:rFonts w:ascii="Arial Narrow" w:hAnsi="Arial Narrow"/>
          <w:sz w:val="20"/>
          <w:szCs w:val="20"/>
        </w:rPr>
        <w:t xml:space="preserve">OMT = </w:t>
      </w:r>
      <w:r w:rsidR="003A1DCF" w:rsidRPr="00D32A60">
        <w:rPr>
          <w:rStyle w:val="TablenotesChar0"/>
        </w:rPr>
        <w:t>optimal medical treatment; RR = relative risk</w:t>
      </w:r>
    </w:p>
    <w:p w14:paraId="0880E42D" w14:textId="77777777" w:rsidR="003A1DCF" w:rsidRPr="004E01EF" w:rsidRDefault="003A1DCF" w:rsidP="004C79C1">
      <w:pPr>
        <w:spacing w:after="120" w:line="240" w:lineRule="auto"/>
      </w:pPr>
    </w:p>
    <w:p w14:paraId="2EB6CBD4" w14:textId="77777777" w:rsidR="006B3597" w:rsidRPr="006B3597" w:rsidRDefault="006B3597" w:rsidP="004C79C1">
      <w:pPr>
        <w:spacing w:after="120" w:line="240" w:lineRule="auto"/>
      </w:pPr>
    </w:p>
    <w:p w14:paraId="62DF264B" w14:textId="77777777" w:rsidR="009A57D1" w:rsidRDefault="00803845" w:rsidP="004C79C1">
      <w:pPr>
        <w:keepNext/>
        <w:spacing w:after="120" w:line="240" w:lineRule="auto"/>
      </w:pPr>
      <w:r>
        <w:rPr>
          <w:noProof/>
        </w:rPr>
        <w:lastRenderedPageBreak/>
        <w:drawing>
          <wp:inline distT="0" distB="0" distL="0" distR="0" wp14:anchorId="3A9AC996" wp14:editId="17DFAA2C">
            <wp:extent cx="6719646" cy="2262156"/>
            <wp:effectExtent l="0" t="0" r="5080" b="5080"/>
            <wp:docPr id="24" name="Picture 24" title="Cardiac transplantation after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32064" cy="2266337"/>
                    </a:xfrm>
                    <a:prstGeom prst="rect">
                      <a:avLst/>
                    </a:prstGeom>
                    <a:noFill/>
                  </pic:spPr>
                </pic:pic>
              </a:graphicData>
            </a:graphic>
          </wp:inline>
        </w:drawing>
      </w:r>
    </w:p>
    <w:p w14:paraId="3CF6C281" w14:textId="3D7BE2ED" w:rsidR="00803845" w:rsidRDefault="009A57D1" w:rsidP="004C79C1">
      <w:pPr>
        <w:pStyle w:val="Caption"/>
      </w:pPr>
      <w:bookmarkStart w:id="918" w:name="_Toc324410285"/>
      <w:bookmarkStart w:id="919" w:name="_Toc451435489"/>
      <w:r>
        <w:t xml:space="preserve">Figure </w:t>
      </w:r>
      <w:r w:rsidR="00161B88">
        <w:fldChar w:fldCharType="begin"/>
      </w:r>
      <w:r w:rsidR="00161B88">
        <w:instrText xml:space="preserve"> SEQ Figure \* ARABIC </w:instrText>
      </w:r>
      <w:r w:rsidR="00161B88">
        <w:fldChar w:fldCharType="separate"/>
      </w:r>
      <w:proofErr w:type="gramStart"/>
      <w:r w:rsidR="00050936">
        <w:rPr>
          <w:noProof/>
        </w:rPr>
        <w:t>43</w:t>
      </w:r>
      <w:r w:rsidR="00161B88">
        <w:rPr>
          <w:noProof/>
        </w:rPr>
        <w:fldChar w:fldCharType="end"/>
      </w:r>
      <w:r>
        <w:tab/>
        <w:t>Cardiac transplantation</w:t>
      </w:r>
      <w:proofErr w:type="gramEnd"/>
      <w:r>
        <w:t xml:space="preserve"> after ICD plus OMT vs OMT alone</w:t>
      </w:r>
      <w:bookmarkEnd w:id="918"/>
      <w:bookmarkEnd w:id="919"/>
    </w:p>
    <w:p w14:paraId="359F531F" w14:textId="65F9BCBA" w:rsidR="003A1DCF" w:rsidRPr="00D32A60" w:rsidRDefault="00257A35" w:rsidP="004C79C1">
      <w:pPr>
        <w:spacing w:after="120" w:line="240" w:lineRule="auto"/>
        <w:jc w:val="both"/>
        <w:rPr>
          <w:rFonts w:ascii="Arial Narrow" w:hAnsi="Arial Narrow"/>
          <w:sz w:val="20"/>
          <w:szCs w:val="20"/>
        </w:rPr>
      </w:pPr>
      <w:r w:rsidRPr="00D32A60">
        <w:rPr>
          <w:rFonts w:ascii="Arial Narrow" w:hAnsi="Arial Narrow"/>
          <w:sz w:val="20"/>
          <w:szCs w:val="20"/>
        </w:rPr>
        <w:t xml:space="preserve">AMIOVIRT = </w:t>
      </w:r>
      <w:r w:rsidRPr="00D32A60">
        <w:rPr>
          <w:rStyle w:val="st"/>
          <w:rFonts w:ascii="Arial Narrow" w:hAnsi="Arial Narrow"/>
          <w:sz w:val="20"/>
          <w:szCs w:val="20"/>
        </w:rPr>
        <w:t>Amiodarone versus Implantable Defibrillator (study)</w:t>
      </w:r>
      <w:r w:rsidRPr="00D32A60">
        <w:rPr>
          <w:rFonts w:ascii="Arial Narrow" w:hAnsi="Arial Narrow"/>
          <w:sz w:val="20"/>
          <w:szCs w:val="20"/>
        </w:rPr>
        <w:t xml:space="preserve">; CAT = </w:t>
      </w:r>
      <w:r w:rsidRPr="00D32A60">
        <w:rPr>
          <w:rStyle w:val="st"/>
          <w:rFonts w:ascii="Arial Narrow" w:hAnsi="Arial Narrow"/>
          <w:sz w:val="20"/>
          <w:szCs w:val="20"/>
        </w:rPr>
        <w:t>Cardiomyopathy Trial</w:t>
      </w:r>
      <w:r w:rsidRPr="00D32A60">
        <w:rPr>
          <w:rFonts w:ascii="Arial Narrow" w:hAnsi="Arial Narrow"/>
          <w:sz w:val="20"/>
          <w:szCs w:val="20"/>
        </w:rPr>
        <w:t xml:space="preserve">; </w:t>
      </w:r>
      <w:r w:rsidR="003B1C12" w:rsidRPr="00D32A60">
        <w:rPr>
          <w:rFonts w:ascii="Arial Narrow" w:hAnsi="Arial Narrow"/>
          <w:sz w:val="20"/>
          <w:szCs w:val="20"/>
        </w:rPr>
        <w:t xml:space="preserve">CI = confidence interval; </w:t>
      </w:r>
      <w:r w:rsidR="003A1DCF" w:rsidRPr="00D32A60">
        <w:rPr>
          <w:rFonts w:ascii="Arial Narrow" w:hAnsi="Arial Narrow"/>
          <w:sz w:val="20"/>
          <w:szCs w:val="20"/>
        </w:rPr>
        <w:t xml:space="preserve">ICD = </w:t>
      </w:r>
      <w:r w:rsidR="003A1DCF" w:rsidRPr="00D32A60">
        <w:rPr>
          <w:rStyle w:val="TablenotesChar0"/>
        </w:rPr>
        <w:t>implantable cardioverter defibrillator</w:t>
      </w:r>
      <w:r w:rsidR="003A1DCF" w:rsidRPr="00D32A60">
        <w:rPr>
          <w:rFonts w:ascii="Arial Narrow" w:hAnsi="Arial Narrow"/>
          <w:sz w:val="20"/>
          <w:szCs w:val="20"/>
        </w:rPr>
        <w:t>;</w:t>
      </w:r>
      <w:r w:rsidR="003B1C12" w:rsidRPr="00D32A60">
        <w:rPr>
          <w:rFonts w:ascii="Arial Narrow" w:hAnsi="Arial Narrow"/>
          <w:sz w:val="20"/>
          <w:szCs w:val="20"/>
        </w:rPr>
        <w:t xml:space="preserve"> N = number of patients;</w:t>
      </w:r>
      <w:r w:rsidR="003A1DCF" w:rsidRPr="00D32A60">
        <w:rPr>
          <w:rFonts w:ascii="Arial Narrow" w:hAnsi="Arial Narrow"/>
          <w:sz w:val="20"/>
          <w:szCs w:val="20"/>
        </w:rPr>
        <w:t xml:space="preserve"> OMT = </w:t>
      </w:r>
      <w:r w:rsidR="003A1DCF" w:rsidRPr="00D32A60">
        <w:rPr>
          <w:rStyle w:val="TablenotesChar0"/>
        </w:rPr>
        <w:t>optimal medical treatment; RR = relative risk</w:t>
      </w:r>
    </w:p>
    <w:p w14:paraId="202B3BBC" w14:textId="77777777" w:rsidR="003A1DCF" w:rsidRPr="004E01EF" w:rsidRDefault="003A1DCF" w:rsidP="004C79C1">
      <w:pPr>
        <w:spacing w:after="120" w:line="240" w:lineRule="auto"/>
      </w:pPr>
    </w:p>
    <w:p w14:paraId="4E717C48" w14:textId="77777777" w:rsidR="009A57D1" w:rsidRDefault="00803845" w:rsidP="004C79C1">
      <w:pPr>
        <w:keepNext/>
        <w:spacing w:after="120" w:line="240" w:lineRule="auto"/>
      </w:pPr>
      <w:r>
        <w:rPr>
          <w:noProof/>
        </w:rPr>
        <w:lastRenderedPageBreak/>
        <w:drawing>
          <wp:inline distT="0" distB="0" distL="0" distR="0" wp14:anchorId="74377BDC" wp14:editId="43E93CAC">
            <wp:extent cx="6662090" cy="2381890"/>
            <wp:effectExtent l="0" t="0" r="5715" b="0"/>
            <wp:docPr id="29" name="Picture 29" title="Sudden cardiac deaths after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92464" cy="2392750"/>
                    </a:xfrm>
                    <a:prstGeom prst="rect">
                      <a:avLst/>
                    </a:prstGeom>
                    <a:noFill/>
                  </pic:spPr>
                </pic:pic>
              </a:graphicData>
            </a:graphic>
          </wp:inline>
        </w:drawing>
      </w:r>
    </w:p>
    <w:p w14:paraId="028896E4" w14:textId="5DE47DEC" w:rsidR="00803845" w:rsidRDefault="009A57D1" w:rsidP="004C79C1">
      <w:pPr>
        <w:pStyle w:val="Caption"/>
      </w:pPr>
      <w:bookmarkStart w:id="920" w:name="_Toc324410286"/>
      <w:bookmarkStart w:id="921" w:name="_Toc451435490"/>
      <w:r>
        <w:t xml:space="preserve">Figure </w:t>
      </w:r>
      <w:fldSimple w:instr=" SEQ Figure \* ARABIC ">
        <w:r w:rsidR="00050936">
          <w:rPr>
            <w:noProof/>
          </w:rPr>
          <w:t>44</w:t>
        </w:r>
      </w:fldSimple>
      <w:r>
        <w:tab/>
        <w:t xml:space="preserve"> Sudden cardiac deaths after ICD plus OMT vs OMT alone</w:t>
      </w:r>
      <w:bookmarkEnd w:id="920"/>
      <w:bookmarkEnd w:id="921"/>
    </w:p>
    <w:p w14:paraId="6CB64CE9" w14:textId="6F811C22" w:rsidR="00442CBF" w:rsidRPr="00D32A60" w:rsidRDefault="00257A35" w:rsidP="004C79C1">
      <w:pPr>
        <w:pStyle w:val="Tablenotes0"/>
        <w:spacing w:before="0" w:after="120"/>
      </w:pPr>
      <w:r w:rsidRPr="00D32A60">
        <w:t xml:space="preserve">AMIOVIRT = </w:t>
      </w:r>
      <w:r w:rsidRPr="00D32A60">
        <w:rPr>
          <w:rStyle w:val="st"/>
        </w:rPr>
        <w:t>Amiodarone versus Implantable Defibrillator (study)</w:t>
      </w:r>
      <w:r w:rsidRPr="00D32A60">
        <w:t xml:space="preserve">; CAT = </w:t>
      </w:r>
      <w:r w:rsidRPr="00D32A60">
        <w:rPr>
          <w:rStyle w:val="st"/>
        </w:rPr>
        <w:t>Cardiomyopathy Trial</w:t>
      </w:r>
      <w:r w:rsidRPr="00D32A60">
        <w:t xml:space="preserve">; CI = confidence interval; DEFINITE = </w:t>
      </w:r>
      <w:r w:rsidRPr="00D32A60">
        <w:rPr>
          <w:rStyle w:val="st"/>
        </w:rPr>
        <w:t>Defibrillators in Non-Ischemic Cardiomyopathy Treatment Evaluation (trial)</w:t>
      </w:r>
      <w:r w:rsidRPr="00D32A60">
        <w:t>;</w:t>
      </w:r>
      <w:r w:rsidR="0024525A" w:rsidRPr="00D32A60">
        <w:t xml:space="preserve"> </w:t>
      </w:r>
      <w:r w:rsidR="00442CBF" w:rsidRPr="00D32A60">
        <w:t xml:space="preserve">ICD = </w:t>
      </w:r>
      <w:r w:rsidR="00442CBF" w:rsidRPr="00B2377A">
        <w:t>implantable cardioverter defibrillator</w:t>
      </w:r>
      <w:r w:rsidR="00442CBF" w:rsidRPr="00D32A60">
        <w:t xml:space="preserve">; </w:t>
      </w:r>
      <w:r w:rsidR="0024525A" w:rsidRPr="00D32A60">
        <w:t xml:space="preserve">N = number of patients; </w:t>
      </w:r>
      <w:r w:rsidR="00442CBF" w:rsidRPr="00D32A60">
        <w:t xml:space="preserve">OMT = </w:t>
      </w:r>
      <w:r w:rsidR="00442CBF" w:rsidRPr="00B2377A">
        <w:t>optimal medical treatment; RR = relative risk</w:t>
      </w:r>
    </w:p>
    <w:p w14:paraId="4C50A13A" w14:textId="77777777" w:rsidR="00442CBF" w:rsidRPr="004E01EF" w:rsidRDefault="00442CBF" w:rsidP="004C79C1">
      <w:pPr>
        <w:spacing w:after="120" w:line="240" w:lineRule="auto"/>
      </w:pPr>
    </w:p>
    <w:p w14:paraId="47475BBE" w14:textId="35B64C66" w:rsidR="009A57D1" w:rsidRDefault="00803845" w:rsidP="004C79C1">
      <w:pPr>
        <w:keepNext/>
        <w:spacing w:after="120" w:line="240" w:lineRule="auto"/>
      </w:pPr>
      <w:r>
        <w:rPr>
          <w:noProof/>
        </w:rPr>
        <w:lastRenderedPageBreak/>
        <w:drawing>
          <wp:inline distT="0" distB="0" distL="0" distR="0" wp14:anchorId="49017C37" wp14:editId="4167B3A7">
            <wp:extent cx="6367305" cy="2337317"/>
            <wp:effectExtent l="0" t="0" r="0" b="6350"/>
            <wp:docPr id="30" name="Picture 30" title="Syncope after ICD plus OMT vs OMT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86580" cy="2381101"/>
                    </a:xfrm>
                    <a:prstGeom prst="rect">
                      <a:avLst/>
                    </a:prstGeom>
                    <a:noFill/>
                  </pic:spPr>
                </pic:pic>
              </a:graphicData>
            </a:graphic>
          </wp:inline>
        </w:drawing>
      </w:r>
    </w:p>
    <w:p w14:paraId="2C965EF4" w14:textId="7B1C29A1" w:rsidR="00803845" w:rsidRDefault="009A57D1" w:rsidP="004C79C1">
      <w:pPr>
        <w:pStyle w:val="Caption"/>
      </w:pPr>
      <w:bookmarkStart w:id="922" w:name="_Toc324410287"/>
      <w:bookmarkStart w:id="923" w:name="_Toc451435491"/>
      <w:r>
        <w:t xml:space="preserve">Figure </w:t>
      </w:r>
      <w:fldSimple w:instr=" SEQ Figure \* ARABIC ">
        <w:r w:rsidR="00050936">
          <w:rPr>
            <w:noProof/>
          </w:rPr>
          <w:t>45</w:t>
        </w:r>
      </w:fldSimple>
      <w:r>
        <w:tab/>
        <w:t>Syncope after ICD plus OMT vs OMT alone</w:t>
      </w:r>
      <w:bookmarkEnd w:id="922"/>
      <w:bookmarkEnd w:id="923"/>
    </w:p>
    <w:p w14:paraId="3D7245DF" w14:textId="288D9CD4" w:rsidR="00442CBF" w:rsidRPr="00D32A60" w:rsidRDefault="00D32A60" w:rsidP="004C79C1">
      <w:pPr>
        <w:pStyle w:val="Tablenotes0"/>
        <w:spacing w:before="0" w:after="120"/>
      </w:pPr>
      <w:r w:rsidRPr="00D32A60">
        <w:t xml:space="preserve">AMIOVIRT = </w:t>
      </w:r>
      <w:r w:rsidRPr="00D32A60">
        <w:rPr>
          <w:rStyle w:val="st"/>
        </w:rPr>
        <w:t>Amiodarone versus Implantable Defibrillator (study)</w:t>
      </w:r>
      <w:r w:rsidRPr="00D32A60">
        <w:t xml:space="preserve">; CI = confidence interval; DEFINITE = </w:t>
      </w:r>
      <w:r w:rsidRPr="00D32A60">
        <w:rPr>
          <w:rStyle w:val="st"/>
        </w:rPr>
        <w:t>Defibrillators in Non-Ischemic Cardiomyopathy Treatment Evaluation (trial)</w:t>
      </w:r>
      <w:proofErr w:type="gramStart"/>
      <w:r w:rsidRPr="00D32A60">
        <w:t>;</w:t>
      </w:r>
      <w:r w:rsidR="00F66B8C" w:rsidRPr="00D32A60">
        <w:t>CI</w:t>
      </w:r>
      <w:proofErr w:type="gramEnd"/>
      <w:r w:rsidR="00F66B8C" w:rsidRPr="00D32A60">
        <w:t xml:space="preserve"> = confidence interval; </w:t>
      </w:r>
      <w:r w:rsidR="00442CBF" w:rsidRPr="00D32A60">
        <w:t xml:space="preserve">ICD = </w:t>
      </w:r>
      <w:r w:rsidR="00442CBF" w:rsidRPr="00B2377A">
        <w:t>implantable cardioverter defibrillator</w:t>
      </w:r>
      <w:r w:rsidR="00442CBF" w:rsidRPr="00D32A60">
        <w:t xml:space="preserve">; </w:t>
      </w:r>
      <w:r w:rsidR="00F66B8C" w:rsidRPr="00D32A60">
        <w:t xml:space="preserve">N = number of patients; </w:t>
      </w:r>
      <w:r w:rsidR="00442CBF" w:rsidRPr="00D32A60">
        <w:t xml:space="preserve">OMT = </w:t>
      </w:r>
      <w:r w:rsidR="00442CBF" w:rsidRPr="00B2377A">
        <w:t>optimal medical treatment; RR = relative risk</w:t>
      </w:r>
    </w:p>
    <w:p w14:paraId="28B18619" w14:textId="77777777" w:rsidR="00442CBF" w:rsidRPr="004E01EF" w:rsidRDefault="00442CBF" w:rsidP="004C79C1">
      <w:pPr>
        <w:spacing w:after="120" w:line="240" w:lineRule="auto"/>
      </w:pPr>
    </w:p>
    <w:p w14:paraId="3D22A1D5" w14:textId="77777777" w:rsidR="009A57D1" w:rsidRDefault="00803845" w:rsidP="004C79C1">
      <w:pPr>
        <w:keepNext/>
        <w:spacing w:after="120" w:line="240" w:lineRule="auto"/>
      </w:pPr>
      <w:r>
        <w:rPr>
          <w:noProof/>
        </w:rPr>
        <w:lastRenderedPageBreak/>
        <w:drawing>
          <wp:inline distT="0" distB="0" distL="0" distR="0" wp14:anchorId="02605C2E" wp14:editId="0DB537E7">
            <wp:extent cx="6752819" cy="3463572"/>
            <wp:effectExtent l="0" t="0" r="0" b="3810"/>
            <wp:docPr id="31" name="Picture 31" title="Summary of pooled RRs for different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73468" cy="3474163"/>
                    </a:xfrm>
                    <a:prstGeom prst="rect">
                      <a:avLst/>
                    </a:prstGeom>
                    <a:noFill/>
                  </pic:spPr>
                </pic:pic>
              </a:graphicData>
            </a:graphic>
          </wp:inline>
        </w:drawing>
      </w:r>
    </w:p>
    <w:p w14:paraId="775066DB" w14:textId="385E01A9" w:rsidR="00803845" w:rsidRDefault="009A57D1" w:rsidP="004C79C1">
      <w:pPr>
        <w:pStyle w:val="Caption"/>
      </w:pPr>
      <w:bookmarkStart w:id="924" w:name="_Toc324410288"/>
      <w:bookmarkStart w:id="925" w:name="_Toc451435492"/>
      <w:r>
        <w:t xml:space="preserve">Figure </w:t>
      </w:r>
      <w:fldSimple w:instr=" SEQ Figure \* ARABIC ">
        <w:r w:rsidR="00050936">
          <w:rPr>
            <w:noProof/>
          </w:rPr>
          <w:t>46</w:t>
        </w:r>
      </w:fldSimple>
      <w:r>
        <w:tab/>
        <w:t>Summary of pooled RRs for different health outcomes</w:t>
      </w:r>
      <w:bookmarkEnd w:id="924"/>
      <w:bookmarkEnd w:id="925"/>
    </w:p>
    <w:p w14:paraId="7124ADB3" w14:textId="7D596493" w:rsidR="00442CBF" w:rsidRPr="00AB3C15" w:rsidRDefault="00F66B8C" w:rsidP="004C79C1">
      <w:pPr>
        <w:pStyle w:val="Tablenotes0"/>
        <w:spacing w:before="0" w:after="120"/>
      </w:pPr>
      <w:r>
        <w:t xml:space="preserve">CI = confidence interval; </w:t>
      </w:r>
      <w:r w:rsidR="00442CBF">
        <w:t xml:space="preserve">ICD = </w:t>
      </w:r>
      <w:r w:rsidR="00442CBF" w:rsidRPr="00B2377A">
        <w:t>implantable cardioverter defibrillator</w:t>
      </w:r>
      <w:r w:rsidR="00442CBF">
        <w:t xml:space="preserve">; </w:t>
      </w:r>
      <w:r>
        <w:t xml:space="preserve">K = number of events; </w:t>
      </w:r>
      <w:r w:rsidR="00442CBF" w:rsidRPr="00AB3C15">
        <w:t xml:space="preserve">OMT = </w:t>
      </w:r>
      <w:r w:rsidR="00442CBF" w:rsidRPr="00B2377A">
        <w:t>optimal medical treatment; RR = relative risk; SCD = sudden cardiac death</w:t>
      </w:r>
    </w:p>
    <w:p w14:paraId="63EF5F37" w14:textId="77777777" w:rsidR="00442CBF" w:rsidRPr="004E01EF" w:rsidRDefault="00442CBF" w:rsidP="004C79C1">
      <w:pPr>
        <w:spacing w:after="120" w:line="240" w:lineRule="auto"/>
      </w:pPr>
    </w:p>
    <w:p w14:paraId="4E8DFE34" w14:textId="77777777" w:rsidR="009A57D1" w:rsidRPr="009A57D1" w:rsidRDefault="009A57D1" w:rsidP="004C79C1">
      <w:pPr>
        <w:spacing w:after="120" w:line="240" w:lineRule="auto"/>
      </w:pPr>
    </w:p>
    <w:p w14:paraId="5689329A" w14:textId="77777777" w:rsidR="00803845" w:rsidRPr="00803845" w:rsidRDefault="00803845" w:rsidP="004C79C1">
      <w:pPr>
        <w:spacing w:after="120" w:line="240" w:lineRule="auto"/>
        <w:sectPr w:rsidR="00803845" w:rsidRPr="00803845" w:rsidSect="000D1553">
          <w:pgSz w:w="16838" w:h="11906" w:orient="landscape"/>
          <w:pgMar w:top="1440" w:right="1440" w:bottom="1440" w:left="1440" w:header="720" w:footer="720" w:gutter="0"/>
          <w:paperSrc w:first="265" w:other="265"/>
          <w:cols w:space="720"/>
          <w:docGrid w:linePitch="360"/>
        </w:sectPr>
      </w:pPr>
    </w:p>
    <w:p w14:paraId="011EABD3" w14:textId="7CF5B5EC" w:rsidR="00941ED2" w:rsidRDefault="00941ED2" w:rsidP="004C79C1">
      <w:pPr>
        <w:pStyle w:val="Heading1"/>
        <w:spacing w:after="120" w:line="240" w:lineRule="auto"/>
      </w:pPr>
      <w:bookmarkStart w:id="926" w:name="_Ref447108353"/>
      <w:bookmarkStart w:id="927" w:name="_Ref447807347"/>
      <w:bookmarkStart w:id="928" w:name="_Ref447807357"/>
      <w:bookmarkStart w:id="929" w:name="_Ref451426977"/>
      <w:bookmarkStart w:id="930" w:name="_Toc451501434"/>
      <w:r>
        <w:lastRenderedPageBreak/>
        <w:t xml:space="preserve">Appendix </w:t>
      </w:r>
      <w:fldSimple w:instr=" SEQ Appendix \* ALPHABETIC ">
        <w:r w:rsidR="00460601">
          <w:rPr>
            <w:noProof/>
          </w:rPr>
          <w:t>I</w:t>
        </w:r>
      </w:fldSimple>
      <w:bookmarkEnd w:id="926"/>
      <w:r>
        <w:tab/>
        <w:t xml:space="preserve">PICO </w:t>
      </w:r>
      <w:r w:rsidR="007E243B">
        <w:t>C</w:t>
      </w:r>
      <w:r>
        <w:t>riteria</w:t>
      </w:r>
      <w:r w:rsidR="00C851CB">
        <w:t xml:space="preserve"> and </w:t>
      </w:r>
      <w:r w:rsidR="007E243B">
        <w:t>C</w:t>
      </w:r>
      <w:r w:rsidR="00C851CB">
        <w:t xml:space="preserve">linical </w:t>
      </w:r>
      <w:r w:rsidR="007E243B">
        <w:t>M</w:t>
      </w:r>
      <w:r w:rsidR="00C851CB">
        <w:t xml:space="preserve">anagement </w:t>
      </w:r>
      <w:r w:rsidR="007E243B">
        <w:t>A</w:t>
      </w:r>
      <w:r w:rsidR="00C851CB">
        <w:t>lgorithms</w:t>
      </w:r>
      <w:r>
        <w:t xml:space="preserve"> for </w:t>
      </w:r>
      <w:bookmarkEnd w:id="927"/>
      <w:bookmarkEnd w:id="928"/>
      <w:r w:rsidR="007E243B">
        <w:t>P</w:t>
      </w:r>
      <w:r w:rsidR="007A462F">
        <w:t>opulation</w:t>
      </w:r>
      <w:r w:rsidR="00AC7773">
        <w:t>s</w:t>
      </w:r>
      <w:r w:rsidR="007A462F">
        <w:t xml:space="preserve"> </w:t>
      </w:r>
      <w:r w:rsidR="00245C2E">
        <w:t>iii</w:t>
      </w:r>
      <w:r w:rsidR="007A462F">
        <w:t xml:space="preserve"> and </w:t>
      </w:r>
      <w:r w:rsidR="00245C2E">
        <w:t>iv</w:t>
      </w:r>
      <w:bookmarkEnd w:id="929"/>
      <w:bookmarkEnd w:id="930"/>
    </w:p>
    <w:p w14:paraId="727E6365" w14:textId="35C3EA0A" w:rsidR="00941ED2" w:rsidRPr="00183E4D" w:rsidRDefault="00941ED2" w:rsidP="004C79C1">
      <w:pPr>
        <w:pStyle w:val="Caption"/>
      </w:pPr>
      <w:bookmarkStart w:id="931" w:name="_Toc448827359"/>
      <w:bookmarkStart w:id="932" w:name="_Toc324410289"/>
      <w:r>
        <w:t xml:space="preserve">Box </w:t>
      </w:r>
      <w:fldSimple w:instr=" SEQ Box \* ARABIC ">
        <w:r w:rsidR="00050936">
          <w:rPr>
            <w:noProof/>
          </w:rPr>
          <w:t>7</w:t>
        </w:r>
      </w:fldSimple>
      <w:r w:rsidRPr="00183E4D">
        <w:tab/>
        <w:t xml:space="preserve">Criteria for identifying and selecting studies to determine the safety of </w:t>
      </w:r>
      <w:r w:rsidRPr="0069427C">
        <w:t>CMR</w:t>
      </w:r>
      <w:r w:rsidRPr="00183E4D">
        <w:t xml:space="preserve"> in </w:t>
      </w:r>
      <w:r>
        <w:t>asymptomatic individuals with a family history of DCM</w:t>
      </w:r>
      <w:bookmarkEnd w:id="931"/>
      <w:bookmarkEnd w:id="93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1577"/>
        <w:gridCol w:w="3521"/>
        <w:gridCol w:w="3918"/>
      </w:tblGrid>
      <w:tr w:rsidR="00AC7773" w:rsidRPr="00183E4D" w14:paraId="656A4647" w14:textId="77777777" w:rsidTr="00AC7773">
        <w:trPr>
          <w:trHeight w:val="261"/>
        </w:trPr>
        <w:tc>
          <w:tcPr>
            <w:tcW w:w="1577" w:type="dxa"/>
            <w:shd w:val="clear" w:color="auto" w:fill="auto"/>
          </w:tcPr>
          <w:p w14:paraId="75B80AE8" w14:textId="77777777" w:rsidR="00AC7773" w:rsidRPr="00183E4D" w:rsidRDefault="00AC7773" w:rsidP="004C79C1">
            <w:pPr>
              <w:pStyle w:val="Tabletext1"/>
              <w:spacing w:before="0" w:after="120"/>
              <w:rPr>
                <w:b/>
              </w:rPr>
            </w:pPr>
            <w:r w:rsidRPr="00183E4D">
              <w:rPr>
                <w:b/>
              </w:rPr>
              <w:t>Selection criteria</w:t>
            </w:r>
          </w:p>
        </w:tc>
        <w:tc>
          <w:tcPr>
            <w:tcW w:w="7439" w:type="dxa"/>
            <w:gridSpan w:val="2"/>
            <w:shd w:val="clear" w:color="auto" w:fill="auto"/>
          </w:tcPr>
          <w:p w14:paraId="52AF5FC5" w14:textId="77777777" w:rsidR="00AC7773" w:rsidRPr="00183E4D" w:rsidRDefault="00AC7773" w:rsidP="004C79C1">
            <w:pPr>
              <w:pStyle w:val="Tabletext1"/>
              <w:spacing w:before="0" w:after="120"/>
              <w:jc w:val="center"/>
              <w:rPr>
                <w:rFonts w:cs="Arial"/>
                <w:b/>
              </w:rPr>
            </w:pPr>
            <w:r w:rsidRPr="00183E4D">
              <w:rPr>
                <w:rFonts w:cs="Arial"/>
                <w:b/>
              </w:rPr>
              <w:t>Description</w:t>
            </w:r>
          </w:p>
          <w:p w14:paraId="525A187D" w14:textId="37F653FB" w:rsidR="00AC7773" w:rsidRPr="00183E4D" w:rsidRDefault="00AC7773" w:rsidP="004C79C1">
            <w:pPr>
              <w:pStyle w:val="Tabletext1"/>
              <w:spacing w:before="0" w:after="120"/>
              <w:jc w:val="center"/>
              <w:rPr>
                <w:rFonts w:cs="Arial"/>
                <w:b/>
              </w:rPr>
            </w:pPr>
          </w:p>
        </w:tc>
      </w:tr>
      <w:tr w:rsidR="00941ED2" w:rsidRPr="00183E4D" w14:paraId="10C3E2A2" w14:textId="77777777" w:rsidTr="00D71228">
        <w:trPr>
          <w:trHeight w:val="247"/>
        </w:trPr>
        <w:tc>
          <w:tcPr>
            <w:tcW w:w="1577" w:type="dxa"/>
            <w:shd w:val="clear" w:color="auto" w:fill="auto"/>
          </w:tcPr>
          <w:p w14:paraId="39170DF3" w14:textId="77777777" w:rsidR="00941ED2" w:rsidRPr="00183E4D" w:rsidRDefault="00941ED2" w:rsidP="004C79C1">
            <w:pPr>
              <w:pStyle w:val="Tabletext1"/>
              <w:spacing w:before="0" w:after="120"/>
            </w:pPr>
            <w:r w:rsidRPr="00183E4D">
              <w:t>Population</w:t>
            </w:r>
          </w:p>
        </w:tc>
        <w:tc>
          <w:tcPr>
            <w:tcW w:w="3521" w:type="dxa"/>
            <w:tcBorders>
              <w:right w:val="nil"/>
            </w:tcBorders>
            <w:shd w:val="clear" w:color="auto" w:fill="auto"/>
          </w:tcPr>
          <w:p w14:paraId="447EFC4B" w14:textId="3BCE72DF" w:rsidR="00941ED2" w:rsidRPr="00183E4D" w:rsidRDefault="00941ED2" w:rsidP="004C79C1">
            <w:pPr>
              <w:pStyle w:val="Tabletext1"/>
              <w:spacing w:before="0" w:after="120"/>
              <w:rPr>
                <w:rFonts w:cs="Arial"/>
              </w:rPr>
            </w:pPr>
            <w:r w:rsidRPr="00F86259">
              <w:t xml:space="preserve">Asymptomatic individuals with a family history of </w:t>
            </w:r>
            <w:r w:rsidR="003E5EF7">
              <w:t>NIDCM</w:t>
            </w:r>
            <w:r w:rsidRPr="00F86259">
              <w:t xml:space="preserve"> in a first-degree relative in whom </w:t>
            </w:r>
            <w:r>
              <w:t>Echo</w:t>
            </w:r>
            <w:r w:rsidRPr="00F86259">
              <w:t xml:space="preserve"> is inconclusive</w:t>
            </w:r>
          </w:p>
        </w:tc>
        <w:tc>
          <w:tcPr>
            <w:tcW w:w="3918" w:type="dxa"/>
            <w:tcBorders>
              <w:left w:val="nil"/>
            </w:tcBorders>
            <w:shd w:val="clear" w:color="auto" w:fill="auto"/>
          </w:tcPr>
          <w:p w14:paraId="56A19AFE" w14:textId="20E92841" w:rsidR="00941ED2" w:rsidRPr="00183E4D" w:rsidRDefault="00941ED2" w:rsidP="004C79C1">
            <w:pPr>
              <w:pStyle w:val="Tabletext1"/>
              <w:spacing w:before="0" w:after="120"/>
              <w:rPr>
                <w:rFonts w:cs="Arial"/>
              </w:rPr>
            </w:pPr>
            <w:r w:rsidRPr="00F86259">
              <w:t xml:space="preserve">Asymptomatic individuals with a family history of </w:t>
            </w:r>
            <w:r w:rsidR="003E5EF7">
              <w:t>NIDCM</w:t>
            </w:r>
            <w:r w:rsidRPr="00F86259">
              <w:t xml:space="preserve"> in a first-degree relative in whom</w:t>
            </w:r>
            <w:r>
              <w:t xml:space="preserve"> Echo suggests a </w:t>
            </w:r>
            <w:r w:rsidR="003E5EF7">
              <w:t>DCM</w:t>
            </w:r>
            <w:r>
              <w:t xml:space="preserve"> </w:t>
            </w:r>
            <w:r w:rsidR="003E5EF7">
              <w:t xml:space="preserve">that </w:t>
            </w:r>
            <w:r>
              <w:t xml:space="preserve">requires further investigation due to an intermediate or high risk of </w:t>
            </w:r>
            <w:r w:rsidR="003E5EF7">
              <w:t>CAD</w:t>
            </w:r>
          </w:p>
        </w:tc>
      </w:tr>
      <w:tr w:rsidR="00941ED2" w:rsidRPr="00183E4D" w14:paraId="2893DE7A" w14:textId="77777777" w:rsidTr="00D71228">
        <w:trPr>
          <w:trHeight w:val="224"/>
        </w:trPr>
        <w:tc>
          <w:tcPr>
            <w:tcW w:w="1577" w:type="dxa"/>
            <w:shd w:val="clear" w:color="auto" w:fill="auto"/>
          </w:tcPr>
          <w:p w14:paraId="45DA2AF5" w14:textId="77777777" w:rsidR="00941ED2" w:rsidRPr="00183E4D" w:rsidRDefault="00941ED2" w:rsidP="004C79C1">
            <w:pPr>
              <w:pStyle w:val="Tabletext1"/>
              <w:spacing w:before="0" w:after="120"/>
            </w:pPr>
            <w:r w:rsidRPr="00183E4D">
              <w:t>Intervention</w:t>
            </w:r>
            <w:r>
              <w:t xml:space="preserve"> </w:t>
            </w:r>
          </w:p>
        </w:tc>
        <w:tc>
          <w:tcPr>
            <w:tcW w:w="3521" w:type="dxa"/>
            <w:tcBorders>
              <w:right w:val="nil"/>
            </w:tcBorders>
            <w:shd w:val="clear" w:color="auto" w:fill="auto"/>
          </w:tcPr>
          <w:p w14:paraId="5DAEC521" w14:textId="77777777" w:rsidR="00941ED2" w:rsidRPr="00183E4D" w:rsidRDefault="00941ED2" w:rsidP="004C79C1">
            <w:pPr>
              <w:pStyle w:val="Tabletext1"/>
              <w:spacing w:before="0" w:after="120"/>
            </w:pPr>
            <w:r>
              <w:rPr>
                <w:rFonts w:cs="Arial Narrow"/>
                <w:bCs/>
              </w:rPr>
              <w:t>CMR</w:t>
            </w:r>
          </w:p>
        </w:tc>
        <w:tc>
          <w:tcPr>
            <w:tcW w:w="3918" w:type="dxa"/>
            <w:tcBorders>
              <w:left w:val="nil"/>
            </w:tcBorders>
            <w:shd w:val="clear" w:color="auto" w:fill="auto"/>
          </w:tcPr>
          <w:p w14:paraId="14CD71CF" w14:textId="77777777" w:rsidR="00941ED2" w:rsidRPr="00183E4D" w:rsidRDefault="00941ED2" w:rsidP="004C79C1">
            <w:pPr>
              <w:pStyle w:val="Tabletext1"/>
              <w:spacing w:before="0" w:after="120"/>
            </w:pPr>
            <w:r>
              <w:rPr>
                <w:rFonts w:cs="Arial Narrow"/>
                <w:bCs/>
              </w:rPr>
              <w:t>CMR</w:t>
            </w:r>
          </w:p>
        </w:tc>
      </w:tr>
      <w:tr w:rsidR="00941ED2" w:rsidRPr="00183E4D" w14:paraId="60D45D25" w14:textId="77777777" w:rsidTr="00D71228">
        <w:trPr>
          <w:trHeight w:val="381"/>
        </w:trPr>
        <w:tc>
          <w:tcPr>
            <w:tcW w:w="1577" w:type="dxa"/>
            <w:shd w:val="clear" w:color="auto" w:fill="auto"/>
          </w:tcPr>
          <w:p w14:paraId="4BCAC4B6" w14:textId="77777777" w:rsidR="00941ED2" w:rsidRPr="00183E4D" w:rsidRDefault="00941ED2" w:rsidP="004C79C1">
            <w:pPr>
              <w:pStyle w:val="Tabletext1"/>
              <w:spacing w:before="0" w:after="120"/>
            </w:pPr>
            <w:r w:rsidRPr="00183E4D">
              <w:t>Compara</w:t>
            </w:r>
            <w:r w:rsidRPr="00E436AA">
              <w:t>tors</w:t>
            </w:r>
          </w:p>
        </w:tc>
        <w:tc>
          <w:tcPr>
            <w:tcW w:w="3521" w:type="dxa"/>
            <w:tcBorders>
              <w:right w:val="nil"/>
            </w:tcBorders>
            <w:shd w:val="clear" w:color="auto" w:fill="auto"/>
          </w:tcPr>
          <w:p w14:paraId="3CE96484" w14:textId="77777777" w:rsidR="00941ED2" w:rsidRDefault="00941ED2" w:rsidP="004C79C1">
            <w:pPr>
              <w:pStyle w:val="Tabletext1"/>
              <w:numPr>
                <w:ilvl w:val="0"/>
                <w:numId w:val="29"/>
              </w:numPr>
              <w:spacing w:before="0" w:after="120"/>
              <w:ind w:left="459" w:hanging="284"/>
            </w:pPr>
            <w:r>
              <w:t>Stress Echo</w:t>
            </w:r>
          </w:p>
          <w:p w14:paraId="60C1F318" w14:textId="27A23B3C" w:rsidR="00941ED2" w:rsidRDefault="00941ED2" w:rsidP="004C79C1">
            <w:pPr>
              <w:pStyle w:val="Tabletext1"/>
              <w:numPr>
                <w:ilvl w:val="0"/>
                <w:numId w:val="29"/>
              </w:numPr>
              <w:spacing w:before="0" w:after="120"/>
              <w:ind w:left="459" w:hanging="284"/>
            </w:pPr>
            <w:r>
              <w:t>G</w:t>
            </w:r>
            <w:r w:rsidR="00035B85">
              <w:t>HPS</w:t>
            </w:r>
          </w:p>
          <w:p w14:paraId="66A3F46B" w14:textId="77777777" w:rsidR="00BE7769" w:rsidRDefault="00BE7769" w:rsidP="004C79C1">
            <w:pPr>
              <w:pStyle w:val="Tabletext1"/>
              <w:numPr>
                <w:ilvl w:val="0"/>
                <w:numId w:val="29"/>
              </w:numPr>
              <w:spacing w:before="0" w:after="120"/>
              <w:ind w:left="459" w:hanging="284"/>
            </w:pPr>
            <w:r>
              <w:t>SPECT</w:t>
            </w:r>
          </w:p>
          <w:p w14:paraId="48E7E300" w14:textId="27A1839E" w:rsidR="00BE7769" w:rsidRDefault="00BE7769" w:rsidP="004C79C1">
            <w:pPr>
              <w:pStyle w:val="Tabletext1"/>
              <w:numPr>
                <w:ilvl w:val="0"/>
                <w:numId w:val="29"/>
              </w:numPr>
              <w:spacing w:before="0" w:after="120"/>
              <w:ind w:left="459" w:hanging="284"/>
            </w:pPr>
            <w:r>
              <w:t>CTCA</w:t>
            </w:r>
          </w:p>
          <w:p w14:paraId="0B97C314" w14:textId="77777777" w:rsidR="00941ED2" w:rsidRPr="00183E4D" w:rsidRDefault="00941ED2" w:rsidP="004C79C1">
            <w:pPr>
              <w:pStyle w:val="Tabletext1"/>
              <w:numPr>
                <w:ilvl w:val="0"/>
                <w:numId w:val="29"/>
              </w:numPr>
              <w:spacing w:before="0" w:after="120"/>
              <w:ind w:left="459" w:hanging="284"/>
            </w:pPr>
            <w:r>
              <w:t>ICA</w:t>
            </w:r>
          </w:p>
        </w:tc>
        <w:tc>
          <w:tcPr>
            <w:tcW w:w="3918" w:type="dxa"/>
            <w:tcBorders>
              <w:left w:val="nil"/>
            </w:tcBorders>
            <w:shd w:val="clear" w:color="auto" w:fill="auto"/>
          </w:tcPr>
          <w:p w14:paraId="58238432" w14:textId="77777777" w:rsidR="00941ED2" w:rsidRDefault="00941ED2" w:rsidP="004C79C1">
            <w:pPr>
              <w:pStyle w:val="Tabletext1"/>
              <w:numPr>
                <w:ilvl w:val="0"/>
                <w:numId w:val="29"/>
              </w:numPr>
              <w:spacing w:before="0" w:after="120"/>
              <w:ind w:left="459" w:hanging="284"/>
            </w:pPr>
            <w:r>
              <w:t>CTCA</w:t>
            </w:r>
          </w:p>
          <w:p w14:paraId="65935943" w14:textId="77777777" w:rsidR="00941ED2" w:rsidRPr="00183E4D" w:rsidRDefault="00941ED2" w:rsidP="004C79C1">
            <w:pPr>
              <w:pStyle w:val="Tabletext1"/>
              <w:numPr>
                <w:ilvl w:val="0"/>
                <w:numId w:val="29"/>
              </w:numPr>
              <w:spacing w:before="0" w:after="120"/>
              <w:ind w:left="459" w:hanging="284"/>
            </w:pPr>
            <w:r>
              <w:t>SPECT</w:t>
            </w:r>
          </w:p>
        </w:tc>
      </w:tr>
      <w:tr w:rsidR="00941ED2" w:rsidRPr="00183E4D" w14:paraId="4AC9A78E" w14:textId="77777777" w:rsidTr="00D71228">
        <w:trPr>
          <w:trHeight w:val="547"/>
        </w:trPr>
        <w:tc>
          <w:tcPr>
            <w:tcW w:w="1577" w:type="dxa"/>
            <w:shd w:val="clear" w:color="auto" w:fill="auto"/>
          </w:tcPr>
          <w:p w14:paraId="4E062D4E" w14:textId="02FC6453" w:rsidR="00941ED2" w:rsidRPr="00183E4D" w:rsidRDefault="00941ED2" w:rsidP="004C79C1">
            <w:pPr>
              <w:pStyle w:val="Tabletext1"/>
              <w:spacing w:before="0" w:after="120"/>
            </w:pPr>
            <w:r w:rsidRPr="00183E4D">
              <w:t>Outcomes</w:t>
            </w:r>
          </w:p>
        </w:tc>
        <w:tc>
          <w:tcPr>
            <w:tcW w:w="3521" w:type="dxa"/>
            <w:tcBorders>
              <w:right w:val="nil"/>
            </w:tcBorders>
            <w:shd w:val="clear" w:color="auto" w:fill="auto"/>
          </w:tcPr>
          <w:p w14:paraId="5E04F382" w14:textId="11448F57" w:rsidR="00941ED2" w:rsidRPr="00796257" w:rsidRDefault="00941ED2" w:rsidP="004C79C1">
            <w:pPr>
              <w:autoSpaceDE w:val="0"/>
              <w:autoSpaceDN w:val="0"/>
              <w:adjustRightInd w:val="0"/>
              <w:spacing w:after="120" w:line="240" w:lineRule="auto"/>
              <w:rPr>
                <w:rFonts w:cs="Arial Narrow"/>
                <w:bCs/>
                <w:sz w:val="20"/>
                <w:u w:val="single"/>
              </w:rPr>
            </w:pPr>
            <w:r w:rsidRPr="00E436AA">
              <w:rPr>
                <w:rFonts w:ascii="Arial Narrow" w:hAnsi="Arial Narrow" w:cs="Arial Narrow"/>
                <w:bCs/>
                <w:sz w:val="20"/>
                <w:szCs w:val="20"/>
              </w:rPr>
              <w:t>Safety</w:t>
            </w:r>
            <w:r w:rsidR="004610E5">
              <w:rPr>
                <w:rFonts w:ascii="Arial Narrow" w:hAnsi="Arial Narrow" w:cs="Arial Narrow"/>
                <w:bCs/>
                <w:sz w:val="20"/>
                <w:szCs w:val="20"/>
              </w:rPr>
              <w:t>:</w:t>
            </w:r>
          </w:p>
          <w:p w14:paraId="7EFEAAD3"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Gadolinium contrast adverse reaction</w:t>
            </w:r>
          </w:p>
          <w:p w14:paraId="0AEC5060"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Claustrophobia</w:t>
            </w:r>
          </w:p>
          <w:p w14:paraId="26D41FC2"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Physical harms from follow-up testing</w:t>
            </w:r>
          </w:p>
          <w:p w14:paraId="32D327C0" w14:textId="2D12617B" w:rsidR="00941ED2" w:rsidRPr="00E436AA" w:rsidRDefault="00941ED2" w:rsidP="004C79C1">
            <w:pPr>
              <w:pStyle w:val="Tabletext1"/>
              <w:numPr>
                <w:ilvl w:val="0"/>
                <w:numId w:val="29"/>
              </w:numPr>
              <w:spacing w:before="0" w:after="120"/>
              <w:ind w:left="459" w:hanging="284"/>
              <w:rPr>
                <w:rFonts w:cs="Arial Narrow"/>
                <w:bCs/>
              </w:rPr>
            </w:pPr>
            <w:r w:rsidRPr="00796257">
              <w:rPr>
                <w:rFonts w:cs="Arial Narrow"/>
                <w:bCs/>
              </w:rPr>
              <w:t xml:space="preserve">Other </w:t>
            </w:r>
            <w:r w:rsidR="00035B85">
              <w:rPr>
                <w:rFonts w:cs="Arial Narrow"/>
                <w:bCs/>
              </w:rPr>
              <w:t>AE</w:t>
            </w:r>
            <w:r>
              <w:rPr>
                <w:rFonts w:cs="Arial Narrow"/>
                <w:bCs/>
              </w:rPr>
              <w:t>s arising from CMR or comparative tests</w:t>
            </w:r>
          </w:p>
        </w:tc>
        <w:tc>
          <w:tcPr>
            <w:tcW w:w="3918" w:type="dxa"/>
            <w:tcBorders>
              <w:left w:val="nil"/>
            </w:tcBorders>
            <w:shd w:val="clear" w:color="auto" w:fill="auto"/>
          </w:tcPr>
          <w:p w14:paraId="69A8B528" w14:textId="38FD9F1C" w:rsidR="00941ED2" w:rsidRPr="00796257" w:rsidRDefault="00941ED2" w:rsidP="004C79C1">
            <w:pPr>
              <w:autoSpaceDE w:val="0"/>
              <w:autoSpaceDN w:val="0"/>
              <w:adjustRightInd w:val="0"/>
              <w:spacing w:after="120" w:line="240" w:lineRule="auto"/>
              <w:rPr>
                <w:rFonts w:cs="Arial Narrow"/>
                <w:bCs/>
                <w:sz w:val="20"/>
                <w:u w:val="single"/>
              </w:rPr>
            </w:pPr>
            <w:r w:rsidRPr="00E436AA">
              <w:rPr>
                <w:rFonts w:ascii="Arial Narrow" w:hAnsi="Arial Narrow" w:cs="Arial Narrow"/>
                <w:bCs/>
                <w:sz w:val="20"/>
                <w:szCs w:val="20"/>
              </w:rPr>
              <w:t>Safety</w:t>
            </w:r>
            <w:r w:rsidR="004610E5">
              <w:rPr>
                <w:rFonts w:ascii="Arial Narrow" w:hAnsi="Arial Narrow" w:cs="Arial Narrow"/>
                <w:bCs/>
                <w:sz w:val="20"/>
                <w:szCs w:val="20"/>
              </w:rPr>
              <w:t>:</w:t>
            </w:r>
          </w:p>
          <w:p w14:paraId="083AB985"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Gadolinium contrast adverse reaction</w:t>
            </w:r>
          </w:p>
          <w:p w14:paraId="4FEBCBB4"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Claustrophobia</w:t>
            </w:r>
          </w:p>
          <w:p w14:paraId="23F28E8F" w14:textId="77777777" w:rsidR="00941ED2" w:rsidRPr="00796257" w:rsidRDefault="00941ED2" w:rsidP="004C79C1">
            <w:pPr>
              <w:pStyle w:val="Tabletext1"/>
              <w:numPr>
                <w:ilvl w:val="0"/>
                <w:numId w:val="29"/>
              </w:numPr>
              <w:spacing w:before="0" w:after="120"/>
              <w:ind w:left="459" w:hanging="284"/>
              <w:rPr>
                <w:rFonts w:cs="Arial Narrow"/>
                <w:bCs/>
              </w:rPr>
            </w:pPr>
            <w:r w:rsidRPr="00796257">
              <w:rPr>
                <w:rFonts w:cs="Arial Narrow"/>
                <w:bCs/>
              </w:rPr>
              <w:t>Physical harms from follow-up testing</w:t>
            </w:r>
          </w:p>
          <w:p w14:paraId="2B53D972" w14:textId="2982D1F3" w:rsidR="00941ED2" w:rsidRPr="00E436AA" w:rsidRDefault="00941ED2" w:rsidP="004C79C1">
            <w:pPr>
              <w:pStyle w:val="Tabletext1"/>
              <w:numPr>
                <w:ilvl w:val="0"/>
                <w:numId w:val="29"/>
              </w:numPr>
              <w:spacing w:before="0" w:after="120"/>
              <w:ind w:left="459" w:hanging="284"/>
              <w:rPr>
                <w:rFonts w:cs="Arial Narrow"/>
                <w:bCs/>
              </w:rPr>
            </w:pPr>
            <w:r w:rsidRPr="00796257">
              <w:rPr>
                <w:rFonts w:cs="Arial Narrow"/>
                <w:bCs/>
              </w:rPr>
              <w:t xml:space="preserve">Other </w:t>
            </w:r>
            <w:r w:rsidR="00035B85">
              <w:rPr>
                <w:rFonts w:cs="Arial Narrow"/>
                <w:bCs/>
              </w:rPr>
              <w:t>AE</w:t>
            </w:r>
            <w:r>
              <w:rPr>
                <w:rFonts w:cs="Arial Narrow"/>
                <w:bCs/>
              </w:rPr>
              <w:t>s arising from CMR or comparative tests</w:t>
            </w:r>
          </w:p>
        </w:tc>
      </w:tr>
      <w:tr w:rsidR="00941ED2" w:rsidRPr="00183E4D" w14:paraId="33017871" w14:textId="77777777" w:rsidTr="00D71228">
        <w:trPr>
          <w:trHeight w:val="493"/>
        </w:trPr>
        <w:tc>
          <w:tcPr>
            <w:tcW w:w="1577" w:type="dxa"/>
            <w:tcBorders>
              <w:top w:val="single" w:sz="4" w:space="0" w:color="auto"/>
              <w:bottom w:val="single" w:sz="4" w:space="0" w:color="auto"/>
            </w:tcBorders>
            <w:shd w:val="clear" w:color="auto" w:fill="auto"/>
          </w:tcPr>
          <w:p w14:paraId="352DD4D1" w14:textId="77777777" w:rsidR="00941ED2" w:rsidRPr="00183E4D" w:rsidRDefault="00941ED2" w:rsidP="004C79C1">
            <w:pPr>
              <w:pStyle w:val="Tabletext1"/>
              <w:spacing w:before="0" w:after="120"/>
              <w:rPr>
                <w:b/>
              </w:rPr>
            </w:pPr>
            <w:r w:rsidRPr="00183E4D">
              <w:rPr>
                <w:b/>
              </w:rPr>
              <w:t>Systematic review question</w:t>
            </w:r>
          </w:p>
        </w:tc>
        <w:tc>
          <w:tcPr>
            <w:tcW w:w="3521" w:type="dxa"/>
            <w:tcBorders>
              <w:top w:val="single" w:sz="4" w:space="0" w:color="auto"/>
              <w:bottom w:val="single" w:sz="4" w:space="0" w:color="auto"/>
              <w:right w:val="nil"/>
            </w:tcBorders>
            <w:shd w:val="clear" w:color="auto" w:fill="auto"/>
          </w:tcPr>
          <w:p w14:paraId="3A4A34C9" w14:textId="7E6BE346" w:rsidR="00941ED2" w:rsidRPr="00183E4D" w:rsidRDefault="00941ED2" w:rsidP="004C79C1">
            <w:pPr>
              <w:pStyle w:val="Tabletext1"/>
              <w:spacing w:before="0" w:after="120"/>
              <w:rPr>
                <w:rFonts w:cs="Arial"/>
              </w:rPr>
            </w:pPr>
            <w:r>
              <w:t>What is the safety</w:t>
            </w:r>
            <w:r w:rsidRPr="00F86259">
              <w:t xml:space="preserve"> of CMR compared </w:t>
            </w:r>
            <w:r w:rsidR="00035B85">
              <w:t xml:space="preserve">with </w:t>
            </w:r>
            <w:r>
              <w:t xml:space="preserve">stress Echo, </w:t>
            </w:r>
            <w:r w:rsidR="00035B85">
              <w:t>GHPS</w:t>
            </w:r>
            <w:r w:rsidR="00BE7769">
              <w:t>, SPECT, CTCA</w:t>
            </w:r>
            <w:r>
              <w:t xml:space="preserve"> or ICA</w:t>
            </w:r>
            <w:r w:rsidRPr="00F86259">
              <w:t xml:space="preserve"> in patients with a family history of DCM in whom </w:t>
            </w:r>
            <w:r w:rsidR="00035B85">
              <w:t>E</w:t>
            </w:r>
            <w:r w:rsidRPr="00F86259">
              <w:t>cho is inconclusive?</w:t>
            </w:r>
          </w:p>
        </w:tc>
        <w:tc>
          <w:tcPr>
            <w:tcW w:w="3918" w:type="dxa"/>
            <w:tcBorders>
              <w:top w:val="single" w:sz="4" w:space="0" w:color="auto"/>
              <w:left w:val="nil"/>
              <w:bottom w:val="single" w:sz="4" w:space="0" w:color="auto"/>
            </w:tcBorders>
            <w:shd w:val="clear" w:color="auto" w:fill="auto"/>
          </w:tcPr>
          <w:p w14:paraId="4BD7DB36" w14:textId="189E6B6D" w:rsidR="00941ED2" w:rsidRPr="00183E4D" w:rsidRDefault="00941ED2" w:rsidP="004C79C1">
            <w:pPr>
              <w:pStyle w:val="Tabletext1"/>
              <w:spacing w:before="0" w:after="120"/>
              <w:rPr>
                <w:rFonts w:cs="Arial"/>
              </w:rPr>
            </w:pPr>
            <w:r>
              <w:t>What is the safety</w:t>
            </w:r>
            <w:r w:rsidRPr="00F86259">
              <w:t xml:space="preserve"> of CMR compared </w:t>
            </w:r>
            <w:r w:rsidR="00035B85">
              <w:t xml:space="preserve">with </w:t>
            </w:r>
            <w:r>
              <w:t>CTCA and SPECT</w:t>
            </w:r>
            <w:r w:rsidRPr="00F86259">
              <w:t xml:space="preserve"> in patients with a family history of DCM in whom</w:t>
            </w:r>
            <w:r>
              <w:t xml:space="preserve"> Echo suggests a </w:t>
            </w:r>
            <w:r w:rsidR="00035B85">
              <w:t>DCM</w:t>
            </w:r>
            <w:r>
              <w:t xml:space="preserve"> </w:t>
            </w:r>
            <w:r w:rsidR="00035B85">
              <w:t xml:space="preserve">that </w:t>
            </w:r>
            <w:r>
              <w:t>require</w:t>
            </w:r>
            <w:r w:rsidR="00035B85">
              <w:t>s</w:t>
            </w:r>
            <w:r>
              <w:t xml:space="preserve"> further investigation due to an intermediate or high risk of </w:t>
            </w:r>
            <w:r w:rsidR="00035B85">
              <w:t>CAD</w:t>
            </w:r>
            <w:r w:rsidRPr="00F86259">
              <w:t>?</w:t>
            </w:r>
          </w:p>
        </w:tc>
      </w:tr>
    </w:tbl>
    <w:p w14:paraId="6CF26D11" w14:textId="250A9ECA" w:rsidR="00EF72F8" w:rsidRPr="00A93514" w:rsidRDefault="00CD036E" w:rsidP="004C79C1">
      <w:pPr>
        <w:pStyle w:val="Tablenotes0"/>
        <w:spacing w:before="0" w:after="120"/>
      </w:pPr>
      <w:r w:rsidRPr="00A93514">
        <w:t xml:space="preserve">AE = adverse event; </w:t>
      </w:r>
      <w:r w:rsidR="0056202B" w:rsidRPr="00A93514">
        <w:t xml:space="preserve">CAD = </w:t>
      </w:r>
      <w:r w:rsidR="004F4DFA" w:rsidRPr="00B2377A">
        <w:t>coronary artery disease</w:t>
      </w:r>
      <w:r w:rsidR="0056202B" w:rsidRPr="00A93514">
        <w:t xml:space="preserve">; </w:t>
      </w:r>
      <w:r w:rsidR="00941ED2" w:rsidRPr="00A93514">
        <w:t xml:space="preserve">CMR = cardiac magnetic resonance </w:t>
      </w:r>
      <w:r w:rsidR="00662048">
        <w:t>(</w:t>
      </w:r>
      <w:r w:rsidR="00941ED2" w:rsidRPr="00A93514">
        <w:t>imaging</w:t>
      </w:r>
      <w:r w:rsidR="00662048">
        <w:t>)</w:t>
      </w:r>
      <w:r w:rsidR="00941ED2" w:rsidRPr="00A93514">
        <w:t xml:space="preserve">; </w:t>
      </w:r>
      <w:r w:rsidR="00EA2BC9" w:rsidRPr="00A93514">
        <w:t xml:space="preserve">CTCA = computed tomography coronary angiography; </w:t>
      </w:r>
      <w:r w:rsidR="00075FA1" w:rsidRPr="00A93514">
        <w:t xml:space="preserve">DCM = </w:t>
      </w:r>
      <w:r w:rsidR="004F4DFA" w:rsidRPr="00B2377A">
        <w:t>dilated cardiomyopathy</w:t>
      </w:r>
      <w:r w:rsidR="00075FA1" w:rsidRPr="00A93514">
        <w:t xml:space="preserve">; Echo = </w:t>
      </w:r>
      <w:r w:rsidR="004F4DFA" w:rsidRPr="00B2377A">
        <w:t>echocardiography</w:t>
      </w:r>
      <w:r w:rsidR="00075FA1" w:rsidRPr="00A93514">
        <w:t xml:space="preserve">; </w:t>
      </w:r>
      <w:r w:rsidR="0056202B" w:rsidRPr="00A93514">
        <w:t xml:space="preserve">GHPS = </w:t>
      </w:r>
      <w:r w:rsidR="004F4DFA" w:rsidRPr="00B2377A">
        <w:t>gated heart pool scan</w:t>
      </w:r>
      <w:r w:rsidR="0056202B" w:rsidRPr="00A93514">
        <w:t xml:space="preserve">; </w:t>
      </w:r>
      <w:r w:rsidR="00941ED2" w:rsidRPr="00A93514">
        <w:t xml:space="preserve">ICA = invasive coronary angiography; </w:t>
      </w:r>
      <w:r w:rsidR="00EA2BC9" w:rsidRPr="00A93514">
        <w:t xml:space="preserve">MRI = magnetic resonance imaging; </w:t>
      </w:r>
      <w:r w:rsidR="00075FA1" w:rsidRPr="00A93514">
        <w:t xml:space="preserve">NIDCM = </w:t>
      </w:r>
      <w:r w:rsidR="004F4DFA" w:rsidRPr="00B2377A">
        <w:rPr>
          <w:color w:val="000000"/>
        </w:rPr>
        <w:t>non-ischaemic dilated cardiomyopathy</w:t>
      </w:r>
      <w:r w:rsidR="00075FA1" w:rsidRPr="00A93514">
        <w:t xml:space="preserve">; </w:t>
      </w:r>
      <w:r w:rsidR="00941ED2" w:rsidRPr="00A93514">
        <w:t>SPECT = single</w:t>
      </w:r>
      <w:r w:rsidR="00EA2BC9" w:rsidRPr="00A93514">
        <w:t>-</w:t>
      </w:r>
      <w:r w:rsidR="00941ED2" w:rsidRPr="00A93514">
        <w:t xml:space="preserve">photon emission computed tomography </w:t>
      </w:r>
    </w:p>
    <w:p w14:paraId="5A764803" w14:textId="326EF030" w:rsidR="00941ED2" w:rsidRDefault="00941ED2" w:rsidP="004C79C1">
      <w:pPr>
        <w:pStyle w:val="Tablenotes0"/>
        <w:spacing w:before="0" w:after="120"/>
      </w:pPr>
      <w:r>
        <w:t xml:space="preserve">NB: clinical advice has been sought to determine whether ICA is a correct comparator, but feedback has not been received. </w:t>
      </w:r>
    </w:p>
    <w:p w14:paraId="09A00B77" w14:textId="77777777" w:rsidR="00A94F44" w:rsidRPr="00B65F62" w:rsidRDefault="00A94F44" w:rsidP="004C79C1">
      <w:pPr>
        <w:pStyle w:val="Tablenotes0"/>
        <w:spacing w:before="0" w:after="120"/>
      </w:pPr>
    </w:p>
    <w:p w14:paraId="2C3BE857" w14:textId="77777777" w:rsidR="003E4647" w:rsidRPr="00183E4D" w:rsidRDefault="003E4647" w:rsidP="004C79C1">
      <w:pPr>
        <w:pStyle w:val="Caption"/>
      </w:pPr>
      <w:bookmarkStart w:id="933" w:name="_Toc448827360"/>
      <w:bookmarkStart w:id="934" w:name="_Toc324410290"/>
      <w:r>
        <w:t xml:space="preserve">Box </w:t>
      </w:r>
      <w:fldSimple w:instr=" SEQ Box \* ARABIC ">
        <w:r w:rsidR="00050936">
          <w:rPr>
            <w:noProof/>
          </w:rPr>
          <w:t>8</w:t>
        </w:r>
      </w:fldSimple>
      <w:r w:rsidRPr="00183E4D">
        <w:rPr>
          <w:szCs w:val="20"/>
        </w:rPr>
        <w:tab/>
      </w:r>
      <w:r w:rsidRPr="00183E4D">
        <w:t xml:space="preserve">Criteria for identifying and selecting studies to determine the </w:t>
      </w:r>
      <w:r>
        <w:t>direct effectiveness of CMR</w:t>
      </w:r>
      <w:r w:rsidRPr="00183E4D">
        <w:t xml:space="preserve"> in </w:t>
      </w:r>
      <w:r>
        <w:t>asymptomatic individuals with a family history of DCM</w:t>
      </w:r>
      <w:bookmarkEnd w:id="933"/>
      <w:bookmarkEnd w:id="934"/>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8"/>
        <w:gridCol w:w="3122"/>
        <w:gridCol w:w="3969"/>
      </w:tblGrid>
      <w:tr w:rsidR="00A93514" w:rsidRPr="00183E4D" w14:paraId="7658D3B8" w14:textId="77777777" w:rsidTr="00B2377A">
        <w:trPr>
          <w:trHeight w:val="263"/>
        </w:trPr>
        <w:tc>
          <w:tcPr>
            <w:tcW w:w="1948" w:type="dxa"/>
            <w:shd w:val="clear" w:color="auto" w:fill="auto"/>
          </w:tcPr>
          <w:p w14:paraId="114D0D7A" w14:textId="77777777" w:rsidR="00A93514" w:rsidRPr="00183E4D" w:rsidRDefault="00A93514" w:rsidP="004C79C1">
            <w:pPr>
              <w:pStyle w:val="Tabletext1"/>
              <w:spacing w:before="0" w:after="120"/>
              <w:rPr>
                <w:b/>
              </w:rPr>
            </w:pPr>
            <w:r w:rsidRPr="00183E4D">
              <w:rPr>
                <w:b/>
              </w:rPr>
              <w:t>Selection criteria</w:t>
            </w:r>
          </w:p>
        </w:tc>
        <w:tc>
          <w:tcPr>
            <w:tcW w:w="7091" w:type="dxa"/>
            <w:gridSpan w:val="2"/>
            <w:shd w:val="clear" w:color="auto" w:fill="auto"/>
          </w:tcPr>
          <w:p w14:paraId="3A875F1E" w14:textId="5C160776" w:rsidR="00A93514" w:rsidRPr="00183E4D" w:rsidRDefault="00A93514" w:rsidP="004C79C1">
            <w:pPr>
              <w:pStyle w:val="Tabletext1"/>
              <w:spacing w:before="0" w:after="120"/>
              <w:jc w:val="center"/>
              <w:rPr>
                <w:rFonts w:cs="Arial"/>
                <w:b/>
              </w:rPr>
            </w:pPr>
            <w:r w:rsidRPr="00183E4D">
              <w:rPr>
                <w:rFonts w:cs="Arial"/>
                <w:b/>
              </w:rPr>
              <w:t>Description</w:t>
            </w:r>
          </w:p>
        </w:tc>
      </w:tr>
      <w:tr w:rsidR="003E4647" w:rsidRPr="00183E4D" w14:paraId="36752468" w14:textId="77777777" w:rsidTr="00B2377A">
        <w:tc>
          <w:tcPr>
            <w:tcW w:w="1948" w:type="dxa"/>
            <w:shd w:val="clear" w:color="auto" w:fill="auto"/>
          </w:tcPr>
          <w:p w14:paraId="48BF212B" w14:textId="77777777" w:rsidR="003E4647" w:rsidRPr="00183E4D" w:rsidRDefault="003E4647" w:rsidP="004C79C1">
            <w:pPr>
              <w:pStyle w:val="Tabletext1"/>
              <w:spacing w:before="0" w:after="120"/>
            </w:pPr>
            <w:r w:rsidRPr="00183E4D">
              <w:t>Population</w:t>
            </w:r>
          </w:p>
        </w:tc>
        <w:tc>
          <w:tcPr>
            <w:tcW w:w="3122" w:type="dxa"/>
            <w:tcBorders>
              <w:right w:val="nil"/>
            </w:tcBorders>
            <w:shd w:val="clear" w:color="auto" w:fill="auto"/>
          </w:tcPr>
          <w:p w14:paraId="67685B0A" w14:textId="5C7AAF9D" w:rsidR="003E4647" w:rsidRPr="00183E4D" w:rsidRDefault="003E4647" w:rsidP="004C79C1">
            <w:pPr>
              <w:pStyle w:val="Tabletext1"/>
              <w:spacing w:before="0" w:after="120"/>
              <w:rPr>
                <w:rFonts w:cs="Arial"/>
              </w:rPr>
            </w:pPr>
            <w:r w:rsidRPr="00F86259">
              <w:t xml:space="preserve">Asymptomatic individuals with a family history of </w:t>
            </w:r>
            <w:r w:rsidR="00A93514">
              <w:t>NIDCM</w:t>
            </w:r>
            <w:r w:rsidRPr="00F86259">
              <w:t xml:space="preserve"> in a first-degree relative in whom </w:t>
            </w:r>
            <w:r>
              <w:t>Echo</w:t>
            </w:r>
            <w:r w:rsidRPr="00F86259">
              <w:t xml:space="preserve"> is inconclusive</w:t>
            </w:r>
          </w:p>
        </w:tc>
        <w:tc>
          <w:tcPr>
            <w:tcW w:w="3969" w:type="dxa"/>
            <w:tcBorders>
              <w:left w:val="nil"/>
            </w:tcBorders>
            <w:shd w:val="clear" w:color="auto" w:fill="auto"/>
          </w:tcPr>
          <w:p w14:paraId="29798878" w14:textId="70BFE494" w:rsidR="003E4647" w:rsidRPr="00183E4D" w:rsidRDefault="003E4647" w:rsidP="004C79C1">
            <w:pPr>
              <w:pStyle w:val="Tabletext1"/>
              <w:spacing w:before="0" w:after="120"/>
              <w:rPr>
                <w:rFonts w:cs="Arial"/>
              </w:rPr>
            </w:pPr>
            <w:r w:rsidRPr="00F86259">
              <w:t xml:space="preserve">Asymptomatic individuals with a family history of </w:t>
            </w:r>
            <w:r w:rsidR="006665D1">
              <w:t>NIDCM</w:t>
            </w:r>
            <w:r w:rsidRPr="00F86259">
              <w:t xml:space="preserve"> in a first-degree relative in whom</w:t>
            </w:r>
            <w:r>
              <w:t xml:space="preserve"> Echo suggests a </w:t>
            </w:r>
            <w:r w:rsidR="006665D1">
              <w:t>DCM</w:t>
            </w:r>
            <w:r>
              <w:t xml:space="preserve"> </w:t>
            </w:r>
            <w:r w:rsidR="006665D1">
              <w:t xml:space="preserve">that </w:t>
            </w:r>
            <w:r>
              <w:t xml:space="preserve">requires further investigation due to an intermediate or high risk of </w:t>
            </w:r>
            <w:r w:rsidR="006665D1">
              <w:t>CAD</w:t>
            </w:r>
          </w:p>
        </w:tc>
      </w:tr>
      <w:tr w:rsidR="003E4647" w:rsidRPr="00183E4D" w14:paraId="694A2212" w14:textId="77777777" w:rsidTr="00B2377A">
        <w:tc>
          <w:tcPr>
            <w:tcW w:w="1948" w:type="dxa"/>
            <w:shd w:val="clear" w:color="auto" w:fill="auto"/>
          </w:tcPr>
          <w:p w14:paraId="47028831" w14:textId="77777777" w:rsidR="003E4647" w:rsidRPr="00183E4D" w:rsidRDefault="003E4647" w:rsidP="004C79C1">
            <w:pPr>
              <w:pStyle w:val="Tabletext1"/>
              <w:spacing w:before="0" w:after="120"/>
            </w:pPr>
            <w:r w:rsidRPr="00183E4D">
              <w:t>Intervention</w:t>
            </w:r>
          </w:p>
        </w:tc>
        <w:tc>
          <w:tcPr>
            <w:tcW w:w="3122" w:type="dxa"/>
            <w:tcBorders>
              <w:right w:val="nil"/>
            </w:tcBorders>
            <w:shd w:val="clear" w:color="auto" w:fill="auto"/>
          </w:tcPr>
          <w:p w14:paraId="472F948B" w14:textId="77777777" w:rsidR="003E4647" w:rsidRPr="00183E4D" w:rsidRDefault="003E4647" w:rsidP="004C79C1">
            <w:pPr>
              <w:pStyle w:val="Tabletext1"/>
              <w:spacing w:before="0" w:after="120"/>
            </w:pPr>
            <w:r>
              <w:rPr>
                <w:rFonts w:cs="Arial Narrow"/>
                <w:bCs/>
              </w:rPr>
              <w:t>CMR</w:t>
            </w:r>
          </w:p>
        </w:tc>
        <w:tc>
          <w:tcPr>
            <w:tcW w:w="3969" w:type="dxa"/>
            <w:tcBorders>
              <w:left w:val="nil"/>
            </w:tcBorders>
            <w:shd w:val="clear" w:color="auto" w:fill="auto"/>
          </w:tcPr>
          <w:p w14:paraId="0762830C" w14:textId="77777777" w:rsidR="003E4647" w:rsidRPr="00183E4D" w:rsidRDefault="003E4647" w:rsidP="004C79C1">
            <w:pPr>
              <w:pStyle w:val="Tabletext1"/>
              <w:spacing w:before="0" w:after="120"/>
            </w:pPr>
            <w:r>
              <w:rPr>
                <w:rFonts w:cs="Arial Narrow"/>
                <w:bCs/>
              </w:rPr>
              <w:t>CMR</w:t>
            </w:r>
          </w:p>
        </w:tc>
      </w:tr>
      <w:tr w:rsidR="003E4647" w:rsidRPr="00183E4D" w14:paraId="063F696E" w14:textId="77777777" w:rsidTr="00B2377A">
        <w:tc>
          <w:tcPr>
            <w:tcW w:w="1948" w:type="dxa"/>
            <w:shd w:val="clear" w:color="auto" w:fill="auto"/>
          </w:tcPr>
          <w:p w14:paraId="5C0A0E04" w14:textId="77777777" w:rsidR="003E4647" w:rsidRPr="00183E4D" w:rsidRDefault="003E4647" w:rsidP="004C79C1">
            <w:pPr>
              <w:pStyle w:val="Tabletext1"/>
              <w:spacing w:before="0" w:after="120"/>
            </w:pPr>
            <w:r w:rsidRPr="00183E4D">
              <w:t>Compara</w:t>
            </w:r>
            <w:r w:rsidRPr="00C236C7">
              <w:t>tors</w:t>
            </w:r>
          </w:p>
        </w:tc>
        <w:tc>
          <w:tcPr>
            <w:tcW w:w="3122" w:type="dxa"/>
            <w:tcBorders>
              <w:right w:val="nil"/>
            </w:tcBorders>
            <w:shd w:val="clear" w:color="auto" w:fill="auto"/>
          </w:tcPr>
          <w:p w14:paraId="08C88480" w14:textId="77777777" w:rsidR="003E4647" w:rsidRDefault="003E4647" w:rsidP="004C79C1">
            <w:pPr>
              <w:pStyle w:val="Tabletext1"/>
              <w:numPr>
                <w:ilvl w:val="0"/>
                <w:numId w:val="29"/>
              </w:numPr>
              <w:spacing w:before="0" w:after="120"/>
              <w:ind w:left="459" w:hanging="284"/>
            </w:pPr>
            <w:r>
              <w:t>Stress Echo</w:t>
            </w:r>
          </w:p>
          <w:p w14:paraId="0F8FDC33" w14:textId="72E932D9" w:rsidR="003E4647" w:rsidRDefault="003E4647" w:rsidP="004C79C1">
            <w:pPr>
              <w:pStyle w:val="Tabletext1"/>
              <w:numPr>
                <w:ilvl w:val="0"/>
                <w:numId w:val="29"/>
              </w:numPr>
              <w:spacing w:before="0" w:after="120"/>
              <w:ind w:left="459" w:hanging="284"/>
            </w:pPr>
            <w:r>
              <w:lastRenderedPageBreak/>
              <w:t>G</w:t>
            </w:r>
            <w:r w:rsidR="004610E5">
              <w:t>HPS</w:t>
            </w:r>
          </w:p>
          <w:p w14:paraId="46ABC69D" w14:textId="77777777" w:rsidR="00BE7769" w:rsidRDefault="00BE7769" w:rsidP="004C79C1">
            <w:pPr>
              <w:pStyle w:val="Tabletext1"/>
              <w:numPr>
                <w:ilvl w:val="0"/>
                <w:numId w:val="29"/>
              </w:numPr>
              <w:spacing w:before="0" w:after="120"/>
              <w:ind w:left="459" w:hanging="284"/>
            </w:pPr>
            <w:r>
              <w:t>SPECT</w:t>
            </w:r>
          </w:p>
          <w:p w14:paraId="31E057B0" w14:textId="3CD00432" w:rsidR="00BE7769" w:rsidRDefault="00BE7769" w:rsidP="004C79C1">
            <w:pPr>
              <w:pStyle w:val="Tabletext1"/>
              <w:numPr>
                <w:ilvl w:val="0"/>
                <w:numId w:val="29"/>
              </w:numPr>
              <w:spacing w:before="0" w:after="120"/>
              <w:ind w:left="459" w:hanging="284"/>
            </w:pPr>
            <w:r>
              <w:t>CTCA</w:t>
            </w:r>
          </w:p>
          <w:p w14:paraId="1CFF3EC3" w14:textId="77777777" w:rsidR="003E4647" w:rsidRPr="00183E4D" w:rsidRDefault="003E4647" w:rsidP="004C79C1">
            <w:pPr>
              <w:pStyle w:val="Tabletext1"/>
              <w:numPr>
                <w:ilvl w:val="0"/>
                <w:numId w:val="29"/>
              </w:numPr>
              <w:spacing w:before="0" w:after="120"/>
              <w:ind w:left="459" w:hanging="284"/>
            </w:pPr>
            <w:r>
              <w:t>ICA</w:t>
            </w:r>
          </w:p>
        </w:tc>
        <w:tc>
          <w:tcPr>
            <w:tcW w:w="3969" w:type="dxa"/>
            <w:tcBorders>
              <w:left w:val="nil"/>
            </w:tcBorders>
            <w:shd w:val="clear" w:color="auto" w:fill="auto"/>
          </w:tcPr>
          <w:p w14:paraId="07177517" w14:textId="77777777" w:rsidR="003E4647" w:rsidRDefault="003E4647" w:rsidP="004C79C1">
            <w:pPr>
              <w:pStyle w:val="Tabletext1"/>
              <w:numPr>
                <w:ilvl w:val="0"/>
                <w:numId w:val="29"/>
              </w:numPr>
              <w:spacing w:before="0" w:after="120"/>
              <w:ind w:left="459" w:hanging="284"/>
            </w:pPr>
            <w:r>
              <w:lastRenderedPageBreak/>
              <w:t>CTCA</w:t>
            </w:r>
          </w:p>
          <w:p w14:paraId="29F3BA50" w14:textId="77777777" w:rsidR="003E4647" w:rsidRPr="00183E4D" w:rsidRDefault="003E4647" w:rsidP="004C79C1">
            <w:pPr>
              <w:pStyle w:val="Tabletext1"/>
              <w:numPr>
                <w:ilvl w:val="0"/>
                <w:numId w:val="29"/>
              </w:numPr>
              <w:spacing w:before="0" w:after="120"/>
              <w:ind w:left="459" w:hanging="284"/>
            </w:pPr>
            <w:r>
              <w:lastRenderedPageBreak/>
              <w:t>SPECT</w:t>
            </w:r>
          </w:p>
        </w:tc>
      </w:tr>
      <w:tr w:rsidR="003E4647" w:rsidRPr="00183E4D" w14:paraId="507AF941" w14:textId="77777777" w:rsidTr="00B2377A">
        <w:tc>
          <w:tcPr>
            <w:tcW w:w="1948" w:type="dxa"/>
            <w:shd w:val="clear" w:color="auto" w:fill="auto"/>
          </w:tcPr>
          <w:p w14:paraId="49BC56AF" w14:textId="77777777" w:rsidR="003E4647" w:rsidRPr="00E436AA" w:rsidRDefault="003E4647" w:rsidP="004C79C1">
            <w:pPr>
              <w:pStyle w:val="Tabletext1"/>
              <w:spacing w:before="0" w:after="120"/>
              <w:rPr>
                <w:rFonts w:cs="Arial Narrow"/>
                <w:bCs/>
              </w:rPr>
            </w:pPr>
            <w:r w:rsidRPr="00E436AA">
              <w:rPr>
                <w:rFonts w:cs="Arial Narrow"/>
                <w:bCs/>
              </w:rPr>
              <w:lastRenderedPageBreak/>
              <w:t>Outcomes</w:t>
            </w:r>
          </w:p>
        </w:tc>
        <w:tc>
          <w:tcPr>
            <w:tcW w:w="3122" w:type="dxa"/>
            <w:tcBorders>
              <w:right w:val="nil"/>
            </w:tcBorders>
            <w:shd w:val="clear" w:color="auto" w:fill="auto"/>
          </w:tcPr>
          <w:p w14:paraId="59565A7A" w14:textId="3FBCF63B" w:rsidR="003E4647" w:rsidRPr="00E436AA" w:rsidRDefault="003E4647"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Health outcomes</w:t>
            </w:r>
            <w:r w:rsidR="004610E5">
              <w:rPr>
                <w:rFonts w:ascii="Arial Narrow" w:hAnsi="Arial Narrow" w:cs="Arial Narrow"/>
                <w:bCs/>
                <w:sz w:val="20"/>
                <w:szCs w:val="20"/>
              </w:rPr>
              <w:t>:</w:t>
            </w:r>
          </w:p>
          <w:p w14:paraId="60D9F188" w14:textId="77777777" w:rsidR="003E4647" w:rsidRPr="00941ED2" w:rsidRDefault="003E4647" w:rsidP="004C79C1">
            <w:pPr>
              <w:pStyle w:val="Tabletext1"/>
              <w:numPr>
                <w:ilvl w:val="0"/>
                <w:numId w:val="29"/>
              </w:numPr>
              <w:spacing w:before="0" w:after="120"/>
              <w:ind w:left="460" w:hanging="284"/>
            </w:pPr>
            <w:r w:rsidRPr="00941ED2">
              <w:t>Cardiac disease-specific mortality</w:t>
            </w:r>
          </w:p>
          <w:p w14:paraId="2413C7DF" w14:textId="77777777" w:rsidR="003E4647" w:rsidRPr="00941ED2" w:rsidRDefault="003E4647" w:rsidP="004C79C1">
            <w:pPr>
              <w:pStyle w:val="Tabletext1"/>
              <w:numPr>
                <w:ilvl w:val="0"/>
                <w:numId w:val="29"/>
              </w:numPr>
              <w:spacing w:before="0" w:after="120"/>
              <w:ind w:left="459" w:hanging="284"/>
            </w:pPr>
            <w:r w:rsidRPr="00941ED2">
              <w:t>Survival</w:t>
            </w:r>
          </w:p>
          <w:p w14:paraId="25E78B35" w14:textId="77777777" w:rsidR="003E4647" w:rsidRPr="00941ED2" w:rsidRDefault="003E4647" w:rsidP="004C79C1">
            <w:pPr>
              <w:pStyle w:val="Tabletext1"/>
              <w:numPr>
                <w:ilvl w:val="0"/>
                <w:numId w:val="29"/>
              </w:numPr>
              <w:spacing w:before="0" w:after="120"/>
              <w:ind w:left="459" w:hanging="284"/>
            </w:pPr>
            <w:r w:rsidRPr="00941ED2">
              <w:t>Cardiac hospitalisation</w:t>
            </w:r>
          </w:p>
          <w:p w14:paraId="3ED437E3" w14:textId="77777777" w:rsidR="003E4647" w:rsidRPr="00941ED2" w:rsidRDefault="003E4647" w:rsidP="004C79C1">
            <w:pPr>
              <w:pStyle w:val="Tabletext1"/>
              <w:numPr>
                <w:ilvl w:val="0"/>
                <w:numId w:val="29"/>
              </w:numPr>
              <w:spacing w:before="0" w:after="120"/>
              <w:ind w:left="459" w:hanging="284"/>
            </w:pPr>
            <w:r w:rsidRPr="00941ED2">
              <w:t>Adverse cardiac event over defined period</w:t>
            </w:r>
          </w:p>
          <w:p w14:paraId="6E70CBD0" w14:textId="77777777" w:rsidR="003E4647" w:rsidRPr="00941ED2" w:rsidRDefault="003E4647" w:rsidP="004C79C1">
            <w:pPr>
              <w:pStyle w:val="Tabletext1"/>
              <w:numPr>
                <w:ilvl w:val="0"/>
                <w:numId w:val="29"/>
              </w:numPr>
              <w:spacing w:before="0" w:after="120"/>
              <w:ind w:left="460" w:hanging="284"/>
            </w:pPr>
            <w:r w:rsidRPr="00941ED2">
              <w:t>Quality of life scores</w:t>
            </w:r>
          </w:p>
          <w:p w14:paraId="7847EE49" w14:textId="063E5BA9" w:rsidR="003E4647" w:rsidRPr="00E436AA" w:rsidRDefault="003E4647"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Cost-effectiveness</w:t>
            </w:r>
            <w:r w:rsidR="004610E5">
              <w:rPr>
                <w:rFonts w:ascii="Arial Narrow" w:hAnsi="Arial Narrow" w:cs="Arial Narrow"/>
                <w:bCs/>
                <w:sz w:val="20"/>
                <w:szCs w:val="20"/>
              </w:rPr>
              <w:t>:</w:t>
            </w:r>
          </w:p>
          <w:p w14:paraId="7A8D4CF1" w14:textId="77777777" w:rsidR="003E4647" w:rsidRPr="00941ED2" w:rsidRDefault="003E4647" w:rsidP="004C79C1">
            <w:pPr>
              <w:pStyle w:val="Tabletext1"/>
              <w:numPr>
                <w:ilvl w:val="0"/>
                <w:numId w:val="29"/>
              </w:numPr>
              <w:spacing w:before="0" w:after="120"/>
              <w:ind w:left="460" w:hanging="284"/>
            </w:pPr>
            <w:r w:rsidRPr="00941ED2">
              <w:t>Cost</w:t>
            </w:r>
          </w:p>
          <w:p w14:paraId="19CDC572" w14:textId="02AB6B54" w:rsidR="003E4647" w:rsidRPr="00941ED2" w:rsidRDefault="003E4647" w:rsidP="004C79C1">
            <w:pPr>
              <w:pStyle w:val="Tabletext1"/>
              <w:numPr>
                <w:ilvl w:val="0"/>
                <w:numId w:val="29"/>
              </w:numPr>
              <w:spacing w:before="0" w:after="120"/>
              <w:ind w:left="459" w:hanging="284"/>
            </w:pPr>
            <w:r w:rsidRPr="00941ED2">
              <w:t>Cost per QALY or DALY</w:t>
            </w:r>
          </w:p>
          <w:p w14:paraId="061C5EB0" w14:textId="09D86B04" w:rsidR="003E4647" w:rsidRPr="00E436AA" w:rsidRDefault="003E4647" w:rsidP="004C79C1">
            <w:pPr>
              <w:pStyle w:val="Tabletext1"/>
              <w:numPr>
                <w:ilvl w:val="0"/>
                <w:numId w:val="29"/>
              </w:numPr>
              <w:spacing w:before="0" w:after="120"/>
              <w:ind w:left="459" w:hanging="284"/>
              <w:rPr>
                <w:rFonts w:cs="Arial Narrow"/>
                <w:bCs/>
              </w:rPr>
            </w:pPr>
            <w:r w:rsidRPr="00941ED2">
              <w:t>ICER</w:t>
            </w:r>
          </w:p>
        </w:tc>
        <w:tc>
          <w:tcPr>
            <w:tcW w:w="3969" w:type="dxa"/>
            <w:tcBorders>
              <w:left w:val="nil"/>
            </w:tcBorders>
            <w:shd w:val="clear" w:color="auto" w:fill="auto"/>
          </w:tcPr>
          <w:p w14:paraId="0969493A" w14:textId="48235D7B" w:rsidR="003E4647" w:rsidRPr="00E436AA" w:rsidRDefault="003E4647"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Health outcomes</w:t>
            </w:r>
            <w:r w:rsidR="004610E5">
              <w:rPr>
                <w:rFonts w:ascii="Arial Narrow" w:hAnsi="Arial Narrow" w:cs="Arial Narrow"/>
                <w:bCs/>
                <w:sz w:val="20"/>
                <w:szCs w:val="20"/>
              </w:rPr>
              <w:t>:</w:t>
            </w:r>
          </w:p>
          <w:p w14:paraId="272AEDE5" w14:textId="77777777" w:rsidR="003E4647" w:rsidRPr="00941ED2" w:rsidRDefault="003E4647" w:rsidP="004C79C1">
            <w:pPr>
              <w:pStyle w:val="Tabletext1"/>
              <w:numPr>
                <w:ilvl w:val="0"/>
                <w:numId w:val="29"/>
              </w:numPr>
              <w:spacing w:before="0" w:after="120"/>
              <w:ind w:left="460" w:hanging="284"/>
            </w:pPr>
            <w:r w:rsidRPr="00941ED2">
              <w:t>Cardiac disease-specific mortality</w:t>
            </w:r>
          </w:p>
          <w:p w14:paraId="34F52A08" w14:textId="77777777" w:rsidR="003E4647" w:rsidRPr="00941ED2" w:rsidRDefault="003E4647" w:rsidP="004C79C1">
            <w:pPr>
              <w:pStyle w:val="Tabletext1"/>
              <w:numPr>
                <w:ilvl w:val="0"/>
                <w:numId w:val="29"/>
              </w:numPr>
              <w:spacing w:before="0" w:after="120"/>
              <w:ind w:left="459" w:hanging="284"/>
            </w:pPr>
            <w:r w:rsidRPr="00941ED2">
              <w:t>Survival</w:t>
            </w:r>
          </w:p>
          <w:p w14:paraId="3C5A4574" w14:textId="77777777" w:rsidR="003E4647" w:rsidRPr="00941ED2" w:rsidRDefault="003E4647" w:rsidP="004C79C1">
            <w:pPr>
              <w:pStyle w:val="Tabletext1"/>
              <w:numPr>
                <w:ilvl w:val="0"/>
                <w:numId w:val="29"/>
              </w:numPr>
              <w:spacing w:before="0" w:after="120"/>
              <w:ind w:left="459" w:hanging="284"/>
            </w:pPr>
            <w:r w:rsidRPr="00941ED2">
              <w:t>Cardiac hospitalisation</w:t>
            </w:r>
          </w:p>
          <w:p w14:paraId="6E275718" w14:textId="77777777" w:rsidR="003E4647" w:rsidRPr="00941ED2" w:rsidRDefault="003E4647" w:rsidP="004C79C1">
            <w:pPr>
              <w:pStyle w:val="Tabletext1"/>
              <w:numPr>
                <w:ilvl w:val="0"/>
                <w:numId w:val="29"/>
              </w:numPr>
              <w:spacing w:before="0" w:after="120"/>
              <w:ind w:left="459" w:hanging="284"/>
            </w:pPr>
            <w:r w:rsidRPr="00941ED2">
              <w:t>Adverse cardiac event over defined period</w:t>
            </w:r>
          </w:p>
          <w:p w14:paraId="76451965" w14:textId="77777777" w:rsidR="003E4647" w:rsidRPr="00941ED2" w:rsidRDefault="003E4647" w:rsidP="004C79C1">
            <w:pPr>
              <w:pStyle w:val="Tabletext1"/>
              <w:numPr>
                <w:ilvl w:val="0"/>
                <w:numId w:val="29"/>
              </w:numPr>
              <w:spacing w:before="0" w:after="120"/>
              <w:ind w:left="460" w:hanging="284"/>
            </w:pPr>
            <w:r w:rsidRPr="00941ED2">
              <w:t>Quality of life scores</w:t>
            </w:r>
          </w:p>
          <w:p w14:paraId="53EC2443" w14:textId="57BADC13" w:rsidR="003E4647" w:rsidRPr="00E436AA" w:rsidRDefault="003E4647" w:rsidP="004C79C1">
            <w:pPr>
              <w:autoSpaceDE w:val="0"/>
              <w:autoSpaceDN w:val="0"/>
              <w:adjustRightInd w:val="0"/>
              <w:spacing w:after="120" w:line="240" w:lineRule="auto"/>
              <w:rPr>
                <w:rFonts w:ascii="Arial Narrow" w:hAnsi="Arial Narrow" w:cs="Arial Narrow"/>
                <w:bCs/>
                <w:sz w:val="20"/>
                <w:szCs w:val="20"/>
              </w:rPr>
            </w:pPr>
            <w:r w:rsidRPr="00E436AA">
              <w:rPr>
                <w:rFonts w:ascii="Arial Narrow" w:hAnsi="Arial Narrow" w:cs="Arial Narrow"/>
                <w:bCs/>
                <w:sz w:val="20"/>
                <w:szCs w:val="20"/>
              </w:rPr>
              <w:t>Cost-effectiveness</w:t>
            </w:r>
            <w:r w:rsidR="004610E5">
              <w:rPr>
                <w:rFonts w:ascii="Arial Narrow" w:hAnsi="Arial Narrow" w:cs="Arial Narrow"/>
                <w:bCs/>
                <w:sz w:val="20"/>
                <w:szCs w:val="20"/>
              </w:rPr>
              <w:t>:</w:t>
            </w:r>
          </w:p>
          <w:p w14:paraId="2537FFD3" w14:textId="77777777" w:rsidR="003E4647" w:rsidRPr="00941ED2" w:rsidRDefault="003E4647" w:rsidP="004C79C1">
            <w:pPr>
              <w:pStyle w:val="Tabletext1"/>
              <w:numPr>
                <w:ilvl w:val="0"/>
                <w:numId w:val="29"/>
              </w:numPr>
              <w:spacing w:before="0" w:after="120"/>
              <w:ind w:left="460" w:hanging="284"/>
            </w:pPr>
            <w:r w:rsidRPr="00941ED2">
              <w:t>Cost</w:t>
            </w:r>
          </w:p>
          <w:p w14:paraId="705E0130" w14:textId="1E9D3667" w:rsidR="003E4647" w:rsidRPr="00941ED2" w:rsidRDefault="003E4647" w:rsidP="004C79C1">
            <w:pPr>
              <w:pStyle w:val="Tabletext1"/>
              <w:numPr>
                <w:ilvl w:val="0"/>
                <w:numId w:val="29"/>
              </w:numPr>
              <w:spacing w:before="0" w:after="120"/>
              <w:ind w:left="459" w:hanging="284"/>
            </w:pPr>
            <w:r w:rsidRPr="00941ED2">
              <w:t>Cost per QALY or DALY</w:t>
            </w:r>
          </w:p>
          <w:p w14:paraId="61608FD6" w14:textId="37822F96" w:rsidR="003E4647" w:rsidRPr="00E436AA" w:rsidRDefault="003E4647" w:rsidP="004C79C1">
            <w:pPr>
              <w:pStyle w:val="Tabletext1"/>
              <w:numPr>
                <w:ilvl w:val="0"/>
                <w:numId w:val="29"/>
              </w:numPr>
              <w:spacing w:before="0" w:after="120"/>
              <w:ind w:left="459" w:hanging="284"/>
              <w:rPr>
                <w:rFonts w:cs="Arial Narrow"/>
                <w:bCs/>
              </w:rPr>
            </w:pPr>
            <w:r w:rsidRPr="00941ED2">
              <w:t xml:space="preserve"> ICER</w:t>
            </w:r>
          </w:p>
        </w:tc>
      </w:tr>
      <w:tr w:rsidR="003E4647" w:rsidRPr="00183E4D" w14:paraId="10FD78B5" w14:textId="77777777" w:rsidTr="00B2377A">
        <w:tc>
          <w:tcPr>
            <w:tcW w:w="1948" w:type="dxa"/>
            <w:tcBorders>
              <w:top w:val="single" w:sz="4" w:space="0" w:color="auto"/>
              <w:bottom w:val="single" w:sz="4" w:space="0" w:color="auto"/>
            </w:tcBorders>
            <w:shd w:val="clear" w:color="auto" w:fill="auto"/>
          </w:tcPr>
          <w:p w14:paraId="18B91DC3" w14:textId="77777777" w:rsidR="003E4647" w:rsidRPr="00183E4D" w:rsidRDefault="003E4647"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3122" w:type="dxa"/>
            <w:tcBorders>
              <w:top w:val="single" w:sz="4" w:space="0" w:color="auto"/>
              <w:bottom w:val="single" w:sz="4" w:space="0" w:color="auto"/>
              <w:right w:val="nil"/>
            </w:tcBorders>
            <w:shd w:val="clear" w:color="auto" w:fill="auto"/>
          </w:tcPr>
          <w:p w14:paraId="10B791F1" w14:textId="0454CA5B" w:rsidR="003E4647" w:rsidRPr="00183E4D" w:rsidRDefault="003E4647" w:rsidP="004C79C1">
            <w:pPr>
              <w:tabs>
                <w:tab w:val="left" w:pos="0"/>
              </w:tabs>
              <w:spacing w:after="120" w:line="240" w:lineRule="auto"/>
              <w:ind w:right="62"/>
              <w:rPr>
                <w:rFonts w:ascii="Arial Narrow" w:hAnsi="Arial Narrow" w:cs="Arial"/>
                <w:sz w:val="20"/>
              </w:rPr>
            </w:pPr>
            <w:r>
              <w:rPr>
                <w:rFonts w:ascii="Arial Narrow" w:hAnsi="Arial Narrow"/>
                <w:sz w:val="20"/>
                <w:szCs w:val="20"/>
              </w:rPr>
              <w:t>What is the</w:t>
            </w:r>
            <w:r w:rsidRPr="00F86259">
              <w:rPr>
                <w:rFonts w:ascii="Arial Narrow" w:hAnsi="Arial Narrow"/>
                <w:sz w:val="20"/>
                <w:szCs w:val="20"/>
              </w:rPr>
              <w:t xml:space="preserve"> effectiveness and cost-effectiveness of </w:t>
            </w:r>
            <w:r w:rsidRPr="00456F62">
              <w:rPr>
                <w:rFonts w:ascii="Arial Narrow" w:hAnsi="Arial Narrow"/>
                <w:sz w:val="20"/>
                <w:szCs w:val="20"/>
              </w:rPr>
              <w:t xml:space="preserve">CMR compared </w:t>
            </w:r>
            <w:r w:rsidR="00460601">
              <w:rPr>
                <w:rFonts w:ascii="Arial Narrow" w:hAnsi="Arial Narrow"/>
                <w:sz w:val="20"/>
                <w:szCs w:val="20"/>
              </w:rPr>
              <w:t>with</w:t>
            </w:r>
            <w:r w:rsidR="00460601" w:rsidRPr="00456F62">
              <w:rPr>
                <w:rFonts w:ascii="Arial Narrow" w:hAnsi="Arial Narrow"/>
                <w:sz w:val="20"/>
                <w:szCs w:val="20"/>
              </w:rPr>
              <w:t xml:space="preserve"> </w:t>
            </w:r>
            <w:r w:rsidRPr="00456F62">
              <w:rPr>
                <w:rFonts w:ascii="Arial Narrow" w:hAnsi="Arial Narrow"/>
                <w:sz w:val="20"/>
                <w:szCs w:val="20"/>
              </w:rPr>
              <w:t xml:space="preserve">stress Echo, </w:t>
            </w:r>
            <w:r w:rsidR="005F0357">
              <w:rPr>
                <w:rFonts w:ascii="Arial Narrow" w:hAnsi="Arial Narrow"/>
                <w:sz w:val="20"/>
                <w:szCs w:val="20"/>
              </w:rPr>
              <w:t>GHPS</w:t>
            </w:r>
            <w:r w:rsidR="00BE7769">
              <w:rPr>
                <w:rFonts w:ascii="Arial Narrow" w:hAnsi="Arial Narrow"/>
                <w:sz w:val="20"/>
                <w:szCs w:val="20"/>
              </w:rPr>
              <w:t>, SPECT, CTCA</w:t>
            </w:r>
            <w:r w:rsidRPr="00456F62">
              <w:rPr>
                <w:rFonts w:ascii="Arial Narrow" w:hAnsi="Arial Narrow"/>
                <w:sz w:val="20"/>
                <w:szCs w:val="20"/>
              </w:rPr>
              <w:t xml:space="preserve"> or ICA in patients with a family history of DCM in whom echocardiography is inconclusive?</w:t>
            </w:r>
          </w:p>
        </w:tc>
        <w:tc>
          <w:tcPr>
            <w:tcW w:w="3969" w:type="dxa"/>
            <w:tcBorders>
              <w:top w:val="single" w:sz="4" w:space="0" w:color="auto"/>
              <w:left w:val="nil"/>
              <w:bottom w:val="single" w:sz="4" w:space="0" w:color="auto"/>
            </w:tcBorders>
            <w:shd w:val="clear" w:color="auto" w:fill="auto"/>
          </w:tcPr>
          <w:p w14:paraId="6D6684B1" w14:textId="5BD7A074" w:rsidR="003E4647" w:rsidRPr="00183E4D" w:rsidRDefault="003E4647" w:rsidP="004C79C1">
            <w:pPr>
              <w:tabs>
                <w:tab w:val="left" w:pos="0"/>
              </w:tabs>
              <w:spacing w:after="120" w:line="240" w:lineRule="auto"/>
              <w:ind w:right="62"/>
              <w:rPr>
                <w:rFonts w:ascii="Arial Narrow" w:hAnsi="Arial Narrow" w:cs="Arial"/>
                <w:sz w:val="20"/>
              </w:rPr>
            </w:pPr>
            <w:r>
              <w:rPr>
                <w:rFonts w:ascii="Arial Narrow" w:hAnsi="Arial Narrow"/>
                <w:sz w:val="20"/>
                <w:szCs w:val="20"/>
              </w:rPr>
              <w:t>What is the</w:t>
            </w:r>
            <w:r w:rsidRPr="00F86259">
              <w:rPr>
                <w:rFonts w:ascii="Arial Narrow" w:hAnsi="Arial Narrow"/>
                <w:sz w:val="20"/>
                <w:szCs w:val="20"/>
              </w:rPr>
              <w:t xml:space="preserve"> effectiveness and cost-effectiveness of </w:t>
            </w:r>
            <w:r w:rsidRPr="00456F62">
              <w:rPr>
                <w:rFonts w:ascii="Arial Narrow" w:hAnsi="Arial Narrow"/>
                <w:sz w:val="20"/>
                <w:szCs w:val="20"/>
              </w:rPr>
              <w:t xml:space="preserve">CMR compared </w:t>
            </w:r>
            <w:r w:rsidR="00460601">
              <w:rPr>
                <w:rFonts w:ascii="Arial Narrow" w:hAnsi="Arial Narrow"/>
                <w:sz w:val="20"/>
                <w:szCs w:val="20"/>
              </w:rPr>
              <w:t>with</w:t>
            </w:r>
            <w:r w:rsidR="00460601" w:rsidRPr="00456F62">
              <w:rPr>
                <w:rFonts w:ascii="Arial Narrow" w:hAnsi="Arial Narrow"/>
                <w:sz w:val="20"/>
                <w:szCs w:val="20"/>
              </w:rPr>
              <w:t xml:space="preserve"> </w:t>
            </w:r>
            <w:r w:rsidRPr="00456F62">
              <w:rPr>
                <w:rFonts w:ascii="Arial Narrow" w:hAnsi="Arial Narrow"/>
                <w:sz w:val="20"/>
                <w:szCs w:val="20"/>
              </w:rPr>
              <w:t xml:space="preserve">CTCA and SPECT in patients with a family history of DCM in </w:t>
            </w:r>
            <w:proofErr w:type="gramStart"/>
            <w:r w:rsidRPr="00456F62">
              <w:rPr>
                <w:rFonts w:ascii="Arial Narrow" w:hAnsi="Arial Narrow"/>
                <w:sz w:val="20"/>
                <w:szCs w:val="20"/>
              </w:rPr>
              <w:t>whom</w:t>
            </w:r>
            <w:proofErr w:type="gramEnd"/>
            <w:r w:rsidRPr="00456F62">
              <w:rPr>
                <w:rFonts w:ascii="Arial Narrow" w:hAnsi="Arial Narrow"/>
                <w:sz w:val="20"/>
                <w:szCs w:val="20"/>
              </w:rPr>
              <w:t xml:space="preserve"> Echo suggests a </w:t>
            </w:r>
            <w:r w:rsidR="00460601">
              <w:rPr>
                <w:rFonts w:ascii="Arial Narrow" w:hAnsi="Arial Narrow"/>
                <w:sz w:val="20"/>
                <w:szCs w:val="20"/>
              </w:rPr>
              <w:t>DCM</w:t>
            </w:r>
            <w:r w:rsidRPr="00456F62">
              <w:rPr>
                <w:rFonts w:ascii="Arial Narrow" w:hAnsi="Arial Narrow"/>
                <w:sz w:val="20"/>
                <w:szCs w:val="20"/>
              </w:rPr>
              <w:t xml:space="preserve"> </w:t>
            </w:r>
            <w:r w:rsidR="00460601">
              <w:rPr>
                <w:rFonts w:ascii="Arial Narrow" w:hAnsi="Arial Narrow"/>
                <w:sz w:val="20"/>
                <w:szCs w:val="20"/>
              </w:rPr>
              <w:t>that</w:t>
            </w:r>
            <w:r w:rsidR="00460601" w:rsidRPr="00456F62">
              <w:rPr>
                <w:rFonts w:ascii="Arial Narrow" w:hAnsi="Arial Narrow"/>
                <w:sz w:val="20"/>
                <w:szCs w:val="20"/>
              </w:rPr>
              <w:t xml:space="preserve"> </w:t>
            </w:r>
            <w:r w:rsidRPr="00456F62">
              <w:rPr>
                <w:rFonts w:ascii="Arial Narrow" w:hAnsi="Arial Narrow"/>
                <w:sz w:val="20"/>
                <w:szCs w:val="20"/>
              </w:rPr>
              <w:t>require</w:t>
            </w:r>
            <w:r w:rsidR="00460601">
              <w:rPr>
                <w:rFonts w:ascii="Arial Narrow" w:hAnsi="Arial Narrow"/>
                <w:sz w:val="20"/>
                <w:szCs w:val="20"/>
              </w:rPr>
              <w:t>s</w:t>
            </w:r>
            <w:r w:rsidRPr="00456F62">
              <w:rPr>
                <w:rFonts w:ascii="Arial Narrow" w:hAnsi="Arial Narrow"/>
                <w:sz w:val="20"/>
                <w:szCs w:val="20"/>
              </w:rPr>
              <w:t xml:space="preserve"> further investigation due to an intermediate or high risk of </w:t>
            </w:r>
            <w:r w:rsidR="005F0357">
              <w:rPr>
                <w:rFonts w:ascii="Arial Narrow" w:hAnsi="Arial Narrow"/>
                <w:sz w:val="20"/>
                <w:szCs w:val="20"/>
              </w:rPr>
              <w:t>CAD</w:t>
            </w:r>
            <w:r w:rsidRPr="00456F62">
              <w:rPr>
                <w:rFonts w:ascii="Arial Narrow" w:hAnsi="Arial Narrow"/>
                <w:sz w:val="20"/>
                <w:szCs w:val="20"/>
              </w:rPr>
              <w:t>?</w:t>
            </w:r>
          </w:p>
        </w:tc>
      </w:tr>
    </w:tbl>
    <w:p w14:paraId="7894DF4E" w14:textId="230593B3" w:rsidR="00EF72F8" w:rsidRPr="0052250B" w:rsidRDefault="00B7129A" w:rsidP="004C79C1">
      <w:pPr>
        <w:pStyle w:val="Tablenotes0"/>
        <w:spacing w:before="0" w:after="120"/>
      </w:pPr>
      <w:r w:rsidRPr="0052250B">
        <w:t xml:space="preserve">CAD = coronary artery disease; </w:t>
      </w:r>
      <w:r w:rsidR="00463F0A" w:rsidRPr="0052250B">
        <w:t xml:space="preserve">CMR = cardiac magnetic resonance </w:t>
      </w:r>
      <w:r w:rsidR="00662048">
        <w:t>(</w:t>
      </w:r>
      <w:r w:rsidR="00463F0A" w:rsidRPr="0052250B">
        <w:t>imaging</w:t>
      </w:r>
      <w:r w:rsidR="00662048">
        <w:t>)</w:t>
      </w:r>
      <w:r w:rsidR="00463F0A" w:rsidRPr="0052250B">
        <w:t xml:space="preserve">; </w:t>
      </w:r>
      <w:r w:rsidR="003E4647" w:rsidRPr="0052250B">
        <w:t xml:space="preserve">CTCA = computed tomography coronary angiography; </w:t>
      </w:r>
      <w:r w:rsidR="00B168FB" w:rsidRPr="0052250B">
        <w:t xml:space="preserve">DALY = disability adjusted life year; </w:t>
      </w:r>
      <w:r w:rsidRPr="0052250B">
        <w:t xml:space="preserve">DCM = </w:t>
      </w:r>
      <w:r w:rsidR="003E54EA" w:rsidRPr="00B2377A">
        <w:t>dilated cardiomyopathy</w:t>
      </w:r>
      <w:r w:rsidRPr="0052250B">
        <w:t xml:space="preserve">; Echo = </w:t>
      </w:r>
      <w:r w:rsidR="003E54EA" w:rsidRPr="00B2377A">
        <w:t>echocardiography</w:t>
      </w:r>
      <w:r w:rsidRPr="0052250B">
        <w:t xml:space="preserve">; GHPS = </w:t>
      </w:r>
      <w:r w:rsidR="003E54EA" w:rsidRPr="00B2377A">
        <w:t>gated heart pool scan</w:t>
      </w:r>
      <w:r w:rsidRPr="0052250B">
        <w:t xml:space="preserve">; </w:t>
      </w:r>
      <w:r w:rsidR="003E4647" w:rsidRPr="0052250B">
        <w:t>ICA = invasive coronary angiography</w:t>
      </w:r>
      <w:r w:rsidR="00463F0A" w:rsidRPr="0052250B">
        <w:t xml:space="preserve">; </w:t>
      </w:r>
      <w:r w:rsidR="00B168FB" w:rsidRPr="0052250B">
        <w:t xml:space="preserve">ICER = incremental cost-effectiveness ratio; </w:t>
      </w:r>
      <w:r w:rsidRPr="0052250B">
        <w:t xml:space="preserve">NIDCM = </w:t>
      </w:r>
      <w:r w:rsidR="003E54EA" w:rsidRPr="00B2377A">
        <w:rPr>
          <w:color w:val="000000"/>
        </w:rPr>
        <w:t>non-ischaemic dilated cardiomyopathy</w:t>
      </w:r>
      <w:r w:rsidRPr="0052250B">
        <w:t xml:space="preserve">; </w:t>
      </w:r>
      <w:r w:rsidR="00B168FB" w:rsidRPr="0052250B">
        <w:t xml:space="preserve">QALY = quality adjusted life year; </w:t>
      </w:r>
      <w:r w:rsidR="00463F0A" w:rsidRPr="0052250B">
        <w:t>SPECT = single-photon emission computed tomography</w:t>
      </w:r>
    </w:p>
    <w:p w14:paraId="670C7BB6" w14:textId="2847A3E1" w:rsidR="003E4647" w:rsidRDefault="003E4647" w:rsidP="004C79C1">
      <w:pPr>
        <w:pStyle w:val="Tablenotes0"/>
        <w:spacing w:before="0" w:after="120"/>
      </w:pPr>
      <w:r>
        <w:t>NB: clinical advice has been sought to determine whether ICA is a correct comparator, but feedback has not been received</w:t>
      </w:r>
      <w:r w:rsidR="00034C17">
        <w:t>.</w:t>
      </w:r>
      <w:r>
        <w:t xml:space="preserve"> </w:t>
      </w:r>
    </w:p>
    <w:p w14:paraId="4D013EEC" w14:textId="77777777" w:rsidR="003E4647" w:rsidRPr="00183E4D" w:rsidRDefault="003E4647" w:rsidP="004C79C1">
      <w:pPr>
        <w:pStyle w:val="Caption"/>
      </w:pPr>
      <w:bookmarkStart w:id="935" w:name="_Toc448827361"/>
      <w:bookmarkStart w:id="936" w:name="_Toc324410291"/>
      <w:r>
        <w:t xml:space="preserve">Box </w:t>
      </w:r>
      <w:fldSimple w:instr=" SEQ Box \* ARABIC ">
        <w:r w:rsidR="00050936">
          <w:rPr>
            <w:noProof/>
          </w:rPr>
          <w:t>9</w:t>
        </w:r>
      </w:fldSimple>
      <w:r w:rsidRPr="00183E4D">
        <w:rPr>
          <w:szCs w:val="20"/>
        </w:rPr>
        <w:tab/>
      </w:r>
      <w:r w:rsidRPr="00183E4D">
        <w:t xml:space="preserve">Criteria for identifying and selecting studies to determine the </w:t>
      </w:r>
      <w:r>
        <w:t>prognostic value of CMR</w:t>
      </w:r>
      <w:r w:rsidRPr="00183E4D">
        <w:t xml:space="preserve"> in </w:t>
      </w:r>
      <w:r>
        <w:t>asymptomatic individuals with a family history of DCM</w:t>
      </w:r>
      <w:bookmarkEnd w:id="935"/>
      <w:bookmarkEnd w:id="93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8"/>
        <w:gridCol w:w="3263"/>
        <w:gridCol w:w="3828"/>
      </w:tblGrid>
      <w:tr w:rsidR="0052250B" w:rsidRPr="00183E4D" w14:paraId="2EC7B4D6" w14:textId="77777777" w:rsidTr="00B2377A">
        <w:trPr>
          <w:trHeight w:val="263"/>
        </w:trPr>
        <w:tc>
          <w:tcPr>
            <w:tcW w:w="1948" w:type="dxa"/>
            <w:shd w:val="clear" w:color="auto" w:fill="auto"/>
          </w:tcPr>
          <w:p w14:paraId="43D7BC99" w14:textId="77777777" w:rsidR="0052250B" w:rsidRPr="00183E4D" w:rsidRDefault="0052250B" w:rsidP="004C79C1">
            <w:pPr>
              <w:pStyle w:val="Tabletext1"/>
              <w:spacing w:before="0" w:after="120"/>
              <w:rPr>
                <w:b/>
              </w:rPr>
            </w:pPr>
            <w:r w:rsidRPr="00183E4D">
              <w:rPr>
                <w:b/>
              </w:rPr>
              <w:t>Selection criteria</w:t>
            </w:r>
          </w:p>
        </w:tc>
        <w:tc>
          <w:tcPr>
            <w:tcW w:w="7091" w:type="dxa"/>
            <w:gridSpan w:val="2"/>
            <w:shd w:val="clear" w:color="auto" w:fill="auto"/>
          </w:tcPr>
          <w:p w14:paraId="17478BB7" w14:textId="6B1A0C39" w:rsidR="0052250B" w:rsidRPr="00183E4D" w:rsidRDefault="0052250B" w:rsidP="004C79C1">
            <w:pPr>
              <w:pStyle w:val="Tabletext1"/>
              <w:spacing w:before="0" w:after="120"/>
              <w:jc w:val="center"/>
              <w:rPr>
                <w:rFonts w:cs="Arial"/>
                <w:b/>
              </w:rPr>
            </w:pPr>
            <w:r w:rsidRPr="00183E4D">
              <w:rPr>
                <w:rFonts w:cs="Arial"/>
                <w:b/>
              </w:rPr>
              <w:t>Description</w:t>
            </w:r>
          </w:p>
        </w:tc>
      </w:tr>
      <w:tr w:rsidR="00C73BE7" w:rsidRPr="00183E4D" w14:paraId="236FAB26" w14:textId="77777777" w:rsidTr="00B2377A">
        <w:tc>
          <w:tcPr>
            <w:tcW w:w="1948" w:type="dxa"/>
            <w:shd w:val="clear" w:color="auto" w:fill="auto"/>
          </w:tcPr>
          <w:p w14:paraId="3E7148EA" w14:textId="77777777" w:rsidR="00C73BE7" w:rsidRPr="00183E4D" w:rsidRDefault="00C73BE7" w:rsidP="004C79C1">
            <w:pPr>
              <w:pStyle w:val="Tabletext1"/>
              <w:spacing w:before="0" w:after="120"/>
            </w:pPr>
            <w:r w:rsidRPr="00183E4D">
              <w:t>Population</w:t>
            </w:r>
          </w:p>
        </w:tc>
        <w:tc>
          <w:tcPr>
            <w:tcW w:w="3263" w:type="dxa"/>
            <w:shd w:val="clear" w:color="auto" w:fill="auto"/>
          </w:tcPr>
          <w:p w14:paraId="773D3997" w14:textId="737BCA72" w:rsidR="00C73BE7" w:rsidRPr="00183E4D" w:rsidRDefault="00C73BE7" w:rsidP="004C79C1">
            <w:pPr>
              <w:pStyle w:val="Tabletext1"/>
              <w:spacing w:before="0" w:after="120"/>
              <w:rPr>
                <w:rFonts w:cs="Arial"/>
              </w:rPr>
            </w:pPr>
            <w:r w:rsidRPr="00F86259">
              <w:t xml:space="preserve">Asymptomatic individuals with a family history of </w:t>
            </w:r>
            <w:r w:rsidR="0052250B">
              <w:t>NIDCM</w:t>
            </w:r>
            <w:r w:rsidRPr="00F86259">
              <w:t xml:space="preserve"> in a first-degree relative in whom </w:t>
            </w:r>
            <w:r>
              <w:t>Echo</w:t>
            </w:r>
            <w:r w:rsidRPr="00F86259">
              <w:t xml:space="preserve"> is inconclusive</w:t>
            </w:r>
          </w:p>
          <w:p w14:paraId="02D74F78" w14:textId="6D9C6CF4" w:rsidR="00C73BE7" w:rsidRPr="00183E4D" w:rsidRDefault="00C73BE7" w:rsidP="004C79C1">
            <w:pPr>
              <w:pStyle w:val="Tabletext1"/>
              <w:spacing w:before="0" w:after="120"/>
              <w:rPr>
                <w:rFonts w:cs="Arial"/>
              </w:rPr>
            </w:pPr>
          </w:p>
        </w:tc>
        <w:tc>
          <w:tcPr>
            <w:tcW w:w="3828" w:type="dxa"/>
            <w:shd w:val="clear" w:color="auto" w:fill="auto"/>
          </w:tcPr>
          <w:p w14:paraId="19105A94" w14:textId="4F5561A6" w:rsidR="00C73BE7" w:rsidRPr="00183E4D" w:rsidRDefault="00C73BE7" w:rsidP="004C79C1">
            <w:pPr>
              <w:pStyle w:val="Tabletext1"/>
              <w:spacing w:before="0" w:after="120"/>
              <w:rPr>
                <w:rFonts w:cs="Arial"/>
              </w:rPr>
            </w:pPr>
            <w:r w:rsidRPr="00F86259">
              <w:t xml:space="preserve">Asymptomatic individuals with a family history of </w:t>
            </w:r>
            <w:r w:rsidR="0052250B">
              <w:t>NIDCM</w:t>
            </w:r>
            <w:r w:rsidRPr="00F86259">
              <w:t xml:space="preserve"> in a first-degree relative in whom</w:t>
            </w:r>
            <w:r>
              <w:t xml:space="preserve"> Echo suggests a </w:t>
            </w:r>
            <w:r w:rsidR="0052250B">
              <w:t>DCM</w:t>
            </w:r>
            <w:r>
              <w:t xml:space="preserve"> </w:t>
            </w:r>
            <w:r w:rsidR="0052250B">
              <w:t xml:space="preserve">that </w:t>
            </w:r>
            <w:r>
              <w:t xml:space="preserve">requires further investigation due to an intermediate or high risk of </w:t>
            </w:r>
            <w:r w:rsidR="0052250B">
              <w:t>CAD</w:t>
            </w:r>
          </w:p>
        </w:tc>
      </w:tr>
      <w:tr w:rsidR="00C73BE7" w:rsidRPr="00183E4D" w14:paraId="005A0347" w14:textId="77777777" w:rsidTr="00B2377A">
        <w:tc>
          <w:tcPr>
            <w:tcW w:w="1948" w:type="dxa"/>
            <w:shd w:val="clear" w:color="auto" w:fill="auto"/>
          </w:tcPr>
          <w:p w14:paraId="0E0590F2" w14:textId="77777777" w:rsidR="00C73BE7" w:rsidRPr="00183E4D" w:rsidRDefault="00C73BE7" w:rsidP="004C79C1">
            <w:pPr>
              <w:pStyle w:val="Tabletext1"/>
              <w:spacing w:before="0" w:after="120"/>
            </w:pPr>
            <w:r>
              <w:t>Prior tests</w:t>
            </w:r>
          </w:p>
        </w:tc>
        <w:tc>
          <w:tcPr>
            <w:tcW w:w="3263" w:type="dxa"/>
            <w:shd w:val="clear" w:color="auto" w:fill="auto"/>
          </w:tcPr>
          <w:p w14:paraId="069659FA" w14:textId="46D31546" w:rsidR="00C73BE7" w:rsidRPr="00183E4D" w:rsidRDefault="00C73BE7" w:rsidP="004C79C1">
            <w:pPr>
              <w:pStyle w:val="Tabletext1"/>
              <w:spacing w:before="0" w:after="120"/>
              <w:rPr>
                <w:rFonts w:cs="Arial"/>
              </w:rPr>
            </w:pPr>
            <w:r>
              <w:rPr>
                <w:rFonts w:cs="Arial"/>
              </w:rPr>
              <w:t>Clinical examination, ECG, Echo</w:t>
            </w:r>
          </w:p>
        </w:tc>
        <w:tc>
          <w:tcPr>
            <w:tcW w:w="3828" w:type="dxa"/>
            <w:shd w:val="clear" w:color="auto" w:fill="auto"/>
          </w:tcPr>
          <w:p w14:paraId="510678ED" w14:textId="599BA123" w:rsidR="00C73BE7" w:rsidRPr="00183E4D" w:rsidRDefault="00C73BE7" w:rsidP="004C79C1">
            <w:pPr>
              <w:pStyle w:val="Tabletext1"/>
              <w:spacing w:before="0" w:after="120"/>
              <w:rPr>
                <w:rFonts w:cs="Arial"/>
              </w:rPr>
            </w:pPr>
            <w:r>
              <w:rPr>
                <w:rFonts w:cs="Arial"/>
              </w:rPr>
              <w:t>Clinical examination, ECG, Echo</w:t>
            </w:r>
          </w:p>
        </w:tc>
      </w:tr>
      <w:tr w:rsidR="00C73BE7" w:rsidRPr="00183E4D" w14:paraId="6FB69689" w14:textId="77777777" w:rsidTr="00B2377A">
        <w:tc>
          <w:tcPr>
            <w:tcW w:w="1948" w:type="dxa"/>
            <w:shd w:val="clear" w:color="auto" w:fill="auto"/>
          </w:tcPr>
          <w:p w14:paraId="183C72D8" w14:textId="77777777" w:rsidR="00C73BE7" w:rsidRPr="00183E4D" w:rsidRDefault="00C73BE7" w:rsidP="004C79C1">
            <w:pPr>
              <w:pStyle w:val="Tabletext1"/>
              <w:spacing w:before="0" w:after="120"/>
            </w:pPr>
            <w:r w:rsidRPr="00183E4D">
              <w:t>In</w:t>
            </w:r>
            <w:r>
              <w:t>dex test</w:t>
            </w:r>
          </w:p>
        </w:tc>
        <w:tc>
          <w:tcPr>
            <w:tcW w:w="3263" w:type="dxa"/>
            <w:shd w:val="clear" w:color="auto" w:fill="auto"/>
          </w:tcPr>
          <w:p w14:paraId="620E76D9" w14:textId="34683E7F" w:rsidR="00C73BE7" w:rsidRPr="00183E4D" w:rsidRDefault="00C73BE7" w:rsidP="004C79C1">
            <w:pPr>
              <w:pStyle w:val="Tabletext1"/>
              <w:spacing w:before="0" w:after="120"/>
            </w:pPr>
            <w:r>
              <w:rPr>
                <w:rFonts w:cs="Arial Narrow"/>
                <w:bCs/>
              </w:rPr>
              <w:t>CMR</w:t>
            </w:r>
            <w:r w:rsidRPr="00823DA2">
              <w:rPr>
                <w:rFonts w:cs="Arial Narrow"/>
                <w:bCs/>
              </w:rPr>
              <w:t xml:space="preserve"> assessment of myocardial structure and function, including tissue characterisation</w:t>
            </w:r>
            <w:r>
              <w:rPr>
                <w:rFonts w:cs="Arial Narrow"/>
                <w:bCs/>
              </w:rPr>
              <w:t>, in addition to prior tests</w:t>
            </w:r>
          </w:p>
        </w:tc>
        <w:tc>
          <w:tcPr>
            <w:tcW w:w="3828" w:type="dxa"/>
            <w:shd w:val="clear" w:color="auto" w:fill="auto"/>
          </w:tcPr>
          <w:p w14:paraId="5FF25BBF" w14:textId="786100F7" w:rsidR="00C73BE7" w:rsidRPr="00183E4D" w:rsidRDefault="00C73BE7" w:rsidP="004C79C1">
            <w:pPr>
              <w:pStyle w:val="Tabletext1"/>
              <w:spacing w:before="0" w:after="120"/>
            </w:pPr>
            <w:r>
              <w:rPr>
                <w:rFonts w:cs="Arial Narrow"/>
                <w:bCs/>
              </w:rPr>
              <w:t>CMR</w:t>
            </w:r>
            <w:r w:rsidRPr="00823DA2">
              <w:rPr>
                <w:rFonts w:cs="Arial Narrow"/>
                <w:bCs/>
              </w:rPr>
              <w:t xml:space="preserve"> assessment of myocardial structure and function, including tissue characterisation</w:t>
            </w:r>
            <w:r>
              <w:rPr>
                <w:rFonts w:cs="Arial Narrow"/>
                <w:bCs/>
              </w:rPr>
              <w:t>, in addition to prior tests</w:t>
            </w:r>
          </w:p>
        </w:tc>
      </w:tr>
      <w:tr w:rsidR="00C73BE7" w:rsidRPr="00183E4D" w14:paraId="39AFF56B" w14:textId="77777777" w:rsidTr="00B2377A">
        <w:tc>
          <w:tcPr>
            <w:tcW w:w="1948" w:type="dxa"/>
            <w:shd w:val="clear" w:color="auto" w:fill="auto"/>
          </w:tcPr>
          <w:p w14:paraId="4AB9F20A" w14:textId="77777777" w:rsidR="00C73BE7" w:rsidRPr="00183E4D" w:rsidRDefault="00C73BE7" w:rsidP="004C79C1">
            <w:pPr>
              <w:pStyle w:val="Tabletext1"/>
              <w:spacing w:before="0" w:after="120"/>
            </w:pPr>
            <w:r>
              <w:t>Comparators</w:t>
            </w:r>
          </w:p>
        </w:tc>
        <w:tc>
          <w:tcPr>
            <w:tcW w:w="3263" w:type="dxa"/>
            <w:shd w:val="clear" w:color="auto" w:fill="auto"/>
          </w:tcPr>
          <w:p w14:paraId="5A87559A" w14:textId="77777777" w:rsidR="00C73BE7" w:rsidRPr="00183E4D" w:rsidRDefault="00C73BE7" w:rsidP="004C79C1">
            <w:pPr>
              <w:pStyle w:val="Tabletext1"/>
              <w:spacing w:before="0" w:after="120"/>
            </w:pPr>
            <w:r>
              <w:rPr>
                <w:rFonts w:cs="Arial Narrow"/>
                <w:bCs/>
              </w:rPr>
              <w:t>Prior tests only</w:t>
            </w:r>
          </w:p>
        </w:tc>
        <w:tc>
          <w:tcPr>
            <w:tcW w:w="3828" w:type="dxa"/>
            <w:shd w:val="clear" w:color="auto" w:fill="auto"/>
          </w:tcPr>
          <w:p w14:paraId="14EBEB56" w14:textId="3C6EF40C" w:rsidR="00C73BE7" w:rsidRPr="00183E4D" w:rsidRDefault="00C73BE7" w:rsidP="004C79C1">
            <w:pPr>
              <w:pStyle w:val="Tabletext1"/>
              <w:spacing w:before="0" w:after="120"/>
            </w:pPr>
            <w:r>
              <w:rPr>
                <w:rFonts w:cs="Arial Narrow"/>
                <w:bCs/>
              </w:rPr>
              <w:t>Prior tests only</w:t>
            </w:r>
          </w:p>
        </w:tc>
      </w:tr>
      <w:tr w:rsidR="00C73BE7" w:rsidRPr="00183E4D" w14:paraId="3D559471" w14:textId="77777777" w:rsidTr="00B2377A">
        <w:tc>
          <w:tcPr>
            <w:tcW w:w="1948" w:type="dxa"/>
            <w:shd w:val="clear" w:color="auto" w:fill="auto"/>
          </w:tcPr>
          <w:p w14:paraId="2E66E609" w14:textId="77777777" w:rsidR="00C73BE7" w:rsidRPr="00183E4D" w:rsidRDefault="00C73BE7" w:rsidP="004C79C1">
            <w:pPr>
              <w:pStyle w:val="Tabletext1"/>
              <w:spacing w:before="0" w:after="120"/>
            </w:pPr>
            <w:r w:rsidRPr="00183E4D">
              <w:t>Outcomes</w:t>
            </w:r>
          </w:p>
        </w:tc>
        <w:tc>
          <w:tcPr>
            <w:tcW w:w="3263" w:type="dxa"/>
            <w:shd w:val="clear" w:color="auto" w:fill="auto"/>
          </w:tcPr>
          <w:p w14:paraId="3C93AAC8" w14:textId="3F17303B" w:rsidR="00C73BE7" w:rsidRPr="00183E4D" w:rsidRDefault="00C73BE7" w:rsidP="004C79C1">
            <w:pPr>
              <w:pStyle w:val="Tabletext1"/>
              <w:spacing w:before="0" w:after="120"/>
            </w:pPr>
            <w:r w:rsidRPr="00E62137">
              <w:rPr>
                <w:rFonts w:cs="Arial Narrow"/>
                <w:bCs/>
              </w:rPr>
              <w:t>H</w:t>
            </w:r>
            <w:r w:rsidR="00C85B39">
              <w:rPr>
                <w:rFonts w:cs="Arial Narrow"/>
                <w:bCs/>
              </w:rPr>
              <w:t>R</w:t>
            </w:r>
            <w:r w:rsidRPr="00E62137">
              <w:rPr>
                <w:rFonts w:cs="Arial Narrow"/>
                <w:bCs/>
              </w:rPr>
              <w:t xml:space="preserve">, </w:t>
            </w:r>
            <w:r w:rsidR="00C85B39">
              <w:rPr>
                <w:rFonts w:cs="Arial Narrow"/>
                <w:bCs/>
              </w:rPr>
              <w:t>RR</w:t>
            </w:r>
            <w:r w:rsidRPr="00E62137">
              <w:rPr>
                <w:rFonts w:cs="Arial Narrow"/>
                <w:bCs/>
              </w:rPr>
              <w:t>, mortality rates</w:t>
            </w:r>
          </w:p>
        </w:tc>
        <w:tc>
          <w:tcPr>
            <w:tcW w:w="3828" w:type="dxa"/>
            <w:shd w:val="clear" w:color="auto" w:fill="auto"/>
          </w:tcPr>
          <w:p w14:paraId="080B8763" w14:textId="3D2C99B4" w:rsidR="00C73BE7" w:rsidRPr="00183E4D" w:rsidRDefault="00C73BE7" w:rsidP="004C79C1">
            <w:pPr>
              <w:pStyle w:val="Tabletext1"/>
              <w:spacing w:before="0" w:after="120"/>
            </w:pPr>
            <w:r w:rsidRPr="00E62137">
              <w:rPr>
                <w:rFonts w:cs="Arial Narrow"/>
                <w:bCs/>
              </w:rPr>
              <w:t>H</w:t>
            </w:r>
            <w:r w:rsidR="00C85B39">
              <w:rPr>
                <w:rFonts w:cs="Arial Narrow"/>
                <w:bCs/>
              </w:rPr>
              <w:t>R</w:t>
            </w:r>
            <w:r w:rsidRPr="00E62137">
              <w:rPr>
                <w:rFonts w:cs="Arial Narrow"/>
                <w:bCs/>
              </w:rPr>
              <w:t xml:space="preserve">, </w:t>
            </w:r>
            <w:r w:rsidR="00C85B39">
              <w:rPr>
                <w:rFonts w:cs="Arial Narrow"/>
                <w:bCs/>
              </w:rPr>
              <w:t>RR</w:t>
            </w:r>
            <w:r w:rsidRPr="00E62137">
              <w:rPr>
                <w:rFonts w:cs="Arial Narrow"/>
                <w:bCs/>
              </w:rPr>
              <w:t>, mortality rates</w:t>
            </w:r>
          </w:p>
        </w:tc>
      </w:tr>
      <w:tr w:rsidR="00C73BE7" w:rsidRPr="00183E4D" w14:paraId="008BF5F5" w14:textId="77777777" w:rsidTr="00B2377A">
        <w:tc>
          <w:tcPr>
            <w:tcW w:w="1948" w:type="dxa"/>
            <w:tcBorders>
              <w:top w:val="single" w:sz="4" w:space="0" w:color="auto"/>
              <w:bottom w:val="single" w:sz="4" w:space="0" w:color="auto"/>
            </w:tcBorders>
            <w:shd w:val="clear" w:color="auto" w:fill="auto"/>
          </w:tcPr>
          <w:p w14:paraId="172C84BA" w14:textId="77777777" w:rsidR="00C73BE7" w:rsidRPr="00183E4D" w:rsidRDefault="00C73BE7"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3263" w:type="dxa"/>
            <w:tcBorders>
              <w:top w:val="single" w:sz="4" w:space="0" w:color="auto"/>
              <w:bottom w:val="single" w:sz="4" w:space="0" w:color="auto"/>
            </w:tcBorders>
            <w:shd w:val="clear" w:color="auto" w:fill="auto"/>
          </w:tcPr>
          <w:p w14:paraId="21EC8699" w14:textId="4AE791B2" w:rsidR="00C73BE7" w:rsidRPr="00183E4D" w:rsidRDefault="00C73BE7" w:rsidP="004C79C1">
            <w:pPr>
              <w:tabs>
                <w:tab w:val="left" w:pos="0"/>
              </w:tabs>
              <w:spacing w:after="120" w:line="240" w:lineRule="auto"/>
              <w:ind w:right="62"/>
              <w:rPr>
                <w:rFonts w:ascii="Arial Narrow" w:hAnsi="Arial Narrow" w:cs="Arial"/>
                <w:sz w:val="20"/>
              </w:rPr>
            </w:pPr>
            <w:r>
              <w:rPr>
                <w:rFonts w:ascii="Arial Narrow" w:hAnsi="Arial Narrow"/>
                <w:sz w:val="20"/>
                <w:szCs w:val="20"/>
              </w:rPr>
              <w:t xml:space="preserve">What is the prognostic value of </w:t>
            </w:r>
            <w:r w:rsidRPr="00E436AA">
              <w:rPr>
                <w:rFonts w:ascii="Arial Narrow" w:hAnsi="Arial Narrow"/>
                <w:sz w:val="20"/>
                <w:szCs w:val="20"/>
              </w:rPr>
              <w:t xml:space="preserve">CMR </w:t>
            </w:r>
            <w:r w:rsidRPr="00456F62">
              <w:rPr>
                <w:rFonts w:ascii="Arial Narrow" w:hAnsi="Arial Narrow"/>
                <w:sz w:val="20"/>
                <w:szCs w:val="20"/>
              </w:rPr>
              <w:t xml:space="preserve">compared </w:t>
            </w:r>
            <w:r w:rsidR="00954D4D">
              <w:rPr>
                <w:rFonts w:ascii="Arial Narrow" w:hAnsi="Arial Narrow"/>
                <w:sz w:val="20"/>
                <w:szCs w:val="20"/>
              </w:rPr>
              <w:t>with</w:t>
            </w:r>
            <w:r w:rsidR="00954D4D" w:rsidRPr="00456F62">
              <w:rPr>
                <w:rFonts w:ascii="Arial Narrow" w:hAnsi="Arial Narrow"/>
                <w:sz w:val="20"/>
                <w:szCs w:val="20"/>
              </w:rPr>
              <w:t xml:space="preserve"> </w:t>
            </w:r>
            <w:r w:rsidRPr="00456F62">
              <w:rPr>
                <w:rFonts w:ascii="Arial Narrow" w:hAnsi="Arial Narrow"/>
                <w:sz w:val="20"/>
                <w:szCs w:val="20"/>
              </w:rPr>
              <w:t xml:space="preserve">stress Echo, </w:t>
            </w:r>
            <w:r w:rsidR="00954D4D">
              <w:rPr>
                <w:rFonts w:ascii="Arial Narrow" w:hAnsi="Arial Narrow"/>
                <w:sz w:val="20"/>
                <w:szCs w:val="20"/>
              </w:rPr>
              <w:t>GHPS</w:t>
            </w:r>
            <w:r>
              <w:rPr>
                <w:rFonts w:ascii="Arial Narrow" w:hAnsi="Arial Narrow"/>
                <w:sz w:val="20"/>
                <w:szCs w:val="20"/>
              </w:rPr>
              <w:t>, SPECT, CTCA</w:t>
            </w:r>
            <w:r w:rsidRPr="00456F62">
              <w:rPr>
                <w:rFonts w:ascii="Arial Narrow" w:hAnsi="Arial Narrow"/>
                <w:sz w:val="20"/>
                <w:szCs w:val="20"/>
              </w:rPr>
              <w:t xml:space="preserve"> or ICA in patients with a family history of DCM in whom </w:t>
            </w:r>
            <w:r w:rsidR="00954D4D">
              <w:rPr>
                <w:rFonts w:ascii="Arial Narrow" w:hAnsi="Arial Narrow"/>
                <w:sz w:val="20"/>
                <w:szCs w:val="20"/>
              </w:rPr>
              <w:t>E</w:t>
            </w:r>
            <w:r w:rsidRPr="00456F62">
              <w:rPr>
                <w:rFonts w:ascii="Arial Narrow" w:hAnsi="Arial Narrow"/>
                <w:sz w:val="20"/>
                <w:szCs w:val="20"/>
              </w:rPr>
              <w:t>cho is inconclusive?</w:t>
            </w:r>
          </w:p>
        </w:tc>
        <w:tc>
          <w:tcPr>
            <w:tcW w:w="3828" w:type="dxa"/>
            <w:tcBorders>
              <w:top w:val="single" w:sz="4" w:space="0" w:color="auto"/>
              <w:bottom w:val="single" w:sz="4" w:space="0" w:color="auto"/>
            </w:tcBorders>
            <w:shd w:val="clear" w:color="auto" w:fill="auto"/>
          </w:tcPr>
          <w:p w14:paraId="09F469D0" w14:textId="3EEF0DFA" w:rsidR="00C73BE7" w:rsidRPr="00183E4D" w:rsidRDefault="00C73BE7" w:rsidP="004C79C1">
            <w:pPr>
              <w:tabs>
                <w:tab w:val="left" w:pos="0"/>
              </w:tabs>
              <w:spacing w:after="120" w:line="240" w:lineRule="auto"/>
              <w:ind w:right="62"/>
              <w:rPr>
                <w:rFonts w:ascii="Arial Narrow" w:hAnsi="Arial Narrow" w:cs="Arial"/>
                <w:sz w:val="20"/>
              </w:rPr>
            </w:pPr>
            <w:r>
              <w:rPr>
                <w:rFonts w:ascii="Arial Narrow" w:hAnsi="Arial Narrow"/>
                <w:sz w:val="20"/>
                <w:szCs w:val="20"/>
              </w:rPr>
              <w:t xml:space="preserve">What is the prognostic value of </w:t>
            </w:r>
            <w:r w:rsidRPr="00E436AA">
              <w:rPr>
                <w:rFonts w:ascii="Arial Narrow" w:hAnsi="Arial Narrow"/>
                <w:sz w:val="20"/>
                <w:szCs w:val="20"/>
              </w:rPr>
              <w:t>CMR</w:t>
            </w:r>
            <w:r>
              <w:rPr>
                <w:rFonts w:ascii="Arial Narrow" w:hAnsi="Arial Narrow"/>
                <w:sz w:val="20"/>
                <w:szCs w:val="20"/>
              </w:rPr>
              <w:t xml:space="preserve"> compared</w:t>
            </w:r>
            <w:r w:rsidRPr="00456F62">
              <w:rPr>
                <w:rFonts w:ascii="Arial Narrow" w:hAnsi="Arial Narrow"/>
                <w:sz w:val="20"/>
                <w:szCs w:val="20"/>
              </w:rPr>
              <w:t xml:space="preserve"> </w:t>
            </w:r>
            <w:r w:rsidR="00954D4D">
              <w:rPr>
                <w:rFonts w:ascii="Arial Narrow" w:hAnsi="Arial Narrow"/>
                <w:sz w:val="20"/>
                <w:szCs w:val="20"/>
              </w:rPr>
              <w:t>with</w:t>
            </w:r>
            <w:r w:rsidR="00954D4D" w:rsidRPr="00456F62">
              <w:rPr>
                <w:rFonts w:ascii="Arial Narrow" w:hAnsi="Arial Narrow"/>
                <w:sz w:val="20"/>
                <w:szCs w:val="20"/>
              </w:rPr>
              <w:t xml:space="preserve"> </w:t>
            </w:r>
            <w:r w:rsidRPr="00456F62">
              <w:rPr>
                <w:rFonts w:ascii="Arial Narrow" w:hAnsi="Arial Narrow"/>
                <w:sz w:val="20"/>
                <w:szCs w:val="20"/>
              </w:rPr>
              <w:t xml:space="preserve">CTCA and SPECT in patients with a family history of DCM in whom Echo suggests a </w:t>
            </w:r>
            <w:r w:rsidR="00954D4D">
              <w:rPr>
                <w:rFonts w:ascii="Arial Narrow" w:hAnsi="Arial Narrow"/>
                <w:sz w:val="20"/>
                <w:szCs w:val="20"/>
              </w:rPr>
              <w:t>DCM</w:t>
            </w:r>
            <w:r w:rsidRPr="00456F62">
              <w:rPr>
                <w:rFonts w:ascii="Arial Narrow" w:hAnsi="Arial Narrow"/>
                <w:sz w:val="20"/>
                <w:szCs w:val="20"/>
              </w:rPr>
              <w:t xml:space="preserve"> </w:t>
            </w:r>
            <w:r w:rsidR="00954D4D">
              <w:rPr>
                <w:rFonts w:ascii="Arial Narrow" w:hAnsi="Arial Narrow"/>
                <w:sz w:val="20"/>
                <w:szCs w:val="20"/>
              </w:rPr>
              <w:t>that</w:t>
            </w:r>
            <w:r w:rsidR="00954D4D" w:rsidRPr="00456F62">
              <w:rPr>
                <w:rFonts w:ascii="Arial Narrow" w:hAnsi="Arial Narrow"/>
                <w:sz w:val="20"/>
                <w:szCs w:val="20"/>
              </w:rPr>
              <w:t xml:space="preserve"> </w:t>
            </w:r>
            <w:r w:rsidRPr="00456F62">
              <w:rPr>
                <w:rFonts w:ascii="Arial Narrow" w:hAnsi="Arial Narrow"/>
                <w:sz w:val="20"/>
                <w:szCs w:val="20"/>
              </w:rPr>
              <w:t>require</w:t>
            </w:r>
            <w:r w:rsidR="00954D4D">
              <w:rPr>
                <w:rFonts w:ascii="Arial Narrow" w:hAnsi="Arial Narrow"/>
                <w:sz w:val="20"/>
                <w:szCs w:val="20"/>
              </w:rPr>
              <w:t>s</w:t>
            </w:r>
            <w:r w:rsidRPr="00456F62">
              <w:rPr>
                <w:rFonts w:ascii="Arial Narrow" w:hAnsi="Arial Narrow"/>
                <w:sz w:val="20"/>
                <w:szCs w:val="20"/>
              </w:rPr>
              <w:t xml:space="preserve"> further investigation due to an intermediate or high risk of </w:t>
            </w:r>
            <w:r w:rsidR="00954D4D">
              <w:rPr>
                <w:rFonts w:ascii="Arial Narrow" w:hAnsi="Arial Narrow"/>
                <w:sz w:val="20"/>
                <w:szCs w:val="20"/>
              </w:rPr>
              <w:t>CAD</w:t>
            </w:r>
            <w:r w:rsidRPr="00456F62">
              <w:rPr>
                <w:rFonts w:ascii="Arial Narrow" w:hAnsi="Arial Narrow"/>
                <w:sz w:val="20"/>
                <w:szCs w:val="20"/>
              </w:rPr>
              <w:t>?</w:t>
            </w:r>
          </w:p>
        </w:tc>
      </w:tr>
    </w:tbl>
    <w:p w14:paraId="14675D9F" w14:textId="74B82E60" w:rsidR="003E4647" w:rsidRPr="006D115E" w:rsidRDefault="00760CBA" w:rsidP="004C79C1">
      <w:pPr>
        <w:pStyle w:val="Tablenotes0"/>
        <w:spacing w:before="0" w:after="120"/>
      </w:pPr>
      <w:r w:rsidRPr="006D115E">
        <w:t xml:space="preserve">CAD = coronary artery disease; </w:t>
      </w:r>
      <w:r w:rsidR="00086D0F" w:rsidRPr="006D115E">
        <w:t xml:space="preserve">CMR = cardiac magnetic resonance </w:t>
      </w:r>
      <w:r w:rsidR="00662048">
        <w:t>(</w:t>
      </w:r>
      <w:r w:rsidR="00086D0F" w:rsidRPr="006D115E">
        <w:t>imaging</w:t>
      </w:r>
      <w:r w:rsidR="00662048">
        <w:t>)</w:t>
      </w:r>
      <w:r w:rsidR="00086D0F" w:rsidRPr="006D115E">
        <w:t xml:space="preserve">; CTCA = computed tomography coronary angiography; </w:t>
      </w:r>
      <w:r w:rsidR="003E4647" w:rsidRPr="006D115E">
        <w:t xml:space="preserve">DCM = dilated cardiomyopathy; ECG = </w:t>
      </w:r>
      <w:r w:rsidR="00086D0F" w:rsidRPr="006D115E">
        <w:t>e</w:t>
      </w:r>
      <w:r w:rsidR="003E4647" w:rsidRPr="006D115E">
        <w:t xml:space="preserve">lectrocardiogram; </w:t>
      </w:r>
      <w:r w:rsidRPr="006D115E">
        <w:t xml:space="preserve">Echo = echocardiography; GHPS = </w:t>
      </w:r>
      <w:r w:rsidRPr="00B2377A">
        <w:t xml:space="preserve">gated heart </w:t>
      </w:r>
      <w:r w:rsidRPr="00B2377A">
        <w:lastRenderedPageBreak/>
        <w:t xml:space="preserve">pool scan; </w:t>
      </w:r>
      <w:r w:rsidRPr="006D115E">
        <w:t xml:space="preserve">HR = hazard ratio; </w:t>
      </w:r>
      <w:r w:rsidR="004A5FAB" w:rsidRPr="006D115E">
        <w:t xml:space="preserve">ICA = </w:t>
      </w:r>
      <w:r w:rsidR="004A5FAB" w:rsidRPr="00B2377A">
        <w:t>invasive coronary angiography</w:t>
      </w:r>
      <w:r w:rsidR="004A5FAB" w:rsidRPr="006D115E">
        <w:t xml:space="preserve">; </w:t>
      </w:r>
      <w:r w:rsidR="00086D0F" w:rsidRPr="006D115E">
        <w:t xml:space="preserve">MRI = magnetic resonance imaging; </w:t>
      </w:r>
      <w:r w:rsidRPr="006D115E">
        <w:t xml:space="preserve">NIDCM = </w:t>
      </w:r>
      <w:r w:rsidRPr="00B2377A">
        <w:rPr>
          <w:color w:val="000000"/>
          <w:szCs w:val="24"/>
        </w:rPr>
        <w:t>non-ischaemic dilated cardiomyopathy</w:t>
      </w:r>
      <w:r w:rsidRPr="006D115E">
        <w:t xml:space="preserve">; RR = relative risk; </w:t>
      </w:r>
      <w:r w:rsidR="003E4647" w:rsidRPr="006D115E">
        <w:t>SPECT = single</w:t>
      </w:r>
      <w:r w:rsidR="006F0ACA" w:rsidRPr="006D115E">
        <w:t>-</w:t>
      </w:r>
      <w:r w:rsidR="003E4647" w:rsidRPr="006D115E">
        <w:t xml:space="preserve">photon emission computed tomography </w:t>
      </w:r>
    </w:p>
    <w:p w14:paraId="4FDBDDC6" w14:textId="77777777" w:rsidR="00941ED2" w:rsidRDefault="00941ED2" w:rsidP="004C79C1">
      <w:pPr>
        <w:spacing w:after="120" w:line="240" w:lineRule="auto"/>
      </w:pPr>
    </w:p>
    <w:p w14:paraId="1FFCC9B7" w14:textId="77777777" w:rsidR="003E4647" w:rsidRPr="00183E4D" w:rsidRDefault="003E4647" w:rsidP="004C79C1">
      <w:pPr>
        <w:pStyle w:val="Caption"/>
      </w:pPr>
      <w:bookmarkStart w:id="937" w:name="_Toc448827362"/>
      <w:bookmarkStart w:id="938" w:name="_Toc324410292"/>
      <w:r>
        <w:t xml:space="preserve">Box </w:t>
      </w:r>
      <w:fldSimple w:instr=" SEQ Box \* ARABIC ">
        <w:r w:rsidR="00050936">
          <w:rPr>
            <w:noProof/>
          </w:rPr>
          <w:t>10</w:t>
        </w:r>
      </w:fldSimple>
      <w:r w:rsidRPr="00183E4D">
        <w:rPr>
          <w:szCs w:val="20"/>
        </w:rPr>
        <w:tab/>
      </w:r>
      <w:r w:rsidRPr="00183E4D">
        <w:t xml:space="preserve">Criteria for identifying and selecting studies to determine the </w:t>
      </w:r>
      <w:r>
        <w:t>therapeutic efficacy (change in management) of CMR</w:t>
      </w:r>
      <w:r w:rsidRPr="00183E4D">
        <w:t xml:space="preserve"> in </w:t>
      </w:r>
      <w:r>
        <w:t>asymptomatic individuals with a family history of DCM</w:t>
      </w:r>
      <w:bookmarkEnd w:id="937"/>
      <w:bookmarkEnd w:id="938"/>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8"/>
        <w:gridCol w:w="7119"/>
      </w:tblGrid>
      <w:tr w:rsidR="00BE7769" w:rsidRPr="00183E4D" w14:paraId="137B5464" w14:textId="77777777" w:rsidTr="00554A46">
        <w:trPr>
          <w:trHeight w:val="263"/>
        </w:trPr>
        <w:tc>
          <w:tcPr>
            <w:tcW w:w="1948" w:type="dxa"/>
            <w:shd w:val="clear" w:color="auto" w:fill="auto"/>
          </w:tcPr>
          <w:p w14:paraId="3FD3457A" w14:textId="77777777" w:rsidR="00BE7769" w:rsidRPr="00183E4D" w:rsidRDefault="00BE7769" w:rsidP="004C79C1">
            <w:pPr>
              <w:pStyle w:val="Tabletext1"/>
              <w:spacing w:before="0" w:after="120"/>
              <w:rPr>
                <w:b/>
              </w:rPr>
            </w:pPr>
            <w:r w:rsidRPr="00183E4D">
              <w:rPr>
                <w:b/>
              </w:rPr>
              <w:t>Selection criteria</w:t>
            </w:r>
          </w:p>
        </w:tc>
        <w:tc>
          <w:tcPr>
            <w:tcW w:w="7119" w:type="dxa"/>
            <w:shd w:val="clear" w:color="auto" w:fill="auto"/>
          </w:tcPr>
          <w:p w14:paraId="271D248D" w14:textId="77777777" w:rsidR="00BE7769" w:rsidRPr="00183E4D" w:rsidRDefault="00BE7769" w:rsidP="004C79C1">
            <w:pPr>
              <w:pStyle w:val="Tabletext1"/>
              <w:spacing w:before="0" w:after="120"/>
              <w:jc w:val="center"/>
              <w:rPr>
                <w:rFonts w:cs="Arial"/>
                <w:b/>
              </w:rPr>
            </w:pPr>
            <w:r w:rsidRPr="00183E4D">
              <w:rPr>
                <w:rFonts w:cs="Arial"/>
                <w:b/>
              </w:rPr>
              <w:t>Description</w:t>
            </w:r>
          </w:p>
        </w:tc>
      </w:tr>
      <w:tr w:rsidR="00BE7769" w:rsidRPr="00183E4D" w14:paraId="5C107EA2" w14:textId="77777777" w:rsidTr="00554A46">
        <w:tc>
          <w:tcPr>
            <w:tcW w:w="1948" w:type="dxa"/>
            <w:shd w:val="clear" w:color="auto" w:fill="auto"/>
          </w:tcPr>
          <w:p w14:paraId="7D612BDC" w14:textId="77777777" w:rsidR="00BE7769" w:rsidRPr="00183E4D" w:rsidRDefault="00BE7769" w:rsidP="004C79C1">
            <w:pPr>
              <w:pStyle w:val="Tabletext1"/>
              <w:spacing w:before="0" w:after="120"/>
            </w:pPr>
            <w:r w:rsidRPr="00183E4D">
              <w:t>Population</w:t>
            </w:r>
          </w:p>
        </w:tc>
        <w:tc>
          <w:tcPr>
            <w:tcW w:w="7119" w:type="dxa"/>
            <w:shd w:val="clear" w:color="auto" w:fill="auto"/>
          </w:tcPr>
          <w:p w14:paraId="13DC8538" w14:textId="58D7FFE6" w:rsidR="00BE7769" w:rsidRDefault="00BE7769" w:rsidP="004C79C1">
            <w:pPr>
              <w:pStyle w:val="Tabletext1"/>
              <w:spacing w:before="0" w:after="120"/>
            </w:pPr>
            <w:r w:rsidRPr="00F86259">
              <w:t xml:space="preserve">Asymptomatic individuals with a family history of </w:t>
            </w:r>
            <w:r w:rsidR="006D115E">
              <w:t>NIDCM</w:t>
            </w:r>
            <w:r w:rsidRPr="00F86259">
              <w:t xml:space="preserve"> in a first-degree relative in whom</w:t>
            </w:r>
            <w:r w:rsidR="006D115E">
              <w:t>:</w:t>
            </w:r>
            <w:r w:rsidRPr="00F86259">
              <w:t xml:space="preserve"> </w:t>
            </w:r>
          </w:p>
          <w:p w14:paraId="0DEF7736" w14:textId="07115CAD" w:rsidR="00BE7769" w:rsidRDefault="00BE7769" w:rsidP="004C79C1">
            <w:pPr>
              <w:pStyle w:val="Tabletext1"/>
              <w:spacing w:before="0" w:after="120"/>
              <w:ind w:left="320" w:hanging="320"/>
            </w:pPr>
            <w:r>
              <w:tab/>
            </w:r>
            <w:r w:rsidR="006D115E">
              <w:t>E</w:t>
            </w:r>
            <w:r w:rsidRPr="00F86259">
              <w:t>cho is inconclusive</w:t>
            </w:r>
            <w:r>
              <w:t>, or</w:t>
            </w:r>
          </w:p>
          <w:p w14:paraId="36BCF922" w14:textId="6B0F45D9" w:rsidR="00BE7769" w:rsidRPr="00183E4D" w:rsidRDefault="00BE7769" w:rsidP="004C79C1">
            <w:pPr>
              <w:pStyle w:val="Tabletext1"/>
              <w:spacing w:before="0" w:after="120"/>
              <w:ind w:left="320" w:hanging="320"/>
              <w:rPr>
                <w:rFonts w:cs="Arial"/>
              </w:rPr>
            </w:pPr>
            <w:r>
              <w:tab/>
            </w:r>
            <w:r w:rsidR="006D115E">
              <w:t>E</w:t>
            </w:r>
            <w:r>
              <w:t xml:space="preserve">cho suggests a </w:t>
            </w:r>
            <w:r w:rsidR="006D115E">
              <w:t>DCM</w:t>
            </w:r>
            <w:r>
              <w:t xml:space="preserve"> </w:t>
            </w:r>
            <w:r w:rsidR="006D115E">
              <w:t xml:space="preserve">that </w:t>
            </w:r>
            <w:r>
              <w:t xml:space="preserve">requires further investigation due to an intermediate or high risk of </w:t>
            </w:r>
            <w:r w:rsidR="006D115E">
              <w:t>CAD</w:t>
            </w:r>
          </w:p>
        </w:tc>
      </w:tr>
      <w:tr w:rsidR="00BE7769" w:rsidRPr="00183E4D" w14:paraId="36B405AF" w14:textId="77777777" w:rsidTr="00554A46">
        <w:tc>
          <w:tcPr>
            <w:tcW w:w="1948" w:type="dxa"/>
            <w:shd w:val="clear" w:color="auto" w:fill="auto"/>
          </w:tcPr>
          <w:p w14:paraId="7FD6E6FD" w14:textId="77777777" w:rsidR="00BE7769" w:rsidRPr="00183E4D" w:rsidRDefault="00BE7769" w:rsidP="004C79C1">
            <w:pPr>
              <w:pStyle w:val="Tabletext1"/>
              <w:spacing w:before="0" w:after="120"/>
            </w:pPr>
            <w:r>
              <w:t>Prior tests</w:t>
            </w:r>
          </w:p>
        </w:tc>
        <w:tc>
          <w:tcPr>
            <w:tcW w:w="7119" w:type="dxa"/>
            <w:shd w:val="clear" w:color="auto" w:fill="auto"/>
          </w:tcPr>
          <w:p w14:paraId="72686574" w14:textId="77B15B0E" w:rsidR="00BE7769" w:rsidRPr="00183E4D" w:rsidRDefault="00BE7769" w:rsidP="004C79C1">
            <w:pPr>
              <w:pStyle w:val="Tabletext1"/>
              <w:spacing w:before="0" w:after="120"/>
              <w:rPr>
                <w:rFonts w:cs="Arial"/>
              </w:rPr>
            </w:pPr>
            <w:r>
              <w:rPr>
                <w:rFonts w:cs="Arial"/>
              </w:rPr>
              <w:t>Clinical examination, ECG, Echo</w:t>
            </w:r>
          </w:p>
        </w:tc>
      </w:tr>
      <w:tr w:rsidR="00BE7769" w:rsidRPr="00183E4D" w14:paraId="1CEDC9CD" w14:textId="77777777" w:rsidTr="00554A46">
        <w:tc>
          <w:tcPr>
            <w:tcW w:w="1948" w:type="dxa"/>
            <w:shd w:val="clear" w:color="auto" w:fill="auto"/>
          </w:tcPr>
          <w:p w14:paraId="334AED55" w14:textId="77777777" w:rsidR="00BE7769" w:rsidRPr="00183E4D" w:rsidRDefault="00BE7769" w:rsidP="004C79C1">
            <w:pPr>
              <w:pStyle w:val="Tabletext1"/>
              <w:spacing w:before="0" w:after="120"/>
            </w:pPr>
            <w:r w:rsidRPr="00183E4D">
              <w:t>In</w:t>
            </w:r>
            <w:r>
              <w:t>dex test</w:t>
            </w:r>
          </w:p>
        </w:tc>
        <w:tc>
          <w:tcPr>
            <w:tcW w:w="7119" w:type="dxa"/>
            <w:shd w:val="clear" w:color="auto" w:fill="auto"/>
          </w:tcPr>
          <w:p w14:paraId="5C7F98CA" w14:textId="77777777" w:rsidR="00BE7769" w:rsidRPr="00183E4D" w:rsidRDefault="00BE7769" w:rsidP="004C79C1">
            <w:pPr>
              <w:pStyle w:val="Tabletext1"/>
              <w:spacing w:before="0" w:after="120"/>
            </w:pPr>
            <w:r w:rsidRPr="00823DA2">
              <w:rPr>
                <w:rFonts w:cs="Arial Narrow"/>
                <w:bCs/>
              </w:rPr>
              <w:t>MRI assessment of myocardial structure and function, including tissue characterisation</w:t>
            </w:r>
          </w:p>
        </w:tc>
      </w:tr>
      <w:tr w:rsidR="00BE7769" w:rsidRPr="00183E4D" w14:paraId="3EDB01F3" w14:textId="77777777" w:rsidTr="00554A46">
        <w:tc>
          <w:tcPr>
            <w:tcW w:w="1948" w:type="dxa"/>
            <w:shd w:val="clear" w:color="auto" w:fill="auto"/>
          </w:tcPr>
          <w:p w14:paraId="69638C25" w14:textId="77777777" w:rsidR="00BE7769" w:rsidRPr="00183E4D" w:rsidRDefault="00BE7769" w:rsidP="004C79C1">
            <w:pPr>
              <w:pStyle w:val="Tabletext1"/>
              <w:spacing w:before="0" w:after="120"/>
            </w:pPr>
            <w:r>
              <w:t>Comparators</w:t>
            </w:r>
          </w:p>
        </w:tc>
        <w:tc>
          <w:tcPr>
            <w:tcW w:w="7119" w:type="dxa"/>
            <w:shd w:val="clear" w:color="auto" w:fill="auto"/>
          </w:tcPr>
          <w:p w14:paraId="2B045D01" w14:textId="27EBF28A" w:rsidR="00BE7769" w:rsidRPr="00183E4D" w:rsidRDefault="00BE7769" w:rsidP="004C79C1">
            <w:pPr>
              <w:pStyle w:val="Tabletext1"/>
              <w:spacing w:before="0" w:after="120"/>
            </w:pPr>
            <w:r w:rsidRPr="005C35D7">
              <w:rPr>
                <w:rFonts w:cs="Arial Narrow"/>
                <w:bCs/>
              </w:rPr>
              <w:t xml:space="preserve">Watchful waiting in the context of </w:t>
            </w:r>
            <w:r w:rsidR="006D115E">
              <w:rPr>
                <w:rFonts w:cs="Arial Narrow"/>
                <w:bCs/>
              </w:rPr>
              <w:t>OMT</w:t>
            </w:r>
          </w:p>
        </w:tc>
      </w:tr>
      <w:tr w:rsidR="00BE7769" w:rsidRPr="00183E4D" w14:paraId="02B0814D" w14:textId="77777777" w:rsidTr="00554A46">
        <w:tc>
          <w:tcPr>
            <w:tcW w:w="1948" w:type="dxa"/>
            <w:shd w:val="clear" w:color="auto" w:fill="auto"/>
          </w:tcPr>
          <w:p w14:paraId="72E6AD07" w14:textId="77777777" w:rsidR="00BE7769" w:rsidRPr="00183E4D" w:rsidRDefault="00BE7769" w:rsidP="004C79C1">
            <w:pPr>
              <w:pStyle w:val="Tabletext1"/>
              <w:spacing w:before="0" w:after="120"/>
            </w:pPr>
            <w:r w:rsidRPr="00183E4D">
              <w:t>Outcomes</w:t>
            </w:r>
          </w:p>
        </w:tc>
        <w:tc>
          <w:tcPr>
            <w:tcW w:w="7119" w:type="dxa"/>
            <w:shd w:val="clear" w:color="auto" w:fill="auto"/>
          </w:tcPr>
          <w:p w14:paraId="1688D903" w14:textId="5D400C19" w:rsidR="00BE7769" w:rsidRPr="00183E4D" w:rsidRDefault="00BE7769" w:rsidP="004C79C1">
            <w:pPr>
              <w:pStyle w:val="Tabletext1"/>
              <w:spacing w:before="0" w:after="120"/>
            </w:pPr>
            <w:r w:rsidRPr="007D6332">
              <w:t>Change in clinical diagnosis, change in treatment pathway (</w:t>
            </w:r>
            <w:r w:rsidR="005B03AB">
              <w:t xml:space="preserve">e.g. </w:t>
            </w:r>
            <w:r w:rsidRPr="007D6332">
              <w:t>initiated, ceased, modified, avoided), patient compliance, time to initial diagnosis, time from diagnosis to treatment, rates of re-intervention</w:t>
            </w:r>
          </w:p>
        </w:tc>
      </w:tr>
      <w:tr w:rsidR="00BE7769" w:rsidRPr="00183E4D" w14:paraId="3A28C8D8" w14:textId="77777777" w:rsidTr="00554A46">
        <w:tc>
          <w:tcPr>
            <w:tcW w:w="1948" w:type="dxa"/>
            <w:tcBorders>
              <w:top w:val="single" w:sz="4" w:space="0" w:color="auto"/>
              <w:bottom w:val="single" w:sz="4" w:space="0" w:color="auto"/>
            </w:tcBorders>
            <w:shd w:val="clear" w:color="auto" w:fill="auto"/>
          </w:tcPr>
          <w:p w14:paraId="485D17C0" w14:textId="77777777" w:rsidR="00BE7769" w:rsidRPr="00183E4D" w:rsidRDefault="00BE7769" w:rsidP="004C79C1">
            <w:pPr>
              <w:tabs>
                <w:tab w:val="left" w:pos="0"/>
              </w:tabs>
              <w:spacing w:after="120" w:line="240" w:lineRule="auto"/>
              <w:ind w:right="62"/>
              <w:rPr>
                <w:rFonts w:ascii="Arial Narrow" w:hAnsi="Arial Narrow" w:cs="Arial"/>
                <w:b/>
                <w:sz w:val="20"/>
              </w:rPr>
            </w:pPr>
            <w:r w:rsidRPr="00183E4D">
              <w:rPr>
                <w:rFonts w:ascii="Arial Narrow" w:hAnsi="Arial Narrow" w:cs="Arial Narrow"/>
                <w:b/>
                <w:bCs/>
                <w:sz w:val="20"/>
              </w:rPr>
              <w:t>Systematic review question</w:t>
            </w:r>
          </w:p>
        </w:tc>
        <w:tc>
          <w:tcPr>
            <w:tcW w:w="7119" w:type="dxa"/>
            <w:tcBorders>
              <w:top w:val="single" w:sz="4" w:space="0" w:color="auto"/>
              <w:bottom w:val="single" w:sz="4" w:space="0" w:color="auto"/>
            </w:tcBorders>
            <w:shd w:val="clear" w:color="auto" w:fill="auto"/>
          </w:tcPr>
          <w:p w14:paraId="3665041C" w14:textId="4560DB28" w:rsidR="00BE7769" w:rsidRPr="007E2EE0" w:rsidRDefault="00BE7769" w:rsidP="004C79C1">
            <w:pPr>
              <w:spacing w:after="120" w:line="240" w:lineRule="auto"/>
              <w:jc w:val="both"/>
              <w:rPr>
                <w:rFonts w:cs="Arial Narrow"/>
                <w:b/>
                <w:bCs/>
                <w:sz w:val="20"/>
              </w:rPr>
            </w:pPr>
            <w:r w:rsidRPr="007E2EE0">
              <w:rPr>
                <w:rFonts w:ascii="Arial Narrow" w:hAnsi="Arial Narrow"/>
                <w:sz w:val="20"/>
                <w:szCs w:val="20"/>
              </w:rPr>
              <w:t>Is there a</w:t>
            </w:r>
            <w:r w:rsidR="00C73BE7">
              <w:rPr>
                <w:rFonts w:ascii="Arial Narrow" w:hAnsi="Arial Narrow"/>
                <w:sz w:val="20"/>
                <w:szCs w:val="20"/>
              </w:rPr>
              <w:t xml:space="preserve"> change in management from </w:t>
            </w:r>
            <w:r w:rsidRPr="007E2EE0">
              <w:rPr>
                <w:rFonts w:ascii="Arial Narrow" w:hAnsi="Arial Narrow"/>
                <w:sz w:val="20"/>
                <w:szCs w:val="20"/>
              </w:rPr>
              <w:t xml:space="preserve">CMR in patients with a family history of DCM in whom </w:t>
            </w:r>
            <w:r w:rsidR="005B03AB">
              <w:rPr>
                <w:rFonts w:ascii="Arial Narrow" w:hAnsi="Arial Narrow"/>
                <w:sz w:val="20"/>
                <w:szCs w:val="20"/>
              </w:rPr>
              <w:t>E</w:t>
            </w:r>
            <w:r w:rsidRPr="007E2EE0">
              <w:rPr>
                <w:rFonts w:ascii="Arial Narrow" w:hAnsi="Arial Narrow"/>
                <w:sz w:val="20"/>
                <w:szCs w:val="20"/>
              </w:rPr>
              <w:t>cho</w:t>
            </w:r>
            <w:r w:rsidR="002A6A2B">
              <w:rPr>
                <w:rFonts w:ascii="Arial Narrow" w:hAnsi="Arial Narrow"/>
                <w:sz w:val="20"/>
                <w:szCs w:val="20"/>
              </w:rPr>
              <w:t xml:space="preserve"> </w:t>
            </w:r>
            <w:r w:rsidRPr="007E2EE0">
              <w:rPr>
                <w:rFonts w:ascii="Arial Narrow" w:hAnsi="Arial Narrow"/>
                <w:sz w:val="20"/>
                <w:szCs w:val="20"/>
              </w:rPr>
              <w:t xml:space="preserve">is inconclusive, compared </w:t>
            </w:r>
            <w:r w:rsidR="005B03AB">
              <w:rPr>
                <w:rFonts w:ascii="Arial Narrow" w:hAnsi="Arial Narrow"/>
                <w:sz w:val="20"/>
                <w:szCs w:val="20"/>
              </w:rPr>
              <w:t>with</w:t>
            </w:r>
            <w:r w:rsidR="005B03AB" w:rsidRPr="007E2EE0">
              <w:rPr>
                <w:rFonts w:ascii="Arial Narrow" w:hAnsi="Arial Narrow"/>
                <w:sz w:val="20"/>
                <w:szCs w:val="20"/>
              </w:rPr>
              <w:t xml:space="preserve"> </w:t>
            </w:r>
            <w:r w:rsidRPr="007E2EE0">
              <w:rPr>
                <w:rFonts w:ascii="Arial Narrow" w:hAnsi="Arial Narrow"/>
                <w:sz w:val="20"/>
                <w:szCs w:val="20"/>
              </w:rPr>
              <w:t xml:space="preserve">watchful waiting in the context of </w:t>
            </w:r>
            <w:r w:rsidR="005B03AB">
              <w:rPr>
                <w:rFonts w:ascii="Arial Narrow" w:hAnsi="Arial Narrow"/>
                <w:sz w:val="20"/>
                <w:szCs w:val="20"/>
              </w:rPr>
              <w:t>OMT</w:t>
            </w:r>
            <w:r w:rsidRPr="007E2EE0">
              <w:rPr>
                <w:rFonts w:ascii="Arial Narrow" w:hAnsi="Arial Narrow"/>
                <w:sz w:val="20"/>
                <w:szCs w:val="20"/>
              </w:rPr>
              <w:t>?</w:t>
            </w:r>
          </w:p>
        </w:tc>
      </w:tr>
    </w:tbl>
    <w:p w14:paraId="49ADDEBC" w14:textId="182E7282" w:rsidR="003E4647" w:rsidRPr="006A02CB" w:rsidRDefault="00C41299" w:rsidP="004C79C1">
      <w:pPr>
        <w:pStyle w:val="Tablenotes0"/>
        <w:spacing w:before="0" w:after="120"/>
      </w:pPr>
      <w:r w:rsidRPr="00B2377A">
        <w:t xml:space="preserve">CAD = coronary artery disease; </w:t>
      </w:r>
      <w:r w:rsidR="00CA1480" w:rsidRPr="006A02CB">
        <w:t xml:space="preserve">CMR = cardiac magnetic resonance </w:t>
      </w:r>
      <w:r w:rsidR="00662048">
        <w:t>(</w:t>
      </w:r>
      <w:r w:rsidR="00CA1480" w:rsidRPr="006A02CB">
        <w:t>imaging</w:t>
      </w:r>
      <w:r w:rsidR="00662048">
        <w:t>)</w:t>
      </w:r>
      <w:r w:rsidR="00CA1480" w:rsidRPr="006A02CB">
        <w:t xml:space="preserve">; CTCA = computed tomography coronary angiography; DCM = dilated cardiomyopathy; </w:t>
      </w:r>
      <w:r w:rsidR="003E4647" w:rsidRPr="006A02CB">
        <w:t xml:space="preserve">ECG = </w:t>
      </w:r>
      <w:r w:rsidR="006F0ACA" w:rsidRPr="006A02CB">
        <w:t>e</w:t>
      </w:r>
      <w:r w:rsidR="003E4647" w:rsidRPr="006A02CB">
        <w:t xml:space="preserve">lectrocardiogram; </w:t>
      </w:r>
      <w:r w:rsidRPr="006A02CB">
        <w:t xml:space="preserve">Echo = echocardiography; </w:t>
      </w:r>
      <w:r w:rsidR="003E4647" w:rsidRPr="006A02CB">
        <w:t xml:space="preserve">ICA = invasive coronary angiography; </w:t>
      </w:r>
      <w:r w:rsidR="00CA1480" w:rsidRPr="006A02CB">
        <w:t xml:space="preserve">MRI = magnetic resonance imaging; </w:t>
      </w:r>
      <w:r w:rsidRPr="006A02CB">
        <w:t xml:space="preserve">NIDCM = </w:t>
      </w:r>
      <w:r w:rsidRPr="00254898">
        <w:rPr>
          <w:color w:val="000000"/>
        </w:rPr>
        <w:t>non-ischaemic dilated cardiomyopathy</w:t>
      </w:r>
      <w:r w:rsidRPr="00254898">
        <w:t xml:space="preserve">; </w:t>
      </w:r>
      <w:r w:rsidR="00E95EA4" w:rsidRPr="00254898">
        <w:t>OMT = optimal medical therapy</w:t>
      </w:r>
    </w:p>
    <w:p w14:paraId="34441786" w14:textId="4C6DD667" w:rsidR="00C851CB" w:rsidRDefault="00C851CB" w:rsidP="004C79C1">
      <w:pPr>
        <w:keepNext/>
        <w:spacing w:after="120" w:line="240" w:lineRule="auto"/>
      </w:pPr>
    </w:p>
    <w:p w14:paraId="33474147" w14:textId="2CC71499" w:rsidR="00C851CB" w:rsidRDefault="00050936" w:rsidP="00CC55F9">
      <w:pPr>
        <w:pStyle w:val="Caption"/>
        <w:ind w:left="0" w:firstLine="0"/>
      </w:pPr>
      <w:bookmarkStart w:id="939" w:name="_Ref451427013"/>
      <w:bookmarkStart w:id="940" w:name="_Toc324410293"/>
      <w:bookmarkStart w:id="941" w:name="_Toc451435493"/>
      <w:r>
        <w:t xml:space="preserve">Figure </w:t>
      </w:r>
      <w:fldSimple w:instr=" SEQ Figure \* ARABIC ">
        <w:r>
          <w:rPr>
            <w:noProof/>
          </w:rPr>
          <w:t>47</w:t>
        </w:r>
      </w:fldSimple>
      <w:bookmarkEnd w:id="939"/>
      <w:r w:rsidR="00C851CB">
        <w:tab/>
        <w:t xml:space="preserve">Current clinical management algorithm for asymptomatic family members with dilated LV and systolic dysfunction on </w:t>
      </w:r>
      <w:r w:rsidR="00932E30">
        <w:t>E</w:t>
      </w:r>
      <w:r w:rsidR="00C851CB">
        <w:t>cho</w:t>
      </w:r>
      <w:bookmarkEnd w:id="940"/>
      <w:bookmarkEnd w:id="941"/>
      <w:r w:rsidR="00CC55F9">
        <w:rPr>
          <w:noProof/>
          <w:lang w:eastAsia="en-AU"/>
        </w:rPr>
        <w:drawing>
          <wp:inline distT="0" distB="0" distL="0" distR="0" wp14:anchorId="6C6DE9A0" wp14:editId="4FA89A3B">
            <wp:extent cx="5229225" cy="4914900"/>
            <wp:effectExtent l="0" t="0" r="9525" b="0"/>
            <wp:docPr id="22" name="Picture 22" title="Current clinical management algorithm for asymptomatic family members with dilated LV and systolic dysfunction on echocar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9225" cy="4914900"/>
                    </a:xfrm>
                    <a:prstGeom prst="rect">
                      <a:avLst/>
                    </a:prstGeom>
                  </pic:spPr>
                </pic:pic>
              </a:graphicData>
            </a:graphic>
          </wp:inline>
        </w:drawing>
      </w:r>
    </w:p>
    <w:p w14:paraId="2D0FD1DF" w14:textId="290B9C4B" w:rsidR="006A02CB" w:rsidRPr="00AF58E0" w:rsidRDefault="00AD618E" w:rsidP="004C79C1">
      <w:pPr>
        <w:pStyle w:val="Tablenotes0"/>
        <w:spacing w:before="0" w:after="120"/>
      </w:pPr>
      <w:r w:rsidRPr="00B2377A">
        <w:t xml:space="preserve">CABG = coronary artery bypass graft; </w:t>
      </w:r>
      <w:r w:rsidR="006A02CB" w:rsidRPr="00AF58E0">
        <w:t xml:space="preserve">CAD = coronary artery disease; CTCA = computed tomography coronary angiography; DCM = dilated cardiomyopathy; Echo = echocardiography; </w:t>
      </w:r>
      <w:r w:rsidR="00103D71" w:rsidRPr="00AF58E0">
        <w:t>HF = heart failure; LV = left ventricle</w:t>
      </w:r>
      <w:r w:rsidRPr="00AF58E0">
        <w:t xml:space="preserve">; PCI = </w:t>
      </w:r>
      <w:r w:rsidRPr="00254898">
        <w:t>percutaneous coronary intervention</w:t>
      </w:r>
    </w:p>
    <w:p w14:paraId="3D9817D0" w14:textId="77777777" w:rsidR="006A02CB" w:rsidRPr="006A02CB" w:rsidRDefault="006A02CB" w:rsidP="004C79C1">
      <w:pPr>
        <w:spacing w:after="120" w:line="240" w:lineRule="auto"/>
      </w:pPr>
    </w:p>
    <w:p w14:paraId="6B6EFC97" w14:textId="70DCC4F9" w:rsidR="00C851CB" w:rsidRDefault="00C851CB" w:rsidP="004C79C1">
      <w:pPr>
        <w:keepNext/>
        <w:spacing w:after="120" w:line="240" w:lineRule="auto"/>
      </w:pPr>
    </w:p>
    <w:p w14:paraId="1BDD2831" w14:textId="607D6DCE" w:rsidR="00C851CB" w:rsidRDefault="00C851CB" w:rsidP="00CC55F9">
      <w:pPr>
        <w:pStyle w:val="Caption"/>
        <w:ind w:left="0" w:firstLine="0"/>
      </w:pPr>
      <w:bookmarkStart w:id="942" w:name="_Ref447807754"/>
      <w:bookmarkStart w:id="943" w:name="_Toc324410294"/>
      <w:bookmarkStart w:id="944" w:name="_Toc451435494"/>
      <w:r>
        <w:t xml:space="preserve">Figure </w:t>
      </w:r>
      <w:fldSimple w:instr=" SEQ Figure \* ARABIC ">
        <w:r w:rsidR="00050936">
          <w:rPr>
            <w:noProof/>
          </w:rPr>
          <w:t>48</w:t>
        </w:r>
      </w:fldSimple>
      <w:bookmarkEnd w:id="942"/>
      <w:r>
        <w:tab/>
        <w:t>Proposed clinical management algorithm for asymptomatic family members with dilated LV and systolic dysfunction</w:t>
      </w:r>
      <w:bookmarkEnd w:id="943"/>
      <w:bookmarkEnd w:id="944"/>
      <w:r w:rsidR="00CC55F9">
        <w:rPr>
          <w:noProof/>
          <w:lang w:eastAsia="en-AU"/>
        </w:rPr>
        <w:drawing>
          <wp:inline distT="0" distB="0" distL="0" distR="0" wp14:anchorId="46EA6083" wp14:editId="288551EA">
            <wp:extent cx="5476875" cy="4924425"/>
            <wp:effectExtent l="0" t="0" r="9525" b="9525"/>
            <wp:docPr id="21" name="Picture 21" title="Proposed clinical management algorithm for asymptomatic family members with dilated LV and systolic dys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6875" cy="4924425"/>
                    </a:xfrm>
                    <a:prstGeom prst="rect">
                      <a:avLst/>
                    </a:prstGeom>
                  </pic:spPr>
                </pic:pic>
              </a:graphicData>
            </a:graphic>
          </wp:inline>
        </w:drawing>
      </w:r>
    </w:p>
    <w:p w14:paraId="2C1DB05A" w14:textId="5D91B4CF" w:rsidR="00AF58E0" w:rsidRPr="00D14A68" w:rsidRDefault="00AF58E0" w:rsidP="004C79C1">
      <w:pPr>
        <w:pStyle w:val="Tablenotes0"/>
        <w:spacing w:before="0" w:after="120"/>
      </w:pPr>
      <w:r w:rsidRPr="00D14A68">
        <w:t xml:space="preserve">CABG = coronary artery bypass graft; CAD = coronary artery disease; </w:t>
      </w:r>
      <w:r w:rsidR="003B72FE" w:rsidRPr="00D14A68">
        <w:t xml:space="preserve">CMR = </w:t>
      </w:r>
      <w:r w:rsidR="00362312" w:rsidRPr="00B2377A">
        <w:t xml:space="preserve">cardiac magnetic resonance </w:t>
      </w:r>
      <w:r w:rsidR="00662048">
        <w:t>(</w:t>
      </w:r>
      <w:r w:rsidR="00362312" w:rsidRPr="00B2377A">
        <w:t>imaging</w:t>
      </w:r>
      <w:r w:rsidR="00662048">
        <w:t>)</w:t>
      </w:r>
      <w:r w:rsidR="003B72FE" w:rsidRPr="00D14A68">
        <w:t xml:space="preserve">; CRT = </w:t>
      </w:r>
      <w:r w:rsidR="00362312" w:rsidRPr="00B2377A">
        <w:t>cardiac resynchronisation therapy</w:t>
      </w:r>
      <w:r w:rsidR="003B72FE" w:rsidRPr="00D14A68">
        <w:t xml:space="preserve">; </w:t>
      </w:r>
      <w:r w:rsidRPr="00D14A68">
        <w:t xml:space="preserve">CTCA = computed tomography coronary angiography; DCM = dilated cardiomyopathy; Echo = echocardiography; HF = heart failure; </w:t>
      </w:r>
      <w:r w:rsidR="003B72FE" w:rsidRPr="00D14A68">
        <w:t xml:space="preserve">ICD = </w:t>
      </w:r>
      <w:r w:rsidR="00362312" w:rsidRPr="00B2377A">
        <w:t xml:space="preserve">implantable </w:t>
      </w:r>
      <w:r w:rsidR="0026063B">
        <w:t>cardioverter defibrillator</w:t>
      </w:r>
      <w:r w:rsidR="003B72FE" w:rsidRPr="00D14A68">
        <w:t xml:space="preserve">; </w:t>
      </w:r>
      <w:r w:rsidRPr="00D14A68">
        <w:t>LV = left ventricle; PCI = percutaneous coronary intervention</w:t>
      </w:r>
      <w:r w:rsidR="003B72FE" w:rsidRPr="00D14A68">
        <w:t xml:space="preserve">; SPECT = </w:t>
      </w:r>
      <w:r w:rsidR="00362312" w:rsidRPr="00B2377A">
        <w:t>single-photon emission computed tomography</w:t>
      </w:r>
    </w:p>
    <w:p w14:paraId="2A67177E" w14:textId="488F4D95" w:rsidR="00CC55F9" w:rsidRDefault="00CC55F9" w:rsidP="00CC55F9">
      <w:pPr>
        <w:pStyle w:val="Caption"/>
        <w:ind w:left="0" w:firstLine="0"/>
      </w:pPr>
      <w:bookmarkStart w:id="945" w:name="_Ref447807747"/>
      <w:bookmarkStart w:id="946" w:name="_Toc324410295"/>
      <w:bookmarkStart w:id="947" w:name="_Toc451435495"/>
      <w:r w:rsidRPr="00204E33">
        <w:lastRenderedPageBreak/>
        <w:t xml:space="preserve">Figure </w:t>
      </w:r>
      <w:r w:rsidR="00161B88">
        <w:fldChar w:fldCharType="begin"/>
      </w:r>
      <w:r w:rsidR="00161B88">
        <w:instrText xml:space="preserve"> SEQ Figure \* ARABIC </w:instrText>
      </w:r>
      <w:r w:rsidR="00161B88">
        <w:fldChar w:fldCharType="separate"/>
      </w:r>
      <w:proofErr w:type="gramStart"/>
      <w:r w:rsidRPr="00204E33">
        <w:rPr>
          <w:noProof/>
        </w:rPr>
        <w:t>49</w:t>
      </w:r>
      <w:r w:rsidR="00161B88">
        <w:rPr>
          <w:noProof/>
        </w:rPr>
        <w:fldChar w:fldCharType="end"/>
      </w:r>
      <w:bookmarkEnd w:id="945"/>
      <w:r>
        <w:tab/>
      </w:r>
      <w:r w:rsidRPr="00204E33">
        <w:t>Current clinical management algorithm</w:t>
      </w:r>
      <w:proofErr w:type="gramEnd"/>
      <w:r w:rsidRPr="00204E33">
        <w:t xml:space="preserve"> in asymptomatic family members, who have an indeterminate</w:t>
      </w:r>
      <w:r>
        <w:t xml:space="preserve"> result on Echo</w:t>
      </w:r>
      <w:bookmarkEnd w:id="946"/>
      <w:bookmarkEnd w:id="947"/>
      <w:r>
        <w:rPr>
          <w:noProof/>
          <w:lang w:eastAsia="en-AU"/>
        </w:rPr>
        <w:drawing>
          <wp:inline distT="0" distB="0" distL="0" distR="0" wp14:anchorId="6A4F0652" wp14:editId="74B2779D">
            <wp:extent cx="5451475" cy="7565990"/>
            <wp:effectExtent l="0" t="0" r="0" b="0"/>
            <wp:docPr id="12" name="Picture 12" title="Current clinical management algorithm in asymptomatic family members, who have an indeterminate result on echocar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2848" cy="7567895"/>
                    </a:xfrm>
                    <a:prstGeom prst="rect">
                      <a:avLst/>
                    </a:prstGeom>
                  </pic:spPr>
                </pic:pic>
              </a:graphicData>
            </a:graphic>
          </wp:inline>
        </w:drawing>
      </w:r>
    </w:p>
    <w:p w14:paraId="6AC1FD83" w14:textId="77777777" w:rsidR="00CC55F9" w:rsidRPr="00D14A68" w:rsidRDefault="00CC55F9" w:rsidP="00CC55F9">
      <w:pPr>
        <w:pStyle w:val="Tablenotes0"/>
        <w:spacing w:before="0" w:after="120"/>
      </w:pPr>
      <w:r w:rsidRPr="0083494D">
        <w:t xml:space="preserve">CABG = coronary artery bypass graft; CAD = coronary artery disease; CRT = cardiac resynchronisation therapy; CTCA = computed tomography coronary angiography; DCM = dilated cardiomyopathy; Echo = echocardiography; HF = heart failure; </w:t>
      </w:r>
      <w:r w:rsidRPr="00B2377A">
        <w:t xml:space="preserve">ICA = invasive coronary angiography; </w:t>
      </w:r>
      <w:r w:rsidRPr="0083494D">
        <w:t xml:space="preserve">ICD = implantable </w:t>
      </w:r>
      <w:r>
        <w:t>cardioverter defibrillator</w:t>
      </w:r>
      <w:r w:rsidRPr="0083494D">
        <w:t>; LV = left ventricle; PCI = percutaneous coronary intervention; SPECT = single-photon emission computed tomography</w:t>
      </w:r>
    </w:p>
    <w:p w14:paraId="7B4A418F" w14:textId="77777777" w:rsidR="00CC55F9" w:rsidRPr="00CC55F9" w:rsidRDefault="00CC55F9" w:rsidP="00CC55F9">
      <w:pPr>
        <w:rPr>
          <w:lang w:eastAsia="en-US"/>
        </w:rPr>
      </w:pPr>
    </w:p>
    <w:p w14:paraId="68EEB5FB" w14:textId="36B48DDC" w:rsidR="00C851CB" w:rsidRPr="00871CED" w:rsidRDefault="00C851CB" w:rsidP="00CC55F9">
      <w:pPr>
        <w:pStyle w:val="Caption"/>
        <w:ind w:left="0" w:firstLine="0"/>
      </w:pPr>
      <w:bookmarkStart w:id="948" w:name="_Ref447807756"/>
      <w:bookmarkStart w:id="949" w:name="_Toc324410296"/>
      <w:bookmarkStart w:id="950" w:name="_Toc451435496"/>
      <w:r>
        <w:lastRenderedPageBreak/>
        <w:t xml:space="preserve">Figure </w:t>
      </w:r>
      <w:fldSimple w:instr=" SEQ Figure \* ARABIC ">
        <w:r w:rsidR="00050936">
          <w:rPr>
            <w:noProof/>
          </w:rPr>
          <w:t>50</w:t>
        </w:r>
      </w:fldSimple>
      <w:bookmarkEnd w:id="948"/>
      <w:r>
        <w:tab/>
        <w:t xml:space="preserve">Proposed clinical management algorithm for asymptomatic family members with an indeterminate result on </w:t>
      </w:r>
      <w:r w:rsidR="008727D8">
        <w:t>E</w:t>
      </w:r>
      <w:r>
        <w:t>cho</w:t>
      </w:r>
      <w:bookmarkEnd w:id="949"/>
      <w:bookmarkEnd w:id="950"/>
      <w:r w:rsidR="00CC55F9" w:rsidRPr="00B2377A">
        <w:rPr>
          <w:noProof/>
          <w:highlight w:val="lightGray"/>
          <w:lang w:eastAsia="en-AU"/>
        </w:rPr>
        <w:drawing>
          <wp:inline distT="0" distB="0" distL="0" distR="0" wp14:anchorId="47B2F927" wp14:editId="380D2AE7">
            <wp:extent cx="5268291" cy="7103110"/>
            <wp:effectExtent l="0" t="0" r="8890" b="2540"/>
            <wp:docPr id="11" name="Picture 11" title="Proposed clinical management algorithm for asymptomatic family members with an indeterminate result on echocar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69762" cy="7105093"/>
                    </a:xfrm>
                    <a:prstGeom prst="rect">
                      <a:avLst/>
                    </a:prstGeom>
                  </pic:spPr>
                </pic:pic>
              </a:graphicData>
            </a:graphic>
          </wp:inline>
        </w:drawing>
      </w:r>
    </w:p>
    <w:p w14:paraId="26074C13" w14:textId="283FB590" w:rsidR="00CD06EE" w:rsidRPr="00D14A68" w:rsidRDefault="00CD06EE" w:rsidP="004C79C1">
      <w:pPr>
        <w:pStyle w:val="Tablenotes0"/>
        <w:spacing w:before="0" w:after="120"/>
      </w:pPr>
      <w:r w:rsidRPr="00662048">
        <w:t xml:space="preserve">CABG = coronary artery bypass graft; CAD = coronary artery disease; CMR = cardiac magnetic resonance </w:t>
      </w:r>
      <w:r w:rsidR="00662048" w:rsidRPr="00C433E4">
        <w:t>(imaging)</w:t>
      </w:r>
      <w:r w:rsidRPr="00662048">
        <w:t>;</w:t>
      </w:r>
      <w:r w:rsidRPr="00AE4A67">
        <w:t xml:space="preserve"> CRT = cardiac resynchronisation therapy; DCM = dilated cardiomyopathy; Echo = echocardiography; HF = heart failure; ICA = </w:t>
      </w:r>
      <w:r w:rsidR="00F23F8A" w:rsidRPr="00AE4A67">
        <w:t>invasive coronary angiography</w:t>
      </w:r>
      <w:r w:rsidRPr="00AE4A67">
        <w:t xml:space="preserve">; ICD = implantable </w:t>
      </w:r>
      <w:r w:rsidR="0026063B">
        <w:t>cardioverter defibrillator</w:t>
      </w:r>
      <w:r w:rsidRPr="00AE4A67">
        <w:t>; LV = left ventricle; PCI = percutaneous coronary intervention</w:t>
      </w:r>
      <w:r w:rsidRPr="00D14A68">
        <w:t xml:space="preserve"> </w:t>
      </w:r>
    </w:p>
    <w:p w14:paraId="0E5B92AE" w14:textId="59C07D46" w:rsidR="00C851CB" w:rsidRDefault="00C851CB" w:rsidP="004C79C1">
      <w:pPr>
        <w:spacing w:after="120" w:line="240" w:lineRule="auto"/>
      </w:pPr>
    </w:p>
    <w:p w14:paraId="76F11FCB" w14:textId="6CBD0664" w:rsidR="00B774D7" w:rsidRDefault="00B774D7" w:rsidP="004C79C1">
      <w:pPr>
        <w:pStyle w:val="Heading1"/>
        <w:spacing w:after="120" w:line="240" w:lineRule="auto"/>
      </w:pPr>
      <w:bookmarkStart w:id="951" w:name="_Ref448824415"/>
      <w:bookmarkStart w:id="952" w:name="_Toc451501435"/>
      <w:r>
        <w:lastRenderedPageBreak/>
        <w:t xml:space="preserve">Appendix </w:t>
      </w:r>
      <w:fldSimple w:instr=" SEQ Appendix \* ALPHABETIC ">
        <w:r w:rsidR="00460601">
          <w:rPr>
            <w:noProof/>
          </w:rPr>
          <w:t>J</w:t>
        </w:r>
      </w:fldSimple>
      <w:bookmarkEnd w:id="951"/>
      <w:r>
        <w:tab/>
        <w:t xml:space="preserve">Further </w:t>
      </w:r>
      <w:r w:rsidR="00977803">
        <w:t>A</w:t>
      </w:r>
      <w:r>
        <w:t xml:space="preserve">nalyses for </w:t>
      </w:r>
      <w:r w:rsidR="00977803">
        <w:t>S</w:t>
      </w:r>
      <w:r>
        <w:t>ection B7.1</w:t>
      </w:r>
      <w:bookmarkEnd w:id="952"/>
      <w:r>
        <w:t xml:space="preserve"> </w:t>
      </w:r>
    </w:p>
    <w:p w14:paraId="4FA4E823" w14:textId="63A545F7" w:rsidR="00B774D7" w:rsidRDefault="009E52C1" w:rsidP="004C79C1">
      <w:pPr>
        <w:spacing w:after="120" w:line="240" w:lineRule="auto"/>
        <w:jc w:val="both"/>
      </w:pPr>
      <w:r>
        <w:fldChar w:fldCharType="begin"/>
      </w:r>
      <w:r>
        <w:instrText xml:space="preserve"> REF _Ref451245886 \h </w:instrText>
      </w:r>
      <w:r>
        <w:fldChar w:fldCharType="separate"/>
      </w:r>
      <w:r w:rsidR="00B2377A">
        <w:t xml:space="preserve">Table </w:t>
      </w:r>
      <w:r w:rsidR="00B2377A">
        <w:rPr>
          <w:noProof/>
        </w:rPr>
        <w:t>4</w:t>
      </w:r>
      <w:r>
        <w:fldChar w:fldCharType="end"/>
      </w:r>
      <w:r w:rsidR="00DA6BB9">
        <w:t xml:space="preserve"> to </w:t>
      </w:r>
      <w:r>
        <w:fldChar w:fldCharType="begin"/>
      </w:r>
      <w:r>
        <w:instrText xml:space="preserve"> REF _Ref451244847 \h </w:instrText>
      </w:r>
      <w:r>
        <w:fldChar w:fldCharType="separate"/>
      </w:r>
      <w:r w:rsidR="00B2377A">
        <w:t xml:space="preserve">Table </w:t>
      </w:r>
      <w:r w:rsidR="00B2377A">
        <w:rPr>
          <w:noProof/>
        </w:rPr>
        <w:t>6</w:t>
      </w:r>
      <w:r>
        <w:fldChar w:fldCharType="end"/>
      </w:r>
      <w:r w:rsidR="00DA6BB9">
        <w:t xml:space="preserve"> provide further details on the extended safety of investigations used for patients with </w:t>
      </w:r>
      <w:r w:rsidR="00AE4A67">
        <w:t>HF</w:t>
      </w:r>
      <w:r w:rsidR="00DA6BB9">
        <w:t xml:space="preserve"> symptoms. The data in these tables are replicated in </w:t>
      </w:r>
      <w:r w:rsidR="00DA6BB9">
        <w:fldChar w:fldCharType="begin"/>
      </w:r>
      <w:r w:rsidR="00DA6BB9">
        <w:instrText xml:space="preserve"> REF _Ref435781516 \h  \* MERGEFORMAT </w:instrText>
      </w:r>
      <w:r w:rsidR="00DA6BB9">
        <w:fldChar w:fldCharType="separate"/>
      </w:r>
      <w:r w:rsidR="00B2377A" w:rsidRPr="00C91AD8">
        <w:t xml:space="preserve">Figure </w:t>
      </w:r>
      <w:r w:rsidR="00B2377A">
        <w:t>29</w:t>
      </w:r>
      <w:r w:rsidR="00DA6BB9">
        <w:fldChar w:fldCharType="end"/>
      </w:r>
      <w:r w:rsidR="00DA6BB9">
        <w:t xml:space="preserve"> to </w:t>
      </w:r>
      <w:r w:rsidR="00DA6BB9">
        <w:fldChar w:fldCharType="begin"/>
      </w:r>
      <w:r w:rsidR="00DA6BB9">
        <w:instrText xml:space="preserve"> REF _Ref448755697 \h  \* MERGEFORMAT </w:instrText>
      </w:r>
      <w:r w:rsidR="00DA6BB9">
        <w:fldChar w:fldCharType="separate"/>
      </w:r>
      <w:r w:rsidR="00B2377A" w:rsidRPr="0049194C">
        <w:t>Figure 32</w:t>
      </w:r>
      <w:r w:rsidR="00DA6BB9">
        <w:fldChar w:fldCharType="end"/>
      </w:r>
      <w:r w:rsidR="00DA6BB9">
        <w:t xml:space="preserve"> in section B7.1.</w:t>
      </w:r>
    </w:p>
    <w:p w14:paraId="10F74FE9" w14:textId="31A9473E" w:rsidR="00B774D7" w:rsidRPr="0032214A" w:rsidRDefault="00B774D7" w:rsidP="004C79C1">
      <w:pPr>
        <w:pStyle w:val="Caption"/>
      </w:pPr>
      <w:bookmarkStart w:id="953" w:name="_Ref431283813"/>
      <w:bookmarkStart w:id="954" w:name="_Toc446598679"/>
      <w:bookmarkStart w:id="955" w:name="_Toc436645288"/>
      <w:bookmarkStart w:id="956" w:name="_Toc439954623"/>
      <w:bookmarkStart w:id="957" w:name="_Ref448824162"/>
      <w:bookmarkStart w:id="958" w:name="_Toc324410297"/>
      <w:bookmarkStart w:id="959" w:name="_Toc451435425"/>
      <w:r w:rsidRPr="0032214A">
        <w:t xml:space="preserve">Table </w:t>
      </w:r>
      <w:fldSimple w:instr=" SEQ Table \* ARABIC ">
        <w:r w:rsidR="00050936">
          <w:rPr>
            <w:noProof/>
          </w:rPr>
          <w:t>98</w:t>
        </w:r>
      </w:fldSimple>
      <w:bookmarkEnd w:id="953"/>
      <w:r w:rsidRPr="0032214A">
        <w:tab/>
        <w:t>Summary of potential safety concerns</w:t>
      </w:r>
      <w:bookmarkEnd w:id="954"/>
      <w:r w:rsidRPr="0032214A">
        <w:t xml:space="preserve"> </w:t>
      </w:r>
      <w:bookmarkEnd w:id="955"/>
      <w:bookmarkEnd w:id="956"/>
      <w:r>
        <w:t>for tests investigating whether the patient has DCM (after unclear Echo)</w:t>
      </w:r>
      <w:bookmarkEnd w:id="957"/>
      <w:bookmarkEnd w:id="958"/>
      <w:bookmarkEnd w:id="959"/>
    </w:p>
    <w:tbl>
      <w:tblPr>
        <w:tblStyle w:val="TableGrid"/>
        <w:tblW w:w="9144" w:type="dxa"/>
        <w:tblInd w:w="108" w:type="dxa"/>
        <w:tblLook w:val="04A0" w:firstRow="1" w:lastRow="0" w:firstColumn="1" w:lastColumn="0" w:noHBand="0" w:noVBand="1"/>
        <w:tblCaption w:val="Summary of potential safety concerns related to determining whether the patient has DCM"/>
        <w:tblDescription w:val="Summary of potential safety concerns related to determining whether the patient has DCM (after unclear Echo). Gated heart pool scan has the highest rate of adverse events, with risk of fatal cancers due to radiation close to 8 deaths per 10,000 patients. "/>
      </w:tblPr>
      <w:tblGrid>
        <w:gridCol w:w="1765"/>
        <w:gridCol w:w="1919"/>
        <w:gridCol w:w="1689"/>
        <w:gridCol w:w="1882"/>
        <w:gridCol w:w="1889"/>
      </w:tblGrid>
      <w:tr w:rsidR="00B774D7" w:rsidRPr="00C074CE" w14:paraId="5E69AFA0" w14:textId="77777777" w:rsidTr="00B774D7">
        <w:trPr>
          <w:tblHeader/>
        </w:trPr>
        <w:tc>
          <w:tcPr>
            <w:tcW w:w="1765" w:type="dxa"/>
          </w:tcPr>
          <w:p w14:paraId="7AC14E92" w14:textId="77777777" w:rsidR="00B774D7" w:rsidRPr="00C433E4" w:rsidRDefault="00B774D7" w:rsidP="004C79C1">
            <w:pPr>
              <w:pStyle w:val="TableText"/>
              <w:spacing w:before="0" w:after="120" w:line="240" w:lineRule="auto"/>
              <w:rPr>
                <w:szCs w:val="20"/>
              </w:rPr>
            </w:pPr>
            <w:r w:rsidRPr="00B2377A">
              <w:rPr>
                <w:b/>
                <w:sz w:val="20"/>
                <w:szCs w:val="20"/>
              </w:rPr>
              <w:t>Test / overall mortality rate</w:t>
            </w:r>
          </w:p>
        </w:tc>
        <w:tc>
          <w:tcPr>
            <w:tcW w:w="1919" w:type="dxa"/>
          </w:tcPr>
          <w:p w14:paraId="64F02854" w14:textId="77777777" w:rsidR="00B774D7" w:rsidRPr="00C433E4" w:rsidRDefault="00B774D7" w:rsidP="004C79C1">
            <w:pPr>
              <w:pStyle w:val="TableText"/>
              <w:spacing w:before="0" w:after="120" w:line="240" w:lineRule="auto"/>
              <w:rPr>
                <w:szCs w:val="20"/>
              </w:rPr>
            </w:pPr>
            <w:r w:rsidRPr="00B2377A">
              <w:rPr>
                <w:b/>
                <w:sz w:val="20"/>
                <w:szCs w:val="20"/>
              </w:rPr>
              <w:t>Radiation dose</w:t>
            </w:r>
          </w:p>
        </w:tc>
        <w:tc>
          <w:tcPr>
            <w:tcW w:w="1689" w:type="dxa"/>
          </w:tcPr>
          <w:p w14:paraId="6C4810EE" w14:textId="77777777" w:rsidR="00B774D7" w:rsidRPr="00C433E4" w:rsidRDefault="00B774D7" w:rsidP="004C79C1">
            <w:pPr>
              <w:pStyle w:val="TableText"/>
              <w:spacing w:before="0" w:after="120" w:line="240" w:lineRule="auto"/>
              <w:rPr>
                <w:szCs w:val="20"/>
              </w:rPr>
            </w:pPr>
            <w:r w:rsidRPr="00B2377A">
              <w:rPr>
                <w:b/>
                <w:sz w:val="20"/>
                <w:szCs w:val="20"/>
              </w:rPr>
              <w:t xml:space="preserve">Stressors </w:t>
            </w:r>
          </w:p>
        </w:tc>
        <w:tc>
          <w:tcPr>
            <w:tcW w:w="1882" w:type="dxa"/>
          </w:tcPr>
          <w:p w14:paraId="23BE6250" w14:textId="77777777" w:rsidR="00B774D7" w:rsidRPr="00C433E4" w:rsidRDefault="00B774D7" w:rsidP="004C79C1">
            <w:pPr>
              <w:pStyle w:val="TableText"/>
              <w:spacing w:before="0" w:after="120" w:line="240" w:lineRule="auto"/>
              <w:rPr>
                <w:szCs w:val="20"/>
              </w:rPr>
            </w:pPr>
            <w:r w:rsidRPr="00B2377A">
              <w:rPr>
                <w:b/>
                <w:sz w:val="20"/>
                <w:szCs w:val="20"/>
              </w:rPr>
              <w:t>Contrast agents and tracers</w:t>
            </w:r>
          </w:p>
        </w:tc>
        <w:tc>
          <w:tcPr>
            <w:tcW w:w="1889" w:type="dxa"/>
          </w:tcPr>
          <w:p w14:paraId="59CE679C" w14:textId="77777777" w:rsidR="00B774D7" w:rsidRPr="00C433E4" w:rsidRDefault="00B774D7" w:rsidP="004C79C1">
            <w:pPr>
              <w:pStyle w:val="TableText"/>
              <w:spacing w:before="0" w:after="120" w:line="240" w:lineRule="auto"/>
              <w:rPr>
                <w:szCs w:val="20"/>
              </w:rPr>
            </w:pPr>
            <w:r w:rsidRPr="00B2377A">
              <w:rPr>
                <w:b/>
                <w:sz w:val="20"/>
                <w:szCs w:val="20"/>
              </w:rPr>
              <w:t>Other</w:t>
            </w:r>
          </w:p>
        </w:tc>
      </w:tr>
      <w:tr w:rsidR="00B774D7" w:rsidRPr="0032214A" w14:paraId="6A042D05" w14:textId="77777777" w:rsidTr="00B774D7">
        <w:tc>
          <w:tcPr>
            <w:tcW w:w="1765" w:type="dxa"/>
          </w:tcPr>
          <w:p w14:paraId="178372CE" w14:textId="77777777" w:rsidR="00B774D7" w:rsidRDefault="00B774D7" w:rsidP="004C79C1">
            <w:pPr>
              <w:pStyle w:val="Tabletext1"/>
              <w:spacing w:before="0" w:after="120"/>
              <w:rPr>
                <w:lang w:eastAsia="en-US"/>
              </w:rPr>
            </w:pPr>
            <w:r>
              <w:rPr>
                <w:lang w:eastAsia="en-US"/>
              </w:rPr>
              <w:t>LGE-</w:t>
            </w:r>
            <w:r w:rsidRPr="0032214A">
              <w:rPr>
                <w:lang w:eastAsia="en-US"/>
              </w:rPr>
              <w:t>CMR</w:t>
            </w:r>
          </w:p>
          <w:p w14:paraId="28D80EF8" w14:textId="77777777" w:rsidR="00B774D7" w:rsidRDefault="00B774D7" w:rsidP="004C79C1">
            <w:pPr>
              <w:pStyle w:val="Tabletext1"/>
              <w:spacing w:before="0" w:after="120"/>
              <w:rPr>
                <w:lang w:eastAsia="en-US"/>
              </w:rPr>
            </w:pPr>
            <w:r>
              <w:rPr>
                <w:lang w:eastAsia="en-US"/>
              </w:rPr>
              <w:t>Serious AEs:</w:t>
            </w:r>
            <w:r>
              <w:rPr>
                <w:lang w:eastAsia="en-US"/>
              </w:rPr>
              <w:br/>
              <w:t>0.7/10,000 scans</w:t>
            </w:r>
          </w:p>
          <w:p w14:paraId="03C31A89" w14:textId="77777777" w:rsidR="00B774D7" w:rsidRPr="0032214A" w:rsidRDefault="00B774D7" w:rsidP="004C79C1">
            <w:pPr>
              <w:pStyle w:val="Tabletext1"/>
              <w:spacing w:before="0" w:after="120"/>
              <w:rPr>
                <w:lang w:eastAsia="en-US"/>
              </w:rPr>
            </w:pPr>
            <w:r>
              <w:rPr>
                <w:lang w:eastAsia="en-US"/>
              </w:rPr>
              <w:t>Mortality:</w:t>
            </w:r>
            <w:r>
              <w:rPr>
                <w:lang w:eastAsia="en-US"/>
              </w:rPr>
              <w:br/>
              <w:t>7/10,000 patients</w:t>
            </w:r>
          </w:p>
        </w:tc>
        <w:tc>
          <w:tcPr>
            <w:tcW w:w="1919" w:type="dxa"/>
          </w:tcPr>
          <w:p w14:paraId="6EDDB675" w14:textId="77777777" w:rsidR="00B774D7" w:rsidRPr="0032214A" w:rsidRDefault="00B774D7" w:rsidP="004C79C1">
            <w:pPr>
              <w:pStyle w:val="Tabletext1"/>
              <w:spacing w:before="0" w:after="120"/>
              <w:rPr>
                <w:lang w:eastAsia="en-US"/>
              </w:rPr>
            </w:pPr>
            <w:r w:rsidRPr="0032214A">
              <w:rPr>
                <w:lang w:eastAsia="en-US"/>
              </w:rPr>
              <w:t>0</w:t>
            </w:r>
          </w:p>
        </w:tc>
        <w:tc>
          <w:tcPr>
            <w:tcW w:w="1689" w:type="dxa"/>
          </w:tcPr>
          <w:p w14:paraId="4AADABA7" w14:textId="77777777" w:rsidR="00B774D7" w:rsidRPr="0032214A" w:rsidRDefault="00B774D7" w:rsidP="004C79C1">
            <w:pPr>
              <w:pStyle w:val="Tabletext1"/>
              <w:spacing w:before="0" w:after="120"/>
              <w:rPr>
                <w:lang w:eastAsia="en-US"/>
              </w:rPr>
            </w:pPr>
            <w:r>
              <w:rPr>
                <w:lang w:eastAsia="en-US"/>
              </w:rPr>
              <w:t>-</w:t>
            </w:r>
          </w:p>
        </w:tc>
        <w:tc>
          <w:tcPr>
            <w:tcW w:w="1882" w:type="dxa"/>
          </w:tcPr>
          <w:p w14:paraId="039EF6F8" w14:textId="77777777" w:rsidR="00B774D7" w:rsidRDefault="00B774D7" w:rsidP="004C79C1">
            <w:pPr>
              <w:pStyle w:val="Tabletext1"/>
              <w:spacing w:before="0" w:after="120"/>
              <w:rPr>
                <w:lang w:eastAsia="en-US"/>
              </w:rPr>
            </w:pPr>
            <w:r w:rsidRPr="0032214A">
              <w:rPr>
                <w:lang w:eastAsia="en-US"/>
              </w:rPr>
              <w:t>Gadolinium</w:t>
            </w:r>
          </w:p>
          <w:p w14:paraId="04753EA5" w14:textId="77777777" w:rsidR="00B774D7" w:rsidRDefault="00B774D7" w:rsidP="004C79C1">
            <w:pPr>
              <w:pStyle w:val="Tabletext1"/>
              <w:spacing w:before="0" w:after="120"/>
              <w:rPr>
                <w:lang w:eastAsia="en-US"/>
              </w:rPr>
            </w:pPr>
            <w:r>
              <w:rPr>
                <w:lang w:eastAsia="en-US"/>
              </w:rPr>
              <w:t>Serious AEs:</w:t>
            </w:r>
            <w:r>
              <w:rPr>
                <w:lang w:eastAsia="en-US"/>
              </w:rPr>
              <w:br/>
              <w:t>0.48/10,000 doses</w:t>
            </w:r>
          </w:p>
          <w:p w14:paraId="20F0FC69" w14:textId="77777777" w:rsidR="00B774D7" w:rsidRPr="0032214A" w:rsidRDefault="00B774D7" w:rsidP="004C79C1">
            <w:pPr>
              <w:pStyle w:val="Tabletext1"/>
              <w:spacing w:before="0" w:after="120"/>
              <w:rPr>
                <w:lang w:eastAsia="en-US"/>
              </w:rPr>
            </w:pPr>
            <w:r>
              <w:rPr>
                <w:lang w:eastAsia="en-US"/>
              </w:rPr>
              <w:t>Long-term death rate:</w:t>
            </w:r>
            <w:r>
              <w:rPr>
                <w:lang w:eastAsia="en-US"/>
              </w:rPr>
              <w:br/>
              <w:t>6.6/10,000 doses</w:t>
            </w:r>
          </w:p>
        </w:tc>
        <w:tc>
          <w:tcPr>
            <w:tcW w:w="1889" w:type="dxa"/>
          </w:tcPr>
          <w:p w14:paraId="58101206" w14:textId="77777777" w:rsidR="00B774D7" w:rsidRDefault="00B774D7" w:rsidP="004C79C1">
            <w:pPr>
              <w:pStyle w:val="Tabletext1"/>
              <w:spacing w:before="0" w:after="120"/>
              <w:rPr>
                <w:lang w:eastAsia="en-US"/>
              </w:rPr>
            </w:pPr>
            <w:r>
              <w:rPr>
                <w:lang w:eastAsia="en-US"/>
              </w:rPr>
              <w:t>C</w:t>
            </w:r>
            <w:r w:rsidRPr="0032214A">
              <w:rPr>
                <w:lang w:eastAsia="en-US"/>
              </w:rPr>
              <w:t>laustroph</w:t>
            </w:r>
            <w:r>
              <w:rPr>
                <w:lang w:eastAsia="en-US"/>
              </w:rPr>
              <w:t>ob</w:t>
            </w:r>
            <w:r w:rsidRPr="0032214A">
              <w:rPr>
                <w:lang w:eastAsia="en-US"/>
              </w:rPr>
              <w:t>ia</w:t>
            </w:r>
          </w:p>
          <w:p w14:paraId="7B904DC3" w14:textId="77777777" w:rsidR="00B774D7" w:rsidRPr="0032214A" w:rsidRDefault="00B774D7" w:rsidP="004C79C1">
            <w:pPr>
              <w:pStyle w:val="Tabletext1"/>
              <w:spacing w:before="0" w:after="120"/>
              <w:rPr>
                <w:lang w:eastAsia="en-US"/>
              </w:rPr>
            </w:pPr>
            <w:r w:rsidRPr="0032214A">
              <w:rPr>
                <w:lang w:eastAsia="en-US"/>
              </w:rPr>
              <w:t>Magnetism</w:t>
            </w:r>
            <w:r>
              <w:rPr>
                <w:lang w:eastAsia="en-US"/>
              </w:rPr>
              <w:br/>
              <w:t>Serious AEs:</w:t>
            </w:r>
            <w:r>
              <w:rPr>
                <w:lang w:eastAsia="en-US"/>
              </w:rPr>
              <w:br/>
            </w:r>
            <w:r w:rsidRPr="0081466F">
              <w:rPr>
                <w:lang w:eastAsia="en-US"/>
              </w:rPr>
              <w:t xml:space="preserve">0.2/10,000 </w:t>
            </w:r>
            <w:r>
              <w:rPr>
                <w:lang w:eastAsia="en-US"/>
              </w:rPr>
              <w:t>scans</w:t>
            </w:r>
          </w:p>
        </w:tc>
      </w:tr>
      <w:tr w:rsidR="00B774D7" w:rsidRPr="0032214A" w14:paraId="1D2A6859" w14:textId="77777777" w:rsidTr="00B774D7">
        <w:tc>
          <w:tcPr>
            <w:tcW w:w="1765" w:type="dxa"/>
          </w:tcPr>
          <w:p w14:paraId="3D400A55" w14:textId="088E2FBB" w:rsidR="00B774D7" w:rsidRDefault="00B774D7" w:rsidP="004C79C1">
            <w:pPr>
              <w:pStyle w:val="Tabletext1"/>
              <w:spacing w:before="0" w:after="120"/>
              <w:rPr>
                <w:lang w:eastAsia="en-US"/>
              </w:rPr>
            </w:pPr>
            <w:r>
              <w:rPr>
                <w:lang w:eastAsia="en-US"/>
              </w:rPr>
              <w:t>GHPS</w:t>
            </w:r>
          </w:p>
          <w:p w14:paraId="5CD93FD6" w14:textId="77777777" w:rsidR="00B774D7" w:rsidRPr="0032214A" w:rsidRDefault="00B774D7" w:rsidP="004C79C1">
            <w:pPr>
              <w:pStyle w:val="Tabletext1"/>
              <w:spacing w:before="0" w:after="120"/>
              <w:rPr>
                <w:lang w:eastAsia="en-US"/>
              </w:rPr>
            </w:pPr>
            <w:r>
              <w:rPr>
                <w:lang w:eastAsia="en-US"/>
              </w:rPr>
              <w:t>Serious AEs:</w:t>
            </w:r>
            <w:r>
              <w:rPr>
                <w:lang w:eastAsia="en-US"/>
              </w:rPr>
              <w:br/>
              <w:t>0.06/10,000 scans</w:t>
            </w:r>
            <w:r>
              <w:rPr>
                <w:lang w:eastAsia="en-US"/>
              </w:rPr>
              <w:br/>
              <w:t>Mortality:</w:t>
            </w:r>
            <w:r>
              <w:rPr>
                <w:lang w:eastAsia="en-US"/>
              </w:rPr>
              <w:br/>
              <w:t>8/10,000 patients</w:t>
            </w:r>
          </w:p>
        </w:tc>
        <w:tc>
          <w:tcPr>
            <w:tcW w:w="1919" w:type="dxa"/>
          </w:tcPr>
          <w:p w14:paraId="1572D03C" w14:textId="77777777" w:rsidR="00B774D7" w:rsidRPr="00CA5DC9" w:rsidRDefault="00B774D7" w:rsidP="004C79C1">
            <w:pPr>
              <w:pStyle w:val="Tabletext1"/>
              <w:spacing w:before="0" w:after="120"/>
              <w:rPr>
                <w:lang w:eastAsia="en-US"/>
              </w:rPr>
            </w:pPr>
            <w:r w:rsidRPr="0032214A">
              <w:rPr>
                <w:lang w:eastAsia="en-US"/>
              </w:rPr>
              <w:t>15.6 mSv</w:t>
            </w:r>
          </w:p>
          <w:p w14:paraId="70AB38F4" w14:textId="77777777" w:rsidR="00B774D7" w:rsidRDefault="00B774D7" w:rsidP="004C79C1">
            <w:pPr>
              <w:pStyle w:val="Tabletext1"/>
              <w:spacing w:before="0" w:after="120"/>
              <w:rPr>
                <w:lang w:eastAsia="en-US"/>
              </w:rPr>
            </w:pPr>
            <w:r>
              <w:rPr>
                <w:lang w:eastAsia="en-US"/>
              </w:rPr>
              <w:t>Additional f</w:t>
            </w:r>
            <w:r w:rsidRPr="008839E9">
              <w:rPr>
                <w:lang w:eastAsia="en-US"/>
              </w:rPr>
              <w:t>atal</w:t>
            </w:r>
            <w:r>
              <w:rPr>
                <w:lang w:eastAsia="en-US"/>
              </w:rPr>
              <w:t xml:space="preserve"> </w:t>
            </w:r>
            <w:r w:rsidRPr="008839E9">
              <w:rPr>
                <w:lang w:eastAsia="en-US"/>
              </w:rPr>
              <w:t>cancers</w:t>
            </w:r>
            <w:r>
              <w:rPr>
                <w:lang w:eastAsia="en-US"/>
              </w:rPr>
              <w:t>:</w:t>
            </w:r>
          </w:p>
          <w:p w14:paraId="73B4DA74" w14:textId="77777777" w:rsidR="00B774D7" w:rsidRPr="0032214A" w:rsidRDefault="00B774D7" w:rsidP="004C79C1">
            <w:pPr>
              <w:pStyle w:val="Tabletext1"/>
              <w:spacing w:before="0" w:after="120"/>
              <w:rPr>
                <w:lang w:eastAsia="en-US"/>
              </w:rPr>
            </w:pPr>
            <w:r>
              <w:rPr>
                <w:lang w:eastAsia="en-US"/>
              </w:rPr>
              <w:t>7.8</w:t>
            </w:r>
            <w:r w:rsidRPr="008839E9">
              <w:rPr>
                <w:lang w:eastAsia="en-US"/>
              </w:rPr>
              <w:t>/10,000 patients</w:t>
            </w:r>
          </w:p>
        </w:tc>
        <w:tc>
          <w:tcPr>
            <w:tcW w:w="1689" w:type="dxa"/>
          </w:tcPr>
          <w:p w14:paraId="7C2D910B" w14:textId="77777777" w:rsidR="00B774D7" w:rsidRDefault="00B774D7" w:rsidP="004C79C1">
            <w:pPr>
              <w:pStyle w:val="Tabletext1"/>
              <w:spacing w:before="0" w:after="120"/>
              <w:rPr>
                <w:lang w:eastAsia="en-US"/>
              </w:rPr>
            </w:pPr>
            <w:r>
              <w:rPr>
                <w:lang w:eastAsia="en-US"/>
              </w:rPr>
              <w:t>-</w:t>
            </w:r>
          </w:p>
        </w:tc>
        <w:tc>
          <w:tcPr>
            <w:tcW w:w="1882" w:type="dxa"/>
          </w:tcPr>
          <w:p w14:paraId="7B224B67" w14:textId="77777777" w:rsidR="00B774D7" w:rsidRDefault="00B774D7" w:rsidP="004C79C1">
            <w:pPr>
              <w:pStyle w:val="Tabletext1"/>
              <w:spacing w:before="0" w:after="120"/>
              <w:rPr>
                <w:lang w:eastAsia="en-US"/>
              </w:rPr>
            </w:pPr>
            <w:r w:rsidRPr="0032214A">
              <w:rPr>
                <w:lang w:eastAsia="en-US"/>
              </w:rPr>
              <w:t xml:space="preserve">Radiotracers (Tc99 sestamibi or Myoview or </w:t>
            </w:r>
            <w:r>
              <w:rPr>
                <w:lang w:eastAsia="en-US"/>
              </w:rPr>
              <w:t>t</w:t>
            </w:r>
            <w:r w:rsidRPr="0032214A">
              <w:rPr>
                <w:lang w:eastAsia="en-US"/>
              </w:rPr>
              <w:t>hallium-201)</w:t>
            </w:r>
          </w:p>
          <w:p w14:paraId="6DB3AAB9" w14:textId="77777777" w:rsidR="00B774D7" w:rsidRPr="0032214A" w:rsidRDefault="00B774D7" w:rsidP="004C79C1">
            <w:pPr>
              <w:pStyle w:val="Tabletext1"/>
              <w:spacing w:before="0" w:after="120"/>
              <w:rPr>
                <w:lang w:eastAsia="en-US"/>
              </w:rPr>
            </w:pPr>
            <w:r>
              <w:rPr>
                <w:lang w:eastAsia="en-US"/>
              </w:rPr>
              <w:t xml:space="preserve">Serious AEs: </w:t>
            </w:r>
            <w:r w:rsidRPr="008839E9">
              <w:rPr>
                <w:lang w:eastAsia="en-US"/>
              </w:rPr>
              <w:t>0.06/10,000</w:t>
            </w:r>
            <w:r>
              <w:rPr>
                <w:lang w:eastAsia="en-US"/>
              </w:rPr>
              <w:t xml:space="preserve"> scans</w:t>
            </w:r>
          </w:p>
        </w:tc>
        <w:tc>
          <w:tcPr>
            <w:tcW w:w="1889" w:type="dxa"/>
          </w:tcPr>
          <w:p w14:paraId="20A9623C" w14:textId="77777777" w:rsidR="00B774D7" w:rsidRPr="0032214A" w:rsidRDefault="00B774D7" w:rsidP="004C79C1">
            <w:pPr>
              <w:pStyle w:val="Tabletext1"/>
              <w:spacing w:before="0" w:after="120"/>
              <w:rPr>
                <w:lang w:eastAsia="en-US"/>
              </w:rPr>
            </w:pPr>
            <w:r>
              <w:rPr>
                <w:lang w:eastAsia="en-US"/>
              </w:rPr>
              <w:t>-</w:t>
            </w:r>
          </w:p>
        </w:tc>
      </w:tr>
      <w:tr w:rsidR="00B774D7" w:rsidRPr="0032214A" w14:paraId="4852AB5E" w14:textId="77777777" w:rsidTr="00B774D7">
        <w:tc>
          <w:tcPr>
            <w:tcW w:w="1765" w:type="dxa"/>
          </w:tcPr>
          <w:p w14:paraId="7EF1DBEB" w14:textId="702A00D6" w:rsidR="00B774D7" w:rsidRDefault="009D2CC3" w:rsidP="004C79C1">
            <w:pPr>
              <w:spacing w:after="120" w:line="240" w:lineRule="auto"/>
              <w:ind w:right="-57"/>
              <w:rPr>
                <w:rFonts w:ascii="Arial Narrow" w:hAnsi="Arial Narrow"/>
                <w:sz w:val="20"/>
                <w:lang w:eastAsia="en-US"/>
              </w:rPr>
            </w:pPr>
            <w:r>
              <w:rPr>
                <w:rFonts w:ascii="Arial Narrow" w:hAnsi="Arial Narrow"/>
                <w:sz w:val="20"/>
                <w:lang w:eastAsia="en-US"/>
              </w:rPr>
              <w:t>c</w:t>
            </w:r>
            <w:r w:rsidR="00B774D7">
              <w:rPr>
                <w:rFonts w:ascii="Arial Narrow" w:hAnsi="Arial Narrow"/>
                <w:sz w:val="20"/>
                <w:lang w:eastAsia="en-US"/>
              </w:rPr>
              <w:t>Echo</w:t>
            </w:r>
          </w:p>
          <w:p w14:paraId="452AF2B7" w14:textId="166F11F3" w:rsidR="00B774D7" w:rsidRDefault="00B774D7" w:rsidP="004C79C1">
            <w:pPr>
              <w:spacing w:after="120" w:line="240" w:lineRule="auto"/>
              <w:ind w:right="-57"/>
              <w:rPr>
                <w:rFonts w:ascii="Arial Narrow" w:hAnsi="Arial Narrow"/>
                <w:sz w:val="20"/>
                <w:lang w:eastAsia="en-US"/>
              </w:rPr>
            </w:pPr>
            <w:r>
              <w:rPr>
                <w:rFonts w:ascii="Arial Narrow" w:hAnsi="Arial Narrow"/>
                <w:sz w:val="20"/>
                <w:lang w:eastAsia="en-US"/>
              </w:rPr>
              <w:t>Serious</w:t>
            </w:r>
            <w:r w:rsidR="007A24C4">
              <w:rPr>
                <w:rFonts w:ascii="Arial Narrow" w:hAnsi="Arial Narrow"/>
                <w:sz w:val="20"/>
                <w:lang w:eastAsia="en-US"/>
              </w:rPr>
              <w:t xml:space="preserve"> </w:t>
            </w:r>
            <w:r>
              <w:rPr>
                <w:rFonts w:ascii="Arial Narrow" w:hAnsi="Arial Narrow"/>
                <w:sz w:val="20"/>
                <w:lang w:eastAsia="en-US"/>
              </w:rPr>
              <w:t>AEs:</w:t>
            </w:r>
            <w:r>
              <w:rPr>
                <w:rFonts w:ascii="Arial Narrow" w:hAnsi="Arial Narrow"/>
                <w:sz w:val="20"/>
                <w:lang w:eastAsia="en-US"/>
              </w:rPr>
              <w:br/>
            </w:r>
            <w:r w:rsidRPr="008839E9">
              <w:rPr>
                <w:rFonts w:ascii="Arial Narrow" w:hAnsi="Arial Narrow"/>
                <w:sz w:val="20"/>
                <w:lang w:eastAsia="en-US"/>
              </w:rPr>
              <w:t>3/10,000</w:t>
            </w:r>
            <w:r>
              <w:rPr>
                <w:rFonts w:ascii="Arial Narrow" w:hAnsi="Arial Narrow"/>
                <w:sz w:val="20"/>
                <w:lang w:eastAsia="en-US"/>
              </w:rPr>
              <w:t xml:space="preserve"> scans</w:t>
            </w:r>
          </w:p>
          <w:p w14:paraId="1BAE37E4" w14:textId="77777777" w:rsidR="00B774D7" w:rsidRPr="0032214A" w:rsidRDefault="00B774D7" w:rsidP="004C79C1">
            <w:pPr>
              <w:pStyle w:val="Tabletext1"/>
              <w:spacing w:before="0" w:after="120"/>
              <w:rPr>
                <w:lang w:eastAsia="en-US"/>
              </w:rPr>
            </w:pPr>
            <w:r>
              <w:rPr>
                <w:lang w:eastAsia="en-US"/>
              </w:rPr>
              <w:t>Mortality:</w:t>
            </w:r>
            <w:r>
              <w:rPr>
                <w:lang w:eastAsia="en-US"/>
              </w:rPr>
              <w:br/>
            </w:r>
            <w:r w:rsidRPr="008839E9">
              <w:rPr>
                <w:lang w:eastAsia="en-US"/>
              </w:rPr>
              <w:t>0.1/10,000</w:t>
            </w:r>
            <w:r>
              <w:rPr>
                <w:lang w:eastAsia="en-US"/>
              </w:rPr>
              <w:t xml:space="preserve"> patients</w:t>
            </w:r>
          </w:p>
        </w:tc>
        <w:tc>
          <w:tcPr>
            <w:tcW w:w="1919" w:type="dxa"/>
          </w:tcPr>
          <w:p w14:paraId="05A2DE67" w14:textId="77777777" w:rsidR="00B774D7" w:rsidRPr="0032214A" w:rsidRDefault="00B774D7" w:rsidP="004C79C1">
            <w:pPr>
              <w:pStyle w:val="Tabletext1"/>
              <w:spacing w:before="0" w:after="120"/>
              <w:rPr>
                <w:lang w:eastAsia="en-US"/>
              </w:rPr>
            </w:pPr>
            <w:r w:rsidRPr="0032214A">
              <w:rPr>
                <w:lang w:eastAsia="en-US"/>
              </w:rPr>
              <w:t>0</w:t>
            </w:r>
          </w:p>
        </w:tc>
        <w:tc>
          <w:tcPr>
            <w:tcW w:w="1689" w:type="dxa"/>
          </w:tcPr>
          <w:p w14:paraId="543ACE36" w14:textId="77777777" w:rsidR="00B774D7" w:rsidRDefault="00B774D7" w:rsidP="004C79C1">
            <w:pPr>
              <w:pStyle w:val="Tabletext1"/>
              <w:spacing w:before="0" w:after="120"/>
              <w:rPr>
                <w:lang w:eastAsia="en-US"/>
              </w:rPr>
            </w:pPr>
            <w:r>
              <w:rPr>
                <w:lang w:eastAsia="en-US"/>
              </w:rPr>
              <w:t>0</w:t>
            </w:r>
          </w:p>
        </w:tc>
        <w:tc>
          <w:tcPr>
            <w:tcW w:w="1882" w:type="dxa"/>
          </w:tcPr>
          <w:p w14:paraId="6F05E1AE" w14:textId="77777777" w:rsidR="00B774D7" w:rsidRDefault="00B774D7" w:rsidP="004C79C1">
            <w:pPr>
              <w:spacing w:after="120" w:line="240" w:lineRule="auto"/>
              <w:ind w:right="-57"/>
              <w:rPr>
                <w:rFonts w:ascii="Arial Narrow" w:hAnsi="Arial Narrow"/>
                <w:sz w:val="20"/>
                <w:lang w:eastAsia="en-US"/>
              </w:rPr>
            </w:pPr>
            <w:r w:rsidRPr="0032214A">
              <w:rPr>
                <w:rFonts w:ascii="Arial Narrow" w:hAnsi="Arial Narrow"/>
                <w:sz w:val="20"/>
                <w:lang w:eastAsia="en-US"/>
              </w:rPr>
              <w:t xml:space="preserve">Microspheres of contrast </w:t>
            </w:r>
          </w:p>
          <w:p w14:paraId="4FAFB7E9" w14:textId="77777777" w:rsidR="00B774D7" w:rsidRDefault="00B774D7" w:rsidP="004C79C1">
            <w:pPr>
              <w:spacing w:after="120" w:line="240" w:lineRule="auto"/>
              <w:ind w:right="-57"/>
              <w:rPr>
                <w:rFonts w:ascii="Arial Narrow" w:hAnsi="Arial Narrow"/>
                <w:sz w:val="20"/>
                <w:lang w:eastAsia="en-US"/>
              </w:rPr>
            </w:pPr>
            <w:r>
              <w:rPr>
                <w:rFonts w:ascii="Arial Narrow" w:hAnsi="Arial Narrow"/>
                <w:sz w:val="20"/>
                <w:lang w:eastAsia="en-US"/>
              </w:rPr>
              <w:t xml:space="preserve">Serious AEs: </w:t>
            </w:r>
            <w:r w:rsidRPr="008839E9">
              <w:rPr>
                <w:rFonts w:ascii="Arial Narrow" w:hAnsi="Arial Narrow"/>
                <w:sz w:val="20"/>
                <w:lang w:eastAsia="en-US"/>
              </w:rPr>
              <w:t>3/10,000</w:t>
            </w:r>
            <w:r>
              <w:rPr>
                <w:rFonts w:ascii="Arial Narrow" w:hAnsi="Arial Narrow"/>
                <w:sz w:val="20"/>
                <w:lang w:eastAsia="en-US"/>
              </w:rPr>
              <w:t xml:space="preserve"> scans</w:t>
            </w:r>
          </w:p>
          <w:p w14:paraId="232F4E79" w14:textId="77777777" w:rsidR="00B774D7" w:rsidRPr="0032214A" w:rsidRDefault="00B774D7" w:rsidP="004C79C1">
            <w:pPr>
              <w:pStyle w:val="Tabletext1"/>
              <w:spacing w:before="0" w:after="120"/>
              <w:rPr>
                <w:lang w:eastAsia="en-US"/>
              </w:rPr>
            </w:pPr>
            <w:r w:rsidRPr="001705C1">
              <w:rPr>
                <w:lang w:eastAsia="en-US"/>
              </w:rPr>
              <w:t>Long-term death rate:</w:t>
            </w:r>
            <w:r>
              <w:rPr>
                <w:lang w:eastAsia="en-US"/>
              </w:rPr>
              <w:br/>
            </w:r>
            <w:r w:rsidRPr="008839E9">
              <w:rPr>
                <w:lang w:eastAsia="en-US"/>
              </w:rPr>
              <w:t>0.1/10,000</w:t>
            </w:r>
            <w:r>
              <w:rPr>
                <w:lang w:eastAsia="en-US"/>
              </w:rPr>
              <w:t xml:space="preserve"> patients</w:t>
            </w:r>
          </w:p>
        </w:tc>
        <w:tc>
          <w:tcPr>
            <w:tcW w:w="1889" w:type="dxa"/>
          </w:tcPr>
          <w:p w14:paraId="68E22FDA" w14:textId="77777777" w:rsidR="00B774D7" w:rsidRPr="0032214A" w:rsidRDefault="00B774D7" w:rsidP="004C79C1">
            <w:pPr>
              <w:pStyle w:val="Tabletext1"/>
              <w:spacing w:before="0" w:after="120"/>
              <w:rPr>
                <w:lang w:eastAsia="en-US"/>
              </w:rPr>
            </w:pPr>
            <w:r w:rsidRPr="0032214A">
              <w:rPr>
                <w:lang w:eastAsia="en-US"/>
              </w:rPr>
              <w:t>Heat from ultrasound</w:t>
            </w:r>
          </w:p>
        </w:tc>
      </w:tr>
    </w:tbl>
    <w:p w14:paraId="26850194" w14:textId="47C62992" w:rsidR="00B774D7" w:rsidRPr="00FB05A7" w:rsidRDefault="00B774D7" w:rsidP="004C79C1">
      <w:pPr>
        <w:pStyle w:val="Tablenotes0"/>
        <w:spacing w:before="0" w:after="120"/>
      </w:pPr>
      <w:r w:rsidRPr="00FB05A7">
        <w:t xml:space="preserve">Sources: </w:t>
      </w:r>
      <w:r w:rsidR="003B14F7" w:rsidRPr="00FB05A7">
        <w:t xml:space="preserve">Cooper </w:t>
      </w:r>
      <w:r w:rsidR="003B14F7" w:rsidRPr="00FB05A7">
        <w:fldChar w:fldCharType="begin"/>
      </w:r>
      <w:r w:rsidR="003B14F7">
        <w:instrText xml:space="preserve"> ADDIN EN.CITE &lt;EndNote&gt;&lt;Cite&gt;&lt;Author&gt;Cooper&lt;/Author&gt;&lt;Year&gt;2015&lt;/Year&gt;&lt;RecNum&gt;125&lt;/RecNum&gt;&lt;DisplayText&gt;(Cooper 2015)&lt;/DisplayText&gt;&lt;record&gt;&lt;rec-number&gt;125&lt;/rec-number&gt;&lt;foreign-keys&gt;&lt;key app="EN" db-id="pfxxvref0t0a5de2vwnv2fwkz0p9v0r2fw0t" timestamp="1458714099"&gt;125&lt;/key&gt;&lt;/foreign-keys&gt;&lt;ref-type name="Web Page"&gt;12&lt;/ref-type&gt;&lt;contributors&gt;&lt;authors&gt;&lt;author&gt;Cooper, Leslie T.&lt;/author&gt;&lt;/authors&gt;&lt;/contributors&gt;&lt;titles&gt;&lt;title&gt;Endomyocardial biopsy&lt;/title&gt;&lt;/titles&gt;&lt;volume&gt;2016&lt;/volume&gt;&lt;number&gt;Mar 23&lt;/number&gt;&lt;dates&gt;&lt;year&gt;2015&lt;/year&gt;&lt;/dates&gt;&lt;publisher&gt;UpToDate&lt;/publisher&gt;&lt;urls&gt;&lt;related-urls&gt;&lt;url&gt;http://www.uptodate.com/contents/endomyocardial-biopsy#H20&lt;/url&gt;&lt;/related-urls&gt;&lt;/urls&gt;&lt;/record&gt;&lt;/Cite&gt;&lt;/EndNote&gt;</w:instrText>
      </w:r>
      <w:r w:rsidR="003B14F7" w:rsidRPr="00FB05A7">
        <w:fldChar w:fldCharType="separate"/>
      </w:r>
      <w:r w:rsidR="003B14F7">
        <w:rPr>
          <w:noProof/>
        </w:rPr>
        <w:t>(</w:t>
      </w:r>
      <w:hyperlink w:anchor="_ENREF_27" w:tooltip="Cooper, 2015 #125" w:history="1">
        <w:r w:rsidR="003B14F7">
          <w:rPr>
            <w:noProof/>
          </w:rPr>
          <w:t>2015</w:t>
        </w:r>
      </w:hyperlink>
      <w:r w:rsidR="003B14F7">
        <w:rPr>
          <w:noProof/>
        </w:rPr>
        <w:t>)</w:t>
      </w:r>
      <w:r w:rsidR="003B14F7" w:rsidRPr="00FB05A7">
        <w:fldChar w:fldCharType="end"/>
      </w:r>
      <w:r w:rsidR="003B14F7" w:rsidRPr="00FB05A7">
        <w:t>;</w:t>
      </w:r>
      <w:r w:rsidR="003B14F7">
        <w:t xml:space="preserve"> </w:t>
      </w:r>
      <w:r w:rsidR="003B14F7" w:rsidRPr="00FB05A7">
        <w:t xml:space="preserve">Cooper et al. </w:t>
      </w:r>
      <w:r w:rsidR="003B14F7" w:rsidRPr="00FB05A7">
        <w:fldChar w:fldCharType="begin"/>
      </w:r>
      <w:r w:rsidR="003B14F7">
        <w:instrText xml:space="preserve"> ADDIN EN.CITE &lt;EndNote&gt;&lt;Cite&gt;&lt;Author&gt;Cooper&lt;/Author&gt;&lt;Year&gt;2007&lt;/Year&gt;&lt;RecNum&gt;126&lt;/RecNum&gt;&lt;IDText&gt;1914-1931&lt;/IDText&gt;&lt;DisplayText&gt;(Cooper, Leslie T. et al. 2007)&lt;/DisplayText&gt;&lt;record&gt;&lt;rec-number&gt;126&lt;/rec-number&gt;&lt;foreign-keys&gt;&lt;key app="EN" db-id="pfxxvref0t0a5de2vwnv2fwkz0p9v0r2fw0t" timestamp="1458714100"&gt;126&lt;/key&gt;&lt;/foreign-keys&gt;&lt;ref-type name="Journal Article"&gt;17&lt;/ref-type&gt;&lt;contributors&gt;&lt;authors&gt;&lt;author&gt;Cooper, Leslie T.&lt;/author&gt;&lt;author&gt;Baughman, Kenneth L.&lt;/author&gt;&lt;author&gt;Feldman, Arthur M.&lt;/author&gt;&lt;author&gt;Frustaci, Andrea&lt;/author&gt;&lt;author&gt;Jessup, Mariell&lt;/author&gt;&lt;author&gt;Kuhl, Uwe&lt;/author&gt;&lt;author&gt;Levine, Glenn N.&lt;/author&gt;&lt;author&gt;Narula, Jagat&lt;/author&gt;&lt;author&gt;Starling, Randall C.&lt;/author&gt;&lt;author&gt;Towbin, Jeffrey&lt;/author&gt;&lt;author&gt;Virmani, Renu&lt;/author&gt;&lt;/authors&gt;&lt;/contributors&gt;&lt;titles&gt;&lt;title&gt;The Role of Endomyocardial Biopsy in the Management of Cardiovascular DiseaseA Scientific Statement From the American Heart Association, the American College of Cardiology, and the European Society of Cardiology Endorsed by the Heart Failure Society of America and the Heart Failure Association of the European Society of Cardiology&lt;/title&gt;&lt;secondary-title&gt;Journal of the American College of Cardiology&lt;/secondary-title&gt;&lt;/titles&gt;&lt;periodical&gt;&lt;full-title&gt;Journal of the American College of Cardiology&lt;/full-title&gt;&lt;/periodical&gt;&lt;pages&gt;1914-1931&lt;/pages&gt;&lt;volume&gt;50&lt;/volume&gt;&lt;number&gt;19&lt;/number&gt;&lt;dates&gt;&lt;year&gt;2007&lt;/year&gt;&lt;/dates&gt;&lt;isbn&gt;0735-1097&lt;/isbn&gt;&lt;urls&gt;&lt;related-urls&gt;&lt;url&gt;http://dx.doi.org/10.1016/j.jacc.2007.09.008&lt;/url&gt;&lt;/related-urls&gt;&lt;/urls&gt;&lt;electronic-resource-num&gt;10.1016/j.jacc.2007.09.008&lt;/electronic-resource-num&gt;&lt;/record&gt;&lt;/Cite&gt;&lt;/EndNote&gt;</w:instrText>
      </w:r>
      <w:r w:rsidR="003B14F7" w:rsidRPr="00FB05A7">
        <w:fldChar w:fldCharType="separate"/>
      </w:r>
      <w:r w:rsidR="003B14F7">
        <w:rPr>
          <w:noProof/>
        </w:rPr>
        <w:t>(</w:t>
      </w:r>
      <w:hyperlink w:anchor="_ENREF_28" w:tooltip="Cooper, 2007 #126" w:history="1">
        <w:r w:rsidR="003B14F7">
          <w:rPr>
            <w:noProof/>
          </w:rPr>
          <w:t>2007</w:t>
        </w:r>
      </w:hyperlink>
      <w:r w:rsidR="003B14F7">
        <w:rPr>
          <w:noProof/>
        </w:rPr>
        <w:t>)</w:t>
      </w:r>
      <w:r w:rsidR="003B14F7" w:rsidRPr="00FB05A7">
        <w:fldChar w:fldCharType="end"/>
      </w:r>
      <w:r w:rsidR="003B14F7" w:rsidRPr="00FB05A7">
        <w:t>;</w:t>
      </w:r>
      <w:r w:rsidR="003B14F7">
        <w:t xml:space="preserve"> </w:t>
      </w:r>
      <w:r w:rsidRPr="00FB05A7">
        <w:t xml:space="preserve">Einstein et al. </w:t>
      </w:r>
      <w:r w:rsidRPr="00FB05A7">
        <w:fldChar w:fldCharType="begin"/>
      </w:r>
      <w:r>
        <w:instrText xml:space="preserve"> ADDIN EN.CITE &lt;EndNote&gt;&lt;Cite ExcludeAuth="1"&gt;&lt;Author&gt;Einstein&lt;/Author&gt;&lt;Year&gt;2012&lt;/Year&gt;&lt;RecNum&gt;257&lt;/RecNum&gt;&lt;DisplayText&gt;(2012)&lt;/DisplayText&gt;&lt;record&gt;&lt;rec-number&gt;257&lt;/rec-number&gt;&lt;foreign-keys&gt;&lt;key app="EN" db-id="9wevt9zsm0frf1ezepbpa9dgrfez55etdvpa" timestamp="1447822901"&gt;257&lt;/key&gt;&lt;/foreign-keys&gt;&lt;ref-type name="Journal Article"&gt;17&lt;/ref-type&gt;&lt;contributors&gt;&lt;authors&gt;&lt;author&gt;Einstein, A. J.&lt;/author&gt;&lt;/authors&gt;&lt;/contributors&gt;&lt;auth-address&gt;Department of Medicine, Columbia University Medical Center and New York-Presbyterian Hospital, 622 West 168th Street, New York, NY 10032. andrew.einstein@columbia.edu&lt;/auth-address&gt;&lt;titles&gt;&lt;title&gt;Effects of radiation exposure from cardiac imaging: how good are the data?&lt;/title&gt;&lt;secondary-title&gt;J Am Coll Cardiol&lt;/secondary-title&gt;&lt;/titles&gt;&lt;periodical&gt;&lt;full-title&gt;J Am Coll Cardiol&lt;/full-title&gt;&lt;/periodical&gt;&lt;pages&gt;553-65&lt;/pages&gt;&lt;volume&gt;59&lt;/volume&gt;&lt;number&gt;6&lt;/number&gt;&lt;keywords&gt;&lt;keyword&gt;*Cardiac Imaging Techniques&lt;/keyword&gt;&lt;keyword&gt;Heart Diseases/*diagnosis&lt;/keyword&gt;&lt;keyword&gt;Humans&lt;/keyword&gt;&lt;keyword&gt;Incidence&lt;/keyword&gt;&lt;keyword&gt;Radiation Injuries/*epidemiology&lt;/keyword&gt;&lt;keyword&gt;*Radiation, Ionizing&lt;/keyword&gt;&lt;keyword&gt;United States/epidemiology&lt;/keyword&gt;&lt;/keywords&gt;&lt;dates&gt;&lt;year&gt;2012&lt;/year&gt;&lt;pub-dates&gt;&lt;date&gt;Feb 7&lt;/date&gt;&lt;/pub-dates&gt;&lt;/dates&gt;&lt;isbn&gt;1558-3597 (Electronic)&amp;#xD;0735-1097 (Linking)&lt;/isbn&gt;&lt;accession-num&gt;22300689&lt;/accession-num&gt;&lt;urls&gt;&lt;related-urls&gt;&lt;url&gt;http://www.ncbi.nlm.nih.gov/pubmed/22300689&lt;/url&gt;&lt;/related-urls&gt;&lt;/urls&gt;&lt;custom2&gt;3272627&lt;/custom2&gt;&lt;electronic-resource-num&gt;10.1016/j.jacc.2011.08.079&lt;/electronic-resource-num&gt;&lt;/record&gt;&lt;/Cite&gt;&lt;/EndNote&gt;</w:instrText>
      </w:r>
      <w:r w:rsidRPr="00FB05A7">
        <w:fldChar w:fldCharType="separate"/>
      </w:r>
      <w:r>
        <w:rPr>
          <w:noProof/>
        </w:rPr>
        <w:t>(</w:t>
      </w:r>
      <w:hyperlink w:anchor="_ENREF_33" w:tooltip="Einstein, 2012 #257" w:history="1">
        <w:r w:rsidR="00B906E9">
          <w:rPr>
            <w:noProof/>
          </w:rPr>
          <w:t>2012</w:t>
        </w:r>
      </w:hyperlink>
      <w:r>
        <w:rPr>
          <w:noProof/>
        </w:rPr>
        <w:t>)</w:t>
      </w:r>
      <w:r w:rsidRPr="00FB05A7">
        <w:fldChar w:fldCharType="end"/>
      </w:r>
      <w:r w:rsidRPr="00FB05A7">
        <w:t xml:space="preserve">; </w:t>
      </w:r>
      <w:r w:rsidR="003B14F7" w:rsidRPr="00FB05A7">
        <w:t xml:space="preserve">From et al. </w:t>
      </w:r>
      <w:r w:rsidR="003B14F7" w:rsidRPr="00FB05A7">
        <w:fldChar w:fldCharType="begin"/>
      </w:r>
      <w:r w:rsidR="003B14F7">
        <w:instrText xml:space="preserve"> ADDIN EN.CITE &lt;EndNote&gt;&lt;Cite&gt;&lt;Author&gt;From&lt;/Author&gt;&lt;Year&gt;2011&lt;/Year&gt;&lt;RecNum&gt;127&lt;/RecNum&gt;&lt;IDText&gt;1095-102&lt;/IDText&gt;&lt;DisplayText&gt;(From, Maleszewski &amp;amp; Rihal 2011)&lt;/DisplayText&gt;&lt;record&gt;&lt;rec-number&gt;127&lt;/rec-number&gt;&lt;foreign-keys&gt;&lt;key app="EN" db-id="pfxxvref0t0a5de2vwnv2fwkz0p9v0r2fw0t" timestamp="1458714100"&gt;127&lt;/key&gt;&lt;/foreign-keys&gt;&lt;ref-type name="Journal Article"&gt;17&lt;/ref-type&gt;&lt;contributors&gt;&lt;authors&gt;&lt;author&gt;From, A. M.&lt;/author&gt;&lt;author&gt;Maleszewski, J. J.&lt;/author&gt;&lt;author&gt;Rihal, C. S.&lt;/author&gt;&lt;/authors&gt;&lt;/contributors&gt;&lt;auth-address&gt;Division of Cardiovascular Diseases, Mayo Clinic, Rochester, MN 55905, USA..&lt;/auth-address&gt;&lt;titles&gt;&lt;title&gt;Current status of endomyocardial biopsy&lt;/title&gt;&lt;secondary-title&gt;Mayo Clin Proc&lt;/secondary-title&gt;&lt;/titles&gt;&lt;periodical&gt;&lt;full-title&gt;Mayo Clin Proc&lt;/full-title&gt;&lt;/periodical&gt;&lt;pages&gt;1095-102&lt;/pages&gt;&lt;volume&gt;86&lt;/volume&gt;&lt;number&gt;11&lt;/number&gt;&lt;keywords&gt;&lt;keyword&gt;Bayes Theorem&lt;/keyword&gt;&lt;keyword&gt;*Biopsy, Needle/methods&lt;/keyword&gt;&lt;keyword&gt;Cardiomyopathies/diagnosis&lt;/keyword&gt;&lt;keyword&gt;Echocardiography, Transesophageal&lt;/keyword&gt;&lt;keyword&gt;Endocardium/*pathology&lt;/keyword&gt;&lt;keyword&gt;Graft Rejection/*diagnosis&lt;/keyword&gt;&lt;keyword&gt;Heart Neoplasms/diagnosis&lt;/keyword&gt;&lt;keyword&gt;*Heart Transplantation&lt;/keyword&gt;&lt;keyword&gt;Humans&lt;/keyword&gt;&lt;keyword&gt;Magnetic Resonance Imaging&lt;/keyword&gt;&lt;keyword&gt;Myocarditis/pathology&lt;/keyword&gt;&lt;keyword&gt;Myocardium/*pathology&lt;/keyword&gt;&lt;keyword&gt;Practice Guidelines as Topic&lt;/keyword&gt;&lt;keyword&gt;Sarcoidosis/diagnosis&lt;/keyword&gt;&lt;keyword&gt;Transplantation, Homologous&lt;/keyword&gt;&lt;/keywords&gt;&lt;dates&gt;&lt;year&gt;2011&lt;/year&gt;&lt;pub-dates&gt;&lt;date&gt;Nov&lt;/date&gt;&lt;/pub-dates&gt;&lt;/dates&gt;&lt;isbn&gt;1942-5546 (Electronic)&amp;#xD;0025-6196 (Linking)&lt;/isbn&gt;&lt;accession-num&gt;22033254&lt;/accession-num&gt;&lt;urls&gt;&lt;related-urls&gt;&lt;url&gt;http://www.ncbi.nlm.nih.gov/pubmed/22033254&lt;/url&gt;&lt;/related-urls&gt;&lt;/urls&gt;&lt;custom2&gt;3203000&lt;/custom2&gt;&lt;electronic-resource-num&gt;10.4065/mcp.2011.0296&lt;/electronic-resource-num&gt;&lt;/record&gt;&lt;/Cite&gt;&lt;/EndNote&gt;</w:instrText>
      </w:r>
      <w:r w:rsidR="003B14F7" w:rsidRPr="00FB05A7">
        <w:fldChar w:fldCharType="separate"/>
      </w:r>
      <w:r w:rsidR="003B14F7">
        <w:rPr>
          <w:noProof/>
        </w:rPr>
        <w:t>(</w:t>
      </w:r>
      <w:hyperlink w:anchor="_ENREF_42" w:tooltip="From, 2011 #127" w:history="1">
        <w:r w:rsidR="003B14F7">
          <w:rPr>
            <w:noProof/>
          </w:rPr>
          <w:t>2011</w:t>
        </w:r>
      </w:hyperlink>
      <w:r w:rsidR="003B14F7">
        <w:rPr>
          <w:noProof/>
        </w:rPr>
        <w:t>)</w:t>
      </w:r>
      <w:r w:rsidR="003B14F7" w:rsidRPr="00FB05A7">
        <w:fldChar w:fldCharType="end"/>
      </w:r>
      <w:r w:rsidR="003B14F7" w:rsidRPr="00FB05A7">
        <w:t>;</w:t>
      </w:r>
      <w:r w:rsidR="003B14F7">
        <w:t xml:space="preserve"> </w:t>
      </w:r>
      <w:r w:rsidR="003B14F7" w:rsidRPr="00FB05A7">
        <w:t xml:space="preserve">Ghelani et al. </w:t>
      </w:r>
      <w:r w:rsidR="003B14F7" w:rsidRPr="00FB05A7">
        <w:fldChar w:fldCharType="begin"/>
      </w:r>
      <w:r w:rsidR="003B14F7">
        <w:instrText xml:space="preserve"> ADDIN EN.CITE &lt;EndNote&gt;&lt;Cite&gt;&lt;Author&gt;Ghelani&lt;/Author&gt;&lt;Year&gt;2014&lt;/Year&gt;&lt;RecNum&gt;128&lt;/RecNum&gt;&lt;IDText&gt;1060-1069&lt;/IDText&gt;&lt;DisplayText&gt;(Ghelani et al. 2014)&lt;/DisplayText&gt;&lt;record&gt;&lt;rec-number&gt;128&lt;/rec-number&gt;&lt;foreign-keys&gt;&lt;key app="EN" db-id="pfxxvref0t0a5de2vwnv2fwkz0p9v0r2fw0t" timestamp="1458714100"&gt;128&lt;/key&gt;&lt;/foreign-keys&gt;&lt;ref-type name="Journal Article"&gt;17&lt;/ref-type&gt;&lt;contributors&gt;&lt;authors&gt;&lt;author&gt;Ghelani, Sunil J.&lt;/author&gt;&lt;author&gt;Glatz, Andrew C.&lt;/author&gt;&lt;author&gt;David, Sthuthi&lt;/author&gt;&lt;author&gt;Leahy, Ryan&lt;/author&gt;&lt;author&gt;Hirsch, Russel&lt;/author&gt;&lt;author&gt;Armsby, Laurie B.&lt;/author&gt;&lt;author&gt;Trucco, Sara M.&lt;/author&gt;&lt;author&gt;Holzer, Ralf J.&lt;/author&gt;&lt;author&gt;Bergersen, Lisa&lt;/author&gt;&lt;/authors&gt;&lt;/contributors&gt;&lt;titles&gt;&lt;title&gt;Radiation Dose Benchmarks During Cardiac Catheterization for Congenital Heart Disease in the United States&lt;/title&gt;&lt;secondary-title&gt;JACC: Cardiovascular Interventions&lt;/secondary-title&gt;&lt;/titles&gt;&lt;periodical&gt;&lt;full-title&gt;JACC: Cardiovascular Interventions&lt;/full-title&gt;&lt;/periodical&gt;&lt;pages&gt;1060-1069&lt;/pages&gt;&lt;volume&gt;7&lt;/volume&gt;&lt;number&gt;9&lt;/number&gt;&lt;dates&gt;&lt;year&gt;2014&lt;/year&gt;&lt;/dates&gt;&lt;isbn&gt;1936-8798&lt;/isbn&gt;&lt;urls&gt;&lt;related-urls&gt;&lt;url&gt;http://dx.doi.org/10.1016/j.jcin.2014.04.013&lt;/url&gt;&lt;/related-urls&gt;&lt;/urls&gt;&lt;electronic-resource-num&gt;10.1016/j.jcin.2014.04.013&lt;/electronic-resource-num&gt;&lt;/record&gt;&lt;/Cite&gt;&lt;/EndNote&gt;</w:instrText>
      </w:r>
      <w:r w:rsidR="003B14F7" w:rsidRPr="00FB05A7">
        <w:fldChar w:fldCharType="separate"/>
      </w:r>
      <w:r w:rsidR="003B14F7">
        <w:rPr>
          <w:noProof/>
        </w:rPr>
        <w:t>(</w:t>
      </w:r>
      <w:hyperlink w:anchor="_ENREF_44" w:tooltip="Ghelani, 2014 #128" w:history="1">
        <w:r w:rsidR="003B14F7">
          <w:rPr>
            <w:noProof/>
          </w:rPr>
          <w:t>2014</w:t>
        </w:r>
      </w:hyperlink>
      <w:r w:rsidR="003B14F7">
        <w:rPr>
          <w:noProof/>
        </w:rPr>
        <w:t>)</w:t>
      </w:r>
      <w:r w:rsidR="003B14F7" w:rsidRPr="00FB05A7">
        <w:fldChar w:fldCharType="end"/>
      </w:r>
      <w:r w:rsidR="003B14F7">
        <w:t xml:space="preserve">; </w:t>
      </w:r>
      <w:r w:rsidRPr="00FB05A7">
        <w:t xml:space="preserve">Knuuti et al. </w:t>
      </w:r>
      <w:r w:rsidRPr="00FB05A7">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instrText xml:space="preserve"> ADDIN EN.CITE </w:instrText>
      </w:r>
      <w:r>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instrText xml:space="preserve"> ADDIN EN.CITE.DATA </w:instrText>
      </w:r>
      <w:r>
        <w:fldChar w:fldCharType="end"/>
      </w:r>
      <w:r w:rsidRPr="00FB05A7">
        <w:fldChar w:fldCharType="separate"/>
      </w:r>
      <w:r>
        <w:rPr>
          <w:noProof/>
        </w:rPr>
        <w:t>(</w:t>
      </w:r>
      <w:hyperlink w:anchor="_ENREF_61" w:tooltip="Knuuti, 2014 #256" w:history="1">
        <w:r w:rsidR="00B906E9">
          <w:rPr>
            <w:noProof/>
          </w:rPr>
          <w:t>2014</w:t>
        </w:r>
      </w:hyperlink>
      <w:r>
        <w:rPr>
          <w:noProof/>
        </w:rPr>
        <w:t>)</w:t>
      </w:r>
      <w:r w:rsidRPr="00FB05A7">
        <w:fldChar w:fldCharType="end"/>
      </w:r>
      <w:r w:rsidRPr="00FB05A7">
        <w:t xml:space="preserve">; Varga et al. </w:t>
      </w:r>
      <w:r w:rsidRPr="00FB05A7">
        <w:fldChar w:fldCharType="begin"/>
      </w:r>
      <w:r>
        <w:instrText xml:space="preserve"> ADDIN EN.CITE &lt;EndNote&gt;&lt;Cite ExcludeAuth="1"&gt;&lt;Author&gt;Varga&lt;/Author&gt;&lt;Year&gt;2006&lt;/Year&gt;&lt;RecNum&gt;259&lt;/RecNum&gt;&lt;DisplayText&gt;(2006)&lt;/DisplayText&gt;&lt;record&gt;&lt;rec-number&gt;259&lt;/rec-number&gt;&lt;foreign-keys&gt;&lt;key app="EN" db-id="9wevt9zsm0frf1ezepbpa9dgrfez55etdvpa" timestamp="1447822977"&gt;259&lt;/key&gt;&lt;/foreign-keys&gt;&lt;ref-type name="Journal Article"&gt;17&lt;/ref-type&gt;&lt;contributors&gt;&lt;authors&gt;&lt;author&gt;Varga, A.&lt;/author&gt;&lt;author&gt;Garcia, M. A.&lt;/author&gt;&lt;author&gt;Picano, E.&lt;/author&gt;&lt;author&gt;International Stress Echo Complication, Registry&lt;/author&gt;&lt;/authors&gt;&lt;/contributors&gt;&lt;auth-address&gt;2nd Department of Medicine and Cardiology Center, University of Sciences, Szeged, Hungary. vargaa@in2nd.szote.u-szeged.hu&lt;/auth-address&gt;&lt;titles&gt;&lt;title&gt;Safety of stress echocardiography (from the International Stress Echo Complication Registry)&lt;/title&gt;&lt;secondary-title&gt;Am J Cardiol&lt;/secondary-title&gt;&lt;/titles&gt;&lt;periodical&gt;&lt;full-title&gt;Am J Cardiol&lt;/full-title&gt;&lt;abbr-1&gt;The American journal of cardiology&lt;/abbr-1&gt;&lt;/periodical&gt;&lt;pages&gt;541-3&lt;/pages&gt;&lt;volume&gt;98&lt;/volume&gt;&lt;number&gt;4&lt;/number&gt;&lt;keywords&gt;&lt;keyword&gt;Cardiotonic Agents/diagnostic use&lt;/keyword&gt;&lt;keyword&gt;Cost-Benefit Analysis&lt;/keyword&gt;&lt;keyword&gt;Dipyridamole/diagnostic use&lt;/keyword&gt;&lt;keyword&gt;Dobutamine/diagnostic use&lt;/keyword&gt;&lt;keyword&gt;Echocardiography, Stress/economics/*methods/standards&lt;/keyword&gt;&lt;keyword&gt;Exercise/*physiology&lt;/keyword&gt;&lt;keyword&gt;Heart Diseases/physiopathology/*ultrasonography&lt;/keyword&gt;&lt;keyword&gt;Humans&lt;/keyword&gt;&lt;keyword&gt;Questionnaires&lt;/keyword&gt;&lt;keyword&gt;Reproducibility of Results&lt;/keyword&gt;&lt;keyword&gt;Retrospective Studies&lt;/keyword&gt;&lt;keyword&gt;Severity of Illness Index&lt;/keyword&gt;&lt;keyword&gt;Vasodilator Agents/diagnostic use&lt;/keyword&gt;&lt;/keywords&gt;&lt;dates&gt;&lt;year&gt;2006&lt;/year&gt;&lt;pub-dates&gt;&lt;date&gt;Aug 15&lt;/date&gt;&lt;/pub-dates&gt;&lt;/dates&gt;&lt;isbn&gt;0002-9149 (Print)&amp;#xD;0002-9149 (Linking)&lt;/isbn&gt;&lt;accession-num&gt;16893714&lt;/accession-num&gt;&lt;urls&gt;&lt;related-urls&gt;&lt;url&gt;http://www.ncbi.nlm.nih.gov/pubmed/16893714&lt;/url&gt;&lt;/related-urls&gt;&lt;/urls&gt;&lt;electronic-resource-num&gt;10.1016/j.amjcard.2006.02.064&lt;/electronic-resource-num&gt;&lt;/record&gt;&lt;/Cite&gt;&lt;/EndNote&gt;</w:instrText>
      </w:r>
      <w:r w:rsidRPr="00FB05A7">
        <w:fldChar w:fldCharType="separate"/>
      </w:r>
      <w:r>
        <w:rPr>
          <w:noProof/>
        </w:rPr>
        <w:t>(</w:t>
      </w:r>
      <w:hyperlink w:anchor="_ENREF_131" w:tooltip="Varga, 2006 #259" w:history="1">
        <w:r w:rsidR="00B906E9">
          <w:rPr>
            <w:noProof/>
          </w:rPr>
          <w:t>2006</w:t>
        </w:r>
      </w:hyperlink>
      <w:r>
        <w:rPr>
          <w:noProof/>
        </w:rPr>
        <w:t>)</w:t>
      </w:r>
      <w:r w:rsidRPr="00FB05A7">
        <w:fldChar w:fldCharType="end"/>
      </w:r>
      <w:r w:rsidRPr="00FB05A7">
        <w:t xml:space="preserve"> </w:t>
      </w:r>
    </w:p>
    <w:p w14:paraId="579A48BB" w14:textId="18D25418" w:rsidR="00B774D7" w:rsidRPr="00A2548F" w:rsidRDefault="00B774D7" w:rsidP="004C79C1">
      <w:pPr>
        <w:pStyle w:val="Tablenotes0"/>
        <w:spacing w:before="0" w:after="120"/>
      </w:pPr>
      <w:r w:rsidRPr="00A2548F">
        <w:t xml:space="preserve">AE = adverse event; </w:t>
      </w:r>
      <w:r w:rsidR="00752644">
        <w:t xml:space="preserve">DCM = </w:t>
      </w:r>
      <w:r w:rsidR="00752644" w:rsidRPr="00C433E4">
        <w:t>dilated cardiomyopathy;</w:t>
      </w:r>
      <w:r w:rsidR="00752644">
        <w:t xml:space="preserve"> </w:t>
      </w:r>
      <w:r w:rsidR="00F07384" w:rsidRPr="00A2548F">
        <w:t xml:space="preserve">Echo = </w:t>
      </w:r>
      <w:r w:rsidR="00F07384" w:rsidRPr="00C433E4">
        <w:t>echocardiography;</w:t>
      </w:r>
      <w:r w:rsidR="00F07384" w:rsidRPr="00A2548F">
        <w:t xml:space="preserve"> </w:t>
      </w:r>
      <w:r w:rsidR="00752644">
        <w:t xml:space="preserve">GHPS = gated heart pool scan; </w:t>
      </w:r>
      <w:r w:rsidRPr="00A2548F">
        <w:t xml:space="preserve">LGE-CMR = late gadolinium enhancement cardiac magnetic resonance </w:t>
      </w:r>
      <w:r w:rsidR="002D3576">
        <w:t>(</w:t>
      </w:r>
      <w:r w:rsidRPr="00A2548F">
        <w:t>imaging</w:t>
      </w:r>
      <w:r w:rsidR="002D3576">
        <w:t>)</w:t>
      </w:r>
    </w:p>
    <w:p w14:paraId="7C750639" w14:textId="4407CFC1" w:rsidR="00B774D7" w:rsidRPr="0032214A" w:rsidRDefault="00B774D7" w:rsidP="004C79C1">
      <w:pPr>
        <w:pStyle w:val="Caption"/>
      </w:pPr>
      <w:bookmarkStart w:id="960" w:name="_Ref448757037"/>
      <w:bookmarkStart w:id="961" w:name="_Toc324410298"/>
      <w:bookmarkStart w:id="962" w:name="_Toc451435426"/>
      <w:r w:rsidRPr="0032214A">
        <w:t xml:space="preserve">Table </w:t>
      </w:r>
      <w:fldSimple w:instr=" SEQ Table \* ARABIC ">
        <w:r w:rsidR="00050936">
          <w:rPr>
            <w:noProof/>
          </w:rPr>
          <w:t>99</w:t>
        </w:r>
      </w:fldSimple>
      <w:bookmarkEnd w:id="960"/>
      <w:r w:rsidRPr="0032214A">
        <w:tab/>
        <w:t xml:space="preserve">Summary of potential safety concerns </w:t>
      </w:r>
      <w:r>
        <w:t>for tests investigating whether the patient has ischaemia</w:t>
      </w:r>
      <w:bookmarkEnd w:id="961"/>
      <w:bookmarkEnd w:id="962"/>
      <w:r>
        <w:t xml:space="preserve"> </w:t>
      </w:r>
    </w:p>
    <w:tbl>
      <w:tblPr>
        <w:tblStyle w:val="TableGrid"/>
        <w:tblW w:w="9144" w:type="dxa"/>
        <w:tblInd w:w="108" w:type="dxa"/>
        <w:tblLook w:val="04A0" w:firstRow="1" w:lastRow="0" w:firstColumn="1" w:lastColumn="0" w:noHBand="0" w:noVBand="1"/>
        <w:tblCaption w:val="Summary of potential safety concerns related to determining if patient has ischaemia or not"/>
        <w:tblDescription w:val="Summary of potential safety concerns related to determining if patient has ischaemia or not. First column provides both the name of the imaging test and the summary of serious adverse events and mortality. "/>
      </w:tblPr>
      <w:tblGrid>
        <w:gridCol w:w="1765"/>
        <w:gridCol w:w="1666"/>
        <w:gridCol w:w="2268"/>
        <w:gridCol w:w="1843"/>
        <w:gridCol w:w="1602"/>
      </w:tblGrid>
      <w:tr w:rsidR="00B774D7" w:rsidRPr="00423732" w14:paraId="3D38BDFB" w14:textId="77777777" w:rsidTr="00B774D7">
        <w:trPr>
          <w:tblHeader/>
        </w:trPr>
        <w:tc>
          <w:tcPr>
            <w:tcW w:w="1765" w:type="dxa"/>
          </w:tcPr>
          <w:p w14:paraId="307CB3E4" w14:textId="77777777" w:rsidR="00B774D7" w:rsidRPr="00C433E4" w:rsidRDefault="00B774D7" w:rsidP="004C79C1">
            <w:pPr>
              <w:pStyle w:val="TableText0"/>
              <w:spacing w:before="0" w:after="120"/>
            </w:pPr>
            <w:bookmarkStart w:id="963" w:name="_Toc324410299"/>
            <w:r w:rsidRPr="00B2377A">
              <w:rPr>
                <w:b/>
              </w:rPr>
              <w:t>Test / overall mortality rate</w:t>
            </w:r>
            <w:bookmarkEnd w:id="963"/>
          </w:p>
        </w:tc>
        <w:tc>
          <w:tcPr>
            <w:tcW w:w="1666" w:type="dxa"/>
          </w:tcPr>
          <w:p w14:paraId="3B0DFCFB" w14:textId="77777777" w:rsidR="00B774D7" w:rsidRPr="00C433E4" w:rsidRDefault="00B774D7" w:rsidP="004C79C1">
            <w:pPr>
              <w:pStyle w:val="TableText0"/>
              <w:spacing w:before="0" w:after="120"/>
            </w:pPr>
            <w:bookmarkStart w:id="964" w:name="_Toc324410300"/>
            <w:r w:rsidRPr="00B2377A">
              <w:rPr>
                <w:b/>
              </w:rPr>
              <w:t>Radiation dose</w:t>
            </w:r>
            <w:bookmarkEnd w:id="964"/>
          </w:p>
        </w:tc>
        <w:tc>
          <w:tcPr>
            <w:tcW w:w="2268" w:type="dxa"/>
          </w:tcPr>
          <w:p w14:paraId="22AF0A25" w14:textId="77777777" w:rsidR="00B774D7" w:rsidRPr="00C433E4" w:rsidRDefault="00B774D7" w:rsidP="004C79C1">
            <w:pPr>
              <w:pStyle w:val="TableText0"/>
              <w:spacing w:before="0" w:after="120"/>
            </w:pPr>
            <w:bookmarkStart w:id="965" w:name="_Toc324410301"/>
            <w:r w:rsidRPr="00B2377A">
              <w:rPr>
                <w:b/>
              </w:rPr>
              <w:t>Stressors</w:t>
            </w:r>
            <w:bookmarkEnd w:id="965"/>
            <w:r w:rsidRPr="00B2377A">
              <w:rPr>
                <w:b/>
              </w:rPr>
              <w:t xml:space="preserve"> </w:t>
            </w:r>
          </w:p>
        </w:tc>
        <w:tc>
          <w:tcPr>
            <w:tcW w:w="1843" w:type="dxa"/>
          </w:tcPr>
          <w:p w14:paraId="3024E291" w14:textId="77777777" w:rsidR="00B774D7" w:rsidRPr="00C433E4" w:rsidRDefault="00B774D7" w:rsidP="004C79C1">
            <w:pPr>
              <w:pStyle w:val="TableText0"/>
              <w:spacing w:before="0" w:after="120"/>
            </w:pPr>
            <w:bookmarkStart w:id="966" w:name="_Toc324410302"/>
            <w:r w:rsidRPr="00B2377A">
              <w:rPr>
                <w:b/>
              </w:rPr>
              <w:t>Contrast agents and tracers</w:t>
            </w:r>
            <w:bookmarkEnd w:id="966"/>
          </w:p>
        </w:tc>
        <w:tc>
          <w:tcPr>
            <w:tcW w:w="1602" w:type="dxa"/>
          </w:tcPr>
          <w:p w14:paraId="1214A633" w14:textId="77777777" w:rsidR="00B774D7" w:rsidRPr="00C433E4" w:rsidRDefault="00B774D7" w:rsidP="004C79C1">
            <w:pPr>
              <w:pStyle w:val="TableText0"/>
              <w:spacing w:before="0" w:after="120"/>
            </w:pPr>
            <w:bookmarkStart w:id="967" w:name="_Toc324410303"/>
            <w:r w:rsidRPr="00B2377A">
              <w:rPr>
                <w:b/>
              </w:rPr>
              <w:t>Other</w:t>
            </w:r>
            <w:bookmarkEnd w:id="967"/>
          </w:p>
        </w:tc>
      </w:tr>
      <w:tr w:rsidR="00B774D7" w:rsidRPr="0032214A" w14:paraId="6A447A05" w14:textId="77777777" w:rsidTr="00B774D7">
        <w:tc>
          <w:tcPr>
            <w:tcW w:w="1765" w:type="dxa"/>
          </w:tcPr>
          <w:p w14:paraId="44DD1CA7" w14:textId="77777777" w:rsidR="00B774D7" w:rsidRDefault="00B774D7" w:rsidP="004C79C1">
            <w:pPr>
              <w:pStyle w:val="Tabletext1"/>
              <w:spacing w:before="0" w:after="120"/>
              <w:rPr>
                <w:lang w:eastAsia="en-US"/>
              </w:rPr>
            </w:pPr>
            <w:r>
              <w:rPr>
                <w:lang w:eastAsia="en-US"/>
              </w:rPr>
              <w:t>LGE-</w:t>
            </w:r>
            <w:r w:rsidRPr="0032214A">
              <w:rPr>
                <w:lang w:eastAsia="en-US"/>
              </w:rPr>
              <w:t>CMR</w:t>
            </w:r>
          </w:p>
          <w:p w14:paraId="71A0FDAB" w14:textId="77777777" w:rsidR="00B774D7" w:rsidRDefault="00B774D7" w:rsidP="004C79C1">
            <w:pPr>
              <w:pStyle w:val="Tabletext1"/>
              <w:spacing w:before="0" w:after="120"/>
              <w:rPr>
                <w:lang w:eastAsia="en-US"/>
              </w:rPr>
            </w:pPr>
            <w:r>
              <w:rPr>
                <w:lang w:eastAsia="en-US"/>
              </w:rPr>
              <w:t>Serious AEs:</w:t>
            </w:r>
            <w:r>
              <w:rPr>
                <w:lang w:eastAsia="en-US"/>
              </w:rPr>
              <w:br/>
              <w:t>0.7/10,000 scans</w:t>
            </w:r>
          </w:p>
          <w:p w14:paraId="48308281" w14:textId="77777777" w:rsidR="00B774D7" w:rsidRPr="0032214A" w:rsidRDefault="00B774D7" w:rsidP="004C79C1">
            <w:pPr>
              <w:pStyle w:val="Tabletext1"/>
              <w:spacing w:before="0" w:after="120"/>
              <w:rPr>
                <w:lang w:eastAsia="en-US"/>
              </w:rPr>
            </w:pPr>
            <w:r>
              <w:rPr>
                <w:lang w:eastAsia="en-US"/>
              </w:rPr>
              <w:t>Mortality:</w:t>
            </w:r>
            <w:r>
              <w:rPr>
                <w:lang w:eastAsia="en-US"/>
              </w:rPr>
              <w:br/>
              <w:t>7/10,000 patients</w:t>
            </w:r>
          </w:p>
        </w:tc>
        <w:tc>
          <w:tcPr>
            <w:tcW w:w="1666" w:type="dxa"/>
          </w:tcPr>
          <w:p w14:paraId="080B7299" w14:textId="77777777" w:rsidR="00B774D7" w:rsidRPr="0032214A" w:rsidRDefault="00B774D7" w:rsidP="004C79C1">
            <w:pPr>
              <w:pStyle w:val="Tabletext1"/>
              <w:spacing w:before="0" w:after="120"/>
              <w:rPr>
                <w:lang w:eastAsia="en-US"/>
              </w:rPr>
            </w:pPr>
            <w:r w:rsidRPr="0032214A">
              <w:rPr>
                <w:lang w:eastAsia="en-US"/>
              </w:rPr>
              <w:t>0</w:t>
            </w:r>
          </w:p>
        </w:tc>
        <w:tc>
          <w:tcPr>
            <w:tcW w:w="2268" w:type="dxa"/>
          </w:tcPr>
          <w:p w14:paraId="3A3801FE" w14:textId="77777777" w:rsidR="00B774D7" w:rsidRPr="0032214A" w:rsidRDefault="00B774D7" w:rsidP="004C79C1">
            <w:pPr>
              <w:pStyle w:val="Tabletext1"/>
              <w:spacing w:before="0" w:after="120"/>
              <w:rPr>
                <w:lang w:eastAsia="en-US"/>
              </w:rPr>
            </w:pPr>
            <w:r>
              <w:rPr>
                <w:lang w:eastAsia="en-US"/>
              </w:rPr>
              <w:t>-</w:t>
            </w:r>
          </w:p>
        </w:tc>
        <w:tc>
          <w:tcPr>
            <w:tcW w:w="1843" w:type="dxa"/>
          </w:tcPr>
          <w:p w14:paraId="11B13FC6" w14:textId="77777777" w:rsidR="00B774D7" w:rsidRDefault="00B774D7" w:rsidP="004C79C1">
            <w:pPr>
              <w:pStyle w:val="Tabletext1"/>
              <w:spacing w:before="0" w:after="120"/>
              <w:rPr>
                <w:lang w:eastAsia="en-US"/>
              </w:rPr>
            </w:pPr>
            <w:r w:rsidRPr="0032214A">
              <w:rPr>
                <w:lang w:eastAsia="en-US"/>
              </w:rPr>
              <w:t>Gadolinium</w:t>
            </w:r>
          </w:p>
          <w:p w14:paraId="57E841E1" w14:textId="77777777" w:rsidR="00B774D7" w:rsidRDefault="00B774D7" w:rsidP="004C79C1">
            <w:pPr>
              <w:pStyle w:val="Tabletext1"/>
              <w:spacing w:before="0" w:after="120"/>
              <w:rPr>
                <w:lang w:eastAsia="en-US"/>
              </w:rPr>
            </w:pPr>
            <w:r>
              <w:rPr>
                <w:lang w:eastAsia="en-US"/>
              </w:rPr>
              <w:t>Serious AEs:</w:t>
            </w:r>
            <w:r>
              <w:rPr>
                <w:lang w:eastAsia="en-US"/>
              </w:rPr>
              <w:br/>
              <w:t>0.48/10,000 doses</w:t>
            </w:r>
          </w:p>
          <w:p w14:paraId="0434425D" w14:textId="77777777" w:rsidR="00B774D7" w:rsidRPr="0032214A" w:rsidRDefault="00B774D7" w:rsidP="004C79C1">
            <w:pPr>
              <w:pStyle w:val="Tabletext1"/>
              <w:spacing w:before="0" w:after="120"/>
              <w:rPr>
                <w:lang w:eastAsia="en-US"/>
              </w:rPr>
            </w:pPr>
            <w:r>
              <w:rPr>
                <w:lang w:eastAsia="en-US"/>
              </w:rPr>
              <w:t>Long-term death rate:</w:t>
            </w:r>
            <w:r>
              <w:rPr>
                <w:lang w:eastAsia="en-US"/>
              </w:rPr>
              <w:br/>
              <w:t>6.6/10,000 doses</w:t>
            </w:r>
          </w:p>
        </w:tc>
        <w:tc>
          <w:tcPr>
            <w:tcW w:w="1602" w:type="dxa"/>
          </w:tcPr>
          <w:p w14:paraId="63E2934B" w14:textId="77777777" w:rsidR="00B774D7" w:rsidRDefault="00B774D7" w:rsidP="004C79C1">
            <w:pPr>
              <w:pStyle w:val="Tabletext1"/>
              <w:spacing w:before="0" w:after="120"/>
              <w:rPr>
                <w:lang w:eastAsia="en-US"/>
              </w:rPr>
            </w:pPr>
            <w:r>
              <w:rPr>
                <w:lang w:eastAsia="en-US"/>
              </w:rPr>
              <w:t>C</w:t>
            </w:r>
            <w:r w:rsidRPr="0032214A">
              <w:rPr>
                <w:lang w:eastAsia="en-US"/>
              </w:rPr>
              <w:t>laustroph</w:t>
            </w:r>
            <w:r>
              <w:rPr>
                <w:lang w:eastAsia="en-US"/>
              </w:rPr>
              <w:t>ob</w:t>
            </w:r>
            <w:r w:rsidRPr="0032214A">
              <w:rPr>
                <w:lang w:eastAsia="en-US"/>
              </w:rPr>
              <w:t>ia</w:t>
            </w:r>
          </w:p>
          <w:p w14:paraId="06399637" w14:textId="77777777" w:rsidR="00B774D7" w:rsidRPr="0032214A" w:rsidRDefault="00B774D7" w:rsidP="004C79C1">
            <w:pPr>
              <w:pStyle w:val="Tabletext1"/>
              <w:spacing w:before="0" w:after="120"/>
              <w:rPr>
                <w:lang w:eastAsia="en-US"/>
              </w:rPr>
            </w:pPr>
            <w:r w:rsidRPr="0032214A">
              <w:rPr>
                <w:lang w:eastAsia="en-US"/>
              </w:rPr>
              <w:t>Magnetism</w:t>
            </w:r>
            <w:r>
              <w:rPr>
                <w:lang w:eastAsia="en-US"/>
              </w:rPr>
              <w:br/>
              <w:t>Serious AEs:</w:t>
            </w:r>
            <w:r>
              <w:rPr>
                <w:lang w:eastAsia="en-US"/>
              </w:rPr>
              <w:br/>
            </w:r>
            <w:r w:rsidRPr="0081466F">
              <w:rPr>
                <w:lang w:eastAsia="en-US"/>
              </w:rPr>
              <w:t xml:space="preserve">0.2/10,000 </w:t>
            </w:r>
            <w:r>
              <w:rPr>
                <w:lang w:eastAsia="en-US"/>
              </w:rPr>
              <w:t>scans</w:t>
            </w:r>
          </w:p>
        </w:tc>
      </w:tr>
      <w:tr w:rsidR="00B774D7" w:rsidRPr="0032214A" w14:paraId="2AF31ABF" w14:textId="77777777" w:rsidTr="00B774D7">
        <w:tc>
          <w:tcPr>
            <w:tcW w:w="1765" w:type="dxa"/>
          </w:tcPr>
          <w:p w14:paraId="6009FAF0" w14:textId="77777777" w:rsidR="00B774D7" w:rsidRPr="0032214A" w:rsidRDefault="00B774D7" w:rsidP="004C79C1">
            <w:pPr>
              <w:pStyle w:val="Tabletext1"/>
              <w:spacing w:before="0" w:after="120"/>
              <w:rPr>
                <w:lang w:eastAsia="en-US"/>
              </w:rPr>
            </w:pPr>
            <w:r w:rsidRPr="0032214A">
              <w:rPr>
                <w:lang w:eastAsia="en-US"/>
              </w:rPr>
              <w:t>SPECT</w:t>
            </w:r>
            <w:r>
              <w:rPr>
                <w:lang w:eastAsia="en-US"/>
              </w:rPr>
              <w:br/>
              <w:t>Serious AEs:</w:t>
            </w:r>
            <w:r>
              <w:rPr>
                <w:lang w:eastAsia="en-US"/>
              </w:rPr>
              <w:br/>
              <w:t>0.06/10,000 scans</w:t>
            </w:r>
            <w:r>
              <w:rPr>
                <w:lang w:eastAsia="en-US"/>
              </w:rPr>
              <w:br/>
              <w:t>Mortality:</w:t>
            </w:r>
            <w:r>
              <w:rPr>
                <w:lang w:eastAsia="en-US"/>
              </w:rPr>
              <w:br/>
              <w:t>8/10,000 patients</w:t>
            </w:r>
          </w:p>
        </w:tc>
        <w:tc>
          <w:tcPr>
            <w:tcW w:w="1666" w:type="dxa"/>
          </w:tcPr>
          <w:p w14:paraId="79ECC351" w14:textId="77777777" w:rsidR="00B774D7" w:rsidRPr="00CA5DC9" w:rsidRDefault="00B774D7" w:rsidP="004C79C1">
            <w:pPr>
              <w:pStyle w:val="Tabletext1"/>
              <w:spacing w:before="0" w:after="120"/>
              <w:rPr>
                <w:lang w:eastAsia="en-US"/>
              </w:rPr>
            </w:pPr>
            <w:r w:rsidRPr="0032214A">
              <w:rPr>
                <w:lang w:eastAsia="en-US"/>
              </w:rPr>
              <w:t>15.6 mSv</w:t>
            </w:r>
          </w:p>
          <w:p w14:paraId="0B0DFD7B" w14:textId="77777777" w:rsidR="00B774D7" w:rsidRDefault="00B774D7" w:rsidP="004C79C1">
            <w:pPr>
              <w:pStyle w:val="Tabletext1"/>
              <w:spacing w:before="0" w:after="120"/>
              <w:rPr>
                <w:lang w:eastAsia="en-US"/>
              </w:rPr>
            </w:pPr>
            <w:r>
              <w:rPr>
                <w:lang w:eastAsia="en-US"/>
              </w:rPr>
              <w:t>Additional f</w:t>
            </w:r>
            <w:r w:rsidRPr="008839E9">
              <w:rPr>
                <w:lang w:eastAsia="en-US"/>
              </w:rPr>
              <w:t>atal</w:t>
            </w:r>
            <w:r>
              <w:rPr>
                <w:lang w:eastAsia="en-US"/>
              </w:rPr>
              <w:t xml:space="preserve"> </w:t>
            </w:r>
            <w:r w:rsidRPr="008839E9">
              <w:rPr>
                <w:lang w:eastAsia="en-US"/>
              </w:rPr>
              <w:t>cancers</w:t>
            </w:r>
            <w:r>
              <w:rPr>
                <w:lang w:eastAsia="en-US"/>
              </w:rPr>
              <w:t>:</w:t>
            </w:r>
          </w:p>
          <w:p w14:paraId="32C1FF52" w14:textId="77777777" w:rsidR="00B774D7" w:rsidRPr="008839E9" w:rsidRDefault="00B774D7" w:rsidP="004C79C1">
            <w:pPr>
              <w:pStyle w:val="Tabletext1"/>
              <w:spacing w:before="0" w:after="120"/>
              <w:rPr>
                <w:lang w:eastAsia="en-US"/>
              </w:rPr>
            </w:pPr>
            <w:r>
              <w:rPr>
                <w:lang w:eastAsia="en-US"/>
              </w:rPr>
              <w:t>7.8</w:t>
            </w:r>
            <w:r w:rsidRPr="008839E9">
              <w:rPr>
                <w:lang w:eastAsia="en-US"/>
              </w:rPr>
              <w:t>/10,000 patients</w:t>
            </w:r>
          </w:p>
        </w:tc>
        <w:tc>
          <w:tcPr>
            <w:tcW w:w="2268" w:type="dxa"/>
          </w:tcPr>
          <w:p w14:paraId="576CCA00" w14:textId="77777777" w:rsidR="00B774D7" w:rsidRPr="0032214A" w:rsidRDefault="00B774D7" w:rsidP="004C79C1">
            <w:pPr>
              <w:pStyle w:val="Tabletext1"/>
              <w:spacing w:before="0" w:after="120"/>
              <w:rPr>
                <w:lang w:eastAsia="en-US"/>
              </w:rPr>
            </w:pPr>
            <w:r>
              <w:rPr>
                <w:lang w:eastAsia="en-US"/>
              </w:rPr>
              <w:t>-</w:t>
            </w:r>
          </w:p>
        </w:tc>
        <w:tc>
          <w:tcPr>
            <w:tcW w:w="1843" w:type="dxa"/>
          </w:tcPr>
          <w:p w14:paraId="038E3A58" w14:textId="77777777" w:rsidR="00B774D7" w:rsidRDefault="00B774D7" w:rsidP="004C79C1">
            <w:pPr>
              <w:pStyle w:val="Tabletext1"/>
              <w:spacing w:before="0" w:after="120"/>
              <w:rPr>
                <w:lang w:eastAsia="en-US"/>
              </w:rPr>
            </w:pPr>
            <w:r w:rsidRPr="0032214A">
              <w:rPr>
                <w:lang w:eastAsia="en-US"/>
              </w:rPr>
              <w:t xml:space="preserve">Radiotracers (Tc99 sestamibi or Myoview or </w:t>
            </w:r>
            <w:r>
              <w:rPr>
                <w:lang w:eastAsia="en-US"/>
              </w:rPr>
              <w:t>t</w:t>
            </w:r>
            <w:r w:rsidRPr="0032214A">
              <w:rPr>
                <w:lang w:eastAsia="en-US"/>
              </w:rPr>
              <w:t>hallium-201)</w:t>
            </w:r>
          </w:p>
          <w:p w14:paraId="0260FB5E" w14:textId="77777777" w:rsidR="00B774D7" w:rsidRPr="0032214A" w:rsidRDefault="00B774D7" w:rsidP="004C79C1">
            <w:pPr>
              <w:pStyle w:val="Tabletext1"/>
              <w:spacing w:before="0" w:after="120"/>
              <w:rPr>
                <w:lang w:eastAsia="en-US"/>
              </w:rPr>
            </w:pPr>
            <w:r>
              <w:rPr>
                <w:lang w:eastAsia="en-US"/>
              </w:rPr>
              <w:t xml:space="preserve">Serious AEs: </w:t>
            </w:r>
            <w:r w:rsidRPr="008839E9">
              <w:rPr>
                <w:lang w:eastAsia="en-US"/>
              </w:rPr>
              <w:t>0.06/10,000</w:t>
            </w:r>
            <w:r>
              <w:rPr>
                <w:lang w:eastAsia="en-US"/>
              </w:rPr>
              <w:t xml:space="preserve"> scans</w:t>
            </w:r>
          </w:p>
        </w:tc>
        <w:tc>
          <w:tcPr>
            <w:tcW w:w="1602" w:type="dxa"/>
          </w:tcPr>
          <w:p w14:paraId="5D97FDDE" w14:textId="77777777" w:rsidR="00B774D7" w:rsidRPr="0032214A" w:rsidRDefault="00B774D7" w:rsidP="004C79C1">
            <w:pPr>
              <w:pStyle w:val="Tabletext1"/>
              <w:spacing w:before="0" w:after="120"/>
              <w:rPr>
                <w:lang w:eastAsia="en-US"/>
              </w:rPr>
            </w:pPr>
            <w:r w:rsidRPr="0032214A">
              <w:rPr>
                <w:lang w:eastAsia="en-US"/>
              </w:rPr>
              <w:t>-</w:t>
            </w:r>
          </w:p>
        </w:tc>
      </w:tr>
      <w:tr w:rsidR="00B774D7" w:rsidRPr="0032214A" w14:paraId="637D464D" w14:textId="77777777" w:rsidTr="00B774D7">
        <w:tc>
          <w:tcPr>
            <w:tcW w:w="1765" w:type="dxa"/>
          </w:tcPr>
          <w:p w14:paraId="4B55EDD9" w14:textId="77777777" w:rsidR="00B774D7" w:rsidRDefault="00B774D7" w:rsidP="004C79C1">
            <w:pPr>
              <w:spacing w:after="120" w:line="240" w:lineRule="auto"/>
              <w:ind w:right="-57"/>
              <w:rPr>
                <w:rFonts w:ascii="Arial Narrow" w:hAnsi="Arial Narrow"/>
                <w:sz w:val="20"/>
                <w:lang w:eastAsia="en-US"/>
              </w:rPr>
            </w:pPr>
            <w:r w:rsidRPr="0032214A">
              <w:rPr>
                <w:rFonts w:ascii="Arial Narrow" w:hAnsi="Arial Narrow"/>
                <w:sz w:val="20"/>
                <w:lang w:eastAsia="en-US"/>
              </w:rPr>
              <w:t xml:space="preserve">Stress </w:t>
            </w:r>
            <w:r>
              <w:rPr>
                <w:rFonts w:ascii="Arial Narrow" w:hAnsi="Arial Narrow"/>
                <w:sz w:val="20"/>
                <w:lang w:eastAsia="en-US"/>
              </w:rPr>
              <w:t>Echo</w:t>
            </w:r>
          </w:p>
          <w:p w14:paraId="20DA8997" w14:textId="773A6716" w:rsidR="00B774D7" w:rsidRDefault="00B774D7" w:rsidP="004C79C1">
            <w:pPr>
              <w:spacing w:after="120" w:line="240" w:lineRule="auto"/>
              <w:ind w:right="-57"/>
              <w:rPr>
                <w:rFonts w:ascii="Arial Narrow" w:hAnsi="Arial Narrow"/>
                <w:sz w:val="20"/>
                <w:lang w:eastAsia="en-US"/>
              </w:rPr>
            </w:pPr>
            <w:r>
              <w:rPr>
                <w:rFonts w:ascii="Arial Narrow" w:hAnsi="Arial Narrow"/>
                <w:sz w:val="20"/>
                <w:lang w:eastAsia="en-US"/>
              </w:rPr>
              <w:t>Serious</w:t>
            </w:r>
            <w:r w:rsidR="00CE66E7">
              <w:rPr>
                <w:rFonts w:ascii="Arial Narrow" w:hAnsi="Arial Narrow"/>
                <w:sz w:val="20"/>
                <w:lang w:eastAsia="en-US"/>
              </w:rPr>
              <w:t xml:space="preserve"> </w:t>
            </w:r>
            <w:r>
              <w:rPr>
                <w:rFonts w:ascii="Arial Narrow" w:hAnsi="Arial Narrow"/>
                <w:sz w:val="20"/>
                <w:lang w:eastAsia="en-US"/>
              </w:rPr>
              <w:t>AEs:</w:t>
            </w:r>
            <w:r>
              <w:rPr>
                <w:rFonts w:ascii="Arial Narrow" w:hAnsi="Arial Narrow"/>
                <w:sz w:val="20"/>
                <w:lang w:eastAsia="en-US"/>
              </w:rPr>
              <w:br/>
              <w:t>5–21/10,000 scans</w:t>
            </w:r>
          </w:p>
          <w:p w14:paraId="7ADD1AD4" w14:textId="77777777" w:rsidR="00B774D7" w:rsidRPr="0032214A" w:rsidRDefault="00B774D7" w:rsidP="004C79C1">
            <w:pPr>
              <w:pStyle w:val="Tabletext1"/>
              <w:spacing w:before="0" w:after="120"/>
              <w:rPr>
                <w:lang w:eastAsia="en-US"/>
              </w:rPr>
            </w:pPr>
            <w:r>
              <w:rPr>
                <w:lang w:eastAsia="en-US"/>
              </w:rPr>
              <w:t>Mortality:</w:t>
            </w:r>
            <w:r>
              <w:rPr>
                <w:lang w:eastAsia="en-US"/>
              </w:rPr>
              <w:br/>
              <w:t>1–2/10,000 patients</w:t>
            </w:r>
          </w:p>
        </w:tc>
        <w:tc>
          <w:tcPr>
            <w:tcW w:w="1666" w:type="dxa"/>
          </w:tcPr>
          <w:p w14:paraId="0F5B20F8" w14:textId="77777777" w:rsidR="00B774D7" w:rsidRPr="0032214A" w:rsidRDefault="00B774D7" w:rsidP="004C79C1">
            <w:pPr>
              <w:pStyle w:val="Tabletext1"/>
              <w:spacing w:before="0" w:after="120"/>
              <w:rPr>
                <w:lang w:eastAsia="en-US"/>
              </w:rPr>
            </w:pPr>
            <w:r w:rsidRPr="0032214A">
              <w:rPr>
                <w:lang w:eastAsia="en-US"/>
              </w:rPr>
              <w:t>0</w:t>
            </w:r>
          </w:p>
        </w:tc>
        <w:tc>
          <w:tcPr>
            <w:tcW w:w="2268" w:type="dxa"/>
          </w:tcPr>
          <w:p w14:paraId="7AE823D2" w14:textId="4190C413" w:rsidR="000F4EEA" w:rsidRDefault="00B774D7" w:rsidP="004C79C1">
            <w:pPr>
              <w:spacing w:after="120" w:line="240" w:lineRule="auto"/>
              <w:ind w:right="-57"/>
              <w:rPr>
                <w:rFonts w:ascii="Arial Narrow" w:hAnsi="Arial Narrow"/>
                <w:sz w:val="20"/>
                <w:lang w:eastAsia="en-US"/>
              </w:rPr>
            </w:pPr>
            <w:r w:rsidRPr="00B2377A">
              <w:rPr>
                <w:rFonts w:ascii="Arial Narrow" w:hAnsi="Arial Narrow"/>
                <w:b/>
                <w:sz w:val="20"/>
                <w:lang w:eastAsia="en-US"/>
              </w:rPr>
              <w:t>Exercise</w:t>
            </w:r>
            <w:r w:rsidRPr="001E4027">
              <w:rPr>
                <w:rFonts w:ascii="Arial Narrow" w:hAnsi="Arial Narrow"/>
                <w:sz w:val="20"/>
                <w:lang w:eastAsia="en-US"/>
              </w:rPr>
              <w:t xml:space="preserve"> </w:t>
            </w:r>
          </w:p>
          <w:p w14:paraId="360C7793" w14:textId="5CBDAC26" w:rsidR="00B774D7" w:rsidRDefault="000F4EEA" w:rsidP="004C79C1">
            <w:pPr>
              <w:spacing w:after="120" w:line="240" w:lineRule="auto"/>
              <w:ind w:right="-57"/>
              <w:rPr>
                <w:rFonts w:ascii="Arial Narrow" w:hAnsi="Arial Narrow"/>
                <w:sz w:val="20"/>
                <w:lang w:eastAsia="en-US"/>
              </w:rPr>
            </w:pPr>
            <w:r>
              <w:rPr>
                <w:rFonts w:ascii="Arial Narrow" w:hAnsi="Arial Narrow"/>
                <w:sz w:val="20"/>
                <w:lang w:eastAsia="en-US"/>
              </w:rPr>
              <w:t>S</w:t>
            </w:r>
            <w:r w:rsidR="00B774D7" w:rsidRPr="001E4027">
              <w:rPr>
                <w:rFonts w:ascii="Arial Narrow" w:hAnsi="Arial Narrow"/>
                <w:sz w:val="20"/>
                <w:lang w:eastAsia="en-US"/>
              </w:rPr>
              <w:t>erious AEs:</w:t>
            </w:r>
            <w:r w:rsidR="006437FC" w:rsidDel="006437FC">
              <w:rPr>
                <w:rFonts w:ascii="Arial Narrow" w:hAnsi="Arial Narrow"/>
                <w:sz w:val="20"/>
                <w:lang w:eastAsia="en-US"/>
              </w:rPr>
              <w:t xml:space="preserve"> </w:t>
            </w:r>
            <w:r w:rsidR="00B774D7" w:rsidRPr="001E4027">
              <w:rPr>
                <w:rFonts w:ascii="Arial Narrow" w:hAnsi="Arial Narrow"/>
                <w:sz w:val="20"/>
                <w:lang w:eastAsia="en-US"/>
              </w:rPr>
              <w:t>1.</w:t>
            </w:r>
            <w:r w:rsidR="00B774D7">
              <w:rPr>
                <w:rFonts w:ascii="Arial Narrow" w:hAnsi="Arial Narrow"/>
                <w:sz w:val="20"/>
                <w:lang w:eastAsia="en-US"/>
              </w:rPr>
              <w:t>5</w:t>
            </w:r>
            <w:r w:rsidR="00B774D7" w:rsidRPr="001E4027">
              <w:rPr>
                <w:rFonts w:ascii="Arial Narrow" w:hAnsi="Arial Narrow"/>
                <w:sz w:val="20"/>
                <w:lang w:eastAsia="en-US"/>
              </w:rPr>
              <w:t>/10,000 tests</w:t>
            </w:r>
            <w:r w:rsidR="00B774D7">
              <w:rPr>
                <w:rFonts w:ascii="Arial Narrow" w:hAnsi="Arial Narrow"/>
                <w:sz w:val="20"/>
                <w:lang w:eastAsia="en-US"/>
              </w:rPr>
              <w:br/>
              <w:t>Death: 0.1/10,000 patients</w:t>
            </w:r>
          </w:p>
          <w:p w14:paraId="2AA356BF" w14:textId="73821D72" w:rsidR="000F4EEA" w:rsidRDefault="00B774D7" w:rsidP="004C79C1">
            <w:pPr>
              <w:spacing w:after="120" w:line="240" w:lineRule="auto"/>
              <w:ind w:right="-57"/>
              <w:rPr>
                <w:rFonts w:ascii="Arial Narrow" w:hAnsi="Arial Narrow"/>
                <w:sz w:val="20"/>
                <w:lang w:eastAsia="en-US"/>
              </w:rPr>
            </w:pPr>
            <w:r w:rsidRPr="00B2377A">
              <w:rPr>
                <w:rFonts w:ascii="Arial Narrow" w:hAnsi="Arial Narrow"/>
                <w:b/>
                <w:sz w:val="20"/>
                <w:lang w:eastAsia="en-US"/>
              </w:rPr>
              <w:t>Dipyridamole</w:t>
            </w:r>
            <w:r>
              <w:rPr>
                <w:rFonts w:ascii="Arial Narrow" w:hAnsi="Arial Narrow"/>
                <w:sz w:val="20"/>
                <w:lang w:eastAsia="en-US"/>
              </w:rPr>
              <w:t xml:space="preserve"> </w:t>
            </w:r>
          </w:p>
          <w:p w14:paraId="1244D742" w14:textId="4DB6BCAF" w:rsidR="00B774D7" w:rsidRDefault="000F4EEA" w:rsidP="004C79C1">
            <w:pPr>
              <w:spacing w:after="120" w:line="240" w:lineRule="auto"/>
              <w:ind w:right="-57"/>
              <w:rPr>
                <w:rFonts w:ascii="Arial Narrow" w:hAnsi="Arial Narrow"/>
                <w:sz w:val="20"/>
                <w:lang w:eastAsia="en-US"/>
              </w:rPr>
            </w:pPr>
            <w:r>
              <w:rPr>
                <w:rFonts w:ascii="Arial Narrow" w:hAnsi="Arial Narrow"/>
                <w:sz w:val="20"/>
                <w:lang w:eastAsia="en-US"/>
              </w:rPr>
              <w:lastRenderedPageBreak/>
              <w:t>S</w:t>
            </w:r>
            <w:r w:rsidR="00B774D7" w:rsidRPr="001E4027">
              <w:rPr>
                <w:rFonts w:ascii="Arial Narrow" w:hAnsi="Arial Narrow"/>
                <w:sz w:val="20"/>
                <w:lang w:eastAsia="en-US"/>
              </w:rPr>
              <w:t>erious AEs:</w:t>
            </w:r>
            <w:r w:rsidR="006437FC" w:rsidDel="006437FC">
              <w:rPr>
                <w:rFonts w:ascii="Arial Narrow" w:hAnsi="Arial Narrow"/>
                <w:sz w:val="20"/>
                <w:lang w:eastAsia="en-US"/>
              </w:rPr>
              <w:t xml:space="preserve"> </w:t>
            </w:r>
            <w:r w:rsidR="00B774D7">
              <w:rPr>
                <w:rFonts w:ascii="Arial Narrow" w:hAnsi="Arial Narrow"/>
                <w:sz w:val="20"/>
                <w:lang w:eastAsia="en-US"/>
              </w:rPr>
              <w:t>7</w:t>
            </w:r>
            <w:r w:rsidR="00B774D7" w:rsidRPr="001E4027">
              <w:rPr>
                <w:rFonts w:ascii="Arial Narrow" w:hAnsi="Arial Narrow"/>
                <w:sz w:val="20"/>
                <w:lang w:eastAsia="en-US"/>
              </w:rPr>
              <w:t>.</w:t>
            </w:r>
            <w:r w:rsidR="00B774D7">
              <w:rPr>
                <w:rFonts w:ascii="Arial Narrow" w:hAnsi="Arial Narrow"/>
                <w:sz w:val="20"/>
                <w:lang w:eastAsia="en-US"/>
              </w:rPr>
              <w:t>7</w:t>
            </w:r>
            <w:r w:rsidR="00B774D7" w:rsidRPr="001E4027">
              <w:rPr>
                <w:rFonts w:ascii="Arial Narrow" w:hAnsi="Arial Narrow"/>
                <w:sz w:val="20"/>
                <w:lang w:eastAsia="en-US"/>
              </w:rPr>
              <w:t>/10,000 tests</w:t>
            </w:r>
            <w:r w:rsidR="00B774D7">
              <w:rPr>
                <w:rFonts w:ascii="Arial Narrow" w:hAnsi="Arial Narrow"/>
                <w:sz w:val="20"/>
                <w:lang w:eastAsia="en-US"/>
              </w:rPr>
              <w:br/>
              <w:t>Death: 0.4/10,000 patients</w:t>
            </w:r>
          </w:p>
          <w:p w14:paraId="7600E6C7" w14:textId="767154B2" w:rsidR="000F4EEA" w:rsidRDefault="00B774D7" w:rsidP="004C79C1">
            <w:pPr>
              <w:spacing w:after="120" w:line="240" w:lineRule="auto"/>
              <w:ind w:right="-57"/>
              <w:rPr>
                <w:rFonts w:ascii="Arial Narrow" w:hAnsi="Arial Narrow"/>
                <w:sz w:val="20"/>
                <w:lang w:eastAsia="en-US"/>
              </w:rPr>
            </w:pPr>
            <w:r w:rsidRPr="00B2377A">
              <w:rPr>
                <w:rFonts w:ascii="Arial Narrow" w:hAnsi="Arial Narrow"/>
                <w:b/>
                <w:sz w:val="20"/>
                <w:lang w:eastAsia="en-US"/>
              </w:rPr>
              <w:t>Adenosine</w:t>
            </w:r>
            <w:r>
              <w:rPr>
                <w:rFonts w:ascii="Arial Narrow" w:hAnsi="Arial Narrow"/>
                <w:sz w:val="20"/>
                <w:lang w:eastAsia="en-US"/>
              </w:rPr>
              <w:t xml:space="preserve"> </w:t>
            </w:r>
          </w:p>
          <w:p w14:paraId="7602AF3A" w14:textId="310A92D0" w:rsidR="00B774D7" w:rsidRDefault="000F4EEA" w:rsidP="004C79C1">
            <w:pPr>
              <w:spacing w:after="120" w:line="240" w:lineRule="auto"/>
              <w:ind w:right="-57"/>
              <w:rPr>
                <w:rFonts w:ascii="Arial Narrow" w:hAnsi="Arial Narrow"/>
                <w:sz w:val="20"/>
                <w:lang w:eastAsia="en-US"/>
              </w:rPr>
            </w:pPr>
            <w:r>
              <w:rPr>
                <w:rFonts w:ascii="Arial Narrow" w:hAnsi="Arial Narrow"/>
                <w:sz w:val="20"/>
                <w:lang w:eastAsia="en-US"/>
              </w:rPr>
              <w:t>S</w:t>
            </w:r>
            <w:r w:rsidR="00B774D7" w:rsidRPr="001E4027">
              <w:rPr>
                <w:rFonts w:ascii="Arial Narrow" w:hAnsi="Arial Narrow"/>
                <w:sz w:val="20"/>
                <w:lang w:eastAsia="en-US"/>
              </w:rPr>
              <w:t>erious AEs:</w:t>
            </w:r>
            <w:r w:rsidR="006437FC" w:rsidDel="006437FC">
              <w:rPr>
                <w:rFonts w:ascii="Arial Narrow" w:hAnsi="Arial Narrow"/>
                <w:sz w:val="20"/>
                <w:lang w:eastAsia="en-US"/>
              </w:rPr>
              <w:t xml:space="preserve"> </w:t>
            </w:r>
            <w:r w:rsidR="00B774D7" w:rsidRPr="001E4027">
              <w:rPr>
                <w:rFonts w:ascii="Arial Narrow" w:hAnsi="Arial Narrow"/>
                <w:sz w:val="20"/>
                <w:lang w:eastAsia="en-US"/>
              </w:rPr>
              <w:t>1.</w:t>
            </w:r>
            <w:r w:rsidR="00B774D7">
              <w:rPr>
                <w:rFonts w:ascii="Arial Narrow" w:hAnsi="Arial Narrow"/>
                <w:sz w:val="20"/>
                <w:lang w:eastAsia="en-US"/>
              </w:rPr>
              <w:t>4</w:t>
            </w:r>
            <w:r w:rsidR="00B774D7" w:rsidRPr="001E4027">
              <w:rPr>
                <w:rFonts w:ascii="Arial Narrow" w:hAnsi="Arial Narrow"/>
                <w:sz w:val="20"/>
                <w:lang w:eastAsia="en-US"/>
              </w:rPr>
              <w:t>/10,000 tests</w:t>
            </w:r>
            <w:r w:rsidR="00B774D7">
              <w:rPr>
                <w:rFonts w:ascii="Arial Narrow" w:hAnsi="Arial Narrow"/>
                <w:sz w:val="20"/>
                <w:lang w:eastAsia="en-US"/>
              </w:rPr>
              <w:br/>
              <w:t>Death: 0.1/10,000 patients</w:t>
            </w:r>
          </w:p>
          <w:p w14:paraId="3DBECC82" w14:textId="7DAEFB9E" w:rsidR="000F4EEA" w:rsidRDefault="00B774D7" w:rsidP="004C79C1">
            <w:pPr>
              <w:pStyle w:val="Tabletext1"/>
              <w:spacing w:before="0" w:after="120"/>
              <w:rPr>
                <w:lang w:eastAsia="en-US"/>
              </w:rPr>
            </w:pPr>
            <w:r w:rsidRPr="00B2377A">
              <w:rPr>
                <w:b/>
                <w:lang w:eastAsia="en-US"/>
              </w:rPr>
              <w:t>Dobutamine</w:t>
            </w:r>
            <w:r>
              <w:rPr>
                <w:lang w:eastAsia="en-US"/>
              </w:rPr>
              <w:t xml:space="preserve"> </w:t>
            </w:r>
          </w:p>
          <w:p w14:paraId="6009435F" w14:textId="0AE27CC3" w:rsidR="00B774D7" w:rsidRDefault="000F4EEA" w:rsidP="004C79C1">
            <w:pPr>
              <w:pStyle w:val="Tabletext1"/>
              <w:spacing w:before="0" w:after="120"/>
              <w:rPr>
                <w:lang w:eastAsia="en-US"/>
              </w:rPr>
            </w:pPr>
            <w:r>
              <w:rPr>
                <w:lang w:eastAsia="en-US"/>
              </w:rPr>
              <w:t>S</w:t>
            </w:r>
            <w:r w:rsidR="00B774D7">
              <w:rPr>
                <w:lang w:eastAsia="en-US"/>
              </w:rPr>
              <w:t>erious AEs:</w:t>
            </w:r>
            <w:r w:rsidR="006437FC" w:rsidDel="006437FC">
              <w:rPr>
                <w:lang w:eastAsia="en-US"/>
              </w:rPr>
              <w:t xml:space="preserve"> </w:t>
            </w:r>
            <w:r w:rsidR="00B774D7">
              <w:rPr>
                <w:lang w:eastAsia="en-US"/>
              </w:rPr>
              <w:t>18/10,000</w:t>
            </w:r>
            <w:r w:rsidR="00B774D7" w:rsidRPr="001E4027">
              <w:rPr>
                <w:lang w:eastAsia="en-US"/>
              </w:rPr>
              <w:t xml:space="preserve"> </w:t>
            </w:r>
            <w:r w:rsidR="00B774D7">
              <w:rPr>
                <w:lang w:eastAsia="en-US"/>
              </w:rPr>
              <w:t>tests</w:t>
            </w:r>
            <w:r w:rsidR="00B774D7">
              <w:rPr>
                <w:lang w:eastAsia="en-US"/>
              </w:rPr>
              <w:br/>
              <w:t>Death: 1.4/10,000 patients</w:t>
            </w:r>
          </w:p>
        </w:tc>
        <w:tc>
          <w:tcPr>
            <w:tcW w:w="1843" w:type="dxa"/>
          </w:tcPr>
          <w:p w14:paraId="5E6A84BA" w14:textId="77777777" w:rsidR="00B774D7" w:rsidRDefault="00B774D7" w:rsidP="004C79C1">
            <w:pPr>
              <w:spacing w:after="120" w:line="240" w:lineRule="auto"/>
              <w:ind w:right="-57"/>
              <w:rPr>
                <w:rFonts w:ascii="Arial Narrow" w:hAnsi="Arial Narrow"/>
                <w:sz w:val="20"/>
                <w:lang w:eastAsia="en-US"/>
              </w:rPr>
            </w:pPr>
            <w:r w:rsidRPr="0032214A">
              <w:rPr>
                <w:rFonts w:ascii="Arial Narrow" w:hAnsi="Arial Narrow"/>
                <w:sz w:val="20"/>
                <w:lang w:eastAsia="en-US"/>
              </w:rPr>
              <w:lastRenderedPageBreak/>
              <w:t>Microspheres of contrast (not common)</w:t>
            </w:r>
          </w:p>
          <w:p w14:paraId="3772BF05" w14:textId="77777777" w:rsidR="00B774D7" w:rsidRDefault="00B774D7" w:rsidP="004C79C1">
            <w:pPr>
              <w:spacing w:after="120" w:line="240" w:lineRule="auto"/>
              <w:ind w:right="-57"/>
              <w:rPr>
                <w:rFonts w:ascii="Arial Narrow" w:hAnsi="Arial Narrow"/>
                <w:sz w:val="20"/>
                <w:lang w:eastAsia="en-US"/>
              </w:rPr>
            </w:pPr>
            <w:r>
              <w:rPr>
                <w:rFonts w:ascii="Arial Narrow" w:hAnsi="Arial Narrow"/>
                <w:sz w:val="20"/>
                <w:lang w:eastAsia="en-US"/>
              </w:rPr>
              <w:t xml:space="preserve">Serious AEs: </w:t>
            </w:r>
            <w:r w:rsidRPr="008839E9">
              <w:rPr>
                <w:rFonts w:ascii="Arial Narrow" w:hAnsi="Arial Narrow"/>
                <w:sz w:val="20"/>
                <w:lang w:eastAsia="en-US"/>
              </w:rPr>
              <w:t>3/10,000</w:t>
            </w:r>
            <w:r>
              <w:rPr>
                <w:rFonts w:ascii="Arial Narrow" w:hAnsi="Arial Narrow"/>
                <w:sz w:val="20"/>
                <w:lang w:eastAsia="en-US"/>
              </w:rPr>
              <w:t xml:space="preserve"> scans</w:t>
            </w:r>
          </w:p>
          <w:p w14:paraId="4816E86D" w14:textId="77777777" w:rsidR="00B774D7" w:rsidRPr="0032214A" w:rsidRDefault="00B774D7" w:rsidP="004C79C1">
            <w:pPr>
              <w:pStyle w:val="Tabletext1"/>
              <w:spacing w:before="0" w:after="120"/>
              <w:rPr>
                <w:lang w:eastAsia="en-US"/>
              </w:rPr>
            </w:pPr>
            <w:r w:rsidRPr="001705C1">
              <w:rPr>
                <w:lang w:eastAsia="en-US"/>
              </w:rPr>
              <w:t>Long-term death rate:</w:t>
            </w:r>
            <w:r>
              <w:rPr>
                <w:lang w:eastAsia="en-US"/>
              </w:rPr>
              <w:br/>
            </w:r>
            <w:r w:rsidRPr="008839E9">
              <w:rPr>
                <w:lang w:eastAsia="en-US"/>
              </w:rPr>
              <w:lastRenderedPageBreak/>
              <w:t>0.1/10,000</w:t>
            </w:r>
            <w:r>
              <w:rPr>
                <w:lang w:eastAsia="en-US"/>
              </w:rPr>
              <w:t xml:space="preserve"> patients</w:t>
            </w:r>
          </w:p>
        </w:tc>
        <w:tc>
          <w:tcPr>
            <w:tcW w:w="1602" w:type="dxa"/>
          </w:tcPr>
          <w:p w14:paraId="31DF6D9F" w14:textId="77777777" w:rsidR="00B774D7" w:rsidRPr="0032214A" w:rsidRDefault="00B774D7" w:rsidP="004C79C1">
            <w:pPr>
              <w:pStyle w:val="Tabletext1"/>
              <w:spacing w:before="0" w:after="120"/>
              <w:rPr>
                <w:lang w:eastAsia="en-US"/>
              </w:rPr>
            </w:pPr>
            <w:r w:rsidRPr="0032214A">
              <w:rPr>
                <w:lang w:eastAsia="en-US"/>
              </w:rPr>
              <w:lastRenderedPageBreak/>
              <w:t>Heat from ultrasound</w:t>
            </w:r>
          </w:p>
        </w:tc>
      </w:tr>
      <w:tr w:rsidR="00B774D7" w:rsidRPr="0032214A" w14:paraId="55B43F25" w14:textId="77777777" w:rsidTr="00B774D7">
        <w:tc>
          <w:tcPr>
            <w:tcW w:w="1765" w:type="dxa"/>
          </w:tcPr>
          <w:p w14:paraId="57FED422" w14:textId="77777777" w:rsidR="00B774D7" w:rsidRDefault="00B774D7" w:rsidP="004C79C1">
            <w:pPr>
              <w:pStyle w:val="Tabletext1"/>
              <w:spacing w:before="0" w:after="120"/>
              <w:rPr>
                <w:lang w:eastAsia="en-US"/>
              </w:rPr>
            </w:pPr>
            <w:r w:rsidRPr="0032214A">
              <w:rPr>
                <w:lang w:eastAsia="en-US"/>
              </w:rPr>
              <w:lastRenderedPageBreak/>
              <w:t>CTCA</w:t>
            </w:r>
          </w:p>
          <w:p w14:paraId="661D0639" w14:textId="77777777" w:rsidR="00B774D7" w:rsidRDefault="00B774D7" w:rsidP="004C79C1">
            <w:pPr>
              <w:pStyle w:val="Tabletext1"/>
              <w:spacing w:before="0" w:after="120"/>
              <w:rPr>
                <w:lang w:eastAsia="en-US"/>
              </w:rPr>
            </w:pPr>
            <w:r>
              <w:rPr>
                <w:lang w:eastAsia="en-US"/>
              </w:rPr>
              <w:t>Serious AEs:</w:t>
            </w:r>
            <w:r>
              <w:rPr>
                <w:lang w:eastAsia="en-US"/>
              </w:rPr>
              <w:br/>
              <w:t>4/10,000 scans</w:t>
            </w:r>
          </w:p>
          <w:p w14:paraId="0284ABCD" w14:textId="77777777" w:rsidR="00B774D7" w:rsidRPr="0032214A" w:rsidRDefault="00B774D7" w:rsidP="004C79C1">
            <w:pPr>
              <w:pStyle w:val="Tabletext1"/>
              <w:spacing w:before="0" w:after="120"/>
              <w:rPr>
                <w:lang w:eastAsia="en-US"/>
              </w:rPr>
            </w:pPr>
            <w:r>
              <w:rPr>
                <w:lang w:eastAsia="en-US"/>
              </w:rPr>
              <w:t>Mortality:</w:t>
            </w:r>
            <w:r>
              <w:rPr>
                <w:lang w:eastAsia="en-US"/>
              </w:rPr>
              <w:br/>
              <w:t>8–14/10,000 patients</w:t>
            </w:r>
          </w:p>
        </w:tc>
        <w:tc>
          <w:tcPr>
            <w:tcW w:w="1666" w:type="dxa"/>
          </w:tcPr>
          <w:p w14:paraId="36BF8AF3" w14:textId="77777777" w:rsidR="00B774D7" w:rsidRPr="00CA5DC9" w:rsidRDefault="00B774D7" w:rsidP="004C79C1">
            <w:pPr>
              <w:pStyle w:val="Tabletext1"/>
              <w:spacing w:before="0" w:after="120"/>
              <w:rPr>
                <w:lang w:eastAsia="en-US"/>
              </w:rPr>
            </w:pPr>
            <w:r w:rsidRPr="0032214A">
              <w:rPr>
                <w:lang w:eastAsia="en-US"/>
              </w:rPr>
              <w:t>3–14 mSv</w:t>
            </w:r>
          </w:p>
          <w:p w14:paraId="6D425DF3" w14:textId="77777777" w:rsidR="00B774D7" w:rsidRPr="001E4027" w:rsidRDefault="00B774D7" w:rsidP="004C79C1">
            <w:pPr>
              <w:pStyle w:val="Tabletext1"/>
              <w:spacing w:before="0" w:after="120"/>
              <w:rPr>
                <w:lang w:eastAsia="en-US"/>
              </w:rPr>
            </w:pPr>
            <w:r w:rsidRPr="001E4027">
              <w:rPr>
                <w:lang w:eastAsia="en-US"/>
              </w:rPr>
              <w:t>Additional fatal cancers:</w:t>
            </w:r>
          </w:p>
          <w:p w14:paraId="261B23AC" w14:textId="77777777" w:rsidR="00B774D7" w:rsidRPr="001E4027" w:rsidRDefault="00B774D7" w:rsidP="004C79C1">
            <w:pPr>
              <w:pStyle w:val="Tabletext1"/>
              <w:spacing w:before="0" w:after="120"/>
              <w:rPr>
                <w:lang w:eastAsia="en-US"/>
              </w:rPr>
            </w:pPr>
            <w:r>
              <w:rPr>
                <w:lang w:eastAsia="en-US"/>
              </w:rPr>
              <w:t>1.5–</w:t>
            </w:r>
            <w:r w:rsidRPr="001E4027">
              <w:rPr>
                <w:lang w:eastAsia="en-US"/>
              </w:rPr>
              <w:t>7/10,000 patients</w:t>
            </w:r>
          </w:p>
        </w:tc>
        <w:tc>
          <w:tcPr>
            <w:tcW w:w="2268" w:type="dxa"/>
          </w:tcPr>
          <w:p w14:paraId="7A3442A4" w14:textId="77777777" w:rsidR="00B774D7" w:rsidRPr="0032214A" w:rsidRDefault="00B774D7" w:rsidP="004C79C1">
            <w:pPr>
              <w:pStyle w:val="Tabletext1"/>
              <w:spacing w:before="0" w:after="120"/>
              <w:rPr>
                <w:lang w:eastAsia="en-US"/>
              </w:rPr>
            </w:pPr>
            <w:r w:rsidRPr="0032214A">
              <w:rPr>
                <w:lang w:eastAsia="en-US"/>
              </w:rPr>
              <w:t>-</w:t>
            </w:r>
          </w:p>
        </w:tc>
        <w:tc>
          <w:tcPr>
            <w:tcW w:w="1843" w:type="dxa"/>
          </w:tcPr>
          <w:p w14:paraId="41ED8085" w14:textId="77777777" w:rsidR="00B774D7" w:rsidRDefault="00B774D7" w:rsidP="004C79C1">
            <w:pPr>
              <w:pStyle w:val="Tabletext1"/>
              <w:spacing w:before="0" w:after="120"/>
              <w:rPr>
                <w:lang w:eastAsia="en-US"/>
              </w:rPr>
            </w:pPr>
            <w:r w:rsidRPr="0032214A">
              <w:rPr>
                <w:lang w:eastAsia="en-US"/>
              </w:rPr>
              <w:t>Iodinated contrast agent</w:t>
            </w:r>
          </w:p>
          <w:p w14:paraId="4F683A5E" w14:textId="77777777" w:rsidR="00B774D7" w:rsidRDefault="00B774D7" w:rsidP="004C79C1">
            <w:pPr>
              <w:pStyle w:val="Tabletext1"/>
              <w:spacing w:before="0" w:after="120"/>
              <w:rPr>
                <w:lang w:eastAsia="en-US"/>
              </w:rPr>
            </w:pPr>
            <w:r>
              <w:rPr>
                <w:lang w:eastAsia="en-US"/>
              </w:rPr>
              <w:t>Serious AEs: 4</w:t>
            </w:r>
            <w:r w:rsidRPr="008839E9">
              <w:rPr>
                <w:lang w:eastAsia="en-US"/>
              </w:rPr>
              <w:t>/10,000</w:t>
            </w:r>
            <w:r>
              <w:rPr>
                <w:lang w:eastAsia="en-US"/>
              </w:rPr>
              <w:t xml:space="preserve"> scans</w:t>
            </w:r>
          </w:p>
          <w:p w14:paraId="6C940FFF" w14:textId="77777777" w:rsidR="00B774D7" w:rsidRPr="0032214A" w:rsidRDefault="00B774D7" w:rsidP="004C79C1">
            <w:pPr>
              <w:pStyle w:val="Tabletext1"/>
              <w:spacing w:before="0" w:after="120"/>
              <w:rPr>
                <w:lang w:eastAsia="en-US"/>
              </w:rPr>
            </w:pPr>
            <w:r w:rsidRPr="001705C1">
              <w:rPr>
                <w:lang w:eastAsia="en-US"/>
              </w:rPr>
              <w:t>Long-term death rate:</w:t>
            </w:r>
            <w:r>
              <w:rPr>
                <w:lang w:eastAsia="en-US"/>
              </w:rPr>
              <w:br/>
              <w:t>7/10,000 patients</w:t>
            </w:r>
          </w:p>
        </w:tc>
        <w:tc>
          <w:tcPr>
            <w:tcW w:w="1602" w:type="dxa"/>
          </w:tcPr>
          <w:p w14:paraId="0736A067" w14:textId="77777777" w:rsidR="00B774D7" w:rsidRPr="0032214A" w:rsidRDefault="00B774D7" w:rsidP="004C79C1">
            <w:pPr>
              <w:pStyle w:val="Tabletext1"/>
              <w:spacing w:before="0" w:after="120"/>
              <w:rPr>
                <w:lang w:eastAsia="en-US"/>
              </w:rPr>
            </w:pPr>
            <w:r w:rsidRPr="0032214A">
              <w:rPr>
                <w:lang w:eastAsia="en-US"/>
              </w:rPr>
              <w:t>-</w:t>
            </w:r>
          </w:p>
        </w:tc>
      </w:tr>
      <w:tr w:rsidR="00B774D7" w:rsidRPr="0032214A" w14:paraId="0D53A533" w14:textId="77777777" w:rsidTr="00B774D7">
        <w:tc>
          <w:tcPr>
            <w:tcW w:w="1765" w:type="dxa"/>
          </w:tcPr>
          <w:p w14:paraId="7EE76353" w14:textId="77777777" w:rsidR="00B774D7" w:rsidRDefault="00B774D7" w:rsidP="004C79C1">
            <w:pPr>
              <w:pStyle w:val="Tabletext1"/>
              <w:spacing w:before="0" w:after="120"/>
              <w:rPr>
                <w:lang w:eastAsia="en-US"/>
              </w:rPr>
            </w:pPr>
            <w:r>
              <w:rPr>
                <w:lang w:eastAsia="en-US"/>
              </w:rPr>
              <w:t>ICA</w:t>
            </w:r>
          </w:p>
          <w:p w14:paraId="0DDA7525" w14:textId="77777777" w:rsidR="00B774D7" w:rsidRDefault="00B774D7" w:rsidP="004C79C1">
            <w:pPr>
              <w:pStyle w:val="Tabletext1"/>
              <w:spacing w:before="0" w:after="120"/>
              <w:rPr>
                <w:lang w:eastAsia="en-US"/>
              </w:rPr>
            </w:pPr>
            <w:r>
              <w:rPr>
                <w:lang w:eastAsia="en-US"/>
              </w:rPr>
              <w:t>Serious AEs:</w:t>
            </w:r>
            <w:r>
              <w:rPr>
                <w:lang w:eastAsia="en-US"/>
              </w:rPr>
              <w:br/>
              <w:t>100–200/10,000 procedures</w:t>
            </w:r>
          </w:p>
          <w:p w14:paraId="10CCC803" w14:textId="77777777" w:rsidR="00B774D7" w:rsidRPr="0032214A" w:rsidRDefault="00B774D7" w:rsidP="004C79C1">
            <w:pPr>
              <w:pStyle w:val="Tabletext1"/>
              <w:spacing w:before="0" w:after="120"/>
              <w:rPr>
                <w:lang w:eastAsia="en-US"/>
              </w:rPr>
            </w:pPr>
            <w:r>
              <w:rPr>
                <w:lang w:eastAsia="en-US"/>
              </w:rPr>
              <w:t>Mortality:</w:t>
            </w:r>
            <w:r>
              <w:rPr>
                <w:lang w:eastAsia="en-US"/>
              </w:rPr>
              <w:br/>
              <w:t>19/10,000 patients</w:t>
            </w:r>
          </w:p>
        </w:tc>
        <w:tc>
          <w:tcPr>
            <w:tcW w:w="1666" w:type="dxa"/>
          </w:tcPr>
          <w:p w14:paraId="1B21DE14" w14:textId="77777777" w:rsidR="00B774D7" w:rsidRPr="00CA5DC9" w:rsidRDefault="00B774D7" w:rsidP="004C79C1">
            <w:pPr>
              <w:pStyle w:val="Tabletext1"/>
              <w:spacing w:before="0" w:after="120"/>
              <w:rPr>
                <w:lang w:eastAsia="en-US"/>
              </w:rPr>
            </w:pPr>
            <w:r w:rsidRPr="0032214A">
              <w:rPr>
                <w:lang w:eastAsia="en-US"/>
              </w:rPr>
              <w:t>7.0 mSv</w:t>
            </w:r>
          </w:p>
          <w:p w14:paraId="7D516793" w14:textId="77777777" w:rsidR="00B774D7" w:rsidRPr="001E4027" w:rsidRDefault="00B774D7" w:rsidP="004C79C1">
            <w:pPr>
              <w:pStyle w:val="Tabletext1"/>
              <w:spacing w:before="0" w:after="120"/>
              <w:rPr>
                <w:lang w:eastAsia="en-US"/>
              </w:rPr>
            </w:pPr>
            <w:r w:rsidRPr="001E4027">
              <w:rPr>
                <w:lang w:eastAsia="en-US"/>
              </w:rPr>
              <w:t>Additional fatal cancers:</w:t>
            </w:r>
          </w:p>
          <w:p w14:paraId="36FF6917" w14:textId="77777777" w:rsidR="00B774D7" w:rsidRPr="0032214A" w:rsidRDefault="00B774D7" w:rsidP="004C79C1">
            <w:pPr>
              <w:pStyle w:val="Tabletext1"/>
              <w:spacing w:before="0" w:after="120"/>
              <w:rPr>
                <w:lang w:eastAsia="en-US"/>
              </w:rPr>
            </w:pPr>
            <w:r>
              <w:rPr>
                <w:lang w:eastAsia="en-US"/>
              </w:rPr>
              <w:t>3</w:t>
            </w:r>
            <w:r w:rsidRPr="001E4027">
              <w:rPr>
                <w:lang w:eastAsia="en-US"/>
              </w:rPr>
              <w:t>.</w:t>
            </w:r>
            <w:r>
              <w:rPr>
                <w:lang w:eastAsia="en-US"/>
              </w:rPr>
              <w:t>5</w:t>
            </w:r>
            <w:r w:rsidRPr="001E4027">
              <w:rPr>
                <w:lang w:eastAsia="en-US"/>
              </w:rPr>
              <w:t>/10,000 patients</w:t>
            </w:r>
          </w:p>
        </w:tc>
        <w:tc>
          <w:tcPr>
            <w:tcW w:w="2268" w:type="dxa"/>
          </w:tcPr>
          <w:p w14:paraId="7F6F6667" w14:textId="77777777" w:rsidR="00B774D7" w:rsidRPr="0032214A" w:rsidRDefault="00B774D7" w:rsidP="004C79C1">
            <w:pPr>
              <w:pStyle w:val="Tabletext1"/>
              <w:spacing w:before="0" w:after="120"/>
              <w:rPr>
                <w:lang w:eastAsia="en-US"/>
              </w:rPr>
            </w:pPr>
            <w:r w:rsidRPr="0032214A">
              <w:rPr>
                <w:lang w:eastAsia="en-US"/>
              </w:rPr>
              <w:t>-</w:t>
            </w:r>
          </w:p>
        </w:tc>
        <w:tc>
          <w:tcPr>
            <w:tcW w:w="1843" w:type="dxa"/>
          </w:tcPr>
          <w:p w14:paraId="6FB86F75" w14:textId="77777777" w:rsidR="00B774D7" w:rsidRDefault="00B774D7" w:rsidP="004C79C1">
            <w:pPr>
              <w:pStyle w:val="Tabletext1"/>
              <w:spacing w:before="0" w:after="120"/>
              <w:rPr>
                <w:lang w:eastAsia="en-US"/>
              </w:rPr>
            </w:pPr>
            <w:r w:rsidRPr="0032214A">
              <w:rPr>
                <w:lang w:eastAsia="en-US"/>
              </w:rPr>
              <w:t>Iodinated contrast agent</w:t>
            </w:r>
          </w:p>
          <w:p w14:paraId="1198C707" w14:textId="77777777" w:rsidR="00B774D7" w:rsidRDefault="00B774D7" w:rsidP="004C79C1">
            <w:pPr>
              <w:pStyle w:val="Tabletext1"/>
              <w:spacing w:before="0" w:after="120"/>
              <w:rPr>
                <w:lang w:eastAsia="en-US"/>
              </w:rPr>
            </w:pPr>
            <w:r w:rsidRPr="00E03BE4">
              <w:rPr>
                <w:lang w:eastAsia="en-US"/>
              </w:rPr>
              <w:t xml:space="preserve">Serious AEs: </w:t>
            </w:r>
            <w:r>
              <w:rPr>
                <w:lang w:eastAsia="en-US"/>
              </w:rPr>
              <w:t>4</w:t>
            </w:r>
            <w:r w:rsidRPr="00E03BE4">
              <w:rPr>
                <w:lang w:eastAsia="en-US"/>
              </w:rPr>
              <w:t>/10,000 scans</w:t>
            </w:r>
          </w:p>
          <w:p w14:paraId="2D182432" w14:textId="77777777" w:rsidR="00B774D7" w:rsidRPr="001705C1" w:rsidRDefault="00B774D7" w:rsidP="004C79C1">
            <w:pPr>
              <w:pStyle w:val="Tabletext1"/>
              <w:spacing w:before="0" w:after="120"/>
              <w:rPr>
                <w:lang w:eastAsia="en-US"/>
              </w:rPr>
            </w:pPr>
            <w:r>
              <w:rPr>
                <w:lang w:eastAsia="en-US"/>
              </w:rPr>
              <w:t>Long-term death rate:</w:t>
            </w:r>
          </w:p>
          <w:p w14:paraId="1231650A" w14:textId="77777777" w:rsidR="00B774D7" w:rsidRPr="0032214A" w:rsidRDefault="00B774D7" w:rsidP="004C79C1">
            <w:pPr>
              <w:pStyle w:val="Tabletext1"/>
              <w:spacing w:before="0" w:after="120"/>
              <w:rPr>
                <w:lang w:eastAsia="en-US"/>
              </w:rPr>
            </w:pPr>
            <w:r w:rsidRPr="001705C1">
              <w:rPr>
                <w:lang w:eastAsia="en-US"/>
              </w:rPr>
              <w:t>7/10,000 patients</w:t>
            </w:r>
          </w:p>
        </w:tc>
        <w:tc>
          <w:tcPr>
            <w:tcW w:w="1602" w:type="dxa"/>
          </w:tcPr>
          <w:p w14:paraId="0BFDE011" w14:textId="77777777" w:rsidR="00B774D7" w:rsidRDefault="00B774D7" w:rsidP="004C79C1">
            <w:pPr>
              <w:pStyle w:val="Tabletext1"/>
              <w:spacing w:before="0" w:after="120"/>
              <w:rPr>
                <w:lang w:eastAsia="en-US"/>
              </w:rPr>
            </w:pPr>
            <w:r w:rsidRPr="0032214A">
              <w:rPr>
                <w:lang w:eastAsia="en-US"/>
              </w:rPr>
              <w:t>Catheterisation through artery</w:t>
            </w:r>
          </w:p>
          <w:p w14:paraId="25899ED4" w14:textId="0A2F6BF9" w:rsidR="00B774D7" w:rsidRDefault="00B774D7" w:rsidP="004C79C1">
            <w:pPr>
              <w:pStyle w:val="Tabletext1"/>
              <w:spacing w:before="0" w:after="120"/>
              <w:rPr>
                <w:lang w:eastAsia="en-US"/>
              </w:rPr>
            </w:pPr>
            <w:r>
              <w:rPr>
                <w:lang w:eastAsia="en-US"/>
              </w:rPr>
              <w:t>Serious AEs:</w:t>
            </w:r>
            <w:r>
              <w:rPr>
                <w:lang w:eastAsia="en-US"/>
              </w:rPr>
              <w:br/>
              <w:t>100</w:t>
            </w:r>
            <w:r w:rsidR="006437FC">
              <w:rPr>
                <w:lang w:eastAsia="en-US"/>
              </w:rPr>
              <w:t>–</w:t>
            </w:r>
            <w:r>
              <w:rPr>
                <w:lang w:eastAsia="en-US"/>
              </w:rPr>
              <w:t>200/10,000 procedures</w:t>
            </w:r>
          </w:p>
          <w:p w14:paraId="2B9EFCC4" w14:textId="77777777" w:rsidR="00B774D7" w:rsidRPr="0032214A" w:rsidRDefault="00B774D7" w:rsidP="004C79C1">
            <w:pPr>
              <w:pStyle w:val="Tabletext1"/>
              <w:spacing w:before="0" w:after="120"/>
              <w:rPr>
                <w:lang w:eastAsia="en-US"/>
              </w:rPr>
            </w:pPr>
            <w:r>
              <w:rPr>
                <w:lang w:eastAsia="en-US"/>
              </w:rPr>
              <w:t>Acute death rate:</w:t>
            </w:r>
            <w:r>
              <w:rPr>
                <w:lang w:eastAsia="en-US"/>
              </w:rPr>
              <w:br/>
            </w:r>
            <w:r w:rsidRPr="008839E9">
              <w:rPr>
                <w:lang w:eastAsia="en-US"/>
              </w:rPr>
              <w:t>8/10,000 procedures</w:t>
            </w:r>
          </w:p>
        </w:tc>
      </w:tr>
    </w:tbl>
    <w:p w14:paraId="5CF55FA1" w14:textId="151E8B92" w:rsidR="00B774D7" w:rsidRPr="00FB05A7" w:rsidRDefault="00B774D7" w:rsidP="004C79C1">
      <w:pPr>
        <w:pStyle w:val="Tablenotes0"/>
        <w:spacing w:before="0" w:after="120"/>
      </w:pPr>
      <w:r w:rsidRPr="00FB05A7">
        <w:t xml:space="preserve">Sources: </w:t>
      </w:r>
      <w:r w:rsidR="00FB7A36" w:rsidRPr="00FB05A7">
        <w:t xml:space="preserve">Cooper </w:t>
      </w:r>
      <w:r w:rsidR="00FB7A36" w:rsidRPr="00FB05A7">
        <w:fldChar w:fldCharType="begin"/>
      </w:r>
      <w:r w:rsidR="00FB7A36">
        <w:instrText xml:space="preserve"> ADDIN EN.CITE &lt;EndNote&gt;&lt;Cite&gt;&lt;Author&gt;Cooper&lt;/Author&gt;&lt;Year&gt;2015&lt;/Year&gt;&lt;RecNum&gt;125&lt;/RecNum&gt;&lt;DisplayText&gt;(Cooper 2015)&lt;/DisplayText&gt;&lt;record&gt;&lt;rec-number&gt;125&lt;/rec-number&gt;&lt;foreign-keys&gt;&lt;key app="EN" db-id="pfxxvref0t0a5de2vwnv2fwkz0p9v0r2fw0t" timestamp="1458714099"&gt;125&lt;/key&gt;&lt;/foreign-keys&gt;&lt;ref-type name="Web Page"&gt;12&lt;/ref-type&gt;&lt;contributors&gt;&lt;authors&gt;&lt;author&gt;Cooper, Leslie T.&lt;/author&gt;&lt;/authors&gt;&lt;/contributors&gt;&lt;titles&gt;&lt;title&gt;Endomyocardial biopsy&lt;/title&gt;&lt;/titles&gt;&lt;volume&gt;2016&lt;/volume&gt;&lt;number&gt;Mar 23&lt;/number&gt;&lt;dates&gt;&lt;year&gt;2015&lt;/year&gt;&lt;/dates&gt;&lt;publisher&gt;UpToDate&lt;/publisher&gt;&lt;urls&gt;&lt;related-urls&gt;&lt;url&gt;http://www.uptodate.com/contents/endomyocardial-biopsy#H20&lt;/url&gt;&lt;/related-urls&gt;&lt;/urls&gt;&lt;/record&gt;&lt;/Cite&gt;&lt;/EndNote&gt;</w:instrText>
      </w:r>
      <w:r w:rsidR="00FB7A36" w:rsidRPr="00FB05A7">
        <w:fldChar w:fldCharType="separate"/>
      </w:r>
      <w:r w:rsidR="00FB7A36">
        <w:rPr>
          <w:noProof/>
        </w:rPr>
        <w:t>(</w:t>
      </w:r>
      <w:hyperlink w:anchor="_ENREF_27" w:tooltip="Cooper, 2015 #125" w:history="1">
        <w:r w:rsidR="00FB7A36">
          <w:rPr>
            <w:noProof/>
          </w:rPr>
          <w:t>2015</w:t>
        </w:r>
      </w:hyperlink>
      <w:r w:rsidR="00FB7A36">
        <w:rPr>
          <w:noProof/>
        </w:rPr>
        <w:t>)</w:t>
      </w:r>
      <w:r w:rsidR="00FB7A36" w:rsidRPr="00FB05A7">
        <w:fldChar w:fldCharType="end"/>
      </w:r>
      <w:r w:rsidR="00FB7A36" w:rsidRPr="00FB05A7">
        <w:t>;</w:t>
      </w:r>
      <w:r w:rsidR="00FB7A36">
        <w:t xml:space="preserve"> </w:t>
      </w:r>
      <w:r w:rsidR="00FB7A36" w:rsidRPr="00FB05A7">
        <w:t xml:space="preserve">Cooper et al. </w:t>
      </w:r>
      <w:r w:rsidR="00FB7A36" w:rsidRPr="00FB05A7">
        <w:fldChar w:fldCharType="begin"/>
      </w:r>
      <w:r w:rsidR="00FB7A36">
        <w:instrText xml:space="preserve"> ADDIN EN.CITE &lt;EndNote&gt;&lt;Cite&gt;&lt;Author&gt;Cooper&lt;/Author&gt;&lt;Year&gt;2007&lt;/Year&gt;&lt;RecNum&gt;126&lt;/RecNum&gt;&lt;IDText&gt;1914-1931&lt;/IDText&gt;&lt;DisplayText&gt;(Cooper, Leslie T. et al. 2007)&lt;/DisplayText&gt;&lt;record&gt;&lt;rec-number&gt;126&lt;/rec-number&gt;&lt;foreign-keys&gt;&lt;key app="EN" db-id="pfxxvref0t0a5de2vwnv2fwkz0p9v0r2fw0t" timestamp="1458714100"&gt;126&lt;/key&gt;&lt;/foreign-keys&gt;&lt;ref-type name="Journal Article"&gt;17&lt;/ref-type&gt;&lt;contributors&gt;&lt;authors&gt;&lt;author&gt;Cooper, Leslie T.&lt;/author&gt;&lt;author&gt;Baughman, Kenneth L.&lt;/author&gt;&lt;author&gt;Feldman, Arthur M.&lt;/author&gt;&lt;author&gt;Frustaci, Andrea&lt;/author&gt;&lt;author&gt;Jessup, Mariell&lt;/author&gt;&lt;author&gt;Kuhl, Uwe&lt;/author&gt;&lt;author&gt;Levine, Glenn N.&lt;/author&gt;&lt;author&gt;Narula, Jagat&lt;/author&gt;&lt;author&gt;Starling, Randall C.&lt;/author&gt;&lt;author&gt;Towbin, Jeffrey&lt;/author&gt;&lt;author&gt;Virmani, Renu&lt;/author&gt;&lt;/authors&gt;&lt;/contributors&gt;&lt;titles&gt;&lt;title&gt;The Role of Endomyocardial Biopsy in the Management of Cardiovascular DiseaseA Scientific Statement From the American Heart Association, the American College of Cardiology, and the European Society of Cardiology Endorsed by the Heart Failure Society of America and the Heart Failure Association of the European Society of Cardiology&lt;/title&gt;&lt;secondary-title&gt;Journal of the American College of Cardiology&lt;/secondary-title&gt;&lt;/titles&gt;&lt;periodical&gt;&lt;full-title&gt;Journal of the American College of Cardiology&lt;/full-title&gt;&lt;/periodical&gt;&lt;pages&gt;1914-1931&lt;/pages&gt;&lt;volume&gt;50&lt;/volume&gt;&lt;number&gt;19&lt;/number&gt;&lt;dates&gt;&lt;year&gt;2007&lt;/year&gt;&lt;/dates&gt;&lt;isbn&gt;0735-1097&lt;/isbn&gt;&lt;urls&gt;&lt;related-urls&gt;&lt;url&gt;http://dx.doi.org/10.1016/j.jacc.2007.09.008&lt;/url&gt;&lt;/related-urls&gt;&lt;/urls&gt;&lt;electronic-resource-num&gt;10.1016/j.jacc.2007.09.008&lt;/electronic-resource-num&gt;&lt;/record&gt;&lt;/Cite&gt;&lt;/EndNote&gt;</w:instrText>
      </w:r>
      <w:r w:rsidR="00FB7A36" w:rsidRPr="00FB05A7">
        <w:fldChar w:fldCharType="separate"/>
      </w:r>
      <w:r w:rsidR="00FB7A36">
        <w:rPr>
          <w:noProof/>
        </w:rPr>
        <w:t>(</w:t>
      </w:r>
      <w:hyperlink w:anchor="_ENREF_28" w:tooltip="Cooper, 2007 #126" w:history="1">
        <w:r w:rsidR="00FB7A36">
          <w:rPr>
            <w:noProof/>
          </w:rPr>
          <w:t>2007</w:t>
        </w:r>
      </w:hyperlink>
      <w:r w:rsidR="00FB7A36">
        <w:rPr>
          <w:noProof/>
        </w:rPr>
        <w:t>)</w:t>
      </w:r>
      <w:r w:rsidR="00FB7A36" w:rsidRPr="00FB05A7">
        <w:fldChar w:fldCharType="end"/>
      </w:r>
      <w:r w:rsidR="00FB7A36" w:rsidRPr="00FB05A7">
        <w:t>;</w:t>
      </w:r>
      <w:r w:rsidR="00FB7A36">
        <w:t xml:space="preserve"> </w:t>
      </w:r>
      <w:r w:rsidRPr="00FB05A7">
        <w:t xml:space="preserve">Einstein et al. </w:t>
      </w:r>
      <w:r w:rsidRPr="00FB05A7">
        <w:fldChar w:fldCharType="begin"/>
      </w:r>
      <w:r>
        <w:instrText xml:space="preserve"> ADDIN EN.CITE &lt;EndNote&gt;&lt;Cite ExcludeAuth="1"&gt;&lt;Author&gt;Einstein&lt;/Author&gt;&lt;Year&gt;2012&lt;/Year&gt;&lt;RecNum&gt;257&lt;/RecNum&gt;&lt;DisplayText&gt;(2012)&lt;/DisplayText&gt;&lt;record&gt;&lt;rec-number&gt;257&lt;/rec-number&gt;&lt;foreign-keys&gt;&lt;key app="EN" db-id="9wevt9zsm0frf1ezepbpa9dgrfez55etdvpa" timestamp="1447822901"&gt;257&lt;/key&gt;&lt;/foreign-keys&gt;&lt;ref-type name="Journal Article"&gt;17&lt;/ref-type&gt;&lt;contributors&gt;&lt;authors&gt;&lt;author&gt;Einstein, A. J.&lt;/author&gt;&lt;/authors&gt;&lt;/contributors&gt;&lt;auth-address&gt;Department of Medicine, Columbia University Medical Center and New York-Presbyterian Hospital, 622 West 168th Street, New York, NY 10032. andrew.einstein@columbia.edu&lt;/auth-address&gt;&lt;titles&gt;&lt;title&gt;Effects of radiation exposure from cardiac imaging: how good are the data?&lt;/title&gt;&lt;secondary-title&gt;J Am Coll Cardiol&lt;/secondary-title&gt;&lt;/titles&gt;&lt;periodical&gt;&lt;full-title&gt;J Am Coll Cardiol&lt;/full-title&gt;&lt;/periodical&gt;&lt;pages&gt;553-65&lt;/pages&gt;&lt;volume&gt;59&lt;/volume&gt;&lt;number&gt;6&lt;/number&gt;&lt;keywords&gt;&lt;keyword&gt;*Cardiac Imaging Techniques&lt;/keyword&gt;&lt;keyword&gt;Heart Diseases/*diagnosis&lt;/keyword&gt;&lt;keyword&gt;Humans&lt;/keyword&gt;&lt;keyword&gt;Incidence&lt;/keyword&gt;&lt;keyword&gt;Radiation Injuries/*epidemiology&lt;/keyword&gt;&lt;keyword&gt;*Radiation, Ionizing&lt;/keyword&gt;&lt;keyword&gt;United States/epidemiology&lt;/keyword&gt;&lt;/keywords&gt;&lt;dates&gt;&lt;year&gt;2012&lt;/year&gt;&lt;pub-dates&gt;&lt;date&gt;Feb 7&lt;/date&gt;&lt;/pub-dates&gt;&lt;/dates&gt;&lt;isbn&gt;1558-3597 (Electronic)&amp;#xD;0735-1097 (Linking)&lt;/isbn&gt;&lt;accession-num&gt;22300689&lt;/accession-num&gt;&lt;urls&gt;&lt;related-urls&gt;&lt;url&gt;http://www.ncbi.nlm.nih.gov/pubmed/22300689&lt;/url&gt;&lt;/related-urls&gt;&lt;/urls&gt;&lt;custom2&gt;3272627&lt;/custom2&gt;&lt;electronic-resource-num&gt;10.1016/j.jacc.2011.08.079&lt;/electronic-resource-num&gt;&lt;/record&gt;&lt;/Cite&gt;&lt;/EndNote&gt;</w:instrText>
      </w:r>
      <w:r w:rsidRPr="00FB05A7">
        <w:fldChar w:fldCharType="separate"/>
      </w:r>
      <w:r>
        <w:rPr>
          <w:noProof/>
        </w:rPr>
        <w:t>(</w:t>
      </w:r>
      <w:hyperlink w:anchor="_ENREF_33" w:tooltip="Einstein, 2012 #257" w:history="1">
        <w:r w:rsidR="00B906E9">
          <w:rPr>
            <w:noProof/>
          </w:rPr>
          <w:t>2012</w:t>
        </w:r>
      </w:hyperlink>
      <w:r>
        <w:rPr>
          <w:noProof/>
        </w:rPr>
        <w:t>)</w:t>
      </w:r>
      <w:r w:rsidRPr="00FB05A7">
        <w:fldChar w:fldCharType="end"/>
      </w:r>
      <w:r w:rsidRPr="00FB05A7">
        <w:t xml:space="preserve">; FDA website: ‘What are the </w:t>
      </w:r>
      <w:r w:rsidR="00623C5A">
        <w:t>r</w:t>
      </w:r>
      <w:r w:rsidRPr="00FB05A7">
        <w:t xml:space="preserve">adiation </w:t>
      </w:r>
      <w:r w:rsidR="00623C5A">
        <w:t>r</w:t>
      </w:r>
      <w:r w:rsidRPr="00FB05A7">
        <w:t>isks from CT?’</w:t>
      </w:r>
      <w:r w:rsidRPr="00FB05A7">
        <w:rPr>
          <w:rStyle w:val="FootnoteReference"/>
          <w:b/>
          <w:u w:val="single"/>
        </w:rPr>
        <w:footnoteReference w:id="24"/>
      </w:r>
      <w:r w:rsidRPr="00FB05A7">
        <w:t xml:space="preserve">; </w:t>
      </w:r>
      <w:r w:rsidR="00FB7A36" w:rsidRPr="00FB05A7">
        <w:t xml:space="preserve">From et al. </w:t>
      </w:r>
      <w:r w:rsidR="00FB7A36" w:rsidRPr="00FB05A7">
        <w:fldChar w:fldCharType="begin"/>
      </w:r>
      <w:r w:rsidR="00FB7A36">
        <w:instrText xml:space="preserve"> ADDIN EN.CITE &lt;EndNote&gt;&lt;Cite&gt;&lt;Author&gt;From&lt;/Author&gt;&lt;Year&gt;2011&lt;/Year&gt;&lt;RecNum&gt;127&lt;/RecNum&gt;&lt;IDText&gt;1095-102&lt;/IDText&gt;&lt;DisplayText&gt;(From, Maleszewski &amp;amp; Rihal 2011)&lt;/DisplayText&gt;&lt;record&gt;&lt;rec-number&gt;127&lt;/rec-number&gt;&lt;foreign-keys&gt;&lt;key app="EN" db-id="pfxxvref0t0a5de2vwnv2fwkz0p9v0r2fw0t" timestamp="1458714100"&gt;127&lt;/key&gt;&lt;/foreign-keys&gt;&lt;ref-type name="Journal Article"&gt;17&lt;/ref-type&gt;&lt;contributors&gt;&lt;authors&gt;&lt;author&gt;From, A. M.&lt;/author&gt;&lt;author&gt;Maleszewski, J. J.&lt;/author&gt;&lt;author&gt;Rihal, C. S.&lt;/author&gt;&lt;/authors&gt;&lt;/contributors&gt;&lt;auth-address&gt;Division of Cardiovascular Diseases, Mayo Clinic, Rochester, MN 55905, USA..&lt;/auth-address&gt;&lt;titles&gt;&lt;title&gt;Current status of endomyocardial biopsy&lt;/title&gt;&lt;secondary-title&gt;Mayo Clin Proc&lt;/secondary-title&gt;&lt;/titles&gt;&lt;periodical&gt;&lt;full-title&gt;Mayo Clin Proc&lt;/full-title&gt;&lt;/periodical&gt;&lt;pages&gt;1095-102&lt;/pages&gt;&lt;volume&gt;86&lt;/volume&gt;&lt;number&gt;11&lt;/number&gt;&lt;keywords&gt;&lt;keyword&gt;Bayes Theorem&lt;/keyword&gt;&lt;keyword&gt;*Biopsy, Needle/methods&lt;/keyword&gt;&lt;keyword&gt;Cardiomyopathies/diagnosis&lt;/keyword&gt;&lt;keyword&gt;Echocardiography, Transesophageal&lt;/keyword&gt;&lt;keyword&gt;Endocardium/*pathology&lt;/keyword&gt;&lt;keyword&gt;Graft Rejection/*diagnosis&lt;/keyword&gt;&lt;keyword&gt;Heart Neoplasms/diagnosis&lt;/keyword&gt;&lt;keyword&gt;*Heart Transplantation&lt;/keyword&gt;&lt;keyword&gt;Humans&lt;/keyword&gt;&lt;keyword&gt;Magnetic Resonance Imaging&lt;/keyword&gt;&lt;keyword&gt;Myocarditis/pathology&lt;/keyword&gt;&lt;keyword&gt;Myocardium/*pathology&lt;/keyword&gt;&lt;keyword&gt;Practice Guidelines as Topic&lt;/keyword&gt;&lt;keyword&gt;Sarcoidosis/diagnosis&lt;/keyword&gt;&lt;keyword&gt;Transplantation, Homologous&lt;/keyword&gt;&lt;/keywords&gt;&lt;dates&gt;&lt;year&gt;2011&lt;/year&gt;&lt;pub-dates&gt;&lt;date&gt;Nov&lt;/date&gt;&lt;/pub-dates&gt;&lt;/dates&gt;&lt;isbn&gt;1942-5546 (Electronic)&amp;#xD;0025-6196 (Linking)&lt;/isbn&gt;&lt;accession-num&gt;22033254&lt;/accession-num&gt;&lt;urls&gt;&lt;related-urls&gt;&lt;url&gt;http://www.ncbi.nlm.nih.gov/pubmed/22033254&lt;/url&gt;&lt;/related-urls&gt;&lt;/urls&gt;&lt;custom2&gt;3203000&lt;/custom2&gt;&lt;electronic-resource-num&gt;10.4065/mcp.2011.0296&lt;/electronic-resource-num&gt;&lt;/record&gt;&lt;/Cite&gt;&lt;/EndNote&gt;</w:instrText>
      </w:r>
      <w:r w:rsidR="00FB7A36" w:rsidRPr="00FB05A7">
        <w:fldChar w:fldCharType="separate"/>
      </w:r>
      <w:r w:rsidR="00FB7A36">
        <w:rPr>
          <w:noProof/>
        </w:rPr>
        <w:t>(</w:t>
      </w:r>
      <w:hyperlink w:anchor="_ENREF_42" w:tooltip="From, 2011 #127" w:history="1">
        <w:r w:rsidR="00FB7A36">
          <w:rPr>
            <w:noProof/>
          </w:rPr>
          <w:t>2011</w:t>
        </w:r>
      </w:hyperlink>
      <w:r w:rsidR="00FB7A36">
        <w:rPr>
          <w:noProof/>
        </w:rPr>
        <w:t>)</w:t>
      </w:r>
      <w:r w:rsidR="00FB7A36" w:rsidRPr="00FB05A7">
        <w:fldChar w:fldCharType="end"/>
      </w:r>
      <w:r w:rsidR="00FB7A36" w:rsidRPr="00FB05A7">
        <w:t xml:space="preserve">; Ghelani et al. </w:t>
      </w:r>
      <w:r w:rsidR="00FB7A36" w:rsidRPr="00FB05A7">
        <w:fldChar w:fldCharType="begin"/>
      </w:r>
      <w:r w:rsidR="00FB7A36">
        <w:instrText xml:space="preserve"> ADDIN EN.CITE &lt;EndNote&gt;&lt;Cite&gt;&lt;Author&gt;Ghelani&lt;/Author&gt;&lt;Year&gt;2014&lt;/Year&gt;&lt;RecNum&gt;128&lt;/RecNum&gt;&lt;IDText&gt;1060-1069&lt;/IDText&gt;&lt;DisplayText&gt;(Ghelani et al. 2014)&lt;/DisplayText&gt;&lt;record&gt;&lt;rec-number&gt;128&lt;/rec-number&gt;&lt;foreign-keys&gt;&lt;key app="EN" db-id="pfxxvref0t0a5de2vwnv2fwkz0p9v0r2fw0t" timestamp="1458714100"&gt;128&lt;/key&gt;&lt;/foreign-keys&gt;&lt;ref-type name="Journal Article"&gt;17&lt;/ref-type&gt;&lt;contributors&gt;&lt;authors&gt;&lt;author&gt;Ghelani, Sunil J.&lt;/author&gt;&lt;author&gt;Glatz, Andrew C.&lt;/author&gt;&lt;author&gt;David, Sthuthi&lt;/author&gt;&lt;author&gt;Leahy, Ryan&lt;/author&gt;&lt;author&gt;Hirsch, Russel&lt;/author&gt;&lt;author&gt;Armsby, Laurie B.&lt;/author&gt;&lt;author&gt;Trucco, Sara M.&lt;/author&gt;&lt;author&gt;Holzer, Ralf J.&lt;/author&gt;&lt;author&gt;Bergersen, Lisa&lt;/author&gt;&lt;/authors&gt;&lt;/contributors&gt;&lt;titles&gt;&lt;title&gt;Radiation Dose Benchmarks During Cardiac Catheterization for Congenital Heart Disease in the United States&lt;/title&gt;&lt;secondary-title&gt;JACC: Cardiovascular Interventions&lt;/secondary-title&gt;&lt;/titles&gt;&lt;periodical&gt;&lt;full-title&gt;JACC: Cardiovascular Interventions&lt;/full-title&gt;&lt;/periodical&gt;&lt;pages&gt;1060-1069&lt;/pages&gt;&lt;volume&gt;7&lt;/volume&gt;&lt;number&gt;9&lt;/number&gt;&lt;dates&gt;&lt;year&gt;2014&lt;/year&gt;&lt;/dates&gt;&lt;isbn&gt;1936-8798&lt;/isbn&gt;&lt;urls&gt;&lt;related-urls&gt;&lt;url&gt;http://dx.doi.org/10.1016/j.jcin.2014.04.013&lt;/url&gt;&lt;/related-urls&gt;&lt;/urls&gt;&lt;electronic-resource-num&gt;10.1016/j.jcin.2014.04.013&lt;/electronic-resource-num&gt;&lt;/record&gt;&lt;/Cite&gt;&lt;/EndNote&gt;</w:instrText>
      </w:r>
      <w:r w:rsidR="00FB7A36" w:rsidRPr="00FB05A7">
        <w:fldChar w:fldCharType="separate"/>
      </w:r>
      <w:r w:rsidR="00FB7A36">
        <w:rPr>
          <w:noProof/>
        </w:rPr>
        <w:t>(</w:t>
      </w:r>
      <w:hyperlink w:anchor="_ENREF_44" w:tooltip="Ghelani, 2014 #128" w:history="1">
        <w:r w:rsidR="00FB7A36">
          <w:rPr>
            <w:noProof/>
          </w:rPr>
          <w:t>2014</w:t>
        </w:r>
      </w:hyperlink>
      <w:r w:rsidR="00FB7A36">
        <w:rPr>
          <w:noProof/>
        </w:rPr>
        <w:t>)</w:t>
      </w:r>
      <w:r w:rsidR="00FB7A36" w:rsidRPr="00FB05A7">
        <w:fldChar w:fldCharType="end"/>
      </w:r>
      <w:r w:rsidR="00FB7A36">
        <w:t xml:space="preserve">; </w:t>
      </w:r>
      <w:r w:rsidRPr="00FB05A7">
        <w:t xml:space="preserve">Knuuti et al. </w:t>
      </w:r>
      <w:r w:rsidRPr="00FB05A7">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instrText xml:space="preserve"> ADDIN EN.CITE </w:instrText>
      </w:r>
      <w:r>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instrText xml:space="preserve"> ADDIN EN.CITE.DATA </w:instrText>
      </w:r>
      <w:r>
        <w:fldChar w:fldCharType="end"/>
      </w:r>
      <w:r w:rsidRPr="00FB05A7">
        <w:fldChar w:fldCharType="separate"/>
      </w:r>
      <w:r>
        <w:rPr>
          <w:noProof/>
        </w:rPr>
        <w:t>(</w:t>
      </w:r>
      <w:hyperlink w:anchor="_ENREF_61" w:tooltip="Knuuti, 2014 #256" w:history="1">
        <w:r w:rsidR="00B906E9">
          <w:rPr>
            <w:noProof/>
          </w:rPr>
          <w:t>2014</w:t>
        </w:r>
      </w:hyperlink>
      <w:r>
        <w:rPr>
          <w:noProof/>
        </w:rPr>
        <w:t>)</w:t>
      </w:r>
      <w:r w:rsidRPr="00FB05A7">
        <w:fldChar w:fldCharType="end"/>
      </w:r>
      <w:r w:rsidRPr="00FB05A7">
        <w:t xml:space="preserve">; Varga et al. </w:t>
      </w:r>
      <w:r w:rsidRPr="00FB05A7">
        <w:fldChar w:fldCharType="begin"/>
      </w:r>
      <w:r>
        <w:instrText xml:space="preserve"> ADDIN EN.CITE &lt;EndNote&gt;&lt;Cite ExcludeAuth="1"&gt;&lt;Author&gt;Varga&lt;/Author&gt;&lt;Year&gt;2006&lt;/Year&gt;&lt;RecNum&gt;259&lt;/RecNum&gt;&lt;DisplayText&gt;(2006)&lt;/DisplayText&gt;&lt;record&gt;&lt;rec-number&gt;259&lt;/rec-number&gt;&lt;foreign-keys&gt;&lt;key app="EN" db-id="9wevt9zsm0frf1ezepbpa9dgrfez55etdvpa" timestamp="1447822977"&gt;259&lt;/key&gt;&lt;/foreign-keys&gt;&lt;ref-type name="Journal Article"&gt;17&lt;/ref-type&gt;&lt;contributors&gt;&lt;authors&gt;&lt;author&gt;Varga, A.&lt;/author&gt;&lt;author&gt;Garcia, M. A.&lt;/author&gt;&lt;author&gt;Picano, E.&lt;/author&gt;&lt;author&gt;International Stress Echo Complication, Registry&lt;/author&gt;&lt;/authors&gt;&lt;/contributors&gt;&lt;auth-address&gt;2nd Department of Medicine and Cardiology Center, University of Sciences, Szeged, Hungary. vargaa@in2nd.szote.u-szeged.hu&lt;/auth-address&gt;&lt;titles&gt;&lt;title&gt;Safety of stress echocardiography (from the International Stress Echo Complication Registry)&lt;/title&gt;&lt;secondary-title&gt;Am J Cardiol&lt;/secondary-title&gt;&lt;/titles&gt;&lt;periodical&gt;&lt;full-title&gt;Am J Cardiol&lt;/full-title&gt;&lt;abbr-1&gt;The American journal of cardiology&lt;/abbr-1&gt;&lt;/periodical&gt;&lt;pages&gt;541-3&lt;/pages&gt;&lt;volume&gt;98&lt;/volume&gt;&lt;number&gt;4&lt;/number&gt;&lt;keywords&gt;&lt;keyword&gt;Cardiotonic Agents/diagnostic use&lt;/keyword&gt;&lt;keyword&gt;Cost-Benefit Analysis&lt;/keyword&gt;&lt;keyword&gt;Dipyridamole/diagnostic use&lt;/keyword&gt;&lt;keyword&gt;Dobutamine/diagnostic use&lt;/keyword&gt;&lt;keyword&gt;Echocardiography, Stress/economics/*methods/standards&lt;/keyword&gt;&lt;keyword&gt;Exercise/*physiology&lt;/keyword&gt;&lt;keyword&gt;Heart Diseases/physiopathology/*ultrasonography&lt;/keyword&gt;&lt;keyword&gt;Humans&lt;/keyword&gt;&lt;keyword&gt;Questionnaires&lt;/keyword&gt;&lt;keyword&gt;Reproducibility of Results&lt;/keyword&gt;&lt;keyword&gt;Retrospective Studies&lt;/keyword&gt;&lt;keyword&gt;Severity of Illness Index&lt;/keyword&gt;&lt;keyword&gt;Vasodilator Agents/diagnostic use&lt;/keyword&gt;&lt;/keywords&gt;&lt;dates&gt;&lt;year&gt;2006&lt;/year&gt;&lt;pub-dates&gt;&lt;date&gt;Aug 15&lt;/date&gt;&lt;/pub-dates&gt;&lt;/dates&gt;&lt;isbn&gt;0002-9149 (Print)&amp;#xD;0002-9149 (Linking)&lt;/isbn&gt;&lt;accession-num&gt;16893714&lt;/accession-num&gt;&lt;urls&gt;&lt;related-urls&gt;&lt;url&gt;http://www.ncbi.nlm.nih.gov/pubmed/16893714&lt;/url&gt;&lt;/related-urls&gt;&lt;/urls&gt;&lt;electronic-resource-num&gt;10.1016/j.amjcard.2006.02.064&lt;/electronic-resource-num&gt;&lt;/record&gt;&lt;/Cite&gt;&lt;/EndNote&gt;</w:instrText>
      </w:r>
      <w:r w:rsidRPr="00FB05A7">
        <w:fldChar w:fldCharType="separate"/>
      </w:r>
      <w:r>
        <w:rPr>
          <w:noProof/>
        </w:rPr>
        <w:t>(</w:t>
      </w:r>
      <w:hyperlink w:anchor="_ENREF_131" w:tooltip="Varga, 2006 #259" w:history="1">
        <w:r w:rsidR="00B906E9">
          <w:rPr>
            <w:noProof/>
          </w:rPr>
          <w:t>2006</w:t>
        </w:r>
      </w:hyperlink>
      <w:r>
        <w:rPr>
          <w:noProof/>
        </w:rPr>
        <w:t>)</w:t>
      </w:r>
      <w:r w:rsidRPr="00FB05A7">
        <w:fldChar w:fldCharType="end"/>
      </w:r>
      <w:r w:rsidRPr="00FB05A7">
        <w:t xml:space="preserve"> </w:t>
      </w:r>
    </w:p>
    <w:p w14:paraId="4C6295FA" w14:textId="24938008" w:rsidR="00B2377A" w:rsidRDefault="00B774D7" w:rsidP="004C79C1">
      <w:pPr>
        <w:pStyle w:val="Tablenotes0"/>
        <w:spacing w:before="0" w:after="120"/>
      </w:pPr>
      <w:r w:rsidRPr="00324935">
        <w:t xml:space="preserve">AE = adverse event; CTCA = computed tomography coronary angiography; </w:t>
      </w:r>
      <w:r w:rsidR="00FF55A3" w:rsidRPr="00324935">
        <w:t xml:space="preserve">Echo = echocardiography; </w:t>
      </w:r>
      <w:r w:rsidRPr="00324935">
        <w:t>ICA = invasive coronary angiography</w:t>
      </w:r>
      <w:r w:rsidR="00FF55A3" w:rsidRPr="00324935">
        <w:t xml:space="preserve">; </w:t>
      </w:r>
      <w:r w:rsidR="00FF55A3" w:rsidRPr="00B2377A">
        <w:t xml:space="preserve">LGE-CMR = late gadolinium enhancement cardiac magnetic resonance </w:t>
      </w:r>
      <w:r w:rsidR="002D3576">
        <w:t>(</w:t>
      </w:r>
      <w:r w:rsidR="00FF55A3" w:rsidRPr="00B2377A">
        <w:t>imaging</w:t>
      </w:r>
      <w:r w:rsidR="002D3576">
        <w:t>)</w:t>
      </w:r>
      <w:r w:rsidR="00FF55A3" w:rsidRPr="00B2377A">
        <w:t>;</w:t>
      </w:r>
      <w:r w:rsidR="00FF55A3" w:rsidRPr="00324935">
        <w:t xml:space="preserve"> SPECT</w:t>
      </w:r>
      <w:r w:rsidR="001E1002">
        <w:t xml:space="preserve"> </w:t>
      </w:r>
      <w:r w:rsidR="00FF55A3" w:rsidRPr="00324935">
        <w:t>= single-photon emission computed tomography</w:t>
      </w:r>
    </w:p>
    <w:p w14:paraId="214EEA79" w14:textId="7FF51547" w:rsidR="00B774D7" w:rsidRPr="0032214A" w:rsidRDefault="00B774D7" w:rsidP="004C79C1">
      <w:pPr>
        <w:pStyle w:val="Caption"/>
      </w:pPr>
      <w:bookmarkStart w:id="968" w:name="_Ref448738150"/>
      <w:bookmarkStart w:id="969" w:name="_Toc324410304"/>
      <w:bookmarkStart w:id="970" w:name="_Toc451435427"/>
      <w:r w:rsidRPr="0032214A">
        <w:t xml:space="preserve">Table </w:t>
      </w:r>
      <w:fldSimple w:instr=" SEQ Table \* ARABIC ">
        <w:r w:rsidR="00050936">
          <w:rPr>
            <w:noProof/>
          </w:rPr>
          <w:t>100</w:t>
        </w:r>
      </w:fldSimple>
      <w:bookmarkEnd w:id="968"/>
      <w:r w:rsidRPr="0032214A">
        <w:tab/>
        <w:t xml:space="preserve">Summary of potential safety concerns </w:t>
      </w:r>
      <w:r>
        <w:t>for tests investigating the aetiology of NIDCM</w:t>
      </w:r>
      <w:bookmarkEnd w:id="969"/>
      <w:bookmarkEnd w:id="970"/>
    </w:p>
    <w:tbl>
      <w:tblPr>
        <w:tblStyle w:val="TableGrid"/>
        <w:tblW w:w="9144" w:type="dxa"/>
        <w:tblInd w:w="108" w:type="dxa"/>
        <w:tblLayout w:type="fixed"/>
        <w:tblLook w:val="04A0" w:firstRow="1" w:lastRow="0" w:firstColumn="1" w:lastColumn="0" w:noHBand="0" w:noVBand="1"/>
        <w:tblCaption w:val="Safety concersn from tests for investigating aetiology of NIDCM"/>
        <w:tblDescription w:val="Safety concersn from tests for investigating aetiology of NIDCM. Endomyocardial biopsy has more safety concerns that CMR or blood tests."/>
      </w:tblPr>
      <w:tblGrid>
        <w:gridCol w:w="1588"/>
        <w:gridCol w:w="1985"/>
        <w:gridCol w:w="992"/>
        <w:gridCol w:w="1843"/>
        <w:gridCol w:w="2736"/>
      </w:tblGrid>
      <w:tr w:rsidR="00B774D7" w:rsidRPr="00D2697D" w14:paraId="383360B2" w14:textId="77777777" w:rsidTr="00B774D7">
        <w:trPr>
          <w:tblHeader/>
        </w:trPr>
        <w:tc>
          <w:tcPr>
            <w:tcW w:w="1588" w:type="dxa"/>
          </w:tcPr>
          <w:p w14:paraId="6B85DA0E" w14:textId="77777777" w:rsidR="00B774D7" w:rsidRPr="00C433E4" w:rsidRDefault="00B774D7" w:rsidP="004C79C1">
            <w:pPr>
              <w:pStyle w:val="TableText0"/>
              <w:spacing w:before="0" w:after="120"/>
            </w:pPr>
            <w:r w:rsidRPr="00B2377A">
              <w:rPr>
                <w:b/>
              </w:rPr>
              <w:t>Test / overall mortality rate</w:t>
            </w:r>
          </w:p>
        </w:tc>
        <w:tc>
          <w:tcPr>
            <w:tcW w:w="1985" w:type="dxa"/>
          </w:tcPr>
          <w:p w14:paraId="090B2A79" w14:textId="77777777" w:rsidR="00B774D7" w:rsidRPr="00C433E4" w:rsidRDefault="00B774D7" w:rsidP="004C79C1">
            <w:pPr>
              <w:pStyle w:val="TableText0"/>
              <w:spacing w:before="0" w:after="120"/>
            </w:pPr>
            <w:r w:rsidRPr="00B2377A">
              <w:rPr>
                <w:b/>
              </w:rPr>
              <w:t>Radiation dose</w:t>
            </w:r>
          </w:p>
        </w:tc>
        <w:tc>
          <w:tcPr>
            <w:tcW w:w="992" w:type="dxa"/>
          </w:tcPr>
          <w:p w14:paraId="0C692047" w14:textId="77777777" w:rsidR="00B774D7" w:rsidRPr="00C433E4" w:rsidRDefault="00B774D7" w:rsidP="004C79C1">
            <w:pPr>
              <w:pStyle w:val="TableText0"/>
              <w:spacing w:before="0" w:after="120"/>
            </w:pPr>
            <w:r w:rsidRPr="00B2377A">
              <w:rPr>
                <w:b/>
              </w:rPr>
              <w:t xml:space="preserve">Stressors </w:t>
            </w:r>
          </w:p>
        </w:tc>
        <w:tc>
          <w:tcPr>
            <w:tcW w:w="1843" w:type="dxa"/>
          </w:tcPr>
          <w:p w14:paraId="3807FFBD" w14:textId="77777777" w:rsidR="00B774D7" w:rsidRPr="00C433E4" w:rsidRDefault="00B774D7" w:rsidP="004C79C1">
            <w:pPr>
              <w:pStyle w:val="TableText0"/>
              <w:spacing w:before="0" w:after="120"/>
            </w:pPr>
            <w:r w:rsidRPr="00B2377A">
              <w:rPr>
                <w:b/>
              </w:rPr>
              <w:t>Contrast agents and tracers</w:t>
            </w:r>
          </w:p>
        </w:tc>
        <w:tc>
          <w:tcPr>
            <w:tcW w:w="2736" w:type="dxa"/>
          </w:tcPr>
          <w:p w14:paraId="25EAB520" w14:textId="77777777" w:rsidR="00B774D7" w:rsidRPr="00C433E4" w:rsidRDefault="00B774D7" w:rsidP="004C79C1">
            <w:pPr>
              <w:pStyle w:val="TableText0"/>
              <w:spacing w:before="0" w:after="120"/>
            </w:pPr>
            <w:r w:rsidRPr="00B2377A">
              <w:rPr>
                <w:b/>
              </w:rPr>
              <w:t>Other</w:t>
            </w:r>
          </w:p>
        </w:tc>
      </w:tr>
      <w:tr w:rsidR="00B774D7" w:rsidRPr="0032214A" w14:paraId="7681A252" w14:textId="77777777" w:rsidTr="00B774D7">
        <w:tc>
          <w:tcPr>
            <w:tcW w:w="1588" w:type="dxa"/>
          </w:tcPr>
          <w:p w14:paraId="26115EDD" w14:textId="77777777" w:rsidR="00B774D7" w:rsidRDefault="00B774D7" w:rsidP="004C79C1">
            <w:pPr>
              <w:pStyle w:val="Tabletext1"/>
              <w:spacing w:before="0" w:after="120"/>
              <w:rPr>
                <w:lang w:eastAsia="en-US"/>
              </w:rPr>
            </w:pPr>
            <w:r>
              <w:rPr>
                <w:lang w:eastAsia="en-US"/>
              </w:rPr>
              <w:t>LGE-</w:t>
            </w:r>
            <w:r w:rsidRPr="0032214A">
              <w:rPr>
                <w:lang w:eastAsia="en-US"/>
              </w:rPr>
              <w:t>CMR</w:t>
            </w:r>
          </w:p>
          <w:p w14:paraId="037101BB" w14:textId="77777777" w:rsidR="00B774D7" w:rsidRDefault="00B774D7" w:rsidP="004C79C1">
            <w:pPr>
              <w:pStyle w:val="Tabletext1"/>
              <w:spacing w:before="0" w:after="120"/>
              <w:rPr>
                <w:lang w:eastAsia="en-US"/>
              </w:rPr>
            </w:pPr>
            <w:r>
              <w:rPr>
                <w:lang w:eastAsia="en-US"/>
              </w:rPr>
              <w:t>Serious AEs:</w:t>
            </w:r>
            <w:r>
              <w:rPr>
                <w:lang w:eastAsia="en-US"/>
              </w:rPr>
              <w:br/>
              <w:t>0.7/10,000 scans</w:t>
            </w:r>
          </w:p>
          <w:p w14:paraId="215C1450" w14:textId="77777777" w:rsidR="00B774D7" w:rsidRPr="0032214A" w:rsidRDefault="00B774D7" w:rsidP="004C79C1">
            <w:pPr>
              <w:pStyle w:val="Tabletext1"/>
              <w:spacing w:before="0" w:after="120"/>
              <w:rPr>
                <w:lang w:eastAsia="en-US"/>
              </w:rPr>
            </w:pPr>
            <w:r>
              <w:rPr>
                <w:lang w:eastAsia="en-US"/>
              </w:rPr>
              <w:t>Mortality:</w:t>
            </w:r>
            <w:r>
              <w:rPr>
                <w:lang w:eastAsia="en-US"/>
              </w:rPr>
              <w:br/>
              <w:t>7/10,000 patients</w:t>
            </w:r>
          </w:p>
        </w:tc>
        <w:tc>
          <w:tcPr>
            <w:tcW w:w="1985" w:type="dxa"/>
          </w:tcPr>
          <w:p w14:paraId="64840F70" w14:textId="77777777" w:rsidR="00B774D7" w:rsidRPr="0032214A" w:rsidRDefault="00B774D7" w:rsidP="004C79C1">
            <w:pPr>
              <w:pStyle w:val="Tabletext1"/>
              <w:spacing w:before="0" w:after="120"/>
              <w:rPr>
                <w:lang w:eastAsia="en-US"/>
              </w:rPr>
            </w:pPr>
            <w:r w:rsidRPr="0032214A">
              <w:rPr>
                <w:lang w:eastAsia="en-US"/>
              </w:rPr>
              <w:t>0</w:t>
            </w:r>
          </w:p>
        </w:tc>
        <w:tc>
          <w:tcPr>
            <w:tcW w:w="992" w:type="dxa"/>
          </w:tcPr>
          <w:p w14:paraId="39511561" w14:textId="77777777" w:rsidR="00B774D7" w:rsidRPr="0032214A" w:rsidRDefault="00B774D7" w:rsidP="004C79C1">
            <w:pPr>
              <w:pStyle w:val="Tabletext1"/>
              <w:spacing w:before="0" w:after="120"/>
              <w:rPr>
                <w:lang w:eastAsia="en-US"/>
              </w:rPr>
            </w:pPr>
            <w:r>
              <w:rPr>
                <w:lang w:eastAsia="en-US"/>
              </w:rPr>
              <w:t>-</w:t>
            </w:r>
          </w:p>
        </w:tc>
        <w:tc>
          <w:tcPr>
            <w:tcW w:w="1843" w:type="dxa"/>
          </w:tcPr>
          <w:p w14:paraId="76ADEDF8" w14:textId="77777777" w:rsidR="00B774D7" w:rsidRDefault="00B774D7" w:rsidP="004C79C1">
            <w:pPr>
              <w:pStyle w:val="Tabletext1"/>
              <w:spacing w:before="0" w:after="120"/>
              <w:rPr>
                <w:lang w:eastAsia="en-US"/>
              </w:rPr>
            </w:pPr>
            <w:r w:rsidRPr="0032214A">
              <w:rPr>
                <w:lang w:eastAsia="en-US"/>
              </w:rPr>
              <w:t>Gadolinium</w:t>
            </w:r>
          </w:p>
          <w:p w14:paraId="098F4B18" w14:textId="77777777" w:rsidR="00B774D7" w:rsidRDefault="00B774D7" w:rsidP="004C79C1">
            <w:pPr>
              <w:pStyle w:val="Tabletext1"/>
              <w:spacing w:before="0" w:after="120"/>
              <w:rPr>
                <w:lang w:eastAsia="en-US"/>
              </w:rPr>
            </w:pPr>
            <w:r>
              <w:rPr>
                <w:lang w:eastAsia="en-US"/>
              </w:rPr>
              <w:t>Serious AEs:</w:t>
            </w:r>
            <w:r>
              <w:rPr>
                <w:lang w:eastAsia="en-US"/>
              </w:rPr>
              <w:br/>
              <w:t>0.48/10,000 doses</w:t>
            </w:r>
          </w:p>
          <w:p w14:paraId="59407EE8" w14:textId="77777777" w:rsidR="00B774D7" w:rsidRPr="0032214A" w:rsidRDefault="00B774D7" w:rsidP="004C79C1">
            <w:pPr>
              <w:pStyle w:val="Tabletext1"/>
              <w:spacing w:before="0" w:after="120"/>
              <w:rPr>
                <w:lang w:eastAsia="en-US"/>
              </w:rPr>
            </w:pPr>
            <w:r>
              <w:rPr>
                <w:lang w:eastAsia="en-US"/>
              </w:rPr>
              <w:t>Long-term death rate:</w:t>
            </w:r>
            <w:r>
              <w:rPr>
                <w:lang w:eastAsia="en-US"/>
              </w:rPr>
              <w:br/>
              <w:t>6.6/10,000 doses</w:t>
            </w:r>
          </w:p>
        </w:tc>
        <w:tc>
          <w:tcPr>
            <w:tcW w:w="2736" w:type="dxa"/>
          </w:tcPr>
          <w:p w14:paraId="1A51640C" w14:textId="77777777" w:rsidR="00B774D7" w:rsidRDefault="00B774D7" w:rsidP="004C79C1">
            <w:pPr>
              <w:pStyle w:val="Tabletext1"/>
              <w:spacing w:before="0" w:after="120"/>
              <w:rPr>
                <w:lang w:eastAsia="en-US"/>
              </w:rPr>
            </w:pPr>
            <w:r>
              <w:rPr>
                <w:lang w:eastAsia="en-US"/>
              </w:rPr>
              <w:t>C</w:t>
            </w:r>
            <w:r w:rsidRPr="0032214A">
              <w:rPr>
                <w:lang w:eastAsia="en-US"/>
              </w:rPr>
              <w:t>laustroph</w:t>
            </w:r>
            <w:r>
              <w:rPr>
                <w:lang w:eastAsia="en-US"/>
              </w:rPr>
              <w:t>ob</w:t>
            </w:r>
            <w:r w:rsidRPr="0032214A">
              <w:rPr>
                <w:lang w:eastAsia="en-US"/>
              </w:rPr>
              <w:t>ia</w:t>
            </w:r>
          </w:p>
          <w:p w14:paraId="3F77EB10" w14:textId="77777777" w:rsidR="00B774D7" w:rsidRPr="0032214A" w:rsidRDefault="00B774D7" w:rsidP="004C79C1">
            <w:pPr>
              <w:pStyle w:val="Tabletext1"/>
              <w:spacing w:before="0" w:after="120"/>
              <w:rPr>
                <w:lang w:eastAsia="en-US"/>
              </w:rPr>
            </w:pPr>
            <w:r w:rsidRPr="0032214A">
              <w:rPr>
                <w:lang w:eastAsia="en-US"/>
              </w:rPr>
              <w:t>Magnetism</w:t>
            </w:r>
            <w:r>
              <w:rPr>
                <w:lang w:eastAsia="en-US"/>
              </w:rPr>
              <w:br/>
              <w:t>Serious AEs:</w:t>
            </w:r>
            <w:r>
              <w:rPr>
                <w:lang w:eastAsia="en-US"/>
              </w:rPr>
              <w:br/>
            </w:r>
            <w:r w:rsidRPr="0081466F">
              <w:rPr>
                <w:lang w:eastAsia="en-US"/>
              </w:rPr>
              <w:t xml:space="preserve">0.2/10,000 </w:t>
            </w:r>
            <w:r>
              <w:rPr>
                <w:lang w:eastAsia="en-US"/>
              </w:rPr>
              <w:t>scans</w:t>
            </w:r>
          </w:p>
        </w:tc>
      </w:tr>
      <w:tr w:rsidR="00B774D7" w:rsidRPr="0032214A" w14:paraId="69755382" w14:textId="77777777" w:rsidTr="00B774D7">
        <w:tc>
          <w:tcPr>
            <w:tcW w:w="1588" w:type="dxa"/>
          </w:tcPr>
          <w:p w14:paraId="663D1800" w14:textId="77777777" w:rsidR="00B774D7" w:rsidRDefault="00B774D7" w:rsidP="004C79C1">
            <w:pPr>
              <w:pStyle w:val="Tabletext1"/>
              <w:spacing w:before="0" w:after="120"/>
              <w:rPr>
                <w:lang w:eastAsia="en-US"/>
              </w:rPr>
            </w:pPr>
            <w:r>
              <w:rPr>
                <w:lang w:eastAsia="en-US"/>
              </w:rPr>
              <w:t>Blood tests</w:t>
            </w:r>
          </w:p>
          <w:p w14:paraId="50CEADB6" w14:textId="77777777" w:rsidR="00B774D7" w:rsidRDefault="00B774D7" w:rsidP="004C79C1">
            <w:pPr>
              <w:pStyle w:val="Tabletext1"/>
              <w:spacing w:before="0" w:after="120"/>
              <w:rPr>
                <w:lang w:eastAsia="en-US"/>
              </w:rPr>
            </w:pPr>
            <w:r>
              <w:rPr>
                <w:lang w:eastAsia="en-US"/>
              </w:rPr>
              <w:t>Serious AEs: 2/10,000</w:t>
            </w:r>
          </w:p>
          <w:p w14:paraId="23EB06AC" w14:textId="77777777" w:rsidR="00B774D7" w:rsidRDefault="00B774D7" w:rsidP="004C79C1">
            <w:pPr>
              <w:pStyle w:val="Tabletext1"/>
              <w:spacing w:before="0" w:after="120"/>
              <w:rPr>
                <w:lang w:eastAsia="en-US"/>
              </w:rPr>
            </w:pPr>
            <w:r>
              <w:rPr>
                <w:lang w:eastAsia="en-US"/>
              </w:rPr>
              <w:t>Mortality: 0/10,000</w:t>
            </w:r>
          </w:p>
        </w:tc>
        <w:tc>
          <w:tcPr>
            <w:tcW w:w="1985" w:type="dxa"/>
          </w:tcPr>
          <w:p w14:paraId="0A6BA903" w14:textId="77777777" w:rsidR="00B774D7" w:rsidRPr="0032214A" w:rsidRDefault="00B774D7" w:rsidP="004C79C1">
            <w:pPr>
              <w:pStyle w:val="Tabletext1"/>
              <w:spacing w:before="0" w:after="120"/>
              <w:rPr>
                <w:lang w:eastAsia="en-US"/>
              </w:rPr>
            </w:pPr>
            <w:r>
              <w:rPr>
                <w:lang w:eastAsia="en-US"/>
              </w:rPr>
              <w:t>0</w:t>
            </w:r>
          </w:p>
        </w:tc>
        <w:tc>
          <w:tcPr>
            <w:tcW w:w="992" w:type="dxa"/>
          </w:tcPr>
          <w:p w14:paraId="5F3F983A" w14:textId="77777777" w:rsidR="00B774D7" w:rsidRDefault="00B774D7" w:rsidP="004C79C1">
            <w:pPr>
              <w:pStyle w:val="Tabletext1"/>
              <w:spacing w:before="0" w:after="120"/>
              <w:rPr>
                <w:lang w:eastAsia="en-US"/>
              </w:rPr>
            </w:pPr>
            <w:r>
              <w:rPr>
                <w:lang w:eastAsia="en-US"/>
              </w:rPr>
              <w:t>0</w:t>
            </w:r>
          </w:p>
        </w:tc>
        <w:tc>
          <w:tcPr>
            <w:tcW w:w="1843" w:type="dxa"/>
          </w:tcPr>
          <w:p w14:paraId="25BFD57E" w14:textId="77777777" w:rsidR="00B774D7" w:rsidRPr="0032214A" w:rsidRDefault="00B774D7" w:rsidP="004C79C1">
            <w:pPr>
              <w:pStyle w:val="Tabletext1"/>
              <w:spacing w:before="0" w:after="120"/>
              <w:rPr>
                <w:lang w:eastAsia="en-US"/>
              </w:rPr>
            </w:pPr>
            <w:r>
              <w:rPr>
                <w:lang w:eastAsia="en-US"/>
              </w:rPr>
              <w:t>0</w:t>
            </w:r>
          </w:p>
        </w:tc>
        <w:tc>
          <w:tcPr>
            <w:tcW w:w="2736" w:type="dxa"/>
          </w:tcPr>
          <w:p w14:paraId="4B6E163E" w14:textId="77777777" w:rsidR="00B774D7" w:rsidRDefault="00B774D7" w:rsidP="004C79C1">
            <w:pPr>
              <w:pStyle w:val="Tabletext1"/>
              <w:spacing w:before="0" w:after="120"/>
              <w:rPr>
                <w:lang w:eastAsia="en-US"/>
              </w:rPr>
            </w:pPr>
            <w:r>
              <w:rPr>
                <w:lang w:eastAsia="en-US"/>
              </w:rPr>
              <w:t>Haematoma: 20/10,000</w:t>
            </w:r>
          </w:p>
          <w:p w14:paraId="59582FB3" w14:textId="77777777" w:rsidR="00B774D7" w:rsidRDefault="00B774D7" w:rsidP="004C79C1">
            <w:pPr>
              <w:pStyle w:val="Tabletext1"/>
              <w:spacing w:before="0" w:after="120"/>
              <w:rPr>
                <w:lang w:eastAsia="en-US"/>
              </w:rPr>
            </w:pPr>
            <w:r>
              <w:rPr>
                <w:lang w:eastAsia="en-US"/>
              </w:rPr>
              <w:t>Severe hypotonic circulatory reactions: 2/10,000</w:t>
            </w:r>
          </w:p>
          <w:p w14:paraId="272AC470" w14:textId="77777777" w:rsidR="00B774D7" w:rsidRDefault="00B774D7" w:rsidP="004C79C1">
            <w:pPr>
              <w:pStyle w:val="Tabletext1"/>
              <w:spacing w:before="0" w:after="120"/>
              <w:rPr>
                <w:lang w:eastAsia="en-US"/>
              </w:rPr>
            </w:pPr>
            <w:r>
              <w:rPr>
                <w:lang w:eastAsia="en-US"/>
              </w:rPr>
              <w:t>Thrombophlebitis:</w:t>
            </w:r>
          </w:p>
          <w:p w14:paraId="2EBED16F" w14:textId="77777777" w:rsidR="00B774D7" w:rsidRDefault="00B774D7" w:rsidP="004C79C1">
            <w:pPr>
              <w:pStyle w:val="Tabletext1"/>
              <w:spacing w:before="0" w:after="120"/>
              <w:rPr>
                <w:lang w:eastAsia="en-US"/>
              </w:rPr>
            </w:pPr>
            <w:r>
              <w:rPr>
                <w:lang w:eastAsia="en-US"/>
              </w:rPr>
              <w:lastRenderedPageBreak/>
              <w:t>0.2/10,000</w:t>
            </w:r>
          </w:p>
        </w:tc>
      </w:tr>
      <w:tr w:rsidR="00B774D7" w:rsidRPr="0032214A" w14:paraId="76B7C0D8" w14:textId="77777777" w:rsidTr="00B774D7">
        <w:tc>
          <w:tcPr>
            <w:tcW w:w="1588" w:type="dxa"/>
          </w:tcPr>
          <w:p w14:paraId="5511874E" w14:textId="6B4039EB" w:rsidR="00B774D7" w:rsidRDefault="00B774D7" w:rsidP="004C79C1">
            <w:pPr>
              <w:pStyle w:val="Tabletext1"/>
              <w:spacing w:before="0" w:after="120"/>
            </w:pPr>
            <w:r>
              <w:lastRenderedPageBreak/>
              <w:t>E</w:t>
            </w:r>
            <w:r w:rsidR="00324935">
              <w:t>MB</w:t>
            </w:r>
            <w:r>
              <w:br/>
              <w:t>Overall complications</w:t>
            </w:r>
            <w:r w:rsidR="00324935">
              <w:t>:</w:t>
            </w:r>
          </w:p>
          <w:p w14:paraId="1C809674" w14:textId="021A1426" w:rsidR="00B774D7" w:rsidRDefault="00B774D7" w:rsidP="004C79C1">
            <w:pPr>
              <w:pStyle w:val="Tabletext1"/>
              <w:spacing w:before="0" w:after="120"/>
            </w:pPr>
            <w:r>
              <w:t>1%</w:t>
            </w:r>
          </w:p>
          <w:p w14:paraId="0C188ED3" w14:textId="2D826DC4" w:rsidR="00B774D7" w:rsidRPr="0032214A" w:rsidRDefault="00B774D7" w:rsidP="004C79C1">
            <w:pPr>
              <w:pStyle w:val="Tabletext1"/>
              <w:spacing w:before="0" w:after="120"/>
            </w:pPr>
            <w:r>
              <w:t>Mortality:</w:t>
            </w:r>
            <w:r>
              <w:br/>
              <w:t>3</w:t>
            </w:r>
            <w:r w:rsidR="00324935">
              <w:t>–</w:t>
            </w:r>
            <w:r>
              <w:t>140/10,000 patients</w:t>
            </w:r>
          </w:p>
        </w:tc>
        <w:tc>
          <w:tcPr>
            <w:tcW w:w="1985" w:type="dxa"/>
          </w:tcPr>
          <w:p w14:paraId="252BEE59" w14:textId="77777777" w:rsidR="00B774D7" w:rsidRDefault="00B774D7" w:rsidP="004C79C1">
            <w:pPr>
              <w:pStyle w:val="Tabletext1"/>
              <w:spacing w:before="0" w:after="120"/>
            </w:pPr>
            <w:r>
              <w:t>Fluoroscopy: risk estimated from data from cardiac catheterisation procedures:</w:t>
            </w:r>
          </w:p>
          <w:p w14:paraId="2163A0EE" w14:textId="12A570BF" w:rsidR="00B774D7" w:rsidRDefault="00B774D7" w:rsidP="004C79C1">
            <w:pPr>
              <w:pStyle w:val="Tabletext1"/>
              <w:spacing w:before="0" w:after="120"/>
            </w:pPr>
            <w:r>
              <w:t>Time 12</w:t>
            </w:r>
            <w:r w:rsidR="00324935">
              <w:t>–</w:t>
            </w:r>
            <w:r>
              <w:t>55</w:t>
            </w:r>
            <w:r w:rsidR="00324935">
              <w:t> </w:t>
            </w:r>
            <w:r>
              <w:t>minutes</w:t>
            </w:r>
          </w:p>
          <w:p w14:paraId="062180B6" w14:textId="737BA3BF" w:rsidR="00B774D7" w:rsidRDefault="00B774D7" w:rsidP="004C79C1">
            <w:pPr>
              <w:pStyle w:val="Tabletext1"/>
              <w:spacing w:before="0" w:after="120"/>
              <w:rPr>
                <w:vertAlign w:val="superscript"/>
              </w:rPr>
            </w:pPr>
            <w:r>
              <w:t>Dose 0.007</w:t>
            </w:r>
            <w:r w:rsidR="00324935">
              <w:t>–</w:t>
            </w:r>
            <w:r>
              <w:t xml:space="preserve"> 0.23</w:t>
            </w:r>
            <w:r w:rsidR="00324935">
              <w:t> </w:t>
            </w:r>
            <w:r>
              <w:t>mSv per cm</w:t>
            </w:r>
            <w:r w:rsidRPr="00CC77CA">
              <w:rPr>
                <w:vertAlign w:val="superscript"/>
              </w:rPr>
              <w:t>2</w:t>
            </w:r>
          </w:p>
          <w:p w14:paraId="4E538D13" w14:textId="77777777" w:rsidR="00B774D7" w:rsidRPr="001E4027" w:rsidRDefault="00B774D7" w:rsidP="004C79C1">
            <w:pPr>
              <w:pStyle w:val="Tabletext1"/>
              <w:spacing w:before="0" w:after="120"/>
              <w:rPr>
                <w:lang w:eastAsia="en-US"/>
              </w:rPr>
            </w:pPr>
            <w:r w:rsidRPr="001E4027">
              <w:rPr>
                <w:lang w:eastAsia="en-US"/>
              </w:rPr>
              <w:t>Additional fatal cancers:</w:t>
            </w:r>
          </w:p>
          <w:p w14:paraId="7657EC43" w14:textId="3654BB77" w:rsidR="00B774D7" w:rsidRPr="00F5602D" w:rsidRDefault="00B774D7" w:rsidP="004C79C1">
            <w:pPr>
              <w:pStyle w:val="Tabletext1"/>
              <w:spacing w:before="0" w:after="120"/>
            </w:pPr>
            <w:r>
              <w:rPr>
                <w:lang w:eastAsia="en-US"/>
              </w:rPr>
              <w:t>0–0.12</w:t>
            </w:r>
            <w:r w:rsidRPr="001E4027">
              <w:rPr>
                <w:lang w:eastAsia="en-US"/>
              </w:rPr>
              <w:t>/10,000 patients</w:t>
            </w:r>
          </w:p>
        </w:tc>
        <w:tc>
          <w:tcPr>
            <w:tcW w:w="992" w:type="dxa"/>
          </w:tcPr>
          <w:p w14:paraId="260FC8CB" w14:textId="77777777" w:rsidR="00B774D7" w:rsidRDefault="00B774D7" w:rsidP="004C79C1">
            <w:pPr>
              <w:pStyle w:val="Tabletext1"/>
              <w:spacing w:before="0" w:after="120"/>
            </w:pPr>
          </w:p>
        </w:tc>
        <w:tc>
          <w:tcPr>
            <w:tcW w:w="1843" w:type="dxa"/>
          </w:tcPr>
          <w:p w14:paraId="4696D05D" w14:textId="77777777" w:rsidR="00B774D7" w:rsidRPr="0032214A" w:rsidRDefault="00B774D7" w:rsidP="004C79C1">
            <w:pPr>
              <w:pStyle w:val="Tabletext1"/>
              <w:spacing w:before="0" w:after="120"/>
            </w:pPr>
            <w:r>
              <w:t>-</w:t>
            </w:r>
          </w:p>
        </w:tc>
        <w:tc>
          <w:tcPr>
            <w:tcW w:w="2736" w:type="dxa"/>
          </w:tcPr>
          <w:p w14:paraId="22C4579A" w14:textId="77777777" w:rsidR="00B774D7" w:rsidRDefault="00B774D7" w:rsidP="004C79C1">
            <w:pPr>
              <w:pStyle w:val="Tabletext1"/>
              <w:spacing w:before="0" w:after="120"/>
            </w:pPr>
            <w:r>
              <w:t>Perforation with pericardial tamponade</w:t>
            </w:r>
          </w:p>
          <w:p w14:paraId="61618449" w14:textId="6BA8A57C" w:rsidR="00B774D7" w:rsidRDefault="00B774D7" w:rsidP="004C79C1">
            <w:pPr>
              <w:pStyle w:val="Tabletext1"/>
              <w:spacing w:before="0" w:after="120"/>
            </w:pPr>
            <w:r>
              <w:t>Arr</w:t>
            </w:r>
            <w:r w:rsidR="001F6E30">
              <w:t>h</w:t>
            </w:r>
            <w:r>
              <w:t>ythmias</w:t>
            </w:r>
          </w:p>
          <w:p w14:paraId="751CE073" w14:textId="77777777" w:rsidR="00B774D7" w:rsidRDefault="00B774D7" w:rsidP="004C79C1">
            <w:pPr>
              <w:pStyle w:val="Tabletext1"/>
              <w:spacing w:before="0" w:after="120"/>
            </w:pPr>
            <w:r>
              <w:t>Heart block</w:t>
            </w:r>
          </w:p>
          <w:p w14:paraId="6FDB863F" w14:textId="77777777" w:rsidR="00B774D7" w:rsidRDefault="00B774D7" w:rsidP="004C79C1">
            <w:pPr>
              <w:pStyle w:val="Tabletext1"/>
              <w:spacing w:before="0" w:after="120"/>
            </w:pPr>
            <w:r>
              <w:t>Pneumothorax</w:t>
            </w:r>
          </w:p>
          <w:p w14:paraId="53BA236F" w14:textId="77777777" w:rsidR="00B774D7" w:rsidRDefault="00B774D7" w:rsidP="004C79C1">
            <w:pPr>
              <w:pStyle w:val="Tabletext1"/>
              <w:spacing w:before="0" w:after="120"/>
            </w:pPr>
            <w:r>
              <w:t>Puncture of arteries</w:t>
            </w:r>
          </w:p>
          <w:p w14:paraId="26EE3F9A" w14:textId="3FE17D68" w:rsidR="00B774D7" w:rsidRDefault="00B774D7" w:rsidP="004C79C1">
            <w:pPr>
              <w:pStyle w:val="Tabletext1"/>
              <w:spacing w:before="0" w:after="120"/>
            </w:pPr>
            <w:r>
              <w:t>Pulmonary emboli</w:t>
            </w:r>
            <w:r w:rsidR="000623E0">
              <w:t>s</w:t>
            </w:r>
            <w:r>
              <w:t>ation</w:t>
            </w:r>
          </w:p>
          <w:p w14:paraId="1D0ACE77" w14:textId="77777777" w:rsidR="00B774D7" w:rsidRDefault="00B774D7" w:rsidP="004C79C1">
            <w:pPr>
              <w:pStyle w:val="Tabletext1"/>
              <w:spacing w:before="0" w:after="120"/>
            </w:pPr>
            <w:r>
              <w:t>Nerve paresis</w:t>
            </w:r>
          </w:p>
          <w:p w14:paraId="429F64B3" w14:textId="77777777" w:rsidR="00B774D7" w:rsidRDefault="00B774D7" w:rsidP="004C79C1">
            <w:pPr>
              <w:pStyle w:val="Tabletext1"/>
              <w:spacing w:before="0" w:after="120"/>
            </w:pPr>
            <w:r>
              <w:t>Venous haematoma</w:t>
            </w:r>
          </w:p>
          <w:p w14:paraId="77E70D14" w14:textId="77777777" w:rsidR="00B774D7" w:rsidRDefault="00B774D7" w:rsidP="004C79C1">
            <w:pPr>
              <w:pStyle w:val="Tabletext1"/>
              <w:spacing w:before="0" w:after="120"/>
            </w:pPr>
            <w:r>
              <w:t>Damage to tricuspid valve</w:t>
            </w:r>
          </w:p>
          <w:p w14:paraId="75EDA13D" w14:textId="77777777" w:rsidR="00B774D7" w:rsidRDefault="00B774D7" w:rsidP="004C79C1">
            <w:pPr>
              <w:pStyle w:val="Tabletext1"/>
              <w:spacing w:before="0" w:after="120"/>
            </w:pPr>
            <w:r>
              <w:t>Creation of arterial venous fistula</w:t>
            </w:r>
          </w:p>
          <w:p w14:paraId="384F8D6F" w14:textId="77777777" w:rsidR="00B774D7" w:rsidRDefault="00B774D7" w:rsidP="004C79C1">
            <w:pPr>
              <w:pStyle w:val="Tabletext1"/>
              <w:spacing w:before="0" w:after="120"/>
            </w:pPr>
            <w:r>
              <w:t>Access site bleeding</w:t>
            </w:r>
          </w:p>
          <w:p w14:paraId="5EF1A0EE" w14:textId="77777777" w:rsidR="00B774D7" w:rsidRPr="0032214A" w:rsidRDefault="00B774D7" w:rsidP="004C79C1">
            <w:pPr>
              <w:pStyle w:val="Tabletext1"/>
              <w:spacing w:before="0" w:after="120"/>
            </w:pPr>
            <w:r>
              <w:t>Deep venous thrombosis</w:t>
            </w:r>
          </w:p>
        </w:tc>
      </w:tr>
    </w:tbl>
    <w:p w14:paraId="026E1E60" w14:textId="67B4B982" w:rsidR="00B774D7" w:rsidRPr="00C433E4" w:rsidRDefault="00B774D7" w:rsidP="004C79C1">
      <w:pPr>
        <w:pStyle w:val="Tablenotes0"/>
        <w:spacing w:before="0" w:after="120"/>
      </w:pPr>
      <w:r w:rsidRPr="00C433E4">
        <w:t xml:space="preserve">Sources: </w:t>
      </w:r>
      <w:hyperlink w:anchor="_ENREF_17" w:tooltip="Burkhardt, 2015 #166" w:history="1">
        <w:r w:rsidR="00823B46" w:rsidRPr="00627EBF">
          <w:t>Burkhardt et al. (2015</w:t>
        </w:r>
      </w:hyperlink>
      <w:r w:rsidR="00823B46" w:rsidRPr="00627EBF">
        <w:t xml:space="preserve">); </w:t>
      </w:r>
      <w:r w:rsidR="00C87F04" w:rsidRPr="00C433E4">
        <w:t xml:space="preserve">Cooper </w:t>
      </w:r>
      <w:r w:rsidR="00C87F04" w:rsidRPr="00C433E4">
        <w:fldChar w:fldCharType="begin"/>
      </w:r>
      <w:r w:rsidR="00C87F04" w:rsidRPr="00C433E4">
        <w:instrText xml:space="preserve"> ADDIN EN.CITE &lt;EndNote&gt;&lt;Cite&gt;&lt;Author&gt;Cooper&lt;/Author&gt;&lt;Year&gt;2015&lt;/Year&gt;&lt;RecNum&gt;125&lt;/RecNum&gt;&lt;DisplayText&gt;(Cooper 2015)&lt;/DisplayText&gt;&lt;record&gt;&lt;rec-number&gt;125&lt;/rec-number&gt;&lt;foreign-keys&gt;&lt;key app="EN" db-id="pfxxvref0t0a5de2vwnv2fwkz0p9v0r2fw0t" timestamp="1458714099"&gt;125&lt;/key&gt;&lt;/foreign-keys&gt;&lt;ref-type name="Web Page"&gt;12&lt;/ref-type&gt;&lt;contributors&gt;&lt;authors&gt;&lt;author&gt;Cooper, Leslie T.&lt;/author&gt;&lt;/authors&gt;&lt;/contributors&gt;&lt;titles&gt;&lt;title&gt;Endomyocardial biopsy&lt;/title&gt;&lt;/titles&gt;&lt;volume&gt;2016&lt;/volume&gt;&lt;number&gt;Mar 23&lt;/number&gt;&lt;dates&gt;&lt;year&gt;2015&lt;/year&gt;&lt;/dates&gt;&lt;publisher&gt;UpToDate&lt;/publisher&gt;&lt;urls&gt;&lt;related-urls&gt;&lt;url&gt;http://www.uptodate.com/contents/endomyocardial-biopsy#H20&lt;/url&gt;&lt;/related-urls&gt;&lt;/urls&gt;&lt;/record&gt;&lt;/Cite&gt;&lt;/EndNote&gt;</w:instrText>
      </w:r>
      <w:r w:rsidR="00C87F04" w:rsidRPr="00C433E4">
        <w:fldChar w:fldCharType="separate"/>
      </w:r>
      <w:r w:rsidR="00C87F04" w:rsidRPr="00627EBF">
        <w:t>(</w:t>
      </w:r>
      <w:hyperlink w:anchor="_ENREF_27" w:tooltip="Cooper, 2015 #125" w:history="1">
        <w:r w:rsidR="00C87F04" w:rsidRPr="00627EBF">
          <w:t>2015</w:t>
        </w:r>
      </w:hyperlink>
      <w:r w:rsidR="00C87F04" w:rsidRPr="00627EBF">
        <w:t>)</w:t>
      </w:r>
      <w:r w:rsidR="00C87F04" w:rsidRPr="00C433E4">
        <w:fldChar w:fldCharType="end"/>
      </w:r>
      <w:r w:rsidR="00C87F04" w:rsidRPr="00C433E4">
        <w:t xml:space="preserve">; Cooper et al. </w:t>
      </w:r>
      <w:r w:rsidR="00C87F04" w:rsidRPr="00C433E4">
        <w:fldChar w:fldCharType="begin"/>
      </w:r>
      <w:r w:rsidR="00C87F04" w:rsidRPr="00C433E4">
        <w:instrText xml:space="preserve"> ADDIN EN.CITE &lt;EndNote&gt;&lt;Cite&gt;&lt;Author&gt;Cooper&lt;/Author&gt;&lt;Year&gt;2007&lt;/Year&gt;&lt;RecNum&gt;126&lt;/RecNum&gt;&lt;IDText&gt;1914-1931&lt;/IDText&gt;&lt;DisplayText&gt;(Cooper, Leslie T. et al. 2007)&lt;/DisplayText&gt;&lt;record&gt;&lt;rec-number&gt;126&lt;/rec-number&gt;&lt;foreign-keys&gt;&lt;key app="EN" db-id="pfxxvref0t0a5de2vwnv2fwkz0p9v0r2fw0t" timestamp="1458714100"&gt;126&lt;/key&gt;&lt;/foreign-keys&gt;&lt;ref-type name="Journal Article"&gt;17&lt;/ref-type&gt;&lt;contributors&gt;&lt;authors&gt;&lt;author&gt;Cooper, Leslie T.&lt;/author&gt;&lt;author&gt;Baughman, Kenneth L.&lt;/author&gt;&lt;author&gt;Feldman, Arthur M.&lt;/author&gt;&lt;author&gt;Frustaci, Andrea&lt;/author&gt;&lt;author&gt;Jessup, Mariell&lt;/author&gt;&lt;author&gt;Kuhl, Uwe&lt;/author&gt;&lt;author&gt;Levine, Glenn N.&lt;/author&gt;&lt;author&gt;Narula, Jagat&lt;/author&gt;&lt;author&gt;Starling, Randall C.&lt;/author&gt;&lt;author&gt;Towbin, Jeffrey&lt;/author&gt;&lt;author&gt;Virmani, Renu&lt;/author&gt;&lt;/authors&gt;&lt;/contributors&gt;&lt;titles&gt;&lt;title&gt;The Role of Endomyocardial Biopsy in the Management of Cardiovascular DiseaseA Scientific Statement From the American Heart Association, the American College of Cardiology, and the European Society of Cardiology Endorsed by the Heart Failure Society of America and the Heart Failure Association of the European Society of Cardiology&lt;/title&gt;&lt;secondary-title&gt;Journal of the American College of Cardiology&lt;/secondary-title&gt;&lt;/titles&gt;&lt;periodical&gt;&lt;full-title&gt;Journal of the American College of Cardiology&lt;/full-title&gt;&lt;/periodical&gt;&lt;pages&gt;1914-1931&lt;/pages&gt;&lt;volume&gt;50&lt;/volume&gt;&lt;number&gt;19&lt;/number&gt;&lt;dates&gt;&lt;year&gt;2007&lt;/year&gt;&lt;/dates&gt;&lt;isbn&gt;0735-1097&lt;/isbn&gt;&lt;urls&gt;&lt;related-urls&gt;&lt;url&gt;http://dx.doi.org/10.1016/j.jacc.2007.09.008&lt;/url&gt;&lt;/related-urls&gt;&lt;/urls&gt;&lt;electronic-resource-num&gt;10.1016/j.jacc.2007.09.008&lt;/electronic-resource-num&gt;&lt;/record&gt;&lt;/Cite&gt;&lt;/EndNote&gt;</w:instrText>
      </w:r>
      <w:r w:rsidR="00C87F04" w:rsidRPr="00C433E4">
        <w:fldChar w:fldCharType="separate"/>
      </w:r>
      <w:r w:rsidR="00C87F04" w:rsidRPr="00627EBF">
        <w:t>(</w:t>
      </w:r>
      <w:hyperlink w:anchor="_ENREF_28" w:tooltip="Cooper, 2007 #126" w:history="1">
        <w:r w:rsidR="00C87F04" w:rsidRPr="00627EBF">
          <w:t>2007</w:t>
        </w:r>
      </w:hyperlink>
      <w:r w:rsidR="00C87F04" w:rsidRPr="00627EBF">
        <w:t>)</w:t>
      </w:r>
      <w:r w:rsidR="00C87F04" w:rsidRPr="00C433E4">
        <w:fldChar w:fldCharType="end"/>
      </w:r>
      <w:r w:rsidR="00C87F04" w:rsidRPr="00C433E4">
        <w:t xml:space="preserve">; </w:t>
      </w:r>
      <w:r w:rsidRPr="00C433E4">
        <w:t>Einstein et al.</w:t>
      </w:r>
      <w:r w:rsidR="006A56CD" w:rsidRPr="00C433E4">
        <w:t xml:space="preserve"> (2012);</w:t>
      </w:r>
      <w:r w:rsidRPr="00C433E4">
        <w:t xml:space="preserve"> </w:t>
      </w:r>
      <w:r w:rsidR="00C87F04" w:rsidRPr="00C433E4">
        <w:t xml:space="preserve">From et al. </w:t>
      </w:r>
      <w:r w:rsidR="00C87F04" w:rsidRPr="00C433E4">
        <w:fldChar w:fldCharType="begin"/>
      </w:r>
      <w:r w:rsidR="00C87F04" w:rsidRPr="00C433E4">
        <w:instrText xml:space="preserve"> ADDIN EN.CITE &lt;EndNote&gt;&lt;Cite&gt;&lt;Author&gt;From&lt;/Author&gt;&lt;Year&gt;2011&lt;/Year&gt;&lt;RecNum&gt;127&lt;/RecNum&gt;&lt;IDText&gt;1095-102&lt;/IDText&gt;&lt;DisplayText&gt;(From, Maleszewski &amp;amp; Rihal 2011)&lt;/DisplayText&gt;&lt;record&gt;&lt;rec-number&gt;127&lt;/rec-number&gt;&lt;foreign-keys&gt;&lt;key app="EN" db-id="pfxxvref0t0a5de2vwnv2fwkz0p9v0r2fw0t" timestamp="1458714100"&gt;127&lt;/key&gt;&lt;/foreign-keys&gt;&lt;ref-type name="Journal Article"&gt;17&lt;/ref-type&gt;&lt;contributors&gt;&lt;authors&gt;&lt;author&gt;From, A. M.&lt;/author&gt;&lt;author&gt;Maleszewski, J. J.&lt;/author&gt;&lt;author&gt;Rihal, C. S.&lt;/author&gt;&lt;/authors&gt;&lt;/contributors&gt;&lt;auth-address&gt;Division of Cardiovascular Diseases, Mayo Clinic, Rochester, MN 55905, USA..&lt;/auth-address&gt;&lt;titles&gt;&lt;title&gt;Current status of endomyocardial biopsy&lt;/title&gt;&lt;secondary-title&gt;Mayo Clin Proc&lt;/secondary-title&gt;&lt;/titles&gt;&lt;periodical&gt;&lt;full-title&gt;Mayo Clin Proc&lt;/full-title&gt;&lt;/periodical&gt;&lt;pages&gt;1095-102&lt;/pages&gt;&lt;volume&gt;86&lt;/volume&gt;&lt;number&gt;11&lt;/number&gt;&lt;keywords&gt;&lt;keyword&gt;Bayes Theorem&lt;/keyword&gt;&lt;keyword&gt;*Biopsy, Needle/methods&lt;/keyword&gt;&lt;keyword&gt;Cardiomyopathies/diagnosis&lt;/keyword&gt;&lt;keyword&gt;Echocardiography, Transesophageal&lt;/keyword&gt;&lt;keyword&gt;Endocardium/*pathology&lt;/keyword&gt;&lt;keyword&gt;Graft Rejection/*diagnosis&lt;/keyword&gt;&lt;keyword&gt;Heart Neoplasms/diagnosis&lt;/keyword&gt;&lt;keyword&gt;*Heart Transplantation&lt;/keyword&gt;&lt;keyword&gt;Humans&lt;/keyword&gt;&lt;keyword&gt;Magnetic Resonance Imaging&lt;/keyword&gt;&lt;keyword&gt;Myocarditis/pathology&lt;/keyword&gt;&lt;keyword&gt;Myocardium/*pathology&lt;/keyword&gt;&lt;keyword&gt;Practice Guidelines as Topic&lt;/keyword&gt;&lt;keyword&gt;Sarcoidosis/diagnosis&lt;/keyword&gt;&lt;keyword&gt;Transplantation, Homologous&lt;/keyword&gt;&lt;/keywords&gt;&lt;dates&gt;&lt;year&gt;2011&lt;/year&gt;&lt;pub-dates&gt;&lt;date&gt;Nov&lt;/date&gt;&lt;/pub-dates&gt;&lt;/dates&gt;&lt;isbn&gt;1942-5546 (Electronic)&amp;#xD;0025-6196 (Linking)&lt;/isbn&gt;&lt;accession-num&gt;22033254&lt;/accession-num&gt;&lt;urls&gt;&lt;related-urls&gt;&lt;url&gt;http://www.ncbi.nlm.nih.gov/pubmed/22033254&lt;/url&gt;&lt;/related-urls&gt;&lt;/urls&gt;&lt;custom2&gt;3203000&lt;/custom2&gt;&lt;electronic-resource-num&gt;10.4065/mcp.2011.0296&lt;/electronic-resource-num&gt;&lt;/record&gt;&lt;/Cite&gt;&lt;/EndNote&gt;</w:instrText>
      </w:r>
      <w:r w:rsidR="00C87F04" w:rsidRPr="00C433E4">
        <w:fldChar w:fldCharType="separate"/>
      </w:r>
      <w:r w:rsidR="00C87F04" w:rsidRPr="00627EBF">
        <w:t>(</w:t>
      </w:r>
      <w:hyperlink w:anchor="_ENREF_42" w:tooltip="From, 2011 #127" w:history="1">
        <w:r w:rsidR="00C87F04" w:rsidRPr="00627EBF">
          <w:t>2011</w:t>
        </w:r>
      </w:hyperlink>
      <w:r w:rsidR="00C87F04" w:rsidRPr="00627EBF">
        <w:t>)</w:t>
      </w:r>
      <w:r w:rsidR="00C87F04" w:rsidRPr="00C433E4">
        <w:fldChar w:fldCharType="end"/>
      </w:r>
      <w:r w:rsidR="00C87F04" w:rsidRPr="00C433E4">
        <w:t xml:space="preserve">; </w:t>
      </w:r>
      <w:r w:rsidR="00823B46" w:rsidRPr="00C433E4">
        <w:t xml:space="preserve">Ghelani et al. </w:t>
      </w:r>
      <w:r w:rsidR="00823B46" w:rsidRPr="00C433E4">
        <w:fldChar w:fldCharType="begin"/>
      </w:r>
      <w:r w:rsidR="00823B46" w:rsidRPr="00C433E4">
        <w:instrText xml:space="preserve"> ADDIN EN.CITE &lt;EndNote&gt;&lt;Cite&gt;&lt;Author&gt;Ghelani&lt;/Author&gt;&lt;Year&gt;2014&lt;/Year&gt;&lt;RecNum&gt;128&lt;/RecNum&gt;&lt;IDText&gt;1060-1069&lt;/IDText&gt;&lt;DisplayText&gt;(Ghelani et al. 2014)&lt;/DisplayText&gt;&lt;record&gt;&lt;rec-number&gt;128&lt;/rec-number&gt;&lt;foreign-keys&gt;&lt;key app="EN" db-id="pfxxvref0t0a5de2vwnv2fwkz0p9v0r2fw0t" timestamp="1458714100"&gt;128&lt;/key&gt;&lt;/foreign-keys&gt;&lt;ref-type name="Journal Article"&gt;17&lt;/ref-type&gt;&lt;contributors&gt;&lt;authors&gt;&lt;author&gt;Ghelani, Sunil J.&lt;/author&gt;&lt;author&gt;Glatz, Andrew C.&lt;/author&gt;&lt;author&gt;David, Sthuthi&lt;/author&gt;&lt;author&gt;Leahy, Ryan&lt;/author&gt;&lt;author&gt;Hirsch, Russel&lt;/author&gt;&lt;author&gt;Armsby, Laurie B.&lt;/author&gt;&lt;author&gt;Trucco, Sara M.&lt;/author&gt;&lt;author&gt;Holzer, Ralf J.&lt;/author&gt;&lt;author&gt;Bergersen, Lisa&lt;/author&gt;&lt;/authors&gt;&lt;/contributors&gt;&lt;titles&gt;&lt;title&gt;Radiation Dose Benchmarks During Cardiac Catheterization for Congenital Heart Disease in the United States&lt;/title&gt;&lt;secondary-title&gt;JACC: Cardiovascular Interventions&lt;/secondary-title&gt;&lt;/titles&gt;&lt;periodical&gt;&lt;full-title&gt;JACC: Cardiovascular Interventions&lt;/full-title&gt;&lt;/periodical&gt;&lt;pages&gt;1060-1069&lt;/pages&gt;&lt;volume&gt;7&lt;/volume&gt;&lt;number&gt;9&lt;/number&gt;&lt;dates&gt;&lt;year&gt;2014&lt;/year&gt;&lt;/dates&gt;&lt;isbn&gt;1936-8798&lt;/isbn&gt;&lt;urls&gt;&lt;related-urls&gt;&lt;url&gt;http://dx.doi.org/10.1016/j.jcin.2014.04.013&lt;/url&gt;&lt;/related-urls&gt;&lt;/urls&gt;&lt;electronic-resource-num&gt;10.1016/j.jcin.2014.04.013&lt;/electronic-resource-num&gt;&lt;/record&gt;&lt;/Cite&gt;&lt;/EndNote&gt;</w:instrText>
      </w:r>
      <w:r w:rsidR="00823B46" w:rsidRPr="00C433E4">
        <w:fldChar w:fldCharType="separate"/>
      </w:r>
      <w:r w:rsidR="00823B46" w:rsidRPr="00627EBF">
        <w:t>(</w:t>
      </w:r>
      <w:hyperlink w:anchor="_ENREF_44" w:tooltip="Ghelani, 2014 #128" w:history="1">
        <w:r w:rsidR="00823B46" w:rsidRPr="00627EBF">
          <w:t>2014</w:t>
        </w:r>
      </w:hyperlink>
      <w:r w:rsidR="00823B46" w:rsidRPr="00627EBF">
        <w:t>)</w:t>
      </w:r>
      <w:r w:rsidR="00823B46" w:rsidRPr="00C433E4">
        <w:fldChar w:fldCharType="end"/>
      </w:r>
      <w:r w:rsidR="00823B46" w:rsidRPr="00C433E4">
        <w:t xml:space="preserve">; </w:t>
      </w:r>
      <w:r w:rsidRPr="00C433E4">
        <w:t xml:space="preserve">Knuuti et al. </w:t>
      </w:r>
      <w:r w:rsidRPr="00C433E4">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rsidRPr="00C433E4">
        <w:instrText xml:space="preserve"> ADDIN EN.CITE </w:instrText>
      </w:r>
      <w:r w:rsidRPr="00C433E4">
        <w:fldChar w:fldCharType="begin">
          <w:fldData xml:space="preserve">PEVuZE5vdGU+PENpdGUgRXhjbHVkZUF1dGg9IjEiPjxBdXRob3I+S251dXRpPC9BdXRob3I+PFll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</w:fldData>
        </w:fldChar>
      </w:r>
      <w:r w:rsidRPr="00C433E4">
        <w:instrText xml:space="preserve"> ADDIN EN.CITE.DATA </w:instrText>
      </w:r>
      <w:r w:rsidRPr="00C433E4">
        <w:fldChar w:fldCharType="end"/>
      </w:r>
      <w:r w:rsidRPr="00C433E4">
        <w:fldChar w:fldCharType="separate"/>
      </w:r>
      <w:r w:rsidRPr="00627EBF">
        <w:t>(</w:t>
      </w:r>
      <w:hyperlink w:anchor="_ENREF_61" w:tooltip="Knuuti, 2014 #256" w:history="1">
        <w:r w:rsidR="00B906E9" w:rsidRPr="00627EBF">
          <w:t>2014</w:t>
        </w:r>
      </w:hyperlink>
      <w:r w:rsidRPr="00627EBF">
        <w:t>)</w:t>
      </w:r>
      <w:r w:rsidRPr="00C433E4">
        <w:fldChar w:fldCharType="end"/>
      </w:r>
      <w:r w:rsidRPr="00C433E4">
        <w:t xml:space="preserve">; </w:t>
      </w:r>
      <w:r w:rsidR="00B906E9" w:rsidRPr="00C433E4">
        <w:fldChar w:fldCharType="begin">
          <w:fldData xml:space="preserve">PEVuZE5vdGU+PENpdGU+PEF1dGhvcj5CdXJraGFyZHQ8L0F1dGhvcj48WWVhcj4yMDE1PC9ZZWFy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</w:fldData>
        </w:fldChar>
      </w:r>
      <w:r w:rsidR="00B906E9" w:rsidRPr="00C433E4">
        <w:instrText xml:space="preserve"> ADDIN EN.CITE </w:instrText>
      </w:r>
      <w:r w:rsidR="00B906E9" w:rsidRPr="00C433E4">
        <w:fldChar w:fldCharType="begin">
          <w:fldData xml:space="preserve">PEVuZE5vdGU+PENpdGU+PEF1dGhvcj5CdXJraGFyZHQ8L0F1dGhvcj48WWVhcj4yMDE1PC9ZZWFy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</w:fldData>
        </w:fldChar>
      </w:r>
      <w:r w:rsidR="00B906E9" w:rsidRPr="00C433E4">
        <w:instrText xml:space="preserve"> ADDIN EN.CITE.DATA </w:instrText>
      </w:r>
      <w:r w:rsidR="00B906E9" w:rsidRPr="00C433E4">
        <w:fldChar w:fldCharType="end"/>
      </w:r>
      <w:r w:rsidR="00B906E9" w:rsidRPr="00C433E4">
        <w:fldChar w:fldCharType="separate"/>
      </w:r>
      <w:hyperlink w:anchor="_ENREF_96" w:tooltip="Newman, 1997 #167" w:history="1">
        <w:r w:rsidR="00B906E9" w:rsidRPr="00627EBF">
          <w:t xml:space="preserve">Newman </w:t>
        </w:r>
        <w:r w:rsidR="00D81635" w:rsidRPr="00627EBF">
          <w:t>(</w:t>
        </w:r>
        <w:r w:rsidR="00B906E9" w:rsidRPr="00627EBF">
          <w:t>1997</w:t>
        </w:r>
      </w:hyperlink>
      <w:r w:rsidR="00B906E9" w:rsidRPr="00627EBF">
        <w:t>)</w:t>
      </w:r>
      <w:r w:rsidR="00B906E9" w:rsidRPr="00C433E4">
        <w:fldChar w:fldCharType="end"/>
      </w:r>
      <w:r w:rsidR="00823B46" w:rsidRPr="00C433E4">
        <w:t xml:space="preserve">; Varga et al. </w:t>
      </w:r>
      <w:r w:rsidR="00823B46" w:rsidRPr="00C433E4">
        <w:fldChar w:fldCharType="begin"/>
      </w:r>
      <w:r w:rsidR="00823B46" w:rsidRPr="00C433E4">
        <w:instrText xml:space="preserve"> ADDIN EN.CITE &lt;EndNote&gt;&lt;Cite ExcludeAuth="1"&gt;&lt;Author&gt;Varga&lt;/Author&gt;&lt;Year&gt;2006&lt;/Year&gt;&lt;RecNum&gt;259&lt;/RecNum&gt;&lt;DisplayText&gt;(2006)&lt;/DisplayText&gt;&lt;record&gt;&lt;rec-number&gt;259&lt;/rec-number&gt;&lt;foreign-keys&gt;&lt;key app="EN" db-id="9wevt9zsm0frf1ezepbpa9dgrfez55etdvpa" timestamp="1447822977"&gt;259&lt;/key&gt;&lt;/foreign-keys&gt;&lt;ref-type name="Journal Article"&gt;17&lt;/ref-type&gt;&lt;contributors&gt;&lt;authors&gt;&lt;author&gt;Varga, A.&lt;/author&gt;&lt;author&gt;Garcia, M. A.&lt;/author&gt;&lt;author&gt;Picano, E.&lt;/author&gt;&lt;author&gt;International Stress Echo Complication, Registry&lt;/author&gt;&lt;/authors&gt;&lt;/contributors&gt;&lt;auth-address&gt;2nd Department of Medicine and Cardiology Center, University of Sciences, Szeged, Hungary. vargaa@in2nd.szote.u-szeged.hu&lt;/auth-address&gt;&lt;titles&gt;&lt;title&gt;Safety of stress echocardiography (from the International Stress Echo Complication Registry)&lt;/title&gt;&lt;secondary-title&gt;Am J Cardiol&lt;/secondary-title&gt;&lt;/titles&gt;&lt;periodical&gt;&lt;full-title&gt;Am J Cardiol&lt;/full-title&gt;&lt;abbr-1&gt;The American journal of cardiology&lt;/abbr-1&gt;&lt;/periodical&gt;&lt;pages&gt;541-3&lt;/pages&gt;&lt;volume&gt;98&lt;/volume&gt;&lt;number&gt;4&lt;/number&gt;&lt;keywords&gt;&lt;keyword&gt;Cardiotonic Agents/diagnostic use&lt;/keyword&gt;&lt;keyword&gt;Cost-Benefit Analysis&lt;/keyword&gt;&lt;keyword&gt;Dipyridamole/diagnostic use&lt;/keyword&gt;&lt;keyword&gt;Dobutamine/diagnostic use&lt;/keyword&gt;&lt;keyword&gt;Echocardiography, Stress/economics/*methods/standards&lt;/keyword&gt;&lt;keyword&gt;Exercise/*physiology&lt;/keyword&gt;&lt;keyword&gt;Heart Diseases/physiopathology/*ultrasonography&lt;/keyword&gt;&lt;keyword&gt;Humans&lt;/keyword&gt;&lt;keyword&gt;Questionnaires&lt;/keyword&gt;&lt;keyword&gt;Reproducibility of Results&lt;/keyword&gt;&lt;keyword&gt;Retrospective Studies&lt;/keyword&gt;&lt;keyword&gt;Severity of Illness Index&lt;/keyword&gt;&lt;keyword&gt;Vasodilator Agents/diagnostic use&lt;/keyword&gt;&lt;/keywords&gt;&lt;dates&gt;&lt;year&gt;2006&lt;/year&gt;&lt;pub-dates&gt;&lt;date&gt;Aug 15&lt;/date&gt;&lt;/pub-dates&gt;&lt;/dates&gt;&lt;isbn&gt;0002-9149 (Print)&amp;#xD;0002-9149 (Linking)&lt;/isbn&gt;&lt;accession-num&gt;16893714&lt;/accession-num&gt;&lt;urls&gt;&lt;related-urls&gt;&lt;url&gt;http://www.ncbi.nlm.nih.gov/pubmed/16893714&lt;/url&gt;&lt;/related-urls&gt;&lt;/urls&gt;&lt;electronic-resource-num&gt;10.1016/j.amjcard.2006.02.064&lt;/electronic-resource-num&gt;&lt;/record&gt;&lt;/Cite&gt;&lt;/EndNote&gt;</w:instrText>
      </w:r>
      <w:r w:rsidR="00823B46" w:rsidRPr="00C433E4">
        <w:fldChar w:fldCharType="separate"/>
      </w:r>
      <w:r w:rsidR="00823B46" w:rsidRPr="00627EBF">
        <w:t>(</w:t>
      </w:r>
      <w:hyperlink w:anchor="_ENREF_131" w:tooltip="Varga, 2006 #259" w:history="1">
        <w:r w:rsidR="00823B46" w:rsidRPr="00627EBF">
          <w:t>2006</w:t>
        </w:r>
      </w:hyperlink>
      <w:r w:rsidR="00823B46" w:rsidRPr="00627EBF">
        <w:t>)</w:t>
      </w:r>
      <w:r w:rsidR="00823B46" w:rsidRPr="00C433E4">
        <w:fldChar w:fldCharType="end"/>
      </w:r>
    </w:p>
    <w:p w14:paraId="23A1BA4C" w14:textId="79D18064" w:rsidR="00B774D7" w:rsidRPr="00C433E4" w:rsidRDefault="00B774D7" w:rsidP="004C79C1">
      <w:pPr>
        <w:pStyle w:val="Tablenotes0"/>
        <w:spacing w:before="0" w:after="120"/>
      </w:pPr>
      <w:r w:rsidRPr="00C433E4">
        <w:t xml:space="preserve">AE = adverse event; </w:t>
      </w:r>
      <w:r w:rsidR="00F44507" w:rsidRPr="00C433E4">
        <w:t xml:space="preserve">EMB = </w:t>
      </w:r>
      <w:r w:rsidR="00F44507" w:rsidRPr="00627EBF">
        <w:t>endomyocardial biopsy</w:t>
      </w:r>
      <w:r w:rsidR="00F44507" w:rsidRPr="00C433E4">
        <w:t xml:space="preserve">; </w:t>
      </w:r>
      <w:r w:rsidRPr="00C433E4">
        <w:t xml:space="preserve">LGE-CMR = late gadolinium enhancement cardiac magnetic resonance </w:t>
      </w:r>
      <w:r w:rsidR="002D3576" w:rsidRPr="00C433E4">
        <w:t>(</w:t>
      </w:r>
      <w:r w:rsidRPr="00C433E4">
        <w:t>imaging</w:t>
      </w:r>
      <w:r w:rsidR="002D3576" w:rsidRPr="00C433E4">
        <w:t>)</w:t>
      </w:r>
      <w:r w:rsidR="00496533" w:rsidRPr="00C433E4">
        <w:t xml:space="preserve">; NIDCM = </w:t>
      </w:r>
      <w:r w:rsidR="00F44507" w:rsidRPr="00627EBF">
        <w:t>non-ischaemic dilated cardiomyopathy</w:t>
      </w:r>
    </w:p>
    <w:p w14:paraId="41F8F5DB" w14:textId="23A44F1B" w:rsidR="002F2AFD" w:rsidRDefault="002F2AFD" w:rsidP="004C79C1">
      <w:pPr>
        <w:pStyle w:val="Heading1"/>
        <w:spacing w:after="120" w:line="240" w:lineRule="auto"/>
        <w:jc w:val="both"/>
      </w:pPr>
      <w:bookmarkStart w:id="971" w:name="_Toc450051819"/>
      <w:bookmarkStart w:id="972" w:name="_Toc451501436"/>
      <w:bookmarkStart w:id="973" w:name="_Toc449428966"/>
      <w:r>
        <w:lastRenderedPageBreak/>
        <w:t>Appendix K</w:t>
      </w:r>
      <w:r>
        <w:tab/>
        <w:t xml:space="preserve">Sensitivity </w:t>
      </w:r>
      <w:r w:rsidR="00476C39">
        <w:t>A</w:t>
      </w:r>
      <w:r>
        <w:t xml:space="preserve">nalyses for </w:t>
      </w:r>
      <w:r w:rsidRPr="00317036">
        <w:t>Cost Analysis: Population i</w:t>
      </w:r>
      <w:bookmarkEnd w:id="971"/>
      <w:bookmarkEnd w:id="972"/>
    </w:p>
    <w:p w14:paraId="06FCB757" w14:textId="53F65A1D" w:rsidR="002F2AFD" w:rsidRDefault="002F2AFD" w:rsidP="004C79C1">
      <w:pPr>
        <w:pStyle w:val="Heading2"/>
        <w:spacing w:before="0" w:after="120" w:line="240" w:lineRule="auto"/>
      </w:pPr>
      <w:bookmarkStart w:id="974" w:name="_Toc450051820"/>
      <w:bookmarkStart w:id="975" w:name="_Toc451501437"/>
      <w:r>
        <w:t xml:space="preserve">Sensitivity </w:t>
      </w:r>
      <w:r w:rsidR="00E607E7">
        <w:t>A</w:t>
      </w:r>
      <w:r>
        <w:t xml:space="preserve">nalyses for </w:t>
      </w:r>
      <w:r w:rsidR="00E607E7">
        <w:t>C</w:t>
      </w:r>
      <w:r>
        <w:t xml:space="preserve">ost </w:t>
      </w:r>
      <w:r w:rsidR="00E607E7">
        <w:t>A</w:t>
      </w:r>
      <w:r>
        <w:t>nalyses of CMR vs GH</w:t>
      </w:r>
      <w:r w:rsidRPr="00317036">
        <w:t>PS or cEcho</w:t>
      </w:r>
      <w:bookmarkEnd w:id="974"/>
      <w:bookmarkEnd w:id="975"/>
    </w:p>
    <w:p w14:paraId="281243D9" w14:textId="73990688" w:rsidR="002F2AFD" w:rsidRDefault="002F2AFD" w:rsidP="004C79C1">
      <w:pPr>
        <w:pStyle w:val="Caption"/>
        <w:keepNext/>
        <w:spacing w:afterLines="40" w:after="96"/>
      </w:pPr>
      <w:bookmarkStart w:id="976" w:name="_Ref449546412"/>
      <w:bookmarkStart w:id="977" w:name="_Toc450052114"/>
      <w:bookmarkStart w:id="978" w:name="_Toc324410305"/>
      <w:bookmarkStart w:id="979" w:name="_Toc451435428"/>
      <w:r>
        <w:t xml:space="preserve">Table </w:t>
      </w:r>
      <w:fldSimple w:instr=" SEQ Table \* ARABIC ">
        <w:r w:rsidR="009E52C1">
          <w:rPr>
            <w:noProof/>
          </w:rPr>
          <w:t>101</w:t>
        </w:r>
      </w:fldSimple>
      <w:bookmarkEnd w:id="976"/>
      <w:r w:rsidR="005813A4">
        <w:tab/>
      </w:r>
      <w:r>
        <w:t xml:space="preserve">Sensitivity analyses for cost comparison of CMR to </w:t>
      </w:r>
      <w:bookmarkEnd w:id="977"/>
      <w:r w:rsidR="00476C39">
        <w:t>GHPS</w:t>
      </w:r>
      <w:bookmarkEnd w:id="978"/>
      <w:bookmarkEnd w:id="979"/>
    </w:p>
    <w:tbl>
      <w:tblPr>
        <w:tblStyle w:val="TableGrid"/>
        <w:tblW w:w="0" w:type="auto"/>
        <w:tblLook w:val="04A0" w:firstRow="1" w:lastRow="0" w:firstColumn="1" w:lastColumn="0" w:noHBand="0" w:noVBand="1"/>
        <w:tblCaption w:val="Sensitivity analyses for cost comparison of CMR to gated blood pool scanning"/>
      </w:tblPr>
      <w:tblGrid>
        <w:gridCol w:w="4531"/>
        <w:gridCol w:w="1418"/>
        <w:gridCol w:w="1417"/>
        <w:gridCol w:w="1650"/>
      </w:tblGrid>
      <w:tr w:rsidR="002F2AFD" w:rsidRPr="00030596" w14:paraId="316654C2" w14:textId="77777777" w:rsidTr="00857B30">
        <w:trPr>
          <w:tblHeader/>
        </w:trPr>
        <w:tc>
          <w:tcPr>
            <w:tcW w:w="4531" w:type="dxa"/>
            <w:tcBorders>
              <w:bottom w:val="single" w:sz="4" w:space="0" w:color="auto"/>
            </w:tcBorders>
          </w:tcPr>
          <w:p w14:paraId="5FC19AFF" w14:textId="77777777" w:rsidR="002F2AFD" w:rsidRPr="00030596" w:rsidRDefault="002F2AFD" w:rsidP="004C79C1">
            <w:pPr>
              <w:pStyle w:val="Tabletext1"/>
              <w:spacing w:before="0" w:afterLines="40" w:after="96"/>
            </w:pPr>
          </w:p>
        </w:tc>
        <w:tc>
          <w:tcPr>
            <w:tcW w:w="1418" w:type="dxa"/>
            <w:tcBorders>
              <w:bottom w:val="single" w:sz="4" w:space="0" w:color="auto"/>
            </w:tcBorders>
          </w:tcPr>
          <w:p w14:paraId="21640733" w14:textId="77777777" w:rsidR="002F2AFD" w:rsidRPr="00030596" w:rsidRDefault="002F2AFD" w:rsidP="004C79C1">
            <w:pPr>
              <w:pStyle w:val="Tabletext1"/>
              <w:spacing w:before="0" w:afterLines="40" w:after="96"/>
              <w:jc w:val="center"/>
              <w:rPr>
                <w:b/>
              </w:rPr>
            </w:pPr>
            <w:r w:rsidRPr="00030596">
              <w:rPr>
                <w:b/>
              </w:rPr>
              <w:t>Cost of CMR</w:t>
            </w:r>
          </w:p>
        </w:tc>
        <w:tc>
          <w:tcPr>
            <w:tcW w:w="1417" w:type="dxa"/>
            <w:tcBorders>
              <w:bottom w:val="single" w:sz="4" w:space="0" w:color="auto"/>
            </w:tcBorders>
          </w:tcPr>
          <w:p w14:paraId="1574EBD9" w14:textId="509BBE3E" w:rsidR="002F2AFD" w:rsidRPr="00030596" w:rsidRDefault="002F2AFD" w:rsidP="004C79C1">
            <w:pPr>
              <w:pStyle w:val="Tabletext1"/>
              <w:spacing w:before="0" w:afterLines="40" w:after="96"/>
              <w:jc w:val="center"/>
              <w:rPr>
                <w:b/>
              </w:rPr>
            </w:pPr>
            <w:r w:rsidRPr="00030596">
              <w:rPr>
                <w:b/>
              </w:rPr>
              <w:t>Cost of G</w:t>
            </w:r>
            <w:r w:rsidR="00476C39">
              <w:rPr>
                <w:b/>
              </w:rPr>
              <w:t>H</w:t>
            </w:r>
            <w:r w:rsidRPr="00030596">
              <w:rPr>
                <w:b/>
              </w:rPr>
              <w:t>PS</w:t>
            </w:r>
          </w:p>
        </w:tc>
        <w:tc>
          <w:tcPr>
            <w:tcW w:w="1650" w:type="dxa"/>
            <w:tcBorders>
              <w:bottom w:val="single" w:sz="4" w:space="0" w:color="auto"/>
            </w:tcBorders>
          </w:tcPr>
          <w:p w14:paraId="41889FC6" w14:textId="77777777" w:rsidR="002F2AFD" w:rsidRPr="00030596" w:rsidRDefault="002F2AFD" w:rsidP="004C79C1">
            <w:pPr>
              <w:pStyle w:val="Tabletext1"/>
              <w:spacing w:before="0" w:afterLines="40" w:after="96"/>
              <w:jc w:val="center"/>
              <w:rPr>
                <w:b/>
              </w:rPr>
            </w:pPr>
            <w:r w:rsidRPr="00030596">
              <w:rPr>
                <w:b/>
              </w:rPr>
              <w:t>Incremental cost</w:t>
            </w:r>
          </w:p>
        </w:tc>
      </w:tr>
      <w:tr w:rsidR="002F2AFD" w:rsidRPr="00030596" w14:paraId="714DD07C" w14:textId="77777777" w:rsidTr="00857B30">
        <w:tc>
          <w:tcPr>
            <w:tcW w:w="4531" w:type="dxa"/>
            <w:tcBorders>
              <w:bottom w:val="double" w:sz="4" w:space="0" w:color="auto"/>
            </w:tcBorders>
          </w:tcPr>
          <w:p w14:paraId="3DCE6A8C" w14:textId="31EB9DD5" w:rsidR="002F2AFD" w:rsidRPr="00030596" w:rsidRDefault="002F2AFD" w:rsidP="004C79C1">
            <w:pPr>
              <w:pStyle w:val="Tabletext1"/>
              <w:spacing w:before="0" w:afterLines="40" w:after="96"/>
              <w:rPr>
                <w:b/>
              </w:rPr>
            </w:pPr>
            <w:r w:rsidRPr="00030596">
              <w:rPr>
                <w:b/>
              </w:rPr>
              <w:t>Base</w:t>
            </w:r>
            <w:r w:rsidR="00476C39">
              <w:rPr>
                <w:b/>
              </w:rPr>
              <w:t>-</w:t>
            </w:r>
            <w:r w:rsidRPr="00030596">
              <w:rPr>
                <w:b/>
              </w:rPr>
              <w:t>case</w:t>
            </w:r>
          </w:p>
        </w:tc>
        <w:tc>
          <w:tcPr>
            <w:tcW w:w="1418" w:type="dxa"/>
            <w:tcBorders>
              <w:bottom w:val="double" w:sz="4" w:space="0" w:color="auto"/>
            </w:tcBorders>
            <w:vAlign w:val="bottom"/>
          </w:tcPr>
          <w:p w14:paraId="32DA4F0F" w14:textId="77777777" w:rsidR="002F2AFD" w:rsidRPr="00030596" w:rsidRDefault="002F2AFD" w:rsidP="004C79C1">
            <w:pPr>
              <w:pStyle w:val="Tabletext1"/>
              <w:spacing w:before="0" w:afterLines="40" w:after="96"/>
              <w:jc w:val="right"/>
              <w:rPr>
                <w:b/>
              </w:rPr>
            </w:pPr>
            <w:r w:rsidRPr="00030596">
              <w:rPr>
                <w:b/>
                <w:bCs/>
                <w:color w:val="000000"/>
              </w:rPr>
              <w:t>$1,106.31</w:t>
            </w:r>
          </w:p>
        </w:tc>
        <w:tc>
          <w:tcPr>
            <w:tcW w:w="1417" w:type="dxa"/>
            <w:tcBorders>
              <w:bottom w:val="double" w:sz="4" w:space="0" w:color="auto"/>
            </w:tcBorders>
            <w:vAlign w:val="bottom"/>
          </w:tcPr>
          <w:p w14:paraId="7C17AFE3" w14:textId="77777777" w:rsidR="002F2AFD" w:rsidRPr="00030596" w:rsidRDefault="002F2AFD" w:rsidP="004C79C1">
            <w:pPr>
              <w:pStyle w:val="Tabletext1"/>
              <w:spacing w:before="0" w:afterLines="40" w:after="96"/>
              <w:jc w:val="right"/>
              <w:rPr>
                <w:b/>
              </w:rPr>
            </w:pPr>
            <w:r w:rsidRPr="00030596">
              <w:rPr>
                <w:b/>
                <w:bCs/>
                <w:color w:val="000000"/>
              </w:rPr>
              <w:t>$418.36</w:t>
            </w:r>
          </w:p>
        </w:tc>
        <w:tc>
          <w:tcPr>
            <w:tcW w:w="1650" w:type="dxa"/>
            <w:tcBorders>
              <w:bottom w:val="double" w:sz="4" w:space="0" w:color="auto"/>
            </w:tcBorders>
            <w:vAlign w:val="bottom"/>
          </w:tcPr>
          <w:p w14:paraId="33C39592" w14:textId="77777777" w:rsidR="002F2AFD" w:rsidRPr="00030596" w:rsidRDefault="002F2AFD" w:rsidP="004C79C1">
            <w:pPr>
              <w:pStyle w:val="Tabletext1"/>
              <w:spacing w:before="0" w:afterLines="40" w:after="96"/>
              <w:jc w:val="right"/>
              <w:rPr>
                <w:b/>
              </w:rPr>
            </w:pPr>
            <w:r w:rsidRPr="00030596">
              <w:rPr>
                <w:b/>
                <w:bCs/>
                <w:color w:val="000000"/>
              </w:rPr>
              <w:t>$687.95</w:t>
            </w:r>
          </w:p>
        </w:tc>
      </w:tr>
      <w:tr w:rsidR="002F2AFD" w:rsidRPr="00030596" w14:paraId="0DB8A6EF" w14:textId="77777777" w:rsidTr="00857B30">
        <w:tc>
          <w:tcPr>
            <w:tcW w:w="4531" w:type="dxa"/>
            <w:vAlign w:val="bottom"/>
          </w:tcPr>
          <w:p w14:paraId="51442C11" w14:textId="68355F34" w:rsidR="002F2AFD" w:rsidRPr="00030596" w:rsidRDefault="002F2AFD" w:rsidP="004C79C1">
            <w:pPr>
              <w:pStyle w:val="Tabletext1"/>
              <w:spacing w:before="0" w:afterLines="40" w:after="96"/>
            </w:pPr>
            <w:r w:rsidRPr="00030596">
              <w:rPr>
                <w:color w:val="000000"/>
              </w:rPr>
              <w:t>Assuming no bulk-billing incentive</w:t>
            </w:r>
            <w:r>
              <w:rPr>
                <w:color w:val="000000"/>
              </w:rPr>
              <w:t xml:space="preserve"> </w:t>
            </w:r>
            <w:r w:rsidRPr="00030596">
              <w:rPr>
                <w:color w:val="000000"/>
              </w:rPr>
              <w:t>(</w:t>
            </w:r>
            <w:r w:rsidR="00476C39">
              <w:rPr>
                <w:color w:val="000000"/>
              </w:rPr>
              <w:t>b</w:t>
            </w:r>
            <w:r w:rsidRPr="00030596">
              <w:rPr>
                <w:color w:val="000000"/>
              </w:rPr>
              <w:t>ase</w:t>
            </w:r>
            <w:r w:rsidR="00D1070B">
              <w:rPr>
                <w:color w:val="000000"/>
              </w:rPr>
              <w:t>-</w:t>
            </w:r>
            <w:r w:rsidRPr="00030596">
              <w:rPr>
                <w:color w:val="000000"/>
              </w:rPr>
              <w:t>case: assumes bulk-billing incentive)</w:t>
            </w:r>
          </w:p>
        </w:tc>
        <w:tc>
          <w:tcPr>
            <w:tcW w:w="1418" w:type="dxa"/>
            <w:vAlign w:val="bottom"/>
          </w:tcPr>
          <w:p w14:paraId="3F5B6E4E" w14:textId="77777777" w:rsidR="002F2AFD" w:rsidRPr="00030596" w:rsidRDefault="002F2AFD" w:rsidP="004C79C1">
            <w:pPr>
              <w:pStyle w:val="Tabletext1"/>
              <w:spacing w:before="0" w:afterLines="40" w:after="96"/>
              <w:jc w:val="right"/>
              <w:rPr>
                <w:color w:val="000000"/>
              </w:rPr>
            </w:pPr>
            <w:r w:rsidRPr="00030596">
              <w:rPr>
                <w:color w:val="000000"/>
              </w:rPr>
              <w:t>$1,012.95</w:t>
            </w:r>
          </w:p>
        </w:tc>
        <w:tc>
          <w:tcPr>
            <w:tcW w:w="1417" w:type="dxa"/>
            <w:vAlign w:val="bottom"/>
          </w:tcPr>
          <w:p w14:paraId="31A36FEB" w14:textId="77777777" w:rsidR="002F2AFD" w:rsidRPr="00030596" w:rsidRDefault="002F2AFD" w:rsidP="004C79C1">
            <w:pPr>
              <w:pStyle w:val="Tabletext1"/>
              <w:spacing w:before="0" w:afterLines="40" w:after="96"/>
              <w:jc w:val="right"/>
              <w:rPr>
                <w:color w:val="000000"/>
              </w:rPr>
            </w:pPr>
            <w:r w:rsidRPr="00030596">
              <w:rPr>
                <w:color w:val="000000"/>
              </w:rPr>
              <w:t>$418.36</w:t>
            </w:r>
          </w:p>
        </w:tc>
        <w:tc>
          <w:tcPr>
            <w:tcW w:w="1650" w:type="dxa"/>
            <w:vAlign w:val="bottom"/>
          </w:tcPr>
          <w:p w14:paraId="66094C15" w14:textId="77777777" w:rsidR="002F2AFD" w:rsidRPr="00030596" w:rsidRDefault="002F2AFD" w:rsidP="004C79C1">
            <w:pPr>
              <w:pStyle w:val="Tabletext1"/>
              <w:spacing w:before="0" w:afterLines="40" w:after="96"/>
              <w:jc w:val="right"/>
              <w:rPr>
                <w:color w:val="000000"/>
              </w:rPr>
            </w:pPr>
            <w:r w:rsidRPr="00030596">
              <w:rPr>
                <w:color w:val="000000"/>
              </w:rPr>
              <w:t>$594.59</w:t>
            </w:r>
          </w:p>
        </w:tc>
      </w:tr>
      <w:tr w:rsidR="002F2AFD" w:rsidRPr="00030596" w14:paraId="68AAD390" w14:textId="77777777" w:rsidTr="00857B30">
        <w:tc>
          <w:tcPr>
            <w:tcW w:w="4531" w:type="dxa"/>
          </w:tcPr>
          <w:p w14:paraId="7FE8E87A" w14:textId="5508A28A" w:rsidR="002F2AFD" w:rsidRPr="00030596" w:rsidRDefault="002F2AFD" w:rsidP="004C79C1">
            <w:pPr>
              <w:pStyle w:val="Tabletext1"/>
              <w:spacing w:before="0" w:afterLines="40" w:after="96"/>
            </w:pPr>
            <w:r w:rsidRPr="00030596">
              <w:t>Assuming only specialist referral to GBPS</w:t>
            </w:r>
            <w:r>
              <w:t xml:space="preserve"> </w:t>
            </w:r>
            <w:r w:rsidRPr="00030596">
              <w:t>(</w:t>
            </w:r>
            <w:r w:rsidR="00476C39">
              <w:t>b</w:t>
            </w:r>
            <w:r w:rsidRPr="00030596">
              <w:t>ase</w:t>
            </w:r>
            <w:r w:rsidR="00D1070B">
              <w:t>-</w:t>
            </w:r>
            <w:r w:rsidRPr="00030596">
              <w:t>case: 50% specialist; 50% GP)</w:t>
            </w:r>
          </w:p>
        </w:tc>
        <w:tc>
          <w:tcPr>
            <w:tcW w:w="1418" w:type="dxa"/>
            <w:vAlign w:val="bottom"/>
          </w:tcPr>
          <w:p w14:paraId="252B7F5E" w14:textId="77777777" w:rsidR="002F2AFD" w:rsidRPr="00030596" w:rsidRDefault="002F2AFD" w:rsidP="004C79C1">
            <w:pPr>
              <w:pStyle w:val="Tabletext1"/>
              <w:spacing w:before="0" w:afterLines="40" w:after="96"/>
              <w:jc w:val="right"/>
              <w:rPr>
                <w:color w:val="000000"/>
              </w:rPr>
            </w:pPr>
            <w:r w:rsidRPr="00030596">
              <w:rPr>
                <w:color w:val="000000"/>
              </w:rPr>
              <w:t>$1,106.31</w:t>
            </w:r>
          </w:p>
        </w:tc>
        <w:tc>
          <w:tcPr>
            <w:tcW w:w="1417" w:type="dxa"/>
            <w:vAlign w:val="bottom"/>
          </w:tcPr>
          <w:p w14:paraId="10C1F41F" w14:textId="77777777" w:rsidR="002F2AFD" w:rsidRPr="00030596" w:rsidRDefault="002F2AFD" w:rsidP="004C79C1">
            <w:pPr>
              <w:pStyle w:val="Tabletext1"/>
              <w:spacing w:before="0" w:afterLines="40" w:after="96"/>
              <w:jc w:val="right"/>
              <w:rPr>
                <w:color w:val="000000"/>
              </w:rPr>
            </w:pPr>
            <w:r w:rsidRPr="00030596">
              <w:rPr>
                <w:color w:val="000000"/>
              </w:rPr>
              <w:t>$487.99</w:t>
            </w:r>
          </w:p>
        </w:tc>
        <w:tc>
          <w:tcPr>
            <w:tcW w:w="1650" w:type="dxa"/>
            <w:vAlign w:val="bottom"/>
          </w:tcPr>
          <w:p w14:paraId="7BBEFADC" w14:textId="77777777" w:rsidR="002F2AFD" w:rsidRPr="00030596" w:rsidRDefault="002F2AFD" w:rsidP="004C79C1">
            <w:pPr>
              <w:pStyle w:val="Tabletext1"/>
              <w:spacing w:before="0" w:afterLines="40" w:after="96"/>
              <w:jc w:val="right"/>
              <w:rPr>
                <w:color w:val="000000"/>
              </w:rPr>
            </w:pPr>
            <w:r w:rsidRPr="00030596">
              <w:rPr>
                <w:color w:val="000000"/>
              </w:rPr>
              <w:t>$618.32</w:t>
            </w:r>
          </w:p>
        </w:tc>
      </w:tr>
      <w:tr w:rsidR="002F2AFD" w:rsidRPr="00030596" w14:paraId="5A9E5A5C" w14:textId="77777777" w:rsidTr="00857B30">
        <w:tc>
          <w:tcPr>
            <w:tcW w:w="4531" w:type="dxa"/>
          </w:tcPr>
          <w:p w14:paraId="7C832F13" w14:textId="3CEC017C" w:rsidR="002F2AFD" w:rsidRPr="00030596" w:rsidRDefault="002F2AFD" w:rsidP="004C79C1">
            <w:pPr>
              <w:pStyle w:val="Tabletext1"/>
              <w:spacing w:before="0" w:afterLines="40" w:after="96"/>
            </w:pPr>
            <w:r w:rsidRPr="00030596">
              <w:t>Assuming only GP referral to GBPS</w:t>
            </w:r>
            <w:r>
              <w:t xml:space="preserve"> </w:t>
            </w:r>
            <w:r w:rsidRPr="00030596">
              <w:t>(</w:t>
            </w:r>
            <w:r w:rsidR="00476C39">
              <w:t>b</w:t>
            </w:r>
            <w:r w:rsidRPr="00030596">
              <w:t>ase</w:t>
            </w:r>
            <w:r w:rsidR="00D1070B">
              <w:t>-</w:t>
            </w:r>
            <w:r w:rsidRPr="00030596">
              <w:t>case: 50% specialist; 50% GP)</w:t>
            </w:r>
          </w:p>
        </w:tc>
        <w:tc>
          <w:tcPr>
            <w:tcW w:w="1418" w:type="dxa"/>
            <w:vAlign w:val="bottom"/>
          </w:tcPr>
          <w:p w14:paraId="4FB1DE18" w14:textId="77777777" w:rsidR="002F2AFD" w:rsidRPr="00030596" w:rsidRDefault="002F2AFD" w:rsidP="004C79C1">
            <w:pPr>
              <w:pStyle w:val="Tabletext1"/>
              <w:spacing w:before="0" w:afterLines="40" w:after="96"/>
              <w:jc w:val="right"/>
              <w:rPr>
                <w:color w:val="000000"/>
              </w:rPr>
            </w:pPr>
            <w:r w:rsidRPr="00030596">
              <w:rPr>
                <w:color w:val="000000"/>
              </w:rPr>
              <w:t>$1,106.31</w:t>
            </w:r>
          </w:p>
        </w:tc>
        <w:tc>
          <w:tcPr>
            <w:tcW w:w="1417" w:type="dxa"/>
            <w:vAlign w:val="bottom"/>
          </w:tcPr>
          <w:p w14:paraId="75A211A9" w14:textId="77777777" w:rsidR="002F2AFD" w:rsidRPr="00030596" w:rsidRDefault="002F2AFD" w:rsidP="004C79C1">
            <w:pPr>
              <w:pStyle w:val="Tabletext1"/>
              <w:spacing w:before="0" w:afterLines="40" w:after="96"/>
              <w:jc w:val="right"/>
              <w:rPr>
                <w:color w:val="000000"/>
              </w:rPr>
            </w:pPr>
            <w:r w:rsidRPr="00030596">
              <w:rPr>
                <w:color w:val="000000"/>
              </w:rPr>
              <w:t>$348.72</w:t>
            </w:r>
          </w:p>
        </w:tc>
        <w:tc>
          <w:tcPr>
            <w:tcW w:w="1650" w:type="dxa"/>
            <w:vAlign w:val="bottom"/>
          </w:tcPr>
          <w:p w14:paraId="658C8384" w14:textId="77777777" w:rsidR="002F2AFD" w:rsidRPr="00030596" w:rsidRDefault="002F2AFD" w:rsidP="004C79C1">
            <w:pPr>
              <w:pStyle w:val="Tabletext1"/>
              <w:spacing w:before="0" w:afterLines="40" w:after="96"/>
              <w:jc w:val="right"/>
              <w:rPr>
                <w:color w:val="000000"/>
              </w:rPr>
            </w:pPr>
            <w:r w:rsidRPr="00030596">
              <w:rPr>
                <w:color w:val="000000"/>
              </w:rPr>
              <w:t>$757.58</w:t>
            </w:r>
          </w:p>
        </w:tc>
      </w:tr>
      <w:tr w:rsidR="002F2AFD" w:rsidRPr="00030596" w14:paraId="4B7AB306" w14:textId="77777777" w:rsidTr="00857B30">
        <w:tc>
          <w:tcPr>
            <w:tcW w:w="4531" w:type="dxa"/>
            <w:vAlign w:val="bottom"/>
          </w:tcPr>
          <w:p w14:paraId="07FD5B7C" w14:textId="6EA3AD6C" w:rsidR="002F2AFD" w:rsidRPr="00030596" w:rsidRDefault="002F2AFD" w:rsidP="004C79C1">
            <w:pPr>
              <w:pStyle w:val="Tabletext1"/>
              <w:spacing w:before="0" w:afterLines="40" w:after="96"/>
            </w:pPr>
            <w:r w:rsidRPr="00030596">
              <w:rPr>
                <w:color w:val="000000"/>
              </w:rPr>
              <w:t>CMR patient contribution, $128.30</w:t>
            </w:r>
            <w:r>
              <w:rPr>
                <w:color w:val="000000"/>
              </w:rPr>
              <w:t xml:space="preserve"> </w:t>
            </w:r>
            <w:r w:rsidRPr="00030596">
              <w:rPr>
                <w:color w:val="000000"/>
              </w:rPr>
              <w:t>(</w:t>
            </w:r>
            <w:r w:rsidR="00476C39">
              <w:rPr>
                <w:color w:val="000000"/>
              </w:rPr>
              <w:t>b</w:t>
            </w:r>
            <w:r w:rsidRPr="00030596">
              <w:rPr>
                <w:color w:val="000000"/>
              </w:rPr>
              <w:t>ase</w:t>
            </w:r>
            <w:r w:rsidR="00D1070B">
              <w:rPr>
                <w:color w:val="000000"/>
              </w:rPr>
              <w:t>-</w:t>
            </w:r>
            <w:r w:rsidRPr="00030596">
              <w:rPr>
                <w:color w:val="000000"/>
              </w:rPr>
              <w:t>case: $244.36)</w:t>
            </w:r>
          </w:p>
        </w:tc>
        <w:tc>
          <w:tcPr>
            <w:tcW w:w="1418" w:type="dxa"/>
            <w:vAlign w:val="bottom"/>
          </w:tcPr>
          <w:p w14:paraId="1DAB5248" w14:textId="77777777" w:rsidR="002F2AFD" w:rsidRPr="00030596" w:rsidRDefault="002F2AFD" w:rsidP="004C79C1">
            <w:pPr>
              <w:pStyle w:val="Tabletext1"/>
              <w:spacing w:before="0" w:afterLines="40" w:after="96"/>
              <w:jc w:val="right"/>
              <w:rPr>
                <w:color w:val="000000"/>
              </w:rPr>
            </w:pPr>
            <w:r w:rsidRPr="00030596">
              <w:rPr>
                <w:color w:val="000000"/>
              </w:rPr>
              <w:t>$1,074.71</w:t>
            </w:r>
          </w:p>
        </w:tc>
        <w:tc>
          <w:tcPr>
            <w:tcW w:w="1417" w:type="dxa"/>
            <w:vAlign w:val="bottom"/>
          </w:tcPr>
          <w:p w14:paraId="50804A67" w14:textId="77777777" w:rsidR="002F2AFD" w:rsidRPr="00030596" w:rsidRDefault="002F2AFD" w:rsidP="004C79C1">
            <w:pPr>
              <w:pStyle w:val="Tabletext1"/>
              <w:spacing w:before="0" w:afterLines="40" w:after="96"/>
              <w:jc w:val="right"/>
              <w:rPr>
                <w:color w:val="000000"/>
              </w:rPr>
            </w:pPr>
            <w:r w:rsidRPr="00030596">
              <w:rPr>
                <w:color w:val="000000"/>
              </w:rPr>
              <w:t>$418.36</w:t>
            </w:r>
          </w:p>
        </w:tc>
        <w:tc>
          <w:tcPr>
            <w:tcW w:w="1650" w:type="dxa"/>
            <w:vAlign w:val="bottom"/>
          </w:tcPr>
          <w:p w14:paraId="64B33EBD" w14:textId="77777777" w:rsidR="002F2AFD" w:rsidRPr="00030596" w:rsidRDefault="002F2AFD" w:rsidP="004C79C1">
            <w:pPr>
              <w:pStyle w:val="Tabletext1"/>
              <w:spacing w:before="0" w:afterLines="40" w:after="96"/>
              <w:jc w:val="right"/>
              <w:rPr>
                <w:color w:val="000000"/>
              </w:rPr>
            </w:pPr>
            <w:r w:rsidRPr="00030596">
              <w:rPr>
                <w:color w:val="000000"/>
              </w:rPr>
              <w:t>$656.35</w:t>
            </w:r>
          </w:p>
        </w:tc>
      </w:tr>
      <w:tr w:rsidR="002F2AFD" w:rsidRPr="00030596" w14:paraId="26D509DA" w14:textId="77777777" w:rsidTr="00857B30">
        <w:tc>
          <w:tcPr>
            <w:tcW w:w="4531" w:type="dxa"/>
            <w:vAlign w:val="bottom"/>
          </w:tcPr>
          <w:p w14:paraId="3D32C944" w14:textId="1F3ABF14" w:rsidR="002F2AFD" w:rsidRPr="00030596" w:rsidRDefault="002F2AFD" w:rsidP="004C79C1">
            <w:pPr>
              <w:pStyle w:val="Tabletext1"/>
              <w:spacing w:before="0" w:afterLines="40" w:after="96"/>
            </w:pPr>
            <w:r w:rsidRPr="00030596">
              <w:rPr>
                <w:color w:val="000000"/>
              </w:rPr>
              <w:t>CMR patient contribution, $300</w:t>
            </w:r>
            <w:r w:rsidR="00970FBE">
              <w:rPr>
                <w:color w:val="000000"/>
              </w:rPr>
              <w:t>.00</w:t>
            </w:r>
            <w:r>
              <w:rPr>
                <w:color w:val="000000"/>
              </w:rPr>
              <w:t xml:space="preserve"> </w:t>
            </w:r>
            <w:r w:rsidRPr="00030596">
              <w:rPr>
                <w:color w:val="000000"/>
              </w:rPr>
              <w:t>(</w:t>
            </w:r>
            <w:r w:rsidR="00476C39">
              <w:rPr>
                <w:color w:val="000000"/>
              </w:rPr>
              <w:t>b</w:t>
            </w:r>
            <w:r w:rsidRPr="00030596">
              <w:rPr>
                <w:color w:val="000000"/>
              </w:rPr>
              <w:t>ase</w:t>
            </w:r>
            <w:r w:rsidR="00D1070B">
              <w:rPr>
                <w:color w:val="000000"/>
              </w:rPr>
              <w:t>-</w:t>
            </w:r>
            <w:r w:rsidRPr="00030596">
              <w:rPr>
                <w:color w:val="000000"/>
              </w:rPr>
              <w:t>case: $244.36)</w:t>
            </w:r>
          </w:p>
        </w:tc>
        <w:tc>
          <w:tcPr>
            <w:tcW w:w="1418" w:type="dxa"/>
            <w:vAlign w:val="bottom"/>
          </w:tcPr>
          <w:p w14:paraId="6060189B" w14:textId="77777777" w:rsidR="002F2AFD" w:rsidRPr="00030596" w:rsidRDefault="002F2AFD" w:rsidP="004C79C1">
            <w:pPr>
              <w:pStyle w:val="Tabletext1"/>
              <w:spacing w:before="0" w:afterLines="40" w:after="96"/>
              <w:jc w:val="right"/>
              <w:rPr>
                <w:color w:val="000000"/>
              </w:rPr>
            </w:pPr>
            <w:r w:rsidRPr="00030596">
              <w:rPr>
                <w:color w:val="000000"/>
              </w:rPr>
              <w:t>$1,121.46</w:t>
            </w:r>
          </w:p>
        </w:tc>
        <w:tc>
          <w:tcPr>
            <w:tcW w:w="1417" w:type="dxa"/>
            <w:vAlign w:val="bottom"/>
          </w:tcPr>
          <w:p w14:paraId="619CE985" w14:textId="77777777" w:rsidR="002F2AFD" w:rsidRPr="00030596" w:rsidRDefault="002F2AFD" w:rsidP="004C79C1">
            <w:pPr>
              <w:pStyle w:val="Tabletext1"/>
              <w:spacing w:before="0" w:afterLines="40" w:after="96"/>
              <w:jc w:val="right"/>
              <w:rPr>
                <w:color w:val="000000"/>
              </w:rPr>
            </w:pPr>
            <w:r w:rsidRPr="00030596">
              <w:rPr>
                <w:color w:val="000000"/>
              </w:rPr>
              <w:t>$418.36</w:t>
            </w:r>
          </w:p>
        </w:tc>
        <w:tc>
          <w:tcPr>
            <w:tcW w:w="1650" w:type="dxa"/>
            <w:vAlign w:val="bottom"/>
          </w:tcPr>
          <w:p w14:paraId="5BB76CC8" w14:textId="77777777" w:rsidR="002F2AFD" w:rsidRPr="00030596" w:rsidRDefault="002F2AFD" w:rsidP="004C79C1">
            <w:pPr>
              <w:pStyle w:val="Tabletext1"/>
              <w:spacing w:before="0" w:afterLines="40" w:after="96"/>
              <w:jc w:val="right"/>
              <w:rPr>
                <w:color w:val="000000"/>
              </w:rPr>
            </w:pPr>
            <w:r w:rsidRPr="00030596">
              <w:rPr>
                <w:color w:val="000000"/>
              </w:rPr>
              <w:t>$703.10</w:t>
            </w:r>
          </w:p>
        </w:tc>
      </w:tr>
      <w:tr w:rsidR="002F2AFD" w:rsidRPr="00030596" w14:paraId="57CD7061" w14:textId="77777777" w:rsidTr="00857B30">
        <w:tc>
          <w:tcPr>
            <w:tcW w:w="4531" w:type="dxa"/>
            <w:vAlign w:val="bottom"/>
          </w:tcPr>
          <w:p w14:paraId="55E7B7D3" w14:textId="27773413" w:rsidR="002F2AFD" w:rsidRPr="00030596" w:rsidRDefault="002F2AFD" w:rsidP="004C79C1">
            <w:pPr>
              <w:pStyle w:val="Tabletext1"/>
              <w:spacing w:before="0" w:afterLines="40" w:after="96"/>
            </w:pPr>
            <w:r w:rsidRPr="00030596">
              <w:rPr>
                <w:color w:val="000000"/>
              </w:rPr>
              <w:t xml:space="preserve">Proportion </w:t>
            </w:r>
            <w:r w:rsidR="00970FBE">
              <w:rPr>
                <w:color w:val="000000"/>
              </w:rPr>
              <w:t xml:space="preserve">of </w:t>
            </w:r>
            <w:r w:rsidRPr="00030596">
              <w:rPr>
                <w:color w:val="000000"/>
              </w:rPr>
              <w:t>CMR bulk-billed, 60%</w:t>
            </w:r>
            <w:r>
              <w:rPr>
                <w:color w:val="000000"/>
              </w:rPr>
              <w:t xml:space="preserve"> </w:t>
            </w:r>
            <w:r w:rsidRPr="00030596">
              <w:rPr>
                <w:color w:val="000000"/>
              </w:rPr>
              <w:t>(</w:t>
            </w:r>
            <w:r w:rsidR="00476C39">
              <w:rPr>
                <w:color w:val="000000"/>
              </w:rPr>
              <w:t>b</w:t>
            </w:r>
            <w:r w:rsidRPr="00030596">
              <w:rPr>
                <w:color w:val="000000"/>
              </w:rPr>
              <w:t>ase</w:t>
            </w:r>
            <w:r w:rsidR="00D1070B">
              <w:rPr>
                <w:color w:val="000000"/>
              </w:rPr>
              <w:t>-</w:t>
            </w:r>
            <w:r w:rsidRPr="00030596">
              <w:rPr>
                <w:color w:val="000000"/>
              </w:rPr>
              <w:t>case: 72.8%)</w:t>
            </w:r>
          </w:p>
        </w:tc>
        <w:tc>
          <w:tcPr>
            <w:tcW w:w="1418" w:type="dxa"/>
            <w:vAlign w:val="bottom"/>
          </w:tcPr>
          <w:p w14:paraId="35840C5E" w14:textId="77777777" w:rsidR="002F2AFD" w:rsidRPr="00030596" w:rsidRDefault="002F2AFD" w:rsidP="004C79C1">
            <w:pPr>
              <w:pStyle w:val="Tabletext1"/>
              <w:spacing w:before="0" w:afterLines="40" w:after="96"/>
              <w:jc w:val="right"/>
              <w:rPr>
                <w:color w:val="000000"/>
              </w:rPr>
            </w:pPr>
            <w:r w:rsidRPr="00030596">
              <w:rPr>
                <w:color w:val="000000"/>
              </w:rPr>
              <w:t>$1,121.13</w:t>
            </w:r>
          </w:p>
        </w:tc>
        <w:tc>
          <w:tcPr>
            <w:tcW w:w="1417" w:type="dxa"/>
            <w:vAlign w:val="bottom"/>
          </w:tcPr>
          <w:p w14:paraId="25DB4F83" w14:textId="77777777" w:rsidR="002F2AFD" w:rsidRPr="00030596" w:rsidRDefault="002F2AFD" w:rsidP="004C79C1">
            <w:pPr>
              <w:pStyle w:val="Tabletext1"/>
              <w:spacing w:before="0" w:afterLines="40" w:after="96"/>
              <w:jc w:val="right"/>
              <w:rPr>
                <w:color w:val="000000"/>
              </w:rPr>
            </w:pPr>
            <w:r w:rsidRPr="00030596">
              <w:rPr>
                <w:color w:val="000000"/>
              </w:rPr>
              <w:t>$418.36</w:t>
            </w:r>
          </w:p>
        </w:tc>
        <w:tc>
          <w:tcPr>
            <w:tcW w:w="1650" w:type="dxa"/>
            <w:vAlign w:val="bottom"/>
          </w:tcPr>
          <w:p w14:paraId="69861480" w14:textId="77777777" w:rsidR="002F2AFD" w:rsidRPr="00030596" w:rsidRDefault="002F2AFD" w:rsidP="004C79C1">
            <w:pPr>
              <w:pStyle w:val="Tabletext1"/>
              <w:spacing w:before="0" w:afterLines="40" w:after="96"/>
              <w:jc w:val="right"/>
              <w:rPr>
                <w:color w:val="000000"/>
              </w:rPr>
            </w:pPr>
            <w:r w:rsidRPr="00030596">
              <w:rPr>
                <w:color w:val="000000"/>
              </w:rPr>
              <w:t>$702.77</w:t>
            </w:r>
          </w:p>
        </w:tc>
      </w:tr>
      <w:tr w:rsidR="002F2AFD" w:rsidRPr="00030596" w14:paraId="494E0F54" w14:textId="77777777" w:rsidTr="00857B30">
        <w:tc>
          <w:tcPr>
            <w:tcW w:w="4531" w:type="dxa"/>
            <w:vAlign w:val="bottom"/>
          </w:tcPr>
          <w:p w14:paraId="7F5D1911" w14:textId="632DB3FD" w:rsidR="002F2AFD" w:rsidRPr="00030596" w:rsidRDefault="002F2AFD" w:rsidP="004C79C1">
            <w:pPr>
              <w:pStyle w:val="Tabletext1"/>
              <w:spacing w:before="0" w:afterLines="40" w:after="96"/>
            </w:pPr>
            <w:r w:rsidRPr="00030596">
              <w:rPr>
                <w:color w:val="000000"/>
              </w:rPr>
              <w:t>Proportion</w:t>
            </w:r>
            <w:r w:rsidR="002F59AB">
              <w:rPr>
                <w:color w:val="000000"/>
              </w:rPr>
              <w:t xml:space="preserve"> </w:t>
            </w:r>
            <w:r w:rsidR="00970FBE">
              <w:rPr>
                <w:color w:val="000000"/>
              </w:rPr>
              <w:t>of</w:t>
            </w:r>
            <w:r w:rsidRPr="00030596">
              <w:rPr>
                <w:color w:val="000000"/>
              </w:rPr>
              <w:t xml:space="preserve"> CMR bulk-billed, 80%</w:t>
            </w:r>
            <w:r>
              <w:rPr>
                <w:color w:val="000000"/>
              </w:rPr>
              <w:t xml:space="preserve"> </w:t>
            </w:r>
            <w:r w:rsidRPr="00030596">
              <w:rPr>
                <w:color w:val="000000"/>
              </w:rPr>
              <w:t>(</w:t>
            </w:r>
            <w:r w:rsidR="00476C39">
              <w:rPr>
                <w:color w:val="000000"/>
              </w:rPr>
              <w:t>b</w:t>
            </w:r>
            <w:r w:rsidRPr="00030596">
              <w:rPr>
                <w:color w:val="000000"/>
              </w:rPr>
              <w:t>ase</w:t>
            </w:r>
            <w:r w:rsidR="00D1070B">
              <w:rPr>
                <w:color w:val="000000"/>
              </w:rPr>
              <w:t>-</w:t>
            </w:r>
            <w:r w:rsidRPr="00030596">
              <w:rPr>
                <w:color w:val="000000"/>
              </w:rPr>
              <w:t>case: 72.8%)</w:t>
            </w:r>
          </w:p>
        </w:tc>
        <w:tc>
          <w:tcPr>
            <w:tcW w:w="1418" w:type="dxa"/>
            <w:vAlign w:val="bottom"/>
          </w:tcPr>
          <w:p w14:paraId="3197AD98" w14:textId="77777777" w:rsidR="002F2AFD" w:rsidRPr="00030596" w:rsidRDefault="002F2AFD" w:rsidP="004C79C1">
            <w:pPr>
              <w:pStyle w:val="Tabletext1"/>
              <w:spacing w:before="0" w:afterLines="40" w:after="96"/>
              <w:jc w:val="right"/>
              <w:rPr>
                <w:color w:val="000000"/>
              </w:rPr>
            </w:pPr>
            <w:r w:rsidRPr="00030596">
              <w:rPr>
                <w:color w:val="000000"/>
              </w:rPr>
              <w:t>$1,097.92</w:t>
            </w:r>
          </w:p>
        </w:tc>
        <w:tc>
          <w:tcPr>
            <w:tcW w:w="1417" w:type="dxa"/>
            <w:vAlign w:val="bottom"/>
          </w:tcPr>
          <w:p w14:paraId="22EB62FB" w14:textId="77777777" w:rsidR="002F2AFD" w:rsidRPr="00030596" w:rsidRDefault="002F2AFD" w:rsidP="004C79C1">
            <w:pPr>
              <w:pStyle w:val="Tabletext1"/>
              <w:spacing w:before="0" w:afterLines="40" w:after="96"/>
              <w:jc w:val="right"/>
              <w:rPr>
                <w:color w:val="000000"/>
              </w:rPr>
            </w:pPr>
            <w:r w:rsidRPr="00030596">
              <w:rPr>
                <w:color w:val="000000"/>
              </w:rPr>
              <w:t>$418.36</w:t>
            </w:r>
          </w:p>
        </w:tc>
        <w:tc>
          <w:tcPr>
            <w:tcW w:w="1650" w:type="dxa"/>
            <w:vAlign w:val="bottom"/>
          </w:tcPr>
          <w:p w14:paraId="3B410AF4" w14:textId="77777777" w:rsidR="002F2AFD" w:rsidRPr="00030596" w:rsidRDefault="002F2AFD" w:rsidP="004C79C1">
            <w:pPr>
              <w:pStyle w:val="Tabletext1"/>
              <w:spacing w:before="0" w:afterLines="40" w:after="96"/>
              <w:jc w:val="right"/>
              <w:rPr>
                <w:color w:val="000000"/>
              </w:rPr>
            </w:pPr>
            <w:r w:rsidRPr="00030596">
              <w:rPr>
                <w:color w:val="000000"/>
              </w:rPr>
              <w:t>$679.56</w:t>
            </w:r>
          </w:p>
        </w:tc>
      </w:tr>
    </w:tbl>
    <w:p w14:paraId="52AED771" w14:textId="6B5ECCFF" w:rsidR="002F2AFD" w:rsidRDefault="002F2AFD" w:rsidP="004C79C1">
      <w:pPr>
        <w:pStyle w:val="Tablenotes0"/>
        <w:spacing w:before="0" w:afterLines="40" w:after="96"/>
      </w:pPr>
      <w:r w:rsidRPr="001C1ADB">
        <w:t>CMR</w:t>
      </w:r>
      <w:r w:rsidR="00970FBE">
        <w:t xml:space="preserve"> </w:t>
      </w:r>
      <w:r w:rsidRPr="001C1ADB">
        <w:t>=</w:t>
      </w:r>
      <w:r w:rsidR="00970FBE">
        <w:t xml:space="preserve"> </w:t>
      </w:r>
      <w:r w:rsidRPr="001C1ADB">
        <w:t>cardia</w:t>
      </w:r>
      <w:r>
        <w:t xml:space="preserve">c magnetic resonance </w:t>
      </w:r>
      <w:r w:rsidR="002D3576">
        <w:t>(</w:t>
      </w:r>
      <w:r>
        <w:t>imaging</w:t>
      </w:r>
      <w:r w:rsidR="002D3576">
        <w:t>)</w:t>
      </w:r>
      <w:r>
        <w:t>; GH</w:t>
      </w:r>
      <w:r w:rsidRPr="001C1ADB">
        <w:t>PS</w:t>
      </w:r>
      <w:r w:rsidR="00970FBE">
        <w:t xml:space="preserve"> </w:t>
      </w:r>
      <w:r w:rsidRPr="001C1ADB">
        <w:t>=</w:t>
      </w:r>
      <w:r w:rsidR="00970FBE">
        <w:t xml:space="preserve"> </w:t>
      </w:r>
      <w:r w:rsidRPr="001C1ADB">
        <w:t xml:space="preserve">gated </w:t>
      </w:r>
      <w:r>
        <w:t>heart</w:t>
      </w:r>
      <w:r w:rsidRPr="001C1ADB">
        <w:t xml:space="preserve"> pool scan; GP</w:t>
      </w:r>
      <w:r w:rsidR="00970FBE">
        <w:t xml:space="preserve"> </w:t>
      </w:r>
      <w:r w:rsidRPr="001C1ADB">
        <w:t>=</w:t>
      </w:r>
      <w:r w:rsidR="00970FBE">
        <w:t xml:space="preserve"> </w:t>
      </w:r>
      <w:r w:rsidRPr="001C1ADB">
        <w:t>general practitioner</w:t>
      </w:r>
    </w:p>
    <w:p w14:paraId="492879B5" w14:textId="70C770F4" w:rsidR="002F2AFD" w:rsidRDefault="002F2AFD" w:rsidP="004C79C1">
      <w:pPr>
        <w:pStyle w:val="Caption"/>
        <w:keepNext/>
        <w:spacing w:afterLines="40" w:after="96"/>
      </w:pPr>
      <w:bookmarkStart w:id="980" w:name="_Ref449546426"/>
      <w:bookmarkStart w:id="981" w:name="_Toc450052115"/>
      <w:bookmarkStart w:id="982" w:name="_Toc324410306"/>
      <w:bookmarkStart w:id="983" w:name="_Toc451435429"/>
      <w:r>
        <w:t xml:space="preserve">Table </w:t>
      </w:r>
      <w:fldSimple w:instr=" SEQ Table \* ARABIC ">
        <w:r w:rsidR="00050936">
          <w:rPr>
            <w:noProof/>
          </w:rPr>
          <w:t>102</w:t>
        </w:r>
      </w:fldSimple>
      <w:bookmarkEnd w:id="980"/>
      <w:r w:rsidR="005813A4">
        <w:tab/>
      </w:r>
      <w:r>
        <w:t>Sensitivity analyses for cost comparison of CMR to cEcho</w:t>
      </w:r>
      <w:bookmarkEnd w:id="981"/>
      <w:bookmarkEnd w:id="982"/>
      <w:bookmarkEnd w:id="983"/>
    </w:p>
    <w:tbl>
      <w:tblPr>
        <w:tblStyle w:val="TableGrid"/>
        <w:tblW w:w="0" w:type="auto"/>
        <w:tblLayout w:type="fixed"/>
        <w:tblLook w:val="04A0" w:firstRow="1" w:lastRow="0" w:firstColumn="1" w:lastColumn="0" w:noHBand="0" w:noVBand="1"/>
        <w:tblCaption w:val="Sensitivity analyses for cost comparison of CMR to contrast Echo"/>
      </w:tblPr>
      <w:tblGrid>
        <w:gridCol w:w="4531"/>
        <w:gridCol w:w="1418"/>
        <w:gridCol w:w="1417"/>
        <w:gridCol w:w="1650"/>
      </w:tblGrid>
      <w:tr w:rsidR="002F2AFD" w:rsidRPr="00030596" w14:paraId="3C358D98" w14:textId="77777777" w:rsidTr="00857B30">
        <w:trPr>
          <w:tblHeader/>
        </w:trPr>
        <w:tc>
          <w:tcPr>
            <w:tcW w:w="4531" w:type="dxa"/>
            <w:tcBorders>
              <w:bottom w:val="single" w:sz="4" w:space="0" w:color="auto"/>
            </w:tcBorders>
          </w:tcPr>
          <w:p w14:paraId="30D1F424" w14:textId="77777777" w:rsidR="002F2AFD" w:rsidRPr="00030596" w:rsidRDefault="002F2AFD" w:rsidP="004C79C1">
            <w:pPr>
              <w:pStyle w:val="TableHeading"/>
              <w:spacing w:before="0" w:afterLines="40" w:after="96"/>
            </w:pPr>
          </w:p>
        </w:tc>
        <w:tc>
          <w:tcPr>
            <w:tcW w:w="1418" w:type="dxa"/>
            <w:tcBorders>
              <w:bottom w:val="single" w:sz="4" w:space="0" w:color="auto"/>
            </w:tcBorders>
          </w:tcPr>
          <w:p w14:paraId="018FC553" w14:textId="77777777" w:rsidR="002F2AFD" w:rsidRPr="00030596" w:rsidRDefault="002F2AFD" w:rsidP="004C79C1">
            <w:pPr>
              <w:pStyle w:val="TableHeading"/>
              <w:spacing w:before="0" w:afterLines="40" w:after="96"/>
              <w:jc w:val="center"/>
            </w:pPr>
            <w:r w:rsidRPr="00030596">
              <w:t>Cost of CMR</w:t>
            </w:r>
          </w:p>
        </w:tc>
        <w:tc>
          <w:tcPr>
            <w:tcW w:w="1417" w:type="dxa"/>
            <w:tcBorders>
              <w:bottom w:val="single" w:sz="4" w:space="0" w:color="auto"/>
            </w:tcBorders>
          </w:tcPr>
          <w:p w14:paraId="0391B621" w14:textId="77777777" w:rsidR="002F2AFD" w:rsidRPr="00030596" w:rsidRDefault="002F2AFD" w:rsidP="004C79C1">
            <w:pPr>
              <w:pStyle w:val="TableHeading"/>
              <w:spacing w:before="0" w:afterLines="40" w:after="96"/>
              <w:jc w:val="center"/>
            </w:pPr>
            <w:r w:rsidRPr="00030596">
              <w:t>Cost of cEcho</w:t>
            </w:r>
          </w:p>
        </w:tc>
        <w:tc>
          <w:tcPr>
            <w:tcW w:w="1650" w:type="dxa"/>
            <w:tcBorders>
              <w:bottom w:val="single" w:sz="4" w:space="0" w:color="auto"/>
            </w:tcBorders>
          </w:tcPr>
          <w:p w14:paraId="0804D394" w14:textId="77777777" w:rsidR="002F2AFD" w:rsidRPr="00030596" w:rsidRDefault="002F2AFD" w:rsidP="004C79C1">
            <w:pPr>
              <w:pStyle w:val="TableHeading"/>
              <w:spacing w:before="0" w:afterLines="40" w:after="96"/>
              <w:jc w:val="center"/>
            </w:pPr>
            <w:r w:rsidRPr="00030596">
              <w:t>Incremental cost</w:t>
            </w:r>
          </w:p>
        </w:tc>
      </w:tr>
      <w:tr w:rsidR="002F2AFD" w:rsidRPr="00030596" w14:paraId="54EFDF53" w14:textId="77777777" w:rsidTr="00857B30">
        <w:trPr>
          <w:tblHeader/>
        </w:trPr>
        <w:tc>
          <w:tcPr>
            <w:tcW w:w="4531" w:type="dxa"/>
            <w:tcBorders>
              <w:bottom w:val="double" w:sz="4" w:space="0" w:color="auto"/>
            </w:tcBorders>
          </w:tcPr>
          <w:p w14:paraId="6D85DCF5" w14:textId="38CEA369" w:rsidR="002F2AFD" w:rsidRPr="00030596" w:rsidRDefault="002137F1" w:rsidP="004C79C1">
            <w:pPr>
              <w:pStyle w:val="TableHeading"/>
              <w:spacing w:before="0" w:afterLines="40" w:after="96"/>
            </w:pPr>
            <w:r>
              <w:t>Base-</w:t>
            </w:r>
            <w:r w:rsidR="002F2AFD" w:rsidRPr="00030596">
              <w:t>case</w:t>
            </w:r>
          </w:p>
        </w:tc>
        <w:tc>
          <w:tcPr>
            <w:tcW w:w="1418" w:type="dxa"/>
            <w:tcBorders>
              <w:bottom w:val="double" w:sz="4" w:space="0" w:color="auto"/>
            </w:tcBorders>
            <w:vAlign w:val="bottom"/>
          </w:tcPr>
          <w:p w14:paraId="437AA621" w14:textId="77777777" w:rsidR="002F2AFD" w:rsidRPr="00030596" w:rsidRDefault="002F2AFD" w:rsidP="004C79C1">
            <w:pPr>
              <w:pStyle w:val="TableHeading"/>
              <w:spacing w:before="0" w:afterLines="40" w:after="96"/>
              <w:jc w:val="right"/>
            </w:pPr>
            <w:r w:rsidRPr="00030596">
              <w:rPr>
                <w:bCs/>
                <w:color w:val="000000"/>
              </w:rPr>
              <w:t>$1,106.31</w:t>
            </w:r>
          </w:p>
        </w:tc>
        <w:tc>
          <w:tcPr>
            <w:tcW w:w="1417" w:type="dxa"/>
            <w:tcBorders>
              <w:bottom w:val="double" w:sz="4" w:space="0" w:color="auto"/>
            </w:tcBorders>
            <w:vAlign w:val="bottom"/>
          </w:tcPr>
          <w:p w14:paraId="53441508" w14:textId="77777777" w:rsidR="002F2AFD" w:rsidRPr="00030596" w:rsidRDefault="002F2AFD" w:rsidP="004C79C1">
            <w:pPr>
              <w:pStyle w:val="TableHeading"/>
              <w:spacing w:before="0" w:afterLines="40" w:after="96"/>
              <w:jc w:val="right"/>
              <w:rPr>
                <w:bCs/>
                <w:color w:val="000000"/>
              </w:rPr>
            </w:pPr>
            <w:r w:rsidRPr="00030596">
              <w:rPr>
                <w:bCs/>
                <w:color w:val="000000"/>
              </w:rPr>
              <w:t>$146.41</w:t>
            </w:r>
          </w:p>
        </w:tc>
        <w:tc>
          <w:tcPr>
            <w:tcW w:w="1650" w:type="dxa"/>
            <w:tcBorders>
              <w:bottom w:val="double" w:sz="4" w:space="0" w:color="auto"/>
            </w:tcBorders>
            <w:vAlign w:val="bottom"/>
          </w:tcPr>
          <w:p w14:paraId="75E7B3F6" w14:textId="77777777" w:rsidR="002F2AFD" w:rsidRPr="00030596" w:rsidRDefault="002F2AFD" w:rsidP="004C79C1">
            <w:pPr>
              <w:pStyle w:val="TableHeading"/>
              <w:spacing w:before="0" w:afterLines="40" w:after="96"/>
              <w:jc w:val="right"/>
              <w:rPr>
                <w:bCs/>
                <w:color w:val="000000"/>
              </w:rPr>
            </w:pPr>
            <w:r w:rsidRPr="00030596">
              <w:rPr>
                <w:bCs/>
                <w:color w:val="000000"/>
              </w:rPr>
              <w:t>$959.90</w:t>
            </w:r>
          </w:p>
        </w:tc>
      </w:tr>
      <w:tr w:rsidR="002F2AFD" w:rsidRPr="00030596" w14:paraId="53345416" w14:textId="77777777" w:rsidTr="00857B30">
        <w:tc>
          <w:tcPr>
            <w:tcW w:w="4531" w:type="dxa"/>
            <w:vAlign w:val="bottom"/>
          </w:tcPr>
          <w:p w14:paraId="11574FD8" w14:textId="0938AB79" w:rsidR="002F2AFD" w:rsidRPr="00030596" w:rsidRDefault="002F2AFD" w:rsidP="004C79C1">
            <w:pPr>
              <w:pStyle w:val="TableText0"/>
              <w:spacing w:before="0" w:afterLines="40" w:after="96"/>
              <w:rPr>
                <w:color w:val="000000"/>
              </w:rPr>
            </w:pPr>
            <w:r w:rsidRPr="00030596">
              <w:rPr>
                <w:color w:val="000000"/>
              </w:rPr>
              <w:t>Assuming separate service for cE</w:t>
            </w:r>
            <w:r w:rsidR="00904ADB" w:rsidRPr="00030596">
              <w:rPr>
                <w:color w:val="000000"/>
              </w:rPr>
              <w:t>cho</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no separate service for cEcho)</w:t>
            </w:r>
          </w:p>
        </w:tc>
        <w:tc>
          <w:tcPr>
            <w:tcW w:w="1418" w:type="dxa"/>
            <w:vAlign w:val="bottom"/>
          </w:tcPr>
          <w:p w14:paraId="5D9EB908" w14:textId="77777777" w:rsidR="002F2AFD" w:rsidRPr="00030596" w:rsidRDefault="002F2AFD" w:rsidP="004C79C1">
            <w:pPr>
              <w:pStyle w:val="TableText0"/>
              <w:spacing w:before="0" w:afterLines="40" w:after="96"/>
              <w:jc w:val="right"/>
            </w:pPr>
            <w:r w:rsidRPr="00030596">
              <w:rPr>
                <w:color w:val="000000"/>
              </w:rPr>
              <w:t>$1,106.31</w:t>
            </w:r>
          </w:p>
        </w:tc>
        <w:tc>
          <w:tcPr>
            <w:tcW w:w="1417" w:type="dxa"/>
            <w:vAlign w:val="bottom"/>
          </w:tcPr>
          <w:p w14:paraId="2D2D3E26" w14:textId="77777777" w:rsidR="002F2AFD" w:rsidRPr="00030596" w:rsidRDefault="002F2AFD" w:rsidP="004C79C1">
            <w:pPr>
              <w:pStyle w:val="TableText0"/>
              <w:spacing w:before="0" w:afterLines="40" w:after="96"/>
              <w:jc w:val="right"/>
              <w:rPr>
                <w:color w:val="000000"/>
              </w:rPr>
            </w:pPr>
            <w:r w:rsidRPr="00030596">
              <w:rPr>
                <w:color w:val="000000"/>
              </w:rPr>
              <w:t>$498.95</w:t>
            </w:r>
          </w:p>
        </w:tc>
        <w:tc>
          <w:tcPr>
            <w:tcW w:w="1650" w:type="dxa"/>
            <w:vAlign w:val="bottom"/>
          </w:tcPr>
          <w:p w14:paraId="3BB61444" w14:textId="77777777" w:rsidR="002F2AFD" w:rsidRPr="00030596" w:rsidRDefault="002F2AFD" w:rsidP="004C79C1">
            <w:pPr>
              <w:pStyle w:val="TableText0"/>
              <w:spacing w:before="0" w:afterLines="40" w:after="96"/>
              <w:jc w:val="right"/>
              <w:rPr>
                <w:color w:val="000000"/>
              </w:rPr>
            </w:pPr>
            <w:r w:rsidRPr="00030596">
              <w:rPr>
                <w:color w:val="000000"/>
              </w:rPr>
              <w:t>$607.36</w:t>
            </w:r>
          </w:p>
        </w:tc>
      </w:tr>
      <w:tr w:rsidR="002F2AFD" w:rsidRPr="00030596" w14:paraId="6985D681" w14:textId="77777777" w:rsidTr="00857B30">
        <w:tc>
          <w:tcPr>
            <w:tcW w:w="4531" w:type="dxa"/>
            <w:vAlign w:val="bottom"/>
          </w:tcPr>
          <w:p w14:paraId="198AB29A" w14:textId="026B1AAE" w:rsidR="002F2AFD" w:rsidRPr="00030596" w:rsidRDefault="002F2AFD" w:rsidP="004C79C1">
            <w:pPr>
              <w:pStyle w:val="TableText0"/>
              <w:spacing w:before="0" w:afterLines="40" w:after="96"/>
              <w:rPr>
                <w:color w:val="000000"/>
              </w:rPr>
            </w:pPr>
            <w:r w:rsidRPr="00030596">
              <w:rPr>
                <w:color w:val="000000"/>
              </w:rPr>
              <w:t>Assuming no CMR bulk-billing incentive</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assumes bulk-billing incentive)</w:t>
            </w:r>
          </w:p>
        </w:tc>
        <w:tc>
          <w:tcPr>
            <w:tcW w:w="1418" w:type="dxa"/>
            <w:vAlign w:val="bottom"/>
          </w:tcPr>
          <w:p w14:paraId="78F272EB" w14:textId="77777777" w:rsidR="002F2AFD" w:rsidRPr="00030596" w:rsidRDefault="002F2AFD" w:rsidP="004C79C1">
            <w:pPr>
              <w:pStyle w:val="TableText0"/>
              <w:spacing w:before="0" w:afterLines="40" w:after="96"/>
              <w:jc w:val="right"/>
              <w:rPr>
                <w:color w:val="000000"/>
              </w:rPr>
            </w:pPr>
            <w:r w:rsidRPr="00030596">
              <w:rPr>
                <w:color w:val="000000"/>
              </w:rPr>
              <w:t>$1,012.95</w:t>
            </w:r>
          </w:p>
        </w:tc>
        <w:tc>
          <w:tcPr>
            <w:tcW w:w="1417" w:type="dxa"/>
            <w:vAlign w:val="bottom"/>
          </w:tcPr>
          <w:p w14:paraId="082F8B53" w14:textId="77777777" w:rsidR="002F2AFD" w:rsidRPr="00030596" w:rsidRDefault="002F2AFD" w:rsidP="004C79C1">
            <w:pPr>
              <w:pStyle w:val="TableText0"/>
              <w:spacing w:before="0" w:afterLines="40" w:after="96"/>
              <w:jc w:val="right"/>
              <w:rPr>
                <w:color w:val="000000"/>
              </w:rPr>
            </w:pPr>
            <w:r w:rsidRPr="00030596">
              <w:rPr>
                <w:color w:val="000000"/>
              </w:rPr>
              <w:t>$146.41</w:t>
            </w:r>
          </w:p>
        </w:tc>
        <w:tc>
          <w:tcPr>
            <w:tcW w:w="1650" w:type="dxa"/>
            <w:vAlign w:val="bottom"/>
          </w:tcPr>
          <w:p w14:paraId="23009CA3" w14:textId="77777777" w:rsidR="002F2AFD" w:rsidRPr="00030596" w:rsidRDefault="002F2AFD" w:rsidP="004C79C1">
            <w:pPr>
              <w:pStyle w:val="TableText0"/>
              <w:spacing w:before="0" w:afterLines="40" w:after="96"/>
              <w:jc w:val="right"/>
              <w:rPr>
                <w:color w:val="000000"/>
              </w:rPr>
            </w:pPr>
            <w:r w:rsidRPr="00030596">
              <w:rPr>
                <w:color w:val="000000"/>
              </w:rPr>
              <w:t>$866.54</w:t>
            </w:r>
          </w:p>
        </w:tc>
      </w:tr>
      <w:tr w:rsidR="002F2AFD" w:rsidRPr="00030596" w14:paraId="6E2EAD9C" w14:textId="77777777" w:rsidTr="00857B30">
        <w:tc>
          <w:tcPr>
            <w:tcW w:w="4531" w:type="dxa"/>
            <w:vAlign w:val="bottom"/>
          </w:tcPr>
          <w:p w14:paraId="4E830308" w14:textId="4ED4D739" w:rsidR="002F2AFD" w:rsidRPr="00030596" w:rsidRDefault="002F2AFD" w:rsidP="004C79C1">
            <w:pPr>
              <w:pStyle w:val="TableText0"/>
              <w:spacing w:before="0" w:afterLines="40" w:after="96"/>
            </w:pPr>
            <w:r w:rsidRPr="00030596">
              <w:rPr>
                <w:color w:val="000000"/>
              </w:rPr>
              <w:t xml:space="preserve">Proportion </w:t>
            </w:r>
            <w:r w:rsidR="00E25C23">
              <w:rPr>
                <w:color w:val="000000"/>
              </w:rPr>
              <w:t xml:space="preserve">of </w:t>
            </w:r>
            <w:r w:rsidRPr="00030596">
              <w:rPr>
                <w:color w:val="000000"/>
              </w:rPr>
              <w:t>cEchos remain</w:t>
            </w:r>
            <w:r w:rsidR="00E25C23">
              <w:rPr>
                <w:color w:val="000000"/>
              </w:rPr>
              <w:t>ing</w:t>
            </w:r>
            <w:r w:rsidRPr="00030596">
              <w:rPr>
                <w:color w:val="000000"/>
              </w:rPr>
              <w:t xml:space="preserve"> unresolved</w:t>
            </w:r>
            <w:r w:rsidR="00E25C23">
              <w:rPr>
                <w:color w:val="000000"/>
              </w:rPr>
              <w:t>,</w:t>
            </w:r>
            <w:r w:rsidRPr="00030596">
              <w:rPr>
                <w:color w:val="000000"/>
              </w:rPr>
              <w:t xml:space="preserve"> 15%</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3.6%)</w:t>
            </w:r>
          </w:p>
        </w:tc>
        <w:tc>
          <w:tcPr>
            <w:tcW w:w="1418" w:type="dxa"/>
            <w:vAlign w:val="bottom"/>
          </w:tcPr>
          <w:p w14:paraId="13182087" w14:textId="77777777" w:rsidR="002F2AFD" w:rsidRPr="00030596" w:rsidRDefault="002F2AFD" w:rsidP="004C79C1">
            <w:pPr>
              <w:pStyle w:val="TableText0"/>
              <w:spacing w:before="0" w:afterLines="40" w:after="96"/>
              <w:jc w:val="right"/>
              <w:rPr>
                <w:color w:val="000000"/>
              </w:rPr>
            </w:pPr>
            <w:r w:rsidRPr="00030596">
              <w:rPr>
                <w:color w:val="000000"/>
              </w:rPr>
              <w:t>$1,106.31</w:t>
            </w:r>
          </w:p>
        </w:tc>
        <w:tc>
          <w:tcPr>
            <w:tcW w:w="1417" w:type="dxa"/>
            <w:vAlign w:val="bottom"/>
          </w:tcPr>
          <w:p w14:paraId="1FA48D9F" w14:textId="77777777" w:rsidR="002F2AFD" w:rsidRPr="00030596" w:rsidRDefault="002F2AFD" w:rsidP="004C79C1">
            <w:pPr>
              <w:pStyle w:val="TableText0"/>
              <w:spacing w:before="0" w:afterLines="40" w:after="96"/>
              <w:jc w:val="right"/>
              <w:rPr>
                <w:color w:val="000000"/>
              </w:rPr>
            </w:pPr>
            <w:r w:rsidRPr="00030596">
              <w:rPr>
                <w:color w:val="000000"/>
              </w:rPr>
              <w:t>$194.06</w:t>
            </w:r>
          </w:p>
        </w:tc>
        <w:tc>
          <w:tcPr>
            <w:tcW w:w="1650" w:type="dxa"/>
            <w:vAlign w:val="bottom"/>
          </w:tcPr>
          <w:p w14:paraId="06D9D78B" w14:textId="77777777" w:rsidR="002F2AFD" w:rsidRPr="00030596" w:rsidRDefault="002F2AFD" w:rsidP="004C79C1">
            <w:pPr>
              <w:pStyle w:val="TableText0"/>
              <w:spacing w:before="0" w:afterLines="40" w:after="96"/>
              <w:jc w:val="right"/>
              <w:rPr>
                <w:color w:val="000000"/>
              </w:rPr>
            </w:pPr>
            <w:r w:rsidRPr="00030596">
              <w:rPr>
                <w:color w:val="000000"/>
              </w:rPr>
              <w:t>$912.25</w:t>
            </w:r>
          </w:p>
        </w:tc>
      </w:tr>
      <w:tr w:rsidR="002F2AFD" w:rsidRPr="00030596" w14:paraId="452ECE3D" w14:textId="77777777" w:rsidTr="00857B30">
        <w:tc>
          <w:tcPr>
            <w:tcW w:w="4531" w:type="dxa"/>
            <w:vAlign w:val="bottom"/>
          </w:tcPr>
          <w:p w14:paraId="0FC729C5" w14:textId="00485BBC" w:rsidR="002F2AFD" w:rsidRPr="00030596" w:rsidRDefault="002F2AFD" w:rsidP="004C79C1">
            <w:pPr>
              <w:pStyle w:val="TableText0"/>
              <w:spacing w:before="0" w:afterLines="40" w:after="96"/>
            </w:pPr>
            <w:r w:rsidRPr="00030596">
              <w:rPr>
                <w:color w:val="000000"/>
              </w:rPr>
              <w:t xml:space="preserve">No extra time required for </w:t>
            </w:r>
            <w:r w:rsidR="00E25C23">
              <w:rPr>
                <w:color w:val="000000"/>
              </w:rPr>
              <w:t>c</w:t>
            </w:r>
            <w:r w:rsidRPr="00030596">
              <w:rPr>
                <w:color w:val="000000"/>
              </w:rPr>
              <w:t>E</w:t>
            </w:r>
            <w:r w:rsidR="00E25C23" w:rsidRPr="00030596">
              <w:rPr>
                <w:color w:val="000000"/>
              </w:rPr>
              <w:t>cho</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15% extra time)</w:t>
            </w:r>
          </w:p>
        </w:tc>
        <w:tc>
          <w:tcPr>
            <w:tcW w:w="1418" w:type="dxa"/>
            <w:vAlign w:val="bottom"/>
          </w:tcPr>
          <w:p w14:paraId="669A13DA" w14:textId="77777777" w:rsidR="002F2AFD" w:rsidRPr="00030596" w:rsidRDefault="002F2AFD" w:rsidP="004C79C1">
            <w:pPr>
              <w:pStyle w:val="TableText0"/>
              <w:spacing w:before="0" w:afterLines="40" w:after="96"/>
              <w:jc w:val="right"/>
              <w:rPr>
                <w:color w:val="000000"/>
              </w:rPr>
            </w:pPr>
            <w:r w:rsidRPr="00030596">
              <w:rPr>
                <w:color w:val="000000"/>
              </w:rPr>
              <w:t>$1,106.31</w:t>
            </w:r>
          </w:p>
        </w:tc>
        <w:tc>
          <w:tcPr>
            <w:tcW w:w="1417" w:type="dxa"/>
            <w:vAlign w:val="bottom"/>
          </w:tcPr>
          <w:p w14:paraId="3FF86F42" w14:textId="77777777" w:rsidR="002F2AFD" w:rsidRPr="00030596" w:rsidRDefault="002F2AFD" w:rsidP="004C79C1">
            <w:pPr>
              <w:pStyle w:val="TableText0"/>
              <w:spacing w:before="0" w:afterLines="40" w:after="96"/>
              <w:jc w:val="right"/>
              <w:rPr>
                <w:color w:val="000000"/>
              </w:rPr>
            </w:pPr>
            <w:r w:rsidRPr="00030596">
              <w:rPr>
                <w:color w:val="000000"/>
              </w:rPr>
              <w:t>$110.43</w:t>
            </w:r>
          </w:p>
        </w:tc>
        <w:tc>
          <w:tcPr>
            <w:tcW w:w="1650" w:type="dxa"/>
            <w:vAlign w:val="bottom"/>
          </w:tcPr>
          <w:p w14:paraId="38D10162" w14:textId="77777777" w:rsidR="002F2AFD" w:rsidRPr="00030596" w:rsidRDefault="002F2AFD" w:rsidP="004C79C1">
            <w:pPr>
              <w:pStyle w:val="TableText0"/>
              <w:spacing w:before="0" w:afterLines="40" w:after="96"/>
              <w:jc w:val="right"/>
              <w:rPr>
                <w:color w:val="000000"/>
              </w:rPr>
            </w:pPr>
            <w:r w:rsidRPr="00030596">
              <w:rPr>
                <w:color w:val="000000"/>
              </w:rPr>
              <w:t>$995.88</w:t>
            </w:r>
          </w:p>
        </w:tc>
      </w:tr>
      <w:tr w:rsidR="002F2AFD" w:rsidRPr="00030596" w14:paraId="53C9DCD6" w14:textId="77777777" w:rsidTr="00857B30">
        <w:tc>
          <w:tcPr>
            <w:tcW w:w="4531" w:type="dxa"/>
            <w:vAlign w:val="bottom"/>
          </w:tcPr>
          <w:p w14:paraId="2FAAD87F" w14:textId="7350B4C0" w:rsidR="002F2AFD" w:rsidRPr="00030596" w:rsidRDefault="002F2AFD" w:rsidP="004C79C1">
            <w:pPr>
              <w:pStyle w:val="TableText0"/>
              <w:spacing w:before="0" w:afterLines="40" w:after="96"/>
            </w:pPr>
            <w:r w:rsidRPr="00030596">
              <w:rPr>
                <w:color w:val="000000"/>
              </w:rPr>
              <w:t xml:space="preserve">Double the extra time required for </w:t>
            </w:r>
            <w:r w:rsidR="00E25C23">
              <w:rPr>
                <w:color w:val="000000"/>
              </w:rPr>
              <w:t>c</w:t>
            </w:r>
            <w:r w:rsidRPr="00030596">
              <w:rPr>
                <w:color w:val="000000"/>
              </w:rPr>
              <w:t>E</w:t>
            </w:r>
            <w:r w:rsidR="00E25C23" w:rsidRPr="00030596">
              <w:rPr>
                <w:color w:val="000000"/>
              </w:rPr>
              <w:t xml:space="preserve">cho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15% extra time)</w:t>
            </w:r>
          </w:p>
        </w:tc>
        <w:tc>
          <w:tcPr>
            <w:tcW w:w="1418" w:type="dxa"/>
            <w:vAlign w:val="bottom"/>
          </w:tcPr>
          <w:p w14:paraId="48404DE9" w14:textId="77777777" w:rsidR="002F2AFD" w:rsidRPr="00030596" w:rsidRDefault="002F2AFD" w:rsidP="004C79C1">
            <w:pPr>
              <w:pStyle w:val="TableText0"/>
              <w:spacing w:before="0" w:afterLines="40" w:after="96"/>
              <w:jc w:val="right"/>
              <w:rPr>
                <w:color w:val="000000"/>
              </w:rPr>
            </w:pPr>
            <w:r w:rsidRPr="00030596">
              <w:rPr>
                <w:color w:val="000000"/>
              </w:rPr>
              <w:t>$1,106.31</w:t>
            </w:r>
          </w:p>
        </w:tc>
        <w:tc>
          <w:tcPr>
            <w:tcW w:w="1417" w:type="dxa"/>
            <w:vAlign w:val="bottom"/>
          </w:tcPr>
          <w:p w14:paraId="65F9D250" w14:textId="77777777" w:rsidR="002F2AFD" w:rsidRPr="00030596" w:rsidRDefault="002F2AFD" w:rsidP="004C79C1">
            <w:pPr>
              <w:pStyle w:val="TableText0"/>
              <w:spacing w:before="0" w:afterLines="40" w:after="96"/>
              <w:jc w:val="right"/>
              <w:rPr>
                <w:color w:val="000000"/>
              </w:rPr>
            </w:pPr>
            <w:r w:rsidRPr="00030596">
              <w:rPr>
                <w:color w:val="000000"/>
              </w:rPr>
              <w:t>$182.39</w:t>
            </w:r>
          </w:p>
        </w:tc>
        <w:tc>
          <w:tcPr>
            <w:tcW w:w="1650" w:type="dxa"/>
            <w:vAlign w:val="bottom"/>
          </w:tcPr>
          <w:p w14:paraId="3C062BC4" w14:textId="77777777" w:rsidR="002F2AFD" w:rsidRPr="00030596" w:rsidRDefault="002F2AFD" w:rsidP="004C79C1">
            <w:pPr>
              <w:pStyle w:val="TableText0"/>
              <w:spacing w:before="0" w:afterLines="40" w:after="96"/>
              <w:jc w:val="right"/>
              <w:rPr>
                <w:color w:val="000000"/>
              </w:rPr>
            </w:pPr>
            <w:r w:rsidRPr="00030596">
              <w:rPr>
                <w:color w:val="000000"/>
              </w:rPr>
              <w:t>$923.92</w:t>
            </w:r>
          </w:p>
        </w:tc>
      </w:tr>
      <w:tr w:rsidR="002F2AFD" w:rsidRPr="00030596" w14:paraId="695E3D7F" w14:textId="77777777" w:rsidTr="00857B30">
        <w:tc>
          <w:tcPr>
            <w:tcW w:w="4531" w:type="dxa"/>
            <w:vAlign w:val="bottom"/>
          </w:tcPr>
          <w:p w14:paraId="0229E765" w14:textId="0D900560" w:rsidR="002F2AFD" w:rsidRPr="00030596" w:rsidRDefault="002F2AFD" w:rsidP="004C79C1">
            <w:pPr>
              <w:pStyle w:val="TableText0"/>
              <w:spacing w:before="0" w:afterLines="40" w:after="96"/>
            </w:pPr>
            <w:r w:rsidRPr="00030596">
              <w:rPr>
                <w:color w:val="000000"/>
              </w:rPr>
              <w:t>Cost of contrast</w:t>
            </w:r>
            <w:r w:rsidR="00E25C23">
              <w:rPr>
                <w:color w:val="000000"/>
              </w:rPr>
              <w:t>,</w:t>
            </w:r>
            <w:r w:rsidRPr="00030596">
              <w:rPr>
                <w:color w:val="000000"/>
              </w:rPr>
              <w:t xml:space="preserve"> $60</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$90)</w:t>
            </w:r>
          </w:p>
        </w:tc>
        <w:tc>
          <w:tcPr>
            <w:tcW w:w="1418" w:type="dxa"/>
            <w:vAlign w:val="bottom"/>
          </w:tcPr>
          <w:p w14:paraId="1C9EC584" w14:textId="77777777" w:rsidR="002F2AFD" w:rsidRPr="00030596" w:rsidRDefault="002F2AFD" w:rsidP="004C79C1">
            <w:pPr>
              <w:pStyle w:val="TableText0"/>
              <w:spacing w:before="0" w:afterLines="40" w:after="96"/>
              <w:jc w:val="right"/>
              <w:rPr>
                <w:color w:val="000000"/>
              </w:rPr>
            </w:pPr>
            <w:r w:rsidRPr="00030596">
              <w:rPr>
                <w:color w:val="000000"/>
              </w:rPr>
              <w:t>$1,106.31</w:t>
            </w:r>
          </w:p>
        </w:tc>
        <w:tc>
          <w:tcPr>
            <w:tcW w:w="1417" w:type="dxa"/>
            <w:vAlign w:val="bottom"/>
          </w:tcPr>
          <w:p w14:paraId="120C18CC" w14:textId="77777777" w:rsidR="002F2AFD" w:rsidRPr="00030596" w:rsidRDefault="002F2AFD" w:rsidP="004C79C1">
            <w:pPr>
              <w:pStyle w:val="TableText0"/>
              <w:spacing w:before="0" w:afterLines="40" w:after="96"/>
              <w:jc w:val="right"/>
              <w:rPr>
                <w:color w:val="000000"/>
              </w:rPr>
            </w:pPr>
            <w:r w:rsidRPr="00030596">
              <w:rPr>
                <w:color w:val="000000"/>
              </w:rPr>
              <w:t>$116.41</w:t>
            </w:r>
          </w:p>
        </w:tc>
        <w:tc>
          <w:tcPr>
            <w:tcW w:w="1650" w:type="dxa"/>
            <w:vAlign w:val="bottom"/>
          </w:tcPr>
          <w:p w14:paraId="75200B4B" w14:textId="77777777" w:rsidR="002F2AFD" w:rsidRPr="00030596" w:rsidRDefault="002F2AFD" w:rsidP="004C79C1">
            <w:pPr>
              <w:pStyle w:val="TableText0"/>
              <w:spacing w:before="0" w:afterLines="40" w:after="96"/>
              <w:jc w:val="right"/>
              <w:rPr>
                <w:color w:val="000000"/>
              </w:rPr>
            </w:pPr>
            <w:r w:rsidRPr="00030596">
              <w:rPr>
                <w:color w:val="000000"/>
              </w:rPr>
              <w:t>$989.90</w:t>
            </w:r>
          </w:p>
        </w:tc>
      </w:tr>
      <w:tr w:rsidR="002F2AFD" w:rsidRPr="00030596" w14:paraId="6360DF87" w14:textId="77777777" w:rsidTr="00857B30">
        <w:tc>
          <w:tcPr>
            <w:tcW w:w="4531" w:type="dxa"/>
            <w:vAlign w:val="bottom"/>
          </w:tcPr>
          <w:p w14:paraId="5F6A17B6" w14:textId="1E6743E8" w:rsidR="002F2AFD" w:rsidRPr="00030596" w:rsidRDefault="002F2AFD" w:rsidP="004C79C1">
            <w:pPr>
              <w:pStyle w:val="TableText0"/>
              <w:spacing w:before="0" w:afterLines="40" w:after="96"/>
            </w:pPr>
            <w:r w:rsidRPr="00030596">
              <w:rPr>
                <w:color w:val="000000"/>
              </w:rPr>
              <w:t>CMR patient contribution, $128.30</w:t>
            </w:r>
            <w:r>
              <w:rPr>
                <w:color w:val="000000"/>
              </w:rPr>
              <w:t xml:space="preserve"> </w:t>
            </w:r>
            <w:r w:rsidRPr="00030596">
              <w:rPr>
                <w:color w:val="000000"/>
              </w:rPr>
              <w:t>(</w:t>
            </w:r>
            <w:r w:rsidR="004202C6">
              <w:rPr>
                <w:color w:val="000000"/>
              </w:rPr>
              <w:t>b</w:t>
            </w:r>
            <w:r w:rsidRPr="00030596">
              <w:rPr>
                <w:color w:val="000000"/>
              </w:rPr>
              <w:t>ase</w:t>
            </w:r>
            <w:r w:rsidR="004202C6">
              <w:rPr>
                <w:color w:val="000000"/>
              </w:rPr>
              <w:t>-</w:t>
            </w:r>
            <w:r w:rsidRPr="00030596">
              <w:rPr>
                <w:color w:val="000000"/>
              </w:rPr>
              <w:t>case: $244.36)</w:t>
            </w:r>
          </w:p>
        </w:tc>
        <w:tc>
          <w:tcPr>
            <w:tcW w:w="1418" w:type="dxa"/>
            <w:vAlign w:val="bottom"/>
          </w:tcPr>
          <w:p w14:paraId="041C9483" w14:textId="77777777" w:rsidR="002F2AFD" w:rsidRPr="00030596" w:rsidRDefault="002F2AFD" w:rsidP="004C79C1">
            <w:pPr>
              <w:pStyle w:val="TableText0"/>
              <w:spacing w:before="0" w:afterLines="40" w:after="96"/>
              <w:jc w:val="right"/>
              <w:rPr>
                <w:color w:val="000000"/>
              </w:rPr>
            </w:pPr>
            <w:r w:rsidRPr="00030596">
              <w:rPr>
                <w:color w:val="000000"/>
              </w:rPr>
              <w:t>$1,074.71</w:t>
            </w:r>
          </w:p>
        </w:tc>
        <w:tc>
          <w:tcPr>
            <w:tcW w:w="1417" w:type="dxa"/>
            <w:vAlign w:val="bottom"/>
          </w:tcPr>
          <w:p w14:paraId="577A0E93" w14:textId="77777777" w:rsidR="002F2AFD" w:rsidRPr="00030596" w:rsidRDefault="002F2AFD" w:rsidP="004C79C1">
            <w:pPr>
              <w:pStyle w:val="TableText0"/>
              <w:spacing w:before="0" w:afterLines="40" w:after="96"/>
              <w:jc w:val="right"/>
              <w:rPr>
                <w:color w:val="000000"/>
              </w:rPr>
            </w:pPr>
            <w:r w:rsidRPr="00030596">
              <w:rPr>
                <w:color w:val="000000"/>
              </w:rPr>
              <w:t>$146.41</w:t>
            </w:r>
          </w:p>
        </w:tc>
        <w:tc>
          <w:tcPr>
            <w:tcW w:w="1650" w:type="dxa"/>
            <w:vAlign w:val="bottom"/>
          </w:tcPr>
          <w:p w14:paraId="008E04F5" w14:textId="77777777" w:rsidR="002F2AFD" w:rsidRPr="00030596" w:rsidRDefault="002F2AFD" w:rsidP="004C79C1">
            <w:pPr>
              <w:pStyle w:val="TableText0"/>
              <w:spacing w:before="0" w:afterLines="40" w:after="96"/>
              <w:jc w:val="right"/>
              <w:rPr>
                <w:color w:val="000000"/>
              </w:rPr>
            </w:pPr>
            <w:r w:rsidRPr="00030596">
              <w:rPr>
                <w:color w:val="000000"/>
              </w:rPr>
              <w:t>$928.30</w:t>
            </w:r>
          </w:p>
        </w:tc>
      </w:tr>
      <w:tr w:rsidR="002F2AFD" w:rsidRPr="00030596" w14:paraId="6239D896" w14:textId="77777777" w:rsidTr="00857B30">
        <w:tc>
          <w:tcPr>
            <w:tcW w:w="4531" w:type="dxa"/>
            <w:vAlign w:val="bottom"/>
          </w:tcPr>
          <w:p w14:paraId="166C248D" w14:textId="5FD6551B" w:rsidR="002F2AFD" w:rsidRPr="00030596" w:rsidRDefault="002F2AFD" w:rsidP="004C79C1">
            <w:pPr>
              <w:pStyle w:val="TableText0"/>
              <w:spacing w:before="0" w:afterLines="40" w:after="96"/>
            </w:pPr>
            <w:r w:rsidRPr="00030596">
              <w:rPr>
                <w:color w:val="000000"/>
              </w:rPr>
              <w:t>CMR patient contribution, $300</w:t>
            </w:r>
            <w:r>
              <w:rPr>
                <w:color w:val="000000"/>
              </w:rPr>
              <w:t xml:space="preserve"> </w:t>
            </w:r>
            <w:r w:rsidRPr="00030596">
              <w:rPr>
                <w:color w:val="000000"/>
              </w:rPr>
              <w:t>(</w:t>
            </w:r>
            <w:r w:rsidR="004202C6">
              <w:rPr>
                <w:color w:val="000000"/>
              </w:rPr>
              <w:t>b</w:t>
            </w:r>
            <w:r w:rsidRPr="00030596">
              <w:rPr>
                <w:color w:val="000000"/>
              </w:rPr>
              <w:t>ase</w:t>
            </w:r>
            <w:r w:rsidR="007E2C2E">
              <w:rPr>
                <w:color w:val="000000"/>
              </w:rPr>
              <w:t>-</w:t>
            </w:r>
            <w:r w:rsidRPr="00030596">
              <w:rPr>
                <w:color w:val="000000"/>
              </w:rPr>
              <w:t>case: $244.36)</w:t>
            </w:r>
          </w:p>
        </w:tc>
        <w:tc>
          <w:tcPr>
            <w:tcW w:w="1418" w:type="dxa"/>
            <w:vAlign w:val="bottom"/>
          </w:tcPr>
          <w:p w14:paraId="4DC2E061" w14:textId="77777777" w:rsidR="002F2AFD" w:rsidRPr="00030596" w:rsidRDefault="002F2AFD" w:rsidP="004C79C1">
            <w:pPr>
              <w:pStyle w:val="TableText0"/>
              <w:spacing w:before="0" w:afterLines="40" w:after="96"/>
              <w:jc w:val="right"/>
              <w:rPr>
                <w:color w:val="000000"/>
              </w:rPr>
            </w:pPr>
            <w:r w:rsidRPr="00030596">
              <w:rPr>
                <w:color w:val="000000"/>
              </w:rPr>
              <w:t>$1,121.46</w:t>
            </w:r>
          </w:p>
        </w:tc>
        <w:tc>
          <w:tcPr>
            <w:tcW w:w="1417" w:type="dxa"/>
            <w:vAlign w:val="bottom"/>
          </w:tcPr>
          <w:p w14:paraId="4826DB0E" w14:textId="77777777" w:rsidR="002F2AFD" w:rsidRPr="00030596" w:rsidRDefault="002F2AFD" w:rsidP="004C79C1">
            <w:pPr>
              <w:pStyle w:val="TableText0"/>
              <w:spacing w:before="0" w:afterLines="40" w:after="96"/>
              <w:jc w:val="right"/>
              <w:rPr>
                <w:color w:val="000000"/>
              </w:rPr>
            </w:pPr>
            <w:r w:rsidRPr="00030596">
              <w:rPr>
                <w:color w:val="000000"/>
              </w:rPr>
              <w:t>$146.41</w:t>
            </w:r>
          </w:p>
        </w:tc>
        <w:tc>
          <w:tcPr>
            <w:tcW w:w="1650" w:type="dxa"/>
            <w:vAlign w:val="bottom"/>
          </w:tcPr>
          <w:p w14:paraId="15AE7E8E" w14:textId="77777777" w:rsidR="002F2AFD" w:rsidRPr="00030596" w:rsidRDefault="002F2AFD" w:rsidP="004C79C1">
            <w:pPr>
              <w:pStyle w:val="TableText0"/>
              <w:spacing w:before="0" w:afterLines="40" w:after="96"/>
              <w:jc w:val="right"/>
              <w:rPr>
                <w:color w:val="000000"/>
              </w:rPr>
            </w:pPr>
            <w:r w:rsidRPr="00030596">
              <w:rPr>
                <w:color w:val="000000"/>
              </w:rPr>
              <w:t>$975.05</w:t>
            </w:r>
          </w:p>
        </w:tc>
      </w:tr>
      <w:tr w:rsidR="002F2AFD" w:rsidRPr="00030596" w14:paraId="4CE98170" w14:textId="77777777" w:rsidTr="00857B30">
        <w:tc>
          <w:tcPr>
            <w:tcW w:w="4531" w:type="dxa"/>
            <w:vAlign w:val="bottom"/>
          </w:tcPr>
          <w:p w14:paraId="6036EBE0" w14:textId="533AA495" w:rsidR="002F2AFD" w:rsidRPr="00030596" w:rsidRDefault="002F2AFD" w:rsidP="004C79C1">
            <w:pPr>
              <w:pStyle w:val="TableText0"/>
              <w:spacing w:before="0" w:afterLines="40" w:after="96"/>
            </w:pPr>
            <w:r w:rsidRPr="00030596">
              <w:rPr>
                <w:color w:val="000000"/>
              </w:rPr>
              <w:t xml:space="preserve">Proportion </w:t>
            </w:r>
            <w:r w:rsidR="009D07CD">
              <w:rPr>
                <w:color w:val="000000"/>
              </w:rPr>
              <w:t xml:space="preserve">of </w:t>
            </w:r>
            <w:r w:rsidRPr="00030596">
              <w:rPr>
                <w:color w:val="000000"/>
              </w:rPr>
              <w:t>CMR bulk-billed, 60%</w:t>
            </w:r>
            <w:r>
              <w:rPr>
                <w:color w:val="000000"/>
              </w:rPr>
              <w:t xml:space="preserve"> </w:t>
            </w:r>
            <w:r w:rsidRPr="00030596">
              <w:rPr>
                <w:color w:val="000000"/>
              </w:rPr>
              <w:t>(</w:t>
            </w:r>
            <w:r w:rsidR="004202C6">
              <w:rPr>
                <w:color w:val="000000"/>
              </w:rPr>
              <w:t>b</w:t>
            </w:r>
            <w:r w:rsidRPr="00030596">
              <w:rPr>
                <w:color w:val="000000"/>
              </w:rPr>
              <w:t>ase</w:t>
            </w:r>
            <w:r w:rsidR="007E2C2E">
              <w:rPr>
                <w:color w:val="000000"/>
              </w:rPr>
              <w:t>-</w:t>
            </w:r>
            <w:r w:rsidRPr="00030596">
              <w:rPr>
                <w:color w:val="000000"/>
              </w:rPr>
              <w:t>case: 72.8%)</w:t>
            </w:r>
          </w:p>
        </w:tc>
        <w:tc>
          <w:tcPr>
            <w:tcW w:w="1418" w:type="dxa"/>
            <w:vAlign w:val="bottom"/>
          </w:tcPr>
          <w:p w14:paraId="3603D41B" w14:textId="77777777" w:rsidR="002F2AFD" w:rsidRPr="00030596" w:rsidRDefault="002F2AFD" w:rsidP="004C79C1">
            <w:pPr>
              <w:pStyle w:val="TableText0"/>
              <w:spacing w:before="0" w:afterLines="40" w:after="96"/>
              <w:jc w:val="right"/>
              <w:rPr>
                <w:color w:val="000000"/>
              </w:rPr>
            </w:pPr>
            <w:r w:rsidRPr="00030596">
              <w:rPr>
                <w:color w:val="000000"/>
              </w:rPr>
              <w:t>$1,121.13</w:t>
            </w:r>
          </w:p>
        </w:tc>
        <w:tc>
          <w:tcPr>
            <w:tcW w:w="1417" w:type="dxa"/>
            <w:vAlign w:val="bottom"/>
          </w:tcPr>
          <w:p w14:paraId="4BECE095" w14:textId="77777777" w:rsidR="002F2AFD" w:rsidRPr="00030596" w:rsidRDefault="002F2AFD" w:rsidP="004C79C1">
            <w:pPr>
              <w:pStyle w:val="TableText0"/>
              <w:spacing w:before="0" w:afterLines="40" w:after="96"/>
              <w:jc w:val="right"/>
              <w:rPr>
                <w:color w:val="000000"/>
              </w:rPr>
            </w:pPr>
            <w:r w:rsidRPr="00030596">
              <w:rPr>
                <w:color w:val="000000"/>
              </w:rPr>
              <w:t>$146.41</w:t>
            </w:r>
          </w:p>
        </w:tc>
        <w:tc>
          <w:tcPr>
            <w:tcW w:w="1650" w:type="dxa"/>
            <w:vAlign w:val="bottom"/>
          </w:tcPr>
          <w:p w14:paraId="597086A0" w14:textId="77777777" w:rsidR="002F2AFD" w:rsidRPr="00030596" w:rsidRDefault="002F2AFD" w:rsidP="004C79C1">
            <w:pPr>
              <w:pStyle w:val="TableText0"/>
              <w:spacing w:before="0" w:afterLines="40" w:after="96"/>
              <w:jc w:val="right"/>
              <w:rPr>
                <w:color w:val="000000"/>
              </w:rPr>
            </w:pPr>
            <w:r w:rsidRPr="00030596">
              <w:rPr>
                <w:color w:val="000000"/>
              </w:rPr>
              <w:t>$974.72</w:t>
            </w:r>
          </w:p>
        </w:tc>
      </w:tr>
      <w:tr w:rsidR="002F2AFD" w:rsidRPr="00030596" w14:paraId="1F10D654" w14:textId="77777777" w:rsidTr="00857B30">
        <w:tc>
          <w:tcPr>
            <w:tcW w:w="4531" w:type="dxa"/>
            <w:vAlign w:val="bottom"/>
          </w:tcPr>
          <w:p w14:paraId="3517934F" w14:textId="794A5257" w:rsidR="002F2AFD" w:rsidRPr="00030596" w:rsidRDefault="002F2AFD" w:rsidP="004C79C1">
            <w:pPr>
              <w:pStyle w:val="TableText0"/>
              <w:spacing w:before="0" w:afterLines="40" w:after="96"/>
            </w:pPr>
            <w:r w:rsidRPr="00030596">
              <w:rPr>
                <w:color w:val="000000"/>
              </w:rPr>
              <w:t>Cost of contrast</w:t>
            </w:r>
            <w:r w:rsidR="009D07CD">
              <w:rPr>
                <w:color w:val="000000"/>
              </w:rPr>
              <w:t>,</w:t>
            </w:r>
            <w:r w:rsidRPr="00030596">
              <w:rPr>
                <w:color w:val="000000"/>
              </w:rPr>
              <w:t xml:space="preserve"> $100</w:t>
            </w:r>
            <w:r>
              <w:rPr>
                <w:color w:val="000000"/>
              </w:rPr>
              <w:t xml:space="preserve"> </w:t>
            </w:r>
            <w:r w:rsidRPr="00030596">
              <w:rPr>
                <w:color w:val="000000"/>
              </w:rPr>
              <w:t>(</w:t>
            </w:r>
            <w:r w:rsidR="004202C6">
              <w:rPr>
                <w:color w:val="000000"/>
              </w:rPr>
              <w:t>b</w:t>
            </w:r>
            <w:r w:rsidRPr="00030596">
              <w:rPr>
                <w:color w:val="000000"/>
              </w:rPr>
              <w:t>ase</w:t>
            </w:r>
            <w:r w:rsidR="007E2C2E">
              <w:rPr>
                <w:color w:val="000000"/>
              </w:rPr>
              <w:t>-</w:t>
            </w:r>
            <w:r w:rsidRPr="00030596">
              <w:rPr>
                <w:color w:val="000000"/>
              </w:rPr>
              <w:t>case: $90)</w:t>
            </w:r>
          </w:p>
        </w:tc>
        <w:tc>
          <w:tcPr>
            <w:tcW w:w="1418" w:type="dxa"/>
            <w:vAlign w:val="bottom"/>
          </w:tcPr>
          <w:p w14:paraId="647B0D92" w14:textId="77777777" w:rsidR="002F2AFD" w:rsidRPr="00030596" w:rsidRDefault="002F2AFD" w:rsidP="004C79C1">
            <w:pPr>
              <w:pStyle w:val="TableText0"/>
              <w:spacing w:before="0" w:afterLines="40" w:after="96"/>
              <w:jc w:val="right"/>
              <w:rPr>
                <w:color w:val="000000"/>
              </w:rPr>
            </w:pPr>
            <w:r w:rsidRPr="00030596">
              <w:rPr>
                <w:color w:val="000000"/>
              </w:rPr>
              <w:t>$1,106.31</w:t>
            </w:r>
          </w:p>
        </w:tc>
        <w:tc>
          <w:tcPr>
            <w:tcW w:w="1417" w:type="dxa"/>
            <w:vAlign w:val="bottom"/>
          </w:tcPr>
          <w:p w14:paraId="5FC48C01" w14:textId="77777777" w:rsidR="002F2AFD" w:rsidRPr="00030596" w:rsidRDefault="002F2AFD" w:rsidP="004C79C1">
            <w:pPr>
              <w:pStyle w:val="TableText0"/>
              <w:spacing w:before="0" w:afterLines="40" w:after="96"/>
              <w:jc w:val="right"/>
              <w:rPr>
                <w:color w:val="000000"/>
              </w:rPr>
            </w:pPr>
            <w:r w:rsidRPr="00030596">
              <w:rPr>
                <w:color w:val="000000"/>
              </w:rPr>
              <w:t>$156.41</w:t>
            </w:r>
          </w:p>
        </w:tc>
        <w:tc>
          <w:tcPr>
            <w:tcW w:w="1650" w:type="dxa"/>
            <w:vAlign w:val="bottom"/>
          </w:tcPr>
          <w:p w14:paraId="123BE6C5" w14:textId="77777777" w:rsidR="002F2AFD" w:rsidRPr="00030596" w:rsidRDefault="002F2AFD" w:rsidP="004C79C1">
            <w:pPr>
              <w:pStyle w:val="TableText0"/>
              <w:spacing w:before="0" w:afterLines="40" w:after="96"/>
              <w:jc w:val="right"/>
              <w:rPr>
                <w:color w:val="000000"/>
              </w:rPr>
            </w:pPr>
            <w:r w:rsidRPr="00030596">
              <w:rPr>
                <w:color w:val="000000"/>
              </w:rPr>
              <w:t>$949.90</w:t>
            </w:r>
          </w:p>
        </w:tc>
      </w:tr>
      <w:tr w:rsidR="002F2AFD" w:rsidRPr="00030596" w14:paraId="38079F1A" w14:textId="77777777" w:rsidTr="00857B30">
        <w:tc>
          <w:tcPr>
            <w:tcW w:w="4531" w:type="dxa"/>
            <w:vAlign w:val="bottom"/>
          </w:tcPr>
          <w:p w14:paraId="63FB2849" w14:textId="7CD57918" w:rsidR="002F2AFD" w:rsidRPr="00030596" w:rsidRDefault="002F2AFD" w:rsidP="004C79C1">
            <w:pPr>
              <w:pStyle w:val="TableText0"/>
              <w:spacing w:before="0" w:afterLines="40" w:after="96"/>
              <w:rPr>
                <w:color w:val="000000"/>
              </w:rPr>
            </w:pPr>
            <w:r w:rsidRPr="00030596">
              <w:rPr>
                <w:color w:val="000000"/>
              </w:rPr>
              <w:t xml:space="preserve">Proportion </w:t>
            </w:r>
            <w:r w:rsidR="009D07CD">
              <w:rPr>
                <w:color w:val="000000"/>
              </w:rPr>
              <w:t xml:space="preserve">of </w:t>
            </w:r>
            <w:r w:rsidRPr="00030596">
              <w:rPr>
                <w:color w:val="000000"/>
              </w:rPr>
              <w:t>CMR bulk-billed, 80%</w:t>
            </w:r>
            <w:r>
              <w:rPr>
                <w:color w:val="000000"/>
              </w:rPr>
              <w:t xml:space="preserve"> </w:t>
            </w:r>
            <w:r w:rsidRPr="00030596">
              <w:rPr>
                <w:color w:val="000000"/>
              </w:rPr>
              <w:t>(</w:t>
            </w:r>
            <w:r w:rsidR="004202C6">
              <w:rPr>
                <w:color w:val="000000"/>
              </w:rPr>
              <w:t>b</w:t>
            </w:r>
            <w:r w:rsidRPr="00030596">
              <w:rPr>
                <w:color w:val="000000"/>
              </w:rPr>
              <w:t>ase</w:t>
            </w:r>
            <w:r w:rsidR="007E2C2E">
              <w:rPr>
                <w:color w:val="000000"/>
              </w:rPr>
              <w:t>-</w:t>
            </w:r>
            <w:r w:rsidRPr="00030596">
              <w:rPr>
                <w:color w:val="000000"/>
              </w:rPr>
              <w:t>case: 72.8%)</w:t>
            </w:r>
          </w:p>
        </w:tc>
        <w:tc>
          <w:tcPr>
            <w:tcW w:w="1418" w:type="dxa"/>
            <w:vAlign w:val="bottom"/>
          </w:tcPr>
          <w:p w14:paraId="35455535" w14:textId="77777777" w:rsidR="002F2AFD" w:rsidRPr="00030596" w:rsidRDefault="002F2AFD" w:rsidP="004C79C1">
            <w:pPr>
              <w:pStyle w:val="TableText0"/>
              <w:spacing w:before="0" w:afterLines="40" w:after="96"/>
              <w:jc w:val="right"/>
              <w:rPr>
                <w:color w:val="000000"/>
              </w:rPr>
            </w:pPr>
            <w:r w:rsidRPr="00030596">
              <w:rPr>
                <w:color w:val="000000"/>
              </w:rPr>
              <w:t>$1,097.92</w:t>
            </w:r>
          </w:p>
        </w:tc>
        <w:tc>
          <w:tcPr>
            <w:tcW w:w="1417" w:type="dxa"/>
            <w:vAlign w:val="bottom"/>
          </w:tcPr>
          <w:p w14:paraId="3FE2A02E" w14:textId="77777777" w:rsidR="002F2AFD" w:rsidRPr="00030596" w:rsidRDefault="002F2AFD" w:rsidP="004C79C1">
            <w:pPr>
              <w:pStyle w:val="TableText0"/>
              <w:spacing w:before="0" w:afterLines="40" w:after="96"/>
              <w:jc w:val="right"/>
              <w:rPr>
                <w:color w:val="000000"/>
              </w:rPr>
            </w:pPr>
            <w:r w:rsidRPr="00030596">
              <w:rPr>
                <w:color w:val="000000"/>
              </w:rPr>
              <w:t>$146.41</w:t>
            </w:r>
          </w:p>
        </w:tc>
        <w:tc>
          <w:tcPr>
            <w:tcW w:w="1650" w:type="dxa"/>
            <w:vAlign w:val="bottom"/>
          </w:tcPr>
          <w:p w14:paraId="7427DAF3" w14:textId="77777777" w:rsidR="002F2AFD" w:rsidRPr="00030596" w:rsidRDefault="002F2AFD" w:rsidP="004C79C1">
            <w:pPr>
              <w:pStyle w:val="TableText0"/>
              <w:spacing w:before="0" w:afterLines="40" w:after="96"/>
              <w:jc w:val="right"/>
              <w:rPr>
                <w:color w:val="000000"/>
              </w:rPr>
            </w:pPr>
            <w:r w:rsidRPr="00030596">
              <w:rPr>
                <w:color w:val="000000"/>
              </w:rPr>
              <w:t>$951.51</w:t>
            </w:r>
          </w:p>
        </w:tc>
      </w:tr>
    </w:tbl>
    <w:p w14:paraId="59CB33B7" w14:textId="0297E47E" w:rsidR="00A951E1" w:rsidRDefault="00066D73" w:rsidP="004C79C1">
      <w:pPr>
        <w:pStyle w:val="Tablenotes0"/>
        <w:spacing w:before="0" w:after="120"/>
      </w:pPr>
      <w:proofErr w:type="gramStart"/>
      <w:r w:rsidRPr="001C1ADB">
        <w:t>cEcho</w:t>
      </w:r>
      <w:proofErr w:type="gramEnd"/>
      <w:r>
        <w:t xml:space="preserve"> </w:t>
      </w:r>
      <w:r w:rsidRPr="001C1ADB">
        <w:t>=</w:t>
      </w:r>
      <w:r>
        <w:t xml:space="preserve"> </w:t>
      </w:r>
      <w:r w:rsidRPr="001C1ADB">
        <w:t xml:space="preserve">contrast echocardiogram; </w:t>
      </w:r>
      <w:r w:rsidR="002F2AFD" w:rsidRPr="001C1ADB">
        <w:t>CMR</w:t>
      </w:r>
      <w:r w:rsidR="004202C6">
        <w:t xml:space="preserve"> </w:t>
      </w:r>
      <w:r w:rsidR="002F2AFD" w:rsidRPr="001C1ADB">
        <w:t>=</w:t>
      </w:r>
      <w:r w:rsidR="00EA36E6">
        <w:t xml:space="preserve"> </w:t>
      </w:r>
      <w:r w:rsidR="002F2AFD" w:rsidRPr="001C1ADB">
        <w:t xml:space="preserve">cardiac magnetic resonance </w:t>
      </w:r>
      <w:r w:rsidR="002D3576">
        <w:t>(</w:t>
      </w:r>
      <w:r w:rsidR="002F2AFD" w:rsidRPr="001C1ADB">
        <w:t>imaging</w:t>
      </w:r>
      <w:r w:rsidR="002D3576">
        <w:t>)</w:t>
      </w:r>
      <w:r w:rsidR="002F2AFD" w:rsidRPr="001C1ADB">
        <w:t>; GP</w:t>
      </w:r>
      <w:r w:rsidR="004202C6">
        <w:t xml:space="preserve"> </w:t>
      </w:r>
      <w:r w:rsidR="002F2AFD" w:rsidRPr="001C1ADB">
        <w:t>=</w:t>
      </w:r>
      <w:r w:rsidR="004202C6">
        <w:t xml:space="preserve"> </w:t>
      </w:r>
      <w:r w:rsidR="002F2AFD" w:rsidRPr="001C1ADB">
        <w:t>general practitioner</w:t>
      </w:r>
    </w:p>
    <w:p w14:paraId="2CC0725D" w14:textId="04F73386" w:rsidR="002F2AFD" w:rsidRDefault="002F2AFD" w:rsidP="004C79C1">
      <w:pPr>
        <w:pStyle w:val="Heading1"/>
        <w:spacing w:after="120" w:line="240" w:lineRule="auto"/>
        <w:jc w:val="both"/>
      </w:pPr>
      <w:bookmarkStart w:id="984" w:name="_Toc450051821"/>
      <w:bookmarkStart w:id="985" w:name="_Toc451501438"/>
      <w:r>
        <w:lastRenderedPageBreak/>
        <w:t>Appendix L</w:t>
      </w:r>
      <w:r>
        <w:tab/>
      </w:r>
      <w:r w:rsidRPr="00352FCC">
        <w:t>C</w:t>
      </w:r>
      <w:r>
        <w:t xml:space="preserve">ost </w:t>
      </w:r>
      <w:r w:rsidR="00EA36E6">
        <w:t>A</w:t>
      </w:r>
      <w:r>
        <w:t>nalysis</w:t>
      </w:r>
      <w:r w:rsidRPr="00352FCC">
        <w:t>: P</w:t>
      </w:r>
      <w:r>
        <w:t>opulation ii</w:t>
      </w:r>
      <w:r w:rsidRPr="00352FCC">
        <w:t xml:space="preserve">A: </w:t>
      </w:r>
      <w:r>
        <w:t xml:space="preserve">Other </w:t>
      </w:r>
      <w:r w:rsidR="00E607E7">
        <w:t>T</w:t>
      </w:r>
      <w:r>
        <w:t xml:space="preserve">ests for </w:t>
      </w:r>
      <w:r w:rsidR="00E607E7">
        <w:t>S</w:t>
      </w:r>
      <w:r>
        <w:t xml:space="preserve">econdary </w:t>
      </w:r>
      <w:r w:rsidR="00E607E7">
        <w:t>C</w:t>
      </w:r>
      <w:r>
        <w:t xml:space="preserve">auses of </w:t>
      </w:r>
      <w:r w:rsidRPr="00352FCC">
        <w:t>NIDCM</w:t>
      </w:r>
      <w:bookmarkEnd w:id="973"/>
      <w:bookmarkEnd w:id="984"/>
      <w:bookmarkEnd w:id="985"/>
    </w:p>
    <w:p w14:paraId="6DF02CE1" w14:textId="77777777" w:rsidR="002F2AFD" w:rsidRDefault="002F2AFD" w:rsidP="004C79C1">
      <w:pPr>
        <w:spacing w:after="120" w:line="240" w:lineRule="auto"/>
        <w:jc w:val="both"/>
      </w:pPr>
      <w:r>
        <w:rPr>
          <w:szCs w:val="23"/>
        </w:rPr>
        <w:t>C</w:t>
      </w:r>
      <w:r>
        <w:t xml:space="preserve">osts associated with some of the other tests performed for diagnosing secondary causes of NIDCM are presented. The costs considered in the analysis include those related to testing, the cost of specialist referrals for testing (where applicable), and the cost for treating AEs related to the testing methodology. </w:t>
      </w:r>
    </w:p>
    <w:p w14:paraId="31F69E70" w14:textId="4D581C74" w:rsidR="002F2AFD" w:rsidRPr="00BB38D6" w:rsidRDefault="002F2AFD" w:rsidP="004C79C1">
      <w:pPr>
        <w:pStyle w:val="Heading2"/>
        <w:spacing w:before="0" w:after="120" w:line="240" w:lineRule="auto"/>
      </w:pPr>
      <w:bookmarkStart w:id="986" w:name="_Toc450051822"/>
      <w:bookmarkStart w:id="987" w:name="_Toc451501439"/>
      <w:r w:rsidRPr="00BB38D6">
        <w:t>E</w:t>
      </w:r>
      <w:bookmarkEnd w:id="986"/>
      <w:r w:rsidR="0097625E">
        <w:t>MB</w:t>
      </w:r>
      <w:bookmarkEnd w:id="987"/>
    </w:p>
    <w:p w14:paraId="5D28FB56" w14:textId="5E4D8D8B" w:rsidR="002F2AFD" w:rsidRDefault="002F2AFD" w:rsidP="004C79C1">
      <w:pPr>
        <w:spacing w:after="120" w:line="240" w:lineRule="auto"/>
        <w:jc w:val="both"/>
      </w:pPr>
      <w:r>
        <w:t xml:space="preserve">The costs related to EMB include </w:t>
      </w:r>
      <w:r w:rsidR="0097625E">
        <w:t xml:space="preserve">those </w:t>
      </w:r>
      <w:r>
        <w:t xml:space="preserve">associated with referrals, surgical procedures, </w:t>
      </w:r>
      <w:r w:rsidR="0097625E">
        <w:t>AE</w:t>
      </w:r>
      <w:r>
        <w:t xml:space="preserve">s and </w:t>
      </w:r>
      <w:r w:rsidR="00A54389">
        <w:t xml:space="preserve">pathology </w:t>
      </w:r>
      <w:r>
        <w:t>testing of the collected specimens. The cost</w:t>
      </w:r>
      <w:r w:rsidR="00985BB1">
        <w:t>s</w:t>
      </w:r>
      <w:r>
        <w:t xml:space="preserve"> related to surgery include right heart catheterisation (MBS item 38200, schedule fee $445.40), myocardial biopsy (MBS item 38275, schedule fee $</w:t>
      </w:r>
      <w:r w:rsidRPr="00D11124">
        <w:t>298.2</w:t>
      </w:r>
      <w:r>
        <w:t xml:space="preserve">0) and anaesthesia (MBS item 21941, schedule fee $138.60). </w:t>
      </w:r>
      <w:r w:rsidRPr="00066D73">
        <w:t xml:space="preserve">The Multiple Operations Rule applies to items in </w:t>
      </w:r>
      <w:r w:rsidR="00A54389" w:rsidRPr="00066D73">
        <w:t xml:space="preserve">the </w:t>
      </w:r>
      <w:r w:rsidRPr="00066D73">
        <w:t>surgical group</w:t>
      </w:r>
      <w:r w:rsidR="00066D73" w:rsidRPr="00066D73">
        <w:t>,</w:t>
      </w:r>
      <w:r w:rsidRPr="00066D73">
        <w:t xml:space="preserve"> </w:t>
      </w:r>
      <w:r w:rsidR="00066D73">
        <w:t>and the schedule fee for benefits purposes is calculated in accordance with the formula provided in the footnote</w:t>
      </w:r>
      <w:r w:rsidR="00066D73" w:rsidRPr="00066D73">
        <w:rPr>
          <w:rStyle w:val="FootnoteReference"/>
        </w:rPr>
        <w:footnoteReference w:id="25"/>
      </w:r>
      <w:r>
        <w:t xml:space="preserve">. Costs related to pathology testing include viral genome detection (MBS item 69496, schedule fee $43.05) and the ultrastructural examination </w:t>
      </w:r>
      <w:r w:rsidR="00B479FC">
        <w:t xml:space="preserve">of the biopsy specimens </w:t>
      </w:r>
      <w:r>
        <w:t xml:space="preserve">using electron microscopy (MBS item 72851, schedule fee $184.35). Weighted referral costs as described in </w:t>
      </w:r>
      <w:r w:rsidR="00066D73">
        <w:fldChar w:fldCharType="begin"/>
      </w:r>
      <w:r w:rsidR="00066D73">
        <w:instrText xml:space="preserve"> REF _Ref451253034 \h </w:instrText>
      </w:r>
      <w:r w:rsidR="00066D73">
        <w:fldChar w:fldCharType="separate"/>
      </w:r>
      <w:r w:rsidR="00066D73">
        <w:t xml:space="preserve">Table </w:t>
      </w:r>
      <w:r w:rsidR="00066D73">
        <w:rPr>
          <w:noProof/>
        </w:rPr>
        <w:t>34</w:t>
      </w:r>
      <w:r w:rsidR="00066D73">
        <w:fldChar w:fldCharType="end"/>
      </w:r>
      <w:r>
        <w:t xml:space="preserve"> are used. </w:t>
      </w:r>
    </w:p>
    <w:p w14:paraId="083F0B7B" w14:textId="160183A3" w:rsidR="002F2AFD" w:rsidRDefault="002F2AFD" w:rsidP="004C79C1">
      <w:pPr>
        <w:spacing w:after="120" w:line="240" w:lineRule="auto"/>
        <w:jc w:val="both"/>
      </w:pPr>
      <w:r>
        <w:t>Due to its invasive nature, EMB may cause cardiac complications, such as perforation with pericardial tamponade, pneumothorax, heart block, puncture of arteries and pulmonary emboli</w:t>
      </w:r>
      <w:r w:rsidR="004D7A93">
        <w:t>s</w:t>
      </w:r>
      <w:r>
        <w:t>ation. Safety and complication issues related to EMB are discussed in section B.7.1. The overall complication rate associated with EMB is reported as 1% (</w:t>
      </w:r>
      <w:r w:rsidR="00066D73">
        <w:fldChar w:fldCharType="begin"/>
      </w:r>
      <w:r w:rsidR="00066D73">
        <w:instrText xml:space="preserve"> REF _Ref431283813 \h </w:instrText>
      </w:r>
      <w:r w:rsidR="00066D73">
        <w:fldChar w:fldCharType="separate"/>
      </w:r>
      <w:r w:rsidR="00066D73" w:rsidRPr="0032214A">
        <w:t xml:space="preserve">Table </w:t>
      </w:r>
      <w:r w:rsidR="00066D73">
        <w:rPr>
          <w:noProof/>
        </w:rPr>
        <w:t>98</w:t>
      </w:r>
      <w:r w:rsidR="00066D73">
        <w:fldChar w:fldCharType="end"/>
      </w:r>
      <w:r>
        <w:t xml:space="preserve">, Appendix J). The costs associated with treating these </w:t>
      </w:r>
      <w:r w:rsidR="006C2EDA">
        <w:t>AE</w:t>
      </w:r>
      <w:r>
        <w:t>s are calculated as the d</w:t>
      </w:r>
      <w:r w:rsidRPr="00B57CE8">
        <w:t>ifference in the price weights for AR-DRGs</w:t>
      </w:r>
      <w:r>
        <w:t xml:space="preserve"> F16A and F16B (</w:t>
      </w:r>
      <w:r w:rsidR="004B73C0">
        <w:t>I</w:t>
      </w:r>
      <w:r w:rsidRPr="00B57CE8">
        <w:t xml:space="preserve">nterventional </w:t>
      </w:r>
      <w:r w:rsidR="004B73C0">
        <w:t>C</w:t>
      </w:r>
      <w:r w:rsidRPr="00B57CE8">
        <w:t xml:space="preserve">oronary </w:t>
      </w:r>
      <w:r w:rsidR="004B73C0">
        <w:t>P</w:t>
      </w:r>
      <w:r w:rsidRPr="00B57CE8">
        <w:t xml:space="preserve">rocedures, </w:t>
      </w:r>
      <w:r w:rsidR="004B73C0">
        <w:t>N</w:t>
      </w:r>
      <w:r w:rsidRPr="00B57CE8">
        <w:t xml:space="preserve">ot </w:t>
      </w:r>
      <w:r w:rsidR="004B73C0">
        <w:t>A</w:t>
      </w:r>
      <w:r w:rsidRPr="00B57CE8">
        <w:t>dmitted for AMI</w:t>
      </w:r>
      <w:r w:rsidR="000545CF">
        <w:t>,</w:t>
      </w:r>
      <w:r w:rsidRPr="00B57CE8">
        <w:t xml:space="preserve"> </w:t>
      </w:r>
      <w:r w:rsidR="004B73C0">
        <w:t>W</w:t>
      </w:r>
      <w:r w:rsidRPr="00B57CE8">
        <w:t xml:space="preserve">ithout </w:t>
      </w:r>
      <w:r w:rsidR="004B73C0">
        <w:t>S</w:t>
      </w:r>
      <w:r w:rsidRPr="00B57CE8">
        <w:t xml:space="preserve">tent </w:t>
      </w:r>
      <w:r w:rsidR="004B73C0">
        <w:t>I</w:t>
      </w:r>
      <w:r w:rsidRPr="00B57CE8">
        <w:t>mplant</w:t>
      </w:r>
      <w:r w:rsidR="000545CF">
        <w:t>,</w:t>
      </w:r>
      <w:r w:rsidRPr="00B57CE8">
        <w:t xml:space="preserve"> </w:t>
      </w:r>
      <w:r w:rsidR="00827867">
        <w:t>W</w:t>
      </w:r>
      <w:r w:rsidRPr="00B57CE8">
        <w:t xml:space="preserve">ith </w:t>
      </w:r>
      <w:r w:rsidR="00827867">
        <w:t>C</w:t>
      </w:r>
      <w:r w:rsidRPr="00B57CE8">
        <w:t xml:space="preserve">omplications and </w:t>
      </w:r>
      <w:r w:rsidR="00827867">
        <w:t>W</w:t>
      </w:r>
      <w:r w:rsidRPr="00B57CE8">
        <w:t xml:space="preserve">ithout </w:t>
      </w:r>
      <w:r w:rsidR="00827867">
        <w:t>C</w:t>
      </w:r>
      <w:r w:rsidRPr="00B57CE8">
        <w:t>omplications</w:t>
      </w:r>
      <w:r w:rsidR="00827867">
        <w:t>)</w:t>
      </w:r>
      <w:r>
        <w:t xml:space="preserve"> multiplied </w:t>
      </w:r>
      <w:r w:rsidRPr="00253163">
        <w:t>by the N</w:t>
      </w:r>
      <w:r w:rsidR="006C2EDA">
        <w:t>EP</w:t>
      </w:r>
      <w:r w:rsidRPr="00253163">
        <w:t xml:space="preserve"> 2016</w:t>
      </w:r>
      <w:r w:rsidR="006C2EDA">
        <w:t>–</w:t>
      </w:r>
      <w:r w:rsidRPr="00253163">
        <w:t>17</w:t>
      </w:r>
      <w:r w:rsidR="00827867">
        <w:t xml:space="preserve"> </w:t>
      </w:r>
      <w:r w:rsidRPr="00253163">
        <w:t xml:space="preserve">(see footnote in </w:t>
      </w:r>
      <w:r w:rsidR="00066D73">
        <w:fldChar w:fldCharType="begin"/>
      </w:r>
      <w:r w:rsidR="00066D73">
        <w:instrText xml:space="preserve"> REF _Ref449544877 \h </w:instrText>
      </w:r>
      <w:r w:rsidR="00066D73">
        <w:fldChar w:fldCharType="separate"/>
      </w:r>
      <w:r w:rsidR="00066D73">
        <w:t xml:space="preserve">Table </w:t>
      </w:r>
      <w:r w:rsidR="00066D73">
        <w:rPr>
          <w:noProof/>
        </w:rPr>
        <w:t>103</w:t>
      </w:r>
      <w:r w:rsidR="00066D73">
        <w:fldChar w:fldCharType="end"/>
      </w:r>
      <w:r w:rsidRPr="00253163">
        <w:t>)</w:t>
      </w:r>
      <w:r>
        <w:t xml:space="preserve"> </w:t>
      </w:r>
      <w:r>
        <w:fldChar w:fldCharType="begin"/>
      </w:r>
      <w:r>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fldChar w:fldCharType="separate"/>
      </w:r>
      <w:r>
        <w:rPr>
          <w:noProof/>
        </w:rPr>
        <w:t>(</w:t>
      </w:r>
      <w:hyperlink w:anchor="_ENREF_61" w:tooltip="Independent Hospital Pricing Authority (IHPA), 2016 #162" w:history="1">
        <w:r>
          <w:rPr>
            <w:noProof/>
          </w:rPr>
          <w:t>Independent Hospital Pricing Authority (IHPA) 2016</w:t>
        </w:r>
      </w:hyperlink>
      <w:r>
        <w:rPr>
          <w:noProof/>
        </w:rPr>
        <w:t>)</w:t>
      </w:r>
      <w:r>
        <w:fldChar w:fldCharType="end"/>
      </w:r>
      <w:r>
        <w:t xml:space="preserve">. </w:t>
      </w:r>
    </w:p>
    <w:p w14:paraId="75A81D1C" w14:textId="5323C1A8" w:rsidR="002F2AFD" w:rsidRDefault="002F2AFD" w:rsidP="004C79C1">
      <w:pPr>
        <w:spacing w:after="120" w:line="240" w:lineRule="auto"/>
        <w:jc w:val="both"/>
      </w:pPr>
      <w:r>
        <w:t xml:space="preserve">A summary of costs associated with right-sided cardiac catheterisation with </w:t>
      </w:r>
      <w:r w:rsidR="006C2EDA">
        <w:t>EMB</w:t>
      </w:r>
      <w:r>
        <w:t xml:space="preserve"> are presented in </w:t>
      </w:r>
      <w:r w:rsidR="00066D73">
        <w:fldChar w:fldCharType="begin"/>
      </w:r>
      <w:r w:rsidR="00066D73">
        <w:instrText xml:space="preserve"> REF _Ref449544877 \h </w:instrText>
      </w:r>
      <w:r w:rsidR="00066D73">
        <w:fldChar w:fldCharType="separate"/>
      </w:r>
      <w:r w:rsidR="00066D73">
        <w:t xml:space="preserve">Table </w:t>
      </w:r>
      <w:r w:rsidR="00066D73">
        <w:rPr>
          <w:noProof/>
        </w:rPr>
        <w:t>103</w:t>
      </w:r>
      <w:r w:rsidR="00066D73">
        <w:fldChar w:fldCharType="end"/>
      </w:r>
      <w:r>
        <w:t>. Patient co-payments are included in the costs and are assumed to be 15% of the schedule fee.</w:t>
      </w:r>
    </w:p>
    <w:p w14:paraId="4D71BA8D" w14:textId="2B13B0D1" w:rsidR="002F2AFD" w:rsidRDefault="002F2AFD" w:rsidP="004C79C1">
      <w:pPr>
        <w:pStyle w:val="Caption"/>
        <w:keepNext/>
      </w:pPr>
      <w:bookmarkStart w:id="988" w:name="_Ref449544877"/>
      <w:bookmarkStart w:id="989" w:name="_Toc450052116"/>
      <w:bookmarkStart w:id="990" w:name="_Toc324410307"/>
      <w:bookmarkStart w:id="991" w:name="_Toc451435430"/>
      <w:r>
        <w:t xml:space="preserve">Table </w:t>
      </w:r>
      <w:fldSimple w:instr=" SEQ Table \* ARABIC ">
        <w:r w:rsidR="00050936">
          <w:rPr>
            <w:noProof/>
          </w:rPr>
          <w:t>103</w:t>
        </w:r>
      </w:fldSimple>
      <w:bookmarkEnd w:id="988"/>
      <w:r>
        <w:tab/>
        <w:t>Costs associated with EMB (including patient co-payments)</w:t>
      </w:r>
      <w:bookmarkEnd w:id="989"/>
      <w:bookmarkEnd w:id="990"/>
      <w:bookmarkEnd w:id="991"/>
    </w:p>
    <w:tbl>
      <w:tblPr>
        <w:tblStyle w:val="TableGrid"/>
        <w:tblpPr w:leftFromText="180" w:rightFromText="180" w:vertAnchor="text" w:horzAnchor="margin" w:tblpY="5"/>
        <w:tblW w:w="0" w:type="auto"/>
        <w:tblLook w:val="04A0" w:firstRow="1" w:lastRow="0" w:firstColumn="1" w:lastColumn="0" w:noHBand="0" w:noVBand="1"/>
        <w:tblCaption w:val="Costs associated with EMB (including patient co-payments)"/>
      </w:tblPr>
      <w:tblGrid>
        <w:gridCol w:w="4531"/>
        <w:gridCol w:w="1134"/>
        <w:gridCol w:w="3351"/>
      </w:tblGrid>
      <w:tr w:rsidR="002F2AFD" w:rsidRPr="00501E73" w14:paraId="6FA8A703" w14:textId="77777777" w:rsidTr="00857B30">
        <w:trPr>
          <w:cantSplit/>
          <w:tblHeader/>
        </w:trPr>
        <w:tc>
          <w:tcPr>
            <w:tcW w:w="4531" w:type="dxa"/>
            <w:tcBorders>
              <w:bottom w:val="single" w:sz="4" w:space="0" w:color="auto"/>
            </w:tcBorders>
          </w:tcPr>
          <w:p w14:paraId="1F0E84F9" w14:textId="77777777" w:rsidR="002F2AFD" w:rsidRPr="00501E73" w:rsidRDefault="002F2AFD" w:rsidP="004C79C1">
            <w:pPr>
              <w:pStyle w:val="TableHeading"/>
              <w:spacing w:before="0" w:after="120"/>
            </w:pPr>
            <w:r w:rsidRPr="00501E73">
              <w:t>Parameter</w:t>
            </w:r>
          </w:p>
        </w:tc>
        <w:tc>
          <w:tcPr>
            <w:tcW w:w="1134" w:type="dxa"/>
            <w:tcBorders>
              <w:bottom w:val="single" w:sz="4" w:space="0" w:color="auto"/>
            </w:tcBorders>
          </w:tcPr>
          <w:p w14:paraId="0B0FFE75" w14:textId="77777777" w:rsidR="002F2AFD" w:rsidRPr="00501E73" w:rsidRDefault="002F2AFD" w:rsidP="004C79C1">
            <w:pPr>
              <w:pStyle w:val="TableHeading"/>
              <w:spacing w:before="0" w:after="120"/>
            </w:pPr>
            <w:r w:rsidRPr="00501E73">
              <w:t>Estimate</w:t>
            </w:r>
          </w:p>
        </w:tc>
        <w:tc>
          <w:tcPr>
            <w:tcW w:w="3351" w:type="dxa"/>
            <w:tcBorders>
              <w:bottom w:val="single" w:sz="4" w:space="0" w:color="auto"/>
            </w:tcBorders>
          </w:tcPr>
          <w:p w14:paraId="7FA1723E" w14:textId="77777777" w:rsidR="002F2AFD" w:rsidRPr="00501E73" w:rsidRDefault="002F2AFD" w:rsidP="004C79C1">
            <w:pPr>
              <w:pStyle w:val="TableHeading"/>
              <w:spacing w:before="0" w:after="120"/>
            </w:pPr>
            <w:r w:rsidRPr="00501E73">
              <w:t>Source</w:t>
            </w:r>
          </w:p>
        </w:tc>
      </w:tr>
      <w:tr w:rsidR="002F2AFD" w:rsidRPr="00501E73" w14:paraId="3F5325EA" w14:textId="77777777" w:rsidTr="00857B30">
        <w:trPr>
          <w:cantSplit/>
        </w:trPr>
        <w:tc>
          <w:tcPr>
            <w:tcW w:w="4531" w:type="dxa"/>
            <w:tcBorders>
              <w:right w:val="single" w:sz="4" w:space="0" w:color="auto"/>
            </w:tcBorders>
          </w:tcPr>
          <w:p w14:paraId="341C0CE9" w14:textId="1DC921C6" w:rsidR="002F2AFD" w:rsidRPr="00C121AE" w:rsidRDefault="002F2AFD" w:rsidP="004C79C1">
            <w:pPr>
              <w:pStyle w:val="Tabletext1"/>
              <w:spacing w:before="0" w:after="120"/>
              <w:rPr>
                <w:b/>
              </w:rPr>
            </w:pPr>
            <w:r w:rsidRPr="00C121AE">
              <w:rPr>
                <w:b/>
              </w:rPr>
              <w:t>Costs related to surgery</w:t>
            </w:r>
            <w:r w:rsidR="00EE1B8F">
              <w:rPr>
                <w:b/>
              </w:rPr>
              <w:t xml:space="preserve"> </w:t>
            </w:r>
            <w:r w:rsidR="00EE1B8F" w:rsidRPr="00066D73">
              <w:rPr>
                <w:b/>
                <w:vertAlign w:val="superscript"/>
              </w:rPr>
              <w:t>a</w:t>
            </w:r>
          </w:p>
        </w:tc>
        <w:tc>
          <w:tcPr>
            <w:tcW w:w="1134" w:type="dxa"/>
            <w:tcBorders>
              <w:left w:val="single" w:sz="4" w:space="0" w:color="auto"/>
              <w:right w:val="single" w:sz="4" w:space="0" w:color="auto"/>
            </w:tcBorders>
          </w:tcPr>
          <w:p w14:paraId="332812FF" w14:textId="77777777" w:rsidR="002F2AFD" w:rsidRPr="00501E73" w:rsidRDefault="002F2AFD" w:rsidP="004C79C1">
            <w:pPr>
              <w:pStyle w:val="Tabletext1"/>
              <w:spacing w:before="0" w:after="120"/>
              <w:jc w:val="right"/>
            </w:pPr>
            <w:r w:rsidRPr="00501E73">
              <w:rPr>
                <w:color w:val="FFFFFF" w:themeColor="background1"/>
              </w:rPr>
              <w:t>-</w:t>
            </w:r>
            <w:r w:rsidRPr="00A17937">
              <w:rPr>
                <w:b/>
                <w:bCs/>
                <w:color w:val="000000"/>
              </w:rPr>
              <w:t>$</w:t>
            </w:r>
            <w:r>
              <w:rPr>
                <w:b/>
                <w:bCs/>
                <w:color w:val="000000"/>
              </w:rPr>
              <w:t>733.10</w:t>
            </w:r>
          </w:p>
        </w:tc>
        <w:tc>
          <w:tcPr>
            <w:tcW w:w="3351" w:type="dxa"/>
            <w:tcBorders>
              <w:left w:val="single" w:sz="4" w:space="0" w:color="auto"/>
            </w:tcBorders>
          </w:tcPr>
          <w:p w14:paraId="236D9E00" w14:textId="77777777" w:rsidR="002F2AFD" w:rsidRPr="00501E73" w:rsidRDefault="002F2AFD" w:rsidP="004C79C1">
            <w:pPr>
              <w:pStyle w:val="Tabletext1"/>
              <w:spacing w:before="0" w:after="120"/>
            </w:pPr>
            <w:r w:rsidRPr="00501E73">
              <w:rPr>
                <w:color w:val="FFFFFF" w:themeColor="background1"/>
              </w:rPr>
              <w:t>-</w:t>
            </w:r>
            <w:r w:rsidRPr="00501E73">
              <w:rPr>
                <w:bCs/>
                <w:color w:val="000000"/>
              </w:rPr>
              <w:t xml:space="preserve">Sum of </w:t>
            </w:r>
            <w:r>
              <w:rPr>
                <w:bCs/>
                <w:color w:val="000000"/>
              </w:rPr>
              <w:t>items below (3 lines)</w:t>
            </w:r>
          </w:p>
        </w:tc>
      </w:tr>
      <w:tr w:rsidR="002F2AFD" w:rsidRPr="00501E73" w14:paraId="6AFAB86C" w14:textId="77777777" w:rsidTr="00857B30">
        <w:trPr>
          <w:cantSplit/>
        </w:trPr>
        <w:tc>
          <w:tcPr>
            <w:tcW w:w="4531" w:type="dxa"/>
          </w:tcPr>
          <w:p w14:paraId="73E25985" w14:textId="77777777" w:rsidR="002F2AFD" w:rsidRPr="00501E73" w:rsidRDefault="002F2AFD" w:rsidP="004C79C1">
            <w:pPr>
              <w:pStyle w:val="Tabletext1"/>
              <w:spacing w:before="0" w:after="120"/>
              <w:ind w:left="567"/>
            </w:pPr>
            <w:r w:rsidRPr="00501E73">
              <w:t>Right heart catheterisation</w:t>
            </w:r>
          </w:p>
        </w:tc>
        <w:tc>
          <w:tcPr>
            <w:tcW w:w="1134" w:type="dxa"/>
            <w:vAlign w:val="bottom"/>
          </w:tcPr>
          <w:p w14:paraId="4D914983" w14:textId="77777777" w:rsidR="002F2AFD" w:rsidRPr="00501E73" w:rsidRDefault="002F2AFD" w:rsidP="004C79C1">
            <w:pPr>
              <w:pStyle w:val="Tabletext1"/>
              <w:tabs>
                <w:tab w:val="decimal" w:pos="601"/>
              </w:tabs>
              <w:spacing w:before="0" w:after="120"/>
              <w:jc w:val="right"/>
              <w:rPr>
                <w:color w:val="000000"/>
              </w:rPr>
            </w:pPr>
            <w:r w:rsidRPr="00501E73">
              <w:rPr>
                <w:color w:val="000000"/>
              </w:rPr>
              <w:t>$445.40</w:t>
            </w:r>
          </w:p>
        </w:tc>
        <w:tc>
          <w:tcPr>
            <w:tcW w:w="3351" w:type="dxa"/>
            <w:vAlign w:val="bottom"/>
          </w:tcPr>
          <w:p w14:paraId="59BE0CB7" w14:textId="46EAC506" w:rsidR="002F2AFD" w:rsidRPr="00501E73" w:rsidRDefault="002F2AFD" w:rsidP="004C79C1">
            <w:pPr>
              <w:pStyle w:val="Tabletext1"/>
              <w:spacing w:before="0" w:after="120"/>
              <w:rPr>
                <w:color w:val="000000"/>
              </w:rPr>
            </w:pPr>
            <w:r w:rsidRPr="00501E73">
              <w:rPr>
                <w:color w:val="000000"/>
              </w:rPr>
              <w:t>MBS</w:t>
            </w:r>
            <w:r>
              <w:rPr>
                <w:color w:val="000000"/>
              </w:rPr>
              <w:t xml:space="preserve"> schedule</w:t>
            </w:r>
            <w:r w:rsidRPr="00501E73">
              <w:rPr>
                <w:color w:val="000000"/>
              </w:rPr>
              <w:t xml:space="preserve"> </w:t>
            </w:r>
            <w:r>
              <w:rPr>
                <w:color w:val="000000"/>
              </w:rPr>
              <w:t>fee</w:t>
            </w:r>
            <w:r w:rsidRPr="00501E73">
              <w:rPr>
                <w:color w:val="000000"/>
              </w:rPr>
              <w:t xml:space="preserve"> for item 38200</w:t>
            </w:r>
            <w:r>
              <w:rPr>
                <w:color w:val="000000"/>
              </w:rPr>
              <w:t>*100%</w:t>
            </w:r>
          </w:p>
        </w:tc>
      </w:tr>
      <w:tr w:rsidR="002F2AFD" w:rsidRPr="00501E73" w14:paraId="03206964" w14:textId="77777777" w:rsidTr="00857B30">
        <w:trPr>
          <w:cantSplit/>
        </w:trPr>
        <w:tc>
          <w:tcPr>
            <w:tcW w:w="4531" w:type="dxa"/>
            <w:tcBorders>
              <w:bottom w:val="single" w:sz="4" w:space="0" w:color="auto"/>
            </w:tcBorders>
          </w:tcPr>
          <w:p w14:paraId="2F81EF50" w14:textId="77777777" w:rsidR="002F2AFD" w:rsidRPr="00501E73" w:rsidRDefault="002F2AFD" w:rsidP="004C79C1">
            <w:pPr>
              <w:pStyle w:val="Tabletext1"/>
              <w:spacing w:before="0" w:after="120"/>
              <w:ind w:left="567"/>
              <w:rPr>
                <w:color w:val="000000"/>
              </w:rPr>
            </w:pPr>
            <w:r w:rsidRPr="00501E73">
              <w:t>Myocardial biopsy</w:t>
            </w:r>
          </w:p>
        </w:tc>
        <w:tc>
          <w:tcPr>
            <w:tcW w:w="1134" w:type="dxa"/>
            <w:tcBorders>
              <w:bottom w:val="single" w:sz="4" w:space="0" w:color="auto"/>
            </w:tcBorders>
          </w:tcPr>
          <w:p w14:paraId="26C68F14" w14:textId="77777777" w:rsidR="002F2AFD" w:rsidRPr="00501E73" w:rsidRDefault="002F2AFD" w:rsidP="004C79C1">
            <w:pPr>
              <w:pStyle w:val="Tabletext1"/>
              <w:tabs>
                <w:tab w:val="decimal" w:pos="601"/>
              </w:tabs>
              <w:spacing w:before="0" w:after="120"/>
              <w:jc w:val="right"/>
              <w:rPr>
                <w:color w:val="000000"/>
              </w:rPr>
            </w:pPr>
            <w:r w:rsidRPr="00501E73">
              <w:t>$149.10</w:t>
            </w:r>
          </w:p>
        </w:tc>
        <w:tc>
          <w:tcPr>
            <w:tcW w:w="3351" w:type="dxa"/>
            <w:tcBorders>
              <w:bottom w:val="single" w:sz="4" w:space="0" w:color="auto"/>
            </w:tcBorders>
            <w:vAlign w:val="bottom"/>
          </w:tcPr>
          <w:p w14:paraId="2A6BC2E4" w14:textId="78C1C26C" w:rsidR="002F2AFD" w:rsidRPr="00501E73" w:rsidRDefault="002F2AFD" w:rsidP="004C79C1">
            <w:pPr>
              <w:pStyle w:val="Tabletext1"/>
              <w:spacing w:before="0" w:after="120"/>
              <w:rPr>
                <w:color w:val="000000"/>
              </w:rPr>
            </w:pPr>
            <w:r w:rsidRPr="00501E73">
              <w:rPr>
                <w:color w:val="000000"/>
              </w:rPr>
              <w:t>MBS</w:t>
            </w:r>
            <w:r>
              <w:rPr>
                <w:color w:val="000000"/>
              </w:rPr>
              <w:t xml:space="preserve"> schedule</w:t>
            </w:r>
            <w:r w:rsidRPr="00501E73">
              <w:rPr>
                <w:color w:val="000000"/>
              </w:rPr>
              <w:t xml:space="preserve"> </w:t>
            </w:r>
            <w:r>
              <w:rPr>
                <w:color w:val="000000"/>
              </w:rPr>
              <w:t>fee</w:t>
            </w:r>
            <w:r w:rsidRPr="00501E73">
              <w:rPr>
                <w:color w:val="000000"/>
              </w:rPr>
              <w:t xml:space="preserve"> for item 38275</w:t>
            </w:r>
            <w:r>
              <w:rPr>
                <w:color w:val="000000"/>
              </w:rPr>
              <w:t>*50%</w:t>
            </w:r>
          </w:p>
        </w:tc>
      </w:tr>
      <w:tr w:rsidR="002F2AFD" w:rsidRPr="00501E73" w14:paraId="1CB610CF" w14:textId="77777777" w:rsidTr="00857B30">
        <w:trPr>
          <w:cantSplit/>
        </w:trPr>
        <w:tc>
          <w:tcPr>
            <w:tcW w:w="4531" w:type="dxa"/>
            <w:tcBorders>
              <w:bottom w:val="single" w:sz="4" w:space="0" w:color="auto"/>
            </w:tcBorders>
          </w:tcPr>
          <w:p w14:paraId="0D77DC86" w14:textId="77777777" w:rsidR="002F2AFD" w:rsidRPr="00501E73" w:rsidRDefault="002F2AFD" w:rsidP="004C79C1">
            <w:pPr>
              <w:pStyle w:val="Tabletext1"/>
              <w:spacing w:before="0" w:after="120"/>
              <w:ind w:left="567"/>
              <w:rPr>
                <w:color w:val="000000"/>
              </w:rPr>
            </w:pPr>
            <w:r w:rsidRPr="00501E73">
              <w:t>Anaesthesia</w:t>
            </w:r>
          </w:p>
        </w:tc>
        <w:tc>
          <w:tcPr>
            <w:tcW w:w="1134" w:type="dxa"/>
            <w:tcBorders>
              <w:bottom w:val="single" w:sz="4" w:space="0" w:color="auto"/>
            </w:tcBorders>
          </w:tcPr>
          <w:p w14:paraId="4A53C730" w14:textId="77777777" w:rsidR="002F2AFD" w:rsidRPr="00501E73" w:rsidRDefault="002F2AFD" w:rsidP="004C79C1">
            <w:pPr>
              <w:pStyle w:val="Tabletext1"/>
              <w:tabs>
                <w:tab w:val="decimal" w:pos="601"/>
              </w:tabs>
              <w:spacing w:before="0" w:after="120"/>
              <w:jc w:val="right"/>
              <w:rPr>
                <w:color w:val="000000"/>
              </w:rPr>
            </w:pPr>
            <w:r w:rsidRPr="007E27D0">
              <w:t>$138.60</w:t>
            </w:r>
          </w:p>
        </w:tc>
        <w:tc>
          <w:tcPr>
            <w:tcW w:w="3351" w:type="dxa"/>
            <w:tcBorders>
              <w:bottom w:val="single" w:sz="4" w:space="0" w:color="auto"/>
            </w:tcBorders>
            <w:vAlign w:val="bottom"/>
          </w:tcPr>
          <w:p w14:paraId="0B0D6A5C" w14:textId="77777777" w:rsidR="002F2AFD" w:rsidRPr="00501E73" w:rsidRDefault="002F2AFD" w:rsidP="004C79C1">
            <w:pPr>
              <w:pStyle w:val="Tabletext1"/>
              <w:spacing w:before="0" w:after="120"/>
              <w:rPr>
                <w:color w:val="000000"/>
              </w:rPr>
            </w:pPr>
            <w:r w:rsidRPr="00501E73">
              <w:rPr>
                <w:color w:val="000000"/>
              </w:rPr>
              <w:t>MBS</w:t>
            </w:r>
            <w:r>
              <w:rPr>
                <w:color w:val="000000"/>
              </w:rPr>
              <w:t xml:space="preserve"> schedule</w:t>
            </w:r>
            <w:r w:rsidRPr="00501E73">
              <w:rPr>
                <w:color w:val="000000"/>
              </w:rPr>
              <w:t xml:space="preserve"> </w:t>
            </w:r>
            <w:r>
              <w:rPr>
                <w:color w:val="000000"/>
              </w:rPr>
              <w:t>fee</w:t>
            </w:r>
            <w:r w:rsidRPr="00501E73">
              <w:rPr>
                <w:color w:val="000000"/>
              </w:rPr>
              <w:t xml:space="preserve"> for item 21941</w:t>
            </w:r>
          </w:p>
        </w:tc>
      </w:tr>
      <w:tr w:rsidR="002F2AFD" w:rsidRPr="00501E73" w14:paraId="5A6103A9" w14:textId="77777777" w:rsidTr="00857B30">
        <w:trPr>
          <w:cantSplit/>
        </w:trPr>
        <w:tc>
          <w:tcPr>
            <w:tcW w:w="4531" w:type="dxa"/>
            <w:tcBorders>
              <w:top w:val="single" w:sz="4" w:space="0" w:color="auto"/>
              <w:right w:val="single" w:sz="4" w:space="0" w:color="auto"/>
            </w:tcBorders>
          </w:tcPr>
          <w:p w14:paraId="0FAF9052" w14:textId="77777777" w:rsidR="002F2AFD" w:rsidRPr="00C121AE" w:rsidRDefault="002F2AFD" w:rsidP="004C79C1">
            <w:pPr>
              <w:pStyle w:val="Tabletext1"/>
              <w:spacing w:before="0" w:after="120"/>
              <w:rPr>
                <w:b/>
              </w:rPr>
            </w:pPr>
            <w:r w:rsidRPr="00C121AE">
              <w:rPr>
                <w:b/>
              </w:rPr>
              <w:t>Costs associated with pathology testing</w:t>
            </w:r>
          </w:p>
        </w:tc>
        <w:tc>
          <w:tcPr>
            <w:tcW w:w="1134" w:type="dxa"/>
            <w:tcBorders>
              <w:top w:val="single" w:sz="4" w:space="0" w:color="auto"/>
              <w:left w:val="single" w:sz="4" w:space="0" w:color="auto"/>
              <w:right w:val="single" w:sz="4" w:space="0" w:color="auto"/>
            </w:tcBorders>
            <w:vAlign w:val="bottom"/>
          </w:tcPr>
          <w:p w14:paraId="5D405954" w14:textId="77777777" w:rsidR="002F2AFD" w:rsidRPr="00501E73" w:rsidRDefault="002F2AFD" w:rsidP="004C79C1">
            <w:pPr>
              <w:pStyle w:val="Tabletext1"/>
              <w:tabs>
                <w:tab w:val="decimal" w:pos="601"/>
              </w:tabs>
              <w:spacing w:before="0" w:after="120"/>
              <w:jc w:val="right"/>
            </w:pPr>
            <w:r w:rsidRPr="0066182C">
              <w:rPr>
                <w:b/>
                <w:color w:val="000000"/>
              </w:rPr>
              <w:t>$227.40</w:t>
            </w:r>
          </w:p>
        </w:tc>
        <w:tc>
          <w:tcPr>
            <w:tcW w:w="3351" w:type="dxa"/>
            <w:tcBorders>
              <w:top w:val="single" w:sz="4" w:space="0" w:color="auto"/>
              <w:left w:val="single" w:sz="4" w:space="0" w:color="auto"/>
            </w:tcBorders>
            <w:vAlign w:val="bottom"/>
          </w:tcPr>
          <w:p w14:paraId="08AFC68F" w14:textId="77777777" w:rsidR="002F2AFD" w:rsidRPr="00501E73" w:rsidRDefault="002F2AFD" w:rsidP="004C79C1">
            <w:pPr>
              <w:pStyle w:val="Tabletext1"/>
              <w:spacing w:before="0" w:after="120"/>
            </w:pPr>
            <w:r w:rsidRPr="00F456F0">
              <w:rPr>
                <w:bCs/>
                <w:color w:val="000000"/>
              </w:rPr>
              <w:t>Sum of pathology costs</w:t>
            </w:r>
            <w:r>
              <w:rPr>
                <w:bCs/>
                <w:color w:val="000000"/>
              </w:rPr>
              <w:t xml:space="preserve"> below (2 lines)</w:t>
            </w:r>
          </w:p>
        </w:tc>
      </w:tr>
      <w:tr w:rsidR="002F2AFD" w:rsidRPr="00501E73" w14:paraId="4242ACD4" w14:textId="77777777" w:rsidTr="00857B30">
        <w:trPr>
          <w:cantSplit/>
        </w:trPr>
        <w:tc>
          <w:tcPr>
            <w:tcW w:w="4531" w:type="dxa"/>
            <w:tcBorders>
              <w:bottom w:val="single" w:sz="4" w:space="0" w:color="auto"/>
            </w:tcBorders>
            <w:vAlign w:val="bottom"/>
          </w:tcPr>
          <w:p w14:paraId="56D64E93" w14:textId="77777777" w:rsidR="002F2AFD" w:rsidRPr="00501E73" w:rsidRDefault="002F2AFD" w:rsidP="004C79C1">
            <w:pPr>
              <w:pStyle w:val="Tabletext1"/>
              <w:spacing w:before="0" w:after="120"/>
              <w:ind w:left="567"/>
              <w:rPr>
                <w:color w:val="000000"/>
              </w:rPr>
            </w:pPr>
            <w:r>
              <w:rPr>
                <w:color w:val="000000"/>
              </w:rPr>
              <w:t>Microbial nucleic acid detection</w:t>
            </w:r>
          </w:p>
        </w:tc>
        <w:tc>
          <w:tcPr>
            <w:tcW w:w="1134" w:type="dxa"/>
            <w:tcBorders>
              <w:bottom w:val="single" w:sz="4" w:space="0" w:color="auto"/>
            </w:tcBorders>
          </w:tcPr>
          <w:p w14:paraId="7691319E" w14:textId="77777777" w:rsidR="002F2AFD" w:rsidRPr="00501E73" w:rsidRDefault="002F2AFD" w:rsidP="004C79C1">
            <w:pPr>
              <w:pStyle w:val="Tabletext1"/>
              <w:tabs>
                <w:tab w:val="decimal" w:pos="601"/>
              </w:tabs>
              <w:spacing w:before="0" w:after="120"/>
              <w:jc w:val="right"/>
              <w:rPr>
                <w:color w:val="000000"/>
              </w:rPr>
            </w:pPr>
            <w:r w:rsidRPr="00E87DFD">
              <w:t>$43.05</w:t>
            </w:r>
          </w:p>
        </w:tc>
        <w:tc>
          <w:tcPr>
            <w:tcW w:w="3351" w:type="dxa"/>
            <w:tcBorders>
              <w:bottom w:val="single" w:sz="4" w:space="0" w:color="auto"/>
            </w:tcBorders>
            <w:vAlign w:val="bottom"/>
          </w:tcPr>
          <w:p w14:paraId="3B2980E5" w14:textId="77777777" w:rsidR="002F2AFD" w:rsidRPr="00501E73" w:rsidRDefault="002F2AFD" w:rsidP="004C79C1">
            <w:pPr>
              <w:pStyle w:val="Tabletext1"/>
              <w:spacing w:before="0" w:after="120"/>
              <w:rPr>
                <w:color w:val="000000"/>
              </w:rPr>
            </w:pPr>
            <w:r w:rsidRPr="00501E73">
              <w:rPr>
                <w:color w:val="000000"/>
              </w:rPr>
              <w:t xml:space="preserve">MBS </w:t>
            </w:r>
            <w:r>
              <w:rPr>
                <w:color w:val="000000"/>
              </w:rPr>
              <w:t>schedule</w:t>
            </w:r>
            <w:r w:rsidRPr="00501E73">
              <w:rPr>
                <w:color w:val="000000"/>
              </w:rPr>
              <w:t xml:space="preserve"> </w:t>
            </w:r>
            <w:r>
              <w:rPr>
                <w:color w:val="000000"/>
              </w:rPr>
              <w:t>fee</w:t>
            </w:r>
            <w:r w:rsidRPr="00501E73">
              <w:rPr>
                <w:color w:val="000000"/>
              </w:rPr>
              <w:t xml:space="preserve"> for item</w:t>
            </w:r>
            <w:r>
              <w:rPr>
                <w:color w:val="000000"/>
              </w:rPr>
              <w:t xml:space="preserve"> 69496</w:t>
            </w:r>
          </w:p>
        </w:tc>
      </w:tr>
      <w:tr w:rsidR="002F2AFD" w:rsidRPr="00501E73" w14:paraId="4FA65916" w14:textId="77777777" w:rsidTr="00857B30">
        <w:trPr>
          <w:cantSplit/>
        </w:trPr>
        <w:tc>
          <w:tcPr>
            <w:tcW w:w="4531" w:type="dxa"/>
            <w:tcBorders>
              <w:bottom w:val="single" w:sz="4" w:space="0" w:color="auto"/>
            </w:tcBorders>
            <w:vAlign w:val="bottom"/>
          </w:tcPr>
          <w:p w14:paraId="12ED207A" w14:textId="77777777" w:rsidR="002F2AFD" w:rsidRPr="00501E73" w:rsidRDefault="002F2AFD" w:rsidP="004C79C1">
            <w:pPr>
              <w:pStyle w:val="Tabletext1"/>
              <w:spacing w:before="0" w:after="120"/>
              <w:ind w:left="567"/>
              <w:rPr>
                <w:color w:val="000000"/>
              </w:rPr>
            </w:pPr>
            <w:r w:rsidRPr="00A17937">
              <w:rPr>
                <w:color w:val="000000"/>
              </w:rPr>
              <w:t>Electron microscopy</w:t>
            </w:r>
          </w:p>
        </w:tc>
        <w:tc>
          <w:tcPr>
            <w:tcW w:w="1134" w:type="dxa"/>
            <w:tcBorders>
              <w:bottom w:val="single" w:sz="4" w:space="0" w:color="auto"/>
            </w:tcBorders>
          </w:tcPr>
          <w:p w14:paraId="2E03AB88" w14:textId="77777777" w:rsidR="002F2AFD" w:rsidRPr="00501E73" w:rsidRDefault="002F2AFD" w:rsidP="004C79C1">
            <w:pPr>
              <w:pStyle w:val="Tabletext1"/>
              <w:tabs>
                <w:tab w:val="decimal" w:pos="601"/>
              </w:tabs>
              <w:spacing w:before="0" w:after="120"/>
              <w:jc w:val="right"/>
              <w:rPr>
                <w:color w:val="000000"/>
              </w:rPr>
            </w:pPr>
            <w:r w:rsidRPr="00E87DFD">
              <w:t>$184.35</w:t>
            </w:r>
          </w:p>
        </w:tc>
        <w:tc>
          <w:tcPr>
            <w:tcW w:w="3351" w:type="dxa"/>
            <w:tcBorders>
              <w:bottom w:val="single" w:sz="4" w:space="0" w:color="auto"/>
            </w:tcBorders>
            <w:vAlign w:val="bottom"/>
          </w:tcPr>
          <w:p w14:paraId="5DD8579F" w14:textId="77777777" w:rsidR="002F2AFD" w:rsidRPr="00501E73" w:rsidRDefault="002F2AFD" w:rsidP="004C79C1">
            <w:pPr>
              <w:pStyle w:val="Tabletext1"/>
              <w:spacing w:before="0" w:after="120"/>
              <w:rPr>
                <w:color w:val="000000"/>
              </w:rPr>
            </w:pPr>
            <w:r w:rsidRPr="00501E73">
              <w:rPr>
                <w:color w:val="000000"/>
              </w:rPr>
              <w:t xml:space="preserve">MBS </w:t>
            </w:r>
            <w:r>
              <w:rPr>
                <w:color w:val="000000"/>
              </w:rPr>
              <w:t>schedule</w:t>
            </w:r>
            <w:r w:rsidRPr="00501E73">
              <w:rPr>
                <w:color w:val="000000"/>
              </w:rPr>
              <w:t xml:space="preserve"> </w:t>
            </w:r>
            <w:r>
              <w:rPr>
                <w:color w:val="000000"/>
              </w:rPr>
              <w:t>fee</w:t>
            </w:r>
            <w:r w:rsidRPr="00501E73">
              <w:rPr>
                <w:color w:val="000000"/>
              </w:rPr>
              <w:t xml:space="preserve"> for item</w:t>
            </w:r>
            <w:r>
              <w:rPr>
                <w:color w:val="000000"/>
              </w:rPr>
              <w:t xml:space="preserve"> 72851</w:t>
            </w:r>
          </w:p>
        </w:tc>
      </w:tr>
      <w:tr w:rsidR="002F2AFD" w:rsidRPr="00C3155F" w14:paraId="10C49F9B" w14:textId="77777777" w:rsidTr="00857B30">
        <w:trPr>
          <w:cantSplit/>
        </w:trPr>
        <w:tc>
          <w:tcPr>
            <w:tcW w:w="4531" w:type="dxa"/>
            <w:tcBorders>
              <w:top w:val="single" w:sz="4" w:space="0" w:color="auto"/>
              <w:bottom w:val="single" w:sz="4" w:space="0" w:color="auto"/>
            </w:tcBorders>
          </w:tcPr>
          <w:p w14:paraId="3BB4712B" w14:textId="77777777" w:rsidR="002F2AFD" w:rsidRPr="00EA5973" w:rsidRDefault="002F2AFD" w:rsidP="004C79C1">
            <w:pPr>
              <w:pStyle w:val="Tabletext1"/>
              <w:spacing w:before="0" w:after="120"/>
              <w:rPr>
                <w:b/>
              </w:rPr>
            </w:pPr>
            <w:r>
              <w:rPr>
                <w:b/>
              </w:rPr>
              <w:t>Referral costs (w</w:t>
            </w:r>
            <w:r w:rsidRPr="00EA5973">
              <w:rPr>
                <w:b/>
              </w:rPr>
              <w:t>eighted</w:t>
            </w:r>
            <w:r>
              <w:rPr>
                <w:b/>
              </w:rPr>
              <w:t xml:space="preserve">) </w:t>
            </w:r>
          </w:p>
        </w:tc>
        <w:tc>
          <w:tcPr>
            <w:tcW w:w="1134" w:type="dxa"/>
            <w:tcBorders>
              <w:top w:val="single" w:sz="4" w:space="0" w:color="auto"/>
              <w:bottom w:val="single" w:sz="4" w:space="0" w:color="auto"/>
            </w:tcBorders>
            <w:vAlign w:val="bottom"/>
          </w:tcPr>
          <w:p w14:paraId="14663FBD" w14:textId="77777777" w:rsidR="002F2AFD" w:rsidRPr="00EA5973" w:rsidRDefault="002F2AFD" w:rsidP="004C79C1">
            <w:pPr>
              <w:pStyle w:val="Tabletext1"/>
              <w:tabs>
                <w:tab w:val="decimal" w:pos="601"/>
              </w:tabs>
              <w:spacing w:before="0" w:after="120"/>
              <w:jc w:val="right"/>
              <w:rPr>
                <w:b/>
              </w:rPr>
            </w:pPr>
            <w:r w:rsidRPr="00EA5973">
              <w:rPr>
                <w:b/>
                <w:bCs/>
                <w:color w:val="000000"/>
              </w:rPr>
              <w:t>$112.</w:t>
            </w:r>
            <w:r>
              <w:rPr>
                <w:b/>
                <w:bCs/>
                <w:color w:val="000000"/>
              </w:rPr>
              <w:t>68</w:t>
            </w:r>
          </w:p>
        </w:tc>
        <w:tc>
          <w:tcPr>
            <w:tcW w:w="3351" w:type="dxa"/>
            <w:tcBorders>
              <w:top w:val="single" w:sz="4" w:space="0" w:color="auto"/>
              <w:bottom w:val="single" w:sz="4" w:space="0" w:color="auto"/>
            </w:tcBorders>
          </w:tcPr>
          <w:p w14:paraId="31A7E338" w14:textId="6293D6D3" w:rsidR="002F2AFD" w:rsidRPr="00C3155F" w:rsidRDefault="004B4C0F" w:rsidP="004C79C1">
            <w:pPr>
              <w:pStyle w:val="Tabletext1"/>
              <w:spacing w:before="0" w:after="120"/>
            </w:pPr>
            <w:r>
              <w:t xml:space="preserve">See </w:t>
            </w:r>
            <w:r w:rsidR="002F2AFD">
              <w:fldChar w:fldCharType="begin"/>
            </w:r>
            <w:r w:rsidR="002F2AFD">
              <w:instrText xml:space="preserve"> REF _Ref449543995 \p \h </w:instrText>
            </w:r>
            <w:r w:rsidR="002F2AFD">
              <w:fldChar w:fldCharType="separate"/>
            </w:r>
            <w:r w:rsidR="00460601">
              <w:t>above</w:t>
            </w:r>
            <w:r w:rsidR="002F2AFD">
              <w:fldChar w:fldCharType="end"/>
            </w:r>
          </w:p>
        </w:tc>
      </w:tr>
      <w:tr w:rsidR="002F2AFD" w:rsidRPr="00501E73" w14:paraId="263FD8CD" w14:textId="77777777" w:rsidTr="00857B30">
        <w:trPr>
          <w:cantSplit/>
        </w:trPr>
        <w:tc>
          <w:tcPr>
            <w:tcW w:w="4531" w:type="dxa"/>
            <w:tcBorders>
              <w:top w:val="single" w:sz="4" w:space="0" w:color="auto"/>
              <w:right w:val="single" w:sz="4" w:space="0" w:color="auto"/>
            </w:tcBorders>
          </w:tcPr>
          <w:p w14:paraId="622BC2FD" w14:textId="3C4C9D13" w:rsidR="002F2AFD" w:rsidRPr="00612BB1" w:rsidRDefault="002F2AFD" w:rsidP="004C79C1">
            <w:pPr>
              <w:pStyle w:val="Tabletext1"/>
              <w:spacing w:before="0" w:after="120"/>
              <w:rPr>
                <w:b/>
              </w:rPr>
            </w:pPr>
            <w:r w:rsidRPr="00612BB1">
              <w:rPr>
                <w:b/>
              </w:rPr>
              <w:lastRenderedPageBreak/>
              <w:t>Treatment of AE costs</w:t>
            </w:r>
          </w:p>
        </w:tc>
        <w:tc>
          <w:tcPr>
            <w:tcW w:w="1134" w:type="dxa"/>
            <w:tcBorders>
              <w:top w:val="single" w:sz="4" w:space="0" w:color="auto"/>
              <w:left w:val="single" w:sz="4" w:space="0" w:color="auto"/>
              <w:right w:val="single" w:sz="4" w:space="0" w:color="auto"/>
            </w:tcBorders>
          </w:tcPr>
          <w:p w14:paraId="43E46144" w14:textId="77777777" w:rsidR="002F2AFD" w:rsidRPr="00BF6AE0" w:rsidRDefault="002F2AFD" w:rsidP="004C79C1">
            <w:pPr>
              <w:pStyle w:val="Tabletext1"/>
              <w:tabs>
                <w:tab w:val="decimal" w:pos="601"/>
              </w:tabs>
              <w:spacing w:before="0" w:after="120"/>
              <w:jc w:val="right"/>
              <w:rPr>
                <w:b/>
              </w:rPr>
            </w:pPr>
            <w:r w:rsidRPr="00BF6AE0">
              <w:rPr>
                <w:b/>
              </w:rPr>
              <w:t>$33.05</w:t>
            </w:r>
          </w:p>
        </w:tc>
        <w:tc>
          <w:tcPr>
            <w:tcW w:w="3351" w:type="dxa"/>
            <w:tcBorders>
              <w:top w:val="single" w:sz="4" w:space="0" w:color="auto"/>
              <w:left w:val="single" w:sz="4" w:space="0" w:color="auto"/>
            </w:tcBorders>
          </w:tcPr>
          <w:p w14:paraId="2B74431F" w14:textId="77777777" w:rsidR="002F2AFD" w:rsidRPr="00501E73" w:rsidRDefault="002F2AFD" w:rsidP="004C79C1">
            <w:pPr>
              <w:pStyle w:val="Tabletext1"/>
              <w:spacing w:before="0" w:after="120"/>
            </w:pPr>
            <w:r w:rsidRPr="004311A8">
              <w:rPr>
                <w:b/>
              </w:rPr>
              <w:t>Cost of AE per</w:t>
            </w:r>
            <w:r>
              <w:rPr>
                <w:b/>
              </w:rPr>
              <w:t xml:space="preserve"> EMB </w:t>
            </w:r>
            <w:r w:rsidRPr="00BF6AE0">
              <w:t>(</w:t>
            </w:r>
            <w:r>
              <w:t>2</w:t>
            </w:r>
            <w:r w:rsidRPr="00BF6AE0">
              <w:t xml:space="preserve"> lines </w:t>
            </w:r>
            <w:r>
              <w:t>following</w:t>
            </w:r>
            <w:r w:rsidRPr="00BF6AE0">
              <w:t>)</w:t>
            </w:r>
          </w:p>
        </w:tc>
      </w:tr>
      <w:tr w:rsidR="002F2AFD" w:rsidRPr="00501E73" w14:paraId="3877B914" w14:textId="77777777" w:rsidTr="00857B30">
        <w:trPr>
          <w:cantSplit/>
        </w:trPr>
        <w:tc>
          <w:tcPr>
            <w:tcW w:w="4531" w:type="dxa"/>
          </w:tcPr>
          <w:p w14:paraId="7A6CF075" w14:textId="77777777" w:rsidR="002F2AFD" w:rsidRPr="00501E73" w:rsidRDefault="002F2AFD" w:rsidP="004C79C1">
            <w:pPr>
              <w:pStyle w:val="Tabletext1"/>
              <w:spacing w:before="0" w:after="120"/>
              <w:ind w:left="567"/>
            </w:pPr>
            <w:r>
              <w:t>Probability of complications related to EMB</w:t>
            </w:r>
          </w:p>
        </w:tc>
        <w:tc>
          <w:tcPr>
            <w:tcW w:w="1134" w:type="dxa"/>
          </w:tcPr>
          <w:p w14:paraId="4051BD5A" w14:textId="77777777" w:rsidR="002F2AFD" w:rsidRPr="00501E73" w:rsidRDefault="002F2AFD" w:rsidP="004C79C1">
            <w:pPr>
              <w:pStyle w:val="Tabletext1"/>
              <w:tabs>
                <w:tab w:val="decimal" w:pos="601"/>
              </w:tabs>
              <w:spacing w:before="0" w:after="120"/>
              <w:jc w:val="right"/>
            </w:pPr>
            <w:r>
              <w:t>1%</w:t>
            </w:r>
          </w:p>
        </w:tc>
        <w:tc>
          <w:tcPr>
            <w:tcW w:w="3351" w:type="dxa"/>
          </w:tcPr>
          <w:p w14:paraId="1ADA017C" w14:textId="0FBFDF49" w:rsidR="002F2AFD" w:rsidRPr="00501E73" w:rsidRDefault="002D6811" w:rsidP="004C79C1">
            <w:pPr>
              <w:pStyle w:val="Tabletext1"/>
              <w:spacing w:before="0" w:after="120"/>
            </w:pPr>
            <w:r>
              <w:t xml:space="preserve">See </w:t>
            </w:r>
            <w:r w:rsidR="00066D73">
              <w:fldChar w:fldCharType="begin"/>
            </w:r>
            <w:r w:rsidR="00066D73">
              <w:instrText xml:space="preserve"> REF _Ref431283813 \h </w:instrText>
            </w:r>
            <w:r w:rsidR="00066D73">
              <w:fldChar w:fldCharType="separate"/>
            </w:r>
            <w:r w:rsidR="00066D73" w:rsidRPr="0032214A">
              <w:t xml:space="preserve">Table </w:t>
            </w:r>
            <w:r w:rsidR="00066D73">
              <w:rPr>
                <w:noProof/>
              </w:rPr>
              <w:t>98</w:t>
            </w:r>
            <w:r w:rsidR="00066D73">
              <w:fldChar w:fldCharType="end"/>
            </w:r>
            <w:r w:rsidR="002F2AFD">
              <w:t>, Appendix J</w:t>
            </w:r>
          </w:p>
        </w:tc>
      </w:tr>
      <w:tr w:rsidR="002F2AFD" w:rsidRPr="00501E73" w14:paraId="2356EE68" w14:textId="77777777" w:rsidTr="00857B30">
        <w:trPr>
          <w:cantSplit/>
        </w:trPr>
        <w:tc>
          <w:tcPr>
            <w:tcW w:w="4531" w:type="dxa"/>
          </w:tcPr>
          <w:p w14:paraId="64041598" w14:textId="77777777" w:rsidR="002F2AFD" w:rsidRDefault="002F2AFD" w:rsidP="004C79C1">
            <w:pPr>
              <w:pStyle w:val="Tabletext1"/>
              <w:spacing w:before="0" w:after="120"/>
              <w:ind w:left="567"/>
            </w:pPr>
            <w:r>
              <w:t>Cost of treating AEs</w:t>
            </w:r>
          </w:p>
        </w:tc>
        <w:tc>
          <w:tcPr>
            <w:tcW w:w="1134" w:type="dxa"/>
          </w:tcPr>
          <w:p w14:paraId="0BBD668D" w14:textId="77777777" w:rsidR="002F2AFD" w:rsidRDefault="002F2AFD" w:rsidP="004C79C1">
            <w:pPr>
              <w:pStyle w:val="Tabletext1"/>
              <w:tabs>
                <w:tab w:val="decimal" w:pos="601"/>
              </w:tabs>
              <w:spacing w:before="0" w:after="120"/>
              <w:jc w:val="right"/>
            </w:pPr>
            <w:r w:rsidRPr="00612BB1">
              <w:t>$3,</w:t>
            </w:r>
            <w:r>
              <w:t>305.30</w:t>
            </w:r>
          </w:p>
        </w:tc>
        <w:tc>
          <w:tcPr>
            <w:tcW w:w="3351" w:type="dxa"/>
          </w:tcPr>
          <w:p w14:paraId="7C13EC23" w14:textId="6232B4D9" w:rsidR="002F2AFD" w:rsidRPr="00501E73" w:rsidRDefault="002F2AFD" w:rsidP="004C79C1">
            <w:pPr>
              <w:pStyle w:val="Tabletext1"/>
              <w:spacing w:before="0" w:after="120"/>
              <w:rPr>
                <w:highlight w:val="yellow"/>
              </w:rPr>
            </w:pPr>
            <w:r w:rsidRPr="009E1C13">
              <w:t>Difference of NEP for</w:t>
            </w:r>
            <w:r>
              <w:t xml:space="preserve"> AR-DRG</w:t>
            </w:r>
            <w:r w:rsidRPr="009E1C13">
              <w:t xml:space="preserve"> F16A and F16B</w:t>
            </w:r>
            <w:r w:rsidR="002D6811">
              <w:rPr>
                <w:vertAlign w:val="superscript"/>
              </w:rPr>
              <w:t xml:space="preserve"> b</w:t>
            </w:r>
          </w:p>
        </w:tc>
      </w:tr>
      <w:tr w:rsidR="002F2AFD" w:rsidRPr="00501E73" w14:paraId="013F36EF" w14:textId="77777777" w:rsidTr="00857B30">
        <w:trPr>
          <w:cantSplit/>
        </w:trPr>
        <w:tc>
          <w:tcPr>
            <w:tcW w:w="4531" w:type="dxa"/>
            <w:tcBorders>
              <w:top w:val="single" w:sz="4" w:space="0" w:color="auto"/>
            </w:tcBorders>
          </w:tcPr>
          <w:p w14:paraId="5904D0A4" w14:textId="77777777" w:rsidR="002F2AFD" w:rsidRPr="00C121AE" w:rsidRDefault="002F2AFD" w:rsidP="004C79C1">
            <w:pPr>
              <w:pStyle w:val="Tabletext1"/>
              <w:spacing w:before="0" w:after="120"/>
              <w:rPr>
                <w:b/>
              </w:rPr>
            </w:pPr>
            <w:r w:rsidRPr="00C121AE">
              <w:rPr>
                <w:b/>
              </w:rPr>
              <w:t>TOTAL</w:t>
            </w:r>
          </w:p>
        </w:tc>
        <w:tc>
          <w:tcPr>
            <w:tcW w:w="1134" w:type="dxa"/>
            <w:tcBorders>
              <w:top w:val="single" w:sz="4" w:space="0" w:color="auto"/>
            </w:tcBorders>
          </w:tcPr>
          <w:p w14:paraId="28C4FAA6" w14:textId="77777777" w:rsidR="002F2AFD" w:rsidRPr="00C121AE" w:rsidRDefault="002F2AFD" w:rsidP="004C79C1">
            <w:pPr>
              <w:pStyle w:val="Tabletext1"/>
              <w:tabs>
                <w:tab w:val="decimal" w:pos="601"/>
              </w:tabs>
              <w:spacing w:before="0" w:after="120"/>
              <w:jc w:val="right"/>
              <w:rPr>
                <w:b/>
                <w:bCs/>
                <w:color w:val="000000"/>
              </w:rPr>
            </w:pPr>
            <w:r w:rsidRPr="00C121AE">
              <w:rPr>
                <w:b/>
                <w:bCs/>
                <w:color w:val="000000"/>
              </w:rPr>
              <w:t>$</w:t>
            </w:r>
            <w:r>
              <w:rPr>
                <w:b/>
                <w:bCs/>
                <w:color w:val="000000"/>
              </w:rPr>
              <w:t>1,106.23</w:t>
            </w:r>
          </w:p>
        </w:tc>
        <w:tc>
          <w:tcPr>
            <w:tcW w:w="3351" w:type="dxa"/>
            <w:tcBorders>
              <w:top w:val="single" w:sz="4" w:space="0" w:color="auto"/>
            </w:tcBorders>
          </w:tcPr>
          <w:p w14:paraId="27D06854" w14:textId="77777777" w:rsidR="002F2AFD" w:rsidRPr="00C121AE" w:rsidRDefault="002F2AFD" w:rsidP="004C79C1">
            <w:pPr>
              <w:pStyle w:val="Tabletext1"/>
              <w:spacing w:before="0" w:after="120"/>
              <w:rPr>
                <w:b/>
              </w:rPr>
            </w:pPr>
          </w:p>
        </w:tc>
      </w:tr>
    </w:tbl>
    <w:p w14:paraId="20BE1F67" w14:textId="5C974082" w:rsidR="002F2AFD" w:rsidRDefault="00EE1B8F" w:rsidP="004C79C1">
      <w:pPr>
        <w:pStyle w:val="Tablenotes0"/>
        <w:spacing w:before="0" w:after="120"/>
      </w:pPr>
      <w:r w:rsidRPr="00066D73">
        <w:rPr>
          <w:vertAlign w:val="superscript"/>
        </w:rPr>
        <w:t>a</w:t>
      </w:r>
      <w:r w:rsidR="002F2AFD">
        <w:t xml:space="preserve"> Multiple Operation Rule applies to MBS items (38200 and 38275) included in this group, and the schedule fee for benefits purposes is the aggregate of the fees calculated in accordance with the formula</w:t>
      </w:r>
      <w:r w:rsidR="00E736A8">
        <w:t>:</w:t>
      </w:r>
      <w:r w:rsidR="002F2AFD">
        <w:t xml:space="preserve"> 100% for the item with the greatest </w:t>
      </w:r>
      <w:r w:rsidR="00861EFC">
        <w:t>s</w:t>
      </w:r>
      <w:r w:rsidR="002F2AFD">
        <w:t xml:space="preserve">chedule fee + 50% for the item with the next greatest </w:t>
      </w:r>
      <w:r w:rsidR="00861EFC">
        <w:t>s</w:t>
      </w:r>
      <w:r w:rsidR="002F2AFD">
        <w:t xml:space="preserve">chedule fee </w:t>
      </w:r>
      <w:r w:rsidR="00FA2BB3">
        <w:t xml:space="preserve">+ </w:t>
      </w:r>
      <w:r w:rsidR="002F2AFD">
        <w:t>25% for each other item.</w:t>
      </w:r>
    </w:p>
    <w:p w14:paraId="38C78511" w14:textId="1010E3DD" w:rsidR="002F2AFD" w:rsidRDefault="002D6811" w:rsidP="004C79C1">
      <w:pPr>
        <w:pStyle w:val="Tablenotes0"/>
        <w:spacing w:before="0" w:after="120"/>
      </w:pPr>
      <w:r w:rsidRPr="00066D73">
        <w:rPr>
          <w:vertAlign w:val="superscript"/>
        </w:rPr>
        <w:t>b</w:t>
      </w:r>
      <w:r w:rsidR="002F2AFD" w:rsidRPr="00687485">
        <w:t xml:space="preserve"> Difference in the price weights for AR-DRGs F16A and F16B </w:t>
      </w:r>
      <w:r w:rsidR="00FA2BB3">
        <w:t>(I</w:t>
      </w:r>
      <w:r w:rsidR="002F2AFD" w:rsidRPr="00687485">
        <w:t xml:space="preserve">nterventional </w:t>
      </w:r>
      <w:r w:rsidR="00FA2BB3">
        <w:t>C</w:t>
      </w:r>
      <w:r w:rsidR="002F2AFD" w:rsidRPr="00687485">
        <w:t xml:space="preserve">oronary </w:t>
      </w:r>
      <w:r w:rsidR="00FA2BB3">
        <w:t>P</w:t>
      </w:r>
      <w:r w:rsidR="002F2AFD" w:rsidRPr="00687485">
        <w:t xml:space="preserve">rocedures, </w:t>
      </w:r>
      <w:r w:rsidR="00FA2BB3">
        <w:t>N</w:t>
      </w:r>
      <w:r w:rsidR="002F2AFD" w:rsidRPr="00687485">
        <w:t xml:space="preserve">ot </w:t>
      </w:r>
      <w:r w:rsidR="00FA2BB3">
        <w:t>A</w:t>
      </w:r>
      <w:r w:rsidR="002F2AFD" w:rsidRPr="00687485">
        <w:t>dmitted for AMI</w:t>
      </w:r>
      <w:r w:rsidR="00855D6B">
        <w:t>,</w:t>
      </w:r>
      <w:r w:rsidR="002F2AFD" w:rsidRPr="00687485">
        <w:t xml:space="preserve"> </w:t>
      </w:r>
      <w:r w:rsidR="00FA2BB3">
        <w:t>W</w:t>
      </w:r>
      <w:r w:rsidR="002F2AFD" w:rsidRPr="00687485">
        <w:t xml:space="preserve">ithout </w:t>
      </w:r>
      <w:r w:rsidR="00FA2BB3">
        <w:t>S</w:t>
      </w:r>
      <w:r w:rsidR="002F2AFD" w:rsidRPr="00687485">
        <w:t xml:space="preserve">tent </w:t>
      </w:r>
      <w:r w:rsidR="00FA2BB3">
        <w:t>I</w:t>
      </w:r>
      <w:r w:rsidR="002F2AFD" w:rsidRPr="00687485">
        <w:t>mplant</w:t>
      </w:r>
      <w:r w:rsidR="00855D6B">
        <w:t>,</w:t>
      </w:r>
      <w:r w:rsidR="002F2AFD" w:rsidRPr="00687485">
        <w:t xml:space="preserve"> </w:t>
      </w:r>
      <w:r w:rsidR="00FA2BB3">
        <w:t>W</w:t>
      </w:r>
      <w:r w:rsidR="002F2AFD" w:rsidRPr="00687485">
        <w:t xml:space="preserve">ith </w:t>
      </w:r>
      <w:r w:rsidR="00FA2BB3">
        <w:t>C</w:t>
      </w:r>
      <w:r w:rsidR="002F2AFD" w:rsidRPr="00687485">
        <w:t xml:space="preserve">omplications and </w:t>
      </w:r>
      <w:r w:rsidR="00FA2BB3">
        <w:t>W</w:t>
      </w:r>
      <w:r w:rsidR="002F2AFD" w:rsidRPr="00687485">
        <w:t xml:space="preserve">ithout </w:t>
      </w:r>
      <w:r w:rsidR="00E3088C">
        <w:t>C</w:t>
      </w:r>
      <w:r w:rsidR="002F2AFD" w:rsidRPr="007E27D0">
        <w:t>omplications</w:t>
      </w:r>
      <w:r w:rsidR="00FA2BB3">
        <w:t>)</w:t>
      </w:r>
      <w:r w:rsidR="002F2AFD" w:rsidRPr="007E27D0">
        <w:t xml:space="preserve">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7E27D0">
        <w:t xml:space="preserve"> </w:t>
      </w:r>
      <w:r w:rsidR="00E3088C">
        <w:t>*</w:t>
      </w:r>
      <w:r w:rsidR="002F2AFD" w:rsidRPr="007E27D0">
        <w:t xml:space="preserve"> the N</w:t>
      </w:r>
      <w:r w:rsidR="006701F9">
        <w:t>EP</w:t>
      </w:r>
      <w:r w:rsidR="002F2AFD" w:rsidRPr="007E27D0">
        <w:t xml:space="preserve"> 2016</w:t>
      </w:r>
      <w:r w:rsidR="00E3088C">
        <w:t>–</w:t>
      </w:r>
      <w:r w:rsidR="002F2AFD" w:rsidRPr="007E27D0">
        <w:t xml:space="preserve">17 ($4,883) </w:t>
      </w:r>
      <w:r w:rsidR="002F2AFD" w:rsidRPr="007E27D0">
        <w:fldChar w:fldCharType="begin"/>
      </w:r>
      <w:r w:rsidR="002F2AFD">
        <w:instrText xml:space="preserve"> ADDIN EN.CITE &lt;EndNote&gt;&lt;Cite&gt;&lt;Author&gt;Independent Hospital Pricing Authority (IHPA)&lt;/Author&gt;&lt;Year&gt;2016&lt;/Year&gt;&lt;RecNum&gt;470&lt;/RecNum&gt;&lt;DisplayText&gt;(Independent Hospital Pricing Authority (IHPA) 2016)&lt;/DisplayText&gt;&lt;record&gt;&lt;rec-number&gt;470&lt;/rec-number&gt;&lt;foreign-keys&gt;&lt;key app="EN" db-id="902tefd05sz0tlevxvw5txd6rdazz2awszwd" timestamp="1459993605"&gt;470&lt;/key&gt;&lt;/foreign-keys&gt;&lt;ref-type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Cite&gt;&lt;Author&gt;Independent Hospital Pricing Authority (IHPA)&lt;/Author&gt;&lt;Year&gt;2016&lt;/Year&gt;&lt;RecNum&gt;162&lt;/RecNum&gt;&lt;record&gt;&lt;rec-number&gt;162&lt;/rec-number&gt;&lt;foreign-keys&gt;&lt;key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rsidRPr="007E27D0">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rsidRPr="007E27D0">
        <w:fldChar w:fldCharType="end"/>
      </w:r>
      <w:r w:rsidR="002F2AFD">
        <w:t>.</w:t>
      </w:r>
      <w:r w:rsidR="002F2AFD" w:rsidRPr="00687485">
        <w:t xml:space="preserve"> </w:t>
      </w:r>
    </w:p>
    <w:p w14:paraId="5C0D746C" w14:textId="77777777" w:rsidR="00E736A8" w:rsidRDefault="00E736A8" w:rsidP="004C79C1">
      <w:pPr>
        <w:pStyle w:val="Tablenotes0"/>
        <w:spacing w:before="0" w:after="120"/>
      </w:pPr>
      <w:r>
        <w:t xml:space="preserve">AEs = adverse events; AR-DRG = </w:t>
      </w:r>
      <w:r>
        <w:rPr>
          <w:rStyle w:val="st"/>
        </w:rPr>
        <w:t>Australian Refined Diagnosis Related Groups;</w:t>
      </w:r>
      <w:r>
        <w:t xml:space="preserve"> EMB = endomyocardial biopsy; MBS = Medicare Benefits Schedule; NEP = National Efficient Price</w:t>
      </w:r>
    </w:p>
    <w:p w14:paraId="51E4B131" w14:textId="3B1B4217" w:rsidR="002F2AFD" w:rsidRPr="00687485" w:rsidRDefault="002F2AFD" w:rsidP="004C79C1">
      <w:pPr>
        <w:pStyle w:val="Heading2"/>
        <w:spacing w:before="0" w:after="120" w:line="240" w:lineRule="auto"/>
      </w:pPr>
      <w:bookmarkStart w:id="992" w:name="_Toc450051823"/>
      <w:bookmarkStart w:id="993" w:name="_Toc451501440"/>
      <w:r>
        <w:t>Summary of</w:t>
      </w:r>
      <w:r w:rsidRPr="00687485">
        <w:t xml:space="preserve"> </w:t>
      </w:r>
      <w:r w:rsidR="007A6F7B">
        <w:t>T</w:t>
      </w:r>
      <w:r w:rsidRPr="00687485">
        <w:t>est</w:t>
      </w:r>
      <w:r>
        <w:t xml:space="preserve"> </w:t>
      </w:r>
      <w:r w:rsidR="007A6F7B">
        <w:t>C</w:t>
      </w:r>
      <w:r>
        <w:t>ost</w:t>
      </w:r>
      <w:r w:rsidRPr="00687485">
        <w:t>s</w:t>
      </w:r>
      <w:bookmarkEnd w:id="992"/>
      <w:bookmarkEnd w:id="993"/>
    </w:p>
    <w:p w14:paraId="3BFC15F5" w14:textId="0965BE47" w:rsidR="006F3122" w:rsidRDefault="002F2AFD" w:rsidP="004C79C1">
      <w:pPr>
        <w:spacing w:after="120" w:line="240" w:lineRule="auto"/>
        <w:jc w:val="both"/>
      </w:pPr>
      <w:r>
        <w:t xml:space="preserve">A summary of costs associated with proposed CMR and some of the other tests performed in this subgroup of patients </w:t>
      </w:r>
      <w:proofErr w:type="gramStart"/>
      <w:r>
        <w:t>is</w:t>
      </w:r>
      <w:proofErr w:type="gramEnd"/>
      <w:r>
        <w:t xml:space="preserve"> provided in </w:t>
      </w:r>
      <w:r w:rsidR="00066D73">
        <w:fldChar w:fldCharType="begin"/>
      </w:r>
      <w:r w:rsidR="00066D73">
        <w:instrText xml:space="preserve"> REF _Ref449545112 \h </w:instrText>
      </w:r>
      <w:r w:rsidR="00066D73">
        <w:fldChar w:fldCharType="separate"/>
      </w:r>
      <w:r w:rsidR="00066D73">
        <w:t xml:space="preserve">Table </w:t>
      </w:r>
      <w:r w:rsidR="00066D73">
        <w:rPr>
          <w:noProof/>
        </w:rPr>
        <w:t>104</w:t>
      </w:r>
      <w:r w:rsidR="00066D73">
        <w:fldChar w:fldCharType="end"/>
      </w:r>
      <w:r>
        <w:t xml:space="preserve"> for comparative or contextual purpose</w:t>
      </w:r>
      <w:r w:rsidR="00031731">
        <w:t>s</w:t>
      </w:r>
      <w:r>
        <w:t xml:space="preserve">. </w:t>
      </w:r>
      <w:r w:rsidR="00266CDA">
        <w:t>The r</w:t>
      </w:r>
      <w:r>
        <w:t>eferral cost is not included in the costings of these tests (except for genetic test</w:t>
      </w:r>
      <w:r w:rsidR="00031731">
        <w:t>ing</w:t>
      </w:r>
      <w:r>
        <w:t>) as multiple tests can be referred in a single visit.</w:t>
      </w:r>
    </w:p>
    <w:p w14:paraId="219B9B29" w14:textId="58EBCC06" w:rsidR="002F2AFD" w:rsidRDefault="002F2AFD" w:rsidP="004C79C1">
      <w:pPr>
        <w:pStyle w:val="Caption"/>
      </w:pPr>
      <w:bookmarkStart w:id="994" w:name="_Ref449545112"/>
      <w:bookmarkStart w:id="995" w:name="_Toc450052117"/>
      <w:bookmarkStart w:id="996" w:name="_Toc324410308"/>
      <w:bookmarkStart w:id="997" w:name="_Toc451435431"/>
      <w:r>
        <w:t xml:space="preserve">Table </w:t>
      </w:r>
      <w:fldSimple w:instr=" SEQ Table \* ARABIC ">
        <w:r w:rsidR="00050936">
          <w:rPr>
            <w:noProof/>
          </w:rPr>
          <w:t>104</w:t>
        </w:r>
      </w:fldSimple>
      <w:bookmarkEnd w:id="994"/>
      <w:r>
        <w:tab/>
        <w:t>Summary of costs associated with some of the tests performed in patients suspected of NIDCM</w:t>
      </w:r>
      <w:bookmarkEnd w:id="995"/>
      <w:bookmarkEnd w:id="996"/>
      <w:bookmarkEnd w:id="997"/>
    </w:p>
    <w:tbl>
      <w:tblPr>
        <w:tblStyle w:val="TableGrid"/>
        <w:tblpPr w:leftFromText="180" w:rightFromText="180" w:vertAnchor="text" w:horzAnchor="margin" w:tblpY="5"/>
        <w:tblW w:w="0" w:type="auto"/>
        <w:tblLook w:val="04A0" w:firstRow="1" w:lastRow="0" w:firstColumn="1" w:lastColumn="0" w:noHBand="0" w:noVBand="1"/>
        <w:tblCaption w:val="Summary of costs associated with some of the tests performed in patients suspected of NIDCM"/>
      </w:tblPr>
      <w:tblGrid>
        <w:gridCol w:w="4344"/>
        <w:gridCol w:w="1365"/>
        <w:gridCol w:w="3307"/>
      </w:tblGrid>
      <w:tr w:rsidR="002F2AFD" w:rsidRPr="00501E73" w14:paraId="1FFD7D58" w14:textId="77777777" w:rsidTr="00857B30">
        <w:trPr>
          <w:tblHeader/>
        </w:trPr>
        <w:tc>
          <w:tcPr>
            <w:tcW w:w="4344" w:type="dxa"/>
            <w:tcBorders>
              <w:bottom w:val="single" w:sz="4" w:space="0" w:color="auto"/>
            </w:tcBorders>
          </w:tcPr>
          <w:p w14:paraId="699C2F16" w14:textId="77777777" w:rsidR="002F2AFD" w:rsidRPr="00501E73" w:rsidRDefault="002F2AFD" w:rsidP="004C79C1">
            <w:pPr>
              <w:pStyle w:val="TableHeading"/>
              <w:spacing w:before="0" w:after="120"/>
            </w:pPr>
            <w:r>
              <w:t>Test</w:t>
            </w:r>
          </w:p>
        </w:tc>
        <w:tc>
          <w:tcPr>
            <w:tcW w:w="1365" w:type="dxa"/>
            <w:tcBorders>
              <w:bottom w:val="single" w:sz="4" w:space="0" w:color="auto"/>
            </w:tcBorders>
          </w:tcPr>
          <w:p w14:paraId="27C74BDD" w14:textId="77777777" w:rsidR="002F2AFD" w:rsidRPr="00501E73" w:rsidRDefault="002F2AFD" w:rsidP="004C79C1">
            <w:pPr>
              <w:pStyle w:val="TableHeading"/>
              <w:spacing w:before="0" w:after="120"/>
              <w:jc w:val="center"/>
            </w:pPr>
            <w:r w:rsidRPr="00501E73">
              <w:t>Estimate</w:t>
            </w:r>
          </w:p>
        </w:tc>
        <w:tc>
          <w:tcPr>
            <w:tcW w:w="3307" w:type="dxa"/>
            <w:tcBorders>
              <w:bottom w:val="single" w:sz="4" w:space="0" w:color="auto"/>
            </w:tcBorders>
          </w:tcPr>
          <w:p w14:paraId="23B63434" w14:textId="77777777" w:rsidR="002F2AFD" w:rsidRPr="00501E73" w:rsidRDefault="002F2AFD" w:rsidP="004C79C1">
            <w:pPr>
              <w:pStyle w:val="TableHeading"/>
              <w:spacing w:before="0" w:after="120"/>
              <w:jc w:val="center"/>
            </w:pPr>
            <w:r w:rsidRPr="00501E73">
              <w:t>Source</w:t>
            </w:r>
          </w:p>
        </w:tc>
      </w:tr>
      <w:tr w:rsidR="002F2AFD" w:rsidRPr="00501E73" w14:paraId="4DB44C47" w14:textId="77777777" w:rsidTr="00857B30">
        <w:tc>
          <w:tcPr>
            <w:tcW w:w="4344" w:type="dxa"/>
            <w:tcBorders>
              <w:bottom w:val="single" w:sz="4" w:space="0" w:color="auto"/>
            </w:tcBorders>
          </w:tcPr>
          <w:p w14:paraId="5ABE5343" w14:textId="77777777" w:rsidR="002F2AFD" w:rsidRPr="00877AE6" w:rsidRDefault="002F2AFD" w:rsidP="004C79C1">
            <w:pPr>
              <w:pStyle w:val="TableHeading"/>
              <w:spacing w:before="0" w:after="120"/>
              <w:rPr>
                <w:b w:val="0"/>
              </w:rPr>
            </w:pPr>
            <w:r w:rsidRPr="00877AE6">
              <w:rPr>
                <w:b w:val="0"/>
              </w:rPr>
              <w:t>CMR</w:t>
            </w:r>
          </w:p>
        </w:tc>
        <w:tc>
          <w:tcPr>
            <w:tcW w:w="1365" w:type="dxa"/>
            <w:tcBorders>
              <w:bottom w:val="single" w:sz="4" w:space="0" w:color="auto"/>
            </w:tcBorders>
          </w:tcPr>
          <w:p w14:paraId="528D1751" w14:textId="77777777" w:rsidR="002F2AFD" w:rsidRPr="009B1AD1" w:rsidRDefault="002F2AFD" w:rsidP="004C79C1">
            <w:pPr>
              <w:pStyle w:val="Tabletext1"/>
              <w:tabs>
                <w:tab w:val="decimal" w:pos="459"/>
                <w:tab w:val="decimal" w:pos="658"/>
                <w:tab w:val="decimal" w:pos="4820"/>
              </w:tabs>
              <w:spacing w:before="0" w:after="120"/>
              <w:jc w:val="right"/>
            </w:pPr>
            <w:r w:rsidRPr="009B1AD1">
              <w:t>$</w:t>
            </w:r>
            <w:r>
              <w:t>1,106</w:t>
            </w:r>
            <w:r w:rsidRPr="009B1AD1">
              <w:t>.</w:t>
            </w:r>
            <w:r>
              <w:t>31</w:t>
            </w:r>
          </w:p>
        </w:tc>
        <w:tc>
          <w:tcPr>
            <w:tcW w:w="3307" w:type="dxa"/>
            <w:tcBorders>
              <w:bottom w:val="single" w:sz="4" w:space="0" w:color="auto"/>
            </w:tcBorders>
          </w:tcPr>
          <w:p w14:paraId="09C46070" w14:textId="08D6DC43" w:rsidR="002F2AFD" w:rsidRPr="009B1AD1" w:rsidRDefault="00066D73" w:rsidP="004C79C1">
            <w:pPr>
              <w:pStyle w:val="Tabletext1"/>
              <w:tabs>
                <w:tab w:val="left" w:pos="459"/>
              </w:tabs>
              <w:spacing w:before="0" w:after="120"/>
            </w:pPr>
            <w:r>
              <w:fldChar w:fldCharType="begin"/>
            </w:r>
            <w:r>
              <w:instrText xml:space="preserve"> REF _Ref451253034 \h </w:instrText>
            </w:r>
            <w:r>
              <w:fldChar w:fldCharType="separate"/>
            </w:r>
            <w:r>
              <w:t xml:space="preserve">Table </w:t>
            </w:r>
            <w:r>
              <w:rPr>
                <w:noProof/>
              </w:rPr>
              <w:t>34</w:t>
            </w:r>
            <w:r>
              <w:fldChar w:fldCharType="end"/>
            </w:r>
          </w:p>
        </w:tc>
      </w:tr>
      <w:tr w:rsidR="002F2AFD" w:rsidRPr="00501E73" w14:paraId="2EB618C3" w14:textId="77777777" w:rsidTr="00857B30">
        <w:tc>
          <w:tcPr>
            <w:tcW w:w="4344" w:type="dxa"/>
            <w:tcBorders>
              <w:bottom w:val="single" w:sz="4" w:space="0" w:color="auto"/>
              <w:right w:val="single" w:sz="4" w:space="0" w:color="auto"/>
            </w:tcBorders>
          </w:tcPr>
          <w:p w14:paraId="18DF2459" w14:textId="78F8F038" w:rsidR="002F2AFD" w:rsidRPr="00191CC8" w:rsidRDefault="002F2AFD" w:rsidP="004C79C1">
            <w:pPr>
              <w:pStyle w:val="Tabletext1"/>
              <w:spacing w:before="0" w:after="120"/>
            </w:pPr>
            <w:r w:rsidRPr="00191CC8">
              <w:t>E</w:t>
            </w:r>
            <w:r w:rsidR="0032140D">
              <w:t>MB</w:t>
            </w:r>
          </w:p>
        </w:tc>
        <w:tc>
          <w:tcPr>
            <w:tcW w:w="1365" w:type="dxa"/>
            <w:tcBorders>
              <w:left w:val="single" w:sz="4" w:space="0" w:color="auto"/>
              <w:bottom w:val="single" w:sz="4" w:space="0" w:color="auto"/>
              <w:right w:val="single" w:sz="4" w:space="0" w:color="auto"/>
            </w:tcBorders>
          </w:tcPr>
          <w:p w14:paraId="43823B08" w14:textId="77777777" w:rsidR="002F2AFD" w:rsidRPr="00191CC8" w:rsidRDefault="002F2AFD" w:rsidP="004C79C1">
            <w:pPr>
              <w:pStyle w:val="Tabletext1"/>
              <w:tabs>
                <w:tab w:val="decimal" w:pos="459"/>
                <w:tab w:val="decimal" w:pos="658"/>
                <w:tab w:val="decimal" w:pos="4820"/>
              </w:tabs>
              <w:spacing w:before="0" w:after="120"/>
              <w:jc w:val="right"/>
            </w:pPr>
            <w:r w:rsidRPr="00191CC8">
              <w:rPr>
                <w:color w:val="FFFFFF" w:themeColor="background1"/>
              </w:rPr>
              <w:t>-</w:t>
            </w:r>
            <w:r w:rsidRPr="00191CC8">
              <w:rPr>
                <w:bCs/>
                <w:color w:val="000000"/>
              </w:rPr>
              <w:t>$1</w:t>
            </w:r>
            <w:r>
              <w:rPr>
                <w:bCs/>
                <w:color w:val="000000"/>
              </w:rPr>
              <w:t>,</w:t>
            </w:r>
            <w:r w:rsidRPr="00191CC8">
              <w:rPr>
                <w:bCs/>
                <w:color w:val="000000"/>
              </w:rPr>
              <w:t>005.82</w:t>
            </w:r>
          </w:p>
        </w:tc>
        <w:tc>
          <w:tcPr>
            <w:tcW w:w="3307" w:type="dxa"/>
            <w:tcBorders>
              <w:left w:val="single" w:sz="4" w:space="0" w:color="auto"/>
              <w:bottom w:val="single" w:sz="4" w:space="0" w:color="auto"/>
            </w:tcBorders>
          </w:tcPr>
          <w:p w14:paraId="761F6D6E" w14:textId="78EEE60A" w:rsidR="002F2AFD" w:rsidRPr="00501E73" w:rsidRDefault="00066D73" w:rsidP="004C79C1">
            <w:pPr>
              <w:pStyle w:val="Tabletext1"/>
              <w:spacing w:before="0" w:after="120"/>
            </w:pPr>
            <w:r>
              <w:fldChar w:fldCharType="begin"/>
            </w:r>
            <w:r>
              <w:instrText xml:space="preserve"> REF _Ref449544877 \h </w:instrText>
            </w:r>
            <w:r>
              <w:fldChar w:fldCharType="separate"/>
            </w:r>
            <w:r>
              <w:t xml:space="preserve">Table </w:t>
            </w:r>
            <w:r>
              <w:rPr>
                <w:noProof/>
              </w:rPr>
              <w:t>103</w:t>
            </w:r>
            <w:r>
              <w:fldChar w:fldCharType="end"/>
            </w:r>
            <w:r w:rsidR="002F2AFD">
              <w:t>, Appendix L</w:t>
            </w:r>
          </w:p>
        </w:tc>
      </w:tr>
      <w:tr w:rsidR="002F2AFD" w:rsidRPr="00501E73" w14:paraId="71342DE6" w14:textId="77777777" w:rsidTr="00857B30">
        <w:tc>
          <w:tcPr>
            <w:tcW w:w="4344" w:type="dxa"/>
            <w:tcBorders>
              <w:top w:val="single" w:sz="4" w:space="0" w:color="auto"/>
              <w:bottom w:val="single" w:sz="4" w:space="0" w:color="auto"/>
            </w:tcBorders>
          </w:tcPr>
          <w:p w14:paraId="1AE0B7CD" w14:textId="77777777" w:rsidR="002F2AFD" w:rsidRPr="00501E73" w:rsidRDefault="002F2AFD" w:rsidP="004C79C1">
            <w:pPr>
              <w:pStyle w:val="Tabletext1"/>
              <w:spacing w:before="0" w:after="120"/>
            </w:pPr>
            <w:r>
              <w:t>24-hour ECG</w:t>
            </w:r>
          </w:p>
        </w:tc>
        <w:tc>
          <w:tcPr>
            <w:tcW w:w="1365" w:type="dxa"/>
            <w:tcBorders>
              <w:top w:val="single" w:sz="4" w:space="0" w:color="auto"/>
              <w:bottom w:val="single" w:sz="4" w:space="0" w:color="auto"/>
            </w:tcBorders>
            <w:vAlign w:val="bottom"/>
          </w:tcPr>
          <w:p w14:paraId="39F7E779" w14:textId="77777777" w:rsidR="002F2AFD" w:rsidRPr="00E2361E" w:rsidRDefault="002F2AFD" w:rsidP="004C79C1">
            <w:pPr>
              <w:pStyle w:val="Tabletext1"/>
              <w:tabs>
                <w:tab w:val="decimal" w:pos="459"/>
                <w:tab w:val="decimal" w:pos="658"/>
                <w:tab w:val="decimal" w:pos="4820"/>
              </w:tabs>
              <w:spacing w:before="0" w:after="120"/>
              <w:jc w:val="right"/>
            </w:pPr>
            <w:r w:rsidRPr="00E2361E">
              <w:t>$167.45</w:t>
            </w:r>
          </w:p>
        </w:tc>
        <w:tc>
          <w:tcPr>
            <w:tcW w:w="3307" w:type="dxa"/>
            <w:tcBorders>
              <w:top w:val="single" w:sz="4" w:space="0" w:color="auto"/>
              <w:bottom w:val="single" w:sz="4" w:space="0" w:color="auto"/>
            </w:tcBorders>
            <w:vAlign w:val="bottom"/>
          </w:tcPr>
          <w:p w14:paraId="7677E90A" w14:textId="77777777" w:rsidR="002F2AFD" w:rsidRPr="00E2361E" w:rsidRDefault="002F2AFD" w:rsidP="004C79C1">
            <w:pPr>
              <w:pStyle w:val="Tabletext1"/>
              <w:spacing w:before="0" w:after="120"/>
            </w:pPr>
            <w:r w:rsidRPr="00E2361E">
              <w:t>MBS schedule fee for item 11709</w:t>
            </w:r>
          </w:p>
        </w:tc>
      </w:tr>
      <w:tr w:rsidR="002F2AFD" w:rsidRPr="00501E73" w14:paraId="2CC790E5" w14:textId="77777777" w:rsidTr="00857B30">
        <w:tc>
          <w:tcPr>
            <w:tcW w:w="4344" w:type="dxa"/>
            <w:vAlign w:val="bottom"/>
          </w:tcPr>
          <w:p w14:paraId="79D1C7C3" w14:textId="3B767DFE" w:rsidR="002F2AFD" w:rsidRPr="00626315" w:rsidRDefault="002F2AFD" w:rsidP="004C79C1">
            <w:pPr>
              <w:pStyle w:val="Tabletext1"/>
              <w:spacing w:before="0" w:after="120"/>
              <w:rPr>
                <w:bCs/>
                <w:color w:val="000000"/>
              </w:rPr>
            </w:pPr>
            <w:r w:rsidRPr="00E2361E">
              <w:rPr>
                <w:color w:val="000000"/>
              </w:rPr>
              <w:t>Exercise testing with measurement of peak oxygen uptake</w:t>
            </w:r>
            <w:r w:rsidR="004F28B1">
              <w:rPr>
                <w:color w:val="000000"/>
              </w:rPr>
              <w:t xml:space="preserve"> </w:t>
            </w:r>
            <w:r w:rsidRPr="00441121">
              <w:rPr>
                <w:color w:val="000000"/>
                <w:vertAlign w:val="superscript"/>
              </w:rPr>
              <w:t>a</w:t>
            </w:r>
          </w:p>
        </w:tc>
        <w:tc>
          <w:tcPr>
            <w:tcW w:w="1365" w:type="dxa"/>
          </w:tcPr>
          <w:p w14:paraId="7FE983BD" w14:textId="77777777" w:rsidR="002F2AFD" w:rsidRPr="00A17937" w:rsidRDefault="002F2AFD" w:rsidP="004C79C1">
            <w:pPr>
              <w:pStyle w:val="Tabletext1"/>
              <w:tabs>
                <w:tab w:val="decimal" w:pos="459"/>
                <w:tab w:val="decimal" w:pos="658"/>
                <w:tab w:val="decimal" w:pos="4820"/>
              </w:tabs>
              <w:spacing w:before="0" w:after="120"/>
              <w:jc w:val="right"/>
              <w:rPr>
                <w:b/>
                <w:bCs/>
                <w:color w:val="000000"/>
              </w:rPr>
            </w:pPr>
            <w:r w:rsidRPr="00E573A3">
              <w:t>$290.80</w:t>
            </w:r>
          </w:p>
        </w:tc>
        <w:tc>
          <w:tcPr>
            <w:tcW w:w="3307" w:type="dxa"/>
            <w:vAlign w:val="bottom"/>
          </w:tcPr>
          <w:p w14:paraId="3C6FEC43" w14:textId="77777777" w:rsidR="002F2AFD" w:rsidRPr="00501E73" w:rsidRDefault="002F2AFD" w:rsidP="004C79C1">
            <w:pPr>
              <w:pStyle w:val="Tabletext1"/>
              <w:spacing w:before="0" w:after="120"/>
              <w:rPr>
                <w:bCs/>
                <w:color w:val="000000"/>
              </w:rPr>
            </w:pPr>
            <w:r w:rsidRPr="00501E73">
              <w:rPr>
                <w:color w:val="000000"/>
              </w:rPr>
              <w:t>MBS</w:t>
            </w:r>
            <w:r>
              <w:rPr>
                <w:color w:val="000000"/>
              </w:rPr>
              <w:t xml:space="preserve"> schedule</w:t>
            </w:r>
            <w:r w:rsidRPr="00501E73">
              <w:rPr>
                <w:color w:val="000000"/>
              </w:rPr>
              <w:t xml:space="preserve"> </w:t>
            </w:r>
            <w:r>
              <w:rPr>
                <w:color w:val="000000"/>
              </w:rPr>
              <w:t>fee</w:t>
            </w:r>
            <w:r w:rsidRPr="00501E73">
              <w:rPr>
                <w:color w:val="000000"/>
              </w:rPr>
              <w:t xml:space="preserve"> for item </w:t>
            </w:r>
            <w:r>
              <w:rPr>
                <w:color w:val="000000"/>
              </w:rPr>
              <w:t>11712 +</w:t>
            </w:r>
            <w:r w:rsidRPr="00501E73">
              <w:rPr>
                <w:color w:val="000000"/>
              </w:rPr>
              <w:t xml:space="preserve"> MBS</w:t>
            </w:r>
            <w:r>
              <w:rPr>
                <w:color w:val="000000"/>
              </w:rPr>
              <w:t xml:space="preserve"> schedule</w:t>
            </w:r>
            <w:r w:rsidRPr="00501E73">
              <w:rPr>
                <w:color w:val="000000"/>
              </w:rPr>
              <w:t xml:space="preserve"> </w:t>
            </w:r>
            <w:r>
              <w:rPr>
                <w:color w:val="000000"/>
              </w:rPr>
              <w:t>fee</w:t>
            </w:r>
            <w:r w:rsidRPr="00501E73">
              <w:rPr>
                <w:color w:val="000000"/>
              </w:rPr>
              <w:t xml:space="preserve"> for item </w:t>
            </w:r>
            <w:r>
              <w:rPr>
                <w:color w:val="000000"/>
              </w:rPr>
              <w:t>11500</w:t>
            </w:r>
          </w:p>
        </w:tc>
      </w:tr>
      <w:tr w:rsidR="002F2AFD" w:rsidRPr="00501E73" w14:paraId="2557D6DA" w14:textId="77777777" w:rsidTr="00857B30">
        <w:tc>
          <w:tcPr>
            <w:tcW w:w="4344" w:type="dxa"/>
            <w:tcBorders>
              <w:bottom w:val="single" w:sz="4" w:space="0" w:color="auto"/>
            </w:tcBorders>
            <w:vAlign w:val="center"/>
          </w:tcPr>
          <w:p w14:paraId="7F0E70C3" w14:textId="01249839" w:rsidR="002F2AFD" w:rsidRPr="00626315" w:rsidRDefault="002F2AFD" w:rsidP="004C79C1">
            <w:pPr>
              <w:pStyle w:val="Tabletext1"/>
              <w:spacing w:before="0" w:after="120"/>
              <w:rPr>
                <w:bCs/>
                <w:color w:val="000000"/>
              </w:rPr>
            </w:pPr>
            <w:r w:rsidRPr="00626315">
              <w:rPr>
                <w:bCs/>
                <w:color w:val="000000"/>
              </w:rPr>
              <w:t>Genetic testing</w:t>
            </w:r>
            <w:r w:rsidR="004F28B1">
              <w:rPr>
                <w:bCs/>
                <w:color w:val="000000"/>
              </w:rPr>
              <w:t xml:space="preserve"> </w:t>
            </w:r>
            <w:r w:rsidR="004F28B1" w:rsidRPr="00066D73">
              <w:rPr>
                <w:bCs/>
                <w:color w:val="000000"/>
                <w:vertAlign w:val="superscript"/>
              </w:rPr>
              <w:t>b</w:t>
            </w:r>
          </w:p>
        </w:tc>
        <w:tc>
          <w:tcPr>
            <w:tcW w:w="1365" w:type="dxa"/>
            <w:tcBorders>
              <w:bottom w:val="single" w:sz="4" w:space="0" w:color="auto"/>
            </w:tcBorders>
            <w:vAlign w:val="center"/>
          </w:tcPr>
          <w:p w14:paraId="6808E54B" w14:textId="77777777" w:rsidR="002F2AFD" w:rsidRPr="00626315" w:rsidRDefault="002F2AFD" w:rsidP="004C79C1">
            <w:pPr>
              <w:pStyle w:val="Tabletext1"/>
              <w:tabs>
                <w:tab w:val="decimal" w:pos="459"/>
                <w:tab w:val="decimal" w:pos="658"/>
                <w:tab w:val="decimal" w:pos="4820"/>
              </w:tabs>
              <w:spacing w:before="0" w:after="120"/>
              <w:jc w:val="right"/>
              <w:rPr>
                <w:bCs/>
                <w:color w:val="000000"/>
              </w:rPr>
            </w:pPr>
            <w:r w:rsidRPr="00626315">
              <w:rPr>
                <w:bCs/>
                <w:color w:val="000000"/>
              </w:rPr>
              <w:t>$314.00</w:t>
            </w:r>
          </w:p>
        </w:tc>
        <w:tc>
          <w:tcPr>
            <w:tcW w:w="3307" w:type="dxa"/>
            <w:tcBorders>
              <w:bottom w:val="single" w:sz="4" w:space="0" w:color="auto"/>
            </w:tcBorders>
            <w:vAlign w:val="center"/>
          </w:tcPr>
          <w:p w14:paraId="38516336" w14:textId="331049C6" w:rsidR="002F2AFD" w:rsidRPr="00501E73" w:rsidRDefault="002F2AFD" w:rsidP="004C79C1">
            <w:pPr>
              <w:pStyle w:val="Tabletext1"/>
              <w:spacing w:before="0" w:after="120"/>
              <w:rPr>
                <w:bCs/>
                <w:color w:val="000000"/>
              </w:rPr>
            </w:pPr>
            <w:r>
              <w:rPr>
                <w:bCs/>
                <w:color w:val="000000"/>
              </w:rPr>
              <w:t>Ingles et al</w:t>
            </w:r>
            <w:r w:rsidR="004F28B1">
              <w:rPr>
                <w:bCs/>
                <w:color w:val="000000"/>
              </w:rPr>
              <w:t>.</w:t>
            </w:r>
            <w:r>
              <w:rPr>
                <w:bCs/>
                <w:color w:val="000000"/>
              </w:rPr>
              <w:t xml:space="preserve"> </w:t>
            </w:r>
            <w:r>
              <w:rPr>
                <w:bCs/>
                <w:color w:val="000000"/>
              </w:rPr>
              <w:fldChar w:fldCharType="begin"/>
            </w:r>
            <w:r>
              <w:rPr>
                <w:bCs/>
                <w:color w:val="000000"/>
              </w:rPr>
              <w:instrText xml:space="preserve"> ADDIN EN.CITE &lt;EndNote&gt;&lt;Cite ExcludeAuth="1"&gt;&lt;Author&gt;Ingles&lt;/Author&gt;&lt;Year&gt;2012&lt;/Year&gt;&lt;RecNum&gt;175&lt;/RecNum&gt;&lt;DisplayText&gt;(2012)&lt;/DisplayText&gt;&lt;record&gt;&lt;rec-number&gt;175&lt;/rec-number&gt;&lt;foreign-keys&gt;&lt;key app="EN" db-id="pfxxvref0t0a5de2vwnv2fwkz0p9v0r2fw0t" timestamp="1461747557"&gt;175&lt;/key&gt;&lt;/foreign-keys&gt;&lt;ref-type name="Journal Article"&gt;17&lt;/ref-type&gt;&lt;contributors&gt;&lt;authors&gt;&lt;author&gt;Ingles, Jodie&lt;/author&gt;&lt;author&gt;McGaughran, Julie&lt;/author&gt;&lt;author&gt;Scuffham, Paul A&lt;/author&gt;&lt;author&gt;Atherton, John&lt;/author&gt;&lt;author&gt;Semsarian, Christopher&lt;/author&gt;&lt;/authors&gt;&lt;/contributors&gt;&lt;titles&gt;&lt;title&gt;A cost-effectiveness model of genetic testing for the evaluation of families with hypertrophic cardiomyopathy&lt;/title&gt;&lt;secondary-title&gt;Heart (British Cardiac Society)&lt;/secondary-title&gt;&lt;/titles&gt;&lt;periodical&gt;&lt;full-title&gt;Heart (British Cardiac Society)&lt;/full-title&gt;&lt;/periodical&gt;&lt;pages&gt;625-30&lt;/pages&gt;&lt;volume&gt;98&lt;/volume&gt;&lt;number&gt;8&lt;/number&gt;&lt;dates&gt;&lt;year&gt;2012&lt;/year&gt;&lt;pub-dates&gt;&lt;date&gt;2012-04-01&lt;/date&gt;&lt;/pub-dates&gt;&lt;/dates&gt;&lt;isbn&gt;1468-201X&lt;/isbn&gt;&lt;urls&gt;&lt;related-urls&gt;&lt;url&gt;http://www.ncbi.nlm.nih.gov/pubmed/22128210&lt;/url&gt;&lt;url&gt;http://heart.bmj.com/content/98/8/625.full.pdf&lt;/url&gt;&lt;/related-urls&gt;&lt;/urls&gt;&lt;custom1&gt;RAYYAN-INCLUSION: {&amp;quot;Ruchi&amp;quot;=&amp;gt;true} | RAYYAN-LABELS: Include&lt;/custom1&gt;&lt;language&gt;eng&lt;/language&gt;&lt;/record&gt;&lt;/Cite&gt;&lt;/EndNote&gt;</w:instrText>
            </w:r>
            <w:r>
              <w:rPr>
                <w:bCs/>
                <w:color w:val="000000"/>
              </w:rPr>
              <w:fldChar w:fldCharType="separate"/>
            </w:r>
            <w:r>
              <w:rPr>
                <w:bCs/>
                <w:noProof/>
                <w:color w:val="000000"/>
              </w:rPr>
              <w:t>(</w:t>
            </w:r>
            <w:hyperlink w:anchor="_ENREF_62" w:tooltip="Ingles, 2012 #175" w:history="1">
              <w:r>
                <w:rPr>
                  <w:bCs/>
                  <w:noProof/>
                  <w:color w:val="000000"/>
                </w:rPr>
                <w:t>2012</w:t>
              </w:r>
            </w:hyperlink>
            <w:r>
              <w:rPr>
                <w:bCs/>
                <w:noProof/>
                <w:color w:val="000000"/>
              </w:rPr>
              <w:t>)</w:t>
            </w:r>
            <w:r>
              <w:rPr>
                <w:bCs/>
                <w:color w:val="000000"/>
              </w:rPr>
              <w:fldChar w:fldCharType="end"/>
            </w:r>
            <w:r>
              <w:rPr>
                <w:bCs/>
                <w:color w:val="000000"/>
              </w:rPr>
              <w:t>, range $200–600</w:t>
            </w:r>
          </w:p>
        </w:tc>
      </w:tr>
      <w:tr w:rsidR="002F2AFD" w:rsidRPr="00501E73" w14:paraId="271A7581" w14:textId="77777777" w:rsidTr="00857B30">
        <w:tc>
          <w:tcPr>
            <w:tcW w:w="4344" w:type="dxa"/>
            <w:tcBorders>
              <w:bottom w:val="single" w:sz="4" w:space="0" w:color="auto"/>
            </w:tcBorders>
            <w:vAlign w:val="bottom"/>
          </w:tcPr>
          <w:p w14:paraId="35DA2091" w14:textId="77777777" w:rsidR="002F2AFD" w:rsidRPr="009B1AD1" w:rsidRDefault="002F2AFD" w:rsidP="004C79C1">
            <w:pPr>
              <w:pStyle w:val="Tabletext1"/>
              <w:spacing w:before="0" w:after="120"/>
              <w:rPr>
                <w:bCs/>
                <w:color w:val="000000"/>
              </w:rPr>
            </w:pPr>
            <w:r w:rsidRPr="009B1AD1">
              <w:rPr>
                <w:bCs/>
                <w:color w:val="000000"/>
              </w:rPr>
              <w:t>Quantitation in serum, plasma or urine</w:t>
            </w:r>
          </w:p>
        </w:tc>
        <w:tc>
          <w:tcPr>
            <w:tcW w:w="1365" w:type="dxa"/>
            <w:tcBorders>
              <w:bottom w:val="single" w:sz="4" w:space="0" w:color="auto"/>
            </w:tcBorders>
            <w:vAlign w:val="bottom"/>
          </w:tcPr>
          <w:p w14:paraId="0C203D6F" w14:textId="77777777" w:rsidR="002F2AFD" w:rsidRPr="009B1AD1" w:rsidRDefault="002F2AFD" w:rsidP="004C79C1">
            <w:pPr>
              <w:pStyle w:val="Tabletext1"/>
              <w:tabs>
                <w:tab w:val="decimal" w:pos="459"/>
                <w:tab w:val="decimal" w:pos="658"/>
                <w:tab w:val="decimal" w:pos="4820"/>
              </w:tabs>
              <w:spacing w:before="0" w:after="120"/>
              <w:jc w:val="right"/>
              <w:rPr>
                <w:bCs/>
                <w:color w:val="000000"/>
              </w:rPr>
            </w:pPr>
            <w:r w:rsidRPr="009B1AD1">
              <w:rPr>
                <w:bCs/>
                <w:color w:val="000000"/>
              </w:rPr>
              <w:t>$17.70</w:t>
            </w:r>
          </w:p>
        </w:tc>
        <w:tc>
          <w:tcPr>
            <w:tcW w:w="3307" w:type="dxa"/>
            <w:tcBorders>
              <w:bottom w:val="single" w:sz="4" w:space="0" w:color="auto"/>
            </w:tcBorders>
            <w:vAlign w:val="bottom"/>
          </w:tcPr>
          <w:p w14:paraId="4BE18E3C" w14:textId="73F06A31" w:rsidR="002F2AFD" w:rsidRPr="009B1AD1" w:rsidRDefault="002F2AFD" w:rsidP="004C79C1">
            <w:pPr>
              <w:pStyle w:val="Tabletext1"/>
              <w:spacing w:before="0" w:after="120"/>
              <w:rPr>
                <w:bCs/>
                <w:color w:val="000000"/>
              </w:rPr>
            </w:pPr>
            <w:r w:rsidRPr="00501E73">
              <w:rPr>
                <w:color w:val="000000"/>
              </w:rPr>
              <w:t>MBS</w:t>
            </w:r>
            <w:r>
              <w:rPr>
                <w:color w:val="000000"/>
              </w:rPr>
              <w:t xml:space="preserve"> schedule</w:t>
            </w:r>
            <w:r w:rsidRPr="00501E73">
              <w:rPr>
                <w:color w:val="000000"/>
              </w:rPr>
              <w:t xml:space="preserve"> </w:t>
            </w:r>
            <w:r>
              <w:rPr>
                <w:color w:val="000000"/>
              </w:rPr>
              <w:t>fee</w:t>
            </w:r>
            <w:r w:rsidRPr="00501E73">
              <w:rPr>
                <w:color w:val="000000"/>
              </w:rPr>
              <w:t xml:space="preserve"> for item </w:t>
            </w:r>
            <w:r>
              <w:rPr>
                <w:color w:val="000000"/>
              </w:rPr>
              <w:t>66512</w:t>
            </w:r>
            <w:r w:rsidR="004F28B1">
              <w:rPr>
                <w:color w:val="000000"/>
              </w:rPr>
              <w:t xml:space="preserve"> </w:t>
            </w:r>
            <w:r w:rsidR="004F28B1" w:rsidRPr="00066D73">
              <w:rPr>
                <w:color w:val="000000"/>
                <w:vertAlign w:val="superscript"/>
              </w:rPr>
              <w:t>c</w:t>
            </w:r>
          </w:p>
        </w:tc>
      </w:tr>
    </w:tbl>
    <w:p w14:paraId="11038D69" w14:textId="53BFB81E" w:rsidR="003D2EE3" w:rsidRPr="00EA4902" w:rsidRDefault="003D2EE3" w:rsidP="004C79C1">
      <w:pPr>
        <w:pStyle w:val="Tablenotes0"/>
        <w:spacing w:before="0" w:after="120"/>
      </w:pPr>
      <w:proofErr w:type="gramStart"/>
      <w:r w:rsidRPr="00441121">
        <w:rPr>
          <w:vertAlign w:val="superscript"/>
        </w:rPr>
        <w:t>a</w:t>
      </w:r>
      <w:proofErr w:type="gramEnd"/>
      <w:r>
        <w:t xml:space="preserve"> </w:t>
      </w:r>
      <w:r w:rsidRPr="00441121">
        <w:t>Exercise testing with measurement of peak oxygen uptake involves two items</w:t>
      </w:r>
      <w:r w:rsidR="00545AEE">
        <w:t>:</w:t>
      </w:r>
      <w:r w:rsidRPr="00441121">
        <w:t xml:space="preserve"> </w:t>
      </w:r>
      <w:r w:rsidR="00545AEE">
        <w:t>e</w:t>
      </w:r>
      <w:r w:rsidRPr="00441121">
        <w:t>xercise ECG (MBS item 11712</w:t>
      </w:r>
      <w:r>
        <w:t xml:space="preserve">, </w:t>
      </w:r>
      <w:r w:rsidRPr="00441121">
        <w:t>schedule fee</w:t>
      </w:r>
      <w:r>
        <w:t xml:space="preserve">: </w:t>
      </w:r>
      <w:r w:rsidRPr="00441121">
        <w:t>$152.15</w:t>
      </w:r>
      <w:r>
        <w:t>)</w:t>
      </w:r>
      <w:r w:rsidRPr="00441121">
        <w:t xml:space="preserve"> and </w:t>
      </w:r>
      <w:r w:rsidR="00545AEE">
        <w:t>r</w:t>
      </w:r>
      <w:r w:rsidRPr="00441121">
        <w:t xml:space="preserve">espiratory </w:t>
      </w:r>
      <w:r w:rsidR="00545AEE">
        <w:t>f</w:t>
      </w:r>
      <w:r w:rsidRPr="00441121">
        <w:t xml:space="preserve">unction </w:t>
      </w:r>
      <w:r w:rsidR="00545AEE">
        <w:t>t</w:t>
      </w:r>
      <w:r w:rsidRPr="00441121">
        <w:t>ests (MBS for item 11500</w:t>
      </w:r>
      <w:r>
        <w:t xml:space="preserve">, </w:t>
      </w:r>
      <w:r w:rsidRPr="00441121">
        <w:t>schedule fee</w:t>
      </w:r>
      <w:r>
        <w:t>:</w:t>
      </w:r>
      <w:r w:rsidRPr="00441121">
        <w:t xml:space="preserve"> $138.65</w:t>
      </w:r>
      <w:r>
        <w:t>)</w:t>
      </w:r>
      <w:r w:rsidRPr="00441121">
        <w:t>.</w:t>
      </w:r>
    </w:p>
    <w:p w14:paraId="43046760" w14:textId="7D072BB7" w:rsidR="002F2AFD" w:rsidRPr="00EA4902" w:rsidRDefault="004F28B1" w:rsidP="004C79C1">
      <w:pPr>
        <w:pStyle w:val="Tablenotes0"/>
        <w:spacing w:before="0" w:after="120"/>
      </w:pPr>
      <w:r w:rsidRPr="00066D73">
        <w:rPr>
          <w:vertAlign w:val="superscript"/>
        </w:rPr>
        <w:t>b</w:t>
      </w:r>
      <w:r w:rsidR="002F2AFD" w:rsidRPr="00EA4902">
        <w:t xml:space="preserve"> Source: Ingles et al</w:t>
      </w:r>
      <w:r w:rsidR="00DC7383">
        <w:t>.</w:t>
      </w:r>
      <w:r w:rsidR="002F2AFD" w:rsidRPr="00EA4902">
        <w:t xml:space="preserve"> </w:t>
      </w:r>
      <w:r w:rsidR="002F2AFD">
        <w:fldChar w:fldCharType="begin"/>
      </w:r>
      <w:r w:rsidR="002F2AFD">
        <w:instrText xml:space="preserve"> ADDIN EN.CITE &lt;EndNote&gt;&lt;Cite ExcludeAuth="1"&gt;&lt;Author&gt;Ingles&lt;/Author&gt;&lt;Year&gt;2012&lt;/Year&gt;&lt;RecNum&gt;175&lt;/RecNum&gt;&lt;IDText&gt;625-30&lt;/IDText&gt;&lt;DisplayText&gt;(2012)&lt;/DisplayText&gt;&lt;record&gt;&lt;rec-number&gt;175&lt;/rec-number&gt;&lt;foreign-keys&gt;&lt;key app="EN" db-id="pfxxvref0t0a5de2vwnv2fwkz0p9v0r2fw0t" timestamp="1461747557"&gt;175&lt;/key&gt;&lt;/foreign-keys&gt;&lt;ref-type name="Journal Article"&gt;17&lt;/ref-type&gt;&lt;contributors&gt;&lt;authors&gt;&lt;author&gt;Ingles, Jodie&lt;/author&gt;&lt;author&gt;McGaughran, Julie&lt;/author&gt;&lt;author&gt;Scuffham, Paul A&lt;/author&gt;&lt;author&gt;Atherton, John&lt;/author&gt;&lt;author&gt;Semsarian, Christopher&lt;/author&gt;&lt;/authors&gt;&lt;/contributors&gt;&lt;titles&gt;&lt;title&gt;A cost-effectiveness model of genetic testing for the evaluation of families with hypertrophic cardiomyopathy&lt;/title&gt;&lt;secondary-title&gt;Heart (British Cardiac Society)&lt;/secondary-title&gt;&lt;/titles&gt;&lt;periodical&gt;&lt;full-title&gt;Heart (British Cardiac Society)&lt;/full-title&gt;&lt;/periodical&gt;&lt;pages&gt;625-30&lt;/pages&gt;&lt;volume&gt;98&lt;/volume&gt;&lt;number&gt;8&lt;/number&gt;&lt;dates&gt;&lt;year&gt;2012&lt;/year&gt;&lt;pub-dates&gt;&lt;date&gt;2012-04-01&lt;/date&gt;&lt;/pub-dates&gt;&lt;/dates&gt;&lt;isbn&gt;1468-201X&lt;/isbn&gt;&lt;urls&gt;&lt;related-urls&gt;&lt;url&gt;http://www.ncbi.nlm.nih.gov/pubmed/22128210&lt;/url&gt;&lt;url&gt;http://heart.bmj.com/content/98/8/625.full.pdf&lt;/url&gt;&lt;/related-urls&gt;&lt;/urls&gt;&lt;custom1&gt;RAYYAN-INCLUSION: {&amp;quot;Ruchi&amp;quot;=&amp;gt;true} | RAYYAN-LABELS: Include&lt;/custom1&gt;&lt;language&gt;eng&lt;/language&gt;&lt;/record&gt;&lt;/Cite&gt;&lt;/EndNote&gt;</w:instrText>
      </w:r>
      <w:r w:rsidR="002F2AFD">
        <w:fldChar w:fldCharType="separate"/>
      </w:r>
      <w:r w:rsidR="002F2AFD">
        <w:rPr>
          <w:noProof/>
        </w:rPr>
        <w:t>(</w:t>
      </w:r>
      <w:hyperlink w:anchor="_ENREF_62" w:tooltip="Ingles, 2012 #175" w:history="1">
        <w:r w:rsidR="002F2AFD">
          <w:rPr>
            <w:noProof/>
          </w:rPr>
          <w:t>2012</w:t>
        </w:r>
      </w:hyperlink>
      <w:r w:rsidR="002F2AFD">
        <w:rPr>
          <w:noProof/>
        </w:rPr>
        <w:t>)</w:t>
      </w:r>
      <w:r w:rsidR="002F2AFD">
        <w:fldChar w:fldCharType="end"/>
      </w:r>
      <w:r w:rsidR="00DC7383">
        <w:t>;</w:t>
      </w:r>
      <w:r w:rsidR="002F2AFD" w:rsidRPr="00EA4902">
        <w:t xml:space="preserve"> includes an initial and follow-up consult</w:t>
      </w:r>
      <w:r w:rsidR="00DC7383">
        <w:t>ation</w:t>
      </w:r>
      <w:r w:rsidR="002F2AFD" w:rsidRPr="00EA4902">
        <w:t xml:space="preserve"> with a clinical geneticist and </w:t>
      </w:r>
      <w:r w:rsidR="00DC7383">
        <w:t xml:space="preserve">the </w:t>
      </w:r>
      <w:r w:rsidR="002F2AFD" w:rsidRPr="00EA4902">
        <w:t>cost of the laboratory test</w:t>
      </w:r>
    </w:p>
    <w:p w14:paraId="1AFE9D14" w14:textId="010AA3AC" w:rsidR="002F2AFD" w:rsidRDefault="004F28B1" w:rsidP="004C79C1">
      <w:pPr>
        <w:pStyle w:val="Tablenotes0"/>
        <w:spacing w:before="0" w:after="120"/>
      </w:pPr>
      <w:proofErr w:type="gramStart"/>
      <w:r w:rsidRPr="00066D73">
        <w:rPr>
          <w:vertAlign w:val="superscript"/>
        </w:rPr>
        <w:t>c</w:t>
      </w:r>
      <w:proofErr w:type="gramEnd"/>
      <w:r w:rsidR="002F2AFD" w:rsidRPr="00EA4902">
        <w:t xml:space="preserve"> Five or more tests performed described in MBS item 66500</w:t>
      </w:r>
    </w:p>
    <w:p w14:paraId="13129A16" w14:textId="09BACB75" w:rsidR="002F2AFD" w:rsidRDefault="00C9776E" w:rsidP="004C79C1">
      <w:pPr>
        <w:pStyle w:val="Tablenotes0"/>
        <w:spacing w:before="0" w:after="120"/>
      </w:pPr>
      <w:r w:rsidRPr="00DC7383">
        <w:t>CMR = cardiac magnetic resonance (imaging); ECG = electrocardiography; EMB = endomyocardial biopsy; MBS = Medicare Benefits Schedule; NIDCM = non-ischaemic dilated cardiomyopathy</w:t>
      </w:r>
      <w:r w:rsidR="002F2AFD">
        <w:br w:type="page"/>
      </w:r>
    </w:p>
    <w:p w14:paraId="4BADFD62" w14:textId="48D02BED" w:rsidR="002F2AFD" w:rsidRDefault="002F2AFD" w:rsidP="004C79C1">
      <w:pPr>
        <w:pStyle w:val="Heading1"/>
        <w:spacing w:after="120" w:line="240" w:lineRule="auto"/>
        <w:jc w:val="both"/>
      </w:pPr>
      <w:bookmarkStart w:id="998" w:name="_Toc450051824"/>
      <w:bookmarkStart w:id="999" w:name="_Toc451501441"/>
      <w:r>
        <w:lastRenderedPageBreak/>
        <w:t>Appendix M</w:t>
      </w:r>
      <w:r>
        <w:tab/>
        <w:t xml:space="preserve">Additional </w:t>
      </w:r>
      <w:r w:rsidR="007A6F7B">
        <w:t>I</w:t>
      </w:r>
      <w:r>
        <w:t>nformation for CEA: Population iiA</w:t>
      </w:r>
      <w:bookmarkEnd w:id="998"/>
      <w:bookmarkEnd w:id="999"/>
    </w:p>
    <w:p w14:paraId="6CDE65B3" w14:textId="404B7803" w:rsidR="002F2AFD" w:rsidRDefault="002F2AFD" w:rsidP="004C79C1">
      <w:pPr>
        <w:pStyle w:val="Heading2"/>
        <w:spacing w:before="0" w:after="120" w:line="240" w:lineRule="auto"/>
      </w:pPr>
      <w:bookmarkStart w:id="1000" w:name="_Toc449428972"/>
      <w:bookmarkStart w:id="1001" w:name="_Toc450051825"/>
      <w:bookmarkStart w:id="1002" w:name="_Toc451501442"/>
      <w:r>
        <w:t xml:space="preserve">Cost </w:t>
      </w:r>
      <w:r w:rsidR="00184C48">
        <w:t>D</w:t>
      </w:r>
      <w:r>
        <w:t xml:space="preserve">erivations for </w:t>
      </w:r>
      <w:r w:rsidR="00184C48">
        <w:t>I</w:t>
      </w:r>
      <w:r>
        <w:t xml:space="preserve">mplantable </w:t>
      </w:r>
      <w:r w:rsidR="00184C48">
        <w:t>D</w:t>
      </w:r>
      <w:r>
        <w:t>evices</w:t>
      </w:r>
      <w:bookmarkEnd w:id="1000"/>
      <w:bookmarkEnd w:id="1001"/>
      <w:bookmarkEnd w:id="1002"/>
    </w:p>
    <w:p w14:paraId="2AF080B6" w14:textId="3EE4D25A" w:rsidR="002F2AFD" w:rsidRDefault="002F2AFD" w:rsidP="004C79C1">
      <w:pPr>
        <w:pStyle w:val="Caption"/>
        <w:keepNext/>
      </w:pPr>
      <w:bookmarkStart w:id="1003" w:name="_Toc450052118"/>
      <w:bookmarkStart w:id="1004" w:name="_Toc324410309"/>
      <w:bookmarkStart w:id="1005" w:name="_Toc451435432"/>
      <w:r>
        <w:t xml:space="preserve">Table </w:t>
      </w:r>
      <w:fldSimple w:instr=" SEQ Table \* ARABIC ">
        <w:r w:rsidR="00050936">
          <w:rPr>
            <w:noProof/>
          </w:rPr>
          <w:t>105</w:t>
        </w:r>
      </w:fldSimple>
      <w:r>
        <w:tab/>
        <w:t>C</w:t>
      </w:r>
      <w:r w:rsidRPr="00FB4888">
        <w:t>ost per ICD/CRT-D implantation procedure in</w:t>
      </w:r>
      <w:r>
        <w:t xml:space="preserve"> the</w:t>
      </w:r>
      <w:r w:rsidRPr="00FB4888">
        <w:t xml:space="preserve"> public sector</w:t>
      </w:r>
      <w:bookmarkEnd w:id="1003"/>
      <w:bookmarkEnd w:id="1004"/>
      <w:bookmarkEnd w:id="1005"/>
    </w:p>
    <w:tbl>
      <w:tblPr>
        <w:tblW w:w="4892" w:type="pct"/>
        <w:tblLayout w:type="fixed"/>
        <w:tblLook w:val="04A0" w:firstRow="1" w:lastRow="0" w:firstColumn="1" w:lastColumn="0" w:noHBand="0" w:noVBand="1"/>
        <w:tblDescription w:val="Cost per ICD / CRT-D implantation procedure in the public sector"/>
      </w:tblPr>
      <w:tblGrid>
        <w:gridCol w:w="4646"/>
        <w:gridCol w:w="1101"/>
        <w:gridCol w:w="1042"/>
        <w:gridCol w:w="978"/>
        <w:gridCol w:w="1275"/>
      </w:tblGrid>
      <w:tr w:rsidR="00A90ABC" w:rsidRPr="00E17CB6" w14:paraId="66979ABF" w14:textId="77777777" w:rsidTr="00066D73">
        <w:trPr>
          <w:trHeight w:val="300"/>
        </w:trPr>
        <w:tc>
          <w:tcPr>
            <w:tcW w:w="2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6832F" w14:textId="77777777" w:rsidR="002F2AFD" w:rsidRPr="0083783D" w:rsidRDefault="002F2AFD" w:rsidP="004C79C1">
            <w:pPr>
              <w:pStyle w:val="TableHeading"/>
              <w:spacing w:before="0" w:after="120"/>
            </w:pPr>
            <w:r w:rsidRPr="0083783D">
              <w:t>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2E637D57" w14:textId="77777777" w:rsidR="002F2AFD" w:rsidRPr="00E17CB6" w:rsidRDefault="002F2AFD" w:rsidP="004C79C1">
            <w:pPr>
              <w:pStyle w:val="TableHeading"/>
              <w:spacing w:before="0" w:after="120"/>
            </w:pPr>
            <w:r>
              <w:t>AR-</w:t>
            </w:r>
            <w:r w:rsidRPr="00E17CB6">
              <w:t>DRG</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39CC2F39" w14:textId="0E9FA796" w:rsidR="002F2AFD" w:rsidRPr="00E17CB6" w:rsidRDefault="002F2AFD" w:rsidP="004C79C1">
            <w:pPr>
              <w:pStyle w:val="TableHeading"/>
              <w:spacing w:before="0" w:after="120"/>
              <w:jc w:val="center"/>
            </w:pPr>
            <w:r w:rsidRPr="00E17CB6">
              <w:t>Seps</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693C7585" w14:textId="77777777" w:rsidR="002F2AFD" w:rsidRPr="00E17CB6" w:rsidRDefault="002F2AFD" w:rsidP="004C79C1">
            <w:pPr>
              <w:pStyle w:val="TableHeading"/>
              <w:spacing w:before="0" w:after="120"/>
              <w:jc w:val="center"/>
            </w:pPr>
            <w:r w:rsidRPr="00E17CB6">
              <w:t>Weight</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4F756B06" w14:textId="7C358E02" w:rsidR="002F2AFD" w:rsidRPr="00E17CB6" w:rsidRDefault="002F2AFD" w:rsidP="004C79C1">
            <w:pPr>
              <w:pStyle w:val="TableHeading"/>
              <w:spacing w:before="0" w:after="120"/>
              <w:jc w:val="center"/>
            </w:pPr>
            <w:r w:rsidRPr="00E17CB6">
              <w:t>Cost</w:t>
            </w:r>
            <w:r w:rsidR="00353CCE">
              <w:t xml:space="preserve"> </w:t>
            </w:r>
            <w:r w:rsidR="00353CCE" w:rsidRPr="00066D73">
              <w:rPr>
                <w:vertAlign w:val="superscript"/>
              </w:rPr>
              <w:t>a</w:t>
            </w:r>
          </w:p>
        </w:tc>
      </w:tr>
      <w:tr w:rsidR="00A90ABC" w:rsidRPr="00E17CB6" w14:paraId="17424F3B" w14:textId="77777777" w:rsidTr="00066D73">
        <w:trPr>
          <w:trHeight w:val="300"/>
        </w:trPr>
        <w:tc>
          <w:tcPr>
            <w:tcW w:w="2569" w:type="pct"/>
            <w:tcBorders>
              <w:top w:val="nil"/>
              <w:left w:val="single" w:sz="4" w:space="0" w:color="auto"/>
              <w:bottom w:val="single" w:sz="4" w:space="0" w:color="auto"/>
              <w:right w:val="single" w:sz="4" w:space="0" w:color="auto"/>
            </w:tcBorders>
            <w:shd w:val="clear" w:color="auto" w:fill="auto"/>
            <w:noWrap/>
            <w:vAlign w:val="bottom"/>
            <w:hideMark/>
          </w:tcPr>
          <w:p w14:paraId="61187BDC" w14:textId="77777777" w:rsidR="002F2AFD" w:rsidRPr="00E17CB6" w:rsidRDefault="002F2AFD" w:rsidP="004C79C1">
            <w:pPr>
              <w:pStyle w:val="Tabletext1"/>
              <w:spacing w:before="0" w:after="120"/>
              <w:rPr>
                <w:rFonts w:cs="Times New Roman"/>
                <w:color w:val="000000"/>
              </w:rPr>
            </w:pPr>
            <w:r>
              <w:rPr>
                <w:rFonts w:cs="Times New Roman"/>
                <w:color w:val="000000"/>
              </w:rPr>
              <w:t>Implantation or r</w:t>
            </w:r>
            <w:r w:rsidRPr="00E17CB6">
              <w:rPr>
                <w:rFonts w:cs="Times New Roman"/>
                <w:color w:val="000000"/>
              </w:rPr>
              <w:t>ep</w:t>
            </w:r>
            <w:r>
              <w:rPr>
                <w:rFonts w:cs="Times New Roman"/>
                <w:color w:val="000000"/>
              </w:rPr>
              <w:t>lacement of AICD, total system with</w:t>
            </w:r>
            <w:r w:rsidRPr="00E17CB6">
              <w:rPr>
                <w:rFonts w:cs="Times New Roman"/>
                <w:color w:val="000000"/>
              </w:rPr>
              <w:t xml:space="preserve"> </w:t>
            </w:r>
            <w:r>
              <w:rPr>
                <w:rFonts w:cs="Times New Roman"/>
                <w:color w:val="000000"/>
              </w:rPr>
              <w:t>catastrophic complications</w:t>
            </w:r>
          </w:p>
        </w:tc>
        <w:tc>
          <w:tcPr>
            <w:tcW w:w="609" w:type="pct"/>
            <w:tcBorders>
              <w:top w:val="nil"/>
              <w:left w:val="nil"/>
              <w:bottom w:val="single" w:sz="4" w:space="0" w:color="auto"/>
              <w:right w:val="single" w:sz="4" w:space="0" w:color="auto"/>
            </w:tcBorders>
            <w:shd w:val="clear" w:color="auto" w:fill="auto"/>
            <w:noWrap/>
            <w:vAlign w:val="bottom"/>
            <w:hideMark/>
          </w:tcPr>
          <w:p w14:paraId="03548509" w14:textId="77777777" w:rsidR="002F2AFD" w:rsidRPr="00E17CB6" w:rsidRDefault="002F2AFD" w:rsidP="004C79C1">
            <w:pPr>
              <w:pStyle w:val="Tabletext1"/>
              <w:spacing w:before="0" w:after="120"/>
              <w:rPr>
                <w:rFonts w:cs="Times New Roman"/>
                <w:color w:val="000000"/>
              </w:rPr>
            </w:pPr>
            <w:r w:rsidRPr="00E17CB6">
              <w:rPr>
                <w:rFonts w:cs="Times New Roman"/>
                <w:color w:val="000000"/>
              </w:rPr>
              <w:t>F01A</w:t>
            </w:r>
          </w:p>
        </w:tc>
        <w:tc>
          <w:tcPr>
            <w:tcW w:w="576" w:type="pct"/>
            <w:tcBorders>
              <w:top w:val="nil"/>
              <w:left w:val="nil"/>
              <w:bottom w:val="single" w:sz="4" w:space="0" w:color="auto"/>
              <w:right w:val="single" w:sz="4" w:space="0" w:color="auto"/>
            </w:tcBorders>
            <w:shd w:val="clear" w:color="auto" w:fill="auto"/>
            <w:noWrap/>
            <w:vAlign w:val="center"/>
            <w:hideMark/>
          </w:tcPr>
          <w:p w14:paraId="5C806324" w14:textId="77777777" w:rsidR="002F2AFD" w:rsidRPr="00E17CB6" w:rsidRDefault="002F2AFD" w:rsidP="004C79C1">
            <w:pPr>
              <w:pStyle w:val="Tabletext1"/>
              <w:spacing w:before="0" w:after="120"/>
              <w:ind w:right="204"/>
              <w:jc w:val="right"/>
              <w:rPr>
                <w:rFonts w:cs="Times New Roman"/>
                <w:color w:val="000000"/>
              </w:rPr>
            </w:pPr>
            <w:r w:rsidRPr="00E17CB6">
              <w:rPr>
                <w:rFonts w:cs="Times New Roman"/>
                <w:color w:val="000000"/>
              </w:rPr>
              <w:t>668</w:t>
            </w:r>
          </w:p>
        </w:tc>
        <w:tc>
          <w:tcPr>
            <w:tcW w:w="541" w:type="pct"/>
            <w:tcBorders>
              <w:top w:val="nil"/>
              <w:left w:val="nil"/>
              <w:bottom w:val="single" w:sz="4" w:space="0" w:color="auto"/>
              <w:right w:val="single" w:sz="4" w:space="0" w:color="auto"/>
            </w:tcBorders>
            <w:shd w:val="clear" w:color="auto" w:fill="auto"/>
            <w:noWrap/>
            <w:vAlign w:val="center"/>
            <w:hideMark/>
          </w:tcPr>
          <w:p w14:paraId="446830C0" w14:textId="77777777" w:rsidR="002F2AFD" w:rsidRPr="00E17CB6" w:rsidRDefault="002F2AFD" w:rsidP="004C79C1">
            <w:pPr>
              <w:pStyle w:val="Tabletext1"/>
              <w:spacing w:before="0" w:after="120"/>
              <w:ind w:right="178"/>
              <w:jc w:val="right"/>
              <w:rPr>
                <w:rFonts w:cs="Times New Roman"/>
                <w:color w:val="000000"/>
              </w:rPr>
            </w:pPr>
            <w:r w:rsidRPr="00E17CB6">
              <w:rPr>
                <w:rFonts w:cs="Times New Roman"/>
                <w:color w:val="000000"/>
              </w:rPr>
              <w:t>23.6%</w:t>
            </w:r>
          </w:p>
        </w:tc>
        <w:tc>
          <w:tcPr>
            <w:tcW w:w="705" w:type="pct"/>
            <w:tcBorders>
              <w:top w:val="nil"/>
              <w:left w:val="nil"/>
              <w:bottom w:val="single" w:sz="4" w:space="0" w:color="auto"/>
              <w:right w:val="single" w:sz="4" w:space="0" w:color="auto"/>
            </w:tcBorders>
            <w:shd w:val="clear" w:color="auto" w:fill="auto"/>
            <w:noWrap/>
            <w:vAlign w:val="center"/>
            <w:hideMark/>
          </w:tcPr>
          <w:p w14:paraId="6C2309F8" w14:textId="77777777" w:rsidR="002F2AFD" w:rsidRPr="00E17CB6" w:rsidRDefault="002F2AFD" w:rsidP="004C79C1">
            <w:pPr>
              <w:pStyle w:val="Tabletext1"/>
              <w:spacing w:before="0" w:after="120"/>
              <w:ind w:right="178"/>
              <w:jc w:val="right"/>
              <w:rPr>
                <w:rFonts w:cs="Times New Roman"/>
                <w:color w:val="000000"/>
              </w:rPr>
            </w:pPr>
            <w:r w:rsidRPr="00E17CB6">
              <w:rPr>
                <w:rFonts w:cs="Times New Roman"/>
                <w:color w:val="000000"/>
              </w:rPr>
              <w:t>$46,730</w:t>
            </w:r>
          </w:p>
        </w:tc>
      </w:tr>
      <w:tr w:rsidR="00A90ABC" w:rsidRPr="0083783D" w14:paraId="4FEEA78A" w14:textId="77777777" w:rsidTr="00066D73">
        <w:trPr>
          <w:trHeight w:val="300"/>
        </w:trPr>
        <w:tc>
          <w:tcPr>
            <w:tcW w:w="2569" w:type="pct"/>
            <w:tcBorders>
              <w:top w:val="nil"/>
              <w:left w:val="single" w:sz="4" w:space="0" w:color="auto"/>
              <w:bottom w:val="single" w:sz="4" w:space="0" w:color="auto"/>
              <w:right w:val="single" w:sz="4" w:space="0" w:color="auto"/>
            </w:tcBorders>
            <w:shd w:val="clear" w:color="auto" w:fill="auto"/>
            <w:noWrap/>
            <w:vAlign w:val="bottom"/>
            <w:hideMark/>
          </w:tcPr>
          <w:p w14:paraId="65E63FB5" w14:textId="77777777" w:rsidR="002F2AFD" w:rsidRPr="00E17CB6" w:rsidRDefault="002F2AFD" w:rsidP="004C79C1">
            <w:pPr>
              <w:pStyle w:val="Tabletext1"/>
              <w:spacing w:before="0" w:after="120"/>
              <w:rPr>
                <w:rFonts w:cs="Times New Roman"/>
                <w:color w:val="000000"/>
              </w:rPr>
            </w:pPr>
            <w:r w:rsidRPr="00E17CB6">
              <w:rPr>
                <w:rFonts w:cs="Times New Roman"/>
                <w:color w:val="000000"/>
              </w:rPr>
              <w:t>Implan</w:t>
            </w:r>
            <w:r>
              <w:rPr>
                <w:rFonts w:cs="Times New Roman"/>
                <w:color w:val="000000"/>
              </w:rPr>
              <w:t>tation or replacement of AICD, total s</w:t>
            </w:r>
            <w:r w:rsidRPr="00E17CB6">
              <w:rPr>
                <w:rFonts w:cs="Times New Roman"/>
                <w:color w:val="000000"/>
              </w:rPr>
              <w:t xml:space="preserve">ystem </w:t>
            </w:r>
            <w:r>
              <w:rPr>
                <w:rFonts w:cs="Times New Roman"/>
                <w:color w:val="000000"/>
              </w:rPr>
              <w:t>without c</w:t>
            </w:r>
            <w:r w:rsidRPr="00E17CB6">
              <w:rPr>
                <w:rFonts w:cs="Times New Roman"/>
                <w:color w:val="000000"/>
              </w:rPr>
              <w:t xml:space="preserve">atastrophic </w:t>
            </w:r>
            <w:r>
              <w:rPr>
                <w:rFonts w:cs="Times New Roman"/>
                <w:color w:val="000000"/>
              </w:rPr>
              <w:t>complications</w:t>
            </w:r>
          </w:p>
        </w:tc>
        <w:tc>
          <w:tcPr>
            <w:tcW w:w="609" w:type="pct"/>
            <w:tcBorders>
              <w:top w:val="nil"/>
              <w:left w:val="nil"/>
              <w:bottom w:val="single" w:sz="4" w:space="0" w:color="auto"/>
              <w:right w:val="single" w:sz="4" w:space="0" w:color="auto"/>
            </w:tcBorders>
            <w:shd w:val="clear" w:color="auto" w:fill="auto"/>
            <w:noWrap/>
            <w:vAlign w:val="bottom"/>
            <w:hideMark/>
          </w:tcPr>
          <w:p w14:paraId="4D26E236" w14:textId="77777777" w:rsidR="002F2AFD" w:rsidRPr="00E17CB6" w:rsidRDefault="002F2AFD" w:rsidP="004C79C1">
            <w:pPr>
              <w:pStyle w:val="Tabletext1"/>
              <w:spacing w:before="0" w:after="120"/>
              <w:rPr>
                <w:rFonts w:cs="Times New Roman"/>
                <w:color w:val="000000"/>
              </w:rPr>
            </w:pPr>
            <w:r w:rsidRPr="00E17CB6">
              <w:rPr>
                <w:rFonts w:cs="Times New Roman"/>
                <w:color w:val="000000"/>
              </w:rPr>
              <w:t>F01B</w:t>
            </w:r>
          </w:p>
        </w:tc>
        <w:tc>
          <w:tcPr>
            <w:tcW w:w="576" w:type="pct"/>
            <w:tcBorders>
              <w:top w:val="nil"/>
              <w:left w:val="nil"/>
              <w:bottom w:val="single" w:sz="4" w:space="0" w:color="auto"/>
              <w:right w:val="single" w:sz="4" w:space="0" w:color="auto"/>
            </w:tcBorders>
            <w:shd w:val="clear" w:color="auto" w:fill="auto"/>
            <w:noWrap/>
            <w:vAlign w:val="center"/>
            <w:hideMark/>
          </w:tcPr>
          <w:p w14:paraId="67C11B30" w14:textId="77777777" w:rsidR="002F2AFD" w:rsidRPr="00E17CB6" w:rsidRDefault="002F2AFD" w:rsidP="004C79C1">
            <w:pPr>
              <w:pStyle w:val="Tabletext1"/>
              <w:spacing w:before="0" w:after="120"/>
              <w:ind w:right="204"/>
              <w:jc w:val="right"/>
              <w:rPr>
                <w:rFonts w:cs="Times New Roman"/>
                <w:color w:val="000000"/>
              </w:rPr>
            </w:pPr>
            <w:r w:rsidRPr="00E17CB6">
              <w:rPr>
                <w:rFonts w:cs="Times New Roman"/>
                <w:color w:val="000000"/>
              </w:rPr>
              <w:t>2,158</w:t>
            </w:r>
          </w:p>
        </w:tc>
        <w:tc>
          <w:tcPr>
            <w:tcW w:w="541" w:type="pct"/>
            <w:tcBorders>
              <w:top w:val="nil"/>
              <w:left w:val="nil"/>
              <w:bottom w:val="single" w:sz="4" w:space="0" w:color="auto"/>
              <w:right w:val="single" w:sz="4" w:space="0" w:color="auto"/>
            </w:tcBorders>
            <w:shd w:val="clear" w:color="auto" w:fill="auto"/>
            <w:noWrap/>
            <w:vAlign w:val="center"/>
            <w:hideMark/>
          </w:tcPr>
          <w:p w14:paraId="763CFE04" w14:textId="77777777" w:rsidR="002F2AFD" w:rsidRPr="00E17CB6" w:rsidRDefault="002F2AFD" w:rsidP="004C79C1">
            <w:pPr>
              <w:pStyle w:val="Tabletext1"/>
              <w:spacing w:before="0" w:after="120"/>
              <w:ind w:right="178"/>
              <w:jc w:val="right"/>
              <w:rPr>
                <w:rFonts w:cs="Times New Roman"/>
                <w:color w:val="000000"/>
              </w:rPr>
            </w:pPr>
            <w:r w:rsidRPr="00E17CB6">
              <w:rPr>
                <w:rFonts w:cs="Times New Roman"/>
                <w:color w:val="000000"/>
              </w:rPr>
              <w:t>76.4%</w:t>
            </w:r>
          </w:p>
        </w:tc>
        <w:tc>
          <w:tcPr>
            <w:tcW w:w="705" w:type="pct"/>
            <w:tcBorders>
              <w:top w:val="nil"/>
              <w:left w:val="nil"/>
              <w:bottom w:val="single" w:sz="4" w:space="0" w:color="auto"/>
              <w:right w:val="single" w:sz="4" w:space="0" w:color="auto"/>
            </w:tcBorders>
            <w:shd w:val="clear" w:color="auto" w:fill="auto"/>
            <w:noWrap/>
            <w:vAlign w:val="center"/>
            <w:hideMark/>
          </w:tcPr>
          <w:p w14:paraId="1CE9C9C7" w14:textId="77777777" w:rsidR="002F2AFD" w:rsidRPr="00E17CB6" w:rsidRDefault="002F2AFD" w:rsidP="004C79C1">
            <w:pPr>
              <w:pStyle w:val="Tabletext1"/>
              <w:spacing w:before="0" w:after="120"/>
              <w:ind w:right="178"/>
              <w:jc w:val="right"/>
              <w:rPr>
                <w:rFonts w:cs="Times New Roman"/>
                <w:color w:val="000000"/>
              </w:rPr>
            </w:pPr>
            <w:r w:rsidRPr="00E17CB6">
              <w:rPr>
                <w:rFonts w:cs="Times New Roman"/>
                <w:color w:val="000000"/>
              </w:rPr>
              <w:t>$22,191</w:t>
            </w:r>
          </w:p>
        </w:tc>
      </w:tr>
      <w:tr w:rsidR="00066D73" w:rsidRPr="0083783D" w14:paraId="10F84E35" w14:textId="77777777" w:rsidTr="00066D73">
        <w:trPr>
          <w:trHeight w:val="300"/>
        </w:trPr>
        <w:tc>
          <w:tcPr>
            <w:tcW w:w="2569" w:type="pct"/>
            <w:tcBorders>
              <w:top w:val="single" w:sz="4" w:space="0" w:color="auto"/>
              <w:left w:val="single" w:sz="4" w:space="0" w:color="auto"/>
              <w:bottom w:val="single" w:sz="4" w:space="0" w:color="auto"/>
            </w:tcBorders>
            <w:shd w:val="clear" w:color="auto" w:fill="auto"/>
            <w:noWrap/>
            <w:vAlign w:val="bottom"/>
          </w:tcPr>
          <w:p w14:paraId="5AC364CB" w14:textId="55AA1BF9" w:rsidR="00066D73" w:rsidRPr="00E17CB6" w:rsidRDefault="00066D73" w:rsidP="004C79C1">
            <w:pPr>
              <w:pStyle w:val="Tabletext1"/>
              <w:spacing w:before="0" w:after="120"/>
              <w:rPr>
                <w:rFonts w:cs="Times New Roman"/>
                <w:color w:val="000000"/>
              </w:rPr>
            </w:pPr>
            <w:r w:rsidRPr="00E466A3">
              <w:rPr>
                <w:rFonts w:cs="Times New Roman"/>
                <w:b/>
                <w:color w:val="000000"/>
              </w:rPr>
              <w:t>Weighted cost</w:t>
            </w:r>
            <w:r>
              <w:rPr>
                <w:rFonts w:cs="Times New Roman"/>
                <w:b/>
                <w:color w:val="000000"/>
              </w:rPr>
              <w:t xml:space="preserve"> (adjusted for inflation) </w:t>
            </w:r>
            <w:r>
              <w:rPr>
                <w:rFonts w:cs="Times New Roman"/>
                <w:b/>
                <w:color w:val="000000"/>
                <w:vertAlign w:val="superscript"/>
              </w:rPr>
              <w:t>b</w:t>
            </w:r>
          </w:p>
        </w:tc>
        <w:tc>
          <w:tcPr>
            <w:tcW w:w="609" w:type="pct"/>
            <w:tcBorders>
              <w:top w:val="single" w:sz="4" w:space="0" w:color="auto"/>
              <w:bottom w:val="single" w:sz="4" w:space="0" w:color="auto"/>
            </w:tcBorders>
            <w:shd w:val="clear" w:color="auto" w:fill="auto"/>
            <w:noWrap/>
            <w:vAlign w:val="bottom"/>
          </w:tcPr>
          <w:p w14:paraId="14FEAD4B" w14:textId="77777777" w:rsidR="00066D73" w:rsidRPr="00E17CB6" w:rsidRDefault="00066D73" w:rsidP="004C79C1">
            <w:pPr>
              <w:pStyle w:val="Tabletext1"/>
              <w:spacing w:before="0" w:after="120"/>
              <w:rPr>
                <w:rFonts w:cs="Times New Roman"/>
                <w:color w:val="000000"/>
              </w:rPr>
            </w:pPr>
          </w:p>
        </w:tc>
        <w:tc>
          <w:tcPr>
            <w:tcW w:w="576" w:type="pct"/>
            <w:tcBorders>
              <w:top w:val="single" w:sz="4" w:space="0" w:color="auto"/>
              <w:bottom w:val="single" w:sz="4" w:space="0" w:color="auto"/>
            </w:tcBorders>
            <w:shd w:val="clear" w:color="auto" w:fill="auto"/>
            <w:noWrap/>
            <w:vAlign w:val="center"/>
          </w:tcPr>
          <w:p w14:paraId="094ADF28" w14:textId="77777777" w:rsidR="00066D73" w:rsidRPr="00E17CB6" w:rsidRDefault="00066D73" w:rsidP="004C79C1">
            <w:pPr>
              <w:pStyle w:val="Tabletext1"/>
              <w:spacing w:before="0" w:after="120"/>
              <w:ind w:right="204"/>
              <w:jc w:val="right"/>
              <w:rPr>
                <w:rFonts w:cs="Times New Roman"/>
                <w:color w:val="000000"/>
              </w:rPr>
            </w:pPr>
          </w:p>
        </w:tc>
        <w:tc>
          <w:tcPr>
            <w:tcW w:w="541" w:type="pct"/>
            <w:tcBorders>
              <w:top w:val="single" w:sz="4" w:space="0" w:color="auto"/>
              <w:bottom w:val="single" w:sz="4" w:space="0" w:color="auto"/>
              <w:right w:val="single" w:sz="4" w:space="0" w:color="auto"/>
            </w:tcBorders>
            <w:shd w:val="clear" w:color="auto" w:fill="auto"/>
            <w:noWrap/>
            <w:vAlign w:val="center"/>
          </w:tcPr>
          <w:p w14:paraId="185FAAE5" w14:textId="77777777" w:rsidR="00066D73" w:rsidRPr="00E17CB6" w:rsidRDefault="00066D73" w:rsidP="004C79C1">
            <w:pPr>
              <w:pStyle w:val="Tabletext1"/>
              <w:spacing w:before="0" w:after="120"/>
              <w:ind w:right="178"/>
              <w:jc w:val="right"/>
              <w:rPr>
                <w:rFonts w:cs="Times New Roman"/>
                <w:color w:val="000000"/>
              </w:rPr>
            </w:pP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292BD0DC" w14:textId="3A482383" w:rsidR="00066D73" w:rsidRPr="00E17CB6" w:rsidRDefault="00066D73" w:rsidP="004C79C1">
            <w:pPr>
              <w:pStyle w:val="Tabletext1"/>
              <w:spacing w:before="0" w:after="120"/>
              <w:ind w:right="178"/>
              <w:jc w:val="right"/>
              <w:rPr>
                <w:rFonts w:cs="Times New Roman"/>
                <w:color w:val="000000"/>
              </w:rPr>
            </w:pPr>
            <w:r>
              <w:rPr>
                <w:rFonts w:cs="Times New Roman"/>
                <w:b/>
                <w:color w:val="000000"/>
              </w:rPr>
              <w:t xml:space="preserve">$28,414 </w:t>
            </w:r>
            <w:r w:rsidRPr="00066D73">
              <w:rPr>
                <w:rFonts w:cs="Times New Roman"/>
                <w:b/>
                <w:color w:val="000000"/>
                <w:vertAlign w:val="superscript"/>
              </w:rPr>
              <w:t>b</w:t>
            </w:r>
          </w:p>
        </w:tc>
      </w:tr>
    </w:tbl>
    <w:p w14:paraId="41273682" w14:textId="418A37EA" w:rsidR="002F2AFD" w:rsidRPr="008B3137" w:rsidRDefault="000E0ED7" w:rsidP="004C79C1">
      <w:pPr>
        <w:pStyle w:val="Tablenotes0"/>
        <w:spacing w:before="0" w:after="120"/>
      </w:pPr>
      <w:r w:rsidRPr="00066D7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8B3137">
        <w:t xml:space="preserve"> </w:t>
      </w:r>
      <w:r w:rsidR="00E179F3">
        <w:t>*</w:t>
      </w:r>
      <w:r w:rsidR="002F2AFD" w:rsidRPr="008B3137">
        <w:t xml:space="preserve"> the N</w:t>
      </w:r>
      <w:r w:rsidR="00B4061F">
        <w:t xml:space="preserve">EP </w:t>
      </w:r>
      <w:r w:rsidR="002F2AFD" w:rsidRPr="008B3137">
        <w:t>2016</w:t>
      </w:r>
      <w:r w:rsidR="008732C1">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1862E2A9" w14:textId="42A38AAB" w:rsidR="002F2AFD" w:rsidRDefault="000E0ED7" w:rsidP="004C79C1">
      <w:pPr>
        <w:pStyle w:val="Tablenotes0"/>
        <w:spacing w:before="0" w:after="120"/>
      </w:pPr>
      <w:r w:rsidRPr="00066D73">
        <w:rPr>
          <w:vertAlign w:val="superscript"/>
        </w:rPr>
        <w:t>b</w:t>
      </w:r>
      <w:r w:rsidR="008732C1">
        <w:t xml:space="preserve"> </w:t>
      </w:r>
      <w:r w:rsidR="002F2AFD">
        <w:t xml:space="preserve">$27,991 converted to $28,414 in 2015 AUD </w:t>
      </w:r>
      <w:r w:rsidR="002F2AFD" w:rsidRPr="00B66250">
        <w:t>using inflation calculator provided by Reserve Bank of Australia</w:t>
      </w:r>
      <w:r w:rsidR="002F2AFD">
        <w:t>;</w:t>
      </w:r>
      <w:r w:rsidR="002F2AFD" w:rsidRPr="00B66250">
        <w:t xml:space="preserve"> </w:t>
      </w:r>
      <w:r>
        <w:t>&lt;</w:t>
      </w:r>
      <w:hyperlink r:id="rId96" w:tooltip="Link to RBA inflation calculator" w:history="1">
        <w:r w:rsidR="004577E6">
          <w:rPr>
            <w:rStyle w:val="Hyperlink"/>
          </w:rPr>
          <w:t xml:space="preserve"> www.</w:t>
        </w:r>
        <w:r w:rsidR="002F2AFD" w:rsidRPr="006712EE">
          <w:rPr>
            <w:rStyle w:val="Hyperlink"/>
          </w:rPr>
          <w:t>rba.gov.au/calculator/annualDecimal.html</w:t>
        </w:r>
      </w:hyperlink>
      <w:r>
        <w:rPr>
          <w:rStyle w:val="Hyperlink"/>
        </w:rPr>
        <w:t>&gt;</w:t>
      </w:r>
      <w:r w:rsidR="00B4061F">
        <w:t>;</w:t>
      </w:r>
      <w:r w:rsidR="002F2AFD">
        <w:t xml:space="preserve"> accessed </w:t>
      </w:r>
      <w:r w:rsidR="002F2AFD" w:rsidRPr="008B3137">
        <w:t>2</w:t>
      </w:r>
      <w:r w:rsidR="002F2AFD">
        <w:t>4</w:t>
      </w:r>
      <w:r w:rsidR="002F2AFD" w:rsidRPr="008B3137">
        <w:t xml:space="preserve"> March 2016.</w:t>
      </w:r>
    </w:p>
    <w:p w14:paraId="3572E1D7" w14:textId="6FB641CC" w:rsidR="007C7679" w:rsidRPr="008B3137" w:rsidRDefault="007C7679" w:rsidP="004C79C1">
      <w:pPr>
        <w:pStyle w:val="Tablenotes0"/>
        <w:spacing w:before="0" w:after="120"/>
        <w:rPr>
          <w:rStyle w:val="st"/>
        </w:rPr>
      </w:pPr>
      <w:r w:rsidRPr="008B3137">
        <w:t xml:space="preserve">AICD = automated implantable </w:t>
      </w:r>
      <w:r w:rsidR="00B8383B">
        <w:t>cardioverter defibrillator</w:t>
      </w:r>
      <w:r w:rsidRPr="008B3137">
        <w:t xml:space="preserve">; AR-DRG = </w:t>
      </w:r>
      <w:r w:rsidRPr="008B3137">
        <w:rPr>
          <w:rStyle w:val="st"/>
        </w:rPr>
        <w:t xml:space="preserve">Australian Refined Diagnosis Related Groups; CRT-D = cardiac resynchronisation therapy with cardiac-defibrillator; ICD = </w:t>
      </w:r>
      <w:r w:rsidRPr="008B3137">
        <w:t xml:space="preserve">implantable </w:t>
      </w:r>
      <w:r w:rsidR="00817EB3">
        <w:t>cardioverter defibrillator</w:t>
      </w:r>
      <w:r w:rsidRPr="008B3137">
        <w:t>;</w:t>
      </w:r>
      <w:r w:rsidRPr="008B3137">
        <w:rPr>
          <w:rStyle w:val="st"/>
        </w:rPr>
        <w:t xml:space="preserve"> </w:t>
      </w:r>
      <w:r w:rsidR="00D709FA">
        <w:t>NEP = National Efficient Price;</w:t>
      </w:r>
      <w:r w:rsidR="00D709FA" w:rsidRPr="008B3137">
        <w:rPr>
          <w:rStyle w:val="st"/>
        </w:rPr>
        <w:t xml:space="preserve"> </w:t>
      </w:r>
      <w:r w:rsidRPr="008B3137">
        <w:rPr>
          <w:rStyle w:val="st"/>
        </w:rPr>
        <w:t>Seps = number of hospital separations</w:t>
      </w:r>
    </w:p>
    <w:p w14:paraId="63232861" w14:textId="411CF40C" w:rsidR="002F2AFD" w:rsidRDefault="002F2AFD" w:rsidP="004C79C1">
      <w:pPr>
        <w:pStyle w:val="Caption"/>
        <w:keepNext/>
      </w:pPr>
      <w:bookmarkStart w:id="1006" w:name="_Ref448403666"/>
      <w:bookmarkStart w:id="1007" w:name="_Toc450052119"/>
      <w:bookmarkStart w:id="1008" w:name="_Toc324410310"/>
      <w:bookmarkStart w:id="1009" w:name="_Toc451435433"/>
      <w:r w:rsidRPr="0034255D">
        <w:lastRenderedPageBreak/>
        <w:t xml:space="preserve">Table </w:t>
      </w:r>
      <w:fldSimple w:instr=" SEQ Table \* ARABIC ">
        <w:r w:rsidR="00050936">
          <w:rPr>
            <w:noProof/>
          </w:rPr>
          <w:t>106</w:t>
        </w:r>
      </w:fldSimple>
      <w:bookmarkEnd w:id="1006"/>
      <w:r w:rsidRPr="0034255D">
        <w:tab/>
        <w:t>Cost of hospitalisation for ICD/CRT-D implantation</w:t>
      </w:r>
      <w:r>
        <w:t xml:space="preserve"> in the private sector</w:t>
      </w:r>
      <w:bookmarkEnd w:id="1007"/>
      <w:bookmarkEnd w:id="1008"/>
      <w:bookmarkEnd w:id="1009"/>
    </w:p>
    <w:tbl>
      <w:tblPr>
        <w:tblStyle w:val="TableGrid"/>
        <w:tblW w:w="0" w:type="auto"/>
        <w:tblLook w:val="04A0" w:firstRow="1" w:lastRow="0" w:firstColumn="1" w:lastColumn="0" w:noHBand="0" w:noVBand="1"/>
        <w:tblDescription w:val="Cost of hospitalisation for ICD/CRT-D implantation in the private sector"/>
      </w:tblPr>
      <w:tblGrid>
        <w:gridCol w:w="704"/>
        <w:gridCol w:w="4820"/>
        <w:gridCol w:w="1417"/>
        <w:gridCol w:w="2075"/>
      </w:tblGrid>
      <w:tr w:rsidR="002F2AFD" w:rsidRPr="00350BF2" w14:paraId="7D8E4645" w14:textId="77777777" w:rsidTr="00857B30">
        <w:trPr>
          <w:tblHeader/>
        </w:trPr>
        <w:tc>
          <w:tcPr>
            <w:tcW w:w="704" w:type="dxa"/>
          </w:tcPr>
          <w:p w14:paraId="56D0EFCC" w14:textId="77777777" w:rsidR="002F2AFD" w:rsidRPr="00066D73" w:rsidRDefault="002F2AFD" w:rsidP="004C79C1">
            <w:pPr>
              <w:pStyle w:val="TableText0"/>
              <w:spacing w:before="0" w:after="120"/>
              <w:rPr>
                <w:b/>
              </w:rPr>
            </w:pPr>
            <w:r w:rsidRPr="00066D73">
              <w:rPr>
                <w:b/>
              </w:rPr>
              <w:t>Row</w:t>
            </w:r>
          </w:p>
        </w:tc>
        <w:tc>
          <w:tcPr>
            <w:tcW w:w="4820" w:type="dxa"/>
          </w:tcPr>
          <w:p w14:paraId="288C47CB" w14:textId="77777777" w:rsidR="002F2AFD" w:rsidRPr="00066D73" w:rsidRDefault="002F2AFD" w:rsidP="004C79C1">
            <w:pPr>
              <w:pStyle w:val="TableText0"/>
              <w:spacing w:before="0" w:after="120"/>
              <w:rPr>
                <w:b/>
              </w:rPr>
            </w:pPr>
            <w:r w:rsidRPr="00066D73">
              <w:rPr>
                <w:b/>
              </w:rPr>
              <w:t>Description</w:t>
            </w:r>
          </w:p>
        </w:tc>
        <w:tc>
          <w:tcPr>
            <w:tcW w:w="1417" w:type="dxa"/>
            <w:tcBorders>
              <w:bottom w:val="single" w:sz="4" w:space="0" w:color="auto"/>
            </w:tcBorders>
          </w:tcPr>
          <w:p w14:paraId="28AAF2B1" w14:textId="77777777" w:rsidR="002F2AFD" w:rsidRPr="00066D73" w:rsidRDefault="002F2AFD" w:rsidP="004C79C1">
            <w:pPr>
              <w:pStyle w:val="TableText0"/>
              <w:spacing w:before="0" w:after="120"/>
              <w:jc w:val="center"/>
              <w:rPr>
                <w:b/>
              </w:rPr>
            </w:pPr>
            <w:r w:rsidRPr="00066D73">
              <w:rPr>
                <w:b/>
              </w:rPr>
              <w:t>Estimated value</w:t>
            </w:r>
          </w:p>
        </w:tc>
        <w:tc>
          <w:tcPr>
            <w:tcW w:w="2075" w:type="dxa"/>
            <w:tcBorders>
              <w:bottom w:val="single" w:sz="4" w:space="0" w:color="auto"/>
            </w:tcBorders>
          </w:tcPr>
          <w:p w14:paraId="412D2FC4" w14:textId="77777777" w:rsidR="002F2AFD" w:rsidRPr="00066D73" w:rsidRDefault="002F2AFD" w:rsidP="004C79C1">
            <w:pPr>
              <w:pStyle w:val="TableText0"/>
              <w:spacing w:before="0" w:after="120"/>
              <w:rPr>
                <w:b/>
              </w:rPr>
            </w:pPr>
            <w:r w:rsidRPr="00066D73">
              <w:rPr>
                <w:b/>
              </w:rPr>
              <w:t>Source</w:t>
            </w:r>
          </w:p>
        </w:tc>
      </w:tr>
      <w:tr w:rsidR="002F2AFD" w:rsidRPr="00503057" w14:paraId="50F49F98" w14:textId="77777777" w:rsidTr="00857B30">
        <w:tc>
          <w:tcPr>
            <w:tcW w:w="704" w:type="dxa"/>
          </w:tcPr>
          <w:p w14:paraId="562ABDA0" w14:textId="77777777" w:rsidR="002F2AFD" w:rsidRPr="00503057" w:rsidRDefault="002F2AFD" w:rsidP="004C79C1">
            <w:pPr>
              <w:pStyle w:val="TableText0"/>
              <w:spacing w:before="0" w:after="120"/>
            </w:pPr>
          </w:p>
        </w:tc>
        <w:tc>
          <w:tcPr>
            <w:tcW w:w="4820" w:type="dxa"/>
            <w:tcBorders>
              <w:right w:val="nil"/>
            </w:tcBorders>
          </w:tcPr>
          <w:p w14:paraId="40B98701" w14:textId="77777777" w:rsidR="002F2AFD" w:rsidRPr="00503057" w:rsidRDefault="002F2AFD" w:rsidP="004C79C1">
            <w:pPr>
              <w:pStyle w:val="TableText0"/>
              <w:spacing w:before="0" w:after="120"/>
              <w:rPr>
                <w:i/>
              </w:rPr>
            </w:pPr>
            <w:r w:rsidRPr="00503057">
              <w:rPr>
                <w:i/>
              </w:rPr>
              <w:t>Cost per hospitalisation for implantation, with complications</w:t>
            </w:r>
          </w:p>
        </w:tc>
        <w:tc>
          <w:tcPr>
            <w:tcW w:w="1417" w:type="dxa"/>
            <w:tcBorders>
              <w:left w:val="nil"/>
            </w:tcBorders>
          </w:tcPr>
          <w:p w14:paraId="287D1013" w14:textId="77777777" w:rsidR="002F2AFD" w:rsidRPr="00503057" w:rsidRDefault="002F2AFD" w:rsidP="004C79C1">
            <w:pPr>
              <w:pStyle w:val="TableText0"/>
              <w:spacing w:before="0" w:after="120"/>
              <w:jc w:val="center"/>
            </w:pPr>
          </w:p>
        </w:tc>
        <w:tc>
          <w:tcPr>
            <w:tcW w:w="2075" w:type="dxa"/>
          </w:tcPr>
          <w:p w14:paraId="60DE7328" w14:textId="77777777" w:rsidR="002F2AFD" w:rsidRPr="00503057" w:rsidRDefault="002F2AFD" w:rsidP="004C79C1">
            <w:pPr>
              <w:pStyle w:val="TableText0"/>
              <w:spacing w:before="0" w:after="120"/>
            </w:pPr>
          </w:p>
        </w:tc>
      </w:tr>
      <w:tr w:rsidR="002F2AFD" w:rsidRPr="00503057" w14:paraId="3FA20CAC" w14:textId="77777777" w:rsidTr="00857B30">
        <w:tc>
          <w:tcPr>
            <w:tcW w:w="704" w:type="dxa"/>
          </w:tcPr>
          <w:p w14:paraId="539B70CB" w14:textId="77777777" w:rsidR="002F2AFD" w:rsidRPr="00503057" w:rsidRDefault="002F2AFD" w:rsidP="004C79C1">
            <w:pPr>
              <w:pStyle w:val="TableText0"/>
              <w:spacing w:before="0" w:after="120"/>
            </w:pPr>
            <w:r w:rsidRPr="00503057">
              <w:t>A</w:t>
            </w:r>
          </w:p>
        </w:tc>
        <w:tc>
          <w:tcPr>
            <w:tcW w:w="4820" w:type="dxa"/>
          </w:tcPr>
          <w:p w14:paraId="0D430F24" w14:textId="77777777" w:rsidR="002F2AFD" w:rsidRPr="00503057" w:rsidRDefault="002F2AFD" w:rsidP="004C79C1">
            <w:pPr>
              <w:pStyle w:val="TableText0"/>
              <w:spacing w:before="0" w:after="120"/>
            </w:pPr>
            <w:r w:rsidRPr="00503057">
              <w:t>Total average cost per hospitalisation for implantation</w:t>
            </w:r>
          </w:p>
        </w:tc>
        <w:tc>
          <w:tcPr>
            <w:tcW w:w="1417" w:type="dxa"/>
          </w:tcPr>
          <w:p w14:paraId="60A88110" w14:textId="77777777" w:rsidR="002F2AFD" w:rsidRPr="00503057" w:rsidRDefault="002F2AFD" w:rsidP="004C79C1">
            <w:pPr>
              <w:pStyle w:val="TableText0"/>
              <w:spacing w:before="0" w:after="120"/>
              <w:ind w:right="204"/>
              <w:jc w:val="right"/>
            </w:pPr>
            <w:r w:rsidRPr="00503057">
              <w:t>$69,902</w:t>
            </w:r>
          </w:p>
        </w:tc>
        <w:tc>
          <w:tcPr>
            <w:tcW w:w="2075" w:type="dxa"/>
          </w:tcPr>
          <w:p w14:paraId="3B6C2A5D" w14:textId="77777777" w:rsidR="002F2AFD" w:rsidRPr="00503057" w:rsidRDefault="002F2AFD" w:rsidP="004C79C1">
            <w:pPr>
              <w:pStyle w:val="TableText0"/>
              <w:spacing w:before="0" w:after="120"/>
            </w:pPr>
            <w:r w:rsidRPr="00503057">
              <w:t>AR-DRG F01A</w:t>
            </w:r>
          </w:p>
        </w:tc>
      </w:tr>
      <w:tr w:rsidR="002F2AFD" w:rsidRPr="00503057" w14:paraId="4341E0E5" w14:textId="77777777" w:rsidTr="00857B30">
        <w:tc>
          <w:tcPr>
            <w:tcW w:w="704" w:type="dxa"/>
          </w:tcPr>
          <w:p w14:paraId="46CD08FC" w14:textId="77777777" w:rsidR="002F2AFD" w:rsidRPr="00503057" w:rsidRDefault="002F2AFD" w:rsidP="004C79C1">
            <w:pPr>
              <w:pStyle w:val="TableText0"/>
              <w:spacing w:before="0" w:after="120"/>
            </w:pPr>
            <w:r w:rsidRPr="00503057">
              <w:t>B</w:t>
            </w:r>
          </w:p>
        </w:tc>
        <w:tc>
          <w:tcPr>
            <w:tcW w:w="4820" w:type="dxa"/>
          </w:tcPr>
          <w:p w14:paraId="42DE97F8" w14:textId="77777777" w:rsidR="002F2AFD" w:rsidRPr="00503057" w:rsidRDefault="002F2AFD" w:rsidP="004C79C1">
            <w:pPr>
              <w:pStyle w:val="TableText0"/>
              <w:spacing w:before="0" w:after="120"/>
            </w:pPr>
            <w:r w:rsidRPr="00503057">
              <w:t>Prostheses component cost</w:t>
            </w:r>
          </w:p>
        </w:tc>
        <w:tc>
          <w:tcPr>
            <w:tcW w:w="1417" w:type="dxa"/>
          </w:tcPr>
          <w:p w14:paraId="7078D890" w14:textId="77777777" w:rsidR="002F2AFD" w:rsidRPr="00503057" w:rsidRDefault="002F2AFD" w:rsidP="004C79C1">
            <w:pPr>
              <w:pStyle w:val="TableText0"/>
              <w:spacing w:before="0" w:after="120"/>
              <w:ind w:right="204"/>
              <w:jc w:val="right"/>
            </w:pPr>
            <w:r w:rsidRPr="00503057">
              <w:t>$57,512</w:t>
            </w:r>
          </w:p>
        </w:tc>
        <w:tc>
          <w:tcPr>
            <w:tcW w:w="2075" w:type="dxa"/>
          </w:tcPr>
          <w:p w14:paraId="6718F37D" w14:textId="77777777" w:rsidR="002F2AFD" w:rsidRPr="00503057" w:rsidRDefault="002F2AFD" w:rsidP="004C79C1">
            <w:pPr>
              <w:pStyle w:val="TableText0"/>
              <w:spacing w:before="0" w:after="120"/>
            </w:pPr>
            <w:r w:rsidRPr="00503057">
              <w:t>AR-DRG F01A</w:t>
            </w:r>
          </w:p>
        </w:tc>
      </w:tr>
      <w:tr w:rsidR="002F2AFD" w:rsidRPr="00503057" w14:paraId="7B581087" w14:textId="77777777" w:rsidTr="00857B30">
        <w:tc>
          <w:tcPr>
            <w:tcW w:w="704" w:type="dxa"/>
          </w:tcPr>
          <w:p w14:paraId="515D8CE7" w14:textId="77777777" w:rsidR="002F2AFD" w:rsidRPr="00503057" w:rsidRDefault="002F2AFD" w:rsidP="004C79C1">
            <w:pPr>
              <w:pStyle w:val="TableText0"/>
              <w:spacing w:before="0" w:after="120"/>
            </w:pPr>
            <w:r w:rsidRPr="00503057">
              <w:t>C</w:t>
            </w:r>
          </w:p>
        </w:tc>
        <w:tc>
          <w:tcPr>
            <w:tcW w:w="4820" w:type="dxa"/>
          </w:tcPr>
          <w:p w14:paraId="0CF36059" w14:textId="194C27FC" w:rsidR="002F2AFD" w:rsidRPr="00503057" w:rsidRDefault="002F2AFD" w:rsidP="004C79C1">
            <w:pPr>
              <w:pStyle w:val="TableText0"/>
              <w:spacing w:before="0" w:after="120"/>
            </w:pPr>
            <w:r w:rsidRPr="00503057">
              <w:t xml:space="preserve">Total cost per hospitalisation for implantation, with complications (excluding </w:t>
            </w:r>
            <w:r w:rsidR="00350BF2">
              <w:t>p</w:t>
            </w:r>
            <w:r w:rsidRPr="00503057">
              <w:t>rostheses component)</w:t>
            </w:r>
          </w:p>
        </w:tc>
        <w:tc>
          <w:tcPr>
            <w:tcW w:w="1417" w:type="dxa"/>
            <w:tcBorders>
              <w:bottom w:val="single" w:sz="4" w:space="0" w:color="auto"/>
            </w:tcBorders>
          </w:tcPr>
          <w:p w14:paraId="6FC3F56B" w14:textId="77777777" w:rsidR="002F2AFD" w:rsidRPr="00503057" w:rsidRDefault="002F2AFD" w:rsidP="004C79C1">
            <w:pPr>
              <w:pStyle w:val="TableText0"/>
              <w:spacing w:before="0" w:after="120"/>
              <w:ind w:right="204"/>
              <w:jc w:val="right"/>
            </w:pPr>
            <w:r w:rsidRPr="00503057">
              <w:t>$14,288</w:t>
            </w:r>
          </w:p>
        </w:tc>
        <w:tc>
          <w:tcPr>
            <w:tcW w:w="2075" w:type="dxa"/>
            <w:tcBorders>
              <w:bottom w:val="single" w:sz="4" w:space="0" w:color="auto"/>
            </w:tcBorders>
          </w:tcPr>
          <w:p w14:paraId="4BAB07D3" w14:textId="2D489C50" w:rsidR="002F2AFD" w:rsidRPr="00503057" w:rsidRDefault="002F2AFD" w:rsidP="004C79C1">
            <w:pPr>
              <w:pStyle w:val="TableText0"/>
              <w:spacing w:before="0" w:after="120"/>
            </w:pPr>
            <w:r w:rsidRPr="00503057">
              <w:t>C = (A – B) converted to 2015 AUD</w:t>
            </w:r>
            <w:r w:rsidR="00350BF2">
              <w:rPr>
                <w:vertAlign w:val="superscript"/>
              </w:rPr>
              <w:t xml:space="preserve"> a</w:t>
            </w:r>
          </w:p>
        </w:tc>
      </w:tr>
      <w:tr w:rsidR="002F2AFD" w:rsidRPr="00503057" w14:paraId="31D39C44" w14:textId="77777777" w:rsidTr="00857B30">
        <w:tc>
          <w:tcPr>
            <w:tcW w:w="704" w:type="dxa"/>
          </w:tcPr>
          <w:p w14:paraId="7C7EF3F0" w14:textId="77777777" w:rsidR="002F2AFD" w:rsidRPr="00503057" w:rsidRDefault="002F2AFD" w:rsidP="004C79C1">
            <w:pPr>
              <w:pStyle w:val="TableText0"/>
              <w:spacing w:before="0" w:after="120"/>
            </w:pPr>
          </w:p>
        </w:tc>
        <w:tc>
          <w:tcPr>
            <w:tcW w:w="4820" w:type="dxa"/>
            <w:tcBorders>
              <w:right w:val="nil"/>
            </w:tcBorders>
          </w:tcPr>
          <w:p w14:paraId="2D6149C8" w14:textId="77777777" w:rsidR="002F2AFD" w:rsidRPr="00503057" w:rsidRDefault="002F2AFD" w:rsidP="004C79C1">
            <w:pPr>
              <w:pStyle w:val="TableText0"/>
              <w:spacing w:before="0" w:after="120"/>
              <w:rPr>
                <w:i/>
              </w:rPr>
            </w:pPr>
            <w:r w:rsidRPr="00503057">
              <w:rPr>
                <w:i/>
              </w:rPr>
              <w:t>Cost per hospitalisation for implantation, with no complications</w:t>
            </w:r>
          </w:p>
        </w:tc>
        <w:tc>
          <w:tcPr>
            <w:tcW w:w="1417" w:type="dxa"/>
            <w:tcBorders>
              <w:left w:val="nil"/>
              <w:right w:val="nil"/>
            </w:tcBorders>
          </w:tcPr>
          <w:p w14:paraId="0858406C" w14:textId="77777777" w:rsidR="002F2AFD" w:rsidRPr="00503057" w:rsidRDefault="002F2AFD" w:rsidP="004C79C1">
            <w:pPr>
              <w:pStyle w:val="TableText0"/>
              <w:spacing w:before="0" w:after="120"/>
              <w:ind w:right="204"/>
              <w:jc w:val="right"/>
            </w:pPr>
          </w:p>
        </w:tc>
        <w:tc>
          <w:tcPr>
            <w:tcW w:w="2075" w:type="dxa"/>
            <w:tcBorders>
              <w:left w:val="nil"/>
            </w:tcBorders>
          </w:tcPr>
          <w:p w14:paraId="3CAC1CA4" w14:textId="77777777" w:rsidR="002F2AFD" w:rsidRPr="00503057" w:rsidRDefault="002F2AFD" w:rsidP="004C79C1">
            <w:pPr>
              <w:pStyle w:val="TableText0"/>
              <w:spacing w:before="0" w:after="120"/>
            </w:pPr>
          </w:p>
        </w:tc>
      </w:tr>
      <w:tr w:rsidR="002F2AFD" w:rsidRPr="00503057" w14:paraId="13D37F83" w14:textId="77777777" w:rsidTr="00857B30">
        <w:tc>
          <w:tcPr>
            <w:tcW w:w="704" w:type="dxa"/>
          </w:tcPr>
          <w:p w14:paraId="1E1EAAA2" w14:textId="77777777" w:rsidR="002F2AFD" w:rsidRPr="00503057" w:rsidRDefault="002F2AFD" w:rsidP="004C79C1">
            <w:pPr>
              <w:pStyle w:val="TableText0"/>
              <w:spacing w:before="0" w:after="120"/>
            </w:pPr>
            <w:r w:rsidRPr="00503057">
              <w:t>D</w:t>
            </w:r>
          </w:p>
        </w:tc>
        <w:tc>
          <w:tcPr>
            <w:tcW w:w="4820" w:type="dxa"/>
          </w:tcPr>
          <w:p w14:paraId="1984B8BC" w14:textId="77777777" w:rsidR="002F2AFD" w:rsidRPr="00503057" w:rsidRDefault="002F2AFD" w:rsidP="004C79C1">
            <w:pPr>
              <w:pStyle w:val="TableText0"/>
              <w:spacing w:before="0" w:after="120"/>
            </w:pPr>
            <w:r w:rsidRPr="00503057">
              <w:t>Total average cost per hospitalisation for implantation</w:t>
            </w:r>
          </w:p>
        </w:tc>
        <w:tc>
          <w:tcPr>
            <w:tcW w:w="1417" w:type="dxa"/>
          </w:tcPr>
          <w:p w14:paraId="13AFBA66" w14:textId="77777777" w:rsidR="002F2AFD" w:rsidRPr="00503057" w:rsidRDefault="002F2AFD" w:rsidP="004C79C1">
            <w:pPr>
              <w:pStyle w:val="TableText0"/>
              <w:spacing w:before="0" w:after="120"/>
              <w:ind w:right="204"/>
              <w:jc w:val="right"/>
            </w:pPr>
            <w:r w:rsidRPr="00503057">
              <w:t>$56,626</w:t>
            </w:r>
          </w:p>
        </w:tc>
        <w:tc>
          <w:tcPr>
            <w:tcW w:w="2075" w:type="dxa"/>
          </w:tcPr>
          <w:p w14:paraId="578E9413" w14:textId="77777777" w:rsidR="002F2AFD" w:rsidRPr="00503057" w:rsidRDefault="002F2AFD" w:rsidP="004C79C1">
            <w:pPr>
              <w:pStyle w:val="TableText0"/>
              <w:spacing w:before="0" w:after="120"/>
            </w:pPr>
            <w:r w:rsidRPr="00503057">
              <w:t>AR-DRG F01B</w:t>
            </w:r>
          </w:p>
        </w:tc>
      </w:tr>
      <w:tr w:rsidR="002F2AFD" w:rsidRPr="00503057" w14:paraId="0D34FEF6" w14:textId="77777777" w:rsidTr="00857B30">
        <w:tc>
          <w:tcPr>
            <w:tcW w:w="704" w:type="dxa"/>
          </w:tcPr>
          <w:p w14:paraId="33CF7991" w14:textId="77777777" w:rsidR="002F2AFD" w:rsidRPr="00503057" w:rsidRDefault="002F2AFD" w:rsidP="004C79C1">
            <w:pPr>
              <w:pStyle w:val="TableText0"/>
              <w:spacing w:before="0" w:after="120"/>
            </w:pPr>
            <w:r w:rsidRPr="00503057">
              <w:t>E</w:t>
            </w:r>
          </w:p>
        </w:tc>
        <w:tc>
          <w:tcPr>
            <w:tcW w:w="4820" w:type="dxa"/>
          </w:tcPr>
          <w:p w14:paraId="39777343" w14:textId="77777777" w:rsidR="002F2AFD" w:rsidRPr="00503057" w:rsidRDefault="002F2AFD" w:rsidP="004C79C1">
            <w:pPr>
              <w:pStyle w:val="TableText0"/>
              <w:spacing w:before="0" w:after="120"/>
            </w:pPr>
            <w:r w:rsidRPr="00503057">
              <w:t>Prostheses component cost</w:t>
            </w:r>
          </w:p>
        </w:tc>
        <w:tc>
          <w:tcPr>
            <w:tcW w:w="1417" w:type="dxa"/>
          </w:tcPr>
          <w:p w14:paraId="368DA509" w14:textId="77777777" w:rsidR="002F2AFD" w:rsidRPr="00503057" w:rsidRDefault="002F2AFD" w:rsidP="004C79C1">
            <w:pPr>
              <w:pStyle w:val="TableText0"/>
              <w:spacing w:before="0" w:after="120"/>
              <w:ind w:right="204"/>
              <w:jc w:val="right"/>
            </w:pPr>
            <w:r w:rsidRPr="00503057">
              <w:t>$52,311</w:t>
            </w:r>
          </w:p>
        </w:tc>
        <w:tc>
          <w:tcPr>
            <w:tcW w:w="2075" w:type="dxa"/>
          </w:tcPr>
          <w:p w14:paraId="73011FFC" w14:textId="77777777" w:rsidR="002F2AFD" w:rsidRPr="00503057" w:rsidRDefault="002F2AFD" w:rsidP="004C79C1">
            <w:pPr>
              <w:pStyle w:val="TableText0"/>
              <w:spacing w:before="0" w:after="120"/>
            </w:pPr>
            <w:r w:rsidRPr="00503057">
              <w:t>AR-DRG F01B</w:t>
            </w:r>
          </w:p>
        </w:tc>
      </w:tr>
      <w:tr w:rsidR="002F2AFD" w:rsidRPr="00503057" w14:paraId="7BFDDDDA" w14:textId="77777777" w:rsidTr="00857B30">
        <w:tc>
          <w:tcPr>
            <w:tcW w:w="704" w:type="dxa"/>
          </w:tcPr>
          <w:p w14:paraId="4525D2F2" w14:textId="77777777" w:rsidR="002F2AFD" w:rsidRPr="00503057" w:rsidRDefault="002F2AFD" w:rsidP="004C79C1">
            <w:pPr>
              <w:pStyle w:val="TableText0"/>
              <w:spacing w:before="0" w:after="120"/>
            </w:pPr>
            <w:r w:rsidRPr="00503057">
              <w:t>F</w:t>
            </w:r>
          </w:p>
        </w:tc>
        <w:tc>
          <w:tcPr>
            <w:tcW w:w="4820" w:type="dxa"/>
          </w:tcPr>
          <w:p w14:paraId="571A74DD" w14:textId="55A17051" w:rsidR="002F2AFD" w:rsidRPr="00503057" w:rsidRDefault="002F2AFD" w:rsidP="004C79C1">
            <w:pPr>
              <w:pStyle w:val="TableText0"/>
              <w:spacing w:before="0" w:after="120"/>
            </w:pPr>
            <w:r w:rsidRPr="00503057">
              <w:t xml:space="preserve">Total cost per hospitalisation for implantation, with no complications (excluding </w:t>
            </w:r>
            <w:r w:rsidR="00350BF2">
              <w:t>p</w:t>
            </w:r>
            <w:r w:rsidRPr="00503057">
              <w:t>rostheses component)</w:t>
            </w:r>
          </w:p>
        </w:tc>
        <w:tc>
          <w:tcPr>
            <w:tcW w:w="1417" w:type="dxa"/>
            <w:tcBorders>
              <w:bottom w:val="single" w:sz="4" w:space="0" w:color="auto"/>
            </w:tcBorders>
          </w:tcPr>
          <w:p w14:paraId="2D023228" w14:textId="77777777" w:rsidR="002F2AFD" w:rsidRPr="00503057" w:rsidRDefault="002F2AFD" w:rsidP="004C79C1">
            <w:pPr>
              <w:pStyle w:val="TableText0"/>
              <w:spacing w:before="0" w:after="120"/>
              <w:ind w:right="204"/>
              <w:jc w:val="right"/>
            </w:pPr>
            <w:r w:rsidRPr="00503057">
              <w:t>$4,976</w:t>
            </w:r>
          </w:p>
        </w:tc>
        <w:tc>
          <w:tcPr>
            <w:tcW w:w="2075" w:type="dxa"/>
            <w:tcBorders>
              <w:bottom w:val="single" w:sz="4" w:space="0" w:color="auto"/>
            </w:tcBorders>
          </w:tcPr>
          <w:p w14:paraId="484AE346" w14:textId="286B4A5D" w:rsidR="002F2AFD" w:rsidRPr="00503057" w:rsidRDefault="002F2AFD" w:rsidP="004C79C1">
            <w:pPr>
              <w:pStyle w:val="TableText0"/>
              <w:spacing w:before="0" w:after="120"/>
            </w:pPr>
            <w:r w:rsidRPr="00503057">
              <w:t>F = (D – E) converted to 2015 AUD</w:t>
            </w:r>
            <w:r w:rsidR="00350BF2">
              <w:rPr>
                <w:vertAlign w:val="superscript"/>
              </w:rPr>
              <w:t xml:space="preserve"> a</w:t>
            </w:r>
          </w:p>
        </w:tc>
      </w:tr>
      <w:tr w:rsidR="002F2AFD" w:rsidRPr="00503057" w14:paraId="1C6393E8" w14:textId="77777777" w:rsidTr="00857B30">
        <w:tc>
          <w:tcPr>
            <w:tcW w:w="704" w:type="dxa"/>
          </w:tcPr>
          <w:p w14:paraId="5534E3D6" w14:textId="77777777" w:rsidR="002F2AFD" w:rsidRPr="00503057" w:rsidRDefault="002F2AFD" w:rsidP="004C79C1">
            <w:pPr>
              <w:pStyle w:val="TableText0"/>
              <w:spacing w:before="0" w:after="120"/>
            </w:pPr>
          </w:p>
        </w:tc>
        <w:tc>
          <w:tcPr>
            <w:tcW w:w="4820" w:type="dxa"/>
            <w:tcBorders>
              <w:right w:val="nil"/>
            </w:tcBorders>
          </w:tcPr>
          <w:p w14:paraId="69157B75" w14:textId="77777777" w:rsidR="002F2AFD" w:rsidRPr="00503057" w:rsidRDefault="002F2AFD" w:rsidP="004C79C1">
            <w:pPr>
              <w:pStyle w:val="TableText0"/>
              <w:spacing w:before="0" w:after="120"/>
              <w:rPr>
                <w:i/>
              </w:rPr>
            </w:pPr>
            <w:r w:rsidRPr="00503057">
              <w:rPr>
                <w:i/>
              </w:rPr>
              <w:t>Weighted average cost per hospitalisation for ICD implantation</w:t>
            </w:r>
          </w:p>
        </w:tc>
        <w:tc>
          <w:tcPr>
            <w:tcW w:w="1417" w:type="dxa"/>
            <w:tcBorders>
              <w:left w:val="nil"/>
              <w:right w:val="nil"/>
            </w:tcBorders>
          </w:tcPr>
          <w:p w14:paraId="782E14DD" w14:textId="77777777" w:rsidR="002F2AFD" w:rsidRPr="00503057" w:rsidRDefault="002F2AFD" w:rsidP="004C79C1">
            <w:pPr>
              <w:pStyle w:val="TableText0"/>
              <w:spacing w:before="0" w:after="120"/>
              <w:ind w:right="204"/>
              <w:jc w:val="right"/>
            </w:pPr>
          </w:p>
        </w:tc>
        <w:tc>
          <w:tcPr>
            <w:tcW w:w="2075" w:type="dxa"/>
            <w:tcBorders>
              <w:left w:val="nil"/>
            </w:tcBorders>
          </w:tcPr>
          <w:p w14:paraId="1AE34891" w14:textId="77777777" w:rsidR="002F2AFD" w:rsidRPr="00503057" w:rsidRDefault="002F2AFD" w:rsidP="004C79C1">
            <w:pPr>
              <w:pStyle w:val="TableText0"/>
              <w:spacing w:before="0" w:after="120"/>
            </w:pPr>
          </w:p>
        </w:tc>
      </w:tr>
      <w:tr w:rsidR="002F2AFD" w:rsidRPr="00503057" w14:paraId="4158C3EB" w14:textId="77777777" w:rsidTr="00857B30">
        <w:tc>
          <w:tcPr>
            <w:tcW w:w="704" w:type="dxa"/>
          </w:tcPr>
          <w:p w14:paraId="332DEBB8" w14:textId="77777777" w:rsidR="002F2AFD" w:rsidRPr="00503057" w:rsidRDefault="002F2AFD" w:rsidP="004C79C1">
            <w:pPr>
              <w:pStyle w:val="TableText0"/>
              <w:spacing w:before="0" w:after="120"/>
            </w:pPr>
            <w:r w:rsidRPr="00503057">
              <w:t>G</w:t>
            </w:r>
          </w:p>
        </w:tc>
        <w:tc>
          <w:tcPr>
            <w:tcW w:w="4820" w:type="dxa"/>
          </w:tcPr>
          <w:p w14:paraId="03B8D3C7" w14:textId="77777777" w:rsidR="002F2AFD" w:rsidRPr="00503057" w:rsidRDefault="002F2AFD" w:rsidP="004C79C1">
            <w:pPr>
              <w:pStyle w:val="TableText0"/>
              <w:spacing w:before="0" w:after="120"/>
            </w:pPr>
            <w:r w:rsidRPr="00503057">
              <w:t>Probability of implant</w:t>
            </w:r>
            <w:r w:rsidRPr="00503057">
              <w:rPr>
                <w:rFonts w:ascii="Cambria Math" w:hAnsi="Cambria Math" w:cs="Cambria Math"/>
              </w:rPr>
              <w:t>‐</w:t>
            </w:r>
            <w:r w:rsidRPr="00503057">
              <w:t>related complications</w:t>
            </w:r>
          </w:p>
        </w:tc>
        <w:tc>
          <w:tcPr>
            <w:tcW w:w="1417" w:type="dxa"/>
          </w:tcPr>
          <w:p w14:paraId="64A13C47" w14:textId="77777777" w:rsidR="002F2AFD" w:rsidRPr="00503057" w:rsidRDefault="002F2AFD" w:rsidP="004C79C1">
            <w:pPr>
              <w:pStyle w:val="TableText0"/>
              <w:spacing w:before="0" w:after="120"/>
              <w:ind w:right="204"/>
              <w:jc w:val="right"/>
            </w:pPr>
            <w:r w:rsidRPr="00503057">
              <w:t>7%</w:t>
            </w:r>
          </w:p>
        </w:tc>
        <w:tc>
          <w:tcPr>
            <w:tcW w:w="2075" w:type="dxa"/>
          </w:tcPr>
          <w:p w14:paraId="18925878" w14:textId="37108FD4" w:rsidR="002F2AFD" w:rsidRPr="00503057" w:rsidRDefault="002F2AFD" w:rsidP="004C79C1">
            <w:pPr>
              <w:pStyle w:val="TableText0"/>
              <w:spacing w:before="0" w:after="120"/>
            </w:pPr>
            <w:r w:rsidRPr="00503057">
              <w:t xml:space="preserve">MSAC </w:t>
            </w:r>
            <w:r w:rsidR="008944DF">
              <w:t>Application</w:t>
            </w:r>
            <w:r w:rsidR="008944DF" w:rsidRPr="00503057">
              <w:t xml:space="preserve"> </w:t>
            </w:r>
            <w:r w:rsidR="00E342A7">
              <w:t xml:space="preserve">no. </w:t>
            </w:r>
            <w:r w:rsidRPr="00503057">
              <w:t>1223</w:t>
            </w:r>
          </w:p>
        </w:tc>
      </w:tr>
      <w:tr w:rsidR="002F2AFD" w:rsidRPr="00503057" w14:paraId="79295784" w14:textId="77777777" w:rsidTr="00857B30">
        <w:tc>
          <w:tcPr>
            <w:tcW w:w="704" w:type="dxa"/>
          </w:tcPr>
          <w:p w14:paraId="0560DD6D" w14:textId="77777777" w:rsidR="002F2AFD" w:rsidRPr="00503057" w:rsidRDefault="002F2AFD" w:rsidP="004C79C1">
            <w:pPr>
              <w:pStyle w:val="TableText0"/>
              <w:spacing w:before="0" w:after="120"/>
            </w:pPr>
            <w:r w:rsidRPr="00503057">
              <w:t>H</w:t>
            </w:r>
          </w:p>
        </w:tc>
        <w:tc>
          <w:tcPr>
            <w:tcW w:w="4820" w:type="dxa"/>
          </w:tcPr>
          <w:p w14:paraId="701B43E9" w14:textId="77777777" w:rsidR="002F2AFD" w:rsidRPr="00503057" w:rsidRDefault="002F2AFD" w:rsidP="004C79C1">
            <w:pPr>
              <w:pStyle w:val="TableText0"/>
              <w:spacing w:before="0" w:after="120"/>
            </w:pPr>
            <w:r w:rsidRPr="00503057">
              <w:t>Probability of no implant</w:t>
            </w:r>
            <w:r w:rsidRPr="00503057">
              <w:rPr>
                <w:rFonts w:ascii="Cambria Math" w:hAnsi="Cambria Math" w:cs="Cambria Math"/>
              </w:rPr>
              <w:t>‐</w:t>
            </w:r>
            <w:r w:rsidRPr="00503057">
              <w:t>related complications</w:t>
            </w:r>
          </w:p>
        </w:tc>
        <w:tc>
          <w:tcPr>
            <w:tcW w:w="1417" w:type="dxa"/>
          </w:tcPr>
          <w:p w14:paraId="61092D04" w14:textId="77777777" w:rsidR="002F2AFD" w:rsidRPr="00503057" w:rsidRDefault="002F2AFD" w:rsidP="004C79C1">
            <w:pPr>
              <w:pStyle w:val="TableText0"/>
              <w:spacing w:before="0" w:after="120"/>
              <w:ind w:right="204"/>
              <w:jc w:val="right"/>
            </w:pPr>
            <w:r w:rsidRPr="00503057">
              <w:t>93%</w:t>
            </w:r>
          </w:p>
        </w:tc>
        <w:tc>
          <w:tcPr>
            <w:tcW w:w="2075" w:type="dxa"/>
          </w:tcPr>
          <w:p w14:paraId="3810D788" w14:textId="116A7AC8" w:rsidR="002F2AFD" w:rsidRPr="00503057" w:rsidRDefault="002F2AFD" w:rsidP="004C79C1">
            <w:pPr>
              <w:pStyle w:val="TableText0"/>
              <w:spacing w:before="0" w:after="120"/>
            </w:pPr>
            <w:r w:rsidRPr="00503057">
              <w:t xml:space="preserve">MSAC </w:t>
            </w:r>
            <w:r w:rsidR="008944DF">
              <w:t>Application</w:t>
            </w:r>
            <w:r w:rsidR="008944DF" w:rsidRPr="00503057">
              <w:t xml:space="preserve"> </w:t>
            </w:r>
            <w:r w:rsidR="00E342A7">
              <w:t xml:space="preserve">no. </w:t>
            </w:r>
            <w:r w:rsidRPr="00503057">
              <w:t>1223</w:t>
            </w:r>
          </w:p>
        </w:tc>
      </w:tr>
      <w:tr w:rsidR="002F2AFD" w:rsidRPr="00503057" w14:paraId="53DFD2F1" w14:textId="77777777" w:rsidTr="00857B30">
        <w:tc>
          <w:tcPr>
            <w:tcW w:w="704" w:type="dxa"/>
          </w:tcPr>
          <w:p w14:paraId="420F5E5C" w14:textId="77777777" w:rsidR="002F2AFD" w:rsidRPr="00503057" w:rsidRDefault="002F2AFD" w:rsidP="004C79C1">
            <w:pPr>
              <w:pStyle w:val="TableText0"/>
              <w:spacing w:before="0" w:after="120"/>
            </w:pPr>
            <w:r w:rsidRPr="00503057">
              <w:t>I</w:t>
            </w:r>
          </w:p>
        </w:tc>
        <w:tc>
          <w:tcPr>
            <w:tcW w:w="4820" w:type="dxa"/>
          </w:tcPr>
          <w:p w14:paraId="62A3CF8E" w14:textId="77777777" w:rsidR="002F2AFD" w:rsidRPr="00503057" w:rsidRDefault="002F2AFD" w:rsidP="004C79C1">
            <w:pPr>
              <w:pStyle w:val="TableText0"/>
              <w:spacing w:before="0" w:after="120"/>
            </w:pPr>
            <w:r w:rsidRPr="00503057">
              <w:t>Weighted average cost per hospitalisation for ICD implantation</w:t>
            </w:r>
          </w:p>
        </w:tc>
        <w:tc>
          <w:tcPr>
            <w:tcW w:w="1417" w:type="dxa"/>
          </w:tcPr>
          <w:p w14:paraId="415E5626" w14:textId="77777777" w:rsidR="002F2AFD" w:rsidRPr="00503057" w:rsidRDefault="002F2AFD" w:rsidP="004C79C1">
            <w:pPr>
              <w:pStyle w:val="TableText0"/>
              <w:spacing w:before="0" w:after="120"/>
              <w:ind w:right="204"/>
              <w:jc w:val="right"/>
            </w:pPr>
            <w:r w:rsidRPr="00503057">
              <w:t>$5,628</w:t>
            </w:r>
          </w:p>
        </w:tc>
        <w:tc>
          <w:tcPr>
            <w:tcW w:w="2075" w:type="dxa"/>
          </w:tcPr>
          <w:p w14:paraId="5B1BC84B" w14:textId="2C27E23C" w:rsidR="002F2AFD" w:rsidRPr="00503057" w:rsidRDefault="002F2AFD" w:rsidP="004C79C1">
            <w:pPr>
              <w:pStyle w:val="TableText0"/>
              <w:spacing w:before="0" w:after="120"/>
            </w:pPr>
            <w:r w:rsidRPr="00503057">
              <w:t>Row I = (C*G) +</w:t>
            </w:r>
            <w:r w:rsidRPr="00503057">
              <w:rPr>
                <w:spacing w:val="-2"/>
              </w:rPr>
              <w:t xml:space="preserve"> </w:t>
            </w:r>
            <w:r w:rsidR="005E00E6">
              <w:t>(F*</w:t>
            </w:r>
            <w:r w:rsidRPr="00503057">
              <w:t xml:space="preserve">H) </w:t>
            </w:r>
          </w:p>
        </w:tc>
      </w:tr>
      <w:tr w:rsidR="002F2AFD" w:rsidRPr="00503057" w14:paraId="3CA34694" w14:textId="77777777" w:rsidTr="00857B30">
        <w:tc>
          <w:tcPr>
            <w:tcW w:w="704" w:type="dxa"/>
          </w:tcPr>
          <w:p w14:paraId="4CAC3E64" w14:textId="77777777" w:rsidR="002F2AFD" w:rsidRPr="00503057" w:rsidRDefault="002F2AFD" w:rsidP="004C79C1">
            <w:pPr>
              <w:pStyle w:val="TableText0"/>
              <w:spacing w:before="0" w:after="120"/>
            </w:pPr>
          </w:p>
        </w:tc>
        <w:tc>
          <w:tcPr>
            <w:tcW w:w="4820" w:type="dxa"/>
          </w:tcPr>
          <w:p w14:paraId="06E2702D" w14:textId="77777777" w:rsidR="002F2AFD" w:rsidRPr="00503057" w:rsidRDefault="002F2AFD" w:rsidP="004C79C1">
            <w:pPr>
              <w:pStyle w:val="TableText0"/>
              <w:spacing w:before="0" w:after="120"/>
              <w:rPr>
                <w:i/>
              </w:rPr>
            </w:pPr>
            <w:r w:rsidRPr="00503057">
              <w:rPr>
                <w:i/>
              </w:rPr>
              <w:t>Weighted average cost per hospitalisation for CRT-D implantation</w:t>
            </w:r>
          </w:p>
        </w:tc>
        <w:tc>
          <w:tcPr>
            <w:tcW w:w="1417" w:type="dxa"/>
          </w:tcPr>
          <w:p w14:paraId="37F62CC4" w14:textId="77777777" w:rsidR="002F2AFD" w:rsidRPr="00503057" w:rsidRDefault="002F2AFD" w:rsidP="004C79C1">
            <w:pPr>
              <w:pStyle w:val="TableText0"/>
              <w:spacing w:before="0" w:after="120"/>
              <w:ind w:right="204"/>
              <w:jc w:val="right"/>
            </w:pPr>
          </w:p>
        </w:tc>
        <w:tc>
          <w:tcPr>
            <w:tcW w:w="2075" w:type="dxa"/>
          </w:tcPr>
          <w:p w14:paraId="7A201A70" w14:textId="77777777" w:rsidR="002F2AFD" w:rsidRPr="00503057" w:rsidRDefault="002F2AFD" w:rsidP="004C79C1">
            <w:pPr>
              <w:pStyle w:val="TableText0"/>
              <w:spacing w:before="0" w:after="120"/>
            </w:pPr>
          </w:p>
        </w:tc>
      </w:tr>
      <w:tr w:rsidR="002F2AFD" w:rsidRPr="00503057" w14:paraId="6FA286DB" w14:textId="77777777" w:rsidTr="00857B30">
        <w:tc>
          <w:tcPr>
            <w:tcW w:w="704" w:type="dxa"/>
          </w:tcPr>
          <w:p w14:paraId="5ED77A66" w14:textId="77777777" w:rsidR="002F2AFD" w:rsidRPr="00503057" w:rsidRDefault="002F2AFD" w:rsidP="004C79C1">
            <w:pPr>
              <w:pStyle w:val="TableText0"/>
              <w:spacing w:before="0" w:after="120"/>
            </w:pPr>
            <w:r w:rsidRPr="00503057">
              <w:t>J</w:t>
            </w:r>
          </w:p>
        </w:tc>
        <w:tc>
          <w:tcPr>
            <w:tcW w:w="4820" w:type="dxa"/>
          </w:tcPr>
          <w:p w14:paraId="0B7F84B5" w14:textId="77777777" w:rsidR="002F2AFD" w:rsidRPr="00503057" w:rsidRDefault="002F2AFD" w:rsidP="004C79C1">
            <w:pPr>
              <w:pStyle w:val="TableText0"/>
              <w:spacing w:before="0" w:after="120"/>
            </w:pPr>
            <w:r w:rsidRPr="00503057">
              <w:t>Probability of implant</w:t>
            </w:r>
            <w:r w:rsidRPr="00503057">
              <w:rPr>
                <w:rFonts w:ascii="Cambria Math" w:hAnsi="Cambria Math" w:cs="Cambria Math"/>
              </w:rPr>
              <w:t>‐</w:t>
            </w:r>
            <w:r w:rsidRPr="00503057">
              <w:t>related complications</w:t>
            </w:r>
          </w:p>
        </w:tc>
        <w:tc>
          <w:tcPr>
            <w:tcW w:w="1417" w:type="dxa"/>
          </w:tcPr>
          <w:p w14:paraId="3612CB94" w14:textId="77777777" w:rsidR="002F2AFD" w:rsidRPr="00503057" w:rsidRDefault="002F2AFD" w:rsidP="004C79C1">
            <w:pPr>
              <w:pStyle w:val="TableText0"/>
              <w:spacing w:before="0" w:after="120"/>
              <w:ind w:right="204"/>
              <w:jc w:val="right"/>
            </w:pPr>
            <w:r w:rsidRPr="00503057">
              <w:t>13%</w:t>
            </w:r>
          </w:p>
        </w:tc>
        <w:tc>
          <w:tcPr>
            <w:tcW w:w="2075" w:type="dxa"/>
          </w:tcPr>
          <w:p w14:paraId="0A18AC9C" w14:textId="18C61FB5" w:rsidR="002F2AFD" w:rsidRPr="00503057" w:rsidRDefault="002F2AFD" w:rsidP="004C79C1">
            <w:pPr>
              <w:pStyle w:val="TableText0"/>
              <w:spacing w:before="0" w:after="120"/>
            </w:pPr>
            <w:r w:rsidRPr="00503057">
              <w:t xml:space="preserve">MSAC report </w:t>
            </w:r>
            <w:r w:rsidR="00E342A7">
              <w:t xml:space="preserve">no. </w:t>
            </w:r>
            <w:r w:rsidRPr="00503057">
              <w:t>1223</w:t>
            </w:r>
          </w:p>
        </w:tc>
      </w:tr>
      <w:tr w:rsidR="002F2AFD" w:rsidRPr="00503057" w14:paraId="2D9B8831" w14:textId="77777777" w:rsidTr="00857B30">
        <w:tc>
          <w:tcPr>
            <w:tcW w:w="704" w:type="dxa"/>
          </w:tcPr>
          <w:p w14:paraId="491C6383" w14:textId="77777777" w:rsidR="002F2AFD" w:rsidRPr="00503057" w:rsidRDefault="002F2AFD" w:rsidP="004C79C1">
            <w:pPr>
              <w:pStyle w:val="TableText0"/>
              <w:spacing w:before="0" w:after="120"/>
            </w:pPr>
            <w:r w:rsidRPr="00503057">
              <w:t>K</w:t>
            </w:r>
          </w:p>
        </w:tc>
        <w:tc>
          <w:tcPr>
            <w:tcW w:w="4820" w:type="dxa"/>
          </w:tcPr>
          <w:p w14:paraId="61227E6A" w14:textId="77777777" w:rsidR="002F2AFD" w:rsidRPr="00503057" w:rsidRDefault="002F2AFD" w:rsidP="004C79C1">
            <w:pPr>
              <w:pStyle w:val="TableText0"/>
              <w:spacing w:before="0" w:after="120"/>
            </w:pPr>
            <w:r w:rsidRPr="00503057">
              <w:t>Probability of no implant</w:t>
            </w:r>
            <w:r w:rsidRPr="00503057">
              <w:rPr>
                <w:rFonts w:ascii="Cambria Math" w:hAnsi="Cambria Math" w:cs="Cambria Math"/>
              </w:rPr>
              <w:t>‐</w:t>
            </w:r>
            <w:r w:rsidRPr="00503057">
              <w:t>related complications</w:t>
            </w:r>
          </w:p>
        </w:tc>
        <w:tc>
          <w:tcPr>
            <w:tcW w:w="1417" w:type="dxa"/>
          </w:tcPr>
          <w:p w14:paraId="0358A2F2" w14:textId="77777777" w:rsidR="002F2AFD" w:rsidRPr="00503057" w:rsidRDefault="002F2AFD" w:rsidP="004C79C1">
            <w:pPr>
              <w:pStyle w:val="TableText0"/>
              <w:spacing w:before="0" w:after="120"/>
              <w:ind w:right="204"/>
              <w:jc w:val="right"/>
            </w:pPr>
            <w:r w:rsidRPr="00503057">
              <w:t>87%</w:t>
            </w:r>
          </w:p>
        </w:tc>
        <w:tc>
          <w:tcPr>
            <w:tcW w:w="2075" w:type="dxa"/>
          </w:tcPr>
          <w:p w14:paraId="7A6FC9BE" w14:textId="03BB10FD" w:rsidR="002F2AFD" w:rsidRPr="00503057" w:rsidRDefault="002F2AFD" w:rsidP="004C79C1">
            <w:pPr>
              <w:pStyle w:val="TableText0"/>
              <w:spacing w:before="0" w:after="120"/>
            </w:pPr>
            <w:r w:rsidRPr="00503057">
              <w:t xml:space="preserve">MSAC report </w:t>
            </w:r>
            <w:r w:rsidR="00E342A7">
              <w:t xml:space="preserve">no. </w:t>
            </w:r>
            <w:r w:rsidRPr="00503057">
              <w:t>1223</w:t>
            </w:r>
          </w:p>
        </w:tc>
      </w:tr>
      <w:tr w:rsidR="002F2AFD" w:rsidRPr="00503057" w14:paraId="698F2B41" w14:textId="77777777" w:rsidTr="00857B30">
        <w:tc>
          <w:tcPr>
            <w:tcW w:w="704" w:type="dxa"/>
          </w:tcPr>
          <w:p w14:paraId="42C4978B" w14:textId="77777777" w:rsidR="002F2AFD" w:rsidRPr="00503057" w:rsidRDefault="002F2AFD" w:rsidP="004C79C1">
            <w:pPr>
              <w:pStyle w:val="TableText0"/>
              <w:spacing w:before="0" w:after="120"/>
            </w:pPr>
            <w:r w:rsidRPr="00503057">
              <w:t>L</w:t>
            </w:r>
          </w:p>
        </w:tc>
        <w:tc>
          <w:tcPr>
            <w:tcW w:w="4820" w:type="dxa"/>
          </w:tcPr>
          <w:p w14:paraId="0AF67DE0" w14:textId="77777777" w:rsidR="002F2AFD" w:rsidRPr="00503057" w:rsidRDefault="002F2AFD" w:rsidP="004C79C1">
            <w:pPr>
              <w:pStyle w:val="TableText0"/>
              <w:spacing w:before="0" w:after="120"/>
            </w:pPr>
            <w:r w:rsidRPr="00503057">
              <w:t>Weighted average cost per hospitalisation for CRT-D implantation</w:t>
            </w:r>
          </w:p>
        </w:tc>
        <w:tc>
          <w:tcPr>
            <w:tcW w:w="1417" w:type="dxa"/>
          </w:tcPr>
          <w:p w14:paraId="2D47ADB4" w14:textId="77777777" w:rsidR="002F2AFD" w:rsidRPr="00503057" w:rsidRDefault="002F2AFD" w:rsidP="004C79C1">
            <w:pPr>
              <w:pStyle w:val="TableText0"/>
              <w:spacing w:before="0" w:after="120"/>
              <w:ind w:right="204"/>
              <w:jc w:val="right"/>
            </w:pPr>
            <w:r w:rsidRPr="00503057">
              <w:t>$6,187</w:t>
            </w:r>
          </w:p>
        </w:tc>
        <w:tc>
          <w:tcPr>
            <w:tcW w:w="2075" w:type="dxa"/>
          </w:tcPr>
          <w:p w14:paraId="31DF9621" w14:textId="45EDE8A9" w:rsidR="002F2AFD" w:rsidRPr="00503057" w:rsidRDefault="002F2AFD" w:rsidP="004C79C1">
            <w:pPr>
              <w:pStyle w:val="TableText0"/>
              <w:spacing w:before="0" w:after="120"/>
            </w:pPr>
            <w:r w:rsidRPr="00503057">
              <w:t>Row I = (C*</w:t>
            </w:r>
            <w:r>
              <w:rPr>
                <w:spacing w:val="-2"/>
              </w:rPr>
              <w:t>J</w:t>
            </w:r>
            <w:r w:rsidRPr="00503057">
              <w:t>) +</w:t>
            </w:r>
            <w:r w:rsidRPr="00503057">
              <w:rPr>
                <w:spacing w:val="-2"/>
              </w:rPr>
              <w:t xml:space="preserve"> </w:t>
            </w:r>
            <w:r w:rsidR="005E00E6">
              <w:t>(F</w:t>
            </w:r>
            <w:r w:rsidRPr="00503057">
              <w:t>*</w:t>
            </w:r>
            <w:r>
              <w:t>K</w:t>
            </w:r>
            <w:r w:rsidRPr="00503057">
              <w:t xml:space="preserve">) </w:t>
            </w:r>
          </w:p>
        </w:tc>
      </w:tr>
    </w:tbl>
    <w:p w14:paraId="014A5FCF" w14:textId="3CF4F810" w:rsidR="00522582" w:rsidRDefault="00522582" w:rsidP="004C79C1">
      <w:pPr>
        <w:pStyle w:val="Tablenotes0"/>
        <w:spacing w:before="0" w:after="120"/>
      </w:pPr>
      <w:r>
        <w:t>Source: Private Sector National Cost Weights Cost Collection Report for AR</w:t>
      </w:r>
      <w:r>
        <w:rPr>
          <w:rFonts w:ascii="Cambria Math" w:hAnsi="Cambria Math" w:cs="Cambria Math"/>
        </w:rPr>
        <w:t>‐</w:t>
      </w:r>
      <w:r>
        <w:t>DRG v 5.1, Round 13 (2008</w:t>
      </w:r>
      <w:r>
        <w:rPr>
          <w:rFonts w:ascii="Cambria Math" w:hAnsi="Cambria Math" w:cs="Cambria Math"/>
        </w:rPr>
        <w:t>–</w:t>
      </w:r>
      <w:r>
        <w:t xml:space="preserve">09), adopted from MSAC </w:t>
      </w:r>
      <w:r w:rsidR="008944DF">
        <w:t>Application</w:t>
      </w:r>
      <w:r w:rsidR="008944DF" w:rsidRPr="00503057">
        <w:t xml:space="preserve"> </w:t>
      </w:r>
      <w:r>
        <w:t>no. 1223</w:t>
      </w:r>
    </w:p>
    <w:p w14:paraId="347B5074" w14:textId="314E965A" w:rsidR="002F2AFD" w:rsidRDefault="00E342A7" w:rsidP="004C79C1">
      <w:pPr>
        <w:pStyle w:val="Tablenotes0"/>
        <w:spacing w:before="0" w:after="120"/>
      </w:pPr>
      <w:proofErr w:type="gramStart"/>
      <w:r>
        <w:rPr>
          <w:vertAlign w:val="superscript"/>
        </w:rPr>
        <w:t>a</w:t>
      </w:r>
      <w:proofErr w:type="gramEnd"/>
      <w:r w:rsidR="002F2AFD" w:rsidRPr="00B66250">
        <w:t xml:space="preserve"> Costs are converted to 2015 AUD using inflation calculator provided by Reserve Bank of Australia</w:t>
      </w:r>
      <w:r w:rsidR="002F2AFD">
        <w:t>;</w:t>
      </w:r>
      <w:r w:rsidR="002F2AFD" w:rsidRPr="00B66250">
        <w:t xml:space="preserve"> </w:t>
      </w:r>
      <w:r w:rsidR="00E541F5">
        <w:t>&lt;</w:t>
      </w:r>
      <w:hyperlink r:id="rId97" w:tooltip="Link to RBA inflation calculator" w:history="1">
        <w:r w:rsidR="004577E6">
          <w:rPr>
            <w:rStyle w:val="Hyperlink"/>
          </w:rPr>
          <w:t xml:space="preserve"> www.</w:t>
        </w:r>
        <w:r w:rsidR="00066D73" w:rsidRPr="006712EE">
          <w:rPr>
            <w:rStyle w:val="Hyperlink"/>
          </w:rPr>
          <w:t>rba.gov.au/calculator/annualDecimal.html</w:t>
        </w:r>
      </w:hyperlink>
      <w:r w:rsidR="00066D73">
        <w:rPr>
          <w:rStyle w:val="Hyperlink"/>
        </w:rPr>
        <w:t>&gt;</w:t>
      </w:r>
      <w:r w:rsidR="00066D73">
        <w:t>;</w:t>
      </w:r>
      <w:r w:rsidR="002F2AFD">
        <w:t xml:space="preserve"> accessed 24 March 2016.</w:t>
      </w:r>
    </w:p>
    <w:p w14:paraId="79CA44EF" w14:textId="4A9DF6D1" w:rsidR="002F2AFD" w:rsidRDefault="002F2AFD" w:rsidP="004C79C1">
      <w:pPr>
        <w:pStyle w:val="Tablenotes0"/>
        <w:spacing w:before="0" w:after="120"/>
      </w:pPr>
      <w:r>
        <w:t>AR-DRG = Australian Refined Diagnosis Related Groups; CRT</w:t>
      </w:r>
      <w:r>
        <w:rPr>
          <w:rFonts w:ascii="Cambria Math" w:hAnsi="Cambria Math" w:cs="Cambria Math"/>
        </w:rPr>
        <w:t>‐</w:t>
      </w:r>
      <w:r>
        <w:t>D = cardiac resynchronisation therapy device capable of defibrillation;</w:t>
      </w:r>
      <w:r w:rsidR="0079724B">
        <w:t xml:space="preserve"> ICD = implantable </w:t>
      </w:r>
      <w:r w:rsidR="0026063B">
        <w:t>cardioverter defibrillator</w:t>
      </w:r>
    </w:p>
    <w:p w14:paraId="70585C71" w14:textId="46E5B9C1" w:rsidR="002F2AFD" w:rsidRDefault="002F2AFD" w:rsidP="004C79C1">
      <w:pPr>
        <w:pStyle w:val="Caption"/>
        <w:keepNext/>
      </w:pPr>
      <w:bookmarkStart w:id="1010" w:name="_Toc450052120"/>
      <w:bookmarkStart w:id="1011" w:name="_Toc324410311"/>
      <w:bookmarkStart w:id="1012" w:name="_Toc451435434"/>
      <w:r w:rsidRPr="0034255D">
        <w:t xml:space="preserve">Table </w:t>
      </w:r>
      <w:fldSimple w:instr=" SEQ Table \* ARABIC ">
        <w:r w:rsidR="00050936">
          <w:rPr>
            <w:noProof/>
          </w:rPr>
          <w:t>107</w:t>
        </w:r>
      </w:fldSimple>
      <w:r w:rsidRPr="0034255D">
        <w:tab/>
        <w:t xml:space="preserve">Total cost per ICD device implantation procedure in </w:t>
      </w:r>
      <w:r w:rsidR="00255D0D">
        <w:t xml:space="preserve">a </w:t>
      </w:r>
      <w:r w:rsidR="00D85565">
        <w:t>p</w:t>
      </w:r>
      <w:r w:rsidRPr="0034255D">
        <w:t xml:space="preserve">rivate </w:t>
      </w:r>
      <w:r w:rsidR="00D85565">
        <w:t>h</w:t>
      </w:r>
      <w:r w:rsidRPr="0034255D">
        <w:t>ospital</w:t>
      </w:r>
      <w:bookmarkEnd w:id="1010"/>
      <w:bookmarkEnd w:id="1011"/>
      <w:bookmarkEnd w:id="1012"/>
    </w:p>
    <w:tbl>
      <w:tblPr>
        <w:tblStyle w:val="TableGrid"/>
        <w:tblW w:w="0" w:type="auto"/>
        <w:tblLook w:val="04A0" w:firstRow="1" w:lastRow="0" w:firstColumn="1" w:lastColumn="0" w:noHBand="0" w:noVBand="1"/>
        <w:tblDescription w:val="Total cost per ICD device implantation procedure in Private Hospital"/>
      </w:tblPr>
      <w:tblGrid>
        <w:gridCol w:w="2263"/>
        <w:gridCol w:w="1111"/>
        <w:gridCol w:w="1157"/>
        <w:gridCol w:w="1418"/>
        <w:gridCol w:w="1276"/>
        <w:gridCol w:w="1557"/>
      </w:tblGrid>
      <w:tr w:rsidR="002F2AFD" w:rsidRPr="00D85565" w14:paraId="444F4A1D" w14:textId="77777777" w:rsidTr="00857B30">
        <w:trPr>
          <w:tblHeader/>
        </w:trPr>
        <w:tc>
          <w:tcPr>
            <w:tcW w:w="2263" w:type="dxa"/>
          </w:tcPr>
          <w:p w14:paraId="08DF3EEF" w14:textId="77777777" w:rsidR="002F2AFD" w:rsidRPr="00066D73" w:rsidRDefault="002F2AFD" w:rsidP="004C79C1">
            <w:pPr>
              <w:pStyle w:val="Tabletext1"/>
              <w:spacing w:before="0" w:after="120"/>
              <w:rPr>
                <w:b/>
              </w:rPr>
            </w:pPr>
            <w:r w:rsidRPr="00066D73">
              <w:rPr>
                <w:b/>
              </w:rPr>
              <w:t>Resource type</w:t>
            </w:r>
          </w:p>
        </w:tc>
        <w:tc>
          <w:tcPr>
            <w:tcW w:w="1111" w:type="dxa"/>
          </w:tcPr>
          <w:p w14:paraId="777E0F3E" w14:textId="77777777" w:rsidR="002F2AFD" w:rsidRPr="00066D73" w:rsidRDefault="002F2AFD" w:rsidP="004C79C1">
            <w:pPr>
              <w:pStyle w:val="Tabletext1"/>
              <w:spacing w:before="0" w:after="120"/>
              <w:jc w:val="center"/>
              <w:rPr>
                <w:b/>
              </w:rPr>
            </w:pPr>
            <w:r w:rsidRPr="00066D73">
              <w:rPr>
                <w:b/>
              </w:rPr>
              <w:t>Unit cost</w:t>
            </w:r>
          </w:p>
        </w:tc>
        <w:tc>
          <w:tcPr>
            <w:tcW w:w="1157" w:type="dxa"/>
          </w:tcPr>
          <w:p w14:paraId="3A1BB51C" w14:textId="7186EB67" w:rsidR="002F2AFD" w:rsidRPr="00066D73" w:rsidRDefault="002F2AFD" w:rsidP="004C79C1">
            <w:pPr>
              <w:pStyle w:val="Tabletext1"/>
              <w:spacing w:before="0" w:after="120"/>
              <w:jc w:val="center"/>
              <w:rPr>
                <w:b/>
                <w:vertAlign w:val="superscript"/>
              </w:rPr>
            </w:pPr>
            <w:r w:rsidRPr="00066D73">
              <w:rPr>
                <w:b/>
              </w:rPr>
              <w:t>% of fee claimable</w:t>
            </w:r>
            <w:r w:rsidR="00D85565">
              <w:rPr>
                <w:b/>
                <w:vertAlign w:val="superscript"/>
              </w:rPr>
              <w:t xml:space="preserve"> a</w:t>
            </w:r>
          </w:p>
        </w:tc>
        <w:tc>
          <w:tcPr>
            <w:tcW w:w="1418" w:type="dxa"/>
          </w:tcPr>
          <w:p w14:paraId="53FFC91D" w14:textId="77777777" w:rsidR="002F2AFD" w:rsidRPr="00066D73" w:rsidRDefault="002F2AFD" w:rsidP="004C79C1">
            <w:pPr>
              <w:pStyle w:val="Tabletext1"/>
              <w:spacing w:before="0" w:after="120"/>
              <w:jc w:val="center"/>
              <w:rPr>
                <w:b/>
              </w:rPr>
            </w:pPr>
            <w:r w:rsidRPr="00066D73">
              <w:rPr>
                <w:b/>
              </w:rPr>
              <w:t>Cost per procedure</w:t>
            </w:r>
          </w:p>
        </w:tc>
        <w:tc>
          <w:tcPr>
            <w:tcW w:w="1276" w:type="dxa"/>
          </w:tcPr>
          <w:p w14:paraId="16D3447D" w14:textId="77777777" w:rsidR="002F2AFD" w:rsidRPr="00066D73" w:rsidRDefault="002F2AFD" w:rsidP="004C79C1">
            <w:pPr>
              <w:pStyle w:val="Tabletext1"/>
              <w:spacing w:before="0" w:after="120"/>
              <w:rPr>
                <w:b/>
              </w:rPr>
            </w:pPr>
            <w:r w:rsidRPr="00066D73">
              <w:rPr>
                <w:b/>
              </w:rPr>
              <w:t>Bearer of cost</w:t>
            </w:r>
          </w:p>
        </w:tc>
        <w:tc>
          <w:tcPr>
            <w:tcW w:w="1557" w:type="dxa"/>
          </w:tcPr>
          <w:p w14:paraId="41F738EA" w14:textId="77777777" w:rsidR="002F2AFD" w:rsidRPr="00066D73" w:rsidRDefault="002F2AFD" w:rsidP="004C79C1">
            <w:pPr>
              <w:pStyle w:val="Tabletext1"/>
              <w:spacing w:before="0" w:after="120"/>
              <w:rPr>
                <w:b/>
              </w:rPr>
            </w:pPr>
            <w:r w:rsidRPr="00066D73">
              <w:rPr>
                <w:b/>
              </w:rPr>
              <w:t>Source</w:t>
            </w:r>
          </w:p>
        </w:tc>
      </w:tr>
      <w:tr w:rsidR="002F2AFD" w:rsidRPr="00750384" w14:paraId="0885059F" w14:textId="77777777" w:rsidTr="00857B30">
        <w:tc>
          <w:tcPr>
            <w:tcW w:w="2263" w:type="dxa"/>
          </w:tcPr>
          <w:p w14:paraId="30DB23F6" w14:textId="77777777" w:rsidR="002F2AFD" w:rsidRPr="00750384" w:rsidRDefault="002F2AFD" w:rsidP="004C79C1">
            <w:pPr>
              <w:pStyle w:val="Tabletext1"/>
              <w:spacing w:before="0" w:after="120"/>
              <w:rPr>
                <w:b/>
              </w:rPr>
            </w:pPr>
            <w:r w:rsidRPr="00750384">
              <w:rPr>
                <w:b/>
              </w:rPr>
              <w:t>Medical services</w:t>
            </w:r>
          </w:p>
        </w:tc>
        <w:tc>
          <w:tcPr>
            <w:tcW w:w="1111" w:type="dxa"/>
          </w:tcPr>
          <w:p w14:paraId="61FF5DA5" w14:textId="77777777" w:rsidR="002F2AFD" w:rsidRPr="00750384" w:rsidRDefault="002F2AFD" w:rsidP="004C79C1">
            <w:pPr>
              <w:pStyle w:val="Tabletext1"/>
              <w:spacing w:before="0" w:after="120"/>
            </w:pPr>
          </w:p>
        </w:tc>
        <w:tc>
          <w:tcPr>
            <w:tcW w:w="1157" w:type="dxa"/>
          </w:tcPr>
          <w:p w14:paraId="1CB87582" w14:textId="77777777" w:rsidR="002F2AFD" w:rsidRPr="00750384" w:rsidRDefault="002F2AFD" w:rsidP="004C79C1">
            <w:pPr>
              <w:pStyle w:val="Tabletext1"/>
              <w:spacing w:before="0" w:after="120"/>
            </w:pPr>
          </w:p>
        </w:tc>
        <w:tc>
          <w:tcPr>
            <w:tcW w:w="1418" w:type="dxa"/>
          </w:tcPr>
          <w:p w14:paraId="6B80CBA6" w14:textId="77777777" w:rsidR="002F2AFD" w:rsidRPr="00750384" w:rsidRDefault="002F2AFD" w:rsidP="004C79C1">
            <w:pPr>
              <w:pStyle w:val="Tabletext1"/>
              <w:spacing w:before="0" w:after="120"/>
            </w:pPr>
          </w:p>
        </w:tc>
        <w:tc>
          <w:tcPr>
            <w:tcW w:w="1276" w:type="dxa"/>
          </w:tcPr>
          <w:p w14:paraId="47118DD3" w14:textId="77777777" w:rsidR="002F2AFD" w:rsidRPr="00750384" w:rsidRDefault="002F2AFD" w:rsidP="004C79C1">
            <w:pPr>
              <w:pStyle w:val="Tabletext1"/>
              <w:spacing w:before="0" w:after="120"/>
            </w:pPr>
          </w:p>
        </w:tc>
        <w:tc>
          <w:tcPr>
            <w:tcW w:w="1557" w:type="dxa"/>
          </w:tcPr>
          <w:p w14:paraId="077AAE7F" w14:textId="77777777" w:rsidR="002F2AFD" w:rsidRPr="00750384" w:rsidRDefault="002F2AFD" w:rsidP="004C79C1">
            <w:pPr>
              <w:pStyle w:val="Tabletext1"/>
              <w:spacing w:before="0" w:after="120"/>
            </w:pPr>
          </w:p>
        </w:tc>
      </w:tr>
      <w:tr w:rsidR="002F2AFD" w:rsidRPr="00750384" w14:paraId="5040CCC1" w14:textId="77777777" w:rsidTr="00857B30">
        <w:tc>
          <w:tcPr>
            <w:tcW w:w="2263" w:type="dxa"/>
          </w:tcPr>
          <w:p w14:paraId="7235632D" w14:textId="77777777" w:rsidR="002F2AFD" w:rsidRPr="00750384" w:rsidRDefault="002F2AFD" w:rsidP="004C79C1">
            <w:pPr>
              <w:pStyle w:val="Tabletext1"/>
              <w:spacing w:before="0" w:after="120"/>
            </w:pPr>
            <w:r w:rsidRPr="00750384">
              <w:t>Insertion of defibrillator lead</w:t>
            </w:r>
          </w:p>
        </w:tc>
        <w:tc>
          <w:tcPr>
            <w:tcW w:w="1111" w:type="dxa"/>
          </w:tcPr>
          <w:p w14:paraId="052A9AF4" w14:textId="77777777" w:rsidR="002F2AFD" w:rsidRPr="00750384" w:rsidRDefault="002F2AFD" w:rsidP="004C79C1">
            <w:pPr>
              <w:pStyle w:val="Tabletext1"/>
              <w:spacing w:before="0" w:after="120"/>
              <w:jc w:val="right"/>
            </w:pPr>
            <w:r w:rsidRPr="00750384">
              <w:t>$1,052.65</w:t>
            </w:r>
          </w:p>
        </w:tc>
        <w:tc>
          <w:tcPr>
            <w:tcW w:w="1157" w:type="dxa"/>
          </w:tcPr>
          <w:p w14:paraId="4E8741CE" w14:textId="77777777" w:rsidR="002F2AFD" w:rsidRPr="00750384" w:rsidRDefault="002F2AFD" w:rsidP="004C79C1">
            <w:pPr>
              <w:pStyle w:val="Tabletext1"/>
              <w:spacing w:before="0" w:after="120"/>
              <w:ind w:right="62"/>
              <w:jc w:val="right"/>
            </w:pPr>
            <w:r w:rsidRPr="00750384">
              <w:t>100%</w:t>
            </w:r>
          </w:p>
        </w:tc>
        <w:tc>
          <w:tcPr>
            <w:tcW w:w="1418" w:type="dxa"/>
          </w:tcPr>
          <w:p w14:paraId="35F45A65" w14:textId="77777777" w:rsidR="002F2AFD" w:rsidRPr="00750384" w:rsidRDefault="002F2AFD" w:rsidP="004C79C1">
            <w:pPr>
              <w:pStyle w:val="Tabletext1"/>
              <w:spacing w:before="0" w:after="120"/>
              <w:jc w:val="right"/>
            </w:pPr>
            <w:r w:rsidRPr="00750384">
              <w:t>$1,052.65</w:t>
            </w:r>
          </w:p>
        </w:tc>
        <w:tc>
          <w:tcPr>
            <w:tcW w:w="1276" w:type="dxa"/>
          </w:tcPr>
          <w:p w14:paraId="7A3CB75E" w14:textId="77777777" w:rsidR="002F2AFD" w:rsidRPr="00750384" w:rsidRDefault="002F2AFD" w:rsidP="004C79C1">
            <w:pPr>
              <w:pStyle w:val="Tabletext1"/>
              <w:spacing w:before="0" w:after="120"/>
            </w:pPr>
            <w:r w:rsidRPr="00750384">
              <w:rPr>
                <w:rFonts w:cs="Calibri"/>
              </w:rPr>
              <w:t>MBS/PHI</w:t>
            </w:r>
          </w:p>
        </w:tc>
        <w:tc>
          <w:tcPr>
            <w:tcW w:w="1557" w:type="dxa"/>
          </w:tcPr>
          <w:p w14:paraId="065399D2" w14:textId="77777777" w:rsidR="002F2AFD" w:rsidRPr="00750384" w:rsidRDefault="002F2AFD" w:rsidP="004C79C1">
            <w:pPr>
              <w:pStyle w:val="Tabletext1"/>
              <w:spacing w:before="0" w:after="120"/>
            </w:pPr>
            <w:r w:rsidRPr="00750384">
              <w:t>MBS 38384</w:t>
            </w:r>
          </w:p>
        </w:tc>
      </w:tr>
      <w:tr w:rsidR="002F2AFD" w:rsidRPr="00750384" w14:paraId="1A888D2F" w14:textId="77777777" w:rsidTr="00857B30">
        <w:tc>
          <w:tcPr>
            <w:tcW w:w="2263" w:type="dxa"/>
          </w:tcPr>
          <w:p w14:paraId="60FBDC2E" w14:textId="77777777" w:rsidR="002F2AFD" w:rsidRPr="00750384" w:rsidRDefault="002F2AFD" w:rsidP="004C79C1">
            <w:pPr>
              <w:pStyle w:val="Tabletext1"/>
              <w:spacing w:before="0" w:after="120"/>
            </w:pPr>
            <w:r w:rsidRPr="00750384">
              <w:t>Insertion of pacemaker lead</w:t>
            </w:r>
          </w:p>
        </w:tc>
        <w:tc>
          <w:tcPr>
            <w:tcW w:w="1111" w:type="dxa"/>
          </w:tcPr>
          <w:p w14:paraId="393AC945" w14:textId="77777777" w:rsidR="002F2AFD" w:rsidRPr="00750384" w:rsidRDefault="002F2AFD" w:rsidP="004C79C1">
            <w:pPr>
              <w:pStyle w:val="Tabletext1"/>
              <w:spacing w:before="0" w:after="120"/>
              <w:jc w:val="right"/>
            </w:pPr>
            <w:r w:rsidRPr="00750384">
              <w:t>$638.65</w:t>
            </w:r>
          </w:p>
        </w:tc>
        <w:tc>
          <w:tcPr>
            <w:tcW w:w="1157" w:type="dxa"/>
          </w:tcPr>
          <w:p w14:paraId="1F483FE0" w14:textId="77777777" w:rsidR="002F2AFD" w:rsidRPr="00750384" w:rsidRDefault="002F2AFD" w:rsidP="004C79C1">
            <w:pPr>
              <w:pStyle w:val="Tabletext1"/>
              <w:spacing w:before="0" w:after="120"/>
              <w:ind w:right="62"/>
              <w:jc w:val="right"/>
            </w:pPr>
            <w:r w:rsidRPr="00750384">
              <w:t>50%</w:t>
            </w:r>
          </w:p>
        </w:tc>
        <w:tc>
          <w:tcPr>
            <w:tcW w:w="1418" w:type="dxa"/>
          </w:tcPr>
          <w:p w14:paraId="31C725C1" w14:textId="77777777" w:rsidR="002F2AFD" w:rsidRPr="00750384" w:rsidRDefault="002F2AFD" w:rsidP="004C79C1">
            <w:pPr>
              <w:pStyle w:val="Tabletext1"/>
              <w:spacing w:before="0" w:after="120"/>
              <w:jc w:val="right"/>
            </w:pPr>
            <w:r w:rsidRPr="00750384">
              <w:t>$319.35</w:t>
            </w:r>
          </w:p>
        </w:tc>
        <w:tc>
          <w:tcPr>
            <w:tcW w:w="1276" w:type="dxa"/>
          </w:tcPr>
          <w:p w14:paraId="40002B7D" w14:textId="77777777" w:rsidR="002F2AFD" w:rsidRPr="00750384" w:rsidRDefault="002F2AFD" w:rsidP="004C79C1">
            <w:pPr>
              <w:pStyle w:val="Tabletext1"/>
              <w:spacing w:before="0" w:after="120"/>
            </w:pPr>
            <w:r w:rsidRPr="00750384">
              <w:rPr>
                <w:rFonts w:cs="Calibri"/>
              </w:rPr>
              <w:t>MBS/PHI</w:t>
            </w:r>
          </w:p>
        </w:tc>
        <w:tc>
          <w:tcPr>
            <w:tcW w:w="1557" w:type="dxa"/>
          </w:tcPr>
          <w:p w14:paraId="61913419" w14:textId="77777777" w:rsidR="002F2AFD" w:rsidRPr="00750384" w:rsidRDefault="002F2AFD" w:rsidP="004C79C1">
            <w:pPr>
              <w:pStyle w:val="Tabletext1"/>
              <w:spacing w:before="0" w:after="120"/>
            </w:pPr>
            <w:r w:rsidRPr="00750384">
              <w:t>MBS 38350</w:t>
            </w:r>
          </w:p>
        </w:tc>
      </w:tr>
      <w:tr w:rsidR="002F2AFD" w:rsidRPr="00750384" w14:paraId="07F8D515" w14:textId="77777777" w:rsidTr="00857B30">
        <w:tc>
          <w:tcPr>
            <w:tcW w:w="2263" w:type="dxa"/>
          </w:tcPr>
          <w:p w14:paraId="039CFF59" w14:textId="77777777" w:rsidR="002F2AFD" w:rsidRPr="00750384" w:rsidRDefault="002F2AFD" w:rsidP="004C79C1">
            <w:pPr>
              <w:pStyle w:val="Tabletext1"/>
              <w:spacing w:before="0" w:after="120"/>
            </w:pPr>
            <w:r w:rsidRPr="00750384">
              <w:t>Insertion of generator</w:t>
            </w:r>
          </w:p>
        </w:tc>
        <w:tc>
          <w:tcPr>
            <w:tcW w:w="1111" w:type="dxa"/>
          </w:tcPr>
          <w:p w14:paraId="38FCA072" w14:textId="77777777" w:rsidR="002F2AFD" w:rsidRPr="00750384" w:rsidRDefault="002F2AFD" w:rsidP="004C79C1">
            <w:pPr>
              <w:pStyle w:val="Tabletext1"/>
              <w:spacing w:before="0" w:after="120"/>
              <w:jc w:val="right"/>
            </w:pPr>
            <w:r w:rsidRPr="00750384">
              <w:t>$255.45</w:t>
            </w:r>
          </w:p>
        </w:tc>
        <w:tc>
          <w:tcPr>
            <w:tcW w:w="1157" w:type="dxa"/>
          </w:tcPr>
          <w:p w14:paraId="4EA40836" w14:textId="77777777" w:rsidR="002F2AFD" w:rsidRPr="00750384" w:rsidRDefault="002F2AFD" w:rsidP="004C79C1">
            <w:pPr>
              <w:pStyle w:val="Tabletext1"/>
              <w:spacing w:before="0" w:after="120"/>
              <w:ind w:right="62"/>
              <w:jc w:val="right"/>
            </w:pPr>
            <w:r w:rsidRPr="00750384">
              <w:t>25%</w:t>
            </w:r>
          </w:p>
        </w:tc>
        <w:tc>
          <w:tcPr>
            <w:tcW w:w="1418" w:type="dxa"/>
          </w:tcPr>
          <w:p w14:paraId="05DBCE72" w14:textId="77777777" w:rsidR="002F2AFD" w:rsidRPr="00750384" w:rsidRDefault="002F2AFD" w:rsidP="004C79C1">
            <w:pPr>
              <w:pStyle w:val="Tabletext1"/>
              <w:spacing w:before="0" w:after="120"/>
              <w:jc w:val="right"/>
            </w:pPr>
            <w:r w:rsidRPr="00750384">
              <w:t>$63.90</w:t>
            </w:r>
          </w:p>
        </w:tc>
        <w:tc>
          <w:tcPr>
            <w:tcW w:w="1276" w:type="dxa"/>
          </w:tcPr>
          <w:p w14:paraId="5C8BA22F" w14:textId="77777777" w:rsidR="002F2AFD" w:rsidRPr="00750384" w:rsidRDefault="002F2AFD" w:rsidP="004C79C1">
            <w:pPr>
              <w:pStyle w:val="Tabletext1"/>
              <w:spacing w:before="0" w:after="120"/>
            </w:pPr>
            <w:r w:rsidRPr="00750384">
              <w:rPr>
                <w:rFonts w:cs="Calibri"/>
              </w:rPr>
              <w:t>MBS/PHI</w:t>
            </w:r>
          </w:p>
        </w:tc>
        <w:tc>
          <w:tcPr>
            <w:tcW w:w="1557" w:type="dxa"/>
          </w:tcPr>
          <w:p w14:paraId="73D9DCCF" w14:textId="77777777" w:rsidR="002F2AFD" w:rsidRPr="00750384" w:rsidRDefault="002F2AFD" w:rsidP="004C79C1">
            <w:pPr>
              <w:pStyle w:val="Tabletext1"/>
              <w:spacing w:before="0" w:after="120"/>
            </w:pPr>
            <w:r w:rsidRPr="00750384">
              <w:t>MBS 38365</w:t>
            </w:r>
          </w:p>
        </w:tc>
      </w:tr>
      <w:tr w:rsidR="002F2AFD" w:rsidRPr="00750384" w14:paraId="2C4A2F14" w14:textId="77777777" w:rsidTr="00857B30">
        <w:tc>
          <w:tcPr>
            <w:tcW w:w="2263" w:type="dxa"/>
          </w:tcPr>
          <w:p w14:paraId="70133F0C" w14:textId="77777777" w:rsidR="002F2AFD" w:rsidRPr="00750384" w:rsidRDefault="002F2AFD" w:rsidP="004C79C1">
            <w:pPr>
              <w:pStyle w:val="Tabletext1"/>
              <w:spacing w:before="0" w:after="120"/>
            </w:pPr>
            <w:r w:rsidRPr="00750384">
              <w:t>Anaesthesia</w:t>
            </w:r>
          </w:p>
        </w:tc>
        <w:tc>
          <w:tcPr>
            <w:tcW w:w="1111" w:type="dxa"/>
          </w:tcPr>
          <w:p w14:paraId="2D66A6F2" w14:textId="77777777" w:rsidR="002F2AFD" w:rsidRPr="00750384" w:rsidRDefault="002F2AFD" w:rsidP="004C79C1">
            <w:pPr>
              <w:pStyle w:val="Tabletext1"/>
              <w:spacing w:before="0" w:after="120"/>
              <w:jc w:val="right"/>
            </w:pPr>
            <w:r w:rsidRPr="00750384">
              <w:t>$138.60</w:t>
            </w:r>
          </w:p>
        </w:tc>
        <w:tc>
          <w:tcPr>
            <w:tcW w:w="1157" w:type="dxa"/>
          </w:tcPr>
          <w:p w14:paraId="561F67DB" w14:textId="77777777" w:rsidR="002F2AFD" w:rsidRPr="00750384" w:rsidRDefault="002F2AFD" w:rsidP="004C79C1">
            <w:pPr>
              <w:pStyle w:val="Tabletext1"/>
              <w:spacing w:before="0" w:after="120"/>
              <w:ind w:right="62"/>
              <w:jc w:val="right"/>
            </w:pPr>
            <w:r w:rsidRPr="00750384">
              <w:t>100%</w:t>
            </w:r>
          </w:p>
        </w:tc>
        <w:tc>
          <w:tcPr>
            <w:tcW w:w="1418" w:type="dxa"/>
          </w:tcPr>
          <w:p w14:paraId="0DE02383" w14:textId="77777777" w:rsidR="002F2AFD" w:rsidRPr="00750384" w:rsidRDefault="002F2AFD" w:rsidP="004C79C1">
            <w:pPr>
              <w:pStyle w:val="Tabletext1"/>
              <w:spacing w:before="0" w:after="120"/>
              <w:jc w:val="right"/>
            </w:pPr>
            <w:r w:rsidRPr="00750384">
              <w:t>$138.60</w:t>
            </w:r>
          </w:p>
        </w:tc>
        <w:tc>
          <w:tcPr>
            <w:tcW w:w="1276" w:type="dxa"/>
          </w:tcPr>
          <w:p w14:paraId="6ABF2218" w14:textId="77777777" w:rsidR="002F2AFD" w:rsidRPr="00750384" w:rsidRDefault="002F2AFD" w:rsidP="004C79C1">
            <w:pPr>
              <w:pStyle w:val="Tabletext1"/>
              <w:spacing w:before="0" w:after="120"/>
              <w:rPr>
                <w:rFonts w:cs="Calibri"/>
                <w:b/>
              </w:rPr>
            </w:pPr>
            <w:r w:rsidRPr="00750384">
              <w:rPr>
                <w:rFonts w:cs="Calibri"/>
              </w:rPr>
              <w:t>MBS/PHI</w:t>
            </w:r>
          </w:p>
        </w:tc>
        <w:tc>
          <w:tcPr>
            <w:tcW w:w="1557" w:type="dxa"/>
          </w:tcPr>
          <w:p w14:paraId="418BD3D3" w14:textId="77777777" w:rsidR="002F2AFD" w:rsidRPr="00750384" w:rsidRDefault="002F2AFD" w:rsidP="004C79C1">
            <w:pPr>
              <w:pStyle w:val="Tabletext1"/>
              <w:spacing w:before="0" w:after="120"/>
            </w:pPr>
            <w:r w:rsidRPr="00750384">
              <w:t>MBS 21941</w:t>
            </w:r>
          </w:p>
        </w:tc>
      </w:tr>
      <w:tr w:rsidR="002F2AFD" w:rsidRPr="00750384" w14:paraId="457EE47D" w14:textId="77777777" w:rsidTr="00857B30">
        <w:tc>
          <w:tcPr>
            <w:tcW w:w="2263" w:type="dxa"/>
          </w:tcPr>
          <w:p w14:paraId="34FCDB8C" w14:textId="77777777" w:rsidR="002F2AFD" w:rsidRPr="00750384" w:rsidRDefault="002F2AFD" w:rsidP="004C79C1">
            <w:pPr>
              <w:pStyle w:val="Tabletext1"/>
              <w:spacing w:before="0" w:after="120"/>
              <w:rPr>
                <w:b/>
              </w:rPr>
            </w:pPr>
            <w:r w:rsidRPr="00750384">
              <w:rPr>
                <w:b/>
              </w:rPr>
              <w:t>Prostheses components</w:t>
            </w:r>
          </w:p>
        </w:tc>
        <w:tc>
          <w:tcPr>
            <w:tcW w:w="1111" w:type="dxa"/>
          </w:tcPr>
          <w:p w14:paraId="637F560F" w14:textId="77777777" w:rsidR="002F2AFD" w:rsidRPr="00750384" w:rsidRDefault="002F2AFD" w:rsidP="004C79C1">
            <w:pPr>
              <w:pStyle w:val="Tabletext1"/>
              <w:spacing w:before="0" w:after="120"/>
              <w:jc w:val="right"/>
            </w:pPr>
          </w:p>
        </w:tc>
        <w:tc>
          <w:tcPr>
            <w:tcW w:w="1157" w:type="dxa"/>
          </w:tcPr>
          <w:p w14:paraId="2715733D" w14:textId="77777777" w:rsidR="002F2AFD" w:rsidRPr="00750384" w:rsidRDefault="002F2AFD" w:rsidP="004C79C1">
            <w:pPr>
              <w:pStyle w:val="Tabletext1"/>
              <w:spacing w:before="0" w:after="120"/>
            </w:pPr>
          </w:p>
        </w:tc>
        <w:tc>
          <w:tcPr>
            <w:tcW w:w="1418" w:type="dxa"/>
          </w:tcPr>
          <w:p w14:paraId="7CF2B350" w14:textId="77777777" w:rsidR="002F2AFD" w:rsidRPr="00750384" w:rsidRDefault="002F2AFD" w:rsidP="004C79C1">
            <w:pPr>
              <w:pStyle w:val="Tabletext1"/>
              <w:spacing w:before="0" w:after="120"/>
              <w:jc w:val="right"/>
            </w:pPr>
          </w:p>
        </w:tc>
        <w:tc>
          <w:tcPr>
            <w:tcW w:w="1276" w:type="dxa"/>
          </w:tcPr>
          <w:p w14:paraId="05D60132" w14:textId="77777777" w:rsidR="002F2AFD" w:rsidRPr="00750384" w:rsidRDefault="002F2AFD" w:rsidP="004C79C1">
            <w:pPr>
              <w:pStyle w:val="Tabletext1"/>
              <w:spacing w:before="0" w:after="120"/>
            </w:pPr>
          </w:p>
        </w:tc>
        <w:tc>
          <w:tcPr>
            <w:tcW w:w="1557" w:type="dxa"/>
          </w:tcPr>
          <w:p w14:paraId="7DF89BD3" w14:textId="77777777" w:rsidR="002F2AFD" w:rsidRPr="00750384" w:rsidRDefault="002F2AFD" w:rsidP="004C79C1">
            <w:pPr>
              <w:pStyle w:val="Tabletext1"/>
              <w:spacing w:before="0" w:after="120"/>
            </w:pPr>
          </w:p>
        </w:tc>
      </w:tr>
      <w:tr w:rsidR="002F2AFD" w:rsidRPr="00750384" w14:paraId="5F1E0974" w14:textId="77777777" w:rsidTr="00857B30">
        <w:tc>
          <w:tcPr>
            <w:tcW w:w="2263" w:type="dxa"/>
          </w:tcPr>
          <w:p w14:paraId="30106C8C" w14:textId="77777777" w:rsidR="002F2AFD" w:rsidRPr="00750384" w:rsidRDefault="002F2AFD" w:rsidP="004C79C1">
            <w:pPr>
              <w:pStyle w:val="Tabletext1"/>
              <w:spacing w:before="0" w:after="120"/>
            </w:pPr>
            <w:r w:rsidRPr="00750384">
              <w:t>Defibrillation lead</w:t>
            </w:r>
          </w:p>
        </w:tc>
        <w:tc>
          <w:tcPr>
            <w:tcW w:w="1111" w:type="dxa"/>
          </w:tcPr>
          <w:p w14:paraId="0121083C" w14:textId="14588E66" w:rsidR="002F2AFD" w:rsidRPr="00750384" w:rsidRDefault="002F2AFD" w:rsidP="004C79C1">
            <w:pPr>
              <w:pStyle w:val="Tabletext1"/>
              <w:spacing w:before="0" w:after="120"/>
              <w:jc w:val="right"/>
            </w:pPr>
            <w:r w:rsidRPr="00750384">
              <w:t>$9,000</w:t>
            </w:r>
            <w:r w:rsidR="00D85565">
              <w:t>.00</w:t>
            </w:r>
          </w:p>
        </w:tc>
        <w:tc>
          <w:tcPr>
            <w:tcW w:w="1157" w:type="dxa"/>
          </w:tcPr>
          <w:p w14:paraId="6B45A350" w14:textId="77777777" w:rsidR="002F2AFD" w:rsidRPr="00750384" w:rsidRDefault="002F2AFD" w:rsidP="004C79C1">
            <w:pPr>
              <w:pStyle w:val="Tabletext1"/>
              <w:spacing w:before="0" w:after="120"/>
            </w:pPr>
            <w:r w:rsidRPr="00750384">
              <w:t>NA</w:t>
            </w:r>
          </w:p>
        </w:tc>
        <w:tc>
          <w:tcPr>
            <w:tcW w:w="1418" w:type="dxa"/>
          </w:tcPr>
          <w:p w14:paraId="699712C5" w14:textId="0F722CA6" w:rsidR="002F2AFD" w:rsidRPr="00750384" w:rsidRDefault="002F2AFD" w:rsidP="004C79C1">
            <w:pPr>
              <w:pStyle w:val="Tabletext1"/>
              <w:spacing w:before="0" w:after="120"/>
              <w:jc w:val="right"/>
            </w:pPr>
            <w:r w:rsidRPr="00750384">
              <w:t>$9,000</w:t>
            </w:r>
            <w:r w:rsidR="00D85565">
              <w:t>.00</w:t>
            </w:r>
          </w:p>
        </w:tc>
        <w:tc>
          <w:tcPr>
            <w:tcW w:w="1276" w:type="dxa"/>
          </w:tcPr>
          <w:p w14:paraId="63B80BB9" w14:textId="77777777" w:rsidR="002F2AFD" w:rsidRPr="00750384" w:rsidRDefault="002F2AFD" w:rsidP="004C79C1">
            <w:pPr>
              <w:pStyle w:val="Tabletext1"/>
              <w:spacing w:before="0" w:after="120"/>
            </w:pPr>
            <w:r w:rsidRPr="00750384">
              <w:t>PHI</w:t>
            </w:r>
          </w:p>
        </w:tc>
        <w:tc>
          <w:tcPr>
            <w:tcW w:w="1557" w:type="dxa"/>
          </w:tcPr>
          <w:p w14:paraId="26A69139" w14:textId="77777777" w:rsidR="002F2AFD" w:rsidRPr="00750384" w:rsidRDefault="002F2AFD" w:rsidP="004C79C1">
            <w:pPr>
              <w:pStyle w:val="Tabletext1"/>
              <w:spacing w:before="0" w:after="120"/>
            </w:pPr>
            <w:r w:rsidRPr="00750384">
              <w:t>PL product group 8.07</w:t>
            </w:r>
          </w:p>
        </w:tc>
      </w:tr>
      <w:tr w:rsidR="002F2AFD" w:rsidRPr="00750384" w14:paraId="7634DE44" w14:textId="77777777" w:rsidTr="00857B30">
        <w:tc>
          <w:tcPr>
            <w:tcW w:w="2263" w:type="dxa"/>
          </w:tcPr>
          <w:p w14:paraId="1E5D8780" w14:textId="77777777" w:rsidR="002F2AFD" w:rsidRPr="00750384" w:rsidRDefault="002F2AFD" w:rsidP="004C79C1">
            <w:pPr>
              <w:pStyle w:val="Tabletext1"/>
              <w:spacing w:before="0" w:after="120"/>
            </w:pPr>
            <w:r w:rsidRPr="00750384">
              <w:t>Pacemaker lead</w:t>
            </w:r>
          </w:p>
        </w:tc>
        <w:tc>
          <w:tcPr>
            <w:tcW w:w="1111" w:type="dxa"/>
          </w:tcPr>
          <w:p w14:paraId="0524039C" w14:textId="245BA5DD" w:rsidR="002F2AFD" w:rsidRPr="00750384" w:rsidRDefault="002F2AFD" w:rsidP="004C79C1">
            <w:pPr>
              <w:pStyle w:val="Tabletext1"/>
              <w:spacing w:before="0" w:after="120"/>
              <w:jc w:val="right"/>
            </w:pPr>
            <w:r w:rsidRPr="00750384">
              <w:t>$1,294</w:t>
            </w:r>
            <w:r w:rsidR="00D85565">
              <w:t>.00</w:t>
            </w:r>
          </w:p>
        </w:tc>
        <w:tc>
          <w:tcPr>
            <w:tcW w:w="1157" w:type="dxa"/>
          </w:tcPr>
          <w:p w14:paraId="51AB1D6F" w14:textId="77777777" w:rsidR="002F2AFD" w:rsidRPr="00750384" w:rsidRDefault="002F2AFD" w:rsidP="004C79C1">
            <w:pPr>
              <w:pStyle w:val="Tabletext1"/>
              <w:spacing w:before="0" w:after="120"/>
            </w:pPr>
            <w:r w:rsidRPr="00750384">
              <w:t>NA</w:t>
            </w:r>
          </w:p>
        </w:tc>
        <w:tc>
          <w:tcPr>
            <w:tcW w:w="1418" w:type="dxa"/>
          </w:tcPr>
          <w:p w14:paraId="2C951A25" w14:textId="2A2794CD" w:rsidR="002F2AFD" w:rsidRPr="00750384" w:rsidRDefault="002F2AFD" w:rsidP="004C79C1">
            <w:pPr>
              <w:pStyle w:val="Tabletext1"/>
              <w:spacing w:before="0" w:after="120"/>
              <w:jc w:val="right"/>
            </w:pPr>
            <w:r w:rsidRPr="00750384">
              <w:t>$1,294</w:t>
            </w:r>
            <w:r w:rsidR="00D85565">
              <w:t>.00</w:t>
            </w:r>
          </w:p>
        </w:tc>
        <w:tc>
          <w:tcPr>
            <w:tcW w:w="1276" w:type="dxa"/>
          </w:tcPr>
          <w:p w14:paraId="6F18C9B7" w14:textId="77777777" w:rsidR="002F2AFD" w:rsidRPr="00750384" w:rsidRDefault="002F2AFD" w:rsidP="004C79C1">
            <w:pPr>
              <w:pStyle w:val="Tabletext1"/>
              <w:spacing w:before="0" w:after="120"/>
            </w:pPr>
            <w:r w:rsidRPr="00750384">
              <w:t>PHI</w:t>
            </w:r>
          </w:p>
        </w:tc>
        <w:tc>
          <w:tcPr>
            <w:tcW w:w="1557" w:type="dxa"/>
          </w:tcPr>
          <w:p w14:paraId="24FF6E3D" w14:textId="51CD378E" w:rsidR="002F2AFD" w:rsidRPr="00750384" w:rsidRDefault="002F2AFD" w:rsidP="004C79C1">
            <w:pPr>
              <w:pStyle w:val="Tabletext1"/>
              <w:spacing w:before="0" w:after="120"/>
            </w:pPr>
            <w:r w:rsidRPr="00750384">
              <w:t xml:space="preserve">PL product group </w:t>
            </w:r>
            <w:r w:rsidRPr="00750384">
              <w:lastRenderedPageBreak/>
              <w:t>8.08</w:t>
            </w:r>
            <w:r>
              <w:t>.08</w:t>
            </w:r>
            <w:r w:rsidR="00EC4D87">
              <w:t>–</w:t>
            </w:r>
            <w:r w:rsidRPr="00750384">
              <w:t>8.09</w:t>
            </w:r>
          </w:p>
        </w:tc>
      </w:tr>
      <w:tr w:rsidR="002F2AFD" w:rsidRPr="00750384" w14:paraId="5BD24DB4" w14:textId="77777777" w:rsidTr="00857B30">
        <w:tc>
          <w:tcPr>
            <w:tcW w:w="2263" w:type="dxa"/>
          </w:tcPr>
          <w:p w14:paraId="653FDB2D" w14:textId="77777777" w:rsidR="002F2AFD" w:rsidRPr="00750384" w:rsidRDefault="002F2AFD" w:rsidP="004C79C1">
            <w:pPr>
              <w:pStyle w:val="Tabletext1"/>
              <w:spacing w:before="0" w:after="120"/>
            </w:pPr>
            <w:r w:rsidRPr="00750384">
              <w:lastRenderedPageBreak/>
              <w:t>ICD generator</w:t>
            </w:r>
          </w:p>
        </w:tc>
        <w:tc>
          <w:tcPr>
            <w:tcW w:w="1111" w:type="dxa"/>
          </w:tcPr>
          <w:p w14:paraId="5DC82C94" w14:textId="6AF6DBB6" w:rsidR="002F2AFD" w:rsidRPr="00750384" w:rsidRDefault="002F2AFD" w:rsidP="004C79C1">
            <w:pPr>
              <w:pStyle w:val="Tabletext1"/>
              <w:spacing w:before="0" w:after="120"/>
              <w:jc w:val="right"/>
            </w:pPr>
            <w:r>
              <w:t>$45,458</w:t>
            </w:r>
            <w:r w:rsidR="00D85565">
              <w:t>.00</w:t>
            </w:r>
          </w:p>
        </w:tc>
        <w:tc>
          <w:tcPr>
            <w:tcW w:w="1157" w:type="dxa"/>
          </w:tcPr>
          <w:p w14:paraId="636324CC" w14:textId="77777777" w:rsidR="002F2AFD" w:rsidRPr="00750384" w:rsidRDefault="002F2AFD" w:rsidP="004C79C1">
            <w:pPr>
              <w:pStyle w:val="Tabletext1"/>
              <w:spacing w:before="0" w:after="120"/>
            </w:pPr>
            <w:r w:rsidRPr="00750384">
              <w:t>NA</w:t>
            </w:r>
          </w:p>
        </w:tc>
        <w:tc>
          <w:tcPr>
            <w:tcW w:w="1418" w:type="dxa"/>
          </w:tcPr>
          <w:p w14:paraId="6D8789B0" w14:textId="4B8454AA" w:rsidR="002F2AFD" w:rsidRPr="00750384" w:rsidRDefault="002F2AFD" w:rsidP="004C79C1">
            <w:pPr>
              <w:pStyle w:val="Tabletext1"/>
              <w:spacing w:before="0" w:after="120"/>
              <w:jc w:val="right"/>
            </w:pPr>
            <w:r>
              <w:t>$45,458</w:t>
            </w:r>
            <w:r w:rsidR="00D85565">
              <w:t>.00</w:t>
            </w:r>
          </w:p>
        </w:tc>
        <w:tc>
          <w:tcPr>
            <w:tcW w:w="1276" w:type="dxa"/>
          </w:tcPr>
          <w:p w14:paraId="03BA0E24" w14:textId="77777777" w:rsidR="002F2AFD" w:rsidRPr="00750384" w:rsidRDefault="002F2AFD" w:rsidP="004C79C1">
            <w:pPr>
              <w:pStyle w:val="Tabletext1"/>
              <w:spacing w:before="0" w:after="120"/>
            </w:pPr>
            <w:r w:rsidRPr="00750384">
              <w:t>PHI</w:t>
            </w:r>
          </w:p>
        </w:tc>
        <w:tc>
          <w:tcPr>
            <w:tcW w:w="1557" w:type="dxa"/>
          </w:tcPr>
          <w:p w14:paraId="13BD2F75" w14:textId="77777777" w:rsidR="002F2AFD" w:rsidRPr="00750384" w:rsidRDefault="002F2AFD" w:rsidP="004C79C1">
            <w:pPr>
              <w:pStyle w:val="Tabletext1"/>
              <w:spacing w:before="0" w:after="120"/>
            </w:pPr>
            <w:r w:rsidRPr="00750384">
              <w:t>PL product group 8.03</w:t>
            </w:r>
          </w:p>
        </w:tc>
      </w:tr>
      <w:tr w:rsidR="002F2AFD" w:rsidRPr="00750384" w14:paraId="7D05A14D" w14:textId="77777777" w:rsidTr="00857B30">
        <w:tc>
          <w:tcPr>
            <w:tcW w:w="2263" w:type="dxa"/>
          </w:tcPr>
          <w:p w14:paraId="2DFBE70E" w14:textId="77777777" w:rsidR="002F2AFD" w:rsidRPr="00750384" w:rsidRDefault="002F2AFD" w:rsidP="004C79C1">
            <w:pPr>
              <w:pStyle w:val="Tabletext1"/>
              <w:spacing w:before="0" w:after="120"/>
              <w:rPr>
                <w:b/>
              </w:rPr>
            </w:pPr>
            <w:r w:rsidRPr="00750384">
              <w:rPr>
                <w:b/>
              </w:rPr>
              <w:t>Hospital services</w:t>
            </w:r>
          </w:p>
        </w:tc>
        <w:tc>
          <w:tcPr>
            <w:tcW w:w="1111" w:type="dxa"/>
          </w:tcPr>
          <w:p w14:paraId="33DBD6CF" w14:textId="77777777" w:rsidR="002F2AFD" w:rsidRPr="00750384" w:rsidRDefault="002F2AFD" w:rsidP="004C79C1">
            <w:pPr>
              <w:pStyle w:val="Tabletext1"/>
              <w:spacing w:before="0" w:after="120"/>
              <w:jc w:val="right"/>
            </w:pPr>
          </w:p>
        </w:tc>
        <w:tc>
          <w:tcPr>
            <w:tcW w:w="1157" w:type="dxa"/>
          </w:tcPr>
          <w:p w14:paraId="13CC8B0F" w14:textId="77777777" w:rsidR="002F2AFD" w:rsidRPr="00750384" w:rsidRDefault="002F2AFD" w:rsidP="004C79C1">
            <w:pPr>
              <w:pStyle w:val="Tabletext1"/>
              <w:spacing w:before="0" w:after="120"/>
            </w:pPr>
          </w:p>
        </w:tc>
        <w:tc>
          <w:tcPr>
            <w:tcW w:w="1418" w:type="dxa"/>
          </w:tcPr>
          <w:p w14:paraId="28FF7958" w14:textId="77777777" w:rsidR="002F2AFD" w:rsidRPr="00750384" w:rsidRDefault="002F2AFD" w:rsidP="004C79C1">
            <w:pPr>
              <w:pStyle w:val="Tabletext1"/>
              <w:spacing w:before="0" w:after="120"/>
              <w:jc w:val="right"/>
            </w:pPr>
          </w:p>
        </w:tc>
        <w:tc>
          <w:tcPr>
            <w:tcW w:w="1276" w:type="dxa"/>
          </w:tcPr>
          <w:p w14:paraId="6BDEF5F7" w14:textId="77777777" w:rsidR="002F2AFD" w:rsidRPr="00750384" w:rsidRDefault="002F2AFD" w:rsidP="004C79C1">
            <w:pPr>
              <w:pStyle w:val="Tabletext1"/>
              <w:spacing w:before="0" w:after="120"/>
            </w:pPr>
          </w:p>
        </w:tc>
        <w:tc>
          <w:tcPr>
            <w:tcW w:w="1557" w:type="dxa"/>
          </w:tcPr>
          <w:p w14:paraId="638EEC21" w14:textId="77777777" w:rsidR="002F2AFD" w:rsidRPr="00750384" w:rsidRDefault="002F2AFD" w:rsidP="004C79C1">
            <w:pPr>
              <w:pStyle w:val="Tabletext1"/>
              <w:spacing w:before="0" w:after="120"/>
            </w:pPr>
          </w:p>
        </w:tc>
      </w:tr>
      <w:tr w:rsidR="002F2AFD" w:rsidRPr="00750384" w14:paraId="6FECED89" w14:textId="77777777" w:rsidTr="00857B30">
        <w:tc>
          <w:tcPr>
            <w:tcW w:w="2263" w:type="dxa"/>
          </w:tcPr>
          <w:p w14:paraId="5C09F5B7" w14:textId="77777777" w:rsidR="002F2AFD" w:rsidRPr="00750384" w:rsidRDefault="002F2AFD" w:rsidP="004C79C1">
            <w:pPr>
              <w:pStyle w:val="Tabletext1"/>
              <w:spacing w:before="0" w:after="120"/>
            </w:pPr>
            <w:r w:rsidRPr="00750384">
              <w:t xml:space="preserve">Hospitalisation </w:t>
            </w:r>
            <w:r>
              <w:t xml:space="preserve">for </w:t>
            </w:r>
            <w:r w:rsidRPr="00750384">
              <w:t>ICD implantation</w:t>
            </w:r>
          </w:p>
        </w:tc>
        <w:tc>
          <w:tcPr>
            <w:tcW w:w="1111" w:type="dxa"/>
            <w:tcBorders>
              <w:bottom w:val="single" w:sz="4" w:space="0" w:color="auto"/>
            </w:tcBorders>
          </w:tcPr>
          <w:p w14:paraId="0524594E" w14:textId="1B57B973" w:rsidR="002F2AFD" w:rsidRPr="00750384" w:rsidRDefault="002F2AFD" w:rsidP="004C79C1">
            <w:pPr>
              <w:pStyle w:val="Tabletext1"/>
              <w:spacing w:before="0" w:after="120"/>
              <w:jc w:val="right"/>
            </w:pPr>
            <w:r w:rsidRPr="00C20687">
              <w:t>$</w:t>
            </w:r>
            <w:r>
              <w:t>5,628</w:t>
            </w:r>
            <w:r w:rsidR="00D85565">
              <w:t>.00</w:t>
            </w:r>
          </w:p>
        </w:tc>
        <w:tc>
          <w:tcPr>
            <w:tcW w:w="1157" w:type="dxa"/>
            <w:tcBorders>
              <w:bottom w:val="single" w:sz="4" w:space="0" w:color="auto"/>
            </w:tcBorders>
          </w:tcPr>
          <w:p w14:paraId="5E82C76C" w14:textId="77777777" w:rsidR="002F2AFD" w:rsidRPr="00750384" w:rsidRDefault="002F2AFD" w:rsidP="004C79C1">
            <w:pPr>
              <w:pStyle w:val="Tabletext1"/>
              <w:spacing w:before="0" w:after="120"/>
            </w:pPr>
            <w:r w:rsidRPr="00750384">
              <w:t>NA</w:t>
            </w:r>
          </w:p>
        </w:tc>
        <w:tc>
          <w:tcPr>
            <w:tcW w:w="1418" w:type="dxa"/>
          </w:tcPr>
          <w:p w14:paraId="5A295C04" w14:textId="50184817" w:rsidR="002F2AFD" w:rsidRPr="00750384" w:rsidRDefault="002F2AFD" w:rsidP="004C79C1">
            <w:pPr>
              <w:pStyle w:val="Tabletext1"/>
              <w:spacing w:before="0" w:after="120"/>
              <w:jc w:val="right"/>
            </w:pPr>
            <w:r w:rsidRPr="00750384">
              <w:t>$</w:t>
            </w:r>
            <w:r>
              <w:t>5,628</w:t>
            </w:r>
            <w:r w:rsidR="00D85565">
              <w:t>.00</w:t>
            </w:r>
          </w:p>
        </w:tc>
        <w:tc>
          <w:tcPr>
            <w:tcW w:w="1276" w:type="dxa"/>
          </w:tcPr>
          <w:p w14:paraId="7FBBE0DD" w14:textId="77777777" w:rsidR="002F2AFD" w:rsidRPr="00750384" w:rsidRDefault="002F2AFD" w:rsidP="004C79C1">
            <w:pPr>
              <w:pStyle w:val="Tabletext1"/>
              <w:spacing w:before="0" w:after="120"/>
            </w:pPr>
            <w:r w:rsidRPr="00750384">
              <w:t>Private hospitals</w:t>
            </w:r>
          </w:p>
        </w:tc>
        <w:tc>
          <w:tcPr>
            <w:tcW w:w="1557" w:type="dxa"/>
          </w:tcPr>
          <w:p w14:paraId="65AE6F33" w14:textId="04393B72" w:rsidR="002F2AFD" w:rsidRPr="00750384" w:rsidRDefault="002F2AFD" w:rsidP="004C79C1">
            <w:pPr>
              <w:pStyle w:val="Tabletext1"/>
              <w:spacing w:before="0" w:after="120"/>
            </w:pPr>
            <w:r>
              <w:fldChar w:fldCharType="begin"/>
            </w:r>
            <w:r>
              <w:instrText xml:space="preserve"> REF _Ref448403666 \h </w:instrText>
            </w:r>
            <w:r>
              <w:fldChar w:fldCharType="separate"/>
            </w:r>
            <w:r w:rsidR="00460601" w:rsidRPr="0034255D">
              <w:t xml:space="preserve">Table </w:t>
            </w:r>
            <w:r w:rsidR="00460601">
              <w:rPr>
                <w:noProof/>
              </w:rPr>
              <w:t>12</w:t>
            </w:r>
            <w:r>
              <w:fldChar w:fldCharType="end"/>
            </w:r>
          </w:p>
        </w:tc>
      </w:tr>
      <w:tr w:rsidR="002F2AFD" w:rsidRPr="00750384" w14:paraId="306CB463" w14:textId="77777777" w:rsidTr="005F66C3">
        <w:tc>
          <w:tcPr>
            <w:tcW w:w="2263" w:type="dxa"/>
            <w:tcBorders>
              <w:right w:val="nil"/>
            </w:tcBorders>
          </w:tcPr>
          <w:p w14:paraId="6F61A431" w14:textId="77777777" w:rsidR="002F2AFD" w:rsidRPr="00750384" w:rsidRDefault="002F2AFD" w:rsidP="004C79C1">
            <w:pPr>
              <w:pStyle w:val="Tabletext1"/>
              <w:spacing w:before="0" w:after="120"/>
              <w:rPr>
                <w:b/>
              </w:rPr>
            </w:pPr>
            <w:r w:rsidRPr="00750384">
              <w:rPr>
                <w:b/>
              </w:rPr>
              <w:t>Total cost per ICD implant</w:t>
            </w:r>
          </w:p>
        </w:tc>
        <w:tc>
          <w:tcPr>
            <w:tcW w:w="1111" w:type="dxa"/>
            <w:tcBorders>
              <w:left w:val="nil"/>
              <w:right w:val="nil"/>
            </w:tcBorders>
          </w:tcPr>
          <w:p w14:paraId="0FE4DCB9" w14:textId="77777777" w:rsidR="002F2AFD" w:rsidRPr="00750384" w:rsidRDefault="002F2AFD" w:rsidP="004C79C1">
            <w:pPr>
              <w:pStyle w:val="Tabletext1"/>
              <w:spacing w:before="0" w:after="120"/>
            </w:pPr>
          </w:p>
        </w:tc>
        <w:tc>
          <w:tcPr>
            <w:tcW w:w="1157" w:type="dxa"/>
            <w:tcBorders>
              <w:left w:val="nil"/>
            </w:tcBorders>
          </w:tcPr>
          <w:p w14:paraId="59F44E7E" w14:textId="77777777" w:rsidR="002F2AFD" w:rsidRPr="00750384" w:rsidRDefault="002F2AFD" w:rsidP="004C79C1">
            <w:pPr>
              <w:pStyle w:val="Tabletext1"/>
              <w:spacing w:before="0" w:after="120"/>
            </w:pPr>
          </w:p>
        </w:tc>
        <w:tc>
          <w:tcPr>
            <w:tcW w:w="1418" w:type="dxa"/>
            <w:vAlign w:val="center"/>
          </w:tcPr>
          <w:p w14:paraId="0C7414D6" w14:textId="4E9286B4" w:rsidR="002F2AFD" w:rsidRPr="00C8527A" w:rsidRDefault="002F2AFD" w:rsidP="004C79C1">
            <w:pPr>
              <w:spacing w:after="120" w:line="240" w:lineRule="auto"/>
              <w:jc w:val="right"/>
              <w:rPr>
                <w:rFonts w:ascii="Arial Narrow" w:hAnsi="Arial Narrow" w:cs="Times New Roman"/>
                <w:b/>
                <w:color w:val="000000"/>
                <w:sz w:val="20"/>
                <w:szCs w:val="20"/>
              </w:rPr>
            </w:pPr>
            <w:r w:rsidRPr="00C8527A">
              <w:rPr>
                <w:rFonts w:ascii="Arial Narrow" w:hAnsi="Arial Narrow"/>
                <w:b/>
                <w:color w:val="000000"/>
                <w:sz w:val="20"/>
                <w:szCs w:val="20"/>
              </w:rPr>
              <w:t>$62,955</w:t>
            </w:r>
            <w:r w:rsidR="00D85565">
              <w:rPr>
                <w:rFonts w:ascii="Arial Narrow" w:hAnsi="Arial Narrow"/>
                <w:b/>
                <w:color w:val="000000"/>
                <w:sz w:val="20"/>
                <w:szCs w:val="20"/>
              </w:rPr>
              <w:t>.00</w:t>
            </w:r>
          </w:p>
        </w:tc>
        <w:tc>
          <w:tcPr>
            <w:tcW w:w="1276" w:type="dxa"/>
          </w:tcPr>
          <w:p w14:paraId="5C502025" w14:textId="77777777" w:rsidR="002F2AFD" w:rsidRPr="00750384" w:rsidRDefault="002F2AFD" w:rsidP="004C79C1">
            <w:pPr>
              <w:pStyle w:val="Tabletext1"/>
              <w:spacing w:before="0" w:after="120"/>
            </w:pPr>
          </w:p>
        </w:tc>
        <w:tc>
          <w:tcPr>
            <w:tcW w:w="1557" w:type="dxa"/>
          </w:tcPr>
          <w:p w14:paraId="08EE1372" w14:textId="77777777" w:rsidR="002F2AFD" w:rsidRPr="00750384" w:rsidRDefault="002F2AFD" w:rsidP="004C79C1">
            <w:pPr>
              <w:pStyle w:val="Tabletext1"/>
              <w:spacing w:before="0" w:after="120"/>
              <w:rPr>
                <w:highlight w:val="yellow"/>
              </w:rPr>
            </w:pPr>
          </w:p>
        </w:tc>
      </w:tr>
    </w:tbl>
    <w:p w14:paraId="20859739" w14:textId="79EF37D0" w:rsidR="002F2AFD" w:rsidRDefault="002F2AFD" w:rsidP="004C79C1">
      <w:pPr>
        <w:pStyle w:val="Tablenotes0"/>
        <w:spacing w:before="0" w:after="120"/>
      </w:pPr>
      <w:r>
        <w:t>Source: Medicare Benefi</w:t>
      </w:r>
      <w:r w:rsidR="005747B8">
        <w:t xml:space="preserve">ts Schedule (March 2016), MSAC </w:t>
      </w:r>
      <w:r w:rsidR="00340AF6">
        <w:t>Application</w:t>
      </w:r>
      <w:r w:rsidR="00340AF6" w:rsidRPr="00503057">
        <w:t xml:space="preserve"> </w:t>
      </w:r>
      <w:r w:rsidR="005747B8">
        <w:t xml:space="preserve">no. </w:t>
      </w:r>
      <w:r>
        <w:t>1223, Private Sector National Cost Weights Cost Collection</w:t>
      </w:r>
      <w:r w:rsidR="00290769">
        <w:t xml:space="preserve"> </w:t>
      </w:r>
      <w:r>
        <w:t>Report for AR</w:t>
      </w:r>
      <w:r>
        <w:rPr>
          <w:rFonts w:ascii="Cambria Math" w:hAnsi="Cambria Math" w:cs="Cambria Math"/>
        </w:rPr>
        <w:t>‐</w:t>
      </w:r>
      <w:r>
        <w:t>DRG v 5.1, Round 13 (2008</w:t>
      </w:r>
      <w:r w:rsidR="00290769">
        <w:rPr>
          <w:rFonts w:ascii="Cambria Math" w:hAnsi="Cambria Math" w:cs="Cambria Math"/>
        </w:rPr>
        <w:t>–</w:t>
      </w:r>
      <w:r>
        <w:t>09)</w:t>
      </w:r>
    </w:p>
    <w:p w14:paraId="40071DFA" w14:textId="693D1A1A" w:rsidR="002F2AFD" w:rsidRDefault="00290769" w:rsidP="004C79C1">
      <w:pPr>
        <w:pStyle w:val="Tablenotes0"/>
        <w:spacing w:before="0" w:after="120"/>
      </w:pPr>
      <w:proofErr w:type="gramStart"/>
      <w:r>
        <w:rPr>
          <w:vertAlign w:val="superscript"/>
        </w:rPr>
        <w:t>a</w:t>
      </w:r>
      <w:proofErr w:type="gramEnd"/>
      <w:r w:rsidR="002F2AFD">
        <w:t xml:space="preserve"> The percentage of fee claimable is determined in accordance with the MBS Multiple Services Rule</w:t>
      </w:r>
      <w:r w:rsidR="00255D0D">
        <w:t>.</w:t>
      </w:r>
    </w:p>
    <w:p w14:paraId="21C17952" w14:textId="77777777" w:rsidR="0056293A" w:rsidRPr="0056293A" w:rsidRDefault="0056293A" w:rsidP="004C79C1">
      <w:pPr>
        <w:pStyle w:val="Tablenotes0"/>
        <w:spacing w:before="0" w:after="120"/>
        <w:contextualSpacing/>
      </w:pPr>
      <w:r w:rsidRPr="0056293A">
        <w:t>ICD = implantable cardioverter</w:t>
      </w:r>
      <w:r w:rsidRPr="0056293A">
        <w:rPr>
          <w:rFonts w:ascii="Cambria Math" w:hAnsi="Cambria Math" w:cs="Cambria Math"/>
        </w:rPr>
        <w:t xml:space="preserve"> </w:t>
      </w:r>
      <w:r w:rsidRPr="0056293A">
        <w:t xml:space="preserve">defibrillator; MBS = Medicare Benefits Schedule; </w:t>
      </w:r>
      <w:r w:rsidRPr="00066D73">
        <w:rPr>
          <w:rFonts w:cs="Calibri"/>
        </w:rPr>
        <w:t>NA = not applicable;</w:t>
      </w:r>
      <w:r w:rsidRPr="0056293A">
        <w:t xml:space="preserve"> PHI = private health insurer</w:t>
      </w:r>
    </w:p>
    <w:p w14:paraId="6C15E978" w14:textId="08E1264A" w:rsidR="002F2AFD" w:rsidRDefault="002F2AFD" w:rsidP="004C79C1">
      <w:pPr>
        <w:pStyle w:val="Caption"/>
        <w:keepNext/>
      </w:pPr>
      <w:bookmarkStart w:id="1013" w:name="_Toc450052121"/>
      <w:bookmarkStart w:id="1014" w:name="_Toc324410312"/>
      <w:bookmarkStart w:id="1015" w:name="_Toc451435435"/>
      <w:r w:rsidRPr="0034255D">
        <w:t xml:space="preserve">Table </w:t>
      </w:r>
      <w:fldSimple w:instr=" SEQ Table \* ARABIC ">
        <w:r w:rsidR="00050936">
          <w:rPr>
            <w:noProof/>
          </w:rPr>
          <w:t>108</w:t>
        </w:r>
      </w:fldSimple>
      <w:r w:rsidRPr="0034255D">
        <w:tab/>
        <w:t xml:space="preserve">Total cost per CRT-D device implantation procedure in </w:t>
      </w:r>
      <w:r w:rsidR="00255D0D">
        <w:t>a p</w:t>
      </w:r>
      <w:r w:rsidRPr="0034255D">
        <w:t xml:space="preserve">rivate </w:t>
      </w:r>
      <w:r w:rsidR="00255D0D">
        <w:t>h</w:t>
      </w:r>
      <w:r w:rsidRPr="0034255D">
        <w:t>ospital</w:t>
      </w:r>
      <w:bookmarkEnd w:id="1013"/>
      <w:bookmarkEnd w:id="1014"/>
      <w:bookmarkEnd w:id="1015"/>
    </w:p>
    <w:tbl>
      <w:tblPr>
        <w:tblStyle w:val="TableGrid"/>
        <w:tblW w:w="0" w:type="auto"/>
        <w:tblLook w:val="04A0" w:firstRow="1" w:lastRow="0" w:firstColumn="1" w:lastColumn="0" w:noHBand="0" w:noVBand="1"/>
        <w:tblDescription w:val="Total cost per CRT-D device implantation procedure in Private Hospital"/>
      </w:tblPr>
      <w:tblGrid>
        <w:gridCol w:w="2263"/>
        <w:gridCol w:w="1111"/>
        <w:gridCol w:w="1157"/>
        <w:gridCol w:w="1418"/>
        <w:gridCol w:w="1276"/>
        <w:gridCol w:w="1557"/>
      </w:tblGrid>
      <w:tr w:rsidR="002F2AFD" w:rsidRPr="00255D0D" w14:paraId="01BDB8B3" w14:textId="77777777" w:rsidTr="00857B30">
        <w:trPr>
          <w:tblHeader/>
        </w:trPr>
        <w:tc>
          <w:tcPr>
            <w:tcW w:w="2263" w:type="dxa"/>
          </w:tcPr>
          <w:p w14:paraId="1FAA7EC8" w14:textId="77777777" w:rsidR="002F2AFD" w:rsidRPr="005F66C3" w:rsidRDefault="002F2AFD" w:rsidP="004C79C1">
            <w:pPr>
              <w:pStyle w:val="Tabletext1"/>
              <w:spacing w:before="0" w:after="120"/>
              <w:rPr>
                <w:b/>
              </w:rPr>
            </w:pPr>
            <w:r w:rsidRPr="005F66C3">
              <w:rPr>
                <w:b/>
              </w:rPr>
              <w:t>Resource type</w:t>
            </w:r>
          </w:p>
        </w:tc>
        <w:tc>
          <w:tcPr>
            <w:tcW w:w="1111" w:type="dxa"/>
          </w:tcPr>
          <w:p w14:paraId="6ACE7E91" w14:textId="77777777" w:rsidR="002F2AFD" w:rsidRPr="005F66C3" w:rsidRDefault="002F2AFD" w:rsidP="004C79C1">
            <w:pPr>
              <w:pStyle w:val="Tabletext1"/>
              <w:spacing w:before="0" w:after="120"/>
              <w:jc w:val="center"/>
              <w:rPr>
                <w:b/>
              </w:rPr>
            </w:pPr>
            <w:r w:rsidRPr="005F66C3">
              <w:rPr>
                <w:b/>
              </w:rPr>
              <w:t>Unit cost</w:t>
            </w:r>
          </w:p>
        </w:tc>
        <w:tc>
          <w:tcPr>
            <w:tcW w:w="1157" w:type="dxa"/>
          </w:tcPr>
          <w:p w14:paraId="0EDA7E8F" w14:textId="2E01298C" w:rsidR="002F2AFD" w:rsidRPr="005F66C3" w:rsidRDefault="002F2AFD" w:rsidP="004C79C1">
            <w:pPr>
              <w:pStyle w:val="Tabletext1"/>
              <w:spacing w:before="0" w:after="120"/>
              <w:jc w:val="center"/>
              <w:rPr>
                <w:b/>
                <w:vertAlign w:val="superscript"/>
              </w:rPr>
            </w:pPr>
            <w:r w:rsidRPr="005F66C3">
              <w:rPr>
                <w:b/>
              </w:rPr>
              <w:t>% of fee claimable</w:t>
            </w:r>
            <w:r w:rsidR="00255D0D">
              <w:rPr>
                <w:b/>
                <w:vertAlign w:val="superscript"/>
              </w:rPr>
              <w:t xml:space="preserve"> a</w:t>
            </w:r>
          </w:p>
        </w:tc>
        <w:tc>
          <w:tcPr>
            <w:tcW w:w="1418" w:type="dxa"/>
          </w:tcPr>
          <w:p w14:paraId="6F35ED6B" w14:textId="77777777" w:rsidR="002F2AFD" w:rsidRPr="005F66C3" w:rsidRDefault="002F2AFD" w:rsidP="004C79C1">
            <w:pPr>
              <w:pStyle w:val="Tabletext1"/>
              <w:spacing w:before="0" w:after="120"/>
              <w:jc w:val="center"/>
              <w:rPr>
                <w:b/>
              </w:rPr>
            </w:pPr>
            <w:r w:rsidRPr="005F66C3">
              <w:rPr>
                <w:b/>
              </w:rPr>
              <w:t>Cost per procedure</w:t>
            </w:r>
          </w:p>
        </w:tc>
        <w:tc>
          <w:tcPr>
            <w:tcW w:w="1276" w:type="dxa"/>
          </w:tcPr>
          <w:p w14:paraId="02E207ED" w14:textId="77777777" w:rsidR="002F2AFD" w:rsidRPr="005F66C3" w:rsidRDefault="002F2AFD" w:rsidP="004C79C1">
            <w:pPr>
              <w:pStyle w:val="Tabletext1"/>
              <w:spacing w:before="0" w:after="120"/>
              <w:rPr>
                <w:b/>
              </w:rPr>
            </w:pPr>
            <w:r w:rsidRPr="005F66C3">
              <w:rPr>
                <w:b/>
              </w:rPr>
              <w:t>Bearer of cost</w:t>
            </w:r>
          </w:p>
        </w:tc>
        <w:tc>
          <w:tcPr>
            <w:tcW w:w="1557" w:type="dxa"/>
          </w:tcPr>
          <w:p w14:paraId="3456D1DC" w14:textId="77777777" w:rsidR="002F2AFD" w:rsidRPr="005F66C3" w:rsidRDefault="002F2AFD" w:rsidP="004C79C1">
            <w:pPr>
              <w:pStyle w:val="Tabletext1"/>
              <w:spacing w:before="0" w:after="120"/>
              <w:rPr>
                <w:b/>
              </w:rPr>
            </w:pPr>
            <w:r w:rsidRPr="005F66C3">
              <w:rPr>
                <w:b/>
              </w:rPr>
              <w:t>Source</w:t>
            </w:r>
          </w:p>
        </w:tc>
      </w:tr>
      <w:tr w:rsidR="002F2AFD" w:rsidRPr="00750384" w14:paraId="75ADFF54" w14:textId="77777777" w:rsidTr="00857B30">
        <w:tc>
          <w:tcPr>
            <w:tcW w:w="2263" w:type="dxa"/>
          </w:tcPr>
          <w:p w14:paraId="666351FD" w14:textId="77777777" w:rsidR="002F2AFD" w:rsidRPr="00750384" w:rsidRDefault="002F2AFD" w:rsidP="004C79C1">
            <w:pPr>
              <w:pStyle w:val="Tabletext1"/>
              <w:spacing w:before="0" w:after="120"/>
              <w:rPr>
                <w:b/>
              </w:rPr>
            </w:pPr>
            <w:r w:rsidRPr="00750384">
              <w:rPr>
                <w:b/>
              </w:rPr>
              <w:t>Medical services</w:t>
            </w:r>
          </w:p>
        </w:tc>
        <w:tc>
          <w:tcPr>
            <w:tcW w:w="1111" w:type="dxa"/>
          </w:tcPr>
          <w:p w14:paraId="0B4D4223" w14:textId="77777777" w:rsidR="002F2AFD" w:rsidRPr="00750384" w:rsidRDefault="002F2AFD" w:rsidP="004C79C1">
            <w:pPr>
              <w:pStyle w:val="Tabletext1"/>
              <w:spacing w:before="0" w:after="120"/>
              <w:jc w:val="center"/>
            </w:pPr>
          </w:p>
        </w:tc>
        <w:tc>
          <w:tcPr>
            <w:tcW w:w="1157" w:type="dxa"/>
          </w:tcPr>
          <w:p w14:paraId="2DEF006C" w14:textId="77777777" w:rsidR="002F2AFD" w:rsidRPr="00750384" w:rsidRDefault="002F2AFD" w:rsidP="004C79C1">
            <w:pPr>
              <w:pStyle w:val="Tabletext1"/>
              <w:spacing w:before="0" w:after="120"/>
            </w:pPr>
          </w:p>
        </w:tc>
        <w:tc>
          <w:tcPr>
            <w:tcW w:w="1418" w:type="dxa"/>
          </w:tcPr>
          <w:p w14:paraId="44F0028E" w14:textId="77777777" w:rsidR="002F2AFD" w:rsidRPr="00750384" w:rsidRDefault="002F2AFD" w:rsidP="004C79C1">
            <w:pPr>
              <w:pStyle w:val="Tabletext1"/>
              <w:spacing w:before="0" w:after="120"/>
            </w:pPr>
          </w:p>
        </w:tc>
        <w:tc>
          <w:tcPr>
            <w:tcW w:w="1276" w:type="dxa"/>
          </w:tcPr>
          <w:p w14:paraId="469EDAD3" w14:textId="77777777" w:rsidR="002F2AFD" w:rsidRPr="00750384" w:rsidRDefault="002F2AFD" w:rsidP="004C79C1">
            <w:pPr>
              <w:pStyle w:val="Tabletext1"/>
              <w:spacing w:before="0" w:after="120"/>
            </w:pPr>
          </w:p>
        </w:tc>
        <w:tc>
          <w:tcPr>
            <w:tcW w:w="1557" w:type="dxa"/>
          </w:tcPr>
          <w:p w14:paraId="573DB74E" w14:textId="77777777" w:rsidR="002F2AFD" w:rsidRPr="00750384" w:rsidRDefault="002F2AFD" w:rsidP="004C79C1">
            <w:pPr>
              <w:pStyle w:val="Tabletext1"/>
              <w:spacing w:before="0" w:after="120"/>
            </w:pPr>
          </w:p>
        </w:tc>
      </w:tr>
      <w:tr w:rsidR="002F2AFD" w:rsidRPr="00750384" w14:paraId="0FCF36FD" w14:textId="77777777" w:rsidTr="00857B30">
        <w:tc>
          <w:tcPr>
            <w:tcW w:w="2263" w:type="dxa"/>
          </w:tcPr>
          <w:p w14:paraId="2F292B1C" w14:textId="77777777" w:rsidR="002F2AFD" w:rsidRPr="00750384" w:rsidRDefault="002F2AFD" w:rsidP="004C79C1">
            <w:pPr>
              <w:pStyle w:val="Tabletext1"/>
              <w:spacing w:before="0" w:after="120"/>
              <w:rPr>
                <w:b/>
              </w:rPr>
            </w:pPr>
            <w:r w:rsidRPr="00750384">
              <w:t>Insertion of LV lead</w:t>
            </w:r>
          </w:p>
        </w:tc>
        <w:tc>
          <w:tcPr>
            <w:tcW w:w="1111" w:type="dxa"/>
          </w:tcPr>
          <w:p w14:paraId="596792BC" w14:textId="77777777" w:rsidR="002F2AFD" w:rsidRPr="00750384" w:rsidRDefault="002F2AFD" w:rsidP="004C79C1">
            <w:pPr>
              <w:pStyle w:val="Tabletext1"/>
              <w:spacing w:before="0" w:after="120"/>
              <w:jc w:val="right"/>
            </w:pPr>
            <w:r w:rsidRPr="00150D14">
              <w:t>$1,224.60</w:t>
            </w:r>
          </w:p>
        </w:tc>
        <w:tc>
          <w:tcPr>
            <w:tcW w:w="1157" w:type="dxa"/>
          </w:tcPr>
          <w:p w14:paraId="75750DA9" w14:textId="77777777" w:rsidR="002F2AFD" w:rsidRPr="00750384" w:rsidRDefault="002F2AFD" w:rsidP="004C79C1">
            <w:pPr>
              <w:pStyle w:val="Tabletext1"/>
              <w:spacing w:before="0" w:after="120"/>
              <w:ind w:right="62"/>
              <w:jc w:val="right"/>
            </w:pPr>
            <w:r w:rsidRPr="00046E10">
              <w:t>100%</w:t>
            </w:r>
          </w:p>
        </w:tc>
        <w:tc>
          <w:tcPr>
            <w:tcW w:w="1418" w:type="dxa"/>
          </w:tcPr>
          <w:p w14:paraId="269A04A8" w14:textId="77777777" w:rsidR="002F2AFD" w:rsidRPr="00750384" w:rsidRDefault="002F2AFD" w:rsidP="004C79C1">
            <w:pPr>
              <w:pStyle w:val="Tabletext1"/>
              <w:spacing w:before="0" w:after="120"/>
              <w:jc w:val="right"/>
            </w:pPr>
            <w:r w:rsidRPr="00046E10">
              <w:t>$1,224.60</w:t>
            </w:r>
          </w:p>
        </w:tc>
        <w:tc>
          <w:tcPr>
            <w:tcW w:w="1276" w:type="dxa"/>
          </w:tcPr>
          <w:p w14:paraId="7DB16909" w14:textId="77777777" w:rsidR="002F2AFD" w:rsidRPr="00750384" w:rsidRDefault="002F2AFD" w:rsidP="004C79C1">
            <w:pPr>
              <w:pStyle w:val="Tabletext1"/>
              <w:spacing w:before="0" w:after="120"/>
            </w:pPr>
            <w:r w:rsidRPr="00750384">
              <w:rPr>
                <w:rFonts w:cs="Calibri"/>
              </w:rPr>
              <w:t>MBS/PHI</w:t>
            </w:r>
          </w:p>
        </w:tc>
        <w:tc>
          <w:tcPr>
            <w:tcW w:w="1557" w:type="dxa"/>
          </w:tcPr>
          <w:p w14:paraId="1A176D77" w14:textId="77777777" w:rsidR="002F2AFD" w:rsidRPr="00750384" w:rsidRDefault="002F2AFD" w:rsidP="004C79C1">
            <w:pPr>
              <w:pStyle w:val="Tabletext1"/>
              <w:spacing w:before="0" w:after="120"/>
            </w:pPr>
            <w:r w:rsidRPr="00C20687">
              <w:t>MBS 38368</w:t>
            </w:r>
          </w:p>
        </w:tc>
      </w:tr>
      <w:tr w:rsidR="002F2AFD" w:rsidRPr="00750384" w14:paraId="2E38A26B" w14:textId="77777777" w:rsidTr="00857B30">
        <w:tc>
          <w:tcPr>
            <w:tcW w:w="2263" w:type="dxa"/>
          </w:tcPr>
          <w:p w14:paraId="1B7D49B3" w14:textId="77777777" w:rsidR="002F2AFD" w:rsidRPr="00750384" w:rsidRDefault="002F2AFD" w:rsidP="004C79C1">
            <w:pPr>
              <w:pStyle w:val="Tabletext1"/>
              <w:spacing w:before="0" w:after="120"/>
            </w:pPr>
            <w:r w:rsidRPr="00750384">
              <w:t>Insertion of defibrillator lead</w:t>
            </w:r>
          </w:p>
        </w:tc>
        <w:tc>
          <w:tcPr>
            <w:tcW w:w="1111" w:type="dxa"/>
          </w:tcPr>
          <w:p w14:paraId="30811DF0" w14:textId="77777777" w:rsidR="002F2AFD" w:rsidRPr="00750384" w:rsidRDefault="002F2AFD" w:rsidP="004C79C1">
            <w:pPr>
              <w:pStyle w:val="Tabletext1"/>
              <w:spacing w:before="0" w:after="120"/>
              <w:jc w:val="right"/>
            </w:pPr>
            <w:r w:rsidRPr="00150D14">
              <w:t>$1,052.65</w:t>
            </w:r>
          </w:p>
        </w:tc>
        <w:tc>
          <w:tcPr>
            <w:tcW w:w="1157" w:type="dxa"/>
          </w:tcPr>
          <w:p w14:paraId="646645B8" w14:textId="77777777" w:rsidR="002F2AFD" w:rsidRPr="00750384" w:rsidRDefault="002F2AFD" w:rsidP="004C79C1">
            <w:pPr>
              <w:pStyle w:val="Tabletext1"/>
              <w:spacing w:before="0" w:after="120"/>
              <w:ind w:right="62"/>
              <w:jc w:val="right"/>
            </w:pPr>
            <w:r w:rsidRPr="00046E10">
              <w:t>50%</w:t>
            </w:r>
          </w:p>
        </w:tc>
        <w:tc>
          <w:tcPr>
            <w:tcW w:w="1418" w:type="dxa"/>
          </w:tcPr>
          <w:p w14:paraId="428D9343" w14:textId="77777777" w:rsidR="002F2AFD" w:rsidRPr="00750384" w:rsidRDefault="002F2AFD" w:rsidP="004C79C1">
            <w:pPr>
              <w:pStyle w:val="Tabletext1"/>
              <w:spacing w:before="0" w:after="120"/>
              <w:jc w:val="right"/>
            </w:pPr>
            <w:r w:rsidRPr="00046E10">
              <w:t>$526.35</w:t>
            </w:r>
          </w:p>
        </w:tc>
        <w:tc>
          <w:tcPr>
            <w:tcW w:w="1276" w:type="dxa"/>
          </w:tcPr>
          <w:p w14:paraId="4C574F00" w14:textId="77777777" w:rsidR="002F2AFD" w:rsidRPr="00750384" w:rsidRDefault="002F2AFD" w:rsidP="004C79C1">
            <w:pPr>
              <w:pStyle w:val="Tabletext1"/>
              <w:spacing w:before="0" w:after="120"/>
            </w:pPr>
            <w:r w:rsidRPr="00750384">
              <w:rPr>
                <w:rFonts w:cs="Calibri"/>
              </w:rPr>
              <w:t>MBS/PHI</w:t>
            </w:r>
          </w:p>
        </w:tc>
        <w:tc>
          <w:tcPr>
            <w:tcW w:w="1557" w:type="dxa"/>
          </w:tcPr>
          <w:p w14:paraId="4C7E8EC9" w14:textId="77777777" w:rsidR="002F2AFD" w:rsidRPr="00750384" w:rsidRDefault="002F2AFD" w:rsidP="004C79C1">
            <w:pPr>
              <w:pStyle w:val="Tabletext1"/>
              <w:spacing w:before="0" w:after="120"/>
            </w:pPr>
            <w:r w:rsidRPr="00750384">
              <w:t>MBS 38384</w:t>
            </w:r>
          </w:p>
        </w:tc>
      </w:tr>
      <w:tr w:rsidR="002F2AFD" w:rsidRPr="00750384" w14:paraId="49A51688" w14:textId="77777777" w:rsidTr="00857B30">
        <w:tc>
          <w:tcPr>
            <w:tcW w:w="2263" w:type="dxa"/>
          </w:tcPr>
          <w:p w14:paraId="4DBB9DD7" w14:textId="77777777" w:rsidR="002F2AFD" w:rsidRPr="00750384" w:rsidRDefault="002F2AFD" w:rsidP="004C79C1">
            <w:pPr>
              <w:pStyle w:val="Tabletext1"/>
              <w:spacing w:before="0" w:after="120"/>
            </w:pPr>
            <w:r w:rsidRPr="00750384">
              <w:t>Insertion of pacemaker lead</w:t>
            </w:r>
          </w:p>
        </w:tc>
        <w:tc>
          <w:tcPr>
            <w:tcW w:w="1111" w:type="dxa"/>
          </w:tcPr>
          <w:p w14:paraId="31A31913" w14:textId="77777777" w:rsidR="002F2AFD" w:rsidRPr="00750384" w:rsidRDefault="002F2AFD" w:rsidP="004C79C1">
            <w:pPr>
              <w:pStyle w:val="Tabletext1"/>
              <w:spacing w:before="0" w:after="120"/>
              <w:jc w:val="right"/>
            </w:pPr>
            <w:r w:rsidRPr="00150D14">
              <w:t>$638.65</w:t>
            </w:r>
          </w:p>
        </w:tc>
        <w:tc>
          <w:tcPr>
            <w:tcW w:w="1157" w:type="dxa"/>
          </w:tcPr>
          <w:p w14:paraId="5905AAD1" w14:textId="77777777" w:rsidR="002F2AFD" w:rsidRPr="00750384" w:rsidRDefault="002F2AFD" w:rsidP="004C79C1">
            <w:pPr>
              <w:pStyle w:val="Tabletext1"/>
              <w:spacing w:before="0" w:after="120"/>
              <w:ind w:right="62"/>
              <w:jc w:val="right"/>
            </w:pPr>
            <w:r w:rsidRPr="00046E10">
              <w:t>25%</w:t>
            </w:r>
          </w:p>
        </w:tc>
        <w:tc>
          <w:tcPr>
            <w:tcW w:w="1418" w:type="dxa"/>
          </w:tcPr>
          <w:p w14:paraId="4977079D" w14:textId="77777777" w:rsidR="002F2AFD" w:rsidRPr="00750384" w:rsidRDefault="002F2AFD" w:rsidP="004C79C1">
            <w:pPr>
              <w:pStyle w:val="Tabletext1"/>
              <w:spacing w:before="0" w:after="120"/>
              <w:jc w:val="right"/>
            </w:pPr>
            <w:r w:rsidRPr="00046E10">
              <w:t>$159.70</w:t>
            </w:r>
          </w:p>
        </w:tc>
        <w:tc>
          <w:tcPr>
            <w:tcW w:w="1276" w:type="dxa"/>
          </w:tcPr>
          <w:p w14:paraId="766BFD41" w14:textId="77777777" w:rsidR="002F2AFD" w:rsidRPr="00750384" w:rsidRDefault="002F2AFD" w:rsidP="004C79C1">
            <w:pPr>
              <w:pStyle w:val="Tabletext1"/>
              <w:spacing w:before="0" w:after="120"/>
            </w:pPr>
            <w:r w:rsidRPr="00750384">
              <w:rPr>
                <w:rFonts w:cs="Calibri"/>
              </w:rPr>
              <w:t>MBS/PHI</w:t>
            </w:r>
          </w:p>
        </w:tc>
        <w:tc>
          <w:tcPr>
            <w:tcW w:w="1557" w:type="dxa"/>
          </w:tcPr>
          <w:p w14:paraId="27DFA40C" w14:textId="77777777" w:rsidR="002F2AFD" w:rsidRPr="00750384" w:rsidRDefault="002F2AFD" w:rsidP="004C79C1">
            <w:pPr>
              <w:pStyle w:val="Tabletext1"/>
              <w:spacing w:before="0" w:after="120"/>
            </w:pPr>
            <w:r w:rsidRPr="00750384">
              <w:t>MBS 38350</w:t>
            </w:r>
          </w:p>
        </w:tc>
      </w:tr>
      <w:tr w:rsidR="002F2AFD" w:rsidRPr="00750384" w14:paraId="14CE2932" w14:textId="77777777" w:rsidTr="00857B30">
        <w:tc>
          <w:tcPr>
            <w:tcW w:w="2263" w:type="dxa"/>
          </w:tcPr>
          <w:p w14:paraId="5D5E45C2" w14:textId="77777777" w:rsidR="002F2AFD" w:rsidRPr="00750384" w:rsidRDefault="002F2AFD" w:rsidP="004C79C1">
            <w:pPr>
              <w:pStyle w:val="Tabletext1"/>
              <w:spacing w:before="0" w:after="120"/>
            </w:pPr>
            <w:r w:rsidRPr="00750384">
              <w:t>Insertion of generator</w:t>
            </w:r>
          </w:p>
        </w:tc>
        <w:tc>
          <w:tcPr>
            <w:tcW w:w="1111" w:type="dxa"/>
          </w:tcPr>
          <w:p w14:paraId="04A701F7" w14:textId="77777777" w:rsidR="002F2AFD" w:rsidRPr="00750384" w:rsidRDefault="002F2AFD" w:rsidP="004C79C1">
            <w:pPr>
              <w:pStyle w:val="Tabletext1"/>
              <w:spacing w:before="0" w:after="120"/>
              <w:jc w:val="right"/>
            </w:pPr>
            <w:r w:rsidRPr="00150D14">
              <w:t>$255.45</w:t>
            </w:r>
          </w:p>
        </w:tc>
        <w:tc>
          <w:tcPr>
            <w:tcW w:w="1157" w:type="dxa"/>
          </w:tcPr>
          <w:p w14:paraId="16031615" w14:textId="77777777" w:rsidR="002F2AFD" w:rsidRPr="00750384" w:rsidRDefault="002F2AFD" w:rsidP="004C79C1">
            <w:pPr>
              <w:pStyle w:val="Tabletext1"/>
              <w:spacing w:before="0" w:after="120"/>
              <w:ind w:right="62"/>
              <w:jc w:val="right"/>
            </w:pPr>
            <w:r w:rsidRPr="00046E10">
              <w:t>25%</w:t>
            </w:r>
          </w:p>
        </w:tc>
        <w:tc>
          <w:tcPr>
            <w:tcW w:w="1418" w:type="dxa"/>
          </w:tcPr>
          <w:p w14:paraId="0F72E3B2" w14:textId="77777777" w:rsidR="002F2AFD" w:rsidRPr="00750384" w:rsidRDefault="002F2AFD" w:rsidP="004C79C1">
            <w:pPr>
              <w:pStyle w:val="Tabletext1"/>
              <w:spacing w:before="0" w:after="120"/>
              <w:jc w:val="right"/>
            </w:pPr>
            <w:r w:rsidRPr="00046E10">
              <w:t>$63.90</w:t>
            </w:r>
          </w:p>
        </w:tc>
        <w:tc>
          <w:tcPr>
            <w:tcW w:w="1276" w:type="dxa"/>
          </w:tcPr>
          <w:p w14:paraId="4595E2C1" w14:textId="77777777" w:rsidR="002F2AFD" w:rsidRPr="00750384" w:rsidRDefault="002F2AFD" w:rsidP="004C79C1">
            <w:pPr>
              <w:pStyle w:val="Tabletext1"/>
              <w:spacing w:before="0" w:after="120"/>
            </w:pPr>
            <w:r w:rsidRPr="00750384">
              <w:rPr>
                <w:rFonts w:cs="Calibri"/>
              </w:rPr>
              <w:t>MBS/PHI</w:t>
            </w:r>
          </w:p>
        </w:tc>
        <w:tc>
          <w:tcPr>
            <w:tcW w:w="1557" w:type="dxa"/>
          </w:tcPr>
          <w:p w14:paraId="2228DDB5" w14:textId="77777777" w:rsidR="002F2AFD" w:rsidRPr="00750384" w:rsidRDefault="002F2AFD" w:rsidP="004C79C1">
            <w:pPr>
              <w:pStyle w:val="Tabletext1"/>
              <w:spacing w:before="0" w:after="120"/>
            </w:pPr>
            <w:r w:rsidRPr="00750384">
              <w:t>MBS 38365</w:t>
            </w:r>
          </w:p>
        </w:tc>
      </w:tr>
      <w:tr w:rsidR="002F2AFD" w:rsidRPr="00750384" w14:paraId="73A68EF1" w14:textId="77777777" w:rsidTr="00857B30">
        <w:tc>
          <w:tcPr>
            <w:tcW w:w="2263" w:type="dxa"/>
          </w:tcPr>
          <w:p w14:paraId="440F1EBB" w14:textId="77777777" w:rsidR="002F2AFD" w:rsidRPr="00750384" w:rsidRDefault="002F2AFD" w:rsidP="004C79C1">
            <w:pPr>
              <w:pStyle w:val="Tabletext1"/>
              <w:spacing w:before="0" w:after="120"/>
            </w:pPr>
            <w:r w:rsidRPr="00750384">
              <w:t>Anaesthesia</w:t>
            </w:r>
          </w:p>
        </w:tc>
        <w:tc>
          <w:tcPr>
            <w:tcW w:w="1111" w:type="dxa"/>
          </w:tcPr>
          <w:p w14:paraId="131AD549" w14:textId="77777777" w:rsidR="002F2AFD" w:rsidRPr="00750384" w:rsidRDefault="002F2AFD" w:rsidP="004C79C1">
            <w:pPr>
              <w:pStyle w:val="Tabletext1"/>
              <w:spacing w:before="0" w:after="120"/>
              <w:jc w:val="right"/>
            </w:pPr>
            <w:r w:rsidRPr="00750384">
              <w:t>$138.60</w:t>
            </w:r>
          </w:p>
        </w:tc>
        <w:tc>
          <w:tcPr>
            <w:tcW w:w="1157" w:type="dxa"/>
          </w:tcPr>
          <w:p w14:paraId="077513D6" w14:textId="77777777" w:rsidR="002F2AFD" w:rsidRPr="00750384" w:rsidRDefault="002F2AFD" w:rsidP="004C79C1">
            <w:pPr>
              <w:pStyle w:val="Tabletext1"/>
              <w:spacing w:before="0" w:after="120"/>
              <w:ind w:right="62"/>
              <w:jc w:val="right"/>
            </w:pPr>
            <w:r w:rsidRPr="00750384">
              <w:t>100%</w:t>
            </w:r>
          </w:p>
        </w:tc>
        <w:tc>
          <w:tcPr>
            <w:tcW w:w="1418" w:type="dxa"/>
          </w:tcPr>
          <w:p w14:paraId="3186A2B4" w14:textId="77777777" w:rsidR="002F2AFD" w:rsidRPr="00750384" w:rsidRDefault="002F2AFD" w:rsidP="004C79C1">
            <w:pPr>
              <w:pStyle w:val="Tabletext1"/>
              <w:spacing w:before="0" w:after="120"/>
              <w:jc w:val="right"/>
            </w:pPr>
            <w:r w:rsidRPr="00750384">
              <w:t>$138.60</w:t>
            </w:r>
          </w:p>
        </w:tc>
        <w:tc>
          <w:tcPr>
            <w:tcW w:w="1276" w:type="dxa"/>
          </w:tcPr>
          <w:p w14:paraId="151CA271" w14:textId="77777777" w:rsidR="002F2AFD" w:rsidRPr="00750384" w:rsidRDefault="002F2AFD" w:rsidP="004C79C1">
            <w:pPr>
              <w:pStyle w:val="Tabletext1"/>
              <w:spacing w:before="0" w:after="120"/>
              <w:rPr>
                <w:rFonts w:cs="Calibri"/>
                <w:b/>
              </w:rPr>
            </w:pPr>
            <w:r w:rsidRPr="00750384">
              <w:rPr>
                <w:rFonts w:cs="Calibri"/>
              </w:rPr>
              <w:t>MBS/PHI</w:t>
            </w:r>
          </w:p>
        </w:tc>
        <w:tc>
          <w:tcPr>
            <w:tcW w:w="1557" w:type="dxa"/>
          </w:tcPr>
          <w:p w14:paraId="069094BB" w14:textId="77777777" w:rsidR="002F2AFD" w:rsidRPr="00750384" w:rsidRDefault="002F2AFD" w:rsidP="004C79C1">
            <w:pPr>
              <w:pStyle w:val="Tabletext1"/>
              <w:spacing w:before="0" w:after="120"/>
            </w:pPr>
            <w:r w:rsidRPr="00750384">
              <w:t>MBS 21941</w:t>
            </w:r>
          </w:p>
        </w:tc>
      </w:tr>
      <w:tr w:rsidR="002F2AFD" w:rsidRPr="00750384" w14:paraId="4DFEF852" w14:textId="77777777" w:rsidTr="00857B30">
        <w:tc>
          <w:tcPr>
            <w:tcW w:w="2263" w:type="dxa"/>
          </w:tcPr>
          <w:p w14:paraId="57C6988E" w14:textId="77777777" w:rsidR="002F2AFD" w:rsidRPr="00750384" w:rsidRDefault="002F2AFD" w:rsidP="004C79C1">
            <w:pPr>
              <w:pStyle w:val="Tabletext1"/>
              <w:spacing w:before="0" w:after="120"/>
              <w:rPr>
                <w:b/>
              </w:rPr>
            </w:pPr>
            <w:r w:rsidRPr="00750384">
              <w:rPr>
                <w:b/>
              </w:rPr>
              <w:t>Prostheses components</w:t>
            </w:r>
          </w:p>
        </w:tc>
        <w:tc>
          <w:tcPr>
            <w:tcW w:w="1111" w:type="dxa"/>
          </w:tcPr>
          <w:p w14:paraId="78D753BA" w14:textId="77777777" w:rsidR="002F2AFD" w:rsidRPr="00750384" w:rsidRDefault="002F2AFD" w:rsidP="004C79C1">
            <w:pPr>
              <w:pStyle w:val="Tabletext1"/>
              <w:spacing w:before="0" w:after="120"/>
              <w:jc w:val="right"/>
            </w:pPr>
          </w:p>
        </w:tc>
        <w:tc>
          <w:tcPr>
            <w:tcW w:w="1157" w:type="dxa"/>
          </w:tcPr>
          <w:p w14:paraId="77B40618" w14:textId="77777777" w:rsidR="002F2AFD" w:rsidRPr="00750384" w:rsidRDefault="002F2AFD" w:rsidP="004C79C1">
            <w:pPr>
              <w:pStyle w:val="Tabletext1"/>
              <w:spacing w:before="0" w:after="120"/>
              <w:jc w:val="right"/>
            </w:pPr>
          </w:p>
        </w:tc>
        <w:tc>
          <w:tcPr>
            <w:tcW w:w="1418" w:type="dxa"/>
          </w:tcPr>
          <w:p w14:paraId="505ACCEA" w14:textId="77777777" w:rsidR="002F2AFD" w:rsidRPr="00750384" w:rsidRDefault="002F2AFD" w:rsidP="004C79C1">
            <w:pPr>
              <w:pStyle w:val="Tabletext1"/>
              <w:spacing w:before="0" w:after="120"/>
              <w:jc w:val="right"/>
            </w:pPr>
          </w:p>
        </w:tc>
        <w:tc>
          <w:tcPr>
            <w:tcW w:w="1276" w:type="dxa"/>
          </w:tcPr>
          <w:p w14:paraId="46741323" w14:textId="77777777" w:rsidR="002F2AFD" w:rsidRPr="00750384" w:rsidRDefault="002F2AFD" w:rsidP="004C79C1">
            <w:pPr>
              <w:pStyle w:val="Tabletext1"/>
              <w:spacing w:before="0" w:after="120"/>
            </w:pPr>
          </w:p>
        </w:tc>
        <w:tc>
          <w:tcPr>
            <w:tcW w:w="1557" w:type="dxa"/>
          </w:tcPr>
          <w:p w14:paraId="6E0EEF4B" w14:textId="77777777" w:rsidR="002F2AFD" w:rsidRPr="00750384" w:rsidRDefault="002F2AFD" w:rsidP="004C79C1">
            <w:pPr>
              <w:pStyle w:val="Tabletext1"/>
              <w:spacing w:before="0" w:after="120"/>
            </w:pPr>
          </w:p>
        </w:tc>
      </w:tr>
      <w:tr w:rsidR="002F2AFD" w:rsidRPr="00750384" w14:paraId="2BCD42C2" w14:textId="77777777" w:rsidTr="00857B30">
        <w:tc>
          <w:tcPr>
            <w:tcW w:w="2263" w:type="dxa"/>
          </w:tcPr>
          <w:p w14:paraId="4989472B" w14:textId="77777777" w:rsidR="002F2AFD" w:rsidRPr="00750384" w:rsidRDefault="002F2AFD" w:rsidP="004C79C1">
            <w:pPr>
              <w:pStyle w:val="Tabletext1"/>
              <w:spacing w:before="0" w:after="120"/>
            </w:pPr>
            <w:r w:rsidRPr="00750384">
              <w:t>LV lead</w:t>
            </w:r>
          </w:p>
        </w:tc>
        <w:tc>
          <w:tcPr>
            <w:tcW w:w="1111" w:type="dxa"/>
          </w:tcPr>
          <w:p w14:paraId="327C0D3F" w14:textId="2AF2AB6F" w:rsidR="002F2AFD" w:rsidRPr="00750384" w:rsidRDefault="002F2AFD" w:rsidP="004C79C1">
            <w:pPr>
              <w:pStyle w:val="Tabletext1"/>
              <w:spacing w:before="0" w:after="120"/>
              <w:jc w:val="right"/>
            </w:pPr>
            <w:r w:rsidRPr="00750384">
              <w:t>$6,240</w:t>
            </w:r>
            <w:r w:rsidR="00DF5D8D">
              <w:t>.00</w:t>
            </w:r>
          </w:p>
        </w:tc>
        <w:tc>
          <w:tcPr>
            <w:tcW w:w="1157" w:type="dxa"/>
          </w:tcPr>
          <w:p w14:paraId="5C14EE72" w14:textId="77777777" w:rsidR="002F2AFD" w:rsidRPr="00750384" w:rsidRDefault="002F2AFD" w:rsidP="004C79C1">
            <w:pPr>
              <w:pStyle w:val="Tabletext1"/>
              <w:spacing w:before="0" w:after="120"/>
            </w:pPr>
            <w:r>
              <w:t>NA</w:t>
            </w:r>
          </w:p>
        </w:tc>
        <w:tc>
          <w:tcPr>
            <w:tcW w:w="1418" w:type="dxa"/>
          </w:tcPr>
          <w:p w14:paraId="2A0C6CF9" w14:textId="51DD102F" w:rsidR="002F2AFD" w:rsidRPr="00750384" w:rsidRDefault="002F2AFD" w:rsidP="004C79C1">
            <w:pPr>
              <w:pStyle w:val="Tabletext1"/>
              <w:spacing w:before="0" w:after="120"/>
              <w:jc w:val="right"/>
            </w:pPr>
            <w:r w:rsidRPr="00750384">
              <w:t>$6,240</w:t>
            </w:r>
            <w:r w:rsidR="00DF5D8D">
              <w:t>.00</w:t>
            </w:r>
          </w:p>
        </w:tc>
        <w:tc>
          <w:tcPr>
            <w:tcW w:w="1276" w:type="dxa"/>
          </w:tcPr>
          <w:p w14:paraId="39BD52F7" w14:textId="77777777" w:rsidR="002F2AFD" w:rsidRPr="00750384" w:rsidRDefault="002F2AFD" w:rsidP="004C79C1">
            <w:pPr>
              <w:pStyle w:val="Tabletext1"/>
              <w:spacing w:before="0" w:after="120"/>
            </w:pPr>
            <w:r>
              <w:t>PHI</w:t>
            </w:r>
          </w:p>
        </w:tc>
        <w:tc>
          <w:tcPr>
            <w:tcW w:w="1557" w:type="dxa"/>
          </w:tcPr>
          <w:p w14:paraId="2F24A4A6" w14:textId="77777777" w:rsidR="002F2AFD" w:rsidRPr="00750384" w:rsidRDefault="002F2AFD" w:rsidP="004C79C1">
            <w:pPr>
              <w:pStyle w:val="Tabletext1"/>
              <w:spacing w:before="0" w:after="120"/>
            </w:pPr>
            <w:r>
              <w:t>PL product group 8.08.11</w:t>
            </w:r>
          </w:p>
        </w:tc>
      </w:tr>
      <w:tr w:rsidR="002F2AFD" w:rsidRPr="00750384" w14:paraId="41B72C80" w14:textId="77777777" w:rsidTr="00857B30">
        <w:tc>
          <w:tcPr>
            <w:tcW w:w="2263" w:type="dxa"/>
          </w:tcPr>
          <w:p w14:paraId="7C86C6C4" w14:textId="77777777" w:rsidR="002F2AFD" w:rsidRPr="00750384" w:rsidRDefault="002F2AFD" w:rsidP="004C79C1">
            <w:pPr>
              <w:pStyle w:val="Tabletext1"/>
              <w:spacing w:before="0" w:after="120"/>
            </w:pPr>
            <w:r w:rsidRPr="00750384">
              <w:t>Defibrillation lead</w:t>
            </w:r>
          </w:p>
        </w:tc>
        <w:tc>
          <w:tcPr>
            <w:tcW w:w="1111" w:type="dxa"/>
          </w:tcPr>
          <w:p w14:paraId="5984598B" w14:textId="1DDD1F62" w:rsidR="002F2AFD" w:rsidRPr="00750384" w:rsidRDefault="002F2AFD" w:rsidP="004C79C1">
            <w:pPr>
              <w:pStyle w:val="Tabletext1"/>
              <w:spacing w:before="0" w:after="120"/>
              <w:jc w:val="right"/>
            </w:pPr>
            <w:r w:rsidRPr="00750384">
              <w:t>$9,000</w:t>
            </w:r>
            <w:r w:rsidR="00DF5D8D">
              <w:t>.00</w:t>
            </w:r>
          </w:p>
        </w:tc>
        <w:tc>
          <w:tcPr>
            <w:tcW w:w="1157" w:type="dxa"/>
          </w:tcPr>
          <w:p w14:paraId="456C0B94" w14:textId="77777777" w:rsidR="002F2AFD" w:rsidRPr="00750384" w:rsidRDefault="002F2AFD" w:rsidP="004C79C1">
            <w:pPr>
              <w:pStyle w:val="Tabletext1"/>
              <w:spacing w:before="0" w:after="120"/>
            </w:pPr>
            <w:r w:rsidRPr="00750384">
              <w:t>NA</w:t>
            </w:r>
          </w:p>
        </w:tc>
        <w:tc>
          <w:tcPr>
            <w:tcW w:w="1418" w:type="dxa"/>
          </w:tcPr>
          <w:p w14:paraId="5D04FDB0" w14:textId="28C2C34D" w:rsidR="002F2AFD" w:rsidRPr="00750384" w:rsidRDefault="002F2AFD" w:rsidP="004C79C1">
            <w:pPr>
              <w:pStyle w:val="Tabletext1"/>
              <w:spacing w:before="0" w:after="120"/>
              <w:jc w:val="right"/>
            </w:pPr>
            <w:r w:rsidRPr="00750384">
              <w:t>$9,000</w:t>
            </w:r>
            <w:r w:rsidR="00DF5D8D">
              <w:t>.00</w:t>
            </w:r>
          </w:p>
        </w:tc>
        <w:tc>
          <w:tcPr>
            <w:tcW w:w="1276" w:type="dxa"/>
          </w:tcPr>
          <w:p w14:paraId="2385295F" w14:textId="77777777" w:rsidR="002F2AFD" w:rsidRPr="00750384" w:rsidRDefault="002F2AFD" w:rsidP="004C79C1">
            <w:pPr>
              <w:pStyle w:val="Tabletext1"/>
              <w:spacing w:before="0" w:after="120"/>
            </w:pPr>
            <w:r w:rsidRPr="00750384">
              <w:t>PHI</w:t>
            </w:r>
          </w:p>
        </w:tc>
        <w:tc>
          <w:tcPr>
            <w:tcW w:w="1557" w:type="dxa"/>
          </w:tcPr>
          <w:p w14:paraId="4690F296" w14:textId="77777777" w:rsidR="002F2AFD" w:rsidRPr="00750384" w:rsidRDefault="002F2AFD" w:rsidP="004C79C1">
            <w:pPr>
              <w:pStyle w:val="Tabletext1"/>
              <w:spacing w:before="0" w:after="120"/>
            </w:pPr>
            <w:r w:rsidRPr="00750384">
              <w:t>PL product group 8.07</w:t>
            </w:r>
          </w:p>
        </w:tc>
      </w:tr>
      <w:tr w:rsidR="002F2AFD" w:rsidRPr="00750384" w14:paraId="4921C1AE" w14:textId="77777777" w:rsidTr="00857B30">
        <w:tc>
          <w:tcPr>
            <w:tcW w:w="2263" w:type="dxa"/>
          </w:tcPr>
          <w:p w14:paraId="2B32F355" w14:textId="77777777" w:rsidR="002F2AFD" w:rsidRPr="00750384" w:rsidRDefault="002F2AFD" w:rsidP="004C79C1">
            <w:pPr>
              <w:pStyle w:val="Tabletext1"/>
              <w:spacing w:before="0" w:after="120"/>
            </w:pPr>
            <w:r w:rsidRPr="00750384">
              <w:t>Pacemaker lead</w:t>
            </w:r>
          </w:p>
        </w:tc>
        <w:tc>
          <w:tcPr>
            <w:tcW w:w="1111" w:type="dxa"/>
          </w:tcPr>
          <w:p w14:paraId="5CADCCA2" w14:textId="4709A39B" w:rsidR="002F2AFD" w:rsidRPr="00750384" w:rsidRDefault="002F2AFD" w:rsidP="004C79C1">
            <w:pPr>
              <w:pStyle w:val="Tabletext1"/>
              <w:spacing w:before="0" w:after="120"/>
              <w:jc w:val="right"/>
            </w:pPr>
            <w:r w:rsidRPr="00750384">
              <w:t>$1,294</w:t>
            </w:r>
            <w:r w:rsidR="00DF5D8D">
              <w:t>.00</w:t>
            </w:r>
          </w:p>
        </w:tc>
        <w:tc>
          <w:tcPr>
            <w:tcW w:w="1157" w:type="dxa"/>
          </w:tcPr>
          <w:p w14:paraId="12904B01" w14:textId="77777777" w:rsidR="002F2AFD" w:rsidRPr="00750384" w:rsidRDefault="002F2AFD" w:rsidP="004C79C1">
            <w:pPr>
              <w:pStyle w:val="Tabletext1"/>
              <w:spacing w:before="0" w:after="120"/>
            </w:pPr>
            <w:r w:rsidRPr="00750384">
              <w:t>NA</w:t>
            </w:r>
          </w:p>
        </w:tc>
        <w:tc>
          <w:tcPr>
            <w:tcW w:w="1418" w:type="dxa"/>
          </w:tcPr>
          <w:p w14:paraId="449A2B45" w14:textId="52CB2DD9" w:rsidR="002F2AFD" w:rsidRPr="00750384" w:rsidRDefault="002F2AFD" w:rsidP="004C79C1">
            <w:pPr>
              <w:pStyle w:val="Tabletext1"/>
              <w:spacing w:before="0" w:after="120"/>
              <w:jc w:val="right"/>
            </w:pPr>
            <w:r w:rsidRPr="00750384">
              <w:t>$1,294</w:t>
            </w:r>
            <w:r w:rsidR="00DF5D8D">
              <w:t>.00</w:t>
            </w:r>
          </w:p>
        </w:tc>
        <w:tc>
          <w:tcPr>
            <w:tcW w:w="1276" w:type="dxa"/>
          </w:tcPr>
          <w:p w14:paraId="697AE1F6" w14:textId="77777777" w:rsidR="002F2AFD" w:rsidRPr="00750384" w:rsidRDefault="002F2AFD" w:rsidP="004C79C1">
            <w:pPr>
              <w:pStyle w:val="Tabletext1"/>
              <w:spacing w:before="0" w:after="120"/>
            </w:pPr>
            <w:r w:rsidRPr="00750384">
              <w:t>PHI</w:t>
            </w:r>
          </w:p>
        </w:tc>
        <w:tc>
          <w:tcPr>
            <w:tcW w:w="1557" w:type="dxa"/>
          </w:tcPr>
          <w:p w14:paraId="2A3B89CA" w14:textId="4229E590" w:rsidR="002F2AFD" w:rsidRPr="00750384" w:rsidRDefault="002F2AFD" w:rsidP="004C79C1">
            <w:pPr>
              <w:pStyle w:val="Tabletext1"/>
              <w:spacing w:before="0" w:after="120"/>
            </w:pPr>
            <w:r w:rsidRPr="00750384">
              <w:t>PL product group 8.08</w:t>
            </w:r>
            <w:r>
              <w:t>.08</w:t>
            </w:r>
            <w:r w:rsidR="00E05668">
              <w:t>–</w:t>
            </w:r>
            <w:r w:rsidRPr="00750384">
              <w:t>8.09</w:t>
            </w:r>
          </w:p>
        </w:tc>
      </w:tr>
      <w:tr w:rsidR="002F2AFD" w:rsidRPr="00750384" w14:paraId="616B1787" w14:textId="77777777" w:rsidTr="00857B30">
        <w:tc>
          <w:tcPr>
            <w:tcW w:w="2263" w:type="dxa"/>
          </w:tcPr>
          <w:p w14:paraId="2F100C00" w14:textId="77777777" w:rsidR="002F2AFD" w:rsidRPr="00750384" w:rsidRDefault="002F2AFD" w:rsidP="004C79C1">
            <w:pPr>
              <w:pStyle w:val="Tabletext1"/>
              <w:spacing w:before="0" w:after="120"/>
            </w:pPr>
            <w:r w:rsidRPr="00750384">
              <w:t>CRT-D generator</w:t>
            </w:r>
          </w:p>
        </w:tc>
        <w:tc>
          <w:tcPr>
            <w:tcW w:w="1111" w:type="dxa"/>
          </w:tcPr>
          <w:p w14:paraId="15A92309" w14:textId="57D64334" w:rsidR="002F2AFD" w:rsidRPr="00750384" w:rsidRDefault="002F2AFD" w:rsidP="004C79C1">
            <w:pPr>
              <w:pStyle w:val="Tabletext1"/>
              <w:spacing w:before="0" w:after="120"/>
              <w:jc w:val="right"/>
            </w:pPr>
            <w:r w:rsidRPr="00750384">
              <w:t>$51,786</w:t>
            </w:r>
            <w:r w:rsidR="00DF5D8D">
              <w:t>.00</w:t>
            </w:r>
          </w:p>
        </w:tc>
        <w:tc>
          <w:tcPr>
            <w:tcW w:w="1157" w:type="dxa"/>
          </w:tcPr>
          <w:p w14:paraId="14B1CB3E" w14:textId="77777777" w:rsidR="002F2AFD" w:rsidRPr="00750384" w:rsidRDefault="002F2AFD" w:rsidP="004C79C1">
            <w:pPr>
              <w:pStyle w:val="Tabletext1"/>
              <w:spacing w:before="0" w:after="120"/>
            </w:pPr>
            <w:r w:rsidRPr="00750384">
              <w:t>NA</w:t>
            </w:r>
          </w:p>
        </w:tc>
        <w:tc>
          <w:tcPr>
            <w:tcW w:w="1418" w:type="dxa"/>
          </w:tcPr>
          <w:p w14:paraId="03CEBB21" w14:textId="57AAC59B" w:rsidR="002F2AFD" w:rsidRPr="00750384" w:rsidRDefault="002F2AFD" w:rsidP="004C79C1">
            <w:pPr>
              <w:pStyle w:val="Tabletext1"/>
              <w:spacing w:before="0" w:after="120"/>
              <w:jc w:val="right"/>
            </w:pPr>
            <w:r w:rsidRPr="00750384">
              <w:t>$45,45</w:t>
            </w:r>
            <w:r>
              <w:t>8</w:t>
            </w:r>
            <w:r w:rsidR="00DF5D8D">
              <w:t>.00</w:t>
            </w:r>
          </w:p>
        </w:tc>
        <w:tc>
          <w:tcPr>
            <w:tcW w:w="1276" w:type="dxa"/>
          </w:tcPr>
          <w:p w14:paraId="2CED9DE8" w14:textId="77777777" w:rsidR="002F2AFD" w:rsidRPr="00750384" w:rsidRDefault="002F2AFD" w:rsidP="004C79C1">
            <w:pPr>
              <w:pStyle w:val="Tabletext1"/>
              <w:spacing w:before="0" w:after="120"/>
            </w:pPr>
            <w:r w:rsidRPr="00750384">
              <w:t>PHI</w:t>
            </w:r>
          </w:p>
        </w:tc>
        <w:tc>
          <w:tcPr>
            <w:tcW w:w="1557" w:type="dxa"/>
          </w:tcPr>
          <w:p w14:paraId="32CF9A9C" w14:textId="77777777" w:rsidR="002F2AFD" w:rsidRPr="00750384" w:rsidRDefault="002F2AFD" w:rsidP="004C79C1">
            <w:pPr>
              <w:pStyle w:val="Tabletext1"/>
              <w:spacing w:before="0" w:after="120"/>
            </w:pPr>
            <w:r w:rsidRPr="00750384">
              <w:t>PL product group 8.03</w:t>
            </w:r>
          </w:p>
        </w:tc>
      </w:tr>
      <w:tr w:rsidR="002F2AFD" w:rsidRPr="00750384" w14:paraId="0DD21EB0" w14:textId="77777777" w:rsidTr="00857B30">
        <w:tc>
          <w:tcPr>
            <w:tcW w:w="2263" w:type="dxa"/>
          </w:tcPr>
          <w:p w14:paraId="64729379" w14:textId="77777777" w:rsidR="002F2AFD" w:rsidRPr="00750384" w:rsidRDefault="002F2AFD" w:rsidP="004C79C1">
            <w:pPr>
              <w:pStyle w:val="Tabletext1"/>
              <w:spacing w:before="0" w:after="120"/>
              <w:rPr>
                <w:b/>
              </w:rPr>
            </w:pPr>
            <w:r w:rsidRPr="00750384">
              <w:rPr>
                <w:b/>
              </w:rPr>
              <w:t>Hospital services</w:t>
            </w:r>
          </w:p>
        </w:tc>
        <w:tc>
          <w:tcPr>
            <w:tcW w:w="1111" w:type="dxa"/>
          </w:tcPr>
          <w:p w14:paraId="1A906559" w14:textId="77777777" w:rsidR="002F2AFD" w:rsidRPr="00750384" w:rsidRDefault="002F2AFD" w:rsidP="004C79C1">
            <w:pPr>
              <w:pStyle w:val="Tabletext1"/>
              <w:spacing w:before="0" w:after="120"/>
              <w:jc w:val="right"/>
            </w:pPr>
          </w:p>
        </w:tc>
        <w:tc>
          <w:tcPr>
            <w:tcW w:w="1157" w:type="dxa"/>
          </w:tcPr>
          <w:p w14:paraId="308CB963" w14:textId="77777777" w:rsidR="002F2AFD" w:rsidRPr="00750384" w:rsidRDefault="002F2AFD" w:rsidP="004C79C1">
            <w:pPr>
              <w:pStyle w:val="Tabletext1"/>
              <w:spacing w:before="0" w:after="120"/>
              <w:jc w:val="right"/>
            </w:pPr>
          </w:p>
        </w:tc>
        <w:tc>
          <w:tcPr>
            <w:tcW w:w="1418" w:type="dxa"/>
          </w:tcPr>
          <w:p w14:paraId="21B0CB55" w14:textId="77777777" w:rsidR="002F2AFD" w:rsidRPr="00750384" w:rsidRDefault="002F2AFD" w:rsidP="004C79C1">
            <w:pPr>
              <w:pStyle w:val="Tabletext1"/>
              <w:spacing w:before="0" w:after="120"/>
              <w:jc w:val="right"/>
            </w:pPr>
          </w:p>
        </w:tc>
        <w:tc>
          <w:tcPr>
            <w:tcW w:w="1276" w:type="dxa"/>
          </w:tcPr>
          <w:p w14:paraId="1675307B" w14:textId="77777777" w:rsidR="002F2AFD" w:rsidRPr="00750384" w:rsidRDefault="002F2AFD" w:rsidP="004C79C1">
            <w:pPr>
              <w:pStyle w:val="Tabletext1"/>
              <w:spacing w:before="0" w:after="120"/>
            </w:pPr>
          </w:p>
        </w:tc>
        <w:tc>
          <w:tcPr>
            <w:tcW w:w="1557" w:type="dxa"/>
          </w:tcPr>
          <w:p w14:paraId="28D1A5CB" w14:textId="77777777" w:rsidR="002F2AFD" w:rsidRPr="00750384" w:rsidRDefault="002F2AFD" w:rsidP="004C79C1">
            <w:pPr>
              <w:pStyle w:val="Tabletext1"/>
              <w:spacing w:before="0" w:after="120"/>
            </w:pPr>
          </w:p>
        </w:tc>
      </w:tr>
      <w:tr w:rsidR="002F2AFD" w:rsidRPr="00750384" w14:paraId="237E773E" w14:textId="77777777" w:rsidTr="00857B30">
        <w:tc>
          <w:tcPr>
            <w:tcW w:w="2263" w:type="dxa"/>
          </w:tcPr>
          <w:p w14:paraId="50EFF36B" w14:textId="77777777" w:rsidR="002F2AFD" w:rsidRPr="00750384" w:rsidRDefault="002F2AFD" w:rsidP="004C79C1">
            <w:pPr>
              <w:pStyle w:val="Tabletext1"/>
              <w:spacing w:before="0" w:after="120"/>
            </w:pPr>
            <w:r w:rsidRPr="00750384">
              <w:t>Hospitalisation of CRT-D implantation</w:t>
            </w:r>
          </w:p>
        </w:tc>
        <w:tc>
          <w:tcPr>
            <w:tcW w:w="1111" w:type="dxa"/>
            <w:tcBorders>
              <w:bottom w:val="single" w:sz="4" w:space="0" w:color="auto"/>
            </w:tcBorders>
          </w:tcPr>
          <w:p w14:paraId="205A3387" w14:textId="4D6BBB1A" w:rsidR="002F2AFD" w:rsidRPr="00750384" w:rsidRDefault="002F2AFD" w:rsidP="004C79C1">
            <w:pPr>
              <w:pStyle w:val="Tabletext1"/>
              <w:spacing w:before="0" w:after="120"/>
              <w:jc w:val="right"/>
            </w:pPr>
            <w:r w:rsidRPr="00750384">
              <w:t>$6,187</w:t>
            </w:r>
            <w:r w:rsidR="00DF5D8D">
              <w:t>.00</w:t>
            </w:r>
          </w:p>
        </w:tc>
        <w:tc>
          <w:tcPr>
            <w:tcW w:w="1157" w:type="dxa"/>
            <w:tcBorders>
              <w:bottom w:val="single" w:sz="4" w:space="0" w:color="auto"/>
            </w:tcBorders>
          </w:tcPr>
          <w:p w14:paraId="3F778BD9" w14:textId="77777777" w:rsidR="002F2AFD" w:rsidRPr="00750384" w:rsidRDefault="002F2AFD" w:rsidP="004C79C1">
            <w:pPr>
              <w:pStyle w:val="Tabletext1"/>
              <w:spacing w:before="0" w:after="120"/>
              <w:jc w:val="right"/>
            </w:pPr>
            <w:r w:rsidRPr="00750384">
              <w:t>NA</w:t>
            </w:r>
          </w:p>
        </w:tc>
        <w:tc>
          <w:tcPr>
            <w:tcW w:w="1418" w:type="dxa"/>
          </w:tcPr>
          <w:p w14:paraId="683CDA72" w14:textId="38F5AE96" w:rsidR="002F2AFD" w:rsidRPr="00750384" w:rsidRDefault="002F2AFD" w:rsidP="004C79C1">
            <w:pPr>
              <w:pStyle w:val="Tabletext1"/>
              <w:spacing w:before="0" w:after="120"/>
              <w:jc w:val="right"/>
            </w:pPr>
            <w:r w:rsidRPr="00750384">
              <w:t>$6,187</w:t>
            </w:r>
            <w:r w:rsidR="00DF5D8D">
              <w:t>.00</w:t>
            </w:r>
          </w:p>
        </w:tc>
        <w:tc>
          <w:tcPr>
            <w:tcW w:w="1276" w:type="dxa"/>
          </w:tcPr>
          <w:p w14:paraId="019546B9" w14:textId="77777777" w:rsidR="002F2AFD" w:rsidRPr="00750384" w:rsidRDefault="002F2AFD" w:rsidP="004C79C1">
            <w:pPr>
              <w:pStyle w:val="Tabletext1"/>
              <w:spacing w:before="0" w:after="120"/>
            </w:pPr>
            <w:r w:rsidRPr="00750384">
              <w:t>Private hospitals</w:t>
            </w:r>
          </w:p>
        </w:tc>
        <w:tc>
          <w:tcPr>
            <w:tcW w:w="1557" w:type="dxa"/>
          </w:tcPr>
          <w:p w14:paraId="56C6CB9F" w14:textId="48521097" w:rsidR="002F2AFD" w:rsidRPr="00750384" w:rsidRDefault="005F66C3" w:rsidP="004C79C1">
            <w:pPr>
              <w:pStyle w:val="Tabletext1"/>
              <w:spacing w:before="0" w:after="120"/>
            </w:pPr>
            <w:r>
              <w:fldChar w:fldCharType="begin"/>
            </w:r>
            <w:r>
              <w:instrText xml:space="preserve"> REF _Ref448403666 \h </w:instrText>
            </w:r>
            <w:r>
              <w:fldChar w:fldCharType="separate"/>
            </w:r>
            <w:r w:rsidRPr="0034255D">
              <w:t xml:space="preserve">Table </w:t>
            </w:r>
            <w:r>
              <w:rPr>
                <w:noProof/>
              </w:rPr>
              <w:t>106</w:t>
            </w:r>
            <w:r>
              <w:fldChar w:fldCharType="end"/>
            </w:r>
          </w:p>
        </w:tc>
      </w:tr>
      <w:tr w:rsidR="002F2AFD" w:rsidRPr="00292502" w14:paraId="6FEE3E9F" w14:textId="77777777" w:rsidTr="005F66C3">
        <w:tc>
          <w:tcPr>
            <w:tcW w:w="2263" w:type="dxa"/>
            <w:tcBorders>
              <w:right w:val="nil"/>
            </w:tcBorders>
          </w:tcPr>
          <w:p w14:paraId="45B15AB8" w14:textId="77777777" w:rsidR="002F2AFD" w:rsidRPr="00292502" w:rsidRDefault="002F2AFD" w:rsidP="004C79C1">
            <w:pPr>
              <w:pStyle w:val="Tabletext1"/>
              <w:spacing w:before="0" w:after="120"/>
              <w:rPr>
                <w:b/>
              </w:rPr>
            </w:pPr>
            <w:r w:rsidRPr="00292502">
              <w:rPr>
                <w:b/>
              </w:rPr>
              <w:t>Total cost per CRT-D implant</w:t>
            </w:r>
          </w:p>
        </w:tc>
        <w:tc>
          <w:tcPr>
            <w:tcW w:w="1111" w:type="dxa"/>
            <w:tcBorders>
              <w:left w:val="nil"/>
              <w:right w:val="nil"/>
            </w:tcBorders>
          </w:tcPr>
          <w:p w14:paraId="3FF20C7A" w14:textId="77777777" w:rsidR="002F2AFD" w:rsidRPr="00292502" w:rsidRDefault="002F2AFD" w:rsidP="004C79C1">
            <w:pPr>
              <w:pStyle w:val="Tabletext1"/>
              <w:spacing w:before="0" w:after="120"/>
              <w:jc w:val="right"/>
            </w:pPr>
          </w:p>
        </w:tc>
        <w:tc>
          <w:tcPr>
            <w:tcW w:w="1157" w:type="dxa"/>
            <w:tcBorders>
              <w:left w:val="nil"/>
            </w:tcBorders>
          </w:tcPr>
          <w:p w14:paraId="43D570AC" w14:textId="77777777" w:rsidR="002F2AFD" w:rsidRPr="00292502" w:rsidRDefault="002F2AFD" w:rsidP="004C79C1">
            <w:pPr>
              <w:pStyle w:val="Tabletext1"/>
              <w:spacing w:before="0" w:after="120"/>
              <w:jc w:val="right"/>
            </w:pPr>
          </w:p>
        </w:tc>
        <w:tc>
          <w:tcPr>
            <w:tcW w:w="1418" w:type="dxa"/>
          </w:tcPr>
          <w:p w14:paraId="6E5053D8" w14:textId="443777AD" w:rsidR="002F2AFD" w:rsidRPr="0086607E" w:rsidRDefault="002F2AFD" w:rsidP="004C79C1">
            <w:pPr>
              <w:pStyle w:val="Tabletext1"/>
              <w:spacing w:before="0" w:after="120"/>
              <w:jc w:val="right"/>
              <w:rPr>
                <w:b/>
              </w:rPr>
            </w:pPr>
            <w:r w:rsidRPr="0086607E">
              <w:rPr>
                <w:b/>
              </w:rPr>
              <w:t>$70,292</w:t>
            </w:r>
            <w:r w:rsidR="00DF5D8D" w:rsidRPr="0086607E">
              <w:rPr>
                <w:b/>
              </w:rPr>
              <w:t>.00</w:t>
            </w:r>
          </w:p>
        </w:tc>
        <w:tc>
          <w:tcPr>
            <w:tcW w:w="1276" w:type="dxa"/>
          </w:tcPr>
          <w:p w14:paraId="1AAD6BC0" w14:textId="77777777" w:rsidR="002F2AFD" w:rsidRPr="00292502" w:rsidRDefault="002F2AFD" w:rsidP="004C79C1">
            <w:pPr>
              <w:pStyle w:val="Tabletext1"/>
              <w:spacing w:before="0" w:after="120"/>
            </w:pPr>
          </w:p>
        </w:tc>
        <w:tc>
          <w:tcPr>
            <w:tcW w:w="1557" w:type="dxa"/>
          </w:tcPr>
          <w:p w14:paraId="0A0B55FB" w14:textId="77777777" w:rsidR="002F2AFD" w:rsidRPr="00292502" w:rsidRDefault="002F2AFD" w:rsidP="004C79C1">
            <w:pPr>
              <w:pStyle w:val="Tabletext1"/>
              <w:spacing w:before="0" w:after="120"/>
              <w:rPr>
                <w:highlight w:val="yellow"/>
              </w:rPr>
            </w:pPr>
          </w:p>
        </w:tc>
      </w:tr>
    </w:tbl>
    <w:p w14:paraId="26E6775A" w14:textId="6F877D39" w:rsidR="00BB1A20" w:rsidRDefault="00BB1A20" w:rsidP="004C79C1">
      <w:pPr>
        <w:pStyle w:val="Tablenotes0"/>
        <w:spacing w:before="0" w:after="120"/>
      </w:pPr>
      <w:r>
        <w:t xml:space="preserve">Source: Medicare Benefits Schedule (March 2016), MSAC </w:t>
      </w:r>
      <w:r w:rsidR="00340AF6">
        <w:t>Application</w:t>
      </w:r>
      <w:r w:rsidR="00340AF6" w:rsidRPr="00503057">
        <w:t xml:space="preserve"> </w:t>
      </w:r>
      <w:r>
        <w:t>no. 1223, Private Sector National Cost Weights Cost Collection Report for AR</w:t>
      </w:r>
      <w:r>
        <w:rPr>
          <w:rFonts w:ascii="Cambria Math" w:hAnsi="Cambria Math" w:cs="Cambria Math"/>
        </w:rPr>
        <w:t>‐</w:t>
      </w:r>
      <w:r>
        <w:t>DRG v 5.1, Round 13 (2008</w:t>
      </w:r>
      <w:r>
        <w:rPr>
          <w:rFonts w:ascii="Cambria Math" w:hAnsi="Cambria Math" w:cs="Cambria Math"/>
        </w:rPr>
        <w:t>–</w:t>
      </w:r>
      <w:r>
        <w:t>09)</w:t>
      </w:r>
    </w:p>
    <w:p w14:paraId="1FDB3AF9" w14:textId="3BDBED51" w:rsidR="002A4E02" w:rsidRDefault="002A4E02" w:rsidP="004C79C1">
      <w:pPr>
        <w:pStyle w:val="Tablenotes0"/>
        <w:spacing w:before="0" w:after="120"/>
      </w:pPr>
      <w:proofErr w:type="gramStart"/>
      <w:r>
        <w:rPr>
          <w:vertAlign w:val="superscript"/>
        </w:rPr>
        <w:t>a</w:t>
      </w:r>
      <w:proofErr w:type="gramEnd"/>
      <w:r>
        <w:t xml:space="preserve"> The percentage of fee claimable is determined in accordance with the MBS Multiple Services Rule</w:t>
      </w:r>
    </w:p>
    <w:p w14:paraId="149B9DAF" w14:textId="03B13666" w:rsidR="002A4E02" w:rsidRPr="002A4E02" w:rsidRDefault="002A4E02" w:rsidP="004C79C1">
      <w:pPr>
        <w:pStyle w:val="Tablenotes0"/>
        <w:spacing w:before="0" w:after="120"/>
        <w:contextualSpacing/>
      </w:pPr>
      <w:r w:rsidRPr="005F66C3">
        <w:rPr>
          <w:rFonts w:cs="Calibri"/>
        </w:rPr>
        <w:t>CRT</w:t>
      </w:r>
      <w:r w:rsidRPr="005F66C3">
        <w:rPr>
          <w:rFonts w:ascii="Adobe Caslon Pro" w:hAnsi="Adobe Caslon Pro" w:cs="Adobe Caslon Pro"/>
        </w:rPr>
        <w:t>‐</w:t>
      </w:r>
      <w:r w:rsidRPr="005F66C3">
        <w:rPr>
          <w:rFonts w:cs="Calibri"/>
        </w:rPr>
        <w:t>D = cardiac resynchronisation therapy device capable of defibrillation;</w:t>
      </w:r>
      <w:r w:rsidRPr="002A4E02">
        <w:t xml:space="preserve"> </w:t>
      </w:r>
      <w:r w:rsidRPr="005F66C3">
        <w:rPr>
          <w:rFonts w:cs="Calibri"/>
        </w:rPr>
        <w:t>LV = left ventricular;</w:t>
      </w:r>
      <w:r w:rsidRPr="002A4E02">
        <w:t xml:space="preserve"> MBS = Medicare Benefits Schedule; </w:t>
      </w:r>
      <w:r w:rsidRPr="005F66C3">
        <w:rPr>
          <w:rFonts w:cs="Calibri"/>
        </w:rPr>
        <w:t>NA = not applicable;</w:t>
      </w:r>
      <w:r w:rsidRPr="002A4E02">
        <w:t xml:space="preserve"> PHI = private health insurer</w:t>
      </w:r>
    </w:p>
    <w:p w14:paraId="03A35139" w14:textId="1E64FFB9" w:rsidR="002F2AFD" w:rsidRDefault="002F2AFD" w:rsidP="004C79C1">
      <w:pPr>
        <w:pStyle w:val="Heading2"/>
        <w:spacing w:before="0" w:after="120" w:line="240" w:lineRule="auto"/>
      </w:pPr>
      <w:bookmarkStart w:id="1016" w:name="_Toc449428977"/>
      <w:bookmarkStart w:id="1017" w:name="_Toc450051826"/>
      <w:bookmarkStart w:id="1018" w:name="_Toc451501443"/>
      <w:r w:rsidRPr="00750384">
        <w:lastRenderedPageBreak/>
        <w:t xml:space="preserve">Cost </w:t>
      </w:r>
      <w:r>
        <w:t>per</w:t>
      </w:r>
      <w:r w:rsidRPr="00750384">
        <w:t xml:space="preserve"> </w:t>
      </w:r>
      <w:r>
        <w:t>Pacemaker</w:t>
      </w:r>
      <w:r w:rsidRPr="00750384">
        <w:t xml:space="preserve"> </w:t>
      </w:r>
      <w:r w:rsidR="00184C48">
        <w:t>I</w:t>
      </w:r>
      <w:r w:rsidRPr="00750384">
        <w:t>mplantation</w:t>
      </w:r>
      <w:r>
        <w:t xml:space="preserve"> </w:t>
      </w:r>
      <w:r w:rsidR="00184C48">
        <w:t>P</w:t>
      </w:r>
      <w:r>
        <w:t>rocedure</w:t>
      </w:r>
      <w:bookmarkEnd w:id="1016"/>
      <w:bookmarkEnd w:id="1017"/>
      <w:bookmarkEnd w:id="1018"/>
    </w:p>
    <w:p w14:paraId="2B6FB79F" w14:textId="13E5FFB6" w:rsidR="002F2AFD" w:rsidRDefault="002F2AFD" w:rsidP="004C79C1">
      <w:pPr>
        <w:pStyle w:val="Caption"/>
        <w:keepNext/>
      </w:pPr>
      <w:bookmarkStart w:id="1019" w:name="_Toc450052122"/>
      <w:bookmarkStart w:id="1020" w:name="_Toc324410313"/>
      <w:bookmarkStart w:id="1021" w:name="_Toc451435436"/>
      <w:r>
        <w:t xml:space="preserve">Table </w:t>
      </w:r>
      <w:fldSimple w:instr=" SEQ Table \* ARABIC ">
        <w:r w:rsidR="00050936">
          <w:rPr>
            <w:noProof/>
          </w:rPr>
          <w:t>109</w:t>
        </w:r>
      </w:fldSimple>
      <w:r>
        <w:tab/>
        <w:t>C</w:t>
      </w:r>
      <w:r w:rsidRPr="00FB4888">
        <w:t xml:space="preserve">ost per </w:t>
      </w:r>
      <w:r w:rsidR="00216B58">
        <w:t>p</w:t>
      </w:r>
      <w:r>
        <w:t xml:space="preserve">acemaker </w:t>
      </w:r>
      <w:r w:rsidRPr="00FB4888">
        <w:t>implantation procedure in public sector</w:t>
      </w:r>
      <w:bookmarkEnd w:id="1019"/>
      <w:bookmarkEnd w:id="1020"/>
      <w:bookmarkEnd w:id="1021"/>
    </w:p>
    <w:tbl>
      <w:tblPr>
        <w:tblW w:w="4972" w:type="pct"/>
        <w:tblLayout w:type="fixed"/>
        <w:tblLook w:val="04A0" w:firstRow="1" w:lastRow="0" w:firstColumn="1" w:lastColumn="0" w:noHBand="0" w:noVBand="1"/>
        <w:tblDescription w:val="Cost per Pacemaker implantation procedure in public sector"/>
      </w:tblPr>
      <w:tblGrid>
        <w:gridCol w:w="5664"/>
        <w:gridCol w:w="1016"/>
        <w:gridCol w:w="726"/>
        <w:gridCol w:w="871"/>
        <w:gridCol w:w="913"/>
      </w:tblGrid>
      <w:tr w:rsidR="002F2AFD" w:rsidRPr="00E17CB6" w14:paraId="5AFCD9AD" w14:textId="77777777" w:rsidTr="00857B30">
        <w:trPr>
          <w:trHeight w:val="300"/>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42646" w14:textId="77777777" w:rsidR="002F2AFD" w:rsidRPr="0083783D" w:rsidRDefault="002F2AFD" w:rsidP="004C79C1">
            <w:pPr>
              <w:pStyle w:val="TableHeading"/>
              <w:spacing w:before="0" w:after="120"/>
            </w:pPr>
            <w:r w:rsidRPr="0083783D">
              <w:t> </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14:paraId="069D51A1" w14:textId="77777777" w:rsidR="002F2AFD" w:rsidRPr="00E17CB6" w:rsidRDefault="002F2AFD" w:rsidP="004C79C1">
            <w:pPr>
              <w:pStyle w:val="TableHeading"/>
              <w:spacing w:before="0" w:after="120"/>
            </w:pPr>
            <w:r>
              <w:t>AR-</w:t>
            </w:r>
            <w:r w:rsidRPr="00E17CB6">
              <w:t>DRG</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5C514D40" w14:textId="77777777" w:rsidR="002F2AFD" w:rsidRPr="00E17CB6" w:rsidRDefault="002F2AFD" w:rsidP="004C79C1">
            <w:pPr>
              <w:pStyle w:val="TableHeading"/>
              <w:spacing w:before="0" w:after="120"/>
            </w:pPr>
            <w:r w:rsidRPr="00E17CB6">
              <w:t>Seps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360D8032" w14:textId="77777777" w:rsidR="002F2AFD" w:rsidRPr="00E17CB6" w:rsidRDefault="002F2AFD" w:rsidP="004C79C1">
            <w:pPr>
              <w:pStyle w:val="TableHeading"/>
              <w:spacing w:before="0" w:after="120"/>
            </w:pPr>
            <w:r w:rsidRPr="00E17CB6">
              <w:t>Weight</w:t>
            </w:r>
          </w:p>
        </w:tc>
        <w:tc>
          <w:tcPr>
            <w:tcW w:w="497" w:type="pct"/>
            <w:tcBorders>
              <w:top w:val="single" w:sz="4" w:space="0" w:color="auto"/>
              <w:left w:val="nil"/>
              <w:bottom w:val="single" w:sz="4" w:space="0" w:color="auto"/>
              <w:right w:val="single" w:sz="4" w:space="0" w:color="auto"/>
            </w:tcBorders>
            <w:vAlign w:val="bottom"/>
          </w:tcPr>
          <w:p w14:paraId="3EFBBFE0" w14:textId="2A6C3B8B" w:rsidR="002F2AFD" w:rsidRPr="00E17CB6" w:rsidRDefault="002F2AFD" w:rsidP="004C79C1">
            <w:pPr>
              <w:pStyle w:val="TableHeading"/>
              <w:spacing w:before="0" w:after="120"/>
            </w:pPr>
            <w:r w:rsidRPr="00E17CB6">
              <w:t>Cost</w:t>
            </w:r>
            <w:r w:rsidR="000A50FF">
              <w:t xml:space="preserve"> </w:t>
            </w:r>
            <w:r w:rsidR="000A50FF" w:rsidRPr="005F66C3">
              <w:rPr>
                <w:vertAlign w:val="superscript"/>
              </w:rPr>
              <w:t>a</w:t>
            </w:r>
          </w:p>
        </w:tc>
      </w:tr>
      <w:tr w:rsidR="002F2AFD" w:rsidRPr="00E17CB6" w14:paraId="7C09B33F" w14:textId="77777777" w:rsidTr="00857B30">
        <w:trPr>
          <w:trHeight w:val="300"/>
        </w:trPr>
        <w:tc>
          <w:tcPr>
            <w:tcW w:w="3081" w:type="pct"/>
            <w:tcBorders>
              <w:top w:val="nil"/>
              <w:left w:val="single" w:sz="4" w:space="0" w:color="auto"/>
              <w:bottom w:val="single" w:sz="4" w:space="0" w:color="auto"/>
              <w:right w:val="single" w:sz="4" w:space="0" w:color="auto"/>
            </w:tcBorders>
            <w:shd w:val="clear" w:color="auto" w:fill="auto"/>
            <w:noWrap/>
            <w:vAlign w:val="bottom"/>
            <w:hideMark/>
          </w:tcPr>
          <w:p w14:paraId="3137B1DE" w14:textId="15350330" w:rsidR="002F2AFD" w:rsidRPr="00E17CB6" w:rsidRDefault="002F2AFD" w:rsidP="004C79C1">
            <w:pPr>
              <w:pStyle w:val="Tabletext1"/>
              <w:spacing w:before="0" w:after="120"/>
              <w:rPr>
                <w:rFonts w:cs="Times New Roman"/>
                <w:color w:val="000000"/>
              </w:rPr>
            </w:pPr>
            <w:r>
              <w:rPr>
                <w:rFonts w:cs="Times New Roman"/>
                <w:color w:val="000000"/>
              </w:rPr>
              <w:t>Implantation or r</w:t>
            </w:r>
            <w:r w:rsidRPr="00EB32C9">
              <w:rPr>
                <w:rFonts w:cs="Times New Roman"/>
                <w:color w:val="000000"/>
              </w:rPr>
              <w:t xml:space="preserve">eplacement of </w:t>
            </w:r>
            <w:r w:rsidR="000A50FF">
              <w:rPr>
                <w:rFonts w:cs="Times New Roman"/>
                <w:color w:val="000000"/>
              </w:rPr>
              <w:t>p</w:t>
            </w:r>
            <w:r w:rsidRPr="00EB32C9">
              <w:rPr>
                <w:rFonts w:cs="Times New Roman"/>
                <w:color w:val="000000"/>
              </w:rPr>
              <w:t>acemaker</w:t>
            </w:r>
            <w:r>
              <w:rPr>
                <w:rFonts w:cs="Times New Roman"/>
                <w:color w:val="000000"/>
              </w:rPr>
              <w:t>, total system with</w:t>
            </w:r>
            <w:r w:rsidRPr="00E17CB6">
              <w:rPr>
                <w:rFonts w:cs="Times New Roman"/>
                <w:color w:val="000000"/>
              </w:rPr>
              <w:t xml:space="preserve"> </w:t>
            </w:r>
            <w:r>
              <w:rPr>
                <w:rFonts w:cs="Times New Roman"/>
                <w:color w:val="000000"/>
              </w:rPr>
              <w:t>catastrophic complications</w:t>
            </w:r>
          </w:p>
        </w:tc>
        <w:tc>
          <w:tcPr>
            <w:tcW w:w="553" w:type="pct"/>
            <w:tcBorders>
              <w:top w:val="nil"/>
              <w:left w:val="nil"/>
              <w:bottom w:val="single" w:sz="4" w:space="0" w:color="auto"/>
              <w:right w:val="single" w:sz="4" w:space="0" w:color="auto"/>
            </w:tcBorders>
            <w:shd w:val="clear" w:color="auto" w:fill="auto"/>
            <w:noWrap/>
            <w:vAlign w:val="center"/>
            <w:hideMark/>
          </w:tcPr>
          <w:p w14:paraId="40AF5A54" w14:textId="77777777" w:rsidR="002F2AFD" w:rsidRPr="00E17CB6" w:rsidRDefault="002F2AFD" w:rsidP="004C79C1">
            <w:pPr>
              <w:pStyle w:val="Tabletext1"/>
              <w:spacing w:before="0" w:after="120"/>
              <w:rPr>
                <w:rFonts w:cs="Times New Roman"/>
                <w:color w:val="000000"/>
              </w:rPr>
            </w:pPr>
            <w:r>
              <w:rPr>
                <w:rFonts w:cs="Times New Roman"/>
                <w:color w:val="000000"/>
              </w:rPr>
              <w:t>F12</w:t>
            </w:r>
            <w:r w:rsidRPr="00E17CB6">
              <w:rPr>
                <w:rFonts w:cs="Times New Roman"/>
                <w:color w:val="000000"/>
              </w:rPr>
              <w:t>A</w:t>
            </w:r>
          </w:p>
        </w:tc>
        <w:tc>
          <w:tcPr>
            <w:tcW w:w="395" w:type="pct"/>
            <w:tcBorders>
              <w:top w:val="nil"/>
              <w:left w:val="nil"/>
              <w:bottom w:val="single" w:sz="4" w:space="0" w:color="auto"/>
              <w:right w:val="single" w:sz="4" w:space="0" w:color="auto"/>
            </w:tcBorders>
            <w:shd w:val="clear" w:color="auto" w:fill="auto"/>
            <w:noWrap/>
            <w:vAlign w:val="center"/>
            <w:hideMark/>
          </w:tcPr>
          <w:p w14:paraId="222929B3" w14:textId="77777777" w:rsidR="002F2AFD" w:rsidRPr="00E17CB6" w:rsidRDefault="002F2AFD" w:rsidP="004C79C1">
            <w:pPr>
              <w:pStyle w:val="Tabletext1"/>
              <w:spacing w:before="0" w:after="120"/>
              <w:jc w:val="center"/>
              <w:rPr>
                <w:rFonts w:cs="Times New Roman"/>
                <w:color w:val="000000"/>
              </w:rPr>
            </w:pPr>
            <w:r w:rsidRPr="00015E0F">
              <w:t>1,346</w:t>
            </w:r>
          </w:p>
        </w:tc>
        <w:tc>
          <w:tcPr>
            <w:tcW w:w="474" w:type="pct"/>
            <w:tcBorders>
              <w:top w:val="nil"/>
              <w:left w:val="nil"/>
              <w:bottom w:val="single" w:sz="4" w:space="0" w:color="auto"/>
              <w:right w:val="single" w:sz="4" w:space="0" w:color="auto"/>
            </w:tcBorders>
            <w:shd w:val="clear" w:color="auto" w:fill="auto"/>
            <w:noWrap/>
            <w:vAlign w:val="center"/>
            <w:hideMark/>
          </w:tcPr>
          <w:p w14:paraId="2031820F" w14:textId="77777777" w:rsidR="002F2AFD" w:rsidRPr="00E17CB6" w:rsidRDefault="002F2AFD" w:rsidP="004C79C1">
            <w:pPr>
              <w:pStyle w:val="Tabletext1"/>
              <w:spacing w:before="0" w:after="120"/>
              <w:jc w:val="center"/>
              <w:rPr>
                <w:rFonts w:cs="Times New Roman"/>
                <w:color w:val="000000"/>
              </w:rPr>
            </w:pPr>
            <w:r w:rsidRPr="00015E0F">
              <w:t>20.4%</w:t>
            </w:r>
          </w:p>
        </w:tc>
        <w:tc>
          <w:tcPr>
            <w:tcW w:w="497" w:type="pct"/>
            <w:tcBorders>
              <w:top w:val="nil"/>
              <w:left w:val="nil"/>
              <w:bottom w:val="single" w:sz="4" w:space="0" w:color="auto"/>
              <w:right w:val="single" w:sz="4" w:space="0" w:color="auto"/>
            </w:tcBorders>
            <w:vAlign w:val="center"/>
          </w:tcPr>
          <w:p w14:paraId="26573E9C" w14:textId="77777777" w:rsidR="002F2AFD" w:rsidRPr="00015E0F" w:rsidRDefault="002F2AFD" w:rsidP="004C79C1">
            <w:pPr>
              <w:pStyle w:val="Tabletext1"/>
              <w:spacing w:before="0" w:after="120"/>
              <w:jc w:val="center"/>
            </w:pPr>
            <w:r w:rsidRPr="00015E0F">
              <w:t>$22,728</w:t>
            </w:r>
          </w:p>
        </w:tc>
      </w:tr>
      <w:tr w:rsidR="002F2AFD" w:rsidRPr="0083783D" w14:paraId="0A884112" w14:textId="77777777" w:rsidTr="00857B30">
        <w:trPr>
          <w:trHeight w:val="300"/>
        </w:trPr>
        <w:tc>
          <w:tcPr>
            <w:tcW w:w="3081" w:type="pct"/>
            <w:tcBorders>
              <w:top w:val="nil"/>
              <w:left w:val="single" w:sz="4" w:space="0" w:color="auto"/>
              <w:bottom w:val="single" w:sz="4" w:space="0" w:color="auto"/>
              <w:right w:val="single" w:sz="4" w:space="0" w:color="auto"/>
            </w:tcBorders>
            <w:shd w:val="clear" w:color="auto" w:fill="auto"/>
            <w:noWrap/>
            <w:vAlign w:val="bottom"/>
            <w:hideMark/>
          </w:tcPr>
          <w:p w14:paraId="1B2E6A28" w14:textId="2DC80B0D" w:rsidR="002F2AFD" w:rsidRPr="00E17CB6" w:rsidRDefault="002F2AFD" w:rsidP="004C79C1">
            <w:pPr>
              <w:pStyle w:val="Tabletext1"/>
              <w:spacing w:before="0" w:after="120"/>
              <w:rPr>
                <w:rFonts w:cs="Times New Roman"/>
                <w:color w:val="000000"/>
              </w:rPr>
            </w:pPr>
            <w:r w:rsidRPr="00E17CB6">
              <w:rPr>
                <w:rFonts w:cs="Times New Roman"/>
                <w:color w:val="000000"/>
              </w:rPr>
              <w:t>Implan</w:t>
            </w:r>
            <w:r>
              <w:rPr>
                <w:rFonts w:cs="Times New Roman"/>
                <w:color w:val="000000"/>
              </w:rPr>
              <w:t xml:space="preserve">tation or replacement of </w:t>
            </w:r>
            <w:r w:rsidR="000A50FF">
              <w:rPr>
                <w:rFonts w:cs="Times New Roman"/>
                <w:color w:val="000000"/>
              </w:rPr>
              <w:t>p</w:t>
            </w:r>
            <w:r>
              <w:rPr>
                <w:rFonts w:cs="Times New Roman"/>
                <w:color w:val="000000"/>
              </w:rPr>
              <w:t>acemaker, total s</w:t>
            </w:r>
            <w:r w:rsidRPr="00E17CB6">
              <w:rPr>
                <w:rFonts w:cs="Times New Roman"/>
                <w:color w:val="000000"/>
              </w:rPr>
              <w:t xml:space="preserve">ystem </w:t>
            </w:r>
            <w:r>
              <w:rPr>
                <w:rFonts w:cs="Times New Roman"/>
                <w:color w:val="000000"/>
              </w:rPr>
              <w:t>without c</w:t>
            </w:r>
            <w:r w:rsidRPr="00E17CB6">
              <w:rPr>
                <w:rFonts w:cs="Times New Roman"/>
                <w:color w:val="000000"/>
              </w:rPr>
              <w:t xml:space="preserve">atastrophic </w:t>
            </w:r>
            <w:r>
              <w:rPr>
                <w:rFonts w:cs="Times New Roman"/>
                <w:color w:val="000000"/>
              </w:rPr>
              <w:t>complications</w:t>
            </w:r>
          </w:p>
        </w:tc>
        <w:tc>
          <w:tcPr>
            <w:tcW w:w="553" w:type="pct"/>
            <w:tcBorders>
              <w:top w:val="nil"/>
              <w:left w:val="nil"/>
              <w:bottom w:val="single" w:sz="4" w:space="0" w:color="auto"/>
              <w:right w:val="single" w:sz="4" w:space="0" w:color="auto"/>
            </w:tcBorders>
            <w:shd w:val="clear" w:color="auto" w:fill="auto"/>
            <w:noWrap/>
            <w:vAlign w:val="center"/>
            <w:hideMark/>
          </w:tcPr>
          <w:p w14:paraId="5EAB3428" w14:textId="77777777" w:rsidR="002F2AFD" w:rsidRPr="00E17CB6" w:rsidRDefault="002F2AFD" w:rsidP="004C79C1">
            <w:pPr>
              <w:pStyle w:val="Tabletext1"/>
              <w:spacing w:before="0" w:after="120"/>
              <w:rPr>
                <w:rFonts w:cs="Times New Roman"/>
                <w:color w:val="000000"/>
              </w:rPr>
            </w:pPr>
            <w:r>
              <w:rPr>
                <w:rFonts w:cs="Times New Roman"/>
                <w:color w:val="000000"/>
              </w:rPr>
              <w:t>F12</w:t>
            </w:r>
            <w:r w:rsidRPr="00E17CB6">
              <w:rPr>
                <w:rFonts w:cs="Times New Roman"/>
                <w:color w:val="000000"/>
              </w:rPr>
              <w:t>B</w:t>
            </w:r>
          </w:p>
        </w:tc>
        <w:tc>
          <w:tcPr>
            <w:tcW w:w="395" w:type="pct"/>
            <w:tcBorders>
              <w:top w:val="nil"/>
              <w:left w:val="nil"/>
              <w:bottom w:val="single" w:sz="4" w:space="0" w:color="auto"/>
              <w:right w:val="single" w:sz="4" w:space="0" w:color="auto"/>
            </w:tcBorders>
            <w:shd w:val="clear" w:color="auto" w:fill="auto"/>
            <w:noWrap/>
            <w:vAlign w:val="center"/>
            <w:hideMark/>
          </w:tcPr>
          <w:p w14:paraId="68FCC223" w14:textId="77777777" w:rsidR="002F2AFD" w:rsidRPr="00E17CB6" w:rsidRDefault="002F2AFD" w:rsidP="004C79C1">
            <w:pPr>
              <w:pStyle w:val="Tabletext1"/>
              <w:spacing w:before="0" w:after="120"/>
              <w:jc w:val="center"/>
              <w:rPr>
                <w:rFonts w:cs="Times New Roman"/>
                <w:color w:val="000000"/>
              </w:rPr>
            </w:pPr>
            <w:r w:rsidRPr="00015E0F">
              <w:t>5,248</w:t>
            </w:r>
          </w:p>
        </w:tc>
        <w:tc>
          <w:tcPr>
            <w:tcW w:w="474" w:type="pct"/>
            <w:tcBorders>
              <w:top w:val="nil"/>
              <w:left w:val="nil"/>
              <w:bottom w:val="single" w:sz="4" w:space="0" w:color="auto"/>
              <w:right w:val="single" w:sz="4" w:space="0" w:color="auto"/>
            </w:tcBorders>
            <w:shd w:val="clear" w:color="auto" w:fill="auto"/>
            <w:noWrap/>
            <w:vAlign w:val="center"/>
            <w:hideMark/>
          </w:tcPr>
          <w:p w14:paraId="43B0B03A" w14:textId="77777777" w:rsidR="002F2AFD" w:rsidRPr="00E17CB6" w:rsidRDefault="002F2AFD" w:rsidP="004C79C1">
            <w:pPr>
              <w:pStyle w:val="Tabletext1"/>
              <w:spacing w:before="0" w:after="120"/>
              <w:jc w:val="center"/>
              <w:rPr>
                <w:rFonts w:cs="Times New Roman"/>
                <w:color w:val="000000"/>
              </w:rPr>
            </w:pPr>
            <w:r w:rsidRPr="00015E0F">
              <w:t>79.6%</w:t>
            </w:r>
          </w:p>
        </w:tc>
        <w:tc>
          <w:tcPr>
            <w:tcW w:w="497" w:type="pct"/>
            <w:tcBorders>
              <w:top w:val="nil"/>
              <w:left w:val="nil"/>
              <w:bottom w:val="single" w:sz="4" w:space="0" w:color="auto"/>
              <w:right w:val="single" w:sz="4" w:space="0" w:color="auto"/>
            </w:tcBorders>
            <w:vAlign w:val="center"/>
          </w:tcPr>
          <w:p w14:paraId="6C65700B" w14:textId="77777777" w:rsidR="002F2AFD" w:rsidRPr="00015E0F" w:rsidRDefault="002F2AFD" w:rsidP="004C79C1">
            <w:pPr>
              <w:pStyle w:val="Tabletext1"/>
              <w:spacing w:before="0" w:after="120"/>
              <w:jc w:val="center"/>
            </w:pPr>
            <w:r w:rsidRPr="00015E0F">
              <w:t>$11,818</w:t>
            </w:r>
          </w:p>
        </w:tc>
      </w:tr>
      <w:tr w:rsidR="002F2AFD" w:rsidRPr="00E466A3" w14:paraId="19367AA7" w14:textId="77777777" w:rsidTr="00857B30">
        <w:trPr>
          <w:trHeight w:val="300"/>
        </w:trPr>
        <w:tc>
          <w:tcPr>
            <w:tcW w:w="3081" w:type="pct"/>
            <w:tcBorders>
              <w:top w:val="single" w:sz="4" w:space="0" w:color="auto"/>
              <w:left w:val="single" w:sz="4" w:space="0" w:color="auto"/>
              <w:bottom w:val="single" w:sz="4" w:space="0" w:color="auto"/>
            </w:tcBorders>
            <w:shd w:val="clear" w:color="auto" w:fill="auto"/>
            <w:noWrap/>
            <w:vAlign w:val="bottom"/>
          </w:tcPr>
          <w:p w14:paraId="283518BF" w14:textId="6E5CB78E" w:rsidR="002F2AFD" w:rsidRPr="00E466A3" w:rsidRDefault="002F2AFD" w:rsidP="004C79C1">
            <w:pPr>
              <w:pStyle w:val="Tabletext1"/>
              <w:spacing w:before="0" w:after="120"/>
              <w:rPr>
                <w:rFonts w:cs="Times New Roman"/>
                <w:b/>
                <w:color w:val="000000"/>
              </w:rPr>
            </w:pPr>
            <w:r w:rsidRPr="00E466A3">
              <w:rPr>
                <w:rFonts w:cs="Times New Roman"/>
                <w:b/>
                <w:color w:val="000000"/>
              </w:rPr>
              <w:t>Weighted cost</w:t>
            </w:r>
            <w:r>
              <w:rPr>
                <w:rFonts w:cs="Times New Roman"/>
                <w:b/>
                <w:color w:val="000000"/>
              </w:rPr>
              <w:t xml:space="preserve"> (adjusted for inflation)</w:t>
            </w:r>
            <w:r w:rsidR="000A50FF">
              <w:rPr>
                <w:rFonts w:cs="Times New Roman"/>
                <w:b/>
                <w:color w:val="000000"/>
              </w:rPr>
              <w:t xml:space="preserve"> </w:t>
            </w:r>
            <w:r w:rsidR="000A50FF" w:rsidRPr="005F66C3">
              <w:rPr>
                <w:rFonts w:cs="Times New Roman"/>
                <w:b/>
                <w:color w:val="000000"/>
                <w:vertAlign w:val="superscript"/>
              </w:rPr>
              <w:t>b</w:t>
            </w:r>
            <w:r w:rsidR="000A50FF">
              <w:rPr>
                <w:rFonts w:cs="Times New Roman"/>
                <w:b/>
                <w:color w:val="000000"/>
              </w:rPr>
              <w:t xml:space="preserve"> </w:t>
            </w:r>
          </w:p>
        </w:tc>
        <w:tc>
          <w:tcPr>
            <w:tcW w:w="553" w:type="pct"/>
            <w:tcBorders>
              <w:top w:val="single" w:sz="4" w:space="0" w:color="auto"/>
              <w:bottom w:val="single" w:sz="4" w:space="0" w:color="auto"/>
            </w:tcBorders>
            <w:shd w:val="clear" w:color="auto" w:fill="auto"/>
            <w:noWrap/>
            <w:vAlign w:val="center"/>
          </w:tcPr>
          <w:p w14:paraId="18031CA0" w14:textId="77777777" w:rsidR="002F2AFD" w:rsidRPr="00E466A3" w:rsidRDefault="002F2AFD" w:rsidP="004C79C1">
            <w:pPr>
              <w:pStyle w:val="Tabletext1"/>
              <w:spacing w:before="0" w:after="120"/>
              <w:rPr>
                <w:rFonts w:cs="Times New Roman"/>
                <w:b/>
                <w:color w:val="000000"/>
              </w:rPr>
            </w:pPr>
          </w:p>
        </w:tc>
        <w:tc>
          <w:tcPr>
            <w:tcW w:w="395" w:type="pct"/>
            <w:tcBorders>
              <w:top w:val="single" w:sz="4" w:space="0" w:color="auto"/>
              <w:bottom w:val="single" w:sz="4" w:space="0" w:color="auto"/>
            </w:tcBorders>
            <w:shd w:val="clear" w:color="auto" w:fill="auto"/>
            <w:noWrap/>
            <w:vAlign w:val="center"/>
          </w:tcPr>
          <w:p w14:paraId="4A6DD34E" w14:textId="77777777" w:rsidR="002F2AFD" w:rsidRPr="00E466A3" w:rsidRDefault="002F2AFD" w:rsidP="004C79C1">
            <w:pPr>
              <w:pStyle w:val="Tabletext1"/>
              <w:spacing w:before="0" w:after="120"/>
              <w:jc w:val="center"/>
              <w:rPr>
                <w:b/>
              </w:rPr>
            </w:pPr>
          </w:p>
        </w:tc>
        <w:tc>
          <w:tcPr>
            <w:tcW w:w="474" w:type="pct"/>
            <w:tcBorders>
              <w:top w:val="single" w:sz="4" w:space="0" w:color="auto"/>
              <w:bottom w:val="single" w:sz="4" w:space="0" w:color="auto"/>
              <w:right w:val="single" w:sz="4" w:space="0" w:color="auto"/>
            </w:tcBorders>
            <w:shd w:val="clear" w:color="auto" w:fill="auto"/>
            <w:noWrap/>
            <w:vAlign w:val="center"/>
          </w:tcPr>
          <w:p w14:paraId="7250457A" w14:textId="77777777" w:rsidR="002F2AFD" w:rsidRPr="00E466A3" w:rsidRDefault="002F2AFD" w:rsidP="004C79C1">
            <w:pPr>
              <w:pStyle w:val="Tabletext1"/>
              <w:spacing w:before="0" w:after="120"/>
              <w:jc w:val="center"/>
              <w:rPr>
                <w:b/>
              </w:rPr>
            </w:pPr>
          </w:p>
        </w:tc>
        <w:tc>
          <w:tcPr>
            <w:tcW w:w="497" w:type="pct"/>
            <w:tcBorders>
              <w:top w:val="single" w:sz="4" w:space="0" w:color="auto"/>
              <w:left w:val="nil"/>
              <w:bottom w:val="single" w:sz="4" w:space="0" w:color="auto"/>
              <w:right w:val="single" w:sz="4" w:space="0" w:color="auto"/>
            </w:tcBorders>
            <w:vAlign w:val="center"/>
          </w:tcPr>
          <w:p w14:paraId="0C8659FA" w14:textId="77777777" w:rsidR="002F2AFD" w:rsidRPr="00E466A3" w:rsidRDefault="002F2AFD" w:rsidP="004C79C1">
            <w:pPr>
              <w:pStyle w:val="Tabletext1"/>
              <w:spacing w:before="0" w:after="120"/>
              <w:jc w:val="center"/>
              <w:rPr>
                <w:b/>
              </w:rPr>
            </w:pPr>
            <w:r w:rsidRPr="00E466A3">
              <w:rPr>
                <w:rFonts w:cs="Times New Roman"/>
                <w:b/>
                <w:color w:val="000000"/>
              </w:rPr>
              <w:t>$14,257</w:t>
            </w:r>
          </w:p>
        </w:tc>
      </w:tr>
    </w:tbl>
    <w:p w14:paraId="1E3FF654" w14:textId="435B4965" w:rsidR="002F2AFD" w:rsidRPr="008B3137" w:rsidRDefault="00353CCE" w:rsidP="004C79C1">
      <w:pPr>
        <w:pStyle w:val="Tablenotes0"/>
        <w:spacing w:before="0" w:after="120"/>
      </w:pPr>
      <w:r w:rsidRPr="005F66C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5F6D73">
        <w:t xml:space="preserve"> </w:t>
      </w:r>
      <w:r w:rsidR="00E02DC6">
        <w:t>*</w:t>
      </w:r>
      <w:r w:rsidR="002F2AFD" w:rsidRPr="008B3137">
        <w:t xml:space="preserve"> the N</w:t>
      </w:r>
      <w:r w:rsidR="00FB10D5">
        <w:t>EP</w:t>
      </w:r>
      <w:r w:rsidR="002F2AFD" w:rsidRPr="008B3137">
        <w:t xml:space="preserve"> 2016</w:t>
      </w:r>
      <w:r w:rsidR="00E02DC6">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16D9AB84" w14:textId="02F6914A" w:rsidR="002F2AFD" w:rsidRDefault="00353CCE" w:rsidP="004C79C1">
      <w:pPr>
        <w:pStyle w:val="Tablenotes0"/>
        <w:spacing w:before="0" w:after="120"/>
      </w:pPr>
      <w:r w:rsidRPr="005F66C3">
        <w:rPr>
          <w:vertAlign w:val="superscript"/>
        </w:rPr>
        <w:t>b</w:t>
      </w:r>
      <w:r>
        <w:t xml:space="preserve"> </w:t>
      </w:r>
      <w:r w:rsidR="002F2AFD">
        <w:t xml:space="preserve">$14,045 converted to </w:t>
      </w:r>
      <w:r w:rsidR="002F2AFD" w:rsidRPr="00D355D4">
        <w:t>$14,257</w:t>
      </w:r>
      <w:r w:rsidR="002F2AFD">
        <w:t xml:space="preserve"> in 2015 AUD using </w:t>
      </w:r>
      <w:r w:rsidR="002F2AFD" w:rsidRPr="00B66250">
        <w:t>inflation calculator provided by Reserve Bank of Australia</w:t>
      </w:r>
      <w:r w:rsidR="002F2AFD">
        <w:t>;</w:t>
      </w:r>
      <w:r w:rsidR="002F2AFD" w:rsidRPr="00B66250">
        <w:t xml:space="preserve"> </w:t>
      </w:r>
      <w:r w:rsidR="005F6D73">
        <w:t>&lt;</w:t>
      </w:r>
      <w:hyperlink r:id="rId98"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 xml:space="preserve">; </w:t>
      </w:r>
      <w:r w:rsidR="002F2AFD">
        <w:t>accessed 24 March 2016</w:t>
      </w:r>
    </w:p>
    <w:p w14:paraId="437CF568" w14:textId="4ADBB128" w:rsidR="005F6D73" w:rsidRPr="008B3137" w:rsidRDefault="005F6D73" w:rsidP="004C79C1">
      <w:pPr>
        <w:pStyle w:val="Tablenotes0"/>
        <w:spacing w:before="0" w:after="120"/>
        <w:rPr>
          <w:rStyle w:val="st"/>
        </w:rPr>
      </w:pPr>
      <w:r w:rsidRPr="008B3137">
        <w:t xml:space="preserve">AR-DRG = </w:t>
      </w:r>
      <w:r w:rsidRPr="008B3137">
        <w:rPr>
          <w:rStyle w:val="st"/>
        </w:rPr>
        <w:t xml:space="preserve">Australian Refined Diagnosis Related Groups; </w:t>
      </w:r>
      <w:r w:rsidR="00FB10D5">
        <w:rPr>
          <w:rStyle w:val="st"/>
        </w:rPr>
        <w:t xml:space="preserve">NEP = National Efficient Price; </w:t>
      </w:r>
      <w:r w:rsidRPr="008B3137">
        <w:rPr>
          <w:rStyle w:val="st"/>
        </w:rPr>
        <w:t>Seps = number of hospital separations</w:t>
      </w:r>
    </w:p>
    <w:p w14:paraId="3795A6DE" w14:textId="5AD7EF09" w:rsidR="002F2AFD" w:rsidRDefault="002F2AFD" w:rsidP="004C79C1">
      <w:pPr>
        <w:pStyle w:val="Caption"/>
        <w:keepNext/>
      </w:pPr>
      <w:bookmarkStart w:id="1022" w:name="_Toc450052123"/>
      <w:bookmarkStart w:id="1023" w:name="_Toc324410314"/>
      <w:bookmarkStart w:id="1024" w:name="_Toc451435437"/>
      <w:r>
        <w:t xml:space="preserve">Table </w:t>
      </w:r>
      <w:fldSimple w:instr=" SEQ Table \* ARABIC ">
        <w:r w:rsidR="00050936">
          <w:rPr>
            <w:noProof/>
          </w:rPr>
          <w:t>110</w:t>
        </w:r>
      </w:fldSimple>
      <w:r>
        <w:tab/>
      </w:r>
      <w:r w:rsidRPr="009F33B7">
        <w:t xml:space="preserve">Cost per </w:t>
      </w:r>
      <w:r w:rsidR="00F10462">
        <w:t>p</w:t>
      </w:r>
      <w:r w:rsidRPr="009F33B7">
        <w:t xml:space="preserve">acemaker implantation procedure in </w:t>
      </w:r>
      <w:r>
        <w:t>private</w:t>
      </w:r>
      <w:r w:rsidRPr="009F33B7">
        <w:t xml:space="preserve"> sector</w:t>
      </w:r>
      <w:bookmarkEnd w:id="1022"/>
      <w:bookmarkEnd w:id="1023"/>
      <w:bookmarkEnd w:id="1024"/>
    </w:p>
    <w:tbl>
      <w:tblPr>
        <w:tblStyle w:val="TableGrid1"/>
        <w:tblW w:w="5000" w:type="pct"/>
        <w:tblLook w:val="04A0" w:firstRow="1" w:lastRow="0" w:firstColumn="1" w:lastColumn="0" w:noHBand="0" w:noVBand="1"/>
        <w:tblDescription w:val="Cost per Pacemaker implantation procedure in private sector"/>
      </w:tblPr>
      <w:tblGrid>
        <w:gridCol w:w="3825"/>
        <w:gridCol w:w="1637"/>
        <w:gridCol w:w="1893"/>
        <w:gridCol w:w="1887"/>
      </w:tblGrid>
      <w:tr w:rsidR="002F2AFD" w:rsidRPr="00B6558E" w14:paraId="0ACA8F9C" w14:textId="77777777" w:rsidTr="00D8421D">
        <w:trPr>
          <w:cnfStyle w:val="100000000000" w:firstRow="1" w:lastRow="0" w:firstColumn="0" w:lastColumn="0" w:oddVBand="0" w:evenVBand="0" w:oddHBand="0" w:evenHBand="0" w:firstRowFirstColumn="0" w:firstRowLastColumn="0" w:lastRowFirstColumn="0" w:lastRowLastColumn="0"/>
          <w:trHeight w:val="300"/>
          <w:tblHeader/>
        </w:trPr>
        <w:tc>
          <w:tcPr>
            <w:tcW w:w="2069" w:type="pct"/>
            <w:noWrap/>
            <w:hideMark/>
          </w:tcPr>
          <w:p w14:paraId="032F6A2B" w14:textId="77777777" w:rsidR="002F2AFD" w:rsidRPr="00B6558E" w:rsidRDefault="002F2AFD" w:rsidP="004C79C1">
            <w:pPr>
              <w:pStyle w:val="TableHeading"/>
              <w:spacing w:before="0" w:after="120"/>
            </w:pPr>
          </w:p>
        </w:tc>
        <w:tc>
          <w:tcPr>
            <w:tcW w:w="885" w:type="pct"/>
            <w:noWrap/>
            <w:hideMark/>
          </w:tcPr>
          <w:p w14:paraId="4D08AD17" w14:textId="77777777" w:rsidR="002F2AFD" w:rsidRPr="00B6558E" w:rsidRDefault="002F2AFD" w:rsidP="004C79C1">
            <w:pPr>
              <w:pStyle w:val="TableHeading"/>
              <w:spacing w:before="0" w:after="120"/>
              <w:jc w:val="center"/>
              <w:rPr>
                <w:color w:val="000000"/>
              </w:rPr>
            </w:pPr>
            <w:r w:rsidRPr="00B6558E">
              <w:rPr>
                <w:color w:val="000000"/>
              </w:rPr>
              <w:t>Medicare</w:t>
            </w:r>
          </w:p>
        </w:tc>
        <w:tc>
          <w:tcPr>
            <w:tcW w:w="1024" w:type="pct"/>
            <w:noWrap/>
            <w:hideMark/>
          </w:tcPr>
          <w:p w14:paraId="60E53169" w14:textId="77777777" w:rsidR="002F2AFD" w:rsidRPr="00B6558E" w:rsidRDefault="002F2AFD" w:rsidP="004C79C1">
            <w:pPr>
              <w:pStyle w:val="TableHeading"/>
              <w:spacing w:before="0" w:after="120"/>
              <w:jc w:val="center"/>
              <w:rPr>
                <w:color w:val="000000"/>
              </w:rPr>
            </w:pPr>
            <w:r w:rsidRPr="00B6558E">
              <w:rPr>
                <w:color w:val="000000"/>
              </w:rPr>
              <w:t>PHI</w:t>
            </w:r>
          </w:p>
        </w:tc>
        <w:tc>
          <w:tcPr>
            <w:tcW w:w="1021" w:type="pct"/>
          </w:tcPr>
          <w:p w14:paraId="53A562C2" w14:textId="77777777" w:rsidR="002F2AFD" w:rsidRPr="00B6558E" w:rsidRDefault="002F2AFD" w:rsidP="004C79C1">
            <w:pPr>
              <w:pStyle w:val="TableHeading"/>
              <w:spacing w:before="0" w:after="120"/>
              <w:jc w:val="center"/>
              <w:rPr>
                <w:color w:val="000000"/>
              </w:rPr>
            </w:pPr>
            <w:r>
              <w:t>Cost</w:t>
            </w:r>
          </w:p>
        </w:tc>
      </w:tr>
      <w:tr w:rsidR="002F2AFD" w:rsidRPr="00B6558E" w14:paraId="03143265" w14:textId="77777777" w:rsidTr="00D8421D">
        <w:trPr>
          <w:trHeight w:val="300"/>
        </w:trPr>
        <w:tc>
          <w:tcPr>
            <w:tcW w:w="2069" w:type="pct"/>
            <w:noWrap/>
            <w:hideMark/>
          </w:tcPr>
          <w:p w14:paraId="17F41310" w14:textId="77777777" w:rsidR="002F2AFD" w:rsidRPr="00B6558E" w:rsidRDefault="002F2AFD" w:rsidP="004C79C1">
            <w:pPr>
              <w:pStyle w:val="Tabletext1"/>
              <w:spacing w:before="0" w:after="120"/>
              <w:rPr>
                <w:color w:val="000000"/>
              </w:rPr>
            </w:pPr>
            <w:r w:rsidRPr="00B6558E">
              <w:rPr>
                <w:color w:val="000000"/>
              </w:rPr>
              <w:t>Total average hospital component</w:t>
            </w:r>
          </w:p>
        </w:tc>
        <w:tc>
          <w:tcPr>
            <w:tcW w:w="885" w:type="pct"/>
            <w:noWrap/>
            <w:hideMark/>
          </w:tcPr>
          <w:p w14:paraId="098C19EB" w14:textId="77777777" w:rsidR="002F2AFD" w:rsidRPr="00B6558E" w:rsidRDefault="002F2AFD" w:rsidP="004C79C1">
            <w:pPr>
              <w:pStyle w:val="Tabletext1"/>
              <w:spacing w:before="0" w:after="120"/>
              <w:ind w:right="283"/>
              <w:jc w:val="right"/>
              <w:rPr>
                <w:color w:val="000000"/>
              </w:rPr>
            </w:pPr>
          </w:p>
        </w:tc>
        <w:tc>
          <w:tcPr>
            <w:tcW w:w="1024" w:type="pct"/>
            <w:noWrap/>
            <w:hideMark/>
          </w:tcPr>
          <w:p w14:paraId="5ECAFC53" w14:textId="77777777" w:rsidR="002F2AFD" w:rsidRPr="00B6558E" w:rsidRDefault="002F2AFD" w:rsidP="004C79C1">
            <w:pPr>
              <w:pStyle w:val="Tabletext1"/>
              <w:spacing w:before="0" w:after="120"/>
              <w:ind w:right="283"/>
              <w:jc w:val="right"/>
              <w:rPr>
                <w:color w:val="000000"/>
              </w:rPr>
            </w:pPr>
            <w:r w:rsidRPr="00B6558E">
              <w:rPr>
                <w:color w:val="000000"/>
              </w:rPr>
              <w:t>$13,895</w:t>
            </w:r>
          </w:p>
        </w:tc>
        <w:tc>
          <w:tcPr>
            <w:tcW w:w="1021" w:type="pct"/>
          </w:tcPr>
          <w:p w14:paraId="2C3EDF95" w14:textId="77777777" w:rsidR="002F2AFD" w:rsidRPr="00B6558E" w:rsidRDefault="002F2AFD" w:rsidP="004C79C1">
            <w:pPr>
              <w:pStyle w:val="Tabletext1"/>
              <w:spacing w:before="0" w:after="120"/>
              <w:ind w:right="283"/>
              <w:jc w:val="right"/>
              <w:rPr>
                <w:color w:val="000000"/>
              </w:rPr>
            </w:pPr>
            <w:r w:rsidRPr="00B6558E">
              <w:rPr>
                <w:color w:val="000000"/>
              </w:rPr>
              <w:t>$13,994</w:t>
            </w:r>
          </w:p>
        </w:tc>
      </w:tr>
      <w:tr w:rsidR="002F2AFD" w:rsidRPr="00B6558E" w14:paraId="699B5E41" w14:textId="77777777" w:rsidTr="00D8421D">
        <w:trPr>
          <w:trHeight w:val="300"/>
        </w:trPr>
        <w:tc>
          <w:tcPr>
            <w:tcW w:w="2069" w:type="pct"/>
            <w:noWrap/>
            <w:hideMark/>
          </w:tcPr>
          <w:p w14:paraId="38DE094F" w14:textId="480F5AFB" w:rsidR="002F2AFD" w:rsidRPr="00B6558E" w:rsidRDefault="002F2AFD" w:rsidP="004C79C1">
            <w:pPr>
              <w:pStyle w:val="Tabletext1"/>
              <w:spacing w:before="0" w:after="120"/>
              <w:rPr>
                <w:color w:val="000000"/>
              </w:rPr>
            </w:pPr>
            <w:r w:rsidRPr="00B6558E">
              <w:rPr>
                <w:color w:val="000000"/>
              </w:rPr>
              <w:t xml:space="preserve">Total </w:t>
            </w:r>
            <w:r w:rsidR="00EC2678">
              <w:rPr>
                <w:color w:val="000000"/>
              </w:rPr>
              <w:t>a</w:t>
            </w:r>
            <w:r w:rsidRPr="00B6558E">
              <w:rPr>
                <w:color w:val="000000"/>
              </w:rPr>
              <w:t xml:space="preserve">verage </w:t>
            </w:r>
            <w:r w:rsidR="00EB0CFE">
              <w:rPr>
                <w:color w:val="000000"/>
              </w:rPr>
              <w:t>m</w:t>
            </w:r>
            <w:r w:rsidRPr="00B6558E">
              <w:rPr>
                <w:color w:val="000000"/>
              </w:rPr>
              <w:t xml:space="preserve">edical </w:t>
            </w:r>
            <w:r w:rsidR="00EB0CFE">
              <w:rPr>
                <w:color w:val="000000"/>
              </w:rPr>
              <w:t>s</w:t>
            </w:r>
            <w:r w:rsidRPr="00B6558E">
              <w:rPr>
                <w:color w:val="000000"/>
              </w:rPr>
              <w:t>ervices</w:t>
            </w:r>
          </w:p>
        </w:tc>
        <w:tc>
          <w:tcPr>
            <w:tcW w:w="885" w:type="pct"/>
            <w:noWrap/>
            <w:hideMark/>
          </w:tcPr>
          <w:p w14:paraId="3917F385" w14:textId="77777777" w:rsidR="002F2AFD" w:rsidRPr="00B6558E" w:rsidRDefault="002F2AFD" w:rsidP="004C79C1">
            <w:pPr>
              <w:pStyle w:val="Tabletext1"/>
              <w:spacing w:before="0" w:after="120"/>
              <w:ind w:right="283"/>
              <w:jc w:val="right"/>
              <w:rPr>
                <w:color w:val="000000"/>
              </w:rPr>
            </w:pPr>
            <w:r w:rsidRPr="00B6558E">
              <w:rPr>
                <w:color w:val="000000"/>
              </w:rPr>
              <w:t>$722</w:t>
            </w:r>
          </w:p>
        </w:tc>
        <w:tc>
          <w:tcPr>
            <w:tcW w:w="1024" w:type="pct"/>
            <w:noWrap/>
            <w:hideMark/>
          </w:tcPr>
          <w:p w14:paraId="66E5FB4C" w14:textId="77777777" w:rsidR="002F2AFD" w:rsidRPr="00B6558E" w:rsidRDefault="002F2AFD" w:rsidP="004C79C1">
            <w:pPr>
              <w:pStyle w:val="Tabletext1"/>
              <w:spacing w:before="0" w:after="120"/>
              <w:ind w:right="283"/>
              <w:jc w:val="right"/>
              <w:rPr>
                <w:color w:val="000000"/>
              </w:rPr>
            </w:pPr>
            <w:r w:rsidRPr="00B6558E">
              <w:rPr>
                <w:color w:val="000000"/>
              </w:rPr>
              <w:t>$598</w:t>
            </w:r>
          </w:p>
        </w:tc>
        <w:tc>
          <w:tcPr>
            <w:tcW w:w="1021" w:type="pct"/>
          </w:tcPr>
          <w:p w14:paraId="1FE6857A" w14:textId="77777777" w:rsidR="002F2AFD" w:rsidRPr="00B6558E" w:rsidRDefault="002F2AFD" w:rsidP="004C79C1">
            <w:pPr>
              <w:pStyle w:val="Tabletext1"/>
              <w:spacing w:before="0" w:after="120"/>
              <w:ind w:right="283"/>
              <w:jc w:val="right"/>
              <w:rPr>
                <w:color w:val="000000"/>
              </w:rPr>
            </w:pPr>
            <w:r w:rsidRPr="00B6558E">
              <w:rPr>
                <w:color w:val="000000"/>
              </w:rPr>
              <w:t>$1,364</w:t>
            </w:r>
          </w:p>
        </w:tc>
      </w:tr>
      <w:tr w:rsidR="002F2AFD" w:rsidRPr="00B6558E" w14:paraId="1242C311" w14:textId="77777777" w:rsidTr="00D8421D">
        <w:trPr>
          <w:trHeight w:val="300"/>
        </w:trPr>
        <w:tc>
          <w:tcPr>
            <w:tcW w:w="2069" w:type="pct"/>
            <w:noWrap/>
            <w:hideMark/>
          </w:tcPr>
          <w:p w14:paraId="087BC1A7" w14:textId="77777777" w:rsidR="002F2AFD" w:rsidRPr="00B6558E" w:rsidRDefault="002F2AFD" w:rsidP="004C79C1">
            <w:pPr>
              <w:pStyle w:val="Tabletext1"/>
              <w:spacing w:before="0" w:after="120"/>
              <w:rPr>
                <w:color w:val="000000"/>
              </w:rPr>
            </w:pPr>
            <w:r w:rsidRPr="00B6558E">
              <w:rPr>
                <w:color w:val="000000"/>
              </w:rPr>
              <w:t>Sum</w:t>
            </w:r>
          </w:p>
        </w:tc>
        <w:tc>
          <w:tcPr>
            <w:tcW w:w="885" w:type="pct"/>
            <w:tcBorders>
              <w:bottom w:val="single" w:sz="4" w:space="0" w:color="auto"/>
            </w:tcBorders>
            <w:noWrap/>
            <w:hideMark/>
          </w:tcPr>
          <w:p w14:paraId="0EC0D593" w14:textId="77777777" w:rsidR="002F2AFD" w:rsidRPr="00B6558E" w:rsidRDefault="002F2AFD" w:rsidP="004C79C1">
            <w:pPr>
              <w:pStyle w:val="Tabletext1"/>
              <w:spacing w:before="0" w:after="120"/>
              <w:ind w:right="283"/>
              <w:jc w:val="right"/>
              <w:rPr>
                <w:color w:val="000000"/>
              </w:rPr>
            </w:pPr>
            <w:r w:rsidRPr="00B6558E">
              <w:rPr>
                <w:color w:val="000000"/>
              </w:rPr>
              <w:t>$722</w:t>
            </w:r>
          </w:p>
        </w:tc>
        <w:tc>
          <w:tcPr>
            <w:tcW w:w="1024" w:type="pct"/>
            <w:tcBorders>
              <w:bottom w:val="single" w:sz="4" w:space="0" w:color="auto"/>
            </w:tcBorders>
            <w:noWrap/>
            <w:hideMark/>
          </w:tcPr>
          <w:p w14:paraId="16CE1AD5" w14:textId="77777777" w:rsidR="002F2AFD" w:rsidRPr="00B6558E" w:rsidRDefault="002F2AFD" w:rsidP="004C79C1">
            <w:pPr>
              <w:pStyle w:val="Tabletext1"/>
              <w:spacing w:before="0" w:after="120"/>
              <w:ind w:right="283"/>
              <w:jc w:val="right"/>
              <w:rPr>
                <w:color w:val="000000"/>
              </w:rPr>
            </w:pPr>
            <w:r w:rsidRPr="00B6558E">
              <w:rPr>
                <w:color w:val="000000"/>
              </w:rPr>
              <w:t>$14,493</w:t>
            </w:r>
          </w:p>
        </w:tc>
        <w:tc>
          <w:tcPr>
            <w:tcW w:w="1021" w:type="pct"/>
          </w:tcPr>
          <w:p w14:paraId="7BE81A38" w14:textId="77777777" w:rsidR="002F2AFD" w:rsidRPr="00B6558E" w:rsidRDefault="002F2AFD" w:rsidP="004C79C1">
            <w:pPr>
              <w:pStyle w:val="Tabletext1"/>
              <w:spacing w:before="0" w:after="120"/>
              <w:ind w:right="283"/>
              <w:jc w:val="right"/>
              <w:rPr>
                <w:color w:val="000000"/>
              </w:rPr>
            </w:pPr>
            <w:r w:rsidRPr="00B6558E">
              <w:rPr>
                <w:color w:val="000000"/>
              </w:rPr>
              <w:t>$15,358</w:t>
            </w:r>
          </w:p>
        </w:tc>
      </w:tr>
      <w:tr w:rsidR="002F2AFD" w:rsidRPr="00D02743" w14:paraId="38B8484F" w14:textId="77777777" w:rsidTr="00D8421D">
        <w:trPr>
          <w:trHeight w:val="300"/>
        </w:trPr>
        <w:tc>
          <w:tcPr>
            <w:tcW w:w="2069" w:type="pct"/>
            <w:tcBorders>
              <w:right w:val="nil"/>
            </w:tcBorders>
            <w:noWrap/>
          </w:tcPr>
          <w:p w14:paraId="26422C3C" w14:textId="7611A6E5" w:rsidR="002F2AFD" w:rsidRPr="00D02743" w:rsidRDefault="002F2AFD" w:rsidP="004C79C1">
            <w:pPr>
              <w:pStyle w:val="Tabletext1"/>
              <w:spacing w:before="0" w:after="120"/>
              <w:rPr>
                <w:b/>
                <w:color w:val="000000"/>
              </w:rPr>
            </w:pPr>
            <w:r w:rsidRPr="00D02743">
              <w:rPr>
                <w:b/>
                <w:color w:val="000000"/>
              </w:rPr>
              <w:t>Total cost, adjusted for inflation (2015 AUD)</w:t>
            </w:r>
            <w:r w:rsidR="00F10462">
              <w:rPr>
                <w:b/>
                <w:color w:val="000000"/>
              </w:rPr>
              <w:t xml:space="preserve"> </w:t>
            </w:r>
            <w:r w:rsidR="00F10462" w:rsidRPr="005F66C3">
              <w:rPr>
                <w:b/>
                <w:color w:val="000000"/>
                <w:vertAlign w:val="superscript"/>
              </w:rPr>
              <w:t>a</w:t>
            </w:r>
          </w:p>
        </w:tc>
        <w:tc>
          <w:tcPr>
            <w:tcW w:w="885" w:type="pct"/>
            <w:tcBorders>
              <w:left w:val="nil"/>
              <w:right w:val="nil"/>
            </w:tcBorders>
            <w:noWrap/>
          </w:tcPr>
          <w:p w14:paraId="53A7B118" w14:textId="77777777" w:rsidR="002F2AFD" w:rsidRPr="00D02743" w:rsidRDefault="002F2AFD" w:rsidP="004C79C1">
            <w:pPr>
              <w:pStyle w:val="Tabletext1"/>
              <w:spacing w:before="0" w:after="120"/>
              <w:ind w:right="283"/>
              <w:jc w:val="right"/>
              <w:rPr>
                <w:b/>
                <w:color w:val="000000"/>
              </w:rPr>
            </w:pPr>
          </w:p>
        </w:tc>
        <w:tc>
          <w:tcPr>
            <w:tcW w:w="1024" w:type="pct"/>
            <w:tcBorders>
              <w:left w:val="nil"/>
            </w:tcBorders>
            <w:noWrap/>
          </w:tcPr>
          <w:p w14:paraId="6341C181" w14:textId="77777777" w:rsidR="002F2AFD" w:rsidRPr="00D02743" w:rsidRDefault="002F2AFD" w:rsidP="004C79C1">
            <w:pPr>
              <w:pStyle w:val="Tabletext1"/>
              <w:spacing w:before="0" w:after="120"/>
              <w:ind w:right="283"/>
              <w:jc w:val="right"/>
              <w:rPr>
                <w:b/>
                <w:color w:val="000000"/>
              </w:rPr>
            </w:pPr>
          </w:p>
        </w:tc>
        <w:tc>
          <w:tcPr>
            <w:tcW w:w="1021" w:type="pct"/>
          </w:tcPr>
          <w:p w14:paraId="6CA95F42" w14:textId="1E3C8F83" w:rsidR="002F2AFD" w:rsidRPr="00D02743" w:rsidRDefault="002F2AFD" w:rsidP="004C79C1">
            <w:pPr>
              <w:pStyle w:val="Tabletext1"/>
              <w:spacing w:before="0" w:after="120"/>
              <w:ind w:right="283"/>
              <w:jc w:val="right"/>
              <w:rPr>
                <w:b/>
                <w:color w:val="000000"/>
              </w:rPr>
            </w:pPr>
            <w:r w:rsidRPr="00D02743">
              <w:rPr>
                <w:b/>
                <w:color w:val="000000"/>
              </w:rPr>
              <w:t>$15,590</w:t>
            </w:r>
            <w:r w:rsidR="00047A37">
              <w:rPr>
                <w:b/>
                <w:color w:val="000000"/>
              </w:rPr>
              <w:t xml:space="preserve"> </w:t>
            </w:r>
            <w:r w:rsidR="00047A37" w:rsidRPr="005F66C3">
              <w:rPr>
                <w:b/>
                <w:color w:val="000000"/>
                <w:vertAlign w:val="superscript"/>
              </w:rPr>
              <w:t>a</w:t>
            </w:r>
          </w:p>
        </w:tc>
      </w:tr>
    </w:tbl>
    <w:p w14:paraId="5C721473" w14:textId="6E2120B6" w:rsidR="00D8421D" w:rsidRDefault="00D8421D" w:rsidP="004C79C1">
      <w:pPr>
        <w:pStyle w:val="Tablenotes0"/>
        <w:spacing w:before="0" w:after="120"/>
        <w:contextualSpacing/>
      </w:pPr>
      <w:r>
        <w:t>Source: &lt;</w:t>
      </w:r>
      <w:r w:rsidRPr="00D24479">
        <w:t>http://healthtopics.hcf.com.au/CardiacPacemakersDefibrillators.aspx?gender=male&amp;topic=chest</w:t>
      </w:r>
      <w:r>
        <w:t>&gt;</w:t>
      </w:r>
      <w:r w:rsidR="00DA3D67">
        <w:t>;</w:t>
      </w:r>
      <w:r>
        <w:t xml:space="preserve"> accessed 24 March 2016</w:t>
      </w:r>
    </w:p>
    <w:p w14:paraId="6ACCFAE8" w14:textId="05BEDD58" w:rsidR="002F2AFD" w:rsidRPr="008B3137" w:rsidRDefault="00F10462" w:rsidP="004C79C1">
      <w:pPr>
        <w:pStyle w:val="Tablenotes0"/>
        <w:spacing w:before="0" w:after="120"/>
        <w:rPr>
          <w:rStyle w:val="st"/>
        </w:rPr>
      </w:pPr>
      <w:proofErr w:type="gramStart"/>
      <w:r w:rsidRPr="005F66C3">
        <w:rPr>
          <w:vertAlign w:val="superscript"/>
        </w:rPr>
        <w:t>a</w:t>
      </w:r>
      <w:proofErr w:type="gramEnd"/>
      <w:r w:rsidR="00EA46A8">
        <w:t xml:space="preserve"> </w:t>
      </w:r>
      <w:r w:rsidR="002F2AFD">
        <w:t xml:space="preserve">Converted to 2015 AUD using </w:t>
      </w:r>
      <w:r w:rsidR="002F2AFD" w:rsidRPr="00B66250">
        <w:t>inflation calculator provided by Reserve Bank of Australia</w:t>
      </w:r>
      <w:r w:rsidR="002F2AFD">
        <w:t>;</w:t>
      </w:r>
      <w:r w:rsidR="002F2AFD" w:rsidRPr="00B66250">
        <w:t xml:space="preserve"> </w:t>
      </w:r>
      <w:r>
        <w:t>&lt;</w:t>
      </w:r>
      <w:hyperlink r:id="rId99"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3BD0B388" w14:textId="6A87DA90" w:rsidR="00891786" w:rsidRDefault="00891786" w:rsidP="004C79C1">
      <w:pPr>
        <w:pStyle w:val="Tablenotes0"/>
        <w:spacing w:before="0" w:after="120"/>
        <w:contextualSpacing/>
      </w:pPr>
      <w:r>
        <w:t>PHI = private health insurer</w:t>
      </w:r>
    </w:p>
    <w:p w14:paraId="4595C181" w14:textId="78D8C277" w:rsidR="002F2AFD" w:rsidRDefault="002F2AFD" w:rsidP="004C79C1">
      <w:pPr>
        <w:pStyle w:val="Heading2"/>
        <w:spacing w:before="0" w:after="120" w:line="240" w:lineRule="auto"/>
      </w:pPr>
      <w:bookmarkStart w:id="1025" w:name="_Toc449428980"/>
      <w:bookmarkStart w:id="1026" w:name="_Toc450051827"/>
      <w:bookmarkStart w:id="1027" w:name="_Toc451501444"/>
      <w:r w:rsidRPr="00750384">
        <w:t xml:space="preserve">Cost </w:t>
      </w:r>
      <w:r>
        <w:t>per</w:t>
      </w:r>
      <w:r w:rsidRPr="00750384">
        <w:t xml:space="preserve"> </w:t>
      </w:r>
      <w:r>
        <w:t xml:space="preserve">CABG </w:t>
      </w:r>
      <w:r w:rsidR="00B57D14">
        <w:t>S</w:t>
      </w:r>
      <w:r>
        <w:t>urgery</w:t>
      </w:r>
      <w:bookmarkEnd w:id="1025"/>
      <w:bookmarkEnd w:id="1026"/>
      <w:bookmarkEnd w:id="1027"/>
    </w:p>
    <w:p w14:paraId="1D2D4C61" w14:textId="677C14B5" w:rsidR="002F2AFD" w:rsidRDefault="002F2AFD" w:rsidP="004C79C1">
      <w:pPr>
        <w:pStyle w:val="Caption"/>
        <w:keepNext/>
      </w:pPr>
      <w:bookmarkStart w:id="1028" w:name="_Toc450052124"/>
      <w:bookmarkStart w:id="1029" w:name="_Toc324410315"/>
      <w:bookmarkStart w:id="1030" w:name="_Toc451435438"/>
      <w:r>
        <w:t xml:space="preserve">Table </w:t>
      </w:r>
      <w:fldSimple w:instr=" SEQ Table \* ARABIC ">
        <w:r w:rsidR="00050936">
          <w:rPr>
            <w:noProof/>
          </w:rPr>
          <w:t>111</w:t>
        </w:r>
      </w:fldSimple>
      <w:r>
        <w:tab/>
        <w:t>C</w:t>
      </w:r>
      <w:r w:rsidRPr="00FB4888">
        <w:t xml:space="preserve">ost per </w:t>
      </w:r>
      <w:r>
        <w:t xml:space="preserve">CABG </w:t>
      </w:r>
      <w:r w:rsidRPr="00FB4888">
        <w:t>implantation procedure in public sector</w:t>
      </w:r>
      <w:bookmarkEnd w:id="1028"/>
      <w:bookmarkEnd w:id="1029"/>
      <w:bookmarkEnd w:id="1030"/>
    </w:p>
    <w:tbl>
      <w:tblPr>
        <w:tblW w:w="5000" w:type="pct"/>
        <w:tblLayout w:type="fixed"/>
        <w:tblLook w:val="04A0" w:firstRow="1" w:lastRow="0" w:firstColumn="1" w:lastColumn="0" w:noHBand="0" w:noVBand="1"/>
        <w:tblDescription w:val="Cost per CABG implantation procedure in public sector"/>
      </w:tblPr>
      <w:tblGrid>
        <w:gridCol w:w="5225"/>
        <w:gridCol w:w="1163"/>
        <w:gridCol w:w="872"/>
        <w:gridCol w:w="871"/>
        <w:gridCol w:w="1111"/>
      </w:tblGrid>
      <w:tr w:rsidR="002F2AFD" w:rsidRPr="00F55910" w14:paraId="71990E9E" w14:textId="77777777" w:rsidTr="00857B30">
        <w:trPr>
          <w:trHeight w:val="300"/>
          <w:tblHeader/>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E8E5" w14:textId="77777777" w:rsidR="002F2AFD" w:rsidRPr="00F55910" w:rsidRDefault="002F2AFD" w:rsidP="004C79C1">
            <w:pPr>
              <w:pStyle w:val="TableHeading"/>
              <w:spacing w:before="0" w:after="120"/>
            </w:pPr>
            <w:r w:rsidRPr="00F55910">
              <w:t>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0F0E9A39" w14:textId="77777777" w:rsidR="002F2AFD" w:rsidRPr="00F55910" w:rsidRDefault="002F2AFD" w:rsidP="004C79C1">
            <w:pPr>
              <w:pStyle w:val="TableHeading"/>
              <w:spacing w:before="0" w:after="120"/>
            </w:pPr>
            <w:r w:rsidRPr="00F55910">
              <w:t>AR-DRG</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3E3F2817" w14:textId="77777777" w:rsidR="002F2AFD" w:rsidRPr="00F55910" w:rsidRDefault="002F2AFD" w:rsidP="004C79C1">
            <w:pPr>
              <w:pStyle w:val="TableHeading"/>
              <w:spacing w:before="0" w:after="120"/>
              <w:jc w:val="center"/>
            </w:pPr>
            <w:r w:rsidRPr="00F55910">
              <w:t>Seps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17F1DAB7" w14:textId="77777777" w:rsidR="002F2AFD" w:rsidRPr="00F55910" w:rsidRDefault="002F2AFD" w:rsidP="004C79C1">
            <w:pPr>
              <w:pStyle w:val="TableHeading"/>
              <w:spacing w:before="0" w:after="120"/>
              <w:jc w:val="center"/>
            </w:pPr>
            <w:r w:rsidRPr="00F55910">
              <w:t>Weight</w:t>
            </w:r>
          </w:p>
        </w:tc>
        <w:tc>
          <w:tcPr>
            <w:tcW w:w="601" w:type="pct"/>
            <w:tcBorders>
              <w:top w:val="single" w:sz="4" w:space="0" w:color="auto"/>
              <w:left w:val="nil"/>
              <w:bottom w:val="single" w:sz="4" w:space="0" w:color="auto"/>
              <w:right w:val="single" w:sz="4" w:space="0" w:color="auto"/>
            </w:tcBorders>
            <w:vAlign w:val="center"/>
          </w:tcPr>
          <w:p w14:paraId="34606896" w14:textId="1BFA9043" w:rsidR="002F2AFD" w:rsidRPr="00F55910" w:rsidRDefault="002F2AFD" w:rsidP="004C79C1">
            <w:pPr>
              <w:pStyle w:val="TableHeading"/>
              <w:spacing w:before="0" w:after="120"/>
              <w:jc w:val="center"/>
            </w:pPr>
            <w:r w:rsidRPr="00F55910">
              <w:t>Cost</w:t>
            </w:r>
            <w:r w:rsidR="0025565A">
              <w:t xml:space="preserve"> </w:t>
            </w:r>
            <w:r w:rsidR="0025565A" w:rsidRPr="005F66C3">
              <w:rPr>
                <w:vertAlign w:val="superscript"/>
              </w:rPr>
              <w:t>a</w:t>
            </w:r>
          </w:p>
        </w:tc>
      </w:tr>
      <w:tr w:rsidR="002F2AFD" w:rsidRPr="00E17CB6" w14:paraId="29C057A7"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2B238" w14:textId="77777777" w:rsidR="002F2AFD" w:rsidRPr="0083783D" w:rsidRDefault="002F2AFD" w:rsidP="004C79C1">
            <w:pPr>
              <w:pStyle w:val="TableText0"/>
              <w:spacing w:before="0" w:after="120"/>
            </w:pPr>
            <w:r w:rsidRPr="00F55910">
              <w:t>Coronary bypass without invasive cardiac investigation with catastrophic complications</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90BDAB3" w14:textId="77777777" w:rsidR="002F2AFD" w:rsidRDefault="002F2AFD" w:rsidP="004C79C1">
            <w:pPr>
              <w:pStyle w:val="TableText0"/>
              <w:spacing w:before="0" w:after="120"/>
            </w:pPr>
            <w:r>
              <w:rPr>
                <w:rFonts w:cs="Times New Roman"/>
                <w:color w:val="000000"/>
              </w:rPr>
              <w:t>F06A</w:t>
            </w:r>
          </w:p>
        </w:tc>
        <w:tc>
          <w:tcPr>
            <w:tcW w:w="472" w:type="pct"/>
            <w:tcBorders>
              <w:top w:val="single" w:sz="4" w:space="0" w:color="auto"/>
              <w:left w:val="nil"/>
              <w:bottom w:val="single" w:sz="4" w:space="0" w:color="auto"/>
              <w:right w:val="single" w:sz="4" w:space="0" w:color="auto"/>
            </w:tcBorders>
            <w:shd w:val="clear" w:color="auto" w:fill="auto"/>
            <w:noWrap/>
            <w:vAlign w:val="center"/>
          </w:tcPr>
          <w:p w14:paraId="26D1BC07" w14:textId="77777777" w:rsidR="002F2AFD" w:rsidRPr="00E17CB6" w:rsidRDefault="002F2AFD" w:rsidP="004C79C1">
            <w:pPr>
              <w:pStyle w:val="TableText0"/>
              <w:spacing w:before="0" w:after="120"/>
              <w:jc w:val="right"/>
            </w:pPr>
            <w:r w:rsidRPr="00974E4A">
              <w:t>2,240</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57271875" w14:textId="77777777" w:rsidR="002F2AFD" w:rsidRPr="00E17CB6" w:rsidRDefault="002F2AFD" w:rsidP="004C79C1">
            <w:pPr>
              <w:pStyle w:val="TableText0"/>
              <w:spacing w:before="0" w:after="120"/>
              <w:jc w:val="right"/>
            </w:pPr>
            <w:r w:rsidRPr="00565CDB">
              <w:t>39.1%</w:t>
            </w:r>
          </w:p>
        </w:tc>
        <w:tc>
          <w:tcPr>
            <w:tcW w:w="601" w:type="pct"/>
            <w:tcBorders>
              <w:top w:val="single" w:sz="4" w:space="0" w:color="auto"/>
              <w:left w:val="nil"/>
              <w:bottom w:val="single" w:sz="4" w:space="0" w:color="auto"/>
              <w:right w:val="single" w:sz="4" w:space="0" w:color="auto"/>
            </w:tcBorders>
            <w:vAlign w:val="center"/>
          </w:tcPr>
          <w:p w14:paraId="11E21806" w14:textId="77777777" w:rsidR="002F2AFD" w:rsidRPr="00E17CB6" w:rsidRDefault="002F2AFD" w:rsidP="004C79C1">
            <w:pPr>
              <w:pStyle w:val="TableText0"/>
              <w:spacing w:before="0" w:after="120"/>
              <w:jc w:val="right"/>
            </w:pPr>
            <w:r w:rsidRPr="00974E4A">
              <w:t>$39,199</w:t>
            </w:r>
          </w:p>
        </w:tc>
      </w:tr>
      <w:tr w:rsidR="002F2AFD" w:rsidRPr="0083783D" w14:paraId="44B78E29"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vAlign w:val="center"/>
          </w:tcPr>
          <w:p w14:paraId="52EF615B" w14:textId="77777777" w:rsidR="002F2AFD" w:rsidRPr="00E17CB6" w:rsidRDefault="002F2AFD" w:rsidP="004C79C1">
            <w:pPr>
              <w:pStyle w:val="TableText0"/>
              <w:spacing w:before="0" w:after="120"/>
              <w:rPr>
                <w:rFonts w:cs="Times New Roman"/>
                <w:color w:val="000000"/>
              </w:rPr>
            </w:pPr>
            <w:r w:rsidRPr="00F55910">
              <w:t>Coronary bypass without inva</w:t>
            </w:r>
            <w:r>
              <w:t xml:space="preserve">sive cardiac investigation without </w:t>
            </w:r>
            <w:r w:rsidRPr="00F55910">
              <w:t>catastrophic complications</w:t>
            </w:r>
          </w:p>
        </w:tc>
        <w:tc>
          <w:tcPr>
            <w:tcW w:w="629" w:type="pct"/>
            <w:tcBorders>
              <w:top w:val="nil"/>
              <w:left w:val="nil"/>
              <w:bottom w:val="single" w:sz="4" w:space="0" w:color="auto"/>
              <w:right w:val="single" w:sz="4" w:space="0" w:color="auto"/>
            </w:tcBorders>
            <w:shd w:val="clear" w:color="auto" w:fill="auto"/>
            <w:noWrap/>
            <w:vAlign w:val="center"/>
          </w:tcPr>
          <w:p w14:paraId="4476C908" w14:textId="77777777" w:rsidR="002F2AFD" w:rsidRPr="00E17CB6" w:rsidRDefault="002F2AFD" w:rsidP="004C79C1">
            <w:pPr>
              <w:pStyle w:val="TableText0"/>
              <w:spacing w:before="0" w:after="120"/>
              <w:rPr>
                <w:rFonts w:cs="Times New Roman"/>
                <w:color w:val="000000"/>
              </w:rPr>
            </w:pPr>
            <w:r>
              <w:rPr>
                <w:rFonts w:cs="Times New Roman"/>
                <w:color w:val="000000"/>
              </w:rPr>
              <w:t>F06B</w:t>
            </w:r>
          </w:p>
        </w:tc>
        <w:tc>
          <w:tcPr>
            <w:tcW w:w="472" w:type="pct"/>
            <w:tcBorders>
              <w:top w:val="nil"/>
              <w:left w:val="nil"/>
              <w:bottom w:val="single" w:sz="4" w:space="0" w:color="auto"/>
              <w:right w:val="single" w:sz="4" w:space="0" w:color="auto"/>
            </w:tcBorders>
            <w:shd w:val="clear" w:color="auto" w:fill="auto"/>
            <w:noWrap/>
            <w:vAlign w:val="center"/>
          </w:tcPr>
          <w:p w14:paraId="1C0B241B" w14:textId="77777777" w:rsidR="002F2AFD" w:rsidRPr="00E17CB6" w:rsidRDefault="002F2AFD" w:rsidP="004C79C1">
            <w:pPr>
              <w:pStyle w:val="TableText0"/>
              <w:spacing w:before="0" w:after="120"/>
              <w:jc w:val="right"/>
              <w:rPr>
                <w:rFonts w:cs="Times New Roman"/>
                <w:color w:val="000000"/>
              </w:rPr>
            </w:pPr>
            <w:r w:rsidRPr="00974E4A">
              <w:t>1,883</w:t>
            </w:r>
          </w:p>
        </w:tc>
        <w:tc>
          <w:tcPr>
            <w:tcW w:w="471" w:type="pct"/>
            <w:tcBorders>
              <w:top w:val="nil"/>
              <w:left w:val="nil"/>
              <w:bottom w:val="single" w:sz="4" w:space="0" w:color="auto"/>
              <w:right w:val="single" w:sz="4" w:space="0" w:color="auto"/>
            </w:tcBorders>
            <w:shd w:val="clear" w:color="auto" w:fill="auto"/>
            <w:noWrap/>
            <w:vAlign w:val="center"/>
          </w:tcPr>
          <w:p w14:paraId="7274DE5F" w14:textId="77777777" w:rsidR="002F2AFD" w:rsidRPr="00E17CB6" w:rsidRDefault="002F2AFD" w:rsidP="004C79C1">
            <w:pPr>
              <w:pStyle w:val="TableText0"/>
              <w:spacing w:before="0" w:after="120"/>
              <w:jc w:val="right"/>
              <w:rPr>
                <w:rFonts w:cs="Times New Roman"/>
                <w:color w:val="000000"/>
              </w:rPr>
            </w:pPr>
            <w:r w:rsidRPr="00565CDB">
              <w:t>32.8%</w:t>
            </w:r>
          </w:p>
        </w:tc>
        <w:tc>
          <w:tcPr>
            <w:tcW w:w="601" w:type="pct"/>
            <w:tcBorders>
              <w:top w:val="nil"/>
              <w:left w:val="nil"/>
              <w:bottom w:val="single" w:sz="4" w:space="0" w:color="auto"/>
              <w:right w:val="single" w:sz="4" w:space="0" w:color="auto"/>
            </w:tcBorders>
            <w:vAlign w:val="center"/>
          </w:tcPr>
          <w:p w14:paraId="0883D60E" w14:textId="77777777" w:rsidR="002F2AFD" w:rsidRPr="00E17CB6" w:rsidRDefault="002F2AFD" w:rsidP="004C79C1">
            <w:pPr>
              <w:pStyle w:val="TableText0"/>
              <w:spacing w:before="0" w:after="120"/>
              <w:jc w:val="right"/>
              <w:rPr>
                <w:rFonts w:cs="Times New Roman"/>
                <w:color w:val="000000"/>
              </w:rPr>
            </w:pPr>
            <w:r w:rsidRPr="00974E4A">
              <w:t>$29,405</w:t>
            </w:r>
          </w:p>
        </w:tc>
      </w:tr>
      <w:tr w:rsidR="002F2AFD" w:rsidRPr="00E17CB6" w14:paraId="530897DF"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vAlign w:val="center"/>
            <w:hideMark/>
          </w:tcPr>
          <w:p w14:paraId="50D581C7" w14:textId="77777777" w:rsidR="002F2AFD" w:rsidRPr="00E17CB6" w:rsidRDefault="002F2AFD" w:rsidP="004C79C1">
            <w:pPr>
              <w:pStyle w:val="TableText0"/>
              <w:spacing w:before="0" w:after="120"/>
              <w:rPr>
                <w:rFonts w:cs="Times New Roman"/>
                <w:color w:val="000000"/>
              </w:rPr>
            </w:pPr>
            <w:r>
              <w:rPr>
                <w:rFonts w:cs="Times New Roman"/>
                <w:color w:val="000000"/>
              </w:rPr>
              <w:t>Coronary bypass with invasive c</w:t>
            </w:r>
            <w:r w:rsidRPr="00DD11A6">
              <w:rPr>
                <w:rFonts w:cs="Times New Roman"/>
                <w:color w:val="000000"/>
              </w:rPr>
              <w:t xml:space="preserve">ardiac </w:t>
            </w:r>
            <w:r>
              <w:rPr>
                <w:rFonts w:cs="Times New Roman"/>
                <w:color w:val="000000"/>
              </w:rPr>
              <w:t>i</w:t>
            </w:r>
            <w:r w:rsidRPr="00DD11A6">
              <w:rPr>
                <w:rFonts w:cs="Times New Roman"/>
                <w:color w:val="000000"/>
              </w:rPr>
              <w:t xml:space="preserve">nvestigation </w:t>
            </w:r>
            <w:r>
              <w:rPr>
                <w:rFonts w:cs="Times New Roman"/>
                <w:color w:val="000000"/>
              </w:rPr>
              <w:t>with</w:t>
            </w:r>
            <w:r w:rsidRPr="00E17CB6">
              <w:rPr>
                <w:rFonts w:cs="Times New Roman"/>
                <w:color w:val="000000"/>
              </w:rPr>
              <w:t xml:space="preserve"> </w:t>
            </w:r>
            <w:r>
              <w:rPr>
                <w:rFonts w:cs="Times New Roman"/>
                <w:color w:val="000000"/>
              </w:rPr>
              <w:t>catastrophic complications</w:t>
            </w:r>
          </w:p>
        </w:tc>
        <w:tc>
          <w:tcPr>
            <w:tcW w:w="629" w:type="pct"/>
            <w:tcBorders>
              <w:top w:val="nil"/>
              <w:left w:val="nil"/>
              <w:bottom w:val="single" w:sz="4" w:space="0" w:color="auto"/>
              <w:right w:val="single" w:sz="4" w:space="0" w:color="auto"/>
            </w:tcBorders>
            <w:shd w:val="clear" w:color="auto" w:fill="auto"/>
            <w:noWrap/>
            <w:vAlign w:val="center"/>
            <w:hideMark/>
          </w:tcPr>
          <w:p w14:paraId="29E082B1" w14:textId="77777777" w:rsidR="002F2AFD" w:rsidRPr="00E17CB6" w:rsidRDefault="002F2AFD" w:rsidP="004C79C1">
            <w:pPr>
              <w:pStyle w:val="TableText0"/>
              <w:spacing w:before="0" w:after="120"/>
              <w:rPr>
                <w:rFonts w:cs="Times New Roman"/>
                <w:color w:val="000000"/>
              </w:rPr>
            </w:pPr>
            <w:r>
              <w:rPr>
                <w:rFonts w:cs="Times New Roman"/>
                <w:color w:val="000000"/>
              </w:rPr>
              <w:t>F05A</w:t>
            </w:r>
          </w:p>
        </w:tc>
        <w:tc>
          <w:tcPr>
            <w:tcW w:w="472" w:type="pct"/>
            <w:tcBorders>
              <w:top w:val="nil"/>
              <w:left w:val="nil"/>
              <w:bottom w:val="single" w:sz="4" w:space="0" w:color="auto"/>
              <w:right w:val="single" w:sz="4" w:space="0" w:color="auto"/>
            </w:tcBorders>
            <w:shd w:val="clear" w:color="auto" w:fill="auto"/>
            <w:noWrap/>
            <w:vAlign w:val="center"/>
            <w:hideMark/>
          </w:tcPr>
          <w:p w14:paraId="25027A26" w14:textId="77777777" w:rsidR="002F2AFD" w:rsidRPr="00E17CB6" w:rsidRDefault="002F2AFD" w:rsidP="004C79C1">
            <w:pPr>
              <w:pStyle w:val="TableText0"/>
              <w:spacing w:before="0" w:after="120"/>
              <w:jc w:val="right"/>
              <w:rPr>
                <w:rFonts w:cs="Times New Roman"/>
                <w:color w:val="000000"/>
              </w:rPr>
            </w:pPr>
            <w:r w:rsidRPr="00DC0160">
              <w:t>1,105</w:t>
            </w:r>
          </w:p>
        </w:tc>
        <w:tc>
          <w:tcPr>
            <w:tcW w:w="471" w:type="pct"/>
            <w:tcBorders>
              <w:top w:val="nil"/>
              <w:left w:val="nil"/>
              <w:bottom w:val="single" w:sz="4" w:space="0" w:color="auto"/>
              <w:right w:val="single" w:sz="4" w:space="0" w:color="auto"/>
            </w:tcBorders>
            <w:shd w:val="clear" w:color="auto" w:fill="auto"/>
            <w:noWrap/>
            <w:vAlign w:val="center"/>
            <w:hideMark/>
          </w:tcPr>
          <w:p w14:paraId="6B14BFF8" w14:textId="77777777" w:rsidR="002F2AFD" w:rsidRPr="00E17CB6" w:rsidRDefault="002F2AFD" w:rsidP="004C79C1">
            <w:pPr>
              <w:pStyle w:val="TableText0"/>
              <w:spacing w:before="0" w:after="120"/>
              <w:jc w:val="right"/>
              <w:rPr>
                <w:rFonts w:cs="Times New Roman"/>
                <w:color w:val="000000"/>
              </w:rPr>
            </w:pPr>
            <w:r w:rsidRPr="00565CDB">
              <w:t>19.3%</w:t>
            </w:r>
          </w:p>
        </w:tc>
        <w:tc>
          <w:tcPr>
            <w:tcW w:w="601" w:type="pct"/>
            <w:tcBorders>
              <w:top w:val="nil"/>
              <w:left w:val="nil"/>
              <w:bottom w:val="single" w:sz="4" w:space="0" w:color="auto"/>
              <w:right w:val="single" w:sz="4" w:space="0" w:color="auto"/>
            </w:tcBorders>
            <w:vAlign w:val="center"/>
          </w:tcPr>
          <w:p w14:paraId="161587D4" w14:textId="77777777" w:rsidR="002F2AFD" w:rsidRPr="00015E0F" w:rsidRDefault="002F2AFD" w:rsidP="004C79C1">
            <w:pPr>
              <w:pStyle w:val="TableText0"/>
              <w:spacing w:before="0" w:after="120"/>
              <w:jc w:val="right"/>
            </w:pPr>
            <w:r w:rsidRPr="00DC0160">
              <w:t>$53,462</w:t>
            </w:r>
          </w:p>
        </w:tc>
      </w:tr>
      <w:tr w:rsidR="002F2AFD" w:rsidRPr="0083783D" w14:paraId="31006990"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72746" w14:textId="77777777" w:rsidR="002F2AFD" w:rsidRPr="00E17CB6" w:rsidRDefault="002F2AFD" w:rsidP="004C79C1">
            <w:pPr>
              <w:pStyle w:val="TableText0"/>
              <w:spacing w:before="0" w:after="120"/>
              <w:rPr>
                <w:rFonts w:cs="Times New Roman"/>
                <w:color w:val="000000"/>
              </w:rPr>
            </w:pPr>
            <w:r>
              <w:rPr>
                <w:rFonts w:cs="Times New Roman"/>
                <w:color w:val="000000"/>
              </w:rPr>
              <w:t>Coronary bypass with invasive c</w:t>
            </w:r>
            <w:r w:rsidRPr="00DD11A6">
              <w:rPr>
                <w:rFonts w:cs="Times New Roman"/>
                <w:color w:val="000000"/>
              </w:rPr>
              <w:t xml:space="preserve">ardiac </w:t>
            </w:r>
            <w:r>
              <w:rPr>
                <w:rFonts w:cs="Times New Roman"/>
                <w:color w:val="000000"/>
              </w:rPr>
              <w:t>i</w:t>
            </w:r>
            <w:r w:rsidRPr="00DD11A6">
              <w:rPr>
                <w:rFonts w:cs="Times New Roman"/>
                <w:color w:val="000000"/>
              </w:rPr>
              <w:t xml:space="preserve">nvestigation </w:t>
            </w:r>
            <w:r>
              <w:rPr>
                <w:rFonts w:cs="Times New Roman"/>
                <w:color w:val="000000"/>
              </w:rPr>
              <w:t>with</w:t>
            </w:r>
            <w:r w:rsidRPr="00E17CB6">
              <w:rPr>
                <w:rFonts w:cs="Times New Roman"/>
                <w:color w:val="000000"/>
              </w:rPr>
              <w:t xml:space="preserve"> </w:t>
            </w:r>
            <w:r>
              <w:rPr>
                <w:rFonts w:cs="Times New Roman"/>
                <w:color w:val="000000"/>
              </w:rPr>
              <w:t>catastrophic complications</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C6A5311" w14:textId="77777777" w:rsidR="002F2AFD" w:rsidRDefault="002F2AFD" w:rsidP="004C79C1">
            <w:pPr>
              <w:pStyle w:val="TableText0"/>
              <w:spacing w:before="0" w:after="120"/>
              <w:rPr>
                <w:rFonts w:cs="Times New Roman"/>
                <w:color w:val="000000"/>
              </w:rPr>
            </w:pPr>
            <w:r>
              <w:t>F05B</w:t>
            </w:r>
          </w:p>
        </w:tc>
        <w:tc>
          <w:tcPr>
            <w:tcW w:w="472" w:type="pct"/>
            <w:tcBorders>
              <w:top w:val="single" w:sz="4" w:space="0" w:color="auto"/>
              <w:left w:val="nil"/>
              <w:bottom w:val="single" w:sz="4" w:space="0" w:color="auto"/>
              <w:right w:val="single" w:sz="4" w:space="0" w:color="auto"/>
            </w:tcBorders>
            <w:shd w:val="clear" w:color="auto" w:fill="auto"/>
            <w:noWrap/>
            <w:vAlign w:val="center"/>
          </w:tcPr>
          <w:p w14:paraId="66017436" w14:textId="77777777" w:rsidR="002F2AFD" w:rsidRPr="00015E0F" w:rsidRDefault="002F2AFD" w:rsidP="004C79C1">
            <w:pPr>
              <w:pStyle w:val="TableText0"/>
              <w:spacing w:before="0" w:after="120"/>
              <w:jc w:val="right"/>
            </w:pPr>
            <w:r w:rsidRPr="00DC0160">
              <w:t>508</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60D42EEE" w14:textId="77777777" w:rsidR="002F2AFD" w:rsidRPr="00015E0F" w:rsidRDefault="002F2AFD" w:rsidP="004C79C1">
            <w:pPr>
              <w:pStyle w:val="TableText0"/>
              <w:spacing w:before="0" w:after="120"/>
              <w:jc w:val="right"/>
            </w:pPr>
            <w:r w:rsidRPr="00565CDB">
              <w:t>8.9%</w:t>
            </w:r>
          </w:p>
        </w:tc>
        <w:tc>
          <w:tcPr>
            <w:tcW w:w="601" w:type="pct"/>
            <w:tcBorders>
              <w:top w:val="single" w:sz="4" w:space="0" w:color="auto"/>
              <w:left w:val="nil"/>
              <w:bottom w:val="single" w:sz="4" w:space="0" w:color="auto"/>
              <w:right w:val="single" w:sz="4" w:space="0" w:color="auto"/>
            </w:tcBorders>
            <w:vAlign w:val="center"/>
          </w:tcPr>
          <w:p w14:paraId="47194F34" w14:textId="77777777" w:rsidR="002F2AFD" w:rsidRPr="00DC0160" w:rsidRDefault="002F2AFD" w:rsidP="004C79C1">
            <w:pPr>
              <w:pStyle w:val="TableText0"/>
              <w:spacing w:before="0" w:after="120"/>
              <w:jc w:val="right"/>
            </w:pPr>
            <w:r w:rsidRPr="00DC0160">
              <w:t>$39,809</w:t>
            </w:r>
          </w:p>
        </w:tc>
      </w:tr>
      <w:tr w:rsidR="002F2AFD" w:rsidRPr="0083783D" w14:paraId="44E17E79" w14:textId="77777777" w:rsidTr="00857B30">
        <w:trPr>
          <w:trHeight w:val="300"/>
        </w:trPr>
        <w:tc>
          <w:tcPr>
            <w:tcW w:w="2827" w:type="pct"/>
            <w:tcBorders>
              <w:top w:val="single" w:sz="4" w:space="0" w:color="auto"/>
              <w:left w:val="single" w:sz="4" w:space="0" w:color="auto"/>
              <w:bottom w:val="single" w:sz="4" w:space="0" w:color="auto"/>
            </w:tcBorders>
            <w:shd w:val="clear" w:color="auto" w:fill="auto"/>
            <w:noWrap/>
            <w:vAlign w:val="center"/>
          </w:tcPr>
          <w:p w14:paraId="77DE93D3" w14:textId="57B4019D" w:rsidR="002F2AFD" w:rsidRPr="00E17CB6" w:rsidRDefault="002F2AFD" w:rsidP="004C79C1">
            <w:pPr>
              <w:pStyle w:val="TableText0"/>
              <w:spacing w:before="0" w:after="120"/>
              <w:rPr>
                <w:rFonts w:cs="Times New Roman"/>
                <w:color w:val="000000"/>
              </w:rPr>
            </w:pPr>
            <w:r w:rsidRPr="00E466A3">
              <w:rPr>
                <w:rFonts w:cs="Times New Roman"/>
                <w:b/>
                <w:color w:val="000000"/>
              </w:rPr>
              <w:t>Weighted cost</w:t>
            </w:r>
            <w:r>
              <w:rPr>
                <w:rFonts w:cs="Times New Roman"/>
                <w:b/>
                <w:color w:val="000000"/>
              </w:rPr>
              <w:t xml:space="preserve"> (adjusted for inflation)</w:t>
            </w:r>
            <w:r w:rsidR="0025565A">
              <w:rPr>
                <w:rFonts w:cs="Times New Roman"/>
                <w:b/>
                <w:color w:val="000000"/>
              </w:rPr>
              <w:t xml:space="preserve"> </w:t>
            </w:r>
            <w:r w:rsidR="0025565A" w:rsidRPr="005F66C3">
              <w:rPr>
                <w:rFonts w:cs="Times New Roman"/>
                <w:b/>
                <w:color w:val="000000"/>
                <w:vertAlign w:val="superscript"/>
              </w:rPr>
              <w:t>b</w:t>
            </w:r>
          </w:p>
        </w:tc>
        <w:tc>
          <w:tcPr>
            <w:tcW w:w="629" w:type="pct"/>
            <w:tcBorders>
              <w:top w:val="single" w:sz="4" w:space="0" w:color="auto"/>
              <w:bottom w:val="single" w:sz="4" w:space="0" w:color="auto"/>
            </w:tcBorders>
            <w:shd w:val="clear" w:color="auto" w:fill="auto"/>
            <w:noWrap/>
            <w:vAlign w:val="center"/>
          </w:tcPr>
          <w:p w14:paraId="30D9EFAD" w14:textId="77777777" w:rsidR="002F2AFD" w:rsidRDefault="002F2AFD" w:rsidP="004C79C1">
            <w:pPr>
              <w:pStyle w:val="TableText0"/>
              <w:spacing w:before="0" w:after="120"/>
              <w:rPr>
                <w:rFonts w:cs="Times New Roman"/>
                <w:color w:val="000000"/>
              </w:rPr>
            </w:pPr>
          </w:p>
        </w:tc>
        <w:tc>
          <w:tcPr>
            <w:tcW w:w="472" w:type="pct"/>
            <w:tcBorders>
              <w:top w:val="single" w:sz="4" w:space="0" w:color="auto"/>
              <w:bottom w:val="single" w:sz="4" w:space="0" w:color="auto"/>
            </w:tcBorders>
            <w:shd w:val="clear" w:color="auto" w:fill="auto"/>
            <w:noWrap/>
            <w:vAlign w:val="center"/>
          </w:tcPr>
          <w:p w14:paraId="33CC9A96" w14:textId="77777777" w:rsidR="002F2AFD" w:rsidRPr="00015E0F" w:rsidRDefault="002F2AFD" w:rsidP="004C79C1">
            <w:pPr>
              <w:pStyle w:val="TableText0"/>
              <w:spacing w:before="0" w:after="120"/>
              <w:jc w:val="right"/>
            </w:pPr>
          </w:p>
        </w:tc>
        <w:tc>
          <w:tcPr>
            <w:tcW w:w="471" w:type="pct"/>
            <w:tcBorders>
              <w:top w:val="single" w:sz="4" w:space="0" w:color="auto"/>
              <w:bottom w:val="single" w:sz="4" w:space="0" w:color="auto"/>
              <w:right w:val="single" w:sz="4" w:space="0" w:color="auto"/>
            </w:tcBorders>
            <w:shd w:val="clear" w:color="auto" w:fill="auto"/>
            <w:noWrap/>
            <w:vAlign w:val="center"/>
          </w:tcPr>
          <w:p w14:paraId="4B53450F" w14:textId="77777777" w:rsidR="002F2AFD" w:rsidRPr="00015E0F" w:rsidRDefault="002F2AFD" w:rsidP="004C79C1">
            <w:pPr>
              <w:pStyle w:val="TableText0"/>
              <w:spacing w:before="0" w:after="120"/>
              <w:jc w:val="right"/>
            </w:pPr>
          </w:p>
        </w:tc>
        <w:tc>
          <w:tcPr>
            <w:tcW w:w="601" w:type="pct"/>
            <w:tcBorders>
              <w:top w:val="single" w:sz="4" w:space="0" w:color="auto"/>
              <w:left w:val="nil"/>
              <w:bottom w:val="single" w:sz="4" w:space="0" w:color="auto"/>
              <w:right w:val="single" w:sz="4" w:space="0" w:color="auto"/>
            </w:tcBorders>
            <w:vAlign w:val="center"/>
          </w:tcPr>
          <w:p w14:paraId="548D1EC0" w14:textId="77777777" w:rsidR="002F2AFD" w:rsidRPr="00E05AB1" w:rsidRDefault="002F2AFD" w:rsidP="004C79C1">
            <w:pPr>
              <w:pStyle w:val="TableText0"/>
              <w:spacing w:before="0" w:after="120"/>
              <w:jc w:val="right"/>
              <w:rPr>
                <w:b/>
              </w:rPr>
            </w:pPr>
            <w:r w:rsidRPr="00E05AB1">
              <w:rPr>
                <w:b/>
              </w:rPr>
              <w:t>$39,371</w:t>
            </w:r>
          </w:p>
        </w:tc>
      </w:tr>
    </w:tbl>
    <w:p w14:paraId="1D0E9FD2" w14:textId="545A5149" w:rsidR="002F2AFD" w:rsidRPr="008B3137" w:rsidRDefault="0025565A" w:rsidP="004C79C1">
      <w:pPr>
        <w:pStyle w:val="Tablenotes0"/>
        <w:spacing w:before="0" w:after="120"/>
        <w:contextualSpacing/>
      </w:pPr>
      <w:r w:rsidRPr="005F66C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8B3137">
        <w:t xml:space="preserve"> </w:t>
      </w:r>
      <w:r w:rsidR="00666C40">
        <w:t>*</w:t>
      </w:r>
      <w:r w:rsidR="002F2AFD" w:rsidRPr="008B3137">
        <w:t xml:space="preserve"> the N</w:t>
      </w:r>
      <w:r w:rsidR="00A47F00">
        <w:t>EP</w:t>
      </w:r>
      <w:r w:rsidR="002F2AFD" w:rsidRPr="008B3137">
        <w:t xml:space="preserve"> 2016</w:t>
      </w:r>
      <w:r w:rsidR="00B96D15">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55160C49" w14:textId="17F45D58" w:rsidR="002F2AFD" w:rsidRDefault="0025565A" w:rsidP="004C79C1">
      <w:pPr>
        <w:pStyle w:val="Tablenotes0"/>
        <w:spacing w:before="0" w:after="120"/>
      </w:pPr>
      <w:proofErr w:type="gramStart"/>
      <w:r w:rsidRPr="005F66C3">
        <w:rPr>
          <w:vertAlign w:val="superscript"/>
        </w:rPr>
        <w:t>b</w:t>
      </w:r>
      <w:proofErr w:type="gramEnd"/>
      <w:r>
        <w:t xml:space="preserve"> </w:t>
      </w:r>
      <w:r w:rsidR="002F2AFD">
        <w:t xml:space="preserve">Converted to 2015 AUD using </w:t>
      </w:r>
      <w:r w:rsidR="002F2AFD" w:rsidRPr="00B66250">
        <w:t>inflation calculator provided by Reserve Bank of Australia</w:t>
      </w:r>
      <w:r w:rsidR="002F2AFD">
        <w:t>;</w:t>
      </w:r>
      <w:r w:rsidR="002F2AFD" w:rsidRPr="00B66250">
        <w:t xml:space="preserve"> </w:t>
      </w:r>
      <w:r w:rsidR="00666C40">
        <w:t>&lt;</w:t>
      </w:r>
      <w:hyperlink r:id="rId100"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576228DB" w14:textId="0153DCFD" w:rsidR="004305DF" w:rsidRPr="008B3137" w:rsidRDefault="004305DF" w:rsidP="004C79C1">
      <w:pPr>
        <w:pStyle w:val="Tablenotes0"/>
        <w:spacing w:before="0" w:after="120"/>
        <w:contextualSpacing/>
        <w:rPr>
          <w:rStyle w:val="st"/>
        </w:rPr>
      </w:pPr>
      <w:r w:rsidRPr="008B3137">
        <w:t xml:space="preserve">AR-DRG = </w:t>
      </w:r>
      <w:r w:rsidRPr="008B3137">
        <w:rPr>
          <w:rStyle w:val="st"/>
        </w:rPr>
        <w:t xml:space="preserve">Australian Refined Diagnosis Related Groups; </w:t>
      </w:r>
      <w:r>
        <w:rPr>
          <w:rStyle w:val="st"/>
        </w:rPr>
        <w:t>CABG = coronary artery bypass grafting;</w:t>
      </w:r>
      <w:r w:rsidRPr="008B3137">
        <w:rPr>
          <w:rStyle w:val="st"/>
        </w:rPr>
        <w:t xml:space="preserve"> </w:t>
      </w:r>
      <w:r w:rsidR="00C04D97">
        <w:t xml:space="preserve">NEP = National Efficient Price; </w:t>
      </w:r>
      <w:r w:rsidRPr="008B3137">
        <w:rPr>
          <w:rStyle w:val="st"/>
        </w:rPr>
        <w:t>Seps = number of hospital separations</w:t>
      </w:r>
    </w:p>
    <w:p w14:paraId="6CD8E1FA" w14:textId="77777777" w:rsidR="004305DF" w:rsidRPr="008B3137" w:rsidRDefault="004305DF" w:rsidP="004C79C1">
      <w:pPr>
        <w:pStyle w:val="Tablenotes0"/>
        <w:spacing w:before="0" w:after="120"/>
        <w:contextualSpacing/>
        <w:rPr>
          <w:rStyle w:val="st"/>
        </w:rPr>
      </w:pPr>
    </w:p>
    <w:p w14:paraId="49E233EC" w14:textId="3620EFAD" w:rsidR="002F2AFD" w:rsidRDefault="002F2AFD" w:rsidP="004C79C1">
      <w:pPr>
        <w:pStyle w:val="Caption"/>
        <w:keepNext/>
      </w:pPr>
      <w:bookmarkStart w:id="1031" w:name="_Toc450052125"/>
      <w:bookmarkStart w:id="1032" w:name="_Toc324410316"/>
      <w:bookmarkStart w:id="1033" w:name="_Toc451435439"/>
      <w:r>
        <w:lastRenderedPageBreak/>
        <w:t xml:space="preserve">Table </w:t>
      </w:r>
      <w:fldSimple w:instr=" SEQ Table \* ARABIC ">
        <w:r w:rsidR="00050936">
          <w:rPr>
            <w:noProof/>
          </w:rPr>
          <w:t>112</w:t>
        </w:r>
      </w:fldSimple>
      <w:r>
        <w:tab/>
      </w:r>
      <w:r w:rsidRPr="009F33B7">
        <w:t xml:space="preserve">Cost per </w:t>
      </w:r>
      <w:r>
        <w:t>CABG</w:t>
      </w:r>
      <w:r w:rsidRPr="009F33B7">
        <w:t xml:space="preserve"> </w:t>
      </w:r>
      <w:r>
        <w:t>surgery</w:t>
      </w:r>
      <w:r w:rsidRPr="009F33B7">
        <w:t xml:space="preserve"> in </w:t>
      </w:r>
      <w:r>
        <w:t>private</w:t>
      </w:r>
      <w:r w:rsidRPr="009F33B7">
        <w:t xml:space="preserve"> sector</w:t>
      </w:r>
      <w:bookmarkEnd w:id="1031"/>
      <w:bookmarkEnd w:id="1032"/>
      <w:bookmarkEnd w:id="1033"/>
    </w:p>
    <w:tbl>
      <w:tblPr>
        <w:tblStyle w:val="TableGrid1"/>
        <w:tblW w:w="5000" w:type="pct"/>
        <w:tblLook w:val="04A0" w:firstRow="1" w:lastRow="0" w:firstColumn="1" w:lastColumn="0" w:noHBand="0" w:noVBand="1"/>
        <w:tblDescription w:val="Cost per CABG surgery in private sector"/>
      </w:tblPr>
      <w:tblGrid>
        <w:gridCol w:w="3871"/>
        <w:gridCol w:w="1619"/>
        <w:gridCol w:w="1880"/>
        <w:gridCol w:w="1872"/>
      </w:tblGrid>
      <w:tr w:rsidR="002F2AFD" w:rsidRPr="00B6558E" w14:paraId="76BA563D" w14:textId="77777777" w:rsidTr="00D8421D">
        <w:trPr>
          <w:cnfStyle w:val="100000000000" w:firstRow="1" w:lastRow="0" w:firstColumn="0" w:lastColumn="0" w:oddVBand="0" w:evenVBand="0" w:oddHBand="0" w:evenHBand="0" w:firstRowFirstColumn="0" w:firstRowLastColumn="0" w:lastRowFirstColumn="0" w:lastRowLastColumn="0"/>
          <w:trHeight w:val="300"/>
          <w:tblHeader/>
        </w:trPr>
        <w:tc>
          <w:tcPr>
            <w:tcW w:w="2094" w:type="pct"/>
            <w:noWrap/>
            <w:hideMark/>
          </w:tcPr>
          <w:p w14:paraId="05EEB1B1" w14:textId="77777777" w:rsidR="002F2AFD" w:rsidRPr="00B6558E" w:rsidRDefault="002F2AFD" w:rsidP="004C79C1">
            <w:pPr>
              <w:pStyle w:val="TableHeading"/>
              <w:spacing w:before="0" w:after="120"/>
            </w:pPr>
          </w:p>
        </w:tc>
        <w:tc>
          <w:tcPr>
            <w:tcW w:w="876" w:type="pct"/>
            <w:noWrap/>
            <w:hideMark/>
          </w:tcPr>
          <w:p w14:paraId="31237552" w14:textId="77777777" w:rsidR="002F2AFD" w:rsidRPr="00B6558E" w:rsidRDefault="002F2AFD" w:rsidP="004C79C1">
            <w:pPr>
              <w:pStyle w:val="TableHeading"/>
              <w:spacing w:before="0" w:after="120"/>
              <w:jc w:val="center"/>
              <w:rPr>
                <w:color w:val="000000"/>
              </w:rPr>
            </w:pPr>
            <w:r w:rsidRPr="00B6558E">
              <w:rPr>
                <w:color w:val="000000"/>
              </w:rPr>
              <w:t>Medicare</w:t>
            </w:r>
          </w:p>
        </w:tc>
        <w:tc>
          <w:tcPr>
            <w:tcW w:w="1017" w:type="pct"/>
            <w:noWrap/>
            <w:hideMark/>
          </w:tcPr>
          <w:p w14:paraId="38589019" w14:textId="77777777" w:rsidR="002F2AFD" w:rsidRPr="00B6558E" w:rsidRDefault="002F2AFD" w:rsidP="004C79C1">
            <w:pPr>
              <w:pStyle w:val="TableHeading"/>
              <w:spacing w:before="0" w:after="120"/>
              <w:jc w:val="center"/>
              <w:rPr>
                <w:color w:val="000000"/>
              </w:rPr>
            </w:pPr>
            <w:r w:rsidRPr="00B6558E">
              <w:rPr>
                <w:color w:val="000000"/>
              </w:rPr>
              <w:t>PHI</w:t>
            </w:r>
          </w:p>
        </w:tc>
        <w:tc>
          <w:tcPr>
            <w:tcW w:w="1013" w:type="pct"/>
          </w:tcPr>
          <w:p w14:paraId="389CE999" w14:textId="77777777" w:rsidR="002F2AFD" w:rsidRPr="00B6558E" w:rsidRDefault="002F2AFD" w:rsidP="004C79C1">
            <w:pPr>
              <w:pStyle w:val="TableHeading"/>
              <w:spacing w:before="0" w:after="120"/>
              <w:jc w:val="center"/>
              <w:rPr>
                <w:color w:val="000000"/>
              </w:rPr>
            </w:pPr>
            <w:r>
              <w:t>Cost</w:t>
            </w:r>
          </w:p>
        </w:tc>
      </w:tr>
      <w:tr w:rsidR="002F2AFD" w:rsidRPr="00B6558E" w14:paraId="1D54E917" w14:textId="77777777" w:rsidTr="00D8421D">
        <w:trPr>
          <w:trHeight w:val="300"/>
        </w:trPr>
        <w:tc>
          <w:tcPr>
            <w:tcW w:w="2094" w:type="pct"/>
            <w:noWrap/>
            <w:hideMark/>
          </w:tcPr>
          <w:p w14:paraId="658B632F" w14:textId="77777777" w:rsidR="002F2AFD" w:rsidRPr="00B6558E" w:rsidRDefault="002F2AFD" w:rsidP="004C79C1">
            <w:pPr>
              <w:pStyle w:val="Tabletext1"/>
              <w:spacing w:before="0" w:after="120"/>
              <w:rPr>
                <w:color w:val="000000"/>
              </w:rPr>
            </w:pPr>
            <w:r w:rsidRPr="00B6558E">
              <w:rPr>
                <w:color w:val="000000"/>
              </w:rPr>
              <w:t>Total average hospital component</w:t>
            </w:r>
          </w:p>
        </w:tc>
        <w:tc>
          <w:tcPr>
            <w:tcW w:w="876" w:type="pct"/>
            <w:noWrap/>
            <w:hideMark/>
          </w:tcPr>
          <w:p w14:paraId="2F68FA30" w14:textId="77777777" w:rsidR="002F2AFD" w:rsidRPr="00B6558E" w:rsidRDefault="002F2AFD" w:rsidP="004C79C1">
            <w:pPr>
              <w:pStyle w:val="Tabletext1"/>
              <w:spacing w:before="0" w:after="120"/>
              <w:ind w:right="275"/>
              <w:jc w:val="right"/>
              <w:rPr>
                <w:color w:val="000000"/>
              </w:rPr>
            </w:pPr>
          </w:p>
        </w:tc>
        <w:tc>
          <w:tcPr>
            <w:tcW w:w="1017" w:type="pct"/>
            <w:noWrap/>
            <w:hideMark/>
          </w:tcPr>
          <w:p w14:paraId="6952BD6E" w14:textId="77777777" w:rsidR="002F2AFD" w:rsidRPr="00B6558E" w:rsidRDefault="002F2AFD" w:rsidP="004C79C1">
            <w:pPr>
              <w:pStyle w:val="Tabletext1"/>
              <w:spacing w:before="0" w:after="120"/>
              <w:ind w:right="275"/>
              <w:jc w:val="right"/>
              <w:rPr>
                <w:color w:val="000000"/>
              </w:rPr>
            </w:pPr>
            <w:r w:rsidRPr="0067299D">
              <w:t>$28,735</w:t>
            </w:r>
          </w:p>
        </w:tc>
        <w:tc>
          <w:tcPr>
            <w:tcW w:w="1013" w:type="pct"/>
          </w:tcPr>
          <w:p w14:paraId="263A156E" w14:textId="77777777" w:rsidR="002F2AFD" w:rsidRPr="00B6558E" w:rsidRDefault="002F2AFD" w:rsidP="004C79C1">
            <w:pPr>
              <w:pStyle w:val="Tabletext1"/>
              <w:spacing w:before="0" w:after="120"/>
              <w:ind w:right="275"/>
              <w:jc w:val="right"/>
              <w:rPr>
                <w:color w:val="000000"/>
              </w:rPr>
            </w:pPr>
            <w:r w:rsidRPr="000407FE">
              <w:t>$28,915</w:t>
            </w:r>
          </w:p>
        </w:tc>
      </w:tr>
      <w:tr w:rsidR="002F2AFD" w:rsidRPr="00B6558E" w14:paraId="757F28E9" w14:textId="77777777" w:rsidTr="00D8421D">
        <w:trPr>
          <w:trHeight w:val="300"/>
        </w:trPr>
        <w:tc>
          <w:tcPr>
            <w:tcW w:w="2094" w:type="pct"/>
            <w:noWrap/>
            <w:hideMark/>
          </w:tcPr>
          <w:p w14:paraId="5D7EDFCF" w14:textId="485C8DBE" w:rsidR="002F2AFD" w:rsidRPr="00B6558E" w:rsidRDefault="002F2AFD" w:rsidP="004C79C1">
            <w:pPr>
              <w:pStyle w:val="Tabletext1"/>
              <w:spacing w:before="0" w:after="120"/>
              <w:rPr>
                <w:color w:val="000000"/>
              </w:rPr>
            </w:pPr>
            <w:r w:rsidRPr="00B6558E">
              <w:rPr>
                <w:color w:val="000000"/>
              </w:rPr>
              <w:t xml:space="preserve">Total </w:t>
            </w:r>
            <w:r w:rsidR="00666C40">
              <w:rPr>
                <w:color w:val="000000"/>
              </w:rPr>
              <w:t>a</w:t>
            </w:r>
            <w:r w:rsidRPr="00B6558E">
              <w:rPr>
                <w:color w:val="000000"/>
              </w:rPr>
              <w:t xml:space="preserve">verage </w:t>
            </w:r>
            <w:r w:rsidR="00666C40">
              <w:rPr>
                <w:color w:val="000000"/>
              </w:rPr>
              <w:t>m</w:t>
            </w:r>
            <w:r w:rsidRPr="00B6558E">
              <w:rPr>
                <w:color w:val="000000"/>
              </w:rPr>
              <w:t xml:space="preserve">edical </w:t>
            </w:r>
            <w:r w:rsidR="00666C40">
              <w:rPr>
                <w:color w:val="000000"/>
              </w:rPr>
              <w:t>s</w:t>
            </w:r>
            <w:r w:rsidRPr="00B6558E">
              <w:rPr>
                <w:color w:val="000000"/>
              </w:rPr>
              <w:t>ervices</w:t>
            </w:r>
          </w:p>
        </w:tc>
        <w:tc>
          <w:tcPr>
            <w:tcW w:w="876" w:type="pct"/>
            <w:noWrap/>
            <w:hideMark/>
          </w:tcPr>
          <w:p w14:paraId="675CFAD6" w14:textId="77777777" w:rsidR="002F2AFD" w:rsidRPr="00B6558E" w:rsidRDefault="002F2AFD" w:rsidP="004C79C1">
            <w:pPr>
              <w:pStyle w:val="Tabletext1"/>
              <w:spacing w:before="0" w:after="120"/>
              <w:ind w:right="275"/>
              <w:jc w:val="right"/>
              <w:rPr>
                <w:color w:val="000000"/>
              </w:rPr>
            </w:pPr>
            <w:r w:rsidRPr="0067299D">
              <w:t>$7,750</w:t>
            </w:r>
          </w:p>
        </w:tc>
        <w:tc>
          <w:tcPr>
            <w:tcW w:w="1017" w:type="pct"/>
            <w:noWrap/>
            <w:hideMark/>
          </w:tcPr>
          <w:p w14:paraId="750FE07F" w14:textId="77777777" w:rsidR="002F2AFD" w:rsidRPr="00B6558E" w:rsidRDefault="002F2AFD" w:rsidP="004C79C1">
            <w:pPr>
              <w:pStyle w:val="Tabletext1"/>
              <w:spacing w:before="0" w:after="120"/>
              <w:ind w:right="275"/>
              <w:jc w:val="right"/>
              <w:rPr>
                <w:color w:val="000000"/>
              </w:rPr>
            </w:pPr>
            <w:r w:rsidRPr="0067299D">
              <w:t>$6,873</w:t>
            </w:r>
          </w:p>
        </w:tc>
        <w:tc>
          <w:tcPr>
            <w:tcW w:w="1013" w:type="pct"/>
          </w:tcPr>
          <w:p w14:paraId="7D245288" w14:textId="77777777" w:rsidR="002F2AFD" w:rsidRPr="00B6558E" w:rsidRDefault="002F2AFD" w:rsidP="004C79C1">
            <w:pPr>
              <w:pStyle w:val="Tabletext1"/>
              <w:spacing w:before="0" w:after="120"/>
              <w:ind w:right="275"/>
              <w:jc w:val="right"/>
              <w:rPr>
                <w:color w:val="000000"/>
              </w:rPr>
            </w:pPr>
            <w:r w:rsidRPr="000407FE">
              <w:t>$16,063</w:t>
            </w:r>
          </w:p>
        </w:tc>
      </w:tr>
      <w:tr w:rsidR="002F2AFD" w:rsidRPr="00B6558E" w14:paraId="23B1A35E" w14:textId="77777777" w:rsidTr="00D8421D">
        <w:trPr>
          <w:trHeight w:val="300"/>
        </w:trPr>
        <w:tc>
          <w:tcPr>
            <w:tcW w:w="2094" w:type="pct"/>
            <w:noWrap/>
            <w:hideMark/>
          </w:tcPr>
          <w:p w14:paraId="2A515613" w14:textId="77777777" w:rsidR="002F2AFD" w:rsidRPr="00B6558E" w:rsidRDefault="002F2AFD" w:rsidP="004C79C1">
            <w:pPr>
              <w:pStyle w:val="Tabletext1"/>
              <w:spacing w:before="0" w:after="120"/>
              <w:rPr>
                <w:color w:val="000000"/>
              </w:rPr>
            </w:pPr>
            <w:r w:rsidRPr="00B6558E">
              <w:rPr>
                <w:color w:val="000000"/>
              </w:rPr>
              <w:t>Sum</w:t>
            </w:r>
          </w:p>
        </w:tc>
        <w:tc>
          <w:tcPr>
            <w:tcW w:w="876" w:type="pct"/>
            <w:noWrap/>
            <w:hideMark/>
          </w:tcPr>
          <w:p w14:paraId="0D5FF23E" w14:textId="77777777" w:rsidR="002F2AFD" w:rsidRPr="00B6558E" w:rsidRDefault="002F2AFD" w:rsidP="004C79C1">
            <w:pPr>
              <w:pStyle w:val="Tabletext1"/>
              <w:spacing w:before="0" w:after="120"/>
              <w:ind w:right="275"/>
              <w:jc w:val="right"/>
              <w:rPr>
                <w:color w:val="000000"/>
              </w:rPr>
            </w:pPr>
            <w:r w:rsidRPr="0067299D">
              <w:t>$7,750</w:t>
            </w:r>
          </w:p>
        </w:tc>
        <w:tc>
          <w:tcPr>
            <w:tcW w:w="1017" w:type="pct"/>
            <w:noWrap/>
            <w:hideMark/>
          </w:tcPr>
          <w:p w14:paraId="34DCF81C" w14:textId="77777777" w:rsidR="002F2AFD" w:rsidRPr="00B6558E" w:rsidRDefault="002F2AFD" w:rsidP="004C79C1">
            <w:pPr>
              <w:pStyle w:val="Tabletext1"/>
              <w:spacing w:before="0" w:after="120"/>
              <w:ind w:right="275"/>
              <w:jc w:val="right"/>
              <w:rPr>
                <w:color w:val="000000"/>
              </w:rPr>
            </w:pPr>
            <w:r w:rsidRPr="0067299D">
              <w:t>$35,608</w:t>
            </w:r>
          </w:p>
        </w:tc>
        <w:tc>
          <w:tcPr>
            <w:tcW w:w="1013" w:type="pct"/>
          </w:tcPr>
          <w:p w14:paraId="1C271DDF" w14:textId="77777777" w:rsidR="002F2AFD" w:rsidRPr="00B6558E" w:rsidRDefault="002F2AFD" w:rsidP="004C79C1">
            <w:pPr>
              <w:pStyle w:val="Tabletext1"/>
              <w:spacing w:before="0" w:after="120"/>
              <w:ind w:right="275"/>
              <w:jc w:val="right"/>
              <w:rPr>
                <w:color w:val="000000"/>
              </w:rPr>
            </w:pPr>
            <w:r w:rsidRPr="000407FE">
              <w:t>$44,978</w:t>
            </w:r>
          </w:p>
        </w:tc>
      </w:tr>
      <w:tr w:rsidR="002F2AFD" w:rsidRPr="00D02743" w14:paraId="425E43A8" w14:textId="77777777" w:rsidTr="00D8421D">
        <w:trPr>
          <w:trHeight w:val="300"/>
        </w:trPr>
        <w:tc>
          <w:tcPr>
            <w:tcW w:w="2094" w:type="pct"/>
            <w:noWrap/>
          </w:tcPr>
          <w:p w14:paraId="70D51F31" w14:textId="40754B81" w:rsidR="002F2AFD" w:rsidRPr="00D02743" w:rsidRDefault="002F2AFD" w:rsidP="004C79C1">
            <w:pPr>
              <w:pStyle w:val="Tabletext1"/>
              <w:spacing w:before="0" w:after="120"/>
              <w:rPr>
                <w:b/>
                <w:color w:val="000000"/>
              </w:rPr>
            </w:pPr>
            <w:r w:rsidRPr="00D02743">
              <w:rPr>
                <w:b/>
                <w:color w:val="000000"/>
              </w:rPr>
              <w:t>Total cost, adjusted for inflation (2015 AUD)</w:t>
            </w:r>
            <w:r w:rsidR="00A114D4">
              <w:rPr>
                <w:b/>
                <w:color w:val="000000"/>
              </w:rPr>
              <w:t xml:space="preserve"> </w:t>
            </w:r>
            <w:r w:rsidR="00A114D4" w:rsidRPr="005F66C3">
              <w:rPr>
                <w:b/>
                <w:color w:val="000000"/>
                <w:vertAlign w:val="superscript"/>
              </w:rPr>
              <w:t>a</w:t>
            </w:r>
            <w:r w:rsidR="00A114D4">
              <w:rPr>
                <w:b/>
                <w:color w:val="000000"/>
              </w:rPr>
              <w:t xml:space="preserve"> </w:t>
            </w:r>
          </w:p>
        </w:tc>
        <w:tc>
          <w:tcPr>
            <w:tcW w:w="876" w:type="pct"/>
            <w:noWrap/>
          </w:tcPr>
          <w:p w14:paraId="3B1A9708" w14:textId="77777777" w:rsidR="002F2AFD" w:rsidRPr="00D02743" w:rsidRDefault="002F2AFD" w:rsidP="004C79C1">
            <w:pPr>
              <w:pStyle w:val="Tabletext1"/>
              <w:spacing w:before="0" w:after="120"/>
              <w:ind w:right="275"/>
              <w:jc w:val="right"/>
              <w:rPr>
                <w:b/>
                <w:color w:val="000000"/>
              </w:rPr>
            </w:pPr>
          </w:p>
        </w:tc>
        <w:tc>
          <w:tcPr>
            <w:tcW w:w="1017" w:type="pct"/>
            <w:noWrap/>
          </w:tcPr>
          <w:p w14:paraId="0620EE0B" w14:textId="77777777" w:rsidR="002F2AFD" w:rsidRPr="00D02743" w:rsidRDefault="002F2AFD" w:rsidP="004C79C1">
            <w:pPr>
              <w:pStyle w:val="Tabletext1"/>
              <w:spacing w:before="0" w:after="120"/>
              <w:ind w:right="275"/>
              <w:jc w:val="right"/>
              <w:rPr>
                <w:b/>
                <w:color w:val="000000"/>
              </w:rPr>
            </w:pPr>
          </w:p>
        </w:tc>
        <w:tc>
          <w:tcPr>
            <w:tcW w:w="1013" w:type="pct"/>
          </w:tcPr>
          <w:p w14:paraId="3858D132" w14:textId="77777777" w:rsidR="002F2AFD" w:rsidRPr="00D02743" w:rsidRDefault="002F2AFD" w:rsidP="004C79C1">
            <w:pPr>
              <w:pStyle w:val="Tabletext1"/>
              <w:spacing w:before="0" w:after="120"/>
              <w:ind w:right="275"/>
              <w:jc w:val="right"/>
              <w:rPr>
                <w:b/>
                <w:color w:val="000000"/>
              </w:rPr>
            </w:pPr>
            <w:r>
              <w:rPr>
                <w:b/>
                <w:color w:val="000000"/>
              </w:rPr>
              <w:t>$45,656</w:t>
            </w:r>
          </w:p>
        </w:tc>
      </w:tr>
    </w:tbl>
    <w:p w14:paraId="07A2ABFC" w14:textId="03B6BA1D" w:rsidR="00D8421D" w:rsidRDefault="00D8421D" w:rsidP="004C79C1">
      <w:pPr>
        <w:pStyle w:val="Tablenotes0"/>
        <w:spacing w:before="0" w:after="120"/>
        <w:contextualSpacing/>
      </w:pPr>
      <w:r>
        <w:t>Source: &lt;</w:t>
      </w:r>
      <w:hyperlink r:id="rId101" w:tooltip="http://healthtopics.hcf.com.au/HeartValveReplacement.aspx?gender=male&amp;topic=chest" w:history="1">
        <w:r w:rsidRPr="009F32FE">
          <w:rPr>
            <w:rStyle w:val="Hyperlink"/>
          </w:rPr>
          <w:t>http://healthtopics.hcf.com.au/</w:t>
        </w:r>
        <w:r w:rsidRPr="00B705A5">
          <w:rPr>
            <w:rStyle w:val="Hyperlink"/>
          </w:rPr>
          <w:t>CoronaryArteryBypassGraft.aspx</w:t>
        </w:r>
        <w:r w:rsidRPr="009F32FE">
          <w:rPr>
            <w:rStyle w:val="Hyperlink"/>
          </w:rPr>
          <w:t>?gender=male&amp;topic=chest</w:t>
        </w:r>
      </w:hyperlink>
      <w:r>
        <w:rPr>
          <w:rStyle w:val="Hyperlink"/>
        </w:rPr>
        <w:t>&gt;</w:t>
      </w:r>
      <w:r w:rsidR="00DA3D67">
        <w:t>;</w:t>
      </w:r>
      <w:r>
        <w:t xml:space="preserve"> accessed 24 March 2016</w:t>
      </w:r>
    </w:p>
    <w:p w14:paraId="4A9605A0" w14:textId="648F90AA" w:rsidR="002F2AFD" w:rsidRPr="008B3137" w:rsidRDefault="00A14948" w:rsidP="004C79C1">
      <w:pPr>
        <w:pStyle w:val="Tablenotes0"/>
        <w:spacing w:before="0" w:after="120"/>
        <w:rPr>
          <w:rStyle w:val="st"/>
        </w:rPr>
      </w:pPr>
      <w:proofErr w:type="gramStart"/>
      <w:r w:rsidRPr="005F66C3">
        <w:rPr>
          <w:vertAlign w:val="superscript"/>
        </w:rPr>
        <w:t>a</w:t>
      </w:r>
      <w:proofErr w:type="gramEnd"/>
      <w:r w:rsidR="00B07300">
        <w:rPr>
          <w:vertAlign w:val="superscript"/>
        </w:rPr>
        <w:t xml:space="preserve"> </w:t>
      </w:r>
      <w:r w:rsidR="002F2AFD">
        <w:t xml:space="preserve">$44,978 converted to $45,656 (2015 AUD) using </w:t>
      </w:r>
      <w:r w:rsidR="002F2AFD" w:rsidRPr="00B66250">
        <w:t>inflation calculator provided by Reserve Bank of Australia</w:t>
      </w:r>
      <w:r w:rsidR="002F2AFD">
        <w:t>;</w:t>
      </w:r>
      <w:r w:rsidR="002F2AFD" w:rsidRPr="00B66250">
        <w:t xml:space="preserve"> </w:t>
      </w:r>
      <w:r>
        <w:t>&lt;</w:t>
      </w:r>
      <w:hyperlink r:id="rId102"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706A7D99" w14:textId="1B3D91B6" w:rsidR="004305DF" w:rsidRDefault="004305DF" w:rsidP="004C79C1">
      <w:pPr>
        <w:pStyle w:val="Tablenotes0"/>
        <w:spacing w:before="0" w:after="120"/>
        <w:contextualSpacing/>
      </w:pPr>
      <w:r>
        <w:rPr>
          <w:rStyle w:val="st"/>
        </w:rPr>
        <w:t>CABG = coronary artery bypass grafting;</w:t>
      </w:r>
      <w:r w:rsidRPr="008B3137">
        <w:rPr>
          <w:rStyle w:val="st"/>
        </w:rPr>
        <w:t xml:space="preserve"> </w:t>
      </w:r>
      <w:r>
        <w:t>PHI = private health insurer</w:t>
      </w:r>
    </w:p>
    <w:p w14:paraId="7E5EE6DE" w14:textId="2D795021" w:rsidR="002F2AFD" w:rsidRDefault="002F2AFD" w:rsidP="004C79C1">
      <w:pPr>
        <w:pStyle w:val="Heading2"/>
        <w:spacing w:before="0" w:after="120" w:line="240" w:lineRule="auto"/>
      </w:pPr>
      <w:bookmarkStart w:id="1034" w:name="_Toc449428983"/>
      <w:bookmarkStart w:id="1035" w:name="_Toc450051828"/>
      <w:bookmarkStart w:id="1036" w:name="_Toc451501445"/>
      <w:r w:rsidRPr="00750384">
        <w:t xml:space="preserve">Cost </w:t>
      </w:r>
      <w:r>
        <w:t>per</w:t>
      </w:r>
      <w:r w:rsidRPr="00750384">
        <w:t xml:space="preserve"> </w:t>
      </w:r>
      <w:r w:rsidR="00B57D14">
        <w:t>V</w:t>
      </w:r>
      <w:r>
        <w:t xml:space="preserve">alvular </w:t>
      </w:r>
      <w:r w:rsidR="00B57D14">
        <w:t>S</w:t>
      </w:r>
      <w:r>
        <w:t>urgery</w:t>
      </w:r>
      <w:bookmarkEnd w:id="1034"/>
      <w:bookmarkEnd w:id="1035"/>
      <w:bookmarkEnd w:id="1036"/>
    </w:p>
    <w:p w14:paraId="19CBDEB1" w14:textId="5C985285" w:rsidR="002F2AFD" w:rsidRDefault="002F2AFD" w:rsidP="004C79C1">
      <w:pPr>
        <w:pStyle w:val="Caption"/>
        <w:keepNext/>
      </w:pPr>
      <w:bookmarkStart w:id="1037" w:name="_Toc450052126"/>
      <w:bookmarkStart w:id="1038" w:name="_Toc324410317"/>
      <w:bookmarkStart w:id="1039" w:name="_Toc451435440"/>
      <w:r>
        <w:t xml:space="preserve">Table </w:t>
      </w:r>
      <w:fldSimple w:instr=" SEQ Table \* ARABIC ">
        <w:r w:rsidR="00050936">
          <w:rPr>
            <w:noProof/>
          </w:rPr>
          <w:t>113</w:t>
        </w:r>
      </w:fldSimple>
      <w:r>
        <w:tab/>
        <w:t>C</w:t>
      </w:r>
      <w:r w:rsidRPr="00FB4888">
        <w:t xml:space="preserve">ost per </w:t>
      </w:r>
      <w:r>
        <w:t xml:space="preserve">valvular surgery </w:t>
      </w:r>
      <w:r w:rsidRPr="00FB4888">
        <w:t>in public sector</w:t>
      </w:r>
      <w:bookmarkEnd w:id="1037"/>
      <w:bookmarkEnd w:id="1038"/>
      <w:bookmarkEnd w:id="1039"/>
    </w:p>
    <w:tbl>
      <w:tblPr>
        <w:tblW w:w="5000" w:type="pct"/>
        <w:tblLayout w:type="fixed"/>
        <w:tblLook w:val="04A0" w:firstRow="1" w:lastRow="0" w:firstColumn="1" w:lastColumn="0" w:noHBand="0" w:noVBand="1"/>
        <w:tblDescription w:val="Cost per valvular surgery in public sector"/>
      </w:tblPr>
      <w:tblGrid>
        <w:gridCol w:w="5225"/>
        <w:gridCol w:w="1163"/>
        <w:gridCol w:w="872"/>
        <w:gridCol w:w="871"/>
        <w:gridCol w:w="1111"/>
      </w:tblGrid>
      <w:tr w:rsidR="002F2AFD" w:rsidRPr="00F55910" w14:paraId="4E829AD8" w14:textId="77777777" w:rsidTr="00857B30">
        <w:trPr>
          <w:trHeight w:val="300"/>
          <w:tblHeader/>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F282" w14:textId="77777777" w:rsidR="002F2AFD" w:rsidRPr="00F55910" w:rsidRDefault="002F2AFD" w:rsidP="004C79C1">
            <w:pPr>
              <w:pStyle w:val="TableHeading"/>
              <w:spacing w:before="0" w:after="120"/>
            </w:pPr>
            <w:r w:rsidRPr="00F55910">
              <w:t>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33A646A2" w14:textId="77777777" w:rsidR="002F2AFD" w:rsidRPr="00F55910" w:rsidRDefault="002F2AFD" w:rsidP="004C79C1">
            <w:pPr>
              <w:pStyle w:val="TableHeading"/>
              <w:spacing w:before="0" w:after="120"/>
            </w:pPr>
            <w:r w:rsidRPr="00F55910">
              <w:t>AR-DRG</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0CF093CA" w14:textId="77777777" w:rsidR="002F2AFD" w:rsidRPr="00F55910" w:rsidRDefault="002F2AFD" w:rsidP="004C79C1">
            <w:pPr>
              <w:pStyle w:val="TableHeading"/>
              <w:spacing w:before="0" w:after="120"/>
              <w:jc w:val="center"/>
            </w:pPr>
            <w:r w:rsidRPr="00F55910">
              <w:t>Seps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0462652F" w14:textId="77777777" w:rsidR="002F2AFD" w:rsidRPr="00F55910" w:rsidRDefault="002F2AFD" w:rsidP="004C79C1">
            <w:pPr>
              <w:pStyle w:val="TableHeading"/>
              <w:spacing w:before="0" w:after="120"/>
              <w:jc w:val="center"/>
            </w:pPr>
            <w:r w:rsidRPr="00F55910">
              <w:t>Weight</w:t>
            </w:r>
          </w:p>
        </w:tc>
        <w:tc>
          <w:tcPr>
            <w:tcW w:w="601" w:type="pct"/>
            <w:tcBorders>
              <w:top w:val="single" w:sz="4" w:space="0" w:color="auto"/>
              <w:left w:val="nil"/>
              <w:bottom w:val="single" w:sz="4" w:space="0" w:color="auto"/>
              <w:right w:val="single" w:sz="4" w:space="0" w:color="auto"/>
            </w:tcBorders>
            <w:vAlign w:val="center"/>
          </w:tcPr>
          <w:p w14:paraId="4DD06369" w14:textId="2E984266" w:rsidR="002F2AFD" w:rsidRPr="00F55910" w:rsidRDefault="002F2AFD" w:rsidP="004C79C1">
            <w:pPr>
              <w:pStyle w:val="TableHeading"/>
              <w:spacing w:before="0" w:after="120"/>
              <w:jc w:val="center"/>
            </w:pPr>
            <w:r w:rsidRPr="00F55910">
              <w:t>Cost</w:t>
            </w:r>
            <w:r w:rsidR="00A114D4">
              <w:t xml:space="preserve"> </w:t>
            </w:r>
            <w:r w:rsidR="00A114D4" w:rsidRPr="005F66C3">
              <w:rPr>
                <w:vertAlign w:val="superscript"/>
              </w:rPr>
              <w:t>a</w:t>
            </w:r>
            <w:r w:rsidR="00A114D4">
              <w:t xml:space="preserve"> </w:t>
            </w:r>
          </w:p>
        </w:tc>
      </w:tr>
      <w:tr w:rsidR="002F2AFD" w:rsidRPr="00E17CB6" w14:paraId="6A0A696D"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B394C" w14:textId="77777777" w:rsidR="002F2AFD" w:rsidRPr="0083783D" w:rsidRDefault="002F2AFD" w:rsidP="004C79C1">
            <w:pPr>
              <w:pStyle w:val="TableText0"/>
              <w:spacing w:before="0" w:after="120"/>
            </w:pPr>
            <w:r>
              <w:t>Cardiac valve procedures with</w:t>
            </w:r>
            <w:r w:rsidRPr="0034101A">
              <w:t xml:space="preserve"> CPB Pump W Invasive Cardiac Investigation </w:t>
            </w:r>
            <w:r w:rsidRPr="00F55910">
              <w:t>complications</w:t>
            </w:r>
          </w:p>
        </w:tc>
        <w:tc>
          <w:tcPr>
            <w:tcW w:w="629" w:type="pct"/>
            <w:tcBorders>
              <w:top w:val="single" w:sz="4" w:space="0" w:color="auto"/>
              <w:left w:val="nil"/>
              <w:bottom w:val="single" w:sz="4" w:space="0" w:color="auto"/>
              <w:right w:val="single" w:sz="4" w:space="0" w:color="auto"/>
            </w:tcBorders>
            <w:shd w:val="clear" w:color="auto" w:fill="auto"/>
            <w:noWrap/>
          </w:tcPr>
          <w:p w14:paraId="2951D082" w14:textId="77777777" w:rsidR="002F2AFD" w:rsidRDefault="002F2AFD" w:rsidP="004C79C1">
            <w:pPr>
              <w:pStyle w:val="TableText0"/>
              <w:spacing w:before="0" w:after="120"/>
            </w:pPr>
            <w:r w:rsidRPr="000116E5">
              <w:t>F03A</w:t>
            </w:r>
          </w:p>
        </w:tc>
        <w:tc>
          <w:tcPr>
            <w:tcW w:w="472" w:type="pct"/>
            <w:tcBorders>
              <w:top w:val="single" w:sz="4" w:space="0" w:color="auto"/>
              <w:left w:val="nil"/>
              <w:bottom w:val="single" w:sz="4" w:space="0" w:color="auto"/>
              <w:right w:val="single" w:sz="4" w:space="0" w:color="auto"/>
            </w:tcBorders>
            <w:shd w:val="clear" w:color="auto" w:fill="auto"/>
            <w:noWrap/>
          </w:tcPr>
          <w:p w14:paraId="42B8D209" w14:textId="77777777" w:rsidR="002F2AFD" w:rsidRPr="00E17CB6" w:rsidRDefault="002F2AFD" w:rsidP="004C79C1">
            <w:pPr>
              <w:pStyle w:val="TableText0"/>
              <w:spacing w:before="0" w:after="120"/>
              <w:jc w:val="right"/>
            </w:pPr>
            <w:r w:rsidRPr="000116E5">
              <w:t xml:space="preserve">458 </w:t>
            </w:r>
          </w:p>
        </w:tc>
        <w:tc>
          <w:tcPr>
            <w:tcW w:w="471" w:type="pct"/>
            <w:tcBorders>
              <w:top w:val="single" w:sz="4" w:space="0" w:color="auto"/>
              <w:left w:val="nil"/>
              <w:bottom w:val="single" w:sz="4" w:space="0" w:color="auto"/>
              <w:right w:val="single" w:sz="4" w:space="0" w:color="auto"/>
            </w:tcBorders>
            <w:shd w:val="clear" w:color="auto" w:fill="auto"/>
            <w:noWrap/>
          </w:tcPr>
          <w:p w14:paraId="475E6FB2" w14:textId="77777777" w:rsidR="002F2AFD" w:rsidRPr="00E17CB6" w:rsidRDefault="002F2AFD" w:rsidP="004C79C1">
            <w:pPr>
              <w:pStyle w:val="TableText0"/>
              <w:spacing w:before="0" w:after="120"/>
              <w:jc w:val="right"/>
            </w:pPr>
            <w:r w:rsidRPr="000116E5">
              <w:t>11.6%</w:t>
            </w:r>
          </w:p>
        </w:tc>
        <w:tc>
          <w:tcPr>
            <w:tcW w:w="601" w:type="pct"/>
            <w:tcBorders>
              <w:top w:val="single" w:sz="4" w:space="0" w:color="auto"/>
              <w:left w:val="nil"/>
              <w:bottom w:val="single" w:sz="4" w:space="0" w:color="auto"/>
              <w:right w:val="single" w:sz="4" w:space="0" w:color="auto"/>
            </w:tcBorders>
          </w:tcPr>
          <w:p w14:paraId="0CEFE3FF" w14:textId="77777777" w:rsidR="002F2AFD" w:rsidRPr="00E17CB6" w:rsidRDefault="002F2AFD" w:rsidP="004C79C1">
            <w:pPr>
              <w:pStyle w:val="TableText0"/>
              <w:spacing w:before="0" w:after="120"/>
              <w:jc w:val="right"/>
            </w:pPr>
            <w:r w:rsidRPr="006F4CD8">
              <w:t>$66,055</w:t>
            </w:r>
          </w:p>
        </w:tc>
      </w:tr>
      <w:tr w:rsidR="002F2AFD" w:rsidRPr="0083783D" w14:paraId="63CE6538"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vAlign w:val="center"/>
          </w:tcPr>
          <w:p w14:paraId="2C7B78DA" w14:textId="77777777" w:rsidR="002F2AFD" w:rsidRPr="00E17CB6" w:rsidRDefault="002F2AFD" w:rsidP="004C79C1">
            <w:pPr>
              <w:pStyle w:val="TableText0"/>
              <w:spacing w:before="0" w:after="120"/>
              <w:rPr>
                <w:rFonts w:cs="Times New Roman"/>
                <w:color w:val="000000"/>
              </w:rPr>
            </w:pPr>
            <w:r w:rsidRPr="00F55910">
              <w:t>Coronary bypass without inva</w:t>
            </w:r>
            <w:r>
              <w:t xml:space="preserve">sive cardiac investigation without </w:t>
            </w:r>
            <w:r w:rsidRPr="00F55910">
              <w:t>catastrophic complications</w:t>
            </w:r>
          </w:p>
        </w:tc>
        <w:tc>
          <w:tcPr>
            <w:tcW w:w="629" w:type="pct"/>
            <w:tcBorders>
              <w:top w:val="nil"/>
              <w:left w:val="nil"/>
              <w:bottom w:val="single" w:sz="4" w:space="0" w:color="auto"/>
              <w:right w:val="single" w:sz="4" w:space="0" w:color="auto"/>
            </w:tcBorders>
            <w:shd w:val="clear" w:color="auto" w:fill="auto"/>
            <w:noWrap/>
          </w:tcPr>
          <w:p w14:paraId="17D81F82" w14:textId="77777777" w:rsidR="002F2AFD" w:rsidRPr="00E17CB6" w:rsidRDefault="002F2AFD" w:rsidP="004C79C1">
            <w:pPr>
              <w:pStyle w:val="TableText0"/>
              <w:spacing w:before="0" w:after="120"/>
              <w:rPr>
                <w:rFonts w:cs="Times New Roman"/>
                <w:color w:val="000000"/>
              </w:rPr>
            </w:pPr>
            <w:r w:rsidRPr="000116E5">
              <w:t>F03B</w:t>
            </w:r>
          </w:p>
        </w:tc>
        <w:tc>
          <w:tcPr>
            <w:tcW w:w="472" w:type="pct"/>
            <w:tcBorders>
              <w:top w:val="nil"/>
              <w:left w:val="nil"/>
              <w:bottom w:val="single" w:sz="4" w:space="0" w:color="auto"/>
              <w:right w:val="single" w:sz="4" w:space="0" w:color="auto"/>
            </w:tcBorders>
            <w:shd w:val="clear" w:color="auto" w:fill="auto"/>
            <w:noWrap/>
          </w:tcPr>
          <w:p w14:paraId="593D8FAC" w14:textId="77777777" w:rsidR="002F2AFD" w:rsidRPr="00E17CB6" w:rsidRDefault="002F2AFD" w:rsidP="004C79C1">
            <w:pPr>
              <w:pStyle w:val="TableText0"/>
              <w:spacing w:before="0" w:after="120"/>
              <w:jc w:val="right"/>
              <w:rPr>
                <w:rFonts w:cs="Times New Roman"/>
                <w:color w:val="000000"/>
              </w:rPr>
            </w:pPr>
            <w:r w:rsidRPr="000116E5">
              <w:t xml:space="preserve">111 </w:t>
            </w:r>
          </w:p>
        </w:tc>
        <w:tc>
          <w:tcPr>
            <w:tcW w:w="471" w:type="pct"/>
            <w:tcBorders>
              <w:top w:val="nil"/>
              <w:left w:val="nil"/>
              <w:bottom w:val="single" w:sz="4" w:space="0" w:color="auto"/>
              <w:right w:val="single" w:sz="4" w:space="0" w:color="auto"/>
            </w:tcBorders>
            <w:shd w:val="clear" w:color="auto" w:fill="auto"/>
            <w:noWrap/>
          </w:tcPr>
          <w:p w14:paraId="29BDA455" w14:textId="77777777" w:rsidR="002F2AFD" w:rsidRPr="00E17CB6" w:rsidRDefault="002F2AFD" w:rsidP="004C79C1">
            <w:pPr>
              <w:pStyle w:val="TableText0"/>
              <w:spacing w:before="0" w:after="120"/>
              <w:jc w:val="right"/>
              <w:rPr>
                <w:rFonts w:cs="Times New Roman"/>
                <w:color w:val="000000"/>
              </w:rPr>
            </w:pPr>
            <w:r w:rsidRPr="000116E5">
              <w:t>2.8%</w:t>
            </w:r>
          </w:p>
        </w:tc>
        <w:tc>
          <w:tcPr>
            <w:tcW w:w="601" w:type="pct"/>
            <w:tcBorders>
              <w:top w:val="nil"/>
              <w:left w:val="nil"/>
              <w:bottom w:val="single" w:sz="4" w:space="0" w:color="auto"/>
              <w:right w:val="single" w:sz="4" w:space="0" w:color="auto"/>
            </w:tcBorders>
          </w:tcPr>
          <w:p w14:paraId="6B562B77" w14:textId="77777777" w:rsidR="002F2AFD" w:rsidRPr="00E17CB6" w:rsidRDefault="002F2AFD" w:rsidP="004C79C1">
            <w:pPr>
              <w:pStyle w:val="TableText0"/>
              <w:spacing w:before="0" w:after="120"/>
              <w:jc w:val="right"/>
              <w:rPr>
                <w:rFonts w:cs="Times New Roman"/>
                <w:color w:val="000000"/>
              </w:rPr>
            </w:pPr>
            <w:r w:rsidRPr="006F4CD8">
              <w:t>$38,223</w:t>
            </w:r>
          </w:p>
        </w:tc>
      </w:tr>
      <w:tr w:rsidR="002F2AFD" w:rsidRPr="00E17CB6" w14:paraId="67DC7FD4"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vAlign w:val="center"/>
            <w:hideMark/>
          </w:tcPr>
          <w:p w14:paraId="000E1241" w14:textId="77777777" w:rsidR="002F2AFD" w:rsidRPr="00E17CB6" w:rsidRDefault="002F2AFD" w:rsidP="004C79C1">
            <w:pPr>
              <w:pStyle w:val="TableText0"/>
              <w:spacing w:before="0" w:after="120"/>
              <w:rPr>
                <w:rFonts w:cs="Times New Roman"/>
                <w:color w:val="000000"/>
              </w:rPr>
            </w:pPr>
            <w:r>
              <w:rPr>
                <w:rFonts w:cs="Times New Roman"/>
                <w:color w:val="000000"/>
              </w:rPr>
              <w:t>Coronary bypass with invasive c</w:t>
            </w:r>
            <w:r w:rsidRPr="00DD11A6">
              <w:rPr>
                <w:rFonts w:cs="Times New Roman"/>
                <w:color w:val="000000"/>
              </w:rPr>
              <w:t xml:space="preserve">ardiac </w:t>
            </w:r>
            <w:r>
              <w:rPr>
                <w:rFonts w:cs="Times New Roman"/>
                <w:color w:val="000000"/>
              </w:rPr>
              <w:t>i</w:t>
            </w:r>
            <w:r w:rsidRPr="00DD11A6">
              <w:rPr>
                <w:rFonts w:cs="Times New Roman"/>
                <w:color w:val="000000"/>
              </w:rPr>
              <w:t xml:space="preserve">nvestigation </w:t>
            </w:r>
            <w:r>
              <w:rPr>
                <w:rFonts w:cs="Times New Roman"/>
                <w:color w:val="000000"/>
              </w:rPr>
              <w:t>with</w:t>
            </w:r>
            <w:r w:rsidRPr="00E17CB6">
              <w:rPr>
                <w:rFonts w:cs="Times New Roman"/>
                <w:color w:val="000000"/>
              </w:rPr>
              <w:t xml:space="preserve"> </w:t>
            </w:r>
            <w:r>
              <w:rPr>
                <w:rFonts w:cs="Times New Roman"/>
                <w:color w:val="000000"/>
              </w:rPr>
              <w:t>catastrophic complications</w:t>
            </w:r>
          </w:p>
        </w:tc>
        <w:tc>
          <w:tcPr>
            <w:tcW w:w="629" w:type="pct"/>
            <w:tcBorders>
              <w:top w:val="nil"/>
              <w:left w:val="nil"/>
              <w:bottom w:val="single" w:sz="4" w:space="0" w:color="auto"/>
              <w:right w:val="single" w:sz="4" w:space="0" w:color="auto"/>
            </w:tcBorders>
            <w:shd w:val="clear" w:color="auto" w:fill="auto"/>
            <w:noWrap/>
            <w:hideMark/>
          </w:tcPr>
          <w:p w14:paraId="36DEF339" w14:textId="77777777" w:rsidR="002F2AFD" w:rsidRPr="00E17CB6" w:rsidRDefault="002F2AFD" w:rsidP="004C79C1">
            <w:pPr>
              <w:pStyle w:val="TableText0"/>
              <w:spacing w:before="0" w:after="120"/>
              <w:rPr>
                <w:rFonts w:cs="Times New Roman"/>
                <w:color w:val="000000"/>
              </w:rPr>
            </w:pPr>
            <w:r w:rsidRPr="000116E5">
              <w:t>F04A</w:t>
            </w:r>
          </w:p>
        </w:tc>
        <w:tc>
          <w:tcPr>
            <w:tcW w:w="472" w:type="pct"/>
            <w:tcBorders>
              <w:top w:val="nil"/>
              <w:left w:val="nil"/>
              <w:bottom w:val="single" w:sz="4" w:space="0" w:color="auto"/>
              <w:right w:val="single" w:sz="4" w:space="0" w:color="auto"/>
            </w:tcBorders>
            <w:shd w:val="clear" w:color="auto" w:fill="auto"/>
            <w:noWrap/>
          </w:tcPr>
          <w:p w14:paraId="2225A09C" w14:textId="77777777" w:rsidR="002F2AFD" w:rsidRPr="00E17CB6" w:rsidRDefault="002F2AFD" w:rsidP="004C79C1">
            <w:pPr>
              <w:pStyle w:val="TableText0"/>
              <w:spacing w:before="0" w:after="120"/>
              <w:jc w:val="right"/>
              <w:rPr>
                <w:rFonts w:cs="Times New Roman"/>
                <w:color w:val="000000"/>
              </w:rPr>
            </w:pPr>
            <w:r w:rsidRPr="000116E5">
              <w:t xml:space="preserve">2,554 </w:t>
            </w:r>
          </w:p>
        </w:tc>
        <w:tc>
          <w:tcPr>
            <w:tcW w:w="471" w:type="pct"/>
            <w:tcBorders>
              <w:top w:val="nil"/>
              <w:left w:val="nil"/>
              <w:bottom w:val="single" w:sz="4" w:space="0" w:color="auto"/>
              <w:right w:val="single" w:sz="4" w:space="0" w:color="auto"/>
            </w:tcBorders>
            <w:shd w:val="clear" w:color="auto" w:fill="auto"/>
            <w:noWrap/>
          </w:tcPr>
          <w:p w14:paraId="188F4C0D" w14:textId="77777777" w:rsidR="002F2AFD" w:rsidRPr="00E17CB6" w:rsidRDefault="002F2AFD" w:rsidP="004C79C1">
            <w:pPr>
              <w:pStyle w:val="TableText0"/>
              <w:spacing w:before="0" w:after="120"/>
              <w:jc w:val="right"/>
              <w:rPr>
                <w:rFonts w:cs="Times New Roman"/>
                <w:color w:val="000000"/>
              </w:rPr>
            </w:pPr>
            <w:r w:rsidRPr="000116E5">
              <w:t>64.6%</w:t>
            </w:r>
          </w:p>
        </w:tc>
        <w:tc>
          <w:tcPr>
            <w:tcW w:w="601" w:type="pct"/>
            <w:tcBorders>
              <w:top w:val="nil"/>
              <w:left w:val="nil"/>
              <w:bottom w:val="single" w:sz="4" w:space="0" w:color="auto"/>
              <w:right w:val="single" w:sz="4" w:space="0" w:color="auto"/>
            </w:tcBorders>
          </w:tcPr>
          <w:p w14:paraId="4C655E39" w14:textId="77777777" w:rsidR="002F2AFD" w:rsidRPr="00015E0F" w:rsidRDefault="002F2AFD" w:rsidP="004C79C1">
            <w:pPr>
              <w:pStyle w:val="TableText0"/>
              <w:spacing w:before="0" w:after="120"/>
              <w:jc w:val="right"/>
            </w:pPr>
            <w:r w:rsidRPr="006F4CD8">
              <w:t>$50,470</w:t>
            </w:r>
          </w:p>
        </w:tc>
      </w:tr>
      <w:tr w:rsidR="002F2AFD" w:rsidRPr="0083783D" w14:paraId="4B12F9D4"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0E107" w14:textId="77777777" w:rsidR="002F2AFD" w:rsidRPr="00E17CB6" w:rsidRDefault="002F2AFD" w:rsidP="004C79C1">
            <w:pPr>
              <w:pStyle w:val="TableText0"/>
              <w:spacing w:before="0" w:after="120"/>
              <w:rPr>
                <w:rFonts w:cs="Times New Roman"/>
                <w:color w:val="000000"/>
              </w:rPr>
            </w:pPr>
            <w:r>
              <w:rPr>
                <w:rFonts w:cs="Times New Roman"/>
                <w:color w:val="000000"/>
              </w:rPr>
              <w:t>Coronary bypass with invasive c</w:t>
            </w:r>
            <w:r w:rsidRPr="00DD11A6">
              <w:rPr>
                <w:rFonts w:cs="Times New Roman"/>
                <w:color w:val="000000"/>
              </w:rPr>
              <w:t xml:space="preserve">ardiac </w:t>
            </w:r>
            <w:r>
              <w:rPr>
                <w:rFonts w:cs="Times New Roman"/>
                <w:color w:val="000000"/>
              </w:rPr>
              <w:t>i</w:t>
            </w:r>
            <w:r w:rsidRPr="00DD11A6">
              <w:rPr>
                <w:rFonts w:cs="Times New Roman"/>
                <w:color w:val="000000"/>
              </w:rPr>
              <w:t xml:space="preserve">nvestigation </w:t>
            </w:r>
            <w:r>
              <w:rPr>
                <w:rFonts w:cs="Times New Roman"/>
                <w:color w:val="000000"/>
              </w:rPr>
              <w:t>with</w:t>
            </w:r>
            <w:r w:rsidRPr="00E17CB6">
              <w:rPr>
                <w:rFonts w:cs="Times New Roman"/>
                <w:color w:val="000000"/>
              </w:rPr>
              <w:t xml:space="preserve"> </w:t>
            </w:r>
            <w:r>
              <w:rPr>
                <w:rFonts w:cs="Times New Roman"/>
                <w:color w:val="000000"/>
              </w:rPr>
              <w:t>catastrophic complications</w:t>
            </w:r>
          </w:p>
        </w:tc>
        <w:tc>
          <w:tcPr>
            <w:tcW w:w="629" w:type="pct"/>
            <w:tcBorders>
              <w:top w:val="single" w:sz="4" w:space="0" w:color="auto"/>
              <w:left w:val="nil"/>
              <w:bottom w:val="single" w:sz="4" w:space="0" w:color="auto"/>
              <w:right w:val="single" w:sz="4" w:space="0" w:color="auto"/>
            </w:tcBorders>
            <w:shd w:val="clear" w:color="auto" w:fill="auto"/>
            <w:noWrap/>
          </w:tcPr>
          <w:p w14:paraId="35658A6F" w14:textId="77777777" w:rsidR="002F2AFD" w:rsidRDefault="002F2AFD" w:rsidP="004C79C1">
            <w:pPr>
              <w:pStyle w:val="TableText0"/>
              <w:spacing w:before="0" w:after="120"/>
              <w:rPr>
                <w:rFonts w:cs="Times New Roman"/>
                <w:color w:val="000000"/>
              </w:rPr>
            </w:pPr>
            <w:r w:rsidRPr="000116E5">
              <w:t>F04B</w:t>
            </w:r>
          </w:p>
        </w:tc>
        <w:tc>
          <w:tcPr>
            <w:tcW w:w="472" w:type="pct"/>
            <w:tcBorders>
              <w:top w:val="single" w:sz="4" w:space="0" w:color="auto"/>
              <w:left w:val="nil"/>
              <w:bottom w:val="single" w:sz="4" w:space="0" w:color="auto"/>
              <w:right w:val="single" w:sz="4" w:space="0" w:color="auto"/>
            </w:tcBorders>
            <w:shd w:val="clear" w:color="auto" w:fill="auto"/>
            <w:noWrap/>
          </w:tcPr>
          <w:p w14:paraId="137C8358" w14:textId="77777777" w:rsidR="002F2AFD" w:rsidRPr="00015E0F" w:rsidRDefault="002F2AFD" w:rsidP="004C79C1">
            <w:pPr>
              <w:pStyle w:val="TableText0"/>
              <w:spacing w:before="0" w:after="120"/>
              <w:jc w:val="right"/>
            </w:pPr>
            <w:r w:rsidRPr="000116E5">
              <w:t xml:space="preserve">831 </w:t>
            </w:r>
          </w:p>
        </w:tc>
        <w:tc>
          <w:tcPr>
            <w:tcW w:w="471" w:type="pct"/>
            <w:tcBorders>
              <w:top w:val="single" w:sz="4" w:space="0" w:color="auto"/>
              <w:left w:val="nil"/>
              <w:bottom w:val="single" w:sz="4" w:space="0" w:color="auto"/>
              <w:right w:val="single" w:sz="4" w:space="0" w:color="auto"/>
            </w:tcBorders>
            <w:shd w:val="clear" w:color="auto" w:fill="auto"/>
            <w:noWrap/>
          </w:tcPr>
          <w:p w14:paraId="2AC7713B" w14:textId="77777777" w:rsidR="002F2AFD" w:rsidRPr="00015E0F" w:rsidRDefault="002F2AFD" w:rsidP="004C79C1">
            <w:pPr>
              <w:pStyle w:val="TableText0"/>
              <w:spacing w:before="0" w:after="120"/>
              <w:jc w:val="right"/>
            </w:pPr>
            <w:r w:rsidRPr="000116E5">
              <w:t>21.0%</w:t>
            </w:r>
          </w:p>
        </w:tc>
        <w:tc>
          <w:tcPr>
            <w:tcW w:w="601" w:type="pct"/>
            <w:tcBorders>
              <w:top w:val="single" w:sz="4" w:space="0" w:color="auto"/>
              <w:left w:val="nil"/>
              <w:bottom w:val="single" w:sz="4" w:space="0" w:color="auto"/>
              <w:right w:val="single" w:sz="4" w:space="0" w:color="auto"/>
            </w:tcBorders>
          </w:tcPr>
          <w:p w14:paraId="404FA8FE" w14:textId="77777777" w:rsidR="002F2AFD" w:rsidRPr="00DC0160" w:rsidRDefault="002F2AFD" w:rsidP="004C79C1">
            <w:pPr>
              <w:pStyle w:val="TableText0"/>
              <w:spacing w:before="0" w:after="120"/>
              <w:jc w:val="right"/>
            </w:pPr>
            <w:r w:rsidRPr="006F4CD8">
              <w:t>$34,996</w:t>
            </w:r>
          </w:p>
        </w:tc>
      </w:tr>
      <w:tr w:rsidR="002F2AFD" w:rsidRPr="0083783D" w14:paraId="4FCE8CFC" w14:textId="77777777" w:rsidTr="00857B30">
        <w:trPr>
          <w:trHeight w:val="300"/>
        </w:trPr>
        <w:tc>
          <w:tcPr>
            <w:tcW w:w="2827" w:type="pct"/>
            <w:tcBorders>
              <w:top w:val="single" w:sz="4" w:space="0" w:color="auto"/>
              <w:left w:val="single" w:sz="4" w:space="0" w:color="auto"/>
              <w:bottom w:val="single" w:sz="4" w:space="0" w:color="auto"/>
            </w:tcBorders>
            <w:shd w:val="clear" w:color="auto" w:fill="auto"/>
            <w:noWrap/>
            <w:vAlign w:val="center"/>
          </w:tcPr>
          <w:p w14:paraId="320726E3" w14:textId="6CA046E0" w:rsidR="002F2AFD" w:rsidRPr="00E17CB6" w:rsidRDefault="002F2AFD" w:rsidP="004C79C1">
            <w:pPr>
              <w:pStyle w:val="TableText0"/>
              <w:spacing w:before="0" w:after="120"/>
              <w:rPr>
                <w:rFonts w:cs="Times New Roman"/>
                <w:color w:val="000000"/>
              </w:rPr>
            </w:pPr>
            <w:r w:rsidRPr="00E466A3">
              <w:rPr>
                <w:rFonts w:cs="Times New Roman"/>
                <w:b/>
                <w:color w:val="000000"/>
              </w:rPr>
              <w:t>Weighted cost</w:t>
            </w:r>
            <w:r>
              <w:rPr>
                <w:rFonts w:cs="Times New Roman"/>
                <w:b/>
                <w:color w:val="000000"/>
              </w:rPr>
              <w:t xml:space="preserve"> (adjusted for inflation)</w:t>
            </w:r>
            <w:r w:rsidR="00A114D4">
              <w:rPr>
                <w:rFonts w:cs="Times New Roman"/>
                <w:b/>
                <w:color w:val="000000"/>
              </w:rPr>
              <w:t xml:space="preserve"> </w:t>
            </w:r>
            <w:r w:rsidR="00A114D4" w:rsidRPr="005F66C3">
              <w:rPr>
                <w:rFonts w:cs="Times New Roman"/>
                <w:b/>
                <w:color w:val="000000"/>
                <w:vertAlign w:val="superscript"/>
              </w:rPr>
              <w:t>b</w:t>
            </w:r>
          </w:p>
        </w:tc>
        <w:tc>
          <w:tcPr>
            <w:tcW w:w="629" w:type="pct"/>
            <w:tcBorders>
              <w:top w:val="single" w:sz="4" w:space="0" w:color="auto"/>
              <w:bottom w:val="single" w:sz="4" w:space="0" w:color="auto"/>
            </w:tcBorders>
            <w:shd w:val="clear" w:color="auto" w:fill="auto"/>
            <w:noWrap/>
            <w:vAlign w:val="center"/>
          </w:tcPr>
          <w:p w14:paraId="576BA961" w14:textId="77777777" w:rsidR="002F2AFD" w:rsidRDefault="002F2AFD" w:rsidP="004C79C1">
            <w:pPr>
              <w:pStyle w:val="TableText0"/>
              <w:spacing w:before="0" w:after="120"/>
              <w:rPr>
                <w:rFonts w:cs="Times New Roman"/>
                <w:color w:val="000000"/>
              </w:rPr>
            </w:pPr>
          </w:p>
        </w:tc>
        <w:tc>
          <w:tcPr>
            <w:tcW w:w="472" w:type="pct"/>
            <w:tcBorders>
              <w:top w:val="single" w:sz="4" w:space="0" w:color="auto"/>
              <w:bottom w:val="single" w:sz="4" w:space="0" w:color="auto"/>
            </w:tcBorders>
            <w:shd w:val="clear" w:color="auto" w:fill="auto"/>
            <w:noWrap/>
            <w:vAlign w:val="center"/>
          </w:tcPr>
          <w:p w14:paraId="584DE30D" w14:textId="77777777" w:rsidR="002F2AFD" w:rsidRPr="00015E0F" w:rsidRDefault="002F2AFD" w:rsidP="004C79C1">
            <w:pPr>
              <w:pStyle w:val="TableText0"/>
              <w:spacing w:before="0" w:after="120"/>
              <w:jc w:val="right"/>
            </w:pPr>
          </w:p>
        </w:tc>
        <w:tc>
          <w:tcPr>
            <w:tcW w:w="471" w:type="pct"/>
            <w:tcBorders>
              <w:top w:val="single" w:sz="4" w:space="0" w:color="auto"/>
              <w:bottom w:val="single" w:sz="4" w:space="0" w:color="auto"/>
              <w:right w:val="single" w:sz="4" w:space="0" w:color="auto"/>
            </w:tcBorders>
            <w:shd w:val="clear" w:color="auto" w:fill="auto"/>
            <w:noWrap/>
            <w:vAlign w:val="center"/>
          </w:tcPr>
          <w:p w14:paraId="3F0C4A61" w14:textId="77777777" w:rsidR="002F2AFD" w:rsidRPr="00015E0F" w:rsidRDefault="002F2AFD" w:rsidP="004C79C1">
            <w:pPr>
              <w:pStyle w:val="TableText0"/>
              <w:spacing w:before="0" w:after="120"/>
              <w:jc w:val="right"/>
            </w:pPr>
          </w:p>
        </w:tc>
        <w:tc>
          <w:tcPr>
            <w:tcW w:w="601" w:type="pct"/>
            <w:tcBorders>
              <w:top w:val="single" w:sz="4" w:space="0" w:color="auto"/>
              <w:left w:val="nil"/>
              <w:bottom w:val="single" w:sz="4" w:space="0" w:color="auto"/>
              <w:right w:val="single" w:sz="4" w:space="0" w:color="auto"/>
            </w:tcBorders>
            <w:vAlign w:val="center"/>
          </w:tcPr>
          <w:p w14:paraId="558E5137" w14:textId="77777777" w:rsidR="002F2AFD" w:rsidRPr="00E05AB1" w:rsidRDefault="002F2AFD" w:rsidP="004C79C1">
            <w:pPr>
              <w:pStyle w:val="TableText0"/>
              <w:spacing w:before="0" w:after="120"/>
              <w:jc w:val="right"/>
              <w:rPr>
                <w:b/>
              </w:rPr>
            </w:pPr>
            <w:r w:rsidRPr="00E12C91">
              <w:rPr>
                <w:b/>
              </w:rPr>
              <w:t>$49,413</w:t>
            </w:r>
          </w:p>
        </w:tc>
      </w:tr>
    </w:tbl>
    <w:p w14:paraId="1DB2F5D7" w14:textId="41B65ED3" w:rsidR="002F2AFD" w:rsidRPr="008B3137" w:rsidRDefault="00A114D4" w:rsidP="004C79C1">
      <w:pPr>
        <w:pStyle w:val="Tablenotes0"/>
        <w:spacing w:before="0" w:after="120"/>
        <w:contextualSpacing/>
      </w:pPr>
      <w:r w:rsidRPr="005F66C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8B3137">
        <w:t xml:space="preserve"> </w:t>
      </w:r>
      <w:r w:rsidR="00BB65A5">
        <w:t>*</w:t>
      </w:r>
      <w:r w:rsidR="002F2AFD" w:rsidRPr="008B3137">
        <w:t xml:space="preserve"> the N</w:t>
      </w:r>
      <w:r w:rsidR="00C04D97">
        <w:t>EP</w:t>
      </w:r>
      <w:r w:rsidR="002F2AFD" w:rsidRPr="008B3137">
        <w:t xml:space="preserve"> 2016</w:t>
      </w:r>
      <w:r w:rsidR="00BB65A5">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758E09CD" w14:textId="0BF3C48A" w:rsidR="002F2AFD" w:rsidRDefault="00915AD2" w:rsidP="004C79C1">
      <w:pPr>
        <w:pStyle w:val="Tablenotes0"/>
        <w:spacing w:before="0" w:after="120"/>
      </w:pPr>
      <w:r>
        <w:t xml:space="preserve"> </w:t>
      </w:r>
      <w:proofErr w:type="gramStart"/>
      <w:r w:rsidRPr="005F66C3">
        <w:rPr>
          <w:vertAlign w:val="superscript"/>
        </w:rPr>
        <w:t>b</w:t>
      </w:r>
      <w:r w:rsidR="002F2AFD" w:rsidRPr="00F90C25">
        <w:t>$</w:t>
      </w:r>
      <w:proofErr w:type="gramEnd"/>
      <w:r w:rsidR="002F2AFD" w:rsidRPr="00F90C25">
        <w:t>48,679</w:t>
      </w:r>
      <w:r w:rsidR="002F2AFD">
        <w:t xml:space="preserve"> converted to 2015 AUD using </w:t>
      </w:r>
      <w:r w:rsidR="002F2AFD" w:rsidRPr="00B66250">
        <w:t>inflation calculator provided by Reserve Bank of Australia</w:t>
      </w:r>
      <w:r w:rsidR="002F2AFD">
        <w:t>;</w:t>
      </w:r>
      <w:r w:rsidR="002F2AFD" w:rsidRPr="00B66250">
        <w:t xml:space="preserve"> </w:t>
      </w:r>
      <w:r>
        <w:t>&lt;</w:t>
      </w:r>
      <w:hyperlink r:id="rId103"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7D1A92B5" w14:textId="641A7197" w:rsidR="00743C53" w:rsidRPr="008B3137" w:rsidRDefault="00743C53" w:rsidP="004C79C1">
      <w:pPr>
        <w:pStyle w:val="Tablenotes0"/>
        <w:spacing w:before="0" w:after="120"/>
        <w:contextualSpacing/>
        <w:rPr>
          <w:rStyle w:val="st"/>
        </w:rPr>
      </w:pPr>
      <w:r w:rsidRPr="008B3137">
        <w:t xml:space="preserve">AR-DRG = </w:t>
      </w:r>
      <w:r w:rsidRPr="008B3137">
        <w:rPr>
          <w:rStyle w:val="st"/>
        </w:rPr>
        <w:t xml:space="preserve">Australian Refined Diagnosis Related Groups; </w:t>
      </w:r>
      <w:r>
        <w:rPr>
          <w:rStyle w:val="st"/>
        </w:rPr>
        <w:t>CPB = cardiopulmonary b</w:t>
      </w:r>
      <w:r w:rsidRPr="0034101A">
        <w:rPr>
          <w:rStyle w:val="st"/>
        </w:rPr>
        <w:t>ypass</w:t>
      </w:r>
      <w:r>
        <w:rPr>
          <w:rStyle w:val="st"/>
        </w:rPr>
        <w:t xml:space="preserve">; </w:t>
      </w:r>
      <w:r w:rsidR="00C04D97">
        <w:t xml:space="preserve">NEP = National Efficient Price; </w:t>
      </w:r>
      <w:r w:rsidRPr="008B3137">
        <w:rPr>
          <w:rStyle w:val="st"/>
        </w:rPr>
        <w:t>Seps = number of hospital separations</w:t>
      </w:r>
    </w:p>
    <w:p w14:paraId="651AEF5D" w14:textId="48CD0F3C" w:rsidR="002F2AFD" w:rsidRDefault="002F2AFD" w:rsidP="004C79C1">
      <w:pPr>
        <w:pStyle w:val="Caption"/>
        <w:keepNext/>
      </w:pPr>
      <w:bookmarkStart w:id="1040" w:name="_Toc450052127"/>
      <w:bookmarkStart w:id="1041" w:name="_Toc324410318"/>
      <w:bookmarkStart w:id="1042" w:name="_Toc451435441"/>
      <w:r>
        <w:t xml:space="preserve">Table </w:t>
      </w:r>
      <w:fldSimple w:instr=" SEQ Table \* ARABIC ">
        <w:r w:rsidR="00050936">
          <w:rPr>
            <w:noProof/>
          </w:rPr>
          <w:t>114</w:t>
        </w:r>
      </w:fldSimple>
      <w:r>
        <w:tab/>
      </w:r>
      <w:r w:rsidRPr="009F33B7">
        <w:t xml:space="preserve">Cost per </w:t>
      </w:r>
      <w:r>
        <w:t xml:space="preserve">valvular surgery </w:t>
      </w:r>
      <w:r w:rsidRPr="009F33B7">
        <w:t xml:space="preserve">in </w:t>
      </w:r>
      <w:r>
        <w:t>private</w:t>
      </w:r>
      <w:r w:rsidRPr="009F33B7">
        <w:t xml:space="preserve"> sector</w:t>
      </w:r>
      <w:bookmarkEnd w:id="1040"/>
      <w:bookmarkEnd w:id="1041"/>
      <w:bookmarkEnd w:id="1042"/>
    </w:p>
    <w:tbl>
      <w:tblPr>
        <w:tblStyle w:val="TableGrid1"/>
        <w:tblW w:w="5000" w:type="pct"/>
        <w:tblLook w:val="04A0" w:firstRow="1" w:lastRow="0" w:firstColumn="1" w:lastColumn="0" w:noHBand="0" w:noVBand="1"/>
        <w:tblDescription w:val="Cost per valvular surgery in private sector"/>
      </w:tblPr>
      <w:tblGrid>
        <w:gridCol w:w="3824"/>
        <w:gridCol w:w="1636"/>
        <w:gridCol w:w="1895"/>
        <w:gridCol w:w="1887"/>
      </w:tblGrid>
      <w:tr w:rsidR="002F2AFD" w:rsidRPr="00B6558E" w14:paraId="1DEDEF09" w14:textId="77777777" w:rsidTr="00D8421D">
        <w:trPr>
          <w:cnfStyle w:val="100000000000" w:firstRow="1" w:lastRow="0" w:firstColumn="0" w:lastColumn="0" w:oddVBand="0" w:evenVBand="0" w:oddHBand="0" w:evenHBand="0" w:firstRowFirstColumn="0" w:firstRowLastColumn="0" w:lastRowFirstColumn="0" w:lastRowLastColumn="0"/>
          <w:trHeight w:val="300"/>
          <w:tblHeader/>
        </w:trPr>
        <w:tc>
          <w:tcPr>
            <w:tcW w:w="2069" w:type="pct"/>
            <w:noWrap/>
            <w:hideMark/>
          </w:tcPr>
          <w:p w14:paraId="555DA038" w14:textId="77777777" w:rsidR="002F2AFD" w:rsidRPr="00B6558E" w:rsidRDefault="002F2AFD" w:rsidP="004C79C1">
            <w:pPr>
              <w:pStyle w:val="TableHeading"/>
              <w:spacing w:before="0" w:after="120"/>
            </w:pPr>
          </w:p>
        </w:tc>
        <w:tc>
          <w:tcPr>
            <w:tcW w:w="885" w:type="pct"/>
            <w:noWrap/>
            <w:hideMark/>
          </w:tcPr>
          <w:p w14:paraId="03D87198" w14:textId="77777777" w:rsidR="002F2AFD" w:rsidRPr="00B6558E" w:rsidRDefault="002F2AFD" w:rsidP="004C79C1">
            <w:pPr>
              <w:pStyle w:val="TableHeading"/>
              <w:spacing w:before="0" w:after="120"/>
              <w:jc w:val="center"/>
              <w:rPr>
                <w:color w:val="000000"/>
              </w:rPr>
            </w:pPr>
            <w:r w:rsidRPr="00B6558E">
              <w:rPr>
                <w:color w:val="000000"/>
              </w:rPr>
              <w:t>Medicare</w:t>
            </w:r>
          </w:p>
        </w:tc>
        <w:tc>
          <w:tcPr>
            <w:tcW w:w="1025" w:type="pct"/>
            <w:noWrap/>
            <w:hideMark/>
          </w:tcPr>
          <w:p w14:paraId="218A8141" w14:textId="77777777" w:rsidR="002F2AFD" w:rsidRPr="00B6558E" w:rsidRDefault="002F2AFD" w:rsidP="004C79C1">
            <w:pPr>
              <w:pStyle w:val="TableHeading"/>
              <w:spacing w:before="0" w:after="120"/>
              <w:jc w:val="center"/>
              <w:rPr>
                <w:color w:val="000000"/>
              </w:rPr>
            </w:pPr>
            <w:r w:rsidRPr="00B6558E">
              <w:rPr>
                <w:color w:val="000000"/>
              </w:rPr>
              <w:t>PHI</w:t>
            </w:r>
          </w:p>
        </w:tc>
        <w:tc>
          <w:tcPr>
            <w:tcW w:w="1021" w:type="pct"/>
          </w:tcPr>
          <w:p w14:paraId="598D5475" w14:textId="77777777" w:rsidR="002F2AFD" w:rsidRPr="00B6558E" w:rsidRDefault="002F2AFD" w:rsidP="004C79C1">
            <w:pPr>
              <w:pStyle w:val="TableHeading"/>
              <w:spacing w:before="0" w:after="120"/>
              <w:jc w:val="center"/>
              <w:rPr>
                <w:color w:val="000000"/>
              </w:rPr>
            </w:pPr>
            <w:r>
              <w:t>Cost</w:t>
            </w:r>
          </w:p>
        </w:tc>
      </w:tr>
      <w:tr w:rsidR="002F2AFD" w:rsidRPr="00B6558E" w14:paraId="7DE9259E" w14:textId="77777777" w:rsidTr="00D8421D">
        <w:trPr>
          <w:trHeight w:val="300"/>
        </w:trPr>
        <w:tc>
          <w:tcPr>
            <w:tcW w:w="2069" w:type="pct"/>
            <w:noWrap/>
            <w:hideMark/>
          </w:tcPr>
          <w:p w14:paraId="4BF800A3" w14:textId="77777777" w:rsidR="002F2AFD" w:rsidRPr="00B6558E" w:rsidRDefault="002F2AFD" w:rsidP="004C79C1">
            <w:pPr>
              <w:pStyle w:val="Tabletext1"/>
              <w:spacing w:before="0" w:after="120"/>
              <w:rPr>
                <w:color w:val="000000"/>
              </w:rPr>
            </w:pPr>
            <w:r w:rsidRPr="00B6558E">
              <w:rPr>
                <w:color w:val="000000"/>
              </w:rPr>
              <w:t>Total average hospital component</w:t>
            </w:r>
          </w:p>
        </w:tc>
        <w:tc>
          <w:tcPr>
            <w:tcW w:w="885" w:type="pct"/>
            <w:noWrap/>
            <w:hideMark/>
          </w:tcPr>
          <w:p w14:paraId="043D5B4A" w14:textId="77777777" w:rsidR="002F2AFD" w:rsidRPr="00B6558E" w:rsidRDefault="002F2AFD" w:rsidP="004C79C1">
            <w:pPr>
              <w:pStyle w:val="Tabletext1"/>
              <w:spacing w:before="0" w:after="120"/>
              <w:ind w:right="275"/>
              <w:jc w:val="right"/>
              <w:rPr>
                <w:color w:val="000000"/>
              </w:rPr>
            </w:pPr>
          </w:p>
        </w:tc>
        <w:tc>
          <w:tcPr>
            <w:tcW w:w="1025" w:type="pct"/>
            <w:noWrap/>
            <w:hideMark/>
          </w:tcPr>
          <w:p w14:paraId="40E3D2D7" w14:textId="77777777" w:rsidR="002F2AFD" w:rsidRPr="00B6558E" w:rsidRDefault="002F2AFD" w:rsidP="004C79C1">
            <w:pPr>
              <w:pStyle w:val="Tabletext1"/>
              <w:spacing w:before="0" w:after="120"/>
              <w:ind w:right="275"/>
              <w:jc w:val="right"/>
              <w:rPr>
                <w:color w:val="000000"/>
              </w:rPr>
            </w:pPr>
            <w:r w:rsidRPr="0086285D">
              <w:t>$33,093</w:t>
            </w:r>
          </w:p>
        </w:tc>
        <w:tc>
          <w:tcPr>
            <w:tcW w:w="1021" w:type="pct"/>
          </w:tcPr>
          <w:p w14:paraId="7F1C5B57" w14:textId="77777777" w:rsidR="002F2AFD" w:rsidRPr="00B6558E" w:rsidRDefault="002F2AFD" w:rsidP="004C79C1">
            <w:pPr>
              <w:pStyle w:val="Tabletext1"/>
              <w:spacing w:before="0" w:after="120"/>
              <w:ind w:right="275"/>
              <w:jc w:val="right"/>
              <w:rPr>
                <w:color w:val="000000"/>
              </w:rPr>
            </w:pPr>
            <w:r w:rsidRPr="00631192">
              <w:t>$33,261</w:t>
            </w:r>
          </w:p>
        </w:tc>
      </w:tr>
      <w:tr w:rsidR="002F2AFD" w:rsidRPr="00B6558E" w14:paraId="6337EA58" w14:textId="77777777" w:rsidTr="00D8421D">
        <w:trPr>
          <w:trHeight w:val="300"/>
        </w:trPr>
        <w:tc>
          <w:tcPr>
            <w:tcW w:w="2069" w:type="pct"/>
            <w:noWrap/>
            <w:hideMark/>
          </w:tcPr>
          <w:p w14:paraId="745518E7" w14:textId="3B876486" w:rsidR="002F2AFD" w:rsidRPr="00B6558E" w:rsidRDefault="002F2AFD" w:rsidP="004C79C1">
            <w:pPr>
              <w:pStyle w:val="Tabletext1"/>
              <w:spacing w:before="0" w:after="120"/>
              <w:rPr>
                <w:color w:val="000000"/>
              </w:rPr>
            </w:pPr>
            <w:r w:rsidRPr="00B6558E">
              <w:rPr>
                <w:color w:val="000000"/>
              </w:rPr>
              <w:t xml:space="preserve">Total </w:t>
            </w:r>
            <w:r w:rsidR="008E3349">
              <w:rPr>
                <w:color w:val="000000"/>
              </w:rPr>
              <w:t>a</w:t>
            </w:r>
            <w:r w:rsidRPr="00B6558E">
              <w:rPr>
                <w:color w:val="000000"/>
              </w:rPr>
              <w:t xml:space="preserve">verage </w:t>
            </w:r>
            <w:r w:rsidR="008E3349">
              <w:rPr>
                <w:color w:val="000000"/>
              </w:rPr>
              <w:t>m</w:t>
            </w:r>
            <w:r w:rsidRPr="00B6558E">
              <w:rPr>
                <w:color w:val="000000"/>
              </w:rPr>
              <w:t xml:space="preserve">edical </w:t>
            </w:r>
            <w:r w:rsidR="008E3349">
              <w:rPr>
                <w:color w:val="000000"/>
              </w:rPr>
              <w:t>s</w:t>
            </w:r>
            <w:r w:rsidRPr="00B6558E">
              <w:rPr>
                <w:color w:val="000000"/>
              </w:rPr>
              <w:t>ervices</w:t>
            </w:r>
          </w:p>
        </w:tc>
        <w:tc>
          <w:tcPr>
            <w:tcW w:w="885" w:type="pct"/>
            <w:noWrap/>
            <w:hideMark/>
          </w:tcPr>
          <w:p w14:paraId="7FA95584" w14:textId="77777777" w:rsidR="002F2AFD" w:rsidRPr="00B6558E" w:rsidRDefault="002F2AFD" w:rsidP="004C79C1">
            <w:pPr>
              <w:pStyle w:val="Tabletext1"/>
              <w:spacing w:before="0" w:after="120"/>
              <w:ind w:right="275"/>
              <w:jc w:val="right"/>
              <w:rPr>
                <w:color w:val="000000"/>
              </w:rPr>
            </w:pPr>
            <w:r w:rsidRPr="0086285D">
              <w:t>$7,839</w:t>
            </w:r>
          </w:p>
        </w:tc>
        <w:tc>
          <w:tcPr>
            <w:tcW w:w="1025" w:type="pct"/>
            <w:noWrap/>
            <w:hideMark/>
          </w:tcPr>
          <w:p w14:paraId="1E42B60C" w14:textId="77777777" w:rsidR="002F2AFD" w:rsidRPr="00B6558E" w:rsidRDefault="002F2AFD" w:rsidP="004C79C1">
            <w:pPr>
              <w:pStyle w:val="Tabletext1"/>
              <w:spacing w:before="0" w:after="120"/>
              <w:ind w:right="275"/>
              <w:jc w:val="right"/>
              <w:rPr>
                <w:color w:val="000000"/>
              </w:rPr>
            </w:pPr>
            <w:r w:rsidRPr="0086285D">
              <w:t>$7,011</w:t>
            </w:r>
          </w:p>
        </w:tc>
        <w:tc>
          <w:tcPr>
            <w:tcW w:w="1021" w:type="pct"/>
          </w:tcPr>
          <w:p w14:paraId="004E9F0A" w14:textId="77777777" w:rsidR="002F2AFD" w:rsidRPr="00B6558E" w:rsidRDefault="002F2AFD" w:rsidP="004C79C1">
            <w:pPr>
              <w:pStyle w:val="Tabletext1"/>
              <w:spacing w:before="0" w:after="120"/>
              <w:ind w:right="275"/>
              <w:jc w:val="right"/>
              <w:rPr>
                <w:color w:val="000000"/>
              </w:rPr>
            </w:pPr>
            <w:r w:rsidRPr="00631192">
              <w:t>$16,308</w:t>
            </w:r>
          </w:p>
        </w:tc>
      </w:tr>
      <w:tr w:rsidR="002F2AFD" w:rsidRPr="004127E4" w14:paraId="46747B8C" w14:textId="77777777" w:rsidTr="00D8421D">
        <w:trPr>
          <w:trHeight w:val="300"/>
        </w:trPr>
        <w:tc>
          <w:tcPr>
            <w:tcW w:w="2069" w:type="pct"/>
            <w:noWrap/>
            <w:hideMark/>
          </w:tcPr>
          <w:p w14:paraId="73261626" w14:textId="77777777" w:rsidR="002F2AFD" w:rsidRPr="005F66C3" w:rsidRDefault="002F2AFD" w:rsidP="004C79C1">
            <w:pPr>
              <w:pStyle w:val="Tabletext1"/>
              <w:spacing w:before="0" w:after="120"/>
              <w:rPr>
                <w:color w:val="000000"/>
              </w:rPr>
            </w:pPr>
            <w:r w:rsidRPr="005F66C3">
              <w:rPr>
                <w:color w:val="000000"/>
              </w:rPr>
              <w:t>Sum</w:t>
            </w:r>
          </w:p>
        </w:tc>
        <w:tc>
          <w:tcPr>
            <w:tcW w:w="885" w:type="pct"/>
            <w:noWrap/>
            <w:hideMark/>
          </w:tcPr>
          <w:p w14:paraId="172C926A" w14:textId="77777777" w:rsidR="002F2AFD" w:rsidRPr="005F66C3" w:rsidRDefault="002F2AFD" w:rsidP="004C79C1">
            <w:pPr>
              <w:pStyle w:val="Tabletext1"/>
              <w:spacing w:before="0" w:after="120"/>
              <w:ind w:right="275"/>
              <w:jc w:val="right"/>
              <w:rPr>
                <w:color w:val="000000"/>
              </w:rPr>
            </w:pPr>
            <w:r w:rsidRPr="005F66C3">
              <w:t>$7,839</w:t>
            </w:r>
          </w:p>
        </w:tc>
        <w:tc>
          <w:tcPr>
            <w:tcW w:w="1025" w:type="pct"/>
            <w:noWrap/>
            <w:hideMark/>
          </w:tcPr>
          <w:p w14:paraId="23F9A17C" w14:textId="77777777" w:rsidR="002F2AFD" w:rsidRPr="005F66C3" w:rsidRDefault="002F2AFD" w:rsidP="004C79C1">
            <w:pPr>
              <w:pStyle w:val="Tabletext1"/>
              <w:spacing w:before="0" w:after="120"/>
              <w:ind w:right="275"/>
              <w:jc w:val="right"/>
              <w:rPr>
                <w:color w:val="000000"/>
              </w:rPr>
            </w:pPr>
            <w:r w:rsidRPr="005F66C3">
              <w:t>$40,104</w:t>
            </w:r>
          </w:p>
        </w:tc>
        <w:tc>
          <w:tcPr>
            <w:tcW w:w="1021" w:type="pct"/>
          </w:tcPr>
          <w:p w14:paraId="3AB4D5A2" w14:textId="77777777" w:rsidR="002F2AFD" w:rsidRPr="005F66C3" w:rsidRDefault="002F2AFD" w:rsidP="004C79C1">
            <w:pPr>
              <w:pStyle w:val="Tabletext1"/>
              <w:spacing w:before="0" w:after="120"/>
              <w:ind w:right="275"/>
              <w:jc w:val="right"/>
              <w:rPr>
                <w:color w:val="000000"/>
              </w:rPr>
            </w:pPr>
            <w:r w:rsidRPr="005F66C3">
              <w:t>$49,569</w:t>
            </w:r>
          </w:p>
        </w:tc>
      </w:tr>
      <w:tr w:rsidR="002F2AFD" w:rsidRPr="00D02743" w14:paraId="7B48FD6D" w14:textId="77777777" w:rsidTr="00D8421D">
        <w:trPr>
          <w:trHeight w:val="300"/>
        </w:trPr>
        <w:tc>
          <w:tcPr>
            <w:tcW w:w="2069" w:type="pct"/>
            <w:noWrap/>
          </w:tcPr>
          <w:p w14:paraId="7DB47F93" w14:textId="69FDFCF9" w:rsidR="002F2AFD" w:rsidRPr="00D02743" w:rsidRDefault="002F2AFD" w:rsidP="004C79C1">
            <w:pPr>
              <w:pStyle w:val="Tabletext1"/>
              <w:spacing w:before="0" w:after="120"/>
              <w:rPr>
                <w:b/>
                <w:color w:val="000000"/>
              </w:rPr>
            </w:pPr>
            <w:r w:rsidRPr="00D02743">
              <w:rPr>
                <w:b/>
                <w:color w:val="000000"/>
              </w:rPr>
              <w:t>Total cost, adjusted for inflation (2015 AUD)</w:t>
            </w:r>
            <w:r w:rsidR="008E3349">
              <w:rPr>
                <w:b/>
                <w:color w:val="000000"/>
              </w:rPr>
              <w:t xml:space="preserve"> </w:t>
            </w:r>
            <w:r w:rsidR="008E3349" w:rsidRPr="005F66C3">
              <w:rPr>
                <w:b/>
                <w:color w:val="000000"/>
                <w:vertAlign w:val="superscript"/>
              </w:rPr>
              <w:t>a</w:t>
            </w:r>
          </w:p>
        </w:tc>
        <w:tc>
          <w:tcPr>
            <w:tcW w:w="885" w:type="pct"/>
            <w:noWrap/>
          </w:tcPr>
          <w:p w14:paraId="108F22D1" w14:textId="77777777" w:rsidR="002F2AFD" w:rsidRPr="00D02743" w:rsidRDefault="002F2AFD" w:rsidP="004C79C1">
            <w:pPr>
              <w:pStyle w:val="Tabletext1"/>
              <w:spacing w:before="0" w:after="120"/>
              <w:ind w:right="275"/>
              <w:jc w:val="right"/>
              <w:rPr>
                <w:b/>
                <w:color w:val="000000"/>
              </w:rPr>
            </w:pPr>
          </w:p>
        </w:tc>
        <w:tc>
          <w:tcPr>
            <w:tcW w:w="1025" w:type="pct"/>
            <w:noWrap/>
          </w:tcPr>
          <w:p w14:paraId="5E375B81" w14:textId="77777777" w:rsidR="002F2AFD" w:rsidRPr="00D02743" w:rsidRDefault="002F2AFD" w:rsidP="004C79C1">
            <w:pPr>
              <w:pStyle w:val="Tabletext1"/>
              <w:spacing w:before="0" w:after="120"/>
              <w:ind w:right="275"/>
              <w:jc w:val="right"/>
              <w:rPr>
                <w:b/>
                <w:color w:val="000000"/>
              </w:rPr>
            </w:pPr>
          </w:p>
        </w:tc>
        <w:tc>
          <w:tcPr>
            <w:tcW w:w="1021" w:type="pct"/>
          </w:tcPr>
          <w:p w14:paraId="0CBE4AD1" w14:textId="77777777" w:rsidR="002F2AFD" w:rsidRPr="00D02743" w:rsidRDefault="002F2AFD" w:rsidP="004C79C1">
            <w:pPr>
              <w:pStyle w:val="Tabletext1"/>
              <w:spacing w:before="0" w:after="120"/>
              <w:ind w:right="275"/>
              <w:jc w:val="right"/>
              <w:rPr>
                <w:b/>
                <w:color w:val="000000"/>
              </w:rPr>
            </w:pPr>
            <w:r w:rsidRPr="00AC1E6B">
              <w:rPr>
                <w:b/>
                <w:color w:val="000000"/>
              </w:rPr>
              <w:t>$50,317</w:t>
            </w:r>
          </w:p>
        </w:tc>
      </w:tr>
    </w:tbl>
    <w:p w14:paraId="30328C3F" w14:textId="4FFC5A65" w:rsidR="00D8421D" w:rsidRDefault="00D8421D" w:rsidP="004C79C1">
      <w:pPr>
        <w:pStyle w:val="Tablenotes0"/>
        <w:spacing w:before="0" w:after="120"/>
        <w:contextualSpacing/>
      </w:pPr>
      <w:r>
        <w:t>Source: &lt;</w:t>
      </w:r>
      <w:hyperlink r:id="rId104" w:tooltip="http://healthtopics.hcf.com.au/HeartValveReplacement.aspx?gender=male&amp;topic=chest" w:history="1">
        <w:r w:rsidRPr="009F32FE">
          <w:rPr>
            <w:rStyle w:val="Hyperlink"/>
          </w:rPr>
          <w:t>http://healthtopics.hcf.com.au/HeartValveReplacement.aspx?gender=male&amp;topic=chest</w:t>
        </w:r>
      </w:hyperlink>
      <w:r>
        <w:rPr>
          <w:rStyle w:val="Hyperlink"/>
        </w:rPr>
        <w:t>&gt;</w:t>
      </w:r>
      <w:r w:rsidR="00DA3D67">
        <w:t>;</w:t>
      </w:r>
      <w:r>
        <w:t xml:space="preserve"> accessed 24 March 2016</w:t>
      </w:r>
    </w:p>
    <w:p w14:paraId="429FE39A" w14:textId="0255C13E" w:rsidR="002F2AFD" w:rsidRPr="008B3137" w:rsidRDefault="008E3349" w:rsidP="004C79C1">
      <w:pPr>
        <w:pStyle w:val="Tablenotes0"/>
        <w:spacing w:before="0" w:after="120"/>
        <w:rPr>
          <w:rStyle w:val="st"/>
        </w:rPr>
      </w:pPr>
      <w:proofErr w:type="gramStart"/>
      <w:r w:rsidRPr="005F66C3">
        <w:rPr>
          <w:vertAlign w:val="superscript"/>
        </w:rPr>
        <w:t>a</w:t>
      </w:r>
      <w:proofErr w:type="gramEnd"/>
      <w:r>
        <w:t xml:space="preserve"> </w:t>
      </w:r>
      <w:r w:rsidR="002F2AFD">
        <w:t xml:space="preserve">$49,569 converted to $50,317 (2015 AUD) using </w:t>
      </w:r>
      <w:r w:rsidR="002F2AFD" w:rsidRPr="00B66250">
        <w:t>inflation calculator provided by Reserve Bank of Australia</w:t>
      </w:r>
      <w:r w:rsidR="002F2AFD">
        <w:t>;</w:t>
      </w:r>
      <w:r w:rsidR="002F2AFD" w:rsidRPr="00B66250">
        <w:t xml:space="preserve"> </w:t>
      </w:r>
      <w:r>
        <w:t>&lt;</w:t>
      </w:r>
      <w:hyperlink r:id="rId105"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5B13C4E1" w14:textId="2FAF1CB8" w:rsidR="00B53242" w:rsidRDefault="00B53242" w:rsidP="004C79C1">
      <w:pPr>
        <w:pStyle w:val="Tablenotes0"/>
        <w:spacing w:before="0" w:after="120"/>
        <w:contextualSpacing/>
      </w:pPr>
      <w:r>
        <w:t>PHI = private health insurer</w:t>
      </w:r>
    </w:p>
    <w:p w14:paraId="72204569" w14:textId="77777777" w:rsidR="00B53242" w:rsidRDefault="00B53242" w:rsidP="004C79C1">
      <w:pPr>
        <w:pStyle w:val="Tablenotes0"/>
        <w:spacing w:before="0" w:after="120"/>
        <w:contextualSpacing/>
      </w:pPr>
    </w:p>
    <w:p w14:paraId="010B0147" w14:textId="7EB3469A" w:rsidR="002F2AFD" w:rsidRDefault="002F2AFD" w:rsidP="004C79C1">
      <w:pPr>
        <w:pStyle w:val="Heading2"/>
        <w:spacing w:before="0" w:after="120" w:line="240" w:lineRule="auto"/>
      </w:pPr>
      <w:bookmarkStart w:id="1043" w:name="_Toc449428986"/>
      <w:bookmarkStart w:id="1044" w:name="_Toc450051829"/>
      <w:bookmarkStart w:id="1045" w:name="_Toc451501446"/>
      <w:r w:rsidRPr="00750384">
        <w:lastRenderedPageBreak/>
        <w:t xml:space="preserve">Cost </w:t>
      </w:r>
      <w:r>
        <w:t>per</w:t>
      </w:r>
      <w:r w:rsidRPr="00750384">
        <w:t xml:space="preserve"> </w:t>
      </w:r>
      <w:r w:rsidR="00B57D14">
        <w:t>O</w:t>
      </w:r>
      <w:r>
        <w:t xml:space="preserve">ther </w:t>
      </w:r>
      <w:r w:rsidR="00B57D14">
        <w:t>C</w:t>
      </w:r>
      <w:r>
        <w:t xml:space="preserve">ardiac </w:t>
      </w:r>
      <w:r w:rsidR="00B57D14">
        <w:t>S</w:t>
      </w:r>
      <w:r>
        <w:t>urgery</w:t>
      </w:r>
      <w:bookmarkEnd w:id="1043"/>
      <w:bookmarkEnd w:id="1044"/>
      <w:bookmarkEnd w:id="1045"/>
    </w:p>
    <w:p w14:paraId="1E3CA9DB" w14:textId="4242A561" w:rsidR="002F2AFD" w:rsidRDefault="002F2AFD" w:rsidP="004C79C1">
      <w:pPr>
        <w:pStyle w:val="Caption"/>
        <w:keepNext/>
      </w:pPr>
      <w:bookmarkStart w:id="1046" w:name="_Toc450052128"/>
      <w:bookmarkStart w:id="1047" w:name="_Toc324410319"/>
      <w:bookmarkStart w:id="1048" w:name="_Toc451435442"/>
      <w:r>
        <w:t xml:space="preserve">Table </w:t>
      </w:r>
      <w:fldSimple w:instr=" SEQ Table \* ARABIC ">
        <w:r w:rsidR="00050936">
          <w:rPr>
            <w:noProof/>
          </w:rPr>
          <w:t>115</w:t>
        </w:r>
      </w:fldSimple>
      <w:r>
        <w:tab/>
        <w:t>C</w:t>
      </w:r>
      <w:r w:rsidRPr="00FB4888">
        <w:t xml:space="preserve">ost per </w:t>
      </w:r>
      <w:r>
        <w:t xml:space="preserve">other cardiac surgeries </w:t>
      </w:r>
      <w:r w:rsidRPr="00FB4888">
        <w:t>in public sector</w:t>
      </w:r>
      <w:bookmarkEnd w:id="1046"/>
      <w:bookmarkEnd w:id="1047"/>
      <w:bookmarkEnd w:id="1048"/>
    </w:p>
    <w:tbl>
      <w:tblPr>
        <w:tblW w:w="5000" w:type="pct"/>
        <w:tblLayout w:type="fixed"/>
        <w:tblLook w:val="04A0" w:firstRow="1" w:lastRow="0" w:firstColumn="1" w:lastColumn="0" w:noHBand="0" w:noVBand="1"/>
        <w:tblDescription w:val="Cost per other cardiac surgeries in public sector"/>
      </w:tblPr>
      <w:tblGrid>
        <w:gridCol w:w="5225"/>
        <w:gridCol w:w="1163"/>
        <w:gridCol w:w="872"/>
        <w:gridCol w:w="871"/>
        <w:gridCol w:w="1111"/>
      </w:tblGrid>
      <w:tr w:rsidR="002F2AFD" w:rsidRPr="00F55910" w14:paraId="7261B599" w14:textId="77777777" w:rsidTr="00857B30">
        <w:trPr>
          <w:trHeight w:val="300"/>
          <w:tblHeader/>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FEB8" w14:textId="77777777" w:rsidR="002F2AFD" w:rsidRPr="00F55910" w:rsidRDefault="002F2AFD" w:rsidP="004C79C1">
            <w:pPr>
              <w:pStyle w:val="TableHeading"/>
              <w:spacing w:before="0" w:after="120"/>
            </w:pPr>
            <w:r w:rsidRPr="00F55910">
              <w:t>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CD494BF" w14:textId="77777777" w:rsidR="002F2AFD" w:rsidRPr="00F55910" w:rsidRDefault="002F2AFD" w:rsidP="004C79C1">
            <w:pPr>
              <w:pStyle w:val="TableHeading"/>
              <w:spacing w:before="0" w:after="120"/>
            </w:pPr>
            <w:r w:rsidRPr="00F55910">
              <w:t>AR-DRG</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625B58E9" w14:textId="77777777" w:rsidR="002F2AFD" w:rsidRPr="00F55910" w:rsidRDefault="002F2AFD" w:rsidP="004C79C1">
            <w:pPr>
              <w:pStyle w:val="TableHeading"/>
              <w:spacing w:before="0" w:after="120"/>
              <w:jc w:val="center"/>
            </w:pPr>
            <w:r w:rsidRPr="00F55910">
              <w:t>Seps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656ECBFE" w14:textId="77777777" w:rsidR="002F2AFD" w:rsidRPr="00F55910" w:rsidRDefault="002F2AFD" w:rsidP="004C79C1">
            <w:pPr>
              <w:pStyle w:val="TableHeading"/>
              <w:spacing w:before="0" w:after="120"/>
              <w:jc w:val="center"/>
            </w:pPr>
            <w:r w:rsidRPr="00F55910">
              <w:t>Weight</w:t>
            </w:r>
          </w:p>
        </w:tc>
        <w:tc>
          <w:tcPr>
            <w:tcW w:w="601" w:type="pct"/>
            <w:tcBorders>
              <w:top w:val="single" w:sz="4" w:space="0" w:color="auto"/>
              <w:left w:val="nil"/>
              <w:bottom w:val="single" w:sz="4" w:space="0" w:color="auto"/>
              <w:right w:val="single" w:sz="4" w:space="0" w:color="auto"/>
            </w:tcBorders>
            <w:vAlign w:val="center"/>
          </w:tcPr>
          <w:p w14:paraId="6694B7F2" w14:textId="167F003D" w:rsidR="002F2AFD" w:rsidRPr="00F55910" w:rsidRDefault="002F2AFD" w:rsidP="004C79C1">
            <w:pPr>
              <w:pStyle w:val="TableHeading"/>
              <w:spacing w:before="0" w:after="120"/>
              <w:jc w:val="center"/>
            </w:pPr>
            <w:r w:rsidRPr="00F55910">
              <w:t>Cost</w:t>
            </w:r>
            <w:r w:rsidR="00986A63">
              <w:t xml:space="preserve"> </w:t>
            </w:r>
            <w:r w:rsidR="00986A63" w:rsidRPr="005F66C3">
              <w:rPr>
                <w:vertAlign w:val="superscript"/>
              </w:rPr>
              <w:t>a</w:t>
            </w:r>
          </w:p>
        </w:tc>
      </w:tr>
      <w:tr w:rsidR="002F2AFD" w:rsidRPr="00E17CB6" w14:paraId="6C9295ED"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tcPr>
          <w:p w14:paraId="2980A3FF" w14:textId="77777777" w:rsidR="002F2AFD" w:rsidRPr="0083783D" w:rsidRDefault="002F2AFD" w:rsidP="004C79C1">
            <w:pPr>
              <w:pStyle w:val="TableText0"/>
              <w:spacing w:before="0" w:after="120"/>
            </w:pPr>
            <w:r>
              <w:t>Other c</w:t>
            </w:r>
            <w:r w:rsidRPr="00F30F32">
              <w:t xml:space="preserve">ardiothoracic </w:t>
            </w:r>
            <w:r>
              <w:t>p</w:t>
            </w:r>
            <w:r w:rsidRPr="00F30F32">
              <w:t>roc</w:t>
            </w:r>
            <w:r>
              <w:t>edures</w:t>
            </w:r>
            <w:r w:rsidRPr="00F30F32">
              <w:t xml:space="preserve"> </w:t>
            </w:r>
            <w:r>
              <w:t>without</w:t>
            </w:r>
            <w:r w:rsidRPr="00F30F32">
              <w:t xml:space="preserve"> CPB </w:t>
            </w:r>
            <w:r>
              <w:t>pump with catastrophic complications</w:t>
            </w:r>
          </w:p>
        </w:tc>
        <w:tc>
          <w:tcPr>
            <w:tcW w:w="629" w:type="pct"/>
            <w:tcBorders>
              <w:top w:val="single" w:sz="4" w:space="0" w:color="auto"/>
              <w:left w:val="nil"/>
              <w:bottom w:val="single" w:sz="4" w:space="0" w:color="auto"/>
              <w:right w:val="single" w:sz="4" w:space="0" w:color="auto"/>
            </w:tcBorders>
            <w:shd w:val="clear" w:color="auto" w:fill="auto"/>
            <w:noWrap/>
          </w:tcPr>
          <w:p w14:paraId="47203964" w14:textId="77777777" w:rsidR="002F2AFD" w:rsidRDefault="002F2AFD" w:rsidP="004C79C1">
            <w:pPr>
              <w:pStyle w:val="TableText0"/>
              <w:spacing w:before="0" w:after="120"/>
            </w:pPr>
            <w:r w:rsidRPr="00F30F32">
              <w:t>F09A</w:t>
            </w:r>
          </w:p>
        </w:tc>
        <w:tc>
          <w:tcPr>
            <w:tcW w:w="472" w:type="pct"/>
            <w:tcBorders>
              <w:top w:val="single" w:sz="4" w:space="0" w:color="auto"/>
              <w:left w:val="nil"/>
              <w:bottom w:val="single" w:sz="4" w:space="0" w:color="auto"/>
              <w:right w:val="single" w:sz="4" w:space="0" w:color="auto"/>
            </w:tcBorders>
            <w:shd w:val="clear" w:color="auto" w:fill="auto"/>
            <w:noWrap/>
          </w:tcPr>
          <w:p w14:paraId="3A467D4E" w14:textId="77777777" w:rsidR="002F2AFD" w:rsidRPr="00E17CB6" w:rsidRDefault="002F2AFD" w:rsidP="004C79C1">
            <w:pPr>
              <w:pStyle w:val="TableText0"/>
              <w:spacing w:before="0" w:after="120"/>
              <w:jc w:val="center"/>
            </w:pPr>
            <w:r w:rsidRPr="00F30F32">
              <w:t>436</w:t>
            </w:r>
          </w:p>
        </w:tc>
        <w:tc>
          <w:tcPr>
            <w:tcW w:w="471" w:type="pct"/>
            <w:tcBorders>
              <w:top w:val="single" w:sz="4" w:space="0" w:color="auto"/>
              <w:left w:val="nil"/>
              <w:bottom w:val="single" w:sz="4" w:space="0" w:color="auto"/>
              <w:right w:val="single" w:sz="4" w:space="0" w:color="auto"/>
            </w:tcBorders>
            <w:shd w:val="clear" w:color="auto" w:fill="auto"/>
            <w:noWrap/>
          </w:tcPr>
          <w:p w14:paraId="3D41FA38" w14:textId="77777777" w:rsidR="002F2AFD" w:rsidRPr="00E17CB6" w:rsidRDefault="002F2AFD" w:rsidP="004C79C1">
            <w:pPr>
              <w:pStyle w:val="TableText0"/>
              <w:spacing w:before="0" w:after="120"/>
              <w:jc w:val="center"/>
            </w:pPr>
            <w:r w:rsidRPr="00F30F32">
              <w:t>39.4%</w:t>
            </w:r>
          </w:p>
        </w:tc>
        <w:tc>
          <w:tcPr>
            <w:tcW w:w="601" w:type="pct"/>
            <w:tcBorders>
              <w:top w:val="single" w:sz="4" w:space="0" w:color="auto"/>
              <w:left w:val="nil"/>
              <w:bottom w:val="single" w:sz="4" w:space="0" w:color="auto"/>
              <w:right w:val="single" w:sz="4" w:space="0" w:color="auto"/>
            </w:tcBorders>
          </w:tcPr>
          <w:p w14:paraId="27290ADD" w14:textId="77777777" w:rsidR="002F2AFD" w:rsidRPr="00E17CB6" w:rsidRDefault="002F2AFD" w:rsidP="004C79C1">
            <w:pPr>
              <w:pStyle w:val="TableText0"/>
              <w:spacing w:before="0" w:after="120"/>
              <w:jc w:val="center"/>
            </w:pPr>
            <w:r w:rsidRPr="00F30F32">
              <w:t>$36,711</w:t>
            </w:r>
          </w:p>
        </w:tc>
      </w:tr>
      <w:tr w:rsidR="002F2AFD" w:rsidRPr="0083783D" w14:paraId="16B5BB76"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tcPr>
          <w:p w14:paraId="4E8E968A" w14:textId="77777777" w:rsidR="002F2AFD" w:rsidRPr="00E17CB6" w:rsidRDefault="002F2AFD" w:rsidP="004C79C1">
            <w:pPr>
              <w:pStyle w:val="TableText0"/>
              <w:spacing w:before="0" w:after="120"/>
              <w:rPr>
                <w:rFonts w:cs="Times New Roman"/>
                <w:color w:val="000000"/>
              </w:rPr>
            </w:pPr>
            <w:r>
              <w:t>Other c</w:t>
            </w:r>
            <w:r w:rsidRPr="00F30F32">
              <w:t xml:space="preserve">ardiothoracic </w:t>
            </w:r>
            <w:r>
              <w:t>p</w:t>
            </w:r>
            <w:r w:rsidRPr="00F30F32">
              <w:t>roc</w:t>
            </w:r>
            <w:r>
              <w:t>edures</w:t>
            </w:r>
            <w:r w:rsidRPr="00F30F32">
              <w:t xml:space="preserve"> </w:t>
            </w:r>
            <w:r>
              <w:t>without</w:t>
            </w:r>
            <w:r w:rsidRPr="00F30F32">
              <w:t xml:space="preserve"> CPB </w:t>
            </w:r>
            <w:r>
              <w:t>pump without catastrophic complications</w:t>
            </w:r>
          </w:p>
        </w:tc>
        <w:tc>
          <w:tcPr>
            <w:tcW w:w="629" w:type="pct"/>
            <w:tcBorders>
              <w:top w:val="nil"/>
              <w:left w:val="nil"/>
              <w:bottom w:val="single" w:sz="4" w:space="0" w:color="auto"/>
              <w:right w:val="single" w:sz="4" w:space="0" w:color="auto"/>
            </w:tcBorders>
            <w:shd w:val="clear" w:color="auto" w:fill="auto"/>
            <w:noWrap/>
          </w:tcPr>
          <w:p w14:paraId="4F320645" w14:textId="77777777" w:rsidR="002F2AFD" w:rsidRPr="00E17CB6" w:rsidRDefault="002F2AFD" w:rsidP="004C79C1">
            <w:pPr>
              <w:pStyle w:val="TableText0"/>
              <w:spacing w:before="0" w:after="120"/>
              <w:rPr>
                <w:rFonts w:cs="Times New Roman"/>
                <w:color w:val="000000"/>
              </w:rPr>
            </w:pPr>
            <w:r w:rsidRPr="00F30F32">
              <w:t>F09B</w:t>
            </w:r>
          </w:p>
        </w:tc>
        <w:tc>
          <w:tcPr>
            <w:tcW w:w="472" w:type="pct"/>
            <w:tcBorders>
              <w:top w:val="nil"/>
              <w:left w:val="nil"/>
              <w:bottom w:val="single" w:sz="4" w:space="0" w:color="auto"/>
              <w:right w:val="single" w:sz="4" w:space="0" w:color="auto"/>
            </w:tcBorders>
            <w:shd w:val="clear" w:color="auto" w:fill="auto"/>
            <w:noWrap/>
          </w:tcPr>
          <w:p w14:paraId="4D27729C" w14:textId="77777777" w:rsidR="002F2AFD" w:rsidRPr="00E17CB6" w:rsidRDefault="002F2AFD" w:rsidP="004C79C1">
            <w:pPr>
              <w:pStyle w:val="TableText0"/>
              <w:spacing w:before="0" w:after="120"/>
              <w:jc w:val="center"/>
              <w:rPr>
                <w:rFonts w:cs="Times New Roman"/>
                <w:color w:val="000000"/>
              </w:rPr>
            </w:pPr>
            <w:r w:rsidRPr="00F30F32">
              <w:t>500</w:t>
            </w:r>
          </w:p>
        </w:tc>
        <w:tc>
          <w:tcPr>
            <w:tcW w:w="471" w:type="pct"/>
            <w:tcBorders>
              <w:top w:val="nil"/>
              <w:left w:val="nil"/>
              <w:bottom w:val="single" w:sz="4" w:space="0" w:color="auto"/>
              <w:right w:val="single" w:sz="4" w:space="0" w:color="auto"/>
            </w:tcBorders>
            <w:shd w:val="clear" w:color="auto" w:fill="auto"/>
            <w:noWrap/>
          </w:tcPr>
          <w:p w14:paraId="7D64B9F0" w14:textId="77777777" w:rsidR="002F2AFD" w:rsidRPr="00E17CB6" w:rsidRDefault="002F2AFD" w:rsidP="004C79C1">
            <w:pPr>
              <w:pStyle w:val="TableText0"/>
              <w:spacing w:before="0" w:after="120"/>
              <w:jc w:val="center"/>
              <w:rPr>
                <w:rFonts w:cs="Times New Roman"/>
                <w:color w:val="000000"/>
              </w:rPr>
            </w:pPr>
            <w:r w:rsidRPr="00F30F32">
              <w:t>45.1%</w:t>
            </w:r>
          </w:p>
        </w:tc>
        <w:tc>
          <w:tcPr>
            <w:tcW w:w="601" w:type="pct"/>
            <w:tcBorders>
              <w:top w:val="nil"/>
              <w:left w:val="nil"/>
              <w:bottom w:val="single" w:sz="4" w:space="0" w:color="auto"/>
              <w:right w:val="single" w:sz="4" w:space="0" w:color="auto"/>
            </w:tcBorders>
          </w:tcPr>
          <w:p w14:paraId="1C3E2247" w14:textId="77777777" w:rsidR="002F2AFD" w:rsidRPr="00E17CB6" w:rsidRDefault="002F2AFD" w:rsidP="004C79C1">
            <w:pPr>
              <w:pStyle w:val="TableText0"/>
              <w:spacing w:before="0" w:after="120"/>
              <w:jc w:val="center"/>
              <w:rPr>
                <w:rFonts w:cs="Times New Roman"/>
                <w:color w:val="000000"/>
              </w:rPr>
            </w:pPr>
            <w:r w:rsidRPr="00F30F32">
              <w:t>$13,358</w:t>
            </w:r>
          </w:p>
        </w:tc>
      </w:tr>
      <w:tr w:rsidR="002F2AFD" w:rsidRPr="00E17CB6" w14:paraId="7B787CFD"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hideMark/>
          </w:tcPr>
          <w:p w14:paraId="54E56426" w14:textId="3C40B990" w:rsidR="002F2AFD" w:rsidRPr="00E17CB6" w:rsidRDefault="002F2AFD" w:rsidP="004C79C1">
            <w:pPr>
              <w:pStyle w:val="TableText0"/>
              <w:spacing w:before="0" w:after="120"/>
              <w:rPr>
                <w:rFonts w:cs="Times New Roman"/>
                <w:color w:val="000000"/>
              </w:rPr>
            </w:pPr>
            <w:r>
              <w:t>Other c</w:t>
            </w:r>
            <w:r w:rsidRPr="00F30F32">
              <w:t xml:space="preserve">ardiothoracic </w:t>
            </w:r>
            <w:r>
              <w:t>p</w:t>
            </w:r>
            <w:r w:rsidRPr="00F30F32">
              <w:t>roc</w:t>
            </w:r>
            <w:r>
              <w:t>edures</w:t>
            </w:r>
            <w:r w:rsidRPr="00F30F32">
              <w:t xml:space="preserve"> </w:t>
            </w:r>
            <w:r>
              <w:t>without</w:t>
            </w:r>
            <w:r w:rsidRPr="00F30F32">
              <w:t xml:space="preserve"> CPB </w:t>
            </w:r>
            <w:r>
              <w:t>pump, died or t</w:t>
            </w:r>
            <w:r w:rsidRPr="00F30F32">
              <w:t>rans</w:t>
            </w:r>
            <w:r>
              <w:t>ferred to acute f</w:t>
            </w:r>
            <w:r w:rsidRPr="00F30F32">
              <w:t>acility &lt;5</w:t>
            </w:r>
            <w:r w:rsidR="00986A63">
              <w:t> </w:t>
            </w:r>
            <w:r>
              <w:t>d</w:t>
            </w:r>
            <w:r w:rsidRPr="00F30F32">
              <w:t>ays</w:t>
            </w:r>
          </w:p>
        </w:tc>
        <w:tc>
          <w:tcPr>
            <w:tcW w:w="629" w:type="pct"/>
            <w:tcBorders>
              <w:top w:val="nil"/>
              <w:left w:val="nil"/>
              <w:bottom w:val="single" w:sz="4" w:space="0" w:color="auto"/>
              <w:right w:val="single" w:sz="4" w:space="0" w:color="auto"/>
            </w:tcBorders>
            <w:shd w:val="clear" w:color="auto" w:fill="auto"/>
            <w:noWrap/>
            <w:hideMark/>
          </w:tcPr>
          <w:p w14:paraId="7F3FEE2D" w14:textId="77777777" w:rsidR="002F2AFD" w:rsidRPr="00E17CB6" w:rsidRDefault="002F2AFD" w:rsidP="004C79C1">
            <w:pPr>
              <w:pStyle w:val="TableText0"/>
              <w:spacing w:before="0" w:after="120"/>
              <w:rPr>
                <w:rFonts w:cs="Times New Roman"/>
                <w:color w:val="000000"/>
              </w:rPr>
            </w:pPr>
            <w:r w:rsidRPr="00F30F32">
              <w:t>F09C</w:t>
            </w:r>
          </w:p>
        </w:tc>
        <w:tc>
          <w:tcPr>
            <w:tcW w:w="472" w:type="pct"/>
            <w:tcBorders>
              <w:top w:val="nil"/>
              <w:left w:val="nil"/>
              <w:bottom w:val="single" w:sz="4" w:space="0" w:color="auto"/>
              <w:right w:val="single" w:sz="4" w:space="0" w:color="auto"/>
            </w:tcBorders>
            <w:shd w:val="clear" w:color="auto" w:fill="auto"/>
            <w:noWrap/>
          </w:tcPr>
          <w:p w14:paraId="52A13586" w14:textId="77777777" w:rsidR="002F2AFD" w:rsidRPr="00E17CB6" w:rsidRDefault="002F2AFD" w:rsidP="004C79C1">
            <w:pPr>
              <w:pStyle w:val="TableText0"/>
              <w:spacing w:before="0" w:after="120"/>
              <w:jc w:val="center"/>
              <w:rPr>
                <w:rFonts w:cs="Times New Roman"/>
                <w:color w:val="000000"/>
              </w:rPr>
            </w:pPr>
            <w:r w:rsidRPr="00F30F32">
              <w:t>172</w:t>
            </w:r>
          </w:p>
        </w:tc>
        <w:tc>
          <w:tcPr>
            <w:tcW w:w="471" w:type="pct"/>
            <w:tcBorders>
              <w:top w:val="nil"/>
              <w:left w:val="nil"/>
              <w:bottom w:val="single" w:sz="4" w:space="0" w:color="auto"/>
              <w:right w:val="single" w:sz="4" w:space="0" w:color="auto"/>
            </w:tcBorders>
            <w:shd w:val="clear" w:color="auto" w:fill="auto"/>
            <w:noWrap/>
          </w:tcPr>
          <w:p w14:paraId="0D8F3537" w14:textId="77777777" w:rsidR="002F2AFD" w:rsidRPr="00E17CB6" w:rsidRDefault="002F2AFD" w:rsidP="004C79C1">
            <w:pPr>
              <w:pStyle w:val="TableText0"/>
              <w:spacing w:before="0" w:after="120"/>
              <w:jc w:val="center"/>
              <w:rPr>
                <w:rFonts w:cs="Times New Roman"/>
                <w:color w:val="000000"/>
              </w:rPr>
            </w:pPr>
            <w:r w:rsidRPr="00F30F32">
              <w:t>15.5%</w:t>
            </w:r>
          </w:p>
        </w:tc>
        <w:tc>
          <w:tcPr>
            <w:tcW w:w="601" w:type="pct"/>
            <w:tcBorders>
              <w:top w:val="nil"/>
              <w:left w:val="nil"/>
              <w:bottom w:val="single" w:sz="4" w:space="0" w:color="auto"/>
              <w:right w:val="single" w:sz="4" w:space="0" w:color="auto"/>
            </w:tcBorders>
          </w:tcPr>
          <w:p w14:paraId="49F94929" w14:textId="77777777" w:rsidR="002F2AFD" w:rsidRPr="00015E0F" w:rsidRDefault="002F2AFD" w:rsidP="004C79C1">
            <w:pPr>
              <w:pStyle w:val="TableText0"/>
              <w:spacing w:before="0" w:after="120"/>
              <w:jc w:val="center"/>
            </w:pPr>
            <w:r w:rsidRPr="00F30F32">
              <w:t>$12,200</w:t>
            </w:r>
          </w:p>
        </w:tc>
      </w:tr>
      <w:tr w:rsidR="002F2AFD" w:rsidRPr="0083783D" w14:paraId="7D8DEB7B" w14:textId="77777777" w:rsidTr="00857B30">
        <w:trPr>
          <w:trHeight w:val="300"/>
        </w:trPr>
        <w:tc>
          <w:tcPr>
            <w:tcW w:w="2827" w:type="pct"/>
            <w:tcBorders>
              <w:top w:val="single" w:sz="4" w:space="0" w:color="auto"/>
              <w:left w:val="single" w:sz="4" w:space="0" w:color="auto"/>
              <w:bottom w:val="single" w:sz="4" w:space="0" w:color="auto"/>
            </w:tcBorders>
            <w:shd w:val="clear" w:color="auto" w:fill="auto"/>
            <w:noWrap/>
            <w:vAlign w:val="center"/>
          </w:tcPr>
          <w:p w14:paraId="585FE09B" w14:textId="1A1BA241" w:rsidR="002F2AFD" w:rsidRPr="00E17CB6" w:rsidRDefault="002F2AFD" w:rsidP="004C79C1">
            <w:pPr>
              <w:pStyle w:val="TableText0"/>
              <w:spacing w:before="0" w:after="120"/>
              <w:rPr>
                <w:rFonts w:cs="Times New Roman"/>
                <w:color w:val="000000"/>
              </w:rPr>
            </w:pPr>
            <w:r w:rsidRPr="00E466A3">
              <w:rPr>
                <w:rFonts w:cs="Times New Roman"/>
                <w:b/>
                <w:color w:val="000000"/>
              </w:rPr>
              <w:t>Weighted cost</w:t>
            </w:r>
            <w:r>
              <w:rPr>
                <w:rFonts w:cs="Times New Roman"/>
                <w:b/>
                <w:color w:val="000000"/>
              </w:rPr>
              <w:t xml:space="preserve"> (adjusted for inflation)</w:t>
            </w:r>
            <w:r w:rsidR="00986A63">
              <w:rPr>
                <w:rFonts w:cs="Times New Roman"/>
                <w:b/>
                <w:color w:val="000000"/>
              </w:rPr>
              <w:t xml:space="preserve"> </w:t>
            </w:r>
            <w:r w:rsidR="00986A63" w:rsidRPr="005F66C3">
              <w:rPr>
                <w:rFonts w:cs="Times New Roman"/>
                <w:b/>
                <w:color w:val="000000"/>
                <w:vertAlign w:val="superscript"/>
              </w:rPr>
              <w:t>b</w:t>
            </w:r>
          </w:p>
        </w:tc>
        <w:tc>
          <w:tcPr>
            <w:tcW w:w="629" w:type="pct"/>
            <w:tcBorders>
              <w:top w:val="single" w:sz="4" w:space="0" w:color="auto"/>
              <w:bottom w:val="single" w:sz="4" w:space="0" w:color="auto"/>
            </w:tcBorders>
            <w:shd w:val="clear" w:color="auto" w:fill="auto"/>
            <w:noWrap/>
            <w:vAlign w:val="center"/>
          </w:tcPr>
          <w:p w14:paraId="71388D52" w14:textId="77777777" w:rsidR="002F2AFD" w:rsidRDefault="002F2AFD" w:rsidP="004C79C1">
            <w:pPr>
              <w:pStyle w:val="TableText0"/>
              <w:spacing w:before="0" w:after="120"/>
              <w:rPr>
                <w:rFonts w:cs="Times New Roman"/>
                <w:color w:val="000000"/>
              </w:rPr>
            </w:pPr>
          </w:p>
        </w:tc>
        <w:tc>
          <w:tcPr>
            <w:tcW w:w="472" w:type="pct"/>
            <w:tcBorders>
              <w:top w:val="single" w:sz="4" w:space="0" w:color="auto"/>
              <w:bottom w:val="single" w:sz="4" w:space="0" w:color="auto"/>
            </w:tcBorders>
            <w:shd w:val="clear" w:color="auto" w:fill="auto"/>
            <w:noWrap/>
            <w:vAlign w:val="center"/>
          </w:tcPr>
          <w:p w14:paraId="21927C06" w14:textId="77777777" w:rsidR="002F2AFD" w:rsidRPr="00015E0F" w:rsidRDefault="002F2AFD" w:rsidP="004C79C1">
            <w:pPr>
              <w:pStyle w:val="TableText0"/>
              <w:spacing w:before="0" w:after="120"/>
              <w:jc w:val="center"/>
            </w:pPr>
          </w:p>
        </w:tc>
        <w:tc>
          <w:tcPr>
            <w:tcW w:w="471" w:type="pct"/>
            <w:tcBorders>
              <w:top w:val="single" w:sz="4" w:space="0" w:color="auto"/>
              <w:bottom w:val="single" w:sz="4" w:space="0" w:color="auto"/>
              <w:right w:val="single" w:sz="4" w:space="0" w:color="auto"/>
            </w:tcBorders>
            <w:shd w:val="clear" w:color="auto" w:fill="auto"/>
            <w:noWrap/>
            <w:vAlign w:val="center"/>
          </w:tcPr>
          <w:p w14:paraId="0BACC820" w14:textId="77777777" w:rsidR="002F2AFD" w:rsidRPr="00015E0F" w:rsidRDefault="002F2AFD" w:rsidP="004C79C1">
            <w:pPr>
              <w:pStyle w:val="TableText0"/>
              <w:spacing w:before="0" w:after="120"/>
              <w:jc w:val="center"/>
            </w:pPr>
          </w:p>
        </w:tc>
        <w:tc>
          <w:tcPr>
            <w:tcW w:w="601" w:type="pct"/>
            <w:tcBorders>
              <w:top w:val="single" w:sz="4" w:space="0" w:color="auto"/>
              <w:left w:val="nil"/>
              <w:bottom w:val="single" w:sz="4" w:space="0" w:color="auto"/>
              <w:right w:val="single" w:sz="4" w:space="0" w:color="auto"/>
            </w:tcBorders>
            <w:vAlign w:val="center"/>
          </w:tcPr>
          <w:p w14:paraId="7E863436" w14:textId="77777777" w:rsidR="002F2AFD" w:rsidRPr="00E05AB1" w:rsidRDefault="002F2AFD" w:rsidP="004C79C1">
            <w:pPr>
              <w:pStyle w:val="TableText0"/>
              <w:spacing w:before="0" w:after="120"/>
              <w:jc w:val="center"/>
              <w:rPr>
                <w:b/>
              </w:rPr>
            </w:pPr>
            <w:r>
              <w:rPr>
                <w:b/>
              </w:rPr>
              <w:t>$22,705</w:t>
            </w:r>
          </w:p>
        </w:tc>
      </w:tr>
    </w:tbl>
    <w:p w14:paraId="50F40289" w14:textId="3B79813C" w:rsidR="002F2AFD" w:rsidRPr="008B3137" w:rsidRDefault="00986A63" w:rsidP="004C79C1">
      <w:pPr>
        <w:pStyle w:val="Tablenotes0"/>
        <w:spacing w:before="0" w:after="120"/>
        <w:contextualSpacing/>
      </w:pPr>
      <w:r w:rsidRPr="005F66C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8B3137">
        <w:t xml:space="preserve"> </w:t>
      </w:r>
      <w:r>
        <w:t>*</w:t>
      </w:r>
      <w:r w:rsidRPr="008B3137">
        <w:t xml:space="preserve"> </w:t>
      </w:r>
      <w:r w:rsidR="002F2AFD" w:rsidRPr="008B3137">
        <w:t>the N</w:t>
      </w:r>
      <w:r w:rsidR="00CA489A">
        <w:t>EP</w:t>
      </w:r>
      <w:r w:rsidR="002F2AFD" w:rsidRPr="008B3137">
        <w:t xml:space="preserve"> 2016</w:t>
      </w:r>
      <w:r>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3C123443" w14:textId="5944E409" w:rsidR="002F2AFD" w:rsidRDefault="00986A63" w:rsidP="004C79C1">
      <w:pPr>
        <w:pStyle w:val="Tablenotes0"/>
        <w:spacing w:before="0" w:after="120"/>
      </w:pPr>
      <w:proofErr w:type="gramStart"/>
      <w:r w:rsidRPr="005F66C3">
        <w:rPr>
          <w:vertAlign w:val="superscript"/>
        </w:rPr>
        <w:t>b</w:t>
      </w:r>
      <w:proofErr w:type="gramEnd"/>
      <w:r w:rsidR="002F2AFD" w:rsidRPr="00633317">
        <w:t xml:space="preserve"> $22,368 </w:t>
      </w:r>
      <w:r>
        <w:t>c</w:t>
      </w:r>
      <w:r w:rsidR="002F2AFD">
        <w:t xml:space="preserve">onverted to 2015 AUD using </w:t>
      </w:r>
      <w:r w:rsidR="002F2AFD" w:rsidRPr="00B66250">
        <w:t>inflation calculator provided by Reserve Bank of Australia</w:t>
      </w:r>
      <w:r w:rsidR="002F2AFD">
        <w:t>;</w:t>
      </w:r>
      <w:r w:rsidR="002F2AFD" w:rsidRPr="00B66250">
        <w:t xml:space="preserve"> </w:t>
      </w:r>
      <w:r>
        <w:t>&lt;</w:t>
      </w:r>
      <w:hyperlink r:id="rId106"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51CFEA61" w14:textId="0FB1D4AB" w:rsidR="00D77B47" w:rsidRPr="008B3137" w:rsidRDefault="00D77B47" w:rsidP="004C79C1">
      <w:pPr>
        <w:pStyle w:val="Tablenotes0"/>
        <w:spacing w:before="0" w:after="120"/>
        <w:contextualSpacing/>
        <w:rPr>
          <w:rStyle w:val="st"/>
        </w:rPr>
      </w:pPr>
      <w:r w:rsidRPr="008B3137">
        <w:t xml:space="preserve">AR-DRG = </w:t>
      </w:r>
      <w:r w:rsidRPr="008B3137">
        <w:rPr>
          <w:rStyle w:val="st"/>
        </w:rPr>
        <w:t xml:space="preserve">Australian Refined Diagnosis Related Groups; </w:t>
      </w:r>
      <w:r>
        <w:rPr>
          <w:rStyle w:val="st"/>
        </w:rPr>
        <w:t>CPB = cardiopulmonary b</w:t>
      </w:r>
      <w:r w:rsidRPr="0034101A">
        <w:rPr>
          <w:rStyle w:val="st"/>
        </w:rPr>
        <w:t>ypass</w:t>
      </w:r>
      <w:r>
        <w:rPr>
          <w:rStyle w:val="st"/>
        </w:rPr>
        <w:t xml:space="preserve">; </w:t>
      </w:r>
      <w:r w:rsidR="00CA489A">
        <w:t xml:space="preserve">NEP = National Efficient Price; </w:t>
      </w:r>
      <w:r w:rsidRPr="008B3137">
        <w:rPr>
          <w:rStyle w:val="st"/>
        </w:rPr>
        <w:t>Seps = number of hospital separations</w:t>
      </w:r>
    </w:p>
    <w:p w14:paraId="216BB6CC" w14:textId="70DCD659" w:rsidR="002F2AFD" w:rsidRDefault="002F2AFD" w:rsidP="004C79C1">
      <w:pPr>
        <w:pStyle w:val="Caption"/>
        <w:keepNext/>
      </w:pPr>
      <w:bookmarkStart w:id="1049" w:name="_Toc450052129"/>
      <w:bookmarkStart w:id="1050" w:name="_Toc324410320"/>
      <w:bookmarkStart w:id="1051" w:name="_Toc451435443"/>
      <w:r>
        <w:t xml:space="preserve">Table </w:t>
      </w:r>
      <w:fldSimple w:instr=" SEQ Table \* ARABIC ">
        <w:r w:rsidR="00050936">
          <w:rPr>
            <w:noProof/>
          </w:rPr>
          <w:t>116</w:t>
        </w:r>
      </w:fldSimple>
      <w:r>
        <w:tab/>
      </w:r>
      <w:r w:rsidRPr="009F33B7">
        <w:t xml:space="preserve">Cost per </w:t>
      </w:r>
      <w:r>
        <w:t xml:space="preserve">valvular surgery </w:t>
      </w:r>
      <w:r w:rsidRPr="009F33B7">
        <w:t xml:space="preserve">in </w:t>
      </w:r>
      <w:r>
        <w:t>private</w:t>
      </w:r>
      <w:r w:rsidRPr="009F33B7">
        <w:t xml:space="preserve"> sector</w:t>
      </w:r>
      <w:bookmarkEnd w:id="1049"/>
      <w:bookmarkEnd w:id="1050"/>
      <w:bookmarkEnd w:id="1051"/>
    </w:p>
    <w:tbl>
      <w:tblPr>
        <w:tblW w:w="5000" w:type="pct"/>
        <w:tblLayout w:type="fixed"/>
        <w:tblLook w:val="04A0" w:firstRow="1" w:lastRow="0" w:firstColumn="1" w:lastColumn="0" w:noHBand="0" w:noVBand="1"/>
        <w:tblDescription w:val="Cost per valvular surgery in private sector"/>
      </w:tblPr>
      <w:tblGrid>
        <w:gridCol w:w="5225"/>
        <w:gridCol w:w="1163"/>
        <w:gridCol w:w="872"/>
        <w:gridCol w:w="871"/>
        <w:gridCol w:w="1111"/>
      </w:tblGrid>
      <w:tr w:rsidR="002F2AFD" w:rsidRPr="00F55910" w14:paraId="1F16D0E8" w14:textId="77777777" w:rsidTr="00857B30">
        <w:trPr>
          <w:trHeight w:val="300"/>
          <w:tblHeader/>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07C63" w14:textId="77777777" w:rsidR="002F2AFD" w:rsidRPr="00F55910" w:rsidRDefault="002F2AFD" w:rsidP="004C79C1">
            <w:pPr>
              <w:pStyle w:val="TableHeading"/>
              <w:spacing w:before="0" w:after="120"/>
            </w:pPr>
            <w:r w:rsidRPr="00F55910">
              <w:t>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6C0B85B" w14:textId="77777777" w:rsidR="002F2AFD" w:rsidRPr="00F55910" w:rsidRDefault="002F2AFD" w:rsidP="004C79C1">
            <w:pPr>
              <w:pStyle w:val="TableHeading"/>
              <w:spacing w:before="0" w:after="120"/>
            </w:pPr>
            <w:r w:rsidRPr="00F55910">
              <w:t>AR-DRG</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5A6D6575" w14:textId="77777777" w:rsidR="002F2AFD" w:rsidRPr="00F55910" w:rsidRDefault="002F2AFD" w:rsidP="004C79C1">
            <w:pPr>
              <w:pStyle w:val="TableHeading"/>
              <w:spacing w:before="0" w:after="120"/>
              <w:jc w:val="center"/>
            </w:pPr>
            <w:r w:rsidRPr="00F55910">
              <w:t>Seps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31DA10A6" w14:textId="77777777" w:rsidR="002F2AFD" w:rsidRPr="00F55910" w:rsidRDefault="002F2AFD" w:rsidP="004C79C1">
            <w:pPr>
              <w:pStyle w:val="TableHeading"/>
              <w:spacing w:before="0" w:after="120"/>
              <w:jc w:val="center"/>
            </w:pPr>
            <w:r w:rsidRPr="00F55910">
              <w:t>Weight</w:t>
            </w:r>
          </w:p>
        </w:tc>
        <w:tc>
          <w:tcPr>
            <w:tcW w:w="601" w:type="pct"/>
            <w:tcBorders>
              <w:top w:val="single" w:sz="4" w:space="0" w:color="auto"/>
              <w:left w:val="nil"/>
              <w:bottom w:val="single" w:sz="4" w:space="0" w:color="auto"/>
              <w:right w:val="single" w:sz="4" w:space="0" w:color="auto"/>
            </w:tcBorders>
            <w:vAlign w:val="center"/>
          </w:tcPr>
          <w:p w14:paraId="15BD6D4D" w14:textId="34386FE0" w:rsidR="002F2AFD" w:rsidRPr="00F55910" w:rsidRDefault="002F2AFD" w:rsidP="004C79C1">
            <w:pPr>
              <w:pStyle w:val="TableHeading"/>
              <w:spacing w:before="0" w:after="120"/>
              <w:jc w:val="center"/>
            </w:pPr>
            <w:r w:rsidRPr="00F55910">
              <w:t>Cost</w:t>
            </w:r>
            <w:r w:rsidR="00BB65A5">
              <w:t xml:space="preserve"> </w:t>
            </w:r>
            <w:r w:rsidR="00BB65A5" w:rsidRPr="005F66C3">
              <w:rPr>
                <w:vertAlign w:val="superscript"/>
              </w:rPr>
              <w:t>a</w:t>
            </w:r>
          </w:p>
        </w:tc>
      </w:tr>
      <w:tr w:rsidR="002F2AFD" w:rsidRPr="00E17CB6" w14:paraId="199A91B3"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tcPr>
          <w:p w14:paraId="49591505" w14:textId="77777777" w:rsidR="002F2AFD" w:rsidRPr="0083783D" w:rsidRDefault="002F2AFD" w:rsidP="004C79C1">
            <w:pPr>
              <w:pStyle w:val="TableText0"/>
              <w:spacing w:before="0" w:after="120"/>
            </w:pPr>
            <w:r>
              <w:t>Other c</w:t>
            </w:r>
            <w:r w:rsidRPr="00F30F32">
              <w:t xml:space="preserve">ardiothoracic </w:t>
            </w:r>
            <w:r>
              <w:t>p</w:t>
            </w:r>
            <w:r w:rsidRPr="00F30F32">
              <w:t>roc</w:t>
            </w:r>
            <w:r>
              <w:t>edures</w:t>
            </w:r>
            <w:r w:rsidRPr="00F30F32">
              <w:t xml:space="preserve"> </w:t>
            </w:r>
            <w:r>
              <w:t>without</w:t>
            </w:r>
            <w:r w:rsidRPr="00F30F32">
              <w:t xml:space="preserve"> CPB </w:t>
            </w:r>
            <w:r>
              <w:t>pump with catastrophic complications</w:t>
            </w:r>
          </w:p>
        </w:tc>
        <w:tc>
          <w:tcPr>
            <w:tcW w:w="629" w:type="pct"/>
            <w:tcBorders>
              <w:top w:val="single" w:sz="4" w:space="0" w:color="auto"/>
              <w:left w:val="nil"/>
              <w:bottom w:val="single" w:sz="4" w:space="0" w:color="auto"/>
              <w:right w:val="single" w:sz="4" w:space="0" w:color="auto"/>
            </w:tcBorders>
            <w:shd w:val="clear" w:color="auto" w:fill="auto"/>
            <w:noWrap/>
          </w:tcPr>
          <w:p w14:paraId="79883841" w14:textId="77777777" w:rsidR="002F2AFD" w:rsidRDefault="002F2AFD" w:rsidP="004C79C1">
            <w:pPr>
              <w:pStyle w:val="TableText0"/>
              <w:spacing w:before="0" w:after="120"/>
            </w:pPr>
            <w:r w:rsidRPr="00F30F32">
              <w:t>F09A</w:t>
            </w:r>
          </w:p>
        </w:tc>
        <w:tc>
          <w:tcPr>
            <w:tcW w:w="472" w:type="pct"/>
            <w:tcBorders>
              <w:top w:val="single" w:sz="4" w:space="0" w:color="auto"/>
              <w:left w:val="nil"/>
              <w:bottom w:val="single" w:sz="4" w:space="0" w:color="auto"/>
              <w:right w:val="single" w:sz="4" w:space="0" w:color="auto"/>
            </w:tcBorders>
            <w:shd w:val="clear" w:color="auto" w:fill="auto"/>
            <w:noWrap/>
          </w:tcPr>
          <w:p w14:paraId="79E314D7" w14:textId="77777777" w:rsidR="002F2AFD" w:rsidRPr="00E17CB6" w:rsidRDefault="002F2AFD" w:rsidP="004C79C1">
            <w:pPr>
              <w:pStyle w:val="TableText0"/>
              <w:spacing w:before="0" w:after="120"/>
              <w:jc w:val="center"/>
            </w:pPr>
            <w:r w:rsidRPr="00DD25E0">
              <w:t>129</w:t>
            </w:r>
          </w:p>
        </w:tc>
        <w:tc>
          <w:tcPr>
            <w:tcW w:w="471" w:type="pct"/>
            <w:tcBorders>
              <w:top w:val="single" w:sz="4" w:space="0" w:color="auto"/>
              <w:left w:val="nil"/>
              <w:bottom w:val="single" w:sz="4" w:space="0" w:color="auto"/>
              <w:right w:val="single" w:sz="4" w:space="0" w:color="auto"/>
            </w:tcBorders>
            <w:shd w:val="clear" w:color="auto" w:fill="auto"/>
            <w:noWrap/>
          </w:tcPr>
          <w:p w14:paraId="17A3666E" w14:textId="77777777" w:rsidR="002F2AFD" w:rsidRPr="00E17CB6" w:rsidRDefault="002F2AFD" w:rsidP="004C79C1">
            <w:pPr>
              <w:pStyle w:val="TableText0"/>
              <w:spacing w:before="0" w:after="120"/>
              <w:jc w:val="center"/>
            </w:pPr>
            <w:r w:rsidRPr="00DD25E0">
              <w:t>29.9%</w:t>
            </w:r>
          </w:p>
        </w:tc>
        <w:tc>
          <w:tcPr>
            <w:tcW w:w="601" w:type="pct"/>
            <w:tcBorders>
              <w:top w:val="single" w:sz="4" w:space="0" w:color="auto"/>
              <w:left w:val="nil"/>
              <w:bottom w:val="single" w:sz="4" w:space="0" w:color="auto"/>
              <w:right w:val="single" w:sz="4" w:space="0" w:color="auto"/>
            </w:tcBorders>
          </w:tcPr>
          <w:p w14:paraId="729D5A35" w14:textId="77777777" w:rsidR="002F2AFD" w:rsidRPr="00E17CB6" w:rsidRDefault="002F2AFD" w:rsidP="004C79C1">
            <w:pPr>
              <w:pStyle w:val="TableText0"/>
              <w:spacing w:before="0" w:after="120"/>
              <w:jc w:val="center"/>
            </w:pPr>
            <w:r w:rsidRPr="00DD25E0">
              <w:t>$25,941</w:t>
            </w:r>
          </w:p>
        </w:tc>
      </w:tr>
      <w:tr w:rsidR="002F2AFD" w:rsidRPr="0083783D" w14:paraId="171BAFE1" w14:textId="77777777" w:rsidTr="00857B30">
        <w:trPr>
          <w:trHeight w:val="300"/>
        </w:trPr>
        <w:tc>
          <w:tcPr>
            <w:tcW w:w="2827" w:type="pct"/>
            <w:tcBorders>
              <w:top w:val="nil"/>
              <w:left w:val="single" w:sz="4" w:space="0" w:color="auto"/>
              <w:bottom w:val="single" w:sz="4" w:space="0" w:color="auto"/>
              <w:right w:val="single" w:sz="4" w:space="0" w:color="auto"/>
            </w:tcBorders>
            <w:shd w:val="clear" w:color="auto" w:fill="auto"/>
            <w:noWrap/>
          </w:tcPr>
          <w:p w14:paraId="59D44FF9" w14:textId="77777777" w:rsidR="002F2AFD" w:rsidRPr="00E17CB6" w:rsidRDefault="002F2AFD" w:rsidP="004C79C1">
            <w:pPr>
              <w:pStyle w:val="TableText0"/>
              <w:spacing w:before="0" w:after="120"/>
              <w:rPr>
                <w:rFonts w:cs="Times New Roman"/>
                <w:color w:val="000000"/>
              </w:rPr>
            </w:pPr>
            <w:r>
              <w:t>Other c</w:t>
            </w:r>
            <w:r w:rsidRPr="00F30F32">
              <w:t xml:space="preserve">ardiothoracic </w:t>
            </w:r>
            <w:r>
              <w:t>p</w:t>
            </w:r>
            <w:r w:rsidRPr="00F30F32">
              <w:t>roc</w:t>
            </w:r>
            <w:r>
              <w:t>edures</w:t>
            </w:r>
            <w:r w:rsidRPr="00F30F32">
              <w:t xml:space="preserve"> </w:t>
            </w:r>
            <w:r>
              <w:t>without</w:t>
            </w:r>
            <w:r w:rsidRPr="00F30F32">
              <w:t xml:space="preserve"> CPB </w:t>
            </w:r>
            <w:r>
              <w:t>pump without catastrophic complications</w:t>
            </w:r>
          </w:p>
        </w:tc>
        <w:tc>
          <w:tcPr>
            <w:tcW w:w="629" w:type="pct"/>
            <w:tcBorders>
              <w:top w:val="nil"/>
              <w:left w:val="nil"/>
              <w:bottom w:val="single" w:sz="4" w:space="0" w:color="auto"/>
              <w:right w:val="single" w:sz="4" w:space="0" w:color="auto"/>
            </w:tcBorders>
            <w:shd w:val="clear" w:color="auto" w:fill="auto"/>
            <w:noWrap/>
          </w:tcPr>
          <w:p w14:paraId="410CFC64" w14:textId="77777777" w:rsidR="002F2AFD" w:rsidRPr="00E17CB6" w:rsidRDefault="002F2AFD" w:rsidP="004C79C1">
            <w:pPr>
              <w:pStyle w:val="TableText0"/>
              <w:spacing w:before="0" w:after="120"/>
              <w:rPr>
                <w:rFonts w:cs="Times New Roman"/>
                <w:color w:val="000000"/>
              </w:rPr>
            </w:pPr>
            <w:r w:rsidRPr="00F30F32">
              <w:t>F09B</w:t>
            </w:r>
          </w:p>
        </w:tc>
        <w:tc>
          <w:tcPr>
            <w:tcW w:w="472" w:type="pct"/>
            <w:tcBorders>
              <w:top w:val="nil"/>
              <w:left w:val="nil"/>
              <w:bottom w:val="single" w:sz="4" w:space="0" w:color="auto"/>
              <w:right w:val="single" w:sz="4" w:space="0" w:color="auto"/>
            </w:tcBorders>
            <w:shd w:val="clear" w:color="auto" w:fill="auto"/>
            <w:noWrap/>
          </w:tcPr>
          <w:p w14:paraId="2A3B689D" w14:textId="77777777" w:rsidR="002F2AFD" w:rsidRPr="00E17CB6" w:rsidRDefault="002F2AFD" w:rsidP="004C79C1">
            <w:pPr>
              <w:pStyle w:val="TableText0"/>
              <w:spacing w:before="0" w:after="120"/>
              <w:jc w:val="center"/>
              <w:rPr>
                <w:rFonts w:cs="Times New Roman"/>
                <w:color w:val="000000"/>
              </w:rPr>
            </w:pPr>
            <w:r w:rsidRPr="00DD25E0">
              <w:t>303</w:t>
            </w:r>
          </w:p>
        </w:tc>
        <w:tc>
          <w:tcPr>
            <w:tcW w:w="471" w:type="pct"/>
            <w:tcBorders>
              <w:top w:val="nil"/>
              <w:left w:val="nil"/>
              <w:bottom w:val="single" w:sz="4" w:space="0" w:color="auto"/>
              <w:right w:val="single" w:sz="4" w:space="0" w:color="auto"/>
            </w:tcBorders>
            <w:shd w:val="clear" w:color="auto" w:fill="auto"/>
            <w:noWrap/>
          </w:tcPr>
          <w:p w14:paraId="4429122C" w14:textId="77777777" w:rsidR="002F2AFD" w:rsidRPr="00E17CB6" w:rsidRDefault="002F2AFD" w:rsidP="004C79C1">
            <w:pPr>
              <w:pStyle w:val="TableText0"/>
              <w:spacing w:before="0" w:after="120"/>
              <w:jc w:val="center"/>
              <w:rPr>
                <w:rFonts w:cs="Times New Roman"/>
                <w:color w:val="000000"/>
              </w:rPr>
            </w:pPr>
            <w:r w:rsidRPr="00DD25E0">
              <w:t>70.1%</w:t>
            </w:r>
          </w:p>
        </w:tc>
        <w:tc>
          <w:tcPr>
            <w:tcW w:w="601" w:type="pct"/>
            <w:tcBorders>
              <w:top w:val="nil"/>
              <w:left w:val="nil"/>
              <w:bottom w:val="single" w:sz="4" w:space="0" w:color="auto"/>
              <w:right w:val="single" w:sz="4" w:space="0" w:color="auto"/>
            </w:tcBorders>
          </w:tcPr>
          <w:p w14:paraId="76AAF23B" w14:textId="77777777" w:rsidR="002F2AFD" w:rsidRPr="00E17CB6" w:rsidRDefault="002F2AFD" w:rsidP="004C79C1">
            <w:pPr>
              <w:pStyle w:val="TableText0"/>
              <w:spacing w:before="0" w:after="120"/>
              <w:jc w:val="center"/>
              <w:rPr>
                <w:rFonts w:cs="Times New Roman"/>
                <w:color w:val="000000"/>
              </w:rPr>
            </w:pPr>
            <w:r w:rsidRPr="00DD25E0">
              <w:t>$11,916</w:t>
            </w:r>
          </w:p>
        </w:tc>
      </w:tr>
      <w:tr w:rsidR="002F2AFD" w:rsidRPr="0083783D" w14:paraId="1723025F" w14:textId="77777777" w:rsidTr="00857B30">
        <w:trPr>
          <w:trHeight w:val="300"/>
        </w:trPr>
        <w:tc>
          <w:tcPr>
            <w:tcW w:w="2827" w:type="pct"/>
            <w:tcBorders>
              <w:top w:val="single" w:sz="4" w:space="0" w:color="auto"/>
              <w:left w:val="single" w:sz="4" w:space="0" w:color="auto"/>
              <w:bottom w:val="single" w:sz="4" w:space="0" w:color="auto"/>
            </w:tcBorders>
            <w:shd w:val="clear" w:color="auto" w:fill="auto"/>
            <w:noWrap/>
            <w:vAlign w:val="center"/>
          </w:tcPr>
          <w:p w14:paraId="1C371AB0" w14:textId="68C5D508" w:rsidR="002F2AFD" w:rsidRPr="00E17CB6" w:rsidRDefault="002F2AFD" w:rsidP="004C79C1">
            <w:pPr>
              <w:pStyle w:val="TableText0"/>
              <w:spacing w:before="0" w:after="120"/>
              <w:rPr>
                <w:rFonts w:cs="Times New Roman"/>
                <w:color w:val="000000"/>
              </w:rPr>
            </w:pPr>
            <w:r w:rsidRPr="00E466A3">
              <w:rPr>
                <w:rFonts w:cs="Times New Roman"/>
                <w:b/>
                <w:color w:val="000000"/>
              </w:rPr>
              <w:t>Weighted cost</w:t>
            </w:r>
            <w:r>
              <w:rPr>
                <w:rFonts w:cs="Times New Roman"/>
                <w:b/>
                <w:color w:val="000000"/>
              </w:rPr>
              <w:t xml:space="preserve"> (adjusted for inflation)</w:t>
            </w:r>
            <w:r w:rsidR="00BB65A5">
              <w:rPr>
                <w:rFonts w:cs="Times New Roman"/>
                <w:b/>
                <w:color w:val="000000"/>
              </w:rPr>
              <w:t xml:space="preserve"> </w:t>
            </w:r>
            <w:r w:rsidR="00BB65A5" w:rsidRPr="005F66C3">
              <w:rPr>
                <w:rFonts w:cs="Times New Roman"/>
                <w:b/>
                <w:color w:val="000000"/>
                <w:vertAlign w:val="superscript"/>
              </w:rPr>
              <w:t>b</w:t>
            </w:r>
          </w:p>
        </w:tc>
        <w:tc>
          <w:tcPr>
            <w:tcW w:w="629" w:type="pct"/>
            <w:tcBorders>
              <w:top w:val="single" w:sz="4" w:space="0" w:color="auto"/>
              <w:bottom w:val="single" w:sz="4" w:space="0" w:color="auto"/>
            </w:tcBorders>
            <w:shd w:val="clear" w:color="auto" w:fill="auto"/>
            <w:noWrap/>
            <w:vAlign w:val="center"/>
          </w:tcPr>
          <w:p w14:paraId="0907A483" w14:textId="77777777" w:rsidR="002F2AFD" w:rsidRDefault="002F2AFD" w:rsidP="004C79C1">
            <w:pPr>
              <w:pStyle w:val="TableText0"/>
              <w:spacing w:before="0" w:after="120"/>
              <w:rPr>
                <w:rFonts w:cs="Times New Roman"/>
                <w:color w:val="000000"/>
              </w:rPr>
            </w:pPr>
          </w:p>
        </w:tc>
        <w:tc>
          <w:tcPr>
            <w:tcW w:w="472" w:type="pct"/>
            <w:tcBorders>
              <w:top w:val="single" w:sz="4" w:space="0" w:color="auto"/>
              <w:bottom w:val="single" w:sz="4" w:space="0" w:color="auto"/>
            </w:tcBorders>
            <w:shd w:val="clear" w:color="auto" w:fill="auto"/>
            <w:noWrap/>
            <w:vAlign w:val="center"/>
          </w:tcPr>
          <w:p w14:paraId="053EEF83" w14:textId="77777777" w:rsidR="002F2AFD" w:rsidRPr="00015E0F" w:rsidRDefault="002F2AFD" w:rsidP="004C79C1">
            <w:pPr>
              <w:pStyle w:val="TableText0"/>
              <w:spacing w:before="0" w:after="120"/>
              <w:jc w:val="center"/>
            </w:pPr>
          </w:p>
        </w:tc>
        <w:tc>
          <w:tcPr>
            <w:tcW w:w="471" w:type="pct"/>
            <w:tcBorders>
              <w:top w:val="single" w:sz="4" w:space="0" w:color="auto"/>
              <w:bottom w:val="single" w:sz="4" w:space="0" w:color="auto"/>
              <w:right w:val="single" w:sz="4" w:space="0" w:color="auto"/>
            </w:tcBorders>
            <w:shd w:val="clear" w:color="auto" w:fill="auto"/>
            <w:noWrap/>
            <w:vAlign w:val="center"/>
          </w:tcPr>
          <w:p w14:paraId="5A7737B9" w14:textId="77777777" w:rsidR="002F2AFD" w:rsidRPr="00015E0F" w:rsidRDefault="002F2AFD" w:rsidP="004C79C1">
            <w:pPr>
              <w:pStyle w:val="TableText0"/>
              <w:spacing w:before="0" w:after="120"/>
              <w:jc w:val="center"/>
            </w:pPr>
          </w:p>
        </w:tc>
        <w:tc>
          <w:tcPr>
            <w:tcW w:w="601" w:type="pct"/>
            <w:tcBorders>
              <w:top w:val="single" w:sz="4" w:space="0" w:color="auto"/>
              <w:left w:val="nil"/>
              <w:bottom w:val="single" w:sz="4" w:space="0" w:color="auto"/>
              <w:right w:val="single" w:sz="4" w:space="0" w:color="auto"/>
            </w:tcBorders>
            <w:vAlign w:val="center"/>
          </w:tcPr>
          <w:p w14:paraId="2AA1AAD2" w14:textId="77777777" w:rsidR="002F2AFD" w:rsidRPr="00E05AB1" w:rsidRDefault="002F2AFD" w:rsidP="004C79C1">
            <w:pPr>
              <w:pStyle w:val="TableText0"/>
              <w:spacing w:before="0" w:after="120"/>
              <w:jc w:val="center"/>
              <w:rPr>
                <w:b/>
              </w:rPr>
            </w:pPr>
            <w:r w:rsidRPr="00EE739E">
              <w:rPr>
                <w:b/>
              </w:rPr>
              <w:t>$1</w:t>
            </w:r>
            <w:r>
              <w:rPr>
                <w:b/>
              </w:rPr>
              <w:t>8,570</w:t>
            </w:r>
          </w:p>
        </w:tc>
      </w:tr>
    </w:tbl>
    <w:p w14:paraId="78AAAFB2" w14:textId="448C686F" w:rsidR="002F2AFD" w:rsidRDefault="00BB65A5" w:rsidP="004C79C1">
      <w:pPr>
        <w:pStyle w:val="Tablenotes0"/>
        <w:spacing w:before="0" w:after="120"/>
        <w:contextualSpacing/>
      </w:pPr>
      <w:proofErr w:type="gramStart"/>
      <w:r w:rsidRPr="005F66C3">
        <w:rPr>
          <w:vertAlign w:val="superscript"/>
        </w:rPr>
        <w:t>a</w:t>
      </w:r>
      <w:proofErr w:type="gramEnd"/>
      <w:r w:rsidR="002F2AFD" w:rsidRPr="008B3137">
        <w:t xml:space="preserve"> </w:t>
      </w:r>
      <w:r w:rsidR="002F2AFD">
        <w:t>Source: Private Sector National Cost Weights Cost Collection Report for AR</w:t>
      </w:r>
      <w:r w:rsidR="002F2AFD">
        <w:rPr>
          <w:rFonts w:ascii="Cambria Math" w:hAnsi="Cambria Math" w:cs="Cambria Math"/>
        </w:rPr>
        <w:t>‐</w:t>
      </w:r>
      <w:r w:rsidR="002F2AFD">
        <w:t>DRG v 5.1, Round 13 (2008</w:t>
      </w:r>
      <w:r>
        <w:rPr>
          <w:rFonts w:ascii="Cambria Math" w:hAnsi="Cambria Math" w:cs="Cambria Math"/>
        </w:rPr>
        <w:t>–</w:t>
      </w:r>
      <w:r w:rsidR="002F2AFD">
        <w:t>09).</w:t>
      </w:r>
    </w:p>
    <w:p w14:paraId="47232830" w14:textId="1C6715A1" w:rsidR="002F2AFD" w:rsidRDefault="00BB65A5" w:rsidP="004C79C1">
      <w:pPr>
        <w:pStyle w:val="Tablenotes0"/>
        <w:spacing w:before="0" w:after="120"/>
      </w:pPr>
      <w:r w:rsidRPr="005F66C3">
        <w:rPr>
          <w:vertAlign w:val="superscript"/>
        </w:rPr>
        <w:t>b</w:t>
      </w:r>
      <w:r>
        <w:t xml:space="preserve"> </w:t>
      </w:r>
      <w:r w:rsidR="002F2AFD" w:rsidRPr="00EE739E">
        <w:t>$16,104</w:t>
      </w:r>
      <w:r w:rsidR="002F2AFD">
        <w:t xml:space="preserve"> (2009 AUD) converted to $18,570 (2015 AUD) using </w:t>
      </w:r>
      <w:r w:rsidR="002F2AFD" w:rsidRPr="00B66250">
        <w:t>inflation calculator provided by Reserve Bank of Australia</w:t>
      </w:r>
      <w:r w:rsidR="002F2AFD">
        <w:t>;</w:t>
      </w:r>
      <w:r w:rsidR="002F2AFD" w:rsidRPr="00B66250">
        <w:t xml:space="preserve"> </w:t>
      </w:r>
      <w:r w:rsidR="00A42371">
        <w:t>&lt;</w:t>
      </w:r>
      <w:hyperlink r:id="rId107"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4867B6DC" w14:textId="7794BF14" w:rsidR="00EA6C79" w:rsidRPr="008B3137" w:rsidRDefault="00EA6C79" w:rsidP="004C79C1">
      <w:pPr>
        <w:pStyle w:val="Tablenotes0"/>
        <w:spacing w:before="0" w:after="120"/>
        <w:contextualSpacing/>
        <w:rPr>
          <w:rStyle w:val="st"/>
        </w:rPr>
      </w:pPr>
      <w:r w:rsidRPr="008B3137">
        <w:t xml:space="preserve">AR-DRG = </w:t>
      </w:r>
      <w:r w:rsidRPr="008B3137">
        <w:rPr>
          <w:rStyle w:val="st"/>
        </w:rPr>
        <w:t xml:space="preserve">Australian Refined Diagnosis Related Groups; </w:t>
      </w:r>
      <w:r>
        <w:rPr>
          <w:rStyle w:val="st"/>
        </w:rPr>
        <w:t>CPB = cardiopulmonary b</w:t>
      </w:r>
      <w:r w:rsidRPr="0034101A">
        <w:rPr>
          <w:rStyle w:val="st"/>
        </w:rPr>
        <w:t>ypass</w:t>
      </w:r>
      <w:r>
        <w:rPr>
          <w:rStyle w:val="st"/>
        </w:rPr>
        <w:t xml:space="preserve">; </w:t>
      </w:r>
      <w:r w:rsidRPr="008B3137">
        <w:rPr>
          <w:rStyle w:val="st"/>
        </w:rPr>
        <w:t>Seps = number of hospital separations</w:t>
      </w:r>
      <w:r>
        <w:rPr>
          <w:rStyle w:val="st"/>
        </w:rPr>
        <w:t xml:space="preserve"> </w:t>
      </w:r>
    </w:p>
    <w:p w14:paraId="2AC9A244" w14:textId="75F1BBA5" w:rsidR="002F2AFD" w:rsidRDefault="002F2AFD" w:rsidP="004C79C1">
      <w:pPr>
        <w:pStyle w:val="Heading2"/>
        <w:spacing w:before="0" w:after="120" w:line="240" w:lineRule="auto"/>
      </w:pPr>
      <w:bookmarkStart w:id="1052" w:name="_Toc449428989"/>
      <w:bookmarkStart w:id="1053" w:name="_Toc450051830"/>
      <w:bookmarkStart w:id="1054" w:name="_Toc451501447"/>
      <w:r w:rsidRPr="00750384">
        <w:t xml:space="preserve">Cost </w:t>
      </w:r>
      <w:r>
        <w:t>per</w:t>
      </w:r>
      <w:r w:rsidRPr="00750384">
        <w:t xml:space="preserve"> </w:t>
      </w:r>
      <w:r>
        <w:t xml:space="preserve">Heart Transplant </w:t>
      </w:r>
      <w:r w:rsidR="00B57D14">
        <w:t>S</w:t>
      </w:r>
      <w:r>
        <w:t>urgery</w:t>
      </w:r>
      <w:bookmarkEnd w:id="1052"/>
      <w:bookmarkEnd w:id="1053"/>
      <w:bookmarkEnd w:id="1054"/>
    </w:p>
    <w:p w14:paraId="1462C29A" w14:textId="6616748D" w:rsidR="002F2AFD" w:rsidRPr="004127E4" w:rsidRDefault="002F2AFD" w:rsidP="004C79C1">
      <w:pPr>
        <w:pStyle w:val="Caption"/>
        <w:keepNext/>
        <w:rPr>
          <w:szCs w:val="20"/>
        </w:rPr>
      </w:pPr>
      <w:bookmarkStart w:id="1055" w:name="_Toc450052130"/>
      <w:bookmarkStart w:id="1056" w:name="_Toc324410321"/>
      <w:bookmarkStart w:id="1057" w:name="_Toc451435444"/>
      <w:r w:rsidRPr="004127E4">
        <w:rPr>
          <w:szCs w:val="20"/>
        </w:rPr>
        <w:t xml:space="preserve">Table </w:t>
      </w:r>
      <w:r w:rsidR="006B659F" w:rsidRPr="004127E4">
        <w:rPr>
          <w:szCs w:val="20"/>
        </w:rPr>
        <w:fldChar w:fldCharType="begin"/>
      </w:r>
      <w:r w:rsidR="006B659F" w:rsidRPr="004127E4">
        <w:rPr>
          <w:szCs w:val="20"/>
        </w:rPr>
        <w:instrText xml:space="preserve"> SEQ Table \* ARABIC </w:instrText>
      </w:r>
      <w:r w:rsidR="006B659F" w:rsidRPr="004127E4">
        <w:rPr>
          <w:szCs w:val="20"/>
        </w:rPr>
        <w:fldChar w:fldCharType="separate"/>
      </w:r>
      <w:r w:rsidR="00050936">
        <w:rPr>
          <w:noProof/>
          <w:szCs w:val="20"/>
        </w:rPr>
        <w:t>117</w:t>
      </w:r>
      <w:r w:rsidR="006B659F" w:rsidRPr="004127E4">
        <w:rPr>
          <w:noProof/>
          <w:szCs w:val="20"/>
        </w:rPr>
        <w:fldChar w:fldCharType="end"/>
      </w:r>
      <w:r w:rsidRPr="004127E4">
        <w:rPr>
          <w:szCs w:val="20"/>
        </w:rPr>
        <w:tab/>
        <w:t>Cost per heart transplant surgery in public sector (and assumed for private sector).</w:t>
      </w:r>
      <w:bookmarkEnd w:id="1055"/>
      <w:bookmarkEnd w:id="1056"/>
      <w:bookmarkEnd w:id="1057"/>
    </w:p>
    <w:tbl>
      <w:tblPr>
        <w:tblW w:w="5000" w:type="pct"/>
        <w:tblLayout w:type="fixed"/>
        <w:tblLook w:val="04A0" w:firstRow="1" w:lastRow="0" w:firstColumn="1" w:lastColumn="0" w:noHBand="0" w:noVBand="1"/>
        <w:tblDescription w:val="Cost per heart transplant surgery in public sector (and assumed for private sector)."/>
      </w:tblPr>
      <w:tblGrid>
        <w:gridCol w:w="5225"/>
        <w:gridCol w:w="1163"/>
        <w:gridCol w:w="872"/>
        <w:gridCol w:w="871"/>
        <w:gridCol w:w="1111"/>
      </w:tblGrid>
      <w:tr w:rsidR="002F2AFD" w:rsidRPr="00A42371" w14:paraId="25F1ADBE" w14:textId="77777777" w:rsidTr="00857B30">
        <w:trPr>
          <w:trHeight w:val="300"/>
          <w:tblHeader/>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54C1" w14:textId="77777777" w:rsidR="002F2AFD" w:rsidRPr="005F66C3" w:rsidRDefault="002F2AFD" w:rsidP="004C79C1">
            <w:pPr>
              <w:pStyle w:val="TableText0"/>
              <w:spacing w:before="0" w:after="120"/>
              <w:rPr>
                <w:b/>
                <w:szCs w:val="20"/>
              </w:rPr>
            </w:pPr>
            <w:r w:rsidRPr="005F66C3">
              <w:rPr>
                <w:b/>
                <w:szCs w:val="20"/>
              </w:rPr>
              <w:t>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2503C8A" w14:textId="77777777" w:rsidR="002F2AFD" w:rsidRPr="005F66C3" w:rsidRDefault="002F2AFD" w:rsidP="004C79C1">
            <w:pPr>
              <w:pStyle w:val="TableText0"/>
              <w:spacing w:before="0" w:after="120"/>
              <w:rPr>
                <w:b/>
                <w:szCs w:val="20"/>
              </w:rPr>
            </w:pPr>
            <w:r w:rsidRPr="005F66C3">
              <w:rPr>
                <w:b/>
                <w:szCs w:val="20"/>
              </w:rPr>
              <w:t>AR-DRG</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0B2F5E77" w14:textId="77777777" w:rsidR="002F2AFD" w:rsidRPr="005F66C3" w:rsidRDefault="002F2AFD" w:rsidP="004C79C1">
            <w:pPr>
              <w:pStyle w:val="TableText0"/>
              <w:spacing w:before="0" w:after="120"/>
              <w:jc w:val="center"/>
              <w:rPr>
                <w:b/>
                <w:szCs w:val="20"/>
              </w:rPr>
            </w:pPr>
            <w:r w:rsidRPr="005F66C3">
              <w:rPr>
                <w:b/>
                <w:szCs w:val="20"/>
              </w:rPr>
              <w:t>Seps</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3347B719" w14:textId="77777777" w:rsidR="002F2AFD" w:rsidRPr="005F66C3" w:rsidRDefault="002F2AFD" w:rsidP="004C79C1">
            <w:pPr>
              <w:pStyle w:val="TableText0"/>
              <w:spacing w:before="0" w:after="120"/>
              <w:jc w:val="center"/>
              <w:rPr>
                <w:b/>
                <w:szCs w:val="20"/>
              </w:rPr>
            </w:pPr>
            <w:r w:rsidRPr="005F66C3">
              <w:rPr>
                <w:b/>
                <w:szCs w:val="20"/>
              </w:rPr>
              <w:t>Weight</w:t>
            </w:r>
          </w:p>
        </w:tc>
        <w:tc>
          <w:tcPr>
            <w:tcW w:w="601" w:type="pct"/>
            <w:tcBorders>
              <w:top w:val="single" w:sz="4" w:space="0" w:color="auto"/>
              <w:left w:val="nil"/>
              <w:bottom w:val="single" w:sz="4" w:space="0" w:color="auto"/>
              <w:right w:val="single" w:sz="4" w:space="0" w:color="auto"/>
            </w:tcBorders>
            <w:vAlign w:val="center"/>
          </w:tcPr>
          <w:p w14:paraId="614818F1" w14:textId="64377C06" w:rsidR="002F2AFD" w:rsidRPr="005F66C3" w:rsidRDefault="002F2AFD" w:rsidP="004C79C1">
            <w:pPr>
              <w:pStyle w:val="TableText0"/>
              <w:spacing w:before="0" w:after="120"/>
              <w:jc w:val="center"/>
              <w:rPr>
                <w:b/>
                <w:szCs w:val="20"/>
              </w:rPr>
            </w:pPr>
            <w:r w:rsidRPr="005F66C3">
              <w:rPr>
                <w:b/>
                <w:szCs w:val="20"/>
              </w:rPr>
              <w:t>Cost</w:t>
            </w:r>
            <w:r w:rsidR="00A42371">
              <w:rPr>
                <w:b/>
                <w:szCs w:val="20"/>
              </w:rPr>
              <w:t xml:space="preserve"> </w:t>
            </w:r>
            <w:r w:rsidR="00A42371" w:rsidRPr="005F66C3">
              <w:rPr>
                <w:b/>
                <w:szCs w:val="20"/>
                <w:vertAlign w:val="superscript"/>
              </w:rPr>
              <w:t>a</w:t>
            </w:r>
          </w:p>
        </w:tc>
      </w:tr>
      <w:tr w:rsidR="002F2AFD" w:rsidRPr="00A42371" w14:paraId="7A19E59C" w14:textId="77777777" w:rsidTr="00857B30">
        <w:trPr>
          <w:trHeight w:val="300"/>
        </w:trPr>
        <w:tc>
          <w:tcPr>
            <w:tcW w:w="28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323D8" w14:textId="2CD77E37" w:rsidR="002F2AFD" w:rsidRPr="004127E4" w:rsidRDefault="002F2AFD" w:rsidP="004C79C1">
            <w:pPr>
              <w:pStyle w:val="TableText0"/>
              <w:spacing w:before="0" w:after="120"/>
              <w:rPr>
                <w:szCs w:val="20"/>
              </w:rPr>
            </w:pPr>
            <w:r w:rsidRPr="005F66C3">
              <w:rPr>
                <w:rFonts w:cs="Arial"/>
                <w:szCs w:val="20"/>
              </w:rPr>
              <w:t xml:space="preserve">Heart </w:t>
            </w:r>
            <w:r w:rsidR="00A42371">
              <w:rPr>
                <w:rFonts w:cs="Arial"/>
                <w:szCs w:val="20"/>
              </w:rPr>
              <w:t>t</w:t>
            </w:r>
            <w:r w:rsidRPr="005F66C3">
              <w:rPr>
                <w:rFonts w:cs="Arial"/>
                <w:szCs w:val="20"/>
              </w:rPr>
              <w:t>ransplant</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64A2FCCB" w14:textId="77777777" w:rsidR="002F2AFD" w:rsidRPr="004127E4" w:rsidRDefault="002F2AFD" w:rsidP="004C79C1">
            <w:pPr>
              <w:pStyle w:val="TableText0"/>
              <w:spacing w:before="0" w:after="120"/>
              <w:rPr>
                <w:szCs w:val="20"/>
              </w:rPr>
            </w:pPr>
            <w:r w:rsidRPr="005F66C3">
              <w:rPr>
                <w:rFonts w:cs="Arial"/>
                <w:b/>
                <w:bCs/>
                <w:szCs w:val="20"/>
              </w:rPr>
              <w:t>A05Z</w:t>
            </w:r>
          </w:p>
        </w:tc>
        <w:tc>
          <w:tcPr>
            <w:tcW w:w="472" w:type="pct"/>
            <w:tcBorders>
              <w:top w:val="single" w:sz="4" w:space="0" w:color="auto"/>
              <w:left w:val="nil"/>
              <w:bottom w:val="single" w:sz="4" w:space="0" w:color="auto"/>
              <w:right w:val="single" w:sz="4" w:space="0" w:color="auto"/>
            </w:tcBorders>
            <w:shd w:val="clear" w:color="auto" w:fill="auto"/>
            <w:noWrap/>
            <w:vAlign w:val="center"/>
          </w:tcPr>
          <w:p w14:paraId="5BC8E417" w14:textId="77777777" w:rsidR="002F2AFD" w:rsidRPr="004127E4" w:rsidRDefault="002F2AFD" w:rsidP="004C79C1">
            <w:pPr>
              <w:pStyle w:val="TableText0"/>
              <w:spacing w:before="0" w:after="120"/>
              <w:jc w:val="center"/>
              <w:rPr>
                <w:szCs w:val="20"/>
              </w:rPr>
            </w:pPr>
            <w:r w:rsidRPr="004127E4">
              <w:rPr>
                <w:szCs w:val="20"/>
              </w:rPr>
              <w:t>64</w:t>
            </w:r>
          </w:p>
        </w:tc>
        <w:tc>
          <w:tcPr>
            <w:tcW w:w="471" w:type="pct"/>
            <w:tcBorders>
              <w:top w:val="single" w:sz="4" w:space="0" w:color="auto"/>
              <w:left w:val="nil"/>
              <w:bottom w:val="single" w:sz="4" w:space="0" w:color="auto"/>
              <w:right w:val="single" w:sz="4" w:space="0" w:color="auto"/>
            </w:tcBorders>
            <w:shd w:val="clear" w:color="auto" w:fill="auto"/>
            <w:noWrap/>
          </w:tcPr>
          <w:p w14:paraId="44E33938" w14:textId="77777777" w:rsidR="002F2AFD" w:rsidRPr="004127E4" w:rsidRDefault="002F2AFD" w:rsidP="004C79C1">
            <w:pPr>
              <w:pStyle w:val="TableText0"/>
              <w:spacing w:before="0" w:after="120"/>
              <w:rPr>
                <w:szCs w:val="20"/>
              </w:rPr>
            </w:pPr>
          </w:p>
        </w:tc>
        <w:tc>
          <w:tcPr>
            <w:tcW w:w="601" w:type="pct"/>
            <w:tcBorders>
              <w:top w:val="single" w:sz="4" w:space="0" w:color="auto"/>
              <w:left w:val="nil"/>
              <w:bottom w:val="single" w:sz="4" w:space="0" w:color="auto"/>
              <w:right w:val="single" w:sz="4" w:space="0" w:color="auto"/>
            </w:tcBorders>
          </w:tcPr>
          <w:p w14:paraId="5C1704A4" w14:textId="77777777" w:rsidR="002F2AFD" w:rsidRPr="004127E4" w:rsidRDefault="002F2AFD" w:rsidP="004C79C1">
            <w:pPr>
              <w:pStyle w:val="TableText0"/>
              <w:spacing w:before="0" w:after="120"/>
              <w:rPr>
                <w:szCs w:val="20"/>
              </w:rPr>
            </w:pPr>
            <w:r w:rsidRPr="004127E4">
              <w:rPr>
                <w:szCs w:val="20"/>
              </w:rPr>
              <w:t>$160,065</w:t>
            </w:r>
          </w:p>
        </w:tc>
      </w:tr>
      <w:tr w:rsidR="002F2AFD" w:rsidRPr="00A42371" w14:paraId="79E69306" w14:textId="77777777" w:rsidTr="00857B30">
        <w:trPr>
          <w:trHeight w:val="300"/>
        </w:trPr>
        <w:tc>
          <w:tcPr>
            <w:tcW w:w="2827" w:type="pct"/>
            <w:tcBorders>
              <w:top w:val="single" w:sz="4" w:space="0" w:color="auto"/>
              <w:left w:val="single" w:sz="4" w:space="0" w:color="auto"/>
              <w:bottom w:val="single" w:sz="4" w:space="0" w:color="auto"/>
            </w:tcBorders>
            <w:shd w:val="clear" w:color="auto" w:fill="auto"/>
            <w:noWrap/>
            <w:vAlign w:val="center"/>
          </w:tcPr>
          <w:p w14:paraId="4E8A904D" w14:textId="6211DC2C" w:rsidR="002F2AFD" w:rsidRPr="004127E4" w:rsidRDefault="002F2AFD" w:rsidP="004C79C1">
            <w:pPr>
              <w:pStyle w:val="TableText0"/>
              <w:spacing w:before="0" w:after="120"/>
              <w:rPr>
                <w:rFonts w:cs="Times New Roman"/>
                <w:color w:val="000000"/>
                <w:szCs w:val="20"/>
              </w:rPr>
            </w:pPr>
            <w:r w:rsidRPr="004127E4">
              <w:rPr>
                <w:rFonts w:cs="Times New Roman"/>
                <w:b/>
                <w:color w:val="000000"/>
                <w:szCs w:val="20"/>
              </w:rPr>
              <w:t>Cost (adjusted for inflation)</w:t>
            </w:r>
            <w:r w:rsidR="00A42371">
              <w:rPr>
                <w:rFonts w:cs="Times New Roman"/>
                <w:b/>
                <w:color w:val="000000"/>
                <w:szCs w:val="20"/>
              </w:rPr>
              <w:t xml:space="preserve"> </w:t>
            </w:r>
            <w:r w:rsidR="00A42371" w:rsidRPr="005F66C3">
              <w:rPr>
                <w:rFonts w:cs="Times New Roman"/>
                <w:b/>
                <w:color w:val="000000"/>
                <w:szCs w:val="20"/>
                <w:vertAlign w:val="superscript"/>
              </w:rPr>
              <w:t>b</w:t>
            </w:r>
          </w:p>
        </w:tc>
        <w:tc>
          <w:tcPr>
            <w:tcW w:w="629" w:type="pct"/>
            <w:tcBorders>
              <w:top w:val="single" w:sz="4" w:space="0" w:color="auto"/>
              <w:bottom w:val="single" w:sz="4" w:space="0" w:color="auto"/>
            </w:tcBorders>
            <w:shd w:val="clear" w:color="auto" w:fill="auto"/>
            <w:noWrap/>
            <w:vAlign w:val="center"/>
          </w:tcPr>
          <w:p w14:paraId="34CEB2EA" w14:textId="77777777" w:rsidR="002F2AFD" w:rsidRPr="004127E4" w:rsidRDefault="002F2AFD" w:rsidP="004C79C1">
            <w:pPr>
              <w:pStyle w:val="TableText0"/>
              <w:spacing w:before="0" w:after="120"/>
              <w:rPr>
                <w:rFonts w:cs="Times New Roman"/>
                <w:color w:val="000000"/>
                <w:szCs w:val="20"/>
              </w:rPr>
            </w:pPr>
          </w:p>
        </w:tc>
        <w:tc>
          <w:tcPr>
            <w:tcW w:w="472" w:type="pct"/>
            <w:tcBorders>
              <w:top w:val="single" w:sz="4" w:space="0" w:color="auto"/>
              <w:bottom w:val="single" w:sz="4" w:space="0" w:color="auto"/>
            </w:tcBorders>
            <w:shd w:val="clear" w:color="auto" w:fill="auto"/>
            <w:noWrap/>
            <w:vAlign w:val="center"/>
          </w:tcPr>
          <w:p w14:paraId="78B285C8" w14:textId="77777777" w:rsidR="002F2AFD" w:rsidRPr="004127E4" w:rsidRDefault="002F2AFD" w:rsidP="004C79C1">
            <w:pPr>
              <w:pStyle w:val="TableText0"/>
              <w:spacing w:before="0" w:after="120"/>
              <w:rPr>
                <w:szCs w:val="20"/>
              </w:rPr>
            </w:pPr>
          </w:p>
        </w:tc>
        <w:tc>
          <w:tcPr>
            <w:tcW w:w="471" w:type="pct"/>
            <w:tcBorders>
              <w:top w:val="single" w:sz="4" w:space="0" w:color="auto"/>
              <w:bottom w:val="single" w:sz="4" w:space="0" w:color="auto"/>
              <w:right w:val="single" w:sz="4" w:space="0" w:color="auto"/>
            </w:tcBorders>
            <w:shd w:val="clear" w:color="auto" w:fill="auto"/>
            <w:noWrap/>
            <w:vAlign w:val="center"/>
          </w:tcPr>
          <w:p w14:paraId="73C3547F" w14:textId="77777777" w:rsidR="002F2AFD" w:rsidRPr="004127E4" w:rsidRDefault="002F2AFD" w:rsidP="004C79C1">
            <w:pPr>
              <w:pStyle w:val="TableText0"/>
              <w:spacing w:before="0" w:after="120"/>
              <w:rPr>
                <w:szCs w:val="20"/>
              </w:rPr>
            </w:pPr>
          </w:p>
        </w:tc>
        <w:tc>
          <w:tcPr>
            <w:tcW w:w="601" w:type="pct"/>
            <w:tcBorders>
              <w:top w:val="single" w:sz="4" w:space="0" w:color="auto"/>
              <w:left w:val="nil"/>
              <w:bottom w:val="single" w:sz="4" w:space="0" w:color="auto"/>
              <w:right w:val="single" w:sz="4" w:space="0" w:color="auto"/>
            </w:tcBorders>
            <w:vAlign w:val="center"/>
          </w:tcPr>
          <w:p w14:paraId="278D7C4E" w14:textId="77777777" w:rsidR="002F2AFD" w:rsidRPr="004127E4" w:rsidRDefault="002F2AFD" w:rsidP="004C79C1">
            <w:pPr>
              <w:pStyle w:val="TableText0"/>
              <w:spacing w:before="0" w:after="120"/>
              <w:rPr>
                <w:b/>
                <w:szCs w:val="20"/>
              </w:rPr>
            </w:pPr>
            <w:r w:rsidRPr="004127E4">
              <w:rPr>
                <w:b/>
                <w:szCs w:val="20"/>
              </w:rPr>
              <w:t>$162,479</w:t>
            </w:r>
          </w:p>
        </w:tc>
      </w:tr>
    </w:tbl>
    <w:p w14:paraId="1DC54FCD" w14:textId="17A10EC3" w:rsidR="002F2AFD" w:rsidRPr="008B3137" w:rsidRDefault="00A42371" w:rsidP="004C79C1">
      <w:pPr>
        <w:pStyle w:val="Tablenotes0"/>
        <w:spacing w:before="0" w:after="120"/>
        <w:contextualSpacing/>
      </w:pPr>
      <w:r w:rsidRPr="005F66C3">
        <w:rPr>
          <w:vertAlign w:val="superscript"/>
        </w:rPr>
        <w:t>a</w:t>
      </w:r>
      <w:r w:rsidR="002F2AFD" w:rsidRPr="008B3137">
        <w:t xml:space="preserve"> Price weight for the respective AR-DRGs </w:t>
      </w:r>
      <w:r w:rsidR="002F2AFD">
        <w:fldChar w:fldCharType="begin"/>
      </w:r>
      <w:r w:rsidR="002F2AFD">
        <w:instrText xml:space="preserve"> ADDIN EN.CITE &lt;EndNote&gt;&lt;Cite&gt;&lt;Author&gt;Independent Hospital Pricing Authority (IHPA)&lt;/Author&gt;&lt;Year&gt;2015&lt;/Year&gt;&lt;RecNum&gt;160&lt;/RecNum&gt;&lt;DisplayText&gt;(Independent Hospital Pricing Authority (IHPA) 2015a)&lt;/DisplayText&gt;&lt;record&gt;&lt;rec-number&gt;160&lt;/rec-number&gt;&lt;foreign-keys&gt;&lt;key app="EN" db-id="pfxxvref0t0a5de2vwnv2fwkz0p9v0r2fw0t" timestamp="1460598698"&gt;160&lt;/key&gt;&lt;/foreign-keys&gt;&lt;ref-type name="Web Page"&gt;12&lt;/ref-type&gt;&lt;contributors&gt;&lt;authors&gt;&lt;author&gt;Independent Hospital Pricing Authority (IHPA),&lt;/author&gt;&lt;/authors&gt;&lt;/contributors&gt;&lt;titles&gt;&lt;title&gt;National Efficient Price Determination 2015-16, Appendix H - Price weights for admitted acute patients – AR-DRG V7.0&lt;/title&gt;&lt;/titles&gt;&lt;volume&gt;2016&lt;/volume&gt;&lt;number&gt;March&lt;/number&gt;&lt;dates&gt;&lt;year&gt;2015&lt;/year&gt;&lt;/dates&gt;&lt;urls&gt;&lt;related-urls&gt;&lt;url&gt;https://www.ihpa.gov.au/sites/g/files/net636/f/publications/national-efficient-price-determination-2015-16.pdf&lt;/url&gt;&lt;/related-urls&gt;&lt;/urls&gt;&lt;/record&gt;&lt;/Cite&gt;&lt;/EndNote&gt;</w:instrText>
      </w:r>
      <w:r w:rsidR="002F2AFD">
        <w:fldChar w:fldCharType="separate"/>
      </w:r>
      <w:r w:rsidR="002F2AFD">
        <w:rPr>
          <w:noProof/>
        </w:rPr>
        <w:t>(</w:t>
      </w:r>
      <w:hyperlink w:anchor="_ENREF_58" w:tooltip="Independent Hospital Pricing Authority (IHPA), 2015 #469" w:history="1">
        <w:r w:rsidR="002F2AFD">
          <w:rPr>
            <w:noProof/>
          </w:rPr>
          <w:t>Independent Hospital Pricing Authority (IHPA) 2015a</w:t>
        </w:r>
      </w:hyperlink>
      <w:r w:rsidR="002F2AFD">
        <w:rPr>
          <w:noProof/>
        </w:rPr>
        <w:t>)</w:t>
      </w:r>
      <w:r w:rsidR="002F2AFD">
        <w:fldChar w:fldCharType="end"/>
      </w:r>
      <w:r w:rsidR="002F2AFD" w:rsidRPr="008B3137">
        <w:t xml:space="preserve"> </w:t>
      </w:r>
      <w:r>
        <w:t>*</w:t>
      </w:r>
      <w:r w:rsidR="002F2AFD" w:rsidRPr="008B3137">
        <w:t xml:space="preserve"> the N</w:t>
      </w:r>
      <w:r w:rsidR="002074E2">
        <w:t>EP</w:t>
      </w:r>
      <w:r w:rsidR="002F2AFD" w:rsidRPr="008B3137">
        <w:t>, 2016</w:t>
      </w:r>
      <w:r w:rsidR="000726C1">
        <w:t>–</w:t>
      </w:r>
      <w:r w:rsidR="002F2AFD" w:rsidRPr="008B3137">
        <w:t xml:space="preserve">17 ($4,883) </w:t>
      </w:r>
      <w:r w:rsidR="002F2AFD">
        <w:fldChar w:fldCharType="begin"/>
      </w:r>
      <w:r w:rsidR="002F2AFD">
        <w:instrText xml:space="preserve"> ADDIN EN.CITE &lt;EndNote&gt;&lt;Cite&gt;&lt;Author&gt;Independent Hospital Pricing Authority (IHPA)&lt;/Author&gt;&lt;Year&gt;2016&lt;/Year&gt;&lt;RecNum&gt;162&lt;/RecNum&gt;&lt;DisplayText&gt;(Independent Hospital Pricing Authority (IHPA) 2016)&lt;/DisplayText&gt;&lt;record&gt;&lt;rec-number&gt;162&lt;/rec-number&gt;&lt;foreign-keys&gt;&lt;key app="EN" db-id="pfxxvref0t0a5de2vwnv2fwkz0p9v0r2fw0t" timestamp="1460598698"&gt;162&lt;/key&gt;&lt;/foreign-keys&gt;&lt;ref-type name="Web Page"&gt;12&lt;/ref-type&gt;&lt;contributors&gt;&lt;authors&gt;&lt;author&gt;Independent Hospital Pricing Authority (IHPA),&lt;/author&gt;&lt;/authors&gt;&lt;/contributors&gt;&lt;titles&gt;&lt;title&gt;National Efficient Price Determination 2015-16, Chapter 2 National Efficient Price 2016-17&lt;/title&gt;&lt;/titles&gt;&lt;volume&gt;2016&lt;/volume&gt;&lt;number&gt;March&lt;/number&gt;&lt;dates&gt;&lt;year&gt;2016&lt;/year&gt;&lt;/dates&gt;&lt;urls&gt;&lt;related-urls&gt;&lt;url&gt;https://www.ihpa.gov.au/sites/g/files/net636/f/publications/final_nep16_determination.pdf&lt;/url&gt;&lt;/related-urls&gt;&lt;/urls&gt;&lt;/record&gt;&lt;/Cite&gt;&lt;/EndNote&gt;</w:instrText>
      </w:r>
      <w:r w:rsidR="002F2AFD">
        <w:fldChar w:fldCharType="separate"/>
      </w:r>
      <w:r w:rsidR="002F2AFD">
        <w:rPr>
          <w:noProof/>
        </w:rPr>
        <w:t>(</w:t>
      </w:r>
      <w:hyperlink w:anchor="_ENREF_61" w:tooltip="Independent Hospital Pricing Authority (IHPA), 2016 #162" w:history="1">
        <w:r w:rsidR="002F2AFD">
          <w:rPr>
            <w:noProof/>
          </w:rPr>
          <w:t>Independent Hospital Pricing Authority (IHPA) 2016</w:t>
        </w:r>
      </w:hyperlink>
      <w:r w:rsidR="002F2AFD">
        <w:rPr>
          <w:noProof/>
        </w:rPr>
        <w:t>)</w:t>
      </w:r>
      <w:r w:rsidR="002F2AFD">
        <w:fldChar w:fldCharType="end"/>
      </w:r>
    </w:p>
    <w:p w14:paraId="359329F7" w14:textId="019156B1" w:rsidR="002F2AFD" w:rsidRDefault="00A42371" w:rsidP="004C79C1">
      <w:pPr>
        <w:pStyle w:val="Tablenotes0"/>
        <w:spacing w:before="0" w:after="120"/>
      </w:pPr>
      <w:proofErr w:type="gramStart"/>
      <w:r w:rsidRPr="005F66C3">
        <w:rPr>
          <w:vertAlign w:val="superscript"/>
        </w:rPr>
        <w:t>b</w:t>
      </w:r>
      <w:proofErr w:type="gramEnd"/>
      <w:r>
        <w:t xml:space="preserve"> </w:t>
      </w:r>
      <w:r w:rsidR="002F2AFD">
        <w:t xml:space="preserve">Converted to 2015 AUD using </w:t>
      </w:r>
      <w:r w:rsidR="002F2AFD" w:rsidRPr="00B66250">
        <w:t>inflation calculator provided by Reserve Bank of Australia</w:t>
      </w:r>
      <w:r w:rsidR="002F2AFD">
        <w:t>;</w:t>
      </w:r>
      <w:r w:rsidR="002F2AFD" w:rsidRPr="00B66250">
        <w:t xml:space="preserve"> </w:t>
      </w:r>
      <w:r>
        <w:t>&lt;</w:t>
      </w:r>
      <w:hyperlink r:id="rId108" w:tooltip="Link to RBA inflation calculator" w:history="1">
        <w:r w:rsidR="004577E6">
          <w:rPr>
            <w:rStyle w:val="Hyperlink"/>
          </w:rPr>
          <w:t xml:space="preserve"> www.</w:t>
        </w:r>
        <w:r w:rsidR="005F66C3" w:rsidRPr="006712EE">
          <w:rPr>
            <w:rStyle w:val="Hyperlink"/>
          </w:rPr>
          <w:t>rba.gov.au/calculator/annualDecimal.html</w:t>
        </w:r>
      </w:hyperlink>
      <w:r w:rsidR="005F66C3">
        <w:rPr>
          <w:rStyle w:val="Hyperlink"/>
        </w:rPr>
        <w:t>&gt;</w:t>
      </w:r>
      <w:r w:rsidR="005F66C3">
        <w:t>;</w:t>
      </w:r>
      <w:r w:rsidR="002F2AFD">
        <w:t xml:space="preserve"> accessed 24 March 2016</w:t>
      </w:r>
    </w:p>
    <w:p w14:paraId="7580E740" w14:textId="513698C2" w:rsidR="00104787" w:rsidRPr="008B3137" w:rsidRDefault="00104787" w:rsidP="004C79C1">
      <w:pPr>
        <w:pStyle w:val="Tablenotes0"/>
        <w:spacing w:before="0" w:after="120"/>
        <w:rPr>
          <w:rStyle w:val="st"/>
        </w:rPr>
      </w:pPr>
      <w:r w:rsidRPr="008B3137">
        <w:t xml:space="preserve">AR-DRG = </w:t>
      </w:r>
      <w:r w:rsidRPr="008B3137">
        <w:rPr>
          <w:rStyle w:val="st"/>
        </w:rPr>
        <w:t xml:space="preserve">Australian Refined Diagnosis Related Groups; </w:t>
      </w:r>
      <w:r>
        <w:rPr>
          <w:rStyle w:val="st"/>
        </w:rPr>
        <w:t>CPB = cardiopulmonary b</w:t>
      </w:r>
      <w:r w:rsidRPr="0034101A">
        <w:rPr>
          <w:rStyle w:val="st"/>
        </w:rPr>
        <w:t>ypass</w:t>
      </w:r>
      <w:r>
        <w:rPr>
          <w:rStyle w:val="st"/>
        </w:rPr>
        <w:t xml:space="preserve">; </w:t>
      </w:r>
      <w:r w:rsidR="002074E2">
        <w:t xml:space="preserve">NEP = National Efficient Price; </w:t>
      </w:r>
      <w:r w:rsidRPr="008B3137">
        <w:rPr>
          <w:rStyle w:val="st"/>
        </w:rPr>
        <w:t>Seps = number of hospital separations</w:t>
      </w:r>
      <w:r>
        <w:rPr>
          <w:rStyle w:val="st"/>
        </w:rPr>
        <w:t xml:space="preserve"> </w:t>
      </w:r>
    </w:p>
    <w:p w14:paraId="69BDAEF0" w14:textId="69362E41" w:rsidR="002F2AFD" w:rsidRDefault="002F2AFD" w:rsidP="004C79C1">
      <w:pPr>
        <w:spacing w:after="120" w:line="240" w:lineRule="auto"/>
        <w:jc w:val="both"/>
      </w:pPr>
      <w:r>
        <w:t xml:space="preserve">In Australia, </w:t>
      </w:r>
      <w:r w:rsidR="004A6799">
        <w:t>h</w:t>
      </w:r>
      <w:r>
        <w:t xml:space="preserve">eart </w:t>
      </w:r>
      <w:r w:rsidR="004A6799">
        <w:t>t</w:t>
      </w:r>
      <w:r>
        <w:t>ransplant surgeries are predominantly perform</w:t>
      </w:r>
      <w:r w:rsidR="004A6799">
        <w:t>ed</w:t>
      </w:r>
      <w:r>
        <w:t xml:space="preserve"> in public hospitals. </w:t>
      </w:r>
      <w:r w:rsidR="004A6799">
        <w:t>The n</w:t>
      </w:r>
      <w:r>
        <w:t xml:space="preserve">umber of separations in the </w:t>
      </w:r>
      <w:r w:rsidR="004A6799">
        <w:t>p</w:t>
      </w:r>
      <w:r>
        <w:t xml:space="preserve">rivate </w:t>
      </w:r>
      <w:r w:rsidR="004A6799">
        <w:t>h</w:t>
      </w:r>
      <w:r>
        <w:t>ospital cost report 2013</w:t>
      </w:r>
      <w:r w:rsidR="004A6799">
        <w:t>–</w:t>
      </w:r>
      <w:r>
        <w:t xml:space="preserve">14 for A05Z </w:t>
      </w:r>
      <w:r w:rsidR="004A6799">
        <w:t>(H</w:t>
      </w:r>
      <w:r>
        <w:t xml:space="preserve">eart </w:t>
      </w:r>
      <w:r w:rsidR="004A6799">
        <w:t>T</w:t>
      </w:r>
      <w:r>
        <w:t>ransplant</w:t>
      </w:r>
      <w:r w:rsidR="004A6799">
        <w:t>)</w:t>
      </w:r>
      <w:r>
        <w:t xml:space="preserve"> </w:t>
      </w:r>
      <w:r w:rsidR="004A6799">
        <w:t xml:space="preserve">was </w:t>
      </w:r>
      <w:r>
        <w:t xml:space="preserve">less than </w:t>
      </w:r>
      <w:r w:rsidR="004A6799">
        <w:t xml:space="preserve">5, </w:t>
      </w:r>
      <w:r>
        <w:t>and hence w</w:t>
      </w:r>
      <w:r w:rsidR="00316DA4">
        <w:t>as</w:t>
      </w:r>
      <w:r>
        <w:t xml:space="preserve"> redacted. Therefore</w:t>
      </w:r>
      <w:r w:rsidR="004A6799">
        <w:t>,</w:t>
      </w:r>
      <w:r>
        <w:t xml:space="preserve"> the private sector costs and weighted costs are assumed to be similar to the cost</w:t>
      </w:r>
      <w:r w:rsidR="00A1450A">
        <w:t>s</w:t>
      </w:r>
      <w:r>
        <w:t xml:space="preserve"> in </w:t>
      </w:r>
      <w:r w:rsidR="00A1450A">
        <w:t xml:space="preserve">the </w:t>
      </w:r>
      <w:r>
        <w:t>public sector.</w:t>
      </w:r>
    </w:p>
    <w:p w14:paraId="2CED0E99" w14:textId="4C0BE98D" w:rsidR="002F2AFD" w:rsidRDefault="002F2AFD" w:rsidP="004C79C1">
      <w:pPr>
        <w:pStyle w:val="Heading1"/>
        <w:spacing w:after="120" w:line="240" w:lineRule="auto"/>
        <w:rPr>
          <w:snapToGrid w:val="0"/>
          <w:lang w:eastAsia="en-US"/>
        </w:rPr>
      </w:pPr>
      <w:bookmarkStart w:id="1058" w:name="_Toc450051831"/>
      <w:bookmarkStart w:id="1059" w:name="_Toc451501448"/>
      <w:r>
        <w:rPr>
          <w:snapToGrid w:val="0"/>
          <w:lang w:eastAsia="en-US"/>
        </w:rPr>
        <w:lastRenderedPageBreak/>
        <w:t>Appendix N</w:t>
      </w:r>
      <w:r>
        <w:rPr>
          <w:snapToGrid w:val="0"/>
          <w:lang w:eastAsia="en-US"/>
        </w:rPr>
        <w:tab/>
        <w:t xml:space="preserve">Sensitivity </w:t>
      </w:r>
      <w:r w:rsidR="00B57D14">
        <w:rPr>
          <w:snapToGrid w:val="0"/>
          <w:lang w:eastAsia="en-US"/>
        </w:rPr>
        <w:t>A</w:t>
      </w:r>
      <w:r>
        <w:rPr>
          <w:snapToGrid w:val="0"/>
          <w:lang w:eastAsia="en-US"/>
        </w:rPr>
        <w:t xml:space="preserve">nalyses for </w:t>
      </w:r>
      <w:r w:rsidR="00B57D14">
        <w:rPr>
          <w:snapToGrid w:val="0"/>
          <w:lang w:eastAsia="en-US"/>
        </w:rPr>
        <w:t>C</w:t>
      </w:r>
      <w:r>
        <w:rPr>
          <w:snapToGrid w:val="0"/>
          <w:lang w:eastAsia="en-US"/>
        </w:rPr>
        <w:t xml:space="preserve">ost-effectiveness </w:t>
      </w:r>
      <w:r w:rsidR="00B57D14">
        <w:rPr>
          <w:snapToGrid w:val="0"/>
          <w:lang w:eastAsia="en-US"/>
        </w:rPr>
        <w:t>A</w:t>
      </w:r>
      <w:r>
        <w:rPr>
          <w:snapToGrid w:val="0"/>
          <w:lang w:eastAsia="en-US"/>
        </w:rPr>
        <w:t>nalyses: Population iiA</w:t>
      </w:r>
      <w:bookmarkEnd w:id="1058"/>
      <w:bookmarkEnd w:id="1059"/>
    </w:p>
    <w:p w14:paraId="1D55BC28" w14:textId="075BBD8B" w:rsidR="002F2AFD" w:rsidRPr="00FE381D" w:rsidRDefault="002F2AFD" w:rsidP="004C79C1">
      <w:pPr>
        <w:pStyle w:val="Heading2"/>
        <w:spacing w:before="0" w:after="120" w:line="240" w:lineRule="auto"/>
      </w:pPr>
      <w:bookmarkStart w:id="1060" w:name="_Toc451501449"/>
      <w:r>
        <w:t>U</w:t>
      </w:r>
      <w:r w:rsidRPr="00FE381D">
        <w:t xml:space="preserve">sing Public </w:t>
      </w:r>
      <w:r w:rsidR="00FA43E2">
        <w:t>S</w:t>
      </w:r>
      <w:r w:rsidRPr="00FE381D">
        <w:t xml:space="preserve">ector </w:t>
      </w:r>
      <w:r w:rsidR="00FA43E2">
        <w:t>C</w:t>
      </w:r>
      <w:r w:rsidRPr="00FE381D">
        <w:t>osts</w:t>
      </w:r>
      <w:bookmarkEnd w:id="1060"/>
    </w:p>
    <w:p w14:paraId="7D200353" w14:textId="7581AC0C" w:rsidR="002F2AFD" w:rsidRDefault="002F2AFD" w:rsidP="004C79C1">
      <w:pPr>
        <w:spacing w:after="120" w:line="240" w:lineRule="auto"/>
        <w:jc w:val="both"/>
      </w:pPr>
      <w:r>
        <w:t>When public sector</w:t>
      </w:r>
      <w:r w:rsidR="00A1450A">
        <w:t xml:space="preserve"> cost</w:t>
      </w:r>
      <w:r>
        <w:t>s are used in place of weighted costs, all ICERs increase marginally due to the increase in incremental cost</w:t>
      </w:r>
      <w:r w:rsidRPr="00FE381D">
        <w:t xml:space="preserve"> </w:t>
      </w:r>
      <w:r>
        <w:t xml:space="preserve">of CMR testing ($514 compared with $403 per patient in </w:t>
      </w:r>
      <w:r w:rsidR="00A1450A">
        <w:t xml:space="preserve">the </w:t>
      </w:r>
      <w:r>
        <w:t>base-case), resulting in an increase in i</w:t>
      </w:r>
      <w:r w:rsidRPr="00D146A6">
        <w:t>ncremental cost per inappropriate patient management avoided</w:t>
      </w:r>
      <w:r>
        <w:t xml:space="preserve"> ($4,022 compared with </w:t>
      </w:r>
      <w:r w:rsidR="00A1450A">
        <w:t xml:space="preserve">$3,158 in the </w:t>
      </w:r>
      <w:r>
        <w:t>base-case)</w:t>
      </w:r>
      <w:r w:rsidR="00776BD0">
        <w:t xml:space="preserve"> (</w:t>
      </w:r>
      <w:r w:rsidR="005F66C3">
        <w:fldChar w:fldCharType="begin"/>
      </w:r>
      <w:r w:rsidR="005F66C3">
        <w:instrText xml:space="preserve"> REF _Ref451417125 \h </w:instrText>
      </w:r>
      <w:r w:rsidR="005F66C3">
        <w:fldChar w:fldCharType="separate"/>
      </w:r>
      <w:r w:rsidR="005F66C3">
        <w:t xml:space="preserve">Table </w:t>
      </w:r>
      <w:r w:rsidR="005F66C3">
        <w:rPr>
          <w:noProof/>
        </w:rPr>
        <w:t>118</w:t>
      </w:r>
      <w:r w:rsidR="005F66C3">
        <w:fldChar w:fldCharType="end"/>
      </w:r>
      <w:r w:rsidR="00776BD0">
        <w:t>)</w:t>
      </w:r>
      <w:r>
        <w:t>.</w:t>
      </w:r>
    </w:p>
    <w:p w14:paraId="502C7B37" w14:textId="0AB2463E" w:rsidR="002F2AFD" w:rsidRDefault="002F2AFD" w:rsidP="004C79C1">
      <w:pPr>
        <w:pStyle w:val="Caption"/>
        <w:keepNext/>
      </w:pPr>
      <w:bookmarkStart w:id="1061" w:name="_Ref451417125"/>
      <w:bookmarkStart w:id="1062" w:name="_Toc450052131"/>
      <w:bookmarkStart w:id="1063" w:name="_Toc324410322"/>
      <w:bookmarkStart w:id="1064" w:name="_Toc451435445"/>
      <w:r>
        <w:t xml:space="preserve">Table </w:t>
      </w:r>
      <w:fldSimple w:instr=" SEQ Table \* ARABIC ">
        <w:r w:rsidR="00050936">
          <w:rPr>
            <w:noProof/>
          </w:rPr>
          <w:t>118</w:t>
        </w:r>
      </w:fldSimple>
      <w:bookmarkEnd w:id="1061"/>
      <w:r>
        <w:tab/>
        <w:t xml:space="preserve">Sensitivity analysis, ICERs using </w:t>
      </w:r>
      <w:r w:rsidR="00A1450A">
        <w:t>p</w:t>
      </w:r>
      <w:r>
        <w:t>ublic sector costs</w:t>
      </w:r>
      <w:bookmarkEnd w:id="1062"/>
      <w:bookmarkEnd w:id="1063"/>
      <w:bookmarkEnd w:id="1064"/>
    </w:p>
    <w:tbl>
      <w:tblPr>
        <w:tblStyle w:val="TableGrid"/>
        <w:tblW w:w="5000" w:type="pct"/>
        <w:tblLook w:val="04A0" w:firstRow="1" w:lastRow="0" w:firstColumn="1" w:lastColumn="0" w:noHBand="0" w:noVBand="1"/>
        <w:tblCaption w:val="Sensitivity analysis, ICERs using Public sector costs"/>
      </w:tblPr>
      <w:tblGrid>
        <w:gridCol w:w="7954"/>
        <w:gridCol w:w="1288"/>
      </w:tblGrid>
      <w:tr w:rsidR="002F2AFD" w:rsidRPr="0022067E" w14:paraId="5CC7A16B" w14:textId="77777777" w:rsidTr="00857B30">
        <w:trPr>
          <w:trHeight w:val="315"/>
          <w:tblHeader/>
        </w:trPr>
        <w:tc>
          <w:tcPr>
            <w:tcW w:w="4303" w:type="pct"/>
            <w:noWrap/>
          </w:tcPr>
          <w:p w14:paraId="557FD4C1" w14:textId="77777777" w:rsidR="002F2AFD" w:rsidRPr="0022067E" w:rsidRDefault="002F2AFD" w:rsidP="004C79C1">
            <w:pPr>
              <w:pStyle w:val="TableHeading"/>
              <w:spacing w:before="0" w:after="120"/>
            </w:pPr>
            <w:r>
              <w:t>Cost-effectiveness</w:t>
            </w:r>
          </w:p>
        </w:tc>
        <w:tc>
          <w:tcPr>
            <w:tcW w:w="697" w:type="pct"/>
            <w:noWrap/>
          </w:tcPr>
          <w:p w14:paraId="2411DFE9" w14:textId="77777777" w:rsidR="002F2AFD" w:rsidRPr="0022067E" w:rsidRDefault="002F2AFD" w:rsidP="004C79C1">
            <w:pPr>
              <w:pStyle w:val="TableHeading"/>
              <w:spacing w:before="0" w:after="120"/>
              <w:jc w:val="center"/>
            </w:pPr>
            <w:r>
              <w:t>ICER</w:t>
            </w:r>
          </w:p>
        </w:tc>
      </w:tr>
      <w:tr w:rsidR="002F2AFD" w:rsidRPr="00B839C7" w14:paraId="69B1DA17" w14:textId="77777777" w:rsidTr="00857B30">
        <w:trPr>
          <w:trHeight w:val="330"/>
        </w:trPr>
        <w:tc>
          <w:tcPr>
            <w:tcW w:w="4303" w:type="pct"/>
            <w:noWrap/>
            <w:hideMark/>
          </w:tcPr>
          <w:p w14:paraId="7188736A" w14:textId="77777777" w:rsidR="002F2AFD" w:rsidRPr="00B839C7" w:rsidRDefault="002F2AFD" w:rsidP="004C79C1">
            <w:pPr>
              <w:pStyle w:val="Tabletext1"/>
              <w:spacing w:before="0" w:after="120"/>
              <w:rPr>
                <w:b/>
              </w:rPr>
            </w:pPr>
            <w:r w:rsidRPr="00B839C7">
              <w:rPr>
                <w:b/>
              </w:rPr>
              <w:t>Incremental cost per inappropriate patient management avoided (base-case)</w:t>
            </w:r>
          </w:p>
        </w:tc>
        <w:tc>
          <w:tcPr>
            <w:tcW w:w="697" w:type="pct"/>
            <w:noWrap/>
            <w:hideMark/>
          </w:tcPr>
          <w:p w14:paraId="1AC098C7" w14:textId="77777777" w:rsidR="002F2AFD" w:rsidRPr="00B839C7" w:rsidRDefault="002F2AFD" w:rsidP="004C79C1">
            <w:pPr>
              <w:pStyle w:val="Tabletext1"/>
              <w:spacing w:before="0" w:after="120"/>
              <w:ind w:right="237"/>
              <w:jc w:val="right"/>
              <w:rPr>
                <w:b/>
              </w:rPr>
            </w:pPr>
            <w:r w:rsidRPr="00B839C7">
              <w:rPr>
                <w:b/>
              </w:rPr>
              <w:t>$3,158</w:t>
            </w:r>
          </w:p>
        </w:tc>
      </w:tr>
      <w:tr w:rsidR="002F2AFD" w:rsidRPr="0022067E" w14:paraId="46F54518" w14:textId="77777777" w:rsidTr="00857B30">
        <w:trPr>
          <w:trHeight w:val="315"/>
        </w:trPr>
        <w:tc>
          <w:tcPr>
            <w:tcW w:w="4303" w:type="pct"/>
            <w:noWrap/>
            <w:hideMark/>
          </w:tcPr>
          <w:p w14:paraId="67088F5A" w14:textId="77777777" w:rsidR="002F2AFD" w:rsidRPr="0022067E" w:rsidRDefault="002F2AFD" w:rsidP="004C79C1">
            <w:pPr>
              <w:pStyle w:val="Tabletext1"/>
              <w:spacing w:before="0" w:after="120"/>
            </w:pPr>
            <w:r w:rsidRPr="0022067E">
              <w:t>Incremental cost per inappropriate procedure avoided</w:t>
            </w:r>
          </w:p>
        </w:tc>
        <w:tc>
          <w:tcPr>
            <w:tcW w:w="697" w:type="pct"/>
            <w:noWrap/>
            <w:hideMark/>
          </w:tcPr>
          <w:p w14:paraId="4E705838" w14:textId="77777777" w:rsidR="002F2AFD" w:rsidRPr="0022067E" w:rsidRDefault="002F2AFD" w:rsidP="004C79C1">
            <w:pPr>
              <w:pStyle w:val="Tabletext1"/>
              <w:spacing w:before="0" w:after="120"/>
              <w:ind w:right="237"/>
              <w:jc w:val="right"/>
            </w:pPr>
            <w:r w:rsidRPr="0022067E">
              <w:t>$7,203</w:t>
            </w:r>
          </w:p>
        </w:tc>
      </w:tr>
      <w:tr w:rsidR="002F2AFD" w:rsidRPr="004127E4" w14:paraId="385B5ADF" w14:textId="77777777" w:rsidTr="00857B30">
        <w:trPr>
          <w:trHeight w:val="315"/>
        </w:trPr>
        <w:tc>
          <w:tcPr>
            <w:tcW w:w="4303" w:type="pct"/>
            <w:noWrap/>
            <w:hideMark/>
          </w:tcPr>
          <w:p w14:paraId="4A688103" w14:textId="77777777" w:rsidR="002F2AFD" w:rsidRPr="005F66C3" w:rsidRDefault="002F2AFD" w:rsidP="004C79C1">
            <w:pPr>
              <w:pStyle w:val="Tabletext1"/>
              <w:spacing w:before="0" w:after="120"/>
              <w:rPr>
                <w:iCs/>
              </w:rPr>
            </w:pPr>
            <w:r w:rsidRPr="005F66C3">
              <w:rPr>
                <w:iCs/>
              </w:rPr>
              <w:t>Incremental cost per inappropriate implantable device avoided</w:t>
            </w:r>
          </w:p>
        </w:tc>
        <w:tc>
          <w:tcPr>
            <w:tcW w:w="697" w:type="pct"/>
            <w:noWrap/>
            <w:hideMark/>
          </w:tcPr>
          <w:p w14:paraId="262A1B05" w14:textId="77777777" w:rsidR="002F2AFD" w:rsidRPr="004127E4" w:rsidRDefault="002F2AFD" w:rsidP="004C79C1">
            <w:pPr>
              <w:pStyle w:val="Tabletext1"/>
              <w:spacing w:before="0" w:after="120"/>
              <w:ind w:right="237"/>
              <w:jc w:val="right"/>
            </w:pPr>
            <w:r w:rsidRPr="004127E4">
              <w:t>$10,974</w:t>
            </w:r>
          </w:p>
        </w:tc>
      </w:tr>
      <w:tr w:rsidR="002F2AFD" w:rsidRPr="004127E4" w14:paraId="1D57E193" w14:textId="77777777" w:rsidTr="00857B30">
        <w:trPr>
          <w:trHeight w:val="315"/>
        </w:trPr>
        <w:tc>
          <w:tcPr>
            <w:tcW w:w="4303" w:type="pct"/>
            <w:noWrap/>
            <w:hideMark/>
          </w:tcPr>
          <w:p w14:paraId="23B9DE80" w14:textId="77777777" w:rsidR="002F2AFD" w:rsidRPr="005F66C3" w:rsidRDefault="002F2AFD" w:rsidP="004C79C1">
            <w:pPr>
              <w:pStyle w:val="Tabletext1"/>
              <w:spacing w:before="0" w:after="120"/>
              <w:rPr>
                <w:iCs/>
              </w:rPr>
            </w:pPr>
            <w:r w:rsidRPr="005F66C3">
              <w:rPr>
                <w:iCs/>
              </w:rPr>
              <w:t>Incremental cost per inappropriate cardiac surgery avoided</w:t>
            </w:r>
          </w:p>
        </w:tc>
        <w:tc>
          <w:tcPr>
            <w:tcW w:w="697" w:type="pct"/>
            <w:noWrap/>
            <w:hideMark/>
          </w:tcPr>
          <w:p w14:paraId="2C99A4E6" w14:textId="77777777" w:rsidR="002F2AFD" w:rsidRPr="004127E4" w:rsidRDefault="002F2AFD" w:rsidP="004C79C1">
            <w:pPr>
              <w:pStyle w:val="Tabletext1"/>
              <w:spacing w:before="0" w:after="120"/>
              <w:ind w:right="237"/>
              <w:jc w:val="right"/>
            </w:pPr>
            <w:r w:rsidRPr="004127E4">
              <w:t>$20,963</w:t>
            </w:r>
          </w:p>
        </w:tc>
      </w:tr>
      <w:tr w:rsidR="002F2AFD" w:rsidRPr="00B605D0" w14:paraId="3A26A43B" w14:textId="77777777" w:rsidTr="00857B30">
        <w:trPr>
          <w:trHeight w:val="315"/>
        </w:trPr>
        <w:tc>
          <w:tcPr>
            <w:tcW w:w="4303" w:type="pct"/>
            <w:noWrap/>
            <w:hideMark/>
          </w:tcPr>
          <w:p w14:paraId="4F758BF5" w14:textId="77777777" w:rsidR="002F2AFD" w:rsidRPr="00B605D0" w:rsidRDefault="002F2AFD" w:rsidP="004C79C1">
            <w:pPr>
              <w:pStyle w:val="Tabletext1"/>
              <w:spacing w:before="0" w:after="120"/>
              <w:rPr>
                <w:b/>
              </w:rPr>
            </w:pPr>
            <w:r w:rsidRPr="00B605D0">
              <w:rPr>
                <w:b/>
              </w:rPr>
              <w:t>Incremental cost per inappropriate patient management avoided</w:t>
            </w:r>
          </w:p>
        </w:tc>
        <w:tc>
          <w:tcPr>
            <w:tcW w:w="697" w:type="pct"/>
            <w:noWrap/>
            <w:hideMark/>
          </w:tcPr>
          <w:p w14:paraId="6B8721C0" w14:textId="77777777" w:rsidR="002F2AFD" w:rsidRPr="00B605D0" w:rsidRDefault="002F2AFD" w:rsidP="004C79C1">
            <w:pPr>
              <w:pStyle w:val="Tabletext1"/>
              <w:spacing w:before="0" w:after="120"/>
              <w:ind w:right="237"/>
              <w:jc w:val="right"/>
              <w:rPr>
                <w:b/>
              </w:rPr>
            </w:pPr>
            <w:r w:rsidRPr="00B605D0">
              <w:rPr>
                <w:b/>
              </w:rPr>
              <w:t>$4,022</w:t>
            </w:r>
          </w:p>
        </w:tc>
      </w:tr>
    </w:tbl>
    <w:p w14:paraId="77775168" w14:textId="7DCB2906" w:rsidR="002F2AFD" w:rsidRPr="005F66C3" w:rsidRDefault="002F2AFD" w:rsidP="004C79C1">
      <w:pPr>
        <w:pStyle w:val="Tablenotes0"/>
        <w:spacing w:before="0" w:after="120"/>
      </w:pPr>
      <w:r w:rsidRPr="005F66C3">
        <w:t xml:space="preserve">Base-case = weighted cost </w:t>
      </w:r>
      <w:r w:rsidR="005D234F">
        <w:t>p</w:t>
      </w:r>
      <w:r w:rsidRPr="005F66C3">
        <w:t xml:space="preserve">ublic and </w:t>
      </w:r>
      <w:r w:rsidR="005D234F">
        <w:t>p</w:t>
      </w:r>
      <w:r w:rsidRPr="005F66C3">
        <w:t xml:space="preserve">rivate </w:t>
      </w:r>
      <w:r w:rsidR="005D234F">
        <w:t>s</w:t>
      </w:r>
      <w:r w:rsidRPr="005F66C3">
        <w:t xml:space="preserve">ector; CMR = cardiac magnetic resonance </w:t>
      </w:r>
      <w:r w:rsidR="002D3576">
        <w:t>(</w:t>
      </w:r>
      <w:r w:rsidRPr="005F66C3">
        <w:t>imaging</w:t>
      </w:r>
      <w:r w:rsidR="002D3576">
        <w:t>)</w:t>
      </w:r>
      <w:r w:rsidRPr="005F66C3">
        <w:t>; ICER = incremental cost-effectiveness ratio</w:t>
      </w:r>
    </w:p>
    <w:p w14:paraId="0667A120" w14:textId="0B99BDBA" w:rsidR="002F2AFD" w:rsidRPr="00FE381D" w:rsidRDefault="002F2AFD" w:rsidP="004C79C1">
      <w:pPr>
        <w:pStyle w:val="Heading2"/>
        <w:spacing w:before="0" w:after="120" w:line="240" w:lineRule="auto"/>
      </w:pPr>
      <w:bookmarkStart w:id="1065" w:name="_Toc451501450"/>
      <w:r>
        <w:t>U</w:t>
      </w:r>
      <w:r w:rsidRPr="00FE381D">
        <w:t xml:space="preserve">sing </w:t>
      </w:r>
      <w:r>
        <w:t>Private</w:t>
      </w:r>
      <w:r w:rsidRPr="00FE381D">
        <w:t xml:space="preserve"> </w:t>
      </w:r>
      <w:r w:rsidR="00D22A10">
        <w:t>S</w:t>
      </w:r>
      <w:r w:rsidRPr="00FE381D">
        <w:t xml:space="preserve">ector </w:t>
      </w:r>
      <w:r w:rsidR="00FA43E2">
        <w:t>C</w:t>
      </w:r>
      <w:r w:rsidRPr="00FE381D">
        <w:t>osts</w:t>
      </w:r>
      <w:bookmarkEnd w:id="1065"/>
    </w:p>
    <w:p w14:paraId="509D06D1" w14:textId="74A9CACB" w:rsidR="002F2AFD" w:rsidRDefault="002F2AFD" w:rsidP="004C79C1">
      <w:pPr>
        <w:spacing w:after="120" w:line="240" w:lineRule="auto"/>
        <w:jc w:val="both"/>
      </w:pPr>
      <w:r>
        <w:t xml:space="preserve">When </w:t>
      </w:r>
      <w:r w:rsidR="00DF152A">
        <w:t>priv</w:t>
      </w:r>
      <w:r w:rsidR="00C75FCF">
        <w:t>at</w:t>
      </w:r>
      <w:r w:rsidR="00DF152A">
        <w:t xml:space="preserve">e </w:t>
      </w:r>
      <w:r>
        <w:t>sector</w:t>
      </w:r>
      <w:r w:rsidR="00DF152A">
        <w:t xml:space="preserve"> cost</w:t>
      </w:r>
      <w:r>
        <w:t xml:space="preserve">s are used in place of weighted costs, all ICERs decrease due to the decrease in incremental cost of CMR testing ($279 compared with $403 per patient in </w:t>
      </w:r>
      <w:r w:rsidR="00DF152A">
        <w:t xml:space="preserve">the </w:t>
      </w:r>
      <w:r>
        <w:t>base-case), resulting in a decrease in i</w:t>
      </w:r>
      <w:r w:rsidRPr="00D146A6">
        <w:t>ncremental cost per inappropriate patient management avoided</w:t>
      </w:r>
      <w:r>
        <w:t xml:space="preserve"> ($2,188 compared with </w:t>
      </w:r>
      <w:r w:rsidR="00DF152A">
        <w:t xml:space="preserve">$3,158 in the </w:t>
      </w:r>
      <w:r>
        <w:t>base-case)</w:t>
      </w:r>
      <w:r w:rsidR="00776BD0">
        <w:t xml:space="preserve"> (</w:t>
      </w:r>
      <w:r w:rsidR="005F66C3">
        <w:fldChar w:fldCharType="begin"/>
      </w:r>
      <w:r w:rsidR="005F66C3">
        <w:instrText xml:space="preserve"> REF _Ref451417106 \h </w:instrText>
      </w:r>
      <w:r w:rsidR="005F66C3">
        <w:fldChar w:fldCharType="separate"/>
      </w:r>
      <w:r w:rsidR="005F66C3">
        <w:t xml:space="preserve">Table </w:t>
      </w:r>
      <w:r w:rsidR="005F66C3">
        <w:rPr>
          <w:noProof/>
        </w:rPr>
        <w:t>119</w:t>
      </w:r>
      <w:r w:rsidR="005F66C3">
        <w:fldChar w:fldCharType="end"/>
      </w:r>
      <w:r w:rsidR="00776BD0">
        <w:t>)</w:t>
      </w:r>
      <w:r>
        <w:t>.</w:t>
      </w:r>
    </w:p>
    <w:p w14:paraId="331B50A0" w14:textId="30D5CE53" w:rsidR="002F2AFD" w:rsidRDefault="002F2AFD" w:rsidP="004C79C1">
      <w:pPr>
        <w:pStyle w:val="Caption"/>
        <w:keepNext/>
      </w:pPr>
      <w:bookmarkStart w:id="1066" w:name="_Ref451417106"/>
      <w:bookmarkStart w:id="1067" w:name="_Toc450052132"/>
      <w:bookmarkStart w:id="1068" w:name="_Toc324410323"/>
      <w:bookmarkStart w:id="1069" w:name="_Toc451435446"/>
      <w:r>
        <w:t xml:space="preserve">Table </w:t>
      </w:r>
      <w:fldSimple w:instr=" SEQ Table \* ARABIC ">
        <w:r w:rsidR="00050936">
          <w:rPr>
            <w:noProof/>
          </w:rPr>
          <w:t>119</w:t>
        </w:r>
      </w:fldSimple>
      <w:bookmarkEnd w:id="1066"/>
      <w:r>
        <w:tab/>
        <w:t xml:space="preserve">Sensitivity analysis, ICERs using </w:t>
      </w:r>
      <w:r w:rsidR="003A7C1F">
        <w:t>p</w:t>
      </w:r>
      <w:r>
        <w:t>rivate sector costs</w:t>
      </w:r>
      <w:bookmarkEnd w:id="1067"/>
      <w:bookmarkEnd w:id="1068"/>
      <w:bookmarkEnd w:id="1069"/>
    </w:p>
    <w:tbl>
      <w:tblPr>
        <w:tblStyle w:val="TableGrid"/>
        <w:tblW w:w="5000" w:type="pct"/>
        <w:tblLook w:val="04A0" w:firstRow="1" w:lastRow="0" w:firstColumn="1" w:lastColumn="0" w:noHBand="0" w:noVBand="1"/>
        <w:tblDescription w:val="Sensitivity analysis, ICERs using Private sector costs"/>
      </w:tblPr>
      <w:tblGrid>
        <w:gridCol w:w="7954"/>
        <w:gridCol w:w="1288"/>
      </w:tblGrid>
      <w:tr w:rsidR="002F2AFD" w:rsidRPr="0022067E" w14:paraId="4E04E3B1" w14:textId="77777777" w:rsidTr="00857B30">
        <w:trPr>
          <w:trHeight w:val="315"/>
          <w:tblHeader/>
        </w:trPr>
        <w:tc>
          <w:tcPr>
            <w:tcW w:w="4303" w:type="pct"/>
            <w:noWrap/>
          </w:tcPr>
          <w:p w14:paraId="39F0D5A7" w14:textId="77777777" w:rsidR="002F2AFD" w:rsidRPr="0022067E" w:rsidRDefault="002F2AFD" w:rsidP="004C79C1">
            <w:pPr>
              <w:pStyle w:val="TableHeading"/>
              <w:spacing w:before="0" w:after="120"/>
            </w:pPr>
            <w:r>
              <w:t>Cost-effectiveness</w:t>
            </w:r>
          </w:p>
        </w:tc>
        <w:tc>
          <w:tcPr>
            <w:tcW w:w="697" w:type="pct"/>
            <w:noWrap/>
          </w:tcPr>
          <w:p w14:paraId="6741451A" w14:textId="77777777" w:rsidR="002F2AFD" w:rsidRPr="0022067E" w:rsidRDefault="002F2AFD" w:rsidP="004C79C1">
            <w:pPr>
              <w:pStyle w:val="TableHeading"/>
              <w:spacing w:before="0" w:after="120"/>
              <w:jc w:val="center"/>
            </w:pPr>
            <w:r>
              <w:t>ICER</w:t>
            </w:r>
          </w:p>
        </w:tc>
      </w:tr>
      <w:tr w:rsidR="002F2AFD" w:rsidRPr="00B839C7" w14:paraId="0D5E798C" w14:textId="77777777" w:rsidTr="00857B30">
        <w:trPr>
          <w:trHeight w:val="330"/>
        </w:trPr>
        <w:tc>
          <w:tcPr>
            <w:tcW w:w="4303" w:type="pct"/>
            <w:noWrap/>
            <w:hideMark/>
          </w:tcPr>
          <w:p w14:paraId="2C9FD0B3" w14:textId="77777777" w:rsidR="002F2AFD" w:rsidRPr="00B839C7" w:rsidRDefault="002F2AFD" w:rsidP="004C79C1">
            <w:pPr>
              <w:pStyle w:val="Tabletext1"/>
              <w:spacing w:before="0" w:after="120"/>
            </w:pPr>
            <w:r w:rsidRPr="00B839C7">
              <w:rPr>
                <w:b/>
              </w:rPr>
              <w:t>Incremental cost per inappropriate patient management avoided (base-case)</w:t>
            </w:r>
          </w:p>
        </w:tc>
        <w:tc>
          <w:tcPr>
            <w:tcW w:w="697" w:type="pct"/>
            <w:noWrap/>
            <w:hideMark/>
          </w:tcPr>
          <w:p w14:paraId="0A161CE0" w14:textId="77777777" w:rsidR="002F2AFD" w:rsidRPr="00B839C7" w:rsidRDefault="002F2AFD" w:rsidP="004C79C1">
            <w:pPr>
              <w:pStyle w:val="Tabletext1"/>
              <w:spacing w:before="0" w:after="120"/>
              <w:ind w:right="237"/>
              <w:jc w:val="right"/>
            </w:pPr>
            <w:r w:rsidRPr="00B839C7">
              <w:rPr>
                <w:b/>
              </w:rPr>
              <w:t>$3,158</w:t>
            </w:r>
          </w:p>
        </w:tc>
      </w:tr>
      <w:tr w:rsidR="002F2AFD" w:rsidRPr="0022067E" w14:paraId="1B721775" w14:textId="77777777" w:rsidTr="00857B30">
        <w:trPr>
          <w:trHeight w:val="315"/>
        </w:trPr>
        <w:tc>
          <w:tcPr>
            <w:tcW w:w="4303" w:type="pct"/>
            <w:noWrap/>
            <w:hideMark/>
          </w:tcPr>
          <w:p w14:paraId="7C699DDD" w14:textId="77777777" w:rsidR="002F2AFD" w:rsidRPr="0022067E" w:rsidRDefault="002F2AFD" w:rsidP="004C79C1">
            <w:pPr>
              <w:pStyle w:val="Tabletext1"/>
              <w:spacing w:before="0" w:after="120"/>
            </w:pPr>
            <w:r w:rsidRPr="0022067E">
              <w:t>Incremental cost per inappropriate procedure avoided</w:t>
            </w:r>
          </w:p>
        </w:tc>
        <w:tc>
          <w:tcPr>
            <w:tcW w:w="697" w:type="pct"/>
            <w:noWrap/>
            <w:hideMark/>
          </w:tcPr>
          <w:p w14:paraId="7ADA155A" w14:textId="77777777" w:rsidR="002F2AFD" w:rsidRPr="0022067E" w:rsidRDefault="002F2AFD" w:rsidP="004C79C1">
            <w:pPr>
              <w:pStyle w:val="Tabletext1"/>
              <w:spacing w:before="0" w:after="120"/>
              <w:ind w:right="237"/>
              <w:jc w:val="right"/>
            </w:pPr>
            <w:r w:rsidRPr="000E2801">
              <w:t>$3,919</w:t>
            </w:r>
          </w:p>
        </w:tc>
      </w:tr>
      <w:tr w:rsidR="002F2AFD" w:rsidRPr="004127E4" w14:paraId="45F8F98C" w14:textId="77777777" w:rsidTr="00857B30">
        <w:trPr>
          <w:trHeight w:val="315"/>
        </w:trPr>
        <w:tc>
          <w:tcPr>
            <w:tcW w:w="4303" w:type="pct"/>
            <w:noWrap/>
            <w:hideMark/>
          </w:tcPr>
          <w:p w14:paraId="02FA9D6D" w14:textId="77777777" w:rsidR="002F2AFD" w:rsidRPr="005F66C3" w:rsidRDefault="002F2AFD" w:rsidP="004C79C1">
            <w:pPr>
              <w:pStyle w:val="Tabletext1"/>
              <w:spacing w:before="0" w:after="120"/>
              <w:rPr>
                <w:iCs/>
              </w:rPr>
            </w:pPr>
            <w:r w:rsidRPr="005F66C3">
              <w:rPr>
                <w:iCs/>
              </w:rPr>
              <w:t>Incremental cost per inappropriate implantable device avoided</w:t>
            </w:r>
          </w:p>
        </w:tc>
        <w:tc>
          <w:tcPr>
            <w:tcW w:w="697" w:type="pct"/>
            <w:noWrap/>
            <w:hideMark/>
          </w:tcPr>
          <w:p w14:paraId="637621BB" w14:textId="77777777" w:rsidR="002F2AFD" w:rsidRPr="004127E4" w:rsidRDefault="002F2AFD" w:rsidP="004C79C1">
            <w:pPr>
              <w:pStyle w:val="Tabletext1"/>
              <w:spacing w:before="0" w:after="120"/>
              <w:ind w:right="237"/>
              <w:jc w:val="right"/>
            </w:pPr>
            <w:r w:rsidRPr="004127E4">
              <w:t>$5,971</w:t>
            </w:r>
          </w:p>
        </w:tc>
      </w:tr>
      <w:tr w:rsidR="002F2AFD" w:rsidRPr="004127E4" w14:paraId="109F85C4" w14:textId="77777777" w:rsidTr="00857B30">
        <w:trPr>
          <w:trHeight w:val="315"/>
        </w:trPr>
        <w:tc>
          <w:tcPr>
            <w:tcW w:w="4303" w:type="pct"/>
            <w:noWrap/>
            <w:hideMark/>
          </w:tcPr>
          <w:p w14:paraId="7B8A4EF1" w14:textId="77777777" w:rsidR="002F2AFD" w:rsidRPr="005F66C3" w:rsidRDefault="002F2AFD" w:rsidP="004C79C1">
            <w:pPr>
              <w:pStyle w:val="Tabletext1"/>
              <w:spacing w:before="0" w:after="120"/>
              <w:rPr>
                <w:iCs/>
              </w:rPr>
            </w:pPr>
            <w:r w:rsidRPr="005F66C3">
              <w:rPr>
                <w:iCs/>
              </w:rPr>
              <w:t>Incremental cost per inappropriate cardiac surgery avoided</w:t>
            </w:r>
          </w:p>
        </w:tc>
        <w:tc>
          <w:tcPr>
            <w:tcW w:w="697" w:type="pct"/>
            <w:noWrap/>
            <w:hideMark/>
          </w:tcPr>
          <w:p w14:paraId="040360A6" w14:textId="77777777" w:rsidR="002F2AFD" w:rsidRPr="004127E4" w:rsidRDefault="002F2AFD" w:rsidP="004C79C1">
            <w:pPr>
              <w:pStyle w:val="Tabletext1"/>
              <w:spacing w:before="0" w:after="120"/>
              <w:ind w:right="237"/>
              <w:jc w:val="right"/>
            </w:pPr>
            <w:r w:rsidRPr="004127E4">
              <w:t>$11,407</w:t>
            </w:r>
          </w:p>
        </w:tc>
      </w:tr>
      <w:tr w:rsidR="002F2AFD" w:rsidRPr="00B605D0" w14:paraId="2121EF2C" w14:textId="77777777" w:rsidTr="00857B30">
        <w:trPr>
          <w:trHeight w:val="315"/>
        </w:trPr>
        <w:tc>
          <w:tcPr>
            <w:tcW w:w="4303" w:type="pct"/>
            <w:noWrap/>
            <w:hideMark/>
          </w:tcPr>
          <w:p w14:paraId="52DB724A" w14:textId="77777777" w:rsidR="002F2AFD" w:rsidRPr="00B605D0" w:rsidRDefault="002F2AFD" w:rsidP="004C79C1">
            <w:pPr>
              <w:pStyle w:val="Tabletext1"/>
              <w:spacing w:before="0" w:after="120"/>
              <w:rPr>
                <w:b/>
              </w:rPr>
            </w:pPr>
            <w:r w:rsidRPr="00B605D0">
              <w:rPr>
                <w:b/>
              </w:rPr>
              <w:t>Incremental cost per inappropriate patient management avoided</w:t>
            </w:r>
          </w:p>
        </w:tc>
        <w:tc>
          <w:tcPr>
            <w:tcW w:w="697" w:type="pct"/>
            <w:noWrap/>
            <w:hideMark/>
          </w:tcPr>
          <w:p w14:paraId="47BC62AA" w14:textId="77777777" w:rsidR="002F2AFD" w:rsidRPr="00B605D0" w:rsidRDefault="002F2AFD" w:rsidP="004C79C1">
            <w:pPr>
              <w:pStyle w:val="Tabletext1"/>
              <w:spacing w:before="0" w:after="120"/>
              <w:ind w:right="237"/>
              <w:jc w:val="right"/>
              <w:rPr>
                <w:b/>
              </w:rPr>
            </w:pPr>
            <w:r w:rsidRPr="00B605D0">
              <w:rPr>
                <w:b/>
              </w:rPr>
              <w:t>$2,188</w:t>
            </w:r>
          </w:p>
        </w:tc>
      </w:tr>
    </w:tbl>
    <w:p w14:paraId="2DE1358A" w14:textId="7FFAEAC5" w:rsidR="002F2AFD" w:rsidRPr="005F66C3" w:rsidRDefault="002F2AFD" w:rsidP="004C79C1">
      <w:pPr>
        <w:pStyle w:val="Tablenotes0"/>
        <w:spacing w:before="0" w:after="120"/>
      </w:pPr>
      <w:r w:rsidRPr="005F66C3">
        <w:t xml:space="preserve">CMR = cardiac magnetic resonance </w:t>
      </w:r>
      <w:r w:rsidR="002D3576">
        <w:t>(</w:t>
      </w:r>
      <w:r w:rsidRPr="005F66C3">
        <w:t>imaging</w:t>
      </w:r>
      <w:r w:rsidR="002D3576">
        <w:t>)</w:t>
      </w:r>
      <w:r w:rsidRPr="005F66C3">
        <w:t>; ICER = incremental cost-effectiveness ratio</w:t>
      </w:r>
    </w:p>
    <w:p w14:paraId="33CFBEB5" w14:textId="77777777" w:rsidR="002F2AFD" w:rsidRDefault="002F2AFD" w:rsidP="004C79C1">
      <w:pPr>
        <w:spacing w:after="120" w:line="240" w:lineRule="auto"/>
      </w:pPr>
    </w:p>
    <w:p w14:paraId="256A5FF9" w14:textId="63CF1348" w:rsidR="006C0851" w:rsidRPr="00183E4D" w:rsidRDefault="008F59A8" w:rsidP="004C79C1">
      <w:pPr>
        <w:pStyle w:val="Heading1"/>
        <w:spacing w:after="120" w:line="240" w:lineRule="auto"/>
        <w:jc w:val="both"/>
      </w:pPr>
      <w:bookmarkStart w:id="1070" w:name="_Toc451501451"/>
      <w:r w:rsidRPr="00183E4D">
        <w:lastRenderedPageBreak/>
        <w:t>References</w:t>
      </w:r>
      <w:bookmarkEnd w:id="900"/>
      <w:bookmarkEnd w:id="901"/>
      <w:bookmarkEnd w:id="1070"/>
      <w:r w:rsidRPr="00183E4D">
        <w:t xml:space="preserve"> </w:t>
      </w:r>
    </w:p>
    <w:p w14:paraId="28FE9F6D" w14:textId="0E691DE5" w:rsidR="00B906E9" w:rsidRPr="00627EBF" w:rsidRDefault="00187A29" w:rsidP="004C79C1">
      <w:pPr>
        <w:pStyle w:val="EndNoteBibliography"/>
        <w:spacing w:after="120"/>
        <w:jc w:val="both"/>
        <w:rPr>
          <w:rFonts w:asciiTheme="minorHAnsi" w:hAnsiTheme="minorHAnsi"/>
        </w:rPr>
      </w:pPr>
      <w:r w:rsidRPr="002B7CEB">
        <w:rPr>
          <w:rFonts w:asciiTheme="minorHAnsi" w:hAnsiTheme="minorHAnsi"/>
        </w:rPr>
        <w:fldChar w:fldCharType="begin"/>
      </w:r>
      <w:r w:rsidRPr="00627EBF">
        <w:rPr>
          <w:rFonts w:asciiTheme="minorHAnsi" w:hAnsiTheme="minorHAnsi"/>
        </w:rPr>
        <w:instrText xml:space="preserve"> ADDIN EN.REFLIST </w:instrText>
      </w:r>
      <w:r w:rsidRPr="002B7CEB">
        <w:rPr>
          <w:rFonts w:asciiTheme="minorHAnsi" w:hAnsiTheme="minorHAnsi"/>
        </w:rPr>
        <w:fldChar w:fldCharType="separate"/>
      </w:r>
      <w:bookmarkStart w:id="1071" w:name="_ENREF_1"/>
      <w:r w:rsidR="00B906E9" w:rsidRPr="00627EBF">
        <w:rPr>
          <w:rFonts w:asciiTheme="minorHAnsi" w:hAnsiTheme="minorHAnsi"/>
        </w:rPr>
        <w:t>Abassi</w:t>
      </w:r>
      <w:r w:rsidR="006F0D71" w:rsidRPr="00627EBF">
        <w:rPr>
          <w:rFonts w:asciiTheme="minorHAnsi" w:hAnsiTheme="minorHAnsi"/>
        </w:rPr>
        <w:t>,</w:t>
      </w:r>
      <w:r w:rsidR="00B906E9" w:rsidRPr="00627EBF">
        <w:rPr>
          <w:rFonts w:asciiTheme="minorHAnsi" w:hAnsiTheme="minorHAnsi"/>
        </w:rPr>
        <w:t xml:space="preserve"> SA, Ertel</w:t>
      </w:r>
      <w:r w:rsidR="006F0D71" w:rsidRPr="00627EBF">
        <w:rPr>
          <w:rFonts w:asciiTheme="minorHAnsi" w:hAnsiTheme="minorHAnsi"/>
        </w:rPr>
        <w:t>,</w:t>
      </w:r>
      <w:r w:rsidR="00B906E9" w:rsidRPr="00627EBF">
        <w:rPr>
          <w:rFonts w:asciiTheme="minorHAnsi" w:hAnsiTheme="minorHAnsi"/>
        </w:rPr>
        <w:t xml:space="preserve"> A, Shah</w:t>
      </w:r>
      <w:r w:rsidR="006F0D71" w:rsidRPr="00627EBF">
        <w:rPr>
          <w:rFonts w:asciiTheme="minorHAnsi" w:hAnsiTheme="minorHAnsi"/>
        </w:rPr>
        <w:t>,</w:t>
      </w:r>
      <w:r w:rsidR="00B906E9" w:rsidRPr="00627EBF">
        <w:rPr>
          <w:rFonts w:asciiTheme="minorHAnsi" w:hAnsiTheme="minorHAnsi"/>
        </w:rPr>
        <w:t xml:space="preserve"> RV, Dandekar</w:t>
      </w:r>
      <w:r w:rsidR="006F0D71" w:rsidRPr="00627EBF">
        <w:rPr>
          <w:rFonts w:asciiTheme="minorHAnsi" w:hAnsiTheme="minorHAnsi"/>
        </w:rPr>
        <w:t>,</w:t>
      </w:r>
      <w:r w:rsidR="00B906E9" w:rsidRPr="00627EBF">
        <w:rPr>
          <w:rFonts w:asciiTheme="minorHAnsi" w:hAnsiTheme="minorHAnsi"/>
        </w:rPr>
        <w:t xml:space="preserve"> V, Chung</w:t>
      </w:r>
      <w:r w:rsidR="006F0D71" w:rsidRPr="00627EBF">
        <w:rPr>
          <w:rFonts w:asciiTheme="minorHAnsi" w:hAnsiTheme="minorHAnsi"/>
        </w:rPr>
        <w:t>,</w:t>
      </w:r>
      <w:r w:rsidR="00B906E9" w:rsidRPr="00627EBF">
        <w:rPr>
          <w:rFonts w:asciiTheme="minorHAnsi" w:hAnsiTheme="minorHAnsi"/>
        </w:rPr>
        <w:t xml:space="preserve"> J, Bhat</w:t>
      </w:r>
      <w:r w:rsidR="006F0D71" w:rsidRPr="00627EBF">
        <w:rPr>
          <w:rFonts w:asciiTheme="minorHAnsi" w:hAnsiTheme="minorHAnsi"/>
        </w:rPr>
        <w:t>,</w:t>
      </w:r>
      <w:r w:rsidR="00B906E9" w:rsidRPr="00627EBF">
        <w:rPr>
          <w:rFonts w:asciiTheme="minorHAnsi" w:hAnsiTheme="minorHAnsi"/>
        </w:rPr>
        <w:t xml:space="preserve"> G, Desai</w:t>
      </w:r>
      <w:r w:rsidR="006F0D71" w:rsidRPr="00627EBF">
        <w:rPr>
          <w:rFonts w:asciiTheme="minorHAnsi" w:hAnsiTheme="minorHAnsi"/>
        </w:rPr>
        <w:t>,</w:t>
      </w:r>
      <w:r w:rsidR="00B906E9" w:rsidRPr="00627EBF">
        <w:rPr>
          <w:rFonts w:asciiTheme="minorHAnsi" w:hAnsiTheme="minorHAnsi"/>
        </w:rPr>
        <w:t xml:space="preserve"> AA, Kwoong</w:t>
      </w:r>
      <w:r w:rsidR="006F0D71" w:rsidRPr="00627EBF">
        <w:rPr>
          <w:rFonts w:asciiTheme="minorHAnsi" w:hAnsiTheme="minorHAnsi"/>
        </w:rPr>
        <w:t>,</w:t>
      </w:r>
      <w:r w:rsidR="00B906E9" w:rsidRPr="00627EBF">
        <w:rPr>
          <w:rFonts w:asciiTheme="minorHAnsi" w:hAnsiTheme="minorHAnsi"/>
        </w:rPr>
        <w:t xml:space="preserve"> RY &amp; Farzaneh-Far</w:t>
      </w:r>
      <w:r w:rsidR="006F0D71" w:rsidRPr="00627EBF">
        <w:rPr>
          <w:rFonts w:asciiTheme="minorHAnsi" w:hAnsiTheme="minorHAnsi"/>
        </w:rPr>
        <w:t>,</w:t>
      </w:r>
      <w:r w:rsidR="00B906E9" w:rsidRPr="00627EBF">
        <w:rPr>
          <w:rFonts w:asciiTheme="minorHAnsi" w:hAnsiTheme="minorHAnsi"/>
        </w:rPr>
        <w:t xml:space="preserve"> A 2013, 'Impact of a new cardiac magnetic resonance (CMR) program on management and clinical decision-making in cardiomyopathy patients'.</w:t>
      </w:r>
      <w:r w:rsidR="00990F41" w:rsidRPr="00627EBF">
        <w:rPr>
          <w:rFonts w:asciiTheme="minorHAnsi" w:hAnsiTheme="minorHAnsi"/>
        </w:rPr>
        <w:t xml:space="preserve"> </w:t>
      </w:r>
      <w:r w:rsidR="00990F41" w:rsidRPr="00627EBF">
        <w:rPr>
          <w:rFonts w:asciiTheme="minorHAnsi" w:hAnsiTheme="minorHAnsi"/>
          <w:i/>
        </w:rPr>
        <w:t>Journal of cardiovascular magnetic resonance</w:t>
      </w:r>
      <w:r w:rsidR="004E72C4" w:rsidRPr="00627EBF">
        <w:rPr>
          <w:rFonts w:asciiTheme="minorHAnsi" w:hAnsiTheme="minorHAnsi"/>
        </w:rPr>
        <w:t xml:space="preserve">, vol. 15, p. </w:t>
      </w:r>
      <w:r w:rsidR="00990F41" w:rsidRPr="00627EBF">
        <w:rPr>
          <w:rFonts w:asciiTheme="minorHAnsi" w:hAnsiTheme="minorHAnsi"/>
        </w:rPr>
        <w:t>89</w:t>
      </w:r>
      <w:r w:rsidR="004E72C4" w:rsidRPr="00627EBF">
        <w:rPr>
          <w:rFonts w:asciiTheme="minorHAnsi" w:hAnsiTheme="minorHAnsi"/>
        </w:rPr>
        <w:t>.</w:t>
      </w:r>
    </w:p>
    <w:p w14:paraId="10665BD9" w14:textId="15C19A3A" w:rsidR="00B906E9" w:rsidRPr="00627EBF" w:rsidRDefault="00B906E9" w:rsidP="004C79C1">
      <w:pPr>
        <w:pStyle w:val="EndNoteBibliography"/>
        <w:spacing w:after="120"/>
        <w:jc w:val="both"/>
        <w:rPr>
          <w:rFonts w:asciiTheme="minorHAnsi" w:hAnsiTheme="minorHAnsi"/>
        </w:rPr>
      </w:pPr>
      <w:bookmarkStart w:id="1072" w:name="_ENREF_2"/>
      <w:bookmarkEnd w:id="1071"/>
      <w:r w:rsidRPr="00627EBF">
        <w:rPr>
          <w:rFonts w:asciiTheme="minorHAnsi" w:hAnsiTheme="minorHAnsi"/>
        </w:rPr>
        <w:t xml:space="preserve">ACI 2014, </w:t>
      </w:r>
      <w:r w:rsidRPr="00627EBF">
        <w:rPr>
          <w:rFonts w:asciiTheme="minorHAnsi" w:hAnsiTheme="minorHAnsi"/>
          <w:i/>
        </w:rPr>
        <w:t>NSW guidelines on deactivation of ICD at the end of life</w:t>
      </w:r>
      <w:r w:rsidRPr="00627EBF">
        <w:rPr>
          <w:rFonts w:asciiTheme="minorHAnsi" w:hAnsiTheme="minorHAnsi"/>
        </w:rPr>
        <w:t>, NSW Agency for Clinical Innovation, viewed March 2014, &lt;</w:t>
      </w:r>
      <w:hyperlink r:id="rId109" w:history="1">
        <w:r w:rsidR="00A1530A" w:rsidRPr="00627EBF">
          <w:rPr>
            <w:rStyle w:val="Hyperlink"/>
            <w:rFonts w:asciiTheme="minorHAnsi" w:hAnsiTheme="minorHAnsi"/>
          </w:rPr>
          <w:t>ACI document weblink</w:t>
        </w:r>
      </w:hyperlink>
      <w:r w:rsidRPr="00627EBF">
        <w:rPr>
          <w:rFonts w:asciiTheme="minorHAnsi" w:hAnsiTheme="minorHAnsi"/>
        </w:rPr>
        <w:t>.</w:t>
      </w:r>
    </w:p>
    <w:p w14:paraId="3E5D2F48" w14:textId="73B34076" w:rsidR="00B906E9" w:rsidRPr="00627EBF" w:rsidRDefault="00B906E9" w:rsidP="004C79C1">
      <w:pPr>
        <w:pStyle w:val="EndNoteBibliography"/>
        <w:spacing w:after="120"/>
        <w:jc w:val="both"/>
        <w:rPr>
          <w:rFonts w:asciiTheme="minorHAnsi" w:hAnsiTheme="minorHAnsi"/>
        </w:rPr>
      </w:pPr>
      <w:bookmarkStart w:id="1073" w:name="_ENREF_3"/>
      <w:bookmarkEnd w:id="1072"/>
      <w:r w:rsidRPr="00627EBF">
        <w:rPr>
          <w:rFonts w:asciiTheme="minorHAnsi" w:hAnsiTheme="minorHAnsi"/>
        </w:rPr>
        <w:t xml:space="preserve">Adams, PC &amp; Barton, JC 2010, 'How I treat hemochromatosis', </w:t>
      </w:r>
      <w:r w:rsidRPr="00627EBF">
        <w:rPr>
          <w:rFonts w:asciiTheme="minorHAnsi" w:hAnsiTheme="minorHAnsi"/>
          <w:i/>
        </w:rPr>
        <w:t>Blood</w:t>
      </w:r>
      <w:r w:rsidRPr="00627EBF">
        <w:rPr>
          <w:rFonts w:asciiTheme="minorHAnsi" w:hAnsiTheme="minorHAnsi"/>
        </w:rPr>
        <w:t xml:space="preserve">, vol. 116, no. 3, </w:t>
      </w:r>
      <w:r w:rsidR="00EC3F31" w:rsidRPr="00627EBF">
        <w:rPr>
          <w:rFonts w:asciiTheme="minorHAnsi" w:hAnsiTheme="minorHAnsi"/>
        </w:rPr>
        <w:t>pp. 317–</w:t>
      </w:r>
      <w:r w:rsidRPr="00627EBF">
        <w:rPr>
          <w:rFonts w:asciiTheme="minorHAnsi" w:hAnsiTheme="minorHAnsi"/>
        </w:rPr>
        <w:t>325.</w:t>
      </w:r>
    </w:p>
    <w:bookmarkEnd w:id="1073"/>
    <w:p w14:paraId="5C373AEC" w14:textId="0B96F661" w:rsidR="009D4FDC" w:rsidRPr="002B7CEB" w:rsidRDefault="009D4FDC" w:rsidP="004C79C1">
      <w:pPr>
        <w:pStyle w:val="EndNoteBibliography"/>
        <w:spacing w:after="120"/>
        <w:jc w:val="both"/>
        <w:rPr>
          <w:rFonts w:asciiTheme="minorHAnsi" w:hAnsiTheme="minorHAnsi"/>
        </w:rPr>
      </w:pPr>
      <w:r w:rsidRPr="00627EBF">
        <w:rPr>
          <w:rFonts w:asciiTheme="minorHAnsi" w:hAnsiTheme="minorHAnsi"/>
        </w:rPr>
        <w:t>Afridi, HR 2015, 'Imaging i</w:t>
      </w:r>
      <w:r w:rsidR="00E36EC4" w:rsidRPr="00B64F30">
        <w:rPr>
          <w:rFonts w:asciiTheme="minorHAnsi" w:hAnsiTheme="minorHAnsi"/>
        </w:rPr>
        <w:t>n dilated c</w:t>
      </w:r>
      <w:r w:rsidRPr="002B7CEB">
        <w:rPr>
          <w:rFonts w:asciiTheme="minorHAnsi" w:hAnsiTheme="minorHAnsi"/>
        </w:rPr>
        <w:t xml:space="preserve">ardiomyopathy', </w:t>
      </w:r>
      <w:r w:rsidRPr="002B7CEB">
        <w:rPr>
          <w:rFonts w:asciiTheme="minorHAnsi" w:hAnsiTheme="minorHAnsi"/>
          <w:i/>
        </w:rPr>
        <w:t>Medscape</w:t>
      </w:r>
      <w:r w:rsidRPr="002B7CEB">
        <w:rPr>
          <w:rFonts w:asciiTheme="minorHAnsi" w:hAnsiTheme="minorHAnsi"/>
        </w:rPr>
        <w:t>, &lt;</w:t>
      </w:r>
      <w:hyperlink r:id="rId110" w:anchor="showall&gt;" w:history="1">
        <w:r w:rsidRPr="002B7CEB">
          <w:rPr>
            <w:rStyle w:val="Hyperlink"/>
            <w:rFonts w:asciiTheme="minorHAnsi" w:hAnsiTheme="minorHAnsi"/>
          </w:rPr>
          <w:t>http://emedicine.medscape.com/article/348284-overview#showall&gt;</w:t>
        </w:r>
      </w:hyperlink>
      <w:r w:rsidRPr="002B7CEB">
        <w:rPr>
          <w:rFonts w:asciiTheme="minorHAnsi" w:hAnsiTheme="minorHAnsi"/>
        </w:rPr>
        <w:t>.</w:t>
      </w:r>
    </w:p>
    <w:p w14:paraId="3F247683" w14:textId="3EDA0473" w:rsidR="00B906E9" w:rsidRPr="002B7CEB" w:rsidRDefault="00B906E9" w:rsidP="004C79C1">
      <w:pPr>
        <w:pStyle w:val="EndNoteBibliography"/>
        <w:spacing w:after="120"/>
        <w:jc w:val="both"/>
        <w:rPr>
          <w:rFonts w:asciiTheme="minorHAnsi" w:hAnsiTheme="minorHAnsi"/>
        </w:rPr>
      </w:pPr>
      <w:bookmarkStart w:id="1074" w:name="_ENREF_4"/>
      <w:r w:rsidRPr="002B7CEB">
        <w:rPr>
          <w:rFonts w:asciiTheme="minorHAnsi" w:hAnsiTheme="minorHAnsi"/>
        </w:rPr>
        <w:t xml:space="preserve">Almehmadi, F, Joncas, SX, Nevis, I, Zahrani, M, Bokhari, M, Stirrat, J, Fine, NM, Yee, R &amp; White, JA 2014, 'Prevalence of myocardial fibrosis patterns in patients with systolic dysfunction: prognostic significance for the prediction of sudden cardiac arrest or appropriate implantable cardiac defibrillator therapy', </w:t>
      </w:r>
      <w:r w:rsidRPr="002B7CEB">
        <w:rPr>
          <w:rFonts w:asciiTheme="minorHAnsi" w:hAnsiTheme="minorHAnsi"/>
          <w:i/>
        </w:rPr>
        <w:t>Circ</w:t>
      </w:r>
      <w:r w:rsidR="004B05C5" w:rsidRPr="002B7CEB">
        <w:rPr>
          <w:rFonts w:asciiTheme="minorHAnsi" w:hAnsiTheme="minorHAnsi"/>
          <w:i/>
        </w:rPr>
        <w:t>ulation:</w:t>
      </w:r>
      <w:r w:rsidRPr="002B7CEB">
        <w:rPr>
          <w:rFonts w:asciiTheme="minorHAnsi" w:hAnsiTheme="minorHAnsi"/>
          <w:i/>
        </w:rPr>
        <w:t xml:space="preserve"> Cardiovasc</w:t>
      </w:r>
      <w:r w:rsidR="004B05C5"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xml:space="preserve">, vol. 7, no. 4, </w:t>
      </w:r>
      <w:r w:rsidR="004B05C5" w:rsidRPr="002B7CEB">
        <w:rPr>
          <w:rFonts w:asciiTheme="minorHAnsi" w:hAnsiTheme="minorHAnsi"/>
        </w:rPr>
        <w:t>pp. 593–</w:t>
      </w:r>
      <w:r w:rsidRPr="002B7CEB">
        <w:rPr>
          <w:rFonts w:asciiTheme="minorHAnsi" w:hAnsiTheme="minorHAnsi"/>
        </w:rPr>
        <w:t>600.</w:t>
      </w:r>
    </w:p>
    <w:bookmarkEnd w:id="1074"/>
    <w:p w14:paraId="02270014" w14:textId="1BCEAA9D" w:rsidR="009761E0" w:rsidRPr="002B7CEB" w:rsidRDefault="009761E0" w:rsidP="004C79C1">
      <w:pPr>
        <w:pStyle w:val="EndNoteBibliography"/>
        <w:spacing w:after="120"/>
        <w:jc w:val="both"/>
        <w:rPr>
          <w:rFonts w:asciiTheme="minorHAnsi" w:hAnsiTheme="minorHAnsi"/>
        </w:rPr>
      </w:pPr>
      <w:r w:rsidRPr="002B7CEB">
        <w:rPr>
          <w:rFonts w:asciiTheme="minorHAnsi" w:hAnsiTheme="minorHAnsi"/>
        </w:rPr>
        <w:t xml:space="preserve">Armitage, P, Berry, G &amp; Matthews, JNS 2002, </w:t>
      </w:r>
      <w:r w:rsidRPr="002B7CEB">
        <w:rPr>
          <w:rFonts w:asciiTheme="minorHAnsi" w:hAnsiTheme="minorHAnsi"/>
          <w:i/>
        </w:rPr>
        <w:t>Statistical methods in medical research</w:t>
      </w:r>
      <w:r w:rsidRPr="002B7CEB">
        <w:rPr>
          <w:rFonts w:asciiTheme="minorHAnsi" w:hAnsiTheme="minorHAnsi"/>
        </w:rPr>
        <w:t xml:space="preserve">, </w:t>
      </w:r>
      <w:r w:rsidR="007E7FDE" w:rsidRPr="002B7CEB">
        <w:rPr>
          <w:rFonts w:asciiTheme="minorHAnsi" w:hAnsiTheme="minorHAnsi"/>
        </w:rPr>
        <w:t>4</w:t>
      </w:r>
      <w:r w:rsidRPr="002B7CEB">
        <w:rPr>
          <w:rFonts w:asciiTheme="minorHAnsi" w:hAnsiTheme="minorHAnsi"/>
        </w:rPr>
        <w:t>th edn, Blackwell Science, Oxford.</w:t>
      </w:r>
    </w:p>
    <w:p w14:paraId="10374AB7" w14:textId="143C1A37" w:rsidR="00B906E9" w:rsidRPr="002B7CEB" w:rsidRDefault="00B906E9" w:rsidP="004C79C1">
      <w:pPr>
        <w:pStyle w:val="EndNoteBibliography"/>
        <w:spacing w:after="120"/>
        <w:jc w:val="both"/>
        <w:rPr>
          <w:rFonts w:asciiTheme="minorHAnsi" w:hAnsiTheme="minorHAnsi"/>
        </w:rPr>
      </w:pPr>
      <w:bookmarkStart w:id="1075" w:name="_ENREF_5"/>
      <w:r w:rsidRPr="002B7CEB">
        <w:rPr>
          <w:rFonts w:asciiTheme="minorHAnsi" w:hAnsiTheme="minorHAnsi"/>
        </w:rPr>
        <w:t xml:space="preserve">Asferg, C, Usinger, L, Kristensen, TS &amp; Abdulla, J 2012, 'Accuracy of multi-slice computed tomography for measurement of left ventricular ejection fraction compared with cardiac magnetic resonance imaging and two-dimensional transthoracic echocardiography: a systematic review and meta-analysis', </w:t>
      </w:r>
      <w:r w:rsidRPr="002B7CEB">
        <w:rPr>
          <w:rFonts w:asciiTheme="minorHAnsi" w:hAnsiTheme="minorHAnsi"/>
          <w:i/>
        </w:rPr>
        <w:t>Eur</w:t>
      </w:r>
      <w:r w:rsidR="00F817B3" w:rsidRPr="002B7CEB">
        <w:rPr>
          <w:rFonts w:asciiTheme="minorHAnsi" w:hAnsiTheme="minorHAnsi"/>
          <w:i/>
        </w:rPr>
        <w:t>opean</w:t>
      </w:r>
      <w:r w:rsidRPr="002B7CEB">
        <w:rPr>
          <w:rFonts w:asciiTheme="minorHAnsi" w:hAnsiTheme="minorHAnsi"/>
          <w:i/>
        </w:rPr>
        <w:t xml:space="preserve"> J</w:t>
      </w:r>
      <w:r w:rsidR="00F817B3" w:rsidRPr="002B7CEB">
        <w:rPr>
          <w:rFonts w:asciiTheme="minorHAnsi" w:hAnsiTheme="minorHAnsi"/>
          <w:i/>
        </w:rPr>
        <w:t>ournal of</w:t>
      </w:r>
      <w:r w:rsidRPr="002B7CEB">
        <w:rPr>
          <w:rFonts w:asciiTheme="minorHAnsi" w:hAnsiTheme="minorHAnsi"/>
          <w:i/>
        </w:rPr>
        <w:t xml:space="preserve"> Radiol</w:t>
      </w:r>
      <w:r w:rsidR="00F817B3" w:rsidRPr="002B7CEB">
        <w:rPr>
          <w:rFonts w:asciiTheme="minorHAnsi" w:hAnsiTheme="minorHAnsi"/>
          <w:i/>
        </w:rPr>
        <w:t>ogy</w:t>
      </w:r>
      <w:r w:rsidRPr="002B7CEB">
        <w:rPr>
          <w:rFonts w:asciiTheme="minorHAnsi" w:hAnsiTheme="minorHAnsi"/>
        </w:rPr>
        <w:t xml:space="preserve">, vol. 81, no. 5, </w:t>
      </w:r>
      <w:r w:rsidR="00F817B3" w:rsidRPr="002B7CEB">
        <w:rPr>
          <w:rFonts w:asciiTheme="minorHAnsi" w:hAnsiTheme="minorHAnsi"/>
        </w:rPr>
        <w:t>pp. e757–</w:t>
      </w:r>
      <w:r w:rsidRPr="002B7CEB">
        <w:rPr>
          <w:rFonts w:asciiTheme="minorHAnsi" w:hAnsiTheme="minorHAnsi"/>
        </w:rPr>
        <w:t>762.</w:t>
      </w:r>
    </w:p>
    <w:p w14:paraId="41BA322D" w14:textId="109B2680" w:rsidR="00B906E9" w:rsidRPr="002B7CEB" w:rsidRDefault="00B906E9" w:rsidP="004C79C1">
      <w:pPr>
        <w:pStyle w:val="EndNoteBibliography"/>
        <w:spacing w:after="120"/>
        <w:jc w:val="both"/>
        <w:rPr>
          <w:rFonts w:asciiTheme="minorHAnsi" w:hAnsiTheme="minorHAnsi"/>
        </w:rPr>
      </w:pPr>
      <w:bookmarkStart w:id="1076" w:name="_ENREF_6"/>
      <w:bookmarkEnd w:id="1075"/>
      <w:r w:rsidRPr="002B7CEB">
        <w:rPr>
          <w:rFonts w:asciiTheme="minorHAnsi" w:hAnsiTheme="minorHAnsi"/>
        </w:rPr>
        <w:t xml:space="preserve">Assi, TB &amp; Baz, E 2014, 'Current applications of therapeutic phlebotomy', </w:t>
      </w:r>
      <w:r w:rsidRPr="002B7CEB">
        <w:rPr>
          <w:rFonts w:asciiTheme="minorHAnsi" w:hAnsiTheme="minorHAnsi"/>
          <w:i/>
        </w:rPr>
        <w:t>Blood Transfus</w:t>
      </w:r>
      <w:r w:rsidR="00F817B3" w:rsidRPr="002B7CEB">
        <w:rPr>
          <w:rFonts w:asciiTheme="minorHAnsi" w:hAnsiTheme="minorHAnsi"/>
          <w:i/>
        </w:rPr>
        <w:t>io</w:t>
      </w:r>
      <w:r w:rsidR="00EB0A89" w:rsidRPr="002B7CEB">
        <w:rPr>
          <w:rFonts w:asciiTheme="minorHAnsi" w:hAnsiTheme="minorHAnsi"/>
          <w:i/>
        </w:rPr>
        <w:t>n</w:t>
      </w:r>
      <w:r w:rsidRPr="002B7CEB">
        <w:rPr>
          <w:rFonts w:asciiTheme="minorHAnsi" w:hAnsiTheme="minorHAnsi"/>
        </w:rPr>
        <w:t>, vol. 12 Suppl</w:t>
      </w:r>
      <w:r w:rsidR="00947FD6" w:rsidRPr="002B7CEB">
        <w:rPr>
          <w:rFonts w:asciiTheme="minorHAnsi" w:hAnsiTheme="minorHAnsi"/>
        </w:rPr>
        <w:t>.</w:t>
      </w:r>
      <w:r w:rsidRPr="002B7CEB">
        <w:rPr>
          <w:rFonts w:asciiTheme="minorHAnsi" w:hAnsiTheme="minorHAnsi"/>
        </w:rPr>
        <w:t xml:space="preserve"> 1, </w:t>
      </w:r>
      <w:r w:rsidR="00F817B3" w:rsidRPr="002B7CEB">
        <w:rPr>
          <w:rFonts w:asciiTheme="minorHAnsi" w:hAnsiTheme="minorHAnsi"/>
        </w:rPr>
        <w:t>pp. s75–</w:t>
      </w:r>
      <w:r w:rsidRPr="002B7CEB">
        <w:rPr>
          <w:rFonts w:asciiTheme="minorHAnsi" w:hAnsiTheme="minorHAnsi"/>
        </w:rPr>
        <w:t>83.</w:t>
      </w:r>
    </w:p>
    <w:p w14:paraId="283EF60B" w14:textId="24396819" w:rsidR="00B906E9" w:rsidRPr="002B7CEB" w:rsidRDefault="00B906E9" w:rsidP="004C79C1">
      <w:pPr>
        <w:pStyle w:val="EndNoteBibliography"/>
        <w:spacing w:after="120"/>
        <w:jc w:val="both"/>
        <w:rPr>
          <w:rFonts w:asciiTheme="minorHAnsi" w:hAnsiTheme="minorHAnsi"/>
        </w:rPr>
      </w:pPr>
      <w:bookmarkStart w:id="1077" w:name="_ENREF_7"/>
      <w:bookmarkEnd w:id="1076"/>
      <w:r w:rsidRPr="002B7CEB">
        <w:rPr>
          <w:rFonts w:asciiTheme="minorHAnsi" w:hAnsiTheme="minorHAnsi"/>
        </w:rPr>
        <w:t>Assomull, RG, Prasad, SK, Lyne, J, Smith, G, Burman, ED, Khan, M, Sheppard, MN, Poole-Wilson, PA &amp; Pen</w:t>
      </w:r>
      <w:r w:rsidR="00C710C5" w:rsidRPr="002B7CEB">
        <w:rPr>
          <w:rFonts w:asciiTheme="minorHAnsi" w:hAnsiTheme="minorHAnsi"/>
        </w:rPr>
        <w:t>nell, DJ 2006, 'Cardiovascular magnetic resonance, fibrosis, and prognosis in dilated c</w:t>
      </w:r>
      <w:r w:rsidRPr="002B7CEB">
        <w:rPr>
          <w:rFonts w:asciiTheme="minorHAnsi" w:hAnsiTheme="minorHAnsi"/>
        </w:rPr>
        <w:t xml:space="preserve">ardiomyopathy', </w:t>
      </w:r>
      <w:r w:rsidRPr="002B7CEB">
        <w:rPr>
          <w:rFonts w:asciiTheme="minorHAnsi" w:hAnsiTheme="minorHAnsi"/>
          <w:i/>
        </w:rPr>
        <w:t>Journal of the American College of Cardiology</w:t>
      </w:r>
      <w:r w:rsidRPr="002B7CEB">
        <w:rPr>
          <w:rFonts w:asciiTheme="minorHAnsi" w:hAnsiTheme="minorHAnsi"/>
        </w:rPr>
        <w:t xml:space="preserve">, vol. 48, no. 10, </w:t>
      </w:r>
      <w:r w:rsidR="00C710C5" w:rsidRPr="002B7CEB">
        <w:rPr>
          <w:rFonts w:asciiTheme="minorHAnsi" w:hAnsiTheme="minorHAnsi"/>
        </w:rPr>
        <w:t>pp. 1977–</w:t>
      </w:r>
      <w:r w:rsidRPr="002B7CEB">
        <w:rPr>
          <w:rFonts w:asciiTheme="minorHAnsi" w:hAnsiTheme="minorHAnsi"/>
        </w:rPr>
        <w:t>1985.</w:t>
      </w:r>
    </w:p>
    <w:p w14:paraId="6CC58AD4" w14:textId="71D16BAF" w:rsidR="00B906E9" w:rsidRPr="002B7CEB" w:rsidRDefault="00B906E9" w:rsidP="004C79C1">
      <w:pPr>
        <w:pStyle w:val="EndNoteBibliography"/>
        <w:spacing w:after="120"/>
        <w:jc w:val="both"/>
        <w:rPr>
          <w:rFonts w:asciiTheme="minorHAnsi" w:hAnsiTheme="minorHAnsi"/>
        </w:rPr>
      </w:pPr>
      <w:bookmarkStart w:id="1078" w:name="_ENREF_8"/>
      <w:bookmarkEnd w:id="1077"/>
      <w:r w:rsidRPr="002B7CEB">
        <w:rPr>
          <w:rFonts w:asciiTheme="minorHAnsi" w:hAnsiTheme="minorHAnsi"/>
        </w:rPr>
        <w:t xml:space="preserve">Assomull, RG, Shakespeare, C, Kalra, PR, Lloyd, G, Gulati, A, Strange, J, Bradlow, WM, Lyne, J, Keegan, J, Poole-Wilson, P, Cowie, MR, Pennell, DJ &amp; Prasad, SK 2011, 'Role of cardiovascular magnetic resonance as a gatekeeper to invasive coronary angiography in patients presenting with heart failure of unknown etiology', </w:t>
      </w:r>
      <w:r w:rsidRPr="002B7CEB">
        <w:rPr>
          <w:rFonts w:asciiTheme="minorHAnsi" w:hAnsiTheme="minorHAnsi"/>
          <w:i/>
        </w:rPr>
        <w:t>Circulation</w:t>
      </w:r>
      <w:r w:rsidRPr="002B7CEB">
        <w:rPr>
          <w:rFonts w:asciiTheme="minorHAnsi" w:hAnsiTheme="minorHAnsi"/>
        </w:rPr>
        <w:t>, vol. 124, no. 12, pp. 1351</w:t>
      </w:r>
      <w:r w:rsidR="008A03AD" w:rsidRPr="002B7CEB">
        <w:rPr>
          <w:rFonts w:asciiTheme="minorHAnsi" w:hAnsiTheme="minorHAnsi"/>
        </w:rPr>
        <w:t>–</w:t>
      </w:r>
      <w:r w:rsidRPr="002B7CEB">
        <w:rPr>
          <w:rFonts w:asciiTheme="minorHAnsi" w:hAnsiTheme="minorHAnsi"/>
        </w:rPr>
        <w:t>1360.</w:t>
      </w:r>
    </w:p>
    <w:bookmarkEnd w:id="1078"/>
    <w:p w14:paraId="4BF7D447" w14:textId="77777777" w:rsidR="007640F4" w:rsidRPr="00EE326F" w:rsidRDefault="007640F4" w:rsidP="004C79C1">
      <w:pPr>
        <w:pStyle w:val="EndNoteBibliography"/>
        <w:spacing w:after="120"/>
        <w:jc w:val="both"/>
      </w:pPr>
      <w:r w:rsidRPr="002B7CEB">
        <w:rPr>
          <w:rFonts w:asciiTheme="minorHAnsi" w:hAnsiTheme="minorHAnsi"/>
        </w:rPr>
        <w:t>Australian Bureau of Statistics 2013, '3222.0 - Population Projections, Australia, 2012 (base) to 2101, Series B', Commonwealth of Australia, Canberra, viewed 17 December 2015, &lt;</w:t>
      </w:r>
      <w:hyperlink r:id="rId111" w:history="1">
        <w:r w:rsidRPr="002B7CEB">
          <w:rPr>
            <w:rStyle w:val="Hyperlink"/>
            <w:rFonts w:asciiTheme="minorHAnsi" w:hAnsiTheme="minorHAnsi"/>
          </w:rPr>
          <w:t>http://abs.gov.au/AUSSTATS/abs@.nsf/DetailsPage/3222.02012%20%28base%29%20to%202101?OpenDocument&gt;</w:t>
        </w:r>
      </w:hyperlink>
      <w:r w:rsidRPr="00B64F30">
        <w:t>.</w:t>
      </w:r>
    </w:p>
    <w:p w14:paraId="4B039E20" w14:textId="65199D6E" w:rsidR="00B906E9" w:rsidRPr="002B7CEB" w:rsidRDefault="00B906E9" w:rsidP="004C79C1">
      <w:pPr>
        <w:pStyle w:val="EndNoteBibliography"/>
        <w:spacing w:after="120"/>
        <w:jc w:val="both"/>
        <w:rPr>
          <w:rFonts w:asciiTheme="minorHAnsi" w:hAnsiTheme="minorHAnsi"/>
        </w:rPr>
      </w:pPr>
      <w:bookmarkStart w:id="1079" w:name="_ENREF_9"/>
      <w:r w:rsidRPr="002B7CEB">
        <w:rPr>
          <w:rFonts w:asciiTheme="minorHAnsi" w:hAnsiTheme="minorHAnsi"/>
        </w:rPr>
        <w:t>Bänsch, D, Antz, M, Boczor, S, Volkmer, M, Tebbenjohanns, J, Seidl, K, Block, M, Gietzen, F, Berger, J, Kuck, KH &amp; Inv</w:t>
      </w:r>
      <w:r w:rsidR="008A03AD" w:rsidRPr="002B7CEB">
        <w:rPr>
          <w:rFonts w:asciiTheme="minorHAnsi" w:hAnsiTheme="minorHAnsi"/>
        </w:rPr>
        <w:t>estigators, ftC 2002, 'Primary prevention of sudden cardiac death in idiopathic dilated c</w:t>
      </w:r>
      <w:r w:rsidR="00D52BC3" w:rsidRPr="002B7CEB">
        <w:rPr>
          <w:rFonts w:asciiTheme="minorHAnsi" w:hAnsiTheme="minorHAnsi"/>
        </w:rPr>
        <w:t>ardiomyopathy: t</w:t>
      </w:r>
      <w:r w:rsidRPr="002B7CEB">
        <w:rPr>
          <w:rFonts w:asciiTheme="minorHAnsi" w:hAnsiTheme="minorHAnsi"/>
        </w:rPr>
        <w:t xml:space="preserve">he Cardiomyopathy Trial (CAT)', </w:t>
      </w:r>
      <w:r w:rsidRPr="002B7CEB">
        <w:rPr>
          <w:rFonts w:asciiTheme="minorHAnsi" w:hAnsiTheme="minorHAnsi"/>
          <w:i/>
        </w:rPr>
        <w:t>Circulation</w:t>
      </w:r>
      <w:r w:rsidRPr="002B7CEB">
        <w:rPr>
          <w:rFonts w:asciiTheme="minorHAnsi" w:hAnsiTheme="minorHAnsi"/>
        </w:rPr>
        <w:t xml:space="preserve">, vol. 105, no. 12, </w:t>
      </w:r>
      <w:r w:rsidR="00D52BC3" w:rsidRPr="002B7CEB">
        <w:rPr>
          <w:rFonts w:asciiTheme="minorHAnsi" w:hAnsiTheme="minorHAnsi"/>
        </w:rPr>
        <w:t>2002, pp. 1453–</w:t>
      </w:r>
      <w:r w:rsidRPr="002B7CEB">
        <w:rPr>
          <w:rFonts w:asciiTheme="minorHAnsi" w:hAnsiTheme="minorHAnsi"/>
        </w:rPr>
        <w:t>1458.</w:t>
      </w:r>
    </w:p>
    <w:p w14:paraId="3B1D1287" w14:textId="6E25DFD0" w:rsidR="00B906E9" w:rsidRPr="002B7CEB" w:rsidRDefault="00B906E9" w:rsidP="004C79C1">
      <w:pPr>
        <w:pStyle w:val="EndNoteBibliography"/>
        <w:spacing w:after="120"/>
        <w:jc w:val="both"/>
        <w:rPr>
          <w:rFonts w:asciiTheme="minorHAnsi" w:hAnsiTheme="minorHAnsi"/>
        </w:rPr>
      </w:pPr>
      <w:bookmarkStart w:id="1080" w:name="_ENREF_10"/>
      <w:bookmarkEnd w:id="1079"/>
      <w:r w:rsidRPr="002B7CEB">
        <w:rPr>
          <w:rFonts w:asciiTheme="minorHAnsi" w:hAnsiTheme="minorHAnsi"/>
        </w:rPr>
        <w:t xml:space="preserve">Bardy, GH, Lee, KL, Mark, DB, Poole, JE, Packer, DL, Boineau, R, Domanski, M, Troutman, C, Anderson, J, Johnson, G, McNulty, SE, Clapp-Channing, N, Davidson-Ray, LD, Fraulo, ES, Fishbein, DP, Luceri, RM &amp; </w:t>
      </w:r>
      <w:r w:rsidR="00F519A3" w:rsidRPr="002B7CEB">
        <w:rPr>
          <w:rFonts w:asciiTheme="minorHAnsi" w:hAnsiTheme="minorHAnsi"/>
        </w:rPr>
        <w:t>Ip, JH 2005, 'Amiodarone or an implantable c</w:t>
      </w:r>
      <w:r w:rsidRPr="002B7CEB">
        <w:rPr>
          <w:rFonts w:asciiTheme="minorHAnsi" w:hAnsiTheme="minorHAnsi"/>
        </w:rPr>
        <w:t>ardioverter–</w:t>
      </w:r>
      <w:r w:rsidR="00F519A3" w:rsidRPr="002B7CEB">
        <w:rPr>
          <w:rFonts w:asciiTheme="minorHAnsi" w:hAnsiTheme="minorHAnsi"/>
        </w:rPr>
        <w:t>defibrillator for congestive heart f</w:t>
      </w:r>
      <w:r w:rsidRPr="002B7CEB">
        <w:rPr>
          <w:rFonts w:asciiTheme="minorHAnsi" w:hAnsiTheme="minorHAnsi"/>
        </w:rPr>
        <w:t xml:space="preserve">ailure', </w:t>
      </w:r>
      <w:r w:rsidRPr="002B7CEB">
        <w:rPr>
          <w:rFonts w:asciiTheme="minorHAnsi" w:hAnsiTheme="minorHAnsi"/>
          <w:i/>
        </w:rPr>
        <w:t>New England Journal of Medicine</w:t>
      </w:r>
      <w:r w:rsidR="00F519A3" w:rsidRPr="002B7CEB">
        <w:rPr>
          <w:rFonts w:asciiTheme="minorHAnsi" w:hAnsiTheme="minorHAnsi"/>
        </w:rPr>
        <w:t>, vol. 352, no. 3, pp. 225–</w:t>
      </w:r>
      <w:r w:rsidRPr="002B7CEB">
        <w:rPr>
          <w:rFonts w:asciiTheme="minorHAnsi" w:hAnsiTheme="minorHAnsi"/>
        </w:rPr>
        <w:t>237.</w:t>
      </w:r>
    </w:p>
    <w:p w14:paraId="00EC8D99" w14:textId="5E97C83C" w:rsidR="00B906E9" w:rsidRPr="002B7CEB" w:rsidRDefault="00B906E9" w:rsidP="004C79C1">
      <w:pPr>
        <w:pStyle w:val="EndNoteBibliography"/>
        <w:spacing w:after="120"/>
        <w:jc w:val="both"/>
        <w:rPr>
          <w:rFonts w:asciiTheme="minorHAnsi" w:hAnsiTheme="minorHAnsi"/>
        </w:rPr>
      </w:pPr>
      <w:bookmarkStart w:id="1081" w:name="_ENREF_11"/>
      <w:bookmarkEnd w:id="1080"/>
      <w:r w:rsidRPr="002B7CEB">
        <w:rPr>
          <w:rFonts w:asciiTheme="minorHAnsi" w:hAnsiTheme="minorHAnsi"/>
        </w:rPr>
        <w:t xml:space="preserve">Bohnen, S, Radunski, UK, Lund, GK, Kandolf, R, Stehning, C, Schnackenburg, B, Adam, G, Blankenberg, S &amp; Muellerleile, K 2015, 'Performance of t1 and t2 mapping cardiovascular magnetic resonance to detect active myocarditis in patients with recent-onset heart failure', </w:t>
      </w:r>
      <w:r w:rsidRPr="002B7CEB">
        <w:rPr>
          <w:rFonts w:asciiTheme="minorHAnsi" w:hAnsiTheme="minorHAnsi"/>
          <w:i/>
        </w:rPr>
        <w:t>Circ</w:t>
      </w:r>
      <w:r w:rsidR="00A33A15" w:rsidRPr="002B7CEB">
        <w:rPr>
          <w:rFonts w:asciiTheme="minorHAnsi" w:hAnsiTheme="minorHAnsi"/>
          <w:i/>
        </w:rPr>
        <w:t>ulation:</w:t>
      </w:r>
      <w:r w:rsidRPr="002B7CEB">
        <w:rPr>
          <w:rFonts w:asciiTheme="minorHAnsi" w:hAnsiTheme="minorHAnsi"/>
          <w:i/>
        </w:rPr>
        <w:t xml:space="preserve"> Cardiovasc</w:t>
      </w:r>
      <w:r w:rsidR="00A33A15" w:rsidRPr="002B7CEB">
        <w:rPr>
          <w:rFonts w:asciiTheme="minorHAnsi" w:hAnsiTheme="minorHAnsi"/>
          <w:i/>
        </w:rPr>
        <w:t>ular</w:t>
      </w:r>
      <w:r w:rsidRPr="002B7CEB">
        <w:rPr>
          <w:rFonts w:asciiTheme="minorHAnsi" w:hAnsiTheme="minorHAnsi"/>
          <w:i/>
        </w:rPr>
        <w:t xml:space="preserve"> Imaging</w:t>
      </w:r>
      <w:r w:rsidR="00A33A15" w:rsidRPr="002B7CEB">
        <w:rPr>
          <w:rFonts w:asciiTheme="minorHAnsi" w:hAnsiTheme="minorHAnsi"/>
        </w:rPr>
        <w:t>, vol. 8, no. 6</w:t>
      </w:r>
      <w:r w:rsidRPr="002B7CEB">
        <w:rPr>
          <w:rFonts w:asciiTheme="minorHAnsi" w:hAnsiTheme="minorHAnsi"/>
        </w:rPr>
        <w:t>.</w:t>
      </w:r>
    </w:p>
    <w:p w14:paraId="4B8BA896" w14:textId="0C4DD809" w:rsidR="00B906E9" w:rsidRPr="002B7CEB" w:rsidRDefault="00B906E9" w:rsidP="004C79C1">
      <w:pPr>
        <w:pStyle w:val="EndNoteBibliography"/>
        <w:spacing w:after="120"/>
        <w:jc w:val="both"/>
        <w:rPr>
          <w:rFonts w:asciiTheme="minorHAnsi" w:hAnsiTheme="minorHAnsi"/>
        </w:rPr>
      </w:pPr>
      <w:bookmarkStart w:id="1082" w:name="_ENREF_12"/>
      <w:bookmarkEnd w:id="1081"/>
      <w:r w:rsidRPr="002B7CEB">
        <w:rPr>
          <w:rFonts w:asciiTheme="minorHAnsi" w:hAnsiTheme="minorHAnsi"/>
        </w:rPr>
        <w:lastRenderedPageBreak/>
        <w:t xml:space="preserve">Boye, P, Abdel-Aty, H, Zacharzowsky, U, Bohl, S, Schwenke, C, van der Geest, RJ, Dietz, R, Schirdewan, A &amp; Schulz-Menger, J 2011, 'Prediction of life-threatening arrhythmic events in patients with chronic myocardial infarction by contrast-enhanced CMR', </w:t>
      </w:r>
      <w:r w:rsidRPr="002B7CEB">
        <w:rPr>
          <w:rFonts w:asciiTheme="minorHAnsi" w:hAnsiTheme="minorHAnsi"/>
          <w:i/>
        </w:rPr>
        <w:t>JACC Cardiovasc</w:t>
      </w:r>
      <w:r w:rsidR="00A33A15"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xml:space="preserve">, vol. 4, no. 8, </w:t>
      </w:r>
      <w:r w:rsidR="00A33A15" w:rsidRPr="002B7CEB">
        <w:rPr>
          <w:rFonts w:asciiTheme="minorHAnsi" w:hAnsiTheme="minorHAnsi"/>
        </w:rPr>
        <w:t>pp. 871–</w:t>
      </w:r>
      <w:r w:rsidRPr="002B7CEB">
        <w:rPr>
          <w:rFonts w:asciiTheme="minorHAnsi" w:hAnsiTheme="minorHAnsi"/>
        </w:rPr>
        <w:t>879.</w:t>
      </w:r>
    </w:p>
    <w:p w14:paraId="6BED4B28" w14:textId="606978BD" w:rsidR="00B906E9" w:rsidRPr="002B7CEB" w:rsidRDefault="00B906E9" w:rsidP="004C79C1">
      <w:pPr>
        <w:pStyle w:val="EndNoteBibliography"/>
        <w:spacing w:after="120"/>
        <w:jc w:val="both"/>
        <w:rPr>
          <w:rFonts w:asciiTheme="minorHAnsi" w:hAnsiTheme="minorHAnsi"/>
        </w:rPr>
      </w:pPr>
      <w:bookmarkStart w:id="1083" w:name="_ENREF_13"/>
      <w:bookmarkEnd w:id="1082"/>
      <w:r w:rsidRPr="002B7CEB">
        <w:rPr>
          <w:rFonts w:asciiTheme="minorHAnsi" w:hAnsiTheme="minorHAnsi"/>
        </w:rPr>
        <w:t xml:space="preserve">Bozkurt, B &amp; Mann, DL 2007, 'Dilated cardiomyopathy', in JT Willerson, JN Cohn, HJJ Wellens &amp; DR Holmes (eds), </w:t>
      </w:r>
      <w:r w:rsidR="007E7FDE" w:rsidRPr="002B7CEB">
        <w:rPr>
          <w:rFonts w:asciiTheme="minorHAnsi" w:hAnsiTheme="minorHAnsi"/>
          <w:i/>
        </w:rPr>
        <w:t>Cardiovascular m</w:t>
      </w:r>
      <w:r w:rsidRPr="002B7CEB">
        <w:rPr>
          <w:rFonts w:asciiTheme="minorHAnsi" w:hAnsiTheme="minorHAnsi"/>
          <w:i/>
        </w:rPr>
        <w:t>edicine</w:t>
      </w:r>
      <w:r w:rsidRPr="002B7CEB">
        <w:rPr>
          <w:rFonts w:asciiTheme="minorHAnsi" w:hAnsiTheme="minorHAnsi"/>
        </w:rPr>
        <w:t>, 3rd edn, Springer-Verlag, London.</w:t>
      </w:r>
    </w:p>
    <w:p w14:paraId="18F35667" w14:textId="77777777" w:rsidR="00B906E9" w:rsidRPr="002B7CEB" w:rsidRDefault="00B906E9" w:rsidP="004C79C1">
      <w:pPr>
        <w:pStyle w:val="EndNoteBibliography"/>
        <w:spacing w:after="120"/>
        <w:jc w:val="both"/>
        <w:rPr>
          <w:rFonts w:asciiTheme="minorHAnsi" w:hAnsiTheme="minorHAnsi"/>
        </w:rPr>
      </w:pPr>
      <w:bookmarkStart w:id="1084" w:name="_ENREF_14"/>
      <w:bookmarkEnd w:id="1083"/>
      <w:r w:rsidRPr="002B7CEB">
        <w:rPr>
          <w:rFonts w:asciiTheme="minorHAnsi" w:hAnsiTheme="minorHAnsi"/>
        </w:rPr>
        <w:t xml:space="preserve">Broch, K, Andreassen, AK, Hopp, E, Leren, TP, Scott, H, Muller, F, Aakhus, S &amp; Gullestad, L 2015, 'Results of comprehensive diagnostic work-up in 'idiopathic' dilated cardiomyopathy', </w:t>
      </w:r>
      <w:r w:rsidRPr="002B7CEB">
        <w:rPr>
          <w:rFonts w:asciiTheme="minorHAnsi" w:hAnsiTheme="minorHAnsi"/>
          <w:i/>
        </w:rPr>
        <w:t>Open Heart</w:t>
      </w:r>
      <w:r w:rsidRPr="002B7CEB">
        <w:rPr>
          <w:rFonts w:asciiTheme="minorHAnsi" w:hAnsiTheme="minorHAnsi"/>
        </w:rPr>
        <w:t>, vol. 2, no. 1, p. e000271.</w:t>
      </w:r>
    </w:p>
    <w:p w14:paraId="18B817EB" w14:textId="463728E5" w:rsidR="00B906E9" w:rsidRPr="002B7CEB" w:rsidRDefault="00B906E9" w:rsidP="004C79C1">
      <w:pPr>
        <w:pStyle w:val="EndNoteBibliography"/>
        <w:spacing w:after="120"/>
        <w:jc w:val="both"/>
        <w:rPr>
          <w:rFonts w:asciiTheme="minorHAnsi" w:hAnsiTheme="minorHAnsi"/>
        </w:rPr>
      </w:pPr>
      <w:bookmarkStart w:id="1085" w:name="_ENREF_15"/>
      <w:bookmarkEnd w:id="1084"/>
      <w:r w:rsidRPr="002B7CEB">
        <w:rPr>
          <w:rFonts w:asciiTheme="minorHAnsi" w:hAnsiTheme="minorHAnsi"/>
        </w:rPr>
        <w:t>Bruder</w:t>
      </w:r>
      <w:r w:rsidR="00201E34" w:rsidRPr="002B7CEB">
        <w:rPr>
          <w:rFonts w:asciiTheme="minorHAnsi" w:hAnsiTheme="minorHAnsi"/>
        </w:rPr>
        <w:t>,</w:t>
      </w:r>
      <w:r w:rsidRPr="002B7CEB">
        <w:rPr>
          <w:rFonts w:asciiTheme="minorHAnsi" w:hAnsiTheme="minorHAnsi"/>
        </w:rPr>
        <w:t xml:space="preserve"> O, Schneider S, Nothnagel D, Dill T, Hombach V, Schulz-Menger J, Nagel E, Lombardi M, van Rossum AC, Wagner A, Schwitter J, Senges J, Sabin GV, Sechtem U &amp; Mahrholdt H 2009, 'EuroCMR (European Cardiovascular Magnetic Resonance) registry: results of the German pilot phase', </w:t>
      </w:r>
      <w:r w:rsidRPr="002B7CEB">
        <w:rPr>
          <w:rFonts w:asciiTheme="minorHAnsi" w:hAnsiTheme="minorHAnsi"/>
          <w:i/>
        </w:rPr>
        <w:t>J</w:t>
      </w:r>
      <w:r w:rsidR="00201E34" w:rsidRPr="002B7CEB">
        <w:rPr>
          <w:rFonts w:asciiTheme="minorHAnsi" w:hAnsiTheme="minorHAnsi"/>
          <w:i/>
        </w:rPr>
        <w:t>ournal of the</w:t>
      </w:r>
      <w:r w:rsidRPr="002B7CEB">
        <w:rPr>
          <w:rFonts w:asciiTheme="minorHAnsi" w:hAnsiTheme="minorHAnsi"/>
          <w:i/>
        </w:rPr>
        <w:t xml:space="preserve"> Am</w:t>
      </w:r>
      <w:r w:rsidR="00201E34" w:rsidRPr="002B7CEB">
        <w:rPr>
          <w:rFonts w:asciiTheme="minorHAnsi" w:hAnsiTheme="minorHAnsi"/>
          <w:i/>
        </w:rPr>
        <w:t>erican</w:t>
      </w:r>
      <w:r w:rsidRPr="002B7CEB">
        <w:rPr>
          <w:rFonts w:asciiTheme="minorHAnsi" w:hAnsiTheme="minorHAnsi"/>
          <w:i/>
        </w:rPr>
        <w:t xml:space="preserve"> Coll</w:t>
      </w:r>
      <w:r w:rsidR="00201E34" w:rsidRPr="002B7CEB">
        <w:rPr>
          <w:rFonts w:asciiTheme="minorHAnsi" w:hAnsiTheme="minorHAnsi"/>
          <w:i/>
        </w:rPr>
        <w:t>ege of</w:t>
      </w:r>
      <w:r w:rsidRPr="002B7CEB">
        <w:rPr>
          <w:rFonts w:asciiTheme="minorHAnsi" w:hAnsiTheme="minorHAnsi"/>
          <w:i/>
        </w:rPr>
        <w:t xml:space="preserve"> Cardiol</w:t>
      </w:r>
      <w:r w:rsidR="00201E34" w:rsidRPr="002B7CEB">
        <w:rPr>
          <w:rFonts w:asciiTheme="minorHAnsi" w:hAnsiTheme="minorHAnsi"/>
          <w:i/>
        </w:rPr>
        <w:t>ogy</w:t>
      </w:r>
      <w:r w:rsidRPr="002B7CEB">
        <w:rPr>
          <w:rFonts w:asciiTheme="minorHAnsi" w:hAnsiTheme="minorHAnsi"/>
        </w:rPr>
        <w:t>, vol. 54, no. 15, pp. 1457</w:t>
      </w:r>
      <w:r w:rsidR="00265E72" w:rsidRPr="002B7CEB">
        <w:rPr>
          <w:rFonts w:asciiTheme="minorHAnsi" w:hAnsiTheme="minorHAnsi"/>
        </w:rPr>
        <w:t>–</w:t>
      </w:r>
      <w:r w:rsidRPr="002B7CEB">
        <w:rPr>
          <w:rFonts w:asciiTheme="minorHAnsi" w:hAnsiTheme="minorHAnsi"/>
        </w:rPr>
        <w:t>1466.</w:t>
      </w:r>
    </w:p>
    <w:p w14:paraId="03A5C0C6" w14:textId="4D28BE32" w:rsidR="00B906E9" w:rsidRPr="002B7CEB" w:rsidRDefault="00B906E9" w:rsidP="004C79C1">
      <w:pPr>
        <w:pStyle w:val="EndNoteBibliography"/>
        <w:spacing w:after="120"/>
        <w:jc w:val="both"/>
        <w:rPr>
          <w:rFonts w:asciiTheme="minorHAnsi" w:hAnsiTheme="minorHAnsi"/>
        </w:rPr>
      </w:pPr>
      <w:bookmarkStart w:id="1086" w:name="_ENREF_16"/>
      <w:bookmarkEnd w:id="1085"/>
      <w:r w:rsidRPr="002B7CEB">
        <w:rPr>
          <w:rFonts w:asciiTheme="minorHAnsi" w:hAnsiTheme="minorHAnsi"/>
        </w:rPr>
        <w:t>Bruder, O, Wagner, A, Lombardi, M, Schwitter, J, van Rossum, A, Pilz, G, Nothnagel, D, Steen, H, Petersen, S, Nagel, E, Prasad, S, Schumm, J, Greulich, S, Cagnolo, A, Monney, P, Deluigi, CC, Dill, T, Frank, H, Sabin, G, Schneider, S &amp; Mahrholdt, H 2013, 'European Cardiovascular Magnetic Resonance (EuroCMR) registry</w:t>
      </w:r>
      <w:r w:rsidR="006C16A6" w:rsidRPr="002B7CEB">
        <w:rPr>
          <w:rFonts w:asciiTheme="minorHAnsi" w:hAnsiTheme="minorHAnsi"/>
        </w:rPr>
        <w:t xml:space="preserve">: </w:t>
      </w:r>
      <w:r w:rsidRPr="002B7CEB">
        <w:rPr>
          <w:rFonts w:asciiTheme="minorHAnsi" w:hAnsiTheme="minorHAnsi"/>
        </w:rPr>
        <w:t xml:space="preserve">multi national results from 57 centers in 15 countries', </w:t>
      </w:r>
      <w:r w:rsidRPr="002B7CEB">
        <w:rPr>
          <w:rFonts w:asciiTheme="minorHAnsi" w:hAnsiTheme="minorHAnsi"/>
          <w:i/>
        </w:rPr>
        <w:t>J</w:t>
      </w:r>
      <w:r w:rsidR="006C16A6" w:rsidRPr="002B7CEB">
        <w:rPr>
          <w:rFonts w:asciiTheme="minorHAnsi" w:hAnsiTheme="minorHAnsi"/>
          <w:i/>
        </w:rPr>
        <w:t>ournal of</w:t>
      </w:r>
      <w:r w:rsidRPr="002B7CEB">
        <w:rPr>
          <w:rFonts w:asciiTheme="minorHAnsi" w:hAnsiTheme="minorHAnsi"/>
          <w:i/>
        </w:rPr>
        <w:t xml:space="preserve"> Cardiovasc</w:t>
      </w:r>
      <w:r w:rsidR="006C16A6" w:rsidRPr="002B7CEB">
        <w:rPr>
          <w:rFonts w:asciiTheme="minorHAnsi" w:hAnsiTheme="minorHAnsi"/>
          <w:i/>
        </w:rPr>
        <w:t>ular</w:t>
      </w:r>
      <w:r w:rsidRPr="002B7CEB">
        <w:rPr>
          <w:rFonts w:asciiTheme="minorHAnsi" w:hAnsiTheme="minorHAnsi"/>
          <w:i/>
        </w:rPr>
        <w:t xml:space="preserve"> Magn</w:t>
      </w:r>
      <w:r w:rsidR="006C16A6" w:rsidRPr="002B7CEB">
        <w:rPr>
          <w:rFonts w:asciiTheme="minorHAnsi" w:hAnsiTheme="minorHAnsi"/>
          <w:i/>
        </w:rPr>
        <w:t>etic</w:t>
      </w:r>
      <w:r w:rsidRPr="002B7CEB">
        <w:rPr>
          <w:rFonts w:asciiTheme="minorHAnsi" w:hAnsiTheme="minorHAnsi"/>
          <w:i/>
        </w:rPr>
        <w:t xml:space="preserve"> Reson</w:t>
      </w:r>
      <w:r w:rsidR="006C16A6" w:rsidRPr="002B7CEB">
        <w:rPr>
          <w:rFonts w:asciiTheme="minorHAnsi" w:hAnsiTheme="minorHAnsi"/>
          <w:i/>
        </w:rPr>
        <w:t>ance</w:t>
      </w:r>
      <w:r w:rsidRPr="002B7CEB">
        <w:rPr>
          <w:rFonts w:asciiTheme="minorHAnsi" w:hAnsiTheme="minorHAnsi"/>
        </w:rPr>
        <w:t>, vol. 15, p. 9.</w:t>
      </w:r>
    </w:p>
    <w:p w14:paraId="278A5435" w14:textId="7ED9A8F7" w:rsidR="00B906E9" w:rsidRPr="002B7CEB" w:rsidRDefault="00B906E9" w:rsidP="004C79C1">
      <w:pPr>
        <w:pStyle w:val="EndNoteBibliography"/>
        <w:spacing w:after="120"/>
        <w:jc w:val="both"/>
        <w:rPr>
          <w:rFonts w:asciiTheme="minorHAnsi" w:hAnsiTheme="minorHAnsi"/>
        </w:rPr>
      </w:pPr>
      <w:bookmarkStart w:id="1087" w:name="_ENREF_17"/>
      <w:bookmarkEnd w:id="1086"/>
      <w:r w:rsidRPr="002B7CEB">
        <w:rPr>
          <w:rFonts w:asciiTheme="minorHAnsi" w:hAnsiTheme="minorHAnsi"/>
        </w:rPr>
        <w:t xml:space="preserve">Burkhardt, T, Dimanski, B, Karl, R, Sievert, U, Karl, A, Hubler, C, Tonn, T, Sopvinik, I, Ertl, H &amp; Moog, R 2015, 'Donor vigilance data of a blood transfusion service: </w:t>
      </w:r>
      <w:r w:rsidR="0055687C" w:rsidRPr="002B7CEB">
        <w:rPr>
          <w:rFonts w:asciiTheme="minorHAnsi" w:hAnsiTheme="minorHAnsi"/>
        </w:rPr>
        <w:t>a</w:t>
      </w:r>
      <w:r w:rsidRPr="002B7CEB">
        <w:rPr>
          <w:rFonts w:asciiTheme="minorHAnsi" w:hAnsiTheme="minorHAnsi"/>
        </w:rPr>
        <w:t xml:space="preserve"> multicenter analysis', </w:t>
      </w:r>
      <w:r w:rsidRPr="002B7CEB">
        <w:rPr>
          <w:rFonts w:asciiTheme="minorHAnsi" w:hAnsiTheme="minorHAnsi"/>
          <w:i/>
        </w:rPr>
        <w:t>Transfus</w:t>
      </w:r>
      <w:r w:rsidR="00F81EDC" w:rsidRPr="002B7CEB">
        <w:rPr>
          <w:rFonts w:asciiTheme="minorHAnsi" w:hAnsiTheme="minorHAnsi"/>
          <w:i/>
        </w:rPr>
        <w:t>ion and</w:t>
      </w:r>
      <w:r w:rsidRPr="002B7CEB">
        <w:rPr>
          <w:rFonts w:asciiTheme="minorHAnsi" w:hAnsiTheme="minorHAnsi"/>
          <w:i/>
        </w:rPr>
        <w:t xml:space="preserve"> Apher</w:t>
      </w:r>
      <w:r w:rsidR="00F81EDC" w:rsidRPr="002B7CEB">
        <w:rPr>
          <w:rFonts w:asciiTheme="minorHAnsi" w:hAnsiTheme="minorHAnsi"/>
          <w:i/>
        </w:rPr>
        <w:t>esis</w:t>
      </w:r>
      <w:r w:rsidRPr="002B7CEB">
        <w:rPr>
          <w:rFonts w:asciiTheme="minorHAnsi" w:hAnsiTheme="minorHAnsi"/>
          <w:i/>
        </w:rPr>
        <w:t xml:space="preserve"> Sci</w:t>
      </w:r>
      <w:r w:rsidR="00F81EDC" w:rsidRPr="002B7CEB">
        <w:rPr>
          <w:rFonts w:asciiTheme="minorHAnsi" w:hAnsiTheme="minorHAnsi"/>
          <w:i/>
        </w:rPr>
        <w:t>ence</w:t>
      </w:r>
      <w:r w:rsidRPr="002B7CEB">
        <w:rPr>
          <w:rFonts w:asciiTheme="minorHAnsi" w:hAnsiTheme="minorHAnsi"/>
        </w:rPr>
        <w:t>, vol. 53, no. 2, pp. 180</w:t>
      </w:r>
      <w:r w:rsidR="00F81EDC" w:rsidRPr="002B7CEB">
        <w:rPr>
          <w:rFonts w:asciiTheme="minorHAnsi" w:hAnsiTheme="minorHAnsi"/>
        </w:rPr>
        <w:t>–</w:t>
      </w:r>
      <w:r w:rsidRPr="002B7CEB">
        <w:rPr>
          <w:rFonts w:asciiTheme="minorHAnsi" w:hAnsiTheme="minorHAnsi"/>
        </w:rPr>
        <w:t>184.</w:t>
      </w:r>
    </w:p>
    <w:p w14:paraId="5922CEF7" w14:textId="0A788479" w:rsidR="00B906E9" w:rsidRPr="002B7CEB" w:rsidRDefault="00B906E9" w:rsidP="004C79C1">
      <w:pPr>
        <w:pStyle w:val="EndNoteBibliography"/>
        <w:spacing w:after="120"/>
        <w:jc w:val="both"/>
        <w:rPr>
          <w:rFonts w:asciiTheme="minorHAnsi" w:hAnsiTheme="minorHAnsi"/>
        </w:rPr>
      </w:pPr>
      <w:bookmarkStart w:id="1088" w:name="_ENREF_18"/>
      <w:bookmarkEnd w:id="1087"/>
      <w:r w:rsidRPr="002B7CEB">
        <w:rPr>
          <w:rFonts w:asciiTheme="minorHAnsi" w:hAnsiTheme="minorHAnsi"/>
        </w:rPr>
        <w:t xml:space="preserve">Buss, SJ, Breuninger, K, Lehrke, S, Voss, A, Galuschky, C, Lossnitzer, D, Andre, F, Ehlermann, P, Franke, J, Taeger, T, Frankenstein, L, Steen, H, Meder, B, Giannitsis, E, Katus, HA &amp; Korosoglou, G 2015, 'Assessment of myocardial deformation with cardiac magnetic resonance strain imaging improves risk stratification in patients with dilated cardiomyopathy', </w:t>
      </w:r>
      <w:r w:rsidRPr="002B7CEB">
        <w:rPr>
          <w:rFonts w:asciiTheme="minorHAnsi" w:hAnsiTheme="minorHAnsi"/>
          <w:i/>
        </w:rPr>
        <w:t>European Heart Journal Cardiovascular Imaging</w:t>
      </w:r>
      <w:r w:rsidRPr="002B7CEB">
        <w:rPr>
          <w:rFonts w:asciiTheme="minorHAnsi" w:hAnsiTheme="minorHAnsi"/>
        </w:rPr>
        <w:t>, vol. 16, no. 3, pp. 307</w:t>
      </w:r>
      <w:r w:rsidR="008202C9" w:rsidRPr="002B7CEB">
        <w:rPr>
          <w:rFonts w:asciiTheme="minorHAnsi" w:hAnsiTheme="minorHAnsi"/>
        </w:rPr>
        <w:t>–</w:t>
      </w:r>
      <w:r w:rsidRPr="002B7CEB">
        <w:rPr>
          <w:rFonts w:asciiTheme="minorHAnsi" w:hAnsiTheme="minorHAnsi"/>
        </w:rPr>
        <w:t>315.</w:t>
      </w:r>
    </w:p>
    <w:p w14:paraId="0A09580E" w14:textId="1DD2463A" w:rsidR="00B906E9" w:rsidRPr="002B7CEB" w:rsidRDefault="00B906E9" w:rsidP="004C79C1">
      <w:pPr>
        <w:pStyle w:val="EndNoteBibliography"/>
        <w:spacing w:after="120"/>
        <w:jc w:val="both"/>
        <w:rPr>
          <w:rFonts w:asciiTheme="minorHAnsi" w:hAnsiTheme="minorHAnsi"/>
        </w:rPr>
      </w:pPr>
      <w:bookmarkStart w:id="1089" w:name="_ENREF_19"/>
      <w:bookmarkEnd w:id="1088"/>
      <w:r w:rsidRPr="002B7CEB">
        <w:rPr>
          <w:rFonts w:asciiTheme="minorHAnsi" w:hAnsiTheme="minorHAnsi"/>
        </w:rPr>
        <w:t xml:space="preserve">Caluk, J 2011, </w:t>
      </w:r>
      <w:r w:rsidRPr="002B7CEB">
        <w:rPr>
          <w:rFonts w:asciiTheme="minorHAnsi" w:hAnsiTheme="minorHAnsi"/>
          <w:i/>
        </w:rPr>
        <w:t xml:space="preserve">Procedural </w:t>
      </w:r>
      <w:r w:rsidR="00CD528E" w:rsidRPr="002B7CEB">
        <w:rPr>
          <w:rFonts w:asciiTheme="minorHAnsi" w:hAnsiTheme="minorHAnsi"/>
          <w:i/>
        </w:rPr>
        <w:t>t</w:t>
      </w:r>
      <w:r w:rsidRPr="002B7CEB">
        <w:rPr>
          <w:rFonts w:asciiTheme="minorHAnsi" w:hAnsiTheme="minorHAnsi"/>
          <w:i/>
        </w:rPr>
        <w:t xml:space="preserve">echniques of </w:t>
      </w:r>
      <w:r w:rsidR="00CD528E" w:rsidRPr="002B7CEB">
        <w:rPr>
          <w:rFonts w:asciiTheme="minorHAnsi" w:hAnsiTheme="minorHAnsi"/>
          <w:i/>
        </w:rPr>
        <w:t>c</w:t>
      </w:r>
      <w:r w:rsidRPr="002B7CEB">
        <w:rPr>
          <w:rFonts w:asciiTheme="minorHAnsi" w:hAnsiTheme="minorHAnsi"/>
          <w:i/>
        </w:rPr>
        <w:t xml:space="preserve">oronary </w:t>
      </w:r>
      <w:r w:rsidR="00CD528E" w:rsidRPr="002B7CEB">
        <w:rPr>
          <w:rFonts w:asciiTheme="minorHAnsi" w:hAnsiTheme="minorHAnsi"/>
          <w:i/>
        </w:rPr>
        <w:t>a</w:t>
      </w:r>
      <w:r w:rsidRPr="002B7CEB">
        <w:rPr>
          <w:rFonts w:asciiTheme="minorHAnsi" w:hAnsiTheme="minorHAnsi"/>
          <w:i/>
        </w:rPr>
        <w:t>ngiography</w:t>
      </w:r>
      <w:r w:rsidRPr="002B7CEB">
        <w:rPr>
          <w:rFonts w:asciiTheme="minorHAnsi" w:hAnsiTheme="minorHAnsi"/>
        </w:rPr>
        <w:t>, INTECH Open Access Publisher.</w:t>
      </w:r>
    </w:p>
    <w:p w14:paraId="5C4A4ED1" w14:textId="5D427C88" w:rsidR="00B906E9" w:rsidRPr="002B7CEB" w:rsidRDefault="00B906E9" w:rsidP="004C79C1">
      <w:pPr>
        <w:pStyle w:val="EndNoteBibliography"/>
        <w:spacing w:after="120"/>
        <w:jc w:val="both"/>
        <w:rPr>
          <w:rFonts w:asciiTheme="minorHAnsi" w:hAnsiTheme="minorHAnsi"/>
        </w:rPr>
      </w:pPr>
      <w:bookmarkStart w:id="1090" w:name="_ENREF_20"/>
      <w:bookmarkEnd w:id="1089"/>
      <w:r w:rsidRPr="002B7CEB">
        <w:rPr>
          <w:rFonts w:asciiTheme="minorHAnsi" w:hAnsiTheme="minorHAnsi"/>
        </w:rPr>
        <w:t xml:space="preserve">Carlsson, J, Paul, NW, Dann, M, Neuzner, J &amp; Pfeiffer, D 2012, 'The deactivation of implantable </w:t>
      </w:r>
      <w:r w:rsidR="0026063B">
        <w:rPr>
          <w:rFonts w:asciiTheme="minorHAnsi" w:hAnsiTheme="minorHAnsi"/>
        </w:rPr>
        <w:t>cardioverter defibrillator</w:t>
      </w:r>
      <w:r w:rsidRPr="002B7CEB">
        <w:rPr>
          <w:rFonts w:asciiTheme="minorHAnsi" w:hAnsiTheme="minorHAnsi"/>
        </w:rPr>
        <w:t xml:space="preserve">s: medical, ethical, practical, and legal considerations', </w:t>
      </w:r>
      <w:r w:rsidR="00A64FDE" w:rsidRPr="002B7CEB">
        <w:rPr>
          <w:rFonts w:asciiTheme="minorHAnsi" w:eastAsiaTheme="minorEastAsia" w:hAnsiTheme="minorHAnsi" w:cstheme="minorBidi"/>
          <w:i/>
          <w:iCs/>
          <w:noProof w:val="0"/>
          <w:lang w:eastAsia="en-US"/>
        </w:rPr>
        <w:t>Deutsches Ärzteblatt International</w:t>
      </w:r>
      <w:r w:rsidRPr="002B7CEB">
        <w:rPr>
          <w:rFonts w:asciiTheme="minorHAnsi" w:hAnsiTheme="minorHAnsi"/>
        </w:rPr>
        <w:t>, vol. 109, no. 33</w:t>
      </w:r>
      <w:r w:rsidR="00A64FDE" w:rsidRPr="002B7CEB">
        <w:rPr>
          <w:rFonts w:asciiTheme="minorHAnsi" w:hAnsiTheme="minorHAnsi"/>
        </w:rPr>
        <w:t>–</w:t>
      </w:r>
      <w:r w:rsidRPr="002B7CEB">
        <w:rPr>
          <w:rFonts w:asciiTheme="minorHAnsi" w:hAnsiTheme="minorHAnsi"/>
        </w:rPr>
        <w:t>34, pp. 535</w:t>
      </w:r>
      <w:r w:rsidR="00A64FDE" w:rsidRPr="002B7CEB">
        <w:rPr>
          <w:rFonts w:asciiTheme="minorHAnsi" w:hAnsiTheme="minorHAnsi"/>
        </w:rPr>
        <w:t>–</w:t>
      </w:r>
      <w:r w:rsidRPr="002B7CEB">
        <w:rPr>
          <w:rFonts w:asciiTheme="minorHAnsi" w:hAnsiTheme="minorHAnsi"/>
        </w:rPr>
        <w:t>541.</w:t>
      </w:r>
    </w:p>
    <w:p w14:paraId="44650739" w14:textId="3A22711C" w:rsidR="00B906E9" w:rsidRPr="002B7CEB" w:rsidRDefault="00B906E9" w:rsidP="004C79C1">
      <w:pPr>
        <w:pStyle w:val="EndNoteBibliography"/>
        <w:spacing w:after="120"/>
        <w:jc w:val="both"/>
        <w:rPr>
          <w:rFonts w:asciiTheme="minorHAnsi" w:hAnsiTheme="minorHAnsi"/>
        </w:rPr>
      </w:pPr>
      <w:bookmarkStart w:id="1091" w:name="_ENREF_21"/>
      <w:bookmarkEnd w:id="1090"/>
      <w:r w:rsidRPr="002B7CEB">
        <w:rPr>
          <w:rFonts w:asciiTheme="minorHAnsi" w:hAnsiTheme="minorHAnsi"/>
        </w:rPr>
        <w:t xml:space="preserve">Casolo, G, Minneci, S, Manta, R, Sulla, A, Del Meglio, J, Rega, L &amp; Gensini, G 2006, 'Identification of the ischemic etiology of heart failure by cardiovascular magnetic resonance imaging: diagnostic accuracy of late gadolinium enhancement', </w:t>
      </w:r>
      <w:r w:rsidRPr="002B7CEB">
        <w:rPr>
          <w:rFonts w:asciiTheme="minorHAnsi" w:hAnsiTheme="minorHAnsi"/>
          <w:i/>
        </w:rPr>
        <w:t>Am</w:t>
      </w:r>
      <w:r w:rsidR="00E0578F" w:rsidRPr="002B7CEB">
        <w:rPr>
          <w:rFonts w:asciiTheme="minorHAnsi" w:hAnsiTheme="minorHAnsi"/>
          <w:i/>
        </w:rPr>
        <w:t>ercian</w:t>
      </w:r>
      <w:r w:rsidRPr="002B7CEB">
        <w:rPr>
          <w:rFonts w:asciiTheme="minorHAnsi" w:hAnsiTheme="minorHAnsi"/>
          <w:i/>
        </w:rPr>
        <w:t xml:space="preserve"> Heart J</w:t>
      </w:r>
      <w:r w:rsidR="00E0578F" w:rsidRPr="002B7CEB">
        <w:rPr>
          <w:rFonts w:asciiTheme="minorHAnsi" w:hAnsiTheme="minorHAnsi"/>
          <w:i/>
        </w:rPr>
        <w:t>ournal</w:t>
      </w:r>
      <w:r w:rsidRPr="002B7CEB">
        <w:rPr>
          <w:rFonts w:asciiTheme="minorHAnsi" w:hAnsiTheme="minorHAnsi"/>
        </w:rPr>
        <w:t>, vol. 151, no. 1, pp. 101</w:t>
      </w:r>
      <w:r w:rsidR="00E0578F" w:rsidRPr="002B7CEB">
        <w:rPr>
          <w:rFonts w:asciiTheme="minorHAnsi" w:hAnsiTheme="minorHAnsi"/>
        </w:rPr>
        <w:t>–</w:t>
      </w:r>
      <w:r w:rsidRPr="002B7CEB">
        <w:rPr>
          <w:rFonts w:asciiTheme="minorHAnsi" w:hAnsiTheme="minorHAnsi"/>
        </w:rPr>
        <w:t>108.</w:t>
      </w:r>
    </w:p>
    <w:p w14:paraId="0B2A5B38" w14:textId="7DFACF13" w:rsidR="00B906E9" w:rsidRPr="002B7CEB" w:rsidRDefault="00B906E9" w:rsidP="004C79C1">
      <w:pPr>
        <w:pStyle w:val="EndNoteBibliography"/>
        <w:spacing w:after="120"/>
        <w:jc w:val="both"/>
        <w:rPr>
          <w:rFonts w:asciiTheme="minorHAnsi" w:hAnsiTheme="minorHAnsi"/>
        </w:rPr>
      </w:pPr>
      <w:bookmarkStart w:id="1092" w:name="_ENREF_22"/>
      <w:bookmarkEnd w:id="1091"/>
      <w:r w:rsidRPr="002B7CEB">
        <w:rPr>
          <w:rFonts w:asciiTheme="minorHAnsi" w:hAnsiTheme="minorHAnsi"/>
        </w:rPr>
        <w:t xml:space="preserve">Chen, HS, Wang, W, Wu, SN &amp; Liu, JP 2013, 'Corticosteroids for viral myocarditis', </w:t>
      </w:r>
      <w:r w:rsidRPr="002B7CEB">
        <w:rPr>
          <w:rFonts w:asciiTheme="minorHAnsi" w:hAnsiTheme="minorHAnsi"/>
          <w:i/>
        </w:rPr>
        <w:t>Cochrane Database Syst</w:t>
      </w:r>
      <w:r w:rsidR="001C16C9" w:rsidRPr="002B7CEB">
        <w:rPr>
          <w:rFonts w:asciiTheme="minorHAnsi" w:hAnsiTheme="minorHAnsi"/>
          <w:i/>
        </w:rPr>
        <w:t>ematic</w:t>
      </w:r>
      <w:r w:rsidRPr="002B7CEB">
        <w:rPr>
          <w:rFonts w:asciiTheme="minorHAnsi" w:hAnsiTheme="minorHAnsi"/>
          <w:i/>
        </w:rPr>
        <w:t xml:space="preserve"> Rev</w:t>
      </w:r>
      <w:r w:rsidR="001C16C9" w:rsidRPr="002B7CEB">
        <w:rPr>
          <w:rFonts w:asciiTheme="minorHAnsi" w:hAnsiTheme="minorHAnsi"/>
          <w:i/>
        </w:rPr>
        <w:t>iews</w:t>
      </w:r>
      <w:r w:rsidRPr="002B7CEB">
        <w:rPr>
          <w:rFonts w:asciiTheme="minorHAnsi" w:hAnsiTheme="minorHAnsi"/>
        </w:rPr>
        <w:t>, no. 10.</w:t>
      </w:r>
    </w:p>
    <w:p w14:paraId="43C274BD" w14:textId="55C9C470" w:rsidR="00B906E9" w:rsidRPr="002B7CEB" w:rsidRDefault="00B906E9" w:rsidP="004C79C1">
      <w:pPr>
        <w:pStyle w:val="EndNoteBibliography"/>
        <w:spacing w:after="120"/>
        <w:jc w:val="both"/>
        <w:rPr>
          <w:rFonts w:asciiTheme="minorHAnsi" w:hAnsiTheme="minorHAnsi"/>
        </w:rPr>
      </w:pPr>
      <w:bookmarkStart w:id="1093" w:name="_ENREF_23"/>
      <w:bookmarkEnd w:id="1092"/>
      <w:r w:rsidRPr="002B7CEB">
        <w:rPr>
          <w:rFonts w:asciiTheme="minorHAnsi" w:hAnsiTheme="minorHAnsi"/>
        </w:rPr>
        <w:t xml:space="preserve">Cheong, BY, Muthupillai, R, Wilson, JM, Sung, A, Huber, S, Amin, S, Elayda, MA, Lee, VV &amp; Flamm, SD 2009, 'Prognostic significance of delayed-enhancement magnetic resonance imaging: survival of 857 patients with and without left ventricular dysfunction', </w:t>
      </w:r>
      <w:r w:rsidRPr="002B7CEB">
        <w:rPr>
          <w:rFonts w:asciiTheme="minorHAnsi" w:hAnsiTheme="minorHAnsi"/>
          <w:i/>
        </w:rPr>
        <w:t>Circulation</w:t>
      </w:r>
      <w:r w:rsidRPr="002B7CEB">
        <w:rPr>
          <w:rFonts w:asciiTheme="minorHAnsi" w:hAnsiTheme="minorHAnsi"/>
        </w:rPr>
        <w:t>, vol. 120, no. 21, pp. 2069</w:t>
      </w:r>
      <w:r w:rsidR="00155672" w:rsidRPr="002B7CEB">
        <w:rPr>
          <w:rFonts w:asciiTheme="minorHAnsi" w:hAnsiTheme="minorHAnsi"/>
        </w:rPr>
        <w:t>–</w:t>
      </w:r>
      <w:r w:rsidRPr="002B7CEB">
        <w:rPr>
          <w:rFonts w:asciiTheme="minorHAnsi" w:hAnsiTheme="minorHAnsi"/>
        </w:rPr>
        <w:t>2076.</w:t>
      </w:r>
    </w:p>
    <w:p w14:paraId="37E0068C" w14:textId="6A93ADBE" w:rsidR="00B906E9" w:rsidRPr="002B7CEB" w:rsidRDefault="00B906E9" w:rsidP="004C79C1">
      <w:pPr>
        <w:pStyle w:val="EndNoteBibliography"/>
        <w:spacing w:after="120"/>
        <w:jc w:val="both"/>
        <w:rPr>
          <w:rFonts w:asciiTheme="minorHAnsi" w:hAnsiTheme="minorHAnsi"/>
        </w:rPr>
      </w:pPr>
      <w:bookmarkStart w:id="1094" w:name="_ENREF_24"/>
      <w:bookmarkEnd w:id="1093"/>
      <w:r w:rsidRPr="002B7CEB">
        <w:rPr>
          <w:rFonts w:asciiTheme="minorHAnsi" w:hAnsiTheme="minorHAnsi"/>
        </w:rPr>
        <w:t xml:space="preserve">Chimura, M, Kiuchi, K, Okajima, K, Shimane, A, Sawada, T, Onishi, T, Yamada, S, Taniguchi, Y, Yasaka, Y &amp; Kawai, H 2015, 'Distribution of ventricular fibrosis associated with life threatening ventricular tachyarrhythmias in patients with nonishcemic dilated cardiomyopathy', </w:t>
      </w:r>
      <w:r w:rsidRPr="002B7CEB">
        <w:rPr>
          <w:rFonts w:asciiTheme="minorHAnsi" w:hAnsiTheme="minorHAnsi"/>
          <w:i/>
        </w:rPr>
        <w:t>J</w:t>
      </w:r>
      <w:r w:rsidR="00155672" w:rsidRPr="002B7CEB">
        <w:rPr>
          <w:rFonts w:asciiTheme="minorHAnsi" w:hAnsiTheme="minorHAnsi"/>
          <w:i/>
        </w:rPr>
        <w:t>ournal of</w:t>
      </w:r>
      <w:r w:rsidRPr="002B7CEB">
        <w:rPr>
          <w:rFonts w:asciiTheme="minorHAnsi" w:hAnsiTheme="minorHAnsi"/>
          <w:i/>
        </w:rPr>
        <w:t xml:space="preserve"> Cardiovasc</w:t>
      </w:r>
      <w:r w:rsidR="00155672" w:rsidRPr="002B7CEB">
        <w:rPr>
          <w:rFonts w:asciiTheme="minorHAnsi" w:hAnsiTheme="minorHAnsi"/>
          <w:i/>
        </w:rPr>
        <w:t>ular</w:t>
      </w:r>
      <w:r w:rsidRPr="002B7CEB">
        <w:rPr>
          <w:rFonts w:asciiTheme="minorHAnsi" w:hAnsiTheme="minorHAnsi"/>
          <w:i/>
        </w:rPr>
        <w:t xml:space="preserve"> Electrophysiol</w:t>
      </w:r>
      <w:r w:rsidR="00155672" w:rsidRPr="002B7CEB">
        <w:rPr>
          <w:rFonts w:asciiTheme="minorHAnsi" w:hAnsiTheme="minorHAnsi"/>
          <w:i/>
        </w:rPr>
        <w:t>ogy</w:t>
      </w:r>
      <w:r w:rsidRPr="002B7CEB">
        <w:rPr>
          <w:rFonts w:asciiTheme="minorHAnsi" w:hAnsiTheme="minorHAnsi"/>
        </w:rPr>
        <w:t>, vol. 26, pp. 1239</w:t>
      </w:r>
      <w:r w:rsidR="00155672" w:rsidRPr="002B7CEB">
        <w:rPr>
          <w:rFonts w:asciiTheme="minorHAnsi" w:hAnsiTheme="minorHAnsi"/>
        </w:rPr>
        <w:t>–</w:t>
      </w:r>
      <w:r w:rsidRPr="002B7CEB">
        <w:rPr>
          <w:rFonts w:asciiTheme="minorHAnsi" w:hAnsiTheme="minorHAnsi"/>
        </w:rPr>
        <w:t>1246.</w:t>
      </w:r>
    </w:p>
    <w:p w14:paraId="0928B0B7" w14:textId="685B11A8" w:rsidR="00B906E9" w:rsidRPr="002B7CEB" w:rsidRDefault="00B906E9" w:rsidP="004C79C1">
      <w:pPr>
        <w:pStyle w:val="EndNoteBibliography"/>
        <w:spacing w:after="120"/>
        <w:jc w:val="both"/>
        <w:rPr>
          <w:rFonts w:asciiTheme="minorHAnsi" w:hAnsiTheme="minorHAnsi"/>
        </w:rPr>
      </w:pPr>
      <w:bookmarkStart w:id="1095" w:name="_ENREF_25"/>
      <w:bookmarkEnd w:id="1094"/>
      <w:r w:rsidRPr="002B7CEB">
        <w:rPr>
          <w:rFonts w:asciiTheme="minorHAnsi" w:hAnsiTheme="minorHAnsi"/>
        </w:rPr>
        <w:t xml:space="preserve">Cho, JR, Park, S, Choi, BW, Kang, SM, Ha, JW, Chung, N, Choe, KO, Cho, SY &amp; Rim, SJ 2010, 'Delayed enhancement magnetic resonance imaging is a significant prognostic factor in patients with non-ischemic cardiomyopathy', </w:t>
      </w:r>
      <w:r w:rsidRPr="002B7CEB">
        <w:rPr>
          <w:rFonts w:asciiTheme="minorHAnsi" w:hAnsiTheme="minorHAnsi"/>
          <w:i/>
        </w:rPr>
        <w:t>Circ</w:t>
      </w:r>
      <w:r w:rsidR="000C64FA" w:rsidRPr="002B7CEB">
        <w:rPr>
          <w:rFonts w:asciiTheme="minorHAnsi" w:hAnsiTheme="minorHAnsi"/>
          <w:i/>
        </w:rPr>
        <w:t>ulation</w:t>
      </w:r>
      <w:r w:rsidRPr="002B7CEB">
        <w:rPr>
          <w:rFonts w:asciiTheme="minorHAnsi" w:hAnsiTheme="minorHAnsi"/>
          <w:i/>
        </w:rPr>
        <w:t xml:space="preserve"> J</w:t>
      </w:r>
      <w:r w:rsidR="000C64FA" w:rsidRPr="002B7CEB">
        <w:rPr>
          <w:rFonts w:asciiTheme="minorHAnsi" w:hAnsiTheme="minorHAnsi"/>
          <w:i/>
        </w:rPr>
        <w:t>ournal</w:t>
      </w:r>
      <w:r w:rsidRPr="002B7CEB">
        <w:rPr>
          <w:rFonts w:asciiTheme="minorHAnsi" w:hAnsiTheme="minorHAnsi"/>
        </w:rPr>
        <w:t>, vol. 74, no. 3, pp. 476</w:t>
      </w:r>
      <w:r w:rsidR="000C64FA" w:rsidRPr="002B7CEB">
        <w:rPr>
          <w:rFonts w:asciiTheme="minorHAnsi" w:hAnsiTheme="minorHAnsi"/>
        </w:rPr>
        <w:t>–</w:t>
      </w:r>
      <w:r w:rsidRPr="002B7CEB">
        <w:rPr>
          <w:rFonts w:asciiTheme="minorHAnsi" w:hAnsiTheme="minorHAnsi"/>
        </w:rPr>
        <w:t>483.</w:t>
      </w:r>
    </w:p>
    <w:p w14:paraId="46F7BD64" w14:textId="03F6F0F1" w:rsidR="00B906E9" w:rsidRPr="002B7CEB" w:rsidRDefault="00B906E9" w:rsidP="004C79C1">
      <w:pPr>
        <w:pStyle w:val="EndNoteBibliography"/>
        <w:spacing w:after="120"/>
        <w:jc w:val="both"/>
        <w:rPr>
          <w:rFonts w:asciiTheme="minorHAnsi" w:hAnsiTheme="minorHAnsi"/>
        </w:rPr>
      </w:pPr>
      <w:bookmarkStart w:id="1096" w:name="_ENREF_26"/>
      <w:bookmarkEnd w:id="1095"/>
      <w:r w:rsidRPr="002B7CEB">
        <w:rPr>
          <w:rFonts w:asciiTheme="minorHAnsi" w:hAnsiTheme="minorHAnsi"/>
        </w:rPr>
        <w:lastRenderedPageBreak/>
        <w:t xml:space="preserve">Colquitt, JL, Mendes, D, Clegg, AJ, Harris, P, Cooper, K, Picot, J &amp; Bryant, J 2014, 'Implantable cardioverter defibrillators for the treatment of arrhythmias and cardiac resynchronisation therapy for the treatment of heart failure: systematic review and economic evaluation', </w:t>
      </w:r>
      <w:r w:rsidRPr="002B7CEB">
        <w:rPr>
          <w:rFonts w:asciiTheme="minorHAnsi" w:hAnsiTheme="minorHAnsi"/>
          <w:i/>
        </w:rPr>
        <w:t>Health Technol</w:t>
      </w:r>
      <w:r w:rsidR="000C64FA" w:rsidRPr="002B7CEB">
        <w:rPr>
          <w:rFonts w:asciiTheme="minorHAnsi" w:hAnsiTheme="minorHAnsi"/>
          <w:i/>
        </w:rPr>
        <w:t>ogy</w:t>
      </w:r>
      <w:r w:rsidRPr="002B7CEB">
        <w:rPr>
          <w:rFonts w:asciiTheme="minorHAnsi" w:hAnsiTheme="minorHAnsi"/>
          <w:i/>
        </w:rPr>
        <w:t xml:space="preserve"> Assess</w:t>
      </w:r>
      <w:r w:rsidR="000C64FA" w:rsidRPr="002B7CEB">
        <w:rPr>
          <w:rFonts w:asciiTheme="minorHAnsi" w:hAnsiTheme="minorHAnsi"/>
          <w:i/>
        </w:rPr>
        <w:t>ment</w:t>
      </w:r>
      <w:r w:rsidRPr="002B7CEB">
        <w:rPr>
          <w:rFonts w:asciiTheme="minorHAnsi" w:hAnsiTheme="minorHAnsi"/>
        </w:rPr>
        <w:t>, vol. 18, no. 56.</w:t>
      </w:r>
    </w:p>
    <w:p w14:paraId="16ABAAF7" w14:textId="0EA5C4D7" w:rsidR="00B906E9" w:rsidRPr="002B7CEB" w:rsidRDefault="00B906E9" w:rsidP="004C79C1">
      <w:pPr>
        <w:pStyle w:val="EndNoteBibliography"/>
        <w:spacing w:after="120"/>
        <w:jc w:val="both"/>
        <w:rPr>
          <w:rFonts w:asciiTheme="minorHAnsi" w:hAnsiTheme="minorHAnsi"/>
        </w:rPr>
      </w:pPr>
      <w:bookmarkStart w:id="1097" w:name="_ENREF_27"/>
      <w:bookmarkEnd w:id="1096"/>
      <w:r w:rsidRPr="002B7CEB">
        <w:rPr>
          <w:rFonts w:asciiTheme="minorHAnsi" w:hAnsiTheme="minorHAnsi"/>
        </w:rPr>
        <w:t xml:space="preserve">Cooper, LT 2015, </w:t>
      </w:r>
      <w:r w:rsidRPr="002B7CEB">
        <w:rPr>
          <w:rFonts w:asciiTheme="minorHAnsi" w:hAnsiTheme="minorHAnsi"/>
          <w:i/>
        </w:rPr>
        <w:t>Endomyocardial biopsy</w:t>
      </w:r>
      <w:r w:rsidRPr="002B7CEB">
        <w:rPr>
          <w:rFonts w:asciiTheme="minorHAnsi" w:hAnsiTheme="minorHAnsi"/>
        </w:rPr>
        <w:t>,</w:t>
      </w:r>
      <w:r w:rsidR="00227713">
        <w:rPr>
          <w:rFonts w:asciiTheme="minorHAnsi" w:hAnsiTheme="minorHAnsi"/>
        </w:rPr>
        <w:t xml:space="preserve"> UpToDate, viewed Mar 23 2016, </w:t>
      </w:r>
      <w:hyperlink r:id="rId112" w:anchor="H20&gt;" w:history="1">
        <w:r w:rsidR="00227713">
          <w:rPr>
            <w:rStyle w:val="Hyperlink"/>
            <w:rFonts w:asciiTheme="minorHAnsi" w:hAnsiTheme="minorHAnsi"/>
          </w:rPr>
          <w:t>www.uptodate.com</w:t>
        </w:r>
      </w:hyperlink>
      <w:r w:rsidRPr="002B7CEB">
        <w:rPr>
          <w:rFonts w:asciiTheme="minorHAnsi" w:hAnsiTheme="minorHAnsi"/>
        </w:rPr>
        <w:t>.</w:t>
      </w:r>
    </w:p>
    <w:p w14:paraId="1B76399F" w14:textId="0B28FEE6" w:rsidR="00B906E9" w:rsidRPr="002B7CEB" w:rsidRDefault="00B906E9" w:rsidP="004C79C1">
      <w:pPr>
        <w:pStyle w:val="EndNoteBibliography"/>
        <w:spacing w:after="120"/>
        <w:jc w:val="both"/>
        <w:rPr>
          <w:rFonts w:asciiTheme="minorHAnsi" w:hAnsiTheme="minorHAnsi"/>
        </w:rPr>
      </w:pPr>
      <w:bookmarkStart w:id="1098" w:name="_ENREF_29"/>
      <w:bookmarkEnd w:id="1097"/>
      <w:r w:rsidRPr="002B7CEB">
        <w:rPr>
          <w:rFonts w:asciiTheme="minorHAnsi" w:hAnsiTheme="minorHAnsi"/>
        </w:rPr>
        <w:t xml:space="preserve">Cooper, LT, Baughman, KL, Feldman, AM, Frustaci, A, Jessup, M, Kuhl, U, Levine, GN, Narula, J, Starling, RC, Towbin, J </w:t>
      </w:r>
      <w:r w:rsidR="00853743" w:rsidRPr="002B7CEB">
        <w:rPr>
          <w:rFonts w:asciiTheme="minorHAnsi" w:hAnsiTheme="minorHAnsi"/>
        </w:rPr>
        <w:t xml:space="preserve">&amp; </w:t>
      </w:r>
      <w:r w:rsidRPr="002B7CEB">
        <w:rPr>
          <w:rFonts w:asciiTheme="minorHAnsi" w:hAnsiTheme="minorHAnsi"/>
        </w:rPr>
        <w:t xml:space="preserve">Virmani, R 2007, 'The role of endomyocardial biopsy in the management of cardiovascular disease: a scientific statement from the American Heart Association, the American College of Cardiology, and the European Society of Cardiology. Endorsed by the Heart Failure Society of America and the Heart Failure Association of the European Society of Cardiology', </w:t>
      </w:r>
      <w:r w:rsidRPr="002B7CEB">
        <w:rPr>
          <w:rFonts w:asciiTheme="minorHAnsi" w:hAnsiTheme="minorHAnsi"/>
          <w:i/>
        </w:rPr>
        <w:t>J</w:t>
      </w:r>
      <w:r w:rsidR="00853743" w:rsidRPr="002B7CEB">
        <w:rPr>
          <w:rFonts w:asciiTheme="minorHAnsi" w:hAnsiTheme="minorHAnsi"/>
          <w:i/>
        </w:rPr>
        <w:t>ournal of the</w:t>
      </w:r>
      <w:r w:rsidRPr="002B7CEB">
        <w:rPr>
          <w:rFonts w:asciiTheme="minorHAnsi" w:hAnsiTheme="minorHAnsi"/>
          <w:i/>
        </w:rPr>
        <w:t xml:space="preserve"> Am</w:t>
      </w:r>
      <w:r w:rsidR="00853743" w:rsidRPr="002B7CEB">
        <w:rPr>
          <w:rFonts w:asciiTheme="minorHAnsi" w:hAnsiTheme="minorHAnsi"/>
          <w:i/>
        </w:rPr>
        <w:t>erican</w:t>
      </w:r>
      <w:r w:rsidRPr="002B7CEB">
        <w:rPr>
          <w:rFonts w:asciiTheme="minorHAnsi" w:hAnsiTheme="minorHAnsi"/>
          <w:i/>
        </w:rPr>
        <w:t xml:space="preserve"> Coll</w:t>
      </w:r>
      <w:r w:rsidR="00853743" w:rsidRPr="002B7CEB">
        <w:rPr>
          <w:rFonts w:asciiTheme="minorHAnsi" w:hAnsiTheme="minorHAnsi"/>
          <w:i/>
        </w:rPr>
        <w:t>ege of</w:t>
      </w:r>
      <w:r w:rsidRPr="002B7CEB">
        <w:rPr>
          <w:rFonts w:asciiTheme="minorHAnsi" w:hAnsiTheme="minorHAnsi"/>
          <w:i/>
        </w:rPr>
        <w:t xml:space="preserve"> Cardiol</w:t>
      </w:r>
      <w:r w:rsidR="00853743" w:rsidRPr="002B7CEB">
        <w:rPr>
          <w:rFonts w:asciiTheme="minorHAnsi" w:hAnsiTheme="minorHAnsi"/>
          <w:i/>
        </w:rPr>
        <w:t>ogy</w:t>
      </w:r>
      <w:r w:rsidRPr="002B7CEB">
        <w:rPr>
          <w:rFonts w:asciiTheme="minorHAnsi" w:hAnsiTheme="minorHAnsi"/>
        </w:rPr>
        <w:t>, vol. 50, no. 19, pp. 1914</w:t>
      </w:r>
      <w:r w:rsidR="008D5A26" w:rsidRPr="002B7CEB">
        <w:rPr>
          <w:rFonts w:asciiTheme="minorHAnsi" w:hAnsiTheme="minorHAnsi"/>
        </w:rPr>
        <w:t>–</w:t>
      </w:r>
      <w:r w:rsidRPr="002B7CEB">
        <w:rPr>
          <w:rFonts w:asciiTheme="minorHAnsi" w:hAnsiTheme="minorHAnsi"/>
        </w:rPr>
        <w:t>1931.</w:t>
      </w:r>
    </w:p>
    <w:bookmarkEnd w:id="1098"/>
    <w:p w14:paraId="29CC27B4" w14:textId="3EC76C76" w:rsidR="00A92D4B" w:rsidRPr="002B7CEB" w:rsidRDefault="00A92D4B" w:rsidP="004C79C1">
      <w:pPr>
        <w:pStyle w:val="EndNoteBibliography"/>
        <w:spacing w:after="120"/>
        <w:jc w:val="both"/>
        <w:rPr>
          <w:rFonts w:asciiTheme="minorHAnsi" w:hAnsiTheme="minorHAnsi"/>
        </w:rPr>
      </w:pPr>
      <w:r w:rsidRPr="002B7CEB">
        <w:rPr>
          <w:rFonts w:asciiTheme="minorHAnsi" w:hAnsiTheme="minorHAnsi"/>
        </w:rPr>
        <w:t xml:space="preserve">Deeks, JJ 2001, 'Systematic reviews of evaluations of diagnostic and screening tests', in M Egger, G Davey Smith &amp; DG Altman (eds), </w:t>
      </w:r>
      <w:r w:rsidRPr="002B7CEB">
        <w:rPr>
          <w:rFonts w:asciiTheme="minorHAnsi" w:hAnsiTheme="minorHAnsi"/>
          <w:i/>
        </w:rPr>
        <w:t>Sy</w:t>
      </w:r>
      <w:r w:rsidR="008D5A26" w:rsidRPr="002B7CEB">
        <w:rPr>
          <w:rFonts w:asciiTheme="minorHAnsi" w:hAnsiTheme="minorHAnsi"/>
          <w:i/>
        </w:rPr>
        <w:t>stematic reviews in healthcare: meta-analysis in c</w:t>
      </w:r>
      <w:r w:rsidRPr="002B7CEB">
        <w:rPr>
          <w:rFonts w:asciiTheme="minorHAnsi" w:hAnsiTheme="minorHAnsi"/>
          <w:i/>
        </w:rPr>
        <w:t>ontext</w:t>
      </w:r>
      <w:r w:rsidRPr="002B7CEB">
        <w:rPr>
          <w:rFonts w:asciiTheme="minorHAnsi" w:hAnsiTheme="minorHAnsi"/>
        </w:rPr>
        <w:t xml:space="preserve">, </w:t>
      </w:r>
      <w:r w:rsidR="008D5A26" w:rsidRPr="002B7CEB">
        <w:rPr>
          <w:rFonts w:asciiTheme="minorHAnsi" w:hAnsiTheme="minorHAnsi"/>
        </w:rPr>
        <w:t>2</w:t>
      </w:r>
      <w:r w:rsidRPr="002B7CEB">
        <w:rPr>
          <w:rFonts w:asciiTheme="minorHAnsi" w:hAnsiTheme="minorHAnsi"/>
        </w:rPr>
        <w:t>nd edn, BMJ Publishing Group, London, pp. 248–282.</w:t>
      </w:r>
    </w:p>
    <w:p w14:paraId="3D8175BF" w14:textId="19921E74" w:rsidR="00B906E9" w:rsidRPr="002B7CEB" w:rsidRDefault="00B906E9" w:rsidP="004C79C1">
      <w:pPr>
        <w:pStyle w:val="EndNoteBibliography"/>
        <w:spacing w:after="120"/>
        <w:jc w:val="both"/>
        <w:rPr>
          <w:rFonts w:asciiTheme="minorHAnsi" w:hAnsiTheme="minorHAnsi"/>
        </w:rPr>
      </w:pPr>
      <w:bookmarkStart w:id="1099" w:name="_ENREF_30"/>
      <w:r w:rsidRPr="002B7CEB">
        <w:rPr>
          <w:rFonts w:asciiTheme="minorHAnsi" w:hAnsiTheme="minorHAnsi"/>
        </w:rPr>
        <w:t xml:space="preserve">de Haan, S, Meijers, TA, Knaapen, P, Beek, AM, van Rossum, AC &amp; Allaart, CP 2011, 'Scar size and characteristics assessed by CMR predict ventricular arrhythmias in ischaemic cardiomyopathy: comparison of previously validated models', </w:t>
      </w:r>
      <w:r w:rsidRPr="002B7CEB">
        <w:rPr>
          <w:rFonts w:asciiTheme="minorHAnsi" w:hAnsiTheme="minorHAnsi"/>
          <w:i/>
        </w:rPr>
        <w:t>Heart</w:t>
      </w:r>
      <w:r w:rsidRPr="002B7CEB">
        <w:rPr>
          <w:rFonts w:asciiTheme="minorHAnsi" w:hAnsiTheme="minorHAnsi"/>
        </w:rPr>
        <w:t>, vol. 97, no. 23, pp. 1951</w:t>
      </w:r>
      <w:r w:rsidR="0074416C" w:rsidRPr="002B7CEB">
        <w:rPr>
          <w:rFonts w:asciiTheme="minorHAnsi" w:hAnsiTheme="minorHAnsi"/>
        </w:rPr>
        <w:t>–</w:t>
      </w:r>
      <w:r w:rsidRPr="002B7CEB">
        <w:rPr>
          <w:rFonts w:asciiTheme="minorHAnsi" w:hAnsiTheme="minorHAnsi"/>
        </w:rPr>
        <w:t>1956.</w:t>
      </w:r>
    </w:p>
    <w:p w14:paraId="748354BA" w14:textId="15A6F9BF" w:rsidR="00B906E9" w:rsidRPr="002B7CEB" w:rsidRDefault="00B906E9" w:rsidP="004C79C1">
      <w:pPr>
        <w:pStyle w:val="EndNoteBibliography"/>
        <w:spacing w:after="120"/>
        <w:jc w:val="both"/>
        <w:rPr>
          <w:rFonts w:asciiTheme="minorHAnsi" w:hAnsiTheme="minorHAnsi"/>
        </w:rPr>
      </w:pPr>
      <w:bookmarkStart w:id="1100" w:name="_ENREF_31"/>
      <w:bookmarkEnd w:id="1099"/>
      <w:r w:rsidRPr="002B7CEB">
        <w:rPr>
          <w:rFonts w:asciiTheme="minorHAnsi" w:hAnsiTheme="minorHAnsi"/>
        </w:rPr>
        <w:t xml:space="preserve">de Melo, EFP, Ávila Cintra, R, Biselli, B, de Melo, RMV, Barbosa Ribeiro, H, Francisco Ávila, L, Lemos Neto, PA, Ribeiro, EE, Bocchi, EA &amp; Souza, GEC 2013, 'Clinical use of coronary angiography and magnetic resonance imaging in the diagnosis of ischemic cardiomyopathy', </w:t>
      </w:r>
      <w:r w:rsidRPr="002B7CEB">
        <w:rPr>
          <w:rFonts w:asciiTheme="minorHAnsi" w:hAnsiTheme="minorHAnsi"/>
          <w:i/>
        </w:rPr>
        <w:t>Revista Brasileira de Cardiologia Invasiva</w:t>
      </w:r>
      <w:r w:rsidRPr="002B7CEB">
        <w:rPr>
          <w:rFonts w:asciiTheme="minorHAnsi" w:hAnsiTheme="minorHAnsi"/>
        </w:rPr>
        <w:t>, vol. 21, no. 3.</w:t>
      </w:r>
    </w:p>
    <w:bookmarkEnd w:id="1100"/>
    <w:p w14:paraId="45434344" w14:textId="37276294" w:rsidR="007A4191" w:rsidRPr="002B7CEB" w:rsidRDefault="007A4191" w:rsidP="004C79C1">
      <w:pPr>
        <w:pStyle w:val="EndNoteBibliography"/>
        <w:spacing w:after="120"/>
        <w:jc w:val="both"/>
        <w:rPr>
          <w:rFonts w:asciiTheme="minorHAnsi" w:hAnsiTheme="minorHAnsi"/>
        </w:rPr>
      </w:pPr>
      <w:r w:rsidRPr="002B7CEB">
        <w:rPr>
          <w:rFonts w:asciiTheme="minorHAnsi" w:hAnsiTheme="minorHAnsi"/>
        </w:rPr>
        <w:t xml:space="preserve">Department of Health 2012, </w:t>
      </w:r>
      <w:r w:rsidRPr="002B7CEB">
        <w:rPr>
          <w:rFonts w:asciiTheme="minorHAnsi" w:hAnsiTheme="minorHAnsi"/>
          <w:i/>
        </w:rPr>
        <w:t>Round 13 (2008-09) Cost Report: Public Sector Estimated Cost Weights Round 13 AR-DRG v5.2, Private Sector Estimated Cost Weights Round 13 AR-DRG v5.1</w:t>
      </w:r>
      <w:r w:rsidRPr="002B7CEB">
        <w:rPr>
          <w:rFonts w:asciiTheme="minorHAnsi" w:hAnsiTheme="minorHAnsi"/>
        </w:rPr>
        <w:t xml:space="preserve">, Commonwealth </w:t>
      </w:r>
      <w:r w:rsidR="00227713">
        <w:rPr>
          <w:rFonts w:asciiTheme="minorHAnsi" w:hAnsiTheme="minorHAnsi"/>
        </w:rPr>
        <w:t xml:space="preserve">of Australia, viewed Dec 2015, </w:t>
      </w:r>
      <w:hyperlink r:id="rId113" w:tooltip="link to department of health website" w:history="1">
        <w:r w:rsidR="00227713">
          <w:rPr>
            <w:rStyle w:val="Hyperlink"/>
            <w:rFonts w:asciiTheme="minorHAnsi" w:hAnsiTheme="minorHAnsi"/>
          </w:rPr>
          <w:t>www.health.gov.au</w:t>
        </w:r>
      </w:hyperlink>
      <w:r w:rsidRPr="002B7CEB">
        <w:rPr>
          <w:rFonts w:asciiTheme="minorHAnsi" w:hAnsiTheme="minorHAnsi"/>
        </w:rPr>
        <w:t>.</w:t>
      </w:r>
    </w:p>
    <w:p w14:paraId="5A3BB905" w14:textId="29B56AAA" w:rsidR="00B906E9" w:rsidRPr="002B7CEB" w:rsidRDefault="00B906E9" w:rsidP="004C79C1">
      <w:pPr>
        <w:pStyle w:val="EndNoteBibliography"/>
        <w:spacing w:after="120"/>
        <w:jc w:val="both"/>
        <w:rPr>
          <w:rFonts w:asciiTheme="minorHAnsi" w:hAnsiTheme="minorHAnsi"/>
        </w:rPr>
      </w:pPr>
      <w:bookmarkStart w:id="1101" w:name="_ENREF_32"/>
      <w:r w:rsidRPr="002B7CEB">
        <w:rPr>
          <w:rFonts w:asciiTheme="minorHAnsi" w:hAnsiTheme="minorHAnsi"/>
        </w:rPr>
        <w:t xml:space="preserve">Duan, X, Li, J, Zhang, Q, Zeng, Z, Luo, Y, Jiang, J &amp; Chen, Y 2015, 'Prognostic value of late gadolinium enhancement in dilated cardiomyopathy patients: a meta-analysis', </w:t>
      </w:r>
      <w:r w:rsidRPr="002B7CEB">
        <w:rPr>
          <w:rFonts w:asciiTheme="minorHAnsi" w:hAnsiTheme="minorHAnsi"/>
          <w:i/>
        </w:rPr>
        <w:t>Clin</w:t>
      </w:r>
      <w:r w:rsidR="000A69E8" w:rsidRPr="002B7CEB">
        <w:rPr>
          <w:rFonts w:asciiTheme="minorHAnsi" w:hAnsiTheme="minorHAnsi"/>
          <w:i/>
        </w:rPr>
        <w:t>ical</w:t>
      </w:r>
      <w:r w:rsidRPr="002B7CEB">
        <w:rPr>
          <w:rFonts w:asciiTheme="minorHAnsi" w:hAnsiTheme="minorHAnsi"/>
          <w:i/>
        </w:rPr>
        <w:t xml:space="preserve"> Radiol</w:t>
      </w:r>
      <w:r w:rsidR="000A69E8" w:rsidRPr="002B7CEB">
        <w:rPr>
          <w:rFonts w:asciiTheme="minorHAnsi" w:hAnsiTheme="minorHAnsi"/>
          <w:i/>
        </w:rPr>
        <w:t>ogy</w:t>
      </w:r>
      <w:r w:rsidRPr="002B7CEB">
        <w:rPr>
          <w:rFonts w:asciiTheme="minorHAnsi" w:hAnsiTheme="minorHAnsi"/>
        </w:rPr>
        <w:t>, vol. 70, no. 9, pp. 999</w:t>
      </w:r>
      <w:r w:rsidR="000A69E8" w:rsidRPr="002B7CEB">
        <w:rPr>
          <w:rFonts w:asciiTheme="minorHAnsi" w:hAnsiTheme="minorHAnsi"/>
        </w:rPr>
        <w:t>–</w:t>
      </w:r>
      <w:r w:rsidRPr="002B7CEB">
        <w:rPr>
          <w:rFonts w:asciiTheme="minorHAnsi" w:hAnsiTheme="minorHAnsi"/>
        </w:rPr>
        <w:t>1008.</w:t>
      </w:r>
    </w:p>
    <w:p w14:paraId="64376D90" w14:textId="69EF4476" w:rsidR="00B906E9" w:rsidRPr="002B7CEB" w:rsidRDefault="00B906E9" w:rsidP="004C79C1">
      <w:pPr>
        <w:pStyle w:val="EndNoteBibliography"/>
        <w:spacing w:after="120"/>
        <w:jc w:val="both"/>
        <w:rPr>
          <w:rFonts w:asciiTheme="minorHAnsi" w:hAnsiTheme="minorHAnsi"/>
        </w:rPr>
      </w:pPr>
      <w:bookmarkStart w:id="1102" w:name="_ENREF_33"/>
      <w:bookmarkEnd w:id="1101"/>
      <w:r w:rsidRPr="002B7CEB">
        <w:rPr>
          <w:rFonts w:asciiTheme="minorHAnsi" w:hAnsiTheme="minorHAnsi"/>
        </w:rPr>
        <w:t xml:space="preserve">Einstein, AJ 2012, 'Effects of radiation exposure from cardiac imaging: how good are the data?', </w:t>
      </w:r>
      <w:r w:rsidRPr="002B7CEB">
        <w:rPr>
          <w:rFonts w:asciiTheme="minorHAnsi" w:hAnsiTheme="minorHAnsi"/>
          <w:i/>
        </w:rPr>
        <w:t>J</w:t>
      </w:r>
      <w:r w:rsidR="00B563E5" w:rsidRPr="002B7CEB">
        <w:rPr>
          <w:rFonts w:asciiTheme="minorHAnsi" w:hAnsiTheme="minorHAnsi"/>
          <w:i/>
        </w:rPr>
        <w:t>ournal of the</w:t>
      </w:r>
      <w:r w:rsidRPr="002B7CEB">
        <w:rPr>
          <w:rFonts w:asciiTheme="minorHAnsi" w:hAnsiTheme="minorHAnsi"/>
          <w:i/>
        </w:rPr>
        <w:t xml:space="preserve"> Am</w:t>
      </w:r>
      <w:r w:rsidR="00B563E5" w:rsidRPr="002B7CEB">
        <w:rPr>
          <w:rFonts w:asciiTheme="minorHAnsi" w:hAnsiTheme="minorHAnsi"/>
          <w:i/>
        </w:rPr>
        <w:t>erican</w:t>
      </w:r>
      <w:r w:rsidRPr="002B7CEB">
        <w:rPr>
          <w:rFonts w:asciiTheme="minorHAnsi" w:hAnsiTheme="minorHAnsi"/>
          <w:i/>
        </w:rPr>
        <w:t xml:space="preserve"> Coll</w:t>
      </w:r>
      <w:r w:rsidR="00B563E5" w:rsidRPr="002B7CEB">
        <w:rPr>
          <w:rFonts w:asciiTheme="minorHAnsi" w:hAnsiTheme="minorHAnsi"/>
          <w:i/>
        </w:rPr>
        <w:t>ege of</w:t>
      </w:r>
      <w:r w:rsidRPr="002B7CEB">
        <w:rPr>
          <w:rFonts w:asciiTheme="minorHAnsi" w:hAnsiTheme="minorHAnsi"/>
          <w:i/>
        </w:rPr>
        <w:t xml:space="preserve"> Cardiol</w:t>
      </w:r>
      <w:r w:rsidR="00B563E5" w:rsidRPr="002B7CEB">
        <w:rPr>
          <w:rFonts w:asciiTheme="minorHAnsi" w:hAnsiTheme="minorHAnsi"/>
          <w:i/>
        </w:rPr>
        <w:t>ogy</w:t>
      </w:r>
      <w:r w:rsidRPr="002B7CEB">
        <w:rPr>
          <w:rFonts w:asciiTheme="minorHAnsi" w:hAnsiTheme="minorHAnsi"/>
        </w:rPr>
        <w:t>, vol. 59, no. 6, pp. 553</w:t>
      </w:r>
      <w:r w:rsidR="00355E56" w:rsidRPr="002B7CEB">
        <w:rPr>
          <w:rFonts w:asciiTheme="minorHAnsi" w:hAnsiTheme="minorHAnsi"/>
        </w:rPr>
        <w:t>–</w:t>
      </w:r>
      <w:r w:rsidRPr="002B7CEB">
        <w:rPr>
          <w:rFonts w:asciiTheme="minorHAnsi" w:hAnsiTheme="minorHAnsi"/>
        </w:rPr>
        <w:t>565.</w:t>
      </w:r>
    </w:p>
    <w:p w14:paraId="2B5D22B1" w14:textId="438A4236" w:rsidR="00B906E9" w:rsidRPr="002B7CEB" w:rsidRDefault="00B906E9" w:rsidP="004C79C1">
      <w:pPr>
        <w:pStyle w:val="EndNoteBibliography"/>
        <w:spacing w:after="120"/>
        <w:jc w:val="both"/>
        <w:rPr>
          <w:rFonts w:asciiTheme="minorHAnsi" w:hAnsiTheme="minorHAnsi"/>
        </w:rPr>
      </w:pPr>
      <w:bookmarkStart w:id="1103" w:name="_ENREF_34"/>
      <w:bookmarkEnd w:id="1102"/>
      <w:r w:rsidRPr="002B7CEB">
        <w:rPr>
          <w:rFonts w:asciiTheme="minorHAnsi" w:hAnsiTheme="minorHAnsi"/>
        </w:rPr>
        <w:t xml:space="preserve">Ellenbogen, KA, Levine, JH, Berger, RD, Daubert, JP, Winters, SL, Greenstein, E, Shalaby, A, Schaechter, A, Subacius, H </w:t>
      </w:r>
      <w:r w:rsidR="001116B6" w:rsidRPr="002B7CEB">
        <w:rPr>
          <w:rFonts w:asciiTheme="minorHAnsi" w:hAnsiTheme="minorHAnsi"/>
        </w:rPr>
        <w:t xml:space="preserve">&amp; </w:t>
      </w:r>
      <w:r w:rsidRPr="002B7CEB">
        <w:rPr>
          <w:rFonts w:asciiTheme="minorHAnsi" w:hAnsiTheme="minorHAnsi"/>
        </w:rPr>
        <w:t xml:space="preserve">Kadish, A 2006, 'Are </w:t>
      </w:r>
      <w:r w:rsidR="001116B6" w:rsidRPr="002B7CEB">
        <w:rPr>
          <w:rFonts w:asciiTheme="minorHAnsi" w:hAnsiTheme="minorHAnsi"/>
        </w:rPr>
        <w:t>i</w:t>
      </w:r>
      <w:r w:rsidRPr="002B7CEB">
        <w:rPr>
          <w:rFonts w:asciiTheme="minorHAnsi" w:hAnsiTheme="minorHAnsi"/>
        </w:rPr>
        <w:t xml:space="preserve">mplantable </w:t>
      </w:r>
      <w:r w:rsidR="001116B6" w:rsidRPr="002B7CEB">
        <w:rPr>
          <w:rFonts w:asciiTheme="minorHAnsi" w:hAnsiTheme="minorHAnsi"/>
        </w:rPr>
        <w:t>c</w:t>
      </w:r>
      <w:r w:rsidRPr="002B7CEB">
        <w:rPr>
          <w:rFonts w:asciiTheme="minorHAnsi" w:hAnsiTheme="minorHAnsi"/>
        </w:rPr>
        <w:t xml:space="preserve">ardioverter </w:t>
      </w:r>
      <w:r w:rsidR="001116B6" w:rsidRPr="002B7CEB">
        <w:rPr>
          <w:rFonts w:asciiTheme="minorHAnsi" w:hAnsiTheme="minorHAnsi"/>
        </w:rPr>
        <w:t>d</w:t>
      </w:r>
      <w:r w:rsidRPr="002B7CEB">
        <w:rPr>
          <w:rFonts w:asciiTheme="minorHAnsi" w:hAnsiTheme="minorHAnsi"/>
        </w:rPr>
        <w:t xml:space="preserve">efibrillator </w:t>
      </w:r>
      <w:r w:rsidR="001116B6" w:rsidRPr="002B7CEB">
        <w:rPr>
          <w:rFonts w:asciiTheme="minorHAnsi" w:hAnsiTheme="minorHAnsi"/>
        </w:rPr>
        <w:t>s</w:t>
      </w:r>
      <w:r w:rsidRPr="002B7CEB">
        <w:rPr>
          <w:rFonts w:asciiTheme="minorHAnsi" w:hAnsiTheme="minorHAnsi"/>
        </w:rPr>
        <w:t xml:space="preserve">hocks a </w:t>
      </w:r>
      <w:r w:rsidR="001116B6" w:rsidRPr="002B7CEB">
        <w:rPr>
          <w:rFonts w:asciiTheme="minorHAnsi" w:hAnsiTheme="minorHAnsi"/>
        </w:rPr>
        <w:t>s</w:t>
      </w:r>
      <w:r w:rsidRPr="002B7CEB">
        <w:rPr>
          <w:rFonts w:asciiTheme="minorHAnsi" w:hAnsiTheme="minorHAnsi"/>
        </w:rPr>
        <w:t xml:space="preserve">urrogate for </w:t>
      </w:r>
      <w:r w:rsidR="001116B6" w:rsidRPr="002B7CEB">
        <w:rPr>
          <w:rFonts w:asciiTheme="minorHAnsi" w:hAnsiTheme="minorHAnsi"/>
        </w:rPr>
        <w:t>s</w:t>
      </w:r>
      <w:r w:rsidRPr="002B7CEB">
        <w:rPr>
          <w:rFonts w:asciiTheme="minorHAnsi" w:hAnsiTheme="minorHAnsi"/>
        </w:rPr>
        <w:t xml:space="preserve">udden </w:t>
      </w:r>
      <w:r w:rsidR="001116B6" w:rsidRPr="002B7CEB">
        <w:rPr>
          <w:rFonts w:asciiTheme="minorHAnsi" w:hAnsiTheme="minorHAnsi"/>
        </w:rPr>
        <w:t>c</w:t>
      </w:r>
      <w:r w:rsidRPr="002B7CEB">
        <w:rPr>
          <w:rFonts w:asciiTheme="minorHAnsi" w:hAnsiTheme="minorHAnsi"/>
        </w:rPr>
        <w:t xml:space="preserve">ardiac </w:t>
      </w:r>
      <w:r w:rsidR="001116B6" w:rsidRPr="002B7CEB">
        <w:rPr>
          <w:rFonts w:asciiTheme="minorHAnsi" w:hAnsiTheme="minorHAnsi"/>
        </w:rPr>
        <w:t>d</w:t>
      </w:r>
      <w:r w:rsidRPr="002B7CEB">
        <w:rPr>
          <w:rFonts w:asciiTheme="minorHAnsi" w:hAnsiTheme="minorHAnsi"/>
        </w:rPr>
        <w:t xml:space="preserve">eath in </w:t>
      </w:r>
      <w:r w:rsidR="001116B6" w:rsidRPr="002B7CEB">
        <w:rPr>
          <w:rFonts w:asciiTheme="minorHAnsi" w:hAnsiTheme="minorHAnsi"/>
        </w:rPr>
        <w:t>p</w:t>
      </w:r>
      <w:r w:rsidRPr="002B7CEB">
        <w:rPr>
          <w:rFonts w:asciiTheme="minorHAnsi" w:hAnsiTheme="minorHAnsi"/>
        </w:rPr>
        <w:t xml:space="preserve">atients </w:t>
      </w:r>
      <w:r w:rsidR="001116B6" w:rsidRPr="002B7CEB">
        <w:rPr>
          <w:rFonts w:asciiTheme="minorHAnsi" w:hAnsiTheme="minorHAnsi"/>
        </w:rPr>
        <w:t>w</w:t>
      </w:r>
      <w:r w:rsidRPr="002B7CEB">
        <w:rPr>
          <w:rFonts w:asciiTheme="minorHAnsi" w:hAnsiTheme="minorHAnsi"/>
        </w:rPr>
        <w:t xml:space="preserve">ith </w:t>
      </w:r>
      <w:r w:rsidR="001116B6" w:rsidRPr="002B7CEB">
        <w:rPr>
          <w:rFonts w:asciiTheme="minorHAnsi" w:hAnsiTheme="minorHAnsi"/>
        </w:rPr>
        <w:t>n</w:t>
      </w:r>
      <w:r w:rsidRPr="002B7CEB">
        <w:rPr>
          <w:rFonts w:asciiTheme="minorHAnsi" w:hAnsiTheme="minorHAnsi"/>
        </w:rPr>
        <w:t xml:space="preserve">onischemic </w:t>
      </w:r>
      <w:r w:rsidR="009B3E54" w:rsidRPr="002B7CEB">
        <w:rPr>
          <w:rFonts w:asciiTheme="minorHAnsi" w:hAnsiTheme="minorHAnsi"/>
        </w:rPr>
        <w:t>c</w:t>
      </w:r>
      <w:r w:rsidRPr="002B7CEB">
        <w:rPr>
          <w:rFonts w:asciiTheme="minorHAnsi" w:hAnsiTheme="minorHAnsi"/>
        </w:rPr>
        <w:t xml:space="preserve">ardiomyopathy?', </w:t>
      </w:r>
      <w:r w:rsidRPr="002B7CEB">
        <w:rPr>
          <w:rFonts w:asciiTheme="minorHAnsi" w:hAnsiTheme="minorHAnsi"/>
          <w:i/>
        </w:rPr>
        <w:t>Circulation</w:t>
      </w:r>
      <w:r w:rsidRPr="002B7CEB">
        <w:rPr>
          <w:rFonts w:asciiTheme="minorHAnsi" w:hAnsiTheme="minorHAnsi"/>
        </w:rPr>
        <w:t>, vol. 113, no. 6, 2006, pp. 776</w:t>
      </w:r>
      <w:r w:rsidR="009B3E54" w:rsidRPr="002B7CEB">
        <w:rPr>
          <w:rFonts w:asciiTheme="minorHAnsi" w:hAnsiTheme="minorHAnsi"/>
        </w:rPr>
        <w:t>–</w:t>
      </w:r>
      <w:r w:rsidRPr="002B7CEB">
        <w:rPr>
          <w:rFonts w:asciiTheme="minorHAnsi" w:hAnsiTheme="minorHAnsi"/>
        </w:rPr>
        <w:t>782.</w:t>
      </w:r>
    </w:p>
    <w:p w14:paraId="2476ADAF" w14:textId="644F2A1E" w:rsidR="00B906E9" w:rsidRPr="002B7CEB" w:rsidRDefault="00B906E9" w:rsidP="004C79C1">
      <w:pPr>
        <w:pStyle w:val="EndNoteBibliography"/>
        <w:spacing w:after="120"/>
        <w:jc w:val="both"/>
        <w:rPr>
          <w:rFonts w:asciiTheme="minorHAnsi" w:hAnsiTheme="minorHAnsi"/>
        </w:rPr>
      </w:pPr>
      <w:bookmarkStart w:id="1104" w:name="_ENREF_35"/>
      <w:bookmarkEnd w:id="1103"/>
      <w:r w:rsidRPr="002B7CEB">
        <w:rPr>
          <w:rFonts w:asciiTheme="minorHAnsi" w:hAnsiTheme="minorHAnsi"/>
        </w:rPr>
        <w:t xml:space="preserve">Elliott, P, Andersson, B, Arbustini, E, Bilinska, Z, Cecchi, F, Charron, P, Dubourg, O, Kuhl, U, Maisch, B, McKenna, WJ, Monserrat, L, Pankuweit, S, Rapezzi, C, Seferovic, P, Tavazzi, L &amp; Keren, A 2008, 'Classification of the cardiomyopathies: a position statement from the European Society Of Cardiology Working Group on Myocardial and Pericardial Diseases', </w:t>
      </w:r>
      <w:r w:rsidRPr="002B7CEB">
        <w:rPr>
          <w:rFonts w:asciiTheme="minorHAnsi" w:hAnsiTheme="minorHAnsi"/>
          <w:i/>
        </w:rPr>
        <w:t>Eur</w:t>
      </w:r>
      <w:r w:rsidR="003A1BC2" w:rsidRPr="002B7CEB">
        <w:rPr>
          <w:rFonts w:asciiTheme="minorHAnsi" w:hAnsiTheme="minorHAnsi"/>
          <w:i/>
        </w:rPr>
        <w:t>opean</w:t>
      </w:r>
      <w:r w:rsidRPr="002B7CEB">
        <w:rPr>
          <w:rFonts w:asciiTheme="minorHAnsi" w:hAnsiTheme="minorHAnsi"/>
          <w:i/>
        </w:rPr>
        <w:t xml:space="preserve"> Heart J</w:t>
      </w:r>
      <w:r w:rsidR="003A1BC2" w:rsidRPr="002B7CEB">
        <w:rPr>
          <w:rFonts w:asciiTheme="minorHAnsi" w:hAnsiTheme="minorHAnsi"/>
          <w:i/>
        </w:rPr>
        <w:t>ournal</w:t>
      </w:r>
      <w:r w:rsidRPr="002B7CEB">
        <w:rPr>
          <w:rFonts w:asciiTheme="minorHAnsi" w:hAnsiTheme="minorHAnsi"/>
        </w:rPr>
        <w:t>, vol. 29, no. 2, pp. 270</w:t>
      </w:r>
      <w:r w:rsidR="003A1BC2" w:rsidRPr="002B7CEB">
        <w:rPr>
          <w:rFonts w:asciiTheme="minorHAnsi" w:hAnsiTheme="minorHAnsi"/>
        </w:rPr>
        <w:t>–</w:t>
      </w:r>
      <w:r w:rsidRPr="002B7CEB">
        <w:rPr>
          <w:rFonts w:asciiTheme="minorHAnsi" w:hAnsiTheme="minorHAnsi"/>
        </w:rPr>
        <w:t>276.</w:t>
      </w:r>
    </w:p>
    <w:p w14:paraId="7B0C5323" w14:textId="77777777" w:rsidR="00B906E9" w:rsidRPr="002B7CEB" w:rsidRDefault="00B906E9" w:rsidP="004C79C1">
      <w:pPr>
        <w:pStyle w:val="EndNoteBibliography"/>
        <w:spacing w:after="120"/>
        <w:jc w:val="both"/>
        <w:rPr>
          <w:rFonts w:asciiTheme="minorHAnsi" w:hAnsiTheme="minorHAnsi"/>
        </w:rPr>
      </w:pPr>
      <w:bookmarkStart w:id="1105" w:name="_ENREF_36"/>
      <w:bookmarkEnd w:id="1104"/>
      <w:r w:rsidRPr="002B7CEB">
        <w:rPr>
          <w:rFonts w:asciiTheme="minorHAnsi" w:hAnsiTheme="minorHAnsi"/>
        </w:rPr>
        <w:t>Elmagarmid, A, Fedorowicz, Z, Hammady, H, Ilyas, I, Khabsa, M &amp; Ouzzani, M 2014, 'Rayyan: a systematic reviews web app for exploring and filtering searches for eligible studies for Cochrane Reviews', paper presented at 22nd Cochrane Colloquium, Hyderabad, India.</w:t>
      </w:r>
    </w:p>
    <w:p w14:paraId="3553B711" w14:textId="563A9803" w:rsidR="00B906E9" w:rsidRPr="002B7CEB" w:rsidRDefault="00B906E9" w:rsidP="004C79C1">
      <w:pPr>
        <w:pStyle w:val="EndNoteBibliography"/>
        <w:spacing w:after="120"/>
        <w:jc w:val="both"/>
        <w:rPr>
          <w:rFonts w:asciiTheme="minorHAnsi" w:hAnsiTheme="minorHAnsi"/>
        </w:rPr>
      </w:pPr>
      <w:bookmarkStart w:id="1106" w:name="_ENREF_37"/>
      <w:bookmarkEnd w:id="1105"/>
      <w:r w:rsidRPr="002B7CEB">
        <w:rPr>
          <w:rFonts w:asciiTheme="minorHAnsi" w:hAnsiTheme="minorHAnsi"/>
        </w:rPr>
        <w:t xml:space="preserve">England, R, England, T &amp; Coggon, J 2007, 'The ethical and legal implications of deactivating an implantable </w:t>
      </w:r>
      <w:r w:rsidR="0026063B">
        <w:rPr>
          <w:rFonts w:asciiTheme="minorHAnsi" w:hAnsiTheme="minorHAnsi"/>
        </w:rPr>
        <w:t>cardioverter defibrillator</w:t>
      </w:r>
      <w:r w:rsidRPr="002B7CEB">
        <w:rPr>
          <w:rFonts w:asciiTheme="minorHAnsi" w:hAnsiTheme="minorHAnsi"/>
        </w:rPr>
        <w:t xml:space="preserve"> in a patient with terminal cancer', </w:t>
      </w:r>
      <w:r w:rsidRPr="002B7CEB">
        <w:rPr>
          <w:rFonts w:asciiTheme="minorHAnsi" w:hAnsiTheme="minorHAnsi"/>
          <w:i/>
        </w:rPr>
        <w:t>J</w:t>
      </w:r>
      <w:r w:rsidR="00853050" w:rsidRPr="002B7CEB">
        <w:rPr>
          <w:rFonts w:asciiTheme="minorHAnsi" w:hAnsiTheme="minorHAnsi"/>
          <w:i/>
        </w:rPr>
        <w:t>ournal of</w:t>
      </w:r>
      <w:r w:rsidRPr="002B7CEB">
        <w:rPr>
          <w:rFonts w:asciiTheme="minorHAnsi" w:hAnsiTheme="minorHAnsi"/>
          <w:i/>
        </w:rPr>
        <w:t xml:space="preserve"> Med</w:t>
      </w:r>
      <w:r w:rsidR="00853050" w:rsidRPr="002B7CEB">
        <w:rPr>
          <w:rFonts w:asciiTheme="minorHAnsi" w:hAnsiTheme="minorHAnsi"/>
          <w:i/>
        </w:rPr>
        <w:t>ical</w:t>
      </w:r>
      <w:r w:rsidRPr="002B7CEB">
        <w:rPr>
          <w:rFonts w:asciiTheme="minorHAnsi" w:hAnsiTheme="minorHAnsi"/>
          <w:i/>
        </w:rPr>
        <w:t xml:space="preserve"> Ethics</w:t>
      </w:r>
      <w:r w:rsidRPr="002B7CEB">
        <w:rPr>
          <w:rFonts w:asciiTheme="minorHAnsi" w:hAnsiTheme="minorHAnsi"/>
        </w:rPr>
        <w:t>, vol. 33, no. 9, pp. 538</w:t>
      </w:r>
      <w:r w:rsidR="00853050" w:rsidRPr="002B7CEB">
        <w:rPr>
          <w:rFonts w:asciiTheme="minorHAnsi" w:hAnsiTheme="minorHAnsi"/>
        </w:rPr>
        <w:t>–</w:t>
      </w:r>
      <w:r w:rsidRPr="002B7CEB">
        <w:rPr>
          <w:rFonts w:asciiTheme="minorHAnsi" w:hAnsiTheme="minorHAnsi"/>
        </w:rPr>
        <w:t>540.</w:t>
      </w:r>
    </w:p>
    <w:p w14:paraId="4F9B9138" w14:textId="47A60C6A" w:rsidR="00B906E9" w:rsidRPr="002B7CEB" w:rsidRDefault="00B906E9" w:rsidP="004C79C1">
      <w:pPr>
        <w:pStyle w:val="EndNoteBibliography"/>
        <w:spacing w:after="120"/>
        <w:jc w:val="both"/>
        <w:rPr>
          <w:rFonts w:asciiTheme="minorHAnsi" w:hAnsiTheme="minorHAnsi"/>
        </w:rPr>
      </w:pPr>
      <w:bookmarkStart w:id="1107" w:name="_ENREF_38"/>
      <w:bookmarkEnd w:id="1106"/>
      <w:r w:rsidRPr="002B7CEB">
        <w:rPr>
          <w:rFonts w:asciiTheme="minorHAnsi" w:hAnsiTheme="minorHAnsi"/>
        </w:rPr>
        <w:t xml:space="preserve">Epstein, AE, DiMarco, JP, Ellenbogen, KA, Estes, NA, 3rd, Freedman, RA, Gettes, LS, Gillinov, AM, Gregoratos, G, Hammill, SC, Hayes, DL, Hlatky, MA, Newby, LK, Page, RL, Schoenfeld, MH, Silka, MJ, </w:t>
      </w:r>
      <w:r w:rsidRPr="002B7CEB">
        <w:rPr>
          <w:rFonts w:asciiTheme="minorHAnsi" w:hAnsiTheme="minorHAnsi"/>
        </w:rPr>
        <w:lastRenderedPageBreak/>
        <w:t xml:space="preserve">Stevenson, LW </w:t>
      </w:r>
      <w:r w:rsidR="00853050" w:rsidRPr="002B7CEB">
        <w:rPr>
          <w:rFonts w:asciiTheme="minorHAnsi" w:hAnsiTheme="minorHAnsi"/>
        </w:rPr>
        <w:t xml:space="preserve">&amp; </w:t>
      </w:r>
      <w:r w:rsidRPr="002B7CEB">
        <w:rPr>
          <w:rFonts w:asciiTheme="minorHAnsi" w:hAnsiTheme="minorHAnsi"/>
        </w:rPr>
        <w:t>Sweeney, MO 2013, '2012 ACCF/AHA/HRS focused update incorporated into the ACCF/AHA/HRS 2008 guidelines for device-based therapy of cardiac rhythm abnormalities: a report of the American College of Cardiology Foundation</w:t>
      </w:r>
      <w:r w:rsidR="00853050" w:rsidRPr="002B7CEB">
        <w:rPr>
          <w:rFonts w:asciiTheme="minorHAnsi" w:hAnsiTheme="minorHAnsi"/>
        </w:rPr>
        <w:t xml:space="preserve"> </w:t>
      </w:r>
      <w:r w:rsidRPr="002B7CEB">
        <w:rPr>
          <w:rFonts w:asciiTheme="minorHAnsi" w:hAnsiTheme="minorHAnsi"/>
        </w:rPr>
        <w:t>/</w:t>
      </w:r>
      <w:r w:rsidR="00853050" w:rsidRPr="002B7CEB">
        <w:rPr>
          <w:rFonts w:asciiTheme="minorHAnsi" w:hAnsiTheme="minorHAnsi"/>
        </w:rPr>
        <w:t xml:space="preserve"> </w:t>
      </w:r>
      <w:r w:rsidRPr="002B7CEB">
        <w:rPr>
          <w:rFonts w:asciiTheme="minorHAnsi" w:hAnsiTheme="minorHAnsi"/>
        </w:rPr>
        <w:t xml:space="preserve">American Heart Association Task Force on Practice Guidelines and the Heart Rhythm Society', </w:t>
      </w:r>
      <w:r w:rsidRPr="002B7CEB">
        <w:rPr>
          <w:rFonts w:asciiTheme="minorHAnsi" w:hAnsiTheme="minorHAnsi"/>
          <w:i/>
        </w:rPr>
        <w:t>Circulation</w:t>
      </w:r>
      <w:r w:rsidRPr="002B7CEB">
        <w:rPr>
          <w:rFonts w:asciiTheme="minorHAnsi" w:hAnsiTheme="minorHAnsi"/>
        </w:rPr>
        <w:t>, vol. 127, no. 3, pp. e283</w:t>
      </w:r>
      <w:r w:rsidR="00853050" w:rsidRPr="002B7CEB">
        <w:rPr>
          <w:rFonts w:asciiTheme="minorHAnsi" w:hAnsiTheme="minorHAnsi"/>
        </w:rPr>
        <w:t>–</w:t>
      </w:r>
      <w:r w:rsidRPr="002B7CEB">
        <w:rPr>
          <w:rFonts w:asciiTheme="minorHAnsi" w:hAnsiTheme="minorHAnsi"/>
        </w:rPr>
        <w:t>352.</w:t>
      </w:r>
    </w:p>
    <w:p w14:paraId="14570576" w14:textId="0312D280" w:rsidR="00B906E9" w:rsidRPr="002B7CEB" w:rsidRDefault="00B906E9" w:rsidP="004C79C1">
      <w:pPr>
        <w:pStyle w:val="EndNoteBibliography"/>
        <w:spacing w:after="120"/>
        <w:jc w:val="both"/>
        <w:rPr>
          <w:rFonts w:asciiTheme="minorHAnsi" w:hAnsiTheme="minorHAnsi"/>
        </w:rPr>
      </w:pPr>
      <w:bookmarkStart w:id="1108" w:name="_ENREF_39"/>
      <w:bookmarkEnd w:id="1107"/>
      <w:r w:rsidRPr="002B7CEB">
        <w:rPr>
          <w:rFonts w:asciiTheme="minorHAnsi" w:hAnsiTheme="minorHAnsi"/>
        </w:rPr>
        <w:t xml:space="preserve">Fernandez-Armenta, J, Berruezo, A, Mont, L, Sitges, M, Andreu, D, Silva, E, Ortiz-Perez, JT, Tolosana, JM, de Caralt, TM, Perea, RJ, Calvo, N, Trucco, E, Borras, R, Matas, M &amp; Brugada, J 2012, 'Use of myocardial scar characterization to predict ventricular arrhythmia in cardiac resynchronization therapy', </w:t>
      </w:r>
      <w:r w:rsidRPr="002B7CEB">
        <w:rPr>
          <w:rFonts w:asciiTheme="minorHAnsi" w:hAnsiTheme="minorHAnsi"/>
          <w:i/>
        </w:rPr>
        <w:t>Europace</w:t>
      </w:r>
      <w:r w:rsidRPr="002B7CEB">
        <w:rPr>
          <w:rFonts w:asciiTheme="minorHAnsi" w:hAnsiTheme="minorHAnsi"/>
        </w:rPr>
        <w:t>, vol. 14, no. 11, pp. 1578</w:t>
      </w:r>
      <w:r w:rsidR="00116172" w:rsidRPr="002B7CEB">
        <w:rPr>
          <w:rFonts w:asciiTheme="minorHAnsi" w:hAnsiTheme="minorHAnsi"/>
        </w:rPr>
        <w:t>–</w:t>
      </w:r>
      <w:r w:rsidRPr="002B7CEB">
        <w:rPr>
          <w:rFonts w:asciiTheme="minorHAnsi" w:hAnsiTheme="minorHAnsi"/>
        </w:rPr>
        <w:t>1586.</w:t>
      </w:r>
    </w:p>
    <w:p w14:paraId="2049AE01" w14:textId="30007059" w:rsidR="00B906E9" w:rsidRPr="002B7CEB" w:rsidRDefault="00B906E9" w:rsidP="004C79C1">
      <w:pPr>
        <w:pStyle w:val="EndNoteBibliography"/>
        <w:spacing w:after="120"/>
        <w:jc w:val="both"/>
        <w:rPr>
          <w:rFonts w:asciiTheme="minorHAnsi" w:hAnsiTheme="minorHAnsi"/>
        </w:rPr>
      </w:pPr>
      <w:bookmarkStart w:id="1109" w:name="_ENREF_40"/>
      <w:bookmarkEnd w:id="1108"/>
      <w:r w:rsidRPr="002B7CEB">
        <w:rPr>
          <w:rFonts w:asciiTheme="minorHAnsi" w:hAnsiTheme="minorHAnsi"/>
        </w:rPr>
        <w:t xml:space="preserve">Fitzsimons, D &amp; Strachan, PH 2012, 'Overcoming the challenges of conducting research with people who have advanced heart failure and palliative care needs', </w:t>
      </w:r>
      <w:r w:rsidRPr="002B7CEB">
        <w:rPr>
          <w:rFonts w:asciiTheme="minorHAnsi" w:hAnsiTheme="minorHAnsi"/>
          <w:i/>
        </w:rPr>
        <w:t>European Journal of Cardiovascular Nursing</w:t>
      </w:r>
      <w:r w:rsidRPr="002B7CEB">
        <w:rPr>
          <w:rFonts w:asciiTheme="minorHAnsi" w:hAnsiTheme="minorHAnsi"/>
        </w:rPr>
        <w:t>, vol. 11, no. 2, pp. 248</w:t>
      </w:r>
      <w:r w:rsidR="00116172" w:rsidRPr="002B7CEB">
        <w:rPr>
          <w:rFonts w:asciiTheme="minorHAnsi" w:hAnsiTheme="minorHAnsi"/>
        </w:rPr>
        <w:t>–</w:t>
      </w:r>
      <w:r w:rsidRPr="002B7CEB">
        <w:rPr>
          <w:rFonts w:asciiTheme="minorHAnsi" w:hAnsiTheme="minorHAnsi"/>
        </w:rPr>
        <w:t>254.</w:t>
      </w:r>
    </w:p>
    <w:p w14:paraId="1DD1A352" w14:textId="7F4AEE07" w:rsidR="00B906E9" w:rsidRPr="002B7CEB" w:rsidRDefault="00B906E9" w:rsidP="004C79C1">
      <w:pPr>
        <w:pStyle w:val="EndNoteBibliography"/>
        <w:spacing w:after="120"/>
        <w:jc w:val="both"/>
        <w:rPr>
          <w:rFonts w:asciiTheme="minorHAnsi" w:hAnsiTheme="minorHAnsi"/>
        </w:rPr>
      </w:pPr>
      <w:bookmarkStart w:id="1110" w:name="_ENREF_41"/>
      <w:bookmarkEnd w:id="1109"/>
      <w:r w:rsidRPr="002B7CEB">
        <w:rPr>
          <w:rFonts w:asciiTheme="minorHAnsi" w:hAnsiTheme="minorHAnsi"/>
        </w:rPr>
        <w:t xml:space="preserve">Focardi, M, Cameli, M, Carbone, SF, Massoni, A, De Vito, R, Lisi, M &amp; Mondillo, S 2015, 'Traditional and innovative echocardiographic parameters for the analysis of right ventricular performance in comparison with cardiac magnetic resonance', </w:t>
      </w:r>
      <w:r w:rsidRPr="002B7CEB">
        <w:rPr>
          <w:rFonts w:asciiTheme="minorHAnsi" w:hAnsiTheme="minorHAnsi"/>
          <w:i/>
        </w:rPr>
        <w:t>Eur</w:t>
      </w:r>
      <w:r w:rsidR="001D07BA" w:rsidRPr="002B7CEB">
        <w:rPr>
          <w:rFonts w:asciiTheme="minorHAnsi" w:hAnsiTheme="minorHAnsi"/>
          <w:i/>
        </w:rPr>
        <w:t>opean</w:t>
      </w:r>
      <w:r w:rsidRPr="002B7CEB">
        <w:rPr>
          <w:rFonts w:asciiTheme="minorHAnsi" w:hAnsiTheme="minorHAnsi"/>
          <w:i/>
        </w:rPr>
        <w:t xml:space="preserve"> Heart J</w:t>
      </w:r>
      <w:r w:rsidR="001D07BA" w:rsidRPr="002B7CEB">
        <w:rPr>
          <w:rFonts w:asciiTheme="minorHAnsi" w:hAnsiTheme="minorHAnsi"/>
          <w:i/>
        </w:rPr>
        <w:t>ournal –</w:t>
      </w:r>
      <w:r w:rsidRPr="002B7CEB">
        <w:rPr>
          <w:rFonts w:asciiTheme="minorHAnsi" w:hAnsiTheme="minorHAnsi"/>
          <w:i/>
        </w:rPr>
        <w:t xml:space="preserve"> Cardiovasc</w:t>
      </w:r>
      <w:r w:rsidR="001D07BA"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16, no. 1, pp. 47</w:t>
      </w:r>
      <w:r w:rsidR="001D07BA" w:rsidRPr="002B7CEB">
        <w:rPr>
          <w:rFonts w:asciiTheme="minorHAnsi" w:hAnsiTheme="minorHAnsi"/>
        </w:rPr>
        <w:t>–</w:t>
      </w:r>
      <w:r w:rsidRPr="002B7CEB">
        <w:rPr>
          <w:rFonts w:asciiTheme="minorHAnsi" w:hAnsiTheme="minorHAnsi"/>
        </w:rPr>
        <w:t>52.</w:t>
      </w:r>
    </w:p>
    <w:p w14:paraId="10D7C568" w14:textId="59BF14C2" w:rsidR="00B906E9" w:rsidRPr="002B7CEB" w:rsidRDefault="00B906E9" w:rsidP="004C79C1">
      <w:pPr>
        <w:pStyle w:val="EndNoteBibliography"/>
        <w:spacing w:after="120"/>
        <w:jc w:val="both"/>
        <w:rPr>
          <w:rFonts w:asciiTheme="minorHAnsi" w:hAnsiTheme="minorHAnsi"/>
        </w:rPr>
      </w:pPr>
      <w:bookmarkStart w:id="1111" w:name="_ENREF_42"/>
      <w:bookmarkEnd w:id="1110"/>
      <w:r w:rsidRPr="002B7CEB">
        <w:rPr>
          <w:rFonts w:asciiTheme="minorHAnsi" w:hAnsiTheme="minorHAnsi"/>
        </w:rPr>
        <w:t xml:space="preserve">From, AM, Maleszewski, JJ &amp; Rihal, CS 2011, 'Current status of endomyocardial biopsy', </w:t>
      </w:r>
      <w:r w:rsidRPr="002B7CEB">
        <w:rPr>
          <w:rFonts w:asciiTheme="minorHAnsi" w:hAnsiTheme="minorHAnsi"/>
          <w:i/>
        </w:rPr>
        <w:t>Mayo Clin</w:t>
      </w:r>
      <w:r w:rsidR="001D07BA" w:rsidRPr="002B7CEB">
        <w:rPr>
          <w:rFonts w:asciiTheme="minorHAnsi" w:hAnsiTheme="minorHAnsi"/>
          <w:i/>
        </w:rPr>
        <w:t>ic</w:t>
      </w:r>
      <w:r w:rsidRPr="002B7CEB">
        <w:rPr>
          <w:rFonts w:asciiTheme="minorHAnsi" w:hAnsiTheme="minorHAnsi"/>
          <w:i/>
        </w:rPr>
        <w:t xml:space="preserve"> Proc</w:t>
      </w:r>
      <w:r w:rsidR="001D07BA" w:rsidRPr="002B7CEB">
        <w:rPr>
          <w:rFonts w:asciiTheme="minorHAnsi" w:hAnsiTheme="minorHAnsi"/>
          <w:i/>
        </w:rPr>
        <w:t>eedings</w:t>
      </w:r>
      <w:r w:rsidRPr="002B7CEB">
        <w:rPr>
          <w:rFonts w:asciiTheme="minorHAnsi" w:hAnsiTheme="minorHAnsi"/>
        </w:rPr>
        <w:t>, vol. 86, no. 11, pp. 1095</w:t>
      </w:r>
      <w:r w:rsidR="001D07BA" w:rsidRPr="002B7CEB">
        <w:rPr>
          <w:rFonts w:asciiTheme="minorHAnsi" w:hAnsiTheme="minorHAnsi"/>
        </w:rPr>
        <w:t>–</w:t>
      </w:r>
      <w:r w:rsidRPr="002B7CEB">
        <w:rPr>
          <w:rFonts w:asciiTheme="minorHAnsi" w:hAnsiTheme="minorHAnsi"/>
        </w:rPr>
        <w:t>1102.</w:t>
      </w:r>
    </w:p>
    <w:p w14:paraId="74194D5E" w14:textId="276B61FF" w:rsidR="00B906E9" w:rsidRPr="002B7CEB" w:rsidRDefault="00B906E9" w:rsidP="004C79C1">
      <w:pPr>
        <w:pStyle w:val="EndNoteBibliography"/>
        <w:spacing w:after="120"/>
        <w:jc w:val="both"/>
        <w:rPr>
          <w:rFonts w:asciiTheme="minorHAnsi" w:hAnsiTheme="minorHAnsi"/>
        </w:rPr>
      </w:pPr>
      <w:bookmarkStart w:id="1112" w:name="_ENREF_43"/>
      <w:bookmarkEnd w:id="1111"/>
      <w:r w:rsidRPr="002B7CEB">
        <w:rPr>
          <w:rFonts w:asciiTheme="minorHAnsi" w:hAnsiTheme="minorHAnsi"/>
        </w:rPr>
        <w:t xml:space="preserve">Gao, P, Yee, R, Gula, L, Krahn, AD, Skanes, A, Leong-Sit, P, Klein, GJ, Stirrat, J, Fine, N, Pallaveshi, L, Wisenberg, G, Thompson, TR, Prato, F, Drangova, M &amp; White, JA 2012, 'Prediction of arrhythmic events in ischemic and dilated cardiomyopathy patients referred for implantable cardiac defibrillator: evaluation of multiple scar quantification measures for late gadolinium enhancement magnetic resonance imaging', </w:t>
      </w:r>
      <w:r w:rsidRPr="002B7CEB">
        <w:rPr>
          <w:rFonts w:asciiTheme="minorHAnsi" w:hAnsiTheme="minorHAnsi"/>
          <w:i/>
        </w:rPr>
        <w:t>Circ</w:t>
      </w:r>
      <w:r w:rsidR="007A3B01" w:rsidRPr="002B7CEB">
        <w:rPr>
          <w:rFonts w:asciiTheme="minorHAnsi" w:hAnsiTheme="minorHAnsi"/>
          <w:i/>
        </w:rPr>
        <w:t>ulation:</w:t>
      </w:r>
      <w:r w:rsidRPr="002B7CEB">
        <w:rPr>
          <w:rFonts w:asciiTheme="minorHAnsi" w:hAnsiTheme="minorHAnsi"/>
          <w:i/>
        </w:rPr>
        <w:t xml:space="preserve"> Cardiovasc</w:t>
      </w:r>
      <w:r w:rsidR="007A3B01"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5, no. 4, pp. 448</w:t>
      </w:r>
      <w:r w:rsidR="007A3B01" w:rsidRPr="002B7CEB">
        <w:rPr>
          <w:rFonts w:asciiTheme="minorHAnsi" w:hAnsiTheme="minorHAnsi"/>
        </w:rPr>
        <w:t>–</w:t>
      </w:r>
      <w:r w:rsidRPr="002B7CEB">
        <w:rPr>
          <w:rFonts w:asciiTheme="minorHAnsi" w:hAnsiTheme="minorHAnsi"/>
        </w:rPr>
        <w:t>456.</w:t>
      </w:r>
    </w:p>
    <w:p w14:paraId="09747D4B" w14:textId="4DE85735" w:rsidR="00B906E9" w:rsidRPr="002B7CEB" w:rsidRDefault="00B906E9" w:rsidP="004C79C1">
      <w:pPr>
        <w:pStyle w:val="EndNoteBibliography"/>
        <w:spacing w:after="120"/>
        <w:jc w:val="both"/>
        <w:rPr>
          <w:rFonts w:asciiTheme="minorHAnsi" w:hAnsiTheme="minorHAnsi"/>
        </w:rPr>
      </w:pPr>
      <w:bookmarkStart w:id="1113" w:name="_ENREF_44"/>
      <w:bookmarkEnd w:id="1112"/>
      <w:r w:rsidRPr="002B7CEB">
        <w:rPr>
          <w:rFonts w:asciiTheme="minorHAnsi" w:hAnsiTheme="minorHAnsi"/>
        </w:rPr>
        <w:t xml:space="preserve">Ghelani, SJ, Glatz, AC, David, S, Leahy, R, Hirsch, R, Armsby, LB, Trucco, SM, Holzer, RJ &amp; Bergersen, L 2014, 'Radiation </w:t>
      </w:r>
      <w:r w:rsidR="007A3B01" w:rsidRPr="002B7CEB">
        <w:rPr>
          <w:rFonts w:asciiTheme="minorHAnsi" w:hAnsiTheme="minorHAnsi"/>
        </w:rPr>
        <w:t>d</w:t>
      </w:r>
      <w:r w:rsidRPr="002B7CEB">
        <w:rPr>
          <w:rFonts w:asciiTheme="minorHAnsi" w:hAnsiTheme="minorHAnsi"/>
        </w:rPr>
        <w:t xml:space="preserve">ose </w:t>
      </w:r>
      <w:r w:rsidR="007A3B01" w:rsidRPr="002B7CEB">
        <w:rPr>
          <w:rFonts w:asciiTheme="minorHAnsi" w:hAnsiTheme="minorHAnsi"/>
        </w:rPr>
        <w:t>b</w:t>
      </w:r>
      <w:r w:rsidRPr="002B7CEB">
        <w:rPr>
          <w:rFonts w:asciiTheme="minorHAnsi" w:hAnsiTheme="minorHAnsi"/>
        </w:rPr>
        <w:t xml:space="preserve">enchmarks </w:t>
      </w:r>
      <w:r w:rsidR="007A3B01" w:rsidRPr="002B7CEB">
        <w:rPr>
          <w:rFonts w:asciiTheme="minorHAnsi" w:hAnsiTheme="minorHAnsi"/>
        </w:rPr>
        <w:t>d</w:t>
      </w:r>
      <w:r w:rsidRPr="002B7CEB">
        <w:rPr>
          <w:rFonts w:asciiTheme="minorHAnsi" w:hAnsiTheme="minorHAnsi"/>
        </w:rPr>
        <w:t xml:space="preserve">uring </w:t>
      </w:r>
      <w:r w:rsidR="007A3B01" w:rsidRPr="002B7CEB">
        <w:rPr>
          <w:rFonts w:asciiTheme="minorHAnsi" w:hAnsiTheme="minorHAnsi"/>
        </w:rPr>
        <w:t>c</w:t>
      </w:r>
      <w:r w:rsidRPr="002B7CEB">
        <w:rPr>
          <w:rFonts w:asciiTheme="minorHAnsi" w:hAnsiTheme="minorHAnsi"/>
        </w:rPr>
        <w:t xml:space="preserve">ardiac </w:t>
      </w:r>
      <w:r w:rsidR="007A3B01" w:rsidRPr="002B7CEB">
        <w:rPr>
          <w:rFonts w:asciiTheme="minorHAnsi" w:hAnsiTheme="minorHAnsi"/>
        </w:rPr>
        <w:t>c</w:t>
      </w:r>
      <w:r w:rsidRPr="002B7CEB">
        <w:rPr>
          <w:rFonts w:asciiTheme="minorHAnsi" w:hAnsiTheme="minorHAnsi"/>
        </w:rPr>
        <w:t xml:space="preserve">atheterization for </w:t>
      </w:r>
      <w:r w:rsidR="007A3B01" w:rsidRPr="002B7CEB">
        <w:rPr>
          <w:rFonts w:asciiTheme="minorHAnsi" w:hAnsiTheme="minorHAnsi"/>
        </w:rPr>
        <w:t>c</w:t>
      </w:r>
      <w:r w:rsidRPr="002B7CEB">
        <w:rPr>
          <w:rFonts w:asciiTheme="minorHAnsi" w:hAnsiTheme="minorHAnsi"/>
        </w:rPr>
        <w:t xml:space="preserve">ongenital </w:t>
      </w:r>
      <w:r w:rsidR="007A3B01" w:rsidRPr="002B7CEB">
        <w:rPr>
          <w:rFonts w:asciiTheme="minorHAnsi" w:hAnsiTheme="minorHAnsi"/>
        </w:rPr>
        <w:t>h</w:t>
      </w:r>
      <w:r w:rsidRPr="002B7CEB">
        <w:rPr>
          <w:rFonts w:asciiTheme="minorHAnsi" w:hAnsiTheme="minorHAnsi"/>
        </w:rPr>
        <w:t xml:space="preserve">eart </w:t>
      </w:r>
      <w:r w:rsidR="007A3B01" w:rsidRPr="002B7CEB">
        <w:rPr>
          <w:rFonts w:asciiTheme="minorHAnsi" w:hAnsiTheme="minorHAnsi"/>
        </w:rPr>
        <w:t>d</w:t>
      </w:r>
      <w:r w:rsidRPr="002B7CEB">
        <w:rPr>
          <w:rFonts w:asciiTheme="minorHAnsi" w:hAnsiTheme="minorHAnsi"/>
        </w:rPr>
        <w:t xml:space="preserve">isease in the United States', </w:t>
      </w:r>
      <w:r w:rsidRPr="002B7CEB">
        <w:rPr>
          <w:rFonts w:asciiTheme="minorHAnsi" w:hAnsiTheme="minorHAnsi"/>
          <w:i/>
        </w:rPr>
        <w:t>JACC: Cardiovascular Interventions</w:t>
      </w:r>
      <w:r w:rsidRPr="002B7CEB">
        <w:rPr>
          <w:rFonts w:asciiTheme="minorHAnsi" w:hAnsiTheme="minorHAnsi"/>
        </w:rPr>
        <w:t>, vol. 7, no. 9, pp. 1060</w:t>
      </w:r>
      <w:r w:rsidR="007A3B01" w:rsidRPr="002B7CEB">
        <w:rPr>
          <w:rFonts w:asciiTheme="minorHAnsi" w:hAnsiTheme="minorHAnsi"/>
        </w:rPr>
        <w:t>–</w:t>
      </w:r>
      <w:r w:rsidRPr="002B7CEB">
        <w:rPr>
          <w:rFonts w:asciiTheme="minorHAnsi" w:hAnsiTheme="minorHAnsi"/>
        </w:rPr>
        <w:t>1069.</w:t>
      </w:r>
    </w:p>
    <w:p w14:paraId="193397AF" w14:textId="23BDE006" w:rsidR="00B906E9" w:rsidRPr="002B7CEB" w:rsidRDefault="00B906E9" w:rsidP="004C79C1">
      <w:pPr>
        <w:pStyle w:val="EndNoteBibliography"/>
        <w:spacing w:after="120"/>
        <w:jc w:val="both"/>
        <w:rPr>
          <w:rFonts w:asciiTheme="minorHAnsi" w:hAnsiTheme="minorHAnsi"/>
        </w:rPr>
      </w:pPr>
      <w:bookmarkStart w:id="1114" w:name="_ENREF_45"/>
      <w:bookmarkEnd w:id="1113"/>
      <w:r w:rsidRPr="002B7CEB">
        <w:rPr>
          <w:rFonts w:asciiTheme="minorHAnsi" w:hAnsiTheme="minorHAnsi"/>
        </w:rPr>
        <w:t xml:space="preserve">Grimm, W 2012, 'Prophylactic implantable defibrillators in dilated cardiomyopathy', </w:t>
      </w:r>
      <w:r w:rsidRPr="002B7CEB">
        <w:rPr>
          <w:rFonts w:asciiTheme="minorHAnsi" w:hAnsiTheme="minorHAnsi"/>
          <w:i/>
        </w:rPr>
        <w:t>Herz</w:t>
      </w:r>
      <w:r w:rsidRPr="002B7CEB">
        <w:rPr>
          <w:rFonts w:asciiTheme="minorHAnsi" w:hAnsiTheme="minorHAnsi"/>
        </w:rPr>
        <w:t>, vol. 37, no. 8, pp. 859</w:t>
      </w:r>
      <w:r w:rsidR="00F679C3" w:rsidRPr="002B7CEB">
        <w:rPr>
          <w:rFonts w:asciiTheme="minorHAnsi" w:hAnsiTheme="minorHAnsi"/>
        </w:rPr>
        <w:t>–</w:t>
      </w:r>
      <w:r w:rsidRPr="002B7CEB">
        <w:rPr>
          <w:rFonts w:asciiTheme="minorHAnsi" w:hAnsiTheme="minorHAnsi"/>
        </w:rPr>
        <w:t>866.</w:t>
      </w:r>
    </w:p>
    <w:p w14:paraId="29024A26" w14:textId="560B3E81" w:rsidR="00B906E9" w:rsidRPr="002B7CEB" w:rsidRDefault="00B906E9" w:rsidP="004C79C1">
      <w:pPr>
        <w:pStyle w:val="EndNoteBibliography"/>
        <w:spacing w:after="120"/>
        <w:jc w:val="both"/>
        <w:rPr>
          <w:rFonts w:asciiTheme="minorHAnsi" w:hAnsiTheme="minorHAnsi"/>
        </w:rPr>
      </w:pPr>
      <w:bookmarkStart w:id="1115" w:name="_ENREF_46"/>
      <w:bookmarkEnd w:id="1114"/>
      <w:r w:rsidRPr="002B7CEB">
        <w:rPr>
          <w:rFonts w:asciiTheme="minorHAnsi" w:hAnsiTheme="minorHAnsi"/>
        </w:rPr>
        <w:t xml:space="preserve">Grimm, W, Plachta, E &amp; Maisch, B 2006, 'Antitachycardia pacing for spontaneous rapid ventricular tachycardia in patients with prophylactic </w:t>
      </w:r>
      <w:r w:rsidR="0026063B">
        <w:rPr>
          <w:rFonts w:asciiTheme="minorHAnsi" w:hAnsiTheme="minorHAnsi"/>
        </w:rPr>
        <w:t>cardioverter defibrillator</w:t>
      </w:r>
      <w:r w:rsidRPr="002B7CEB">
        <w:rPr>
          <w:rFonts w:asciiTheme="minorHAnsi" w:hAnsiTheme="minorHAnsi"/>
        </w:rPr>
        <w:t xml:space="preserve"> therapy', </w:t>
      </w:r>
      <w:r w:rsidRPr="002B7CEB">
        <w:rPr>
          <w:rFonts w:asciiTheme="minorHAnsi" w:hAnsiTheme="minorHAnsi"/>
          <w:i/>
        </w:rPr>
        <w:t xml:space="preserve">Pacing </w:t>
      </w:r>
      <w:r w:rsidR="00567F51" w:rsidRPr="002B7CEB">
        <w:rPr>
          <w:rFonts w:asciiTheme="minorHAnsi" w:hAnsiTheme="minorHAnsi"/>
          <w:i/>
        </w:rPr>
        <w:t xml:space="preserve">and </w:t>
      </w:r>
      <w:r w:rsidRPr="002B7CEB">
        <w:rPr>
          <w:rFonts w:asciiTheme="minorHAnsi" w:hAnsiTheme="minorHAnsi"/>
          <w:i/>
        </w:rPr>
        <w:t>Clin</w:t>
      </w:r>
      <w:r w:rsidR="00567F51" w:rsidRPr="002B7CEB">
        <w:rPr>
          <w:rFonts w:asciiTheme="minorHAnsi" w:hAnsiTheme="minorHAnsi"/>
          <w:i/>
        </w:rPr>
        <w:t>ical</w:t>
      </w:r>
      <w:r w:rsidRPr="002B7CEB">
        <w:rPr>
          <w:rFonts w:asciiTheme="minorHAnsi" w:hAnsiTheme="minorHAnsi"/>
          <w:i/>
        </w:rPr>
        <w:t xml:space="preserve"> Electrophysiol</w:t>
      </w:r>
      <w:r w:rsidR="00567F51" w:rsidRPr="002B7CEB">
        <w:rPr>
          <w:rFonts w:asciiTheme="minorHAnsi" w:hAnsiTheme="minorHAnsi"/>
          <w:i/>
        </w:rPr>
        <w:t>ogy</w:t>
      </w:r>
      <w:r w:rsidRPr="002B7CEB">
        <w:rPr>
          <w:rFonts w:asciiTheme="minorHAnsi" w:hAnsiTheme="minorHAnsi"/>
        </w:rPr>
        <w:t>, vol. 29, no. 7, pp. 759</w:t>
      </w:r>
      <w:r w:rsidR="00567F51" w:rsidRPr="002B7CEB">
        <w:rPr>
          <w:rFonts w:asciiTheme="minorHAnsi" w:hAnsiTheme="minorHAnsi"/>
        </w:rPr>
        <w:t>–</w:t>
      </w:r>
      <w:r w:rsidRPr="002B7CEB">
        <w:rPr>
          <w:rFonts w:asciiTheme="minorHAnsi" w:hAnsiTheme="minorHAnsi"/>
        </w:rPr>
        <w:t>764.</w:t>
      </w:r>
    </w:p>
    <w:p w14:paraId="54D57E33" w14:textId="5BE13C91" w:rsidR="00B906E9" w:rsidRPr="002B7CEB" w:rsidRDefault="00B906E9" w:rsidP="004C79C1">
      <w:pPr>
        <w:pStyle w:val="EndNoteBibliography"/>
        <w:spacing w:after="120"/>
        <w:jc w:val="both"/>
        <w:rPr>
          <w:rFonts w:asciiTheme="minorHAnsi" w:hAnsiTheme="minorHAnsi"/>
        </w:rPr>
      </w:pPr>
      <w:bookmarkStart w:id="1116" w:name="_ENREF_47"/>
      <w:bookmarkEnd w:id="1115"/>
      <w:r w:rsidRPr="002B7CEB">
        <w:rPr>
          <w:rFonts w:asciiTheme="minorHAnsi" w:hAnsiTheme="minorHAnsi"/>
        </w:rPr>
        <w:t xml:space="preserve">Gulati, A, Jabbour, A, Ismail, TF, Guha, K, Khwaja, J, Raza, S, Morarji, K, Brown, TD, Ismail, NA, Dweck, MR, Di Pietro, E, Roughton, M, Wage, R, Daryani, Y, O'Hanlon, R, Sheppard, MN, Alpendurada, F, Lyon, AR, Cook, SA, Cowie, MR, Assomull, RG, Pennell, DJ &amp; Prasad, SK 2013, 'Association of fibrosis with mortality and sudden cardiac death in patients with nonischemic dilated cardiomyopathy', </w:t>
      </w:r>
      <w:r w:rsidRPr="002B7CEB">
        <w:rPr>
          <w:rFonts w:asciiTheme="minorHAnsi" w:hAnsiTheme="minorHAnsi"/>
          <w:i/>
        </w:rPr>
        <w:t>JAMA</w:t>
      </w:r>
      <w:r w:rsidRPr="002B7CEB">
        <w:rPr>
          <w:rFonts w:asciiTheme="minorHAnsi" w:hAnsiTheme="minorHAnsi"/>
        </w:rPr>
        <w:t>, vol. 309, no. 9, pp. 896</w:t>
      </w:r>
      <w:r w:rsidR="00175875" w:rsidRPr="002B7CEB">
        <w:rPr>
          <w:rFonts w:asciiTheme="minorHAnsi" w:hAnsiTheme="minorHAnsi"/>
        </w:rPr>
        <w:t>–</w:t>
      </w:r>
      <w:r w:rsidRPr="002B7CEB">
        <w:rPr>
          <w:rFonts w:asciiTheme="minorHAnsi" w:hAnsiTheme="minorHAnsi"/>
        </w:rPr>
        <w:t>908.</w:t>
      </w:r>
    </w:p>
    <w:p w14:paraId="1AB0BCAC" w14:textId="4D67301C" w:rsidR="00B906E9" w:rsidRPr="002B7CEB" w:rsidRDefault="00B906E9" w:rsidP="004C79C1">
      <w:pPr>
        <w:pStyle w:val="EndNoteBibliography"/>
        <w:spacing w:after="120"/>
        <w:jc w:val="both"/>
        <w:rPr>
          <w:rFonts w:asciiTheme="minorHAnsi" w:hAnsiTheme="minorHAnsi"/>
        </w:rPr>
      </w:pPr>
      <w:bookmarkStart w:id="1117" w:name="_ENREF_48"/>
      <w:bookmarkEnd w:id="1116"/>
      <w:r w:rsidRPr="002B7CEB">
        <w:rPr>
          <w:rFonts w:asciiTheme="minorHAnsi" w:hAnsiTheme="minorHAnsi"/>
        </w:rPr>
        <w:t xml:space="preserve">Guyatt, G, Oxman, AD, Akl, EA, Kunz, R, Vist, G, Brozek, J, Norris, S, Falck-Ytter, Y, Glasziou, P, DeBeer, H, Jaeschke, R, Rind, D, Meerpohl, J, Dahm, P &amp; Schunemann, HJ 2011, 'GRADE guidelines: 1. Introduction-GRADE evidence profiles and summary of findings tables', </w:t>
      </w:r>
      <w:r w:rsidRPr="002B7CEB">
        <w:rPr>
          <w:rFonts w:asciiTheme="minorHAnsi" w:hAnsiTheme="minorHAnsi"/>
          <w:i/>
        </w:rPr>
        <w:t>J</w:t>
      </w:r>
      <w:r w:rsidR="00175875" w:rsidRPr="002B7CEB">
        <w:rPr>
          <w:rFonts w:asciiTheme="minorHAnsi" w:hAnsiTheme="minorHAnsi"/>
          <w:i/>
        </w:rPr>
        <w:t>ournal of</w:t>
      </w:r>
      <w:r w:rsidRPr="002B7CEB">
        <w:rPr>
          <w:rFonts w:asciiTheme="minorHAnsi" w:hAnsiTheme="minorHAnsi"/>
          <w:i/>
        </w:rPr>
        <w:t xml:space="preserve"> Clin</w:t>
      </w:r>
      <w:r w:rsidR="00175875" w:rsidRPr="002B7CEB">
        <w:rPr>
          <w:rFonts w:asciiTheme="minorHAnsi" w:hAnsiTheme="minorHAnsi"/>
          <w:i/>
        </w:rPr>
        <w:t>ical</w:t>
      </w:r>
      <w:r w:rsidRPr="002B7CEB">
        <w:rPr>
          <w:rFonts w:asciiTheme="minorHAnsi" w:hAnsiTheme="minorHAnsi"/>
          <w:i/>
        </w:rPr>
        <w:t xml:space="preserve"> Epidemiol</w:t>
      </w:r>
      <w:r w:rsidR="00175875" w:rsidRPr="002B7CEB">
        <w:rPr>
          <w:rFonts w:asciiTheme="minorHAnsi" w:hAnsiTheme="minorHAnsi"/>
          <w:i/>
        </w:rPr>
        <w:t>ogy</w:t>
      </w:r>
      <w:r w:rsidRPr="002B7CEB">
        <w:rPr>
          <w:rFonts w:asciiTheme="minorHAnsi" w:hAnsiTheme="minorHAnsi"/>
        </w:rPr>
        <w:t>, vol. 64, no. 4, pp. 383</w:t>
      </w:r>
      <w:r w:rsidR="00175875" w:rsidRPr="002B7CEB">
        <w:rPr>
          <w:rFonts w:asciiTheme="minorHAnsi" w:hAnsiTheme="minorHAnsi"/>
        </w:rPr>
        <w:t>–</w:t>
      </w:r>
      <w:r w:rsidRPr="002B7CEB">
        <w:rPr>
          <w:rFonts w:asciiTheme="minorHAnsi" w:hAnsiTheme="minorHAnsi"/>
        </w:rPr>
        <w:t>394.</w:t>
      </w:r>
    </w:p>
    <w:p w14:paraId="0BF7CB2F" w14:textId="3F66AF23" w:rsidR="00B906E9" w:rsidRPr="002B7CEB" w:rsidRDefault="00B906E9" w:rsidP="004C79C1">
      <w:pPr>
        <w:pStyle w:val="EndNoteBibliography"/>
        <w:spacing w:after="120"/>
        <w:jc w:val="both"/>
        <w:rPr>
          <w:rFonts w:asciiTheme="minorHAnsi" w:hAnsiTheme="minorHAnsi"/>
        </w:rPr>
      </w:pPr>
      <w:bookmarkStart w:id="1118" w:name="_ENREF_49"/>
      <w:bookmarkEnd w:id="1117"/>
      <w:r w:rsidRPr="002B7CEB">
        <w:rPr>
          <w:rFonts w:asciiTheme="minorHAnsi" w:hAnsiTheme="minorHAnsi"/>
        </w:rPr>
        <w:t xml:space="preserve">Hamilton-Craig, C, Strugnell, WE, Raffel, OC, Porto, I, Walters, DL &amp; Slaughter, RE 2012, 'CT angiography with cardiac MRI: non-invasive functional and anatomical assessment for the etiology in newly diagnosed heart failure', </w:t>
      </w:r>
      <w:r w:rsidRPr="002B7CEB">
        <w:rPr>
          <w:rFonts w:asciiTheme="minorHAnsi" w:hAnsiTheme="minorHAnsi"/>
          <w:i/>
        </w:rPr>
        <w:t>Int</w:t>
      </w:r>
      <w:r w:rsidR="00263415" w:rsidRPr="002B7CEB">
        <w:rPr>
          <w:rFonts w:asciiTheme="minorHAnsi" w:hAnsiTheme="minorHAnsi"/>
          <w:i/>
        </w:rPr>
        <w:t>ernational</w:t>
      </w:r>
      <w:r w:rsidRPr="002B7CEB">
        <w:rPr>
          <w:rFonts w:asciiTheme="minorHAnsi" w:hAnsiTheme="minorHAnsi"/>
          <w:i/>
        </w:rPr>
        <w:t xml:space="preserve"> J</w:t>
      </w:r>
      <w:r w:rsidR="00263415" w:rsidRPr="002B7CEB">
        <w:rPr>
          <w:rFonts w:asciiTheme="minorHAnsi" w:hAnsiTheme="minorHAnsi"/>
          <w:i/>
        </w:rPr>
        <w:t>ournal of</w:t>
      </w:r>
      <w:r w:rsidRPr="002B7CEB">
        <w:rPr>
          <w:rFonts w:asciiTheme="minorHAnsi" w:hAnsiTheme="minorHAnsi"/>
          <w:i/>
        </w:rPr>
        <w:t xml:space="preserve"> Cardiovasc</w:t>
      </w:r>
      <w:r w:rsidR="00263415"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28, no. 5, pp. 1111</w:t>
      </w:r>
      <w:r w:rsidR="00263415" w:rsidRPr="002B7CEB">
        <w:rPr>
          <w:rFonts w:asciiTheme="minorHAnsi" w:hAnsiTheme="minorHAnsi"/>
        </w:rPr>
        <w:t>–</w:t>
      </w:r>
      <w:r w:rsidRPr="002B7CEB">
        <w:rPr>
          <w:rFonts w:asciiTheme="minorHAnsi" w:hAnsiTheme="minorHAnsi"/>
        </w:rPr>
        <w:t>1122.</w:t>
      </w:r>
    </w:p>
    <w:p w14:paraId="1306CB7C" w14:textId="6F3E2186" w:rsidR="00B906E9" w:rsidRPr="002B7CEB" w:rsidRDefault="00B906E9" w:rsidP="004C79C1">
      <w:pPr>
        <w:pStyle w:val="EndNoteBibliography"/>
        <w:spacing w:after="120"/>
        <w:jc w:val="both"/>
        <w:rPr>
          <w:rFonts w:asciiTheme="minorHAnsi" w:hAnsiTheme="minorHAnsi"/>
        </w:rPr>
      </w:pPr>
      <w:bookmarkStart w:id="1119" w:name="_ENREF_50"/>
      <w:bookmarkEnd w:id="1118"/>
      <w:r w:rsidRPr="002B7CEB">
        <w:rPr>
          <w:rFonts w:asciiTheme="minorHAnsi" w:hAnsiTheme="minorHAnsi"/>
        </w:rPr>
        <w:t xml:space="preserve">Harbron, RW, Pearce, MS, Salotti, JA, McHugh, K, McLaren, C, Abernethy, L, Reed, S, O'Sullivan, J &amp; Chapple, C-L 2015, 'Radiation doses from fluoroscopically guided cardiac catheterization procedures </w:t>
      </w:r>
      <w:r w:rsidRPr="002B7CEB">
        <w:rPr>
          <w:rFonts w:asciiTheme="minorHAnsi" w:hAnsiTheme="minorHAnsi"/>
        </w:rPr>
        <w:lastRenderedPageBreak/>
        <w:t xml:space="preserve">in children and young adults in the United Kingdom: a multicentre study', </w:t>
      </w:r>
      <w:r w:rsidRPr="002B7CEB">
        <w:rPr>
          <w:rFonts w:asciiTheme="minorHAnsi" w:hAnsiTheme="minorHAnsi"/>
          <w:i/>
        </w:rPr>
        <w:t>The British Journal of Radiology</w:t>
      </w:r>
      <w:r w:rsidRPr="002B7CEB">
        <w:rPr>
          <w:rFonts w:asciiTheme="minorHAnsi" w:hAnsiTheme="minorHAnsi"/>
        </w:rPr>
        <w:t>, vol. 88, no. 1048, p</w:t>
      </w:r>
      <w:r w:rsidR="005C36FB" w:rsidRPr="002B7CEB">
        <w:rPr>
          <w:rFonts w:asciiTheme="minorHAnsi" w:hAnsiTheme="minorHAnsi"/>
        </w:rPr>
        <w:t>p</w:t>
      </w:r>
      <w:r w:rsidRPr="002B7CEB">
        <w:rPr>
          <w:rFonts w:asciiTheme="minorHAnsi" w:hAnsiTheme="minorHAnsi"/>
        </w:rPr>
        <w:t>. 20140852.</w:t>
      </w:r>
    </w:p>
    <w:p w14:paraId="1BA2E9C2" w14:textId="486D7461" w:rsidR="00B906E9" w:rsidRPr="002B7CEB" w:rsidRDefault="00B906E9" w:rsidP="004C79C1">
      <w:pPr>
        <w:pStyle w:val="EndNoteBibliography"/>
        <w:spacing w:after="120"/>
        <w:jc w:val="both"/>
        <w:rPr>
          <w:rFonts w:asciiTheme="minorHAnsi" w:hAnsiTheme="minorHAnsi"/>
        </w:rPr>
      </w:pPr>
      <w:bookmarkStart w:id="1120" w:name="_ENREF_51"/>
      <w:bookmarkEnd w:id="1119"/>
      <w:r w:rsidRPr="002B7CEB">
        <w:rPr>
          <w:rFonts w:asciiTheme="minorHAnsi" w:hAnsiTheme="minorHAnsi"/>
        </w:rPr>
        <w:t xml:space="preserve">Hauptman, PJ, Swindle, J, Hussain, Z, Biener, L &amp; Burroughs, TE 2008, 'Physician attitudes toward end-stage heart failure: a national survey', </w:t>
      </w:r>
      <w:r w:rsidRPr="002B7CEB">
        <w:rPr>
          <w:rFonts w:asciiTheme="minorHAnsi" w:hAnsiTheme="minorHAnsi"/>
          <w:i/>
        </w:rPr>
        <w:t>Am</w:t>
      </w:r>
      <w:r w:rsidR="009833D0" w:rsidRPr="002B7CEB">
        <w:rPr>
          <w:rFonts w:asciiTheme="minorHAnsi" w:hAnsiTheme="minorHAnsi"/>
          <w:i/>
        </w:rPr>
        <w:t>erican</w:t>
      </w:r>
      <w:r w:rsidRPr="002B7CEB">
        <w:rPr>
          <w:rFonts w:asciiTheme="minorHAnsi" w:hAnsiTheme="minorHAnsi"/>
          <w:i/>
        </w:rPr>
        <w:t xml:space="preserve"> J</w:t>
      </w:r>
      <w:r w:rsidR="009833D0" w:rsidRPr="002B7CEB">
        <w:rPr>
          <w:rFonts w:asciiTheme="minorHAnsi" w:hAnsiTheme="minorHAnsi"/>
          <w:i/>
        </w:rPr>
        <w:t>ournal of</w:t>
      </w:r>
      <w:r w:rsidRPr="002B7CEB">
        <w:rPr>
          <w:rFonts w:asciiTheme="minorHAnsi" w:hAnsiTheme="minorHAnsi"/>
          <w:i/>
        </w:rPr>
        <w:t xml:space="preserve"> Med</w:t>
      </w:r>
      <w:r w:rsidR="009833D0" w:rsidRPr="002B7CEB">
        <w:rPr>
          <w:rFonts w:asciiTheme="minorHAnsi" w:hAnsiTheme="minorHAnsi"/>
          <w:i/>
        </w:rPr>
        <w:t>icine</w:t>
      </w:r>
      <w:r w:rsidRPr="002B7CEB">
        <w:rPr>
          <w:rFonts w:asciiTheme="minorHAnsi" w:hAnsiTheme="minorHAnsi"/>
        </w:rPr>
        <w:t>, vol. 121, no. 2, pp. 127</w:t>
      </w:r>
      <w:r w:rsidR="009833D0" w:rsidRPr="002B7CEB">
        <w:rPr>
          <w:rFonts w:asciiTheme="minorHAnsi" w:hAnsiTheme="minorHAnsi"/>
        </w:rPr>
        <w:t>–</w:t>
      </w:r>
      <w:r w:rsidRPr="002B7CEB">
        <w:rPr>
          <w:rFonts w:asciiTheme="minorHAnsi" w:hAnsiTheme="minorHAnsi"/>
        </w:rPr>
        <w:t>135.</w:t>
      </w:r>
    </w:p>
    <w:p w14:paraId="5D78516C" w14:textId="3BEFEB75" w:rsidR="00B906E9" w:rsidRPr="002B7CEB" w:rsidRDefault="00B906E9" w:rsidP="004C79C1">
      <w:pPr>
        <w:pStyle w:val="EndNoteBibliography"/>
        <w:spacing w:after="120"/>
        <w:jc w:val="both"/>
        <w:rPr>
          <w:rFonts w:asciiTheme="minorHAnsi" w:hAnsiTheme="minorHAnsi"/>
        </w:rPr>
      </w:pPr>
      <w:bookmarkStart w:id="1121" w:name="_ENREF_52"/>
      <w:bookmarkEnd w:id="1120"/>
      <w:r w:rsidRPr="002B7CEB">
        <w:rPr>
          <w:rFonts w:asciiTheme="minorHAnsi" w:hAnsiTheme="minorHAnsi"/>
        </w:rPr>
        <w:t xml:space="preserve">Hombach, V, Merkle, N, Torzewski, J, Kraus, JM, Kunze, M, Zimmermann, O, Kestler, HA &amp; Wohrle, J 2009, 'Electrocardiographic and cardiac magnetic resonance imaging parameters as predictors of a worse outcome in patients with idiopathic dilated cardiomyopathy', </w:t>
      </w:r>
      <w:r w:rsidRPr="002B7CEB">
        <w:rPr>
          <w:rFonts w:asciiTheme="minorHAnsi" w:hAnsiTheme="minorHAnsi"/>
          <w:i/>
        </w:rPr>
        <w:t>European Heart Journal</w:t>
      </w:r>
      <w:r w:rsidRPr="002B7CEB">
        <w:rPr>
          <w:rFonts w:asciiTheme="minorHAnsi" w:hAnsiTheme="minorHAnsi"/>
        </w:rPr>
        <w:t>, vol. 30, no. 16, pp. 2011</w:t>
      </w:r>
      <w:r w:rsidR="006D558B" w:rsidRPr="002B7CEB">
        <w:rPr>
          <w:rFonts w:asciiTheme="minorHAnsi" w:hAnsiTheme="minorHAnsi"/>
        </w:rPr>
        <w:t>–</w:t>
      </w:r>
      <w:r w:rsidRPr="002B7CEB">
        <w:rPr>
          <w:rFonts w:asciiTheme="minorHAnsi" w:hAnsiTheme="minorHAnsi"/>
        </w:rPr>
        <w:t>2018.</w:t>
      </w:r>
    </w:p>
    <w:p w14:paraId="730D617E" w14:textId="3E2CADBF" w:rsidR="00B906E9" w:rsidRPr="002B7CEB" w:rsidRDefault="00B906E9" w:rsidP="004C79C1">
      <w:pPr>
        <w:pStyle w:val="EndNoteBibliography"/>
        <w:spacing w:after="120"/>
        <w:jc w:val="both"/>
        <w:rPr>
          <w:rFonts w:asciiTheme="minorHAnsi" w:hAnsiTheme="minorHAnsi"/>
        </w:rPr>
      </w:pPr>
      <w:bookmarkStart w:id="1122" w:name="_ENREF_53"/>
      <w:bookmarkEnd w:id="1121"/>
      <w:r w:rsidRPr="002B7CEB">
        <w:rPr>
          <w:rFonts w:asciiTheme="minorHAnsi" w:hAnsiTheme="minorHAnsi"/>
        </w:rPr>
        <w:t xml:space="preserve">Hundley, WG, Bluemke, DA, Finn, JP, Flamm, SD, Fogel, MA, Friedrich, MG, Ho, VB, Jerosch-Herold, M, Kramer, CM, Manning, WJ, Patel, M, Pohost, GM, Stillman, AE, White, RD &amp; Woodard, PK 2010, 'ACCF/ACR/AHA/NASCI/SCMR 2010 expert consensus document on cardiovascular magnetic resonance: a report of the American College of Cardiology Foundation Task Force on Expert Consensus Documents', </w:t>
      </w:r>
      <w:r w:rsidRPr="002B7CEB">
        <w:rPr>
          <w:rFonts w:asciiTheme="minorHAnsi" w:hAnsiTheme="minorHAnsi"/>
          <w:i/>
        </w:rPr>
        <w:t>J</w:t>
      </w:r>
      <w:r w:rsidR="00AC45D9" w:rsidRPr="002B7CEB">
        <w:rPr>
          <w:rFonts w:asciiTheme="minorHAnsi" w:hAnsiTheme="minorHAnsi"/>
          <w:i/>
        </w:rPr>
        <w:t>ournal of the</w:t>
      </w:r>
      <w:r w:rsidRPr="002B7CEB">
        <w:rPr>
          <w:rFonts w:asciiTheme="minorHAnsi" w:hAnsiTheme="minorHAnsi"/>
          <w:i/>
        </w:rPr>
        <w:t xml:space="preserve"> Am</w:t>
      </w:r>
      <w:r w:rsidR="00AC45D9" w:rsidRPr="002B7CEB">
        <w:rPr>
          <w:rFonts w:asciiTheme="minorHAnsi" w:hAnsiTheme="minorHAnsi"/>
          <w:i/>
        </w:rPr>
        <w:t>erican</w:t>
      </w:r>
      <w:r w:rsidRPr="002B7CEB">
        <w:rPr>
          <w:rFonts w:asciiTheme="minorHAnsi" w:hAnsiTheme="minorHAnsi"/>
          <w:i/>
        </w:rPr>
        <w:t xml:space="preserve"> Coll</w:t>
      </w:r>
      <w:r w:rsidR="00AC45D9" w:rsidRPr="002B7CEB">
        <w:rPr>
          <w:rFonts w:asciiTheme="minorHAnsi" w:hAnsiTheme="minorHAnsi"/>
          <w:i/>
        </w:rPr>
        <w:t>ege of</w:t>
      </w:r>
      <w:r w:rsidRPr="002B7CEB">
        <w:rPr>
          <w:rFonts w:asciiTheme="minorHAnsi" w:hAnsiTheme="minorHAnsi"/>
          <w:i/>
        </w:rPr>
        <w:t xml:space="preserve"> Cardiol</w:t>
      </w:r>
      <w:r w:rsidR="00AC45D9" w:rsidRPr="002B7CEB">
        <w:rPr>
          <w:rFonts w:asciiTheme="minorHAnsi" w:hAnsiTheme="minorHAnsi"/>
          <w:i/>
        </w:rPr>
        <w:t>ogy</w:t>
      </w:r>
      <w:r w:rsidRPr="002B7CEB">
        <w:rPr>
          <w:rFonts w:asciiTheme="minorHAnsi" w:hAnsiTheme="minorHAnsi"/>
        </w:rPr>
        <w:t>, vol. 55, no. 23, pp. 2614</w:t>
      </w:r>
      <w:r w:rsidR="00AC45D9" w:rsidRPr="002B7CEB">
        <w:rPr>
          <w:rFonts w:asciiTheme="minorHAnsi" w:hAnsiTheme="minorHAnsi"/>
        </w:rPr>
        <w:t>–</w:t>
      </w:r>
      <w:r w:rsidRPr="002B7CEB">
        <w:rPr>
          <w:rFonts w:asciiTheme="minorHAnsi" w:hAnsiTheme="minorHAnsi"/>
        </w:rPr>
        <w:t>2662.</w:t>
      </w:r>
    </w:p>
    <w:p w14:paraId="50DB76D9" w14:textId="17C21249" w:rsidR="00B906E9" w:rsidRPr="002B7CEB" w:rsidRDefault="00B906E9" w:rsidP="004C79C1">
      <w:pPr>
        <w:pStyle w:val="EndNoteBibliography"/>
        <w:spacing w:after="120"/>
        <w:jc w:val="both"/>
        <w:rPr>
          <w:rFonts w:asciiTheme="minorHAnsi" w:hAnsiTheme="minorHAnsi"/>
        </w:rPr>
      </w:pPr>
      <w:bookmarkStart w:id="1123" w:name="_ENREF_54"/>
      <w:bookmarkEnd w:id="1122"/>
      <w:r w:rsidRPr="002B7CEB">
        <w:rPr>
          <w:rFonts w:asciiTheme="minorHAnsi" w:hAnsiTheme="minorHAnsi"/>
        </w:rPr>
        <w:t xml:space="preserve">Iles, L, Pfluger, H, Lefkovits, L, Butler, MJ, Kistler, PM, Kaye, DM &amp; Taylor, AJ 2011, 'Myocardial fibrosis predicts appropriate device therapy in patients with implantable </w:t>
      </w:r>
      <w:r w:rsidR="0026063B">
        <w:rPr>
          <w:rFonts w:asciiTheme="minorHAnsi" w:hAnsiTheme="minorHAnsi"/>
        </w:rPr>
        <w:t>cardioverter defibrillator</w:t>
      </w:r>
      <w:r w:rsidRPr="002B7CEB">
        <w:rPr>
          <w:rFonts w:asciiTheme="minorHAnsi" w:hAnsiTheme="minorHAnsi"/>
        </w:rPr>
        <w:t xml:space="preserve">s for primary prevention of sudden cardiac death', </w:t>
      </w:r>
      <w:r w:rsidRPr="002B7CEB">
        <w:rPr>
          <w:rFonts w:asciiTheme="minorHAnsi" w:hAnsiTheme="minorHAnsi"/>
          <w:i/>
        </w:rPr>
        <w:t>J</w:t>
      </w:r>
      <w:r w:rsidR="00AC45D9" w:rsidRPr="002B7CEB">
        <w:rPr>
          <w:rFonts w:asciiTheme="minorHAnsi" w:hAnsiTheme="minorHAnsi"/>
          <w:i/>
        </w:rPr>
        <w:t>ournal of the</w:t>
      </w:r>
      <w:r w:rsidRPr="002B7CEB">
        <w:rPr>
          <w:rFonts w:asciiTheme="minorHAnsi" w:hAnsiTheme="minorHAnsi"/>
          <w:i/>
        </w:rPr>
        <w:t xml:space="preserve"> Am</w:t>
      </w:r>
      <w:r w:rsidR="00AC45D9" w:rsidRPr="002B7CEB">
        <w:rPr>
          <w:rFonts w:asciiTheme="minorHAnsi" w:hAnsiTheme="minorHAnsi"/>
          <w:i/>
        </w:rPr>
        <w:t>erican</w:t>
      </w:r>
      <w:r w:rsidRPr="002B7CEB">
        <w:rPr>
          <w:rFonts w:asciiTheme="minorHAnsi" w:hAnsiTheme="minorHAnsi"/>
          <w:i/>
        </w:rPr>
        <w:t xml:space="preserve"> Coll</w:t>
      </w:r>
      <w:r w:rsidR="00170629" w:rsidRPr="002B7CEB">
        <w:rPr>
          <w:rFonts w:asciiTheme="minorHAnsi" w:hAnsiTheme="minorHAnsi"/>
          <w:i/>
        </w:rPr>
        <w:t>ege of</w:t>
      </w:r>
      <w:r w:rsidRPr="002B7CEB">
        <w:rPr>
          <w:rFonts w:asciiTheme="minorHAnsi" w:hAnsiTheme="minorHAnsi"/>
          <w:i/>
        </w:rPr>
        <w:t xml:space="preserve"> Cardiol</w:t>
      </w:r>
      <w:r w:rsidR="00170629" w:rsidRPr="002B7CEB">
        <w:rPr>
          <w:rFonts w:asciiTheme="minorHAnsi" w:hAnsiTheme="minorHAnsi"/>
          <w:i/>
        </w:rPr>
        <w:t>ogy</w:t>
      </w:r>
      <w:r w:rsidRPr="002B7CEB">
        <w:rPr>
          <w:rFonts w:asciiTheme="minorHAnsi" w:hAnsiTheme="minorHAnsi"/>
        </w:rPr>
        <w:t>, vol. 57, no. 7, pp. 821</w:t>
      </w:r>
      <w:r w:rsidR="00170629" w:rsidRPr="002B7CEB">
        <w:rPr>
          <w:rFonts w:asciiTheme="minorHAnsi" w:hAnsiTheme="minorHAnsi"/>
        </w:rPr>
        <w:t>–</w:t>
      </w:r>
      <w:r w:rsidRPr="002B7CEB">
        <w:rPr>
          <w:rFonts w:asciiTheme="minorHAnsi" w:hAnsiTheme="minorHAnsi"/>
        </w:rPr>
        <w:t>828.</w:t>
      </w:r>
    </w:p>
    <w:bookmarkEnd w:id="1123"/>
    <w:p w14:paraId="35C42E6A" w14:textId="6A961673" w:rsidR="008303C7" w:rsidRPr="002B7CEB" w:rsidRDefault="008303C7" w:rsidP="004C79C1">
      <w:pPr>
        <w:pStyle w:val="EndNoteBibliography"/>
        <w:spacing w:after="120"/>
        <w:jc w:val="both"/>
        <w:rPr>
          <w:rFonts w:asciiTheme="minorHAnsi" w:hAnsiTheme="minorHAnsi"/>
        </w:rPr>
      </w:pPr>
      <w:r w:rsidRPr="002B7CEB">
        <w:rPr>
          <w:rFonts w:asciiTheme="minorHAnsi" w:hAnsiTheme="minorHAnsi"/>
        </w:rPr>
        <w:t xml:space="preserve">Independent Hospital Pricing Authority (IHPA) 2015a, </w:t>
      </w:r>
      <w:r w:rsidRPr="002B7CEB">
        <w:rPr>
          <w:rFonts w:asciiTheme="minorHAnsi" w:hAnsiTheme="minorHAnsi"/>
          <w:i/>
        </w:rPr>
        <w:t>National Eff</w:t>
      </w:r>
      <w:r w:rsidR="00757A76" w:rsidRPr="00445F8A">
        <w:rPr>
          <w:rFonts w:asciiTheme="minorHAnsi" w:hAnsiTheme="minorHAnsi"/>
          <w:i/>
        </w:rPr>
        <w:t>icient Price Determination 2015</w:t>
      </w:r>
      <w:r w:rsidR="00757A76">
        <w:rPr>
          <w:rFonts w:asciiTheme="minorHAnsi" w:hAnsiTheme="minorHAnsi"/>
          <w:i/>
        </w:rPr>
        <w:t>–</w:t>
      </w:r>
      <w:r w:rsidRPr="002B7CEB">
        <w:rPr>
          <w:rFonts w:asciiTheme="minorHAnsi" w:hAnsiTheme="minorHAnsi"/>
          <w:i/>
        </w:rPr>
        <w:t>16, Appendix H - Price weights for admitted acute patients – AR-DRG V7.0</w:t>
      </w:r>
      <w:r w:rsidR="00227713">
        <w:rPr>
          <w:rFonts w:asciiTheme="minorHAnsi" w:hAnsiTheme="minorHAnsi"/>
        </w:rPr>
        <w:t xml:space="preserve">, viewed March 2016, </w:t>
      </w:r>
      <w:hyperlink r:id="rId114" w:tooltip="link to IHPA website" w:history="1">
        <w:r w:rsidR="00227713">
          <w:rPr>
            <w:rStyle w:val="Hyperlink"/>
            <w:rFonts w:asciiTheme="minorHAnsi" w:hAnsiTheme="minorHAnsi"/>
          </w:rPr>
          <w:t>www.ihpa.gov.au</w:t>
        </w:r>
      </w:hyperlink>
      <w:r w:rsidRPr="002B7CEB">
        <w:rPr>
          <w:rFonts w:asciiTheme="minorHAnsi" w:hAnsiTheme="minorHAnsi"/>
        </w:rPr>
        <w:t>.</w:t>
      </w:r>
    </w:p>
    <w:p w14:paraId="14B8F14E" w14:textId="364A6BA2" w:rsidR="008303C7" w:rsidRPr="002B7CEB" w:rsidRDefault="008303C7" w:rsidP="004C79C1">
      <w:pPr>
        <w:pStyle w:val="EndNoteBibliography"/>
        <w:spacing w:after="120"/>
        <w:jc w:val="both"/>
        <w:rPr>
          <w:rFonts w:asciiTheme="minorHAnsi" w:hAnsiTheme="minorHAnsi"/>
        </w:rPr>
      </w:pPr>
      <w:r w:rsidRPr="002B7CEB">
        <w:rPr>
          <w:rFonts w:asciiTheme="minorHAnsi" w:hAnsiTheme="minorHAnsi"/>
        </w:rPr>
        <w:t xml:space="preserve">Independent Hospital Pricing Authority (IHPA) 2015b, </w:t>
      </w:r>
      <w:r w:rsidRPr="002B7CEB">
        <w:rPr>
          <w:rFonts w:asciiTheme="minorHAnsi" w:hAnsiTheme="minorHAnsi"/>
          <w:i/>
        </w:rPr>
        <w:t>National Hospital Cost Data Collection (NHCDC), Round 18</w:t>
      </w:r>
      <w:r w:rsidR="00757A76" w:rsidRPr="00445F8A">
        <w:rPr>
          <w:rFonts w:asciiTheme="minorHAnsi" w:hAnsiTheme="minorHAnsi"/>
          <w:i/>
        </w:rPr>
        <w:t xml:space="preserve"> Private Sector Overnight (2013</w:t>
      </w:r>
      <w:r w:rsidR="00757A76">
        <w:rPr>
          <w:rFonts w:asciiTheme="minorHAnsi" w:hAnsiTheme="minorHAnsi"/>
          <w:i/>
        </w:rPr>
        <w:t>–</w:t>
      </w:r>
      <w:r w:rsidRPr="002B7CEB">
        <w:rPr>
          <w:rFonts w:asciiTheme="minorHAnsi" w:hAnsiTheme="minorHAnsi"/>
          <w:i/>
        </w:rPr>
        <w:t>14), Appendix E-National Consolidation Cost Weight tables- AR-DRG V6.0X</w:t>
      </w:r>
      <w:r w:rsidR="00227713">
        <w:rPr>
          <w:rFonts w:asciiTheme="minorHAnsi" w:hAnsiTheme="minorHAnsi"/>
        </w:rPr>
        <w:t xml:space="preserve">, viewed March 2016, </w:t>
      </w:r>
      <w:hyperlink r:id="rId115" w:tooltip="link to IHPA website" w:history="1">
        <w:r w:rsidR="00227713">
          <w:rPr>
            <w:rStyle w:val="Hyperlink"/>
            <w:rFonts w:asciiTheme="minorHAnsi" w:hAnsiTheme="minorHAnsi"/>
          </w:rPr>
          <w:t>www.ihpa.gov.au</w:t>
        </w:r>
      </w:hyperlink>
      <w:r w:rsidRPr="002B7CEB">
        <w:rPr>
          <w:rFonts w:asciiTheme="minorHAnsi" w:hAnsiTheme="minorHAnsi"/>
        </w:rPr>
        <w:t>.</w:t>
      </w:r>
    </w:p>
    <w:p w14:paraId="2FC52E45" w14:textId="3C5AC719" w:rsidR="008303C7" w:rsidRPr="002B7CEB" w:rsidRDefault="008303C7" w:rsidP="004C79C1">
      <w:pPr>
        <w:pStyle w:val="EndNoteBibliography"/>
        <w:spacing w:after="120"/>
        <w:jc w:val="both"/>
        <w:rPr>
          <w:rFonts w:asciiTheme="minorHAnsi" w:hAnsiTheme="minorHAnsi"/>
        </w:rPr>
      </w:pPr>
      <w:r w:rsidRPr="002B7CEB">
        <w:rPr>
          <w:rFonts w:asciiTheme="minorHAnsi" w:hAnsiTheme="minorHAnsi"/>
        </w:rPr>
        <w:t xml:space="preserve">Independent Hospital Pricing Authority (IHPA) 2015c, </w:t>
      </w:r>
      <w:r w:rsidRPr="002B7CEB">
        <w:rPr>
          <w:rFonts w:asciiTheme="minorHAnsi" w:hAnsiTheme="minorHAnsi"/>
          <w:i/>
        </w:rPr>
        <w:t>National Hospital Cost Data Collection Australian Pu</w:t>
      </w:r>
      <w:r w:rsidR="00757A76" w:rsidRPr="00445F8A">
        <w:rPr>
          <w:rFonts w:asciiTheme="minorHAnsi" w:hAnsiTheme="minorHAnsi"/>
          <w:i/>
        </w:rPr>
        <w:t>blic Hospitals Cost Report 2013</w:t>
      </w:r>
      <w:r w:rsidR="00757A76">
        <w:rPr>
          <w:rFonts w:asciiTheme="minorHAnsi" w:hAnsiTheme="minorHAnsi"/>
          <w:i/>
        </w:rPr>
        <w:t>–</w:t>
      </w:r>
      <w:r w:rsidRPr="002B7CEB">
        <w:rPr>
          <w:rFonts w:asciiTheme="minorHAnsi" w:hAnsiTheme="minorHAnsi"/>
          <w:i/>
        </w:rPr>
        <w:t>2014, Round 18 Appendix B: Cost Weights (actual) for AR-DRG version 7.0x</w:t>
      </w:r>
      <w:r w:rsidR="00227713">
        <w:rPr>
          <w:rFonts w:asciiTheme="minorHAnsi" w:hAnsiTheme="minorHAnsi"/>
        </w:rPr>
        <w:t xml:space="preserve">, viewed March 2016, </w:t>
      </w:r>
      <w:hyperlink r:id="rId116" w:tooltip="link to IHPA website" w:history="1">
        <w:r w:rsidR="00227713">
          <w:rPr>
            <w:rStyle w:val="Hyperlink"/>
            <w:rFonts w:asciiTheme="minorHAnsi" w:hAnsiTheme="minorHAnsi"/>
          </w:rPr>
          <w:t>www.ihpa.gov.au</w:t>
        </w:r>
      </w:hyperlink>
      <w:r w:rsidRPr="002B7CEB">
        <w:rPr>
          <w:rFonts w:asciiTheme="minorHAnsi" w:hAnsiTheme="minorHAnsi"/>
        </w:rPr>
        <w:t>.</w:t>
      </w:r>
    </w:p>
    <w:p w14:paraId="49A2EE0A" w14:textId="42FD399D" w:rsidR="008303C7" w:rsidRPr="002B7CEB" w:rsidRDefault="008303C7" w:rsidP="004C79C1">
      <w:pPr>
        <w:pStyle w:val="EndNoteBibliography"/>
        <w:spacing w:after="120"/>
        <w:jc w:val="both"/>
        <w:rPr>
          <w:rFonts w:asciiTheme="minorHAnsi" w:hAnsiTheme="minorHAnsi"/>
        </w:rPr>
      </w:pPr>
      <w:r w:rsidRPr="002B7CEB">
        <w:rPr>
          <w:rFonts w:asciiTheme="minorHAnsi" w:hAnsiTheme="minorHAnsi"/>
        </w:rPr>
        <w:t xml:space="preserve">Independent Hospital Pricing Authority (IHPA) 2016, </w:t>
      </w:r>
      <w:r w:rsidRPr="002B7CEB">
        <w:rPr>
          <w:rFonts w:asciiTheme="minorHAnsi" w:hAnsiTheme="minorHAnsi"/>
          <w:i/>
        </w:rPr>
        <w:t>National Efficien</w:t>
      </w:r>
      <w:r w:rsidR="00757A76" w:rsidRPr="00445F8A">
        <w:rPr>
          <w:rFonts w:asciiTheme="minorHAnsi" w:hAnsiTheme="minorHAnsi"/>
          <w:i/>
        </w:rPr>
        <w:t>t Price Determination 2015</w:t>
      </w:r>
      <w:r w:rsidR="00757A76">
        <w:rPr>
          <w:rFonts w:asciiTheme="minorHAnsi" w:hAnsiTheme="minorHAnsi"/>
          <w:i/>
        </w:rPr>
        <w:t>–</w:t>
      </w:r>
      <w:r w:rsidRPr="002B7CEB">
        <w:rPr>
          <w:rFonts w:asciiTheme="minorHAnsi" w:hAnsiTheme="minorHAnsi"/>
          <w:i/>
        </w:rPr>
        <w:t xml:space="preserve">16, Chapter </w:t>
      </w:r>
      <w:r w:rsidR="00757A76" w:rsidRPr="00445F8A">
        <w:rPr>
          <w:rFonts w:asciiTheme="minorHAnsi" w:hAnsiTheme="minorHAnsi"/>
          <w:i/>
        </w:rPr>
        <w:t>2 National Efficient Price 2016</w:t>
      </w:r>
      <w:r w:rsidR="00757A76">
        <w:rPr>
          <w:rFonts w:asciiTheme="minorHAnsi" w:hAnsiTheme="minorHAnsi"/>
          <w:i/>
        </w:rPr>
        <w:t>–</w:t>
      </w:r>
      <w:r w:rsidRPr="002B7CEB">
        <w:rPr>
          <w:rFonts w:asciiTheme="minorHAnsi" w:hAnsiTheme="minorHAnsi"/>
          <w:i/>
        </w:rPr>
        <w:t>17</w:t>
      </w:r>
      <w:r w:rsidR="00227713">
        <w:rPr>
          <w:rFonts w:asciiTheme="minorHAnsi" w:hAnsiTheme="minorHAnsi"/>
        </w:rPr>
        <w:t xml:space="preserve">, viewed March 2016, </w:t>
      </w:r>
      <w:hyperlink r:id="rId117" w:tooltip="link to IHPA website" w:history="1">
        <w:r w:rsidR="00227713">
          <w:rPr>
            <w:rStyle w:val="Hyperlink"/>
            <w:rFonts w:asciiTheme="minorHAnsi" w:hAnsiTheme="minorHAnsi"/>
          </w:rPr>
          <w:t>www.ihpa.gov.au</w:t>
        </w:r>
      </w:hyperlink>
      <w:r w:rsidRPr="002B7CEB">
        <w:rPr>
          <w:rFonts w:asciiTheme="minorHAnsi" w:hAnsiTheme="minorHAnsi"/>
        </w:rPr>
        <w:t>.</w:t>
      </w:r>
    </w:p>
    <w:p w14:paraId="5FFA066F" w14:textId="249046F9" w:rsidR="004255E7" w:rsidRPr="002B7CEB" w:rsidRDefault="004255E7" w:rsidP="004C79C1">
      <w:pPr>
        <w:pStyle w:val="EndNoteBibliography"/>
        <w:spacing w:after="120"/>
        <w:jc w:val="both"/>
        <w:rPr>
          <w:rFonts w:asciiTheme="minorHAnsi" w:hAnsiTheme="minorHAnsi"/>
        </w:rPr>
      </w:pPr>
      <w:r w:rsidRPr="002B7CEB">
        <w:rPr>
          <w:rFonts w:asciiTheme="minorHAnsi" w:hAnsiTheme="minorHAnsi"/>
        </w:rPr>
        <w:t xml:space="preserve">Ingles, J, McGaughran, J, Scuffham, PA, Atherton, J &amp; Semsarian, C 2012, 'A cost-effectiveness model of genetic testing for the evaluation of families with hypertrophic cardiomyopathy', </w:t>
      </w:r>
      <w:r w:rsidRPr="002B7CEB">
        <w:rPr>
          <w:rFonts w:asciiTheme="minorHAnsi" w:hAnsiTheme="minorHAnsi"/>
          <w:i/>
        </w:rPr>
        <w:t>Heart (British Cardiac Society)</w:t>
      </w:r>
      <w:r w:rsidRPr="002B7CEB">
        <w:rPr>
          <w:rFonts w:asciiTheme="minorHAnsi" w:hAnsiTheme="minorHAnsi"/>
        </w:rPr>
        <w:t xml:space="preserve">, vol. 98, no. 8, </w:t>
      </w:r>
      <w:r w:rsidR="00E54EA4" w:rsidRPr="00445F8A">
        <w:rPr>
          <w:rFonts w:asciiTheme="minorHAnsi" w:hAnsiTheme="minorHAnsi"/>
        </w:rPr>
        <w:t>pp. 625</w:t>
      </w:r>
      <w:r w:rsidR="00E54EA4">
        <w:rPr>
          <w:rFonts w:asciiTheme="minorHAnsi" w:hAnsiTheme="minorHAnsi"/>
        </w:rPr>
        <w:t>–</w:t>
      </w:r>
      <w:r w:rsidRPr="002B7CEB">
        <w:rPr>
          <w:rFonts w:asciiTheme="minorHAnsi" w:hAnsiTheme="minorHAnsi"/>
        </w:rPr>
        <w:t>630.</w:t>
      </w:r>
    </w:p>
    <w:p w14:paraId="1D1E0C1C" w14:textId="42903E8D" w:rsidR="00B906E9" w:rsidRPr="002B7CEB" w:rsidRDefault="00B906E9" w:rsidP="004C79C1">
      <w:pPr>
        <w:pStyle w:val="EndNoteBibliography"/>
        <w:spacing w:after="120"/>
        <w:jc w:val="both"/>
        <w:rPr>
          <w:rFonts w:asciiTheme="minorHAnsi" w:hAnsiTheme="minorHAnsi"/>
        </w:rPr>
      </w:pPr>
      <w:bookmarkStart w:id="1124" w:name="_ENREF_55"/>
      <w:r w:rsidRPr="002B7CEB">
        <w:rPr>
          <w:rFonts w:asciiTheme="minorHAnsi" w:hAnsiTheme="minorHAnsi"/>
        </w:rPr>
        <w:t xml:space="preserve">Isogai, T, Yasunaga, H, Matsui, H, Ueda, T, Tanaka, H, Horiguchi, H &amp; Fushimi, K 2015, 'Hospital </w:t>
      </w:r>
      <w:r w:rsidR="00170629" w:rsidRPr="002B7CEB">
        <w:rPr>
          <w:rFonts w:asciiTheme="minorHAnsi" w:hAnsiTheme="minorHAnsi"/>
        </w:rPr>
        <w:t>v</w:t>
      </w:r>
      <w:r w:rsidRPr="002B7CEB">
        <w:rPr>
          <w:rFonts w:asciiTheme="minorHAnsi" w:hAnsiTheme="minorHAnsi"/>
        </w:rPr>
        <w:t xml:space="preserve">olume and </w:t>
      </w:r>
      <w:r w:rsidR="00170629" w:rsidRPr="002B7CEB">
        <w:rPr>
          <w:rFonts w:asciiTheme="minorHAnsi" w:hAnsiTheme="minorHAnsi"/>
        </w:rPr>
        <w:t>c</w:t>
      </w:r>
      <w:r w:rsidRPr="002B7CEB">
        <w:rPr>
          <w:rFonts w:asciiTheme="minorHAnsi" w:hAnsiTheme="minorHAnsi"/>
        </w:rPr>
        <w:t xml:space="preserve">ardiac </w:t>
      </w:r>
      <w:r w:rsidR="00170629" w:rsidRPr="002B7CEB">
        <w:rPr>
          <w:rFonts w:asciiTheme="minorHAnsi" w:hAnsiTheme="minorHAnsi"/>
        </w:rPr>
        <w:t>c</w:t>
      </w:r>
      <w:r w:rsidRPr="002B7CEB">
        <w:rPr>
          <w:rFonts w:asciiTheme="minorHAnsi" w:hAnsiTheme="minorHAnsi"/>
        </w:rPr>
        <w:t xml:space="preserve">omplications of </w:t>
      </w:r>
      <w:r w:rsidR="00170629" w:rsidRPr="002B7CEB">
        <w:rPr>
          <w:rFonts w:asciiTheme="minorHAnsi" w:hAnsiTheme="minorHAnsi"/>
        </w:rPr>
        <w:t>e</w:t>
      </w:r>
      <w:r w:rsidRPr="002B7CEB">
        <w:rPr>
          <w:rFonts w:asciiTheme="minorHAnsi" w:hAnsiTheme="minorHAnsi"/>
        </w:rPr>
        <w:t xml:space="preserve">ndomyocardial </w:t>
      </w:r>
      <w:r w:rsidR="00170629" w:rsidRPr="002B7CEB">
        <w:rPr>
          <w:rFonts w:asciiTheme="minorHAnsi" w:hAnsiTheme="minorHAnsi"/>
        </w:rPr>
        <w:t>b</w:t>
      </w:r>
      <w:r w:rsidRPr="002B7CEB">
        <w:rPr>
          <w:rFonts w:asciiTheme="minorHAnsi" w:hAnsiTheme="minorHAnsi"/>
        </w:rPr>
        <w:t xml:space="preserve">iopsy: </w:t>
      </w:r>
      <w:r w:rsidR="00170629" w:rsidRPr="002B7CEB">
        <w:rPr>
          <w:rFonts w:asciiTheme="minorHAnsi" w:hAnsiTheme="minorHAnsi"/>
        </w:rPr>
        <w:t>a</w:t>
      </w:r>
      <w:r w:rsidRPr="002B7CEB">
        <w:rPr>
          <w:rFonts w:asciiTheme="minorHAnsi" w:hAnsiTheme="minorHAnsi"/>
        </w:rPr>
        <w:t xml:space="preserve"> </w:t>
      </w:r>
      <w:r w:rsidR="00170629" w:rsidRPr="002B7CEB">
        <w:rPr>
          <w:rFonts w:asciiTheme="minorHAnsi" w:hAnsiTheme="minorHAnsi"/>
        </w:rPr>
        <w:t>r</w:t>
      </w:r>
      <w:r w:rsidRPr="002B7CEB">
        <w:rPr>
          <w:rFonts w:asciiTheme="minorHAnsi" w:hAnsiTheme="minorHAnsi"/>
        </w:rPr>
        <w:t xml:space="preserve">etrospective </w:t>
      </w:r>
      <w:r w:rsidR="00170629" w:rsidRPr="002B7CEB">
        <w:rPr>
          <w:rFonts w:asciiTheme="minorHAnsi" w:hAnsiTheme="minorHAnsi"/>
        </w:rPr>
        <w:t>c</w:t>
      </w:r>
      <w:r w:rsidRPr="002B7CEB">
        <w:rPr>
          <w:rFonts w:asciiTheme="minorHAnsi" w:hAnsiTheme="minorHAnsi"/>
        </w:rPr>
        <w:t xml:space="preserve">ohort </w:t>
      </w:r>
      <w:r w:rsidR="00170629" w:rsidRPr="002B7CEB">
        <w:rPr>
          <w:rFonts w:asciiTheme="minorHAnsi" w:hAnsiTheme="minorHAnsi"/>
        </w:rPr>
        <w:t>s</w:t>
      </w:r>
      <w:r w:rsidRPr="002B7CEB">
        <w:rPr>
          <w:rFonts w:asciiTheme="minorHAnsi" w:hAnsiTheme="minorHAnsi"/>
        </w:rPr>
        <w:t>tudy of 9</w:t>
      </w:r>
      <w:r w:rsidR="00170629" w:rsidRPr="002B7CEB">
        <w:rPr>
          <w:rFonts w:asciiTheme="minorHAnsi" w:hAnsiTheme="minorHAnsi"/>
        </w:rPr>
        <w:t>,</w:t>
      </w:r>
      <w:r w:rsidRPr="002B7CEB">
        <w:rPr>
          <w:rFonts w:asciiTheme="minorHAnsi" w:hAnsiTheme="minorHAnsi"/>
        </w:rPr>
        <w:t xml:space="preserve">508 </w:t>
      </w:r>
      <w:r w:rsidR="00170629" w:rsidRPr="002B7CEB">
        <w:rPr>
          <w:rFonts w:asciiTheme="minorHAnsi" w:hAnsiTheme="minorHAnsi"/>
        </w:rPr>
        <w:t>a</w:t>
      </w:r>
      <w:r w:rsidRPr="002B7CEB">
        <w:rPr>
          <w:rFonts w:asciiTheme="minorHAnsi" w:hAnsiTheme="minorHAnsi"/>
        </w:rPr>
        <w:t xml:space="preserve">dult </w:t>
      </w:r>
      <w:r w:rsidR="00170629" w:rsidRPr="002B7CEB">
        <w:rPr>
          <w:rFonts w:asciiTheme="minorHAnsi" w:hAnsiTheme="minorHAnsi"/>
        </w:rPr>
        <w:t>p</w:t>
      </w:r>
      <w:r w:rsidRPr="002B7CEB">
        <w:rPr>
          <w:rFonts w:asciiTheme="minorHAnsi" w:hAnsiTheme="minorHAnsi"/>
        </w:rPr>
        <w:t xml:space="preserve">atients </w:t>
      </w:r>
      <w:r w:rsidR="00170629" w:rsidRPr="002B7CEB">
        <w:rPr>
          <w:rFonts w:asciiTheme="minorHAnsi" w:hAnsiTheme="minorHAnsi"/>
        </w:rPr>
        <w:t>u</w:t>
      </w:r>
      <w:r w:rsidRPr="002B7CEB">
        <w:rPr>
          <w:rFonts w:asciiTheme="minorHAnsi" w:hAnsiTheme="minorHAnsi"/>
        </w:rPr>
        <w:t xml:space="preserve">sing a </w:t>
      </w:r>
      <w:r w:rsidR="00170629" w:rsidRPr="002B7CEB">
        <w:rPr>
          <w:rFonts w:asciiTheme="minorHAnsi" w:hAnsiTheme="minorHAnsi"/>
        </w:rPr>
        <w:t>n</w:t>
      </w:r>
      <w:r w:rsidRPr="002B7CEB">
        <w:rPr>
          <w:rFonts w:asciiTheme="minorHAnsi" w:hAnsiTheme="minorHAnsi"/>
        </w:rPr>
        <w:t xml:space="preserve">ationwide </w:t>
      </w:r>
      <w:r w:rsidR="00170629" w:rsidRPr="002B7CEB">
        <w:rPr>
          <w:rFonts w:asciiTheme="minorHAnsi" w:hAnsiTheme="minorHAnsi"/>
        </w:rPr>
        <w:t>i</w:t>
      </w:r>
      <w:r w:rsidRPr="002B7CEB">
        <w:rPr>
          <w:rFonts w:asciiTheme="minorHAnsi" w:hAnsiTheme="minorHAnsi"/>
        </w:rPr>
        <w:t xml:space="preserve">npatient </w:t>
      </w:r>
      <w:r w:rsidR="00170629" w:rsidRPr="002B7CEB">
        <w:rPr>
          <w:rFonts w:asciiTheme="minorHAnsi" w:hAnsiTheme="minorHAnsi"/>
        </w:rPr>
        <w:t>d</w:t>
      </w:r>
      <w:r w:rsidRPr="002B7CEB">
        <w:rPr>
          <w:rFonts w:asciiTheme="minorHAnsi" w:hAnsiTheme="minorHAnsi"/>
        </w:rPr>
        <w:t xml:space="preserve">atabase in Japan', </w:t>
      </w:r>
      <w:r w:rsidRPr="002B7CEB">
        <w:rPr>
          <w:rFonts w:asciiTheme="minorHAnsi" w:hAnsiTheme="minorHAnsi"/>
          <w:i/>
        </w:rPr>
        <w:t>Clinical Cardiology</w:t>
      </w:r>
      <w:r w:rsidRPr="002B7CEB">
        <w:rPr>
          <w:rFonts w:asciiTheme="minorHAnsi" w:hAnsiTheme="minorHAnsi"/>
        </w:rPr>
        <w:t>, vol. 38, no. 3, pp. 164</w:t>
      </w:r>
      <w:r w:rsidR="00E2106A" w:rsidRPr="002B7CEB">
        <w:rPr>
          <w:rFonts w:asciiTheme="minorHAnsi" w:hAnsiTheme="minorHAnsi"/>
        </w:rPr>
        <w:softHyphen/>
      </w:r>
      <w:r w:rsidRPr="002B7CEB">
        <w:rPr>
          <w:rFonts w:asciiTheme="minorHAnsi" w:hAnsiTheme="minorHAnsi"/>
        </w:rPr>
        <w:t>170.</w:t>
      </w:r>
    </w:p>
    <w:p w14:paraId="0F65F3CB" w14:textId="4A428370" w:rsidR="00B906E9" w:rsidRPr="002B7CEB" w:rsidRDefault="00B906E9" w:rsidP="004C79C1">
      <w:pPr>
        <w:pStyle w:val="EndNoteBibliography"/>
        <w:spacing w:after="120"/>
        <w:jc w:val="both"/>
        <w:rPr>
          <w:rFonts w:asciiTheme="minorHAnsi" w:hAnsiTheme="minorHAnsi"/>
        </w:rPr>
      </w:pPr>
      <w:bookmarkStart w:id="1125" w:name="_ENREF_56"/>
      <w:bookmarkEnd w:id="1124"/>
      <w:r w:rsidRPr="002B7CEB">
        <w:rPr>
          <w:rFonts w:asciiTheme="minorHAnsi" w:hAnsiTheme="minorHAnsi"/>
        </w:rPr>
        <w:t xml:space="preserve">Kadish, A, Schaechter, A, Subacius, H, Thattassery, E, Sanders, W, Anderson, KP, Dyer, A, Goldberger, J &amp; Levine, J 2006, 'Patients with recently diagnosed nonischemic cardiomyopathy benefit from implantable </w:t>
      </w:r>
      <w:r w:rsidR="0026063B">
        <w:rPr>
          <w:rFonts w:asciiTheme="minorHAnsi" w:hAnsiTheme="minorHAnsi"/>
        </w:rPr>
        <w:t>cardioverter defibrillator</w:t>
      </w:r>
      <w:r w:rsidRPr="002B7CEB">
        <w:rPr>
          <w:rFonts w:asciiTheme="minorHAnsi" w:hAnsiTheme="minorHAnsi"/>
        </w:rPr>
        <w:t xml:space="preserve">s', </w:t>
      </w:r>
      <w:r w:rsidRPr="002B7CEB">
        <w:rPr>
          <w:rFonts w:asciiTheme="minorHAnsi" w:hAnsiTheme="minorHAnsi"/>
          <w:i/>
        </w:rPr>
        <w:t>J</w:t>
      </w:r>
      <w:r w:rsidR="002B7575" w:rsidRPr="002B7CEB">
        <w:rPr>
          <w:rFonts w:asciiTheme="minorHAnsi" w:hAnsiTheme="minorHAnsi"/>
          <w:i/>
        </w:rPr>
        <w:t>ournal of the</w:t>
      </w:r>
      <w:r w:rsidRPr="002B7CEB">
        <w:rPr>
          <w:rFonts w:asciiTheme="minorHAnsi" w:hAnsiTheme="minorHAnsi"/>
          <w:i/>
        </w:rPr>
        <w:t xml:space="preserve"> Am</w:t>
      </w:r>
      <w:r w:rsidR="002B7575" w:rsidRPr="002B7CEB">
        <w:rPr>
          <w:rFonts w:asciiTheme="minorHAnsi" w:hAnsiTheme="minorHAnsi"/>
          <w:i/>
        </w:rPr>
        <w:t>erican</w:t>
      </w:r>
      <w:r w:rsidRPr="002B7CEB">
        <w:rPr>
          <w:rFonts w:asciiTheme="minorHAnsi" w:hAnsiTheme="minorHAnsi"/>
          <w:i/>
        </w:rPr>
        <w:t xml:space="preserve"> Coll</w:t>
      </w:r>
      <w:r w:rsidR="002B7575" w:rsidRPr="002B7CEB">
        <w:rPr>
          <w:rFonts w:asciiTheme="minorHAnsi" w:hAnsiTheme="minorHAnsi"/>
          <w:i/>
        </w:rPr>
        <w:t>ege of</w:t>
      </w:r>
      <w:r w:rsidRPr="002B7CEB">
        <w:rPr>
          <w:rFonts w:asciiTheme="minorHAnsi" w:hAnsiTheme="minorHAnsi"/>
          <w:i/>
        </w:rPr>
        <w:t xml:space="preserve"> Cardiol</w:t>
      </w:r>
      <w:r w:rsidR="002B7575" w:rsidRPr="002B7CEB">
        <w:rPr>
          <w:rFonts w:asciiTheme="minorHAnsi" w:hAnsiTheme="minorHAnsi"/>
          <w:i/>
        </w:rPr>
        <w:t>ogy</w:t>
      </w:r>
      <w:r w:rsidRPr="002B7CEB">
        <w:rPr>
          <w:rFonts w:asciiTheme="minorHAnsi" w:hAnsiTheme="minorHAnsi"/>
        </w:rPr>
        <w:t>, vol. 47, no. 12, pp. 2477</w:t>
      </w:r>
      <w:r w:rsidR="002B7575" w:rsidRPr="002B7CEB">
        <w:rPr>
          <w:rFonts w:asciiTheme="minorHAnsi" w:hAnsiTheme="minorHAnsi"/>
        </w:rPr>
        <w:t>–</w:t>
      </w:r>
      <w:r w:rsidRPr="002B7CEB">
        <w:rPr>
          <w:rFonts w:asciiTheme="minorHAnsi" w:hAnsiTheme="minorHAnsi"/>
        </w:rPr>
        <w:t>2482.</w:t>
      </w:r>
    </w:p>
    <w:p w14:paraId="15BA5183" w14:textId="141FE588" w:rsidR="00B906E9" w:rsidRPr="002B7CEB" w:rsidRDefault="00B906E9" w:rsidP="004C79C1">
      <w:pPr>
        <w:pStyle w:val="EndNoteBibliography"/>
        <w:spacing w:after="120"/>
        <w:jc w:val="both"/>
        <w:rPr>
          <w:rFonts w:asciiTheme="minorHAnsi" w:hAnsiTheme="minorHAnsi"/>
        </w:rPr>
      </w:pPr>
      <w:bookmarkStart w:id="1126" w:name="_ENREF_57"/>
      <w:bookmarkEnd w:id="1125"/>
      <w:r w:rsidRPr="002B7CEB">
        <w:rPr>
          <w:rFonts w:asciiTheme="minorHAnsi" w:hAnsiTheme="minorHAnsi"/>
        </w:rPr>
        <w:t xml:space="preserve">Karamitsos, TD, Francis, JM, Myerson, S, Selvanayagam, JB &amp; Neubauer, S 2009, 'The role of cardiovascular magnetic resonance imaging in heart failure', </w:t>
      </w:r>
      <w:r w:rsidRPr="002B7CEB">
        <w:rPr>
          <w:rFonts w:asciiTheme="minorHAnsi" w:hAnsiTheme="minorHAnsi"/>
          <w:i/>
        </w:rPr>
        <w:t>J</w:t>
      </w:r>
      <w:r w:rsidR="00772305" w:rsidRPr="002B7CEB">
        <w:rPr>
          <w:rFonts w:asciiTheme="minorHAnsi" w:hAnsiTheme="minorHAnsi"/>
          <w:i/>
        </w:rPr>
        <w:t>ournal of the</w:t>
      </w:r>
      <w:r w:rsidRPr="002B7CEB">
        <w:rPr>
          <w:rFonts w:asciiTheme="minorHAnsi" w:hAnsiTheme="minorHAnsi"/>
          <w:i/>
        </w:rPr>
        <w:t xml:space="preserve"> Am</w:t>
      </w:r>
      <w:r w:rsidR="00772305" w:rsidRPr="002B7CEB">
        <w:rPr>
          <w:rFonts w:asciiTheme="minorHAnsi" w:hAnsiTheme="minorHAnsi"/>
          <w:i/>
        </w:rPr>
        <w:t>erican</w:t>
      </w:r>
      <w:r w:rsidRPr="002B7CEB">
        <w:rPr>
          <w:rFonts w:asciiTheme="minorHAnsi" w:hAnsiTheme="minorHAnsi"/>
          <w:i/>
        </w:rPr>
        <w:t xml:space="preserve"> Coll</w:t>
      </w:r>
      <w:r w:rsidR="00772305" w:rsidRPr="002B7CEB">
        <w:rPr>
          <w:rFonts w:asciiTheme="minorHAnsi" w:hAnsiTheme="minorHAnsi"/>
          <w:i/>
        </w:rPr>
        <w:t>ege of</w:t>
      </w:r>
      <w:r w:rsidRPr="002B7CEB">
        <w:rPr>
          <w:rFonts w:asciiTheme="minorHAnsi" w:hAnsiTheme="minorHAnsi"/>
          <w:i/>
        </w:rPr>
        <w:t xml:space="preserve"> Cardiol</w:t>
      </w:r>
      <w:r w:rsidR="00772305" w:rsidRPr="002B7CEB">
        <w:rPr>
          <w:rFonts w:asciiTheme="minorHAnsi" w:hAnsiTheme="minorHAnsi"/>
          <w:i/>
        </w:rPr>
        <w:t>ogy</w:t>
      </w:r>
      <w:r w:rsidRPr="002B7CEB">
        <w:rPr>
          <w:rFonts w:asciiTheme="minorHAnsi" w:hAnsiTheme="minorHAnsi"/>
        </w:rPr>
        <w:t>, vol. 54, no. 15, pp. 1407</w:t>
      </w:r>
      <w:r w:rsidR="00772305" w:rsidRPr="002B7CEB">
        <w:rPr>
          <w:rFonts w:asciiTheme="minorHAnsi" w:hAnsiTheme="minorHAnsi"/>
        </w:rPr>
        <w:t>–</w:t>
      </w:r>
      <w:r w:rsidRPr="002B7CEB">
        <w:rPr>
          <w:rFonts w:asciiTheme="minorHAnsi" w:hAnsiTheme="minorHAnsi"/>
        </w:rPr>
        <w:t>1424.</w:t>
      </w:r>
    </w:p>
    <w:p w14:paraId="718A077D" w14:textId="391CBDC7" w:rsidR="00B906E9" w:rsidRPr="002B7CEB" w:rsidRDefault="00B906E9" w:rsidP="004C79C1">
      <w:pPr>
        <w:pStyle w:val="EndNoteBibliography"/>
        <w:spacing w:after="120"/>
        <w:jc w:val="both"/>
        <w:rPr>
          <w:rFonts w:asciiTheme="minorHAnsi" w:hAnsiTheme="minorHAnsi"/>
        </w:rPr>
      </w:pPr>
      <w:bookmarkStart w:id="1127" w:name="_ENREF_58"/>
      <w:bookmarkEnd w:id="1126"/>
      <w:r w:rsidRPr="002B7CEB">
        <w:rPr>
          <w:rFonts w:asciiTheme="minorHAnsi" w:hAnsiTheme="minorHAnsi"/>
        </w:rPr>
        <w:t xml:space="preserve">Kay, GN &amp; Bittner, GT 2009, 'Should implantable </w:t>
      </w:r>
      <w:r w:rsidR="0026063B">
        <w:rPr>
          <w:rFonts w:asciiTheme="minorHAnsi" w:hAnsiTheme="minorHAnsi"/>
        </w:rPr>
        <w:t>cardioverter defibrillator</w:t>
      </w:r>
      <w:r w:rsidRPr="002B7CEB">
        <w:rPr>
          <w:rFonts w:asciiTheme="minorHAnsi" w:hAnsiTheme="minorHAnsi"/>
        </w:rPr>
        <w:t xml:space="preserve">s and permanent pacemakers in patients with terminal illness be deactivated? Deactivating implantable </w:t>
      </w:r>
      <w:r w:rsidR="0026063B">
        <w:rPr>
          <w:rFonts w:asciiTheme="minorHAnsi" w:hAnsiTheme="minorHAnsi"/>
        </w:rPr>
        <w:t xml:space="preserve">cardioverter </w:t>
      </w:r>
      <w:r w:rsidR="0026063B">
        <w:rPr>
          <w:rFonts w:asciiTheme="minorHAnsi" w:hAnsiTheme="minorHAnsi"/>
        </w:rPr>
        <w:lastRenderedPageBreak/>
        <w:t>defibrillator</w:t>
      </w:r>
      <w:r w:rsidRPr="002B7CEB">
        <w:rPr>
          <w:rFonts w:asciiTheme="minorHAnsi" w:hAnsiTheme="minorHAnsi"/>
        </w:rPr>
        <w:t>s and permanent pacemakers in patients with terminal illness</w:t>
      </w:r>
      <w:r w:rsidR="008E384D" w:rsidRPr="002B7CEB">
        <w:rPr>
          <w:rFonts w:asciiTheme="minorHAnsi" w:hAnsiTheme="minorHAnsi"/>
        </w:rPr>
        <w:t>:</w:t>
      </w:r>
      <w:r w:rsidRPr="002B7CEB">
        <w:rPr>
          <w:rFonts w:asciiTheme="minorHAnsi" w:hAnsiTheme="minorHAnsi"/>
        </w:rPr>
        <w:t xml:space="preserve"> </w:t>
      </w:r>
      <w:r w:rsidR="008E384D" w:rsidRPr="002B7CEB">
        <w:rPr>
          <w:rFonts w:asciiTheme="minorHAnsi" w:hAnsiTheme="minorHAnsi"/>
        </w:rPr>
        <w:t>a</w:t>
      </w:r>
      <w:r w:rsidRPr="002B7CEB">
        <w:rPr>
          <w:rFonts w:asciiTheme="minorHAnsi" w:hAnsiTheme="minorHAnsi"/>
        </w:rPr>
        <w:t xml:space="preserve">n ethical distinction', </w:t>
      </w:r>
      <w:r w:rsidRPr="002B7CEB">
        <w:rPr>
          <w:rFonts w:asciiTheme="minorHAnsi" w:hAnsiTheme="minorHAnsi"/>
          <w:i/>
        </w:rPr>
        <w:t>Circ</w:t>
      </w:r>
      <w:r w:rsidR="0089106B" w:rsidRPr="002B7CEB">
        <w:rPr>
          <w:rFonts w:asciiTheme="minorHAnsi" w:hAnsiTheme="minorHAnsi"/>
          <w:i/>
        </w:rPr>
        <w:t>ulation:</w:t>
      </w:r>
      <w:r w:rsidRPr="002B7CEB">
        <w:rPr>
          <w:rFonts w:asciiTheme="minorHAnsi" w:hAnsiTheme="minorHAnsi"/>
          <w:i/>
        </w:rPr>
        <w:t xml:space="preserve"> Arrhythm</w:t>
      </w:r>
      <w:r w:rsidR="0089106B" w:rsidRPr="002B7CEB">
        <w:rPr>
          <w:rFonts w:asciiTheme="minorHAnsi" w:hAnsiTheme="minorHAnsi"/>
          <w:i/>
        </w:rPr>
        <w:t>ia and</w:t>
      </w:r>
      <w:r w:rsidRPr="002B7CEB">
        <w:rPr>
          <w:rFonts w:asciiTheme="minorHAnsi" w:hAnsiTheme="minorHAnsi"/>
          <w:i/>
        </w:rPr>
        <w:t xml:space="preserve"> Electrophysiol</w:t>
      </w:r>
      <w:r w:rsidR="0089106B" w:rsidRPr="002B7CEB">
        <w:rPr>
          <w:rFonts w:asciiTheme="minorHAnsi" w:hAnsiTheme="minorHAnsi"/>
          <w:i/>
        </w:rPr>
        <w:t>ogy</w:t>
      </w:r>
      <w:r w:rsidRPr="002B7CEB">
        <w:rPr>
          <w:rFonts w:asciiTheme="minorHAnsi" w:hAnsiTheme="minorHAnsi"/>
        </w:rPr>
        <w:t>, vol. 2, no. 3, pp. 336</w:t>
      </w:r>
      <w:r w:rsidR="0089106B" w:rsidRPr="002B7CEB">
        <w:rPr>
          <w:rFonts w:asciiTheme="minorHAnsi" w:hAnsiTheme="minorHAnsi"/>
        </w:rPr>
        <w:t>–</w:t>
      </w:r>
      <w:r w:rsidRPr="002B7CEB">
        <w:rPr>
          <w:rFonts w:asciiTheme="minorHAnsi" w:hAnsiTheme="minorHAnsi"/>
        </w:rPr>
        <w:t>339; discussion 339.</w:t>
      </w:r>
    </w:p>
    <w:p w14:paraId="211AFDEF" w14:textId="59D27C22" w:rsidR="00B906E9" w:rsidRPr="002B7CEB" w:rsidRDefault="00B906E9" w:rsidP="004C79C1">
      <w:pPr>
        <w:pStyle w:val="EndNoteBibliography"/>
        <w:spacing w:after="120"/>
        <w:jc w:val="both"/>
        <w:rPr>
          <w:rFonts w:asciiTheme="minorHAnsi" w:hAnsiTheme="minorHAnsi"/>
        </w:rPr>
      </w:pPr>
      <w:bookmarkStart w:id="1128" w:name="_ENREF_59"/>
      <w:bookmarkEnd w:id="1127"/>
      <w:r w:rsidRPr="002B7CEB">
        <w:rPr>
          <w:rFonts w:asciiTheme="minorHAnsi" w:hAnsiTheme="minorHAnsi"/>
        </w:rPr>
        <w:t xml:space="preserve">Kim, EK, Chattranukulchai, P &amp; Klem, I 2015, 'Cardiac </w:t>
      </w:r>
      <w:r w:rsidR="0089106B" w:rsidRPr="002B7CEB">
        <w:rPr>
          <w:rFonts w:asciiTheme="minorHAnsi" w:hAnsiTheme="minorHAnsi"/>
        </w:rPr>
        <w:t>m</w:t>
      </w:r>
      <w:r w:rsidRPr="002B7CEB">
        <w:rPr>
          <w:rFonts w:asciiTheme="minorHAnsi" w:hAnsiTheme="minorHAnsi"/>
        </w:rPr>
        <w:t xml:space="preserve">agnetic </w:t>
      </w:r>
      <w:r w:rsidR="0089106B" w:rsidRPr="002B7CEB">
        <w:rPr>
          <w:rFonts w:asciiTheme="minorHAnsi" w:hAnsiTheme="minorHAnsi"/>
        </w:rPr>
        <w:t>r</w:t>
      </w:r>
      <w:r w:rsidRPr="002B7CEB">
        <w:rPr>
          <w:rFonts w:asciiTheme="minorHAnsi" w:hAnsiTheme="minorHAnsi"/>
        </w:rPr>
        <w:t xml:space="preserve">esonance </w:t>
      </w:r>
      <w:r w:rsidR="0089106B" w:rsidRPr="002B7CEB">
        <w:rPr>
          <w:rFonts w:asciiTheme="minorHAnsi" w:hAnsiTheme="minorHAnsi"/>
        </w:rPr>
        <w:t>s</w:t>
      </w:r>
      <w:r w:rsidRPr="002B7CEB">
        <w:rPr>
          <w:rFonts w:asciiTheme="minorHAnsi" w:hAnsiTheme="minorHAnsi"/>
        </w:rPr>
        <w:t xml:space="preserve">car </w:t>
      </w:r>
      <w:r w:rsidR="0089106B" w:rsidRPr="002B7CEB">
        <w:rPr>
          <w:rFonts w:asciiTheme="minorHAnsi" w:hAnsiTheme="minorHAnsi"/>
        </w:rPr>
        <w:t>i</w:t>
      </w:r>
      <w:r w:rsidRPr="002B7CEB">
        <w:rPr>
          <w:rFonts w:asciiTheme="minorHAnsi" w:hAnsiTheme="minorHAnsi"/>
        </w:rPr>
        <w:t xml:space="preserve">maging for </w:t>
      </w:r>
      <w:r w:rsidR="0089106B" w:rsidRPr="002B7CEB">
        <w:rPr>
          <w:rFonts w:asciiTheme="minorHAnsi" w:hAnsiTheme="minorHAnsi"/>
        </w:rPr>
        <w:t>s</w:t>
      </w:r>
      <w:r w:rsidRPr="002B7CEB">
        <w:rPr>
          <w:rFonts w:asciiTheme="minorHAnsi" w:hAnsiTheme="minorHAnsi"/>
        </w:rPr>
        <w:t xml:space="preserve">udden </w:t>
      </w:r>
      <w:r w:rsidR="0089106B" w:rsidRPr="002B7CEB">
        <w:rPr>
          <w:rFonts w:asciiTheme="minorHAnsi" w:hAnsiTheme="minorHAnsi"/>
        </w:rPr>
        <w:t>c</w:t>
      </w:r>
      <w:r w:rsidRPr="002B7CEB">
        <w:rPr>
          <w:rFonts w:asciiTheme="minorHAnsi" w:hAnsiTheme="minorHAnsi"/>
        </w:rPr>
        <w:t xml:space="preserve">ardiac </w:t>
      </w:r>
      <w:r w:rsidR="0089106B" w:rsidRPr="002B7CEB">
        <w:rPr>
          <w:rFonts w:asciiTheme="minorHAnsi" w:hAnsiTheme="minorHAnsi"/>
        </w:rPr>
        <w:t>d</w:t>
      </w:r>
      <w:r w:rsidRPr="002B7CEB">
        <w:rPr>
          <w:rFonts w:asciiTheme="minorHAnsi" w:hAnsiTheme="minorHAnsi"/>
        </w:rPr>
        <w:t xml:space="preserve">eath </w:t>
      </w:r>
      <w:r w:rsidR="0089106B" w:rsidRPr="002B7CEB">
        <w:rPr>
          <w:rFonts w:asciiTheme="minorHAnsi" w:hAnsiTheme="minorHAnsi"/>
        </w:rPr>
        <w:t>r</w:t>
      </w:r>
      <w:r w:rsidRPr="002B7CEB">
        <w:rPr>
          <w:rFonts w:asciiTheme="minorHAnsi" w:hAnsiTheme="minorHAnsi"/>
        </w:rPr>
        <w:t xml:space="preserve">isk </w:t>
      </w:r>
      <w:r w:rsidR="0089106B" w:rsidRPr="002B7CEB">
        <w:rPr>
          <w:rFonts w:asciiTheme="minorHAnsi" w:hAnsiTheme="minorHAnsi"/>
        </w:rPr>
        <w:t>s</w:t>
      </w:r>
      <w:r w:rsidRPr="002B7CEB">
        <w:rPr>
          <w:rFonts w:asciiTheme="minorHAnsi" w:hAnsiTheme="minorHAnsi"/>
        </w:rPr>
        <w:t xml:space="preserve">tratification in </w:t>
      </w:r>
      <w:r w:rsidR="0089106B" w:rsidRPr="002B7CEB">
        <w:rPr>
          <w:rFonts w:asciiTheme="minorHAnsi" w:hAnsiTheme="minorHAnsi"/>
        </w:rPr>
        <w:t>p</w:t>
      </w:r>
      <w:r w:rsidRPr="002B7CEB">
        <w:rPr>
          <w:rFonts w:asciiTheme="minorHAnsi" w:hAnsiTheme="minorHAnsi"/>
        </w:rPr>
        <w:t xml:space="preserve">atients with </w:t>
      </w:r>
      <w:r w:rsidR="0089106B" w:rsidRPr="002B7CEB">
        <w:rPr>
          <w:rFonts w:asciiTheme="minorHAnsi" w:hAnsiTheme="minorHAnsi"/>
        </w:rPr>
        <w:t>n</w:t>
      </w:r>
      <w:r w:rsidRPr="002B7CEB">
        <w:rPr>
          <w:rFonts w:asciiTheme="minorHAnsi" w:hAnsiTheme="minorHAnsi"/>
        </w:rPr>
        <w:t>on-</w:t>
      </w:r>
      <w:r w:rsidR="0089106B" w:rsidRPr="002B7CEB">
        <w:rPr>
          <w:rFonts w:asciiTheme="minorHAnsi" w:hAnsiTheme="minorHAnsi"/>
        </w:rPr>
        <w:t>i</w:t>
      </w:r>
      <w:r w:rsidRPr="002B7CEB">
        <w:rPr>
          <w:rFonts w:asciiTheme="minorHAnsi" w:hAnsiTheme="minorHAnsi"/>
        </w:rPr>
        <w:t xml:space="preserve">schemic </w:t>
      </w:r>
      <w:r w:rsidR="0089106B" w:rsidRPr="002B7CEB">
        <w:rPr>
          <w:rFonts w:asciiTheme="minorHAnsi" w:hAnsiTheme="minorHAnsi"/>
        </w:rPr>
        <w:t>c</w:t>
      </w:r>
      <w:r w:rsidRPr="002B7CEB">
        <w:rPr>
          <w:rFonts w:asciiTheme="minorHAnsi" w:hAnsiTheme="minorHAnsi"/>
        </w:rPr>
        <w:t xml:space="preserve">ardiomyopathy', </w:t>
      </w:r>
      <w:r w:rsidRPr="002B7CEB">
        <w:rPr>
          <w:rFonts w:asciiTheme="minorHAnsi" w:hAnsiTheme="minorHAnsi"/>
          <w:i/>
        </w:rPr>
        <w:t>Korean J</w:t>
      </w:r>
      <w:r w:rsidR="0089106B" w:rsidRPr="002B7CEB">
        <w:rPr>
          <w:rFonts w:asciiTheme="minorHAnsi" w:hAnsiTheme="minorHAnsi"/>
          <w:i/>
        </w:rPr>
        <w:t>ournal of</w:t>
      </w:r>
      <w:r w:rsidRPr="002B7CEB">
        <w:rPr>
          <w:rFonts w:asciiTheme="minorHAnsi" w:hAnsiTheme="minorHAnsi"/>
          <w:i/>
        </w:rPr>
        <w:t xml:space="preserve"> Radiol</w:t>
      </w:r>
      <w:r w:rsidR="0089106B" w:rsidRPr="002B7CEB">
        <w:rPr>
          <w:rFonts w:asciiTheme="minorHAnsi" w:hAnsiTheme="minorHAnsi"/>
          <w:i/>
        </w:rPr>
        <w:t>ogy</w:t>
      </w:r>
      <w:r w:rsidRPr="002B7CEB">
        <w:rPr>
          <w:rFonts w:asciiTheme="minorHAnsi" w:hAnsiTheme="minorHAnsi"/>
        </w:rPr>
        <w:t>, vol. 16, no. 4, pp. 683</w:t>
      </w:r>
      <w:r w:rsidR="0089106B" w:rsidRPr="002B7CEB">
        <w:rPr>
          <w:rFonts w:asciiTheme="minorHAnsi" w:hAnsiTheme="minorHAnsi"/>
        </w:rPr>
        <w:t>–</w:t>
      </w:r>
      <w:r w:rsidRPr="002B7CEB">
        <w:rPr>
          <w:rFonts w:asciiTheme="minorHAnsi" w:hAnsiTheme="minorHAnsi"/>
        </w:rPr>
        <w:t>695.</w:t>
      </w:r>
    </w:p>
    <w:p w14:paraId="58BB4E05" w14:textId="7CD9C93F" w:rsidR="00B906E9" w:rsidRPr="002B7CEB" w:rsidRDefault="00B906E9" w:rsidP="004C79C1">
      <w:pPr>
        <w:pStyle w:val="EndNoteBibliography"/>
        <w:spacing w:after="120"/>
        <w:jc w:val="both"/>
        <w:rPr>
          <w:rFonts w:asciiTheme="minorHAnsi" w:hAnsiTheme="minorHAnsi"/>
        </w:rPr>
      </w:pPr>
      <w:bookmarkStart w:id="1129" w:name="_ENREF_60"/>
      <w:bookmarkEnd w:id="1128"/>
      <w:r w:rsidRPr="002B7CEB">
        <w:rPr>
          <w:rFonts w:asciiTheme="minorHAnsi" w:hAnsiTheme="minorHAnsi"/>
        </w:rPr>
        <w:t xml:space="preserve">Klem, I, Weinsaft, JW, Bahnson, TD, Hegland, D, Kim, HW, Hayes, B, Parker, MA, Judd, RM &amp; Kim, RJ 2012, 'Assessment of myocardial scarring improves risk stratification in patients evaluated for cardiac defibrillator implantation', </w:t>
      </w:r>
      <w:r w:rsidRPr="002B7CEB">
        <w:rPr>
          <w:rFonts w:asciiTheme="minorHAnsi" w:hAnsiTheme="minorHAnsi"/>
          <w:i/>
        </w:rPr>
        <w:t>Journal of the American College of Cardiology</w:t>
      </w:r>
      <w:r w:rsidRPr="002B7CEB">
        <w:rPr>
          <w:rFonts w:asciiTheme="minorHAnsi" w:hAnsiTheme="minorHAnsi"/>
        </w:rPr>
        <w:t>, vol. 60, no. 5, pp. 408</w:t>
      </w:r>
      <w:r w:rsidR="00516292" w:rsidRPr="002B7CEB">
        <w:rPr>
          <w:rFonts w:asciiTheme="minorHAnsi" w:hAnsiTheme="minorHAnsi"/>
        </w:rPr>
        <w:t>–</w:t>
      </w:r>
      <w:r w:rsidRPr="002B7CEB">
        <w:rPr>
          <w:rFonts w:asciiTheme="minorHAnsi" w:hAnsiTheme="minorHAnsi"/>
        </w:rPr>
        <w:t>420.</w:t>
      </w:r>
    </w:p>
    <w:p w14:paraId="087DE4D9" w14:textId="4AC9B4CA" w:rsidR="00B906E9" w:rsidRPr="002B7CEB" w:rsidRDefault="00B906E9" w:rsidP="004C79C1">
      <w:pPr>
        <w:pStyle w:val="EndNoteBibliography"/>
        <w:spacing w:after="120"/>
        <w:jc w:val="both"/>
        <w:rPr>
          <w:rFonts w:asciiTheme="minorHAnsi" w:hAnsiTheme="minorHAnsi"/>
        </w:rPr>
      </w:pPr>
      <w:bookmarkStart w:id="1130" w:name="_ENREF_61"/>
      <w:bookmarkEnd w:id="1129"/>
      <w:r w:rsidRPr="002B7CEB">
        <w:rPr>
          <w:rFonts w:asciiTheme="minorHAnsi" w:hAnsiTheme="minorHAnsi"/>
        </w:rPr>
        <w:t xml:space="preserve">Knuuti, J, Bengel, F, Bax, JJ, Kaufmann, PA, Le Guludec, D, Perrone Filardi, P, Marcassa, C, Ajmone Marsan, N, Achenbach, S, Kitsiou, A, Flotats, A, Eeckhout, E, Minn, H &amp; Hesse, B 2014, 'Risks and benefits of cardiac imaging: an analysis of risks related to imaging for coronary artery disease', </w:t>
      </w:r>
      <w:r w:rsidRPr="002B7CEB">
        <w:rPr>
          <w:rFonts w:asciiTheme="minorHAnsi" w:hAnsiTheme="minorHAnsi"/>
          <w:i/>
        </w:rPr>
        <w:t>Eur</w:t>
      </w:r>
      <w:r w:rsidR="001166C4" w:rsidRPr="002B7CEB">
        <w:rPr>
          <w:rFonts w:asciiTheme="minorHAnsi" w:hAnsiTheme="minorHAnsi"/>
          <w:i/>
        </w:rPr>
        <w:t>opean</w:t>
      </w:r>
      <w:r w:rsidRPr="002B7CEB">
        <w:rPr>
          <w:rFonts w:asciiTheme="minorHAnsi" w:hAnsiTheme="minorHAnsi"/>
          <w:i/>
        </w:rPr>
        <w:t xml:space="preserve"> Heart J</w:t>
      </w:r>
      <w:r w:rsidR="001166C4" w:rsidRPr="002B7CEB">
        <w:rPr>
          <w:rFonts w:asciiTheme="minorHAnsi" w:hAnsiTheme="minorHAnsi"/>
          <w:i/>
        </w:rPr>
        <w:t>ournal</w:t>
      </w:r>
      <w:r w:rsidRPr="002B7CEB">
        <w:rPr>
          <w:rFonts w:asciiTheme="minorHAnsi" w:hAnsiTheme="minorHAnsi"/>
        </w:rPr>
        <w:t>, vol. 35, no. 10, pp. 633</w:t>
      </w:r>
      <w:r w:rsidR="001166C4" w:rsidRPr="002B7CEB">
        <w:rPr>
          <w:rFonts w:asciiTheme="minorHAnsi" w:hAnsiTheme="minorHAnsi"/>
        </w:rPr>
        <w:t>–</w:t>
      </w:r>
      <w:r w:rsidRPr="002B7CEB">
        <w:rPr>
          <w:rFonts w:asciiTheme="minorHAnsi" w:hAnsiTheme="minorHAnsi"/>
        </w:rPr>
        <w:t>638.</w:t>
      </w:r>
    </w:p>
    <w:p w14:paraId="3F514994" w14:textId="1C29FB5E" w:rsidR="00B906E9" w:rsidRPr="002B7CEB" w:rsidRDefault="00B906E9" w:rsidP="004C79C1">
      <w:pPr>
        <w:pStyle w:val="EndNoteBibliography"/>
        <w:spacing w:after="120"/>
        <w:jc w:val="both"/>
        <w:rPr>
          <w:rFonts w:asciiTheme="minorHAnsi" w:hAnsiTheme="minorHAnsi"/>
        </w:rPr>
      </w:pPr>
      <w:bookmarkStart w:id="1131" w:name="_ENREF_62"/>
      <w:bookmarkEnd w:id="1130"/>
      <w:r w:rsidRPr="002B7CEB">
        <w:rPr>
          <w:rFonts w:asciiTheme="minorHAnsi" w:hAnsiTheme="minorHAnsi"/>
        </w:rPr>
        <w:t xml:space="preserve">Kono, AK, Ishii, K, Kumagai, H, Taniguchi, Y, Kajiya, T &amp; Sugimura, K 2010, 'Late gadolinium enhancement on cardiac magnetic resonance imaging: is it associated with a higher incidence of nonsustained ventricular tachycardia in patients with idiopathic dilated cardiomyopathy?', </w:t>
      </w:r>
      <w:r w:rsidRPr="002B7CEB">
        <w:rPr>
          <w:rFonts w:asciiTheme="minorHAnsi" w:hAnsiTheme="minorHAnsi"/>
          <w:i/>
        </w:rPr>
        <w:t>J</w:t>
      </w:r>
      <w:r w:rsidR="001166C4" w:rsidRPr="002B7CEB">
        <w:rPr>
          <w:rFonts w:asciiTheme="minorHAnsi" w:hAnsiTheme="minorHAnsi"/>
          <w:i/>
        </w:rPr>
        <w:t>a</w:t>
      </w:r>
      <w:r w:rsidRPr="002B7CEB">
        <w:rPr>
          <w:rFonts w:asciiTheme="minorHAnsi" w:hAnsiTheme="minorHAnsi"/>
          <w:i/>
        </w:rPr>
        <w:t>p</w:t>
      </w:r>
      <w:r w:rsidR="001166C4" w:rsidRPr="002B7CEB">
        <w:rPr>
          <w:rFonts w:asciiTheme="minorHAnsi" w:hAnsiTheme="minorHAnsi"/>
          <w:i/>
        </w:rPr>
        <w:t>a</w:t>
      </w:r>
      <w:r w:rsidRPr="002B7CEB">
        <w:rPr>
          <w:rFonts w:asciiTheme="minorHAnsi" w:hAnsiTheme="minorHAnsi"/>
          <w:i/>
        </w:rPr>
        <w:t>n</w:t>
      </w:r>
      <w:r w:rsidR="001166C4" w:rsidRPr="002B7CEB">
        <w:rPr>
          <w:rFonts w:asciiTheme="minorHAnsi" w:hAnsiTheme="minorHAnsi"/>
          <w:i/>
        </w:rPr>
        <w:t>ese</w:t>
      </w:r>
      <w:r w:rsidRPr="002B7CEB">
        <w:rPr>
          <w:rFonts w:asciiTheme="minorHAnsi" w:hAnsiTheme="minorHAnsi"/>
          <w:i/>
        </w:rPr>
        <w:t xml:space="preserve"> J</w:t>
      </w:r>
      <w:r w:rsidR="001166C4" w:rsidRPr="002B7CEB">
        <w:rPr>
          <w:rFonts w:asciiTheme="minorHAnsi" w:hAnsiTheme="minorHAnsi"/>
          <w:i/>
        </w:rPr>
        <w:t>ournal of</w:t>
      </w:r>
      <w:r w:rsidRPr="002B7CEB">
        <w:rPr>
          <w:rFonts w:asciiTheme="minorHAnsi" w:hAnsiTheme="minorHAnsi"/>
          <w:i/>
        </w:rPr>
        <w:t xml:space="preserve"> Radiol</w:t>
      </w:r>
      <w:r w:rsidR="001166C4" w:rsidRPr="002B7CEB">
        <w:rPr>
          <w:rFonts w:asciiTheme="minorHAnsi" w:hAnsiTheme="minorHAnsi"/>
          <w:i/>
        </w:rPr>
        <w:t>ogy</w:t>
      </w:r>
      <w:r w:rsidRPr="002B7CEB">
        <w:rPr>
          <w:rFonts w:asciiTheme="minorHAnsi" w:hAnsiTheme="minorHAnsi"/>
        </w:rPr>
        <w:t>, vol. 28, no. 5, pp. 355</w:t>
      </w:r>
      <w:r w:rsidR="001166C4" w:rsidRPr="002B7CEB">
        <w:rPr>
          <w:rFonts w:asciiTheme="minorHAnsi" w:hAnsiTheme="minorHAnsi"/>
        </w:rPr>
        <w:t>–</w:t>
      </w:r>
      <w:r w:rsidRPr="002B7CEB">
        <w:rPr>
          <w:rFonts w:asciiTheme="minorHAnsi" w:hAnsiTheme="minorHAnsi"/>
        </w:rPr>
        <w:t>361.</w:t>
      </w:r>
    </w:p>
    <w:p w14:paraId="640F95A8" w14:textId="14271C63" w:rsidR="00B906E9" w:rsidRPr="002B7CEB" w:rsidRDefault="00B906E9" w:rsidP="004C79C1">
      <w:pPr>
        <w:pStyle w:val="EndNoteBibliography"/>
        <w:spacing w:after="120"/>
        <w:jc w:val="both"/>
        <w:rPr>
          <w:rFonts w:asciiTheme="minorHAnsi" w:hAnsiTheme="minorHAnsi"/>
        </w:rPr>
      </w:pPr>
      <w:bookmarkStart w:id="1132" w:name="_ENREF_63"/>
      <w:bookmarkEnd w:id="1131"/>
      <w:r w:rsidRPr="002B7CEB">
        <w:rPr>
          <w:rFonts w:asciiTheme="minorHAnsi" w:hAnsiTheme="minorHAnsi"/>
        </w:rPr>
        <w:t xml:space="preserve">Kremastinos, DT &amp; Farmakis, D 2011, 'Iron overload cardiomyopathy in clinical practice', </w:t>
      </w:r>
      <w:r w:rsidRPr="002B7CEB">
        <w:rPr>
          <w:rFonts w:asciiTheme="minorHAnsi" w:hAnsiTheme="minorHAnsi"/>
          <w:i/>
        </w:rPr>
        <w:t>Circulation</w:t>
      </w:r>
      <w:r w:rsidRPr="002B7CEB">
        <w:rPr>
          <w:rFonts w:asciiTheme="minorHAnsi" w:hAnsiTheme="minorHAnsi"/>
        </w:rPr>
        <w:t>, vol. 124, no. 20, pp. 2253</w:t>
      </w:r>
      <w:r w:rsidR="00CD3328" w:rsidRPr="002B7CEB">
        <w:rPr>
          <w:rFonts w:asciiTheme="minorHAnsi" w:hAnsiTheme="minorHAnsi"/>
        </w:rPr>
        <w:t>–</w:t>
      </w:r>
      <w:r w:rsidRPr="002B7CEB">
        <w:rPr>
          <w:rFonts w:asciiTheme="minorHAnsi" w:hAnsiTheme="minorHAnsi"/>
        </w:rPr>
        <w:t>2263.</w:t>
      </w:r>
    </w:p>
    <w:p w14:paraId="4D97F832" w14:textId="1D78FE8F" w:rsidR="00B906E9" w:rsidRPr="002B7CEB" w:rsidRDefault="00B906E9" w:rsidP="004C79C1">
      <w:pPr>
        <w:pStyle w:val="EndNoteBibliography"/>
        <w:spacing w:after="120"/>
        <w:jc w:val="both"/>
        <w:rPr>
          <w:rFonts w:asciiTheme="minorHAnsi" w:hAnsiTheme="minorHAnsi"/>
        </w:rPr>
      </w:pPr>
      <w:bookmarkStart w:id="1133" w:name="_ENREF_64"/>
      <w:bookmarkEnd w:id="1132"/>
      <w:r w:rsidRPr="002B7CEB">
        <w:rPr>
          <w:rFonts w:asciiTheme="minorHAnsi" w:hAnsiTheme="minorHAnsi"/>
        </w:rPr>
        <w:t xml:space="preserve">Kuruvilla, S, Adenaw, N, Katwal, AB, Lipinski, MJ, Kramer, CM &amp; Salerno, M 2014, 'Late </w:t>
      </w:r>
      <w:r w:rsidR="002C0C3B" w:rsidRPr="002B7CEB">
        <w:rPr>
          <w:rFonts w:asciiTheme="minorHAnsi" w:hAnsiTheme="minorHAnsi"/>
        </w:rPr>
        <w:t>gadolinium enhancement on cardiac magnetic resonance predicts adverse cardiovascular outcomes in non-ischemic cardiomyopathy: a systematic review and meta-analysis</w:t>
      </w:r>
      <w:r w:rsidRPr="002B7CEB">
        <w:rPr>
          <w:rFonts w:asciiTheme="minorHAnsi" w:hAnsiTheme="minorHAnsi"/>
        </w:rPr>
        <w:t xml:space="preserve">', </w:t>
      </w:r>
      <w:r w:rsidRPr="002B7CEB">
        <w:rPr>
          <w:rFonts w:asciiTheme="minorHAnsi" w:hAnsiTheme="minorHAnsi"/>
          <w:i/>
        </w:rPr>
        <w:t>Circulation</w:t>
      </w:r>
      <w:r w:rsidR="002C0C3B" w:rsidRPr="002B7CEB">
        <w:rPr>
          <w:rFonts w:asciiTheme="minorHAnsi" w:hAnsiTheme="minorHAnsi"/>
          <w:i/>
        </w:rPr>
        <w:t>:</w:t>
      </w:r>
      <w:r w:rsidRPr="002B7CEB">
        <w:rPr>
          <w:rFonts w:asciiTheme="minorHAnsi" w:hAnsiTheme="minorHAnsi"/>
          <w:i/>
        </w:rPr>
        <w:t xml:space="preserve"> Cardiovascular </w:t>
      </w:r>
      <w:r w:rsidR="002C0C3B" w:rsidRPr="002B7CEB">
        <w:rPr>
          <w:rFonts w:asciiTheme="minorHAnsi" w:hAnsiTheme="minorHAnsi"/>
          <w:i/>
        </w:rPr>
        <w:t>I</w:t>
      </w:r>
      <w:r w:rsidRPr="002B7CEB">
        <w:rPr>
          <w:rFonts w:asciiTheme="minorHAnsi" w:hAnsiTheme="minorHAnsi"/>
          <w:i/>
        </w:rPr>
        <w:t>maging</w:t>
      </w:r>
      <w:r w:rsidRPr="002B7CEB">
        <w:rPr>
          <w:rFonts w:asciiTheme="minorHAnsi" w:hAnsiTheme="minorHAnsi"/>
        </w:rPr>
        <w:t>, vol. 7, no. 2, pp. 250</w:t>
      </w:r>
      <w:r w:rsidR="002C0C3B" w:rsidRPr="002B7CEB">
        <w:rPr>
          <w:rFonts w:asciiTheme="minorHAnsi" w:hAnsiTheme="minorHAnsi"/>
        </w:rPr>
        <w:t>–</w:t>
      </w:r>
      <w:r w:rsidRPr="002B7CEB">
        <w:rPr>
          <w:rFonts w:asciiTheme="minorHAnsi" w:hAnsiTheme="minorHAnsi"/>
        </w:rPr>
        <w:t>258.</w:t>
      </w:r>
    </w:p>
    <w:p w14:paraId="353E564E" w14:textId="7AA09D64" w:rsidR="00B906E9" w:rsidRPr="002B7CEB" w:rsidRDefault="00B906E9" w:rsidP="004C79C1">
      <w:pPr>
        <w:pStyle w:val="EndNoteBibliography"/>
        <w:spacing w:after="120"/>
        <w:jc w:val="both"/>
        <w:rPr>
          <w:rFonts w:asciiTheme="minorHAnsi" w:hAnsiTheme="minorHAnsi"/>
        </w:rPr>
      </w:pPr>
      <w:bookmarkStart w:id="1134" w:name="_ENREF_65"/>
      <w:bookmarkEnd w:id="1133"/>
      <w:r w:rsidRPr="002B7CEB">
        <w:rPr>
          <w:rFonts w:asciiTheme="minorHAnsi" w:hAnsiTheme="minorHAnsi"/>
        </w:rPr>
        <w:t xml:space="preserve">Lehrke, S, Lossnitzer, D, Schob, M, Steen, H, Merten, C, Kemmling, H, Pribe, R, Ehlermann, P, Zugck, C, Korosoglou, G, Giannitsis, E &amp; Katus, HA 2011, 'Use of cardiovascular magnetic resonance for risk stratification in chronic heart failure: prognostic value of late gadolinium enhancement in patients with non-ischaemic dilated cardiomyopathy', </w:t>
      </w:r>
      <w:r w:rsidRPr="002B7CEB">
        <w:rPr>
          <w:rFonts w:asciiTheme="minorHAnsi" w:hAnsiTheme="minorHAnsi"/>
          <w:i/>
        </w:rPr>
        <w:t>Heart</w:t>
      </w:r>
      <w:r w:rsidRPr="002B7CEB">
        <w:rPr>
          <w:rFonts w:asciiTheme="minorHAnsi" w:hAnsiTheme="minorHAnsi"/>
        </w:rPr>
        <w:t>, vol. 97, no. 9, pp. 727</w:t>
      </w:r>
      <w:r w:rsidR="002C0C3B" w:rsidRPr="002B7CEB">
        <w:rPr>
          <w:rFonts w:asciiTheme="minorHAnsi" w:hAnsiTheme="minorHAnsi"/>
        </w:rPr>
        <w:t>–</w:t>
      </w:r>
      <w:r w:rsidRPr="002B7CEB">
        <w:rPr>
          <w:rFonts w:asciiTheme="minorHAnsi" w:hAnsiTheme="minorHAnsi"/>
        </w:rPr>
        <w:t>732.</w:t>
      </w:r>
    </w:p>
    <w:p w14:paraId="112DCA3A" w14:textId="5A430E5D" w:rsidR="00B906E9" w:rsidRPr="002B7CEB" w:rsidRDefault="00B906E9" w:rsidP="004C79C1">
      <w:pPr>
        <w:pStyle w:val="EndNoteBibliography"/>
        <w:spacing w:after="120"/>
        <w:jc w:val="both"/>
        <w:rPr>
          <w:rFonts w:asciiTheme="minorHAnsi" w:hAnsiTheme="minorHAnsi"/>
        </w:rPr>
      </w:pPr>
      <w:bookmarkStart w:id="1135" w:name="_ENREF_66"/>
      <w:bookmarkEnd w:id="1134"/>
      <w:r w:rsidRPr="002B7CEB">
        <w:rPr>
          <w:rFonts w:asciiTheme="minorHAnsi" w:hAnsiTheme="minorHAnsi"/>
        </w:rPr>
        <w:t>Leyva, F, Taylor, RJ, Foley, PWX, Umar, F, Mulligan, LJ, Patel, K, Stegemann, B, Haddad, T, Smith, REA &amp; Prasad, SK 2012, 'Left</w:t>
      </w:r>
      <w:r w:rsidR="00CB54A6" w:rsidRPr="002B7CEB">
        <w:rPr>
          <w:rFonts w:asciiTheme="minorHAnsi" w:hAnsiTheme="minorHAnsi"/>
        </w:rPr>
        <w:t xml:space="preserve"> ventricular midwall fibrosis as a predictor of mortality and morbidity after cardiac resynchronization therapy in patients with nonischemic cardiomyopathy</w:t>
      </w:r>
      <w:r w:rsidRPr="002B7CEB">
        <w:rPr>
          <w:rFonts w:asciiTheme="minorHAnsi" w:hAnsiTheme="minorHAnsi"/>
        </w:rPr>
        <w:t xml:space="preserve">', </w:t>
      </w:r>
      <w:r w:rsidRPr="002B7CEB">
        <w:rPr>
          <w:rFonts w:asciiTheme="minorHAnsi" w:hAnsiTheme="minorHAnsi"/>
          <w:i/>
        </w:rPr>
        <w:t>Journal of the American College of Cardiology</w:t>
      </w:r>
      <w:r w:rsidRPr="002B7CEB">
        <w:rPr>
          <w:rFonts w:asciiTheme="minorHAnsi" w:hAnsiTheme="minorHAnsi"/>
        </w:rPr>
        <w:t>, vol. 60, no. 17, pp. 1659</w:t>
      </w:r>
      <w:r w:rsidR="00680CE8" w:rsidRPr="002B7CEB">
        <w:rPr>
          <w:rFonts w:asciiTheme="minorHAnsi" w:hAnsiTheme="minorHAnsi"/>
        </w:rPr>
        <w:t>–</w:t>
      </w:r>
      <w:r w:rsidRPr="002B7CEB">
        <w:rPr>
          <w:rFonts w:asciiTheme="minorHAnsi" w:hAnsiTheme="minorHAnsi"/>
        </w:rPr>
        <w:t>1667.</w:t>
      </w:r>
    </w:p>
    <w:p w14:paraId="4CDFFFCC" w14:textId="4B16181A" w:rsidR="00B906E9" w:rsidRPr="002B7CEB" w:rsidRDefault="00B906E9" w:rsidP="004C79C1">
      <w:pPr>
        <w:pStyle w:val="EndNoteBibliography"/>
        <w:spacing w:after="120"/>
        <w:jc w:val="both"/>
        <w:rPr>
          <w:rFonts w:asciiTheme="minorHAnsi" w:hAnsiTheme="minorHAnsi"/>
        </w:rPr>
      </w:pPr>
      <w:bookmarkStart w:id="1136" w:name="_ENREF_67"/>
      <w:bookmarkEnd w:id="1135"/>
      <w:r w:rsidRPr="002B7CEB">
        <w:rPr>
          <w:rFonts w:asciiTheme="minorHAnsi" w:hAnsiTheme="minorHAnsi"/>
        </w:rPr>
        <w:t xml:space="preserve">Li, X, Chan, CP, Hua, W, Ding, L, Wang, J, Zhang, S, Li, S &amp; Zhang, Y 2013, 'Prognostic impact of late gadolinium enhancement by cardiac magnetic resonance imaging in patients with non-ischaemic dilated cardiomyopathy', </w:t>
      </w:r>
      <w:r w:rsidRPr="002B7CEB">
        <w:rPr>
          <w:rFonts w:asciiTheme="minorHAnsi" w:hAnsiTheme="minorHAnsi"/>
          <w:i/>
        </w:rPr>
        <w:t>Int</w:t>
      </w:r>
      <w:r w:rsidR="004D27FE" w:rsidRPr="002B7CEB">
        <w:rPr>
          <w:rFonts w:asciiTheme="minorHAnsi" w:hAnsiTheme="minorHAnsi"/>
          <w:i/>
        </w:rPr>
        <w:t>ernational</w:t>
      </w:r>
      <w:r w:rsidRPr="002B7CEB">
        <w:rPr>
          <w:rFonts w:asciiTheme="minorHAnsi" w:hAnsiTheme="minorHAnsi"/>
          <w:i/>
        </w:rPr>
        <w:t xml:space="preserve"> J</w:t>
      </w:r>
      <w:r w:rsidR="004D27FE" w:rsidRPr="002B7CEB">
        <w:rPr>
          <w:rFonts w:asciiTheme="minorHAnsi" w:hAnsiTheme="minorHAnsi"/>
          <w:i/>
        </w:rPr>
        <w:t>ournal of</w:t>
      </w:r>
      <w:r w:rsidRPr="002B7CEB">
        <w:rPr>
          <w:rFonts w:asciiTheme="minorHAnsi" w:hAnsiTheme="minorHAnsi"/>
          <w:i/>
        </w:rPr>
        <w:t xml:space="preserve"> Cardiol</w:t>
      </w:r>
      <w:r w:rsidR="004D27FE" w:rsidRPr="002B7CEB">
        <w:rPr>
          <w:rFonts w:asciiTheme="minorHAnsi" w:hAnsiTheme="minorHAnsi"/>
          <w:i/>
        </w:rPr>
        <w:t>ogy</w:t>
      </w:r>
      <w:r w:rsidRPr="002B7CEB">
        <w:rPr>
          <w:rFonts w:asciiTheme="minorHAnsi" w:hAnsiTheme="minorHAnsi"/>
        </w:rPr>
        <w:t>, vol. 168, no. 5, pp. 4979</w:t>
      </w:r>
      <w:r w:rsidR="004D27FE" w:rsidRPr="002B7CEB">
        <w:rPr>
          <w:rFonts w:asciiTheme="minorHAnsi" w:hAnsiTheme="minorHAnsi"/>
        </w:rPr>
        <w:t>–</w:t>
      </w:r>
      <w:r w:rsidRPr="002B7CEB">
        <w:rPr>
          <w:rFonts w:asciiTheme="minorHAnsi" w:hAnsiTheme="minorHAnsi"/>
        </w:rPr>
        <w:t>4980.</w:t>
      </w:r>
    </w:p>
    <w:p w14:paraId="27B8EEE6" w14:textId="158EDDA3" w:rsidR="00B906E9" w:rsidRPr="002B7CEB" w:rsidRDefault="00B906E9" w:rsidP="004C79C1">
      <w:pPr>
        <w:pStyle w:val="EndNoteBibliography"/>
        <w:spacing w:after="120"/>
        <w:jc w:val="both"/>
        <w:rPr>
          <w:rFonts w:asciiTheme="minorHAnsi" w:hAnsiTheme="minorHAnsi"/>
        </w:rPr>
      </w:pPr>
      <w:bookmarkStart w:id="1137" w:name="_ENREF_68"/>
      <w:bookmarkEnd w:id="1136"/>
      <w:r w:rsidRPr="002B7CEB">
        <w:rPr>
          <w:rFonts w:asciiTheme="minorHAnsi" w:hAnsiTheme="minorHAnsi"/>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2B7CEB">
        <w:rPr>
          <w:rFonts w:asciiTheme="minorHAnsi" w:hAnsiTheme="minorHAnsi"/>
          <w:i/>
        </w:rPr>
        <w:t>PLoS Medicine</w:t>
      </w:r>
      <w:r w:rsidRPr="002B7CEB">
        <w:rPr>
          <w:rFonts w:asciiTheme="minorHAnsi" w:hAnsiTheme="minorHAnsi"/>
        </w:rPr>
        <w:t>, vol. 6, no. 7, p. e1000100.</w:t>
      </w:r>
    </w:p>
    <w:p w14:paraId="0A3531F4" w14:textId="56431B69" w:rsidR="00B906E9" w:rsidRPr="002B7CEB" w:rsidRDefault="00B906E9" w:rsidP="004C79C1">
      <w:pPr>
        <w:pStyle w:val="EndNoteBibliography"/>
        <w:spacing w:after="120"/>
        <w:jc w:val="both"/>
        <w:rPr>
          <w:rFonts w:asciiTheme="minorHAnsi" w:hAnsiTheme="minorHAnsi"/>
        </w:rPr>
      </w:pPr>
      <w:bookmarkStart w:id="1138" w:name="_ENREF_69"/>
      <w:bookmarkEnd w:id="1137"/>
      <w:r w:rsidRPr="002B7CEB">
        <w:rPr>
          <w:rFonts w:asciiTheme="minorHAnsi" w:hAnsiTheme="minorHAnsi"/>
        </w:rPr>
        <w:t xml:space="preserve">Lipinski, MJ, McVey, CM, Berger, JS, Kramer, CM &amp; Salerno, M 2013, 'Prognostic value of stress cardiac magnetic resonance imaging in patients with known or suspected coronary artery disease: </w:t>
      </w:r>
      <w:r w:rsidR="00AB769D" w:rsidRPr="002B7CEB">
        <w:rPr>
          <w:rFonts w:asciiTheme="minorHAnsi" w:hAnsiTheme="minorHAnsi"/>
        </w:rPr>
        <w:t>a</w:t>
      </w:r>
      <w:r w:rsidRPr="002B7CEB">
        <w:rPr>
          <w:rFonts w:asciiTheme="minorHAnsi" w:hAnsiTheme="minorHAnsi"/>
        </w:rPr>
        <w:t xml:space="preserve"> systematic review and meta-analysis', </w:t>
      </w:r>
      <w:r w:rsidRPr="002B7CEB">
        <w:rPr>
          <w:rFonts w:asciiTheme="minorHAnsi" w:hAnsiTheme="minorHAnsi"/>
          <w:i/>
        </w:rPr>
        <w:t>Journal of the American College of Cardiology</w:t>
      </w:r>
      <w:r w:rsidRPr="002B7CEB">
        <w:rPr>
          <w:rFonts w:asciiTheme="minorHAnsi" w:hAnsiTheme="minorHAnsi"/>
        </w:rPr>
        <w:t>, vol. 62, no. 9, pp. 826</w:t>
      </w:r>
      <w:r w:rsidR="004D27FE" w:rsidRPr="002B7CEB">
        <w:rPr>
          <w:rFonts w:asciiTheme="minorHAnsi" w:hAnsiTheme="minorHAnsi"/>
        </w:rPr>
        <w:t>–</w:t>
      </w:r>
      <w:r w:rsidRPr="002B7CEB">
        <w:rPr>
          <w:rFonts w:asciiTheme="minorHAnsi" w:hAnsiTheme="minorHAnsi"/>
        </w:rPr>
        <w:t>838.</w:t>
      </w:r>
    </w:p>
    <w:p w14:paraId="5B7A6B44" w14:textId="778FA5B4" w:rsidR="00B906E9" w:rsidRPr="002B7CEB" w:rsidRDefault="00B906E9" w:rsidP="004C79C1">
      <w:pPr>
        <w:pStyle w:val="EndNoteBibliography"/>
        <w:spacing w:after="120"/>
        <w:jc w:val="both"/>
        <w:rPr>
          <w:rFonts w:asciiTheme="minorHAnsi" w:hAnsiTheme="minorHAnsi"/>
        </w:rPr>
      </w:pPr>
      <w:bookmarkStart w:id="1139" w:name="_ENREF_70"/>
      <w:bookmarkEnd w:id="1138"/>
      <w:r w:rsidRPr="002B7CEB">
        <w:rPr>
          <w:rFonts w:asciiTheme="minorHAnsi" w:hAnsiTheme="minorHAnsi"/>
        </w:rPr>
        <w:t xml:space="preserve">Liu, ZL, Liu, ZJ, Liu, JP &amp; Kwong, JS 2013, 'Herbal medicines for viral myocarditis', </w:t>
      </w:r>
      <w:r w:rsidRPr="002B7CEB">
        <w:rPr>
          <w:rFonts w:asciiTheme="minorHAnsi" w:hAnsiTheme="minorHAnsi"/>
          <w:i/>
        </w:rPr>
        <w:t>Cochrane Database Syst</w:t>
      </w:r>
      <w:r w:rsidR="00EC0420" w:rsidRPr="002B7CEB">
        <w:rPr>
          <w:rFonts w:asciiTheme="minorHAnsi" w:hAnsiTheme="minorHAnsi"/>
          <w:i/>
        </w:rPr>
        <w:t>ematic</w:t>
      </w:r>
      <w:r w:rsidRPr="002B7CEB">
        <w:rPr>
          <w:rFonts w:asciiTheme="minorHAnsi" w:hAnsiTheme="minorHAnsi"/>
          <w:i/>
        </w:rPr>
        <w:t xml:space="preserve"> Rev</w:t>
      </w:r>
      <w:r w:rsidR="00EC0420" w:rsidRPr="002B7CEB">
        <w:rPr>
          <w:rFonts w:asciiTheme="minorHAnsi" w:hAnsiTheme="minorHAnsi"/>
          <w:i/>
        </w:rPr>
        <w:t>iews</w:t>
      </w:r>
      <w:r w:rsidRPr="002B7CEB">
        <w:rPr>
          <w:rFonts w:asciiTheme="minorHAnsi" w:hAnsiTheme="minorHAnsi"/>
        </w:rPr>
        <w:t>, vol. 8, p. CD003711.</w:t>
      </w:r>
    </w:p>
    <w:p w14:paraId="0D985458" w14:textId="044CE9C0" w:rsidR="00B906E9" w:rsidRPr="002B7CEB" w:rsidRDefault="00B906E9" w:rsidP="004C79C1">
      <w:pPr>
        <w:pStyle w:val="EndNoteBibliography"/>
        <w:spacing w:after="120"/>
        <w:jc w:val="both"/>
        <w:rPr>
          <w:rFonts w:asciiTheme="minorHAnsi" w:hAnsiTheme="minorHAnsi"/>
        </w:rPr>
      </w:pPr>
      <w:bookmarkStart w:id="1140" w:name="_ENREF_71"/>
      <w:bookmarkEnd w:id="1139"/>
      <w:r w:rsidRPr="002B7CEB">
        <w:rPr>
          <w:rFonts w:asciiTheme="minorHAnsi" w:hAnsiTheme="minorHAnsi"/>
        </w:rPr>
        <w:t xml:space="preserve">Lombardi, M, Neglia, D, Nihoyannopoulos, P &amp; van Rossum, AC 2010, 'Dilated </w:t>
      </w:r>
      <w:r w:rsidR="00EC0420" w:rsidRPr="002B7CEB">
        <w:rPr>
          <w:rFonts w:asciiTheme="minorHAnsi" w:hAnsiTheme="minorHAnsi"/>
        </w:rPr>
        <w:t>c</w:t>
      </w:r>
      <w:r w:rsidRPr="002B7CEB">
        <w:rPr>
          <w:rFonts w:asciiTheme="minorHAnsi" w:hAnsiTheme="minorHAnsi"/>
        </w:rPr>
        <w:t xml:space="preserve">ardiomyopathy', in JL Zamorano (ed.), </w:t>
      </w:r>
      <w:r w:rsidRPr="002B7CEB">
        <w:rPr>
          <w:rFonts w:asciiTheme="minorHAnsi" w:hAnsiTheme="minorHAnsi"/>
          <w:i/>
        </w:rPr>
        <w:t xml:space="preserve">The ESC </w:t>
      </w:r>
      <w:r w:rsidR="00EC0420" w:rsidRPr="002B7CEB">
        <w:rPr>
          <w:rFonts w:asciiTheme="minorHAnsi" w:hAnsiTheme="minorHAnsi"/>
          <w:i/>
        </w:rPr>
        <w:t>t</w:t>
      </w:r>
      <w:r w:rsidRPr="002B7CEB">
        <w:rPr>
          <w:rFonts w:asciiTheme="minorHAnsi" w:hAnsiTheme="minorHAnsi"/>
          <w:i/>
        </w:rPr>
        <w:t xml:space="preserve">extbook of </w:t>
      </w:r>
      <w:r w:rsidR="00EC0420" w:rsidRPr="002B7CEB">
        <w:rPr>
          <w:rFonts w:asciiTheme="minorHAnsi" w:hAnsiTheme="minorHAnsi"/>
          <w:i/>
        </w:rPr>
        <w:t>c</w:t>
      </w:r>
      <w:r w:rsidRPr="002B7CEB">
        <w:rPr>
          <w:rFonts w:asciiTheme="minorHAnsi" w:hAnsiTheme="minorHAnsi"/>
          <w:i/>
        </w:rPr>
        <w:t xml:space="preserve">ardiovascular </w:t>
      </w:r>
      <w:r w:rsidR="00EC0420" w:rsidRPr="002B7CEB">
        <w:rPr>
          <w:rFonts w:asciiTheme="minorHAnsi" w:hAnsiTheme="minorHAnsi"/>
          <w:i/>
        </w:rPr>
        <w:t>i</w:t>
      </w:r>
      <w:r w:rsidRPr="002B7CEB">
        <w:rPr>
          <w:rFonts w:asciiTheme="minorHAnsi" w:hAnsiTheme="minorHAnsi"/>
          <w:i/>
        </w:rPr>
        <w:t>maging</w:t>
      </w:r>
      <w:r w:rsidRPr="002B7CEB">
        <w:rPr>
          <w:rFonts w:asciiTheme="minorHAnsi" w:hAnsiTheme="minorHAnsi"/>
        </w:rPr>
        <w:t>, Springer-Verlag, London, pp. 449</w:t>
      </w:r>
      <w:r w:rsidR="00EC0420" w:rsidRPr="002B7CEB">
        <w:rPr>
          <w:rFonts w:asciiTheme="minorHAnsi" w:hAnsiTheme="minorHAnsi"/>
        </w:rPr>
        <w:t>–</w:t>
      </w:r>
      <w:r w:rsidRPr="002B7CEB">
        <w:rPr>
          <w:rFonts w:asciiTheme="minorHAnsi" w:hAnsiTheme="minorHAnsi"/>
        </w:rPr>
        <w:t>471.</w:t>
      </w:r>
    </w:p>
    <w:p w14:paraId="4E280678" w14:textId="296A1501" w:rsidR="00B906E9" w:rsidRPr="002B7CEB" w:rsidRDefault="00B906E9" w:rsidP="004C79C1">
      <w:pPr>
        <w:pStyle w:val="EndNoteBibliography"/>
        <w:spacing w:after="120"/>
        <w:jc w:val="both"/>
        <w:rPr>
          <w:rFonts w:asciiTheme="minorHAnsi" w:hAnsiTheme="minorHAnsi"/>
        </w:rPr>
      </w:pPr>
      <w:bookmarkStart w:id="1141" w:name="_ENREF_72"/>
      <w:bookmarkEnd w:id="1140"/>
      <w:r w:rsidRPr="002B7CEB">
        <w:rPr>
          <w:rFonts w:asciiTheme="minorHAnsi" w:hAnsiTheme="minorHAnsi"/>
        </w:rPr>
        <w:lastRenderedPageBreak/>
        <w:t xml:space="preserve">Looi, JL, Edwards, C, Armstrong, GP, Scott, A, Patel, H, Hart, H &amp; Christiansen, JP 2010, 'Characteristics and prognostic importance of myocardial fibrosis in patients with dilated cardiomyopathy assessed by contrast-enhanced cardiac magnetic resonance imaging', </w:t>
      </w:r>
      <w:r w:rsidRPr="002B7CEB">
        <w:rPr>
          <w:rFonts w:asciiTheme="minorHAnsi" w:hAnsiTheme="minorHAnsi"/>
          <w:i/>
        </w:rPr>
        <w:t>Clin</w:t>
      </w:r>
      <w:r w:rsidR="00EC0420" w:rsidRPr="002B7CEB">
        <w:rPr>
          <w:rFonts w:asciiTheme="minorHAnsi" w:hAnsiTheme="minorHAnsi"/>
          <w:i/>
        </w:rPr>
        <w:t>ical</w:t>
      </w:r>
      <w:r w:rsidRPr="002B7CEB">
        <w:rPr>
          <w:rFonts w:asciiTheme="minorHAnsi" w:hAnsiTheme="minorHAnsi"/>
          <w:i/>
        </w:rPr>
        <w:t xml:space="preserve"> Med</w:t>
      </w:r>
      <w:r w:rsidR="00EC0420" w:rsidRPr="002B7CEB">
        <w:rPr>
          <w:rFonts w:asciiTheme="minorHAnsi" w:hAnsiTheme="minorHAnsi"/>
          <w:i/>
        </w:rPr>
        <w:t>icine</w:t>
      </w:r>
      <w:r w:rsidRPr="002B7CEB">
        <w:rPr>
          <w:rFonts w:asciiTheme="minorHAnsi" w:hAnsiTheme="minorHAnsi"/>
          <w:i/>
        </w:rPr>
        <w:t xml:space="preserve"> Insights</w:t>
      </w:r>
      <w:r w:rsidR="00EC0420" w:rsidRPr="002B7CEB">
        <w:rPr>
          <w:rFonts w:asciiTheme="minorHAnsi" w:hAnsiTheme="minorHAnsi"/>
          <w:i/>
        </w:rPr>
        <w:t>:</w:t>
      </w:r>
      <w:r w:rsidRPr="002B7CEB">
        <w:rPr>
          <w:rFonts w:asciiTheme="minorHAnsi" w:hAnsiTheme="minorHAnsi"/>
          <w:i/>
        </w:rPr>
        <w:t xml:space="preserve"> Cardiol</w:t>
      </w:r>
      <w:r w:rsidR="00EC0420" w:rsidRPr="002B7CEB">
        <w:rPr>
          <w:rFonts w:asciiTheme="minorHAnsi" w:hAnsiTheme="minorHAnsi"/>
          <w:i/>
        </w:rPr>
        <w:t>ogy</w:t>
      </w:r>
      <w:r w:rsidRPr="002B7CEB">
        <w:rPr>
          <w:rFonts w:asciiTheme="minorHAnsi" w:hAnsiTheme="minorHAnsi"/>
        </w:rPr>
        <w:t>, vol. 4, pp. 129</w:t>
      </w:r>
      <w:r w:rsidR="006922E7" w:rsidRPr="002B7CEB">
        <w:rPr>
          <w:rFonts w:asciiTheme="minorHAnsi" w:hAnsiTheme="minorHAnsi"/>
        </w:rPr>
        <w:t>–</w:t>
      </w:r>
      <w:r w:rsidRPr="002B7CEB">
        <w:rPr>
          <w:rFonts w:asciiTheme="minorHAnsi" w:hAnsiTheme="minorHAnsi"/>
        </w:rPr>
        <w:t>134.</w:t>
      </w:r>
    </w:p>
    <w:p w14:paraId="24870E12" w14:textId="6F0FB62A" w:rsidR="00B906E9" w:rsidRPr="002B7CEB" w:rsidRDefault="00B906E9" w:rsidP="004C79C1">
      <w:pPr>
        <w:pStyle w:val="EndNoteBibliography"/>
        <w:spacing w:after="120"/>
        <w:jc w:val="both"/>
        <w:rPr>
          <w:rFonts w:asciiTheme="minorHAnsi" w:hAnsiTheme="minorHAnsi"/>
        </w:rPr>
      </w:pPr>
      <w:bookmarkStart w:id="1142" w:name="_ENREF_73"/>
      <w:bookmarkEnd w:id="1141"/>
      <w:r w:rsidRPr="002B7CEB">
        <w:rPr>
          <w:rFonts w:asciiTheme="minorHAnsi" w:hAnsiTheme="minorHAnsi"/>
        </w:rPr>
        <w:t xml:space="preserve">Machii, M, Satoh, H, Shiraki, K, Saotome, M, Urushida, T, Katoh, H, Takehara, Y, Sakahara, H, Ohtani, H, Wakabayashi, Y, Ukigai, H, Tawarahara, K &amp; Hayashi, H 2014, 'Distribution of late gadolinium enhancement in end-stage hypertrophic cardiomyopathy and dilated cardiomyopathy: differential diagnosis and prediction of cardiac outcome', </w:t>
      </w:r>
      <w:r w:rsidRPr="002B7CEB">
        <w:rPr>
          <w:rFonts w:asciiTheme="minorHAnsi" w:hAnsiTheme="minorHAnsi"/>
          <w:i/>
        </w:rPr>
        <w:t>Magn</w:t>
      </w:r>
      <w:r w:rsidR="009A632E" w:rsidRPr="002B7CEB">
        <w:rPr>
          <w:rFonts w:asciiTheme="minorHAnsi" w:hAnsiTheme="minorHAnsi"/>
          <w:i/>
        </w:rPr>
        <w:t>etic</w:t>
      </w:r>
      <w:r w:rsidRPr="002B7CEB">
        <w:rPr>
          <w:rFonts w:asciiTheme="minorHAnsi" w:hAnsiTheme="minorHAnsi"/>
          <w:i/>
        </w:rPr>
        <w:t xml:space="preserve"> Reson</w:t>
      </w:r>
      <w:r w:rsidR="009A632E" w:rsidRPr="002B7CEB">
        <w:rPr>
          <w:rFonts w:asciiTheme="minorHAnsi" w:hAnsiTheme="minorHAnsi"/>
          <w:i/>
        </w:rPr>
        <w:t>ance</w:t>
      </w:r>
      <w:r w:rsidRPr="002B7CEB">
        <w:rPr>
          <w:rFonts w:asciiTheme="minorHAnsi" w:hAnsiTheme="minorHAnsi"/>
          <w:i/>
        </w:rPr>
        <w:t xml:space="preserve"> Imaging</w:t>
      </w:r>
      <w:r w:rsidRPr="002B7CEB">
        <w:rPr>
          <w:rFonts w:asciiTheme="minorHAnsi" w:hAnsiTheme="minorHAnsi"/>
        </w:rPr>
        <w:t>, vol. 32, no. 2, pp. 118</w:t>
      </w:r>
      <w:r w:rsidR="009A632E" w:rsidRPr="002B7CEB">
        <w:rPr>
          <w:rFonts w:asciiTheme="minorHAnsi" w:hAnsiTheme="minorHAnsi"/>
        </w:rPr>
        <w:t>–</w:t>
      </w:r>
      <w:r w:rsidRPr="002B7CEB">
        <w:rPr>
          <w:rFonts w:asciiTheme="minorHAnsi" w:hAnsiTheme="minorHAnsi"/>
        </w:rPr>
        <w:t>124.</w:t>
      </w:r>
    </w:p>
    <w:p w14:paraId="2C798073" w14:textId="41C5EA33" w:rsidR="00B906E9" w:rsidRPr="002B7CEB" w:rsidRDefault="00B906E9" w:rsidP="004C79C1">
      <w:pPr>
        <w:pStyle w:val="EndNoteBibliography"/>
        <w:spacing w:after="120"/>
        <w:jc w:val="both"/>
        <w:rPr>
          <w:rFonts w:asciiTheme="minorHAnsi" w:hAnsiTheme="minorHAnsi"/>
        </w:rPr>
      </w:pPr>
      <w:bookmarkStart w:id="1143" w:name="_ENREF_74"/>
      <w:bookmarkEnd w:id="1142"/>
      <w:r w:rsidRPr="002B7CEB">
        <w:rPr>
          <w:rFonts w:asciiTheme="minorHAnsi" w:hAnsiTheme="minorHAnsi"/>
        </w:rPr>
        <w:t xml:space="preserve">MacKenzie, MA 2016, 'Magical thinking around end of life: </w:t>
      </w:r>
      <w:r w:rsidR="009A632E" w:rsidRPr="002B7CEB">
        <w:rPr>
          <w:rFonts w:asciiTheme="minorHAnsi" w:hAnsiTheme="minorHAnsi"/>
        </w:rPr>
        <w:t>a</w:t>
      </w:r>
      <w:r w:rsidRPr="002B7CEB">
        <w:rPr>
          <w:rFonts w:asciiTheme="minorHAnsi" w:hAnsiTheme="minorHAnsi"/>
        </w:rPr>
        <w:t>n editorial on I</w:t>
      </w:r>
      <w:r w:rsidR="009A632E" w:rsidRPr="002B7CEB">
        <w:rPr>
          <w:rFonts w:asciiTheme="minorHAnsi" w:hAnsiTheme="minorHAnsi"/>
        </w:rPr>
        <w:t>mplantable cardioverter defibrillator</w:t>
      </w:r>
      <w:r w:rsidRPr="002B7CEB">
        <w:rPr>
          <w:rFonts w:asciiTheme="minorHAnsi" w:hAnsiTheme="minorHAnsi"/>
        </w:rPr>
        <w:t xml:space="preserve"> deactivation discussions: </w:t>
      </w:r>
      <w:r w:rsidR="009A632E" w:rsidRPr="002B7CEB">
        <w:rPr>
          <w:rFonts w:asciiTheme="minorHAnsi" w:hAnsiTheme="minorHAnsi"/>
        </w:rPr>
        <w:t>r</w:t>
      </w:r>
      <w:r w:rsidRPr="002B7CEB">
        <w:rPr>
          <w:rFonts w:asciiTheme="minorHAnsi" w:hAnsiTheme="minorHAnsi"/>
        </w:rPr>
        <w:t xml:space="preserve">eality vs recommendations', </w:t>
      </w:r>
      <w:r w:rsidRPr="002B7CEB">
        <w:rPr>
          <w:rFonts w:asciiTheme="minorHAnsi" w:hAnsiTheme="minorHAnsi"/>
          <w:i/>
        </w:rPr>
        <w:t>Eur</w:t>
      </w:r>
      <w:r w:rsidR="00900679" w:rsidRPr="002B7CEB">
        <w:rPr>
          <w:rFonts w:asciiTheme="minorHAnsi" w:hAnsiTheme="minorHAnsi"/>
          <w:i/>
        </w:rPr>
        <w:t>opean</w:t>
      </w:r>
      <w:r w:rsidRPr="002B7CEB">
        <w:rPr>
          <w:rFonts w:asciiTheme="minorHAnsi" w:hAnsiTheme="minorHAnsi"/>
          <w:i/>
        </w:rPr>
        <w:t xml:space="preserve"> J</w:t>
      </w:r>
      <w:r w:rsidR="00900679" w:rsidRPr="002B7CEB">
        <w:rPr>
          <w:rFonts w:asciiTheme="minorHAnsi" w:hAnsiTheme="minorHAnsi"/>
          <w:i/>
        </w:rPr>
        <w:t>ournal of</w:t>
      </w:r>
      <w:r w:rsidRPr="002B7CEB">
        <w:rPr>
          <w:rFonts w:asciiTheme="minorHAnsi" w:hAnsiTheme="minorHAnsi"/>
          <w:i/>
        </w:rPr>
        <w:t xml:space="preserve"> Cardiovasc</w:t>
      </w:r>
      <w:r w:rsidR="00900679" w:rsidRPr="002B7CEB">
        <w:rPr>
          <w:rFonts w:asciiTheme="minorHAnsi" w:hAnsiTheme="minorHAnsi"/>
          <w:i/>
        </w:rPr>
        <w:t>ular</w:t>
      </w:r>
      <w:r w:rsidRPr="002B7CEB">
        <w:rPr>
          <w:rFonts w:asciiTheme="minorHAnsi" w:hAnsiTheme="minorHAnsi"/>
          <w:i/>
        </w:rPr>
        <w:t xml:space="preserve"> Nurs</w:t>
      </w:r>
      <w:r w:rsidR="00900679" w:rsidRPr="002B7CEB">
        <w:rPr>
          <w:rFonts w:asciiTheme="minorHAnsi" w:hAnsiTheme="minorHAnsi"/>
          <w:i/>
        </w:rPr>
        <w:t>ing</w:t>
      </w:r>
      <w:r w:rsidRPr="002B7CEB">
        <w:rPr>
          <w:rFonts w:asciiTheme="minorHAnsi" w:hAnsiTheme="minorHAnsi"/>
        </w:rPr>
        <w:t>, vol. 15, no. 1, pp. 8</w:t>
      </w:r>
      <w:r w:rsidR="00900679" w:rsidRPr="002B7CEB">
        <w:rPr>
          <w:rFonts w:asciiTheme="minorHAnsi" w:hAnsiTheme="minorHAnsi"/>
        </w:rPr>
        <w:t>–</w:t>
      </w:r>
      <w:r w:rsidRPr="002B7CEB">
        <w:rPr>
          <w:rFonts w:asciiTheme="minorHAnsi" w:hAnsiTheme="minorHAnsi"/>
        </w:rPr>
        <w:t>9.</w:t>
      </w:r>
    </w:p>
    <w:p w14:paraId="7F230B7F" w14:textId="7253F928" w:rsidR="00B906E9" w:rsidRPr="002B7CEB" w:rsidRDefault="00B906E9" w:rsidP="004C79C1">
      <w:pPr>
        <w:pStyle w:val="EndNoteBibliography"/>
        <w:spacing w:after="120"/>
        <w:jc w:val="both"/>
        <w:rPr>
          <w:rFonts w:asciiTheme="minorHAnsi" w:hAnsiTheme="minorHAnsi"/>
        </w:rPr>
      </w:pPr>
      <w:bookmarkStart w:id="1144" w:name="_ENREF_75"/>
      <w:bookmarkEnd w:id="1143"/>
      <w:r w:rsidRPr="002B7CEB">
        <w:rPr>
          <w:rFonts w:asciiTheme="minorHAnsi" w:hAnsiTheme="minorHAnsi"/>
        </w:rPr>
        <w:t xml:space="preserve">Mann, DL, Zipes, DP, Libby, P &amp; Bonow, R 2015, </w:t>
      </w:r>
      <w:r w:rsidRPr="002B7CEB">
        <w:rPr>
          <w:rFonts w:asciiTheme="minorHAnsi" w:hAnsiTheme="minorHAnsi"/>
          <w:i/>
        </w:rPr>
        <w:t xml:space="preserve">Braunwald's </w:t>
      </w:r>
      <w:r w:rsidR="00A10C71" w:rsidRPr="002B7CEB">
        <w:rPr>
          <w:rFonts w:asciiTheme="minorHAnsi" w:hAnsiTheme="minorHAnsi"/>
          <w:i/>
        </w:rPr>
        <w:t>h</w:t>
      </w:r>
      <w:r w:rsidRPr="002B7CEB">
        <w:rPr>
          <w:rFonts w:asciiTheme="minorHAnsi" w:hAnsiTheme="minorHAnsi"/>
          <w:i/>
        </w:rPr>
        <w:t xml:space="preserve">eart </w:t>
      </w:r>
      <w:r w:rsidR="00A10C71" w:rsidRPr="002B7CEB">
        <w:rPr>
          <w:rFonts w:asciiTheme="minorHAnsi" w:hAnsiTheme="minorHAnsi"/>
          <w:i/>
        </w:rPr>
        <w:t>d</w:t>
      </w:r>
      <w:r w:rsidRPr="002B7CEB">
        <w:rPr>
          <w:rFonts w:asciiTheme="minorHAnsi" w:hAnsiTheme="minorHAnsi"/>
          <w:i/>
        </w:rPr>
        <w:t xml:space="preserve">isease: </w:t>
      </w:r>
      <w:r w:rsidR="00A10C71" w:rsidRPr="002B7CEB">
        <w:rPr>
          <w:rFonts w:asciiTheme="minorHAnsi" w:hAnsiTheme="minorHAnsi"/>
          <w:i/>
        </w:rPr>
        <w:t>a</w:t>
      </w:r>
      <w:r w:rsidRPr="002B7CEB">
        <w:rPr>
          <w:rFonts w:asciiTheme="minorHAnsi" w:hAnsiTheme="minorHAnsi"/>
          <w:i/>
        </w:rPr>
        <w:t xml:space="preserve"> textbook of cardiovascular medicine</w:t>
      </w:r>
      <w:r w:rsidRPr="002B7CEB">
        <w:rPr>
          <w:rFonts w:asciiTheme="minorHAnsi" w:hAnsiTheme="minorHAnsi"/>
        </w:rPr>
        <w:t>, 10th edn, Elsevier Saunders, Boston.</w:t>
      </w:r>
    </w:p>
    <w:p w14:paraId="073F9739" w14:textId="45D5D1E5" w:rsidR="00B906E9" w:rsidRPr="002B7CEB" w:rsidRDefault="00B906E9" w:rsidP="004C79C1">
      <w:pPr>
        <w:pStyle w:val="EndNoteBibliography"/>
        <w:spacing w:after="120"/>
        <w:jc w:val="both"/>
        <w:rPr>
          <w:rFonts w:asciiTheme="minorHAnsi" w:hAnsiTheme="minorHAnsi"/>
        </w:rPr>
      </w:pPr>
      <w:bookmarkStart w:id="1145" w:name="_ENREF_76"/>
      <w:bookmarkEnd w:id="1144"/>
      <w:r w:rsidRPr="002B7CEB">
        <w:rPr>
          <w:rFonts w:asciiTheme="minorHAnsi" w:hAnsiTheme="minorHAnsi"/>
        </w:rPr>
        <w:t xml:space="preserve">Masci, PG, Barison, A, Aquaro, GD, Pingitore, A, Mariotti, R, Balbarini, A, Passino, C, Lombardi, M &amp; Emdin, M 2012, 'Myocardial delayed enhancement in paucisymptomatic nonischemic dilated cardiomyopathy', </w:t>
      </w:r>
      <w:r w:rsidRPr="002B7CEB">
        <w:rPr>
          <w:rFonts w:asciiTheme="minorHAnsi" w:hAnsiTheme="minorHAnsi"/>
          <w:i/>
        </w:rPr>
        <w:t>International Journal of Cardiology</w:t>
      </w:r>
      <w:r w:rsidRPr="002B7CEB">
        <w:rPr>
          <w:rFonts w:asciiTheme="minorHAnsi" w:hAnsiTheme="minorHAnsi"/>
        </w:rPr>
        <w:t>, vol. 157, no. 1, pp. 43</w:t>
      </w:r>
      <w:r w:rsidR="00A10C71" w:rsidRPr="002B7CEB">
        <w:rPr>
          <w:rFonts w:asciiTheme="minorHAnsi" w:hAnsiTheme="minorHAnsi"/>
        </w:rPr>
        <w:t>–</w:t>
      </w:r>
      <w:r w:rsidRPr="002B7CEB">
        <w:rPr>
          <w:rFonts w:asciiTheme="minorHAnsi" w:hAnsiTheme="minorHAnsi"/>
        </w:rPr>
        <w:t>47.</w:t>
      </w:r>
    </w:p>
    <w:p w14:paraId="2347D009" w14:textId="4907DC4A" w:rsidR="00B906E9" w:rsidRPr="002B7CEB" w:rsidRDefault="00B906E9" w:rsidP="004C79C1">
      <w:pPr>
        <w:pStyle w:val="EndNoteBibliography"/>
        <w:spacing w:after="120"/>
        <w:jc w:val="both"/>
        <w:rPr>
          <w:rFonts w:asciiTheme="minorHAnsi" w:hAnsiTheme="minorHAnsi"/>
        </w:rPr>
      </w:pPr>
      <w:bookmarkStart w:id="1146" w:name="_ENREF_77"/>
      <w:bookmarkEnd w:id="1145"/>
      <w:r w:rsidRPr="002B7CEB">
        <w:rPr>
          <w:rFonts w:asciiTheme="minorHAnsi" w:hAnsiTheme="minorHAnsi"/>
        </w:rPr>
        <w:t xml:space="preserve">McCrohon, J, Moon, J, Prasad, S, McKenna, W, Lorenz, C, Coats, A &amp; Pennell, D 2003, 'Differentiation of heart failure related to dilated cardiomyopathy and coronary artery disease using gadolinium-enhanced cardiovascular magnetic resonance', </w:t>
      </w:r>
      <w:r w:rsidRPr="002B7CEB">
        <w:rPr>
          <w:rFonts w:asciiTheme="minorHAnsi" w:hAnsiTheme="minorHAnsi"/>
          <w:i/>
        </w:rPr>
        <w:t>Circulation</w:t>
      </w:r>
      <w:r w:rsidRPr="002B7CEB">
        <w:rPr>
          <w:rFonts w:asciiTheme="minorHAnsi" w:hAnsiTheme="minorHAnsi"/>
        </w:rPr>
        <w:t>, vol. 108, no. 1, pp. 54</w:t>
      </w:r>
      <w:r w:rsidR="00A10C71" w:rsidRPr="002B7CEB">
        <w:rPr>
          <w:rFonts w:asciiTheme="minorHAnsi" w:hAnsiTheme="minorHAnsi"/>
        </w:rPr>
        <w:t>–</w:t>
      </w:r>
      <w:r w:rsidRPr="002B7CEB">
        <w:rPr>
          <w:rFonts w:asciiTheme="minorHAnsi" w:hAnsiTheme="minorHAnsi"/>
        </w:rPr>
        <w:t>59.</w:t>
      </w:r>
    </w:p>
    <w:p w14:paraId="11B77736" w14:textId="0033CFDD" w:rsidR="00B906E9" w:rsidRPr="002B7CEB" w:rsidRDefault="00B906E9" w:rsidP="004C79C1">
      <w:pPr>
        <w:pStyle w:val="EndNoteBibliography"/>
        <w:spacing w:after="120"/>
        <w:jc w:val="both"/>
        <w:rPr>
          <w:rFonts w:asciiTheme="minorHAnsi" w:hAnsiTheme="minorHAnsi"/>
        </w:rPr>
      </w:pPr>
      <w:bookmarkStart w:id="1147" w:name="_ENREF_78"/>
      <w:bookmarkEnd w:id="1146"/>
      <w:r w:rsidRPr="002B7CEB">
        <w:rPr>
          <w:rFonts w:asciiTheme="minorHAnsi" w:hAnsiTheme="minorHAnsi"/>
        </w:rPr>
        <w:t xml:space="preserve">McMurray, JJ, Adamopoulos, S, Anker, SD, Auricchio, A, Bohm, M, Dickstein, K, Falk, V, Filippatos, G, Fonseca, C, Gomez-Sanchez, MA, Jaarsma, T, Kober, L, Lip, GY, Maggioni, AP, Parkhomenko, A, Pieske, BM, Popescu, BA, Ronnevik, PK, Rutten, FH, Schwitter, J, Seferovic, P, Stepinska, J, Trindade, PT, Voors, AA, Zannad, F </w:t>
      </w:r>
      <w:r w:rsidR="00A10C71" w:rsidRPr="002B7CEB">
        <w:rPr>
          <w:rFonts w:asciiTheme="minorHAnsi" w:hAnsiTheme="minorHAnsi"/>
        </w:rPr>
        <w:t xml:space="preserve">&amp; </w:t>
      </w:r>
      <w:r w:rsidRPr="002B7CEB">
        <w:rPr>
          <w:rFonts w:asciiTheme="minorHAnsi" w:hAnsiTheme="minorHAnsi"/>
        </w:rPr>
        <w:t xml:space="preserve">Zeiher, A 2012, 'ESC Guidelines for the diagnosis and treatment of acute and chronic heart failure 2012: </w:t>
      </w:r>
      <w:r w:rsidR="000D02AC" w:rsidRPr="002B7CEB">
        <w:rPr>
          <w:rFonts w:asciiTheme="minorHAnsi" w:hAnsiTheme="minorHAnsi"/>
        </w:rPr>
        <w:t>t</w:t>
      </w:r>
      <w:r w:rsidRPr="002B7CEB">
        <w:rPr>
          <w:rFonts w:asciiTheme="minorHAnsi" w:hAnsiTheme="minorHAnsi"/>
        </w:rPr>
        <w:t xml:space="preserve">he Task Force for the Diagnosis and Treatment of Acute and Chronic Heart Failure 2012 of the European Society of Cardiology. Developed in collaboration with the Heart Failure Association (HFA) of the ESC', </w:t>
      </w:r>
      <w:r w:rsidRPr="002B7CEB">
        <w:rPr>
          <w:rFonts w:asciiTheme="minorHAnsi" w:hAnsiTheme="minorHAnsi"/>
          <w:i/>
        </w:rPr>
        <w:t>Eur</w:t>
      </w:r>
      <w:r w:rsidR="000D02AC" w:rsidRPr="002B7CEB">
        <w:rPr>
          <w:rFonts w:asciiTheme="minorHAnsi" w:hAnsiTheme="minorHAnsi"/>
          <w:i/>
        </w:rPr>
        <w:t>opean</w:t>
      </w:r>
      <w:r w:rsidRPr="002B7CEB">
        <w:rPr>
          <w:rFonts w:asciiTheme="minorHAnsi" w:hAnsiTheme="minorHAnsi"/>
          <w:i/>
        </w:rPr>
        <w:t xml:space="preserve"> Heart J</w:t>
      </w:r>
      <w:r w:rsidR="000D02AC" w:rsidRPr="002B7CEB">
        <w:rPr>
          <w:rFonts w:asciiTheme="minorHAnsi" w:hAnsiTheme="minorHAnsi"/>
          <w:i/>
        </w:rPr>
        <w:t>ournal</w:t>
      </w:r>
      <w:r w:rsidRPr="002B7CEB">
        <w:rPr>
          <w:rFonts w:asciiTheme="minorHAnsi" w:hAnsiTheme="minorHAnsi"/>
        </w:rPr>
        <w:t>, vol. 33, no. 14, pp. 1787</w:t>
      </w:r>
      <w:r w:rsidR="000D02AC" w:rsidRPr="002B7CEB">
        <w:rPr>
          <w:rFonts w:asciiTheme="minorHAnsi" w:hAnsiTheme="minorHAnsi"/>
        </w:rPr>
        <w:t>–</w:t>
      </w:r>
      <w:r w:rsidRPr="002B7CEB">
        <w:rPr>
          <w:rFonts w:asciiTheme="minorHAnsi" w:hAnsiTheme="minorHAnsi"/>
        </w:rPr>
        <w:t>1847.</w:t>
      </w:r>
    </w:p>
    <w:p w14:paraId="37735B37" w14:textId="6EE51091" w:rsidR="00B906E9" w:rsidRPr="002B7CEB" w:rsidRDefault="00B906E9" w:rsidP="004C79C1">
      <w:pPr>
        <w:pStyle w:val="EndNoteBibliography"/>
        <w:spacing w:after="120"/>
        <w:jc w:val="both"/>
        <w:rPr>
          <w:rFonts w:asciiTheme="minorHAnsi" w:hAnsiTheme="minorHAnsi"/>
        </w:rPr>
      </w:pPr>
      <w:bookmarkStart w:id="1148" w:name="_ENREF_79"/>
      <w:bookmarkEnd w:id="1147"/>
      <w:r w:rsidRPr="002B7CEB">
        <w:rPr>
          <w:rFonts w:asciiTheme="minorHAnsi" w:hAnsiTheme="minorHAnsi"/>
        </w:rPr>
        <w:t xml:space="preserve">Medical Advisory Secretariat 2010a, 'Stress echocardiography with contrast for the diagnosis of coronary artery disease: an evidence-based analysis', </w:t>
      </w:r>
      <w:r w:rsidRPr="002B7CEB">
        <w:rPr>
          <w:rFonts w:asciiTheme="minorHAnsi" w:hAnsiTheme="minorHAnsi"/>
          <w:i/>
        </w:rPr>
        <w:t>Ontario Health Technology Assessment Series</w:t>
      </w:r>
      <w:r w:rsidRPr="002B7CEB">
        <w:rPr>
          <w:rFonts w:asciiTheme="minorHAnsi" w:hAnsiTheme="minorHAnsi"/>
        </w:rPr>
        <w:t>, vol. 10, no. 10, pp. 1</w:t>
      </w:r>
      <w:r w:rsidR="000D02AC" w:rsidRPr="002B7CEB">
        <w:rPr>
          <w:rFonts w:asciiTheme="minorHAnsi" w:hAnsiTheme="minorHAnsi"/>
        </w:rPr>
        <w:t>–</w:t>
      </w:r>
      <w:r w:rsidRPr="002B7CEB">
        <w:rPr>
          <w:rFonts w:asciiTheme="minorHAnsi" w:hAnsiTheme="minorHAnsi"/>
        </w:rPr>
        <w:t>59.</w:t>
      </w:r>
    </w:p>
    <w:p w14:paraId="3C2324E7" w14:textId="19DE3F1A" w:rsidR="00B906E9" w:rsidRPr="002B7CEB" w:rsidRDefault="00B906E9" w:rsidP="004C79C1">
      <w:pPr>
        <w:pStyle w:val="EndNoteBibliography"/>
        <w:spacing w:after="120"/>
        <w:jc w:val="both"/>
        <w:rPr>
          <w:rFonts w:asciiTheme="minorHAnsi" w:hAnsiTheme="minorHAnsi"/>
        </w:rPr>
      </w:pPr>
      <w:bookmarkStart w:id="1149" w:name="_ENREF_80"/>
      <w:bookmarkEnd w:id="1148"/>
      <w:r w:rsidRPr="002B7CEB">
        <w:rPr>
          <w:rFonts w:asciiTheme="minorHAnsi" w:hAnsiTheme="minorHAnsi"/>
        </w:rPr>
        <w:t xml:space="preserve">Medical Advisory Secretariat 2010b, 'Stress echocardiography for the diagnosis of coronary artery disease: an evidence-based analysis', </w:t>
      </w:r>
      <w:r w:rsidRPr="002B7CEB">
        <w:rPr>
          <w:rFonts w:asciiTheme="minorHAnsi" w:hAnsiTheme="minorHAnsi"/>
          <w:i/>
        </w:rPr>
        <w:t>Ontario Health Technology Assessment Series</w:t>
      </w:r>
      <w:r w:rsidRPr="002B7CEB">
        <w:rPr>
          <w:rFonts w:asciiTheme="minorHAnsi" w:hAnsiTheme="minorHAnsi"/>
        </w:rPr>
        <w:t>, vol. 10, no. 9, pp. 1</w:t>
      </w:r>
      <w:r w:rsidR="00530B2C" w:rsidRPr="002B7CEB">
        <w:rPr>
          <w:rFonts w:asciiTheme="minorHAnsi" w:hAnsiTheme="minorHAnsi"/>
        </w:rPr>
        <w:t>–</w:t>
      </w:r>
      <w:r w:rsidRPr="002B7CEB">
        <w:rPr>
          <w:rFonts w:asciiTheme="minorHAnsi" w:hAnsiTheme="minorHAnsi"/>
        </w:rPr>
        <w:t>61.</w:t>
      </w:r>
    </w:p>
    <w:p w14:paraId="731EEC3A" w14:textId="569AEEEA" w:rsidR="00B906E9" w:rsidRPr="002B7CEB" w:rsidRDefault="00B906E9" w:rsidP="004C79C1">
      <w:pPr>
        <w:pStyle w:val="EndNoteBibliography"/>
        <w:spacing w:after="120"/>
        <w:jc w:val="both"/>
        <w:rPr>
          <w:rFonts w:asciiTheme="minorHAnsi" w:hAnsiTheme="minorHAnsi"/>
        </w:rPr>
      </w:pPr>
      <w:bookmarkStart w:id="1150" w:name="_ENREF_81"/>
      <w:bookmarkEnd w:id="1149"/>
      <w:r w:rsidRPr="002B7CEB">
        <w:rPr>
          <w:rFonts w:asciiTheme="minorHAnsi" w:hAnsiTheme="minorHAnsi"/>
        </w:rPr>
        <w:t xml:space="preserve">Merlin, T, Lehman, S, Hiller, JE &amp; Ryan, P 2013, 'The "linked evidence approach" to assess medical tests: a critical analysis', </w:t>
      </w:r>
      <w:r w:rsidRPr="002B7CEB">
        <w:rPr>
          <w:rFonts w:asciiTheme="minorHAnsi" w:hAnsiTheme="minorHAnsi"/>
          <w:i/>
        </w:rPr>
        <w:t>Int</w:t>
      </w:r>
      <w:r w:rsidR="00530B2C" w:rsidRPr="002B7CEB">
        <w:rPr>
          <w:rFonts w:asciiTheme="minorHAnsi" w:hAnsiTheme="minorHAnsi"/>
          <w:i/>
        </w:rPr>
        <w:t>ernational</w:t>
      </w:r>
      <w:r w:rsidRPr="002B7CEB">
        <w:rPr>
          <w:rFonts w:asciiTheme="minorHAnsi" w:hAnsiTheme="minorHAnsi"/>
          <w:i/>
        </w:rPr>
        <w:t xml:space="preserve"> J</w:t>
      </w:r>
      <w:r w:rsidR="00530B2C" w:rsidRPr="002B7CEB">
        <w:rPr>
          <w:rFonts w:asciiTheme="minorHAnsi" w:hAnsiTheme="minorHAnsi"/>
          <w:i/>
        </w:rPr>
        <w:t>ournal of</w:t>
      </w:r>
      <w:r w:rsidRPr="002B7CEB">
        <w:rPr>
          <w:rFonts w:asciiTheme="minorHAnsi" w:hAnsiTheme="minorHAnsi"/>
          <w:i/>
        </w:rPr>
        <w:t xml:space="preserve"> Technol</w:t>
      </w:r>
      <w:r w:rsidR="00530B2C" w:rsidRPr="002B7CEB">
        <w:rPr>
          <w:rFonts w:asciiTheme="minorHAnsi" w:hAnsiTheme="minorHAnsi"/>
          <w:i/>
        </w:rPr>
        <w:t>ogy</w:t>
      </w:r>
      <w:r w:rsidRPr="002B7CEB">
        <w:rPr>
          <w:rFonts w:asciiTheme="minorHAnsi" w:hAnsiTheme="minorHAnsi"/>
          <w:i/>
        </w:rPr>
        <w:t xml:space="preserve"> Assess</w:t>
      </w:r>
      <w:r w:rsidR="00530B2C" w:rsidRPr="002B7CEB">
        <w:rPr>
          <w:rFonts w:asciiTheme="minorHAnsi" w:hAnsiTheme="minorHAnsi"/>
          <w:i/>
        </w:rPr>
        <w:t>ment</w:t>
      </w:r>
      <w:r w:rsidRPr="002B7CEB">
        <w:rPr>
          <w:rFonts w:asciiTheme="minorHAnsi" w:hAnsiTheme="minorHAnsi"/>
          <w:i/>
        </w:rPr>
        <w:t xml:space="preserve"> </w:t>
      </w:r>
      <w:r w:rsidR="000F72F4" w:rsidRPr="002B7CEB">
        <w:rPr>
          <w:rFonts w:asciiTheme="minorHAnsi" w:hAnsiTheme="minorHAnsi"/>
          <w:i/>
        </w:rPr>
        <w:t xml:space="preserve">in </w:t>
      </w:r>
      <w:r w:rsidRPr="002B7CEB">
        <w:rPr>
          <w:rFonts w:asciiTheme="minorHAnsi" w:hAnsiTheme="minorHAnsi"/>
          <w:i/>
        </w:rPr>
        <w:t>Health Care</w:t>
      </w:r>
      <w:r w:rsidRPr="002B7CEB">
        <w:rPr>
          <w:rFonts w:asciiTheme="minorHAnsi" w:hAnsiTheme="minorHAnsi"/>
        </w:rPr>
        <w:t>, vol. 29, no. 3, pp. 343</w:t>
      </w:r>
      <w:r w:rsidR="00530B2C" w:rsidRPr="002B7CEB">
        <w:rPr>
          <w:rFonts w:asciiTheme="minorHAnsi" w:hAnsiTheme="minorHAnsi"/>
        </w:rPr>
        <w:t>–</w:t>
      </w:r>
      <w:r w:rsidRPr="002B7CEB">
        <w:rPr>
          <w:rFonts w:asciiTheme="minorHAnsi" w:hAnsiTheme="minorHAnsi"/>
        </w:rPr>
        <w:t>350.</w:t>
      </w:r>
    </w:p>
    <w:p w14:paraId="41E12B21" w14:textId="77777777" w:rsidR="00B906E9" w:rsidRPr="002B7CEB" w:rsidRDefault="00B906E9" w:rsidP="004C79C1">
      <w:pPr>
        <w:pStyle w:val="EndNoteBibliography"/>
        <w:spacing w:after="120"/>
        <w:jc w:val="both"/>
        <w:rPr>
          <w:rFonts w:asciiTheme="minorHAnsi" w:hAnsiTheme="minorHAnsi"/>
        </w:rPr>
      </w:pPr>
      <w:bookmarkStart w:id="1151" w:name="_ENREF_82"/>
      <w:bookmarkEnd w:id="1150"/>
      <w:r w:rsidRPr="002B7CEB">
        <w:rPr>
          <w:rFonts w:asciiTheme="minorHAnsi" w:hAnsiTheme="minorHAnsi"/>
        </w:rPr>
        <w:t xml:space="preserve">Merlin, T, Weston, A &amp; Tooher, R 2009, 'Extending an evidence hierarchy to include topics other than treatment: revising the Australian 'levels of evidence'', </w:t>
      </w:r>
      <w:r w:rsidRPr="002B7CEB">
        <w:rPr>
          <w:rFonts w:asciiTheme="minorHAnsi" w:hAnsiTheme="minorHAnsi"/>
          <w:i/>
        </w:rPr>
        <w:t>BMC Medical Research Methodology</w:t>
      </w:r>
      <w:r w:rsidRPr="002B7CEB">
        <w:rPr>
          <w:rFonts w:asciiTheme="minorHAnsi" w:hAnsiTheme="minorHAnsi"/>
        </w:rPr>
        <w:t>, vol. 9, p. 34.</w:t>
      </w:r>
    </w:p>
    <w:p w14:paraId="3707FC9C" w14:textId="4534AE3F" w:rsidR="00B906E9" w:rsidRPr="002B7CEB" w:rsidRDefault="00B906E9" w:rsidP="004C79C1">
      <w:pPr>
        <w:pStyle w:val="EndNoteBibliography"/>
        <w:spacing w:after="120"/>
        <w:jc w:val="both"/>
        <w:rPr>
          <w:rFonts w:asciiTheme="minorHAnsi" w:hAnsiTheme="minorHAnsi"/>
        </w:rPr>
      </w:pPr>
      <w:bookmarkStart w:id="1152" w:name="_ENREF_83"/>
      <w:bookmarkEnd w:id="1151"/>
      <w:r w:rsidRPr="002B7CEB">
        <w:rPr>
          <w:rFonts w:asciiTheme="minorHAnsi" w:hAnsiTheme="minorHAnsi"/>
        </w:rPr>
        <w:t>Montalescot, G, Sechtem, U, Achenbach, S, Andreotti, F, Arden, C, Budaj, A, Bugiardini, R, Crea, F, Cuisset, T, Di Mario, C, Ferreira, JR, Gersh, BJ, Gitt, AK, Hulot, JS, Marx, N, Opie, LH, Pfisterer, M, Prescott, E, Ruschitzka, F, Sabate, M, Senior, R, Taggart, DP, van der Wall, EE, Vrints, CJ</w:t>
      </w:r>
      <w:r w:rsidR="00BF56E1" w:rsidRPr="002B7CEB">
        <w:rPr>
          <w:rFonts w:asciiTheme="minorHAnsi" w:hAnsiTheme="minorHAnsi"/>
        </w:rPr>
        <w:t>;</w:t>
      </w:r>
      <w:r w:rsidRPr="002B7CEB">
        <w:rPr>
          <w:rFonts w:asciiTheme="minorHAnsi" w:hAnsiTheme="minorHAnsi"/>
        </w:rPr>
        <w:t xml:space="preserve"> </w:t>
      </w:r>
      <w:r w:rsidR="00BF56E1" w:rsidRPr="002B7CEB">
        <w:rPr>
          <w:rFonts w:asciiTheme="minorHAnsi" w:hAnsiTheme="minorHAnsi"/>
        </w:rPr>
        <w:t xml:space="preserve">ESC Committee for </w:t>
      </w:r>
      <w:r w:rsidRPr="002B7CEB">
        <w:rPr>
          <w:rFonts w:asciiTheme="minorHAnsi" w:hAnsiTheme="minorHAnsi"/>
        </w:rPr>
        <w:t>Guidelines</w:t>
      </w:r>
      <w:r w:rsidR="00BF56E1" w:rsidRPr="002B7CEB">
        <w:rPr>
          <w:rFonts w:asciiTheme="minorHAnsi" w:hAnsiTheme="minorHAnsi"/>
        </w:rPr>
        <w:t>:</w:t>
      </w:r>
      <w:r w:rsidRPr="002B7CEB">
        <w:rPr>
          <w:rFonts w:asciiTheme="minorHAnsi" w:hAnsiTheme="minorHAnsi"/>
        </w:rPr>
        <w:t xml:space="preserve"> Zamorano, JL, Achenbach, S, Baumgartner, H, Bax, JJ, Bueno, H, Dean, V, Deaton, C, Erol, C, Fagard, R, Ferrari, R, Hasdai, D, Hoes, AW, Kirchhof, P, Knuuti, J, Kolh, P, Lancellotti, P, Linhart, A, Nihoyannopoulos, P, Piepoli, MF, Ponikowski, P, Sirnes, PA, Tamargo, JL, Tendera, M, Torbicki, A, Wijns, W, Windecker, S</w:t>
      </w:r>
      <w:r w:rsidR="00E61B13" w:rsidRPr="002B7CEB">
        <w:rPr>
          <w:rFonts w:asciiTheme="minorHAnsi" w:hAnsiTheme="minorHAnsi"/>
        </w:rPr>
        <w:t>;</w:t>
      </w:r>
      <w:r w:rsidRPr="002B7CEB">
        <w:rPr>
          <w:rFonts w:asciiTheme="minorHAnsi" w:hAnsiTheme="minorHAnsi"/>
        </w:rPr>
        <w:t xml:space="preserve"> Document</w:t>
      </w:r>
      <w:r w:rsidR="008B4B59" w:rsidRPr="002B7CEB">
        <w:rPr>
          <w:rFonts w:asciiTheme="minorHAnsi" w:hAnsiTheme="minorHAnsi"/>
        </w:rPr>
        <w:t xml:space="preserve"> Reviewers: </w:t>
      </w:r>
      <w:r w:rsidRPr="002B7CEB">
        <w:rPr>
          <w:rFonts w:asciiTheme="minorHAnsi" w:hAnsiTheme="minorHAnsi"/>
        </w:rPr>
        <w:t xml:space="preserve">Knuuti, J, Valgimigli, M, Bueno, H, Claeys, MJ, Donner-Banzhoff, N, Erol, C, Frank, H, Funck-Brentano, C, Gaemperli, O, </w:t>
      </w:r>
      <w:r w:rsidRPr="002B7CEB">
        <w:rPr>
          <w:rFonts w:asciiTheme="minorHAnsi" w:hAnsiTheme="minorHAnsi"/>
        </w:rPr>
        <w:lastRenderedPageBreak/>
        <w:t xml:space="preserve">Gonzalez-Juanatey, JR, Hamilos, M, Hasdai, D, Husted, S, James, SK, Kervinen, K, Kolh, P, Kristensen, SD, Lancellotti, P, Maggioni, AP, Piepoli, MF, Pries, AR, Romeo, F, Ryden, L, Simoons, ML, Sirnes, PA, Steg, PG, Timmis, A, Wijns, W, Windecker, S, Yildirir, A &amp; Zamorano, JL 2013, '2013 ESC guidelines on the management of stable coronary artery disease: the Task Force on the </w:t>
      </w:r>
      <w:r w:rsidR="000F72F4" w:rsidRPr="002B7CEB">
        <w:rPr>
          <w:rFonts w:asciiTheme="minorHAnsi" w:hAnsiTheme="minorHAnsi"/>
        </w:rPr>
        <w:t>M</w:t>
      </w:r>
      <w:r w:rsidRPr="002B7CEB">
        <w:rPr>
          <w:rFonts w:asciiTheme="minorHAnsi" w:hAnsiTheme="minorHAnsi"/>
        </w:rPr>
        <w:t xml:space="preserve">anagement of </w:t>
      </w:r>
      <w:r w:rsidR="000F72F4" w:rsidRPr="002B7CEB">
        <w:rPr>
          <w:rFonts w:asciiTheme="minorHAnsi" w:hAnsiTheme="minorHAnsi"/>
        </w:rPr>
        <w:t>S</w:t>
      </w:r>
      <w:r w:rsidRPr="002B7CEB">
        <w:rPr>
          <w:rFonts w:asciiTheme="minorHAnsi" w:hAnsiTheme="minorHAnsi"/>
        </w:rPr>
        <w:t xml:space="preserve">table </w:t>
      </w:r>
      <w:r w:rsidR="000F72F4" w:rsidRPr="002B7CEB">
        <w:rPr>
          <w:rFonts w:asciiTheme="minorHAnsi" w:hAnsiTheme="minorHAnsi"/>
        </w:rPr>
        <w:t>C</w:t>
      </w:r>
      <w:r w:rsidRPr="002B7CEB">
        <w:rPr>
          <w:rFonts w:asciiTheme="minorHAnsi" w:hAnsiTheme="minorHAnsi"/>
        </w:rPr>
        <w:t xml:space="preserve">oronary </w:t>
      </w:r>
      <w:r w:rsidR="000F72F4" w:rsidRPr="002B7CEB">
        <w:rPr>
          <w:rFonts w:asciiTheme="minorHAnsi" w:hAnsiTheme="minorHAnsi"/>
        </w:rPr>
        <w:t>A</w:t>
      </w:r>
      <w:r w:rsidRPr="002B7CEB">
        <w:rPr>
          <w:rFonts w:asciiTheme="minorHAnsi" w:hAnsiTheme="minorHAnsi"/>
        </w:rPr>
        <w:t xml:space="preserve">rtery </w:t>
      </w:r>
      <w:r w:rsidR="000F72F4" w:rsidRPr="002B7CEB">
        <w:rPr>
          <w:rFonts w:asciiTheme="minorHAnsi" w:hAnsiTheme="minorHAnsi"/>
        </w:rPr>
        <w:t>D</w:t>
      </w:r>
      <w:r w:rsidRPr="002B7CEB">
        <w:rPr>
          <w:rFonts w:asciiTheme="minorHAnsi" w:hAnsiTheme="minorHAnsi"/>
        </w:rPr>
        <w:t xml:space="preserve">isease of the European Society of Cardiology', </w:t>
      </w:r>
      <w:r w:rsidRPr="002B7CEB">
        <w:rPr>
          <w:rFonts w:asciiTheme="minorHAnsi" w:hAnsiTheme="minorHAnsi"/>
          <w:i/>
        </w:rPr>
        <w:t>Eur</w:t>
      </w:r>
      <w:r w:rsidR="008D6E32" w:rsidRPr="002B7CEB">
        <w:rPr>
          <w:rFonts w:asciiTheme="minorHAnsi" w:hAnsiTheme="minorHAnsi"/>
          <w:i/>
        </w:rPr>
        <w:t>opean</w:t>
      </w:r>
      <w:r w:rsidRPr="002B7CEB">
        <w:rPr>
          <w:rFonts w:asciiTheme="minorHAnsi" w:hAnsiTheme="minorHAnsi"/>
          <w:i/>
        </w:rPr>
        <w:t xml:space="preserve"> Heart J</w:t>
      </w:r>
      <w:r w:rsidR="008D6E32" w:rsidRPr="002B7CEB">
        <w:rPr>
          <w:rFonts w:asciiTheme="minorHAnsi" w:hAnsiTheme="minorHAnsi"/>
          <w:i/>
        </w:rPr>
        <w:t>ournal</w:t>
      </w:r>
      <w:r w:rsidRPr="002B7CEB">
        <w:rPr>
          <w:rFonts w:asciiTheme="minorHAnsi" w:hAnsiTheme="minorHAnsi"/>
        </w:rPr>
        <w:t>, vol. 34, no. 38, pp. 2949</w:t>
      </w:r>
      <w:r w:rsidR="008D6E32" w:rsidRPr="002B7CEB">
        <w:rPr>
          <w:rFonts w:asciiTheme="minorHAnsi" w:hAnsiTheme="minorHAnsi"/>
        </w:rPr>
        <w:t>–</w:t>
      </w:r>
      <w:r w:rsidRPr="002B7CEB">
        <w:rPr>
          <w:rFonts w:asciiTheme="minorHAnsi" w:hAnsiTheme="minorHAnsi"/>
        </w:rPr>
        <w:t>3003.</w:t>
      </w:r>
    </w:p>
    <w:p w14:paraId="0546BF08" w14:textId="54ED401E" w:rsidR="00B906E9" w:rsidRPr="002B7CEB" w:rsidRDefault="00B906E9" w:rsidP="004C79C1">
      <w:pPr>
        <w:pStyle w:val="EndNoteBibliography"/>
        <w:spacing w:after="120"/>
        <w:jc w:val="both"/>
        <w:rPr>
          <w:rFonts w:asciiTheme="minorHAnsi" w:hAnsiTheme="minorHAnsi"/>
        </w:rPr>
      </w:pPr>
      <w:bookmarkStart w:id="1153" w:name="_ENREF_85"/>
      <w:bookmarkEnd w:id="1152"/>
      <w:r w:rsidRPr="002B7CEB">
        <w:rPr>
          <w:rFonts w:asciiTheme="minorHAnsi" w:hAnsiTheme="minorHAnsi"/>
        </w:rPr>
        <w:t xml:space="preserve">Mor-Avi, V, Koch, R, Holper, EM, Goonewardena, S, Coon, PD, Min, JK, Fedson, S, Ward, RP &amp; Lang, RM 2008, 'Value of vasodilator stress myocardial contrast echocardiography and magnetic resonance imaging for the differential diagnosis of ischemic versus nonischemic cardiomyopathy', </w:t>
      </w:r>
      <w:r w:rsidRPr="002B7CEB">
        <w:rPr>
          <w:rFonts w:asciiTheme="minorHAnsi" w:hAnsiTheme="minorHAnsi"/>
          <w:i/>
        </w:rPr>
        <w:t>J</w:t>
      </w:r>
      <w:r w:rsidR="00F96D50" w:rsidRPr="002B7CEB">
        <w:rPr>
          <w:rFonts w:asciiTheme="minorHAnsi" w:hAnsiTheme="minorHAnsi"/>
          <w:i/>
        </w:rPr>
        <w:t>ournal of the</w:t>
      </w:r>
      <w:r w:rsidRPr="002B7CEB">
        <w:rPr>
          <w:rFonts w:asciiTheme="minorHAnsi" w:hAnsiTheme="minorHAnsi"/>
          <w:i/>
        </w:rPr>
        <w:t xml:space="preserve"> Am</w:t>
      </w:r>
      <w:r w:rsidR="00F96D50" w:rsidRPr="002B7CEB">
        <w:rPr>
          <w:rFonts w:asciiTheme="minorHAnsi" w:hAnsiTheme="minorHAnsi"/>
          <w:i/>
        </w:rPr>
        <w:t>erican</w:t>
      </w:r>
      <w:r w:rsidRPr="002B7CEB">
        <w:rPr>
          <w:rFonts w:asciiTheme="minorHAnsi" w:hAnsiTheme="minorHAnsi"/>
          <w:i/>
        </w:rPr>
        <w:t xml:space="preserve"> Soc</w:t>
      </w:r>
      <w:r w:rsidR="00F96D50" w:rsidRPr="002B7CEB">
        <w:rPr>
          <w:rFonts w:asciiTheme="minorHAnsi" w:hAnsiTheme="minorHAnsi"/>
          <w:i/>
        </w:rPr>
        <w:t>iety of</w:t>
      </w:r>
      <w:r w:rsidRPr="002B7CEB">
        <w:rPr>
          <w:rFonts w:asciiTheme="minorHAnsi" w:hAnsiTheme="minorHAnsi"/>
          <w:i/>
        </w:rPr>
        <w:t xml:space="preserve"> Echocardiogr</w:t>
      </w:r>
      <w:r w:rsidR="00F96D50" w:rsidRPr="002B7CEB">
        <w:rPr>
          <w:rFonts w:asciiTheme="minorHAnsi" w:hAnsiTheme="minorHAnsi"/>
          <w:i/>
        </w:rPr>
        <w:t>aphy</w:t>
      </w:r>
      <w:r w:rsidRPr="002B7CEB">
        <w:rPr>
          <w:rFonts w:asciiTheme="minorHAnsi" w:hAnsiTheme="minorHAnsi"/>
        </w:rPr>
        <w:t>, vol. 21, no. 5, pp. 425</w:t>
      </w:r>
      <w:r w:rsidR="00F96D50" w:rsidRPr="002B7CEB">
        <w:rPr>
          <w:rFonts w:asciiTheme="minorHAnsi" w:hAnsiTheme="minorHAnsi"/>
        </w:rPr>
        <w:t>–</w:t>
      </w:r>
      <w:r w:rsidRPr="002B7CEB">
        <w:rPr>
          <w:rFonts w:asciiTheme="minorHAnsi" w:hAnsiTheme="minorHAnsi"/>
        </w:rPr>
        <w:t>432.</w:t>
      </w:r>
    </w:p>
    <w:p w14:paraId="4013705F" w14:textId="13E9849B" w:rsidR="00B906E9" w:rsidRPr="002B7CEB" w:rsidRDefault="00B906E9" w:rsidP="004C79C1">
      <w:pPr>
        <w:pStyle w:val="EndNoteBibliography"/>
        <w:spacing w:after="120"/>
        <w:jc w:val="both"/>
        <w:rPr>
          <w:rFonts w:asciiTheme="minorHAnsi" w:hAnsiTheme="minorHAnsi"/>
        </w:rPr>
      </w:pPr>
      <w:bookmarkStart w:id="1154" w:name="_ENREF_86"/>
      <w:bookmarkEnd w:id="1153"/>
      <w:r w:rsidRPr="002B7CEB">
        <w:rPr>
          <w:rFonts w:asciiTheme="minorHAnsi" w:hAnsiTheme="minorHAnsi"/>
        </w:rPr>
        <w:t xml:space="preserve">Mordi, I &amp; Tzemos, N 2015, 'Non-invasive assessment of coronary artery disease in patients with left bundle branch block', </w:t>
      </w:r>
      <w:r w:rsidRPr="002B7CEB">
        <w:rPr>
          <w:rFonts w:asciiTheme="minorHAnsi" w:hAnsiTheme="minorHAnsi"/>
          <w:i/>
        </w:rPr>
        <w:t>Int</w:t>
      </w:r>
      <w:r w:rsidR="00F96D50" w:rsidRPr="002B7CEB">
        <w:rPr>
          <w:rFonts w:asciiTheme="minorHAnsi" w:hAnsiTheme="minorHAnsi"/>
          <w:i/>
        </w:rPr>
        <w:t>ernational</w:t>
      </w:r>
      <w:r w:rsidRPr="002B7CEB">
        <w:rPr>
          <w:rFonts w:asciiTheme="minorHAnsi" w:hAnsiTheme="minorHAnsi"/>
          <w:i/>
        </w:rPr>
        <w:t xml:space="preserve"> J</w:t>
      </w:r>
      <w:r w:rsidR="00F96D50" w:rsidRPr="002B7CEB">
        <w:rPr>
          <w:rFonts w:asciiTheme="minorHAnsi" w:hAnsiTheme="minorHAnsi"/>
          <w:i/>
        </w:rPr>
        <w:t>ournal of</w:t>
      </w:r>
      <w:r w:rsidRPr="002B7CEB">
        <w:rPr>
          <w:rFonts w:asciiTheme="minorHAnsi" w:hAnsiTheme="minorHAnsi"/>
          <w:i/>
        </w:rPr>
        <w:t xml:space="preserve"> Cardiol</w:t>
      </w:r>
      <w:r w:rsidR="00F96D50" w:rsidRPr="002B7CEB">
        <w:rPr>
          <w:rFonts w:asciiTheme="minorHAnsi" w:hAnsiTheme="minorHAnsi"/>
          <w:i/>
        </w:rPr>
        <w:t>ogy</w:t>
      </w:r>
      <w:r w:rsidRPr="002B7CEB">
        <w:rPr>
          <w:rFonts w:asciiTheme="minorHAnsi" w:hAnsiTheme="minorHAnsi"/>
        </w:rPr>
        <w:t>, vol. 184c, pp. 47</w:t>
      </w:r>
      <w:r w:rsidR="00F96D50" w:rsidRPr="002B7CEB">
        <w:rPr>
          <w:rFonts w:asciiTheme="minorHAnsi" w:hAnsiTheme="minorHAnsi"/>
        </w:rPr>
        <w:t>–</w:t>
      </w:r>
      <w:r w:rsidRPr="002B7CEB">
        <w:rPr>
          <w:rFonts w:asciiTheme="minorHAnsi" w:hAnsiTheme="minorHAnsi"/>
        </w:rPr>
        <w:t>55.</w:t>
      </w:r>
    </w:p>
    <w:p w14:paraId="7921FD9A" w14:textId="5AB85D39" w:rsidR="00B906E9" w:rsidRPr="002B7CEB" w:rsidRDefault="00B906E9" w:rsidP="004C79C1">
      <w:pPr>
        <w:pStyle w:val="EndNoteBibliography"/>
        <w:spacing w:after="120"/>
        <w:jc w:val="both"/>
        <w:rPr>
          <w:rFonts w:asciiTheme="minorHAnsi" w:hAnsiTheme="minorHAnsi"/>
        </w:rPr>
      </w:pPr>
      <w:bookmarkStart w:id="1155" w:name="_ENREF_87"/>
      <w:bookmarkEnd w:id="1154"/>
      <w:r w:rsidRPr="002B7CEB">
        <w:rPr>
          <w:rFonts w:asciiTheme="minorHAnsi" w:hAnsiTheme="minorHAnsi"/>
        </w:rPr>
        <w:t xml:space="preserve">Morona, J, Kessels, S, Vogan, A, Mittal, R, Newton, S, Parsons, J, Milverton, J, Ellery, B, Schubert, C &amp; Merlin, T </w:t>
      </w:r>
      <w:r w:rsidR="00CA3AC2" w:rsidRPr="002B7CEB">
        <w:rPr>
          <w:rFonts w:asciiTheme="minorHAnsi" w:hAnsiTheme="minorHAnsi"/>
        </w:rPr>
        <w:t>(</w:t>
      </w:r>
      <w:r w:rsidRPr="002B7CEB">
        <w:rPr>
          <w:rFonts w:asciiTheme="minorHAnsi" w:hAnsiTheme="minorHAnsi"/>
        </w:rPr>
        <w:t>unpublished</w:t>
      </w:r>
      <w:r w:rsidR="00CA3AC2" w:rsidRPr="002B7CEB">
        <w:rPr>
          <w:rFonts w:asciiTheme="minorHAnsi" w:hAnsiTheme="minorHAnsi"/>
        </w:rPr>
        <w:t>)</w:t>
      </w:r>
      <w:r w:rsidRPr="002B7CEB">
        <w:rPr>
          <w:rFonts w:asciiTheme="minorHAnsi" w:hAnsiTheme="minorHAnsi"/>
        </w:rPr>
        <w:t xml:space="preserve">, </w:t>
      </w:r>
      <w:r w:rsidRPr="002B7CEB">
        <w:rPr>
          <w:rFonts w:asciiTheme="minorHAnsi" w:hAnsiTheme="minorHAnsi"/>
          <w:i/>
        </w:rPr>
        <w:t>Cardiac MRI for myocardial stress perfusion and viability imaging in patients with known or suspected coronary artery disease</w:t>
      </w:r>
      <w:r w:rsidRPr="002B7CEB">
        <w:rPr>
          <w:rFonts w:asciiTheme="minorHAnsi" w:hAnsiTheme="minorHAnsi"/>
        </w:rPr>
        <w:t xml:space="preserve">, MSAC Application </w:t>
      </w:r>
      <w:r w:rsidR="003D16DA">
        <w:rPr>
          <w:rFonts w:asciiTheme="minorHAnsi" w:hAnsiTheme="minorHAnsi"/>
        </w:rPr>
        <w:t>no.</w:t>
      </w:r>
      <w:r w:rsidR="003D16DA" w:rsidRPr="002B7CEB">
        <w:rPr>
          <w:rFonts w:asciiTheme="minorHAnsi" w:hAnsiTheme="minorHAnsi"/>
        </w:rPr>
        <w:t xml:space="preserve"> </w:t>
      </w:r>
      <w:r w:rsidRPr="002B7CEB">
        <w:rPr>
          <w:rFonts w:asciiTheme="minorHAnsi" w:hAnsiTheme="minorHAnsi"/>
        </w:rPr>
        <w:t>1237, Commonwealth of Australia, Canberra</w:t>
      </w:r>
      <w:r w:rsidR="00CA3AC2" w:rsidRPr="002B7CEB">
        <w:rPr>
          <w:rFonts w:asciiTheme="minorHAnsi" w:hAnsiTheme="minorHAnsi"/>
        </w:rPr>
        <w:t>, ACT</w:t>
      </w:r>
      <w:r w:rsidRPr="002B7CEB">
        <w:rPr>
          <w:rFonts w:asciiTheme="minorHAnsi" w:hAnsiTheme="minorHAnsi"/>
        </w:rPr>
        <w:t>.</w:t>
      </w:r>
    </w:p>
    <w:p w14:paraId="1640C47A" w14:textId="77777777" w:rsidR="00B906E9" w:rsidRPr="002B7CEB" w:rsidRDefault="00B906E9" w:rsidP="004C79C1">
      <w:pPr>
        <w:pStyle w:val="EndNoteBibliography"/>
        <w:spacing w:after="120"/>
        <w:jc w:val="both"/>
        <w:rPr>
          <w:rFonts w:asciiTheme="minorHAnsi" w:hAnsiTheme="minorHAnsi"/>
        </w:rPr>
      </w:pPr>
      <w:bookmarkStart w:id="1156" w:name="_ENREF_88"/>
      <w:bookmarkEnd w:id="1155"/>
      <w:r w:rsidRPr="002B7CEB">
        <w:rPr>
          <w:rFonts w:asciiTheme="minorHAnsi" w:hAnsiTheme="minorHAnsi"/>
        </w:rPr>
        <w:t xml:space="preserve">MSAC 2005a, </w:t>
      </w:r>
      <w:r w:rsidRPr="002B7CEB">
        <w:rPr>
          <w:rFonts w:asciiTheme="minorHAnsi" w:hAnsiTheme="minorHAnsi"/>
          <w:i/>
        </w:rPr>
        <w:t>Guidelines for the assessment of diagnostic technologies</w:t>
      </w:r>
      <w:r w:rsidRPr="002B7CEB">
        <w:rPr>
          <w:rFonts w:asciiTheme="minorHAnsi" w:hAnsiTheme="minorHAnsi"/>
        </w:rPr>
        <w:t>, Medical Services Advisory Council, Commonwealth of Australia, Canberra, ACT.</w:t>
      </w:r>
    </w:p>
    <w:p w14:paraId="0F742CA7" w14:textId="5EAC5081" w:rsidR="00B906E9" w:rsidRPr="002B7CEB" w:rsidRDefault="00B906E9" w:rsidP="004C79C1">
      <w:pPr>
        <w:pStyle w:val="EndNoteBibliography"/>
        <w:spacing w:after="120"/>
        <w:jc w:val="both"/>
        <w:rPr>
          <w:rFonts w:asciiTheme="minorHAnsi" w:hAnsiTheme="minorHAnsi"/>
        </w:rPr>
      </w:pPr>
      <w:bookmarkStart w:id="1157" w:name="_ENREF_89"/>
      <w:bookmarkEnd w:id="1156"/>
      <w:r w:rsidRPr="002B7CEB">
        <w:rPr>
          <w:rFonts w:asciiTheme="minorHAnsi" w:hAnsiTheme="minorHAnsi"/>
        </w:rPr>
        <w:t xml:space="preserve">MSAC 2005b, </w:t>
      </w:r>
      <w:r w:rsidRPr="002B7CEB">
        <w:rPr>
          <w:rFonts w:asciiTheme="minorHAnsi" w:hAnsiTheme="minorHAnsi"/>
          <w:i/>
        </w:rPr>
        <w:t>Guidelines for the assessment of diagnostic technologies</w:t>
      </w:r>
      <w:r w:rsidRPr="002B7CEB">
        <w:rPr>
          <w:rFonts w:asciiTheme="minorHAnsi" w:hAnsiTheme="minorHAnsi"/>
        </w:rPr>
        <w:t xml:space="preserve">, Canberra, </w:t>
      </w:r>
      <w:r w:rsidR="00CA3AC2" w:rsidRPr="002B7CEB">
        <w:rPr>
          <w:rFonts w:asciiTheme="minorHAnsi" w:hAnsiTheme="minorHAnsi"/>
        </w:rPr>
        <w:t xml:space="preserve">ACT, </w:t>
      </w:r>
      <w:r w:rsidRPr="002B7CEB">
        <w:rPr>
          <w:rFonts w:asciiTheme="minorHAnsi" w:hAnsiTheme="minorHAnsi"/>
        </w:rPr>
        <w:t>Australia.</w:t>
      </w:r>
    </w:p>
    <w:p w14:paraId="766A95AF" w14:textId="65CEB0B9" w:rsidR="00B906E9" w:rsidRPr="002B7CEB" w:rsidRDefault="00B906E9" w:rsidP="004C79C1">
      <w:pPr>
        <w:pStyle w:val="EndNoteBibliography"/>
        <w:spacing w:after="120"/>
        <w:jc w:val="both"/>
        <w:rPr>
          <w:rFonts w:asciiTheme="minorHAnsi" w:hAnsiTheme="minorHAnsi"/>
        </w:rPr>
      </w:pPr>
      <w:bookmarkStart w:id="1158" w:name="_ENREF_90"/>
      <w:bookmarkEnd w:id="1157"/>
      <w:r w:rsidRPr="002B7CEB">
        <w:rPr>
          <w:rFonts w:asciiTheme="minorHAnsi" w:hAnsiTheme="minorHAnsi"/>
        </w:rPr>
        <w:t xml:space="preserve">Muller, KA, Muller, I, Kramer, U, Kandolf, R, Gawaz, M, Bauer, A &amp; Zuern, CS 2013, 'Prognostic value of contrast-enhanced cardiac magnetic resonance imaging in patients with newly diagnosed non-ischemic cardiomyopathy: cohort study', </w:t>
      </w:r>
      <w:r w:rsidRPr="002B7CEB">
        <w:rPr>
          <w:rFonts w:asciiTheme="minorHAnsi" w:hAnsiTheme="minorHAnsi"/>
          <w:i/>
        </w:rPr>
        <w:t>PLoS One</w:t>
      </w:r>
      <w:r w:rsidRPr="002B7CEB">
        <w:rPr>
          <w:rFonts w:asciiTheme="minorHAnsi" w:hAnsiTheme="minorHAnsi"/>
        </w:rPr>
        <w:t>, vol. 8, no. 2, p. e57077.</w:t>
      </w:r>
    </w:p>
    <w:p w14:paraId="392F0D86" w14:textId="37CEC3FF" w:rsidR="00B906E9" w:rsidRPr="002B7CEB" w:rsidRDefault="00B906E9" w:rsidP="004C79C1">
      <w:pPr>
        <w:pStyle w:val="EndNoteBibliography"/>
        <w:spacing w:after="120"/>
        <w:jc w:val="both"/>
        <w:rPr>
          <w:rFonts w:asciiTheme="minorHAnsi" w:hAnsiTheme="minorHAnsi"/>
        </w:rPr>
      </w:pPr>
      <w:bookmarkStart w:id="1159" w:name="_ENREF_91"/>
      <w:bookmarkEnd w:id="1158"/>
      <w:r w:rsidRPr="002B7CEB">
        <w:rPr>
          <w:rFonts w:asciiTheme="minorHAnsi" w:hAnsiTheme="minorHAnsi"/>
        </w:rPr>
        <w:t xml:space="preserve">Nabeta, T, Inomata, T, Iida, Y, Ikeda, Y, Iwamoto, M, Ishii, S, Sato, T, Watanabe, I, Naruke, T, Shinagawa, H, Koitabashi, T, Takeuchi, I, Nishii, M, Inoue, Y &amp; Izumi, T 2014, 'Baseline cardiac magnetic resonance imaging versus baseline endomyocardial biopsy for the prediction of left ventricular reverse remodeling and prognosis in response to therapy in patients with idiopathic dilated cardiomyopathy', </w:t>
      </w:r>
      <w:r w:rsidRPr="002B7CEB">
        <w:rPr>
          <w:rFonts w:asciiTheme="minorHAnsi" w:hAnsiTheme="minorHAnsi"/>
          <w:i/>
        </w:rPr>
        <w:t>Heart Vessels</w:t>
      </w:r>
      <w:r w:rsidRPr="002B7CEB">
        <w:rPr>
          <w:rFonts w:asciiTheme="minorHAnsi" w:hAnsiTheme="minorHAnsi"/>
        </w:rPr>
        <w:t>, vol. 29, no. 6, pp. 784</w:t>
      </w:r>
      <w:r w:rsidR="001415D1" w:rsidRPr="002B7CEB">
        <w:rPr>
          <w:rFonts w:asciiTheme="minorHAnsi" w:hAnsiTheme="minorHAnsi"/>
        </w:rPr>
        <w:t>–</w:t>
      </w:r>
      <w:r w:rsidRPr="002B7CEB">
        <w:rPr>
          <w:rFonts w:asciiTheme="minorHAnsi" w:hAnsiTheme="minorHAnsi"/>
        </w:rPr>
        <w:t>792.</w:t>
      </w:r>
    </w:p>
    <w:p w14:paraId="06FE9588" w14:textId="7B37F3C5" w:rsidR="00B906E9" w:rsidRPr="002B7CEB" w:rsidRDefault="00B906E9" w:rsidP="004C79C1">
      <w:pPr>
        <w:pStyle w:val="EndNoteBibliography"/>
        <w:spacing w:after="120"/>
        <w:jc w:val="both"/>
        <w:rPr>
          <w:rFonts w:asciiTheme="minorHAnsi" w:hAnsiTheme="minorHAnsi"/>
        </w:rPr>
      </w:pPr>
      <w:bookmarkStart w:id="1160" w:name="_ENREF_92"/>
      <w:bookmarkEnd w:id="1159"/>
      <w:r w:rsidRPr="002B7CEB">
        <w:rPr>
          <w:rFonts w:asciiTheme="minorHAnsi" w:hAnsiTheme="minorHAnsi"/>
        </w:rPr>
        <w:t>National Heart Foundation of Australia and the Cardiac Society of Australia and New Zealand (Chronic Heart Failure Guidelines Expert Writing Panel) 2011, '</w:t>
      </w:r>
      <w:r w:rsidRPr="002B7CEB">
        <w:rPr>
          <w:rFonts w:asciiTheme="minorHAnsi" w:hAnsiTheme="minorHAnsi"/>
          <w:i/>
        </w:rPr>
        <w:t>Guidelines for the prevention, detection and management of chronic heart failure in Australia</w:t>
      </w:r>
      <w:r w:rsidR="001415D1" w:rsidRPr="002B7CEB">
        <w:rPr>
          <w:rFonts w:asciiTheme="minorHAnsi" w:hAnsiTheme="minorHAnsi"/>
          <w:i/>
        </w:rPr>
        <w:t>'</w:t>
      </w:r>
      <w:r w:rsidRPr="002B7CEB">
        <w:rPr>
          <w:rFonts w:asciiTheme="minorHAnsi" w:hAnsiTheme="minorHAnsi"/>
        </w:rPr>
        <w:t>. Updated July 2011.</w:t>
      </w:r>
    </w:p>
    <w:p w14:paraId="4DD4CCF5" w14:textId="6DE96CE5" w:rsidR="00B906E9" w:rsidRPr="002B7CEB" w:rsidRDefault="00B906E9" w:rsidP="004C79C1">
      <w:pPr>
        <w:pStyle w:val="EndNoteBibliography"/>
        <w:spacing w:after="120"/>
        <w:jc w:val="both"/>
        <w:rPr>
          <w:rFonts w:asciiTheme="minorHAnsi" w:hAnsiTheme="minorHAnsi"/>
        </w:rPr>
      </w:pPr>
      <w:bookmarkStart w:id="1161" w:name="_ENREF_93"/>
      <w:bookmarkEnd w:id="1160"/>
      <w:r w:rsidRPr="002B7CEB">
        <w:rPr>
          <w:rFonts w:asciiTheme="minorHAnsi" w:hAnsiTheme="minorHAnsi"/>
        </w:rPr>
        <w:t xml:space="preserve">National Institute for Health and Care Excellence 2014, </w:t>
      </w:r>
      <w:r w:rsidRPr="002B7CEB">
        <w:rPr>
          <w:rFonts w:asciiTheme="minorHAnsi" w:hAnsiTheme="minorHAnsi"/>
          <w:i/>
        </w:rPr>
        <w:t>Implantable cardioverter defibrillators and cardiac resynchronisation therapy for arrhythmias and heart failure</w:t>
      </w:r>
      <w:r w:rsidRPr="002B7CEB">
        <w:rPr>
          <w:rFonts w:asciiTheme="minorHAnsi" w:hAnsiTheme="minorHAnsi"/>
        </w:rPr>
        <w:t>, NICE technology appraisal guidance TA314, NICE, London.</w:t>
      </w:r>
    </w:p>
    <w:p w14:paraId="73AC6C21" w14:textId="62B57106" w:rsidR="004E058F" w:rsidRPr="002B7CEB" w:rsidRDefault="004E058F" w:rsidP="004C79C1">
      <w:pPr>
        <w:pStyle w:val="EndNoteBibliography"/>
        <w:spacing w:after="120"/>
        <w:jc w:val="both"/>
        <w:rPr>
          <w:rFonts w:asciiTheme="minorHAnsi" w:hAnsiTheme="minorHAnsi"/>
        </w:rPr>
      </w:pPr>
      <w:bookmarkStart w:id="1162" w:name="_ENREF_95"/>
      <w:bookmarkStart w:id="1163" w:name="_ENREF_94"/>
      <w:bookmarkEnd w:id="1161"/>
      <w:r w:rsidRPr="002B7CEB">
        <w:rPr>
          <w:rFonts w:asciiTheme="minorHAnsi" w:hAnsiTheme="minorHAnsi"/>
        </w:rPr>
        <w:t xml:space="preserve">Neilan, TG, Coelho-Filho, OR, Danik, SB, Shah, RV, Dodson, JA, Verdini, DJ, Tokuda, M, Daly, CA, Tedrow, UB, Stevenson, WG, Jerosch-Herold, M, Ghoshhajra, BB &amp; Kwong, RY 2013, 'CMR quantification of myocardial scar provides additive prognostic information in nonischemic cardiomyopathy', </w:t>
      </w:r>
      <w:r w:rsidRPr="002B7CEB">
        <w:rPr>
          <w:rFonts w:asciiTheme="minorHAnsi" w:hAnsiTheme="minorHAnsi"/>
          <w:i/>
        </w:rPr>
        <w:t>JACC Cardiovascular Imaging</w:t>
      </w:r>
      <w:r w:rsidRPr="002B7CEB">
        <w:rPr>
          <w:rFonts w:asciiTheme="minorHAnsi" w:hAnsiTheme="minorHAnsi"/>
        </w:rPr>
        <w:t>, vol. 6, no. 9, pp. 944–954.</w:t>
      </w:r>
    </w:p>
    <w:bookmarkEnd w:id="1162"/>
    <w:p w14:paraId="69E29101" w14:textId="3E1E629A" w:rsidR="00B906E9" w:rsidRPr="002B7CEB" w:rsidRDefault="00B906E9" w:rsidP="004C79C1">
      <w:pPr>
        <w:pStyle w:val="EndNoteBibliography"/>
        <w:spacing w:after="120"/>
        <w:jc w:val="both"/>
        <w:rPr>
          <w:rFonts w:asciiTheme="minorHAnsi" w:hAnsiTheme="minorHAnsi"/>
        </w:rPr>
      </w:pPr>
      <w:r w:rsidRPr="002B7CEB">
        <w:rPr>
          <w:rFonts w:asciiTheme="minorHAnsi" w:hAnsiTheme="minorHAnsi"/>
        </w:rPr>
        <w:t>Neilan</w:t>
      </w:r>
      <w:r w:rsidR="00EC333D">
        <w:rPr>
          <w:rFonts w:asciiTheme="minorHAnsi" w:hAnsiTheme="minorHAnsi"/>
        </w:rPr>
        <w:t>,</w:t>
      </w:r>
      <w:r w:rsidRPr="002B7CEB">
        <w:rPr>
          <w:rFonts w:asciiTheme="minorHAnsi" w:hAnsiTheme="minorHAnsi"/>
        </w:rPr>
        <w:t xml:space="preserve"> TG, Farhad</w:t>
      </w:r>
      <w:r w:rsidR="00EC333D">
        <w:rPr>
          <w:rFonts w:asciiTheme="minorHAnsi" w:hAnsiTheme="minorHAnsi"/>
        </w:rPr>
        <w:t>,</w:t>
      </w:r>
      <w:r w:rsidRPr="002B7CEB">
        <w:rPr>
          <w:rFonts w:asciiTheme="minorHAnsi" w:hAnsiTheme="minorHAnsi"/>
        </w:rPr>
        <w:t xml:space="preserve"> H, Mayrhofer</w:t>
      </w:r>
      <w:r w:rsidR="00EC333D">
        <w:rPr>
          <w:rFonts w:asciiTheme="minorHAnsi" w:hAnsiTheme="minorHAnsi"/>
        </w:rPr>
        <w:t>,</w:t>
      </w:r>
      <w:r w:rsidRPr="002B7CEB">
        <w:rPr>
          <w:rFonts w:asciiTheme="minorHAnsi" w:hAnsiTheme="minorHAnsi"/>
        </w:rPr>
        <w:t xml:space="preserve"> T, Shah</w:t>
      </w:r>
      <w:r w:rsidR="00EC333D">
        <w:rPr>
          <w:rFonts w:asciiTheme="minorHAnsi" w:hAnsiTheme="minorHAnsi"/>
        </w:rPr>
        <w:t>,</w:t>
      </w:r>
      <w:r w:rsidRPr="002B7CEB">
        <w:rPr>
          <w:rFonts w:asciiTheme="minorHAnsi" w:hAnsiTheme="minorHAnsi"/>
        </w:rPr>
        <w:t xml:space="preserve"> RV, Dodson</w:t>
      </w:r>
      <w:r w:rsidR="00EC333D">
        <w:rPr>
          <w:rFonts w:asciiTheme="minorHAnsi" w:hAnsiTheme="minorHAnsi"/>
        </w:rPr>
        <w:t>,</w:t>
      </w:r>
      <w:r w:rsidRPr="002B7CEB">
        <w:rPr>
          <w:rFonts w:asciiTheme="minorHAnsi" w:hAnsiTheme="minorHAnsi"/>
        </w:rPr>
        <w:t xml:space="preserve"> JA, Abbasi</w:t>
      </w:r>
      <w:r w:rsidR="00EC333D">
        <w:rPr>
          <w:rFonts w:asciiTheme="minorHAnsi" w:hAnsiTheme="minorHAnsi"/>
        </w:rPr>
        <w:t>,</w:t>
      </w:r>
      <w:r w:rsidRPr="002B7CEB">
        <w:rPr>
          <w:rFonts w:asciiTheme="minorHAnsi" w:hAnsiTheme="minorHAnsi"/>
        </w:rPr>
        <w:t xml:space="preserve"> SA, Danik</w:t>
      </w:r>
      <w:r w:rsidR="00EC333D">
        <w:rPr>
          <w:rFonts w:asciiTheme="minorHAnsi" w:hAnsiTheme="minorHAnsi"/>
        </w:rPr>
        <w:t>,</w:t>
      </w:r>
      <w:r w:rsidRPr="002B7CEB">
        <w:rPr>
          <w:rFonts w:asciiTheme="minorHAnsi" w:hAnsiTheme="minorHAnsi"/>
        </w:rPr>
        <w:t xml:space="preserve"> SB, Verdini</w:t>
      </w:r>
      <w:r w:rsidR="00EC333D">
        <w:rPr>
          <w:rFonts w:asciiTheme="minorHAnsi" w:hAnsiTheme="minorHAnsi"/>
        </w:rPr>
        <w:t>,</w:t>
      </w:r>
      <w:r w:rsidRPr="002B7CEB">
        <w:rPr>
          <w:rFonts w:asciiTheme="minorHAnsi" w:hAnsiTheme="minorHAnsi"/>
        </w:rPr>
        <w:t xml:space="preserve"> DJ, Tokuda</w:t>
      </w:r>
      <w:r w:rsidR="00EC333D">
        <w:rPr>
          <w:rFonts w:asciiTheme="minorHAnsi" w:hAnsiTheme="minorHAnsi"/>
        </w:rPr>
        <w:t>,</w:t>
      </w:r>
      <w:r w:rsidRPr="002B7CEB">
        <w:rPr>
          <w:rFonts w:asciiTheme="minorHAnsi" w:hAnsiTheme="minorHAnsi"/>
        </w:rPr>
        <w:t xml:space="preserve"> M, Tedrow</w:t>
      </w:r>
      <w:r w:rsidR="00EC333D">
        <w:rPr>
          <w:rFonts w:asciiTheme="minorHAnsi" w:hAnsiTheme="minorHAnsi"/>
        </w:rPr>
        <w:t>,</w:t>
      </w:r>
      <w:r w:rsidRPr="002B7CEB">
        <w:rPr>
          <w:rFonts w:asciiTheme="minorHAnsi" w:hAnsiTheme="minorHAnsi"/>
        </w:rPr>
        <w:t xml:space="preserve"> UB, Jerosch-Herold</w:t>
      </w:r>
      <w:r w:rsidR="00EC333D">
        <w:rPr>
          <w:rFonts w:asciiTheme="minorHAnsi" w:hAnsiTheme="minorHAnsi"/>
        </w:rPr>
        <w:t>,</w:t>
      </w:r>
      <w:r w:rsidRPr="002B7CEB">
        <w:rPr>
          <w:rFonts w:asciiTheme="minorHAnsi" w:hAnsiTheme="minorHAnsi"/>
        </w:rPr>
        <w:t xml:space="preserve"> M, Hoffmann</w:t>
      </w:r>
      <w:r w:rsidR="00EC333D">
        <w:rPr>
          <w:rFonts w:asciiTheme="minorHAnsi" w:hAnsiTheme="minorHAnsi"/>
        </w:rPr>
        <w:t>,</w:t>
      </w:r>
      <w:r w:rsidRPr="002B7CEB">
        <w:rPr>
          <w:rFonts w:asciiTheme="minorHAnsi" w:hAnsiTheme="minorHAnsi"/>
        </w:rPr>
        <w:t xml:space="preserve"> U, Ghoshhajra</w:t>
      </w:r>
      <w:r w:rsidR="00EC333D">
        <w:rPr>
          <w:rFonts w:asciiTheme="minorHAnsi" w:hAnsiTheme="minorHAnsi"/>
        </w:rPr>
        <w:t>,</w:t>
      </w:r>
      <w:r w:rsidRPr="002B7CEB">
        <w:rPr>
          <w:rFonts w:asciiTheme="minorHAnsi" w:hAnsiTheme="minorHAnsi"/>
        </w:rPr>
        <w:t xml:space="preserve"> BB, Stevenson</w:t>
      </w:r>
      <w:r w:rsidR="00EC333D">
        <w:rPr>
          <w:rFonts w:asciiTheme="minorHAnsi" w:hAnsiTheme="minorHAnsi"/>
        </w:rPr>
        <w:t>,</w:t>
      </w:r>
      <w:r w:rsidRPr="002B7CEB">
        <w:rPr>
          <w:rFonts w:asciiTheme="minorHAnsi" w:hAnsiTheme="minorHAnsi"/>
        </w:rPr>
        <w:t xml:space="preserve"> WG &amp; Kwong</w:t>
      </w:r>
      <w:r w:rsidR="00EC333D">
        <w:rPr>
          <w:rFonts w:asciiTheme="minorHAnsi" w:hAnsiTheme="minorHAnsi"/>
        </w:rPr>
        <w:t>,</w:t>
      </w:r>
      <w:r w:rsidRPr="002B7CEB">
        <w:rPr>
          <w:rFonts w:asciiTheme="minorHAnsi" w:hAnsiTheme="minorHAnsi"/>
        </w:rPr>
        <w:t xml:space="preserve"> RY 2015, 'Late gadolinium enhancement among survivors of sudden cardiac arrest', </w:t>
      </w:r>
      <w:r w:rsidRPr="002B7CEB">
        <w:rPr>
          <w:rFonts w:asciiTheme="minorHAnsi" w:hAnsiTheme="minorHAnsi"/>
          <w:i/>
        </w:rPr>
        <w:t>JACC Cardiovasc</w:t>
      </w:r>
      <w:r w:rsidR="008F321D"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8, no. 4, pp. 414</w:t>
      </w:r>
      <w:r w:rsidR="008F321D" w:rsidRPr="002B7CEB">
        <w:rPr>
          <w:rFonts w:asciiTheme="minorHAnsi" w:hAnsiTheme="minorHAnsi"/>
        </w:rPr>
        <w:t>–</w:t>
      </w:r>
      <w:r w:rsidRPr="002B7CEB">
        <w:rPr>
          <w:rFonts w:asciiTheme="minorHAnsi" w:hAnsiTheme="minorHAnsi"/>
        </w:rPr>
        <w:t>423.</w:t>
      </w:r>
    </w:p>
    <w:p w14:paraId="6A2ED60D" w14:textId="3D39044A" w:rsidR="00B906E9" w:rsidRPr="002B7CEB" w:rsidRDefault="00B906E9" w:rsidP="004C79C1">
      <w:pPr>
        <w:pStyle w:val="EndNoteBibliography"/>
        <w:spacing w:after="120"/>
        <w:jc w:val="both"/>
        <w:rPr>
          <w:rFonts w:asciiTheme="minorHAnsi" w:hAnsiTheme="minorHAnsi"/>
        </w:rPr>
      </w:pPr>
      <w:bookmarkStart w:id="1164" w:name="_ENREF_96"/>
      <w:bookmarkEnd w:id="1163"/>
      <w:r w:rsidRPr="002B7CEB">
        <w:rPr>
          <w:rFonts w:asciiTheme="minorHAnsi" w:hAnsiTheme="minorHAnsi"/>
        </w:rPr>
        <w:t xml:space="preserve">Newman, BH 1997, 'Donor reactions and injuries from whole blood donation', </w:t>
      </w:r>
      <w:r w:rsidRPr="002B7CEB">
        <w:rPr>
          <w:rFonts w:asciiTheme="minorHAnsi" w:hAnsiTheme="minorHAnsi"/>
          <w:i/>
        </w:rPr>
        <w:t>Transfusion Medicine Reviews</w:t>
      </w:r>
      <w:r w:rsidRPr="002B7CEB">
        <w:rPr>
          <w:rFonts w:asciiTheme="minorHAnsi" w:hAnsiTheme="minorHAnsi"/>
        </w:rPr>
        <w:t>, vol. 11, no. 1, pp. 64</w:t>
      </w:r>
      <w:r w:rsidR="00582688" w:rsidRPr="002B7CEB">
        <w:rPr>
          <w:rFonts w:asciiTheme="minorHAnsi" w:hAnsiTheme="minorHAnsi"/>
        </w:rPr>
        <w:t>–</w:t>
      </w:r>
      <w:r w:rsidRPr="002B7CEB">
        <w:rPr>
          <w:rFonts w:asciiTheme="minorHAnsi" w:hAnsiTheme="minorHAnsi"/>
        </w:rPr>
        <w:t>75.</w:t>
      </w:r>
    </w:p>
    <w:p w14:paraId="04C41BC1" w14:textId="77777777" w:rsidR="00B906E9" w:rsidRPr="002B7CEB" w:rsidRDefault="00B906E9" w:rsidP="004C79C1">
      <w:pPr>
        <w:pStyle w:val="EndNoteBibliography"/>
        <w:spacing w:after="120"/>
        <w:jc w:val="both"/>
        <w:rPr>
          <w:rFonts w:asciiTheme="minorHAnsi" w:hAnsiTheme="minorHAnsi"/>
        </w:rPr>
      </w:pPr>
      <w:bookmarkStart w:id="1165" w:name="_ENREF_97"/>
      <w:bookmarkEnd w:id="1164"/>
      <w:r w:rsidRPr="002B7CEB">
        <w:rPr>
          <w:rFonts w:asciiTheme="minorHAnsi" w:hAnsiTheme="minorHAnsi"/>
        </w:rPr>
        <w:t xml:space="preserve">NHMRC 2000, </w:t>
      </w:r>
      <w:r w:rsidRPr="002B7CEB">
        <w:rPr>
          <w:rFonts w:asciiTheme="minorHAnsi" w:hAnsiTheme="minorHAnsi"/>
          <w:i/>
        </w:rPr>
        <w:t>How to use the evidence: assessment and application of scientific evidence</w:t>
      </w:r>
      <w:r w:rsidRPr="002B7CEB">
        <w:rPr>
          <w:rFonts w:asciiTheme="minorHAnsi" w:hAnsiTheme="minorHAnsi"/>
        </w:rPr>
        <w:t>, Handbook series on preparing clinical practice guidelines, National Health and Medical Research Council, Commonwealth of Australia, Canberra, ACT.</w:t>
      </w:r>
    </w:p>
    <w:bookmarkEnd w:id="1165"/>
    <w:p w14:paraId="69F9F27C" w14:textId="35A738E1" w:rsidR="00B64E5A" w:rsidRPr="002B7CEB" w:rsidRDefault="00B64E5A" w:rsidP="004C79C1">
      <w:pPr>
        <w:pStyle w:val="EndNoteBibliography"/>
        <w:spacing w:after="120"/>
        <w:jc w:val="both"/>
        <w:rPr>
          <w:rFonts w:asciiTheme="minorHAnsi" w:hAnsiTheme="minorHAnsi"/>
        </w:rPr>
      </w:pPr>
      <w:r w:rsidRPr="002B7CEB">
        <w:rPr>
          <w:rFonts w:asciiTheme="minorHAnsi" w:hAnsiTheme="minorHAnsi"/>
        </w:rPr>
        <w:lastRenderedPageBreak/>
        <w:t xml:space="preserve">O'Donnell, DH, Abbara, S, Chaithiraphan, V, Yared, K, Killeen, RP, Martos, R, Keane, D, Cury, RC &amp; Dodd, JD 2012, 'Cardiac MR imaging of nonischemic cardiomyopathies: imaging protocols and spectra of appearances', </w:t>
      </w:r>
      <w:r w:rsidRPr="002B7CEB">
        <w:rPr>
          <w:rFonts w:asciiTheme="minorHAnsi" w:hAnsiTheme="minorHAnsi"/>
          <w:i/>
        </w:rPr>
        <w:t>Radiology</w:t>
      </w:r>
      <w:r w:rsidRPr="002B7CEB">
        <w:rPr>
          <w:rFonts w:asciiTheme="minorHAnsi" w:hAnsiTheme="minorHAnsi"/>
        </w:rPr>
        <w:t xml:space="preserve">, vol. 262, no. 2, </w:t>
      </w:r>
      <w:r w:rsidR="00445F8A" w:rsidRPr="00104111">
        <w:rPr>
          <w:rFonts w:asciiTheme="minorHAnsi" w:hAnsiTheme="minorHAnsi"/>
        </w:rPr>
        <w:t>pp. 403</w:t>
      </w:r>
      <w:r w:rsidR="00445F8A">
        <w:rPr>
          <w:rFonts w:asciiTheme="minorHAnsi" w:hAnsiTheme="minorHAnsi"/>
        </w:rPr>
        <w:t>–</w:t>
      </w:r>
      <w:r w:rsidRPr="002B7CEB">
        <w:rPr>
          <w:rFonts w:asciiTheme="minorHAnsi" w:hAnsiTheme="minorHAnsi"/>
        </w:rPr>
        <w:t>422.</w:t>
      </w:r>
    </w:p>
    <w:p w14:paraId="51E45CAC" w14:textId="1D446CD2" w:rsidR="006601DC" w:rsidRPr="002B7CEB" w:rsidRDefault="006601DC" w:rsidP="004C79C1">
      <w:pPr>
        <w:pStyle w:val="EndNoteBibliography"/>
        <w:spacing w:after="120"/>
        <w:jc w:val="both"/>
        <w:rPr>
          <w:rFonts w:asciiTheme="minorHAnsi" w:hAnsiTheme="minorHAnsi" w:cs="Arial"/>
          <w:color w:val="F79646" w:themeColor="accent6"/>
        </w:rPr>
      </w:pPr>
      <w:bookmarkStart w:id="1166" w:name="_ENREF_98"/>
      <w:r w:rsidRPr="002B7CEB">
        <w:rPr>
          <w:rFonts w:asciiTheme="minorHAnsi" w:hAnsiTheme="minorHAnsi" w:cs="Arial"/>
          <w:color w:val="000000" w:themeColor="text1"/>
        </w:rPr>
        <w:t xml:space="preserve">Packer, DL, Prutkin, JM, Hellkamp, AS, Mitchell, LB, Bernstein, RC, Wood, F, Boehmer, JP, Carlson, MD, Frantz, RP, McNulty, SE, Rogers, JG, Anderson, J, Johnson, GW, Walsh, MN, Poole, JE, Mark, DB, Lee, KL &amp; Bardy, GH 2009, 'Impact of implantable </w:t>
      </w:r>
      <w:r w:rsidR="0026063B">
        <w:rPr>
          <w:rFonts w:asciiTheme="minorHAnsi" w:hAnsiTheme="minorHAnsi" w:cs="Arial"/>
          <w:color w:val="000000" w:themeColor="text1"/>
        </w:rPr>
        <w:t>cardioverter defibrillator</w:t>
      </w:r>
      <w:r w:rsidRPr="002B7CEB">
        <w:rPr>
          <w:rFonts w:asciiTheme="minorHAnsi" w:hAnsiTheme="minorHAnsi" w:cs="Arial"/>
          <w:color w:val="000000" w:themeColor="text1"/>
        </w:rPr>
        <w:t xml:space="preserve">, amiodarone, and placebo on the mode of death in stable patients with heart failure: analysis from the Sudden Cardiac Death In Heart Failure Trial', </w:t>
      </w:r>
      <w:r w:rsidRPr="002B7CEB">
        <w:rPr>
          <w:rFonts w:asciiTheme="minorHAnsi" w:hAnsiTheme="minorHAnsi" w:cs="Arial"/>
          <w:i/>
          <w:color w:val="000000" w:themeColor="text1"/>
        </w:rPr>
        <w:t>Circulation</w:t>
      </w:r>
      <w:r w:rsidRPr="002B7CEB">
        <w:rPr>
          <w:rFonts w:asciiTheme="minorHAnsi" w:hAnsiTheme="minorHAnsi" w:cs="Arial"/>
          <w:color w:val="000000" w:themeColor="text1"/>
        </w:rPr>
        <w:t>, vol. 120, no. 22, pp. 2170–2176.</w:t>
      </w:r>
    </w:p>
    <w:p w14:paraId="21BC38E9" w14:textId="664C5643" w:rsidR="00B906E9" w:rsidRPr="002B7CEB" w:rsidRDefault="00B906E9" w:rsidP="004C79C1">
      <w:pPr>
        <w:pStyle w:val="EndNoteBibliography"/>
        <w:spacing w:after="120"/>
        <w:jc w:val="both"/>
        <w:rPr>
          <w:rFonts w:asciiTheme="minorHAnsi" w:hAnsiTheme="minorHAnsi"/>
        </w:rPr>
      </w:pPr>
      <w:r w:rsidRPr="002B7CEB">
        <w:rPr>
          <w:rFonts w:asciiTheme="minorHAnsi" w:hAnsiTheme="minorHAnsi"/>
        </w:rPr>
        <w:t xml:space="preserve">Padeletti, L, Arnar, DO, Boncinelli, L, Brachman, J, Camm, JA, Daubert, JC, Hassam, SK, Deliens, L, Glikson, M, Hayes, D, Israel, C, Lampert, R, Lobban, T, Raatikainen, P, Siegal, G, Vardas, P, Kirchhof, P, Becker, R, Cosio, F, Loh, P, Cobbe, S, Grace, A &amp; Morgan, J 2010, 'EHRA Expert Consensus Statement on the management of cardiovascular implantable electronic devices in patients nearing end of life or requesting withdrawal of therapy', </w:t>
      </w:r>
      <w:r w:rsidRPr="002B7CEB">
        <w:rPr>
          <w:rFonts w:asciiTheme="minorHAnsi" w:hAnsiTheme="minorHAnsi"/>
          <w:i/>
        </w:rPr>
        <w:t>Europace</w:t>
      </w:r>
      <w:r w:rsidRPr="002B7CEB">
        <w:rPr>
          <w:rFonts w:asciiTheme="minorHAnsi" w:hAnsiTheme="minorHAnsi"/>
        </w:rPr>
        <w:t>, vol. 12, no. 10, pp. 1480</w:t>
      </w:r>
      <w:r w:rsidR="00582688" w:rsidRPr="002B7CEB">
        <w:rPr>
          <w:rFonts w:asciiTheme="minorHAnsi" w:hAnsiTheme="minorHAnsi"/>
        </w:rPr>
        <w:t>–</w:t>
      </w:r>
      <w:r w:rsidRPr="002B7CEB">
        <w:rPr>
          <w:rFonts w:asciiTheme="minorHAnsi" w:hAnsiTheme="minorHAnsi"/>
        </w:rPr>
        <w:t>1489.</w:t>
      </w:r>
    </w:p>
    <w:p w14:paraId="22B41DF1" w14:textId="011074A9" w:rsidR="00B906E9" w:rsidRPr="002B7CEB" w:rsidRDefault="00B906E9" w:rsidP="004C79C1">
      <w:pPr>
        <w:pStyle w:val="EndNoteBibliography"/>
        <w:spacing w:after="120"/>
        <w:jc w:val="both"/>
        <w:rPr>
          <w:rFonts w:asciiTheme="minorHAnsi" w:hAnsiTheme="minorHAnsi"/>
        </w:rPr>
      </w:pPr>
      <w:bookmarkStart w:id="1167" w:name="_ENREF_99"/>
      <w:bookmarkEnd w:id="1166"/>
      <w:r w:rsidRPr="002B7CEB">
        <w:rPr>
          <w:rFonts w:asciiTheme="minorHAnsi" w:hAnsiTheme="minorHAnsi"/>
        </w:rPr>
        <w:t xml:space="preserve">Paech, DC &amp; Weston, AR 2011, 'A systematic review of the clinical effectiveness of 64-slice or higher computed tomography angiography as an alternative to invasive coronary angiography in the investigation of suspected coronary artery disease', </w:t>
      </w:r>
      <w:r w:rsidRPr="002B7CEB">
        <w:rPr>
          <w:rFonts w:asciiTheme="minorHAnsi" w:hAnsiTheme="minorHAnsi"/>
          <w:i/>
        </w:rPr>
        <w:t>BMC Cardiovasc</w:t>
      </w:r>
      <w:r w:rsidR="00582688" w:rsidRPr="002B7CEB">
        <w:rPr>
          <w:rFonts w:asciiTheme="minorHAnsi" w:hAnsiTheme="minorHAnsi"/>
          <w:i/>
        </w:rPr>
        <w:t>ular</w:t>
      </w:r>
      <w:r w:rsidRPr="002B7CEB">
        <w:rPr>
          <w:rFonts w:asciiTheme="minorHAnsi" w:hAnsiTheme="minorHAnsi"/>
          <w:i/>
        </w:rPr>
        <w:t xml:space="preserve"> Disord</w:t>
      </w:r>
      <w:r w:rsidR="00582688" w:rsidRPr="002B7CEB">
        <w:rPr>
          <w:rFonts w:asciiTheme="minorHAnsi" w:hAnsiTheme="minorHAnsi"/>
          <w:i/>
        </w:rPr>
        <w:t>ers</w:t>
      </w:r>
      <w:r w:rsidRPr="002B7CEB">
        <w:rPr>
          <w:rFonts w:asciiTheme="minorHAnsi" w:hAnsiTheme="minorHAnsi"/>
        </w:rPr>
        <w:t>, vol. 11, p. 32.</w:t>
      </w:r>
    </w:p>
    <w:p w14:paraId="60D2173E" w14:textId="33B338C9" w:rsidR="00B906E9" w:rsidRPr="002B7CEB" w:rsidRDefault="00B906E9" w:rsidP="004C79C1">
      <w:pPr>
        <w:pStyle w:val="EndNoteBibliography"/>
        <w:spacing w:after="120"/>
        <w:jc w:val="both"/>
        <w:rPr>
          <w:rFonts w:asciiTheme="minorHAnsi" w:hAnsiTheme="minorHAnsi"/>
        </w:rPr>
      </w:pPr>
      <w:bookmarkStart w:id="1168" w:name="_ENREF_100"/>
      <w:bookmarkEnd w:id="1167"/>
      <w:r w:rsidRPr="002B7CEB">
        <w:rPr>
          <w:rFonts w:asciiTheme="minorHAnsi" w:hAnsiTheme="minorHAnsi"/>
        </w:rPr>
        <w:t xml:space="preserve">Partington, SL, Seabra, LF &amp; Kwong, RY 2010, 'Cardiac magnetic resonance imaging as a prognostic tool in patients with nonischemic cardiomyopathy', </w:t>
      </w:r>
      <w:r w:rsidRPr="002B7CEB">
        <w:rPr>
          <w:rFonts w:asciiTheme="minorHAnsi" w:hAnsiTheme="minorHAnsi"/>
          <w:i/>
        </w:rPr>
        <w:t>Hosp</w:t>
      </w:r>
      <w:r w:rsidR="0057262B" w:rsidRPr="002B7CEB">
        <w:rPr>
          <w:rFonts w:asciiTheme="minorHAnsi" w:hAnsiTheme="minorHAnsi"/>
          <w:i/>
        </w:rPr>
        <w:t>ital</w:t>
      </w:r>
      <w:r w:rsidRPr="002B7CEB">
        <w:rPr>
          <w:rFonts w:asciiTheme="minorHAnsi" w:hAnsiTheme="minorHAnsi"/>
          <w:i/>
        </w:rPr>
        <w:t xml:space="preserve"> Pract</w:t>
      </w:r>
      <w:r w:rsidR="0057262B" w:rsidRPr="002B7CEB">
        <w:rPr>
          <w:rFonts w:asciiTheme="minorHAnsi" w:hAnsiTheme="minorHAnsi"/>
          <w:i/>
        </w:rPr>
        <w:t>ice</w:t>
      </w:r>
      <w:r w:rsidRPr="002B7CEB">
        <w:rPr>
          <w:rFonts w:asciiTheme="minorHAnsi" w:hAnsiTheme="minorHAnsi"/>
          <w:i/>
        </w:rPr>
        <w:t xml:space="preserve"> (1995)</w:t>
      </w:r>
      <w:r w:rsidRPr="002B7CEB">
        <w:rPr>
          <w:rFonts w:asciiTheme="minorHAnsi" w:hAnsiTheme="minorHAnsi"/>
        </w:rPr>
        <w:t>, vol. 38, no. 4, pp. 75</w:t>
      </w:r>
      <w:r w:rsidR="0057262B" w:rsidRPr="002B7CEB">
        <w:rPr>
          <w:rFonts w:asciiTheme="minorHAnsi" w:hAnsiTheme="minorHAnsi"/>
        </w:rPr>
        <w:t>–</w:t>
      </w:r>
      <w:r w:rsidRPr="002B7CEB">
        <w:rPr>
          <w:rFonts w:asciiTheme="minorHAnsi" w:hAnsiTheme="minorHAnsi"/>
        </w:rPr>
        <w:t>82.</w:t>
      </w:r>
    </w:p>
    <w:p w14:paraId="6F92DE97" w14:textId="6A8EDFAF" w:rsidR="0070676B" w:rsidRPr="002B7CEB" w:rsidRDefault="0070676B" w:rsidP="004C79C1">
      <w:pPr>
        <w:pStyle w:val="EndNoteBibliography"/>
        <w:spacing w:after="120"/>
        <w:jc w:val="both"/>
        <w:rPr>
          <w:rFonts w:asciiTheme="minorHAnsi" w:hAnsiTheme="minorHAnsi" w:cs="Arial"/>
          <w:color w:val="F79646" w:themeColor="accent6"/>
        </w:rPr>
      </w:pPr>
      <w:bookmarkStart w:id="1169" w:name="_ENREF_101"/>
      <w:bookmarkEnd w:id="1168"/>
      <w:r w:rsidRPr="002B7CEB">
        <w:rPr>
          <w:rFonts w:asciiTheme="minorHAnsi" w:hAnsiTheme="minorHAnsi" w:cs="Arial"/>
          <w:color w:val="000000" w:themeColor="text1"/>
        </w:rPr>
        <w:t xml:space="preserve">Passman, R, Subacius, H, Ruo, B &amp; et al. 2007, 'Implantable cardioverter defibrillators and quality of life: results from the </w:t>
      </w:r>
      <w:r w:rsidR="001F36AB" w:rsidRPr="002B7CEB">
        <w:rPr>
          <w:rFonts w:asciiTheme="minorHAnsi" w:hAnsiTheme="minorHAnsi" w:cs="Arial"/>
          <w:color w:val="000000" w:themeColor="text1"/>
        </w:rPr>
        <w:t>Defibrillators In Nonischemic Cardiomyopathy Treatment Evaluation</w:t>
      </w:r>
      <w:r w:rsidRPr="002B7CEB">
        <w:rPr>
          <w:rFonts w:asciiTheme="minorHAnsi" w:hAnsiTheme="minorHAnsi" w:cs="Arial"/>
          <w:color w:val="000000" w:themeColor="text1"/>
        </w:rPr>
        <w:t xml:space="preserve"> study', </w:t>
      </w:r>
      <w:r w:rsidRPr="002B7CEB">
        <w:rPr>
          <w:rFonts w:asciiTheme="minorHAnsi" w:hAnsiTheme="minorHAnsi" w:cs="Arial"/>
          <w:i/>
          <w:color w:val="000000" w:themeColor="text1"/>
        </w:rPr>
        <w:t>Archives of Internal Medicine</w:t>
      </w:r>
      <w:r w:rsidR="001F36AB" w:rsidRPr="002B7CEB">
        <w:rPr>
          <w:rFonts w:asciiTheme="minorHAnsi" w:hAnsiTheme="minorHAnsi" w:cs="Arial"/>
          <w:color w:val="000000" w:themeColor="text1"/>
        </w:rPr>
        <w:t>, vol. 167, no. 20, pp. 2226</w:t>
      </w:r>
      <w:r w:rsidR="00170124" w:rsidRPr="002B7CEB">
        <w:rPr>
          <w:rFonts w:asciiTheme="minorHAnsi" w:hAnsiTheme="minorHAnsi" w:cs="Arial"/>
          <w:color w:val="000000" w:themeColor="text1"/>
        </w:rPr>
        <w:t>–</w:t>
      </w:r>
      <w:r w:rsidRPr="002B7CEB">
        <w:rPr>
          <w:rFonts w:asciiTheme="minorHAnsi" w:hAnsiTheme="minorHAnsi" w:cs="Arial"/>
          <w:color w:val="000000" w:themeColor="text1"/>
        </w:rPr>
        <w:t>2232.</w:t>
      </w:r>
    </w:p>
    <w:p w14:paraId="4FEB87F4" w14:textId="5CFA0B24" w:rsidR="00B906E9" w:rsidRPr="002B7CEB" w:rsidRDefault="00B906E9" w:rsidP="004C79C1">
      <w:pPr>
        <w:pStyle w:val="EndNoteBibliography"/>
        <w:spacing w:after="120"/>
        <w:jc w:val="both"/>
        <w:rPr>
          <w:rFonts w:asciiTheme="minorHAnsi" w:hAnsiTheme="minorHAnsi"/>
        </w:rPr>
      </w:pPr>
      <w:r w:rsidRPr="002B7CEB">
        <w:rPr>
          <w:rFonts w:asciiTheme="minorHAnsi" w:hAnsiTheme="minorHAnsi"/>
        </w:rPr>
        <w:t xml:space="preserve">Perazzolo Marra, M, De Lazzari, M, Zorzi, A, Migliore, F, Zilio, F, Calore, C, Vettor, G, Tona, F, Tarantini, G, Cacciavillani, L, Corbetti, F, Giorgi, B, Miotto, D, Thiene, G, Basso, C, Iliceto, S &amp; Corrado, D 2014, 'Impact of the presence and amount of myocardial fibrosis by cardiac magnetic resonance on arrhythmic outcome and sudden cardiac death in nonischemic dilated cardiomyopathy', </w:t>
      </w:r>
      <w:r w:rsidRPr="002B7CEB">
        <w:rPr>
          <w:rFonts w:asciiTheme="minorHAnsi" w:hAnsiTheme="minorHAnsi"/>
          <w:i/>
        </w:rPr>
        <w:t>Heart Rhythm</w:t>
      </w:r>
      <w:r w:rsidRPr="002B7CEB">
        <w:rPr>
          <w:rFonts w:asciiTheme="minorHAnsi" w:hAnsiTheme="minorHAnsi"/>
        </w:rPr>
        <w:t>, vol. 11, no. 5, pp. 856</w:t>
      </w:r>
      <w:r w:rsidR="0057262B" w:rsidRPr="002B7CEB">
        <w:rPr>
          <w:rFonts w:asciiTheme="minorHAnsi" w:hAnsiTheme="minorHAnsi"/>
        </w:rPr>
        <w:t>–</w:t>
      </w:r>
      <w:r w:rsidRPr="002B7CEB">
        <w:rPr>
          <w:rFonts w:asciiTheme="minorHAnsi" w:hAnsiTheme="minorHAnsi"/>
        </w:rPr>
        <w:t>863.</w:t>
      </w:r>
    </w:p>
    <w:p w14:paraId="6E736B4A" w14:textId="6617CC52" w:rsidR="00DC39A3" w:rsidRPr="002B7CEB" w:rsidRDefault="00DC39A3" w:rsidP="004C79C1">
      <w:pPr>
        <w:pStyle w:val="EndNoteBibliography"/>
        <w:spacing w:after="120"/>
        <w:rPr>
          <w:rFonts w:asciiTheme="minorHAnsi" w:hAnsiTheme="minorHAnsi"/>
          <w:color w:val="000000" w:themeColor="text1"/>
        </w:rPr>
      </w:pPr>
      <w:bookmarkStart w:id="1170" w:name="_ENREF_102"/>
      <w:bookmarkEnd w:id="1169"/>
      <w:r w:rsidRPr="002B7CEB">
        <w:rPr>
          <w:rFonts w:asciiTheme="minorHAnsi" w:hAnsiTheme="minorHAnsi"/>
          <w:color w:val="000000" w:themeColor="text1"/>
        </w:rPr>
        <w:t xml:space="preserve">Persson, R, Earley, A, Garlitski, AC, Balk, EM &amp; Uhlig, K 2014, 'Adverse events following implantable cardioverter defibrillator implantation: a systematic review', </w:t>
      </w:r>
      <w:r w:rsidRPr="002B7CEB">
        <w:rPr>
          <w:rFonts w:asciiTheme="minorHAnsi" w:hAnsiTheme="minorHAnsi"/>
          <w:i/>
          <w:color w:val="000000" w:themeColor="text1"/>
        </w:rPr>
        <w:t>J</w:t>
      </w:r>
      <w:r w:rsidR="00D575D0">
        <w:rPr>
          <w:rFonts w:asciiTheme="minorHAnsi" w:hAnsiTheme="minorHAnsi"/>
          <w:i/>
          <w:color w:val="000000" w:themeColor="text1"/>
        </w:rPr>
        <w:t>ournal of</w:t>
      </w:r>
      <w:r w:rsidRPr="002B7CEB">
        <w:rPr>
          <w:rFonts w:asciiTheme="minorHAnsi" w:hAnsiTheme="minorHAnsi"/>
          <w:i/>
          <w:color w:val="000000" w:themeColor="text1"/>
        </w:rPr>
        <w:t xml:space="preserve"> Interv</w:t>
      </w:r>
      <w:r w:rsidR="00D575D0">
        <w:rPr>
          <w:rFonts w:asciiTheme="minorHAnsi" w:hAnsiTheme="minorHAnsi"/>
          <w:i/>
          <w:color w:val="000000" w:themeColor="text1"/>
        </w:rPr>
        <w:t>entional</w:t>
      </w:r>
      <w:r w:rsidRPr="002B7CEB">
        <w:rPr>
          <w:rFonts w:asciiTheme="minorHAnsi" w:hAnsiTheme="minorHAnsi"/>
          <w:i/>
          <w:color w:val="000000" w:themeColor="text1"/>
        </w:rPr>
        <w:t xml:space="preserve"> Card</w:t>
      </w:r>
      <w:r w:rsidR="00D575D0">
        <w:rPr>
          <w:rFonts w:asciiTheme="minorHAnsi" w:hAnsiTheme="minorHAnsi"/>
          <w:i/>
          <w:color w:val="000000" w:themeColor="text1"/>
        </w:rPr>
        <w:t>iac</w:t>
      </w:r>
      <w:r w:rsidRPr="002B7CEB">
        <w:rPr>
          <w:rFonts w:asciiTheme="minorHAnsi" w:hAnsiTheme="minorHAnsi"/>
          <w:i/>
          <w:color w:val="000000" w:themeColor="text1"/>
        </w:rPr>
        <w:t xml:space="preserve"> Electrophysiol</w:t>
      </w:r>
      <w:r w:rsidR="00D575D0">
        <w:rPr>
          <w:rFonts w:asciiTheme="minorHAnsi" w:hAnsiTheme="minorHAnsi"/>
          <w:i/>
          <w:color w:val="000000" w:themeColor="text1"/>
        </w:rPr>
        <w:t>ogy</w:t>
      </w:r>
      <w:r w:rsidRPr="002B7CEB">
        <w:rPr>
          <w:rFonts w:asciiTheme="minorHAnsi" w:hAnsiTheme="minorHAnsi"/>
          <w:color w:val="000000" w:themeColor="text1"/>
        </w:rPr>
        <w:t>, vol. 40, no. 2, pp. 191</w:t>
      </w:r>
      <w:r w:rsidR="00D575D0">
        <w:rPr>
          <w:rFonts w:asciiTheme="minorHAnsi" w:hAnsiTheme="minorHAnsi"/>
          <w:color w:val="000000" w:themeColor="text1"/>
        </w:rPr>
        <w:t>–</w:t>
      </w:r>
      <w:r w:rsidRPr="002B7CEB">
        <w:rPr>
          <w:rFonts w:asciiTheme="minorHAnsi" w:hAnsiTheme="minorHAnsi"/>
          <w:color w:val="000000" w:themeColor="text1"/>
        </w:rPr>
        <w:t>205.</w:t>
      </w:r>
    </w:p>
    <w:p w14:paraId="2933A1D4" w14:textId="224175EC" w:rsidR="00B906E9" w:rsidRPr="002B7CEB" w:rsidRDefault="00B906E9" w:rsidP="004C79C1">
      <w:pPr>
        <w:pStyle w:val="EndNoteBibliography"/>
        <w:spacing w:after="120"/>
        <w:jc w:val="both"/>
        <w:rPr>
          <w:rFonts w:asciiTheme="minorHAnsi" w:hAnsiTheme="minorHAnsi"/>
        </w:rPr>
      </w:pPr>
      <w:r w:rsidRPr="002B7CEB">
        <w:rPr>
          <w:rFonts w:asciiTheme="minorHAnsi" w:hAnsiTheme="minorHAnsi"/>
        </w:rPr>
        <w:t xml:space="preserve">Piers, SR, Everaerts, K, van der Geest, RJ, Hazebroek, MR, Siebelink, HM, Pison, LA, Schalij, MJ, Bekkers, SC, Heymans, S &amp; Zeppenfeld, K 2015, 'Myocardial scar predicts monomorphic ventricular tachycardia but not polymorphic ventricular tachycardia or ventricular fibrillation in nonischemic dilated cardiomyopathy', </w:t>
      </w:r>
      <w:r w:rsidRPr="002B7CEB">
        <w:rPr>
          <w:rFonts w:asciiTheme="minorHAnsi" w:hAnsiTheme="minorHAnsi"/>
          <w:i/>
        </w:rPr>
        <w:t>Heart Rhythm</w:t>
      </w:r>
      <w:r w:rsidRPr="002B7CEB">
        <w:rPr>
          <w:rFonts w:asciiTheme="minorHAnsi" w:hAnsiTheme="minorHAnsi"/>
        </w:rPr>
        <w:t>, vol. 12, no. 10, pp. 2106</w:t>
      </w:r>
      <w:r w:rsidR="00CD67F7" w:rsidRPr="002B7CEB">
        <w:rPr>
          <w:rFonts w:asciiTheme="minorHAnsi" w:hAnsiTheme="minorHAnsi"/>
        </w:rPr>
        <w:t>–</w:t>
      </w:r>
      <w:r w:rsidRPr="002B7CEB">
        <w:rPr>
          <w:rFonts w:asciiTheme="minorHAnsi" w:hAnsiTheme="minorHAnsi"/>
        </w:rPr>
        <w:t>2114.</w:t>
      </w:r>
    </w:p>
    <w:p w14:paraId="7DB1A375" w14:textId="76690BE7" w:rsidR="00B906E9" w:rsidRPr="002B7CEB" w:rsidRDefault="00B906E9" w:rsidP="004C79C1">
      <w:pPr>
        <w:pStyle w:val="EndNoteBibliography"/>
        <w:spacing w:after="120"/>
        <w:jc w:val="both"/>
        <w:rPr>
          <w:rFonts w:asciiTheme="minorHAnsi" w:hAnsiTheme="minorHAnsi"/>
        </w:rPr>
      </w:pPr>
      <w:bookmarkStart w:id="1171" w:name="_ENREF_103"/>
      <w:bookmarkEnd w:id="1170"/>
      <w:r w:rsidRPr="002B7CEB">
        <w:rPr>
          <w:rFonts w:asciiTheme="minorHAnsi" w:hAnsiTheme="minorHAnsi"/>
        </w:rPr>
        <w:t xml:space="preserve">Pinamonti, B &amp; Sinagra, B 2014, </w:t>
      </w:r>
      <w:r w:rsidRPr="002B7CEB">
        <w:rPr>
          <w:rFonts w:asciiTheme="minorHAnsi" w:hAnsiTheme="minorHAnsi"/>
          <w:i/>
        </w:rPr>
        <w:t xml:space="preserve">Clinical </w:t>
      </w:r>
      <w:r w:rsidR="00CD67F7" w:rsidRPr="002B7CEB">
        <w:rPr>
          <w:rFonts w:asciiTheme="minorHAnsi" w:hAnsiTheme="minorHAnsi"/>
          <w:i/>
        </w:rPr>
        <w:t>echocardiography and other imaging techniques in cardiomyopathi</w:t>
      </w:r>
      <w:r w:rsidRPr="002B7CEB">
        <w:rPr>
          <w:rFonts w:asciiTheme="minorHAnsi" w:hAnsiTheme="minorHAnsi"/>
          <w:i/>
        </w:rPr>
        <w:t>es</w:t>
      </w:r>
      <w:r w:rsidRPr="002B7CEB">
        <w:rPr>
          <w:rFonts w:asciiTheme="minorHAnsi" w:hAnsiTheme="minorHAnsi"/>
        </w:rPr>
        <w:t>, Springer International Publishing, Switzerland.</w:t>
      </w:r>
    </w:p>
    <w:p w14:paraId="12A2FBAA" w14:textId="591493D1" w:rsidR="00B906E9" w:rsidRPr="002B7CEB" w:rsidRDefault="00B906E9" w:rsidP="004C79C1">
      <w:pPr>
        <w:pStyle w:val="EndNoteBibliography"/>
        <w:spacing w:after="120"/>
        <w:jc w:val="both"/>
        <w:rPr>
          <w:rFonts w:asciiTheme="minorHAnsi" w:hAnsiTheme="minorHAnsi"/>
        </w:rPr>
      </w:pPr>
      <w:bookmarkStart w:id="1172" w:name="_ENREF_104"/>
      <w:bookmarkEnd w:id="1171"/>
      <w:r w:rsidRPr="002B7CEB">
        <w:rPr>
          <w:rFonts w:asciiTheme="minorHAnsi" w:hAnsiTheme="minorHAnsi"/>
        </w:rPr>
        <w:t xml:space="preserve">Proietti, R, Labos, C, Davis, M, Thanassoulis, G, Santangeli, P, Russo, V, Di Biase, L, Roux, JF, Verma, A, Natale, A &amp; Essebag, V 2015, 'A systematic review and meta-analysis of the association between implantable </w:t>
      </w:r>
      <w:r w:rsidR="0026063B">
        <w:rPr>
          <w:rFonts w:asciiTheme="minorHAnsi" w:hAnsiTheme="minorHAnsi"/>
        </w:rPr>
        <w:t>cardioverter defibrillator</w:t>
      </w:r>
      <w:r w:rsidRPr="002B7CEB">
        <w:rPr>
          <w:rFonts w:asciiTheme="minorHAnsi" w:hAnsiTheme="minorHAnsi"/>
        </w:rPr>
        <w:t xml:space="preserve"> shocks and long-term mortality', </w:t>
      </w:r>
      <w:r w:rsidRPr="002B7CEB">
        <w:rPr>
          <w:rFonts w:asciiTheme="minorHAnsi" w:hAnsiTheme="minorHAnsi"/>
          <w:i/>
        </w:rPr>
        <w:t>Can</w:t>
      </w:r>
      <w:r w:rsidR="00FA4456" w:rsidRPr="002B7CEB">
        <w:rPr>
          <w:rFonts w:asciiTheme="minorHAnsi" w:hAnsiTheme="minorHAnsi"/>
          <w:i/>
        </w:rPr>
        <w:t>adian</w:t>
      </w:r>
      <w:r w:rsidRPr="002B7CEB">
        <w:rPr>
          <w:rFonts w:asciiTheme="minorHAnsi" w:hAnsiTheme="minorHAnsi"/>
          <w:i/>
        </w:rPr>
        <w:t xml:space="preserve"> J</w:t>
      </w:r>
      <w:r w:rsidR="00FA4456" w:rsidRPr="002B7CEB">
        <w:rPr>
          <w:rFonts w:asciiTheme="minorHAnsi" w:hAnsiTheme="minorHAnsi"/>
          <w:i/>
        </w:rPr>
        <w:t>ournal of</w:t>
      </w:r>
      <w:r w:rsidRPr="002B7CEB">
        <w:rPr>
          <w:rFonts w:asciiTheme="minorHAnsi" w:hAnsiTheme="minorHAnsi"/>
          <w:i/>
        </w:rPr>
        <w:t xml:space="preserve"> Cardiol</w:t>
      </w:r>
      <w:r w:rsidR="00FA4456" w:rsidRPr="002B7CEB">
        <w:rPr>
          <w:rFonts w:asciiTheme="minorHAnsi" w:hAnsiTheme="minorHAnsi"/>
          <w:i/>
        </w:rPr>
        <w:t>ogy</w:t>
      </w:r>
      <w:r w:rsidRPr="002B7CEB">
        <w:rPr>
          <w:rFonts w:asciiTheme="minorHAnsi" w:hAnsiTheme="minorHAnsi"/>
        </w:rPr>
        <w:t>, vol. 31, no. 3, pp. 270</w:t>
      </w:r>
      <w:r w:rsidR="00FA4456" w:rsidRPr="002B7CEB">
        <w:rPr>
          <w:rFonts w:asciiTheme="minorHAnsi" w:hAnsiTheme="minorHAnsi"/>
        </w:rPr>
        <w:t>–</w:t>
      </w:r>
      <w:r w:rsidRPr="002B7CEB">
        <w:rPr>
          <w:rFonts w:asciiTheme="minorHAnsi" w:hAnsiTheme="minorHAnsi"/>
        </w:rPr>
        <w:t>277.</w:t>
      </w:r>
    </w:p>
    <w:p w14:paraId="2EADABFC" w14:textId="4D7FFCB7" w:rsidR="00B906E9" w:rsidRPr="002B7CEB" w:rsidRDefault="00B906E9" w:rsidP="004C79C1">
      <w:pPr>
        <w:pStyle w:val="EndNoteBibliography"/>
        <w:spacing w:after="120"/>
        <w:jc w:val="both"/>
        <w:rPr>
          <w:rFonts w:asciiTheme="minorHAnsi" w:hAnsiTheme="minorHAnsi"/>
        </w:rPr>
      </w:pPr>
      <w:bookmarkStart w:id="1173" w:name="_ENREF_105"/>
      <w:bookmarkEnd w:id="1172"/>
      <w:r w:rsidRPr="002B7CEB">
        <w:rPr>
          <w:rFonts w:asciiTheme="minorHAnsi" w:hAnsiTheme="minorHAnsi"/>
        </w:rPr>
        <w:t>Qian, Z, Zhang, Z, Guo, J, Wang, Y, Hou, X, Feng, G &amp; Zou, J 2016, 'A</w:t>
      </w:r>
      <w:r w:rsidR="00EA1F87" w:rsidRPr="002B7CEB">
        <w:rPr>
          <w:rFonts w:asciiTheme="minorHAnsi" w:hAnsiTheme="minorHAnsi"/>
        </w:rPr>
        <w:t>ssociation of implantable cardioverter defibrillator therapy with all-cause mortality: a systematic review and meta-analysis</w:t>
      </w:r>
      <w:r w:rsidRPr="002B7CEB">
        <w:rPr>
          <w:rFonts w:asciiTheme="minorHAnsi" w:hAnsiTheme="minorHAnsi"/>
        </w:rPr>
        <w:t xml:space="preserve">', </w:t>
      </w:r>
      <w:r w:rsidRPr="002B7CEB">
        <w:rPr>
          <w:rFonts w:asciiTheme="minorHAnsi" w:hAnsiTheme="minorHAnsi"/>
          <w:i/>
        </w:rPr>
        <w:t>Pacing</w:t>
      </w:r>
      <w:r w:rsidR="00EA1F87" w:rsidRPr="002B7CEB">
        <w:rPr>
          <w:rFonts w:asciiTheme="minorHAnsi" w:hAnsiTheme="minorHAnsi"/>
          <w:i/>
        </w:rPr>
        <w:t xml:space="preserve"> and</w:t>
      </w:r>
      <w:r w:rsidRPr="002B7CEB">
        <w:rPr>
          <w:rFonts w:asciiTheme="minorHAnsi" w:hAnsiTheme="minorHAnsi"/>
          <w:i/>
        </w:rPr>
        <w:t xml:space="preserve"> Clin</w:t>
      </w:r>
      <w:r w:rsidR="00EA1F87" w:rsidRPr="002B7CEB">
        <w:rPr>
          <w:rFonts w:asciiTheme="minorHAnsi" w:hAnsiTheme="minorHAnsi"/>
          <w:i/>
        </w:rPr>
        <w:t>ical</w:t>
      </w:r>
      <w:r w:rsidRPr="002B7CEB">
        <w:rPr>
          <w:rFonts w:asciiTheme="minorHAnsi" w:hAnsiTheme="minorHAnsi"/>
          <w:i/>
        </w:rPr>
        <w:t xml:space="preserve"> Electrophysiol</w:t>
      </w:r>
      <w:r w:rsidR="00EA1F87" w:rsidRPr="002B7CEB">
        <w:rPr>
          <w:rFonts w:asciiTheme="minorHAnsi" w:hAnsiTheme="minorHAnsi"/>
          <w:i/>
        </w:rPr>
        <w:t>ogy</w:t>
      </w:r>
      <w:r w:rsidRPr="002B7CEB">
        <w:rPr>
          <w:rFonts w:asciiTheme="minorHAnsi" w:hAnsiTheme="minorHAnsi"/>
        </w:rPr>
        <w:t>, vol. 39, no. 1, pp. 81</w:t>
      </w:r>
      <w:r w:rsidR="00EA1F87" w:rsidRPr="002B7CEB">
        <w:rPr>
          <w:rFonts w:asciiTheme="minorHAnsi" w:hAnsiTheme="minorHAnsi"/>
        </w:rPr>
        <w:t>–</w:t>
      </w:r>
      <w:r w:rsidRPr="002B7CEB">
        <w:rPr>
          <w:rFonts w:asciiTheme="minorHAnsi" w:hAnsiTheme="minorHAnsi"/>
        </w:rPr>
        <w:t>88.</w:t>
      </w:r>
    </w:p>
    <w:p w14:paraId="5E97E853" w14:textId="043771B2" w:rsidR="00B906E9" w:rsidRPr="002B7CEB" w:rsidRDefault="00B906E9" w:rsidP="004C79C1">
      <w:pPr>
        <w:pStyle w:val="EndNoteBibliography"/>
        <w:spacing w:after="120"/>
        <w:jc w:val="both"/>
        <w:rPr>
          <w:rFonts w:asciiTheme="minorHAnsi" w:hAnsiTheme="minorHAnsi"/>
        </w:rPr>
      </w:pPr>
      <w:bookmarkStart w:id="1174" w:name="_ENREF_106"/>
      <w:bookmarkEnd w:id="1173"/>
      <w:r w:rsidRPr="002B7CEB">
        <w:rPr>
          <w:rFonts w:asciiTheme="minorHAnsi" w:hAnsiTheme="minorHAnsi"/>
        </w:rPr>
        <w:t xml:space="preserve">Raimondi, F, Iserin, F, Raisky, O, Laux, D, Bajolle, F, Boudjemline, Y, Boddaert, N &amp; Bonnet, D 2015, 'Myocardial inflammation on cardiovascular magnetic resonance predicts left ventricular function </w:t>
      </w:r>
      <w:r w:rsidRPr="002B7CEB">
        <w:rPr>
          <w:rFonts w:asciiTheme="minorHAnsi" w:hAnsiTheme="minorHAnsi"/>
        </w:rPr>
        <w:lastRenderedPageBreak/>
        <w:t xml:space="preserve">recovery in children with recent dilated cardiomyopathy', </w:t>
      </w:r>
      <w:r w:rsidRPr="002B7CEB">
        <w:rPr>
          <w:rFonts w:asciiTheme="minorHAnsi" w:hAnsiTheme="minorHAnsi"/>
          <w:i/>
        </w:rPr>
        <w:t>European Heart Journal</w:t>
      </w:r>
      <w:r w:rsidR="0005199D" w:rsidRPr="002B7CEB">
        <w:rPr>
          <w:rFonts w:asciiTheme="minorHAnsi" w:hAnsiTheme="minorHAnsi"/>
          <w:i/>
        </w:rPr>
        <w:t>:</w:t>
      </w:r>
      <w:r w:rsidRPr="002B7CEB">
        <w:rPr>
          <w:rFonts w:asciiTheme="minorHAnsi" w:hAnsiTheme="minorHAnsi"/>
          <w:i/>
        </w:rPr>
        <w:t xml:space="preserve"> Cardiovascular Imaging</w:t>
      </w:r>
      <w:r w:rsidRPr="002B7CEB">
        <w:rPr>
          <w:rFonts w:asciiTheme="minorHAnsi" w:hAnsiTheme="minorHAnsi"/>
        </w:rPr>
        <w:t>, vol. 16, no. 7, pp. 756</w:t>
      </w:r>
      <w:r w:rsidR="0005199D" w:rsidRPr="002B7CEB">
        <w:rPr>
          <w:rFonts w:asciiTheme="minorHAnsi" w:hAnsiTheme="minorHAnsi"/>
        </w:rPr>
        <w:t>–</w:t>
      </w:r>
      <w:r w:rsidRPr="002B7CEB">
        <w:rPr>
          <w:rFonts w:asciiTheme="minorHAnsi" w:hAnsiTheme="minorHAnsi"/>
        </w:rPr>
        <w:t>762.</w:t>
      </w:r>
    </w:p>
    <w:p w14:paraId="6588CAF9" w14:textId="72D300C3" w:rsidR="00B906E9" w:rsidRPr="002B7CEB" w:rsidRDefault="00B906E9" w:rsidP="004C79C1">
      <w:pPr>
        <w:pStyle w:val="EndNoteBibliography"/>
        <w:spacing w:after="120"/>
        <w:jc w:val="both"/>
        <w:rPr>
          <w:rFonts w:asciiTheme="minorHAnsi" w:hAnsiTheme="minorHAnsi"/>
        </w:rPr>
      </w:pPr>
      <w:bookmarkStart w:id="1175" w:name="_ENREF_107"/>
      <w:bookmarkEnd w:id="1174"/>
      <w:r w:rsidRPr="002B7CEB">
        <w:rPr>
          <w:rFonts w:asciiTheme="minorHAnsi" w:hAnsiTheme="minorHAnsi"/>
        </w:rPr>
        <w:t xml:space="preserve">Rakar, S, Sinagra, G, Di Lenarda, A, Poletti, A, Bussani, R, Silvestri, F </w:t>
      </w:r>
      <w:r w:rsidR="009E0126" w:rsidRPr="002B7CEB">
        <w:rPr>
          <w:rFonts w:asciiTheme="minorHAnsi" w:hAnsiTheme="minorHAnsi"/>
        </w:rPr>
        <w:t xml:space="preserve">&amp; </w:t>
      </w:r>
      <w:r w:rsidRPr="002B7CEB">
        <w:rPr>
          <w:rFonts w:asciiTheme="minorHAnsi" w:hAnsiTheme="minorHAnsi"/>
        </w:rPr>
        <w:t xml:space="preserve">Camerini, F 1997, 'Epidemiology of dilated cardiomyopathy', </w:t>
      </w:r>
      <w:r w:rsidRPr="002B7CEB">
        <w:rPr>
          <w:rFonts w:asciiTheme="minorHAnsi" w:hAnsiTheme="minorHAnsi"/>
          <w:i/>
        </w:rPr>
        <w:t>Eur</w:t>
      </w:r>
      <w:r w:rsidR="009E0126" w:rsidRPr="002B7CEB">
        <w:rPr>
          <w:rFonts w:asciiTheme="minorHAnsi" w:hAnsiTheme="minorHAnsi"/>
          <w:i/>
        </w:rPr>
        <w:t>opean</w:t>
      </w:r>
      <w:r w:rsidRPr="002B7CEB">
        <w:rPr>
          <w:rFonts w:asciiTheme="minorHAnsi" w:hAnsiTheme="minorHAnsi"/>
          <w:i/>
        </w:rPr>
        <w:t xml:space="preserve"> Heart J</w:t>
      </w:r>
      <w:r w:rsidR="009E0126" w:rsidRPr="002B7CEB">
        <w:rPr>
          <w:rFonts w:asciiTheme="minorHAnsi" w:hAnsiTheme="minorHAnsi"/>
          <w:i/>
        </w:rPr>
        <w:t>ournal</w:t>
      </w:r>
      <w:r w:rsidRPr="002B7CEB">
        <w:rPr>
          <w:rFonts w:asciiTheme="minorHAnsi" w:hAnsiTheme="minorHAnsi"/>
        </w:rPr>
        <w:t>, vol. 18, pp. 117</w:t>
      </w:r>
      <w:r w:rsidR="009E0126" w:rsidRPr="002B7CEB">
        <w:rPr>
          <w:rFonts w:asciiTheme="minorHAnsi" w:hAnsiTheme="minorHAnsi"/>
        </w:rPr>
        <w:t>–</w:t>
      </w:r>
      <w:r w:rsidRPr="002B7CEB">
        <w:rPr>
          <w:rFonts w:asciiTheme="minorHAnsi" w:hAnsiTheme="minorHAnsi"/>
        </w:rPr>
        <w:t>123.</w:t>
      </w:r>
    </w:p>
    <w:p w14:paraId="062FEF1D" w14:textId="4ED0F497" w:rsidR="00B906E9" w:rsidRPr="002B7CEB" w:rsidRDefault="00B906E9" w:rsidP="004C79C1">
      <w:pPr>
        <w:pStyle w:val="EndNoteBibliography"/>
        <w:spacing w:after="120"/>
        <w:jc w:val="both"/>
        <w:rPr>
          <w:rFonts w:asciiTheme="minorHAnsi" w:hAnsiTheme="minorHAnsi"/>
        </w:rPr>
      </w:pPr>
      <w:bookmarkStart w:id="1176" w:name="_ENREF_108"/>
      <w:bookmarkEnd w:id="1175"/>
      <w:r w:rsidRPr="002B7CEB">
        <w:rPr>
          <w:rFonts w:asciiTheme="minorHAnsi" w:hAnsiTheme="minorHAnsi"/>
        </w:rPr>
        <w:t xml:space="preserve">RANZCR 2015, </w:t>
      </w:r>
      <w:r w:rsidRPr="002B7CEB">
        <w:rPr>
          <w:rFonts w:asciiTheme="minorHAnsi" w:hAnsiTheme="minorHAnsi"/>
          <w:i/>
        </w:rPr>
        <w:t xml:space="preserve">Nuclear </w:t>
      </w:r>
      <w:r w:rsidR="0062096B" w:rsidRPr="002B7CEB">
        <w:rPr>
          <w:rFonts w:asciiTheme="minorHAnsi" w:hAnsiTheme="minorHAnsi"/>
          <w:i/>
        </w:rPr>
        <w:t>m</w:t>
      </w:r>
      <w:r w:rsidRPr="002B7CEB">
        <w:rPr>
          <w:rFonts w:asciiTheme="minorHAnsi" w:hAnsiTheme="minorHAnsi"/>
          <w:i/>
        </w:rPr>
        <w:t xml:space="preserve">edicine (NM) gated </w:t>
      </w:r>
      <w:r w:rsidR="0062096B" w:rsidRPr="002B7CEB">
        <w:rPr>
          <w:rFonts w:asciiTheme="minorHAnsi" w:hAnsiTheme="minorHAnsi"/>
          <w:i/>
        </w:rPr>
        <w:t>b</w:t>
      </w:r>
      <w:r w:rsidRPr="002B7CEB">
        <w:rPr>
          <w:rFonts w:asciiTheme="minorHAnsi" w:hAnsiTheme="minorHAnsi"/>
          <w:i/>
        </w:rPr>
        <w:t xml:space="preserve">lood </w:t>
      </w:r>
      <w:r w:rsidR="0062096B" w:rsidRPr="002B7CEB">
        <w:rPr>
          <w:rFonts w:asciiTheme="minorHAnsi" w:hAnsiTheme="minorHAnsi"/>
          <w:i/>
        </w:rPr>
        <w:t>p</w:t>
      </w:r>
      <w:r w:rsidRPr="002B7CEB">
        <w:rPr>
          <w:rFonts w:asciiTheme="minorHAnsi" w:hAnsiTheme="minorHAnsi"/>
          <w:i/>
        </w:rPr>
        <w:t xml:space="preserve">ool </w:t>
      </w:r>
      <w:r w:rsidR="0062096B" w:rsidRPr="002B7CEB">
        <w:rPr>
          <w:rFonts w:asciiTheme="minorHAnsi" w:hAnsiTheme="minorHAnsi"/>
          <w:i/>
        </w:rPr>
        <w:t>s</w:t>
      </w:r>
      <w:r w:rsidRPr="002B7CEB">
        <w:rPr>
          <w:rFonts w:asciiTheme="minorHAnsi" w:hAnsiTheme="minorHAnsi"/>
          <w:i/>
        </w:rPr>
        <w:t>can</w:t>
      </w:r>
      <w:r w:rsidR="00227713">
        <w:rPr>
          <w:rFonts w:asciiTheme="minorHAnsi" w:hAnsiTheme="minorHAnsi"/>
        </w:rPr>
        <w:t xml:space="preserve">, viewed 31/3/2016, </w:t>
      </w:r>
      <w:hyperlink r:id="rId118" w:anchor=".Vvx4K2ORMyA&gt;" w:history="1">
        <w:r w:rsidR="00227713">
          <w:rPr>
            <w:rStyle w:val="Hyperlink"/>
            <w:rFonts w:asciiTheme="minorHAnsi" w:hAnsiTheme="minorHAnsi"/>
          </w:rPr>
          <w:t>www.insideradiology.com.au</w:t>
        </w:r>
      </w:hyperlink>
      <w:r w:rsidRPr="002B7CEB">
        <w:rPr>
          <w:rFonts w:asciiTheme="minorHAnsi" w:hAnsiTheme="minorHAnsi"/>
        </w:rPr>
        <w:t>.</w:t>
      </w:r>
    </w:p>
    <w:p w14:paraId="554C2CC7" w14:textId="351AB26A" w:rsidR="00B906E9" w:rsidRPr="002B7CEB" w:rsidRDefault="00B906E9" w:rsidP="004C79C1">
      <w:pPr>
        <w:pStyle w:val="EndNoteBibliography"/>
        <w:spacing w:after="120"/>
        <w:jc w:val="both"/>
        <w:rPr>
          <w:rFonts w:asciiTheme="minorHAnsi" w:hAnsiTheme="minorHAnsi"/>
        </w:rPr>
      </w:pPr>
      <w:bookmarkStart w:id="1177" w:name="_ENREF_109"/>
      <w:bookmarkEnd w:id="1176"/>
      <w:r w:rsidRPr="002B7CEB">
        <w:rPr>
          <w:rFonts w:asciiTheme="minorHAnsi" w:hAnsiTheme="minorHAnsi"/>
        </w:rPr>
        <w:t xml:space="preserve">Robinson, J, Hartling, L, Vandermeer, B &amp; Klassen, TP 2015, 'Intravenous immunoglobulin for presumed viral myocarditis in children and adults', </w:t>
      </w:r>
      <w:r w:rsidRPr="002B7CEB">
        <w:rPr>
          <w:rFonts w:asciiTheme="minorHAnsi" w:hAnsiTheme="minorHAnsi"/>
          <w:i/>
        </w:rPr>
        <w:t>Cochrane Database Syst</w:t>
      </w:r>
      <w:r w:rsidR="001E1E0D" w:rsidRPr="002B7CEB">
        <w:rPr>
          <w:rFonts w:asciiTheme="minorHAnsi" w:hAnsiTheme="minorHAnsi"/>
          <w:i/>
        </w:rPr>
        <w:t>ematic</w:t>
      </w:r>
      <w:r w:rsidRPr="002B7CEB">
        <w:rPr>
          <w:rFonts w:asciiTheme="minorHAnsi" w:hAnsiTheme="minorHAnsi"/>
          <w:i/>
        </w:rPr>
        <w:t xml:space="preserve"> Rev</w:t>
      </w:r>
      <w:r w:rsidR="001E1E0D" w:rsidRPr="002B7CEB">
        <w:rPr>
          <w:rFonts w:asciiTheme="minorHAnsi" w:hAnsiTheme="minorHAnsi"/>
          <w:i/>
        </w:rPr>
        <w:t>iews</w:t>
      </w:r>
      <w:r w:rsidRPr="002B7CEB">
        <w:rPr>
          <w:rFonts w:asciiTheme="minorHAnsi" w:hAnsiTheme="minorHAnsi"/>
        </w:rPr>
        <w:t>, vol. 5, p. CD004370.</w:t>
      </w:r>
    </w:p>
    <w:p w14:paraId="1EBAF743" w14:textId="1589D268" w:rsidR="00B906E9" w:rsidRPr="002B7CEB" w:rsidRDefault="00B906E9" w:rsidP="004C79C1">
      <w:pPr>
        <w:pStyle w:val="EndNoteBibliography"/>
        <w:spacing w:after="120"/>
        <w:jc w:val="both"/>
        <w:rPr>
          <w:rFonts w:asciiTheme="minorHAnsi" w:hAnsiTheme="minorHAnsi"/>
        </w:rPr>
      </w:pPr>
      <w:bookmarkStart w:id="1178" w:name="_ENREF_110"/>
      <w:bookmarkEnd w:id="1177"/>
      <w:r w:rsidRPr="002B7CEB">
        <w:rPr>
          <w:rFonts w:asciiTheme="minorHAnsi" w:hAnsiTheme="minorHAnsi"/>
        </w:rPr>
        <w:t xml:space="preserve">Roes, SD, Borleffs, CJ, van der Geest, RJ, Westenberg, JJ, Marsan, NA, Kaandorp, TA, Reiber, JH, Zeppenfeld, K, Lamb, HJ, de Roos, A, Schalij, MJ &amp; Bax, JJ 2009, 'Infarct tissue heterogeneity assessed with contrast-enhanced MRI predicts spontaneous ventricular arrhythmia in patients with ischemic cardiomyopathy and implantable </w:t>
      </w:r>
      <w:r w:rsidR="0026063B">
        <w:rPr>
          <w:rFonts w:asciiTheme="minorHAnsi" w:hAnsiTheme="minorHAnsi"/>
        </w:rPr>
        <w:t>cardioverter defibrillator</w:t>
      </w:r>
      <w:r w:rsidRPr="002B7CEB">
        <w:rPr>
          <w:rFonts w:asciiTheme="minorHAnsi" w:hAnsiTheme="minorHAnsi"/>
        </w:rPr>
        <w:t xml:space="preserve">', </w:t>
      </w:r>
      <w:r w:rsidRPr="002B7CEB">
        <w:rPr>
          <w:rFonts w:asciiTheme="minorHAnsi" w:hAnsiTheme="minorHAnsi"/>
          <w:i/>
        </w:rPr>
        <w:t>Circ</w:t>
      </w:r>
      <w:r w:rsidR="001E1E0D" w:rsidRPr="002B7CEB">
        <w:rPr>
          <w:rFonts w:asciiTheme="minorHAnsi" w:hAnsiTheme="minorHAnsi"/>
          <w:i/>
        </w:rPr>
        <w:t>ulation:</w:t>
      </w:r>
      <w:r w:rsidRPr="002B7CEB">
        <w:rPr>
          <w:rFonts w:asciiTheme="minorHAnsi" w:hAnsiTheme="minorHAnsi"/>
          <w:i/>
        </w:rPr>
        <w:t xml:space="preserve"> Cardiovasc</w:t>
      </w:r>
      <w:r w:rsidR="001E1E0D"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2, no. 3, pp. 183</w:t>
      </w:r>
      <w:r w:rsidR="001E1E0D" w:rsidRPr="002B7CEB">
        <w:rPr>
          <w:rFonts w:asciiTheme="minorHAnsi" w:hAnsiTheme="minorHAnsi"/>
        </w:rPr>
        <w:t>–</w:t>
      </w:r>
      <w:r w:rsidRPr="002B7CEB">
        <w:rPr>
          <w:rFonts w:asciiTheme="minorHAnsi" w:hAnsiTheme="minorHAnsi"/>
        </w:rPr>
        <w:t>190.</w:t>
      </w:r>
    </w:p>
    <w:p w14:paraId="0F49E82C" w14:textId="5FB1FE94" w:rsidR="00B906E9" w:rsidRPr="002B7CEB" w:rsidRDefault="00B906E9" w:rsidP="004C79C1">
      <w:pPr>
        <w:pStyle w:val="EndNoteBibliography"/>
        <w:spacing w:after="120"/>
        <w:jc w:val="both"/>
        <w:rPr>
          <w:rFonts w:asciiTheme="minorHAnsi" w:hAnsiTheme="minorHAnsi"/>
        </w:rPr>
      </w:pPr>
      <w:bookmarkStart w:id="1179" w:name="_ENREF_111"/>
      <w:bookmarkEnd w:id="1178"/>
      <w:r w:rsidRPr="002B7CEB">
        <w:rPr>
          <w:rFonts w:asciiTheme="minorHAnsi" w:hAnsiTheme="minorHAnsi"/>
        </w:rPr>
        <w:t xml:space="preserve">Sadek, MM, Yung, D, Birnie, DH, Beanlands, RS &amp; Nery, PB 2013, 'Corticosteroid therapy for cardiac sarcoidosis: a systematic review', </w:t>
      </w:r>
      <w:r w:rsidRPr="002B7CEB">
        <w:rPr>
          <w:rFonts w:asciiTheme="minorHAnsi" w:hAnsiTheme="minorHAnsi"/>
          <w:i/>
        </w:rPr>
        <w:t>Can</w:t>
      </w:r>
      <w:r w:rsidR="0079252F" w:rsidRPr="002B7CEB">
        <w:rPr>
          <w:rFonts w:asciiTheme="minorHAnsi" w:hAnsiTheme="minorHAnsi"/>
          <w:i/>
        </w:rPr>
        <w:t>adian</w:t>
      </w:r>
      <w:r w:rsidRPr="002B7CEB">
        <w:rPr>
          <w:rFonts w:asciiTheme="minorHAnsi" w:hAnsiTheme="minorHAnsi"/>
          <w:i/>
        </w:rPr>
        <w:t xml:space="preserve"> J</w:t>
      </w:r>
      <w:r w:rsidR="0079252F" w:rsidRPr="002B7CEB">
        <w:rPr>
          <w:rFonts w:asciiTheme="minorHAnsi" w:hAnsiTheme="minorHAnsi"/>
          <w:i/>
        </w:rPr>
        <w:t>ournal of</w:t>
      </w:r>
      <w:r w:rsidRPr="002B7CEB">
        <w:rPr>
          <w:rFonts w:asciiTheme="minorHAnsi" w:hAnsiTheme="minorHAnsi"/>
          <w:i/>
        </w:rPr>
        <w:t xml:space="preserve"> Cardiol</w:t>
      </w:r>
      <w:r w:rsidR="0079252F" w:rsidRPr="002B7CEB">
        <w:rPr>
          <w:rFonts w:asciiTheme="minorHAnsi" w:hAnsiTheme="minorHAnsi"/>
          <w:i/>
        </w:rPr>
        <w:t>ogy</w:t>
      </w:r>
      <w:r w:rsidRPr="002B7CEB">
        <w:rPr>
          <w:rFonts w:asciiTheme="minorHAnsi" w:hAnsiTheme="minorHAnsi"/>
        </w:rPr>
        <w:t>, vol. 29, no. 9, pp. 1034</w:t>
      </w:r>
      <w:r w:rsidR="0079252F" w:rsidRPr="002B7CEB">
        <w:rPr>
          <w:rFonts w:asciiTheme="minorHAnsi" w:hAnsiTheme="minorHAnsi"/>
        </w:rPr>
        <w:t>–</w:t>
      </w:r>
      <w:r w:rsidRPr="002B7CEB">
        <w:rPr>
          <w:rFonts w:asciiTheme="minorHAnsi" w:hAnsiTheme="minorHAnsi"/>
        </w:rPr>
        <w:t>1041.</w:t>
      </w:r>
    </w:p>
    <w:p w14:paraId="293960E9" w14:textId="2E05152F" w:rsidR="00B906E9" w:rsidRPr="002B7CEB" w:rsidRDefault="00B906E9" w:rsidP="004C79C1">
      <w:pPr>
        <w:pStyle w:val="EndNoteBibliography"/>
        <w:spacing w:after="120"/>
        <w:jc w:val="both"/>
        <w:rPr>
          <w:rFonts w:asciiTheme="minorHAnsi" w:hAnsiTheme="minorHAnsi"/>
        </w:rPr>
      </w:pPr>
      <w:bookmarkStart w:id="1180" w:name="_ENREF_112"/>
      <w:bookmarkEnd w:id="1179"/>
      <w:r w:rsidRPr="002B7CEB">
        <w:rPr>
          <w:rFonts w:asciiTheme="minorHAnsi" w:hAnsiTheme="minorHAnsi"/>
        </w:rPr>
        <w:t xml:space="preserve">Scott, PA, Morgan, JM, Carroll, N, Murday, DC, Roberts, PR, Peebles, CR, Harden, SP &amp; Curzen, NP 2011, 'The extent of left ventricular scar quantified by late gadolinium enhancement MRI is associated with spontaneous ventricular arrhythmias in patients with coronary artery disease and implantable </w:t>
      </w:r>
      <w:r w:rsidR="0026063B">
        <w:rPr>
          <w:rFonts w:asciiTheme="minorHAnsi" w:hAnsiTheme="minorHAnsi"/>
        </w:rPr>
        <w:t>cardioverter defibrillator</w:t>
      </w:r>
      <w:r w:rsidRPr="002B7CEB">
        <w:rPr>
          <w:rFonts w:asciiTheme="minorHAnsi" w:hAnsiTheme="minorHAnsi"/>
        </w:rPr>
        <w:t xml:space="preserve">s', </w:t>
      </w:r>
      <w:r w:rsidRPr="002B7CEB">
        <w:rPr>
          <w:rFonts w:asciiTheme="minorHAnsi" w:hAnsiTheme="minorHAnsi"/>
          <w:i/>
        </w:rPr>
        <w:t>Circ</w:t>
      </w:r>
      <w:r w:rsidR="0079252F" w:rsidRPr="002B7CEB">
        <w:rPr>
          <w:rFonts w:asciiTheme="minorHAnsi" w:hAnsiTheme="minorHAnsi"/>
          <w:i/>
        </w:rPr>
        <w:t>ulation:</w:t>
      </w:r>
      <w:r w:rsidRPr="002B7CEB">
        <w:rPr>
          <w:rFonts w:asciiTheme="minorHAnsi" w:hAnsiTheme="minorHAnsi"/>
          <w:i/>
        </w:rPr>
        <w:t xml:space="preserve"> Arrhythm</w:t>
      </w:r>
      <w:r w:rsidR="0079252F" w:rsidRPr="002B7CEB">
        <w:rPr>
          <w:rFonts w:asciiTheme="minorHAnsi" w:hAnsiTheme="minorHAnsi"/>
          <w:i/>
        </w:rPr>
        <w:t>ia and</w:t>
      </w:r>
      <w:r w:rsidRPr="002B7CEB">
        <w:rPr>
          <w:rFonts w:asciiTheme="minorHAnsi" w:hAnsiTheme="minorHAnsi"/>
          <w:i/>
        </w:rPr>
        <w:t xml:space="preserve"> Electrophysiol</w:t>
      </w:r>
      <w:r w:rsidR="0079252F" w:rsidRPr="002B7CEB">
        <w:rPr>
          <w:rFonts w:asciiTheme="minorHAnsi" w:hAnsiTheme="minorHAnsi"/>
          <w:i/>
        </w:rPr>
        <w:t>ogy</w:t>
      </w:r>
      <w:r w:rsidRPr="002B7CEB">
        <w:rPr>
          <w:rFonts w:asciiTheme="minorHAnsi" w:hAnsiTheme="minorHAnsi"/>
        </w:rPr>
        <w:t>, vol. 4, no. 3, pp. 324</w:t>
      </w:r>
      <w:r w:rsidR="0079252F" w:rsidRPr="002B7CEB">
        <w:rPr>
          <w:rFonts w:asciiTheme="minorHAnsi" w:hAnsiTheme="minorHAnsi"/>
        </w:rPr>
        <w:t>–</w:t>
      </w:r>
      <w:r w:rsidRPr="002B7CEB">
        <w:rPr>
          <w:rFonts w:asciiTheme="minorHAnsi" w:hAnsiTheme="minorHAnsi"/>
        </w:rPr>
        <w:t>330.</w:t>
      </w:r>
    </w:p>
    <w:p w14:paraId="5B680D83" w14:textId="544E9A9C" w:rsidR="00B906E9" w:rsidRPr="002B7CEB" w:rsidRDefault="00B906E9" w:rsidP="004C79C1">
      <w:pPr>
        <w:pStyle w:val="EndNoteBibliography"/>
        <w:spacing w:after="120"/>
        <w:jc w:val="both"/>
        <w:rPr>
          <w:rFonts w:asciiTheme="minorHAnsi" w:hAnsiTheme="minorHAnsi"/>
        </w:rPr>
      </w:pPr>
      <w:bookmarkStart w:id="1181" w:name="_ENREF_113"/>
      <w:bookmarkEnd w:id="1180"/>
      <w:r w:rsidRPr="002B7CEB">
        <w:rPr>
          <w:rFonts w:asciiTheme="minorHAnsi" w:hAnsiTheme="minorHAnsi"/>
        </w:rPr>
        <w:t xml:space="preserve">Scott, PA, Rosengarten, JA, Curzen, NP &amp; Morgan, JM 2013, 'Late gadolinium enhancement cardiac magnetic resonance imaging for the prediction of ventricular tachyarrhythmic events: a meta-analysis', </w:t>
      </w:r>
      <w:r w:rsidRPr="002B7CEB">
        <w:rPr>
          <w:rFonts w:asciiTheme="minorHAnsi" w:hAnsiTheme="minorHAnsi"/>
          <w:i/>
        </w:rPr>
        <w:t>Eur</w:t>
      </w:r>
      <w:r w:rsidR="00053A11" w:rsidRPr="002B7CEB">
        <w:rPr>
          <w:rFonts w:asciiTheme="minorHAnsi" w:hAnsiTheme="minorHAnsi"/>
          <w:i/>
        </w:rPr>
        <w:t>opean</w:t>
      </w:r>
      <w:r w:rsidRPr="002B7CEB">
        <w:rPr>
          <w:rFonts w:asciiTheme="minorHAnsi" w:hAnsiTheme="minorHAnsi"/>
          <w:i/>
        </w:rPr>
        <w:t xml:space="preserve"> J</w:t>
      </w:r>
      <w:r w:rsidR="00053A11" w:rsidRPr="002B7CEB">
        <w:rPr>
          <w:rFonts w:asciiTheme="minorHAnsi" w:hAnsiTheme="minorHAnsi"/>
          <w:i/>
        </w:rPr>
        <w:t>ournal of</w:t>
      </w:r>
      <w:r w:rsidRPr="002B7CEB">
        <w:rPr>
          <w:rFonts w:asciiTheme="minorHAnsi" w:hAnsiTheme="minorHAnsi"/>
          <w:i/>
        </w:rPr>
        <w:t xml:space="preserve"> Heart Fail</w:t>
      </w:r>
      <w:r w:rsidR="00053A11" w:rsidRPr="002B7CEB">
        <w:rPr>
          <w:rFonts w:asciiTheme="minorHAnsi" w:hAnsiTheme="minorHAnsi"/>
          <w:i/>
        </w:rPr>
        <w:t>ure</w:t>
      </w:r>
      <w:r w:rsidRPr="002B7CEB">
        <w:rPr>
          <w:rFonts w:asciiTheme="minorHAnsi" w:hAnsiTheme="minorHAnsi"/>
        </w:rPr>
        <w:t>, vol. 15, no. 9, pp. 1019</w:t>
      </w:r>
      <w:r w:rsidR="00053A11" w:rsidRPr="002B7CEB">
        <w:rPr>
          <w:rFonts w:asciiTheme="minorHAnsi" w:hAnsiTheme="minorHAnsi"/>
        </w:rPr>
        <w:t>–</w:t>
      </w:r>
      <w:r w:rsidRPr="002B7CEB">
        <w:rPr>
          <w:rFonts w:asciiTheme="minorHAnsi" w:hAnsiTheme="minorHAnsi"/>
        </w:rPr>
        <w:t>1027.</w:t>
      </w:r>
    </w:p>
    <w:p w14:paraId="2FDEC500" w14:textId="06E7D1C3" w:rsidR="00FC3387" w:rsidRPr="002B7CEB" w:rsidRDefault="00FC3387" w:rsidP="004C79C1">
      <w:pPr>
        <w:pStyle w:val="EndNoteBibliography"/>
        <w:spacing w:after="120"/>
        <w:jc w:val="both"/>
        <w:rPr>
          <w:rFonts w:asciiTheme="minorHAnsi" w:hAnsiTheme="minorHAnsi"/>
          <w:color w:val="000000" w:themeColor="text1"/>
        </w:rPr>
      </w:pPr>
      <w:bookmarkStart w:id="1182" w:name="_ENREF_114"/>
      <w:bookmarkEnd w:id="1181"/>
      <w:r w:rsidRPr="002B7CEB">
        <w:rPr>
          <w:rFonts w:asciiTheme="minorHAnsi" w:hAnsiTheme="minorHAnsi"/>
          <w:color w:val="000000" w:themeColor="text1"/>
        </w:rPr>
        <w:t xml:space="preserve">Scott, PA, Silberbauer, J, McDonagh, TA &amp; Murgatroyd, FD 2014, 'Impact of prolonged implantable </w:t>
      </w:r>
      <w:r w:rsidR="0026063B">
        <w:rPr>
          <w:rFonts w:asciiTheme="minorHAnsi" w:hAnsiTheme="minorHAnsi"/>
          <w:color w:val="000000" w:themeColor="text1"/>
        </w:rPr>
        <w:t>cardioverter defibrillator</w:t>
      </w:r>
      <w:r w:rsidRPr="002B7CEB">
        <w:rPr>
          <w:rFonts w:asciiTheme="minorHAnsi" w:hAnsiTheme="minorHAnsi"/>
          <w:color w:val="000000" w:themeColor="text1"/>
        </w:rPr>
        <w:t xml:space="preserve"> arrhythmia detection times on outcomes: a meta-analysis', </w:t>
      </w:r>
      <w:r w:rsidRPr="002B7CEB">
        <w:rPr>
          <w:rFonts w:asciiTheme="minorHAnsi" w:hAnsiTheme="minorHAnsi"/>
          <w:i/>
          <w:color w:val="000000" w:themeColor="text1"/>
        </w:rPr>
        <w:t>Heart Rhythm</w:t>
      </w:r>
      <w:r w:rsidRPr="002B7CEB">
        <w:rPr>
          <w:rFonts w:asciiTheme="minorHAnsi" w:hAnsiTheme="minorHAnsi"/>
          <w:color w:val="000000" w:themeColor="text1"/>
        </w:rPr>
        <w:t>, vol. 11, no. 5, pp. 828–835.</w:t>
      </w:r>
    </w:p>
    <w:p w14:paraId="638B7FA6" w14:textId="43ABDAA8" w:rsidR="00B906E9" w:rsidRPr="002B7CEB" w:rsidRDefault="00B906E9" w:rsidP="004C79C1">
      <w:pPr>
        <w:pStyle w:val="EndNoteBibliography"/>
        <w:spacing w:after="120"/>
        <w:jc w:val="both"/>
        <w:rPr>
          <w:rFonts w:asciiTheme="minorHAnsi" w:hAnsiTheme="minorHAnsi"/>
        </w:rPr>
      </w:pPr>
      <w:r w:rsidRPr="002B7CEB">
        <w:rPr>
          <w:rFonts w:asciiTheme="minorHAnsi" w:hAnsiTheme="minorHAnsi"/>
        </w:rPr>
        <w:t xml:space="preserve">Senior, R, Becher, H, Monaghan, M, Agati, L, Zamorano, J, Vanoverschelde, JL &amp; Nihoyannopoulos, P 2009, 'Contrast echocardiography: evidence-based recommendations by European Association of Echocardiography', </w:t>
      </w:r>
      <w:r w:rsidRPr="002B7CEB">
        <w:rPr>
          <w:rFonts w:asciiTheme="minorHAnsi" w:hAnsiTheme="minorHAnsi"/>
          <w:i/>
        </w:rPr>
        <w:t>Eur</w:t>
      </w:r>
      <w:r w:rsidR="00053A11" w:rsidRPr="002B7CEB">
        <w:rPr>
          <w:rFonts w:asciiTheme="minorHAnsi" w:hAnsiTheme="minorHAnsi"/>
          <w:i/>
        </w:rPr>
        <w:t>opean</w:t>
      </w:r>
      <w:r w:rsidRPr="002B7CEB">
        <w:rPr>
          <w:rFonts w:asciiTheme="minorHAnsi" w:hAnsiTheme="minorHAnsi"/>
          <w:i/>
        </w:rPr>
        <w:t xml:space="preserve"> J</w:t>
      </w:r>
      <w:r w:rsidR="00053A11" w:rsidRPr="002B7CEB">
        <w:rPr>
          <w:rFonts w:asciiTheme="minorHAnsi" w:hAnsiTheme="minorHAnsi"/>
          <w:i/>
        </w:rPr>
        <w:t>ournal of</w:t>
      </w:r>
      <w:r w:rsidRPr="002B7CEB">
        <w:rPr>
          <w:rFonts w:asciiTheme="minorHAnsi" w:hAnsiTheme="minorHAnsi"/>
          <w:i/>
        </w:rPr>
        <w:t xml:space="preserve"> Echocardiogr</w:t>
      </w:r>
      <w:r w:rsidR="00053A11" w:rsidRPr="002B7CEB">
        <w:rPr>
          <w:rFonts w:asciiTheme="minorHAnsi" w:hAnsiTheme="minorHAnsi"/>
          <w:i/>
        </w:rPr>
        <w:t>aphy</w:t>
      </w:r>
      <w:r w:rsidRPr="002B7CEB">
        <w:rPr>
          <w:rFonts w:asciiTheme="minorHAnsi" w:hAnsiTheme="minorHAnsi"/>
        </w:rPr>
        <w:t>, vol. 10, no. 2, pp. 194</w:t>
      </w:r>
      <w:r w:rsidR="00053A11" w:rsidRPr="002B7CEB">
        <w:rPr>
          <w:rFonts w:asciiTheme="minorHAnsi" w:hAnsiTheme="minorHAnsi"/>
        </w:rPr>
        <w:t>–</w:t>
      </w:r>
      <w:r w:rsidRPr="002B7CEB">
        <w:rPr>
          <w:rFonts w:asciiTheme="minorHAnsi" w:hAnsiTheme="minorHAnsi"/>
        </w:rPr>
        <w:t>212.</w:t>
      </w:r>
    </w:p>
    <w:p w14:paraId="63784FBF" w14:textId="19815CD7" w:rsidR="00B906E9" w:rsidRPr="002B7CEB" w:rsidRDefault="00B906E9" w:rsidP="004C79C1">
      <w:pPr>
        <w:pStyle w:val="EndNoteBibliography"/>
        <w:spacing w:after="120"/>
        <w:jc w:val="both"/>
        <w:rPr>
          <w:rFonts w:asciiTheme="minorHAnsi" w:hAnsiTheme="minorHAnsi"/>
        </w:rPr>
      </w:pPr>
      <w:bookmarkStart w:id="1183" w:name="_ENREF_115"/>
      <w:bookmarkEnd w:id="1182"/>
      <w:r w:rsidRPr="002B7CEB">
        <w:rPr>
          <w:rFonts w:asciiTheme="minorHAnsi" w:hAnsiTheme="minorHAnsi"/>
        </w:rPr>
        <w:t xml:space="preserve">Shea, BJ, Grimshaw, JM, Wells, GA, Boers, M, Andersson, N, Hamel, C, Porter, AC, Tugwell, P, Moher, D &amp; Bouter, LM 2007, 'Development of AMSTAR: a measurement tool to assess the methodological quality of systematic reviews', </w:t>
      </w:r>
      <w:r w:rsidRPr="002B7CEB">
        <w:rPr>
          <w:rFonts w:asciiTheme="minorHAnsi" w:hAnsiTheme="minorHAnsi"/>
          <w:i/>
        </w:rPr>
        <w:t>BMC Med</w:t>
      </w:r>
      <w:r w:rsidR="00CE2619" w:rsidRPr="002B7CEB">
        <w:rPr>
          <w:rFonts w:asciiTheme="minorHAnsi" w:hAnsiTheme="minorHAnsi"/>
          <w:i/>
        </w:rPr>
        <w:t>ical</w:t>
      </w:r>
      <w:r w:rsidRPr="002B7CEB">
        <w:rPr>
          <w:rFonts w:asciiTheme="minorHAnsi" w:hAnsiTheme="minorHAnsi"/>
          <w:i/>
        </w:rPr>
        <w:t xml:space="preserve"> Res</w:t>
      </w:r>
      <w:r w:rsidR="00CE2619" w:rsidRPr="002B7CEB">
        <w:rPr>
          <w:rFonts w:asciiTheme="minorHAnsi" w:hAnsiTheme="minorHAnsi"/>
          <w:i/>
        </w:rPr>
        <w:t>earch</w:t>
      </w:r>
      <w:r w:rsidRPr="002B7CEB">
        <w:rPr>
          <w:rFonts w:asciiTheme="minorHAnsi" w:hAnsiTheme="minorHAnsi"/>
          <w:i/>
        </w:rPr>
        <w:t xml:space="preserve"> Methodol</w:t>
      </w:r>
      <w:r w:rsidR="00CE2619" w:rsidRPr="002B7CEB">
        <w:rPr>
          <w:rFonts w:asciiTheme="minorHAnsi" w:hAnsiTheme="minorHAnsi"/>
          <w:i/>
        </w:rPr>
        <w:t>ogy</w:t>
      </w:r>
      <w:r w:rsidRPr="002B7CEB">
        <w:rPr>
          <w:rFonts w:asciiTheme="minorHAnsi" w:hAnsiTheme="minorHAnsi"/>
        </w:rPr>
        <w:t>, vol. 7, p. 10.</w:t>
      </w:r>
    </w:p>
    <w:p w14:paraId="40BEDCC5" w14:textId="38E91AD3" w:rsidR="00B906E9" w:rsidRPr="002B7CEB" w:rsidRDefault="00B906E9" w:rsidP="004C79C1">
      <w:pPr>
        <w:pStyle w:val="EndNoteBibliography"/>
        <w:spacing w:after="120"/>
        <w:jc w:val="both"/>
        <w:rPr>
          <w:rFonts w:asciiTheme="minorHAnsi" w:hAnsiTheme="minorHAnsi"/>
        </w:rPr>
      </w:pPr>
      <w:bookmarkStart w:id="1184" w:name="_ENREF_116"/>
      <w:bookmarkEnd w:id="1183"/>
      <w:r w:rsidRPr="002B7CEB">
        <w:rPr>
          <w:rFonts w:asciiTheme="minorHAnsi" w:hAnsiTheme="minorHAnsi"/>
        </w:rPr>
        <w:t>Shi, HW, Pu, P, Deng, W, Zhou, H, Bian, ZY, Shen, DF, Xie, J, Salerno, M &amp; Tang, QZ 2013, 'Prognostic value of late gadolinium enhancement in dilated cardiomyopathy patients</w:t>
      </w:r>
      <w:r w:rsidR="00CE2619" w:rsidRPr="002B7CEB">
        <w:rPr>
          <w:rFonts w:asciiTheme="minorHAnsi" w:hAnsiTheme="minorHAnsi"/>
        </w:rPr>
        <w:t>:</w:t>
      </w:r>
      <w:r w:rsidRPr="002B7CEB">
        <w:rPr>
          <w:rFonts w:asciiTheme="minorHAnsi" w:hAnsiTheme="minorHAnsi"/>
        </w:rPr>
        <w:t xml:space="preserve"> </w:t>
      </w:r>
      <w:r w:rsidR="00CE2619" w:rsidRPr="002B7CEB">
        <w:rPr>
          <w:rFonts w:asciiTheme="minorHAnsi" w:hAnsiTheme="minorHAnsi"/>
        </w:rPr>
        <w:t>a</w:t>
      </w:r>
      <w:r w:rsidRPr="002B7CEB">
        <w:rPr>
          <w:rFonts w:asciiTheme="minorHAnsi" w:hAnsiTheme="minorHAnsi"/>
        </w:rPr>
        <w:t xml:space="preserve"> meta-analysis', </w:t>
      </w:r>
      <w:r w:rsidRPr="002B7CEB">
        <w:rPr>
          <w:rFonts w:asciiTheme="minorHAnsi" w:hAnsiTheme="minorHAnsi"/>
          <w:i/>
        </w:rPr>
        <w:t>Saudi Med</w:t>
      </w:r>
      <w:r w:rsidR="00CE2619" w:rsidRPr="002B7CEB">
        <w:rPr>
          <w:rFonts w:asciiTheme="minorHAnsi" w:hAnsiTheme="minorHAnsi"/>
          <w:i/>
        </w:rPr>
        <w:t>ical</w:t>
      </w:r>
      <w:r w:rsidRPr="002B7CEB">
        <w:rPr>
          <w:rFonts w:asciiTheme="minorHAnsi" w:hAnsiTheme="minorHAnsi"/>
          <w:i/>
        </w:rPr>
        <w:t xml:space="preserve"> J</w:t>
      </w:r>
      <w:r w:rsidR="00CE2619" w:rsidRPr="002B7CEB">
        <w:rPr>
          <w:rFonts w:asciiTheme="minorHAnsi" w:hAnsiTheme="minorHAnsi"/>
          <w:i/>
        </w:rPr>
        <w:t>ournal</w:t>
      </w:r>
      <w:r w:rsidRPr="002B7CEB">
        <w:rPr>
          <w:rFonts w:asciiTheme="minorHAnsi" w:hAnsiTheme="minorHAnsi"/>
        </w:rPr>
        <w:t>, vol. 34, no. 7, pp. 719</w:t>
      </w:r>
      <w:r w:rsidR="00CE2619" w:rsidRPr="002B7CEB">
        <w:rPr>
          <w:rFonts w:asciiTheme="minorHAnsi" w:hAnsiTheme="minorHAnsi"/>
        </w:rPr>
        <w:t>–</w:t>
      </w:r>
      <w:r w:rsidRPr="002B7CEB">
        <w:rPr>
          <w:rFonts w:asciiTheme="minorHAnsi" w:hAnsiTheme="minorHAnsi"/>
        </w:rPr>
        <w:t>726.</w:t>
      </w:r>
    </w:p>
    <w:p w14:paraId="459850A8" w14:textId="5497B0A2" w:rsidR="00B906E9" w:rsidRPr="002B7CEB" w:rsidRDefault="00B906E9" w:rsidP="004C79C1">
      <w:pPr>
        <w:pStyle w:val="EndNoteBibliography"/>
        <w:spacing w:after="120"/>
        <w:jc w:val="both"/>
        <w:rPr>
          <w:rFonts w:asciiTheme="minorHAnsi" w:hAnsiTheme="minorHAnsi"/>
        </w:rPr>
      </w:pPr>
      <w:bookmarkStart w:id="1185" w:name="_ENREF_117"/>
      <w:bookmarkEnd w:id="1184"/>
      <w:r w:rsidRPr="002B7CEB">
        <w:rPr>
          <w:rFonts w:asciiTheme="minorHAnsi" w:hAnsiTheme="minorHAnsi"/>
        </w:rPr>
        <w:t xml:space="preserve">Shimizu, I, Iguchi, N, Watanabe, H, Umemura, J, Tobaru, T, Asano, R, Misu, K, Nagayama, M, Aikawa, M, Funabashi, N, Komuro, I &amp; Sumiyoshi, T 2010, 'Delayed enhancement cardiovascular magnetic resonance as a novel technique to predict cardiac events in dilated cardiomyopathy patients', </w:t>
      </w:r>
      <w:r w:rsidRPr="002B7CEB">
        <w:rPr>
          <w:rFonts w:asciiTheme="minorHAnsi" w:hAnsiTheme="minorHAnsi"/>
          <w:i/>
        </w:rPr>
        <w:t>International Journal of Cardiology</w:t>
      </w:r>
      <w:r w:rsidRPr="002B7CEB">
        <w:rPr>
          <w:rFonts w:asciiTheme="minorHAnsi" w:hAnsiTheme="minorHAnsi"/>
        </w:rPr>
        <w:t>, vol. 142, no. 3, pp. 224</w:t>
      </w:r>
      <w:r w:rsidR="00503845" w:rsidRPr="002B7CEB">
        <w:rPr>
          <w:rFonts w:asciiTheme="minorHAnsi" w:hAnsiTheme="minorHAnsi"/>
        </w:rPr>
        <w:t>–</w:t>
      </w:r>
      <w:r w:rsidRPr="002B7CEB">
        <w:rPr>
          <w:rFonts w:asciiTheme="minorHAnsi" w:hAnsiTheme="minorHAnsi"/>
        </w:rPr>
        <w:t>229.</w:t>
      </w:r>
    </w:p>
    <w:p w14:paraId="5F38179D" w14:textId="77777777" w:rsidR="00B906E9" w:rsidRPr="002B7CEB" w:rsidRDefault="00B906E9" w:rsidP="004C79C1">
      <w:pPr>
        <w:pStyle w:val="EndNoteBibliography"/>
        <w:spacing w:after="120"/>
        <w:jc w:val="both"/>
        <w:rPr>
          <w:rFonts w:asciiTheme="minorHAnsi" w:hAnsiTheme="minorHAnsi"/>
        </w:rPr>
      </w:pPr>
      <w:bookmarkStart w:id="1186" w:name="_ENREF_118"/>
      <w:bookmarkEnd w:id="1185"/>
      <w:r w:rsidRPr="002B7CEB">
        <w:rPr>
          <w:rFonts w:asciiTheme="minorHAnsi" w:hAnsiTheme="minorHAnsi"/>
        </w:rPr>
        <w:t xml:space="preserve">SIGN 2014, </w:t>
      </w:r>
      <w:r w:rsidRPr="002B7CEB">
        <w:rPr>
          <w:rFonts w:asciiTheme="minorHAnsi" w:hAnsiTheme="minorHAnsi"/>
          <w:i/>
        </w:rPr>
        <w:t>SIGN 50: a guideline developer’s handbook (SIGN publication no. 50)</w:t>
      </w:r>
      <w:r w:rsidRPr="002B7CEB">
        <w:rPr>
          <w:rFonts w:asciiTheme="minorHAnsi" w:hAnsiTheme="minorHAnsi"/>
        </w:rPr>
        <w:t>, Scottish Intercollegiate Guidelines Network, Edinburgh.</w:t>
      </w:r>
    </w:p>
    <w:p w14:paraId="232A4EF3" w14:textId="497ED683" w:rsidR="00B906E9" w:rsidRPr="002B7CEB" w:rsidRDefault="00B906E9" w:rsidP="004C79C1">
      <w:pPr>
        <w:pStyle w:val="EndNoteBibliography"/>
        <w:spacing w:after="120"/>
        <w:jc w:val="both"/>
        <w:rPr>
          <w:rFonts w:asciiTheme="minorHAnsi" w:hAnsiTheme="minorHAnsi"/>
        </w:rPr>
      </w:pPr>
      <w:bookmarkStart w:id="1187" w:name="_ENREF_119"/>
      <w:bookmarkEnd w:id="1186"/>
      <w:r w:rsidRPr="002B7CEB">
        <w:rPr>
          <w:rFonts w:asciiTheme="minorHAnsi" w:hAnsiTheme="minorHAnsi"/>
        </w:rPr>
        <w:t xml:space="preserve">Sood, N, Ruwald, AC, Solomon, S, Daubert, JP, McNitt, S, Polonsky, B, Jons, C, Clyne, CA, Zareba, W &amp; Moss, AJ 2014, 'Association between myocardial substrate, implantable cardioverter defibrillator shocks and mortality in MADIT-CRT', </w:t>
      </w:r>
      <w:r w:rsidRPr="002B7CEB">
        <w:rPr>
          <w:rFonts w:asciiTheme="minorHAnsi" w:hAnsiTheme="minorHAnsi"/>
          <w:i/>
        </w:rPr>
        <w:t>Eur</w:t>
      </w:r>
      <w:r w:rsidR="00503845" w:rsidRPr="002B7CEB">
        <w:rPr>
          <w:rFonts w:asciiTheme="minorHAnsi" w:hAnsiTheme="minorHAnsi"/>
          <w:i/>
        </w:rPr>
        <w:t>opean</w:t>
      </w:r>
      <w:r w:rsidRPr="002B7CEB">
        <w:rPr>
          <w:rFonts w:asciiTheme="minorHAnsi" w:hAnsiTheme="minorHAnsi"/>
          <w:i/>
        </w:rPr>
        <w:t xml:space="preserve"> Heart J</w:t>
      </w:r>
      <w:r w:rsidR="00503845" w:rsidRPr="002B7CEB">
        <w:rPr>
          <w:rFonts w:asciiTheme="minorHAnsi" w:hAnsiTheme="minorHAnsi"/>
          <w:i/>
        </w:rPr>
        <w:t>ournal</w:t>
      </w:r>
      <w:r w:rsidRPr="002B7CEB">
        <w:rPr>
          <w:rFonts w:asciiTheme="minorHAnsi" w:hAnsiTheme="minorHAnsi"/>
        </w:rPr>
        <w:t>, vol. 35, no. 2, pp. 106</w:t>
      </w:r>
      <w:r w:rsidR="00503845" w:rsidRPr="002B7CEB">
        <w:rPr>
          <w:rFonts w:asciiTheme="minorHAnsi" w:hAnsiTheme="minorHAnsi"/>
        </w:rPr>
        <w:t>–</w:t>
      </w:r>
      <w:r w:rsidRPr="002B7CEB">
        <w:rPr>
          <w:rFonts w:asciiTheme="minorHAnsi" w:hAnsiTheme="minorHAnsi"/>
        </w:rPr>
        <w:t>115.</w:t>
      </w:r>
    </w:p>
    <w:p w14:paraId="01C02281" w14:textId="0C54DD5A" w:rsidR="00B906E9" w:rsidRPr="002B7CEB" w:rsidRDefault="00B906E9" w:rsidP="004C79C1">
      <w:pPr>
        <w:pStyle w:val="EndNoteBibliography"/>
        <w:spacing w:after="120"/>
        <w:jc w:val="both"/>
        <w:rPr>
          <w:rFonts w:asciiTheme="minorHAnsi" w:hAnsiTheme="minorHAnsi"/>
        </w:rPr>
      </w:pPr>
      <w:bookmarkStart w:id="1188" w:name="_ENREF_120"/>
      <w:bookmarkEnd w:id="1187"/>
      <w:r w:rsidRPr="002B7CEB">
        <w:rPr>
          <w:rFonts w:asciiTheme="minorHAnsi" w:hAnsiTheme="minorHAnsi"/>
        </w:rPr>
        <w:lastRenderedPageBreak/>
        <w:t xml:space="preserve">Sramko, M, Kubanek, M, Tintera, J, Kautznerova, D, Weichet, J, Maluskova, J, Franekova, J &amp; Kautzner, J 2013, 'Utility of combination of cardiac magnetic resonance imaging and high-sensitivity cardiac troponin T assay in diagnosis of inflammatory cardiomyopathy', </w:t>
      </w:r>
      <w:r w:rsidRPr="002B7CEB">
        <w:rPr>
          <w:rFonts w:asciiTheme="minorHAnsi" w:hAnsiTheme="minorHAnsi"/>
          <w:i/>
        </w:rPr>
        <w:t>Am</w:t>
      </w:r>
      <w:r w:rsidR="00503845" w:rsidRPr="002B7CEB">
        <w:rPr>
          <w:rFonts w:asciiTheme="minorHAnsi" w:hAnsiTheme="minorHAnsi"/>
          <w:i/>
        </w:rPr>
        <w:t>erican</w:t>
      </w:r>
      <w:r w:rsidRPr="002B7CEB">
        <w:rPr>
          <w:rFonts w:asciiTheme="minorHAnsi" w:hAnsiTheme="minorHAnsi"/>
          <w:i/>
        </w:rPr>
        <w:t xml:space="preserve"> J</w:t>
      </w:r>
      <w:r w:rsidR="00503845" w:rsidRPr="002B7CEB">
        <w:rPr>
          <w:rFonts w:asciiTheme="minorHAnsi" w:hAnsiTheme="minorHAnsi"/>
          <w:i/>
        </w:rPr>
        <w:t>ournal of</w:t>
      </w:r>
      <w:r w:rsidRPr="002B7CEB">
        <w:rPr>
          <w:rFonts w:asciiTheme="minorHAnsi" w:hAnsiTheme="minorHAnsi"/>
          <w:i/>
        </w:rPr>
        <w:t xml:space="preserve"> Cardiol</w:t>
      </w:r>
      <w:r w:rsidR="00503845" w:rsidRPr="002B7CEB">
        <w:rPr>
          <w:rFonts w:asciiTheme="minorHAnsi" w:hAnsiTheme="minorHAnsi"/>
          <w:i/>
        </w:rPr>
        <w:t>ogy</w:t>
      </w:r>
      <w:r w:rsidRPr="002B7CEB">
        <w:rPr>
          <w:rFonts w:asciiTheme="minorHAnsi" w:hAnsiTheme="minorHAnsi"/>
        </w:rPr>
        <w:t>, vol. 111, no. 2, pp. 258</w:t>
      </w:r>
      <w:r w:rsidR="00503845" w:rsidRPr="002B7CEB">
        <w:rPr>
          <w:rFonts w:asciiTheme="minorHAnsi" w:hAnsiTheme="minorHAnsi"/>
        </w:rPr>
        <w:t>–</w:t>
      </w:r>
      <w:r w:rsidRPr="002B7CEB">
        <w:rPr>
          <w:rFonts w:asciiTheme="minorHAnsi" w:hAnsiTheme="minorHAnsi"/>
        </w:rPr>
        <w:t>264.</w:t>
      </w:r>
    </w:p>
    <w:p w14:paraId="087B4AA4" w14:textId="383B89FF" w:rsidR="00B906E9" w:rsidRPr="002B7CEB" w:rsidRDefault="00B906E9" w:rsidP="004C79C1">
      <w:pPr>
        <w:pStyle w:val="EndNoteBibliography"/>
        <w:spacing w:after="120"/>
        <w:jc w:val="both"/>
        <w:rPr>
          <w:rFonts w:asciiTheme="minorHAnsi" w:hAnsiTheme="minorHAnsi"/>
        </w:rPr>
      </w:pPr>
      <w:bookmarkStart w:id="1189" w:name="_ENREF_121"/>
      <w:bookmarkEnd w:id="1188"/>
      <w:r w:rsidRPr="002B7CEB">
        <w:rPr>
          <w:rFonts w:asciiTheme="minorHAnsi" w:hAnsiTheme="minorHAnsi"/>
        </w:rPr>
        <w:t xml:space="preserve">StataCorp 2014, </w:t>
      </w:r>
      <w:r w:rsidRPr="002B7CEB">
        <w:rPr>
          <w:rFonts w:asciiTheme="minorHAnsi" w:hAnsiTheme="minorHAnsi"/>
          <w:i/>
        </w:rPr>
        <w:t xml:space="preserve">Stata: Release 14 </w:t>
      </w:r>
      <w:r w:rsidR="00036CF6" w:rsidRPr="002B7CEB">
        <w:rPr>
          <w:rFonts w:asciiTheme="minorHAnsi" w:hAnsiTheme="minorHAnsi"/>
          <w:i/>
        </w:rPr>
        <w:t>s</w:t>
      </w:r>
      <w:r w:rsidRPr="002B7CEB">
        <w:rPr>
          <w:rFonts w:asciiTheme="minorHAnsi" w:hAnsiTheme="minorHAnsi"/>
          <w:i/>
        </w:rPr>
        <w:t xml:space="preserve">tatistical </w:t>
      </w:r>
      <w:r w:rsidR="00036CF6" w:rsidRPr="002B7CEB">
        <w:rPr>
          <w:rFonts w:asciiTheme="minorHAnsi" w:hAnsiTheme="minorHAnsi"/>
          <w:i/>
        </w:rPr>
        <w:t>s</w:t>
      </w:r>
      <w:r w:rsidRPr="002B7CEB">
        <w:rPr>
          <w:rFonts w:asciiTheme="minorHAnsi" w:hAnsiTheme="minorHAnsi"/>
          <w:i/>
        </w:rPr>
        <w:t>oftware</w:t>
      </w:r>
      <w:r w:rsidRPr="002B7CEB">
        <w:rPr>
          <w:rFonts w:asciiTheme="minorHAnsi" w:hAnsiTheme="minorHAnsi"/>
        </w:rPr>
        <w:t>, [computer program], Stata Corporation LP, College Station, Texas.</w:t>
      </w:r>
    </w:p>
    <w:p w14:paraId="51B675AA" w14:textId="1136E855" w:rsidR="00B906E9" w:rsidRPr="002B7CEB" w:rsidRDefault="00B906E9" w:rsidP="004C79C1">
      <w:pPr>
        <w:pStyle w:val="EndNoteBibliography"/>
        <w:spacing w:after="120"/>
        <w:jc w:val="both"/>
        <w:rPr>
          <w:rFonts w:asciiTheme="minorHAnsi" w:hAnsiTheme="minorHAnsi"/>
        </w:rPr>
      </w:pPr>
      <w:bookmarkStart w:id="1190" w:name="_ENREF_122"/>
      <w:bookmarkEnd w:id="1189"/>
      <w:r w:rsidRPr="002B7CEB">
        <w:rPr>
          <w:rFonts w:asciiTheme="minorHAnsi" w:hAnsiTheme="minorHAnsi"/>
        </w:rPr>
        <w:t xml:space="preserve">Stewart, MJ 2003, 'Contrast </w:t>
      </w:r>
      <w:r w:rsidR="00036CF6" w:rsidRPr="002B7CEB">
        <w:rPr>
          <w:rFonts w:asciiTheme="minorHAnsi" w:hAnsiTheme="minorHAnsi"/>
        </w:rPr>
        <w:t>e</w:t>
      </w:r>
      <w:r w:rsidRPr="002B7CEB">
        <w:rPr>
          <w:rFonts w:asciiTheme="minorHAnsi" w:hAnsiTheme="minorHAnsi"/>
        </w:rPr>
        <w:t xml:space="preserve">chocardiography', </w:t>
      </w:r>
      <w:r w:rsidRPr="002B7CEB">
        <w:rPr>
          <w:rFonts w:asciiTheme="minorHAnsi" w:hAnsiTheme="minorHAnsi"/>
          <w:i/>
        </w:rPr>
        <w:t>Heart</w:t>
      </w:r>
      <w:r w:rsidRPr="002B7CEB">
        <w:rPr>
          <w:rFonts w:asciiTheme="minorHAnsi" w:hAnsiTheme="minorHAnsi"/>
        </w:rPr>
        <w:t>, no. 89, pp. 342</w:t>
      </w:r>
      <w:r w:rsidR="00036CF6" w:rsidRPr="002B7CEB">
        <w:rPr>
          <w:rFonts w:asciiTheme="minorHAnsi" w:hAnsiTheme="minorHAnsi"/>
        </w:rPr>
        <w:t>–</w:t>
      </w:r>
      <w:r w:rsidRPr="002B7CEB">
        <w:rPr>
          <w:rFonts w:asciiTheme="minorHAnsi" w:hAnsiTheme="minorHAnsi"/>
        </w:rPr>
        <w:t>348.</w:t>
      </w:r>
    </w:p>
    <w:p w14:paraId="5D571C05" w14:textId="77777777" w:rsidR="00B906E9" w:rsidRPr="002B7CEB" w:rsidRDefault="00B906E9" w:rsidP="004C79C1">
      <w:pPr>
        <w:pStyle w:val="EndNoteBibliography"/>
        <w:spacing w:after="120"/>
        <w:jc w:val="both"/>
        <w:rPr>
          <w:rFonts w:asciiTheme="minorHAnsi" w:hAnsiTheme="minorHAnsi"/>
        </w:rPr>
      </w:pPr>
      <w:bookmarkStart w:id="1191" w:name="_ENREF_123"/>
      <w:bookmarkEnd w:id="1190"/>
      <w:r w:rsidRPr="002B7CEB">
        <w:rPr>
          <w:rFonts w:asciiTheme="minorHAnsi" w:hAnsiTheme="minorHAnsi"/>
        </w:rPr>
        <w:t xml:space="preserve">Streitner, F, Herrmann, T, Kuschyk, J, Lang, S, Doesch, C, Papavassiliu, T, Streitner, I, Veltmann, C, Haghi, D &amp; Borggrefe, M 2013, 'Impact of shocks on mortality in patients with ischemic or dilated cardiomyopathy and defibrillators implanted for primary prevention', </w:t>
      </w:r>
      <w:r w:rsidRPr="002B7CEB">
        <w:rPr>
          <w:rFonts w:asciiTheme="minorHAnsi" w:hAnsiTheme="minorHAnsi"/>
          <w:i/>
        </w:rPr>
        <w:t>PLoS One</w:t>
      </w:r>
      <w:r w:rsidRPr="002B7CEB">
        <w:rPr>
          <w:rFonts w:asciiTheme="minorHAnsi" w:hAnsiTheme="minorHAnsi"/>
        </w:rPr>
        <w:t>, vol. 8, no. 5, p. e63911.</w:t>
      </w:r>
    </w:p>
    <w:p w14:paraId="673BD01F" w14:textId="1DC39146" w:rsidR="00B906E9" w:rsidRPr="002B7CEB" w:rsidRDefault="00B906E9" w:rsidP="004C79C1">
      <w:pPr>
        <w:pStyle w:val="EndNoteBibliography"/>
        <w:spacing w:after="120"/>
        <w:jc w:val="both"/>
        <w:rPr>
          <w:rFonts w:asciiTheme="minorHAnsi" w:hAnsiTheme="minorHAnsi"/>
        </w:rPr>
      </w:pPr>
      <w:bookmarkStart w:id="1192" w:name="_ENREF_124"/>
      <w:bookmarkEnd w:id="1191"/>
      <w:r w:rsidRPr="002B7CEB">
        <w:rPr>
          <w:rFonts w:asciiTheme="minorHAnsi" w:hAnsiTheme="minorHAnsi"/>
        </w:rPr>
        <w:t xml:space="preserve">Strickberger, SA, Hummel, JD, Bartlett, TG, Frumin, HI, Schuger, CD, Beau, SL, Bitar, C &amp; Morady, F 2003, 'Amiodarone versus implantable </w:t>
      </w:r>
      <w:r w:rsidR="0026063B">
        <w:rPr>
          <w:rFonts w:asciiTheme="minorHAnsi" w:hAnsiTheme="minorHAnsi"/>
        </w:rPr>
        <w:t>cardioverter defibrillator</w:t>
      </w:r>
      <w:r w:rsidRPr="002B7CEB">
        <w:rPr>
          <w:rFonts w:asciiTheme="minorHAnsi" w:hAnsiTheme="minorHAnsi"/>
        </w:rPr>
        <w:t>:</w:t>
      </w:r>
      <w:r w:rsidR="00036CF6" w:rsidRPr="002B7CEB">
        <w:rPr>
          <w:rFonts w:asciiTheme="minorHAnsi" w:hAnsiTheme="minorHAnsi"/>
        </w:rPr>
        <w:t xml:space="preserve"> </w:t>
      </w:r>
      <w:r w:rsidRPr="002B7CEB">
        <w:rPr>
          <w:rFonts w:asciiTheme="minorHAnsi" w:hAnsiTheme="minorHAnsi"/>
        </w:rPr>
        <w:t>randomized trial in patients with nonischemicdilated cardiomyopathy and asymptomatic</w:t>
      </w:r>
      <w:r w:rsidR="00036CF6" w:rsidRPr="002B7CEB">
        <w:rPr>
          <w:rFonts w:asciiTheme="minorHAnsi" w:hAnsiTheme="minorHAnsi"/>
        </w:rPr>
        <w:t xml:space="preserve"> </w:t>
      </w:r>
      <w:r w:rsidRPr="002B7CEB">
        <w:rPr>
          <w:rFonts w:asciiTheme="minorHAnsi" w:hAnsiTheme="minorHAnsi"/>
        </w:rPr>
        <w:t xml:space="preserve">nonsustained ventricular tachycardia—AMIOVIRT', </w:t>
      </w:r>
      <w:r w:rsidRPr="002B7CEB">
        <w:rPr>
          <w:rFonts w:asciiTheme="minorHAnsi" w:hAnsiTheme="minorHAnsi"/>
          <w:i/>
        </w:rPr>
        <w:t>Journal of the American College of Cardiology</w:t>
      </w:r>
      <w:r w:rsidRPr="002B7CEB">
        <w:rPr>
          <w:rFonts w:asciiTheme="minorHAnsi" w:hAnsiTheme="minorHAnsi"/>
        </w:rPr>
        <w:t>, vol. 41, no. 10, pp. 1707</w:t>
      </w:r>
      <w:r w:rsidR="00036CF6" w:rsidRPr="002B7CEB">
        <w:rPr>
          <w:rFonts w:asciiTheme="minorHAnsi" w:hAnsiTheme="minorHAnsi"/>
        </w:rPr>
        <w:t>–</w:t>
      </w:r>
      <w:r w:rsidRPr="002B7CEB">
        <w:rPr>
          <w:rFonts w:asciiTheme="minorHAnsi" w:hAnsiTheme="minorHAnsi"/>
        </w:rPr>
        <w:t>1712.</w:t>
      </w:r>
    </w:p>
    <w:p w14:paraId="63A2F78B" w14:textId="534C4894" w:rsidR="00B906E9" w:rsidRPr="002B7CEB" w:rsidRDefault="00B906E9" w:rsidP="004C79C1">
      <w:pPr>
        <w:pStyle w:val="EndNoteBibliography"/>
        <w:spacing w:after="120"/>
        <w:jc w:val="both"/>
        <w:rPr>
          <w:rFonts w:asciiTheme="minorHAnsi" w:hAnsiTheme="minorHAnsi"/>
        </w:rPr>
      </w:pPr>
      <w:bookmarkStart w:id="1193" w:name="_ENREF_125"/>
      <w:bookmarkEnd w:id="1192"/>
      <w:r w:rsidRPr="002B7CEB">
        <w:rPr>
          <w:rFonts w:asciiTheme="minorHAnsi" w:hAnsiTheme="minorHAnsi"/>
        </w:rPr>
        <w:t xml:space="preserve">Sweeney, MO, Wathen, MS, Volosin, K, Abdalla, I, DeGroot, PJ, Otterness, MF &amp; Stark, AJ 2005, 'Appropriate and inappropriate ventricular therapies, quality of life, and mortality among primary and secondary prevention implantable cardioverter defibrillator patients: results from the Pacing Fast VT REduces Shock ThErapies (PainFREE Rx II) trial', </w:t>
      </w:r>
      <w:r w:rsidRPr="002B7CEB">
        <w:rPr>
          <w:rFonts w:asciiTheme="minorHAnsi" w:hAnsiTheme="minorHAnsi"/>
          <w:i/>
        </w:rPr>
        <w:t>Circulation</w:t>
      </w:r>
      <w:r w:rsidRPr="002B7CEB">
        <w:rPr>
          <w:rFonts w:asciiTheme="minorHAnsi" w:hAnsiTheme="minorHAnsi"/>
        </w:rPr>
        <w:t>, vol. 111, no. 22 pp. 2898</w:t>
      </w:r>
      <w:r w:rsidR="00114E8B" w:rsidRPr="002B7CEB">
        <w:rPr>
          <w:rFonts w:asciiTheme="minorHAnsi" w:hAnsiTheme="minorHAnsi"/>
        </w:rPr>
        <w:t>–</w:t>
      </w:r>
      <w:r w:rsidRPr="002B7CEB">
        <w:rPr>
          <w:rFonts w:asciiTheme="minorHAnsi" w:hAnsiTheme="minorHAnsi"/>
        </w:rPr>
        <w:t>2905.</w:t>
      </w:r>
    </w:p>
    <w:p w14:paraId="605E8BDE" w14:textId="4348AE33" w:rsidR="00B906E9" w:rsidRPr="002B7CEB" w:rsidRDefault="00B906E9" w:rsidP="004C79C1">
      <w:pPr>
        <w:pStyle w:val="EndNoteBibliography"/>
        <w:spacing w:after="120"/>
        <w:jc w:val="both"/>
        <w:rPr>
          <w:rFonts w:asciiTheme="minorHAnsi" w:hAnsiTheme="minorHAnsi"/>
        </w:rPr>
      </w:pPr>
      <w:bookmarkStart w:id="1194" w:name="_ENREF_126"/>
      <w:bookmarkEnd w:id="1193"/>
      <w:r w:rsidRPr="002B7CEB">
        <w:rPr>
          <w:rFonts w:asciiTheme="minorHAnsi" w:hAnsiTheme="minorHAnsi"/>
        </w:rPr>
        <w:t>Taylor</w:t>
      </w:r>
      <w:r w:rsidR="005150C7">
        <w:rPr>
          <w:rFonts w:asciiTheme="minorHAnsi" w:hAnsiTheme="minorHAnsi"/>
        </w:rPr>
        <w:t>,</w:t>
      </w:r>
      <w:r w:rsidRPr="002B7CEB">
        <w:rPr>
          <w:rFonts w:asciiTheme="minorHAnsi" w:hAnsiTheme="minorHAnsi"/>
        </w:rPr>
        <w:t xml:space="preserve"> AJ, Ellims</w:t>
      </w:r>
      <w:r w:rsidR="005150C7">
        <w:rPr>
          <w:rFonts w:asciiTheme="minorHAnsi" w:hAnsiTheme="minorHAnsi"/>
        </w:rPr>
        <w:t>,</w:t>
      </w:r>
      <w:r w:rsidRPr="002B7CEB">
        <w:rPr>
          <w:rFonts w:asciiTheme="minorHAnsi" w:hAnsiTheme="minorHAnsi"/>
        </w:rPr>
        <w:t xml:space="preserve"> A, Lew</w:t>
      </w:r>
      <w:r w:rsidR="005150C7">
        <w:rPr>
          <w:rFonts w:asciiTheme="minorHAnsi" w:hAnsiTheme="minorHAnsi"/>
        </w:rPr>
        <w:t>,</w:t>
      </w:r>
      <w:r w:rsidRPr="002B7CEB">
        <w:rPr>
          <w:rFonts w:asciiTheme="minorHAnsi" w:hAnsiTheme="minorHAnsi"/>
        </w:rPr>
        <w:t xml:space="preserve"> PJ, Murphy</w:t>
      </w:r>
      <w:r w:rsidR="005150C7">
        <w:rPr>
          <w:rFonts w:asciiTheme="minorHAnsi" w:hAnsiTheme="minorHAnsi"/>
        </w:rPr>
        <w:t>,</w:t>
      </w:r>
      <w:r w:rsidRPr="002B7CEB">
        <w:rPr>
          <w:rFonts w:asciiTheme="minorHAnsi" w:hAnsiTheme="minorHAnsi"/>
        </w:rPr>
        <w:t xml:space="preserve"> B, Pally</w:t>
      </w:r>
      <w:r w:rsidR="005150C7">
        <w:rPr>
          <w:rFonts w:asciiTheme="minorHAnsi" w:hAnsiTheme="minorHAnsi"/>
        </w:rPr>
        <w:t>,</w:t>
      </w:r>
      <w:r w:rsidRPr="002B7CEB">
        <w:rPr>
          <w:rFonts w:asciiTheme="minorHAnsi" w:hAnsiTheme="minorHAnsi"/>
        </w:rPr>
        <w:t xml:space="preserve"> S &amp; Younie</w:t>
      </w:r>
      <w:r w:rsidR="005150C7">
        <w:rPr>
          <w:rFonts w:asciiTheme="minorHAnsi" w:hAnsiTheme="minorHAnsi"/>
        </w:rPr>
        <w:t>,</w:t>
      </w:r>
      <w:r w:rsidRPr="002B7CEB">
        <w:rPr>
          <w:rFonts w:asciiTheme="minorHAnsi" w:hAnsiTheme="minorHAnsi"/>
        </w:rPr>
        <w:t xml:space="preserve"> S 2013, 'Impact of cardiac magnetic resonance imaging on cardiac device and surgical therapy: a prospective study', </w:t>
      </w:r>
      <w:r w:rsidRPr="002B7CEB">
        <w:rPr>
          <w:rFonts w:asciiTheme="minorHAnsi" w:hAnsiTheme="minorHAnsi"/>
          <w:i/>
        </w:rPr>
        <w:t>Int</w:t>
      </w:r>
      <w:r w:rsidR="00943CB5" w:rsidRPr="002B7CEB">
        <w:rPr>
          <w:rFonts w:asciiTheme="minorHAnsi" w:hAnsiTheme="minorHAnsi"/>
          <w:i/>
        </w:rPr>
        <w:t>ernational</w:t>
      </w:r>
      <w:r w:rsidRPr="002B7CEB">
        <w:rPr>
          <w:rFonts w:asciiTheme="minorHAnsi" w:hAnsiTheme="minorHAnsi"/>
          <w:i/>
        </w:rPr>
        <w:t xml:space="preserve"> J</w:t>
      </w:r>
      <w:r w:rsidR="00943CB5" w:rsidRPr="002B7CEB">
        <w:rPr>
          <w:rFonts w:asciiTheme="minorHAnsi" w:hAnsiTheme="minorHAnsi"/>
          <w:i/>
        </w:rPr>
        <w:t>ournal of</w:t>
      </w:r>
      <w:r w:rsidRPr="002B7CEB">
        <w:rPr>
          <w:rFonts w:asciiTheme="minorHAnsi" w:hAnsiTheme="minorHAnsi"/>
          <w:i/>
        </w:rPr>
        <w:t xml:space="preserve"> Cardiovasc</w:t>
      </w:r>
      <w:r w:rsidR="00943CB5"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29, no. 4, pp. 855</w:t>
      </w:r>
      <w:r w:rsidR="00943CB5" w:rsidRPr="002B7CEB">
        <w:rPr>
          <w:rFonts w:asciiTheme="minorHAnsi" w:hAnsiTheme="minorHAnsi"/>
        </w:rPr>
        <w:t>–</w:t>
      </w:r>
      <w:r w:rsidRPr="002B7CEB">
        <w:rPr>
          <w:rFonts w:asciiTheme="minorHAnsi" w:hAnsiTheme="minorHAnsi"/>
        </w:rPr>
        <w:t>864.</w:t>
      </w:r>
    </w:p>
    <w:p w14:paraId="55C184F6" w14:textId="3DF66D76" w:rsidR="00B906E9" w:rsidRPr="002B7CEB" w:rsidRDefault="00B906E9" w:rsidP="004C79C1">
      <w:pPr>
        <w:pStyle w:val="EndNoteBibliography"/>
        <w:spacing w:after="120"/>
        <w:jc w:val="both"/>
        <w:rPr>
          <w:rFonts w:asciiTheme="minorHAnsi" w:hAnsiTheme="minorHAnsi"/>
        </w:rPr>
      </w:pPr>
      <w:bookmarkStart w:id="1195" w:name="_ENREF_127"/>
      <w:bookmarkEnd w:id="1194"/>
      <w:r w:rsidRPr="002B7CEB">
        <w:rPr>
          <w:rFonts w:asciiTheme="minorHAnsi" w:hAnsiTheme="minorHAnsi"/>
        </w:rPr>
        <w:t xml:space="preserve">Taylor, MR, Carniel, E &amp; Mestroni, L 2006, 'Cardiomyopathy, familial dilated', </w:t>
      </w:r>
      <w:r w:rsidRPr="002B7CEB">
        <w:rPr>
          <w:rFonts w:asciiTheme="minorHAnsi" w:hAnsiTheme="minorHAnsi"/>
          <w:i/>
        </w:rPr>
        <w:t>Orphanet J</w:t>
      </w:r>
      <w:r w:rsidR="0088676C" w:rsidRPr="002B7CEB">
        <w:rPr>
          <w:rFonts w:asciiTheme="minorHAnsi" w:hAnsiTheme="minorHAnsi"/>
          <w:i/>
        </w:rPr>
        <w:t>ournal of</w:t>
      </w:r>
      <w:r w:rsidRPr="002B7CEB">
        <w:rPr>
          <w:rFonts w:asciiTheme="minorHAnsi" w:hAnsiTheme="minorHAnsi"/>
          <w:i/>
        </w:rPr>
        <w:t xml:space="preserve"> Rare Dis</w:t>
      </w:r>
      <w:r w:rsidR="0088676C" w:rsidRPr="002B7CEB">
        <w:rPr>
          <w:rFonts w:asciiTheme="minorHAnsi" w:hAnsiTheme="minorHAnsi"/>
          <w:i/>
        </w:rPr>
        <w:t>eases</w:t>
      </w:r>
      <w:r w:rsidRPr="002B7CEB">
        <w:rPr>
          <w:rFonts w:asciiTheme="minorHAnsi" w:hAnsiTheme="minorHAnsi"/>
        </w:rPr>
        <w:t>, vol. 1, p. 27.</w:t>
      </w:r>
    </w:p>
    <w:bookmarkEnd w:id="1195"/>
    <w:p w14:paraId="269239F1" w14:textId="16A1A88C" w:rsidR="00160B7B" w:rsidRPr="002B7CEB" w:rsidRDefault="00160B7B" w:rsidP="004C79C1">
      <w:pPr>
        <w:pStyle w:val="EndNoteBibliography"/>
        <w:spacing w:after="120"/>
        <w:jc w:val="both"/>
        <w:rPr>
          <w:rFonts w:asciiTheme="minorHAnsi" w:hAnsiTheme="minorHAnsi"/>
        </w:rPr>
      </w:pPr>
      <w:r w:rsidRPr="002B7CEB">
        <w:rPr>
          <w:rFonts w:asciiTheme="minorHAnsi" w:hAnsiTheme="minorHAnsi"/>
        </w:rPr>
        <w:t xml:space="preserve">Thanigaraj, S, Nease, RF, Jr., Schechtman, KB, Wade, RL, Loslo, S &amp; Perez, JE 2001, 'Use of contrast for image enhancement during stress echocardiography is cost-effective and reduces additional diagnostic testing', </w:t>
      </w:r>
      <w:r w:rsidRPr="002B7CEB">
        <w:rPr>
          <w:rFonts w:asciiTheme="minorHAnsi" w:hAnsiTheme="minorHAnsi"/>
          <w:i/>
        </w:rPr>
        <w:t>Am</w:t>
      </w:r>
      <w:r w:rsidR="00237E99">
        <w:rPr>
          <w:rFonts w:asciiTheme="minorHAnsi" w:hAnsiTheme="minorHAnsi"/>
          <w:i/>
        </w:rPr>
        <w:t>erican</w:t>
      </w:r>
      <w:r w:rsidRPr="002B7CEB">
        <w:rPr>
          <w:rFonts w:asciiTheme="minorHAnsi" w:hAnsiTheme="minorHAnsi"/>
          <w:i/>
        </w:rPr>
        <w:t xml:space="preserve"> J</w:t>
      </w:r>
      <w:r w:rsidR="00926BBE">
        <w:rPr>
          <w:rFonts w:asciiTheme="minorHAnsi" w:hAnsiTheme="minorHAnsi"/>
          <w:i/>
        </w:rPr>
        <w:t>ournal of</w:t>
      </w:r>
      <w:r w:rsidRPr="002B7CEB">
        <w:rPr>
          <w:rFonts w:asciiTheme="minorHAnsi" w:hAnsiTheme="minorHAnsi"/>
          <w:i/>
        </w:rPr>
        <w:t xml:space="preserve"> Cardiol</w:t>
      </w:r>
      <w:r w:rsidR="00926BBE">
        <w:rPr>
          <w:rFonts w:asciiTheme="minorHAnsi" w:hAnsiTheme="minorHAnsi"/>
          <w:i/>
        </w:rPr>
        <w:t>ogy</w:t>
      </w:r>
      <w:r w:rsidRPr="002B7CEB">
        <w:rPr>
          <w:rFonts w:asciiTheme="minorHAnsi" w:hAnsiTheme="minorHAnsi"/>
        </w:rPr>
        <w:t xml:space="preserve">, vol. 87, no. 12, </w:t>
      </w:r>
      <w:r w:rsidR="002C2B10" w:rsidRPr="00104111">
        <w:rPr>
          <w:rFonts w:asciiTheme="minorHAnsi" w:hAnsiTheme="minorHAnsi"/>
        </w:rPr>
        <w:t>pp. 1430</w:t>
      </w:r>
      <w:r w:rsidR="002C2B10">
        <w:rPr>
          <w:rFonts w:asciiTheme="minorHAnsi" w:hAnsiTheme="minorHAnsi"/>
        </w:rPr>
        <w:t>–</w:t>
      </w:r>
      <w:r w:rsidRPr="002B7CEB">
        <w:rPr>
          <w:rFonts w:asciiTheme="minorHAnsi" w:hAnsiTheme="minorHAnsi"/>
        </w:rPr>
        <w:t>1432.</w:t>
      </w:r>
    </w:p>
    <w:p w14:paraId="52C58A99" w14:textId="77777777" w:rsidR="00160B7B" w:rsidRPr="002B7CEB" w:rsidRDefault="00160B7B" w:rsidP="004C79C1">
      <w:pPr>
        <w:pStyle w:val="EndNoteBibliography"/>
        <w:spacing w:after="120"/>
        <w:jc w:val="both"/>
        <w:rPr>
          <w:highlight w:val="yellow"/>
        </w:rPr>
      </w:pPr>
    </w:p>
    <w:p w14:paraId="7F62E453" w14:textId="1AA2532D" w:rsidR="00160B7B" w:rsidRPr="002B7CEB" w:rsidRDefault="00160B7B" w:rsidP="004C79C1">
      <w:pPr>
        <w:pStyle w:val="EndNoteBibliography"/>
        <w:spacing w:after="120"/>
        <w:jc w:val="both"/>
        <w:rPr>
          <w:rFonts w:asciiTheme="minorHAnsi" w:hAnsiTheme="minorHAnsi"/>
        </w:rPr>
      </w:pPr>
      <w:r w:rsidRPr="002B7CEB">
        <w:rPr>
          <w:rFonts w:asciiTheme="minorHAnsi" w:hAnsiTheme="minorHAnsi"/>
        </w:rPr>
        <w:t xml:space="preserve">Thavaneswaran, P, Cameron, A, Vandepeer, M &amp; Norman, R 2010, </w:t>
      </w:r>
      <w:r w:rsidRPr="002B7CEB">
        <w:rPr>
          <w:rFonts w:asciiTheme="minorHAnsi" w:hAnsiTheme="minorHAnsi"/>
          <w:i/>
        </w:rPr>
        <w:t>Second-generation contrast agents for use in patients with suboptimal echocardiograms</w:t>
      </w:r>
      <w:r w:rsidRPr="002B7CEB">
        <w:rPr>
          <w:rFonts w:asciiTheme="minorHAnsi" w:hAnsiTheme="minorHAnsi"/>
        </w:rPr>
        <w:t>,</w:t>
      </w:r>
      <w:r w:rsidR="00D865BF" w:rsidRPr="0025565A">
        <w:rPr>
          <w:rFonts w:asciiTheme="minorHAnsi" w:hAnsiTheme="minorHAnsi"/>
        </w:rPr>
        <w:t xml:space="preserve"> MSAC </w:t>
      </w:r>
      <w:r w:rsidR="003D16DA" w:rsidRPr="0025565A">
        <w:rPr>
          <w:rFonts w:asciiTheme="minorHAnsi" w:hAnsiTheme="minorHAnsi"/>
        </w:rPr>
        <w:t>A</w:t>
      </w:r>
      <w:r w:rsidRPr="002B7CEB">
        <w:rPr>
          <w:rFonts w:asciiTheme="minorHAnsi" w:hAnsiTheme="minorHAnsi"/>
        </w:rPr>
        <w:t xml:space="preserve">pplication </w:t>
      </w:r>
      <w:r w:rsidR="00D865BF" w:rsidRPr="00FA186D">
        <w:rPr>
          <w:rFonts w:asciiTheme="minorHAnsi" w:hAnsiTheme="minorHAnsi"/>
        </w:rPr>
        <w:t xml:space="preserve">no. </w:t>
      </w:r>
      <w:r w:rsidRPr="002B7CEB">
        <w:rPr>
          <w:rFonts w:asciiTheme="minorHAnsi" w:hAnsiTheme="minorHAnsi"/>
        </w:rPr>
        <w:t>1129, Medical Services Advisory Committee, Canberra.</w:t>
      </w:r>
    </w:p>
    <w:p w14:paraId="7DE8995F" w14:textId="02BBE10D" w:rsidR="00B906E9" w:rsidRPr="002B7CEB" w:rsidRDefault="00B906E9" w:rsidP="004C79C1">
      <w:pPr>
        <w:pStyle w:val="EndNoteBibliography"/>
        <w:spacing w:after="120"/>
        <w:jc w:val="both"/>
        <w:rPr>
          <w:rFonts w:asciiTheme="minorHAnsi" w:hAnsiTheme="minorHAnsi"/>
        </w:rPr>
      </w:pPr>
      <w:bookmarkStart w:id="1196" w:name="_ENREF_128"/>
      <w:r w:rsidRPr="002B7CEB">
        <w:rPr>
          <w:rFonts w:asciiTheme="minorHAnsi" w:hAnsiTheme="minorHAnsi"/>
        </w:rPr>
        <w:t xml:space="preserve">Theuns, DA, Smith, T, Hunink, MG, Bardy, GH &amp; Jordaens, L 2010, 'Effectiveness of prophylactic implantation of </w:t>
      </w:r>
      <w:r w:rsidR="0026063B">
        <w:rPr>
          <w:rFonts w:asciiTheme="minorHAnsi" w:hAnsiTheme="minorHAnsi"/>
        </w:rPr>
        <w:t>cardioverter defibrillator</w:t>
      </w:r>
      <w:r w:rsidRPr="002B7CEB">
        <w:rPr>
          <w:rFonts w:asciiTheme="minorHAnsi" w:hAnsiTheme="minorHAnsi"/>
        </w:rPr>
        <w:t xml:space="preserve">s without cardiac resynchronization therapy in patients with ischaemic or non-ischaemic heart disease: a systematic review and meta-analysis', </w:t>
      </w:r>
      <w:r w:rsidRPr="002B7CEB">
        <w:rPr>
          <w:rFonts w:asciiTheme="minorHAnsi" w:hAnsiTheme="minorHAnsi"/>
          <w:i/>
        </w:rPr>
        <w:t>Europace</w:t>
      </w:r>
      <w:r w:rsidRPr="002B7CEB">
        <w:rPr>
          <w:rFonts w:asciiTheme="minorHAnsi" w:hAnsiTheme="minorHAnsi"/>
        </w:rPr>
        <w:t>, vol. 12, no. 11, pp. 1564</w:t>
      </w:r>
      <w:r w:rsidR="0088676C" w:rsidRPr="002B7CEB">
        <w:rPr>
          <w:rFonts w:asciiTheme="minorHAnsi" w:hAnsiTheme="minorHAnsi"/>
        </w:rPr>
        <w:t>–</w:t>
      </w:r>
      <w:r w:rsidRPr="002B7CEB">
        <w:rPr>
          <w:rFonts w:asciiTheme="minorHAnsi" w:hAnsiTheme="minorHAnsi"/>
        </w:rPr>
        <w:t>1570.</w:t>
      </w:r>
    </w:p>
    <w:p w14:paraId="21DD313E" w14:textId="1F29198D" w:rsidR="00B906E9" w:rsidRPr="002B7CEB" w:rsidRDefault="00B906E9" w:rsidP="004C79C1">
      <w:pPr>
        <w:pStyle w:val="EndNoteBibliography"/>
        <w:spacing w:after="120"/>
        <w:jc w:val="both"/>
        <w:rPr>
          <w:rFonts w:asciiTheme="minorHAnsi" w:hAnsiTheme="minorHAnsi"/>
        </w:rPr>
      </w:pPr>
      <w:bookmarkStart w:id="1197" w:name="_ENREF_129"/>
      <w:bookmarkEnd w:id="1196"/>
      <w:r w:rsidRPr="002B7CEB">
        <w:rPr>
          <w:rFonts w:asciiTheme="minorHAnsi" w:hAnsiTheme="minorHAnsi"/>
        </w:rPr>
        <w:t xml:space="preserve">Uhlig, K, Balk, EM, Earley, A, Persson, R, Garlitski, AC, Chen, M, Lamont, JL, Miligkos, M &amp; Avendano, EE 2013, </w:t>
      </w:r>
      <w:r w:rsidRPr="002B7CEB">
        <w:rPr>
          <w:rFonts w:asciiTheme="minorHAnsi" w:hAnsiTheme="minorHAnsi"/>
          <w:i/>
        </w:rPr>
        <w:t xml:space="preserve">Assessment on </w:t>
      </w:r>
      <w:r w:rsidR="0088676C" w:rsidRPr="002B7CEB">
        <w:rPr>
          <w:rFonts w:asciiTheme="minorHAnsi" w:hAnsiTheme="minorHAnsi"/>
          <w:i/>
        </w:rPr>
        <w:t>implantable defibrillators and the evidence for primary prevention of sudden cardiac death</w:t>
      </w:r>
      <w:r w:rsidR="00C610F1" w:rsidRPr="002B7CEB">
        <w:rPr>
          <w:rFonts w:asciiTheme="minorHAnsi" w:hAnsiTheme="minorHAnsi"/>
          <w:i/>
        </w:rPr>
        <w:t>,</w:t>
      </w:r>
      <w:r w:rsidRPr="002B7CEB">
        <w:rPr>
          <w:rFonts w:asciiTheme="minorHAnsi" w:hAnsiTheme="minorHAnsi"/>
          <w:i/>
        </w:rPr>
        <w:t xml:space="preserve"> </w:t>
      </w:r>
      <w:r w:rsidRPr="002B7CEB">
        <w:rPr>
          <w:rFonts w:asciiTheme="minorHAnsi" w:hAnsiTheme="minorHAnsi"/>
        </w:rPr>
        <w:t>Evidence Report</w:t>
      </w:r>
      <w:r w:rsidR="00C610F1" w:rsidRPr="002B7CEB">
        <w:rPr>
          <w:rFonts w:asciiTheme="minorHAnsi" w:hAnsiTheme="minorHAnsi"/>
        </w:rPr>
        <w:t xml:space="preserve"> </w:t>
      </w:r>
      <w:r w:rsidRPr="002B7CEB">
        <w:rPr>
          <w:rFonts w:asciiTheme="minorHAnsi" w:hAnsiTheme="minorHAnsi"/>
        </w:rPr>
        <w:t>/</w:t>
      </w:r>
      <w:r w:rsidR="00C610F1" w:rsidRPr="002B7CEB">
        <w:rPr>
          <w:rFonts w:asciiTheme="minorHAnsi" w:hAnsiTheme="minorHAnsi"/>
        </w:rPr>
        <w:t xml:space="preserve"> </w:t>
      </w:r>
      <w:r w:rsidRPr="002B7CEB">
        <w:rPr>
          <w:rFonts w:asciiTheme="minorHAnsi" w:hAnsiTheme="minorHAnsi"/>
        </w:rPr>
        <w:t>Technology Assessment No. CRDT0511, Agency for Healthcare Research and Quality, Rockville, MD</w:t>
      </w:r>
      <w:r w:rsidR="00C610F1" w:rsidRPr="002B7CEB">
        <w:rPr>
          <w:rFonts w:asciiTheme="minorHAnsi" w:hAnsiTheme="minorHAnsi"/>
        </w:rPr>
        <w:t>, USA</w:t>
      </w:r>
      <w:r w:rsidRPr="002B7CEB">
        <w:rPr>
          <w:rFonts w:asciiTheme="minorHAnsi" w:hAnsiTheme="minorHAnsi"/>
        </w:rPr>
        <w:t>.</w:t>
      </w:r>
    </w:p>
    <w:p w14:paraId="55300372" w14:textId="4BE0C71A" w:rsidR="00B906E9" w:rsidRPr="002B7CEB" w:rsidRDefault="00B906E9" w:rsidP="004C79C1">
      <w:pPr>
        <w:pStyle w:val="EndNoteBibliography"/>
        <w:spacing w:after="120"/>
        <w:jc w:val="both"/>
        <w:rPr>
          <w:rFonts w:asciiTheme="minorHAnsi" w:hAnsiTheme="minorHAnsi"/>
        </w:rPr>
      </w:pPr>
      <w:bookmarkStart w:id="1198" w:name="_ENREF_130"/>
      <w:bookmarkEnd w:id="1197"/>
      <w:r w:rsidRPr="002B7CEB">
        <w:rPr>
          <w:rFonts w:asciiTheme="minorHAnsi" w:hAnsiTheme="minorHAnsi"/>
        </w:rPr>
        <w:t xml:space="preserve">Valle-Munoz, A, Estornell-Erill, J, Soriano-Navarro, CJ, Nadal-Barange, M, Martinez-Alzamora, N, Pomar-Domingo, F, Corbi-Pascual, M, Paya-Serrano, R &amp; Ridocci-Soriano, F 2009, 'Late gadolinium enhancement-cardiovascular magnetic resonance identifies coronary artery disease as the aetiology of left ventricular dysfunction in acute new-onset congestive heart failure', </w:t>
      </w:r>
      <w:r w:rsidRPr="002B7CEB">
        <w:rPr>
          <w:rFonts w:asciiTheme="minorHAnsi" w:hAnsiTheme="minorHAnsi"/>
          <w:i/>
        </w:rPr>
        <w:t>Eur</w:t>
      </w:r>
      <w:r w:rsidR="00C610F1" w:rsidRPr="002B7CEB">
        <w:rPr>
          <w:rFonts w:asciiTheme="minorHAnsi" w:hAnsiTheme="minorHAnsi"/>
          <w:i/>
        </w:rPr>
        <w:t>opean</w:t>
      </w:r>
      <w:r w:rsidRPr="002B7CEB">
        <w:rPr>
          <w:rFonts w:asciiTheme="minorHAnsi" w:hAnsiTheme="minorHAnsi"/>
          <w:i/>
        </w:rPr>
        <w:t xml:space="preserve"> J</w:t>
      </w:r>
      <w:r w:rsidR="00C610F1" w:rsidRPr="002B7CEB">
        <w:rPr>
          <w:rFonts w:asciiTheme="minorHAnsi" w:hAnsiTheme="minorHAnsi"/>
          <w:i/>
        </w:rPr>
        <w:t>ournal of</w:t>
      </w:r>
      <w:r w:rsidRPr="002B7CEB">
        <w:rPr>
          <w:rFonts w:asciiTheme="minorHAnsi" w:hAnsiTheme="minorHAnsi"/>
          <w:i/>
        </w:rPr>
        <w:t xml:space="preserve"> Echocardiogr</w:t>
      </w:r>
      <w:r w:rsidR="00C610F1" w:rsidRPr="002B7CEB">
        <w:rPr>
          <w:rFonts w:asciiTheme="minorHAnsi" w:hAnsiTheme="minorHAnsi"/>
          <w:i/>
        </w:rPr>
        <w:t>aphy</w:t>
      </w:r>
      <w:r w:rsidRPr="002B7CEB">
        <w:rPr>
          <w:rFonts w:asciiTheme="minorHAnsi" w:hAnsiTheme="minorHAnsi"/>
        </w:rPr>
        <w:t>, vol. 10, no. 8, pp. 968</w:t>
      </w:r>
      <w:r w:rsidR="00C610F1" w:rsidRPr="002B7CEB">
        <w:rPr>
          <w:rFonts w:asciiTheme="minorHAnsi" w:hAnsiTheme="minorHAnsi"/>
        </w:rPr>
        <w:t>–</w:t>
      </w:r>
      <w:r w:rsidRPr="002B7CEB">
        <w:rPr>
          <w:rFonts w:asciiTheme="minorHAnsi" w:hAnsiTheme="minorHAnsi"/>
        </w:rPr>
        <w:t>974.</w:t>
      </w:r>
    </w:p>
    <w:p w14:paraId="6A2DEB44" w14:textId="51BE16AD" w:rsidR="00B906E9" w:rsidRPr="002B7CEB" w:rsidRDefault="00B906E9" w:rsidP="004C79C1">
      <w:pPr>
        <w:pStyle w:val="EndNoteBibliography"/>
        <w:spacing w:after="120"/>
        <w:jc w:val="both"/>
        <w:rPr>
          <w:rFonts w:asciiTheme="minorHAnsi" w:hAnsiTheme="minorHAnsi"/>
        </w:rPr>
      </w:pPr>
      <w:bookmarkStart w:id="1199" w:name="_ENREF_131"/>
      <w:bookmarkEnd w:id="1198"/>
      <w:r w:rsidRPr="002B7CEB">
        <w:rPr>
          <w:rFonts w:asciiTheme="minorHAnsi" w:hAnsiTheme="minorHAnsi"/>
        </w:rPr>
        <w:lastRenderedPageBreak/>
        <w:t xml:space="preserve">Varga, A, Garcia, MA, Picano, E &amp; International Stress Echo Complication, R 2006, 'Safety of stress echocardiography (from the International Stress Echo Complication Registry)', </w:t>
      </w:r>
      <w:r w:rsidRPr="002B7CEB">
        <w:rPr>
          <w:rFonts w:asciiTheme="minorHAnsi" w:hAnsiTheme="minorHAnsi"/>
          <w:i/>
        </w:rPr>
        <w:t>Am</w:t>
      </w:r>
      <w:r w:rsidR="00F36EB4" w:rsidRPr="002B7CEB">
        <w:rPr>
          <w:rFonts w:asciiTheme="minorHAnsi" w:hAnsiTheme="minorHAnsi"/>
          <w:i/>
        </w:rPr>
        <w:t>erican</w:t>
      </w:r>
      <w:r w:rsidRPr="002B7CEB">
        <w:rPr>
          <w:rFonts w:asciiTheme="minorHAnsi" w:hAnsiTheme="minorHAnsi"/>
          <w:i/>
        </w:rPr>
        <w:t xml:space="preserve"> J</w:t>
      </w:r>
      <w:r w:rsidR="00F36EB4" w:rsidRPr="002B7CEB">
        <w:rPr>
          <w:rFonts w:asciiTheme="minorHAnsi" w:hAnsiTheme="minorHAnsi"/>
          <w:i/>
        </w:rPr>
        <w:t>ournal of</w:t>
      </w:r>
      <w:r w:rsidRPr="002B7CEB">
        <w:rPr>
          <w:rFonts w:asciiTheme="minorHAnsi" w:hAnsiTheme="minorHAnsi"/>
          <w:i/>
        </w:rPr>
        <w:t xml:space="preserve"> Cardiol</w:t>
      </w:r>
      <w:r w:rsidR="00893D73" w:rsidRPr="002B7CEB">
        <w:rPr>
          <w:rFonts w:asciiTheme="minorHAnsi" w:hAnsiTheme="minorHAnsi"/>
          <w:i/>
        </w:rPr>
        <w:t>ogy</w:t>
      </w:r>
      <w:r w:rsidRPr="002B7CEB">
        <w:rPr>
          <w:rFonts w:asciiTheme="minorHAnsi" w:hAnsiTheme="minorHAnsi"/>
        </w:rPr>
        <w:t>, vol. 98, no. 4, pp. 541</w:t>
      </w:r>
      <w:r w:rsidR="00893D73" w:rsidRPr="002B7CEB">
        <w:rPr>
          <w:rFonts w:asciiTheme="minorHAnsi" w:hAnsiTheme="minorHAnsi"/>
        </w:rPr>
        <w:t>–</w:t>
      </w:r>
      <w:r w:rsidRPr="002B7CEB">
        <w:rPr>
          <w:rFonts w:asciiTheme="minorHAnsi" w:hAnsiTheme="minorHAnsi"/>
        </w:rPr>
        <w:t>543.</w:t>
      </w:r>
    </w:p>
    <w:p w14:paraId="163B5075" w14:textId="202A9E32" w:rsidR="00B906E9" w:rsidRPr="002B7CEB" w:rsidRDefault="00B906E9" w:rsidP="004C79C1">
      <w:pPr>
        <w:pStyle w:val="EndNoteBibliography"/>
        <w:spacing w:after="120"/>
        <w:jc w:val="both"/>
        <w:rPr>
          <w:rFonts w:asciiTheme="minorHAnsi" w:hAnsiTheme="minorHAnsi"/>
        </w:rPr>
      </w:pPr>
      <w:bookmarkStart w:id="1200" w:name="_ENREF_132"/>
      <w:bookmarkEnd w:id="1199"/>
      <w:r w:rsidRPr="002B7CEB">
        <w:rPr>
          <w:rFonts w:asciiTheme="minorHAnsi" w:hAnsiTheme="minorHAnsi"/>
        </w:rPr>
        <w:t>Voigt, A, Elgeti, T, Durmus, T, Idiz, ME, Butler, C, Beling, M, Schilling, R, Klingel, K, Kandolf, R, Stangl, K, Taupitz, M, Kivelitz, D &amp; Wagner, M 2011, 'Cardiac magnetic resonance imaging in dilated cardiomyopathy in adults</w:t>
      </w:r>
      <w:r w:rsidR="00AD55BC" w:rsidRPr="002B7CEB">
        <w:rPr>
          <w:rFonts w:asciiTheme="minorHAnsi" w:hAnsiTheme="minorHAnsi"/>
        </w:rPr>
        <w:t xml:space="preserve">: </w:t>
      </w:r>
      <w:r w:rsidRPr="002B7CEB">
        <w:rPr>
          <w:rFonts w:asciiTheme="minorHAnsi" w:hAnsiTheme="minorHAnsi"/>
        </w:rPr>
        <w:t xml:space="preserve">towards identification of myocardial inflammation', </w:t>
      </w:r>
      <w:r w:rsidRPr="002B7CEB">
        <w:rPr>
          <w:rFonts w:asciiTheme="minorHAnsi" w:hAnsiTheme="minorHAnsi"/>
          <w:i/>
        </w:rPr>
        <w:t>Eur</w:t>
      </w:r>
      <w:r w:rsidR="00AD55BC" w:rsidRPr="002B7CEB">
        <w:rPr>
          <w:rFonts w:asciiTheme="minorHAnsi" w:hAnsiTheme="minorHAnsi"/>
          <w:i/>
        </w:rPr>
        <w:t>opean</w:t>
      </w:r>
      <w:r w:rsidRPr="002B7CEB">
        <w:rPr>
          <w:rFonts w:asciiTheme="minorHAnsi" w:hAnsiTheme="minorHAnsi"/>
          <w:i/>
        </w:rPr>
        <w:t xml:space="preserve"> Radiol</w:t>
      </w:r>
      <w:r w:rsidR="00AD55BC" w:rsidRPr="002B7CEB">
        <w:rPr>
          <w:rFonts w:asciiTheme="minorHAnsi" w:hAnsiTheme="minorHAnsi"/>
          <w:i/>
        </w:rPr>
        <w:t>ogy</w:t>
      </w:r>
      <w:r w:rsidRPr="002B7CEB">
        <w:rPr>
          <w:rFonts w:asciiTheme="minorHAnsi" w:hAnsiTheme="minorHAnsi"/>
        </w:rPr>
        <w:t>, vol. 21, no. 5, pp. 925</w:t>
      </w:r>
      <w:r w:rsidR="00AD55BC" w:rsidRPr="002B7CEB">
        <w:rPr>
          <w:rFonts w:asciiTheme="minorHAnsi" w:hAnsiTheme="minorHAnsi"/>
        </w:rPr>
        <w:t>–</w:t>
      </w:r>
      <w:r w:rsidRPr="002B7CEB">
        <w:rPr>
          <w:rFonts w:asciiTheme="minorHAnsi" w:hAnsiTheme="minorHAnsi"/>
        </w:rPr>
        <w:t>935.</w:t>
      </w:r>
    </w:p>
    <w:p w14:paraId="47F090A4" w14:textId="66803D61" w:rsidR="00B906E9" w:rsidRPr="002B7CEB" w:rsidRDefault="00B906E9" w:rsidP="004C79C1">
      <w:pPr>
        <w:pStyle w:val="EndNoteBibliography"/>
        <w:spacing w:after="120"/>
        <w:jc w:val="both"/>
        <w:rPr>
          <w:rFonts w:asciiTheme="minorHAnsi" w:hAnsiTheme="minorHAnsi"/>
        </w:rPr>
      </w:pPr>
      <w:bookmarkStart w:id="1201" w:name="_ENREF_133"/>
      <w:bookmarkEnd w:id="1200"/>
      <w:r w:rsidRPr="002B7CEB">
        <w:rPr>
          <w:rFonts w:asciiTheme="minorHAnsi" w:hAnsiTheme="minorHAnsi"/>
        </w:rPr>
        <w:t xml:space="preserve">Wang, L, Ma, X, Xiang, L, Lu, M, Yan, C, Zhao, S &amp; Fang, W 2015, 'The characterization and prognostic significance of right ventricular glucose metabolism in non-ischemic dilated cardiomyopathy', </w:t>
      </w:r>
      <w:r w:rsidRPr="002B7CEB">
        <w:rPr>
          <w:rFonts w:asciiTheme="minorHAnsi" w:hAnsiTheme="minorHAnsi"/>
          <w:i/>
        </w:rPr>
        <w:t>J</w:t>
      </w:r>
      <w:r w:rsidR="00AD55BC" w:rsidRPr="002B7CEB">
        <w:rPr>
          <w:rFonts w:asciiTheme="minorHAnsi" w:hAnsiTheme="minorHAnsi"/>
          <w:i/>
        </w:rPr>
        <w:t>ournal of</w:t>
      </w:r>
      <w:r w:rsidRPr="002B7CEB">
        <w:rPr>
          <w:rFonts w:asciiTheme="minorHAnsi" w:hAnsiTheme="minorHAnsi"/>
          <w:i/>
        </w:rPr>
        <w:t xml:space="preserve"> Nucl</w:t>
      </w:r>
      <w:r w:rsidR="00AD55BC" w:rsidRPr="002B7CEB">
        <w:rPr>
          <w:rFonts w:asciiTheme="minorHAnsi" w:hAnsiTheme="minorHAnsi"/>
          <w:i/>
        </w:rPr>
        <w:t>ear</w:t>
      </w:r>
      <w:r w:rsidRPr="002B7CEB">
        <w:rPr>
          <w:rFonts w:asciiTheme="minorHAnsi" w:hAnsiTheme="minorHAnsi"/>
          <w:i/>
        </w:rPr>
        <w:t xml:space="preserve"> Cardiol</w:t>
      </w:r>
      <w:r w:rsidR="00AD55BC" w:rsidRPr="002B7CEB">
        <w:rPr>
          <w:rFonts w:asciiTheme="minorHAnsi" w:hAnsiTheme="minorHAnsi"/>
          <w:i/>
        </w:rPr>
        <w:t>ogy</w:t>
      </w:r>
      <w:r w:rsidRPr="002B7CEB">
        <w:rPr>
          <w:rFonts w:asciiTheme="minorHAnsi" w:hAnsiTheme="minorHAnsi"/>
        </w:rPr>
        <w:t>, p. [Epub ahead of print].</w:t>
      </w:r>
    </w:p>
    <w:p w14:paraId="7136349A" w14:textId="53CA2738" w:rsidR="00B906E9" w:rsidRPr="002B7CEB" w:rsidRDefault="00B906E9" w:rsidP="004C79C1">
      <w:pPr>
        <w:pStyle w:val="EndNoteBibliography"/>
        <w:spacing w:after="120"/>
        <w:jc w:val="both"/>
        <w:rPr>
          <w:rFonts w:asciiTheme="minorHAnsi" w:hAnsiTheme="minorHAnsi"/>
        </w:rPr>
      </w:pPr>
      <w:bookmarkStart w:id="1202" w:name="_ENREF_134"/>
      <w:bookmarkEnd w:id="1201"/>
      <w:r w:rsidRPr="002B7CEB">
        <w:rPr>
          <w:rFonts w:asciiTheme="minorHAnsi" w:hAnsiTheme="minorHAnsi"/>
        </w:rPr>
        <w:t xml:space="preserve">Whiting, PF, Rutjes, AW, Westwood, ME, Mallett, S, Deeks, JJ, Reitsma, JB, Leeflang, MM, Sterne, JA &amp; Bossuyt, PM 2011, 'QUADAS-2: a revised tool for the quality assessment of diagnostic accuracy studies', </w:t>
      </w:r>
      <w:r w:rsidRPr="002B7CEB">
        <w:rPr>
          <w:rFonts w:asciiTheme="minorHAnsi" w:hAnsiTheme="minorHAnsi"/>
          <w:i/>
        </w:rPr>
        <w:t>Annals of Internal Medicine</w:t>
      </w:r>
      <w:r w:rsidRPr="002B7CEB">
        <w:rPr>
          <w:rFonts w:asciiTheme="minorHAnsi" w:hAnsiTheme="minorHAnsi"/>
        </w:rPr>
        <w:t>, vol. 155, no. 8, pp. 529–536.</w:t>
      </w:r>
    </w:p>
    <w:p w14:paraId="0B266492" w14:textId="74BCCA57" w:rsidR="00B906E9" w:rsidRPr="002B7CEB" w:rsidRDefault="00B906E9" w:rsidP="004C79C1">
      <w:pPr>
        <w:pStyle w:val="EndNoteBibliography"/>
        <w:spacing w:after="120"/>
        <w:jc w:val="both"/>
        <w:rPr>
          <w:rFonts w:asciiTheme="minorHAnsi" w:hAnsiTheme="minorHAnsi"/>
        </w:rPr>
      </w:pPr>
      <w:bookmarkStart w:id="1203" w:name="_ENREF_135"/>
      <w:bookmarkEnd w:id="1202"/>
      <w:r w:rsidRPr="002B7CEB">
        <w:rPr>
          <w:rFonts w:asciiTheme="minorHAnsi" w:hAnsiTheme="minorHAnsi"/>
        </w:rPr>
        <w:t xml:space="preserve">Wilkoff, BL, Williamson, BD, Stern, RS, Moore, SL, Lu, F, Lee, SW, Birgersdotter-Green, UM, Wathen, MS, Van Gelder, IC, Heubner, BM, Brown, ML, Holloman, KK &amp; Investigators, PS 2008, 'Strategic programming of detection and therapy parameters in implantable </w:t>
      </w:r>
      <w:r w:rsidR="0026063B">
        <w:rPr>
          <w:rFonts w:asciiTheme="minorHAnsi" w:hAnsiTheme="minorHAnsi"/>
        </w:rPr>
        <w:t>cardioverter defibrillator</w:t>
      </w:r>
      <w:r w:rsidRPr="002B7CEB">
        <w:rPr>
          <w:rFonts w:asciiTheme="minorHAnsi" w:hAnsiTheme="minorHAnsi"/>
        </w:rPr>
        <w:t xml:space="preserve">s reduces shocks in primary prevention patients: results from the PREPARE (Primary Prevention Parameters Evaluation) study', </w:t>
      </w:r>
      <w:r w:rsidRPr="002B7CEB">
        <w:rPr>
          <w:rFonts w:asciiTheme="minorHAnsi" w:hAnsiTheme="minorHAnsi"/>
          <w:i/>
        </w:rPr>
        <w:t>J</w:t>
      </w:r>
      <w:r w:rsidR="007E584F" w:rsidRPr="002B7CEB">
        <w:rPr>
          <w:rFonts w:asciiTheme="minorHAnsi" w:hAnsiTheme="minorHAnsi"/>
          <w:i/>
        </w:rPr>
        <w:t>ournal of the</w:t>
      </w:r>
      <w:r w:rsidRPr="002B7CEB">
        <w:rPr>
          <w:rFonts w:asciiTheme="minorHAnsi" w:hAnsiTheme="minorHAnsi"/>
          <w:i/>
        </w:rPr>
        <w:t xml:space="preserve"> Am</w:t>
      </w:r>
      <w:r w:rsidR="007E584F" w:rsidRPr="002B7CEB">
        <w:rPr>
          <w:rFonts w:asciiTheme="minorHAnsi" w:hAnsiTheme="minorHAnsi"/>
          <w:i/>
        </w:rPr>
        <w:t>erican</w:t>
      </w:r>
      <w:r w:rsidRPr="002B7CEB">
        <w:rPr>
          <w:rFonts w:asciiTheme="minorHAnsi" w:hAnsiTheme="minorHAnsi"/>
          <w:i/>
        </w:rPr>
        <w:t xml:space="preserve"> Coll</w:t>
      </w:r>
      <w:r w:rsidR="007E584F" w:rsidRPr="002B7CEB">
        <w:rPr>
          <w:rFonts w:asciiTheme="minorHAnsi" w:hAnsiTheme="minorHAnsi"/>
          <w:i/>
        </w:rPr>
        <w:t>ege of</w:t>
      </w:r>
      <w:r w:rsidRPr="002B7CEB">
        <w:rPr>
          <w:rFonts w:asciiTheme="minorHAnsi" w:hAnsiTheme="minorHAnsi"/>
          <w:i/>
        </w:rPr>
        <w:t xml:space="preserve"> Cardiol</w:t>
      </w:r>
      <w:r w:rsidR="007E584F" w:rsidRPr="002B7CEB">
        <w:rPr>
          <w:rFonts w:asciiTheme="minorHAnsi" w:hAnsiTheme="minorHAnsi"/>
          <w:i/>
        </w:rPr>
        <w:t>ogy</w:t>
      </w:r>
      <w:r w:rsidRPr="002B7CEB">
        <w:rPr>
          <w:rFonts w:asciiTheme="minorHAnsi" w:hAnsiTheme="minorHAnsi"/>
        </w:rPr>
        <w:t>, vol. 52, no. 7, pp. 541</w:t>
      </w:r>
      <w:r w:rsidR="007E584F" w:rsidRPr="002B7CEB">
        <w:rPr>
          <w:rFonts w:asciiTheme="minorHAnsi" w:hAnsiTheme="minorHAnsi"/>
        </w:rPr>
        <w:t>–</w:t>
      </w:r>
      <w:r w:rsidRPr="002B7CEB">
        <w:rPr>
          <w:rFonts w:asciiTheme="minorHAnsi" w:hAnsiTheme="minorHAnsi"/>
        </w:rPr>
        <w:t>550.</w:t>
      </w:r>
    </w:p>
    <w:p w14:paraId="7C82F96D" w14:textId="77777777" w:rsidR="00B906E9" w:rsidRPr="002B7CEB" w:rsidRDefault="00B906E9" w:rsidP="004C79C1">
      <w:pPr>
        <w:pStyle w:val="EndNoteBibliography"/>
        <w:spacing w:after="120"/>
        <w:jc w:val="both"/>
        <w:rPr>
          <w:rFonts w:asciiTheme="minorHAnsi" w:hAnsiTheme="minorHAnsi"/>
        </w:rPr>
      </w:pPr>
      <w:bookmarkStart w:id="1204" w:name="_ENREF_136"/>
      <w:bookmarkEnd w:id="1203"/>
      <w:r w:rsidRPr="002B7CEB">
        <w:rPr>
          <w:rFonts w:asciiTheme="minorHAnsi" w:hAnsiTheme="minorHAnsi"/>
        </w:rPr>
        <w:t xml:space="preserve">Windecker, S, Stortecky, S, Stefanini, GG, da Costa, BR, Rutjes, AW, Di Nisio, M, Silletta, MG, Maione, A, Alfonso, F, Clemmensen, PM, Collet, JP, Cremer, J, Falk, V, Filippatos, G, Hamm, C, Head, S, Kappetein, AP, Kastrati, A, Knuuti, J, Landmesser, U, Laufer, G, Neumann, FJ, Richter, D, Schauerte, P, Sousa Uva, M, Taggart, DP, Torracca, L, Valgimigli, M, Wijns, W, Witkowski, A, Kolh, P &amp; Juni, P 2014, 'Revascularisation versus medical treatment in patients with stable coronary artery disease: network meta-analysis', </w:t>
      </w:r>
      <w:r w:rsidRPr="002B7CEB">
        <w:rPr>
          <w:rFonts w:asciiTheme="minorHAnsi" w:hAnsiTheme="minorHAnsi"/>
          <w:i/>
        </w:rPr>
        <w:t>BMJ</w:t>
      </w:r>
      <w:r w:rsidRPr="002B7CEB">
        <w:rPr>
          <w:rFonts w:asciiTheme="minorHAnsi" w:hAnsiTheme="minorHAnsi"/>
        </w:rPr>
        <w:t>, vol. 348, p. g3859.</w:t>
      </w:r>
    </w:p>
    <w:p w14:paraId="79745AD0" w14:textId="3D3FCB13" w:rsidR="00B906E9" w:rsidRPr="002B7CEB" w:rsidRDefault="00B906E9" w:rsidP="004C79C1">
      <w:pPr>
        <w:pStyle w:val="EndNoteBibliography"/>
        <w:spacing w:after="120"/>
        <w:jc w:val="both"/>
        <w:rPr>
          <w:rFonts w:asciiTheme="minorHAnsi" w:hAnsiTheme="minorHAnsi"/>
        </w:rPr>
      </w:pPr>
      <w:bookmarkStart w:id="1205" w:name="_ENREF_137"/>
      <w:bookmarkEnd w:id="1204"/>
      <w:r w:rsidRPr="002B7CEB">
        <w:rPr>
          <w:rFonts w:asciiTheme="minorHAnsi" w:hAnsiTheme="minorHAnsi"/>
        </w:rPr>
        <w:t xml:space="preserve">Won, E, Donnino, R, Srichai, MB, Sedlis, SP, Feit, F, Rolnitzky, L, Miller, LH, Iqbal, SN, Axel, L, Nguyen, B, Slater, J &amp; Shah, B 2015, 'Diagnostic </w:t>
      </w:r>
      <w:r w:rsidR="007E584F" w:rsidRPr="002B7CEB">
        <w:rPr>
          <w:rFonts w:asciiTheme="minorHAnsi" w:hAnsiTheme="minorHAnsi"/>
        </w:rPr>
        <w:t>accuracy of cardiac magnetic resonance imaging in the evaluation of newly diagnosed heart failure with reduced left ventricular ejection fraction</w:t>
      </w:r>
      <w:r w:rsidRPr="002B7CEB">
        <w:rPr>
          <w:rFonts w:asciiTheme="minorHAnsi" w:hAnsiTheme="minorHAnsi"/>
        </w:rPr>
        <w:t xml:space="preserve">', </w:t>
      </w:r>
      <w:r w:rsidRPr="002B7CEB">
        <w:rPr>
          <w:rFonts w:asciiTheme="minorHAnsi" w:hAnsiTheme="minorHAnsi"/>
          <w:i/>
        </w:rPr>
        <w:t>Am</w:t>
      </w:r>
      <w:r w:rsidR="007E584F" w:rsidRPr="002B7CEB">
        <w:rPr>
          <w:rFonts w:asciiTheme="minorHAnsi" w:hAnsiTheme="minorHAnsi"/>
          <w:i/>
        </w:rPr>
        <w:t>erican</w:t>
      </w:r>
      <w:r w:rsidRPr="002B7CEB">
        <w:rPr>
          <w:rFonts w:asciiTheme="minorHAnsi" w:hAnsiTheme="minorHAnsi"/>
          <w:i/>
        </w:rPr>
        <w:t xml:space="preserve"> J</w:t>
      </w:r>
      <w:r w:rsidR="007E584F" w:rsidRPr="002B7CEB">
        <w:rPr>
          <w:rFonts w:asciiTheme="minorHAnsi" w:hAnsiTheme="minorHAnsi"/>
          <w:i/>
        </w:rPr>
        <w:t>ournal of</w:t>
      </w:r>
      <w:r w:rsidRPr="002B7CEB">
        <w:rPr>
          <w:rFonts w:asciiTheme="minorHAnsi" w:hAnsiTheme="minorHAnsi"/>
          <w:i/>
        </w:rPr>
        <w:t xml:space="preserve"> Cardiol</w:t>
      </w:r>
      <w:r w:rsidR="007E584F" w:rsidRPr="002B7CEB">
        <w:rPr>
          <w:rFonts w:asciiTheme="minorHAnsi" w:hAnsiTheme="minorHAnsi"/>
          <w:i/>
        </w:rPr>
        <w:t>ogy</w:t>
      </w:r>
      <w:r w:rsidRPr="002B7CEB">
        <w:rPr>
          <w:rFonts w:asciiTheme="minorHAnsi" w:hAnsiTheme="minorHAnsi"/>
        </w:rPr>
        <w:t>, vol. 116, no. 7, pp. 1082</w:t>
      </w:r>
      <w:r w:rsidR="007E584F" w:rsidRPr="002B7CEB">
        <w:rPr>
          <w:rFonts w:asciiTheme="minorHAnsi" w:hAnsiTheme="minorHAnsi"/>
        </w:rPr>
        <w:t>–</w:t>
      </w:r>
      <w:r w:rsidRPr="002B7CEB">
        <w:rPr>
          <w:rFonts w:asciiTheme="minorHAnsi" w:hAnsiTheme="minorHAnsi"/>
        </w:rPr>
        <w:t>1087.</w:t>
      </w:r>
    </w:p>
    <w:p w14:paraId="5F835AC9" w14:textId="7160D4EB" w:rsidR="00B906E9" w:rsidRPr="002B7CEB" w:rsidRDefault="00B906E9" w:rsidP="004C79C1">
      <w:pPr>
        <w:pStyle w:val="EndNoteBibliography"/>
        <w:spacing w:after="120"/>
        <w:jc w:val="both"/>
        <w:rPr>
          <w:rFonts w:asciiTheme="minorHAnsi" w:hAnsiTheme="minorHAnsi"/>
        </w:rPr>
      </w:pPr>
      <w:bookmarkStart w:id="1206" w:name="_ENREF_138"/>
      <w:bookmarkEnd w:id="1205"/>
      <w:r w:rsidRPr="002B7CEB">
        <w:rPr>
          <w:rFonts w:asciiTheme="minorHAnsi" w:hAnsiTheme="minorHAnsi"/>
        </w:rPr>
        <w:t xml:space="preserve">Wu, E, Judd, RM, Vargas, JD, Klocke, FJ, Bonow, RO &amp; Kim, RJ 2001, 'Visualisation of presence, location, and transmural extent of healed Q-wave and non-Q-wave myocardial infarction', </w:t>
      </w:r>
      <w:r w:rsidRPr="002B7CEB">
        <w:rPr>
          <w:rFonts w:asciiTheme="minorHAnsi" w:hAnsiTheme="minorHAnsi"/>
          <w:i/>
        </w:rPr>
        <w:t>Lancet</w:t>
      </w:r>
      <w:r w:rsidRPr="002B7CEB">
        <w:rPr>
          <w:rFonts w:asciiTheme="minorHAnsi" w:hAnsiTheme="minorHAnsi"/>
        </w:rPr>
        <w:t>, vol. 357, no. 9249, pp. 21</w:t>
      </w:r>
      <w:r w:rsidR="00670288" w:rsidRPr="002B7CEB">
        <w:rPr>
          <w:rFonts w:asciiTheme="minorHAnsi" w:hAnsiTheme="minorHAnsi"/>
        </w:rPr>
        <w:t>–</w:t>
      </w:r>
      <w:r w:rsidRPr="002B7CEB">
        <w:rPr>
          <w:rFonts w:asciiTheme="minorHAnsi" w:hAnsiTheme="minorHAnsi"/>
        </w:rPr>
        <w:t>28.</w:t>
      </w:r>
    </w:p>
    <w:p w14:paraId="0BA920B8" w14:textId="6084FE8A" w:rsidR="00B906E9" w:rsidRPr="002B7CEB" w:rsidRDefault="00B906E9" w:rsidP="004C79C1">
      <w:pPr>
        <w:pStyle w:val="EndNoteBibliography"/>
        <w:spacing w:after="120"/>
        <w:jc w:val="both"/>
        <w:rPr>
          <w:rFonts w:asciiTheme="minorHAnsi" w:hAnsiTheme="minorHAnsi"/>
        </w:rPr>
      </w:pPr>
      <w:bookmarkStart w:id="1207" w:name="_ENREF_139"/>
      <w:bookmarkEnd w:id="1206"/>
      <w:r w:rsidRPr="002B7CEB">
        <w:rPr>
          <w:rFonts w:asciiTheme="minorHAnsi" w:hAnsiTheme="minorHAnsi"/>
        </w:rPr>
        <w:t xml:space="preserve">Wu, KC, Gerstenblith, G, Guallar, E, Marine, JE, Dalal, D, Cheng, A, Marban, E, Lima, JA, Tomaselli, GF &amp; Weiss, RG 2012, 'Combined cardiac magnetic resonance imaging and C-reactive protein levels identify a cohort at low risk for defibrillator firings and death', </w:t>
      </w:r>
      <w:r w:rsidRPr="002B7CEB">
        <w:rPr>
          <w:rFonts w:asciiTheme="minorHAnsi" w:hAnsiTheme="minorHAnsi"/>
          <w:i/>
        </w:rPr>
        <w:t>Circ</w:t>
      </w:r>
      <w:r w:rsidR="004D463E" w:rsidRPr="002B7CEB">
        <w:rPr>
          <w:rFonts w:asciiTheme="minorHAnsi" w:hAnsiTheme="minorHAnsi"/>
          <w:i/>
        </w:rPr>
        <w:t>ulation:</w:t>
      </w:r>
      <w:r w:rsidRPr="002B7CEB">
        <w:rPr>
          <w:rFonts w:asciiTheme="minorHAnsi" w:hAnsiTheme="minorHAnsi"/>
          <w:i/>
        </w:rPr>
        <w:t xml:space="preserve"> Cardiovasc</w:t>
      </w:r>
      <w:r w:rsidR="004D463E" w:rsidRPr="002B7CEB">
        <w:rPr>
          <w:rFonts w:asciiTheme="minorHAnsi" w:hAnsiTheme="minorHAnsi"/>
          <w:i/>
        </w:rPr>
        <w:t>ular</w:t>
      </w:r>
      <w:r w:rsidRPr="002B7CEB">
        <w:rPr>
          <w:rFonts w:asciiTheme="minorHAnsi" w:hAnsiTheme="minorHAnsi"/>
          <w:i/>
        </w:rPr>
        <w:t xml:space="preserve"> Imaging</w:t>
      </w:r>
      <w:r w:rsidRPr="002B7CEB">
        <w:rPr>
          <w:rFonts w:asciiTheme="minorHAnsi" w:hAnsiTheme="minorHAnsi"/>
        </w:rPr>
        <w:t>, vol. 5, no. 2, pp. 178</w:t>
      </w:r>
      <w:r w:rsidR="00CD51E2" w:rsidRPr="002B7CEB">
        <w:rPr>
          <w:rFonts w:asciiTheme="minorHAnsi" w:hAnsiTheme="minorHAnsi"/>
        </w:rPr>
        <w:t>–</w:t>
      </w:r>
      <w:r w:rsidRPr="002B7CEB">
        <w:rPr>
          <w:rFonts w:asciiTheme="minorHAnsi" w:hAnsiTheme="minorHAnsi"/>
        </w:rPr>
        <w:t>186.</w:t>
      </w:r>
    </w:p>
    <w:p w14:paraId="77BFDB0C" w14:textId="01A1025B" w:rsidR="00B906E9" w:rsidRPr="002B7CEB" w:rsidRDefault="00B906E9" w:rsidP="004C79C1">
      <w:pPr>
        <w:pStyle w:val="EndNoteBibliography"/>
        <w:spacing w:after="120"/>
        <w:jc w:val="both"/>
        <w:rPr>
          <w:rFonts w:asciiTheme="minorHAnsi" w:hAnsiTheme="minorHAnsi"/>
        </w:rPr>
      </w:pPr>
      <w:bookmarkStart w:id="1208" w:name="_ENREF_140"/>
      <w:bookmarkEnd w:id="1207"/>
      <w:r w:rsidRPr="002B7CEB">
        <w:rPr>
          <w:rFonts w:asciiTheme="minorHAnsi" w:hAnsiTheme="minorHAnsi"/>
        </w:rPr>
        <w:t xml:space="preserve">Wu, KC, Weiss, RG, Thiemann, DR, Kitagawa, K, Schmidt, A, Dalal, D, Lai, S, Bluemke, DA, Gerstenblith, G, Marban, E, Tomaselli, GF &amp; Lima, JA 2008, 'Late gadolinium enhancement by cardiovascular magnetic resonance heralds an adverse prognosis in nonischemic cardiomyopathy', </w:t>
      </w:r>
      <w:r w:rsidRPr="002B7CEB">
        <w:rPr>
          <w:rFonts w:asciiTheme="minorHAnsi" w:hAnsiTheme="minorHAnsi"/>
          <w:i/>
        </w:rPr>
        <w:t>J</w:t>
      </w:r>
      <w:r w:rsidR="006B596E" w:rsidRPr="002B7CEB">
        <w:rPr>
          <w:rFonts w:asciiTheme="minorHAnsi" w:hAnsiTheme="minorHAnsi"/>
          <w:i/>
        </w:rPr>
        <w:t>ournal of the</w:t>
      </w:r>
      <w:r w:rsidRPr="002B7CEB">
        <w:rPr>
          <w:rFonts w:asciiTheme="minorHAnsi" w:hAnsiTheme="minorHAnsi"/>
          <w:i/>
        </w:rPr>
        <w:t xml:space="preserve"> Am</w:t>
      </w:r>
      <w:r w:rsidR="006B596E" w:rsidRPr="002B7CEB">
        <w:rPr>
          <w:rFonts w:asciiTheme="minorHAnsi" w:hAnsiTheme="minorHAnsi"/>
          <w:i/>
        </w:rPr>
        <w:t>erican</w:t>
      </w:r>
      <w:r w:rsidRPr="002B7CEB">
        <w:rPr>
          <w:rFonts w:asciiTheme="minorHAnsi" w:hAnsiTheme="minorHAnsi"/>
          <w:i/>
        </w:rPr>
        <w:t xml:space="preserve"> Coll</w:t>
      </w:r>
      <w:r w:rsidR="006B596E" w:rsidRPr="002B7CEB">
        <w:rPr>
          <w:rFonts w:asciiTheme="minorHAnsi" w:hAnsiTheme="minorHAnsi"/>
          <w:i/>
        </w:rPr>
        <w:t>ege of</w:t>
      </w:r>
      <w:r w:rsidRPr="002B7CEB">
        <w:rPr>
          <w:rFonts w:asciiTheme="minorHAnsi" w:hAnsiTheme="minorHAnsi"/>
          <w:i/>
        </w:rPr>
        <w:t xml:space="preserve"> Cardiol</w:t>
      </w:r>
      <w:r w:rsidR="006B596E" w:rsidRPr="002B7CEB">
        <w:rPr>
          <w:rFonts w:asciiTheme="minorHAnsi" w:hAnsiTheme="minorHAnsi"/>
          <w:i/>
        </w:rPr>
        <w:t>ogy</w:t>
      </w:r>
      <w:r w:rsidRPr="002B7CEB">
        <w:rPr>
          <w:rFonts w:asciiTheme="minorHAnsi" w:hAnsiTheme="minorHAnsi"/>
        </w:rPr>
        <w:t>, vol. 51, no. 25, pp. 2414</w:t>
      </w:r>
      <w:r w:rsidR="006B596E" w:rsidRPr="002B7CEB">
        <w:rPr>
          <w:rFonts w:asciiTheme="minorHAnsi" w:hAnsiTheme="minorHAnsi"/>
        </w:rPr>
        <w:t>–</w:t>
      </w:r>
      <w:r w:rsidRPr="002B7CEB">
        <w:rPr>
          <w:rFonts w:asciiTheme="minorHAnsi" w:hAnsiTheme="minorHAnsi"/>
        </w:rPr>
        <w:t>2421.</w:t>
      </w:r>
    </w:p>
    <w:p w14:paraId="0B2E3E34" w14:textId="7745D9B4" w:rsidR="00B906E9" w:rsidRPr="002B7CEB" w:rsidRDefault="00B906E9" w:rsidP="004C79C1">
      <w:pPr>
        <w:pStyle w:val="EndNoteBibliography"/>
        <w:spacing w:after="120"/>
        <w:jc w:val="both"/>
        <w:rPr>
          <w:rFonts w:asciiTheme="minorHAnsi" w:hAnsiTheme="minorHAnsi"/>
        </w:rPr>
      </w:pPr>
      <w:bookmarkStart w:id="1209" w:name="_ENREF_141"/>
      <w:bookmarkEnd w:id="1208"/>
      <w:r w:rsidRPr="002B7CEB">
        <w:rPr>
          <w:rFonts w:asciiTheme="minorHAnsi" w:hAnsiTheme="minorHAnsi"/>
        </w:rPr>
        <w:t xml:space="preserve">Xie, BQ, Tian, YQ, Zhang, J, Zhao, SH, Yang, MF, Guo, F, Wang, DY, Wei, HX, Chu, KW &amp; He, ZX 2012, 'Evaluation of left and right ventricular ejection fraction and volumes from gated blood-pool SPECT in patients with dilated cardiomyopathy: comparison with cardiac MRI', </w:t>
      </w:r>
      <w:r w:rsidRPr="002B7CEB">
        <w:rPr>
          <w:rFonts w:asciiTheme="minorHAnsi" w:hAnsiTheme="minorHAnsi"/>
          <w:i/>
        </w:rPr>
        <w:t>J</w:t>
      </w:r>
      <w:r w:rsidR="006B596E" w:rsidRPr="002B7CEB">
        <w:rPr>
          <w:rFonts w:asciiTheme="minorHAnsi" w:hAnsiTheme="minorHAnsi"/>
          <w:i/>
        </w:rPr>
        <w:t>ournal of</w:t>
      </w:r>
      <w:r w:rsidRPr="002B7CEB">
        <w:rPr>
          <w:rFonts w:asciiTheme="minorHAnsi" w:hAnsiTheme="minorHAnsi"/>
          <w:i/>
        </w:rPr>
        <w:t xml:space="preserve"> Nucl</w:t>
      </w:r>
      <w:r w:rsidR="006B596E" w:rsidRPr="002B7CEB">
        <w:rPr>
          <w:rFonts w:asciiTheme="minorHAnsi" w:hAnsiTheme="minorHAnsi"/>
          <w:i/>
        </w:rPr>
        <w:t>ear</w:t>
      </w:r>
      <w:r w:rsidRPr="002B7CEB">
        <w:rPr>
          <w:rFonts w:asciiTheme="minorHAnsi" w:hAnsiTheme="minorHAnsi"/>
          <w:i/>
        </w:rPr>
        <w:t xml:space="preserve"> Med</w:t>
      </w:r>
      <w:r w:rsidR="006B596E" w:rsidRPr="002B7CEB">
        <w:rPr>
          <w:rFonts w:asciiTheme="minorHAnsi" w:hAnsiTheme="minorHAnsi"/>
          <w:i/>
        </w:rPr>
        <w:t>icine</w:t>
      </w:r>
      <w:r w:rsidRPr="002B7CEB">
        <w:rPr>
          <w:rFonts w:asciiTheme="minorHAnsi" w:hAnsiTheme="minorHAnsi"/>
        </w:rPr>
        <w:t>, vol. 53, no. 4, pp. 584</w:t>
      </w:r>
      <w:r w:rsidR="006B596E" w:rsidRPr="002B7CEB">
        <w:rPr>
          <w:rFonts w:asciiTheme="minorHAnsi" w:hAnsiTheme="minorHAnsi"/>
        </w:rPr>
        <w:t>–</w:t>
      </w:r>
      <w:r w:rsidRPr="002B7CEB">
        <w:rPr>
          <w:rFonts w:asciiTheme="minorHAnsi" w:hAnsiTheme="minorHAnsi"/>
        </w:rPr>
        <w:t>591.</w:t>
      </w:r>
    </w:p>
    <w:p w14:paraId="012A50B8" w14:textId="18EF620A" w:rsidR="00B906E9" w:rsidRPr="002B7CEB" w:rsidRDefault="00B906E9" w:rsidP="004C79C1">
      <w:pPr>
        <w:pStyle w:val="EndNoteBibliography"/>
        <w:spacing w:after="120"/>
        <w:jc w:val="both"/>
        <w:rPr>
          <w:rFonts w:asciiTheme="minorHAnsi" w:hAnsiTheme="minorHAnsi"/>
        </w:rPr>
      </w:pPr>
      <w:bookmarkStart w:id="1210" w:name="_ENREF_142"/>
      <w:bookmarkEnd w:id="1209"/>
      <w:r w:rsidRPr="002B7CEB">
        <w:rPr>
          <w:rFonts w:asciiTheme="minorHAnsi" w:hAnsiTheme="minorHAnsi"/>
        </w:rPr>
        <w:t xml:space="preserve">Yokokawa, M, Tada, H, Toyama, T, Koyama, K, Naito, S, Oshima, S &amp; Taniguchi, K 2009, 'Magnetic resonance imaging is superior to cardiac scintigraphy to identify nonresponders to cardiac resynchronization therapy', </w:t>
      </w:r>
      <w:r w:rsidRPr="002B7CEB">
        <w:rPr>
          <w:rFonts w:asciiTheme="minorHAnsi" w:hAnsiTheme="minorHAnsi"/>
          <w:i/>
        </w:rPr>
        <w:t xml:space="preserve">Pacing and </w:t>
      </w:r>
      <w:r w:rsidR="00D95A5D" w:rsidRPr="002B7CEB">
        <w:rPr>
          <w:rFonts w:asciiTheme="minorHAnsi" w:hAnsiTheme="minorHAnsi"/>
          <w:i/>
        </w:rPr>
        <w:t>C</w:t>
      </w:r>
      <w:r w:rsidRPr="002B7CEB">
        <w:rPr>
          <w:rFonts w:asciiTheme="minorHAnsi" w:hAnsiTheme="minorHAnsi"/>
          <w:i/>
        </w:rPr>
        <w:t xml:space="preserve">linical </w:t>
      </w:r>
      <w:r w:rsidR="00D95A5D" w:rsidRPr="002B7CEB">
        <w:rPr>
          <w:rFonts w:asciiTheme="minorHAnsi" w:hAnsiTheme="minorHAnsi"/>
          <w:i/>
        </w:rPr>
        <w:t>E</w:t>
      </w:r>
      <w:r w:rsidRPr="002B7CEB">
        <w:rPr>
          <w:rFonts w:asciiTheme="minorHAnsi" w:hAnsiTheme="minorHAnsi"/>
          <w:i/>
        </w:rPr>
        <w:t>lectrophysiology</w:t>
      </w:r>
      <w:r w:rsidRPr="002B7CEB">
        <w:rPr>
          <w:rFonts w:asciiTheme="minorHAnsi" w:hAnsiTheme="minorHAnsi"/>
        </w:rPr>
        <w:t>, vol. 32, pp. S57</w:t>
      </w:r>
      <w:r w:rsidR="00D95A5D" w:rsidRPr="002B7CEB">
        <w:rPr>
          <w:rFonts w:asciiTheme="minorHAnsi" w:hAnsiTheme="minorHAnsi"/>
        </w:rPr>
        <w:t>–</w:t>
      </w:r>
      <w:r w:rsidRPr="002B7CEB">
        <w:rPr>
          <w:rFonts w:asciiTheme="minorHAnsi" w:hAnsiTheme="minorHAnsi"/>
        </w:rPr>
        <w:t>62.</w:t>
      </w:r>
    </w:p>
    <w:p w14:paraId="7ABF80D4" w14:textId="5D43EE37" w:rsidR="00B906E9" w:rsidRPr="002B7CEB" w:rsidRDefault="00B906E9" w:rsidP="004C79C1">
      <w:pPr>
        <w:pStyle w:val="EndNoteBibliography"/>
        <w:spacing w:after="120"/>
        <w:jc w:val="both"/>
        <w:rPr>
          <w:rFonts w:asciiTheme="minorHAnsi" w:hAnsiTheme="minorHAnsi"/>
        </w:rPr>
      </w:pPr>
      <w:bookmarkStart w:id="1211" w:name="_ENREF_143"/>
      <w:bookmarkEnd w:id="1210"/>
      <w:r w:rsidRPr="002B7CEB">
        <w:rPr>
          <w:rFonts w:asciiTheme="minorHAnsi" w:hAnsiTheme="minorHAnsi"/>
        </w:rPr>
        <w:lastRenderedPageBreak/>
        <w:t xml:space="preserve">Yoshida, A, Ishibashi-Ueda, H, Yamada, N, Kanzaki, H, Hasegawa, T, Takahama, H, Amaki, M, Asakura, M &amp; Kitakaze, M 2013, 'Direct comparison of the diagnostic capability of cardiac magnetic resonance and endomyocardial biopsy in patients with heart failure', </w:t>
      </w:r>
      <w:r w:rsidRPr="002B7CEB">
        <w:rPr>
          <w:rFonts w:asciiTheme="minorHAnsi" w:hAnsiTheme="minorHAnsi"/>
          <w:i/>
        </w:rPr>
        <w:t>Eur</w:t>
      </w:r>
      <w:r w:rsidR="00D95A5D" w:rsidRPr="002B7CEB">
        <w:rPr>
          <w:rFonts w:asciiTheme="minorHAnsi" w:hAnsiTheme="minorHAnsi"/>
          <w:i/>
        </w:rPr>
        <w:t>opean</w:t>
      </w:r>
      <w:r w:rsidRPr="002B7CEB">
        <w:rPr>
          <w:rFonts w:asciiTheme="minorHAnsi" w:hAnsiTheme="minorHAnsi"/>
          <w:i/>
        </w:rPr>
        <w:t xml:space="preserve"> J</w:t>
      </w:r>
      <w:r w:rsidR="00D95A5D" w:rsidRPr="002B7CEB">
        <w:rPr>
          <w:rFonts w:asciiTheme="minorHAnsi" w:hAnsiTheme="minorHAnsi"/>
          <w:i/>
        </w:rPr>
        <w:t>ournal of</w:t>
      </w:r>
      <w:r w:rsidRPr="002B7CEB">
        <w:rPr>
          <w:rFonts w:asciiTheme="minorHAnsi" w:hAnsiTheme="minorHAnsi"/>
          <w:i/>
        </w:rPr>
        <w:t xml:space="preserve"> Heart Fail</w:t>
      </w:r>
      <w:r w:rsidR="00D95A5D" w:rsidRPr="002B7CEB">
        <w:rPr>
          <w:rFonts w:asciiTheme="minorHAnsi" w:hAnsiTheme="minorHAnsi"/>
          <w:i/>
        </w:rPr>
        <w:t>ure</w:t>
      </w:r>
      <w:r w:rsidRPr="002B7CEB">
        <w:rPr>
          <w:rFonts w:asciiTheme="minorHAnsi" w:hAnsiTheme="minorHAnsi"/>
        </w:rPr>
        <w:t>, vol. 15, no. 2, pp. 166</w:t>
      </w:r>
      <w:r w:rsidR="00D95A5D" w:rsidRPr="002B7CEB">
        <w:rPr>
          <w:rFonts w:asciiTheme="minorHAnsi" w:hAnsiTheme="minorHAnsi"/>
        </w:rPr>
        <w:t>–</w:t>
      </w:r>
      <w:r w:rsidRPr="002B7CEB">
        <w:rPr>
          <w:rFonts w:asciiTheme="minorHAnsi" w:hAnsiTheme="minorHAnsi"/>
        </w:rPr>
        <w:t>175.</w:t>
      </w:r>
    </w:p>
    <w:p w14:paraId="4DDE18FE" w14:textId="0D357FC4" w:rsidR="00B906E9" w:rsidRPr="002B7CEB" w:rsidRDefault="00B906E9" w:rsidP="004C79C1">
      <w:pPr>
        <w:pStyle w:val="EndNoteBibliography"/>
        <w:spacing w:after="120"/>
        <w:jc w:val="both"/>
        <w:rPr>
          <w:rFonts w:asciiTheme="minorHAnsi" w:hAnsiTheme="minorHAnsi"/>
        </w:rPr>
      </w:pPr>
      <w:bookmarkStart w:id="1212" w:name="_ENREF_144"/>
      <w:bookmarkEnd w:id="1211"/>
      <w:r w:rsidRPr="002B7CEB">
        <w:rPr>
          <w:rFonts w:asciiTheme="minorHAnsi" w:hAnsiTheme="minorHAnsi"/>
        </w:rPr>
        <w:t xml:space="preserve">Yoshida, A, Takano, H, Asai, K, Yasutake, M, Amano, Y, Kumita, S, Shimizu, W &amp; Mizuno, K 2013, 'Comparison of perfusion-metabolism mismatch in 99mTc-MIBI and 123I-BMIPP scintigraphy with cardiac magnetic resonance in patients with dilated cardiomyopathy', </w:t>
      </w:r>
      <w:r w:rsidRPr="002B7CEB">
        <w:rPr>
          <w:rFonts w:asciiTheme="minorHAnsi" w:hAnsiTheme="minorHAnsi"/>
          <w:i/>
        </w:rPr>
        <w:t>J</w:t>
      </w:r>
      <w:r w:rsidR="00870084" w:rsidRPr="002B7CEB">
        <w:rPr>
          <w:rFonts w:asciiTheme="minorHAnsi" w:hAnsiTheme="minorHAnsi"/>
          <w:i/>
        </w:rPr>
        <w:t>ournal of</w:t>
      </w:r>
      <w:r w:rsidRPr="002B7CEB">
        <w:rPr>
          <w:rFonts w:asciiTheme="minorHAnsi" w:hAnsiTheme="minorHAnsi"/>
          <w:i/>
        </w:rPr>
        <w:t xml:space="preserve"> Card</w:t>
      </w:r>
      <w:r w:rsidR="00870084" w:rsidRPr="002B7CEB">
        <w:rPr>
          <w:rFonts w:asciiTheme="minorHAnsi" w:hAnsiTheme="minorHAnsi"/>
          <w:i/>
        </w:rPr>
        <w:t>iac</w:t>
      </w:r>
      <w:r w:rsidRPr="002B7CEB">
        <w:rPr>
          <w:rFonts w:asciiTheme="minorHAnsi" w:hAnsiTheme="minorHAnsi"/>
          <w:i/>
        </w:rPr>
        <w:t xml:space="preserve"> Fail</w:t>
      </w:r>
      <w:r w:rsidR="00870084" w:rsidRPr="002B7CEB">
        <w:rPr>
          <w:rFonts w:asciiTheme="minorHAnsi" w:hAnsiTheme="minorHAnsi"/>
          <w:i/>
        </w:rPr>
        <w:t>ure</w:t>
      </w:r>
      <w:r w:rsidRPr="002B7CEB">
        <w:rPr>
          <w:rFonts w:asciiTheme="minorHAnsi" w:hAnsiTheme="minorHAnsi"/>
        </w:rPr>
        <w:t>, vol. 19, no. 7, pp. 445</w:t>
      </w:r>
      <w:r w:rsidR="00870084" w:rsidRPr="002B7CEB">
        <w:rPr>
          <w:rFonts w:asciiTheme="minorHAnsi" w:hAnsiTheme="minorHAnsi"/>
        </w:rPr>
        <w:t>–</w:t>
      </w:r>
      <w:r w:rsidRPr="002B7CEB">
        <w:rPr>
          <w:rFonts w:asciiTheme="minorHAnsi" w:hAnsiTheme="minorHAnsi"/>
        </w:rPr>
        <w:t>453.</w:t>
      </w:r>
    </w:p>
    <w:p w14:paraId="2EF3E0AA" w14:textId="0698B0B9" w:rsidR="00B906E9" w:rsidRPr="002B7CEB" w:rsidRDefault="00B906E9" w:rsidP="004C79C1">
      <w:pPr>
        <w:pStyle w:val="EndNoteBibliography"/>
        <w:spacing w:after="120"/>
        <w:jc w:val="both"/>
        <w:rPr>
          <w:rFonts w:asciiTheme="minorHAnsi" w:hAnsiTheme="minorHAnsi"/>
        </w:rPr>
      </w:pPr>
      <w:bookmarkStart w:id="1213" w:name="_ENREF_145"/>
      <w:bookmarkEnd w:id="1212"/>
      <w:r w:rsidRPr="002B7CEB">
        <w:rPr>
          <w:rFonts w:asciiTheme="minorHAnsi" w:hAnsiTheme="minorHAnsi"/>
        </w:rPr>
        <w:t>Zemrak, F &amp; Petersen, S 2011, 'Late gadolinium enhancement CMR predicts adverse cardiovascular outcomes and mortality in patients with coronary artery disease: systematic review and meta-analysis (</w:t>
      </w:r>
      <w:r w:rsidR="00096B73" w:rsidRPr="002B7CEB">
        <w:rPr>
          <w:rFonts w:asciiTheme="minorHAnsi" w:hAnsiTheme="minorHAnsi"/>
        </w:rPr>
        <w:t>p</w:t>
      </w:r>
      <w:r w:rsidRPr="002B7CEB">
        <w:rPr>
          <w:rFonts w:asciiTheme="minorHAnsi" w:hAnsiTheme="minorHAnsi"/>
        </w:rPr>
        <w:t xml:space="preserve">rovisional abstract)', </w:t>
      </w:r>
      <w:r w:rsidRPr="002B7CEB">
        <w:rPr>
          <w:rFonts w:asciiTheme="minorHAnsi" w:hAnsiTheme="minorHAnsi"/>
          <w:i/>
        </w:rPr>
        <w:t>Progress in Cardiovascular Diseases</w:t>
      </w:r>
      <w:r w:rsidRPr="002B7CEB">
        <w:rPr>
          <w:rFonts w:asciiTheme="minorHAnsi" w:hAnsiTheme="minorHAnsi"/>
        </w:rPr>
        <w:t>, vol. 54, no. 3, pp. 215</w:t>
      </w:r>
      <w:r w:rsidR="00870084" w:rsidRPr="002B7CEB">
        <w:rPr>
          <w:rFonts w:asciiTheme="minorHAnsi" w:hAnsiTheme="minorHAnsi"/>
        </w:rPr>
        <w:t>–</w:t>
      </w:r>
      <w:r w:rsidRPr="002B7CEB">
        <w:rPr>
          <w:rFonts w:asciiTheme="minorHAnsi" w:hAnsiTheme="minorHAnsi"/>
        </w:rPr>
        <w:t>229.</w:t>
      </w:r>
    </w:p>
    <w:bookmarkEnd w:id="1213"/>
    <w:p w14:paraId="380FAFF7" w14:textId="6845F36D" w:rsidR="00D44BDA" w:rsidRPr="00D414D9" w:rsidRDefault="00187A29" w:rsidP="004C79C1">
      <w:pPr>
        <w:pStyle w:val="References"/>
        <w:spacing w:after="120" w:line="240" w:lineRule="auto"/>
        <w:ind w:left="0" w:firstLine="0"/>
        <w:jc w:val="both"/>
      </w:pPr>
      <w:r w:rsidRPr="002B7CEB">
        <w:rPr>
          <w:rFonts w:asciiTheme="minorHAnsi" w:hAnsiTheme="minorHAnsi"/>
        </w:rPr>
        <w:fldChar w:fldCharType="end"/>
      </w:r>
    </w:p>
    <w:sectPr w:rsidR="00D44BDA" w:rsidRPr="00D414D9" w:rsidSect="0080059D">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5B62F" w14:textId="77777777" w:rsidR="00303F47" w:rsidRDefault="00303F47" w:rsidP="00A23645">
      <w:r>
        <w:separator/>
      </w:r>
    </w:p>
  </w:endnote>
  <w:endnote w:type="continuationSeparator" w:id="0">
    <w:p w14:paraId="375D3913" w14:textId="77777777" w:rsidR="00303F47" w:rsidRDefault="00303F47"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tima DemiBold">
    <w:altName w:val="Arial"/>
    <w:panose1 w:val="00000000000000000000"/>
    <w:charset w:val="00"/>
    <w:family w:val="swiss"/>
    <w:notTrueType/>
    <w:pitch w:val="default"/>
    <w:sig w:usb0="00000003" w:usb1="00000000" w:usb2="00000000" w:usb3="00000000" w:csb0="00000001"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Humanist521BT-Roman">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default"/>
    <w:sig w:usb0="00000003" w:usb1="00000000" w:usb2="00000000" w:usb3="00000000" w:csb0="00000001" w:csb1="00000000"/>
  </w:font>
  <w:font w:name="Adobe Caslon Pro">
    <w:altName w:val="Georgia"/>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58AE9" w14:textId="77777777" w:rsidR="005D2304" w:rsidRDefault="005D23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314286"/>
      <w:docPartObj>
        <w:docPartGallery w:val="Page Numbers (Bottom of Page)"/>
        <w:docPartUnique/>
      </w:docPartObj>
    </w:sdtPr>
    <w:sdtEndPr>
      <w:rPr>
        <w:noProof/>
      </w:rPr>
    </w:sdtEndPr>
    <w:sdtContent>
      <w:p w14:paraId="3FF0927E" w14:textId="3E44E917" w:rsidR="00303F47" w:rsidRDefault="00303F47" w:rsidP="00B21612">
        <w:pPr>
          <w:pStyle w:val="Footer"/>
        </w:pPr>
        <w:r>
          <w:t xml:space="preserve">LGE-CMR for DCM – MSAC </w:t>
        </w:r>
        <w:r w:rsidRPr="007C3A4A">
          <w:rPr>
            <w:rFonts w:ascii="Arial Bold" w:hAnsi="Arial Bold"/>
          </w:rPr>
          <w:t>CA</w:t>
        </w:r>
        <w:r>
          <w:t xml:space="preserve"> 1393  </w:t>
        </w:r>
        <w:r>
          <w:tab/>
        </w:r>
        <w:r>
          <w:fldChar w:fldCharType="begin"/>
        </w:r>
        <w:r>
          <w:instrText xml:space="preserve"> PAGE   \* MERGEFORMAT </w:instrText>
        </w:r>
        <w:r>
          <w:fldChar w:fldCharType="separate"/>
        </w:r>
        <w:r w:rsidR="00CD4AC5">
          <w:rPr>
            <w:noProof/>
          </w:rPr>
          <w:t>ii</w:t>
        </w:r>
        <w:r>
          <w:rPr>
            <w:noProof/>
          </w:rPr>
          <w:fldChar w:fldCharType="end"/>
        </w:r>
      </w:p>
    </w:sdtContent>
  </w:sdt>
  <w:p w14:paraId="53D93D79" w14:textId="77777777" w:rsidR="00303F47" w:rsidRDefault="00303F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0D4" w14:textId="77777777" w:rsidR="005D2304" w:rsidRDefault="005D23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7D534" w14:textId="35C50939" w:rsidR="00303F47" w:rsidRPr="00F568FA" w:rsidRDefault="00303F47"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335</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2BACA" w14:textId="77777777" w:rsidR="00303F47" w:rsidRDefault="00303F47" w:rsidP="00B426FF">
    <w:pPr>
      <w:pStyle w:val="Header"/>
      <w:tabs>
        <w:tab w:val="clear" w:pos="8306"/>
        <w:tab w:val="right" w:pos="8931"/>
      </w:tabs>
    </w:pPr>
    <w: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40A73" w14:textId="4D5BA765" w:rsidR="00303F47" w:rsidRPr="00F568FA" w:rsidRDefault="00303F47"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335</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6C5FC" w14:textId="263EEAA8" w:rsidR="00303F47" w:rsidRPr="00C843FF" w:rsidRDefault="00303F47" w:rsidP="00CF699B">
    <w:pPr>
      <w:pStyle w:val="Footer"/>
      <w:tabs>
        <w:tab w:val="clear" w:pos="9000"/>
        <w:tab w:val="right" w:pos="13892"/>
      </w:tabs>
      <w:rPr>
        <w:rStyle w:val="PageNumber"/>
        <w:rFonts w:cs="Arial"/>
      </w:rPr>
    </w:pPr>
    <w:r>
      <w:t xml:space="preserve">LGE-CMR for DCM – MSAC </w:t>
    </w:r>
    <w:r w:rsidRPr="007C3A4A">
      <w:rPr>
        <w:rFonts w:ascii="Arial Bold" w:hAnsi="Arial Bold"/>
      </w:rPr>
      <w:t>CA</w:t>
    </w:r>
    <w:r>
      <w:t xml:space="preserve"> 1393</w:t>
    </w:r>
    <w:r w:rsidRPr="00C843FF">
      <w:rPr>
        <w:rStyle w:val="PageNumber"/>
        <w:rFonts w:cs="Arial"/>
      </w:rPr>
      <w:tab/>
    </w:r>
    <w:r w:rsidRPr="00C843FF">
      <w:rPr>
        <w:rStyle w:val="PageNumber"/>
        <w:rFonts w:cs="Arial"/>
      </w:rPr>
      <w:fldChar w:fldCharType="begin"/>
    </w:r>
    <w:r w:rsidRPr="00C843FF">
      <w:rPr>
        <w:rStyle w:val="PageNumber"/>
        <w:rFonts w:cs="Arial"/>
      </w:rPr>
      <w:instrText xml:space="preserve"> PAGE </w:instrText>
    </w:r>
    <w:r w:rsidRPr="00C843FF">
      <w:rPr>
        <w:rStyle w:val="PageNumber"/>
        <w:rFonts w:cs="Arial"/>
      </w:rPr>
      <w:fldChar w:fldCharType="separate"/>
    </w:r>
    <w:r w:rsidR="00CD4AC5">
      <w:rPr>
        <w:rStyle w:val="PageNumber"/>
        <w:rFonts w:cs="Arial"/>
        <w:noProof/>
      </w:rPr>
      <w:t>305</w:t>
    </w:r>
    <w:r w:rsidRPr="00C843FF">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83704" w14:textId="77777777" w:rsidR="00303F47" w:rsidRDefault="00303F47" w:rsidP="00A23645">
      <w:r>
        <w:separator/>
      </w:r>
    </w:p>
  </w:footnote>
  <w:footnote w:type="continuationSeparator" w:id="0">
    <w:p w14:paraId="3E82F23D" w14:textId="77777777" w:rsidR="00303F47" w:rsidRDefault="00303F47" w:rsidP="00A23645">
      <w:r>
        <w:continuationSeparator/>
      </w:r>
    </w:p>
  </w:footnote>
  <w:footnote w:id="1">
    <w:p w14:paraId="640FF949" w14:textId="3317D5D9" w:rsidR="00303F47" w:rsidRDefault="00303F47" w:rsidP="009E390A">
      <w:pPr>
        <w:pStyle w:val="FootnoteText"/>
      </w:pPr>
      <w:r>
        <w:rPr>
          <w:rStyle w:val="FootnoteReference"/>
        </w:rPr>
        <w:footnoteRef/>
      </w:r>
      <w:r>
        <w:t xml:space="preserve"> population, intervention, comparator, outcomes</w:t>
      </w:r>
    </w:p>
  </w:footnote>
  <w:footnote w:id="2">
    <w:p w14:paraId="53DB5F94" w14:textId="28315A30" w:rsidR="00303F47" w:rsidRDefault="00303F47" w:rsidP="009E390A">
      <w:pPr>
        <w:pStyle w:val="FootnoteText"/>
      </w:pPr>
      <w:r>
        <w:rPr>
          <w:rStyle w:val="FootnoteReference"/>
        </w:rPr>
        <w:footnoteRef/>
      </w:r>
      <w:r>
        <w:t xml:space="preserve"> Personal communication, A. Taylor, via a phone call on 3 March 2016 </w:t>
      </w:r>
    </w:p>
  </w:footnote>
  <w:footnote w:id="3">
    <w:p w14:paraId="33E1C115" w14:textId="406D887A" w:rsidR="00303F47" w:rsidRDefault="00303F47">
      <w:pPr>
        <w:pStyle w:val="FootnoteText"/>
      </w:pPr>
      <w:r>
        <w:rPr>
          <w:rStyle w:val="FootnoteReference"/>
        </w:rPr>
        <w:footnoteRef/>
      </w:r>
      <w:r>
        <w:t xml:space="preserve"> </w:t>
      </w:r>
      <w:hyperlink r:id="rId1" w:history="1">
        <w:r w:rsidRPr="00CC7801">
          <w:rPr>
            <w:rStyle w:val="Hyperlink"/>
          </w:rPr>
          <w:t>MSAC.gov.au</w:t>
        </w:r>
      </w:hyperlink>
    </w:p>
  </w:footnote>
  <w:footnote w:id="4">
    <w:p w14:paraId="3C35A013" w14:textId="435BD52F" w:rsidR="00303F47" w:rsidRDefault="00303F47" w:rsidP="00D06DA3">
      <w:pPr>
        <w:pStyle w:val="FootnoteText"/>
        <w:spacing w:line="240" w:lineRule="auto"/>
      </w:pPr>
      <w:r>
        <w:rPr>
          <w:rStyle w:val="FootnoteReference"/>
        </w:rPr>
        <w:footnoteRef/>
      </w:r>
      <w:r>
        <w:t xml:space="preserve"> The EuroCMR Registry collects and publishes data from patients enrolled throughout Europe. It is an initiative of the European Society of Cardiology Working Group (&lt;</w:t>
      </w:r>
      <w:hyperlink r:id="rId2" w:history="1">
        <w:r>
          <w:rPr>
            <w:rStyle w:val="Hyperlink"/>
          </w:rPr>
          <w:t>visit</w:t>
        </w:r>
      </w:hyperlink>
      <w:r>
        <w:rPr>
          <w:rStyle w:val="Hyperlink"/>
        </w:rPr>
        <w:t xml:space="preserve"> EuroCMR Registry</w:t>
      </w:r>
      <w:r>
        <w:t>&gt;)</w:t>
      </w:r>
    </w:p>
  </w:footnote>
  <w:footnote w:id="5">
    <w:p w14:paraId="7ED73B77" w14:textId="4D8F7A35" w:rsidR="00303F47" w:rsidRDefault="00303F47" w:rsidP="00D06DA3">
      <w:pPr>
        <w:pStyle w:val="FootnoteText"/>
        <w:spacing w:after="0"/>
      </w:pPr>
      <w:r>
        <w:rPr>
          <w:rStyle w:val="FootnoteReference"/>
        </w:rPr>
        <w:footnoteRef/>
      </w:r>
      <w:r>
        <w:t xml:space="preserve"> Personal communication via email by A. Taylor; received 3 March 2016.</w:t>
      </w:r>
    </w:p>
  </w:footnote>
  <w:footnote w:id="6">
    <w:p w14:paraId="22112E1B" w14:textId="2A81F706" w:rsidR="00303F47" w:rsidRDefault="00303F47" w:rsidP="00D06DA3">
      <w:pPr>
        <w:pStyle w:val="FootnoteText"/>
        <w:spacing w:after="0"/>
      </w:pPr>
      <w:r>
        <w:rPr>
          <w:rStyle w:val="FootnoteReference"/>
        </w:rPr>
        <w:footnoteRef/>
      </w:r>
      <w:r>
        <w:t xml:space="preserve"> Note that CMR for assessing viability is considered as part of MSAC assessment no. 1237. </w:t>
      </w:r>
    </w:p>
  </w:footnote>
  <w:footnote w:id="7">
    <w:p w14:paraId="165A59BC" w14:textId="77777777" w:rsidR="00303F47" w:rsidRDefault="00303F47" w:rsidP="00204E33">
      <w:pPr>
        <w:pStyle w:val="FootnoteText"/>
        <w:spacing w:line="240" w:lineRule="auto"/>
      </w:pPr>
      <w:r>
        <w:rPr>
          <w:rStyle w:val="FootnoteReference"/>
        </w:rPr>
        <w:footnoteRef/>
      </w:r>
      <w:r>
        <w:t xml:space="preserve"> Note that advice conflicts with the findings of Streitner and colleagues (2013) that ATP is associated with increased mortality in DCM patients.</w:t>
      </w:r>
    </w:p>
  </w:footnote>
  <w:footnote w:id="8">
    <w:p w14:paraId="23314855" w14:textId="6C22B835" w:rsidR="00303F47" w:rsidRDefault="00303F47" w:rsidP="00204E33">
      <w:pPr>
        <w:pStyle w:val="FootnoteText"/>
        <w:spacing w:after="120" w:line="240" w:lineRule="auto"/>
      </w:pPr>
      <w:r>
        <w:rPr>
          <w:rStyle w:val="FootnoteReference"/>
        </w:rPr>
        <w:footnoteRef/>
      </w:r>
      <w:r>
        <w:t xml:space="preserve"> The authors did not report the number of patients includes in the 4 studies, nor did they report on length of follow-up.</w:t>
      </w:r>
    </w:p>
  </w:footnote>
  <w:footnote w:id="9">
    <w:p w14:paraId="34B09FD9" w14:textId="025BE29B" w:rsidR="00303F47" w:rsidRDefault="00303F47" w:rsidP="0049194C">
      <w:pPr>
        <w:pStyle w:val="FootnoteText"/>
        <w:spacing w:after="120" w:line="240" w:lineRule="auto"/>
      </w:pPr>
      <w:r>
        <w:rPr>
          <w:rStyle w:val="FootnoteReference"/>
        </w:rPr>
        <w:footnoteRef/>
      </w:r>
      <w:r>
        <w:t xml:space="preserve"> While not explicit, it is assumed that this timing refers to either the mean or median follow-up period.</w:t>
      </w:r>
    </w:p>
  </w:footnote>
  <w:footnote w:id="10">
    <w:p w14:paraId="4A5C962F" w14:textId="1F9E6412" w:rsidR="00303F47" w:rsidRDefault="00303F47" w:rsidP="00204E33">
      <w:pPr>
        <w:pStyle w:val="FootnoteText"/>
        <w:spacing w:line="240" w:lineRule="auto"/>
      </w:pPr>
      <w:r>
        <w:rPr>
          <w:rStyle w:val="FootnoteReference"/>
        </w:rPr>
        <w:footnoteRef/>
      </w:r>
      <w:r>
        <w:t xml:space="preserve"> </w:t>
      </w:r>
      <w:proofErr w:type="gramStart"/>
      <w:r>
        <w:t>Personal communication, A. Taylor, via phone on 3 March 2016.</w:t>
      </w:r>
      <w:proofErr w:type="gramEnd"/>
    </w:p>
  </w:footnote>
  <w:footnote w:id="11">
    <w:p w14:paraId="76D5CDB4" w14:textId="1930A769" w:rsidR="00303F47" w:rsidRDefault="00303F47" w:rsidP="000E482F">
      <w:pPr>
        <w:pStyle w:val="FootnoteText"/>
      </w:pPr>
      <w:r>
        <w:rPr>
          <w:rStyle w:val="FootnoteReference"/>
        </w:rPr>
        <w:footnoteRef/>
      </w:r>
      <w:r>
        <w:t xml:space="preserve"> </w:t>
      </w:r>
      <w:r w:rsidRPr="00075DD8">
        <w:t>The other study</w:t>
      </w:r>
      <w:r>
        <w:t xml:space="preserve">, </w:t>
      </w:r>
      <w:r w:rsidRPr="00075DD8">
        <w:t>Broch et al</w:t>
      </w:r>
      <w:r>
        <w:t xml:space="preserve">. </w:t>
      </w:r>
      <w:r>
        <w:fldChar w:fldCharType="begin">
          <w:fldData xml:space="preserve">PEVuZE5vdGU+PENpdGUgRXhjbHVkZUF1dGg9IjEiPjxBdXRob3I+QnJvY2g8L0F1dGhvcj48WWVh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</w:fldData>
        </w:fldChar>
      </w:r>
      <w:r>
        <w:instrText xml:space="preserve"> ADDIN EN.CITE </w:instrText>
      </w:r>
      <w:r>
        <w:fldChar w:fldCharType="begin">
          <w:fldData xml:space="preserve">PEVuZE5vdGU+PENpdGUgRXhjbHVkZUF1dGg9IjEiPjxBdXRob3I+QnJvY2g8L0F1dGhvcj48WWVh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</w:fldData>
        </w:fldChar>
      </w:r>
      <w:r>
        <w:instrText xml:space="preserve"> ADDIN EN.CITE.DATA </w:instrText>
      </w:r>
      <w:r>
        <w:fldChar w:fldCharType="end"/>
      </w:r>
      <w:r>
        <w:fldChar w:fldCharType="separate"/>
      </w:r>
      <w:r>
        <w:rPr>
          <w:noProof/>
        </w:rPr>
        <w:t>(</w:t>
      </w:r>
      <w:hyperlink w:anchor="_ENREF_16" w:tooltip="Broch, 2015 #107" w:history="1">
        <w:r>
          <w:rPr>
            <w:noProof/>
          </w:rPr>
          <w:t>2015</w:t>
        </w:r>
      </w:hyperlink>
      <w:r>
        <w:rPr>
          <w:noProof/>
        </w:rPr>
        <w:t>)</w:t>
      </w:r>
      <w:r>
        <w:fldChar w:fldCharType="end"/>
      </w:r>
      <w:r>
        <w:t>, is a</w:t>
      </w:r>
      <w:r w:rsidRPr="00075DD8">
        <w:t xml:space="preserve"> Norwegian cohort study </w:t>
      </w:r>
      <w:r>
        <w:t xml:space="preserve">that </w:t>
      </w:r>
      <w:r w:rsidRPr="00075DD8">
        <w:t>reports on specific diagnoses and subsequent managements attributable to various forms of test (</w:t>
      </w:r>
      <w:r>
        <w:t xml:space="preserve">see </w:t>
      </w:r>
      <w:r>
        <w:rPr>
          <w:highlight w:val="yellow"/>
        </w:rPr>
        <w:fldChar w:fldCharType="begin"/>
      </w:r>
      <w:r>
        <w:instrText xml:space="preserve"> REF _Ref445908259 \h </w:instrText>
      </w:r>
      <w:r>
        <w:rPr>
          <w:highlight w:val="yellow"/>
        </w:rPr>
      </w:r>
      <w:r>
        <w:rPr>
          <w:highlight w:val="yellow"/>
        </w:rPr>
        <w:fldChar w:fldCharType="separate"/>
      </w:r>
      <w:r>
        <w:t xml:space="preserve">Table </w:t>
      </w:r>
      <w:r>
        <w:rPr>
          <w:noProof/>
        </w:rPr>
        <w:t>16</w:t>
      </w:r>
      <w:r>
        <w:rPr>
          <w:highlight w:val="yellow"/>
        </w:rPr>
        <w:fldChar w:fldCharType="end"/>
      </w:r>
      <w:r w:rsidRPr="00931520">
        <w:t>).</w:t>
      </w:r>
      <w:r w:rsidRPr="00075DD8">
        <w:t xml:space="preserve"> While broadly consistent with the findings of Taylor</w:t>
      </w:r>
      <w:r>
        <w:t xml:space="preserve">, AJ et al. </w:t>
      </w:r>
      <w:r>
        <w:fldChar w:fldCharType="begin"/>
      </w:r>
      <w:r>
        <w:instrText xml:space="preserve"> ADDIN EN.CITE &lt;EndNote&gt;&lt;Cite ExcludeAuth="1"&gt;&lt;Author&gt;Taylor AJ&lt;/Author&gt;&lt;Year&gt;2013&lt;/Year&gt;&lt;RecNum&gt;109&lt;/RecNum&gt;&lt;DisplayText&gt;(2013)&lt;/DisplayText&gt;&lt;record&gt;&lt;rec-number&gt;109&lt;/rec-number&gt;&lt;foreign-keys&gt;&lt;key app="EN" db-id="pfxxvref0t0a5de2vwnv2fwkz0p9v0r2fw0t" timestamp="1458687902"&gt;109&lt;/key&gt;&lt;/foreign-keys&gt;&lt;ref-type name="Journal Article"&gt;17&lt;/ref-type&gt;&lt;contributors&gt;&lt;authors&gt;&lt;author&gt;Taylor AJ,&lt;/author&gt;&lt;author&gt;Ellims A, &lt;/author&gt;&lt;author&gt;Lew PJ, &lt;/author&gt;&lt;author&gt;Murphy B, &lt;/author&gt;&lt;author&gt;Pally S, &lt;/author&gt;&lt;author&gt;Younie S, &lt;/author&gt;&lt;/authors&gt;&lt;/contributors&gt;&lt;titles&gt;&lt;title&gt;Impact of cardiac magnetic resonance imaging on cardiac device and surgical therapy: a prospective study&lt;/title&gt;&lt;secondary-title&gt;Int J Cardiovasc Imaging&lt;/secondary-title&gt;&lt;/titles&gt;&lt;periodical&gt;&lt;full-title&gt;Int J Cardiovasc Imaging&lt;/full-title&gt;&lt;/periodical&gt;&lt;pages&gt;855-64&lt;/pages&gt;&lt;volume&gt;29&lt;/volume&gt;&lt;number&gt;4&lt;/number&gt;&lt;dates&gt;&lt;year&gt;2013&lt;/year&gt;&lt;pub-dates&gt;&lt;date&gt;2013-01-01&lt;/date&gt;&lt;/pub-dates&gt;&lt;/dates&gt;&lt;isbn&gt;1569-5794&lt;/isbn&gt;&lt;urls&gt;&lt;related-urls&gt;&lt;url&gt;http://download.springer.com/static/pdf/983/art%253A10.1007%252Fs10554-012-0131-4.pdf?originUrl=http%3A%2F%2Flink.springer.com%2Farticle%2F10.1007%2Fs10554-012-0131-4&amp;amp;token2=exp=1453418749~acl=%2Fstatic%2Fpdf%2F983%2Fart%25253A10.1007%25252Fs10554-012-0131-4.pdf%3ForiginUrl%3Dhttp%253A%252F%252Flink.springer.com%252Farticle%252F10.1007%252Fs10554-012-0131-4*~hmac=a7806815743bde0d315e5af8c59dbd0463b43e311d082e27f13a9201861ff9e1&lt;/url&gt;&lt;/related-urls&gt;&lt;/urls&gt;&lt;custom1&gt;RAYYAN-INCLUSION: {&amp;quot;Sharon&amp;quot;=&amp;gt;true} | RAYYAN-LABELS: general&lt;/custom1&gt;&lt;research-notes&gt;ARVC, CM&lt;/research-notes&gt;&lt;language&gt;eng&lt;/language&gt;&lt;/record&gt;&lt;/Cite&gt;&lt;/EndNote&gt;</w:instrText>
      </w:r>
      <w:r>
        <w:fldChar w:fldCharType="separate"/>
      </w:r>
      <w:r>
        <w:rPr>
          <w:noProof/>
        </w:rPr>
        <w:t>(</w:t>
      </w:r>
      <w:hyperlink w:anchor="_ENREF_135" w:tooltip="Taylor AJ, 2013 #109" w:history="1">
        <w:r>
          <w:rPr>
            <w:noProof/>
          </w:rPr>
          <w:t>2013</w:t>
        </w:r>
      </w:hyperlink>
      <w:r>
        <w:rPr>
          <w:noProof/>
        </w:rPr>
        <w:t>)</w:t>
      </w:r>
      <w:r>
        <w:fldChar w:fldCharType="end"/>
      </w:r>
      <w:r w:rsidRPr="00075DD8">
        <w:t>,</w:t>
      </w:r>
      <w:r>
        <w:t xml:space="preserve"> the study </w:t>
      </w:r>
      <w:r w:rsidRPr="00075DD8">
        <w:t xml:space="preserve">does not provide comparative information with regard to expected management with or without </w:t>
      </w:r>
      <w:r>
        <w:t>CMR. T</w:t>
      </w:r>
      <w:r w:rsidRPr="00075DD8">
        <w:t>herefore</w:t>
      </w:r>
      <w:r>
        <w:t>,</w:t>
      </w:r>
      <w:r w:rsidRPr="00075DD8">
        <w:t xml:space="preserve"> without externally speculating </w:t>
      </w:r>
      <w:r>
        <w:t xml:space="preserve">on </w:t>
      </w:r>
      <w:r w:rsidRPr="00075DD8">
        <w:t>comparative treatments</w:t>
      </w:r>
      <w:r>
        <w:t>,</w:t>
      </w:r>
      <w:r w:rsidRPr="00075DD8">
        <w:t xml:space="preserve"> it </w:t>
      </w:r>
      <w:r>
        <w:t xml:space="preserve">is </w:t>
      </w:r>
      <w:r w:rsidRPr="00075DD8">
        <w:t xml:space="preserve">not possible to directly incorporate </w:t>
      </w:r>
      <w:r>
        <w:t xml:space="preserve">the data </w:t>
      </w:r>
      <w:r w:rsidRPr="00075DD8">
        <w:t>into the model.</w:t>
      </w:r>
    </w:p>
  </w:footnote>
  <w:footnote w:id="12">
    <w:p w14:paraId="3E72698F" w14:textId="4FA00A44" w:rsidR="00303F47" w:rsidRDefault="00303F47">
      <w:pPr>
        <w:pStyle w:val="FootnoteText"/>
      </w:pPr>
      <w:r>
        <w:rPr>
          <w:rStyle w:val="FootnoteReference"/>
        </w:rPr>
        <w:footnoteRef/>
      </w:r>
      <w:r>
        <w:t xml:space="preserve"> The source identified was the website of private health insurer HCF. The average charges for claims paid for various medical services are available from their website &lt;</w:t>
      </w:r>
      <w:hyperlink r:id="rId3" w:tooltip="http://healthtopics.hcf.com.au/avail_htopics.aspx" w:history="1">
        <w:r w:rsidRPr="005232E5">
          <w:rPr>
            <w:rStyle w:val="Hyperlink"/>
          </w:rPr>
          <w:t>http://healthtopics.hcf.com.au/avail_htopics.aspx</w:t>
        </w:r>
      </w:hyperlink>
      <w:r>
        <w:t>&gt;; accessed on 24 March 2016.</w:t>
      </w:r>
    </w:p>
  </w:footnote>
  <w:footnote w:id="13">
    <w:p w14:paraId="78CE70D8" w14:textId="61F56145" w:rsidR="00303F47" w:rsidRDefault="00303F47">
      <w:pPr>
        <w:pStyle w:val="FootnoteText"/>
      </w:pPr>
      <w:r>
        <w:rPr>
          <w:rStyle w:val="FootnoteReference"/>
        </w:rPr>
        <w:footnoteRef/>
      </w:r>
      <w:r>
        <w:t xml:space="preserve"> Price I</w:t>
      </w:r>
      <w:r w:rsidRPr="00B66250">
        <w:t>nflation calculator provided by R</w:t>
      </w:r>
      <w:r>
        <w:t>BA</w:t>
      </w:r>
      <w:r w:rsidRPr="00B66250">
        <w:t xml:space="preserve"> </w:t>
      </w:r>
      <w:r>
        <w:t>&lt;</w:t>
      </w:r>
      <w:hyperlink r:id="rId4" w:tooltip="RBA inflation calculator" w:history="1">
        <w:r w:rsidRPr="006712EE">
          <w:rPr>
            <w:rStyle w:val="Hyperlink"/>
          </w:rPr>
          <w:t>http://www.rba.gov.au/calculator/annualDecimal.html</w:t>
        </w:r>
      </w:hyperlink>
      <w:r>
        <w:t xml:space="preserve">&gt;; accessed on </w:t>
      </w:r>
      <w:r w:rsidRPr="008B3137">
        <w:t>2</w:t>
      </w:r>
      <w:r>
        <w:t>4</w:t>
      </w:r>
      <w:r w:rsidRPr="008B3137">
        <w:t xml:space="preserve"> March 2016</w:t>
      </w:r>
      <w:r>
        <w:t>.</w:t>
      </w:r>
    </w:p>
  </w:footnote>
  <w:footnote w:id="14">
    <w:p w14:paraId="4974713F" w14:textId="7D673F69" w:rsidR="00303F47" w:rsidRDefault="00303F47" w:rsidP="000E482F">
      <w:pPr>
        <w:pStyle w:val="FootnoteText"/>
      </w:pPr>
      <w:r>
        <w:rPr>
          <w:rStyle w:val="FootnoteReference"/>
        </w:rPr>
        <w:footnoteRef/>
      </w:r>
      <w:r>
        <w:t xml:space="preserve"> Taylor, AJ et al. suggested an adjustment factor of $3,185 to account for the differences in medical services and other additional prosthesis items. A cost adjustment of $3,185 (converted to $3,314 in 2015 AUD) using the following inflation calculator provided by RBA &lt;</w:t>
      </w:r>
      <w:hyperlink r:id="rId5" w:tooltip="RBA inflation calculator" w:history="1">
        <w:r w:rsidRPr="006712EE">
          <w:rPr>
            <w:rStyle w:val="Hyperlink"/>
          </w:rPr>
          <w:t>http://www.rba.gov.au/calculator/annualDecimal.html</w:t>
        </w:r>
      </w:hyperlink>
      <w:r>
        <w:t>&gt; is used in the present analysis.</w:t>
      </w:r>
    </w:p>
  </w:footnote>
  <w:footnote w:id="15">
    <w:p w14:paraId="13294E4A" w14:textId="186C5A2F" w:rsidR="00303F47" w:rsidRDefault="00303F47" w:rsidP="000E482F">
      <w:pPr>
        <w:pStyle w:val="FootnoteText"/>
      </w:pPr>
      <w:r>
        <w:rPr>
          <w:rStyle w:val="FootnoteReference"/>
        </w:rPr>
        <w:footnoteRef/>
      </w:r>
      <w:r>
        <w:t xml:space="preserve"> </w:t>
      </w:r>
      <w:proofErr w:type="gramStart"/>
      <w:r>
        <w:t>Medical Services Advisory Committee Application no. 1223 ‘Insertion, replacement or removal of a cardiac resynchronisation therapy device capable of defibrillation (CRT‐D) for mild chronic heart failure (NYHA II)’, June 2013.</w:t>
      </w:r>
      <w:proofErr w:type="gramEnd"/>
    </w:p>
  </w:footnote>
  <w:footnote w:id="16">
    <w:p w14:paraId="32AD1C8A" w14:textId="4A096772" w:rsidR="00303F47" w:rsidRDefault="00303F47" w:rsidP="000E482F">
      <w:pPr>
        <w:pStyle w:val="FootnoteText"/>
      </w:pPr>
      <w:r>
        <w:rPr>
          <w:rStyle w:val="FootnoteReference"/>
        </w:rPr>
        <w:footnoteRef/>
      </w:r>
      <w:r>
        <w:t xml:space="preserve"> For pharmacological stressors, event rates have been reported by stress type (adenosine (0.014%) and dobutamine (0.18%)) in section B.7.1. As the relative use of stress agents in Australia is unknown, an average estimate was used in the analyses. </w:t>
      </w:r>
    </w:p>
  </w:footnote>
  <w:footnote w:id="17">
    <w:p w14:paraId="353AC405" w14:textId="167838FA" w:rsidR="00303F47" w:rsidRDefault="00303F47" w:rsidP="0034788F">
      <w:pPr>
        <w:pStyle w:val="FootnoteText"/>
        <w:jc w:val="both"/>
      </w:pPr>
      <w:r>
        <w:rPr>
          <w:rStyle w:val="FootnoteReference"/>
        </w:rPr>
        <w:footnoteRef/>
      </w:r>
      <w:r>
        <w:t xml:space="preserve"> A</w:t>
      </w:r>
      <w:r w:rsidRPr="00CB50B2">
        <w:t xml:space="preserve">pproximately 700,000 </w:t>
      </w:r>
      <w:r>
        <w:t>e</w:t>
      </w:r>
      <w:r w:rsidRPr="00CB50B2">
        <w:t>cho</w:t>
      </w:r>
      <w:r>
        <w:t>cardiogram</w:t>
      </w:r>
      <w:r w:rsidRPr="00CB50B2">
        <w:t xml:space="preserve">s </w:t>
      </w:r>
      <w:r>
        <w:t>a</w:t>
      </w:r>
      <w:r w:rsidRPr="00CB50B2">
        <w:t xml:space="preserve">re performed </w:t>
      </w:r>
      <w:r>
        <w:t xml:space="preserve">annually </w:t>
      </w:r>
      <w:r w:rsidRPr="00CB50B2">
        <w:t xml:space="preserve">in Australia </w:t>
      </w:r>
      <w:r>
        <w:t>to</w:t>
      </w:r>
      <w:r w:rsidRPr="00CB50B2">
        <w:t xml:space="preserve"> investigat</w:t>
      </w:r>
      <w:r>
        <w:t>e</w:t>
      </w:r>
      <w:r w:rsidRPr="00CB50B2">
        <w:t xml:space="preserve"> symptoms or signs of cardiac failure</w:t>
      </w:r>
      <w:r>
        <w:t xml:space="preserve">, </w:t>
      </w:r>
      <w:r w:rsidRPr="00CB50B2">
        <w:t>suspected or known ventricular hypertrophy or dysfunction, or chest pain (MBS statistics</w:t>
      </w:r>
      <w:r>
        <w:t xml:space="preserve">, </w:t>
      </w:r>
      <w:r w:rsidRPr="00CB50B2">
        <w:t>2014</w:t>
      </w:r>
      <w:r>
        <w:t>–</w:t>
      </w:r>
      <w:r w:rsidRPr="00CB50B2">
        <w:t>15</w:t>
      </w:r>
      <w:r>
        <w:t>,</w:t>
      </w:r>
      <w:r w:rsidRPr="00CB50B2">
        <w:t xml:space="preserve"> for items 55113 and 55119). </w:t>
      </w:r>
      <w:r w:rsidRPr="00E705A5">
        <w:t>According to</w:t>
      </w:r>
      <w:r>
        <w:t xml:space="preserve"> clinical </w:t>
      </w:r>
      <w:r w:rsidRPr="00E705A5">
        <w:t xml:space="preserve">expert </w:t>
      </w:r>
      <w:r>
        <w:t>advice</w:t>
      </w:r>
      <w:r w:rsidRPr="000E7168">
        <w:t>,</w:t>
      </w:r>
      <w:r w:rsidRPr="00CB50B2">
        <w:t xml:space="preserve"> </w:t>
      </w:r>
      <w:r>
        <w:t xml:space="preserve">approximately </w:t>
      </w:r>
      <w:r w:rsidRPr="00CB50B2">
        <w:t>60% of these will have normal results</w:t>
      </w:r>
      <w:r>
        <w:t>. O</w:t>
      </w:r>
      <w:r w:rsidRPr="00CB50B2">
        <w:t xml:space="preserve">f the abnormal </w:t>
      </w:r>
      <w:r>
        <w:t>results</w:t>
      </w:r>
      <w:r w:rsidRPr="00CB50B2">
        <w:t xml:space="preserve"> (</w:t>
      </w:r>
      <w:r>
        <w:t xml:space="preserve">40% of the total—approximately </w:t>
      </w:r>
      <w:r w:rsidRPr="00CB50B2">
        <w:t>280,000)</w:t>
      </w:r>
      <w:r>
        <w:t xml:space="preserve">, </w:t>
      </w:r>
      <w:r w:rsidRPr="00CB50B2">
        <w:t>only a small</w:t>
      </w:r>
      <w:r>
        <w:t xml:space="preserve">—but </w:t>
      </w:r>
      <w:r w:rsidRPr="00CB50B2">
        <w:t>not quantified</w:t>
      </w:r>
      <w:r>
        <w:t>—</w:t>
      </w:r>
      <w:r w:rsidRPr="00CB50B2">
        <w:t xml:space="preserve">portion </w:t>
      </w:r>
      <w:r>
        <w:t xml:space="preserve">will relate to </w:t>
      </w:r>
      <w:r w:rsidRPr="00CB50B2">
        <w:t xml:space="preserve">suspected </w:t>
      </w:r>
      <w:r>
        <w:t>DCM</w:t>
      </w:r>
      <w:r w:rsidRPr="00CB50B2">
        <w:t>.</w:t>
      </w:r>
    </w:p>
  </w:footnote>
  <w:footnote w:id="18">
    <w:p w14:paraId="2A7EC497" w14:textId="0E75E747" w:rsidR="00303F47" w:rsidRDefault="00303F47" w:rsidP="000E482F">
      <w:pPr>
        <w:pStyle w:val="FootnoteText"/>
        <w:contextualSpacing/>
      </w:pPr>
      <w:r>
        <w:rPr>
          <w:rStyle w:val="FootnoteReference"/>
        </w:rPr>
        <w:footnoteRef/>
      </w:r>
      <w:r>
        <w:t xml:space="preserve"> Feedback provided by clinical experts during a teleconference with HTA members and Department of Health on 23 February 2016. Clinical experts advised that:</w:t>
      </w:r>
    </w:p>
    <w:p w14:paraId="5C48A75A" w14:textId="2EDA47F4" w:rsidR="00303F47" w:rsidRDefault="00303F47" w:rsidP="000E482F">
      <w:pPr>
        <w:pStyle w:val="FootnoteText"/>
        <w:numPr>
          <w:ilvl w:val="0"/>
          <w:numId w:val="57"/>
        </w:numPr>
        <w:contextualSpacing/>
      </w:pPr>
      <w:r>
        <w:t xml:space="preserve">For every index case of DCM, approximately four or five family members undergo DCM screening. </w:t>
      </w:r>
    </w:p>
    <w:p w14:paraId="6A490102" w14:textId="3B08BC71" w:rsidR="00303F47" w:rsidRDefault="00303F47" w:rsidP="000E482F">
      <w:pPr>
        <w:pStyle w:val="FootnoteText"/>
        <w:numPr>
          <w:ilvl w:val="0"/>
          <w:numId w:val="57"/>
        </w:numPr>
        <w:contextualSpacing/>
      </w:pPr>
      <w:r>
        <w:t xml:space="preserve">The annual incidence rate of DCM in the screened members is around 5%. </w:t>
      </w:r>
    </w:p>
    <w:p w14:paraId="0DB8975A" w14:textId="347B6D23" w:rsidR="00303F47" w:rsidRDefault="00303F47" w:rsidP="000E482F">
      <w:pPr>
        <w:pStyle w:val="FootnoteText"/>
        <w:numPr>
          <w:ilvl w:val="0"/>
          <w:numId w:val="57"/>
        </w:numPr>
        <w:contextualSpacing/>
      </w:pPr>
      <w:r>
        <w:t>Out of these incidence cases, approximately 40–50% will require diagnostic clarification using CMR, due to indeterminate results on other clinical tests.</w:t>
      </w:r>
    </w:p>
  </w:footnote>
  <w:footnote w:id="19">
    <w:p w14:paraId="7D930134" w14:textId="2F2D7E05" w:rsidR="00303F47" w:rsidRDefault="00303F47" w:rsidP="000E482F">
      <w:pPr>
        <w:pStyle w:val="FootnoteText"/>
      </w:pPr>
      <w:r>
        <w:rPr>
          <w:rStyle w:val="FootnoteReference"/>
        </w:rPr>
        <w:footnoteRef/>
      </w:r>
      <w:r>
        <w:t xml:space="preserve"> </w:t>
      </w:r>
      <w:r w:rsidRPr="00B64068">
        <w:t>Medical Services Advisory Committee</w:t>
      </w:r>
      <w:r>
        <w:t xml:space="preserve">, </w:t>
      </w:r>
      <w:r w:rsidRPr="00B64068">
        <w:t>Final Protocol for Application 1393</w:t>
      </w:r>
      <w:r>
        <w:t>: ‘</w:t>
      </w:r>
      <w:r w:rsidRPr="00B64068">
        <w:t>Magnetic resonance imaging of patients with suspected non-ischaemic cardiomyopathies</w:t>
      </w:r>
      <w:r>
        <w:t>’, May 2015.</w:t>
      </w:r>
    </w:p>
  </w:footnote>
  <w:footnote w:id="20">
    <w:p w14:paraId="0BA219DC" w14:textId="50D144FB" w:rsidR="00303F47" w:rsidRDefault="00303F47" w:rsidP="000E482F">
      <w:pPr>
        <w:pStyle w:val="FootnoteText"/>
      </w:pPr>
      <w:r>
        <w:rPr>
          <w:rStyle w:val="FootnoteReference"/>
        </w:rPr>
        <w:footnoteRef/>
      </w:r>
      <w:r>
        <w:t xml:space="preserve"> MBS data was analysed for the proportion of tests conducted in-hospital and out-of-hospital for items 55113, 57360, 61303, 61313, 63385, 63388, 63391, 63401 and 63404 in 2014–15.</w:t>
      </w:r>
    </w:p>
  </w:footnote>
  <w:footnote w:id="21">
    <w:p w14:paraId="64C6CB09" w14:textId="77777777" w:rsidR="00303F47" w:rsidRDefault="00303F47" w:rsidP="000E482F">
      <w:pPr>
        <w:pStyle w:val="FootnoteText"/>
      </w:pPr>
      <w:r>
        <w:rPr>
          <w:rStyle w:val="FootnoteReference"/>
        </w:rPr>
        <w:footnoteRef/>
      </w:r>
      <w:r>
        <w:t xml:space="preserve"> $244.36 × (1 </w:t>
      </w:r>
      <w:r>
        <w:sym w:font="Symbol" w:char="F02D"/>
      </w:r>
      <w:r>
        <w:t xml:space="preserve"> 72.8%)</w:t>
      </w:r>
    </w:p>
  </w:footnote>
  <w:footnote w:id="22">
    <w:p w14:paraId="3968085D" w14:textId="77539274" w:rsidR="00303F47" w:rsidRDefault="00303F47" w:rsidP="00CC55F9">
      <w:pPr>
        <w:pStyle w:val="FootnoteText"/>
        <w:spacing w:after="120"/>
      </w:pPr>
      <w:r>
        <w:rPr>
          <w:rStyle w:val="FootnoteReference"/>
        </w:rPr>
        <w:footnoteRef/>
      </w:r>
      <w:r>
        <w:t xml:space="preserve"> &lt;</w:t>
      </w:r>
      <w:hyperlink r:id="rId6" w:tooltip="http://healthtopics.hcf.com.au/CoronaryAngiographyAngioplastyandStents.aspx" w:history="1">
        <w:r w:rsidRPr="004858E1">
          <w:rPr>
            <w:rStyle w:val="Hyperlink"/>
          </w:rPr>
          <w:t>http://healthtopics.hcf.com.au/CoronaryAngiographyAngioplastyandStents.aspx</w:t>
        </w:r>
      </w:hyperlink>
      <w:r>
        <w:t>&gt;; accessed on 24 March 2016.</w:t>
      </w:r>
    </w:p>
  </w:footnote>
  <w:footnote w:id="23">
    <w:p w14:paraId="6715A76F" w14:textId="5C266CDE" w:rsidR="00303F47" w:rsidRDefault="00303F47" w:rsidP="00CC55F9">
      <w:pPr>
        <w:pStyle w:val="FootnoteText"/>
        <w:spacing w:after="120"/>
      </w:pPr>
      <w:r>
        <w:rPr>
          <w:rStyle w:val="FootnoteReference"/>
        </w:rPr>
        <w:footnoteRef/>
      </w:r>
      <w:r>
        <w:t xml:space="preserve"> Converted to 2015 AUD using inflation calculator provided by RBA; &lt;</w:t>
      </w:r>
      <w:hyperlink r:id="rId7" w:tooltip="link to RBA inflation calculator" w:history="1">
        <w:r w:rsidRPr="004858E1">
          <w:rPr>
            <w:rStyle w:val="Hyperlink"/>
          </w:rPr>
          <w:t>http://www.rba.gov.au/calculator/annualDecimal.html</w:t>
        </w:r>
      </w:hyperlink>
      <w:r>
        <w:rPr>
          <w:rStyle w:val="Hyperlink"/>
        </w:rPr>
        <w:t>&gt;;</w:t>
      </w:r>
      <w:r>
        <w:t xml:space="preserve"> accessed on 24th March 2016.</w:t>
      </w:r>
    </w:p>
  </w:footnote>
  <w:footnote w:id="24">
    <w:p w14:paraId="63DA0DDA" w14:textId="20C530E8" w:rsidR="00303F47" w:rsidRDefault="00303F47" w:rsidP="00B774D7">
      <w:pPr>
        <w:pStyle w:val="FootnoteText"/>
        <w:spacing w:after="0" w:line="240" w:lineRule="auto"/>
      </w:pPr>
      <w:r>
        <w:rPr>
          <w:rStyle w:val="FootnoteReference"/>
        </w:rPr>
        <w:footnoteRef/>
      </w:r>
      <w:r>
        <w:t xml:space="preserve"> Available from &lt;</w:t>
      </w:r>
      <w:hyperlink r:id="rId8" w:history="1">
        <w:r>
          <w:rPr>
            <w:rStyle w:val="Hyperlink"/>
          </w:rPr>
          <w:t>FDA website</w:t>
        </w:r>
      </w:hyperlink>
      <w:r>
        <w:t>&gt;;</w:t>
      </w:r>
      <w:r w:rsidRPr="004E6991">
        <w:t xml:space="preserve"> accessed on </w:t>
      </w:r>
      <w:r>
        <w:t>20</w:t>
      </w:r>
      <w:r w:rsidRPr="004E6991">
        <w:t xml:space="preserve"> </w:t>
      </w:r>
      <w:r>
        <w:t>October</w:t>
      </w:r>
      <w:r w:rsidRPr="004E6991">
        <w:t xml:space="preserve"> 2015</w:t>
      </w:r>
    </w:p>
  </w:footnote>
  <w:footnote w:id="25">
    <w:p w14:paraId="3AEE8F70" w14:textId="246D03FF" w:rsidR="00303F47" w:rsidRDefault="00303F47" w:rsidP="00066D73">
      <w:pPr>
        <w:pStyle w:val="FootnoteText"/>
      </w:pPr>
      <w:r>
        <w:rPr>
          <w:rStyle w:val="FootnoteReference"/>
        </w:rPr>
        <w:footnoteRef/>
      </w:r>
      <w:r>
        <w:t xml:space="preserve"> </w:t>
      </w:r>
      <w:r w:rsidRPr="002D189D">
        <w:t>Multiple Operations Rule</w:t>
      </w:r>
      <w:r>
        <w:t>—fees are</w:t>
      </w:r>
      <w:r w:rsidRPr="002D189D">
        <w:t xml:space="preserve"> aggregate</w:t>
      </w:r>
      <w:r>
        <w:t xml:space="preserve">d </w:t>
      </w:r>
      <w:r w:rsidRPr="002D189D">
        <w:t xml:space="preserve">in accordance with the formula: 100% for the item with the greatest </w:t>
      </w:r>
      <w:r>
        <w:t>s</w:t>
      </w:r>
      <w:r w:rsidRPr="002D189D">
        <w:t xml:space="preserve">chedule fee + 50% for the item with the next greatest </w:t>
      </w:r>
      <w:r>
        <w:t>s</w:t>
      </w:r>
      <w:r w:rsidRPr="002D189D">
        <w:t xml:space="preserve">chedule fee </w:t>
      </w:r>
      <w:r>
        <w:t>+</w:t>
      </w:r>
      <w:r w:rsidRPr="002D189D">
        <w:t xml:space="preserve"> 25% for each other item</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82F62" w14:textId="77777777" w:rsidR="005D2304" w:rsidRDefault="005D230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D8D8C" w14:textId="57DAC9C7" w:rsidR="00303F47" w:rsidRDefault="00303F4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E125A" w14:textId="7F7BAE6E" w:rsidR="00303F47" w:rsidRDefault="00303F47" w:rsidP="00A474A9">
    <w:pPr>
      <w:pStyle w:val="Header"/>
      <w:tabs>
        <w:tab w:val="clear" w:pos="8306"/>
        <w:tab w:val="right" w:pos="893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52CA7" w14:textId="321E84D6" w:rsidR="00303F47" w:rsidRDefault="00303F4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D381" w14:textId="18472142" w:rsidR="00303F47" w:rsidRDefault="00303F4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3787" w14:textId="7BD39DBD" w:rsidR="00303F47" w:rsidRDefault="00303F4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127A1" w14:textId="4BC323F4" w:rsidR="00303F47" w:rsidRDefault="00303F4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090DA" w14:textId="34350A8C" w:rsidR="00303F47" w:rsidRDefault="00303F4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A258" w14:textId="71E25AC0" w:rsidR="00303F47" w:rsidRDefault="00303F4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609E" w14:textId="005767C8" w:rsidR="00303F47" w:rsidRDefault="00303F4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B73F6" w14:textId="56628471" w:rsidR="00303F47" w:rsidRDefault="00303F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92D53" w14:textId="0647E961" w:rsidR="00303F47" w:rsidRDefault="00303F47">
    <w:pPr>
      <w:pStyle w:val="Header"/>
      <w:jc w:val="right"/>
    </w:pPr>
  </w:p>
  <w:p w14:paraId="639D2793" w14:textId="6BCEE918" w:rsidR="00303F47" w:rsidRDefault="00303F47" w:rsidP="00B426FF">
    <w:pPr>
      <w:pStyle w:val="Header"/>
      <w:tabs>
        <w:tab w:val="clear" w:pos="8306"/>
        <w:tab w:val="right" w:pos="8931"/>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6185" w14:textId="1C7FD458" w:rsidR="00303F47" w:rsidRDefault="00303F4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4A834" w14:textId="13C06154" w:rsidR="00303F47" w:rsidRDefault="00303F4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6A10" w14:textId="3AC7A7AB" w:rsidR="00303F47" w:rsidRDefault="00303F4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47D44" w14:textId="18781BAC" w:rsidR="00303F47" w:rsidRDefault="00303F4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074A" w14:textId="6F020005" w:rsidR="00303F47" w:rsidRDefault="00303F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F6B2" w14:textId="5B24E28D" w:rsidR="00303F47" w:rsidRDefault="00303F47" w:rsidP="00B426FF">
    <w:pPr>
      <w:pStyle w:val="Header"/>
      <w:tabs>
        <w:tab w:val="clear" w:pos="8306"/>
        <w:tab w:val="right" w:pos="893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B0AFF" w14:textId="1E21D315" w:rsidR="00303F47" w:rsidRDefault="00303F47"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82082" w14:textId="12AB89C6" w:rsidR="00303F47" w:rsidRDefault="00303F47" w:rsidP="00B426FF">
    <w:pPr>
      <w:pStyle w:val="Header"/>
      <w:tabs>
        <w:tab w:val="clear" w:pos="8306"/>
        <w:tab w:val="right" w:pos="893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7B5D0" w14:textId="14D72E8F" w:rsidR="00303F47" w:rsidRDefault="00303F47"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49C5D" w14:textId="011718F0" w:rsidR="00303F47" w:rsidRDefault="00303F47" w:rsidP="00A236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783F" w14:textId="6E244ECE" w:rsidR="00303F47" w:rsidRDefault="00303F47" w:rsidP="00B426FF">
    <w:pPr>
      <w:pStyle w:val="Header"/>
      <w:tabs>
        <w:tab w:val="clear" w:pos="8306"/>
        <w:tab w:val="right" w:pos="8931"/>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643AD" w14:textId="4ECF4857" w:rsidR="00303F47" w:rsidRDefault="00303F47"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279"/>
    <w:multiLevelType w:val="hybridMultilevel"/>
    <w:tmpl w:val="38568486"/>
    <w:lvl w:ilvl="0" w:tplc="1550FE5C">
      <w:start w:val="1"/>
      <w:numFmt w:val="none"/>
      <w:lvlText w:val="A8"/>
      <w:lvlJc w:val="right"/>
      <w:pPr>
        <w:ind w:left="36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A38A7"/>
    <w:multiLevelType w:val="multilevel"/>
    <w:tmpl w:val="D61C93A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
    <w:nsid w:val="022B5928"/>
    <w:multiLevelType w:val="hybridMultilevel"/>
    <w:tmpl w:val="287A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BD22EE"/>
    <w:multiLevelType w:val="multilevel"/>
    <w:tmpl w:val="B394BEEC"/>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none"/>
      <w:lvlText w:val="E2"/>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
    <w:nsid w:val="040202F5"/>
    <w:multiLevelType w:val="hybridMultilevel"/>
    <w:tmpl w:val="C5F023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C766FE"/>
    <w:multiLevelType w:val="multilevel"/>
    <w:tmpl w:val="E922455C"/>
    <w:lvl w:ilvl="0">
      <w:start w:val="2"/>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B8149F"/>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7">
    <w:nsid w:val="063F4A48"/>
    <w:multiLevelType w:val="multilevel"/>
    <w:tmpl w:val="C2CC84F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
    <w:nsid w:val="064E09EA"/>
    <w:multiLevelType w:val="hybridMultilevel"/>
    <w:tmpl w:val="59E29334"/>
    <w:lvl w:ilvl="0" w:tplc="B2A64020">
      <w:start w:val="11"/>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6504882"/>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10">
    <w:nsid w:val="06B912C6"/>
    <w:multiLevelType w:val="multilevel"/>
    <w:tmpl w:val="A3209228"/>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nsid w:val="08E31CD5"/>
    <w:multiLevelType w:val="hybridMultilevel"/>
    <w:tmpl w:val="E3A28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017EEA"/>
    <w:multiLevelType w:val="hybridMultilevel"/>
    <w:tmpl w:val="5C02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551C6B"/>
    <w:multiLevelType w:val="multilevel"/>
    <w:tmpl w:val="ED2EC04E"/>
    <w:lvl w:ilvl="0">
      <w:start w:val="10"/>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14">
    <w:nsid w:val="0DAC38C6"/>
    <w:multiLevelType w:val="hybridMultilevel"/>
    <w:tmpl w:val="978A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1C69B0"/>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16">
    <w:nsid w:val="0F5E3FEA"/>
    <w:multiLevelType w:val="multilevel"/>
    <w:tmpl w:val="C5F023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153B02"/>
    <w:multiLevelType w:val="hybridMultilevel"/>
    <w:tmpl w:val="EF0EA8C0"/>
    <w:lvl w:ilvl="0" w:tplc="04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10CD2F86"/>
    <w:multiLevelType w:val="multilevel"/>
    <w:tmpl w:val="268AE644"/>
    <w:lvl w:ilvl="0">
      <w:start w:val="1"/>
      <w:numFmt w:val="none"/>
      <w:lvlText w:val="A.1"/>
      <w:lvlJc w:val="left"/>
      <w:pPr>
        <w:ind w:left="1134" w:hanging="1134"/>
      </w:pPr>
      <w:rPr>
        <w:rFonts w:ascii="Calibri" w:hAnsi="Calibri" w:hint="default"/>
        <w:b/>
        <w:i w:val="0"/>
        <w:color w:val="auto"/>
        <w:sz w:val="24"/>
      </w:rPr>
    </w:lvl>
    <w:lvl w:ilvl="1">
      <w:start w:val="4"/>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9">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20">
    <w:nsid w:val="13B40A76"/>
    <w:multiLevelType w:val="multilevel"/>
    <w:tmpl w:val="7B76CED0"/>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1">
    <w:nsid w:val="13DF0D6F"/>
    <w:multiLevelType w:val="multilevel"/>
    <w:tmpl w:val="FD0EB744"/>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2">
    <w:nsid w:val="15B86F9B"/>
    <w:multiLevelType w:val="multilevel"/>
    <w:tmpl w:val="EC08892E"/>
    <w:lvl w:ilvl="0">
      <w:start w:val="1"/>
      <w:numFmt w:val="none"/>
      <w:lvlText w:val="B8.1"/>
      <w:lvlJc w:val="left"/>
      <w:pPr>
        <w:ind w:left="720" w:hanging="360"/>
      </w:pPr>
      <w:rPr>
        <w:rFonts w:ascii="Calibri" w:hAnsi="Calibri" w:hint="default"/>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60D16A7"/>
    <w:multiLevelType w:val="hybridMultilevel"/>
    <w:tmpl w:val="8C006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17430932"/>
    <w:multiLevelType w:val="hybridMultilevel"/>
    <w:tmpl w:val="6BE83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B0D7081"/>
    <w:multiLevelType w:val="hybridMultilevel"/>
    <w:tmpl w:val="E628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B2C2E0D"/>
    <w:multiLevelType w:val="hybridMultilevel"/>
    <w:tmpl w:val="EC8C52A6"/>
    <w:lvl w:ilvl="0" w:tplc="9A88B9F4">
      <w:start w:val="1"/>
      <w:numFmt w:val="none"/>
      <w:lvlText w:val="A6"/>
      <w:lvlJc w:val="right"/>
      <w:pPr>
        <w:ind w:left="72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3A05B1"/>
    <w:multiLevelType w:val="hybridMultilevel"/>
    <w:tmpl w:val="59A8FC60"/>
    <w:lvl w:ilvl="0" w:tplc="2A30C2F2">
      <w:start w:val="1"/>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E0D16A6"/>
    <w:multiLevelType w:val="multilevel"/>
    <w:tmpl w:val="3FC4D648"/>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9">
    <w:nsid w:val="1EAE395B"/>
    <w:multiLevelType w:val="hybridMultilevel"/>
    <w:tmpl w:val="0FFA35F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1D34F98"/>
    <w:multiLevelType w:val="multilevel"/>
    <w:tmpl w:val="B77CC78E"/>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hint="default"/>
      </w:rPr>
    </w:lvl>
    <w:lvl w:ilvl="8">
      <w:start w:val="1"/>
      <w:numFmt w:val="bullet"/>
      <w:lvlText w:val=""/>
      <w:lvlJc w:val="left"/>
      <w:pPr>
        <w:ind w:left="6530" w:hanging="360"/>
      </w:pPr>
      <w:rPr>
        <w:rFonts w:ascii="Wingdings" w:hAnsi="Wingdings" w:hint="default"/>
      </w:rPr>
    </w:lvl>
  </w:abstractNum>
  <w:abstractNum w:abstractNumId="32">
    <w:nsid w:val="220A07EC"/>
    <w:multiLevelType w:val="singleLevel"/>
    <w:tmpl w:val="FC24B238"/>
    <w:lvl w:ilvl="0">
      <w:start w:val="1"/>
      <w:numFmt w:val="decimal"/>
      <w:pStyle w:val="ESNumberedSectionHeading"/>
      <w:lvlText w:val="A.%1"/>
      <w:lvlJc w:val="left"/>
      <w:pPr>
        <w:ind w:left="360" w:hanging="360"/>
      </w:pPr>
      <w:rPr>
        <w:rFonts w:ascii="Calibri" w:hAnsi="Calibri" w:hint="default"/>
        <w:b/>
        <w:i w:val="0"/>
        <w:color w:val="auto"/>
        <w:sz w:val="24"/>
      </w:rPr>
    </w:lvl>
  </w:abstractNum>
  <w:abstractNum w:abstractNumId="33">
    <w:nsid w:val="230E0887"/>
    <w:multiLevelType w:val="hybridMultilevel"/>
    <w:tmpl w:val="DBB68120"/>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5">
    <w:nsid w:val="255B424C"/>
    <w:multiLevelType w:val="hybridMultilevel"/>
    <w:tmpl w:val="2ED8687A"/>
    <w:lvl w:ilvl="0" w:tplc="E642F608">
      <w:start w:val="6"/>
      <w:numFmt w:val="bullet"/>
      <w:lvlText w:val="-"/>
      <w:lvlJc w:val="left"/>
      <w:pPr>
        <w:ind w:left="896" w:hanging="360"/>
      </w:pPr>
      <w:rPr>
        <w:rFonts w:ascii="Arial Narrow" w:eastAsia="Times New Roman" w:hAnsi="Arial Narrow" w:cs="Times New Roman"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6">
    <w:nsid w:val="2B3311C1"/>
    <w:multiLevelType w:val="hybridMultilevel"/>
    <w:tmpl w:val="A0E6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CDC37B4"/>
    <w:multiLevelType w:val="hybridMultilevel"/>
    <w:tmpl w:val="6BEC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DE556FE"/>
    <w:multiLevelType w:val="hybridMultilevel"/>
    <w:tmpl w:val="0D52421E"/>
    <w:lvl w:ilvl="0" w:tplc="04090003">
      <w:start w:val="1"/>
      <w:numFmt w:val="bullet"/>
      <w:lvlText w:val="o"/>
      <w:lvlJc w:val="left"/>
      <w:pPr>
        <w:ind w:left="770" w:hanging="360"/>
      </w:pPr>
      <w:rPr>
        <w:rFonts w:ascii="Courier New" w:hAnsi="Courier New"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nsid w:val="30711136"/>
    <w:multiLevelType w:val="hybridMultilevel"/>
    <w:tmpl w:val="CFEC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E31BDA"/>
    <w:multiLevelType w:val="hybridMultilevel"/>
    <w:tmpl w:val="64B6FBB4"/>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2E66F7D"/>
    <w:multiLevelType w:val="multilevel"/>
    <w:tmpl w:val="677427E2"/>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none"/>
      <w:lvlText w:val="E4"/>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2">
    <w:nsid w:val="331A32B0"/>
    <w:multiLevelType w:val="hybridMultilevel"/>
    <w:tmpl w:val="81D65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3FF0776"/>
    <w:multiLevelType w:val="hybridMultilevel"/>
    <w:tmpl w:val="EC08892E"/>
    <w:lvl w:ilvl="0" w:tplc="CC76787C">
      <w:start w:val="1"/>
      <w:numFmt w:val="none"/>
      <w:lvlText w:val="B8.1"/>
      <w:lvlJc w:val="left"/>
      <w:pPr>
        <w:ind w:left="72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0A5A06"/>
    <w:multiLevelType w:val="hybridMultilevel"/>
    <w:tmpl w:val="B8E25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61C13D6"/>
    <w:multiLevelType w:val="hybridMultilevel"/>
    <w:tmpl w:val="DBB68120"/>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nsid w:val="370C153C"/>
    <w:multiLevelType w:val="hybridMultilevel"/>
    <w:tmpl w:val="8CB201EC"/>
    <w:lvl w:ilvl="0" w:tplc="0C09001B">
      <w:start w:val="1"/>
      <w:numFmt w:val="lowerRoman"/>
      <w:lvlText w:val="%1."/>
      <w:lvlJc w:val="righ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75446AE"/>
    <w:multiLevelType w:val="hybridMultilevel"/>
    <w:tmpl w:val="568EF9BC"/>
    <w:lvl w:ilvl="0" w:tplc="4162BD58">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nsid w:val="3AB909D5"/>
    <w:multiLevelType w:val="hybridMultilevel"/>
    <w:tmpl w:val="A0C8B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AFF0F60"/>
    <w:multiLevelType w:val="multilevel"/>
    <w:tmpl w:val="D61C93A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0">
    <w:nsid w:val="3B100B20"/>
    <w:multiLevelType w:val="multilevel"/>
    <w:tmpl w:val="7B76CED0"/>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1">
    <w:nsid w:val="3BAD14F0"/>
    <w:multiLevelType w:val="hybridMultilevel"/>
    <w:tmpl w:val="C14E75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2">
    <w:nsid w:val="3E8070C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3">
    <w:nsid w:val="409F4551"/>
    <w:multiLevelType w:val="hybridMultilevel"/>
    <w:tmpl w:val="DBB68120"/>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4">
    <w:nsid w:val="415804D1"/>
    <w:multiLevelType w:val="hybridMultilevel"/>
    <w:tmpl w:val="CF92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23F3FBB"/>
    <w:multiLevelType w:val="multilevel"/>
    <w:tmpl w:val="C5F023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3E7350F"/>
    <w:multiLevelType w:val="hybridMultilevel"/>
    <w:tmpl w:val="A19A2808"/>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43E73778"/>
    <w:multiLevelType w:val="hybridMultilevel"/>
    <w:tmpl w:val="6CEA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0825DD"/>
    <w:multiLevelType w:val="multilevel"/>
    <w:tmpl w:val="1E0AA6B2"/>
    <w:lvl w:ilvl="0">
      <w:start w:val="1"/>
      <w:numFmt w:val="none"/>
      <w:lvlText w:val="A.1"/>
      <w:lvlJc w:val="left"/>
      <w:pPr>
        <w:ind w:left="1134" w:hanging="1134"/>
      </w:pPr>
      <w:rPr>
        <w:rFonts w:ascii="Calibri" w:hAnsi="Calibri" w:hint="default"/>
        <w:b/>
        <w:i w:val="0"/>
        <w:color w:val="auto"/>
        <w:sz w:val="24"/>
      </w:rPr>
    </w:lvl>
    <w:lvl w:ilvl="1">
      <w:start w:val="1"/>
      <w:numFmt w:val="decimal"/>
      <w:lvlText w:val="B5.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9">
    <w:nsid w:val="47CF0448"/>
    <w:multiLevelType w:val="multilevel"/>
    <w:tmpl w:val="64B6FB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9173044"/>
    <w:multiLevelType w:val="multilevel"/>
    <w:tmpl w:val="7BD2A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4A3F0B76"/>
    <w:multiLevelType w:val="multilevel"/>
    <w:tmpl w:val="C87CB6F6"/>
    <w:lvl w:ilvl="0">
      <w:start w:val="1"/>
      <w:numFmt w:val="none"/>
      <w:lvlText w:val="A.1"/>
      <w:lvlJc w:val="left"/>
      <w:pPr>
        <w:ind w:left="1134" w:hanging="1134"/>
      </w:pPr>
      <w:rPr>
        <w:rFonts w:ascii="Calibri" w:hAnsi="Calibri" w:hint="default"/>
        <w:b/>
        <w:i w:val="0"/>
        <w:color w:val="auto"/>
        <w:sz w:val="24"/>
      </w:rPr>
    </w:lvl>
    <w:lvl w:ilvl="1">
      <w:start w:val="1"/>
      <w:numFmt w:val="decimal"/>
      <w:lvlText w:val="B5.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62">
    <w:nsid w:val="4B3743B8"/>
    <w:multiLevelType w:val="multilevel"/>
    <w:tmpl w:val="C6625398"/>
    <w:lvl w:ilvl="0">
      <w:start w:val="1"/>
      <w:numFmt w:val="decimal"/>
      <w:lvlText w:val="B3.%1"/>
      <w:lvlJc w:val="left"/>
      <w:pPr>
        <w:ind w:left="1134" w:hanging="1134"/>
      </w:pPr>
      <w:rPr>
        <w:rFonts w:hint="default"/>
        <w:b/>
        <w:i w:val="0"/>
        <w:color w:val="auto"/>
        <w:sz w:val="24"/>
      </w:rPr>
    </w:lvl>
    <w:lvl w:ilvl="1">
      <w:start w:val="5"/>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63">
    <w:nsid w:val="4CFD39E4"/>
    <w:multiLevelType w:val="hybridMultilevel"/>
    <w:tmpl w:val="60DA19A4"/>
    <w:lvl w:ilvl="0" w:tplc="B38E02FE">
      <w:start w:val="1"/>
      <w:numFmt w:val="none"/>
      <w:lvlText w:val="B8.2"/>
      <w:lvlJc w:val="left"/>
      <w:pPr>
        <w:ind w:left="72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D0508A6"/>
    <w:multiLevelType w:val="hybridMultilevel"/>
    <w:tmpl w:val="5940491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nsid w:val="4D41029D"/>
    <w:multiLevelType w:val="hybridMultilevel"/>
    <w:tmpl w:val="F47E5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nsid w:val="4E2A6CA3"/>
    <w:multiLevelType w:val="hybridMultilevel"/>
    <w:tmpl w:val="D45A3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520A1283"/>
    <w:multiLevelType w:val="hybridMultilevel"/>
    <w:tmpl w:val="9C8887FE"/>
    <w:lvl w:ilvl="0" w:tplc="E642F608">
      <w:start w:val="6"/>
      <w:numFmt w:val="bullet"/>
      <w:lvlText w:val="-"/>
      <w:lvlJc w:val="left"/>
      <w:pPr>
        <w:ind w:left="896" w:hanging="360"/>
      </w:pPr>
      <w:rPr>
        <w:rFonts w:ascii="Arial Narrow" w:eastAsia="Times New Roman" w:hAnsi="Arial Narrow" w:cs="Times New Roman"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68">
    <w:nsid w:val="54D94DF7"/>
    <w:multiLevelType w:val="hybridMultilevel"/>
    <w:tmpl w:val="2B98E88E"/>
    <w:lvl w:ilvl="0" w:tplc="E642F608">
      <w:start w:val="6"/>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6891D8A"/>
    <w:multiLevelType w:val="multilevel"/>
    <w:tmpl w:val="FEE071C8"/>
    <w:numStyleLink w:val="ESSectionheading-numbered"/>
  </w:abstractNum>
  <w:abstractNum w:abstractNumId="70">
    <w:nsid w:val="56B534D9"/>
    <w:multiLevelType w:val="hybridMultilevel"/>
    <w:tmpl w:val="4F24A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72F5B70"/>
    <w:multiLevelType w:val="multilevel"/>
    <w:tmpl w:val="453A222A"/>
    <w:lvl w:ilvl="0">
      <w:start w:val="1"/>
      <w:numFmt w:val="none"/>
      <w:lvlText w:val="A.1"/>
      <w:lvlJc w:val="left"/>
      <w:pPr>
        <w:ind w:left="1134" w:hanging="1134"/>
      </w:pPr>
      <w:rPr>
        <w:rFonts w:ascii="Calibri" w:hAnsi="Calibri" w:hint="default"/>
        <w:b/>
        <w:i w:val="0"/>
        <w:color w:val="auto"/>
        <w:sz w:val="24"/>
      </w:rPr>
    </w:lvl>
    <w:lvl w:ilvl="1">
      <w:start w:val="1"/>
      <w:numFmt w:val="decimal"/>
      <w:lvlText w:val="B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72">
    <w:nsid w:val="58601969"/>
    <w:multiLevelType w:val="multilevel"/>
    <w:tmpl w:val="643490B4"/>
    <w:lvl w:ilvl="0">
      <w:start w:val="9"/>
      <w:numFmt w:val="decimal"/>
      <w:lvlText w:val="B3.%1"/>
      <w:lvlJc w:val="left"/>
      <w:pPr>
        <w:ind w:left="1134" w:hanging="1134"/>
      </w:pPr>
      <w:rPr>
        <w:rFonts w:hint="default"/>
        <w:b/>
        <w:i w:val="0"/>
        <w:color w:val="auto"/>
        <w:sz w:val="24"/>
      </w:rPr>
    </w:lvl>
    <w:lvl w:ilvl="1">
      <w:start w:val="8"/>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73">
    <w:nsid w:val="5AEF3CA6"/>
    <w:multiLevelType w:val="hybridMultilevel"/>
    <w:tmpl w:val="BEDA483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5C9E643E"/>
    <w:multiLevelType w:val="hybridMultilevel"/>
    <w:tmpl w:val="BEC2CA06"/>
    <w:lvl w:ilvl="0" w:tplc="6498B31E">
      <w:start w:val="1"/>
      <w:numFmt w:val="none"/>
      <w:lvlText w:val="A10"/>
      <w:lvlJc w:val="right"/>
      <w:pPr>
        <w:ind w:left="36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76">
    <w:nsid w:val="5E0C2B6A"/>
    <w:multiLevelType w:val="hybridMultilevel"/>
    <w:tmpl w:val="92569552"/>
    <w:styleLink w:val="ESSectionheading-numbered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E4A1143"/>
    <w:multiLevelType w:val="hybridMultilevel"/>
    <w:tmpl w:val="C242E9CC"/>
    <w:lvl w:ilvl="0" w:tplc="D3422386">
      <w:start w:val="1"/>
      <w:numFmt w:val="none"/>
      <w:lvlText w:val="A7"/>
      <w:lvlJc w:val="right"/>
      <w:pPr>
        <w:ind w:left="36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60427F"/>
    <w:multiLevelType w:val="hybridMultilevel"/>
    <w:tmpl w:val="69A09B14"/>
    <w:lvl w:ilvl="0" w:tplc="CC76787C">
      <w:start w:val="1"/>
      <w:numFmt w:val="none"/>
      <w:lvlText w:val="B8.1"/>
      <w:lvlJc w:val="left"/>
      <w:pPr>
        <w:ind w:left="72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F038F5"/>
    <w:multiLevelType w:val="hybridMultilevel"/>
    <w:tmpl w:val="6BE83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0FB3DC6"/>
    <w:multiLevelType w:val="multilevel"/>
    <w:tmpl w:val="5940491A"/>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3">
    <w:nsid w:val="621F0BA9"/>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84">
    <w:nsid w:val="62257F47"/>
    <w:multiLevelType w:val="multilevel"/>
    <w:tmpl w:val="2CAAC190"/>
    <w:lvl w:ilvl="0">
      <w:start w:val="1"/>
      <w:numFmt w:val="none"/>
      <w:lvlText w:val="A.1"/>
      <w:lvlJc w:val="left"/>
      <w:pPr>
        <w:ind w:left="1134" w:hanging="1134"/>
      </w:pPr>
      <w:rPr>
        <w:rFonts w:ascii="Calibri" w:hAnsi="Calibri" w:hint="default"/>
        <w:b/>
        <w:i w:val="0"/>
        <w:color w:val="auto"/>
        <w:sz w:val="24"/>
      </w:rPr>
    </w:lvl>
    <w:lvl w:ilvl="1">
      <w:start w:val="1"/>
      <w:numFmt w:val="decimal"/>
      <w:lvlText w:val="B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5">
    <w:nsid w:val="64485FC5"/>
    <w:multiLevelType w:val="hybridMultilevel"/>
    <w:tmpl w:val="B77CC7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6">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87">
    <w:nsid w:val="679F7B24"/>
    <w:multiLevelType w:val="hybridMultilevel"/>
    <w:tmpl w:val="ADD40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A6F6C45"/>
    <w:multiLevelType w:val="hybridMultilevel"/>
    <w:tmpl w:val="A7E8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6A730C6D"/>
    <w:multiLevelType w:val="multilevel"/>
    <w:tmpl w:val="4D288A0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none"/>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90">
    <w:nsid w:val="6B32225A"/>
    <w:multiLevelType w:val="multilevel"/>
    <w:tmpl w:val="4598677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none"/>
      <w:lvlText w:val="E3"/>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91">
    <w:nsid w:val="6B600528"/>
    <w:multiLevelType w:val="multilevel"/>
    <w:tmpl w:val="C5F023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6C252901"/>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93">
    <w:nsid w:val="6CF553D5"/>
    <w:multiLevelType w:val="multilevel"/>
    <w:tmpl w:val="C5F023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6D4A078A"/>
    <w:multiLevelType w:val="hybridMultilevel"/>
    <w:tmpl w:val="A6162516"/>
    <w:lvl w:ilvl="0" w:tplc="45C622F6">
      <w:start w:val="1990"/>
      <w:numFmt w:val="bullet"/>
      <w:lvlText w:val="-"/>
      <w:lvlJc w:val="left"/>
      <w:pPr>
        <w:ind w:left="720" w:hanging="360"/>
      </w:pPr>
      <w:rPr>
        <w:rFonts w:ascii="Calibri" w:eastAsia="Times New Roman" w:hAnsi="Calibri"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6E8A7520"/>
    <w:multiLevelType w:val="hybridMultilevel"/>
    <w:tmpl w:val="26B6A0CC"/>
    <w:lvl w:ilvl="0" w:tplc="A5F64FC0">
      <w:start w:val="1"/>
      <w:numFmt w:val="none"/>
      <w:lvlText w:val="A9"/>
      <w:lvlJc w:val="right"/>
      <w:pPr>
        <w:ind w:left="360" w:hanging="360"/>
      </w:pPr>
      <w:rPr>
        <w:rFonts w:ascii="Calibri" w:hAnsi="Calibr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EB9080E"/>
    <w:multiLevelType w:val="hybridMultilevel"/>
    <w:tmpl w:val="7BD2A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2D66AA"/>
    <w:multiLevelType w:val="multilevel"/>
    <w:tmpl w:val="8CB201EC"/>
    <w:lvl w:ilvl="0">
      <w:start w:val="1"/>
      <w:numFmt w:val="lowerRoman"/>
      <w:lvlText w:val="%1."/>
      <w:lvlJc w:val="righ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nsid w:val="72A62870"/>
    <w:multiLevelType w:val="hybridMultilevel"/>
    <w:tmpl w:val="1584E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BC5211"/>
    <w:multiLevelType w:val="hybridMultilevel"/>
    <w:tmpl w:val="B9241FC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77456DAC"/>
    <w:multiLevelType w:val="multilevel"/>
    <w:tmpl w:val="C5F023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B2B78EC"/>
    <w:multiLevelType w:val="hybridMultilevel"/>
    <w:tmpl w:val="48D80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03">
    <w:nsid w:val="7D784585"/>
    <w:multiLevelType w:val="hybridMultilevel"/>
    <w:tmpl w:val="6BE83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105">
    <w:nsid w:val="7F77584D"/>
    <w:multiLevelType w:val="hybridMultilevel"/>
    <w:tmpl w:val="6BE83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5"/>
  </w:num>
  <w:num w:numId="2">
    <w:abstractNumId w:val="19"/>
  </w:num>
  <w:num w:numId="3">
    <w:abstractNumId w:val="104"/>
  </w:num>
  <w:num w:numId="4">
    <w:abstractNumId w:val="30"/>
  </w:num>
  <w:num w:numId="5">
    <w:abstractNumId w:val="86"/>
  </w:num>
  <w:num w:numId="6">
    <w:abstractNumId w:val="34"/>
  </w:num>
  <w:num w:numId="7">
    <w:abstractNumId w:val="102"/>
  </w:num>
  <w:num w:numId="8">
    <w:abstractNumId w:val="32"/>
  </w:num>
  <w:num w:numId="9">
    <w:abstractNumId w:val="92"/>
  </w:num>
  <w:num w:numId="10">
    <w:abstractNumId w:val="69"/>
  </w:num>
  <w:num w:numId="11">
    <w:abstractNumId w:val="80"/>
  </w:num>
  <w:num w:numId="12">
    <w:abstractNumId w:val="24"/>
  </w:num>
  <w:num w:numId="13">
    <w:abstractNumId w:val="76"/>
  </w:num>
  <w:num w:numId="14">
    <w:abstractNumId w:val="8"/>
  </w:num>
  <w:num w:numId="15">
    <w:abstractNumId w:val="61"/>
  </w:num>
  <w:num w:numId="16">
    <w:abstractNumId w:val="84"/>
  </w:num>
  <w:num w:numId="17">
    <w:abstractNumId w:val="5"/>
  </w:num>
  <w:num w:numId="18">
    <w:abstractNumId w:val="71"/>
  </w:num>
  <w:num w:numId="19">
    <w:abstractNumId w:val="21"/>
  </w:num>
  <w:num w:numId="20">
    <w:abstractNumId w:val="58"/>
  </w:num>
  <w:num w:numId="21">
    <w:abstractNumId w:val="18"/>
  </w:num>
  <w:num w:numId="22">
    <w:abstractNumId w:val="62"/>
  </w:num>
  <w:num w:numId="23">
    <w:abstractNumId w:val="72"/>
  </w:num>
  <w:num w:numId="24">
    <w:abstractNumId w:val="82"/>
  </w:num>
  <w:num w:numId="25">
    <w:abstractNumId w:val="47"/>
  </w:num>
  <w:num w:numId="26">
    <w:abstractNumId w:val="53"/>
  </w:num>
  <w:num w:numId="27">
    <w:abstractNumId w:val="105"/>
  </w:num>
  <w:num w:numId="28">
    <w:abstractNumId w:val="46"/>
  </w:num>
  <w:num w:numId="29">
    <w:abstractNumId w:val="94"/>
  </w:num>
  <w:num w:numId="30">
    <w:abstractNumId w:val="87"/>
  </w:num>
  <w:num w:numId="31">
    <w:abstractNumId w:val="25"/>
  </w:num>
  <w:num w:numId="32">
    <w:abstractNumId w:val="65"/>
  </w:num>
  <w:num w:numId="33">
    <w:abstractNumId w:val="2"/>
  </w:num>
  <w:num w:numId="34">
    <w:abstractNumId w:val="42"/>
  </w:num>
  <w:num w:numId="35">
    <w:abstractNumId w:val="54"/>
  </w:num>
  <w:num w:numId="36">
    <w:abstractNumId w:val="48"/>
  </w:num>
  <w:num w:numId="37">
    <w:abstractNumId w:val="103"/>
  </w:num>
  <w:num w:numId="38">
    <w:abstractNumId w:val="68"/>
  </w:num>
  <w:num w:numId="39">
    <w:abstractNumId w:val="35"/>
  </w:num>
  <w:num w:numId="40">
    <w:abstractNumId w:val="67"/>
  </w:num>
  <w:num w:numId="41">
    <w:abstractNumId w:val="45"/>
  </w:num>
  <w:num w:numId="42">
    <w:abstractNumId w:val="79"/>
  </w:num>
  <w:num w:numId="43">
    <w:abstractNumId w:val="33"/>
  </w:num>
  <w:num w:numId="44">
    <w:abstractNumId w:val="29"/>
  </w:num>
  <w:num w:numId="45">
    <w:abstractNumId w:val="36"/>
  </w:num>
  <w:num w:numId="46">
    <w:abstractNumId w:val="27"/>
  </w:num>
  <w:num w:numId="47">
    <w:abstractNumId w:val="101"/>
  </w:num>
  <w:num w:numId="48">
    <w:abstractNumId w:val="37"/>
  </w:num>
  <w:num w:numId="49">
    <w:abstractNumId w:val="66"/>
  </w:num>
  <w:num w:numId="50">
    <w:abstractNumId w:val="12"/>
  </w:num>
  <w:num w:numId="51">
    <w:abstractNumId w:val="23"/>
  </w:num>
  <w:num w:numId="52">
    <w:abstractNumId w:val="88"/>
  </w:num>
  <w:num w:numId="53">
    <w:abstractNumId w:val="11"/>
  </w:num>
  <w:num w:numId="54">
    <w:abstractNumId w:val="64"/>
  </w:num>
  <w:num w:numId="55">
    <w:abstractNumId w:val="44"/>
  </w:num>
  <w:num w:numId="56">
    <w:abstractNumId w:val="4"/>
  </w:num>
  <w:num w:numId="57">
    <w:abstractNumId w:val="51"/>
  </w:num>
  <w:num w:numId="58">
    <w:abstractNumId w:val="85"/>
  </w:num>
  <w:num w:numId="59">
    <w:abstractNumId w:val="31"/>
  </w:num>
  <w:num w:numId="60">
    <w:abstractNumId w:val="38"/>
  </w:num>
  <w:num w:numId="61">
    <w:abstractNumId w:val="57"/>
  </w:num>
  <w:num w:numId="62">
    <w:abstractNumId w:val="14"/>
  </w:num>
  <w:num w:numId="63">
    <w:abstractNumId w:val="39"/>
  </w:num>
  <w:num w:numId="64">
    <w:abstractNumId w:val="81"/>
  </w:num>
  <w:num w:numId="65">
    <w:abstractNumId w:val="17"/>
  </w:num>
  <w:num w:numId="66">
    <w:abstractNumId w:val="70"/>
  </w:num>
  <w:num w:numId="67">
    <w:abstractNumId w:val="98"/>
  </w:num>
  <w:num w:numId="68">
    <w:abstractNumId w:val="91"/>
  </w:num>
  <w:num w:numId="69">
    <w:abstractNumId w:val="99"/>
  </w:num>
  <w:num w:numId="70">
    <w:abstractNumId w:val="56"/>
  </w:num>
  <w:num w:numId="71">
    <w:abstractNumId w:val="16"/>
  </w:num>
  <w:num w:numId="72">
    <w:abstractNumId w:val="40"/>
  </w:num>
  <w:num w:numId="73">
    <w:abstractNumId w:val="59"/>
  </w:num>
  <w:num w:numId="74">
    <w:abstractNumId w:val="100"/>
  </w:num>
  <w:num w:numId="75">
    <w:abstractNumId w:val="55"/>
  </w:num>
  <w:num w:numId="76">
    <w:abstractNumId w:val="93"/>
  </w:num>
  <w:num w:numId="77">
    <w:abstractNumId w:val="97"/>
  </w:num>
  <w:num w:numId="78">
    <w:abstractNumId w:val="73"/>
  </w:num>
  <w:num w:numId="79">
    <w:abstractNumId w:val="26"/>
  </w:num>
  <w:num w:numId="80">
    <w:abstractNumId w:val="15"/>
  </w:num>
  <w:num w:numId="81">
    <w:abstractNumId w:val="77"/>
  </w:num>
  <w:num w:numId="82">
    <w:abstractNumId w:val="83"/>
  </w:num>
  <w:num w:numId="83">
    <w:abstractNumId w:val="0"/>
  </w:num>
  <w:num w:numId="84">
    <w:abstractNumId w:val="9"/>
  </w:num>
  <w:num w:numId="85">
    <w:abstractNumId w:val="95"/>
  </w:num>
  <w:num w:numId="86">
    <w:abstractNumId w:val="6"/>
  </w:num>
  <w:num w:numId="87">
    <w:abstractNumId w:val="74"/>
  </w:num>
  <w:num w:numId="88">
    <w:abstractNumId w:val="96"/>
  </w:num>
  <w:num w:numId="89">
    <w:abstractNumId w:val="60"/>
  </w:num>
  <w:num w:numId="90">
    <w:abstractNumId w:val="78"/>
  </w:num>
  <w:num w:numId="91">
    <w:abstractNumId w:val="43"/>
  </w:num>
  <w:num w:numId="92">
    <w:abstractNumId w:val="22"/>
  </w:num>
  <w:num w:numId="93">
    <w:abstractNumId w:val="63"/>
  </w:num>
  <w:num w:numId="94">
    <w:abstractNumId w:val="52"/>
  </w:num>
  <w:num w:numId="95">
    <w:abstractNumId w:val="10"/>
  </w:num>
  <w:num w:numId="96">
    <w:abstractNumId w:val="28"/>
  </w:num>
  <w:num w:numId="97">
    <w:abstractNumId w:val="1"/>
  </w:num>
  <w:num w:numId="98">
    <w:abstractNumId w:val="49"/>
  </w:num>
  <w:num w:numId="99">
    <w:abstractNumId w:val="20"/>
  </w:num>
  <w:num w:numId="100">
    <w:abstractNumId w:val="50"/>
  </w:num>
  <w:num w:numId="101">
    <w:abstractNumId w:val="7"/>
  </w:num>
  <w:num w:numId="102">
    <w:abstractNumId w:val="3"/>
  </w:num>
  <w:num w:numId="103">
    <w:abstractNumId w:val="90"/>
  </w:num>
  <w:num w:numId="104">
    <w:abstractNumId w:val="41"/>
  </w:num>
  <w:num w:numId="105">
    <w:abstractNumId w:val="89"/>
  </w:num>
  <w:num w:numId="106">
    <w:abstractNumId w:val="1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fxxvref0t0a5de2vwnv2fwkz0p9v0r2fw0t&quot;&gt;FINAL library for DCM report&lt;record-ids&gt;&lt;item&gt;1&lt;/item&gt;&lt;item&gt;2&lt;/item&gt;&lt;item&gt;3&lt;/item&gt;&lt;item&gt;4&lt;/item&gt;&lt;item&gt;6&lt;/item&gt;&lt;item&gt;8&lt;/item&gt;&lt;item&gt;9&lt;/item&gt;&lt;item&gt;10&lt;/item&gt;&lt;item&gt;12&lt;/item&gt;&lt;item&gt;13&lt;/item&gt;&lt;item&gt;16&lt;/item&gt;&lt;item&gt;17&lt;/item&gt;&lt;item&gt;18&lt;/item&gt;&lt;item&gt;19&lt;/item&gt;&lt;item&gt;20&lt;/item&gt;&lt;item&gt;21&lt;/item&gt;&lt;item&gt;24&lt;/item&gt;&lt;item&gt;27&lt;/item&gt;&lt;item&gt;28&lt;/item&gt;&lt;item&gt;29&lt;/item&gt;&lt;item&gt;30&lt;/item&gt;&lt;item&gt;31&lt;/item&gt;&lt;item&gt;32&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2&lt;/item&gt;&lt;item&gt;113&lt;/item&gt;&lt;item&gt;115&lt;/item&gt;&lt;item&gt;120&lt;/item&gt;&lt;item&gt;122&lt;/item&gt;&lt;item&gt;123&lt;/item&gt;&lt;item&gt;124&lt;/item&gt;&lt;item&gt;125&lt;/item&gt;&lt;item&gt;126&lt;/item&gt;&lt;item&gt;127&lt;/item&gt;&lt;item&gt;128&lt;/item&gt;&lt;item&gt;129&lt;/item&gt;&lt;item&gt;130&lt;/item&gt;&lt;item&gt;131&lt;/item&gt;&lt;item&gt;132&lt;/item&gt;&lt;item&gt;134&lt;/item&gt;&lt;item&gt;135&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6&lt;/item&gt;&lt;item&gt;167&lt;/item&gt;&lt;item&gt;168&lt;/item&gt;&lt;item&gt;169&lt;/item&gt;&lt;/record-ids&gt;&lt;/item&gt;&lt;/Libraries&gt;"/>
  </w:docVars>
  <w:rsids>
    <w:rsidRoot w:val="002C5434"/>
    <w:rsid w:val="000006B5"/>
    <w:rsid w:val="00000B2B"/>
    <w:rsid w:val="00000B9C"/>
    <w:rsid w:val="00000BEB"/>
    <w:rsid w:val="00000C42"/>
    <w:rsid w:val="00000FA6"/>
    <w:rsid w:val="00000FA9"/>
    <w:rsid w:val="00001184"/>
    <w:rsid w:val="0000127D"/>
    <w:rsid w:val="0000136D"/>
    <w:rsid w:val="0000190C"/>
    <w:rsid w:val="00001957"/>
    <w:rsid w:val="00001B18"/>
    <w:rsid w:val="00001C3C"/>
    <w:rsid w:val="00001E31"/>
    <w:rsid w:val="00001F98"/>
    <w:rsid w:val="0000226A"/>
    <w:rsid w:val="0000228D"/>
    <w:rsid w:val="00002531"/>
    <w:rsid w:val="00002552"/>
    <w:rsid w:val="0000270E"/>
    <w:rsid w:val="000029F2"/>
    <w:rsid w:val="00002D2E"/>
    <w:rsid w:val="00003287"/>
    <w:rsid w:val="00003796"/>
    <w:rsid w:val="00003BEF"/>
    <w:rsid w:val="00004099"/>
    <w:rsid w:val="000041EC"/>
    <w:rsid w:val="0000430A"/>
    <w:rsid w:val="00004435"/>
    <w:rsid w:val="000047EA"/>
    <w:rsid w:val="00004D16"/>
    <w:rsid w:val="00005109"/>
    <w:rsid w:val="00005257"/>
    <w:rsid w:val="0000536A"/>
    <w:rsid w:val="000055D4"/>
    <w:rsid w:val="000056FA"/>
    <w:rsid w:val="0000571A"/>
    <w:rsid w:val="00006055"/>
    <w:rsid w:val="0000644B"/>
    <w:rsid w:val="00006541"/>
    <w:rsid w:val="00006627"/>
    <w:rsid w:val="00006641"/>
    <w:rsid w:val="00006806"/>
    <w:rsid w:val="00006961"/>
    <w:rsid w:val="000069A7"/>
    <w:rsid w:val="00006C74"/>
    <w:rsid w:val="00006E54"/>
    <w:rsid w:val="0000750D"/>
    <w:rsid w:val="000078F6"/>
    <w:rsid w:val="00007948"/>
    <w:rsid w:val="00007A44"/>
    <w:rsid w:val="00007A4C"/>
    <w:rsid w:val="00007BE0"/>
    <w:rsid w:val="00007D81"/>
    <w:rsid w:val="00007DC0"/>
    <w:rsid w:val="0001031D"/>
    <w:rsid w:val="000104BD"/>
    <w:rsid w:val="000106F7"/>
    <w:rsid w:val="0001085B"/>
    <w:rsid w:val="0001088E"/>
    <w:rsid w:val="000108EE"/>
    <w:rsid w:val="000109F3"/>
    <w:rsid w:val="00010BF8"/>
    <w:rsid w:val="00010FB8"/>
    <w:rsid w:val="000111D2"/>
    <w:rsid w:val="000114AA"/>
    <w:rsid w:val="00011550"/>
    <w:rsid w:val="00011758"/>
    <w:rsid w:val="00011772"/>
    <w:rsid w:val="00011A48"/>
    <w:rsid w:val="00011BB4"/>
    <w:rsid w:val="00012658"/>
    <w:rsid w:val="00012855"/>
    <w:rsid w:val="00012EA4"/>
    <w:rsid w:val="00012EA6"/>
    <w:rsid w:val="0001307B"/>
    <w:rsid w:val="000130D3"/>
    <w:rsid w:val="000133F9"/>
    <w:rsid w:val="000134C1"/>
    <w:rsid w:val="0001357B"/>
    <w:rsid w:val="00013791"/>
    <w:rsid w:val="000137DC"/>
    <w:rsid w:val="0001388D"/>
    <w:rsid w:val="00013934"/>
    <w:rsid w:val="000139D1"/>
    <w:rsid w:val="000139EB"/>
    <w:rsid w:val="00013B46"/>
    <w:rsid w:val="00013FA1"/>
    <w:rsid w:val="00014083"/>
    <w:rsid w:val="00014179"/>
    <w:rsid w:val="000144DD"/>
    <w:rsid w:val="00014736"/>
    <w:rsid w:val="00014776"/>
    <w:rsid w:val="00014917"/>
    <w:rsid w:val="000149C2"/>
    <w:rsid w:val="00014A66"/>
    <w:rsid w:val="00014D6D"/>
    <w:rsid w:val="00014EC1"/>
    <w:rsid w:val="00015222"/>
    <w:rsid w:val="00015272"/>
    <w:rsid w:val="00015282"/>
    <w:rsid w:val="000152B0"/>
    <w:rsid w:val="00015546"/>
    <w:rsid w:val="000155E6"/>
    <w:rsid w:val="0001563F"/>
    <w:rsid w:val="00015787"/>
    <w:rsid w:val="00015C26"/>
    <w:rsid w:val="00015E03"/>
    <w:rsid w:val="000160B3"/>
    <w:rsid w:val="0001628E"/>
    <w:rsid w:val="00016333"/>
    <w:rsid w:val="0001655A"/>
    <w:rsid w:val="0001667E"/>
    <w:rsid w:val="00016792"/>
    <w:rsid w:val="000167CF"/>
    <w:rsid w:val="00016E11"/>
    <w:rsid w:val="00016FDF"/>
    <w:rsid w:val="000171FD"/>
    <w:rsid w:val="00017251"/>
    <w:rsid w:val="00017891"/>
    <w:rsid w:val="00017B06"/>
    <w:rsid w:val="00017B2B"/>
    <w:rsid w:val="00017BFF"/>
    <w:rsid w:val="00017CAB"/>
    <w:rsid w:val="00017D44"/>
    <w:rsid w:val="00017FF7"/>
    <w:rsid w:val="000203BC"/>
    <w:rsid w:val="0002062A"/>
    <w:rsid w:val="00020A61"/>
    <w:rsid w:val="00020C59"/>
    <w:rsid w:val="00020F15"/>
    <w:rsid w:val="00021072"/>
    <w:rsid w:val="00021966"/>
    <w:rsid w:val="00021FDC"/>
    <w:rsid w:val="0002230A"/>
    <w:rsid w:val="0002265C"/>
    <w:rsid w:val="00022C4E"/>
    <w:rsid w:val="00023337"/>
    <w:rsid w:val="000236CF"/>
    <w:rsid w:val="00023792"/>
    <w:rsid w:val="000237FD"/>
    <w:rsid w:val="000238A4"/>
    <w:rsid w:val="000238DA"/>
    <w:rsid w:val="0002446C"/>
    <w:rsid w:val="00024819"/>
    <w:rsid w:val="0002581D"/>
    <w:rsid w:val="00025D96"/>
    <w:rsid w:val="00025F1A"/>
    <w:rsid w:val="000266AD"/>
    <w:rsid w:val="0002695E"/>
    <w:rsid w:val="00026D2F"/>
    <w:rsid w:val="00026D6A"/>
    <w:rsid w:val="00027055"/>
    <w:rsid w:val="0002707D"/>
    <w:rsid w:val="000270CB"/>
    <w:rsid w:val="00027329"/>
    <w:rsid w:val="00027412"/>
    <w:rsid w:val="0002749F"/>
    <w:rsid w:val="0002758A"/>
    <w:rsid w:val="00027611"/>
    <w:rsid w:val="0002788F"/>
    <w:rsid w:val="00027B53"/>
    <w:rsid w:val="00027DDF"/>
    <w:rsid w:val="00027F1B"/>
    <w:rsid w:val="00030A07"/>
    <w:rsid w:val="00030C76"/>
    <w:rsid w:val="00030DB2"/>
    <w:rsid w:val="00030DD9"/>
    <w:rsid w:val="00030E6F"/>
    <w:rsid w:val="00030FB4"/>
    <w:rsid w:val="000311A8"/>
    <w:rsid w:val="00031330"/>
    <w:rsid w:val="0003136E"/>
    <w:rsid w:val="000313F3"/>
    <w:rsid w:val="00031443"/>
    <w:rsid w:val="000314E2"/>
    <w:rsid w:val="00031731"/>
    <w:rsid w:val="000317FD"/>
    <w:rsid w:val="00031A2C"/>
    <w:rsid w:val="00031F0E"/>
    <w:rsid w:val="000321D9"/>
    <w:rsid w:val="00032260"/>
    <w:rsid w:val="000322F8"/>
    <w:rsid w:val="000323EF"/>
    <w:rsid w:val="0003242C"/>
    <w:rsid w:val="00032586"/>
    <w:rsid w:val="0003260D"/>
    <w:rsid w:val="000326C0"/>
    <w:rsid w:val="000327BB"/>
    <w:rsid w:val="0003293C"/>
    <w:rsid w:val="00032C1A"/>
    <w:rsid w:val="00032DB1"/>
    <w:rsid w:val="00032F5D"/>
    <w:rsid w:val="00033E27"/>
    <w:rsid w:val="000340BA"/>
    <w:rsid w:val="00034268"/>
    <w:rsid w:val="00034287"/>
    <w:rsid w:val="0003430E"/>
    <w:rsid w:val="00034378"/>
    <w:rsid w:val="000348AC"/>
    <w:rsid w:val="00034A27"/>
    <w:rsid w:val="00034AE9"/>
    <w:rsid w:val="00034B8B"/>
    <w:rsid w:val="00034C17"/>
    <w:rsid w:val="00034CFE"/>
    <w:rsid w:val="0003529B"/>
    <w:rsid w:val="0003564E"/>
    <w:rsid w:val="0003587F"/>
    <w:rsid w:val="0003595E"/>
    <w:rsid w:val="00035984"/>
    <w:rsid w:val="00035B85"/>
    <w:rsid w:val="00035FF2"/>
    <w:rsid w:val="00036221"/>
    <w:rsid w:val="0003639B"/>
    <w:rsid w:val="0003669F"/>
    <w:rsid w:val="000368B9"/>
    <w:rsid w:val="00036954"/>
    <w:rsid w:val="00036CF6"/>
    <w:rsid w:val="00036F0B"/>
    <w:rsid w:val="000373D6"/>
    <w:rsid w:val="000373E8"/>
    <w:rsid w:val="000375FC"/>
    <w:rsid w:val="00037729"/>
    <w:rsid w:val="000377B0"/>
    <w:rsid w:val="00037AB1"/>
    <w:rsid w:val="00037B2B"/>
    <w:rsid w:val="00037BDB"/>
    <w:rsid w:val="00037CFD"/>
    <w:rsid w:val="00040305"/>
    <w:rsid w:val="000405F4"/>
    <w:rsid w:val="000406B4"/>
    <w:rsid w:val="000409F9"/>
    <w:rsid w:val="00040D41"/>
    <w:rsid w:val="00040DD2"/>
    <w:rsid w:val="0004109F"/>
    <w:rsid w:val="00041584"/>
    <w:rsid w:val="0004165A"/>
    <w:rsid w:val="000416F8"/>
    <w:rsid w:val="00041867"/>
    <w:rsid w:val="00041ADB"/>
    <w:rsid w:val="00041B23"/>
    <w:rsid w:val="00041C6F"/>
    <w:rsid w:val="00041F2B"/>
    <w:rsid w:val="000424B4"/>
    <w:rsid w:val="000427F8"/>
    <w:rsid w:val="00042A7F"/>
    <w:rsid w:val="00043145"/>
    <w:rsid w:val="00043293"/>
    <w:rsid w:val="0004391A"/>
    <w:rsid w:val="00043C04"/>
    <w:rsid w:val="000440C4"/>
    <w:rsid w:val="000443B5"/>
    <w:rsid w:val="000444D0"/>
    <w:rsid w:val="0004468B"/>
    <w:rsid w:val="00044B7A"/>
    <w:rsid w:val="00044DDA"/>
    <w:rsid w:val="0004536B"/>
    <w:rsid w:val="00045C50"/>
    <w:rsid w:val="0004642F"/>
    <w:rsid w:val="000464C3"/>
    <w:rsid w:val="00046B22"/>
    <w:rsid w:val="00046DA0"/>
    <w:rsid w:val="00046E1D"/>
    <w:rsid w:val="000470F1"/>
    <w:rsid w:val="00047A37"/>
    <w:rsid w:val="00047B0B"/>
    <w:rsid w:val="00047B33"/>
    <w:rsid w:val="00047E76"/>
    <w:rsid w:val="00050356"/>
    <w:rsid w:val="00050777"/>
    <w:rsid w:val="0005085E"/>
    <w:rsid w:val="00050869"/>
    <w:rsid w:val="000508A4"/>
    <w:rsid w:val="000508FE"/>
    <w:rsid w:val="00050936"/>
    <w:rsid w:val="00050DA6"/>
    <w:rsid w:val="00050DAA"/>
    <w:rsid w:val="00050FE4"/>
    <w:rsid w:val="00051060"/>
    <w:rsid w:val="00051085"/>
    <w:rsid w:val="000510B4"/>
    <w:rsid w:val="000512A0"/>
    <w:rsid w:val="0005149D"/>
    <w:rsid w:val="000514F8"/>
    <w:rsid w:val="0005156D"/>
    <w:rsid w:val="00051666"/>
    <w:rsid w:val="0005199D"/>
    <w:rsid w:val="00051A96"/>
    <w:rsid w:val="000520C8"/>
    <w:rsid w:val="0005232D"/>
    <w:rsid w:val="00052434"/>
    <w:rsid w:val="0005255F"/>
    <w:rsid w:val="000526A3"/>
    <w:rsid w:val="0005272E"/>
    <w:rsid w:val="00052741"/>
    <w:rsid w:val="0005281F"/>
    <w:rsid w:val="0005287C"/>
    <w:rsid w:val="00052935"/>
    <w:rsid w:val="00052E3F"/>
    <w:rsid w:val="00052FBC"/>
    <w:rsid w:val="0005326F"/>
    <w:rsid w:val="00053390"/>
    <w:rsid w:val="000533FC"/>
    <w:rsid w:val="00053A11"/>
    <w:rsid w:val="00053A89"/>
    <w:rsid w:val="000545CF"/>
    <w:rsid w:val="00054C2E"/>
    <w:rsid w:val="00054C69"/>
    <w:rsid w:val="00054EA0"/>
    <w:rsid w:val="00054ED4"/>
    <w:rsid w:val="000553D6"/>
    <w:rsid w:val="000554AA"/>
    <w:rsid w:val="00055649"/>
    <w:rsid w:val="00055E08"/>
    <w:rsid w:val="000565C1"/>
    <w:rsid w:val="00056684"/>
    <w:rsid w:val="00056983"/>
    <w:rsid w:val="00056BE2"/>
    <w:rsid w:val="00056DC4"/>
    <w:rsid w:val="00056ED1"/>
    <w:rsid w:val="00057834"/>
    <w:rsid w:val="00057B52"/>
    <w:rsid w:val="00057BC5"/>
    <w:rsid w:val="00057E85"/>
    <w:rsid w:val="00060875"/>
    <w:rsid w:val="000608EE"/>
    <w:rsid w:val="000608FD"/>
    <w:rsid w:val="00060915"/>
    <w:rsid w:val="000609A2"/>
    <w:rsid w:val="00060B82"/>
    <w:rsid w:val="00060E4F"/>
    <w:rsid w:val="00060E70"/>
    <w:rsid w:val="000613E7"/>
    <w:rsid w:val="000614AB"/>
    <w:rsid w:val="00061768"/>
    <w:rsid w:val="000619EB"/>
    <w:rsid w:val="00061A1C"/>
    <w:rsid w:val="00061AF5"/>
    <w:rsid w:val="00061DB6"/>
    <w:rsid w:val="00062064"/>
    <w:rsid w:val="00062075"/>
    <w:rsid w:val="000623E0"/>
    <w:rsid w:val="000625F7"/>
    <w:rsid w:val="000626DC"/>
    <w:rsid w:val="00062F2F"/>
    <w:rsid w:val="00063167"/>
    <w:rsid w:val="00063311"/>
    <w:rsid w:val="0006384B"/>
    <w:rsid w:val="00063985"/>
    <w:rsid w:val="00063A3A"/>
    <w:rsid w:val="00063BA5"/>
    <w:rsid w:val="00063C88"/>
    <w:rsid w:val="00063CC4"/>
    <w:rsid w:val="00063D15"/>
    <w:rsid w:val="00063F44"/>
    <w:rsid w:val="00063FE3"/>
    <w:rsid w:val="0006406E"/>
    <w:rsid w:val="0006420B"/>
    <w:rsid w:val="0006422B"/>
    <w:rsid w:val="00064269"/>
    <w:rsid w:val="000645D3"/>
    <w:rsid w:val="00064A78"/>
    <w:rsid w:val="00064A9A"/>
    <w:rsid w:val="000650CB"/>
    <w:rsid w:val="000651F4"/>
    <w:rsid w:val="0006531D"/>
    <w:rsid w:val="00065C69"/>
    <w:rsid w:val="00065DD7"/>
    <w:rsid w:val="00065F6D"/>
    <w:rsid w:val="000665A4"/>
    <w:rsid w:val="000665F1"/>
    <w:rsid w:val="000665F8"/>
    <w:rsid w:val="00066CD5"/>
    <w:rsid w:val="00066D73"/>
    <w:rsid w:val="00066F5D"/>
    <w:rsid w:val="00067232"/>
    <w:rsid w:val="0006771F"/>
    <w:rsid w:val="00067BE4"/>
    <w:rsid w:val="00067BF6"/>
    <w:rsid w:val="00067EB8"/>
    <w:rsid w:val="00067F34"/>
    <w:rsid w:val="000703F3"/>
    <w:rsid w:val="000704AA"/>
    <w:rsid w:val="000706ED"/>
    <w:rsid w:val="00070B6D"/>
    <w:rsid w:val="00070B84"/>
    <w:rsid w:val="0007103E"/>
    <w:rsid w:val="00071188"/>
    <w:rsid w:val="000715B7"/>
    <w:rsid w:val="000715CB"/>
    <w:rsid w:val="00071847"/>
    <w:rsid w:val="00071963"/>
    <w:rsid w:val="00071B67"/>
    <w:rsid w:val="00071BA0"/>
    <w:rsid w:val="00071D1F"/>
    <w:rsid w:val="00072199"/>
    <w:rsid w:val="00072222"/>
    <w:rsid w:val="000723CD"/>
    <w:rsid w:val="0007245A"/>
    <w:rsid w:val="0007256B"/>
    <w:rsid w:val="00072681"/>
    <w:rsid w:val="000726C1"/>
    <w:rsid w:val="0007284B"/>
    <w:rsid w:val="000728E6"/>
    <w:rsid w:val="00072A22"/>
    <w:rsid w:val="00072B28"/>
    <w:rsid w:val="00072DC0"/>
    <w:rsid w:val="00073235"/>
    <w:rsid w:val="00073267"/>
    <w:rsid w:val="00073339"/>
    <w:rsid w:val="00073376"/>
    <w:rsid w:val="000733A8"/>
    <w:rsid w:val="00073636"/>
    <w:rsid w:val="0007379A"/>
    <w:rsid w:val="00073882"/>
    <w:rsid w:val="000739E5"/>
    <w:rsid w:val="00073A8D"/>
    <w:rsid w:val="00073EC5"/>
    <w:rsid w:val="000744A1"/>
    <w:rsid w:val="00074966"/>
    <w:rsid w:val="00074ABF"/>
    <w:rsid w:val="00074BF4"/>
    <w:rsid w:val="00074F92"/>
    <w:rsid w:val="000754CA"/>
    <w:rsid w:val="000759C5"/>
    <w:rsid w:val="00075A7C"/>
    <w:rsid w:val="00075C24"/>
    <w:rsid w:val="00075F50"/>
    <w:rsid w:val="00075FA1"/>
    <w:rsid w:val="00076288"/>
    <w:rsid w:val="00076589"/>
    <w:rsid w:val="000768BB"/>
    <w:rsid w:val="00076A45"/>
    <w:rsid w:val="00076A70"/>
    <w:rsid w:val="00076F32"/>
    <w:rsid w:val="00076FC8"/>
    <w:rsid w:val="00077095"/>
    <w:rsid w:val="00077247"/>
    <w:rsid w:val="000774AB"/>
    <w:rsid w:val="000774C5"/>
    <w:rsid w:val="000774DB"/>
    <w:rsid w:val="000777E1"/>
    <w:rsid w:val="00077880"/>
    <w:rsid w:val="00077D75"/>
    <w:rsid w:val="0008033F"/>
    <w:rsid w:val="00080706"/>
    <w:rsid w:val="00080986"/>
    <w:rsid w:val="000809D5"/>
    <w:rsid w:val="00080E82"/>
    <w:rsid w:val="0008123C"/>
    <w:rsid w:val="0008168D"/>
    <w:rsid w:val="00081C9C"/>
    <w:rsid w:val="000821BD"/>
    <w:rsid w:val="000822EA"/>
    <w:rsid w:val="0008248E"/>
    <w:rsid w:val="0008260B"/>
    <w:rsid w:val="00082712"/>
    <w:rsid w:val="00082977"/>
    <w:rsid w:val="00082A02"/>
    <w:rsid w:val="00082C5A"/>
    <w:rsid w:val="00082CDD"/>
    <w:rsid w:val="00082E66"/>
    <w:rsid w:val="00082EC5"/>
    <w:rsid w:val="00082EE5"/>
    <w:rsid w:val="00083498"/>
    <w:rsid w:val="0008367E"/>
    <w:rsid w:val="000838C2"/>
    <w:rsid w:val="000839E8"/>
    <w:rsid w:val="00083B7D"/>
    <w:rsid w:val="00083CF7"/>
    <w:rsid w:val="0008408A"/>
    <w:rsid w:val="00084762"/>
    <w:rsid w:val="00084CE9"/>
    <w:rsid w:val="00084D5C"/>
    <w:rsid w:val="00084F83"/>
    <w:rsid w:val="000851AE"/>
    <w:rsid w:val="00085282"/>
    <w:rsid w:val="0008529C"/>
    <w:rsid w:val="00085400"/>
    <w:rsid w:val="00085981"/>
    <w:rsid w:val="00085C31"/>
    <w:rsid w:val="0008612D"/>
    <w:rsid w:val="000861FA"/>
    <w:rsid w:val="00086491"/>
    <w:rsid w:val="00086697"/>
    <w:rsid w:val="00086870"/>
    <w:rsid w:val="000868BD"/>
    <w:rsid w:val="000869F6"/>
    <w:rsid w:val="00086D0F"/>
    <w:rsid w:val="00086D44"/>
    <w:rsid w:val="00086DB8"/>
    <w:rsid w:val="00086EA0"/>
    <w:rsid w:val="000872D2"/>
    <w:rsid w:val="00087A40"/>
    <w:rsid w:val="00087F4E"/>
    <w:rsid w:val="00090330"/>
    <w:rsid w:val="000903F9"/>
    <w:rsid w:val="000905F4"/>
    <w:rsid w:val="00090626"/>
    <w:rsid w:val="00090904"/>
    <w:rsid w:val="00090AA3"/>
    <w:rsid w:val="00090BD2"/>
    <w:rsid w:val="00090DDE"/>
    <w:rsid w:val="00090EF8"/>
    <w:rsid w:val="00091296"/>
    <w:rsid w:val="00091667"/>
    <w:rsid w:val="000917C7"/>
    <w:rsid w:val="00091989"/>
    <w:rsid w:val="00091A2F"/>
    <w:rsid w:val="00092116"/>
    <w:rsid w:val="000922A3"/>
    <w:rsid w:val="00092438"/>
    <w:rsid w:val="000924DE"/>
    <w:rsid w:val="000925E6"/>
    <w:rsid w:val="00092A03"/>
    <w:rsid w:val="00092A35"/>
    <w:rsid w:val="00092CFA"/>
    <w:rsid w:val="00092D5B"/>
    <w:rsid w:val="000933E6"/>
    <w:rsid w:val="00093455"/>
    <w:rsid w:val="000936DC"/>
    <w:rsid w:val="00093729"/>
    <w:rsid w:val="000937B3"/>
    <w:rsid w:val="0009386C"/>
    <w:rsid w:val="000939B9"/>
    <w:rsid w:val="00093C9A"/>
    <w:rsid w:val="00093CE9"/>
    <w:rsid w:val="00093DC4"/>
    <w:rsid w:val="00094421"/>
    <w:rsid w:val="0009464C"/>
    <w:rsid w:val="000946FF"/>
    <w:rsid w:val="00094878"/>
    <w:rsid w:val="00094977"/>
    <w:rsid w:val="00094AD6"/>
    <w:rsid w:val="00094DBD"/>
    <w:rsid w:val="000953BA"/>
    <w:rsid w:val="000958E6"/>
    <w:rsid w:val="00095BD5"/>
    <w:rsid w:val="00095EE2"/>
    <w:rsid w:val="0009600A"/>
    <w:rsid w:val="00096418"/>
    <w:rsid w:val="00096B73"/>
    <w:rsid w:val="00096B92"/>
    <w:rsid w:val="00096BD5"/>
    <w:rsid w:val="00096EBE"/>
    <w:rsid w:val="000974FC"/>
    <w:rsid w:val="00097AAC"/>
    <w:rsid w:val="000A0146"/>
    <w:rsid w:val="000A0270"/>
    <w:rsid w:val="000A051D"/>
    <w:rsid w:val="000A0790"/>
    <w:rsid w:val="000A07CB"/>
    <w:rsid w:val="000A0B72"/>
    <w:rsid w:val="000A0C9C"/>
    <w:rsid w:val="000A0CB0"/>
    <w:rsid w:val="000A0D18"/>
    <w:rsid w:val="000A0FEC"/>
    <w:rsid w:val="000A1298"/>
    <w:rsid w:val="000A13F7"/>
    <w:rsid w:val="000A1508"/>
    <w:rsid w:val="000A1D85"/>
    <w:rsid w:val="000A2099"/>
    <w:rsid w:val="000A21ED"/>
    <w:rsid w:val="000A2278"/>
    <w:rsid w:val="000A2445"/>
    <w:rsid w:val="000A272A"/>
    <w:rsid w:val="000A2C9E"/>
    <w:rsid w:val="000A32AA"/>
    <w:rsid w:val="000A3454"/>
    <w:rsid w:val="000A3606"/>
    <w:rsid w:val="000A375A"/>
    <w:rsid w:val="000A39F4"/>
    <w:rsid w:val="000A3AAF"/>
    <w:rsid w:val="000A3C6A"/>
    <w:rsid w:val="000A3E60"/>
    <w:rsid w:val="000A3F8D"/>
    <w:rsid w:val="000A4AF9"/>
    <w:rsid w:val="000A4DF3"/>
    <w:rsid w:val="000A4F12"/>
    <w:rsid w:val="000A50FF"/>
    <w:rsid w:val="000A546E"/>
    <w:rsid w:val="000A54AD"/>
    <w:rsid w:val="000A55B4"/>
    <w:rsid w:val="000A5CE8"/>
    <w:rsid w:val="000A5DB5"/>
    <w:rsid w:val="000A612B"/>
    <w:rsid w:val="000A6433"/>
    <w:rsid w:val="000A655A"/>
    <w:rsid w:val="000A6658"/>
    <w:rsid w:val="000A69E8"/>
    <w:rsid w:val="000A6C01"/>
    <w:rsid w:val="000A6C3A"/>
    <w:rsid w:val="000A701B"/>
    <w:rsid w:val="000A7356"/>
    <w:rsid w:val="000A73C0"/>
    <w:rsid w:val="000A77C8"/>
    <w:rsid w:val="000A78BB"/>
    <w:rsid w:val="000A7943"/>
    <w:rsid w:val="000A79E8"/>
    <w:rsid w:val="000A7D0A"/>
    <w:rsid w:val="000A7D84"/>
    <w:rsid w:val="000A7F78"/>
    <w:rsid w:val="000B0364"/>
    <w:rsid w:val="000B0605"/>
    <w:rsid w:val="000B06C4"/>
    <w:rsid w:val="000B07ED"/>
    <w:rsid w:val="000B0993"/>
    <w:rsid w:val="000B0C55"/>
    <w:rsid w:val="000B0F0F"/>
    <w:rsid w:val="000B1434"/>
    <w:rsid w:val="000B164F"/>
    <w:rsid w:val="000B1F56"/>
    <w:rsid w:val="000B21CB"/>
    <w:rsid w:val="000B23EA"/>
    <w:rsid w:val="000B2416"/>
    <w:rsid w:val="000B2615"/>
    <w:rsid w:val="000B2675"/>
    <w:rsid w:val="000B274D"/>
    <w:rsid w:val="000B2DCA"/>
    <w:rsid w:val="000B2E4B"/>
    <w:rsid w:val="000B30A2"/>
    <w:rsid w:val="000B3610"/>
    <w:rsid w:val="000B37DB"/>
    <w:rsid w:val="000B3BDC"/>
    <w:rsid w:val="000B3CA5"/>
    <w:rsid w:val="000B3D1B"/>
    <w:rsid w:val="000B4253"/>
    <w:rsid w:val="000B471F"/>
    <w:rsid w:val="000B4A87"/>
    <w:rsid w:val="000B4BDC"/>
    <w:rsid w:val="000B4CAD"/>
    <w:rsid w:val="000B4E04"/>
    <w:rsid w:val="000B508C"/>
    <w:rsid w:val="000B5224"/>
    <w:rsid w:val="000B525C"/>
    <w:rsid w:val="000B5A96"/>
    <w:rsid w:val="000B5B12"/>
    <w:rsid w:val="000B5C7B"/>
    <w:rsid w:val="000B5D81"/>
    <w:rsid w:val="000B5FF1"/>
    <w:rsid w:val="000B6043"/>
    <w:rsid w:val="000B60FA"/>
    <w:rsid w:val="000B63E1"/>
    <w:rsid w:val="000B688F"/>
    <w:rsid w:val="000B6FF5"/>
    <w:rsid w:val="000B71A7"/>
    <w:rsid w:val="000B728D"/>
    <w:rsid w:val="000B75AA"/>
    <w:rsid w:val="000B7990"/>
    <w:rsid w:val="000B7A09"/>
    <w:rsid w:val="000B7A2F"/>
    <w:rsid w:val="000B7B48"/>
    <w:rsid w:val="000B7B78"/>
    <w:rsid w:val="000B7DFE"/>
    <w:rsid w:val="000B7EE2"/>
    <w:rsid w:val="000B7EE7"/>
    <w:rsid w:val="000B7F5D"/>
    <w:rsid w:val="000C0064"/>
    <w:rsid w:val="000C0364"/>
    <w:rsid w:val="000C0493"/>
    <w:rsid w:val="000C04C1"/>
    <w:rsid w:val="000C0684"/>
    <w:rsid w:val="000C093E"/>
    <w:rsid w:val="000C10BA"/>
    <w:rsid w:val="000C14EF"/>
    <w:rsid w:val="000C1599"/>
    <w:rsid w:val="000C1714"/>
    <w:rsid w:val="000C1747"/>
    <w:rsid w:val="000C188E"/>
    <w:rsid w:val="000C1AFE"/>
    <w:rsid w:val="000C1D30"/>
    <w:rsid w:val="000C1DBB"/>
    <w:rsid w:val="000C226B"/>
    <w:rsid w:val="000C2441"/>
    <w:rsid w:val="000C26AD"/>
    <w:rsid w:val="000C2C95"/>
    <w:rsid w:val="000C2CDC"/>
    <w:rsid w:val="000C2F30"/>
    <w:rsid w:val="000C309B"/>
    <w:rsid w:val="000C32A4"/>
    <w:rsid w:val="000C3899"/>
    <w:rsid w:val="000C38B1"/>
    <w:rsid w:val="000C3CDE"/>
    <w:rsid w:val="000C4137"/>
    <w:rsid w:val="000C4404"/>
    <w:rsid w:val="000C44CA"/>
    <w:rsid w:val="000C48FA"/>
    <w:rsid w:val="000C4CBC"/>
    <w:rsid w:val="000C53B8"/>
    <w:rsid w:val="000C5752"/>
    <w:rsid w:val="000C5878"/>
    <w:rsid w:val="000C5A70"/>
    <w:rsid w:val="000C5D0A"/>
    <w:rsid w:val="000C5F36"/>
    <w:rsid w:val="000C60F8"/>
    <w:rsid w:val="000C61C5"/>
    <w:rsid w:val="000C64FA"/>
    <w:rsid w:val="000C651F"/>
    <w:rsid w:val="000C6C95"/>
    <w:rsid w:val="000C6D10"/>
    <w:rsid w:val="000C7395"/>
    <w:rsid w:val="000C769F"/>
    <w:rsid w:val="000C7C44"/>
    <w:rsid w:val="000C7F6A"/>
    <w:rsid w:val="000D0128"/>
    <w:rsid w:val="000D02AC"/>
    <w:rsid w:val="000D02CC"/>
    <w:rsid w:val="000D047C"/>
    <w:rsid w:val="000D04F4"/>
    <w:rsid w:val="000D0C5A"/>
    <w:rsid w:val="000D1300"/>
    <w:rsid w:val="000D13CD"/>
    <w:rsid w:val="000D1553"/>
    <w:rsid w:val="000D180A"/>
    <w:rsid w:val="000D186C"/>
    <w:rsid w:val="000D18A1"/>
    <w:rsid w:val="000D18A2"/>
    <w:rsid w:val="000D1C4C"/>
    <w:rsid w:val="000D1EDA"/>
    <w:rsid w:val="000D2118"/>
    <w:rsid w:val="000D277F"/>
    <w:rsid w:val="000D2D78"/>
    <w:rsid w:val="000D2D89"/>
    <w:rsid w:val="000D2E96"/>
    <w:rsid w:val="000D2EB6"/>
    <w:rsid w:val="000D2F66"/>
    <w:rsid w:val="000D3024"/>
    <w:rsid w:val="000D328F"/>
    <w:rsid w:val="000D3317"/>
    <w:rsid w:val="000D33CE"/>
    <w:rsid w:val="000D34EB"/>
    <w:rsid w:val="000D3AD0"/>
    <w:rsid w:val="000D3B89"/>
    <w:rsid w:val="000D3BE3"/>
    <w:rsid w:val="000D3E93"/>
    <w:rsid w:val="000D3EEB"/>
    <w:rsid w:val="000D4203"/>
    <w:rsid w:val="000D4324"/>
    <w:rsid w:val="000D4462"/>
    <w:rsid w:val="000D4736"/>
    <w:rsid w:val="000D4AB6"/>
    <w:rsid w:val="000D4D6A"/>
    <w:rsid w:val="000D4DFE"/>
    <w:rsid w:val="000D4E1A"/>
    <w:rsid w:val="000D4F8C"/>
    <w:rsid w:val="000D4FCE"/>
    <w:rsid w:val="000D50CD"/>
    <w:rsid w:val="000D58B7"/>
    <w:rsid w:val="000D5A53"/>
    <w:rsid w:val="000D5AF8"/>
    <w:rsid w:val="000D60AA"/>
    <w:rsid w:val="000D6150"/>
    <w:rsid w:val="000D63E0"/>
    <w:rsid w:val="000D6417"/>
    <w:rsid w:val="000D6684"/>
    <w:rsid w:val="000D6840"/>
    <w:rsid w:val="000D708E"/>
    <w:rsid w:val="000D72EA"/>
    <w:rsid w:val="000D7A9C"/>
    <w:rsid w:val="000E02D8"/>
    <w:rsid w:val="000E073C"/>
    <w:rsid w:val="000E09A4"/>
    <w:rsid w:val="000E0AAF"/>
    <w:rsid w:val="000E0B6A"/>
    <w:rsid w:val="000E0C7C"/>
    <w:rsid w:val="000E0CF5"/>
    <w:rsid w:val="000E0D09"/>
    <w:rsid w:val="000E0ED7"/>
    <w:rsid w:val="000E125E"/>
    <w:rsid w:val="000E1439"/>
    <w:rsid w:val="000E144F"/>
    <w:rsid w:val="000E145B"/>
    <w:rsid w:val="000E1520"/>
    <w:rsid w:val="000E160C"/>
    <w:rsid w:val="000E1C9D"/>
    <w:rsid w:val="000E1D12"/>
    <w:rsid w:val="000E21A2"/>
    <w:rsid w:val="000E21A4"/>
    <w:rsid w:val="000E23D5"/>
    <w:rsid w:val="000E270C"/>
    <w:rsid w:val="000E2864"/>
    <w:rsid w:val="000E2F0D"/>
    <w:rsid w:val="000E33A6"/>
    <w:rsid w:val="000E362B"/>
    <w:rsid w:val="000E36F3"/>
    <w:rsid w:val="000E398C"/>
    <w:rsid w:val="000E3D82"/>
    <w:rsid w:val="000E3E96"/>
    <w:rsid w:val="000E405F"/>
    <w:rsid w:val="000E4182"/>
    <w:rsid w:val="000E455E"/>
    <w:rsid w:val="000E482F"/>
    <w:rsid w:val="000E4B10"/>
    <w:rsid w:val="000E4D70"/>
    <w:rsid w:val="000E4D8F"/>
    <w:rsid w:val="000E4FF4"/>
    <w:rsid w:val="000E50DC"/>
    <w:rsid w:val="000E54CB"/>
    <w:rsid w:val="000E551B"/>
    <w:rsid w:val="000E5733"/>
    <w:rsid w:val="000E5D3E"/>
    <w:rsid w:val="000E5DA6"/>
    <w:rsid w:val="000E5E5C"/>
    <w:rsid w:val="000E5EAC"/>
    <w:rsid w:val="000E6179"/>
    <w:rsid w:val="000E63DD"/>
    <w:rsid w:val="000E66CD"/>
    <w:rsid w:val="000E6891"/>
    <w:rsid w:val="000E6A1B"/>
    <w:rsid w:val="000E6C55"/>
    <w:rsid w:val="000E6F54"/>
    <w:rsid w:val="000E6F5F"/>
    <w:rsid w:val="000E703F"/>
    <w:rsid w:val="000E71CB"/>
    <w:rsid w:val="000E73FE"/>
    <w:rsid w:val="000E7851"/>
    <w:rsid w:val="000E78A5"/>
    <w:rsid w:val="000E7965"/>
    <w:rsid w:val="000E7969"/>
    <w:rsid w:val="000E7A82"/>
    <w:rsid w:val="000E7AC3"/>
    <w:rsid w:val="000E7B84"/>
    <w:rsid w:val="000E7E95"/>
    <w:rsid w:val="000E7EED"/>
    <w:rsid w:val="000F00F2"/>
    <w:rsid w:val="000F04BE"/>
    <w:rsid w:val="000F0964"/>
    <w:rsid w:val="000F0975"/>
    <w:rsid w:val="000F0C54"/>
    <w:rsid w:val="000F0D08"/>
    <w:rsid w:val="000F1319"/>
    <w:rsid w:val="000F18E1"/>
    <w:rsid w:val="000F190B"/>
    <w:rsid w:val="000F1FA8"/>
    <w:rsid w:val="000F204E"/>
    <w:rsid w:val="000F219E"/>
    <w:rsid w:val="000F236B"/>
    <w:rsid w:val="000F23EE"/>
    <w:rsid w:val="000F285B"/>
    <w:rsid w:val="000F30AD"/>
    <w:rsid w:val="000F3429"/>
    <w:rsid w:val="000F3968"/>
    <w:rsid w:val="000F3B50"/>
    <w:rsid w:val="000F3C30"/>
    <w:rsid w:val="000F40F9"/>
    <w:rsid w:val="000F426F"/>
    <w:rsid w:val="000F47D8"/>
    <w:rsid w:val="000F4CB0"/>
    <w:rsid w:val="000F4D28"/>
    <w:rsid w:val="000F4DFA"/>
    <w:rsid w:val="000F4EEA"/>
    <w:rsid w:val="000F508A"/>
    <w:rsid w:val="000F50C5"/>
    <w:rsid w:val="000F5A64"/>
    <w:rsid w:val="000F5D8C"/>
    <w:rsid w:val="000F5F2C"/>
    <w:rsid w:val="000F5FC9"/>
    <w:rsid w:val="000F6079"/>
    <w:rsid w:val="000F640C"/>
    <w:rsid w:val="000F66F8"/>
    <w:rsid w:val="000F6A4D"/>
    <w:rsid w:val="000F6CE1"/>
    <w:rsid w:val="000F6D1C"/>
    <w:rsid w:val="000F72F4"/>
    <w:rsid w:val="000F7361"/>
    <w:rsid w:val="000F76EF"/>
    <w:rsid w:val="000F7A58"/>
    <w:rsid w:val="000F7C32"/>
    <w:rsid w:val="000F7FD2"/>
    <w:rsid w:val="00100186"/>
    <w:rsid w:val="001001F0"/>
    <w:rsid w:val="00100281"/>
    <w:rsid w:val="001002E8"/>
    <w:rsid w:val="00100570"/>
    <w:rsid w:val="001005AA"/>
    <w:rsid w:val="001010B9"/>
    <w:rsid w:val="0010124A"/>
    <w:rsid w:val="00101595"/>
    <w:rsid w:val="00101616"/>
    <w:rsid w:val="001019F6"/>
    <w:rsid w:val="00101B48"/>
    <w:rsid w:val="00101C5B"/>
    <w:rsid w:val="00101DAF"/>
    <w:rsid w:val="00101EA6"/>
    <w:rsid w:val="0010238A"/>
    <w:rsid w:val="001024C0"/>
    <w:rsid w:val="001024FE"/>
    <w:rsid w:val="0010271E"/>
    <w:rsid w:val="00102752"/>
    <w:rsid w:val="001028D2"/>
    <w:rsid w:val="00102ACE"/>
    <w:rsid w:val="00102C26"/>
    <w:rsid w:val="001033BA"/>
    <w:rsid w:val="00103470"/>
    <w:rsid w:val="0010377A"/>
    <w:rsid w:val="00103D71"/>
    <w:rsid w:val="00103FE2"/>
    <w:rsid w:val="0010407C"/>
    <w:rsid w:val="00104111"/>
    <w:rsid w:val="0010420B"/>
    <w:rsid w:val="00104787"/>
    <w:rsid w:val="001047AE"/>
    <w:rsid w:val="00104E72"/>
    <w:rsid w:val="001053AD"/>
    <w:rsid w:val="0010587A"/>
    <w:rsid w:val="001059C5"/>
    <w:rsid w:val="001059E3"/>
    <w:rsid w:val="0010618E"/>
    <w:rsid w:val="001064DF"/>
    <w:rsid w:val="001064E2"/>
    <w:rsid w:val="00106705"/>
    <w:rsid w:val="00106CAC"/>
    <w:rsid w:val="00106D47"/>
    <w:rsid w:val="00106D5A"/>
    <w:rsid w:val="00106E1A"/>
    <w:rsid w:val="00107152"/>
    <w:rsid w:val="00107317"/>
    <w:rsid w:val="0010739A"/>
    <w:rsid w:val="0010739D"/>
    <w:rsid w:val="00107DC8"/>
    <w:rsid w:val="00107E45"/>
    <w:rsid w:val="001101BB"/>
    <w:rsid w:val="001104E5"/>
    <w:rsid w:val="001106E0"/>
    <w:rsid w:val="00110763"/>
    <w:rsid w:val="00110A0A"/>
    <w:rsid w:val="00110A66"/>
    <w:rsid w:val="00110B75"/>
    <w:rsid w:val="00110C99"/>
    <w:rsid w:val="0011109C"/>
    <w:rsid w:val="0011120F"/>
    <w:rsid w:val="00111444"/>
    <w:rsid w:val="001116B6"/>
    <w:rsid w:val="00111A9D"/>
    <w:rsid w:val="00111FD8"/>
    <w:rsid w:val="001131C7"/>
    <w:rsid w:val="001132ED"/>
    <w:rsid w:val="001134B2"/>
    <w:rsid w:val="001138BE"/>
    <w:rsid w:val="00113AE8"/>
    <w:rsid w:val="001140D8"/>
    <w:rsid w:val="00114341"/>
    <w:rsid w:val="00114A80"/>
    <w:rsid w:val="00114A88"/>
    <w:rsid w:val="00114B90"/>
    <w:rsid w:val="00114E8B"/>
    <w:rsid w:val="00115284"/>
    <w:rsid w:val="0011532F"/>
    <w:rsid w:val="001154CE"/>
    <w:rsid w:val="001158F0"/>
    <w:rsid w:val="00115922"/>
    <w:rsid w:val="00115A5F"/>
    <w:rsid w:val="00115F3B"/>
    <w:rsid w:val="00116172"/>
    <w:rsid w:val="001166C4"/>
    <w:rsid w:val="00116D11"/>
    <w:rsid w:val="00116F3D"/>
    <w:rsid w:val="00116F9A"/>
    <w:rsid w:val="00116FF7"/>
    <w:rsid w:val="001170AB"/>
    <w:rsid w:val="00117291"/>
    <w:rsid w:val="0011747B"/>
    <w:rsid w:val="00117514"/>
    <w:rsid w:val="0011758E"/>
    <w:rsid w:val="001176B4"/>
    <w:rsid w:val="001178D8"/>
    <w:rsid w:val="00117A52"/>
    <w:rsid w:val="00117B24"/>
    <w:rsid w:val="00117C27"/>
    <w:rsid w:val="00117CA1"/>
    <w:rsid w:val="00117D72"/>
    <w:rsid w:val="00117F39"/>
    <w:rsid w:val="00117FB2"/>
    <w:rsid w:val="0012033C"/>
    <w:rsid w:val="00120E54"/>
    <w:rsid w:val="00120EA6"/>
    <w:rsid w:val="001214B2"/>
    <w:rsid w:val="001214FB"/>
    <w:rsid w:val="00121513"/>
    <w:rsid w:val="001217CB"/>
    <w:rsid w:val="00121C66"/>
    <w:rsid w:val="00121CF0"/>
    <w:rsid w:val="00121E37"/>
    <w:rsid w:val="00122253"/>
    <w:rsid w:val="001225C1"/>
    <w:rsid w:val="00122BFE"/>
    <w:rsid w:val="00122DE5"/>
    <w:rsid w:val="0012301C"/>
    <w:rsid w:val="0012306C"/>
    <w:rsid w:val="0012321E"/>
    <w:rsid w:val="001234B4"/>
    <w:rsid w:val="00123603"/>
    <w:rsid w:val="00123619"/>
    <w:rsid w:val="00123707"/>
    <w:rsid w:val="00123994"/>
    <w:rsid w:val="00123BAF"/>
    <w:rsid w:val="00123E23"/>
    <w:rsid w:val="00123F1D"/>
    <w:rsid w:val="001246F3"/>
    <w:rsid w:val="00124B78"/>
    <w:rsid w:val="00124BE5"/>
    <w:rsid w:val="00124D5D"/>
    <w:rsid w:val="00124E3B"/>
    <w:rsid w:val="00124EA4"/>
    <w:rsid w:val="00125441"/>
    <w:rsid w:val="00125621"/>
    <w:rsid w:val="00125879"/>
    <w:rsid w:val="00125C85"/>
    <w:rsid w:val="00125D53"/>
    <w:rsid w:val="00125F28"/>
    <w:rsid w:val="00125FE7"/>
    <w:rsid w:val="0012607A"/>
    <w:rsid w:val="001266C9"/>
    <w:rsid w:val="00126943"/>
    <w:rsid w:val="00126DE3"/>
    <w:rsid w:val="00126EFA"/>
    <w:rsid w:val="00127363"/>
    <w:rsid w:val="001273C4"/>
    <w:rsid w:val="001277D7"/>
    <w:rsid w:val="00127CA9"/>
    <w:rsid w:val="00127D6E"/>
    <w:rsid w:val="001302CC"/>
    <w:rsid w:val="001303E2"/>
    <w:rsid w:val="0013042C"/>
    <w:rsid w:val="00130504"/>
    <w:rsid w:val="00130648"/>
    <w:rsid w:val="00130AD5"/>
    <w:rsid w:val="00130D24"/>
    <w:rsid w:val="0013111A"/>
    <w:rsid w:val="00131140"/>
    <w:rsid w:val="00131816"/>
    <w:rsid w:val="00131895"/>
    <w:rsid w:val="001320D4"/>
    <w:rsid w:val="00132270"/>
    <w:rsid w:val="001324EC"/>
    <w:rsid w:val="00132681"/>
    <w:rsid w:val="00132719"/>
    <w:rsid w:val="001327BC"/>
    <w:rsid w:val="00132C5C"/>
    <w:rsid w:val="00133128"/>
    <w:rsid w:val="001333E5"/>
    <w:rsid w:val="00133639"/>
    <w:rsid w:val="00133825"/>
    <w:rsid w:val="00133A8D"/>
    <w:rsid w:val="00133DB9"/>
    <w:rsid w:val="001341F5"/>
    <w:rsid w:val="00134597"/>
    <w:rsid w:val="0013468D"/>
    <w:rsid w:val="001346B4"/>
    <w:rsid w:val="001349E0"/>
    <w:rsid w:val="00134C52"/>
    <w:rsid w:val="001353E6"/>
    <w:rsid w:val="00135585"/>
    <w:rsid w:val="00135888"/>
    <w:rsid w:val="001358F1"/>
    <w:rsid w:val="00135BFE"/>
    <w:rsid w:val="00135D1B"/>
    <w:rsid w:val="00135E02"/>
    <w:rsid w:val="00135EF5"/>
    <w:rsid w:val="001363A0"/>
    <w:rsid w:val="001368CC"/>
    <w:rsid w:val="0013708B"/>
    <w:rsid w:val="001372D7"/>
    <w:rsid w:val="00137928"/>
    <w:rsid w:val="00137B1B"/>
    <w:rsid w:val="00137CA8"/>
    <w:rsid w:val="00137D7C"/>
    <w:rsid w:val="00137F23"/>
    <w:rsid w:val="00140185"/>
    <w:rsid w:val="00140573"/>
    <w:rsid w:val="00140654"/>
    <w:rsid w:val="00140A1A"/>
    <w:rsid w:val="00140C12"/>
    <w:rsid w:val="00140D15"/>
    <w:rsid w:val="00140D5D"/>
    <w:rsid w:val="00140E14"/>
    <w:rsid w:val="00140F50"/>
    <w:rsid w:val="00141050"/>
    <w:rsid w:val="00141210"/>
    <w:rsid w:val="001412C4"/>
    <w:rsid w:val="001412E5"/>
    <w:rsid w:val="001415B8"/>
    <w:rsid w:val="001415D1"/>
    <w:rsid w:val="00141714"/>
    <w:rsid w:val="0014188E"/>
    <w:rsid w:val="00141D60"/>
    <w:rsid w:val="00141E9D"/>
    <w:rsid w:val="0014200D"/>
    <w:rsid w:val="0014254D"/>
    <w:rsid w:val="001428F3"/>
    <w:rsid w:val="001429FA"/>
    <w:rsid w:val="00142BE7"/>
    <w:rsid w:val="00142F60"/>
    <w:rsid w:val="00142FAB"/>
    <w:rsid w:val="00143063"/>
    <w:rsid w:val="001430C5"/>
    <w:rsid w:val="001431A4"/>
    <w:rsid w:val="00143350"/>
    <w:rsid w:val="001433BE"/>
    <w:rsid w:val="00143935"/>
    <w:rsid w:val="00143A51"/>
    <w:rsid w:val="00143A58"/>
    <w:rsid w:val="00143DB1"/>
    <w:rsid w:val="00143DDC"/>
    <w:rsid w:val="001442F1"/>
    <w:rsid w:val="0014499A"/>
    <w:rsid w:val="00144A0B"/>
    <w:rsid w:val="00144D58"/>
    <w:rsid w:val="0014524F"/>
    <w:rsid w:val="00145259"/>
    <w:rsid w:val="001454DF"/>
    <w:rsid w:val="00145631"/>
    <w:rsid w:val="00145798"/>
    <w:rsid w:val="001458BC"/>
    <w:rsid w:val="00145A91"/>
    <w:rsid w:val="00145AE0"/>
    <w:rsid w:val="00145C21"/>
    <w:rsid w:val="00145FB6"/>
    <w:rsid w:val="001465EA"/>
    <w:rsid w:val="00146C81"/>
    <w:rsid w:val="00146CD6"/>
    <w:rsid w:val="00146FC1"/>
    <w:rsid w:val="0014710C"/>
    <w:rsid w:val="001472CE"/>
    <w:rsid w:val="00147367"/>
    <w:rsid w:val="0014750D"/>
    <w:rsid w:val="001479B1"/>
    <w:rsid w:val="00147BE1"/>
    <w:rsid w:val="00147BFF"/>
    <w:rsid w:val="00147EE0"/>
    <w:rsid w:val="00147FB2"/>
    <w:rsid w:val="00147FC0"/>
    <w:rsid w:val="00150300"/>
    <w:rsid w:val="0015033A"/>
    <w:rsid w:val="001503B1"/>
    <w:rsid w:val="001504D3"/>
    <w:rsid w:val="00150675"/>
    <w:rsid w:val="001507D5"/>
    <w:rsid w:val="00151095"/>
    <w:rsid w:val="001510F8"/>
    <w:rsid w:val="0015151E"/>
    <w:rsid w:val="00151694"/>
    <w:rsid w:val="0015178B"/>
    <w:rsid w:val="00151ABF"/>
    <w:rsid w:val="00151AE6"/>
    <w:rsid w:val="00151D89"/>
    <w:rsid w:val="00152100"/>
    <w:rsid w:val="001525DB"/>
    <w:rsid w:val="00152916"/>
    <w:rsid w:val="00152DC8"/>
    <w:rsid w:val="001530D6"/>
    <w:rsid w:val="00153514"/>
    <w:rsid w:val="00153543"/>
    <w:rsid w:val="00153BBF"/>
    <w:rsid w:val="00153C4D"/>
    <w:rsid w:val="00153D0F"/>
    <w:rsid w:val="00153FD2"/>
    <w:rsid w:val="00154482"/>
    <w:rsid w:val="001544FF"/>
    <w:rsid w:val="00154913"/>
    <w:rsid w:val="00154916"/>
    <w:rsid w:val="00154B49"/>
    <w:rsid w:val="00154BB5"/>
    <w:rsid w:val="00154E59"/>
    <w:rsid w:val="001550E8"/>
    <w:rsid w:val="00155135"/>
    <w:rsid w:val="0015522A"/>
    <w:rsid w:val="001555D6"/>
    <w:rsid w:val="00155672"/>
    <w:rsid w:val="00155D1A"/>
    <w:rsid w:val="0015609C"/>
    <w:rsid w:val="00156859"/>
    <w:rsid w:val="0015692D"/>
    <w:rsid w:val="00156B8F"/>
    <w:rsid w:val="00156CD5"/>
    <w:rsid w:val="00156D16"/>
    <w:rsid w:val="00156DC4"/>
    <w:rsid w:val="0015712D"/>
    <w:rsid w:val="0015776C"/>
    <w:rsid w:val="00157BEF"/>
    <w:rsid w:val="00157DCC"/>
    <w:rsid w:val="001602D5"/>
    <w:rsid w:val="001603FF"/>
    <w:rsid w:val="00160452"/>
    <w:rsid w:val="00160761"/>
    <w:rsid w:val="00160959"/>
    <w:rsid w:val="00160A90"/>
    <w:rsid w:val="00160B7B"/>
    <w:rsid w:val="00160D13"/>
    <w:rsid w:val="00160E43"/>
    <w:rsid w:val="00161324"/>
    <w:rsid w:val="00161B4A"/>
    <w:rsid w:val="00161B88"/>
    <w:rsid w:val="00161B8B"/>
    <w:rsid w:val="00162196"/>
    <w:rsid w:val="0016230E"/>
    <w:rsid w:val="0016247E"/>
    <w:rsid w:val="001624A7"/>
    <w:rsid w:val="00162911"/>
    <w:rsid w:val="00162928"/>
    <w:rsid w:val="00162B88"/>
    <w:rsid w:val="00162BE2"/>
    <w:rsid w:val="0016305A"/>
    <w:rsid w:val="0016314A"/>
    <w:rsid w:val="00163CB9"/>
    <w:rsid w:val="00163F13"/>
    <w:rsid w:val="00164176"/>
    <w:rsid w:val="001645B3"/>
    <w:rsid w:val="001645B4"/>
    <w:rsid w:val="001647C1"/>
    <w:rsid w:val="00164BAD"/>
    <w:rsid w:val="00164D5A"/>
    <w:rsid w:val="00164EDF"/>
    <w:rsid w:val="00165002"/>
    <w:rsid w:val="001654F6"/>
    <w:rsid w:val="0016579C"/>
    <w:rsid w:val="00165813"/>
    <w:rsid w:val="0016594C"/>
    <w:rsid w:val="00165F97"/>
    <w:rsid w:val="00165FA5"/>
    <w:rsid w:val="00166579"/>
    <w:rsid w:val="0016686F"/>
    <w:rsid w:val="00166935"/>
    <w:rsid w:val="0016697B"/>
    <w:rsid w:val="0016707C"/>
    <w:rsid w:val="0016771C"/>
    <w:rsid w:val="00167B2A"/>
    <w:rsid w:val="00167B2E"/>
    <w:rsid w:val="00167B64"/>
    <w:rsid w:val="00167E78"/>
    <w:rsid w:val="00170124"/>
    <w:rsid w:val="001701A6"/>
    <w:rsid w:val="001702C4"/>
    <w:rsid w:val="001705B7"/>
    <w:rsid w:val="00170629"/>
    <w:rsid w:val="0017093A"/>
    <w:rsid w:val="00170CD1"/>
    <w:rsid w:val="00170CEB"/>
    <w:rsid w:val="00171646"/>
    <w:rsid w:val="00171806"/>
    <w:rsid w:val="001719B3"/>
    <w:rsid w:val="00171A53"/>
    <w:rsid w:val="00171B8C"/>
    <w:rsid w:val="00171C95"/>
    <w:rsid w:val="00171CFA"/>
    <w:rsid w:val="00171FC7"/>
    <w:rsid w:val="001725E9"/>
    <w:rsid w:val="001728A5"/>
    <w:rsid w:val="00172D3B"/>
    <w:rsid w:val="00172FA1"/>
    <w:rsid w:val="00173048"/>
    <w:rsid w:val="0017367D"/>
    <w:rsid w:val="00174A82"/>
    <w:rsid w:val="00174C1E"/>
    <w:rsid w:val="00174CBB"/>
    <w:rsid w:val="00175429"/>
    <w:rsid w:val="001755CA"/>
    <w:rsid w:val="00175691"/>
    <w:rsid w:val="00175875"/>
    <w:rsid w:val="00175AFF"/>
    <w:rsid w:val="00175B31"/>
    <w:rsid w:val="0017609A"/>
    <w:rsid w:val="001761E0"/>
    <w:rsid w:val="00176377"/>
    <w:rsid w:val="00176716"/>
    <w:rsid w:val="0017688C"/>
    <w:rsid w:val="00176A56"/>
    <w:rsid w:val="00176BA6"/>
    <w:rsid w:val="00176C84"/>
    <w:rsid w:val="00176EC5"/>
    <w:rsid w:val="00176F05"/>
    <w:rsid w:val="00177287"/>
    <w:rsid w:val="001776D3"/>
    <w:rsid w:val="0017794E"/>
    <w:rsid w:val="00177969"/>
    <w:rsid w:val="00177987"/>
    <w:rsid w:val="00177A89"/>
    <w:rsid w:val="00177B88"/>
    <w:rsid w:val="00177BE4"/>
    <w:rsid w:val="00177F19"/>
    <w:rsid w:val="00177FF7"/>
    <w:rsid w:val="00180295"/>
    <w:rsid w:val="00180400"/>
    <w:rsid w:val="00180749"/>
    <w:rsid w:val="00180863"/>
    <w:rsid w:val="00180A95"/>
    <w:rsid w:val="001810C7"/>
    <w:rsid w:val="001811B9"/>
    <w:rsid w:val="001814EC"/>
    <w:rsid w:val="00181640"/>
    <w:rsid w:val="00181942"/>
    <w:rsid w:val="00181AB2"/>
    <w:rsid w:val="00181ADE"/>
    <w:rsid w:val="00181B08"/>
    <w:rsid w:val="00181B0D"/>
    <w:rsid w:val="00181B39"/>
    <w:rsid w:val="00181DF1"/>
    <w:rsid w:val="00181FB3"/>
    <w:rsid w:val="001822C4"/>
    <w:rsid w:val="0018259E"/>
    <w:rsid w:val="00182BF1"/>
    <w:rsid w:val="00182C18"/>
    <w:rsid w:val="00182D1F"/>
    <w:rsid w:val="00182ED0"/>
    <w:rsid w:val="0018308E"/>
    <w:rsid w:val="00183292"/>
    <w:rsid w:val="00183335"/>
    <w:rsid w:val="0018337A"/>
    <w:rsid w:val="00183A45"/>
    <w:rsid w:val="00183B2F"/>
    <w:rsid w:val="00183E4D"/>
    <w:rsid w:val="00183FF4"/>
    <w:rsid w:val="00184148"/>
    <w:rsid w:val="0018417C"/>
    <w:rsid w:val="00184507"/>
    <w:rsid w:val="0018480C"/>
    <w:rsid w:val="00184C48"/>
    <w:rsid w:val="0018509C"/>
    <w:rsid w:val="001850C0"/>
    <w:rsid w:val="0018540F"/>
    <w:rsid w:val="00185497"/>
    <w:rsid w:val="001854F1"/>
    <w:rsid w:val="001855F8"/>
    <w:rsid w:val="00185A14"/>
    <w:rsid w:val="00185AAE"/>
    <w:rsid w:val="00185BFB"/>
    <w:rsid w:val="00185DC1"/>
    <w:rsid w:val="00185E19"/>
    <w:rsid w:val="0018607D"/>
    <w:rsid w:val="00186246"/>
    <w:rsid w:val="00186292"/>
    <w:rsid w:val="001866BF"/>
    <w:rsid w:val="001868B5"/>
    <w:rsid w:val="00186A27"/>
    <w:rsid w:val="00186A92"/>
    <w:rsid w:val="00186AA4"/>
    <w:rsid w:val="00186C9F"/>
    <w:rsid w:val="00186DD1"/>
    <w:rsid w:val="00186F61"/>
    <w:rsid w:val="00186F81"/>
    <w:rsid w:val="00187020"/>
    <w:rsid w:val="001870D1"/>
    <w:rsid w:val="00187170"/>
    <w:rsid w:val="001871D2"/>
    <w:rsid w:val="001872FF"/>
    <w:rsid w:val="001873F0"/>
    <w:rsid w:val="001879E3"/>
    <w:rsid w:val="00187A29"/>
    <w:rsid w:val="00187CF5"/>
    <w:rsid w:val="00190192"/>
    <w:rsid w:val="00190285"/>
    <w:rsid w:val="00190698"/>
    <w:rsid w:val="00190B56"/>
    <w:rsid w:val="00190D6F"/>
    <w:rsid w:val="00190E47"/>
    <w:rsid w:val="00190E57"/>
    <w:rsid w:val="00191577"/>
    <w:rsid w:val="00192238"/>
    <w:rsid w:val="001926D6"/>
    <w:rsid w:val="00192AA4"/>
    <w:rsid w:val="00192B76"/>
    <w:rsid w:val="00192CA4"/>
    <w:rsid w:val="00192F46"/>
    <w:rsid w:val="001930AF"/>
    <w:rsid w:val="001932BF"/>
    <w:rsid w:val="0019332A"/>
    <w:rsid w:val="00193556"/>
    <w:rsid w:val="001937F6"/>
    <w:rsid w:val="00193AB1"/>
    <w:rsid w:val="00193B87"/>
    <w:rsid w:val="00193DE2"/>
    <w:rsid w:val="00193E3B"/>
    <w:rsid w:val="00193E65"/>
    <w:rsid w:val="00193EC8"/>
    <w:rsid w:val="00194025"/>
    <w:rsid w:val="001941FC"/>
    <w:rsid w:val="00194B07"/>
    <w:rsid w:val="0019554C"/>
    <w:rsid w:val="00195712"/>
    <w:rsid w:val="00195B9E"/>
    <w:rsid w:val="00195EA7"/>
    <w:rsid w:val="0019669B"/>
    <w:rsid w:val="00196C11"/>
    <w:rsid w:val="00196EED"/>
    <w:rsid w:val="00196F63"/>
    <w:rsid w:val="00196FD6"/>
    <w:rsid w:val="001A0148"/>
    <w:rsid w:val="001A0E88"/>
    <w:rsid w:val="001A12A4"/>
    <w:rsid w:val="001A1623"/>
    <w:rsid w:val="001A1860"/>
    <w:rsid w:val="001A1C91"/>
    <w:rsid w:val="001A1E0A"/>
    <w:rsid w:val="001A1EC3"/>
    <w:rsid w:val="001A2CC1"/>
    <w:rsid w:val="001A310F"/>
    <w:rsid w:val="001A3113"/>
    <w:rsid w:val="001A31BB"/>
    <w:rsid w:val="001A3319"/>
    <w:rsid w:val="001A361C"/>
    <w:rsid w:val="001A39E1"/>
    <w:rsid w:val="001A400B"/>
    <w:rsid w:val="001A41E3"/>
    <w:rsid w:val="001A43AC"/>
    <w:rsid w:val="001A4BD8"/>
    <w:rsid w:val="001A4D76"/>
    <w:rsid w:val="001A4FAC"/>
    <w:rsid w:val="001A5198"/>
    <w:rsid w:val="001A5390"/>
    <w:rsid w:val="001A56B0"/>
    <w:rsid w:val="001A589C"/>
    <w:rsid w:val="001A5972"/>
    <w:rsid w:val="001A599E"/>
    <w:rsid w:val="001A5C3F"/>
    <w:rsid w:val="001A5EF8"/>
    <w:rsid w:val="001A652C"/>
    <w:rsid w:val="001A6B50"/>
    <w:rsid w:val="001A6B5E"/>
    <w:rsid w:val="001A6B84"/>
    <w:rsid w:val="001A6D1F"/>
    <w:rsid w:val="001A73C9"/>
    <w:rsid w:val="001A793D"/>
    <w:rsid w:val="001B00D1"/>
    <w:rsid w:val="001B094A"/>
    <w:rsid w:val="001B0A76"/>
    <w:rsid w:val="001B0AB1"/>
    <w:rsid w:val="001B0D83"/>
    <w:rsid w:val="001B1BAF"/>
    <w:rsid w:val="001B221D"/>
    <w:rsid w:val="001B22DF"/>
    <w:rsid w:val="001B22FA"/>
    <w:rsid w:val="001B25F4"/>
    <w:rsid w:val="001B26FF"/>
    <w:rsid w:val="001B279B"/>
    <w:rsid w:val="001B2A0B"/>
    <w:rsid w:val="001B2A7E"/>
    <w:rsid w:val="001B33AE"/>
    <w:rsid w:val="001B35B1"/>
    <w:rsid w:val="001B3955"/>
    <w:rsid w:val="001B3A2C"/>
    <w:rsid w:val="001B3A69"/>
    <w:rsid w:val="001B3A9D"/>
    <w:rsid w:val="001B3F27"/>
    <w:rsid w:val="001B4324"/>
    <w:rsid w:val="001B45BF"/>
    <w:rsid w:val="001B47D5"/>
    <w:rsid w:val="001B49CC"/>
    <w:rsid w:val="001B4C24"/>
    <w:rsid w:val="001B4CC7"/>
    <w:rsid w:val="001B4DDE"/>
    <w:rsid w:val="001B4E96"/>
    <w:rsid w:val="001B51C9"/>
    <w:rsid w:val="001B5925"/>
    <w:rsid w:val="001B5D7D"/>
    <w:rsid w:val="001B5EDE"/>
    <w:rsid w:val="001B600A"/>
    <w:rsid w:val="001B601D"/>
    <w:rsid w:val="001B6D1F"/>
    <w:rsid w:val="001B7309"/>
    <w:rsid w:val="001B7522"/>
    <w:rsid w:val="001B7914"/>
    <w:rsid w:val="001C02D5"/>
    <w:rsid w:val="001C0441"/>
    <w:rsid w:val="001C0511"/>
    <w:rsid w:val="001C05CA"/>
    <w:rsid w:val="001C0761"/>
    <w:rsid w:val="001C0BBA"/>
    <w:rsid w:val="001C0BC2"/>
    <w:rsid w:val="001C0CEF"/>
    <w:rsid w:val="001C0D2D"/>
    <w:rsid w:val="001C0F86"/>
    <w:rsid w:val="001C105C"/>
    <w:rsid w:val="001C1200"/>
    <w:rsid w:val="001C15ED"/>
    <w:rsid w:val="001C16C9"/>
    <w:rsid w:val="001C197E"/>
    <w:rsid w:val="001C1A17"/>
    <w:rsid w:val="001C2334"/>
    <w:rsid w:val="001C2BF5"/>
    <w:rsid w:val="001C2D9A"/>
    <w:rsid w:val="001C2DA4"/>
    <w:rsid w:val="001C2DC3"/>
    <w:rsid w:val="001C2E1E"/>
    <w:rsid w:val="001C3014"/>
    <w:rsid w:val="001C3383"/>
    <w:rsid w:val="001C357D"/>
    <w:rsid w:val="001C35C7"/>
    <w:rsid w:val="001C3A68"/>
    <w:rsid w:val="001C3C25"/>
    <w:rsid w:val="001C3C5F"/>
    <w:rsid w:val="001C3E29"/>
    <w:rsid w:val="001C44B0"/>
    <w:rsid w:val="001C467D"/>
    <w:rsid w:val="001C4A9A"/>
    <w:rsid w:val="001C4E63"/>
    <w:rsid w:val="001C4E98"/>
    <w:rsid w:val="001C506A"/>
    <w:rsid w:val="001C5462"/>
    <w:rsid w:val="001C5650"/>
    <w:rsid w:val="001C58AF"/>
    <w:rsid w:val="001C59E2"/>
    <w:rsid w:val="001C5DE0"/>
    <w:rsid w:val="001C62B6"/>
    <w:rsid w:val="001C69A9"/>
    <w:rsid w:val="001C69AC"/>
    <w:rsid w:val="001C6A22"/>
    <w:rsid w:val="001C6D80"/>
    <w:rsid w:val="001C6DDD"/>
    <w:rsid w:val="001C70C6"/>
    <w:rsid w:val="001C758A"/>
    <w:rsid w:val="001C75A6"/>
    <w:rsid w:val="001C7B87"/>
    <w:rsid w:val="001D02C7"/>
    <w:rsid w:val="001D0548"/>
    <w:rsid w:val="001D0719"/>
    <w:rsid w:val="001D07BA"/>
    <w:rsid w:val="001D08EE"/>
    <w:rsid w:val="001D102B"/>
    <w:rsid w:val="001D152F"/>
    <w:rsid w:val="001D1546"/>
    <w:rsid w:val="001D169C"/>
    <w:rsid w:val="001D1899"/>
    <w:rsid w:val="001D1AD6"/>
    <w:rsid w:val="001D1CC7"/>
    <w:rsid w:val="001D1DDF"/>
    <w:rsid w:val="001D22EB"/>
    <w:rsid w:val="001D24A9"/>
    <w:rsid w:val="001D2525"/>
    <w:rsid w:val="001D269C"/>
    <w:rsid w:val="001D27B8"/>
    <w:rsid w:val="001D2A4C"/>
    <w:rsid w:val="001D3018"/>
    <w:rsid w:val="001D33E8"/>
    <w:rsid w:val="001D3865"/>
    <w:rsid w:val="001D396E"/>
    <w:rsid w:val="001D3A9B"/>
    <w:rsid w:val="001D3AA3"/>
    <w:rsid w:val="001D3F23"/>
    <w:rsid w:val="001D4366"/>
    <w:rsid w:val="001D445E"/>
    <w:rsid w:val="001D48F3"/>
    <w:rsid w:val="001D5263"/>
    <w:rsid w:val="001D52CF"/>
    <w:rsid w:val="001D5380"/>
    <w:rsid w:val="001D53A0"/>
    <w:rsid w:val="001D565B"/>
    <w:rsid w:val="001D5676"/>
    <w:rsid w:val="001D5B04"/>
    <w:rsid w:val="001D5B11"/>
    <w:rsid w:val="001D5CB2"/>
    <w:rsid w:val="001D62B4"/>
    <w:rsid w:val="001D6423"/>
    <w:rsid w:val="001D646C"/>
    <w:rsid w:val="001D6BA0"/>
    <w:rsid w:val="001D6C21"/>
    <w:rsid w:val="001D6E78"/>
    <w:rsid w:val="001D733E"/>
    <w:rsid w:val="001D7A0B"/>
    <w:rsid w:val="001D7B2F"/>
    <w:rsid w:val="001D7CCE"/>
    <w:rsid w:val="001D7D4A"/>
    <w:rsid w:val="001E009C"/>
    <w:rsid w:val="001E01D8"/>
    <w:rsid w:val="001E025C"/>
    <w:rsid w:val="001E04B6"/>
    <w:rsid w:val="001E04EE"/>
    <w:rsid w:val="001E0C2D"/>
    <w:rsid w:val="001E0E9A"/>
    <w:rsid w:val="001E0EA2"/>
    <w:rsid w:val="001E0EBE"/>
    <w:rsid w:val="001E1002"/>
    <w:rsid w:val="001E11D7"/>
    <w:rsid w:val="001E12E4"/>
    <w:rsid w:val="001E156F"/>
    <w:rsid w:val="001E170A"/>
    <w:rsid w:val="001E1719"/>
    <w:rsid w:val="001E17C1"/>
    <w:rsid w:val="001E1B6F"/>
    <w:rsid w:val="001E1C7B"/>
    <w:rsid w:val="001E1E0D"/>
    <w:rsid w:val="001E20A5"/>
    <w:rsid w:val="001E25DF"/>
    <w:rsid w:val="001E287C"/>
    <w:rsid w:val="001E28D2"/>
    <w:rsid w:val="001E2A58"/>
    <w:rsid w:val="001E2C38"/>
    <w:rsid w:val="001E2DFB"/>
    <w:rsid w:val="001E3109"/>
    <w:rsid w:val="001E31F3"/>
    <w:rsid w:val="001E32B9"/>
    <w:rsid w:val="001E3578"/>
    <w:rsid w:val="001E3645"/>
    <w:rsid w:val="001E384A"/>
    <w:rsid w:val="001E38F8"/>
    <w:rsid w:val="001E3946"/>
    <w:rsid w:val="001E3963"/>
    <w:rsid w:val="001E3AA0"/>
    <w:rsid w:val="001E4080"/>
    <w:rsid w:val="001E46C0"/>
    <w:rsid w:val="001E4957"/>
    <w:rsid w:val="001E4BD6"/>
    <w:rsid w:val="001E4F09"/>
    <w:rsid w:val="001E50AD"/>
    <w:rsid w:val="001E5397"/>
    <w:rsid w:val="001E54C8"/>
    <w:rsid w:val="001E55CD"/>
    <w:rsid w:val="001E58B5"/>
    <w:rsid w:val="001E5913"/>
    <w:rsid w:val="001E5BF0"/>
    <w:rsid w:val="001E5CC8"/>
    <w:rsid w:val="001E66FC"/>
    <w:rsid w:val="001E6BF5"/>
    <w:rsid w:val="001E705F"/>
    <w:rsid w:val="001E709D"/>
    <w:rsid w:val="001E7101"/>
    <w:rsid w:val="001E71F5"/>
    <w:rsid w:val="001E7C22"/>
    <w:rsid w:val="001F0369"/>
    <w:rsid w:val="001F069E"/>
    <w:rsid w:val="001F0799"/>
    <w:rsid w:val="001F0FDD"/>
    <w:rsid w:val="001F11EB"/>
    <w:rsid w:val="001F1330"/>
    <w:rsid w:val="001F199A"/>
    <w:rsid w:val="001F1C68"/>
    <w:rsid w:val="001F1C78"/>
    <w:rsid w:val="001F1D6D"/>
    <w:rsid w:val="001F1F22"/>
    <w:rsid w:val="001F1F43"/>
    <w:rsid w:val="001F2259"/>
    <w:rsid w:val="001F24B0"/>
    <w:rsid w:val="001F2819"/>
    <w:rsid w:val="001F289A"/>
    <w:rsid w:val="001F2E7D"/>
    <w:rsid w:val="001F301C"/>
    <w:rsid w:val="001F3562"/>
    <w:rsid w:val="001F3576"/>
    <w:rsid w:val="001F3653"/>
    <w:rsid w:val="001F36AB"/>
    <w:rsid w:val="001F3A7B"/>
    <w:rsid w:val="001F3CA5"/>
    <w:rsid w:val="001F3ECF"/>
    <w:rsid w:val="001F4072"/>
    <w:rsid w:val="001F40F8"/>
    <w:rsid w:val="001F44A0"/>
    <w:rsid w:val="001F4590"/>
    <w:rsid w:val="001F4DDE"/>
    <w:rsid w:val="001F5116"/>
    <w:rsid w:val="001F55DA"/>
    <w:rsid w:val="001F579B"/>
    <w:rsid w:val="001F61E5"/>
    <w:rsid w:val="001F622B"/>
    <w:rsid w:val="001F62C9"/>
    <w:rsid w:val="001F686A"/>
    <w:rsid w:val="001F6CF7"/>
    <w:rsid w:val="001F6E30"/>
    <w:rsid w:val="001F6E99"/>
    <w:rsid w:val="001F7690"/>
    <w:rsid w:val="001F787C"/>
    <w:rsid w:val="0020001C"/>
    <w:rsid w:val="00200178"/>
    <w:rsid w:val="0020018B"/>
    <w:rsid w:val="002002F1"/>
    <w:rsid w:val="00200315"/>
    <w:rsid w:val="002003A2"/>
    <w:rsid w:val="0020044D"/>
    <w:rsid w:val="00200AE8"/>
    <w:rsid w:val="00200DE0"/>
    <w:rsid w:val="00200F29"/>
    <w:rsid w:val="002016B4"/>
    <w:rsid w:val="0020172E"/>
    <w:rsid w:val="00201956"/>
    <w:rsid w:val="00201A06"/>
    <w:rsid w:val="00201E34"/>
    <w:rsid w:val="0020228D"/>
    <w:rsid w:val="002023A3"/>
    <w:rsid w:val="00202B51"/>
    <w:rsid w:val="00202BFC"/>
    <w:rsid w:val="00202D86"/>
    <w:rsid w:val="00203947"/>
    <w:rsid w:val="00203DD7"/>
    <w:rsid w:val="00204173"/>
    <w:rsid w:val="00204861"/>
    <w:rsid w:val="00204E33"/>
    <w:rsid w:val="00205184"/>
    <w:rsid w:val="00205262"/>
    <w:rsid w:val="00205356"/>
    <w:rsid w:val="002056F9"/>
    <w:rsid w:val="00205707"/>
    <w:rsid w:val="0020579F"/>
    <w:rsid w:val="00205A91"/>
    <w:rsid w:val="00205E54"/>
    <w:rsid w:val="0020662D"/>
    <w:rsid w:val="002066F7"/>
    <w:rsid w:val="00206886"/>
    <w:rsid w:val="002068C1"/>
    <w:rsid w:val="00206A05"/>
    <w:rsid w:val="00206C27"/>
    <w:rsid w:val="00206EA9"/>
    <w:rsid w:val="00207278"/>
    <w:rsid w:val="002074E2"/>
    <w:rsid w:val="00207AAF"/>
    <w:rsid w:val="00207B1E"/>
    <w:rsid w:val="00207B7F"/>
    <w:rsid w:val="00207C1C"/>
    <w:rsid w:val="002103CC"/>
    <w:rsid w:val="00210407"/>
    <w:rsid w:val="00210BE4"/>
    <w:rsid w:val="00210C5A"/>
    <w:rsid w:val="00210C5E"/>
    <w:rsid w:val="00211100"/>
    <w:rsid w:val="002111AE"/>
    <w:rsid w:val="00211DCE"/>
    <w:rsid w:val="00211F7B"/>
    <w:rsid w:val="002120D8"/>
    <w:rsid w:val="0021231F"/>
    <w:rsid w:val="00212330"/>
    <w:rsid w:val="00212497"/>
    <w:rsid w:val="0021273B"/>
    <w:rsid w:val="0021294E"/>
    <w:rsid w:val="00212D8E"/>
    <w:rsid w:val="00212E6A"/>
    <w:rsid w:val="00212EE0"/>
    <w:rsid w:val="00212EFC"/>
    <w:rsid w:val="0021311F"/>
    <w:rsid w:val="00213374"/>
    <w:rsid w:val="002133C9"/>
    <w:rsid w:val="0021352C"/>
    <w:rsid w:val="0021376A"/>
    <w:rsid w:val="002137F1"/>
    <w:rsid w:val="0021388F"/>
    <w:rsid w:val="00213A8E"/>
    <w:rsid w:val="00213B6A"/>
    <w:rsid w:val="00213CA2"/>
    <w:rsid w:val="00213DE8"/>
    <w:rsid w:val="00213EA5"/>
    <w:rsid w:val="00213ECD"/>
    <w:rsid w:val="00213EED"/>
    <w:rsid w:val="002143FD"/>
    <w:rsid w:val="00214513"/>
    <w:rsid w:val="00214933"/>
    <w:rsid w:val="002149FF"/>
    <w:rsid w:val="00214A7E"/>
    <w:rsid w:val="00214C6A"/>
    <w:rsid w:val="00214F43"/>
    <w:rsid w:val="00214F7B"/>
    <w:rsid w:val="002150FB"/>
    <w:rsid w:val="002151C2"/>
    <w:rsid w:val="002151CA"/>
    <w:rsid w:val="002152B2"/>
    <w:rsid w:val="0021573F"/>
    <w:rsid w:val="002158D8"/>
    <w:rsid w:val="0021598A"/>
    <w:rsid w:val="002161EB"/>
    <w:rsid w:val="00216227"/>
    <w:rsid w:val="002162FD"/>
    <w:rsid w:val="0021639E"/>
    <w:rsid w:val="002163AA"/>
    <w:rsid w:val="002165BB"/>
    <w:rsid w:val="002168A3"/>
    <w:rsid w:val="00216B58"/>
    <w:rsid w:val="00216D21"/>
    <w:rsid w:val="00217A8E"/>
    <w:rsid w:val="00220029"/>
    <w:rsid w:val="0022035F"/>
    <w:rsid w:val="002207FF"/>
    <w:rsid w:val="00220A74"/>
    <w:rsid w:val="00220CBB"/>
    <w:rsid w:val="00220D64"/>
    <w:rsid w:val="0022114B"/>
    <w:rsid w:val="002217FB"/>
    <w:rsid w:val="002219B8"/>
    <w:rsid w:val="00221B21"/>
    <w:rsid w:val="002221F6"/>
    <w:rsid w:val="00222419"/>
    <w:rsid w:val="00222570"/>
    <w:rsid w:val="002226F6"/>
    <w:rsid w:val="0022278C"/>
    <w:rsid w:val="00222A28"/>
    <w:rsid w:val="00222B34"/>
    <w:rsid w:val="00222F0B"/>
    <w:rsid w:val="0022318A"/>
    <w:rsid w:val="00223476"/>
    <w:rsid w:val="0022359D"/>
    <w:rsid w:val="002238C9"/>
    <w:rsid w:val="00223BB3"/>
    <w:rsid w:val="00224AC8"/>
    <w:rsid w:val="00224CA7"/>
    <w:rsid w:val="0022525A"/>
    <w:rsid w:val="0022537D"/>
    <w:rsid w:val="00225A29"/>
    <w:rsid w:val="00225AD7"/>
    <w:rsid w:val="00225B53"/>
    <w:rsid w:val="00225B70"/>
    <w:rsid w:val="00225FEC"/>
    <w:rsid w:val="00226063"/>
    <w:rsid w:val="0022627F"/>
    <w:rsid w:val="002264CB"/>
    <w:rsid w:val="002265DA"/>
    <w:rsid w:val="00226649"/>
    <w:rsid w:val="00226998"/>
    <w:rsid w:val="00226F7E"/>
    <w:rsid w:val="0022719F"/>
    <w:rsid w:val="0022768B"/>
    <w:rsid w:val="00227713"/>
    <w:rsid w:val="00227788"/>
    <w:rsid w:val="00227CE6"/>
    <w:rsid w:val="00227DC8"/>
    <w:rsid w:val="0023007B"/>
    <w:rsid w:val="002301AA"/>
    <w:rsid w:val="0023050C"/>
    <w:rsid w:val="0023057B"/>
    <w:rsid w:val="002305E3"/>
    <w:rsid w:val="00230718"/>
    <w:rsid w:val="00230728"/>
    <w:rsid w:val="00230999"/>
    <w:rsid w:val="00230D24"/>
    <w:rsid w:val="00230F3D"/>
    <w:rsid w:val="002313F9"/>
    <w:rsid w:val="002315B9"/>
    <w:rsid w:val="00231674"/>
    <w:rsid w:val="00231B9E"/>
    <w:rsid w:val="0023205F"/>
    <w:rsid w:val="0023225E"/>
    <w:rsid w:val="00232317"/>
    <w:rsid w:val="00232586"/>
    <w:rsid w:val="00232730"/>
    <w:rsid w:val="0023297A"/>
    <w:rsid w:val="00232C74"/>
    <w:rsid w:val="00232F47"/>
    <w:rsid w:val="00233065"/>
    <w:rsid w:val="00233580"/>
    <w:rsid w:val="002336CB"/>
    <w:rsid w:val="002339E3"/>
    <w:rsid w:val="00233ADB"/>
    <w:rsid w:val="00233C59"/>
    <w:rsid w:val="002349F9"/>
    <w:rsid w:val="00234D1D"/>
    <w:rsid w:val="002355C8"/>
    <w:rsid w:val="00235945"/>
    <w:rsid w:val="00235ECB"/>
    <w:rsid w:val="002360B8"/>
    <w:rsid w:val="0023643C"/>
    <w:rsid w:val="002368EB"/>
    <w:rsid w:val="00236A7B"/>
    <w:rsid w:val="00236D26"/>
    <w:rsid w:val="002371C0"/>
    <w:rsid w:val="002378CF"/>
    <w:rsid w:val="00237B04"/>
    <w:rsid w:val="00237E29"/>
    <w:rsid w:val="00237E99"/>
    <w:rsid w:val="00237FF1"/>
    <w:rsid w:val="00240168"/>
    <w:rsid w:val="0024027B"/>
    <w:rsid w:val="002402D4"/>
    <w:rsid w:val="00240521"/>
    <w:rsid w:val="002407F1"/>
    <w:rsid w:val="002408E3"/>
    <w:rsid w:val="00240933"/>
    <w:rsid w:val="0024098F"/>
    <w:rsid w:val="00240D9D"/>
    <w:rsid w:val="00240E92"/>
    <w:rsid w:val="00241B28"/>
    <w:rsid w:val="00241E85"/>
    <w:rsid w:val="00241F1C"/>
    <w:rsid w:val="002421D8"/>
    <w:rsid w:val="002422FA"/>
    <w:rsid w:val="002425EC"/>
    <w:rsid w:val="00242920"/>
    <w:rsid w:val="00242A63"/>
    <w:rsid w:val="00242AD2"/>
    <w:rsid w:val="00242BED"/>
    <w:rsid w:val="00242D36"/>
    <w:rsid w:val="00242E23"/>
    <w:rsid w:val="00242EDE"/>
    <w:rsid w:val="00242FE6"/>
    <w:rsid w:val="00243328"/>
    <w:rsid w:val="00243503"/>
    <w:rsid w:val="00243530"/>
    <w:rsid w:val="002436E9"/>
    <w:rsid w:val="0024380D"/>
    <w:rsid w:val="00243AC8"/>
    <w:rsid w:val="00243D0B"/>
    <w:rsid w:val="00243EB2"/>
    <w:rsid w:val="002440A5"/>
    <w:rsid w:val="00244533"/>
    <w:rsid w:val="00244875"/>
    <w:rsid w:val="00244B8C"/>
    <w:rsid w:val="00244DAC"/>
    <w:rsid w:val="00244E2C"/>
    <w:rsid w:val="00244E86"/>
    <w:rsid w:val="00244F8F"/>
    <w:rsid w:val="0024525A"/>
    <w:rsid w:val="00245C2E"/>
    <w:rsid w:val="00245CC6"/>
    <w:rsid w:val="002465C9"/>
    <w:rsid w:val="00246BCE"/>
    <w:rsid w:val="00247672"/>
    <w:rsid w:val="00247D8F"/>
    <w:rsid w:val="00247F76"/>
    <w:rsid w:val="0025016C"/>
    <w:rsid w:val="002509F3"/>
    <w:rsid w:val="00250AD3"/>
    <w:rsid w:val="00250E0F"/>
    <w:rsid w:val="00251081"/>
    <w:rsid w:val="0025138F"/>
    <w:rsid w:val="002516B3"/>
    <w:rsid w:val="00251713"/>
    <w:rsid w:val="00251904"/>
    <w:rsid w:val="00251A10"/>
    <w:rsid w:val="00251E8F"/>
    <w:rsid w:val="0025234E"/>
    <w:rsid w:val="0025242F"/>
    <w:rsid w:val="002527D2"/>
    <w:rsid w:val="002528E9"/>
    <w:rsid w:val="00252A85"/>
    <w:rsid w:val="00252B9B"/>
    <w:rsid w:val="00252BAA"/>
    <w:rsid w:val="00252CBE"/>
    <w:rsid w:val="00252CCA"/>
    <w:rsid w:val="00252D88"/>
    <w:rsid w:val="00252E96"/>
    <w:rsid w:val="002530FF"/>
    <w:rsid w:val="0025353D"/>
    <w:rsid w:val="002536E5"/>
    <w:rsid w:val="00253941"/>
    <w:rsid w:val="00253ADC"/>
    <w:rsid w:val="002540E4"/>
    <w:rsid w:val="00254898"/>
    <w:rsid w:val="00254906"/>
    <w:rsid w:val="00254CF1"/>
    <w:rsid w:val="00254D43"/>
    <w:rsid w:val="0025565A"/>
    <w:rsid w:val="00255B28"/>
    <w:rsid w:val="00255C7C"/>
    <w:rsid w:val="00255CFF"/>
    <w:rsid w:val="00255D0D"/>
    <w:rsid w:val="00255F4E"/>
    <w:rsid w:val="00255F9A"/>
    <w:rsid w:val="002563DB"/>
    <w:rsid w:val="0025651D"/>
    <w:rsid w:val="00256C93"/>
    <w:rsid w:val="00257377"/>
    <w:rsid w:val="0025743A"/>
    <w:rsid w:val="002579B5"/>
    <w:rsid w:val="00257A35"/>
    <w:rsid w:val="00257A4F"/>
    <w:rsid w:val="00257DE5"/>
    <w:rsid w:val="002604D1"/>
    <w:rsid w:val="00260574"/>
    <w:rsid w:val="0026063B"/>
    <w:rsid w:val="0026070C"/>
    <w:rsid w:val="002607A9"/>
    <w:rsid w:val="00260BCB"/>
    <w:rsid w:val="00260BF9"/>
    <w:rsid w:val="002611B2"/>
    <w:rsid w:val="002615A7"/>
    <w:rsid w:val="00261CCC"/>
    <w:rsid w:val="00261E92"/>
    <w:rsid w:val="00262145"/>
    <w:rsid w:val="00262724"/>
    <w:rsid w:val="00262863"/>
    <w:rsid w:val="00262AF8"/>
    <w:rsid w:val="00262D58"/>
    <w:rsid w:val="00262DBC"/>
    <w:rsid w:val="00262FC1"/>
    <w:rsid w:val="0026308E"/>
    <w:rsid w:val="0026326C"/>
    <w:rsid w:val="00263415"/>
    <w:rsid w:val="00263458"/>
    <w:rsid w:val="002644DF"/>
    <w:rsid w:val="0026457C"/>
    <w:rsid w:val="002647AE"/>
    <w:rsid w:val="002648F6"/>
    <w:rsid w:val="00264CC5"/>
    <w:rsid w:val="00264E3C"/>
    <w:rsid w:val="00265047"/>
    <w:rsid w:val="002652AA"/>
    <w:rsid w:val="002655A7"/>
    <w:rsid w:val="0026561E"/>
    <w:rsid w:val="00265BEF"/>
    <w:rsid w:val="00265E72"/>
    <w:rsid w:val="0026653C"/>
    <w:rsid w:val="00266665"/>
    <w:rsid w:val="002666EA"/>
    <w:rsid w:val="002668DC"/>
    <w:rsid w:val="00266B0C"/>
    <w:rsid w:val="00266CDA"/>
    <w:rsid w:val="0026730F"/>
    <w:rsid w:val="002679CF"/>
    <w:rsid w:val="002707B7"/>
    <w:rsid w:val="00270898"/>
    <w:rsid w:val="0027099D"/>
    <w:rsid w:val="00270A40"/>
    <w:rsid w:val="00270B6D"/>
    <w:rsid w:val="002711DC"/>
    <w:rsid w:val="00271229"/>
    <w:rsid w:val="002712C6"/>
    <w:rsid w:val="00271305"/>
    <w:rsid w:val="0027170F"/>
    <w:rsid w:val="002718FF"/>
    <w:rsid w:val="00271AD3"/>
    <w:rsid w:val="00271AF4"/>
    <w:rsid w:val="00271E8A"/>
    <w:rsid w:val="002720B6"/>
    <w:rsid w:val="002720FD"/>
    <w:rsid w:val="00272391"/>
    <w:rsid w:val="00272551"/>
    <w:rsid w:val="00272585"/>
    <w:rsid w:val="00272A13"/>
    <w:rsid w:val="00273148"/>
    <w:rsid w:val="00273362"/>
    <w:rsid w:val="002735E7"/>
    <w:rsid w:val="00273978"/>
    <w:rsid w:val="00273AE5"/>
    <w:rsid w:val="00273B16"/>
    <w:rsid w:val="00273B9D"/>
    <w:rsid w:val="00273D00"/>
    <w:rsid w:val="00274085"/>
    <w:rsid w:val="002740F9"/>
    <w:rsid w:val="0027470B"/>
    <w:rsid w:val="00274733"/>
    <w:rsid w:val="00274872"/>
    <w:rsid w:val="00274895"/>
    <w:rsid w:val="00274DD7"/>
    <w:rsid w:val="00274F96"/>
    <w:rsid w:val="00275321"/>
    <w:rsid w:val="002758BF"/>
    <w:rsid w:val="00275DD6"/>
    <w:rsid w:val="002760D5"/>
    <w:rsid w:val="0027625C"/>
    <w:rsid w:val="0027645A"/>
    <w:rsid w:val="002766A9"/>
    <w:rsid w:val="002767F8"/>
    <w:rsid w:val="00276CC7"/>
    <w:rsid w:val="00276D3C"/>
    <w:rsid w:val="00276FDE"/>
    <w:rsid w:val="00277981"/>
    <w:rsid w:val="00277AF6"/>
    <w:rsid w:val="00277D37"/>
    <w:rsid w:val="00277DD8"/>
    <w:rsid w:val="0028034B"/>
    <w:rsid w:val="002806AF"/>
    <w:rsid w:val="00280752"/>
    <w:rsid w:val="00280826"/>
    <w:rsid w:val="00280A78"/>
    <w:rsid w:val="00280A91"/>
    <w:rsid w:val="00280C0B"/>
    <w:rsid w:val="00280CDB"/>
    <w:rsid w:val="00280E58"/>
    <w:rsid w:val="00281055"/>
    <w:rsid w:val="00281151"/>
    <w:rsid w:val="00281742"/>
    <w:rsid w:val="00281783"/>
    <w:rsid w:val="00281909"/>
    <w:rsid w:val="00281BBA"/>
    <w:rsid w:val="00281BCF"/>
    <w:rsid w:val="00281F58"/>
    <w:rsid w:val="002824BB"/>
    <w:rsid w:val="002826E9"/>
    <w:rsid w:val="002827EA"/>
    <w:rsid w:val="0028281C"/>
    <w:rsid w:val="00282D87"/>
    <w:rsid w:val="00282ED4"/>
    <w:rsid w:val="00282EE9"/>
    <w:rsid w:val="002832EB"/>
    <w:rsid w:val="00283DF4"/>
    <w:rsid w:val="00283EEC"/>
    <w:rsid w:val="002843A1"/>
    <w:rsid w:val="002845AC"/>
    <w:rsid w:val="002845D9"/>
    <w:rsid w:val="002846A4"/>
    <w:rsid w:val="00284FDB"/>
    <w:rsid w:val="0028571D"/>
    <w:rsid w:val="00285BAA"/>
    <w:rsid w:val="00285BC1"/>
    <w:rsid w:val="0028613C"/>
    <w:rsid w:val="002862C8"/>
    <w:rsid w:val="0028652F"/>
    <w:rsid w:val="0028655C"/>
    <w:rsid w:val="00286D2F"/>
    <w:rsid w:val="00287626"/>
    <w:rsid w:val="00287657"/>
    <w:rsid w:val="00287A58"/>
    <w:rsid w:val="00290289"/>
    <w:rsid w:val="002902F6"/>
    <w:rsid w:val="00290502"/>
    <w:rsid w:val="002905A2"/>
    <w:rsid w:val="00290769"/>
    <w:rsid w:val="00290ADF"/>
    <w:rsid w:val="00290C1A"/>
    <w:rsid w:val="00290ECA"/>
    <w:rsid w:val="00291322"/>
    <w:rsid w:val="002915CD"/>
    <w:rsid w:val="002915EA"/>
    <w:rsid w:val="002916CE"/>
    <w:rsid w:val="00291801"/>
    <w:rsid w:val="0029187F"/>
    <w:rsid w:val="00291BA5"/>
    <w:rsid w:val="00291C3D"/>
    <w:rsid w:val="0029201A"/>
    <w:rsid w:val="00292039"/>
    <w:rsid w:val="0029235B"/>
    <w:rsid w:val="00292410"/>
    <w:rsid w:val="00292470"/>
    <w:rsid w:val="00292502"/>
    <w:rsid w:val="002925AF"/>
    <w:rsid w:val="00292832"/>
    <w:rsid w:val="002929B8"/>
    <w:rsid w:val="00293130"/>
    <w:rsid w:val="00293364"/>
    <w:rsid w:val="00293865"/>
    <w:rsid w:val="002939E7"/>
    <w:rsid w:val="00293DC0"/>
    <w:rsid w:val="00293F67"/>
    <w:rsid w:val="00293F7F"/>
    <w:rsid w:val="00293FDA"/>
    <w:rsid w:val="00294042"/>
    <w:rsid w:val="002944B1"/>
    <w:rsid w:val="002945B3"/>
    <w:rsid w:val="00294A5D"/>
    <w:rsid w:val="00294B65"/>
    <w:rsid w:val="00294EF5"/>
    <w:rsid w:val="0029507C"/>
    <w:rsid w:val="002950E0"/>
    <w:rsid w:val="002953EC"/>
    <w:rsid w:val="00295460"/>
    <w:rsid w:val="002954D1"/>
    <w:rsid w:val="00295562"/>
    <w:rsid w:val="0029577A"/>
    <w:rsid w:val="0029591D"/>
    <w:rsid w:val="00295952"/>
    <w:rsid w:val="00295A7F"/>
    <w:rsid w:val="00295D83"/>
    <w:rsid w:val="00295EFF"/>
    <w:rsid w:val="00295F13"/>
    <w:rsid w:val="002960E5"/>
    <w:rsid w:val="0029641C"/>
    <w:rsid w:val="002967F2"/>
    <w:rsid w:val="00296853"/>
    <w:rsid w:val="002968E0"/>
    <w:rsid w:val="00296970"/>
    <w:rsid w:val="00296CD6"/>
    <w:rsid w:val="00296F45"/>
    <w:rsid w:val="00297415"/>
    <w:rsid w:val="002975DA"/>
    <w:rsid w:val="002976AF"/>
    <w:rsid w:val="002977F8"/>
    <w:rsid w:val="00297A10"/>
    <w:rsid w:val="00297E4B"/>
    <w:rsid w:val="00297E96"/>
    <w:rsid w:val="00297EB7"/>
    <w:rsid w:val="002A00C2"/>
    <w:rsid w:val="002A01F3"/>
    <w:rsid w:val="002A02A8"/>
    <w:rsid w:val="002A0439"/>
    <w:rsid w:val="002A0700"/>
    <w:rsid w:val="002A0A46"/>
    <w:rsid w:val="002A0AEB"/>
    <w:rsid w:val="002A0C34"/>
    <w:rsid w:val="002A0C9F"/>
    <w:rsid w:val="002A0EC8"/>
    <w:rsid w:val="002A106A"/>
    <w:rsid w:val="002A1132"/>
    <w:rsid w:val="002A1CFA"/>
    <w:rsid w:val="002A1D95"/>
    <w:rsid w:val="002A214A"/>
    <w:rsid w:val="002A215C"/>
    <w:rsid w:val="002A2594"/>
    <w:rsid w:val="002A2B94"/>
    <w:rsid w:val="002A2D19"/>
    <w:rsid w:val="002A2F06"/>
    <w:rsid w:val="002A3293"/>
    <w:rsid w:val="002A34E6"/>
    <w:rsid w:val="002A38D0"/>
    <w:rsid w:val="002A398B"/>
    <w:rsid w:val="002A3B42"/>
    <w:rsid w:val="002A3C59"/>
    <w:rsid w:val="002A3E86"/>
    <w:rsid w:val="002A406B"/>
    <w:rsid w:val="002A41AA"/>
    <w:rsid w:val="002A4415"/>
    <w:rsid w:val="002A4A71"/>
    <w:rsid w:val="002A4E02"/>
    <w:rsid w:val="002A5990"/>
    <w:rsid w:val="002A5D21"/>
    <w:rsid w:val="002A5F93"/>
    <w:rsid w:val="002A613A"/>
    <w:rsid w:val="002A63EB"/>
    <w:rsid w:val="002A69BC"/>
    <w:rsid w:val="002A6A2B"/>
    <w:rsid w:val="002A6B8E"/>
    <w:rsid w:val="002A6C02"/>
    <w:rsid w:val="002A6C21"/>
    <w:rsid w:val="002A6D11"/>
    <w:rsid w:val="002A7385"/>
    <w:rsid w:val="002A745F"/>
    <w:rsid w:val="002A75B6"/>
    <w:rsid w:val="002A7869"/>
    <w:rsid w:val="002A7917"/>
    <w:rsid w:val="002A7B09"/>
    <w:rsid w:val="002A7DA6"/>
    <w:rsid w:val="002B0037"/>
    <w:rsid w:val="002B01FE"/>
    <w:rsid w:val="002B0221"/>
    <w:rsid w:val="002B042D"/>
    <w:rsid w:val="002B076C"/>
    <w:rsid w:val="002B0853"/>
    <w:rsid w:val="002B0AFB"/>
    <w:rsid w:val="002B0B2F"/>
    <w:rsid w:val="002B0BD1"/>
    <w:rsid w:val="002B0EBA"/>
    <w:rsid w:val="002B0EF3"/>
    <w:rsid w:val="002B0F0C"/>
    <w:rsid w:val="002B10B1"/>
    <w:rsid w:val="002B15E2"/>
    <w:rsid w:val="002B1C22"/>
    <w:rsid w:val="002B1FD7"/>
    <w:rsid w:val="002B28C0"/>
    <w:rsid w:val="002B2BF0"/>
    <w:rsid w:val="002B2CF4"/>
    <w:rsid w:val="002B2D1C"/>
    <w:rsid w:val="002B2EF6"/>
    <w:rsid w:val="002B2FEE"/>
    <w:rsid w:val="002B3676"/>
    <w:rsid w:val="002B3733"/>
    <w:rsid w:val="002B3A81"/>
    <w:rsid w:val="002B3C11"/>
    <w:rsid w:val="002B3E7D"/>
    <w:rsid w:val="002B4060"/>
    <w:rsid w:val="002B45D0"/>
    <w:rsid w:val="002B476D"/>
    <w:rsid w:val="002B481D"/>
    <w:rsid w:val="002B489F"/>
    <w:rsid w:val="002B4ED0"/>
    <w:rsid w:val="002B4F05"/>
    <w:rsid w:val="002B5288"/>
    <w:rsid w:val="002B54BA"/>
    <w:rsid w:val="002B56F7"/>
    <w:rsid w:val="002B5F63"/>
    <w:rsid w:val="002B6198"/>
    <w:rsid w:val="002B63F5"/>
    <w:rsid w:val="002B6500"/>
    <w:rsid w:val="002B667E"/>
    <w:rsid w:val="002B6ACF"/>
    <w:rsid w:val="002B6D8D"/>
    <w:rsid w:val="002B6EC6"/>
    <w:rsid w:val="002B7143"/>
    <w:rsid w:val="002B7219"/>
    <w:rsid w:val="002B73A2"/>
    <w:rsid w:val="002B7575"/>
    <w:rsid w:val="002B772E"/>
    <w:rsid w:val="002B791F"/>
    <w:rsid w:val="002B7BDA"/>
    <w:rsid w:val="002B7CEB"/>
    <w:rsid w:val="002B7EB6"/>
    <w:rsid w:val="002C0288"/>
    <w:rsid w:val="002C04D4"/>
    <w:rsid w:val="002C04E2"/>
    <w:rsid w:val="002C0564"/>
    <w:rsid w:val="002C05CC"/>
    <w:rsid w:val="002C079C"/>
    <w:rsid w:val="002C0825"/>
    <w:rsid w:val="002C086E"/>
    <w:rsid w:val="002C08B7"/>
    <w:rsid w:val="002C08FE"/>
    <w:rsid w:val="002C0C3B"/>
    <w:rsid w:val="002C12A3"/>
    <w:rsid w:val="002C12C8"/>
    <w:rsid w:val="002C148E"/>
    <w:rsid w:val="002C14E9"/>
    <w:rsid w:val="002C1695"/>
    <w:rsid w:val="002C179B"/>
    <w:rsid w:val="002C1811"/>
    <w:rsid w:val="002C1E5C"/>
    <w:rsid w:val="002C222A"/>
    <w:rsid w:val="002C27CA"/>
    <w:rsid w:val="002C2A56"/>
    <w:rsid w:val="002C2B10"/>
    <w:rsid w:val="002C2CC5"/>
    <w:rsid w:val="002C2CCE"/>
    <w:rsid w:val="002C2ED4"/>
    <w:rsid w:val="002C2F56"/>
    <w:rsid w:val="002C2FFB"/>
    <w:rsid w:val="002C33FD"/>
    <w:rsid w:val="002C37B9"/>
    <w:rsid w:val="002C3968"/>
    <w:rsid w:val="002C40F8"/>
    <w:rsid w:val="002C4198"/>
    <w:rsid w:val="002C42C9"/>
    <w:rsid w:val="002C42E8"/>
    <w:rsid w:val="002C450E"/>
    <w:rsid w:val="002C532B"/>
    <w:rsid w:val="002C5434"/>
    <w:rsid w:val="002C5886"/>
    <w:rsid w:val="002C5B95"/>
    <w:rsid w:val="002C5DD4"/>
    <w:rsid w:val="002C5EE4"/>
    <w:rsid w:val="002C5FD8"/>
    <w:rsid w:val="002C659B"/>
    <w:rsid w:val="002C65A2"/>
    <w:rsid w:val="002C65DA"/>
    <w:rsid w:val="002C6936"/>
    <w:rsid w:val="002C6AAC"/>
    <w:rsid w:val="002C6AEC"/>
    <w:rsid w:val="002C6E73"/>
    <w:rsid w:val="002C706C"/>
    <w:rsid w:val="002C736A"/>
    <w:rsid w:val="002C741B"/>
    <w:rsid w:val="002C774A"/>
    <w:rsid w:val="002D01C7"/>
    <w:rsid w:val="002D0203"/>
    <w:rsid w:val="002D0490"/>
    <w:rsid w:val="002D0ABC"/>
    <w:rsid w:val="002D0D5F"/>
    <w:rsid w:val="002D0DA8"/>
    <w:rsid w:val="002D0E9A"/>
    <w:rsid w:val="002D0EBD"/>
    <w:rsid w:val="002D178A"/>
    <w:rsid w:val="002D180F"/>
    <w:rsid w:val="002D1B59"/>
    <w:rsid w:val="002D207C"/>
    <w:rsid w:val="002D2081"/>
    <w:rsid w:val="002D2319"/>
    <w:rsid w:val="002D2614"/>
    <w:rsid w:val="002D26E0"/>
    <w:rsid w:val="002D271D"/>
    <w:rsid w:val="002D2760"/>
    <w:rsid w:val="002D2CF7"/>
    <w:rsid w:val="002D3576"/>
    <w:rsid w:val="002D3694"/>
    <w:rsid w:val="002D395E"/>
    <w:rsid w:val="002D3EFB"/>
    <w:rsid w:val="002D4230"/>
    <w:rsid w:val="002D44DB"/>
    <w:rsid w:val="002D4AB1"/>
    <w:rsid w:val="002D4B34"/>
    <w:rsid w:val="002D4DBB"/>
    <w:rsid w:val="002D4EEC"/>
    <w:rsid w:val="002D557B"/>
    <w:rsid w:val="002D5C43"/>
    <w:rsid w:val="002D5C5E"/>
    <w:rsid w:val="002D5FF0"/>
    <w:rsid w:val="002D64DB"/>
    <w:rsid w:val="002D654D"/>
    <w:rsid w:val="002D67F7"/>
    <w:rsid w:val="002D6802"/>
    <w:rsid w:val="002D6811"/>
    <w:rsid w:val="002D6DF1"/>
    <w:rsid w:val="002D7339"/>
    <w:rsid w:val="002D74B3"/>
    <w:rsid w:val="002D7603"/>
    <w:rsid w:val="002D7722"/>
    <w:rsid w:val="002D7924"/>
    <w:rsid w:val="002D79A9"/>
    <w:rsid w:val="002D7A50"/>
    <w:rsid w:val="002D7C2B"/>
    <w:rsid w:val="002E0526"/>
    <w:rsid w:val="002E096B"/>
    <w:rsid w:val="002E0970"/>
    <w:rsid w:val="002E0C15"/>
    <w:rsid w:val="002E148B"/>
    <w:rsid w:val="002E1828"/>
    <w:rsid w:val="002E1A2B"/>
    <w:rsid w:val="002E253F"/>
    <w:rsid w:val="002E255D"/>
    <w:rsid w:val="002E266A"/>
    <w:rsid w:val="002E2881"/>
    <w:rsid w:val="002E2D57"/>
    <w:rsid w:val="002E2DEF"/>
    <w:rsid w:val="002E2E09"/>
    <w:rsid w:val="002E2E0F"/>
    <w:rsid w:val="002E3709"/>
    <w:rsid w:val="002E39EC"/>
    <w:rsid w:val="002E3A74"/>
    <w:rsid w:val="002E3B0C"/>
    <w:rsid w:val="002E3E7C"/>
    <w:rsid w:val="002E3F3C"/>
    <w:rsid w:val="002E3FAD"/>
    <w:rsid w:val="002E4097"/>
    <w:rsid w:val="002E44E3"/>
    <w:rsid w:val="002E4562"/>
    <w:rsid w:val="002E46E5"/>
    <w:rsid w:val="002E4C40"/>
    <w:rsid w:val="002E4D55"/>
    <w:rsid w:val="002E50C5"/>
    <w:rsid w:val="002E5149"/>
    <w:rsid w:val="002E52FB"/>
    <w:rsid w:val="002E5632"/>
    <w:rsid w:val="002E56E1"/>
    <w:rsid w:val="002E57CD"/>
    <w:rsid w:val="002E58E6"/>
    <w:rsid w:val="002E5944"/>
    <w:rsid w:val="002E595C"/>
    <w:rsid w:val="002E5C3B"/>
    <w:rsid w:val="002E5D5F"/>
    <w:rsid w:val="002E5E34"/>
    <w:rsid w:val="002E5F0C"/>
    <w:rsid w:val="002E631C"/>
    <w:rsid w:val="002E646C"/>
    <w:rsid w:val="002E64A2"/>
    <w:rsid w:val="002E6B7F"/>
    <w:rsid w:val="002E6C52"/>
    <w:rsid w:val="002E6D72"/>
    <w:rsid w:val="002E71BE"/>
    <w:rsid w:val="002E728E"/>
    <w:rsid w:val="002E72B0"/>
    <w:rsid w:val="002E74E2"/>
    <w:rsid w:val="002E7841"/>
    <w:rsid w:val="002E7842"/>
    <w:rsid w:val="002E7B38"/>
    <w:rsid w:val="002E7C01"/>
    <w:rsid w:val="002E7E9C"/>
    <w:rsid w:val="002F0510"/>
    <w:rsid w:val="002F0C38"/>
    <w:rsid w:val="002F0D18"/>
    <w:rsid w:val="002F10F0"/>
    <w:rsid w:val="002F143D"/>
    <w:rsid w:val="002F1956"/>
    <w:rsid w:val="002F1C32"/>
    <w:rsid w:val="002F1C4F"/>
    <w:rsid w:val="002F1CA9"/>
    <w:rsid w:val="002F1E1D"/>
    <w:rsid w:val="002F201C"/>
    <w:rsid w:val="002F2314"/>
    <w:rsid w:val="002F2617"/>
    <w:rsid w:val="002F27A6"/>
    <w:rsid w:val="002F2838"/>
    <w:rsid w:val="002F29DB"/>
    <w:rsid w:val="002F2AFD"/>
    <w:rsid w:val="002F2CAE"/>
    <w:rsid w:val="002F2E5D"/>
    <w:rsid w:val="002F334F"/>
    <w:rsid w:val="002F3930"/>
    <w:rsid w:val="002F3998"/>
    <w:rsid w:val="002F3D8D"/>
    <w:rsid w:val="002F3D91"/>
    <w:rsid w:val="002F3EC5"/>
    <w:rsid w:val="002F3FD6"/>
    <w:rsid w:val="002F4210"/>
    <w:rsid w:val="002F440B"/>
    <w:rsid w:val="002F44D3"/>
    <w:rsid w:val="002F47BB"/>
    <w:rsid w:val="002F494D"/>
    <w:rsid w:val="002F4A37"/>
    <w:rsid w:val="002F5544"/>
    <w:rsid w:val="002F5782"/>
    <w:rsid w:val="002F59AB"/>
    <w:rsid w:val="002F5B62"/>
    <w:rsid w:val="002F5CAF"/>
    <w:rsid w:val="002F5E03"/>
    <w:rsid w:val="002F5F9B"/>
    <w:rsid w:val="002F64D0"/>
    <w:rsid w:val="002F6679"/>
    <w:rsid w:val="002F66E6"/>
    <w:rsid w:val="002F6788"/>
    <w:rsid w:val="002F68E5"/>
    <w:rsid w:val="002F71B9"/>
    <w:rsid w:val="002F75D6"/>
    <w:rsid w:val="002F7A15"/>
    <w:rsid w:val="002F7AEA"/>
    <w:rsid w:val="002F7BCB"/>
    <w:rsid w:val="002F7D0A"/>
    <w:rsid w:val="003004ED"/>
    <w:rsid w:val="00300593"/>
    <w:rsid w:val="003006F8"/>
    <w:rsid w:val="00300D99"/>
    <w:rsid w:val="00300F77"/>
    <w:rsid w:val="00301230"/>
    <w:rsid w:val="00301265"/>
    <w:rsid w:val="00301419"/>
    <w:rsid w:val="0030187A"/>
    <w:rsid w:val="003018D2"/>
    <w:rsid w:val="00302A29"/>
    <w:rsid w:val="00302AEA"/>
    <w:rsid w:val="00302CE2"/>
    <w:rsid w:val="00302E30"/>
    <w:rsid w:val="0030338B"/>
    <w:rsid w:val="00303757"/>
    <w:rsid w:val="00303758"/>
    <w:rsid w:val="003037A2"/>
    <w:rsid w:val="00303D54"/>
    <w:rsid w:val="00303E90"/>
    <w:rsid w:val="00303F47"/>
    <w:rsid w:val="0030410F"/>
    <w:rsid w:val="0030433D"/>
    <w:rsid w:val="0030469D"/>
    <w:rsid w:val="00304861"/>
    <w:rsid w:val="003052F7"/>
    <w:rsid w:val="003053AF"/>
    <w:rsid w:val="00305621"/>
    <w:rsid w:val="00305765"/>
    <w:rsid w:val="003057C8"/>
    <w:rsid w:val="003059BD"/>
    <w:rsid w:val="003059CE"/>
    <w:rsid w:val="003060DC"/>
    <w:rsid w:val="0030624A"/>
    <w:rsid w:val="0030629A"/>
    <w:rsid w:val="003063C0"/>
    <w:rsid w:val="0030651C"/>
    <w:rsid w:val="003069A5"/>
    <w:rsid w:val="003069DD"/>
    <w:rsid w:val="00306C3C"/>
    <w:rsid w:val="00306CF3"/>
    <w:rsid w:val="00306F6C"/>
    <w:rsid w:val="00307202"/>
    <w:rsid w:val="003072EF"/>
    <w:rsid w:val="00307503"/>
    <w:rsid w:val="003079EF"/>
    <w:rsid w:val="00307FB9"/>
    <w:rsid w:val="00310008"/>
    <w:rsid w:val="003104A6"/>
    <w:rsid w:val="003104AB"/>
    <w:rsid w:val="003104C9"/>
    <w:rsid w:val="003108B3"/>
    <w:rsid w:val="00310C5D"/>
    <w:rsid w:val="00310F06"/>
    <w:rsid w:val="003112FE"/>
    <w:rsid w:val="0031137D"/>
    <w:rsid w:val="003115A5"/>
    <w:rsid w:val="00312133"/>
    <w:rsid w:val="003122EE"/>
    <w:rsid w:val="003122F3"/>
    <w:rsid w:val="00312327"/>
    <w:rsid w:val="003126DE"/>
    <w:rsid w:val="0031303D"/>
    <w:rsid w:val="00313404"/>
    <w:rsid w:val="00313426"/>
    <w:rsid w:val="00313480"/>
    <w:rsid w:val="00313AAB"/>
    <w:rsid w:val="00313E18"/>
    <w:rsid w:val="00314C45"/>
    <w:rsid w:val="00314C87"/>
    <w:rsid w:val="00314E6C"/>
    <w:rsid w:val="00314E9E"/>
    <w:rsid w:val="003154AD"/>
    <w:rsid w:val="003155E0"/>
    <w:rsid w:val="003156EB"/>
    <w:rsid w:val="00315918"/>
    <w:rsid w:val="00315C77"/>
    <w:rsid w:val="00315ED4"/>
    <w:rsid w:val="00315EEC"/>
    <w:rsid w:val="00315F37"/>
    <w:rsid w:val="00316248"/>
    <w:rsid w:val="00316596"/>
    <w:rsid w:val="0031687B"/>
    <w:rsid w:val="00316CA8"/>
    <w:rsid w:val="00316DA4"/>
    <w:rsid w:val="00316E80"/>
    <w:rsid w:val="00316F4B"/>
    <w:rsid w:val="003174D9"/>
    <w:rsid w:val="003176E0"/>
    <w:rsid w:val="00317898"/>
    <w:rsid w:val="00317AA7"/>
    <w:rsid w:val="00317AAD"/>
    <w:rsid w:val="00317AE6"/>
    <w:rsid w:val="00317B19"/>
    <w:rsid w:val="00317C36"/>
    <w:rsid w:val="00317E0E"/>
    <w:rsid w:val="00320025"/>
    <w:rsid w:val="0032015D"/>
    <w:rsid w:val="00320CBA"/>
    <w:rsid w:val="00320DDE"/>
    <w:rsid w:val="00320F9A"/>
    <w:rsid w:val="0032140D"/>
    <w:rsid w:val="0032145A"/>
    <w:rsid w:val="0032148F"/>
    <w:rsid w:val="003215BC"/>
    <w:rsid w:val="00321705"/>
    <w:rsid w:val="003219E1"/>
    <w:rsid w:val="00321A16"/>
    <w:rsid w:val="00321E22"/>
    <w:rsid w:val="0032213E"/>
    <w:rsid w:val="00322151"/>
    <w:rsid w:val="00322661"/>
    <w:rsid w:val="00322832"/>
    <w:rsid w:val="00322A9D"/>
    <w:rsid w:val="00322AE0"/>
    <w:rsid w:val="00322B0A"/>
    <w:rsid w:val="00322B0D"/>
    <w:rsid w:val="00323033"/>
    <w:rsid w:val="0032329E"/>
    <w:rsid w:val="003232F0"/>
    <w:rsid w:val="0032374D"/>
    <w:rsid w:val="00323786"/>
    <w:rsid w:val="003238D9"/>
    <w:rsid w:val="00323901"/>
    <w:rsid w:val="00323AEB"/>
    <w:rsid w:val="00323BFA"/>
    <w:rsid w:val="00323D1A"/>
    <w:rsid w:val="00323D36"/>
    <w:rsid w:val="00324172"/>
    <w:rsid w:val="00324295"/>
    <w:rsid w:val="0032459B"/>
    <w:rsid w:val="0032483C"/>
    <w:rsid w:val="00324935"/>
    <w:rsid w:val="003249F2"/>
    <w:rsid w:val="00324D3A"/>
    <w:rsid w:val="00324EEC"/>
    <w:rsid w:val="0032555E"/>
    <w:rsid w:val="00325A6A"/>
    <w:rsid w:val="00325F31"/>
    <w:rsid w:val="00326035"/>
    <w:rsid w:val="0032605F"/>
    <w:rsid w:val="00326AD1"/>
    <w:rsid w:val="00326AFF"/>
    <w:rsid w:val="00326BDF"/>
    <w:rsid w:val="00326CEB"/>
    <w:rsid w:val="00327A7D"/>
    <w:rsid w:val="00327ABF"/>
    <w:rsid w:val="00327F60"/>
    <w:rsid w:val="00330069"/>
    <w:rsid w:val="00330C5F"/>
    <w:rsid w:val="00330EB8"/>
    <w:rsid w:val="0033137E"/>
    <w:rsid w:val="003313E3"/>
    <w:rsid w:val="0033141C"/>
    <w:rsid w:val="003316EC"/>
    <w:rsid w:val="0033180A"/>
    <w:rsid w:val="003319E5"/>
    <w:rsid w:val="00331CE6"/>
    <w:rsid w:val="00331E23"/>
    <w:rsid w:val="00332049"/>
    <w:rsid w:val="00332342"/>
    <w:rsid w:val="003324FE"/>
    <w:rsid w:val="003326FB"/>
    <w:rsid w:val="00332FE8"/>
    <w:rsid w:val="0033352A"/>
    <w:rsid w:val="00333B8F"/>
    <w:rsid w:val="00333E37"/>
    <w:rsid w:val="00333F0E"/>
    <w:rsid w:val="00334216"/>
    <w:rsid w:val="00334457"/>
    <w:rsid w:val="003345C1"/>
    <w:rsid w:val="003346E0"/>
    <w:rsid w:val="003349E9"/>
    <w:rsid w:val="00334F6B"/>
    <w:rsid w:val="0033520B"/>
    <w:rsid w:val="003352DB"/>
    <w:rsid w:val="00335AA9"/>
    <w:rsid w:val="0033648B"/>
    <w:rsid w:val="0033689E"/>
    <w:rsid w:val="00336A6A"/>
    <w:rsid w:val="00336B1A"/>
    <w:rsid w:val="00336BBD"/>
    <w:rsid w:val="00336FDA"/>
    <w:rsid w:val="00336FE8"/>
    <w:rsid w:val="0033707D"/>
    <w:rsid w:val="00337118"/>
    <w:rsid w:val="00337205"/>
    <w:rsid w:val="0033767D"/>
    <w:rsid w:val="0033775C"/>
    <w:rsid w:val="00337A85"/>
    <w:rsid w:val="00337B19"/>
    <w:rsid w:val="00337F75"/>
    <w:rsid w:val="003400F1"/>
    <w:rsid w:val="003408F6"/>
    <w:rsid w:val="003408F9"/>
    <w:rsid w:val="00340911"/>
    <w:rsid w:val="00340AF6"/>
    <w:rsid w:val="00340CD1"/>
    <w:rsid w:val="00340D50"/>
    <w:rsid w:val="003410B9"/>
    <w:rsid w:val="00341142"/>
    <w:rsid w:val="0034140E"/>
    <w:rsid w:val="00341568"/>
    <w:rsid w:val="0034179F"/>
    <w:rsid w:val="00341A6A"/>
    <w:rsid w:val="00341D5F"/>
    <w:rsid w:val="00341F97"/>
    <w:rsid w:val="003421E1"/>
    <w:rsid w:val="0034225B"/>
    <w:rsid w:val="00342657"/>
    <w:rsid w:val="00342C25"/>
    <w:rsid w:val="00342D5D"/>
    <w:rsid w:val="00342EB6"/>
    <w:rsid w:val="003430E6"/>
    <w:rsid w:val="003431DA"/>
    <w:rsid w:val="0034387F"/>
    <w:rsid w:val="003439A7"/>
    <w:rsid w:val="00343F86"/>
    <w:rsid w:val="003446B5"/>
    <w:rsid w:val="00344B62"/>
    <w:rsid w:val="00344F04"/>
    <w:rsid w:val="00345104"/>
    <w:rsid w:val="00345204"/>
    <w:rsid w:val="0034522C"/>
    <w:rsid w:val="00345527"/>
    <w:rsid w:val="00345675"/>
    <w:rsid w:val="00345746"/>
    <w:rsid w:val="003457DC"/>
    <w:rsid w:val="00346040"/>
    <w:rsid w:val="003461DF"/>
    <w:rsid w:val="00346262"/>
    <w:rsid w:val="003463D4"/>
    <w:rsid w:val="00346596"/>
    <w:rsid w:val="0034667F"/>
    <w:rsid w:val="003467A2"/>
    <w:rsid w:val="00346ADC"/>
    <w:rsid w:val="00346CF3"/>
    <w:rsid w:val="0034732F"/>
    <w:rsid w:val="0034788F"/>
    <w:rsid w:val="00347A7C"/>
    <w:rsid w:val="00347BAB"/>
    <w:rsid w:val="00347D27"/>
    <w:rsid w:val="00347EC2"/>
    <w:rsid w:val="0035008A"/>
    <w:rsid w:val="003503D2"/>
    <w:rsid w:val="00350548"/>
    <w:rsid w:val="00350586"/>
    <w:rsid w:val="00350683"/>
    <w:rsid w:val="00350763"/>
    <w:rsid w:val="00350A1F"/>
    <w:rsid w:val="00350BF2"/>
    <w:rsid w:val="00350C2B"/>
    <w:rsid w:val="00350C51"/>
    <w:rsid w:val="00350D63"/>
    <w:rsid w:val="00350E2D"/>
    <w:rsid w:val="00350F4E"/>
    <w:rsid w:val="00351191"/>
    <w:rsid w:val="003519AD"/>
    <w:rsid w:val="003519E4"/>
    <w:rsid w:val="00351C8E"/>
    <w:rsid w:val="00351CD8"/>
    <w:rsid w:val="00351FE9"/>
    <w:rsid w:val="003521D2"/>
    <w:rsid w:val="00352213"/>
    <w:rsid w:val="003529C5"/>
    <w:rsid w:val="00352F69"/>
    <w:rsid w:val="0035318D"/>
    <w:rsid w:val="0035329D"/>
    <w:rsid w:val="00353520"/>
    <w:rsid w:val="0035375B"/>
    <w:rsid w:val="0035375C"/>
    <w:rsid w:val="00353941"/>
    <w:rsid w:val="00353CCE"/>
    <w:rsid w:val="003540C2"/>
    <w:rsid w:val="003544BF"/>
    <w:rsid w:val="003546C7"/>
    <w:rsid w:val="00354AFA"/>
    <w:rsid w:val="00354FD0"/>
    <w:rsid w:val="003558F2"/>
    <w:rsid w:val="00355922"/>
    <w:rsid w:val="0035596B"/>
    <w:rsid w:val="003559A7"/>
    <w:rsid w:val="00355E56"/>
    <w:rsid w:val="00355E73"/>
    <w:rsid w:val="003565A5"/>
    <w:rsid w:val="003569DE"/>
    <w:rsid w:val="00356C10"/>
    <w:rsid w:val="00356D0E"/>
    <w:rsid w:val="003573F1"/>
    <w:rsid w:val="0035743D"/>
    <w:rsid w:val="00357444"/>
    <w:rsid w:val="00357BEE"/>
    <w:rsid w:val="00357FC3"/>
    <w:rsid w:val="0036040E"/>
    <w:rsid w:val="0036073D"/>
    <w:rsid w:val="00360A50"/>
    <w:rsid w:val="00360A94"/>
    <w:rsid w:val="00360AD5"/>
    <w:rsid w:val="00360D87"/>
    <w:rsid w:val="00361508"/>
    <w:rsid w:val="003616DA"/>
    <w:rsid w:val="00361825"/>
    <w:rsid w:val="00361D05"/>
    <w:rsid w:val="00362100"/>
    <w:rsid w:val="003621F0"/>
    <w:rsid w:val="00362312"/>
    <w:rsid w:val="0036281D"/>
    <w:rsid w:val="0036290B"/>
    <w:rsid w:val="00362FE6"/>
    <w:rsid w:val="00363100"/>
    <w:rsid w:val="00363589"/>
    <w:rsid w:val="0036399D"/>
    <w:rsid w:val="00363B21"/>
    <w:rsid w:val="00363B9F"/>
    <w:rsid w:val="00363BDF"/>
    <w:rsid w:val="00363C1F"/>
    <w:rsid w:val="00363E87"/>
    <w:rsid w:val="00364180"/>
    <w:rsid w:val="00364233"/>
    <w:rsid w:val="003645C3"/>
    <w:rsid w:val="00364640"/>
    <w:rsid w:val="00364C63"/>
    <w:rsid w:val="00364C89"/>
    <w:rsid w:val="00364F11"/>
    <w:rsid w:val="00365279"/>
    <w:rsid w:val="003652EB"/>
    <w:rsid w:val="003652F1"/>
    <w:rsid w:val="003654BE"/>
    <w:rsid w:val="00365A79"/>
    <w:rsid w:val="00365CA3"/>
    <w:rsid w:val="00365D8D"/>
    <w:rsid w:val="00365D9B"/>
    <w:rsid w:val="00366514"/>
    <w:rsid w:val="003666B9"/>
    <w:rsid w:val="00366796"/>
    <w:rsid w:val="00366A37"/>
    <w:rsid w:val="00366ACF"/>
    <w:rsid w:val="00366BD2"/>
    <w:rsid w:val="00366CE1"/>
    <w:rsid w:val="00366D0C"/>
    <w:rsid w:val="003671CE"/>
    <w:rsid w:val="003674B8"/>
    <w:rsid w:val="003675F2"/>
    <w:rsid w:val="00367879"/>
    <w:rsid w:val="003679C1"/>
    <w:rsid w:val="00367A98"/>
    <w:rsid w:val="00367C92"/>
    <w:rsid w:val="00367CBD"/>
    <w:rsid w:val="00367F95"/>
    <w:rsid w:val="00370871"/>
    <w:rsid w:val="00370A78"/>
    <w:rsid w:val="00370C30"/>
    <w:rsid w:val="00370EDC"/>
    <w:rsid w:val="00370FF5"/>
    <w:rsid w:val="0037119C"/>
    <w:rsid w:val="003711D3"/>
    <w:rsid w:val="003712E5"/>
    <w:rsid w:val="003712FA"/>
    <w:rsid w:val="00371315"/>
    <w:rsid w:val="00371460"/>
    <w:rsid w:val="00371484"/>
    <w:rsid w:val="0037192A"/>
    <w:rsid w:val="00371A84"/>
    <w:rsid w:val="00371CD5"/>
    <w:rsid w:val="00371D69"/>
    <w:rsid w:val="00372647"/>
    <w:rsid w:val="00372BE9"/>
    <w:rsid w:val="00372D4E"/>
    <w:rsid w:val="00372D7E"/>
    <w:rsid w:val="00373051"/>
    <w:rsid w:val="00373408"/>
    <w:rsid w:val="003734D3"/>
    <w:rsid w:val="00373A11"/>
    <w:rsid w:val="00373C1F"/>
    <w:rsid w:val="00373E8E"/>
    <w:rsid w:val="00373F14"/>
    <w:rsid w:val="00373F93"/>
    <w:rsid w:val="00374541"/>
    <w:rsid w:val="003747D4"/>
    <w:rsid w:val="00374982"/>
    <w:rsid w:val="00374BB8"/>
    <w:rsid w:val="00375244"/>
    <w:rsid w:val="003756EE"/>
    <w:rsid w:val="00375869"/>
    <w:rsid w:val="0037597C"/>
    <w:rsid w:val="00375AAB"/>
    <w:rsid w:val="00375C71"/>
    <w:rsid w:val="00375D8A"/>
    <w:rsid w:val="00375E6B"/>
    <w:rsid w:val="00375EF7"/>
    <w:rsid w:val="003764FB"/>
    <w:rsid w:val="00376648"/>
    <w:rsid w:val="0037666E"/>
    <w:rsid w:val="0037672B"/>
    <w:rsid w:val="00376B3C"/>
    <w:rsid w:val="00376BE2"/>
    <w:rsid w:val="00376BF1"/>
    <w:rsid w:val="00376C4C"/>
    <w:rsid w:val="00376E25"/>
    <w:rsid w:val="00377334"/>
    <w:rsid w:val="0037738A"/>
    <w:rsid w:val="003773AC"/>
    <w:rsid w:val="00377778"/>
    <w:rsid w:val="0037782F"/>
    <w:rsid w:val="003778C9"/>
    <w:rsid w:val="00377BB8"/>
    <w:rsid w:val="00377CC2"/>
    <w:rsid w:val="00377D7C"/>
    <w:rsid w:val="00377E7C"/>
    <w:rsid w:val="00377EC5"/>
    <w:rsid w:val="00380473"/>
    <w:rsid w:val="003805A2"/>
    <w:rsid w:val="003805D3"/>
    <w:rsid w:val="003806EF"/>
    <w:rsid w:val="00380733"/>
    <w:rsid w:val="003809CE"/>
    <w:rsid w:val="00380A9D"/>
    <w:rsid w:val="00380B96"/>
    <w:rsid w:val="00380F56"/>
    <w:rsid w:val="0038179A"/>
    <w:rsid w:val="00381BDD"/>
    <w:rsid w:val="00381F2E"/>
    <w:rsid w:val="00382187"/>
    <w:rsid w:val="003822EF"/>
    <w:rsid w:val="0038272D"/>
    <w:rsid w:val="00382BF8"/>
    <w:rsid w:val="003831B4"/>
    <w:rsid w:val="00383510"/>
    <w:rsid w:val="00383534"/>
    <w:rsid w:val="00383F0B"/>
    <w:rsid w:val="003841A1"/>
    <w:rsid w:val="0038436D"/>
    <w:rsid w:val="00384427"/>
    <w:rsid w:val="0038469C"/>
    <w:rsid w:val="0038498E"/>
    <w:rsid w:val="00384F92"/>
    <w:rsid w:val="003854DB"/>
    <w:rsid w:val="003854F1"/>
    <w:rsid w:val="00385558"/>
    <w:rsid w:val="0038576A"/>
    <w:rsid w:val="00385A17"/>
    <w:rsid w:val="00385A9B"/>
    <w:rsid w:val="00385AB7"/>
    <w:rsid w:val="00385E9C"/>
    <w:rsid w:val="003862A8"/>
    <w:rsid w:val="00386DDA"/>
    <w:rsid w:val="00386F36"/>
    <w:rsid w:val="0038700D"/>
    <w:rsid w:val="003870FE"/>
    <w:rsid w:val="00387391"/>
    <w:rsid w:val="003874EE"/>
    <w:rsid w:val="003876B0"/>
    <w:rsid w:val="00387BC1"/>
    <w:rsid w:val="00387BC3"/>
    <w:rsid w:val="00387EE8"/>
    <w:rsid w:val="00390077"/>
    <w:rsid w:val="0039008D"/>
    <w:rsid w:val="0039021F"/>
    <w:rsid w:val="00390528"/>
    <w:rsid w:val="00390555"/>
    <w:rsid w:val="0039081B"/>
    <w:rsid w:val="00390878"/>
    <w:rsid w:val="00390CA7"/>
    <w:rsid w:val="00390E49"/>
    <w:rsid w:val="003911AC"/>
    <w:rsid w:val="00391278"/>
    <w:rsid w:val="003912FF"/>
    <w:rsid w:val="00391611"/>
    <w:rsid w:val="00391681"/>
    <w:rsid w:val="003916DF"/>
    <w:rsid w:val="00391C36"/>
    <w:rsid w:val="00391D4F"/>
    <w:rsid w:val="00391EA8"/>
    <w:rsid w:val="00391EAC"/>
    <w:rsid w:val="00391F3C"/>
    <w:rsid w:val="00392140"/>
    <w:rsid w:val="00392414"/>
    <w:rsid w:val="003924DB"/>
    <w:rsid w:val="0039322D"/>
    <w:rsid w:val="003932A5"/>
    <w:rsid w:val="0039331F"/>
    <w:rsid w:val="00393367"/>
    <w:rsid w:val="00393371"/>
    <w:rsid w:val="00393444"/>
    <w:rsid w:val="003938BD"/>
    <w:rsid w:val="00393B17"/>
    <w:rsid w:val="00394055"/>
    <w:rsid w:val="00394891"/>
    <w:rsid w:val="003948F3"/>
    <w:rsid w:val="00394D13"/>
    <w:rsid w:val="00394DFE"/>
    <w:rsid w:val="0039526E"/>
    <w:rsid w:val="00395643"/>
    <w:rsid w:val="00396366"/>
    <w:rsid w:val="003964BE"/>
    <w:rsid w:val="00396624"/>
    <w:rsid w:val="003967AC"/>
    <w:rsid w:val="003968D1"/>
    <w:rsid w:val="00396B7F"/>
    <w:rsid w:val="0039725D"/>
    <w:rsid w:val="00397636"/>
    <w:rsid w:val="003976B3"/>
    <w:rsid w:val="0039772A"/>
    <w:rsid w:val="003A00F3"/>
    <w:rsid w:val="003A033C"/>
    <w:rsid w:val="003A0F28"/>
    <w:rsid w:val="003A1538"/>
    <w:rsid w:val="003A1BC2"/>
    <w:rsid w:val="003A1DCF"/>
    <w:rsid w:val="003A22ED"/>
    <w:rsid w:val="003A232F"/>
    <w:rsid w:val="003A26F7"/>
    <w:rsid w:val="003A2B36"/>
    <w:rsid w:val="003A315E"/>
    <w:rsid w:val="003A33A2"/>
    <w:rsid w:val="003A3704"/>
    <w:rsid w:val="003A38AB"/>
    <w:rsid w:val="003A3A3B"/>
    <w:rsid w:val="003A3D98"/>
    <w:rsid w:val="003A42CA"/>
    <w:rsid w:val="003A445A"/>
    <w:rsid w:val="003A4B01"/>
    <w:rsid w:val="003A4EF1"/>
    <w:rsid w:val="003A53F4"/>
    <w:rsid w:val="003A54B0"/>
    <w:rsid w:val="003A5603"/>
    <w:rsid w:val="003A5820"/>
    <w:rsid w:val="003A5868"/>
    <w:rsid w:val="003A5951"/>
    <w:rsid w:val="003A5DDD"/>
    <w:rsid w:val="003A5FFD"/>
    <w:rsid w:val="003A608E"/>
    <w:rsid w:val="003A62CB"/>
    <w:rsid w:val="003A63CF"/>
    <w:rsid w:val="003A6470"/>
    <w:rsid w:val="003A6692"/>
    <w:rsid w:val="003A67E8"/>
    <w:rsid w:val="003A6B06"/>
    <w:rsid w:val="003A6F23"/>
    <w:rsid w:val="003A707B"/>
    <w:rsid w:val="003A74EA"/>
    <w:rsid w:val="003A7673"/>
    <w:rsid w:val="003A7C1F"/>
    <w:rsid w:val="003A7C8F"/>
    <w:rsid w:val="003A7E35"/>
    <w:rsid w:val="003B0018"/>
    <w:rsid w:val="003B0625"/>
    <w:rsid w:val="003B0A9F"/>
    <w:rsid w:val="003B0C69"/>
    <w:rsid w:val="003B0E38"/>
    <w:rsid w:val="003B137D"/>
    <w:rsid w:val="003B14F7"/>
    <w:rsid w:val="003B15D3"/>
    <w:rsid w:val="003B18EC"/>
    <w:rsid w:val="003B1C12"/>
    <w:rsid w:val="003B20DA"/>
    <w:rsid w:val="003B239A"/>
    <w:rsid w:val="003B29A8"/>
    <w:rsid w:val="003B2FDD"/>
    <w:rsid w:val="003B3003"/>
    <w:rsid w:val="003B3267"/>
    <w:rsid w:val="003B33E4"/>
    <w:rsid w:val="003B3408"/>
    <w:rsid w:val="003B34A8"/>
    <w:rsid w:val="003B3D1E"/>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A9"/>
    <w:rsid w:val="003B6124"/>
    <w:rsid w:val="003B62C3"/>
    <w:rsid w:val="003B660E"/>
    <w:rsid w:val="003B67E3"/>
    <w:rsid w:val="003B6DCA"/>
    <w:rsid w:val="003B714A"/>
    <w:rsid w:val="003B72FE"/>
    <w:rsid w:val="003B7FCC"/>
    <w:rsid w:val="003C029C"/>
    <w:rsid w:val="003C0952"/>
    <w:rsid w:val="003C0C38"/>
    <w:rsid w:val="003C0CB9"/>
    <w:rsid w:val="003C0E23"/>
    <w:rsid w:val="003C1038"/>
    <w:rsid w:val="003C1142"/>
    <w:rsid w:val="003C11EE"/>
    <w:rsid w:val="003C12E2"/>
    <w:rsid w:val="003C1353"/>
    <w:rsid w:val="003C136B"/>
    <w:rsid w:val="003C143C"/>
    <w:rsid w:val="003C188E"/>
    <w:rsid w:val="003C1F10"/>
    <w:rsid w:val="003C1FBA"/>
    <w:rsid w:val="003C2141"/>
    <w:rsid w:val="003C24EA"/>
    <w:rsid w:val="003C27F9"/>
    <w:rsid w:val="003C28E4"/>
    <w:rsid w:val="003C3045"/>
    <w:rsid w:val="003C31E6"/>
    <w:rsid w:val="003C3235"/>
    <w:rsid w:val="003C36B2"/>
    <w:rsid w:val="003C36F6"/>
    <w:rsid w:val="003C3A6B"/>
    <w:rsid w:val="003C3DA8"/>
    <w:rsid w:val="003C3F89"/>
    <w:rsid w:val="003C431B"/>
    <w:rsid w:val="003C4577"/>
    <w:rsid w:val="003C4818"/>
    <w:rsid w:val="003C4B2C"/>
    <w:rsid w:val="003C4E43"/>
    <w:rsid w:val="003C4F76"/>
    <w:rsid w:val="003C5130"/>
    <w:rsid w:val="003C5158"/>
    <w:rsid w:val="003C5960"/>
    <w:rsid w:val="003C5C3E"/>
    <w:rsid w:val="003C5EA9"/>
    <w:rsid w:val="003C61A0"/>
    <w:rsid w:val="003C61BF"/>
    <w:rsid w:val="003C6276"/>
    <w:rsid w:val="003C62F6"/>
    <w:rsid w:val="003C6937"/>
    <w:rsid w:val="003C6B79"/>
    <w:rsid w:val="003C6B7D"/>
    <w:rsid w:val="003C71AE"/>
    <w:rsid w:val="003C7350"/>
    <w:rsid w:val="003C7382"/>
    <w:rsid w:val="003C73BB"/>
    <w:rsid w:val="003C75A6"/>
    <w:rsid w:val="003C7731"/>
    <w:rsid w:val="003C798D"/>
    <w:rsid w:val="003C7A14"/>
    <w:rsid w:val="003C7A70"/>
    <w:rsid w:val="003C7B1D"/>
    <w:rsid w:val="003C7EF3"/>
    <w:rsid w:val="003D017C"/>
    <w:rsid w:val="003D02AA"/>
    <w:rsid w:val="003D068B"/>
    <w:rsid w:val="003D0724"/>
    <w:rsid w:val="003D07C2"/>
    <w:rsid w:val="003D0969"/>
    <w:rsid w:val="003D0BAD"/>
    <w:rsid w:val="003D0DF5"/>
    <w:rsid w:val="003D0F14"/>
    <w:rsid w:val="003D0F5C"/>
    <w:rsid w:val="003D16DA"/>
    <w:rsid w:val="003D1B55"/>
    <w:rsid w:val="003D1D86"/>
    <w:rsid w:val="003D1F1E"/>
    <w:rsid w:val="003D23FE"/>
    <w:rsid w:val="003D2ABD"/>
    <w:rsid w:val="003D2DA1"/>
    <w:rsid w:val="003D2E6D"/>
    <w:rsid w:val="003D2EE3"/>
    <w:rsid w:val="003D3331"/>
    <w:rsid w:val="003D3410"/>
    <w:rsid w:val="003D34FC"/>
    <w:rsid w:val="003D3562"/>
    <w:rsid w:val="003D3813"/>
    <w:rsid w:val="003D3D14"/>
    <w:rsid w:val="003D4224"/>
    <w:rsid w:val="003D42F3"/>
    <w:rsid w:val="003D42FB"/>
    <w:rsid w:val="003D435A"/>
    <w:rsid w:val="003D436A"/>
    <w:rsid w:val="003D4477"/>
    <w:rsid w:val="003D47E3"/>
    <w:rsid w:val="003D48D3"/>
    <w:rsid w:val="003D4930"/>
    <w:rsid w:val="003D5146"/>
    <w:rsid w:val="003D543E"/>
    <w:rsid w:val="003D54CE"/>
    <w:rsid w:val="003D562E"/>
    <w:rsid w:val="003D59A3"/>
    <w:rsid w:val="003D5B24"/>
    <w:rsid w:val="003D5DBF"/>
    <w:rsid w:val="003D6180"/>
    <w:rsid w:val="003D68AD"/>
    <w:rsid w:val="003D6E2F"/>
    <w:rsid w:val="003D745D"/>
    <w:rsid w:val="003D77AD"/>
    <w:rsid w:val="003D781D"/>
    <w:rsid w:val="003D795B"/>
    <w:rsid w:val="003D7EF3"/>
    <w:rsid w:val="003D7F5B"/>
    <w:rsid w:val="003E0125"/>
    <w:rsid w:val="003E03F7"/>
    <w:rsid w:val="003E0648"/>
    <w:rsid w:val="003E0656"/>
    <w:rsid w:val="003E07A7"/>
    <w:rsid w:val="003E07AD"/>
    <w:rsid w:val="003E0971"/>
    <w:rsid w:val="003E0D55"/>
    <w:rsid w:val="003E0D7C"/>
    <w:rsid w:val="003E0EE1"/>
    <w:rsid w:val="003E0FCA"/>
    <w:rsid w:val="003E11FF"/>
    <w:rsid w:val="003E120E"/>
    <w:rsid w:val="003E14C6"/>
    <w:rsid w:val="003E1827"/>
    <w:rsid w:val="003E1A47"/>
    <w:rsid w:val="003E1A66"/>
    <w:rsid w:val="003E1B16"/>
    <w:rsid w:val="003E1C24"/>
    <w:rsid w:val="003E2A1D"/>
    <w:rsid w:val="003E2D79"/>
    <w:rsid w:val="003E2E57"/>
    <w:rsid w:val="003E31F7"/>
    <w:rsid w:val="003E3736"/>
    <w:rsid w:val="003E391A"/>
    <w:rsid w:val="003E3F0F"/>
    <w:rsid w:val="003E4022"/>
    <w:rsid w:val="003E40BC"/>
    <w:rsid w:val="003E4265"/>
    <w:rsid w:val="003E4355"/>
    <w:rsid w:val="003E4452"/>
    <w:rsid w:val="003E44CB"/>
    <w:rsid w:val="003E4647"/>
    <w:rsid w:val="003E4875"/>
    <w:rsid w:val="003E4A52"/>
    <w:rsid w:val="003E5055"/>
    <w:rsid w:val="003E5452"/>
    <w:rsid w:val="003E54EA"/>
    <w:rsid w:val="003E554C"/>
    <w:rsid w:val="003E558E"/>
    <w:rsid w:val="003E55C9"/>
    <w:rsid w:val="003E5928"/>
    <w:rsid w:val="003E5EF7"/>
    <w:rsid w:val="003E626D"/>
    <w:rsid w:val="003E6272"/>
    <w:rsid w:val="003E645F"/>
    <w:rsid w:val="003E6476"/>
    <w:rsid w:val="003E6698"/>
    <w:rsid w:val="003E67F7"/>
    <w:rsid w:val="003E686C"/>
    <w:rsid w:val="003E68BE"/>
    <w:rsid w:val="003E70B4"/>
    <w:rsid w:val="003E71BC"/>
    <w:rsid w:val="003E72F9"/>
    <w:rsid w:val="003E7374"/>
    <w:rsid w:val="003E7463"/>
    <w:rsid w:val="003E7C79"/>
    <w:rsid w:val="003E7E49"/>
    <w:rsid w:val="003E7F7D"/>
    <w:rsid w:val="003F0FE3"/>
    <w:rsid w:val="003F1524"/>
    <w:rsid w:val="003F169D"/>
    <w:rsid w:val="003F1732"/>
    <w:rsid w:val="003F1A16"/>
    <w:rsid w:val="003F1BC5"/>
    <w:rsid w:val="003F1C21"/>
    <w:rsid w:val="003F1CAD"/>
    <w:rsid w:val="003F1CE5"/>
    <w:rsid w:val="003F20D1"/>
    <w:rsid w:val="003F23C6"/>
    <w:rsid w:val="003F248F"/>
    <w:rsid w:val="003F27A5"/>
    <w:rsid w:val="003F2811"/>
    <w:rsid w:val="003F2B77"/>
    <w:rsid w:val="003F2B87"/>
    <w:rsid w:val="003F2C1C"/>
    <w:rsid w:val="003F2C51"/>
    <w:rsid w:val="003F2E17"/>
    <w:rsid w:val="003F30D0"/>
    <w:rsid w:val="003F3676"/>
    <w:rsid w:val="003F36FF"/>
    <w:rsid w:val="003F3FCA"/>
    <w:rsid w:val="003F4089"/>
    <w:rsid w:val="003F4092"/>
    <w:rsid w:val="003F481A"/>
    <w:rsid w:val="003F4B27"/>
    <w:rsid w:val="003F4E6E"/>
    <w:rsid w:val="003F4E72"/>
    <w:rsid w:val="003F5101"/>
    <w:rsid w:val="003F51D6"/>
    <w:rsid w:val="003F5549"/>
    <w:rsid w:val="003F5AE6"/>
    <w:rsid w:val="003F5B49"/>
    <w:rsid w:val="003F5BC0"/>
    <w:rsid w:val="003F5C1D"/>
    <w:rsid w:val="003F5C8F"/>
    <w:rsid w:val="003F5D56"/>
    <w:rsid w:val="003F60C2"/>
    <w:rsid w:val="003F67CC"/>
    <w:rsid w:val="003F693C"/>
    <w:rsid w:val="003F6D36"/>
    <w:rsid w:val="003F6F94"/>
    <w:rsid w:val="003F7000"/>
    <w:rsid w:val="003F7224"/>
    <w:rsid w:val="003F75E2"/>
    <w:rsid w:val="003F7658"/>
    <w:rsid w:val="003F7692"/>
    <w:rsid w:val="003F7727"/>
    <w:rsid w:val="003F7786"/>
    <w:rsid w:val="003F7946"/>
    <w:rsid w:val="003F7E35"/>
    <w:rsid w:val="003F7F2D"/>
    <w:rsid w:val="004000E4"/>
    <w:rsid w:val="00400154"/>
    <w:rsid w:val="004002DE"/>
    <w:rsid w:val="004007FC"/>
    <w:rsid w:val="004009F5"/>
    <w:rsid w:val="00400AD7"/>
    <w:rsid w:val="00400E5F"/>
    <w:rsid w:val="004010FE"/>
    <w:rsid w:val="004012BA"/>
    <w:rsid w:val="004014C3"/>
    <w:rsid w:val="004015BF"/>
    <w:rsid w:val="004016F2"/>
    <w:rsid w:val="004019EA"/>
    <w:rsid w:val="00401BFB"/>
    <w:rsid w:val="00401EEF"/>
    <w:rsid w:val="00401F9E"/>
    <w:rsid w:val="00402028"/>
    <w:rsid w:val="00402140"/>
    <w:rsid w:val="004023B8"/>
    <w:rsid w:val="004027F5"/>
    <w:rsid w:val="00402B7A"/>
    <w:rsid w:val="00402CE8"/>
    <w:rsid w:val="00402DD9"/>
    <w:rsid w:val="00402FBA"/>
    <w:rsid w:val="0040306F"/>
    <w:rsid w:val="00403204"/>
    <w:rsid w:val="0040349D"/>
    <w:rsid w:val="004036A2"/>
    <w:rsid w:val="004037F7"/>
    <w:rsid w:val="0040389F"/>
    <w:rsid w:val="004038F8"/>
    <w:rsid w:val="00403926"/>
    <w:rsid w:val="00403AE3"/>
    <w:rsid w:val="00403C41"/>
    <w:rsid w:val="00403CF5"/>
    <w:rsid w:val="00403D82"/>
    <w:rsid w:val="00403E59"/>
    <w:rsid w:val="00404006"/>
    <w:rsid w:val="00404037"/>
    <w:rsid w:val="00404277"/>
    <w:rsid w:val="00404428"/>
    <w:rsid w:val="00404ACE"/>
    <w:rsid w:val="00404BE7"/>
    <w:rsid w:val="00404C3F"/>
    <w:rsid w:val="00404D13"/>
    <w:rsid w:val="00404E68"/>
    <w:rsid w:val="0040534D"/>
    <w:rsid w:val="0040679A"/>
    <w:rsid w:val="00406A3C"/>
    <w:rsid w:val="00406DB2"/>
    <w:rsid w:val="00407068"/>
    <w:rsid w:val="00407572"/>
    <w:rsid w:val="0040770C"/>
    <w:rsid w:val="004106C1"/>
    <w:rsid w:val="00410DCD"/>
    <w:rsid w:val="00411746"/>
    <w:rsid w:val="0041178F"/>
    <w:rsid w:val="00411CA1"/>
    <w:rsid w:val="004120E0"/>
    <w:rsid w:val="0041218A"/>
    <w:rsid w:val="004127E4"/>
    <w:rsid w:val="00412BEB"/>
    <w:rsid w:val="00412D83"/>
    <w:rsid w:val="00412FCF"/>
    <w:rsid w:val="0041313B"/>
    <w:rsid w:val="004135BF"/>
    <w:rsid w:val="0041388D"/>
    <w:rsid w:val="00413A22"/>
    <w:rsid w:val="00413C7F"/>
    <w:rsid w:val="004144C3"/>
    <w:rsid w:val="0041490F"/>
    <w:rsid w:val="00414AAC"/>
    <w:rsid w:val="00414E37"/>
    <w:rsid w:val="00414E86"/>
    <w:rsid w:val="00415A61"/>
    <w:rsid w:val="00415AE0"/>
    <w:rsid w:val="00415B61"/>
    <w:rsid w:val="00415CF2"/>
    <w:rsid w:val="00415EEF"/>
    <w:rsid w:val="0041656C"/>
    <w:rsid w:val="004166D2"/>
    <w:rsid w:val="00416704"/>
    <w:rsid w:val="00416A1E"/>
    <w:rsid w:val="00416A79"/>
    <w:rsid w:val="00416C2B"/>
    <w:rsid w:val="00416DF4"/>
    <w:rsid w:val="00417061"/>
    <w:rsid w:val="0041715E"/>
    <w:rsid w:val="00417BBE"/>
    <w:rsid w:val="0042014A"/>
    <w:rsid w:val="004202C6"/>
    <w:rsid w:val="004209B5"/>
    <w:rsid w:val="0042103B"/>
    <w:rsid w:val="00421094"/>
    <w:rsid w:val="00421129"/>
    <w:rsid w:val="0042127A"/>
    <w:rsid w:val="00421455"/>
    <w:rsid w:val="0042187F"/>
    <w:rsid w:val="00421896"/>
    <w:rsid w:val="004218CA"/>
    <w:rsid w:val="004218D9"/>
    <w:rsid w:val="00421E35"/>
    <w:rsid w:val="004223E3"/>
    <w:rsid w:val="00422507"/>
    <w:rsid w:val="004225F6"/>
    <w:rsid w:val="00422C9B"/>
    <w:rsid w:val="00422F36"/>
    <w:rsid w:val="0042307B"/>
    <w:rsid w:val="0042356F"/>
    <w:rsid w:val="00423732"/>
    <w:rsid w:val="00423821"/>
    <w:rsid w:val="004238CE"/>
    <w:rsid w:val="004239FE"/>
    <w:rsid w:val="00423A08"/>
    <w:rsid w:val="00423B4F"/>
    <w:rsid w:val="00423F03"/>
    <w:rsid w:val="004247D4"/>
    <w:rsid w:val="00424E90"/>
    <w:rsid w:val="0042535D"/>
    <w:rsid w:val="004253E2"/>
    <w:rsid w:val="004255E7"/>
    <w:rsid w:val="00425616"/>
    <w:rsid w:val="00425756"/>
    <w:rsid w:val="004257D3"/>
    <w:rsid w:val="00425CB7"/>
    <w:rsid w:val="00425DA5"/>
    <w:rsid w:val="00426080"/>
    <w:rsid w:val="00426279"/>
    <w:rsid w:val="0042636F"/>
    <w:rsid w:val="0042651B"/>
    <w:rsid w:val="004268BA"/>
    <w:rsid w:val="00426CFD"/>
    <w:rsid w:val="00426F73"/>
    <w:rsid w:val="0042705E"/>
    <w:rsid w:val="00427321"/>
    <w:rsid w:val="00427323"/>
    <w:rsid w:val="00427AC6"/>
    <w:rsid w:val="00427FD9"/>
    <w:rsid w:val="00430005"/>
    <w:rsid w:val="004300C6"/>
    <w:rsid w:val="004304D5"/>
    <w:rsid w:val="004305DF"/>
    <w:rsid w:val="004308BC"/>
    <w:rsid w:val="00430A03"/>
    <w:rsid w:val="00430CE3"/>
    <w:rsid w:val="00430D0C"/>
    <w:rsid w:val="004313CF"/>
    <w:rsid w:val="004328AE"/>
    <w:rsid w:val="00432B0C"/>
    <w:rsid w:val="00432BF4"/>
    <w:rsid w:val="004331B1"/>
    <w:rsid w:val="00433336"/>
    <w:rsid w:val="00433AB3"/>
    <w:rsid w:val="00433D24"/>
    <w:rsid w:val="00433D8E"/>
    <w:rsid w:val="00433E79"/>
    <w:rsid w:val="00434342"/>
    <w:rsid w:val="00434DF9"/>
    <w:rsid w:val="00434F7E"/>
    <w:rsid w:val="00435408"/>
    <w:rsid w:val="0043543F"/>
    <w:rsid w:val="004355A0"/>
    <w:rsid w:val="0043573B"/>
    <w:rsid w:val="0043582D"/>
    <w:rsid w:val="00435EF3"/>
    <w:rsid w:val="004360A8"/>
    <w:rsid w:val="004362EC"/>
    <w:rsid w:val="00436DEC"/>
    <w:rsid w:val="00437147"/>
    <w:rsid w:val="004376D0"/>
    <w:rsid w:val="00437915"/>
    <w:rsid w:val="00437A4E"/>
    <w:rsid w:val="00437B2F"/>
    <w:rsid w:val="00437B60"/>
    <w:rsid w:val="00437DE4"/>
    <w:rsid w:val="00440114"/>
    <w:rsid w:val="00440136"/>
    <w:rsid w:val="004403A1"/>
    <w:rsid w:val="0044045C"/>
    <w:rsid w:val="004404CD"/>
    <w:rsid w:val="00440899"/>
    <w:rsid w:val="00440E5D"/>
    <w:rsid w:val="004413BA"/>
    <w:rsid w:val="0044183A"/>
    <w:rsid w:val="00441845"/>
    <w:rsid w:val="00441D63"/>
    <w:rsid w:val="00441E63"/>
    <w:rsid w:val="00442150"/>
    <w:rsid w:val="004422F6"/>
    <w:rsid w:val="00442636"/>
    <w:rsid w:val="0044279A"/>
    <w:rsid w:val="00442CBF"/>
    <w:rsid w:val="00442D28"/>
    <w:rsid w:val="00442E18"/>
    <w:rsid w:val="00442FF4"/>
    <w:rsid w:val="0044366C"/>
    <w:rsid w:val="0044374E"/>
    <w:rsid w:val="00443ADB"/>
    <w:rsid w:val="00444187"/>
    <w:rsid w:val="004441B9"/>
    <w:rsid w:val="00444444"/>
    <w:rsid w:val="004446C5"/>
    <w:rsid w:val="004449C4"/>
    <w:rsid w:val="00444BC7"/>
    <w:rsid w:val="00444F62"/>
    <w:rsid w:val="004450D5"/>
    <w:rsid w:val="004451C0"/>
    <w:rsid w:val="004457D3"/>
    <w:rsid w:val="00445A94"/>
    <w:rsid w:val="00445CFB"/>
    <w:rsid w:val="00445F8A"/>
    <w:rsid w:val="00446856"/>
    <w:rsid w:val="00446E3B"/>
    <w:rsid w:val="00447016"/>
    <w:rsid w:val="00447850"/>
    <w:rsid w:val="00447A22"/>
    <w:rsid w:val="00447FB9"/>
    <w:rsid w:val="00450506"/>
    <w:rsid w:val="00450967"/>
    <w:rsid w:val="00450B91"/>
    <w:rsid w:val="00450CB7"/>
    <w:rsid w:val="00450EC4"/>
    <w:rsid w:val="004512F6"/>
    <w:rsid w:val="0045134D"/>
    <w:rsid w:val="00451445"/>
    <w:rsid w:val="004514A1"/>
    <w:rsid w:val="00451B2B"/>
    <w:rsid w:val="00451FDB"/>
    <w:rsid w:val="00451FE7"/>
    <w:rsid w:val="00451FE9"/>
    <w:rsid w:val="00452169"/>
    <w:rsid w:val="00452662"/>
    <w:rsid w:val="00452746"/>
    <w:rsid w:val="004527D8"/>
    <w:rsid w:val="00452AC9"/>
    <w:rsid w:val="00452F32"/>
    <w:rsid w:val="00452FDE"/>
    <w:rsid w:val="0045330D"/>
    <w:rsid w:val="004534F3"/>
    <w:rsid w:val="004535B0"/>
    <w:rsid w:val="0045394A"/>
    <w:rsid w:val="00453971"/>
    <w:rsid w:val="00453A9C"/>
    <w:rsid w:val="00453EE4"/>
    <w:rsid w:val="004543CC"/>
    <w:rsid w:val="00454565"/>
    <w:rsid w:val="00454694"/>
    <w:rsid w:val="00454FF8"/>
    <w:rsid w:val="004553C6"/>
    <w:rsid w:val="00455780"/>
    <w:rsid w:val="004557DC"/>
    <w:rsid w:val="004557E8"/>
    <w:rsid w:val="00455D1C"/>
    <w:rsid w:val="00455D88"/>
    <w:rsid w:val="00455DF3"/>
    <w:rsid w:val="0045675F"/>
    <w:rsid w:val="00456A91"/>
    <w:rsid w:val="00456ADA"/>
    <w:rsid w:val="00456AE3"/>
    <w:rsid w:val="00456E95"/>
    <w:rsid w:val="00456EB7"/>
    <w:rsid w:val="00456F62"/>
    <w:rsid w:val="004570E1"/>
    <w:rsid w:val="00457516"/>
    <w:rsid w:val="004577E6"/>
    <w:rsid w:val="004603ED"/>
    <w:rsid w:val="00460601"/>
    <w:rsid w:val="00460891"/>
    <w:rsid w:val="00460A55"/>
    <w:rsid w:val="00460A6E"/>
    <w:rsid w:val="00460E43"/>
    <w:rsid w:val="00460E72"/>
    <w:rsid w:val="00460FD0"/>
    <w:rsid w:val="004610E5"/>
    <w:rsid w:val="004612D5"/>
    <w:rsid w:val="004613E6"/>
    <w:rsid w:val="00461507"/>
    <w:rsid w:val="00461747"/>
    <w:rsid w:val="004617A0"/>
    <w:rsid w:val="00461B43"/>
    <w:rsid w:val="00461BA6"/>
    <w:rsid w:val="00462004"/>
    <w:rsid w:val="004621BC"/>
    <w:rsid w:val="00462641"/>
    <w:rsid w:val="004626DA"/>
    <w:rsid w:val="00462725"/>
    <w:rsid w:val="0046279B"/>
    <w:rsid w:val="00462965"/>
    <w:rsid w:val="00462D78"/>
    <w:rsid w:val="00462EBA"/>
    <w:rsid w:val="004630DA"/>
    <w:rsid w:val="004631A5"/>
    <w:rsid w:val="004631D2"/>
    <w:rsid w:val="0046335C"/>
    <w:rsid w:val="00463479"/>
    <w:rsid w:val="00463480"/>
    <w:rsid w:val="00463536"/>
    <w:rsid w:val="0046353B"/>
    <w:rsid w:val="00463863"/>
    <w:rsid w:val="004639A8"/>
    <w:rsid w:val="004639BC"/>
    <w:rsid w:val="00463B7F"/>
    <w:rsid w:val="00463C24"/>
    <w:rsid w:val="00463F0A"/>
    <w:rsid w:val="004640D7"/>
    <w:rsid w:val="004647C9"/>
    <w:rsid w:val="00464828"/>
    <w:rsid w:val="00464A01"/>
    <w:rsid w:val="00464B3A"/>
    <w:rsid w:val="00464FCB"/>
    <w:rsid w:val="00465084"/>
    <w:rsid w:val="00465442"/>
    <w:rsid w:val="0046657C"/>
    <w:rsid w:val="0046661D"/>
    <w:rsid w:val="00466B37"/>
    <w:rsid w:val="00467058"/>
    <w:rsid w:val="00467094"/>
    <w:rsid w:val="004672B4"/>
    <w:rsid w:val="004672CC"/>
    <w:rsid w:val="00467586"/>
    <w:rsid w:val="004679F5"/>
    <w:rsid w:val="00467B25"/>
    <w:rsid w:val="00467B9D"/>
    <w:rsid w:val="0047048F"/>
    <w:rsid w:val="004705ED"/>
    <w:rsid w:val="004707F1"/>
    <w:rsid w:val="0047084C"/>
    <w:rsid w:val="00470939"/>
    <w:rsid w:val="00471016"/>
    <w:rsid w:val="0047105E"/>
    <w:rsid w:val="0047153A"/>
    <w:rsid w:val="00471675"/>
    <w:rsid w:val="0047185C"/>
    <w:rsid w:val="004718CA"/>
    <w:rsid w:val="00471E82"/>
    <w:rsid w:val="004720AA"/>
    <w:rsid w:val="00472665"/>
    <w:rsid w:val="00472769"/>
    <w:rsid w:val="00472770"/>
    <w:rsid w:val="0047298A"/>
    <w:rsid w:val="00472BA1"/>
    <w:rsid w:val="00472EA0"/>
    <w:rsid w:val="00473078"/>
    <w:rsid w:val="0047340E"/>
    <w:rsid w:val="0047367C"/>
    <w:rsid w:val="004736A1"/>
    <w:rsid w:val="004738ED"/>
    <w:rsid w:val="0047390B"/>
    <w:rsid w:val="004739C5"/>
    <w:rsid w:val="004739C7"/>
    <w:rsid w:val="00473E00"/>
    <w:rsid w:val="00473E02"/>
    <w:rsid w:val="00473F0E"/>
    <w:rsid w:val="004742C9"/>
    <w:rsid w:val="00474303"/>
    <w:rsid w:val="00474515"/>
    <w:rsid w:val="00474639"/>
    <w:rsid w:val="00474949"/>
    <w:rsid w:val="00474AFD"/>
    <w:rsid w:val="00474E15"/>
    <w:rsid w:val="00474FF3"/>
    <w:rsid w:val="004750E3"/>
    <w:rsid w:val="004753DE"/>
    <w:rsid w:val="004757AC"/>
    <w:rsid w:val="00475845"/>
    <w:rsid w:val="0047585E"/>
    <w:rsid w:val="00475940"/>
    <w:rsid w:val="00475AA2"/>
    <w:rsid w:val="004768FF"/>
    <w:rsid w:val="00476B3A"/>
    <w:rsid w:val="00476C39"/>
    <w:rsid w:val="00476C6D"/>
    <w:rsid w:val="00476E96"/>
    <w:rsid w:val="00476EE9"/>
    <w:rsid w:val="004771CD"/>
    <w:rsid w:val="00477CC0"/>
    <w:rsid w:val="00477D37"/>
    <w:rsid w:val="00477DD0"/>
    <w:rsid w:val="004802F5"/>
    <w:rsid w:val="0048045B"/>
    <w:rsid w:val="004805B0"/>
    <w:rsid w:val="00480AA8"/>
    <w:rsid w:val="00480DEE"/>
    <w:rsid w:val="00480ECD"/>
    <w:rsid w:val="004810F0"/>
    <w:rsid w:val="0048132B"/>
    <w:rsid w:val="00481428"/>
    <w:rsid w:val="00481526"/>
    <w:rsid w:val="0048157D"/>
    <w:rsid w:val="00481D1E"/>
    <w:rsid w:val="00482144"/>
    <w:rsid w:val="0048226E"/>
    <w:rsid w:val="0048227C"/>
    <w:rsid w:val="0048244A"/>
    <w:rsid w:val="004825DC"/>
    <w:rsid w:val="00482802"/>
    <w:rsid w:val="00482A39"/>
    <w:rsid w:val="00482B8D"/>
    <w:rsid w:val="00482D5C"/>
    <w:rsid w:val="00482E91"/>
    <w:rsid w:val="00482E9A"/>
    <w:rsid w:val="0048320A"/>
    <w:rsid w:val="00483381"/>
    <w:rsid w:val="00483733"/>
    <w:rsid w:val="00483A86"/>
    <w:rsid w:val="00483B9F"/>
    <w:rsid w:val="00483E41"/>
    <w:rsid w:val="00483FA8"/>
    <w:rsid w:val="0048411A"/>
    <w:rsid w:val="004841B6"/>
    <w:rsid w:val="00484381"/>
    <w:rsid w:val="004844C1"/>
    <w:rsid w:val="0048495F"/>
    <w:rsid w:val="00484B4A"/>
    <w:rsid w:val="00484B61"/>
    <w:rsid w:val="00484F13"/>
    <w:rsid w:val="00485AC4"/>
    <w:rsid w:val="00485B21"/>
    <w:rsid w:val="00485BD4"/>
    <w:rsid w:val="00486375"/>
    <w:rsid w:val="00486386"/>
    <w:rsid w:val="004864B6"/>
    <w:rsid w:val="004864D4"/>
    <w:rsid w:val="004866E7"/>
    <w:rsid w:val="00486A64"/>
    <w:rsid w:val="00486C36"/>
    <w:rsid w:val="00486D61"/>
    <w:rsid w:val="00487821"/>
    <w:rsid w:val="00487B53"/>
    <w:rsid w:val="00487B7C"/>
    <w:rsid w:val="00487EF4"/>
    <w:rsid w:val="004900F4"/>
    <w:rsid w:val="0049030D"/>
    <w:rsid w:val="0049037C"/>
    <w:rsid w:val="004908AC"/>
    <w:rsid w:val="004914B6"/>
    <w:rsid w:val="00491532"/>
    <w:rsid w:val="0049156F"/>
    <w:rsid w:val="004918E1"/>
    <w:rsid w:val="0049194C"/>
    <w:rsid w:val="0049197D"/>
    <w:rsid w:val="00491A9E"/>
    <w:rsid w:val="00491AB0"/>
    <w:rsid w:val="00491ADB"/>
    <w:rsid w:val="00491D3B"/>
    <w:rsid w:val="0049206E"/>
    <w:rsid w:val="00492075"/>
    <w:rsid w:val="004926F1"/>
    <w:rsid w:val="00492AF5"/>
    <w:rsid w:val="00492BEF"/>
    <w:rsid w:val="00492C76"/>
    <w:rsid w:val="00492F6D"/>
    <w:rsid w:val="00492FD5"/>
    <w:rsid w:val="00493145"/>
    <w:rsid w:val="0049334A"/>
    <w:rsid w:val="0049374A"/>
    <w:rsid w:val="00493A46"/>
    <w:rsid w:val="00493B1F"/>
    <w:rsid w:val="00493C60"/>
    <w:rsid w:val="00493ED0"/>
    <w:rsid w:val="004941DB"/>
    <w:rsid w:val="004941FF"/>
    <w:rsid w:val="004950AE"/>
    <w:rsid w:val="00495274"/>
    <w:rsid w:val="00495373"/>
    <w:rsid w:val="004954B4"/>
    <w:rsid w:val="00495829"/>
    <w:rsid w:val="0049596E"/>
    <w:rsid w:val="00495A42"/>
    <w:rsid w:val="00495AB5"/>
    <w:rsid w:val="00495AF8"/>
    <w:rsid w:val="00495B32"/>
    <w:rsid w:val="00495D86"/>
    <w:rsid w:val="004962BE"/>
    <w:rsid w:val="004964E8"/>
    <w:rsid w:val="00496533"/>
    <w:rsid w:val="00496BCA"/>
    <w:rsid w:val="00496D07"/>
    <w:rsid w:val="00496D1B"/>
    <w:rsid w:val="0049722F"/>
    <w:rsid w:val="00497726"/>
    <w:rsid w:val="00497C5E"/>
    <w:rsid w:val="00497DA1"/>
    <w:rsid w:val="00497F8B"/>
    <w:rsid w:val="004A0100"/>
    <w:rsid w:val="004A03DA"/>
    <w:rsid w:val="004A05DA"/>
    <w:rsid w:val="004A0AE8"/>
    <w:rsid w:val="004A1444"/>
    <w:rsid w:val="004A14A5"/>
    <w:rsid w:val="004A196F"/>
    <w:rsid w:val="004A2325"/>
    <w:rsid w:val="004A26D5"/>
    <w:rsid w:val="004A2A60"/>
    <w:rsid w:val="004A305B"/>
    <w:rsid w:val="004A31A3"/>
    <w:rsid w:val="004A378E"/>
    <w:rsid w:val="004A3FD8"/>
    <w:rsid w:val="004A4130"/>
    <w:rsid w:val="004A4259"/>
    <w:rsid w:val="004A4454"/>
    <w:rsid w:val="004A4471"/>
    <w:rsid w:val="004A515D"/>
    <w:rsid w:val="004A52C5"/>
    <w:rsid w:val="004A52DA"/>
    <w:rsid w:val="004A5661"/>
    <w:rsid w:val="004A5770"/>
    <w:rsid w:val="004A58D1"/>
    <w:rsid w:val="004A5927"/>
    <w:rsid w:val="004A59AC"/>
    <w:rsid w:val="004A5A00"/>
    <w:rsid w:val="004A5FAB"/>
    <w:rsid w:val="004A66AF"/>
    <w:rsid w:val="004A66EE"/>
    <w:rsid w:val="004A6799"/>
    <w:rsid w:val="004A7775"/>
    <w:rsid w:val="004A7F00"/>
    <w:rsid w:val="004B0295"/>
    <w:rsid w:val="004B05C5"/>
    <w:rsid w:val="004B05D3"/>
    <w:rsid w:val="004B0C08"/>
    <w:rsid w:val="004B0D1E"/>
    <w:rsid w:val="004B0D63"/>
    <w:rsid w:val="004B14A5"/>
    <w:rsid w:val="004B15A8"/>
    <w:rsid w:val="004B1699"/>
    <w:rsid w:val="004B1DB2"/>
    <w:rsid w:val="004B2036"/>
    <w:rsid w:val="004B26BB"/>
    <w:rsid w:val="004B2863"/>
    <w:rsid w:val="004B29B9"/>
    <w:rsid w:val="004B2DC5"/>
    <w:rsid w:val="004B33C3"/>
    <w:rsid w:val="004B3AD1"/>
    <w:rsid w:val="004B3C53"/>
    <w:rsid w:val="004B41D8"/>
    <w:rsid w:val="004B42A7"/>
    <w:rsid w:val="004B45C5"/>
    <w:rsid w:val="004B46F9"/>
    <w:rsid w:val="004B4A95"/>
    <w:rsid w:val="004B4C0F"/>
    <w:rsid w:val="004B4CCE"/>
    <w:rsid w:val="004B4E8B"/>
    <w:rsid w:val="004B4F36"/>
    <w:rsid w:val="004B5157"/>
    <w:rsid w:val="004B5508"/>
    <w:rsid w:val="004B5774"/>
    <w:rsid w:val="004B5806"/>
    <w:rsid w:val="004B591F"/>
    <w:rsid w:val="004B5992"/>
    <w:rsid w:val="004B5AE2"/>
    <w:rsid w:val="004B5B32"/>
    <w:rsid w:val="004B5D5B"/>
    <w:rsid w:val="004B6065"/>
    <w:rsid w:val="004B67C6"/>
    <w:rsid w:val="004B6876"/>
    <w:rsid w:val="004B69FC"/>
    <w:rsid w:val="004B6AB7"/>
    <w:rsid w:val="004B6B40"/>
    <w:rsid w:val="004B6DAC"/>
    <w:rsid w:val="004B702D"/>
    <w:rsid w:val="004B71F9"/>
    <w:rsid w:val="004B73C0"/>
    <w:rsid w:val="004B744D"/>
    <w:rsid w:val="004B754C"/>
    <w:rsid w:val="004B79B1"/>
    <w:rsid w:val="004B7A12"/>
    <w:rsid w:val="004B7A6B"/>
    <w:rsid w:val="004C0747"/>
    <w:rsid w:val="004C0E4B"/>
    <w:rsid w:val="004C13E3"/>
    <w:rsid w:val="004C1460"/>
    <w:rsid w:val="004C15C5"/>
    <w:rsid w:val="004C1804"/>
    <w:rsid w:val="004C19F5"/>
    <w:rsid w:val="004C215E"/>
    <w:rsid w:val="004C2579"/>
    <w:rsid w:val="004C2756"/>
    <w:rsid w:val="004C2A04"/>
    <w:rsid w:val="004C2E66"/>
    <w:rsid w:val="004C3060"/>
    <w:rsid w:val="004C320A"/>
    <w:rsid w:val="004C3219"/>
    <w:rsid w:val="004C3863"/>
    <w:rsid w:val="004C39CD"/>
    <w:rsid w:val="004C3C91"/>
    <w:rsid w:val="004C3D1E"/>
    <w:rsid w:val="004C3E23"/>
    <w:rsid w:val="004C4115"/>
    <w:rsid w:val="004C454A"/>
    <w:rsid w:val="004C472A"/>
    <w:rsid w:val="004C4B96"/>
    <w:rsid w:val="004C4CC8"/>
    <w:rsid w:val="004C4DF1"/>
    <w:rsid w:val="004C4EE6"/>
    <w:rsid w:val="004C4F45"/>
    <w:rsid w:val="004C5651"/>
    <w:rsid w:val="004C57DE"/>
    <w:rsid w:val="004C5A84"/>
    <w:rsid w:val="004C5E79"/>
    <w:rsid w:val="004C5E9D"/>
    <w:rsid w:val="004C5F58"/>
    <w:rsid w:val="004C609C"/>
    <w:rsid w:val="004C617B"/>
    <w:rsid w:val="004C65BB"/>
    <w:rsid w:val="004C6788"/>
    <w:rsid w:val="004C6ACD"/>
    <w:rsid w:val="004C6B15"/>
    <w:rsid w:val="004C6CA6"/>
    <w:rsid w:val="004C746A"/>
    <w:rsid w:val="004C79C1"/>
    <w:rsid w:val="004C7B75"/>
    <w:rsid w:val="004C7E90"/>
    <w:rsid w:val="004D005A"/>
    <w:rsid w:val="004D01B8"/>
    <w:rsid w:val="004D05C5"/>
    <w:rsid w:val="004D09BD"/>
    <w:rsid w:val="004D0A74"/>
    <w:rsid w:val="004D0C04"/>
    <w:rsid w:val="004D0C0F"/>
    <w:rsid w:val="004D10A9"/>
    <w:rsid w:val="004D123A"/>
    <w:rsid w:val="004D12B5"/>
    <w:rsid w:val="004D142A"/>
    <w:rsid w:val="004D1486"/>
    <w:rsid w:val="004D17A5"/>
    <w:rsid w:val="004D19C8"/>
    <w:rsid w:val="004D2074"/>
    <w:rsid w:val="004D2201"/>
    <w:rsid w:val="004D2445"/>
    <w:rsid w:val="004D27FE"/>
    <w:rsid w:val="004D2845"/>
    <w:rsid w:val="004D2C2F"/>
    <w:rsid w:val="004D2C77"/>
    <w:rsid w:val="004D2EC0"/>
    <w:rsid w:val="004D37F7"/>
    <w:rsid w:val="004D3A0B"/>
    <w:rsid w:val="004D3D5C"/>
    <w:rsid w:val="004D3DAE"/>
    <w:rsid w:val="004D3F6E"/>
    <w:rsid w:val="004D41D4"/>
    <w:rsid w:val="004D43FA"/>
    <w:rsid w:val="004D463E"/>
    <w:rsid w:val="004D46A9"/>
    <w:rsid w:val="004D4AE4"/>
    <w:rsid w:val="004D4BFE"/>
    <w:rsid w:val="004D4FE3"/>
    <w:rsid w:val="004D50FF"/>
    <w:rsid w:val="004D5182"/>
    <w:rsid w:val="004D53A0"/>
    <w:rsid w:val="004D561E"/>
    <w:rsid w:val="004D5920"/>
    <w:rsid w:val="004D5C14"/>
    <w:rsid w:val="004D6133"/>
    <w:rsid w:val="004D61AC"/>
    <w:rsid w:val="004D6276"/>
    <w:rsid w:val="004D63B2"/>
    <w:rsid w:val="004D64BC"/>
    <w:rsid w:val="004D64E0"/>
    <w:rsid w:val="004D6547"/>
    <w:rsid w:val="004D6B89"/>
    <w:rsid w:val="004D6C03"/>
    <w:rsid w:val="004D6FDC"/>
    <w:rsid w:val="004D727B"/>
    <w:rsid w:val="004D7A16"/>
    <w:rsid w:val="004D7A93"/>
    <w:rsid w:val="004D7C52"/>
    <w:rsid w:val="004D7D27"/>
    <w:rsid w:val="004E01EF"/>
    <w:rsid w:val="004E050F"/>
    <w:rsid w:val="004E058F"/>
    <w:rsid w:val="004E0F93"/>
    <w:rsid w:val="004E15CD"/>
    <w:rsid w:val="004E162C"/>
    <w:rsid w:val="004E164F"/>
    <w:rsid w:val="004E19DF"/>
    <w:rsid w:val="004E1D68"/>
    <w:rsid w:val="004E2005"/>
    <w:rsid w:val="004E238E"/>
    <w:rsid w:val="004E25AE"/>
    <w:rsid w:val="004E2670"/>
    <w:rsid w:val="004E2784"/>
    <w:rsid w:val="004E27FC"/>
    <w:rsid w:val="004E2981"/>
    <w:rsid w:val="004E2C74"/>
    <w:rsid w:val="004E2FE2"/>
    <w:rsid w:val="004E3141"/>
    <w:rsid w:val="004E3411"/>
    <w:rsid w:val="004E3835"/>
    <w:rsid w:val="004E389B"/>
    <w:rsid w:val="004E39FE"/>
    <w:rsid w:val="004E4078"/>
    <w:rsid w:val="004E4190"/>
    <w:rsid w:val="004E45C4"/>
    <w:rsid w:val="004E46D6"/>
    <w:rsid w:val="004E501E"/>
    <w:rsid w:val="004E5183"/>
    <w:rsid w:val="004E5198"/>
    <w:rsid w:val="004E579C"/>
    <w:rsid w:val="004E5856"/>
    <w:rsid w:val="004E58BF"/>
    <w:rsid w:val="004E596C"/>
    <w:rsid w:val="004E598D"/>
    <w:rsid w:val="004E5A45"/>
    <w:rsid w:val="004E60A2"/>
    <w:rsid w:val="004E66FF"/>
    <w:rsid w:val="004E6B35"/>
    <w:rsid w:val="004E6D3E"/>
    <w:rsid w:val="004E72C4"/>
    <w:rsid w:val="004E7433"/>
    <w:rsid w:val="004E75C8"/>
    <w:rsid w:val="004E7766"/>
    <w:rsid w:val="004E78A0"/>
    <w:rsid w:val="004E7F71"/>
    <w:rsid w:val="004F0317"/>
    <w:rsid w:val="004F04A4"/>
    <w:rsid w:val="004F0525"/>
    <w:rsid w:val="004F072B"/>
    <w:rsid w:val="004F0758"/>
    <w:rsid w:val="004F0762"/>
    <w:rsid w:val="004F07BA"/>
    <w:rsid w:val="004F0BB5"/>
    <w:rsid w:val="004F1C5F"/>
    <w:rsid w:val="004F1D48"/>
    <w:rsid w:val="004F2246"/>
    <w:rsid w:val="004F249F"/>
    <w:rsid w:val="004F25F8"/>
    <w:rsid w:val="004F27DB"/>
    <w:rsid w:val="004F28B1"/>
    <w:rsid w:val="004F3637"/>
    <w:rsid w:val="004F36F1"/>
    <w:rsid w:val="004F36F5"/>
    <w:rsid w:val="004F3970"/>
    <w:rsid w:val="004F3A7D"/>
    <w:rsid w:val="004F3AD7"/>
    <w:rsid w:val="004F3EFC"/>
    <w:rsid w:val="004F414C"/>
    <w:rsid w:val="004F42B2"/>
    <w:rsid w:val="004F44A3"/>
    <w:rsid w:val="004F4859"/>
    <w:rsid w:val="004F485B"/>
    <w:rsid w:val="004F49C2"/>
    <w:rsid w:val="004F4D26"/>
    <w:rsid w:val="004F4DFA"/>
    <w:rsid w:val="004F4F44"/>
    <w:rsid w:val="004F523A"/>
    <w:rsid w:val="004F58AF"/>
    <w:rsid w:val="004F6159"/>
    <w:rsid w:val="004F61B0"/>
    <w:rsid w:val="004F61DA"/>
    <w:rsid w:val="004F628E"/>
    <w:rsid w:val="004F632C"/>
    <w:rsid w:val="004F65C6"/>
    <w:rsid w:val="004F6685"/>
    <w:rsid w:val="004F66DF"/>
    <w:rsid w:val="004F6AD0"/>
    <w:rsid w:val="004F6B50"/>
    <w:rsid w:val="004F6C12"/>
    <w:rsid w:val="004F6FA3"/>
    <w:rsid w:val="004F7197"/>
    <w:rsid w:val="004F72D9"/>
    <w:rsid w:val="004F73C7"/>
    <w:rsid w:val="004F7712"/>
    <w:rsid w:val="004F7813"/>
    <w:rsid w:val="004F7897"/>
    <w:rsid w:val="004F7BEA"/>
    <w:rsid w:val="004F7BF4"/>
    <w:rsid w:val="004F7E75"/>
    <w:rsid w:val="0050071E"/>
    <w:rsid w:val="00500CA3"/>
    <w:rsid w:val="00500FE1"/>
    <w:rsid w:val="00501472"/>
    <w:rsid w:val="005014FD"/>
    <w:rsid w:val="00501B2A"/>
    <w:rsid w:val="00501B61"/>
    <w:rsid w:val="00501D0C"/>
    <w:rsid w:val="00501FFC"/>
    <w:rsid w:val="0050217B"/>
    <w:rsid w:val="005021EC"/>
    <w:rsid w:val="0050232B"/>
    <w:rsid w:val="005028FF"/>
    <w:rsid w:val="00502D19"/>
    <w:rsid w:val="00502F65"/>
    <w:rsid w:val="005033C3"/>
    <w:rsid w:val="005035C6"/>
    <w:rsid w:val="00503677"/>
    <w:rsid w:val="00503845"/>
    <w:rsid w:val="00503A52"/>
    <w:rsid w:val="00503C5B"/>
    <w:rsid w:val="00503E46"/>
    <w:rsid w:val="00503F66"/>
    <w:rsid w:val="00504022"/>
    <w:rsid w:val="005042C5"/>
    <w:rsid w:val="005044A8"/>
    <w:rsid w:val="005046EE"/>
    <w:rsid w:val="0050499F"/>
    <w:rsid w:val="005049C4"/>
    <w:rsid w:val="005049F5"/>
    <w:rsid w:val="00504A9C"/>
    <w:rsid w:val="00505027"/>
    <w:rsid w:val="00505086"/>
    <w:rsid w:val="00505124"/>
    <w:rsid w:val="00505641"/>
    <w:rsid w:val="005060DF"/>
    <w:rsid w:val="005061B6"/>
    <w:rsid w:val="005062EA"/>
    <w:rsid w:val="005062FC"/>
    <w:rsid w:val="0050633A"/>
    <w:rsid w:val="0050644D"/>
    <w:rsid w:val="00506498"/>
    <w:rsid w:val="005067ED"/>
    <w:rsid w:val="0050680D"/>
    <w:rsid w:val="00506878"/>
    <w:rsid w:val="005068F5"/>
    <w:rsid w:val="0050694B"/>
    <w:rsid w:val="00506D81"/>
    <w:rsid w:val="00506E18"/>
    <w:rsid w:val="0050717A"/>
    <w:rsid w:val="005072E1"/>
    <w:rsid w:val="005073E6"/>
    <w:rsid w:val="00507419"/>
    <w:rsid w:val="00507970"/>
    <w:rsid w:val="00507ABE"/>
    <w:rsid w:val="00507D2C"/>
    <w:rsid w:val="005104D8"/>
    <w:rsid w:val="0051096D"/>
    <w:rsid w:val="005109CA"/>
    <w:rsid w:val="00510BF9"/>
    <w:rsid w:val="00510EF4"/>
    <w:rsid w:val="005112E5"/>
    <w:rsid w:val="005116F2"/>
    <w:rsid w:val="00511824"/>
    <w:rsid w:val="00511AD9"/>
    <w:rsid w:val="00511D3C"/>
    <w:rsid w:val="00511FC9"/>
    <w:rsid w:val="00512056"/>
    <w:rsid w:val="0051205F"/>
    <w:rsid w:val="005121C1"/>
    <w:rsid w:val="00512694"/>
    <w:rsid w:val="00512E68"/>
    <w:rsid w:val="00513004"/>
    <w:rsid w:val="00513321"/>
    <w:rsid w:val="005139BC"/>
    <w:rsid w:val="00513B87"/>
    <w:rsid w:val="00513C4E"/>
    <w:rsid w:val="00513CC7"/>
    <w:rsid w:val="005142C9"/>
    <w:rsid w:val="0051452F"/>
    <w:rsid w:val="00514694"/>
    <w:rsid w:val="00514BDE"/>
    <w:rsid w:val="005150C7"/>
    <w:rsid w:val="00515330"/>
    <w:rsid w:val="00515406"/>
    <w:rsid w:val="005158DD"/>
    <w:rsid w:val="00515930"/>
    <w:rsid w:val="00515D3B"/>
    <w:rsid w:val="00515DA1"/>
    <w:rsid w:val="00515F27"/>
    <w:rsid w:val="00516041"/>
    <w:rsid w:val="00516064"/>
    <w:rsid w:val="00516182"/>
    <w:rsid w:val="00516292"/>
    <w:rsid w:val="00516396"/>
    <w:rsid w:val="005164DE"/>
    <w:rsid w:val="00516526"/>
    <w:rsid w:val="005176AF"/>
    <w:rsid w:val="0051788E"/>
    <w:rsid w:val="00517A21"/>
    <w:rsid w:val="00517CD1"/>
    <w:rsid w:val="00517D8C"/>
    <w:rsid w:val="00520095"/>
    <w:rsid w:val="005200E2"/>
    <w:rsid w:val="005204DE"/>
    <w:rsid w:val="005208D7"/>
    <w:rsid w:val="00520D5A"/>
    <w:rsid w:val="00521084"/>
    <w:rsid w:val="005212B4"/>
    <w:rsid w:val="0052165C"/>
    <w:rsid w:val="00521790"/>
    <w:rsid w:val="00521AA8"/>
    <w:rsid w:val="00521FAD"/>
    <w:rsid w:val="005222E7"/>
    <w:rsid w:val="0052247F"/>
    <w:rsid w:val="005224ED"/>
    <w:rsid w:val="0052250B"/>
    <w:rsid w:val="00522582"/>
    <w:rsid w:val="0052270C"/>
    <w:rsid w:val="00522A4C"/>
    <w:rsid w:val="0052311C"/>
    <w:rsid w:val="00523152"/>
    <w:rsid w:val="005231D1"/>
    <w:rsid w:val="005232E5"/>
    <w:rsid w:val="005238A4"/>
    <w:rsid w:val="00523C5D"/>
    <w:rsid w:val="00523C68"/>
    <w:rsid w:val="00523C99"/>
    <w:rsid w:val="005243EA"/>
    <w:rsid w:val="00524AEB"/>
    <w:rsid w:val="00524C71"/>
    <w:rsid w:val="00524E33"/>
    <w:rsid w:val="00525032"/>
    <w:rsid w:val="00525934"/>
    <w:rsid w:val="0052599E"/>
    <w:rsid w:val="00525F1A"/>
    <w:rsid w:val="00526258"/>
    <w:rsid w:val="005262A5"/>
    <w:rsid w:val="005264A8"/>
    <w:rsid w:val="005265C4"/>
    <w:rsid w:val="00526F13"/>
    <w:rsid w:val="00526F9A"/>
    <w:rsid w:val="0052706C"/>
    <w:rsid w:val="00527300"/>
    <w:rsid w:val="0052731A"/>
    <w:rsid w:val="00527860"/>
    <w:rsid w:val="005278E7"/>
    <w:rsid w:val="00527959"/>
    <w:rsid w:val="005279EC"/>
    <w:rsid w:val="00527D00"/>
    <w:rsid w:val="00527E51"/>
    <w:rsid w:val="005303A4"/>
    <w:rsid w:val="0053058B"/>
    <w:rsid w:val="00530B2C"/>
    <w:rsid w:val="00530C20"/>
    <w:rsid w:val="00530D38"/>
    <w:rsid w:val="00530FDA"/>
    <w:rsid w:val="00531319"/>
    <w:rsid w:val="00531576"/>
    <w:rsid w:val="00531662"/>
    <w:rsid w:val="00531C78"/>
    <w:rsid w:val="00531EC9"/>
    <w:rsid w:val="00532368"/>
    <w:rsid w:val="005325F7"/>
    <w:rsid w:val="0053276A"/>
    <w:rsid w:val="0053290B"/>
    <w:rsid w:val="00532C99"/>
    <w:rsid w:val="00533316"/>
    <w:rsid w:val="005336CD"/>
    <w:rsid w:val="00533732"/>
    <w:rsid w:val="00533830"/>
    <w:rsid w:val="00533E16"/>
    <w:rsid w:val="00534200"/>
    <w:rsid w:val="0053448E"/>
    <w:rsid w:val="00534492"/>
    <w:rsid w:val="0053459C"/>
    <w:rsid w:val="005345E0"/>
    <w:rsid w:val="00534EF8"/>
    <w:rsid w:val="00534F13"/>
    <w:rsid w:val="00534FEE"/>
    <w:rsid w:val="00535065"/>
    <w:rsid w:val="005350B7"/>
    <w:rsid w:val="00535262"/>
    <w:rsid w:val="005354F8"/>
    <w:rsid w:val="0053589D"/>
    <w:rsid w:val="005358D5"/>
    <w:rsid w:val="00535B3F"/>
    <w:rsid w:val="005360BE"/>
    <w:rsid w:val="0053625B"/>
    <w:rsid w:val="00536993"/>
    <w:rsid w:val="00536A56"/>
    <w:rsid w:val="00536D4A"/>
    <w:rsid w:val="00536D8F"/>
    <w:rsid w:val="005370A7"/>
    <w:rsid w:val="005370FC"/>
    <w:rsid w:val="00537957"/>
    <w:rsid w:val="00537A0D"/>
    <w:rsid w:val="00537B66"/>
    <w:rsid w:val="00537E9D"/>
    <w:rsid w:val="0054004F"/>
    <w:rsid w:val="0054025E"/>
    <w:rsid w:val="005408C0"/>
    <w:rsid w:val="00540C86"/>
    <w:rsid w:val="005411E5"/>
    <w:rsid w:val="0054157F"/>
    <w:rsid w:val="005417EB"/>
    <w:rsid w:val="00541AEE"/>
    <w:rsid w:val="005420BF"/>
    <w:rsid w:val="00542174"/>
    <w:rsid w:val="00542244"/>
    <w:rsid w:val="00542570"/>
    <w:rsid w:val="00542A50"/>
    <w:rsid w:val="00542C3E"/>
    <w:rsid w:val="00542CA4"/>
    <w:rsid w:val="00542E81"/>
    <w:rsid w:val="0054303B"/>
    <w:rsid w:val="005431DA"/>
    <w:rsid w:val="005434C0"/>
    <w:rsid w:val="00543511"/>
    <w:rsid w:val="00543757"/>
    <w:rsid w:val="005440E8"/>
    <w:rsid w:val="00544764"/>
    <w:rsid w:val="005448DA"/>
    <w:rsid w:val="005449BC"/>
    <w:rsid w:val="00544CD0"/>
    <w:rsid w:val="00544F53"/>
    <w:rsid w:val="005454FE"/>
    <w:rsid w:val="0054554A"/>
    <w:rsid w:val="0054574A"/>
    <w:rsid w:val="00545AEE"/>
    <w:rsid w:val="00545BAA"/>
    <w:rsid w:val="00545C12"/>
    <w:rsid w:val="005468A1"/>
    <w:rsid w:val="00546E68"/>
    <w:rsid w:val="00546F58"/>
    <w:rsid w:val="005470F8"/>
    <w:rsid w:val="00547111"/>
    <w:rsid w:val="005475BB"/>
    <w:rsid w:val="005475D5"/>
    <w:rsid w:val="0054778B"/>
    <w:rsid w:val="00547B24"/>
    <w:rsid w:val="00547BFA"/>
    <w:rsid w:val="0055025B"/>
    <w:rsid w:val="0055069F"/>
    <w:rsid w:val="0055072E"/>
    <w:rsid w:val="00550AB6"/>
    <w:rsid w:val="00550D8C"/>
    <w:rsid w:val="00551C6A"/>
    <w:rsid w:val="005524D4"/>
    <w:rsid w:val="005525AD"/>
    <w:rsid w:val="00552BF5"/>
    <w:rsid w:val="00552DEC"/>
    <w:rsid w:val="00552DFB"/>
    <w:rsid w:val="00552F12"/>
    <w:rsid w:val="00552F6F"/>
    <w:rsid w:val="00553006"/>
    <w:rsid w:val="00553061"/>
    <w:rsid w:val="00553167"/>
    <w:rsid w:val="0055323C"/>
    <w:rsid w:val="00553244"/>
    <w:rsid w:val="00553518"/>
    <w:rsid w:val="0055368A"/>
    <w:rsid w:val="00553771"/>
    <w:rsid w:val="005538C9"/>
    <w:rsid w:val="005539A7"/>
    <w:rsid w:val="00553A3C"/>
    <w:rsid w:val="00553B21"/>
    <w:rsid w:val="00553C17"/>
    <w:rsid w:val="005548C0"/>
    <w:rsid w:val="00554A46"/>
    <w:rsid w:val="00554DE6"/>
    <w:rsid w:val="00554EF5"/>
    <w:rsid w:val="005550A6"/>
    <w:rsid w:val="0055525A"/>
    <w:rsid w:val="00555630"/>
    <w:rsid w:val="00555966"/>
    <w:rsid w:val="00555DAC"/>
    <w:rsid w:val="00555DDC"/>
    <w:rsid w:val="00555EDF"/>
    <w:rsid w:val="00555F07"/>
    <w:rsid w:val="0055609C"/>
    <w:rsid w:val="0055613B"/>
    <w:rsid w:val="00556235"/>
    <w:rsid w:val="0055629E"/>
    <w:rsid w:val="00556319"/>
    <w:rsid w:val="005563F2"/>
    <w:rsid w:val="00556472"/>
    <w:rsid w:val="005566C7"/>
    <w:rsid w:val="005567ED"/>
    <w:rsid w:val="0055687C"/>
    <w:rsid w:val="00556C2A"/>
    <w:rsid w:val="00556C59"/>
    <w:rsid w:val="00556D54"/>
    <w:rsid w:val="00557007"/>
    <w:rsid w:val="0055709F"/>
    <w:rsid w:val="005570A6"/>
    <w:rsid w:val="005570F9"/>
    <w:rsid w:val="00557133"/>
    <w:rsid w:val="00557167"/>
    <w:rsid w:val="005572A7"/>
    <w:rsid w:val="005576B5"/>
    <w:rsid w:val="00557B92"/>
    <w:rsid w:val="005601D2"/>
    <w:rsid w:val="005602D3"/>
    <w:rsid w:val="00560575"/>
    <w:rsid w:val="005606A5"/>
    <w:rsid w:val="005609CB"/>
    <w:rsid w:val="00560C1A"/>
    <w:rsid w:val="00560D53"/>
    <w:rsid w:val="00560E52"/>
    <w:rsid w:val="00560F26"/>
    <w:rsid w:val="005613FD"/>
    <w:rsid w:val="0056151E"/>
    <w:rsid w:val="00561D7A"/>
    <w:rsid w:val="00561DBB"/>
    <w:rsid w:val="00561EA8"/>
    <w:rsid w:val="0056202B"/>
    <w:rsid w:val="005620E2"/>
    <w:rsid w:val="0056225F"/>
    <w:rsid w:val="00562435"/>
    <w:rsid w:val="005625A4"/>
    <w:rsid w:val="0056293A"/>
    <w:rsid w:val="00562F9F"/>
    <w:rsid w:val="00562FFA"/>
    <w:rsid w:val="00563043"/>
    <w:rsid w:val="005631A9"/>
    <w:rsid w:val="005632E8"/>
    <w:rsid w:val="00563335"/>
    <w:rsid w:val="0056349E"/>
    <w:rsid w:val="00563502"/>
    <w:rsid w:val="005636B6"/>
    <w:rsid w:val="0056395B"/>
    <w:rsid w:val="005639FC"/>
    <w:rsid w:val="00563D45"/>
    <w:rsid w:val="00563DBE"/>
    <w:rsid w:val="00564024"/>
    <w:rsid w:val="005641B8"/>
    <w:rsid w:val="005643AB"/>
    <w:rsid w:val="00564494"/>
    <w:rsid w:val="00564592"/>
    <w:rsid w:val="0056466E"/>
    <w:rsid w:val="005646B8"/>
    <w:rsid w:val="00565ECB"/>
    <w:rsid w:val="00565EDD"/>
    <w:rsid w:val="00566331"/>
    <w:rsid w:val="00566715"/>
    <w:rsid w:val="00566EAD"/>
    <w:rsid w:val="005670D7"/>
    <w:rsid w:val="0056716C"/>
    <w:rsid w:val="00567517"/>
    <w:rsid w:val="00567821"/>
    <w:rsid w:val="00567A5A"/>
    <w:rsid w:val="00567A92"/>
    <w:rsid w:val="00567AFD"/>
    <w:rsid w:val="00567C20"/>
    <w:rsid w:val="00567CC7"/>
    <w:rsid w:val="00567E1B"/>
    <w:rsid w:val="00567F51"/>
    <w:rsid w:val="0057019F"/>
    <w:rsid w:val="00570445"/>
    <w:rsid w:val="0057055C"/>
    <w:rsid w:val="00570640"/>
    <w:rsid w:val="0057073E"/>
    <w:rsid w:val="00570FE7"/>
    <w:rsid w:val="00571072"/>
    <w:rsid w:val="00571163"/>
    <w:rsid w:val="005711BC"/>
    <w:rsid w:val="00571267"/>
    <w:rsid w:val="0057194A"/>
    <w:rsid w:val="00571B12"/>
    <w:rsid w:val="00571C57"/>
    <w:rsid w:val="00571FDB"/>
    <w:rsid w:val="00572391"/>
    <w:rsid w:val="0057240B"/>
    <w:rsid w:val="0057262B"/>
    <w:rsid w:val="0057277B"/>
    <w:rsid w:val="00572A91"/>
    <w:rsid w:val="00573223"/>
    <w:rsid w:val="005735DE"/>
    <w:rsid w:val="005736D2"/>
    <w:rsid w:val="00573BCC"/>
    <w:rsid w:val="0057443A"/>
    <w:rsid w:val="005744F6"/>
    <w:rsid w:val="005745B8"/>
    <w:rsid w:val="00574605"/>
    <w:rsid w:val="005747B8"/>
    <w:rsid w:val="0057495F"/>
    <w:rsid w:val="00574ADC"/>
    <w:rsid w:val="00574BF8"/>
    <w:rsid w:val="005754D8"/>
    <w:rsid w:val="00575CAE"/>
    <w:rsid w:val="00575EC9"/>
    <w:rsid w:val="00575EFE"/>
    <w:rsid w:val="00576387"/>
    <w:rsid w:val="00576C2E"/>
    <w:rsid w:val="00576C8F"/>
    <w:rsid w:val="00576D42"/>
    <w:rsid w:val="00576D65"/>
    <w:rsid w:val="005771A0"/>
    <w:rsid w:val="00577403"/>
    <w:rsid w:val="00577570"/>
    <w:rsid w:val="00577E67"/>
    <w:rsid w:val="00577FC7"/>
    <w:rsid w:val="00580428"/>
    <w:rsid w:val="0058046C"/>
    <w:rsid w:val="005804C2"/>
    <w:rsid w:val="005804D8"/>
    <w:rsid w:val="00580726"/>
    <w:rsid w:val="00581159"/>
    <w:rsid w:val="005811EC"/>
    <w:rsid w:val="005811F0"/>
    <w:rsid w:val="005813A4"/>
    <w:rsid w:val="005814B7"/>
    <w:rsid w:val="00581514"/>
    <w:rsid w:val="005819DD"/>
    <w:rsid w:val="00581A83"/>
    <w:rsid w:val="00581B24"/>
    <w:rsid w:val="00581D41"/>
    <w:rsid w:val="00581D64"/>
    <w:rsid w:val="00581FCA"/>
    <w:rsid w:val="00582613"/>
    <w:rsid w:val="00582688"/>
    <w:rsid w:val="0058272D"/>
    <w:rsid w:val="0058290E"/>
    <w:rsid w:val="0058294C"/>
    <w:rsid w:val="00582D7E"/>
    <w:rsid w:val="00582DE4"/>
    <w:rsid w:val="00582F5B"/>
    <w:rsid w:val="00582FD0"/>
    <w:rsid w:val="005833DB"/>
    <w:rsid w:val="00583462"/>
    <w:rsid w:val="005834AA"/>
    <w:rsid w:val="0058357A"/>
    <w:rsid w:val="005836B8"/>
    <w:rsid w:val="00583965"/>
    <w:rsid w:val="00583DE0"/>
    <w:rsid w:val="00583F55"/>
    <w:rsid w:val="00583F9B"/>
    <w:rsid w:val="00584057"/>
    <w:rsid w:val="00584196"/>
    <w:rsid w:val="0058446D"/>
    <w:rsid w:val="00584479"/>
    <w:rsid w:val="005844DF"/>
    <w:rsid w:val="00584593"/>
    <w:rsid w:val="00584679"/>
    <w:rsid w:val="00584736"/>
    <w:rsid w:val="0058480B"/>
    <w:rsid w:val="00584FB4"/>
    <w:rsid w:val="0058637B"/>
    <w:rsid w:val="0058640F"/>
    <w:rsid w:val="00586BF1"/>
    <w:rsid w:val="00586E4A"/>
    <w:rsid w:val="0058726E"/>
    <w:rsid w:val="00587329"/>
    <w:rsid w:val="00587514"/>
    <w:rsid w:val="00587624"/>
    <w:rsid w:val="0058782A"/>
    <w:rsid w:val="00587888"/>
    <w:rsid w:val="00587B52"/>
    <w:rsid w:val="00587F7B"/>
    <w:rsid w:val="005901D1"/>
    <w:rsid w:val="00590299"/>
    <w:rsid w:val="005903A1"/>
    <w:rsid w:val="00590688"/>
    <w:rsid w:val="00590933"/>
    <w:rsid w:val="00590AD0"/>
    <w:rsid w:val="00590FE7"/>
    <w:rsid w:val="00591206"/>
    <w:rsid w:val="005912ED"/>
    <w:rsid w:val="005913CD"/>
    <w:rsid w:val="0059199C"/>
    <w:rsid w:val="00591A6D"/>
    <w:rsid w:val="00591AD0"/>
    <w:rsid w:val="00591C4E"/>
    <w:rsid w:val="00591DEF"/>
    <w:rsid w:val="0059202C"/>
    <w:rsid w:val="0059219E"/>
    <w:rsid w:val="0059238C"/>
    <w:rsid w:val="005929F3"/>
    <w:rsid w:val="00592D90"/>
    <w:rsid w:val="00592FEF"/>
    <w:rsid w:val="0059316B"/>
    <w:rsid w:val="005932AF"/>
    <w:rsid w:val="005932CB"/>
    <w:rsid w:val="00593423"/>
    <w:rsid w:val="0059346C"/>
    <w:rsid w:val="00593716"/>
    <w:rsid w:val="0059381D"/>
    <w:rsid w:val="00593C2D"/>
    <w:rsid w:val="00593F16"/>
    <w:rsid w:val="00594A22"/>
    <w:rsid w:val="00594BC6"/>
    <w:rsid w:val="00594F35"/>
    <w:rsid w:val="00595003"/>
    <w:rsid w:val="0059530C"/>
    <w:rsid w:val="005953B5"/>
    <w:rsid w:val="0059576F"/>
    <w:rsid w:val="005957D5"/>
    <w:rsid w:val="005957F4"/>
    <w:rsid w:val="00595A58"/>
    <w:rsid w:val="00595CD5"/>
    <w:rsid w:val="00595E0A"/>
    <w:rsid w:val="00596058"/>
    <w:rsid w:val="0059665E"/>
    <w:rsid w:val="00596ADE"/>
    <w:rsid w:val="005972B0"/>
    <w:rsid w:val="0059751A"/>
    <w:rsid w:val="00597DFA"/>
    <w:rsid w:val="00597F8F"/>
    <w:rsid w:val="005A0180"/>
    <w:rsid w:val="005A0630"/>
    <w:rsid w:val="005A064F"/>
    <w:rsid w:val="005A0E61"/>
    <w:rsid w:val="005A1230"/>
    <w:rsid w:val="005A125C"/>
    <w:rsid w:val="005A158B"/>
    <w:rsid w:val="005A1874"/>
    <w:rsid w:val="005A19A3"/>
    <w:rsid w:val="005A1B45"/>
    <w:rsid w:val="005A20E0"/>
    <w:rsid w:val="005A23F5"/>
    <w:rsid w:val="005A2494"/>
    <w:rsid w:val="005A2610"/>
    <w:rsid w:val="005A2B76"/>
    <w:rsid w:val="005A2E15"/>
    <w:rsid w:val="005A30B5"/>
    <w:rsid w:val="005A3361"/>
    <w:rsid w:val="005A35FF"/>
    <w:rsid w:val="005A37D0"/>
    <w:rsid w:val="005A3D7A"/>
    <w:rsid w:val="005A3E59"/>
    <w:rsid w:val="005A4149"/>
    <w:rsid w:val="005A41F5"/>
    <w:rsid w:val="005A4423"/>
    <w:rsid w:val="005A47CC"/>
    <w:rsid w:val="005A49EB"/>
    <w:rsid w:val="005A4CA3"/>
    <w:rsid w:val="005A4E83"/>
    <w:rsid w:val="005A52D8"/>
    <w:rsid w:val="005A543B"/>
    <w:rsid w:val="005A5594"/>
    <w:rsid w:val="005A5831"/>
    <w:rsid w:val="005A59D3"/>
    <w:rsid w:val="005A5EC8"/>
    <w:rsid w:val="005A5FE5"/>
    <w:rsid w:val="005A6353"/>
    <w:rsid w:val="005A6E04"/>
    <w:rsid w:val="005A6F72"/>
    <w:rsid w:val="005A72AE"/>
    <w:rsid w:val="005A77EA"/>
    <w:rsid w:val="005A7956"/>
    <w:rsid w:val="005A7C25"/>
    <w:rsid w:val="005A7F8F"/>
    <w:rsid w:val="005B0162"/>
    <w:rsid w:val="005B03AB"/>
    <w:rsid w:val="005B07E0"/>
    <w:rsid w:val="005B08E2"/>
    <w:rsid w:val="005B0CA0"/>
    <w:rsid w:val="005B154C"/>
    <w:rsid w:val="005B191B"/>
    <w:rsid w:val="005B1F08"/>
    <w:rsid w:val="005B20D8"/>
    <w:rsid w:val="005B242C"/>
    <w:rsid w:val="005B265B"/>
    <w:rsid w:val="005B298D"/>
    <w:rsid w:val="005B2A33"/>
    <w:rsid w:val="005B3045"/>
    <w:rsid w:val="005B3271"/>
    <w:rsid w:val="005B3496"/>
    <w:rsid w:val="005B3516"/>
    <w:rsid w:val="005B35CA"/>
    <w:rsid w:val="005B3646"/>
    <w:rsid w:val="005B3957"/>
    <w:rsid w:val="005B3FD3"/>
    <w:rsid w:val="005B42C9"/>
    <w:rsid w:val="005B43AD"/>
    <w:rsid w:val="005B4507"/>
    <w:rsid w:val="005B475B"/>
    <w:rsid w:val="005B4B03"/>
    <w:rsid w:val="005B5346"/>
    <w:rsid w:val="005B5465"/>
    <w:rsid w:val="005B591C"/>
    <w:rsid w:val="005B5E4F"/>
    <w:rsid w:val="005B6169"/>
    <w:rsid w:val="005B6270"/>
    <w:rsid w:val="005B673A"/>
    <w:rsid w:val="005B67DB"/>
    <w:rsid w:val="005B6886"/>
    <w:rsid w:val="005B7121"/>
    <w:rsid w:val="005B736E"/>
    <w:rsid w:val="005B7AA4"/>
    <w:rsid w:val="005B7C71"/>
    <w:rsid w:val="005C0246"/>
    <w:rsid w:val="005C03B3"/>
    <w:rsid w:val="005C0874"/>
    <w:rsid w:val="005C0949"/>
    <w:rsid w:val="005C099D"/>
    <w:rsid w:val="005C0A90"/>
    <w:rsid w:val="005C0C30"/>
    <w:rsid w:val="005C0D82"/>
    <w:rsid w:val="005C100C"/>
    <w:rsid w:val="005C11D4"/>
    <w:rsid w:val="005C19AE"/>
    <w:rsid w:val="005C1A92"/>
    <w:rsid w:val="005C20A8"/>
    <w:rsid w:val="005C24DF"/>
    <w:rsid w:val="005C25AA"/>
    <w:rsid w:val="005C2EDE"/>
    <w:rsid w:val="005C2FB0"/>
    <w:rsid w:val="005C358A"/>
    <w:rsid w:val="005C36FB"/>
    <w:rsid w:val="005C3E17"/>
    <w:rsid w:val="005C4074"/>
    <w:rsid w:val="005C40F3"/>
    <w:rsid w:val="005C4181"/>
    <w:rsid w:val="005C42D4"/>
    <w:rsid w:val="005C42DB"/>
    <w:rsid w:val="005C4455"/>
    <w:rsid w:val="005C44A6"/>
    <w:rsid w:val="005C4640"/>
    <w:rsid w:val="005C4657"/>
    <w:rsid w:val="005C4ED5"/>
    <w:rsid w:val="005C512F"/>
    <w:rsid w:val="005C5167"/>
    <w:rsid w:val="005C5316"/>
    <w:rsid w:val="005C5428"/>
    <w:rsid w:val="005C5685"/>
    <w:rsid w:val="005C5790"/>
    <w:rsid w:val="005C5EEA"/>
    <w:rsid w:val="005C5F31"/>
    <w:rsid w:val="005C6157"/>
    <w:rsid w:val="005C7342"/>
    <w:rsid w:val="005C7403"/>
    <w:rsid w:val="005C7721"/>
    <w:rsid w:val="005C7913"/>
    <w:rsid w:val="005C7FEF"/>
    <w:rsid w:val="005D00A2"/>
    <w:rsid w:val="005D0247"/>
    <w:rsid w:val="005D029E"/>
    <w:rsid w:val="005D0795"/>
    <w:rsid w:val="005D08C8"/>
    <w:rsid w:val="005D08D2"/>
    <w:rsid w:val="005D0A84"/>
    <w:rsid w:val="005D0B1E"/>
    <w:rsid w:val="005D0BE2"/>
    <w:rsid w:val="005D174B"/>
    <w:rsid w:val="005D191A"/>
    <w:rsid w:val="005D1DC2"/>
    <w:rsid w:val="005D1DF1"/>
    <w:rsid w:val="005D1E74"/>
    <w:rsid w:val="005D2304"/>
    <w:rsid w:val="005D231B"/>
    <w:rsid w:val="005D234F"/>
    <w:rsid w:val="005D2375"/>
    <w:rsid w:val="005D29DE"/>
    <w:rsid w:val="005D2B8A"/>
    <w:rsid w:val="005D32AA"/>
    <w:rsid w:val="005D3738"/>
    <w:rsid w:val="005D3F74"/>
    <w:rsid w:val="005D4209"/>
    <w:rsid w:val="005D42C9"/>
    <w:rsid w:val="005D4618"/>
    <w:rsid w:val="005D4640"/>
    <w:rsid w:val="005D475E"/>
    <w:rsid w:val="005D48B6"/>
    <w:rsid w:val="005D4B66"/>
    <w:rsid w:val="005D4C0A"/>
    <w:rsid w:val="005D511D"/>
    <w:rsid w:val="005D521E"/>
    <w:rsid w:val="005D52A9"/>
    <w:rsid w:val="005D5743"/>
    <w:rsid w:val="005D5812"/>
    <w:rsid w:val="005D5830"/>
    <w:rsid w:val="005D5AB7"/>
    <w:rsid w:val="005D5B22"/>
    <w:rsid w:val="005D5C54"/>
    <w:rsid w:val="005D5DED"/>
    <w:rsid w:val="005D5E77"/>
    <w:rsid w:val="005D5E96"/>
    <w:rsid w:val="005D5E9E"/>
    <w:rsid w:val="005D65DC"/>
    <w:rsid w:val="005D6696"/>
    <w:rsid w:val="005D7636"/>
    <w:rsid w:val="005D772D"/>
    <w:rsid w:val="005D7835"/>
    <w:rsid w:val="005D7C36"/>
    <w:rsid w:val="005D7CC9"/>
    <w:rsid w:val="005D7E75"/>
    <w:rsid w:val="005D7E9B"/>
    <w:rsid w:val="005E00E6"/>
    <w:rsid w:val="005E03C8"/>
    <w:rsid w:val="005E03ED"/>
    <w:rsid w:val="005E0591"/>
    <w:rsid w:val="005E0595"/>
    <w:rsid w:val="005E070F"/>
    <w:rsid w:val="005E07E6"/>
    <w:rsid w:val="005E094B"/>
    <w:rsid w:val="005E0A21"/>
    <w:rsid w:val="005E0F57"/>
    <w:rsid w:val="005E1330"/>
    <w:rsid w:val="005E13BE"/>
    <w:rsid w:val="005E1832"/>
    <w:rsid w:val="005E198E"/>
    <w:rsid w:val="005E1DA2"/>
    <w:rsid w:val="005E1F83"/>
    <w:rsid w:val="005E20FE"/>
    <w:rsid w:val="005E26C5"/>
    <w:rsid w:val="005E2B1A"/>
    <w:rsid w:val="005E2C0A"/>
    <w:rsid w:val="005E2C47"/>
    <w:rsid w:val="005E38DA"/>
    <w:rsid w:val="005E3C35"/>
    <w:rsid w:val="005E3CC8"/>
    <w:rsid w:val="005E3CEE"/>
    <w:rsid w:val="005E3F0C"/>
    <w:rsid w:val="005E4190"/>
    <w:rsid w:val="005E441E"/>
    <w:rsid w:val="005E48E4"/>
    <w:rsid w:val="005E5A24"/>
    <w:rsid w:val="005E5A62"/>
    <w:rsid w:val="005E5FCF"/>
    <w:rsid w:val="005E607A"/>
    <w:rsid w:val="005E60E7"/>
    <w:rsid w:val="005E64D1"/>
    <w:rsid w:val="005E74B6"/>
    <w:rsid w:val="005E75DD"/>
    <w:rsid w:val="005E788B"/>
    <w:rsid w:val="005E78A5"/>
    <w:rsid w:val="005E7A41"/>
    <w:rsid w:val="005E7ACA"/>
    <w:rsid w:val="005F0357"/>
    <w:rsid w:val="005F0642"/>
    <w:rsid w:val="005F08C3"/>
    <w:rsid w:val="005F0917"/>
    <w:rsid w:val="005F0A12"/>
    <w:rsid w:val="005F14D4"/>
    <w:rsid w:val="005F1676"/>
    <w:rsid w:val="005F184B"/>
    <w:rsid w:val="005F21E7"/>
    <w:rsid w:val="005F2368"/>
    <w:rsid w:val="005F24BF"/>
    <w:rsid w:val="005F26F8"/>
    <w:rsid w:val="005F2813"/>
    <w:rsid w:val="005F2A85"/>
    <w:rsid w:val="005F2B37"/>
    <w:rsid w:val="005F2C64"/>
    <w:rsid w:val="005F2ED1"/>
    <w:rsid w:val="005F3012"/>
    <w:rsid w:val="005F3345"/>
    <w:rsid w:val="005F346B"/>
    <w:rsid w:val="005F3599"/>
    <w:rsid w:val="005F35E7"/>
    <w:rsid w:val="005F39B3"/>
    <w:rsid w:val="005F4029"/>
    <w:rsid w:val="005F4198"/>
    <w:rsid w:val="005F41DA"/>
    <w:rsid w:val="005F48FA"/>
    <w:rsid w:val="005F4A40"/>
    <w:rsid w:val="005F4AE6"/>
    <w:rsid w:val="005F4CC5"/>
    <w:rsid w:val="005F53FF"/>
    <w:rsid w:val="005F543E"/>
    <w:rsid w:val="005F5963"/>
    <w:rsid w:val="005F5C48"/>
    <w:rsid w:val="005F6010"/>
    <w:rsid w:val="005F603D"/>
    <w:rsid w:val="005F624D"/>
    <w:rsid w:val="005F65DD"/>
    <w:rsid w:val="005F6680"/>
    <w:rsid w:val="005F66C3"/>
    <w:rsid w:val="005F6753"/>
    <w:rsid w:val="005F6999"/>
    <w:rsid w:val="005F6AE2"/>
    <w:rsid w:val="005F6C75"/>
    <w:rsid w:val="005F6D73"/>
    <w:rsid w:val="005F715D"/>
    <w:rsid w:val="005F71F6"/>
    <w:rsid w:val="005F77C1"/>
    <w:rsid w:val="005F7925"/>
    <w:rsid w:val="005F7A6D"/>
    <w:rsid w:val="005F7B5A"/>
    <w:rsid w:val="0060006A"/>
    <w:rsid w:val="006000EE"/>
    <w:rsid w:val="00600252"/>
    <w:rsid w:val="0060025E"/>
    <w:rsid w:val="006002D6"/>
    <w:rsid w:val="00600707"/>
    <w:rsid w:val="00600887"/>
    <w:rsid w:val="006008E0"/>
    <w:rsid w:val="00600CB4"/>
    <w:rsid w:val="00600F8C"/>
    <w:rsid w:val="006013CB"/>
    <w:rsid w:val="0060198D"/>
    <w:rsid w:val="00601B38"/>
    <w:rsid w:val="00601E9C"/>
    <w:rsid w:val="0060206A"/>
    <w:rsid w:val="006022EE"/>
    <w:rsid w:val="00602712"/>
    <w:rsid w:val="0060297F"/>
    <w:rsid w:val="006030A3"/>
    <w:rsid w:val="0060319C"/>
    <w:rsid w:val="00603544"/>
    <w:rsid w:val="006036C4"/>
    <w:rsid w:val="006038D5"/>
    <w:rsid w:val="00603E4F"/>
    <w:rsid w:val="00603EF9"/>
    <w:rsid w:val="00604026"/>
    <w:rsid w:val="006040D2"/>
    <w:rsid w:val="006041B0"/>
    <w:rsid w:val="00604428"/>
    <w:rsid w:val="006048CF"/>
    <w:rsid w:val="00604AA8"/>
    <w:rsid w:val="006050D7"/>
    <w:rsid w:val="006052F9"/>
    <w:rsid w:val="00605330"/>
    <w:rsid w:val="0060565F"/>
    <w:rsid w:val="00605898"/>
    <w:rsid w:val="00605A2E"/>
    <w:rsid w:val="00605C22"/>
    <w:rsid w:val="00605ECD"/>
    <w:rsid w:val="00606438"/>
    <w:rsid w:val="00606927"/>
    <w:rsid w:val="00606ADE"/>
    <w:rsid w:val="00606B23"/>
    <w:rsid w:val="00607623"/>
    <w:rsid w:val="00607808"/>
    <w:rsid w:val="00607821"/>
    <w:rsid w:val="00607947"/>
    <w:rsid w:val="00607D01"/>
    <w:rsid w:val="00607E39"/>
    <w:rsid w:val="00610286"/>
    <w:rsid w:val="0061056A"/>
    <w:rsid w:val="0061066E"/>
    <w:rsid w:val="00610D9C"/>
    <w:rsid w:val="00610F82"/>
    <w:rsid w:val="00611128"/>
    <w:rsid w:val="00611235"/>
    <w:rsid w:val="0061169D"/>
    <w:rsid w:val="00611A48"/>
    <w:rsid w:val="00612283"/>
    <w:rsid w:val="0061234A"/>
    <w:rsid w:val="0061237F"/>
    <w:rsid w:val="006123B4"/>
    <w:rsid w:val="00612508"/>
    <w:rsid w:val="00612760"/>
    <w:rsid w:val="0061282A"/>
    <w:rsid w:val="006128D4"/>
    <w:rsid w:val="00612AE9"/>
    <w:rsid w:val="0061303D"/>
    <w:rsid w:val="00613152"/>
    <w:rsid w:val="006134AF"/>
    <w:rsid w:val="00613CDB"/>
    <w:rsid w:val="00613EE0"/>
    <w:rsid w:val="00613FC3"/>
    <w:rsid w:val="006145F1"/>
    <w:rsid w:val="006145FB"/>
    <w:rsid w:val="0061485E"/>
    <w:rsid w:val="00614940"/>
    <w:rsid w:val="00614B96"/>
    <w:rsid w:val="006151CB"/>
    <w:rsid w:val="006151D6"/>
    <w:rsid w:val="006156BA"/>
    <w:rsid w:val="00615C8C"/>
    <w:rsid w:val="00615CB5"/>
    <w:rsid w:val="00615CBB"/>
    <w:rsid w:val="00615EB6"/>
    <w:rsid w:val="00615F94"/>
    <w:rsid w:val="0061639C"/>
    <w:rsid w:val="00616545"/>
    <w:rsid w:val="0061669F"/>
    <w:rsid w:val="0061681B"/>
    <w:rsid w:val="00616A37"/>
    <w:rsid w:val="00616E9B"/>
    <w:rsid w:val="00616F1D"/>
    <w:rsid w:val="00617212"/>
    <w:rsid w:val="00617399"/>
    <w:rsid w:val="00617403"/>
    <w:rsid w:val="00617546"/>
    <w:rsid w:val="00617EA4"/>
    <w:rsid w:val="00620316"/>
    <w:rsid w:val="00620518"/>
    <w:rsid w:val="0062096B"/>
    <w:rsid w:val="00620AE7"/>
    <w:rsid w:val="00620AF2"/>
    <w:rsid w:val="00620E19"/>
    <w:rsid w:val="00620E6E"/>
    <w:rsid w:val="00620FF3"/>
    <w:rsid w:val="00621047"/>
    <w:rsid w:val="00621094"/>
    <w:rsid w:val="00621262"/>
    <w:rsid w:val="006213F6"/>
    <w:rsid w:val="00621472"/>
    <w:rsid w:val="006214A4"/>
    <w:rsid w:val="00621761"/>
    <w:rsid w:val="006217EA"/>
    <w:rsid w:val="00621855"/>
    <w:rsid w:val="00621EAC"/>
    <w:rsid w:val="006221DA"/>
    <w:rsid w:val="00622581"/>
    <w:rsid w:val="006225D8"/>
    <w:rsid w:val="0062264D"/>
    <w:rsid w:val="00622770"/>
    <w:rsid w:val="00622886"/>
    <w:rsid w:val="00622CDA"/>
    <w:rsid w:val="00622CE3"/>
    <w:rsid w:val="006232E2"/>
    <w:rsid w:val="00623395"/>
    <w:rsid w:val="006233F7"/>
    <w:rsid w:val="00623A46"/>
    <w:rsid w:val="00623C5A"/>
    <w:rsid w:val="00623C64"/>
    <w:rsid w:val="00623E28"/>
    <w:rsid w:val="00623F87"/>
    <w:rsid w:val="0062408A"/>
    <w:rsid w:val="006240C6"/>
    <w:rsid w:val="00624302"/>
    <w:rsid w:val="0062448A"/>
    <w:rsid w:val="0062461F"/>
    <w:rsid w:val="0062465B"/>
    <w:rsid w:val="00624871"/>
    <w:rsid w:val="00624F89"/>
    <w:rsid w:val="006255B4"/>
    <w:rsid w:val="00625B4D"/>
    <w:rsid w:val="00625D6C"/>
    <w:rsid w:val="00625D91"/>
    <w:rsid w:val="00625FF5"/>
    <w:rsid w:val="0062633B"/>
    <w:rsid w:val="00626478"/>
    <w:rsid w:val="006265EF"/>
    <w:rsid w:val="006267C6"/>
    <w:rsid w:val="006267D5"/>
    <w:rsid w:val="00626D1B"/>
    <w:rsid w:val="006276EB"/>
    <w:rsid w:val="00627723"/>
    <w:rsid w:val="006279BA"/>
    <w:rsid w:val="00627A7C"/>
    <w:rsid w:val="00627B1D"/>
    <w:rsid w:val="00627EBF"/>
    <w:rsid w:val="00630828"/>
    <w:rsid w:val="00630910"/>
    <w:rsid w:val="00630A98"/>
    <w:rsid w:val="00630E3D"/>
    <w:rsid w:val="006311E3"/>
    <w:rsid w:val="006313BF"/>
    <w:rsid w:val="00631635"/>
    <w:rsid w:val="006317FF"/>
    <w:rsid w:val="006318C6"/>
    <w:rsid w:val="00632205"/>
    <w:rsid w:val="0063233D"/>
    <w:rsid w:val="0063243E"/>
    <w:rsid w:val="006326E7"/>
    <w:rsid w:val="006328D5"/>
    <w:rsid w:val="006329D7"/>
    <w:rsid w:val="00633145"/>
    <w:rsid w:val="00633AF5"/>
    <w:rsid w:val="00633B81"/>
    <w:rsid w:val="00633CA5"/>
    <w:rsid w:val="006343AB"/>
    <w:rsid w:val="0063443B"/>
    <w:rsid w:val="00634807"/>
    <w:rsid w:val="00634815"/>
    <w:rsid w:val="00634E5A"/>
    <w:rsid w:val="00635EEE"/>
    <w:rsid w:val="006360C4"/>
    <w:rsid w:val="006365E4"/>
    <w:rsid w:val="00636957"/>
    <w:rsid w:val="006369DE"/>
    <w:rsid w:val="00636ACB"/>
    <w:rsid w:val="00636CBE"/>
    <w:rsid w:val="00636CE6"/>
    <w:rsid w:val="00636FF4"/>
    <w:rsid w:val="0063746F"/>
    <w:rsid w:val="00637704"/>
    <w:rsid w:val="0063777D"/>
    <w:rsid w:val="00637886"/>
    <w:rsid w:val="006378AE"/>
    <w:rsid w:val="00637A18"/>
    <w:rsid w:val="00637BDB"/>
    <w:rsid w:val="00637FA7"/>
    <w:rsid w:val="006400F7"/>
    <w:rsid w:val="006406F9"/>
    <w:rsid w:val="006408EE"/>
    <w:rsid w:val="00640C27"/>
    <w:rsid w:val="00640EF1"/>
    <w:rsid w:val="006412F2"/>
    <w:rsid w:val="0064162F"/>
    <w:rsid w:val="006416EA"/>
    <w:rsid w:val="00641A7B"/>
    <w:rsid w:val="00641BEC"/>
    <w:rsid w:val="00641CB9"/>
    <w:rsid w:val="00641CFA"/>
    <w:rsid w:val="00641D34"/>
    <w:rsid w:val="00641DF5"/>
    <w:rsid w:val="00641E7B"/>
    <w:rsid w:val="00641F14"/>
    <w:rsid w:val="006424E8"/>
    <w:rsid w:val="0064262C"/>
    <w:rsid w:val="00642641"/>
    <w:rsid w:val="006429E1"/>
    <w:rsid w:val="00642AFB"/>
    <w:rsid w:val="006431D1"/>
    <w:rsid w:val="00643301"/>
    <w:rsid w:val="00643391"/>
    <w:rsid w:val="006433E7"/>
    <w:rsid w:val="006437FC"/>
    <w:rsid w:val="00643DB4"/>
    <w:rsid w:val="00643E11"/>
    <w:rsid w:val="00643F0E"/>
    <w:rsid w:val="00644099"/>
    <w:rsid w:val="006440A2"/>
    <w:rsid w:val="0064449D"/>
    <w:rsid w:val="0064476C"/>
    <w:rsid w:val="006447AA"/>
    <w:rsid w:val="0064486F"/>
    <w:rsid w:val="00644A81"/>
    <w:rsid w:val="00644B62"/>
    <w:rsid w:val="00644D2E"/>
    <w:rsid w:val="00644F2D"/>
    <w:rsid w:val="00645479"/>
    <w:rsid w:val="006458F9"/>
    <w:rsid w:val="00645D51"/>
    <w:rsid w:val="00645E86"/>
    <w:rsid w:val="00645F44"/>
    <w:rsid w:val="0064602B"/>
    <w:rsid w:val="00646110"/>
    <w:rsid w:val="006463B9"/>
    <w:rsid w:val="00646604"/>
    <w:rsid w:val="00646966"/>
    <w:rsid w:val="00646B14"/>
    <w:rsid w:val="00646E76"/>
    <w:rsid w:val="00646ED9"/>
    <w:rsid w:val="00646F34"/>
    <w:rsid w:val="0064724E"/>
    <w:rsid w:val="006473EB"/>
    <w:rsid w:val="00647A0E"/>
    <w:rsid w:val="00647B95"/>
    <w:rsid w:val="00647D38"/>
    <w:rsid w:val="00647E3C"/>
    <w:rsid w:val="00647EB8"/>
    <w:rsid w:val="00647F16"/>
    <w:rsid w:val="006501BB"/>
    <w:rsid w:val="006506EA"/>
    <w:rsid w:val="00650B91"/>
    <w:rsid w:val="00650BDA"/>
    <w:rsid w:val="006512AA"/>
    <w:rsid w:val="00651618"/>
    <w:rsid w:val="006516C3"/>
    <w:rsid w:val="0065175E"/>
    <w:rsid w:val="006518EE"/>
    <w:rsid w:val="00651CEE"/>
    <w:rsid w:val="00651D01"/>
    <w:rsid w:val="006520BA"/>
    <w:rsid w:val="00652566"/>
    <w:rsid w:val="00652B5C"/>
    <w:rsid w:val="00652BB3"/>
    <w:rsid w:val="00652E9C"/>
    <w:rsid w:val="00653A98"/>
    <w:rsid w:val="00653B43"/>
    <w:rsid w:val="00653C26"/>
    <w:rsid w:val="00653C5E"/>
    <w:rsid w:val="00653E00"/>
    <w:rsid w:val="00653EF2"/>
    <w:rsid w:val="00653EFA"/>
    <w:rsid w:val="00653FA8"/>
    <w:rsid w:val="0065424F"/>
    <w:rsid w:val="00654290"/>
    <w:rsid w:val="00654567"/>
    <w:rsid w:val="00654AAE"/>
    <w:rsid w:val="00654B30"/>
    <w:rsid w:val="00654C78"/>
    <w:rsid w:val="0065532A"/>
    <w:rsid w:val="006553AD"/>
    <w:rsid w:val="006553E2"/>
    <w:rsid w:val="006556C8"/>
    <w:rsid w:val="006557C2"/>
    <w:rsid w:val="006559F3"/>
    <w:rsid w:val="00655C2E"/>
    <w:rsid w:val="00655CC9"/>
    <w:rsid w:val="00655D0C"/>
    <w:rsid w:val="006563F3"/>
    <w:rsid w:val="00656559"/>
    <w:rsid w:val="00656561"/>
    <w:rsid w:val="0065689B"/>
    <w:rsid w:val="006569F5"/>
    <w:rsid w:val="00656C5F"/>
    <w:rsid w:val="00657102"/>
    <w:rsid w:val="006578BD"/>
    <w:rsid w:val="00657921"/>
    <w:rsid w:val="00657B36"/>
    <w:rsid w:val="00657BF1"/>
    <w:rsid w:val="00657DB6"/>
    <w:rsid w:val="006601DC"/>
    <w:rsid w:val="00660454"/>
    <w:rsid w:val="006604AA"/>
    <w:rsid w:val="00660727"/>
    <w:rsid w:val="006608CF"/>
    <w:rsid w:val="00660AF9"/>
    <w:rsid w:val="00661261"/>
    <w:rsid w:val="0066146C"/>
    <w:rsid w:val="00661538"/>
    <w:rsid w:val="00661579"/>
    <w:rsid w:val="0066168F"/>
    <w:rsid w:val="006619FD"/>
    <w:rsid w:val="00661D1C"/>
    <w:rsid w:val="00661DE7"/>
    <w:rsid w:val="00661E80"/>
    <w:rsid w:val="00662048"/>
    <w:rsid w:val="0066214B"/>
    <w:rsid w:val="0066227F"/>
    <w:rsid w:val="0066268A"/>
    <w:rsid w:val="006626E4"/>
    <w:rsid w:val="00662A3B"/>
    <w:rsid w:val="00662A53"/>
    <w:rsid w:val="00662BB8"/>
    <w:rsid w:val="00662EF4"/>
    <w:rsid w:val="00662F02"/>
    <w:rsid w:val="00662F0C"/>
    <w:rsid w:val="00663116"/>
    <w:rsid w:val="0066335F"/>
    <w:rsid w:val="00663477"/>
    <w:rsid w:val="00663491"/>
    <w:rsid w:val="0066366F"/>
    <w:rsid w:val="006637AE"/>
    <w:rsid w:val="00663A8B"/>
    <w:rsid w:val="00664310"/>
    <w:rsid w:val="0066456E"/>
    <w:rsid w:val="0066478A"/>
    <w:rsid w:val="006648A9"/>
    <w:rsid w:val="00664943"/>
    <w:rsid w:val="00664948"/>
    <w:rsid w:val="00664A0C"/>
    <w:rsid w:val="00664FD1"/>
    <w:rsid w:val="006650A6"/>
    <w:rsid w:val="00665179"/>
    <w:rsid w:val="0066524F"/>
    <w:rsid w:val="006657A0"/>
    <w:rsid w:val="006658C4"/>
    <w:rsid w:val="00665AD0"/>
    <w:rsid w:val="00665C2A"/>
    <w:rsid w:val="00666286"/>
    <w:rsid w:val="006665D1"/>
    <w:rsid w:val="00666777"/>
    <w:rsid w:val="00666C40"/>
    <w:rsid w:val="00666F9E"/>
    <w:rsid w:val="00667172"/>
    <w:rsid w:val="00667482"/>
    <w:rsid w:val="006677FE"/>
    <w:rsid w:val="00667AA3"/>
    <w:rsid w:val="00667BF4"/>
    <w:rsid w:val="00667FBE"/>
    <w:rsid w:val="0067002D"/>
    <w:rsid w:val="006701F9"/>
    <w:rsid w:val="00670288"/>
    <w:rsid w:val="006705BD"/>
    <w:rsid w:val="00670739"/>
    <w:rsid w:val="006710C3"/>
    <w:rsid w:val="00671824"/>
    <w:rsid w:val="00671A4F"/>
    <w:rsid w:val="00672186"/>
    <w:rsid w:val="006722B0"/>
    <w:rsid w:val="00672447"/>
    <w:rsid w:val="006725C0"/>
    <w:rsid w:val="006728A4"/>
    <w:rsid w:val="00672A82"/>
    <w:rsid w:val="00672D16"/>
    <w:rsid w:val="00672E21"/>
    <w:rsid w:val="00673001"/>
    <w:rsid w:val="006732C6"/>
    <w:rsid w:val="006734CD"/>
    <w:rsid w:val="00673731"/>
    <w:rsid w:val="00673CA8"/>
    <w:rsid w:val="0067412B"/>
    <w:rsid w:val="006743F5"/>
    <w:rsid w:val="006744CC"/>
    <w:rsid w:val="00674C10"/>
    <w:rsid w:val="00674EDB"/>
    <w:rsid w:val="006752AD"/>
    <w:rsid w:val="006755E5"/>
    <w:rsid w:val="0067565F"/>
    <w:rsid w:val="00675F11"/>
    <w:rsid w:val="00675F14"/>
    <w:rsid w:val="006760BC"/>
    <w:rsid w:val="006763BB"/>
    <w:rsid w:val="0067660A"/>
    <w:rsid w:val="0067665D"/>
    <w:rsid w:val="00676774"/>
    <w:rsid w:val="00676860"/>
    <w:rsid w:val="00676B3F"/>
    <w:rsid w:val="00676C22"/>
    <w:rsid w:val="006773AA"/>
    <w:rsid w:val="006773E1"/>
    <w:rsid w:val="0067745C"/>
    <w:rsid w:val="0067766E"/>
    <w:rsid w:val="00677805"/>
    <w:rsid w:val="00677E78"/>
    <w:rsid w:val="00680017"/>
    <w:rsid w:val="0068028A"/>
    <w:rsid w:val="0068058E"/>
    <w:rsid w:val="00680B1C"/>
    <w:rsid w:val="00680CE8"/>
    <w:rsid w:val="00680EE9"/>
    <w:rsid w:val="006810C3"/>
    <w:rsid w:val="006811CD"/>
    <w:rsid w:val="00681286"/>
    <w:rsid w:val="0068176B"/>
    <w:rsid w:val="00681E2D"/>
    <w:rsid w:val="00681EB5"/>
    <w:rsid w:val="00681FA9"/>
    <w:rsid w:val="00681FCB"/>
    <w:rsid w:val="006820FA"/>
    <w:rsid w:val="00682631"/>
    <w:rsid w:val="006830F3"/>
    <w:rsid w:val="0068316B"/>
    <w:rsid w:val="00683359"/>
    <w:rsid w:val="0068350A"/>
    <w:rsid w:val="0068365A"/>
    <w:rsid w:val="00683849"/>
    <w:rsid w:val="00683916"/>
    <w:rsid w:val="0068393B"/>
    <w:rsid w:val="00683B04"/>
    <w:rsid w:val="00683B6E"/>
    <w:rsid w:val="00683B7A"/>
    <w:rsid w:val="00683CE2"/>
    <w:rsid w:val="00684137"/>
    <w:rsid w:val="006844BB"/>
    <w:rsid w:val="0068461F"/>
    <w:rsid w:val="00684817"/>
    <w:rsid w:val="00684ECE"/>
    <w:rsid w:val="00684EF5"/>
    <w:rsid w:val="00686302"/>
    <w:rsid w:val="006863C5"/>
    <w:rsid w:val="00686715"/>
    <w:rsid w:val="00686FAF"/>
    <w:rsid w:val="00687106"/>
    <w:rsid w:val="006872F6"/>
    <w:rsid w:val="006873F6"/>
    <w:rsid w:val="006876E2"/>
    <w:rsid w:val="00687725"/>
    <w:rsid w:val="006879AF"/>
    <w:rsid w:val="00687C72"/>
    <w:rsid w:val="0069040E"/>
    <w:rsid w:val="0069048F"/>
    <w:rsid w:val="00690660"/>
    <w:rsid w:val="0069066E"/>
    <w:rsid w:val="00690780"/>
    <w:rsid w:val="006907D5"/>
    <w:rsid w:val="00690FEE"/>
    <w:rsid w:val="0069111F"/>
    <w:rsid w:val="006914F3"/>
    <w:rsid w:val="006918F1"/>
    <w:rsid w:val="00691B41"/>
    <w:rsid w:val="006920F3"/>
    <w:rsid w:val="006922E7"/>
    <w:rsid w:val="00692452"/>
    <w:rsid w:val="0069265B"/>
    <w:rsid w:val="006927CE"/>
    <w:rsid w:val="00692871"/>
    <w:rsid w:val="00692935"/>
    <w:rsid w:val="00692C39"/>
    <w:rsid w:val="00693109"/>
    <w:rsid w:val="00693786"/>
    <w:rsid w:val="006937BC"/>
    <w:rsid w:val="00693987"/>
    <w:rsid w:val="00693B3D"/>
    <w:rsid w:val="00693CA3"/>
    <w:rsid w:val="00693EB9"/>
    <w:rsid w:val="0069427C"/>
    <w:rsid w:val="00694B17"/>
    <w:rsid w:val="0069531E"/>
    <w:rsid w:val="00695330"/>
    <w:rsid w:val="006956E1"/>
    <w:rsid w:val="00695731"/>
    <w:rsid w:val="00695928"/>
    <w:rsid w:val="00695BAF"/>
    <w:rsid w:val="00695BF5"/>
    <w:rsid w:val="00695DDE"/>
    <w:rsid w:val="00695EE2"/>
    <w:rsid w:val="00695FAA"/>
    <w:rsid w:val="0069631A"/>
    <w:rsid w:val="00696330"/>
    <w:rsid w:val="006963D0"/>
    <w:rsid w:val="00696594"/>
    <w:rsid w:val="00696C06"/>
    <w:rsid w:val="00696FC4"/>
    <w:rsid w:val="0069723C"/>
    <w:rsid w:val="006972D3"/>
    <w:rsid w:val="00697369"/>
    <w:rsid w:val="0069761E"/>
    <w:rsid w:val="00697971"/>
    <w:rsid w:val="00697AB4"/>
    <w:rsid w:val="00697AEE"/>
    <w:rsid w:val="00697D16"/>
    <w:rsid w:val="00697D1A"/>
    <w:rsid w:val="00697D5F"/>
    <w:rsid w:val="00697F8E"/>
    <w:rsid w:val="006A02CB"/>
    <w:rsid w:val="006A03A4"/>
    <w:rsid w:val="006A03A7"/>
    <w:rsid w:val="006A03A9"/>
    <w:rsid w:val="006A048D"/>
    <w:rsid w:val="006A064A"/>
    <w:rsid w:val="006A0875"/>
    <w:rsid w:val="006A0CBB"/>
    <w:rsid w:val="006A0E27"/>
    <w:rsid w:val="006A0EE2"/>
    <w:rsid w:val="006A12E3"/>
    <w:rsid w:val="006A13EB"/>
    <w:rsid w:val="006A14ED"/>
    <w:rsid w:val="006A181F"/>
    <w:rsid w:val="006A1828"/>
    <w:rsid w:val="006A1A69"/>
    <w:rsid w:val="006A1FF0"/>
    <w:rsid w:val="006A20C5"/>
    <w:rsid w:val="006A2612"/>
    <w:rsid w:val="006A2765"/>
    <w:rsid w:val="006A28C4"/>
    <w:rsid w:val="006A28F3"/>
    <w:rsid w:val="006A2D18"/>
    <w:rsid w:val="006A2D78"/>
    <w:rsid w:val="006A3844"/>
    <w:rsid w:val="006A3919"/>
    <w:rsid w:val="006A433F"/>
    <w:rsid w:val="006A491E"/>
    <w:rsid w:val="006A4AA9"/>
    <w:rsid w:val="006A5313"/>
    <w:rsid w:val="006A55B2"/>
    <w:rsid w:val="006A56CD"/>
    <w:rsid w:val="006A5814"/>
    <w:rsid w:val="006A5D71"/>
    <w:rsid w:val="006A5D94"/>
    <w:rsid w:val="006A5F72"/>
    <w:rsid w:val="006A61BE"/>
    <w:rsid w:val="006A64DB"/>
    <w:rsid w:val="006A6907"/>
    <w:rsid w:val="006A6B9A"/>
    <w:rsid w:val="006A6BE5"/>
    <w:rsid w:val="006A6D61"/>
    <w:rsid w:val="006A6FE4"/>
    <w:rsid w:val="006A7163"/>
    <w:rsid w:val="006A717D"/>
    <w:rsid w:val="006A788D"/>
    <w:rsid w:val="006A7BD7"/>
    <w:rsid w:val="006A7D36"/>
    <w:rsid w:val="006A7F9D"/>
    <w:rsid w:val="006B0074"/>
    <w:rsid w:val="006B007E"/>
    <w:rsid w:val="006B0450"/>
    <w:rsid w:val="006B06C1"/>
    <w:rsid w:val="006B075A"/>
    <w:rsid w:val="006B0A4F"/>
    <w:rsid w:val="006B0D16"/>
    <w:rsid w:val="006B0DFF"/>
    <w:rsid w:val="006B133F"/>
    <w:rsid w:val="006B13EB"/>
    <w:rsid w:val="006B1848"/>
    <w:rsid w:val="006B1915"/>
    <w:rsid w:val="006B1D5C"/>
    <w:rsid w:val="006B20D9"/>
    <w:rsid w:val="006B213B"/>
    <w:rsid w:val="006B2550"/>
    <w:rsid w:val="006B262D"/>
    <w:rsid w:val="006B27C9"/>
    <w:rsid w:val="006B2BB8"/>
    <w:rsid w:val="006B2D6C"/>
    <w:rsid w:val="006B2FAD"/>
    <w:rsid w:val="006B33B8"/>
    <w:rsid w:val="006B3560"/>
    <w:rsid w:val="006B3597"/>
    <w:rsid w:val="006B36F1"/>
    <w:rsid w:val="006B37A0"/>
    <w:rsid w:val="006B3C28"/>
    <w:rsid w:val="006B3FC9"/>
    <w:rsid w:val="006B40C1"/>
    <w:rsid w:val="006B4155"/>
    <w:rsid w:val="006B469C"/>
    <w:rsid w:val="006B476E"/>
    <w:rsid w:val="006B4B30"/>
    <w:rsid w:val="006B519B"/>
    <w:rsid w:val="006B52E7"/>
    <w:rsid w:val="006B5611"/>
    <w:rsid w:val="006B590A"/>
    <w:rsid w:val="006B593D"/>
    <w:rsid w:val="006B596E"/>
    <w:rsid w:val="006B5ECD"/>
    <w:rsid w:val="006B659F"/>
    <w:rsid w:val="006B696D"/>
    <w:rsid w:val="006B6B82"/>
    <w:rsid w:val="006B6BC7"/>
    <w:rsid w:val="006B76DB"/>
    <w:rsid w:val="006B7AAE"/>
    <w:rsid w:val="006B7C8A"/>
    <w:rsid w:val="006C0016"/>
    <w:rsid w:val="006C0024"/>
    <w:rsid w:val="006C002A"/>
    <w:rsid w:val="006C01B8"/>
    <w:rsid w:val="006C02C3"/>
    <w:rsid w:val="006C0851"/>
    <w:rsid w:val="006C0BD6"/>
    <w:rsid w:val="006C0CA9"/>
    <w:rsid w:val="006C0DE1"/>
    <w:rsid w:val="006C11C9"/>
    <w:rsid w:val="006C135F"/>
    <w:rsid w:val="006C141A"/>
    <w:rsid w:val="006C148F"/>
    <w:rsid w:val="006C16A6"/>
    <w:rsid w:val="006C210B"/>
    <w:rsid w:val="006C2265"/>
    <w:rsid w:val="006C26E1"/>
    <w:rsid w:val="006C29CF"/>
    <w:rsid w:val="006C2A5F"/>
    <w:rsid w:val="006C2C4F"/>
    <w:rsid w:val="006C2EDA"/>
    <w:rsid w:val="006C3234"/>
    <w:rsid w:val="006C3296"/>
    <w:rsid w:val="006C346E"/>
    <w:rsid w:val="006C3878"/>
    <w:rsid w:val="006C3890"/>
    <w:rsid w:val="006C3A44"/>
    <w:rsid w:val="006C3D19"/>
    <w:rsid w:val="006C4623"/>
    <w:rsid w:val="006C4764"/>
    <w:rsid w:val="006C4C0E"/>
    <w:rsid w:val="006C4FF1"/>
    <w:rsid w:val="006C533D"/>
    <w:rsid w:val="006C549F"/>
    <w:rsid w:val="006C587D"/>
    <w:rsid w:val="006C5A15"/>
    <w:rsid w:val="006C5A5F"/>
    <w:rsid w:val="006C5B34"/>
    <w:rsid w:val="006C5C13"/>
    <w:rsid w:val="006C61BA"/>
    <w:rsid w:val="006C63B0"/>
    <w:rsid w:val="006C64DA"/>
    <w:rsid w:val="006C6598"/>
    <w:rsid w:val="006C6BAC"/>
    <w:rsid w:val="006C6E3B"/>
    <w:rsid w:val="006C750C"/>
    <w:rsid w:val="006C78F9"/>
    <w:rsid w:val="006C7C22"/>
    <w:rsid w:val="006C7C53"/>
    <w:rsid w:val="006C7F13"/>
    <w:rsid w:val="006D0012"/>
    <w:rsid w:val="006D012A"/>
    <w:rsid w:val="006D06DB"/>
    <w:rsid w:val="006D0CC8"/>
    <w:rsid w:val="006D0DAD"/>
    <w:rsid w:val="006D1007"/>
    <w:rsid w:val="006D115E"/>
    <w:rsid w:val="006D1229"/>
    <w:rsid w:val="006D1354"/>
    <w:rsid w:val="006D16C9"/>
    <w:rsid w:val="006D1980"/>
    <w:rsid w:val="006D20D1"/>
    <w:rsid w:val="006D273B"/>
    <w:rsid w:val="006D2AE7"/>
    <w:rsid w:val="006D2E2A"/>
    <w:rsid w:val="006D2F8E"/>
    <w:rsid w:val="006D377C"/>
    <w:rsid w:val="006D38B7"/>
    <w:rsid w:val="006D38E5"/>
    <w:rsid w:val="006D3E62"/>
    <w:rsid w:val="006D422A"/>
    <w:rsid w:val="006D42D0"/>
    <w:rsid w:val="006D455A"/>
    <w:rsid w:val="006D48CB"/>
    <w:rsid w:val="006D4B31"/>
    <w:rsid w:val="006D4B97"/>
    <w:rsid w:val="006D4E37"/>
    <w:rsid w:val="006D558B"/>
    <w:rsid w:val="006D55A5"/>
    <w:rsid w:val="006D5643"/>
    <w:rsid w:val="006D574D"/>
    <w:rsid w:val="006D587E"/>
    <w:rsid w:val="006D5B30"/>
    <w:rsid w:val="006D5CAE"/>
    <w:rsid w:val="006D659B"/>
    <w:rsid w:val="006D65D0"/>
    <w:rsid w:val="006D669C"/>
    <w:rsid w:val="006D6992"/>
    <w:rsid w:val="006D6D2F"/>
    <w:rsid w:val="006D6FE2"/>
    <w:rsid w:val="006D7237"/>
    <w:rsid w:val="006D7A60"/>
    <w:rsid w:val="006D7BD0"/>
    <w:rsid w:val="006D7C45"/>
    <w:rsid w:val="006D7FDD"/>
    <w:rsid w:val="006E021D"/>
    <w:rsid w:val="006E04A8"/>
    <w:rsid w:val="006E077A"/>
    <w:rsid w:val="006E0BCF"/>
    <w:rsid w:val="006E0CB9"/>
    <w:rsid w:val="006E0D10"/>
    <w:rsid w:val="006E0D78"/>
    <w:rsid w:val="006E0EB6"/>
    <w:rsid w:val="006E1047"/>
    <w:rsid w:val="006E1210"/>
    <w:rsid w:val="006E152C"/>
    <w:rsid w:val="006E15AC"/>
    <w:rsid w:val="006E163F"/>
    <w:rsid w:val="006E16FF"/>
    <w:rsid w:val="006E1B95"/>
    <w:rsid w:val="006E1F21"/>
    <w:rsid w:val="006E2311"/>
    <w:rsid w:val="006E2496"/>
    <w:rsid w:val="006E277E"/>
    <w:rsid w:val="006E2798"/>
    <w:rsid w:val="006E2D55"/>
    <w:rsid w:val="006E2EA3"/>
    <w:rsid w:val="006E328F"/>
    <w:rsid w:val="006E336F"/>
    <w:rsid w:val="006E34C0"/>
    <w:rsid w:val="006E3562"/>
    <w:rsid w:val="006E3820"/>
    <w:rsid w:val="006E3D05"/>
    <w:rsid w:val="006E4178"/>
    <w:rsid w:val="006E429A"/>
    <w:rsid w:val="006E4401"/>
    <w:rsid w:val="006E4548"/>
    <w:rsid w:val="006E4617"/>
    <w:rsid w:val="006E47E2"/>
    <w:rsid w:val="006E49C8"/>
    <w:rsid w:val="006E4D5F"/>
    <w:rsid w:val="006E505D"/>
    <w:rsid w:val="006E50A8"/>
    <w:rsid w:val="006E50E6"/>
    <w:rsid w:val="006E54C5"/>
    <w:rsid w:val="006E569F"/>
    <w:rsid w:val="006E5AED"/>
    <w:rsid w:val="006E5AF0"/>
    <w:rsid w:val="006E5B5B"/>
    <w:rsid w:val="006E5D9A"/>
    <w:rsid w:val="006E5EA8"/>
    <w:rsid w:val="006E5ED1"/>
    <w:rsid w:val="006E60B9"/>
    <w:rsid w:val="006E60D0"/>
    <w:rsid w:val="006E6397"/>
    <w:rsid w:val="006E67C4"/>
    <w:rsid w:val="006E6A0B"/>
    <w:rsid w:val="006E6E33"/>
    <w:rsid w:val="006E700F"/>
    <w:rsid w:val="006E7140"/>
    <w:rsid w:val="006E7258"/>
    <w:rsid w:val="006E750B"/>
    <w:rsid w:val="006E77E8"/>
    <w:rsid w:val="006E78B9"/>
    <w:rsid w:val="006E79F0"/>
    <w:rsid w:val="006E7B60"/>
    <w:rsid w:val="006E7CCB"/>
    <w:rsid w:val="006F01B1"/>
    <w:rsid w:val="006F0256"/>
    <w:rsid w:val="006F036E"/>
    <w:rsid w:val="006F04C3"/>
    <w:rsid w:val="006F065C"/>
    <w:rsid w:val="006F08D8"/>
    <w:rsid w:val="006F08DA"/>
    <w:rsid w:val="006F0ACA"/>
    <w:rsid w:val="006F0C4E"/>
    <w:rsid w:val="006F0D71"/>
    <w:rsid w:val="006F1283"/>
    <w:rsid w:val="006F1309"/>
    <w:rsid w:val="006F138C"/>
    <w:rsid w:val="006F1929"/>
    <w:rsid w:val="006F1A58"/>
    <w:rsid w:val="006F2065"/>
    <w:rsid w:val="006F24FD"/>
    <w:rsid w:val="006F258C"/>
    <w:rsid w:val="006F2687"/>
    <w:rsid w:val="006F2A5A"/>
    <w:rsid w:val="006F2CF7"/>
    <w:rsid w:val="006F2E70"/>
    <w:rsid w:val="006F2F03"/>
    <w:rsid w:val="006F305F"/>
    <w:rsid w:val="006F3122"/>
    <w:rsid w:val="006F36A0"/>
    <w:rsid w:val="006F3B9A"/>
    <w:rsid w:val="006F3BDB"/>
    <w:rsid w:val="006F3C47"/>
    <w:rsid w:val="006F3D84"/>
    <w:rsid w:val="006F4222"/>
    <w:rsid w:val="006F4227"/>
    <w:rsid w:val="006F4365"/>
    <w:rsid w:val="006F459D"/>
    <w:rsid w:val="006F4686"/>
    <w:rsid w:val="006F46F9"/>
    <w:rsid w:val="006F4E75"/>
    <w:rsid w:val="006F52B3"/>
    <w:rsid w:val="006F5623"/>
    <w:rsid w:val="006F5683"/>
    <w:rsid w:val="006F5B5F"/>
    <w:rsid w:val="006F5E63"/>
    <w:rsid w:val="006F669F"/>
    <w:rsid w:val="006F676C"/>
    <w:rsid w:val="006F687B"/>
    <w:rsid w:val="006F6931"/>
    <w:rsid w:val="006F6A06"/>
    <w:rsid w:val="006F6A37"/>
    <w:rsid w:val="006F6EBF"/>
    <w:rsid w:val="006F7156"/>
    <w:rsid w:val="006F729A"/>
    <w:rsid w:val="006F736A"/>
    <w:rsid w:val="006F750F"/>
    <w:rsid w:val="006F7727"/>
    <w:rsid w:val="006F7CB7"/>
    <w:rsid w:val="006F7E6C"/>
    <w:rsid w:val="006F7F1B"/>
    <w:rsid w:val="00700393"/>
    <w:rsid w:val="00700446"/>
    <w:rsid w:val="007005FE"/>
    <w:rsid w:val="00700BCE"/>
    <w:rsid w:val="007017C9"/>
    <w:rsid w:val="007018D7"/>
    <w:rsid w:val="00701DA9"/>
    <w:rsid w:val="00701E78"/>
    <w:rsid w:val="00701FF9"/>
    <w:rsid w:val="00702406"/>
    <w:rsid w:val="00702535"/>
    <w:rsid w:val="00702542"/>
    <w:rsid w:val="00702A67"/>
    <w:rsid w:val="00702B17"/>
    <w:rsid w:val="00702F15"/>
    <w:rsid w:val="0070304B"/>
    <w:rsid w:val="00703451"/>
    <w:rsid w:val="007035C7"/>
    <w:rsid w:val="00703668"/>
    <w:rsid w:val="00703AB2"/>
    <w:rsid w:val="0070413A"/>
    <w:rsid w:val="007041C8"/>
    <w:rsid w:val="00704222"/>
    <w:rsid w:val="0070423B"/>
    <w:rsid w:val="0070435D"/>
    <w:rsid w:val="00704447"/>
    <w:rsid w:val="007044A3"/>
    <w:rsid w:val="007046A6"/>
    <w:rsid w:val="00704B0B"/>
    <w:rsid w:val="00704B5C"/>
    <w:rsid w:val="00704CEC"/>
    <w:rsid w:val="00704D5E"/>
    <w:rsid w:val="00704F04"/>
    <w:rsid w:val="0070513A"/>
    <w:rsid w:val="00705178"/>
    <w:rsid w:val="007052C7"/>
    <w:rsid w:val="00705415"/>
    <w:rsid w:val="00705661"/>
    <w:rsid w:val="007056AF"/>
    <w:rsid w:val="00706403"/>
    <w:rsid w:val="0070676B"/>
    <w:rsid w:val="0070684A"/>
    <w:rsid w:val="00706A35"/>
    <w:rsid w:val="00706BAD"/>
    <w:rsid w:val="00707184"/>
    <w:rsid w:val="007071FC"/>
    <w:rsid w:val="00707294"/>
    <w:rsid w:val="007073C6"/>
    <w:rsid w:val="007075AE"/>
    <w:rsid w:val="007076D7"/>
    <w:rsid w:val="007077E0"/>
    <w:rsid w:val="007079EF"/>
    <w:rsid w:val="00707B0B"/>
    <w:rsid w:val="00707C25"/>
    <w:rsid w:val="00707FC9"/>
    <w:rsid w:val="0071000F"/>
    <w:rsid w:val="007100E2"/>
    <w:rsid w:val="00710155"/>
    <w:rsid w:val="0071032B"/>
    <w:rsid w:val="00710718"/>
    <w:rsid w:val="00710832"/>
    <w:rsid w:val="00710844"/>
    <w:rsid w:val="007108D1"/>
    <w:rsid w:val="00710CCE"/>
    <w:rsid w:val="00710D77"/>
    <w:rsid w:val="00711147"/>
    <w:rsid w:val="00711197"/>
    <w:rsid w:val="00711355"/>
    <w:rsid w:val="00711470"/>
    <w:rsid w:val="00711522"/>
    <w:rsid w:val="00711689"/>
    <w:rsid w:val="007117D4"/>
    <w:rsid w:val="007118C1"/>
    <w:rsid w:val="007119AE"/>
    <w:rsid w:val="007119D8"/>
    <w:rsid w:val="00711A18"/>
    <w:rsid w:val="00711B4D"/>
    <w:rsid w:val="00711DAC"/>
    <w:rsid w:val="00711E1F"/>
    <w:rsid w:val="0071212A"/>
    <w:rsid w:val="0071213B"/>
    <w:rsid w:val="00712253"/>
    <w:rsid w:val="007122D0"/>
    <w:rsid w:val="00712431"/>
    <w:rsid w:val="00712480"/>
    <w:rsid w:val="00712E0D"/>
    <w:rsid w:val="0071310B"/>
    <w:rsid w:val="007136B7"/>
    <w:rsid w:val="0071395E"/>
    <w:rsid w:val="00713C52"/>
    <w:rsid w:val="00713EF0"/>
    <w:rsid w:val="00714078"/>
    <w:rsid w:val="007140CB"/>
    <w:rsid w:val="00714195"/>
    <w:rsid w:val="007143E4"/>
    <w:rsid w:val="00714551"/>
    <w:rsid w:val="00715384"/>
    <w:rsid w:val="00716195"/>
    <w:rsid w:val="00716216"/>
    <w:rsid w:val="00716257"/>
    <w:rsid w:val="0071637F"/>
    <w:rsid w:val="007165A0"/>
    <w:rsid w:val="007166E5"/>
    <w:rsid w:val="00716A6F"/>
    <w:rsid w:val="00716B51"/>
    <w:rsid w:val="00716CE8"/>
    <w:rsid w:val="00716EBD"/>
    <w:rsid w:val="007172B4"/>
    <w:rsid w:val="007176B3"/>
    <w:rsid w:val="00720159"/>
    <w:rsid w:val="007201B1"/>
    <w:rsid w:val="00720277"/>
    <w:rsid w:val="007202F5"/>
    <w:rsid w:val="00720876"/>
    <w:rsid w:val="00720956"/>
    <w:rsid w:val="00720990"/>
    <w:rsid w:val="00720C09"/>
    <w:rsid w:val="00720DB7"/>
    <w:rsid w:val="00721032"/>
    <w:rsid w:val="007212BE"/>
    <w:rsid w:val="0072132B"/>
    <w:rsid w:val="00721596"/>
    <w:rsid w:val="007216BF"/>
    <w:rsid w:val="00721AF8"/>
    <w:rsid w:val="00721CC7"/>
    <w:rsid w:val="00721CDA"/>
    <w:rsid w:val="00722905"/>
    <w:rsid w:val="00722B87"/>
    <w:rsid w:val="00722E22"/>
    <w:rsid w:val="00723891"/>
    <w:rsid w:val="00723BB4"/>
    <w:rsid w:val="00723C22"/>
    <w:rsid w:val="00723C30"/>
    <w:rsid w:val="00723EB3"/>
    <w:rsid w:val="00723FCD"/>
    <w:rsid w:val="007242CA"/>
    <w:rsid w:val="007244B6"/>
    <w:rsid w:val="0072464B"/>
    <w:rsid w:val="007246E2"/>
    <w:rsid w:val="0072472E"/>
    <w:rsid w:val="00724779"/>
    <w:rsid w:val="00724820"/>
    <w:rsid w:val="00724983"/>
    <w:rsid w:val="00724B3F"/>
    <w:rsid w:val="007251F2"/>
    <w:rsid w:val="00725627"/>
    <w:rsid w:val="00725F55"/>
    <w:rsid w:val="00726395"/>
    <w:rsid w:val="00726515"/>
    <w:rsid w:val="00726CA1"/>
    <w:rsid w:val="00726DDC"/>
    <w:rsid w:val="007270E8"/>
    <w:rsid w:val="00727607"/>
    <w:rsid w:val="0072772F"/>
    <w:rsid w:val="00727862"/>
    <w:rsid w:val="007279B7"/>
    <w:rsid w:val="00727B44"/>
    <w:rsid w:val="00727D38"/>
    <w:rsid w:val="00727D8E"/>
    <w:rsid w:val="007301DF"/>
    <w:rsid w:val="00730894"/>
    <w:rsid w:val="00730911"/>
    <w:rsid w:val="0073099E"/>
    <w:rsid w:val="00730C7A"/>
    <w:rsid w:val="0073114C"/>
    <w:rsid w:val="0073118F"/>
    <w:rsid w:val="0073142A"/>
    <w:rsid w:val="00731674"/>
    <w:rsid w:val="00731C5A"/>
    <w:rsid w:val="00731F25"/>
    <w:rsid w:val="00731FFE"/>
    <w:rsid w:val="007320C2"/>
    <w:rsid w:val="00732125"/>
    <w:rsid w:val="0073213F"/>
    <w:rsid w:val="00732351"/>
    <w:rsid w:val="0073251D"/>
    <w:rsid w:val="007326D3"/>
    <w:rsid w:val="00732785"/>
    <w:rsid w:val="00732A2B"/>
    <w:rsid w:val="00732BC7"/>
    <w:rsid w:val="0073354A"/>
    <w:rsid w:val="007336F0"/>
    <w:rsid w:val="00733941"/>
    <w:rsid w:val="00733F01"/>
    <w:rsid w:val="00734011"/>
    <w:rsid w:val="00734099"/>
    <w:rsid w:val="007340FF"/>
    <w:rsid w:val="007348D7"/>
    <w:rsid w:val="0073492E"/>
    <w:rsid w:val="00734B82"/>
    <w:rsid w:val="00734D07"/>
    <w:rsid w:val="00734EB2"/>
    <w:rsid w:val="007356AA"/>
    <w:rsid w:val="0073591D"/>
    <w:rsid w:val="00735C30"/>
    <w:rsid w:val="0073637F"/>
    <w:rsid w:val="00736525"/>
    <w:rsid w:val="00737362"/>
    <w:rsid w:val="0073743B"/>
    <w:rsid w:val="00737543"/>
    <w:rsid w:val="00737640"/>
    <w:rsid w:val="00737A9C"/>
    <w:rsid w:val="00737D4E"/>
    <w:rsid w:val="007400AB"/>
    <w:rsid w:val="007400F6"/>
    <w:rsid w:val="00740369"/>
    <w:rsid w:val="0074042B"/>
    <w:rsid w:val="007404E8"/>
    <w:rsid w:val="007405FD"/>
    <w:rsid w:val="00740640"/>
    <w:rsid w:val="00740CDE"/>
    <w:rsid w:val="00740E83"/>
    <w:rsid w:val="00740F40"/>
    <w:rsid w:val="00740F4B"/>
    <w:rsid w:val="00741176"/>
    <w:rsid w:val="00741445"/>
    <w:rsid w:val="007415D5"/>
    <w:rsid w:val="007416A8"/>
    <w:rsid w:val="007418FE"/>
    <w:rsid w:val="0074199E"/>
    <w:rsid w:val="00741A46"/>
    <w:rsid w:val="00742565"/>
    <w:rsid w:val="007427A1"/>
    <w:rsid w:val="007428AF"/>
    <w:rsid w:val="00742902"/>
    <w:rsid w:val="00742C58"/>
    <w:rsid w:val="00742E41"/>
    <w:rsid w:val="00742F82"/>
    <w:rsid w:val="00742FAB"/>
    <w:rsid w:val="0074309F"/>
    <w:rsid w:val="0074391E"/>
    <w:rsid w:val="00743C53"/>
    <w:rsid w:val="00743EC4"/>
    <w:rsid w:val="0074416C"/>
    <w:rsid w:val="00744493"/>
    <w:rsid w:val="00744555"/>
    <w:rsid w:val="00744653"/>
    <w:rsid w:val="0074468B"/>
    <w:rsid w:val="007449D9"/>
    <w:rsid w:val="00744C31"/>
    <w:rsid w:val="00744E75"/>
    <w:rsid w:val="00745565"/>
    <w:rsid w:val="00745843"/>
    <w:rsid w:val="00745A51"/>
    <w:rsid w:val="00745E07"/>
    <w:rsid w:val="0074615F"/>
    <w:rsid w:val="007461FE"/>
    <w:rsid w:val="0074685C"/>
    <w:rsid w:val="00746974"/>
    <w:rsid w:val="007469F6"/>
    <w:rsid w:val="00746FEA"/>
    <w:rsid w:val="007471F6"/>
    <w:rsid w:val="0074745B"/>
    <w:rsid w:val="0074751E"/>
    <w:rsid w:val="00747962"/>
    <w:rsid w:val="00747A02"/>
    <w:rsid w:val="00747C9D"/>
    <w:rsid w:val="0075008B"/>
    <w:rsid w:val="00750152"/>
    <w:rsid w:val="00750445"/>
    <w:rsid w:val="00750999"/>
    <w:rsid w:val="00750D71"/>
    <w:rsid w:val="007513FC"/>
    <w:rsid w:val="007514CB"/>
    <w:rsid w:val="0075151D"/>
    <w:rsid w:val="00751634"/>
    <w:rsid w:val="00751A06"/>
    <w:rsid w:val="00751D2F"/>
    <w:rsid w:val="00752019"/>
    <w:rsid w:val="00752644"/>
    <w:rsid w:val="007529C0"/>
    <w:rsid w:val="00752C99"/>
    <w:rsid w:val="00752D6F"/>
    <w:rsid w:val="00753141"/>
    <w:rsid w:val="007531F1"/>
    <w:rsid w:val="00753388"/>
    <w:rsid w:val="0075370A"/>
    <w:rsid w:val="00753F70"/>
    <w:rsid w:val="0075405E"/>
    <w:rsid w:val="007541C9"/>
    <w:rsid w:val="00754531"/>
    <w:rsid w:val="0075460A"/>
    <w:rsid w:val="00754990"/>
    <w:rsid w:val="00754C57"/>
    <w:rsid w:val="00754E01"/>
    <w:rsid w:val="00754F1D"/>
    <w:rsid w:val="00754FB6"/>
    <w:rsid w:val="00755916"/>
    <w:rsid w:val="00755C3E"/>
    <w:rsid w:val="00755D76"/>
    <w:rsid w:val="00756166"/>
    <w:rsid w:val="0075630F"/>
    <w:rsid w:val="007563A4"/>
    <w:rsid w:val="0075658B"/>
    <w:rsid w:val="007566AA"/>
    <w:rsid w:val="00756824"/>
    <w:rsid w:val="007569E5"/>
    <w:rsid w:val="00756E1F"/>
    <w:rsid w:val="007570DE"/>
    <w:rsid w:val="00757361"/>
    <w:rsid w:val="0075747D"/>
    <w:rsid w:val="007574B0"/>
    <w:rsid w:val="00757A1E"/>
    <w:rsid w:val="00757A76"/>
    <w:rsid w:val="00760C7A"/>
    <w:rsid w:val="00760CBA"/>
    <w:rsid w:val="00760DF2"/>
    <w:rsid w:val="0076105D"/>
    <w:rsid w:val="007615A6"/>
    <w:rsid w:val="007617CB"/>
    <w:rsid w:val="00761CAB"/>
    <w:rsid w:val="00761D8C"/>
    <w:rsid w:val="00761EE2"/>
    <w:rsid w:val="007627F5"/>
    <w:rsid w:val="0076284E"/>
    <w:rsid w:val="00762BF0"/>
    <w:rsid w:val="00762D88"/>
    <w:rsid w:val="00762DA2"/>
    <w:rsid w:val="00762E16"/>
    <w:rsid w:val="00762F3C"/>
    <w:rsid w:val="007638C3"/>
    <w:rsid w:val="007638EB"/>
    <w:rsid w:val="007639CA"/>
    <w:rsid w:val="007639DF"/>
    <w:rsid w:val="00763D29"/>
    <w:rsid w:val="00763E07"/>
    <w:rsid w:val="00763F3D"/>
    <w:rsid w:val="007640F4"/>
    <w:rsid w:val="007641FD"/>
    <w:rsid w:val="00764329"/>
    <w:rsid w:val="007646D2"/>
    <w:rsid w:val="007648E9"/>
    <w:rsid w:val="00764BF3"/>
    <w:rsid w:val="00764CE9"/>
    <w:rsid w:val="00765131"/>
    <w:rsid w:val="00765660"/>
    <w:rsid w:val="007657E5"/>
    <w:rsid w:val="00765D44"/>
    <w:rsid w:val="00765D55"/>
    <w:rsid w:val="00765F50"/>
    <w:rsid w:val="00766014"/>
    <w:rsid w:val="0076601B"/>
    <w:rsid w:val="00766606"/>
    <w:rsid w:val="00766AC5"/>
    <w:rsid w:val="00766CCB"/>
    <w:rsid w:val="00766FAB"/>
    <w:rsid w:val="0076720F"/>
    <w:rsid w:val="0076721F"/>
    <w:rsid w:val="0076778B"/>
    <w:rsid w:val="00767A52"/>
    <w:rsid w:val="00767B5B"/>
    <w:rsid w:val="00767F87"/>
    <w:rsid w:val="0077009D"/>
    <w:rsid w:val="00770243"/>
    <w:rsid w:val="007706DD"/>
    <w:rsid w:val="007706DF"/>
    <w:rsid w:val="00770785"/>
    <w:rsid w:val="00770AD0"/>
    <w:rsid w:val="00770CFE"/>
    <w:rsid w:val="00770F71"/>
    <w:rsid w:val="00770FD1"/>
    <w:rsid w:val="00771454"/>
    <w:rsid w:val="007716BF"/>
    <w:rsid w:val="007716FD"/>
    <w:rsid w:val="007717EA"/>
    <w:rsid w:val="00771828"/>
    <w:rsid w:val="0077212E"/>
    <w:rsid w:val="00772305"/>
    <w:rsid w:val="00772A9C"/>
    <w:rsid w:val="00772B77"/>
    <w:rsid w:val="00772CFE"/>
    <w:rsid w:val="00772E67"/>
    <w:rsid w:val="007732F5"/>
    <w:rsid w:val="00773386"/>
    <w:rsid w:val="007733A7"/>
    <w:rsid w:val="0077352B"/>
    <w:rsid w:val="0077365C"/>
    <w:rsid w:val="00773A98"/>
    <w:rsid w:val="00773E87"/>
    <w:rsid w:val="00773F7B"/>
    <w:rsid w:val="0077418B"/>
    <w:rsid w:val="007743DB"/>
    <w:rsid w:val="007746EC"/>
    <w:rsid w:val="007748EC"/>
    <w:rsid w:val="00774CD3"/>
    <w:rsid w:val="00774F57"/>
    <w:rsid w:val="00775314"/>
    <w:rsid w:val="00775A26"/>
    <w:rsid w:val="00775E2A"/>
    <w:rsid w:val="00776088"/>
    <w:rsid w:val="00776092"/>
    <w:rsid w:val="007761EB"/>
    <w:rsid w:val="00776201"/>
    <w:rsid w:val="00776237"/>
    <w:rsid w:val="0077655F"/>
    <w:rsid w:val="00776777"/>
    <w:rsid w:val="00776BD0"/>
    <w:rsid w:val="0077738B"/>
    <w:rsid w:val="007774C4"/>
    <w:rsid w:val="0077773E"/>
    <w:rsid w:val="007777E1"/>
    <w:rsid w:val="00777842"/>
    <w:rsid w:val="007778A3"/>
    <w:rsid w:val="00777D5A"/>
    <w:rsid w:val="00777F15"/>
    <w:rsid w:val="007801CD"/>
    <w:rsid w:val="00780685"/>
    <w:rsid w:val="00780A9C"/>
    <w:rsid w:val="00780BDD"/>
    <w:rsid w:val="00780DEE"/>
    <w:rsid w:val="00780FD4"/>
    <w:rsid w:val="00781113"/>
    <w:rsid w:val="007814C5"/>
    <w:rsid w:val="00781636"/>
    <w:rsid w:val="00781691"/>
    <w:rsid w:val="007819A7"/>
    <w:rsid w:val="00781A27"/>
    <w:rsid w:val="00781B83"/>
    <w:rsid w:val="00781CDC"/>
    <w:rsid w:val="00781E39"/>
    <w:rsid w:val="007822AD"/>
    <w:rsid w:val="007824F7"/>
    <w:rsid w:val="007826E2"/>
    <w:rsid w:val="00782E63"/>
    <w:rsid w:val="00782FFB"/>
    <w:rsid w:val="00783178"/>
    <w:rsid w:val="0078331F"/>
    <w:rsid w:val="007833D7"/>
    <w:rsid w:val="0078351D"/>
    <w:rsid w:val="007835FD"/>
    <w:rsid w:val="00783607"/>
    <w:rsid w:val="007836EE"/>
    <w:rsid w:val="00783817"/>
    <w:rsid w:val="00783896"/>
    <w:rsid w:val="007839F9"/>
    <w:rsid w:val="00783AC0"/>
    <w:rsid w:val="00783C0F"/>
    <w:rsid w:val="00783C3E"/>
    <w:rsid w:val="00783DF7"/>
    <w:rsid w:val="007840E2"/>
    <w:rsid w:val="00784480"/>
    <w:rsid w:val="00784499"/>
    <w:rsid w:val="007844B9"/>
    <w:rsid w:val="007844DD"/>
    <w:rsid w:val="00784773"/>
    <w:rsid w:val="00784796"/>
    <w:rsid w:val="007848F9"/>
    <w:rsid w:val="00784A69"/>
    <w:rsid w:val="00784E8E"/>
    <w:rsid w:val="0078502D"/>
    <w:rsid w:val="0078510A"/>
    <w:rsid w:val="0078518F"/>
    <w:rsid w:val="00785411"/>
    <w:rsid w:val="007857C1"/>
    <w:rsid w:val="0078589C"/>
    <w:rsid w:val="00785A42"/>
    <w:rsid w:val="00785A74"/>
    <w:rsid w:val="00785C3C"/>
    <w:rsid w:val="00785DD0"/>
    <w:rsid w:val="0078604A"/>
    <w:rsid w:val="0078609C"/>
    <w:rsid w:val="007864A3"/>
    <w:rsid w:val="00786A56"/>
    <w:rsid w:val="00786B89"/>
    <w:rsid w:val="00786D4C"/>
    <w:rsid w:val="00786D70"/>
    <w:rsid w:val="00786E58"/>
    <w:rsid w:val="00787189"/>
    <w:rsid w:val="007875D8"/>
    <w:rsid w:val="007877DE"/>
    <w:rsid w:val="0078795A"/>
    <w:rsid w:val="00787A5D"/>
    <w:rsid w:val="00787A64"/>
    <w:rsid w:val="00787B32"/>
    <w:rsid w:val="00787D41"/>
    <w:rsid w:val="0079023C"/>
    <w:rsid w:val="0079057F"/>
    <w:rsid w:val="007906D7"/>
    <w:rsid w:val="00790B1A"/>
    <w:rsid w:val="00790CC2"/>
    <w:rsid w:val="00790F71"/>
    <w:rsid w:val="00791280"/>
    <w:rsid w:val="007912C5"/>
    <w:rsid w:val="007913A7"/>
    <w:rsid w:val="007914F7"/>
    <w:rsid w:val="00791E4B"/>
    <w:rsid w:val="00791FFF"/>
    <w:rsid w:val="00792508"/>
    <w:rsid w:val="0079252F"/>
    <w:rsid w:val="0079295F"/>
    <w:rsid w:val="00792AC3"/>
    <w:rsid w:val="00792C9D"/>
    <w:rsid w:val="00792EB5"/>
    <w:rsid w:val="00793056"/>
    <w:rsid w:val="00793452"/>
    <w:rsid w:val="00793AC3"/>
    <w:rsid w:val="00794001"/>
    <w:rsid w:val="0079437E"/>
    <w:rsid w:val="0079459D"/>
    <w:rsid w:val="007947E1"/>
    <w:rsid w:val="00794BA2"/>
    <w:rsid w:val="00794D12"/>
    <w:rsid w:val="00794DA7"/>
    <w:rsid w:val="00794E85"/>
    <w:rsid w:val="00794FDB"/>
    <w:rsid w:val="007952EC"/>
    <w:rsid w:val="007953CE"/>
    <w:rsid w:val="007955E2"/>
    <w:rsid w:val="00795616"/>
    <w:rsid w:val="00795AB3"/>
    <w:rsid w:val="00795AEA"/>
    <w:rsid w:val="00795B32"/>
    <w:rsid w:val="00795BB2"/>
    <w:rsid w:val="00796207"/>
    <w:rsid w:val="0079670B"/>
    <w:rsid w:val="007967B8"/>
    <w:rsid w:val="00796C08"/>
    <w:rsid w:val="00797213"/>
    <w:rsid w:val="0079724B"/>
    <w:rsid w:val="0079772E"/>
    <w:rsid w:val="00797789"/>
    <w:rsid w:val="00797CDE"/>
    <w:rsid w:val="00797D2A"/>
    <w:rsid w:val="007A0067"/>
    <w:rsid w:val="007A0085"/>
    <w:rsid w:val="007A0219"/>
    <w:rsid w:val="007A0392"/>
    <w:rsid w:val="007A04F4"/>
    <w:rsid w:val="007A069A"/>
    <w:rsid w:val="007A0B02"/>
    <w:rsid w:val="007A0FF0"/>
    <w:rsid w:val="007A157C"/>
    <w:rsid w:val="007A1C6E"/>
    <w:rsid w:val="007A1DE6"/>
    <w:rsid w:val="007A20BD"/>
    <w:rsid w:val="007A21E3"/>
    <w:rsid w:val="007A22D9"/>
    <w:rsid w:val="007A2341"/>
    <w:rsid w:val="007A2361"/>
    <w:rsid w:val="007A24C4"/>
    <w:rsid w:val="007A2B3E"/>
    <w:rsid w:val="007A2B96"/>
    <w:rsid w:val="007A2ED8"/>
    <w:rsid w:val="007A2F4D"/>
    <w:rsid w:val="007A315D"/>
    <w:rsid w:val="007A3279"/>
    <w:rsid w:val="007A34D4"/>
    <w:rsid w:val="007A3B01"/>
    <w:rsid w:val="007A3C14"/>
    <w:rsid w:val="007A3C29"/>
    <w:rsid w:val="007A40FA"/>
    <w:rsid w:val="007A4191"/>
    <w:rsid w:val="007A4294"/>
    <w:rsid w:val="007A462F"/>
    <w:rsid w:val="007A49EE"/>
    <w:rsid w:val="007A4A4E"/>
    <w:rsid w:val="007A4B34"/>
    <w:rsid w:val="007A4DD5"/>
    <w:rsid w:val="007A50B8"/>
    <w:rsid w:val="007A5114"/>
    <w:rsid w:val="007A5173"/>
    <w:rsid w:val="007A6124"/>
    <w:rsid w:val="007A615D"/>
    <w:rsid w:val="007A61A1"/>
    <w:rsid w:val="007A621C"/>
    <w:rsid w:val="007A66F4"/>
    <w:rsid w:val="007A6BB7"/>
    <w:rsid w:val="007A6CF2"/>
    <w:rsid w:val="007A6D11"/>
    <w:rsid w:val="007A6EF7"/>
    <w:rsid w:val="007A6F7B"/>
    <w:rsid w:val="007A6FBF"/>
    <w:rsid w:val="007A71CD"/>
    <w:rsid w:val="007A73DC"/>
    <w:rsid w:val="007A7436"/>
    <w:rsid w:val="007A7960"/>
    <w:rsid w:val="007A7A8F"/>
    <w:rsid w:val="007A7DD8"/>
    <w:rsid w:val="007B0240"/>
    <w:rsid w:val="007B0448"/>
    <w:rsid w:val="007B0482"/>
    <w:rsid w:val="007B0527"/>
    <w:rsid w:val="007B094F"/>
    <w:rsid w:val="007B11B0"/>
    <w:rsid w:val="007B1231"/>
    <w:rsid w:val="007B135A"/>
    <w:rsid w:val="007B139D"/>
    <w:rsid w:val="007B162D"/>
    <w:rsid w:val="007B16A5"/>
    <w:rsid w:val="007B16A9"/>
    <w:rsid w:val="007B16F5"/>
    <w:rsid w:val="007B1A8F"/>
    <w:rsid w:val="007B1B37"/>
    <w:rsid w:val="007B1DC8"/>
    <w:rsid w:val="007B1EC2"/>
    <w:rsid w:val="007B2522"/>
    <w:rsid w:val="007B25A2"/>
    <w:rsid w:val="007B2812"/>
    <w:rsid w:val="007B2BF6"/>
    <w:rsid w:val="007B2C4F"/>
    <w:rsid w:val="007B2FC8"/>
    <w:rsid w:val="007B2FEE"/>
    <w:rsid w:val="007B3012"/>
    <w:rsid w:val="007B305E"/>
    <w:rsid w:val="007B32E8"/>
    <w:rsid w:val="007B3651"/>
    <w:rsid w:val="007B378B"/>
    <w:rsid w:val="007B3B3C"/>
    <w:rsid w:val="007B3F87"/>
    <w:rsid w:val="007B41F6"/>
    <w:rsid w:val="007B4345"/>
    <w:rsid w:val="007B4366"/>
    <w:rsid w:val="007B4370"/>
    <w:rsid w:val="007B49EF"/>
    <w:rsid w:val="007B4B4F"/>
    <w:rsid w:val="007B4C02"/>
    <w:rsid w:val="007B4FF9"/>
    <w:rsid w:val="007B509E"/>
    <w:rsid w:val="007B5518"/>
    <w:rsid w:val="007B5729"/>
    <w:rsid w:val="007B592B"/>
    <w:rsid w:val="007B5AC0"/>
    <w:rsid w:val="007B5C45"/>
    <w:rsid w:val="007B5C5E"/>
    <w:rsid w:val="007B5CAA"/>
    <w:rsid w:val="007B5DE2"/>
    <w:rsid w:val="007B631E"/>
    <w:rsid w:val="007B67D6"/>
    <w:rsid w:val="007B6A3B"/>
    <w:rsid w:val="007B6BE7"/>
    <w:rsid w:val="007B6D02"/>
    <w:rsid w:val="007B6D45"/>
    <w:rsid w:val="007B6E94"/>
    <w:rsid w:val="007B6EB4"/>
    <w:rsid w:val="007B708F"/>
    <w:rsid w:val="007B7366"/>
    <w:rsid w:val="007B74BB"/>
    <w:rsid w:val="007B74E0"/>
    <w:rsid w:val="007B7506"/>
    <w:rsid w:val="007B7B0B"/>
    <w:rsid w:val="007B7B13"/>
    <w:rsid w:val="007B7B42"/>
    <w:rsid w:val="007B7BCB"/>
    <w:rsid w:val="007B7BDC"/>
    <w:rsid w:val="007B7EDF"/>
    <w:rsid w:val="007C015B"/>
    <w:rsid w:val="007C0330"/>
    <w:rsid w:val="007C0437"/>
    <w:rsid w:val="007C053E"/>
    <w:rsid w:val="007C0CFD"/>
    <w:rsid w:val="007C0D9E"/>
    <w:rsid w:val="007C0E29"/>
    <w:rsid w:val="007C103B"/>
    <w:rsid w:val="007C1130"/>
    <w:rsid w:val="007C14A0"/>
    <w:rsid w:val="007C1555"/>
    <w:rsid w:val="007C1643"/>
    <w:rsid w:val="007C1751"/>
    <w:rsid w:val="007C1936"/>
    <w:rsid w:val="007C1B18"/>
    <w:rsid w:val="007C1C3A"/>
    <w:rsid w:val="007C1E8A"/>
    <w:rsid w:val="007C24BE"/>
    <w:rsid w:val="007C2606"/>
    <w:rsid w:val="007C27B3"/>
    <w:rsid w:val="007C27F0"/>
    <w:rsid w:val="007C2A0D"/>
    <w:rsid w:val="007C2CDD"/>
    <w:rsid w:val="007C2DBB"/>
    <w:rsid w:val="007C2DE5"/>
    <w:rsid w:val="007C2ED7"/>
    <w:rsid w:val="007C33AB"/>
    <w:rsid w:val="007C354F"/>
    <w:rsid w:val="007C3682"/>
    <w:rsid w:val="007C3716"/>
    <w:rsid w:val="007C37CF"/>
    <w:rsid w:val="007C3806"/>
    <w:rsid w:val="007C3A98"/>
    <w:rsid w:val="007C3EBB"/>
    <w:rsid w:val="007C4194"/>
    <w:rsid w:val="007C4243"/>
    <w:rsid w:val="007C473E"/>
    <w:rsid w:val="007C4938"/>
    <w:rsid w:val="007C49AB"/>
    <w:rsid w:val="007C4A1B"/>
    <w:rsid w:val="007C4BBB"/>
    <w:rsid w:val="007C4BD0"/>
    <w:rsid w:val="007C4F0E"/>
    <w:rsid w:val="007C5163"/>
    <w:rsid w:val="007C52F3"/>
    <w:rsid w:val="007C563D"/>
    <w:rsid w:val="007C56B1"/>
    <w:rsid w:val="007C57D1"/>
    <w:rsid w:val="007C5ACF"/>
    <w:rsid w:val="007C5D94"/>
    <w:rsid w:val="007C5F86"/>
    <w:rsid w:val="007C6003"/>
    <w:rsid w:val="007C6B7C"/>
    <w:rsid w:val="007C7679"/>
    <w:rsid w:val="007C76DA"/>
    <w:rsid w:val="007C78DD"/>
    <w:rsid w:val="007C7922"/>
    <w:rsid w:val="007C7978"/>
    <w:rsid w:val="007C79DF"/>
    <w:rsid w:val="007C7B63"/>
    <w:rsid w:val="007D01C4"/>
    <w:rsid w:val="007D0235"/>
    <w:rsid w:val="007D02A1"/>
    <w:rsid w:val="007D0A96"/>
    <w:rsid w:val="007D0B01"/>
    <w:rsid w:val="007D0BE2"/>
    <w:rsid w:val="007D0DE3"/>
    <w:rsid w:val="007D0EE3"/>
    <w:rsid w:val="007D127C"/>
    <w:rsid w:val="007D139F"/>
    <w:rsid w:val="007D18C0"/>
    <w:rsid w:val="007D197E"/>
    <w:rsid w:val="007D1B64"/>
    <w:rsid w:val="007D1F2A"/>
    <w:rsid w:val="007D20BE"/>
    <w:rsid w:val="007D210E"/>
    <w:rsid w:val="007D24A5"/>
    <w:rsid w:val="007D2548"/>
    <w:rsid w:val="007D2AC6"/>
    <w:rsid w:val="007D2B25"/>
    <w:rsid w:val="007D2D76"/>
    <w:rsid w:val="007D2E26"/>
    <w:rsid w:val="007D31C6"/>
    <w:rsid w:val="007D3AD9"/>
    <w:rsid w:val="007D3B31"/>
    <w:rsid w:val="007D3C05"/>
    <w:rsid w:val="007D3E88"/>
    <w:rsid w:val="007D424D"/>
    <w:rsid w:val="007D4BC7"/>
    <w:rsid w:val="007D4CD2"/>
    <w:rsid w:val="007D53FC"/>
    <w:rsid w:val="007D568C"/>
    <w:rsid w:val="007D586B"/>
    <w:rsid w:val="007D6332"/>
    <w:rsid w:val="007D661A"/>
    <w:rsid w:val="007D6D22"/>
    <w:rsid w:val="007D6FFC"/>
    <w:rsid w:val="007D71D8"/>
    <w:rsid w:val="007D746C"/>
    <w:rsid w:val="007D7665"/>
    <w:rsid w:val="007D7B1E"/>
    <w:rsid w:val="007E012C"/>
    <w:rsid w:val="007E0648"/>
    <w:rsid w:val="007E0F24"/>
    <w:rsid w:val="007E104E"/>
    <w:rsid w:val="007E1130"/>
    <w:rsid w:val="007E1253"/>
    <w:rsid w:val="007E1292"/>
    <w:rsid w:val="007E153C"/>
    <w:rsid w:val="007E1772"/>
    <w:rsid w:val="007E21D8"/>
    <w:rsid w:val="007E2268"/>
    <w:rsid w:val="007E243B"/>
    <w:rsid w:val="007E25E5"/>
    <w:rsid w:val="007E2709"/>
    <w:rsid w:val="007E28C5"/>
    <w:rsid w:val="007E28D9"/>
    <w:rsid w:val="007E2C2E"/>
    <w:rsid w:val="007E2E38"/>
    <w:rsid w:val="007E2EE0"/>
    <w:rsid w:val="007E3168"/>
    <w:rsid w:val="007E3688"/>
    <w:rsid w:val="007E3D35"/>
    <w:rsid w:val="007E41E7"/>
    <w:rsid w:val="007E44F7"/>
    <w:rsid w:val="007E464D"/>
    <w:rsid w:val="007E475F"/>
    <w:rsid w:val="007E4A02"/>
    <w:rsid w:val="007E4CAD"/>
    <w:rsid w:val="007E5398"/>
    <w:rsid w:val="007E55E7"/>
    <w:rsid w:val="007E56A4"/>
    <w:rsid w:val="007E584F"/>
    <w:rsid w:val="007E58B4"/>
    <w:rsid w:val="007E5B5C"/>
    <w:rsid w:val="007E5F88"/>
    <w:rsid w:val="007E63E7"/>
    <w:rsid w:val="007E6515"/>
    <w:rsid w:val="007E6554"/>
    <w:rsid w:val="007E6768"/>
    <w:rsid w:val="007E6C64"/>
    <w:rsid w:val="007E6D19"/>
    <w:rsid w:val="007E73AC"/>
    <w:rsid w:val="007E745E"/>
    <w:rsid w:val="007E7544"/>
    <w:rsid w:val="007E7679"/>
    <w:rsid w:val="007E7785"/>
    <w:rsid w:val="007E78A7"/>
    <w:rsid w:val="007E7B71"/>
    <w:rsid w:val="007E7F6F"/>
    <w:rsid w:val="007E7FDE"/>
    <w:rsid w:val="007F025C"/>
    <w:rsid w:val="007F0650"/>
    <w:rsid w:val="007F074A"/>
    <w:rsid w:val="007F07AE"/>
    <w:rsid w:val="007F08A3"/>
    <w:rsid w:val="007F0F8E"/>
    <w:rsid w:val="007F1416"/>
    <w:rsid w:val="007F1445"/>
    <w:rsid w:val="007F1524"/>
    <w:rsid w:val="007F182E"/>
    <w:rsid w:val="007F1890"/>
    <w:rsid w:val="007F19F8"/>
    <w:rsid w:val="007F1E74"/>
    <w:rsid w:val="007F1E89"/>
    <w:rsid w:val="007F20E3"/>
    <w:rsid w:val="007F2221"/>
    <w:rsid w:val="007F2378"/>
    <w:rsid w:val="007F241E"/>
    <w:rsid w:val="007F26F8"/>
    <w:rsid w:val="007F28F0"/>
    <w:rsid w:val="007F2F15"/>
    <w:rsid w:val="007F33F1"/>
    <w:rsid w:val="007F352A"/>
    <w:rsid w:val="007F361A"/>
    <w:rsid w:val="007F3B52"/>
    <w:rsid w:val="007F3B75"/>
    <w:rsid w:val="007F4008"/>
    <w:rsid w:val="007F452A"/>
    <w:rsid w:val="007F471E"/>
    <w:rsid w:val="007F4B7B"/>
    <w:rsid w:val="007F4EF6"/>
    <w:rsid w:val="007F51C5"/>
    <w:rsid w:val="007F5411"/>
    <w:rsid w:val="007F5525"/>
    <w:rsid w:val="007F5901"/>
    <w:rsid w:val="007F5D02"/>
    <w:rsid w:val="007F5DFD"/>
    <w:rsid w:val="007F60D8"/>
    <w:rsid w:val="007F62E7"/>
    <w:rsid w:val="007F6405"/>
    <w:rsid w:val="007F6DD2"/>
    <w:rsid w:val="007F6E1D"/>
    <w:rsid w:val="007F6EF6"/>
    <w:rsid w:val="007F7181"/>
    <w:rsid w:val="007F72D9"/>
    <w:rsid w:val="007F739E"/>
    <w:rsid w:val="007F740E"/>
    <w:rsid w:val="007F7921"/>
    <w:rsid w:val="007F7930"/>
    <w:rsid w:val="007F7B4C"/>
    <w:rsid w:val="007F7BEC"/>
    <w:rsid w:val="007F7DCE"/>
    <w:rsid w:val="007F7E73"/>
    <w:rsid w:val="00800107"/>
    <w:rsid w:val="008002C7"/>
    <w:rsid w:val="0080059D"/>
    <w:rsid w:val="008006A6"/>
    <w:rsid w:val="008007A7"/>
    <w:rsid w:val="0080087C"/>
    <w:rsid w:val="00800950"/>
    <w:rsid w:val="00800BFA"/>
    <w:rsid w:val="0080150F"/>
    <w:rsid w:val="00801B4E"/>
    <w:rsid w:val="00801C9E"/>
    <w:rsid w:val="00801EAC"/>
    <w:rsid w:val="00802162"/>
    <w:rsid w:val="00802348"/>
    <w:rsid w:val="008029F5"/>
    <w:rsid w:val="00802AC3"/>
    <w:rsid w:val="00802AC7"/>
    <w:rsid w:val="00802BE7"/>
    <w:rsid w:val="00802CD8"/>
    <w:rsid w:val="0080378E"/>
    <w:rsid w:val="00803845"/>
    <w:rsid w:val="008044F8"/>
    <w:rsid w:val="008047B0"/>
    <w:rsid w:val="008050B2"/>
    <w:rsid w:val="00805170"/>
    <w:rsid w:val="00805277"/>
    <w:rsid w:val="0080543C"/>
    <w:rsid w:val="0080591D"/>
    <w:rsid w:val="00805BE1"/>
    <w:rsid w:val="00805DDF"/>
    <w:rsid w:val="00805F35"/>
    <w:rsid w:val="0080609E"/>
    <w:rsid w:val="00806305"/>
    <w:rsid w:val="008066B7"/>
    <w:rsid w:val="008069B7"/>
    <w:rsid w:val="00806A36"/>
    <w:rsid w:val="00806D42"/>
    <w:rsid w:val="008070F0"/>
    <w:rsid w:val="00807246"/>
    <w:rsid w:val="00807336"/>
    <w:rsid w:val="00807665"/>
    <w:rsid w:val="00807A47"/>
    <w:rsid w:val="00807A66"/>
    <w:rsid w:val="0081021B"/>
    <w:rsid w:val="008104D9"/>
    <w:rsid w:val="0081074A"/>
    <w:rsid w:val="008107A1"/>
    <w:rsid w:val="00810AC3"/>
    <w:rsid w:val="00810ECD"/>
    <w:rsid w:val="0081134D"/>
    <w:rsid w:val="0081141A"/>
    <w:rsid w:val="00811587"/>
    <w:rsid w:val="00811E18"/>
    <w:rsid w:val="008120C8"/>
    <w:rsid w:val="00812186"/>
    <w:rsid w:val="00812226"/>
    <w:rsid w:val="008122B2"/>
    <w:rsid w:val="00812F17"/>
    <w:rsid w:val="00812F82"/>
    <w:rsid w:val="00813420"/>
    <w:rsid w:val="0081342F"/>
    <w:rsid w:val="00813608"/>
    <w:rsid w:val="00813858"/>
    <w:rsid w:val="008138D3"/>
    <w:rsid w:val="00813CFD"/>
    <w:rsid w:val="00813DA4"/>
    <w:rsid w:val="008144C7"/>
    <w:rsid w:val="00814536"/>
    <w:rsid w:val="00814693"/>
    <w:rsid w:val="00814774"/>
    <w:rsid w:val="00814BC6"/>
    <w:rsid w:val="0081514A"/>
    <w:rsid w:val="00815579"/>
    <w:rsid w:val="00815840"/>
    <w:rsid w:val="0081586A"/>
    <w:rsid w:val="00815882"/>
    <w:rsid w:val="008159B0"/>
    <w:rsid w:val="00816291"/>
    <w:rsid w:val="008163AF"/>
    <w:rsid w:val="00816510"/>
    <w:rsid w:val="00816572"/>
    <w:rsid w:val="00816893"/>
    <w:rsid w:val="00816A21"/>
    <w:rsid w:val="00816F4A"/>
    <w:rsid w:val="008170B6"/>
    <w:rsid w:val="00817790"/>
    <w:rsid w:val="00817E8A"/>
    <w:rsid w:val="00817EB3"/>
    <w:rsid w:val="00817EC4"/>
    <w:rsid w:val="008201FA"/>
    <w:rsid w:val="008202C9"/>
    <w:rsid w:val="0082050A"/>
    <w:rsid w:val="008206EC"/>
    <w:rsid w:val="008209B7"/>
    <w:rsid w:val="008209D1"/>
    <w:rsid w:val="00820C28"/>
    <w:rsid w:val="008213AE"/>
    <w:rsid w:val="00821574"/>
    <w:rsid w:val="008216D5"/>
    <w:rsid w:val="00821724"/>
    <w:rsid w:val="00821865"/>
    <w:rsid w:val="0082190D"/>
    <w:rsid w:val="00821BBC"/>
    <w:rsid w:val="008220B1"/>
    <w:rsid w:val="00822558"/>
    <w:rsid w:val="008226EB"/>
    <w:rsid w:val="008229D1"/>
    <w:rsid w:val="00822AA7"/>
    <w:rsid w:val="00822DAB"/>
    <w:rsid w:val="00822EEC"/>
    <w:rsid w:val="00823105"/>
    <w:rsid w:val="00823195"/>
    <w:rsid w:val="0082336A"/>
    <w:rsid w:val="0082361C"/>
    <w:rsid w:val="00823922"/>
    <w:rsid w:val="00823B46"/>
    <w:rsid w:val="00823C17"/>
    <w:rsid w:val="00823D71"/>
    <w:rsid w:val="00823F8E"/>
    <w:rsid w:val="008240F9"/>
    <w:rsid w:val="0082426D"/>
    <w:rsid w:val="0082436F"/>
    <w:rsid w:val="008245C2"/>
    <w:rsid w:val="008245E5"/>
    <w:rsid w:val="00824DBA"/>
    <w:rsid w:val="00825028"/>
    <w:rsid w:val="008250B0"/>
    <w:rsid w:val="0082564D"/>
    <w:rsid w:val="00826020"/>
    <w:rsid w:val="0082624D"/>
    <w:rsid w:val="00826259"/>
    <w:rsid w:val="00826557"/>
    <w:rsid w:val="008268A6"/>
    <w:rsid w:val="00826CBC"/>
    <w:rsid w:val="00826F6F"/>
    <w:rsid w:val="00826FBE"/>
    <w:rsid w:val="0082741F"/>
    <w:rsid w:val="00827566"/>
    <w:rsid w:val="008275A1"/>
    <w:rsid w:val="008275B4"/>
    <w:rsid w:val="008275E9"/>
    <w:rsid w:val="00827867"/>
    <w:rsid w:val="00830033"/>
    <w:rsid w:val="008301DB"/>
    <w:rsid w:val="008303C7"/>
    <w:rsid w:val="00830A1E"/>
    <w:rsid w:val="00830C5F"/>
    <w:rsid w:val="00830F13"/>
    <w:rsid w:val="00830F16"/>
    <w:rsid w:val="008317EB"/>
    <w:rsid w:val="008318A2"/>
    <w:rsid w:val="008318C0"/>
    <w:rsid w:val="0083192E"/>
    <w:rsid w:val="00831DE1"/>
    <w:rsid w:val="00831EEC"/>
    <w:rsid w:val="00832450"/>
    <w:rsid w:val="008328F3"/>
    <w:rsid w:val="008329DD"/>
    <w:rsid w:val="00832BC9"/>
    <w:rsid w:val="00832C0F"/>
    <w:rsid w:val="00832DFA"/>
    <w:rsid w:val="0083307B"/>
    <w:rsid w:val="0083328D"/>
    <w:rsid w:val="008333B7"/>
    <w:rsid w:val="00833627"/>
    <w:rsid w:val="00833C6B"/>
    <w:rsid w:val="008344DE"/>
    <w:rsid w:val="008344F3"/>
    <w:rsid w:val="0083477B"/>
    <w:rsid w:val="00834837"/>
    <w:rsid w:val="0083494D"/>
    <w:rsid w:val="00834AA9"/>
    <w:rsid w:val="00834D75"/>
    <w:rsid w:val="00835007"/>
    <w:rsid w:val="0083564D"/>
    <w:rsid w:val="008356DE"/>
    <w:rsid w:val="00835B9E"/>
    <w:rsid w:val="00835BAC"/>
    <w:rsid w:val="00835BC1"/>
    <w:rsid w:val="00835CE6"/>
    <w:rsid w:val="00835DEC"/>
    <w:rsid w:val="00835EF8"/>
    <w:rsid w:val="008361AE"/>
    <w:rsid w:val="0083667E"/>
    <w:rsid w:val="008367BD"/>
    <w:rsid w:val="008368D3"/>
    <w:rsid w:val="008373BD"/>
    <w:rsid w:val="008374C1"/>
    <w:rsid w:val="00837530"/>
    <w:rsid w:val="00837532"/>
    <w:rsid w:val="00837E1C"/>
    <w:rsid w:val="008401DC"/>
    <w:rsid w:val="008402B3"/>
    <w:rsid w:val="00840347"/>
    <w:rsid w:val="008405D8"/>
    <w:rsid w:val="00840774"/>
    <w:rsid w:val="00840861"/>
    <w:rsid w:val="00840899"/>
    <w:rsid w:val="00840C10"/>
    <w:rsid w:val="00840D07"/>
    <w:rsid w:val="00840D7E"/>
    <w:rsid w:val="00840E66"/>
    <w:rsid w:val="00840F85"/>
    <w:rsid w:val="0084100A"/>
    <w:rsid w:val="0084117C"/>
    <w:rsid w:val="00841746"/>
    <w:rsid w:val="00841823"/>
    <w:rsid w:val="00841BEA"/>
    <w:rsid w:val="00841D0C"/>
    <w:rsid w:val="00841D97"/>
    <w:rsid w:val="00841E38"/>
    <w:rsid w:val="00841F0D"/>
    <w:rsid w:val="00841F56"/>
    <w:rsid w:val="0084228C"/>
    <w:rsid w:val="00842430"/>
    <w:rsid w:val="008425FC"/>
    <w:rsid w:val="00842655"/>
    <w:rsid w:val="0084274D"/>
    <w:rsid w:val="00842896"/>
    <w:rsid w:val="008428ED"/>
    <w:rsid w:val="00842971"/>
    <w:rsid w:val="00842989"/>
    <w:rsid w:val="00842BF3"/>
    <w:rsid w:val="00842C07"/>
    <w:rsid w:val="00842EAE"/>
    <w:rsid w:val="0084314C"/>
    <w:rsid w:val="008431E2"/>
    <w:rsid w:val="008435C1"/>
    <w:rsid w:val="00843713"/>
    <w:rsid w:val="0084383F"/>
    <w:rsid w:val="008438D3"/>
    <w:rsid w:val="00843B08"/>
    <w:rsid w:val="00843B8B"/>
    <w:rsid w:val="00843F13"/>
    <w:rsid w:val="008448CD"/>
    <w:rsid w:val="008449BD"/>
    <w:rsid w:val="00844B7C"/>
    <w:rsid w:val="00844E8D"/>
    <w:rsid w:val="00844EB4"/>
    <w:rsid w:val="0084518B"/>
    <w:rsid w:val="00845418"/>
    <w:rsid w:val="00845ACA"/>
    <w:rsid w:val="008463F5"/>
    <w:rsid w:val="00846A3D"/>
    <w:rsid w:val="00846E59"/>
    <w:rsid w:val="00847142"/>
    <w:rsid w:val="008472FD"/>
    <w:rsid w:val="0084748D"/>
    <w:rsid w:val="008476FA"/>
    <w:rsid w:val="00847E30"/>
    <w:rsid w:val="008501C0"/>
    <w:rsid w:val="008501CC"/>
    <w:rsid w:val="00850848"/>
    <w:rsid w:val="00850A6D"/>
    <w:rsid w:val="00850C70"/>
    <w:rsid w:val="00850E3A"/>
    <w:rsid w:val="00850EBE"/>
    <w:rsid w:val="00851153"/>
    <w:rsid w:val="00851159"/>
    <w:rsid w:val="00851862"/>
    <w:rsid w:val="008519CD"/>
    <w:rsid w:val="008524A6"/>
    <w:rsid w:val="008525A8"/>
    <w:rsid w:val="008525F7"/>
    <w:rsid w:val="00852F20"/>
    <w:rsid w:val="00852F96"/>
    <w:rsid w:val="00852FF0"/>
    <w:rsid w:val="00853050"/>
    <w:rsid w:val="00853195"/>
    <w:rsid w:val="0085333A"/>
    <w:rsid w:val="00853550"/>
    <w:rsid w:val="00853716"/>
    <w:rsid w:val="0085373B"/>
    <w:rsid w:val="00853743"/>
    <w:rsid w:val="00853909"/>
    <w:rsid w:val="00853BA3"/>
    <w:rsid w:val="00853D47"/>
    <w:rsid w:val="00853EFF"/>
    <w:rsid w:val="00854165"/>
    <w:rsid w:val="0085444E"/>
    <w:rsid w:val="008547B2"/>
    <w:rsid w:val="00854E2C"/>
    <w:rsid w:val="00854E8A"/>
    <w:rsid w:val="00855414"/>
    <w:rsid w:val="0085564D"/>
    <w:rsid w:val="00855A01"/>
    <w:rsid w:val="00855CB3"/>
    <w:rsid w:val="00855D6B"/>
    <w:rsid w:val="00855E6A"/>
    <w:rsid w:val="00855E6E"/>
    <w:rsid w:val="00855F2D"/>
    <w:rsid w:val="00855FAC"/>
    <w:rsid w:val="00856533"/>
    <w:rsid w:val="00856602"/>
    <w:rsid w:val="00856764"/>
    <w:rsid w:val="008568DF"/>
    <w:rsid w:val="00856C1F"/>
    <w:rsid w:val="00856F56"/>
    <w:rsid w:val="008571EC"/>
    <w:rsid w:val="008572FD"/>
    <w:rsid w:val="00857509"/>
    <w:rsid w:val="008575D7"/>
    <w:rsid w:val="008576AE"/>
    <w:rsid w:val="008577A7"/>
    <w:rsid w:val="00857A76"/>
    <w:rsid w:val="00857AC1"/>
    <w:rsid w:val="00857B30"/>
    <w:rsid w:val="008602E9"/>
    <w:rsid w:val="00860321"/>
    <w:rsid w:val="008604FF"/>
    <w:rsid w:val="00860E40"/>
    <w:rsid w:val="00860F04"/>
    <w:rsid w:val="008614CF"/>
    <w:rsid w:val="008616C3"/>
    <w:rsid w:val="0086186D"/>
    <w:rsid w:val="008618E3"/>
    <w:rsid w:val="008619AC"/>
    <w:rsid w:val="00861BCB"/>
    <w:rsid w:val="00861C76"/>
    <w:rsid w:val="00861EFC"/>
    <w:rsid w:val="00862150"/>
    <w:rsid w:val="00862425"/>
    <w:rsid w:val="008624F3"/>
    <w:rsid w:val="008627FB"/>
    <w:rsid w:val="0086287C"/>
    <w:rsid w:val="00862A16"/>
    <w:rsid w:val="00862AD3"/>
    <w:rsid w:val="00862CF1"/>
    <w:rsid w:val="008631E3"/>
    <w:rsid w:val="00863946"/>
    <w:rsid w:val="00863A35"/>
    <w:rsid w:val="00863AD3"/>
    <w:rsid w:val="00864659"/>
    <w:rsid w:val="00864738"/>
    <w:rsid w:val="0086498D"/>
    <w:rsid w:val="008649D5"/>
    <w:rsid w:val="00864B08"/>
    <w:rsid w:val="00865148"/>
    <w:rsid w:val="008653A7"/>
    <w:rsid w:val="00865672"/>
    <w:rsid w:val="0086583B"/>
    <w:rsid w:val="0086593E"/>
    <w:rsid w:val="00865E1B"/>
    <w:rsid w:val="00865E3A"/>
    <w:rsid w:val="00865F1E"/>
    <w:rsid w:val="0086607E"/>
    <w:rsid w:val="008660C7"/>
    <w:rsid w:val="008663C0"/>
    <w:rsid w:val="0086663B"/>
    <w:rsid w:val="00866677"/>
    <w:rsid w:val="00866FFE"/>
    <w:rsid w:val="0086735C"/>
    <w:rsid w:val="00867543"/>
    <w:rsid w:val="008676F8"/>
    <w:rsid w:val="00867B01"/>
    <w:rsid w:val="00867D8C"/>
    <w:rsid w:val="00867E67"/>
    <w:rsid w:val="00867F7A"/>
    <w:rsid w:val="0087004C"/>
    <w:rsid w:val="00870084"/>
    <w:rsid w:val="0087034F"/>
    <w:rsid w:val="00870390"/>
    <w:rsid w:val="008707FA"/>
    <w:rsid w:val="00870D03"/>
    <w:rsid w:val="00870D23"/>
    <w:rsid w:val="00870E07"/>
    <w:rsid w:val="008711D8"/>
    <w:rsid w:val="008713DF"/>
    <w:rsid w:val="00871674"/>
    <w:rsid w:val="008716A6"/>
    <w:rsid w:val="008716BD"/>
    <w:rsid w:val="00871988"/>
    <w:rsid w:val="00871A43"/>
    <w:rsid w:val="00871AB1"/>
    <w:rsid w:val="00871C2A"/>
    <w:rsid w:val="00871D20"/>
    <w:rsid w:val="00871E5E"/>
    <w:rsid w:val="00871F1D"/>
    <w:rsid w:val="00871F61"/>
    <w:rsid w:val="00872198"/>
    <w:rsid w:val="00872215"/>
    <w:rsid w:val="008727D8"/>
    <w:rsid w:val="008728FC"/>
    <w:rsid w:val="00872A00"/>
    <w:rsid w:val="008730B1"/>
    <w:rsid w:val="008730F0"/>
    <w:rsid w:val="00873267"/>
    <w:rsid w:val="008732C1"/>
    <w:rsid w:val="00873463"/>
    <w:rsid w:val="008734AE"/>
    <w:rsid w:val="008734B4"/>
    <w:rsid w:val="008734D3"/>
    <w:rsid w:val="00873ADA"/>
    <w:rsid w:val="00873AFA"/>
    <w:rsid w:val="00873C70"/>
    <w:rsid w:val="00873DE9"/>
    <w:rsid w:val="00873F5D"/>
    <w:rsid w:val="008740DD"/>
    <w:rsid w:val="00874681"/>
    <w:rsid w:val="008746FF"/>
    <w:rsid w:val="00874CED"/>
    <w:rsid w:val="00875117"/>
    <w:rsid w:val="0087517A"/>
    <w:rsid w:val="008757DF"/>
    <w:rsid w:val="008757F2"/>
    <w:rsid w:val="00875B44"/>
    <w:rsid w:val="00875D09"/>
    <w:rsid w:val="008762D9"/>
    <w:rsid w:val="008767DE"/>
    <w:rsid w:val="00876B63"/>
    <w:rsid w:val="00876E57"/>
    <w:rsid w:val="00877700"/>
    <w:rsid w:val="00877955"/>
    <w:rsid w:val="0088027A"/>
    <w:rsid w:val="008806FF"/>
    <w:rsid w:val="008808FE"/>
    <w:rsid w:val="00880A02"/>
    <w:rsid w:val="00880A12"/>
    <w:rsid w:val="00881344"/>
    <w:rsid w:val="00881347"/>
    <w:rsid w:val="00881445"/>
    <w:rsid w:val="00881472"/>
    <w:rsid w:val="008816E0"/>
    <w:rsid w:val="00881721"/>
    <w:rsid w:val="00881DFB"/>
    <w:rsid w:val="0088215D"/>
    <w:rsid w:val="008823F1"/>
    <w:rsid w:val="00882446"/>
    <w:rsid w:val="008824B8"/>
    <w:rsid w:val="008825AA"/>
    <w:rsid w:val="008829F4"/>
    <w:rsid w:val="00882CBC"/>
    <w:rsid w:val="00883066"/>
    <w:rsid w:val="00883330"/>
    <w:rsid w:val="008833AC"/>
    <w:rsid w:val="008839CC"/>
    <w:rsid w:val="00883CC6"/>
    <w:rsid w:val="008842A3"/>
    <w:rsid w:val="0088437F"/>
    <w:rsid w:val="00884621"/>
    <w:rsid w:val="008849FD"/>
    <w:rsid w:val="00884A02"/>
    <w:rsid w:val="00884C4C"/>
    <w:rsid w:val="00884CE3"/>
    <w:rsid w:val="00884D06"/>
    <w:rsid w:val="00884E39"/>
    <w:rsid w:val="00884EA1"/>
    <w:rsid w:val="00884FAA"/>
    <w:rsid w:val="00885907"/>
    <w:rsid w:val="00885C63"/>
    <w:rsid w:val="00885D1A"/>
    <w:rsid w:val="00885EAA"/>
    <w:rsid w:val="0088629C"/>
    <w:rsid w:val="008866BC"/>
    <w:rsid w:val="008866C4"/>
    <w:rsid w:val="0088676C"/>
    <w:rsid w:val="008867DF"/>
    <w:rsid w:val="00886935"/>
    <w:rsid w:val="0088698C"/>
    <w:rsid w:val="008869C6"/>
    <w:rsid w:val="00886A2A"/>
    <w:rsid w:val="00886AEF"/>
    <w:rsid w:val="00886B9B"/>
    <w:rsid w:val="00886EBB"/>
    <w:rsid w:val="00886EBC"/>
    <w:rsid w:val="00887082"/>
    <w:rsid w:val="0088742A"/>
    <w:rsid w:val="008876EA"/>
    <w:rsid w:val="00887A5E"/>
    <w:rsid w:val="00887DB9"/>
    <w:rsid w:val="00887F1E"/>
    <w:rsid w:val="00887F9B"/>
    <w:rsid w:val="00890725"/>
    <w:rsid w:val="00890B35"/>
    <w:rsid w:val="00890D2F"/>
    <w:rsid w:val="00890ED2"/>
    <w:rsid w:val="00890EDC"/>
    <w:rsid w:val="0089106B"/>
    <w:rsid w:val="008911D3"/>
    <w:rsid w:val="008916E3"/>
    <w:rsid w:val="00891786"/>
    <w:rsid w:val="008918AA"/>
    <w:rsid w:val="00891BF9"/>
    <w:rsid w:val="00891CBD"/>
    <w:rsid w:val="008922AA"/>
    <w:rsid w:val="008924B1"/>
    <w:rsid w:val="00892CCA"/>
    <w:rsid w:val="00892F7D"/>
    <w:rsid w:val="0089337B"/>
    <w:rsid w:val="00893D73"/>
    <w:rsid w:val="00893ED8"/>
    <w:rsid w:val="00893F9B"/>
    <w:rsid w:val="008944DF"/>
    <w:rsid w:val="008945D1"/>
    <w:rsid w:val="00894612"/>
    <w:rsid w:val="008947E6"/>
    <w:rsid w:val="00894960"/>
    <w:rsid w:val="00894A7B"/>
    <w:rsid w:val="00894AE4"/>
    <w:rsid w:val="00894C0A"/>
    <w:rsid w:val="00894D2B"/>
    <w:rsid w:val="00894E83"/>
    <w:rsid w:val="00894F8D"/>
    <w:rsid w:val="00894FB1"/>
    <w:rsid w:val="00894FE6"/>
    <w:rsid w:val="0089502D"/>
    <w:rsid w:val="008951C8"/>
    <w:rsid w:val="00895229"/>
    <w:rsid w:val="0089537E"/>
    <w:rsid w:val="008954B4"/>
    <w:rsid w:val="0089564A"/>
    <w:rsid w:val="00895E70"/>
    <w:rsid w:val="0089638A"/>
    <w:rsid w:val="008966B0"/>
    <w:rsid w:val="00896D37"/>
    <w:rsid w:val="00896D5F"/>
    <w:rsid w:val="00896D68"/>
    <w:rsid w:val="00896FCB"/>
    <w:rsid w:val="008971C2"/>
    <w:rsid w:val="008975F8"/>
    <w:rsid w:val="00897698"/>
    <w:rsid w:val="008976AE"/>
    <w:rsid w:val="00897729"/>
    <w:rsid w:val="00897C49"/>
    <w:rsid w:val="00897DD9"/>
    <w:rsid w:val="008A0043"/>
    <w:rsid w:val="008A03AD"/>
    <w:rsid w:val="008A0448"/>
    <w:rsid w:val="008A0976"/>
    <w:rsid w:val="008A0C03"/>
    <w:rsid w:val="008A0DAE"/>
    <w:rsid w:val="008A0DFB"/>
    <w:rsid w:val="008A1631"/>
    <w:rsid w:val="008A1F4E"/>
    <w:rsid w:val="008A2042"/>
    <w:rsid w:val="008A217A"/>
    <w:rsid w:val="008A2675"/>
    <w:rsid w:val="008A2899"/>
    <w:rsid w:val="008A2A0F"/>
    <w:rsid w:val="008A2BC9"/>
    <w:rsid w:val="008A2C76"/>
    <w:rsid w:val="008A2F20"/>
    <w:rsid w:val="008A31CB"/>
    <w:rsid w:val="008A35FF"/>
    <w:rsid w:val="008A369C"/>
    <w:rsid w:val="008A387C"/>
    <w:rsid w:val="008A3A69"/>
    <w:rsid w:val="008A3C61"/>
    <w:rsid w:val="008A3CBD"/>
    <w:rsid w:val="008A3FCE"/>
    <w:rsid w:val="008A407D"/>
    <w:rsid w:val="008A421C"/>
    <w:rsid w:val="008A4272"/>
    <w:rsid w:val="008A42D3"/>
    <w:rsid w:val="008A46A4"/>
    <w:rsid w:val="008A4ADD"/>
    <w:rsid w:val="008A4C08"/>
    <w:rsid w:val="008A4EC7"/>
    <w:rsid w:val="008A4ED2"/>
    <w:rsid w:val="008A539F"/>
    <w:rsid w:val="008A6055"/>
    <w:rsid w:val="008A60F9"/>
    <w:rsid w:val="008A6152"/>
    <w:rsid w:val="008A63B6"/>
    <w:rsid w:val="008A689B"/>
    <w:rsid w:val="008A68AA"/>
    <w:rsid w:val="008A6D0E"/>
    <w:rsid w:val="008A7177"/>
    <w:rsid w:val="008A74FD"/>
    <w:rsid w:val="008A7501"/>
    <w:rsid w:val="008A7654"/>
    <w:rsid w:val="008A78D8"/>
    <w:rsid w:val="008A7AFB"/>
    <w:rsid w:val="008B064D"/>
    <w:rsid w:val="008B0A7A"/>
    <w:rsid w:val="008B0C95"/>
    <w:rsid w:val="008B1090"/>
    <w:rsid w:val="008B128C"/>
    <w:rsid w:val="008B1441"/>
    <w:rsid w:val="008B19B9"/>
    <w:rsid w:val="008B1C31"/>
    <w:rsid w:val="008B1C6C"/>
    <w:rsid w:val="008B1E69"/>
    <w:rsid w:val="008B2092"/>
    <w:rsid w:val="008B27F3"/>
    <w:rsid w:val="008B2875"/>
    <w:rsid w:val="008B2A35"/>
    <w:rsid w:val="008B2C7C"/>
    <w:rsid w:val="008B2CF0"/>
    <w:rsid w:val="008B35DC"/>
    <w:rsid w:val="008B361B"/>
    <w:rsid w:val="008B38AE"/>
    <w:rsid w:val="008B3AC6"/>
    <w:rsid w:val="008B3C04"/>
    <w:rsid w:val="008B3D53"/>
    <w:rsid w:val="008B40ED"/>
    <w:rsid w:val="008B4132"/>
    <w:rsid w:val="008B4586"/>
    <w:rsid w:val="008B4725"/>
    <w:rsid w:val="008B47B8"/>
    <w:rsid w:val="008B48E9"/>
    <w:rsid w:val="008B4B59"/>
    <w:rsid w:val="008B4E61"/>
    <w:rsid w:val="008B4F56"/>
    <w:rsid w:val="008B5061"/>
    <w:rsid w:val="008B533B"/>
    <w:rsid w:val="008B5AE3"/>
    <w:rsid w:val="008B5BEE"/>
    <w:rsid w:val="008B5E04"/>
    <w:rsid w:val="008B6116"/>
    <w:rsid w:val="008B63A5"/>
    <w:rsid w:val="008B6700"/>
    <w:rsid w:val="008B673B"/>
    <w:rsid w:val="008B6A65"/>
    <w:rsid w:val="008B6BB3"/>
    <w:rsid w:val="008B6C0D"/>
    <w:rsid w:val="008B6E35"/>
    <w:rsid w:val="008B6EBE"/>
    <w:rsid w:val="008B71BD"/>
    <w:rsid w:val="008B7AF6"/>
    <w:rsid w:val="008B7D94"/>
    <w:rsid w:val="008C02A9"/>
    <w:rsid w:val="008C05B6"/>
    <w:rsid w:val="008C0613"/>
    <w:rsid w:val="008C0862"/>
    <w:rsid w:val="008C08B5"/>
    <w:rsid w:val="008C0B48"/>
    <w:rsid w:val="008C0D07"/>
    <w:rsid w:val="008C18D4"/>
    <w:rsid w:val="008C1957"/>
    <w:rsid w:val="008C1B95"/>
    <w:rsid w:val="008C1D3A"/>
    <w:rsid w:val="008C2178"/>
    <w:rsid w:val="008C22D5"/>
    <w:rsid w:val="008C28FC"/>
    <w:rsid w:val="008C29E6"/>
    <w:rsid w:val="008C2CCD"/>
    <w:rsid w:val="008C3211"/>
    <w:rsid w:val="008C343E"/>
    <w:rsid w:val="008C39B8"/>
    <w:rsid w:val="008C3EB2"/>
    <w:rsid w:val="008C4120"/>
    <w:rsid w:val="008C4345"/>
    <w:rsid w:val="008C486F"/>
    <w:rsid w:val="008C4B1A"/>
    <w:rsid w:val="008C4B70"/>
    <w:rsid w:val="008C4B97"/>
    <w:rsid w:val="008C4CC5"/>
    <w:rsid w:val="008C51B0"/>
    <w:rsid w:val="008C5204"/>
    <w:rsid w:val="008C5B06"/>
    <w:rsid w:val="008C654F"/>
    <w:rsid w:val="008C67ED"/>
    <w:rsid w:val="008C6E52"/>
    <w:rsid w:val="008C6F8B"/>
    <w:rsid w:val="008C6FB1"/>
    <w:rsid w:val="008C7152"/>
    <w:rsid w:val="008C7346"/>
    <w:rsid w:val="008C73BD"/>
    <w:rsid w:val="008C7695"/>
    <w:rsid w:val="008C76A6"/>
    <w:rsid w:val="008C796F"/>
    <w:rsid w:val="008C7C39"/>
    <w:rsid w:val="008C7D6B"/>
    <w:rsid w:val="008C7F58"/>
    <w:rsid w:val="008D0055"/>
    <w:rsid w:val="008D06E2"/>
    <w:rsid w:val="008D09D3"/>
    <w:rsid w:val="008D09EF"/>
    <w:rsid w:val="008D0AC6"/>
    <w:rsid w:val="008D0D22"/>
    <w:rsid w:val="008D0D70"/>
    <w:rsid w:val="008D0F60"/>
    <w:rsid w:val="008D15C2"/>
    <w:rsid w:val="008D17F0"/>
    <w:rsid w:val="008D18E7"/>
    <w:rsid w:val="008D1C8F"/>
    <w:rsid w:val="008D1E02"/>
    <w:rsid w:val="008D26B0"/>
    <w:rsid w:val="008D28CD"/>
    <w:rsid w:val="008D2CF5"/>
    <w:rsid w:val="008D2E42"/>
    <w:rsid w:val="008D3259"/>
    <w:rsid w:val="008D34B0"/>
    <w:rsid w:val="008D36F0"/>
    <w:rsid w:val="008D37C8"/>
    <w:rsid w:val="008D3C50"/>
    <w:rsid w:val="008D3D23"/>
    <w:rsid w:val="008D3E3C"/>
    <w:rsid w:val="008D403E"/>
    <w:rsid w:val="008D425E"/>
    <w:rsid w:val="008D4376"/>
    <w:rsid w:val="008D43D2"/>
    <w:rsid w:val="008D47E9"/>
    <w:rsid w:val="008D48BE"/>
    <w:rsid w:val="008D4D6E"/>
    <w:rsid w:val="008D4DB7"/>
    <w:rsid w:val="008D4F97"/>
    <w:rsid w:val="008D52AB"/>
    <w:rsid w:val="008D5942"/>
    <w:rsid w:val="008D5A26"/>
    <w:rsid w:val="008D5FF0"/>
    <w:rsid w:val="008D619E"/>
    <w:rsid w:val="008D6551"/>
    <w:rsid w:val="008D66D1"/>
    <w:rsid w:val="008D68E5"/>
    <w:rsid w:val="008D6E32"/>
    <w:rsid w:val="008D7092"/>
    <w:rsid w:val="008D767A"/>
    <w:rsid w:val="008D77C9"/>
    <w:rsid w:val="008D78EB"/>
    <w:rsid w:val="008D7922"/>
    <w:rsid w:val="008D7C3B"/>
    <w:rsid w:val="008D7E79"/>
    <w:rsid w:val="008E00B5"/>
    <w:rsid w:val="008E027F"/>
    <w:rsid w:val="008E051E"/>
    <w:rsid w:val="008E0528"/>
    <w:rsid w:val="008E0588"/>
    <w:rsid w:val="008E0A26"/>
    <w:rsid w:val="008E143B"/>
    <w:rsid w:val="008E157C"/>
    <w:rsid w:val="008E15FC"/>
    <w:rsid w:val="008E188F"/>
    <w:rsid w:val="008E20FB"/>
    <w:rsid w:val="008E211E"/>
    <w:rsid w:val="008E22DE"/>
    <w:rsid w:val="008E25C6"/>
    <w:rsid w:val="008E2631"/>
    <w:rsid w:val="008E2B4D"/>
    <w:rsid w:val="008E2C95"/>
    <w:rsid w:val="008E2E85"/>
    <w:rsid w:val="008E2F56"/>
    <w:rsid w:val="008E2F5A"/>
    <w:rsid w:val="008E32F3"/>
    <w:rsid w:val="008E3349"/>
    <w:rsid w:val="008E357B"/>
    <w:rsid w:val="008E3634"/>
    <w:rsid w:val="008E384D"/>
    <w:rsid w:val="008E39A1"/>
    <w:rsid w:val="008E3C93"/>
    <w:rsid w:val="008E3D7E"/>
    <w:rsid w:val="008E3EEA"/>
    <w:rsid w:val="008E3F70"/>
    <w:rsid w:val="008E3FAB"/>
    <w:rsid w:val="008E4105"/>
    <w:rsid w:val="008E45E0"/>
    <w:rsid w:val="008E5742"/>
    <w:rsid w:val="008E5884"/>
    <w:rsid w:val="008E5A36"/>
    <w:rsid w:val="008E5BA9"/>
    <w:rsid w:val="008E5D4D"/>
    <w:rsid w:val="008E5F2E"/>
    <w:rsid w:val="008E60C1"/>
    <w:rsid w:val="008E634E"/>
    <w:rsid w:val="008E6514"/>
    <w:rsid w:val="008E689F"/>
    <w:rsid w:val="008E6941"/>
    <w:rsid w:val="008E6D91"/>
    <w:rsid w:val="008E6DA4"/>
    <w:rsid w:val="008E6DAC"/>
    <w:rsid w:val="008E6EA3"/>
    <w:rsid w:val="008E726E"/>
    <w:rsid w:val="008E74BB"/>
    <w:rsid w:val="008E7822"/>
    <w:rsid w:val="008E7A21"/>
    <w:rsid w:val="008E7D93"/>
    <w:rsid w:val="008E7DD1"/>
    <w:rsid w:val="008E7FA1"/>
    <w:rsid w:val="008F0170"/>
    <w:rsid w:val="008F0582"/>
    <w:rsid w:val="008F0739"/>
    <w:rsid w:val="008F087B"/>
    <w:rsid w:val="008F08D8"/>
    <w:rsid w:val="008F0F3D"/>
    <w:rsid w:val="008F10EF"/>
    <w:rsid w:val="008F1171"/>
    <w:rsid w:val="008F1256"/>
    <w:rsid w:val="008F183A"/>
    <w:rsid w:val="008F19DC"/>
    <w:rsid w:val="008F1F82"/>
    <w:rsid w:val="008F23B2"/>
    <w:rsid w:val="008F240C"/>
    <w:rsid w:val="008F2674"/>
    <w:rsid w:val="008F2BF2"/>
    <w:rsid w:val="008F3030"/>
    <w:rsid w:val="008F321D"/>
    <w:rsid w:val="008F3819"/>
    <w:rsid w:val="008F38D3"/>
    <w:rsid w:val="008F3CBE"/>
    <w:rsid w:val="008F3D0C"/>
    <w:rsid w:val="008F400E"/>
    <w:rsid w:val="008F47A2"/>
    <w:rsid w:val="008F4DAC"/>
    <w:rsid w:val="008F4DDD"/>
    <w:rsid w:val="008F53B5"/>
    <w:rsid w:val="008F53FC"/>
    <w:rsid w:val="008F59A8"/>
    <w:rsid w:val="008F5C37"/>
    <w:rsid w:val="008F5C6B"/>
    <w:rsid w:val="008F5DC3"/>
    <w:rsid w:val="008F6137"/>
    <w:rsid w:val="008F63DB"/>
    <w:rsid w:val="008F6425"/>
    <w:rsid w:val="008F64F5"/>
    <w:rsid w:val="008F6732"/>
    <w:rsid w:val="008F6840"/>
    <w:rsid w:val="008F6EF0"/>
    <w:rsid w:val="008F7067"/>
    <w:rsid w:val="008F71D7"/>
    <w:rsid w:val="008F72B5"/>
    <w:rsid w:val="008F734B"/>
    <w:rsid w:val="008F76B2"/>
    <w:rsid w:val="008F7ACA"/>
    <w:rsid w:val="008F7C28"/>
    <w:rsid w:val="008F7F12"/>
    <w:rsid w:val="00900037"/>
    <w:rsid w:val="0090004B"/>
    <w:rsid w:val="00900077"/>
    <w:rsid w:val="00900432"/>
    <w:rsid w:val="00900479"/>
    <w:rsid w:val="0090047B"/>
    <w:rsid w:val="00900679"/>
    <w:rsid w:val="00900E7A"/>
    <w:rsid w:val="00900ED8"/>
    <w:rsid w:val="0090153B"/>
    <w:rsid w:val="00901A5E"/>
    <w:rsid w:val="00901F67"/>
    <w:rsid w:val="0090216D"/>
    <w:rsid w:val="009026BC"/>
    <w:rsid w:val="00902C90"/>
    <w:rsid w:val="00902EAE"/>
    <w:rsid w:val="00903492"/>
    <w:rsid w:val="009034B7"/>
    <w:rsid w:val="00903645"/>
    <w:rsid w:val="009039EC"/>
    <w:rsid w:val="00903F4D"/>
    <w:rsid w:val="00904075"/>
    <w:rsid w:val="009044CC"/>
    <w:rsid w:val="00904757"/>
    <w:rsid w:val="009047DF"/>
    <w:rsid w:val="009048CB"/>
    <w:rsid w:val="00904ADB"/>
    <w:rsid w:val="00904B78"/>
    <w:rsid w:val="00904D66"/>
    <w:rsid w:val="00905413"/>
    <w:rsid w:val="009057F7"/>
    <w:rsid w:val="0090597B"/>
    <w:rsid w:val="009059F8"/>
    <w:rsid w:val="00905AB3"/>
    <w:rsid w:val="00905BBB"/>
    <w:rsid w:val="00905D0F"/>
    <w:rsid w:val="009068E0"/>
    <w:rsid w:val="00906B04"/>
    <w:rsid w:val="009074B6"/>
    <w:rsid w:val="009075FC"/>
    <w:rsid w:val="00907737"/>
    <w:rsid w:val="00907B2B"/>
    <w:rsid w:val="00907BDB"/>
    <w:rsid w:val="00907D16"/>
    <w:rsid w:val="00907D32"/>
    <w:rsid w:val="00907D7A"/>
    <w:rsid w:val="00907E5B"/>
    <w:rsid w:val="00907E6F"/>
    <w:rsid w:val="0091011A"/>
    <w:rsid w:val="009107AD"/>
    <w:rsid w:val="0091083A"/>
    <w:rsid w:val="00911059"/>
    <w:rsid w:val="0091140E"/>
    <w:rsid w:val="00911558"/>
    <w:rsid w:val="009116A9"/>
    <w:rsid w:val="00911A6B"/>
    <w:rsid w:val="00911B6D"/>
    <w:rsid w:val="00911D4E"/>
    <w:rsid w:val="009125F6"/>
    <w:rsid w:val="00912A72"/>
    <w:rsid w:val="00912D3E"/>
    <w:rsid w:val="00913620"/>
    <w:rsid w:val="00913D35"/>
    <w:rsid w:val="0091466B"/>
    <w:rsid w:val="00914C6D"/>
    <w:rsid w:val="00914D0F"/>
    <w:rsid w:val="00914E70"/>
    <w:rsid w:val="00914EE5"/>
    <w:rsid w:val="00915102"/>
    <w:rsid w:val="009155B0"/>
    <w:rsid w:val="00915619"/>
    <w:rsid w:val="009156A4"/>
    <w:rsid w:val="00915890"/>
    <w:rsid w:val="00915AD2"/>
    <w:rsid w:val="009165F1"/>
    <w:rsid w:val="00916813"/>
    <w:rsid w:val="00916CCB"/>
    <w:rsid w:val="0091728B"/>
    <w:rsid w:val="00917290"/>
    <w:rsid w:val="0091739B"/>
    <w:rsid w:val="00917A74"/>
    <w:rsid w:val="00917C28"/>
    <w:rsid w:val="00920133"/>
    <w:rsid w:val="00920452"/>
    <w:rsid w:val="0092050E"/>
    <w:rsid w:val="00920974"/>
    <w:rsid w:val="00920EAE"/>
    <w:rsid w:val="00920FC9"/>
    <w:rsid w:val="00921632"/>
    <w:rsid w:val="009217F8"/>
    <w:rsid w:val="00921987"/>
    <w:rsid w:val="00921BBF"/>
    <w:rsid w:val="00921EC2"/>
    <w:rsid w:val="00922324"/>
    <w:rsid w:val="009223B4"/>
    <w:rsid w:val="0092240E"/>
    <w:rsid w:val="009224E1"/>
    <w:rsid w:val="009224FC"/>
    <w:rsid w:val="009229FC"/>
    <w:rsid w:val="00922B1B"/>
    <w:rsid w:val="00922B5D"/>
    <w:rsid w:val="00922C7F"/>
    <w:rsid w:val="00923206"/>
    <w:rsid w:val="00923234"/>
    <w:rsid w:val="00923333"/>
    <w:rsid w:val="009235BD"/>
    <w:rsid w:val="0092378F"/>
    <w:rsid w:val="009237BA"/>
    <w:rsid w:val="00923847"/>
    <w:rsid w:val="00923980"/>
    <w:rsid w:val="00923E22"/>
    <w:rsid w:val="00924076"/>
    <w:rsid w:val="0092410F"/>
    <w:rsid w:val="0092412A"/>
    <w:rsid w:val="0092431A"/>
    <w:rsid w:val="00924450"/>
    <w:rsid w:val="00924562"/>
    <w:rsid w:val="00924766"/>
    <w:rsid w:val="0092485D"/>
    <w:rsid w:val="00924BD3"/>
    <w:rsid w:val="00924D47"/>
    <w:rsid w:val="009251E2"/>
    <w:rsid w:val="0092555D"/>
    <w:rsid w:val="00925928"/>
    <w:rsid w:val="0092595C"/>
    <w:rsid w:val="009259DB"/>
    <w:rsid w:val="00925B5F"/>
    <w:rsid w:val="00925C4B"/>
    <w:rsid w:val="009260E1"/>
    <w:rsid w:val="0092627E"/>
    <w:rsid w:val="00926418"/>
    <w:rsid w:val="0092648A"/>
    <w:rsid w:val="00926946"/>
    <w:rsid w:val="009269D7"/>
    <w:rsid w:val="00926B54"/>
    <w:rsid w:val="00926BAB"/>
    <w:rsid w:val="00926BBE"/>
    <w:rsid w:val="00926DB3"/>
    <w:rsid w:val="00926E97"/>
    <w:rsid w:val="00926EAB"/>
    <w:rsid w:val="00926F2D"/>
    <w:rsid w:val="0092709A"/>
    <w:rsid w:val="00927166"/>
    <w:rsid w:val="009279A3"/>
    <w:rsid w:val="00927D8B"/>
    <w:rsid w:val="00927EBA"/>
    <w:rsid w:val="0093018D"/>
    <w:rsid w:val="009303B3"/>
    <w:rsid w:val="0093078D"/>
    <w:rsid w:val="009307CF"/>
    <w:rsid w:val="009309BB"/>
    <w:rsid w:val="00930A95"/>
    <w:rsid w:val="00930B6E"/>
    <w:rsid w:val="00931165"/>
    <w:rsid w:val="0093135D"/>
    <w:rsid w:val="00931520"/>
    <w:rsid w:val="0093156D"/>
    <w:rsid w:val="009316B4"/>
    <w:rsid w:val="00931929"/>
    <w:rsid w:val="009319BE"/>
    <w:rsid w:val="00931A98"/>
    <w:rsid w:val="00931FBD"/>
    <w:rsid w:val="00932174"/>
    <w:rsid w:val="009322CC"/>
    <w:rsid w:val="00932322"/>
    <w:rsid w:val="00932536"/>
    <w:rsid w:val="009326E5"/>
    <w:rsid w:val="0093291D"/>
    <w:rsid w:val="009329AA"/>
    <w:rsid w:val="00932ACF"/>
    <w:rsid w:val="00932D37"/>
    <w:rsid w:val="00932D67"/>
    <w:rsid w:val="00932E30"/>
    <w:rsid w:val="00933170"/>
    <w:rsid w:val="0093324D"/>
    <w:rsid w:val="00933649"/>
    <w:rsid w:val="0093381F"/>
    <w:rsid w:val="0093407D"/>
    <w:rsid w:val="009340C4"/>
    <w:rsid w:val="0093426A"/>
    <w:rsid w:val="009344FF"/>
    <w:rsid w:val="00934E3A"/>
    <w:rsid w:val="009351C4"/>
    <w:rsid w:val="009355AB"/>
    <w:rsid w:val="00935624"/>
    <w:rsid w:val="00935729"/>
    <w:rsid w:val="00935857"/>
    <w:rsid w:val="00935A20"/>
    <w:rsid w:val="00935B41"/>
    <w:rsid w:val="00935C78"/>
    <w:rsid w:val="00935CB1"/>
    <w:rsid w:val="00935CEF"/>
    <w:rsid w:val="00935D43"/>
    <w:rsid w:val="0093614D"/>
    <w:rsid w:val="00936513"/>
    <w:rsid w:val="00936A89"/>
    <w:rsid w:val="00936C20"/>
    <w:rsid w:val="00936DF0"/>
    <w:rsid w:val="00937034"/>
    <w:rsid w:val="00937268"/>
    <w:rsid w:val="009375FC"/>
    <w:rsid w:val="00937640"/>
    <w:rsid w:val="009377F7"/>
    <w:rsid w:val="0094055E"/>
    <w:rsid w:val="009407D0"/>
    <w:rsid w:val="00940C9E"/>
    <w:rsid w:val="00940CD6"/>
    <w:rsid w:val="00940D76"/>
    <w:rsid w:val="00940EDE"/>
    <w:rsid w:val="0094126F"/>
    <w:rsid w:val="009416FF"/>
    <w:rsid w:val="00941750"/>
    <w:rsid w:val="00941BA9"/>
    <w:rsid w:val="00941BFE"/>
    <w:rsid w:val="00941D18"/>
    <w:rsid w:val="00941ED2"/>
    <w:rsid w:val="00941F81"/>
    <w:rsid w:val="00942131"/>
    <w:rsid w:val="00942335"/>
    <w:rsid w:val="009425EF"/>
    <w:rsid w:val="00942689"/>
    <w:rsid w:val="00942969"/>
    <w:rsid w:val="00942F31"/>
    <w:rsid w:val="0094318D"/>
    <w:rsid w:val="009433DA"/>
    <w:rsid w:val="009433DC"/>
    <w:rsid w:val="009435DC"/>
    <w:rsid w:val="0094368A"/>
    <w:rsid w:val="00943B6C"/>
    <w:rsid w:val="00943C39"/>
    <w:rsid w:val="00943CB5"/>
    <w:rsid w:val="00943D76"/>
    <w:rsid w:val="00943DA4"/>
    <w:rsid w:val="00943E45"/>
    <w:rsid w:val="00943FD8"/>
    <w:rsid w:val="00944054"/>
    <w:rsid w:val="0094435E"/>
    <w:rsid w:val="0094455A"/>
    <w:rsid w:val="009448D7"/>
    <w:rsid w:val="00944968"/>
    <w:rsid w:val="00944E6D"/>
    <w:rsid w:val="00945004"/>
    <w:rsid w:val="0094513E"/>
    <w:rsid w:val="009455E7"/>
    <w:rsid w:val="0094572E"/>
    <w:rsid w:val="00945F53"/>
    <w:rsid w:val="00945FA3"/>
    <w:rsid w:val="00945FE3"/>
    <w:rsid w:val="009460D1"/>
    <w:rsid w:val="00946212"/>
    <w:rsid w:val="0094657B"/>
    <w:rsid w:val="009466B6"/>
    <w:rsid w:val="00946745"/>
    <w:rsid w:val="00946871"/>
    <w:rsid w:val="00946BD6"/>
    <w:rsid w:val="0094715E"/>
    <w:rsid w:val="009471CF"/>
    <w:rsid w:val="0094756B"/>
    <w:rsid w:val="0094758F"/>
    <w:rsid w:val="00947609"/>
    <w:rsid w:val="0094782E"/>
    <w:rsid w:val="00947CDE"/>
    <w:rsid w:val="00947FD6"/>
    <w:rsid w:val="0095003D"/>
    <w:rsid w:val="009500E4"/>
    <w:rsid w:val="00950556"/>
    <w:rsid w:val="009507A5"/>
    <w:rsid w:val="00950828"/>
    <w:rsid w:val="009509ED"/>
    <w:rsid w:val="00950EFF"/>
    <w:rsid w:val="009510E8"/>
    <w:rsid w:val="00951458"/>
    <w:rsid w:val="00951666"/>
    <w:rsid w:val="009517A5"/>
    <w:rsid w:val="0095189F"/>
    <w:rsid w:val="009518C6"/>
    <w:rsid w:val="00951A10"/>
    <w:rsid w:val="00951B30"/>
    <w:rsid w:val="00951B6B"/>
    <w:rsid w:val="00951CE8"/>
    <w:rsid w:val="00951DC0"/>
    <w:rsid w:val="00951E0E"/>
    <w:rsid w:val="00951FC7"/>
    <w:rsid w:val="0095253B"/>
    <w:rsid w:val="0095258C"/>
    <w:rsid w:val="009526E8"/>
    <w:rsid w:val="00952C44"/>
    <w:rsid w:val="00952D40"/>
    <w:rsid w:val="00952F14"/>
    <w:rsid w:val="009537B9"/>
    <w:rsid w:val="00953DD4"/>
    <w:rsid w:val="0095400C"/>
    <w:rsid w:val="0095412E"/>
    <w:rsid w:val="00954383"/>
    <w:rsid w:val="00954627"/>
    <w:rsid w:val="00954702"/>
    <w:rsid w:val="00954D4D"/>
    <w:rsid w:val="00954D79"/>
    <w:rsid w:val="00954F27"/>
    <w:rsid w:val="00955021"/>
    <w:rsid w:val="00955520"/>
    <w:rsid w:val="009558E2"/>
    <w:rsid w:val="00955A62"/>
    <w:rsid w:val="00955CC2"/>
    <w:rsid w:val="00956089"/>
    <w:rsid w:val="009564CA"/>
    <w:rsid w:val="0095672E"/>
    <w:rsid w:val="00956996"/>
    <w:rsid w:val="00956A6B"/>
    <w:rsid w:val="00956C1B"/>
    <w:rsid w:val="00956CF2"/>
    <w:rsid w:val="00956E2D"/>
    <w:rsid w:val="0095719C"/>
    <w:rsid w:val="009571C1"/>
    <w:rsid w:val="009573F4"/>
    <w:rsid w:val="009573F8"/>
    <w:rsid w:val="00957422"/>
    <w:rsid w:val="009575E2"/>
    <w:rsid w:val="00957782"/>
    <w:rsid w:val="00957817"/>
    <w:rsid w:val="00957A48"/>
    <w:rsid w:val="00957F85"/>
    <w:rsid w:val="00957FC8"/>
    <w:rsid w:val="009602A3"/>
    <w:rsid w:val="0096068A"/>
    <w:rsid w:val="009607A8"/>
    <w:rsid w:val="0096095E"/>
    <w:rsid w:val="0096097E"/>
    <w:rsid w:val="00960CE1"/>
    <w:rsid w:val="009613B1"/>
    <w:rsid w:val="00961D54"/>
    <w:rsid w:val="00961E3D"/>
    <w:rsid w:val="00962174"/>
    <w:rsid w:val="009626ED"/>
    <w:rsid w:val="00962721"/>
    <w:rsid w:val="00962983"/>
    <w:rsid w:val="009629E6"/>
    <w:rsid w:val="00962BD7"/>
    <w:rsid w:val="00962D04"/>
    <w:rsid w:val="00962D77"/>
    <w:rsid w:val="00963467"/>
    <w:rsid w:val="0096377E"/>
    <w:rsid w:val="009639DF"/>
    <w:rsid w:val="009639EA"/>
    <w:rsid w:val="00963A34"/>
    <w:rsid w:val="00963ABC"/>
    <w:rsid w:val="00963B2D"/>
    <w:rsid w:val="00963BFB"/>
    <w:rsid w:val="00964328"/>
    <w:rsid w:val="009644F6"/>
    <w:rsid w:val="009645B8"/>
    <w:rsid w:val="009648E0"/>
    <w:rsid w:val="009648F3"/>
    <w:rsid w:val="00964C6C"/>
    <w:rsid w:val="00964E35"/>
    <w:rsid w:val="00965492"/>
    <w:rsid w:val="009655B6"/>
    <w:rsid w:val="00965B8C"/>
    <w:rsid w:val="00965EC6"/>
    <w:rsid w:val="00966102"/>
    <w:rsid w:val="009664A3"/>
    <w:rsid w:val="00966A65"/>
    <w:rsid w:val="00966AEA"/>
    <w:rsid w:val="00966BBE"/>
    <w:rsid w:val="009674C5"/>
    <w:rsid w:val="00967B22"/>
    <w:rsid w:val="00967B4C"/>
    <w:rsid w:val="00967D8C"/>
    <w:rsid w:val="0097003E"/>
    <w:rsid w:val="00970750"/>
    <w:rsid w:val="009708A8"/>
    <w:rsid w:val="00970CCC"/>
    <w:rsid w:val="00970E86"/>
    <w:rsid w:val="00970FBE"/>
    <w:rsid w:val="00971036"/>
    <w:rsid w:val="00971156"/>
    <w:rsid w:val="00971288"/>
    <w:rsid w:val="009719A9"/>
    <w:rsid w:val="00971FD6"/>
    <w:rsid w:val="0097256C"/>
    <w:rsid w:val="00972CAD"/>
    <w:rsid w:val="00972DEC"/>
    <w:rsid w:val="00972E99"/>
    <w:rsid w:val="00973172"/>
    <w:rsid w:val="0097324D"/>
    <w:rsid w:val="0097350F"/>
    <w:rsid w:val="009735B1"/>
    <w:rsid w:val="009735C6"/>
    <w:rsid w:val="009739D1"/>
    <w:rsid w:val="00973D2A"/>
    <w:rsid w:val="00973E15"/>
    <w:rsid w:val="0097408F"/>
    <w:rsid w:val="0097412F"/>
    <w:rsid w:val="0097461F"/>
    <w:rsid w:val="00974685"/>
    <w:rsid w:val="009746A5"/>
    <w:rsid w:val="009747A1"/>
    <w:rsid w:val="00974C3E"/>
    <w:rsid w:val="00974DDE"/>
    <w:rsid w:val="00975056"/>
    <w:rsid w:val="009752F1"/>
    <w:rsid w:val="0097600A"/>
    <w:rsid w:val="0097608B"/>
    <w:rsid w:val="009761A3"/>
    <w:rsid w:val="009761E0"/>
    <w:rsid w:val="0097625E"/>
    <w:rsid w:val="00976864"/>
    <w:rsid w:val="0097693B"/>
    <w:rsid w:val="00976C4B"/>
    <w:rsid w:val="00976D12"/>
    <w:rsid w:val="00976D2D"/>
    <w:rsid w:val="00976DD6"/>
    <w:rsid w:val="0097763E"/>
    <w:rsid w:val="009776DC"/>
    <w:rsid w:val="00977803"/>
    <w:rsid w:val="00977933"/>
    <w:rsid w:val="00977A6D"/>
    <w:rsid w:val="00977EC4"/>
    <w:rsid w:val="0098018D"/>
    <w:rsid w:val="009801FC"/>
    <w:rsid w:val="009805D7"/>
    <w:rsid w:val="009806B5"/>
    <w:rsid w:val="009806D1"/>
    <w:rsid w:val="009807C8"/>
    <w:rsid w:val="00980831"/>
    <w:rsid w:val="00980B59"/>
    <w:rsid w:val="00980C01"/>
    <w:rsid w:val="00980F11"/>
    <w:rsid w:val="00980FCC"/>
    <w:rsid w:val="00981108"/>
    <w:rsid w:val="0098123D"/>
    <w:rsid w:val="00981331"/>
    <w:rsid w:val="00981645"/>
    <w:rsid w:val="00981697"/>
    <w:rsid w:val="00982467"/>
    <w:rsid w:val="00982602"/>
    <w:rsid w:val="00982D1F"/>
    <w:rsid w:val="009830F5"/>
    <w:rsid w:val="00983211"/>
    <w:rsid w:val="009833D0"/>
    <w:rsid w:val="0098358A"/>
    <w:rsid w:val="0098394C"/>
    <w:rsid w:val="00983AEB"/>
    <w:rsid w:val="00983B5F"/>
    <w:rsid w:val="00984110"/>
    <w:rsid w:val="00984380"/>
    <w:rsid w:val="00984575"/>
    <w:rsid w:val="00984B56"/>
    <w:rsid w:val="00984FB9"/>
    <w:rsid w:val="00985068"/>
    <w:rsid w:val="009852B0"/>
    <w:rsid w:val="00985364"/>
    <w:rsid w:val="00985494"/>
    <w:rsid w:val="00985B11"/>
    <w:rsid w:val="00985BB1"/>
    <w:rsid w:val="00985BB5"/>
    <w:rsid w:val="00985BFB"/>
    <w:rsid w:val="00985C23"/>
    <w:rsid w:val="00985EBB"/>
    <w:rsid w:val="00985F8E"/>
    <w:rsid w:val="00985F8F"/>
    <w:rsid w:val="00986010"/>
    <w:rsid w:val="0098603D"/>
    <w:rsid w:val="009860F1"/>
    <w:rsid w:val="0098627B"/>
    <w:rsid w:val="00986A63"/>
    <w:rsid w:val="00986B0D"/>
    <w:rsid w:val="00986B15"/>
    <w:rsid w:val="00986DE6"/>
    <w:rsid w:val="00986E02"/>
    <w:rsid w:val="00986ED7"/>
    <w:rsid w:val="00987219"/>
    <w:rsid w:val="009872E5"/>
    <w:rsid w:val="0098744D"/>
    <w:rsid w:val="00987BC6"/>
    <w:rsid w:val="00987F06"/>
    <w:rsid w:val="009900AC"/>
    <w:rsid w:val="009900F1"/>
    <w:rsid w:val="00990249"/>
    <w:rsid w:val="0099058F"/>
    <w:rsid w:val="0099075B"/>
    <w:rsid w:val="00990808"/>
    <w:rsid w:val="00990904"/>
    <w:rsid w:val="00990F41"/>
    <w:rsid w:val="0099140C"/>
    <w:rsid w:val="009914A7"/>
    <w:rsid w:val="00991893"/>
    <w:rsid w:val="00991A6E"/>
    <w:rsid w:val="00991AD5"/>
    <w:rsid w:val="00991DC0"/>
    <w:rsid w:val="00991EB1"/>
    <w:rsid w:val="00991ED7"/>
    <w:rsid w:val="009921BD"/>
    <w:rsid w:val="00992437"/>
    <w:rsid w:val="0099269E"/>
    <w:rsid w:val="009926BF"/>
    <w:rsid w:val="009929BE"/>
    <w:rsid w:val="009929E8"/>
    <w:rsid w:val="00992FD3"/>
    <w:rsid w:val="009930D2"/>
    <w:rsid w:val="00993347"/>
    <w:rsid w:val="00993442"/>
    <w:rsid w:val="009934D2"/>
    <w:rsid w:val="00993807"/>
    <w:rsid w:val="009938C4"/>
    <w:rsid w:val="00993D42"/>
    <w:rsid w:val="0099413B"/>
    <w:rsid w:val="00994180"/>
    <w:rsid w:val="00994212"/>
    <w:rsid w:val="00994296"/>
    <w:rsid w:val="00995028"/>
    <w:rsid w:val="0099566C"/>
    <w:rsid w:val="009961D3"/>
    <w:rsid w:val="009964C9"/>
    <w:rsid w:val="00996503"/>
    <w:rsid w:val="00996733"/>
    <w:rsid w:val="009967DE"/>
    <w:rsid w:val="00996DE2"/>
    <w:rsid w:val="009970BF"/>
    <w:rsid w:val="00997731"/>
    <w:rsid w:val="00997956"/>
    <w:rsid w:val="009979D1"/>
    <w:rsid w:val="00997C48"/>
    <w:rsid w:val="00997FB8"/>
    <w:rsid w:val="009A05BD"/>
    <w:rsid w:val="009A05C1"/>
    <w:rsid w:val="009A0742"/>
    <w:rsid w:val="009A07A9"/>
    <w:rsid w:val="009A07D5"/>
    <w:rsid w:val="009A07F5"/>
    <w:rsid w:val="009A0C00"/>
    <w:rsid w:val="009A0FB8"/>
    <w:rsid w:val="009A12FE"/>
    <w:rsid w:val="009A166D"/>
    <w:rsid w:val="009A177D"/>
    <w:rsid w:val="009A17E2"/>
    <w:rsid w:val="009A19DA"/>
    <w:rsid w:val="009A1A8D"/>
    <w:rsid w:val="009A1B2E"/>
    <w:rsid w:val="009A222B"/>
    <w:rsid w:val="009A2273"/>
    <w:rsid w:val="009A2506"/>
    <w:rsid w:val="009A2789"/>
    <w:rsid w:val="009A2951"/>
    <w:rsid w:val="009A2A03"/>
    <w:rsid w:val="009A2D65"/>
    <w:rsid w:val="009A3234"/>
    <w:rsid w:val="009A33C7"/>
    <w:rsid w:val="009A3426"/>
    <w:rsid w:val="009A3655"/>
    <w:rsid w:val="009A371E"/>
    <w:rsid w:val="009A3731"/>
    <w:rsid w:val="009A39BA"/>
    <w:rsid w:val="009A43F1"/>
    <w:rsid w:val="009A443D"/>
    <w:rsid w:val="009A450C"/>
    <w:rsid w:val="009A4845"/>
    <w:rsid w:val="009A4C72"/>
    <w:rsid w:val="009A4CB7"/>
    <w:rsid w:val="009A4FB1"/>
    <w:rsid w:val="009A4FDD"/>
    <w:rsid w:val="009A5702"/>
    <w:rsid w:val="009A57D1"/>
    <w:rsid w:val="009A57D5"/>
    <w:rsid w:val="009A5857"/>
    <w:rsid w:val="009A5B4F"/>
    <w:rsid w:val="009A5D9F"/>
    <w:rsid w:val="009A5FA0"/>
    <w:rsid w:val="009A632E"/>
    <w:rsid w:val="009A64F4"/>
    <w:rsid w:val="009A658C"/>
    <w:rsid w:val="009A6B0A"/>
    <w:rsid w:val="009A6B2B"/>
    <w:rsid w:val="009A6B45"/>
    <w:rsid w:val="009A6B8D"/>
    <w:rsid w:val="009A6D55"/>
    <w:rsid w:val="009A6E26"/>
    <w:rsid w:val="009A6E65"/>
    <w:rsid w:val="009A6F9B"/>
    <w:rsid w:val="009A703D"/>
    <w:rsid w:val="009A7074"/>
    <w:rsid w:val="009A733C"/>
    <w:rsid w:val="009A73B9"/>
    <w:rsid w:val="009A76F8"/>
    <w:rsid w:val="009A77A9"/>
    <w:rsid w:val="009A7AA9"/>
    <w:rsid w:val="009A7B02"/>
    <w:rsid w:val="009A7E86"/>
    <w:rsid w:val="009A7F7A"/>
    <w:rsid w:val="009B011B"/>
    <w:rsid w:val="009B0468"/>
    <w:rsid w:val="009B05C8"/>
    <w:rsid w:val="009B06D6"/>
    <w:rsid w:val="009B075E"/>
    <w:rsid w:val="009B0AAB"/>
    <w:rsid w:val="009B0CA6"/>
    <w:rsid w:val="009B0F18"/>
    <w:rsid w:val="009B1079"/>
    <w:rsid w:val="009B12F1"/>
    <w:rsid w:val="009B1313"/>
    <w:rsid w:val="009B159F"/>
    <w:rsid w:val="009B1651"/>
    <w:rsid w:val="009B1946"/>
    <w:rsid w:val="009B19FF"/>
    <w:rsid w:val="009B1CF9"/>
    <w:rsid w:val="009B1D08"/>
    <w:rsid w:val="009B1D79"/>
    <w:rsid w:val="009B1E8B"/>
    <w:rsid w:val="009B2072"/>
    <w:rsid w:val="009B2CB1"/>
    <w:rsid w:val="009B2DF0"/>
    <w:rsid w:val="009B2F12"/>
    <w:rsid w:val="009B32A7"/>
    <w:rsid w:val="009B36DD"/>
    <w:rsid w:val="009B38E1"/>
    <w:rsid w:val="009B3948"/>
    <w:rsid w:val="009B3A93"/>
    <w:rsid w:val="009B3E54"/>
    <w:rsid w:val="009B44BF"/>
    <w:rsid w:val="009B479D"/>
    <w:rsid w:val="009B4B07"/>
    <w:rsid w:val="009B4E03"/>
    <w:rsid w:val="009B5175"/>
    <w:rsid w:val="009B51D7"/>
    <w:rsid w:val="009B52AF"/>
    <w:rsid w:val="009B52D6"/>
    <w:rsid w:val="009B558E"/>
    <w:rsid w:val="009B571D"/>
    <w:rsid w:val="009B5C58"/>
    <w:rsid w:val="009B6306"/>
    <w:rsid w:val="009B6A07"/>
    <w:rsid w:val="009B6CBC"/>
    <w:rsid w:val="009B6D10"/>
    <w:rsid w:val="009B6D4A"/>
    <w:rsid w:val="009B6DFB"/>
    <w:rsid w:val="009B70AD"/>
    <w:rsid w:val="009B71FA"/>
    <w:rsid w:val="009B73DC"/>
    <w:rsid w:val="009B77B1"/>
    <w:rsid w:val="009B7ABA"/>
    <w:rsid w:val="009B7DCC"/>
    <w:rsid w:val="009B7F96"/>
    <w:rsid w:val="009C0122"/>
    <w:rsid w:val="009C070E"/>
    <w:rsid w:val="009C085A"/>
    <w:rsid w:val="009C0A89"/>
    <w:rsid w:val="009C0B3B"/>
    <w:rsid w:val="009C0F19"/>
    <w:rsid w:val="009C1087"/>
    <w:rsid w:val="009C1138"/>
    <w:rsid w:val="009C1793"/>
    <w:rsid w:val="009C18D2"/>
    <w:rsid w:val="009C1C2E"/>
    <w:rsid w:val="009C1D6B"/>
    <w:rsid w:val="009C2205"/>
    <w:rsid w:val="009C244C"/>
    <w:rsid w:val="009C2693"/>
    <w:rsid w:val="009C2C3A"/>
    <w:rsid w:val="009C2DAA"/>
    <w:rsid w:val="009C3433"/>
    <w:rsid w:val="009C36E2"/>
    <w:rsid w:val="009C3A15"/>
    <w:rsid w:val="009C3B98"/>
    <w:rsid w:val="009C3C8F"/>
    <w:rsid w:val="009C3DE2"/>
    <w:rsid w:val="009C3E84"/>
    <w:rsid w:val="009C3EBD"/>
    <w:rsid w:val="009C3FE6"/>
    <w:rsid w:val="009C420B"/>
    <w:rsid w:val="009C457D"/>
    <w:rsid w:val="009C47B4"/>
    <w:rsid w:val="009C48ED"/>
    <w:rsid w:val="009C4A5B"/>
    <w:rsid w:val="009C4A78"/>
    <w:rsid w:val="009C4AE1"/>
    <w:rsid w:val="009C4B21"/>
    <w:rsid w:val="009C5062"/>
    <w:rsid w:val="009C57E8"/>
    <w:rsid w:val="009C5B44"/>
    <w:rsid w:val="009C6134"/>
    <w:rsid w:val="009C652D"/>
    <w:rsid w:val="009C6701"/>
    <w:rsid w:val="009C6856"/>
    <w:rsid w:val="009C6926"/>
    <w:rsid w:val="009C693E"/>
    <w:rsid w:val="009C69CC"/>
    <w:rsid w:val="009C6A40"/>
    <w:rsid w:val="009C6BC9"/>
    <w:rsid w:val="009C6C3E"/>
    <w:rsid w:val="009C6CF4"/>
    <w:rsid w:val="009C7245"/>
    <w:rsid w:val="009C73FC"/>
    <w:rsid w:val="009C78B9"/>
    <w:rsid w:val="009C7FE5"/>
    <w:rsid w:val="009D0133"/>
    <w:rsid w:val="009D01BE"/>
    <w:rsid w:val="009D0411"/>
    <w:rsid w:val="009D0511"/>
    <w:rsid w:val="009D07CD"/>
    <w:rsid w:val="009D0A30"/>
    <w:rsid w:val="009D0B6C"/>
    <w:rsid w:val="009D0E57"/>
    <w:rsid w:val="009D1192"/>
    <w:rsid w:val="009D11F0"/>
    <w:rsid w:val="009D1320"/>
    <w:rsid w:val="009D16AA"/>
    <w:rsid w:val="009D1872"/>
    <w:rsid w:val="009D1E13"/>
    <w:rsid w:val="009D1FAC"/>
    <w:rsid w:val="009D2046"/>
    <w:rsid w:val="009D2106"/>
    <w:rsid w:val="009D2399"/>
    <w:rsid w:val="009D2CC3"/>
    <w:rsid w:val="009D31C7"/>
    <w:rsid w:val="009D3939"/>
    <w:rsid w:val="009D395A"/>
    <w:rsid w:val="009D3B7E"/>
    <w:rsid w:val="009D3CCB"/>
    <w:rsid w:val="009D3FA2"/>
    <w:rsid w:val="009D4044"/>
    <w:rsid w:val="009D406F"/>
    <w:rsid w:val="009D44E4"/>
    <w:rsid w:val="009D4699"/>
    <w:rsid w:val="009D4A35"/>
    <w:rsid w:val="009D4BD4"/>
    <w:rsid w:val="009D4CBB"/>
    <w:rsid w:val="009D4FDC"/>
    <w:rsid w:val="009D53E4"/>
    <w:rsid w:val="009D5706"/>
    <w:rsid w:val="009D57A2"/>
    <w:rsid w:val="009D594E"/>
    <w:rsid w:val="009D5A61"/>
    <w:rsid w:val="009D5B97"/>
    <w:rsid w:val="009D5B9E"/>
    <w:rsid w:val="009D5BE2"/>
    <w:rsid w:val="009D601E"/>
    <w:rsid w:val="009D6349"/>
    <w:rsid w:val="009D6530"/>
    <w:rsid w:val="009D6711"/>
    <w:rsid w:val="009D6745"/>
    <w:rsid w:val="009D68B8"/>
    <w:rsid w:val="009D691A"/>
    <w:rsid w:val="009D6A5C"/>
    <w:rsid w:val="009D6AD8"/>
    <w:rsid w:val="009D6DDB"/>
    <w:rsid w:val="009D6F77"/>
    <w:rsid w:val="009D7065"/>
    <w:rsid w:val="009D7874"/>
    <w:rsid w:val="009D78B4"/>
    <w:rsid w:val="009E0126"/>
    <w:rsid w:val="009E0218"/>
    <w:rsid w:val="009E0288"/>
    <w:rsid w:val="009E059F"/>
    <w:rsid w:val="009E06AD"/>
    <w:rsid w:val="009E08E4"/>
    <w:rsid w:val="009E0BB7"/>
    <w:rsid w:val="009E1008"/>
    <w:rsid w:val="009E12BD"/>
    <w:rsid w:val="009E132F"/>
    <w:rsid w:val="009E1773"/>
    <w:rsid w:val="009E191B"/>
    <w:rsid w:val="009E199D"/>
    <w:rsid w:val="009E19A3"/>
    <w:rsid w:val="009E1A38"/>
    <w:rsid w:val="009E1AAB"/>
    <w:rsid w:val="009E1B34"/>
    <w:rsid w:val="009E1B7E"/>
    <w:rsid w:val="009E1C07"/>
    <w:rsid w:val="009E2138"/>
    <w:rsid w:val="009E22B3"/>
    <w:rsid w:val="009E2317"/>
    <w:rsid w:val="009E2398"/>
    <w:rsid w:val="009E244F"/>
    <w:rsid w:val="009E28E5"/>
    <w:rsid w:val="009E2C60"/>
    <w:rsid w:val="009E2D0B"/>
    <w:rsid w:val="009E2D6B"/>
    <w:rsid w:val="009E3082"/>
    <w:rsid w:val="009E36BD"/>
    <w:rsid w:val="009E390A"/>
    <w:rsid w:val="009E3B9D"/>
    <w:rsid w:val="009E3D15"/>
    <w:rsid w:val="009E3D6E"/>
    <w:rsid w:val="009E3F35"/>
    <w:rsid w:val="009E4159"/>
    <w:rsid w:val="009E4261"/>
    <w:rsid w:val="009E46A8"/>
    <w:rsid w:val="009E473F"/>
    <w:rsid w:val="009E4794"/>
    <w:rsid w:val="009E49C5"/>
    <w:rsid w:val="009E4B50"/>
    <w:rsid w:val="009E4C64"/>
    <w:rsid w:val="009E4F57"/>
    <w:rsid w:val="009E5002"/>
    <w:rsid w:val="009E510C"/>
    <w:rsid w:val="009E5227"/>
    <w:rsid w:val="009E52C1"/>
    <w:rsid w:val="009E5431"/>
    <w:rsid w:val="009E5659"/>
    <w:rsid w:val="009E59CC"/>
    <w:rsid w:val="009E5C2D"/>
    <w:rsid w:val="009E5C5B"/>
    <w:rsid w:val="009E5E3C"/>
    <w:rsid w:val="009E663F"/>
    <w:rsid w:val="009E677A"/>
    <w:rsid w:val="009E6851"/>
    <w:rsid w:val="009E73DB"/>
    <w:rsid w:val="009E7430"/>
    <w:rsid w:val="009E7661"/>
    <w:rsid w:val="009E78A3"/>
    <w:rsid w:val="009E7A62"/>
    <w:rsid w:val="009E7E98"/>
    <w:rsid w:val="009F02F7"/>
    <w:rsid w:val="009F08F1"/>
    <w:rsid w:val="009F08F9"/>
    <w:rsid w:val="009F0B92"/>
    <w:rsid w:val="009F0F5E"/>
    <w:rsid w:val="009F115A"/>
    <w:rsid w:val="009F138D"/>
    <w:rsid w:val="009F176A"/>
    <w:rsid w:val="009F20EE"/>
    <w:rsid w:val="009F21F6"/>
    <w:rsid w:val="009F2209"/>
    <w:rsid w:val="009F2370"/>
    <w:rsid w:val="009F2CE1"/>
    <w:rsid w:val="009F2D7A"/>
    <w:rsid w:val="009F2DEE"/>
    <w:rsid w:val="009F3088"/>
    <w:rsid w:val="009F311E"/>
    <w:rsid w:val="009F364C"/>
    <w:rsid w:val="009F370A"/>
    <w:rsid w:val="009F3716"/>
    <w:rsid w:val="009F3D3D"/>
    <w:rsid w:val="009F3DEE"/>
    <w:rsid w:val="009F4228"/>
    <w:rsid w:val="009F49B0"/>
    <w:rsid w:val="009F4D64"/>
    <w:rsid w:val="009F521F"/>
    <w:rsid w:val="009F5431"/>
    <w:rsid w:val="009F5476"/>
    <w:rsid w:val="009F58F6"/>
    <w:rsid w:val="009F5959"/>
    <w:rsid w:val="009F5BFE"/>
    <w:rsid w:val="009F5D23"/>
    <w:rsid w:val="009F5F6F"/>
    <w:rsid w:val="009F60BC"/>
    <w:rsid w:val="009F6293"/>
    <w:rsid w:val="009F62A7"/>
    <w:rsid w:val="009F6635"/>
    <w:rsid w:val="009F66D8"/>
    <w:rsid w:val="009F67A0"/>
    <w:rsid w:val="009F690F"/>
    <w:rsid w:val="009F6AB1"/>
    <w:rsid w:val="009F6C45"/>
    <w:rsid w:val="009F7411"/>
    <w:rsid w:val="009F7466"/>
    <w:rsid w:val="009F789B"/>
    <w:rsid w:val="009F795D"/>
    <w:rsid w:val="009F79F8"/>
    <w:rsid w:val="009F7A05"/>
    <w:rsid w:val="00A00016"/>
    <w:rsid w:val="00A000B3"/>
    <w:rsid w:val="00A00492"/>
    <w:rsid w:val="00A0082D"/>
    <w:rsid w:val="00A008EA"/>
    <w:rsid w:val="00A00974"/>
    <w:rsid w:val="00A009B7"/>
    <w:rsid w:val="00A00B1F"/>
    <w:rsid w:val="00A00B36"/>
    <w:rsid w:val="00A00E11"/>
    <w:rsid w:val="00A00FB5"/>
    <w:rsid w:val="00A01213"/>
    <w:rsid w:val="00A013DF"/>
    <w:rsid w:val="00A014B0"/>
    <w:rsid w:val="00A015BC"/>
    <w:rsid w:val="00A016AF"/>
    <w:rsid w:val="00A01BC0"/>
    <w:rsid w:val="00A01F01"/>
    <w:rsid w:val="00A022FB"/>
    <w:rsid w:val="00A023FD"/>
    <w:rsid w:val="00A0246E"/>
    <w:rsid w:val="00A027AD"/>
    <w:rsid w:val="00A02A8A"/>
    <w:rsid w:val="00A02E39"/>
    <w:rsid w:val="00A0302C"/>
    <w:rsid w:val="00A03135"/>
    <w:rsid w:val="00A032E9"/>
    <w:rsid w:val="00A03833"/>
    <w:rsid w:val="00A03EF1"/>
    <w:rsid w:val="00A040C0"/>
    <w:rsid w:val="00A0487D"/>
    <w:rsid w:val="00A04A09"/>
    <w:rsid w:val="00A04D8C"/>
    <w:rsid w:val="00A04E5C"/>
    <w:rsid w:val="00A05306"/>
    <w:rsid w:val="00A0555D"/>
    <w:rsid w:val="00A05711"/>
    <w:rsid w:val="00A05A8D"/>
    <w:rsid w:val="00A05A9C"/>
    <w:rsid w:val="00A05ABF"/>
    <w:rsid w:val="00A06076"/>
    <w:rsid w:val="00A06217"/>
    <w:rsid w:val="00A06A2C"/>
    <w:rsid w:val="00A06BEC"/>
    <w:rsid w:val="00A07183"/>
    <w:rsid w:val="00A0727C"/>
    <w:rsid w:val="00A076F8"/>
    <w:rsid w:val="00A07790"/>
    <w:rsid w:val="00A077E3"/>
    <w:rsid w:val="00A07D37"/>
    <w:rsid w:val="00A102E6"/>
    <w:rsid w:val="00A105E1"/>
    <w:rsid w:val="00A108F1"/>
    <w:rsid w:val="00A109E8"/>
    <w:rsid w:val="00A10A0F"/>
    <w:rsid w:val="00A10BEA"/>
    <w:rsid w:val="00A10C71"/>
    <w:rsid w:val="00A10E9F"/>
    <w:rsid w:val="00A10FDF"/>
    <w:rsid w:val="00A11434"/>
    <w:rsid w:val="00A114D4"/>
    <w:rsid w:val="00A117EF"/>
    <w:rsid w:val="00A11A9B"/>
    <w:rsid w:val="00A11AD6"/>
    <w:rsid w:val="00A11E56"/>
    <w:rsid w:val="00A11ECD"/>
    <w:rsid w:val="00A12062"/>
    <w:rsid w:val="00A12092"/>
    <w:rsid w:val="00A1230C"/>
    <w:rsid w:val="00A12311"/>
    <w:rsid w:val="00A124D1"/>
    <w:rsid w:val="00A128A2"/>
    <w:rsid w:val="00A12A46"/>
    <w:rsid w:val="00A12E71"/>
    <w:rsid w:val="00A12F7C"/>
    <w:rsid w:val="00A13096"/>
    <w:rsid w:val="00A135D9"/>
    <w:rsid w:val="00A136F9"/>
    <w:rsid w:val="00A1377D"/>
    <w:rsid w:val="00A13826"/>
    <w:rsid w:val="00A13AE4"/>
    <w:rsid w:val="00A13CA4"/>
    <w:rsid w:val="00A14007"/>
    <w:rsid w:val="00A142ED"/>
    <w:rsid w:val="00A14494"/>
    <w:rsid w:val="00A1450A"/>
    <w:rsid w:val="00A14948"/>
    <w:rsid w:val="00A14B45"/>
    <w:rsid w:val="00A14CFD"/>
    <w:rsid w:val="00A14D65"/>
    <w:rsid w:val="00A14E4F"/>
    <w:rsid w:val="00A14F24"/>
    <w:rsid w:val="00A14F42"/>
    <w:rsid w:val="00A1506F"/>
    <w:rsid w:val="00A1530A"/>
    <w:rsid w:val="00A158A7"/>
    <w:rsid w:val="00A158F4"/>
    <w:rsid w:val="00A15B24"/>
    <w:rsid w:val="00A15B43"/>
    <w:rsid w:val="00A15BAF"/>
    <w:rsid w:val="00A15C79"/>
    <w:rsid w:val="00A15EF1"/>
    <w:rsid w:val="00A15FC1"/>
    <w:rsid w:val="00A16316"/>
    <w:rsid w:val="00A16726"/>
    <w:rsid w:val="00A16851"/>
    <w:rsid w:val="00A1694E"/>
    <w:rsid w:val="00A16ABE"/>
    <w:rsid w:val="00A16BA3"/>
    <w:rsid w:val="00A16CDA"/>
    <w:rsid w:val="00A17191"/>
    <w:rsid w:val="00A17601"/>
    <w:rsid w:val="00A1760E"/>
    <w:rsid w:val="00A17634"/>
    <w:rsid w:val="00A17662"/>
    <w:rsid w:val="00A177D3"/>
    <w:rsid w:val="00A17A30"/>
    <w:rsid w:val="00A17CB0"/>
    <w:rsid w:val="00A17DA0"/>
    <w:rsid w:val="00A20790"/>
    <w:rsid w:val="00A20892"/>
    <w:rsid w:val="00A20A23"/>
    <w:rsid w:val="00A20A9A"/>
    <w:rsid w:val="00A20BA4"/>
    <w:rsid w:val="00A20D15"/>
    <w:rsid w:val="00A20E83"/>
    <w:rsid w:val="00A20F9C"/>
    <w:rsid w:val="00A21115"/>
    <w:rsid w:val="00A21464"/>
    <w:rsid w:val="00A216C4"/>
    <w:rsid w:val="00A21725"/>
    <w:rsid w:val="00A217E8"/>
    <w:rsid w:val="00A21826"/>
    <w:rsid w:val="00A21AF6"/>
    <w:rsid w:val="00A225F8"/>
    <w:rsid w:val="00A228BC"/>
    <w:rsid w:val="00A22AEE"/>
    <w:rsid w:val="00A23645"/>
    <w:rsid w:val="00A23EBD"/>
    <w:rsid w:val="00A24213"/>
    <w:rsid w:val="00A24624"/>
    <w:rsid w:val="00A24750"/>
    <w:rsid w:val="00A24782"/>
    <w:rsid w:val="00A24790"/>
    <w:rsid w:val="00A247C5"/>
    <w:rsid w:val="00A24A9D"/>
    <w:rsid w:val="00A24CB6"/>
    <w:rsid w:val="00A251AE"/>
    <w:rsid w:val="00A2532C"/>
    <w:rsid w:val="00A2548F"/>
    <w:rsid w:val="00A25AB2"/>
    <w:rsid w:val="00A25D74"/>
    <w:rsid w:val="00A262AF"/>
    <w:rsid w:val="00A263EA"/>
    <w:rsid w:val="00A26B1D"/>
    <w:rsid w:val="00A2723F"/>
    <w:rsid w:val="00A27383"/>
    <w:rsid w:val="00A277E2"/>
    <w:rsid w:val="00A277E4"/>
    <w:rsid w:val="00A27876"/>
    <w:rsid w:val="00A27D31"/>
    <w:rsid w:val="00A27EAF"/>
    <w:rsid w:val="00A27FE7"/>
    <w:rsid w:val="00A305AA"/>
    <w:rsid w:val="00A30F3C"/>
    <w:rsid w:val="00A3122A"/>
    <w:rsid w:val="00A313C0"/>
    <w:rsid w:val="00A314EE"/>
    <w:rsid w:val="00A31511"/>
    <w:rsid w:val="00A318A7"/>
    <w:rsid w:val="00A31C49"/>
    <w:rsid w:val="00A31D1F"/>
    <w:rsid w:val="00A31E69"/>
    <w:rsid w:val="00A31E6F"/>
    <w:rsid w:val="00A31EEE"/>
    <w:rsid w:val="00A31EFE"/>
    <w:rsid w:val="00A31FBF"/>
    <w:rsid w:val="00A321F7"/>
    <w:rsid w:val="00A323E4"/>
    <w:rsid w:val="00A32593"/>
    <w:rsid w:val="00A329EC"/>
    <w:rsid w:val="00A32AB1"/>
    <w:rsid w:val="00A32C4C"/>
    <w:rsid w:val="00A3323D"/>
    <w:rsid w:val="00A337EE"/>
    <w:rsid w:val="00A3397E"/>
    <w:rsid w:val="00A33A15"/>
    <w:rsid w:val="00A33CA1"/>
    <w:rsid w:val="00A33FDC"/>
    <w:rsid w:val="00A34B92"/>
    <w:rsid w:val="00A34D3E"/>
    <w:rsid w:val="00A34EF9"/>
    <w:rsid w:val="00A352E1"/>
    <w:rsid w:val="00A357AA"/>
    <w:rsid w:val="00A35B25"/>
    <w:rsid w:val="00A35E1C"/>
    <w:rsid w:val="00A35F74"/>
    <w:rsid w:val="00A35FED"/>
    <w:rsid w:val="00A36171"/>
    <w:rsid w:val="00A36223"/>
    <w:rsid w:val="00A36790"/>
    <w:rsid w:val="00A36826"/>
    <w:rsid w:val="00A36ACE"/>
    <w:rsid w:val="00A36EB9"/>
    <w:rsid w:val="00A36FFB"/>
    <w:rsid w:val="00A37083"/>
    <w:rsid w:val="00A3718C"/>
    <w:rsid w:val="00A375FE"/>
    <w:rsid w:val="00A37783"/>
    <w:rsid w:val="00A37AFF"/>
    <w:rsid w:val="00A37B8D"/>
    <w:rsid w:val="00A37C4B"/>
    <w:rsid w:val="00A37EEE"/>
    <w:rsid w:val="00A37FFA"/>
    <w:rsid w:val="00A40011"/>
    <w:rsid w:val="00A40116"/>
    <w:rsid w:val="00A4045A"/>
    <w:rsid w:val="00A40A1B"/>
    <w:rsid w:val="00A40F4F"/>
    <w:rsid w:val="00A41020"/>
    <w:rsid w:val="00A41625"/>
    <w:rsid w:val="00A41DD2"/>
    <w:rsid w:val="00A41EA0"/>
    <w:rsid w:val="00A42013"/>
    <w:rsid w:val="00A42371"/>
    <w:rsid w:val="00A4241F"/>
    <w:rsid w:val="00A42B64"/>
    <w:rsid w:val="00A42C0C"/>
    <w:rsid w:val="00A42EBB"/>
    <w:rsid w:val="00A42EF7"/>
    <w:rsid w:val="00A4323C"/>
    <w:rsid w:val="00A43630"/>
    <w:rsid w:val="00A438E5"/>
    <w:rsid w:val="00A443E2"/>
    <w:rsid w:val="00A447C1"/>
    <w:rsid w:val="00A447D3"/>
    <w:rsid w:val="00A45316"/>
    <w:rsid w:val="00A45614"/>
    <w:rsid w:val="00A45CC1"/>
    <w:rsid w:val="00A45D02"/>
    <w:rsid w:val="00A45EEF"/>
    <w:rsid w:val="00A4727A"/>
    <w:rsid w:val="00A47352"/>
    <w:rsid w:val="00A47497"/>
    <w:rsid w:val="00A474A9"/>
    <w:rsid w:val="00A4798B"/>
    <w:rsid w:val="00A47F00"/>
    <w:rsid w:val="00A50050"/>
    <w:rsid w:val="00A50196"/>
    <w:rsid w:val="00A5054E"/>
    <w:rsid w:val="00A5089A"/>
    <w:rsid w:val="00A50A6C"/>
    <w:rsid w:val="00A50D57"/>
    <w:rsid w:val="00A50DEE"/>
    <w:rsid w:val="00A510A1"/>
    <w:rsid w:val="00A513EB"/>
    <w:rsid w:val="00A515A8"/>
    <w:rsid w:val="00A517F7"/>
    <w:rsid w:val="00A51898"/>
    <w:rsid w:val="00A51B30"/>
    <w:rsid w:val="00A51D3A"/>
    <w:rsid w:val="00A51FE2"/>
    <w:rsid w:val="00A52000"/>
    <w:rsid w:val="00A5235C"/>
    <w:rsid w:val="00A52394"/>
    <w:rsid w:val="00A527E5"/>
    <w:rsid w:val="00A52965"/>
    <w:rsid w:val="00A529B5"/>
    <w:rsid w:val="00A52DA6"/>
    <w:rsid w:val="00A52E37"/>
    <w:rsid w:val="00A5373C"/>
    <w:rsid w:val="00A537E0"/>
    <w:rsid w:val="00A53839"/>
    <w:rsid w:val="00A5391C"/>
    <w:rsid w:val="00A53936"/>
    <w:rsid w:val="00A53949"/>
    <w:rsid w:val="00A53AFE"/>
    <w:rsid w:val="00A53B29"/>
    <w:rsid w:val="00A53B78"/>
    <w:rsid w:val="00A53E7C"/>
    <w:rsid w:val="00A54185"/>
    <w:rsid w:val="00A54187"/>
    <w:rsid w:val="00A54389"/>
    <w:rsid w:val="00A5485F"/>
    <w:rsid w:val="00A54935"/>
    <w:rsid w:val="00A55EB5"/>
    <w:rsid w:val="00A55F40"/>
    <w:rsid w:val="00A568EA"/>
    <w:rsid w:val="00A56962"/>
    <w:rsid w:val="00A569D8"/>
    <w:rsid w:val="00A56EE2"/>
    <w:rsid w:val="00A56F26"/>
    <w:rsid w:val="00A57081"/>
    <w:rsid w:val="00A570FC"/>
    <w:rsid w:val="00A572AC"/>
    <w:rsid w:val="00A5796D"/>
    <w:rsid w:val="00A57BF4"/>
    <w:rsid w:val="00A57E00"/>
    <w:rsid w:val="00A60A95"/>
    <w:rsid w:val="00A60C14"/>
    <w:rsid w:val="00A61117"/>
    <w:rsid w:val="00A613A4"/>
    <w:rsid w:val="00A615A4"/>
    <w:rsid w:val="00A61679"/>
    <w:rsid w:val="00A617FD"/>
    <w:rsid w:val="00A61D1E"/>
    <w:rsid w:val="00A61D6F"/>
    <w:rsid w:val="00A61E89"/>
    <w:rsid w:val="00A620A3"/>
    <w:rsid w:val="00A62268"/>
    <w:rsid w:val="00A6246D"/>
    <w:rsid w:val="00A62904"/>
    <w:rsid w:val="00A62E7B"/>
    <w:rsid w:val="00A63295"/>
    <w:rsid w:val="00A63548"/>
    <w:rsid w:val="00A63948"/>
    <w:rsid w:val="00A639AA"/>
    <w:rsid w:val="00A63A56"/>
    <w:rsid w:val="00A63A5D"/>
    <w:rsid w:val="00A6400C"/>
    <w:rsid w:val="00A642C3"/>
    <w:rsid w:val="00A645C1"/>
    <w:rsid w:val="00A64FDE"/>
    <w:rsid w:val="00A6509B"/>
    <w:rsid w:val="00A65152"/>
    <w:rsid w:val="00A651A1"/>
    <w:rsid w:val="00A65539"/>
    <w:rsid w:val="00A65B80"/>
    <w:rsid w:val="00A65D65"/>
    <w:rsid w:val="00A65E2E"/>
    <w:rsid w:val="00A65EF0"/>
    <w:rsid w:val="00A65EFC"/>
    <w:rsid w:val="00A65F08"/>
    <w:rsid w:val="00A662A0"/>
    <w:rsid w:val="00A66594"/>
    <w:rsid w:val="00A66887"/>
    <w:rsid w:val="00A66C8E"/>
    <w:rsid w:val="00A66E6B"/>
    <w:rsid w:val="00A67016"/>
    <w:rsid w:val="00A6709C"/>
    <w:rsid w:val="00A67204"/>
    <w:rsid w:val="00A672BA"/>
    <w:rsid w:val="00A676EA"/>
    <w:rsid w:val="00A67943"/>
    <w:rsid w:val="00A67C74"/>
    <w:rsid w:val="00A67FC7"/>
    <w:rsid w:val="00A700A7"/>
    <w:rsid w:val="00A7018F"/>
    <w:rsid w:val="00A703B0"/>
    <w:rsid w:val="00A70403"/>
    <w:rsid w:val="00A70555"/>
    <w:rsid w:val="00A70B6A"/>
    <w:rsid w:val="00A71307"/>
    <w:rsid w:val="00A7185B"/>
    <w:rsid w:val="00A71CB8"/>
    <w:rsid w:val="00A71D67"/>
    <w:rsid w:val="00A71FFF"/>
    <w:rsid w:val="00A720BC"/>
    <w:rsid w:val="00A721DB"/>
    <w:rsid w:val="00A72240"/>
    <w:rsid w:val="00A7233E"/>
    <w:rsid w:val="00A723EF"/>
    <w:rsid w:val="00A726BF"/>
    <w:rsid w:val="00A72CBA"/>
    <w:rsid w:val="00A73057"/>
    <w:rsid w:val="00A73102"/>
    <w:rsid w:val="00A7319B"/>
    <w:rsid w:val="00A73207"/>
    <w:rsid w:val="00A73254"/>
    <w:rsid w:val="00A733C9"/>
    <w:rsid w:val="00A733E9"/>
    <w:rsid w:val="00A73401"/>
    <w:rsid w:val="00A7359A"/>
    <w:rsid w:val="00A73C3F"/>
    <w:rsid w:val="00A73E7E"/>
    <w:rsid w:val="00A74304"/>
    <w:rsid w:val="00A743EB"/>
    <w:rsid w:val="00A74400"/>
    <w:rsid w:val="00A744DD"/>
    <w:rsid w:val="00A7463D"/>
    <w:rsid w:val="00A7488D"/>
    <w:rsid w:val="00A74EA8"/>
    <w:rsid w:val="00A75007"/>
    <w:rsid w:val="00A75133"/>
    <w:rsid w:val="00A751DE"/>
    <w:rsid w:val="00A752FB"/>
    <w:rsid w:val="00A75358"/>
    <w:rsid w:val="00A756FC"/>
    <w:rsid w:val="00A757DD"/>
    <w:rsid w:val="00A757F9"/>
    <w:rsid w:val="00A75BEF"/>
    <w:rsid w:val="00A75C69"/>
    <w:rsid w:val="00A76018"/>
    <w:rsid w:val="00A7623E"/>
    <w:rsid w:val="00A7633F"/>
    <w:rsid w:val="00A76714"/>
    <w:rsid w:val="00A769BD"/>
    <w:rsid w:val="00A76FC9"/>
    <w:rsid w:val="00A77077"/>
    <w:rsid w:val="00A770E6"/>
    <w:rsid w:val="00A7746C"/>
    <w:rsid w:val="00A7755C"/>
    <w:rsid w:val="00A777FD"/>
    <w:rsid w:val="00A77A15"/>
    <w:rsid w:val="00A77B3F"/>
    <w:rsid w:val="00A77DDB"/>
    <w:rsid w:val="00A801DC"/>
    <w:rsid w:val="00A80247"/>
    <w:rsid w:val="00A80925"/>
    <w:rsid w:val="00A80931"/>
    <w:rsid w:val="00A80AA9"/>
    <w:rsid w:val="00A810DB"/>
    <w:rsid w:val="00A812D4"/>
    <w:rsid w:val="00A8161A"/>
    <w:rsid w:val="00A817C1"/>
    <w:rsid w:val="00A81C88"/>
    <w:rsid w:val="00A81DEA"/>
    <w:rsid w:val="00A81E0C"/>
    <w:rsid w:val="00A82478"/>
    <w:rsid w:val="00A82906"/>
    <w:rsid w:val="00A82FA9"/>
    <w:rsid w:val="00A82FB7"/>
    <w:rsid w:val="00A83032"/>
    <w:rsid w:val="00A83135"/>
    <w:rsid w:val="00A8324F"/>
    <w:rsid w:val="00A83363"/>
    <w:rsid w:val="00A833AF"/>
    <w:rsid w:val="00A83472"/>
    <w:rsid w:val="00A8360A"/>
    <w:rsid w:val="00A836BD"/>
    <w:rsid w:val="00A83818"/>
    <w:rsid w:val="00A83AFA"/>
    <w:rsid w:val="00A83BBA"/>
    <w:rsid w:val="00A83BDD"/>
    <w:rsid w:val="00A83D48"/>
    <w:rsid w:val="00A83F87"/>
    <w:rsid w:val="00A83FA6"/>
    <w:rsid w:val="00A841D2"/>
    <w:rsid w:val="00A842C4"/>
    <w:rsid w:val="00A8454E"/>
    <w:rsid w:val="00A84685"/>
    <w:rsid w:val="00A84714"/>
    <w:rsid w:val="00A84AC1"/>
    <w:rsid w:val="00A84DE1"/>
    <w:rsid w:val="00A84E0F"/>
    <w:rsid w:val="00A84ED3"/>
    <w:rsid w:val="00A85576"/>
    <w:rsid w:val="00A855CF"/>
    <w:rsid w:val="00A858D1"/>
    <w:rsid w:val="00A85B45"/>
    <w:rsid w:val="00A85C45"/>
    <w:rsid w:val="00A85F12"/>
    <w:rsid w:val="00A85F6C"/>
    <w:rsid w:val="00A8604F"/>
    <w:rsid w:val="00A8608A"/>
    <w:rsid w:val="00A86416"/>
    <w:rsid w:val="00A869E6"/>
    <w:rsid w:val="00A869F4"/>
    <w:rsid w:val="00A870E3"/>
    <w:rsid w:val="00A87209"/>
    <w:rsid w:val="00A8751F"/>
    <w:rsid w:val="00A877EF"/>
    <w:rsid w:val="00A87881"/>
    <w:rsid w:val="00A87A8D"/>
    <w:rsid w:val="00A87C93"/>
    <w:rsid w:val="00A87D3E"/>
    <w:rsid w:val="00A9012C"/>
    <w:rsid w:val="00A901A6"/>
    <w:rsid w:val="00A9028E"/>
    <w:rsid w:val="00A907AA"/>
    <w:rsid w:val="00A9091F"/>
    <w:rsid w:val="00A90ABC"/>
    <w:rsid w:val="00A90ADB"/>
    <w:rsid w:val="00A90B8D"/>
    <w:rsid w:val="00A912A9"/>
    <w:rsid w:val="00A91528"/>
    <w:rsid w:val="00A91649"/>
    <w:rsid w:val="00A91B00"/>
    <w:rsid w:val="00A91B0E"/>
    <w:rsid w:val="00A91D57"/>
    <w:rsid w:val="00A91D93"/>
    <w:rsid w:val="00A91DAD"/>
    <w:rsid w:val="00A92016"/>
    <w:rsid w:val="00A923D3"/>
    <w:rsid w:val="00A92A2C"/>
    <w:rsid w:val="00A92C16"/>
    <w:rsid w:val="00A92D4B"/>
    <w:rsid w:val="00A92F71"/>
    <w:rsid w:val="00A932D0"/>
    <w:rsid w:val="00A9337A"/>
    <w:rsid w:val="00A933CF"/>
    <w:rsid w:val="00A93469"/>
    <w:rsid w:val="00A93514"/>
    <w:rsid w:val="00A935E7"/>
    <w:rsid w:val="00A9379A"/>
    <w:rsid w:val="00A93800"/>
    <w:rsid w:val="00A93B36"/>
    <w:rsid w:val="00A93E57"/>
    <w:rsid w:val="00A93EB6"/>
    <w:rsid w:val="00A942D2"/>
    <w:rsid w:val="00A94582"/>
    <w:rsid w:val="00A94775"/>
    <w:rsid w:val="00A947D1"/>
    <w:rsid w:val="00A94883"/>
    <w:rsid w:val="00A94A5E"/>
    <w:rsid w:val="00A94CD7"/>
    <w:rsid w:val="00A94F44"/>
    <w:rsid w:val="00A951E1"/>
    <w:rsid w:val="00A951FC"/>
    <w:rsid w:val="00A955E0"/>
    <w:rsid w:val="00A96029"/>
    <w:rsid w:val="00A96099"/>
    <w:rsid w:val="00A96134"/>
    <w:rsid w:val="00A963E8"/>
    <w:rsid w:val="00A9650D"/>
    <w:rsid w:val="00A9651B"/>
    <w:rsid w:val="00A965B6"/>
    <w:rsid w:val="00A967A7"/>
    <w:rsid w:val="00A96C13"/>
    <w:rsid w:val="00A96E6C"/>
    <w:rsid w:val="00A96EA1"/>
    <w:rsid w:val="00A9759C"/>
    <w:rsid w:val="00A9763B"/>
    <w:rsid w:val="00A97908"/>
    <w:rsid w:val="00A979E5"/>
    <w:rsid w:val="00A97A93"/>
    <w:rsid w:val="00A97EC6"/>
    <w:rsid w:val="00AA100F"/>
    <w:rsid w:val="00AA147B"/>
    <w:rsid w:val="00AA14BE"/>
    <w:rsid w:val="00AA18C0"/>
    <w:rsid w:val="00AA19F2"/>
    <w:rsid w:val="00AA1A63"/>
    <w:rsid w:val="00AA239B"/>
    <w:rsid w:val="00AA26F9"/>
    <w:rsid w:val="00AA29A0"/>
    <w:rsid w:val="00AA29FD"/>
    <w:rsid w:val="00AA2E2F"/>
    <w:rsid w:val="00AA30BC"/>
    <w:rsid w:val="00AA3139"/>
    <w:rsid w:val="00AA34B3"/>
    <w:rsid w:val="00AA3564"/>
    <w:rsid w:val="00AA393D"/>
    <w:rsid w:val="00AA3950"/>
    <w:rsid w:val="00AA3963"/>
    <w:rsid w:val="00AA3A3B"/>
    <w:rsid w:val="00AA4248"/>
    <w:rsid w:val="00AA42BE"/>
    <w:rsid w:val="00AA4CA0"/>
    <w:rsid w:val="00AA5B89"/>
    <w:rsid w:val="00AA5BEF"/>
    <w:rsid w:val="00AA5C8D"/>
    <w:rsid w:val="00AA5D21"/>
    <w:rsid w:val="00AA6226"/>
    <w:rsid w:val="00AA6232"/>
    <w:rsid w:val="00AA6647"/>
    <w:rsid w:val="00AA69E5"/>
    <w:rsid w:val="00AA6A18"/>
    <w:rsid w:val="00AA6AD9"/>
    <w:rsid w:val="00AA6C08"/>
    <w:rsid w:val="00AA6E48"/>
    <w:rsid w:val="00AA6F12"/>
    <w:rsid w:val="00AA708D"/>
    <w:rsid w:val="00AA70E5"/>
    <w:rsid w:val="00AA771B"/>
    <w:rsid w:val="00AA78FA"/>
    <w:rsid w:val="00AB04A6"/>
    <w:rsid w:val="00AB063E"/>
    <w:rsid w:val="00AB06E2"/>
    <w:rsid w:val="00AB0809"/>
    <w:rsid w:val="00AB08E9"/>
    <w:rsid w:val="00AB0D12"/>
    <w:rsid w:val="00AB0D8D"/>
    <w:rsid w:val="00AB109E"/>
    <w:rsid w:val="00AB11A7"/>
    <w:rsid w:val="00AB1297"/>
    <w:rsid w:val="00AB13D9"/>
    <w:rsid w:val="00AB1406"/>
    <w:rsid w:val="00AB1CBB"/>
    <w:rsid w:val="00AB1CF4"/>
    <w:rsid w:val="00AB1E67"/>
    <w:rsid w:val="00AB2401"/>
    <w:rsid w:val="00AB2438"/>
    <w:rsid w:val="00AB2696"/>
    <w:rsid w:val="00AB27D8"/>
    <w:rsid w:val="00AB2A91"/>
    <w:rsid w:val="00AB2F38"/>
    <w:rsid w:val="00AB3137"/>
    <w:rsid w:val="00AB3315"/>
    <w:rsid w:val="00AB3795"/>
    <w:rsid w:val="00AB3803"/>
    <w:rsid w:val="00AB3883"/>
    <w:rsid w:val="00AB38EA"/>
    <w:rsid w:val="00AB39CB"/>
    <w:rsid w:val="00AB3BE0"/>
    <w:rsid w:val="00AB3C9B"/>
    <w:rsid w:val="00AB3CB2"/>
    <w:rsid w:val="00AB3F76"/>
    <w:rsid w:val="00AB3F83"/>
    <w:rsid w:val="00AB40C6"/>
    <w:rsid w:val="00AB4235"/>
    <w:rsid w:val="00AB42B2"/>
    <w:rsid w:val="00AB4717"/>
    <w:rsid w:val="00AB4900"/>
    <w:rsid w:val="00AB4AF0"/>
    <w:rsid w:val="00AB4B72"/>
    <w:rsid w:val="00AB4D16"/>
    <w:rsid w:val="00AB5797"/>
    <w:rsid w:val="00AB59F6"/>
    <w:rsid w:val="00AB5B1E"/>
    <w:rsid w:val="00AB68D3"/>
    <w:rsid w:val="00AB6B67"/>
    <w:rsid w:val="00AB6EB6"/>
    <w:rsid w:val="00AB6ED0"/>
    <w:rsid w:val="00AB744D"/>
    <w:rsid w:val="00AB7471"/>
    <w:rsid w:val="00AB74D8"/>
    <w:rsid w:val="00AB7586"/>
    <w:rsid w:val="00AB760F"/>
    <w:rsid w:val="00AB769D"/>
    <w:rsid w:val="00AB7AF5"/>
    <w:rsid w:val="00AB7CFF"/>
    <w:rsid w:val="00AC03D5"/>
    <w:rsid w:val="00AC0547"/>
    <w:rsid w:val="00AC05D1"/>
    <w:rsid w:val="00AC05EA"/>
    <w:rsid w:val="00AC06A8"/>
    <w:rsid w:val="00AC0B8C"/>
    <w:rsid w:val="00AC0CB3"/>
    <w:rsid w:val="00AC0D6A"/>
    <w:rsid w:val="00AC0E85"/>
    <w:rsid w:val="00AC0FD0"/>
    <w:rsid w:val="00AC104C"/>
    <w:rsid w:val="00AC12AB"/>
    <w:rsid w:val="00AC1300"/>
    <w:rsid w:val="00AC17F3"/>
    <w:rsid w:val="00AC19CA"/>
    <w:rsid w:val="00AC1A19"/>
    <w:rsid w:val="00AC2179"/>
    <w:rsid w:val="00AC23A1"/>
    <w:rsid w:val="00AC26DE"/>
    <w:rsid w:val="00AC2842"/>
    <w:rsid w:val="00AC2D4B"/>
    <w:rsid w:val="00AC2DBF"/>
    <w:rsid w:val="00AC2E46"/>
    <w:rsid w:val="00AC3351"/>
    <w:rsid w:val="00AC38B2"/>
    <w:rsid w:val="00AC3933"/>
    <w:rsid w:val="00AC3B99"/>
    <w:rsid w:val="00AC3BF3"/>
    <w:rsid w:val="00AC3F54"/>
    <w:rsid w:val="00AC4410"/>
    <w:rsid w:val="00AC448A"/>
    <w:rsid w:val="00AC4581"/>
    <w:rsid w:val="00AC45D9"/>
    <w:rsid w:val="00AC4811"/>
    <w:rsid w:val="00AC519E"/>
    <w:rsid w:val="00AC5245"/>
    <w:rsid w:val="00AC55AC"/>
    <w:rsid w:val="00AC5759"/>
    <w:rsid w:val="00AC588E"/>
    <w:rsid w:val="00AC5F58"/>
    <w:rsid w:val="00AC5FBA"/>
    <w:rsid w:val="00AC5FE4"/>
    <w:rsid w:val="00AC6012"/>
    <w:rsid w:val="00AC632B"/>
    <w:rsid w:val="00AC6B31"/>
    <w:rsid w:val="00AC6C1A"/>
    <w:rsid w:val="00AC6DAE"/>
    <w:rsid w:val="00AC6EB9"/>
    <w:rsid w:val="00AC70C8"/>
    <w:rsid w:val="00AC7210"/>
    <w:rsid w:val="00AC73FB"/>
    <w:rsid w:val="00AC75D2"/>
    <w:rsid w:val="00AC7659"/>
    <w:rsid w:val="00AC7773"/>
    <w:rsid w:val="00AC7777"/>
    <w:rsid w:val="00AC77FC"/>
    <w:rsid w:val="00AC78F2"/>
    <w:rsid w:val="00AC7915"/>
    <w:rsid w:val="00AC7DF3"/>
    <w:rsid w:val="00AD008F"/>
    <w:rsid w:val="00AD01FA"/>
    <w:rsid w:val="00AD0479"/>
    <w:rsid w:val="00AD06B1"/>
    <w:rsid w:val="00AD0895"/>
    <w:rsid w:val="00AD09B2"/>
    <w:rsid w:val="00AD0B11"/>
    <w:rsid w:val="00AD0CD3"/>
    <w:rsid w:val="00AD1654"/>
    <w:rsid w:val="00AD1BCF"/>
    <w:rsid w:val="00AD1C4F"/>
    <w:rsid w:val="00AD1E81"/>
    <w:rsid w:val="00AD210A"/>
    <w:rsid w:val="00AD223F"/>
    <w:rsid w:val="00AD265C"/>
    <w:rsid w:val="00AD2778"/>
    <w:rsid w:val="00AD287A"/>
    <w:rsid w:val="00AD2A88"/>
    <w:rsid w:val="00AD2DB5"/>
    <w:rsid w:val="00AD315E"/>
    <w:rsid w:val="00AD3232"/>
    <w:rsid w:val="00AD38A5"/>
    <w:rsid w:val="00AD39AD"/>
    <w:rsid w:val="00AD3C72"/>
    <w:rsid w:val="00AD3D7C"/>
    <w:rsid w:val="00AD3E8B"/>
    <w:rsid w:val="00AD3EE2"/>
    <w:rsid w:val="00AD4244"/>
    <w:rsid w:val="00AD4339"/>
    <w:rsid w:val="00AD4771"/>
    <w:rsid w:val="00AD4805"/>
    <w:rsid w:val="00AD4D44"/>
    <w:rsid w:val="00AD54A8"/>
    <w:rsid w:val="00AD55BC"/>
    <w:rsid w:val="00AD57B8"/>
    <w:rsid w:val="00AD5B03"/>
    <w:rsid w:val="00AD5BD6"/>
    <w:rsid w:val="00AD5CC0"/>
    <w:rsid w:val="00AD5D95"/>
    <w:rsid w:val="00AD5DC1"/>
    <w:rsid w:val="00AD5E01"/>
    <w:rsid w:val="00AD602F"/>
    <w:rsid w:val="00AD618E"/>
    <w:rsid w:val="00AD6301"/>
    <w:rsid w:val="00AD64DC"/>
    <w:rsid w:val="00AD6F0D"/>
    <w:rsid w:val="00AD7052"/>
    <w:rsid w:val="00AD7237"/>
    <w:rsid w:val="00AD7494"/>
    <w:rsid w:val="00AD75CC"/>
    <w:rsid w:val="00AD7B2A"/>
    <w:rsid w:val="00AD7CC0"/>
    <w:rsid w:val="00AE01CA"/>
    <w:rsid w:val="00AE0433"/>
    <w:rsid w:val="00AE0772"/>
    <w:rsid w:val="00AE077E"/>
    <w:rsid w:val="00AE07D8"/>
    <w:rsid w:val="00AE0A8A"/>
    <w:rsid w:val="00AE0D26"/>
    <w:rsid w:val="00AE0FEC"/>
    <w:rsid w:val="00AE10FF"/>
    <w:rsid w:val="00AE1177"/>
    <w:rsid w:val="00AE13F6"/>
    <w:rsid w:val="00AE14A3"/>
    <w:rsid w:val="00AE1844"/>
    <w:rsid w:val="00AE1908"/>
    <w:rsid w:val="00AE1992"/>
    <w:rsid w:val="00AE1CBE"/>
    <w:rsid w:val="00AE2A59"/>
    <w:rsid w:val="00AE2F26"/>
    <w:rsid w:val="00AE32DD"/>
    <w:rsid w:val="00AE344F"/>
    <w:rsid w:val="00AE3728"/>
    <w:rsid w:val="00AE387A"/>
    <w:rsid w:val="00AE3900"/>
    <w:rsid w:val="00AE3B48"/>
    <w:rsid w:val="00AE3EBC"/>
    <w:rsid w:val="00AE3F7D"/>
    <w:rsid w:val="00AE40EE"/>
    <w:rsid w:val="00AE4291"/>
    <w:rsid w:val="00AE4408"/>
    <w:rsid w:val="00AE459A"/>
    <w:rsid w:val="00AE46B1"/>
    <w:rsid w:val="00AE48FD"/>
    <w:rsid w:val="00AE4A67"/>
    <w:rsid w:val="00AE4EA5"/>
    <w:rsid w:val="00AE5075"/>
    <w:rsid w:val="00AE559D"/>
    <w:rsid w:val="00AE5AB5"/>
    <w:rsid w:val="00AE5E64"/>
    <w:rsid w:val="00AE67DF"/>
    <w:rsid w:val="00AE691B"/>
    <w:rsid w:val="00AE6AFA"/>
    <w:rsid w:val="00AE6F2F"/>
    <w:rsid w:val="00AE6FD9"/>
    <w:rsid w:val="00AE70F9"/>
    <w:rsid w:val="00AE7127"/>
    <w:rsid w:val="00AE718E"/>
    <w:rsid w:val="00AE7190"/>
    <w:rsid w:val="00AE7587"/>
    <w:rsid w:val="00AE76AA"/>
    <w:rsid w:val="00AE77EA"/>
    <w:rsid w:val="00AE78AE"/>
    <w:rsid w:val="00AE7A7D"/>
    <w:rsid w:val="00AE7A83"/>
    <w:rsid w:val="00AF007A"/>
    <w:rsid w:val="00AF03E1"/>
    <w:rsid w:val="00AF068B"/>
    <w:rsid w:val="00AF06B8"/>
    <w:rsid w:val="00AF080D"/>
    <w:rsid w:val="00AF0AC4"/>
    <w:rsid w:val="00AF0FA5"/>
    <w:rsid w:val="00AF1202"/>
    <w:rsid w:val="00AF13A7"/>
    <w:rsid w:val="00AF13DB"/>
    <w:rsid w:val="00AF153F"/>
    <w:rsid w:val="00AF16F1"/>
    <w:rsid w:val="00AF176E"/>
    <w:rsid w:val="00AF2017"/>
    <w:rsid w:val="00AF22D4"/>
    <w:rsid w:val="00AF22DE"/>
    <w:rsid w:val="00AF310A"/>
    <w:rsid w:val="00AF3576"/>
    <w:rsid w:val="00AF3964"/>
    <w:rsid w:val="00AF3CBA"/>
    <w:rsid w:val="00AF3DAB"/>
    <w:rsid w:val="00AF400B"/>
    <w:rsid w:val="00AF4631"/>
    <w:rsid w:val="00AF4695"/>
    <w:rsid w:val="00AF46F4"/>
    <w:rsid w:val="00AF4949"/>
    <w:rsid w:val="00AF4A07"/>
    <w:rsid w:val="00AF4E1F"/>
    <w:rsid w:val="00AF4F99"/>
    <w:rsid w:val="00AF5012"/>
    <w:rsid w:val="00AF53AA"/>
    <w:rsid w:val="00AF58E0"/>
    <w:rsid w:val="00AF5B46"/>
    <w:rsid w:val="00AF5F7B"/>
    <w:rsid w:val="00AF5FDA"/>
    <w:rsid w:val="00AF640D"/>
    <w:rsid w:val="00AF676D"/>
    <w:rsid w:val="00AF6803"/>
    <w:rsid w:val="00AF6ABE"/>
    <w:rsid w:val="00AF6B60"/>
    <w:rsid w:val="00AF6DAB"/>
    <w:rsid w:val="00AF6EA1"/>
    <w:rsid w:val="00AF6FAD"/>
    <w:rsid w:val="00AF70BD"/>
    <w:rsid w:val="00AF73A2"/>
    <w:rsid w:val="00AF73AF"/>
    <w:rsid w:val="00AF7468"/>
    <w:rsid w:val="00AF7812"/>
    <w:rsid w:val="00AF7A01"/>
    <w:rsid w:val="00AF7CA6"/>
    <w:rsid w:val="00AF7D8B"/>
    <w:rsid w:val="00B00373"/>
    <w:rsid w:val="00B00586"/>
    <w:rsid w:val="00B0080A"/>
    <w:rsid w:val="00B00844"/>
    <w:rsid w:val="00B009D1"/>
    <w:rsid w:val="00B00AD0"/>
    <w:rsid w:val="00B00CFF"/>
    <w:rsid w:val="00B01390"/>
    <w:rsid w:val="00B0153B"/>
    <w:rsid w:val="00B01611"/>
    <w:rsid w:val="00B017EA"/>
    <w:rsid w:val="00B01A25"/>
    <w:rsid w:val="00B01B95"/>
    <w:rsid w:val="00B01C16"/>
    <w:rsid w:val="00B01E6F"/>
    <w:rsid w:val="00B02299"/>
    <w:rsid w:val="00B023C3"/>
    <w:rsid w:val="00B02575"/>
    <w:rsid w:val="00B02932"/>
    <w:rsid w:val="00B02AA9"/>
    <w:rsid w:val="00B02AE1"/>
    <w:rsid w:val="00B02F34"/>
    <w:rsid w:val="00B03158"/>
    <w:rsid w:val="00B039FA"/>
    <w:rsid w:val="00B03EC6"/>
    <w:rsid w:val="00B0422C"/>
    <w:rsid w:val="00B042C8"/>
    <w:rsid w:val="00B042F2"/>
    <w:rsid w:val="00B04329"/>
    <w:rsid w:val="00B04502"/>
    <w:rsid w:val="00B0529A"/>
    <w:rsid w:val="00B05D1F"/>
    <w:rsid w:val="00B062FF"/>
    <w:rsid w:val="00B069E0"/>
    <w:rsid w:val="00B06CC8"/>
    <w:rsid w:val="00B07300"/>
    <w:rsid w:val="00B07373"/>
    <w:rsid w:val="00B0753F"/>
    <w:rsid w:val="00B07930"/>
    <w:rsid w:val="00B07F50"/>
    <w:rsid w:val="00B10424"/>
    <w:rsid w:val="00B10765"/>
    <w:rsid w:val="00B10A9B"/>
    <w:rsid w:val="00B10B68"/>
    <w:rsid w:val="00B1128E"/>
    <w:rsid w:val="00B11948"/>
    <w:rsid w:val="00B119DE"/>
    <w:rsid w:val="00B11E4E"/>
    <w:rsid w:val="00B11F22"/>
    <w:rsid w:val="00B120E3"/>
    <w:rsid w:val="00B122A4"/>
    <w:rsid w:val="00B12307"/>
    <w:rsid w:val="00B12888"/>
    <w:rsid w:val="00B12BA6"/>
    <w:rsid w:val="00B12DA3"/>
    <w:rsid w:val="00B12FFF"/>
    <w:rsid w:val="00B130A6"/>
    <w:rsid w:val="00B1370A"/>
    <w:rsid w:val="00B13715"/>
    <w:rsid w:val="00B138D7"/>
    <w:rsid w:val="00B13B88"/>
    <w:rsid w:val="00B13BA7"/>
    <w:rsid w:val="00B13C39"/>
    <w:rsid w:val="00B13D8B"/>
    <w:rsid w:val="00B141B8"/>
    <w:rsid w:val="00B141EB"/>
    <w:rsid w:val="00B145CE"/>
    <w:rsid w:val="00B14A23"/>
    <w:rsid w:val="00B14E6C"/>
    <w:rsid w:val="00B14FB3"/>
    <w:rsid w:val="00B14FF9"/>
    <w:rsid w:val="00B150AE"/>
    <w:rsid w:val="00B15175"/>
    <w:rsid w:val="00B1562B"/>
    <w:rsid w:val="00B15645"/>
    <w:rsid w:val="00B15653"/>
    <w:rsid w:val="00B15B89"/>
    <w:rsid w:val="00B15D77"/>
    <w:rsid w:val="00B15DCB"/>
    <w:rsid w:val="00B15E5F"/>
    <w:rsid w:val="00B168FB"/>
    <w:rsid w:val="00B16E4E"/>
    <w:rsid w:val="00B171F3"/>
    <w:rsid w:val="00B17263"/>
    <w:rsid w:val="00B1761A"/>
    <w:rsid w:val="00B1766F"/>
    <w:rsid w:val="00B178F5"/>
    <w:rsid w:val="00B17976"/>
    <w:rsid w:val="00B17A1D"/>
    <w:rsid w:val="00B17E43"/>
    <w:rsid w:val="00B20301"/>
    <w:rsid w:val="00B2070A"/>
    <w:rsid w:val="00B207B8"/>
    <w:rsid w:val="00B209A3"/>
    <w:rsid w:val="00B20DCF"/>
    <w:rsid w:val="00B21612"/>
    <w:rsid w:val="00B21CED"/>
    <w:rsid w:val="00B21FE5"/>
    <w:rsid w:val="00B21FF7"/>
    <w:rsid w:val="00B224AB"/>
    <w:rsid w:val="00B225CC"/>
    <w:rsid w:val="00B225E5"/>
    <w:rsid w:val="00B2338C"/>
    <w:rsid w:val="00B2377A"/>
    <w:rsid w:val="00B23880"/>
    <w:rsid w:val="00B23883"/>
    <w:rsid w:val="00B23B63"/>
    <w:rsid w:val="00B23F6B"/>
    <w:rsid w:val="00B242BE"/>
    <w:rsid w:val="00B246CF"/>
    <w:rsid w:val="00B246E5"/>
    <w:rsid w:val="00B247E2"/>
    <w:rsid w:val="00B25032"/>
    <w:rsid w:val="00B25494"/>
    <w:rsid w:val="00B25585"/>
    <w:rsid w:val="00B255AE"/>
    <w:rsid w:val="00B25899"/>
    <w:rsid w:val="00B25B25"/>
    <w:rsid w:val="00B25B8C"/>
    <w:rsid w:val="00B25C5E"/>
    <w:rsid w:val="00B2613F"/>
    <w:rsid w:val="00B263E3"/>
    <w:rsid w:val="00B26987"/>
    <w:rsid w:val="00B269DF"/>
    <w:rsid w:val="00B26F76"/>
    <w:rsid w:val="00B27757"/>
    <w:rsid w:val="00B278C6"/>
    <w:rsid w:val="00B27ABF"/>
    <w:rsid w:val="00B27B1A"/>
    <w:rsid w:val="00B27C71"/>
    <w:rsid w:val="00B27D90"/>
    <w:rsid w:val="00B27DB2"/>
    <w:rsid w:val="00B27DDB"/>
    <w:rsid w:val="00B30A47"/>
    <w:rsid w:val="00B312E0"/>
    <w:rsid w:val="00B313E2"/>
    <w:rsid w:val="00B31977"/>
    <w:rsid w:val="00B31B2B"/>
    <w:rsid w:val="00B31E21"/>
    <w:rsid w:val="00B31FC8"/>
    <w:rsid w:val="00B31FEF"/>
    <w:rsid w:val="00B322B5"/>
    <w:rsid w:val="00B327D5"/>
    <w:rsid w:val="00B32846"/>
    <w:rsid w:val="00B328EB"/>
    <w:rsid w:val="00B32CCC"/>
    <w:rsid w:val="00B3308F"/>
    <w:rsid w:val="00B3321F"/>
    <w:rsid w:val="00B3377E"/>
    <w:rsid w:val="00B3377F"/>
    <w:rsid w:val="00B337A6"/>
    <w:rsid w:val="00B337FA"/>
    <w:rsid w:val="00B33B17"/>
    <w:rsid w:val="00B33EF9"/>
    <w:rsid w:val="00B3415C"/>
    <w:rsid w:val="00B3421C"/>
    <w:rsid w:val="00B34732"/>
    <w:rsid w:val="00B34747"/>
    <w:rsid w:val="00B34B3A"/>
    <w:rsid w:val="00B34CC7"/>
    <w:rsid w:val="00B34F5A"/>
    <w:rsid w:val="00B34F8A"/>
    <w:rsid w:val="00B351C8"/>
    <w:rsid w:val="00B3532B"/>
    <w:rsid w:val="00B35541"/>
    <w:rsid w:val="00B3569D"/>
    <w:rsid w:val="00B357E2"/>
    <w:rsid w:val="00B35B07"/>
    <w:rsid w:val="00B35D2D"/>
    <w:rsid w:val="00B35D30"/>
    <w:rsid w:val="00B35E11"/>
    <w:rsid w:val="00B3671B"/>
    <w:rsid w:val="00B36A23"/>
    <w:rsid w:val="00B36A81"/>
    <w:rsid w:val="00B36D39"/>
    <w:rsid w:val="00B36DA7"/>
    <w:rsid w:val="00B370C9"/>
    <w:rsid w:val="00B37247"/>
    <w:rsid w:val="00B372AC"/>
    <w:rsid w:val="00B3749A"/>
    <w:rsid w:val="00B379BD"/>
    <w:rsid w:val="00B37A75"/>
    <w:rsid w:val="00B37B25"/>
    <w:rsid w:val="00B37D42"/>
    <w:rsid w:val="00B40206"/>
    <w:rsid w:val="00B40233"/>
    <w:rsid w:val="00B4042E"/>
    <w:rsid w:val="00B4061F"/>
    <w:rsid w:val="00B40710"/>
    <w:rsid w:val="00B40879"/>
    <w:rsid w:val="00B408D3"/>
    <w:rsid w:val="00B4093F"/>
    <w:rsid w:val="00B4098B"/>
    <w:rsid w:val="00B40E57"/>
    <w:rsid w:val="00B40EEE"/>
    <w:rsid w:val="00B40F6F"/>
    <w:rsid w:val="00B4176C"/>
    <w:rsid w:val="00B41798"/>
    <w:rsid w:val="00B4181E"/>
    <w:rsid w:val="00B41B37"/>
    <w:rsid w:val="00B41D5E"/>
    <w:rsid w:val="00B41F07"/>
    <w:rsid w:val="00B420D5"/>
    <w:rsid w:val="00B42238"/>
    <w:rsid w:val="00B422A2"/>
    <w:rsid w:val="00B4246E"/>
    <w:rsid w:val="00B42482"/>
    <w:rsid w:val="00B42638"/>
    <w:rsid w:val="00B426FF"/>
    <w:rsid w:val="00B42AF2"/>
    <w:rsid w:val="00B42C05"/>
    <w:rsid w:val="00B43003"/>
    <w:rsid w:val="00B431B0"/>
    <w:rsid w:val="00B4320A"/>
    <w:rsid w:val="00B432CC"/>
    <w:rsid w:val="00B433CE"/>
    <w:rsid w:val="00B435E9"/>
    <w:rsid w:val="00B43BD7"/>
    <w:rsid w:val="00B44491"/>
    <w:rsid w:val="00B445A7"/>
    <w:rsid w:val="00B447BF"/>
    <w:rsid w:val="00B44AF2"/>
    <w:rsid w:val="00B44B8F"/>
    <w:rsid w:val="00B45011"/>
    <w:rsid w:val="00B45121"/>
    <w:rsid w:val="00B45265"/>
    <w:rsid w:val="00B45309"/>
    <w:rsid w:val="00B454BB"/>
    <w:rsid w:val="00B455F0"/>
    <w:rsid w:val="00B45943"/>
    <w:rsid w:val="00B45B9F"/>
    <w:rsid w:val="00B45C63"/>
    <w:rsid w:val="00B462D7"/>
    <w:rsid w:val="00B4635B"/>
    <w:rsid w:val="00B4672E"/>
    <w:rsid w:val="00B46869"/>
    <w:rsid w:val="00B468D4"/>
    <w:rsid w:val="00B468ED"/>
    <w:rsid w:val="00B46BA7"/>
    <w:rsid w:val="00B46BD6"/>
    <w:rsid w:val="00B47107"/>
    <w:rsid w:val="00B472AC"/>
    <w:rsid w:val="00B476E6"/>
    <w:rsid w:val="00B479B0"/>
    <w:rsid w:val="00B479FC"/>
    <w:rsid w:val="00B47FA2"/>
    <w:rsid w:val="00B500AA"/>
    <w:rsid w:val="00B501F9"/>
    <w:rsid w:val="00B506CA"/>
    <w:rsid w:val="00B50732"/>
    <w:rsid w:val="00B5097F"/>
    <w:rsid w:val="00B50997"/>
    <w:rsid w:val="00B50A0E"/>
    <w:rsid w:val="00B50B7A"/>
    <w:rsid w:val="00B50CCC"/>
    <w:rsid w:val="00B5114E"/>
    <w:rsid w:val="00B513CB"/>
    <w:rsid w:val="00B514F1"/>
    <w:rsid w:val="00B518A1"/>
    <w:rsid w:val="00B51BBA"/>
    <w:rsid w:val="00B520FE"/>
    <w:rsid w:val="00B5230E"/>
    <w:rsid w:val="00B523A9"/>
    <w:rsid w:val="00B525F6"/>
    <w:rsid w:val="00B52997"/>
    <w:rsid w:val="00B52BE2"/>
    <w:rsid w:val="00B52DA8"/>
    <w:rsid w:val="00B52EA1"/>
    <w:rsid w:val="00B53242"/>
    <w:rsid w:val="00B53432"/>
    <w:rsid w:val="00B534E0"/>
    <w:rsid w:val="00B536AA"/>
    <w:rsid w:val="00B538D3"/>
    <w:rsid w:val="00B53DD6"/>
    <w:rsid w:val="00B5410C"/>
    <w:rsid w:val="00B5411D"/>
    <w:rsid w:val="00B541E7"/>
    <w:rsid w:val="00B544A7"/>
    <w:rsid w:val="00B548D8"/>
    <w:rsid w:val="00B54AAB"/>
    <w:rsid w:val="00B54AFE"/>
    <w:rsid w:val="00B550B8"/>
    <w:rsid w:val="00B550D2"/>
    <w:rsid w:val="00B555AD"/>
    <w:rsid w:val="00B5567F"/>
    <w:rsid w:val="00B55BB8"/>
    <w:rsid w:val="00B55DBC"/>
    <w:rsid w:val="00B55DF1"/>
    <w:rsid w:val="00B560D5"/>
    <w:rsid w:val="00B5610F"/>
    <w:rsid w:val="00B5626B"/>
    <w:rsid w:val="00B5627B"/>
    <w:rsid w:val="00B5632A"/>
    <w:rsid w:val="00B56341"/>
    <w:rsid w:val="00B563E5"/>
    <w:rsid w:val="00B5645E"/>
    <w:rsid w:val="00B568B4"/>
    <w:rsid w:val="00B56AB7"/>
    <w:rsid w:val="00B56B5D"/>
    <w:rsid w:val="00B57236"/>
    <w:rsid w:val="00B57386"/>
    <w:rsid w:val="00B573CB"/>
    <w:rsid w:val="00B57731"/>
    <w:rsid w:val="00B57876"/>
    <w:rsid w:val="00B57C12"/>
    <w:rsid w:val="00B57CA5"/>
    <w:rsid w:val="00B57D14"/>
    <w:rsid w:val="00B57E7A"/>
    <w:rsid w:val="00B600D1"/>
    <w:rsid w:val="00B60116"/>
    <w:rsid w:val="00B605B1"/>
    <w:rsid w:val="00B608AC"/>
    <w:rsid w:val="00B610BD"/>
    <w:rsid w:val="00B6183B"/>
    <w:rsid w:val="00B618D9"/>
    <w:rsid w:val="00B6223C"/>
    <w:rsid w:val="00B6237C"/>
    <w:rsid w:val="00B62A81"/>
    <w:rsid w:val="00B62B60"/>
    <w:rsid w:val="00B630C4"/>
    <w:rsid w:val="00B6355A"/>
    <w:rsid w:val="00B639BA"/>
    <w:rsid w:val="00B63E72"/>
    <w:rsid w:val="00B643D3"/>
    <w:rsid w:val="00B64501"/>
    <w:rsid w:val="00B64578"/>
    <w:rsid w:val="00B64880"/>
    <w:rsid w:val="00B6489A"/>
    <w:rsid w:val="00B64C00"/>
    <w:rsid w:val="00B64E5A"/>
    <w:rsid w:val="00B64F30"/>
    <w:rsid w:val="00B64FDC"/>
    <w:rsid w:val="00B6520E"/>
    <w:rsid w:val="00B6539C"/>
    <w:rsid w:val="00B65818"/>
    <w:rsid w:val="00B65B53"/>
    <w:rsid w:val="00B65DBF"/>
    <w:rsid w:val="00B65E4B"/>
    <w:rsid w:val="00B65F62"/>
    <w:rsid w:val="00B661D5"/>
    <w:rsid w:val="00B666BF"/>
    <w:rsid w:val="00B6693A"/>
    <w:rsid w:val="00B66947"/>
    <w:rsid w:val="00B66BAB"/>
    <w:rsid w:val="00B66C59"/>
    <w:rsid w:val="00B66DDE"/>
    <w:rsid w:val="00B670FC"/>
    <w:rsid w:val="00B671C2"/>
    <w:rsid w:val="00B67236"/>
    <w:rsid w:val="00B67349"/>
    <w:rsid w:val="00B6743B"/>
    <w:rsid w:val="00B676A2"/>
    <w:rsid w:val="00B67940"/>
    <w:rsid w:val="00B67B46"/>
    <w:rsid w:val="00B67D34"/>
    <w:rsid w:val="00B70158"/>
    <w:rsid w:val="00B7020A"/>
    <w:rsid w:val="00B707DF"/>
    <w:rsid w:val="00B70E37"/>
    <w:rsid w:val="00B7129A"/>
    <w:rsid w:val="00B713A9"/>
    <w:rsid w:val="00B71493"/>
    <w:rsid w:val="00B71A2C"/>
    <w:rsid w:val="00B71CEC"/>
    <w:rsid w:val="00B71E44"/>
    <w:rsid w:val="00B71F7E"/>
    <w:rsid w:val="00B71FE7"/>
    <w:rsid w:val="00B7206C"/>
    <w:rsid w:val="00B7256B"/>
    <w:rsid w:val="00B72722"/>
    <w:rsid w:val="00B73437"/>
    <w:rsid w:val="00B736EE"/>
    <w:rsid w:val="00B73869"/>
    <w:rsid w:val="00B73C77"/>
    <w:rsid w:val="00B741EA"/>
    <w:rsid w:val="00B74666"/>
    <w:rsid w:val="00B748B7"/>
    <w:rsid w:val="00B74C49"/>
    <w:rsid w:val="00B74E37"/>
    <w:rsid w:val="00B74E99"/>
    <w:rsid w:val="00B750C1"/>
    <w:rsid w:val="00B751C7"/>
    <w:rsid w:val="00B7545D"/>
    <w:rsid w:val="00B756D3"/>
    <w:rsid w:val="00B75C29"/>
    <w:rsid w:val="00B7634F"/>
    <w:rsid w:val="00B76726"/>
    <w:rsid w:val="00B767BE"/>
    <w:rsid w:val="00B768AD"/>
    <w:rsid w:val="00B76959"/>
    <w:rsid w:val="00B769B3"/>
    <w:rsid w:val="00B76CA9"/>
    <w:rsid w:val="00B7748A"/>
    <w:rsid w:val="00B774D7"/>
    <w:rsid w:val="00B77586"/>
    <w:rsid w:val="00B77931"/>
    <w:rsid w:val="00B7795C"/>
    <w:rsid w:val="00B77C85"/>
    <w:rsid w:val="00B77CCB"/>
    <w:rsid w:val="00B77EC6"/>
    <w:rsid w:val="00B77F79"/>
    <w:rsid w:val="00B80171"/>
    <w:rsid w:val="00B80256"/>
    <w:rsid w:val="00B8025C"/>
    <w:rsid w:val="00B80425"/>
    <w:rsid w:val="00B8068C"/>
    <w:rsid w:val="00B806B0"/>
    <w:rsid w:val="00B808CC"/>
    <w:rsid w:val="00B810C6"/>
    <w:rsid w:val="00B8151E"/>
    <w:rsid w:val="00B8181E"/>
    <w:rsid w:val="00B8197E"/>
    <w:rsid w:val="00B821C6"/>
    <w:rsid w:val="00B822D2"/>
    <w:rsid w:val="00B82386"/>
    <w:rsid w:val="00B8261B"/>
    <w:rsid w:val="00B82F4E"/>
    <w:rsid w:val="00B8355D"/>
    <w:rsid w:val="00B8383B"/>
    <w:rsid w:val="00B83957"/>
    <w:rsid w:val="00B83964"/>
    <w:rsid w:val="00B83B0F"/>
    <w:rsid w:val="00B83E15"/>
    <w:rsid w:val="00B840E2"/>
    <w:rsid w:val="00B84671"/>
    <w:rsid w:val="00B84788"/>
    <w:rsid w:val="00B84CA0"/>
    <w:rsid w:val="00B8534F"/>
    <w:rsid w:val="00B853AE"/>
    <w:rsid w:val="00B85ACF"/>
    <w:rsid w:val="00B85C88"/>
    <w:rsid w:val="00B85CFA"/>
    <w:rsid w:val="00B85E3E"/>
    <w:rsid w:val="00B85E53"/>
    <w:rsid w:val="00B8623F"/>
    <w:rsid w:val="00B86553"/>
    <w:rsid w:val="00B86606"/>
    <w:rsid w:val="00B86B12"/>
    <w:rsid w:val="00B86E56"/>
    <w:rsid w:val="00B86EB6"/>
    <w:rsid w:val="00B86F66"/>
    <w:rsid w:val="00B874BC"/>
    <w:rsid w:val="00B876F7"/>
    <w:rsid w:val="00B87B2B"/>
    <w:rsid w:val="00B900DC"/>
    <w:rsid w:val="00B9016A"/>
    <w:rsid w:val="00B901AB"/>
    <w:rsid w:val="00B90483"/>
    <w:rsid w:val="00B906E9"/>
    <w:rsid w:val="00B907DE"/>
    <w:rsid w:val="00B908D8"/>
    <w:rsid w:val="00B90A09"/>
    <w:rsid w:val="00B9102E"/>
    <w:rsid w:val="00B913B5"/>
    <w:rsid w:val="00B913FF"/>
    <w:rsid w:val="00B91507"/>
    <w:rsid w:val="00B91704"/>
    <w:rsid w:val="00B917FE"/>
    <w:rsid w:val="00B918BC"/>
    <w:rsid w:val="00B91B08"/>
    <w:rsid w:val="00B91C2F"/>
    <w:rsid w:val="00B91C5C"/>
    <w:rsid w:val="00B91E15"/>
    <w:rsid w:val="00B91FB1"/>
    <w:rsid w:val="00B92038"/>
    <w:rsid w:val="00B9227C"/>
    <w:rsid w:val="00B92548"/>
    <w:rsid w:val="00B92EE6"/>
    <w:rsid w:val="00B9311C"/>
    <w:rsid w:val="00B93674"/>
    <w:rsid w:val="00B93854"/>
    <w:rsid w:val="00B939F0"/>
    <w:rsid w:val="00B93B4D"/>
    <w:rsid w:val="00B93BDA"/>
    <w:rsid w:val="00B947B6"/>
    <w:rsid w:val="00B948FC"/>
    <w:rsid w:val="00B94BCD"/>
    <w:rsid w:val="00B94BE3"/>
    <w:rsid w:val="00B94CBB"/>
    <w:rsid w:val="00B95012"/>
    <w:rsid w:val="00B9506E"/>
    <w:rsid w:val="00B952CB"/>
    <w:rsid w:val="00B95602"/>
    <w:rsid w:val="00B95B75"/>
    <w:rsid w:val="00B95D9E"/>
    <w:rsid w:val="00B960E6"/>
    <w:rsid w:val="00B9699C"/>
    <w:rsid w:val="00B96C85"/>
    <w:rsid w:val="00B96C9E"/>
    <w:rsid w:val="00B96D15"/>
    <w:rsid w:val="00B96DB8"/>
    <w:rsid w:val="00B970BA"/>
    <w:rsid w:val="00B971E2"/>
    <w:rsid w:val="00B9728A"/>
    <w:rsid w:val="00B974D5"/>
    <w:rsid w:val="00B978FE"/>
    <w:rsid w:val="00B97CC7"/>
    <w:rsid w:val="00B97D3B"/>
    <w:rsid w:val="00B97F1C"/>
    <w:rsid w:val="00B97FCB"/>
    <w:rsid w:val="00BA01BE"/>
    <w:rsid w:val="00BA0474"/>
    <w:rsid w:val="00BA0A30"/>
    <w:rsid w:val="00BA0CBC"/>
    <w:rsid w:val="00BA0FA6"/>
    <w:rsid w:val="00BA1473"/>
    <w:rsid w:val="00BA14F6"/>
    <w:rsid w:val="00BA197F"/>
    <w:rsid w:val="00BA1BFC"/>
    <w:rsid w:val="00BA1C1B"/>
    <w:rsid w:val="00BA1DB8"/>
    <w:rsid w:val="00BA22B8"/>
    <w:rsid w:val="00BA262F"/>
    <w:rsid w:val="00BA2758"/>
    <w:rsid w:val="00BA28D1"/>
    <w:rsid w:val="00BA2BF4"/>
    <w:rsid w:val="00BA2C9B"/>
    <w:rsid w:val="00BA3A50"/>
    <w:rsid w:val="00BA3B8B"/>
    <w:rsid w:val="00BA3BD9"/>
    <w:rsid w:val="00BA3D9B"/>
    <w:rsid w:val="00BA3E5D"/>
    <w:rsid w:val="00BA4863"/>
    <w:rsid w:val="00BA4971"/>
    <w:rsid w:val="00BA4FF2"/>
    <w:rsid w:val="00BA50BA"/>
    <w:rsid w:val="00BA50EA"/>
    <w:rsid w:val="00BA529E"/>
    <w:rsid w:val="00BA5A63"/>
    <w:rsid w:val="00BA5C98"/>
    <w:rsid w:val="00BA5F24"/>
    <w:rsid w:val="00BA5F92"/>
    <w:rsid w:val="00BA6275"/>
    <w:rsid w:val="00BA63E8"/>
    <w:rsid w:val="00BA64ED"/>
    <w:rsid w:val="00BA665C"/>
    <w:rsid w:val="00BA6AD8"/>
    <w:rsid w:val="00BA6CE7"/>
    <w:rsid w:val="00BA6F93"/>
    <w:rsid w:val="00BA6FCC"/>
    <w:rsid w:val="00BA7279"/>
    <w:rsid w:val="00BA73BE"/>
    <w:rsid w:val="00BA75C4"/>
    <w:rsid w:val="00BA7A81"/>
    <w:rsid w:val="00BA7D0A"/>
    <w:rsid w:val="00BA7D2F"/>
    <w:rsid w:val="00BB0467"/>
    <w:rsid w:val="00BB0651"/>
    <w:rsid w:val="00BB0C8C"/>
    <w:rsid w:val="00BB0DA0"/>
    <w:rsid w:val="00BB0DE8"/>
    <w:rsid w:val="00BB11E9"/>
    <w:rsid w:val="00BB1420"/>
    <w:rsid w:val="00BB164D"/>
    <w:rsid w:val="00BB19B7"/>
    <w:rsid w:val="00BB1A20"/>
    <w:rsid w:val="00BB1DDB"/>
    <w:rsid w:val="00BB1E16"/>
    <w:rsid w:val="00BB1FDE"/>
    <w:rsid w:val="00BB2063"/>
    <w:rsid w:val="00BB2112"/>
    <w:rsid w:val="00BB2128"/>
    <w:rsid w:val="00BB22FE"/>
    <w:rsid w:val="00BB2BC9"/>
    <w:rsid w:val="00BB2EB5"/>
    <w:rsid w:val="00BB2F53"/>
    <w:rsid w:val="00BB32EB"/>
    <w:rsid w:val="00BB33FF"/>
    <w:rsid w:val="00BB381C"/>
    <w:rsid w:val="00BB394D"/>
    <w:rsid w:val="00BB3971"/>
    <w:rsid w:val="00BB3A85"/>
    <w:rsid w:val="00BB3AAA"/>
    <w:rsid w:val="00BB3AAD"/>
    <w:rsid w:val="00BB3ADB"/>
    <w:rsid w:val="00BB45F0"/>
    <w:rsid w:val="00BB4859"/>
    <w:rsid w:val="00BB49DC"/>
    <w:rsid w:val="00BB4C0D"/>
    <w:rsid w:val="00BB4FB5"/>
    <w:rsid w:val="00BB51C2"/>
    <w:rsid w:val="00BB51E1"/>
    <w:rsid w:val="00BB52D9"/>
    <w:rsid w:val="00BB5372"/>
    <w:rsid w:val="00BB557E"/>
    <w:rsid w:val="00BB55E4"/>
    <w:rsid w:val="00BB57BF"/>
    <w:rsid w:val="00BB5A9C"/>
    <w:rsid w:val="00BB5AFF"/>
    <w:rsid w:val="00BB5C67"/>
    <w:rsid w:val="00BB5F8C"/>
    <w:rsid w:val="00BB5FE5"/>
    <w:rsid w:val="00BB65A5"/>
    <w:rsid w:val="00BB675B"/>
    <w:rsid w:val="00BB6BDA"/>
    <w:rsid w:val="00BB6CA8"/>
    <w:rsid w:val="00BB6EAC"/>
    <w:rsid w:val="00BB6EF9"/>
    <w:rsid w:val="00BB71D2"/>
    <w:rsid w:val="00BB7375"/>
    <w:rsid w:val="00BB75F4"/>
    <w:rsid w:val="00BB792E"/>
    <w:rsid w:val="00BB7A9C"/>
    <w:rsid w:val="00BB7B7A"/>
    <w:rsid w:val="00BB7CEB"/>
    <w:rsid w:val="00BB7DA4"/>
    <w:rsid w:val="00BC0107"/>
    <w:rsid w:val="00BC0529"/>
    <w:rsid w:val="00BC0735"/>
    <w:rsid w:val="00BC0A58"/>
    <w:rsid w:val="00BC0AA1"/>
    <w:rsid w:val="00BC10AE"/>
    <w:rsid w:val="00BC1203"/>
    <w:rsid w:val="00BC1528"/>
    <w:rsid w:val="00BC1A2E"/>
    <w:rsid w:val="00BC1CF9"/>
    <w:rsid w:val="00BC1E02"/>
    <w:rsid w:val="00BC229D"/>
    <w:rsid w:val="00BC23B0"/>
    <w:rsid w:val="00BC2496"/>
    <w:rsid w:val="00BC2708"/>
    <w:rsid w:val="00BC29CA"/>
    <w:rsid w:val="00BC2C7B"/>
    <w:rsid w:val="00BC2E95"/>
    <w:rsid w:val="00BC304B"/>
    <w:rsid w:val="00BC312C"/>
    <w:rsid w:val="00BC3166"/>
    <w:rsid w:val="00BC33AC"/>
    <w:rsid w:val="00BC3AA0"/>
    <w:rsid w:val="00BC3B55"/>
    <w:rsid w:val="00BC4418"/>
    <w:rsid w:val="00BC47ED"/>
    <w:rsid w:val="00BC48B9"/>
    <w:rsid w:val="00BC48BD"/>
    <w:rsid w:val="00BC4AAA"/>
    <w:rsid w:val="00BC4AED"/>
    <w:rsid w:val="00BC4BFC"/>
    <w:rsid w:val="00BC51B0"/>
    <w:rsid w:val="00BC541D"/>
    <w:rsid w:val="00BC5802"/>
    <w:rsid w:val="00BC5A7D"/>
    <w:rsid w:val="00BC60FF"/>
    <w:rsid w:val="00BC61E6"/>
    <w:rsid w:val="00BC6E38"/>
    <w:rsid w:val="00BC6F33"/>
    <w:rsid w:val="00BC6F5B"/>
    <w:rsid w:val="00BC706A"/>
    <w:rsid w:val="00BC713D"/>
    <w:rsid w:val="00BC743A"/>
    <w:rsid w:val="00BC7575"/>
    <w:rsid w:val="00BC763D"/>
    <w:rsid w:val="00BC777C"/>
    <w:rsid w:val="00BC792C"/>
    <w:rsid w:val="00BC7DD9"/>
    <w:rsid w:val="00BC7EF3"/>
    <w:rsid w:val="00BC7FB1"/>
    <w:rsid w:val="00BD01DB"/>
    <w:rsid w:val="00BD061D"/>
    <w:rsid w:val="00BD08A5"/>
    <w:rsid w:val="00BD08D6"/>
    <w:rsid w:val="00BD0CC3"/>
    <w:rsid w:val="00BD0FCF"/>
    <w:rsid w:val="00BD1004"/>
    <w:rsid w:val="00BD1037"/>
    <w:rsid w:val="00BD1318"/>
    <w:rsid w:val="00BD144C"/>
    <w:rsid w:val="00BD1734"/>
    <w:rsid w:val="00BD1F6C"/>
    <w:rsid w:val="00BD203A"/>
    <w:rsid w:val="00BD2618"/>
    <w:rsid w:val="00BD2695"/>
    <w:rsid w:val="00BD29B0"/>
    <w:rsid w:val="00BD2A14"/>
    <w:rsid w:val="00BD3F22"/>
    <w:rsid w:val="00BD486D"/>
    <w:rsid w:val="00BD489C"/>
    <w:rsid w:val="00BD49CE"/>
    <w:rsid w:val="00BD4C78"/>
    <w:rsid w:val="00BD4F73"/>
    <w:rsid w:val="00BD50B2"/>
    <w:rsid w:val="00BD52CD"/>
    <w:rsid w:val="00BD555B"/>
    <w:rsid w:val="00BD579C"/>
    <w:rsid w:val="00BD5BAD"/>
    <w:rsid w:val="00BD5BC6"/>
    <w:rsid w:val="00BD5E48"/>
    <w:rsid w:val="00BD613D"/>
    <w:rsid w:val="00BD63B2"/>
    <w:rsid w:val="00BD66B6"/>
    <w:rsid w:val="00BD676F"/>
    <w:rsid w:val="00BD6910"/>
    <w:rsid w:val="00BD6B76"/>
    <w:rsid w:val="00BD6F74"/>
    <w:rsid w:val="00BD71B5"/>
    <w:rsid w:val="00BD74BB"/>
    <w:rsid w:val="00BD776D"/>
    <w:rsid w:val="00BD7D42"/>
    <w:rsid w:val="00BD7D56"/>
    <w:rsid w:val="00BE043D"/>
    <w:rsid w:val="00BE0C1E"/>
    <w:rsid w:val="00BE1323"/>
    <w:rsid w:val="00BE183D"/>
    <w:rsid w:val="00BE1A27"/>
    <w:rsid w:val="00BE2128"/>
    <w:rsid w:val="00BE238B"/>
    <w:rsid w:val="00BE2DFF"/>
    <w:rsid w:val="00BE31B3"/>
    <w:rsid w:val="00BE3DF5"/>
    <w:rsid w:val="00BE3EF9"/>
    <w:rsid w:val="00BE416C"/>
    <w:rsid w:val="00BE4554"/>
    <w:rsid w:val="00BE4784"/>
    <w:rsid w:val="00BE49FC"/>
    <w:rsid w:val="00BE4AB5"/>
    <w:rsid w:val="00BE4C8E"/>
    <w:rsid w:val="00BE4D5C"/>
    <w:rsid w:val="00BE4DA7"/>
    <w:rsid w:val="00BE4FC7"/>
    <w:rsid w:val="00BE5227"/>
    <w:rsid w:val="00BE5377"/>
    <w:rsid w:val="00BE5417"/>
    <w:rsid w:val="00BE54CE"/>
    <w:rsid w:val="00BE5A28"/>
    <w:rsid w:val="00BE5AF2"/>
    <w:rsid w:val="00BE5D7C"/>
    <w:rsid w:val="00BE6008"/>
    <w:rsid w:val="00BE6429"/>
    <w:rsid w:val="00BE6AA9"/>
    <w:rsid w:val="00BE6F31"/>
    <w:rsid w:val="00BE7010"/>
    <w:rsid w:val="00BE73BD"/>
    <w:rsid w:val="00BE74F1"/>
    <w:rsid w:val="00BE750B"/>
    <w:rsid w:val="00BE7541"/>
    <w:rsid w:val="00BE76B3"/>
    <w:rsid w:val="00BE76EE"/>
    <w:rsid w:val="00BE7769"/>
    <w:rsid w:val="00BE77AD"/>
    <w:rsid w:val="00BE7911"/>
    <w:rsid w:val="00BE7977"/>
    <w:rsid w:val="00BE7CAA"/>
    <w:rsid w:val="00BE7E6B"/>
    <w:rsid w:val="00BF02AF"/>
    <w:rsid w:val="00BF05D1"/>
    <w:rsid w:val="00BF0967"/>
    <w:rsid w:val="00BF09E2"/>
    <w:rsid w:val="00BF0DE9"/>
    <w:rsid w:val="00BF1142"/>
    <w:rsid w:val="00BF1371"/>
    <w:rsid w:val="00BF1670"/>
    <w:rsid w:val="00BF1B13"/>
    <w:rsid w:val="00BF260E"/>
    <w:rsid w:val="00BF26B7"/>
    <w:rsid w:val="00BF28DE"/>
    <w:rsid w:val="00BF2C67"/>
    <w:rsid w:val="00BF319E"/>
    <w:rsid w:val="00BF3587"/>
    <w:rsid w:val="00BF3DC7"/>
    <w:rsid w:val="00BF3F8D"/>
    <w:rsid w:val="00BF3FCB"/>
    <w:rsid w:val="00BF3FD6"/>
    <w:rsid w:val="00BF40F9"/>
    <w:rsid w:val="00BF4398"/>
    <w:rsid w:val="00BF4583"/>
    <w:rsid w:val="00BF4B3F"/>
    <w:rsid w:val="00BF4BF9"/>
    <w:rsid w:val="00BF4D79"/>
    <w:rsid w:val="00BF51C1"/>
    <w:rsid w:val="00BF5359"/>
    <w:rsid w:val="00BF53A1"/>
    <w:rsid w:val="00BF53B4"/>
    <w:rsid w:val="00BF53D5"/>
    <w:rsid w:val="00BF53EF"/>
    <w:rsid w:val="00BF5432"/>
    <w:rsid w:val="00BF56AA"/>
    <w:rsid w:val="00BF56E1"/>
    <w:rsid w:val="00BF5713"/>
    <w:rsid w:val="00BF59F8"/>
    <w:rsid w:val="00BF5A18"/>
    <w:rsid w:val="00BF5C8B"/>
    <w:rsid w:val="00BF6567"/>
    <w:rsid w:val="00BF672A"/>
    <w:rsid w:val="00BF697F"/>
    <w:rsid w:val="00BF69CD"/>
    <w:rsid w:val="00BF6AB2"/>
    <w:rsid w:val="00BF7090"/>
    <w:rsid w:val="00BF7199"/>
    <w:rsid w:val="00BF798A"/>
    <w:rsid w:val="00BF79B2"/>
    <w:rsid w:val="00BF7DC2"/>
    <w:rsid w:val="00BF7FB9"/>
    <w:rsid w:val="00BF7FED"/>
    <w:rsid w:val="00C00337"/>
    <w:rsid w:val="00C00B25"/>
    <w:rsid w:val="00C00B3C"/>
    <w:rsid w:val="00C00BF7"/>
    <w:rsid w:val="00C00DC4"/>
    <w:rsid w:val="00C011D6"/>
    <w:rsid w:val="00C01474"/>
    <w:rsid w:val="00C017CD"/>
    <w:rsid w:val="00C01AEB"/>
    <w:rsid w:val="00C01C8D"/>
    <w:rsid w:val="00C01CAA"/>
    <w:rsid w:val="00C01E22"/>
    <w:rsid w:val="00C01E29"/>
    <w:rsid w:val="00C02080"/>
    <w:rsid w:val="00C02355"/>
    <w:rsid w:val="00C02538"/>
    <w:rsid w:val="00C029BC"/>
    <w:rsid w:val="00C02A15"/>
    <w:rsid w:val="00C02A74"/>
    <w:rsid w:val="00C02E57"/>
    <w:rsid w:val="00C02F05"/>
    <w:rsid w:val="00C030AD"/>
    <w:rsid w:val="00C031A2"/>
    <w:rsid w:val="00C03242"/>
    <w:rsid w:val="00C03245"/>
    <w:rsid w:val="00C03997"/>
    <w:rsid w:val="00C041A2"/>
    <w:rsid w:val="00C04222"/>
    <w:rsid w:val="00C043AC"/>
    <w:rsid w:val="00C04537"/>
    <w:rsid w:val="00C0479C"/>
    <w:rsid w:val="00C0491B"/>
    <w:rsid w:val="00C0499A"/>
    <w:rsid w:val="00C04D39"/>
    <w:rsid w:val="00C04D97"/>
    <w:rsid w:val="00C04E7A"/>
    <w:rsid w:val="00C050D5"/>
    <w:rsid w:val="00C05345"/>
    <w:rsid w:val="00C055C0"/>
    <w:rsid w:val="00C0563E"/>
    <w:rsid w:val="00C06106"/>
    <w:rsid w:val="00C064B8"/>
    <w:rsid w:val="00C0689C"/>
    <w:rsid w:val="00C069EC"/>
    <w:rsid w:val="00C06E90"/>
    <w:rsid w:val="00C0727B"/>
    <w:rsid w:val="00C07380"/>
    <w:rsid w:val="00C074CE"/>
    <w:rsid w:val="00C075A1"/>
    <w:rsid w:val="00C0767C"/>
    <w:rsid w:val="00C07B25"/>
    <w:rsid w:val="00C07BAB"/>
    <w:rsid w:val="00C07D2C"/>
    <w:rsid w:val="00C105E8"/>
    <w:rsid w:val="00C1088D"/>
    <w:rsid w:val="00C108BE"/>
    <w:rsid w:val="00C10EE6"/>
    <w:rsid w:val="00C1129B"/>
    <w:rsid w:val="00C112A2"/>
    <w:rsid w:val="00C112F6"/>
    <w:rsid w:val="00C1148D"/>
    <w:rsid w:val="00C11660"/>
    <w:rsid w:val="00C11BA3"/>
    <w:rsid w:val="00C11C44"/>
    <w:rsid w:val="00C11CD3"/>
    <w:rsid w:val="00C11FCA"/>
    <w:rsid w:val="00C12837"/>
    <w:rsid w:val="00C1287F"/>
    <w:rsid w:val="00C12B86"/>
    <w:rsid w:val="00C12C44"/>
    <w:rsid w:val="00C12CF0"/>
    <w:rsid w:val="00C12D03"/>
    <w:rsid w:val="00C12DE0"/>
    <w:rsid w:val="00C12FC0"/>
    <w:rsid w:val="00C134B1"/>
    <w:rsid w:val="00C13553"/>
    <w:rsid w:val="00C136AB"/>
    <w:rsid w:val="00C13789"/>
    <w:rsid w:val="00C1384F"/>
    <w:rsid w:val="00C13FEB"/>
    <w:rsid w:val="00C14119"/>
    <w:rsid w:val="00C141DB"/>
    <w:rsid w:val="00C14672"/>
    <w:rsid w:val="00C146D5"/>
    <w:rsid w:val="00C1471F"/>
    <w:rsid w:val="00C147CF"/>
    <w:rsid w:val="00C14D2E"/>
    <w:rsid w:val="00C1505A"/>
    <w:rsid w:val="00C154DF"/>
    <w:rsid w:val="00C155B0"/>
    <w:rsid w:val="00C15A88"/>
    <w:rsid w:val="00C15B40"/>
    <w:rsid w:val="00C15FC8"/>
    <w:rsid w:val="00C161FE"/>
    <w:rsid w:val="00C162F1"/>
    <w:rsid w:val="00C16627"/>
    <w:rsid w:val="00C16890"/>
    <w:rsid w:val="00C169CF"/>
    <w:rsid w:val="00C16C0D"/>
    <w:rsid w:val="00C16F27"/>
    <w:rsid w:val="00C17252"/>
    <w:rsid w:val="00C17970"/>
    <w:rsid w:val="00C17A56"/>
    <w:rsid w:val="00C17C0B"/>
    <w:rsid w:val="00C20626"/>
    <w:rsid w:val="00C20BCA"/>
    <w:rsid w:val="00C20CA0"/>
    <w:rsid w:val="00C20EF6"/>
    <w:rsid w:val="00C20FF8"/>
    <w:rsid w:val="00C212A7"/>
    <w:rsid w:val="00C2213F"/>
    <w:rsid w:val="00C225CC"/>
    <w:rsid w:val="00C22814"/>
    <w:rsid w:val="00C22863"/>
    <w:rsid w:val="00C2287B"/>
    <w:rsid w:val="00C22B68"/>
    <w:rsid w:val="00C2311D"/>
    <w:rsid w:val="00C23200"/>
    <w:rsid w:val="00C23389"/>
    <w:rsid w:val="00C236C7"/>
    <w:rsid w:val="00C23795"/>
    <w:rsid w:val="00C237D5"/>
    <w:rsid w:val="00C23A26"/>
    <w:rsid w:val="00C23C98"/>
    <w:rsid w:val="00C23EBC"/>
    <w:rsid w:val="00C23F0D"/>
    <w:rsid w:val="00C2414A"/>
    <w:rsid w:val="00C241F6"/>
    <w:rsid w:val="00C242D0"/>
    <w:rsid w:val="00C24464"/>
    <w:rsid w:val="00C246ED"/>
    <w:rsid w:val="00C24AC5"/>
    <w:rsid w:val="00C24D62"/>
    <w:rsid w:val="00C25542"/>
    <w:rsid w:val="00C255FA"/>
    <w:rsid w:val="00C25B5B"/>
    <w:rsid w:val="00C25CB5"/>
    <w:rsid w:val="00C26773"/>
    <w:rsid w:val="00C26817"/>
    <w:rsid w:val="00C26E68"/>
    <w:rsid w:val="00C26E7C"/>
    <w:rsid w:val="00C26F7A"/>
    <w:rsid w:val="00C2752A"/>
    <w:rsid w:val="00C2799F"/>
    <w:rsid w:val="00C279A4"/>
    <w:rsid w:val="00C301E8"/>
    <w:rsid w:val="00C30271"/>
    <w:rsid w:val="00C30594"/>
    <w:rsid w:val="00C307B7"/>
    <w:rsid w:val="00C30950"/>
    <w:rsid w:val="00C30D51"/>
    <w:rsid w:val="00C30DBB"/>
    <w:rsid w:val="00C3169B"/>
    <w:rsid w:val="00C31751"/>
    <w:rsid w:val="00C3193F"/>
    <w:rsid w:val="00C31A0E"/>
    <w:rsid w:val="00C31CCB"/>
    <w:rsid w:val="00C31D40"/>
    <w:rsid w:val="00C3233C"/>
    <w:rsid w:val="00C32461"/>
    <w:rsid w:val="00C324CD"/>
    <w:rsid w:val="00C327A5"/>
    <w:rsid w:val="00C32B18"/>
    <w:rsid w:val="00C32D18"/>
    <w:rsid w:val="00C32D2F"/>
    <w:rsid w:val="00C330F2"/>
    <w:rsid w:val="00C33268"/>
    <w:rsid w:val="00C3345B"/>
    <w:rsid w:val="00C33AB4"/>
    <w:rsid w:val="00C33AEF"/>
    <w:rsid w:val="00C33C19"/>
    <w:rsid w:val="00C34015"/>
    <w:rsid w:val="00C341B5"/>
    <w:rsid w:val="00C3431C"/>
    <w:rsid w:val="00C343FA"/>
    <w:rsid w:val="00C34493"/>
    <w:rsid w:val="00C34740"/>
    <w:rsid w:val="00C34858"/>
    <w:rsid w:val="00C34962"/>
    <w:rsid w:val="00C34B0A"/>
    <w:rsid w:val="00C34B5B"/>
    <w:rsid w:val="00C34ED7"/>
    <w:rsid w:val="00C357A2"/>
    <w:rsid w:val="00C35809"/>
    <w:rsid w:val="00C35AAF"/>
    <w:rsid w:val="00C35DF9"/>
    <w:rsid w:val="00C35E6F"/>
    <w:rsid w:val="00C35EF0"/>
    <w:rsid w:val="00C36C34"/>
    <w:rsid w:val="00C36D63"/>
    <w:rsid w:val="00C36EC0"/>
    <w:rsid w:val="00C36F2C"/>
    <w:rsid w:val="00C378BF"/>
    <w:rsid w:val="00C37F28"/>
    <w:rsid w:val="00C403E1"/>
    <w:rsid w:val="00C403EB"/>
    <w:rsid w:val="00C40577"/>
    <w:rsid w:val="00C40B33"/>
    <w:rsid w:val="00C40C7B"/>
    <w:rsid w:val="00C40D42"/>
    <w:rsid w:val="00C40DEB"/>
    <w:rsid w:val="00C40F90"/>
    <w:rsid w:val="00C4105D"/>
    <w:rsid w:val="00C41299"/>
    <w:rsid w:val="00C41334"/>
    <w:rsid w:val="00C41575"/>
    <w:rsid w:val="00C41965"/>
    <w:rsid w:val="00C41B5B"/>
    <w:rsid w:val="00C42217"/>
    <w:rsid w:val="00C424D7"/>
    <w:rsid w:val="00C4257E"/>
    <w:rsid w:val="00C42D59"/>
    <w:rsid w:val="00C433E4"/>
    <w:rsid w:val="00C43400"/>
    <w:rsid w:val="00C43B99"/>
    <w:rsid w:val="00C43BFF"/>
    <w:rsid w:val="00C43CA5"/>
    <w:rsid w:val="00C43D61"/>
    <w:rsid w:val="00C43E78"/>
    <w:rsid w:val="00C43F67"/>
    <w:rsid w:val="00C440C8"/>
    <w:rsid w:val="00C44193"/>
    <w:rsid w:val="00C4425A"/>
    <w:rsid w:val="00C449C5"/>
    <w:rsid w:val="00C44C65"/>
    <w:rsid w:val="00C44F2E"/>
    <w:rsid w:val="00C454A2"/>
    <w:rsid w:val="00C45672"/>
    <w:rsid w:val="00C45675"/>
    <w:rsid w:val="00C4595A"/>
    <w:rsid w:val="00C45F8C"/>
    <w:rsid w:val="00C4624A"/>
    <w:rsid w:val="00C4665C"/>
    <w:rsid w:val="00C46860"/>
    <w:rsid w:val="00C46DA5"/>
    <w:rsid w:val="00C470AB"/>
    <w:rsid w:val="00C472DB"/>
    <w:rsid w:val="00C47443"/>
    <w:rsid w:val="00C47764"/>
    <w:rsid w:val="00C479BB"/>
    <w:rsid w:val="00C479EE"/>
    <w:rsid w:val="00C47A37"/>
    <w:rsid w:val="00C47A7D"/>
    <w:rsid w:val="00C47B1B"/>
    <w:rsid w:val="00C47B7F"/>
    <w:rsid w:val="00C5001C"/>
    <w:rsid w:val="00C5031F"/>
    <w:rsid w:val="00C503B7"/>
    <w:rsid w:val="00C50556"/>
    <w:rsid w:val="00C5081C"/>
    <w:rsid w:val="00C508CB"/>
    <w:rsid w:val="00C50AA3"/>
    <w:rsid w:val="00C50AC9"/>
    <w:rsid w:val="00C50DB2"/>
    <w:rsid w:val="00C50ECF"/>
    <w:rsid w:val="00C50F39"/>
    <w:rsid w:val="00C51185"/>
    <w:rsid w:val="00C513B8"/>
    <w:rsid w:val="00C51645"/>
    <w:rsid w:val="00C516B5"/>
    <w:rsid w:val="00C517B3"/>
    <w:rsid w:val="00C51F5C"/>
    <w:rsid w:val="00C521A0"/>
    <w:rsid w:val="00C5222E"/>
    <w:rsid w:val="00C52393"/>
    <w:rsid w:val="00C523B4"/>
    <w:rsid w:val="00C528C5"/>
    <w:rsid w:val="00C52ACC"/>
    <w:rsid w:val="00C52B51"/>
    <w:rsid w:val="00C530A6"/>
    <w:rsid w:val="00C535E4"/>
    <w:rsid w:val="00C53788"/>
    <w:rsid w:val="00C53805"/>
    <w:rsid w:val="00C53875"/>
    <w:rsid w:val="00C53B4B"/>
    <w:rsid w:val="00C53B7D"/>
    <w:rsid w:val="00C53B92"/>
    <w:rsid w:val="00C53CD0"/>
    <w:rsid w:val="00C53E14"/>
    <w:rsid w:val="00C53E56"/>
    <w:rsid w:val="00C53F20"/>
    <w:rsid w:val="00C540C0"/>
    <w:rsid w:val="00C5426B"/>
    <w:rsid w:val="00C54716"/>
    <w:rsid w:val="00C54775"/>
    <w:rsid w:val="00C547D2"/>
    <w:rsid w:val="00C54CCE"/>
    <w:rsid w:val="00C550C1"/>
    <w:rsid w:val="00C5525F"/>
    <w:rsid w:val="00C5584D"/>
    <w:rsid w:val="00C55EDB"/>
    <w:rsid w:val="00C55EEC"/>
    <w:rsid w:val="00C561A9"/>
    <w:rsid w:val="00C56C35"/>
    <w:rsid w:val="00C56D1E"/>
    <w:rsid w:val="00C56E13"/>
    <w:rsid w:val="00C56E5D"/>
    <w:rsid w:val="00C5769A"/>
    <w:rsid w:val="00C57A24"/>
    <w:rsid w:val="00C57A4A"/>
    <w:rsid w:val="00C57B37"/>
    <w:rsid w:val="00C57C0A"/>
    <w:rsid w:val="00C57D50"/>
    <w:rsid w:val="00C60272"/>
    <w:rsid w:val="00C603E1"/>
    <w:rsid w:val="00C603FD"/>
    <w:rsid w:val="00C60657"/>
    <w:rsid w:val="00C607CD"/>
    <w:rsid w:val="00C60A82"/>
    <w:rsid w:val="00C60CCA"/>
    <w:rsid w:val="00C60E02"/>
    <w:rsid w:val="00C60FE1"/>
    <w:rsid w:val="00C6108C"/>
    <w:rsid w:val="00C610F1"/>
    <w:rsid w:val="00C617B8"/>
    <w:rsid w:val="00C618E4"/>
    <w:rsid w:val="00C61A11"/>
    <w:rsid w:val="00C61FD6"/>
    <w:rsid w:val="00C621A5"/>
    <w:rsid w:val="00C62352"/>
    <w:rsid w:val="00C6244A"/>
    <w:rsid w:val="00C6247E"/>
    <w:rsid w:val="00C62F05"/>
    <w:rsid w:val="00C63172"/>
    <w:rsid w:val="00C63284"/>
    <w:rsid w:val="00C63357"/>
    <w:rsid w:val="00C6358E"/>
    <w:rsid w:val="00C63A55"/>
    <w:rsid w:val="00C641CB"/>
    <w:rsid w:val="00C645AC"/>
    <w:rsid w:val="00C64681"/>
    <w:rsid w:val="00C64BE2"/>
    <w:rsid w:val="00C64D21"/>
    <w:rsid w:val="00C64D39"/>
    <w:rsid w:val="00C65090"/>
    <w:rsid w:val="00C66122"/>
    <w:rsid w:val="00C6613D"/>
    <w:rsid w:val="00C6675B"/>
    <w:rsid w:val="00C669E3"/>
    <w:rsid w:val="00C669E4"/>
    <w:rsid w:val="00C66D46"/>
    <w:rsid w:val="00C67109"/>
    <w:rsid w:val="00C676D3"/>
    <w:rsid w:val="00C678B2"/>
    <w:rsid w:val="00C678BE"/>
    <w:rsid w:val="00C67AD4"/>
    <w:rsid w:val="00C67C08"/>
    <w:rsid w:val="00C67D30"/>
    <w:rsid w:val="00C67F97"/>
    <w:rsid w:val="00C70031"/>
    <w:rsid w:val="00C7006C"/>
    <w:rsid w:val="00C70167"/>
    <w:rsid w:val="00C702B6"/>
    <w:rsid w:val="00C70531"/>
    <w:rsid w:val="00C707E1"/>
    <w:rsid w:val="00C70C3C"/>
    <w:rsid w:val="00C70DA2"/>
    <w:rsid w:val="00C70E65"/>
    <w:rsid w:val="00C710C5"/>
    <w:rsid w:val="00C71381"/>
    <w:rsid w:val="00C7139A"/>
    <w:rsid w:val="00C713A2"/>
    <w:rsid w:val="00C714C5"/>
    <w:rsid w:val="00C7167C"/>
    <w:rsid w:val="00C7167E"/>
    <w:rsid w:val="00C71919"/>
    <w:rsid w:val="00C71A00"/>
    <w:rsid w:val="00C71B07"/>
    <w:rsid w:val="00C72061"/>
    <w:rsid w:val="00C7214E"/>
    <w:rsid w:val="00C7237C"/>
    <w:rsid w:val="00C72395"/>
    <w:rsid w:val="00C723CD"/>
    <w:rsid w:val="00C72452"/>
    <w:rsid w:val="00C7256C"/>
    <w:rsid w:val="00C728F5"/>
    <w:rsid w:val="00C72DA3"/>
    <w:rsid w:val="00C73BE7"/>
    <w:rsid w:val="00C73C4D"/>
    <w:rsid w:val="00C73DAB"/>
    <w:rsid w:val="00C73F8E"/>
    <w:rsid w:val="00C74304"/>
    <w:rsid w:val="00C7465C"/>
    <w:rsid w:val="00C747BA"/>
    <w:rsid w:val="00C74965"/>
    <w:rsid w:val="00C74966"/>
    <w:rsid w:val="00C74BF1"/>
    <w:rsid w:val="00C74C13"/>
    <w:rsid w:val="00C74C8C"/>
    <w:rsid w:val="00C74FFE"/>
    <w:rsid w:val="00C75041"/>
    <w:rsid w:val="00C75183"/>
    <w:rsid w:val="00C7547B"/>
    <w:rsid w:val="00C75543"/>
    <w:rsid w:val="00C75600"/>
    <w:rsid w:val="00C75F16"/>
    <w:rsid w:val="00C75FCF"/>
    <w:rsid w:val="00C765D0"/>
    <w:rsid w:val="00C7664B"/>
    <w:rsid w:val="00C766C6"/>
    <w:rsid w:val="00C7691F"/>
    <w:rsid w:val="00C76B7C"/>
    <w:rsid w:val="00C76C74"/>
    <w:rsid w:val="00C76FB0"/>
    <w:rsid w:val="00C76FB5"/>
    <w:rsid w:val="00C770B9"/>
    <w:rsid w:val="00C7710A"/>
    <w:rsid w:val="00C771B2"/>
    <w:rsid w:val="00C771BF"/>
    <w:rsid w:val="00C774AC"/>
    <w:rsid w:val="00C77665"/>
    <w:rsid w:val="00C77805"/>
    <w:rsid w:val="00C77A51"/>
    <w:rsid w:val="00C77A7B"/>
    <w:rsid w:val="00C77C50"/>
    <w:rsid w:val="00C77D20"/>
    <w:rsid w:val="00C77E82"/>
    <w:rsid w:val="00C80C08"/>
    <w:rsid w:val="00C80C5B"/>
    <w:rsid w:val="00C80E19"/>
    <w:rsid w:val="00C80FE2"/>
    <w:rsid w:val="00C812CF"/>
    <w:rsid w:val="00C8141B"/>
    <w:rsid w:val="00C8152E"/>
    <w:rsid w:val="00C81758"/>
    <w:rsid w:val="00C8185E"/>
    <w:rsid w:val="00C819A5"/>
    <w:rsid w:val="00C81CE0"/>
    <w:rsid w:val="00C81E2C"/>
    <w:rsid w:val="00C82412"/>
    <w:rsid w:val="00C825C0"/>
    <w:rsid w:val="00C82B05"/>
    <w:rsid w:val="00C82C99"/>
    <w:rsid w:val="00C82D32"/>
    <w:rsid w:val="00C82DDD"/>
    <w:rsid w:val="00C83309"/>
    <w:rsid w:val="00C83453"/>
    <w:rsid w:val="00C834E1"/>
    <w:rsid w:val="00C836B7"/>
    <w:rsid w:val="00C836E7"/>
    <w:rsid w:val="00C837A4"/>
    <w:rsid w:val="00C83901"/>
    <w:rsid w:val="00C843FF"/>
    <w:rsid w:val="00C84690"/>
    <w:rsid w:val="00C846CE"/>
    <w:rsid w:val="00C8492C"/>
    <w:rsid w:val="00C84DEE"/>
    <w:rsid w:val="00C84E5F"/>
    <w:rsid w:val="00C84EEE"/>
    <w:rsid w:val="00C851CB"/>
    <w:rsid w:val="00C85227"/>
    <w:rsid w:val="00C85685"/>
    <w:rsid w:val="00C85A27"/>
    <w:rsid w:val="00C85B39"/>
    <w:rsid w:val="00C85C14"/>
    <w:rsid w:val="00C85C18"/>
    <w:rsid w:val="00C8605F"/>
    <w:rsid w:val="00C864F5"/>
    <w:rsid w:val="00C869AA"/>
    <w:rsid w:val="00C86BE0"/>
    <w:rsid w:val="00C86D05"/>
    <w:rsid w:val="00C87411"/>
    <w:rsid w:val="00C874BE"/>
    <w:rsid w:val="00C8750D"/>
    <w:rsid w:val="00C875D1"/>
    <w:rsid w:val="00C876A2"/>
    <w:rsid w:val="00C87A18"/>
    <w:rsid w:val="00C87F04"/>
    <w:rsid w:val="00C87F22"/>
    <w:rsid w:val="00C9014F"/>
    <w:rsid w:val="00C901EC"/>
    <w:rsid w:val="00C90309"/>
    <w:rsid w:val="00C9040A"/>
    <w:rsid w:val="00C905CE"/>
    <w:rsid w:val="00C9082D"/>
    <w:rsid w:val="00C91086"/>
    <w:rsid w:val="00C911AF"/>
    <w:rsid w:val="00C911CE"/>
    <w:rsid w:val="00C9136B"/>
    <w:rsid w:val="00C9141C"/>
    <w:rsid w:val="00C914F9"/>
    <w:rsid w:val="00C9178A"/>
    <w:rsid w:val="00C91C23"/>
    <w:rsid w:val="00C91D4D"/>
    <w:rsid w:val="00C91EA6"/>
    <w:rsid w:val="00C91F30"/>
    <w:rsid w:val="00C92015"/>
    <w:rsid w:val="00C9230F"/>
    <w:rsid w:val="00C9259A"/>
    <w:rsid w:val="00C925C4"/>
    <w:rsid w:val="00C926FC"/>
    <w:rsid w:val="00C92708"/>
    <w:rsid w:val="00C92745"/>
    <w:rsid w:val="00C92983"/>
    <w:rsid w:val="00C9298D"/>
    <w:rsid w:val="00C92DD2"/>
    <w:rsid w:val="00C92E87"/>
    <w:rsid w:val="00C93003"/>
    <w:rsid w:val="00C9307B"/>
    <w:rsid w:val="00C9330D"/>
    <w:rsid w:val="00C936BB"/>
    <w:rsid w:val="00C93748"/>
    <w:rsid w:val="00C93FED"/>
    <w:rsid w:val="00C9415D"/>
    <w:rsid w:val="00C94362"/>
    <w:rsid w:val="00C9484A"/>
    <w:rsid w:val="00C94B3C"/>
    <w:rsid w:val="00C94CB1"/>
    <w:rsid w:val="00C94EAE"/>
    <w:rsid w:val="00C95269"/>
    <w:rsid w:val="00C95279"/>
    <w:rsid w:val="00C95399"/>
    <w:rsid w:val="00C955AA"/>
    <w:rsid w:val="00C95904"/>
    <w:rsid w:val="00C95C11"/>
    <w:rsid w:val="00C95DE0"/>
    <w:rsid w:val="00C967D8"/>
    <w:rsid w:val="00C9697B"/>
    <w:rsid w:val="00C96D1D"/>
    <w:rsid w:val="00C96F65"/>
    <w:rsid w:val="00C96FE9"/>
    <w:rsid w:val="00C970A5"/>
    <w:rsid w:val="00C97169"/>
    <w:rsid w:val="00C972F2"/>
    <w:rsid w:val="00C97316"/>
    <w:rsid w:val="00C9746E"/>
    <w:rsid w:val="00C9776E"/>
    <w:rsid w:val="00C9786B"/>
    <w:rsid w:val="00C97B93"/>
    <w:rsid w:val="00C97C6A"/>
    <w:rsid w:val="00CA02A9"/>
    <w:rsid w:val="00CA08BA"/>
    <w:rsid w:val="00CA0E78"/>
    <w:rsid w:val="00CA1480"/>
    <w:rsid w:val="00CA14A5"/>
    <w:rsid w:val="00CA1B5A"/>
    <w:rsid w:val="00CA1C94"/>
    <w:rsid w:val="00CA1CA2"/>
    <w:rsid w:val="00CA1CC4"/>
    <w:rsid w:val="00CA1FC9"/>
    <w:rsid w:val="00CA200D"/>
    <w:rsid w:val="00CA2115"/>
    <w:rsid w:val="00CA22CA"/>
    <w:rsid w:val="00CA29A4"/>
    <w:rsid w:val="00CA2B4C"/>
    <w:rsid w:val="00CA2C56"/>
    <w:rsid w:val="00CA3172"/>
    <w:rsid w:val="00CA36F8"/>
    <w:rsid w:val="00CA38E5"/>
    <w:rsid w:val="00CA3A79"/>
    <w:rsid w:val="00CA3AC2"/>
    <w:rsid w:val="00CA3C6B"/>
    <w:rsid w:val="00CA3C8A"/>
    <w:rsid w:val="00CA3E22"/>
    <w:rsid w:val="00CA4257"/>
    <w:rsid w:val="00CA428A"/>
    <w:rsid w:val="00CA4332"/>
    <w:rsid w:val="00CA489A"/>
    <w:rsid w:val="00CA48B7"/>
    <w:rsid w:val="00CA4C60"/>
    <w:rsid w:val="00CA5032"/>
    <w:rsid w:val="00CA515C"/>
    <w:rsid w:val="00CA57E3"/>
    <w:rsid w:val="00CA5E4C"/>
    <w:rsid w:val="00CA6227"/>
    <w:rsid w:val="00CA62C5"/>
    <w:rsid w:val="00CA6312"/>
    <w:rsid w:val="00CA67A2"/>
    <w:rsid w:val="00CA72AC"/>
    <w:rsid w:val="00CA7376"/>
    <w:rsid w:val="00CA7424"/>
    <w:rsid w:val="00CA7CAB"/>
    <w:rsid w:val="00CB04F6"/>
    <w:rsid w:val="00CB052B"/>
    <w:rsid w:val="00CB0BAE"/>
    <w:rsid w:val="00CB0C32"/>
    <w:rsid w:val="00CB0E94"/>
    <w:rsid w:val="00CB0EBB"/>
    <w:rsid w:val="00CB17AD"/>
    <w:rsid w:val="00CB17BA"/>
    <w:rsid w:val="00CB17CF"/>
    <w:rsid w:val="00CB19B7"/>
    <w:rsid w:val="00CB19EE"/>
    <w:rsid w:val="00CB1A3E"/>
    <w:rsid w:val="00CB1A8B"/>
    <w:rsid w:val="00CB1CAA"/>
    <w:rsid w:val="00CB20DE"/>
    <w:rsid w:val="00CB2500"/>
    <w:rsid w:val="00CB2923"/>
    <w:rsid w:val="00CB2DDF"/>
    <w:rsid w:val="00CB2EE9"/>
    <w:rsid w:val="00CB3081"/>
    <w:rsid w:val="00CB36F2"/>
    <w:rsid w:val="00CB390A"/>
    <w:rsid w:val="00CB3D93"/>
    <w:rsid w:val="00CB3F09"/>
    <w:rsid w:val="00CB405D"/>
    <w:rsid w:val="00CB40CC"/>
    <w:rsid w:val="00CB40D7"/>
    <w:rsid w:val="00CB4115"/>
    <w:rsid w:val="00CB432A"/>
    <w:rsid w:val="00CB4394"/>
    <w:rsid w:val="00CB4727"/>
    <w:rsid w:val="00CB4740"/>
    <w:rsid w:val="00CB4B60"/>
    <w:rsid w:val="00CB4C49"/>
    <w:rsid w:val="00CB4DF5"/>
    <w:rsid w:val="00CB5279"/>
    <w:rsid w:val="00CB5384"/>
    <w:rsid w:val="00CB54A6"/>
    <w:rsid w:val="00CB5677"/>
    <w:rsid w:val="00CB58EB"/>
    <w:rsid w:val="00CB59AE"/>
    <w:rsid w:val="00CB5AFF"/>
    <w:rsid w:val="00CB5EEC"/>
    <w:rsid w:val="00CB5F54"/>
    <w:rsid w:val="00CB613F"/>
    <w:rsid w:val="00CB6461"/>
    <w:rsid w:val="00CB656F"/>
    <w:rsid w:val="00CB65D4"/>
    <w:rsid w:val="00CB6766"/>
    <w:rsid w:val="00CB6B51"/>
    <w:rsid w:val="00CB6BBF"/>
    <w:rsid w:val="00CB6C1B"/>
    <w:rsid w:val="00CB6E17"/>
    <w:rsid w:val="00CB74FB"/>
    <w:rsid w:val="00CB7960"/>
    <w:rsid w:val="00CC0223"/>
    <w:rsid w:val="00CC06E2"/>
    <w:rsid w:val="00CC0998"/>
    <w:rsid w:val="00CC0A59"/>
    <w:rsid w:val="00CC0CD3"/>
    <w:rsid w:val="00CC16C5"/>
    <w:rsid w:val="00CC1884"/>
    <w:rsid w:val="00CC18E8"/>
    <w:rsid w:val="00CC197E"/>
    <w:rsid w:val="00CC1D82"/>
    <w:rsid w:val="00CC1EF7"/>
    <w:rsid w:val="00CC2FAC"/>
    <w:rsid w:val="00CC33F0"/>
    <w:rsid w:val="00CC3482"/>
    <w:rsid w:val="00CC362A"/>
    <w:rsid w:val="00CC3BAA"/>
    <w:rsid w:val="00CC3E3D"/>
    <w:rsid w:val="00CC3E7E"/>
    <w:rsid w:val="00CC3ED5"/>
    <w:rsid w:val="00CC3F33"/>
    <w:rsid w:val="00CC4009"/>
    <w:rsid w:val="00CC43B8"/>
    <w:rsid w:val="00CC4495"/>
    <w:rsid w:val="00CC4546"/>
    <w:rsid w:val="00CC4833"/>
    <w:rsid w:val="00CC4FCB"/>
    <w:rsid w:val="00CC5307"/>
    <w:rsid w:val="00CC54C6"/>
    <w:rsid w:val="00CC558C"/>
    <w:rsid w:val="00CC55EC"/>
    <w:rsid w:val="00CC55F9"/>
    <w:rsid w:val="00CC5791"/>
    <w:rsid w:val="00CC57C1"/>
    <w:rsid w:val="00CC6D44"/>
    <w:rsid w:val="00CC714E"/>
    <w:rsid w:val="00CC736A"/>
    <w:rsid w:val="00CC745C"/>
    <w:rsid w:val="00CC75A4"/>
    <w:rsid w:val="00CC7801"/>
    <w:rsid w:val="00CD036E"/>
    <w:rsid w:val="00CD041A"/>
    <w:rsid w:val="00CD0427"/>
    <w:rsid w:val="00CD04B5"/>
    <w:rsid w:val="00CD0677"/>
    <w:rsid w:val="00CD0680"/>
    <w:rsid w:val="00CD06EE"/>
    <w:rsid w:val="00CD090C"/>
    <w:rsid w:val="00CD0CA5"/>
    <w:rsid w:val="00CD1470"/>
    <w:rsid w:val="00CD1613"/>
    <w:rsid w:val="00CD1833"/>
    <w:rsid w:val="00CD18CD"/>
    <w:rsid w:val="00CD1A35"/>
    <w:rsid w:val="00CD1C6A"/>
    <w:rsid w:val="00CD1ED9"/>
    <w:rsid w:val="00CD1EF5"/>
    <w:rsid w:val="00CD1FB2"/>
    <w:rsid w:val="00CD204F"/>
    <w:rsid w:val="00CD2119"/>
    <w:rsid w:val="00CD2385"/>
    <w:rsid w:val="00CD24D9"/>
    <w:rsid w:val="00CD25D9"/>
    <w:rsid w:val="00CD30A1"/>
    <w:rsid w:val="00CD3254"/>
    <w:rsid w:val="00CD3328"/>
    <w:rsid w:val="00CD3375"/>
    <w:rsid w:val="00CD35F0"/>
    <w:rsid w:val="00CD3986"/>
    <w:rsid w:val="00CD399B"/>
    <w:rsid w:val="00CD3D34"/>
    <w:rsid w:val="00CD3E4E"/>
    <w:rsid w:val="00CD3E7A"/>
    <w:rsid w:val="00CD3EB2"/>
    <w:rsid w:val="00CD4344"/>
    <w:rsid w:val="00CD4579"/>
    <w:rsid w:val="00CD468F"/>
    <w:rsid w:val="00CD4803"/>
    <w:rsid w:val="00CD4AC5"/>
    <w:rsid w:val="00CD4BE7"/>
    <w:rsid w:val="00CD4C36"/>
    <w:rsid w:val="00CD4E94"/>
    <w:rsid w:val="00CD4EE0"/>
    <w:rsid w:val="00CD50CA"/>
    <w:rsid w:val="00CD51E2"/>
    <w:rsid w:val="00CD5221"/>
    <w:rsid w:val="00CD528E"/>
    <w:rsid w:val="00CD5378"/>
    <w:rsid w:val="00CD56A0"/>
    <w:rsid w:val="00CD5BC3"/>
    <w:rsid w:val="00CD5EAF"/>
    <w:rsid w:val="00CD619A"/>
    <w:rsid w:val="00CD64D9"/>
    <w:rsid w:val="00CD67F7"/>
    <w:rsid w:val="00CD69BA"/>
    <w:rsid w:val="00CD713D"/>
    <w:rsid w:val="00CD7170"/>
    <w:rsid w:val="00CD7556"/>
    <w:rsid w:val="00CD75A3"/>
    <w:rsid w:val="00CD75F9"/>
    <w:rsid w:val="00CD7790"/>
    <w:rsid w:val="00CD77B3"/>
    <w:rsid w:val="00CD781A"/>
    <w:rsid w:val="00CD7AA7"/>
    <w:rsid w:val="00CE042C"/>
    <w:rsid w:val="00CE0497"/>
    <w:rsid w:val="00CE09D9"/>
    <w:rsid w:val="00CE0B9A"/>
    <w:rsid w:val="00CE11C7"/>
    <w:rsid w:val="00CE1202"/>
    <w:rsid w:val="00CE12DA"/>
    <w:rsid w:val="00CE140A"/>
    <w:rsid w:val="00CE14ED"/>
    <w:rsid w:val="00CE19BA"/>
    <w:rsid w:val="00CE1B25"/>
    <w:rsid w:val="00CE1E1F"/>
    <w:rsid w:val="00CE1E9A"/>
    <w:rsid w:val="00CE1EB3"/>
    <w:rsid w:val="00CE215E"/>
    <w:rsid w:val="00CE2474"/>
    <w:rsid w:val="00CE2619"/>
    <w:rsid w:val="00CE26B0"/>
    <w:rsid w:val="00CE2B46"/>
    <w:rsid w:val="00CE2D72"/>
    <w:rsid w:val="00CE3F07"/>
    <w:rsid w:val="00CE40B2"/>
    <w:rsid w:val="00CE413D"/>
    <w:rsid w:val="00CE4414"/>
    <w:rsid w:val="00CE46F7"/>
    <w:rsid w:val="00CE4734"/>
    <w:rsid w:val="00CE47EC"/>
    <w:rsid w:val="00CE4C55"/>
    <w:rsid w:val="00CE500F"/>
    <w:rsid w:val="00CE54BD"/>
    <w:rsid w:val="00CE566B"/>
    <w:rsid w:val="00CE58EA"/>
    <w:rsid w:val="00CE5917"/>
    <w:rsid w:val="00CE5A01"/>
    <w:rsid w:val="00CE5D9B"/>
    <w:rsid w:val="00CE5DC2"/>
    <w:rsid w:val="00CE5F3B"/>
    <w:rsid w:val="00CE66E4"/>
    <w:rsid w:val="00CE66E7"/>
    <w:rsid w:val="00CE6799"/>
    <w:rsid w:val="00CE68A4"/>
    <w:rsid w:val="00CE69A7"/>
    <w:rsid w:val="00CE6D81"/>
    <w:rsid w:val="00CE760C"/>
    <w:rsid w:val="00CE784A"/>
    <w:rsid w:val="00CE7C5F"/>
    <w:rsid w:val="00CF003F"/>
    <w:rsid w:val="00CF0113"/>
    <w:rsid w:val="00CF025F"/>
    <w:rsid w:val="00CF03F3"/>
    <w:rsid w:val="00CF050B"/>
    <w:rsid w:val="00CF0B81"/>
    <w:rsid w:val="00CF0FBA"/>
    <w:rsid w:val="00CF100A"/>
    <w:rsid w:val="00CF10A3"/>
    <w:rsid w:val="00CF1353"/>
    <w:rsid w:val="00CF1603"/>
    <w:rsid w:val="00CF1957"/>
    <w:rsid w:val="00CF1A7A"/>
    <w:rsid w:val="00CF1D26"/>
    <w:rsid w:val="00CF1D46"/>
    <w:rsid w:val="00CF1F17"/>
    <w:rsid w:val="00CF2191"/>
    <w:rsid w:val="00CF2445"/>
    <w:rsid w:val="00CF27E7"/>
    <w:rsid w:val="00CF2BFA"/>
    <w:rsid w:val="00CF2C2C"/>
    <w:rsid w:val="00CF2D3B"/>
    <w:rsid w:val="00CF2DE2"/>
    <w:rsid w:val="00CF2F31"/>
    <w:rsid w:val="00CF340F"/>
    <w:rsid w:val="00CF3580"/>
    <w:rsid w:val="00CF3756"/>
    <w:rsid w:val="00CF38B6"/>
    <w:rsid w:val="00CF3AC3"/>
    <w:rsid w:val="00CF3C54"/>
    <w:rsid w:val="00CF3C94"/>
    <w:rsid w:val="00CF3DA2"/>
    <w:rsid w:val="00CF4088"/>
    <w:rsid w:val="00CF423E"/>
    <w:rsid w:val="00CF4AED"/>
    <w:rsid w:val="00CF4B34"/>
    <w:rsid w:val="00CF505A"/>
    <w:rsid w:val="00CF50E9"/>
    <w:rsid w:val="00CF531A"/>
    <w:rsid w:val="00CF540F"/>
    <w:rsid w:val="00CF5EA7"/>
    <w:rsid w:val="00CF6128"/>
    <w:rsid w:val="00CF63D6"/>
    <w:rsid w:val="00CF643E"/>
    <w:rsid w:val="00CF6502"/>
    <w:rsid w:val="00CF654C"/>
    <w:rsid w:val="00CF699B"/>
    <w:rsid w:val="00CF73E2"/>
    <w:rsid w:val="00CF77AF"/>
    <w:rsid w:val="00CF77BF"/>
    <w:rsid w:val="00CF7C2D"/>
    <w:rsid w:val="00CF7FD6"/>
    <w:rsid w:val="00D003DE"/>
    <w:rsid w:val="00D00653"/>
    <w:rsid w:val="00D007BD"/>
    <w:rsid w:val="00D008BD"/>
    <w:rsid w:val="00D00FCC"/>
    <w:rsid w:val="00D013F2"/>
    <w:rsid w:val="00D015C3"/>
    <w:rsid w:val="00D0193F"/>
    <w:rsid w:val="00D0198E"/>
    <w:rsid w:val="00D019F6"/>
    <w:rsid w:val="00D02240"/>
    <w:rsid w:val="00D02313"/>
    <w:rsid w:val="00D0240B"/>
    <w:rsid w:val="00D025D7"/>
    <w:rsid w:val="00D02EF3"/>
    <w:rsid w:val="00D030A4"/>
    <w:rsid w:val="00D03196"/>
    <w:rsid w:val="00D0336B"/>
    <w:rsid w:val="00D035F8"/>
    <w:rsid w:val="00D03613"/>
    <w:rsid w:val="00D0381C"/>
    <w:rsid w:val="00D03E52"/>
    <w:rsid w:val="00D03E5D"/>
    <w:rsid w:val="00D04062"/>
    <w:rsid w:val="00D042D9"/>
    <w:rsid w:val="00D047ED"/>
    <w:rsid w:val="00D049DE"/>
    <w:rsid w:val="00D04E34"/>
    <w:rsid w:val="00D04F13"/>
    <w:rsid w:val="00D04F6F"/>
    <w:rsid w:val="00D0501A"/>
    <w:rsid w:val="00D050D3"/>
    <w:rsid w:val="00D05620"/>
    <w:rsid w:val="00D057DD"/>
    <w:rsid w:val="00D05847"/>
    <w:rsid w:val="00D05C4C"/>
    <w:rsid w:val="00D05D18"/>
    <w:rsid w:val="00D05E9A"/>
    <w:rsid w:val="00D05F71"/>
    <w:rsid w:val="00D061FF"/>
    <w:rsid w:val="00D0630C"/>
    <w:rsid w:val="00D068C8"/>
    <w:rsid w:val="00D06DA3"/>
    <w:rsid w:val="00D06E3B"/>
    <w:rsid w:val="00D0728A"/>
    <w:rsid w:val="00D075BD"/>
    <w:rsid w:val="00D0791C"/>
    <w:rsid w:val="00D07B77"/>
    <w:rsid w:val="00D07CAD"/>
    <w:rsid w:val="00D07E77"/>
    <w:rsid w:val="00D10237"/>
    <w:rsid w:val="00D10623"/>
    <w:rsid w:val="00D1066F"/>
    <w:rsid w:val="00D1070B"/>
    <w:rsid w:val="00D10AD1"/>
    <w:rsid w:val="00D10DEA"/>
    <w:rsid w:val="00D11053"/>
    <w:rsid w:val="00D110C8"/>
    <w:rsid w:val="00D118BC"/>
    <w:rsid w:val="00D11BE3"/>
    <w:rsid w:val="00D11BF0"/>
    <w:rsid w:val="00D11C49"/>
    <w:rsid w:val="00D12427"/>
    <w:rsid w:val="00D124EA"/>
    <w:rsid w:val="00D12890"/>
    <w:rsid w:val="00D129F0"/>
    <w:rsid w:val="00D12BE1"/>
    <w:rsid w:val="00D132FE"/>
    <w:rsid w:val="00D1350D"/>
    <w:rsid w:val="00D1354A"/>
    <w:rsid w:val="00D13778"/>
    <w:rsid w:val="00D13A0F"/>
    <w:rsid w:val="00D14210"/>
    <w:rsid w:val="00D14263"/>
    <w:rsid w:val="00D14431"/>
    <w:rsid w:val="00D1493E"/>
    <w:rsid w:val="00D14A68"/>
    <w:rsid w:val="00D14A9C"/>
    <w:rsid w:val="00D14D3E"/>
    <w:rsid w:val="00D14DD7"/>
    <w:rsid w:val="00D14F91"/>
    <w:rsid w:val="00D14FFF"/>
    <w:rsid w:val="00D157BD"/>
    <w:rsid w:val="00D1586E"/>
    <w:rsid w:val="00D15891"/>
    <w:rsid w:val="00D15A46"/>
    <w:rsid w:val="00D15A51"/>
    <w:rsid w:val="00D15B49"/>
    <w:rsid w:val="00D15D85"/>
    <w:rsid w:val="00D16012"/>
    <w:rsid w:val="00D160E0"/>
    <w:rsid w:val="00D16202"/>
    <w:rsid w:val="00D16574"/>
    <w:rsid w:val="00D166DB"/>
    <w:rsid w:val="00D166F5"/>
    <w:rsid w:val="00D169AE"/>
    <w:rsid w:val="00D169C3"/>
    <w:rsid w:val="00D170BC"/>
    <w:rsid w:val="00D17757"/>
    <w:rsid w:val="00D179E6"/>
    <w:rsid w:val="00D179EC"/>
    <w:rsid w:val="00D17C34"/>
    <w:rsid w:val="00D17D8F"/>
    <w:rsid w:val="00D17E6E"/>
    <w:rsid w:val="00D17E79"/>
    <w:rsid w:val="00D17F1D"/>
    <w:rsid w:val="00D20059"/>
    <w:rsid w:val="00D20377"/>
    <w:rsid w:val="00D2053F"/>
    <w:rsid w:val="00D20C4B"/>
    <w:rsid w:val="00D20CD2"/>
    <w:rsid w:val="00D20ECD"/>
    <w:rsid w:val="00D21532"/>
    <w:rsid w:val="00D215EC"/>
    <w:rsid w:val="00D21671"/>
    <w:rsid w:val="00D216ED"/>
    <w:rsid w:val="00D218DD"/>
    <w:rsid w:val="00D21A22"/>
    <w:rsid w:val="00D21DCE"/>
    <w:rsid w:val="00D220F5"/>
    <w:rsid w:val="00D222A1"/>
    <w:rsid w:val="00D22383"/>
    <w:rsid w:val="00D22468"/>
    <w:rsid w:val="00D2264F"/>
    <w:rsid w:val="00D229C7"/>
    <w:rsid w:val="00D22A10"/>
    <w:rsid w:val="00D23480"/>
    <w:rsid w:val="00D235C5"/>
    <w:rsid w:val="00D235D2"/>
    <w:rsid w:val="00D236A5"/>
    <w:rsid w:val="00D23746"/>
    <w:rsid w:val="00D23773"/>
    <w:rsid w:val="00D23961"/>
    <w:rsid w:val="00D239C0"/>
    <w:rsid w:val="00D23B8C"/>
    <w:rsid w:val="00D24378"/>
    <w:rsid w:val="00D24396"/>
    <w:rsid w:val="00D243B8"/>
    <w:rsid w:val="00D24407"/>
    <w:rsid w:val="00D24576"/>
    <w:rsid w:val="00D24844"/>
    <w:rsid w:val="00D2490F"/>
    <w:rsid w:val="00D249F7"/>
    <w:rsid w:val="00D24B67"/>
    <w:rsid w:val="00D24BFD"/>
    <w:rsid w:val="00D24C77"/>
    <w:rsid w:val="00D2515E"/>
    <w:rsid w:val="00D260DC"/>
    <w:rsid w:val="00D260F5"/>
    <w:rsid w:val="00D26468"/>
    <w:rsid w:val="00D2697D"/>
    <w:rsid w:val="00D26D64"/>
    <w:rsid w:val="00D2748F"/>
    <w:rsid w:val="00D2767D"/>
    <w:rsid w:val="00D27831"/>
    <w:rsid w:val="00D2798A"/>
    <w:rsid w:val="00D27A49"/>
    <w:rsid w:val="00D27AD7"/>
    <w:rsid w:val="00D27D2B"/>
    <w:rsid w:val="00D301DD"/>
    <w:rsid w:val="00D30234"/>
    <w:rsid w:val="00D30405"/>
    <w:rsid w:val="00D305FF"/>
    <w:rsid w:val="00D30684"/>
    <w:rsid w:val="00D30D23"/>
    <w:rsid w:val="00D30D24"/>
    <w:rsid w:val="00D30EC1"/>
    <w:rsid w:val="00D311A0"/>
    <w:rsid w:val="00D31433"/>
    <w:rsid w:val="00D3185A"/>
    <w:rsid w:val="00D31937"/>
    <w:rsid w:val="00D31B72"/>
    <w:rsid w:val="00D31CED"/>
    <w:rsid w:val="00D31ED8"/>
    <w:rsid w:val="00D3237D"/>
    <w:rsid w:val="00D32517"/>
    <w:rsid w:val="00D329AE"/>
    <w:rsid w:val="00D32A60"/>
    <w:rsid w:val="00D32C75"/>
    <w:rsid w:val="00D3332B"/>
    <w:rsid w:val="00D33429"/>
    <w:rsid w:val="00D334BA"/>
    <w:rsid w:val="00D33FEA"/>
    <w:rsid w:val="00D34BAF"/>
    <w:rsid w:val="00D34D38"/>
    <w:rsid w:val="00D34F98"/>
    <w:rsid w:val="00D35010"/>
    <w:rsid w:val="00D35265"/>
    <w:rsid w:val="00D35270"/>
    <w:rsid w:val="00D35337"/>
    <w:rsid w:val="00D3545E"/>
    <w:rsid w:val="00D35624"/>
    <w:rsid w:val="00D3573C"/>
    <w:rsid w:val="00D357AB"/>
    <w:rsid w:val="00D35A45"/>
    <w:rsid w:val="00D35D04"/>
    <w:rsid w:val="00D35FC3"/>
    <w:rsid w:val="00D36238"/>
    <w:rsid w:val="00D363EF"/>
    <w:rsid w:val="00D363FF"/>
    <w:rsid w:val="00D36494"/>
    <w:rsid w:val="00D364B7"/>
    <w:rsid w:val="00D364DE"/>
    <w:rsid w:val="00D36790"/>
    <w:rsid w:val="00D36A6D"/>
    <w:rsid w:val="00D36E58"/>
    <w:rsid w:val="00D36FCE"/>
    <w:rsid w:val="00D3753A"/>
    <w:rsid w:val="00D376C8"/>
    <w:rsid w:val="00D37744"/>
    <w:rsid w:val="00D3778F"/>
    <w:rsid w:val="00D37807"/>
    <w:rsid w:val="00D37ED6"/>
    <w:rsid w:val="00D37F5F"/>
    <w:rsid w:val="00D40009"/>
    <w:rsid w:val="00D405D4"/>
    <w:rsid w:val="00D406CD"/>
    <w:rsid w:val="00D408DD"/>
    <w:rsid w:val="00D4092A"/>
    <w:rsid w:val="00D40B12"/>
    <w:rsid w:val="00D40D1A"/>
    <w:rsid w:val="00D412C0"/>
    <w:rsid w:val="00D412C5"/>
    <w:rsid w:val="00D414D9"/>
    <w:rsid w:val="00D4176E"/>
    <w:rsid w:val="00D4198E"/>
    <w:rsid w:val="00D41F71"/>
    <w:rsid w:val="00D42333"/>
    <w:rsid w:val="00D428C9"/>
    <w:rsid w:val="00D42914"/>
    <w:rsid w:val="00D42A66"/>
    <w:rsid w:val="00D42C54"/>
    <w:rsid w:val="00D43089"/>
    <w:rsid w:val="00D43340"/>
    <w:rsid w:val="00D434DD"/>
    <w:rsid w:val="00D436E7"/>
    <w:rsid w:val="00D4374C"/>
    <w:rsid w:val="00D438EE"/>
    <w:rsid w:val="00D43DE6"/>
    <w:rsid w:val="00D43E79"/>
    <w:rsid w:val="00D440EA"/>
    <w:rsid w:val="00D441C6"/>
    <w:rsid w:val="00D441D7"/>
    <w:rsid w:val="00D448F8"/>
    <w:rsid w:val="00D44BDA"/>
    <w:rsid w:val="00D44C9C"/>
    <w:rsid w:val="00D44D0B"/>
    <w:rsid w:val="00D45299"/>
    <w:rsid w:val="00D452E0"/>
    <w:rsid w:val="00D452FD"/>
    <w:rsid w:val="00D4554F"/>
    <w:rsid w:val="00D455CF"/>
    <w:rsid w:val="00D45600"/>
    <w:rsid w:val="00D456C2"/>
    <w:rsid w:val="00D45AA1"/>
    <w:rsid w:val="00D45C8C"/>
    <w:rsid w:val="00D45FBB"/>
    <w:rsid w:val="00D4640F"/>
    <w:rsid w:val="00D46DCA"/>
    <w:rsid w:val="00D4714F"/>
    <w:rsid w:val="00D47565"/>
    <w:rsid w:val="00D4777C"/>
    <w:rsid w:val="00D477ED"/>
    <w:rsid w:val="00D47B2B"/>
    <w:rsid w:val="00D47F9A"/>
    <w:rsid w:val="00D47FBA"/>
    <w:rsid w:val="00D50123"/>
    <w:rsid w:val="00D50D7E"/>
    <w:rsid w:val="00D511F4"/>
    <w:rsid w:val="00D512CE"/>
    <w:rsid w:val="00D5149E"/>
    <w:rsid w:val="00D5158E"/>
    <w:rsid w:val="00D51A9F"/>
    <w:rsid w:val="00D51C3D"/>
    <w:rsid w:val="00D51E33"/>
    <w:rsid w:val="00D5212F"/>
    <w:rsid w:val="00D523F2"/>
    <w:rsid w:val="00D5289F"/>
    <w:rsid w:val="00D52A21"/>
    <w:rsid w:val="00D52A25"/>
    <w:rsid w:val="00D52BC3"/>
    <w:rsid w:val="00D52CD6"/>
    <w:rsid w:val="00D52E74"/>
    <w:rsid w:val="00D53E09"/>
    <w:rsid w:val="00D5429F"/>
    <w:rsid w:val="00D542E6"/>
    <w:rsid w:val="00D547EE"/>
    <w:rsid w:val="00D5489B"/>
    <w:rsid w:val="00D54939"/>
    <w:rsid w:val="00D549AB"/>
    <w:rsid w:val="00D54A3E"/>
    <w:rsid w:val="00D54B07"/>
    <w:rsid w:val="00D54D5F"/>
    <w:rsid w:val="00D54E7D"/>
    <w:rsid w:val="00D54EEF"/>
    <w:rsid w:val="00D55367"/>
    <w:rsid w:val="00D55444"/>
    <w:rsid w:val="00D5571D"/>
    <w:rsid w:val="00D55842"/>
    <w:rsid w:val="00D55922"/>
    <w:rsid w:val="00D55E49"/>
    <w:rsid w:val="00D5638A"/>
    <w:rsid w:val="00D56876"/>
    <w:rsid w:val="00D56A98"/>
    <w:rsid w:val="00D56B1E"/>
    <w:rsid w:val="00D56DCA"/>
    <w:rsid w:val="00D56DFF"/>
    <w:rsid w:val="00D570EB"/>
    <w:rsid w:val="00D57288"/>
    <w:rsid w:val="00D57353"/>
    <w:rsid w:val="00D5748A"/>
    <w:rsid w:val="00D575D0"/>
    <w:rsid w:val="00D5798C"/>
    <w:rsid w:val="00D57E2D"/>
    <w:rsid w:val="00D603C2"/>
    <w:rsid w:val="00D60563"/>
    <w:rsid w:val="00D609CF"/>
    <w:rsid w:val="00D60FB7"/>
    <w:rsid w:val="00D614DD"/>
    <w:rsid w:val="00D615A0"/>
    <w:rsid w:val="00D61F13"/>
    <w:rsid w:val="00D620B7"/>
    <w:rsid w:val="00D6214F"/>
    <w:rsid w:val="00D62455"/>
    <w:rsid w:val="00D625C5"/>
    <w:rsid w:val="00D62ADF"/>
    <w:rsid w:val="00D62F07"/>
    <w:rsid w:val="00D62F86"/>
    <w:rsid w:val="00D62FD5"/>
    <w:rsid w:val="00D62FDD"/>
    <w:rsid w:val="00D633BF"/>
    <w:rsid w:val="00D63462"/>
    <w:rsid w:val="00D6349B"/>
    <w:rsid w:val="00D639C1"/>
    <w:rsid w:val="00D639E3"/>
    <w:rsid w:val="00D63D8B"/>
    <w:rsid w:val="00D63E10"/>
    <w:rsid w:val="00D63E2B"/>
    <w:rsid w:val="00D64498"/>
    <w:rsid w:val="00D64FC0"/>
    <w:rsid w:val="00D65005"/>
    <w:rsid w:val="00D65056"/>
    <w:rsid w:val="00D65134"/>
    <w:rsid w:val="00D6522F"/>
    <w:rsid w:val="00D653BB"/>
    <w:rsid w:val="00D655B3"/>
    <w:rsid w:val="00D656EE"/>
    <w:rsid w:val="00D65827"/>
    <w:rsid w:val="00D66121"/>
    <w:rsid w:val="00D66E0D"/>
    <w:rsid w:val="00D66E0F"/>
    <w:rsid w:val="00D66FDE"/>
    <w:rsid w:val="00D6709A"/>
    <w:rsid w:val="00D672AC"/>
    <w:rsid w:val="00D67436"/>
    <w:rsid w:val="00D679BB"/>
    <w:rsid w:val="00D67B86"/>
    <w:rsid w:val="00D67BAC"/>
    <w:rsid w:val="00D67D60"/>
    <w:rsid w:val="00D67F1E"/>
    <w:rsid w:val="00D700AB"/>
    <w:rsid w:val="00D70292"/>
    <w:rsid w:val="00D70297"/>
    <w:rsid w:val="00D702B3"/>
    <w:rsid w:val="00D704AC"/>
    <w:rsid w:val="00D7050E"/>
    <w:rsid w:val="00D7093E"/>
    <w:rsid w:val="00D709FA"/>
    <w:rsid w:val="00D70B55"/>
    <w:rsid w:val="00D70CF5"/>
    <w:rsid w:val="00D71228"/>
    <w:rsid w:val="00D71948"/>
    <w:rsid w:val="00D719B6"/>
    <w:rsid w:val="00D71E2E"/>
    <w:rsid w:val="00D71F97"/>
    <w:rsid w:val="00D72018"/>
    <w:rsid w:val="00D72285"/>
    <w:rsid w:val="00D7250C"/>
    <w:rsid w:val="00D72797"/>
    <w:rsid w:val="00D72BFE"/>
    <w:rsid w:val="00D72C5B"/>
    <w:rsid w:val="00D72D68"/>
    <w:rsid w:val="00D736EE"/>
    <w:rsid w:val="00D738E9"/>
    <w:rsid w:val="00D73E04"/>
    <w:rsid w:val="00D74033"/>
    <w:rsid w:val="00D7423F"/>
    <w:rsid w:val="00D74842"/>
    <w:rsid w:val="00D748E0"/>
    <w:rsid w:val="00D74931"/>
    <w:rsid w:val="00D74963"/>
    <w:rsid w:val="00D74A09"/>
    <w:rsid w:val="00D74A70"/>
    <w:rsid w:val="00D74B04"/>
    <w:rsid w:val="00D74D3F"/>
    <w:rsid w:val="00D74DC5"/>
    <w:rsid w:val="00D74E9F"/>
    <w:rsid w:val="00D751F8"/>
    <w:rsid w:val="00D75722"/>
    <w:rsid w:val="00D75D3C"/>
    <w:rsid w:val="00D75E28"/>
    <w:rsid w:val="00D76006"/>
    <w:rsid w:val="00D760BB"/>
    <w:rsid w:val="00D7617B"/>
    <w:rsid w:val="00D76278"/>
    <w:rsid w:val="00D76603"/>
    <w:rsid w:val="00D76EEB"/>
    <w:rsid w:val="00D771A4"/>
    <w:rsid w:val="00D771EF"/>
    <w:rsid w:val="00D772CC"/>
    <w:rsid w:val="00D7742C"/>
    <w:rsid w:val="00D77678"/>
    <w:rsid w:val="00D77982"/>
    <w:rsid w:val="00D77B05"/>
    <w:rsid w:val="00D77B47"/>
    <w:rsid w:val="00D77C64"/>
    <w:rsid w:val="00D77E15"/>
    <w:rsid w:val="00D77E3B"/>
    <w:rsid w:val="00D80048"/>
    <w:rsid w:val="00D802EB"/>
    <w:rsid w:val="00D8039D"/>
    <w:rsid w:val="00D806E0"/>
    <w:rsid w:val="00D80903"/>
    <w:rsid w:val="00D81179"/>
    <w:rsid w:val="00D81444"/>
    <w:rsid w:val="00D81635"/>
    <w:rsid w:val="00D816C3"/>
    <w:rsid w:val="00D81EFC"/>
    <w:rsid w:val="00D8263D"/>
    <w:rsid w:val="00D82ACD"/>
    <w:rsid w:val="00D82C40"/>
    <w:rsid w:val="00D82C6B"/>
    <w:rsid w:val="00D82CB1"/>
    <w:rsid w:val="00D82DD9"/>
    <w:rsid w:val="00D8323D"/>
    <w:rsid w:val="00D835E5"/>
    <w:rsid w:val="00D83A6F"/>
    <w:rsid w:val="00D83AEA"/>
    <w:rsid w:val="00D83CD2"/>
    <w:rsid w:val="00D83D5E"/>
    <w:rsid w:val="00D84009"/>
    <w:rsid w:val="00D8421D"/>
    <w:rsid w:val="00D8471C"/>
    <w:rsid w:val="00D84A57"/>
    <w:rsid w:val="00D84FE0"/>
    <w:rsid w:val="00D850A5"/>
    <w:rsid w:val="00D851DB"/>
    <w:rsid w:val="00D8544F"/>
    <w:rsid w:val="00D85565"/>
    <w:rsid w:val="00D85608"/>
    <w:rsid w:val="00D857D0"/>
    <w:rsid w:val="00D85B1F"/>
    <w:rsid w:val="00D8611B"/>
    <w:rsid w:val="00D864CE"/>
    <w:rsid w:val="00D865BF"/>
    <w:rsid w:val="00D867C4"/>
    <w:rsid w:val="00D86D6E"/>
    <w:rsid w:val="00D86EAB"/>
    <w:rsid w:val="00D86F32"/>
    <w:rsid w:val="00D86FF8"/>
    <w:rsid w:val="00D87130"/>
    <w:rsid w:val="00D87429"/>
    <w:rsid w:val="00D87D26"/>
    <w:rsid w:val="00D87D4F"/>
    <w:rsid w:val="00D9003E"/>
    <w:rsid w:val="00D9006A"/>
    <w:rsid w:val="00D90199"/>
    <w:rsid w:val="00D90371"/>
    <w:rsid w:val="00D90598"/>
    <w:rsid w:val="00D9076C"/>
    <w:rsid w:val="00D90A26"/>
    <w:rsid w:val="00D90BC4"/>
    <w:rsid w:val="00D912A5"/>
    <w:rsid w:val="00D912E7"/>
    <w:rsid w:val="00D918EC"/>
    <w:rsid w:val="00D919FC"/>
    <w:rsid w:val="00D91C66"/>
    <w:rsid w:val="00D91C97"/>
    <w:rsid w:val="00D920EB"/>
    <w:rsid w:val="00D922A8"/>
    <w:rsid w:val="00D9243B"/>
    <w:rsid w:val="00D92473"/>
    <w:rsid w:val="00D92854"/>
    <w:rsid w:val="00D92F1D"/>
    <w:rsid w:val="00D92F80"/>
    <w:rsid w:val="00D93091"/>
    <w:rsid w:val="00D9338C"/>
    <w:rsid w:val="00D934B1"/>
    <w:rsid w:val="00D93527"/>
    <w:rsid w:val="00D93579"/>
    <w:rsid w:val="00D93657"/>
    <w:rsid w:val="00D936D9"/>
    <w:rsid w:val="00D93943"/>
    <w:rsid w:val="00D93961"/>
    <w:rsid w:val="00D93AFA"/>
    <w:rsid w:val="00D93B71"/>
    <w:rsid w:val="00D93BA4"/>
    <w:rsid w:val="00D940DB"/>
    <w:rsid w:val="00D9434E"/>
    <w:rsid w:val="00D94462"/>
    <w:rsid w:val="00D9461C"/>
    <w:rsid w:val="00D9473E"/>
    <w:rsid w:val="00D94764"/>
    <w:rsid w:val="00D94C74"/>
    <w:rsid w:val="00D94E3D"/>
    <w:rsid w:val="00D94F66"/>
    <w:rsid w:val="00D94F6D"/>
    <w:rsid w:val="00D94FCE"/>
    <w:rsid w:val="00D952F7"/>
    <w:rsid w:val="00D95477"/>
    <w:rsid w:val="00D957AB"/>
    <w:rsid w:val="00D959C4"/>
    <w:rsid w:val="00D95A5D"/>
    <w:rsid w:val="00D95AD0"/>
    <w:rsid w:val="00D95BCE"/>
    <w:rsid w:val="00D95C9C"/>
    <w:rsid w:val="00D96BE8"/>
    <w:rsid w:val="00D96E5D"/>
    <w:rsid w:val="00D96FD9"/>
    <w:rsid w:val="00D96FFD"/>
    <w:rsid w:val="00D970D3"/>
    <w:rsid w:val="00D9711F"/>
    <w:rsid w:val="00D97302"/>
    <w:rsid w:val="00D97353"/>
    <w:rsid w:val="00D97638"/>
    <w:rsid w:val="00D976C5"/>
    <w:rsid w:val="00D978C6"/>
    <w:rsid w:val="00D97A55"/>
    <w:rsid w:val="00D97D9A"/>
    <w:rsid w:val="00D97DEF"/>
    <w:rsid w:val="00D97E61"/>
    <w:rsid w:val="00DA028C"/>
    <w:rsid w:val="00DA043E"/>
    <w:rsid w:val="00DA04E7"/>
    <w:rsid w:val="00DA074B"/>
    <w:rsid w:val="00DA087F"/>
    <w:rsid w:val="00DA096B"/>
    <w:rsid w:val="00DA0A7B"/>
    <w:rsid w:val="00DA1220"/>
    <w:rsid w:val="00DA1907"/>
    <w:rsid w:val="00DA1A21"/>
    <w:rsid w:val="00DA1CBC"/>
    <w:rsid w:val="00DA1EAC"/>
    <w:rsid w:val="00DA23D9"/>
    <w:rsid w:val="00DA24FF"/>
    <w:rsid w:val="00DA259B"/>
    <w:rsid w:val="00DA2AFE"/>
    <w:rsid w:val="00DA2BF5"/>
    <w:rsid w:val="00DA2EA3"/>
    <w:rsid w:val="00DA2ECA"/>
    <w:rsid w:val="00DA348C"/>
    <w:rsid w:val="00DA35E4"/>
    <w:rsid w:val="00DA3794"/>
    <w:rsid w:val="00DA37E8"/>
    <w:rsid w:val="00DA3820"/>
    <w:rsid w:val="00DA3A0C"/>
    <w:rsid w:val="00DA3B8C"/>
    <w:rsid w:val="00DA3D67"/>
    <w:rsid w:val="00DA3E42"/>
    <w:rsid w:val="00DA3E4E"/>
    <w:rsid w:val="00DA3ED9"/>
    <w:rsid w:val="00DA3FAD"/>
    <w:rsid w:val="00DA45BB"/>
    <w:rsid w:val="00DA46F5"/>
    <w:rsid w:val="00DA4927"/>
    <w:rsid w:val="00DA4B60"/>
    <w:rsid w:val="00DA50C7"/>
    <w:rsid w:val="00DA514D"/>
    <w:rsid w:val="00DA56F0"/>
    <w:rsid w:val="00DA5998"/>
    <w:rsid w:val="00DA5B50"/>
    <w:rsid w:val="00DA5DBF"/>
    <w:rsid w:val="00DA6167"/>
    <w:rsid w:val="00DA6726"/>
    <w:rsid w:val="00DA68C3"/>
    <w:rsid w:val="00DA68CF"/>
    <w:rsid w:val="00DA6BB9"/>
    <w:rsid w:val="00DA6DD7"/>
    <w:rsid w:val="00DA71D1"/>
    <w:rsid w:val="00DA7525"/>
    <w:rsid w:val="00DA77AB"/>
    <w:rsid w:val="00DA77F2"/>
    <w:rsid w:val="00DA78A9"/>
    <w:rsid w:val="00DA78D8"/>
    <w:rsid w:val="00DA7B87"/>
    <w:rsid w:val="00DA7D25"/>
    <w:rsid w:val="00DA7E74"/>
    <w:rsid w:val="00DA7EAE"/>
    <w:rsid w:val="00DB012E"/>
    <w:rsid w:val="00DB02BB"/>
    <w:rsid w:val="00DB02C5"/>
    <w:rsid w:val="00DB0343"/>
    <w:rsid w:val="00DB0607"/>
    <w:rsid w:val="00DB0AD3"/>
    <w:rsid w:val="00DB0BF7"/>
    <w:rsid w:val="00DB0FBA"/>
    <w:rsid w:val="00DB12CB"/>
    <w:rsid w:val="00DB14CE"/>
    <w:rsid w:val="00DB15A6"/>
    <w:rsid w:val="00DB16EA"/>
    <w:rsid w:val="00DB1DDF"/>
    <w:rsid w:val="00DB1E96"/>
    <w:rsid w:val="00DB2035"/>
    <w:rsid w:val="00DB2096"/>
    <w:rsid w:val="00DB21EF"/>
    <w:rsid w:val="00DB23DD"/>
    <w:rsid w:val="00DB298D"/>
    <w:rsid w:val="00DB2B2C"/>
    <w:rsid w:val="00DB2B3C"/>
    <w:rsid w:val="00DB3295"/>
    <w:rsid w:val="00DB3345"/>
    <w:rsid w:val="00DB3348"/>
    <w:rsid w:val="00DB33F5"/>
    <w:rsid w:val="00DB3878"/>
    <w:rsid w:val="00DB3E54"/>
    <w:rsid w:val="00DB40CE"/>
    <w:rsid w:val="00DB4117"/>
    <w:rsid w:val="00DB41AE"/>
    <w:rsid w:val="00DB43E7"/>
    <w:rsid w:val="00DB494E"/>
    <w:rsid w:val="00DB4B4C"/>
    <w:rsid w:val="00DB4BBD"/>
    <w:rsid w:val="00DB55CA"/>
    <w:rsid w:val="00DB5608"/>
    <w:rsid w:val="00DB5800"/>
    <w:rsid w:val="00DB5940"/>
    <w:rsid w:val="00DB5A9B"/>
    <w:rsid w:val="00DB5C71"/>
    <w:rsid w:val="00DB5DD4"/>
    <w:rsid w:val="00DB6A0B"/>
    <w:rsid w:val="00DB6D5F"/>
    <w:rsid w:val="00DB7299"/>
    <w:rsid w:val="00DB741B"/>
    <w:rsid w:val="00DB7664"/>
    <w:rsid w:val="00DB7DE8"/>
    <w:rsid w:val="00DB7F18"/>
    <w:rsid w:val="00DB7FE7"/>
    <w:rsid w:val="00DC0F06"/>
    <w:rsid w:val="00DC1572"/>
    <w:rsid w:val="00DC15CA"/>
    <w:rsid w:val="00DC160E"/>
    <w:rsid w:val="00DC1807"/>
    <w:rsid w:val="00DC1A99"/>
    <w:rsid w:val="00DC234F"/>
    <w:rsid w:val="00DC2463"/>
    <w:rsid w:val="00DC2C08"/>
    <w:rsid w:val="00DC2CEC"/>
    <w:rsid w:val="00DC2D56"/>
    <w:rsid w:val="00DC2E60"/>
    <w:rsid w:val="00DC2E63"/>
    <w:rsid w:val="00DC2F52"/>
    <w:rsid w:val="00DC3107"/>
    <w:rsid w:val="00DC39A3"/>
    <w:rsid w:val="00DC3B63"/>
    <w:rsid w:val="00DC466F"/>
    <w:rsid w:val="00DC46C0"/>
    <w:rsid w:val="00DC4760"/>
    <w:rsid w:val="00DC4779"/>
    <w:rsid w:val="00DC4884"/>
    <w:rsid w:val="00DC4AC8"/>
    <w:rsid w:val="00DC4D65"/>
    <w:rsid w:val="00DC4E15"/>
    <w:rsid w:val="00DC5244"/>
    <w:rsid w:val="00DC5ABB"/>
    <w:rsid w:val="00DC6149"/>
    <w:rsid w:val="00DC64C1"/>
    <w:rsid w:val="00DC6BC1"/>
    <w:rsid w:val="00DC6CE3"/>
    <w:rsid w:val="00DC6E8E"/>
    <w:rsid w:val="00DC710F"/>
    <w:rsid w:val="00DC7383"/>
    <w:rsid w:val="00DC740F"/>
    <w:rsid w:val="00DC7539"/>
    <w:rsid w:val="00DC7907"/>
    <w:rsid w:val="00DC790E"/>
    <w:rsid w:val="00DC7F61"/>
    <w:rsid w:val="00DD05BC"/>
    <w:rsid w:val="00DD060C"/>
    <w:rsid w:val="00DD08ED"/>
    <w:rsid w:val="00DD1045"/>
    <w:rsid w:val="00DD1168"/>
    <w:rsid w:val="00DD11CB"/>
    <w:rsid w:val="00DD15EC"/>
    <w:rsid w:val="00DD1921"/>
    <w:rsid w:val="00DD1949"/>
    <w:rsid w:val="00DD1C92"/>
    <w:rsid w:val="00DD221D"/>
    <w:rsid w:val="00DD2397"/>
    <w:rsid w:val="00DD2448"/>
    <w:rsid w:val="00DD2991"/>
    <w:rsid w:val="00DD30E9"/>
    <w:rsid w:val="00DD3182"/>
    <w:rsid w:val="00DD36AE"/>
    <w:rsid w:val="00DD3827"/>
    <w:rsid w:val="00DD3980"/>
    <w:rsid w:val="00DD3BB3"/>
    <w:rsid w:val="00DD40F5"/>
    <w:rsid w:val="00DD41A3"/>
    <w:rsid w:val="00DD42A3"/>
    <w:rsid w:val="00DD447D"/>
    <w:rsid w:val="00DD453C"/>
    <w:rsid w:val="00DD4682"/>
    <w:rsid w:val="00DD4749"/>
    <w:rsid w:val="00DD49AC"/>
    <w:rsid w:val="00DD4D29"/>
    <w:rsid w:val="00DD4D68"/>
    <w:rsid w:val="00DD5209"/>
    <w:rsid w:val="00DD52CA"/>
    <w:rsid w:val="00DD5934"/>
    <w:rsid w:val="00DD5B1C"/>
    <w:rsid w:val="00DD632A"/>
    <w:rsid w:val="00DD6798"/>
    <w:rsid w:val="00DD6C0C"/>
    <w:rsid w:val="00DD6F56"/>
    <w:rsid w:val="00DD70AA"/>
    <w:rsid w:val="00DD72E4"/>
    <w:rsid w:val="00DD73BE"/>
    <w:rsid w:val="00DD77E7"/>
    <w:rsid w:val="00DD7924"/>
    <w:rsid w:val="00DD7A9A"/>
    <w:rsid w:val="00DE0432"/>
    <w:rsid w:val="00DE0726"/>
    <w:rsid w:val="00DE0872"/>
    <w:rsid w:val="00DE10A3"/>
    <w:rsid w:val="00DE1243"/>
    <w:rsid w:val="00DE1345"/>
    <w:rsid w:val="00DE17AD"/>
    <w:rsid w:val="00DE17EC"/>
    <w:rsid w:val="00DE19E9"/>
    <w:rsid w:val="00DE1A64"/>
    <w:rsid w:val="00DE1B7F"/>
    <w:rsid w:val="00DE1EAB"/>
    <w:rsid w:val="00DE2799"/>
    <w:rsid w:val="00DE2BE5"/>
    <w:rsid w:val="00DE2DED"/>
    <w:rsid w:val="00DE34E8"/>
    <w:rsid w:val="00DE36B8"/>
    <w:rsid w:val="00DE3758"/>
    <w:rsid w:val="00DE39FE"/>
    <w:rsid w:val="00DE3A8D"/>
    <w:rsid w:val="00DE3C1B"/>
    <w:rsid w:val="00DE3F2F"/>
    <w:rsid w:val="00DE44E9"/>
    <w:rsid w:val="00DE480B"/>
    <w:rsid w:val="00DE4822"/>
    <w:rsid w:val="00DE483B"/>
    <w:rsid w:val="00DE499D"/>
    <w:rsid w:val="00DE49F2"/>
    <w:rsid w:val="00DE4C86"/>
    <w:rsid w:val="00DE4D91"/>
    <w:rsid w:val="00DE51F2"/>
    <w:rsid w:val="00DE5324"/>
    <w:rsid w:val="00DE5332"/>
    <w:rsid w:val="00DE5474"/>
    <w:rsid w:val="00DE5492"/>
    <w:rsid w:val="00DE56DF"/>
    <w:rsid w:val="00DE56FB"/>
    <w:rsid w:val="00DE598E"/>
    <w:rsid w:val="00DE5C87"/>
    <w:rsid w:val="00DE5DA2"/>
    <w:rsid w:val="00DE5EE5"/>
    <w:rsid w:val="00DE61D6"/>
    <w:rsid w:val="00DE648E"/>
    <w:rsid w:val="00DE6575"/>
    <w:rsid w:val="00DE65AE"/>
    <w:rsid w:val="00DE66CC"/>
    <w:rsid w:val="00DE6A9E"/>
    <w:rsid w:val="00DE6B4E"/>
    <w:rsid w:val="00DE6CEA"/>
    <w:rsid w:val="00DE6E65"/>
    <w:rsid w:val="00DE6FD8"/>
    <w:rsid w:val="00DE6FEE"/>
    <w:rsid w:val="00DE75C6"/>
    <w:rsid w:val="00DE766C"/>
    <w:rsid w:val="00DE788C"/>
    <w:rsid w:val="00DE78E9"/>
    <w:rsid w:val="00DE7972"/>
    <w:rsid w:val="00DE7B4D"/>
    <w:rsid w:val="00DE7F6C"/>
    <w:rsid w:val="00DF0028"/>
    <w:rsid w:val="00DF007F"/>
    <w:rsid w:val="00DF049C"/>
    <w:rsid w:val="00DF06D4"/>
    <w:rsid w:val="00DF0A84"/>
    <w:rsid w:val="00DF0CF7"/>
    <w:rsid w:val="00DF100F"/>
    <w:rsid w:val="00DF11EF"/>
    <w:rsid w:val="00DF152A"/>
    <w:rsid w:val="00DF1743"/>
    <w:rsid w:val="00DF17F3"/>
    <w:rsid w:val="00DF19A2"/>
    <w:rsid w:val="00DF1B49"/>
    <w:rsid w:val="00DF21A1"/>
    <w:rsid w:val="00DF23EF"/>
    <w:rsid w:val="00DF249D"/>
    <w:rsid w:val="00DF280E"/>
    <w:rsid w:val="00DF2AEA"/>
    <w:rsid w:val="00DF2B4D"/>
    <w:rsid w:val="00DF3187"/>
    <w:rsid w:val="00DF343F"/>
    <w:rsid w:val="00DF3F73"/>
    <w:rsid w:val="00DF4030"/>
    <w:rsid w:val="00DF4049"/>
    <w:rsid w:val="00DF410F"/>
    <w:rsid w:val="00DF41B2"/>
    <w:rsid w:val="00DF42C6"/>
    <w:rsid w:val="00DF43B1"/>
    <w:rsid w:val="00DF48A3"/>
    <w:rsid w:val="00DF4D9B"/>
    <w:rsid w:val="00DF4DA9"/>
    <w:rsid w:val="00DF4F33"/>
    <w:rsid w:val="00DF52C3"/>
    <w:rsid w:val="00DF53E5"/>
    <w:rsid w:val="00DF5D15"/>
    <w:rsid w:val="00DF5D8D"/>
    <w:rsid w:val="00DF60A1"/>
    <w:rsid w:val="00DF623A"/>
    <w:rsid w:val="00DF642E"/>
    <w:rsid w:val="00DF6C3E"/>
    <w:rsid w:val="00DF6D5A"/>
    <w:rsid w:val="00DF6FBB"/>
    <w:rsid w:val="00DF707A"/>
    <w:rsid w:val="00DF70B3"/>
    <w:rsid w:val="00DF70CC"/>
    <w:rsid w:val="00DF75AA"/>
    <w:rsid w:val="00DF7ACD"/>
    <w:rsid w:val="00E00072"/>
    <w:rsid w:val="00E00764"/>
    <w:rsid w:val="00E00D25"/>
    <w:rsid w:val="00E011C7"/>
    <w:rsid w:val="00E0179E"/>
    <w:rsid w:val="00E01819"/>
    <w:rsid w:val="00E01B03"/>
    <w:rsid w:val="00E01B86"/>
    <w:rsid w:val="00E01C7F"/>
    <w:rsid w:val="00E0222C"/>
    <w:rsid w:val="00E023E3"/>
    <w:rsid w:val="00E02850"/>
    <w:rsid w:val="00E02941"/>
    <w:rsid w:val="00E02A6A"/>
    <w:rsid w:val="00E02A82"/>
    <w:rsid w:val="00E02AF6"/>
    <w:rsid w:val="00E02DC6"/>
    <w:rsid w:val="00E02DCB"/>
    <w:rsid w:val="00E03346"/>
    <w:rsid w:val="00E03453"/>
    <w:rsid w:val="00E03AB8"/>
    <w:rsid w:val="00E03C9F"/>
    <w:rsid w:val="00E03D74"/>
    <w:rsid w:val="00E03E42"/>
    <w:rsid w:val="00E03F4A"/>
    <w:rsid w:val="00E04007"/>
    <w:rsid w:val="00E043AB"/>
    <w:rsid w:val="00E043BC"/>
    <w:rsid w:val="00E049A1"/>
    <w:rsid w:val="00E04A19"/>
    <w:rsid w:val="00E04EF5"/>
    <w:rsid w:val="00E04F85"/>
    <w:rsid w:val="00E050CF"/>
    <w:rsid w:val="00E05186"/>
    <w:rsid w:val="00E051C5"/>
    <w:rsid w:val="00E053C1"/>
    <w:rsid w:val="00E0553A"/>
    <w:rsid w:val="00E05668"/>
    <w:rsid w:val="00E0578F"/>
    <w:rsid w:val="00E05BBB"/>
    <w:rsid w:val="00E05E29"/>
    <w:rsid w:val="00E06073"/>
    <w:rsid w:val="00E06631"/>
    <w:rsid w:val="00E067E8"/>
    <w:rsid w:val="00E06B56"/>
    <w:rsid w:val="00E07242"/>
    <w:rsid w:val="00E0734F"/>
    <w:rsid w:val="00E0760E"/>
    <w:rsid w:val="00E07B3B"/>
    <w:rsid w:val="00E07B4C"/>
    <w:rsid w:val="00E07B6C"/>
    <w:rsid w:val="00E07FC0"/>
    <w:rsid w:val="00E1087D"/>
    <w:rsid w:val="00E10B6C"/>
    <w:rsid w:val="00E10B76"/>
    <w:rsid w:val="00E10C75"/>
    <w:rsid w:val="00E10E3B"/>
    <w:rsid w:val="00E10F1B"/>
    <w:rsid w:val="00E116AA"/>
    <w:rsid w:val="00E1180E"/>
    <w:rsid w:val="00E11C53"/>
    <w:rsid w:val="00E11F8E"/>
    <w:rsid w:val="00E12362"/>
    <w:rsid w:val="00E12561"/>
    <w:rsid w:val="00E12592"/>
    <w:rsid w:val="00E12E0A"/>
    <w:rsid w:val="00E13052"/>
    <w:rsid w:val="00E1365F"/>
    <w:rsid w:val="00E137A8"/>
    <w:rsid w:val="00E138B3"/>
    <w:rsid w:val="00E13CE1"/>
    <w:rsid w:val="00E13E4D"/>
    <w:rsid w:val="00E1419E"/>
    <w:rsid w:val="00E141DC"/>
    <w:rsid w:val="00E14441"/>
    <w:rsid w:val="00E14483"/>
    <w:rsid w:val="00E146C5"/>
    <w:rsid w:val="00E14840"/>
    <w:rsid w:val="00E14E63"/>
    <w:rsid w:val="00E1553A"/>
    <w:rsid w:val="00E1558E"/>
    <w:rsid w:val="00E157BA"/>
    <w:rsid w:val="00E1585F"/>
    <w:rsid w:val="00E15917"/>
    <w:rsid w:val="00E15BB1"/>
    <w:rsid w:val="00E15C16"/>
    <w:rsid w:val="00E15C1D"/>
    <w:rsid w:val="00E15F34"/>
    <w:rsid w:val="00E164CF"/>
    <w:rsid w:val="00E168BA"/>
    <w:rsid w:val="00E168E6"/>
    <w:rsid w:val="00E16BE4"/>
    <w:rsid w:val="00E16D46"/>
    <w:rsid w:val="00E16FF9"/>
    <w:rsid w:val="00E171AC"/>
    <w:rsid w:val="00E17447"/>
    <w:rsid w:val="00E175D4"/>
    <w:rsid w:val="00E1762F"/>
    <w:rsid w:val="00E1776A"/>
    <w:rsid w:val="00E177A2"/>
    <w:rsid w:val="00E17911"/>
    <w:rsid w:val="00E179F3"/>
    <w:rsid w:val="00E17ADF"/>
    <w:rsid w:val="00E17B1C"/>
    <w:rsid w:val="00E17B72"/>
    <w:rsid w:val="00E17B9A"/>
    <w:rsid w:val="00E17D4D"/>
    <w:rsid w:val="00E17E9A"/>
    <w:rsid w:val="00E17EF8"/>
    <w:rsid w:val="00E17F5D"/>
    <w:rsid w:val="00E2017B"/>
    <w:rsid w:val="00E204BF"/>
    <w:rsid w:val="00E20507"/>
    <w:rsid w:val="00E20717"/>
    <w:rsid w:val="00E20B4E"/>
    <w:rsid w:val="00E20BDF"/>
    <w:rsid w:val="00E20DA9"/>
    <w:rsid w:val="00E20E16"/>
    <w:rsid w:val="00E2106A"/>
    <w:rsid w:val="00E212CB"/>
    <w:rsid w:val="00E213B3"/>
    <w:rsid w:val="00E21752"/>
    <w:rsid w:val="00E219CB"/>
    <w:rsid w:val="00E2216A"/>
    <w:rsid w:val="00E221BD"/>
    <w:rsid w:val="00E222B7"/>
    <w:rsid w:val="00E2270F"/>
    <w:rsid w:val="00E22758"/>
    <w:rsid w:val="00E22799"/>
    <w:rsid w:val="00E22A5D"/>
    <w:rsid w:val="00E2318D"/>
    <w:rsid w:val="00E2325B"/>
    <w:rsid w:val="00E233E5"/>
    <w:rsid w:val="00E235BF"/>
    <w:rsid w:val="00E2364D"/>
    <w:rsid w:val="00E23B9F"/>
    <w:rsid w:val="00E23CEC"/>
    <w:rsid w:val="00E23E4D"/>
    <w:rsid w:val="00E23E9F"/>
    <w:rsid w:val="00E240AB"/>
    <w:rsid w:val="00E2433D"/>
    <w:rsid w:val="00E243E1"/>
    <w:rsid w:val="00E24523"/>
    <w:rsid w:val="00E247B1"/>
    <w:rsid w:val="00E24B40"/>
    <w:rsid w:val="00E2570C"/>
    <w:rsid w:val="00E25964"/>
    <w:rsid w:val="00E25C23"/>
    <w:rsid w:val="00E25DBF"/>
    <w:rsid w:val="00E26663"/>
    <w:rsid w:val="00E26735"/>
    <w:rsid w:val="00E26880"/>
    <w:rsid w:val="00E26E11"/>
    <w:rsid w:val="00E26F63"/>
    <w:rsid w:val="00E2719F"/>
    <w:rsid w:val="00E27282"/>
    <w:rsid w:val="00E272AB"/>
    <w:rsid w:val="00E27887"/>
    <w:rsid w:val="00E27FCD"/>
    <w:rsid w:val="00E30240"/>
    <w:rsid w:val="00E30313"/>
    <w:rsid w:val="00E307D6"/>
    <w:rsid w:val="00E30805"/>
    <w:rsid w:val="00E3088C"/>
    <w:rsid w:val="00E309B1"/>
    <w:rsid w:val="00E30DCC"/>
    <w:rsid w:val="00E310FA"/>
    <w:rsid w:val="00E314EE"/>
    <w:rsid w:val="00E315CE"/>
    <w:rsid w:val="00E31709"/>
    <w:rsid w:val="00E317AA"/>
    <w:rsid w:val="00E317D7"/>
    <w:rsid w:val="00E31D3B"/>
    <w:rsid w:val="00E31D97"/>
    <w:rsid w:val="00E31E59"/>
    <w:rsid w:val="00E3290F"/>
    <w:rsid w:val="00E32D1E"/>
    <w:rsid w:val="00E3308F"/>
    <w:rsid w:val="00E333F1"/>
    <w:rsid w:val="00E33731"/>
    <w:rsid w:val="00E33901"/>
    <w:rsid w:val="00E33F65"/>
    <w:rsid w:val="00E342A7"/>
    <w:rsid w:val="00E34369"/>
    <w:rsid w:val="00E34412"/>
    <w:rsid w:val="00E345C1"/>
    <w:rsid w:val="00E34F38"/>
    <w:rsid w:val="00E34F7D"/>
    <w:rsid w:val="00E34FEB"/>
    <w:rsid w:val="00E35312"/>
    <w:rsid w:val="00E354DE"/>
    <w:rsid w:val="00E3565E"/>
    <w:rsid w:val="00E35FBE"/>
    <w:rsid w:val="00E360B1"/>
    <w:rsid w:val="00E36391"/>
    <w:rsid w:val="00E363A1"/>
    <w:rsid w:val="00E36851"/>
    <w:rsid w:val="00E36869"/>
    <w:rsid w:val="00E36C36"/>
    <w:rsid w:val="00E36E99"/>
    <w:rsid w:val="00E36EC4"/>
    <w:rsid w:val="00E36F7F"/>
    <w:rsid w:val="00E37A8B"/>
    <w:rsid w:val="00E40209"/>
    <w:rsid w:val="00E40420"/>
    <w:rsid w:val="00E40529"/>
    <w:rsid w:val="00E405C4"/>
    <w:rsid w:val="00E40669"/>
    <w:rsid w:val="00E407EC"/>
    <w:rsid w:val="00E40C49"/>
    <w:rsid w:val="00E40E41"/>
    <w:rsid w:val="00E40E6B"/>
    <w:rsid w:val="00E40EAD"/>
    <w:rsid w:val="00E40EEB"/>
    <w:rsid w:val="00E41470"/>
    <w:rsid w:val="00E4152F"/>
    <w:rsid w:val="00E41539"/>
    <w:rsid w:val="00E4187B"/>
    <w:rsid w:val="00E41A24"/>
    <w:rsid w:val="00E42104"/>
    <w:rsid w:val="00E4214B"/>
    <w:rsid w:val="00E4238C"/>
    <w:rsid w:val="00E425F2"/>
    <w:rsid w:val="00E42871"/>
    <w:rsid w:val="00E42CC3"/>
    <w:rsid w:val="00E4309E"/>
    <w:rsid w:val="00E430F8"/>
    <w:rsid w:val="00E43185"/>
    <w:rsid w:val="00E4347F"/>
    <w:rsid w:val="00E436AA"/>
    <w:rsid w:val="00E44202"/>
    <w:rsid w:val="00E444B1"/>
    <w:rsid w:val="00E44567"/>
    <w:rsid w:val="00E448C4"/>
    <w:rsid w:val="00E449C8"/>
    <w:rsid w:val="00E44B87"/>
    <w:rsid w:val="00E44BC7"/>
    <w:rsid w:val="00E44C34"/>
    <w:rsid w:val="00E44D57"/>
    <w:rsid w:val="00E44F80"/>
    <w:rsid w:val="00E45008"/>
    <w:rsid w:val="00E45267"/>
    <w:rsid w:val="00E45316"/>
    <w:rsid w:val="00E45870"/>
    <w:rsid w:val="00E458F6"/>
    <w:rsid w:val="00E45964"/>
    <w:rsid w:val="00E45FEE"/>
    <w:rsid w:val="00E4631E"/>
    <w:rsid w:val="00E4670D"/>
    <w:rsid w:val="00E46729"/>
    <w:rsid w:val="00E4673B"/>
    <w:rsid w:val="00E469ED"/>
    <w:rsid w:val="00E46C34"/>
    <w:rsid w:val="00E46C83"/>
    <w:rsid w:val="00E47267"/>
    <w:rsid w:val="00E47279"/>
    <w:rsid w:val="00E472C7"/>
    <w:rsid w:val="00E47515"/>
    <w:rsid w:val="00E47689"/>
    <w:rsid w:val="00E4791F"/>
    <w:rsid w:val="00E47968"/>
    <w:rsid w:val="00E47993"/>
    <w:rsid w:val="00E47A11"/>
    <w:rsid w:val="00E47E28"/>
    <w:rsid w:val="00E47F7C"/>
    <w:rsid w:val="00E5018E"/>
    <w:rsid w:val="00E505F9"/>
    <w:rsid w:val="00E507CF"/>
    <w:rsid w:val="00E50987"/>
    <w:rsid w:val="00E50A1B"/>
    <w:rsid w:val="00E50A79"/>
    <w:rsid w:val="00E50D8A"/>
    <w:rsid w:val="00E50E71"/>
    <w:rsid w:val="00E511FF"/>
    <w:rsid w:val="00E51200"/>
    <w:rsid w:val="00E518BD"/>
    <w:rsid w:val="00E51A50"/>
    <w:rsid w:val="00E51B5D"/>
    <w:rsid w:val="00E51DFD"/>
    <w:rsid w:val="00E51EDE"/>
    <w:rsid w:val="00E5236D"/>
    <w:rsid w:val="00E5258A"/>
    <w:rsid w:val="00E52638"/>
    <w:rsid w:val="00E527B8"/>
    <w:rsid w:val="00E5287F"/>
    <w:rsid w:val="00E52A5B"/>
    <w:rsid w:val="00E52B8B"/>
    <w:rsid w:val="00E52FEE"/>
    <w:rsid w:val="00E53291"/>
    <w:rsid w:val="00E53297"/>
    <w:rsid w:val="00E53627"/>
    <w:rsid w:val="00E5371F"/>
    <w:rsid w:val="00E5375B"/>
    <w:rsid w:val="00E53A0C"/>
    <w:rsid w:val="00E53E38"/>
    <w:rsid w:val="00E541F5"/>
    <w:rsid w:val="00E5496E"/>
    <w:rsid w:val="00E54DCF"/>
    <w:rsid w:val="00E54EA4"/>
    <w:rsid w:val="00E54EDD"/>
    <w:rsid w:val="00E54F10"/>
    <w:rsid w:val="00E555F0"/>
    <w:rsid w:val="00E55985"/>
    <w:rsid w:val="00E55BBF"/>
    <w:rsid w:val="00E55EA9"/>
    <w:rsid w:val="00E56019"/>
    <w:rsid w:val="00E5617E"/>
    <w:rsid w:val="00E56353"/>
    <w:rsid w:val="00E563C3"/>
    <w:rsid w:val="00E5669D"/>
    <w:rsid w:val="00E568F7"/>
    <w:rsid w:val="00E56B21"/>
    <w:rsid w:val="00E57B3A"/>
    <w:rsid w:val="00E57C86"/>
    <w:rsid w:val="00E57F9C"/>
    <w:rsid w:val="00E601CB"/>
    <w:rsid w:val="00E605F8"/>
    <w:rsid w:val="00E60722"/>
    <w:rsid w:val="00E607E7"/>
    <w:rsid w:val="00E60997"/>
    <w:rsid w:val="00E60E3A"/>
    <w:rsid w:val="00E61237"/>
    <w:rsid w:val="00E61297"/>
    <w:rsid w:val="00E61747"/>
    <w:rsid w:val="00E61ACE"/>
    <w:rsid w:val="00E61B13"/>
    <w:rsid w:val="00E61D17"/>
    <w:rsid w:val="00E61E66"/>
    <w:rsid w:val="00E61E6B"/>
    <w:rsid w:val="00E62137"/>
    <w:rsid w:val="00E621D4"/>
    <w:rsid w:val="00E62311"/>
    <w:rsid w:val="00E623A6"/>
    <w:rsid w:val="00E62462"/>
    <w:rsid w:val="00E62693"/>
    <w:rsid w:val="00E62A6B"/>
    <w:rsid w:val="00E62E0F"/>
    <w:rsid w:val="00E63352"/>
    <w:rsid w:val="00E6345A"/>
    <w:rsid w:val="00E63637"/>
    <w:rsid w:val="00E63823"/>
    <w:rsid w:val="00E638B2"/>
    <w:rsid w:val="00E639C0"/>
    <w:rsid w:val="00E63C2E"/>
    <w:rsid w:val="00E640F0"/>
    <w:rsid w:val="00E646D1"/>
    <w:rsid w:val="00E6470C"/>
    <w:rsid w:val="00E6476B"/>
    <w:rsid w:val="00E654C2"/>
    <w:rsid w:val="00E65510"/>
    <w:rsid w:val="00E65ADE"/>
    <w:rsid w:val="00E65B32"/>
    <w:rsid w:val="00E65C74"/>
    <w:rsid w:val="00E65CA1"/>
    <w:rsid w:val="00E65E29"/>
    <w:rsid w:val="00E65F52"/>
    <w:rsid w:val="00E6601D"/>
    <w:rsid w:val="00E6617E"/>
    <w:rsid w:val="00E6641B"/>
    <w:rsid w:val="00E6653D"/>
    <w:rsid w:val="00E668E7"/>
    <w:rsid w:val="00E669F1"/>
    <w:rsid w:val="00E66CB2"/>
    <w:rsid w:val="00E671F7"/>
    <w:rsid w:val="00E674E4"/>
    <w:rsid w:val="00E675AA"/>
    <w:rsid w:val="00E67A70"/>
    <w:rsid w:val="00E67A8B"/>
    <w:rsid w:val="00E67C5B"/>
    <w:rsid w:val="00E67E4C"/>
    <w:rsid w:val="00E67F8D"/>
    <w:rsid w:val="00E7067D"/>
    <w:rsid w:val="00E70768"/>
    <w:rsid w:val="00E70B71"/>
    <w:rsid w:val="00E70B82"/>
    <w:rsid w:val="00E70D87"/>
    <w:rsid w:val="00E70D89"/>
    <w:rsid w:val="00E70FF1"/>
    <w:rsid w:val="00E718BA"/>
    <w:rsid w:val="00E71EDB"/>
    <w:rsid w:val="00E71EEF"/>
    <w:rsid w:val="00E722F4"/>
    <w:rsid w:val="00E7231F"/>
    <w:rsid w:val="00E72356"/>
    <w:rsid w:val="00E72609"/>
    <w:rsid w:val="00E727BD"/>
    <w:rsid w:val="00E72887"/>
    <w:rsid w:val="00E72A06"/>
    <w:rsid w:val="00E72B70"/>
    <w:rsid w:val="00E72C38"/>
    <w:rsid w:val="00E731DD"/>
    <w:rsid w:val="00E736A8"/>
    <w:rsid w:val="00E736C9"/>
    <w:rsid w:val="00E736D5"/>
    <w:rsid w:val="00E73700"/>
    <w:rsid w:val="00E73780"/>
    <w:rsid w:val="00E737A6"/>
    <w:rsid w:val="00E73C56"/>
    <w:rsid w:val="00E73D09"/>
    <w:rsid w:val="00E73F2A"/>
    <w:rsid w:val="00E74054"/>
    <w:rsid w:val="00E7407A"/>
    <w:rsid w:val="00E7408B"/>
    <w:rsid w:val="00E74090"/>
    <w:rsid w:val="00E742CB"/>
    <w:rsid w:val="00E74468"/>
    <w:rsid w:val="00E74B90"/>
    <w:rsid w:val="00E74BA0"/>
    <w:rsid w:val="00E74F37"/>
    <w:rsid w:val="00E7529A"/>
    <w:rsid w:val="00E75442"/>
    <w:rsid w:val="00E75529"/>
    <w:rsid w:val="00E756B4"/>
    <w:rsid w:val="00E75C9E"/>
    <w:rsid w:val="00E763F8"/>
    <w:rsid w:val="00E76990"/>
    <w:rsid w:val="00E76998"/>
    <w:rsid w:val="00E76C75"/>
    <w:rsid w:val="00E76CA2"/>
    <w:rsid w:val="00E7716B"/>
    <w:rsid w:val="00E771B5"/>
    <w:rsid w:val="00E77CE8"/>
    <w:rsid w:val="00E77E3A"/>
    <w:rsid w:val="00E800AC"/>
    <w:rsid w:val="00E80287"/>
    <w:rsid w:val="00E806AE"/>
    <w:rsid w:val="00E80717"/>
    <w:rsid w:val="00E81056"/>
    <w:rsid w:val="00E8120D"/>
    <w:rsid w:val="00E81332"/>
    <w:rsid w:val="00E8144E"/>
    <w:rsid w:val="00E81A4D"/>
    <w:rsid w:val="00E81D6C"/>
    <w:rsid w:val="00E820F6"/>
    <w:rsid w:val="00E82277"/>
    <w:rsid w:val="00E8239E"/>
    <w:rsid w:val="00E82672"/>
    <w:rsid w:val="00E826FD"/>
    <w:rsid w:val="00E82849"/>
    <w:rsid w:val="00E82992"/>
    <w:rsid w:val="00E82A8F"/>
    <w:rsid w:val="00E82BE9"/>
    <w:rsid w:val="00E82C69"/>
    <w:rsid w:val="00E82D70"/>
    <w:rsid w:val="00E82E06"/>
    <w:rsid w:val="00E830C8"/>
    <w:rsid w:val="00E832A4"/>
    <w:rsid w:val="00E83716"/>
    <w:rsid w:val="00E83748"/>
    <w:rsid w:val="00E83A05"/>
    <w:rsid w:val="00E83C87"/>
    <w:rsid w:val="00E83CCE"/>
    <w:rsid w:val="00E83D4D"/>
    <w:rsid w:val="00E83FB8"/>
    <w:rsid w:val="00E84025"/>
    <w:rsid w:val="00E842CC"/>
    <w:rsid w:val="00E84870"/>
    <w:rsid w:val="00E84C03"/>
    <w:rsid w:val="00E84CC6"/>
    <w:rsid w:val="00E84D7D"/>
    <w:rsid w:val="00E851A5"/>
    <w:rsid w:val="00E85334"/>
    <w:rsid w:val="00E8562A"/>
    <w:rsid w:val="00E8577D"/>
    <w:rsid w:val="00E85CE5"/>
    <w:rsid w:val="00E85F5C"/>
    <w:rsid w:val="00E860D2"/>
    <w:rsid w:val="00E8622F"/>
    <w:rsid w:val="00E86246"/>
    <w:rsid w:val="00E862C3"/>
    <w:rsid w:val="00E8648E"/>
    <w:rsid w:val="00E86508"/>
    <w:rsid w:val="00E86540"/>
    <w:rsid w:val="00E86935"/>
    <w:rsid w:val="00E86AA4"/>
    <w:rsid w:val="00E86AE8"/>
    <w:rsid w:val="00E87448"/>
    <w:rsid w:val="00E8755C"/>
    <w:rsid w:val="00E87673"/>
    <w:rsid w:val="00E8792D"/>
    <w:rsid w:val="00E87AE9"/>
    <w:rsid w:val="00E87BE6"/>
    <w:rsid w:val="00E87D9B"/>
    <w:rsid w:val="00E87E9E"/>
    <w:rsid w:val="00E90185"/>
    <w:rsid w:val="00E90246"/>
    <w:rsid w:val="00E9055A"/>
    <w:rsid w:val="00E9077F"/>
    <w:rsid w:val="00E90782"/>
    <w:rsid w:val="00E907D6"/>
    <w:rsid w:val="00E90B8B"/>
    <w:rsid w:val="00E90F9E"/>
    <w:rsid w:val="00E91107"/>
    <w:rsid w:val="00E911C2"/>
    <w:rsid w:val="00E91BE1"/>
    <w:rsid w:val="00E91EF7"/>
    <w:rsid w:val="00E91FBB"/>
    <w:rsid w:val="00E925A1"/>
    <w:rsid w:val="00E927C2"/>
    <w:rsid w:val="00E931AE"/>
    <w:rsid w:val="00E93850"/>
    <w:rsid w:val="00E938AC"/>
    <w:rsid w:val="00E93F52"/>
    <w:rsid w:val="00E9423B"/>
    <w:rsid w:val="00E94AA8"/>
    <w:rsid w:val="00E94B3F"/>
    <w:rsid w:val="00E9563C"/>
    <w:rsid w:val="00E956D2"/>
    <w:rsid w:val="00E95869"/>
    <w:rsid w:val="00E95BD5"/>
    <w:rsid w:val="00E95E3B"/>
    <w:rsid w:val="00E95EA4"/>
    <w:rsid w:val="00E95F8F"/>
    <w:rsid w:val="00E96028"/>
    <w:rsid w:val="00E96261"/>
    <w:rsid w:val="00E96342"/>
    <w:rsid w:val="00E96446"/>
    <w:rsid w:val="00E9645D"/>
    <w:rsid w:val="00E96C6C"/>
    <w:rsid w:val="00E97000"/>
    <w:rsid w:val="00E97116"/>
    <w:rsid w:val="00E973D0"/>
    <w:rsid w:val="00E97493"/>
    <w:rsid w:val="00E97585"/>
    <w:rsid w:val="00E97600"/>
    <w:rsid w:val="00E9772E"/>
    <w:rsid w:val="00E97BD8"/>
    <w:rsid w:val="00E97F44"/>
    <w:rsid w:val="00EA015D"/>
    <w:rsid w:val="00EA03D8"/>
    <w:rsid w:val="00EA0696"/>
    <w:rsid w:val="00EA095D"/>
    <w:rsid w:val="00EA09BB"/>
    <w:rsid w:val="00EA0A3C"/>
    <w:rsid w:val="00EA0AB0"/>
    <w:rsid w:val="00EA0E77"/>
    <w:rsid w:val="00EA0E94"/>
    <w:rsid w:val="00EA10C7"/>
    <w:rsid w:val="00EA1201"/>
    <w:rsid w:val="00EA17C8"/>
    <w:rsid w:val="00EA194D"/>
    <w:rsid w:val="00EA1ACD"/>
    <w:rsid w:val="00EA1AED"/>
    <w:rsid w:val="00EA1CB1"/>
    <w:rsid w:val="00EA1D66"/>
    <w:rsid w:val="00EA1F87"/>
    <w:rsid w:val="00EA20B3"/>
    <w:rsid w:val="00EA26DB"/>
    <w:rsid w:val="00EA291C"/>
    <w:rsid w:val="00EA2922"/>
    <w:rsid w:val="00EA2A16"/>
    <w:rsid w:val="00EA2BC9"/>
    <w:rsid w:val="00EA30ED"/>
    <w:rsid w:val="00EA32D3"/>
    <w:rsid w:val="00EA36E6"/>
    <w:rsid w:val="00EA375F"/>
    <w:rsid w:val="00EA3791"/>
    <w:rsid w:val="00EA39D2"/>
    <w:rsid w:val="00EA409E"/>
    <w:rsid w:val="00EA43D6"/>
    <w:rsid w:val="00EA46A8"/>
    <w:rsid w:val="00EA4AE9"/>
    <w:rsid w:val="00EA51C1"/>
    <w:rsid w:val="00EA59C9"/>
    <w:rsid w:val="00EA5C4E"/>
    <w:rsid w:val="00EA6197"/>
    <w:rsid w:val="00EA6A61"/>
    <w:rsid w:val="00EA6AD8"/>
    <w:rsid w:val="00EA6BD8"/>
    <w:rsid w:val="00EA6C79"/>
    <w:rsid w:val="00EA6CC1"/>
    <w:rsid w:val="00EA6ED6"/>
    <w:rsid w:val="00EA6FDE"/>
    <w:rsid w:val="00EA7191"/>
    <w:rsid w:val="00EA78A2"/>
    <w:rsid w:val="00EB0090"/>
    <w:rsid w:val="00EB0406"/>
    <w:rsid w:val="00EB0984"/>
    <w:rsid w:val="00EB09A7"/>
    <w:rsid w:val="00EB0A89"/>
    <w:rsid w:val="00EB0CA8"/>
    <w:rsid w:val="00EB0CFE"/>
    <w:rsid w:val="00EB0EB0"/>
    <w:rsid w:val="00EB0ED8"/>
    <w:rsid w:val="00EB0F07"/>
    <w:rsid w:val="00EB1025"/>
    <w:rsid w:val="00EB11D6"/>
    <w:rsid w:val="00EB12E0"/>
    <w:rsid w:val="00EB1356"/>
    <w:rsid w:val="00EB150D"/>
    <w:rsid w:val="00EB17F7"/>
    <w:rsid w:val="00EB1930"/>
    <w:rsid w:val="00EB1E09"/>
    <w:rsid w:val="00EB2708"/>
    <w:rsid w:val="00EB2830"/>
    <w:rsid w:val="00EB3196"/>
    <w:rsid w:val="00EB3694"/>
    <w:rsid w:val="00EB3700"/>
    <w:rsid w:val="00EB37D1"/>
    <w:rsid w:val="00EB3973"/>
    <w:rsid w:val="00EB3974"/>
    <w:rsid w:val="00EB3BA4"/>
    <w:rsid w:val="00EB3DCF"/>
    <w:rsid w:val="00EB3FA3"/>
    <w:rsid w:val="00EB40B5"/>
    <w:rsid w:val="00EB449E"/>
    <w:rsid w:val="00EB46F6"/>
    <w:rsid w:val="00EB4A5F"/>
    <w:rsid w:val="00EB4EA2"/>
    <w:rsid w:val="00EB4F33"/>
    <w:rsid w:val="00EB58F3"/>
    <w:rsid w:val="00EB5B6F"/>
    <w:rsid w:val="00EB5B99"/>
    <w:rsid w:val="00EB610D"/>
    <w:rsid w:val="00EB6381"/>
    <w:rsid w:val="00EB638D"/>
    <w:rsid w:val="00EB64B1"/>
    <w:rsid w:val="00EB653C"/>
    <w:rsid w:val="00EB663D"/>
    <w:rsid w:val="00EB69CF"/>
    <w:rsid w:val="00EB6C03"/>
    <w:rsid w:val="00EB6E24"/>
    <w:rsid w:val="00EB6E70"/>
    <w:rsid w:val="00EB6EB9"/>
    <w:rsid w:val="00EB703C"/>
    <w:rsid w:val="00EB7266"/>
    <w:rsid w:val="00EB7496"/>
    <w:rsid w:val="00EB757A"/>
    <w:rsid w:val="00EB78CD"/>
    <w:rsid w:val="00EB7B26"/>
    <w:rsid w:val="00EB7C54"/>
    <w:rsid w:val="00EB7DA2"/>
    <w:rsid w:val="00EB7E8A"/>
    <w:rsid w:val="00EC0374"/>
    <w:rsid w:val="00EC0420"/>
    <w:rsid w:val="00EC0ACD"/>
    <w:rsid w:val="00EC0DC6"/>
    <w:rsid w:val="00EC0F74"/>
    <w:rsid w:val="00EC10B6"/>
    <w:rsid w:val="00EC1369"/>
    <w:rsid w:val="00EC16EB"/>
    <w:rsid w:val="00EC173F"/>
    <w:rsid w:val="00EC1865"/>
    <w:rsid w:val="00EC1AC7"/>
    <w:rsid w:val="00EC1CC4"/>
    <w:rsid w:val="00EC1CCD"/>
    <w:rsid w:val="00EC1D8E"/>
    <w:rsid w:val="00EC1E0C"/>
    <w:rsid w:val="00EC1E78"/>
    <w:rsid w:val="00EC23FC"/>
    <w:rsid w:val="00EC2443"/>
    <w:rsid w:val="00EC2678"/>
    <w:rsid w:val="00EC297B"/>
    <w:rsid w:val="00EC2989"/>
    <w:rsid w:val="00EC29D0"/>
    <w:rsid w:val="00EC2F46"/>
    <w:rsid w:val="00EC31C9"/>
    <w:rsid w:val="00EC333D"/>
    <w:rsid w:val="00EC36B7"/>
    <w:rsid w:val="00EC3925"/>
    <w:rsid w:val="00EC3AED"/>
    <w:rsid w:val="00EC3F31"/>
    <w:rsid w:val="00EC406F"/>
    <w:rsid w:val="00EC4D87"/>
    <w:rsid w:val="00EC53C8"/>
    <w:rsid w:val="00EC553B"/>
    <w:rsid w:val="00EC55D2"/>
    <w:rsid w:val="00EC5659"/>
    <w:rsid w:val="00EC5DA0"/>
    <w:rsid w:val="00EC63D3"/>
    <w:rsid w:val="00EC6711"/>
    <w:rsid w:val="00EC6DE2"/>
    <w:rsid w:val="00EC719B"/>
    <w:rsid w:val="00EC7676"/>
    <w:rsid w:val="00EC7708"/>
    <w:rsid w:val="00EC79F8"/>
    <w:rsid w:val="00EC7F2A"/>
    <w:rsid w:val="00ED010A"/>
    <w:rsid w:val="00ED01C5"/>
    <w:rsid w:val="00ED0326"/>
    <w:rsid w:val="00ED078F"/>
    <w:rsid w:val="00ED09ED"/>
    <w:rsid w:val="00ED1367"/>
    <w:rsid w:val="00ED142C"/>
    <w:rsid w:val="00ED142F"/>
    <w:rsid w:val="00ED1476"/>
    <w:rsid w:val="00ED1A76"/>
    <w:rsid w:val="00ED1C69"/>
    <w:rsid w:val="00ED1DD2"/>
    <w:rsid w:val="00ED2162"/>
    <w:rsid w:val="00ED25F4"/>
    <w:rsid w:val="00ED271F"/>
    <w:rsid w:val="00ED2861"/>
    <w:rsid w:val="00ED2C72"/>
    <w:rsid w:val="00ED2E6A"/>
    <w:rsid w:val="00ED3174"/>
    <w:rsid w:val="00ED3246"/>
    <w:rsid w:val="00ED3313"/>
    <w:rsid w:val="00ED3845"/>
    <w:rsid w:val="00ED3857"/>
    <w:rsid w:val="00ED3929"/>
    <w:rsid w:val="00ED3DF9"/>
    <w:rsid w:val="00ED4215"/>
    <w:rsid w:val="00ED45EB"/>
    <w:rsid w:val="00ED474F"/>
    <w:rsid w:val="00ED4844"/>
    <w:rsid w:val="00ED4A59"/>
    <w:rsid w:val="00ED4FF0"/>
    <w:rsid w:val="00ED52A9"/>
    <w:rsid w:val="00ED56BC"/>
    <w:rsid w:val="00ED57E9"/>
    <w:rsid w:val="00ED5B46"/>
    <w:rsid w:val="00ED5FD4"/>
    <w:rsid w:val="00ED61AA"/>
    <w:rsid w:val="00ED6E3A"/>
    <w:rsid w:val="00ED70B7"/>
    <w:rsid w:val="00ED7364"/>
    <w:rsid w:val="00ED73EA"/>
    <w:rsid w:val="00ED77ED"/>
    <w:rsid w:val="00ED787B"/>
    <w:rsid w:val="00ED7957"/>
    <w:rsid w:val="00ED7B96"/>
    <w:rsid w:val="00ED7BC4"/>
    <w:rsid w:val="00ED7BC9"/>
    <w:rsid w:val="00ED7C74"/>
    <w:rsid w:val="00ED7E6C"/>
    <w:rsid w:val="00EE04F4"/>
    <w:rsid w:val="00EE07E0"/>
    <w:rsid w:val="00EE0854"/>
    <w:rsid w:val="00EE0A0B"/>
    <w:rsid w:val="00EE0A0D"/>
    <w:rsid w:val="00EE0C84"/>
    <w:rsid w:val="00EE0EE3"/>
    <w:rsid w:val="00EE0F1F"/>
    <w:rsid w:val="00EE1077"/>
    <w:rsid w:val="00EE1098"/>
    <w:rsid w:val="00EE130A"/>
    <w:rsid w:val="00EE1A69"/>
    <w:rsid w:val="00EE1B8F"/>
    <w:rsid w:val="00EE1FC4"/>
    <w:rsid w:val="00EE2262"/>
    <w:rsid w:val="00EE248B"/>
    <w:rsid w:val="00EE28EB"/>
    <w:rsid w:val="00EE2995"/>
    <w:rsid w:val="00EE2B88"/>
    <w:rsid w:val="00EE2FCB"/>
    <w:rsid w:val="00EE3099"/>
    <w:rsid w:val="00EE3102"/>
    <w:rsid w:val="00EE3404"/>
    <w:rsid w:val="00EE35E4"/>
    <w:rsid w:val="00EE36CE"/>
    <w:rsid w:val="00EE3AC1"/>
    <w:rsid w:val="00EE3AF9"/>
    <w:rsid w:val="00EE3B97"/>
    <w:rsid w:val="00EE3BD7"/>
    <w:rsid w:val="00EE3C91"/>
    <w:rsid w:val="00EE3CB0"/>
    <w:rsid w:val="00EE40CD"/>
    <w:rsid w:val="00EE43DF"/>
    <w:rsid w:val="00EE46A7"/>
    <w:rsid w:val="00EE480F"/>
    <w:rsid w:val="00EE4976"/>
    <w:rsid w:val="00EE4ADF"/>
    <w:rsid w:val="00EE4C48"/>
    <w:rsid w:val="00EE5156"/>
    <w:rsid w:val="00EE51F7"/>
    <w:rsid w:val="00EE541D"/>
    <w:rsid w:val="00EE5535"/>
    <w:rsid w:val="00EE5666"/>
    <w:rsid w:val="00EE5866"/>
    <w:rsid w:val="00EE58CA"/>
    <w:rsid w:val="00EE59B0"/>
    <w:rsid w:val="00EE5A7D"/>
    <w:rsid w:val="00EE5C9E"/>
    <w:rsid w:val="00EE5CF9"/>
    <w:rsid w:val="00EE5D21"/>
    <w:rsid w:val="00EE63A5"/>
    <w:rsid w:val="00EE6850"/>
    <w:rsid w:val="00EE6981"/>
    <w:rsid w:val="00EE730D"/>
    <w:rsid w:val="00EE7410"/>
    <w:rsid w:val="00EE7A99"/>
    <w:rsid w:val="00EE7EF5"/>
    <w:rsid w:val="00EF0759"/>
    <w:rsid w:val="00EF0AD1"/>
    <w:rsid w:val="00EF0E4A"/>
    <w:rsid w:val="00EF1122"/>
    <w:rsid w:val="00EF12CE"/>
    <w:rsid w:val="00EF12D0"/>
    <w:rsid w:val="00EF1617"/>
    <w:rsid w:val="00EF2025"/>
    <w:rsid w:val="00EF2026"/>
    <w:rsid w:val="00EF2373"/>
    <w:rsid w:val="00EF23A9"/>
    <w:rsid w:val="00EF264F"/>
    <w:rsid w:val="00EF2824"/>
    <w:rsid w:val="00EF28B7"/>
    <w:rsid w:val="00EF2C5E"/>
    <w:rsid w:val="00EF2EA2"/>
    <w:rsid w:val="00EF3328"/>
    <w:rsid w:val="00EF35E9"/>
    <w:rsid w:val="00EF3670"/>
    <w:rsid w:val="00EF3A65"/>
    <w:rsid w:val="00EF3A86"/>
    <w:rsid w:val="00EF411B"/>
    <w:rsid w:val="00EF429D"/>
    <w:rsid w:val="00EF433F"/>
    <w:rsid w:val="00EF446C"/>
    <w:rsid w:val="00EF47D1"/>
    <w:rsid w:val="00EF4978"/>
    <w:rsid w:val="00EF4A80"/>
    <w:rsid w:val="00EF4ACB"/>
    <w:rsid w:val="00EF4D02"/>
    <w:rsid w:val="00EF4ED7"/>
    <w:rsid w:val="00EF4EFE"/>
    <w:rsid w:val="00EF5027"/>
    <w:rsid w:val="00EF52D5"/>
    <w:rsid w:val="00EF5363"/>
    <w:rsid w:val="00EF5642"/>
    <w:rsid w:val="00EF5798"/>
    <w:rsid w:val="00EF5A26"/>
    <w:rsid w:val="00EF5CA4"/>
    <w:rsid w:val="00EF5D37"/>
    <w:rsid w:val="00EF5E77"/>
    <w:rsid w:val="00EF626C"/>
    <w:rsid w:val="00EF6390"/>
    <w:rsid w:val="00EF68E2"/>
    <w:rsid w:val="00EF6DBD"/>
    <w:rsid w:val="00EF719B"/>
    <w:rsid w:val="00EF72F8"/>
    <w:rsid w:val="00EF740F"/>
    <w:rsid w:val="00EF7767"/>
    <w:rsid w:val="00EF789A"/>
    <w:rsid w:val="00EF7BF8"/>
    <w:rsid w:val="00EF7EF7"/>
    <w:rsid w:val="00F0010B"/>
    <w:rsid w:val="00F00178"/>
    <w:rsid w:val="00F00496"/>
    <w:rsid w:val="00F0070B"/>
    <w:rsid w:val="00F00783"/>
    <w:rsid w:val="00F00CCB"/>
    <w:rsid w:val="00F00CE1"/>
    <w:rsid w:val="00F00CFE"/>
    <w:rsid w:val="00F00D42"/>
    <w:rsid w:val="00F013B5"/>
    <w:rsid w:val="00F0141D"/>
    <w:rsid w:val="00F017D2"/>
    <w:rsid w:val="00F017E6"/>
    <w:rsid w:val="00F01822"/>
    <w:rsid w:val="00F01B1A"/>
    <w:rsid w:val="00F01BC7"/>
    <w:rsid w:val="00F01D80"/>
    <w:rsid w:val="00F01E2D"/>
    <w:rsid w:val="00F02E0B"/>
    <w:rsid w:val="00F02F7A"/>
    <w:rsid w:val="00F03024"/>
    <w:rsid w:val="00F032E5"/>
    <w:rsid w:val="00F03564"/>
    <w:rsid w:val="00F035BD"/>
    <w:rsid w:val="00F0388F"/>
    <w:rsid w:val="00F03894"/>
    <w:rsid w:val="00F03B2E"/>
    <w:rsid w:val="00F03E41"/>
    <w:rsid w:val="00F0403F"/>
    <w:rsid w:val="00F0411F"/>
    <w:rsid w:val="00F043AC"/>
    <w:rsid w:val="00F0443B"/>
    <w:rsid w:val="00F0444D"/>
    <w:rsid w:val="00F044F5"/>
    <w:rsid w:val="00F04917"/>
    <w:rsid w:val="00F04982"/>
    <w:rsid w:val="00F04A47"/>
    <w:rsid w:val="00F04C8F"/>
    <w:rsid w:val="00F05361"/>
    <w:rsid w:val="00F054F4"/>
    <w:rsid w:val="00F05595"/>
    <w:rsid w:val="00F057BE"/>
    <w:rsid w:val="00F058F7"/>
    <w:rsid w:val="00F05A53"/>
    <w:rsid w:val="00F05AD8"/>
    <w:rsid w:val="00F06217"/>
    <w:rsid w:val="00F06A70"/>
    <w:rsid w:val="00F06F74"/>
    <w:rsid w:val="00F07384"/>
    <w:rsid w:val="00F07770"/>
    <w:rsid w:val="00F100A4"/>
    <w:rsid w:val="00F10414"/>
    <w:rsid w:val="00F10462"/>
    <w:rsid w:val="00F10684"/>
    <w:rsid w:val="00F10E12"/>
    <w:rsid w:val="00F1110F"/>
    <w:rsid w:val="00F11128"/>
    <w:rsid w:val="00F11377"/>
    <w:rsid w:val="00F1151D"/>
    <w:rsid w:val="00F11E8D"/>
    <w:rsid w:val="00F11F0D"/>
    <w:rsid w:val="00F120DB"/>
    <w:rsid w:val="00F12212"/>
    <w:rsid w:val="00F124F5"/>
    <w:rsid w:val="00F12623"/>
    <w:rsid w:val="00F12A41"/>
    <w:rsid w:val="00F12C33"/>
    <w:rsid w:val="00F12C52"/>
    <w:rsid w:val="00F12DFC"/>
    <w:rsid w:val="00F12E19"/>
    <w:rsid w:val="00F12E38"/>
    <w:rsid w:val="00F12F61"/>
    <w:rsid w:val="00F1398B"/>
    <w:rsid w:val="00F13AA9"/>
    <w:rsid w:val="00F13CDD"/>
    <w:rsid w:val="00F13DA3"/>
    <w:rsid w:val="00F13E59"/>
    <w:rsid w:val="00F13E81"/>
    <w:rsid w:val="00F13F5A"/>
    <w:rsid w:val="00F13FB6"/>
    <w:rsid w:val="00F14439"/>
    <w:rsid w:val="00F146AD"/>
    <w:rsid w:val="00F14A25"/>
    <w:rsid w:val="00F14E0F"/>
    <w:rsid w:val="00F150A4"/>
    <w:rsid w:val="00F1604F"/>
    <w:rsid w:val="00F16628"/>
    <w:rsid w:val="00F17169"/>
    <w:rsid w:val="00F17862"/>
    <w:rsid w:val="00F178FD"/>
    <w:rsid w:val="00F17B97"/>
    <w:rsid w:val="00F17D33"/>
    <w:rsid w:val="00F208FF"/>
    <w:rsid w:val="00F20945"/>
    <w:rsid w:val="00F2097D"/>
    <w:rsid w:val="00F20B8D"/>
    <w:rsid w:val="00F216B8"/>
    <w:rsid w:val="00F217AD"/>
    <w:rsid w:val="00F2183B"/>
    <w:rsid w:val="00F2191A"/>
    <w:rsid w:val="00F21B4C"/>
    <w:rsid w:val="00F21E4B"/>
    <w:rsid w:val="00F21F0C"/>
    <w:rsid w:val="00F2217F"/>
    <w:rsid w:val="00F22534"/>
    <w:rsid w:val="00F2290B"/>
    <w:rsid w:val="00F22EC4"/>
    <w:rsid w:val="00F233E8"/>
    <w:rsid w:val="00F23916"/>
    <w:rsid w:val="00F23EEC"/>
    <w:rsid w:val="00F23F8A"/>
    <w:rsid w:val="00F24021"/>
    <w:rsid w:val="00F2410F"/>
    <w:rsid w:val="00F242E2"/>
    <w:rsid w:val="00F244A7"/>
    <w:rsid w:val="00F245E3"/>
    <w:rsid w:val="00F2481D"/>
    <w:rsid w:val="00F24D4E"/>
    <w:rsid w:val="00F25284"/>
    <w:rsid w:val="00F254B5"/>
    <w:rsid w:val="00F25701"/>
    <w:rsid w:val="00F257FD"/>
    <w:rsid w:val="00F2587E"/>
    <w:rsid w:val="00F2588C"/>
    <w:rsid w:val="00F259E4"/>
    <w:rsid w:val="00F25B95"/>
    <w:rsid w:val="00F25DCB"/>
    <w:rsid w:val="00F260EC"/>
    <w:rsid w:val="00F268F2"/>
    <w:rsid w:val="00F269DE"/>
    <w:rsid w:val="00F26F7F"/>
    <w:rsid w:val="00F273BB"/>
    <w:rsid w:val="00F27656"/>
    <w:rsid w:val="00F27CD2"/>
    <w:rsid w:val="00F30065"/>
    <w:rsid w:val="00F3008B"/>
    <w:rsid w:val="00F3070A"/>
    <w:rsid w:val="00F30AB8"/>
    <w:rsid w:val="00F30E3E"/>
    <w:rsid w:val="00F30FB8"/>
    <w:rsid w:val="00F31739"/>
    <w:rsid w:val="00F3176A"/>
    <w:rsid w:val="00F3177C"/>
    <w:rsid w:val="00F31A49"/>
    <w:rsid w:val="00F31E7A"/>
    <w:rsid w:val="00F321D0"/>
    <w:rsid w:val="00F32735"/>
    <w:rsid w:val="00F328CF"/>
    <w:rsid w:val="00F32A47"/>
    <w:rsid w:val="00F33576"/>
    <w:rsid w:val="00F33871"/>
    <w:rsid w:val="00F33F43"/>
    <w:rsid w:val="00F34110"/>
    <w:rsid w:val="00F3453F"/>
    <w:rsid w:val="00F34564"/>
    <w:rsid w:val="00F346ED"/>
    <w:rsid w:val="00F34A03"/>
    <w:rsid w:val="00F34BF4"/>
    <w:rsid w:val="00F34D31"/>
    <w:rsid w:val="00F34D3A"/>
    <w:rsid w:val="00F35145"/>
    <w:rsid w:val="00F352CC"/>
    <w:rsid w:val="00F3538D"/>
    <w:rsid w:val="00F354B5"/>
    <w:rsid w:val="00F356B1"/>
    <w:rsid w:val="00F35845"/>
    <w:rsid w:val="00F35C8B"/>
    <w:rsid w:val="00F35F25"/>
    <w:rsid w:val="00F35F41"/>
    <w:rsid w:val="00F360FF"/>
    <w:rsid w:val="00F36600"/>
    <w:rsid w:val="00F36711"/>
    <w:rsid w:val="00F36823"/>
    <w:rsid w:val="00F368F7"/>
    <w:rsid w:val="00F36A2C"/>
    <w:rsid w:val="00F36EB4"/>
    <w:rsid w:val="00F37008"/>
    <w:rsid w:val="00F370D3"/>
    <w:rsid w:val="00F373FA"/>
    <w:rsid w:val="00F3783A"/>
    <w:rsid w:val="00F37B48"/>
    <w:rsid w:val="00F37BA6"/>
    <w:rsid w:val="00F37BBF"/>
    <w:rsid w:val="00F37EDE"/>
    <w:rsid w:val="00F37F7A"/>
    <w:rsid w:val="00F40028"/>
    <w:rsid w:val="00F4064E"/>
    <w:rsid w:val="00F40884"/>
    <w:rsid w:val="00F4098A"/>
    <w:rsid w:val="00F40E9C"/>
    <w:rsid w:val="00F40F6B"/>
    <w:rsid w:val="00F41339"/>
    <w:rsid w:val="00F41420"/>
    <w:rsid w:val="00F4194E"/>
    <w:rsid w:val="00F4219F"/>
    <w:rsid w:val="00F423B7"/>
    <w:rsid w:val="00F4245B"/>
    <w:rsid w:val="00F42E9A"/>
    <w:rsid w:val="00F42F6E"/>
    <w:rsid w:val="00F4302B"/>
    <w:rsid w:val="00F43134"/>
    <w:rsid w:val="00F4370C"/>
    <w:rsid w:val="00F43A7E"/>
    <w:rsid w:val="00F43D56"/>
    <w:rsid w:val="00F43DD4"/>
    <w:rsid w:val="00F43F3E"/>
    <w:rsid w:val="00F444BD"/>
    <w:rsid w:val="00F44507"/>
    <w:rsid w:val="00F44787"/>
    <w:rsid w:val="00F44A2B"/>
    <w:rsid w:val="00F451FD"/>
    <w:rsid w:val="00F452CE"/>
    <w:rsid w:val="00F454C2"/>
    <w:rsid w:val="00F45665"/>
    <w:rsid w:val="00F45733"/>
    <w:rsid w:val="00F45815"/>
    <w:rsid w:val="00F45870"/>
    <w:rsid w:val="00F458EB"/>
    <w:rsid w:val="00F45BA6"/>
    <w:rsid w:val="00F45DCF"/>
    <w:rsid w:val="00F45E5B"/>
    <w:rsid w:val="00F4618F"/>
    <w:rsid w:val="00F46455"/>
    <w:rsid w:val="00F468E8"/>
    <w:rsid w:val="00F46928"/>
    <w:rsid w:val="00F469AB"/>
    <w:rsid w:val="00F46AE3"/>
    <w:rsid w:val="00F46B2F"/>
    <w:rsid w:val="00F46B37"/>
    <w:rsid w:val="00F46B62"/>
    <w:rsid w:val="00F46C5B"/>
    <w:rsid w:val="00F46F40"/>
    <w:rsid w:val="00F47534"/>
    <w:rsid w:val="00F478FC"/>
    <w:rsid w:val="00F4797C"/>
    <w:rsid w:val="00F47BC3"/>
    <w:rsid w:val="00F47EC4"/>
    <w:rsid w:val="00F47F7C"/>
    <w:rsid w:val="00F50252"/>
    <w:rsid w:val="00F5036C"/>
    <w:rsid w:val="00F5051D"/>
    <w:rsid w:val="00F5056F"/>
    <w:rsid w:val="00F50754"/>
    <w:rsid w:val="00F50772"/>
    <w:rsid w:val="00F50947"/>
    <w:rsid w:val="00F50B18"/>
    <w:rsid w:val="00F50C4B"/>
    <w:rsid w:val="00F50C82"/>
    <w:rsid w:val="00F50CB5"/>
    <w:rsid w:val="00F50F40"/>
    <w:rsid w:val="00F510C6"/>
    <w:rsid w:val="00F5127A"/>
    <w:rsid w:val="00F519A3"/>
    <w:rsid w:val="00F519A7"/>
    <w:rsid w:val="00F51A09"/>
    <w:rsid w:val="00F5215A"/>
    <w:rsid w:val="00F521B2"/>
    <w:rsid w:val="00F524F8"/>
    <w:rsid w:val="00F5251C"/>
    <w:rsid w:val="00F5266A"/>
    <w:rsid w:val="00F53059"/>
    <w:rsid w:val="00F5307C"/>
    <w:rsid w:val="00F53507"/>
    <w:rsid w:val="00F537C0"/>
    <w:rsid w:val="00F53814"/>
    <w:rsid w:val="00F538AA"/>
    <w:rsid w:val="00F53A56"/>
    <w:rsid w:val="00F53C12"/>
    <w:rsid w:val="00F5426A"/>
    <w:rsid w:val="00F548A7"/>
    <w:rsid w:val="00F548B4"/>
    <w:rsid w:val="00F5496D"/>
    <w:rsid w:val="00F54B91"/>
    <w:rsid w:val="00F54E7C"/>
    <w:rsid w:val="00F54EAA"/>
    <w:rsid w:val="00F54F3A"/>
    <w:rsid w:val="00F5532C"/>
    <w:rsid w:val="00F553CB"/>
    <w:rsid w:val="00F558DE"/>
    <w:rsid w:val="00F55C4F"/>
    <w:rsid w:val="00F55FBA"/>
    <w:rsid w:val="00F56337"/>
    <w:rsid w:val="00F56412"/>
    <w:rsid w:val="00F568FA"/>
    <w:rsid w:val="00F56AA6"/>
    <w:rsid w:val="00F56AC9"/>
    <w:rsid w:val="00F56C56"/>
    <w:rsid w:val="00F56DEC"/>
    <w:rsid w:val="00F5707E"/>
    <w:rsid w:val="00F5727F"/>
    <w:rsid w:val="00F57935"/>
    <w:rsid w:val="00F57B81"/>
    <w:rsid w:val="00F57F65"/>
    <w:rsid w:val="00F600E0"/>
    <w:rsid w:val="00F602BB"/>
    <w:rsid w:val="00F60422"/>
    <w:rsid w:val="00F604D6"/>
    <w:rsid w:val="00F608D1"/>
    <w:rsid w:val="00F60F83"/>
    <w:rsid w:val="00F6127E"/>
    <w:rsid w:val="00F61345"/>
    <w:rsid w:val="00F615C1"/>
    <w:rsid w:val="00F615C3"/>
    <w:rsid w:val="00F61CCA"/>
    <w:rsid w:val="00F623A1"/>
    <w:rsid w:val="00F6246E"/>
    <w:rsid w:val="00F6254B"/>
    <w:rsid w:val="00F62943"/>
    <w:rsid w:val="00F62B3B"/>
    <w:rsid w:val="00F62F0F"/>
    <w:rsid w:val="00F62FCE"/>
    <w:rsid w:val="00F62FF2"/>
    <w:rsid w:val="00F6320C"/>
    <w:rsid w:val="00F63382"/>
    <w:rsid w:val="00F634BB"/>
    <w:rsid w:val="00F63528"/>
    <w:rsid w:val="00F63BA6"/>
    <w:rsid w:val="00F63D93"/>
    <w:rsid w:val="00F63F77"/>
    <w:rsid w:val="00F649B3"/>
    <w:rsid w:val="00F65255"/>
    <w:rsid w:val="00F65440"/>
    <w:rsid w:val="00F65A27"/>
    <w:rsid w:val="00F65F51"/>
    <w:rsid w:val="00F665FB"/>
    <w:rsid w:val="00F666BA"/>
    <w:rsid w:val="00F667D7"/>
    <w:rsid w:val="00F66B8C"/>
    <w:rsid w:val="00F66BB2"/>
    <w:rsid w:val="00F66DC0"/>
    <w:rsid w:val="00F66F9C"/>
    <w:rsid w:val="00F671F3"/>
    <w:rsid w:val="00F67670"/>
    <w:rsid w:val="00F6774F"/>
    <w:rsid w:val="00F679C3"/>
    <w:rsid w:val="00F67CF0"/>
    <w:rsid w:val="00F67D98"/>
    <w:rsid w:val="00F67DA0"/>
    <w:rsid w:val="00F67E65"/>
    <w:rsid w:val="00F67F79"/>
    <w:rsid w:val="00F705A3"/>
    <w:rsid w:val="00F70656"/>
    <w:rsid w:val="00F70871"/>
    <w:rsid w:val="00F70CAC"/>
    <w:rsid w:val="00F70D62"/>
    <w:rsid w:val="00F710F9"/>
    <w:rsid w:val="00F7131B"/>
    <w:rsid w:val="00F71338"/>
    <w:rsid w:val="00F713EA"/>
    <w:rsid w:val="00F715E7"/>
    <w:rsid w:val="00F72086"/>
    <w:rsid w:val="00F72F9B"/>
    <w:rsid w:val="00F732C2"/>
    <w:rsid w:val="00F73388"/>
    <w:rsid w:val="00F733E1"/>
    <w:rsid w:val="00F73500"/>
    <w:rsid w:val="00F73514"/>
    <w:rsid w:val="00F73926"/>
    <w:rsid w:val="00F73A7A"/>
    <w:rsid w:val="00F73AF2"/>
    <w:rsid w:val="00F73D0C"/>
    <w:rsid w:val="00F73D59"/>
    <w:rsid w:val="00F7477C"/>
    <w:rsid w:val="00F747FA"/>
    <w:rsid w:val="00F7482B"/>
    <w:rsid w:val="00F74851"/>
    <w:rsid w:val="00F74D1E"/>
    <w:rsid w:val="00F74D5A"/>
    <w:rsid w:val="00F74F94"/>
    <w:rsid w:val="00F754A6"/>
    <w:rsid w:val="00F75BE2"/>
    <w:rsid w:val="00F76AB9"/>
    <w:rsid w:val="00F77054"/>
    <w:rsid w:val="00F77142"/>
    <w:rsid w:val="00F77803"/>
    <w:rsid w:val="00F779BA"/>
    <w:rsid w:val="00F77AE7"/>
    <w:rsid w:val="00F77C39"/>
    <w:rsid w:val="00F77CF3"/>
    <w:rsid w:val="00F80069"/>
    <w:rsid w:val="00F8013D"/>
    <w:rsid w:val="00F80224"/>
    <w:rsid w:val="00F803CD"/>
    <w:rsid w:val="00F80449"/>
    <w:rsid w:val="00F80596"/>
    <w:rsid w:val="00F80688"/>
    <w:rsid w:val="00F80723"/>
    <w:rsid w:val="00F80793"/>
    <w:rsid w:val="00F80CDA"/>
    <w:rsid w:val="00F81651"/>
    <w:rsid w:val="00F81666"/>
    <w:rsid w:val="00F81761"/>
    <w:rsid w:val="00F817B3"/>
    <w:rsid w:val="00F818AF"/>
    <w:rsid w:val="00F81B88"/>
    <w:rsid w:val="00F81C95"/>
    <w:rsid w:val="00F81E13"/>
    <w:rsid w:val="00F81E47"/>
    <w:rsid w:val="00F81E60"/>
    <w:rsid w:val="00F81E6E"/>
    <w:rsid w:val="00F81EDC"/>
    <w:rsid w:val="00F82156"/>
    <w:rsid w:val="00F82323"/>
    <w:rsid w:val="00F82C81"/>
    <w:rsid w:val="00F82D29"/>
    <w:rsid w:val="00F830EC"/>
    <w:rsid w:val="00F8360D"/>
    <w:rsid w:val="00F83684"/>
    <w:rsid w:val="00F83750"/>
    <w:rsid w:val="00F83DF9"/>
    <w:rsid w:val="00F83DFC"/>
    <w:rsid w:val="00F83E9E"/>
    <w:rsid w:val="00F83EAB"/>
    <w:rsid w:val="00F8453D"/>
    <w:rsid w:val="00F84750"/>
    <w:rsid w:val="00F84949"/>
    <w:rsid w:val="00F84F49"/>
    <w:rsid w:val="00F850D5"/>
    <w:rsid w:val="00F8557F"/>
    <w:rsid w:val="00F86259"/>
    <w:rsid w:val="00F86C15"/>
    <w:rsid w:val="00F870F9"/>
    <w:rsid w:val="00F8753D"/>
    <w:rsid w:val="00F8777F"/>
    <w:rsid w:val="00F87BC8"/>
    <w:rsid w:val="00F908AE"/>
    <w:rsid w:val="00F90ADD"/>
    <w:rsid w:val="00F90C66"/>
    <w:rsid w:val="00F90EC1"/>
    <w:rsid w:val="00F91883"/>
    <w:rsid w:val="00F91907"/>
    <w:rsid w:val="00F91A13"/>
    <w:rsid w:val="00F91A7D"/>
    <w:rsid w:val="00F91BC5"/>
    <w:rsid w:val="00F91CCF"/>
    <w:rsid w:val="00F92966"/>
    <w:rsid w:val="00F92A3B"/>
    <w:rsid w:val="00F92C78"/>
    <w:rsid w:val="00F9306B"/>
    <w:rsid w:val="00F93195"/>
    <w:rsid w:val="00F9319A"/>
    <w:rsid w:val="00F9337F"/>
    <w:rsid w:val="00F935EA"/>
    <w:rsid w:val="00F93901"/>
    <w:rsid w:val="00F93C9D"/>
    <w:rsid w:val="00F93FCB"/>
    <w:rsid w:val="00F94A8B"/>
    <w:rsid w:val="00F94C71"/>
    <w:rsid w:val="00F94EC9"/>
    <w:rsid w:val="00F958B8"/>
    <w:rsid w:val="00F95C1D"/>
    <w:rsid w:val="00F9653D"/>
    <w:rsid w:val="00F96723"/>
    <w:rsid w:val="00F96763"/>
    <w:rsid w:val="00F96D50"/>
    <w:rsid w:val="00F9703B"/>
    <w:rsid w:val="00F970C8"/>
    <w:rsid w:val="00F97E1F"/>
    <w:rsid w:val="00FA03C2"/>
    <w:rsid w:val="00FA04F1"/>
    <w:rsid w:val="00FA04F3"/>
    <w:rsid w:val="00FA08E2"/>
    <w:rsid w:val="00FA0C6C"/>
    <w:rsid w:val="00FA0F61"/>
    <w:rsid w:val="00FA15D7"/>
    <w:rsid w:val="00FA15FB"/>
    <w:rsid w:val="00FA181C"/>
    <w:rsid w:val="00FA1F5C"/>
    <w:rsid w:val="00FA200D"/>
    <w:rsid w:val="00FA2087"/>
    <w:rsid w:val="00FA21E6"/>
    <w:rsid w:val="00FA2209"/>
    <w:rsid w:val="00FA289C"/>
    <w:rsid w:val="00FA2BB3"/>
    <w:rsid w:val="00FA31FC"/>
    <w:rsid w:val="00FA3633"/>
    <w:rsid w:val="00FA3C68"/>
    <w:rsid w:val="00FA3CF1"/>
    <w:rsid w:val="00FA3EC6"/>
    <w:rsid w:val="00FA40CA"/>
    <w:rsid w:val="00FA41D7"/>
    <w:rsid w:val="00FA436E"/>
    <w:rsid w:val="00FA438D"/>
    <w:rsid w:val="00FA43E2"/>
    <w:rsid w:val="00FA4456"/>
    <w:rsid w:val="00FA44D9"/>
    <w:rsid w:val="00FA4F24"/>
    <w:rsid w:val="00FA4F82"/>
    <w:rsid w:val="00FA4F83"/>
    <w:rsid w:val="00FA5133"/>
    <w:rsid w:val="00FA5340"/>
    <w:rsid w:val="00FA53B3"/>
    <w:rsid w:val="00FA5BEA"/>
    <w:rsid w:val="00FA609C"/>
    <w:rsid w:val="00FA637C"/>
    <w:rsid w:val="00FA685E"/>
    <w:rsid w:val="00FA6A55"/>
    <w:rsid w:val="00FA6B7B"/>
    <w:rsid w:val="00FA7087"/>
    <w:rsid w:val="00FA728E"/>
    <w:rsid w:val="00FA73FE"/>
    <w:rsid w:val="00FA75EA"/>
    <w:rsid w:val="00FA767D"/>
    <w:rsid w:val="00FA77CF"/>
    <w:rsid w:val="00FA7A2D"/>
    <w:rsid w:val="00FA7AAB"/>
    <w:rsid w:val="00FA7E38"/>
    <w:rsid w:val="00FB005E"/>
    <w:rsid w:val="00FB00B1"/>
    <w:rsid w:val="00FB00BE"/>
    <w:rsid w:val="00FB018A"/>
    <w:rsid w:val="00FB023A"/>
    <w:rsid w:val="00FB05A7"/>
    <w:rsid w:val="00FB0B97"/>
    <w:rsid w:val="00FB0CCE"/>
    <w:rsid w:val="00FB0D98"/>
    <w:rsid w:val="00FB10D5"/>
    <w:rsid w:val="00FB112C"/>
    <w:rsid w:val="00FB1516"/>
    <w:rsid w:val="00FB165B"/>
    <w:rsid w:val="00FB1A8A"/>
    <w:rsid w:val="00FB1F05"/>
    <w:rsid w:val="00FB1F45"/>
    <w:rsid w:val="00FB2105"/>
    <w:rsid w:val="00FB212D"/>
    <w:rsid w:val="00FB2297"/>
    <w:rsid w:val="00FB23C1"/>
    <w:rsid w:val="00FB248D"/>
    <w:rsid w:val="00FB2691"/>
    <w:rsid w:val="00FB2CAD"/>
    <w:rsid w:val="00FB2CFB"/>
    <w:rsid w:val="00FB322E"/>
    <w:rsid w:val="00FB3750"/>
    <w:rsid w:val="00FB38D4"/>
    <w:rsid w:val="00FB3D75"/>
    <w:rsid w:val="00FB3DD3"/>
    <w:rsid w:val="00FB3F07"/>
    <w:rsid w:val="00FB3F6F"/>
    <w:rsid w:val="00FB3FD6"/>
    <w:rsid w:val="00FB42FA"/>
    <w:rsid w:val="00FB43E8"/>
    <w:rsid w:val="00FB49A1"/>
    <w:rsid w:val="00FB4BAB"/>
    <w:rsid w:val="00FB4D4E"/>
    <w:rsid w:val="00FB4E87"/>
    <w:rsid w:val="00FB5096"/>
    <w:rsid w:val="00FB531B"/>
    <w:rsid w:val="00FB564D"/>
    <w:rsid w:val="00FB56B4"/>
    <w:rsid w:val="00FB5809"/>
    <w:rsid w:val="00FB5985"/>
    <w:rsid w:val="00FB5A64"/>
    <w:rsid w:val="00FB5AEC"/>
    <w:rsid w:val="00FB5C87"/>
    <w:rsid w:val="00FB5F5C"/>
    <w:rsid w:val="00FB640B"/>
    <w:rsid w:val="00FB6A55"/>
    <w:rsid w:val="00FB6A8A"/>
    <w:rsid w:val="00FB705A"/>
    <w:rsid w:val="00FB71B1"/>
    <w:rsid w:val="00FB71CE"/>
    <w:rsid w:val="00FB7229"/>
    <w:rsid w:val="00FB75E6"/>
    <w:rsid w:val="00FB7A36"/>
    <w:rsid w:val="00FB7C84"/>
    <w:rsid w:val="00FB7CEE"/>
    <w:rsid w:val="00FB7D43"/>
    <w:rsid w:val="00FB7FEF"/>
    <w:rsid w:val="00FC0454"/>
    <w:rsid w:val="00FC05D5"/>
    <w:rsid w:val="00FC1212"/>
    <w:rsid w:val="00FC159D"/>
    <w:rsid w:val="00FC16FF"/>
    <w:rsid w:val="00FC17B7"/>
    <w:rsid w:val="00FC183D"/>
    <w:rsid w:val="00FC1AB3"/>
    <w:rsid w:val="00FC1EE2"/>
    <w:rsid w:val="00FC22FF"/>
    <w:rsid w:val="00FC2893"/>
    <w:rsid w:val="00FC2A8F"/>
    <w:rsid w:val="00FC2B69"/>
    <w:rsid w:val="00FC2F39"/>
    <w:rsid w:val="00FC305B"/>
    <w:rsid w:val="00FC32D8"/>
    <w:rsid w:val="00FC3387"/>
    <w:rsid w:val="00FC33FF"/>
    <w:rsid w:val="00FC3629"/>
    <w:rsid w:val="00FC3BE4"/>
    <w:rsid w:val="00FC3E5E"/>
    <w:rsid w:val="00FC41C6"/>
    <w:rsid w:val="00FC42B9"/>
    <w:rsid w:val="00FC432A"/>
    <w:rsid w:val="00FC4360"/>
    <w:rsid w:val="00FC44D7"/>
    <w:rsid w:val="00FC44D8"/>
    <w:rsid w:val="00FC4810"/>
    <w:rsid w:val="00FC48DD"/>
    <w:rsid w:val="00FC4D34"/>
    <w:rsid w:val="00FC4DBA"/>
    <w:rsid w:val="00FC502D"/>
    <w:rsid w:val="00FC50EA"/>
    <w:rsid w:val="00FC5162"/>
    <w:rsid w:val="00FC5269"/>
    <w:rsid w:val="00FC56A8"/>
    <w:rsid w:val="00FC581A"/>
    <w:rsid w:val="00FC5A57"/>
    <w:rsid w:val="00FC5D48"/>
    <w:rsid w:val="00FC618F"/>
    <w:rsid w:val="00FC641A"/>
    <w:rsid w:val="00FC6835"/>
    <w:rsid w:val="00FC6A59"/>
    <w:rsid w:val="00FC7324"/>
    <w:rsid w:val="00FC738B"/>
    <w:rsid w:val="00FC75C5"/>
    <w:rsid w:val="00FC79BA"/>
    <w:rsid w:val="00FC7A2C"/>
    <w:rsid w:val="00FC7B26"/>
    <w:rsid w:val="00FC7B53"/>
    <w:rsid w:val="00FC7FDF"/>
    <w:rsid w:val="00FD00E6"/>
    <w:rsid w:val="00FD01CB"/>
    <w:rsid w:val="00FD0395"/>
    <w:rsid w:val="00FD042B"/>
    <w:rsid w:val="00FD056E"/>
    <w:rsid w:val="00FD0925"/>
    <w:rsid w:val="00FD0D7D"/>
    <w:rsid w:val="00FD0EE3"/>
    <w:rsid w:val="00FD0F5B"/>
    <w:rsid w:val="00FD107C"/>
    <w:rsid w:val="00FD15CB"/>
    <w:rsid w:val="00FD17BA"/>
    <w:rsid w:val="00FD197C"/>
    <w:rsid w:val="00FD1B56"/>
    <w:rsid w:val="00FD1DE7"/>
    <w:rsid w:val="00FD20CF"/>
    <w:rsid w:val="00FD27A5"/>
    <w:rsid w:val="00FD29A1"/>
    <w:rsid w:val="00FD2A77"/>
    <w:rsid w:val="00FD2BBD"/>
    <w:rsid w:val="00FD3123"/>
    <w:rsid w:val="00FD31FC"/>
    <w:rsid w:val="00FD3401"/>
    <w:rsid w:val="00FD344A"/>
    <w:rsid w:val="00FD34F7"/>
    <w:rsid w:val="00FD3907"/>
    <w:rsid w:val="00FD3A86"/>
    <w:rsid w:val="00FD420C"/>
    <w:rsid w:val="00FD4394"/>
    <w:rsid w:val="00FD476A"/>
    <w:rsid w:val="00FD47C8"/>
    <w:rsid w:val="00FD49A2"/>
    <w:rsid w:val="00FD4EF5"/>
    <w:rsid w:val="00FD5397"/>
    <w:rsid w:val="00FD559E"/>
    <w:rsid w:val="00FD5638"/>
    <w:rsid w:val="00FD57B2"/>
    <w:rsid w:val="00FD5FE0"/>
    <w:rsid w:val="00FD638B"/>
    <w:rsid w:val="00FD6488"/>
    <w:rsid w:val="00FD66E4"/>
    <w:rsid w:val="00FD6727"/>
    <w:rsid w:val="00FD6A3D"/>
    <w:rsid w:val="00FD6B5A"/>
    <w:rsid w:val="00FD6D04"/>
    <w:rsid w:val="00FD6EEF"/>
    <w:rsid w:val="00FD719B"/>
    <w:rsid w:val="00FD7555"/>
    <w:rsid w:val="00FD755E"/>
    <w:rsid w:val="00FD7701"/>
    <w:rsid w:val="00FD7861"/>
    <w:rsid w:val="00FD786F"/>
    <w:rsid w:val="00FD7BF6"/>
    <w:rsid w:val="00FD7F4C"/>
    <w:rsid w:val="00FE0349"/>
    <w:rsid w:val="00FE0A25"/>
    <w:rsid w:val="00FE0B87"/>
    <w:rsid w:val="00FE0BB6"/>
    <w:rsid w:val="00FE0E95"/>
    <w:rsid w:val="00FE0F43"/>
    <w:rsid w:val="00FE11D4"/>
    <w:rsid w:val="00FE120E"/>
    <w:rsid w:val="00FE1263"/>
    <w:rsid w:val="00FE12AA"/>
    <w:rsid w:val="00FE1304"/>
    <w:rsid w:val="00FE1424"/>
    <w:rsid w:val="00FE1565"/>
    <w:rsid w:val="00FE1B42"/>
    <w:rsid w:val="00FE1BD2"/>
    <w:rsid w:val="00FE1C2A"/>
    <w:rsid w:val="00FE2546"/>
    <w:rsid w:val="00FE2743"/>
    <w:rsid w:val="00FE2851"/>
    <w:rsid w:val="00FE2ABD"/>
    <w:rsid w:val="00FE2BF7"/>
    <w:rsid w:val="00FE339A"/>
    <w:rsid w:val="00FE3704"/>
    <w:rsid w:val="00FE39F6"/>
    <w:rsid w:val="00FE3ADC"/>
    <w:rsid w:val="00FE3F1C"/>
    <w:rsid w:val="00FE4079"/>
    <w:rsid w:val="00FE422F"/>
    <w:rsid w:val="00FE46B4"/>
    <w:rsid w:val="00FE483B"/>
    <w:rsid w:val="00FE484C"/>
    <w:rsid w:val="00FE49A3"/>
    <w:rsid w:val="00FE4C45"/>
    <w:rsid w:val="00FE4CF1"/>
    <w:rsid w:val="00FE4CFE"/>
    <w:rsid w:val="00FE5083"/>
    <w:rsid w:val="00FE50B8"/>
    <w:rsid w:val="00FE56EF"/>
    <w:rsid w:val="00FE5DE6"/>
    <w:rsid w:val="00FE5E44"/>
    <w:rsid w:val="00FE5EA2"/>
    <w:rsid w:val="00FE5FDC"/>
    <w:rsid w:val="00FE6437"/>
    <w:rsid w:val="00FE64E6"/>
    <w:rsid w:val="00FE64FE"/>
    <w:rsid w:val="00FE676C"/>
    <w:rsid w:val="00FE7072"/>
    <w:rsid w:val="00FE70A0"/>
    <w:rsid w:val="00FE72A0"/>
    <w:rsid w:val="00FE7580"/>
    <w:rsid w:val="00FE7969"/>
    <w:rsid w:val="00FE7D79"/>
    <w:rsid w:val="00FE7D80"/>
    <w:rsid w:val="00FF0282"/>
    <w:rsid w:val="00FF02D9"/>
    <w:rsid w:val="00FF05F0"/>
    <w:rsid w:val="00FF0775"/>
    <w:rsid w:val="00FF07B7"/>
    <w:rsid w:val="00FF099D"/>
    <w:rsid w:val="00FF0A8F"/>
    <w:rsid w:val="00FF0C96"/>
    <w:rsid w:val="00FF112E"/>
    <w:rsid w:val="00FF1154"/>
    <w:rsid w:val="00FF11E6"/>
    <w:rsid w:val="00FF130D"/>
    <w:rsid w:val="00FF172C"/>
    <w:rsid w:val="00FF190D"/>
    <w:rsid w:val="00FF1DF5"/>
    <w:rsid w:val="00FF216B"/>
    <w:rsid w:val="00FF21B2"/>
    <w:rsid w:val="00FF229B"/>
    <w:rsid w:val="00FF27A7"/>
    <w:rsid w:val="00FF27B1"/>
    <w:rsid w:val="00FF282C"/>
    <w:rsid w:val="00FF2C8C"/>
    <w:rsid w:val="00FF2C90"/>
    <w:rsid w:val="00FF2C92"/>
    <w:rsid w:val="00FF2DAD"/>
    <w:rsid w:val="00FF2F85"/>
    <w:rsid w:val="00FF30B9"/>
    <w:rsid w:val="00FF3166"/>
    <w:rsid w:val="00FF32AC"/>
    <w:rsid w:val="00FF34CC"/>
    <w:rsid w:val="00FF3716"/>
    <w:rsid w:val="00FF451D"/>
    <w:rsid w:val="00FF4CA1"/>
    <w:rsid w:val="00FF4E66"/>
    <w:rsid w:val="00FF5252"/>
    <w:rsid w:val="00FF531A"/>
    <w:rsid w:val="00FF5547"/>
    <w:rsid w:val="00FF55A3"/>
    <w:rsid w:val="00FF5714"/>
    <w:rsid w:val="00FF5765"/>
    <w:rsid w:val="00FF5DB4"/>
    <w:rsid w:val="00FF6019"/>
    <w:rsid w:val="00FF6164"/>
    <w:rsid w:val="00FF65B2"/>
    <w:rsid w:val="00FF664D"/>
    <w:rsid w:val="00FF6683"/>
    <w:rsid w:val="00FF66BF"/>
    <w:rsid w:val="00FF6740"/>
    <w:rsid w:val="00FF682A"/>
    <w:rsid w:val="00FF6966"/>
    <w:rsid w:val="00FF6981"/>
    <w:rsid w:val="00FF6A8F"/>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6DBF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09B"/>
    <w:pPr>
      <w:keepNext/>
      <w:pageBreakBefore/>
      <w:pBdr>
        <w:bottom w:val="single" w:sz="4" w:space="1" w:color="auto"/>
      </w:pBdr>
      <w:spacing w:after="360"/>
      <w:ind w:left="2268" w:hanging="2268"/>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Heading5"/>
    <w:next w:val="Normal"/>
    <w:link w:val="Heading3Char"/>
    <w:qFormat/>
    <w:rsid w:val="00161B88"/>
    <w:pPr>
      <w:spacing w:after="120" w:line="240" w:lineRule="auto"/>
      <w:outlineLvl w:val="2"/>
    </w:pPr>
    <w:rPr>
      <w:lang w:eastAsia="en-US"/>
    </w:rPr>
  </w:style>
  <w:style w:type="paragraph" w:styleId="Heading4">
    <w:name w:val="heading 4"/>
    <w:basedOn w:val="ESSectionHeading-numbered0"/>
    <w:next w:val="Normal"/>
    <w:link w:val="Heading4Char"/>
    <w:qFormat/>
    <w:rsid w:val="00F5251C"/>
    <w:pPr>
      <w:numPr>
        <w:numId w:val="0"/>
      </w:numPr>
      <w:outlineLvl w:val="3"/>
    </w:pPr>
    <w:rPr>
      <w:smallCaps/>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72472E"/>
    <w:pPr>
      <w:spacing w:line="240" w:lineRule="auto"/>
      <w:ind w:left="993" w:hanging="993"/>
    </w:pPr>
    <w:rPr>
      <w:b/>
      <w:sz w:val="20"/>
      <w:szCs w:val="20"/>
    </w:rPr>
  </w:style>
  <w:style w:type="character" w:customStyle="1" w:styleId="TableHeadingChar">
    <w:name w:val="TableHeading Char"/>
    <w:link w:val="TableHeading"/>
    <w:rsid w:val="0072472E"/>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A31EFE"/>
    <w:pPr>
      <w:tabs>
        <w:tab w:val="right" w:leader="dot" w:pos="9017"/>
      </w:tabs>
      <w:spacing w:after="60"/>
      <w:ind w:left="851" w:right="720"/>
    </w:pPr>
    <w:rPr>
      <w:noProof/>
    </w:rPr>
  </w:style>
  <w:style w:type="paragraph" w:styleId="TOC3">
    <w:name w:val="toc 3"/>
    <w:basedOn w:val="Normal"/>
    <w:next w:val="Normal"/>
    <w:autoRedefine/>
    <w:uiPriority w:val="39"/>
    <w:qFormat/>
    <w:rsid w:val="007251F2"/>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BB7DA4"/>
    <w:pPr>
      <w:spacing w:after="120" w:line="240" w:lineRule="auto"/>
      <w:ind w:left="1134" w:hanging="1134"/>
    </w:pPr>
    <w:rPr>
      <w:rFonts w:ascii="Arial Narrow" w:hAnsi="Arial Narrow"/>
      <w:b/>
      <w:bCs/>
      <w:snapToGrid w:val="0"/>
      <w:sz w:val="20"/>
      <w:lang w:eastAsia="en-US"/>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0416F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09B"/>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161B88"/>
    <w:rPr>
      <w:rFonts w:ascii="Calibri" w:hAnsi="Calibri" w:cs="Tahoma"/>
      <w:b/>
      <w:i/>
      <w:sz w:val="22"/>
      <w:szCs w:val="22"/>
      <w:lang w:eastAsia="en-US"/>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i/>
      <w:smallCaps w:val="0"/>
      <w:sz w:val="24"/>
      <w:szCs w:val="24"/>
      <w:lang w:eastAsia="en-US"/>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i/>
      <w:smallCaps w:val="0"/>
      <w:sz w:val="24"/>
      <w:szCs w:val="24"/>
      <w:lang w:eastAsia="en-US"/>
    </w:rPr>
  </w:style>
  <w:style w:type="paragraph" w:customStyle="1" w:styleId="Tablenotes0">
    <w:name w:val="Tablenotes"/>
    <w:basedOn w:val="Normal"/>
    <w:link w:val="TablenotesChar0"/>
    <w:qFormat/>
    <w:rsid w:val="00A94F44"/>
    <w:pPr>
      <w:widowControl w:val="0"/>
      <w:spacing w:before="40" w:after="40" w:line="240" w:lineRule="auto"/>
      <w:jc w:val="both"/>
    </w:pPr>
    <w:rPr>
      <w:rFonts w:ascii="Arial Narrow" w:hAnsi="Arial Narrow" w:cs="Arial"/>
      <w:snapToGrid w:val="0"/>
      <w:sz w:val="20"/>
      <w:szCs w:val="20"/>
      <w:lang w:eastAsia="en-US"/>
    </w:rPr>
  </w:style>
  <w:style w:type="character" w:customStyle="1" w:styleId="TablenotesChar0">
    <w:name w:val="Tablenotes Char"/>
    <w:basedOn w:val="DefaultParagraphFont"/>
    <w:link w:val="Tablenotes0"/>
    <w:rsid w:val="00A94F44"/>
    <w:rPr>
      <w:rFonts w:ascii="Arial Narrow" w:hAnsi="Arial Narrow" w:cs="Arial"/>
      <w:snapToGrid w:val="0"/>
      <w:sz w:val="20"/>
      <w:szCs w:val="20"/>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customStyle="1" w:styleId="Style6">
    <w:name w:val="Style6"/>
    <w:uiPriority w:val="1"/>
    <w:qFormat/>
    <w:rsid w:val="007C3806"/>
    <w:rPr>
      <w:rFonts w:ascii="Arial" w:hAnsi="Arial"/>
      <w:b/>
      <w:color w:val="0000FF"/>
      <w:sz w:val="18"/>
    </w:rPr>
  </w:style>
  <w:style w:type="character" w:styleId="PlaceholderText">
    <w:name w:val="Placeholder Text"/>
    <w:basedOn w:val="DefaultParagraphFont"/>
    <w:uiPriority w:val="99"/>
    <w:semiHidden/>
    <w:rsid w:val="00B35E11"/>
    <w:rPr>
      <w:color w:val="808080"/>
    </w:rPr>
  </w:style>
  <w:style w:type="table" w:customStyle="1" w:styleId="TableGrid16">
    <w:name w:val="Table Grid16"/>
    <w:basedOn w:val="TableNormal"/>
    <w:next w:val="TableGrid"/>
    <w:uiPriority w:val="59"/>
    <w:rsid w:val="00A00016"/>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C159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3845"/>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F36FF"/>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3F36FF"/>
    <w:rPr>
      <w:rFonts w:ascii="Tahoma" w:hAnsi="Tahoma" w:cs="Tahoma"/>
      <w:noProof/>
      <w:sz w:val="22"/>
      <w:szCs w:val="22"/>
    </w:rPr>
  </w:style>
  <w:style w:type="paragraph" w:customStyle="1" w:styleId="EndNoteBibliography">
    <w:name w:val="EndNote Bibliography"/>
    <w:basedOn w:val="Normal"/>
    <w:link w:val="EndNoteBibliographyChar"/>
    <w:rsid w:val="003F36FF"/>
    <w:pPr>
      <w:spacing w:line="240" w:lineRule="auto"/>
    </w:pPr>
    <w:rPr>
      <w:rFonts w:ascii="Tahoma" w:hAnsi="Tahoma"/>
      <w:noProof/>
    </w:rPr>
  </w:style>
  <w:style w:type="character" w:customStyle="1" w:styleId="EndNoteBibliographyChar">
    <w:name w:val="EndNote Bibliography Char"/>
    <w:basedOn w:val="DefaultParagraphFont"/>
    <w:link w:val="EndNoteBibliography"/>
    <w:rsid w:val="003F36FF"/>
    <w:rPr>
      <w:rFonts w:ascii="Tahoma" w:hAnsi="Tahoma" w:cs="Tahoma"/>
      <w:noProof/>
      <w:sz w:val="22"/>
      <w:szCs w:val="22"/>
    </w:rPr>
  </w:style>
  <w:style w:type="character" w:customStyle="1" w:styleId="PersonalComposeStyle">
    <w:name w:val="Personal Compose Style"/>
    <w:basedOn w:val="DefaultParagraphFont"/>
    <w:rsid w:val="00061768"/>
    <w:rPr>
      <w:rFonts w:ascii="Arial" w:hAnsi="Arial" w:cs="Arial"/>
      <w:color w:val="auto"/>
      <w:sz w:val="20"/>
    </w:rPr>
  </w:style>
  <w:style w:type="character" w:customStyle="1" w:styleId="PersonalReplyStyle">
    <w:name w:val="Personal Reply Style"/>
    <w:basedOn w:val="DefaultParagraphFont"/>
    <w:rsid w:val="00061768"/>
    <w:rPr>
      <w:rFonts w:ascii="Arial" w:hAnsi="Arial" w:cs="Arial"/>
      <w:color w:val="auto"/>
      <w:sz w:val="20"/>
    </w:rPr>
  </w:style>
  <w:style w:type="numbering" w:customStyle="1" w:styleId="NoList1">
    <w:name w:val="No List1"/>
    <w:next w:val="NoList"/>
    <w:uiPriority w:val="99"/>
    <w:semiHidden/>
    <w:unhideWhenUsed/>
    <w:rsid w:val="00061768"/>
  </w:style>
  <w:style w:type="table" w:customStyle="1" w:styleId="TableGrid4">
    <w:name w:val="Table Grid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1768"/>
  </w:style>
  <w:style w:type="table" w:customStyle="1" w:styleId="TableGrid31">
    <w:name w:val="Table Grid3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061768"/>
    <w:rPr>
      <w:rFonts w:ascii="Arial" w:hAnsi="Arial" w:cs="Tahoma"/>
      <w:b/>
      <w:smallCaps/>
      <w:sz w:val="44"/>
      <w:szCs w:val="22"/>
    </w:rPr>
  </w:style>
  <w:style w:type="table" w:customStyle="1" w:styleId="TableGrid6">
    <w:name w:val="Table Grid6"/>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1768"/>
    <w:rPr>
      <w:rFonts w:ascii="Calibri" w:hAnsi="Calibri" w:cs="Tahoma"/>
      <w:b/>
      <w:i/>
      <w:sz w:val="22"/>
      <w:szCs w:val="22"/>
    </w:rPr>
  </w:style>
  <w:style w:type="character" w:customStyle="1" w:styleId="Heading6Char">
    <w:name w:val="Heading 6 Char"/>
    <w:basedOn w:val="DefaultParagraphFont"/>
    <w:link w:val="Heading6"/>
    <w:rsid w:val="00061768"/>
    <w:rPr>
      <w:rFonts w:ascii="Calibri" w:hAnsi="Calibri" w:cs="Tahoma"/>
      <w:sz w:val="22"/>
      <w:szCs w:val="22"/>
      <w:u w:val="single"/>
    </w:rPr>
  </w:style>
  <w:style w:type="character" w:customStyle="1" w:styleId="Heading7Char">
    <w:name w:val="Heading 7 Char"/>
    <w:basedOn w:val="DefaultParagraphFont"/>
    <w:link w:val="Heading7"/>
    <w:rsid w:val="00061768"/>
    <w:rPr>
      <w:rFonts w:ascii="Calibri" w:hAnsi="Calibri" w:cs="Tahoma"/>
      <w:i/>
      <w:sz w:val="22"/>
      <w:szCs w:val="22"/>
    </w:rPr>
  </w:style>
  <w:style w:type="character" w:customStyle="1" w:styleId="Heading8Char">
    <w:name w:val="Heading 8 Char"/>
    <w:basedOn w:val="DefaultParagraphFont"/>
    <w:link w:val="Heading8"/>
    <w:rsid w:val="00061768"/>
    <w:rPr>
      <w:rFonts w:ascii="Calibri" w:hAnsi="Calibri" w:cs="Tahoma"/>
      <w:sz w:val="22"/>
      <w:szCs w:val="22"/>
      <w:u w:val="single"/>
    </w:rPr>
  </w:style>
  <w:style w:type="character" w:customStyle="1" w:styleId="Heading9Char">
    <w:name w:val="Heading 9 Char"/>
    <w:basedOn w:val="DefaultParagraphFont"/>
    <w:link w:val="Heading9"/>
    <w:rsid w:val="00061768"/>
    <w:rPr>
      <w:rFonts w:ascii="Calibri" w:hAnsi="Calibri" w:cs="Tahoma"/>
      <w:sz w:val="22"/>
      <w:szCs w:val="22"/>
    </w:rPr>
  </w:style>
  <w:style w:type="character" w:customStyle="1" w:styleId="DateChar">
    <w:name w:val="Date Char"/>
    <w:basedOn w:val="DefaultParagraphFont"/>
    <w:link w:val="Date"/>
    <w:rsid w:val="00061768"/>
    <w:rPr>
      <w:rFonts w:ascii="Arial" w:hAnsi="Arial" w:cs="Tahoma"/>
      <w:b/>
      <w:sz w:val="36"/>
      <w:szCs w:val="22"/>
    </w:rPr>
  </w:style>
  <w:style w:type="character" w:customStyle="1" w:styleId="QuoteChar">
    <w:name w:val="Quote Char"/>
    <w:basedOn w:val="DefaultParagraphFont"/>
    <w:link w:val="Quote"/>
    <w:rsid w:val="00061768"/>
    <w:rPr>
      <w:rFonts w:ascii="Calibri" w:hAnsi="Calibri" w:cs="Tahoma"/>
      <w:sz w:val="22"/>
      <w:szCs w:val="22"/>
    </w:rPr>
  </w:style>
  <w:style w:type="paragraph" w:customStyle="1" w:styleId="Pa18">
    <w:name w:val="Pa18"/>
    <w:basedOn w:val="Default"/>
    <w:next w:val="Default"/>
    <w:uiPriority w:val="99"/>
    <w:rsid w:val="00061768"/>
    <w:pPr>
      <w:spacing w:line="201" w:lineRule="atLeast"/>
    </w:pPr>
    <w:rPr>
      <w:rFonts w:ascii="Optima DemiBold" w:hAnsi="Optima DemiBold" w:cs="Times New Roman"/>
      <w:color w:val="auto"/>
    </w:rPr>
  </w:style>
  <w:style w:type="paragraph" w:customStyle="1" w:styleId="Pa16">
    <w:name w:val="Pa16"/>
    <w:basedOn w:val="Default"/>
    <w:next w:val="Default"/>
    <w:uiPriority w:val="99"/>
    <w:rsid w:val="00061768"/>
    <w:pPr>
      <w:spacing w:line="201" w:lineRule="atLeast"/>
    </w:pPr>
    <w:rPr>
      <w:rFonts w:ascii="Optima DemiBold" w:hAnsi="Optima DemiBold" w:cs="Times New Roman"/>
      <w:color w:val="auto"/>
    </w:rPr>
  </w:style>
  <w:style w:type="paragraph" w:customStyle="1" w:styleId="Pa17">
    <w:name w:val="Pa17"/>
    <w:basedOn w:val="Default"/>
    <w:next w:val="Default"/>
    <w:uiPriority w:val="99"/>
    <w:rsid w:val="00061768"/>
    <w:pPr>
      <w:spacing w:line="201" w:lineRule="atLeast"/>
    </w:pPr>
    <w:rPr>
      <w:rFonts w:ascii="Optima DemiBold" w:hAnsi="Optima DemiBold" w:cs="Times New Roman"/>
      <w:color w:val="auto"/>
    </w:rPr>
  </w:style>
  <w:style w:type="character" w:customStyle="1" w:styleId="A11">
    <w:name w:val="A11"/>
    <w:uiPriority w:val="99"/>
    <w:rsid w:val="00061768"/>
    <w:rPr>
      <w:rFonts w:ascii="HelveticaNeue Condensed" w:hAnsi="HelveticaNeue Condensed" w:cs="HelveticaNeue Condensed"/>
      <w:color w:val="000000"/>
      <w:sz w:val="11"/>
      <w:szCs w:val="11"/>
    </w:rPr>
  </w:style>
  <w:style w:type="table" w:customStyle="1" w:styleId="TableGrid7">
    <w:name w:val="Table Grid7"/>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061768"/>
    <w:pPr>
      <w:spacing w:before="40" w:after="40"/>
      <w:ind w:right="-57"/>
    </w:pPr>
    <w:rPr>
      <w:rFonts w:ascii="Tahoma" w:hAnsi="Tahoma" w:cs="Tahoma"/>
      <w:sz w:val="22"/>
      <w:szCs w:val="22"/>
    </w:rPr>
    <w:tblPr/>
  </w:style>
  <w:style w:type="table" w:customStyle="1" w:styleId="TableGrid8">
    <w:name w:val="Table Grid8"/>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
    <w:name w:val="Style21"/>
    <w:basedOn w:val="TableNormal"/>
    <w:uiPriority w:val="99"/>
    <w:rsid w:val="00061768"/>
    <w:pPr>
      <w:spacing w:before="40" w:after="40"/>
      <w:ind w:right="-57"/>
    </w:pPr>
    <w:rPr>
      <w:rFonts w:ascii="Tahoma" w:hAnsi="Tahoma" w:cs="Tahoma"/>
      <w:sz w:val="22"/>
      <w:szCs w:val="22"/>
    </w:rPr>
    <w:tblPr/>
  </w:style>
  <w:style w:type="table" w:customStyle="1" w:styleId="TableGrid9">
    <w:name w:val="Table Grid9"/>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1768"/>
  </w:style>
  <w:style w:type="table" w:customStyle="1" w:styleId="Style22">
    <w:name w:val="Style22"/>
    <w:basedOn w:val="TableNormal"/>
    <w:uiPriority w:val="99"/>
    <w:rsid w:val="00061768"/>
    <w:pPr>
      <w:spacing w:before="40" w:after="40"/>
      <w:ind w:right="-57"/>
    </w:pPr>
    <w:rPr>
      <w:rFonts w:ascii="Tahoma" w:hAnsi="Tahoma" w:cs="Tahoma"/>
      <w:sz w:val="22"/>
      <w:szCs w:val="22"/>
    </w:rPr>
    <w:tblPr/>
  </w:style>
  <w:style w:type="table" w:customStyle="1" w:styleId="TableGrid10">
    <w:name w:val="Table Grid10"/>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61768"/>
  </w:style>
  <w:style w:type="table" w:customStyle="1" w:styleId="TableClassic11">
    <w:name w:val="Table Classic 11"/>
    <w:basedOn w:val="TableNormal"/>
    <w:next w:val="TableClassic1"/>
    <w:rsid w:val="00061768"/>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9">
    <w:name w:val="Table Grid29"/>
    <w:basedOn w:val="TableNormal"/>
    <w:next w:val="TableGrid"/>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numbering" w:customStyle="1" w:styleId="ESSectionheading-numbered1">
    <w:name w:val="ES. Section heading - numbered1"/>
    <w:uiPriority w:val="99"/>
    <w:rsid w:val="00061768"/>
    <w:pPr>
      <w:numPr>
        <w:numId w:val="13"/>
      </w:numPr>
    </w:pPr>
  </w:style>
  <w:style w:type="table" w:customStyle="1" w:styleId="TableGrid34">
    <w:name w:val="Table Grid34"/>
    <w:basedOn w:val="TableNormal"/>
    <w:next w:val="TableGrid"/>
    <w:uiPriority w:val="99"/>
    <w:rsid w:val="00061768"/>
    <w:pPr>
      <w:tabs>
        <w:tab w:val="left" w:pos="2835"/>
      </w:tabs>
      <w:spacing w:before="40" w:after="40"/>
      <w:jc w:val="both"/>
    </w:pPr>
    <w:rPr>
      <w:lang w:val="en-US"/>
    </w:rPr>
    <w:tblPr>
      <w:tblBorders>
        <w:top w:val="single" w:sz="4" w:space="0" w:color="auto"/>
        <w:left w:val="single" w:sz="4" w:space="0" w:color="auto"/>
        <w:bottom w:val="single" w:sz="4" w:space="0" w:color="auto"/>
        <w:right w:val="single" w:sz="4" w:space="0" w:color="auto"/>
        <w:insideV w:val="single" w:sz="4" w:space="0" w:color="auto"/>
      </w:tblBorders>
    </w:tblPr>
  </w:style>
  <w:style w:type="table" w:customStyle="1" w:styleId="TableGrid41">
    <w:name w:val="Table Grid4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61768"/>
  </w:style>
  <w:style w:type="table" w:customStyle="1" w:styleId="Style23">
    <w:name w:val="Style23"/>
    <w:basedOn w:val="TableNormal"/>
    <w:uiPriority w:val="99"/>
    <w:rsid w:val="00061768"/>
    <w:pPr>
      <w:spacing w:before="40" w:after="40"/>
      <w:ind w:right="-57"/>
    </w:pPr>
    <w:rPr>
      <w:rFonts w:ascii="Tahoma" w:hAnsi="Tahoma" w:cs="Tahoma"/>
      <w:sz w:val="22"/>
      <w:szCs w:val="22"/>
    </w:rPr>
    <w:tblPr/>
  </w:style>
  <w:style w:type="table" w:customStyle="1" w:styleId="TableGrid81">
    <w:name w:val="Table Grid8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061768"/>
  </w:style>
  <w:style w:type="table" w:customStyle="1" w:styleId="TableGrid18">
    <w:name w:val="Table Grid18"/>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61768"/>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61768"/>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61768"/>
    <w:pPr>
      <w:pBdr>
        <w:top w:val="nil"/>
        <w:left w:val="nil"/>
        <w:bottom w:val="nil"/>
        <w:right w:val="nil"/>
        <w:between w:val="nil"/>
        <w:bar w:val="nil"/>
      </w:pBdr>
      <w:spacing w:after="240" w:line="312" w:lineRule="auto"/>
    </w:pPr>
    <w:rPr>
      <w:rFonts w:ascii="Calibri" w:eastAsia="Calibri" w:hAnsi="Calibri" w:cs="Calibri"/>
      <w:color w:val="000000"/>
      <w:sz w:val="22"/>
      <w:szCs w:val="22"/>
      <w:u w:color="000000"/>
      <w:bdr w:val="nil"/>
    </w:rPr>
  </w:style>
  <w:style w:type="character" w:customStyle="1" w:styleId="None">
    <w:name w:val="None"/>
    <w:rsid w:val="00061768"/>
  </w:style>
  <w:style w:type="character" w:customStyle="1" w:styleId="st">
    <w:name w:val="st"/>
    <w:basedOn w:val="DefaultParagraphFont"/>
    <w:rsid w:val="00061768"/>
  </w:style>
  <w:style w:type="table" w:customStyle="1" w:styleId="TableGrid47">
    <w:name w:val="Table Grid47"/>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8002C7"/>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09B"/>
    <w:pPr>
      <w:keepNext/>
      <w:pageBreakBefore/>
      <w:pBdr>
        <w:bottom w:val="single" w:sz="4" w:space="1" w:color="auto"/>
      </w:pBdr>
      <w:spacing w:after="360"/>
      <w:ind w:left="2268" w:hanging="2268"/>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Heading5"/>
    <w:next w:val="Normal"/>
    <w:link w:val="Heading3Char"/>
    <w:qFormat/>
    <w:rsid w:val="00161B88"/>
    <w:pPr>
      <w:spacing w:after="120" w:line="240" w:lineRule="auto"/>
      <w:outlineLvl w:val="2"/>
    </w:pPr>
    <w:rPr>
      <w:lang w:eastAsia="en-US"/>
    </w:rPr>
  </w:style>
  <w:style w:type="paragraph" w:styleId="Heading4">
    <w:name w:val="heading 4"/>
    <w:basedOn w:val="ESSectionHeading-numbered0"/>
    <w:next w:val="Normal"/>
    <w:link w:val="Heading4Char"/>
    <w:qFormat/>
    <w:rsid w:val="00F5251C"/>
    <w:pPr>
      <w:numPr>
        <w:numId w:val="0"/>
      </w:numPr>
      <w:outlineLvl w:val="3"/>
    </w:pPr>
    <w:rPr>
      <w:smallCaps/>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72472E"/>
    <w:pPr>
      <w:spacing w:line="240" w:lineRule="auto"/>
      <w:ind w:left="993" w:hanging="993"/>
    </w:pPr>
    <w:rPr>
      <w:b/>
      <w:sz w:val="20"/>
      <w:szCs w:val="20"/>
    </w:rPr>
  </w:style>
  <w:style w:type="character" w:customStyle="1" w:styleId="TableHeadingChar">
    <w:name w:val="TableHeading Char"/>
    <w:link w:val="TableHeading"/>
    <w:rsid w:val="0072472E"/>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A31EFE"/>
    <w:pPr>
      <w:tabs>
        <w:tab w:val="right" w:leader="dot" w:pos="9017"/>
      </w:tabs>
      <w:spacing w:after="60"/>
      <w:ind w:left="851" w:right="720"/>
    </w:pPr>
    <w:rPr>
      <w:noProof/>
    </w:rPr>
  </w:style>
  <w:style w:type="paragraph" w:styleId="TOC3">
    <w:name w:val="toc 3"/>
    <w:basedOn w:val="Normal"/>
    <w:next w:val="Normal"/>
    <w:autoRedefine/>
    <w:uiPriority w:val="39"/>
    <w:qFormat/>
    <w:rsid w:val="007251F2"/>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BB7DA4"/>
    <w:pPr>
      <w:spacing w:after="120" w:line="240" w:lineRule="auto"/>
      <w:ind w:left="1134" w:hanging="1134"/>
    </w:pPr>
    <w:rPr>
      <w:rFonts w:ascii="Arial Narrow" w:hAnsi="Arial Narrow"/>
      <w:b/>
      <w:bCs/>
      <w:snapToGrid w:val="0"/>
      <w:sz w:val="20"/>
      <w:lang w:eastAsia="en-US"/>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0416F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09B"/>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161B88"/>
    <w:rPr>
      <w:rFonts w:ascii="Calibri" w:hAnsi="Calibri" w:cs="Tahoma"/>
      <w:b/>
      <w:i/>
      <w:sz w:val="22"/>
      <w:szCs w:val="22"/>
      <w:lang w:eastAsia="en-US"/>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i/>
      <w:smallCaps w:val="0"/>
      <w:sz w:val="24"/>
      <w:szCs w:val="24"/>
      <w:lang w:eastAsia="en-US"/>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i/>
      <w:smallCaps w:val="0"/>
      <w:sz w:val="24"/>
      <w:szCs w:val="24"/>
      <w:lang w:eastAsia="en-US"/>
    </w:rPr>
  </w:style>
  <w:style w:type="paragraph" w:customStyle="1" w:styleId="Tablenotes0">
    <w:name w:val="Tablenotes"/>
    <w:basedOn w:val="Normal"/>
    <w:link w:val="TablenotesChar0"/>
    <w:qFormat/>
    <w:rsid w:val="00A94F44"/>
    <w:pPr>
      <w:widowControl w:val="0"/>
      <w:spacing w:before="40" w:after="40" w:line="240" w:lineRule="auto"/>
      <w:jc w:val="both"/>
    </w:pPr>
    <w:rPr>
      <w:rFonts w:ascii="Arial Narrow" w:hAnsi="Arial Narrow" w:cs="Arial"/>
      <w:snapToGrid w:val="0"/>
      <w:sz w:val="20"/>
      <w:szCs w:val="20"/>
      <w:lang w:eastAsia="en-US"/>
    </w:rPr>
  </w:style>
  <w:style w:type="character" w:customStyle="1" w:styleId="TablenotesChar0">
    <w:name w:val="Tablenotes Char"/>
    <w:basedOn w:val="DefaultParagraphFont"/>
    <w:link w:val="Tablenotes0"/>
    <w:rsid w:val="00A94F44"/>
    <w:rPr>
      <w:rFonts w:ascii="Arial Narrow" w:hAnsi="Arial Narrow" w:cs="Arial"/>
      <w:snapToGrid w:val="0"/>
      <w:sz w:val="20"/>
      <w:szCs w:val="20"/>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customStyle="1" w:styleId="Style6">
    <w:name w:val="Style6"/>
    <w:uiPriority w:val="1"/>
    <w:qFormat/>
    <w:rsid w:val="007C3806"/>
    <w:rPr>
      <w:rFonts w:ascii="Arial" w:hAnsi="Arial"/>
      <w:b/>
      <w:color w:val="0000FF"/>
      <w:sz w:val="18"/>
    </w:rPr>
  </w:style>
  <w:style w:type="character" w:styleId="PlaceholderText">
    <w:name w:val="Placeholder Text"/>
    <w:basedOn w:val="DefaultParagraphFont"/>
    <w:uiPriority w:val="99"/>
    <w:semiHidden/>
    <w:rsid w:val="00B35E11"/>
    <w:rPr>
      <w:color w:val="808080"/>
    </w:rPr>
  </w:style>
  <w:style w:type="table" w:customStyle="1" w:styleId="TableGrid16">
    <w:name w:val="Table Grid16"/>
    <w:basedOn w:val="TableNormal"/>
    <w:next w:val="TableGrid"/>
    <w:uiPriority w:val="59"/>
    <w:rsid w:val="00A00016"/>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C159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3845"/>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F36FF"/>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3F36FF"/>
    <w:rPr>
      <w:rFonts w:ascii="Tahoma" w:hAnsi="Tahoma" w:cs="Tahoma"/>
      <w:noProof/>
      <w:sz w:val="22"/>
      <w:szCs w:val="22"/>
    </w:rPr>
  </w:style>
  <w:style w:type="paragraph" w:customStyle="1" w:styleId="EndNoteBibliography">
    <w:name w:val="EndNote Bibliography"/>
    <w:basedOn w:val="Normal"/>
    <w:link w:val="EndNoteBibliographyChar"/>
    <w:rsid w:val="003F36FF"/>
    <w:pPr>
      <w:spacing w:line="240" w:lineRule="auto"/>
    </w:pPr>
    <w:rPr>
      <w:rFonts w:ascii="Tahoma" w:hAnsi="Tahoma"/>
      <w:noProof/>
    </w:rPr>
  </w:style>
  <w:style w:type="character" w:customStyle="1" w:styleId="EndNoteBibliographyChar">
    <w:name w:val="EndNote Bibliography Char"/>
    <w:basedOn w:val="DefaultParagraphFont"/>
    <w:link w:val="EndNoteBibliography"/>
    <w:rsid w:val="003F36FF"/>
    <w:rPr>
      <w:rFonts w:ascii="Tahoma" w:hAnsi="Tahoma" w:cs="Tahoma"/>
      <w:noProof/>
      <w:sz w:val="22"/>
      <w:szCs w:val="22"/>
    </w:rPr>
  </w:style>
  <w:style w:type="character" w:customStyle="1" w:styleId="PersonalComposeStyle">
    <w:name w:val="Personal Compose Style"/>
    <w:basedOn w:val="DefaultParagraphFont"/>
    <w:rsid w:val="00061768"/>
    <w:rPr>
      <w:rFonts w:ascii="Arial" w:hAnsi="Arial" w:cs="Arial"/>
      <w:color w:val="auto"/>
      <w:sz w:val="20"/>
    </w:rPr>
  </w:style>
  <w:style w:type="character" w:customStyle="1" w:styleId="PersonalReplyStyle">
    <w:name w:val="Personal Reply Style"/>
    <w:basedOn w:val="DefaultParagraphFont"/>
    <w:rsid w:val="00061768"/>
    <w:rPr>
      <w:rFonts w:ascii="Arial" w:hAnsi="Arial" w:cs="Arial"/>
      <w:color w:val="auto"/>
      <w:sz w:val="20"/>
    </w:rPr>
  </w:style>
  <w:style w:type="numbering" w:customStyle="1" w:styleId="NoList1">
    <w:name w:val="No List1"/>
    <w:next w:val="NoList"/>
    <w:uiPriority w:val="99"/>
    <w:semiHidden/>
    <w:unhideWhenUsed/>
    <w:rsid w:val="00061768"/>
  </w:style>
  <w:style w:type="table" w:customStyle="1" w:styleId="TableGrid4">
    <w:name w:val="Table Grid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1768"/>
  </w:style>
  <w:style w:type="table" w:customStyle="1" w:styleId="TableGrid31">
    <w:name w:val="Table Grid3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061768"/>
    <w:rPr>
      <w:rFonts w:ascii="Arial" w:hAnsi="Arial" w:cs="Tahoma"/>
      <w:b/>
      <w:smallCaps/>
      <w:sz w:val="44"/>
      <w:szCs w:val="22"/>
    </w:rPr>
  </w:style>
  <w:style w:type="table" w:customStyle="1" w:styleId="TableGrid6">
    <w:name w:val="Table Grid6"/>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1768"/>
    <w:rPr>
      <w:rFonts w:ascii="Calibri" w:hAnsi="Calibri" w:cs="Tahoma"/>
      <w:b/>
      <w:i/>
      <w:sz w:val="22"/>
      <w:szCs w:val="22"/>
    </w:rPr>
  </w:style>
  <w:style w:type="character" w:customStyle="1" w:styleId="Heading6Char">
    <w:name w:val="Heading 6 Char"/>
    <w:basedOn w:val="DefaultParagraphFont"/>
    <w:link w:val="Heading6"/>
    <w:rsid w:val="00061768"/>
    <w:rPr>
      <w:rFonts w:ascii="Calibri" w:hAnsi="Calibri" w:cs="Tahoma"/>
      <w:sz w:val="22"/>
      <w:szCs w:val="22"/>
      <w:u w:val="single"/>
    </w:rPr>
  </w:style>
  <w:style w:type="character" w:customStyle="1" w:styleId="Heading7Char">
    <w:name w:val="Heading 7 Char"/>
    <w:basedOn w:val="DefaultParagraphFont"/>
    <w:link w:val="Heading7"/>
    <w:rsid w:val="00061768"/>
    <w:rPr>
      <w:rFonts w:ascii="Calibri" w:hAnsi="Calibri" w:cs="Tahoma"/>
      <w:i/>
      <w:sz w:val="22"/>
      <w:szCs w:val="22"/>
    </w:rPr>
  </w:style>
  <w:style w:type="character" w:customStyle="1" w:styleId="Heading8Char">
    <w:name w:val="Heading 8 Char"/>
    <w:basedOn w:val="DefaultParagraphFont"/>
    <w:link w:val="Heading8"/>
    <w:rsid w:val="00061768"/>
    <w:rPr>
      <w:rFonts w:ascii="Calibri" w:hAnsi="Calibri" w:cs="Tahoma"/>
      <w:sz w:val="22"/>
      <w:szCs w:val="22"/>
      <w:u w:val="single"/>
    </w:rPr>
  </w:style>
  <w:style w:type="character" w:customStyle="1" w:styleId="Heading9Char">
    <w:name w:val="Heading 9 Char"/>
    <w:basedOn w:val="DefaultParagraphFont"/>
    <w:link w:val="Heading9"/>
    <w:rsid w:val="00061768"/>
    <w:rPr>
      <w:rFonts w:ascii="Calibri" w:hAnsi="Calibri" w:cs="Tahoma"/>
      <w:sz w:val="22"/>
      <w:szCs w:val="22"/>
    </w:rPr>
  </w:style>
  <w:style w:type="character" w:customStyle="1" w:styleId="DateChar">
    <w:name w:val="Date Char"/>
    <w:basedOn w:val="DefaultParagraphFont"/>
    <w:link w:val="Date"/>
    <w:rsid w:val="00061768"/>
    <w:rPr>
      <w:rFonts w:ascii="Arial" w:hAnsi="Arial" w:cs="Tahoma"/>
      <w:b/>
      <w:sz w:val="36"/>
      <w:szCs w:val="22"/>
    </w:rPr>
  </w:style>
  <w:style w:type="character" w:customStyle="1" w:styleId="QuoteChar">
    <w:name w:val="Quote Char"/>
    <w:basedOn w:val="DefaultParagraphFont"/>
    <w:link w:val="Quote"/>
    <w:rsid w:val="00061768"/>
    <w:rPr>
      <w:rFonts w:ascii="Calibri" w:hAnsi="Calibri" w:cs="Tahoma"/>
      <w:sz w:val="22"/>
      <w:szCs w:val="22"/>
    </w:rPr>
  </w:style>
  <w:style w:type="paragraph" w:customStyle="1" w:styleId="Pa18">
    <w:name w:val="Pa18"/>
    <w:basedOn w:val="Default"/>
    <w:next w:val="Default"/>
    <w:uiPriority w:val="99"/>
    <w:rsid w:val="00061768"/>
    <w:pPr>
      <w:spacing w:line="201" w:lineRule="atLeast"/>
    </w:pPr>
    <w:rPr>
      <w:rFonts w:ascii="Optima DemiBold" w:hAnsi="Optima DemiBold" w:cs="Times New Roman"/>
      <w:color w:val="auto"/>
    </w:rPr>
  </w:style>
  <w:style w:type="paragraph" w:customStyle="1" w:styleId="Pa16">
    <w:name w:val="Pa16"/>
    <w:basedOn w:val="Default"/>
    <w:next w:val="Default"/>
    <w:uiPriority w:val="99"/>
    <w:rsid w:val="00061768"/>
    <w:pPr>
      <w:spacing w:line="201" w:lineRule="atLeast"/>
    </w:pPr>
    <w:rPr>
      <w:rFonts w:ascii="Optima DemiBold" w:hAnsi="Optima DemiBold" w:cs="Times New Roman"/>
      <w:color w:val="auto"/>
    </w:rPr>
  </w:style>
  <w:style w:type="paragraph" w:customStyle="1" w:styleId="Pa17">
    <w:name w:val="Pa17"/>
    <w:basedOn w:val="Default"/>
    <w:next w:val="Default"/>
    <w:uiPriority w:val="99"/>
    <w:rsid w:val="00061768"/>
    <w:pPr>
      <w:spacing w:line="201" w:lineRule="atLeast"/>
    </w:pPr>
    <w:rPr>
      <w:rFonts w:ascii="Optima DemiBold" w:hAnsi="Optima DemiBold" w:cs="Times New Roman"/>
      <w:color w:val="auto"/>
    </w:rPr>
  </w:style>
  <w:style w:type="character" w:customStyle="1" w:styleId="A11">
    <w:name w:val="A11"/>
    <w:uiPriority w:val="99"/>
    <w:rsid w:val="00061768"/>
    <w:rPr>
      <w:rFonts w:ascii="HelveticaNeue Condensed" w:hAnsi="HelveticaNeue Condensed" w:cs="HelveticaNeue Condensed"/>
      <w:color w:val="000000"/>
      <w:sz w:val="11"/>
      <w:szCs w:val="11"/>
    </w:rPr>
  </w:style>
  <w:style w:type="table" w:customStyle="1" w:styleId="TableGrid7">
    <w:name w:val="Table Grid7"/>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061768"/>
    <w:pPr>
      <w:spacing w:before="40" w:after="40"/>
      <w:ind w:right="-57"/>
    </w:pPr>
    <w:rPr>
      <w:rFonts w:ascii="Tahoma" w:hAnsi="Tahoma" w:cs="Tahoma"/>
      <w:sz w:val="22"/>
      <w:szCs w:val="22"/>
    </w:rPr>
    <w:tblPr/>
  </w:style>
  <w:style w:type="table" w:customStyle="1" w:styleId="TableGrid8">
    <w:name w:val="Table Grid8"/>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1">
    <w:name w:val="Style21"/>
    <w:basedOn w:val="TableNormal"/>
    <w:uiPriority w:val="99"/>
    <w:rsid w:val="00061768"/>
    <w:pPr>
      <w:spacing w:before="40" w:after="40"/>
      <w:ind w:right="-57"/>
    </w:pPr>
    <w:rPr>
      <w:rFonts w:ascii="Tahoma" w:hAnsi="Tahoma" w:cs="Tahoma"/>
      <w:sz w:val="22"/>
      <w:szCs w:val="22"/>
    </w:rPr>
    <w:tblPr/>
  </w:style>
  <w:style w:type="table" w:customStyle="1" w:styleId="TableGrid9">
    <w:name w:val="Table Grid9"/>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1768"/>
  </w:style>
  <w:style w:type="table" w:customStyle="1" w:styleId="Style22">
    <w:name w:val="Style22"/>
    <w:basedOn w:val="TableNormal"/>
    <w:uiPriority w:val="99"/>
    <w:rsid w:val="00061768"/>
    <w:pPr>
      <w:spacing w:before="40" w:after="40"/>
      <w:ind w:right="-57"/>
    </w:pPr>
    <w:rPr>
      <w:rFonts w:ascii="Tahoma" w:hAnsi="Tahoma" w:cs="Tahoma"/>
      <w:sz w:val="22"/>
      <w:szCs w:val="22"/>
    </w:rPr>
    <w:tblPr/>
  </w:style>
  <w:style w:type="table" w:customStyle="1" w:styleId="TableGrid10">
    <w:name w:val="Table Grid10"/>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61768"/>
  </w:style>
  <w:style w:type="table" w:customStyle="1" w:styleId="TableClassic11">
    <w:name w:val="Table Classic 11"/>
    <w:basedOn w:val="TableNormal"/>
    <w:next w:val="TableClassic1"/>
    <w:rsid w:val="00061768"/>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9">
    <w:name w:val="Table Grid29"/>
    <w:basedOn w:val="TableNormal"/>
    <w:next w:val="TableGrid"/>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numbering" w:customStyle="1" w:styleId="ESSectionheading-numbered1">
    <w:name w:val="ES. Section heading - numbered1"/>
    <w:uiPriority w:val="99"/>
    <w:rsid w:val="00061768"/>
    <w:pPr>
      <w:numPr>
        <w:numId w:val="13"/>
      </w:numPr>
    </w:pPr>
  </w:style>
  <w:style w:type="table" w:customStyle="1" w:styleId="TableGrid34">
    <w:name w:val="Table Grid34"/>
    <w:basedOn w:val="TableNormal"/>
    <w:next w:val="TableGrid"/>
    <w:uiPriority w:val="99"/>
    <w:rsid w:val="00061768"/>
    <w:pPr>
      <w:tabs>
        <w:tab w:val="left" w:pos="2835"/>
      </w:tabs>
      <w:spacing w:before="40" w:after="40"/>
      <w:jc w:val="both"/>
    </w:pPr>
    <w:rPr>
      <w:lang w:val="en-US"/>
    </w:rPr>
    <w:tblPr>
      <w:tblBorders>
        <w:top w:val="single" w:sz="4" w:space="0" w:color="auto"/>
        <w:left w:val="single" w:sz="4" w:space="0" w:color="auto"/>
        <w:bottom w:val="single" w:sz="4" w:space="0" w:color="auto"/>
        <w:right w:val="single" w:sz="4" w:space="0" w:color="auto"/>
        <w:insideV w:val="single" w:sz="4" w:space="0" w:color="auto"/>
      </w:tblBorders>
    </w:tblPr>
  </w:style>
  <w:style w:type="table" w:customStyle="1" w:styleId="TableGrid41">
    <w:name w:val="Table Grid4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61768"/>
  </w:style>
  <w:style w:type="table" w:customStyle="1" w:styleId="Style23">
    <w:name w:val="Style23"/>
    <w:basedOn w:val="TableNormal"/>
    <w:uiPriority w:val="99"/>
    <w:rsid w:val="00061768"/>
    <w:pPr>
      <w:spacing w:before="40" w:after="40"/>
      <w:ind w:right="-57"/>
    </w:pPr>
    <w:rPr>
      <w:rFonts w:ascii="Tahoma" w:hAnsi="Tahoma" w:cs="Tahoma"/>
      <w:sz w:val="22"/>
      <w:szCs w:val="22"/>
    </w:rPr>
    <w:tblPr/>
  </w:style>
  <w:style w:type="table" w:customStyle="1" w:styleId="TableGrid81">
    <w:name w:val="Table Grid8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61768"/>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061768"/>
  </w:style>
  <w:style w:type="table" w:customStyle="1" w:styleId="TableGrid18">
    <w:name w:val="Table Grid18"/>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61768"/>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61768"/>
    <w:pPr>
      <w:spacing w:before="40" w:after="40"/>
      <w:ind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61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61768"/>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061768"/>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61768"/>
    <w:pPr>
      <w:pBdr>
        <w:top w:val="nil"/>
        <w:left w:val="nil"/>
        <w:bottom w:val="nil"/>
        <w:right w:val="nil"/>
        <w:between w:val="nil"/>
        <w:bar w:val="nil"/>
      </w:pBdr>
      <w:spacing w:after="240" w:line="312" w:lineRule="auto"/>
    </w:pPr>
    <w:rPr>
      <w:rFonts w:ascii="Calibri" w:eastAsia="Calibri" w:hAnsi="Calibri" w:cs="Calibri"/>
      <w:color w:val="000000"/>
      <w:sz w:val="22"/>
      <w:szCs w:val="22"/>
      <w:u w:color="000000"/>
      <w:bdr w:val="nil"/>
    </w:rPr>
  </w:style>
  <w:style w:type="character" w:customStyle="1" w:styleId="None">
    <w:name w:val="None"/>
    <w:rsid w:val="00061768"/>
  </w:style>
  <w:style w:type="character" w:customStyle="1" w:styleId="st">
    <w:name w:val="st"/>
    <w:basedOn w:val="DefaultParagraphFont"/>
    <w:rsid w:val="00061768"/>
  </w:style>
  <w:style w:type="table" w:customStyle="1" w:styleId="TableGrid47">
    <w:name w:val="Table Grid47"/>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061768"/>
    <w:pPr>
      <w:spacing w:after="2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6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8002C7"/>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506">
      <w:bodyDiv w:val="1"/>
      <w:marLeft w:val="0"/>
      <w:marRight w:val="0"/>
      <w:marTop w:val="0"/>
      <w:marBottom w:val="0"/>
      <w:divBdr>
        <w:top w:val="none" w:sz="0" w:space="0" w:color="auto"/>
        <w:left w:val="none" w:sz="0" w:space="0" w:color="auto"/>
        <w:bottom w:val="none" w:sz="0" w:space="0" w:color="auto"/>
        <w:right w:val="none" w:sz="0" w:space="0" w:color="auto"/>
      </w:divBdr>
    </w:div>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18762489">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69886719">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010183">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56926690">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09917450">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94349076">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7546994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s://www.ihpa.gov.au/sites/g/files/net636/f/publications/final_nep16_determination.pdf%3e" TargetMode="External"/><Relationship Id="rId21" Type="http://schemas.openxmlformats.org/officeDocument/2006/relationships/image" Target="media/image3.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media/image36.tiff"/><Relationship Id="rId84" Type="http://schemas.openxmlformats.org/officeDocument/2006/relationships/image" Target="media/image40.tif"/><Relationship Id="rId89" Type="http://schemas.openxmlformats.org/officeDocument/2006/relationships/image" Target="media/image45.png"/><Relationship Id="rId112" Type="http://schemas.openxmlformats.org/officeDocument/2006/relationships/hyperlink" Target="http://www.uptodate.com/contents/endomyocardial-biopsy" TargetMode="External"/><Relationship Id="rId16" Type="http://schemas.openxmlformats.org/officeDocument/2006/relationships/footer" Target="footer3.xml"/><Relationship Id="rId107" Type="http://schemas.openxmlformats.org/officeDocument/2006/relationships/hyperlink" Target="http://www.rba.gov.au/calculator/annualDecimal.html"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footer" Target="footer5.xml"/><Relationship Id="rId74" Type="http://schemas.openxmlformats.org/officeDocument/2006/relationships/hyperlink" Target="http://text.nlm.nih.gov/" TargetMode="External"/><Relationship Id="rId79" Type="http://schemas.openxmlformats.org/officeDocument/2006/relationships/image" Target="media/image39.png"/><Relationship Id="rId87" Type="http://schemas.openxmlformats.org/officeDocument/2006/relationships/image" Target="media/image43.png"/><Relationship Id="rId102" Type="http://schemas.openxmlformats.org/officeDocument/2006/relationships/hyperlink" Target="http://www.rba.gov.au/calculator/annualDecimal.html" TargetMode="External"/><Relationship Id="rId110" Type="http://schemas.openxmlformats.org/officeDocument/2006/relationships/hyperlink" Target="http://emedicine.medscape.com/article/348284-overview" TargetMode="External"/><Relationship Id="rId115" Type="http://schemas.openxmlformats.org/officeDocument/2006/relationships/hyperlink" Target="https://www.ihpa.gov.au/sites/g/files/net636/f/publications/national-efficient-price-determination-2015-16.pdf%3e" TargetMode="Externa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footer" Target="footer7.xml"/><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4.xml"/><Relationship Id="rId64" Type="http://schemas.openxmlformats.org/officeDocument/2006/relationships/header" Target="header16.xml"/><Relationship Id="rId69" Type="http://schemas.openxmlformats.org/officeDocument/2006/relationships/image" Target="media/image37.tiff"/><Relationship Id="rId77" Type="http://schemas.openxmlformats.org/officeDocument/2006/relationships/footer" Target="footer6.xml"/><Relationship Id="rId100" Type="http://schemas.openxmlformats.org/officeDocument/2006/relationships/hyperlink" Target="http://www.rba.gov.au/calculator/annualDecimal.html" TargetMode="External"/><Relationship Id="rId105" Type="http://schemas.openxmlformats.org/officeDocument/2006/relationships/hyperlink" Target="http://www.rba.gov.au/calculator/annualDecimal.html" TargetMode="External"/><Relationship Id="rId113" Type="http://schemas.openxmlformats.org/officeDocument/2006/relationships/hyperlink" Target="http://www.health.gov.au/internet/main/publishing.nsf/Content/Round_13-cost-reports%3e" TargetMode="External"/><Relationship Id="rId118" Type="http://schemas.openxmlformats.org/officeDocument/2006/relationships/hyperlink" Target="http://www.insideradiology.com.au/pages/view.php?T_id=41" TargetMode="External"/><Relationship Id="rId8" Type="http://schemas.openxmlformats.org/officeDocument/2006/relationships/endnotes" Target="endnotes.xml"/><Relationship Id="rId51" Type="http://schemas.openxmlformats.org/officeDocument/2006/relationships/image" Target="media/image27.tif"/><Relationship Id="rId72" Type="http://schemas.openxmlformats.org/officeDocument/2006/relationships/hyperlink" Target="http://www.tripdatabase.com/" TargetMode="External"/><Relationship Id="rId80" Type="http://schemas.openxmlformats.org/officeDocument/2006/relationships/header" Target="header22.xml"/><Relationship Id="rId85" Type="http://schemas.openxmlformats.org/officeDocument/2006/relationships/image" Target="media/image41.tif"/><Relationship Id="rId93" Type="http://schemas.openxmlformats.org/officeDocument/2006/relationships/image" Target="media/image49.png"/><Relationship Id="rId98" Type="http://schemas.openxmlformats.org/officeDocument/2006/relationships/hyperlink" Target="http://www.rba.gov.au/calculator/annualDecimal.htm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header" Target="header18.xml"/><Relationship Id="rId103" Type="http://schemas.openxmlformats.org/officeDocument/2006/relationships/hyperlink" Target="http://www.rba.gov.au/calculator/annualDecimal.html" TargetMode="External"/><Relationship Id="rId108" Type="http://schemas.openxmlformats.org/officeDocument/2006/relationships/hyperlink" Target="http://www.rba.gov.au/calculator/annualDecimal.html" TargetMode="External"/><Relationship Id="rId116" Type="http://schemas.openxmlformats.org/officeDocument/2006/relationships/hyperlink" Target="https://www.ihpa.gov.au/publications/australian-public-hospitals-cost-report-2013-2014-round-18%3e" TargetMode="Externa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header" Target="header13.xml"/><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header" Target="header19.xml"/><Relationship Id="rId83" Type="http://schemas.openxmlformats.org/officeDocument/2006/relationships/header" Target="header24.xml"/><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yperlink" Target="http://www.rba.gov.au/calculator/annualDecimal.html" TargetMode="External"/><Relationship Id="rId111" Type="http://schemas.openxmlformats.org/officeDocument/2006/relationships/hyperlink" Target="http://abs.gov.au/AUSSTATS/abs@.nsf/DetailsPage/3222.02012%20%28base%29%20to%202101?OpenDocument%3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eader" Target="header15.xml"/><Relationship Id="rId106" Type="http://schemas.openxmlformats.org/officeDocument/2006/relationships/hyperlink" Target="http://www.rba.gov.au/calculator/annualDecimal.html" TargetMode="External"/><Relationship Id="rId114" Type="http://schemas.openxmlformats.org/officeDocument/2006/relationships/hyperlink" Target="https://www.ihpa.gov.au/sites/g/files/net636/f/publications/national-efficient-price-determination-2015-16.pdf%3e" TargetMode="External"/><Relationship Id="rId119"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tiff"/><Relationship Id="rId60" Type="http://schemas.openxmlformats.org/officeDocument/2006/relationships/image" Target="media/image32.png"/><Relationship Id="rId65" Type="http://schemas.openxmlformats.org/officeDocument/2006/relationships/header" Target="header17.xml"/><Relationship Id="rId73" Type="http://schemas.openxmlformats.org/officeDocument/2006/relationships/hyperlink" Target="http://controlled-trials.com/" TargetMode="External"/><Relationship Id="rId78" Type="http://schemas.openxmlformats.org/officeDocument/2006/relationships/header" Target="header21.xml"/><Relationship Id="rId81" Type="http://schemas.openxmlformats.org/officeDocument/2006/relationships/header" Target="header23.xml"/><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hyperlink" Target="http://www.rba.gov.au/calculator/annualDecimal.html" TargetMode="External"/><Relationship Id="rId101" Type="http://schemas.openxmlformats.org/officeDocument/2006/relationships/hyperlink" Target="http://healthtopics.hcf.com.au/HeartValveReplacement.aspx?gender=male&amp;topic=chest" TargetMode="External"/><Relationship Id="rId4" Type="http://schemas.microsoft.com/office/2007/relationships/stylesWithEffects" Target="stylesWithEffects.xml"/><Relationship Id="rId9" Type="http://schemas.openxmlformats.org/officeDocument/2006/relationships/hyperlink" Target="mailto:hta@health.gov.au"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2.xml"/><Relationship Id="rId109" Type="http://schemas.openxmlformats.org/officeDocument/2006/relationships/hyperlink" Target="http://www.aci.health.nsw.gov.au/__data/assets/pdf.../ACI-Deactivate-ICDs.pdf%3e" TargetMode="External"/><Relationship Id="rId34" Type="http://schemas.openxmlformats.org/officeDocument/2006/relationships/image" Target="media/image13.png"/><Relationship Id="rId50" Type="http://schemas.openxmlformats.org/officeDocument/2006/relationships/image" Target="media/image26.tiff"/><Relationship Id="rId55" Type="http://schemas.openxmlformats.org/officeDocument/2006/relationships/header" Target="header14.xml"/><Relationship Id="rId76" Type="http://schemas.openxmlformats.org/officeDocument/2006/relationships/header" Target="header20.xml"/><Relationship Id="rId97" Type="http://schemas.openxmlformats.org/officeDocument/2006/relationships/hyperlink" Target="http://www.rba.gov.au/calculator/annualDecimal.html" TargetMode="External"/><Relationship Id="rId104" Type="http://schemas.openxmlformats.org/officeDocument/2006/relationships/hyperlink" Target="http://healthtopics.hcf.com.au/HeartValveReplacement.aspx?gender=male&amp;topic=chest"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healthtopics.hcf.com.au/CoronaryAngiographyAngioplastyandStents.aspx" TargetMode="External"/><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fda.gov/radiation-emittingproducts/radiationemittingproductsandprocedures/medicalimaging/medicalx-rays/ucm115329.htm" TargetMode="External"/><Relationship Id="rId3" Type="http://schemas.openxmlformats.org/officeDocument/2006/relationships/hyperlink" Target="http://healthtopics.hcf.com.au/avail_htopics.aspx" TargetMode="External"/><Relationship Id="rId7" Type="http://schemas.openxmlformats.org/officeDocument/2006/relationships/hyperlink" Target="http://www.rba.gov.au/calculator/annualDecimal.html" TargetMode="External"/><Relationship Id="rId2" Type="http://schemas.openxmlformats.org/officeDocument/2006/relationships/hyperlink" Target="http://www.eurocmr-registry.com/layout/index2.php" TargetMode="External"/><Relationship Id="rId1" Type="http://schemas.openxmlformats.org/officeDocument/2006/relationships/hyperlink" Target="http://www.msac.gov.au/internet/msac/publishing.nsf/Content/1393-public" TargetMode="External"/><Relationship Id="rId6" Type="http://schemas.openxmlformats.org/officeDocument/2006/relationships/hyperlink" Target="http://healthtopics.hcf.com.au/CoronaryAngiographyAngioplastyandStents.aspx" TargetMode="External"/><Relationship Id="rId5" Type="http://schemas.openxmlformats.org/officeDocument/2006/relationships/hyperlink" Target="http://www.rba.gov.au/calculator/annualDecimal.html" TargetMode="External"/><Relationship Id="rId4" Type="http://schemas.openxmlformats.org/officeDocument/2006/relationships/hyperlink" Target="http://www.rba.gov.au/calculator/annualDecim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3914F-C2DA-4BF9-9CC7-1CC24B3A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305</Pages>
  <Words>106662</Words>
  <Characters>982617</Characters>
  <Application>Microsoft Office Word</Application>
  <DocSecurity>0</DocSecurity>
  <Lines>8188</Lines>
  <Paragraphs>2174</Paragraphs>
  <ScaleCrop>false</ScaleCrop>
  <Company/>
  <LinksUpToDate>false</LinksUpToDate>
  <CharactersWithSpaces>1087105</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2017-01-12T01:50:00Z</dcterms:created>
  <dcterms:modified xsi:type="dcterms:W3CDTF">2017-01-12T01:50:00Z</dcterms:modified>
</cp:coreProperties>
</file>